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bidi/>
      </w:pPr>
      <w:r>
        <w:rPr>
          <w:rFonts w:ascii="Arial" w:hAnsi="Arial"/>
          <w:b/>
          <w:color w:val="0B2545"/>
          <w:sz w:val="30"/>
        </w:rPr>
        <w:t>راهنمای هفتگی مطالعهٔ فارسی — دفترچهٔ نیروی هوایی (AFH 1)</w:t>
      </w:r>
    </w:p>
    <w:p>
      <w:pPr>
        <w:jc w:val="right"/>
        <w:bidi/>
      </w:pPr>
      <w:r>
        <w:rPr>
          <w:rFonts w:ascii="Arial" w:hAnsi="Arial"/>
          <w:sz w:val="15"/>
        </w:rPr>
        <w:t>منبع رسمی: دفترچهٔ نیروی هوایی شمارهٔ ۱، ۱۵ فوریهٔ ۲۰۲۵ | ترتیب و شماره‌گذاری جمله‌ها در هر دو نسخه یکسان است.</w:t>
      </w:r>
    </w:p>
    <w:p>
      <w:pPr>
        <w:jc w:val="right"/>
        <w:bidi/>
      </w:pPr>
      <w:r>
        <w:rPr>
          <w:i/>
          <w:sz w:val="14"/>
        </w:rPr>
        <w:t>نسخهٔ مدرس: فارسی در بالا؛ متن انگلیسیِ منبع با اندازهٔ کوچک‌تر در زیر آن آمده است.</w:t>
      </w:r>
    </w:p>
    <w:p>
      <w:pPr>
        <w:jc w:val="right"/>
        <w:bidi/>
      </w:pPr>
      <w:r>
        <w:rPr>
          <w:sz w:val="15"/>
        </w:rPr>
        <w:t>هر واحد هفتگی یک صفحهٔ محتواییِ منبع را دنبال می‌کند. برای هر جمله، به‌ترتیب نوبت بگیرید، ترجمه را بررسی کنید و به شمارهٔ همان جمله رجوع کنید. این ترجمه برای آموزش زبان است؛ متن رسمی و معتبر، متن انگلیسیِ منبع است.</w:t>
      </w:r>
    </w:p>
    <w:p>
      <w:r>
        <w:br w:type="page"/>
      </w:r>
    </w:p>
    <w:p>
      <w:pPr>
        <w:spacing w:after="60"/>
        <w:jc w:val="right"/>
        <w:bidi/>
      </w:pPr>
      <w:r>
        <w:rPr>
          <w:rFonts w:ascii="Arial" w:hAnsi="Arial"/>
          <w:b/>
          <w:color w:val="1F4D78"/>
          <w:sz w:val="19"/>
        </w:rPr>
        <w:t>هفتهٔ 1  |  صفحهٔ منبع: 2</w:t>
      </w:r>
    </w:p>
    <w:p>
      <w:pPr>
        <w:spacing w:after="20" w:line="223" w:lineRule="auto"/>
        <w:jc w:val="right"/>
        <w:bidi/>
      </w:pPr>
      <w:r>
        <w:rPr>
          <w:rFonts w:ascii="Arial" w:hAnsi="Arial"/>
          <w:sz w:val="16"/>
        </w:rPr>
        <w:t>001.01  همکاران نیروی هوایی، نیروی هوایی ایالات متحده برای پرواز، نبرد و پیروزی تشکیل شده است.</w:t>
      </w:r>
    </w:p>
    <w:p>
      <w:pPr>
        <w:spacing w:after="28" w:line="216" w:lineRule="auto"/>
        <w:ind w:left="259"/>
        <w:jc w:val="left"/>
      </w:pPr>
      <w:r>
        <w:rPr>
          <w:rFonts w:ascii="Arial" w:hAnsi="Arial"/>
          <w:color w:val="525252"/>
          <w:sz w:val="13"/>
        </w:rPr>
        <w:t>Fellow Airmen, The United States Air Force exists to Fly, Fight, and Win.</w:t>
      </w:r>
    </w:p>
    <w:p>
      <w:pPr>
        <w:spacing w:after="20" w:line="223" w:lineRule="auto"/>
        <w:jc w:val="right"/>
        <w:bidi/>
      </w:pPr>
      <w:r>
        <w:rPr>
          <w:rFonts w:ascii="Arial" w:hAnsi="Arial"/>
          <w:sz w:val="16"/>
        </w:rPr>
        <w:t>001.02  ما با به‌کارگیری قدرت هوایی در هر زمان و هر مکان، به متحدان خود اطمینان می‌بخشیم و دشمنانمان را بازمی‌داریم.</w:t>
      </w:r>
    </w:p>
    <w:p>
      <w:pPr>
        <w:spacing w:after="28" w:line="216" w:lineRule="auto"/>
        <w:ind w:left="259"/>
        <w:jc w:val="left"/>
      </w:pPr>
      <w:r>
        <w:rPr>
          <w:rFonts w:ascii="Arial" w:hAnsi="Arial"/>
          <w:color w:val="525252"/>
          <w:sz w:val="13"/>
        </w:rPr>
        <w:t>We assure our allies and deter our adversaries by delivering Airpower, anytime, anywhere.</w:t>
      </w:r>
    </w:p>
    <w:p>
      <w:pPr>
        <w:spacing w:after="20" w:line="223" w:lineRule="auto"/>
        <w:jc w:val="right"/>
        <w:bidi/>
      </w:pPr>
      <w:r>
        <w:rPr>
          <w:rFonts w:ascii="Arial" w:hAnsi="Arial"/>
          <w:sz w:val="16"/>
        </w:rPr>
        <w:t>001.03  نیروهای هوایی امروز به ندای کشور پاسخ داده‌اند و ما آماده‌ایم از میهن خود در برابر همهٔ دشمنان خارجی و داخلی دفاع کنیم.</w:t>
      </w:r>
    </w:p>
    <w:p>
      <w:pPr>
        <w:spacing w:after="28" w:line="216" w:lineRule="auto"/>
        <w:ind w:left="259"/>
        <w:jc w:val="left"/>
      </w:pPr>
      <w:r>
        <w:rPr>
          <w:rFonts w:ascii="Arial" w:hAnsi="Arial"/>
          <w:color w:val="525252"/>
          <w:sz w:val="13"/>
        </w:rPr>
        <w:t>Today’s Airmen have answered our Nation’s call, and we stand ready to defend our homeland against all enemies foreign and domestic.</w:t>
      </w:r>
    </w:p>
    <w:p>
      <w:pPr>
        <w:spacing w:after="20" w:line="223" w:lineRule="auto"/>
        <w:jc w:val="right"/>
        <w:bidi/>
      </w:pPr>
      <w:r>
        <w:rPr>
          <w:rFonts w:ascii="Arial" w:hAnsi="Arial"/>
          <w:sz w:val="16"/>
        </w:rPr>
        <w:t>001.04  به پشتوانهٔ پیشگامان هوانوردی، اندیشمندان حوزهٔ قدرت هوایی و بدنه‌ای حرفه‌ای و توانمند از نیروهای درجه‌دار، مرگبارترین نیروی هوایی جهان هستیم.</w:t>
      </w:r>
    </w:p>
    <w:p>
      <w:pPr>
        <w:spacing w:after="28" w:line="216" w:lineRule="auto"/>
        <w:ind w:left="259"/>
        <w:jc w:val="left"/>
      </w:pPr>
      <w:r>
        <w:rPr>
          <w:rFonts w:ascii="Arial" w:hAnsi="Arial"/>
          <w:color w:val="525252"/>
          <w:sz w:val="13"/>
        </w:rPr>
        <w:t>We are the world’s most lethal flying force thanks to aviation pioneers and air-minded thinkers, backstopped by a professional and empowered enlisted corps.</w:t>
      </w:r>
    </w:p>
    <w:p>
      <w:pPr>
        <w:spacing w:after="20" w:line="223" w:lineRule="auto"/>
        <w:jc w:val="right"/>
        <w:bidi/>
      </w:pPr>
      <w:r>
        <w:rPr>
          <w:rFonts w:ascii="Arial" w:hAnsi="Arial"/>
          <w:sz w:val="16"/>
        </w:rPr>
        <w:t>001.05  رهبران نیروی هوایی در همهٔ سطوح باید تاریخ و میراث ما را به‌خوبی بشناسند.</w:t>
      </w:r>
    </w:p>
    <w:p>
      <w:pPr>
        <w:spacing w:after="28" w:line="216" w:lineRule="auto"/>
        <w:ind w:left="259"/>
        <w:jc w:val="left"/>
      </w:pPr>
      <w:r>
        <w:rPr>
          <w:rFonts w:ascii="Arial" w:hAnsi="Arial"/>
          <w:color w:val="525252"/>
          <w:sz w:val="13"/>
        </w:rPr>
        <w:t>Air Force leaders at all levels require a firm understanding of our history and heritage.</w:t>
      </w:r>
    </w:p>
    <w:p>
      <w:pPr>
        <w:spacing w:after="20" w:line="223" w:lineRule="auto"/>
        <w:jc w:val="right"/>
        <w:bidi/>
      </w:pPr>
      <w:r>
        <w:rPr>
          <w:rFonts w:ascii="Arial" w:hAnsi="Arial"/>
          <w:sz w:val="16"/>
        </w:rPr>
        <w:t>001.06  اکنون بیش از هر زمان دیگری به رهبرانی در همهٔ سطوح نیاز داریم که با هنر جنگ هوایی آشنا باشند.</w:t>
      </w:r>
    </w:p>
    <w:p>
      <w:pPr>
        <w:spacing w:after="28" w:line="216" w:lineRule="auto"/>
        <w:ind w:left="259"/>
        <w:jc w:val="left"/>
      </w:pPr>
      <w:r>
        <w:rPr>
          <w:rFonts w:ascii="Arial" w:hAnsi="Arial"/>
          <w:color w:val="525252"/>
          <w:sz w:val="13"/>
        </w:rPr>
        <w:t>We need leaders at all levels, educated in the art of air war, now more than ever.</w:t>
      </w:r>
    </w:p>
    <w:p>
      <w:pPr>
        <w:spacing w:after="20" w:line="223" w:lineRule="auto"/>
        <w:jc w:val="right"/>
        <w:bidi/>
      </w:pPr>
      <w:r>
        <w:rPr>
          <w:rFonts w:ascii="Arial" w:hAnsi="Arial"/>
          <w:sz w:val="16"/>
        </w:rPr>
        <w:t>001.07  این راهنما ابزارهای لازم را در اختیار نیروهای ما می‌گذارد تا به‌عنوان هم‌تیمی و رهبر موفق باشند.</w:t>
      </w:r>
    </w:p>
    <w:p>
      <w:pPr>
        <w:spacing w:after="28" w:line="216" w:lineRule="auto"/>
        <w:ind w:left="259"/>
        <w:jc w:val="left"/>
      </w:pPr>
      <w:r>
        <w:rPr>
          <w:rFonts w:ascii="Arial" w:hAnsi="Arial"/>
          <w:color w:val="525252"/>
          <w:sz w:val="13"/>
        </w:rPr>
        <w:t>This handbook provides the keys for our Airmen to be successful as teammates and leaders.</w:t>
      </w:r>
    </w:p>
    <w:p>
      <w:pPr>
        <w:spacing w:after="20" w:line="223" w:lineRule="auto"/>
        <w:jc w:val="right"/>
        <w:bidi/>
      </w:pPr>
      <w:r>
        <w:rPr>
          <w:rFonts w:ascii="Arial" w:hAnsi="Arial"/>
          <w:sz w:val="16"/>
        </w:rPr>
        <w:t>001.08  امروز در محیط امنیتی جهانی بسیار پیچیده‌ای خدمت می‌کنیم.</w:t>
      </w:r>
    </w:p>
    <w:p>
      <w:pPr>
        <w:spacing w:after="28" w:line="216" w:lineRule="auto"/>
        <w:ind w:left="259"/>
        <w:jc w:val="left"/>
      </w:pPr>
      <w:r>
        <w:rPr>
          <w:rFonts w:ascii="Arial" w:hAnsi="Arial"/>
          <w:color w:val="525252"/>
          <w:sz w:val="13"/>
        </w:rPr>
        <w:t>We serve today in an incredibly complex global security environment.</w:t>
      </w:r>
    </w:p>
    <w:p>
      <w:pPr>
        <w:spacing w:after="20" w:line="223" w:lineRule="auto"/>
        <w:jc w:val="right"/>
        <w:bidi/>
      </w:pPr>
      <w:r>
        <w:rPr>
          <w:rFonts w:ascii="Arial" w:hAnsi="Arial"/>
          <w:sz w:val="16"/>
        </w:rPr>
        <w:t>001.09  در دفاع از میهن استوار می‌مانیم و تهدید فزاینده و چندحوزه‌ای جمهوری خلق چین را معیار برنامه‌ریزی خود قرار می‌دهیم.</w:t>
      </w:r>
    </w:p>
    <w:p>
      <w:pPr>
        <w:spacing w:after="28" w:line="216" w:lineRule="auto"/>
        <w:ind w:left="259"/>
        <w:jc w:val="left"/>
      </w:pPr>
      <w:r>
        <w:rPr>
          <w:rFonts w:ascii="Arial" w:hAnsi="Arial"/>
          <w:color w:val="525252"/>
          <w:sz w:val="13"/>
        </w:rPr>
        <w:t>We remain steadfast in defending our homeland, paced by the growing multi-domain threat presented by the People’s Republic of China.</w:t>
      </w:r>
    </w:p>
    <w:p>
      <w:pPr>
        <w:spacing w:after="20" w:line="223" w:lineRule="auto"/>
        <w:jc w:val="right"/>
        <w:bidi/>
      </w:pPr>
      <w:r>
        <w:rPr>
          <w:rFonts w:ascii="Arial" w:hAnsi="Arial"/>
          <w:sz w:val="16"/>
        </w:rPr>
        <w:t>001.10  همچنین بر تقویت همکاری‌های بین‌المللی و بازداشتن رقیبانی چون روسیه، کرهٔ شمالی و سازمان‌های افراطی خشونت‌طلب در سراسر جهان تمرکز داریم.</w:t>
      </w:r>
    </w:p>
    <w:p>
      <w:pPr>
        <w:spacing w:after="28" w:line="216" w:lineRule="auto"/>
        <w:ind w:left="259"/>
        <w:jc w:val="left"/>
      </w:pPr>
      <w:r>
        <w:rPr>
          <w:rFonts w:ascii="Arial" w:hAnsi="Arial"/>
          <w:color w:val="525252"/>
          <w:sz w:val="13"/>
        </w:rPr>
        <w:t>We are also focused on strengthening our international partnerships while deterring aggression from challengers like Russia, North Korea, and violent extremist organizations around the World.</w:t>
      </w:r>
    </w:p>
    <w:p>
      <w:pPr>
        <w:spacing w:after="20" w:line="223" w:lineRule="auto"/>
        <w:jc w:val="right"/>
        <w:bidi/>
      </w:pPr>
      <w:r>
        <w:rPr>
          <w:rFonts w:ascii="Arial" w:hAnsi="Arial"/>
          <w:sz w:val="16"/>
        </w:rPr>
        <w:t>001.11  پیش از این نیز با چنین وضعی روبه‌رو بوده‌ایم.</w:t>
      </w:r>
    </w:p>
    <w:p>
      <w:pPr>
        <w:spacing w:after="28" w:line="216" w:lineRule="auto"/>
        <w:ind w:left="259"/>
        <w:jc w:val="left"/>
      </w:pPr>
      <w:r>
        <w:rPr>
          <w:rFonts w:ascii="Arial" w:hAnsi="Arial"/>
          <w:color w:val="525252"/>
          <w:sz w:val="13"/>
        </w:rPr>
        <w:t>We have been here before.</w:t>
      </w:r>
    </w:p>
    <w:p>
      <w:pPr>
        <w:spacing w:after="20" w:line="223" w:lineRule="auto"/>
        <w:jc w:val="right"/>
        <w:bidi/>
      </w:pPr>
      <w:r>
        <w:rPr>
          <w:rFonts w:ascii="Arial" w:hAnsi="Arial"/>
          <w:sz w:val="16"/>
        </w:rPr>
        <w:t>001.12  در این راهنما دربارهٔ رهبرانی مانند سرهنگ بنجامین او. دیویس جونیور و هوانوردان تاسکیگی می‌خوانید.</w:t>
      </w:r>
    </w:p>
    <w:p>
      <w:pPr>
        <w:spacing w:after="28" w:line="216" w:lineRule="auto"/>
        <w:ind w:left="259"/>
        <w:jc w:val="left"/>
      </w:pPr>
      <w:r>
        <w:rPr>
          <w:rFonts w:ascii="Arial" w:hAnsi="Arial"/>
          <w:color w:val="525252"/>
          <w:sz w:val="13"/>
        </w:rPr>
        <w:t>You will read about leaders like Col Benjamin O. Davis, Jr. and the Tuskegee Airmen.</w:t>
      </w:r>
    </w:p>
    <w:p>
      <w:pPr>
        <w:spacing w:after="20" w:line="223" w:lineRule="auto"/>
        <w:jc w:val="right"/>
        <w:bidi/>
      </w:pPr>
      <w:r>
        <w:rPr>
          <w:rFonts w:ascii="Arial" w:hAnsi="Arial"/>
          <w:sz w:val="16"/>
        </w:rPr>
        <w:t>001.13  با قهرمانانی چون CMSgt ریچارد ال. اچبرگر و پیشگامانی مانند Staff Sgt. استر مک‌گوین بلیک، نخستین زنی که در نیروی هوایی نام‌نویسی کرد، آشنا می‌شوید.</w:t>
      </w:r>
    </w:p>
    <w:p>
      <w:pPr>
        <w:spacing w:after="28" w:line="216" w:lineRule="auto"/>
        <w:ind w:left="259"/>
        <w:jc w:val="left"/>
      </w:pPr>
      <w:r>
        <w:rPr>
          <w:rFonts w:ascii="Arial" w:hAnsi="Arial"/>
          <w:color w:val="525252"/>
          <w:sz w:val="13"/>
        </w:rPr>
        <w:t>You will learn about heroes like CMSgt Richard L. Etchberger and pioneers like Staff Sgt. Esther McGowin Blake, the first woman to enlist in the Air Force.</w:t>
      </w:r>
    </w:p>
    <w:p>
      <w:pPr>
        <w:spacing w:after="20" w:line="223" w:lineRule="auto"/>
        <w:jc w:val="right"/>
        <w:bidi/>
      </w:pPr>
      <w:r>
        <w:rPr>
          <w:rFonts w:ascii="Arial" w:hAnsi="Arial"/>
          <w:sz w:val="16"/>
        </w:rPr>
        <w:t>001.14  همچنین با نوآورانی آشنا می‌شوید که حملهٔ دولیتل، بمب اتمی و—با شکل‌گیری رزمایش رد فلگ—توان تمرین مأموریت‌های پیشرفته را پدید آوردند.</w:t>
      </w:r>
    </w:p>
    <w:p>
      <w:pPr>
        <w:spacing w:after="28" w:line="216" w:lineRule="auto"/>
        <w:ind w:left="259"/>
        <w:jc w:val="left"/>
      </w:pPr>
      <w:r>
        <w:rPr>
          <w:rFonts w:ascii="Arial" w:hAnsi="Arial"/>
          <w:color w:val="525252"/>
          <w:sz w:val="13"/>
        </w:rPr>
        <w:t>You’ll gain an understanding of innovators who brought about the Doolittle Raid, the Atomic bomb, and our high-end mission rehearsal capability with the advent of Red Flag.</w:t>
      </w:r>
    </w:p>
    <w:p>
      <w:pPr>
        <w:spacing w:after="20" w:line="223" w:lineRule="auto"/>
        <w:jc w:val="right"/>
        <w:bidi/>
      </w:pPr>
      <w:r>
        <w:rPr>
          <w:rFonts w:ascii="Arial" w:hAnsi="Arial"/>
          <w:sz w:val="16"/>
        </w:rPr>
        <w:t>001.15  این درس‌ها یادآوری می‌کنند که می‌توانیم بر چالش‌های دشواری مانند چالش‌های امروز غلبه کنیم.</w:t>
      </w:r>
    </w:p>
    <w:p>
      <w:pPr>
        <w:spacing w:after="28" w:line="216" w:lineRule="auto"/>
        <w:ind w:left="259"/>
        <w:jc w:val="left"/>
      </w:pPr>
      <w:r>
        <w:rPr>
          <w:rFonts w:ascii="Arial" w:hAnsi="Arial"/>
          <w:color w:val="525252"/>
          <w:sz w:val="13"/>
        </w:rPr>
        <w:t>These lessons remind us we can overcome difficult challenges like those we face today.</w:t>
      </w:r>
    </w:p>
    <w:p>
      <w:pPr>
        <w:spacing w:after="20" w:line="223" w:lineRule="auto"/>
        <w:jc w:val="right"/>
        <w:bidi/>
      </w:pPr>
      <w:r>
        <w:rPr>
          <w:rFonts w:ascii="Arial" w:hAnsi="Arial"/>
          <w:sz w:val="16"/>
        </w:rPr>
        <w:t>001.16  برای این کار باید برای اجرای مأموریت آماده باشیم.</w:t>
      </w:r>
    </w:p>
    <w:p>
      <w:pPr>
        <w:spacing w:after="28" w:line="216" w:lineRule="auto"/>
        <w:ind w:left="259"/>
        <w:jc w:val="left"/>
      </w:pPr>
      <w:r>
        <w:rPr>
          <w:rFonts w:ascii="Arial" w:hAnsi="Arial"/>
          <w:color w:val="525252"/>
          <w:sz w:val="13"/>
        </w:rPr>
        <w:t>To do so, we must be mission ready.</w:t>
      </w:r>
    </w:p>
    <w:p>
      <w:pPr>
        <w:spacing w:after="20" w:line="223" w:lineRule="auto"/>
        <w:jc w:val="right"/>
        <w:bidi/>
      </w:pPr>
      <w:r>
        <w:rPr>
          <w:rFonts w:ascii="Arial" w:hAnsi="Arial"/>
          <w:sz w:val="16"/>
        </w:rPr>
        <w:t>001.17  ما نیز مانند پیشینیان خود نماد روحیه‌ای دلیرانه‌ایم و تعهد مشترک به دفاع از کشور بزرگمان ما را به هم پیوند می‌دهد.</w:t>
      </w:r>
    </w:p>
    <w:p>
      <w:pPr>
        <w:spacing w:after="28" w:line="216" w:lineRule="auto"/>
        <w:ind w:left="259"/>
        <w:jc w:val="left"/>
      </w:pPr>
      <w:r>
        <w:rPr>
          <w:rFonts w:ascii="Arial" w:hAnsi="Arial"/>
          <w:color w:val="525252"/>
          <w:sz w:val="13"/>
        </w:rPr>
        <w:t>Like those who came before us, we exemplify a courageous spirit, bound by a shared commitment to defend our great Nation.</w:t>
      </w:r>
    </w:p>
    <w:p>
      <w:pPr>
        <w:spacing w:after="20" w:line="223" w:lineRule="auto"/>
        <w:jc w:val="right"/>
        <w:bidi/>
      </w:pPr>
      <w:r>
        <w:rPr>
          <w:rFonts w:ascii="Arial" w:hAnsi="Arial"/>
          <w:sz w:val="16"/>
        </w:rPr>
        <w:t>001.18  امروز نیروهای هوایی با نوآوری، پشتکار، کار تیمی و بیش از همه اعتماد، برای رویارویی با چالش‌های عرصه‌های مورد مناقشه پیش‌قدم می‌شوند.</w:t>
      </w:r>
    </w:p>
    <w:p>
      <w:pPr>
        <w:spacing w:after="28" w:line="216" w:lineRule="auto"/>
        <w:ind w:left="259"/>
        <w:jc w:val="left"/>
      </w:pPr>
      <w:r>
        <w:rPr>
          <w:rFonts w:ascii="Arial" w:hAnsi="Arial"/>
          <w:color w:val="525252"/>
          <w:sz w:val="13"/>
        </w:rPr>
        <w:t>Today, Airmen are rising to meet challenges across contested domains through ingenuity, perseverance, teamwork, and above all—trust.</w:t>
      </w:r>
    </w:p>
    <w:p>
      <w:pPr>
        <w:spacing w:after="20" w:line="223" w:lineRule="auto"/>
        <w:jc w:val="right"/>
        <w:bidi/>
      </w:pPr>
      <w:r>
        <w:rPr>
          <w:rFonts w:ascii="Arial" w:hAnsi="Arial"/>
          <w:sz w:val="16"/>
        </w:rPr>
        <w:t>001.19  ما اعضای تیمی پیروز و نیروهای هوایی خدمت‌گزار در حرفهٔ نظامی هستیم؛ ارزش‌های بنیادین و هدف مشترکمان ما را متحد می‌کند.</w:t>
      </w:r>
    </w:p>
    <w:p>
      <w:pPr>
        <w:spacing w:after="28" w:line="216" w:lineRule="auto"/>
        <w:ind w:left="259"/>
        <w:jc w:val="left"/>
      </w:pPr>
      <w:r>
        <w:rPr>
          <w:rFonts w:ascii="Arial" w:hAnsi="Arial"/>
          <w:color w:val="525252"/>
          <w:sz w:val="13"/>
        </w:rPr>
        <w:t>We are part of a winning team, we are Airmen serving in the Profession of Arms, united by our core values and a shared sense of purpose.</w:t>
      </w:r>
    </w:p>
    <w:p>
      <w:pPr>
        <w:spacing w:after="20" w:line="223" w:lineRule="auto"/>
        <w:jc w:val="right"/>
        <w:bidi/>
      </w:pPr>
      <w:r>
        <w:rPr>
          <w:rFonts w:ascii="Arial" w:hAnsi="Arial"/>
          <w:sz w:val="16"/>
        </w:rPr>
        <w:t>001.20  خوب رهبری کنید… هر روز را ارزشمند کنید.</w:t>
      </w:r>
    </w:p>
    <w:p>
      <w:pPr>
        <w:spacing w:after="28" w:line="216" w:lineRule="auto"/>
        <w:ind w:left="259"/>
        <w:jc w:val="left"/>
      </w:pPr>
      <w:r>
        <w:rPr>
          <w:rFonts w:ascii="Arial" w:hAnsi="Arial"/>
          <w:color w:val="525252"/>
          <w:sz w:val="13"/>
        </w:rPr>
        <w:t>Lead well…Make Every Day Count.</w:t>
      </w:r>
    </w:p>
    <w:p>
      <w:pPr>
        <w:spacing w:before="60" w:after="28"/>
        <w:jc w:val="right"/>
        <w:bidi/>
      </w:pPr>
      <w:r>
        <w:rPr>
          <w:b/>
          <w:color w:val="1F4D78"/>
          <w:sz w:val="18"/>
        </w:rPr>
        <w:t>DAVID A. FLOSI</w:t>
      </w:r>
    </w:p>
    <w:p>
      <w:pPr>
        <w:spacing w:after="20"/>
        <w:ind w:left="259"/>
        <w:jc w:val="left"/>
      </w:pPr>
      <w:r>
        <w:rPr>
          <w:color w:val="555555"/>
          <w:sz w:val="12"/>
        </w:rPr>
        <w:t>DAVID A. FLOSI</w:t>
      </w:r>
    </w:p>
    <w:p>
      <w:pPr>
        <w:spacing w:after="20" w:line="223" w:lineRule="auto"/>
        <w:jc w:val="right"/>
        <w:bidi/>
      </w:pPr>
      <w:r>
        <w:rPr>
          <w:rFonts w:ascii="Arial" w:hAnsi="Arial"/>
          <w:sz w:val="16"/>
        </w:rPr>
        <w:t>001.22  گروهبان ارشد نیروی هوایی</w:t>
      </w:r>
    </w:p>
    <w:p>
      <w:pPr>
        <w:spacing w:after="28" w:line="216" w:lineRule="auto"/>
        <w:ind w:left="259"/>
        <w:jc w:val="left"/>
      </w:pPr>
      <w:r>
        <w:rPr>
          <w:rFonts w:ascii="Arial" w:hAnsi="Arial"/>
          <w:color w:val="525252"/>
          <w:sz w:val="13"/>
        </w:rPr>
        <w:t>Chief Master Sergeant of the Air Force</w:t>
      </w:r>
    </w:p>
    <w:p>
      <w:r>
        <w:br w:type="page"/>
      </w:r>
    </w:p>
    <w:p>
      <w:pPr>
        <w:spacing w:after="60"/>
        <w:jc w:val="right"/>
        <w:bidi/>
      </w:pPr>
      <w:r>
        <w:rPr>
          <w:rFonts w:ascii="Arial" w:hAnsi="Arial"/>
          <w:b/>
          <w:color w:val="1F4D78"/>
          <w:sz w:val="19"/>
        </w:rPr>
        <w:t>هفتهٔ 2  |  صفحهٔ منبع: 18</w:t>
      </w:r>
    </w:p>
    <w:p>
      <w:pPr>
        <w:spacing w:before="60" w:after="28"/>
        <w:jc w:val="right"/>
        <w:bidi/>
      </w:pPr>
      <w:r>
        <w:rPr>
          <w:b/>
          <w:color w:val="1F4D78"/>
          <w:sz w:val="18"/>
        </w:rPr>
        <w:t>فصل 1</w:t>
      </w:r>
    </w:p>
    <w:p>
      <w:pPr>
        <w:spacing w:after="20"/>
        <w:ind w:left="259"/>
        <w:jc w:val="left"/>
      </w:pPr>
      <w:r>
        <w:rPr>
          <w:color w:val="555555"/>
          <w:sz w:val="12"/>
        </w:rPr>
        <w:t>Chapter 1</w:t>
      </w:r>
    </w:p>
    <w:p>
      <w:pPr>
        <w:spacing w:before="60" w:after="28"/>
        <w:jc w:val="right"/>
        <w:bidi/>
      </w:pPr>
      <w:r>
        <w:rPr>
          <w:b/>
          <w:color w:val="1F4D78"/>
          <w:sz w:val="18"/>
        </w:rPr>
        <w:t>حرفه گرایی</w:t>
      </w:r>
    </w:p>
    <w:p>
      <w:pPr>
        <w:spacing w:after="20"/>
        <w:ind w:left="259"/>
        <w:jc w:val="left"/>
      </w:pPr>
      <w:r>
        <w:rPr>
          <w:color w:val="555555"/>
          <w:sz w:val="12"/>
        </w:rPr>
        <w:t>PROFESSIONALISM</w:t>
      </w:r>
    </w:p>
    <w:p>
      <w:pPr>
        <w:spacing w:before="60" w:after="28"/>
        <w:jc w:val="right"/>
        <w:bidi/>
      </w:pPr>
      <w:r>
        <w:rPr>
          <w:b/>
          <w:color w:val="1F4D78"/>
          <w:sz w:val="18"/>
        </w:rPr>
        <w:t>بخش 1A-حرفه‌گرایی</w:t>
      </w:r>
    </w:p>
    <w:p>
      <w:pPr>
        <w:spacing w:after="20"/>
        <w:ind w:left="259"/>
        <w:jc w:val="left"/>
      </w:pPr>
      <w:r>
        <w:rPr>
          <w:color w:val="555555"/>
          <w:sz w:val="12"/>
        </w:rPr>
        <w:t>Section 1A—Professionalism</w:t>
      </w:r>
    </w:p>
    <w:p>
      <w:pPr>
        <w:spacing w:before="60" w:after="28"/>
        <w:jc w:val="right"/>
        <w:bidi/>
      </w:pPr>
      <w:r>
        <w:rPr>
          <w:b/>
          <w:color w:val="1F4D78"/>
          <w:sz w:val="18"/>
        </w:rPr>
        <w:t>1.1. حرفه ای بودن</w:t>
      </w:r>
    </w:p>
    <w:p>
      <w:pPr>
        <w:spacing w:after="20"/>
        <w:ind w:left="259"/>
        <w:jc w:val="left"/>
      </w:pPr>
      <w:r>
        <w:rPr>
          <w:color w:val="555555"/>
          <w:sz w:val="12"/>
        </w:rPr>
        <w:t>1.1. Professionalism</w:t>
      </w:r>
    </w:p>
    <w:p>
      <w:pPr>
        <w:spacing w:after="20" w:line="223" w:lineRule="auto"/>
        <w:jc w:val="right"/>
        <w:bidi/>
      </w:pPr>
      <w:r>
        <w:rPr>
          <w:rFonts w:ascii="Arial" w:hAnsi="Arial"/>
          <w:sz w:val="16"/>
        </w:rPr>
        <w:t>002.05  فرهنگ لغت، حرفه‌ای را کسی تعریف می‌کند که «به‌جای سرگرمی، به‌عنوان شغل اصلی خود به چیزی خاص می‌پردازد». سایر صفت‌هایی که برای توصیف یک حرفه‌ای استفاده می‌شوند عبارتند از: «لایق»، «مطمئن» و «مهارت». حرفه‌ای گرایی توصیف می‌کند که ما چه کسی هستیم به‌عنوان یک سرویس و چگونه به‌عنوان هوانورد و نمایندگان USAF رفتار می‌کنیم.</w:t>
      </w:r>
    </w:p>
    <w:p>
      <w:pPr>
        <w:spacing w:after="28" w:line="216" w:lineRule="auto"/>
        <w:ind w:left="259"/>
        <w:jc w:val="left"/>
      </w:pPr>
      <w:r>
        <w:rPr>
          <w:rFonts w:ascii="Arial" w:hAnsi="Arial"/>
          <w:color w:val="525252"/>
          <w:sz w:val="13"/>
        </w:rPr>
        <w:t>The dictionary defines a professional as one who “engages in something specific as their main occupation rather than a pastime.” Other adjectives used to describe a professional are “competent,” “assured,” and “skillful.” Professionalism describes who we are as a service and how we conduct ourselves as Airmen and representatives of the USAF.</w:t>
      </w:r>
    </w:p>
    <w:p>
      <w:pPr>
        <w:spacing w:after="20" w:line="223" w:lineRule="auto"/>
        <w:jc w:val="right"/>
        <w:bidi/>
      </w:pPr>
      <w:r>
        <w:rPr>
          <w:rFonts w:ascii="Arial" w:hAnsi="Arial"/>
          <w:sz w:val="16"/>
        </w:rPr>
        <w:t>002.06  استانداردهایی را تعیین می‌کند که انتظار می‌رود همه هوانوردان به آن پایبند باشند و از آنها فراتر رود.</w:t>
      </w:r>
    </w:p>
    <w:p>
      <w:pPr>
        <w:spacing w:after="28" w:line="216" w:lineRule="auto"/>
        <w:ind w:left="259"/>
        <w:jc w:val="left"/>
      </w:pPr>
      <w:r>
        <w:rPr>
          <w:rFonts w:ascii="Arial" w:hAnsi="Arial"/>
          <w:color w:val="525252"/>
          <w:sz w:val="13"/>
        </w:rPr>
        <w:t>It sets the standards all Airmen are expected to adhere to—and exceed.</w:t>
      </w:r>
    </w:p>
    <w:p>
      <w:pPr>
        <w:spacing w:after="20" w:line="223" w:lineRule="auto"/>
        <w:jc w:val="right"/>
        <w:bidi/>
      </w:pPr>
      <w:r>
        <w:rPr>
          <w:rFonts w:ascii="Arial" w:hAnsi="Arial"/>
          <w:sz w:val="16"/>
        </w:rPr>
        <w:t>002.07  حرفه‌ای‌گری در USAF با الزامات اعتماد، وفاداری، عزت و تعهد شخصی چارچوب بندی شده است.</w:t>
      </w:r>
    </w:p>
    <w:p>
      <w:pPr>
        <w:spacing w:after="28" w:line="216" w:lineRule="auto"/>
        <w:ind w:left="259"/>
        <w:jc w:val="left"/>
      </w:pPr>
      <w:r>
        <w:rPr>
          <w:rFonts w:ascii="Arial" w:hAnsi="Arial"/>
          <w:color w:val="525252"/>
          <w:sz w:val="13"/>
        </w:rPr>
        <w:t>Professionalism within the USAF is framed by the requirements of trust, loyalty, dignity, and personal commitment.</w:t>
      </w:r>
    </w:p>
    <w:p>
      <w:pPr>
        <w:spacing w:after="20" w:line="223" w:lineRule="auto"/>
        <w:jc w:val="right"/>
        <w:bidi/>
      </w:pPr>
      <w:r>
        <w:rPr>
          <w:rFonts w:ascii="Arial" w:hAnsi="Arial"/>
          <w:sz w:val="16"/>
        </w:rPr>
        <w:t>002.08  ما باید در قبال اعمال خود قابل اعتماد و مسئول باشیم و در عین حال برای هموطنان و همکاران، وینگمن خوبی باشیم.</w:t>
      </w:r>
    </w:p>
    <w:p>
      <w:pPr>
        <w:spacing w:after="28" w:line="216" w:lineRule="auto"/>
        <w:ind w:left="259"/>
        <w:jc w:val="left"/>
      </w:pPr>
      <w:r>
        <w:rPr>
          <w:rFonts w:ascii="Arial" w:hAnsi="Arial"/>
          <w:color w:val="525252"/>
          <w:sz w:val="13"/>
        </w:rPr>
        <w:t>We must be dependable and responsible for our own actions while being good wingmen for fellow Airmen and colleagues.</w:t>
      </w:r>
    </w:p>
    <w:p>
      <w:pPr>
        <w:spacing w:after="20" w:line="223" w:lineRule="auto"/>
        <w:jc w:val="right"/>
        <w:bidi/>
      </w:pPr>
      <w:r>
        <w:rPr>
          <w:rFonts w:ascii="Arial" w:hAnsi="Arial"/>
          <w:sz w:val="16"/>
        </w:rPr>
        <w:t>002.09  ریشه حرفه‌ای بودن احترام است.</w:t>
      </w:r>
    </w:p>
    <w:p>
      <w:pPr>
        <w:spacing w:after="28" w:line="216" w:lineRule="auto"/>
        <w:ind w:left="259"/>
        <w:jc w:val="left"/>
      </w:pPr>
      <w:r>
        <w:rPr>
          <w:rFonts w:ascii="Arial" w:hAnsi="Arial"/>
          <w:color w:val="525252"/>
          <w:sz w:val="13"/>
        </w:rPr>
        <w:t>At the root of professionalism is respect.</w:t>
      </w:r>
    </w:p>
    <w:p>
      <w:pPr>
        <w:spacing w:after="20" w:line="223" w:lineRule="auto"/>
        <w:jc w:val="right"/>
        <w:bidi/>
      </w:pPr>
      <w:r>
        <w:rPr>
          <w:rFonts w:ascii="Arial" w:hAnsi="Arial"/>
          <w:sz w:val="16"/>
        </w:rPr>
        <w:t>002.10  احترام همان چیزی است که سهم هر ایرمن در مأموریت را با درک جمعی از معنای خدمت با فروتنی و احترام به کسانی که با آنها خدمت می‌کنیم پیوند می‌دهد.</w:t>
      </w:r>
    </w:p>
    <w:p>
      <w:pPr>
        <w:spacing w:after="28" w:line="216" w:lineRule="auto"/>
        <w:ind w:left="259"/>
        <w:jc w:val="left"/>
      </w:pPr>
      <w:r>
        <w:rPr>
          <w:rFonts w:ascii="Arial" w:hAnsi="Arial"/>
          <w:color w:val="525252"/>
          <w:sz w:val="13"/>
        </w:rPr>
        <w:t>Respect is what bonds every Airman’s contribution to the mission with the collective understanding of what it means to serve with humility and respect for those we serve with.</w:t>
      </w:r>
    </w:p>
    <w:p>
      <w:pPr>
        <w:spacing w:after="20" w:line="223" w:lineRule="auto"/>
        <w:jc w:val="right"/>
        <w:bidi/>
      </w:pPr>
      <w:r>
        <w:rPr>
          <w:rFonts w:ascii="Arial" w:hAnsi="Arial"/>
          <w:sz w:val="16"/>
        </w:rPr>
        <w:t>002.11  USAF یک نیروی کامل است که به‌طور مؤثری از قابلیت‌های منحصر به فرد افسران، نیروهای درجه‌دار و غیرنظامیان هوایی در سراسر رگاف، گارد، رزرو و اجزای کمکی استفاده می‌کند.</w:t>
      </w:r>
    </w:p>
    <w:p>
      <w:pPr>
        <w:spacing w:after="28" w:line="216" w:lineRule="auto"/>
        <w:ind w:left="259"/>
        <w:jc w:val="left"/>
      </w:pPr>
      <w:r>
        <w:rPr>
          <w:rFonts w:ascii="Arial" w:hAnsi="Arial"/>
          <w:color w:val="525252"/>
          <w:sz w:val="13"/>
        </w:rPr>
        <w:t>The USAF is a Total Force that effectively leverages the unique capabilities of officer, enlisted, and civilian Airmen across RegAF, Guard, Reserve, and Auxiliary Components.</w:t>
      </w:r>
    </w:p>
    <w:p>
      <w:pPr>
        <w:spacing w:after="20" w:line="223" w:lineRule="auto"/>
        <w:jc w:val="right"/>
        <w:bidi/>
      </w:pPr>
      <w:r>
        <w:rPr>
          <w:rFonts w:ascii="Arial" w:hAnsi="Arial"/>
          <w:sz w:val="16"/>
        </w:rPr>
        <w:t>002.12  به‌عنوان یک نیروی کل، ما نیروی هوایی مبتنی بر ارزش‌ها، مأموریت محور و مردم محور هستیم.</w:t>
      </w:r>
    </w:p>
    <w:p>
      <w:pPr>
        <w:spacing w:after="28" w:line="216" w:lineRule="auto"/>
        <w:ind w:left="259"/>
        <w:jc w:val="left"/>
      </w:pPr>
      <w:r>
        <w:rPr>
          <w:rFonts w:ascii="Arial" w:hAnsi="Arial"/>
          <w:color w:val="525252"/>
          <w:sz w:val="13"/>
        </w:rPr>
        <w:t>As a Total Force, we are a values-based, mission-focused, people-oriented air force.</w:t>
      </w:r>
    </w:p>
    <w:p>
      <w:pPr>
        <w:spacing w:after="20" w:line="223" w:lineRule="auto"/>
        <w:jc w:val="right"/>
        <w:bidi/>
      </w:pPr>
      <w:r>
        <w:rPr>
          <w:rFonts w:ascii="Arial" w:hAnsi="Arial"/>
          <w:sz w:val="16"/>
        </w:rPr>
        <w:t>002.13  حرفه‌ای بودن قلب و روح آن چیزی است که ما هستیم و هر روز آرزوی آن را داریم.</w:t>
      </w:r>
    </w:p>
    <w:p>
      <w:pPr>
        <w:spacing w:after="28" w:line="216" w:lineRule="auto"/>
        <w:ind w:left="259"/>
        <w:jc w:val="left"/>
      </w:pPr>
      <w:r>
        <w:rPr>
          <w:rFonts w:ascii="Arial" w:hAnsi="Arial"/>
          <w:color w:val="525252"/>
          <w:sz w:val="13"/>
        </w:rPr>
        <w:t>Professionalism is the heart and soul of who we are and who we aspire to be every day.</w:t>
      </w:r>
    </w:p>
    <w:p>
      <w:pPr>
        <w:spacing w:after="20" w:line="223" w:lineRule="auto"/>
        <w:jc w:val="right"/>
        <w:bidi/>
      </w:pPr>
      <w:r>
        <w:rPr>
          <w:rFonts w:ascii="Arial" w:hAnsi="Arial"/>
          <w:sz w:val="16"/>
        </w:rPr>
        <w:t>002.14  حس حرفه‌ای بودن ما زیربنای غروری است که وقتی می‌گوییم "من یک هواپیمای آمریکایی هستم" احساس می‌کنیم. تعهدات و وضعیت حرفه‌ای.</w:t>
      </w:r>
    </w:p>
    <w:p>
      <w:pPr>
        <w:spacing w:after="28" w:line="216" w:lineRule="auto"/>
        <w:ind w:left="259"/>
        <w:jc w:val="left"/>
      </w:pPr>
      <w:r>
        <w:rPr>
          <w:rFonts w:ascii="Arial" w:hAnsi="Arial"/>
          <w:color w:val="525252"/>
          <w:sz w:val="13"/>
        </w:rPr>
        <w:t>Our sense of professionalism underlies the pride we feel when we say, “I am an American Airman.” Professional Obligation and Status.</w:t>
      </w:r>
    </w:p>
    <w:p>
      <w:pPr>
        <w:spacing w:after="20" w:line="223" w:lineRule="auto"/>
        <w:jc w:val="right"/>
        <w:bidi/>
      </w:pPr>
      <w:r>
        <w:rPr>
          <w:rFonts w:ascii="Arial" w:hAnsi="Arial"/>
          <w:sz w:val="16"/>
        </w:rPr>
        <w:t>002.15  هر ایرمن موظف است بهترین حرفه‌ای ممکن باشد.</w:t>
      </w:r>
    </w:p>
    <w:p>
      <w:pPr>
        <w:spacing w:after="28" w:line="216" w:lineRule="auto"/>
        <w:ind w:left="259"/>
        <w:jc w:val="left"/>
      </w:pPr>
      <w:r>
        <w:rPr>
          <w:rFonts w:ascii="Arial" w:hAnsi="Arial"/>
          <w:color w:val="525252"/>
          <w:sz w:val="13"/>
        </w:rPr>
        <w:t>Every Airman has an obligation to be the very best professional possible.</w:t>
      </w:r>
    </w:p>
    <w:p>
      <w:pPr>
        <w:spacing w:after="20" w:line="223" w:lineRule="auto"/>
        <w:jc w:val="right"/>
        <w:bidi/>
      </w:pPr>
      <w:r>
        <w:rPr>
          <w:rFonts w:ascii="Arial" w:hAnsi="Arial"/>
          <w:sz w:val="16"/>
        </w:rPr>
        <w:t>002.16  همانطور که در AFI ۱-۱ بیان شد، USAF یک مأموریت دفاع ملی بسیار مهم دارد. و شما به‌عنوان عضوی از USAF مسئولیت‌های جدی برای انجام آن مأموریت دارید.</w:t>
      </w:r>
    </w:p>
    <w:p>
      <w:pPr>
        <w:spacing w:after="28" w:line="216" w:lineRule="auto"/>
        <w:ind w:left="259"/>
        <w:jc w:val="left"/>
      </w:pPr>
      <w:r>
        <w:rPr>
          <w:rFonts w:ascii="Arial" w:hAnsi="Arial"/>
          <w:color w:val="525252"/>
          <w:sz w:val="13"/>
        </w:rPr>
        <w:t>As stated in AFI 1-1, the USAF has a very important national defense mission; and you, as a member of the USAF, have serious responsibilities for carrying out that mission.</w:t>
      </w:r>
    </w:p>
    <w:p>
      <w:pPr>
        <w:spacing w:after="20" w:line="223" w:lineRule="auto"/>
        <w:jc w:val="right"/>
        <w:bidi/>
      </w:pPr>
      <w:r>
        <w:rPr>
          <w:rFonts w:ascii="Arial" w:hAnsi="Arial"/>
          <w:sz w:val="16"/>
        </w:rPr>
        <w:t>002.17  شما مسئول پیروی از دستورات، انجام وظایف خاص روزانه مرتبط با وظایف خود و مطابقت با استانداردهای بالای USAF هستید.</w:t>
      </w:r>
    </w:p>
    <w:p>
      <w:pPr>
        <w:spacing w:after="28" w:line="216" w:lineRule="auto"/>
        <w:ind w:left="259"/>
        <w:jc w:val="left"/>
      </w:pPr>
      <w:r>
        <w:rPr>
          <w:rFonts w:ascii="Arial" w:hAnsi="Arial"/>
          <w:color w:val="525252"/>
          <w:sz w:val="13"/>
        </w:rPr>
        <w:t>You are responsible for following orders, performing specific daily tasks related to your duties, and living up to the high standards of the USAF.</w:t>
      </w:r>
    </w:p>
    <w:p>
      <w:pPr>
        <w:spacing w:after="20" w:line="223" w:lineRule="auto"/>
        <w:jc w:val="right"/>
        <w:bidi/>
      </w:pPr>
      <w:r>
        <w:rPr>
          <w:rFonts w:ascii="Arial" w:hAnsi="Arial"/>
          <w:sz w:val="16"/>
        </w:rPr>
        <w:t>002.18  حفظ نظم و انضباط خوب برای انجام مأموریت بسیار مهم است.</w:t>
      </w:r>
    </w:p>
    <w:p>
      <w:pPr>
        <w:spacing w:after="28" w:line="216" w:lineRule="auto"/>
        <w:ind w:left="259"/>
        <w:jc w:val="left"/>
      </w:pPr>
      <w:r>
        <w:rPr>
          <w:rFonts w:ascii="Arial" w:hAnsi="Arial"/>
          <w:color w:val="525252"/>
          <w:sz w:val="13"/>
        </w:rPr>
        <w:t>Maintaining good order and discipline is paramount for mission accomplishment.</w:t>
      </w:r>
    </w:p>
    <w:p>
      <w:pPr>
        <w:spacing w:after="20" w:line="223" w:lineRule="auto"/>
        <w:jc w:val="right"/>
        <w:bidi/>
      </w:pPr>
      <w:r>
        <w:rPr>
          <w:rFonts w:ascii="Arial" w:hAnsi="Arial"/>
          <w:sz w:val="16"/>
        </w:rPr>
        <w:t>002.19  وضعیت حرفه‌ای با نگرش‌ها و تعهدات و با درونی کردن ارزش‌های نظامی که می‌تواند در زمان‌های مختلف زندگی و شغلی به افراد برسد بیان می‌شود.</w:t>
      </w:r>
    </w:p>
    <w:p>
      <w:pPr>
        <w:spacing w:after="28" w:line="216" w:lineRule="auto"/>
        <w:ind w:left="259"/>
        <w:jc w:val="left"/>
      </w:pPr>
      <w:r>
        <w:rPr>
          <w:rFonts w:ascii="Arial" w:hAnsi="Arial"/>
          <w:color w:val="525252"/>
          <w:sz w:val="13"/>
        </w:rPr>
        <w:t>Professional status is expressed by attitudes and commitments, and by internalizing military values which can come to people at different times in their lives and careers.</w:t>
      </w:r>
    </w:p>
    <w:p>
      <w:pPr>
        <w:spacing w:after="20" w:line="223" w:lineRule="auto"/>
        <w:jc w:val="right"/>
        <w:bidi/>
      </w:pPr>
      <w:r>
        <w:rPr>
          <w:rFonts w:ascii="Arial" w:hAnsi="Arial"/>
          <w:sz w:val="16"/>
        </w:rPr>
        <w:t>002.20  مطالعه و درک این عوامل برای نیروهای هوایی و آینده USAF حیاتی است.</w:t>
      </w:r>
    </w:p>
    <w:p>
      <w:pPr>
        <w:spacing w:after="28" w:line="216" w:lineRule="auto"/>
        <w:ind w:left="259"/>
        <w:jc w:val="left"/>
      </w:pPr>
      <w:r>
        <w:rPr>
          <w:rFonts w:ascii="Arial" w:hAnsi="Arial"/>
          <w:color w:val="525252"/>
          <w:sz w:val="13"/>
        </w:rPr>
        <w:t>Studying and understanding these factors are vital to Airmen and the future of the USAF.</w:t>
      </w:r>
    </w:p>
    <w:p>
      <w:pPr>
        <w:spacing w:after="20" w:line="223" w:lineRule="auto"/>
        <w:jc w:val="right"/>
        <w:bidi/>
      </w:pPr>
      <w:r>
        <w:rPr>
          <w:rFonts w:ascii="Arial" w:hAnsi="Arial"/>
          <w:sz w:val="16"/>
        </w:rPr>
        <w:t>002.21  نظامیان حرفه‌ای امروز و فردا باید مسئولیت اعمال خود را بپذیرند، دیگران را مسئول بدانند و اقدامات مناسب را انجام دهند تا هرگز پشت بهانه‌ها پنهان نشوند.</w:t>
      </w:r>
    </w:p>
    <w:p>
      <w:pPr>
        <w:spacing w:after="28" w:line="216" w:lineRule="auto"/>
        <w:ind w:left="259"/>
        <w:jc w:val="left"/>
      </w:pPr>
      <w:r>
        <w:rPr>
          <w:rFonts w:ascii="Arial" w:hAnsi="Arial"/>
          <w:color w:val="525252"/>
          <w:sz w:val="13"/>
        </w:rPr>
        <w:t>Professional military members of today and tomorrow must accept responsibility for their actions, hold others accountable, and take appropriate action to never hide behind excuses.</w:t>
      </w:r>
    </w:p>
    <w:p>
      <w:pPr>
        <w:spacing w:after="20" w:line="223" w:lineRule="auto"/>
        <w:jc w:val="right"/>
        <w:bidi/>
      </w:pPr>
      <w:r>
        <w:rPr>
          <w:rFonts w:ascii="Arial" w:hAnsi="Arial"/>
          <w:sz w:val="16"/>
        </w:rPr>
        <w:t>002.22  تمرکز باید معطوف به خدمت فداکارانه به ملت باشد، نه روی دستمزد یا مأموریت بعدی.</w:t>
      </w:r>
    </w:p>
    <w:p>
      <w:pPr>
        <w:spacing w:after="28" w:line="216" w:lineRule="auto"/>
        <w:ind w:left="259"/>
        <w:jc w:val="left"/>
      </w:pPr>
      <w:r>
        <w:rPr>
          <w:rFonts w:ascii="Arial" w:hAnsi="Arial"/>
          <w:color w:val="525252"/>
          <w:sz w:val="13"/>
        </w:rPr>
        <w:t>Focus must be directed toward devoted service to the nation, not on pay or the next assignment.</w:t>
      </w:r>
    </w:p>
    <w:p>
      <w:pPr>
        <w:spacing w:after="20" w:line="223" w:lineRule="auto"/>
        <w:jc w:val="right"/>
        <w:bidi/>
      </w:pPr>
      <w:r>
        <w:rPr>
          <w:rFonts w:ascii="Arial" w:hAnsi="Arial"/>
          <w:sz w:val="16"/>
        </w:rPr>
        <w:t>002.23  نیروی هوایی ما بخش مهمی از بزرگترین نیروی جنگی است که جهان تاکنون شناخته است.</w:t>
      </w:r>
    </w:p>
    <w:p>
      <w:pPr>
        <w:spacing w:after="28" w:line="216" w:lineRule="auto"/>
        <w:ind w:left="259"/>
        <w:jc w:val="left"/>
      </w:pPr>
      <w:r>
        <w:rPr>
          <w:rFonts w:ascii="Arial" w:hAnsi="Arial"/>
          <w:color w:val="525252"/>
          <w:sz w:val="13"/>
        </w:rPr>
        <w:t>Our Air Force is a critical part of the greatest fighting force the world has ever known.</w:t>
      </w:r>
    </w:p>
    <w:p>
      <w:pPr>
        <w:spacing w:after="20" w:line="223" w:lineRule="auto"/>
        <w:jc w:val="right"/>
        <w:bidi/>
      </w:pPr>
      <w:r>
        <w:rPr>
          <w:rFonts w:ascii="Arial" w:hAnsi="Arial"/>
          <w:sz w:val="16"/>
        </w:rPr>
        <w:t>002.24  توسط بزرگترین هوانوردانی که جهان تا به حال دیده است نیرو می‌گیرد.</w:t>
      </w:r>
    </w:p>
    <w:p>
      <w:pPr>
        <w:spacing w:after="28" w:line="216" w:lineRule="auto"/>
        <w:ind w:left="259"/>
        <w:jc w:val="left"/>
      </w:pPr>
      <w:r>
        <w:rPr>
          <w:rFonts w:ascii="Arial" w:hAnsi="Arial"/>
          <w:color w:val="525252"/>
          <w:sz w:val="13"/>
        </w:rPr>
        <w:t>It is powered by the greatest Airmen the world has ever seen.</w:t>
      </w:r>
    </w:p>
    <w:p>
      <w:pPr>
        <w:spacing w:after="20" w:line="223" w:lineRule="auto"/>
        <w:jc w:val="right"/>
        <w:bidi/>
      </w:pPr>
      <w:r>
        <w:rPr>
          <w:rFonts w:ascii="Arial" w:hAnsi="Arial"/>
          <w:sz w:val="16"/>
        </w:rPr>
        <w:t>002.25  مأموریت محور.</w:t>
      </w:r>
    </w:p>
    <w:p>
      <w:pPr>
        <w:spacing w:after="28" w:line="216" w:lineRule="auto"/>
        <w:ind w:left="259"/>
        <w:jc w:val="left"/>
      </w:pPr>
      <w:r>
        <w:rPr>
          <w:rFonts w:ascii="Arial" w:hAnsi="Arial"/>
          <w:color w:val="525252"/>
          <w:sz w:val="13"/>
        </w:rPr>
        <w:t>Mission-Focused.</w:t>
      </w:r>
    </w:p>
    <w:p>
      <w:pPr>
        <w:spacing w:after="20" w:line="223" w:lineRule="auto"/>
        <w:jc w:val="right"/>
        <w:bidi/>
      </w:pPr>
      <w:r>
        <w:rPr>
          <w:rFonts w:ascii="Arial" w:hAnsi="Arial"/>
          <w:sz w:val="16"/>
        </w:rPr>
        <w:t>002.26  ما به‌عنوان هوانیروز آماده هستیم و وظیفه ایثارگرانه را در دفاع از ملت خود انجام می‌دهیم.</w:t>
      </w:r>
    </w:p>
    <w:p>
      <w:pPr>
        <w:spacing w:after="28" w:line="216" w:lineRule="auto"/>
        <w:ind w:left="259"/>
        <w:jc w:val="left"/>
      </w:pPr>
      <w:r>
        <w:rPr>
          <w:rFonts w:ascii="Arial" w:hAnsi="Arial"/>
          <w:color w:val="525252"/>
          <w:sz w:val="13"/>
        </w:rPr>
        <w:t>As Airmen, we stand ready, performing selfless duty in defense of our nation.</w:t>
      </w:r>
    </w:p>
    <w:p>
      <w:pPr>
        <w:spacing w:after="20" w:line="223" w:lineRule="auto"/>
        <w:jc w:val="right"/>
        <w:bidi/>
      </w:pPr>
      <w:r>
        <w:rPr>
          <w:rFonts w:ascii="Arial" w:hAnsi="Arial"/>
          <w:sz w:val="16"/>
        </w:rPr>
        <w:t>002.27  ما و خانواده‌هایمان متعهد هستیم که به ندای ملت خود پاسخ دهیم و در راه انجام مأموریت فداکاری کنیم.</w:t>
      </w:r>
    </w:p>
    <w:p>
      <w:pPr>
        <w:spacing w:after="28" w:line="216" w:lineRule="auto"/>
        <w:ind w:left="259"/>
        <w:jc w:val="left"/>
      </w:pPr>
      <w:r>
        <w:rPr>
          <w:rFonts w:ascii="Arial" w:hAnsi="Arial"/>
          <w:color w:val="525252"/>
          <w:sz w:val="13"/>
        </w:rPr>
        <w:t>We, and our families, are dedicated to answering our nation’s call, making sacrifices for the good of the mission.</w:t>
      </w:r>
    </w:p>
    <w:p>
      <w:pPr>
        <w:spacing w:after="20" w:line="223" w:lineRule="auto"/>
        <w:jc w:val="right"/>
        <w:bidi/>
      </w:pPr>
      <w:r>
        <w:rPr>
          <w:rFonts w:ascii="Arial" w:hAnsi="Arial"/>
          <w:sz w:val="16"/>
        </w:rPr>
        <w:t>002.28  ما به‌عنوان هوانورد باید شهامت داشته باشیم که در مواقع لزوم ریسک‌های مناسب را انجام دهیم.</w:t>
      </w:r>
    </w:p>
    <w:p>
      <w:pPr>
        <w:spacing w:after="28" w:line="216" w:lineRule="auto"/>
        <w:ind w:left="259"/>
        <w:jc w:val="left"/>
      </w:pPr>
      <w:r>
        <w:rPr>
          <w:rFonts w:ascii="Arial" w:hAnsi="Arial"/>
          <w:color w:val="525252"/>
          <w:sz w:val="13"/>
        </w:rPr>
        <w:t>We, as Airmen, must have the courage to take appropriate risks when necessary.</w:t>
      </w:r>
    </w:p>
    <w:p>
      <w:pPr>
        <w:spacing w:after="20" w:line="223" w:lineRule="auto"/>
        <w:jc w:val="right"/>
        <w:bidi/>
      </w:pPr>
      <w:r>
        <w:rPr>
          <w:rFonts w:ascii="Arial" w:hAnsi="Arial"/>
          <w:sz w:val="16"/>
        </w:rPr>
        <w:t>002.29  مردم گرا.</w:t>
      </w:r>
    </w:p>
    <w:p>
      <w:pPr>
        <w:spacing w:after="28" w:line="216" w:lineRule="auto"/>
        <w:ind w:left="259"/>
        <w:jc w:val="left"/>
      </w:pPr>
      <w:r>
        <w:rPr>
          <w:rFonts w:ascii="Arial" w:hAnsi="Arial"/>
          <w:color w:val="525252"/>
          <w:sz w:val="13"/>
        </w:rPr>
        <w:t>People-Oriented.</w:t>
      </w:r>
    </w:p>
    <w:p>
      <w:pPr>
        <w:spacing w:after="20" w:line="223" w:lineRule="auto"/>
        <w:jc w:val="right"/>
        <w:bidi/>
      </w:pPr>
      <w:r>
        <w:rPr>
          <w:rFonts w:ascii="Arial" w:hAnsi="Arial"/>
          <w:sz w:val="16"/>
        </w:rPr>
        <w:t>002.30  مهمترین منبع ما مردم هستند.</w:t>
      </w:r>
    </w:p>
    <w:p>
      <w:pPr>
        <w:spacing w:after="28" w:line="216" w:lineRule="auto"/>
        <w:ind w:left="259"/>
        <w:jc w:val="left"/>
      </w:pPr>
      <w:r>
        <w:rPr>
          <w:rFonts w:ascii="Arial" w:hAnsi="Arial"/>
          <w:color w:val="525252"/>
          <w:sz w:val="13"/>
        </w:rPr>
        <w:t>Our most important resource is people.</w:t>
      </w:r>
    </w:p>
    <w:p>
      <w:pPr>
        <w:spacing w:after="20" w:line="223" w:lineRule="auto"/>
        <w:jc w:val="right"/>
        <w:bidi/>
      </w:pPr>
      <w:r>
        <w:rPr>
          <w:rFonts w:ascii="Arial" w:hAnsi="Arial"/>
          <w:sz w:val="16"/>
        </w:rPr>
        <w:t>002.31  مراقبت از بال مردان وظیفه ماست.</w:t>
      </w:r>
    </w:p>
    <w:p>
      <w:pPr>
        <w:spacing w:after="28" w:line="216" w:lineRule="auto"/>
        <w:ind w:left="259"/>
        <w:jc w:val="left"/>
      </w:pPr>
      <w:r>
        <w:rPr>
          <w:rFonts w:ascii="Arial" w:hAnsi="Arial"/>
          <w:color w:val="525252"/>
          <w:sz w:val="13"/>
        </w:rPr>
        <w:t>Taking care of our wingmen is our duty.</w:t>
      </w:r>
    </w:p>
    <w:p>
      <w:pPr>
        <w:spacing w:after="20" w:line="223" w:lineRule="auto"/>
        <w:jc w:val="right"/>
        <w:bidi/>
      </w:pPr>
      <w:r>
        <w:rPr>
          <w:rFonts w:ascii="Arial" w:hAnsi="Arial"/>
          <w:sz w:val="16"/>
        </w:rPr>
        <w:t>002.32  ما یک نیروی یکپارچه هستیم - قوی، توانا و آماده.</w:t>
      </w:r>
    </w:p>
    <w:p>
      <w:pPr>
        <w:spacing w:after="28" w:line="216" w:lineRule="auto"/>
        <w:ind w:left="259"/>
        <w:jc w:val="left"/>
      </w:pPr>
      <w:r>
        <w:rPr>
          <w:rFonts w:ascii="Arial" w:hAnsi="Arial"/>
          <w:color w:val="525252"/>
          <w:sz w:val="13"/>
        </w:rPr>
        <w:t>We are an integrated force—strong, able, and ready.</w:t>
      </w:r>
    </w:p>
    <w:p>
      <w:pPr>
        <w:spacing w:after="20" w:line="223" w:lineRule="auto"/>
        <w:jc w:val="right"/>
        <w:bidi/>
      </w:pPr>
      <w:r>
        <w:rPr>
          <w:rFonts w:ascii="Arial" w:hAnsi="Arial"/>
          <w:sz w:val="16"/>
        </w:rPr>
        <w:t>002.33  ما به‌عنوان هوانوردی، سهم هر یک از اعضا را ارج می‌نهیم و به یکدیگر انگیزه می‌دهیم تا به برتری دست یابیم.</w:t>
      </w:r>
    </w:p>
    <w:p>
      <w:pPr>
        <w:spacing w:after="28" w:line="216" w:lineRule="auto"/>
        <w:ind w:left="259"/>
        <w:jc w:val="left"/>
      </w:pPr>
      <w:r>
        <w:rPr>
          <w:rFonts w:ascii="Arial" w:hAnsi="Arial"/>
          <w:color w:val="525252"/>
          <w:sz w:val="13"/>
        </w:rPr>
        <w:t>We, as Airmen, value the contribution of every member and motivate each other to achieve excellence.</w:t>
      </w:r>
    </w:p>
    <w:p>
      <w:pPr>
        <w:spacing w:after="20" w:line="223" w:lineRule="auto"/>
        <w:jc w:val="right"/>
        <w:bidi/>
      </w:pPr>
      <w:r>
        <w:rPr>
          <w:rFonts w:ascii="Arial" w:hAnsi="Arial"/>
          <w:sz w:val="16"/>
        </w:rPr>
        <w:t>002.34  ما همچنین وظیفه داریم رهبران را توسعه و توانمند کنیم.</w:t>
      </w:r>
    </w:p>
    <w:p>
      <w:pPr>
        <w:spacing w:after="28" w:line="216" w:lineRule="auto"/>
        <w:ind w:left="259"/>
        <w:jc w:val="left"/>
      </w:pPr>
      <w:r>
        <w:rPr>
          <w:rFonts w:ascii="Arial" w:hAnsi="Arial"/>
          <w:color w:val="525252"/>
          <w:sz w:val="13"/>
        </w:rPr>
        <w:t>We also have a duty to develop and empower leaders.</w:t>
      </w:r>
    </w:p>
    <w:p>
      <w:pPr>
        <w:spacing w:after="20" w:line="223" w:lineRule="auto"/>
        <w:jc w:val="right"/>
        <w:bidi/>
      </w:pPr>
      <w:r>
        <w:rPr>
          <w:rFonts w:ascii="Arial" w:hAnsi="Arial"/>
          <w:sz w:val="16"/>
        </w:rPr>
        <w:t>002.35  ما به همه کسانی که خدمت می‌کنند احترام می‌گذاریم و به آنها احترام می‌گذاریم، و وقتی اتحادهای خود را تقویت می‌کنیم — با هم قوی‌تر می‌شویم.</w:t>
      </w:r>
    </w:p>
    <w:p>
      <w:pPr>
        <w:spacing w:after="28" w:line="216" w:lineRule="auto"/>
        <w:ind w:left="259"/>
        <w:jc w:val="left"/>
      </w:pPr>
      <w:r>
        <w:rPr>
          <w:rFonts w:ascii="Arial" w:hAnsi="Arial"/>
          <w:color w:val="525252"/>
          <w:sz w:val="13"/>
        </w:rPr>
        <w:t>We honor and respect all who serve, and when we strengthen our alliances— we are stronger together.</w:t>
      </w:r>
    </w:p>
    <w:p>
      <w:r>
        <w:br w:type="page"/>
      </w:r>
    </w:p>
    <w:p>
      <w:pPr>
        <w:spacing w:after="60"/>
        <w:jc w:val="right"/>
        <w:bidi/>
      </w:pPr>
      <w:r>
        <w:rPr>
          <w:rFonts w:ascii="Arial" w:hAnsi="Arial"/>
          <w:b/>
          <w:color w:val="1F4D78"/>
          <w:sz w:val="19"/>
        </w:rPr>
        <w:t>هفتهٔ 3  |  صفحهٔ منبع: 19</w:t>
      </w:r>
    </w:p>
    <w:p>
      <w:pPr>
        <w:spacing w:before="60" w:after="28"/>
        <w:jc w:val="right"/>
        <w:bidi/>
      </w:pPr>
      <w:r>
        <w:rPr>
          <w:b/>
          <w:color w:val="1F4D78"/>
          <w:sz w:val="18"/>
        </w:rPr>
        <w:t>بخش 1B - حرفه اسلحه</w:t>
      </w:r>
    </w:p>
    <w:p>
      <w:pPr>
        <w:spacing w:after="20"/>
        <w:ind w:left="259"/>
        <w:jc w:val="left"/>
      </w:pPr>
      <w:r>
        <w:rPr>
          <w:color w:val="555555"/>
          <w:sz w:val="12"/>
        </w:rPr>
        <w:t>Section 1B—Profession of Arms</w:t>
      </w:r>
    </w:p>
    <w:p>
      <w:pPr>
        <w:spacing w:before="60" w:after="28"/>
        <w:jc w:val="right"/>
        <w:bidi/>
      </w:pPr>
      <w:r>
        <w:rPr>
          <w:b/>
          <w:color w:val="1F4D78"/>
          <w:sz w:val="18"/>
        </w:rPr>
        <w:t>1.2. حرفه اسلحه</w:t>
      </w:r>
    </w:p>
    <w:p>
      <w:pPr>
        <w:spacing w:after="20"/>
        <w:ind w:left="259"/>
        <w:jc w:val="left"/>
      </w:pPr>
      <w:r>
        <w:rPr>
          <w:color w:val="555555"/>
          <w:sz w:val="12"/>
        </w:rPr>
        <w:t>1.2. Profession of Arms</w:t>
      </w:r>
    </w:p>
    <w:p>
      <w:pPr>
        <w:spacing w:after="20" w:line="223" w:lineRule="auto"/>
        <w:jc w:val="right"/>
        <w:bidi/>
      </w:pPr>
      <w:r>
        <w:rPr>
          <w:rFonts w:ascii="Arial" w:hAnsi="Arial"/>
          <w:sz w:val="16"/>
        </w:rPr>
        <w:t>003.03  هیچ حرفه‌ای به اندازهٔ حرفهٔ نظامی از اعضایش انتظار ندارد.</w:t>
      </w:r>
    </w:p>
    <w:p>
      <w:pPr>
        <w:spacing w:after="28" w:line="216" w:lineRule="auto"/>
        <w:ind w:left="259"/>
        <w:jc w:val="left"/>
      </w:pPr>
      <w:r>
        <w:rPr>
          <w:rFonts w:ascii="Arial" w:hAnsi="Arial"/>
          <w:color w:val="525252"/>
          <w:sz w:val="13"/>
        </w:rPr>
        <w:t>No profession asks more of its members than the profession of arms.</w:t>
      </w:r>
    </w:p>
    <w:p>
      <w:pPr>
        <w:spacing w:after="20" w:line="223" w:lineRule="auto"/>
        <w:jc w:val="right"/>
        <w:bidi/>
      </w:pPr>
      <w:r>
        <w:rPr>
          <w:rFonts w:ascii="Arial" w:hAnsi="Arial"/>
          <w:sz w:val="16"/>
        </w:rPr>
        <w:t>003.04  همانطور که در عضو نیروی هوایی’س کرید بیان شده است، ما به تماس ملت خود پاسخ داده‌ایم.</w:t>
      </w:r>
    </w:p>
    <w:p>
      <w:pPr>
        <w:spacing w:after="28" w:line="216" w:lineRule="auto"/>
        <w:ind w:left="259"/>
        <w:jc w:val="left"/>
      </w:pPr>
      <w:r>
        <w:rPr>
          <w:rFonts w:ascii="Arial" w:hAnsi="Arial"/>
          <w:color w:val="525252"/>
          <w:sz w:val="13"/>
        </w:rPr>
        <w:t>As stated in our Airman’s Creed, we have answered our nation’s call.</w:t>
      </w:r>
    </w:p>
    <w:p>
      <w:pPr>
        <w:spacing w:after="20" w:line="223" w:lineRule="auto"/>
        <w:jc w:val="right"/>
        <w:bidi/>
      </w:pPr>
      <w:r>
        <w:rPr>
          <w:rFonts w:ascii="Arial" w:hAnsi="Arial"/>
          <w:sz w:val="16"/>
        </w:rPr>
        <w:t>003.05  این فراخوانی بالاتر است و با استاندارد بالاتری همراه است.</w:t>
      </w:r>
    </w:p>
    <w:p>
      <w:pPr>
        <w:spacing w:after="28" w:line="216" w:lineRule="auto"/>
        <w:ind w:left="259"/>
        <w:jc w:val="left"/>
      </w:pPr>
      <w:r>
        <w:rPr>
          <w:rFonts w:ascii="Arial" w:hAnsi="Arial"/>
          <w:color w:val="525252"/>
          <w:sz w:val="13"/>
        </w:rPr>
        <w:t>It is a higher calling, and it comes with a higher standard.</w:t>
      </w:r>
    </w:p>
    <w:p>
      <w:pPr>
        <w:spacing w:after="20" w:line="223" w:lineRule="auto"/>
        <w:jc w:val="right"/>
        <w:bidi/>
      </w:pPr>
      <w:r>
        <w:rPr>
          <w:rFonts w:ascii="Arial" w:hAnsi="Arial"/>
          <w:sz w:val="16"/>
        </w:rPr>
        <w:t>003.06  از آنجایی که تهدیدات سریع رقبای استراتژیک ما همچنان در حال رشد و تکامل هستند، بسیار مهم است که همه هوانوردان بدانند که حرفه آنها چگونه با مأموریت ما در امنیت ملی و دفاع از میهن ارتباط دارد.</w:t>
      </w:r>
    </w:p>
    <w:p>
      <w:pPr>
        <w:spacing w:after="28" w:line="216" w:lineRule="auto"/>
        <w:ind w:left="259"/>
        <w:jc w:val="left"/>
      </w:pPr>
      <w:r>
        <w:rPr>
          <w:rFonts w:ascii="Arial" w:hAnsi="Arial"/>
          <w:color w:val="525252"/>
          <w:sz w:val="13"/>
        </w:rPr>
        <w:t>As the pacing threats of our strategic competitors continue to grow and evolve, it’s crucial all Airmen understand how their profession connects with our mission of national security and defense of the homeland.</w:t>
      </w:r>
    </w:p>
    <w:p>
      <w:pPr>
        <w:spacing w:after="20" w:line="223" w:lineRule="auto"/>
        <w:jc w:val="right"/>
        <w:bidi/>
      </w:pPr>
      <w:r>
        <w:rPr>
          <w:rFonts w:ascii="Arial" w:hAnsi="Arial"/>
          <w:sz w:val="16"/>
        </w:rPr>
        <w:t>003.07  ژنرال رونالد فوگلمن، پانزدهمین رئیس ستاد نیروی هوایی، زمانی گفت: «ما صرفا به‌کاری دیگر مشغول نیستیم؛ ما از دست‌اندرکاران حرفهٔ نظامی هستیم.»</w:t>
      </w:r>
    </w:p>
    <w:p>
      <w:pPr>
        <w:spacing w:after="28" w:line="216" w:lineRule="auto"/>
        <w:ind w:left="259"/>
        <w:jc w:val="left"/>
      </w:pPr>
      <w:r>
        <w:rPr>
          <w:rFonts w:ascii="Arial" w:hAnsi="Arial"/>
          <w:color w:val="525252"/>
          <w:sz w:val="13"/>
        </w:rPr>
        <w:t>General Ronald Fogleman, our 15th Air Force Chief of Staff, once said, “We are not engaged in just another job; we are practitioners of the profession of arms.</w:t>
      </w:r>
    </w:p>
    <w:p>
      <w:pPr>
        <w:spacing w:after="20" w:line="223" w:lineRule="auto"/>
        <w:jc w:val="right"/>
        <w:bidi/>
      </w:pPr>
      <w:r>
        <w:rPr>
          <w:rFonts w:ascii="Arial" w:hAnsi="Arial"/>
          <w:sz w:val="16"/>
        </w:rPr>
        <w:t>003.08  امنیت ملت، حفاظت از شهروندان و حفظ سبک زندگی به ما سپرده شده است.</w:t>
      </w:r>
    </w:p>
    <w:p>
      <w:pPr>
        <w:spacing w:after="28" w:line="216" w:lineRule="auto"/>
        <w:ind w:left="259"/>
        <w:jc w:val="left"/>
      </w:pPr>
      <w:r>
        <w:rPr>
          <w:rFonts w:ascii="Arial" w:hAnsi="Arial"/>
          <w:color w:val="525252"/>
          <w:sz w:val="13"/>
        </w:rPr>
        <w:t>We are entrusted with the security of our nation, the protection of our citizens and the preservation of its way of life.</w:t>
      </w:r>
    </w:p>
    <w:p>
      <w:pPr>
        <w:spacing w:after="20" w:line="223" w:lineRule="auto"/>
        <w:jc w:val="right"/>
        <w:bidi/>
      </w:pPr>
      <w:r>
        <w:rPr>
          <w:rFonts w:ascii="Arial" w:hAnsi="Arial"/>
          <w:sz w:val="16"/>
        </w:rPr>
        <w:t>003.09  در این مقام، ما به‌عنوان نگهبانان آینده آمریکا خدمت می‌کنیم.</w:t>
      </w:r>
    </w:p>
    <w:p>
      <w:pPr>
        <w:spacing w:after="28" w:line="216" w:lineRule="auto"/>
        <w:ind w:left="259"/>
        <w:jc w:val="left"/>
      </w:pPr>
      <w:r>
        <w:rPr>
          <w:rFonts w:ascii="Arial" w:hAnsi="Arial"/>
          <w:color w:val="525252"/>
          <w:sz w:val="13"/>
        </w:rPr>
        <w:t>In this capacity, we serve as guardians of America’s future.</w:t>
      </w:r>
    </w:p>
    <w:p>
      <w:pPr>
        <w:spacing w:after="20" w:line="223" w:lineRule="auto"/>
        <w:jc w:val="right"/>
        <w:bidi/>
      </w:pPr>
      <w:r>
        <w:rPr>
          <w:rFonts w:ascii="Arial" w:hAnsi="Arial"/>
          <w:sz w:val="16"/>
        </w:rPr>
        <w:t>003.10  طبق ماهیت خود، این مسئولیت از ما می‌خواهد که نیازهای خدمات و کشورمان را بر نگرانی‌های شخصی ترجیح دهیم.» این مسئولیت به تک تک هوادارانی داده شد که دست راست خود را بالا بردند و سوگند یاد کردند که از قانون اساسی ایالات متحده حمایت و دفاع کنند.</w:t>
      </w:r>
    </w:p>
    <w:p>
      <w:pPr>
        <w:spacing w:after="28" w:line="216" w:lineRule="auto"/>
        <w:ind w:left="259"/>
        <w:jc w:val="left"/>
      </w:pPr>
      <w:r>
        <w:rPr>
          <w:rFonts w:ascii="Arial" w:hAnsi="Arial"/>
          <w:color w:val="525252"/>
          <w:sz w:val="13"/>
        </w:rPr>
        <w:t>By its very nature, this responsibility requires us to place the needs of our service and our country before personal concerns.” That responsibility was given to each and every Airman who raised their right hand and swore to support and defend the Constitution of the United States.</w:t>
      </w:r>
    </w:p>
    <w:p>
      <w:pPr>
        <w:spacing w:after="20" w:line="223" w:lineRule="auto"/>
        <w:jc w:val="right"/>
        <w:bidi/>
      </w:pPr>
      <w:r>
        <w:rPr>
          <w:rFonts w:ascii="Arial" w:hAnsi="Arial"/>
          <w:sz w:val="16"/>
        </w:rPr>
        <w:t>003.11  وقتی با یک سوگند مقدس به USAF ملحق شدیم، امانت مقدسی را از مردم آمریکا پذیرفتیم، امانتی که فراتر از هر چیز دیگری در جامعه است.</w:t>
      </w:r>
    </w:p>
    <w:p>
      <w:pPr>
        <w:spacing w:after="28" w:line="216" w:lineRule="auto"/>
        <w:ind w:left="259"/>
        <w:jc w:val="left"/>
      </w:pPr>
      <w:r>
        <w:rPr>
          <w:rFonts w:ascii="Arial" w:hAnsi="Arial"/>
          <w:color w:val="525252"/>
          <w:sz w:val="13"/>
        </w:rPr>
        <w:t>When we joined our USAF with a sacred oath, we accepted a sacred trust from the American people, one that goes beyond anything else in society.</w:t>
      </w:r>
    </w:p>
    <w:p>
      <w:pPr>
        <w:spacing w:after="20" w:line="223" w:lineRule="auto"/>
        <w:jc w:val="right"/>
        <w:bidi/>
      </w:pPr>
      <w:r>
        <w:rPr>
          <w:rFonts w:ascii="Arial" w:hAnsi="Arial"/>
          <w:sz w:val="16"/>
        </w:rPr>
        <w:t>003.12  به‌عنوان اعضای یک تیم مشترک، حرفه ما به دلیل تخصص ما در استفاده موجه از نیروی نظامی مرگبار و تمایل کسانی که فداکاری نهایی را برای ملت ما انجام می‌دهند، از سایرین متمایز است.</w:t>
      </w:r>
    </w:p>
    <w:p>
      <w:pPr>
        <w:spacing w:after="28" w:line="216" w:lineRule="auto"/>
        <w:ind w:left="259"/>
        <w:jc w:val="left"/>
      </w:pPr>
      <w:r>
        <w:rPr>
          <w:rFonts w:ascii="Arial" w:hAnsi="Arial"/>
          <w:color w:val="525252"/>
          <w:sz w:val="13"/>
        </w:rPr>
        <w:t>As members of a joint team, our profession is distinguished from others because of our expertise in the justified application of lethal military force and the willingness of those who pay the ultimate sacrifice for our nation.</w:t>
      </w:r>
    </w:p>
    <w:p>
      <w:pPr>
        <w:spacing w:after="20" w:line="223" w:lineRule="auto"/>
        <w:jc w:val="right"/>
        <w:bidi/>
      </w:pPr>
      <w:r>
        <w:rPr>
          <w:rFonts w:ascii="Arial" w:hAnsi="Arial"/>
          <w:sz w:val="16"/>
        </w:rPr>
        <w:t>003.13  هیچ حرفه دیگری از اعضایش انتظار ندارد که جان خود را برای دوستان، خانواده یا آزادی‌های خود فدا کنند... اما این همان چیزی است که حرفه ما به راحتی انتظار دارد.</w:t>
      </w:r>
    </w:p>
    <w:p>
      <w:pPr>
        <w:spacing w:after="28" w:line="216" w:lineRule="auto"/>
        <w:ind w:left="259"/>
        <w:jc w:val="left"/>
      </w:pPr>
      <w:r>
        <w:rPr>
          <w:rFonts w:ascii="Arial" w:hAnsi="Arial"/>
          <w:color w:val="525252"/>
          <w:sz w:val="13"/>
        </w:rPr>
        <w:t>No other profession expects its members to lay down their lives for their friends, families, or freedoms...but it’s what our profession readily expects.</w:t>
      </w:r>
    </w:p>
    <w:p>
      <w:r>
        <w:br w:type="page"/>
      </w:r>
    </w:p>
    <w:p>
      <w:pPr>
        <w:spacing w:after="60"/>
        <w:jc w:val="right"/>
        <w:bidi/>
      </w:pPr>
      <w:r>
        <w:rPr>
          <w:rFonts w:ascii="Arial" w:hAnsi="Arial"/>
          <w:b/>
          <w:color w:val="1F4D78"/>
          <w:sz w:val="19"/>
        </w:rPr>
        <w:t>هفتهٔ 4  |  صفحهٔ منبع: 20</w:t>
      </w:r>
    </w:p>
    <w:p>
      <w:pPr>
        <w:spacing w:before="60" w:after="28"/>
        <w:jc w:val="right"/>
        <w:bidi/>
      </w:pPr>
      <w:r>
        <w:rPr>
          <w:b/>
          <w:color w:val="1F4D78"/>
          <w:sz w:val="18"/>
        </w:rPr>
        <w:t>بخش 1C - ارزش‌های اصلی نیروی هوایی</w:t>
      </w:r>
    </w:p>
    <w:p>
      <w:pPr>
        <w:spacing w:after="20"/>
        <w:ind w:left="259"/>
        <w:jc w:val="left"/>
      </w:pPr>
      <w:r>
        <w:rPr>
          <w:color w:val="555555"/>
          <w:sz w:val="12"/>
        </w:rPr>
        <w:t>Section 1C—Air Force Core Values</w:t>
      </w:r>
    </w:p>
    <w:p>
      <w:pPr>
        <w:spacing w:before="60" w:after="28"/>
        <w:jc w:val="right"/>
        <w:bidi/>
      </w:pPr>
      <w:r>
        <w:rPr>
          <w:b/>
          <w:color w:val="1F4D78"/>
          <w:sz w:val="18"/>
        </w:rPr>
        <w:t>1.3. ارزش های اصلی نیروی هوایی</w:t>
      </w:r>
    </w:p>
    <w:p>
      <w:pPr>
        <w:spacing w:after="20"/>
        <w:ind w:left="259"/>
        <w:jc w:val="left"/>
      </w:pPr>
      <w:r>
        <w:rPr>
          <w:color w:val="555555"/>
          <w:sz w:val="12"/>
        </w:rPr>
        <w:t>1.3. Air Force Core Values</w:t>
      </w:r>
    </w:p>
    <w:p>
      <w:pPr>
        <w:spacing w:after="20" w:line="223" w:lineRule="auto"/>
        <w:jc w:val="right"/>
        <w:bidi/>
      </w:pPr>
      <w:r>
        <w:rPr>
          <w:rFonts w:ascii="Arial" w:hAnsi="Arial"/>
          <w:sz w:val="16"/>
        </w:rPr>
        <w:t>004.03  در قلب و روح حرفه ما، USAF ارزش‌های اصلی ما را به‌عنوان استانداردهای جهانی و ثابتی که برای ارزیابی جو اخلاقی همه سازمان‌های USAF استفاده می‌شود، می‌شناسد.</w:t>
      </w:r>
    </w:p>
    <w:p>
      <w:pPr>
        <w:spacing w:after="28" w:line="216" w:lineRule="auto"/>
        <w:ind w:left="259"/>
        <w:jc w:val="left"/>
      </w:pPr>
      <w:r>
        <w:rPr>
          <w:rFonts w:ascii="Arial" w:hAnsi="Arial"/>
          <w:color w:val="525252"/>
          <w:sz w:val="13"/>
        </w:rPr>
        <w:t>At the heart and soul of our profession, the USAF recognizes our core values as universal, consistent standards used to evaluate the ethical climate of all USAF organizations.</w:t>
      </w:r>
    </w:p>
    <w:p>
      <w:pPr>
        <w:spacing w:after="20" w:line="223" w:lineRule="auto"/>
        <w:jc w:val="right"/>
        <w:bidi/>
      </w:pPr>
      <w:r>
        <w:rPr>
          <w:rFonts w:ascii="Arial" w:hAnsi="Arial"/>
          <w:sz w:val="16"/>
        </w:rPr>
        <w:t>004.04  هنگامی که در دیگ جنگ مورد نیاز است، ارزش‌های اصلی چراغ‌هایی هستند که مسیر رفتار حرفه‌ای و عالی‌ترین آرمان‌ها را روشن می‌کنند.</w:t>
      </w:r>
    </w:p>
    <w:p>
      <w:pPr>
        <w:spacing w:after="28" w:line="216" w:lineRule="auto"/>
        <w:ind w:left="259"/>
        <w:jc w:val="left"/>
      </w:pPr>
      <w:r>
        <w:rPr>
          <w:rFonts w:ascii="Arial" w:hAnsi="Arial"/>
          <w:color w:val="525252"/>
          <w:sz w:val="13"/>
        </w:rPr>
        <w:t>When needed in the cauldron of war, core values are the beacons that light the path of professional conduct and the highest ideals.</w:t>
      </w:r>
    </w:p>
    <w:p>
      <w:pPr>
        <w:spacing w:after="20" w:line="223" w:lineRule="auto"/>
        <w:jc w:val="right"/>
        <w:bidi/>
      </w:pPr>
      <w:r>
        <w:rPr>
          <w:rFonts w:ascii="Arial" w:hAnsi="Arial"/>
          <w:sz w:val="16"/>
        </w:rPr>
        <w:t>004.05  اولا صداقت، خدمات قبل از خود، و برتری در هر کاری که انجام می‌دهیم ارزش‌ها بیانگر اصول راهنما و پایداری هستند که ما از آنها دفاع می‌کنیم.</w:t>
      </w:r>
    </w:p>
    <w:p>
      <w:pPr>
        <w:spacing w:after="28" w:line="216" w:lineRule="auto"/>
        <w:ind w:left="259"/>
        <w:jc w:val="left"/>
      </w:pPr>
      <w:r>
        <w:rPr>
          <w:rFonts w:ascii="Arial" w:hAnsi="Arial"/>
          <w:color w:val="525252"/>
          <w:sz w:val="13"/>
        </w:rPr>
        <w:t>Integrity First, Service Before Self, and Excellence In All We Do Values represent enduring, guiding principles for which we stand.</w:t>
      </w:r>
    </w:p>
    <w:p>
      <w:pPr>
        <w:spacing w:after="20" w:line="223" w:lineRule="auto"/>
        <w:jc w:val="right"/>
        <w:bidi/>
      </w:pPr>
      <w:r>
        <w:rPr>
          <w:rFonts w:ascii="Arial" w:hAnsi="Arial"/>
          <w:sz w:val="16"/>
        </w:rPr>
        <w:t>004.06  ارزش‌ها، مانند ارزش‌های اصلی USAF یعنی صداقت، خدمات و تعالی، باید انگیزه نگرش‌ها و اقدامات را در حین انجام وظیفه و خارج از وظیفه به‌عنوان اصول اخلاقی یا باورهای ضروری ایجاد کنند که در بالاترین حد رعایت می‌شوند.</w:t>
      </w:r>
    </w:p>
    <w:p>
      <w:pPr>
        <w:spacing w:after="28" w:line="216" w:lineRule="auto"/>
        <w:ind w:left="259"/>
        <w:jc w:val="left"/>
      </w:pPr>
      <w:r>
        <w:rPr>
          <w:rFonts w:ascii="Arial" w:hAnsi="Arial"/>
          <w:color w:val="525252"/>
          <w:sz w:val="13"/>
        </w:rPr>
        <w:t>Values, such as the USAF core values of integrity, service, and excellence, should motivate attitudes and actions on and off duty as essential moral principles or beliefs that are held in the highest regard.</w:t>
      </w:r>
    </w:p>
    <w:p>
      <w:pPr>
        <w:spacing w:after="20" w:line="223" w:lineRule="auto"/>
        <w:jc w:val="right"/>
        <w:bidi/>
      </w:pPr>
      <w:r>
        <w:rPr>
          <w:rFonts w:ascii="Arial" w:hAnsi="Arial"/>
          <w:sz w:val="16"/>
        </w:rPr>
        <w:t>004.07  ارزش‌های اصلی ما بیانگر اعتقادات راسخ USAF در مورد ماهیت شخصیت شخصی ما، تعهد ما به یکدیگر و ملت ما، و روشی است که ما خدمات خود را انجام می‌دهیم.</w:t>
      </w:r>
    </w:p>
    <w:p>
      <w:pPr>
        <w:spacing w:after="28" w:line="216" w:lineRule="auto"/>
        <w:ind w:left="259"/>
        <w:jc w:val="left"/>
      </w:pPr>
      <w:r>
        <w:rPr>
          <w:rFonts w:ascii="Arial" w:hAnsi="Arial"/>
          <w:color w:val="525252"/>
          <w:sz w:val="13"/>
        </w:rPr>
        <w:t>Our core values represent the USAF’s firm convictions about the nature of our personal character, our commitment to each other and our nation, and the manner in which we perform our service.</w:t>
      </w:r>
    </w:p>
    <w:p>
      <w:pPr>
        <w:spacing w:after="20" w:line="223" w:lineRule="auto"/>
        <w:jc w:val="right"/>
        <w:bidi/>
      </w:pPr>
      <w:r>
        <w:rPr>
          <w:rFonts w:ascii="Arial" w:hAnsi="Arial"/>
          <w:sz w:val="16"/>
        </w:rPr>
        <w:t>004.08  ارزش‌های اصلی آنقدر اساسی هستند که هویت ما را از طریق پیوند مشترک میان همه هوانوردان حرفه‌ای - گذشته و حال - تعریف می‌کنند.</w:t>
      </w:r>
    </w:p>
    <w:p>
      <w:pPr>
        <w:spacing w:after="28" w:line="216" w:lineRule="auto"/>
        <w:ind w:left="259"/>
        <w:jc w:val="left"/>
      </w:pPr>
      <w:r>
        <w:rPr>
          <w:rFonts w:ascii="Arial" w:hAnsi="Arial"/>
          <w:color w:val="525252"/>
          <w:sz w:val="13"/>
        </w:rPr>
        <w:t>Core values are so fundamental that they define our very identity through a common bond among all professional Airmen—past and present.</w:t>
      </w:r>
    </w:p>
    <w:p>
      <w:pPr>
        <w:spacing w:after="20" w:line="223" w:lineRule="auto"/>
        <w:jc w:val="right"/>
        <w:bidi/>
      </w:pPr>
      <w:r>
        <w:rPr>
          <w:rFonts w:ascii="Arial" w:hAnsi="Arial"/>
          <w:sz w:val="16"/>
        </w:rPr>
        <w:t>004.09  بودن بخشی از جامعه افتخار آمیز USAF ما مستلزم تعهد به زندگی با این ارزش‌ها در هر زمان است.</w:t>
      </w:r>
    </w:p>
    <w:p>
      <w:pPr>
        <w:spacing w:after="28" w:line="216" w:lineRule="auto"/>
        <w:ind w:left="259"/>
        <w:jc w:val="left"/>
      </w:pPr>
      <w:r>
        <w:rPr>
          <w:rFonts w:ascii="Arial" w:hAnsi="Arial"/>
          <w:color w:val="525252"/>
          <w:sz w:val="13"/>
        </w:rPr>
        <w:t>Being a part of our proud USAF community requires a commitment to living by these values at all times.</w:t>
      </w:r>
    </w:p>
    <w:p>
      <w:pPr>
        <w:spacing w:after="20" w:line="223" w:lineRule="auto"/>
        <w:jc w:val="right"/>
        <w:bidi/>
      </w:pPr>
      <w:r>
        <w:rPr>
          <w:rFonts w:ascii="Arial" w:hAnsi="Arial"/>
          <w:sz w:val="16"/>
        </w:rPr>
        <w:t>004.10  انعکاس ارزش‌های اصلی USAF در زندگی شخصی و حرفه‌ای یک چالش است که باید هر روز با آن روبرو شد.</w:t>
      </w:r>
    </w:p>
    <w:p>
      <w:pPr>
        <w:spacing w:after="28" w:line="216" w:lineRule="auto"/>
        <w:ind w:left="259"/>
        <w:jc w:val="left"/>
      </w:pPr>
      <w:r>
        <w:rPr>
          <w:rFonts w:ascii="Arial" w:hAnsi="Arial"/>
          <w:color w:val="525252"/>
          <w:sz w:val="13"/>
        </w:rPr>
        <w:t>Reflecting the USAF core values in one’s personal and professional lives is a challenge that must be faced every day.</w:t>
      </w:r>
    </w:p>
    <w:p>
      <w:pPr>
        <w:spacing w:after="20" w:line="223" w:lineRule="auto"/>
        <w:jc w:val="right"/>
        <w:bidi/>
      </w:pPr>
      <w:r>
        <w:rPr>
          <w:rFonts w:ascii="Arial" w:hAnsi="Arial"/>
          <w:sz w:val="16"/>
        </w:rPr>
        <w:t>004.11  با انجام این کار، ما میراث را ارج می‌نهیم و میراث کسانی را که قبل از ما خدمت کردند و فداکاری کردند، ادامه می‌دهیم.</w:t>
      </w:r>
    </w:p>
    <w:p>
      <w:pPr>
        <w:spacing w:after="28" w:line="216" w:lineRule="auto"/>
        <w:ind w:left="259"/>
        <w:jc w:val="left"/>
      </w:pPr>
      <w:r>
        <w:rPr>
          <w:rFonts w:ascii="Arial" w:hAnsi="Arial"/>
          <w:color w:val="525252"/>
          <w:sz w:val="13"/>
        </w:rPr>
        <w:t>In doing so, we honor the heritage and continue the legacy of those who served before us and sacrificed so much.</w:t>
      </w:r>
    </w:p>
    <w:p>
      <w:pPr>
        <w:spacing w:after="20" w:line="223" w:lineRule="auto"/>
        <w:jc w:val="right"/>
        <w:bidi/>
      </w:pPr>
      <w:r>
        <w:rPr>
          <w:rFonts w:ascii="Arial" w:hAnsi="Arial"/>
          <w:sz w:val="16"/>
        </w:rPr>
        <w:t>004.12  از طریق این همسویی اقدامات ما با این ارزش‌ها است که ما به‌عنوان یک USAF اعتماد عمومی را جلب می‌کنیم، خدمات خود را تقویت می‌کنیم و مأموریت خود را انجام می‌دهیم.</w:t>
      </w:r>
    </w:p>
    <w:p>
      <w:pPr>
        <w:spacing w:after="28" w:line="216" w:lineRule="auto"/>
        <w:ind w:left="259"/>
        <w:jc w:val="left"/>
      </w:pPr>
      <w:r>
        <w:rPr>
          <w:rFonts w:ascii="Arial" w:hAnsi="Arial"/>
          <w:color w:val="525252"/>
          <w:sz w:val="13"/>
        </w:rPr>
        <w:t>It is through this alignment of our actions with these values that we, as a USAF, earn the public’s trust, strengthen our service, and accomplish our mission.</w:t>
      </w:r>
    </w:p>
    <w:p>
      <w:pPr>
        <w:spacing w:after="20" w:line="223" w:lineRule="auto"/>
        <w:jc w:val="right"/>
        <w:bidi/>
      </w:pPr>
      <w:r>
        <w:rPr>
          <w:rFonts w:ascii="Arial" w:hAnsi="Arial"/>
          <w:sz w:val="16"/>
        </w:rPr>
        <w:t>004.13  این انتظار حرفه ما است و استانداردی است که همکاران خدماتی ما و عموم مردم آمریکا ما را به آن می‌دانند.</w:t>
      </w:r>
    </w:p>
    <w:p>
      <w:pPr>
        <w:spacing w:after="28" w:line="216" w:lineRule="auto"/>
        <w:ind w:left="259"/>
        <w:jc w:val="left"/>
      </w:pPr>
      <w:r>
        <w:rPr>
          <w:rFonts w:ascii="Arial" w:hAnsi="Arial"/>
          <w:color w:val="525252"/>
          <w:sz w:val="13"/>
        </w:rPr>
        <w:t>This is the expectation of our profession and is the standard that our fellow service members and the American public hold us to.</w:t>
      </w:r>
    </w:p>
    <w:p>
      <w:pPr>
        <w:spacing w:after="20" w:line="223" w:lineRule="auto"/>
        <w:jc w:val="right"/>
        <w:bidi/>
      </w:pPr>
      <w:r>
        <w:rPr>
          <w:rFonts w:ascii="Arial" w:hAnsi="Arial"/>
          <w:sz w:val="16"/>
        </w:rPr>
        <w:t>004.14  فضایل ارزش‌های اصلی هر یک از ارزش‌های اصلی USAF بیشتر با فضایل (رفتارها و ویژگی‌های مطلوب) تعریف می‌شود که باید در زندگی روزمره خود تمرین کرده و نشان دهیم، و نشان می‌دهد که ما واقعا یکپارچگی، خدمات و برتری را ارزش قائل هستیم.</w:t>
      </w:r>
    </w:p>
    <w:p>
      <w:pPr>
        <w:spacing w:after="28" w:line="216" w:lineRule="auto"/>
        <w:ind w:left="259"/>
        <w:jc w:val="left"/>
      </w:pPr>
      <w:r>
        <w:rPr>
          <w:rFonts w:ascii="Arial" w:hAnsi="Arial"/>
          <w:color w:val="525252"/>
          <w:sz w:val="13"/>
        </w:rPr>
        <w:t>Virtues of Core Values Each of the USAF core values is further defined by virtues (desired behaviors and characteristics) we must practice and demonstrate in our daily lives, showing we truly do value integrity, service, and excellence.</w:t>
      </w:r>
    </w:p>
    <w:p>
      <w:pPr>
        <w:spacing w:after="20" w:line="223" w:lineRule="auto"/>
        <w:jc w:val="right"/>
        <w:bidi/>
      </w:pPr>
      <w:r>
        <w:rPr>
          <w:rFonts w:ascii="Arial" w:hAnsi="Arial"/>
          <w:sz w:val="16"/>
        </w:rPr>
        <w:t>004.15  تمرین مداوم این فضیلت‌ها منجر به عادات فکر و عمل شرافتمندانه می‌شود و یک متخصص USAF ایجاد می‌کند.</w:t>
      </w:r>
    </w:p>
    <w:p>
      <w:pPr>
        <w:spacing w:after="28" w:line="216" w:lineRule="auto"/>
        <w:ind w:left="259"/>
        <w:jc w:val="left"/>
      </w:pPr>
      <w:r>
        <w:rPr>
          <w:rFonts w:ascii="Arial" w:hAnsi="Arial"/>
          <w:color w:val="525252"/>
          <w:sz w:val="13"/>
        </w:rPr>
        <w:t>Consistently practicing these virtues results in habits of honorable thought and action, producing a USAF professional.</w:t>
      </w:r>
    </w:p>
    <w:p>
      <w:pPr>
        <w:spacing w:after="20" w:line="223" w:lineRule="auto"/>
        <w:jc w:val="right"/>
        <w:bidi/>
      </w:pPr>
      <w:r>
        <w:rPr>
          <w:rFonts w:ascii="Arial" w:hAnsi="Arial"/>
          <w:sz w:val="16"/>
        </w:rPr>
        <w:t>004.16  حرفه‌ای بودن USAF یک باور مشترک و تعهد به خدمات شرافتمندانه بر اساس ارزش‌های اصلی USAF ما است.</w:t>
      </w:r>
    </w:p>
    <w:p>
      <w:pPr>
        <w:spacing w:after="28" w:line="216" w:lineRule="auto"/>
        <w:ind w:left="259"/>
        <w:jc w:val="left"/>
      </w:pPr>
      <w:r>
        <w:rPr>
          <w:rFonts w:ascii="Arial" w:hAnsi="Arial"/>
          <w:color w:val="525252"/>
          <w:sz w:val="13"/>
        </w:rPr>
        <w:t>USAF professionalism is a shared belief in, and a commitment to, honorable service based on our USAF core values.</w:t>
      </w:r>
    </w:p>
    <w:p>
      <w:pPr>
        <w:spacing w:after="20" w:line="223" w:lineRule="auto"/>
        <w:jc w:val="right"/>
        <w:bidi/>
      </w:pPr>
      <w:r>
        <w:rPr>
          <w:rFonts w:ascii="Arial" w:hAnsi="Arial"/>
          <w:sz w:val="16"/>
        </w:rPr>
        <w:t>004.17  ۱.۳.۱.</w:t>
      </w:r>
    </w:p>
    <w:p>
      <w:pPr>
        <w:spacing w:after="28" w:line="216" w:lineRule="auto"/>
        <w:ind w:left="259"/>
        <w:jc w:val="left"/>
      </w:pPr>
      <w:r>
        <w:rPr>
          <w:rFonts w:ascii="Arial" w:hAnsi="Arial"/>
          <w:color w:val="525252"/>
          <w:sz w:val="13"/>
        </w:rPr>
        <w:t>1.3.1.</w:t>
      </w:r>
    </w:p>
    <w:p>
      <w:pPr>
        <w:spacing w:after="20" w:line="223" w:lineRule="auto"/>
        <w:jc w:val="right"/>
        <w:bidi/>
      </w:pPr>
      <w:r>
        <w:rPr>
          <w:rFonts w:ascii="Arial" w:hAnsi="Arial"/>
          <w:sz w:val="16"/>
        </w:rPr>
        <w:t>004.18  صداقت اول یکپارچگی بستری برای تلاش‌های نظامی ما فراهم می‌کند و با خدمات به کشور تقویت می‌شود.</w:t>
      </w:r>
    </w:p>
    <w:p>
      <w:pPr>
        <w:spacing w:after="28" w:line="216" w:lineRule="auto"/>
        <w:ind w:left="259"/>
        <w:jc w:val="left"/>
      </w:pPr>
      <w:r>
        <w:rPr>
          <w:rFonts w:ascii="Arial" w:hAnsi="Arial"/>
          <w:color w:val="525252"/>
          <w:sz w:val="13"/>
        </w:rPr>
        <w:t>Integrity First Integrity provides the bedrock for our military endeavors and is fortified by service to country.</w:t>
      </w:r>
    </w:p>
    <w:p>
      <w:pPr>
        <w:spacing w:after="20" w:line="223" w:lineRule="auto"/>
        <w:jc w:val="right"/>
        <w:bidi/>
      </w:pPr>
      <w:r>
        <w:rPr>
          <w:rFonts w:ascii="Arial" w:hAnsi="Arial"/>
          <w:sz w:val="16"/>
        </w:rPr>
        <w:t>004.19  صداقت شامل بسیاری از ویژگی‌های ضروری برای هوانوردان است و ما را به آنچه هستیم و آنچه را که برای آن ایستاده‌ایم تبدیل می‌کند.</w:t>
      </w:r>
    </w:p>
    <w:p>
      <w:pPr>
        <w:spacing w:after="28" w:line="216" w:lineRule="auto"/>
        <w:ind w:left="259"/>
        <w:jc w:val="left"/>
      </w:pPr>
      <w:r>
        <w:rPr>
          <w:rFonts w:ascii="Arial" w:hAnsi="Arial"/>
          <w:color w:val="525252"/>
          <w:sz w:val="13"/>
        </w:rPr>
        <w:t>Integrity encompasses many characteristics indispensable to Airmen and makes us who we are and what we stand for.</w:t>
      </w:r>
    </w:p>
    <w:p>
      <w:pPr>
        <w:spacing w:after="20" w:line="223" w:lineRule="auto"/>
        <w:jc w:val="right"/>
        <w:bidi/>
      </w:pPr>
      <w:r>
        <w:rPr>
          <w:rFonts w:ascii="Arial" w:hAnsi="Arial"/>
          <w:sz w:val="16"/>
        </w:rPr>
        <w:t>004.20  این قطب‌نما است که ما را در مسیر درست در هنگام مواجهه با چالش‌های اخلاقی و وسوسه‌های شخصی نگه می‌دارد و پایه‌ای است که اعتماد و احترام بر آن بنا می‌شود.</w:t>
      </w:r>
    </w:p>
    <w:p>
      <w:pPr>
        <w:spacing w:after="28" w:line="216" w:lineRule="auto"/>
        <w:ind w:left="259"/>
        <w:jc w:val="left"/>
      </w:pPr>
      <w:r>
        <w:rPr>
          <w:rFonts w:ascii="Arial" w:hAnsi="Arial"/>
          <w:color w:val="525252"/>
          <w:sz w:val="13"/>
        </w:rPr>
        <w:t>It is the compass that keeps us on the right path when we are confronted with ethical challenges and personal temptations, and it is the foundation upon which trust, and respect are built.</w:t>
      </w:r>
    </w:p>
    <w:p>
      <w:pPr>
        <w:spacing w:after="20" w:line="223" w:lineRule="auto"/>
        <w:jc w:val="right"/>
        <w:bidi/>
      </w:pPr>
      <w:r>
        <w:rPr>
          <w:rFonts w:ascii="Arial" w:hAnsi="Arial"/>
          <w:sz w:val="16"/>
        </w:rPr>
        <w:t>004.21  صداقت به سادگی انجام کار درست است، در تمام مدت، چه همه در حال تماشا باشند و چه هیچ کس تماشا نمی‌کنند.</w:t>
      </w:r>
    </w:p>
    <w:p>
      <w:pPr>
        <w:spacing w:after="28" w:line="216" w:lineRule="auto"/>
        <w:ind w:left="259"/>
        <w:jc w:val="left"/>
      </w:pPr>
      <w:r>
        <w:rPr>
          <w:rFonts w:ascii="Arial" w:hAnsi="Arial"/>
          <w:color w:val="525252"/>
          <w:sz w:val="13"/>
        </w:rPr>
        <w:t>Integrity is simply doing the right thing, all the time, whether everyone is watching, or no one is watching.</w:t>
      </w:r>
    </w:p>
    <w:p>
      <w:pPr>
        <w:spacing w:after="20" w:line="223" w:lineRule="auto"/>
        <w:jc w:val="right"/>
        <w:bidi/>
      </w:pPr>
      <w:r>
        <w:rPr>
          <w:rFonts w:ascii="Arial" w:hAnsi="Arial"/>
          <w:sz w:val="16"/>
        </w:rPr>
        <w:t>004.22  یک فرد زمانی متوجه صداقت می‌شود که افکار و اعمال با آنچه که می‌داند درست است همسو باشند.</w:t>
      </w:r>
    </w:p>
    <w:p>
      <w:pPr>
        <w:spacing w:after="28" w:line="216" w:lineRule="auto"/>
        <w:ind w:left="259"/>
        <w:jc w:val="left"/>
      </w:pPr>
      <w:r>
        <w:rPr>
          <w:rFonts w:ascii="Arial" w:hAnsi="Arial"/>
          <w:color w:val="525252"/>
          <w:sz w:val="13"/>
        </w:rPr>
        <w:t>An individual realizes integrity when thoughts and actions align with what he or she knows to be right.</w:t>
      </w:r>
    </w:p>
    <w:p>
      <w:pPr>
        <w:spacing w:after="20" w:line="223" w:lineRule="auto"/>
        <w:jc w:val="right"/>
        <w:bidi/>
      </w:pPr>
      <w:r>
        <w:rPr>
          <w:rFonts w:ascii="Arial" w:hAnsi="Arial"/>
          <w:sz w:val="16"/>
        </w:rPr>
        <w:t>004.23  رعایت اصول، شرافت عمل کردن، حفظ قضاوت مستقل و انجام وظایف با بی طرفی، به حفظ صداقت و جلوگیری از تضاد منافع کمک می‌کند.</w:t>
      </w:r>
    </w:p>
    <w:p>
      <w:pPr>
        <w:spacing w:after="28" w:line="216" w:lineRule="auto"/>
        <w:ind w:left="259"/>
        <w:jc w:val="left"/>
      </w:pPr>
      <w:r>
        <w:rPr>
          <w:rFonts w:ascii="Arial" w:hAnsi="Arial"/>
          <w:color w:val="525252"/>
          <w:sz w:val="13"/>
        </w:rPr>
        <w:t>Following principles, acting with honor, maintaining independent judgment, and performing duties with impartiality, help to maintain integrity and avoid conflicts of interest.</w:t>
      </w:r>
    </w:p>
    <w:p>
      <w:pPr>
        <w:spacing w:after="20" w:line="223" w:lineRule="auto"/>
        <w:jc w:val="right"/>
        <w:bidi/>
      </w:pPr>
      <w:r>
        <w:rPr>
          <w:rFonts w:ascii="Arial" w:hAnsi="Arial"/>
          <w:sz w:val="16"/>
        </w:rPr>
        <w:t>004.24  احترام، شالودهٔ حرفهٔ نظامی ماست و همواره چنین بوده است.</w:t>
      </w:r>
    </w:p>
    <w:p>
      <w:pPr>
        <w:spacing w:after="28" w:line="216" w:lineRule="auto"/>
        <w:ind w:left="259"/>
        <w:jc w:val="left"/>
      </w:pPr>
      <w:r>
        <w:rPr>
          <w:rFonts w:ascii="Arial" w:hAnsi="Arial"/>
          <w:color w:val="525252"/>
          <w:sz w:val="13"/>
        </w:rPr>
        <w:t>“The foundation of our Profession of Arms is, and has always been, respect.</w:t>
      </w:r>
    </w:p>
    <w:p>
      <w:pPr>
        <w:spacing w:after="20" w:line="223" w:lineRule="auto"/>
        <w:jc w:val="right"/>
        <w:bidi/>
      </w:pPr>
      <w:r>
        <w:rPr>
          <w:rFonts w:ascii="Arial" w:hAnsi="Arial"/>
          <w:sz w:val="16"/>
        </w:rPr>
        <w:t>004.25  این یک اصل غیرقابل مذاکره است که از صداقت، خدمات و تعالی نیروی هوایی بزرگ ما پشتیبانی می‌کند.</w:t>
      </w:r>
    </w:p>
    <w:p>
      <w:pPr>
        <w:spacing w:after="28" w:line="216" w:lineRule="auto"/>
        <w:ind w:left="259"/>
        <w:jc w:val="left"/>
      </w:pPr>
      <w:r>
        <w:rPr>
          <w:rFonts w:ascii="Arial" w:hAnsi="Arial"/>
          <w:color w:val="525252"/>
          <w:sz w:val="13"/>
        </w:rPr>
        <w:t>That is a non-negotiable principle that supports the Integrity, Service and Excellence of our great Air Force.</w:t>
      </w:r>
    </w:p>
    <w:p>
      <w:pPr>
        <w:spacing w:after="20" w:line="223" w:lineRule="auto"/>
        <w:jc w:val="right"/>
        <w:bidi/>
      </w:pPr>
      <w:r>
        <w:rPr>
          <w:rFonts w:ascii="Arial" w:hAnsi="Arial"/>
          <w:sz w:val="16"/>
        </w:rPr>
        <w:t>004.26  این سنگ بنای فرهنگی است که ما در نیروی هوایی به آن نیاز داریم.</w:t>
      </w:r>
    </w:p>
    <w:p>
      <w:pPr>
        <w:spacing w:after="28" w:line="216" w:lineRule="auto"/>
        <w:ind w:left="259"/>
        <w:jc w:val="left"/>
      </w:pPr>
      <w:r>
        <w:rPr>
          <w:rFonts w:ascii="Arial" w:hAnsi="Arial"/>
          <w:color w:val="525252"/>
          <w:sz w:val="13"/>
        </w:rPr>
        <w:t>It is the cornerstone of the culture we need in our Air Force.”</w:t>
      </w:r>
    </w:p>
    <w:p>
      <w:r>
        <w:br w:type="page"/>
      </w:r>
    </w:p>
    <w:p>
      <w:pPr>
        <w:spacing w:after="60"/>
        <w:jc w:val="right"/>
        <w:bidi/>
      </w:pPr>
      <w:r>
        <w:rPr>
          <w:rFonts w:ascii="Arial" w:hAnsi="Arial"/>
          <w:b/>
          <w:color w:val="1F4D78"/>
          <w:sz w:val="19"/>
        </w:rPr>
        <w:t>هفتهٔ 5  |  صفحهٔ منبع: 21</w:t>
      </w:r>
    </w:p>
    <w:p>
      <w:pPr>
        <w:spacing w:after="40"/>
        <w:jc w:val="right"/>
        <w:bidi/>
      </w:pPr>
      <w:r>
        <w:rPr>
          <w:i/>
          <w:color w:val="555555"/>
          <w:sz w:val="14"/>
        </w:rPr>
        <w:t>CMSAF JoAnne S. Bass, 19th Chief Master Sergeant of the Air Force</w:t>
      </w:r>
    </w:p>
    <w:p>
      <w:pPr>
        <w:spacing w:before="60" w:after="28"/>
        <w:jc w:val="right"/>
        <w:bidi/>
      </w:pPr>
      <w:r>
        <w:rPr>
          <w:b/>
          <w:color w:val="1F4D78"/>
          <w:sz w:val="18"/>
        </w:rPr>
        <w:t>فضایل صداقت</w:t>
      </w:r>
    </w:p>
    <w:p>
      <w:pPr>
        <w:spacing w:after="20"/>
        <w:ind w:left="259"/>
        <w:jc w:val="left"/>
      </w:pPr>
      <w:r>
        <w:rPr>
          <w:color w:val="555555"/>
          <w:sz w:val="12"/>
        </w:rPr>
        <w:t>Virtues of Integrity</w:t>
      </w:r>
    </w:p>
    <w:p>
      <w:pPr>
        <w:spacing w:after="20" w:line="223" w:lineRule="auto"/>
        <w:jc w:val="right"/>
        <w:bidi/>
      </w:pPr>
      <w:r>
        <w:rPr>
          <w:rFonts w:ascii="Arial" w:hAnsi="Arial"/>
          <w:sz w:val="16"/>
        </w:rPr>
        <w:t>005.03  فضائل صداقت اول صداقت، شجاعت و مسئولیت پذیری است.</w:t>
      </w:r>
    </w:p>
    <w:p>
      <w:pPr>
        <w:spacing w:after="28" w:line="216" w:lineRule="auto"/>
        <w:ind w:left="259"/>
        <w:jc w:val="left"/>
      </w:pPr>
      <w:r>
        <w:rPr>
          <w:rFonts w:ascii="Arial" w:hAnsi="Arial"/>
          <w:color w:val="525252"/>
          <w:sz w:val="13"/>
        </w:rPr>
        <w:t>The virtues of Integrity First are honesty, courage, and accountability.</w:t>
      </w:r>
    </w:p>
    <w:p>
      <w:pPr>
        <w:spacing w:after="20" w:line="223" w:lineRule="auto"/>
        <w:jc w:val="right"/>
        <w:bidi/>
      </w:pPr>
      <w:r>
        <w:rPr>
          <w:rFonts w:ascii="Arial" w:hAnsi="Arial"/>
          <w:sz w:val="16"/>
        </w:rPr>
        <w:t>005.04  صداقت.</w:t>
      </w:r>
    </w:p>
    <w:p>
      <w:pPr>
        <w:spacing w:after="28" w:line="216" w:lineRule="auto"/>
        <w:ind w:left="259"/>
        <w:jc w:val="left"/>
      </w:pPr>
      <w:r>
        <w:rPr>
          <w:rFonts w:ascii="Arial" w:hAnsi="Arial"/>
          <w:color w:val="525252"/>
          <w:sz w:val="13"/>
        </w:rPr>
        <w:t>Honesty.</w:t>
      </w:r>
    </w:p>
    <w:p>
      <w:pPr>
        <w:spacing w:after="20" w:line="223" w:lineRule="auto"/>
        <w:jc w:val="right"/>
        <w:bidi/>
      </w:pPr>
      <w:r>
        <w:rPr>
          <w:rFonts w:ascii="Arial" w:hAnsi="Arial"/>
          <w:sz w:val="16"/>
        </w:rPr>
        <w:t>005.05  صداقت نشانه صداقت است.</w:t>
      </w:r>
    </w:p>
    <w:p>
      <w:pPr>
        <w:spacing w:after="28" w:line="216" w:lineRule="auto"/>
        <w:ind w:left="259"/>
        <w:jc w:val="left"/>
      </w:pPr>
      <w:r>
        <w:rPr>
          <w:rFonts w:ascii="Arial" w:hAnsi="Arial"/>
          <w:color w:val="525252"/>
          <w:sz w:val="13"/>
        </w:rPr>
        <w:t>Honesty is the hallmark of integrity.</w:t>
      </w:r>
    </w:p>
    <w:p>
      <w:pPr>
        <w:spacing w:after="20" w:line="223" w:lineRule="auto"/>
        <w:jc w:val="right"/>
        <w:bidi/>
      </w:pPr>
      <w:r>
        <w:rPr>
          <w:rFonts w:ascii="Arial" w:hAnsi="Arial"/>
          <w:sz w:val="16"/>
        </w:rPr>
        <w:t>005.06  به‌عنوان کارمندان عمومی، ما نمایندگان قابل اعتمادی هستیم.</w:t>
      </w:r>
    </w:p>
    <w:p>
      <w:pPr>
        <w:spacing w:after="28" w:line="216" w:lineRule="auto"/>
        <w:ind w:left="259"/>
        <w:jc w:val="left"/>
      </w:pPr>
      <w:r>
        <w:rPr>
          <w:rFonts w:ascii="Arial" w:hAnsi="Arial"/>
          <w:color w:val="525252"/>
          <w:sz w:val="13"/>
        </w:rPr>
        <w:t>As public servants, we are trusted agents.</w:t>
      </w:r>
    </w:p>
    <w:p>
      <w:pPr>
        <w:spacing w:after="20" w:line="223" w:lineRule="auto"/>
        <w:jc w:val="right"/>
        <w:bidi/>
      </w:pPr>
      <w:r>
        <w:rPr>
          <w:rFonts w:ascii="Arial" w:hAnsi="Arial"/>
          <w:sz w:val="16"/>
        </w:rPr>
        <w:t>005.07  صداقت از ما می‌خواهد که عملکرد خود را بر اساس استانداردها ارزیابی کنیم و یافته‌ها را با وجدان و دقت گزارش کنیم.</w:t>
      </w:r>
    </w:p>
    <w:p>
      <w:pPr>
        <w:spacing w:after="28" w:line="216" w:lineRule="auto"/>
        <w:ind w:left="259"/>
        <w:jc w:val="left"/>
      </w:pPr>
      <w:r>
        <w:rPr>
          <w:rFonts w:ascii="Arial" w:hAnsi="Arial"/>
          <w:color w:val="525252"/>
          <w:sz w:val="13"/>
        </w:rPr>
        <w:t>Honesty requires us to evaluate our performance against standards, and to conscientiously and accurately report findings.</w:t>
      </w:r>
    </w:p>
    <w:p>
      <w:pPr>
        <w:spacing w:after="20" w:line="223" w:lineRule="auto"/>
        <w:jc w:val="right"/>
        <w:bidi/>
      </w:pPr>
      <w:r>
        <w:rPr>
          <w:rFonts w:ascii="Arial" w:hAnsi="Arial"/>
          <w:sz w:val="16"/>
        </w:rPr>
        <w:t>005.08  حرف ما باید بی چون و چرا باشد.</w:t>
      </w:r>
    </w:p>
    <w:p>
      <w:pPr>
        <w:spacing w:after="28" w:line="216" w:lineRule="auto"/>
        <w:ind w:left="259"/>
        <w:jc w:val="left"/>
      </w:pPr>
      <w:r>
        <w:rPr>
          <w:rFonts w:ascii="Arial" w:hAnsi="Arial"/>
          <w:color w:val="525252"/>
          <w:sz w:val="13"/>
        </w:rPr>
        <w:t>Our word must be unquestionable.</w:t>
      </w:r>
    </w:p>
    <w:p>
      <w:pPr>
        <w:spacing w:after="20" w:line="223" w:lineRule="auto"/>
        <w:jc w:val="right"/>
        <w:bidi/>
      </w:pPr>
      <w:r>
        <w:rPr>
          <w:rFonts w:ascii="Arial" w:hAnsi="Arial"/>
          <w:sz w:val="16"/>
        </w:rPr>
        <w:t>005.09  این تنها راه برای حفظ اعتماد و احترامی است که برای یکدیگر و جمعیتی که به آن خدمت می‌کنیم بسیار عزیز هستیم.</w:t>
      </w:r>
    </w:p>
    <w:p>
      <w:pPr>
        <w:spacing w:after="28" w:line="216" w:lineRule="auto"/>
        <w:ind w:left="259"/>
        <w:jc w:val="left"/>
      </w:pPr>
      <w:r>
        <w:rPr>
          <w:rFonts w:ascii="Arial" w:hAnsi="Arial"/>
          <w:color w:val="525252"/>
          <w:sz w:val="13"/>
        </w:rPr>
        <w:t>This is the only way to preserve the trust and respect that we hold so dear for one another and the population we serve.</w:t>
      </w:r>
    </w:p>
    <w:p>
      <w:pPr>
        <w:spacing w:after="20" w:line="223" w:lineRule="auto"/>
        <w:jc w:val="right"/>
        <w:bidi/>
      </w:pPr>
      <w:r>
        <w:rPr>
          <w:rFonts w:ascii="Arial" w:hAnsi="Arial"/>
          <w:sz w:val="16"/>
        </w:rPr>
        <w:t>005.10  شجاعت.</w:t>
      </w:r>
    </w:p>
    <w:p>
      <w:pPr>
        <w:spacing w:after="28" w:line="216" w:lineRule="auto"/>
        <w:ind w:left="259"/>
        <w:jc w:val="left"/>
      </w:pPr>
      <w:r>
        <w:rPr>
          <w:rFonts w:ascii="Arial" w:hAnsi="Arial"/>
          <w:color w:val="525252"/>
          <w:sz w:val="13"/>
        </w:rPr>
        <w:t>Courage.</w:t>
      </w:r>
    </w:p>
    <w:p>
      <w:pPr>
        <w:spacing w:after="20" w:line="223" w:lineRule="auto"/>
        <w:jc w:val="right"/>
        <w:bidi/>
      </w:pPr>
      <w:r>
        <w:rPr>
          <w:rFonts w:ascii="Arial" w:hAnsi="Arial"/>
          <w:sz w:val="16"/>
        </w:rPr>
        <w:t>005.11  شجاعت فقدان ترس نیست بلکه انجام کار درست با وجود ترس است.</w:t>
      </w:r>
    </w:p>
    <w:p>
      <w:pPr>
        <w:spacing w:after="28" w:line="216" w:lineRule="auto"/>
        <w:ind w:left="259"/>
        <w:jc w:val="left"/>
      </w:pPr>
      <w:r>
        <w:rPr>
          <w:rFonts w:ascii="Arial" w:hAnsi="Arial"/>
          <w:color w:val="525252"/>
          <w:sz w:val="13"/>
        </w:rPr>
        <w:t>Courage is not the absence of fear but doing the right thing despite fear.</w:t>
      </w:r>
    </w:p>
    <w:p>
      <w:pPr>
        <w:spacing w:after="20" w:line="223" w:lineRule="auto"/>
        <w:jc w:val="right"/>
        <w:bidi/>
      </w:pPr>
      <w:r>
        <w:rPr>
          <w:rFonts w:ascii="Arial" w:hAnsi="Arial"/>
          <w:sz w:val="16"/>
        </w:rPr>
        <w:t>005.12  شجاعت به ما قدرت می‌دهد تا ریسک‌های شخصی یا حرفه‌ای لازم را بپذیریم، تصمیماتی بگیریم که ممکن است محبوبیت نداشته باشند و اشتباهات خود را بپذیریم.</w:t>
      </w:r>
    </w:p>
    <w:p>
      <w:pPr>
        <w:spacing w:after="28" w:line="216" w:lineRule="auto"/>
        <w:ind w:left="259"/>
        <w:jc w:val="left"/>
      </w:pPr>
      <w:r>
        <w:rPr>
          <w:rFonts w:ascii="Arial" w:hAnsi="Arial"/>
          <w:color w:val="525252"/>
          <w:sz w:val="13"/>
        </w:rPr>
        <w:t>Courage empowers us to take necessary personal or professional risks, make decisions that may be unpopular, and admit our mistakes.</w:t>
      </w:r>
    </w:p>
    <w:p>
      <w:pPr>
        <w:spacing w:after="20" w:line="223" w:lineRule="auto"/>
        <w:jc w:val="right"/>
        <w:bidi/>
      </w:pPr>
      <w:r>
        <w:rPr>
          <w:rFonts w:ascii="Arial" w:hAnsi="Arial"/>
          <w:sz w:val="16"/>
        </w:rPr>
        <w:t>005.13  داشتن شجاعت برای انجام این اقدامات برای مأموریت، نیروی هوایی ایالات متحده آمریکا و ملت بسیار مهم است.</w:t>
      </w:r>
    </w:p>
    <w:p>
      <w:pPr>
        <w:spacing w:after="28" w:line="216" w:lineRule="auto"/>
        <w:ind w:left="259"/>
        <w:jc w:val="left"/>
      </w:pPr>
      <w:r>
        <w:rPr>
          <w:rFonts w:ascii="Arial" w:hAnsi="Arial"/>
          <w:color w:val="525252"/>
          <w:sz w:val="13"/>
        </w:rPr>
        <w:t>Having the courage to take these actions is crucial for the mission, the USAF, and the nation.</w:t>
      </w:r>
    </w:p>
    <w:p>
      <w:pPr>
        <w:spacing w:after="20" w:line="223" w:lineRule="auto"/>
        <w:jc w:val="right"/>
        <w:bidi/>
      </w:pPr>
      <w:r>
        <w:rPr>
          <w:rFonts w:ascii="Arial" w:hAnsi="Arial"/>
          <w:sz w:val="16"/>
        </w:rPr>
        <w:t>005.14  پاسخگویی.</w:t>
      </w:r>
    </w:p>
    <w:p>
      <w:pPr>
        <w:spacing w:after="28" w:line="216" w:lineRule="auto"/>
        <w:ind w:left="259"/>
        <w:jc w:val="left"/>
      </w:pPr>
      <w:r>
        <w:rPr>
          <w:rFonts w:ascii="Arial" w:hAnsi="Arial"/>
          <w:color w:val="525252"/>
          <w:sz w:val="13"/>
        </w:rPr>
        <w:t>Accountability.</w:t>
      </w:r>
    </w:p>
    <w:p>
      <w:pPr>
        <w:spacing w:after="20" w:line="223" w:lineRule="auto"/>
        <w:jc w:val="right"/>
        <w:bidi/>
      </w:pPr>
      <w:r>
        <w:rPr>
          <w:rFonts w:ascii="Arial" w:hAnsi="Arial"/>
          <w:sz w:val="16"/>
        </w:rPr>
        <w:t>005.15  مسئولیت پذیری در عین حفظ شفافیت و مالکیت نسبت به اقداماتمان، خواه مردم آمریکا، واحدهای ما، سرپرستان ما، همتایان ما، خانواده‌ها، عزیزانمان و حتی خودمان، مسئولیت ما را القا می‌کند.</w:t>
      </w:r>
    </w:p>
    <w:p>
      <w:pPr>
        <w:spacing w:after="28" w:line="216" w:lineRule="auto"/>
        <w:ind w:left="259"/>
        <w:jc w:val="left"/>
      </w:pPr>
      <w:r>
        <w:rPr>
          <w:rFonts w:ascii="Arial" w:hAnsi="Arial"/>
          <w:color w:val="525252"/>
          <w:sz w:val="13"/>
        </w:rPr>
        <w:t>Accountability instills our responsibility while maintaining transparency and ownership for our actions, whether it is the American people, our units, our supervisors, our fellow Airmen, our families, our loved ones, and even ourselves.</w:t>
      </w:r>
    </w:p>
    <w:p>
      <w:pPr>
        <w:spacing w:after="20" w:line="223" w:lineRule="auto"/>
        <w:jc w:val="right"/>
        <w:bidi/>
      </w:pPr>
      <w:r>
        <w:rPr>
          <w:rFonts w:ascii="Arial" w:hAnsi="Arial"/>
          <w:sz w:val="16"/>
        </w:rPr>
        <w:t>005.16  افراد پاسخگو شفافیت را حفظ می‌کنند، به دنبال بازخورد صادقانه و سازنده هستند و بر نتایج اعمال و تصمیمات خود مالکیت می‌کنند.</w:t>
      </w:r>
    </w:p>
    <w:p>
      <w:pPr>
        <w:spacing w:after="28" w:line="216" w:lineRule="auto"/>
        <w:ind w:left="259"/>
        <w:jc w:val="left"/>
      </w:pPr>
      <w:r>
        <w:rPr>
          <w:rFonts w:ascii="Arial" w:hAnsi="Arial"/>
          <w:color w:val="525252"/>
          <w:sz w:val="13"/>
        </w:rPr>
        <w:t>Accountable individuals maintain transparency, seek honest and constructive feedback, and take ownership of the outcomes of their actions and decisions.</w:t>
      </w:r>
    </w:p>
    <w:p>
      <w:pPr>
        <w:spacing w:after="20" w:line="223" w:lineRule="auto"/>
        <w:jc w:val="right"/>
        <w:bidi/>
      </w:pPr>
      <w:r>
        <w:rPr>
          <w:rFonts w:ascii="Arial" w:hAnsi="Arial"/>
          <w:sz w:val="16"/>
        </w:rPr>
        <w:t>005.17  ۱.۳.۲.</w:t>
      </w:r>
    </w:p>
    <w:p>
      <w:pPr>
        <w:spacing w:after="28" w:line="216" w:lineRule="auto"/>
        <w:ind w:left="259"/>
        <w:jc w:val="left"/>
      </w:pPr>
      <w:r>
        <w:rPr>
          <w:rFonts w:ascii="Arial" w:hAnsi="Arial"/>
          <w:color w:val="525252"/>
          <w:sz w:val="13"/>
        </w:rPr>
        <w:t>1.3.2.</w:t>
      </w:r>
    </w:p>
    <w:p>
      <w:pPr>
        <w:spacing w:after="20" w:line="223" w:lineRule="auto"/>
        <w:jc w:val="right"/>
        <w:bidi/>
      </w:pPr>
      <w:r>
        <w:rPr>
          <w:rFonts w:ascii="Arial" w:hAnsi="Arial"/>
          <w:sz w:val="16"/>
        </w:rPr>
        <w:t>005.18  خدمت قبل از خود خدمتی قبل از خود نشان دهنده وقف پایدار به فضیلت قدیمی نظامی فداکاری فداکارانه به وظیفه است، از جمله به خطر انداختن جان خود در صورت درخواست برای انجام این کار.</w:t>
      </w:r>
    </w:p>
    <w:p>
      <w:pPr>
        <w:spacing w:after="28" w:line="216" w:lineRule="auto"/>
        <w:ind w:left="259"/>
        <w:jc w:val="left"/>
      </w:pPr>
      <w:r>
        <w:rPr>
          <w:rFonts w:ascii="Arial" w:hAnsi="Arial"/>
          <w:color w:val="525252"/>
          <w:sz w:val="13"/>
        </w:rPr>
        <w:t>Service Before Self Service Before Self represents an abiding dedication to the age-old military virtue of selfless dedication to duty, including putting one’s life at risk if called to do so.</w:t>
      </w:r>
    </w:p>
    <w:p>
      <w:pPr>
        <w:spacing w:after="20" w:line="223" w:lineRule="auto"/>
        <w:jc w:val="right"/>
        <w:bidi/>
      </w:pPr>
      <w:r>
        <w:rPr>
          <w:rFonts w:ascii="Arial" w:hAnsi="Arial"/>
          <w:sz w:val="16"/>
        </w:rPr>
        <w:t>005.19  سرویس قبل از خود به ما می‌گوید که وظایف حرفه‌ای بر خواسته‌های شخصی ارجحیت دارد.</w:t>
      </w:r>
    </w:p>
    <w:p>
      <w:pPr>
        <w:spacing w:after="28" w:line="216" w:lineRule="auto"/>
        <w:ind w:left="259"/>
        <w:jc w:val="left"/>
      </w:pPr>
      <w:r>
        <w:rPr>
          <w:rFonts w:ascii="Arial" w:hAnsi="Arial"/>
          <w:color w:val="525252"/>
          <w:sz w:val="13"/>
        </w:rPr>
        <w:t>Service Before Self tells us that professional duties take precedence over personal desires.</w:t>
      </w:r>
    </w:p>
    <w:p>
      <w:pPr>
        <w:spacing w:after="20" w:line="223" w:lineRule="auto"/>
        <w:jc w:val="right"/>
        <w:bidi/>
      </w:pPr>
      <w:r>
        <w:rPr>
          <w:rFonts w:ascii="Arial" w:hAnsi="Arial"/>
          <w:sz w:val="16"/>
        </w:rPr>
        <w:t>005.20  نیروهای هوایی اعضای حرفهٔ نظامی‌اند و امنیت کشور، حفاظت از شهروندان و پاسداری از شیوهٔ زندگی آنان به ایشان سپرده شده است.</w:t>
      </w:r>
    </w:p>
    <w:p>
      <w:pPr>
        <w:spacing w:after="28" w:line="216" w:lineRule="auto"/>
        <w:ind w:left="259"/>
        <w:jc w:val="left"/>
      </w:pPr>
      <w:r>
        <w:rPr>
          <w:rFonts w:ascii="Arial" w:hAnsi="Arial"/>
          <w:color w:val="525252"/>
          <w:sz w:val="13"/>
        </w:rPr>
        <w:t>Airmen are practitioners of the profession of arms, entrusted with the security of the nation, the protection of its citizens, and the preservation of their way of life.</w:t>
      </w:r>
    </w:p>
    <w:p>
      <w:pPr>
        <w:spacing w:after="20" w:line="223" w:lineRule="auto"/>
        <w:jc w:val="right"/>
        <w:bidi/>
      </w:pPr>
      <w:r>
        <w:rPr>
          <w:rFonts w:ascii="Arial" w:hAnsi="Arial"/>
          <w:sz w:val="16"/>
        </w:rPr>
        <w:t>005.21  در این مقام، نیروهای هوایی به‌عنوان نگهبانان آینده آمریکا خدمت می‌کنند و این مسئولیت مستلزم آن است که نیازهای خدمات و کشور بر نیازهای ما مقدم باشد.</w:t>
      </w:r>
    </w:p>
    <w:p>
      <w:pPr>
        <w:spacing w:after="28" w:line="216" w:lineRule="auto"/>
        <w:ind w:left="259"/>
        <w:jc w:val="left"/>
      </w:pPr>
      <w:r>
        <w:rPr>
          <w:rFonts w:ascii="Arial" w:hAnsi="Arial"/>
          <w:color w:val="525252"/>
          <w:sz w:val="13"/>
        </w:rPr>
        <w:t>In this capacity, Airmen serve as guardians of America’s future, and this responsibility requires the needs of service and country to be placed before our own.</w:t>
      </w:r>
    </w:p>
    <w:p>
      <w:pPr>
        <w:spacing w:after="20" w:line="223" w:lineRule="auto"/>
        <w:jc w:val="right"/>
        <w:bidi/>
      </w:pPr>
      <w:r>
        <w:rPr>
          <w:rFonts w:ascii="Arial" w:hAnsi="Arial"/>
          <w:sz w:val="16"/>
        </w:rPr>
        <w:t>005.22  در دنیای امروز، خدمت به کشور نه تنها به مهارت بالایی نیاز دارد، بلکه به تمایل به فداکاری شخصی نیز نیاز دارد.</w:t>
      </w:r>
    </w:p>
    <w:p>
      <w:pPr>
        <w:spacing w:after="28" w:line="216" w:lineRule="auto"/>
        <w:ind w:left="259"/>
        <w:jc w:val="left"/>
      </w:pPr>
      <w:r>
        <w:rPr>
          <w:rFonts w:ascii="Arial" w:hAnsi="Arial"/>
          <w:color w:val="525252"/>
          <w:sz w:val="13"/>
        </w:rPr>
        <w:t>In today’s world, service to country requires not only a high degree of skill, but also a willingness to make personal sacrifices.</w:t>
      </w:r>
    </w:p>
    <w:p>
      <w:pPr>
        <w:spacing w:after="20" w:line="223" w:lineRule="auto"/>
        <w:jc w:val="right"/>
        <w:bidi/>
      </w:pPr>
      <w:r>
        <w:rPr>
          <w:rFonts w:ascii="Arial" w:hAnsi="Arial"/>
          <w:sz w:val="16"/>
        </w:rPr>
        <w:t>005.23  نیازمند داشتن قلب و طرز فکر برای خدمات است که به ما امکان می‌دهد انتظارات و الزاماتی را که بر عموم مردم آمریکا یا سایر حرفه‌ها اعمال نمی‌شود، بپذیریم.</w:t>
      </w:r>
    </w:p>
    <w:p>
      <w:pPr>
        <w:spacing w:after="28" w:line="216" w:lineRule="auto"/>
        <w:ind w:left="259"/>
        <w:jc w:val="left"/>
      </w:pPr>
      <w:r>
        <w:rPr>
          <w:rFonts w:ascii="Arial" w:hAnsi="Arial"/>
          <w:color w:val="525252"/>
          <w:sz w:val="13"/>
        </w:rPr>
        <w:t>It requires having the heart and mindset for service that allows us to embrace expectations and requirements not levied on the American public or other professions.</w:t>
      </w:r>
    </w:p>
    <w:p>
      <w:pPr>
        <w:spacing w:after="20" w:line="223" w:lineRule="auto"/>
        <w:jc w:val="right"/>
        <w:bidi/>
      </w:pPr>
      <w:r>
        <w:rPr>
          <w:rFonts w:ascii="Arial" w:hAnsi="Arial"/>
          <w:sz w:val="16"/>
        </w:rPr>
        <w:t>005.24  فضایل خدمت پیش از خود.</w:t>
      </w:r>
    </w:p>
    <w:p>
      <w:pPr>
        <w:spacing w:after="28" w:line="216" w:lineRule="auto"/>
        <w:ind w:left="259"/>
        <w:jc w:val="left"/>
      </w:pPr>
      <w:r>
        <w:rPr>
          <w:rFonts w:ascii="Arial" w:hAnsi="Arial"/>
          <w:color w:val="525252"/>
          <w:sz w:val="13"/>
        </w:rPr>
        <w:t>Virtues of Service Before Self.</w:t>
      </w:r>
    </w:p>
    <w:p>
      <w:pPr>
        <w:spacing w:after="20" w:line="223" w:lineRule="auto"/>
        <w:jc w:val="right"/>
        <w:bidi/>
      </w:pPr>
      <w:r>
        <w:rPr>
          <w:rFonts w:ascii="Arial" w:hAnsi="Arial"/>
          <w:sz w:val="16"/>
        </w:rPr>
        <w:t>005.25  فضایل خدمت پیش از خود وظیفه، وفاداری و احترام است.</w:t>
      </w:r>
    </w:p>
    <w:p>
      <w:pPr>
        <w:spacing w:after="28" w:line="216" w:lineRule="auto"/>
        <w:ind w:left="259"/>
        <w:jc w:val="left"/>
      </w:pPr>
      <w:r>
        <w:rPr>
          <w:rFonts w:ascii="Arial" w:hAnsi="Arial"/>
          <w:color w:val="525252"/>
          <w:sz w:val="13"/>
        </w:rPr>
        <w:t>The virtues of Service Before Self are duty, loyalty, and respect.</w:t>
      </w:r>
    </w:p>
    <w:p>
      <w:pPr>
        <w:spacing w:after="20" w:line="223" w:lineRule="auto"/>
        <w:jc w:val="right"/>
        <w:bidi/>
      </w:pPr>
      <w:r>
        <w:rPr>
          <w:rFonts w:ascii="Arial" w:hAnsi="Arial"/>
          <w:sz w:val="16"/>
        </w:rPr>
        <w:t>005.26  وظیفه.</w:t>
      </w:r>
    </w:p>
    <w:p>
      <w:pPr>
        <w:spacing w:after="28" w:line="216" w:lineRule="auto"/>
        <w:ind w:left="259"/>
        <w:jc w:val="left"/>
      </w:pPr>
      <w:r>
        <w:rPr>
          <w:rFonts w:ascii="Arial" w:hAnsi="Arial"/>
          <w:color w:val="525252"/>
          <w:sz w:val="13"/>
        </w:rPr>
        <w:t>Duty.</w:t>
      </w:r>
    </w:p>
    <w:p>
      <w:pPr>
        <w:spacing w:after="20" w:line="223" w:lineRule="auto"/>
        <w:jc w:val="right"/>
        <w:bidi/>
      </w:pPr>
      <w:r>
        <w:rPr>
          <w:rFonts w:ascii="Arial" w:hAnsi="Arial"/>
          <w:sz w:val="16"/>
        </w:rPr>
        <w:t>005.27  وظیفه عبارت است از تعهد به انجام آنچه برای مأموریت لازم است.</w:t>
      </w:r>
    </w:p>
    <w:p>
      <w:pPr>
        <w:spacing w:after="28" w:line="216" w:lineRule="auto"/>
        <w:ind w:left="259"/>
        <w:jc w:val="left"/>
      </w:pPr>
      <w:r>
        <w:rPr>
          <w:rFonts w:ascii="Arial" w:hAnsi="Arial"/>
          <w:color w:val="525252"/>
          <w:sz w:val="13"/>
        </w:rPr>
        <w:t>Duty is the obligation to perform what is required for the mission.</w:t>
      </w:r>
    </w:p>
    <w:p>
      <w:pPr>
        <w:spacing w:after="20" w:line="223" w:lineRule="auto"/>
        <w:jc w:val="right"/>
        <w:bidi/>
      </w:pPr>
      <w:r>
        <w:rPr>
          <w:rFonts w:ascii="Arial" w:hAnsi="Arial"/>
          <w:sz w:val="16"/>
        </w:rPr>
        <w:t>005.28  در حالی که مسئولیت‌های ما توسط قانون، وزارت دفاع و دستورالعمل‌ها، دستورالعمل‌ها و رهنمودهای USAF تعیین می‌شود، احساس وظیفه ما یک احساس شخصی است و به سوگند خدمتی که به‌عنوان فردی پذیرفته‌ایم متعهد است.</w:t>
      </w:r>
    </w:p>
    <w:p>
      <w:pPr>
        <w:spacing w:after="28" w:line="216" w:lineRule="auto"/>
        <w:ind w:left="259"/>
        <w:jc w:val="left"/>
      </w:pPr>
      <w:r>
        <w:rPr>
          <w:rFonts w:ascii="Arial" w:hAnsi="Arial"/>
          <w:color w:val="525252"/>
          <w:sz w:val="13"/>
        </w:rPr>
        <w:t>While our responsibilities are determined by the law, the Department of Defense, and USAF instructions, directives, and guidance, our sense of duty is a personal one and bound by the oath of service we took as individuals.</w:t>
      </w:r>
    </w:p>
    <w:p>
      <w:pPr>
        <w:spacing w:after="20" w:line="223" w:lineRule="auto"/>
        <w:jc w:val="right"/>
        <w:bidi/>
      </w:pPr>
      <w:r>
        <w:rPr>
          <w:rFonts w:ascii="Arial" w:hAnsi="Arial"/>
          <w:sz w:val="16"/>
        </w:rPr>
        <w:t>005.29  وظیفه گاهی فداکاری می‌کند به گونه‌ای که هیچ حرفه دیگری ندارد و نخواهد.</w:t>
      </w:r>
    </w:p>
    <w:p>
      <w:pPr>
        <w:spacing w:after="28" w:line="216" w:lineRule="auto"/>
        <w:ind w:left="259"/>
        <w:jc w:val="left"/>
      </w:pPr>
      <w:r>
        <w:rPr>
          <w:rFonts w:ascii="Arial" w:hAnsi="Arial"/>
          <w:color w:val="525252"/>
          <w:sz w:val="13"/>
        </w:rPr>
        <w:t>Duty sometimes calls for sacrifice in ways no other profession has or will.</w:t>
      </w:r>
    </w:p>
    <w:p>
      <w:pPr>
        <w:spacing w:after="20" w:line="223" w:lineRule="auto"/>
        <w:jc w:val="right"/>
        <w:bidi/>
      </w:pPr>
      <w:r>
        <w:rPr>
          <w:rFonts w:ascii="Arial" w:hAnsi="Arial"/>
          <w:sz w:val="16"/>
        </w:rPr>
        <w:t>005.30  هوانوردانی که واقعا خدمات قبل از خود را تجسم می‌دهند، پیوسته فداکاری‌های لازم را برای انجام مأموریت انجام می‌دهند، و در انجام این کار، ما به کسانی که فداکاری نهایی را انجام دادند، قدردانی می‌کنیم.</w:t>
      </w:r>
    </w:p>
    <w:p>
      <w:pPr>
        <w:spacing w:after="28" w:line="216" w:lineRule="auto"/>
        <w:ind w:left="259"/>
        <w:jc w:val="left"/>
      </w:pPr>
      <w:r>
        <w:rPr>
          <w:rFonts w:ascii="Arial" w:hAnsi="Arial"/>
          <w:color w:val="525252"/>
          <w:sz w:val="13"/>
        </w:rPr>
        <w:t>Airmen who truly embody Service Before Self consistently choose to make necessary sacrifices to accomplish the mission, and in doing so, we honor those who made the ultimate sacrifice.</w:t>
      </w:r>
    </w:p>
    <w:p>
      <w:pPr>
        <w:spacing w:after="20" w:line="223" w:lineRule="auto"/>
        <w:jc w:val="right"/>
        <w:bidi/>
      </w:pPr>
      <w:r>
        <w:rPr>
          <w:rFonts w:ascii="Arial" w:hAnsi="Arial"/>
          <w:sz w:val="16"/>
        </w:rPr>
        <w:t>005.31  وفاداری.</w:t>
      </w:r>
    </w:p>
    <w:p>
      <w:pPr>
        <w:spacing w:after="28" w:line="216" w:lineRule="auto"/>
        <w:ind w:left="259"/>
        <w:jc w:val="left"/>
      </w:pPr>
      <w:r>
        <w:rPr>
          <w:rFonts w:ascii="Arial" w:hAnsi="Arial"/>
          <w:color w:val="525252"/>
          <w:sz w:val="13"/>
        </w:rPr>
        <w:t>Loyalty.</w:t>
      </w:r>
    </w:p>
    <w:p>
      <w:pPr>
        <w:spacing w:after="20" w:line="223" w:lineRule="auto"/>
        <w:jc w:val="right"/>
        <w:bidi/>
      </w:pPr>
      <w:r>
        <w:rPr>
          <w:rFonts w:ascii="Arial" w:hAnsi="Arial"/>
          <w:sz w:val="16"/>
        </w:rPr>
        <w:t>005.32  وفاداری تعهد درونی به موفقیت و حفظ چیزی بزرگتر از خودمان است.</w:t>
      </w:r>
    </w:p>
    <w:p>
      <w:pPr>
        <w:spacing w:after="28" w:line="216" w:lineRule="auto"/>
        <w:ind w:left="259"/>
        <w:jc w:val="left"/>
      </w:pPr>
      <w:r>
        <w:rPr>
          <w:rFonts w:ascii="Arial" w:hAnsi="Arial"/>
          <w:color w:val="525252"/>
          <w:sz w:val="13"/>
        </w:rPr>
        <w:t>Loyalty is an internal commitment to the success and preservation of something bigger than ourselves.</w:t>
      </w:r>
    </w:p>
    <w:p>
      <w:pPr>
        <w:spacing w:after="20" w:line="223" w:lineRule="auto"/>
        <w:jc w:val="right"/>
        <w:bidi/>
      </w:pPr>
      <w:r>
        <w:rPr>
          <w:rFonts w:ascii="Arial" w:hAnsi="Arial"/>
          <w:sz w:val="16"/>
        </w:rPr>
        <w:t>005.33  وفاداری ما در درجه اول به ملت، ارزش‌ها و تعهدات USAF ما در مرحله دوم، و در نهایت به مردان و زنانی است که با آنها خدمت می‌کنیم.</w:t>
      </w:r>
    </w:p>
    <w:p>
      <w:pPr>
        <w:spacing w:after="28" w:line="216" w:lineRule="auto"/>
        <w:ind w:left="259"/>
        <w:jc w:val="left"/>
      </w:pPr>
      <w:r>
        <w:rPr>
          <w:rFonts w:ascii="Arial" w:hAnsi="Arial"/>
          <w:color w:val="525252"/>
          <w:sz w:val="13"/>
        </w:rPr>
        <w:t>Our loyalty is to the nation first, the values and commitments of our USAF second, and finally to the men and women with whom we serve.</w:t>
      </w:r>
    </w:p>
    <w:p>
      <w:pPr>
        <w:spacing w:after="20" w:line="223" w:lineRule="auto"/>
        <w:jc w:val="right"/>
        <w:bidi/>
      </w:pPr>
      <w:r>
        <w:rPr>
          <w:rFonts w:ascii="Arial" w:hAnsi="Arial"/>
          <w:sz w:val="16"/>
        </w:rPr>
        <w:t>005.34  وفاداری به رهبران ما مستلزم اعتماد، پیروی و اجرای تصمیمات آنهاست، حتی زمانی که مخالفیم.</w:t>
      </w:r>
    </w:p>
    <w:p>
      <w:pPr>
        <w:spacing w:after="28" w:line="216" w:lineRule="auto"/>
        <w:ind w:left="259"/>
        <w:jc w:val="left"/>
      </w:pPr>
      <w:r>
        <w:rPr>
          <w:rFonts w:ascii="Arial" w:hAnsi="Arial"/>
          <w:color w:val="525252"/>
          <w:sz w:val="13"/>
        </w:rPr>
        <w:t>Loyalty to our leaders requires us to trust, follow, and execute their decisions, even when we disagree.</w:t>
      </w:r>
    </w:p>
    <w:p>
      <w:pPr>
        <w:spacing w:after="20" w:line="223" w:lineRule="auto"/>
        <w:jc w:val="right"/>
        <w:bidi/>
      </w:pPr>
      <w:r>
        <w:rPr>
          <w:rFonts w:ascii="Arial" w:hAnsi="Arial"/>
          <w:sz w:val="16"/>
        </w:rPr>
        <w:t>005.35  ما راه‌حل‌های جایگزین و ایده‌های نوآورانه را از طریق زنجیره فرماندهی به بهترین نحو ارائه می‌کنیم.</w:t>
      </w:r>
    </w:p>
    <w:p>
      <w:pPr>
        <w:spacing w:after="28" w:line="216" w:lineRule="auto"/>
        <w:ind w:left="259"/>
        <w:jc w:val="left"/>
      </w:pPr>
      <w:r>
        <w:rPr>
          <w:rFonts w:ascii="Arial" w:hAnsi="Arial"/>
          <w:color w:val="525252"/>
          <w:sz w:val="13"/>
        </w:rPr>
        <w:t>We offer alternative solutions and innovative ideas most effectively through the chain of command.</w:t>
      </w:r>
    </w:p>
    <w:p>
      <w:pPr>
        <w:spacing w:after="20" w:line="223" w:lineRule="auto"/>
        <w:jc w:val="right"/>
        <w:bidi/>
      </w:pPr>
      <w:r>
        <w:rPr>
          <w:rFonts w:ascii="Arial" w:hAnsi="Arial"/>
          <w:sz w:val="16"/>
        </w:rPr>
        <w:t>005.36  رهبران وفاداری خود را با احترام به کسانی که خدمت می‌کنند و با احترام، دلسوزی و توجه واقعی به رفاه و پیشرفت حرفه‌ای با آنها رفتار می‌کنند، نشان می‌دهند.</w:t>
      </w:r>
    </w:p>
    <w:p>
      <w:pPr>
        <w:spacing w:after="28" w:line="216" w:lineRule="auto"/>
        <w:ind w:left="259"/>
        <w:jc w:val="left"/>
      </w:pPr>
      <w:r>
        <w:rPr>
          <w:rFonts w:ascii="Arial" w:hAnsi="Arial"/>
          <w:color w:val="525252"/>
          <w:sz w:val="13"/>
        </w:rPr>
        <w:t>Leaders demonstrate loyalty by respecting those who serve and treating them with dignity, compassion, and true concern for their well-being and professional development.</w:t>
      </w:r>
    </w:p>
    <w:p>
      <w:pPr>
        <w:spacing w:after="20" w:line="223" w:lineRule="auto"/>
        <w:jc w:val="right"/>
        <w:bidi/>
      </w:pPr>
      <w:r>
        <w:rPr>
          <w:rFonts w:ascii="Arial" w:hAnsi="Arial"/>
          <w:sz w:val="16"/>
        </w:rPr>
        <w:t>005.37  در نهایت، وفاداری با کمک به یکدیگر در رفتار با احترام و افتخار نشان داده می‌شود.</w:t>
      </w:r>
    </w:p>
    <w:p>
      <w:pPr>
        <w:spacing w:after="28" w:line="216" w:lineRule="auto"/>
        <w:ind w:left="259"/>
        <w:jc w:val="left"/>
      </w:pPr>
      <w:r>
        <w:rPr>
          <w:rFonts w:ascii="Arial" w:hAnsi="Arial"/>
          <w:color w:val="525252"/>
          <w:sz w:val="13"/>
        </w:rPr>
        <w:t>Ultimately, loyalty is demonstrated by helping each other act with respect and honor.</w:t>
      </w:r>
    </w:p>
    <w:p>
      <w:pPr>
        <w:spacing w:after="20" w:line="223" w:lineRule="auto"/>
        <w:jc w:val="right"/>
        <w:bidi/>
      </w:pPr>
      <w:r>
        <w:rPr>
          <w:rFonts w:ascii="Arial" w:hAnsi="Arial"/>
          <w:sz w:val="16"/>
        </w:rPr>
        <w:t>005.38  احترام.</w:t>
      </w:r>
    </w:p>
    <w:p>
      <w:pPr>
        <w:spacing w:after="28" w:line="216" w:lineRule="auto"/>
        <w:ind w:left="259"/>
        <w:jc w:val="left"/>
      </w:pPr>
      <w:r>
        <w:rPr>
          <w:rFonts w:ascii="Arial" w:hAnsi="Arial"/>
          <w:color w:val="525252"/>
          <w:sz w:val="13"/>
        </w:rPr>
        <w:t>Respect.</w:t>
      </w:r>
    </w:p>
    <w:p>
      <w:pPr>
        <w:spacing w:after="20" w:line="223" w:lineRule="auto"/>
        <w:jc w:val="right"/>
        <w:bidi/>
      </w:pPr>
      <w:r>
        <w:rPr>
          <w:rFonts w:ascii="Arial" w:hAnsi="Arial"/>
          <w:sz w:val="16"/>
        </w:rPr>
        <w:t>005.39  احترام شامل احترام به خود، احترام متقابل و احترام سازمانی است.</w:t>
      </w:r>
    </w:p>
    <w:p>
      <w:pPr>
        <w:spacing w:after="28" w:line="216" w:lineRule="auto"/>
        <w:ind w:left="259"/>
        <w:jc w:val="left"/>
      </w:pPr>
      <w:r>
        <w:rPr>
          <w:rFonts w:ascii="Arial" w:hAnsi="Arial"/>
          <w:color w:val="525252"/>
          <w:sz w:val="13"/>
        </w:rPr>
        <w:t>Respect encompasses self-respect, mutual respect, and organizational respect.</w:t>
      </w:r>
    </w:p>
    <w:p>
      <w:pPr>
        <w:spacing w:after="20" w:line="223" w:lineRule="auto"/>
        <w:jc w:val="right"/>
        <w:bidi/>
      </w:pPr>
      <w:r>
        <w:rPr>
          <w:rFonts w:ascii="Arial" w:hAnsi="Arial"/>
          <w:sz w:val="16"/>
        </w:rPr>
        <w:t>005.40  ما باید با پیروی از سخنان خود با عمل به نیروی هوایی ارتش و دیگران احترام بگذاریم.</w:t>
      </w:r>
    </w:p>
    <w:p>
      <w:pPr>
        <w:spacing w:after="28" w:line="216" w:lineRule="auto"/>
        <w:ind w:left="259"/>
        <w:jc w:val="left"/>
      </w:pPr>
      <w:r>
        <w:rPr>
          <w:rFonts w:ascii="Arial" w:hAnsi="Arial"/>
          <w:color w:val="525252"/>
          <w:sz w:val="13"/>
        </w:rPr>
        <w:t>We must honor the USAF and others by following our words with actions.</w:t>
      </w:r>
    </w:p>
    <w:p>
      <w:r>
        <w:br w:type="page"/>
      </w:r>
    </w:p>
    <w:p>
      <w:pPr>
        <w:spacing w:after="60"/>
        <w:jc w:val="right"/>
        <w:bidi/>
      </w:pPr>
      <w:r>
        <w:rPr>
          <w:rFonts w:ascii="Arial" w:hAnsi="Arial"/>
          <w:b/>
          <w:color w:val="1F4D78"/>
          <w:sz w:val="19"/>
        </w:rPr>
        <w:t>هفتهٔ 6  |  صفحهٔ منبع: 22</w:t>
      </w:r>
    </w:p>
    <w:p>
      <w:pPr>
        <w:spacing w:after="20" w:line="223" w:lineRule="auto"/>
        <w:jc w:val="right"/>
        <w:bidi/>
      </w:pPr>
      <w:r>
        <w:rPr>
          <w:rFonts w:ascii="Arial" w:hAnsi="Arial"/>
          <w:sz w:val="16"/>
        </w:rPr>
        <w:t>006.01  ۱.۳.۳.</w:t>
      </w:r>
    </w:p>
    <w:p>
      <w:pPr>
        <w:spacing w:after="28" w:line="216" w:lineRule="auto"/>
        <w:ind w:left="259"/>
        <w:jc w:val="left"/>
      </w:pPr>
      <w:r>
        <w:rPr>
          <w:rFonts w:ascii="Arial" w:hAnsi="Arial"/>
          <w:color w:val="525252"/>
          <w:sz w:val="13"/>
        </w:rPr>
        <w:t>1.3.3.</w:t>
      </w:r>
    </w:p>
    <w:p>
      <w:pPr>
        <w:spacing w:after="20" w:line="223" w:lineRule="auto"/>
        <w:jc w:val="right"/>
        <w:bidi/>
      </w:pPr>
      <w:r>
        <w:rPr>
          <w:rFonts w:ascii="Arial" w:hAnsi="Arial"/>
          <w:sz w:val="16"/>
        </w:rPr>
        <w:t>006.02  کسکللنک ین الل و دو کسکللنک ین الل و دو ما را هدایت می‌کند تا اشتیاق پایدار برای بهبود و نوآوری مستمر ایجاد کنیم که USAF و همچنین خودمان را فراتر از توانایی‌های دشمنانمان سوق می‌دهد.</w:t>
      </w:r>
    </w:p>
    <w:p>
      <w:pPr>
        <w:spacing w:after="28" w:line="216" w:lineRule="auto"/>
        <w:ind w:left="259"/>
        <w:jc w:val="left"/>
      </w:pPr>
      <w:r>
        <w:rPr>
          <w:rFonts w:ascii="Arial" w:hAnsi="Arial"/>
          <w:color w:val="525252"/>
          <w:sz w:val="13"/>
        </w:rPr>
        <w:t>Excellence In All We Do Excellence In All We Do directs us to develop a sustained passion for the continuous improvement and innovation that propels the USAF, as well as ourselves, beyond the capabilities of our adversaries.</w:t>
      </w:r>
    </w:p>
    <w:p>
      <w:pPr>
        <w:spacing w:after="20" w:line="223" w:lineRule="auto"/>
        <w:jc w:val="right"/>
        <w:bidi/>
      </w:pPr>
      <w:r>
        <w:rPr>
          <w:rFonts w:ascii="Arial" w:hAnsi="Arial"/>
          <w:sz w:val="16"/>
        </w:rPr>
        <w:t>006.03  برتری در همه کارهای ما به این معنی نیست که ما در همه چیز از همه کمال می‌خواهیم.</w:t>
      </w:r>
    </w:p>
    <w:p>
      <w:pPr>
        <w:spacing w:after="28" w:line="216" w:lineRule="auto"/>
        <w:ind w:left="259"/>
        <w:jc w:val="left"/>
      </w:pPr>
      <w:r>
        <w:rPr>
          <w:rFonts w:ascii="Arial" w:hAnsi="Arial"/>
          <w:color w:val="525252"/>
          <w:sz w:val="13"/>
        </w:rPr>
        <w:t>Excellence In All We Do does not mean that we demand perfection in everything from everyone.</w:t>
      </w:r>
    </w:p>
    <w:p>
      <w:pPr>
        <w:spacing w:after="20" w:line="223" w:lineRule="auto"/>
        <w:jc w:val="right"/>
        <w:bidi/>
      </w:pPr>
      <w:r>
        <w:rPr>
          <w:rFonts w:ascii="Arial" w:hAnsi="Arial"/>
          <w:sz w:val="16"/>
        </w:rPr>
        <w:t>006.04  اما در عوض، به این معنی است که ما به‌طور مداوم هنر خود را پیش می‌بریم و دانش خود را به‌عنوان هوانورد افزایش می‌دهیم.</w:t>
      </w:r>
    </w:p>
    <w:p>
      <w:pPr>
        <w:spacing w:after="28" w:line="216" w:lineRule="auto"/>
        <w:ind w:left="259"/>
        <w:jc w:val="left"/>
      </w:pPr>
      <w:r>
        <w:rPr>
          <w:rFonts w:ascii="Arial" w:hAnsi="Arial"/>
          <w:color w:val="525252"/>
          <w:sz w:val="13"/>
        </w:rPr>
        <w:t>But rather, it means we continuously advance our craft and increase our knowledge as Airmen.</w:t>
      </w:r>
    </w:p>
    <w:p>
      <w:pPr>
        <w:spacing w:after="20" w:line="223" w:lineRule="auto"/>
        <w:jc w:val="right"/>
        <w:bidi/>
      </w:pPr>
      <w:r>
        <w:rPr>
          <w:rFonts w:ascii="Arial" w:hAnsi="Arial"/>
          <w:sz w:val="16"/>
        </w:rPr>
        <w:t>006.05  تعالی در همهٔ کارها یعنی نیروهای هوایی فرصت‌های رشد را دنبال کنند و آموزش‌های توسعه‌ای را به پایان برسانند؛ پیوسته بکوشند از نظر جسمی، ذهنی، عاطفی، معنوی و اخلاقی آماده بمانند؛ شایستگی‌های حرفه‌ای خود را ارتقا دهند؛ و مهارت‌های شغلی، دانش و آمادگی شخصی را در بالاترین سطح ممکن حفظ کنند.</w:t>
      </w:r>
    </w:p>
    <w:p>
      <w:pPr>
        <w:spacing w:after="28" w:line="216" w:lineRule="auto"/>
        <w:ind w:left="259"/>
        <w:jc w:val="left"/>
      </w:pPr>
      <w:r>
        <w:rPr>
          <w:rFonts w:ascii="Arial" w:hAnsi="Arial"/>
          <w:color w:val="525252"/>
          <w:sz w:val="13"/>
        </w:rPr>
        <w:t>Excellence In All We Do means that Airmen seek out opportunities and complete developmental education; constantly work hard to stay in physical, mental, emotional, spiritual, and moral shape; continue to enhance professional competencies; and are diligent to maintain their job skills, knowledge, and personal readiness at the highest possible levels.</w:t>
      </w:r>
    </w:p>
    <w:p>
      <w:pPr>
        <w:spacing w:after="20" w:line="223" w:lineRule="auto"/>
        <w:jc w:val="right"/>
        <w:bidi/>
      </w:pPr>
      <w:r>
        <w:rPr>
          <w:rFonts w:ascii="Arial" w:hAnsi="Arial"/>
          <w:sz w:val="16"/>
        </w:rPr>
        <w:t>006.06  ما باید اشتیاق به بهبود و نوآوری مستمر عمدی داشته باشیم که USAF را به سرعت بخشیدن به تغییر یا شکست در حال حاضر سوق دهد.</w:t>
      </w:r>
    </w:p>
    <w:p>
      <w:pPr>
        <w:spacing w:after="28" w:line="216" w:lineRule="auto"/>
        <w:ind w:left="259"/>
        <w:jc w:val="left"/>
      </w:pPr>
      <w:r>
        <w:rPr>
          <w:rFonts w:ascii="Arial" w:hAnsi="Arial"/>
          <w:color w:val="525252"/>
          <w:sz w:val="13"/>
        </w:rPr>
        <w:t>We must have a passion for deliberate continuous improvement and innovation that propels the USAF to accelerate change or lose now.</w:t>
      </w:r>
    </w:p>
    <w:p>
      <w:pPr>
        <w:spacing w:after="20" w:line="223" w:lineRule="auto"/>
        <w:jc w:val="right"/>
        <w:bidi/>
      </w:pPr>
      <w:r>
        <w:rPr>
          <w:rFonts w:ascii="Arial" w:hAnsi="Arial"/>
          <w:sz w:val="16"/>
        </w:rPr>
        <w:t>006.07  فضایل برتری در همه کارهای ما.</w:t>
      </w:r>
    </w:p>
    <w:p>
      <w:pPr>
        <w:spacing w:after="28" w:line="216" w:lineRule="auto"/>
        <w:ind w:left="259"/>
        <w:jc w:val="left"/>
      </w:pPr>
      <w:r>
        <w:rPr>
          <w:rFonts w:ascii="Arial" w:hAnsi="Arial"/>
          <w:color w:val="525252"/>
          <w:sz w:val="13"/>
        </w:rPr>
        <w:t>Virtues of Excellence In All We Do.</w:t>
      </w:r>
    </w:p>
    <w:p>
      <w:pPr>
        <w:spacing w:after="20" w:line="223" w:lineRule="auto"/>
        <w:jc w:val="right"/>
        <w:bidi/>
      </w:pPr>
      <w:r>
        <w:rPr>
          <w:rFonts w:ascii="Arial" w:hAnsi="Arial"/>
          <w:sz w:val="16"/>
        </w:rPr>
        <w:t>006.08  فضائل برتری در همه کارهای ما مأموریت، نظم و انضباط و کار تیمی است.</w:t>
      </w:r>
    </w:p>
    <w:p>
      <w:pPr>
        <w:spacing w:after="28" w:line="216" w:lineRule="auto"/>
        <w:ind w:left="259"/>
        <w:jc w:val="left"/>
      </w:pPr>
      <w:r>
        <w:rPr>
          <w:rFonts w:ascii="Arial" w:hAnsi="Arial"/>
          <w:color w:val="525252"/>
          <w:sz w:val="13"/>
        </w:rPr>
        <w:t>The virtues of Excellence In All We Do are mission, discipline, and teamwork.</w:t>
      </w:r>
    </w:p>
    <w:p>
      <w:pPr>
        <w:spacing w:after="20" w:line="223" w:lineRule="auto"/>
        <w:jc w:val="right"/>
        <w:bidi/>
      </w:pPr>
      <w:r>
        <w:rPr>
          <w:rFonts w:ascii="Arial" w:hAnsi="Arial"/>
          <w:sz w:val="16"/>
        </w:rPr>
        <w:t>006.09  مأموریت.</w:t>
      </w:r>
    </w:p>
    <w:p>
      <w:pPr>
        <w:spacing w:after="28" w:line="216" w:lineRule="auto"/>
        <w:ind w:left="259"/>
        <w:jc w:val="left"/>
      </w:pPr>
      <w:r>
        <w:rPr>
          <w:rFonts w:ascii="Arial" w:hAnsi="Arial"/>
          <w:color w:val="525252"/>
          <w:sz w:val="13"/>
        </w:rPr>
        <w:t>Mission.</w:t>
      </w:r>
    </w:p>
    <w:p>
      <w:pPr>
        <w:spacing w:after="20" w:line="223" w:lineRule="auto"/>
        <w:jc w:val="right"/>
        <w:bidi/>
      </w:pPr>
      <w:r>
        <w:rPr>
          <w:rFonts w:ascii="Arial" w:hAnsi="Arial"/>
          <w:sz w:val="16"/>
        </w:rPr>
        <w:t>006.10  تمرکز مأموریت شامل عملیات و برتری در مباشرت است.</w:t>
      </w:r>
    </w:p>
    <w:p>
      <w:pPr>
        <w:spacing w:after="28" w:line="216" w:lineRule="auto"/>
        <w:ind w:left="259"/>
        <w:jc w:val="left"/>
      </w:pPr>
      <w:r>
        <w:rPr>
          <w:rFonts w:ascii="Arial" w:hAnsi="Arial"/>
          <w:color w:val="525252"/>
          <w:sz w:val="13"/>
        </w:rPr>
        <w:t>Mission focus encompasses operations and excellence in stewardship.</w:t>
      </w:r>
    </w:p>
    <w:p>
      <w:pPr>
        <w:spacing w:after="20" w:line="223" w:lineRule="auto"/>
        <w:jc w:val="right"/>
        <w:bidi/>
      </w:pPr>
      <w:r>
        <w:rPr>
          <w:rFonts w:ascii="Arial" w:hAnsi="Arial"/>
          <w:sz w:val="16"/>
        </w:rPr>
        <w:t>006.11  انجام پیچیده مأموریت USAF ما را ملزم می‌کند تا از نبوغ، تخصص و گریس آرنج همه هواداران استفاده کنیم.</w:t>
      </w:r>
    </w:p>
    <w:p>
      <w:pPr>
        <w:spacing w:after="28" w:line="216" w:lineRule="auto"/>
        <w:ind w:left="259"/>
        <w:jc w:val="left"/>
      </w:pPr>
      <w:r>
        <w:rPr>
          <w:rFonts w:ascii="Arial" w:hAnsi="Arial"/>
          <w:color w:val="525252"/>
          <w:sz w:val="13"/>
        </w:rPr>
        <w:t>The complex undertaking of the USAF mission requires us to harness the ingenuity, expertise, and elbow grease of all Airmen.</w:t>
      </w:r>
    </w:p>
    <w:p>
      <w:pPr>
        <w:spacing w:after="20" w:line="223" w:lineRule="auto"/>
        <w:jc w:val="right"/>
        <w:bidi/>
      </w:pPr>
      <w:r>
        <w:rPr>
          <w:rFonts w:ascii="Arial" w:hAnsi="Arial"/>
          <w:sz w:val="16"/>
        </w:rPr>
        <w:t>006.12  ما با ذهنیت احترام، غرور، نوآوری و تعهد مستمر به پیش‌بینی و پذیرش تغییرات به آن نزدیک می‌شویم.</w:t>
      </w:r>
    </w:p>
    <w:p>
      <w:pPr>
        <w:spacing w:after="28" w:line="216" w:lineRule="auto"/>
        <w:ind w:left="259"/>
        <w:jc w:val="left"/>
      </w:pPr>
      <w:r>
        <w:rPr>
          <w:rFonts w:ascii="Arial" w:hAnsi="Arial"/>
          <w:color w:val="525252"/>
          <w:sz w:val="13"/>
        </w:rPr>
        <w:t>We approach it with the mindset of respect, pride, innovation, and a continued commitment to anticipate and embrace change.</w:t>
      </w:r>
    </w:p>
    <w:p>
      <w:pPr>
        <w:spacing w:after="20" w:line="223" w:lineRule="auto"/>
        <w:jc w:val="right"/>
        <w:bidi/>
      </w:pPr>
      <w:r>
        <w:rPr>
          <w:rFonts w:ascii="Arial" w:hAnsi="Arial"/>
          <w:sz w:val="16"/>
        </w:rPr>
        <w:t>006.13  حوزه‌های کاری، فرآیندهای ما و تعاملات بین فردی ما باید غیرقابل انکار حرفه‌ای و مثبت باشد.</w:t>
      </w:r>
    </w:p>
    <w:p>
      <w:pPr>
        <w:spacing w:after="28" w:line="216" w:lineRule="auto"/>
        <w:ind w:left="259"/>
        <w:jc w:val="left"/>
      </w:pPr>
      <w:r>
        <w:rPr>
          <w:rFonts w:ascii="Arial" w:hAnsi="Arial"/>
          <w:color w:val="525252"/>
          <w:sz w:val="13"/>
        </w:rPr>
        <w:t>Our work areas, our processes, and our interpersonal interactions must be undeniably professional and positive.</w:t>
      </w:r>
    </w:p>
    <w:p>
      <w:pPr>
        <w:spacing w:after="20" w:line="223" w:lineRule="auto"/>
        <w:jc w:val="right"/>
        <w:bidi/>
      </w:pPr>
      <w:r>
        <w:rPr>
          <w:rFonts w:ascii="Arial" w:hAnsi="Arial"/>
          <w:sz w:val="16"/>
        </w:rPr>
        <w:t>006.14  افراد ما بستری برای ارائه بهبود مستمر فرآیند، ایده‌های نوآورانه، استراتژی‌ها و فناوری‌ها به مأموریت کلی هستند.</w:t>
      </w:r>
    </w:p>
    <w:p>
      <w:pPr>
        <w:spacing w:after="28" w:line="216" w:lineRule="auto"/>
        <w:ind w:left="259"/>
        <w:jc w:val="left"/>
      </w:pPr>
      <w:r>
        <w:rPr>
          <w:rFonts w:ascii="Arial" w:hAnsi="Arial"/>
          <w:color w:val="525252"/>
          <w:sz w:val="13"/>
        </w:rPr>
        <w:t>Our people are the platform for delivering continuous process improvements, innovative ideas, strategies, and technologies to the overall mission.</w:t>
      </w:r>
    </w:p>
    <w:p>
      <w:pPr>
        <w:spacing w:after="20" w:line="223" w:lineRule="auto"/>
        <w:jc w:val="right"/>
        <w:bidi/>
      </w:pPr>
      <w:r>
        <w:rPr>
          <w:rFonts w:ascii="Arial" w:hAnsi="Arial"/>
          <w:sz w:val="16"/>
        </w:rPr>
        <w:t>006.15  نظم و انضباط.</w:t>
      </w:r>
    </w:p>
    <w:p>
      <w:pPr>
        <w:spacing w:after="28" w:line="216" w:lineRule="auto"/>
        <w:ind w:left="259"/>
        <w:jc w:val="left"/>
      </w:pPr>
      <w:r>
        <w:rPr>
          <w:rFonts w:ascii="Arial" w:hAnsi="Arial"/>
          <w:color w:val="525252"/>
          <w:sz w:val="13"/>
        </w:rPr>
        <w:t>Discipline.</w:t>
      </w:r>
    </w:p>
    <w:p>
      <w:pPr>
        <w:spacing w:after="20" w:line="223" w:lineRule="auto"/>
        <w:jc w:val="right"/>
        <w:bidi/>
      </w:pPr>
      <w:r>
        <w:rPr>
          <w:rFonts w:ascii="Arial" w:hAnsi="Arial"/>
          <w:sz w:val="16"/>
        </w:rPr>
        <w:t>006.16  نظم و انضباط یک تعهد فردی برای حفظ بالاترین استانداردهای شخصی و حرفه‌ای است.</w:t>
      </w:r>
    </w:p>
    <w:p>
      <w:pPr>
        <w:spacing w:after="28" w:line="216" w:lineRule="auto"/>
        <w:ind w:left="259"/>
        <w:jc w:val="left"/>
      </w:pPr>
      <w:r>
        <w:rPr>
          <w:rFonts w:ascii="Arial" w:hAnsi="Arial"/>
          <w:color w:val="525252"/>
          <w:sz w:val="13"/>
        </w:rPr>
        <w:t>Discipline is an individual commitment to uphold the highest of personal and professional standards.</w:t>
      </w:r>
    </w:p>
    <w:p>
      <w:pPr>
        <w:spacing w:after="20" w:line="223" w:lineRule="auto"/>
        <w:jc w:val="right"/>
        <w:bidi/>
      </w:pPr>
      <w:r>
        <w:rPr>
          <w:rFonts w:ascii="Arial" w:hAnsi="Arial"/>
          <w:sz w:val="16"/>
        </w:rPr>
        <w:t>006.17  ما آن را در نگرش، اخلاق کاری، و تلاش برای بهبود مستمر نشان می‌دهیم، خواه دنبال آموزش نظامی حرفه‌ای باشیم یا از نظر جسمی، فکری، عاطفی یا معنوی خود را پرورش دهیم.</w:t>
      </w:r>
    </w:p>
    <w:p>
      <w:pPr>
        <w:spacing w:after="28" w:line="216" w:lineRule="auto"/>
        <w:ind w:left="259"/>
        <w:jc w:val="left"/>
      </w:pPr>
      <w:r>
        <w:rPr>
          <w:rFonts w:ascii="Arial" w:hAnsi="Arial"/>
          <w:color w:val="525252"/>
          <w:sz w:val="13"/>
        </w:rPr>
        <w:t>We demonstrate it in attitude, work ethic, and effort directed at continuous improvement, whether pursuing professional military education or nurturing ourselves physically, intellectually, emotionally, or spiritually.</w:t>
      </w:r>
    </w:p>
    <w:p>
      <w:pPr>
        <w:spacing w:after="20" w:line="223" w:lineRule="auto"/>
        <w:jc w:val="right"/>
        <w:bidi/>
      </w:pPr>
      <w:r>
        <w:rPr>
          <w:rFonts w:ascii="Arial" w:hAnsi="Arial"/>
          <w:sz w:val="16"/>
        </w:rPr>
        <w:t>006.18  ظاهر، اعمال، حرفه‌ای بودن، و گفتار و گفتار ما، نمایانگر USAF است و فرهنگ USAF ما و شهرت کل حرفه نظامی را شکل می‌دهد.</w:t>
      </w:r>
    </w:p>
    <w:p>
      <w:pPr>
        <w:spacing w:after="28" w:line="216" w:lineRule="auto"/>
        <w:ind w:left="259"/>
        <w:jc w:val="left"/>
      </w:pPr>
      <w:r>
        <w:rPr>
          <w:rFonts w:ascii="Arial" w:hAnsi="Arial"/>
          <w:color w:val="525252"/>
          <w:sz w:val="13"/>
        </w:rPr>
        <w:t>Our appearance, actions, professionalism, and words, spoken and written, represent the USAF and shape our USAF culture and the reputation of the entire military profession.</w:t>
      </w:r>
    </w:p>
    <w:p>
      <w:pPr>
        <w:spacing w:after="20" w:line="223" w:lineRule="auto"/>
        <w:jc w:val="right"/>
        <w:bidi/>
      </w:pPr>
      <w:r>
        <w:rPr>
          <w:rFonts w:ascii="Arial" w:hAnsi="Arial"/>
          <w:sz w:val="16"/>
        </w:rPr>
        <w:t>006.19  کار تیمی.</w:t>
      </w:r>
    </w:p>
    <w:p>
      <w:pPr>
        <w:spacing w:after="28" w:line="216" w:lineRule="auto"/>
        <w:ind w:left="259"/>
        <w:jc w:val="left"/>
      </w:pPr>
      <w:r>
        <w:rPr>
          <w:rFonts w:ascii="Arial" w:hAnsi="Arial"/>
          <w:color w:val="525252"/>
          <w:sz w:val="13"/>
        </w:rPr>
        <w:t>Teamwork.</w:t>
      </w:r>
    </w:p>
    <w:p>
      <w:pPr>
        <w:spacing w:after="20" w:line="223" w:lineRule="auto"/>
        <w:jc w:val="right"/>
        <w:bidi/>
      </w:pPr>
      <w:r>
        <w:rPr>
          <w:rFonts w:ascii="Arial" w:hAnsi="Arial"/>
          <w:sz w:val="16"/>
        </w:rPr>
        <w:t>006.20  کار تیمی برای پیروزی در هر سطح ضروری است.</w:t>
      </w:r>
    </w:p>
    <w:p>
      <w:pPr>
        <w:spacing w:after="28" w:line="216" w:lineRule="auto"/>
        <w:ind w:left="259"/>
        <w:jc w:val="left"/>
      </w:pPr>
      <w:r>
        <w:rPr>
          <w:rFonts w:ascii="Arial" w:hAnsi="Arial"/>
          <w:color w:val="525252"/>
          <w:sz w:val="13"/>
        </w:rPr>
        <w:t>Teamwork is essential to triumph at every level.</w:t>
      </w:r>
    </w:p>
    <w:p>
      <w:pPr>
        <w:spacing w:after="20" w:line="223" w:lineRule="auto"/>
        <w:jc w:val="right"/>
        <w:bidi/>
      </w:pPr>
      <w:r>
        <w:rPr>
          <w:rFonts w:ascii="Arial" w:hAnsi="Arial"/>
          <w:sz w:val="16"/>
        </w:rPr>
        <w:t>006.21  هوانوردان وابستگی متقابل مشارکت هر عضو در مأموریت را می‌شناسند و برای تعالی سازمانی تلاش می‌کنند.</w:t>
      </w:r>
    </w:p>
    <w:p>
      <w:pPr>
        <w:spacing w:after="28" w:line="216" w:lineRule="auto"/>
        <w:ind w:left="259"/>
        <w:jc w:val="left"/>
      </w:pPr>
      <w:r>
        <w:rPr>
          <w:rFonts w:ascii="Arial" w:hAnsi="Arial"/>
          <w:color w:val="525252"/>
          <w:sz w:val="13"/>
        </w:rPr>
        <w:t>Airmen recognize the interdependency of every member’s contribution toward the mission and strive for organizational excellence.</w:t>
      </w:r>
    </w:p>
    <w:p>
      <w:pPr>
        <w:spacing w:after="20" w:line="223" w:lineRule="auto"/>
        <w:jc w:val="right"/>
        <w:bidi/>
      </w:pPr>
      <w:r>
        <w:rPr>
          <w:rFonts w:ascii="Arial" w:hAnsi="Arial"/>
          <w:sz w:val="16"/>
        </w:rPr>
        <w:t>006.22  ما نه تنها بهترین‌های شخصی خود را ارائه می‌دهیم، بلکه یکدیگر را به چالش می‌کشیم و انگیزه می‌دهیم تا بهترین‌ها را ارائه دهیم.</w:t>
      </w:r>
    </w:p>
    <w:p>
      <w:pPr>
        <w:spacing w:after="28" w:line="216" w:lineRule="auto"/>
        <w:ind w:left="259"/>
        <w:jc w:val="left"/>
      </w:pPr>
      <w:r>
        <w:rPr>
          <w:rFonts w:ascii="Arial" w:hAnsi="Arial"/>
          <w:color w:val="525252"/>
          <w:sz w:val="13"/>
        </w:rPr>
        <w:t>We not only give our personal best, but also challenge and motivate each other to give their best.</w:t>
      </w:r>
    </w:p>
    <w:p>
      <w:pPr>
        <w:spacing w:after="20" w:line="223" w:lineRule="auto"/>
        <w:jc w:val="right"/>
        <w:bidi/>
      </w:pPr>
      <w:r>
        <w:rPr>
          <w:rFonts w:ascii="Arial" w:hAnsi="Arial"/>
          <w:sz w:val="16"/>
        </w:rPr>
        <w:t>006.23  ما از طریق اعمال خود و اخلاق کاری قوی برای ایجاد اعتماد تیمی احترام به دست می‌آوریم.</w:t>
      </w:r>
    </w:p>
    <w:p>
      <w:pPr>
        <w:spacing w:after="28" w:line="216" w:lineRule="auto"/>
        <w:ind w:left="259"/>
        <w:jc w:val="left"/>
      </w:pPr>
      <w:r>
        <w:rPr>
          <w:rFonts w:ascii="Arial" w:hAnsi="Arial"/>
          <w:color w:val="525252"/>
          <w:sz w:val="13"/>
        </w:rPr>
        <w:t>We gain respect through our actions and strong work ethic to build team trust.</w:t>
      </w:r>
    </w:p>
    <w:p>
      <w:pPr>
        <w:spacing w:after="20" w:line="223" w:lineRule="auto"/>
        <w:jc w:val="right"/>
        <w:bidi/>
      </w:pPr>
      <w:r>
        <w:rPr>
          <w:rFonts w:ascii="Arial" w:hAnsi="Arial"/>
          <w:sz w:val="16"/>
        </w:rPr>
        <w:t>006.24  ما وزن خود را حمل می‌کنیم، و هر زمان که لازم باشد، به جناح‌های خود کمک می‌کنیم تا وزن خود را حمل کنند.</w:t>
      </w:r>
    </w:p>
    <w:p>
      <w:pPr>
        <w:spacing w:after="28" w:line="216" w:lineRule="auto"/>
        <w:ind w:left="259"/>
        <w:jc w:val="left"/>
      </w:pPr>
      <w:r>
        <w:rPr>
          <w:rFonts w:ascii="Arial" w:hAnsi="Arial"/>
          <w:color w:val="525252"/>
          <w:sz w:val="13"/>
        </w:rPr>
        <w:t>We carry our own weight, and whenever necessary, help our wingmen carry theirs.</w:t>
      </w:r>
    </w:p>
    <w:p>
      <w:r>
        <w:br w:type="page"/>
      </w:r>
    </w:p>
    <w:p>
      <w:pPr>
        <w:spacing w:after="60"/>
        <w:jc w:val="right"/>
        <w:bidi/>
      </w:pPr>
      <w:r>
        <w:rPr>
          <w:rFonts w:ascii="Arial" w:hAnsi="Arial"/>
          <w:b/>
          <w:color w:val="1F4D78"/>
          <w:sz w:val="19"/>
        </w:rPr>
        <w:t>هفتهٔ 7  |  صفحهٔ منبع: 23</w:t>
      </w:r>
    </w:p>
    <w:p>
      <w:pPr>
        <w:spacing w:before="60" w:after="28"/>
        <w:jc w:val="right"/>
        <w:bidi/>
      </w:pPr>
      <w:r>
        <w:rPr>
          <w:b/>
          <w:color w:val="1F4D78"/>
          <w:sz w:val="18"/>
        </w:rPr>
        <w:t>بخش 1D - استانداردهای اخلاقی</w:t>
      </w:r>
    </w:p>
    <w:p>
      <w:pPr>
        <w:spacing w:after="20"/>
        <w:ind w:left="259"/>
        <w:jc w:val="left"/>
      </w:pPr>
      <w:r>
        <w:rPr>
          <w:color w:val="555555"/>
          <w:sz w:val="12"/>
        </w:rPr>
        <w:t>Section 1D—Ethical Standards</w:t>
      </w:r>
    </w:p>
    <w:p>
      <w:pPr>
        <w:spacing w:before="60" w:after="28"/>
        <w:jc w:val="right"/>
        <w:bidi/>
      </w:pPr>
      <w:r>
        <w:rPr>
          <w:b/>
          <w:color w:val="1F4D78"/>
          <w:sz w:val="18"/>
        </w:rPr>
        <w:t>1.4. منشور اخلاقی</w:t>
      </w:r>
    </w:p>
    <w:p>
      <w:pPr>
        <w:spacing w:after="20"/>
        <w:ind w:left="259"/>
        <w:jc w:val="left"/>
      </w:pPr>
      <w:r>
        <w:rPr>
          <w:color w:val="555555"/>
          <w:sz w:val="12"/>
        </w:rPr>
        <w:t>1.4. Code of Ethics</w:t>
      </w:r>
    </w:p>
    <w:p>
      <w:pPr>
        <w:spacing w:after="20" w:line="223" w:lineRule="auto"/>
        <w:jc w:val="right"/>
        <w:bidi/>
      </w:pPr>
      <w:r>
        <w:rPr>
          <w:rFonts w:ascii="Arial" w:hAnsi="Arial"/>
          <w:sz w:val="16"/>
        </w:rPr>
        <w:t>007.03  به‌عنوان عضوی از USAF، شما باید بالاترین استانداردهای رفتار و درستکاری را نه تنها در شغل خود، بلکه در روابط، معاملات مالی شخصی، و تعاملات خود با جامعه غیرنظامی نیز رعایت کنید.</w:t>
      </w:r>
    </w:p>
    <w:p>
      <w:pPr>
        <w:spacing w:after="28" w:line="216" w:lineRule="auto"/>
        <w:ind w:left="259"/>
        <w:jc w:val="left"/>
      </w:pPr>
      <w:r>
        <w:rPr>
          <w:rFonts w:ascii="Arial" w:hAnsi="Arial"/>
          <w:color w:val="525252"/>
          <w:sz w:val="13"/>
        </w:rPr>
        <w:t>As a member of the USAF, you must practice the highest standards of conduct and integrity, not only in your job, but also in your relationships, personal financial dealings, and interactions with the civilian community.</w:t>
      </w:r>
    </w:p>
    <w:p>
      <w:pPr>
        <w:spacing w:after="20" w:line="223" w:lineRule="auto"/>
        <w:jc w:val="right"/>
        <w:bidi/>
      </w:pPr>
      <w:r>
        <w:rPr>
          <w:rFonts w:ascii="Arial" w:hAnsi="Arial"/>
          <w:sz w:val="16"/>
        </w:rPr>
        <w:t>007.04  در حالی که ارزش‌های اخلاقی آنچه را که ما درست و نادرست می‌دانیم توصیف می‌کند، اخلاق بازتاب سیستماتیک این ارزش‌ها است که ما را قادر می‌سازد مطابق با اعتقادات خود زندگی و عمل کنیم.</w:t>
      </w:r>
    </w:p>
    <w:p>
      <w:pPr>
        <w:spacing w:after="28" w:line="216" w:lineRule="auto"/>
        <w:ind w:left="259"/>
        <w:jc w:val="left"/>
      </w:pPr>
      <w:r>
        <w:rPr>
          <w:rFonts w:ascii="Arial" w:hAnsi="Arial"/>
          <w:color w:val="525252"/>
          <w:sz w:val="13"/>
        </w:rPr>
        <w:t>Whereas moral values describe what we hold to be right and wrong, ethics is the systematic reflection of these values enabling us to live and act according to our beliefs.</w:t>
      </w:r>
    </w:p>
    <w:p>
      <w:pPr>
        <w:spacing w:after="20" w:line="223" w:lineRule="auto"/>
        <w:jc w:val="right"/>
        <w:bidi/>
      </w:pPr>
      <w:r>
        <w:rPr>
          <w:rFonts w:ascii="Arial" w:hAnsi="Arial"/>
          <w:sz w:val="16"/>
        </w:rPr>
        <w:t>007.05  اگرچه پیروی از قانون اخلاقی است، قوانین فقط به ما می‌گویند که چه کارهایی می‌توانیم انجام دهیم و چه کاری نمی‌توانیم انجام دهیم.</w:t>
      </w:r>
    </w:p>
    <w:p>
      <w:pPr>
        <w:spacing w:after="28" w:line="216" w:lineRule="auto"/>
        <w:ind w:left="259"/>
        <w:jc w:val="left"/>
      </w:pPr>
      <w:r>
        <w:rPr>
          <w:rFonts w:ascii="Arial" w:hAnsi="Arial"/>
          <w:color w:val="525252"/>
          <w:sz w:val="13"/>
        </w:rPr>
        <w:t>Although following the law is ethical, laws only tell us what we can and cannot do.</w:t>
      </w:r>
    </w:p>
    <w:p>
      <w:pPr>
        <w:spacing w:after="20" w:line="223" w:lineRule="auto"/>
        <w:jc w:val="right"/>
        <w:bidi/>
      </w:pPr>
      <w:r>
        <w:rPr>
          <w:rFonts w:ascii="Arial" w:hAnsi="Arial"/>
          <w:sz w:val="16"/>
        </w:rPr>
        <w:t>007.06  اخلاق، از سوی دیگر، به ما می‌گوید چه کارهایی را باید انجام دهیم یا نباید انجام دهیم.</w:t>
      </w:r>
    </w:p>
    <w:p>
      <w:pPr>
        <w:spacing w:after="28" w:line="216" w:lineRule="auto"/>
        <w:ind w:left="259"/>
        <w:jc w:val="left"/>
      </w:pPr>
      <w:r>
        <w:rPr>
          <w:rFonts w:ascii="Arial" w:hAnsi="Arial"/>
          <w:color w:val="525252"/>
          <w:sz w:val="13"/>
        </w:rPr>
        <w:t>Ethics, on the other hand, tells us what we should or shouldn’t do.</w:t>
      </w:r>
    </w:p>
    <w:p>
      <w:pPr>
        <w:spacing w:after="20" w:line="223" w:lineRule="auto"/>
        <w:jc w:val="right"/>
        <w:bidi/>
      </w:pPr>
      <w:r>
        <w:rPr>
          <w:rFonts w:ascii="Arial" w:hAnsi="Arial"/>
          <w:sz w:val="16"/>
        </w:rPr>
        <w:t>007.07  بنابراین، هوانوردان باید از قانون پیروی کنند، اما صرفا انجام این کار کافی نیست.</w:t>
      </w:r>
    </w:p>
    <w:p>
      <w:pPr>
        <w:spacing w:after="28" w:line="216" w:lineRule="auto"/>
        <w:ind w:left="259"/>
        <w:jc w:val="left"/>
      </w:pPr>
      <w:r>
        <w:rPr>
          <w:rFonts w:ascii="Arial" w:hAnsi="Arial"/>
          <w:color w:val="525252"/>
          <w:sz w:val="13"/>
        </w:rPr>
        <w:t>Thus, Airmen must follow the law, but simply doing so is not enough.</w:t>
      </w:r>
    </w:p>
    <w:p>
      <w:pPr>
        <w:spacing w:after="20" w:line="223" w:lineRule="auto"/>
        <w:jc w:val="right"/>
        <w:bidi/>
      </w:pPr>
      <w:r>
        <w:rPr>
          <w:rFonts w:ascii="Arial" w:hAnsi="Arial"/>
          <w:sz w:val="16"/>
        </w:rPr>
        <w:t>007.08  هوانوردان همچنین باید یک منشور اخلاقی ایجاد کنند تا رفتار و انگیزه‌های شما حتی ظاهر ناشایست را ایجاد نکند و در عین حال استاندارد بزرگ‌تری برای انجام آن ارائه دهد.</w:t>
      </w:r>
    </w:p>
    <w:p>
      <w:pPr>
        <w:spacing w:after="28" w:line="216" w:lineRule="auto"/>
        <w:ind w:left="259"/>
        <w:jc w:val="left"/>
      </w:pPr>
      <w:r>
        <w:rPr>
          <w:rFonts w:ascii="Arial" w:hAnsi="Arial"/>
          <w:color w:val="525252"/>
          <w:sz w:val="13"/>
        </w:rPr>
        <w:t>Airmen must also develop a code of ethics such that your behavior and motives do not create even the appearance of impropriety while providing a larger standard to live up to.</w:t>
      </w:r>
    </w:p>
    <w:p>
      <w:pPr>
        <w:spacing w:after="20" w:line="223" w:lineRule="auto"/>
        <w:jc w:val="right"/>
        <w:bidi/>
      </w:pPr>
      <w:r>
        <w:rPr>
          <w:rFonts w:ascii="Arial" w:hAnsi="Arial"/>
          <w:sz w:val="16"/>
        </w:rPr>
        <w:t>007.09  تعهد شما به صداقت و برتری راه را برای دیگران به دنبال خواهد داشت.</w:t>
      </w:r>
    </w:p>
    <w:p>
      <w:pPr>
        <w:spacing w:after="28" w:line="216" w:lineRule="auto"/>
        <w:ind w:left="259"/>
        <w:jc w:val="left"/>
      </w:pPr>
      <w:r>
        <w:rPr>
          <w:rFonts w:ascii="Arial" w:hAnsi="Arial"/>
          <w:color w:val="525252"/>
          <w:sz w:val="13"/>
        </w:rPr>
        <w:t>Your commitment to integrity and excellence will lead the way for others to follow.</w:t>
      </w:r>
    </w:p>
    <w:p>
      <w:pPr>
        <w:spacing w:after="20" w:line="223" w:lineRule="auto"/>
        <w:jc w:val="right"/>
        <w:bidi/>
      </w:pPr>
      <w:r>
        <w:rPr>
          <w:rFonts w:ascii="Arial" w:hAnsi="Arial"/>
          <w:sz w:val="16"/>
        </w:rPr>
        <w:t>007.10  با این وجود، ارزش‌های شخصی، مانند شادی یا ثبات، اگرچه تقریبا همیشه وجود دارند، نباید بر ارزش‌های اخلاقی USAF اولویت داشته باشند.</w:t>
      </w:r>
    </w:p>
    <w:p>
      <w:pPr>
        <w:spacing w:after="28" w:line="216" w:lineRule="auto"/>
        <w:ind w:left="259"/>
        <w:jc w:val="left"/>
      </w:pPr>
      <w:r>
        <w:rPr>
          <w:rFonts w:ascii="Arial" w:hAnsi="Arial"/>
          <w:color w:val="525252"/>
          <w:sz w:val="13"/>
        </w:rPr>
        <w:t>Nonetheless, personal values, such as happiness or stability, while almost always present, must not take precedence over USAF’s ethical values.</w:t>
      </w:r>
    </w:p>
    <w:p>
      <w:pPr>
        <w:spacing w:after="20" w:line="223" w:lineRule="auto"/>
        <w:jc w:val="right"/>
        <w:bidi/>
      </w:pPr>
      <w:r>
        <w:rPr>
          <w:rFonts w:ascii="Arial" w:hAnsi="Arial"/>
          <w:sz w:val="16"/>
        </w:rPr>
        <w:t>007.11  نکته کلیدی این است که ارزش‌های اخلاقی را با ارزش‌های شخصی هماهنگ کنیم و تعهدی را که در قبال خدمات اختصاصی کشورمان انجام داده‌ایم افزایش دهیم.</w:t>
      </w:r>
    </w:p>
    <w:p>
      <w:pPr>
        <w:spacing w:after="28" w:line="216" w:lineRule="auto"/>
        <w:ind w:left="259"/>
        <w:jc w:val="left"/>
      </w:pPr>
      <w:r>
        <w:rPr>
          <w:rFonts w:ascii="Arial" w:hAnsi="Arial"/>
          <w:color w:val="525252"/>
          <w:sz w:val="13"/>
        </w:rPr>
        <w:t>The key is to align ethical values with personal values and enhance the commitment we have made to the dedicated service of our nation.</w:t>
      </w:r>
    </w:p>
    <w:p>
      <w:pPr>
        <w:spacing w:after="20" w:line="223" w:lineRule="auto"/>
        <w:jc w:val="right"/>
        <w:bidi/>
      </w:pPr>
      <w:r>
        <w:rPr>
          <w:rFonts w:ascii="Arial" w:hAnsi="Arial"/>
          <w:sz w:val="16"/>
        </w:rPr>
        <w:t>007.12  کد اخلاقی ما در ارزش‌های اصلی ما، سوگندنامه‌های ما، اعتقادنامه هوانوردی، حرفه‌های تسلیحات، راهنمایی‌های وزارت دفاع و USAF، مقررات اخلاقی مشترک، و آیین‌نامه یکسان عدالت نظامی تجویز شده است.</w:t>
      </w:r>
    </w:p>
    <w:p>
      <w:pPr>
        <w:spacing w:after="28" w:line="216" w:lineRule="auto"/>
        <w:ind w:left="259"/>
        <w:jc w:val="left"/>
      </w:pPr>
      <w:r>
        <w:rPr>
          <w:rFonts w:ascii="Arial" w:hAnsi="Arial"/>
          <w:color w:val="525252"/>
          <w:sz w:val="13"/>
        </w:rPr>
        <w:t>Our ethical code is prescribed in our core values, our oaths, the Airman’s Creed, Professions of Arms, DoD and USAF guidance, Joint Ethics Regulation, and the Uniform Code of Military Justice.</w:t>
      </w:r>
    </w:p>
    <w:p>
      <w:pPr>
        <w:spacing w:after="20" w:line="223" w:lineRule="auto"/>
        <w:jc w:val="right"/>
        <w:bidi/>
      </w:pPr>
      <w:r>
        <w:rPr>
          <w:rFonts w:ascii="Arial" w:hAnsi="Arial"/>
          <w:sz w:val="16"/>
        </w:rPr>
        <w:t>007.13  هنگام مواجهه با تصمیمات مربوط به مأموریت، زندگی شخصی یا علاقه همسالان، انتخاب همیشه می‌تواند با در نظر گرفتن کد اخلاقی ما انجام شود.</w:t>
      </w:r>
    </w:p>
    <w:p>
      <w:pPr>
        <w:spacing w:after="28" w:line="216" w:lineRule="auto"/>
        <w:ind w:left="259"/>
        <w:jc w:val="left"/>
      </w:pPr>
      <w:r>
        <w:rPr>
          <w:rFonts w:ascii="Arial" w:hAnsi="Arial"/>
          <w:color w:val="525252"/>
          <w:sz w:val="13"/>
        </w:rPr>
        <w:t>When faced with decisions related to mission, personal life, or the interest of peers, the choice can always be made with consideration for our ethical code.</w:t>
      </w:r>
    </w:p>
    <w:p>
      <w:pPr>
        <w:spacing w:after="20" w:line="223" w:lineRule="auto"/>
        <w:jc w:val="right"/>
        <w:bidi/>
      </w:pPr>
      <w:r>
        <w:rPr>
          <w:rFonts w:ascii="Arial" w:hAnsi="Arial"/>
          <w:sz w:val="16"/>
        </w:rPr>
        <w:t>007.14  اصول و رهنمودها.</w:t>
      </w:r>
    </w:p>
    <w:p>
      <w:pPr>
        <w:spacing w:after="28" w:line="216" w:lineRule="auto"/>
        <w:ind w:left="259"/>
        <w:jc w:val="left"/>
      </w:pPr>
      <w:r>
        <w:rPr>
          <w:rFonts w:ascii="Arial" w:hAnsi="Arial"/>
          <w:color w:val="525252"/>
          <w:sz w:val="13"/>
        </w:rPr>
        <w:t>Principles and Guidelines.</w:t>
      </w:r>
    </w:p>
    <w:p>
      <w:pPr>
        <w:spacing w:after="20" w:line="223" w:lineRule="auto"/>
        <w:jc w:val="right"/>
        <w:bidi/>
      </w:pPr>
      <w:r>
        <w:rPr>
          <w:rFonts w:ascii="Arial" w:hAnsi="Arial"/>
          <w:sz w:val="16"/>
        </w:rPr>
        <w:t>007.15  در منشور اخلاقی ما تعبیه شده است و با شایستگی و شخصیت ما هدایت می‌شود، دستورالعمل‌های کلیدی هستند که به روشن شدن رفتار قابل قبول و غیرقابل قبول، و همچنین ارزش‌های آرزویی در مورد اینکه چه کسی می‌خواهیم باشیم، کمک می‌کنند.</w:t>
      </w:r>
    </w:p>
    <w:p>
      <w:pPr>
        <w:spacing w:after="28" w:line="216" w:lineRule="auto"/>
        <w:ind w:left="259"/>
        <w:jc w:val="left"/>
      </w:pPr>
      <w:r>
        <w:rPr>
          <w:rFonts w:ascii="Arial" w:hAnsi="Arial"/>
          <w:color w:val="525252"/>
          <w:sz w:val="13"/>
        </w:rPr>
        <w:t>Embedded in our code of ethics, and driven by our competence and character, are key guidelines that help clarify acceptable and unacceptable behavior, but also aspirational values about who we want to be.</w:t>
      </w:r>
    </w:p>
    <w:p>
      <w:pPr>
        <w:spacing w:after="20" w:line="223" w:lineRule="auto"/>
        <w:jc w:val="right"/>
        <w:bidi/>
      </w:pPr>
      <w:r>
        <w:rPr>
          <w:rFonts w:ascii="Arial" w:hAnsi="Arial"/>
          <w:sz w:val="16"/>
        </w:rPr>
        <w:t>007.16  از اصول و رهنمودهای اخلاقی می‌توان برای کمک به شناسایی ظاهر حق و ادامه تقویت فرهنگ USAF ما استفاده کرد.</w:t>
      </w:r>
    </w:p>
    <w:p>
      <w:pPr>
        <w:spacing w:after="28" w:line="216" w:lineRule="auto"/>
        <w:ind w:left="259"/>
        <w:jc w:val="left"/>
      </w:pPr>
      <w:r>
        <w:rPr>
          <w:rFonts w:ascii="Arial" w:hAnsi="Arial"/>
          <w:color w:val="525252"/>
          <w:sz w:val="13"/>
        </w:rPr>
        <w:t>Principles and ethical guidelines can be used to help identify what right looks like and continue to fortify our USAF culture.</w:t>
      </w:r>
    </w:p>
    <w:p>
      <w:pPr>
        <w:spacing w:after="20" w:line="223" w:lineRule="auto"/>
        <w:jc w:val="right"/>
        <w:bidi/>
      </w:pPr>
      <w:r>
        <w:rPr>
          <w:rFonts w:ascii="Arial" w:hAnsi="Arial"/>
          <w:sz w:val="16"/>
        </w:rPr>
        <w:t>007.17  عنوان ۵، CFR، قسمت ۲۶۳۵، استانداردهای رفتار اخلاقی برای کارکنان شعبه مجریه، اصول و رهنمودهای اخلاقی اساسی را تعیین می‌کند که باید توسط هر کارمند دولتی رعایت شود.</w:t>
      </w:r>
    </w:p>
    <w:p>
      <w:pPr>
        <w:spacing w:after="28" w:line="216" w:lineRule="auto"/>
        <w:ind w:left="259"/>
        <w:jc w:val="left"/>
      </w:pPr>
      <w:r>
        <w:rPr>
          <w:rFonts w:ascii="Arial" w:hAnsi="Arial"/>
          <w:color w:val="525252"/>
          <w:sz w:val="13"/>
        </w:rPr>
        <w:t>Title 5, CFR, Part 2635, Standards of Ethical Conduct for Employees of the Executive Branch, establishes the basic ethical principles and guidelines that must be followed by every government employee.</w:t>
      </w:r>
    </w:p>
    <w:p>
      <w:pPr>
        <w:spacing w:after="20" w:line="223" w:lineRule="auto"/>
        <w:jc w:val="right"/>
        <w:bidi/>
      </w:pPr>
      <w:r>
        <w:rPr>
          <w:rFonts w:ascii="Arial" w:hAnsi="Arial"/>
          <w:sz w:val="16"/>
        </w:rPr>
        <w:t>007.18  چند نمونه از انتظارات اخلاقی که در مقررات ذکر شده است در اینجا ارائه شده است.</w:t>
      </w:r>
    </w:p>
    <w:p>
      <w:pPr>
        <w:spacing w:after="28" w:line="216" w:lineRule="auto"/>
        <w:ind w:left="259"/>
        <w:jc w:val="left"/>
      </w:pPr>
      <w:r>
        <w:rPr>
          <w:rFonts w:ascii="Arial" w:hAnsi="Arial"/>
          <w:color w:val="525252"/>
          <w:sz w:val="13"/>
        </w:rPr>
        <w:t>A few examples of ethical expectations outlined in the regulation are provided here.</w:t>
      </w:r>
    </w:p>
    <w:p>
      <w:pPr>
        <w:spacing w:after="20" w:line="223" w:lineRule="auto"/>
        <w:jc w:val="right"/>
        <w:bidi/>
      </w:pPr>
      <w:r>
        <w:rPr>
          <w:rFonts w:ascii="Arial" w:hAnsi="Arial"/>
          <w:sz w:val="16"/>
        </w:rPr>
        <w:t>007.19  خدمات عمومی یک اعتماد عمومی است و کارکنان را ملزم می‌کند که وفاداری به قانون اساسی، قوانین و اصول اخلاقی را بالاتر از منافع خصوصی قرار دهند.</w:t>
      </w:r>
    </w:p>
    <w:p>
      <w:pPr>
        <w:spacing w:after="28" w:line="216" w:lineRule="auto"/>
        <w:ind w:left="259"/>
        <w:jc w:val="left"/>
      </w:pPr>
      <w:r>
        <w:rPr>
          <w:rFonts w:ascii="Arial" w:hAnsi="Arial"/>
          <w:color w:val="525252"/>
          <w:sz w:val="13"/>
        </w:rPr>
        <w:t>Public service is a public trust, requiring employees to place loyalty to the Constitution, the laws, and ethical principles, above private gain.</w:t>
      </w:r>
    </w:p>
    <w:p>
      <w:pPr>
        <w:spacing w:after="20" w:line="223" w:lineRule="auto"/>
        <w:jc w:val="right"/>
        <w:bidi/>
      </w:pPr>
      <w:r>
        <w:rPr>
          <w:rFonts w:ascii="Arial" w:hAnsi="Arial"/>
          <w:sz w:val="16"/>
        </w:rPr>
        <w:t>007.20  کارکنان نباید دارای منافع مالی باشند که با انجام وظیفه وجدانی در تضاد باشد.</w:t>
      </w:r>
    </w:p>
    <w:p>
      <w:pPr>
        <w:spacing w:after="28" w:line="216" w:lineRule="auto"/>
        <w:ind w:left="259"/>
        <w:jc w:val="left"/>
      </w:pPr>
      <w:r>
        <w:rPr>
          <w:rFonts w:ascii="Arial" w:hAnsi="Arial"/>
          <w:color w:val="525252"/>
          <w:sz w:val="13"/>
        </w:rPr>
        <w:t>Employees shall not hold financial interests that conflict with the conscientious performance of duty.</w:t>
      </w:r>
    </w:p>
    <w:p>
      <w:pPr>
        <w:spacing w:after="20" w:line="223" w:lineRule="auto"/>
        <w:jc w:val="right"/>
        <w:bidi/>
      </w:pPr>
      <w:r>
        <w:rPr>
          <w:rFonts w:ascii="Arial" w:hAnsi="Arial"/>
          <w:sz w:val="16"/>
        </w:rPr>
        <w:t>007.21  کارکنان نباید از هیچ شخص یا نهادی که به دنبال اقدام رسمی از طرف، انجام تجارت با یا انجام فعالیت‌هایی که توسط آژانس کارمند تنظیم می‌شود، یا منافع آنها تحت تأثیر عملکرد یا عدم انجام وظایف کارمند اساسا تحت تأثیر قرار گیرد، از هیچ هدیه یا اقلامی با ارزش پولی دیگر درخواست یا قبول نکنند.</w:t>
      </w:r>
    </w:p>
    <w:p>
      <w:pPr>
        <w:spacing w:after="28" w:line="216" w:lineRule="auto"/>
        <w:ind w:left="259"/>
        <w:jc w:val="left"/>
      </w:pPr>
      <w:r>
        <w:rPr>
          <w:rFonts w:ascii="Arial" w:hAnsi="Arial"/>
          <w:color w:val="525252"/>
          <w:sz w:val="13"/>
        </w:rPr>
        <w:t>Employees shall not solicit or accept any gift or other item of monetary value from any person or entity seeking official action from, doing business with, or conducting activities regulated by the employee’s agency, or whose interests may be substantially affected by the performance or nonperformance of the employee’s duties.</w:t>
      </w:r>
    </w:p>
    <w:p>
      <w:pPr>
        <w:spacing w:after="20" w:line="223" w:lineRule="auto"/>
        <w:jc w:val="right"/>
        <w:bidi/>
      </w:pPr>
      <w:r>
        <w:rPr>
          <w:rFonts w:ascii="Arial" w:hAnsi="Arial"/>
          <w:sz w:val="16"/>
        </w:rPr>
        <w:t>007.22  کارکنان نباید آگاهانه تعهدات یا وعده‌های غیرمجاز از هر نوع که ادعای تعهد دولت را داشته باشد، بدهند.</w:t>
      </w:r>
    </w:p>
    <w:p>
      <w:pPr>
        <w:spacing w:after="28" w:line="216" w:lineRule="auto"/>
        <w:ind w:left="259"/>
        <w:jc w:val="left"/>
      </w:pPr>
      <w:r>
        <w:rPr>
          <w:rFonts w:ascii="Arial" w:hAnsi="Arial"/>
          <w:color w:val="525252"/>
          <w:sz w:val="13"/>
        </w:rPr>
        <w:t>Employees shall not knowingly make unauthorized commitments or promises of any kind purporting to bind the government.</w:t>
      </w:r>
    </w:p>
    <w:p>
      <w:pPr>
        <w:spacing w:after="20" w:line="223" w:lineRule="auto"/>
        <w:jc w:val="right"/>
        <w:bidi/>
      </w:pPr>
      <w:r>
        <w:rPr>
          <w:rFonts w:ascii="Arial" w:hAnsi="Arial"/>
          <w:sz w:val="16"/>
        </w:rPr>
        <w:t>007.23  کارکنان باید بی‌طرفانه عمل کنند و به هیچ نهاد غیر فدرال (از جمله سازمان خصوصی به رسمیت شناخته‌شده نصب) یا فردی رفتار ترجیحی ندهند.</w:t>
      </w:r>
    </w:p>
    <w:p>
      <w:pPr>
        <w:spacing w:after="28" w:line="216" w:lineRule="auto"/>
        <w:ind w:left="259"/>
        <w:jc w:val="left"/>
      </w:pPr>
      <w:r>
        <w:rPr>
          <w:rFonts w:ascii="Arial" w:hAnsi="Arial"/>
          <w:color w:val="525252"/>
          <w:sz w:val="13"/>
        </w:rPr>
        <w:t>Employees shall act impartially and not give preferential treatment to any non-Federal entity (including installation-recognized private organization) or individual.</w:t>
      </w:r>
    </w:p>
    <w:p>
      <w:pPr>
        <w:spacing w:after="20" w:line="223" w:lineRule="auto"/>
        <w:jc w:val="right"/>
        <w:bidi/>
      </w:pPr>
      <w:r>
        <w:rPr>
          <w:rFonts w:ascii="Arial" w:hAnsi="Arial"/>
          <w:sz w:val="16"/>
        </w:rPr>
        <w:t>007.24  کارکنان باید از اموال فدرال محافظت و حفاظت کنند و نباید از آن برای فعالیت‌های غیر از مجاز استفاده کنند.</w:t>
      </w:r>
    </w:p>
    <w:p>
      <w:pPr>
        <w:spacing w:after="28" w:line="216" w:lineRule="auto"/>
        <w:ind w:left="259"/>
        <w:jc w:val="left"/>
      </w:pPr>
      <w:r>
        <w:rPr>
          <w:rFonts w:ascii="Arial" w:hAnsi="Arial"/>
          <w:color w:val="525252"/>
          <w:sz w:val="13"/>
        </w:rPr>
        <w:t>Employees shall protect and conserve federal property and shall not use it for other than authorized activities.</w:t>
      </w:r>
    </w:p>
    <w:p>
      <w:pPr>
        <w:spacing w:after="20" w:line="223" w:lineRule="auto"/>
        <w:jc w:val="right"/>
        <w:bidi/>
      </w:pPr>
      <w:r>
        <w:rPr>
          <w:rFonts w:ascii="Arial" w:hAnsi="Arial"/>
          <w:sz w:val="16"/>
        </w:rPr>
        <w:t>007.25  کارکنان باید با حسن نیت تعهدات خود را به‌عنوان شهروند، از جمله کلیه تعهدات مالی عادلانه، به‌ویژه مالیات‌های فدرال، ایالتی یا محلی که توسط قانون وضع شده است، انجام دهند.</w:t>
      </w:r>
    </w:p>
    <w:p>
      <w:pPr>
        <w:spacing w:after="28" w:line="216" w:lineRule="auto"/>
        <w:ind w:left="259"/>
        <w:jc w:val="left"/>
      </w:pPr>
      <w:r>
        <w:rPr>
          <w:rFonts w:ascii="Arial" w:hAnsi="Arial"/>
          <w:color w:val="525252"/>
          <w:sz w:val="13"/>
        </w:rPr>
        <w:t>Employees shall satisfy, in good faith, their obligations as citizens, including all just financial obligations, especially federal, state, or local taxes that are imposed by law.</w:t>
      </w:r>
    </w:p>
    <w:p>
      <w:r>
        <w:br w:type="page"/>
      </w:r>
    </w:p>
    <w:p>
      <w:pPr>
        <w:spacing w:after="60"/>
        <w:jc w:val="right"/>
        <w:bidi/>
      </w:pPr>
      <w:r>
        <w:rPr>
          <w:rFonts w:ascii="Arial" w:hAnsi="Arial"/>
          <w:b/>
          <w:color w:val="1F4D78"/>
          <w:sz w:val="19"/>
        </w:rPr>
        <w:t>هفتهٔ 8  |  صفحهٔ منبع: 24</w:t>
      </w:r>
    </w:p>
    <w:p>
      <w:pPr>
        <w:spacing w:after="20" w:line="223" w:lineRule="auto"/>
        <w:jc w:val="right"/>
        <w:bidi/>
      </w:pPr>
      <w:r>
        <w:rPr>
          <w:rFonts w:ascii="Arial" w:hAnsi="Arial"/>
          <w:sz w:val="16"/>
        </w:rPr>
        <w:t>008.01  کارکنان معمولا ممکن است هدایایی را از زیردستان یا کارمندانی که دستمزد کمتری نسبت به خودشان دارند، نپذیرند.</w:t>
      </w:r>
    </w:p>
    <w:p>
      <w:pPr>
        <w:spacing w:after="28" w:line="216" w:lineRule="auto"/>
        <w:ind w:left="259"/>
        <w:jc w:val="left"/>
      </w:pPr>
      <w:r>
        <w:rPr>
          <w:rFonts w:ascii="Arial" w:hAnsi="Arial"/>
          <w:color w:val="525252"/>
          <w:sz w:val="13"/>
        </w:rPr>
        <w:t>Employees may generally not accept gifts from subordinates or employees that make less pay than themselves.</w:t>
      </w:r>
    </w:p>
    <w:p>
      <w:pPr>
        <w:spacing w:after="20" w:line="223" w:lineRule="auto"/>
        <w:jc w:val="right"/>
        <w:bidi/>
      </w:pPr>
      <w:r>
        <w:rPr>
          <w:rFonts w:ascii="Arial" w:hAnsi="Arial"/>
          <w:sz w:val="16"/>
        </w:rPr>
        <w:t>008.02  کارمندان نمی‌توانند از سایر پرسنل برای هدیه به مافوق درخواست کمک مالی یا کمکی بکنند، برای هدیه به مقام مافوق هدایایی بدهند، یا هدیه‌ای از کارکنان زیرمجموعه بپذیرند، به استثنای هدایای داوطلبانه یا کمک‌هایی با ارزش اسمی (که از ۱۰ دلار تجاوز نمی‌کند)، در مناسبت‌هایی که دارای اهمیت شخصی خاص یا تولد کودک است روابط مافوق و زیردست، مانند بازنشستگی، تغییر دائمی ایستگاه یا مأموریت.</w:t>
      </w:r>
    </w:p>
    <w:p>
      <w:pPr>
        <w:spacing w:after="28" w:line="216" w:lineRule="auto"/>
        <w:ind w:left="259"/>
        <w:jc w:val="left"/>
      </w:pPr>
      <w:r>
        <w:rPr>
          <w:rFonts w:ascii="Arial" w:hAnsi="Arial"/>
          <w:color w:val="525252"/>
          <w:sz w:val="13"/>
        </w:rPr>
        <w:t>Employees may not solicit a donation or a contribution from other personnel for a gift to a superior, make a donation for a gift to a superior official, or accept a gift from subordinate personnel, except for voluntary gifts or contributions of nominal value (not to exceed $10), on occasions of special personal significance (such as marriage or birth of a child), or occasions that terminate the superior-subordinate relationship, such as retirement, permanent change of station or assignment.</w:t>
      </w:r>
    </w:p>
    <w:p>
      <w:pPr>
        <w:spacing w:after="20" w:line="223" w:lineRule="auto"/>
        <w:jc w:val="right"/>
        <w:bidi/>
      </w:pPr>
      <w:r>
        <w:rPr>
          <w:rFonts w:ascii="Arial" w:hAnsi="Arial"/>
          <w:sz w:val="16"/>
        </w:rPr>
        <w:t>008.03  ۱.۴.۱.</w:t>
      </w:r>
    </w:p>
    <w:p>
      <w:pPr>
        <w:spacing w:after="28" w:line="216" w:lineRule="auto"/>
        <w:ind w:left="259"/>
        <w:jc w:val="left"/>
      </w:pPr>
      <w:r>
        <w:rPr>
          <w:rFonts w:ascii="Arial" w:hAnsi="Arial"/>
          <w:color w:val="525252"/>
          <w:sz w:val="13"/>
        </w:rPr>
        <w:t>1.4.1.</w:t>
      </w:r>
    </w:p>
    <w:p>
      <w:pPr>
        <w:spacing w:after="20" w:line="223" w:lineRule="auto"/>
        <w:jc w:val="right"/>
        <w:bidi/>
      </w:pPr>
      <w:r>
        <w:rPr>
          <w:rFonts w:ascii="Arial" w:hAnsi="Arial"/>
          <w:sz w:val="16"/>
        </w:rPr>
        <w:t>008.04  معضل اخلاقی معضل اخلاقی وضعیتی است که در آن فرد مجبور می‌شود بین حداقل دو گزینه یکی را انتخاب کند.</w:t>
      </w:r>
    </w:p>
    <w:p>
      <w:pPr>
        <w:spacing w:after="28" w:line="216" w:lineRule="auto"/>
        <w:ind w:left="259"/>
        <w:jc w:val="left"/>
      </w:pPr>
      <w:r>
        <w:rPr>
          <w:rFonts w:ascii="Arial" w:hAnsi="Arial"/>
          <w:color w:val="525252"/>
          <w:sz w:val="13"/>
        </w:rPr>
        <w:t>Ethical Dilemma An ethical dilemma is a situation where one is forced to choose between at least two alternatives.</w:t>
      </w:r>
    </w:p>
    <w:p>
      <w:pPr>
        <w:spacing w:after="20" w:line="223" w:lineRule="auto"/>
        <w:jc w:val="right"/>
        <w:bidi/>
      </w:pPr>
      <w:r>
        <w:rPr>
          <w:rFonts w:ascii="Arial" w:hAnsi="Arial"/>
          <w:sz w:val="16"/>
        </w:rPr>
        <w:t>008.05  سه علت یا منبع کلی معضلات اخلاقی عبارتند از: عدم اطمینان، ارزش‌های رقابتی و آسیب احتمالی.</w:t>
      </w:r>
    </w:p>
    <w:p>
      <w:pPr>
        <w:spacing w:after="28" w:line="216" w:lineRule="auto"/>
        <w:ind w:left="259"/>
        <w:jc w:val="left"/>
      </w:pPr>
      <w:r>
        <w:rPr>
          <w:rFonts w:ascii="Arial" w:hAnsi="Arial"/>
          <w:color w:val="525252"/>
          <w:sz w:val="13"/>
        </w:rPr>
        <w:t>Three general causes or sources of ethical dilemmas are: uncertainty, competing values, and potential harm.</w:t>
      </w:r>
    </w:p>
    <w:p>
      <w:pPr>
        <w:spacing w:after="20" w:line="223" w:lineRule="auto"/>
        <w:jc w:val="right"/>
        <w:bidi/>
      </w:pPr>
      <w:r>
        <w:rPr>
          <w:rFonts w:ascii="Arial" w:hAnsi="Arial"/>
          <w:sz w:val="16"/>
        </w:rPr>
        <w:t>008.06  عدم قطعیت نتیجه نداشتن تمام حقایق مربوط به یک موقعیت است. نداشتن تجربه کافی برای رویارویی با یک موقعیت؛ یا نداشتن یک خط‌مشی، رویه یا قوانین مشخص برای تصمیم‌گیری در مورد چگونگی تصمیم‌گیری بهینه.</w:t>
      </w:r>
    </w:p>
    <w:p>
      <w:pPr>
        <w:spacing w:after="28" w:line="216" w:lineRule="auto"/>
        <w:ind w:left="259"/>
        <w:jc w:val="left"/>
      </w:pPr>
      <w:r>
        <w:rPr>
          <w:rFonts w:ascii="Arial" w:hAnsi="Arial"/>
          <w:color w:val="525252"/>
          <w:sz w:val="13"/>
        </w:rPr>
        <w:t>Uncertainty is the result of not having all the facts pertaining to a situation; not having enough experience for dealing with a situation; or not having a clearly established policy, procedure, or rules for deciding how to make an optimal decision.</w:t>
      </w:r>
    </w:p>
    <w:p>
      <w:pPr>
        <w:spacing w:after="20" w:line="223" w:lineRule="auto"/>
        <w:jc w:val="right"/>
        <w:bidi/>
      </w:pPr>
      <w:r>
        <w:rPr>
          <w:rFonts w:ascii="Arial" w:hAnsi="Arial"/>
          <w:sz w:val="16"/>
        </w:rPr>
        <w:t>008.07  ارزش‌های رقیب زمانی رخ می‌دهند که ارزش‌های شخصی ما با ارزش‌های موسسه، زیردستان، همتایان یا سرپرستان در تضاد باشد. با این حال، نشان یک حرفه‌ای واقعی حفظ استانداردهای حرفه‌ای بالا با وجود ارزش‌های متضاد با تعیین ارزش‌های متضاد، سنجش گزینه‌ها و تصمیم‌گیری در مورد بهترین اقدام است.</w:t>
      </w:r>
    </w:p>
    <w:p>
      <w:pPr>
        <w:spacing w:after="28" w:line="216" w:lineRule="auto"/>
        <w:ind w:left="259"/>
        <w:jc w:val="left"/>
      </w:pPr>
      <w:r>
        <w:rPr>
          <w:rFonts w:ascii="Arial" w:hAnsi="Arial"/>
          <w:color w:val="525252"/>
          <w:sz w:val="13"/>
        </w:rPr>
        <w:t>Competing values occur when our personal values conflict with those of our institution, subordinates, peers, or supervisors; however, the mark of a true professional is maintaining high professional standards despite conflicting values by locating the conflicting values, weighing one’s options, and deciding upon the best course of action.</w:t>
      </w:r>
    </w:p>
    <w:p>
      <w:pPr>
        <w:spacing w:after="20" w:line="223" w:lineRule="auto"/>
        <w:jc w:val="right"/>
        <w:bidi/>
      </w:pPr>
      <w:r>
        <w:rPr>
          <w:rFonts w:ascii="Arial" w:hAnsi="Arial"/>
          <w:sz w:val="16"/>
        </w:rPr>
        <w:t>008.08  آسیب بالقوه به پیامدهای عمدی و غیرعمدی کوتاه مدت و بلندمدت ناشی از اعمال ما مربوط می‌شود.</w:t>
      </w:r>
    </w:p>
    <w:p>
      <w:pPr>
        <w:spacing w:after="28" w:line="216" w:lineRule="auto"/>
        <w:ind w:left="259"/>
        <w:jc w:val="left"/>
      </w:pPr>
      <w:r>
        <w:rPr>
          <w:rFonts w:ascii="Arial" w:hAnsi="Arial"/>
          <w:color w:val="525252"/>
          <w:sz w:val="13"/>
        </w:rPr>
        <w:t>Potential harm relates to the intentional and unintentional short and long- term consequences caused by our actions.</w:t>
      </w:r>
    </w:p>
    <w:p>
      <w:pPr>
        <w:spacing w:after="20" w:line="223" w:lineRule="auto"/>
        <w:jc w:val="right"/>
        <w:bidi/>
      </w:pPr>
      <w:r>
        <w:rPr>
          <w:rFonts w:ascii="Arial" w:hAnsi="Arial"/>
          <w:sz w:val="16"/>
        </w:rPr>
        <w:t>008.09  تصمیمات و اقدامات.</w:t>
      </w:r>
    </w:p>
    <w:p>
      <w:pPr>
        <w:spacing w:after="28" w:line="216" w:lineRule="auto"/>
        <w:ind w:left="259"/>
        <w:jc w:val="left"/>
      </w:pPr>
      <w:r>
        <w:rPr>
          <w:rFonts w:ascii="Arial" w:hAnsi="Arial"/>
          <w:color w:val="525252"/>
          <w:sz w:val="13"/>
        </w:rPr>
        <w:t>Decisions and Actions.</w:t>
      </w:r>
    </w:p>
    <w:p>
      <w:pPr>
        <w:spacing w:after="20" w:line="223" w:lineRule="auto"/>
        <w:jc w:val="right"/>
        <w:bidi/>
      </w:pPr>
      <w:r>
        <w:rPr>
          <w:rFonts w:ascii="Arial" w:hAnsi="Arial"/>
          <w:sz w:val="16"/>
        </w:rPr>
        <w:t>008.10  به‌عنوان هوانورد، ما باید همیشه در مورد اثرات مرتبه دوم و سوم اعمال خود فکر کنیم.</w:t>
      </w:r>
    </w:p>
    <w:p>
      <w:pPr>
        <w:spacing w:after="28" w:line="216" w:lineRule="auto"/>
        <w:ind w:left="259"/>
        <w:jc w:val="left"/>
      </w:pPr>
      <w:r>
        <w:rPr>
          <w:rFonts w:ascii="Arial" w:hAnsi="Arial"/>
          <w:color w:val="525252"/>
          <w:sz w:val="13"/>
        </w:rPr>
        <w:t>As Airmen, we should always think through second and third order effects of our actions.</w:t>
      </w:r>
    </w:p>
    <w:p>
      <w:pPr>
        <w:spacing w:after="20" w:line="223" w:lineRule="auto"/>
        <w:jc w:val="right"/>
        <w:bidi/>
      </w:pPr>
      <w:r>
        <w:rPr>
          <w:rFonts w:ascii="Arial" w:hAnsi="Arial"/>
          <w:sz w:val="16"/>
        </w:rPr>
        <w:t>008.11  ما باید حس نظم را در اولویت‌های خود به کار ببریم، بنابراین می‌توانیم بر وسوسه دور شدن از هنجارها و ارزش‌های نظامی خود غلبه کنیم.</w:t>
      </w:r>
    </w:p>
    <w:p>
      <w:pPr>
        <w:spacing w:after="28" w:line="216" w:lineRule="auto"/>
        <w:ind w:left="259"/>
        <w:jc w:val="left"/>
      </w:pPr>
      <w:r>
        <w:rPr>
          <w:rFonts w:ascii="Arial" w:hAnsi="Arial"/>
          <w:color w:val="525252"/>
          <w:sz w:val="13"/>
        </w:rPr>
        <w:t>We must apply a sense of order to our priorities, so we are able to overcome temptation to stray from our military norms and values.</w:t>
      </w:r>
    </w:p>
    <w:p>
      <w:pPr>
        <w:spacing w:after="20" w:line="223" w:lineRule="auto"/>
        <w:jc w:val="right"/>
        <w:bidi/>
      </w:pPr>
      <w:r>
        <w:rPr>
          <w:rFonts w:ascii="Arial" w:hAnsi="Arial"/>
          <w:sz w:val="16"/>
        </w:rPr>
        <w:t>008.12  وقتی به این فکر می‌کنید که چه کاری باید انجام دهید، با فهرست کردن بهترین گزینه‌ها و ایده‌های بررسی کیفیت برای انتخاب مسیر درست، راه‌های عمل ممکن را در نظر بگیرید.</w:t>
      </w:r>
    </w:p>
    <w:p>
      <w:pPr>
        <w:spacing w:after="28" w:line="216" w:lineRule="auto"/>
        <w:ind w:left="259"/>
        <w:jc w:val="left"/>
      </w:pPr>
      <w:r>
        <w:rPr>
          <w:rFonts w:ascii="Arial" w:hAnsi="Arial"/>
          <w:color w:val="525252"/>
          <w:sz w:val="13"/>
        </w:rPr>
        <w:t>When contemplating what to do, consider possible courses of action by listing the best options and quality checking ideas to take the right path.</w:t>
      </w:r>
    </w:p>
    <w:p>
      <w:pPr>
        <w:spacing w:after="20" w:line="223" w:lineRule="auto"/>
        <w:jc w:val="right"/>
        <w:bidi/>
      </w:pPr>
      <w:r>
        <w:rPr>
          <w:rFonts w:ascii="Arial" w:hAnsi="Arial"/>
          <w:sz w:val="16"/>
        </w:rPr>
        <w:t>008.13  در صورت امکان، فرآیند تصمیم‌گیری را به سطح بعدی ببرید و هر اقدامی را مورد آزمایش قرار دهید. دکتر رابرت ام. هیکس، معاون سابق گشت هوایی غیرنظامی، خدمات روحانی، سه آزمون را شناسایی کرد که می‌توانیم از آنها برای بررسی اخلاقی بودن اعمال و تصمیمات خود استفاده کنیم.</w:t>
      </w:r>
    </w:p>
    <w:p>
      <w:pPr>
        <w:spacing w:after="28" w:line="216" w:lineRule="auto"/>
        <w:ind w:left="259"/>
        <w:jc w:val="left"/>
      </w:pPr>
      <w:r>
        <w:rPr>
          <w:rFonts w:ascii="Arial" w:hAnsi="Arial"/>
          <w:color w:val="525252"/>
          <w:sz w:val="13"/>
        </w:rPr>
        <w:t>When possible, take the decision process to the next level and put each course of action to the test. Dr. Robert M. Hicks, former Deputy Director of the Civil Air Patrol, Chaplain Services, identified three tests we can use to check the morality of our actions and decisions.</w:t>
      </w:r>
    </w:p>
    <w:p>
      <w:pPr>
        <w:spacing w:after="20" w:line="223" w:lineRule="auto"/>
        <w:jc w:val="right"/>
        <w:bidi/>
      </w:pPr>
      <w:r>
        <w:rPr>
          <w:rFonts w:ascii="Arial" w:hAnsi="Arial"/>
          <w:sz w:val="16"/>
        </w:rPr>
        <w:t>008.14  تست شبکه.</w:t>
      </w:r>
    </w:p>
    <w:p>
      <w:pPr>
        <w:spacing w:after="28" w:line="216" w:lineRule="auto"/>
        <w:ind w:left="259"/>
        <w:jc w:val="left"/>
      </w:pPr>
      <w:r>
        <w:rPr>
          <w:rFonts w:ascii="Arial" w:hAnsi="Arial"/>
          <w:color w:val="525252"/>
          <w:sz w:val="13"/>
        </w:rPr>
        <w:t>The Network Test.</w:t>
      </w:r>
    </w:p>
    <w:p>
      <w:pPr>
        <w:spacing w:after="20" w:line="223" w:lineRule="auto"/>
        <w:jc w:val="right"/>
        <w:bidi/>
      </w:pPr>
      <w:r>
        <w:rPr>
          <w:rFonts w:ascii="Arial" w:hAnsi="Arial"/>
          <w:sz w:val="16"/>
        </w:rPr>
        <w:t>008.15  آزمون شبکه شامل این است که از خود بپرسید، "اگر این تصمیم در اخبار یا رسانه‌های اجتماعی پخش شود چگونه به نظر می‌رسد؟" اگر اقدامات شما در اخبار شبانگاهی پخش می‌شد، آیا به عملکرد خود افتخار می‌کردید یا خجالت می‌کشیدید؟</w:t>
      </w:r>
    </w:p>
    <w:p>
      <w:pPr>
        <w:spacing w:after="28" w:line="216" w:lineRule="auto"/>
        <w:ind w:left="259"/>
        <w:jc w:val="left"/>
      </w:pPr>
      <w:r>
        <w:rPr>
          <w:rFonts w:ascii="Arial" w:hAnsi="Arial"/>
          <w:color w:val="525252"/>
          <w:sz w:val="13"/>
        </w:rPr>
        <w:t>The network test consists of asking yourself, “How would this decision look if it was aired on the news or social media?” If your actions were broadcast on the evening news, would you be proud of your actions or ashamed?</w:t>
      </w:r>
    </w:p>
    <w:p>
      <w:pPr>
        <w:spacing w:after="20" w:line="223" w:lineRule="auto"/>
        <w:jc w:val="right"/>
        <w:bidi/>
      </w:pPr>
      <w:r>
        <w:rPr>
          <w:rFonts w:ascii="Arial" w:hAnsi="Arial"/>
          <w:sz w:val="16"/>
        </w:rPr>
        <w:t>008.16  آیا اقدامات شما اعتباری برای شما و USAF ایجاد می‌کند یا شما یا کسانی را که مدیون ما هستیم بی‌اعتبار می‌کند؟</w:t>
      </w:r>
    </w:p>
    <w:p>
      <w:pPr>
        <w:spacing w:after="28" w:line="216" w:lineRule="auto"/>
        <w:ind w:left="259"/>
        <w:jc w:val="left"/>
      </w:pPr>
      <w:r>
        <w:rPr>
          <w:rFonts w:ascii="Arial" w:hAnsi="Arial"/>
          <w:color w:val="525252"/>
          <w:sz w:val="13"/>
        </w:rPr>
        <w:t>Would your actions bring credit to yourself and the USAF or would they discredit yourself or those we owe?</w:t>
      </w:r>
    </w:p>
    <w:p>
      <w:pPr>
        <w:spacing w:after="20" w:line="223" w:lineRule="auto"/>
        <w:jc w:val="right"/>
        <w:bidi/>
      </w:pPr>
      <w:r>
        <w:rPr>
          <w:rFonts w:ascii="Arial" w:hAnsi="Arial"/>
          <w:sz w:val="16"/>
        </w:rPr>
        <w:t>008.17  اگر متوجه شدید که تمایل به پاسخ منفی به این سوالات دارید، پس تصمیم شما از آزمون شبکه عبور نمی‌کند.</w:t>
      </w:r>
    </w:p>
    <w:p>
      <w:pPr>
        <w:spacing w:after="28" w:line="216" w:lineRule="auto"/>
        <w:ind w:left="259"/>
        <w:jc w:val="left"/>
      </w:pPr>
      <w:r>
        <w:rPr>
          <w:rFonts w:ascii="Arial" w:hAnsi="Arial"/>
          <w:color w:val="525252"/>
          <w:sz w:val="13"/>
        </w:rPr>
        <w:t>If you find yourself leaning toward a negative response to these questions, then your decision doesn’t pass the network test.</w:t>
      </w:r>
    </w:p>
    <w:p>
      <w:pPr>
        <w:spacing w:after="20" w:line="223" w:lineRule="auto"/>
        <w:jc w:val="right"/>
        <w:bidi/>
      </w:pPr>
      <w:r>
        <w:rPr>
          <w:rFonts w:ascii="Arial" w:hAnsi="Arial"/>
          <w:sz w:val="16"/>
        </w:rPr>
        <w:t>008.18  تست ایالات متحده آمریکا.</w:t>
      </w:r>
    </w:p>
    <w:p>
      <w:pPr>
        <w:spacing w:after="28" w:line="216" w:lineRule="auto"/>
        <w:ind w:left="259"/>
        <w:jc w:val="left"/>
      </w:pPr>
      <w:r>
        <w:rPr>
          <w:rFonts w:ascii="Arial" w:hAnsi="Arial"/>
          <w:color w:val="525252"/>
          <w:sz w:val="13"/>
        </w:rPr>
        <w:t>The United States of America Test.</w:t>
      </w:r>
    </w:p>
    <w:p>
      <w:pPr>
        <w:spacing w:after="20" w:line="223" w:lineRule="auto"/>
        <w:jc w:val="right"/>
        <w:bidi/>
      </w:pPr>
      <w:r>
        <w:rPr>
          <w:rFonts w:ascii="Arial" w:hAnsi="Arial"/>
          <w:sz w:val="16"/>
        </w:rPr>
        <w:t>008.19  آزمون ایالات متحده آمریکا بر این موضوع متمرکز است که از خود بپرسید: «آیا این تصمیم برای ایالات متحده خوب است؟</w:t>
      </w:r>
    </w:p>
    <w:p>
      <w:pPr>
        <w:spacing w:after="28" w:line="216" w:lineRule="auto"/>
        <w:ind w:left="259"/>
        <w:jc w:val="left"/>
      </w:pPr>
      <w:r>
        <w:rPr>
          <w:rFonts w:ascii="Arial" w:hAnsi="Arial"/>
          <w:color w:val="525252"/>
          <w:sz w:val="13"/>
        </w:rPr>
        <w:t>The United States of America test focuses on asking yourself, “Is this decision good for the United States?</w:t>
      </w:r>
    </w:p>
    <w:p>
      <w:pPr>
        <w:spacing w:after="20" w:line="223" w:lineRule="auto"/>
        <w:jc w:val="right"/>
        <w:bidi/>
      </w:pPr>
      <w:r>
        <w:rPr>
          <w:rFonts w:ascii="Arial" w:hAnsi="Arial"/>
          <w:sz w:val="16"/>
        </w:rPr>
        <w:t>008.20  آیا این تصمیم برای USAF خوب است؟</w:t>
      </w:r>
    </w:p>
    <w:p>
      <w:pPr>
        <w:spacing w:after="28" w:line="216" w:lineRule="auto"/>
        <w:ind w:left="259"/>
        <w:jc w:val="left"/>
      </w:pPr>
      <w:r>
        <w:rPr>
          <w:rFonts w:ascii="Arial" w:hAnsi="Arial"/>
          <w:color w:val="525252"/>
          <w:sz w:val="13"/>
        </w:rPr>
        <w:t>Is this decision good for the USAF?</w:t>
      </w:r>
    </w:p>
    <w:p>
      <w:pPr>
        <w:spacing w:after="20" w:line="223" w:lineRule="auto"/>
        <w:jc w:val="right"/>
        <w:bidi/>
      </w:pPr>
      <w:r>
        <w:rPr>
          <w:rFonts w:ascii="Arial" w:hAnsi="Arial"/>
          <w:sz w:val="16"/>
        </w:rPr>
        <w:t>008.21  آیا این تصمیم برای واحد من (ما) خوب است؟</w:t>
      </w:r>
    </w:p>
    <w:p>
      <w:pPr>
        <w:spacing w:after="28" w:line="216" w:lineRule="auto"/>
        <w:ind w:left="259"/>
        <w:jc w:val="left"/>
      </w:pPr>
      <w:r>
        <w:rPr>
          <w:rFonts w:ascii="Arial" w:hAnsi="Arial"/>
          <w:color w:val="525252"/>
          <w:sz w:val="13"/>
        </w:rPr>
        <w:t>Is this decision good for my unit (us)?</w:t>
      </w:r>
    </w:p>
    <w:p>
      <w:pPr>
        <w:spacing w:after="20" w:line="223" w:lineRule="auto"/>
        <w:jc w:val="right"/>
        <w:bidi/>
      </w:pPr>
      <w:r>
        <w:rPr>
          <w:rFonts w:ascii="Arial" w:hAnsi="Arial"/>
          <w:sz w:val="16"/>
        </w:rPr>
        <w:t>008.22  آیا این تصمیم برای من خوب است؟ اگر این مسیر را انجام دهید، آیا اولویت‌های خود را به درستی ترتیب می‌دهید؟</w:t>
      </w:r>
    </w:p>
    <w:p>
      <w:pPr>
        <w:spacing w:after="28" w:line="216" w:lineRule="auto"/>
        <w:ind w:left="259"/>
        <w:jc w:val="left"/>
      </w:pPr>
      <w:r>
        <w:rPr>
          <w:rFonts w:ascii="Arial" w:hAnsi="Arial"/>
          <w:color w:val="525252"/>
          <w:sz w:val="13"/>
        </w:rPr>
        <w:t>Is this decision good for me?” If you take this course of action, are you properly ordering your priorities?</w:t>
      </w:r>
    </w:p>
    <w:p>
      <w:pPr>
        <w:spacing w:after="20" w:line="223" w:lineRule="auto"/>
        <w:jc w:val="right"/>
        <w:bidi/>
      </w:pPr>
      <w:r>
        <w:rPr>
          <w:rFonts w:ascii="Arial" w:hAnsi="Arial"/>
          <w:sz w:val="16"/>
        </w:rPr>
        <w:t>008.23  اگر نمی‌توانید با یک بله قاطع پاسخ دهید، ممکن است این بهترین تصمیم نباشد.</w:t>
      </w:r>
    </w:p>
    <w:p>
      <w:pPr>
        <w:spacing w:after="28" w:line="216" w:lineRule="auto"/>
        <w:ind w:left="259"/>
        <w:jc w:val="left"/>
      </w:pPr>
      <w:r>
        <w:rPr>
          <w:rFonts w:ascii="Arial" w:hAnsi="Arial"/>
          <w:color w:val="525252"/>
          <w:sz w:val="13"/>
        </w:rPr>
        <w:t>If you can’t answer with a resounding yes, this might not be the best decision.</w:t>
      </w:r>
    </w:p>
    <w:p>
      <w:pPr>
        <w:spacing w:after="20" w:line="223" w:lineRule="auto"/>
        <w:jc w:val="right"/>
        <w:bidi/>
      </w:pPr>
      <w:r>
        <w:rPr>
          <w:rFonts w:ascii="Arial" w:hAnsi="Arial"/>
          <w:sz w:val="16"/>
        </w:rPr>
        <w:t>008.24  امتحان الهی.</w:t>
      </w:r>
    </w:p>
    <w:p>
      <w:pPr>
        <w:spacing w:after="28" w:line="216" w:lineRule="auto"/>
        <w:ind w:left="259"/>
        <w:jc w:val="left"/>
      </w:pPr>
      <w:r>
        <w:rPr>
          <w:rFonts w:ascii="Arial" w:hAnsi="Arial"/>
          <w:color w:val="525252"/>
          <w:sz w:val="13"/>
        </w:rPr>
        <w:t>The Divine Test.</w:t>
      </w:r>
    </w:p>
    <w:p>
      <w:pPr>
        <w:spacing w:after="20" w:line="223" w:lineRule="auto"/>
        <w:jc w:val="right"/>
        <w:bidi/>
      </w:pPr>
      <w:r>
        <w:rPr>
          <w:rFonts w:ascii="Arial" w:hAnsi="Arial"/>
          <w:sz w:val="16"/>
        </w:rPr>
        <w:t>008.25  آزمون الهی با این سوال است که از خود بپرسید: "آیا وقتی برای زندگی خود حساب می‌کنم، از تصمیمی که گرفتم احساس خوبی دارم؟" در هنگام بیان ماجرای خدمت افتخارآمیز و افتخارآفرین خود به کشورمان، در مورد این تصمیم صحبتی هم می‌کنید؟</w:t>
      </w:r>
    </w:p>
    <w:p>
      <w:pPr>
        <w:spacing w:after="28" w:line="216" w:lineRule="auto"/>
        <w:ind w:left="259"/>
        <w:jc w:val="left"/>
      </w:pPr>
      <w:r>
        <w:rPr>
          <w:rFonts w:ascii="Arial" w:hAnsi="Arial"/>
          <w:color w:val="525252"/>
          <w:sz w:val="13"/>
        </w:rPr>
        <w:t>The divine test deals with asking yourself, “Would I feel good about the decision when I give account for my life?” When telling the story of your proud and honorable service to our country, would you include conversation about this decision?</w:t>
      </w:r>
    </w:p>
    <w:p>
      <w:pPr>
        <w:spacing w:after="20" w:line="223" w:lineRule="auto"/>
        <w:jc w:val="right"/>
        <w:bidi/>
      </w:pPr>
      <w:r>
        <w:rPr>
          <w:rFonts w:ascii="Arial" w:hAnsi="Arial"/>
          <w:sz w:val="16"/>
        </w:rPr>
        <w:t>008.26  آیا از این اقدام احساس گناه می‌کنید یا اعتماد خود را از دست می‌دهید؟</w:t>
      </w:r>
    </w:p>
    <w:p>
      <w:pPr>
        <w:spacing w:after="28" w:line="216" w:lineRule="auto"/>
        <w:ind w:left="259"/>
        <w:jc w:val="left"/>
      </w:pPr>
      <w:r>
        <w:rPr>
          <w:rFonts w:ascii="Arial" w:hAnsi="Arial"/>
          <w:color w:val="525252"/>
          <w:sz w:val="13"/>
        </w:rPr>
        <w:t>Would you feel guilt or loss of trust from this action?</w:t>
      </w:r>
    </w:p>
    <w:p>
      <w:pPr>
        <w:spacing w:after="20" w:line="223" w:lineRule="auto"/>
        <w:jc w:val="right"/>
        <w:bidi/>
      </w:pPr>
      <w:r>
        <w:rPr>
          <w:rFonts w:ascii="Arial" w:hAnsi="Arial"/>
          <w:sz w:val="16"/>
        </w:rPr>
        <w:t>008.27  اگر نتوانید با اطمینان پاسخ مثبت بدهید، مسیر عمل در امتحان الهی مردود است.</w:t>
      </w:r>
    </w:p>
    <w:p>
      <w:pPr>
        <w:spacing w:after="28" w:line="216" w:lineRule="auto"/>
        <w:ind w:left="259"/>
        <w:jc w:val="left"/>
      </w:pPr>
      <w:r>
        <w:rPr>
          <w:rFonts w:ascii="Arial" w:hAnsi="Arial"/>
          <w:color w:val="525252"/>
          <w:sz w:val="13"/>
        </w:rPr>
        <w:t>If you can’t confidently provide a positive response, the course of action fails the divine test.</w:t>
      </w:r>
    </w:p>
    <w:p>
      <w:pPr>
        <w:spacing w:after="20" w:line="223" w:lineRule="auto"/>
        <w:jc w:val="right"/>
        <w:bidi/>
      </w:pPr>
      <w:r>
        <w:rPr>
          <w:rFonts w:ascii="Arial" w:hAnsi="Arial"/>
          <w:sz w:val="16"/>
        </w:rPr>
        <w:t>008.28  ۱.۴.۲.</w:t>
      </w:r>
    </w:p>
    <w:p>
      <w:pPr>
        <w:spacing w:after="28" w:line="216" w:lineRule="auto"/>
        <w:ind w:left="259"/>
        <w:jc w:val="left"/>
      </w:pPr>
      <w:r>
        <w:rPr>
          <w:rFonts w:ascii="Arial" w:hAnsi="Arial"/>
          <w:color w:val="525252"/>
          <w:sz w:val="13"/>
        </w:rPr>
        <w:t>1.4.2.</w:t>
      </w:r>
    </w:p>
    <w:p>
      <w:pPr>
        <w:spacing w:after="20" w:line="223" w:lineRule="auto"/>
        <w:jc w:val="right"/>
        <w:bidi/>
      </w:pPr>
      <w:r>
        <w:rPr>
          <w:rFonts w:ascii="Arial" w:hAnsi="Arial"/>
          <w:sz w:val="16"/>
        </w:rPr>
        <w:t>008.29  خصوصیات ارجمند هوانوردان سابقه شجاعت، شجاعت و فداکاری دارند.</w:t>
      </w:r>
    </w:p>
    <w:p>
      <w:pPr>
        <w:spacing w:after="28" w:line="216" w:lineRule="auto"/>
        <w:ind w:left="259"/>
        <w:jc w:val="left"/>
      </w:pPr>
      <w:r>
        <w:rPr>
          <w:rFonts w:ascii="Arial" w:hAnsi="Arial"/>
          <w:color w:val="525252"/>
          <w:sz w:val="13"/>
        </w:rPr>
        <w:t>Honorable Characteristics Airmen share a history of valor, courage, and sacrifice.</w:t>
      </w:r>
    </w:p>
    <w:p>
      <w:pPr>
        <w:spacing w:after="20" w:line="223" w:lineRule="auto"/>
        <w:jc w:val="right"/>
        <w:bidi/>
      </w:pPr>
      <w:r>
        <w:rPr>
          <w:rFonts w:ascii="Arial" w:hAnsi="Arial"/>
          <w:sz w:val="16"/>
        </w:rPr>
        <w:t>008.30  از اولین روزهای قدرت هوایی تا ارتفاعات فضا، هوانوردان میراث خارق العاده‌ای ساخته‌اند که پایه و اساس یک</w:t>
      </w:r>
    </w:p>
    <w:p>
      <w:pPr>
        <w:spacing w:after="28" w:line="216" w:lineRule="auto"/>
        <w:ind w:left="259"/>
        <w:jc w:val="left"/>
      </w:pPr>
      <w:r>
        <w:rPr>
          <w:rFonts w:ascii="Arial" w:hAnsi="Arial"/>
          <w:color w:val="525252"/>
          <w:sz w:val="13"/>
        </w:rPr>
        <w:t>From the earliest days of airpower to the heights of space, Airmen have built an extraordinary heritage that forms the foundation for a</w:t>
      </w:r>
    </w:p>
    <w:p>
      <w:r>
        <w:br w:type="page"/>
      </w:r>
    </w:p>
    <w:p>
      <w:pPr>
        <w:spacing w:after="60"/>
        <w:jc w:val="right"/>
        <w:bidi/>
      </w:pPr>
      <w:r>
        <w:rPr>
          <w:rFonts w:ascii="Arial" w:hAnsi="Arial"/>
          <w:b/>
          <w:color w:val="1F4D78"/>
          <w:sz w:val="19"/>
        </w:rPr>
        <w:t>هفتهٔ 9  |  صفحهٔ منبع: 25</w:t>
      </w:r>
    </w:p>
    <w:p>
      <w:pPr>
        <w:spacing w:after="20" w:line="223" w:lineRule="auto"/>
        <w:jc w:val="right"/>
        <w:bidi/>
      </w:pPr>
      <w:r>
        <w:rPr>
          <w:rFonts w:ascii="Arial" w:hAnsi="Arial"/>
          <w:sz w:val="16"/>
        </w:rPr>
        <w:t>009.01  افق بی کران.</w:t>
      </w:r>
    </w:p>
    <w:p>
      <w:pPr>
        <w:spacing w:after="28" w:line="216" w:lineRule="auto"/>
        <w:ind w:left="259"/>
        <w:jc w:val="left"/>
      </w:pPr>
      <w:r>
        <w:rPr>
          <w:rFonts w:ascii="Arial" w:hAnsi="Arial"/>
          <w:color w:val="525252"/>
          <w:sz w:val="13"/>
        </w:rPr>
        <w:t>boundless horizon.</w:t>
      </w:r>
    </w:p>
    <w:p>
      <w:pPr>
        <w:spacing w:after="20" w:line="223" w:lineRule="auto"/>
        <w:jc w:val="right"/>
        <w:bidi/>
      </w:pPr>
      <w:r>
        <w:rPr>
          <w:rFonts w:ascii="Arial" w:hAnsi="Arial"/>
          <w:sz w:val="16"/>
        </w:rPr>
        <w:t>009.02  ما بر فناوری متمرکز هستیم، تغییرات را پذیرفته‌ایم، و از طریق دگرگونی و نوآوری، یک USAF قابل دوام را برای آینده تضمین می‌کنیم.</w:t>
      </w:r>
    </w:p>
    <w:p>
      <w:pPr>
        <w:spacing w:after="28" w:line="216" w:lineRule="auto"/>
        <w:ind w:left="259"/>
        <w:jc w:val="left"/>
      </w:pPr>
      <w:r>
        <w:rPr>
          <w:rFonts w:ascii="Arial" w:hAnsi="Arial"/>
          <w:color w:val="525252"/>
          <w:sz w:val="13"/>
        </w:rPr>
        <w:t>We are technology focused, we embrace change, and through transformation and innovation, we ensure a viable USAF for the future.</w:t>
      </w:r>
    </w:p>
    <w:p>
      <w:pPr>
        <w:spacing w:after="20" w:line="223" w:lineRule="auto"/>
        <w:jc w:val="right"/>
        <w:bidi/>
      </w:pPr>
      <w:r>
        <w:rPr>
          <w:rFonts w:ascii="Arial" w:hAnsi="Arial"/>
          <w:sz w:val="16"/>
        </w:rPr>
        <w:t>009.03  همیشه بر نشان دادن خدمات شرافتمندانه و تعهد به حرفهٔ نظامی تمرکز کنید.</w:t>
      </w:r>
    </w:p>
    <w:p>
      <w:pPr>
        <w:spacing w:after="28" w:line="216" w:lineRule="auto"/>
        <w:ind w:left="259"/>
        <w:jc w:val="left"/>
      </w:pPr>
      <w:r>
        <w:rPr>
          <w:rFonts w:ascii="Arial" w:hAnsi="Arial"/>
          <w:color w:val="525252"/>
          <w:sz w:val="13"/>
        </w:rPr>
        <w:t>Always keep focus on demonstrating honorable service and commitment to the profession of arms.</w:t>
      </w:r>
    </w:p>
    <w:p>
      <w:pPr>
        <w:spacing w:after="20" w:line="223" w:lineRule="auto"/>
        <w:jc w:val="right"/>
        <w:bidi/>
      </w:pPr>
      <w:r>
        <w:rPr>
          <w:rFonts w:ascii="Arial" w:hAnsi="Arial"/>
          <w:sz w:val="16"/>
        </w:rPr>
        <w:t>009.04  از طریق مهارت‌ها، دانش، و تجربه‌ای که در USAF ایجاد شده است، به قطب‌نمای داخلی خود گوش دهید و در عین حال همین را در همتایان خود تقویت کنید.</w:t>
      </w:r>
    </w:p>
    <w:p>
      <w:pPr>
        <w:spacing w:after="28" w:line="216" w:lineRule="auto"/>
        <w:ind w:left="259"/>
        <w:jc w:val="left"/>
      </w:pPr>
      <w:r>
        <w:rPr>
          <w:rFonts w:ascii="Arial" w:hAnsi="Arial"/>
          <w:color w:val="525252"/>
          <w:sz w:val="13"/>
        </w:rPr>
        <w:t>Through skills, knowledge, and experience developed in the USAF, listen to your internal compass while fostering the same in your peers.</w:t>
      </w:r>
    </w:p>
    <w:p>
      <w:pPr>
        <w:spacing w:after="20" w:line="223" w:lineRule="auto"/>
        <w:jc w:val="right"/>
        <w:bidi/>
      </w:pPr>
      <w:r>
        <w:rPr>
          <w:rFonts w:ascii="Arial" w:hAnsi="Arial"/>
          <w:sz w:val="16"/>
        </w:rPr>
        <w:t>009.05  دلیل انجام کاری که انجام می‌دهید را به خود و همسالان خود یادآوری کنید.</w:t>
      </w:r>
    </w:p>
    <w:p>
      <w:pPr>
        <w:spacing w:after="28" w:line="216" w:lineRule="auto"/>
        <w:ind w:left="259"/>
        <w:jc w:val="left"/>
      </w:pPr>
      <w:r>
        <w:rPr>
          <w:rFonts w:ascii="Arial" w:hAnsi="Arial"/>
          <w:color w:val="525252"/>
          <w:sz w:val="13"/>
        </w:rPr>
        <w:t>Remind yourself and your peers of the reason you do what you do.</w:t>
      </w:r>
    </w:p>
    <w:p>
      <w:pPr>
        <w:spacing w:after="20" w:line="223" w:lineRule="auto"/>
        <w:jc w:val="right"/>
        <w:bidi/>
      </w:pPr>
      <w:r>
        <w:rPr>
          <w:rFonts w:ascii="Arial" w:hAnsi="Arial"/>
          <w:sz w:val="16"/>
        </w:rPr>
        <w:t>009.06  اهمیت خدمت برای هدفی بالاتر، پایبندی به کدهای اخلاقی تثبیت شده، و پذیرش فرهنگ USAF آغشته به افتخار و سنت را اعلام کنید.</w:t>
      </w:r>
    </w:p>
    <w:p>
      <w:pPr>
        <w:spacing w:after="28" w:line="216" w:lineRule="auto"/>
        <w:ind w:left="259"/>
        <w:jc w:val="left"/>
      </w:pPr>
      <w:r>
        <w:rPr>
          <w:rFonts w:ascii="Arial" w:hAnsi="Arial"/>
          <w:color w:val="525252"/>
          <w:sz w:val="13"/>
        </w:rPr>
        <w:t>Declare the importance of serving for a higher cause, adhering to established ethical codes, and embracing a USAF culture steeped in honor and tradition.</w:t>
      </w:r>
    </w:p>
    <w:p>
      <w:pPr>
        <w:spacing w:after="20" w:line="223" w:lineRule="auto"/>
        <w:jc w:val="right"/>
        <w:bidi/>
      </w:pPr>
      <w:r>
        <w:rPr>
          <w:rFonts w:ascii="Arial" w:hAnsi="Arial"/>
          <w:sz w:val="16"/>
        </w:rPr>
        <w:t>009.07  به آنچه می‌دانید درست و درست است تکیه کنید.</w:t>
      </w:r>
    </w:p>
    <w:p>
      <w:pPr>
        <w:spacing w:after="28" w:line="216" w:lineRule="auto"/>
        <w:ind w:left="259"/>
        <w:jc w:val="left"/>
      </w:pPr>
      <w:r>
        <w:rPr>
          <w:rFonts w:ascii="Arial" w:hAnsi="Arial"/>
          <w:color w:val="525252"/>
          <w:sz w:val="13"/>
        </w:rPr>
        <w:t>Rely on what you know is true and what is right.</w:t>
      </w:r>
    </w:p>
    <w:p>
      <w:pPr>
        <w:spacing w:after="20" w:line="223" w:lineRule="auto"/>
        <w:jc w:val="right"/>
        <w:bidi/>
      </w:pPr>
      <w:r>
        <w:rPr>
          <w:rFonts w:ascii="Arial" w:hAnsi="Arial"/>
          <w:sz w:val="16"/>
        </w:rPr>
        <w:t>009.08  هواپیمایی باشید که تصمیم می‌گیرد و به گونه‌ای رهبری می‌کند که می‌توانید به آن افتخار کنید.</w:t>
      </w:r>
    </w:p>
    <w:p>
      <w:pPr>
        <w:spacing w:after="28" w:line="216" w:lineRule="auto"/>
        <w:ind w:left="259"/>
        <w:jc w:val="left"/>
      </w:pPr>
      <w:r>
        <w:rPr>
          <w:rFonts w:ascii="Arial" w:hAnsi="Arial"/>
          <w:color w:val="525252"/>
          <w:sz w:val="13"/>
        </w:rPr>
        <w:t>Be the Airman who makes decisions and leads in a way you can be proud of.</w:t>
      </w:r>
    </w:p>
    <w:p>
      <w:pPr>
        <w:spacing w:after="20" w:line="223" w:lineRule="auto"/>
        <w:jc w:val="right"/>
        <w:bidi/>
      </w:pPr>
      <w:r>
        <w:rPr>
          <w:rFonts w:ascii="Arial" w:hAnsi="Arial"/>
          <w:sz w:val="16"/>
        </w:rPr>
        <w:t>009.09  هوانوردان مستحکم در ارزش‌های اصلی به استرس‌ها، فشارهای استقرار عملیاتی و خواسته‌های روزانه ایستگاه خانه با شجاعت، شجاعت و فداکاری واکنش نشان می‌دهند.</w:t>
      </w:r>
    </w:p>
    <w:p>
      <w:pPr>
        <w:spacing w:after="28" w:line="216" w:lineRule="auto"/>
        <w:ind w:left="259"/>
        <w:jc w:val="left"/>
      </w:pPr>
      <w:r>
        <w:rPr>
          <w:rFonts w:ascii="Arial" w:hAnsi="Arial"/>
          <w:color w:val="525252"/>
          <w:sz w:val="13"/>
        </w:rPr>
        <w:t>Airmen firmly grounded in the core values react to stresses, operational deployment pressures, and daily home station demands with valor, courage, and sacrifice.</w:t>
      </w:r>
    </w:p>
    <w:p>
      <w:pPr>
        <w:spacing w:after="20" w:line="223" w:lineRule="auto"/>
        <w:jc w:val="right"/>
        <w:bidi/>
      </w:pPr>
      <w:r>
        <w:rPr>
          <w:rFonts w:ascii="Arial" w:hAnsi="Arial"/>
          <w:sz w:val="16"/>
        </w:rPr>
        <w:t>009.10  در حالی که بسیاری از اعمال شجاعانه، شجاعت یا فداکاری دیده نمی‌شوند، آنها باید نه تنها به‌عنوان بخشی از فرهنگ USAF شناخته شوند، بلکه باید نشان دهند که هر نیروی هوایی ممکن است در هر زمانی فراخوانده شود تا در حرفهٔ نظامی‌سازی بالاتر و فراتر از آن عمل کند.</w:t>
      </w:r>
    </w:p>
    <w:p>
      <w:pPr>
        <w:spacing w:after="28" w:line="216" w:lineRule="auto"/>
        <w:ind w:left="259"/>
        <w:jc w:val="left"/>
      </w:pPr>
      <w:r>
        <w:rPr>
          <w:rFonts w:ascii="Arial" w:hAnsi="Arial"/>
          <w:color w:val="525252"/>
          <w:sz w:val="13"/>
        </w:rPr>
        <w:t>While many acts of valor, courage, or sacrifice go unseen, they should be recognized not only as part of USAF culture, but also to illustrate that any Airman may be called upon at any time to perform above and beyond in the profession of arms.</w:t>
      </w:r>
    </w:p>
    <w:p>
      <w:pPr>
        <w:spacing w:after="20" w:line="223" w:lineRule="auto"/>
        <w:jc w:val="right"/>
        <w:bidi/>
      </w:pPr>
      <w:r>
        <w:rPr>
          <w:rFonts w:ascii="Arial" w:hAnsi="Arial"/>
          <w:sz w:val="16"/>
        </w:rPr>
        <w:t>009.11  شجاعت.</w:t>
      </w:r>
    </w:p>
    <w:p>
      <w:pPr>
        <w:spacing w:after="28" w:line="216" w:lineRule="auto"/>
        <w:ind w:left="259"/>
        <w:jc w:val="left"/>
      </w:pPr>
      <w:r>
        <w:rPr>
          <w:rFonts w:ascii="Arial" w:hAnsi="Arial"/>
          <w:color w:val="525252"/>
          <w:sz w:val="13"/>
        </w:rPr>
        <w:t>Valor.</w:t>
      </w:r>
    </w:p>
    <w:p>
      <w:pPr>
        <w:spacing w:after="20" w:line="223" w:lineRule="auto"/>
        <w:jc w:val="right"/>
        <w:bidi/>
      </w:pPr>
      <w:r>
        <w:rPr>
          <w:rFonts w:ascii="Arial" w:hAnsi="Arial"/>
          <w:sz w:val="16"/>
        </w:rPr>
        <w:t>009.12  شجاعت توانایی مقابله با خطر یا سختی به شیوه‌ای مصمم و مصمم است.</w:t>
      </w:r>
    </w:p>
    <w:p>
      <w:pPr>
        <w:spacing w:after="28" w:line="216" w:lineRule="auto"/>
        <w:ind w:left="259"/>
        <w:jc w:val="left"/>
      </w:pPr>
      <w:r>
        <w:rPr>
          <w:rFonts w:ascii="Arial" w:hAnsi="Arial"/>
          <w:color w:val="525252"/>
          <w:sz w:val="13"/>
        </w:rPr>
        <w:t>Valor is the ability to face danger or hardship in a determined and resolute manner.</w:t>
      </w:r>
    </w:p>
    <w:p>
      <w:pPr>
        <w:spacing w:after="20" w:line="223" w:lineRule="auto"/>
        <w:jc w:val="right"/>
        <w:bidi/>
      </w:pPr>
      <w:r>
        <w:rPr>
          <w:rFonts w:ascii="Arial" w:hAnsi="Arial"/>
          <w:sz w:val="16"/>
        </w:rPr>
        <w:t>009.13  شجاعت معمولا و به درستی به‌عنوان شجاعت، نترسی، صلابت، شجاعت، قلب و اعصاب شناخته می‌شود.</w:t>
      </w:r>
    </w:p>
    <w:p>
      <w:pPr>
        <w:spacing w:after="28" w:line="216" w:lineRule="auto"/>
        <w:ind w:left="259"/>
        <w:jc w:val="left"/>
      </w:pPr>
      <w:r>
        <w:rPr>
          <w:rFonts w:ascii="Arial" w:hAnsi="Arial"/>
          <w:color w:val="525252"/>
          <w:sz w:val="13"/>
        </w:rPr>
        <w:t>Valor is commonly and rightly recognized as bravery, fearlessness, fortitude, gallantry, heart, and nerve.</w:t>
      </w:r>
    </w:p>
    <w:p>
      <w:pPr>
        <w:spacing w:after="20" w:line="223" w:lineRule="auto"/>
        <w:jc w:val="right"/>
        <w:bidi/>
      </w:pPr>
      <w:r>
        <w:rPr>
          <w:rFonts w:ascii="Arial" w:hAnsi="Arial"/>
          <w:sz w:val="16"/>
        </w:rPr>
        <w:t>009.14  وقتی فرد با شجاعت رفتار می‌کند، تمایل دارد برای مقابله با موقعیت‌های غیرمنتظره از منطقه راحتی خارج شود.</w:t>
      </w:r>
    </w:p>
    <w:p>
      <w:pPr>
        <w:spacing w:after="28" w:line="216" w:lineRule="auto"/>
        <w:ind w:left="259"/>
        <w:jc w:val="left"/>
      </w:pPr>
      <w:r>
        <w:rPr>
          <w:rFonts w:ascii="Arial" w:hAnsi="Arial"/>
          <w:color w:val="525252"/>
          <w:sz w:val="13"/>
        </w:rPr>
        <w:t>When acting with valor, one expresses the willingness to step outside the comfort zone to deal with unexpected situations.</w:t>
      </w:r>
    </w:p>
    <w:p>
      <w:pPr>
        <w:spacing w:after="20" w:line="223" w:lineRule="auto"/>
        <w:jc w:val="right"/>
        <w:bidi/>
      </w:pPr>
      <w:r>
        <w:rPr>
          <w:rFonts w:ascii="Arial" w:hAnsi="Arial"/>
          <w:sz w:val="16"/>
        </w:rPr>
        <w:t>009.15  چنین شرایطی تقریبا در همه جا ممکن است اتفاق بیفتد.</w:t>
      </w:r>
    </w:p>
    <w:p>
      <w:pPr>
        <w:spacing w:after="28" w:line="216" w:lineRule="auto"/>
        <w:ind w:left="259"/>
        <w:jc w:val="left"/>
      </w:pPr>
      <w:r>
        <w:rPr>
          <w:rFonts w:ascii="Arial" w:hAnsi="Arial"/>
          <w:color w:val="525252"/>
          <w:sz w:val="13"/>
        </w:rPr>
        <w:t>Such situations can happen almost anywhere.</w:t>
      </w:r>
    </w:p>
    <w:p>
      <w:pPr>
        <w:spacing w:after="20" w:line="223" w:lineRule="auto"/>
        <w:jc w:val="right"/>
        <w:bidi/>
      </w:pPr>
      <w:r>
        <w:rPr>
          <w:rFonts w:ascii="Arial" w:hAnsi="Arial"/>
          <w:sz w:val="16"/>
        </w:rPr>
        <w:t>009.16  علاوه بر نشان دادن شجاعت در میدان نبرد، یک هوانیروز می‌تواند در صورت مواجهه با شرایط غیرعادی در زندگی روزمره، شجاعت نشان دهد و ریسک‌های هوشمندانه را انجام دهد.</w:t>
      </w:r>
    </w:p>
    <w:p>
      <w:pPr>
        <w:spacing w:after="28" w:line="216" w:lineRule="auto"/>
        <w:ind w:left="259"/>
        <w:jc w:val="left"/>
      </w:pPr>
      <w:r>
        <w:rPr>
          <w:rFonts w:ascii="Arial" w:hAnsi="Arial"/>
          <w:color w:val="525252"/>
          <w:sz w:val="13"/>
        </w:rPr>
        <w:t>In addition to demonstrating valor on the battlefield, an Airman can exhibit valor when presented with unusual circumstances in the daily routine of life and take intelligent risks.</w:t>
      </w:r>
    </w:p>
    <w:p>
      <w:pPr>
        <w:spacing w:after="20" w:line="223" w:lineRule="auto"/>
        <w:jc w:val="right"/>
        <w:bidi/>
      </w:pPr>
      <w:r>
        <w:rPr>
          <w:rFonts w:ascii="Arial" w:hAnsi="Arial"/>
          <w:sz w:val="16"/>
        </w:rPr>
        <w:t>009.17  شجاعت.</w:t>
      </w:r>
    </w:p>
    <w:p>
      <w:pPr>
        <w:spacing w:after="28" w:line="216" w:lineRule="auto"/>
        <w:ind w:left="259"/>
        <w:jc w:val="left"/>
      </w:pPr>
      <w:r>
        <w:rPr>
          <w:rFonts w:ascii="Arial" w:hAnsi="Arial"/>
          <w:color w:val="525252"/>
          <w:sz w:val="13"/>
        </w:rPr>
        <w:t>Courage.</w:t>
      </w:r>
    </w:p>
    <w:p>
      <w:pPr>
        <w:spacing w:after="20" w:line="223" w:lineRule="auto"/>
        <w:jc w:val="right"/>
        <w:bidi/>
      </w:pPr>
      <w:r>
        <w:rPr>
          <w:rFonts w:ascii="Arial" w:hAnsi="Arial"/>
          <w:sz w:val="16"/>
        </w:rPr>
        <w:t>009.18  شجاعت در مورد توانایی رویارویی با ترس، خطر یا ناملایمات است.</w:t>
      </w:r>
    </w:p>
    <w:p>
      <w:pPr>
        <w:spacing w:after="28" w:line="216" w:lineRule="auto"/>
        <w:ind w:left="259"/>
        <w:jc w:val="left"/>
      </w:pPr>
      <w:r>
        <w:rPr>
          <w:rFonts w:ascii="Arial" w:hAnsi="Arial"/>
          <w:color w:val="525252"/>
          <w:sz w:val="13"/>
        </w:rPr>
        <w:t>Courage is about the ability to face fear, danger, or adversity.</w:t>
      </w:r>
    </w:p>
    <w:p>
      <w:pPr>
        <w:spacing w:after="20" w:line="223" w:lineRule="auto"/>
        <w:jc w:val="right"/>
        <w:bidi/>
      </w:pPr>
      <w:r>
        <w:rPr>
          <w:rFonts w:ascii="Arial" w:hAnsi="Arial"/>
          <w:sz w:val="16"/>
        </w:rPr>
        <w:t>009.19  سه نوع شجاعت در حرفهٔ نظامی حیاتی است: شخصی، فیزیکی و اخلاقی.</w:t>
      </w:r>
    </w:p>
    <w:p>
      <w:pPr>
        <w:spacing w:after="28" w:line="216" w:lineRule="auto"/>
        <w:ind w:left="259"/>
        <w:jc w:val="left"/>
      </w:pPr>
      <w:r>
        <w:rPr>
          <w:rFonts w:ascii="Arial" w:hAnsi="Arial"/>
          <w:color w:val="525252"/>
          <w:sz w:val="13"/>
        </w:rPr>
        <w:t>Three types of courage are critical in the profession of arms: personal, physical, and moral.</w:t>
      </w:r>
    </w:p>
    <w:p>
      <w:pPr>
        <w:spacing w:after="20" w:line="223" w:lineRule="auto"/>
        <w:jc w:val="right"/>
        <w:bidi/>
      </w:pPr>
      <w:r>
        <w:rPr>
          <w:rFonts w:ascii="Arial" w:hAnsi="Arial"/>
          <w:sz w:val="16"/>
        </w:rPr>
        <w:t>009.20  شجاعت شخصی در مورد انجام آنچه درست است، حتی زمانی که شغل خود را به خطر می‌اندازد، است.</w:t>
      </w:r>
    </w:p>
    <w:p>
      <w:pPr>
        <w:spacing w:after="28" w:line="216" w:lineRule="auto"/>
        <w:ind w:left="259"/>
        <w:jc w:val="left"/>
      </w:pPr>
      <w:r>
        <w:rPr>
          <w:rFonts w:ascii="Arial" w:hAnsi="Arial"/>
          <w:color w:val="525252"/>
          <w:sz w:val="13"/>
        </w:rPr>
        <w:t>Personal courage is about doing what’s right even when risking one’s career.</w:t>
      </w:r>
    </w:p>
    <w:p>
      <w:pPr>
        <w:spacing w:after="20" w:line="223" w:lineRule="auto"/>
        <w:jc w:val="right"/>
        <w:bidi/>
      </w:pPr>
      <w:r>
        <w:rPr>
          <w:rFonts w:ascii="Arial" w:hAnsi="Arial"/>
          <w:sz w:val="16"/>
        </w:rPr>
        <w:t>009.21  شجاعت بدنی توانایی غلبه بر ترس از آسیب بدنی برای انجام کار، یا تمایل به خطر آسیب رساندن به خود به خاطر شخص دیگری در جنگ یا مسیر زندگی روزمره است.</w:t>
      </w:r>
    </w:p>
    <w:p>
      <w:pPr>
        <w:spacing w:after="28" w:line="216" w:lineRule="auto"/>
        <w:ind w:left="259"/>
        <w:jc w:val="left"/>
      </w:pPr>
      <w:r>
        <w:rPr>
          <w:rFonts w:ascii="Arial" w:hAnsi="Arial"/>
          <w:color w:val="525252"/>
          <w:sz w:val="13"/>
        </w:rPr>
        <w:t>Physical courage is the ability to overcome fears of bodily harm to get the job done, or willingness to risk harm to yourself for someone else’s sake in battle or the course of everyday life.</w:t>
      </w:r>
    </w:p>
    <w:p>
      <w:pPr>
        <w:spacing w:after="20" w:line="223" w:lineRule="auto"/>
        <w:jc w:val="right"/>
        <w:bidi/>
      </w:pPr>
      <w:r>
        <w:rPr>
          <w:rFonts w:ascii="Arial" w:hAnsi="Arial"/>
          <w:sz w:val="16"/>
        </w:rPr>
        <w:t>009.22  در نهایت، شجاعت اخلاقی توانایی ایستادن در کنار ارزش‌های اصلی است، در حالی که شجاعت اخلاقی ممکن است چیزی محبوب نباشد.</w:t>
      </w:r>
    </w:p>
    <w:p>
      <w:pPr>
        <w:spacing w:after="28" w:line="216" w:lineRule="auto"/>
        <w:ind w:left="259"/>
        <w:jc w:val="left"/>
      </w:pPr>
      <w:r>
        <w:rPr>
          <w:rFonts w:ascii="Arial" w:hAnsi="Arial"/>
          <w:color w:val="525252"/>
          <w:sz w:val="13"/>
        </w:rPr>
        <w:t>Finally, moral courage is the ability to stand by the core values when moral courage may not be the popular thing to do.</w:t>
      </w:r>
    </w:p>
    <w:p>
      <w:pPr>
        <w:spacing w:after="20" w:line="223" w:lineRule="auto"/>
        <w:jc w:val="right"/>
        <w:bidi/>
      </w:pPr>
      <w:r>
        <w:rPr>
          <w:rFonts w:ascii="Arial" w:hAnsi="Arial"/>
          <w:sz w:val="16"/>
        </w:rPr>
        <w:t>009.23  صداقت شجاعت را در زمانی و در جایی که رفتار بیشتر مورد نیاز است به وجود می‌آورد.</w:t>
      </w:r>
    </w:p>
    <w:p>
      <w:pPr>
        <w:spacing w:after="28" w:line="216" w:lineRule="auto"/>
        <w:ind w:left="259"/>
        <w:jc w:val="left"/>
      </w:pPr>
      <w:r>
        <w:rPr>
          <w:rFonts w:ascii="Arial" w:hAnsi="Arial"/>
          <w:color w:val="525252"/>
          <w:sz w:val="13"/>
        </w:rPr>
        <w:t>Integrity breeds courage when and where the behavior is most needed.</w:t>
      </w:r>
    </w:p>
    <w:p>
      <w:pPr>
        <w:spacing w:after="20" w:line="223" w:lineRule="auto"/>
        <w:jc w:val="right"/>
        <w:bidi/>
      </w:pPr>
      <w:r>
        <w:rPr>
          <w:rFonts w:ascii="Arial" w:hAnsi="Arial"/>
          <w:sz w:val="16"/>
        </w:rPr>
        <w:t>009.24  اغلب، زمانی که هوانوردان با چالش‌های موجود در نبرد مواجه می‌شوند، شجاعت به‌عنوان یک عمل شجاعانه در میدان جنگ نمایان می‌شود.</w:t>
      </w:r>
    </w:p>
    <w:p>
      <w:pPr>
        <w:spacing w:after="28" w:line="216" w:lineRule="auto"/>
        <w:ind w:left="259"/>
        <w:jc w:val="left"/>
      </w:pPr>
      <w:r>
        <w:rPr>
          <w:rFonts w:ascii="Arial" w:hAnsi="Arial"/>
          <w:color w:val="525252"/>
          <w:sz w:val="13"/>
        </w:rPr>
        <w:t>Often, courage is manifested as an act of bravery on the battlefield when Airmen face the challenges present in combat.</w:t>
      </w:r>
    </w:p>
    <w:p>
      <w:pPr>
        <w:spacing w:after="20" w:line="223" w:lineRule="auto"/>
        <w:jc w:val="right"/>
        <w:bidi/>
      </w:pPr>
      <w:r>
        <w:rPr>
          <w:rFonts w:ascii="Arial" w:hAnsi="Arial"/>
          <w:sz w:val="16"/>
        </w:rPr>
        <w:t>009.25  قربانی.</w:t>
      </w:r>
    </w:p>
    <w:p>
      <w:pPr>
        <w:spacing w:after="28" w:line="216" w:lineRule="auto"/>
        <w:ind w:left="259"/>
        <w:jc w:val="left"/>
      </w:pPr>
      <w:r>
        <w:rPr>
          <w:rFonts w:ascii="Arial" w:hAnsi="Arial"/>
          <w:color w:val="525252"/>
          <w:sz w:val="13"/>
        </w:rPr>
        <w:t>Sacrifice.</w:t>
      </w:r>
    </w:p>
    <w:p>
      <w:pPr>
        <w:spacing w:after="20" w:line="223" w:lineRule="auto"/>
        <w:jc w:val="right"/>
        <w:bidi/>
      </w:pPr>
      <w:r>
        <w:rPr>
          <w:rFonts w:ascii="Arial" w:hAnsi="Arial"/>
          <w:sz w:val="16"/>
        </w:rPr>
        <w:t>009.26  فداکاری شامل تمایل به دادن زمان، آسایش یا زندگی برای رفع نیازهای دیگران است.</w:t>
      </w:r>
    </w:p>
    <w:p>
      <w:pPr>
        <w:spacing w:after="28" w:line="216" w:lineRule="auto"/>
        <w:ind w:left="259"/>
        <w:jc w:val="left"/>
      </w:pPr>
      <w:r>
        <w:rPr>
          <w:rFonts w:ascii="Arial" w:hAnsi="Arial"/>
          <w:color w:val="525252"/>
          <w:sz w:val="13"/>
        </w:rPr>
        <w:t>Sacrifice involves a willingness to give your time, comfort, or life to meet others’ needs.</w:t>
      </w:r>
    </w:p>
    <w:p>
      <w:pPr>
        <w:spacing w:after="20" w:line="223" w:lineRule="auto"/>
        <w:jc w:val="right"/>
        <w:bidi/>
      </w:pPr>
      <w:r>
        <w:rPr>
          <w:rFonts w:ascii="Arial" w:hAnsi="Arial"/>
          <w:sz w:val="16"/>
        </w:rPr>
        <w:t>009.27  فداکاری‌های شخصی زمانی اتفاق می‌افتد که هوانوردان نیازهای دیگران را بر خواسته‌های فردی مقدم می‌دارند، چه در جنگ، چه در ایستگاه خانه یا در جامعه محلی.</w:t>
      </w:r>
    </w:p>
    <w:p>
      <w:pPr>
        <w:spacing w:after="28" w:line="216" w:lineRule="auto"/>
        <w:ind w:left="259"/>
        <w:jc w:val="left"/>
      </w:pPr>
      <w:r>
        <w:rPr>
          <w:rFonts w:ascii="Arial" w:hAnsi="Arial"/>
          <w:color w:val="525252"/>
          <w:sz w:val="13"/>
        </w:rPr>
        <w:t>Personal sacrifices occur whenever Airmen put others’ needs before individual wants, whether in combat, at home station, or in the local community.</w:t>
      </w:r>
    </w:p>
    <w:p>
      <w:pPr>
        <w:spacing w:after="20" w:line="223" w:lineRule="auto"/>
        <w:jc w:val="right"/>
        <w:bidi/>
      </w:pPr>
      <w:r>
        <w:rPr>
          <w:rFonts w:ascii="Arial" w:hAnsi="Arial"/>
          <w:sz w:val="16"/>
        </w:rPr>
        <w:t>009.28  کال تو دیوتی.</w:t>
      </w:r>
    </w:p>
    <w:p>
      <w:pPr>
        <w:spacing w:after="28" w:line="216" w:lineRule="auto"/>
        <w:ind w:left="259"/>
        <w:jc w:val="left"/>
      </w:pPr>
      <w:r>
        <w:rPr>
          <w:rFonts w:ascii="Arial" w:hAnsi="Arial"/>
          <w:color w:val="525252"/>
          <w:sz w:val="13"/>
        </w:rPr>
        <w:t>Call to Duty.</w:t>
      </w:r>
    </w:p>
    <w:p>
      <w:pPr>
        <w:spacing w:after="20" w:line="223" w:lineRule="auto"/>
        <w:jc w:val="right"/>
        <w:bidi/>
      </w:pPr>
      <w:r>
        <w:rPr>
          <w:rFonts w:ascii="Arial" w:hAnsi="Arial"/>
          <w:sz w:val="16"/>
        </w:rPr>
        <w:t>009.29  وقتی آمریکایی‌ها متعهد به خدمت می‌شوند، USAF مسئولیت توسعه آن‌ها را به‌عنوان نیروی هوایی بر عهده می‌گیرد.</w:t>
      </w:r>
    </w:p>
    <w:p>
      <w:pPr>
        <w:spacing w:after="28" w:line="216" w:lineRule="auto"/>
        <w:ind w:left="259"/>
        <w:jc w:val="left"/>
      </w:pPr>
      <w:r>
        <w:rPr>
          <w:rFonts w:ascii="Arial" w:hAnsi="Arial"/>
          <w:color w:val="525252"/>
          <w:sz w:val="13"/>
        </w:rPr>
        <w:t>When Americans commit to service, the USAF takes on the charge to develop them into Airmen.</w:t>
      </w:r>
    </w:p>
    <w:p>
      <w:pPr>
        <w:spacing w:after="20" w:line="223" w:lineRule="auto"/>
        <w:jc w:val="right"/>
        <w:bidi/>
      </w:pPr>
      <w:r>
        <w:rPr>
          <w:rFonts w:ascii="Arial" w:hAnsi="Arial"/>
          <w:sz w:val="16"/>
        </w:rPr>
        <w:t>009.30  طی ۳۰ سال آینده، توانایی USAF برای تداوم انطباق و پاسخ سریعتر از دشمنان بالقوه ما به انعطاف پذیری و سازگاری هواداران نسل فعلی و بعدی ما بستگی دارد.</w:t>
      </w:r>
    </w:p>
    <w:p>
      <w:pPr>
        <w:spacing w:after="28" w:line="216" w:lineRule="auto"/>
        <w:ind w:left="259"/>
        <w:jc w:val="left"/>
      </w:pPr>
      <w:r>
        <w:rPr>
          <w:rFonts w:ascii="Arial" w:hAnsi="Arial"/>
          <w:color w:val="525252"/>
          <w:sz w:val="13"/>
        </w:rPr>
        <w:t>Over the next 30 years, the USAF’s ability to continue to adapt and respond faster than our potential adversaries will depend on the flexibility and adaptability of our current and next generation Airmen.</w:t>
      </w:r>
    </w:p>
    <w:p>
      <w:pPr>
        <w:spacing w:after="20" w:line="223" w:lineRule="auto"/>
        <w:jc w:val="right"/>
        <w:bidi/>
      </w:pPr>
      <w:r>
        <w:rPr>
          <w:rFonts w:ascii="Arial" w:hAnsi="Arial"/>
          <w:sz w:val="16"/>
        </w:rPr>
        <w:t>009.31  ما از طریق استراتژی‌ها و برنامه‌های طراحی شده برای توسعه و مراقبت از نیروی کل خود، تقویت فرهنگ USAF و استفاده از فرصت‌های توسعه که مفاهیم خلاقانه را در سراسر نیرو به کار می‌برند، نیروی هوایی استثنایی را استخدام، توسعه و حفظ خواهیم کرد.</w:t>
      </w:r>
    </w:p>
    <w:p>
      <w:pPr>
        <w:spacing w:after="28" w:line="216" w:lineRule="auto"/>
        <w:ind w:left="259"/>
        <w:jc w:val="left"/>
      </w:pPr>
      <w:r>
        <w:rPr>
          <w:rFonts w:ascii="Arial" w:hAnsi="Arial"/>
          <w:color w:val="525252"/>
          <w:sz w:val="13"/>
        </w:rPr>
        <w:t>We will recruit, develop, and retain exceptional Airmen through strategies and programs designed to develop and care for our Total Force, strengthen the USAF culture, and leverage development opportunities that employ creative concepts across the force.</w:t>
      </w:r>
    </w:p>
    <w:p>
      <w:pPr>
        <w:spacing w:after="20" w:line="223" w:lineRule="auto"/>
        <w:jc w:val="right"/>
        <w:bidi/>
      </w:pPr>
      <w:r>
        <w:rPr>
          <w:rFonts w:ascii="Arial" w:hAnsi="Arial"/>
          <w:sz w:val="16"/>
        </w:rPr>
        <w:t>009.32  هنگام مواجهه با ندای وظیفه، باید به یاد داشته باشیم که ما هواپیمایی هستیم.</w:t>
      </w:r>
    </w:p>
    <w:p>
      <w:pPr>
        <w:spacing w:after="28" w:line="216" w:lineRule="auto"/>
        <w:ind w:left="259"/>
        <w:jc w:val="left"/>
      </w:pPr>
      <w:r>
        <w:rPr>
          <w:rFonts w:ascii="Arial" w:hAnsi="Arial"/>
          <w:color w:val="525252"/>
          <w:sz w:val="13"/>
        </w:rPr>
        <w:t>When faced with the call to duty, we must remember that we are Airmen.</w:t>
      </w:r>
    </w:p>
    <w:p>
      <w:pPr>
        <w:spacing w:after="20" w:line="223" w:lineRule="auto"/>
        <w:jc w:val="right"/>
        <w:bidi/>
      </w:pPr>
      <w:r>
        <w:rPr>
          <w:rFonts w:ascii="Arial" w:hAnsi="Arial"/>
          <w:sz w:val="16"/>
        </w:rPr>
        <w:t>009.33  به‌عنوان هوانورد، ما بهایی را که برای آزادی پرداخت می‌شود و فداکاری‌هایی که از خدمات مشتاقانه به کشورمان حاصل می‌شود، درک می‌کنیم.</w:t>
      </w:r>
    </w:p>
    <w:p>
      <w:pPr>
        <w:spacing w:after="28" w:line="216" w:lineRule="auto"/>
        <w:ind w:left="259"/>
        <w:jc w:val="left"/>
      </w:pPr>
      <w:r>
        <w:rPr>
          <w:rFonts w:ascii="Arial" w:hAnsi="Arial"/>
          <w:color w:val="525252"/>
          <w:sz w:val="13"/>
        </w:rPr>
        <w:t>As Airmen, we understand the price that is paid for freedom and the sacrifices that come from willing service to our country.</w:t>
      </w:r>
    </w:p>
    <w:p>
      <w:pPr>
        <w:spacing w:after="20" w:line="223" w:lineRule="auto"/>
        <w:jc w:val="right"/>
        <w:bidi/>
      </w:pPr>
      <w:r>
        <w:rPr>
          <w:rFonts w:ascii="Arial" w:hAnsi="Arial"/>
          <w:sz w:val="16"/>
        </w:rPr>
        <w:t>009.34  معنی تعلق به حرفهٔ نظامی را میفهمیم.</w:t>
      </w:r>
    </w:p>
    <w:p>
      <w:pPr>
        <w:spacing w:after="28" w:line="216" w:lineRule="auto"/>
        <w:ind w:left="259"/>
        <w:jc w:val="left"/>
      </w:pPr>
      <w:r>
        <w:rPr>
          <w:rFonts w:ascii="Arial" w:hAnsi="Arial"/>
          <w:color w:val="525252"/>
          <w:sz w:val="13"/>
        </w:rPr>
        <w:t>We understand the meaning of belonging to the profession of arms.</w:t>
      </w:r>
    </w:p>
    <w:p>
      <w:r>
        <w:br w:type="page"/>
      </w:r>
    </w:p>
    <w:p>
      <w:pPr>
        <w:spacing w:after="60"/>
        <w:jc w:val="right"/>
        <w:bidi/>
      </w:pPr>
      <w:r>
        <w:rPr>
          <w:rFonts w:ascii="Arial" w:hAnsi="Arial"/>
          <w:b/>
          <w:color w:val="1F4D78"/>
          <w:sz w:val="19"/>
        </w:rPr>
        <w:t>هفتهٔ 10  |  صفحهٔ منبع: 26</w:t>
      </w:r>
    </w:p>
    <w:p>
      <w:pPr>
        <w:spacing w:before="60" w:after="28"/>
        <w:jc w:val="right"/>
        <w:bidi/>
      </w:pPr>
      <w:r>
        <w:rPr>
          <w:b/>
          <w:color w:val="1F4D78"/>
          <w:sz w:val="18"/>
        </w:rPr>
        <w:t>1.5. The Airman’s Creed</w:t>
      </w:r>
    </w:p>
    <w:p>
      <w:pPr>
        <w:spacing w:after="20"/>
        <w:ind w:left="259"/>
        <w:jc w:val="left"/>
      </w:pPr>
      <w:r>
        <w:rPr>
          <w:color w:val="555555"/>
          <w:sz w:val="12"/>
        </w:rPr>
        <w:t>1.5. The Airman’s Creed</w:t>
      </w:r>
    </w:p>
    <w:p>
      <w:pPr>
        <w:spacing w:after="20" w:line="223" w:lineRule="auto"/>
        <w:jc w:val="right"/>
        <w:bidi/>
      </w:pPr>
      <w:r>
        <w:rPr>
          <w:rFonts w:ascii="Arial" w:hAnsi="Arial"/>
          <w:sz w:val="16"/>
        </w:rPr>
        <w:t>010.02  ت عضو نیروی هوایی’س کرید در سال ۲۰۰۷ توسط ژنرال ت. میچال موسلی، هجدهمین رئیس ستاد نیروی هوایی به USAF ارائه شد.</w:t>
      </w:r>
    </w:p>
    <w:p>
      <w:pPr>
        <w:spacing w:after="28" w:line="216" w:lineRule="auto"/>
        <w:ind w:left="259"/>
        <w:jc w:val="left"/>
      </w:pPr>
      <w:r>
        <w:rPr>
          <w:rFonts w:ascii="Arial" w:hAnsi="Arial"/>
          <w:color w:val="525252"/>
          <w:sz w:val="13"/>
        </w:rPr>
        <w:t>The Airman’s Creed was presented to the USAF in 2007 by General T. Michael Moseley, 18th Air Force Chief of Staff.</w:t>
      </w:r>
    </w:p>
    <w:p>
      <w:pPr>
        <w:spacing w:after="20" w:line="223" w:lineRule="auto"/>
        <w:jc w:val="right"/>
        <w:bidi/>
      </w:pPr>
      <w:r>
        <w:rPr>
          <w:rFonts w:ascii="Arial" w:hAnsi="Arial"/>
          <w:sz w:val="16"/>
        </w:rPr>
        <w:t>010.03  ژنرال موزلی عقیده را به‌عنوان یکی از اولویت‌های اصلی خود برای تقویت مجدد نیروی توتال معرفی کرد.</w:t>
      </w:r>
    </w:p>
    <w:p>
      <w:pPr>
        <w:spacing w:after="28" w:line="216" w:lineRule="auto"/>
        <w:ind w:left="259"/>
        <w:jc w:val="left"/>
      </w:pPr>
      <w:r>
        <w:rPr>
          <w:rFonts w:ascii="Arial" w:hAnsi="Arial"/>
          <w:color w:val="525252"/>
          <w:sz w:val="13"/>
        </w:rPr>
        <w:t>General Moseley introduced the creed as an aspect of one of his top priorities to reinvigorate the Total Force.</w:t>
      </w:r>
    </w:p>
    <w:p>
      <w:pPr>
        <w:spacing w:after="20" w:line="223" w:lineRule="auto"/>
        <w:jc w:val="right"/>
        <w:bidi/>
      </w:pPr>
      <w:r>
        <w:rPr>
          <w:rFonts w:ascii="Arial" w:hAnsi="Arial"/>
          <w:sz w:val="16"/>
        </w:rPr>
        <w:t>010.04  هدف این عقیده تقویت ساختن یک روحیه جنگجو در میان هوانوردان و ایجاد پیوند منسجم بین اعضای USAF بود.</w:t>
      </w:r>
    </w:p>
    <w:p>
      <w:pPr>
        <w:spacing w:after="28" w:line="216" w:lineRule="auto"/>
        <w:ind w:left="259"/>
        <w:jc w:val="left"/>
      </w:pPr>
      <w:r>
        <w:rPr>
          <w:rFonts w:ascii="Arial" w:hAnsi="Arial"/>
          <w:color w:val="525252"/>
          <w:sz w:val="13"/>
        </w:rPr>
        <w:t>The intent of the creed was to enhance the building of a warrior ethos among Airmen and establish a coherent bond between the members of the USAF.</w:t>
      </w:r>
    </w:p>
    <w:p>
      <w:pPr>
        <w:spacing w:before="60" w:after="28"/>
        <w:jc w:val="right"/>
        <w:bidi/>
      </w:pPr>
      <w:r>
        <w:rPr>
          <w:b/>
          <w:color w:val="1F4D78"/>
          <w:sz w:val="18"/>
        </w:rPr>
        <w:t>THE AIRMAN’S CREED</w:t>
      </w:r>
    </w:p>
    <w:p>
      <w:pPr>
        <w:spacing w:after="20"/>
        <w:ind w:left="259"/>
        <w:jc w:val="left"/>
      </w:pPr>
      <w:r>
        <w:rPr>
          <w:color w:val="555555"/>
          <w:sz w:val="12"/>
        </w:rPr>
        <w:t>THE AIRMAN’S CREED</w:t>
      </w:r>
    </w:p>
    <w:p>
      <w:pPr>
        <w:spacing w:after="20" w:line="223" w:lineRule="auto"/>
        <w:jc w:val="right"/>
        <w:bidi/>
      </w:pPr>
      <w:r>
        <w:rPr>
          <w:rFonts w:ascii="Arial" w:hAnsi="Arial"/>
          <w:sz w:val="16"/>
        </w:rPr>
        <w:t>010.06  من یک هواپیمای آمریکایی هستم.</w:t>
      </w:r>
    </w:p>
    <w:p>
      <w:pPr>
        <w:spacing w:after="28" w:line="216" w:lineRule="auto"/>
        <w:ind w:left="259"/>
        <w:jc w:val="left"/>
      </w:pPr>
      <w:r>
        <w:rPr>
          <w:rFonts w:ascii="Arial" w:hAnsi="Arial"/>
          <w:color w:val="525252"/>
          <w:sz w:val="13"/>
        </w:rPr>
        <w:t>I am an American Airman.</w:t>
      </w:r>
    </w:p>
    <w:p>
      <w:pPr>
        <w:spacing w:after="20" w:line="223" w:lineRule="auto"/>
        <w:jc w:val="right"/>
        <w:bidi/>
      </w:pPr>
      <w:r>
        <w:rPr>
          <w:rFonts w:ascii="Arial" w:hAnsi="Arial"/>
          <w:sz w:val="16"/>
        </w:rPr>
        <w:t>010.07  من یک جنگجو هستم.</w:t>
      </w:r>
    </w:p>
    <w:p>
      <w:pPr>
        <w:spacing w:after="28" w:line="216" w:lineRule="auto"/>
        <w:ind w:left="259"/>
        <w:jc w:val="left"/>
      </w:pPr>
      <w:r>
        <w:rPr>
          <w:rFonts w:ascii="Arial" w:hAnsi="Arial"/>
          <w:color w:val="525252"/>
          <w:sz w:val="13"/>
        </w:rPr>
        <w:t>I am a Warrior.</w:t>
      </w:r>
    </w:p>
    <w:p>
      <w:pPr>
        <w:spacing w:after="20" w:line="223" w:lineRule="auto"/>
        <w:jc w:val="right"/>
        <w:bidi/>
      </w:pPr>
      <w:r>
        <w:rPr>
          <w:rFonts w:ascii="Arial" w:hAnsi="Arial"/>
          <w:sz w:val="16"/>
        </w:rPr>
        <w:t>010.08  من به تماس ملتم پاسخ داده‌ام.</w:t>
      </w:r>
    </w:p>
    <w:p>
      <w:pPr>
        <w:spacing w:after="28" w:line="216" w:lineRule="auto"/>
        <w:ind w:left="259"/>
        <w:jc w:val="left"/>
      </w:pPr>
      <w:r>
        <w:rPr>
          <w:rFonts w:ascii="Arial" w:hAnsi="Arial"/>
          <w:color w:val="525252"/>
          <w:sz w:val="13"/>
        </w:rPr>
        <w:t>I have answered my Nation’s call.</w:t>
      </w:r>
    </w:p>
    <w:p>
      <w:pPr>
        <w:spacing w:after="20" w:line="223" w:lineRule="auto"/>
        <w:jc w:val="right"/>
        <w:bidi/>
      </w:pPr>
      <w:r>
        <w:rPr>
          <w:rFonts w:ascii="Arial" w:hAnsi="Arial"/>
          <w:sz w:val="16"/>
        </w:rPr>
        <w:t>010.09  من یک هواپیمای آمریکایی هستم.</w:t>
      </w:r>
    </w:p>
    <w:p>
      <w:pPr>
        <w:spacing w:after="28" w:line="216" w:lineRule="auto"/>
        <w:ind w:left="259"/>
        <w:jc w:val="left"/>
      </w:pPr>
      <w:r>
        <w:rPr>
          <w:rFonts w:ascii="Arial" w:hAnsi="Arial"/>
          <w:color w:val="525252"/>
          <w:sz w:val="13"/>
        </w:rPr>
        <w:t>I am an American Airman.</w:t>
      </w:r>
    </w:p>
    <w:p>
      <w:pPr>
        <w:spacing w:after="20" w:line="223" w:lineRule="auto"/>
        <w:jc w:val="right"/>
        <w:bidi/>
      </w:pPr>
      <w:r>
        <w:rPr>
          <w:rFonts w:ascii="Arial" w:hAnsi="Arial"/>
          <w:sz w:val="16"/>
        </w:rPr>
        <w:t>010.10  مأموریت من پرواز، جنگیدن و برنده شدن است.</w:t>
      </w:r>
    </w:p>
    <w:p>
      <w:pPr>
        <w:spacing w:after="28" w:line="216" w:lineRule="auto"/>
        <w:ind w:left="259"/>
        <w:jc w:val="left"/>
      </w:pPr>
      <w:r>
        <w:rPr>
          <w:rFonts w:ascii="Arial" w:hAnsi="Arial"/>
          <w:color w:val="525252"/>
          <w:sz w:val="13"/>
        </w:rPr>
        <w:t>My mission is to Fly, Fight, and Win.</w:t>
      </w:r>
    </w:p>
    <w:p>
      <w:pPr>
        <w:spacing w:after="20" w:line="223" w:lineRule="auto"/>
        <w:jc w:val="right"/>
        <w:bidi/>
      </w:pPr>
      <w:r>
        <w:rPr>
          <w:rFonts w:ascii="Arial" w:hAnsi="Arial"/>
          <w:sz w:val="16"/>
        </w:rPr>
        <w:t>010.11  من به یک میراث افتخار، یک سنت افتخار، و یک میراث شجاعت وفادار هستم.</w:t>
      </w:r>
    </w:p>
    <w:p>
      <w:pPr>
        <w:spacing w:after="28" w:line="216" w:lineRule="auto"/>
        <w:ind w:left="259"/>
        <w:jc w:val="left"/>
      </w:pPr>
      <w:r>
        <w:rPr>
          <w:rFonts w:ascii="Arial" w:hAnsi="Arial"/>
          <w:color w:val="525252"/>
          <w:sz w:val="13"/>
        </w:rPr>
        <w:t>I am faithful to a Proud Heritage, A Tradition of Honor, And a Legacy of Valor.</w:t>
      </w:r>
    </w:p>
    <w:p>
      <w:pPr>
        <w:spacing w:after="20" w:line="223" w:lineRule="auto"/>
        <w:jc w:val="right"/>
        <w:bidi/>
      </w:pPr>
      <w:r>
        <w:rPr>
          <w:rFonts w:ascii="Arial" w:hAnsi="Arial"/>
          <w:sz w:val="16"/>
        </w:rPr>
        <w:t>010.12  من یک هواپیمای آمریکایی هستم.</w:t>
      </w:r>
    </w:p>
    <w:p>
      <w:pPr>
        <w:spacing w:after="28" w:line="216" w:lineRule="auto"/>
        <w:ind w:left="259"/>
        <w:jc w:val="left"/>
      </w:pPr>
      <w:r>
        <w:rPr>
          <w:rFonts w:ascii="Arial" w:hAnsi="Arial"/>
          <w:color w:val="525252"/>
          <w:sz w:val="13"/>
        </w:rPr>
        <w:t>I am an American Airman.</w:t>
      </w:r>
    </w:p>
    <w:p>
      <w:pPr>
        <w:spacing w:after="20" w:line="223" w:lineRule="auto"/>
        <w:jc w:val="right"/>
        <w:bidi/>
      </w:pPr>
      <w:r>
        <w:rPr>
          <w:rFonts w:ascii="Arial" w:hAnsi="Arial"/>
          <w:sz w:val="16"/>
        </w:rPr>
        <w:t>010.13  نگهبان آزادی و عدالت، شمشیر و سپر ملت من، نگهبان و انتقام جوی آن.</w:t>
      </w:r>
    </w:p>
    <w:p>
      <w:pPr>
        <w:spacing w:after="28" w:line="216" w:lineRule="auto"/>
        <w:ind w:left="259"/>
        <w:jc w:val="left"/>
      </w:pPr>
      <w:r>
        <w:rPr>
          <w:rFonts w:ascii="Arial" w:hAnsi="Arial"/>
          <w:color w:val="525252"/>
          <w:sz w:val="13"/>
        </w:rPr>
        <w:t>Guardian of Freedom and Justice, My Nation’s Sword and Shield, Its Sentry and Avenger.</w:t>
      </w:r>
    </w:p>
    <w:p>
      <w:pPr>
        <w:spacing w:after="20" w:line="223" w:lineRule="auto"/>
        <w:jc w:val="right"/>
        <w:bidi/>
      </w:pPr>
      <w:r>
        <w:rPr>
          <w:rFonts w:ascii="Arial" w:hAnsi="Arial"/>
          <w:sz w:val="16"/>
        </w:rPr>
        <w:t>010.14  من با جانم از کشورم دفاع می‌کنم.</w:t>
      </w:r>
    </w:p>
    <w:p>
      <w:pPr>
        <w:spacing w:after="28" w:line="216" w:lineRule="auto"/>
        <w:ind w:left="259"/>
        <w:jc w:val="left"/>
      </w:pPr>
      <w:r>
        <w:rPr>
          <w:rFonts w:ascii="Arial" w:hAnsi="Arial"/>
          <w:color w:val="525252"/>
          <w:sz w:val="13"/>
        </w:rPr>
        <w:t>I defend my Country with my Life.</w:t>
      </w:r>
    </w:p>
    <w:p>
      <w:pPr>
        <w:spacing w:after="20" w:line="223" w:lineRule="auto"/>
        <w:jc w:val="right"/>
        <w:bidi/>
      </w:pPr>
      <w:r>
        <w:rPr>
          <w:rFonts w:ascii="Arial" w:hAnsi="Arial"/>
          <w:sz w:val="16"/>
        </w:rPr>
        <w:t>010.15  من یک هواپیمای آمریکایی هستم.</w:t>
      </w:r>
    </w:p>
    <w:p>
      <w:pPr>
        <w:spacing w:after="28" w:line="216" w:lineRule="auto"/>
        <w:ind w:left="259"/>
        <w:jc w:val="left"/>
      </w:pPr>
      <w:r>
        <w:rPr>
          <w:rFonts w:ascii="Arial" w:hAnsi="Arial"/>
          <w:color w:val="525252"/>
          <w:sz w:val="13"/>
        </w:rPr>
        <w:t>I am an American Airman.</w:t>
      </w:r>
    </w:p>
    <w:p>
      <w:pPr>
        <w:spacing w:after="20" w:line="223" w:lineRule="auto"/>
        <w:jc w:val="right"/>
        <w:bidi/>
      </w:pPr>
      <w:r>
        <w:rPr>
          <w:rFonts w:ascii="Arial" w:hAnsi="Arial"/>
          <w:sz w:val="16"/>
        </w:rPr>
        <w:t>010.16  وینگمن، رهبر، جنگجو.</w:t>
      </w:r>
    </w:p>
    <w:p>
      <w:pPr>
        <w:spacing w:after="28" w:line="216" w:lineRule="auto"/>
        <w:ind w:left="259"/>
        <w:jc w:val="left"/>
      </w:pPr>
      <w:r>
        <w:rPr>
          <w:rFonts w:ascii="Arial" w:hAnsi="Arial"/>
          <w:color w:val="525252"/>
          <w:sz w:val="13"/>
        </w:rPr>
        <w:t>Wingman, Leader, Warrior.</w:t>
      </w:r>
    </w:p>
    <w:p>
      <w:pPr>
        <w:spacing w:after="20" w:line="223" w:lineRule="auto"/>
        <w:jc w:val="right"/>
        <w:bidi/>
      </w:pPr>
      <w:r>
        <w:rPr>
          <w:rFonts w:ascii="Arial" w:hAnsi="Arial"/>
          <w:sz w:val="16"/>
        </w:rPr>
        <w:t>010.17  من هرگز یک هواگرد را پشت سر نخواهم گذاشت، هرگز تزلزل نخواهم کرد، و شکست نخواهم خورد.</w:t>
      </w:r>
    </w:p>
    <w:p>
      <w:pPr>
        <w:spacing w:after="28" w:line="216" w:lineRule="auto"/>
        <w:ind w:left="259"/>
        <w:jc w:val="left"/>
      </w:pPr>
      <w:r>
        <w:rPr>
          <w:rFonts w:ascii="Arial" w:hAnsi="Arial"/>
          <w:color w:val="525252"/>
          <w:sz w:val="13"/>
        </w:rPr>
        <w:t>I will never leave an Airman behind, I will never falter, And I will not fail.</w:t>
      </w:r>
    </w:p>
    <w:p>
      <w:r>
        <w:br w:type="page"/>
      </w:r>
    </w:p>
    <w:p>
      <w:pPr>
        <w:spacing w:after="60"/>
        <w:jc w:val="right"/>
        <w:bidi/>
      </w:pPr>
      <w:r>
        <w:rPr>
          <w:rFonts w:ascii="Arial" w:hAnsi="Arial"/>
          <w:b/>
          <w:color w:val="1F4D78"/>
          <w:sz w:val="19"/>
        </w:rPr>
        <w:t>هفتهٔ 11  |  صفحهٔ منبع: 27</w:t>
      </w:r>
    </w:p>
    <w:p>
      <w:pPr>
        <w:spacing w:before="60" w:after="28"/>
        <w:jc w:val="right"/>
        <w:bidi/>
      </w:pPr>
      <w:r>
        <w:rPr>
          <w:b/>
          <w:color w:val="1F4D78"/>
          <w:sz w:val="18"/>
        </w:rPr>
        <w:t>فصل 2</w:t>
      </w:r>
    </w:p>
    <w:p>
      <w:pPr>
        <w:spacing w:after="20"/>
        <w:ind w:left="259"/>
        <w:jc w:val="left"/>
      </w:pPr>
      <w:r>
        <w:rPr>
          <w:color w:val="555555"/>
          <w:sz w:val="12"/>
        </w:rPr>
        <w:t>Chapter 2</w:t>
      </w:r>
    </w:p>
    <w:p>
      <w:pPr>
        <w:spacing w:before="60" w:after="28"/>
        <w:jc w:val="right"/>
        <w:bidi/>
      </w:pPr>
      <w:r>
        <w:rPr>
          <w:b/>
          <w:color w:val="1F4D78"/>
          <w:sz w:val="18"/>
        </w:rPr>
        <w:t>تاریخچه هوانوردی</w:t>
      </w:r>
    </w:p>
    <w:p>
      <w:pPr>
        <w:spacing w:after="20"/>
        <w:ind w:left="259"/>
        <w:jc w:val="left"/>
      </w:pPr>
      <w:r>
        <w:rPr>
          <w:color w:val="555555"/>
          <w:sz w:val="12"/>
        </w:rPr>
        <w:t>AVIATION HISTORY</w:t>
      </w:r>
    </w:p>
    <w:p>
      <w:pPr>
        <w:spacing w:before="60" w:after="28"/>
        <w:jc w:val="right"/>
        <w:bidi/>
      </w:pPr>
      <w:r>
        <w:rPr>
          <w:b/>
          <w:color w:val="1F4D78"/>
          <w:sz w:val="18"/>
        </w:rPr>
        <w:t>بخش 2A - مبانی هوانوردی</w:t>
      </w:r>
    </w:p>
    <w:p>
      <w:pPr>
        <w:spacing w:after="20"/>
        <w:ind w:left="259"/>
        <w:jc w:val="left"/>
      </w:pPr>
      <w:r>
        <w:rPr>
          <w:color w:val="555555"/>
          <w:sz w:val="12"/>
        </w:rPr>
        <w:t>Section 2A—Aviation Fundamentals</w:t>
      </w:r>
    </w:p>
    <w:p>
      <w:pPr>
        <w:spacing w:before="60" w:after="28"/>
        <w:jc w:val="right"/>
        <w:bidi/>
      </w:pPr>
      <w:r>
        <w:rPr>
          <w:b/>
          <w:color w:val="1F4D78"/>
          <w:sz w:val="18"/>
        </w:rPr>
        <w:t>2.1. مقدمه ای بر تاریخچه هوانوردی</w:t>
      </w:r>
    </w:p>
    <w:p>
      <w:pPr>
        <w:spacing w:after="20"/>
        <w:ind w:left="259"/>
        <w:jc w:val="left"/>
      </w:pPr>
      <w:r>
        <w:rPr>
          <w:color w:val="555555"/>
          <w:sz w:val="12"/>
        </w:rPr>
        <w:t>2.1. Introduction to Aviation History</w:t>
      </w:r>
    </w:p>
    <w:p>
      <w:pPr>
        <w:spacing w:after="20" w:line="223" w:lineRule="auto"/>
        <w:jc w:val="right"/>
        <w:bidi/>
      </w:pPr>
      <w:r>
        <w:rPr>
          <w:rFonts w:ascii="Arial" w:hAnsi="Arial"/>
          <w:sz w:val="16"/>
        </w:rPr>
        <w:t>011.05  تاریخ هوانوردی، به‌ویژه سال‌های اولیه اصول هوانوردی، درک مبانی قدرت هوایی را فراهم می‌کند.</w:t>
      </w:r>
    </w:p>
    <w:p>
      <w:pPr>
        <w:spacing w:after="28" w:line="216" w:lineRule="auto"/>
        <w:ind w:left="259"/>
        <w:jc w:val="left"/>
      </w:pPr>
      <w:r>
        <w:rPr>
          <w:rFonts w:ascii="Arial" w:hAnsi="Arial"/>
          <w:color w:val="525252"/>
          <w:sz w:val="13"/>
        </w:rPr>
        <w:t>Aviation history, particularly the early years of aviation fundamentals, provides an understanding of the foundations of airpower.</w:t>
      </w:r>
    </w:p>
    <w:p>
      <w:pPr>
        <w:spacing w:after="20" w:line="223" w:lineRule="auto"/>
        <w:jc w:val="right"/>
        <w:bidi/>
      </w:pPr>
      <w:r>
        <w:rPr>
          <w:rFonts w:ascii="Arial" w:hAnsi="Arial"/>
          <w:sz w:val="16"/>
        </w:rPr>
        <w:t>011.06  این فصل درباره تاریخچه هوانوردی حاوی اطلاعاتی درباره آغاز صنعت هوانوردی و تکامل قدرت هوایی در روزهای اولیه است.</w:t>
      </w:r>
    </w:p>
    <w:p>
      <w:pPr>
        <w:spacing w:after="28" w:line="216" w:lineRule="auto"/>
        <w:ind w:left="259"/>
        <w:jc w:val="left"/>
      </w:pPr>
      <w:r>
        <w:rPr>
          <w:rFonts w:ascii="Arial" w:hAnsi="Arial"/>
          <w:color w:val="525252"/>
          <w:sz w:val="13"/>
        </w:rPr>
        <w:t>This chapter on aviation history contains information on the beginning of the aviation industry and the evolution of airpower in the early days.</w:t>
      </w:r>
    </w:p>
    <w:p>
      <w:pPr>
        <w:spacing w:after="20" w:line="223" w:lineRule="auto"/>
        <w:jc w:val="right"/>
        <w:bidi/>
      </w:pPr>
      <w:r>
        <w:rPr>
          <w:rFonts w:ascii="Arial" w:hAnsi="Arial"/>
          <w:sz w:val="16"/>
        </w:rPr>
        <w:t>011.07  مواد در این فصل</w:t>
      </w:r>
    </w:p>
    <w:p>
      <w:pPr>
        <w:spacing w:after="28" w:line="216" w:lineRule="auto"/>
        <w:ind w:left="259"/>
        <w:jc w:val="left"/>
      </w:pPr>
      <w:r>
        <w:rPr>
          <w:rFonts w:ascii="Arial" w:hAnsi="Arial"/>
          <w:color w:val="525252"/>
          <w:sz w:val="13"/>
        </w:rPr>
        <w:t>Material in this</w:t>
      </w:r>
    </w:p>
    <w:p>
      <w:pPr>
        <w:spacing w:before="60" w:after="28"/>
        <w:jc w:val="right"/>
        <w:bidi/>
      </w:pPr>
      <w:r>
        <w:rPr>
          <w:b/>
          <w:color w:val="1F4D78"/>
          <w:sz w:val="18"/>
        </w:rPr>
        <w:t>بررسی می‌کند که چگونه مشارکت در جنگ‌ها و درگیری‌ها در طول تاریخ ما به پیشبرد کمک کرده است</w:t>
      </w:r>
    </w:p>
    <w:p>
      <w:pPr>
        <w:spacing w:after="20"/>
        <w:ind w:left="259"/>
        <w:jc w:val="left"/>
      </w:pPr>
      <w:r>
        <w:rPr>
          <w:color w:val="555555"/>
          <w:sz w:val="12"/>
        </w:rPr>
        <w:t>chapter examines how participation in wars and conflicts throughout our history helped drive</w:t>
      </w:r>
    </w:p>
    <w:p>
      <w:pPr>
        <w:spacing w:after="20" w:line="223" w:lineRule="auto"/>
        <w:jc w:val="right"/>
        <w:bidi/>
      </w:pPr>
      <w:r>
        <w:rPr>
          <w:rFonts w:ascii="Arial" w:hAnsi="Arial"/>
          <w:sz w:val="16"/>
        </w:rPr>
        <w:t>011.09  نوآوری و پیشرفت‌های فناوری برای توسعه نیروی هوایی ایالات متحده (ایالات متحده) به بزرگترین نیروی هوایی در جهان.</w:t>
      </w:r>
    </w:p>
    <w:p>
      <w:pPr>
        <w:spacing w:after="28" w:line="216" w:lineRule="auto"/>
        <w:ind w:left="259"/>
        <w:jc w:val="left"/>
      </w:pPr>
      <w:r>
        <w:rPr>
          <w:rFonts w:ascii="Arial" w:hAnsi="Arial"/>
          <w:color w:val="525252"/>
          <w:sz w:val="13"/>
        </w:rPr>
        <w:t>innovation and technological advancements to develop the United States (U.S.) Air Force into the greatest Air Force in the world.</w:t>
      </w:r>
    </w:p>
    <w:p>
      <w:pPr>
        <w:spacing w:after="20" w:line="223" w:lineRule="auto"/>
        <w:jc w:val="right"/>
        <w:bidi/>
      </w:pPr>
      <w:r>
        <w:rPr>
          <w:rFonts w:ascii="Arial" w:hAnsi="Arial"/>
          <w:sz w:val="16"/>
        </w:rPr>
        <w:t>011.10  توجه: چندین رویداد تاریخی مهم مرتبط با پروازهای هوایی و فضایی و از همه مهم‌تر میراث مردان و زنان نیروی هوایی ایالات متحده، پایه‌های نیروی هوایی دیروز، امروز و فردا هستند.</w:t>
      </w:r>
    </w:p>
    <w:p>
      <w:pPr>
        <w:spacing w:after="28" w:line="216" w:lineRule="auto"/>
        <w:ind w:left="259"/>
        <w:jc w:val="left"/>
      </w:pPr>
      <w:r>
        <w:rPr>
          <w:rFonts w:ascii="Arial" w:hAnsi="Arial"/>
          <w:color w:val="525252"/>
          <w:sz w:val="13"/>
        </w:rPr>
        <w:t>Note: Several significant historical events associated with air and space flight, and most importantly, the legacy of the men and women of the USAF, are foundations of the Air Force of yesterday, today, and tomorrow.</w:t>
      </w:r>
    </w:p>
    <w:p>
      <w:pPr>
        <w:spacing w:after="20" w:line="223" w:lineRule="auto"/>
        <w:jc w:val="right"/>
        <w:bidi/>
      </w:pPr>
      <w:r>
        <w:rPr>
          <w:rFonts w:ascii="Arial" w:hAnsi="Arial"/>
          <w:sz w:val="16"/>
        </w:rPr>
        <w:t>011.11  فصل‌های ۲ و ۳ به ترتیب زمانی طراحی شده‌اند.</w:t>
      </w:r>
    </w:p>
    <w:p>
      <w:pPr>
        <w:spacing w:after="28" w:line="216" w:lineRule="auto"/>
        <w:ind w:left="259"/>
        <w:jc w:val="left"/>
      </w:pPr>
      <w:r>
        <w:rPr>
          <w:rFonts w:ascii="Arial" w:hAnsi="Arial"/>
          <w:color w:val="525252"/>
          <w:sz w:val="13"/>
        </w:rPr>
        <w:t>Chapters 2 and 3 are designed in chronological order.</w:t>
      </w:r>
    </w:p>
    <w:p>
      <w:pPr>
        <w:spacing w:after="20" w:line="223" w:lineRule="auto"/>
        <w:jc w:val="right"/>
        <w:bidi/>
      </w:pPr>
      <w:r>
        <w:rPr>
          <w:rFonts w:ascii="Arial" w:hAnsi="Arial"/>
          <w:sz w:val="16"/>
        </w:rPr>
        <w:t>011.12  رویدادهای مهم ممکن است همپوشانی داشته باشند یا ممکن است به‌طور همزمان رخ داده باشند. بنابراین، تاریخ‌ها برای اهداف کلی ارائه جدول زمانی تاریخ هوانوردی و میراث نیروی هوایی در نظر گرفته می‌شوند.</w:t>
      </w:r>
    </w:p>
    <w:p>
      <w:pPr>
        <w:spacing w:after="28" w:line="216" w:lineRule="auto"/>
        <w:ind w:left="259"/>
        <w:jc w:val="left"/>
      </w:pPr>
      <w:r>
        <w:rPr>
          <w:rFonts w:ascii="Arial" w:hAnsi="Arial"/>
          <w:color w:val="525252"/>
          <w:sz w:val="13"/>
        </w:rPr>
        <w:t>Significant events may overlap or may have occurred simultaneously; therefore, dates are considered for the general purposes of providing a timeline of aviation history and Air Force heritage.</w:t>
      </w:r>
    </w:p>
    <w:p>
      <w:pPr>
        <w:spacing w:after="20" w:line="223" w:lineRule="auto"/>
        <w:jc w:val="right"/>
        <w:bidi/>
      </w:pPr>
      <w:r>
        <w:rPr>
          <w:rFonts w:ascii="Arial" w:hAnsi="Arial"/>
          <w:sz w:val="16"/>
        </w:rPr>
        <w:t>011.13  بسیاری از پروژه‌ها، تمرین‌ها و عملیات‌های نظامی با نام یا عناوین مشخص می‌شوند.</w:t>
      </w:r>
    </w:p>
    <w:p>
      <w:pPr>
        <w:spacing w:after="28" w:line="216" w:lineRule="auto"/>
        <w:ind w:left="259"/>
        <w:jc w:val="left"/>
      </w:pPr>
      <w:r>
        <w:rPr>
          <w:rFonts w:ascii="Arial" w:hAnsi="Arial"/>
          <w:color w:val="525252"/>
          <w:sz w:val="13"/>
        </w:rPr>
        <w:t>Many military projects, exercises, and operations are identified by names or titles.</w:t>
      </w:r>
    </w:p>
    <w:p>
      <w:pPr>
        <w:spacing w:after="20" w:line="223" w:lineRule="auto"/>
        <w:jc w:val="right"/>
        <w:bidi/>
      </w:pPr>
      <w:r>
        <w:rPr>
          <w:rFonts w:ascii="Arial" w:hAnsi="Arial"/>
          <w:sz w:val="16"/>
        </w:rPr>
        <w:t>011.14  قبل از ایجاد و انتشار نام برای عملیات، عوامل متعددی در نظر گرفته می‌شود.</w:t>
      </w:r>
    </w:p>
    <w:p>
      <w:pPr>
        <w:spacing w:after="28" w:line="216" w:lineRule="auto"/>
        <w:ind w:left="259"/>
        <w:jc w:val="left"/>
      </w:pPr>
      <w:r>
        <w:rPr>
          <w:rFonts w:ascii="Arial" w:hAnsi="Arial"/>
          <w:color w:val="525252"/>
          <w:sz w:val="13"/>
        </w:rPr>
        <w:t>Several factors are considered before establishing and publishing names for operations.</w:t>
      </w:r>
    </w:p>
    <w:p>
      <w:pPr>
        <w:spacing w:after="20" w:line="223" w:lineRule="auto"/>
        <w:jc w:val="right"/>
        <w:bidi/>
      </w:pPr>
      <w:r>
        <w:rPr>
          <w:rFonts w:ascii="Arial" w:hAnsi="Arial"/>
          <w:sz w:val="16"/>
        </w:rPr>
        <w:t>011.15  نام‌های عملیاتی ترکیبی از یک یا دو کلمه طبقه‌بندی‌نشده جداگانه هستند که به معنای طبقه‌بندی‌نشده اختصاص داده می‌شوند و برای اهداف اداری، اخلاقی یا اطلاعات عمومی طبقه‌بندی نشده استفاده می‌شوند.</w:t>
      </w:r>
    </w:p>
    <w:p>
      <w:pPr>
        <w:spacing w:after="28" w:line="216" w:lineRule="auto"/>
        <w:ind w:left="259"/>
        <w:jc w:val="left"/>
      </w:pPr>
      <w:r>
        <w:rPr>
          <w:rFonts w:ascii="Arial" w:hAnsi="Arial"/>
          <w:color w:val="525252"/>
          <w:sz w:val="13"/>
        </w:rPr>
        <w:t>Operational names are a combination of one or two separate unclassified words that are assigned an unclassified meaning and used for unclassified administrative, morale, or public information purposes.</w:t>
      </w:r>
    </w:p>
    <w:p>
      <w:pPr>
        <w:spacing w:after="20" w:line="223" w:lineRule="auto"/>
        <w:jc w:val="right"/>
        <w:bidi/>
      </w:pPr>
      <w:r>
        <w:rPr>
          <w:rFonts w:ascii="Arial" w:hAnsi="Arial"/>
          <w:sz w:val="16"/>
        </w:rPr>
        <w:t>011.16  به‌طور معمول، چهار پیشنهاد کلی برای نام‌گذاری عملیات وجود دارد: آنها را معنی‌دار کنید، مخاطبان کلیدی را هدف قرار دهید، از مد اجتناب کنید و آنها را به یاد ماندنی کنید.</w:t>
      </w:r>
    </w:p>
    <w:p>
      <w:pPr>
        <w:spacing w:after="28" w:line="216" w:lineRule="auto"/>
        <w:ind w:left="259"/>
        <w:jc w:val="left"/>
      </w:pPr>
      <w:r>
        <w:rPr>
          <w:rFonts w:ascii="Arial" w:hAnsi="Arial"/>
          <w:color w:val="525252"/>
          <w:sz w:val="13"/>
        </w:rPr>
        <w:t>Typically, there are four general suggestions for naming operations: make them meaningful, target key audiences, avoid fashion, and make them memorable.</w:t>
      </w:r>
    </w:p>
    <w:p>
      <w:pPr>
        <w:spacing w:before="60" w:after="28"/>
        <w:jc w:val="right"/>
        <w:bidi/>
      </w:pPr>
      <w:r>
        <w:rPr>
          <w:b/>
          <w:color w:val="1F4D78"/>
          <w:sz w:val="18"/>
        </w:rPr>
        <w:t>2.2. اولین پروازها</w:t>
      </w:r>
    </w:p>
    <w:p>
      <w:pPr>
        <w:spacing w:after="20"/>
        <w:ind w:left="259"/>
        <w:jc w:val="left"/>
      </w:pPr>
      <w:r>
        <w:rPr>
          <w:color w:val="555555"/>
          <w:sz w:val="12"/>
        </w:rPr>
        <w:t>2.2. First Flights</w:t>
      </w:r>
    </w:p>
    <w:p>
      <w:pPr>
        <w:spacing w:after="20" w:line="223" w:lineRule="auto"/>
        <w:jc w:val="right"/>
        <w:bidi/>
      </w:pPr>
      <w:r>
        <w:rPr>
          <w:rFonts w:ascii="Arial" w:hAnsi="Arial"/>
          <w:sz w:val="16"/>
        </w:rPr>
        <w:t>011.18  رویای پرواز تقریبا همیشه وجود داشته است.</w:t>
      </w:r>
    </w:p>
    <w:p>
      <w:pPr>
        <w:spacing w:after="28" w:line="216" w:lineRule="auto"/>
        <w:ind w:left="259"/>
        <w:jc w:val="left"/>
      </w:pPr>
      <w:r>
        <w:rPr>
          <w:rFonts w:ascii="Arial" w:hAnsi="Arial"/>
          <w:color w:val="525252"/>
          <w:sz w:val="13"/>
        </w:rPr>
        <w:t>The dream of flight has nearly always existed.</w:t>
      </w:r>
    </w:p>
    <w:p>
      <w:pPr>
        <w:spacing w:after="20" w:line="223" w:lineRule="auto"/>
        <w:jc w:val="right"/>
        <w:bidi/>
      </w:pPr>
      <w:r>
        <w:rPr>
          <w:rFonts w:ascii="Arial" w:hAnsi="Arial"/>
          <w:sz w:val="16"/>
        </w:rPr>
        <w:t>011.19  زمانی بود که دو برادر فرانسوی در سال ۱۷۸۳ یک بالون هوای گرم پرتاب کردند، آن مرد توانست پرواز کند.</w:t>
      </w:r>
    </w:p>
    <w:p>
      <w:pPr>
        <w:spacing w:after="28" w:line="216" w:lineRule="auto"/>
        <w:ind w:left="259"/>
        <w:jc w:val="left"/>
      </w:pPr>
      <w:r>
        <w:rPr>
          <w:rFonts w:ascii="Arial" w:hAnsi="Arial"/>
          <w:color w:val="525252"/>
          <w:sz w:val="13"/>
        </w:rPr>
        <w:t>It was when two French brothers launched a hot air balloon in 1783, that man was able to fly.</w:t>
      </w:r>
    </w:p>
    <w:p>
      <w:pPr>
        <w:spacing w:after="20" w:line="223" w:lineRule="auto"/>
        <w:jc w:val="right"/>
        <w:bidi/>
      </w:pPr>
      <w:r>
        <w:rPr>
          <w:rFonts w:ascii="Arial" w:hAnsi="Arial"/>
          <w:sz w:val="16"/>
        </w:rPr>
        <w:t>011.20  تقریبا یک دهه بعد، زمانی که در سال ۱۷۹۴، بالن‌های سپاه هوانوردی فرانسه ارتش‌های انقلاب فرانسه را همراهی کردند، هوانوردی نظامی به یک پتانسیل قابل توجه تبدیل شد.</w:t>
      </w:r>
    </w:p>
    <w:p>
      <w:pPr>
        <w:spacing w:after="28" w:line="216" w:lineRule="auto"/>
        <w:ind w:left="259"/>
        <w:jc w:val="left"/>
      </w:pPr>
      <w:r>
        <w:rPr>
          <w:rFonts w:ascii="Arial" w:hAnsi="Arial"/>
          <w:color w:val="525252"/>
          <w:sz w:val="13"/>
        </w:rPr>
        <w:t>Approximately a decade later, military aviation became a noteworthy potential when, in 1794, the French Aerostatic Corps’ balloons accompanied the Armies of the French Revolution.</w:t>
      </w:r>
    </w:p>
    <w:p>
      <w:pPr>
        <w:spacing w:after="20" w:line="223" w:lineRule="auto"/>
        <w:jc w:val="right"/>
        <w:bidi/>
      </w:pPr>
      <w:r>
        <w:rPr>
          <w:rFonts w:ascii="Arial" w:hAnsi="Arial"/>
          <w:sz w:val="16"/>
        </w:rPr>
        <w:t>011.21  پیشرفت‌های اروپایی در بالن‌ها، گلایدرها و آیرودینامیک به سرعت به پیشرفت خود ادامه دادند.</w:t>
      </w:r>
    </w:p>
    <w:p>
      <w:pPr>
        <w:spacing w:after="28" w:line="216" w:lineRule="auto"/>
        <w:ind w:left="259"/>
        <w:jc w:val="left"/>
      </w:pPr>
      <w:r>
        <w:rPr>
          <w:rFonts w:ascii="Arial" w:hAnsi="Arial"/>
          <w:color w:val="525252"/>
          <w:sz w:val="13"/>
        </w:rPr>
        <w:t>European advancements in balloons, gliders, and aerodynamics continued to progress rapidly.</w:t>
      </w:r>
    </w:p>
    <w:p>
      <w:pPr>
        <w:spacing w:after="20" w:line="223" w:lineRule="auto"/>
        <w:jc w:val="right"/>
        <w:bidi/>
      </w:pPr>
      <w:r>
        <w:rPr>
          <w:rFonts w:ascii="Arial" w:hAnsi="Arial"/>
          <w:sz w:val="16"/>
        </w:rPr>
        <w:t>011.22  در سال ۱۸۵۳، سر جورج کیلی بریتانیایی یک گلایدر با بال‌های ثابت، ایرفویل خمیده و تثبیت‌کننده‌های افقی و عمودی ساخت.</w:t>
      </w:r>
    </w:p>
    <w:p>
      <w:pPr>
        <w:spacing w:after="28" w:line="216" w:lineRule="auto"/>
        <w:ind w:left="259"/>
        <w:jc w:val="left"/>
      </w:pPr>
      <w:r>
        <w:rPr>
          <w:rFonts w:ascii="Arial" w:hAnsi="Arial"/>
          <w:color w:val="525252"/>
          <w:sz w:val="13"/>
        </w:rPr>
        <w:t>By 1853, Britain’s Sir George Cayley created a glider with fixed wings, cambered airfoil, and horizontal and vertical stabilizers.</w:t>
      </w:r>
    </w:p>
    <w:p>
      <w:pPr>
        <w:spacing w:after="20" w:line="223" w:lineRule="auto"/>
        <w:jc w:val="right"/>
        <w:bidi/>
      </w:pPr>
      <w:r>
        <w:rPr>
          <w:rFonts w:ascii="Arial" w:hAnsi="Arial"/>
          <w:sz w:val="16"/>
        </w:rPr>
        <w:t>011.23  این گلایدرها در نهایت به ماشین‌های پرنده شبیه به هلی‌گلایدرهای امروزی تبدیل شدند.</w:t>
      </w:r>
    </w:p>
    <w:p>
      <w:pPr>
        <w:spacing w:after="28" w:line="216" w:lineRule="auto"/>
        <w:ind w:left="259"/>
        <w:jc w:val="left"/>
      </w:pPr>
      <w:r>
        <w:rPr>
          <w:rFonts w:ascii="Arial" w:hAnsi="Arial"/>
          <w:color w:val="525252"/>
          <w:sz w:val="13"/>
        </w:rPr>
        <w:t>These gliders eventually evolved into flying machines similar to today’s hang gliders.</w:t>
      </w:r>
    </w:p>
    <w:p>
      <w:pPr>
        <w:spacing w:after="20" w:line="223" w:lineRule="auto"/>
        <w:jc w:val="right"/>
        <w:bidi/>
      </w:pPr>
      <w:r>
        <w:rPr>
          <w:rFonts w:ascii="Arial" w:hAnsi="Arial"/>
          <w:sz w:val="16"/>
        </w:rPr>
        <w:t>011.24  در سال ۱۸۶۱، یک سپاه بالون رصد و شناسایی هوایی را برای ارتش اتحادیه در طول جنگ داخلی آمریکا انجام داد.</w:t>
      </w:r>
    </w:p>
    <w:p>
      <w:pPr>
        <w:spacing w:after="28" w:line="216" w:lineRule="auto"/>
        <w:ind w:left="259"/>
        <w:jc w:val="left"/>
      </w:pPr>
      <w:r>
        <w:rPr>
          <w:rFonts w:ascii="Arial" w:hAnsi="Arial"/>
          <w:color w:val="525252"/>
          <w:sz w:val="13"/>
        </w:rPr>
        <w:t>In 1861, a Balloon Corps provided aerial observation and reconnaissance for the Union Army during the American Civil War.</w:t>
      </w:r>
    </w:p>
    <w:p>
      <w:pPr>
        <w:spacing w:after="20" w:line="223" w:lineRule="auto"/>
        <w:jc w:val="right"/>
        <w:bidi/>
      </w:pPr>
      <w:r>
        <w:rPr>
          <w:rFonts w:ascii="Arial" w:hAnsi="Arial"/>
          <w:sz w:val="16"/>
        </w:rPr>
        <w:t>011.25  هفت بادکنک موجود در موجودی مفید بودند، اما شکننده و آسیب پذیر در برابر شرایط آب و هوایی بودند.</w:t>
      </w:r>
    </w:p>
    <w:p>
      <w:pPr>
        <w:spacing w:after="28" w:line="216" w:lineRule="auto"/>
        <w:ind w:left="259"/>
        <w:jc w:val="left"/>
      </w:pPr>
      <w:r>
        <w:rPr>
          <w:rFonts w:ascii="Arial" w:hAnsi="Arial"/>
          <w:color w:val="525252"/>
          <w:sz w:val="13"/>
        </w:rPr>
        <w:t>The seven balloons in the inventory proved to be useful, but they were fragile and vulnerable to weather conditions.</w:t>
      </w:r>
    </w:p>
    <w:p>
      <w:pPr>
        <w:spacing w:after="20" w:line="223" w:lineRule="auto"/>
        <w:jc w:val="right"/>
        <w:bidi/>
      </w:pPr>
      <w:r>
        <w:rPr>
          <w:rFonts w:ascii="Arial" w:hAnsi="Arial"/>
          <w:sz w:val="16"/>
        </w:rPr>
        <w:t>011.26  در سال ۱۸۶۳، ارتش سپاه بالون ارتش اتحادیه را منحل کرد.</w:t>
      </w:r>
    </w:p>
    <w:p>
      <w:pPr>
        <w:spacing w:after="28" w:line="216" w:lineRule="auto"/>
        <w:ind w:left="259"/>
        <w:jc w:val="left"/>
      </w:pPr>
      <w:r>
        <w:rPr>
          <w:rFonts w:ascii="Arial" w:hAnsi="Arial"/>
          <w:color w:val="525252"/>
          <w:sz w:val="13"/>
        </w:rPr>
        <w:t>In 1863, the Army disbanded the Union Army Balloon Corps.</w:t>
      </w:r>
    </w:p>
    <w:p>
      <w:pPr>
        <w:spacing w:after="20" w:line="223" w:lineRule="auto"/>
        <w:jc w:val="right"/>
        <w:bidi/>
      </w:pPr>
      <w:r>
        <w:rPr>
          <w:rFonts w:ascii="Arial" w:hAnsi="Arial"/>
          <w:sz w:val="16"/>
        </w:rPr>
        <w:t>011.27  ارویل و ویلبر رایت.</w:t>
      </w:r>
    </w:p>
    <w:p>
      <w:pPr>
        <w:spacing w:after="28" w:line="216" w:lineRule="auto"/>
        <w:ind w:left="259"/>
        <w:jc w:val="left"/>
      </w:pPr>
      <w:r>
        <w:rPr>
          <w:rFonts w:ascii="Arial" w:hAnsi="Arial"/>
          <w:color w:val="525252"/>
          <w:sz w:val="13"/>
        </w:rPr>
        <w:t>Orville and Wilbur Wright.</w:t>
      </w:r>
    </w:p>
    <w:p>
      <w:pPr>
        <w:spacing w:after="20" w:line="223" w:lineRule="auto"/>
        <w:jc w:val="right"/>
        <w:bidi/>
      </w:pPr>
      <w:r>
        <w:rPr>
          <w:rFonts w:ascii="Arial" w:hAnsi="Arial"/>
          <w:sz w:val="16"/>
        </w:rPr>
        <w:t>011.28  در اوایل دهه ۱۹۰۰، ارویل و ویلبر رایت بیش از ۱۰۰۰ سرخوردن انجام دادند و اولین پرواز هواپیمای کنترل شده، پایدار و کنترل شده را به دست آوردند که عصر هوانوردی سنگین‌تر از هوا را منعکس می‌کرد.</w:t>
      </w:r>
    </w:p>
    <w:p>
      <w:pPr>
        <w:spacing w:after="28" w:line="216" w:lineRule="auto"/>
        <w:ind w:left="259"/>
        <w:jc w:val="left"/>
      </w:pPr>
      <w:r>
        <w:rPr>
          <w:rFonts w:ascii="Arial" w:hAnsi="Arial"/>
          <w:color w:val="525252"/>
          <w:sz w:val="13"/>
        </w:rPr>
        <w:t>In the early 1900s, Orville and Wilbur Wright conducted more than 1,000 glides and achieved the first powered, sustained, controlled airplane flight, heralding the age of heavier-than-air aviation.</w:t>
      </w:r>
    </w:p>
    <w:p>
      <w:pPr>
        <w:spacing w:after="20" w:line="223" w:lineRule="auto"/>
        <w:jc w:val="right"/>
        <w:bidi/>
      </w:pPr>
      <w:r>
        <w:rPr>
          <w:rFonts w:ascii="Arial" w:hAnsi="Arial"/>
          <w:sz w:val="16"/>
        </w:rPr>
        <w:t>011.29  هنگامی که پرزیدنت تئودور روزولت در ۱ اوت ۱۹۰۷ یک بخش هوانوردی را در سپاه سیگنال ارتش ایالات متحده تأسیس کرد، برادران رایت تنها هواپیمای قابل پروازی را ارائه کردند که مشخصات اولین هواپیمای نظامی خود را داشت.</w:t>
      </w:r>
    </w:p>
    <w:p>
      <w:pPr>
        <w:spacing w:after="28" w:line="216" w:lineRule="auto"/>
        <w:ind w:left="259"/>
        <w:jc w:val="left"/>
      </w:pPr>
      <w:r>
        <w:rPr>
          <w:rFonts w:ascii="Arial" w:hAnsi="Arial"/>
          <w:color w:val="525252"/>
          <w:sz w:val="13"/>
        </w:rPr>
        <w:t>When President Theodore Roosevelt established an Aeronautical Division in the U.S. Army’s Signal Corps on 1 August 1907, the Wright Brothers offered the only flyable aircraft that met specifications for its first military airplane.</w:t>
      </w:r>
    </w:p>
    <w:p>
      <w:pPr>
        <w:spacing w:after="20" w:line="223" w:lineRule="auto"/>
        <w:jc w:val="right"/>
        <w:bidi/>
      </w:pPr>
      <w:r>
        <w:rPr>
          <w:rFonts w:ascii="Arial" w:hAnsi="Arial"/>
          <w:sz w:val="16"/>
        </w:rPr>
        <w:t>011.30  ماشین پرنده مجبور بود دو نفر را با وزن ترکیبی ۳۵۰ پوند یا کمتر حمل کند و باید بتواند ۱۲۵ مایل با سرعت متوسط ​​۴۰ مایل در ساعت پرواز کند.</w:t>
      </w:r>
    </w:p>
    <w:p>
      <w:pPr>
        <w:spacing w:after="28" w:line="216" w:lineRule="auto"/>
        <w:ind w:left="259"/>
        <w:jc w:val="left"/>
      </w:pPr>
      <w:r>
        <w:rPr>
          <w:rFonts w:ascii="Arial" w:hAnsi="Arial"/>
          <w:color w:val="525252"/>
          <w:sz w:val="13"/>
        </w:rPr>
        <w:t>The flying machine had to carry two people with a combined weight of 350 pounds or less, and it needed to be able to fly for 125 miles at an average speed of 40 miles per hour.</w:t>
      </w:r>
    </w:p>
    <w:p>
      <w:pPr>
        <w:spacing w:after="20" w:line="223" w:lineRule="auto"/>
        <w:jc w:val="right"/>
        <w:bidi/>
      </w:pPr>
      <w:r>
        <w:rPr>
          <w:rFonts w:ascii="Arial" w:hAnsi="Arial"/>
          <w:sz w:val="16"/>
        </w:rPr>
        <w:t>011.31  علیرغم سقوط در ۱۷ سپتامبر ۱۹۰۸، مجروح شدن جدی ارویل و کشته شدن ستوان مسافر توماس ای. سلفریج، تا سال ۱۹۰۹ ارتش ایالات متحده اولین هواپیمای خود را، سپاه سیگنال شماره ۱، از شرکت رایت پذیرفت.</w:t>
      </w:r>
    </w:p>
    <w:p>
      <w:pPr>
        <w:spacing w:after="28" w:line="216" w:lineRule="auto"/>
        <w:ind w:left="259"/>
        <w:jc w:val="left"/>
      </w:pPr>
      <w:r>
        <w:rPr>
          <w:rFonts w:ascii="Arial" w:hAnsi="Arial"/>
          <w:color w:val="525252"/>
          <w:sz w:val="13"/>
        </w:rPr>
        <w:t>Despite a crash on 17 September 1908, seriously injuring Orville and killing passenger Lieutenant Thomas E. Selfridge, by 1909 the U.S. Army accepted its first of many aircraft, the Signal Corps No. 1, from the Wright Company.</w:t>
      </w:r>
    </w:p>
    <w:p>
      <w:pPr>
        <w:spacing w:after="20" w:line="223" w:lineRule="auto"/>
        <w:jc w:val="right"/>
        <w:bidi/>
      </w:pPr>
      <w:r>
        <w:rPr>
          <w:rFonts w:ascii="Arial" w:hAnsi="Arial"/>
          <w:sz w:val="16"/>
        </w:rPr>
        <w:t>011.32  برادران رایت</w:t>
      </w:r>
    </w:p>
    <w:p>
      <w:pPr>
        <w:spacing w:after="28" w:line="216" w:lineRule="auto"/>
        <w:ind w:left="259"/>
        <w:jc w:val="left"/>
      </w:pPr>
      <w:r>
        <w:rPr>
          <w:rFonts w:ascii="Arial" w:hAnsi="Arial"/>
          <w:color w:val="525252"/>
          <w:sz w:val="13"/>
        </w:rPr>
        <w:t>The Wright Brothers</w:t>
      </w:r>
    </w:p>
    <w:p>
      <w:r>
        <w:br w:type="page"/>
      </w:r>
    </w:p>
    <w:p>
      <w:pPr>
        <w:spacing w:after="60"/>
        <w:jc w:val="right"/>
        <w:bidi/>
      </w:pPr>
      <w:r>
        <w:rPr>
          <w:rFonts w:ascii="Arial" w:hAnsi="Arial"/>
          <w:b/>
          <w:color w:val="1F4D78"/>
          <w:sz w:val="19"/>
        </w:rPr>
        <w:t>هفتهٔ 12  |  صفحهٔ منبع: 28</w:t>
      </w:r>
    </w:p>
    <w:p>
      <w:pPr>
        <w:spacing w:after="20" w:line="223" w:lineRule="auto"/>
        <w:jc w:val="right"/>
        <w:bidi/>
      </w:pPr>
      <w:r>
        <w:rPr>
          <w:rFonts w:ascii="Arial" w:hAnsi="Arial"/>
          <w:sz w:val="16"/>
        </w:rPr>
        <w:t>012.01  متعاقبا، برادران رایت چندین خلبان ارتش ایالات متحده، از جمله هنری اچ. "هپ" آرنولد، فرمانده آینده نیروی هوایی ارتش ایالات متحده را آموزش دادند.</w:t>
      </w:r>
    </w:p>
    <w:p>
      <w:pPr>
        <w:spacing w:after="28" w:line="216" w:lineRule="auto"/>
        <w:ind w:left="259"/>
        <w:jc w:val="left"/>
      </w:pPr>
      <w:r>
        <w:rPr>
          <w:rFonts w:ascii="Arial" w:hAnsi="Arial"/>
          <w:color w:val="525252"/>
          <w:sz w:val="13"/>
        </w:rPr>
        <w:t>Subsequently, the Wright Brothers trained several U.S. Army pilots, including Henry H. “Hap” Arnold, future commander of the U.S. Army Air Forces.</w:t>
      </w:r>
    </w:p>
    <w:p>
      <w:pPr>
        <w:spacing w:before="60" w:after="28"/>
        <w:jc w:val="right"/>
        <w:bidi/>
      </w:pPr>
      <w:r>
        <w:rPr>
          <w:b/>
          <w:color w:val="1F4D78"/>
          <w:sz w:val="18"/>
        </w:rPr>
        <w:t>2.3. بخش هوانوردی، سپاه سیگنال (1 اوت 1907 - 18 ژوئیه 1914)</w:t>
      </w:r>
    </w:p>
    <w:p>
      <w:pPr>
        <w:spacing w:after="20"/>
        <w:ind w:left="259"/>
        <w:jc w:val="left"/>
      </w:pPr>
      <w:r>
        <w:rPr>
          <w:color w:val="555555"/>
          <w:sz w:val="12"/>
        </w:rPr>
        <w:t>2.3. Aeronautical Division, Signal Corps (1 August 1907 - 18 July 1914)</w:t>
      </w:r>
    </w:p>
    <w:p>
      <w:pPr>
        <w:spacing w:after="20" w:line="223" w:lineRule="auto"/>
        <w:jc w:val="right"/>
        <w:bidi/>
      </w:pPr>
      <w:r>
        <w:rPr>
          <w:rFonts w:ascii="Arial" w:hAnsi="Arial"/>
          <w:sz w:val="16"/>
        </w:rPr>
        <w:t>012.03  هنگامی که بخش هوانوردی، سپاه سیگنال در سال ۱۹۰۷ تأسیس شد، ارتش به ناچار چندین بالون را در اختیار گرفت که از زمان انحلال سپاه بالون حفظ شده بودند.</w:t>
      </w:r>
    </w:p>
    <w:p>
      <w:pPr>
        <w:spacing w:after="28" w:line="216" w:lineRule="auto"/>
        <w:ind w:left="259"/>
        <w:jc w:val="left"/>
      </w:pPr>
      <w:r>
        <w:rPr>
          <w:rFonts w:ascii="Arial" w:hAnsi="Arial"/>
          <w:color w:val="525252"/>
          <w:sz w:val="13"/>
        </w:rPr>
        <w:t>When the Aeronautical Division, Signal Corps was established in 1907, the Army inevitably found itself in possession of several balloons that had been retained since the disbandment of the Balloon Corps.</w:t>
      </w:r>
    </w:p>
    <w:p>
      <w:pPr>
        <w:spacing w:after="20" w:line="223" w:lineRule="auto"/>
        <w:jc w:val="right"/>
        <w:bidi/>
      </w:pPr>
      <w:r>
        <w:rPr>
          <w:rFonts w:ascii="Arial" w:hAnsi="Arial"/>
          <w:sz w:val="16"/>
        </w:rPr>
        <w:t>012.04  با این کشف، ارتش دریافت که برای باد کردن بالن‌ها و انجام تعمیرات لازم به نیروهای درجه‌دار آموزش‌دیده نیاز دارد.</w:t>
      </w:r>
    </w:p>
    <w:p>
      <w:pPr>
        <w:spacing w:after="28" w:line="216" w:lineRule="auto"/>
        <w:ind w:left="259"/>
        <w:jc w:val="left"/>
      </w:pPr>
      <w:r>
        <w:rPr>
          <w:rFonts w:ascii="Arial" w:hAnsi="Arial"/>
          <w:color w:val="525252"/>
          <w:sz w:val="13"/>
        </w:rPr>
        <w:t>With that discovery, the Army realized the need for trained enlisted men to conduct balloon inflations and make necessary repairs.</w:t>
      </w:r>
    </w:p>
    <w:p>
      <w:pPr>
        <w:spacing w:after="20" w:line="223" w:lineRule="auto"/>
        <w:jc w:val="right"/>
        <w:bidi/>
      </w:pPr>
      <w:r>
        <w:rPr>
          <w:rFonts w:ascii="Arial" w:hAnsi="Arial"/>
          <w:sz w:val="16"/>
        </w:rPr>
        <w:t>012.05  در آن سال، ادی وارد و جوزف بارت در کارخانه بالون سازی لئو استیونز در نیویورک، نیویورک گزارش دادند.</w:t>
      </w:r>
    </w:p>
    <w:p>
      <w:pPr>
        <w:spacing w:after="28" w:line="216" w:lineRule="auto"/>
        <w:ind w:left="259"/>
        <w:jc w:val="left"/>
      </w:pPr>
      <w:r>
        <w:rPr>
          <w:rFonts w:ascii="Arial" w:hAnsi="Arial"/>
          <w:color w:val="525252"/>
          <w:sz w:val="13"/>
        </w:rPr>
        <w:t>That year, Eddie Ward and Joseph Barrett reported in at the Leo Stevens’ Balloon Factory in New York, New York.</w:t>
      </w:r>
    </w:p>
    <w:p>
      <w:pPr>
        <w:spacing w:after="20" w:line="223" w:lineRule="auto"/>
        <w:jc w:val="right"/>
        <w:bidi/>
      </w:pPr>
      <w:r>
        <w:rPr>
          <w:rFonts w:ascii="Arial" w:hAnsi="Arial"/>
          <w:sz w:val="16"/>
        </w:rPr>
        <w:t>012.06  آنان نخستین نیروهای درجه‌دار بخش هوانوردی بودند که اصول کار با پارچه، تا کردن و دوختن را آموختند.</w:t>
      </w:r>
    </w:p>
    <w:p>
      <w:pPr>
        <w:spacing w:after="28" w:line="216" w:lineRule="auto"/>
        <w:ind w:left="259"/>
        <w:jc w:val="left"/>
      </w:pPr>
      <w:r>
        <w:rPr>
          <w:rFonts w:ascii="Arial" w:hAnsi="Arial"/>
          <w:color w:val="525252"/>
          <w:sz w:val="13"/>
        </w:rPr>
        <w:t>They were the first enlisted men in the Aeronautical Division to be schooled in the rudiments of fabric handling, folding, and stitching.</w:t>
      </w:r>
    </w:p>
    <w:p>
      <w:pPr>
        <w:spacing w:after="20" w:line="223" w:lineRule="auto"/>
        <w:jc w:val="right"/>
        <w:bidi/>
      </w:pPr>
      <w:r>
        <w:rPr>
          <w:rFonts w:ascii="Arial" w:hAnsi="Arial"/>
          <w:sz w:val="16"/>
        </w:rPr>
        <w:t>012.07  همچنین ساخت گازهای شناور به آنها آموزش داده شد و در باد کردن و کنترل هواپیماهای ارتش متخصص شدند.</w:t>
      </w:r>
    </w:p>
    <w:p>
      <w:pPr>
        <w:spacing w:after="28" w:line="216" w:lineRule="auto"/>
        <w:ind w:left="259"/>
        <w:jc w:val="left"/>
      </w:pPr>
      <w:r>
        <w:rPr>
          <w:rFonts w:ascii="Arial" w:hAnsi="Arial"/>
          <w:color w:val="525252"/>
          <w:sz w:val="13"/>
        </w:rPr>
        <w:t>They were also taught the manufacturing of buoyant gases and became experts in the inflation and control of the Army’s aircraft.</w:t>
      </w:r>
    </w:p>
    <w:p>
      <w:pPr>
        <w:spacing w:after="20" w:line="223" w:lineRule="auto"/>
        <w:jc w:val="right"/>
        <w:bidi/>
      </w:pPr>
      <w:r>
        <w:rPr>
          <w:rFonts w:ascii="Arial" w:hAnsi="Arial"/>
          <w:sz w:val="16"/>
        </w:rPr>
        <w:t>012.08  توسعه موجودی و اطمینان از ایمنی خلبانان دو نگرانی مهم در مورد هوانوردی نظامی در سپاه سیگنال بود.</w:t>
      </w:r>
    </w:p>
    <w:p>
      <w:pPr>
        <w:spacing w:after="28" w:line="216" w:lineRule="auto"/>
        <w:ind w:left="259"/>
        <w:jc w:val="left"/>
      </w:pPr>
      <w:r>
        <w:rPr>
          <w:rFonts w:ascii="Arial" w:hAnsi="Arial"/>
          <w:color w:val="525252"/>
          <w:sz w:val="13"/>
        </w:rPr>
        <w:t>Developing an inventory and ensuring the safety of the pilots were two significant concerns regarding military aviation in the Signal Corps.</w:t>
      </w:r>
    </w:p>
    <w:p>
      <w:pPr>
        <w:spacing w:after="20" w:line="223" w:lineRule="auto"/>
        <w:jc w:val="right"/>
        <w:bidi/>
      </w:pPr>
      <w:r>
        <w:rPr>
          <w:rFonts w:ascii="Arial" w:hAnsi="Arial"/>
          <w:sz w:val="16"/>
        </w:rPr>
        <w:t>012.09  خدمهٔ درجه‌دار نه‌تنها هواپیماها را تعمیر می‌کردند، بلکه می‌کوشیدند پرواز با آنها ایمن‌تر شود.</w:t>
      </w:r>
    </w:p>
    <w:p>
      <w:pPr>
        <w:spacing w:after="28" w:line="216" w:lineRule="auto"/>
        <w:ind w:left="259"/>
        <w:jc w:val="left"/>
      </w:pPr>
      <w:r>
        <w:rPr>
          <w:rFonts w:ascii="Arial" w:hAnsi="Arial"/>
          <w:color w:val="525252"/>
          <w:sz w:val="13"/>
        </w:rPr>
        <w:t>Enlisted crews not only repaired the planes, but they also labored to make them safer to fly.</w:t>
      </w:r>
    </w:p>
    <w:p>
      <w:pPr>
        <w:spacing w:after="20" w:line="223" w:lineRule="auto"/>
        <w:jc w:val="right"/>
        <w:bidi/>
      </w:pPr>
      <w:r>
        <w:rPr>
          <w:rFonts w:ascii="Arial" w:hAnsi="Arial"/>
          <w:sz w:val="16"/>
        </w:rPr>
        <w:t>012.10  آنها پشتیبانی روزانه از تعداد انگشت شماری از خلبانان افسر را فراهم کردند، مهارت‌های جدیدی را به‌عنوان مکانیک هواپیما (مکانیک هواپیما با مهارت و دانش برای نگهداری و تعمیر موتورهای هواپیما، بدنه هواپیما، کنترل‌ها و سیستم‌ها) آموختند، و مهارت‌های مکانیک، ریگر و نصب کننده را افزایش دادند.</w:t>
      </w:r>
    </w:p>
    <w:p>
      <w:pPr>
        <w:spacing w:after="28" w:line="216" w:lineRule="auto"/>
        <w:ind w:left="259"/>
        <w:jc w:val="left"/>
      </w:pPr>
      <w:r>
        <w:rPr>
          <w:rFonts w:ascii="Arial" w:hAnsi="Arial"/>
          <w:color w:val="525252"/>
          <w:sz w:val="13"/>
        </w:rPr>
        <w:t>They provided day-to-day support for a handful of officer pilots, learned new skills as airplane mechanicians (aircraft mechanics with skills and knowledge to maintain and repair aircraft engines, airframes, controls, and systems), and furthered skills as mechanics, riggers, and fitters.</w:t>
      </w:r>
    </w:p>
    <w:p>
      <w:pPr>
        <w:spacing w:after="20" w:line="223" w:lineRule="auto"/>
        <w:jc w:val="right"/>
        <w:bidi/>
      </w:pPr>
      <w:r>
        <w:rPr>
          <w:rFonts w:ascii="Arial" w:hAnsi="Arial"/>
          <w:sz w:val="16"/>
        </w:rPr>
        <w:t>012.11  گروه اعزامی گروه کوچکی از سربازان نیروی هوایی بود که در اولین گام‌های تأسیس هوانوردی نظامی به‌عنوان بخشی دائمی از دفاع کشور مشارکت داشتند.</w:t>
      </w:r>
    </w:p>
    <w:p>
      <w:pPr>
        <w:spacing w:after="28" w:line="216" w:lineRule="auto"/>
        <w:ind w:left="259"/>
        <w:jc w:val="left"/>
      </w:pPr>
      <w:r>
        <w:rPr>
          <w:rFonts w:ascii="Arial" w:hAnsi="Arial"/>
          <w:color w:val="525252"/>
          <w:sz w:val="13"/>
        </w:rPr>
        <w:t>The enlisted detachment was a small band of enlisted Airmen who shared in the first steps of establishing military aviation as a permanent part of the nation’s defense.</w:t>
      </w:r>
    </w:p>
    <w:p>
      <w:pPr>
        <w:spacing w:after="20" w:line="223" w:lineRule="auto"/>
        <w:jc w:val="right"/>
        <w:bidi/>
      </w:pPr>
      <w:r>
        <w:rPr>
          <w:rFonts w:ascii="Arial" w:hAnsi="Arial"/>
          <w:sz w:val="16"/>
        </w:rPr>
        <w:t>012.12  تا اکتبر ۱۹۱۲، بخش هوانوردی متشکل از ۱۱ هواپیما با ۱۴ افسر پرواز و ۳۹ مکانیک ثبت‌نام شده بود، که آن را نسبتا با نیروهای اروپا برابر می‌کرد.</w:t>
      </w:r>
    </w:p>
    <w:p>
      <w:pPr>
        <w:spacing w:after="28" w:line="216" w:lineRule="auto"/>
        <w:ind w:left="259"/>
        <w:jc w:val="left"/>
      </w:pPr>
      <w:r>
        <w:rPr>
          <w:rFonts w:ascii="Arial" w:hAnsi="Arial"/>
          <w:color w:val="525252"/>
          <w:sz w:val="13"/>
        </w:rPr>
        <w:t>By October 1912, the Aeronautical Division consisted of 11 aircraft with 14 flying officers and 39 enlisted mechanics, making it relatively equivalent to forces in Europe.</w:t>
      </w:r>
    </w:p>
    <w:p>
      <w:pPr>
        <w:spacing w:after="20" w:line="223" w:lineRule="auto"/>
        <w:jc w:val="right"/>
        <w:bidi/>
      </w:pPr>
      <w:r>
        <w:rPr>
          <w:rFonts w:ascii="Arial" w:hAnsi="Arial"/>
          <w:sz w:val="16"/>
        </w:rPr>
        <w:t>012.13  در سال ۱۹۱۳، اسکادران اول آئرو فعال شد.</w:t>
      </w:r>
    </w:p>
    <w:p>
      <w:pPr>
        <w:spacing w:after="28" w:line="216" w:lineRule="auto"/>
        <w:ind w:left="259"/>
        <w:jc w:val="left"/>
      </w:pPr>
      <w:r>
        <w:rPr>
          <w:rFonts w:ascii="Arial" w:hAnsi="Arial"/>
          <w:color w:val="525252"/>
          <w:sz w:val="13"/>
        </w:rPr>
        <w:t>In 1913, the 1st Aero Squadron was activated.</w:t>
      </w:r>
    </w:p>
    <w:p>
      <w:pPr>
        <w:spacing w:after="20" w:line="223" w:lineRule="auto"/>
        <w:jc w:val="right"/>
        <w:bidi/>
      </w:pPr>
      <w:r>
        <w:rPr>
          <w:rFonts w:ascii="Arial" w:hAnsi="Arial"/>
          <w:sz w:val="16"/>
        </w:rPr>
        <w:t>012.14  به‌عنوان قدیمی‌ترین اسکادران در USAF شناخته می‌شود.</w:t>
      </w:r>
    </w:p>
    <w:p>
      <w:pPr>
        <w:spacing w:after="28" w:line="216" w:lineRule="auto"/>
        <w:ind w:left="259"/>
        <w:jc w:val="left"/>
      </w:pPr>
      <w:r>
        <w:rPr>
          <w:rFonts w:ascii="Arial" w:hAnsi="Arial"/>
          <w:color w:val="525252"/>
          <w:sz w:val="13"/>
        </w:rPr>
        <w:t>It is recognized as the oldest squadron in the USAF.</w:t>
      </w:r>
    </w:p>
    <w:p>
      <w:pPr>
        <w:spacing w:after="20" w:line="223" w:lineRule="auto"/>
        <w:jc w:val="right"/>
        <w:bidi/>
      </w:pPr>
      <w:r>
        <w:rPr>
          <w:rFonts w:ascii="Arial" w:hAnsi="Arial"/>
          <w:sz w:val="16"/>
        </w:rPr>
        <w:t>012.15  رایت مکانیک هواپیمای دوبال، فرانک اسکات.</w:t>
      </w:r>
    </w:p>
    <w:p>
      <w:pPr>
        <w:spacing w:after="28" w:line="216" w:lineRule="auto"/>
        <w:ind w:left="259"/>
        <w:jc w:val="left"/>
      </w:pPr>
      <w:r>
        <w:rPr>
          <w:rFonts w:ascii="Arial" w:hAnsi="Arial"/>
          <w:color w:val="525252"/>
          <w:sz w:val="13"/>
        </w:rPr>
        <w:t>Wright Biplane Chief Mechanic, Frank Scott.</w:t>
      </w:r>
    </w:p>
    <w:p>
      <w:pPr>
        <w:spacing w:after="20" w:line="223" w:lineRule="auto"/>
        <w:jc w:val="right"/>
        <w:bidi/>
      </w:pPr>
      <w:r>
        <w:rPr>
          <w:rFonts w:ascii="Arial" w:hAnsi="Arial"/>
          <w:sz w:val="16"/>
        </w:rPr>
        <w:t>012.16  سرجوخه فرانک اسکات در سال ۱۹۰۸ در شاخه توپخانه میدانی ارتش ایالات متحده نام نویسی کرد و در سال ۱۹۱۱ در سپاه سیگنال آموزش دید.</w:t>
      </w:r>
    </w:p>
    <w:p>
      <w:pPr>
        <w:spacing w:after="28" w:line="216" w:lineRule="auto"/>
        <w:ind w:left="259"/>
        <w:jc w:val="left"/>
      </w:pPr>
      <w:r>
        <w:rPr>
          <w:rFonts w:ascii="Arial" w:hAnsi="Arial"/>
          <w:color w:val="525252"/>
          <w:sz w:val="13"/>
        </w:rPr>
        <w:t>Corporal Frank Scott enlisted in the Field Artillery branch of the U.S. Army in 1908 and cross- trained into the Signal Corps in 1911.</w:t>
      </w:r>
    </w:p>
    <w:p>
      <w:pPr>
        <w:spacing w:after="20" w:line="223" w:lineRule="auto"/>
        <w:jc w:val="right"/>
        <w:bidi/>
      </w:pPr>
      <w:r>
        <w:rPr>
          <w:rFonts w:ascii="Arial" w:hAnsi="Arial"/>
          <w:sz w:val="16"/>
        </w:rPr>
        <w:t>012.17  او ابتدا مأمور پرتاب و رهاسازی بالون‌های هوای گرم شد و به زودی به کار بر روی هواپیمای دوبال نوع ب رایت منتقل شد.</w:t>
      </w:r>
    </w:p>
    <w:p>
      <w:pPr>
        <w:spacing w:after="28" w:line="216" w:lineRule="auto"/>
        <w:ind w:left="259"/>
        <w:jc w:val="left"/>
      </w:pPr>
      <w:r>
        <w:rPr>
          <w:rFonts w:ascii="Arial" w:hAnsi="Arial"/>
          <w:color w:val="525252"/>
          <w:sz w:val="13"/>
        </w:rPr>
        <w:t>He was initially assigned to launching and releasing of hot air balloons and was soon transferred to work on the Type-B Wright biplane.</w:t>
      </w:r>
    </w:p>
    <w:p>
      <w:pPr>
        <w:spacing w:after="20" w:line="223" w:lineRule="auto"/>
        <w:jc w:val="right"/>
        <w:bidi/>
      </w:pPr>
      <w:r>
        <w:rPr>
          <w:rFonts w:ascii="Arial" w:hAnsi="Arial"/>
          <w:sz w:val="16"/>
        </w:rPr>
        <w:t>012.18  به‌عنوان یک مکانیک ارشد، به سرجوخه اسکات فرصتی برای همراهی خلبان، ستوان راکول، در یک پرواز آزمایشی ارائه شد.</w:t>
      </w:r>
    </w:p>
    <w:p>
      <w:pPr>
        <w:spacing w:after="28" w:line="216" w:lineRule="auto"/>
        <w:ind w:left="259"/>
        <w:jc w:val="left"/>
      </w:pPr>
      <w:r>
        <w:rPr>
          <w:rFonts w:ascii="Arial" w:hAnsi="Arial"/>
          <w:color w:val="525252"/>
          <w:sz w:val="13"/>
        </w:rPr>
        <w:t>As a chief mechanic, Corporal Scott was offered an opportunity to accompany the pilot, Lieutenant Rockwell, on a test flight.</w:t>
      </w:r>
    </w:p>
    <w:p>
      <w:pPr>
        <w:spacing w:after="20" w:line="223" w:lineRule="auto"/>
        <w:jc w:val="right"/>
        <w:bidi/>
      </w:pPr>
      <w:r>
        <w:rPr>
          <w:rFonts w:ascii="Arial" w:hAnsi="Arial"/>
          <w:sz w:val="16"/>
        </w:rPr>
        <w:t>012.19  در ۲۸ سپتامبر ۱۹۱۲، زمانی که خلبان تلاش کرد فرود بیاید، هواپیما دچار مشکل موتور شد.</w:t>
      </w:r>
    </w:p>
    <w:p>
      <w:pPr>
        <w:spacing w:after="28" w:line="216" w:lineRule="auto"/>
        <w:ind w:left="259"/>
        <w:jc w:val="left"/>
      </w:pPr>
      <w:r>
        <w:rPr>
          <w:rFonts w:ascii="Arial" w:hAnsi="Arial"/>
          <w:color w:val="525252"/>
          <w:sz w:val="13"/>
        </w:rPr>
        <w:t>On 28 September 1912, when the pilot attempted to land, the aircraft experienced engine trouble.</w:t>
      </w:r>
    </w:p>
    <w:p>
      <w:pPr>
        <w:spacing w:after="20" w:line="223" w:lineRule="auto"/>
        <w:jc w:val="right"/>
        <w:bidi/>
      </w:pPr>
      <w:r>
        <w:rPr>
          <w:rFonts w:ascii="Arial" w:hAnsi="Arial"/>
          <w:sz w:val="16"/>
        </w:rPr>
        <w:t>012.20  متاسفانه اولین و تنها پرواز اسکات شد.</w:t>
      </w:r>
    </w:p>
    <w:p>
      <w:pPr>
        <w:spacing w:after="28" w:line="216" w:lineRule="auto"/>
        <w:ind w:left="259"/>
        <w:jc w:val="left"/>
      </w:pPr>
      <w:r>
        <w:rPr>
          <w:rFonts w:ascii="Arial" w:hAnsi="Arial"/>
          <w:color w:val="525252"/>
          <w:sz w:val="13"/>
        </w:rPr>
        <w:t>It unfortunately became Scott’s first and only flight.</w:t>
      </w:r>
    </w:p>
    <w:p>
      <w:pPr>
        <w:spacing w:after="20" w:line="223" w:lineRule="auto"/>
        <w:jc w:val="right"/>
        <w:bidi/>
      </w:pPr>
      <w:r>
        <w:rPr>
          <w:rFonts w:ascii="Arial" w:hAnsi="Arial"/>
          <w:sz w:val="16"/>
        </w:rPr>
        <w:t>012.21  هر دو سرجوخه اسکات و ستوان راکول در آن روز جان خود را از دست دادند.</w:t>
      </w:r>
    </w:p>
    <w:p>
      <w:pPr>
        <w:spacing w:after="28" w:line="216" w:lineRule="auto"/>
        <w:ind w:left="259"/>
        <w:jc w:val="left"/>
      </w:pPr>
      <w:r>
        <w:rPr>
          <w:rFonts w:ascii="Arial" w:hAnsi="Arial"/>
          <w:color w:val="525252"/>
          <w:sz w:val="13"/>
        </w:rPr>
        <w:t>Both Corporal Scott and Lieutenant Rockwell lost their lives that day.</w:t>
      </w:r>
    </w:p>
    <w:p>
      <w:pPr>
        <w:spacing w:after="20" w:line="223" w:lineRule="auto"/>
        <w:jc w:val="right"/>
        <w:bidi/>
      </w:pPr>
      <w:r>
        <w:rPr>
          <w:rFonts w:ascii="Arial" w:hAnsi="Arial"/>
          <w:sz w:val="16"/>
        </w:rPr>
        <w:t>012.22  سرجوخه فرانک اسکات اولین فردی بود که در یک سانحه در هواپیمای نظامی فرانک اسکات جان خود را از دست داد.</w:t>
      </w:r>
    </w:p>
    <w:p>
      <w:pPr>
        <w:spacing w:after="28" w:line="216" w:lineRule="auto"/>
        <w:ind w:left="259"/>
        <w:jc w:val="left"/>
      </w:pPr>
      <w:r>
        <w:rPr>
          <w:rFonts w:ascii="Arial" w:hAnsi="Arial"/>
          <w:color w:val="525252"/>
          <w:sz w:val="13"/>
        </w:rPr>
        <w:t>Corporal Frank Scott was the first enlisted person to die in an accident in a military Frank Scott aircraft.</w:t>
      </w:r>
    </w:p>
    <w:p>
      <w:pPr>
        <w:spacing w:after="20" w:line="223" w:lineRule="auto"/>
        <w:jc w:val="right"/>
        <w:bidi/>
      </w:pPr>
      <w:r>
        <w:rPr>
          <w:rFonts w:ascii="Arial" w:hAnsi="Arial"/>
          <w:sz w:val="16"/>
        </w:rPr>
        <w:t>012.23  اسکات فیلد، اکنون پایگاه نیروی هوایی اسکات، ایلینوی، به افتخار او نامگذاری شد.</w:t>
      </w:r>
    </w:p>
    <w:p>
      <w:pPr>
        <w:spacing w:after="28" w:line="216" w:lineRule="auto"/>
        <w:ind w:left="259"/>
        <w:jc w:val="left"/>
      </w:pPr>
      <w:r>
        <w:rPr>
          <w:rFonts w:ascii="Arial" w:hAnsi="Arial"/>
          <w:color w:val="525252"/>
          <w:sz w:val="13"/>
        </w:rPr>
        <w:t>Scott Field, now Scott Air Force Base, Illinois, was named in his honor.</w:t>
      </w:r>
    </w:p>
    <w:p>
      <w:pPr>
        <w:spacing w:after="20" w:line="223" w:lineRule="auto"/>
        <w:jc w:val="right"/>
        <w:bidi/>
      </w:pPr>
      <w:r>
        <w:rPr>
          <w:rFonts w:ascii="Arial" w:hAnsi="Arial"/>
          <w:sz w:val="16"/>
        </w:rPr>
        <w:t>012.24  اولین خلبان سرباز آمریکایی، ورنون ل. بورگ.</w:t>
      </w:r>
    </w:p>
    <w:p>
      <w:pPr>
        <w:spacing w:after="28" w:line="216" w:lineRule="auto"/>
        <w:ind w:left="259"/>
        <w:jc w:val="left"/>
      </w:pPr>
      <w:r>
        <w:rPr>
          <w:rFonts w:ascii="Arial" w:hAnsi="Arial"/>
          <w:color w:val="525252"/>
          <w:sz w:val="13"/>
        </w:rPr>
        <w:t>First American Enlisted Pilot, Vernon L. Burge.</w:t>
      </w:r>
    </w:p>
    <w:p>
      <w:pPr>
        <w:spacing w:after="20" w:line="223" w:lineRule="auto"/>
        <w:jc w:val="right"/>
        <w:bidi/>
      </w:pPr>
      <w:r>
        <w:rPr>
          <w:rFonts w:ascii="Arial" w:hAnsi="Arial"/>
          <w:sz w:val="16"/>
        </w:rPr>
        <w:t>012.25  داستان خلبانان خدمت سربازی مدت‌ها قبل از ایجاد برنامه رسمی آموزش خلبانی سرباز آغاز شد.</w:t>
      </w:r>
    </w:p>
    <w:p>
      <w:pPr>
        <w:spacing w:after="28" w:line="216" w:lineRule="auto"/>
        <w:ind w:left="259"/>
        <w:jc w:val="left"/>
      </w:pPr>
      <w:r>
        <w:rPr>
          <w:rFonts w:ascii="Arial" w:hAnsi="Arial"/>
          <w:color w:val="525252"/>
          <w:sz w:val="13"/>
        </w:rPr>
        <w:t>The story of enlisted pilots began long before the official enlisted pilot training program was established.</w:t>
      </w:r>
    </w:p>
    <w:p>
      <w:pPr>
        <w:spacing w:after="20" w:line="223" w:lineRule="auto"/>
        <w:jc w:val="right"/>
        <w:bidi/>
      </w:pPr>
      <w:r>
        <w:rPr>
          <w:rFonts w:ascii="Arial" w:hAnsi="Arial"/>
          <w:sz w:val="16"/>
        </w:rPr>
        <w:t>012.26  در اوایل دهه ۱۹۰۰، کاپیتان فرانک پی لام فرمانده یک مدرسه هوایی تازه افتتاح شده در فیلیپین بود.</w:t>
      </w:r>
    </w:p>
    <w:p>
      <w:pPr>
        <w:spacing w:after="28" w:line="216" w:lineRule="auto"/>
        <w:ind w:left="259"/>
        <w:jc w:val="left"/>
      </w:pPr>
      <w:r>
        <w:rPr>
          <w:rFonts w:ascii="Arial" w:hAnsi="Arial"/>
          <w:color w:val="525252"/>
          <w:sz w:val="13"/>
        </w:rPr>
        <w:t>In the early 1900’s, Captain Frank P. Lahm commanded a newly opened air school in the Philippines.</w:t>
      </w:r>
    </w:p>
    <w:p>
      <w:pPr>
        <w:spacing w:after="20" w:line="223" w:lineRule="auto"/>
        <w:jc w:val="right"/>
        <w:bidi/>
      </w:pPr>
      <w:r>
        <w:rPr>
          <w:rFonts w:ascii="Arial" w:hAnsi="Arial"/>
          <w:sz w:val="16"/>
        </w:rPr>
        <w:t>012.27  لام در یافتن افسران کافی برای آموزش مشکل داشت، بنابراین سرجوخه ورنون ال. برج، رئیس خدمه لام، داوطلب شد و گواهینامه خلبانی خود را در ژوئن ۱۹۱۲ دریافت کرد.</w:t>
      </w:r>
    </w:p>
    <w:p>
      <w:pPr>
        <w:spacing w:after="28" w:line="216" w:lineRule="auto"/>
        <w:ind w:left="259"/>
        <w:jc w:val="left"/>
      </w:pPr>
      <w:r>
        <w:rPr>
          <w:rFonts w:ascii="Arial" w:hAnsi="Arial"/>
          <w:color w:val="525252"/>
          <w:sz w:val="13"/>
        </w:rPr>
        <w:t>Lahm had trouble finding enough officers to train, so Corporal Vernon L. Burge, Lahm’s crew chief, volunteered and received his pilot's license in June 1912.</w:t>
      </w:r>
    </w:p>
    <w:p>
      <w:pPr>
        <w:spacing w:after="20" w:line="223" w:lineRule="auto"/>
        <w:jc w:val="right"/>
        <w:bidi/>
      </w:pPr>
      <w:r>
        <w:rPr>
          <w:rFonts w:ascii="Arial" w:hAnsi="Arial"/>
          <w:sz w:val="16"/>
        </w:rPr>
        <w:t>012.28  او به‌عنوان اولین خلبان سرباز آمریکایی، یکی از معدود خلبانان جنگ جهانی اول شناخته می‌شود.</w:t>
      </w:r>
    </w:p>
    <w:p>
      <w:pPr>
        <w:spacing w:after="28" w:line="216" w:lineRule="auto"/>
        <w:ind w:left="259"/>
        <w:jc w:val="left"/>
      </w:pPr>
      <w:r>
        <w:rPr>
          <w:rFonts w:ascii="Arial" w:hAnsi="Arial"/>
          <w:color w:val="525252"/>
          <w:sz w:val="13"/>
        </w:rPr>
        <w:t>He is recognized as the first American enlisted pilot, one of only a handful of World War I enlisted aviators.</w:t>
      </w:r>
    </w:p>
    <w:p>
      <w:pPr>
        <w:spacing w:after="20" w:line="223" w:lineRule="auto"/>
        <w:jc w:val="right"/>
        <w:bidi/>
      </w:pPr>
      <w:r>
        <w:rPr>
          <w:rFonts w:ascii="Arial" w:hAnsi="Arial"/>
          <w:sz w:val="16"/>
        </w:rPr>
        <w:t>012.29  پس از ۱۰ سال خدمت سربازی، برج در طول جنگ جهانی اول مأموریت یافت و ۲۵ سال بعد به‌عنوان افسر ورنون بورگ خدمت کرد.</w:t>
      </w:r>
    </w:p>
    <w:p>
      <w:pPr>
        <w:spacing w:after="28" w:line="216" w:lineRule="auto"/>
        <w:ind w:left="259"/>
        <w:jc w:val="left"/>
      </w:pPr>
      <w:r>
        <w:rPr>
          <w:rFonts w:ascii="Arial" w:hAnsi="Arial"/>
          <w:color w:val="525252"/>
          <w:sz w:val="13"/>
        </w:rPr>
        <w:t>After 10 years as an enlisted man, Burge was commissioned during World War I and served the next 25 years as an Vernon Burge officer.</w:t>
      </w:r>
    </w:p>
    <w:p>
      <w:r>
        <w:br w:type="page"/>
      </w:r>
    </w:p>
    <w:p>
      <w:pPr>
        <w:spacing w:after="60"/>
        <w:jc w:val="right"/>
        <w:bidi/>
      </w:pPr>
      <w:r>
        <w:rPr>
          <w:rFonts w:ascii="Arial" w:hAnsi="Arial"/>
          <w:b/>
          <w:color w:val="1F4D78"/>
          <w:sz w:val="19"/>
        </w:rPr>
        <w:t>هفتهٔ 13  |  صفحهٔ منبع: 29</w:t>
      </w:r>
    </w:p>
    <w:p>
      <w:pPr>
        <w:spacing w:after="20" w:line="223" w:lineRule="auto"/>
        <w:jc w:val="right"/>
        <w:bidi/>
      </w:pPr>
      <w:r>
        <w:rPr>
          <w:rFonts w:ascii="Arial" w:hAnsi="Arial"/>
          <w:sz w:val="16"/>
        </w:rPr>
        <w:t>013.01  پدر پرواز کور، ویلیام سی اوکر.</w:t>
      </w:r>
    </w:p>
    <w:p>
      <w:pPr>
        <w:spacing w:after="28" w:line="216" w:lineRule="auto"/>
        <w:ind w:left="259"/>
        <w:jc w:val="left"/>
      </w:pPr>
      <w:r>
        <w:rPr>
          <w:rFonts w:ascii="Arial" w:hAnsi="Arial"/>
          <w:color w:val="525252"/>
          <w:sz w:val="13"/>
        </w:rPr>
        <w:t>Father of Blind Flight, William C. Ocker.</w:t>
      </w:r>
    </w:p>
    <w:p>
      <w:pPr>
        <w:spacing w:after="20" w:line="223" w:lineRule="auto"/>
        <w:jc w:val="right"/>
        <w:bidi/>
      </w:pPr>
      <w:r>
        <w:rPr>
          <w:rFonts w:ascii="Arial" w:hAnsi="Arial"/>
          <w:sz w:val="16"/>
        </w:rPr>
        <w:t>013.02  گروهبان ویلیام سی اوکر در ۲۵ ژوئن ۱۸۹۸ وارد ارتش ایالات متحده شد.</w:t>
      </w:r>
    </w:p>
    <w:p>
      <w:pPr>
        <w:spacing w:after="28" w:line="216" w:lineRule="auto"/>
        <w:ind w:left="259"/>
        <w:jc w:val="left"/>
      </w:pPr>
      <w:r>
        <w:rPr>
          <w:rFonts w:ascii="Arial" w:hAnsi="Arial"/>
          <w:color w:val="525252"/>
          <w:sz w:val="13"/>
        </w:rPr>
        <w:t>Sergeant William C. Ocker entered the U.S. Army on 25 June 1898.</w:t>
      </w:r>
    </w:p>
    <w:p>
      <w:pPr>
        <w:spacing w:after="20" w:line="223" w:lineRule="auto"/>
        <w:jc w:val="right"/>
        <w:bidi/>
      </w:pPr>
      <w:r>
        <w:rPr>
          <w:rFonts w:ascii="Arial" w:hAnsi="Arial"/>
          <w:sz w:val="16"/>
        </w:rPr>
        <w:t>013.03  او در جنگ‌های اسپانیا-آمریکایی و فیلیپین-آمریکایی با واحدهای سواره نظام و توپخانه خدمت کرد.</w:t>
      </w:r>
    </w:p>
    <w:p>
      <w:pPr>
        <w:spacing w:after="28" w:line="216" w:lineRule="auto"/>
        <w:ind w:left="259"/>
        <w:jc w:val="left"/>
      </w:pPr>
      <w:r>
        <w:rPr>
          <w:rFonts w:ascii="Arial" w:hAnsi="Arial"/>
          <w:color w:val="525252"/>
          <w:sz w:val="13"/>
        </w:rPr>
        <w:t>He served in the Spanish- American and Philippine-American Wars with cavalry and artillery units.</w:t>
      </w:r>
    </w:p>
    <w:p>
      <w:pPr>
        <w:spacing w:after="20" w:line="223" w:lineRule="auto"/>
        <w:jc w:val="right"/>
        <w:bidi/>
      </w:pPr>
      <w:r>
        <w:rPr>
          <w:rFonts w:ascii="Arial" w:hAnsi="Arial"/>
          <w:sz w:val="16"/>
        </w:rPr>
        <w:t>013.04  پس از درخواست انتقال، در ۲۰ آوریل ۱۹۱۴ رسما به بورگ (اولین خلبان استخدام شده) و لامکی (دومین خلبان استخدام شده) به‌عنوان سومین خلبان استخدام شد.</w:t>
      </w:r>
    </w:p>
    <w:p>
      <w:pPr>
        <w:spacing w:after="28" w:line="216" w:lineRule="auto"/>
        <w:ind w:left="259"/>
        <w:jc w:val="left"/>
      </w:pPr>
      <w:r>
        <w:rPr>
          <w:rFonts w:ascii="Arial" w:hAnsi="Arial"/>
          <w:color w:val="525252"/>
          <w:sz w:val="13"/>
        </w:rPr>
        <w:t>After requesting a transfer, on 20 April 1914 he officially joined Burge (the first enlisted pilot) and Lamkey (the second enlisted pilot) as the third enlisted pilot.</w:t>
      </w:r>
    </w:p>
    <w:p>
      <w:pPr>
        <w:spacing w:after="20" w:line="223" w:lineRule="auto"/>
        <w:jc w:val="right"/>
        <w:bidi/>
      </w:pPr>
      <w:r>
        <w:rPr>
          <w:rFonts w:ascii="Arial" w:hAnsi="Arial"/>
          <w:sz w:val="16"/>
        </w:rPr>
        <w:t>013.05  در طول جنگ جهانی اول، اوکر در حالی که به خلبانان دیگر آموزش می‌داد، به خطرات پرواز در ابرها پرداخت، که همواره خلبانان را سرگردان می‌کرد.</w:t>
      </w:r>
    </w:p>
    <w:p>
      <w:pPr>
        <w:spacing w:after="28" w:line="216" w:lineRule="auto"/>
        <w:ind w:left="259"/>
        <w:jc w:val="left"/>
      </w:pPr>
      <w:r>
        <w:rPr>
          <w:rFonts w:ascii="Arial" w:hAnsi="Arial"/>
          <w:color w:val="525252"/>
          <w:sz w:val="13"/>
        </w:rPr>
        <w:t>During World War I, while instructing other pilots, Ocker addressed the hazards of flying into clouds, which invariably disoriented pilots.</w:t>
      </w:r>
    </w:p>
    <w:p>
      <w:pPr>
        <w:spacing w:after="20" w:line="223" w:lineRule="auto"/>
        <w:jc w:val="right"/>
        <w:bidi/>
      </w:pPr>
      <w:r>
        <w:rPr>
          <w:rFonts w:ascii="Arial" w:hAnsi="Arial"/>
          <w:sz w:val="16"/>
        </w:rPr>
        <w:t>013.06  او یک ادغام کننده پرواز، یک ژیروسکوپ الکتریکی ویلیام سی. اوکر با یک طومار پس زمینه متحرک که آسمانی را با ابرها و یک شبح هواپیمای مینیاتوری را به تصویر می‌کشید که به درستی نسبت به افق جهت‌گیری می‌کرد، ایجاد کرد.</w:t>
      </w:r>
    </w:p>
    <w:p>
      <w:pPr>
        <w:spacing w:after="28" w:line="216" w:lineRule="auto"/>
        <w:ind w:left="259"/>
        <w:jc w:val="left"/>
      </w:pPr>
      <w:r>
        <w:rPr>
          <w:rFonts w:ascii="Arial" w:hAnsi="Arial"/>
          <w:color w:val="525252"/>
          <w:sz w:val="13"/>
        </w:rPr>
        <w:t>He developed a flight integrator, an electrically-driven gyroscope William C. Ocker with a moving background scroll that depicted a sky with clouds and a miniature airplane silhouette that remained correctly oriented relative to the horizon.</w:t>
      </w:r>
    </w:p>
    <w:p>
      <w:pPr>
        <w:spacing w:after="20" w:line="223" w:lineRule="auto"/>
        <w:jc w:val="right"/>
        <w:bidi/>
      </w:pPr>
      <w:r>
        <w:rPr>
          <w:rFonts w:ascii="Arial" w:hAnsi="Arial"/>
          <w:sz w:val="16"/>
        </w:rPr>
        <w:t>013.07  در ژوئن ۱۹۳۰، اوکر تقریبا ۹۰۰ مایل از سن آنتونیو، تگزاس به اسکات فیلد، ایلینویز در یک کابین خلبان پرواز کرد و او را به‌عنوان "پدر پرواز کور" به رسمیت شناخت. در ژانویه ۱۹۵۵، USAF پس از مرگ به اوکر به خاطر جان بسیاری از نجات یافتگان در طول جنگ جهانی دوم در نتیجه وسایل آموزشی که او پیشگام بود، اعطا کرد.</w:t>
      </w:r>
    </w:p>
    <w:p>
      <w:pPr>
        <w:spacing w:after="28" w:line="216" w:lineRule="auto"/>
        <w:ind w:left="259"/>
        <w:jc w:val="left"/>
      </w:pPr>
      <w:r>
        <w:rPr>
          <w:rFonts w:ascii="Arial" w:hAnsi="Arial"/>
          <w:color w:val="525252"/>
          <w:sz w:val="13"/>
        </w:rPr>
        <w:t>In June 1930, Ocker flew approximately 900 miles from San Antonio, Texas to Scott Field, Illinois in an enclosed cockpit, earning him recognition as the “Father of Blind Flight.” In January 1955, the USAF posthumously awarded the Legion of Merit to Ocker for the many lives saved during World War II as a result of the training devices he pioneered.</w:t>
      </w:r>
    </w:p>
    <w:p>
      <w:pPr>
        <w:spacing w:before="60" w:after="28"/>
        <w:jc w:val="right"/>
        <w:bidi/>
      </w:pPr>
      <w:r>
        <w:rPr>
          <w:b/>
          <w:color w:val="1F4D78"/>
          <w:sz w:val="18"/>
        </w:rPr>
        <w:t>2.4. بخش هوانوردی، سپاه سیگنال (18 ژوئیه 1914 - 20 مه 1918)</w:t>
      </w:r>
    </w:p>
    <w:p>
      <w:pPr>
        <w:spacing w:after="20"/>
        <w:ind w:left="259"/>
        <w:jc w:val="left"/>
      </w:pPr>
      <w:r>
        <w:rPr>
          <w:color w:val="555555"/>
          <w:sz w:val="12"/>
        </w:rPr>
        <w:t>2.4. Aviation Section, Signal Corps (18 July 1914 - 20 May 1918)</w:t>
      </w:r>
    </w:p>
    <w:p>
      <w:pPr>
        <w:spacing w:after="20" w:line="223" w:lineRule="auto"/>
        <w:jc w:val="right"/>
        <w:bidi/>
      </w:pPr>
      <w:r>
        <w:rPr>
          <w:rFonts w:ascii="Arial" w:hAnsi="Arial"/>
          <w:sz w:val="16"/>
        </w:rPr>
        <w:t>013.09  در ۱۸ ژوئیه ۱۹۱۴، با تصویب قطعنامه ۵۳۰۴ مجلس نمایندگان ایالات متحده، این لایحه به سپاه سیگنال اجازه داد تا یک بخش هوانوردی ایجاد کند.</w:t>
      </w:r>
    </w:p>
    <w:p>
      <w:pPr>
        <w:spacing w:after="28" w:line="216" w:lineRule="auto"/>
        <w:ind w:left="259"/>
        <w:jc w:val="left"/>
      </w:pPr>
      <w:r>
        <w:rPr>
          <w:rFonts w:ascii="Arial" w:hAnsi="Arial"/>
          <w:color w:val="525252"/>
          <w:sz w:val="13"/>
        </w:rPr>
        <w:t>On 18 July 1914, with the passage of U.S. House Resolution 5304, the bill authorized the Signal Corps to establish an aviation section.</w:t>
      </w:r>
    </w:p>
    <w:p>
      <w:pPr>
        <w:spacing w:after="20" w:line="223" w:lineRule="auto"/>
        <w:jc w:val="right"/>
        <w:bidi/>
      </w:pPr>
      <w:r>
        <w:rPr>
          <w:rFonts w:ascii="Arial" w:hAnsi="Arial"/>
          <w:sz w:val="16"/>
        </w:rPr>
        <w:t>013.10  این سکوی پرتاب جدید برای هوانوردی رسما به‌عنوان بخش هوانوردی، سپاه سیگنال، متشکل از ۶۰ افسر و ۲۶۰ سرباز ثبت‌نام شده است.</w:t>
      </w:r>
    </w:p>
    <w:p>
      <w:pPr>
        <w:spacing w:after="28" w:line="216" w:lineRule="auto"/>
        <w:ind w:left="259"/>
        <w:jc w:val="left"/>
      </w:pPr>
      <w:r>
        <w:rPr>
          <w:rFonts w:ascii="Arial" w:hAnsi="Arial"/>
          <w:color w:val="525252"/>
          <w:sz w:val="13"/>
        </w:rPr>
        <w:t>This new launch pad for aviation was officially designated as Aviation Section, Signal Corps, consisting of 60 officers and 260 enlisted men.</w:t>
      </w:r>
    </w:p>
    <w:p>
      <w:pPr>
        <w:spacing w:after="20" w:line="223" w:lineRule="auto"/>
        <w:jc w:val="right"/>
        <w:bidi/>
      </w:pPr>
      <w:r>
        <w:rPr>
          <w:rFonts w:ascii="Arial" w:hAnsi="Arial"/>
          <w:sz w:val="16"/>
        </w:rPr>
        <w:t>013.11  این لایحه یک رتبه نظامی رسمی برای مکانیک هوانوردی ایجاد کرد که خواستار افزایش ۵۰ درصدی دستمزد برای سربازانی بود که در هنگام پرواز در فن پرواز آموزش دیده بودند.</w:t>
      </w:r>
    </w:p>
    <w:p>
      <w:pPr>
        <w:spacing w:after="28" w:line="216" w:lineRule="auto"/>
        <w:ind w:left="259"/>
        <w:jc w:val="left"/>
      </w:pPr>
      <w:r>
        <w:rPr>
          <w:rFonts w:ascii="Arial" w:hAnsi="Arial"/>
          <w:color w:val="525252"/>
          <w:sz w:val="13"/>
        </w:rPr>
        <w:t>The bill created an official military rating for the aviation mechanician, which called for a 50 percent pay increase for enlisted men who were instructed in the art of flying while on flying status.</w:t>
      </w:r>
    </w:p>
    <w:p>
      <w:pPr>
        <w:spacing w:after="20" w:line="223" w:lineRule="auto"/>
        <w:jc w:val="right"/>
        <w:bidi/>
      </w:pPr>
      <w:r>
        <w:rPr>
          <w:rFonts w:ascii="Arial" w:hAnsi="Arial"/>
          <w:sz w:val="16"/>
        </w:rPr>
        <w:t>013.12  تعداد کل پرسنل به ۴۰ نفر محدود شد و بیش از ۱۲ مرد ثبت‌نام شده توسط قانون مجاز نبودند، اما این یک پیشرفت بزرگ برای هوانوردان سرباز بود.</w:t>
      </w:r>
    </w:p>
    <w:p>
      <w:pPr>
        <w:spacing w:after="28" w:line="216" w:lineRule="auto"/>
        <w:ind w:left="259"/>
        <w:jc w:val="left"/>
      </w:pPr>
      <w:r>
        <w:rPr>
          <w:rFonts w:ascii="Arial" w:hAnsi="Arial"/>
          <w:color w:val="525252"/>
          <w:sz w:val="13"/>
        </w:rPr>
        <w:t>The total number of personnel was limited to 40, with no more than twelve enlisted men authorized by law, but it was a major breakthrough for enlisted aviators.</w:t>
      </w:r>
    </w:p>
    <w:p>
      <w:pPr>
        <w:spacing w:after="20" w:line="223" w:lineRule="auto"/>
        <w:jc w:val="right"/>
        <w:bidi/>
      </w:pPr>
      <w:r>
        <w:rPr>
          <w:rFonts w:ascii="Arial" w:hAnsi="Arial"/>
          <w:sz w:val="16"/>
        </w:rPr>
        <w:t>013.13  بخش هوانوردی گام مهمی در جهت ایجاد سرویس هوایی ارتش بود.</w:t>
      </w:r>
    </w:p>
    <w:p>
      <w:pPr>
        <w:spacing w:after="28" w:line="216" w:lineRule="auto"/>
        <w:ind w:left="259"/>
        <w:jc w:val="left"/>
      </w:pPr>
      <w:r>
        <w:rPr>
          <w:rFonts w:ascii="Arial" w:hAnsi="Arial"/>
          <w:color w:val="525252"/>
          <w:sz w:val="13"/>
        </w:rPr>
        <w:t>The Aviation Section was a significant step toward establishing the Army Air Service.</w:t>
      </w:r>
    </w:p>
    <w:p>
      <w:pPr>
        <w:spacing w:before="60" w:after="28"/>
        <w:jc w:val="right"/>
        <w:bidi/>
      </w:pPr>
      <w:r>
        <w:rPr>
          <w:b/>
          <w:color w:val="1F4D78"/>
          <w:sz w:val="18"/>
        </w:rPr>
        <w:t>2.5. انقلاب مکزیک و اکسپدیشن پانچو ویلا</w:t>
      </w:r>
    </w:p>
    <w:p>
      <w:pPr>
        <w:spacing w:after="20"/>
        <w:ind w:left="259"/>
        <w:jc w:val="left"/>
      </w:pPr>
      <w:r>
        <w:rPr>
          <w:color w:val="555555"/>
          <w:sz w:val="12"/>
        </w:rPr>
        <w:t>2.5. Mexican Revolution and the Pancho Villa Expedition</w:t>
      </w:r>
    </w:p>
    <w:p>
      <w:pPr>
        <w:spacing w:after="20" w:line="223" w:lineRule="auto"/>
        <w:jc w:val="right"/>
        <w:bidi/>
      </w:pPr>
      <w:r>
        <w:rPr>
          <w:rFonts w:ascii="Arial" w:hAnsi="Arial"/>
          <w:sz w:val="16"/>
        </w:rPr>
        <w:t>013.15  در طول انقلاب مکزیک ۱۹۱۰-۱۹۲۰، نیروهای فرانسیسکو "پانچو" ویلا به کلمبوس، نیومکزیکو یورش بردند.</w:t>
      </w:r>
    </w:p>
    <w:p>
      <w:pPr>
        <w:spacing w:after="28" w:line="216" w:lineRule="auto"/>
        <w:ind w:left="259"/>
        <w:jc w:val="left"/>
      </w:pPr>
      <w:r>
        <w:rPr>
          <w:rFonts w:ascii="Arial" w:hAnsi="Arial"/>
          <w:color w:val="525252"/>
          <w:sz w:val="13"/>
        </w:rPr>
        <w:t>During the Mexican Revolution of 1910-1920, Francisco “Pancho” Villa’s forces raided Columbus, New Mexico.</w:t>
      </w:r>
    </w:p>
    <w:p>
      <w:pPr>
        <w:spacing w:after="20" w:line="223" w:lineRule="auto"/>
        <w:jc w:val="right"/>
        <w:bidi/>
      </w:pPr>
      <w:r>
        <w:rPr>
          <w:rFonts w:ascii="Arial" w:hAnsi="Arial"/>
          <w:sz w:val="16"/>
        </w:rPr>
        <w:t>013.16  در سال ۱۹۱۶، رئیس جمهور وودرو ویلسون به اسکادران اول آئرو دستور داد تا به نیروهای زمینی در حفاظت از مرز و دستگیری پانچو ویلا کمک کنند.</w:t>
      </w:r>
    </w:p>
    <w:p>
      <w:pPr>
        <w:spacing w:after="28" w:line="216" w:lineRule="auto"/>
        <w:ind w:left="259"/>
        <w:jc w:val="left"/>
      </w:pPr>
      <w:r>
        <w:rPr>
          <w:rFonts w:ascii="Arial" w:hAnsi="Arial"/>
          <w:color w:val="525252"/>
          <w:sz w:val="13"/>
        </w:rPr>
        <w:t>In 1916, President Woodrow Wilson ordered the 1st Aero Squadron to assist ground forces in protecting the border and apprehending Pancho Villa.</w:t>
      </w:r>
    </w:p>
    <w:p>
      <w:pPr>
        <w:spacing w:after="20" w:line="223" w:lineRule="auto"/>
        <w:jc w:val="right"/>
        <w:bidi/>
      </w:pPr>
      <w:r>
        <w:rPr>
          <w:rFonts w:ascii="Arial" w:hAnsi="Arial"/>
          <w:sz w:val="16"/>
        </w:rPr>
        <w:t>013.17  به فرماندهی کاپیتان بنجامین فولویس، ۱۱ افسر خلبان، ۸۲ مرد سرباز و یک مکانیک غیرنظامی با هشت کرتیس JN-۳ جنی، ۱۰ کامیون و یک خودرو از سن آنتونیو، تگزاس حرکت کردند.</w:t>
      </w:r>
    </w:p>
    <w:p>
      <w:pPr>
        <w:spacing w:after="28" w:line="216" w:lineRule="auto"/>
        <w:ind w:left="259"/>
        <w:jc w:val="left"/>
      </w:pPr>
      <w:r>
        <w:rPr>
          <w:rFonts w:ascii="Arial" w:hAnsi="Arial"/>
          <w:color w:val="525252"/>
          <w:sz w:val="13"/>
        </w:rPr>
        <w:t>Commanded by Captain Benjamin Foulois, 11 pilot officers, 82 enlisted men, and one civilian mechanic departed from San Antonio, Texas with eight Curtiss JN-3 Jennies, 10 trucks, and one automobile.</w:t>
      </w:r>
    </w:p>
    <w:p>
      <w:pPr>
        <w:spacing w:after="20" w:line="223" w:lineRule="auto"/>
        <w:jc w:val="right"/>
        <w:bidi/>
      </w:pPr>
      <w:r>
        <w:rPr>
          <w:rFonts w:ascii="Arial" w:hAnsi="Arial"/>
          <w:sz w:val="16"/>
        </w:rPr>
        <w:t>013.18  در راه، فولویس دو سرباز سرباز بیمارستان و یک بخش مهندسی متشکل از یک افسر و ۱۴ سرباز را انتخاب کرد.</w:t>
      </w:r>
    </w:p>
    <w:p>
      <w:pPr>
        <w:spacing w:after="28" w:line="216" w:lineRule="auto"/>
        <w:ind w:left="259"/>
        <w:jc w:val="left"/>
      </w:pPr>
      <w:r>
        <w:rPr>
          <w:rFonts w:ascii="Arial" w:hAnsi="Arial"/>
          <w:color w:val="525252"/>
          <w:sz w:val="13"/>
        </w:rPr>
        <w:t>On the way, Foulois picked up two enlisted hospital corpsmen and an engineering section consisting of one officer and 14 enlisted.</w:t>
      </w:r>
    </w:p>
    <w:p>
      <w:pPr>
        <w:spacing w:after="20" w:line="223" w:lineRule="auto"/>
        <w:jc w:val="right"/>
        <w:bidi/>
      </w:pPr>
      <w:r>
        <w:rPr>
          <w:rFonts w:ascii="Arial" w:hAnsi="Arial"/>
          <w:sz w:val="16"/>
        </w:rPr>
        <w:t>013.19  علیرغم پروازهای شناسایی موفق اسکادران اول هوا و چندین اعزام، آب و هوای کوهستانی، گرد و غبار، دماهای شدید و ارتفاعات ۵۰۰۰ فوتی کاسا گراندز در چیهواهوا، مکزیک باعث خرابی هواپیما شد.</w:t>
      </w:r>
    </w:p>
    <w:p>
      <w:pPr>
        <w:spacing w:after="28" w:line="216" w:lineRule="auto"/>
        <w:ind w:left="259"/>
        <w:jc w:val="left"/>
      </w:pPr>
      <w:r>
        <w:rPr>
          <w:rFonts w:ascii="Arial" w:hAnsi="Arial"/>
          <w:color w:val="525252"/>
          <w:sz w:val="13"/>
        </w:rPr>
        <w:t>Despite the 1st Aero Squadron’s successful reconnaissance flights and several dispatches, mountain weather, dust, extreme temperatures, and the 5,000-feet elevations of the Casa Grandes in Chihuahua, Mexico wreaked havoc with the aircraft.</w:t>
      </w:r>
    </w:p>
    <w:p>
      <w:pPr>
        <w:spacing w:after="20" w:line="223" w:lineRule="auto"/>
        <w:jc w:val="right"/>
        <w:bidi/>
      </w:pPr>
      <w:r>
        <w:rPr>
          <w:rFonts w:ascii="Arial" w:hAnsi="Arial"/>
          <w:sz w:val="16"/>
        </w:rPr>
        <w:t>013.20  در عرض یک ماه، تنها دو فروند از هشت هواپیما در شرایط کار بودند.</w:t>
      </w:r>
    </w:p>
    <w:p>
      <w:pPr>
        <w:spacing w:after="28" w:line="216" w:lineRule="auto"/>
        <w:ind w:left="259"/>
        <w:jc w:val="left"/>
      </w:pPr>
      <w:r>
        <w:rPr>
          <w:rFonts w:ascii="Arial" w:hAnsi="Arial"/>
          <w:color w:val="525252"/>
          <w:sz w:val="13"/>
        </w:rPr>
        <w:t>Within one month, only two of the eight airplanes were in working condition.</w:t>
      </w:r>
    </w:p>
    <w:p>
      <w:pPr>
        <w:spacing w:after="20" w:line="223" w:lineRule="auto"/>
        <w:jc w:val="right"/>
        <w:bidi/>
      </w:pPr>
      <w:r>
        <w:rPr>
          <w:rFonts w:ascii="Arial" w:hAnsi="Arial"/>
          <w:sz w:val="16"/>
        </w:rPr>
        <w:t>013.21  در فوریه، پس از گذشت تقریبا یک سال از آنچه معمولا به‌عنوان اکسپدیشن تنبیهی شناخته می‌شد، تعقیب پانچو ویلا متوقف شد.</w:t>
      </w:r>
    </w:p>
    <w:p>
      <w:pPr>
        <w:spacing w:after="28" w:line="216" w:lineRule="auto"/>
        <w:ind w:left="259"/>
        <w:jc w:val="left"/>
      </w:pPr>
      <w:r>
        <w:rPr>
          <w:rFonts w:ascii="Arial" w:hAnsi="Arial"/>
          <w:color w:val="525252"/>
          <w:sz w:val="13"/>
        </w:rPr>
        <w:t>In February, after almost a year of what was commonly referred to as the Punitive Expedition, the pursuit of Pancho Villa was called off.</w:t>
      </w:r>
    </w:p>
    <w:p>
      <w:pPr>
        <w:spacing w:after="20" w:line="223" w:lineRule="auto"/>
        <w:jc w:val="right"/>
        <w:bidi/>
      </w:pPr>
      <w:r>
        <w:rPr>
          <w:rFonts w:ascii="Arial" w:hAnsi="Arial"/>
          <w:sz w:val="16"/>
        </w:rPr>
        <w:t>013.22  ویلا تا سال ۱۹۲۰ به رهبری شورشیان در شمال مکزیک ادامه داد تا زمانی که با موفقیت با رئیس جمهور موقت مکزیک برای عفو در ازای حل و فصل صلح از طرف خود و ارتشش مذاکره کرد.</w:t>
      </w:r>
    </w:p>
    <w:p>
      <w:pPr>
        <w:spacing w:after="28" w:line="216" w:lineRule="auto"/>
        <w:ind w:left="259"/>
        <w:jc w:val="left"/>
      </w:pPr>
      <w:r>
        <w:rPr>
          <w:rFonts w:ascii="Arial" w:hAnsi="Arial"/>
          <w:color w:val="525252"/>
          <w:sz w:val="13"/>
        </w:rPr>
        <w:t>Villa continued to lead rebels in Northern Mexico until 1920 when he successfully negotiated with the Mexican interim President for amnesty in exchange for a peace settlement on behalf of himself and his military.</w:t>
      </w:r>
    </w:p>
    <w:p>
      <w:pPr>
        <w:spacing w:after="20" w:line="223" w:lineRule="auto"/>
        <w:jc w:val="right"/>
        <w:bidi/>
      </w:pPr>
      <w:r>
        <w:rPr>
          <w:rFonts w:ascii="Arial" w:hAnsi="Arial"/>
          <w:sz w:val="16"/>
        </w:rPr>
        <w:t>013.23  کاپیتان فوولویس از خلبانان خود به خاطر شجاعت و تمایل آنها برای پرواز با هواپیماهای کاملا خطرناک تمجید کرد.</w:t>
      </w:r>
    </w:p>
    <w:p>
      <w:pPr>
        <w:spacing w:after="28" w:line="216" w:lineRule="auto"/>
        <w:ind w:left="259"/>
        <w:jc w:val="left"/>
      </w:pPr>
      <w:r>
        <w:rPr>
          <w:rFonts w:ascii="Arial" w:hAnsi="Arial"/>
          <w:color w:val="525252"/>
          <w:sz w:val="13"/>
        </w:rPr>
        <w:t>Captain Foulois commended his pilots for their bravery and their willingness to fly clearly dangerous aircraft.</w:t>
      </w:r>
    </w:p>
    <w:p>
      <w:pPr>
        <w:spacing w:after="20" w:line="223" w:lineRule="auto"/>
        <w:jc w:val="right"/>
        <w:bidi/>
      </w:pPr>
      <w:r>
        <w:rPr>
          <w:rFonts w:ascii="Arial" w:hAnsi="Arial"/>
          <w:sz w:val="16"/>
        </w:rPr>
        <w:t>013.24  وی همچنین از پرسنل اعزامی به دلیل فداکاری و تمایل به کار شبانه روزی برای حفظ پرواز هواپیما قدردانی کرد.</w:t>
      </w:r>
    </w:p>
    <w:p>
      <w:pPr>
        <w:spacing w:after="28" w:line="216" w:lineRule="auto"/>
        <w:ind w:left="259"/>
        <w:jc w:val="left"/>
      </w:pPr>
      <w:r>
        <w:rPr>
          <w:rFonts w:ascii="Arial" w:hAnsi="Arial"/>
          <w:color w:val="525252"/>
          <w:sz w:val="13"/>
        </w:rPr>
        <w:t>He also praised the enlisted personnel for their dedication and willingness to workday and night to keep the aircraft flying.</w:t>
      </w:r>
    </w:p>
    <w:p>
      <w:pPr>
        <w:spacing w:after="20" w:line="223" w:lineRule="auto"/>
        <w:jc w:val="right"/>
        <w:bidi/>
      </w:pPr>
      <w:r>
        <w:rPr>
          <w:rFonts w:ascii="Arial" w:hAnsi="Arial"/>
          <w:sz w:val="16"/>
        </w:rPr>
        <w:t>013.25  درس‌های ارزشمندی در مورد واقعیت‌های هوانوردی در شرایط میدانی آموخته شد.</w:t>
      </w:r>
    </w:p>
    <w:p>
      <w:pPr>
        <w:spacing w:after="28" w:line="216" w:lineRule="auto"/>
        <w:ind w:left="259"/>
        <w:jc w:val="left"/>
      </w:pPr>
      <w:r>
        <w:rPr>
          <w:rFonts w:ascii="Arial" w:hAnsi="Arial"/>
          <w:color w:val="525252"/>
          <w:sz w:val="13"/>
        </w:rPr>
        <w:t>Valuable lessons were learned about the realities of aviation under field conditions.</w:t>
      </w:r>
    </w:p>
    <w:p>
      <w:pPr>
        <w:spacing w:after="20" w:line="223" w:lineRule="auto"/>
        <w:jc w:val="right"/>
        <w:bidi/>
      </w:pPr>
      <w:r>
        <w:rPr>
          <w:rFonts w:ascii="Arial" w:hAnsi="Arial"/>
          <w:sz w:val="16"/>
        </w:rPr>
        <w:t>013.26  تعمیر و نگهداری کافی ضروری بود، همانطور که تعداد زیادی هواپیمای پشتیبان ضروری بود در حالی که سایر هواپیماها از خط خارج شده و تعمیر شدند.</w:t>
      </w:r>
    </w:p>
    <w:p>
      <w:pPr>
        <w:spacing w:after="28" w:line="216" w:lineRule="auto"/>
        <w:ind w:left="259"/>
        <w:jc w:val="left"/>
      </w:pPr>
      <w:r>
        <w:rPr>
          <w:rFonts w:ascii="Arial" w:hAnsi="Arial"/>
          <w:color w:val="525252"/>
          <w:sz w:val="13"/>
        </w:rPr>
        <w:t>Adequate maintenance was essential, as were plenty of backup aircraft while other airplanes were removed from the line and repaired.</w:t>
      </w:r>
    </w:p>
    <w:p>
      <w:r>
        <w:br w:type="page"/>
      </w:r>
    </w:p>
    <w:p>
      <w:pPr>
        <w:spacing w:after="60"/>
        <w:jc w:val="right"/>
        <w:bidi/>
      </w:pPr>
      <w:r>
        <w:rPr>
          <w:rFonts w:ascii="Arial" w:hAnsi="Arial"/>
          <w:b/>
          <w:color w:val="1F4D78"/>
          <w:sz w:val="19"/>
        </w:rPr>
        <w:t>هفتهٔ 14  |  صفحهٔ منبع: 30</w:t>
      </w:r>
    </w:p>
    <w:p>
      <w:pPr>
        <w:spacing w:after="20" w:line="223" w:lineRule="auto"/>
        <w:jc w:val="right"/>
        <w:bidi/>
      </w:pPr>
      <w:r>
        <w:rPr>
          <w:rFonts w:ascii="Arial" w:hAnsi="Arial"/>
          <w:sz w:val="16"/>
        </w:rPr>
        <w:t>014.01  مردی با اولین‌ها، بنجامین دی. فولوآ.</w:t>
      </w:r>
    </w:p>
    <w:p>
      <w:pPr>
        <w:spacing w:after="28" w:line="216" w:lineRule="auto"/>
        <w:ind w:left="259"/>
        <w:jc w:val="left"/>
      </w:pPr>
      <w:r>
        <w:rPr>
          <w:rFonts w:ascii="Arial" w:hAnsi="Arial"/>
          <w:color w:val="525252"/>
          <w:sz w:val="13"/>
        </w:rPr>
        <w:t>A Man of Many Firsts, Benjamin D. Foulois.</w:t>
      </w:r>
    </w:p>
    <w:p>
      <w:pPr>
        <w:spacing w:after="20" w:line="223" w:lineRule="auto"/>
        <w:jc w:val="right"/>
        <w:bidi/>
      </w:pPr>
      <w:r>
        <w:rPr>
          <w:rFonts w:ascii="Arial" w:hAnsi="Arial"/>
          <w:sz w:val="16"/>
        </w:rPr>
        <w:t>014.02  پس از نام نویسی در ارتش در زمان جنگ اسپانیا و آمریکا، و مأمور شدن در طول خدمتش در فیلیپین، بنجامین دی "بنی" فولویس در سال ۱۹۰۸ به دفتر افسر ارشد سیگنال در واشنگتن دی سی منصوب شد، جایی که برای اولین بار در آزمون‌های پذیرش ارتش شرکت کرد. هواپیما، رایت فلایر، سیگنال سپاه شماره ۱.</w:t>
      </w:r>
    </w:p>
    <w:p>
      <w:pPr>
        <w:spacing w:after="28" w:line="216" w:lineRule="auto"/>
        <w:ind w:left="259"/>
        <w:jc w:val="left"/>
      </w:pPr>
      <w:r>
        <w:rPr>
          <w:rFonts w:ascii="Arial" w:hAnsi="Arial"/>
          <w:color w:val="525252"/>
          <w:sz w:val="13"/>
        </w:rPr>
        <w:t>After enlisting in the Army at the time of the Spanish-American War, and being commissioned during his service in the Philippines, Benjamin D. “Benny” Foulois was assigned to the Office of the Chief Signal Officer, Washington D.C. in 1908, where he participated in the acceptance tests of the Army’s first semi-rigid dirigible and its first airplane, the Wright Flyer, Signal Corps No. 1.</w:t>
      </w:r>
    </w:p>
    <w:p>
      <w:pPr>
        <w:spacing w:after="20" w:line="223" w:lineRule="auto"/>
        <w:jc w:val="right"/>
        <w:bidi/>
      </w:pPr>
      <w:r>
        <w:rPr>
          <w:rFonts w:ascii="Arial" w:hAnsi="Arial"/>
          <w:sz w:val="16"/>
        </w:rPr>
        <w:t>014.03  در سال ۱۹۱۰، او هواپیما را به فورت سام هیوستون، تگزاس برد و در آنجا آزمایشاتی را برای نشان دادن سودمندی نظامی هواپیما انجام داد.</w:t>
      </w:r>
    </w:p>
    <w:p>
      <w:pPr>
        <w:spacing w:after="28" w:line="216" w:lineRule="auto"/>
        <w:ind w:left="259"/>
        <w:jc w:val="left"/>
      </w:pPr>
      <w:r>
        <w:rPr>
          <w:rFonts w:ascii="Arial" w:hAnsi="Arial"/>
          <w:color w:val="525252"/>
          <w:sz w:val="13"/>
        </w:rPr>
        <w:t>In 1910, he took the aircraft to Fort Sam Houston, Texas, where he conducted tests to demonstrate the aircraft’s military usefulness.</w:t>
      </w:r>
    </w:p>
    <w:p>
      <w:pPr>
        <w:spacing w:after="20" w:line="223" w:lineRule="auto"/>
        <w:jc w:val="right"/>
        <w:bidi/>
      </w:pPr>
      <w:r>
        <w:rPr>
          <w:rFonts w:ascii="Arial" w:hAnsi="Arial"/>
          <w:sz w:val="16"/>
        </w:rPr>
        <w:t>014.04  پس از تکمیل سازماندهی اسکادران اول بنجامین فولوآ، فولویس فرماندهی اکسپدیشن پانچو ویلا را بر عهده داشت و پس از ورود ایالات متحده به جنگ جهانی اول، فولویس نقش عمده‌ای در برنامه‌ریزی و اجرای برنامه ۶۴۰ میلیون دلاری هوانوردی ایفا کرد.</w:t>
      </w:r>
    </w:p>
    <w:p>
      <w:pPr>
        <w:spacing w:after="28" w:line="216" w:lineRule="auto"/>
        <w:ind w:left="259"/>
        <w:jc w:val="left"/>
      </w:pPr>
      <w:r>
        <w:rPr>
          <w:rFonts w:ascii="Arial" w:hAnsi="Arial"/>
          <w:color w:val="525252"/>
          <w:sz w:val="13"/>
        </w:rPr>
        <w:t>After completing the organization of the Benjamin Foulois 1st Aero Squadron, Foulois commanded the Pancho Villa Expedition, and after the United States entered World War I, Foulois played a major role in planning and implementing the $640 million aviation program.</w:t>
      </w:r>
    </w:p>
    <w:p>
      <w:pPr>
        <w:spacing w:after="20" w:line="223" w:lineRule="auto"/>
        <w:jc w:val="right"/>
        <w:bidi/>
      </w:pPr>
      <w:r>
        <w:rPr>
          <w:rFonts w:ascii="Arial" w:hAnsi="Arial"/>
          <w:sz w:val="16"/>
        </w:rPr>
        <w:t>014.05  در سال ۱۹۱۷، سرتیپ فولویس به‌عنوان رئیس سرویس هوایی نیروی اعزامی آمریکا منصوب شد، در سال ۱۹۲۷ به واشنگتن دی سی نقل مکان کرد تا به‌عنوان دستیار رئیس سرویس هوایی منصوب شود و در سال ۱۹۳۱ به‌عنوان سرلشکر به‌عنوان رئیس نیروی هوایی ارتقا یابد.</w:t>
      </w:r>
    </w:p>
    <w:p>
      <w:pPr>
        <w:spacing w:after="28" w:line="216" w:lineRule="auto"/>
        <w:ind w:left="259"/>
        <w:jc w:val="left"/>
      </w:pPr>
      <w:r>
        <w:rPr>
          <w:rFonts w:ascii="Arial" w:hAnsi="Arial"/>
          <w:color w:val="525252"/>
          <w:sz w:val="13"/>
        </w:rPr>
        <w:t>In 1917, Brigadier General Foulois was named Chief of the Air Service for the American Expeditionary Force, moved to Washington, D.C. in 1927 to become Assistant Chief of the Air Service, and in 1931 was promoted to Major General as Chief of the Air Corps.</w:t>
      </w:r>
    </w:p>
    <w:p>
      <w:r>
        <w:br w:type="page"/>
      </w:r>
    </w:p>
    <w:p>
      <w:pPr>
        <w:spacing w:after="60"/>
        <w:jc w:val="right"/>
        <w:bidi/>
      </w:pPr>
      <w:r>
        <w:rPr>
          <w:rFonts w:ascii="Arial" w:hAnsi="Arial"/>
          <w:b/>
          <w:color w:val="1F4D78"/>
          <w:sz w:val="19"/>
        </w:rPr>
        <w:t>هفتهٔ 15  |  صفحهٔ منبع: 31</w:t>
      </w:r>
    </w:p>
    <w:p>
      <w:pPr>
        <w:spacing w:before="60" w:after="28"/>
        <w:jc w:val="right"/>
        <w:bidi/>
      </w:pPr>
      <w:r>
        <w:rPr>
          <w:b/>
          <w:color w:val="1F4D78"/>
          <w:sz w:val="18"/>
        </w:rPr>
        <w:t>بخش 2B - هوانوردی و عملیات در جنگ جهانی اول</w:t>
      </w:r>
    </w:p>
    <w:p>
      <w:pPr>
        <w:spacing w:after="20"/>
        <w:ind w:left="259"/>
        <w:jc w:val="left"/>
      </w:pPr>
      <w:r>
        <w:rPr>
          <w:color w:val="555555"/>
          <w:sz w:val="12"/>
        </w:rPr>
        <w:t>Section 2B—Aviation and Operations in World War I</w:t>
      </w:r>
    </w:p>
    <w:p>
      <w:pPr>
        <w:spacing w:before="60" w:after="28"/>
        <w:jc w:val="right"/>
        <w:bidi/>
      </w:pPr>
      <w:r>
        <w:rPr>
          <w:b/>
          <w:color w:val="1F4D78"/>
          <w:sz w:val="18"/>
        </w:rPr>
        <w:t>2.6. نیروی هوایی در جنگ جهانی اول</w:t>
      </w:r>
    </w:p>
    <w:p>
      <w:pPr>
        <w:spacing w:after="20"/>
        <w:ind w:left="259"/>
        <w:jc w:val="left"/>
      </w:pPr>
      <w:r>
        <w:rPr>
          <w:color w:val="555555"/>
          <w:sz w:val="12"/>
        </w:rPr>
        <w:t>2.6. Air Power in World War I</w:t>
      </w:r>
    </w:p>
    <w:p>
      <w:pPr>
        <w:spacing w:after="20" w:line="223" w:lineRule="auto"/>
        <w:jc w:val="right"/>
        <w:bidi/>
      </w:pPr>
      <w:r>
        <w:rPr>
          <w:rFonts w:ascii="Arial" w:hAnsi="Arial"/>
          <w:sz w:val="16"/>
        </w:rPr>
        <w:t>015.03  متفقین، که اغلب به‌عنوان قدرت‌های آنتانت شناخته می‌شوند، ابتدا در سال ۱۹۰۷ از سه نهاد تشکیل شده بودند: جمهوری فرانسه، امپراتوری بریتانیا، و امپراتوری روسیه.</w:t>
      </w:r>
    </w:p>
    <w:p>
      <w:pPr>
        <w:spacing w:after="28" w:line="216" w:lineRule="auto"/>
        <w:ind w:left="259"/>
        <w:jc w:val="left"/>
      </w:pPr>
      <w:r>
        <w:rPr>
          <w:rFonts w:ascii="Arial" w:hAnsi="Arial"/>
          <w:color w:val="525252"/>
          <w:sz w:val="13"/>
        </w:rPr>
        <w:t>The Allies, often referred to as Entente Powers, initially consisted of three entities in 1907: the French Republic, the British Empire, and the Russian Empire.</w:t>
      </w:r>
    </w:p>
    <w:p>
      <w:pPr>
        <w:spacing w:after="20" w:line="223" w:lineRule="auto"/>
        <w:jc w:val="right"/>
        <w:bidi/>
      </w:pPr>
      <w:r>
        <w:rPr>
          <w:rFonts w:ascii="Arial" w:hAnsi="Arial"/>
          <w:sz w:val="16"/>
        </w:rPr>
        <w:t>015.04  سرانجام ایتالیا و ژاپن و همچنین بلژیک، صربستان، یونان، مونته نگرو و رومانی به طرف آنتانت پیوستند.</w:t>
      </w:r>
    </w:p>
    <w:p>
      <w:pPr>
        <w:spacing w:after="28" w:line="216" w:lineRule="auto"/>
        <w:ind w:left="259"/>
        <w:jc w:val="left"/>
      </w:pPr>
      <w:r>
        <w:rPr>
          <w:rFonts w:ascii="Arial" w:hAnsi="Arial"/>
          <w:color w:val="525252"/>
          <w:sz w:val="13"/>
        </w:rPr>
        <w:t>Eventually Italy and Japan joined the side of the Entente, as well as Belgium, Serbia, Greece, Montenegro, and Romania.</w:t>
      </w:r>
    </w:p>
    <w:p>
      <w:pPr>
        <w:spacing w:after="20" w:line="223" w:lineRule="auto"/>
        <w:jc w:val="right"/>
        <w:bidi/>
      </w:pPr>
      <w:r>
        <w:rPr>
          <w:rFonts w:ascii="Arial" w:hAnsi="Arial"/>
          <w:sz w:val="16"/>
        </w:rPr>
        <w:t>015.05  قدرت‌های مرکزی در طرف مقابل، که اغلب به‌عنوان اتحاد چهارگانه شناخته می‌شوند، شامل امپراتوری آلمان، اتریش-مجارستان، امپراتوری عثمانی و پادشاهی بلغارستان بودند.</w:t>
      </w:r>
    </w:p>
    <w:p>
      <w:pPr>
        <w:spacing w:after="28" w:line="216" w:lineRule="auto"/>
        <w:ind w:left="259"/>
        <w:jc w:val="left"/>
      </w:pPr>
      <w:r>
        <w:rPr>
          <w:rFonts w:ascii="Arial" w:hAnsi="Arial"/>
          <w:color w:val="525252"/>
          <w:sz w:val="13"/>
        </w:rPr>
        <w:t>The Central Powers on the opposing side, often referred to as the Quadruple Alliance, included the German Empire, Austria-Hungary, the Ottoman Empire, and the Kingdom of Bulgaria.</w:t>
      </w:r>
    </w:p>
    <w:p>
      <w:pPr>
        <w:spacing w:after="20" w:line="223" w:lineRule="auto"/>
        <w:jc w:val="right"/>
        <w:bidi/>
      </w:pPr>
      <w:r>
        <w:rPr>
          <w:rFonts w:ascii="Arial" w:hAnsi="Arial"/>
          <w:sz w:val="16"/>
        </w:rPr>
        <w:t>015.06  این خطوط در زمان آغاز جنگ جهانی اول در ژوئیه ۱۹۱۴، درست چند روز پس از ترور آرشیدوک فرانتس فردیناند اتریش توسط نیروهای یوگسلاوی در سارایوو ترسیم شد.</w:t>
      </w:r>
    </w:p>
    <w:p>
      <w:pPr>
        <w:spacing w:after="28" w:line="216" w:lineRule="auto"/>
        <w:ind w:left="259"/>
        <w:jc w:val="left"/>
      </w:pPr>
      <w:r>
        <w:rPr>
          <w:rFonts w:ascii="Arial" w:hAnsi="Arial"/>
          <w:color w:val="525252"/>
          <w:sz w:val="13"/>
        </w:rPr>
        <w:t>The lines were drawn by the time World War I began in July 1914, just days after Archduke Franz Ferdinand of Austria was assassinated by Yugoslav forces in Sarajevo.</w:t>
      </w:r>
    </w:p>
    <w:p>
      <w:pPr>
        <w:spacing w:after="20" w:line="223" w:lineRule="auto"/>
        <w:jc w:val="right"/>
        <w:bidi/>
      </w:pPr>
      <w:r>
        <w:rPr>
          <w:rFonts w:ascii="Arial" w:hAnsi="Arial"/>
          <w:sz w:val="16"/>
        </w:rPr>
        <w:t>015.07  تا ۸ دسامبر ۱۹۱۳، اسکادران اول آئرو متشکل از ۱۵ افسر، ۶۱ سرباز سرباز، ۸ هواپیما، ۱۶ تراکتور و ۶ موتور سیکلت بود.</w:t>
      </w:r>
    </w:p>
    <w:p>
      <w:pPr>
        <w:spacing w:after="28" w:line="216" w:lineRule="auto"/>
        <w:ind w:left="259"/>
        <w:jc w:val="left"/>
      </w:pPr>
      <w:r>
        <w:rPr>
          <w:rFonts w:ascii="Arial" w:hAnsi="Arial"/>
          <w:color w:val="525252"/>
          <w:sz w:val="13"/>
        </w:rPr>
        <w:t>By 8 December 1913, the 1st Aero Squadron consisted of 15 officers, 61 enlisted men, 8 aircraft, 16 tractors, and 6 motorcycles.</w:t>
      </w:r>
    </w:p>
    <w:p>
      <w:pPr>
        <w:spacing w:after="20" w:line="223" w:lineRule="auto"/>
        <w:jc w:val="right"/>
        <w:bidi/>
      </w:pPr>
      <w:r>
        <w:rPr>
          <w:rFonts w:ascii="Arial" w:hAnsi="Arial"/>
          <w:sz w:val="16"/>
        </w:rPr>
        <w:t>015.08  تا سال ۱۹۱۶، یک اسکادران دوم و امکانات آموزشی جدید با برنامه‌ریزی برای ۲۴ اسکادران دیگر با ۱۲ هواپیما اضافه شد.</w:t>
      </w:r>
    </w:p>
    <w:p>
      <w:pPr>
        <w:spacing w:after="28" w:line="216" w:lineRule="auto"/>
        <w:ind w:left="259"/>
        <w:jc w:val="left"/>
      </w:pPr>
      <w:r>
        <w:rPr>
          <w:rFonts w:ascii="Arial" w:hAnsi="Arial"/>
          <w:color w:val="525252"/>
          <w:sz w:val="13"/>
        </w:rPr>
        <w:t>By 1916, a second squadron and new training facilities were added with plans for 24 more squadrons with a dozen aircraft each.</w:t>
      </w:r>
    </w:p>
    <w:p>
      <w:pPr>
        <w:spacing w:after="20" w:line="223" w:lineRule="auto"/>
        <w:jc w:val="right"/>
        <w:bidi/>
      </w:pPr>
      <w:r>
        <w:rPr>
          <w:rFonts w:ascii="Arial" w:hAnsi="Arial"/>
          <w:sz w:val="16"/>
        </w:rPr>
        <w:t>015.09  همه ۲۴ اسکادران تا اوایل سال ۱۹۱۷ تشکیل شدند، اما تنها اسکادران اول آئرو با اعلان جنگ ایالات متحده به آلمان در ۶ آوریل ۱۹۱۷ کاملا مجهز، سرنشین و سازماندهی شد.</w:t>
      </w:r>
    </w:p>
    <w:p>
      <w:pPr>
        <w:spacing w:after="28" w:line="216" w:lineRule="auto"/>
        <w:ind w:left="259"/>
        <w:jc w:val="left"/>
      </w:pPr>
      <w:r>
        <w:rPr>
          <w:rFonts w:ascii="Arial" w:hAnsi="Arial"/>
          <w:color w:val="525252"/>
          <w:sz w:val="13"/>
        </w:rPr>
        <w:t>All 24 squadrons were formed by early 1917, but only the 1st Aero Squadron was fully equipped, manned, and organized when the United States declared war on Germany on 6 April 1917.</w:t>
      </w:r>
    </w:p>
    <w:p>
      <w:pPr>
        <w:spacing w:after="20" w:line="223" w:lineRule="auto"/>
        <w:jc w:val="right"/>
        <w:bidi/>
      </w:pPr>
      <w:r>
        <w:rPr>
          <w:rFonts w:ascii="Arial" w:hAnsi="Arial"/>
          <w:sz w:val="16"/>
        </w:rPr>
        <w:t>015.10  موجودی بخش هوانوردی ارتش ایالات متحده شامل کمتر از ۲۵۰ هواپیما و شامل ۱۳۱ افسر (تقریبا همه خلبانان یا خلبانان در حال آموزش) و ۱۰۸۷ مرد استخدام شده بود.</w:t>
      </w:r>
    </w:p>
    <w:p>
      <w:pPr>
        <w:spacing w:after="28" w:line="216" w:lineRule="auto"/>
        <w:ind w:left="259"/>
        <w:jc w:val="left"/>
      </w:pPr>
      <w:r>
        <w:rPr>
          <w:rFonts w:ascii="Arial" w:hAnsi="Arial"/>
          <w:color w:val="525252"/>
          <w:sz w:val="13"/>
        </w:rPr>
        <w:t>The U.S. Army Aviation Section inventory included less than 250 airplanes and consisted of 131 officers (virtually all pilots or pilots-in- training), and 1,087 enlisted men.</w:t>
      </w:r>
    </w:p>
    <w:p>
      <w:pPr>
        <w:spacing w:after="20" w:line="223" w:lineRule="auto"/>
        <w:jc w:val="right"/>
        <w:bidi/>
      </w:pPr>
      <w:r>
        <w:rPr>
          <w:rFonts w:ascii="Arial" w:hAnsi="Arial"/>
          <w:sz w:val="16"/>
        </w:rPr>
        <w:t>015.11  سنت حکم می‌کرد که خلبانان از درجات افسران وظیفه انتخاب می‌شدند، اما هوانوردی بخش</w:t>
      </w:r>
    </w:p>
    <w:p>
      <w:pPr>
        <w:spacing w:after="28" w:line="216" w:lineRule="auto"/>
        <w:ind w:left="259"/>
        <w:jc w:val="left"/>
      </w:pPr>
      <w:r>
        <w:rPr>
          <w:rFonts w:ascii="Arial" w:hAnsi="Arial"/>
          <w:color w:val="525252"/>
          <w:sz w:val="13"/>
        </w:rPr>
        <w:t>Tradition dictated that pilots were drawn from the ranks of commissioned officers, but the Aviation</w:t>
      </w:r>
    </w:p>
    <w:p>
      <w:pPr>
        <w:spacing w:before="60" w:after="28"/>
        <w:jc w:val="right"/>
        <w:bidi/>
      </w:pPr>
      <w:r>
        <w:rPr>
          <w:b/>
          <w:color w:val="1F4D78"/>
          <w:sz w:val="18"/>
        </w:rPr>
        <w:t>نیاز مبرم به پرسنل استخدام شده آموزش دیده را برای انجام وظایف در تامین و</w:t>
      </w:r>
    </w:p>
    <w:p>
      <w:pPr>
        <w:spacing w:after="20"/>
        <w:ind w:left="259"/>
        <w:jc w:val="left"/>
      </w:pPr>
      <w:r>
        <w:rPr>
          <w:color w:val="555555"/>
          <w:sz w:val="12"/>
        </w:rPr>
        <w:t>Section realized the pressing need for trained enlisted personnel to perform duties in supply and</w:t>
      </w:r>
    </w:p>
    <w:p>
      <w:pPr>
        <w:spacing w:after="20" w:line="223" w:lineRule="auto"/>
        <w:jc w:val="right"/>
        <w:bidi/>
      </w:pPr>
      <w:r>
        <w:rPr>
          <w:rFonts w:ascii="Arial" w:hAnsi="Arial"/>
          <w:sz w:val="16"/>
        </w:rPr>
        <w:t>015.13  ساخت و ساز و برای انجام کارکردهای تخصصی در زمینه‌های نوظهور مرتبط با هوانوردی، شناسایی عکس، ارتباطات، تسلیحات، جوشکاری، دکل زنی، بادبان سازی، و مهم‌تر از همه، مکانیک.</w:t>
      </w:r>
    </w:p>
    <w:p>
      <w:pPr>
        <w:spacing w:after="28" w:line="216" w:lineRule="auto"/>
        <w:ind w:left="259"/>
        <w:jc w:val="left"/>
      </w:pPr>
      <w:r>
        <w:rPr>
          <w:rFonts w:ascii="Arial" w:hAnsi="Arial"/>
          <w:color w:val="525252"/>
          <w:sz w:val="13"/>
        </w:rPr>
        <w:t>construction and to serve specialized functions in the emerging aviation-related fields of photo- reconnaissance, communication, armament, welding, rigging, sail making, and most of all, mechanics.</w:t>
      </w:r>
    </w:p>
    <w:p>
      <w:pPr>
        <w:spacing w:after="20" w:line="223" w:lineRule="auto"/>
        <w:jc w:val="right"/>
        <w:bidi/>
      </w:pPr>
      <w:r>
        <w:rPr>
          <w:rFonts w:ascii="Arial" w:hAnsi="Arial"/>
          <w:sz w:val="16"/>
        </w:rPr>
        <w:t>015.14  تا نوامبر ۱۹۱۸، میلیاردها دلار خرج شد و بیش از ۷۰ میلیون جان خود را از دست دادند.</w:t>
      </w:r>
    </w:p>
    <w:p>
      <w:pPr>
        <w:spacing w:after="28" w:line="216" w:lineRule="auto"/>
        <w:ind w:left="259"/>
        <w:jc w:val="left"/>
      </w:pPr>
      <w:r>
        <w:rPr>
          <w:rFonts w:ascii="Arial" w:hAnsi="Arial"/>
          <w:color w:val="525252"/>
          <w:sz w:val="13"/>
        </w:rPr>
        <w:t>By November 1918, billions of dollars were spent, and over 70 million lives were lost.</w:t>
      </w:r>
    </w:p>
    <w:p>
      <w:pPr>
        <w:spacing w:after="20" w:line="223" w:lineRule="auto"/>
        <w:jc w:val="right"/>
        <w:bidi/>
      </w:pPr>
      <w:r>
        <w:rPr>
          <w:rFonts w:ascii="Arial" w:hAnsi="Arial"/>
          <w:sz w:val="16"/>
        </w:rPr>
        <w:t>015.15  نبردهایی با پیروزی‌ها و شکست هایی رخ داد که برخی از آن به‌عنوان ویرانی یاد می‌کنند، در حالی که برخی دیگر از آن به‌عنوان رویکردی انقلابی برای قدرت نظامی یاد می‌کنند.</w:t>
      </w:r>
    </w:p>
    <w:p>
      <w:pPr>
        <w:spacing w:after="28" w:line="216" w:lineRule="auto"/>
        <w:ind w:left="259"/>
        <w:jc w:val="left"/>
      </w:pPr>
      <w:r>
        <w:rPr>
          <w:rFonts w:ascii="Arial" w:hAnsi="Arial"/>
          <w:color w:val="525252"/>
          <w:sz w:val="13"/>
        </w:rPr>
        <w:t>Battles ensued with victories and defeats of what some refer to as devastation, while others refer to as a revolutionary approach to military power.</w:t>
      </w:r>
    </w:p>
    <w:p>
      <w:pPr>
        <w:spacing w:before="60" w:after="28"/>
        <w:jc w:val="right"/>
        <w:bidi/>
      </w:pPr>
      <w:r>
        <w:rPr>
          <w:b/>
          <w:color w:val="1F4D78"/>
          <w:sz w:val="18"/>
        </w:rPr>
        <w:t>2.7. اولین جنگ هوایی</w:t>
      </w:r>
    </w:p>
    <w:p>
      <w:pPr>
        <w:spacing w:after="20"/>
        <w:ind w:left="259"/>
        <w:jc w:val="left"/>
      </w:pPr>
      <w:r>
        <w:rPr>
          <w:color w:val="555555"/>
          <w:sz w:val="12"/>
        </w:rPr>
        <w:t>2.7. The First Air War</w:t>
      </w:r>
    </w:p>
    <w:p>
      <w:pPr>
        <w:spacing w:after="20" w:line="223" w:lineRule="auto"/>
        <w:jc w:val="right"/>
        <w:bidi/>
      </w:pPr>
      <w:r>
        <w:rPr>
          <w:rFonts w:ascii="Arial" w:hAnsi="Arial"/>
          <w:sz w:val="16"/>
        </w:rPr>
        <w:t>015.17  هواپیماها و جنگ‌های هوایی در طول جنگ جهانی اول بین سال‌های ۱۹۱۴ و ۱۹۱۸ تکامل یافتند.</w:t>
      </w:r>
    </w:p>
    <w:p>
      <w:pPr>
        <w:spacing w:after="28" w:line="216" w:lineRule="auto"/>
        <w:ind w:left="259"/>
        <w:jc w:val="left"/>
      </w:pPr>
      <w:r>
        <w:rPr>
          <w:rFonts w:ascii="Arial" w:hAnsi="Arial"/>
          <w:color w:val="525252"/>
          <w:sz w:val="13"/>
        </w:rPr>
        <w:t>Aircraft and aerial warfare evolved during World War I between 1914 and 1918.</w:t>
      </w:r>
    </w:p>
    <w:p>
      <w:pPr>
        <w:spacing w:after="20" w:line="223" w:lineRule="auto"/>
        <w:jc w:val="right"/>
        <w:bidi/>
      </w:pPr>
      <w:r>
        <w:rPr>
          <w:rFonts w:ascii="Arial" w:hAnsi="Arial"/>
          <w:sz w:val="16"/>
        </w:rPr>
        <w:t>015.18  رصد، ردیابی توپخانه، و شناسایی به‌عنوان مهمترین مأموریت‌های هواپیما در زمان جنگ ظاهر شدند.</w:t>
      </w:r>
    </w:p>
    <w:p>
      <w:pPr>
        <w:spacing w:after="28" w:line="216" w:lineRule="auto"/>
        <w:ind w:left="259"/>
        <w:jc w:val="left"/>
      </w:pPr>
      <w:r>
        <w:rPr>
          <w:rFonts w:ascii="Arial" w:hAnsi="Arial"/>
          <w:color w:val="525252"/>
          <w:sz w:val="13"/>
        </w:rPr>
        <w:t>Observation, artillery spotting, and reconnaissance emerged as the airplane’s most important wartime missions.</w:t>
      </w:r>
    </w:p>
    <w:p>
      <w:pPr>
        <w:spacing w:after="20" w:line="223" w:lineRule="auto"/>
        <w:jc w:val="right"/>
        <w:bidi/>
      </w:pPr>
      <w:r>
        <w:rPr>
          <w:rFonts w:ascii="Arial" w:hAnsi="Arial"/>
          <w:sz w:val="16"/>
        </w:rPr>
        <w:t>015.19  تا سال ۱۹۱۵، هواپیماهای تعقیب برای رد استفاده دشمن از حریم هوایی ساخته شدند.</w:t>
      </w:r>
    </w:p>
    <w:p>
      <w:pPr>
        <w:spacing w:after="28" w:line="216" w:lineRule="auto"/>
        <w:ind w:left="259"/>
        <w:jc w:val="left"/>
      </w:pPr>
      <w:r>
        <w:rPr>
          <w:rFonts w:ascii="Arial" w:hAnsi="Arial"/>
          <w:color w:val="525252"/>
          <w:sz w:val="13"/>
        </w:rPr>
        <w:t>By 1915, pursuit aircraft were developed to deny the enemy use of airspace.</w:t>
      </w:r>
    </w:p>
    <w:p>
      <w:pPr>
        <w:spacing w:after="20" w:line="223" w:lineRule="auto"/>
        <w:jc w:val="right"/>
        <w:bidi/>
      </w:pPr>
      <w:r>
        <w:rPr>
          <w:rFonts w:ascii="Arial" w:hAnsi="Arial"/>
          <w:sz w:val="16"/>
        </w:rPr>
        <w:t>015.20  در حالی که مأموریت‌های پرواز از جمع‌آوری اطلاعات تا دفاع تکامل یافته‌اند، استفاده از تفنگ‌های دستی برای سرنگونی هواپیماهای دشمن چیزهای زیادی باقی می‌ماند.</w:t>
      </w:r>
    </w:p>
    <w:p>
      <w:pPr>
        <w:spacing w:after="28" w:line="216" w:lineRule="auto"/>
        <w:ind w:left="259"/>
        <w:jc w:val="left"/>
      </w:pPr>
      <w:r>
        <w:rPr>
          <w:rFonts w:ascii="Arial" w:hAnsi="Arial"/>
          <w:color w:val="525252"/>
          <w:sz w:val="13"/>
        </w:rPr>
        <w:t>While flying missions evolved from information gathering to defense, using handguns to take down enemy aircraft left much to be desired.</w:t>
      </w:r>
    </w:p>
    <w:p>
      <w:pPr>
        <w:spacing w:after="20" w:line="223" w:lineRule="auto"/>
        <w:jc w:val="right"/>
        <w:bidi/>
      </w:pPr>
      <w:r>
        <w:rPr>
          <w:rFonts w:ascii="Arial" w:hAnsi="Arial"/>
          <w:sz w:val="16"/>
        </w:rPr>
        <w:t>015.21  یکی از قابل توجه‌ترین پیشرفت‌ها در فن آوری هوانوردی، مسلح کردن هواپیماها به مسلسل هایی بود که بین تیغه‌های پروانه شلیک می‌کردند.</w:t>
      </w:r>
    </w:p>
    <w:p>
      <w:pPr>
        <w:spacing w:after="28" w:line="216" w:lineRule="auto"/>
        <w:ind w:left="259"/>
        <w:jc w:val="left"/>
      </w:pPr>
      <w:r>
        <w:rPr>
          <w:rFonts w:ascii="Arial" w:hAnsi="Arial"/>
          <w:color w:val="525252"/>
          <w:sz w:val="13"/>
        </w:rPr>
        <w:t>One of the most remarkable advancements in aviation technology was the arming of aircraft with machine guns that fired between the propeller blades.</w:t>
      </w:r>
    </w:p>
    <w:p>
      <w:pPr>
        <w:spacing w:after="20" w:line="223" w:lineRule="auto"/>
        <w:jc w:val="right"/>
        <w:bidi/>
      </w:pPr>
      <w:r>
        <w:rPr>
          <w:rFonts w:ascii="Arial" w:hAnsi="Arial"/>
          <w:sz w:val="16"/>
        </w:rPr>
        <w:t>015.22  با استفاده از مفهوم تیغه منحرف کننده، خلبان فرانسوی، رولان گاروس، صفحات فولادی را به پروانه هواپیمای تک هواپیمای موران-سالنیر نوع ل خود وصل کرد و او را قادر ساخت که از طریق قوس پروانه هواپیما شلیک کند.</w:t>
      </w:r>
    </w:p>
    <w:p>
      <w:pPr>
        <w:spacing w:after="28" w:line="216" w:lineRule="auto"/>
        <w:ind w:left="259"/>
        <w:jc w:val="left"/>
      </w:pPr>
      <w:r>
        <w:rPr>
          <w:rFonts w:ascii="Arial" w:hAnsi="Arial"/>
          <w:color w:val="525252"/>
          <w:sz w:val="13"/>
        </w:rPr>
        <w:t>Using the deflector blade concept, French pilot, Roland Garros, attached steel plates to the propeller of his Morane- Saulnier Type L monoplane, enabling him to fire through the propeller arc of his aircraft.</w:t>
      </w:r>
    </w:p>
    <w:p>
      <w:pPr>
        <w:spacing w:after="20" w:line="223" w:lineRule="auto"/>
        <w:jc w:val="right"/>
        <w:bidi/>
      </w:pPr>
      <w:r>
        <w:rPr>
          <w:rFonts w:ascii="Arial" w:hAnsi="Arial"/>
          <w:sz w:val="16"/>
        </w:rPr>
        <w:t>015.23  این فرآیند نوآورانه گاروس را قادر ساخت تا به اولین پیروزی هوایی در تاریخ دست یابد.</w:t>
      </w:r>
    </w:p>
    <w:p>
      <w:pPr>
        <w:spacing w:after="28" w:line="216" w:lineRule="auto"/>
        <w:ind w:left="259"/>
        <w:jc w:val="left"/>
      </w:pPr>
      <w:r>
        <w:rPr>
          <w:rFonts w:ascii="Arial" w:hAnsi="Arial"/>
          <w:color w:val="525252"/>
          <w:sz w:val="13"/>
        </w:rPr>
        <w:t>This innovative process enabled Garros to achieve the first aerial victory in history.</w:t>
      </w:r>
    </w:p>
    <w:p>
      <w:pPr>
        <w:spacing w:after="20" w:line="223" w:lineRule="auto"/>
        <w:jc w:val="right"/>
        <w:bidi/>
      </w:pPr>
      <w:r>
        <w:rPr>
          <w:rFonts w:ascii="Arial" w:hAnsi="Arial"/>
          <w:sz w:val="16"/>
        </w:rPr>
        <w:t>015.24  توجه: هنگامی که مشکل موتور باعث شد گاروس در ۱۹ آوریل ۱۹۱۵ در پشت خطوط دشمن فرود بیاید، آلمانی‌ها او را به‌عنوان اسیر جنگی دستگیر کردند، اما همچنین مفاهیم ابتکاری در هواپیمای او را مطالعه کردند و اولین هواپیمای جنگنده واقعی، فوکر آیندکر را ساختند که به شدت در هواپیماهای متفقین استفاده شد.</w:t>
      </w:r>
    </w:p>
    <w:p>
      <w:pPr>
        <w:spacing w:after="28" w:line="216" w:lineRule="auto"/>
        <w:ind w:left="259"/>
        <w:jc w:val="left"/>
      </w:pPr>
      <w:r>
        <w:rPr>
          <w:rFonts w:ascii="Arial" w:hAnsi="Arial"/>
          <w:color w:val="525252"/>
          <w:sz w:val="13"/>
        </w:rPr>
        <w:t>Note: When engine trouble forced Garros to land behind enemy lines on 19 April 1915, the Germans captured him as a prisoner of war, but also studied the innovative concepts on his aircraft and created the first true fighter plane, the Fokker Eindecker, which was used ferociously on allied aircraft.</w:t>
      </w:r>
    </w:p>
    <w:p>
      <w:pPr>
        <w:spacing w:after="20" w:line="223" w:lineRule="auto"/>
        <w:jc w:val="right"/>
        <w:bidi/>
      </w:pPr>
      <w:r>
        <w:rPr>
          <w:rFonts w:ascii="Arial" w:hAnsi="Arial"/>
          <w:sz w:val="16"/>
        </w:rPr>
        <w:t>015.25  آسهای پرنده.</w:t>
      </w:r>
    </w:p>
    <w:p>
      <w:pPr>
        <w:spacing w:after="28" w:line="216" w:lineRule="auto"/>
        <w:ind w:left="259"/>
        <w:jc w:val="left"/>
      </w:pPr>
      <w:r>
        <w:rPr>
          <w:rFonts w:ascii="Arial" w:hAnsi="Arial"/>
          <w:color w:val="525252"/>
          <w:sz w:val="13"/>
        </w:rPr>
        <w:t>Flying Aces.</w:t>
      </w:r>
    </w:p>
    <w:p>
      <w:pPr>
        <w:spacing w:after="20" w:line="223" w:lineRule="auto"/>
        <w:jc w:val="right"/>
        <w:bidi/>
      </w:pPr>
      <w:r>
        <w:rPr>
          <w:rFonts w:ascii="Arial" w:hAnsi="Arial"/>
          <w:sz w:val="16"/>
        </w:rPr>
        <w:t>015.26  مفهوم آس در سال ۱۹۱۵ در طول جنگ جهانی اول و همزمان با جنگ هوایی با سگ ظاهر شد.</w:t>
      </w:r>
    </w:p>
    <w:p>
      <w:pPr>
        <w:spacing w:after="28" w:line="216" w:lineRule="auto"/>
        <w:ind w:left="259"/>
        <w:jc w:val="left"/>
      </w:pPr>
      <w:r>
        <w:rPr>
          <w:rFonts w:ascii="Arial" w:hAnsi="Arial"/>
          <w:color w:val="525252"/>
          <w:sz w:val="13"/>
        </w:rPr>
        <w:t>The concept of the ace emerged in 1915 during World War I at the same time as aerial dogfighting.</w:t>
      </w:r>
    </w:p>
    <w:p>
      <w:pPr>
        <w:spacing w:after="20" w:line="223" w:lineRule="auto"/>
        <w:jc w:val="right"/>
        <w:bidi/>
      </w:pPr>
      <w:r>
        <w:rPr>
          <w:rFonts w:ascii="Arial" w:hAnsi="Arial"/>
          <w:sz w:val="16"/>
        </w:rPr>
        <w:t>015.27  یک آس پرنده یا "آس" یک هوانورد نظامی است که با سرنگونی چندین هواپیمای دشمن در طول نبرد هوایی اعتبار دارد.</w:t>
      </w:r>
    </w:p>
    <w:p>
      <w:pPr>
        <w:spacing w:after="28" w:line="216" w:lineRule="auto"/>
        <w:ind w:left="259"/>
        <w:jc w:val="left"/>
      </w:pPr>
      <w:r>
        <w:rPr>
          <w:rFonts w:ascii="Arial" w:hAnsi="Arial"/>
          <w:color w:val="525252"/>
          <w:sz w:val="13"/>
        </w:rPr>
        <w:t>A flying ace or “ace” is a military aviator credited with shooting down multiple enemy aircraft during aerial combat.</w:t>
      </w:r>
    </w:p>
    <w:p>
      <w:pPr>
        <w:spacing w:after="20" w:line="223" w:lineRule="auto"/>
        <w:jc w:val="right"/>
        <w:bidi/>
      </w:pPr>
      <w:r>
        <w:rPr>
          <w:rFonts w:ascii="Arial" w:hAnsi="Arial"/>
          <w:sz w:val="16"/>
        </w:rPr>
        <w:t>015.28  در ابتدا پنج یا بیشتر پیروزی هوایی لازم بود تا یک آس در نظر گرفته شود، اما این تعداد در طول تاریخ متفاوت است.</w:t>
      </w:r>
    </w:p>
    <w:p>
      <w:pPr>
        <w:spacing w:after="28" w:line="216" w:lineRule="auto"/>
        <w:ind w:left="259"/>
        <w:jc w:val="left"/>
      </w:pPr>
      <w:r>
        <w:rPr>
          <w:rFonts w:ascii="Arial" w:hAnsi="Arial"/>
          <w:color w:val="525252"/>
          <w:sz w:val="13"/>
        </w:rPr>
        <w:t>Initially five or more aerial victories were required to be considered an ace, but that number varies throughout history.</w:t>
      </w:r>
    </w:p>
    <w:p>
      <w:pPr>
        <w:spacing w:after="20" w:line="223" w:lineRule="auto"/>
        <w:jc w:val="right"/>
        <w:bidi/>
      </w:pPr>
      <w:r>
        <w:rPr>
          <w:rFonts w:ascii="Arial" w:hAnsi="Arial"/>
          <w:sz w:val="16"/>
        </w:rPr>
        <w:t>015.29  احساسات عمومی برای آس بر اساس احساس غرور و میهن پرستی برای قهرمانان جنگ در آسمان بود.</w:t>
      </w:r>
    </w:p>
    <w:p>
      <w:pPr>
        <w:spacing w:after="28" w:line="216" w:lineRule="auto"/>
        <w:ind w:left="259"/>
        <w:jc w:val="left"/>
      </w:pPr>
      <w:r>
        <w:rPr>
          <w:rFonts w:ascii="Arial" w:hAnsi="Arial"/>
          <w:color w:val="525252"/>
          <w:sz w:val="13"/>
        </w:rPr>
        <w:t>Public sentiment for the ace was based on a sense of pride and patriotism for war heroes in the skies.</w:t>
      </w:r>
    </w:p>
    <w:p>
      <w:pPr>
        <w:spacing w:after="20" w:line="223" w:lineRule="auto"/>
        <w:jc w:val="right"/>
        <w:bidi/>
      </w:pPr>
      <w:r>
        <w:rPr>
          <w:rFonts w:ascii="Arial" w:hAnsi="Arial"/>
          <w:sz w:val="16"/>
        </w:rPr>
        <w:t>015.30  متحدان و دشمنان به‌طور یکسان برای تقویت حمایت عمومی از تلاش‌های جنگی، نیروهای خود را اعلام کردند.</w:t>
      </w:r>
    </w:p>
    <w:p>
      <w:pPr>
        <w:spacing w:after="28" w:line="216" w:lineRule="auto"/>
        <w:ind w:left="259"/>
        <w:jc w:val="left"/>
      </w:pPr>
      <w:r>
        <w:rPr>
          <w:rFonts w:ascii="Arial" w:hAnsi="Arial"/>
          <w:color w:val="525252"/>
          <w:sz w:val="13"/>
        </w:rPr>
        <w:t>Allies and adversaries alike publicized aces to foster public support for the war effort.</w:t>
      </w:r>
    </w:p>
    <w:p>
      <w:pPr>
        <w:spacing w:after="20" w:line="223" w:lineRule="auto"/>
        <w:jc w:val="right"/>
        <w:bidi/>
      </w:pPr>
      <w:r>
        <w:rPr>
          <w:rFonts w:ascii="Arial" w:hAnsi="Arial"/>
          <w:sz w:val="16"/>
        </w:rPr>
        <w:t>015.31  در حالی که آس به‌طور کلی فکر می‌شود</w:t>
      </w:r>
    </w:p>
    <w:p>
      <w:pPr>
        <w:spacing w:after="28" w:line="216" w:lineRule="auto"/>
        <w:ind w:left="259"/>
        <w:jc w:val="left"/>
      </w:pPr>
      <w:r>
        <w:rPr>
          <w:rFonts w:ascii="Arial" w:hAnsi="Arial"/>
          <w:color w:val="525252"/>
          <w:sz w:val="13"/>
        </w:rPr>
        <w:t>While aces are generally thought of</w:t>
      </w:r>
    </w:p>
    <w:p>
      <w:r>
        <w:br w:type="page"/>
      </w:r>
    </w:p>
    <w:p>
      <w:pPr>
        <w:spacing w:after="60"/>
        <w:jc w:val="right"/>
        <w:bidi/>
      </w:pPr>
      <w:r>
        <w:rPr>
          <w:rFonts w:ascii="Arial" w:hAnsi="Arial"/>
          <w:b/>
          <w:color w:val="1F4D78"/>
          <w:sz w:val="19"/>
        </w:rPr>
        <w:t>هفتهٔ 16  |  صفحهٔ منبع: 32</w:t>
      </w:r>
    </w:p>
    <w:p>
      <w:pPr>
        <w:spacing w:after="20" w:line="223" w:lineRule="auto"/>
        <w:jc w:val="right"/>
        <w:bidi/>
      </w:pPr>
      <w:r>
        <w:rPr>
          <w:rFonts w:ascii="Arial" w:hAnsi="Arial"/>
          <w:sz w:val="16"/>
        </w:rPr>
        <w:t>016.01  منحصرا به‌عنوان خلبان جنگنده، هوانوردان درجه‌دار نیز عنوان مورد علاقه را کسب کردند.</w:t>
      </w:r>
    </w:p>
    <w:p>
      <w:pPr>
        <w:spacing w:after="28" w:line="216" w:lineRule="auto"/>
        <w:ind w:left="259"/>
        <w:jc w:val="left"/>
      </w:pPr>
      <w:r>
        <w:rPr>
          <w:rFonts w:ascii="Arial" w:hAnsi="Arial"/>
          <w:color w:val="525252"/>
          <w:sz w:val="13"/>
        </w:rPr>
        <w:t>exclusively as fighter pilots, enlisted aviators also earned the coveted title.</w:t>
      </w:r>
    </w:p>
    <w:p>
      <w:pPr>
        <w:spacing w:after="20" w:line="223" w:lineRule="auto"/>
        <w:jc w:val="right"/>
        <w:bidi/>
      </w:pPr>
      <w:r>
        <w:rPr>
          <w:rFonts w:ascii="Arial" w:hAnsi="Arial"/>
          <w:sz w:val="16"/>
        </w:rPr>
        <w:t>016.02  به‌عنوان مثال، توپچی‌ها و ناظران هوایی اغلب به‌عنوان آس برای اجرای پیروزی‌های هوا به هوا بر روی دشمن شناخته می‌شوند.</w:t>
      </w:r>
    </w:p>
    <w:p>
      <w:pPr>
        <w:spacing w:after="28" w:line="216" w:lineRule="auto"/>
        <w:ind w:left="259"/>
        <w:jc w:val="left"/>
      </w:pPr>
      <w:r>
        <w:rPr>
          <w:rFonts w:ascii="Arial" w:hAnsi="Arial"/>
          <w:color w:val="525252"/>
          <w:sz w:val="13"/>
        </w:rPr>
        <w:t>Aerial gunners and observers, for example, were often referred to as aces for executing air-to-air victories on the enemy.</w:t>
      </w:r>
    </w:p>
    <w:p>
      <w:pPr>
        <w:spacing w:after="20" w:line="223" w:lineRule="auto"/>
        <w:jc w:val="right"/>
        <w:bidi/>
      </w:pPr>
      <w:r>
        <w:rPr>
          <w:rFonts w:ascii="Arial" w:hAnsi="Arial"/>
          <w:sz w:val="16"/>
        </w:rPr>
        <w:t>016.03  اک وف اکس، دوارد و. ریککنباککر.</w:t>
      </w:r>
    </w:p>
    <w:p>
      <w:pPr>
        <w:spacing w:after="28" w:line="216" w:lineRule="auto"/>
        <w:ind w:left="259"/>
        <w:jc w:val="left"/>
      </w:pPr>
      <w:r>
        <w:rPr>
          <w:rFonts w:ascii="Arial" w:hAnsi="Arial"/>
          <w:color w:val="525252"/>
          <w:sz w:val="13"/>
        </w:rPr>
        <w:t>Ace of Aces, Edward V. Rickenbacker.</w:t>
      </w:r>
    </w:p>
    <w:p>
      <w:pPr>
        <w:spacing w:after="20" w:line="223" w:lineRule="auto"/>
        <w:jc w:val="right"/>
        <w:bidi/>
      </w:pPr>
      <w:r>
        <w:rPr>
          <w:rFonts w:ascii="Arial" w:hAnsi="Arial"/>
          <w:sz w:val="16"/>
        </w:rPr>
        <w:t>016.04  کاپیتان دوارد و. "فاست ددی" ریککنباککر از سال ۱۹۱۷ تا ۱۹۱۹ در سرویس هوایی ارتش ایالات متحده خدمت کرد و بسیار به‌عنوان موفق‌ترین خلبان جنگنده در جنگ جهانی اول شناخته می‌شود. با ۲۶ پیروزی هوایی تأیید شده، ریککنباککر به‌عنوان رکورد جنگ جهانی دوم آمریکا شناخته شد.</w:t>
      </w:r>
    </w:p>
    <w:p>
      <w:pPr>
        <w:spacing w:after="28" w:line="216" w:lineRule="auto"/>
        <w:ind w:left="259"/>
        <w:jc w:val="left"/>
      </w:pPr>
      <w:r>
        <w:rPr>
          <w:rFonts w:ascii="Arial" w:hAnsi="Arial"/>
          <w:color w:val="525252"/>
          <w:sz w:val="13"/>
        </w:rPr>
        <w:t>Captain Edward V. “Fast Eddie” Rickenbacker served in the U.S. Army Air Service from 1917 to 1919 and has been highly regarded as the most successful fighter ace in World War I. With 26 confirmed aerial victories, Rickenbacker became known as America’s “Ace of Aces” and held the American record for victories until World War II.</w:t>
      </w:r>
    </w:p>
    <w:p>
      <w:pPr>
        <w:spacing w:after="20" w:line="223" w:lineRule="auto"/>
        <w:jc w:val="right"/>
        <w:bidi/>
      </w:pPr>
      <w:r>
        <w:rPr>
          <w:rFonts w:ascii="Arial" w:hAnsi="Arial"/>
          <w:sz w:val="16"/>
        </w:rPr>
        <w:t>016.05  در نظر گرفته می‌شود که او بیشترین جوایز را برای شجاعت دریافت کرده است، هشت بار صلیب خدمات ممتاز را دریافت کرده است، و در ادوارد و. ۱۹۳۰، یکی از صلیب‌های خدمات او به مدال افتخار تبدیل شد.</w:t>
      </w:r>
    </w:p>
    <w:p>
      <w:pPr>
        <w:spacing w:after="28" w:line="216" w:lineRule="auto"/>
        <w:ind w:left="259"/>
        <w:jc w:val="left"/>
      </w:pPr>
      <w:r>
        <w:rPr>
          <w:rFonts w:ascii="Arial" w:hAnsi="Arial"/>
          <w:color w:val="525252"/>
          <w:sz w:val="13"/>
        </w:rPr>
        <w:t>He is considered to have received the most awards for valor, received the Distinguished Service Cross a record of eight times, and in Edward V. 1930, one of his Service Crosses was converted to the Medal of Honor.</w:t>
      </w:r>
    </w:p>
    <w:p>
      <w:pPr>
        <w:spacing w:after="20" w:line="223" w:lineRule="auto"/>
        <w:jc w:val="right"/>
        <w:bidi/>
      </w:pPr>
      <w:r>
        <w:rPr>
          <w:rFonts w:ascii="Arial" w:hAnsi="Arial"/>
          <w:sz w:val="16"/>
        </w:rPr>
        <w:t>016.06  ریککنباککر ت لافایتت سکادریلل.</w:t>
      </w:r>
    </w:p>
    <w:p>
      <w:pPr>
        <w:spacing w:after="28" w:line="216" w:lineRule="auto"/>
        <w:ind w:left="259"/>
        <w:jc w:val="left"/>
      </w:pPr>
      <w:r>
        <w:rPr>
          <w:rFonts w:ascii="Arial" w:hAnsi="Arial"/>
          <w:color w:val="525252"/>
          <w:sz w:val="13"/>
        </w:rPr>
        <w:t>Rickenbacker The Lafayette Escadrille.</w:t>
      </w:r>
    </w:p>
    <w:p>
      <w:pPr>
        <w:spacing w:after="20" w:line="223" w:lineRule="auto"/>
        <w:jc w:val="right"/>
        <w:bidi/>
      </w:pPr>
      <w:r>
        <w:rPr>
          <w:rFonts w:ascii="Arial" w:hAnsi="Arial"/>
          <w:sz w:val="16"/>
        </w:rPr>
        <w:t>016.07  در اوایل سال ۱۹۱۵، آمریکایی‌ها در جنگ اروپا، هم با فرانسوی‌ها و هم با بریتانیایی‌ها، پرواز می‌کردند - اگرچه این هواپیمای آمریکایی لافایت اسکادریل فرانسوی بود که بیشترین و ماندگارترین شهرت را به دست آورد.</w:t>
      </w:r>
    </w:p>
    <w:p>
      <w:pPr>
        <w:spacing w:after="28" w:line="216" w:lineRule="auto"/>
        <w:ind w:left="259"/>
        <w:jc w:val="left"/>
      </w:pPr>
      <w:r>
        <w:rPr>
          <w:rFonts w:ascii="Arial" w:hAnsi="Arial"/>
          <w:color w:val="525252"/>
          <w:sz w:val="13"/>
        </w:rPr>
        <w:t>As early as 1915, Americans flew in the European war, both with the French and the British—though it was the American-manned Lafayette Escadrille of France that earned the greatest and most enduring fame.</w:t>
      </w:r>
    </w:p>
    <w:p>
      <w:pPr>
        <w:spacing w:after="20" w:line="223" w:lineRule="auto"/>
        <w:jc w:val="right"/>
        <w:bidi/>
      </w:pPr>
      <w:r>
        <w:rPr>
          <w:rFonts w:ascii="Arial" w:hAnsi="Arial"/>
          <w:sz w:val="16"/>
        </w:rPr>
        <w:t>016.08  که به افتخار مارکی دو لافایت، قهرمان دو جهان نامگذاری شد، خدمات هوایی فرانسه در سال ۱۹۱۶ لافایت اسکادریل را تأسیس کرد.</w:t>
      </w:r>
    </w:p>
    <w:p>
      <w:pPr>
        <w:spacing w:after="28" w:line="216" w:lineRule="auto"/>
        <w:ind w:left="259"/>
        <w:jc w:val="left"/>
      </w:pPr>
      <w:r>
        <w:rPr>
          <w:rFonts w:ascii="Arial" w:hAnsi="Arial"/>
          <w:color w:val="525252"/>
          <w:sz w:val="13"/>
        </w:rPr>
        <w:t>Named in honor of Marquis de Lafayette, Hero of the Two Worlds, the French Air Service established the Lafayette Escadrille in 1916.</w:t>
      </w:r>
    </w:p>
    <w:p>
      <w:pPr>
        <w:spacing w:after="20" w:line="223" w:lineRule="auto"/>
        <w:jc w:val="right"/>
        <w:bidi/>
      </w:pPr>
      <w:r>
        <w:rPr>
          <w:rFonts w:ascii="Arial" w:hAnsi="Arial"/>
          <w:sz w:val="16"/>
        </w:rPr>
        <w:t>016.09  در سال ۱۹۱۸، اعضای آمریکایی لافایت اسکادریل به خدمات هوایی ارتش ایالات متحده به‌عنوان اسکادران ۱۰۳د ارو منتقل شدند، در حالی که فرانسوی‌ها سکادریلل جانن د'ارک را تشکیل دادند.</w:t>
      </w:r>
    </w:p>
    <w:p>
      <w:pPr>
        <w:spacing w:after="28" w:line="216" w:lineRule="auto"/>
        <w:ind w:left="259"/>
        <w:jc w:val="left"/>
      </w:pPr>
      <w:r>
        <w:rPr>
          <w:rFonts w:ascii="Arial" w:hAnsi="Arial"/>
          <w:color w:val="525252"/>
          <w:sz w:val="13"/>
        </w:rPr>
        <w:t>In 1918, American members of the Lafayette Escadrille transferred into the U.S. Army Air Service as the 103d Aero Squadron while the French formed the Escadrille Jeanne d’Arc.</w:t>
      </w:r>
    </w:p>
    <w:p>
      <w:pPr>
        <w:spacing w:after="20" w:line="223" w:lineRule="auto"/>
        <w:jc w:val="right"/>
        <w:bidi/>
      </w:pPr>
      <w:r>
        <w:rPr>
          <w:rFonts w:ascii="Arial" w:hAnsi="Arial"/>
          <w:sz w:val="16"/>
        </w:rPr>
        <w:t>016.10  اولین خلبان نظامی آفریقایی آمریکایی، یوجین بولارد.</w:t>
      </w:r>
    </w:p>
    <w:p>
      <w:pPr>
        <w:spacing w:after="28" w:line="216" w:lineRule="auto"/>
        <w:ind w:left="259"/>
        <w:jc w:val="left"/>
      </w:pPr>
      <w:r>
        <w:rPr>
          <w:rFonts w:ascii="Arial" w:hAnsi="Arial"/>
          <w:color w:val="525252"/>
          <w:sz w:val="13"/>
        </w:rPr>
        <w:t>First African American Military Pilot, Eugene Bullard.</w:t>
      </w:r>
    </w:p>
    <w:p>
      <w:pPr>
        <w:spacing w:after="20" w:line="223" w:lineRule="auto"/>
        <w:jc w:val="right"/>
        <w:bidi/>
      </w:pPr>
      <w:r>
        <w:rPr>
          <w:rFonts w:ascii="Arial" w:hAnsi="Arial"/>
          <w:sz w:val="16"/>
        </w:rPr>
        <w:t>016.11  سرجوخه یوجین بولارد یکی از معدود آمریکایی‌هایی است که در جنگ پرواز کرده و اولین خلبان نظامی آفریقایی آمریکایی است.</w:t>
      </w:r>
    </w:p>
    <w:p>
      <w:pPr>
        <w:spacing w:after="28" w:line="216" w:lineRule="auto"/>
        <w:ind w:left="259"/>
        <w:jc w:val="left"/>
      </w:pPr>
      <w:r>
        <w:rPr>
          <w:rFonts w:ascii="Arial" w:hAnsi="Arial"/>
          <w:color w:val="525252"/>
          <w:sz w:val="13"/>
        </w:rPr>
        <w:t>Corporal Eugene Bullard is one of the very few enlisted Americans to fly in the war, and the first African American military pilot.</w:t>
      </w:r>
    </w:p>
    <w:p>
      <w:pPr>
        <w:spacing w:after="20" w:line="223" w:lineRule="auto"/>
        <w:jc w:val="right"/>
        <w:bidi/>
      </w:pPr>
      <w:r>
        <w:rPr>
          <w:rFonts w:ascii="Arial" w:hAnsi="Arial"/>
          <w:sz w:val="16"/>
        </w:rPr>
        <w:t>016.12  بولارد در سال ۱۹۱۴ نام نویسی کرد و به هنگ سوم راهپیمایی لژیون خارجی منصوب شد.</w:t>
      </w:r>
    </w:p>
    <w:p>
      <w:pPr>
        <w:spacing w:after="28" w:line="216" w:lineRule="auto"/>
        <w:ind w:left="259"/>
        <w:jc w:val="left"/>
      </w:pPr>
      <w:r>
        <w:rPr>
          <w:rFonts w:ascii="Arial" w:hAnsi="Arial"/>
          <w:color w:val="525252"/>
          <w:sz w:val="13"/>
        </w:rPr>
        <w:t>Bullard enlisted in 1914 and was assigned to the 3rd Marching Regiment of the Foreign Legion.</w:t>
      </w:r>
    </w:p>
    <w:p>
      <w:pPr>
        <w:spacing w:after="20" w:line="223" w:lineRule="auto"/>
        <w:jc w:val="right"/>
        <w:bidi/>
      </w:pPr>
      <w:r>
        <w:rPr>
          <w:rFonts w:ascii="Arial" w:hAnsi="Arial"/>
          <w:sz w:val="16"/>
        </w:rPr>
        <w:t>016.13  در جنگ جهانی اول، بولارد به‌عنوان یک مسلسل دار پرواز کرد و در بیش از ۲۰ مأموریت نبرد هوایی خدمت کرد.</w:t>
      </w:r>
    </w:p>
    <w:p>
      <w:pPr>
        <w:spacing w:after="28" w:line="216" w:lineRule="auto"/>
        <w:ind w:left="259"/>
        <w:jc w:val="left"/>
      </w:pPr>
      <w:r>
        <w:rPr>
          <w:rFonts w:ascii="Arial" w:hAnsi="Arial"/>
          <w:color w:val="525252"/>
          <w:sz w:val="13"/>
        </w:rPr>
        <w:t>In World War I, Bullard flew as a machine gunner and served in over 20 air combat missions.</w:t>
      </w:r>
    </w:p>
    <w:p>
      <w:pPr>
        <w:spacing w:after="20" w:line="223" w:lineRule="auto"/>
        <w:jc w:val="right"/>
        <w:bidi/>
      </w:pPr>
      <w:r>
        <w:rPr>
          <w:rFonts w:ascii="Arial" w:hAnsi="Arial"/>
          <w:sz w:val="16"/>
        </w:rPr>
        <w:t>016.14  به‌عنوان عضوی از لژیون خارجی فرانسه، نشان کرویکس د گورر فرانسه به او اعطا شد.</w:t>
      </w:r>
    </w:p>
    <w:p>
      <w:pPr>
        <w:spacing w:after="28" w:line="216" w:lineRule="auto"/>
        <w:ind w:left="259"/>
        <w:jc w:val="left"/>
      </w:pPr>
      <w:r>
        <w:rPr>
          <w:rFonts w:ascii="Arial" w:hAnsi="Arial"/>
          <w:color w:val="525252"/>
          <w:sz w:val="13"/>
        </w:rPr>
        <w:t>As a member of the French Foreign Legion, he was awarded the French Croix de Guerre.</w:t>
      </w:r>
    </w:p>
    <w:p>
      <w:pPr>
        <w:spacing w:after="20" w:line="223" w:lineRule="auto"/>
        <w:jc w:val="right"/>
        <w:bidi/>
      </w:pPr>
      <w:r>
        <w:rPr>
          <w:rFonts w:ascii="Arial" w:hAnsi="Arial"/>
          <w:sz w:val="16"/>
        </w:rPr>
        <w:t>016.15  قبل از اینکه لژیون او را ترخیص کند چهار بار مجروح شد.</w:t>
      </w:r>
    </w:p>
    <w:p>
      <w:pPr>
        <w:spacing w:after="28" w:line="216" w:lineRule="auto"/>
        <w:ind w:left="259"/>
        <w:jc w:val="left"/>
      </w:pPr>
      <w:r>
        <w:rPr>
          <w:rFonts w:ascii="Arial" w:hAnsi="Arial"/>
          <w:color w:val="525252"/>
          <w:sz w:val="13"/>
        </w:rPr>
        <w:t>He was wounded four times before the legion gave him a disability discharge.</w:t>
      </w:r>
    </w:p>
    <w:p>
      <w:pPr>
        <w:spacing w:after="20" w:line="223" w:lineRule="auto"/>
        <w:jc w:val="right"/>
        <w:bidi/>
      </w:pPr>
      <w:r>
        <w:rPr>
          <w:rFonts w:ascii="Arial" w:hAnsi="Arial"/>
          <w:sz w:val="16"/>
        </w:rPr>
        <w:t>016.16  در دوران نقاهت خود در پاریس، او با یک آمریکایی ۲۰۰۰ دلار شرط بندی کرد که می‌تواند پرواز را یاد بگیرد و یک هوانورد جنگی شود.</w:t>
      </w:r>
    </w:p>
    <w:p>
      <w:pPr>
        <w:spacing w:after="28" w:line="216" w:lineRule="auto"/>
        <w:ind w:left="259"/>
        <w:jc w:val="left"/>
      </w:pPr>
      <w:r>
        <w:rPr>
          <w:rFonts w:ascii="Arial" w:hAnsi="Arial"/>
          <w:color w:val="525252"/>
          <w:sz w:val="13"/>
        </w:rPr>
        <w:t>During his convalescence in Paris, he bet an American $2,000 that he could learn to fly and become a combat aviator.</w:t>
      </w:r>
    </w:p>
    <w:p>
      <w:pPr>
        <w:spacing w:after="20" w:line="223" w:lineRule="auto"/>
        <w:jc w:val="right"/>
        <w:bidi/>
      </w:pPr>
      <w:r>
        <w:rPr>
          <w:rFonts w:ascii="Arial" w:hAnsi="Arial"/>
          <w:sz w:val="16"/>
        </w:rPr>
        <w:t>016.17  سرجوخه بولارد با تکمیل آموزش و پیوستن به یوجین بولارد لافایت اسکادریل شرط را برنده شد.</w:t>
      </w:r>
    </w:p>
    <w:p>
      <w:pPr>
        <w:spacing w:after="28" w:line="216" w:lineRule="auto"/>
        <w:ind w:left="259"/>
        <w:jc w:val="left"/>
      </w:pPr>
      <w:r>
        <w:rPr>
          <w:rFonts w:ascii="Arial" w:hAnsi="Arial"/>
          <w:color w:val="525252"/>
          <w:sz w:val="13"/>
        </w:rPr>
        <w:t>Corporal Bullard won the bet by completing training and joining the Eugene Bullard Lafayette Escadrille.</w:t>
      </w:r>
    </w:p>
    <w:p>
      <w:pPr>
        <w:spacing w:after="20" w:line="223" w:lineRule="auto"/>
        <w:jc w:val="right"/>
        <w:bidi/>
      </w:pPr>
      <w:r>
        <w:rPr>
          <w:rFonts w:ascii="Arial" w:hAnsi="Arial"/>
          <w:sz w:val="16"/>
        </w:rPr>
        <w:t>016.18  که از او با عنوان "پرستو سیاه مرگ" یاد می‌شود، دو پیروزی به دست آورد.</w:t>
      </w:r>
    </w:p>
    <w:p>
      <w:pPr>
        <w:spacing w:after="28" w:line="216" w:lineRule="auto"/>
        <w:ind w:left="259"/>
        <w:jc w:val="left"/>
      </w:pPr>
      <w:r>
        <w:rPr>
          <w:rFonts w:ascii="Arial" w:hAnsi="Arial"/>
          <w:color w:val="525252"/>
          <w:sz w:val="13"/>
        </w:rPr>
        <w:t>Referred to as “The Black Swallow of Death,” he claimed two victories.</w:t>
      </w:r>
    </w:p>
    <w:p>
      <w:pPr>
        <w:spacing w:before="60" w:after="28"/>
        <w:jc w:val="right"/>
        <w:bidi/>
      </w:pPr>
      <w:r>
        <w:rPr>
          <w:b/>
          <w:color w:val="1F4D78"/>
          <w:sz w:val="18"/>
        </w:rPr>
        <w:t>2.8. بخش هوانوردی نظامی (20 مه 1918 - 24 مه 1918)</w:t>
      </w:r>
    </w:p>
    <w:p>
      <w:pPr>
        <w:spacing w:after="20"/>
        <w:ind w:left="259"/>
        <w:jc w:val="left"/>
      </w:pPr>
      <w:r>
        <w:rPr>
          <w:color w:val="555555"/>
          <w:sz w:val="12"/>
        </w:rPr>
        <w:t>2.8. Division of Military Aeronautics (20 May 1918 - 24 May 1918)</w:t>
      </w:r>
    </w:p>
    <w:p>
      <w:pPr>
        <w:spacing w:after="20" w:line="223" w:lineRule="auto"/>
        <w:jc w:val="right"/>
        <w:bidi/>
      </w:pPr>
      <w:r>
        <w:rPr>
          <w:rFonts w:ascii="Arial" w:hAnsi="Arial"/>
          <w:sz w:val="16"/>
        </w:rPr>
        <w:t>016.20  در ۲۰ مه ۱۹۱۸، پرزیدنت ویلسون دستوری اجرایی صادر کرد که کنترل هوانوردی ارتش را از سپاه سیگنال به وزیر جنگ منتقل کرد.</w:t>
      </w:r>
    </w:p>
    <w:p>
      <w:pPr>
        <w:spacing w:after="28" w:line="216" w:lineRule="auto"/>
        <w:ind w:left="259"/>
        <w:jc w:val="left"/>
      </w:pPr>
      <w:r>
        <w:rPr>
          <w:rFonts w:ascii="Arial" w:hAnsi="Arial"/>
          <w:color w:val="525252"/>
          <w:sz w:val="13"/>
        </w:rPr>
        <w:t>On 20 May 1918, President Wilson issued an Executive Order that transferred Army aviation control from the Signal Corps to the Secretary of War.</w:t>
      </w:r>
    </w:p>
    <w:p>
      <w:pPr>
        <w:spacing w:after="20" w:line="223" w:lineRule="auto"/>
        <w:jc w:val="right"/>
        <w:bidi/>
      </w:pPr>
      <w:r>
        <w:rPr>
          <w:rFonts w:ascii="Arial" w:hAnsi="Arial"/>
          <w:sz w:val="16"/>
        </w:rPr>
        <w:t>016.21  این انتقال چهار روزه به اندازه کافی وجود داشت تا سازماندهی مجدد انجام شود و رسما شناسایی مسئولیت‌های اداره هوانوردی، دارایی‌ها و پرسنل از بخش هوانوردی نظامی به خدمات هوایی منتقل شود.</w:t>
      </w:r>
    </w:p>
    <w:p>
      <w:pPr>
        <w:spacing w:after="28" w:line="216" w:lineRule="auto"/>
        <w:ind w:left="259"/>
        <w:jc w:val="left"/>
      </w:pPr>
      <w:r>
        <w:rPr>
          <w:rFonts w:ascii="Arial" w:hAnsi="Arial"/>
          <w:color w:val="525252"/>
          <w:sz w:val="13"/>
        </w:rPr>
        <w:t>This four-day transition existed long enough for the reorganization to take place and officially transfer recognition of responsibilities of aviation administration, assets, and personnel from the division of military aeronautics to the Air Service.</w:t>
      </w:r>
    </w:p>
    <w:p>
      <w:pPr>
        <w:spacing w:after="20" w:line="223" w:lineRule="auto"/>
        <w:jc w:val="right"/>
        <w:bidi/>
      </w:pPr>
      <w:r>
        <w:rPr>
          <w:rFonts w:ascii="Arial" w:hAnsi="Arial"/>
          <w:sz w:val="16"/>
        </w:rPr>
        <w:t>016.22  ۲.۹. خدمات هوایی، ارتش ایالات متحده (۲۴ مه ۱۹۱۸ - ۲ ژوئیه ۱۹۲۶)</w:t>
      </w:r>
    </w:p>
    <w:p>
      <w:pPr>
        <w:spacing w:after="28" w:line="216" w:lineRule="auto"/>
        <w:ind w:left="259"/>
        <w:jc w:val="left"/>
      </w:pPr>
      <w:r>
        <w:rPr>
          <w:rFonts w:ascii="Arial" w:hAnsi="Arial"/>
          <w:color w:val="525252"/>
          <w:sz w:val="13"/>
        </w:rPr>
        <w:t>2.9. Air Service, U.S. Army (24 May 1918 - 2 July 1926)</w:t>
      </w:r>
    </w:p>
    <w:p>
      <w:pPr>
        <w:spacing w:after="20" w:line="223" w:lineRule="auto"/>
        <w:jc w:val="right"/>
        <w:bidi/>
      </w:pPr>
      <w:r>
        <w:rPr>
          <w:rFonts w:ascii="Arial" w:hAnsi="Arial"/>
          <w:sz w:val="16"/>
        </w:rPr>
        <w:t>016.23  سرویس هوایی ارتش ایالات متحده در سال ۱۹۱۸ به‌عنوان یک شعبه موقت از وزارت جنگ ایالات متحده تأسیس شد و با کاهش بودجه و مقاومت در برابر ایجاد نیروی هوایی مستقل مواجه شد.</w:t>
      </w:r>
    </w:p>
    <w:p>
      <w:pPr>
        <w:spacing w:after="28" w:line="216" w:lineRule="auto"/>
        <w:ind w:left="259"/>
        <w:jc w:val="left"/>
      </w:pPr>
      <w:r>
        <w:rPr>
          <w:rFonts w:ascii="Arial" w:hAnsi="Arial"/>
          <w:color w:val="525252"/>
          <w:sz w:val="13"/>
        </w:rPr>
        <w:t>The U.S. Army Air Service was established in 1918 as a temporary branch of the U.S. War Department and was faced with budget cutbacks and resistance to establishing an independent Air Force.</w:t>
      </w:r>
    </w:p>
    <w:p>
      <w:pPr>
        <w:spacing w:after="20" w:line="223" w:lineRule="auto"/>
        <w:jc w:val="right"/>
        <w:bidi/>
      </w:pPr>
      <w:r>
        <w:rPr>
          <w:rFonts w:ascii="Arial" w:hAnsi="Arial"/>
          <w:sz w:val="16"/>
        </w:rPr>
        <w:t>016.24  در سال ۱۹۱۸ یک کاهش نیرو به تصویب رسید که خواستار کاهش پرسنل خدمات هوایی از ۱۹۰۰۰۰ به کمتر از ۲۰۰۰۰ بود.</w:t>
      </w:r>
    </w:p>
    <w:p>
      <w:pPr>
        <w:spacing w:after="28" w:line="216" w:lineRule="auto"/>
        <w:ind w:left="259"/>
        <w:jc w:val="left"/>
      </w:pPr>
      <w:r>
        <w:rPr>
          <w:rFonts w:ascii="Arial" w:hAnsi="Arial"/>
          <w:color w:val="525252"/>
          <w:sz w:val="13"/>
        </w:rPr>
        <w:t>A drawdown was enacted in 1918 that called for a reduction in Air Service personnel from 190,000 to fewer than 20,000.</w:t>
      </w:r>
    </w:p>
    <w:p>
      <w:pPr>
        <w:spacing w:after="20" w:line="223" w:lineRule="auto"/>
        <w:jc w:val="right"/>
        <w:bidi/>
      </w:pPr>
      <w:r>
        <w:rPr>
          <w:rFonts w:ascii="Arial" w:hAnsi="Arial"/>
          <w:sz w:val="16"/>
        </w:rPr>
        <w:t>016.25  به همین ترتیب، ۹۵۲ میلیون دلار اختصاص داده شده برای هوانوردی نظامی در سال ۱۹۱۹ به ۲۸ میلیون دلار در سال ۱۹۲۰ کاهش یافت.</w:t>
      </w:r>
    </w:p>
    <w:p>
      <w:pPr>
        <w:spacing w:after="28" w:line="216" w:lineRule="auto"/>
        <w:ind w:left="259"/>
        <w:jc w:val="left"/>
      </w:pPr>
      <w:r>
        <w:rPr>
          <w:rFonts w:ascii="Arial" w:hAnsi="Arial"/>
          <w:color w:val="525252"/>
          <w:sz w:val="13"/>
        </w:rPr>
        <w:t>Likewise, the $952 million allocated for military aviation in 1919 fell to $28 million in 1920.</w:t>
      </w:r>
    </w:p>
    <w:p>
      <w:pPr>
        <w:spacing w:after="20" w:line="223" w:lineRule="auto"/>
        <w:jc w:val="right"/>
        <w:bidi/>
      </w:pPr>
      <w:r>
        <w:rPr>
          <w:rFonts w:ascii="Arial" w:hAnsi="Arial"/>
          <w:sz w:val="16"/>
        </w:rPr>
        <w:t>016.26  زمانی که کنگره درخواست کرد که هواپیماهای نظامی جدید از موتورهای لیبرتی مازاد تولید شده در طول جنگ جهانی اول استفاده کنند، چالش دیگری پیش آمد.</w:t>
      </w:r>
    </w:p>
    <w:p>
      <w:pPr>
        <w:spacing w:after="28" w:line="216" w:lineRule="auto"/>
        <w:ind w:left="259"/>
        <w:jc w:val="left"/>
      </w:pPr>
      <w:r>
        <w:rPr>
          <w:rFonts w:ascii="Arial" w:hAnsi="Arial"/>
          <w:color w:val="525252"/>
          <w:sz w:val="13"/>
        </w:rPr>
        <w:t>Another challenge came about when Congress demanded that new military aircraft use the surplus Liberty engines produced during the World War I buildup.</w:t>
      </w:r>
    </w:p>
    <w:p>
      <w:pPr>
        <w:spacing w:after="20" w:line="223" w:lineRule="auto"/>
        <w:jc w:val="right"/>
        <w:bidi/>
      </w:pPr>
      <w:r>
        <w:rPr>
          <w:rFonts w:ascii="Arial" w:hAnsi="Arial"/>
          <w:sz w:val="16"/>
        </w:rPr>
        <w:t>016.27  در نتیجه، بمب‌افکن‌های جنگ جهانی اول کرتیس JN-۳ جننیس و لیبرتی DH-۴ تا دهه ۱۹۳۰ در خدمت باقی ماندند، علی‌رغم پیشرفت‌های تکنولوژیکی که در طراحی بدنه هواپیما و موتور ایجاد شده بود.</w:t>
      </w:r>
    </w:p>
    <w:p>
      <w:pPr>
        <w:spacing w:after="28" w:line="216" w:lineRule="auto"/>
        <w:ind w:left="259"/>
        <w:jc w:val="left"/>
      </w:pPr>
      <w:r>
        <w:rPr>
          <w:rFonts w:ascii="Arial" w:hAnsi="Arial"/>
          <w:color w:val="525252"/>
          <w:sz w:val="13"/>
        </w:rPr>
        <w:t>Consequently, World War I vintage Curtiss JN-3 Jennies and Liberty DH-4 bombers remained in service until the 1930s, despite technological advances that had been made in airframe and engine design.</w:t>
      </w:r>
    </w:p>
    <w:p>
      <w:r>
        <w:br w:type="page"/>
      </w:r>
    </w:p>
    <w:p>
      <w:pPr>
        <w:spacing w:after="60"/>
        <w:jc w:val="right"/>
        <w:bidi/>
      </w:pPr>
      <w:r>
        <w:rPr>
          <w:rFonts w:ascii="Arial" w:hAnsi="Arial"/>
          <w:b/>
          <w:color w:val="1F4D78"/>
          <w:sz w:val="19"/>
        </w:rPr>
        <w:t>هفتهٔ 17  |  صفحهٔ منبع: 33</w:t>
      </w:r>
    </w:p>
    <w:p>
      <w:pPr>
        <w:spacing w:after="20" w:line="223" w:lineRule="auto"/>
        <w:jc w:val="right"/>
        <w:bidi/>
      </w:pPr>
      <w:r>
        <w:rPr>
          <w:rFonts w:ascii="Arial" w:hAnsi="Arial"/>
          <w:sz w:val="16"/>
        </w:rPr>
        <w:t>017.01  پدر USAF، ویلیام میچل.</w:t>
      </w:r>
    </w:p>
    <w:p>
      <w:pPr>
        <w:spacing w:after="28" w:line="216" w:lineRule="auto"/>
        <w:ind w:left="259"/>
        <w:jc w:val="left"/>
      </w:pPr>
      <w:r>
        <w:rPr>
          <w:rFonts w:ascii="Arial" w:hAnsi="Arial"/>
          <w:color w:val="525252"/>
          <w:sz w:val="13"/>
        </w:rPr>
        <w:t>Father of the USAF, William Mitchell.</w:t>
      </w:r>
    </w:p>
    <w:p>
      <w:pPr>
        <w:spacing w:after="20" w:line="223" w:lineRule="auto"/>
        <w:jc w:val="right"/>
        <w:bidi/>
      </w:pPr>
      <w:r>
        <w:rPr>
          <w:rFonts w:ascii="Arial" w:hAnsi="Arial"/>
          <w:sz w:val="16"/>
        </w:rPr>
        <w:t>017.02  پس از ثبت‌نام، پیوستن به بخش هوانوردی سپاه سیگنال و گذراندن دوره‌های خصوصی پرواز، ویلیام "بیلی" میچل گواهینامه خلبانی خصوصی خود را گرفت.</w:t>
      </w:r>
    </w:p>
    <w:p>
      <w:pPr>
        <w:spacing w:after="28" w:line="216" w:lineRule="auto"/>
        <w:ind w:left="259"/>
        <w:jc w:val="left"/>
      </w:pPr>
      <w:r>
        <w:rPr>
          <w:rFonts w:ascii="Arial" w:hAnsi="Arial"/>
          <w:color w:val="525252"/>
          <w:sz w:val="13"/>
        </w:rPr>
        <w:t>After enlisting, joining the Aviation Section of the Signal Corps, and taking private flying lessons, William “Billy” Mitchell earned his private pilot’s license.</w:t>
      </w:r>
    </w:p>
    <w:p>
      <w:pPr>
        <w:spacing w:after="20" w:line="223" w:lineRule="auto"/>
        <w:jc w:val="right"/>
        <w:bidi/>
      </w:pPr>
      <w:r>
        <w:rPr>
          <w:rFonts w:ascii="Arial" w:hAnsi="Arial"/>
          <w:sz w:val="16"/>
        </w:rPr>
        <w:t>017.03  او به ظرفیت قدرت هوایی به‌عنوان مؤلفه اصلی دفاع ملی در برابر بمباران استراتژیک متقاعد شده بود و مدافع قوی برای یک نیروی هوایی مستقل بود.</w:t>
      </w:r>
    </w:p>
    <w:p>
      <w:pPr>
        <w:spacing w:after="28" w:line="216" w:lineRule="auto"/>
        <w:ind w:left="259"/>
        <w:jc w:val="left"/>
      </w:pPr>
      <w:r>
        <w:rPr>
          <w:rFonts w:ascii="Arial" w:hAnsi="Arial"/>
          <w:color w:val="525252"/>
          <w:sz w:val="13"/>
        </w:rPr>
        <w:t>He was convinced of airpower’s potential as the primary component of national defense against strategic bombardment and was a strong advocate for an independent Air Force.</w:t>
      </w:r>
    </w:p>
    <w:p>
      <w:pPr>
        <w:spacing w:after="20" w:line="223" w:lineRule="auto"/>
        <w:jc w:val="right"/>
        <w:bidi/>
      </w:pPr>
      <w:r>
        <w:rPr>
          <w:rFonts w:ascii="Arial" w:hAnsi="Arial"/>
          <w:sz w:val="16"/>
        </w:rPr>
        <w:t>017.04  ادعاهای میچل در نهایت به محاکمه بمب گذاری در ژوئن ۱۹۲۱ منجر شد.</w:t>
      </w:r>
    </w:p>
    <w:p>
      <w:pPr>
        <w:spacing w:after="28" w:line="216" w:lineRule="auto"/>
        <w:ind w:left="259"/>
        <w:jc w:val="left"/>
      </w:pPr>
      <w:r>
        <w:rPr>
          <w:rFonts w:ascii="Arial" w:hAnsi="Arial"/>
          <w:color w:val="525252"/>
          <w:sz w:val="13"/>
        </w:rPr>
        <w:t>Mitchell’s claims ultimately led to bombing trials in June 1921.</w:t>
      </w:r>
    </w:p>
    <w:p>
      <w:pPr>
        <w:spacing w:after="20" w:line="223" w:lineRule="auto"/>
        <w:jc w:val="right"/>
        <w:bidi/>
      </w:pPr>
      <w:r>
        <w:rPr>
          <w:rFonts w:ascii="Arial" w:hAnsi="Arial"/>
          <w:sz w:val="16"/>
        </w:rPr>
        <w:t>017.05  تحت رهبری او، تیپ ۱ هوایی موقت کشتی جنگی ۲۷۰۰۰ تنی سابق آلمانی وستفریسلاند را غرق کرد.</w:t>
      </w:r>
    </w:p>
    <w:p>
      <w:pPr>
        <w:spacing w:after="28" w:line="216" w:lineRule="auto"/>
        <w:ind w:left="259"/>
        <w:jc w:val="left"/>
      </w:pPr>
      <w:r>
        <w:rPr>
          <w:rFonts w:ascii="Arial" w:hAnsi="Arial"/>
          <w:color w:val="525252"/>
          <w:sz w:val="13"/>
        </w:rPr>
        <w:t>Under his leadership, the 1st Provisional Air Brigade sank the 27,000-ton former German battleship Ostfriesland.</w:t>
      </w:r>
    </w:p>
    <w:p>
      <w:pPr>
        <w:spacing w:after="20" w:line="223" w:lineRule="auto"/>
        <w:jc w:val="right"/>
        <w:bidi/>
      </w:pPr>
      <w:r>
        <w:rPr>
          <w:rFonts w:ascii="Arial" w:hAnsi="Arial"/>
          <w:sz w:val="16"/>
        </w:rPr>
        <w:t>017.06  مقامات دو کشتی جنگی جنگ جهانی اول را برای آزمایش بیشتر تحویل دادند، کشتی ایالات متحده (USS) نیوجرسی و USS ویرگینیا، تا ارزش نیروی هوایی ویلیام میچل را مشخص کنند.</w:t>
      </w:r>
    </w:p>
    <w:p>
      <w:pPr>
        <w:spacing w:after="28" w:line="216" w:lineRule="auto"/>
        <w:ind w:left="259"/>
        <w:jc w:val="left"/>
      </w:pPr>
      <w:r>
        <w:rPr>
          <w:rFonts w:ascii="Arial" w:hAnsi="Arial"/>
          <w:color w:val="525252"/>
          <w:sz w:val="13"/>
        </w:rPr>
        <w:t>Officials turned over two World War I battleships for further testing, the United States Ship (USS) New Jersey and the USS Virginia, to punctuate the values of William Mitchell airpower.</w:t>
      </w:r>
    </w:p>
    <w:p>
      <w:pPr>
        <w:spacing w:after="20" w:line="223" w:lineRule="auto"/>
        <w:jc w:val="right"/>
        <w:bidi/>
      </w:pPr>
      <w:r>
        <w:rPr>
          <w:rFonts w:ascii="Arial" w:hAnsi="Arial"/>
          <w:sz w:val="16"/>
        </w:rPr>
        <w:t>017.07  در سن ۳۲ سالگی، کاپیتان میچل جوانترین عضوی بود که به ستاد کل پیوست.</w:t>
      </w:r>
    </w:p>
    <w:p>
      <w:pPr>
        <w:spacing w:after="28" w:line="216" w:lineRule="auto"/>
        <w:ind w:left="259"/>
        <w:jc w:val="left"/>
      </w:pPr>
      <w:r>
        <w:rPr>
          <w:rFonts w:ascii="Arial" w:hAnsi="Arial"/>
          <w:color w:val="525252"/>
          <w:sz w:val="13"/>
        </w:rPr>
        <w:t>At the age of 32, Captain Mitchell was the youngest member to join the General Staff.</w:t>
      </w:r>
    </w:p>
    <w:p>
      <w:pPr>
        <w:spacing w:after="20" w:line="223" w:lineRule="auto"/>
        <w:jc w:val="right"/>
        <w:bidi/>
      </w:pPr>
      <w:r>
        <w:rPr>
          <w:rFonts w:ascii="Arial" w:hAnsi="Arial"/>
          <w:sz w:val="16"/>
        </w:rPr>
        <w:t>017.08  برای تلاش‌های خود، میچل صلیب خدمات ممتاز، مدال خدمات ممتاز، مدال پیروزی جنگ جهانی اول را با هشت گیره مبارزاتی و چندین نشان خارجی دریافت کرد.</w:t>
      </w:r>
    </w:p>
    <w:p>
      <w:pPr>
        <w:spacing w:after="28" w:line="216" w:lineRule="auto"/>
        <w:ind w:left="259"/>
        <w:jc w:val="left"/>
      </w:pPr>
      <w:r>
        <w:rPr>
          <w:rFonts w:ascii="Arial" w:hAnsi="Arial"/>
          <w:color w:val="525252"/>
          <w:sz w:val="13"/>
        </w:rPr>
        <w:t>For his efforts, Mitchell earned the Distinguished Service Cross, the Distinguished Service Medal, the World War I Victory Medal with eight campaign clasps, and several foreign decorations.</w:t>
      </w:r>
    </w:p>
    <w:p>
      <w:pPr>
        <w:spacing w:after="20" w:line="223" w:lineRule="auto"/>
        <w:jc w:val="right"/>
        <w:bidi/>
      </w:pPr>
      <w:r>
        <w:rPr>
          <w:rFonts w:ascii="Arial" w:hAnsi="Arial"/>
          <w:sz w:val="16"/>
        </w:rPr>
        <w:t>017.09  توجه: در سال ۱۹۲۴، میچل گزارشی ۳۲۴ صفحه‌ای تهیه کرد که جنگ آینده با ژاپن از جمله حمله به پرل هاربر را پیش بینی می‌کرد.</w:t>
      </w:r>
    </w:p>
    <w:p>
      <w:pPr>
        <w:spacing w:after="28" w:line="216" w:lineRule="auto"/>
        <w:ind w:left="259"/>
        <w:jc w:val="left"/>
      </w:pPr>
      <w:r>
        <w:rPr>
          <w:rFonts w:ascii="Arial" w:hAnsi="Arial"/>
          <w:color w:val="525252"/>
          <w:sz w:val="13"/>
        </w:rPr>
        <w:t>Note: In 1924, Mitchell developed a 324-page report that predicted a future war with Japan, including the attack on Pearl Harbor.</w:t>
      </w:r>
    </w:p>
    <w:p>
      <w:pPr>
        <w:spacing w:after="20" w:line="223" w:lineRule="auto"/>
        <w:jc w:val="right"/>
        <w:bidi/>
      </w:pPr>
      <w:r>
        <w:rPr>
          <w:rFonts w:ascii="Arial" w:hAnsi="Arial"/>
          <w:sz w:val="16"/>
        </w:rPr>
        <w:t>017.10  میچل معتقد بود که یک حمله غافلگیرکننده به جزایر هاوایی توسط هواپیماهای مستقر در جزایر اقیانوس آرام انجام خواهد شد.</w:t>
      </w:r>
    </w:p>
    <w:p>
      <w:pPr>
        <w:spacing w:after="28" w:line="216" w:lineRule="auto"/>
        <w:ind w:left="259"/>
        <w:jc w:val="left"/>
      </w:pPr>
      <w:r>
        <w:rPr>
          <w:rFonts w:ascii="Arial" w:hAnsi="Arial"/>
          <w:color w:val="525252"/>
          <w:sz w:val="13"/>
        </w:rPr>
        <w:t>Mitchell believed a surprise attack on the Hawaiian Islands would be conducted by land- based aircraft operating from islands in the Pacific.</w:t>
      </w:r>
    </w:p>
    <w:p>
      <w:pPr>
        <w:spacing w:after="20" w:line="223" w:lineRule="auto"/>
        <w:jc w:val="right"/>
        <w:bidi/>
      </w:pPr>
      <w:r>
        <w:rPr>
          <w:rFonts w:ascii="Arial" w:hAnsi="Arial"/>
          <w:sz w:val="16"/>
        </w:rPr>
        <w:t>017.11  گزارش او به‌عنوان کتاب دفاع بالدار در سال ۱۹۲۵ منتشر شد، حدود شانزده سال قبل از حمله ژاپن به پرل هاربر در سال ۱۹۴۱.</w:t>
      </w:r>
    </w:p>
    <w:p>
      <w:pPr>
        <w:spacing w:after="28" w:line="216" w:lineRule="auto"/>
        <w:ind w:left="259"/>
        <w:jc w:val="left"/>
      </w:pPr>
      <w:r>
        <w:rPr>
          <w:rFonts w:ascii="Arial" w:hAnsi="Arial"/>
          <w:color w:val="525252"/>
          <w:sz w:val="13"/>
        </w:rPr>
        <w:t>His report was published as the book Winged Defense in 1925, about sixteen years prior to the attack on Pearl Harbor by Japan in 1941.</w:t>
      </w:r>
    </w:p>
    <w:p>
      <w:pPr>
        <w:spacing w:after="20" w:line="223" w:lineRule="auto"/>
        <w:jc w:val="right"/>
        <w:bidi/>
      </w:pPr>
      <w:r>
        <w:rPr>
          <w:rFonts w:ascii="Arial" w:hAnsi="Arial"/>
          <w:sz w:val="16"/>
        </w:rPr>
        <w:t>017.12  نمایش نیروی هوایی، اولیس نرو.</w:t>
      </w:r>
    </w:p>
    <w:p>
      <w:pPr>
        <w:spacing w:after="28" w:line="216" w:lineRule="auto"/>
        <w:ind w:left="259"/>
        <w:jc w:val="left"/>
      </w:pPr>
      <w:r>
        <w:rPr>
          <w:rFonts w:ascii="Arial" w:hAnsi="Arial"/>
          <w:color w:val="525252"/>
          <w:sz w:val="13"/>
        </w:rPr>
        <w:t>Demonstration of Airpower, Ulysses Nero.</w:t>
      </w:r>
    </w:p>
    <w:p>
      <w:pPr>
        <w:spacing w:after="20" w:line="223" w:lineRule="auto"/>
        <w:jc w:val="right"/>
        <w:bidi/>
      </w:pPr>
      <w:r>
        <w:rPr>
          <w:rFonts w:ascii="Arial" w:hAnsi="Arial"/>
          <w:sz w:val="16"/>
        </w:rPr>
        <w:t>017.13  بمب افکن جوان، گروهبان اولیس "سام" نرو، برای نشان دادن توانایی‌های نیروی هوایی انتخاب شد.</w:t>
      </w:r>
    </w:p>
    <w:p>
      <w:pPr>
        <w:spacing w:after="28" w:line="216" w:lineRule="auto"/>
        <w:ind w:left="259"/>
        <w:jc w:val="left"/>
      </w:pPr>
      <w:r>
        <w:rPr>
          <w:rFonts w:ascii="Arial" w:hAnsi="Arial"/>
          <w:color w:val="525252"/>
          <w:sz w:val="13"/>
        </w:rPr>
        <w:t>A young bombardier, Sergeant Ulysses “Sam” Nero, was selected to demonstrate the capabilities of airpower.</w:t>
      </w:r>
    </w:p>
    <w:p>
      <w:pPr>
        <w:spacing w:after="20" w:line="223" w:lineRule="auto"/>
        <w:jc w:val="right"/>
        <w:bidi/>
      </w:pPr>
      <w:r>
        <w:rPr>
          <w:rFonts w:ascii="Arial" w:hAnsi="Arial"/>
          <w:sz w:val="16"/>
        </w:rPr>
        <w:t>017.14  برخلاف تاکتیک‌های تعیین‌شده، در طول نمایش، نرو و خلبان مارتین-کرتیس NBS-۱ با سرعت ۸۵ مایل در ساعت در ارتفاع ۶۹۰۰ فوتی، از حدود ۱۵ درجه از پرتو بندر، به ناو یو اس اس نیوجرسی نزدیک شدند.</w:t>
      </w:r>
    </w:p>
    <w:p>
      <w:pPr>
        <w:spacing w:after="28" w:line="216" w:lineRule="auto"/>
        <w:ind w:left="259"/>
        <w:jc w:val="left"/>
      </w:pPr>
      <w:r>
        <w:rPr>
          <w:rFonts w:ascii="Arial" w:hAnsi="Arial"/>
          <w:color w:val="525252"/>
          <w:sz w:val="13"/>
        </w:rPr>
        <w:t>Against established tactics, during the demonstration Nero and the Martin-Curtiss NBS-1 pilot approached the USS New Jersey at 85 miles per hour at an altitude of 6,900 feet, from about 15 degrees off the port beam.</w:t>
      </w:r>
    </w:p>
    <w:p>
      <w:pPr>
        <w:spacing w:after="20" w:line="223" w:lineRule="auto"/>
        <w:jc w:val="right"/>
        <w:bidi/>
      </w:pPr>
      <w:r>
        <w:rPr>
          <w:rFonts w:ascii="Arial" w:hAnsi="Arial"/>
          <w:sz w:val="16"/>
        </w:rPr>
        <w:t>017.15  آنها دو ضربه زدند و یو اس اس نیوجرسی در کمتر از سه دقیقه سقوط کرد.</w:t>
      </w:r>
    </w:p>
    <w:p>
      <w:pPr>
        <w:spacing w:after="28" w:line="216" w:lineRule="auto"/>
        <w:ind w:left="259"/>
        <w:jc w:val="left"/>
      </w:pPr>
      <w:r>
        <w:rPr>
          <w:rFonts w:ascii="Arial" w:hAnsi="Arial"/>
          <w:color w:val="525252"/>
          <w:sz w:val="13"/>
        </w:rPr>
        <w:t>They scored two hits, and the USS New Jersey went down in just over three minutes.</w:t>
      </w:r>
    </w:p>
    <w:p>
      <w:pPr>
        <w:spacing w:after="20" w:line="223" w:lineRule="auto"/>
        <w:jc w:val="right"/>
        <w:bidi/>
      </w:pPr>
      <w:r>
        <w:rPr>
          <w:rFonts w:ascii="Arial" w:hAnsi="Arial"/>
          <w:sz w:val="16"/>
        </w:rPr>
        <w:t>017.16  با داشتن یک بمب، هواپیمای نرو به سمت ناو یو اس اس ویرجینیا حرکت کرد تا کودتا را بر روی کشتی آسیب دیده انجام دهد - شلیک مستقیما روی عرشه ویرجینیا فرود آمد و آن را برای همیشه از کار انداخت.</w:t>
      </w:r>
    </w:p>
    <w:p>
      <w:pPr>
        <w:spacing w:after="28" w:line="216" w:lineRule="auto"/>
        <w:ind w:left="259"/>
        <w:jc w:val="left"/>
      </w:pPr>
      <w:r>
        <w:rPr>
          <w:rFonts w:ascii="Arial" w:hAnsi="Arial"/>
          <w:color w:val="525252"/>
          <w:sz w:val="13"/>
        </w:rPr>
        <w:t>Having one bomb left, Nero’s aircraft proceeded to the floundering USS Virginia to administer the coup de grace on the stricken craft—the shot landed directly on the Virginia’s deck, putting it out of commission permanently.</w:t>
      </w:r>
    </w:p>
    <w:p>
      <w:pPr>
        <w:spacing w:after="20" w:line="223" w:lineRule="auto"/>
        <w:jc w:val="right"/>
        <w:bidi/>
      </w:pPr>
      <w:r>
        <w:rPr>
          <w:rFonts w:ascii="Arial" w:hAnsi="Arial"/>
          <w:sz w:val="16"/>
        </w:rPr>
        <w:t>017.17  ژنرال ولیسسس نرو میتچلل نرو و خلبانش را به دلیل سرپیچی از دستورالعمل‌ها از رقابت‌های بعدی محروم کرد، اما وقتی بقیه خدمه نتوانستند به USS ویرگینیا ضربه بزنند، مگر اینکه تا ارتفاع ۱۵۰۰ فوتی سقوط کنند، تجدید نظر کرد.</w:t>
      </w:r>
    </w:p>
    <w:p>
      <w:pPr>
        <w:spacing w:after="28" w:line="216" w:lineRule="auto"/>
        <w:ind w:left="259"/>
        <w:jc w:val="left"/>
      </w:pPr>
      <w:r>
        <w:rPr>
          <w:rFonts w:ascii="Arial" w:hAnsi="Arial"/>
          <w:color w:val="525252"/>
          <w:sz w:val="13"/>
        </w:rPr>
        <w:t>General Ulysses Nero Mitchell disqualified Nero and his pilot from further competition for disobeying instructions, but he reconsidered when the rest of the crews failed to hit the USS Virginia unless they dropped down to 1,500 feet.</w:t>
      </w:r>
    </w:p>
    <w:p>
      <w:pPr>
        <w:spacing w:after="20" w:line="223" w:lineRule="auto"/>
        <w:jc w:val="right"/>
        <w:bidi/>
      </w:pPr>
      <w:r>
        <w:rPr>
          <w:rFonts w:ascii="Arial" w:hAnsi="Arial"/>
          <w:sz w:val="16"/>
        </w:rPr>
        <w:t>017.18  نرو در چرخه بعدی ارتقا یافت.</w:t>
      </w:r>
    </w:p>
    <w:p>
      <w:pPr>
        <w:spacing w:after="28" w:line="216" w:lineRule="auto"/>
        <w:ind w:left="259"/>
        <w:jc w:val="left"/>
      </w:pPr>
      <w:r>
        <w:rPr>
          <w:rFonts w:ascii="Arial" w:hAnsi="Arial"/>
          <w:color w:val="525252"/>
          <w:sz w:val="13"/>
        </w:rPr>
        <w:t>Nero was promoted during the next cycle.</w:t>
      </w:r>
    </w:p>
    <w:p>
      <w:pPr>
        <w:spacing w:after="20" w:line="223" w:lineRule="auto"/>
        <w:jc w:val="right"/>
        <w:bidi/>
      </w:pPr>
      <w:r>
        <w:rPr>
          <w:rFonts w:ascii="Arial" w:hAnsi="Arial"/>
          <w:sz w:val="16"/>
        </w:rPr>
        <w:t>017.19  توجه: NBS در مارتین-کورتیس NBS-۱ مخفف برد کوتاه بمب افکن شب است.</w:t>
      </w:r>
    </w:p>
    <w:p>
      <w:pPr>
        <w:spacing w:after="28" w:line="216" w:lineRule="auto"/>
        <w:ind w:left="259"/>
        <w:jc w:val="left"/>
      </w:pPr>
      <w:r>
        <w:rPr>
          <w:rFonts w:ascii="Arial" w:hAnsi="Arial"/>
          <w:color w:val="525252"/>
          <w:sz w:val="13"/>
        </w:rPr>
        <w:t>Note: The NBS in Martin-Curtis NBS-1 is an abbreviation for night bomber-short range.</w:t>
      </w:r>
    </w:p>
    <w:p>
      <w:pPr>
        <w:spacing w:after="20" w:line="223" w:lineRule="auto"/>
        <w:jc w:val="right"/>
        <w:bidi/>
      </w:pPr>
      <w:r>
        <w:rPr>
          <w:rFonts w:ascii="Arial" w:hAnsi="Arial"/>
          <w:sz w:val="16"/>
        </w:rPr>
        <w:t>017.20  پایان دوره خلبانی سربازی و جورج اچ هلمز.</w:t>
      </w:r>
    </w:p>
    <w:p>
      <w:pPr>
        <w:spacing w:after="28" w:line="216" w:lineRule="auto"/>
        <w:ind w:left="259"/>
        <w:jc w:val="left"/>
      </w:pPr>
      <w:r>
        <w:rPr>
          <w:rFonts w:ascii="Arial" w:hAnsi="Arial"/>
          <w:color w:val="525252"/>
          <w:sz w:val="13"/>
        </w:rPr>
        <w:t>End of the Enlisted Pilot Era and George H. Holmes.</w:t>
      </w:r>
    </w:p>
    <w:p>
      <w:pPr>
        <w:spacing w:after="20" w:line="223" w:lineRule="auto"/>
        <w:jc w:val="right"/>
        <w:bidi/>
      </w:pPr>
      <w:r>
        <w:rPr>
          <w:rFonts w:ascii="Arial" w:hAnsi="Arial"/>
          <w:sz w:val="16"/>
        </w:rPr>
        <w:t>017.21  جورج اچ. هولمز در طول جنگ جهانی اول در نیروی دریایی خدمت کرد. پس از جنگ، در سال ۱۹۱۹ به‌عنوان مکانیک در ارتش ثبت‌نام کرد.</w:t>
      </w:r>
    </w:p>
    <w:p>
      <w:pPr>
        <w:spacing w:after="28" w:line="216" w:lineRule="auto"/>
        <w:ind w:left="259"/>
        <w:jc w:val="left"/>
      </w:pPr>
      <w:r>
        <w:rPr>
          <w:rFonts w:ascii="Arial" w:hAnsi="Arial"/>
          <w:color w:val="525252"/>
          <w:sz w:val="13"/>
        </w:rPr>
        <w:t>George H. Holmes served in the Navy during World War I. After the war, he enlisted in the Army in 1919 as a mechanic.</w:t>
      </w:r>
    </w:p>
    <w:p>
      <w:pPr>
        <w:spacing w:after="20" w:line="223" w:lineRule="auto"/>
        <w:jc w:val="right"/>
        <w:bidi/>
      </w:pPr>
      <w:r>
        <w:rPr>
          <w:rFonts w:ascii="Arial" w:hAnsi="Arial"/>
          <w:sz w:val="16"/>
        </w:rPr>
        <w:t>017.22  در سال ۱۹۲۱ هلمز خلبان شد و با کرتیس JN-۴د جننی و هواپیماهای دیگر پرواز کرد.</w:t>
      </w:r>
    </w:p>
    <w:p>
      <w:pPr>
        <w:spacing w:after="28" w:line="216" w:lineRule="auto"/>
        <w:ind w:left="259"/>
        <w:jc w:val="left"/>
      </w:pPr>
      <w:r>
        <w:rPr>
          <w:rFonts w:ascii="Arial" w:hAnsi="Arial"/>
          <w:color w:val="525252"/>
          <w:sz w:val="13"/>
        </w:rPr>
        <w:t>In 1921 Holmes became a pilot flying the Curtiss JN- 4D Jenny and other aircraft.</w:t>
      </w:r>
    </w:p>
    <w:p>
      <w:pPr>
        <w:spacing w:after="20" w:line="223" w:lineRule="auto"/>
        <w:jc w:val="right"/>
        <w:bidi/>
      </w:pPr>
      <w:r>
        <w:rPr>
          <w:rFonts w:ascii="Arial" w:hAnsi="Arial"/>
          <w:sz w:val="16"/>
        </w:rPr>
        <w:t>017.23  هنگامی که جنگ جهانی دوم به پایان رسید، سرهنگ دوم هلمز تصمیم گرفت به درجه سربازی خود بازگردد.</w:t>
      </w:r>
    </w:p>
    <w:p>
      <w:pPr>
        <w:spacing w:after="28" w:line="216" w:lineRule="auto"/>
        <w:ind w:left="259"/>
        <w:jc w:val="left"/>
      </w:pPr>
      <w:r>
        <w:rPr>
          <w:rFonts w:ascii="Arial" w:hAnsi="Arial"/>
          <w:color w:val="525252"/>
          <w:sz w:val="13"/>
        </w:rPr>
        <w:t>When World War II ended, Lieutenant Colonel Holmes chose to revert back to his enlisted rank.</w:t>
      </w:r>
    </w:p>
    <w:p>
      <w:pPr>
        <w:spacing w:after="20" w:line="223" w:lineRule="auto"/>
        <w:jc w:val="right"/>
        <w:bidi/>
      </w:pPr>
      <w:r>
        <w:rPr>
          <w:rFonts w:ascii="Arial" w:hAnsi="Arial"/>
          <w:sz w:val="16"/>
        </w:rPr>
        <w:t>017.24  با پایان دادن به دوران سربازی خلبانان، استاد گروهبان جورج اچ. هولمز آخرین نفر از حدود ۲۵۰۰ مردی بود که از آموزش خلبانی سربازی فارغ‌التحصیل شدند.</w:t>
      </w:r>
    </w:p>
    <w:p>
      <w:pPr>
        <w:spacing w:after="28" w:line="216" w:lineRule="auto"/>
        <w:ind w:left="259"/>
        <w:jc w:val="left"/>
      </w:pPr>
      <w:r>
        <w:rPr>
          <w:rFonts w:ascii="Arial" w:hAnsi="Arial"/>
          <w:color w:val="525252"/>
          <w:sz w:val="13"/>
        </w:rPr>
        <w:t>Ending the era of enlisted pilots, Master Sergeant George H. Holmes was the last of about 2,500 men who graduated from enlisted pilot training.</w:t>
      </w:r>
    </w:p>
    <w:p>
      <w:pPr>
        <w:spacing w:after="20" w:line="223" w:lineRule="auto"/>
        <w:jc w:val="right"/>
        <w:bidi/>
      </w:pPr>
      <w:r>
        <w:rPr>
          <w:rFonts w:ascii="Arial" w:hAnsi="Arial"/>
          <w:sz w:val="16"/>
        </w:rPr>
        <w:t>017.25  وقتی در سال ۱۹۵۷ از نیروی هوایی جورج اچ. هولمز بازنشسته شد، آخرین خلبانی بود که به خدمت گرفته شد.</w:t>
      </w:r>
    </w:p>
    <w:p>
      <w:pPr>
        <w:spacing w:after="28" w:line="216" w:lineRule="auto"/>
        <w:ind w:left="259"/>
        <w:jc w:val="left"/>
      </w:pPr>
      <w:r>
        <w:rPr>
          <w:rFonts w:ascii="Arial" w:hAnsi="Arial"/>
          <w:color w:val="525252"/>
          <w:sz w:val="13"/>
        </w:rPr>
        <w:t>When he retired from the Air George H. Holmes Force in 1957, he was the last of the enlisted pilots.</w:t>
      </w:r>
    </w:p>
    <w:p>
      <w:pPr>
        <w:spacing w:after="20" w:line="223" w:lineRule="auto"/>
        <w:jc w:val="right"/>
        <w:bidi/>
      </w:pPr>
      <w:r>
        <w:rPr>
          <w:rFonts w:ascii="Arial" w:hAnsi="Arial"/>
          <w:sz w:val="16"/>
        </w:rPr>
        <w:t>017.26  آتش بس جنگ جهانی اول.</w:t>
      </w:r>
    </w:p>
    <w:p>
      <w:pPr>
        <w:spacing w:after="28" w:line="216" w:lineRule="auto"/>
        <w:ind w:left="259"/>
        <w:jc w:val="left"/>
      </w:pPr>
      <w:r>
        <w:rPr>
          <w:rFonts w:ascii="Arial" w:hAnsi="Arial"/>
          <w:color w:val="525252"/>
          <w:sz w:val="13"/>
        </w:rPr>
        <w:t>World War I Armistice.</w:t>
      </w:r>
    </w:p>
    <w:p>
      <w:pPr>
        <w:spacing w:after="20" w:line="223" w:lineRule="auto"/>
        <w:jc w:val="right"/>
        <w:bidi/>
      </w:pPr>
      <w:r>
        <w:rPr>
          <w:rFonts w:ascii="Arial" w:hAnsi="Arial"/>
          <w:sz w:val="16"/>
        </w:rPr>
        <w:t>017.27  نیروی هوایی به وضوح نقش مهمی در پیروزی متفقین در جنگ جهانی اول ایفا کرد. در زمان آتش بس در ۱۱ نوامبر ۱۹۱۸، مشاهده، شناسایی و شناسایی توپخانه همچنان مأموریت‌های مهمی باقی ماندند، اما پشتیبانی نزدیک هوایی، منع و بمباران استراتژیک نشان دهنده پیشرفت نیروی هوایی بود.</w:t>
      </w:r>
    </w:p>
    <w:p>
      <w:pPr>
        <w:spacing w:after="28" w:line="216" w:lineRule="auto"/>
        <w:ind w:left="259"/>
        <w:jc w:val="left"/>
      </w:pPr>
      <w:r>
        <w:rPr>
          <w:rFonts w:ascii="Arial" w:hAnsi="Arial"/>
          <w:color w:val="525252"/>
          <w:sz w:val="13"/>
        </w:rPr>
        <w:t>Airpower clearly played an important role in the Allied victory of World War I. As of the Armistice on 11 November 1918, observation, reconnaissance, and artillery spotting remained significant missions, but close air support, interdiction, and strategic bombardment showed promise in the progress of airpower.</w:t>
      </w:r>
    </w:p>
    <w:p>
      <w:pPr>
        <w:spacing w:after="20" w:line="223" w:lineRule="auto"/>
        <w:jc w:val="right"/>
        <w:bidi/>
      </w:pPr>
      <w:r>
        <w:rPr>
          <w:rFonts w:ascii="Arial" w:hAnsi="Arial"/>
          <w:sz w:val="16"/>
        </w:rPr>
        <w:t>017.28  روز آتش‌بس را می‌توان به امضای قراردادی برای پایان دادن به جنگ در ساعت یازدهم، در روز یازدهم ماه یازدهم، معروف کرد.</w:t>
      </w:r>
    </w:p>
    <w:p>
      <w:pPr>
        <w:spacing w:after="28" w:line="216" w:lineRule="auto"/>
        <w:ind w:left="259"/>
        <w:jc w:val="left"/>
      </w:pPr>
      <w:r>
        <w:rPr>
          <w:rFonts w:ascii="Arial" w:hAnsi="Arial"/>
          <w:color w:val="525252"/>
          <w:sz w:val="13"/>
        </w:rPr>
        <w:t>Armistice Day may best be known as the signing of an agreement to end the war in the eleventh hour, on the eleventh day, of the eleventh month.</w:t>
      </w:r>
    </w:p>
    <w:p>
      <w:pPr>
        <w:spacing w:after="20" w:line="223" w:lineRule="auto"/>
        <w:jc w:val="right"/>
        <w:bidi/>
      </w:pPr>
      <w:r>
        <w:rPr>
          <w:rFonts w:ascii="Arial" w:hAnsi="Arial"/>
          <w:sz w:val="16"/>
        </w:rPr>
        <w:t>017.29  برخی از یادبودهای جنگ پایان جنگ را به‌عنوان زمانی که معاهده ورسای در سال ۱۹۱۹ امضا شد و بسیاری از سربازانی که در خارج از کشور خدمت می‌کردند در نهایت به کشورهای خود بازگشتند، تاریخ گذاری می‌کنند.</w:t>
      </w:r>
    </w:p>
    <w:p>
      <w:pPr>
        <w:spacing w:after="28" w:line="216" w:lineRule="auto"/>
        <w:ind w:left="259"/>
        <w:jc w:val="left"/>
      </w:pPr>
      <w:r>
        <w:rPr>
          <w:rFonts w:ascii="Arial" w:hAnsi="Arial"/>
          <w:color w:val="525252"/>
          <w:sz w:val="13"/>
        </w:rPr>
        <w:t>Some war memorials date the end of the war as being when the Versailles Treaty was signed in 1919 and many of the troops serving abroad finally returned to their home countries.</w:t>
      </w:r>
    </w:p>
    <w:p>
      <w:pPr>
        <w:spacing w:after="20" w:line="223" w:lineRule="auto"/>
        <w:jc w:val="right"/>
        <w:bidi/>
      </w:pPr>
      <w:r>
        <w:rPr>
          <w:rFonts w:ascii="Arial" w:hAnsi="Arial"/>
          <w:sz w:val="16"/>
        </w:rPr>
        <w:t>017.30  در</w:t>
      </w:r>
    </w:p>
    <w:p>
      <w:pPr>
        <w:spacing w:after="28" w:line="216" w:lineRule="auto"/>
        <w:ind w:left="259"/>
        <w:jc w:val="left"/>
      </w:pPr>
      <w:r>
        <w:rPr>
          <w:rFonts w:ascii="Arial" w:hAnsi="Arial"/>
          <w:color w:val="525252"/>
          <w:sz w:val="13"/>
        </w:rPr>
        <w:t>In</w:t>
      </w:r>
    </w:p>
    <w:p>
      <w:r>
        <w:br w:type="page"/>
      </w:r>
    </w:p>
    <w:p>
      <w:pPr>
        <w:spacing w:after="60"/>
        <w:jc w:val="right"/>
        <w:bidi/>
      </w:pPr>
      <w:r>
        <w:rPr>
          <w:rFonts w:ascii="Arial" w:hAnsi="Arial"/>
          <w:b/>
          <w:color w:val="1F4D78"/>
          <w:sz w:val="19"/>
        </w:rPr>
        <w:t>هفتهٔ 18  |  صفحهٔ منبع: 34</w:t>
      </w:r>
    </w:p>
    <w:p>
      <w:pPr>
        <w:spacing w:after="20" w:line="223" w:lineRule="auto"/>
        <w:jc w:val="right"/>
        <w:bidi/>
      </w:pPr>
      <w:r>
        <w:rPr>
          <w:rFonts w:ascii="Arial" w:hAnsi="Arial"/>
          <w:sz w:val="16"/>
        </w:rPr>
        <w:t>018.01  ایالات متحده، آتش بس در روز کهنه‌سربازان به افتخار کهنه‌سربازان ارتش به رسمیت شناخته می‌شود.</w:t>
      </w:r>
    </w:p>
    <w:p>
      <w:pPr>
        <w:spacing w:after="28" w:line="216" w:lineRule="auto"/>
        <w:ind w:left="259"/>
        <w:jc w:val="left"/>
      </w:pPr>
      <w:r>
        <w:rPr>
          <w:rFonts w:ascii="Arial" w:hAnsi="Arial"/>
          <w:color w:val="525252"/>
          <w:sz w:val="13"/>
        </w:rPr>
        <w:t>the United States, Armistice is publicly recognized on Veterans Day in honor of military veterans.</w:t>
      </w:r>
    </w:p>
    <w:p>
      <w:pPr>
        <w:spacing w:after="20" w:line="223" w:lineRule="auto"/>
        <w:jc w:val="right"/>
        <w:bidi/>
      </w:pPr>
      <w:r>
        <w:rPr>
          <w:rFonts w:ascii="Arial" w:hAnsi="Arial"/>
          <w:sz w:val="16"/>
        </w:rPr>
        <w:t>018.02  ۲.۱۰. سپاه هوایی ارتش ایالات متحده (۲ ژوئیه ۱۹۲۶ - ۲۰ ژوئن ۱۹۴۱)</w:t>
      </w:r>
    </w:p>
    <w:p>
      <w:pPr>
        <w:spacing w:after="28" w:line="216" w:lineRule="auto"/>
        <w:ind w:left="259"/>
        <w:jc w:val="left"/>
      </w:pPr>
      <w:r>
        <w:rPr>
          <w:rFonts w:ascii="Arial" w:hAnsi="Arial"/>
          <w:color w:val="525252"/>
          <w:sz w:val="13"/>
        </w:rPr>
        <w:t>2.10. U.S. Army Air Corps (2 July 1926 - 20 June 1941)</w:t>
      </w:r>
    </w:p>
    <w:p>
      <w:pPr>
        <w:spacing w:after="20" w:line="223" w:lineRule="auto"/>
        <w:jc w:val="right"/>
        <w:bidi/>
      </w:pPr>
      <w:r>
        <w:rPr>
          <w:rFonts w:ascii="Arial" w:hAnsi="Arial"/>
          <w:sz w:val="16"/>
        </w:rPr>
        <w:t>018.03  سپاه هوایی ارتش ایالات متحده به‌عنوان گامی در جهت به رسمیت شناختن استقلال هوانوردی و نقش آن در جنگ مدرن تأسیس شد.</w:t>
      </w:r>
    </w:p>
    <w:p>
      <w:pPr>
        <w:spacing w:after="28" w:line="216" w:lineRule="auto"/>
        <w:ind w:left="259"/>
        <w:jc w:val="left"/>
      </w:pPr>
      <w:r>
        <w:rPr>
          <w:rFonts w:ascii="Arial" w:hAnsi="Arial"/>
          <w:color w:val="525252"/>
          <w:sz w:val="13"/>
        </w:rPr>
        <w:t>The U.S. Army Air Corps was established as a step toward recognizing the autonomy of aviation and its role in modern warfare.</w:t>
      </w:r>
    </w:p>
    <w:p>
      <w:pPr>
        <w:spacing w:after="20" w:line="223" w:lineRule="auto"/>
        <w:jc w:val="right"/>
        <w:bidi/>
      </w:pPr>
      <w:r>
        <w:rPr>
          <w:rFonts w:ascii="Arial" w:hAnsi="Arial"/>
          <w:sz w:val="16"/>
        </w:rPr>
        <w:t>018.04  در این مدت، هوانوردی هنوز بخشی از ساختار فرماندهی ارتش ایالات متحده بود.</w:t>
      </w:r>
    </w:p>
    <w:p>
      <w:pPr>
        <w:spacing w:after="28" w:line="216" w:lineRule="auto"/>
        <w:ind w:left="259"/>
        <w:jc w:val="left"/>
      </w:pPr>
      <w:r>
        <w:rPr>
          <w:rFonts w:ascii="Arial" w:hAnsi="Arial"/>
          <w:color w:val="525252"/>
          <w:sz w:val="13"/>
        </w:rPr>
        <w:t>During this time, aviation was still a part of the U.S. Army command structure.</w:t>
      </w:r>
    </w:p>
    <w:p>
      <w:pPr>
        <w:spacing w:after="20" w:line="223" w:lineRule="auto"/>
        <w:jc w:val="right"/>
        <w:bidi/>
      </w:pPr>
      <w:r>
        <w:rPr>
          <w:rFonts w:ascii="Arial" w:hAnsi="Arial"/>
          <w:sz w:val="16"/>
        </w:rPr>
        <w:t>018.05  در همین حال، دانشکده تاکتیکی نیروی هوایی و دانشکده فنی سپاه هوایی زیر نظر سپاه هوایی ارتش ایالات متحده تکامل یافت.</w:t>
      </w:r>
    </w:p>
    <w:p>
      <w:pPr>
        <w:spacing w:after="28" w:line="216" w:lineRule="auto"/>
        <w:ind w:left="259"/>
        <w:jc w:val="left"/>
      </w:pPr>
      <w:r>
        <w:rPr>
          <w:rFonts w:ascii="Arial" w:hAnsi="Arial"/>
          <w:color w:val="525252"/>
          <w:sz w:val="13"/>
        </w:rPr>
        <w:t>Meanwhile, the Air Corps Tactical School and Air Corps Technical School evolved under the U.S. Army Air Corps.</w:t>
      </w:r>
    </w:p>
    <w:p>
      <w:pPr>
        <w:spacing w:after="20" w:line="223" w:lineRule="auto"/>
        <w:jc w:val="right"/>
        <w:bidi/>
      </w:pPr>
      <w:r>
        <w:rPr>
          <w:rFonts w:ascii="Arial" w:hAnsi="Arial"/>
          <w:sz w:val="16"/>
        </w:rPr>
        <w:t>018.06  آموزشگاه تاکتیکی نیروی هوایی.</w:t>
      </w:r>
    </w:p>
    <w:p>
      <w:pPr>
        <w:spacing w:after="28" w:line="216" w:lineRule="auto"/>
        <w:ind w:left="259"/>
        <w:jc w:val="left"/>
      </w:pPr>
      <w:r>
        <w:rPr>
          <w:rFonts w:ascii="Arial" w:hAnsi="Arial"/>
          <w:color w:val="525252"/>
          <w:sz w:val="13"/>
        </w:rPr>
        <w:t>Air Corps Tactical School.</w:t>
      </w:r>
    </w:p>
    <w:p>
      <w:pPr>
        <w:spacing w:after="20" w:line="223" w:lineRule="auto"/>
        <w:jc w:val="right"/>
        <w:bidi/>
      </w:pPr>
      <w:r>
        <w:rPr>
          <w:rFonts w:ascii="Arial" w:hAnsi="Arial"/>
          <w:sz w:val="16"/>
        </w:rPr>
        <w:t>018.07  از طریق یک سری تغییرات کوتاه، در سال ۱۹۲۶ مدرسه تاکتیکی خدمات هوایی که برای توسعه حرفه‌ای افسران نظامی طراحی شده بود، به مدرسه تاکتیکی نیروی هوایی تغییر نام داد.</w:t>
      </w:r>
    </w:p>
    <w:p>
      <w:pPr>
        <w:spacing w:after="28" w:line="216" w:lineRule="auto"/>
        <w:ind w:left="259"/>
        <w:jc w:val="left"/>
      </w:pPr>
      <w:r>
        <w:rPr>
          <w:rFonts w:ascii="Arial" w:hAnsi="Arial"/>
          <w:color w:val="525252"/>
          <w:sz w:val="13"/>
        </w:rPr>
        <w:t>Through a brief series of changes, in 1926 the Air Service Tactical School, designed for military officer professional development, was renamed the Air Corps Tactical School.</w:t>
      </w:r>
    </w:p>
    <w:p>
      <w:pPr>
        <w:spacing w:after="20" w:line="223" w:lineRule="auto"/>
        <w:jc w:val="right"/>
        <w:bidi/>
      </w:pPr>
      <w:r>
        <w:rPr>
          <w:rFonts w:ascii="Arial" w:hAnsi="Arial"/>
          <w:sz w:val="16"/>
        </w:rPr>
        <w:t>018.08  سرانجام مدرسه تاکتیکی نیروی هوایی به ماکسول فیلد، آلاباما منتقل شد، جایی که بعدا به‌عنوان مدرسه تاکتیک‌های کاربردی نیروی هوایی ارتش جایگزین شد.</w:t>
      </w:r>
    </w:p>
    <w:p>
      <w:pPr>
        <w:spacing w:after="28" w:line="216" w:lineRule="auto"/>
        <w:ind w:left="259"/>
        <w:jc w:val="left"/>
      </w:pPr>
      <w:r>
        <w:rPr>
          <w:rFonts w:ascii="Arial" w:hAnsi="Arial"/>
          <w:color w:val="525252"/>
          <w:sz w:val="13"/>
        </w:rPr>
        <w:t>Eventually the Air Corps Tactical School was relocated to Maxwell Field, Alabama, where it was later replaced as the Army Air Force School of Applied Tactics.</w:t>
      </w:r>
    </w:p>
    <w:p>
      <w:pPr>
        <w:spacing w:after="20" w:line="223" w:lineRule="auto"/>
        <w:jc w:val="right"/>
        <w:bidi/>
      </w:pPr>
      <w:r>
        <w:rPr>
          <w:rFonts w:ascii="Arial" w:hAnsi="Arial"/>
          <w:sz w:val="16"/>
        </w:rPr>
        <w:t>018.09  این مدرسه اکنون به‌عنوان دانشگاه هوایی شناخته می‌شود و در پایگاه نیروی هوایی ماکسول، آلاباما باقی می‌ماند.</w:t>
      </w:r>
    </w:p>
    <w:p>
      <w:pPr>
        <w:spacing w:after="28" w:line="216" w:lineRule="auto"/>
        <w:ind w:left="259"/>
        <w:jc w:val="left"/>
      </w:pPr>
      <w:r>
        <w:rPr>
          <w:rFonts w:ascii="Arial" w:hAnsi="Arial"/>
          <w:color w:val="525252"/>
          <w:sz w:val="13"/>
        </w:rPr>
        <w:t>The school is now recognized as the Air University, and remains on Maxwell Air Force Base, Alabama.</w:t>
      </w:r>
    </w:p>
    <w:p>
      <w:pPr>
        <w:spacing w:after="20" w:line="223" w:lineRule="auto"/>
        <w:jc w:val="right"/>
        <w:bidi/>
      </w:pPr>
      <w:r>
        <w:rPr>
          <w:rFonts w:ascii="Arial" w:hAnsi="Arial"/>
          <w:sz w:val="16"/>
        </w:rPr>
        <w:t>018.10  دانشکده فنی سپاه.</w:t>
      </w:r>
    </w:p>
    <w:p>
      <w:pPr>
        <w:spacing w:after="28" w:line="216" w:lineRule="auto"/>
        <w:ind w:left="259"/>
        <w:jc w:val="left"/>
      </w:pPr>
      <w:r>
        <w:rPr>
          <w:rFonts w:ascii="Arial" w:hAnsi="Arial"/>
          <w:color w:val="525252"/>
          <w:sz w:val="13"/>
        </w:rPr>
        <w:t>Air Corps Technical School.</w:t>
      </w:r>
    </w:p>
    <w:p>
      <w:pPr>
        <w:spacing w:after="20" w:line="223" w:lineRule="auto"/>
        <w:jc w:val="right"/>
        <w:bidi/>
      </w:pPr>
      <w:r>
        <w:rPr>
          <w:rFonts w:ascii="Arial" w:hAnsi="Arial"/>
          <w:sz w:val="16"/>
        </w:rPr>
        <w:t>018.11  در سال ۱۹۲۶، دانشکده فنی نیروی هوایی در چانوت فیلد، ایلینوی تأسیس شد.</w:t>
      </w:r>
    </w:p>
    <w:p>
      <w:pPr>
        <w:spacing w:after="28" w:line="216" w:lineRule="auto"/>
        <w:ind w:left="259"/>
        <w:jc w:val="left"/>
      </w:pPr>
      <w:r>
        <w:rPr>
          <w:rFonts w:ascii="Arial" w:hAnsi="Arial"/>
          <w:color w:val="525252"/>
          <w:sz w:val="13"/>
        </w:rPr>
        <w:t>In 1926, the Air Corps Technical School was established at Chanute Field, Illinois.</w:t>
      </w:r>
    </w:p>
    <w:p>
      <w:pPr>
        <w:spacing w:after="20" w:line="223" w:lineRule="auto"/>
        <w:jc w:val="right"/>
        <w:bidi/>
      </w:pPr>
      <w:r>
        <w:rPr>
          <w:rFonts w:ascii="Arial" w:hAnsi="Arial"/>
          <w:sz w:val="16"/>
        </w:rPr>
        <w:t>018.12  در حالی که سایر شاخه‌های ارتش به سیستم کارآموزی تعیین تکلیف و آموزش بازگشتند، سپاه هوایی ارتش به استفاده و توسعه ترکیبی از آزمون آلفای ارتش (ارزیابی خواندن و نوشتن)، آزمون‌های استعداد و مشاوره ادامه داد.</w:t>
      </w:r>
    </w:p>
    <w:p>
      <w:pPr>
        <w:spacing w:after="28" w:line="216" w:lineRule="auto"/>
        <w:ind w:left="259"/>
        <w:jc w:val="left"/>
      </w:pPr>
      <w:r>
        <w:rPr>
          <w:rFonts w:ascii="Arial" w:hAnsi="Arial"/>
          <w:color w:val="525252"/>
          <w:sz w:val="13"/>
        </w:rPr>
        <w:t>While other branches of the Army returned to the apprentice system of assignment and training, the Army Air Corps continued to use and develop a combination of the Army Alpha Test (reading and writing assessment), aptitude tests, and counseling.</w:t>
      </w:r>
    </w:p>
    <w:p>
      <w:pPr>
        <w:spacing w:after="20" w:line="223" w:lineRule="auto"/>
        <w:jc w:val="right"/>
        <w:bidi/>
      </w:pPr>
      <w:r>
        <w:rPr>
          <w:rFonts w:ascii="Arial" w:hAnsi="Arial"/>
          <w:sz w:val="16"/>
        </w:rPr>
        <w:t>018.13  در دانشکده فنی، دانش‌آموزان در طیف وسیعی از کارهای آزمایشی، از جمله پرواز در ارتفاع، پرواز کور، عکس‌برداری هوایی، تحقیقات پرتوهای کیهانی و توسعه چتر نجات شرکت کردند.</w:t>
      </w:r>
    </w:p>
    <w:p>
      <w:pPr>
        <w:spacing w:after="28" w:line="216" w:lineRule="auto"/>
        <w:ind w:left="259"/>
        <w:jc w:val="left"/>
      </w:pPr>
      <w:r>
        <w:rPr>
          <w:rFonts w:ascii="Arial" w:hAnsi="Arial"/>
          <w:color w:val="525252"/>
          <w:sz w:val="13"/>
        </w:rPr>
        <w:t>At the technical school, students participated in a range of experimental work, including altitude flights, blind flying, aerial photography, cosmic ray research, and the development of the parachute.</w:t>
      </w:r>
    </w:p>
    <w:p>
      <w:pPr>
        <w:spacing w:after="20" w:line="223" w:lineRule="auto"/>
        <w:jc w:val="right"/>
        <w:bidi/>
      </w:pPr>
      <w:r>
        <w:rPr>
          <w:rFonts w:ascii="Arial" w:hAnsi="Arial"/>
          <w:sz w:val="16"/>
        </w:rPr>
        <w:t>018.14  مردانی که می‌خواستند برای آموزش فنی درخواست دهند، باید واجد شرایط فارغ‌التحصیل دبیرستان یا معادل آن می‌شدند و علاوه بر آزمون آلفای ارتش، یک آزمون مهارت ریاضیات را نیز قبول می‌کردند.</w:t>
      </w:r>
    </w:p>
    <w:p>
      <w:pPr>
        <w:spacing w:after="28" w:line="216" w:lineRule="auto"/>
        <w:ind w:left="259"/>
        <w:jc w:val="left"/>
      </w:pPr>
      <w:r>
        <w:rPr>
          <w:rFonts w:ascii="Arial" w:hAnsi="Arial"/>
          <w:color w:val="525252"/>
          <w:sz w:val="13"/>
        </w:rPr>
        <w:t>Enlisted men who wanted to apply for technical training had to qualify as high school graduates, or the equivalent, and pass a mathematics proficiency test in addition to the Army Alpha Test.</w:t>
      </w:r>
    </w:p>
    <w:p>
      <w:pPr>
        <w:spacing w:after="20" w:line="223" w:lineRule="auto"/>
        <w:jc w:val="right"/>
        <w:bidi/>
      </w:pPr>
      <w:r>
        <w:rPr>
          <w:rFonts w:ascii="Arial" w:hAnsi="Arial"/>
          <w:sz w:val="16"/>
        </w:rPr>
        <w:t>018.15  یک متخصص تست تجارت که با کار واقعی آشنا بود، شخصا با هر مرد استخدام شده مصاحبه کرد.</w:t>
      </w:r>
    </w:p>
    <w:p>
      <w:pPr>
        <w:spacing w:after="28" w:line="216" w:lineRule="auto"/>
        <w:ind w:left="259"/>
        <w:jc w:val="left"/>
      </w:pPr>
      <w:r>
        <w:rPr>
          <w:rFonts w:ascii="Arial" w:hAnsi="Arial"/>
          <w:color w:val="525252"/>
          <w:sz w:val="13"/>
        </w:rPr>
        <w:t>A trade test specialist familiar with the actual work personally interviewed each enlisted man.</w:t>
      </w:r>
    </w:p>
    <w:p>
      <w:pPr>
        <w:spacing w:after="20" w:line="223" w:lineRule="auto"/>
        <w:jc w:val="right"/>
        <w:bidi/>
      </w:pPr>
      <w:r>
        <w:rPr>
          <w:rFonts w:ascii="Arial" w:hAnsi="Arial"/>
          <w:sz w:val="16"/>
        </w:rPr>
        <w:t>018.16  در سال ۱۹۳۸، مدرسه فنی به لوری فیلد، کلرادو و اسکات فیلد، ایلینوی منشعب شد.</w:t>
      </w:r>
    </w:p>
    <w:p>
      <w:pPr>
        <w:spacing w:after="28" w:line="216" w:lineRule="auto"/>
        <w:ind w:left="259"/>
        <w:jc w:val="left"/>
      </w:pPr>
      <w:r>
        <w:rPr>
          <w:rFonts w:ascii="Arial" w:hAnsi="Arial"/>
          <w:color w:val="525252"/>
          <w:sz w:val="13"/>
        </w:rPr>
        <w:t>By 1938, the technical school branched out to Lowry Field, Colorado and Scott Field, Illinois.</w:t>
      </w:r>
    </w:p>
    <w:p>
      <w:pPr>
        <w:spacing w:after="20" w:line="223" w:lineRule="auto"/>
        <w:jc w:val="right"/>
        <w:bidi/>
      </w:pPr>
      <w:r>
        <w:rPr>
          <w:rFonts w:ascii="Arial" w:hAnsi="Arial"/>
          <w:sz w:val="16"/>
        </w:rPr>
        <w:t>018.17  سوخت گیری هوایی و کارل آ اسپاتز.</w:t>
      </w:r>
    </w:p>
    <w:p>
      <w:pPr>
        <w:spacing w:after="28" w:line="216" w:lineRule="auto"/>
        <w:ind w:left="259"/>
        <w:jc w:val="left"/>
      </w:pPr>
      <w:r>
        <w:rPr>
          <w:rFonts w:ascii="Arial" w:hAnsi="Arial"/>
          <w:color w:val="525252"/>
          <w:sz w:val="13"/>
        </w:rPr>
        <w:t>Aerial Refueling and Carl A. Spaatz.</w:t>
      </w:r>
    </w:p>
    <w:p>
      <w:pPr>
        <w:spacing w:after="20" w:line="223" w:lineRule="auto"/>
        <w:jc w:val="right"/>
        <w:bidi/>
      </w:pPr>
      <w:r>
        <w:rPr>
          <w:rFonts w:ascii="Arial" w:hAnsi="Arial"/>
          <w:sz w:val="16"/>
        </w:rPr>
        <w:t>018.18  ژنرال کارل ا. “توی” سپااتز، اولین رئیس ستاد نیروی هوایی، یکی از اعضای خدمه هواپیمای فوکر ک-۲ بود که مأموریت افسانه‌ای علامت سوال را در ۱ ژانویه ۱۹۲۹ به نمایش گذاشت تا پتانسیل سوخت‌گیری هوایی را به نمایش بگذارد.</w:t>
      </w:r>
    </w:p>
    <w:p>
      <w:pPr>
        <w:spacing w:after="28" w:line="216" w:lineRule="auto"/>
        <w:ind w:left="259"/>
        <w:jc w:val="left"/>
      </w:pPr>
      <w:r>
        <w:rPr>
          <w:rFonts w:ascii="Arial" w:hAnsi="Arial"/>
          <w:color w:val="525252"/>
          <w:sz w:val="13"/>
        </w:rPr>
        <w:t>General Carl A. “Tooey” Spaatz, first Chief of Staff of the Air Force, was a member of the Fokker C-2 aircrew that launched the legendary Question Mark mission on 1 January 1929 to showcase aerial refueling potential.</w:t>
      </w:r>
    </w:p>
    <w:p>
      <w:pPr>
        <w:spacing w:after="20" w:line="223" w:lineRule="auto"/>
        <w:jc w:val="right"/>
        <w:bidi/>
      </w:pPr>
      <w:r>
        <w:rPr>
          <w:rFonts w:ascii="Arial" w:hAnsi="Arial"/>
          <w:sz w:val="16"/>
        </w:rPr>
        <w:t>018.19  مأموریت ساده بود، تعیین کنید که خدمه هواپیما چه مدت می‌توانند هواپیما را در هوا نگه دارند.</w:t>
      </w:r>
    </w:p>
    <w:p>
      <w:pPr>
        <w:spacing w:after="28" w:line="216" w:lineRule="auto"/>
        <w:ind w:left="259"/>
        <w:jc w:val="left"/>
      </w:pPr>
      <w:r>
        <w:rPr>
          <w:rFonts w:ascii="Arial" w:hAnsi="Arial"/>
          <w:color w:val="525252"/>
          <w:sz w:val="13"/>
        </w:rPr>
        <w:t>The mission was simple, determine how long the aircrew could keep the aircraft in the air.</w:t>
      </w:r>
    </w:p>
    <w:p>
      <w:pPr>
        <w:spacing w:after="20" w:line="223" w:lineRule="auto"/>
        <w:jc w:val="right"/>
        <w:bidi/>
      </w:pPr>
      <w:r>
        <w:rPr>
          <w:rFonts w:ascii="Arial" w:hAnsi="Arial"/>
          <w:sz w:val="16"/>
        </w:rPr>
        <w:t>018.20  خدمه به مدت ۱۵۰ ساعت و ۴۰ دقیقه با علامت سوال پرواز کردند و در طی ۳۷ بار سوخت گیری هوا به هوا، ۵۶۰۰ گالن سوخت پمپ شده با دست مصرف کردند.</w:t>
      </w:r>
    </w:p>
    <w:p>
      <w:pPr>
        <w:spacing w:after="28" w:line="216" w:lineRule="auto"/>
        <w:ind w:left="259"/>
        <w:jc w:val="left"/>
      </w:pPr>
      <w:r>
        <w:rPr>
          <w:rFonts w:ascii="Arial" w:hAnsi="Arial"/>
          <w:color w:val="525252"/>
          <w:sz w:val="13"/>
        </w:rPr>
        <w:t>The crew flew the Question Mark for 150 hours and 40 minutes, taking on 5,600 gallons of hand-pumped fuel during 37 air-to-air refuelings.</w:t>
      </w:r>
    </w:p>
    <w:p>
      <w:pPr>
        <w:spacing w:after="20" w:line="223" w:lineRule="auto"/>
        <w:jc w:val="right"/>
        <w:bidi/>
      </w:pPr>
      <w:r>
        <w:rPr>
          <w:rFonts w:ascii="Arial" w:hAnsi="Arial"/>
          <w:sz w:val="16"/>
        </w:rPr>
        <w:t>018.21  آنها ۱۱۰۰۰ مایل را در آن سفر پیمودند، که برد نسبتا نامحدود کارل ا. سپااتز را با قابلیت‌های سوخت‌گیری هوایی در دسترس است.</w:t>
      </w:r>
    </w:p>
    <w:p>
      <w:pPr>
        <w:spacing w:after="28" w:line="216" w:lineRule="auto"/>
        <w:ind w:left="259"/>
        <w:jc w:val="left"/>
      </w:pPr>
      <w:r>
        <w:rPr>
          <w:rFonts w:ascii="Arial" w:hAnsi="Arial"/>
          <w:color w:val="525252"/>
          <w:sz w:val="13"/>
        </w:rPr>
        <w:t>They traveled 11,000 miles on that journey, proving the relatively unlimited range Carl A. Spaatz available with air refueling capabilities.</w:t>
      </w:r>
    </w:p>
    <w:p>
      <w:pPr>
        <w:spacing w:after="20" w:line="223" w:lineRule="auto"/>
        <w:jc w:val="right"/>
        <w:bidi/>
      </w:pPr>
      <w:r>
        <w:rPr>
          <w:rFonts w:ascii="Arial" w:hAnsi="Arial"/>
          <w:sz w:val="16"/>
        </w:rPr>
        <w:t>018.22  وپراتیون پوینت بلانک و یرا ک. اکر.</w:t>
      </w:r>
    </w:p>
    <w:p>
      <w:pPr>
        <w:spacing w:after="28" w:line="216" w:lineRule="auto"/>
        <w:ind w:left="259"/>
        <w:jc w:val="left"/>
      </w:pPr>
      <w:r>
        <w:rPr>
          <w:rFonts w:ascii="Arial" w:hAnsi="Arial"/>
          <w:color w:val="525252"/>
          <w:sz w:val="13"/>
        </w:rPr>
        <w:t>Operation Point Blank and Ira C. Eaker.</w:t>
      </w:r>
    </w:p>
    <w:p>
      <w:pPr>
        <w:spacing w:after="20" w:line="223" w:lineRule="auto"/>
        <w:jc w:val="right"/>
        <w:bidi/>
      </w:pPr>
      <w:r>
        <w:rPr>
          <w:rFonts w:ascii="Arial" w:hAnsi="Arial"/>
          <w:sz w:val="16"/>
        </w:rPr>
        <w:t>018.23  ژنرال یرا ک. اکر یک پیشگام هوانوردی و مدافع صریح قدرت هوافضا بود.</w:t>
      </w:r>
    </w:p>
    <w:p>
      <w:pPr>
        <w:spacing w:after="28" w:line="216" w:lineRule="auto"/>
        <w:ind w:left="259"/>
        <w:jc w:val="left"/>
      </w:pPr>
      <w:r>
        <w:rPr>
          <w:rFonts w:ascii="Arial" w:hAnsi="Arial"/>
          <w:color w:val="525252"/>
          <w:sz w:val="13"/>
        </w:rPr>
        <w:t>General Ira C. Eaker was an aviation pioneer and articulate advocate of aerospace power.</w:t>
      </w:r>
    </w:p>
    <w:p>
      <w:pPr>
        <w:spacing w:after="20" w:line="223" w:lineRule="auto"/>
        <w:jc w:val="right"/>
        <w:bidi/>
      </w:pPr>
      <w:r>
        <w:rPr>
          <w:rFonts w:ascii="Arial" w:hAnsi="Arial"/>
          <w:sz w:val="16"/>
        </w:rPr>
        <w:t>018.24  پس از فارغ‌التحصیلی از مدرسه پرواز، در نیروی ذخیره ارتش به کار گماشته شد، او در پرواز با اراده خوب پان-آمریکایی در سالهای ۱۹۲۶ و ۱۹۲۷ شرکت کرد که در موزه ملی USAF در دیتون، اوهایو به نمایش گذاشته می‌شود.</w:t>
      </w:r>
    </w:p>
    <w:p>
      <w:pPr>
        <w:spacing w:after="28" w:line="216" w:lineRule="auto"/>
        <w:ind w:left="259"/>
        <w:jc w:val="left"/>
      </w:pPr>
      <w:r>
        <w:rPr>
          <w:rFonts w:ascii="Arial" w:hAnsi="Arial"/>
          <w:color w:val="525252"/>
          <w:sz w:val="13"/>
        </w:rPr>
        <w:t>Commissioned in the Army Reserve after graduating flight school, he participated in the Pan-American Good Will Flight of 1926 and 1927, which is displayed at the National Museum of the USAF in Dayton, Ohio.</w:t>
      </w:r>
    </w:p>
    <w:p>
      <w:pPr>
        <w:spacing w:after="20" w:line="223" w:lineRule="auto"/>
        <w:jc w:val="right"/>
        <w:bidi/>
      </w:pPr>
      <w:r>
        <w:rPr>
          <w:rFonts w:ascii="Arial" w:hAnsi="Arial"/>
          <w:sz w:val="16"/>
        </w:rPr>
        <w:t>018.25  ایکر همچنین در مأموریت سوخت‌گیری هوایی افسانه‌ای قوستیون مارک در سال ۱۹۲۹ پرواز کرد.</w:t>
      </w:r>
    </w:p>
    <w:p>
      <w:pPr>
        <w:spacing w:after="28" w:line="216" w:lineRule="auto"/>
        <w:ind w:left="259"/>
        <w:jc w:val="left"/>
      </w:pPr>
      <w:r>
        <w:rPr>
          <w:rFonts w:ascii="Arial" w:hAnsi="Arial"/>
          <w:color w:val="525252"/>
          <w:sz w:val="13"/>
        </w:rPr>
        <w:t>Eaker also flew in the legendary Question Mark extended aerial refueling mission in 1929.</w:t>
      </w:r>
    </w:p>
    <w:p>
      <w:pPr>
        <w:spacing w:after="20" w:line="223" w:lineRule="auto"/>
        <w:jc w:val="right"/>
        <w:bidi/>
      </w:pPr>
      <w:r>
        <w:rPr>
          <w:rFonts w:ascii="Arial" w:hAnsi="Arial"/>
          <w:sz w:val="16"/>
        </w:rPr>
        <w:t>018.26  به‌عنوان یک مدافع قوی برای بمباران استراتژیک در روز، در طی عملیات پوینت بلانک، ایکر کمپین‌های یرا ک. اکر را هدایت کرد در حالی که بریتانیایی‌ها بمباران منطقه شبانه خود را انجام می‌دادند.</w:t>
      </w:r>
    </w:p>
    <w:p>
      <w:pPr>
        <w:spacing w:after="28" w:line="216" w:lineRule="auto"/>
        <w:ind w:left="259"/>
        <w:jc w:val="left"/>
      </w:pPr>
      <w:r>
        <w:rPr>
          <w:rFonts w:ascii="Arial" w:hAnsi="Arial"/>
          <w:color w:val="525252"/>
          <w:sz w:val="13"/>
        </w:rPr>
        <w:t>As a strong advocate for daylight strategic bombardment, during Operation Point Blank, Eaker directed the Ira C. Eaker daylight campaigns while the British conducted their night area bombing.</w:t>
      </w:r>
    </w:p>
    <w:p>
      <w:pPr>
        <w:spacing w:after="20" w:line="223" w:lineRule="auto"/>
        <w:jc w:val="right"/>
        <w:bidi/>
      </w:pPr>
      <w:r>
        <w:rPr>
          <w:rFonts w:ascii="Arial" w:hAnsi="Arial"/>
          <w:sz w:val="16"/>
        </w:rPr>
        <w:t>018.27  عملیات مشترک، پایگاه نظامی و صنعتی آلمان در مناطق تحت اشغال نازی‌ها را به‌طور شبانه روزی مورد حمله قرار داد و قدرت آلمان و همچنین قابلیت‌های تولید آن را خسته کرد.</w:t>
      </w:r>
    </w:p>
    <w:p>
      <w:pPr>
        <w:spacing w:after="28" w:line="216" w:lineRule="auto"/>
        <w:ind w:left="259"/>
        <w:jc w:val="left"/>
      </w:pPr>
      <w:r>
        <w:rPr>
          <w:rFonts w:ascii="Arial" w:hAnsi="Arial"/>
          <w:color w:val="525252"/>
          <w:sz w:val="13"/>
        </w:rPr>
        <w:t>The co-led operation struck the German military and industrial base of Nazi- occupied territories around the clock, exhausting German strength, as well as its production capabilities.</w:t>
      </w:r>
    </w:p>
    <w:p>
      <w:pPr>
        <w:spacing w:before="60" w:after="28"/>
        <w:jc w:val="right"/>
        <w:bidi/>
      </w:pPr>
      <w:r>
        <w:rPr>
          <w:b/>
          <w:color w:val="1F4D78"/>
          <w:sz w:val="18"/>
        </w:rPr>
        <w:t>2.11. ستاد کل (GHQ) نیروی هوایی (1935 - 1939)</w:t>
      </w:r>
    </w:p>
    <w:p>
      <w:pPr>
        <w:spacing w:after="20"/>
        <w:ind w:left="259"/>
        <w:jc w:val="left"/>
      </w:pPr>
      <w:r>
        <w:rPr>
          <w:color w:val="555555"/>
          <w:sz w:val="12"/>
        </w:rPr>
        <w:t>2.11. General Headquarters (GHQ) Air Force (1935 - 1939)</w:t>
      </w:r>
    </w:p>
    <w:p>
      <w:pPr>
        <w:spacing w:after="20" w:line="223" w:lineRule="auto"/>
        <w:jc w:val="right"/>
        <w:bidi/>
      </w:pPr>
      <w:r>
        <w:rPr>
          <w:rFonts w:ascii="Arial" w:hAnsi="Arial"/>
          <w:sz w:val="16"/>
        </w:rPr>
        <w:t>018.29  در کنار سپاه هوایی ارتش، نیروی هوایی GHQ راه‌اندازی شد تا در درجه اول بر کنترل واحدهای رزمی هوانوردی تمرکز کند، در حالی که هنوز در زیر مجموعه سپاه هوایی ارتش قرار دارد.</w:t>
      </w:r>
    </w:p>
    <w:p>
      <w:pPr>
        <w:spacing w:after="28" w:line="216" w:lineRule="auto"/>
        <w:ind w:left="259"/>
        <w:jc w:val="left"/>
      </w:pPr>
      <w:r>
        <w:rPr>
          <w:rFonts w:ascii="Arial" w:hAnsi="Arial"/>
          <w:color w:val="525252"/>
          <w:sz w:val="13"/>
        </w:rPr>
        <w:t>Alongside the Army Air Corps, GHQ Air Force was set up to focus primarily on control of aviation combat units, while still being aligned under the Army Air Corps.</w:t>
      </w:r>
    </w:p>
    <w:p>
      <w:pPr>
        <w:spacing w:after="20" w:line="223" w:lineRule="auto"/>
        <w:jc w:val="right"/>
        <w:bidi/>
      </w:pPr>
      <w:r>
        <w:rPr>
          <w:rFonts w:ascii="Arial" w:hAnsi="Arial"/>
          <w:sz w:val="16"/>
        </w:rPr>
        <w:t>018.30  این گیج کننده بود</w:t>
      </w:r>
    </w:p>
    <w:p>
      <w:pPr>
        <w:spacing w:after="28" w:line="216" w:lineRule="auto"/>
        <w:ind w:left="259"/>
        <w:jc w:val="left"/>
      </w:pPr>
      <w:r>
        <w:rPr>
          <w:rFonts w:ascii="Arial" w:hAnsi="Arial"/>
          <w:color w:val="525252"/>
          <w:sz w:val="13"/>
        </w:rPr>
        <w:t>This was a confusing</w:t>
      </w:r>
    </w:p>
    <w:p>
      <w:r>
        <w:br w:type="page"/>
      </w:r>
    </w:p>
    <w:p>
      <w:pPr>
        <w:spacing w:after="60"/>
        <w:jc w:val="right"/>
        <w:bidi/>
      </w:pPr>
      <w:r>
        <w:rPr>
          <w:rFonts w:ascii="Arial" w:hAnsi="Arial"/>
          <w:b/>
          <w:color w:val="1F4D78"/>
          <w:sz w:val="19"/>
        </w:rPr>
        <w:t>هفتهٔ 19  |  صفحهٔ منبع: 35</w:t>
      </w:r>
    </w:p>
    <w:p>
      <w:pPr>
        <w:spacing w:after="20" w:line="223" w:lineRule="auto"/>
        <w:jc w:val="right"/>
        <w:bidi/>
      </w:pPr>
      <w:r>
        <w:rPr>
          <w:rFonts w:ascii="Arial" w:hAnsi="Arial"/>
          <w:sz w:val="16"/>
        </w:rPr>
        <w:t>019.01  نیم قدم به سوی نیروی هوایی مستقل بود، اما ثابت شد که مسیر درستی برای تصور نیروی هوایی است.</w:t>
      </w:r>
    </w:p>
    <w:p>
      <w:pPr>
        <w:spacing w:after="28" w:line="216" w:lineRule="auto"/>
        <w:ind w:left="259"/>
        <w:jc w:val="left"/>
      </w:pPr>
      <w:r>
        <w:rPr>
          <w:rFonts w:ascii="Arial" w:hAnsi="Arial"/>
          <w:color w:val="525252"/>
          <w:sz w:val="13"/>
        </w:rPr>
        <w:t>half-step toward an independent Air Force but proved to be the right direction for the conception of airpower.</w:t>
      </w:r>
    </w:p>
    <w:p>
      <w:pPr>
        <w:spacing w:after="20" w:line="223" w:lineRule="auto"/>
        <w:jc w:val="right"/>
        <w:bidi/>
      </w:pPr>
      <w:r>
        <w:rPr>
          <w:rFonts w:ascii="Arial" w:hAnsi="Arial"/>
          <w:sz w:val="16"/>
        </w:rPr>
        <w:t>019.02  نیروی هوایی GHQ با این شناخت تأسیس شد که پیشرفت‌های تکنولوژیکی در هواپیماها در نهایت نیروی هوایی را به‌عنوان یک نیروی نظامی مهم به جلو می‌برد، فراتر از نقش اولیه آن که صرفا از نیروهای زمینی پشتیبانی می‌کرد.</w:t>
      </w:r>
    </w:p>
    <w:p>
      <w:pPr>
        <w:spacing w:after="28" w:line="216" w:lineRule="auto"/>
        <w:ind w:left="259"/>
        <w:jc w:val="left"/>
      </w:pPr>
      <w:r>
        <w:rPr>
          <w:rFonts w:ascii="Arial" w:hAnsi="Arial"/>
          <w:color w:val="525252"/>
          <w:sz w:val="13"/>
        </w:rPr>
        <w:t>GHQ Air Force was established with the recognition that technological advances in aircraft would eventually propel airpower forward as a significant military force, beyond its early role of solely supporting ground troops.</w:t>
      </w:r>
    </w:p>
    <w:p>
      <w:pPr>
        <w:spacing w:after="20" w:line="223" w:lineRule="auto"/>
        <w:jc w:val="right"/>
        <w:bidi/>
      </w:pPr>
      <w:r>
        <w:rPr>
          <w:rFonts w:ascii="Arial" w:hAnsi="Arial"/>
          <w:sz w:val="16"/>
        </w:rPr>
        <w:t>019.03  در سال ۱۹۳۸، زمانی که ایالات متحده برای اولین بار نشانه‌های جنگ در اروپا را جدی گرفت، بازوی هوایی ارتش هنوز به دو سازمان فرماندهی دست و پا گیر تقسیم شد، نیروی هوایی ارتش و نیروی هوایی GHQ.</w:t>
      </w:r>
    </w:p>
    <w:p>
      <w:pPr>
        <w:spacing w:after="28" w:line="216" w:lineRule="auto"/>
        <w:ind w:left="259"/>
        <w:jc w:val="left"/>
      </w:pPr>
      <w:r>
        <w:rPr>
          <w:rFonts w:ascii="Arial" w:hAnsi="Arial"/>
          <w:color w:val="525252"/>
          <w:sz w:val="13"/>
        </w:rPr>
        <w:t>In 1938, when the United States first took the signs of war in Europe seriously, the Army’s Air Arm was still split into two cumbersome command organizations, the Army Air Corps and GHQ Air Force.</w:t>
      </w:r>
    </w:p>
    <w:p>
      <w:pPr>
        <w:spacing w:after="20" w:line="223" w:lineRule="auto"/>
        <w:jc w:val="right"/>
        <w:bidi/>
      </w:pPr>
      <w:r>
        <w:rPr>
          <w:rFonts w:ascii="Arial" w:hAnsi="Arial"/>
          <w:sz w:val="16"/>
        </w:rPr>
        <w:t>019.04  در سال ۱۹۳۹، رئیس جمهور روزولت درخواست ۳۰۰ میلیون دلار برای هوانوردی نظامی کرد.</w:t>
      </w:r>
    </w:p>
    <w:p>
      <w:pPr>
        <w:spacing w:after="28" w:line="216" w:lineRule="auto"/>
        <w:ind w:left="259"/>
        <w:jc w:val="left"/>
      </w:pPr>
      <w:r>
        <w:rPr>
          <w:rFonts w:ascii="Arial" w:hAnsi="Arial"/>
          <w:color w:val="525252"/>
          <w:sz w:val="13"/>
        </w:rPr>
        <w:t>In 1939, President Roosevelt asked for an appropriation of $300 million for military aviation.</w:t>
      </w:r>
    </w:p>
    <w:p>
      <w:pPr>
        <w:spacing w:after="20" w:line="223" w:lineRule="auto"/>
        <w:jc w:val="right"/>
        <w:bidi/>
      </w:pPr>
      <w:r>
        <w:rPr>
          <w:rFonts w:ascii="Arial" w:hAnsi="Arial"/>
          <w:sz w:val="16"/>
        </w:rPr>
        <w:t>019.05  قبل از شروع خصومت‌ها در اروپا در پاییز ۱۹۳۹، نیروی هوایی GHQ برنامه توسعه گسترده‌ای را آغاز کرده بود که در نهایت به بزرگترین سازمان هوایی در تاریخ کشور تبدیل شد.</w:t>
      </w:r>
    </w:p>
    <w:p>
      <w:pPr>
        <w:spacing w:after="28" w:line="216" w:lineRule="auto"/>
        <w:ind w:left="259"/>
        <w:jc w:val="left"/>
      </w:pPr>
      <w:r>
        <w:rPr>
          <w:rFonts w:ascii="Arial" w:hAnsi="Arial"/>
          <w:color w:val="525252"/>
          <w:sz w:val="13"/>
        </w:rPr>
        <w:t>Before the outbreak of hostilities in Europe in the fall of 1939, GHQ Air Force had begun the massive expansion program that eventually evolved into the largest air organization in the nation’s history.</w:t>
      </w:r>
    </w:p>
    <w:p>
      <w:pPr>
        <w:spacing w:after="20" w:line="223" w:lineRule="auto"/>
        <w:jc w:val="right"/>
        <w:bidi/>
      </w:pPr>
      <w:r>
        <w:rPr>
          <w:rFonts w:ascii="Arial" w:hAnsi="Arial"/>
          <w:sz w:val="16"/>
        </w:rPr>
        <w:t>019.06  ۲.۱۲. نیروی هوایی ارتش ایالات متحده (۲۰ ژوئن ۱۹۴۱ - ۱۷ سپتامبر ۱۹۴۷)</w:t>
      </w:r>
    </w:p>
    <w:p>
      <w:pPr>
        <w:spacing w:after="28" w:line="216" w:lineRule="auto"/>
        <w:ind w:left="259"/>
        <w:jc w:val="left"/>
      </w:pPr>
      <w:r>
        <w:rPr>
          <w:rFonts w:ascii="Arial" w:hAnsi="Arial"/>
          <w:color w:val="525252"/>
          <w:sz w:val="13"/>
        </w:rPr>
        <w:t>2.12. U.S. Army Air Forces (20 June 1941 - 17 September 1947)</w:t>
      </w:r>
    </w:p>
    <w:p>
      <w:pPr>
        <w:spacing w:after="20" w:line="223" w:lineRule="auto"/>
        <w:jc w:val="right"/>
        <w:bidi/>
      </w:pPr>
      <w:r>
        <w:rPr>
          <w:rFonts w:ascii="Arial" w:hAnsi="Arial"/>
          <w:sz w:val="16"/>
        </w:rPr>
        <w:t>019.07  نیروی هوایی ارتش ایالات متحده در ژوئن ۱۹۴۱ تأسیس شد.</w:t>
      </w:r>
    </w:p>
    <w:p>
      <w:pPr>
        <w:spacing w:after="28" w:line="216" w:lineRule="auto"/>
        <w:ind w:left="259"/>
        <w:jc w:val="left"/>
      </w:pPr>
      <w:r>
        <w:rPr>
          <w:rFonts w:ascii="Arial" w:hAnsi="Arial"/>
          <w:color w:val="525252"/>
          <w:sz w:val="13"/>
        </w:rPr>
        <w:t>The U.S. Army Air Forces was established in June 1941.</w:t>
      </w:r>
    </w:p>
    <w:p>
      <w:pPr>
        <w:spacing w:after="20" w:line="223" w:lineRule="auto"/>
        <w:jc w:val="right"/>
        <w:bidi/>
      </w:pPr>
      <w:r>
        <w:rPr>
          <w:rFonts w:ascii="Arial" w:hAnsi="Arial"/>
          <w:sz w:val="16"/>
        </w:rPr>
        <w:t>019.08  جایگزین نیروی هوایی ارتش ایالات متحده و نیروی هوایی GHQ شد.</w:t>
      </w:r>
    </w:p>
    <w:p>
      <w:pPr>
        <w:spacing w:after="28" w:line="216" w:lineRule="auto"/>
        <w:ind w:left="259"/>
        <w:jc w:val="left"/>
      </w:pPr>
      <w:r>
        <w:rPr>
          <w:rFonts w:ascii="Arial" w:hAnsi="Arial"/>
          <w:color w:val="525252"/>
          <w:sz w:val="13"/>
        </w:rPr>
        <w:t>It replaced both the U.S. Army Air Corps and the GHQ Air Force.</w:t>
      </w:r>
    </w:p>
    <w:p>
      <w:pPr>
        <w:spacing w:after="20" w:line="223" w:lineRule="auto"/>
        <w:jc w:val="right"/>
        <w:bidi/>
      </w:pPr>
      <w:r>
        <w:rPr>
          <w:rFonts w:ascii="Arial" w:hAnsi="Arial"/>
          <w:sz w:val="16"/>
        </w:rPr>
        <w:t>019.09  اگرچه هنوز تحت فرماندهی ارتش بود، اما پیام واضح بود، فرماندهی همه عناصر هوایی را متحد کنید، به نیروهای هوایی استقلال کامل بدهید، و برابری جدا از نیروهای زمینی را فراهم کنید.</w:t>
      </w:r>
    </w:p>
    <w:p>
      <w:pPr>
        <w:spacing w:after="28" w:line="216" w:lineRule="auto"/>
        <w:ind w:left="259"/>
        <w:jc w:val="left"/>
      </w:pPr>
      <w:r>
        <w:rPr>
          <w:rFonts w:ascii="Arial" w:hAnsi="Arial"/>
          <w:color w:val="525252"/>
          <w:sz w:val="13"/>
        </w:rPr>
        <w:t>Although still under command of the Army, the message was clear, unify command of all air elements, give total autonomy to air forces, and provide equality separate from ground forces.</w:t>
      </w:r>
    </w:p>
    <w:p>
      <w:pPr>
        <w:spacing w:after="20" w:line="223" w:lineRule="auto"/>
        <w:jc w:val="right"/>
        <w:bidi/>
      </w:pPr>
      <w:r>
        <w:rPr>
          <w:rFonts w:ascii="Arial" w:hAnsi="Arial"/>
          <w:sz w:val="16"/>
        </w:rPr>
        <w:t>019.10  نیروی هوایی ارتش ایالات متحده به‌عنوان شاخه‌ای از ارتش (مشابه پیاده نظام، فرماندهی یا توپخانه) تا زمان سازماندهی مجدد مقررات قانون عمومی ۸۰-۴۹۵، قانون امنیت ملی ۱۹۴۷، ۱۸ سپتامبر ۱۹۴۷، به حیات خود ادامه داد.</w:t>
      </w:r>
    </w:p>
    <w:p>
      <w:pPr>
        <w:spacing w:after="28" w:line="216" w:lineRule="auto"/>
        <w:ind w:left="259"/>
        <w:jc w:val="left"/>
      </w:pPr>
      <w:r>
        <w:rPr>
          <w:rFonts w:ascii="Arial" w:hAnsi="Arial"/>
          <w:color w:val="525252"/>
          <w:sz w:val="13"/>
        </w:rPr>
        <w:t>The U.S. Army Air Forces continued to exist as a branch of the Army (similar to the infantry, quartermaster, or artillery) until reorganization provisions of the Public Law 80-495, National Security Act of 1947, 18 September 1947.</w:t>
      </w:r>
    </w:p>
    <w:p>
      <w:pPr>
        <w:spacing w:after="20" w:line="223" w:lineRule="auto"/>
        <w:jc w:val="right"/>
        <w:bidi/>
      </w:pPr>
      <w:r>
        <w:rPr>
          <w:rFonts w:ascii="Arial" w:hAnsi="Arial"/>
          <w:sz w:val="16"/>
        </w:rPr>
        <w:t>019.11  فرمانده ژنرال نیروی هوایی ارتش ایالات متحده، هنری اچ آرنولد.</w:t>
      </w:r>
    </w:p>
    <w:p>
      <w:pPr>
        <w:spacing w:after="28" w:line="216" w:lineRule="auto"/>
        <w:ind w:left="259"/>
        <w:jc w:val="left"/>
      </w:pPr>
      <w:r>
        <w:rPr>
          <w:rFonts w:ascii="Arial" w:hAnsi="Arial"/>
          <w:color w:val="525252"/>
          <w:sz w:val="13"/>
        </w:rPr>
        <w:t>Commanding General of the U.S. Army Air Forces, Henry H. Arnold.</w:t>
      </w:r>
    </w:p>
    <w:p>
      <w:pPr>
        <w:spacing w:after="20" w:line="223" w:lineRule="auto"/>
        <w:jc w:val="right"/>
        <w:bidi/>
      </w:pPr>
      <w:r>
        <w:rPr>
          <w:rFonts w:ascii="Arial" w:hAnsi="Arial"/>
          <w:sz w:val="16"/>
        </w:rPr>
        <w:t>019.12  ژنرال هنری ه. "هاپ" ارنولد یک پیشگام هوانوردی، فارغ‌التحصیل وست پوینت و یک پیاده نظام بود.</w:t>
      </w:r>
    </w:p>
    <w:p>
      <w:pPr>
        <w:spacing w:after="28" w:line="216" w:lineRule="auto"/>
        <w:ind w:left="259"/>
        <w:jc w:val="left"/>
      </w:pPr>
      <w:r>
        <w:rPr>
          <w:rFonts w:ascii="Arial" w:hAnsi="Arial"/>
          <w:color w:val="525252"/>
          <w:sz w:val="13"/>
        </w:rPr>
        <w:t>General Henry H. “Hap” Arnold was an aviation pioneer, a West Point graduate, and an infantryman.</w:t>
      </w:r>
    </w:p>
    <w:p>
      <w:pPr>
        <w:spacing w:after="20" w:line="223" w:lineRule="auto"/>
        <w:jc w:val="right"/>
        <w:bidi/>
      </w:pPr>
      <w:r>
        <w:rPr>
          <w:rFonts w:ascii="Arial" w:hAnsi="Arial"/>
          <w:sz w:val="16"/>
        </w:rPr>
        <w:t>019.13  در سال ۱۹۱۱ توسط ارویل و ویلبر رایت به او پرواز آموختند.</w:t>
      </w:r>
    </w:p>
    <w:p>
      <w:pPr>
        <w:spacing w:after="28" w:line="216" w:lineRule="auto"/>
        <w:ind w:left="259"/>
        <w:jc w:val="left"/>
      </w:pPr>
      <w:r>
        <w:rPr>
          <w:rFonts w:ascii="Arial" w:hAnsi="Arial"/>
          <w:color w:val="525252"/>
          <w:sz w:val="13"/>
        </w:rPr>
        <w:t>In 1911 he was taught to fly by Orville and Wilbur Wright.</w:t>
      </w:r>
    </w:p>
    <w:p>
      <w:pPr>
        <w:spacing w:after="20" w:line="223" w:lineRule="auto"/>
        <w:jc w:val="right"/>
        <w:bidi/>
      </w:pPr>
      <w:r>
        <w:rPr>
          <w:rFonts w:ascii="Arial" w:hAnsi="Arial"/>
          <w:sz w:val="16"/>
        </w:rPr>
        <w:t>019.14  آرنولد صعود خود را از طریق سپاه هوایی ارتش در طول سال‌های بین دو جنگ آغاز کرد و در ستاد خدمات هوایی و در چندین مورد از مهم‌ترین فرماندهی‌های عملیاتی پرواز در این زمینه خدمت کرد.</w:t>
      </w:r>
    </w:p>
    <w:p>
      <w:pPr>
        <w:spacing w:after="28" w:line="216" w:lineRule="auto"/>
        <w:ind w:left="259"/>
        <w:jc w:val="left"/>
      </w:pPr>
      <w:r>
        <w:rPr>
          <w:rFonts w:ascii="Arial" w:hAnsi="Arial"/>
          <w:color w:val="525252"/>
          <w:sz w:val="13"/>
        </w:rPr>
        <w:t>Arnold began his rise through the Army Air Corps during the interwar years, serving in Air Service Headquarters and in several of the most important operational flying commands in the field.</w:t>
      </w:r>
    </w:p>
    <w:p>
      <w:pPr>
        <w:spacing w:after="20" w:line="223" w:lineRule="auto"/>
        <w:jc w:val="right"/>
        <w:bidi/>
      </w:pPr>
      <w:r>
        <w:rPr>
          <w:rFonts w:ascii="Arial" w:hAnsi="Arial"/>
          <w:sz w:val="16"/>
        </w:rPr>
        <w:t>019.15  پس از دو سال خدمت به‌عنوان رئیس نیروی هوایی، در ژوئن ۱۹۴۱ به فرماندهی ژنرال نیروی هوایی ارتش ایالات متحده در جنگ جهانی دوم رسید.</w:t>
      </w:r>
    </w:p>
    <w:p>
      <w:pPr>
        <w:spacing w:after="28" w:line="216" w:lineRule="auto"/>
        <w:ind w:left="259"/>
        <w:jc w:val="left"/>
      </w:pPr>
      <w:r>
        <w:rPr>
          <w:rFonts w:ascii="Arial" w:hAnsi="Arial"/>
          <w:color w:val="525252"/>
          <w:sz w:val="13"/>
        </w:rPr>
        <w:t>After serving two years as the Chief of the Air Corps, in June 1941 he became Commanding General of the U.S. Army Air Forces in World War II.</w:t>
      </w:r>
    </w:p>
    <w:p>
      <w:pPr>
        <w:spacing w:after="20" w:line="223" w:lineRule="auto"/>
        <w:jc w:val="right"/>
        <w:bidi/>
      </w:pPr>
      <w:r>
        <w:rPr>
          <w:rFonts w:ascii="Arial" w:hAnsi="Arial"/>
          <w:sz w:val="16"/>
        </w:rPr>
        <w:t>019.16  تحت فرمان ژنرال آرنولد، این نیرو به نزدیک به ۲.۵ میلیون عضو و ۷۵۰۰۰ هواپیمای هنری اچ آرنولد افزایش یافت.</w:t>
      </w:r>
    </w:p>
    <w:p>
      <w:pPr>
        <w:spacing w:after="28" w:line="216" w:lineRule="auto"/>
        <w:ind w:left="259"/>
        <w:jc w:val="left"/>
      </w:pPr>
      <w:r>
        <w:rPr>
          <w:rFonts w:ascii="Arial" w:hAnsi="Arial"/>
          <w:color w:val="525252"/>
          <w:sz w:val="13"/>
        </w:rPr>
        <w:t>Under General Arnold’s command, the force expanded to nearly 2.5 million members and Henry H. Arnold 75,000 aircraft.</w:t>
      </w:r>
    </w:p>
    <w:p>
      <w:r>
        <w:br w:type="page"/>
      </w:r>
    </w:p>
    <w:p>
      <w:pPr>
        <w:spacing w:after="60"/>
        <w:jc w:val="right"/>
        <w:bidi/>
      </w:pPr>
      <w:r>
        <w:rPr>
          <w:rFonts w:ascii="Arial" w:hAnsi="Arial"/>
          <w:b/>
          <w:color w:val="1F4D78"/>
          <w:sz w:val="19"/>
        </w:rPr>
        <w:t>هفتهٔ 20  |  صفحهٔ منبع: 36</w:t>
      </w:r>
    </w:p>
    <w:p>
      <w:pPr>
        <w:spacing w:before="60" w:after="28"/>
        <w:jc w:val="right"/>
        <w:bidi/>
      </w:pPr>
      <w:r>
        <w:rPr>
          <w:b/>
          <w:color w:val="1F4D78"/>
          <w:sz w:val="18"/>
        </w:rPr>
        <w:t>بخش 2C - هوانوردی و عملیات در جنگ جهانی دوم</w:t>
      </w:r>
    </w:p>
    <w:p>
      <w:pPr>
        <w:spacing w:after="20"/>
        <w:ind w:left="259"/>
        <w:jc w:val="left"/>
      </w:pPr>
      <w:r>
        <w:rPr>
          <w:color w:val="555555"/>
          <w:sz w:val="12"/>
        </w:rPr>
        <w:t>Section 2C—Aviation and Operations in World War II</w:t>
      </w:r>
    </w:p>
    <w:p>
      <w:pPr>
        <w:spacing w:before="60" w:after="28"/>
        <w:jc w:val="right"/>
        <w:bidi/>
      </w:pPr>
      <w:r>
        <w:rPr>
          <w:b/>
          <w:color w:val="1F4D78"/>
          <w:sz w:val="18"/>
        </w:rPr>
        <w:t>2.13. نیروی هوایی در جنگ جهانی دوم</w:t>
      </w:r>
    </w:p>
    <w:p>
      <w:pPr>
        <w:spacing w:after="20"/>
        <w:ind w:left="259"/>
        <w:jc w:val="left"/>
      </w:pPr>
      <w:r>
        <w:rPr>
          <w:color w:val="555555"/>
          <w:sz w:val="12"/>
        </w:rPr>
        <w:t>2.13. Airpower in World War II</w:t>
      </w:r>
    </w:p>
    <w:p>
      <w:pPr>
        <w:spacing w:after="20" w:line="223" w:lineRule="auto"/>
        <w:jc w:val="right"/>
        <w:bidi/>
      </w:pPr>
      <w:r>
        <w:rPr>
          <w:rFonts w:ascii="Arial" w:hAnsi="Arial"/>
          <w:sz w:val="16"/>
        </w:rPr>
        <w:t>020.03  قدرتهای متفقین که در آغاز جنگ جهانی دوم در سال ۱۹۳۹ وجود داشتند شامل فهرست بلندبالایی از کشورها بود: فرانسه، لهستان، بریتانیا، هند بریتانیا، استرالیا، کانادا، نیوزیلند و آفریقای جنوبی.</w:t>
      </w:r>
    </w:p>
    <w:p>
      <w:pPr>
        <w:spacing w:after="28" w:line="216" w:lineRule="auto"/>
        <w:ind w:left="259"/>
        <w:jc w:val="left"/>
      </w:pPr>
      <w:r>
        <w:rPr>
          <w:rFonts w:ascii="Arial" w:hAnsi="Arial"/>
          <w:color w:val="525252"/>
          <w:sz w:val="13"/>
        </w:rPr>
        <w:t>Allied Powers that existed at the onset of World War II in 1939 consisted of a long list of countries: France, Poland, the United Kingdom, British India, Australia, Canada, New Zealand, and South Africa.</w:t>
      </w:r>
    </w:p>
    <w:p>
      <w:pPr>
        <w:spacing w:after="20" w:line="223" w:lineRule="auto"/>
        <w:jc w:val="right"/>
        <w:bidi/>
      </w:pPr>
      <w:r>
        <w:rPr>
          <w:rFonts w:ascii="Arial" w:hAnsi="Arial"/>
          <w:sz w:val="16"/>
        </w:rPr>
        <w:t>020.04  به زودی کشورهای بالکان، هلند، بلژیک، یونان و یوگسلاوی نیز به این اتحاد پیوستند.</w:t>
      </w:r>
    </w:p>
    <w:p>
      <w:pPr>
        <w:spacing w:after="28" w:line="216" w:lineRule="auto"/>
        <w:ind w:left="259"/>
        <w:jc w:val="left"/>
      </w:pPr>
      <w:r>
        <w:rPr>
          <w:rFonts w:ascii="Arial" w:hAnsi="Arial"/>
          <w:color w:val="525252"/>
          <w:sz w:val="13"/>
        </w:rPr>
        <w:t>Soon, the Balkans, Netherlands, Belgium, Greece, and Yugoslavia joined the alliance as well.</w:t>
      </w:r>
    </w:p>
    <w:p>
      <w:pPr>
        <w:spacing w:after="20" w:line="223" w:lineRule="auto"/>
        <w:jc w:val="right"/>
        <w:bidi/>
      </w:pPr>
      <w:r>
        <w:rPr>
          <w:rFonts w:ascii="Arial" w:hAnsi="Arial"/>
          <w:sz w:val="16"/>
        </w:rPr>
        <w:t>020.05  تا سال ۱۹۴۲، این کشورها به‌عنوان سازمان ملل متحد ظهور کردند و ایالات متحده، روسیه و چین را برای متوقف کردن قدرت‌های محور وارد کشتی کردند.</w:t>
      </w:r>
    </w:p>
    <w:p>
      <w:pPr>
        <w:spacing w:after="28" w:line="216" w:lineRule="auto"/>
        <w:ind w:left="259"/>
        <w:jc w:val="left"/>
      </w:pPr>
      <w:r>
        <w:rPr>
          <w:rFonts w:ascii="Arial" w:hAnsi="Arial"/>
          <w:color w:val="525252"/>
          <w:sz w:val="13"/>
        </w:rPr>
        <w:t>By 1942, the countries emerged as the United Nations, and brought the United States, Russia, and China onboard to stop the Axis Powers.</w:t>
      </w:r>
    </w:p>
    <w:p>
      <w:pPr>
        <w:spacing w:after="20" w:line="223" w:lineRule="auto"/>
        <w:jc w:val="right"/>
        <w:bidi/>
      </w:pPr>
      <w:r>
        <w:rPr>
          <w:rFonts w:ascii="Arial" w:hAnsi="Arial"/>
          <w:sz w:val="16"/>
        </w:rPr>
        <w:t>020.06  نیروهای محور متشکل از آلمان، ژاپن و ایتالیا بودند.</w:t>
      </w:r>
    </w:p>
    <w:p>
      <w:pPr>
        <w:spacing w:after="28" w:line="216" w:lineRule="auto"/>
        <w:ind w:left="259"/>
        <w:jc w:val="left"/>
      </w:pPr>
      <w:r>
        <w:rPr>
          <w:rFonts w:ascii="Arial" w:hAnsi="Arial"/>
          <w:color w:val="525252"/>
          <w:sz w:val="13"/>
        </w:rPr>
        <w:t>The Axis Powers consisted of Germany, Japan, and Italy.</w:t>
      </w:r>
    </w:p>
    <w:p>
      <w:pPr>
        <w:spacing w:after="20" w:line="223" w:lineRule="auto"/>
        <w:jc w:val="right"/>
        <w:bidi/>
      </w:pPr>
      <w:r>
        <w:rPr>
          <w:rFonts w:ascii="Arial" w:hAnsi="Arial"/>
          <w:sz w:val="16"/>
        </w:rPr>
        <w:t>020.07  اگر جنگ جهانی اول نشان دهنده وعده نیروی هوایی بود، جنگ جهانی دوم این چشم انداز را برآورده کرد.</w:t>
      </w:r>
    </w:p>
    <w:p>
      <w:pPr>
        <w:spacing w:after="28" w:line="216" w:lineRule="auto"/>
        <w:ind w:left="259"/>
        <w:jc w:val="left"/>
      </w:pPr>
      <w:r>
        <w:rPr>
          <w:rFonts w:ascii="Arial" w:hAnsi="Arial"/>
          <w:color w:val="525252"/>
          <w:sz w:val="13"/>
        </w:rPr>
        <w:t>If World War I signaled airpower’s promise, World War II fulfilled the vision.</w:t>
      </w:r>
    </w:p>
    <w:p>
      <w:pPr>
        <w:spacing w:after="20" w:line="223" w:lineRule="auto"/>
        <w:jc w:val="right"/>
        <w:bidi/>
      </w:pPr>
      <w:r>
        <w:rPr>
          <w:rFonts w:ascii="Arial" w:hAnsi="Arial"/>
          <w:sz w:val="16"/>
        </w:rPr>
        <w:t>020.08  در تمام جنبه‌های نبرد هوایی، نیروی هوایی به‌عنوان یک ضرب کننده نیرو عمل می‌کرد.</w:t>
      </w:r>
    </w:p>
    <w:p>
      <w:pPr>
        <w:spacing w:after="28" w:line="216" w:lineRule="auto"/>
        <w:ind w:left="259"/>
        <w:jc w:val="left"/>
      </w:pPr>
      <w:r>
        <w:rPr>
          <w:rFonts w:ascii="Arial" w:hAnsi="Arial"/>
          <w:color w:val="525252"/>
          <w:sz w:val="13"/>
        </w:rPr>
        <w:t>In every aspect of aerial combat, airpower served as a force multiplier.</w:t>
      </w:r>
    </w:p>
    <w:p>
      <w:pPr>
        <w:spacing w:after="20" w:line="223" w:lineRule="auto"/>
        <w:jc w:val="right"/>
        <w:bidi/>
      </w:pPr>
      <w:r>
        <w:rPr>
          <w:rFonts w:ascii="Arial" w:hAnsi="Arial"/>
          <w:sz w:val="16"/>
        </w:rPr>
        <w:t>020.09  برتری هوایی پیش نیاز عملیات‌های زمینی، دریایی و هوایی موفق است.</w:t>
      </w:r>
    </w:p>
    <w:p>
      <w:pPr>
        <w:spacing w:after="28" w:line="216" w:lineRule="auto"/>
        <w:ind w:left="259"/>
        <w:jc w:val="left"/>
      </w:pPr>
      <w:r>
        <w:rPr>
          <w:rFonts w:ascii="Arial" w:hAnsi="Arial"/>
          <w:color w:val="525252"/>
          <w:sz w:val="13"/>
        </w:rPr>
        <w:t>Air superiority proved to be a prerequisite for successful land, sea, and air operations.</w:t>
      </w:r>
    </w:p>
    <w:p>
      <w:pPr>
        <w:spacing w:before="60" w:after="28"/>
        <w:jc w:val="right"/>
        <w:bidi/>
      </w:pPr>
      <w:r>
        <w:rPr>
          <w:b/>
          <w:color w:val="1F4D78"/>
          <w:sz w:val="18"/>
        </w:rPr>
        <w:t>2.14. Ramping Up</w:t>
      </w:r>
    </w:p>
    <w:p>
      <w:pPr>
        <w:spacing w:after="20"/>
        <w:ind w:left="259"/>
        <w:jc w:val="left"/>
      </w:pPr>
      <w:r>
        <w:rPr>
          <w:color w:val="555555"/>
          <w:sz w:val="12"/>
        </w:rPr>
        <w:t>2.14. Ramping Up</w:t>
      </w:r>
    </w:p>
    <w:p>
      <w:pPr>
        <w:spacing w:after="20" w:line="223" w:lineRule="auto"/>
        <w:jc w:val="right"/>
        <w:bidi/>
      </w:pPr>
      <w:r>
        <w:rPr>
          <w:rFonts w:ascii="Arial" w:hAnsi="Arial"/>
          <w:sz w:val="16"/>
        </w:rPr>
        <w:t>020.11  با درک نیاز به دفاع ملی قوی، در سال ۱۹۴۰، رئیس جمهور فرانکلین دی. روزولت، از صنعت آمریکا خواست تا ۵۰۰۰۰ هواپیمای نظامی در سال بسازد تا برای دفاع از منافع کشورمان آماده شود.</w:t>
      </w:r>
    </w:p>
    <w:p>
      <w:pPr>
        <w:spacing w:after="28" w:line="216" w:lineRule="auto"/>
        <w:ind w:left="259"/>
        <w:jc w:val="left"/>
      </w:pPr>
      <w:r>
        <w:rPr>
          <w:rFonts w:ascii="Arial" w:hAnsi="Arial"/>
          <w:color w:val="525252"/>
          <w:sz w:val="13"/>
        </w:rPr>
        <w:t>Recognizing the need for a robust national defense, in 1940 President Franklin D. Roosevelt called for American industry to build 50,000 military aircraft a year in preparation for defending our nation’s interests.</w:t>
      </w:r>
    </w:p>
    <w:p>
      <w:pPr>
        <w:spacing w:after="20" w:line="223" w:lineRule="auto"/>
        <w:jc w:val="right"/>
        <w:bidi/>
      </w:pPr>
      <w:r>
        <w:rPr>
          <w:rFonts w:ascii="Arial" w:hAnsi="Arial"/>
          <w:sz w:val="16"/>
        </w:rPr>
        <w:t>020.12  در همان سال، کنگره اولین قانون اجباری اجباری در زمان صلح را در تاریخ ایالات متحده تصویب کرد، که ملزم به پیوستن همه مردان توانمند به خدمت بود.</w:t>
      </w:r>
    </w:p>
    <w:p>
      <w:pPr>
        <w:spacing w:after="28" w:line="216" w:lineRule="auto"/>
        <w:ind w:left="259"/>
        <w:jc w:val="left"/>
      </w:pPr>
      <w:r>
        <w:rPr>
          <w:rFonts w:ascii="Arial" w:hAnsi="Arial"/>
          <w:color w:val="525252"/>
          <w:sz w:val="13"/>
        </w:rPr>
        <w:t>That same year, Congress passed the first peacetime conscription law in United States history, mandating that all able-bodied men join the service.</w:t>
      </w:r>
    </w:p>
    <w:p>
      <w:pPr>
        <w:spacing w:after="20" w:line="223" w:lineRule="auto"/>
        <w:jc w:val="right"/>
        <w:bidi/>
      </w:pPr>
      <w:r>
        <w:rPr>
          <w:rFonts w:ascii="Arial" w:hAnsi="Arial"/>
          <w:sz w:val="16"/>
        </w:rPr>
        <w:t>020.13  در آن زمان، موجودی نیروی هوایی ارتش ایالات متحده فقط ۱۷۰۰ فروند هواپیمای تاکتیکی و آموزشی، ۱۶۰۰ افسر نیروی هوایی و ۱۸۰۰۰ سرباز ثبت‌نام شده بود.</w:t>
      </w:r>
    </w:p>
    <w:p>
      <w:pPr>
        <w:spacing w:after="28" w:line="216" w:lineRule="auto"/>
        <w:ind w:left="259"/>
        <w:jc w:val="left"/>
      </w:pPr>
      <w:r>
        <w:rPr>
          <w:rFonts w:ascii="Arial" w:hAnsi="Arial"/>
          <w:color w:val="525252"/>
          <w:sz w:val="13"/>
        </w:rPr>
        <w:t>At the time, the U.S. Army Air Corps inventory was merely 1,700 tactical and training aircraft, 1,600 Air Corps officers, and 18,000 enlisted men.</w:t>
      </w:r>
    </w:p>
    <w:p>
      <w:pPr>
        <w:spacing w:after="20" w:line="223" w:lineRule="auto"/>
        <w:jc w:val="right"/>
        <w:bidi/>
      </w:pPr>
      <w:r>
        <w:rPr>
          <w:rFonts w:ascii="Arial" w:hAnsi="Arial"/>
          <w:sz w:val="16"/>
        </w:rPr>
        <w:t>020.14  نیروی هوایی برای ۲۴ گروه آماده رزمی عملیاتی تا سال ۱۹۴۱ برنامه‌ریزی کرد که نیاز به افزایش زیادی نیروی انسانی، آموزش و تجهیزات داشت.</w:t>
      </w:r>
    </w:p>
    <w:p>
      <w:pPr>
        <w:spacing w:after="28" w:line="216" w:lineRule="auto"/>
        <w:ind w:left="259"/>
        <w:jc w:val="left"/>
      </w:pPr>
      <w:r>
        <w:rPr>
          <w:rFonts w:ascii="Arial" w:hAnsi="Arial"/>
          <w:color w:val="525252"/>
          <w:sz w:val="13"/>
        </w:rPr>
        <w:t>The Air Corps planned for 24 operational combat-ready groups by 1941, which called for greatly enhanced manpower, training, and equipment.</w:t>
      </w:r>
    </w:p>
    <w:p>
      <w:pPr>
        <w:spacing w:after="20" w:line="223" w:lineRule="auto"/>
        <w:jc w:val="right"/>
        <w:bidi/>
      </w:pPr>
      <w:r>
        <w:rPr>
          <w:rFonts w:ascii="Arial" w:hAnsi="Arial"/>
          <w:sz w:val="16"/>
        </w:rPr>
        <w:t>020.15  اگرچه صنعت آمریکا آماده بود تا با تولید، طرح‌های هوانوردی، نقشه‌ها، ابزارها، قالب‌ها، بدنه‌های هواپیما، موتورها، کارخانه‌ها، کارگران ماهر و اجزای بی‌شمار دیگری از صنعت هوانوردی پیش برود، اما توسعه آنها به زمان نیاز دارد.</w:t>
      </w:r>
    </w:p>
    <w:p>
      <w:pPr>
        <w:spacing w:after="28" w:line="216" w:lineRule="auto"/>
        <w:ind w:left="259"/>
        <w:jc w:val="left"/>
      </w:pPr>
      <w:r>
        <w:rPr>
          <w:rFonts w:ascii="Arial" w:hAnsi="Arial"/>
          <w:color w:val="525252"/>
          <w:sz w:val="13"/>
        </w:rPr>
        <w:t>Although American industry was ready to move forward with production, aeronautical designs, blueprints, tools, dies, airframes, engines, factories, skilled workers, and countless other components of an aviation industry, they would require time to develop.</w:t>
      </w:r>
    </w:p>
    <w:p>
      <w:pPr>
        <w:spacing w:after="20" w:line="223" w:lineRule="auto"/>
        <w:jc w:val="right"/>
        <w:bidi/>
      </w:pPr>
      <w:r>
        <w:rPr>
          <w:rFonts w:ascii="Arial" w:hAnsi="Arial"/>
          <w:sz w:val="16"/>
        </w:rPr>
        <w:t>020.16  در ۷ دسامبر ۱۹۴۱، "تاریخی که در بدنام خواهد ماند"، امپراتوری ژاپن با غرق کردن یا آسیب رساندن شدید به چندین کشتی جنگی نظامی در دو موج تقریبا ۳۵۰ هواپیمای ژاپنی، ضربه‌ای ویرانگر به ایالات متحده در پرل هاربر، هاوایی وارد کرد.</w:t>
      </w:r>
    </w:p>
    <w:p>
      <w:pPr>
        <w:spacing w:after="28" w:line="216" w:lineRule="auto"/>
        <w:ind w:left="259"/>
        <w:jc w:val="left"/>
      </w:pPr>
      <w:r>
        <w:rPr>
          <w:rFonts w:ascii="Arial" w:hAnsi="Arial"/>
          <w:color w:val="525252"/>
          <w:sz w:val="13"/>
        </w:rPr>
        <w:t>On 7 December 1941, “a date which will live in infamy,” Imperial Japan dealt a devastating blow to the United States at Pearl Harbor, Hawaii by sinking or heavily damaging several military battleships in two waves of approximately 350 Japanese aircraft.</w:t>
      </w:r>
    </w:p>
    <w:p>
      <w:pPr>
        <w:spacing w:after="20" w:line="223" w:lineRule="auto"/>
        <w:jc w:val="right"/>
        <w:bidi/>
      </w:pPr>
      <w:r>
        <w:rPr>
          <w:rFonts w:ascii="Arial" w:hAnsi="Arial"/>
          <w:sz w:val="16"/>
        </w:rPr>
        <w:t>020.17  همچنین، هواپیماهای نظامی ما اهداف اصلی را برای هوانوردان ژاپنی ایجاد کردند، زیرا آنها به حمله خود در همان روز با انهدام یک ناوگان کامل در حال سوخت گیری در زمین در فیلیپین ادامه دادند.</w:t>
      </w:r>
    </w:p>
    <w:p>
      <w:pPr>
        <w:spacing w:after="28" w:line="216" w:lineRule="auto"/>
        <w:ind w:left="259"/>
        <w:jc w:val="left"/>
      </w:pPr>
      <w:r>
        <w:rPr>
          <w:rFonts w:ascii="Arial" w:hAnsi="Arial"/>
          <w:color w:val="525252"/>
          <w:sz w:val="13"/>
        </w:rPr>
        <w:t>Also, our military aircraft made prime targets for Japanese aviators as they continued their attack that same day by destroying an entire fleet refueling on the ground in the Philippines.</w:t>
      </w:r>
    </w:p>
    <w:p>
      <w:pPr>
        <w:spacing w:after="20" w:line="223" w:lineRule="auto"/>
        <w:jc w:val="right"/>
        <w:bidi/>
      </w:pPr>
      <w:r>
        <w:rPr>
          <w:rFonts w:ascii="Arial" w:hAnsi="Arial"/>
          <w:sz w:val="16"/>
        </w:rPr>
        <w:t>020.18  در ۸ دسامبر ۱۹۴۱، ایالات متحده به ژاپن اعلام جنگ کرد.</w:t>
      </w:r>
    </w:p>
    <w:p>
      <w:pPr>
        <w:spacing w:after="28" w:line="216" w:lineRule="auto"/>
        <w:ind w:left="259"/>
        <w:jc w:val="left"/>
      </w:pPr>
      <w:r>
        <w:rPr>
          <w:rFonts w:ascii="Arial" w:hAnsi="Arial"/>
          <w:color w:val="525252"/>
          <w:sz w:val="13"/>
        </w:rPr>
        <w:t>On 8 December 1941, the United States declared war on Japan.</w:t>
      </w:r>
    </w:p>
    <w:p>
      <w:pPr>
        <w:spacing w:after="20" w:line="223" w:lineRule="auto"/>
        <w:jc w:val="right"/>
        <w:bidi/>
      </w:pPr>
      <w:r>
        <w:rPr>
          <w:rFonts w:ascii="Arial" w:hAnsi="Arial"/>
          <w:sz w:val="16"/>
        </w:rPr>
        <w:t>020.19  سه روز بعد، ما با آلمان و ایتالیا به‌عنوان متحدان ژاپن در جنگ بودیم.</w:t>
      </w:r>
    </w:p>
    <w:p>
      <w:pPr>
        <w:spacing w:after="28" w:line="216" w:lineRule="auto"/>
        <w:ind w:left="259"/>
        <w:jc w:val="left"/>
      </w:pPr>
      <w:r>
        <w:rPr>
          <w:rFonts w:ascii="Arial" w:hAnsi="Arial"/>
          <w:color w:val="525252"/>
          <w:sz w:val="13"/>
        </w:rPr>
        <w:t>Three days later, we were at war with Germany and Italy as allies of Japan.</w:t>
      </w:r>
    </w:p>
    <w:p>
      <w:pPr>
        <w:spacing w:after="20" w:line="223" w:lineRule="auto"/>
        <w:jc w:val="right"/>
        <w:bidi/>
      </w:pPr>
      <w:r>
        <w:rPr>
          <w:rFonts w:ascii="Arial" w:hAnsi="Arial"/>
          <w:sz w:val="16"/>
        </w:rPr>
        <w:t>020.20  علیرغم این واقعیت که حمله به پرل هاربر چیزی بود که ایالات متحده را به‌طور رسمی وارد جنگ کرد، جنگ در اروپا و شکست آلمان اولویت داشت.</w:t>
      </w:r>
    </w:p>
    <w:p>
      <w:pPr>
        <w:spacing w:after="28" w:line="216" w:lineRule="auto"/>
        <w:ind w:left="259"/>
        <w:jc w:val="left"/>
      </w:pPr>
      <w:r>
        <w:rPr>
          <w:rFonts w:ascii="Arial" w:hAnsi="Arial"/>
          <w:color w:val="525252"/>
          <w:sz w:val="13"/>
        </w:rPr>
        <w:t>Despite the fact that the attack on Pearl Harbor was what formally brought the United States into the war, the war in Europe and the defeat of Germany would take precedence.</w:t>
      </w:r>
    </w:p>
    <w:p>
      <w:pPr>
        <w:spacing w:after="20" w:line="223" w:lineRule="auto"/>
        <w:jc w:val="right"/>
        <w:bidi/>
      </w:pPr>
      <w:r>
        <w:rPr>
          <w:rFonts w:ascii="Arial" w:hAnsi="Arial"/>
          <w:sz w:val="16"/>
        </w:rPr>
        <w:t>020.21  با تأمل بر دکترین مدرسه تاکتیکی سپاه هوایی دهه ۱۹۳۰ مبنی بر استفاده از نیروی عظیم برای از بین بردن اراده و توانایی دشمن برای مبارزه از طریق بمباران راهبردی دوربرد، تا سال ۱۹۴۲ کارخانه‌های آمریکایی ۳۳۳۰۴ هواپیما تولید کردند و تا سال ۱۹۴۴ موجودی به ۷۲.۷۲۶ رسید.</w:t>
      </w:r>
    </w:p>
    <w:p>
      <w:pPr>
        <w:spacing w:after="28" w:line="216" w:lineRule="auto"/>
        <w:ind w:left="259"/>
        <w:jc w:val="left"/>
      </w:pPr>
      <w:r>
        <w:rPr>
          <w:rFonts w:ascii="Arial" w:hAnsi="Arial"/>
          <w:color w:val="525252"/>
          <w:sz w:val="13"/>
        </w:rPr>
        <w:t>Reflecting on 1930s Air Corps Tactical School doctrine of using massive force to destroy the enemy’s will and capability to fight through long-range strategic bombardment, by 1942 American factories produced 33,304 aircraft, and by 1944 the inventory rose to 72,726.</w:t>
      </w:r>
    </w:p>
    <w:p>
      <w:pPr>
        <w:spacing w:after="20" w:line="223" w:lineRule="auto"/>
        <w:jc w:val="right"/>
        <w:bidi/>
      </w:pPr>
      <w:r>
        <w:rPr>
          <w:rFonts w:ascii="Arial" w:hAnsi="Arial"/>
          <w:sz w:val="16"/>
        </w:rPr>
        <w:t>020.22  همچنین تا مارس ۱۹۴۴ نیروی انسانی نیروی هوایی به بیش از دو میلیون نفر رسید.</w:t>
      </w:r>
    </w:p>
    <w:p>
      <w:pPr>
        <w:spacing w:after="28" w:line="216" w:lineRule="auto"/>
        <w:ind w:left="259"/>
        <w:jc w:val="left"/>
      </w:pPr>
      <w:r>
        <w:rPr>
          <w:rFonts w:ascii="Arial" w:hAnsi="Arial"/>
          <w:color w:val="525252"/>
          <w:sz w:val="13"/>
        </w:rPr>
        <w:t>Also, by March 1944 Air Force manpower reached over two million.</w:t>
      </w:r>
    </w:p>
    <w:p>
      <w:pPr>
        <w:spacing w:after="20" w:line="223" w:lineRule="auto"/>
        <w:jc w:val="right"/>
        <w:bidi/>
      </w:pPr>
      <w:r>
        <w:rPr>
          <w:rFonts w:ascii="Arial" w:hAnsi="Arial"/>
          <w:sz w:val="16"/>
        </w:rPr>
        <w:t>020.23  در طول جنگ، اکثریت هوانوردان در نقش‌هایی ایفای نقش می‌کردند که هرگز آنها را به هوا نمی‌برد، اما بدون تلاش آنها، هیچ بمبی پرتاب نمی‌شد و هیچ جنگی نمی‌توانست به راه انداخته شود.</w:t>
      </w:r>
    </w:p>
    <w:p>
      <w:pPr>
        <w:spacing w:after="28" w:line="216" w:lineRule="auto"/>
        <w:ind w:left="259"/>
        <w:jc w:val="left"/>
      </w:pPr>
      <w:r>
        <w:rPr>
          <w:rFonts w:ascii="Arial" w:hAnsi="Arial"/>
          <w:color w:val="525252"/>
          <w:sz w:val="13"/>
        </w:rPr>
        <w:t>During the war, the majority of enlisted Airmen served in roles that never took them into the air, but without their efforts, no bombs would have dropped, and no war could have been waged.</w:t>
      </w:r>
    </w:p>
    <w:p>
      <w:pPr>
        <w:spacing w:after="20" w:line="223" w:lineRule="auto"/>
        <w:jc w:val="right"/>
        <w:bidi/>
      </w:pPr>
      <w:r>
        <w:rPr>
          <w:rFonts w:ascii="Arial" w:hAnsi="Arial"/>
          <w:sz w:val="16"/>
        </w:rPr>
        <w:t>020.24  با احتساب تمامی پرسنل پشتیبانی در نیروی هوایی ارتش، نسبت نیروی هوایی به هواپیما حدود ۲۷ به ۱ بود.</w:t>
      </w:r>
    </w:p>
    <w:p>
      <w:pPr>
        <w:spacing w:after="28" w:line="216" w:lineRule="auto"/>
        <w:ind w:left="259"/>
        <w:jc w:val="left"/>
      </w:pPr>
      <w:r>
        <w:rPr>
          <w:rFonts w:ascii="Arial" w:hAnsi="Arial"/>
          <w:color w:val="525252"/>
          <w:sz w:val="13"/>
        </w:rPr>
        <w:t>Considering all the support personnel in the Army Air Corps, the ratio of Airmen to aircraft was about 27 to 1.</w:t>
      </w:r>
    </w:p>
    <w:p>
      <w:pPr>
        <w:spacing w:after="20" w:line="223" w:lineRule="auto"/>
        <w:jc w:val="right"/>
        <w:bidi/>
      </w:pPr>
      <w:r>
        <w:rPr>
          <w:rFonts w:ascii="Arial" w:hAnsi="Arial"/>
          <w:sz w:val="16"/>
        </w:rPr>
        <w:t>020.25  تولید صنعتی آمریکا، بمباران اهداف استراتژیک، تاکتیک‌های جدید، آموزش پیشرفته، بودجه بیشتر، و هواپیماهای جدید با برد، سرعت و مانور بیشتر، همه عوامل کلیدی برای پیروزی متفقین بودند.</w:t>
      </w:r>
    </w:p>
    <w:p>
      <w:pPr>
        <w:spacing w:after="28" w:line="216" w:lineRule="auto"/>
        <w:ind w:left="259"/>
        <w:jc w:val="left"/>
      </w:pPr>
      <w:r>
        <w:rPr>
          <w:rFonts w:ascii="Arial" w:hAnsi="Arial"/>
          <w:color w:val="525252"/>
          <w:sz w:val="13"/>
        </w:rPr>
        <w:t>American industrial production, strategic target bombing, new tactics, enhanced training, greater budgets, and new aircraft with greater range, speed, and maneuverability, all proved to be key factors to an Allied victory.</w:t>
      </w:r>
    </w:p>
    <w:p>
      <w:pPr>
        <w:spacing w:before="60" w:after="28"/>
        <w:jc w:val="right"/>
        <w:bidi/>
      </w:pPr>
      <w:r>
        <w:rPr>
          <w:b/>
          <w:color w:val="1F4D78"/>
          <w:sz w:val="18"/>
        </w:rPr>
        <w:t>2.15. منع تبعیض</w:t>
      </w:r>
    </w:p>
    <w:p>
      <w:pPr>
        <w:spacing w:after="20"/>
        <w:ind w:left="259"/>
        <w:jc w:val="left"/>
      </w:pPr>
      <w:r>
        <w:rPr>
          <w:color w:val="555555"/>
          <w:sz w:val="12"/>
        </w:rPr>
        <w:t>2.15. Prohibition of Discrimination</w:t>
      </w:r>
    </w:p>
    <w:p>
      <w:pPr>
        <w:spacing w:after="20" w:line="223" w:lineRule="auto"/>
        <w:jc w:val="right"/>
        <w:bidi/>
      </w:pPr>
      <w:r>
        <w:rPr>
          <w:rFonts w:ascii="Arial" w:hAnsi="Arial"/>
          <w:sz w:val="16"/>
        </w:rPr>
        <w:t>020.27  دستورات اجرایی ۸۸۰۲ و ۹۹۸۱.</w:t>
      </w:r>
    </w:p>
    <w:p>
      <w:pPr>
        <w:spacing w:after="28" w:line="216" w:lineRule="auto"/>
        <w:ind w:left="259"/>
        <w:jc w:val="left"/>
      </w:pPr>
      <w:r>
        <w:rPr>
          <w:rFonts w:ascii="Arial" w:hAnsi="Arial"/>
          <w:color w:val="525252"/>
          <w:sz w:val="13"/>
        </w:rPr>
        <w:t>Executive Orders 8802 and 9981.</w:t>
      </w:r>
    </w:p>
    <w:p>
      <w:pPr>
        <w:spacing w:after="20" w:line="223" w:lineRule="auto"/>
        <w:jc w:val="right"/>
        <w:bidi/>
      </w:pPr>
      <w:r>
        <w:rPr>
          <w:rFonts w:ascii="Arial" w:hAnsi="Arial"/>
          <w:sz w:val="16"/>
        </w:rPr>
        <w:t>020.28  در سال ۱۹۴۱، پرزیدنت روزولت فرمان اجرایی ۸۸۰۲ را امضا کرد که تبعیض نژادی در خدمات را ممنوع می‌کرد.</w:t>
      </w:r>
    </w:p>
    <w:p>
      <w:pPr>
        <w:spacing w:after="28" w:line="216" w:lineRule="auto"/>
        <w:ind w:left="259"/>
        <w:jc w:val="left"/>
      </w:pPr>
      <w:r>
        <w:rPr>
          <w:rFonts w:ascii="Arial" w:hAnsi="Arial"/>
          <w:color w:val="525252"/>
          <w:sz w:val="13"/>
        </w:rPr>
        <w:t>In 1941, President Roosevelt signed Executive Order 8802, prohibiting racial discrimination within the services.</w:t>
      </w:r>
    </w:p>
    <w:p>
      <w:pPr>
        <w:spacing w:after="20" w:line="223" w:lineRule="auto"/>
        <w:jc w:val="right"/>
        <w:bidi/>
      </w:pPr>
      <w:r>
        <w:rPr>
          <w:rFonts w:ascii="Arial" w:hAnsi="Arial"/>
          <w:sz w:val="16"/>
        </w:rPr>
        <w:t>020.29  فعالان حقوق مدنی با دستور اجرایی ۸۸۰۲ وعده حذف تبعیض نژادی را دیدند که برنامه‌های حرفه‌ای و آموزشی را ملزم می‌کرد.</w:t>
      </w:r>
    </w:p>
    <w:p>
      <w:pPr>
        <w:spacing w:after="28" w:line="216" w:lineRule="auto"/>
        <w:ind w:left="259"/>
        <w:jc w:val="left"/>
      </w:pPr>
      <w:r>
        <w:rPr>
          <w:rFonts w:ascii="Arial" w:hAnsi="Arial"/>
          <w:color w:val="525252"/>
          <w:sz w:val="13"/>
        </w:rPr>
        <w:t>Civil rights activists saw promise for desegregation with Executive Order 8802, requiring vocational and training programs to be</w:t>
      </w:r>
    </w:p>
    <w:p>
      <w:r>
        <w:br w:type="page"/>
      </w:r>
    </w:p>
    <w:p>
      <w:pPr>
        <w:spacing w:after="60"/>
        <w:jc w:val="right"/>
        <w:bidi/>
      </w:pPr>
      <w:r>
        <w:rPr>
          <w:rFonts w:ascii="Arial" w:hAnsi="Arial"/>
          <w:b/>
          <w:color w:val="1F4D78"/>
          <w:sz w:val="19"/>
        </w:rPr>
        <w:t>هفتهٔ 21  |  صفحهٔ منبع: 37</w:t>
      </w:r>
    </w:p>
    <w:p>
      <w:pPr>
        <w:spacing w:after="20" w:line="223" w:lineRule="auto"/>
        <w:jc w:val="right"/>
        <w:bidi/>
      </w:pPr>
      <w:r>
        <w:rPr>
          <w:rFonts w:ascii="Arial" w:hAnsi="Arial"/>
          <w:sz w:val="16"/>
        </w:rPr>
        <w:t>021.01  بدون تبعیض نژاد، عقیده، رنگ، یا منشاء ملی اداره می‌شود.</w:t>
      </w:r>
    </w:p>
    <w:p>
      <w:pPr>
        <w:spacing w:after="28" w:line="216" w:lineRule="auto"/>
        <w:ind w:left="259"/>
        <w:jc w:val="left"/>
      </w:pPr>
      <w:r>
        <w:rPr>
          <w:rFonts w:ascii="Arial" w:hAnsi="Arial"/>
          <w:color w:val="525252"/>
          <w:sz w:val="13"/>
        </w:rPr>
        <w:t>administered without discrimination for race, creed, color, or national origin.</w:t>
      </w:r>
    </w:p>
    <w:p>
      <w:pPr>
        <w:spacing w:after="20" w:line="223" w:lineRule="auto"/>
        <w:jc w:val="right"/>
        <w:bidi/>
      </w:pPr>
      <w:r>
        <w:rPr>
          <w:rFonts w:ascii="Arial" w:hAnsi="Arial"/>
          <w:sz w:val="16"/>
        </w:rPr>
        <w:t>021.02  دستور پیشرفت کرد اما به جداسازی پایان نداد.</w:t>
      </w:r>
    </w:p>
    <w:p>
      <w:pPr>
        <w:spacing w:after="28" w:line="216" w:lineRule="auto"/>
        <w:ind w:left="259"/>
        <w:jc w:val="left"/>
      </w:pPr>
      <w:r>
        <w:rPr>
          <w:rFonts w:ascii="Arial" w:hAnsi="Arial"/>
          <w:color w:val="525252"/>
          <w:sz w:val="13"/>
        </w:rPr>
        <w:t>The order made progress but did not end segregation.</w:t>
      </w:r>
    </w:p>
    <w:p>
      <w:pPr>
        <w:spacing w:after="20" w:line="223" w:lineRule="auto"/>
        <w:jc w:val="right"/>
        <w:bidi/>
      </w:pPr>
      <w:r>
        <w:rPr>
          <w:rFonts w:ascii="Arial" w:hAnsi="Arial"/>
          <w:sz w:val="16"/>
        </w:rPr>
        <w:t>021.03  هنگامی که USAF در سال ۱۹۴۷ به یک سرویس متمایز تبدیل شد، سیاست‌های جداسازی هواداران سیاه پوست را به یگان‌های کاملا سیاه پوست یا اسکادران‌های خدماتی مجزا محدود کرد.</w:t>
      </w:r>
    </w:p>
    <w:p>
      <w:pPr>
        <w:spacing w:after="28" w:line="216" w:lineRule="auto"/>
        <w:ind w:left="259"/>
        <w:jc w:val="left"/>
      </w:pPr>
      <w:r>
        <w:rPr>
          <w:rFonts w:ascii="Arial" w:hAnsi="Arial"/>
          <w:color w:val="525252"/>
          <w:sz w:val="13"/>
        </w:rPr>
        <w:t>When the USAF became a distinct service in 1947, segregation policies restricted black Airmen to all-black units or segregated service squadrons.</w:t>
      </w:r>
    </w:p>
    <w:p>
      <w:pPr>
        <w:spacing w:after="20" w:line="223" w:lineRule="auto"/>
        <w:jc w:val="right"/>
        <w:bidi/>
      </w:pPr>
      <w:r>
        <w:rPr>
          <w:rFonts w:ascii="Arial" w:hAnsi="Arial"/>
          <w:sz w:val="16"/>
        </w:rPr>
        <w:t>021.04  در سال ۱۹۴۸، رئیس جمهور هری اس ترومن فرمان اجرایی ۹۹۸۱ را برای لغو تبعیض نژادی امضا کرد.</w:t>
      </w:r>
    </w:p>
    <w:p>
      <w:pPr>
        <w:spacing w:after="28" w:line="216" w:lineRule="auto"/>
        <w:ind w:left="259"/>
        <w:jc w:val="left"/>
      </w:pPr>
      <w:r>
        <w:rPr>
          <w:rFonts w:ascii="Arial" w:hAnsi="Arial"/>
          <w:color w:val="525252"/>
          <w:sz w:val="13"/>
        </w:rPr>
        <w:t>In 1948, President Harry S. Truman signed Executive Order 9981 to abolish racial discrimination.</w:t>
      </w:r>
    </w:p>
    <w:p>
      <w:pPr>
        <w:spacing w:after="20" w:line="223" w:lineRule="auto"/>
        <w:jc w:val="right"/>
        <w:bidi/>
      </w:pPr>
      <w:r>
        <w:rPr>
          <w:rFonts w:ascii="Arial" w:hAnsi="Arial"/>
          <w:sz w:val="16"/>
        </w:rPr>
        <w:t>021.05  در ۱۱ مه ۱۹۴۹، نامه ۳۵.۳ نیروی هوایی منتشر شد که اجباری می‌کرد که هواداران سیاه‌پوست بر اساس صلاحیت‌ها به واحدهای سابقا کاملا سفیدپوست منصوب شوند.</w:t>
      </w:r>
    </w:p>
    <w:p>
      <w:pPr>
        <w:spacing w:after="28" w:line="216" w:lineRule="auto"/>
        <w:ind w:left="259"/>
        <w:jc w:val="left"/>
      </w:pPr>
      <w:r>
        <w:rPr>
          <w:rFonts w:ascii="Arial" w:hAnsi="Arial"/>
          <w:color w:val="525252"/>
          <w:sz w:val="13"/>
        </w:rPr>
        <w:t>On 11 May 1949, Air Force Letter 35.3 was published, mandating that black Airmen be reassigned to formerly all-white units according to qualifications.</w:t>
      </w:r>
    </w:p>
    <w:p>
      <w:pPr>
        <w:spacing w:after="20" w:line="223" w:lineRule="auto"/>
        <w:jc w:val="right"/>
        <w:bidi/>
      </w:pPr>
      <w:r>
        <w:rPr>
          <w:rFonts w:ascii="Arial" w:hAnsi="Arial"/>
          <w:sz w:val="16"/>
        </w:rPr>
        <w:t>021.06  هوانوردان تاسکگی.</w:t>
      </w:r>
    </w:p>
    <w:p>
      <w:pPr>
        <w:spacing w:after="28" w:line="216" w:lineRule="auto"/>
        <w:ind w:left="259"/>
        <w:jc w:val="left"/>
      </w:pPr>
      <w:r>
        <w:rPr>
          <w:rFonts w:ascii="Arial" w:hAnsi="Arial"/>
          <w:color w:val="525252"/>
          <w:sz w:val="13"/>
        </w:rPr>
        <w:t>The Tuskegee Airmen.</w:t>
      </w:r>
    </w:p>
    <w:p>
      <w:pPr>
        <w:spacing w:after="20" w:line="223" w:lineRule="auto"/>
        <w:jc w:val="right"/>
        <w:bidi/>
      </w:pPr>
      <w:r>
        <w:rPr>
          <w:rFonts w:ascii="Arial" w:hAnsi="Arial"/>
          <w:sz w:val="16"/>
        </w:rPr>
        <w:t>021.07  در سال ۱۹۴۴، اولین نیروی هوایی تاسکگی که در جنگ جهانی دوم جنگیدند، اعضای اسکادران جنگنده ۹۹، واحدی بودند که توسط سرهنگ بنجامین او. دیویس جونیور، فارغ‌التحصیل سیاه پوست وست پوینت فرماندهی می‌شد.</w:t>
      </w:r>
    </w:p>
    <w:p>
      <w:pPr>
        <w:spacing w:after="28" w:line="216" w:lineRule="auto"/>
        <w:ind w:left="259"/>
        <w:jc w:val="left"/>
      </w:pPr>
      <w:r>
        <w:rPr>
          <w:rFonts w:ascii="Arial" w:hAnsi="Arial"/>
          <w:color w:val="525252"/>
          <w:sz w:val="13"/>
        </w:rPr>
        <w:t>In 1944, the first Tuskegee Airmen to fight in World War II were members of the 99th Fighter Squadron, a unit commanded by black West Point graduate, Colonel Benjamin O. Davis, Jr.</w:t>
      </w:r>
    </w:p>
    <w:p>
      <w:pPr>
        <w:spacing w:after="20" w:line="223" w:lineRule="auto"/>
        <w:jc w:val="right"/>
        <w:bidi/>
      </w:pPr>
      <w:r>
        <w:rPr>
          <w:rFonts w:ascii="Arial" w:hAnsi="Arial"/>
          <w:sz w:val="16"/>
        </w:rPr>
        <w:t>021.08  بلافاصله پس از نبرد با هواپیماهای آلمانی بر فراز آسمان آنزیو، ایتالیا با هواپیمای پ-۴۰ خود، واحد دوم توسکگی، گروه جنگنده ۳۳۲د با پ-۳۹‌های خود به آنها ملحق شدند.</w:t>
      </w:r>
    </w:p>
    <w:p>
      <w:pPr>
        <w:spacing w:after="28" w:line="216" w:lineRule="auto"/>
        <w:ind w:left="259"/>
        <w:jc w:val="left"/>
      </w:pPr>
      <w:r>
        <w:rPr>
          <w:rFonts w:ascii="Arial" w:hAnsi="Arial"/>
          <w:color w:val="525252"/>
          <w:sz w:val="13"/>
        </w:rPr>
        <w:t>Soon after battling German aircraft over the skies of Anzio, Italy in their P-40 aircraft, they were joined by a second Tuskegee unit, the 332d Fighter Group with their P-39s.</w:t>
      </w:r>
    </w:p>
    <w:p>
      <w:pPr>
        <w:spacing w:after="20" w:line="223" w:lineRule="auto"/>
        <w:jc w:val="right"/>
        <w:bidi/>
      </w:pPr>
      <w:r>
        <w:rPr>
          <w:rFonts w:ascii="Arial" w:hAnsi="Arial"/>
          <w:sz w:val="16"/>
        </w:rPr>
        <w:t>021.09  هواپیماهای منسوخ توسکگی نیروهای هوایی در اواخر همان سال به ترتیب با پ-۴۷ و پ-۵۱ جایگزین شدند و خدمه مأموریت‌های اسکورت بمب افکن را انجام دادند تا اینکه آلمانی‌ها ت توسکگی نیروهای هوایی را در بهار ۱۹۴۵ تسلیم کردند.</w:t>
      </w:r>
    </w:p>
    <w:p>
      <w:pPr>
        <w:spacing w:after="28" w:line="216" w:lineRule="auto"/>
        <w:ind w:left="259"/>
        <w:jc w:val="left"/>
      </w:pPr>
      <w:r>
        <w:rPr>
          <w:rFonts w:ascii="Arial" w:hAnsi="Arial"/>
          <w:color w:val="525252"/>
          <w:sz w:val="13"/>
        </w:rPr>
        <w:t>The Tuskegee Airmen’s obsolete aircraft were replaced later that year by P-47s and P-51s respectively, and the crews flew bomber escort missions until the German surrender The Tuskegee Airmen in the spring of 1945.</w:t>
      </w:r>
    </w:p>
    <w:p>
      <w:pPr>
        <w:spacing w:after="20" w:line="223" w:lineRule="auto"/>
        <w:jc w:val="right"/>
        <w:bidi/>
      </w:pPr>
      <w:r>
        <w:rPr>
          <w:rFonts w:ascii="Arial" w:hAnsi="Arial"/>
          <w:sz w:val="16"/>
        </w:rPr>
        <w:t>021.10  تا پایان جنگ جهانی دوم، نزدیک به ۱۰۰۰ سیاهپوست آمریکایی با افتخار و به حق بال خود را به دست آورده بودند.</w:t>
      </w:r>
    </w:p>
    <w:p>
      <w:pPr>
        <w:spacing w:after="28" w:line="216" w:lineRule="auto"/>
        <w:ind w:left="259"/>
        <w:jc w:val="left"/>
      </w:pPr>
      <w:r>
        <w:rPr>
          <w:rFonts w:ascii="Arial" w:hAnsi="Arial"/>
          <w:color w:val="525252"/>
          <w:sz w:val="13"/>
        </w:rPr>
        <w:t>By the end of World War II, nearly 1,000 black Americans had proudly and rightfully earned their wings.</w:t>
      </w:r>
    </w:p>
    <w:p>
      <w:pPr>
        <w:spacing w:after="20" w:line="223" w:lineRule="auto"/>
        <w:jc w:val="right"/>
        <w:bidi/>
      </w:pPr>
      <w:r>
        <w:rPr>
          <w:rFonts w:ascii="Arial" w:hAnsi="Arial"/>
          <w:sz w:val="16"/>
        </w:rPr>
        <w:t>021.11  هواداران توسکگی ۱۱۲ هواپیمای دشمن را در نبرد هوا به هوا منهدم کردند و ۶۶ هواپیمای خود را از دست دادند.</w:t>
      </w:r>
    </w:p>
    <w:p>
      <w:pPr>
        <w:spacing w:after="28" w:line="216" w:lineRule="auto"/>
        <w:ind w:left="259"/>
        <w:jc w:val="left"/>
      </w:pPr>
      <w:r>
        <w:rPr>
          <w:rFonts w:ascii="Arial" w:hAnsi="Arial"/>
          <w:color w:val="525252"/>
          <w:sz w:val="13"/>
        </w:rPr>
        <w:t>The Tuskegee Airmen destroyed 112 enemy aircraft in air-to-air combat, losing 66 of their own aircraft.</w:t>
      </w:r>
    </w:p>
    <w:p>
      <w:pPr>
        <w:spacing w:after="20" w:line="223" w:lineRule="auto"/>
        <w:jc w:val="right"/>
        <w:bidi/>
      </w:pPr>
      <w:r>
        <w:rPr>
          <w:rFonts w:ascii="Arial" w:hAnsi="Arial"/>
          <w:sz w:val="16"/>
        </w:rPr>
        <w:t>021.12  به‌عنوان ادای احترام به مهارت، شجاعت و عزم خود، هوانوردان توسکگی در ۳۱۲ مأموریت اسکورت خود به آلمان رکورد رزمی برجسته‌ای را به دست آوردند.</w:t>
      </w:r>
    </w:p>
    <w:p>
      <w:pPr>
        <w:spacing w:after="28" w:line="216" w:lineRule="auto"/>
        <w:ind w:left="259"/>
        <w:jc w:val="left"/>
      </w:pPr>
      <w:r>
        <w:rPr>
          <w:rFonts w:ascii="Arial" w:hAnsi="Arial"/>
          <w:color w:val="525252"/>
          <w:sz w:val="13"/>
        </w:rPr>
        <w:t>As a tribute to their skill, courage, and determination, the Tuskegee Airmen amassed a distinguished combat record on their 312 escort missions into Germany.</w:t>
      </w:r>
    </w:p>
    <w:p>
      <w:pPr>
        <w:spacing w:after="20" w:line="223" w:lineRule="auto"/>
        <w:jc w:val="right"/>
        <w:bidi/>
      </w:pPr>
      <w:r>
        <w:rPr>
          <w:rFonts w:ascii="Arial" w:hAnsi="Arial"/>
          <w:sz w:val="16"/>
        </w:rPr>
        <w:t>021.13  اقدامات هواپیمای تاسکگی در آسمان شمال آفریقا، دریای مدیترانه، سیسیل، ایتالیا، اتریش، یوگسلاوی، فرانسه، رومانی و آلمان افسانه‌ها را از بین برد، تاریخ را بازنویسی کرد و USAF را برای اولین نیروی نظامی ایالات متحده برای ادغام نژادی آماده کرد.</w:t>
      </w:r>
    </w:p>
    <w:p>
      <w:pPr>
        <w:spacing w:after="28" w:line="216" w:lineRule="auto"/>
        <w:ind w:left="259"/>
        <w:jc w:val="left"/>
      </w:pPr>
      <w:r>
        <w:rPr>
          <w:rFonts w:ascii="Arial" w:hAnsi="Arial"/>
          <w:color w:val="525252"/>
          <w:sz w:val="13"/>
        </w:rPr>
        <w:t>The Tuskegee Airmen’s actions in the skies over North Africa, the Mediterranean, Sicily, Italy, Austria, Yugoslavia, France, Romania, and Germany dispelled myths, rewrote history, and prepared the USAF for being the first of the U.S. Armed Services to integrate racially.</w:t>
      </w:r>
    </w:p>
    <w:p>
      <w:pPr>
        <w:spacing w:after="20" w:line="223" w:lineRule="auto"/>
        <w:jc w:val="right"/>
        <w:bidi/>
      </w:pPr>
      <w:r>
        <w:rPr>
          <w:rFonts w:ascii="Arial" w:hAnsi="Arial"/>
          <w:sz w:val="16"/>
        </w:rPr>
        <w:t>021.14  اولین ژنرال آفریقایی آمریکایی در نیروی هوایی ایالات متحده، بنجامین او. دیویس، جونیور.</w:t>
      </w:r>
    </w:p>
    <w:p>
      <w:pPr>
        <w:spacing w:after="28" w:line="216" w:lineRule="auto"/>
        <w:ind w:left="259"/>
        <w:jc w:val="left"/>
      </w:pPr>
      <w:r>
        <w:rPr>
          <w:rFonts w:ascii="Arial" w:hAnsi="Arial"/>
          <w:color w:val="525252"/>
          <w:sz w:val="13"/>
        </w:rPr>
        <w:t>First African American General in the U.S. Air Force, Benjamin O. Davis, Jr.</w:t>
      </w:r>
    </w:p>
    <w:p>
      <w:pPr>
        <w:spacing w:after="20" w:line="223" w:lineRule="auto"/>
        <w:jc w:val="right"/>
        <w:bidi/>
      </w:pPr>
      <w:r>
        <w:rPr>
          <w:rFonts w:ascii="Arial" w:hAnsi="Arial"/>
          <w:sz w:val="16"/>
        </w:rPr>
        <w:t>021.15  ژنرال بنجامین او. دیویس جونیور فرمانده هوانوردان مشهور جنگ جهانی دوم تاسکگی بود.</w:t>
      </w:r>
    </w:p>
    <w:p>
      <w:pPr>
        <w:spacing w:after="28" w:line="216" w:lineRule="auto"/>
        <w:ind w:left="259"/>
        <w:jc w:val="left"/>
      </w:pPr>
      <w:r>
        <w:rPr>
          <w:rFonts w:ascii="Arial" w:hAnsi="Arial"/>
          <w:color w:val="525252"/>
          <w:sz w:val="13"/>
        </w:rPr>
        <w:t>General Benjamin O. Davis, Jr. was the commander of the famed World War II Tuskegee Airmen.</w:t>
      </w:r>
    </w:p>
    <w:p>
      <w:pPr>
        <w:spacing w:after="20" w:line="223" w:lineRule="auto"/>
        <w:jc w:val="right"/>
        <w:bidi/>
      </w:pPr>
      <w:r>
        <w:rPr>
          <w:rFonts w:ascii="Arial" w:hAnsi="Arial"/>
          <w:sz w:val="16"/>
        </w:rPr>
        <w:t>021.16  او همچنین پسر ژنرال بنجامین او دیویس، پدر، اولین ژنرال سیاه پوست ارتش ایالات متحده بود.</w:t>
      </w:r>
    </w:p>
    <w:p>
      <w:pPr>
        <w:spacing w:after="28" w:line="216" w:lineRule="auto"/>
        <w:ind w:left="259"/>
        <w:jc w:val="left"/>
      </w:pPr>
      <w:r>
        <w:rPr>
          <w:rFonts w:ascii="Arial" w:hAnsi="Arial"/>
          <w:color w:val="525252"/>
          <w:sz w:val="13"/>
        </w:rPr>
        <w:t>He was also the son of General Benjamin O. Davis, Sr., the first black General in the U.S. Army.</w:t>
      </w:r>
    </w:p>
    <w:p>
      <w:pPr>
        <w:spacing w:after="20" w:line="223" w:lineRule="auto"/>
        <w:jc w:val="right"/>
        <w:bidi/>
      </w:pPr>
      <w:r>
        <w:rPr>
          <w:rFonts w:ascii="Arial" w:hAnsi="Arial"/>
          <w:sz w:val="16"/>
        </w:rPr>
        <w:t>021.17  دیویس در سال ۱۹۳۶ از وست پوینت فارغ‌التحصیل شد و به‌عنوان افسر پیاده نظام مأمور شد.</w:t>
      </w:r>
    </w:p>
    <w:p>
      <w:pPr>
        <w:spacing w:after="28" w:line="216" w:lineRule="auto"/>
        <w:ind w:left="259"/>
        <w:jc w:val="left"/>
      </w:pPr>
      <w:r>
        <w:rPr>
          <w:rFonts w:ascii="Arial" w:hAnsi="Arial"/>
          <w:color w:val="525252"/>
          <w:sz w:val="13"/>
        </w:rPr>
        <w:t>Davis graduated from West Point in 1936 and was commissioned as an infantry officer.</w:t>
      </w:r>
    </w:p>
    <w:p>
      <w:pPr>
        <w:spacing w:after="20" w:line="223" w:lineRule="auto"/>
        <w:jc w:val="right"/>
        <w:bidi/>
      </w:pPr>
      <w:r>
        <w:rPr>
          <w:rFonts w:ascii="Arial" w:hAnsi="Arial"/>
          <w:sz w:val="16"/>
        </w:rPr>
        <w:t>021.18  او از سال ۱۹۳۸ تا ۱۹۴۱ مربی گروه آموزش افسران ذخیره در مؤسسه توسکگی بود و یکی از اولین آمریکایی‌های آفریقایی تبار بود که برای آموزش خلبانی پذیرفته شد.</w:t>
      </w:r>
    </w:p>
    <w:p>
      <w:pPr>
        <w:spacing w:after="28" w:line="216" w:lineRule="auto"/>
        <w:ind w:left="259"/>
        <w:jc w:val="left"/>
      </w:pPr>
      <w:r>
        <w:rPr>
          <w:rFonts w:ascii="Arial" w:hAnsi="Arial"/>
          <w:color w:val="525252"/>
          <w:sz w:val="13"/>
        </w:rPr>
        <w:t>He was a Reserve Officer Training Corp instructor at Tuskegee Institute from 1938 to 1941 and became one of the first African Americans admitted to pilot training.</w:t>
      </w:r>
    </w:p>
    <w:p>
      <w:pPr>
        <w:spacing w:after="20" w:line="223" w:lineRule="auto"/>
        <w:jc w:val="right"/>
        <w:bidi/>
      </w:pPr>
      <w:r>
        <w:rPr>
          <w:rFonts w:ascii="Arial" w:hAnsi="Arial"/>
          <w:sz w:val="16"/>
        </w:rPr>
        <w:t>021.19  بنجامین او. دیویس، جونیور.</w:t>
      </w:r>
    </w:p>
    <w:p>
      <w:pPr>
        <w:spacing w:after="28" w:line="216" w:lineRule="auto"/>
        <w:ind w:left="259"/>
        <w:jc w:val="left"/>
      </w:pPr>
      <w:r>
        <w:rPr>
          <w:rFonts w:ascii="Arial" w:hAnsi="Arial"/>
          <w:color w:val="525252"/>
          <w:sz w:val="13"/>
        </w:rPr>
        <w:t>Benjamin O. Davis, Jr.</w:t>
      </w:r>
    </w:p>
    <w:p>
      <w:pPr>
        <w:spacing w:after="20" w:line="223" w:lineRule="auto"/>
        <w:jc w:val="right"/>
        <w:bidi/>
      </w:pPr>
      <w:r>
        <w:rPr>
          <w:rFonts w:ascii="Arial" w:hAnsi="Arial"/>
          <w:sz w:val="16"/>
        </w:rPr>
        <w:t>021.20  در سال ۱۹۷۰، دیویس به‌عنوان افسر ارشد آمریکایی آفریقایی تبار در نیروهای مسلح ایالات متحده بازنشسته شد.</w:t>
      </w:r>
    </w:p>
    <w:p>
      <w:pPr>
        <w:spacing w:after="28" w:line="216" w:lineRule="auto"/>
        <w:ind w:left="259"/>
        <w:jc w:val="left"/>
      </w:pPr>
      <w:r>
        <w:rPr>
          <w:rFonts w:ascii="Arial" w:hAnsi="Arial"/>
          <w:color w:val="525252"/>
          <w:sz w:val="13"/>
        </w:rPr>
        <w:t>In 1970, Davis retired as the senior African American officer in the U.S. Armed Forces.</w:t>
      </w:r>
    </w:p>
    <w:p>
      <w:pPr>
        <w:spacing w:after="20" w:line="223" w:lineRule="auto"/>
        <w:jc w:val="right"/>
        <w:bidi/>
      </w:pPr>
      <w:r>
        <w:rPr>
          <w:rFonts w:ascii="Arial" w:hAnsi="Arial"/>
          <w:sz w:val="16"/>
        </w:rPr>
        <w:t>021.21  پس از بازنشستگی او نیروی ویژه‌ای از مارشال‌های آسمان را برای کمک به جنگ با هواپیماربایی سازمان داد و در ژوئیه ۱۹۷۱ به‌عنوان دستیار وزیر حمل و نقل منصوب شد و تا زمان بازنشستگی در سال ۱۹۷۵ در آنجا باقی ماند.</w:t>
      </w:r>
    </w:p>
    <w:p>
      <w:pPr>
        <w:spacing w:after="28" w:line="216" w:lineRule="auto"/>
        <w:ind w:left="259"/>
        <w:jc w:val="left"/>
      </w:pPr>
      <w:r>
        <w:rPr>
          <w:rFonts w:ascii="Arial" w:hAnsi="Arial"/>
          <w:color w:val="525252"/>
          <w:sz w:val="13"/>
        </w:rPr>
        <w:t>Upon retirement he organized a special force of sky marshals to help combat aircraft hijacking, and in July 1971 he was appointed as Assistant Secretary of Transportation, where he remained until he retired in 1975.</w:t>
      </w:r>
    </w:p>
    <w:p>
      <w:pPr>
        <w:spacing w:after="20" w:line="223" w:lineRule="auto"/>
        <w:jc w:val="right"/>
        <w:bidi/>
      </w:pPr>
      <w:r>
        <w:rPr>
          <w:rFonts w:ascii="Arial" w:hAnsi="Arial"/>
          <w:sz w:val="16"/>
        </w:rPr>
        <w:t>021.22  در ۸ دسامبر ۱۹۹۸، در مراسمی در کاخ سفید، رئیس جمهور ویلیام جی کلینتون، دیویس را به درجه ژنرال چهار ستاره ارتقا داد.</w:t>
      </w:r>
    </w:p>
    <w:p>
      <w:pPr>
        <w:spacing w:after="28" w:line="216" w:lineRule="auto"/>
        <w:ind w:left="259"/>
        <w:jc w:val="left"/>
      </w:pPr>
      <w:r>
        <w:rPr>
          <w:rFonts w:ascii="Arial" w:hAnsi="Arial"/>
          <w:color w:val="525252"/>
          <w:sz w:val="13"/>
        </w:rPr>
        <w:t>On 8 December 1998, in a ceremony at the White House, President William J. Clinton promoted Davis to the rank of four-star general.</w:t>
      </w:r>
    </w:p>
    <w:p>
      <w:pPr>
        <w:spacing w:after="20" w:line="223" w:lineRule="auto"/>
        <w:jc w:val="right"/>
        <w:bidi/>
      </w:pPr>
      <w:r>
        <w:rPr>
          <w:rFonts w:ascii="Arial" w:hAnsi="Arial"/>
          <w:sz w:val="16"/>
        </w:rPr>
        <w:t>021.23  اولین گروه داوطلب آمریکایی.</w:t>
      </w:r>
    </w:p>
    <w:p>
      <w:pPr>
        <w:spacing w:after="28" w:line="216" w:lineRule="auto"/>
        <w:ind w:left="259"/>
        <w:jc w:val="left"/>
      </w:pPr>
      <w:r>
        <w:rPr>
          <w:rFonts w:ascii="Arial" w:hAnsi="Arial"/>
          <w:color w:val="525252"/>
          <w:sz w:val="13"/>
        </w:rPr>
        <w:t>The First American Volunteer Group.</w:t>
      </w:r>
    </w:p>
    <w:p>
      <w:pPr>
        <w:spacing w:after="20" w:line="223" w:lineRule="auto"/>
        <w:jc w:val="right"/>
        <w:bidi/>
      </w:pPr>
      <w:r>
        <w:rPr>
          <w:rFonts w:ascii="Arial" w:hAnsi="Arial"/>
          <w:sz w:val="16"/>
        </w:rPr>
        <w:t>021.24  در اوایل سال ۱۹۴۱، اولین گروه داوطلب آمریکایی، معروف به ببرهای پرنده، برای تقویت تلاش‌های چین ملی‌گرا علیه مهاجمان ژاپنی سازماندهی شد.</w:t>
      </w:r>
    </w:p>
    <w:p>
      <w:pPr>
        <w:spacing w:after="28" w:line="216" w:lineRule="auto"/>
        <w:ind w:left="259"/>
        <w:jc w:val="left"/>
      </w:pPr>
      <w:r>
        <w:rPr>
          <w:rFonts w:ascii="Arial" w:hAnsi="Arial"/>
          <w:color w:val="525252"/>
          <w:sz w:val="13"/>
        </w:rPr>
        <w:t>In early 1941, the first American Volunteer Group, known as the Flying Tigers, was organized to reinforce Nationalist China’s efforts against Japanese invaders.</w:t>
      </w:r>
    </w:p>
    <w:p>
      <w:pPr>
        <w:spacing w:after="20" w:line="223" w:lineRule="auto"/>
        <w:jc w:val="right"/>
        <w:bidi/>
      </w:pPr>
      <w:r>
        <w:rPr>
          <w:rFonts w:ascii="Arial" w:hAnsi="Arial"/>
          <w:sz w:val="16"/>
        </w:rPr>
        <w:t>021.25  که تحت اختیار ریاست جمهوری ایالات متحده و رهبری کاپیتان کلر لی چنولت (که در نهایت به درجه سپهبدی رسید) استخدام شدند، ببرهای پرنده شامل خلبانانی از نیروی هوایی ارتش ایالات متحده، نیروی دریایی ایالات متحده، و نیروی دریایی ایالات متحده و همچنین چند غیرنظامی بود.</w:t>
      </w:r>
    </w:p>
    <w:p>
      <w:pPr>
        <w:spacing w:after="28" w:line="216" w:lineRule="auto"/>
        <w:ind w:left="259"/>
        <w:jc w:val="left"/>
      </w:pPr>
      <w:r>
        <w:rPr>
          <w:rFonts w:ascii="Arial" w:hAnsi="Arial"/>
          <w:color w:val="525252"/>
          <w:sz w:val="13"/>
        </w:rPr>
        <w:t>Recruited under U.S. Presidential authority and led by Captain Claire Lee Chennault (who eventually rose to the rank of Lieutenant General), the Flying Tigers included pilots from the U.S. Army Air Corps, U.S. Navy, and Marine Corps, as well as a few civilians.</w:t>
      </w:r>
    </w:p>
    <w:p>
      <w:pPr>
        <w:spacing w:after="20" w:line="223" w:lineRule="auto"/>
        <w:jc w:val="right"/>
        <w:bidi/>
      </w:pPr>
      <w:r>
        <w:rPr>
          <w:rFonts w:ascii="Arial" w:hAnsi="Arial"/>
          <w:sz w:val="16"/>
        </w:rPr>
        <w:t>021.26  گروه داوطلبان رسما اعضای نیروی هوایی چین بودند و قراردادهایی با حقوقی از ۲۵۰ دلار در ماه برای مکانیک‌ها تا ۷۵۰ دلار برای فرماندهان اسکادران داشتند، تقریبا سه برابر آنچه پیش‌تر می‌گرفتند.</w:t>
      </w:r>
    </w:p>
    <w:p>
      <w:pPr>
        <w:spacing w:after="28" w:line="216" w:lineRule="auto"/>
        <w:ind w:left="259"/>
        <w:jc w:val="left"/>
      </w:pPr>
      <w:r>
        <w:rPr>
          <w:rFonts w:ascii="Arial" w:hAnsi="Arial"/>
          <w:color w:val="525252"/>
          <w:sz w:val="13"/>
        </w:rPr>
        <w:t>The group of volunteers were officially members of the Chinese Air Force and had contracts with salaries ranging from $250 a month for mechanics to $750 for squadron commanders, roughly three times what they had been making previously.</w:t>
      </w:r>
    </w:p>
    <w:p>
      <w:r>
        <w:br w:type="page"/>
      </w:r>
    </w:p>
    <w:p>
      <w:pPr>
        <w:spacing w:after="60"/>
        <w:jc w:val="right"/>
        <w:bidi/>
      </w:pPr>
      <w:r>
        <w:rPr>
          <w:rFonts w:ascii="Arial" w:hAnsi="Arial"/>
          <w:b/>
          <w:color w:val="1F4D78"/>
          <w:sz w:val="19"/>
        </w:rPr>
        <w:t>هفتهٔ 22  |  صفحهٔ منبع: 38</w:t>
      </w:r>
    </w:p>
    <w:p>
      <w:pPr>
        <w:spacing w:after="20" w:line="223" w:lineRule="auto"/>
        <w:jc w:val="right"/>
        <w:bidi/>
      </w:pPr>
      <w:r>
        <w:rPr>
          <w:rFonts w:ascii="Arial" w:hAnsi="Arial"/>
          <w:sz w:val="16"/>
        </w:rPr>
        <w:t>022.01  سه اسکادران ببرهای پرنده، متشکل از آدم و حوا، خرس‌های پاندا، و فرشتگان جهنمی، هر کدام حدود ۳۰ هواپیما را نگهداری می‌کردند.</w:t>
      </w:r>
    </w:p>
    <w:p>
      <w:pPr>
        <w:spacing w:after="28" w:line="216" w:lineRule="auto"/>
        <w:ind w:left="259"/>
        <w:jc w:val="left"/>
      </w:pPr>
      <w:r>
        <w:rPr>
          <w:rFonts w:ascii="Arial" w:hAnsi="Arial"/>
          <w:color w:val="525252"/>
          <w:sz w:val="13"/>
        </w:rPr>
        <w:t>The three Flying Tigers squadrons, consisting of the Adam &amp; Eves, Panda Bears, and Hell's Angels, maintained around 30 aircraft each.</w:t>
      </w:r>
    </w:p>
    <w:p>
      <w:pPr>
        <w:spacing w:after="20" w:line="223" w:lineRule="auto"/>
        <w:jc w:val="right"/>
        <w:bidi/>
      </w:pPr>
      <w:r>
        <w:rPr>
          <w:rFonts w:ascii="Arial" w:hAnsi="Arial"/>
          <w:sz w:val="16"/>
        </w:rPr>
        <w:t>022.02  هنر بینی با چهره کوسه ببرهای پرنده یکی از قابل تشخیص‌ترین تصاویر از هر هواپیمای جنگی یا واحد رزمی جنگ جهانی دوم است.</w:t>
      </w:r>
    </w:p>
    <w:p>
      <w:pPr>
        <w:spacing w:after="28" w:line="216" w:lineRule="auto"/>
        <w:ind w:left="259"/>
        <w:jc w:val="left"/>
      </w:pPr>
      <w:r>
        <w:rPr>
          <w:rFonts w:ascii="Arial" w:hAnsi="Arial"/>
          <w:color w:val="525252"/>
          <w:sz w:val="13"/>
        </w:rPr>
        <w:t>The shark-faced nose art of the Flying Tigers remains among the most recognizable image of any individual combat aircraft or combat unit of World War II.</w:t>
      </w:r>
    </w:p>
    <w:p>
      <w:pPr>
        <w:spacing w:after="20" w:line="223" w:lineRule="auto"/>
        <w:jc w:val="right"/>
        <w:bidi/>
      </w:pPr>
      <w:r>
        <w:rPr>
          <w:rFonts w:ascii="Arial" w:hAnsi="Arial"/>
          <w:sz w:val="16"/>
        </w:rPr>
        <w:t>022.03  گروه داوطلب آمریکایی با انهدام تقریبا ۳۰۰ هواپیمای دشمن اعتبار داشت اما ۱۴ خلبان را در نبرد از دست داد.</w:t>
      </w:r>
    </w:p>
    <w:p>
      <w:pPr>
        <w:spacing w:after="28" w:line="216" w:lineRule="auto"/>
        <w:ind w:left="259"/>
        <w:jc w:val="left"/>
      </w:pPr>
      <w:r>
        <w:rPr>
          <w:rFonts w:ascii="Arial" w:hAnsi="Arial"/>
          <w:color w:val="525252"/>
          <w:sz w:val="13"/>
        </w:rPr>
        <w:t>The American Volunteer Group was credited with destroying almost 300 enemy aircraft but lost 14 pilots in combat.</w:t>
      </w:r>
    </w:p>
    <w:p>
      <w:pPr>
        <w:spacing w:after="20" w:line="223" w:lineRule="auto"/>
        <w:jc w:val="right"/>
        <w:bidi/>
      </w:pPr>
      <w:r>
        <w:rPr>
          <w:rFonts w:ascii="Arial" w:hAnsi="Arial"/>
          <w:sz w:val="16"/>
        </w:rPr>
        <w:t>022.04  در کتاب، ببرهای پرواز: کلر چنالت و داوطلبان آمریکایی او، ۱۹۴۱-۱۹۴۲، نویسنده، دانیل فورد، موفقیت گروه داوطلب آمریکایی را به روحیه و ت فیرست امریکان گرووپ سپریت د کورپس نسبت می‌دهد.</w:t>
      </w:r>
    </w:p>
    <w:p>
      <w:pPr>
        <w:spacing w:after="28" w:line="216" w:lineRule="auto"/>
        <w:ind w:left="259"/>
        <w:jc w:val="left"/>
      </w:pPr>
      <w:r>
        <w:rPr>
          <w:rFonts w:ascii="Arial" w:hAnsi="Arial"/>
          <w:color w:val="525252"/>
          <w:sz w:val="13"/>
        </w:rPr>
        <w:t>In the book, Flying Tigers: Claire Chennault and His American Volunteers, 1941-1942, the author, Daniel Ford, attributes the American Volunteer Group’s success to morale and The First American group esprit de corps.</w:t>
      </w:r>
    </w:p>
    <w:p>
      <w:pPr>
        <w:spacing w:after="20" w:line="223" w:lineRule="auto"/>
        <w:jc w:val="right"/>
        <w:bidi/>
      </w:pPr>
      <w:r>
        <w:rPr>
          <w:rFonts w:ascii="Arial" w:hAnsi="Arial"/>
          <w:sz w:val="16"/>
        </w:rPr>
        <w:t>022.05  او خاطرنشان می‌کند که خلبانان گروه داوطلب سه گانه‌ای بودند که برای خدمت به ارتش ایالات متحده، گروه داوطلب آمریکایی، داوطلب شده بودند و در نبردهای وحشیانه در برمه شرکت داشتند.</w:t>
      </w:r>
    </w:p>
    <w:p>
      <w:pPr>
        <w:spacing w:after="28" w:line="216" w:lineRule="auto"/>
        <w:ind w:left="259"/>
        <w:jc w:val="left"/>
      </w:pPr>
      <w:r>
        <w:rPr>
          <w:rFonts w:ascii="Arial" w:hAnsi="Arial"/>
          <w:color w:val="525252"/>
          <w:sz w:val="13"/>
        </w:rPr>
        <w:t>He notes that the pilots were triple volunteers Volunteer Group who had volunteered for service with the United States military, the American Volunteer Group, and engaged in brutal fighting in Burma.</w:t>
      </w:r>
    </w:p>
    <w:p>
      <w:pPr>
        <w:spacing w:after="20" w:line="223" w:lineRule="auto"/>
        <w:jc w:val="right"/>
        <w:bidi/>
      </w:pPr>
      <w:r>
        <w:rPr>
          <w:rFonts w:ascii="Arial" w:hAnsi="Arial"/>
          <w:sz w:val="16"/>
        </w:rPr>
        <w:t>022.06  آنها مشخصا سپاهی از خلبانان داوطلب با تجربه و ماهر بودند که می‌خواستند بجنگند.</w:t>
      </w:r>
    </w:p>
    <w:p>
      <w:pPr>
        <w:spacing w:after="28" w:line="216" w:lineRule="auto"/>
        <w:ind w:left="259"/>
        <w:jc w:val="left"/>
      </w:pPr>
      <w:r>
        <w:rPr>
          <w:rFonts w:ascii="Arial" w:hAnsi="Arial"/>
          <w:color w:val="525252"/>
          <w:sz w:val="13"/>
        </w:rPr>
        <w:t>They were clearly a corps of experienced and skilled volunteer pilots who wanted to fight.</w:t>
      </w:r>
    </w:p>
    <w:p>
      <w:pPr>
        <w:spacing w:after="20" w:line="223" w:lineRule="auto"/>
        <w:jc w:val="right"/>
        <w:bidi/>
      </w:pPr>
      <w:r>
        <w:rPr>
          <w:rFonts w:ascii="Arial" w:hAnsi="Arial"/>
          <w:sz w:val="16"/>
        </w:rPr>
        <w:t>022.07  در ۴ ژوئیه ۱۹۴۲، ببرهای پرنده منحل شدند و بیست و سومین گروه جنگنده نیروی هوایی ارتش ایالات متحده جایگزین آن شدند.</w:t>
      </w:r>
    </w:p>
    <w:p>
      <w:pPr>
        <w:spacing w:after="28" w:line="216" w:lineRule="auto"/>
        <w:ind w:left="259"/>
        <w:jc w:val="left"/>
      </w:pPr>
      <w:r>
        <w:rPr>
          <w:rFonts w:ascii="Arial" w:hAnsi="Arial"/>
          <w:color w:val="525252"/>
          <w:sz w:val="13"/>
        </w:rPr>
        <w:t>On 4 July 1942, the Flying Tigers were disbanded and replaced by the 23rd Fighter Group of the U.S. Army Air Forces.</w:t>
      </w:r>
    </w:p>
    <w:p>
      <w:pPr>
        <w:spacing w:after="20" w:line="223" w:lineRule="auto"/>
        <w:jc w:val="right"/>
        <w:bidi/>
      </w:pPr>
      <w:r>
        <w:rPr>
          <w:rFonts w:ascii="Arial" w:hAnsi="Arial"/>
          <w:sz w:val="16"/>
        </w:rPr>
        <w:t>022.08  برنامه آموزش خلبانی استخدام شده.</w:t>
      </w:r>
    </w:p>
    <w:p>
      <w:pPr>
        <w:spacing w:after="28" w:line="216" w:lineRule="auto"/>
        <w:ind w:left="259"/>
        <w:jc w:val="left"/>
      </w:pPr>
      <w:r>
        <w:rPr>
          <w:rFonts w:ascii="Arial" w:hAnsi="Arial"/>
          <w:color w:val="525252"/>
          <w:sz w:val="13"/>
        </w:rPr>
        <w:t>Enlisted Pilot Training Program.</w:t>
      </w:r>
    </w:p>
    <w:p>
      <w:pPr>
        <w:spacing w:after="20" w:line="223" w:lineRule="auto"/>
        <w:jc w:val="right"/>
        <w:bidi/>
      </w:pPr>
      <w:r>
        <w:rPr>
          <w:rFonts w:ascii="Arial" w:hAnsi="Arial"/>
          <w:sz w:val="16"/>
        </w:rPr>
        <w:t>022.09  در ژوئن ۱۹۴۱، کنگره قانون عمومی ۹۹ را تصویب کرد که مجوز یک برنامه آموزش خلبانی را صادر کرد.</w:t>
      </w:r>
    </w:p>
    <w:p>
      <w:pPr>
        <w:spacing w:after="28" w:line="216" w:lineRule="auto"/>
        <w:ind w:left="259"/>
        <w:jc w:val="left"/>
      </w:pPr>
      <w:r>
        <w:rPr>
          <w:rFonts w:ascii="Arial" w:hAnsi="Arial"/>
          <w:color w:val="525252"/>
          <w:sz w:val="13"/>
        </w:rPr>
        <w:t>In June 1941, Congress passed Public Law 99, which authorized an enlisted pilot training program.</w:t>
      </w:r>
    </w:p>
    <w:p>
      <w:pPr>
        <w:spacing w:after="20" w:line="223" w:lineRule="auto"/>
        <w:jc w:val="right"/>
        <w:bidi/>
      </w:pPr>
      <w:r>
        <w:rPr>
          <w:rFonts w:ascii="Arial" w:hAnsi="Arial"/>
          <w:sz w:val="16"/>
        </w:rPr>
        <w:t>022.10  قانون به مردان رده سنی ۱۸ تا ۲۵ سال که در نیمه بالای کلاس دبیرستان خود فارغ‌التحصیل شده بودند، اجازه می‌داد درخواست دهند.</w:t>
      </w:r>
    </w:p>
    <w:p>
      <w:pPr>
        <w:spacing w:after="28" w:line="216" w:lineRule="auto"/>
        <w:ind w:left="259"/>
        <w:jc w:val="left"/>
      </w:pPr>
      <w:r>
        <w:rPr>
          <w:rFonts w:ascii="Arial" w:hAnsi="Arial"/>
          <w:color w:val="525252"/>
          <w:sz w:val="13"/>
        </w:rPr>
        <w:t>The law permitted enlisted men between ages 18 and 25 who graduated in the top half of their high school class to apply.</w:t>
      </w:r>
    </w:p>
    <w:p>
      <w:pPr>
        <w:spacing w:after="20" w:line="223" w:lineRule="auto"/>
        <w:jc w:val="right"/>
        <w:bidi/>
      </w:pPr>
      <w:r>
        <w:rPr>
          <w:rFonts w:ascii="Arial" w:hAnsi="Arial"/>
          <w:sz w:val="16"/>
        </w:rPr>
        <w:t>022.11  در مقابل، دانشجویان هوانوردی باید دو سال تحصیلات دانشگاهی داشته باشند و حداقل ۲۱ سال سن داشته باشند.</w:t>
      </w:r>
    </w:p>
    <w:p>
      <w:pPr>
        <w:spacing w:after="28" w:line="216" w:lineRule="auto"/>
        <w:ind w:left="259"/>
        <w:jc w:val="left"/>
      </w:pPr>
      <w:r>
        <w:rPr>
          <w:rFonts w:ascii="Arial" w:hAnsi="Arial"/>
          <w:color w:val="525252"/>
          <w:sz w:val="13"/>
        </w:rPr>
        <w:t>By contrast, aviation cadets had to have two years of college and be at least 21 years old.</w:t>
      </w:r>
    </w:p>
    <w:p>
      <w:pPr>
        <w:spacing w:after="20" w:line="223" w:lineRule="auto"/>
        <w:jc w:val="right"/>
        <w:bidi/>
      </w:pPr>
      <w:r>
        <w:rPr>
          <w:rFonts w:ascii="Arial" w:hAnsi="Arial"/>
          <w:sz w:val="16"/>
        </w:rPr>
        <w:t>022.12  کلاس ۴۲-ک، اولین کلاس از "گروهبان‌های پرواز" در ۷ مارس ۱۹۴۲ به‌عنوان خلبان سرباز فارغ‌التحصیل شد.</w:t>
      </w:r>
    </w:p>
    <w:p>
      <w:pPr>
        <w:spacing w:after="28" w:line="216" w:lineRule="auto"/>
        <w:ind w:left="259"/>
        <w:jc w:val="left"/>
      </w:pPr>
      <w:r>
        <w:rPr>
          <w:rFonts w:ascii="Arial" w:hAnsi="Arial"/>
          <w:color w:val="525252"/>
          <w:sz w:val="13"/>
        </w:rPr>
        <w:t>Class 42-C, the first class of “flying sergeants” graduated as enlisted pilots on 7 March 1942.</w:t>
      </w:r>
    </w:p>
    <w:p>
      <w:pPr>
        <w:spacing w:after="20" w:line="223" w:lineRule="auto"/>
        <w:jc w:val="right"/>
        <w:bidi/>
      </w:pPr>
      <w:r>
        <w:rPr>
          <w:rFonts w:ascii="Arial" w:hAnsi="Arial"/>
          <w:sz w:val="16"/>
        </w:rPr>
        <w:t>022.13  نیمی از کلی فیلد، تگزاس و نیمی دیگر از الینگتون فیلد، تگزاس فارغ‌التحصیل شدند.</w:t>
      </w:r>
    </w:p>
    <w:p>
      <w:pPr>
        <w:spacing w:after="28" w:line="216" w:lineRule="auto"/>
        <w:ind w:left="259"/>
        <w:jc w:val="left"/>
      </w:pPr>
      <w:r>
        <w:rPr>
          <w:rFonts w:ascii="Arial" w:hAnsi="Arial"/>
          <w:color w:val="525252"/>
          <w:sz w:val="13"/>
        </w:rPr>
        <w:t>One half graduated from Kelly Field, Texas and the other half graduated from Ellington Field, Texas.</w:t>
      </w:r>
    </w:p>
    <w:p>
      <w:pPr>
        <w:spacing w:after="20" w:line="223" w:lineRule="auto"/>
        <w:jc w:val="right"/>
        <w:bidi/>
      </w:pPr>
      <w:r>
        <w:rPr>
          <w:rFonts w:ascii="Arial" w:hAnsi="Arial"/>
          <w:sz w:val="16"/>
        </w:rPr>
        <w:t>022.14  همه کلاس ۴۲-ک به پرواز با پ-۳۸ ادامه دادند.</w:t>
      </w:r>
    </w:p>
    <w:p>
      <w:pPr>
        <w:spacing w:after="28" w:line="216" w:lineRule="auto"/>
        <w:ind w:left="259"/>
        <w:jc w:val="left"/>
      </w:pPr>
      <w:r>
        <w:rPr>
          <w:rFonts w:ascii="Arial" w:hAnsi="Arial"/>
          <w:color w:val="525252"/>
          <w:sz w:val="13"/>
        </w:rPr>
        <w:t>All of Class 42-C went on to fly P-38s.</w:t>
      </w:r>
    </w:p>
    <w:p>
      <w:pPr>
        <w:spacing w:after="20" w:line="223" w:lineRule="auto"/>
        <w:jc w:val="right"/>
        <w:bidi/>
      </w:pPr>
      <w:r>
        <w:rPr>
          <w:rFonts w:ascii="Arial" w:hAnsi="Arial"/>
          <w:sz w:val="16"/>
        </w:rPr>
        <w:t>022.15  کلاس‌های بعدی به انواع مختلف هواپیما در یگان‌های رزمی و پشتیبانی اختصاص داده شد.</w:t>
      </w:r>
    </w:p>
    <w:p>
      <w:pPr>
        <w:spacing w:after="28" w:line="216" w:lineRule="auto"/>
        <w:ind w:left="259"/>
        <w:jc w:val="left"/>
      </w:pPr>
      <w:r>
        <w:rPr>
          <w:rFonts w:ascii="Arial" w:hAnsi="Arial"/>
          <w:color w:val="525252"/>
          <w:sz w:val="13"/>
        </w:rPr>
        <w:t>Subsequent classes were assigned to various types of aircraft in both combat and support units.</w:t>
      </w:r>
    </w:p>
    <w:p>
      <w:pPr>
        <w:spacing w:after="20" w:line="223" w:lineRule="auto"/>
        <w:jc w:val="right"/>
        <w:bidi/>
      </w:pPr>
      <w:r>
        <w:rPr>
          <w:rFonts w:ascii="Arial" w:hAnsi="Arial"/>
          <w:sz w:val="16"/>
        </w:rPr>
        <w:t>022.16  سپاه کمکی ارتش زنان.</w:t>
      </w:r>
    </w:p>
    <w:p>
      <w:pPr>
        <w:spacing w:after="28" w:line="216" w:lineRule="auto"/>
        <w:ind w:left="259"/>
        <w:jc w:val="left"/>
      </w:pPr>
      <w:r>
        <w:rPr>
          <w:rFonts w:ascii="Arial" w:hAnsi="Arial"/>
          <w:color w:val="525252"/>
          <w:sz w:val="13"/>
        </w:rPr>
        <w:t>Women’s Army Auxiliary Corps.</w:t>
      </w:r>
    </w:p>
    <w:p>
      <w:pPr>
        <w:spacing w:after="20" w:line="223" w:lineRule="auto"/>
        <w:jc w:val="right"/>
        <w:bidi/>
      </w:pPr>
      <w:r>
        <w:rPr>
          <w:rFonts w:ascii="Arial" w:hAnsi="Arial"/>
          <w:sz w:val="16"/>
        </w:rPr>
        <w:t>022.17  سپاه کمکی ارتش زنان در می‌۱۹۴۲ ایجاد شد و در عرض یک سال به سپاه ارتش زنان تبدیل شد که اساسا شاخه زنان ارتش ایالات متحده بود.</w:t>
      </w:r>
    </w:p>
    <w:p>
      <w:pPr>
        <w:spacing w:after="28" w:line="216" w:lineRule="auto"/>
        <w:ind w:left="259"/>
        <w:jc w:val="left"/>
      </w:pPr>
      <w:r>
        <w:rPr>
          <w:rFonts w:ascii="Arial" w:hAnsi="Arial"/>
          <w:color w:val="525252"/>
          <w:sz w:val="13"/>
        </w:rPr>
        <w:t>The Women’s Army Auxiliary Corps was created in May 1942 and within a year became the Women’s Army Corps, which was essentially the women’s branch of the U.S. Army.</w:t>
      </w:r>
    </w:p>
    <w:p>
      <w:pPr>
        <w:spacing w:after="20" w:line="223" w:lineRule="auto"/>
        <w:jc w:val="right"/>
        <w:bidi/>
      </w:pPr>
      <w:r>
        <w:rPr>
          <w:rFonts w:ascii="Arial" w:hAnsi="Arial"/>
          <w:sz w:val="16"/>
        </w:rPr>
        <w:t>022.18  زنان با تمایز خدمت می‌کردند و جایگزین مردانی می‌شدند که می‌توانستند دوباره به جنگ و سایر وظایف حیاتی منصوب شوند.</w:t>
      </w:r>
    </w:p>
    <w:p>
      <w:pPr>
        <w:spacing w:after="28" w:line="216" w:lineRule="auto"/>
        <w:ind w:left="259"/>
        <w:jc w:val="left"/>
      </w:pPr>
      <w:r>
        <w:rPr>
          <w:rFonts w:ascii="Arial" w:hAnsi="Arial"/>
          <w:color w:val="525252"/>
          <w:sz w:val="13"/>
        </w:rPr>
        <w:t>Women served with distinction, replacing men who could then be reassigned to combat and other vital duties.</w:t>
      </w:r>
    </w:p>
    <w:p>
      <w:pPr>
        <w:spacing w:after="20" w:line="223" w:lineRule="auto"/>
        <w:jc w:val="right"/>
        <w:bidi/>
      </w:pPr>
      <w:r>
        <w:rPr>
          <w:rFonts w:ascii="Arial" w:hAnsi="Arial"/>
          <w:sz w:val="16"/>
        </w:rPr>
        <w:t>022.19  آنچه در ابتدا با ۸۰۰ زن در حال آموزش آغاز شد، در نهایت در طول جنگ جهانی دوم به ۱۵۰۰۰۰ افزایش یافت.</w:t>
      </w:r>
    </w:p>
    <w:p>
      <w:pPr>
        <w:spacing w:after="28" w:line="216" w:lineRule="auto"/>
        <w:ind w:left="259"/>
        <w:jc w:val="left"/>
      </w:pPr>
      <w:r>
        <w:rPr>
          <w:rFonts w:ascii="Arial" w:hAnsi="Arial"/>
          <w:color w:val="525252"/>
          <w:sz w:val="13"/>
        </w:rPr>
        <w:t>What initially began with 800 women in training, eventually rose to 150,000 during World War II.</w:t>
      </w:r>
    </w:p>
    <w:p>
      <w:pPr>
        <w:spacing w:after="20" w:line="223" w:lineRule="auto"/>
        <w:jc w:val="right"/>
        <w:bidi/>
      </w:pPr>
      <w:r>
        <w:rPr>
          <w:rFonts w:ascii="Arial" w:hAnsi="Arial"/>
          <w:sz w:val="16"/>
        </w:rPr>
        <w:t>022.20  یکی از اولویت‌های اصلی برای زنان خدمت در ایستگاه‌های خدمات هشدار هواپیما بود.</w:t>
      </w:r>
    </w:p>
    <w:p>
      <w:pPr>
        <w:spacing w:after="28" w:line="216" w:lineRule="auto"/>
        <w:ind w:left="259"/>
        <w:jc w:val="left"/>
      </w:pPr>
      <w:r>
        <w:rPr>
          <w:rFonts w:ascii="Arial" w:hAnsi="Arial"/>
          <w:color w:val="525252"/>
          <w:sz w:val="13"/>
        </w:rPr>
        <w:t>A top priority assignment for women was to serve at aircraft warning service stations.</w:t>
      </w:r>
    </w:p>
    <w:p>
      <w:pPr>
        <w:spacing w:after="20" w:line="223" w:lineRule="auto"/>
        <w:jc w:val="right"/>
        <w:bidi/>
      </w:pPr>
      <w:r>
        <w:rPr>
          <w:rFonts w:ascii="Arial" w:hAnsi="Arial"/>
          <w:sz w:val="16"/>
        </w:rPr>
        <w:t>022.21  بسیاری دیگر به‌عنوان دستیار اداری و اداری، توپوگرافی، متخصص پزشکی، شیمیدان و حتی مکانیک هواپیما منصوب شدند.</w:t>
      </w:r>
    </w:p>
    <w:p>
      <w:pPr>
        <w:spacing w:after="28" w:line="216" w:lineRule="auto"/>
        <w:ind w:left="259"/>
        <w:jc w:val="left"/>
      </w:pPr>
      <w:r>
        <w:rPr>
          <w:rFonts w:ascii="Arial" w:hAnsi="Arial"/>
          <w:color w:val="525252"/>
          <w:sz w:val="13"/>
        </w:rPr>
        <w:t>Many others were assigned as clerical and administrative assistants, topographers, medical specialists, chemists, and even aircraft mechanics.</w:t>
      </w:r>
    </w:p>
    <w:p>
      <w:pPr>
        <w:spacing w:after="20" w:line="223" w:lineRule="auto"/>
        <w:jc w:val="right"/>
        <w:bidi/>
      </w:pPr>
      <w:r>
        <w:rPr>
          <w:rFonts w:ascii="Arial" w:hAnsi="Arial"/>
          <w:sz w:val="16"/>
        </w:rPr>
        <w:t>022.22  بزرگترین هوانورد زن تمام دوران، ژاکلین کوکران.</w:t>
      </w:r>
    </w:p>
    <w:p>
      <w:pPr>
        <w:spacing w:after="28" w:line="216" w:lineRule="auto"/>
        <w:ind w:left="259"/>
        <w:jc w:val="left"/>
      </w:pPr>
      <w:r>
        <w:rPr>
          <w:rFonts w:ascii="Arial" w:hAnsi="Arial"/>
          <w:color w:val="525252"/>
          <w:sz w:val="13"/>
        </w:rPr>
        <w:t>Greatest Female Aviator of All Time, Jacqueline Cochran.</w:t>
      </w:r>
    </w:p>
    <w:p>
      <w:pPr>
        <w:spacing w:after="20" w:line="223" w:lineRule="auto"/>
        <w:jc w:val="right"/>
        <w:bidi/>
      </w:pPr>
      <w:r>
        <w:rPr>
          <w:rFonts w:ascii="Arial" w:hAnsi="Arial"/>
          <w:sz w:val="16"/>
        </w:rPr>
        <w:t>022.23  ژاکلین کوکران به خاطر رقابت و برنده شدن در چندین رویداد پروازی و انجام مأموریت‌های رکوردشکنی از نظر ارتفاع، مسافت و سرعت به یاد می‌آید.</w:t>
      </w:r>
    </w:p>
    <w:p>
      <w:pPr>
        <w:spacing w:after="28" w:line="216" w:lineRule="auto"/>
        <w:ind w:left="259"/>
        <w:jc w:val="left"/>
      </w:pPr>
      <w:r>
        <w:rPr>
          <w:rFonts w:ascii="Arial" w:hAnsi="Arial"/>
          <w:color w:val="525252"/>
          <w:sz w:val="13"/>
        </w:rPr>
        <w:t>Jacqueline Cochran is remembered for competing in and winning several flying events and performing record-breaking missions with regard to altitude, distance, and speed.</w:t>
      </w:r>
    </w:p>
    <w:p>
      <w:pPr>
        <w:spacing w:after="20" w:line="223" w:lineRule="auto"/>
        <w:jc w:val="right"/>
        <w:bidi/>
      </w:pPr>
      <w:r>
        <w:rPr>
          <w:rFonts w:ascii="Arial" w:hAnsi="Arial"/>
          <w:sz w:val="16"/>
        </w:rPr>
        <w:t>022.24  در طول جنگ جهانی دوم، کوکران تلاش هایی را برای ۲۵ زن سازماندهی کرد تا به بریتانیای کبیر پرواز کنند و او اولین زنی بود که با بمب افکن از اقیانوس اطلس عبور کرد.</w:t>
      </w:r>
    </w:p>
    <w:p>
      <w:pPr>
        <w:spacing w:after="28" w:line="216" w:lineRule="auto"/>
        <w:ind w:left="259"/>
        <w:jc w:val="left"/>
      </w:pPr>
      <w:r>
        <w:rPr>
          <w:rFonts w:ascii="Arial" w:hAnsi="Arial"/>
          <w:color w:val="525252"/>
          <w:sz w:val="13"/>
        </w:rPr>
        <w:t>During World War II, Cochran organized efforts for 25 women to fly for Great Britain and she was the first woman to fly a bomber across the Atlantic Ocean.</w:t>
      </w:r>
    </w:p>
    <w:p>
      <w:pPr>
        <w:spacing w:after="20" w:line="223" w:lineRule="auto"/>
        <w:jc w:val="right"/>
        <w:bidi/>
      </w:pPr>
      <w:r>
        <w:rPr>
          <w:rFonts w:ascii="Arial" w:hAnsi="Arial"/>
          <w:sz w:val="16"/>
        </w:rPr>
        <w:t>022.25  در سال ۱۹۴۳، او به نیروی هوایی ارتش ایالات متحده منصوب شد و به‌عنوان مدیر برنامه آموزش خلبانان خدمات نیروی هوایی زنان خدمت کرد.</w:t>
      </w:r>
    </w:p>
    <w:p>
      <w:pPr>
        <w:spacing w:after="28" w:line="216" w:lineRule="auto"/>
        <w:ind w:left="259"/>
        <w:jc w:val="left"/>
      </w:pPr>
      <w:r>
        <w:rPr>
          <w:rFonts w:ascii="Arial" w:hAnsi="Arial"/>
          <w:color w:val="525252"/>
          <w:sz w:val="13"/>
        </w:rPr>
        <w:t>In 1943, she was appointed to the U.S. Army Air Forces and served as Director of the Women’s Air Force Service Pilots Training Program.</w:t>
      </w:r>
    </w:p>
    <w:p>
      <w:pPr>
        <w:spacing w:after="20" w:line="223" w:lineRule="auto"/>
        <w:jc w:val="right"/>
        <w:bidi/>
      </w:pPr>
      <w:r>
        <w:rPr>
          <w:rFonts w:ascii="Arial" w:hAnsi="Arial"/>
          <w:sz w:val="16"/>
        </w:rPr>
        <w:t>022.26  سرهنگ کوکران برای خدمات خود مدال برجسته خدمات ژاکلین کوکران را دریافت کرد.</w:t>
      </w:r>
    </w:p>
    <w:p>
      <w:pPr>
        <w:spacing w:after="28" w:line="216" w:lineRule="auto"/>
        <w:ind w:left="259"/>
        <w:jc w:val="left"/>
      </w:pPr>
      <w:r>
        <w:rPr>
          <w:rFonts w:ascii="Arial" w:hAnsi="Arial"/>
          <w:color w:val="525252"/>
          <w:sz w:val="13"/>
        </w:rPr>
        <w:t>Colonel Cochran received the Distinguished Jacqueline Cochran Service Medal for her service.</w:t>
      </w:r>
    </w:p>
    <w:p>
      <w:pPr>
        <w:spacing w:after="20" w:line="223" w:lineRule="auto"/>
        <w:jc w:val="right"/>
        <w:bidi/>
      </w:pPr>
      <w:r>
        <w:rPr>
          <w:rFonts w:ascii="Arial" w:hAnsi="Arial"/>
          <w:sz w:val="16"/>
        </w:rPr>
        <w:t>022.27  در سال ۱۹۷۱، او به تالار مشاهیر هوانوردی ملی معرفی شد.</w:t>
      </w:r>
    </w:p>
    <w:p>
      <w:pPr>
        <w:spacing w:after="28" w:line="216" w:lineRule="auto"/>
        <w:ind w:left="259"/>
        <w:jc w:val="left"/>
      </w:pPr>
      <w:r>
        <w:rPr>
          <w:rFonts w:ascii="Arial" w:hAnsi="Arial"/>
          <w:color w:val="525252"/>
          <w:sz w:val="13"/>
        </w:rPr>
        <w:t>In 1971, she was inducted into the National Aviation Hall of Fame.</w:t>
      </w:r>
    </w:p>
    <w:p>
      <w:pPr>
        <w:spacing w:after="20" w:line="223" w:lineRule="auto"/>
        <w:jc w:val="right"/>
        <w:bidi/>
      </w:pPr>
      <w:r>
        <w:rPr>
          <w:rFonts w:ascii="Arial" w:hAnsi="Arial"/>
          <w:sz w:val="16"/>
        </w:rPr>
        <w:t>022.28  تلاش‌های او به او کمک کرد تا عناوینی مانند "برجسته‌ترین خلبان زن در جهان" و "بزرگترین خلبان زن تمام دوران" را به دست آورد. در سال ۱۹۷۵، کوکران اولین زنی بود که با نمایش دائمی یادگارهای خود در آکادمی USAF مورد تقدیر قرار گرفت.</w:t>
      </w:r>
    </w:p>
    <w:p>
      <w:pPr>
        <w:spacing w:after="28" w:line="216" w:lineRule="auto"/>
        <w:ind w:left="259"/>
        <w:jc w:val="left"/>
      </w:pPr>
      <w:r>
        <w:rPr>
          <w:rFonts w:ascii="Arial" w:hAnsi="Arial"/>
          <w:color w:val="525252"/>
          <w:sz w:val="13"/>
        </w:rPr>
        <w:t>Her efforts helped her earn titles, such as “the most outstanding woman pilot in the world” and “the greatest female aviator of all time.” In 1975, Cochran was the first woman to be honored with a permanent display of her memorabilia at the USAF Academy.</w:t>
      </w:r>
    </w:p>
    <w:p>
      <w:r>
        <w:br w:type="page"/>
      </w:r>
    </w:p>
    <w:p>
      <w:pPr>
        <w:spacing w:after="60"/>
        <w:jc w:val="right"/>
        <w:bidi/>
      </w:pPr>
      <w:r>
        <w:rPr>
          <w:rFonts w:ascii="Arial" w:hAnsi="Arial"/>
          <w:b/>
          <w:color w:val="1F4D78"/>
          <w:sz w:val="19"/>
        </w:rPr>
        <w:t>هفتهٔ 23  |  صفحهٔ منبع: 39</w:t>
      </w:r>
    </w:p>
    <w:p>
      <w:pPr>
        <w:spacing w:after="20" w:line="223" w:lineRule="auto"/>
        <w:jc w:val="right"/>
        <w:bidi/>
      </w:pPr>
      <w:r>
        <w:rPr>
          <w:rFonts w:ascii="Arial" w:hAnsi="Arial"/>
          <w:sz w:val="16"/>
        </w:rPr>
        <w:t>023.01  زینت‌ترین زن در تاریخ نظامی ایالات متحده، لیلیان کی کیل.</w:t>
      </w:r>
    </w:p>
    <w:p>
      <w:pPr>
        <w:spacing w:after="28" w:line="216" w:lineRule="auto"/>
        <w:ind w:left="259"/>
        <w:jc w:val="left"/>
      </w:pPr>
      <w:r>
        <w:rPr>
          <w:rFonts w:ascii="Arial" w:hAnsi="Arial"/>
          <w:color w:val="525252"/>
          <w:sz w:val="13"/>
        </w:rPr>
        <w:t>Most Decorated Woman in United States Military History, Lillian K. Keil.</w:t>
      </w:r>
    </w:p>
    <w:p>
      <w:pPr>
        <w:spacing w:after="20" w:line="223" w:lineRule="auto"/>
        <w:jc w:val="right"/>
        <w:bidi/>
      </w:pPr>
      <w:r>
        <w:rPr>
          <w:rFonts w:ascii="Arial" w:hAnsi="Arial"/>
          <w:sz w:val="16"/>
        </w:rPr>
        <w:t>023.02  پیشگام در مراقبت از مسافر، کاپیتان لیلیان کی کیل با موفقیت دو شغل (خدمت پرواز و پرستار پرواز) را با هم ترکیب کرد تا به پرافتخارترین زن در تاریخ نظامی ما تبدیل شود.</w:t>
      </w:r>
    </w:p>
    <w:p>
      <w:pPr>
        <w:spacing w:after="28" w:line="216" w:lineRule="auto"/>
        <w:ind w:left="259"/>
        <w:jc w:val="left"/>
      </w:pPr>
      <w:r>
        <w:rPr>
          <w:rFonts w:ascii="Arial" w:hAnsi="Arial"/>
          <w:color w:val="525252"/>
          <w:sz w:val="13"/>
        </w:rPr>
        <w:t>A pioneer in passenger care, Captain Lillian K. Keil successfully combined two careers (flight attendant and flight nurse) to become the most decorated woman in our military history.</w:t>
      </w:r>
    </w:p>
    <w:p>
      <w:pPr>
        <w:spacing w:after="20" w:line="223" w:lineRule="auto"/>
        <w:jc w:val="right"/>
        <w:bidi/>
      </w:pPr>
      <w:r>
        <w:rPr>
          <w:rFonts w:ascii="Arial" w:hAnsi="Arial"/>
          <w:sz w:val="16"/>
        </w:rPr>
        <w:t>023.03  کیل یکی از اولین مهماندارانی بود که در زمان ورود ایالات متحده به جنگ جهانی دوم توسط خطوط هوایی یونایتد استخدام شد.</w:t>
      </w:r>
    </w:p>
    <w:p>
      <w:pPr>
        <w:spacing w:after="28" w:line="216" w:lineRule="auto"/>
        <w:ind w:left="259"/>
        <w:jc w:val="left"/>
      </w:pPr>
      <w:r>
        <w:rPr>
          <w:rFonts w:ascii="Arial" w:hAnsi="Arial"/>
          <w:color w:val="525252"/>
          <w:sz w:val="13"/>
        </w:rPr>
        <w:t>Keil was one of the first stewardesses hired by United Airlines when the United States entered World War II.</w:t>
      </w:r>
    </w:p>
    <w:p>
      <w:pPr>
        <w:spacing w:after="20" w:line="223" w:lineRule="auto"/>
        <w:jc w:val="right"/>
        <w:bidi/>
      </w:pPr>
      <w:r>
        <w:rPr>
          <w:rFonts w:ascii="Arial" w:hAnsi="Arial"/>
          <w:sz w:val="16"/>
        </w:rPr>
        <w:t>023.04  او بعدا در نیروی هوایی ارتش ایالات متحده خدمت کرد و خدمه مجروح و سرمازده را پس از حملات بمباران بر فراز اروپا درمان کرد.</w:t>
      </w:r>
    </w:p>
    <w:p>
      <w:pPr>
        <w:spacing w:after="28" w:line="216" w:lineRule="auto"/>
        <w:ind w:left="259"/>
        <w:jc w:val="left"/>
      </w:pPr>
      <w:r>
        <w:rPr>
          <w:rFonts w:ascii="Arial" w:hAnsi="Arial"/>
          <w:color w:val="525252"/>
          <w:sz w:val="13"/>
        </w:rPr>
        <w:t>She later served in the U.S. Army Air Forces and treated wounded and frostbitten crewmen after bombing raids over Europe.</w:t>
      </w:r>
    </w:p>
    <w:p>
      <w:pPr>
        <w:spacing w:after="20" w:line="223" w:lineRule="auto"/>
        <w:jc w:val="right"/>
        <w:bidi/>
      </w:pPr>
      <w:r>
        <w:rPr>
          <w:rFonts w:ascii="Arial" w:hAnsi="Arial"/>
          <w:sz w:val="16"/>
        </w:rPr>
        <w:t>023.05  در طول جنگ جهانی دوم، کیل ۲۵۰ پرواز تخلیه انجام داد که ۲۳ تای آن فراآتلانتیک بود.</w:t>
      </w:r>
    </w:p>
    <w:p>
      <w:pPr>
        <w:spacing w:after="28" w:line="216" w:lineRule="auto"/>
        <w:ind w:left="259"/>
        <w:jc w:val="left"/>
      </w:pPr>
      <w:r>
        <w:rPr>
          <w:rFonts w:ascii="Arial" w:hAnsi="Arial"/>
          <w:color w:val="525252"/>
          <w:sz w:val="13"/>
        </w:rPr>
        <w:t>During World War II, Keil made 250 evacuation flights, 23 of which were transatlantic.</w:t>
      </w:r>
    </w:p>
    <w:p>
      <w:pPr>
        <w:spacing w:after="20" w:line="223" w:lineRule="auto"/>
        <w:jc w:val="right"/>
        <w:bidi/>
      </w:pPr>
      <w:r>
        <w:rPr>
          <w:rFonts w:ascii="Arial" w:hAnsi="Arial"/>
          <w:sz w:val="16"/>
        </w:rPr>
        <w:t>023.06  پس از جنگ جهانی دوم، کیل به‌عنوان دستیار مهماندار اصلی لیلیان کیل به خطوط هوایی یونایتد بازگشت.</w:t>
      </w:r>
    </w:p>
    <w:p>
      <w:pPr>
        <w:spacing w:after="28" w:line="216" w:lineRule="auto"/>
        <w:ind w:left="259"/>
        <w:jc w:val="left"/>
      </w:pPr>
      <w:r>
        <w:rPr>
          <w:rFonts w:ascii="Arial" w:hAnsi="Arial"/>
          <w:color w:val="525252"/>
          <w:sz w:val="13"/>
        </w:rPr>
        <w:t>After World War II, Keil returned to United Airlines as Lillian Keil an assistant chief stewardess.</w:t>
      </w:r>
    </w:p>
    <w:p>
      <w:pPr>
        <w:spacing w:after="20" w:line="223" w:lineRule="auto"/>
        <w:jc w:val="right"/>
        <w:bidi/>
      </w:pPr>
      <w:r>
        <w:rPr>
          <w:rFonts w:ascii="Arial" w:hAnsi="Arial"/>
          <w:sz w:val="16"/>
        </w:rPr>
        <w:t>023.07  در سال ۱۹۵۰، او به‌عنوان پرستار پرواز در طول جنگ کره به خدمت فراخوانده شد و ۱۷۵ تخلیه هوایی جمع‌آوری کرد و ۱۴۰۰ ساعت پرواز را ثبت کرد.</w:t>
      </w:r>
    </w:p>
    <w:p>
      <w:pPr>
        <w:spacing w:after="28" w:line="216" w:lineRule="auto"/>
        <w:ind w:left="259"/>
        <w:jc w:val="left"/>
      </w:pPr>
      <w:r>
        <w:rPr>
          <w:rFonts w:ascii="Arial" w:hAnsi="Arial"/>
          <w:color w:val="525252"/>
          <w:sz w:val="13"/>
        </w:rPr>
        <w:t>In 1950, she was called back to duty as a flight nurse during the Korean War, amassing 175 air evacuations and logging 1,400 flying hours.</w:t>
      </w:r>
    </w:p>
    <w:p>
      <w:pPr>
        <w:spacing w:after="20" w:line="223" w:lineRule="auto"/>
        <w:jc w:val="right"/>
        <w:bidi/>
      </w:pPr>
      <w:r>
        <w:rPr>
          <w:rFonts w:ascii="Arial" w:hAnsi="Arial"/>
          <w:sz w:val="16"/>
        </w:rPr>
        <w:t>023.08  به‌طور کلی، تخمین زده می‌شود که او بیش از ۱۰۰۰۰ زخمی داشته است.</w:t>
      </w:r>
    </w:p>
    <w:p>
      <w:pPr>
        <w:spacing w:after="28" w:line="216" w:lineRule="auto"/>
        <w:ind w:left="259"/>
        <w:jc w:val="left"/>
      </w:pPr>
      <w:r>
        <w:rPr>
          <w:rFonts w:ascii="Arial" w:hAnsi="Arial"/>
          <w:color w:val="525252"/>
          <w:sz w:val="13"/>
        </w:rPr>
        <w:t>Overall, it is estimated she attended to more than 10,000 wounded.</w:t>
      </w:r>
    </w:p>
    <w:p>
      <w:pPr>
        <w:spacing w:after="20" w:line="223" w:lineRule="auto"/>
        <w:jc w:val="right"/>
        <w:bidi/>
      </w:pPr>
      <w:r>
        <w:rPr>
          <w:rFonts w:ascii="Arial" w:hAnsi="Arial"/>
          <w:sz w:val="16"/>
        </w:rPr>
        <w:t>023.09  او ۱۹ مدال از جمله یک مدال تئاتر اروپا با ۴ ستاره نبرد، یک مدال خدمات کره‌ای با ۷ ستاره نبرد، ۴ مدال هوایی و یک مقام ریاست جمهوری از جمهوری کره دریافت کرد.</w:t>
      </w:r>
    </w:p>
    <w:p>
      <w:pPr>
        <w:spacing w:after="28" w:line="216" w:lineRule="auto"/>
        <w:ind w:left="259"/>
        <w:jc w:val="left"/>
      </w:pPr>
      <w:r>
        <w:rPr>
          <w:rFonts w:ascii="Arial" w:hAnsi="Arial"/>
          <w:color w:val="525252"/>
          <w:sz w:val="13"/>
        </w:rPr>
        <w:t>She was awarded 19 medals, including a European Theater Medal with 4 Battle Stars, a Korean Service Medal with 7 Battle Stars, 4 Air Medals, and a Presidential Citation from the Republic of Korea.</w:t>
      </w:r>
    </w:p>
    <w:p>
      <w:pPr>
        <w:spacing w:before="60" w:after="28"/>
        <w:jc w:val="right"/>
        <w:bidi/>
      </w:pPr>
      <w:r>
        <w:rPr>
          <w:b/>
          <w:color w:val="1F4D78"/>
          <w:sz w:val="18"/>
        </w:rPr>
        <w:t>2.16. سرکوب نازی ها</w:t>
      </w:r>
    </w:p>
    <w:p>
      <w:pPr>
        <w:spacing w:after="20"/>
        <w:ind w:left="259"/>
        <w:jc w:val="left"/>
      </w:pPr>
      <w:r>
        <w:rPr>
          <w:color w:val="555555"/>
          <w:sz w:val="12"/>
        </w:rPr>
        <w:t>2.16. Nazi Suppression</w:t>
      </w:r>
    </w:p>
    <w:p>
      <w:pPr>
        <w:spacing w:after="20" w:line="223" w:lineRule="auto"/>
        <w:jc w:val="right"/>
        <w:bidi/>
      </w:pPr>
      <w:r>
        <w:rPr>
          <w:rFonts w:ascii="Arial" w:hAnsi="Arial"/>
          <w:sz w:val="16"/>
        </w:rPr>
        <w:t>023.11  برهان عملیات.</w:t>
      </w:r>
    </w:p>
    <w:p>
      <w:pPr>
        <w:spacing w:after="28" w:line="216" w:lineRule="auto"/>
        <w:ind w:left="259"/>
        <w:jc w:val="left"/>
      </w:pPr>
      <w:r>
        <w:rPr>
          <w:rFonts w:ascii="Arial" w:hAnsi="Arial"/>
          <w:color w:val="525252"/>
          <w:sz w:val="13"/>
        </w:rPr>
        <w:t>Operation Argument.</w:t>
      </w:r>
    </w:p>
    <w:p>
      <w:pPr>
        <w:spacing w:after="20" w:line="223" w:lineRule="auto"/>
        <w:jc w:val="right"/>
        <w:bidi/>
      </w:pPr>
      <w:r>
        <w:rPr>
          <w:rFonts w:ascii="Arial" w:hAnsi="Arial"/>
          <w:sz w:val="16"/>
        </w:rPr>
        <w:t>023.12  مسلح به هواپیماهای جدید، تاکتیک‌ها و اعداد برتر، عملیات برهان، که به نام هفته بزرگ نیز شناخته می‌شود، با هدف کسب برتری هوایی و فلج کردن صنعت هواپیماسازی آلمان راه‌اندازی شد.</w:t>
      </w:r>
    </w:p>
    <w:p>
      <w:pPr>
        <w:spacing w:after="28" w:line="216" w:lineRule="auto"/>
        <w:ind w:left="259"/>
        <w:jc w:val="left"/>
      </w:pPr>
      <w:r>
        <w:rPr>
          <w:rFonts w:ascii="Arial" w:hAnsi="Arial"/>
          <w:color w:val="525252"/>
          <w:sz w:val="13"/>
        </w:rPr>
        <w:t>Armed with new aircraft, tactics, and superior numbers, Operation Argument, otherwise known as Big Week, was launched with the objective of winning air superiority and crippling Germany’s aircraft industry.</w:t>
      </w:r>
    </w:p>
    <w:p>
      <w:pPr>
        <w:spacing w:after="20" w:line="223" w:lineRule="auto"/>
        <w:jc w:val="right"/>
        <w:bidi/>
      </w:pPr>
      <w:r>
        <w:rPr>
          <w:rFonts w:ascii="Arial" w:hAnsi="Arial"/>
          <w:sz w:val="16"/>
        </w:rPr>
        <w:t>023.13  این عملیات شامل یک سری حملات بود که علیه آلمان نازی از ۲۰ تا ۲۵ فوریه ۱۹۴۴ هدف قرار گرفتند.</w:t>
      </w:r>
    </w:p>
    <w:p>
      <w:pPr>
        <w:spacing w:after="28" w:line="216" w:lineRule="auto"/>
        <w:ind w:left="259"/>
        <w:jc w:val="left"/>
      </w:pPr>
      <w:r>
        <w:rPr>
          <w:rFonts w:ascii="Arial" w:hAnsi="Arial"/>
          <w:color w:val="525252"/>
          <w:sz w:val="13"/>
        </w:rPr>
        <w:t>The operation consisted of a series of attacks aimed against Nazi Germany from 20 - 25 February 1944.</w:t>
      </w:r>
    </w:p>
    <w:p>
      <w:pPr>
        <w:spacing w:after="20" w:line="223" w:lineRule="auto"/>
        <w:jc w:val="right"/>
        <w:bidi/>
      </w:pPr>
      <w:r>
        <w:rPr>
          <w:rFonts w:ascii="Arial" w:hAnsi="Arial"/>
          <w:sz w:val="16"/>
        </w:rPr>
        <w:t>023.14  در این مدت، هشتمین نیروی هوایی ۳۳۰۰ سورتی بمب افکن سنگین انجام داد، نیروی هوایی پانزدهم ۵۰۰ مأموریت از ایتالیا اضافه کرد، و فرماندهی بمب افکن نیروی هوایی سلطنتی ۲۷۵۰ حمله شبانه را با هدف کارخانه‌های هواپیماسازی آلمان انجام داد.</w:t>
      </w:r>
    </w:p>
    <w:p>
      <w:pPr>
        <w:spacing w:after="28" w:line="216" w:lineRule="auto"/>
        <w:ind w:left="259"/>
        <w:jc w:val="left"/>
      </w:pPr>
      <w:r>
        <w:rPr>
          <w:rFonts w:ascii="Arial" w:hAnsi="Arial"/>
          <w:color w:val="525252"/>
          <w:sz w:val="13"/>
        </w:rPr>
        <w:t>During this time, the 8th Air Force flew 3,300 heavy bomber sorties, the 15th Air Force added 500 missions from Italy, and the Royal Air Force Bomber Command flew 2,750 night attacks aimed at German aircraft manufacturing plants.</w:t>
      </w:r>
    </w:p>
    <w:p>
      <w:pPr>
        <w:spacing w:after="20" w:line="223" w:lineRule="auto"/>
        <w:jc w:val="right"/>
        <w:bidi/>
      </w:pPr>
      <w:r>
        <w:rPr>
          <w:rFonts w:ascii="Arial" w:hAnsi="Arial"/>
          <w:sz w:val="16"/>
        </w:rPr>
        <w:t>023.15  نزدیک به ۴۰۰۰ سورتی جنگنده به‌عنوان اقدامات حفاظتی برای دارایی‌های عملیاتی انجام شد.</w:t>
      </w:r>
    </w:p>
    <w:p>
      <w:pPr>
        <w:spacing w:after="28" w:line="216" w:lineRule="auto"/>
        <w:ind w:left="259"/>
        <w:jc w:val="left"/>
      </w:pPr>
      <w:r>
        <w:rPr>
          <w:rFonts w:ascii="Arial" w:hAnsi="Arial"/>
          <w:color w:val="525252"/>
          <w:sz w:val="13"/>
        </w:rPr>
        <w:t>Nearly 4,000 fighter sorties were conducted as protective measures for operational assets.</w:t>
      </w:r>
    </w:p>
    <w:p>
      <w:pPr>
        <w:spacing w:after="20" w:line="223" w:lineRule="auto"/>
        <w:jc w:val="right"/>
        <w:bidi/>
      </w:pPr>
      <w:r>
        <w:rPr>
          <w:rFonts w:ascii="Arial" w:hAnsi="Arial"/>
          <w:sz w:val="16"/>
        </w:rPr>
        <w:t>023.16  با هزینه ۲۲۶ بمب افکن آمریکایی، ۱۱۴ هواپیمای سنگین انگلیسی و ۲۸ جنگنده نیروی هوایی ارتش ایالات متحده، عملیات آرگومنت به ۵۰۰ جنگنده لوفت وافه آسیب رساند یا منهدم کرد و ۴۰۰ خلبان را کشت.</w:t>
      </w:r>
    </w:p>
    <w:p>
      <w:pPr>
        <w:spacing w:after="28" w:line="216" w:lineRule="auto"/>
        <w:ind w:left="259"/>
        <w:jc w:val="left"/>
      </w:pPr>
      <w:r>
        <w:rPr>
          <w:rFonts w:ascii="Arial" w:hAnsi="Arial"/>
          <w:color w:val="525252"/>
          <w:sz w:val="13"/>
        </w:rPr>
        <w:t>At a cost of 226 American bombers, 114 British heavies, and 28 U.S. Army Air Force fighters, Operation Argument damaged or destroyed an estimated 500 Luftwaffe fighters and killed 400 pilots.</w:t>
      </w:r>
    </w:p>
    <w:p>
      <w:pPr>
        <w:spacing w:after="20" w:line="223" w:lineRule="auto"/>
        <w:jc w:val="right"/>
        <w:bidi/>
      </w:pPr>
      <w:r>
        <w:rPr>
          <w:rFonts w:ascii="Arial" w:hAnsi="Arial"/>
          <w:sz w:val="16"/>
        </w:rPr>
        <w:t>023.17  تهاجم به نرماندی.</w:t>
      </w:r>
    </w:p>
    <w:p>
      <w:pPr>
        <w:spacing w:after="28" w:line="216" w:lineRule="auto"/>
        <w:ind w:left="259"/>
        <w:jc w:val="left"/>
      </w:pPr>
      <w:r>
        <w:rPr>
          <w:rFonts w:ascii="Arial" w:hAnsi="Arial"/>
          <w:color w:val="525252"/>
          <w:sz w:val="13"/>
        </w:rPr>
        <w:t>Invasion of Normandy.</w:t>
      </w:r>
    </w:p>
    <w:p>
      <w:pPr>
        <w:spacing w:after="20" w:line="223" w:lineRule="auto"/>
        <w:jc w:val="right"/>
        <w:bidi/>
      </w:pPr>
      <w:r>
        <w:rPr>
          <w:rFonts w:ascii="Arial" w:hAnsi="Arial"/>
          <w:sz w:val="16"/>
        </w:rPr>
        <w:t>023.18  اگرچه لوفت وافه موفق شد بسیاری از هواپیماهای سرنگون شده را جایگزین کند، اما نتوانست جایگزین ۲۲۶۲ خلبان باتجربه شود که در پنج ماه قبل از حمله به نرماندی کشته شدند.</w:t>
      </w:r>
    </w:p>
    <w:p>
      <w:pPr>
        <w:spacing w:after="28" w:line="216" w:lineRule="auto"/>
        <w:ind w:left="259"/>
        <w:jc w:val="left"/>
      </w:pPr>
      <w:r>
        <w:rPr>
          <w:rFonts w:ascii="Arial" w:hAnsi="Arial"/>
          <w:color w:val="525252"/>
          <w:sz w:val="13"/>
        </w:rPr>
        <w:t>Although the Luftwaffe managed to replace many downed aircraft, it could not replace the 2,262 experienced pilots killed in the five months preceding the invasion of Normandy.</w:t>
      </w:r>
    </w:p>
    <w:p>
      <w:pPr>
        <w:spacing w:after="20" w:line="223" w:lineRule="auto"/>
        <w:jc w:val="right"/>
        <w:bidi/>
      </w:pPr>
      <w:r>
        <w:rPr>
          <w:rFonts w:ascii="Arial" w:hAnsi="Arial"/>
          <w:sz w:val="16"/>
        </w:rPr>
        <w:t>023.19  در ۶ ژوئن ۱۹۴۴، نیروهای هوایی متفقین بر آسمان اروپا تسلط یافتند.</w:t>
      </w:r>
    </w:p>
    <w:p>
      <w:pPr>
        <w:spacing w:after="28" w:line="216" w:lineRule="auto"/>
        <w:ind w:left="259"/>
        <w:jc w:val="left"/>
      </w:pPr>
      <w:r>
        <w:rPr>
          <w:rFonts w:ascii="Arial" w:hAnsi="Arial"/>
          <w:color w:val="525252"/>
          <w:sz w:val="13"/>
        </w:rPr>
        <w:t>By 6 June 1944, Allied Air Forces dominated the skies of Europe.</w:t>
      </w:r>
    </w:p>
    <w:p>
      <w:pPr>
        <w:spacing w:after="20" w:line="223" w:lineRule="auto"/>
        <w:jc w:val="right"/>
        <w:bidi/>
      </w:pPr>
      <w:r>
        <w:rPr>
          <w:rFonts w:ascii="Arial" w:hAnsi="Arial"/>
          <w:sz w:val="16"/>
        </w:rPr>
        <w:t>023.20  در اولین روز تهاجم، که به‌طور گسترده به‌عنوان د-دای شناخته می‌شود، متفقین ۸۷۲۲ نیروی هوایی ارتش ایالات متحده و ۵۶۷۶ سورتی نیروی هوایی سلطنتی را علیه دفاع آلمان در فرانسه هدایت کردند.</w:t>
      </w:r>
    </w:p>
    <w:p>
      <w:pPr>
        <w:spacing w:after="28" w:line="216" w:lineRule="auto"/>
        <w:ind w:left="259"/>
        <w:jc w:val="left"/>
      </w:pPr>
      <w:r>
        <w:rPr>
          <w:rFonts w:ascii="Arial" w:hAnsi="Arial"/>
          <w:color w:val="525252"/>
          <w:sz w:val="13"/>
        </w:rPr>
        <w:t>On the first day of the invasion, widely recognized as D-Day, the Allies directed 8,722 U.S. Army Air Force and 5,676 Royal Air Force sorties against German defenses in France.</w:t>
      </w:r>
    </w:p>
    <w:p>
      <w:pPr>
        <w:spacing w:after="20" w:line="223" w:lineRule="auto"/>
        <w:jc w:val="right"/>
        <w:bidi/>
      </w:pPr>
      <w:r>
        <w:rPr>
          <w:rFonts w:ascii="Arial" w:hAnsi="Arial"/>
          <w:sz w:val="16"/>
        </w:rPr>
        <w:t>023.21  در پاسخ، لوفت وافه کمتر از ۱۰۰ سورتی پرواز انجام داد و تنها دو هواپیمای آلمانی به سواحل تهاجم خسارت وارد کردند.</w:t>
      </w:r>
    </w:p>
    <w:p>
      <w:pPr>
        <w:spacing w:after="28" w:line="216" w:lineRule="auto"/>
        <w:ind w:left="259"/>
        <w:jc w:val="left"/>
      </w:pPr>
      <w:r>
        <w:rPr>
          <w:rFonts w:ascii="Arial" w:hAnsi="Arial"/>
          <w:color w:val="525252"/>
          <w:sz w:val="13"/>
        </w:rPr>
        <w:t>In response, the Luftwaffe launched fewer than 100 sorties and only two German aircraft inflicted damage on the invasion beaches.</w:t>
      </w:r>
    </w:p>
    <w:p>
      <w:pPr>
        <w:spacing w:after="20" w:line="223" w:lineRule="auto"/>
        <w:jc w:val="right"/>
        <w:bidi/>
      </w:pPr>
      <w:r>
        <w:rPr>
          <w:rFonts w:ascii="Arial" w:hAnsi="Arial"/>
          <w:sz w:val="16"/>
        </w:rPr>
        <w:t>023.22  واضح است که بمب افکن‌ها و جنگنده‌های متفقین بر شبکه یکپارچه پدافند هوایی آلمان غلبه کردند.</w:t>
      </w:r>
    </w:p>
    <w:p>
      <w:pPr>
        <w:spacing w:after="28" w:line="216" w:lineRule="auto"/>
        <w:ind w:left="259"/>
        <w:jc w:val="left"/>
      </w:pPr>
      <w:r>
        <w:rPr>
          <w:rFonts w:ascii="Arial" w:hAnsi="Arial"/>
          <w:color w:val="525252"/>
          <w:sz w:val="13"/>
        </w:rPr>
        <w:t>Clearly, Allied bombers and fighters trumped the German integrated air defense network.</w:t>
      </w:r>
    </w:p>
    <w:p>
      <w:pPr>
        <w:spacing w:after="20" w:line="223" w:lineRule="auto"/>
        <w:jc w:val="right"/>
        <w:bidi/>
      </w:pPr>
      <w:r>
        <w:rPr>
          <w:rFonts w:ascii="Arial" w:hAnsi="Arial"/>
          <w:sz w:val="16"/>
        </w:rPr>
        <w:t>023.23  بمب افکن ترکیبی.</w:t>
      </w:r>
    </w:p>
    <w:p>
      <w:pPr>
        <w:spacing w:after="28" w:line="216" w:lineRule="auto"/>
        <w:ind w:left="259"/>
        <w:jc w:val="left"/>
      </w:pPr>
      <w:r>
        <w:rPr>
          <w:rFonts w:ascii="Arial" w:hAnsi="Arial"/>
          <w:color w:val="525252"/>
          <w:sz w:val="13"/>
        </w:rPr>
        <w:t>Combined Bomber Offensive.</w:t>
      </w:r>
    </w:p>
    <w:p>
      <w:pPr>
        <w:spacing w:after="20" w:line="223" w:lineRule="auto"/>
        <w:jc w:val="right"/>
        <w:bidi/>
      </w:pPr>
      <w:r>
        <w:rPr>
          <w:rFonts w:ascii="Arial" w:hAnsi="Arial"/>
          <w:sz w:val="16"/>
        </w:rPr>
        <w:t>023.24  پس از تهاجم نرماندی، حمله بمب افکن ترکیبی نیروهای آلمان را ویران کرد.</w:t>
      </w:r>
    </w:p>
    <w:p>
      <w:pPr>
        <w:spacing w:after="28" w:line="216" w:lineRule="auto"/>
        <w:ind w:left="259"/>
        <w:jc w:val="left"/>
      </w:pPr>
      <w:r>
        <w:rPr>
          <w:rFonts w:ascii="Arial" w:hAnsi="Arial"/>
          <w:color w:val="525252"/>
          <w:sz w:val="13"/>
        </w:rPr>
        <w:t>After the Normandy invasion, the Combined Bomber Offensive devastated Germany’s forces.</w:t>
      </w:r>
    </w:p>
    <w:p>
      <w:pPr>
        <w:spacing w:after="20" w:line="223" w:lineRule="auto"/>
        <w:jc w:val="right"/>
        <w:bidi/>
      </w:pPr>
      <w:r>
        <w:rPr>
          <w:rFonts w:ascii="Arial" w:hAnsi="Arial"/>
          <w:sz w:val="16"/>
        </w:rPr>
        <w:t>023.25  از سال ۱۹۴۲ تا ۱۹۴۵، حمله بمب افکن ترکیبی طولانی‌ترین و خونین‌ترین عملیات هوایی در تاریخ بود.</w:t>
      </w:r>
    </w:p>
    <w:p>
      <w:pPr>
        <w:spacing w:after="28" w:line="216" w:lineRule="auto"/>
        <w:ind w:left="259"/>
        <w:jc w:val="left"/>
      </w:pPr>
      <w:r>
        <w:rPr>
          <w:rFonts w:ascii="Arial" w:hAnsi="Arial"/>
          <w:color w:val="525252"/>
          <w:sz w:val="13"/>
        </w:rPr>
        <w:t>From 1942 to 1945, the Combined Bomber Offensive was the longest, bloodiest air campaign in history.</w:t>
      </w:r>
    </w:p>
    <w:p>
      <w:pPr>
        <w:spacing w:after="20" w:line="223" w:lineRule="auto"/>
        <w:jc w:val="right"/>
        <w:bidi/>
      </w:pPr>
      <w:r>
        <w:rPr>
          <w:rFonts w:ascii="Arial" w:hAnsi="Arial"/>
          <w:sz w:val="16"/>
        </w:rPr>
        <w:t>023.26  طبق نظرسنجی بمباران استراتژیک ایالات متحده، متفقین ۱.۴۴ میلیون سورتی جنگی انجام دادند و ۲.۷ میلیون تن بمب پرتاب کردند.</w:t>
      </w:r>
    </w:p>
    <w:p>
      <w:pPr>
        <w:spacing w:after="28" w:line="216" w:lineRule="auto"/>
        <w:ind w:left="259"/>
        <w:jc w:val="left"/>
      </w:pPr>
      <w:r>
        <w:rPr>
          <w:rFonts w:ascii="Arial" w:hAnsi="Arial"/>
          <w:color w:val="525252"/>
          <w:sz w:val="13"/>
        </w:rPr>
        <w:t>According to the U.S. Strategic Bombing Survey, the Allies flew 1.44 million combat sorties and dropped 2.7 million tons of bombs.</w:t>
      </w:r>
    </w:p>
    <w:p>
      <w:pPr>
        <w:spacing w:after="20" w:line="223" w:lineRule="auto"/>
        <w:jc w:val="right"/>
        <w:bidi/>
      </w:pPr>
      <w:r>
        <w:rPr>
          <w:rFonts w:ascii="Arial" w:hAnsi="Arial"/>
          <w:sz w:val="16"/>
        </w:rPr>
        <w:t>023.27  در این مأموریت‌ها بیش از یک میلیون آلمانی کشته و زخمی شدند و ۳.۶ میلیون ساختمان ویران شدند.</w:t>
      </w:r>
    </w:p>
    <w:p>
      <w:pPr>
        <w:spacing w:after="28" w:line="216" w:lineRule="auto"/>
        <w:ind w:left="259"/>
        <w:jc w:val="left"/>
      </w:pPr>
      <w:r>
        <w:rPr>
          <w:rFonts w:ascii="Arial" w:hAnsi="Arial"/>
          <w:color w:val="525252"/>
          <w:sz w:val="13"/>
        </w:rPr>
        <w:t>These missions killed and wounded over a million Germans and destroyed 3.6 million buildings.</w:t>
      </w:r>
    </w:p>
    <w:p>
      <w:pPr>
        <w:spacing w:after="20" w:line="223" w:lineRule="auto"/>
        <w:jc w:val="right"/>
        <w:bidi/>
      </w:pPr>
      <w:r>
        <w:rPr>
          <w:rFonts w:ascii="Arial" w:hAnsi="Arial"/>
          <w:sz w:val="16"/>
        </w:rPr>
        <w:t>023.28  ناگزیر با از دست دادن بیش از بیست درصد از نیروهای خود، رایش سوم در می‌۱۹۴۵ تسلیم شد و ژنرال اسپاتز یک پیروزی استراتژیک در جنگ هوایی علیه آلمان اعلام کرد.</w:t>
      </w:r>
    </w:p>
    <w:p>
      <w:pPr>
        <w:spacing w:after="28" w:line="216" w:lineRule="auto"/>
        <w:ind w:left="259"/>
        <w:jc w:val="left"/>
      </w:pPr>
      <w:r>
        <w:rPr>
          <w:rFonts w:ascii="Arial" w:hAnsi="Arial"/>
          <w:color w:val="525252"/>
          <w:sz w:val="13"/>
        </w:rPr>
        <w:t>Inevitably, with the loss of over twenty percent of its forces, the Third Reich surrendered in May 1945 and General Spaatz declared a strategic air war victory against Germany.</w:t>
      </w:r>
    </w:p>
    <w:p>
      <w:pPr>
        <w:spacing w:after="20" w:line="223" w:lineRule="auto"/>
        <w:jc w:val="right"/>
        <w:bidi/>
      </w:pPr>
      <w:r>
        <w:rPr>
          <w:rFonts w:ascii="Arial" w:hAnsi="Arial"/>
          <w:sz w:val="16"/>
        </w:rPr>
        <w:t>023.29  واضح بود که نیروی هوایی در طول جنگ جهانی دوم به‌عنوان یک سلاح غالب در اروپای غربی ظاهر شده بود.</w:t>
      </w:r>
    </w:p>
    <w:p>
      <w:pPr>
        <w:spacing w:after="28" w:line="216" w:lineRule="auto"/>
        <w:ind w:left="259"/>
        <w:jc w:val="left"/>
      </w:pPr>
      <w:r>
        <w:rPr>
          <w:rFonts w:ascii="Arial" w:hAnsi="Arial"/>
          <w:color w:val="525252"/>
          <w:sz w:val="13"/>
        </w:rPr>
        <w:t>It was clear that airpower had emerged as a dominant weapon in Western Europe during World War II.</w:t>
      </w:r>
    </w:p>
    <w:p>
      <w:pPr>
        <w:spacing w:after="20" w:line="223" w:lineRule="auto"/>
        <w:jc w:val="right"/>
        <w:bidi/>
      </w:pPr>
      <w:r>
        <w:rPr>
          <w:rFonts w:ascii="Arial" w:hAnsi="Arial"/>
          <w:sz w:val="16"/>
        </w:rPr>
        <w:t>023.30  عملیات چووهووند.</w:t>
      </w:r>
    </w:p>
    <w:p>
      <w:pPr>
        <w:spacing w:after="28" w:line="216" w:lineRule="auto"/>
        <w:ind w:left="259"/>
        <w:jc w:val="left"/>
      </w:pPr>
      <w:r>
        <w:rPr>
          <w:rFonts w:ascii="Arial" w:hAnsi="Arial"/>
          <w:color w:val="525252"/>
          <w:sz w:val="13"/>
        </w:rPr>
        <w:t>Operation Chowhound.</w:t>
      </w:r>
    </w:p>
    <w:p>
      <w:pPr>
        <w:spacing w:after="20" w:line="223" w:lineRule="auto"/>
        <w:jc w:val="right"/>
        <w:bidi/>
      </w:pPr>
      <w:r>
        <w:rPr>
          <w:rFonts w:ascii="Arial" w:hAnsi="Arial"/>
          <w:sz w:val="16"/>
        </w:rPr>
        <w:t>023.31  در ارتباط با مأموریت بشردوستانه بریتانیا به نام عملیات مانا، در ماه مه ۱۹۴۵، نیروی هوایی ارتش ایالات متحده چهار هزار تن غذا را در طول عملیات چووهووند به سه میلیون هلندی در هلند تحت اشغال آلمان تحویل داد.</w:t>
      </w:r>
    </w:p>
    <w:p>
      <w:pPr>
        <w:spacing w:after="28" w:line="216" w:lineRule="auto"/>
        <w:ind w:left="259"/>
        <w:jc w:val="left"/>
      </w:pPr>
      <w:r>
        <w:rPr>
          <w:rFonts w:ascii="Arial" w:hAnsi="Arial"/>
          <w:color w:val="525252"/>
          <w:sz w:val="13"/>
        </w:rPr>
        <w:t>In conjunction with the British humanitarian mission referred to as Operation Mana, in May 1945 the U.S. Army Air Forces delivered four thousand tons of food to three million Dutch in the German-occupied Netherlands during Operation Chowhound.</w:t>
      </w:r>
    </w:p>
    <w:p>
      <w:pPr>
        <w:spacing w:after="20" w:line="223" w:lineRule="auto"/>
        <w:jc w:val="right"/>
        <w:bidi/>
      </w:pPr>
      <w:r>
        <w:rPr>
          <w:rFonts w:ascii="Arial" w:hAnsi="Arial"/>
          <w:sz w:val="16"/>
        </w:rPr>
        <w:t>023.32  ده گروه از بمب افکن‌های ب-۱۷ ۲۲۶۸ سورتی پرواز انجام دادند و از حملات ضد هوایی آلمان اجتناب کردند و متحمل حداقل تلفات شدند.</w:t>
      </w:r>
    </w:p>
    <w:p>
      <w:pPr>
        <w:spacing w:after="28" w:line="216" w:lineRule="auto"/>
        <w:ind w:left="259"/>
        <w:jc w:val="left"/>
      </w:pPr>
      <w:r>
        <w:rPr>
          <w:rFonts w:ascii="Arial" w:hAnsi="Arial"/>
          <w:color w:val="525252"/>
          <w:sz w:val="13"/>
        </w:rPr>
        <w:t>Ten groups of B-17 bombers flew 2,268 sorties, avoiding German anti-aircraft attacks and suffering minimal losses.</w:t>
      </w:r>
    </w:p>
    <w:p>
      <w:r>
        <w:br w:type="page"/>
      </w:r>
    </w:p>
    <w:p>
      <w:pPr>
        <w:spacing w:after="60"/>
        <w:jc w:val="right"/>
        <w:bidi/>
      </w:pPr>
      <w:r>
        <w:rPr>
          <w:rFonts w:ascii="Arial" w:hAnsi="Arial"/>
          <w:b/>
          <w:color w:val="1F4D78"/>
          <w:sz w:val="19"/>
        </w:rPr>
        <w:t>هفتهٔ 24  |  صفحهٔ منبع: 40</w:t>
      </w:r>
    </w:p>
    <w:p>
      <w:pPr>
        <w:spacing w:after="20" w:line="223" w:lineRule="auto"/>
        <w:jc w:val="right"/>
        <w:bidi/>
      </w:pPr>
      <w:r>
        <w:rPr>
          <w:rFonts w:ascii="Arial" w:hAnsi="Arial"/>
          <w:sz w:val="16"/>
        </w:rPr>
        <w:t>024.01  شجاعت قابل توجه و سرگروهبان اول نیروی هوایی، پل دبلیو آیری.</w:t>
      </w:r>
    </w:p>
    <w:p>
      <w:pPr>
        <w:spacing w:after="28" w:line="216" w:lineRule="auto"/>
        <w:ind w:left="259"/>
        <w:jc w:val="left"/>
      </w:pPr>
      <w:r>
        <w:rPr>
          <w:rFonts w:ascii="Arial" w:hAnsi="Arial"/>
          <w:color w:val="525252"/>
          <w:sz w:val="13"/>
        </w:rPr>
        <w:t>Notable Bravery and First Chief Master Sergeant of the Air Force, Paul W. Airey.</w:t>
      </w:r>
    </w:p>
    <w:p>
      <w:pPr>
        <w:spacing w:after="20" w:line="223" w:lineRule="auto"/>
        <w:jc w:val="right"/>
        <w:bidi/>
      </w:pPr>
      <w:r>
        <w:rPr>
          <w:rFonts w:ascii="Arial" w:hAnsi="Arial"/>
          <w:sz w:val="16"/>
        </w:rPr>
        <w:t>024.02  در سال ۱۹۴۴، در سن ۲۰ سالگی، گروهبان فنی پل دبلیو آیری و خدمه دیگرش در بیست و هشتمین مأموریت خود در خارج از وین، اتریش، سرنگون شدند.</w:t>
      </w:r>
    </w:p>
    <w:p>
      <w:pPr>
        <w:spacing w:after="28" w:line="216" w:lineRule="auto"/>
        <w:ind w:left="259"/>
        <w:jc w:val="left"/>
      </w:pPr>
      <w:r>
        <w:rPr>
          <w:rFonts w:ascii="Arial" w:hAnsi="Arial"/>
          <w:color w:val="525252"/>
          <w:sz w:val="13"/>
        </w:rPr>
        <w:t>In 1944, at the age of 20, Technical Sergeant Paul W. Airey and his fellow crewmen were shot down on their 28th mission outside of Vienna, Austria.</w:t>
      </w:r>
    </w:p>
    <w:p>
      <w:pPr>
        <w:spacing w:after="20" w:line="223" w:lineRule="auto"/>
        <w:jc w:val="right"/>
        <w:bidi/>
      </w:pPr>
      <w:r>
        <w:rPr>
          <w:rFonts w:ascii="Arial" w:hAnsi="Arial"/>
          <w:sz w:val="16"/>
        </w:rPr>
        <w:t>024.03  او به مدت ۱۰ ماه به‌عنوان اسیر جنگی نگهداری شد و از یک راهپیمایی ۹۰ روزه و ۴۰۰ مایلی از دریای بالتیک تا برلین جان سالم به در برد تا اینکه توسط ارتش بریتانیا در سال ۱۹۴۵ آزاد شود.</w:t>
      </w:r>
    </w:p>
    <w:p>
      <w:pPr>
        <w:spacing w:after="28" w:line="216" w:lineRule="auto"/>
        <w:ind w:left="259"/>
        <w:jc w:val="left"/>
      </w:pPr>
      <w:r>
        <w:rPr>
          <w:rFonts w:ascii="Arial" w:hAnsi="Arial"/>
          <w:color w:val="525252"/>
          <w:sz w:val="13"/>
        </w:rPr>
        <w:t>He was held as a prisoner of war for 10 months, surviving a 90- day, 400-mile march from the Baltic Sea to Berlin before being liberated by the British Army in 1945.</w:t>
      </w:r>
    </w:p>
    <w:p>
      <w:pPr>
        <w:spacing w:after="20" w:line="223" w:lineRule="auto"/>
        <w:jc w:val="right"/>
        <w:bidi/>
      </w:pPr>
      <w:r>
        <w:rPr>
          <w:rFonts w:ascii="Arial" w:hAnsi="Arial"/>
          <w:sz w:val="16"/>
        </w:rPr>
        <w:t>024.04  در طول جنگ کره، ایری به‌عنوان تعمیرکار رادیو خدمت می‌کرد.</w:t>
      </w:r>
    </w:p>
    <w:p>
      <w:pPr>
        <w:spacing w:after="28" w:line="216" w:lineRule="auto"/>
        <w:ind w:left="259"/>
        <w:jc w:val="left"/>
      </w:pPr>
      <w:r>
        <w:rPr>
          <w:rFonts w:ascii="Arial" w:hAnsi="Arial"/>
          <w:color w:val="525252"/>
          <w:sz w:val="13"/>
        </w:rPr>
        <w:t>During the Korean War, Airey served as a radio repairman.</w:t>
      </w:r>
    </w:p>
    <w:p>
      <w:pPr>
        <w:spacing w:after="20" w:line="223" w:lineRule="auto"/>
        <w:jc w:val="right"/>
        <w:bidi/>
      </w:pPr>
      <w:r>
        <w:rPr>
          <w:rFonts w:ascii="Arial" w:hAnsi="Arial"/>
          <w:sz w:val="16"/>
        </w:rPr>
        <w:t>024.05  به دلیل صرفه جویی در بیش از یک میلیون دلار در تجهیزات الکترونیکی که بدون خط مونتاژ کنترل خوردگی که او توسعه داده بود، به او نشان لگیون وف مریت اهدا شد.</w:t>
      </w:r>
    </w:p>
    <w:p>
      <w:pPr>
        <w:spacing w:after="28" w:line="216" w:lineRule="auto"/>
        <w:ind w:left="259"/>
        <w:jc w:val="left"/>
      </w:pPr>
      <w:r>
        <w:rPr>
          <w:rFonts w:ascii="Arial" w:hAnsi="Arial"/>
          <w:color w:val="525252"/>
          <w:sz w:val="13"/>
        </w:rPr>
        <w:t>He was awarded the Legion of Merit for saving more than a million dollars in electronic equipment that would have deteriorated without the corrosion control assembly line he developed.</w:t>
      </w:r>
    </w:p>
    <w:p>
      <w:pPr>
        <w:spacing w:after="20" w:line="223" w:lineRule="auto"/>
        <w:jc w:val="right"/>
        <w:bidi/>
      </w:pPr>
      <w:r>
        <w:rPr>
          <w:rFonts w:ascii="Arial" w:hAnsi="Arial"/>
          <w:sz w:val="16"/>
        </w:rPr>
        <w:t>024.06  پل دبلیو آیری آیری اولین گروهبان ارشد نیروی هوایی در سال ۱۹۶۷ شد.</w:t>
      </w:r>
    </w:p>
    <w:p>
      <w:pPr>
        <w:spacing w:after="28" w:line="216" w:lineRule="auto"/>
        <w:ind w:left="259"/>
        <w:jc w:val="left"/>
      </w:pPr>
      <w:r>
        <w:rPr>
          <w:rFonts w:ascii="Arial" w:hAnsi="Arial"/>
          <w:color w:val="525252"/>
          <w:sz w:val="13"/>
        </w:rPr>
        <w:t>Paul W. Airey Airey became the first Chief Master Sergeant of the Air Force in 1967.</w:t>
      </w:r>
    </w:p>
    <w:p>
      <w:pPr>
        <w:spacing w:after="20" w:line="223" w:lineRule="auto"/>
        <w:jc w:val="right"/>
        <w:bidi/>
      </w:pPr>
      <w:r>
        <w:rPr>
          <w:rFonts w:ascii="Arial" w:hAnsi="Arial"/>
          <w:sz w:val="16"/>
        </w:rPr>
        <w:t>024.07  قابل ذکر است، در سال ۱۹۸۸، رئیس آیری مدال زندانی جنگی نیروی هوایی را دریافت کرد.</w:t>
      </w:r>
    </w:p>
    <w:p>
      <w:pPr>
        <w:spacing w:after="28" w:line="216" w:lineRule="auto"/>
        <w:ind w:left="259"/>
        <w:jc w:val="left"/>
      </w:pPr>
      <w:r>
        <w:rPr>
          <w:rFonts w:ascii="Arial" w:hAnsi="Arial"/>
          <w:color w:val="525252"/>
          <w:sz w:val="13"/>
        </w:rPr>
        <w:t>Notably, in 1988, Chief Airey received the Air Force Prisoner of War Medal.</w:t>
      </w:r>
    </w:p>
    <w:p>
      <w:pPr>
        <w:spacing w:after="20" w:line="223" w:lineRule="auto"/>
        <w:jc w:val="right"/>
        <w:bidi/>
      </w:pPr>
      <w:r>
        <w:rPr>
          <w:rFonts w:ascii="Arial" w:hAnsi="Arial"/>
          <w:sz w:val="16"/>
        </w:rPr>
        <w:t>024.08  ب-۱۷ به افتخار او، ساتور سانچز نامگذاری شده است.</w:t>
      </w:r>
    </w:p>
    <w:p>
      <w:pPr>
        <w:spacing w:after="28" w:line="216" w:lineRule="auto"/>
        <w:ind w:left="259"/>
        <w:jc w:val="left"/>
      </w:pPr>
      <w:r>
        <w:rPr>
          <w:rFonts w:ascii="Arial" w:hAnsi="Arial"/>
          <w:color w:val="525252"/>
          <w:sz w:val="13"/>
        </w:rPr>
        <w:t>B-17 Named in his Honor, Sator Sanchez.</w:t>
      </w:r>
    </w:p>
    <w:p>
      <w:pPr>
        <w:spacing w:after="20" w:line="223" w:lineRule="auto"/>
        <w:jc w:val="right"/>
        <w:bidi/>
      </w:pPr>
      <w:r>
        <w:rPr>
          <w:rFonts w:ascii="Arial" w:hAnsi="Arial"/>
          <w:sz w:val="16"/>
        </w:rPr>
        <w:t>024.09  پرسنل استخدام شده در طول جنگ جهانی دوم با افتخار خدمت کردند.</w:t>
      </w:r>
    </w:p>
    <w:p>
      <w:pPr>
        <w:spacing w:after="28" w:line="216" w:lineRule="auto"/>
        <w:ind w:left="259"/>
        <w:jc w:val="left"/>
      </w:pPr>
      <w:r>
        <w:rPr>
          <w:rFonts w:ascii="Arial" w:hAnsi="Arial"/>
          <w:color w:val="525252"/>
          <w:sz w:val="13"/>
        </w:rPr>
        <w:t>Enlisted personnel served with honor throughout World War II.</w:t>
      </w:r>
    </w:p>
    <w:p>
      <w:pPr>
        <w:spacing w:after="20" w:line="223" w:lineRule="auto"/>
        <w:jc w:val="right"/>
        <w:bidi/>
      </w:pPr>
      <w:r>
        <w:rPr>
          <w:rFonts w:ascii="Arial" w:hAnsi="Arial"/>
          <w:sz w:val="16"/>
        </w:rPr>
        <w:t>024.10  گروهبان ساتور "سمیلین' ساندی" سانچز ۴۴ مأموریت را به‌عنوان یک توپچی هوایی با گروه بمب ۹۵ انجام داد، ۱۹ مأموریت بیشتر از آنچه برای تکمیل تور خود لازم بود.</w:t>
      </w:r>
    </w:p>
    <w:p>
      <w:pPr>
        <w:spacing w:after="28" w:line="216" w:lineRule="auto"/>
        <w:ind w:left="259"/>
        <w:jc w:val="left"/>
      </w:pPr>
      <w:r>
        <w:rPr>
          <w:rFonts w:ascii="Arial" w:hAnsi="Arial"/>
          <w:color w:val="525252"/>
          <w:sz w:val="13"/>
        </w:rPr>
        <w:t>Sergeant Sator “Smilin’ Sandy” Sanchez flew 44 missions as an aerial gunner with the 95th Bomb Group, 19 more missions than required to complete his tour.</w:t>
      </w:r>
    </w:p>
    <w:p>
      <w:pPr>
        <w:spacing w:after="20" w:line="223" w:lineRule="auto"/>
        <w:jc w:val="right"/>
        <w:bidi/>
      </w:pPr>
      <w:r>
        <w:rPr>
          <w:rFonts w:ascii="Arial" w:hAnsi="Arial"/>
          <w:sz w:val="16"/>
        </w:rPr>
        <w:t>024.11  پس از مدت کوتاهی به خانه بازگشت، به جای پذیرش مأموریت به‌عنوان مربی توپخانه، به اروپا بازگشت.</w:t>
      </w:r>
    </w:p>
    <w:p>
      <w:pPr>
        <w:spacing w:after="28" w:line="216" w:lineRule="auto"/>
        <w:ind w:left="259"/>
        <w:jc w:val="left"/>
      </w:pPr>
      <w:r>
        <w:rPr>
          <w:rFonts w:ascii="Arial" w:hAnsi="Arial"/>
          <w:color w:val="525252"/>
          <w:sz w:val="13"/>
        </w:rPr>
        <w:t>After returning home for a brief period, rather than accepting an assignment as a gunnery instructor, he returned to Europe.</w:t>
      </w:r>
    </w:p>
    <w:p>
      <w:pPr>
        <w:spacing w:after="20" w:line="223" w:lineRule="auto"/>
        <w:jc w:val="right"/>
        <w:bidi/>
      </w:pPr>
      <w:r>
        <w:rPr>
          <w:rFonts w:ascii="Arial" w:hAnsi="Arial"/>
          <w:sz w:val="16"/>
        </w:rPr>
        <w:t>024.12  در حال پرواز با اسکادران بمباران ۳۵۳د در ایتالیا، هواپیمای سانچز مورد اصابت آتش زمینی قرار گرفت.</w:t>
      </w:r>
    </w:p>
    <w:p>
      <w:pPr>
        <w:spacing w:after="28" w:line="216" w:lineRule="auto"/>
        <w:ind w:left="259"/>
        <w:jc w:val="left"/>
      </w:pPr>
      <w:r>
        <w:rPr>
          <w:rFonts w:ascii="Arial" w:hAnsi="Arial"/>
          <w:color w:val="525252"/>
          <w:sz w:val="13"/>
        </w:rPr>
        <w:t>Flying with the 353d Bombardment Squadron in Italy, Sanchez’s aircraft was hit by ground fire.</w:t>
      </w:r>
    </w:p>
    <w:p>
      <w:pPr>
        <w:spacing w:after="20" w:line="223" w:lineRule="auto"/>
        <w:jc w:val="right"/>
        <w:bidi/>
      </w:pPr>
      <w:r>
        <w:rPr>
          <w:rFonts w:ascii="Arial" w:hAnsi="Arial"/>
          <w:sz w:val="16"/>
        </w:rPr>
        <w:t>024.13  ۹ نفر از ۱۰ خدمه با موفقیت نجات یافتند، اما سانچز هرگز از هواپیمای آسیب دیده موفق نشد.</w:t>
      </w:r>
    </w:p>
    <w:p>
      <w:pPr>
        <w:spacing w:after="28" w:line="216" w:lineRule="auto"/>
        <w:ind w:left="259"/>
        <w:jc w:val="left"/>
      </w:pPr>
      <w:r>
        <w:rPr>
          <w:rFonts w:ascii="Arial" w:hAnsi="Arial"/>
          <w:color w:val="525252"/>
          <w:sz w:val="13"/>
        </w:rPr>
        <w:t>Nine of the 10-member crew bailed out successfully, but Sanchez never made it from the stricken aircraft.</w:t>
      </w:r>
    </w:p>
    <w:p>
      <w:pPr>
        <w:spacing w:after="20" w:line="223" w:lineRule="auto"/>
        <w:jc w:val="right"/>
        <w:bidi/>
      </w:pPr>
      <w:r>
        <w:rPr>
          <w:rFonts w:ascii="Arial" w:hAnsi="Arial"/>
          <w:sz w:val="16"/>
        </w:rPr>
        <w:t>024.14  حمله به آخرین پالایشگاه نفت عملیاتی نازی‌ها در ۱۵ مارس ۱۹۴۵ موفقیت آمیز بود، اما به قیمت جان یکی از پرافتخارترین هواداران نیروی نظامی ساتور سانچز تمام شد.</w:t>
      </w:r>
    </w:p>
    <w:p>
      <w:pPr>
        <w:spacing w:after="28" w:line="216" w:lineRule="auto"/>
        <w:ind w:left="259"/>
        <w:jc w:val="left"/>
      </w:pPr>
      <w:r>
        <w:rPr>
          <w:rFonts w:ascii="Arial" w:hAnsi="Arial"/>
          <w:color w:val="525252"/>
          <w:sz w:val="13"/>
        </w:rPr>
        <w:t>The raid against the last operational Nazi oil refinery on 15 March 1945 was successful, but it cost the life of one of the enlisted force’s most decorated Sator Sanchez Airmen.</w:t>
      </w:r>
    </w:p>
    <w:p>
      <w:pPr>
        <w:spacing w:after="20" w:line="223" w:lineRule="auto"/>
        <w:jc w:val="right"/>
        <w:bidi/>
      </w:pPr>
      <w:r>
        <w:rPr>
          <w:rFonts w:ascii="Arial" w:hAnsi="Arial"/>
          <w:sz w:val="16"/>
        </w:rPr>
        <w:t>024.15  سانچز تنها هوانیروز بود که یک ب-۱۷ به افتخار او نامگذاری شد.</w:t>
      </w:r>
    </w:p>
    <w:p>
      <w:pPr>
        <w:spacing w:after="28" w:line="216" w:lineRule="auto"/>
        <w:ind w:left="259"/>
        <w:jc w:val="left"/>
      </w:pPr>
      <w:r>
        <w:rPr>
          <w:rFonts w:ascii="Arial" w:hAnsi="Arial"/>
          <w:color w:val="525252"/>
          <w:sz w:val="13"/>
        </w:rPr>
        <w:t>Sanchez was the only enlisted Airman to have a B-17 named in his honor.</w:t>
      </w:r>
    </w:p>
    <w:p>
      <w:pPr>
        <w:spacing w:before="60" w:after="28"/>
        <w:jc w:val="right"/>
        <w:bidi/>
      </w:pPr>
      <w:r>
        <w:rPr>
          <w:b/>
          <w:color w:val="1F4D78"/>
          <w:sz w:val="18"/>
        </w:rPr>
        <w:t>2.17. نیروهای ژاپنی جنگ جهانی دوم</w:t>
      </w:r>
    </w:p>
    <w:p>
      <w:pPr>
        <w:spacing w:after="20"/>
        <w:ind w:left="259"/>
        <w:jc w:val="left"/>
      </w:pPr>
      <w:r>
        <w:rPr>
          <w:color w:val="555555"/>
          <w:sz w:val="12"/>
        </w:rPr>
        <w:t>2.17. World War II Japanese Forces</w:t>
      </w:r>
    </w:p>
    <w:p>
      <w:pPr>
        <w:spacing w:after="20" w:line="223" w:lineRule="auto"/>
        <w:jc w:val="right"/>
        <w:bidi/>
      </w:pPr>
      <w:r>
        <w:rPr>
          <w:rFonts w:ascii="Arial" w:hAnsi="Arial"/>
          <w:sz w:val="16"/>
        </w:rPr>
        <w:t>024.17  ت دولیتل راید.</w:t>
      </w:r>
    </w:p>
    <w:p>
      <w:pPr>
        <w:spacing w:after="28" w:line="216" w:lineRule="auto"/>
        <w:ind w:left="259"/>
        <w:jc w:val="left"/>
      </w:pPr>
      <w:r>
        <w:rPr>
          <w:rFonts w:ascii="Arial" w:hAnsi="Arial"/>
          <w:color w:val="525252"/>
          <w:sz w:val="13"/>
        </w:rPr>
        <w:t>The Doolittle Raid.</w:t>
      </w:r>
    </w:p>
    <w:p>
      <w:pPr>
        <w:spacing w:after="20" w:line="223" w:lineRule="auto"/>
        <w:jc w:val="right"/>
        <w:bidi/>
      </w:pPr>
      <w:r>
        <w:rPr>
          <w:rFonts w:ascii="Arial" w:hAnsi="Arial"/>
          <w:sz w:val="16"/>
        </w:rPr>
        <w:t>024.18  نیروهای ژاپنی در طول شش ماه اول درگیری در جنگ جهانی دوم شکست ناپذیر ظاهر شدند.</w:t>
      </w:r>
    </w:p>
    <w:p>
      <w:pPr>
        <w:spacing w:after="28" w:line="216" w:lineRule="auto"/>
        <w:ind w:left="259"/>
        <w:jc w:val="left"/>
      </w:pPr>
      <w:r>
        <w:rPr>
          <w:rFonts w:ascii="Arial" w:hAnsi="Arial"/>
          <w:color w:val="525252"/>
          <w:sz w:val="13"/>
        </w:rPr>
        <w:t>The Japanese forces appeared invincible during the first six months of conflict in World War II.</w:t>
      </w:r>
    </w:p>
    <w:p>
      <w:pPr>
        <w:spacing w:after="20" w:line="223" w:lineRule="auto"/>
        <w:jc w:val="right"/>
        <w:bidi/>
      </w:pPr>
      <w:r>
        <w:rPr>
          <w:rFonts w:ascii="Arial" w:hAnsi="Arial"/>
          <w:sz w:val="16"/>
        </w:rPr>
        <w:t>024.19  با این حال، در ۱۸ آوریل ۱۹۴۲، سرهنگ دوم جیمز اچ. "جیمی" دولیتل ۱۶ بمب افکن متوسط ​​ب-۲۵ میچل آمریکای شمالی را رهبری کرد که از ناو USS هورنت در یک حمله بمباران به اهداف نظامی در توکیو، کوبه و ناگویا، ژاپن پرتاب شد.</w:t>
      </w:r>
    </w:p>
    <w:p>
      <w:pPr>
        <w:spacing w:after="28" w:line="216" w:lineRule="auto"/>
        <w:ind w:left="259"/>
        <w:jc w:val="left"/>
      </w:pPr>
      <w:r>
        <w:rPr>
          <w:rFonts w:ascii="Arial" w:hAnsi="Arial"/>
          <w:color w:val="525252"/>
          <w:sz w:val="13"/>
        </w:rPr>
        <w:t>However, on 18 April 1942, Lieutenant Colonel James H. “Jimmy” Doolittle led 16 North American B-25 Mitchell medium bombers, launching from the carrier USS Hornet in a bombing raid on military targets in Tokyo, Kobe, and Nagoya, Japan.</w:t>
      </w:r>
    </w:p>
    <w:p>
      <w:pPr>
        <w:spacing w:after="20" w:line="223" w:lineRule="auto"/>
        <w:jc w:val="right"/>
        <w:bidi/>
      </w:pPr>
      <w:r>
        <w:rPr>
          <w:rFonts w:ascii="Arial" w:hAnsi="Arial"/>
          <w:sz w:val="16"/>
        </w:rPr>
        <w:t>024.20  در حالی که یورش دولیتل آسیب کمی به تلاش‌های ژاپنی وارد کرد و متأسفانه تقریبا کل ناوگان ب-۲۵ خود را نابود کرد، این حرکت رهبران نظامی ژاپن را شوکه کرد و روحیه مردم آمریکا را تقویت کرد.</w:t>
      </w:r>
    </w:p>
    <w:p>
      <w:pPr>
        <w:spacing w:after="28" w:line="216" w:lineRule="auto"/>
        <w:ind w:left="259"/>
        <w:jc w:val="left"/>
      </w:pPr>
      <w:r>
        <w:rPr>
          <w:rFonts w:ascii="Arial" w:hAnsi="Arial"/>
          <w:color w:val="525252"/>
          <w:sz w:val="13"/>
        </w:rPr>
        <w:t>While the Doolittle Raid inflicted little damage on Japanese efforts, and unfortunately destroyed almost the entire fleet of its own B-25s, the gesture shocked Japanese military leaders and boosted morale for the American public.</w:t>
      </w:r>
    </w:p>
    <w:p>
      <w:pPr>
        <w:spacing w:after="20" w:line="223" w:lineRule="auto"/>
        <w:jc w:val="right"/>
        <w:bidi/>
      </w:pPr>
      <w:r>
        <w:rPr>
          <w:rFonts w:ascii="Arial" w:hAnsi="Arial"/>
          <w:sz w:val="16"/>
        </w:rPr>
        <w:t>024.21  شجاعانه قابل توجه و مهاجم دولیتل، جیمز دولیتل.</w:t>
      </w:r>
    </w:p>
    <w:p>
      <w:pPr>
        <w:spacing w:after="28" w:line="216" w:lineRule="auto"/>
        <w:ind w:left="259"/>
        <w:jc w:val="left"/>
      </w:pPr>
      <w:r>
        <w:rPr>
          <w:rFonts w:ascii="Arial" w:hAnsi="Arial"/>
          <w:color w:val="525252"/>
          <w:sz w:val="13"/>
        </w:rPr>
        <w:t>Notable Bravery and Doolittle Raider, James Doolittle.</w:t>
      </w:r>
    </w:p>
    <w:p>
      <w:pPr>
        <w:spacing w:after="20" w:line="223" w:lineRule="auto"/>
        <w:jc w:val="right"/>
        <w:bidi/>
      </w:pPr>
      <w:r>
        <w:rPr>
          <w:rFonts w:ascii="Arial" w:hAnsi="Arial"/>
          <w:sz w:val="16"/>
        </w:rPr>
        <w:t>024.22  ژنرال جیمز اچ. "جیمی" دولیتل دستاوردهای حرفه‌ای افسانه‌ای است.</w:t>
      </w:r>
    </w:p>
    <w:p>
      <w:pPr>
        <w:spacing w:after="28" w:line="216" w:lineRule="auto"/>
        <w:ind w:left="259"/>
        <w:jc w:val="left"/>
      </w:pPr>
      <w:r>
        <w:rPr>
          <w:rFonts w:ascii="Arial" w:hAnsi="Arial"/>
          <w:color w:val="525252"/>
          <w:sz w:val="13"/>
        </w:rPr>
        <w:t>General James H. “Jimmy” Doolittle’s professional accomplishments are legendary.</w:t>
      </w:r>
    </w:p>
    <w:p>
      <w:pPr>
        <w:spacing w:after="20" w:line="223" w:lineRule="auto"/>
        <w:jc w:val="right"/>
        <w:bidi/>
      </w:pPr>
      <w:r>
        <w:rPr>
          <w:rFonts w:ascii="Arial" w:hAnsi="Arial"/>
          <w:sz w:val="16"/>
        </w:rPr>
        <w:t>024.23  فرمانده هوانوردی، مهندس هوانوردی، مسابقه هواپیما، تاجر، ژنرال فرمانده، مجری شرکت نفت، دستیار ویژه رئیس ستاد کل نیروی هوایی و دارنده مدال افتخار بود.</w:t>
      </w:r>
    </w:p>
    <w:p>
      <w:pPr>
        <w:spacing w:after="28" w:line="216" w:lineRule="auto"/>
        <w:ind w:left="259"/>
        <w:jc w:val="left"/>
      </w:pPr>
      <w:r>
        <w:rPr>
          <w:rFonts w:ascii="Arial" w:hAnsi="Arial"/>
          <w:color w:val="525252"/>
          <w:sz w:val="13"/>
        </w:rPr>
        <w:t>He was an air leader, aeronautical engineer, airplane racer, businessman, commanding general, oil-company executive, special assistant to the Chief of Staff of the Air Force, and holder of the Medal of Honor.</w:t>
      </w:r>
    </w:p>
    <w:p>
      <w:pPr>
        <w:spacing w:after="20" w:line="223" w:lineRule="auto"/>
        <w:jc w:val="right"/>
        <w:bidi/>
      </w:pPr>
      <w:r>
        <w:rPr>
          <w:rFonts w:ascii="Arial" w:hAnsi="Arial"/>
          <w:sz w:val="16"/>
        </w:rPr>
        <w:t>024.24  در سال ۱۹۲۲، ستوان دولیتل با یک DH-۴ به مدت ۲۱ ساعت و ۱۹ دقیقه در سراسر ایالات متحده پرواز کرد، با یک توقف سوخت گیری.</w:t>
      </w:r>
    </w:p>
    <w:p>
      <w:pPr>
        <w:spacing w:after="28" w:line="216" w:lineRule="auto"/>
        <w:ind w:left="259"/>
        <w:jc w:val="left"/>
      </w:pPr>
      <w:r>
        <w:rPr>
          <w:rFonts w:ascii="Arial" w:hAnsi="Arial"/>
          <w:color w:val="525252"/>
          <w:sz w:val="13"/>
        </w:rPr>
        <w:t>In 1922, Lieutenant Doolittle flew 21 hours and 19 minutes across the United States in a DH-4, with one refueling stop.</w:t>
      </w:r>
    </w:p>
    <w:p>
      <w:pPr>
        <w:spacing w:after="20" w:line="223" w:lineRule="auto"/>
        <w:jc w:val="right"/>
        <w:bidi/>
      </w:pPr>
      <w:r>
        <w:rPr>
          <w:rFonts w:ascii="Arial" w:hAnsi="Arial"/>
          <w:sz w:val="16"/>
        </w:rPr>
        <w:t>024.25  در سال ۱۹۲۵، او جایزه اشنایدر را در مسابقه هواپیماهای دریایی بر روی آب به دست آورد، زمانی که رکورد جهانی هواپیمای دریایی را با سرعت ۲۴۵.۷۱۳ مایل در ساعت ثبت کرد.</w:t>
      </w:r>
    </w:p>
    <w:p>
      <w:pPr>
        <w:spacing w:after="28" w:line="216" w:lineRule="auto"/>
        <w:ind w:left="259"/>
        <w:jc w:val="left"/>
      </w:pPr>
      <w:r>
        <w:rPr>
          <w:rFonts w:ascii="Arial" w:hAnsi="Arial"/>
          <w:color w:val="525252"/>
          <w:sz w:val="13"/>
        </w:rPr>
        <w:t>In 1925, he won the Schneider Trophy in an over-water seaplane race when he established a world seaplane record at 245.713 miles per hour.</w:t>
      </w:r>
    </w:p>
    <w:p>
      <w:pPr>
        <w:spacing w:after="20" w:line="223" w:lineRule="auto"/>
        <w:jc w:val="right"/>
        <w:bidi/>
      </w:pPr>
      <w:r>
        <w:rPr>
          <w:rFonts w:ascii="Arial" w:hAnsi="Arial"/>
          <w:sz w:val="16"/>
        </w:rPr>
        <w:t>024.26  در سال ۱۹۲۹، جایزه هارمون را به خاطر اینکه اولین خلبانی بود که برخاسته بود، در یک مسیر مجموعه جیمز اچ. دولیتل پرواز کرد و با استفاده از ابزار به تنهایی فرود آمد، دریافت کرد.</w:t>
      </w:r>
    </w:p>
    <w:p>
      <w:pPr>
        <w:spacing w:after="28" w:line="216" w:lineRule="auto"/>
        <w:ind w:left="259"/>
        <w:jc w:val="left"/>
      </w:pPr>
      <w:r>
        <w:rPr>
          <w:rFonts w:ascii="Arial" w:hAnsi="Arial"/>
          <w:color w:val="525252"/>
          <w:sz w:val="13"/>
        </w:rPr>
        <w:t>In 1929, he was awarded the Harmon Trophy for being the first pilot to take off, fly a set James H. Doolittle course, and land using instruments alone.</w:t>
      </w:r>
    </w:p>
    <w:p>
      <w:pPr>
        <w:spacing w:after="20" w:line="223" w:lineRule="auto"/>
        <w:jc w:val="right"/>
        <w:bidi/>
      </w:pPr>
      <w:r>
        <w:rPr>
          <w:rFonts w:ascii="Arial" w:hAnsi="Arial"/>
          <w:sz w:val="16"/>
        </w:rPr>
        <w:t>024.27  پس از وقفه‌ای در خدمت، او برای رهبری یورش دولیتل در ۱۸ آوریل ۱۹۴۲ به ژاپن بازگشت.</w:t>
      </w:r>
    </w:p>
    <w:p>
      <w:pPr>
        <w:spacing w:after="28" w:line="216" w:lineRule="auto"/>
        <w:ind w:left="259"/>
        <w:jc w:val="left"/>
      </w:pPr>
      <w:r>
        <w:rPr>
          <w:rFonts w:ascii="Arial" w:hAnsi="Arial"/>
          <w:color w:val="525252"/>
          <w:sz w:val="13"/>
        </w:rPr>
        <w:t>After a break in service, he returned to lead the 18 April 1942 Doolittle Raid on Japan.</w:t>
      </w:r>
    </w:p>
    <w:p>
      <w:pPr>
        <w:spacing w:after="20" w:line="223" w:lineRule="auto"/>
        <w:jc w:val="right"/>
        <w:bidi/>
      </w:pPr>
      <w:r>
        <w:rPr>
          <w:rFonts w:ascii="Arial" w:hAnsi="Arial"/>
          <w:sz w:val="16"/>
        </w:rPr>
        <w:t>024.28  در سال ۱۹۸۵، کنگره ایالات متحده دولیتل را به ژنرال چهار ستاره ارتقا داد، اولین فردی در تاریخ نیروی هوایی رزرو که به آن درجه ارتقا یافت.</w:t>
      </w:r>
    </w:p>
    <w:p>
      <w:pPr>
        <w:spacing w:after="28" w:line="216" w:lineRule="auto"/>
        <w:ind w:left="259"/>
        <w:jc w:val="left"/>
      </w:pPr>
      <w:r>
        <w:rPr>
          <w:rFonts w:ascii="Arial" w:hAnsi="Arial"/>
          <w:color w:val="525252"/>
          <w:sz w:val="13"/>
        </w:rPr>
        <w:t>In 1985, U.S. Congress promoted Doolittle to four-star general, the first person in the Air Force Reserve’s history to be promoted to that rank.</w:t>
      </w:r>
    </w:p>
    <w:p>
      <w:r>
        <w:br w:type="page"/>
      </w:r>
    </w:p>
    <w:p>
      <w:pPr>
        <w:spacing w:after="60"/>
        <w:jc w:val="right"/>
        <w:bidi/>
      </w:pPr>
      <w:r>
        <w:rPr>
          <w:rFonts w:ascii="Arial" w:hAnsi="Arial"/>
          <w:b/>
          <w:color w:val="1F4D78"/>
          <w:sz w:val="19"/>
        </w:rPr>
        <w:t>هفتهٔ 25  |  صفحهٔ منبع: 41</w:t>
      </w:r>
    </w:p>
    <w:p>
      <w:pPr>
        <w:spacing w:before="60" w:after="28"/>
        <w:jc w:val="right"/>
        <w:bidi/>
      </w:pPr>
      <w:r>
        <w:rPr>
          <w:b/>
          <w:color w:val="1F4D78"/>
          <w:sz w:val="18"/>
        </w:rPr>
        <w:t>2.18. دوران اتمی</w:t>
      </w:r>
    </w:p>
    <w:p>
      <w:pPr>
        <w:spacing w:after="20"/>
        <w:ind w:left="259"/>
        <w:jc w:val="left"/>
      </w:pPr>
      <w:r>
        <w:rPr>
          <w:color w:val="555555"/>
          <w:sz w:val="12"/>
        </w:rPr>
        <w:t>2.18. Atomic Era</w:t>
      </w:r>
    </w:p>
    <w:p>
      <w:pPr>
        <w:spacing w:after="20" w:line="223" w:lineRule="auto"/>
        <w:jc w:val="right"/>
        <w:bidi/>
      </w:pPr>
      <w:r>
        <w:rPr>
          <w:rFonts w:ascii="Arial" w:hAnsi="Arial"/>
          <w:sz w:val="16"/>
        </w:rPr>
        <w:t>025.02  با قدرت زیاد، مسئولیت بزرگی به همراه دارد.</w:t>
      </w:r>
    </w:p>
    <w:p>
      <w:pPr>
        <w:spacing w:after="28" w:line="216" w:lineRule="auto"/>
        <w:ind w:left="259"/>
        <w:jc w:val="left"/>
      </w:pPr>
      <w:r>
        <w:rPr>
          <w:rFonts w:ascii="Arial" w:hAnsi="Arial"/>
          <w:color w:val="525252"/>
          <w:sz w:val="13"/>
        </w:rPr>
        <w:t>With great power comes great responsibility.</w:t>
      </w:r>
    </w:p>
    <w:p>
      <w:pPr>
        <w:spacing w:after="20" w:line="223" w:lineRule="auto"/>
        <w:jc w:val="right"/>
        <w:bidi/>
      </w:pPr>
      <w:r>
        <w:rPr>
          <w:rFonts w:ascii="Arial" w:hAnsi="Arial"/>
          <w:sz w:val="16"/>
        </w:rPr>
        <w:t>025.03  در سال ۱۸۹۶، زمانی که اورانیوم برای انتشار یک تشعشع ناشناخته کشف شد و رادیواکتیویته با احتمالات انرژی اتمی مرتبط بود، دوران اتمی آغاز شده بود.</w:t>
      </w:r>
    </w:p>
    <w:p>
      <w:pPr>
        <w:spacing w:after="28" w:line="216" w:lineRule="auto"/>
        <w:ind w:left="259"/>
        <w:jc w:val="left"/>
      </w:pPr>
      <w:r>
        <w:rPr>
          <w:rFonts w:ascii="Arial" w:hAnsi="Arial"/>
          <w:color w:val="525252"/>
          <w:sz w:val="13"/>
        </w:rPr>
        <w:t>Stemming as far back as 1896, when uranium was discovered to release an ‘unknown’ radiation, and radioactivity was related to the possibilities of atomic energy, the atomic era had begun.</w:t>
      </w:r>
    </w:p>
    <w:p>
      <w:pPr>
        <w:spacing w:after="20" w:line="223" w:lineRule="auto"/>
        <w:jc w:val="right"/>
        <w:bidi/>
      </w:pPr>
      <w:r>
        <w:rPr>
          <w:rFonts w:ascii="Arial" w:hAnsi="Arial"/>
          <w:sz w:val="16"/>
        </w:rPr>
        <w:t>025.04  کاربردهای بالقوه انرژی اتمی از پزشکی هسته‌ای گرفته تا سوخت و تسلیحات را شامل می‌شود.</w:t>
      </w:r>
    </w:p>
    <w:p>
      <w:pPr>
        <w:spacing w:after="28" w:line="216" w:lineRule="auto"/>
        <w:ind w:left="259"/>
        <w:jc w:val="left"/>
      </w:pPr>
      <w:r>
        <w:rPr>
          <w:rFonts w:ascii="Arial" w:hAnsi="Arial"/>
          <w:color w:val="525252"/>
          <w:sz w:val="13"/>
        </w:rPr>
        <w:t>The potential uses for atomic energy ranged from nuclear medicine to fuel to weaponry.</w:t>
      </w:r>
    </w:p>
    <w:p>
      <w:pPr>
        <w:spacing w:after="20" w:line="223" w:lineRule="auto"/>
        <w:jc w:val="right"/>
        <w:bidi/>
      </w:pPr>
      <w:r>
        <w:rPr>
          <w:rFonts w:ascii="Arial" w:hAnsi="Arial"/>
          <w:sz w:val="16"/>
        </w:rPr>
        <w:t>025.05  تا سال ۱۹۴۵ بود که استفاده از انرژی اتمی به‌عنوان یک سلاح هسته‌ای با هدف پایان دادن به جنگ جهانی دوم استفاده شد.</w:t>
      </w:r>
    </w:p>
    <w:p>
      <w:pPr>
        <w:spacing w:after="28" w:line="216" w:lineRule="auto"/>
        <w:ind w:left="259"/>
        <w:jc w:val="left"/>
      </w:pPr>
      <w:r>
        <w:rPr>
          <w:rFonts w:ascii="Arial" w:hAnsi="Arial"/>
          <w:color w:val="525252"/>
          <w:sz w:val="13"/>
        </w:rPr>
        <w:t>It wasn’t until 1945 that the use of atomic energy was used as a nuclear weapon with the intention of putting an end to World War II.</w:t>
      </w:r>
    </w:p>
    <w:p>
      <w:pPr>
        <w:spacing w:after="20" w:line="223" w:lineRule="auto"/>
        <w:jc w:val="right"/>
        <w:bidi/>
      </w:pPr>
      <w:r>
        <w:rPr>
          <w:rFonts w:ascii="Arial" w:hAnsi="Arial"/>
          <w:sz w:val="16"/>
        </w:rPr>
        <w:t>025.06  در ژوئیه ۱۹۴۵، پس از آزمایش موفقیت آمیز اتمی اولین بمب هسته‌ای، ترینیتی، نیروهای متفقین اولتیماتومی صادر کردند و از دولت ژاپن خواستند که تسلیم شود یا "ویرانی فوری و کامل" متحمل شود. ظرف چند هفته، ب-۲۹‌های اصلاح شده ویژه اولین بمب‌های اتمی عملیاتی را تحویل دادند.</w:t>
      </w:r>
    </w:p>
    <w:p>
      <w:pPr>
        <w:spacing w:after="28" w:line="216" w:lineRule="auto"/>
        <w:ind w:left="259"/>
        <w:jc w:val="left"/>
      </w:pPr>
      <w:r>
        <w:rPr>
          <w:rFonts w:ascii="Arial" w:hAnsi="Arial"/>
          <w:color w:val="525252"/>
          <w:sz w:val="13"/>
        </w:rPr>
        <w:t>In July 1945, following a successful atomic test of the first nuclear bomb, Trinity, the Allied Powers issued an ultimatum calling for the Japanese government to surrender or suffer “prompt and utter destruction.” Within a matter of weeks, specially modified B-29s delivered the first operational atomic bombs.</w:t>
      </w:r>
    </w:p>
    <w:p>
      <w:pPr>
        <w:spacing w:after="20" w:line="223" w:lineRule="auto"/>
        <w:jc w:val="right"/>
        <w:bidi/>
      </w:pPr>
      <w:r>
        <w:rPr>
          <w:rFonts w:ascii="Arial" w:hAnsi="Arial"/>
          <w:sz w:val="16"/>
        </w:rPr>
        <w:t>025.07  در ۶ اوت ۱۹۴۵، ب-۲۹، نولا گای یک بمب اورانیومی معروف به "پسر کوچک" را بر فراز هیروشیما پرتاب کرد.</w:t>
      </w:r>
    </w:p>
    <w:p>
      <w:pPr>
        <w:spacing w:after="28" w:line="216" w:lineRule="auto"/>
        <w:ind w:left="259"/>
        <w:jc w:val="left"/>
      </w:pPr>
      <w:r>
        <w:rPr>
          <w:rFonts w:ascii="Arial" w:hAnsi="Arial"/>
          <w:color w:val="525252"/>
          <w:sz w:val="13"/>
        </w:rPr>
        <w:t>On 6 August 1945, the B-29, Enola Gay dropped a uranium bomb known as “Little Boy” over Hiroshima.</w:t>
      </w:r>
    </w:p>
    <w:p>
      <w:pPr>
        <w:spacing w:after="20" w:line="223" w:lineRule="auto"/>
        <w:jc w:val="right"/>
        <w:bidi/>
      </w:pPr>
      <w:r>
        <w:rPr>
          <w:rFonts w:ascii="Arial" w:hAnsi="Arial"/>
          <w:sz w:val="16"/>
        </w:rPr>
        <w:t>025.08  نزدیک به پنج مایل مربع از شهر ویران شد و ۸۰۰۰۰ نفر کشته شدند.</w:t>
      </w:r>
    </w:p>
    <w:p>
      <w:pPr>
        <w:spacing w:after="28" w:line="216" w:lineRule="auto"/>
        <w:ind w:left="259"/>
        <w:jc w:val="left"/>
      </w:pPr>
      <w:r>
        <w:rPr>
          <w:rFonts w:ascii="Arial" w:hAnsi="Arial"/>
          <w:color w:val="525252"/>
          <w:sz w:val="13"/>
        </w:rPr>
        <w:t>Nearly five square miles of the city were destroyed, and 80,000 people were killed.</w:t>
      </w:r>
    </w:p>
    <w:p>
      <w:pPr>
        <w:spacing w:after="20" w:line="223" w:lineRule="auto"/>
        <w:jc w:val="right"/>
        <w:bidi/>
      </w:pPr>
      <w:r>
        <w:rPr>
          <w:rFonts w:ascii="Arial" w:hAnsi="Arial"/>
          <w:sz w:val="16"/>
        </w:rPr>
        <w:t>025.09  سه روز بعد، در ۹ اوت ۱۹۴۵، ب-۲۹، بوککسکار، بمب پلوتونیومی به نام "مرد چاق" را در ناکازاکی منتشر کرد.</w:t>
      </w:r>
    </w:p>
    <w:p>
      <w:pPr>
        <w:spacing w:after="28" w:line="216" w:lineRule="auto"/>
        <w:ind w:left="259"/>
        <w:jc w:val="left"/>
      </w:pPr>
      <w:r>
        <w:rPr>
          <w:rFonts w:ascii="Arial" w:hAnsi="Arial"/>
          <w:color w:val="525252"/>
          <w:sz w:val="13"/>
        </w:rPr>
        <w:t>Three days later, on 9 August 1945, the B-29, Bockscar, released a plutonium bomb called “Fat Man” on Nagasaki.</w:t>
      </w:r>
    </w:p>
    <w:p>
      <w:pPr>
        <w:spacing w:after="20" w:line="223" w:lineRule="auto"/>
        <w:jc w:val="right"/>
        <w:bidi/>
      </w:pPr>
      <w:r>
        <w:rPr>
          <w:rFonts w:ascii="Arial" w:hAnsi="Arial"/>
          <w:sz w:val="16"/>
        </w:rPr>
        <w:t>025.10  تقریبا ۱.۵ مایل مربع تخریب شد، ۶۰۰۰۰ نفر به شدت مجروح شدند و ۳۵۰۰۰ نفر کشته شدند.</w:t>
      </w:r>
    </w:p>
    <w:p>
      <w:pPr>
        <w:spacing w:after="28" w:line="216" w:lineRule="auto"/>
        <w:ind w:left="259"/>
        <w:jc w:val="left"/>
      </w:pPr>
      <w:r>
        <w:rPr>
          <w:rFonts w:ascii="Arial" w:hAnsi="Arial"/>
          <w:color w:val="525252"/>
          <w:sz w:val="13"/>
        </w:rPr>
        <w:t>Approximately 1.5 square miles were destroyed, 60,000 people were severely injured, and 35,000 people were killed.</w:t>
      </w:r>
    </w:p>
    <w:p>
      <w:pPr>
        <w:spacing w:after="20" w:line="223" w:lineRule="auto"/>
        <w:jc w:val="right"/>
        <w:bidi/>
      </w:pPr>
      <w:r>
        <w:rPr>
          <w:rFonts w:ascii="Arial" w:hAnsi="Arial"/>
          <w:sz w:val="16"/>
        </w:rPr>
        <w:t>025.11  در مواجهه با نیروهای نظامی شکست خورده، شهرهای سوخته، و اعلام جنگ توسط اتحاد جماهیر شوروی، دولت ژاپن در ۱۴ اوت ۱۹۴۵ تسلیم شد.</w:t>
      </w:r>
    </w:p>
    <w:p>
      <w:pPr>
        <w:spacing w:after="28" w:line="216" w:lineRule="auto"/>
        <w:ind w:left="259"/>
        <w:jc w:val="left"/>
      </w:pPr>
      <w:r>
        <w:rPr>
          <w:rFonts w:ascii="Arial" w:hAnsi="Arial"/>
          <w:color w:val="525252"/>
          <w:sz w:val="13"/>
        </w:rPr>
        <w:t>Faced with defeated military forces, burned cities, and a declaration of war by the Soviet Union, the Japanese government surrendered on 14 August 1945.</w:t>
      </w:r>
    </w:p>
    <w:p>
      <w:pPr>
        <w:spacing w:after="20" w:line="223" w:lineRule="auto"/>
        <w:jc w:val="right"/>
        <w:bidi/>
      </w:pPr>
      <w:r>
        <w:rPr>
          <w:rFonts w:ascii="Arial" w:hAnsi="Arial"/>
          <w:sz w:val="16"/>
        </w:rPr>
        <w:t>025.12  ثابت شد که استفاده از سلاح‌های کشتار جمعی اتمی نیروی مؤثری در ایجاد ویرانی بر دشمن است.</w:t>
      </w:r>
    </w:p>
    <w:p>
      <w:pPr>
        <w:spacing w:after="28" w:line="216" w:lineRule="auto"/>
        <w:ind w:left="259"/>
        <w:jc w:val="left"/>
      </w:pPr>
      <w:r>
        <w:rPr>
          <w:rFonts w:ascii="Arial" w:hAnsi="Arial"/>
          <w:color w:val="525252"/>
          <w:sz w:val="13"/>
        </w:rPr>
        <w:t>The use of atomic weapons of mass destruction proved to be an effective force in inflicting devastation on an enemy.</w:t>
      </w:r>
    </w:p>
    <w:p>
      <w:pPr>
        <w:spacing w:after="20" w:line="223" w:lineRule="auto"/>
        <w:jc w:val="right"/>
        <w:bidi/>
      </w:pPr>
      <w:r>
        <w:rPr>
          <w:rFonts w:ascii="Arial" w:hAnsi="Arial"/>
          <w:sz w:val="16"/>
        </w:rPr>
        <w:t>025.13  توجه: تا ژوئن ۱۹۴۶، یک کمیسیون منصوب از سوی سازمان ملل، طرحی را برای از بین بردن تسلیحات هسته‌ای تکمیل کرد.</w:t>
      </w:r>
    </w:p>
    <w:p>
      <w:pPr>
        <w:spacing w:after="28" w:line="216" w:lineRule="auto"/>
        <w:ind w:left="259"/>
        <w:jc w:val="left"/>
      </w:pPr>
      <w:r>
        <w:rPr>
          <w:rFonts w:ascii="Arial" w:hAnsi="Arial"/>
          <w:color w:val="525252"/>
          <w:sz w:val="13"/>
        </w:rPr>
        <w:t>Note: By June 1946, a United Nations- appointed commission completed a plan for the elimination of nuclear weaponry.</w:t>
      </w:r>
    </w:p>
    <w:p>
      <w:pPr>
        <w:spacing w:after="20" w:line="223" w:lineRule="auto"/>
        <w:jc w:val="right"/>
        <w:bidi/>
      </w:pPr>
      <w:r>
        <w:rPr>
          <w:rFonts w:ascii="Arial" w:hAnsi="Arial"/>
          <w:sz w:val="16"/>
        </w:rPr>
        <w:t>025.14  پیشنهاد شد که بازرسان برای اطمینان از اینکه هیچ کشوری بمب اتمی تولید نمی‌کند و بر برچیدن تسلیحات موجود نظارت کنند، به سراسر جهان سفر کنند.</w:t>
      </w:r>
    </w:p>
    <w:p>
      <w:pPr>
        <w:spacing w:after="28" w:line="216" w:lineRule="auto"/>
        <w:ind w:left="259"/>
        <w:jc w:val="left"/>
      </w:pPr>
      <w:r>
        <w:rPr>
          <w:rFonts w:ascii="Arial" w:hAnsi="Arial"/>
          <w:color w:val="525252"/>
          <w:sz w:val="13"/>
        </w:rPr>
        <w:t>It was proposed that inspectors would travel the globe to ensure no country was making atomic bombs, and to supervise the dismantling of existing weapons.</w:t>
      </w:r>
    </w:p>
    <w:p>
      <w:pPr>
        <w:spacing w:after="20" w:line="223" w:lineRule="auto"/>
        <w:jc w:val="right"/>
        <w:bidi/>
      </w:pPr>
      <w:r>
        <w:rPr>
          <w:rFonts w:ascii="Arial" w:hAnsi="Arial"/>
          <w:sz w:val="16"/>
        </w:rPr>
        <w:t>025.15  متأسفانه، این طرح توسط اتحاد جماهیر شوروی وتو شد و نتیجه آن تقریبا پنج دهه جنگ سرد بود.</w:t>
      </w:r>
    </w:p>
    <w:p>
      <w:pPr>
        <w:spacing w:after="28" w:line="216" w:lineRule="auto"/>
        <w:ind w:left="259"/>
        <w:jc w:val="left"/>
      </w:pPr>
      <w:r>
        <w:rPr>
          <w:rFonts w:ascii="Arial" w:hAnsi="Arial"/>
          <w:color w:val="525252"/>
          <w:sz w:val="13"/>
        </w:rPr>
        <w:t>Unfortunately, that plan was vetoed by the Soviet Union, resulting in almost five decades of the Cold War.</w:t>
      </w:r>
    </w:p>
    <w:p>
      <w:pPr>
        <w:spacing w:before="60" w:after="28"/>
        <w:jc w:val="right"/>
        <w:bidi/>
      </w:pPr>
      <w:r>
        <w:rPr>
          <w:b/>
          <w:color w:val="1F4D78"/>
          <w:sz w:val="18"/>
        </w:rPr>
        <w:t>2.19. ورود به جنگ سرد</w:t>
      </w:r>
    </w:p>
    <w:p>
      <w:pPr>
        <w:spacing w:after="20"/>
        <w:ind w:left="259"/>
        <w:jc w:val="left"/>
      </w:pPr>
      <w:r>
        <w:rPr>
          <w:color w:val="555555"/>
          <w:sz w:val="12"/>
        </w:rPr>
        <w:t>2.19. Entering the Cold War</w:t>
      </w:r>
    </w:p>
    <w:p>
      <w:pPr>
        <w:spacing w:after="20" w:line="223" w:lineRule="auto"/>
        <w:jc w:val="right"/>
        <w:bidi/>
      </w:pPr>
      <w:r>
        <w:rPr>
          <w:rFonts w:ascii="Arial" w:hAnsi="Arial"/>
          <w:sz w:val="16"/>
        </w:rPr>
        <w:t>025.17  در سال ۱۹۴۵، نخست وزیر بریتانیا، وینستون چرچیل؛ نخست وزیر شوروی، جوزف استالین؛ و رئیس جمهور آمریکا، فرانکلین دی. روزولت، برای بحث در مورد تقسیم اروپا پس از جنگ ملاقات کردند.</w:t>
      </w:r>
    </w:p>
    <w:p>
      <w:pPr>
        <w:spacing w:after="28" w:line="216" w:lineRule="auto"/>
        <w:ind w:left="259"/>
        <w:jc w:val="left"/>
      </w:pPr>
      <w:r>
        <w:rPr>
          <w:rFonts w:ascii="Arial" w:hAnsi="Arial"/>
          <w:color w:val="525252"/>
          <w:sz w:val="13"/>
        </w:rPr>
        <w:t>In 1945, British Prime Minister, Winston Churchill; Soviet Premier, Josef Stalin; and American President, Franklin D. Roosevelt, met to discuss the postwar division of Europe.</w:t>
      </w:r>
    </w:p>
    <w:p>
      <w:pPr>
        <w:spacing w:after="20" w:line="223" w:lineRule="auto"/>
        <w:jc w:val="right"/>
        <w:bidi/>
      </w:pPr>
      <w:r>
        <w:rPr>
          <w:rFonts w:ascii="Arial" w:hAnsi="Arial"/>
          <w:sz w:val="16"/>
        </w:rPr>
        <w:t>025.18  جلسه خوب پیش نرفت، اما برای تأسیس سازمان ملل متحد بنیادی بود.</w:t>
      </w:r>
    </w:p>
    <w:p>
      <w:pPr>
        <w:spacing w:after="28" w:line="216" w:lineRule="auto"/>
        <w:ind w:left="259"/>
        <w:jc w:val="left"/>
      </w:pPr>
      <w:r>
        <w:rPr>
          <w:rFonts w:ascii="Arial" w:hAnsi="Arial"/>
          <w:color w:val="525252"/>
          <w:sz w:val="13"/>
        </w:rPr>
        <w:t>The meeting did not go well, but it was foundational for the establishment of the United Nations.</w:t>
      </w:r>
    </w:p>
    <w:p>
      <w:pPr>
        <w:spacing w:after="20" w:line="223" w:lineRule="auto"/>
        <w:jc w:val="right"/>
        <w:bidi/>
      </w:pPr>
      <w:r>
        <w:rPr>
          <w:rFonts w:ascii="Arial" w:hAnsi="Arial"/>
          <w:sz w:val="16"/>
        </w:rPr>
        <w:t>025.19  اگرچه ایالات متحده و متحدان غربی ما روی اتحاد جماهیر شوروی به‌عنوان ملتی قهرمان حساب می‌کردند که با آنها علیه هیتلر می‌جنگید، اما حتی قبل از پایان جنگ جهانی دوم آشکار بود که این اتحاد از شکاف ایدئولوژیکی که دموکراسی‌های سرمایه‌داری را از غول کمونیستی جدا می‌کرد، جان سالم به در نخواهد برد.</w:t>
      </w:r>
    </w:p>
    <w:p>
      <w:pPr>
        <w:spacing w:after="28" w:line="216" w:lineRule="auto"/>
        <w:ind w:left="259"/>
        <w:jc w:val="left"/>
      </w:pPr>
      <w:r>
        <w:rPr>
          <w:rFonts w:ascii="Arial" w:hAnsi="Arial"/>
          <w:color w:val="525252"/>
          <w:sz w:val="13"/>
        </w:rPr>
        <w:t>Although the United States and our Western Allies had counted on the Soviet Union as a heroic nation struggling with them against Hitler, it was apparent even before World War II ended that the alliance would not survive the ideological gulf that separated capitalist democracies from the communist giant.</w:t>
      </w:r>
    </w:p>
    <w:p>
      <w:pPr>
        <w:spacing w:after="20" w:line="223" w:lineRule="auto"/>
        <w:jc w:val="right"/>
        <w:bidi/>
      </w:pPr>
      <w:r>
        <w:rPr>
          <w:rFonts w:ascii="Arial" w:hAnsi="Arial"/>
          <w:sz w:val="16"/>
        </w:rPr>
        <w:t>025.20  پس از جنگ جهانی دوم، هدف ایالات متحده و اتحاد جماهیر شوروی افزایش ایدئولوژی‌ها و نفوذ خود در سراسر جهان بود.</w:t>
      </w:r>
    </w:p>
    <w:p>
      <w:pPr>
        <w:spacing w:after="28" w:line="216" w:lineRule="auto"/>
        <w:ind w:left="259"/>
        <w:jc w:val="left"/>
      </w:pPr>
      <w:r>
        <w:rPr>
          <w:rFonts w:ascii="Arial" w:hAnsi="Arial"/>
          <w:color w:val="525252"/>
          <w:sz w:val="13"/>
        </w:rPr>
        <w:t>After World War II, the United States and the Soviet Union aimed at increasing their ideologies and influences throughout the world.</w:t>
      </w:r>
    </w:p>
    <w:p>
      <w:r>
        <w:br w:type="page"/>
      </w:r>
    </w:p>
    <w:p>
      <w:pPr>
        <w:spacing w:after="60"/>
        <w:jc w:val="right"/>
        <w:bidi/>
      </w:pPr>
      <w:r>
        <w:rPr>
          <w:rFonts w:ascii="Arial" w:hAnsi="Arial"/>
          <w:b/>
          <w:color w:val="1F4D78"/>
          <w:sz w:val="19"/>
        </w:rPr>
        <w:t>هفتهٔ 26  |  صفحهٔ منبع: 42</w:t>
      </w:r>
    </w:p>
    <w:p>
      <w:pPr>
        <w:spacing w:before="60" w:after="28"/>
        <w:jc w:val="right"/>
        <w:bidi/>
      </w:pPr>
      <w:r>
        <w:rPr>
          <w:b/>
          <w:color w:val="1F4D78"/>
          <w:sz w:val="18"/>
        </w:rPr>
        <w:t>بخش 2D - لبه فضا</w:t>
      </w:r>
    </w:p>
    <w:p>
      <w:pPr>
        <w:spacing w:after="20"/>
        <w:ind w:left="259"/>
        <w:jc w:val="left"/>
      </w:pPr>
      <w:r>
        <w:rPr>
          <w:color w:val="555555"/>
          <w:sz w:val="12"/>
        </w:rPr>
        <w:t>Section 2D—The Edge of Space</w:t>
      </w:r>
    </w:p>
    <w:p>
      <w:pPr>
        <w:spacing w:before="60" w:after="28"/>
        <w:jc w:val="right"/>
        <w:bidi/>
      </w:pPr>
      <w:r>
        <w:rPr>
          <w:b/>
          <w:color w:val="1F4D78"/>
          <w:sz w:val="18"/>
        </w:rPr>
        <w:t>2.20. مرز نهایی</w:t>
      </w:r>
    </w:p>
    <w:p>
      <w:pPr>
        <w:spacing w:after="20"/>
        <w:ind w:left="259"/>
        <w:jc w:val="left"/>
      </w:pPr>
      <w:r>
        <w:rPr>
          <w:color w:val="555555"/>
          <w:sz w:val="12"/>
        </w:rPr>
        <w:t>2.20. The Final Frontier</w:t>
      </w:r>
    </w:p>
    <w:p>
      <w:pPr>
        <w:spacing w:after="20" w:line="223" w:lineRule="auto"/>
        <w:jc w:val="right"/>
        <w:bidi/>
      </w:pPr>
      <w:r>
        <w:rPr>
          <w:rFonts w:ascii="Arial" w:hAnsi="Arial"/>
          <w:sz w:val="16"/>
        </w:rPr>
        <w:t>026.03  برنامه فضایی ایالات متحده از آزمایشات اصلی مهندس آمریکایی رابرت اچ. گودارد سرچشمه گرفت، که ایده‌ها و طرح‌های اولیه او با پیشرفت‌های موشکی آلمان نازی بیشتر اصلاح شد.</w:t>
      </w:r>
    </w:p>
    <w:p>
      <w:pPr>
        <w:spacing w:after="28" w:line="216" w:lineRule="auto"/>
        <w:ind w:left="259"/>
        <w:jc w:val="left"/>
      </w:pPr>
      <w:r>
        <w:rPr>
          <w:rFonts w:ascii="Arial" w:hAnsi="Arial"/>
          <w:color w:val="525252"/>
          <w:sz w:val="13"/>
        </w:rPr>
        <w:t>The United States space program originated from the seminal experiments of American engineer Robert H. Goddard, whose ideas and early designs were further refined by the rocketry advancements of Nazi Germany.</w:t>
      </w:r>
    </w:p>
    <w:p>
      <w:pPr>
        <w:spacing w:after="20" w:line="223" w:lineRule="auto"/>
        <w:jc w:val="right"/>
        <w:bidi/>
      </w:pPr>
      <w:r>
        <w:rPr>
          <w:rFonts w:ascii="Arial" w:hAnsi="Arial"/>
          <w:sz w:val="16"/>
        </w:rPr>
        <w:t>026.04  در سال ۱۹۴۴، پس از هشت سال تحقیق، دانشمندان آلمانی با موفقیت اولین موشک بالستیک میان برد جهان، راکت و-۲ را پرتاب کردند.</w:t>
      </w:r>
    </w:p>
    <w:p>
      <w:pPr>
        <w:spacing w:after="28" w:line="216" w:lineRule="auto"/>
        <w:ind w:left="259"/>
        <w:jc w:val="left"/>
      </w:pPr>
      <w:r>
        <w:rPr>
          <w:rFonts w:ascii="Arial" w:hAnsi="Arial"/>
          <w:color w:val="525252"/>
          <w:sz w:val="13"/>
        </w:rPr>
        <w:t>In 1944, after eight years of research, German scientists successfully launched the world’s first Intermediate Range Ballistic Missile, the V-2 rocket.</w:t>
      </w:r>
    </w:p>
    <w:p>
      <w:pPr>
        <w:spacing w:after="20" w:line="223" w:lineRule="auto"/>
        <w:jc w:val="right"/>
        <w:bidi/>
      </w:pPr>
      <w:r>
        <w:rPr>
          <w:rFonts w:ascii="Arial" w:hAnsi="Arial"/>
          <w:sz w:val="16"/>
        </w:rPr>
        <w:t>026.05  این تهدید نوظهور حمله از صدها مایل دورتر نشان داد که جنگ آینده فقط به زمین، دریا و آسمان محدود نخواهد شد.</w:t>
      </w:r>
    </w:p>
    <w:p>
      <w:pPr>
        <w:spacing w:after="28" w:line="216" w:lineRule="auto"/>
        <w:ind w:left="259"/>
        <w:jc w:val="left"/>
      </w:pPr>
      <w:r>
        <w:rPr>
          <w:rFonts w:ascii="Arial" w:hAnsi="Arial"/>
          <w:color w:val="525252"/>
          <w:sz w:val="13"/>
        </w:rPr>
        <w:t>This nascent threat of attack from hundreds of miles away made it clear that future warfare would not be limited to only land, sea, and sky.</w:t>
      </w:r>
    </w:p>
    <w:p>
      <w:pPr>
        <w:spacing w:after="20" w:line="223" w:lineRule="auto"/>
        <w:jc w:val="right"/>
        <w:bidi/>
      </w:pPr>
      <w:r>
        <w:rPr>
          <w:rFonts w:ascii="Arial" w:hAnsi="Arial"/>
          <w:sz w:val="16"/>
        </w:rPr>
        <w:t>026.06  در پایان جنگ جهانی دوم، تقریبا ۱۶۰۰ نفر از دانشمندان، مهندسان و تکنسین‌های برجسته نازی، تحت هدایت دانشمند آلمانی ورنر فون براون، تسلیم نیروهای متحد شدند و مخفیانه به ایالات متحده منتقل شدند.</w:t>
      </w:r>
    </w:p>
    <w:p>
      <w:pPr>
        <w:spacing w:after="28" w:line="216" w:lineRule="auto"/>
        <w:ind w:left="259"/>
        <w:jc w:val="left"/>
      </w:pPr>
      <w:r>
        <w:rPr>
          <w:rFonts w:ascii="Arial" w:hAnsi="Arial"/>
          <w:color w:val="525252"/>
          <w:sz w:val="13"/>
        </w:rPr>
        <w:t>At the conclusion of World War II, almost 1,600 of the Nazi’s leading scientists, engineers, and technicians, under the direction of German scientist Wernher von Braun, surrendered to allied forces and were secretly moved to the United States.</w:t>
      </w:r>
    </w:p>
    <w:p>
      <w:pPr>
        <w:spacing w:after="20" w:line="223" w:lineRule="auto"/>
        <w:jc w:val="right"/>
        <w:bidi/>
      </w:pPr>
      <w:r>
        <w:rPr>
          <w:rFonts w:ascii="Arial" w:hAnsi="Arial"/>
          <w:sz w:val="16"/>
        </w:rPr>
        <w:t>026.07  در طول جنگ سرد متعاقب با اتحاد جماهیر شوروی، آنها در طول دهه ۱۹۵۰ تحت نظارت ارتش ایالات متحده به کار پیشگامانه خود ادامه دادند و در نهایت پایه و اساس فناوری موشک‌های بالستیک آمریکا، توسعه ماهواره‌ها و بعدا مأموریت‌های فضایی سرنشین دار را گذاشتند.</w:t>
      </w:r>
    </w:p>
    <w:p>
      <w:pPr>
        <w:spacing w:after="28" w:line="216" w:lineRule="auto"/>
        <w:ind w:left="259"/>
        <w:jc w:val="left"/>
      </w:pPr>
      <w:r>
        <w:rPr>
          <w:rFonts w:ascii="Arial" w:hAnsi="Arial"/>
          <w:color w:val="525252"/>
          <w:sz w:val="13"/>
        </w:rPr>
        <w:t>During the ensuing of the Cold War with the Soviet Union, they continued their groundbreaking work throughout the 1950s under the supervision of the United States Army, eventually laying the foundation for American ballistic missile technology, satellite development, and later, manned space missions.</w:t>
      </w:r>
    </w:p>
    <w:p>
      <w:pPr>
        <w:spacing w:after="20" w:line="223" w:lineRule="auto"/>
        <w:jc w:val="right"/>
        <w:bidi/>
      </w:pPr>
      <w:r>
        <w:rPr>
          <w:rFonts w:ascii="Arial" w:hAnsi="Arial"/>
          <w:sz w:val="16"/>
        </w:rPr>
        <w:t>026.08  پس از جنگ، سرلشکر کورتیس ای. لی می، معاون وقت ستاد هوایی در امور تحقیق و توسعه، عملیات فضایی را به‌عنوان توسعه عملیات هوایی در نظر گرفت.</w:t>
      </w:r>
    </w:p>
    <w:p>
      <w:pPr>
        <w:spacing w:after="28" w:line="216" w:lineRule="auto"/>
        <w:ind w:left="259"/>
        <w:jc w:val="left"/>
      </w:pPr>
      <w:r>
        <w:rPr>
          <w:rFonts w:ascii="Arial" w:hAnsi="Arial"/>
          <w:color w:val="525252"/>
          <w:sz w:val="13"/>
        </w:rPr>
        <w:t>Following the war, Major General Curtis E. LeMay, then Deputy Chief of the Air Staff for Research and Development, envisioned space operations to be an extension of air operations.</w:t>
      </w:r>
    </w:p>
    <w:p>
      <w:pPr>
        <w:spacing w:after="20" w:line="223" w:lineRule="auto"/>
        <w:jc w:val="right"/>
        <w:bidi/>
      </w:pPr>
      <w:r>
        <w:rPr>
          <w:rFonts w:ascii="Arial" w:hAnsi="Arial"/>
          <w:sz w:val="16"/>
        </w:rPr>
        <w:t>026.09  در سال ۱۹۴۶، او به شرکت تحقیق و توسعه مأموریت داد تا یک طرح اولیه برای یک سفینه فضایی آزمایشی در مدار جهان را پیشنهاد دهد - چیزی که بعدا به‌عنوان ماهواره شناخته شد.</w:t>
      </w:r>
    </w:p>
    <w:p>
      <w:pPr>
        <w:spacing w:after="28" w:line="216" w:lineRule="auto"/>
        <w:ind w:left="259"/>
        <w:jc w:val="left"/>
      </w:pPr>
      <w:r>
        <w:rPr>
          <w:rFonts w:ascii="Arial" w:hAnsi="Arial"/>
          <w:color w:val="525252"/>
          <w:sz w:val="13"/>
        </w:rPr>
        <w:t>In 1946, he tasked the Research and Development Corporation to propose a preliminary design for an experimental world-circling spaceship - what would later be known as satellites.</w:t>
      </w:r>
    </w:p>
    <w:p>
      <w:pPr>
        <w:spacing w:after="20" w:line="223" w:lineRule="auto"/>
        <w:jc w:val="right"/>
        <w:bidi/>
      </w:pPr>
      <w:r>
        <w:rPr>
          <w:rFonts w:ascii="Arial" w:hAnsi="Arial"/>
          <w:sz w:val="16"/>
        </w:rPr>
        <w:t>026.10  در اواخر سال ۱۹۵۳، دستیار وزیر نیروی هوایی در امور تحقیق و توسعه، گروهی از کارشناسان موسوم به گروه ارزیابی موشک‌های استراتژیک را با نام رمز کمیته قوری تشکیل داد تا زمینه موشک‌های دوربرد و تسریع توسعه موشک‌های بالستیک قاره‌پیما را بررسی کنند.</w:t>
      </w:r>
    </w:p>
    <w:p>
      <w:pPr>
        <w:spacing w:after="28" w:line="216" w:lineRule="auto"/>
        <w:ind w:left="259"/>
        <w:jc w:val="left"/>
      </w:pPr>
      <w:r>
        <w:rPr>
          <w:rFonts w:ascii="Arial" w:hAnsi="Arial"/>
          <w:color w:val="525252"/>
          <w:sz w:val="13"/>
        </w:rPr>
        <w:t>In late 1953, the Assistant Secretary of the Air Force for Research and Development convened a group of experts known as the Strategic Missiles Evaluation Group, code named the Teapot Committee, to examine the field of long-range missiles and accelerate intercontinental ballistic missile development.</w:t>
      </w:r>
    </w:p>
    <w:p>
      <w:pPr>
        <w:spacing w:after="20" w:line="223" w:lineRule="auto"/>
        <w:jc w:val="right"/>
        <w:bidi/>
      </w:pPr>
      <w:r>
        <w:rPr>
          <w:rFonts w:ascii="Arial" w:hAnsi="Arial"/>
          <w:sz w:val="16"/>
        </w:rPr>
        <w:t>026.11  بر اساس توصیه‌های کمیته، فرماندهی تحقیق و توسعه هوایی، بخش توسعه غرب را برای توسعه و آزمایش میدانی موشک‌های بالستیک قاره‌پیما ایجاد کرد.</w:t>
      </w:r>
    </w:p>
    <w:p>
      <w:pPr>
        <w:spacing w:after="28" w:line="216" w:lineRule="auto"/>
        <w:ind w:left="259"/>
        <w:jc w:val="left"/>
      </w:pPr>
      <w:r>
        <w:rPr>
          <w:rFonts w:ascii="Arial" w:hAnsi="Arial"/>
          <w:color w:val="525252"/>
          <w:sz w:val="13"/>
        </w:rPr>
        <w:t>Based on the committee’s recommendations, Air Research and Development Command established the Western Development Division to develop and field test intercontinental ballistic missiles.</w:t>
      </w:r>
    </w:p>
    <w:p>
      <w:pPr>
        <w:spacing w:after="20" w:line="223" w:lineRule="auto"/>
        <w:jc w:val="right"/>
        <w:bidi/>
      </w:pPr>
      <w:r>
        <w:rPr>
          <w:rFonts w:ascii="Arial" w:hAnsi="Arial"/>
          <w:sz w:val="16"/>
        </w:rPr>
        <w:t>026.12  در ۲ اوت ۱۹۵۴، سرتیپ برنارد شریور فرماندهی سازمان جدید را بر عهده گرفت.</w:t>
      </w:r>
    </w:p>
    <w:p>
      <w:pPr>
        <w:spacing w:after="28" w:line="216" w:lineRule="auto"/>
        <w:ind w:left="259"/>
        <w:jc w:val="left"/>
      </w:pPr>
      <w:r>
        <w:rPr>
          <w:rFonts w:ascii="Arial" w:hAnsi="Arial"/>
          <w:color w:val="525252"/>
          <w:sz w:val="13"/>
        </w:rPr>
        <w:t>On 2 August 1954, Brigadier General Bernard Schriever assumed command of the new organization.</w:t>
      </w:r>
    </w:p>
    <w:p>
      <w:pPr>
        <w:spacing w:before="60" w:after="28"/>
        <w:jc w:val="right"/>
        <w:bidi/>
      </w:pPr>
      <w:r>
        <w:rPr>
          <w:b/>
          <w:color w:val="1F4D78"/>
          <w:sz w:val="18"/>
        </w:rPr>
        <w:t>2.21. مسابقه فضایی</w:t>
      </w:r>
    </w:p>
    <w:p>
      <w:pPr>
        <w:spacing w:after="20"/>
        <w:ind w:left="259"/>
        <w:jc w:val="left"/>
      </w:pPr>
      <w:r>
        <w:rPr>
          <w:color w:val="555555"/>
          <w:sz w:val="12"/>
        </w:rPr>
        <w:t>2.21. The Space Race</w:t>
      </w:r>
    </w:p>
    <w:p>
      <w:pPr>
        <w:spacing w:after="20" w:line="223" w:lineRule="auto"/>
        <w:jc w:val="right"/>
        <w:bidi/>
      </w:pPr>
      <w:r>
        <w:rPr>
          <w:rFonts w:ascii="Arial" w:hAnsi="Arial"/>
          <w:sz w:val="16"/>
        </w:rPr>
        <w:t>026.14  در حالی که تمرکز اواخر دهه ۱۹۴۰، پیگیری تحقیقات موشکی و علوم جوی فوقانی به‌عنوان ابزاری برای تضمین رهبری آمریکا در فناوری بود، زمانی که رئیس جمهور دوایت دی. آیزنهاور طرحی را برای چرخش یک ماهواره علمی به‌عنوان بخشی از سال بین‌المللی ژئوفیزیک (IGY) تصویب کرد، یک گام بزرگ به جلو رخ داد.</w:t>
      </w:r>
    </w:p>
    <w:p>
      <w:pPr>
        <w:spacing w:after="28" w:line="216" w:lineRule="auto"/>
        <w:ind w:left="259"/>
        <w:jc w:val="left"/>
      </w:pPr>
      <w:r>
        <w:rPr>
          <w:rFonts w:ascii="Arial" w:hAnsi="Arial"/>
          <w:color w:val="525252"/>
          <w:sz w:val="13"/>
        </w:rPr>
        <w:t>While the focus of the late 1940s was the pursuit of rocket research and upper atmospheric sciences as a means of assuring American leadership in technology, a major step forward came when President Dwight D. Eisenhower approved a plan to orbit a scientific satellite as part of the International Geophysical Year (IGY).</w:t>
      </w:r>
    </w:p>
    <w:p>
      <w:pPr>
        <w:spacing w:after="20" w:line="223" w:lineRule="auto"/>
        <w:jc w:val="right"/>
        <w:bidi/>
      </w:pPr>
      <w:r>
        <w:rPr>
          <w:rFonts w:ascii="Arial" w:hAnsi="Arial"/>
          <w:sz w:val="16"/>
        </w:rPr>
        <w:t>026.15  IGY یک تلاش مشترک برای جمع‌آوری داده‌های علمی درباره زمین برای دوره زمانی ۱ ژوئیه ۱۹۵۷ تا ۳۱ دسامبر ۱۹۵۸ بود.</w:t>
      </w:r>
    </w:p>
    <w:p>
      <w:pPr>
        <w:spacing w:after="28" w:line="216" w:lineRule="auto"/>
        <w:ind w:left="259"/>
        <w:jc w:val="left"/>
      </w:pPr>
      <w:r>
        <w:rPr>
          <w:rFonts w:ascii="Arial" w:hAnsi="Arial"/>
          <w:color w:val="525252"/>
          <w:sz w:val="13"/>
        </w:rPr>
        <w:t>IGY was a cooperative effort to gather scientific data about the Earth for the period of 1 July 1957 to 31 December 1958.</w:t>
      </w:r>
    </w:p>
    <w:p>
      <w:pPr>
        <w:spacing w:after="20" w:line="223" w:lineRule="auto"/>
        <w:jc w:val="right"/>
        <w:bidi/>
      </w:pPr>
      <w:r>
        <w:rPr>
          <w:rFonts w:ascii="Arial" w:hAnsi="Arial"/>
          <w:sz w:val="16"/>
        </w:rPr>
        <w:t>026.16  در ۴ اکتبر ۱۹۵۷، اتحاد جماهیر شوروی با موفقیت ماهواره اسپوتنیک ی را به مدار زمین پرتاب کرد.</w:t>
      </w:r>
    </w:p>
    <w:p>
      <w:pPr>
        <w:spacing w:after="28" w:line="216" w:lineRule="auto"/>
        <w:ind w:left="259"/>
        <w:jc w:val="left"/>
      </w:pPr>
      <w:r>
        <w:rPr>
          <w:rFonts w:ascii="Arial" w:hAnsi="Arial"/>
          <w:color w:val="525252"/>
          <w:sz w:val="13"/>
        </w:rPr>
        <w:t>On 4 October 1957, the Soviet Union successfully launched the Sputnik I satellite into earth orbit.</w:t>
      </w:r>
    </w:p>
    <w:p>
      <w:pPr>
        <w:spacing w:after="20" w:line="223" w:lineRule="auto"/>
        <w:jc w:val="right"/>
        <w:bidi/>
      </w:pPr>
      <w:r>
        <w:rPr>
          <w:rFonts w:ascii="Arial" w:hAnsi="Arial"/>
          <w:sz w:val="16"/>
        </w:rPr>
        <w:t>026.17  موفقیت شوروی آغاز عصر فضا بود و جرقه مسابقه فضایی بین ایالات متحده و اتحاد جماهیر شوروی را برانگیخت.</w:t>
      </w:r>
    </w:p>
    <w:p>
      <w:pPr>
        <w:spacing w:after="28" w:line="216" w:lineRule="auto"/>
        <w:ind w:left="259"/>
        <w:jc w:val="left"/>
      </w:pPr>
      <w:r>
        <w:rPr>
          <w:rFonts w:ascii="Arial" w:hAnsi="Arial"/>
          <w:color w:val="525252"/>
          <w:sz w:val="13"/>
        </w:rPr>
        <w:t>The Soviet success marked the beginning of the space age and sparked the space race between the United States and the Soviet Union.</w:t>
      </w:r>
    </w:p>
    <w:p>
      <w:pPr>
        <w:spacing w:after="20" w:line="223" w:lineRule="auto"/>
        <w:jc w:val="right"/>
        <w:bidi/>
      </w:pPr>
      <w:r>
        <w:rPr>
          <w:rFonts w:ascii="Arial" w:hAnsi="Arial"/>
          <w:sz w:val="16"/>
        </w:rPr>
        <w:t>026.18  در پاسخ به پرتاب اسپوتنیک ی، رئیس جمهور دوایت دی. آیزنهاور تلاش‌های فضایی غیرنظامی و نظامی را تسریع بخشید، تصمیمی که در طول جنگ سرد بسیار مهم بود.</w:t>
      </w:r>
    </w:p>
    <w:p>
      <w:pPr>
        <w:spacing w:after="28" w:line="216" w:lineRule="auto"/>
        <w:ind w:left="259"/>
        <w:jc w:val="left"/>
      </w:pPr>
      <w:r>
        <w:rPr>
          <w:rFonts w:ascii="Arial" w:hAnsi="Arial"/>
          <w:color w:val="525252"/>
          <w:sz w:val="13"/>
        </w:rPr>
        <w:t>In response to the Sputnik I launch, President Dwight D. Eisenhower accelerated civil and military space efforts, a decision that would prove crucial throughout the Cold War.</w:t>
      </w:r>
    </w:p>
    <w:p>
      <w:pPr>
        <w:spacing w:after="20" w:line="223" w:lineRule="auto"/>
        <w:jc w:val="right"/>
        <w:bidi/>
      </w:pPr>
      <w:r>
        <w:rPr>
          <w:rFonts w:ascii="Arial" w:hAnsi="Arial"/>
          <w:sz w:val="16"/>
        </w:rPr>
        <w:t>026.19  برای مقابله با تهدید حمله اتمی احتمالی شوروی، رئیس جمهور آیزنهاور توسعه یک موشک بالستیک قاره پیما (ICBM) را یک اولویت ملی قرار داد.</w:t>
      </w:r>
    </w:p>
    <w:p>
      <w:pPr>
        <w:spacing w:after="28" w:line="216" w:lineRule="auto"/>
        <w:ind w:left="259"/>
        <w:jc w:val="left"/>
      </w:pPr>
      <w:r>
        <w:rPr>
          <w:rFonts w:ascii="Arial" w:hAnsi="Arial"/>
          <w:color w:val="525252"/>
          <w:sz w:val="13"/>
        </w:rPr>
        <w:t>To counter the threat of a possible Soviet nuclear attack, President Eisenhower made development of an intercontinental ballistic missile (ICBM) a national priority.</w:t>
      </w:r>
    </w:p>
    <w:p>
      <w:pPr>
        <w:spacing w:after="20" w:line="223" w:lineRule="auto"/>
        <w:jc w:val="right"/>
        <w:bidi/>
      </w:pPr>
      <w:r>
        <w:rPr>
          <w:rFonts w:ascii="Arial" w:hAnsi="Arial"/>
          <w:sz w:val="16"/>
        </w:rPr>
        <w:t>026.20  در پایان این دهه، نیروی هوایی اولین ICBM دوربرد اطلس خود را پذیرفت و سپس سیستم تایتان را به دنبال داشت.</w:t>
      </w:r>
    </w:p>
    <w:p>
      <w:pPr>
        <w:spacing w:after="28" w:line="216" w:lineRule="auto"/>
        <w:ind w:left="259"/>
        <w:jc w:val="left"/>
      </w:pPr>
      <w:r>
        <w:rPr>
          <w:rFonts w:ascii="Arial" w:hAnsi="Arial"/>
          <w:color w:val="525252"/>
          <w:sz w:val="13"/>
        </w:rPr>
        <w:t>By the end of the decade, the Air Force accepted its first long-range Atlas ICBM, followed later by the Titan system.</w:t>
      </w:r>
    </w:p>
    <w:p>
      <w:pPr>
        <w:spacing w:after="20" w:line="223" w:lineRule="auto"/>
        <w:jc w:val="right"/>
        <w:bidi/>
      </w:pPr>
      <w:r>
        <w:rPr>
          <w:rFonts w:ascii="Arial" w:hAnsi="Arial"/>
          <w:sz w:val="16"/>
        </w:rPr>
        <w:t>026.21  در سال ۱۹۵۸، نیروی هوایی برنامه هایی برای حضور نظامی سرنشین دار در فضا تدوین کرد، اما رئیس جمهور آیزنهاور مأموریت‌های سرنشین دار را برای اداره ملی هوانوردی و فضایی رزرو کرد.</w:t>
      </w:r>
    </w:p>
    <w:p>
      <w:pPr>
        <w:spacing w:after="28" w:line="216" w:lineRule="auto"/>
        <w:ind w:left="259"/>
        <w:jc w:val="left"/>
      </w:pPr>
      <w:r>
        <w:rPr>
          <w:rFonts w:ascii="Arial" w:hAnsi="Arial"/>
          <w:color w:val="525252"/>
          <w:sz w:val="13"/>
        </w:rPr>
        <w:t>In 1958, the Air Force developed plans for a manned military presence in space, but President Eisenhower reserved manned missions for the National Aeronautics and Space Administration</w:t>
      </w:r>
    </w:p>
    <w:p>
      <w:r>
        <w:br w:type="page"/>
      </w:r>
    </w:p>
    <w:p>
      <w:pPr>
        <w:spacing w:after="60"/>
        <w:jc w:val="right"/>
        <w:bidi/>
      </w:pPr>
      <w:r>
        <w:rPr>
          <w:rFonts w:ascii="Arial" w:hAnsi="Arial"/>
          <w:b/>
          <w:color w:val="1F4D78"/>
          <w:sz w:val="19"/>
        </w:rPr>
        <w:t>هفتهٔ 27  |  صفحهٔ منبع: 43</w:t>
      </w:r>
    </w:p>
    <w:p>
      <w:pPr>
        <w:spacing w:before="60" w:after="28"/>
        <w:jc w:val="right"/>
        <w:bidi/>
      </w:pPr>
      <w:r>
        <w:rPr>
          <w:b/>
          <w:color w:val="1F4D78"/>
          <w:sz w:val="18"/>
        </w:rPr>
        <w:t>(ناسا).</w:t>
      </w:r>
    </w:p>
    <w:p>
      <w:pPr>
        <w:spacing w:after="20"/>
        <w:ind w:left="259"/>
        <w:jc w:val="left"/>
      </w:pPr>
      <w:r>
        <w:rPr>
          <w:color w:val="555555"/>
          <w:sz w:val="12"/>
        </w:rPr>
        <w:t>(NASA).</w:t>
      </w:r>
    </w:p>
    <w:p>
      <w:pPr>
        <w:spacing w:after="20" w:line="223" w:lineRule="auto"/>
        <w:jc w:val="right"/>
        <w:bidi/>
      </w:pPr>
      <w:r>
        <w:rPr>
          <w:rFonts w:ascii="Arial" w:hAnsi="Arial"/>
          <w:sz w:val="16"/>
        </w:rPr>
        <w:t>027.02  با این حال، طرح نیروی هوایی اساس برنامه‌های مرکوری، جمینی و آپولو را تشکیل داد.</w:t>
      </w:r>
    </w:p>
    <w:p>
      <w:pPr>
        <w:spacing w:after="28" w:line="216" w:lineRule="auto"/>
        <w:ind w:left="259"/>
        <w:jc w:val="left"/>
      </w:pPr>
      <w:r>
        <w:rPr>
          <w:rFonts w:ascii="Arial" w:hAnsi="Arial"/>
          <w:color w:val="525252"/>
          <w:sz w:val="13"/>
        </w:rPr>
        <w:t>However, the Air Force’s plan formed the basis of the Mercury, Gemini, and Apollo Programs.</w:t>
      </w:r>
    </w:p>
    <w:p>
      <w:pPr>
        <w:spacing w:after="20" w:line="223" w:lineRule="auto"/>
        <w:jc w:val="right"/>
        <w:bidi/>
      </w:pPr>
      <w:r>
        <w:rPr>
          <w:rFonts w:ascii="Arial" w:hAnsi="Arial"/>
          <w:sz w:val="16"/>
        </w:rPr>
        <w:t>027.03  سیستم حمل و نقل فضایی، که معمولا به‌عنوان شاتل فضایی شناخته می‌شود، از تمایل ناسا برای انتقال فضانوردان به ایستگاه‌های فضایی بزرگ و تمایل نیروی هوایی برای اعزام فضانوردان نظامی به فضا متولد شد.</w:t>
      </w:r>
    </w:p>
    <w:p>
      <w:pPr>
        <w:spacing w:after="28" w:line="216" w:lineRule="auto"/>
        <w:ind w:left="259"/>
        <w:jc w:val="left"/>
      </w:pPr>
      <w:r>
        <w:rPr>
          <w:rFonts w:ascii="Arial" w:hAnsi="Arial"/>
          <w:color w:val="525252"/>
          <w:sz w:val="13"/>
        </w:rPr>
        <w:t>The Space Transportation System, commonly known as the Space Shuttle, was born out of a desire by NASA to ferry astronauts to large space stations and a desire of the Air Force to put military astronauts into space.</w:t>
      </w:r>
    </w:p>
    <w:p>
      <w:pPr>
        <w:spacing w:before="60" w:after="28"/>
        <w:jc w:val="right"/>
        <w:bidi/>
      </w:pPr>
      <w:r>
        <w:rPr>
          <w:b/>
          <w:color w:val="1F4D78"/>
          <w:sz w:val="18"/>
        </w:rPr>
        <w:t>2.22. به حداکثر رساندن جلوه های فضایی</w:t>
      </w:r>
    </w:p>
    <w:p>
      <w:pPr>
        <w:spacing w:after="20"/>
        <w:ind w:left="259"/>
        <w:jc w:val="left"/>
      </w:pPr>
      <w:r>
        <w:rPr>
          <w:color w:val="555555"/>
          <w:sz w:val="12"/>
        </w:rPr>
        <w:t>2.22. Maximizing Space Effects</w:t>
      </w:r>
    </w:p>
    <w:p>
      <w:pPr>
        <w:spacing w:after="20" w:line="223" w:lineRule="auto"/>
        <w:jc w:val="right"/>
        <w:bidi/>
      </w:pPr>
      <w:r>
        <w:rPr>
          <w:rFonts w:ascii="Arial" w:hAnsi="Arial"/>
          <w:sz w:val="16"/>
        </w:rPr>
        <w:t>027.05  همزمان با تلاش‌ها برای توسعه موشک‌های دوربرد، ایالات متحده به دنبال فناوری فضایی برای افشای اطلاعات موثق در مورد اهداف و قابلیت‌های نظامی شوروی بود.</w:t>
      </w:r>
    </w:p>
    <w:p>
      <w:pPr>
        <w:spacing w:after="28" w:line="216" w:lineRule="auto"/>
        <w:ind w:left="259"/>
        <w:jc w:val="left"/>
      </w:pPr>
      <w:r>
        <w:rPr>
          <w:rFonts w:ascii="Arial" w:hAnsi="Arial"/>
          <w:color w:val="525252"/>
          <w:sz w:val="13"/>
        </w:rPr>
        <w:t>Concurrent with efforts to develop long-range missiles, the United States pursued space-based technology to reveal credible information on Soviet military intentions and capabilities.</w:t>
      </w:r>
    </w:p>
    <w:p>
      <w:pPr>
        <w:spacing w:after="20" w:line="223" w:lineRule="auto"/>
        <w:jc w:val="right"/>
        <w:bidi/>
      </w:pPr>
      <w:r>
        <w:rPr>
          <w:rFonts w:ascii="Arial" w:hAnsi="Arial"/>
          <w:sz w:val="16"/>
        </w:rPr>
        <w:t>027.06  به دنبال توصیه گزارش "بازخورد پروژه" شرکت تحقیق و توسعه، رهبران ارشد نیروی هوایی سیستم مورد نیاز تسلیحات شماره ۵ را صادر کردند که توسعه یک ماهواره شناسایی الکترواپتیکی را هدایت می‌کند.</w:t>
      </w:r>
    </w:p>
    <w:p>
      <w:pPr>
        <w:spacing w:after="28" w:line="216" w:lineRule="auto"/>
        <w:ind w:left="259"/>
        <w:jc w:val="left"/>
      </w:pPr>
      <w:r>
        <w:rPr>
          <w:rFonts w:ascii="Arial" w:hAnsi="Arial"/>
          <w:color w:val="525252"/>
          <w:sz w:val="13"/>
        </w:rPr>
        <w:t>Following the recommendation of the Research and Development Corporation’s “Project Feedback” Report, senior Air Force leaders issued Weapon System Requirement No. 5, directing the development of an electro-optical reconnaissance satellite.</w:t>
      </w:r>
    </w:p>
    <w:p>
      <w:pPr>
        <w:spacing w:after="20" w:line="223" w:lineRule="auto"/>
        <w:jc w:val="right"/>
        <w:bidi/>
      </w:pPr>
      <w:r>
        <w:rPr>
          <w:rFonts w:ascii="Arial" w:hAnsi="Arial"/>
          <w:sz w:val="16"/>
        </w:rPr>
        <w:t>027.07  این دوره جدید از سکوهای مبتنی بر فضا در نهایت گسترش یافت و مأموریت‌های دیگری مانند هشدار موشکی، آگاهی فضایی و شناسایی فضای نبرد را نیز در بر گرفت.</w:t>
      </w:r>
    </w:p>
    <w:p>
      <w:pPr>
        <w:spacing w:after="28" w:line="216" w:lineRule="auto"/>
        <w:ind w:left="259"/>
        <w:jc w:val="left"/>
      </w:pPr>
      <w:r>
        <w:rPr>
          <w:rFonts w:ascii="Arial" w:hAnsi="Arial"/>
          <w:color w:val="525252"/>
          <w:sz w:val="13"/>
        </w:rPr>
        <w:t>This new era of space-based platforms was eventually broadened to include other missions such as missile warning, space awareness, and battlespace characterization.</w:t>
      </w:r>
    </w:p>
    <w:p>
      <w:pPr>
        <w:spacing w:after="20" w:line="223" w:lineRule="auto"/>
        <w:jc w:val="right"/>
        <w:bidi/>
      </w:pPr>
      <w:r>
        <w:rPr>
          <w:rFonts w:ascii="Arial" w:hAnsi="Arial"/>
          <w:sz w:val="16"/>
        </w:rPr>
        <w:t>027.08  برای حمایت از این فناوری‌های جدید، نیروی هوایی زیرساخت‌های زمینی را برای پشتیبانی، تقویت و تکمیل بخش‌های فضایی سیستم‌های ماهواره‌ای توسعه داد.</w:t>
      </w:r>
    </w:p>
    <w:p>
      <w:pPr>
        <w:spacing w:after="28" w:line="216" w:lineRule="auto"/>
        <w:ind w:left="259"/>
        <w:jc w:val="left"/>
      </w:pPr>
      <w:r>
        <w:rPr>
          <w:rFonts w:ascii="Arial" w:hAnsi="Arial"/>
          <w:color w:val="525252"/>
          <w:sz w:val="13"/>
        </w:rPr>
        <w:t>To support these new technologies, the Air Force developed the ground-based infrastructure to support, augment, and complement the space-based portions of satellite systems.</w:t>
      </w:r>
    </w:p>
    <w:p>
      <w:pPr>
        <w:spacing w:after="20" w:line="223" w:lineRule="auto"/>
        <w:jc w:val="right"/>
        <w:bidi/>
      </w:pPr>
      <w:r>
        <w:rPr>
          <w:rFonts w:ascii="Arial" w:hAnsi="Arial"/>
          <w:sz w:val="16"/>
        </w:rPr>
        <w:t>027.09  سیستم‌های زمینی شامل سیستم هشدار اولیه موشک‌های بالستیک، نظارت بر اشیاء فضایی و شبکه کنترل ماهواره‌ای نیروی هوایی بود.</w:t>
      </w:r>
    </w:p>
    <w:p>
      <w:pPr>
        <w:spacing w:after="28" w:line="216" w:lineRule="auto"/>
        <w:ind w:left="259"/>
        <w:jc w:val="left"/>
      </w:pPr>
      <w:r>
        <w:rPr>
          <w:rFonts w:ascii="Arial" w:hAnsi="Arial"/>
          <w:color w:val="525252"/>
          <w:sz w:val="13"/>
        </w:rPr>
        <w:t>Ground-based systems included the ballistic missile early warning system, space object surveillance, and the Air Force Satellite Control Network.</w:t>
      </w:r>
    </w:p>
    <w:p>
      <w:pPr>
        <w:spacing w:after="20" w:line="223" w:lineRule="auto"/>
        <w:jc w:val="right"/>
        <w:bidi/>
      </w:pPr>
      <w:r>
        <w:rPr>
          <w:rFonts w:ascii="Arial" w:hAnsi="Arial"/>
          <w:sz w:val="16"/>
        </w:rPr>
        <w:t>027.10  به‌علاوه، نیروی هوایی محدوده‌های پرتابی را توسعه داد که برای ارسال ماهواره‌ها به فضا ضروری بود - یکی در کیپ کاناورال، فلوریدا، و دیگری در پایگاه نیروی هوایی واندنبرگ، کالیفرنیا.</w:t>
      </w:r>
    </w:p>
    <w:p>
      <w:pPr>
        <w:spacing w:after="28" w:line="216" w:lineRule="auto"/>
        <w:ind w:left="259"/>
        <w:jc w:val="left"/>
      </w:pPr>
      <w:r>
        <w:rPr>
          <w:rFonts w:ascii="Arial" w:hAnsi="Arial"/>
          <w:color w:val="525252"/>
          <w:sz w:val="13"/>
        </w:rPr>
        <w:t>In addition, the Air Force developed launch ranges necessary to get satellites into space - one at Cape Canaveral, Florida, and the other at Vandenberg Air Force Base, California.</w:t>
      </w:r>
    </w:p>
    <w:p>
      <w:pPr>
        <w:spacing w:after="20" w:line="223" w:lineRule="auto"/>
        <w:jc w:val="right"/>
        <w:bidi/>
      </w:pPr>
      <w:r>
        <w:rPr>
          <w:rFonts w:ascii="Arial" w:hAnsi="Arial"/>
          <w:sz w:val="16"/>
        </w:rPr>
        <w:t>027.11  اکنون تحت هدایت نیروی فضایی ایالات متحده، این پایگاه‌های پرتاب نه تنها از سیستم‌های تحت حمایت وزارت دفاع (دود)، بلکه برای ناسا، سایر سازمان‌های دولتی ایالات متحده و شرکت‌های تجاری دیگر نیز پشتیبانی می‌کنند.</w:t>
      </w:r>
    </w:p>
    <w:p>
      <w:pPr>
        <w:spacing w:after="28" w:line="216" w:lineRule="auto"/>
        <w:ind w:left="259"/>
        <w:jc w:val="left"/>
      </w:pPr>
      <w:r>
        <w:rPr>
          <w:rFonts w:ascii="Arial" w:hAnsi="Arial"/>
          <w:color w:val="525252"/>
          <w:sz w:val="13"/>
        </w:rPr>
        <w:t>Now under the direction of the United States Space Force, these launch bases provide support not only for Department of Defense (DoD) sponsored systems, but also for the NASA, other U.S. government agencies, and additional commercial enterprises.</w:t>
      </w:r>
    </w:p>
    <w:p>
      <w:pPr>
        <w:spacing w:before="60" w:after="28"/>
        <w:jc w:val="right"/>
        <w:bidi/>
      </w:pPr>
      <w:r>
        <w:rPr>
          <w:b/>
          <w:color w:val="1F4D78"/>
          <w:sz w:val="18"/>
        </w:rPr>
        <w:t>2.23. شناسایی فضایی</w:t>
      </w:r>
    </w:p>
    <w:p>
      <w:pPr>
        <w:spacing w:after="20"/>
        <w:ind w:left="259"/>
        <w:jc w:val="left"/>
      </w:pPr>
      <w:r>
        <w:rPr>
          <w:color w:val="555555"/>
          <w:sz w:val="12"/>
        </w:rPr>
        <w:t>2.23. Space Reconnaissance</w:t>
      </w:r>
    </w:p>
    <w:p>
      <w:pPr>
        <w:spacing w:after="20" w:line="223" w:lineRule="auto"/>
        <w:jc w:val="right"/>
        <w:bidi/>
      </w:pPr>
      <w:r>
        <w:rPr>
          <w:rFonts w:ascii="Arial" w:hAnsi="Arial"/>
          <w:sz w:val="16"/>
        </w:rPr>
        <w:t>027.13  در سال ۱۹۶۰ اداره ملی شناسایی برای به عهده گرفتن ماهواره‌های شناسایی بسیار طبقه بندی شده تشکیل شد.</w:t>
      </w:r>
    </w:p>
    <w:p>
      <w:pPr>
        <w:spacing w:after="28" w:line="216" w:lineRule="auto"/>
        <w:ind w:left="259"/>
        <w:jc w:val="left"/>
      </w:pPr>
      <w:r>
        <w:rPr>
          <w:rFonts w:ascii="Arial" w:hAnsi="Arial"/>
          <w:color w:val="525252"/>
          <w:sz w:val="13"/>
        </w:rPr>
        <w:t>In 1960 the National Reconnaissance Office was formed to take charge of highly classified reconnaissance satellites.</w:t>
      </w:r>
    </w:p>
    <w:p>
      <w:pPr>
        <w:spacing w:after="20" w:line="223" w:lineRule="auto"/>
        <w:jc w:val="right"/>
        <w:bidi/>
      </w:pPr>
      <w:r>
        <w:rPr>
          <w:rFonts w:ascii="Arial" w:hAnsi="Arial"/>
          <w:sz w:val="16"/>
        </w:rPr>
        <w:t>027.14  پرزیدنت آیزنهاور چندین ابتکار را برای کمک به جلوگیری از یک حمله هسته‌ای غافلگیرکننده علیه ایالات متحده انجام داد، از جمله ایجاد برنامه شناسایی عکس ماهواره‌ای طبقه‌بندی شده با نام رمز کرونا.</w:t>
      </w:r>
    </w:p>
    <w:p>
      <w:pPr>
        <w:spacing w:after="28" w:line="216" w:lineRule="auto"/>
        <w:ind w:left="259"/>
        <w:jc w:val="left"/>
      </w:pPr>
      <w:r>
        <w:rPr>
          <w:rFonts w:ascii="Arial" w:hAnsi="Arial"/>
          <w:color w:val="525252"/>
          <w:sz w:val="13"/>
        </w:rPr>
        <w:t>President Eisenhower undertook several initiatives to help prevent a surprise nuclear attack against the United States, including establishing the classified Satellite Photo Reconnaissance Program, code named Corona.</w:t>
      </w:r>
    </w:p>
    <w:p>
      <w:pPr>
        <w:spacing w:after="20" w:line="223" w:lineRule="auto"/>
        <w:jc w:val="right"/>
        <w:bidi/>
      </w:pPr>
      <w:r>
        <w:rPr>
          <w:rFonts w:ascii="Arial" w:hAnsi="Arial"/>
          <w:sz w:val="16"/>
        </w:rPr>
        <w:t>027.15  این سیستم که عموما به‌عنوان برنامه تحقیقاتی دیسکوورر شناخته می‌شود، اولین پرتاب موفقیت آمیز دیسکوورر XIII را در ۱۰ اوت ۱۹۶۰ به دست آورد.</w:t>
      </w:r>
    </w:p>
    <w:p>
      <w:pPr>
        <w:spacing w:after="28" w:line="216" w:lineRule="auto"/>
        <w:ind w:left="259"/>
        <w:jc w:val="left"/>
      </w:pPr>
      <w:r>
        <w:rPr>
          <w:rFonts w:ascii="Arial" w:hAnsi="Arial"/>
          <w:color w:val="525252"/>
          <w:sz w:val="13"/>
        </w:rPr>
        <w:t>This system, known publicly as the Discoverer Research Program, achieved its first successful launch of the Discoverer XIII on 10 August 1960.</w:t>
      </w:r>
    </w:p>
    <w:p>
      <w:pPr>
        <w:spacing w:after="20" w:line="223" w:lineRule="auto"/>
        <w:jc w:val="right"/>
        <w:bidi/>
      </w:pPr>
      <w:r>
        <w:rPr>
          <w:rFonts w:ascii="Arial" w:hAnsi="Arial"/>
          <w:sz w:val="16"/>
        </w:rPr>
        <w:t>027.16  این موفقیت اولیه بیش از ۳۰۰۰ فوت فیلم شناسایی از فضا به دست آورد، که نوید دهنده آغاز قابلیت شناسایی عکس مبتنی بر فضا در آمریکا بود.</w:t>
      </w:r>
    </w:p>
    <w:p>
      <w:pPr>
        <w:spacing w:after="28" w:line="216" w:lineRule="auto"/>
        <w:ind w:left="259"/>
        <w:jc w:val="left"/>
      </w:pPr>
      <w:r>
        <w:rPr>
          <w:rFonts w:ascii="Arial" w:hAnsi="Arial"/>
          <w:color w:val="525252"/>
          <w:sz w:val="13"/>
        </w:rPr>
        <w:t>This early success acquired over 3,000 feet of reconnaissance film from space, heralding the beginning of America’s space-based photo reconnaissance capability.</w:t>
      </w:r>
    </w:p>
    <w:p>
      <w:pPr>
        <w:spacing w:after="20" w:line="223" w:lineRule="auto"/>
        <w:jc w:val="right"/>
        <w:bidi/>
      </w:pPr>
      <w:r>
        <w:rPr>
          <w:rFonts w:ascii="Arial" w:hAnsi="Arial"/>
          <w:sz w:val="16"/>
        </w:rPr>
        <w:t>027.17  نیروی هوایی برای برآوردن نیازهای امنیت ملی بر مأموریت‌های بدون سرنشین متمرکز شد. برای مثال،</w:t>
      </w:r>
    </w:p>
    <w:p>
      <w:pPr>
        <w:spacing w:after="28" w:line="216" w:lineRule="auto"/>
        <w:ind w:left="259"/>
        <w:jc w:val="left"/>
      </w:pPr>
      <w:r>
        <w:rPr>
          <w:rFonts w:ascii="Arial" w:hAnsi="Arial"/>
          <w:color w:val="525252"/>
          <w:sz w:val="13"/>
        </w:rPr>
        <w:t>The Air Force concentrated on unmanned missions to fulfill national security needs.</w:t>
      </w:r>
    </w:p>
    <w:p>
      <w:pPr>
        <w:spacing w:after="20" w:line="223" w:lineRule="auto"/>
        <w:jc w:val="right"/>
        <w:bidi/>
      </w:pPr>
      <w:r>
        <w:rPr>
          <w:rFonts w:ascii="Arial" w:hAnsi="Arial"/>
          <w:sz w:val="16"/>
        </w:rPr>
        <w:t>027.18  به‌عنوان مثال، ماهواره‌های شناسایی فضایی از بازدارندگی استراتژیک در طول جنگ سرد پشتیبانی می‌کردند و دانش ارزشمندی از موجودی هسته‌ای اتحاد جماهیر شوروی ارائه می‌کردند و انطباق با معاهدات کنترل تسلیحات را تأیید می‌کردند.</w:t>
      </w:r>
    </w:p>
    <w:p>
      <w:pPr>
        <w:spacing w:after="28" w:line="216" w:lineRule="auto"/>
        <w:ind w:left="259"/>
        <w:jc w:val="left"/>
      </w:pPr>
      <w:r>
        <w:rPr>
          <w:rFonts w:ascii="Arial" w:hAnsi="Arial"/>
          <w:color w:val="525252"/>
          <w:sz w:val="13"/>
        </w:rPr>
        <w:t>Space reconnaissance satellites, for instance, supported strategic deterrence throughout the Cold War, providing invaluable knowledge of the Soviet Union’s nuclear inventory and verifying compliance with weapons control treaties.</w:t>
      </w:r>
    </w:p>
    <w:p>
      <w:pPr>
        <w:spacing w:after="20" w:line="223" w:lineRule="auto"/>
        <w:jc w:val="right"/>
        <w:bidi/>
      </w:pPr>
      <w:r>
        <w:rPr>
          <w:rFonts w:ascii="Arial" w:hAnsi="Arial"/>
          <w:sz w:val="16"/>
        </w:rPr>
        <w:t>027.19  سامانه‌های فضایی هشدار اولیه حمله موشکی بالستیک به آمریکای شمالی را ارائه کردند و زمینه را برای سکوهای ارتباطی در سراسر جهان برای فرماندهی و کنترل استراتژیک فراهم کردند.</w:t>
      </w:r>
    </w:p>
    <w:p>
      <w:pPr>
        <w:spacing w:after="28" w:line="216" w:lineRule="auto"/>
        <w:ind w:left="259"/>
        <w:jc w:val="left"/>
      </w:pPr>
      <w:r>
        <w:rPr>
          <w:rFonts w:ascii="Arial" w:hAnsi="Arial"/>
          <w:color w:val="525252"/>
          <w:sz w:val="13"/>
        </w:rPr>
        <w:t>Space systems provided early warning of ballistic missile attack on North America and set the stage for worldwide communications platforms for strategic command and control.</w:t>
      </w:r>
    </w:p>
    <w:p>
      <w:pPr>
        <w:spacing w:after="20" w:line="223" w:lineRule="auto"/>
        <w:jc w:val="right"/>
        <w:bidi/>
      </w:pPr>
      <w:r>
        <w:rPr>
          <w:rFonts w:ascii="Arial" w:hAnsi="Arial"/>
          <w:sz w:val="16"/>
        </w:rPr>
        <w:t>027.20  اطلاعات جمع‌آوری شده از فضا برای امنیت ملی ایالات متحده ضروری است.</w:t>
      </w:r>
    </w:p>
    <w:p>
      <w:pPr>
        <w:spacing w:after="28" w:line="216" w:lineRule="auto"/>
        <w:ind w:left="259"/>
        <w:jc w:val="left"/>
      </w:pPr>
      <w:r>
        <w:rPr>
          <w:rFonts w:ascii="Arial" w:hAnsi="Arial"/>
          <w:color w:val="525252"/>
          <w:sz w:val="13"/>
        </w:rPr>
        <w:t>Intelligence collected from space remains essential to United States national security.</w:t>
      </w:r>
    </w:p>
    <w:p>
      <w:pPr>
        <w:spacing w:after="20" w:line="223" w:lineRule="auto"/>
        <w:jc w:val="right"/>
        <w:bidi/>
      </w:pPr>
      <w:r>
        <w:rPr>
          <w:rFonts w:ascii="Arial" w:hAnsi="Arial"/>
          <w:sz w:val="16"/>
        </w:rPr>
        <w:t>027.21  برای تدوین سیاست‌های خارجی و دفاعی، ظرفیت رئیس‌جمهور برای مدیریت بحران‌ها و درگیری‌ها، انجام عملیات‌های نظامی و توسعه قابلیت‌های نظامی برای اطمینان از دستیابی به اهداف ایالات متحده، اساسی است.</w:t>
      </w:r>
    </w:p>
    <w:p>
      <w:pPr>
        <w:spacing w:after="28" w:line="216" w:lineRule="auto"/>
        <w:ind w:left="259"/>
        <w:jc w:val="left"/>
      </w:pPr>
      <w:r>
        <w:rPr>
          <w:rFonts w:ascii="Arial" w:hAnsi="Arial"/>
          <w:color w:val="525252"/>
          <w:sz w:val="13"/>
        </w:rPr>
        <w:t>It is foundational to the formulation of foreign and defense policies, the capacity of the President to manage crises and conﬂicts, the conduct of military operations, and the development of military capabilities to assure the attainment of United States objectives.</w:t>
      </w:r>
    </w:p>
    <w:p>
      <w:pPr>
        <w:spacing w:after="20" w:line="223" w:lineRule="auto"/>
        <w:jc w:val="right"/>
        <w:bidi/>
      </w:pPr>
      <w:r>
        <w:rPr>
          <w:rFonts w:ascii="Arial" w:hAnsi="Arial"/>
          <w:sz w:val="16"/>
        </w:rPr>
        <w:t>027.22  در اوایل دهه ۱۹۹۰، فضا از «دنیای سیاه» رازداری خارج شد و در طول جنگ خلیج فارس وارد جریان اصلی ارتش شد.</w:t>
      </w:r>
    </w:p>
    <w:p>
      <w:pPr>
        <w:spacing w:after="28" w:line="216" w:lineRule="auto"/>
        <w:ind w:left="259"/>
        <w:jc w:val="left"/>
      </w:pPr>
      <w:r>
        <w:rPr>
          <w:rFonts w:ascii="Arial" w:hAnsi="Arial"/>
          <w:color w:val="525252"/>
          <w:sz w:val="13"/>
        </w:rPr>
        <w:t>In the early 1990s, space came out of the ‘black world’ of secrecy and into the mainstream military during the Gulf War.</w:t>
      </w:r>
    </w:p>
    <w:p>
      <w:pPr>
        <w:spacing w:after="20" w:line="223" w:lineRule="auto"/>
        <w:jc w:val="right"/>
        <w:bidi/>
      </w:pPr>
      <w:r>
        <w:rPr>
          <w:rFonts w:ascii="Arial" w:hAnsi="Arial"/>
          <w:sz w:val="16"/>
        </w:rPr>
        <w:t>027.23  جنگجویان در خلیج، سربازان در چاله‌های روباه، هواپیماهای باری که افراد و تجهیزات را به پرواز در می‌آورند، و کشتی‌ها در دریا، دسترسی بیشتری به اطلاعات فضایی پیدا کردند.</w:t>
      </w:r>
    </w:p>
    <w:p>
      <w:pPr>
        <w:spacing w:after="28" w:line="216" w:lineRule="auto"/>
        <w:ind w:left="259"/>
        <w:jc w:val="left"/>
      </w:pPr>
      <w:r>
        <w:rPr>
          <w:rFonts w:ascii="Arial" w:hAnsi="Arial"/>
          <w:color w:val="525252"/>
          <w:sz w:val="13"/>
        </w:rPr>
        <w:t>Warfighters in the Gulf, soldiers in the foxholes, cargo aircraft flying people and equipment, and ships at sea, gained greater access to space-based information.</w:t>
      </w:r>
    </w:p>
    <w:p>
      <w:pPr>
        <w:spacing w:after="20" w:line="223" w:lineRule="auto"/>
        <w:jc w:val="right"/>
        <w:bidi/>
      </w:pPr>
      <w:r>
        <w:rPr>
          <w:rFonts w:ascii="Arial" w:hAnsi="Arial"/>
          <w:sz w:val="16"/>
        </w:rPr>
        <w:t>027.24  این اطلاعات به برنامه ریزان نظامی کمک کرد تا آنچه را که صدام حسین نمی‌توانست ببیند ببینند و به نیروهای ائتلاف زمینه را برای بیرون راندن نیروهای عراقی از کویت داد.</w:t>
      </w:r>
    </w:p>
    <w:p>
      <w:pPr>
        <w:spacing w:after="28" w:line="216" w:lineRule="auto"/>
        <w:ind w:left="259"/>
        <w:jc w:val="left"/>
      </w:pPr>
      <w:r>
        <w:rPr>
          <w:rFonts w:ascii="Arial" w:hAnsi="Arial"/>
          <w:color w:val="525252"/>
          <w:sz w:val="13"/>
        </w:rPr>
        <w:t>This information helped military planners see what Saddam Hussein could not see and gave coalition forces the high ground to drive Iraqi forces from Kuwait.</w:t>
      </w:r>
    </w:p>
    <w:p>
      <w:r>
        <w:br w:type="page"/>
      </w:r>
    </w:p>
    <w:p>
      <w:pPr>
        <w:spacing w:after="60"/>
        <w:jc w:val="right"/>
        <w:bidi/>
      </w:pPr>
      <w:r>
        <w:rPr>
          <w:rFonts w:ascii="Arial" w:hAnsi="Arial"/>
          <w:b/>
          <w:color w:val="1F4D78"/>
          <w:sz w:val="19"/>
        </w:rPr>
        <w:t>هفتهٔ 28  |  صفحهٔ منبع: 44</w:t>
      </w:r>
    </w:p>
    <w:p>
      <w:pPr>
        <w:spacing w:before="60" w:after="28"/>
        <w:jc w:val="right"/>
        <w:bidi/>
      </w:pPr>
      <w:r>
        <w:rPr>
          <w:b/>
          <w:color w:val="1F4D78"/>
          <w:sz w:val="18"/>
        </w:rPr>
        <w:t>2.24. اتکای جهانی به قابلیت‌های فضایی</w:t>
      </w:r>
    </w:p>
    <w:p>
      <w:pPr>
        <w:spacing w:after="20"/>
        <w:ind w:left="259"/>
        <w:jc w:val="left"/>
      </w:pPr>
      <w:r>
        <w:rPr>
          <w:color w:val="555555"/>
          <w:sz w:val="12"/>
        </w:rPr>
        <w:t>2.24. Global Reliance on Space Capabilities</w:t>
      </w:r>
    </w:p>
    <w:p>
      <w:pPr>
        <w:spacing w:after="20" w:line="223" w:lineRule="auto"/>
        <w:jc w:val="right"/>
        <w:bidi/>
      </w:pPr>
      <w:r>
        <w:rPr>
          <w:rFonts w:ascii="Arial" w:hAnsi="Arial"/>
          <w:sz w:val="16"/>
        </w:rPr>
        <w:t>028.02  فناوری مبتنی بر فضا، جنبه‌های عمده فعالیت‌های تجاری و اجتماعی را متحول کرد و با افزایش ظرفیت و قابلیت‌های ماهواره‌ها از طریق فناوری‌های نوظهور، به این امر ادامه خواهد داد.</w:t>
      </w:r>
    </w:p>
    <w:p>
      <w:pPr>
        <w:spacing w:after="28" w:line="216" w:lineRule="auto"/>
        <w:ind w:left="259"/>
        <w:jc w:val="left"/>
      </w:pPr>
      <w:r>
        <w:rPr>
          <w:rFonts w:ascii="Arial" w:hAnsi="Arial"/>
          <w:color w:val="525252"/>
          <w:sz w:val="13"/>
        </w:rPr>
        <w:t>Space-based technology revolutionized major aspects of commercial and social activity and will continue to do so as the capacity and capabilities of satellites increase through emerging technologies.</w:t>
      </w:r>
    </w:p>
    <w:p>
      <w:pPr>
        <w:spacing w:after="20" w:line="223" w:lineRule="auto"/>
        <w:jc w:val="right"/>
        <w:bidi/>
      </w:pPr>
      <w:r>
        <w:rPr>
          <w:rFonts w:ascii="Arial" w:hAnsi="Arial"/>
          <w:sz w:val="16"/>
        </w:rPr>
        <w:t>028.03  فضا از طریق برنامه‌های کاربردی خود برای حمل و نقل، بهداشت، محیط زیست، مخابرات، آموزش، تجارت، کشاورزی و انرژی وارد خانه‌ها، مشاغل، مدارس، بیمارستان‌ها و ادارات دولتی می‌شود.</w:t>
      </w:r>
    </w:p>
    <w:p>
      <w:pPr>
        <w:spacing w:after="28" w:line="216" w:lineRule="auto"/>
        <w:ind w:left="259"/>
        <w:jc w:val="left"/>
      </w:pPr>
      <w:r>
        <w:rPr>
          <w:rFonts w:ascii="Arial" w:hAnsi="Arial"/>
          <w:color w:val="525252"/>
          <w:sz w:val="13"/>
        </w:rPr>
        <w:t>Space enters homes, businesses, schools, hospitals, and government ofﬁces through its applications for transportation, health, the environment, telecommunications, education, commerce, agriculture, and energy.</w:t>
      </w:r>
    </w:p>
    <w:p>
      <w:pPr>
        <w:spacing w:after="20" w:line="223" w:lineRule="auto"/>
        <w:jc w:val="right"/>
        <w:bidi/>
      </w:pPr>
      <w:r>
        <w:rPr>
          <w:rFonts w:ascii="Arial" w:hAnsi="Arial"/>
          <w:sz w:val="16"/>
        </w:rPr>
        <w:t>028.04  مانند بزرگراه‌ها و راه‌های هوایی، خطوط آب و شبکه‌های برق، خدمات ارائه‌شده از فضا در حال حاضر بخش مهمی از ایالات متحده و زیرساخت‌های جهانی هستند.</w:t>
      </w:r>
    </w:p>
    <w:p>
      <w:pPr>
        <w:spacing w:after="28" w:line="216" w:lineRule="auto"/>
        <w:ind w:left="259"/>
        <w:jc w:val="left"/>
      </w:pPr>
      <w:r>
        <w:rPr>
          <w:rFonts w:ascii="Arial" w:hAnsi="Arial"/>
          <w:color w:val="525252"/>
          <w:sz w:val="13"/>
        </w:rPr>
        <w:t>Much like highways and airways, water lines and electric grids, services supplied from space are already an important part of the United States and global infrastructures.</w:t>
      </w:r>
    </w:p>
    <w:p>
      <w:pPr>
        <w:spacing w:after="20" w:line="223" w:lineRule="auto"/>
        <w:jc w:val="right"/>
        <w:bidi/>
      </w:pPr>
      <w:r>
        <w:rPr>
          <w:rFonts w:ascii="Arial" w:hAnsi="Arial"/>
          <w:sz w:val="16"/>
        </w:rPr>
        <w:t>028.05  فعالیت فضایی تجاری به‌طور فزاینده‌ای برای اقتصاد جهانی اهمیت پیدا کرده است.</w:t>
      </w:r>
    </w:p>
    <w:p>
      <w:pPr>
        <w:spacing w:after="28" w:line="216" w:lineRule="auto"/>
        <w:ind w:left="259"/>
        <w:jc w:val="left"/>
      </w:pPr>
      <w:r>
        <w:rPr>
          <w:rFonts w:ascii="Arial" w:hAnsi="Arial"/>
          <w:color w:val="525252"/>
          <w:sz w:val="13"/>
        </w:rPr>
        <w:t>Commercial space activity has become increasingly important to the global economy.</w:t>
      </w:r>
    </w:p>
    <w:p>
      <w:pPr>
        <w:spacing w:after="20" w:line="223" w:lineRule="auto"/>
        <w:jc w:val="right"/>
        <w:bidi/>
      </w:pPr>
      <w:r>
        <w:rPr>
          <w:rFonts w:ascii="Arial" w:hAnsi="Arial"/>
          <w:sz w:val="16"/>
        </w:rPr>
        <w:t>028.06  فعالیت مدنی اکنون کشورهای بیشتری، کنسرسیوم‌های بین‌المللی و بازیگران غیردولتی را درگیر می‌کند.</w:t>
      </w:r>
    </w:p>
    <w:p>
      <w:pPr>
        <w:spacing w:after="28" w:line="216" w:lineRule="auto"/>
        <w:ind w:left="259"/>
        <w:jc w:val="left"/>
      </w:pPr>
      <w:r>
        <w:rPr>
          <w:rFonts w:ascii="Arial" w:hAnsi="Arial"/>
          <w:color w:val="525252"/>
          <w:sz w:val="13"/>
        </w:rPr>
        <w:t>Civil activity now involves more nations, international consortia, and non-state actors.</w:t>
      </w:r>
    </w:p>
    <w:p>
      <w:pPr>
        <w:spacing w:after="20" w:line="223" w:lineRule="auto"/>
        <w:jc w:val="right"/>
        <w:bidi/>
      </w:pPr>
      <w:r>
        <w:rPr>
          <w:rFonts w:ascii="Arial" w:hAnsi="Arial"/>
          <w:sz w:val="16"/>
        </w:rPr>
        <w:t>028.07  قابلیت‌های مرتبط با فضا به رهبران ملی کمک می‌کند تا سیاست خارجی آمریکا را اجرا کنند و در صورت لزوم، از قدرت نظامی به روش‌هایی استفاده کنند که پیش‌تر هرگز ممکن نبوده است.</w:t>
      </w:r>
    </w:p>
    <w:p>
      <w:pPr>
        <w:spacing w:after="28" w:line="216" w:lineRule="auto"/>
        <w:ind w:left="259"/>
        <w:jc w:val="left"/>
      </w:pPr>
      <w:r>
        <w:rPr>
          <w:rFonts w:ascii="Arial" w:hAnsi="Arial"/>
          <w:color w:val="525252"/>
          <w:sz w:val="13"/>
        </w:rPr>
        <w:t>Space-related capabilities help national leaders to implement American foreign policy and, when necessary, to use military power in ways never before possible.</w:t>
      </w:r>
    </w:p>
    <w:p>
      <w:pPr>
        <w:spacing w:after="20" w:line="223" w:lineRule="auto"/>
        <w:jc w:val="right"/>
        <w:bidi/>
      </w:pPr>
      <w:r>
        <w:rPr>
          <w:rFonts w:ascii="Arial" w:hAnsi="Arial"/>
          <w:sz w:val="16"/>
        </w:rPr>
        <w:t>028.08  به دلیل قابلیت‌های فضایی، ایالات متحده بهتر می‌تواند بازدارندگی را برای متحدان و دوستان خود در محیط بین‌المللی بسیار پیچیده ما حفظ کرده و گسترش دهد.</w:t>
      </w:r>
    </w:p>
    <w:p>
      <w:pPr>
        <w:spacing w:after="28" w:line="216" w:lineRule="auto"/>
        <w:ind w:left="259"/>
        <w:jc w:val="left"/>
      </w:pPr>
      <w:r>
        <w:rPr>
          <w:rFonts w:ascii="Arial" w:hAnsi="Arial"/>
          <w:color w:val="525252"/>
          <w:sz w:val="13"/>
        </w:rPr>
        <w:t>Because of space capabilities, the United States is better able to sustain and extend deterrence to its allies and friends in our highly complex international environment.</w:t>
      </w:r>
    </w:p>
    <w:p>
      <w:pPr>
        <w:spacing w:after="20" w:line="223" w:lineRule="auto"/>
        <w:jc w:val="right"/>
        <w:bidi/>
      </w:pPr>
      <w:r>
        <w:rPr>
          <w:rFonts w:ascii="Arial" w:hAnsi="Arial"/>
          <w:sz w:val="16"/>
        </w:rPr>
        <w:t>028.09  در سال ۲۰۰۰، ایالات متحده به اهمیت روزافزون سیستم موقعیت یاب جهانی (GPS) برای کاربران غیرنظامی و تجاری با توقف کاهش عمدی دقت سیگنال‌های غیرنظامی، معروف به دسترسی انتخابی، پی برد.</w:t>
      </w:r>
    </w:p>
    <w:p>
      <w:pPr>
        <w:spacing w:after="28" w:line="216" w:lineRule="auto"/>
        <w:ind w:left="259"/>
        <w:jc w:val="left"/>
      </w:pPr>
      <w:r>
        <w:rPr>
          <w:rFonts w:ascii="Arial" w:hAnsi="Arial"/>
          <w:color w:val="525252"/>
          <w:sz w:val="13"/>
        </w:rPr>
        <w:t>In the year 2000, the United States recognized the increasing importance of Global Positioning System (GPS) to civil and commercial users by discontinuing the deliberate degradation of accuracy for non-military signals, known as Selective Availability.</w:t>
      </w:r>
    </w:p>
    <w:p>
      <w:pPr>
        <w:spacing w:after="20" w:line="223" w:lineRule="auto"/>
        <w:jc w:val="right"/>
        <w:bidi/>
      </w:pPr>
      <w:r>
        <w:rPr>
          <w:rFonts w:ascii="Arial" w:hAnsi="Arial"/>
          <w:sz w:val="16"/>
        </w:rPr>
        <w:t>028.10  از آن زمان، کاربردهای تجاری و عمرانی GPS همچنان رو به افزایش بوده و اهمیت آن به میزان قابل توجهی افزایش یافته است.</w:t>
      </w:r>
    </w:p>
    <w:p>
      <w:pPr>
        <w:spacing w:after="28" w:line="216" w:lineRule="auto"/>
        <w:ind w:left="259"/>
        <w:jc w:val="left"/>
      </w:pPr>
      <w:r>
        <w:rPr>
          <w:rFonts w:ascii="Arial" w:hAnsi="Arial"/>
          <w:color w:val="525252"/>
          <w:sz w:val="13"/>
        </w:rPr>
        <w:t>Since that time, commercial and civil applications of GPS have continued to multiply, and its importance has increased significantly.</w:t>
      </w:r>
    </w:p>
    <w:p>
      <w:pPr>
        <w:spacing w:after="20" w:line="223" w:lineRule="auto"/>
        <w:jc w:val="right"/>
        <w:bidi/>
      </w:pPr>
      <w:r>
        <w:rPr>
          <w:rFonts w:ascii="Arial" w:hAnsi="Arial"/>
          <w:sz w:val="16"/>
        </w:rPr>
        <w:t>028.11  GPS اکنون یکی از اجزای کلیدی زیرساخت حیاتی ایالات متحده است.</w:t>
      </w:r>
    </w:p>
    <w:p>
      <w:pPr>
        <w:spacing w:after="28" w:line="216" w:lineRule="auto"/>
        <w:ind w:left="259"/>
        <w:jc w:val="left"/>
      </w:pPr>
      <w:r>
        <w:rPr>
          <w:rFonts w:ascii="Arial" w:hAnsi="Arial"/>
          <w:color w:val="525252"/>
          <w:sz w:val="13"/>
        </w:rPr>
        <w:t>GPS is now a key component of the United States critical infrastructure.</w:t>
      </w:r>
    </w:p>
    <w:p>
      <w:pPr>
        <w:spacing w:after="20" w:line="223" w:lineRule="auto"/>
        <w:jc w:val="right"/>
        <w:bidi/>
      </w:pPr>
      <w:r>
        <w:rPr>
          <w:rFonts w:ascii="Arial" w:hAnsi="Arial"/>
          <w:sz w:val="16"/>
        </w:rPr>
        <w:t>028.12  خدماتی که به GPS وابسته هستند اکنون موتوری برای رشد اقتصادی و بهبود امنیت عمومی هستند.</w:t>
      </w:r>
    </w:p>
    <w:p>
      <w:pPr>
        <w:spacing w:after="28" w:line="216" w:lineRule="auto"/>
        <w:ind w:left="259"/>
        <w:jc w:val="left"/>
      </w:pPr>
      <w:r>
        <w:rPr>
          <w:rFonts w:ascii="Arial" w:hAnsi="Arial"/>
          <w:color w:val="525252"/>
          <w:sz w:val="13"/>
        </w:rPr>
        <w:t>Services that depend on GPS are now an engine for economic growth and improved public safety.</w:t>
      </w:r>
    </w:p>
    <w:p>
      <w:pPr>
        <w:spacing w:before="60" w:after="28"/>
        <w:jc w:val="right"/>
        <w:bidi/>
      </w:pPr>
      <w:r>
        <w:rPr>
          <w:b/>
          <w:color w:val="1F4D78"/>
          <w:sz w:val="18"/>
        </w:rPr>
        <w:t>2.25. کمیسیون فضایی</w:t>
      </w:r>
    </w:p>
    <w:p>
      <w:pPr>
        <w:spacing w:after="20"/>
        <w:ind w:left="259"/>
        <w:jc w:val="left"/>
      </w:pPr>
      <w:r>
        <w:rPr>
          <w:color w:val="555555"/>
          <w:sz w:val="12"/>
        </w:rPr>
        <w:t>2.25. Space Commission</w:t>
      </w:r>
    </w:p>
    <w:p>
      <w:pPr>
        <w:spacing w:after="20" w:line="223" w:lineRule="auto"/>
        <w:jc w:val="right"/>
        <w:bidi/>
      </w:pPr>
      <w:r>
        <w:rPr>
          <w:rFonts w:ascii="Arial" w:hAnsi="Arial"/>
          <w:sz w:val="16"/>
        </w:rPr>
        <w:t>028.14  در ژانویه ۲۰۰۱، کمیسیونی به ریاست دونالد رامسفلد، وزیر دفاع منتخب وقت ایالات متحده، در مورد احتمال "پرل هاربر فضایی" که در آن یک دشمن بالقوه حمله غافلگیرانه‌ای علیه دارایی‌های فضایی نظامی مستقر در ایالات متحده انجام می‌دهد و آنها را از کار می‌اندازد، هشدار داد.</w:t>
      </w:r>
    </w:p>
    <w:p>
      <w:pPr>
        <w:spacing w:after="28" w:line="216" w:lineRule="auto"/>
        <w:ind w:left="259"/>
        <w:jc w:val="left"/>
      </w:pPr>
      <w:r>
        <w:rPr>
          <w:rFonts w:ascii="Arial" w:hAnsi="Arial"/>
          <w:color w:val="525252"/>
          <w:sz w:val="13"/>
        </w:rPr>
        <w:t>In January 2001, a commission headed by then United States Defense Secretary-designate, Donald Rumsfeld, warned about a possible “space Pearl Harbor” in which a potential enemy would launch a surprise attack against United States-based military space assets, disabling them.</w:t>
      </w:r>
    </w:p>
    <w:p>
      <w:pPr>
        <w:spacing w:after="20" w:line="223" w:lineRule="auto"/>
        <w:jc w:val="right"/>
        <w:bidi/>
      </w:pPr>
      <w:r>
        <w:rPr>
          <w:rFonts w:ascii="Arial" w:hAnsi="Arial"/>
          <w:sz w:val="16"/>
        </w:rPr>
        <w:t>028.15  کمیسیون هشدار داد: «ایالات متحده بیش از هر کشور دیگری به فضا وابسته است.</w:t>
      </w:r>
    </w:p>
    <w:p>
      <w:pPr>
        <w:spacing w:after="28" w:line="216" w:lineRule="auto"/>
        <w:ind w:left="259"/>
        <w:jc w:val="left"/>
      </w:pPr>
      <w:r>
        <w:rPr>
          <w:rFonts w:ascii="Arial" w:hAnsi="Arial"/>
          <w:color w:val="525252"/>
          <w:sz w:val="13"/>
        </w:rPr>
        <w:t>The commission warned, “The United States is more dependent on space than any other nation.</w:t>
      </w:r>
    </w:p>
    <w:p>
      <w:pPr>
        <w:spacing w:after="20" w:line="223" w:lineRule="auto"/>
        <w:jc w:val="right"/>
        <w:bidi/>
      </w:pPr>
      <w:r>
        <w:rPr>
          <w:rFonts w:ascii="Arial" w:hAnsi="Arial"/>
          <w:sz w:val="16"/>
        </w:rPr>
        <w:t>028.16  با این حال، تهدیدی که برای ایالات متحده و متحدانش در فضا و از فضا وجود دارد، توجه لازم را به خود جلب نمی‌کند.» کنگره با درک اهمیت فضا برای منافع ملی ایالات متحده، منشور بررسی فعالیت‌های فضایی امنیت ملی را صادر کرد.</w:t>
      </w:r>
    </w:p>
    <w:p>
      <w:pPr>
        <w:spacing w:after="28" w:line="216" w:lineRule="auto"/>
        <w:ind w:left="259"/>
        <w:jc w:val="left"/>
      </w:pPr>
      <w:r>
        <w:rPr>
          <w:rFonts w:ascii="Arial" w:hAnsi="Arial"/>
          <w:color w:val="525252"/>
          <w:sz w:val="13"/>
        </w:rPr>
        <w:t>Yet the threat to the United States and its allies in and from space does not command the attention it merits.” Recognizing the importance of space to United States national interests, Congress chartered a review of national security space activities.</w:t>
      </w:r>
    </w:p>
    <w:p>
      <w:pPr>
        <w:spacing w:after="20" w:line="223" w:lineRule="auto"/>
        <w:jc w:val="right"/>
        <w:bidi/>
      </w:pPr>
      <w:r>
        <w:rPr>
          <w:rFonts w:ascii="Arial" w:hAnsi="Arial"/>
          <w:sz w:val="16"/>
        </w:rPr>
        <w:t>028.17  که در می‌۲۰۰۱ منتشر شد، «گزارش کمیسیون ارزیابی امنیت ملی، مدیریت فضایی و سازمان ایالات متحده»، که بیشتر به‌عنوان گزارش کمیسیون فضایی شناخته می‌شود، نشان داد که «امنیت و رفاه اقتصادی ایالات متحده و متحدان و دوستانش به توانایی این کشور برای عملیات موفقیت‌آمیز در فضا بستگی دارد.</w:t>
      </w:r>
    </w:p>
    <w:p>
      <w:pPr>
        <w:spacing w:after="28" w:line="216" w:lineRule="auto"/>
        <w:ind w:left="259"/>
        <w:jc w:val="left"/>
      </w:pPr>
      <w:r>
        <w:rPr>
          <w:rFonts w:ascii="Arial" w:hAnsi="Arial"/>
          <w:color w:val="525252"/>
          <w:sz w:val="13"/>
        </w:rPr>
        <w:t>Released in May 2001, “The Report of the Commission to Assess United States National Security, Space Management and Organization,” better known as the Space Commission Report, found that, “The security and economic well-being of the United States and its allies and friends depend on the nation’s ability to operate successfully in space.</w:t>
      </w:r>
    </w:p>
    <w:p>
      <w:pPr>
        <w:spacing w:after="20" w:line="223" w:lineRule="auto"/>
        <w:jc w:val="right"/>
        <w:bidi/>
      </w:pPr>
      <w:r>
        <w:rPr>
          <w:rFonts w:ascii="Arial" w:hAnsi="Arial"/>
          <w:sz w:val="16"/>
        </w:rPr>
        <w:t>028.18  برای اینکه بتواند به صلح و ثبات در یک محیط جهانی کاملا متفاوت، اما همچنان خطرناک و پیچیده کمک کند، ایالات متحده باید در خط مقدم فضا، فناوری و عملیاتی باقی بماند، همانطور که در هوا، زمین و دریا داریم.</w:t>
      </w:r>
    </w:p>
    <w:p>
      <w:pPr>
        <w:spacing w:after="28" w:line="216" w:lineRule="auto"/>
        <w:ind w:left="259"/>
        <w:jc w:val="left"/>
      </w:pPr>
      <w:r>
        <w:rPr>
          <w:rFonts w:ascii="Arial" w:hAnsi="Arial"/>
          <w:color w:val="525252"/>
          <w:sz w:val="13"/>
        </w:rPr>
        <w:t>To be able to contribute to peace and stability in a distinctly different, but still dangerous and complex global environment, the United States needs to remain at the forefront in space, technologically, and operationally, as we have in the air, on land, and at sea.</w:t>
      </w:r>
    </w:p>
    <w:p>
      <w:pPr>
        <w:spacing w:after="20" w:line="223" w:lineRule="auto"/>
        <w:jc w:val="right"/>
        <w:bidi/>
      </w:pPr>
      <w:r>
        <w:rPr>
          <w:rFonts w:ascii="Arial" w:hAnsi="Arial"/>
          <w:sz w:val="16"/>
        </w:rPr>
        <w:t>028.19  به‌طور خاص، ایالات متحده باید این توانایی را داشته باشد که از فضا به‌عنوان بخشی جدایی ناپذیر از توانایی خود برای مدیریت بحران‌ها، جلوگیری از درگیری‌ها، و اگر بازدارندگی شکست خورد، در درگیری غالب شود.</w:t>
      </w:r>
    </w:p>
    <w:p>
      <w:pPr>
        <w:spacing w:after="28" w:line="216" w:lineRule="auto"/>
        <w:ind w:left="259"/>
        <w:jc w:val="left"/>
      </w:pPr>
      <w:r>
        <w:rPr>
          <w:rFonts w:ascii="Arial" w:hAnsi="Arial"/>
          <w:color w:val="525252"/>
          <w:sz w:val="13"/>
        </w:rPr>
        <w:t>Specifically, the United States must have the capability to use space as an integral part of its ability to manage crises, deter conflicts, and if deterrence fails, to prevail in conflict.”</w:t>
      </w:r>
    </w:p>
    <w:p>
      <w:pPr>
        <w:spacing w:before="60" w:after="28"/>
        <w:jc w:val="right"/>
        <w:bidi/>
      </w:pPr>
      <w:r>
        <w:rPr>
          <w:b/>
          <w:color w:val="1F4D78"/>
          <w:sz w:val="18"/>
        </w:rPr>
        <w:t>2.26. زمین عالی نهایی</w:t>
      </w:r>
    </w:p>
    <w:p>
      <w:pPr>
        <w:spacing w:after="20"/>
        <w:ind w:left="259"/>
        <w:jc w:val="left"/>
      </w:pPr>
      <w:r>
        <w:rPr>
          <w:color w:val="555555"/>
          <w:sz w:val="12"/>
        </w:rPr>
        <w:t>2.26. The Ultimate High Ground</w:t>
      </w:r>
    </w:p>
    <w:p>
      <w:pPr>
        <w:spacing w:after="20" w:line="223" w:lineRule="auto"/>
        <w:jc w:val="right"/>
        <w:bidi/>
      </w:pPr>
      <w:r>
        <w:rPr>
          <w:rFonts w:ascii="Arial" w:hAnsi="Arial"/>
          <w:sz w:val="16"/>
        </w:rPr>
        <w:t>028.21  در طول دهه گذشته، فضا رقابتی، شلوغ و رقابتی شده است.</w:t>
      </w:r>
    </w:p>
    <w:p>
      <w:pPr>
        <w:spacing w:after="28" w:line="216" w:lineRule="auto"/>
        <w:ind w:left="259"/>
        <w:jc w:val="left"/>
      </w:pPr>
      <w:r>
        <w:rPr>
          <w:rFonts w:ascii="Arial" w:hAnsi="Arial"/>
          <w:color w:val="525252"/>
          <w:sz w:val="13"/>
        </w:rPr>
        <w:t>Over the last decade, space has become competitive, congested, and contested.</w:t>
      </w:r>
    </w:p>
    <w:p>
      <w:pPr>
        <w:spacing w:after="20" w:line="223" w:lineRule="auto"/>
        <w:jc w:val="right"/>
        <w:bidi/>
      </w:pPr>
      <w:r>
        <w:rPr>
          <w:rFonts w:ascii="Arial" w:hAnsi="Arial"/>
          <w:sz w:val="16"/>
        </w:rPr>
        <w:t>028.22  فرصت دستیابی و حفظ برتری در فضا دیگر محدود به ایالات متحده نیست.</w:t>
      </w:r>
    </w:p>
    <w:p>
      <w:pPr>
        <w:spacing w:after="28" w:line="216" w:lineRule="auto"/>
        <w:ind w:left="259"/>
        <w:jc w:val="left"/>
      </w:pPr>
      <w:r>
        <w:rPr>
          <w:rFonts w:ascii="Arial" w:hAnsi="Arial"/>
          <w:color w:val="525252"/>
          <w:sz w:val="13"/>
        </w:rPr>
        <w:t>The opportunity to achieve and hold the high ground advantage in space is no longer limited to the United States.</w:t>
      </w:r>
    </w:p>
    <w:p>
      <w:pPr>
        <w:spacing w:after="20" w:line="223" w:lineRule="auto"/>
        <w:jc w:val="right"/>
        <w:bidi/>
      </w:pPr>
      <w:r>
        <w:rPr>
          <w:rFonts w:ascii="Arial" w:hAnsi="Arial"/>
          <w:sz w:val="16"/>
        </w:rPr>
        <w:t>028.23  بسیاری از کشورها برنامه‌های فضایی را انجام می‌دهند یا در آن شرکت می‌کنند که به وظایف مختلفی از جمله ارتباطات و سنجش از دور اختصاص دارد.</w:t>
      </w:r>
    </w:p>
    <w:p>
      <w:pPr>
        <w:spacing w:after="28" w:line="216" w:lineRule="auto"/>
        <w:ind w:left="259"/>
        <w:jc w:val="left"/>
      </w:pPr>
      <w:r>
        <w:rPr>
          <w:rFonts w:ascii="Arial" w:hAnsi="Arial"/>
          <w:color w:val="525252"/>
          <w:sz w:val="13"/>
        </w:rPr>
        <w:t>Many countries either conduct or participate in space programs dedicated to a variety of tasks, including communications and remote sensing.</w:t>
      </w:r>
    </w:p>
    <w:p>
      <w:pPr>
        <w:spacing w:after="20" w:line="223" w:lineRule="auto"/>
        <w:jc w:val="right"/>
        <w:bidi/>
      </w:pPr>
      <w:r>
        <w:rPr>
          <w:rFonts w:ascii="Arial" w:hAnsi="Arial"/>
          <w:sz w:val="16"/>
        </w:rPr>
        <w:t>028.24  ایالات متحده به مرور زمان با برنامه‌های رقابتی یا تلاش برای محدود کردن فعالیت‌های فضایی ایالات متحده مورد آزمایش قرار خواهد گرفت.</w:t>
      </w:r>
    </w:p>
    <w:p>
      <w:pPr>
        <w:spacing w:after="28" w:line="216" w:lineRule="auto"/>
        <w:ind w:left="259"/>
        <w:jc w:val="left"/>
      </w:pPr>
      <w:r>
        <w:rPr>
          <w:rFonts w:ascii="Arial" w:hAnsi="Arial"/>
          <w:color w:val="525252"/>
          <w:sz w:val="13"/>
        </w:rPr>
        <w:t>The United States will continue to be tested over time by competing programs or attempts to restrict United States space activities.</w:t>
      </w:r>
    </w:p>
    <w:p>
      <w:pPr>
        <w:spacing w:after="20" w:line="223" w:lineRule="auto"/>
        <w:jc w:val="right"/>
        <w:bidi/>
      </w:pPr>
      <w:r>
        <w:rPr>
          <w:rFonts w:ascii="Arial" w:hAnsi="Arial"/>
          <w:sz w:val="16"/>
        </w:rPr>
        <w:t>028.25  در ۱۱ ژانویه ۲۰۰۷، هنگامی که چین اولین آزمایش موفقیت آمیز ضد ماهواره با صعود مستقیم (ASAT) را با انهدام یکی از ماهواره‌های خود انجام داد، جهان یک زنگ بیدارباش دریافت کرد.</w:t>
      </w:r>
    </w:p>
    <w:p>
      <w:pPr>
        <w:spacing w:after="28" w:line="216" w:lineRule="auto"/>
        <w:ind w:left="259"/>
        <w:jc w:val="left"/>
      </w:pPr>
      <w:r>
        <w:rPr>
          <w:rFonts w:ascii="Arial" w:hAnsi="Arial"/>
          <w:color w:val="525252"/>
          <w:sz w:val="13"/>
        </w:rPr>
        <w:t>On 11 January 2007, the world received a wake-up call when China conducted its first successful direct-ascent anti-satellite (ASAT) test by destroying one of its own satellites.</w:t>
      </w:r>
    </w:p>
    <w:p>
      <w:pPr>
        <w:spacing w:after="20" w:line="223" w:lineRule="auto"/>
        <w:jc w:val="right"/>
        <w:bidi/>
      </w:pPr>
      <w:r>
        <w:rPr>
          <w:rFonts w:ascii="Arial" w:hAnsi="Arial"/>
          <w:sz w:val="16"/>
        </w:rPr>
        <w:t>028.26  در حالی که وجود دارد</w:t>
      </w:r>
    </w:p>
    <w:p>
      <w:pPr>
        <w:spacing w:after="28" w:line="216" w:lineRule="auto"/>
        <w:ind w:left="259"/>
        <w:jc w:val="left"/>
      </w:pPr>
      <w:r>
        <w:rPr>
          <w:rFonts w:ascii="Arial" w:hAnsi="Arial"/>
          <w:color w:val="525252"/>
          <w:sz w:val="13"/>
        </w:rPr>
        <w:t>While there are</w:t>
      </w:r>
    </w:p>
    <w:p>
      <w:r>
        <w:br w:type="page"/>
      </w:r>
    </w:p>
    <w:p>
      <w:pPr>
        <w:spacing w:after="60"/>
        <w:jc w:val="right"/>
        <w:bidi/>
      </w:pPr>
      <w:r>
        <w:rPr>
          <w:rFonts w:ascii="Arial" w:hAnsi="Arial"/>
          <w:b/>
          <w:color w:val="1F4D78"/>
          <w:sz w:val="19"/>
        </w:rPr>
        <w:t>هفتهٔ 29  |  صفحهٔ منبع: 45</w:t>
      </w:r>
    </w:p>
    <w:p>
      <w:pPr>
        <w:spacing w:after="20" w:line="223" w:lineRule="auto"/>
        <w:jc w:val="right"/>
        <w:bidi/>
      </w:pPr>
      <w:r>
        <w:rPr>
          <w:rFonts w:ascii="Arial" w:hAnsi="Arial"/>
          <w:sz w:val="16"/>
        </w:rPr>
        <w:t>029.01  پیامدهای سیاسی و استراتژیک بلندمدت این آزمایش، ماهواره‌های موجود در مدار پایین زمین مانند ماهواره‌های شناسایی و هواشناسی و مأموریت‌های فضایی سرنشین دار (از جمله ایستگاه فضایی بین‌المللی، شاتل فضایی و پروازهای سرنشین دار چین) در برابر افزایش زباله‌های فضایی ناشی از انهدام ماهواره چین آسیب‌پذیر شدند.</w:t>
      </w:r>
    </w:p>
    <w:p>
      <w:pPr>
        <w:spacing w:after="28" w:line="216" w:lineRule="auto"/>
        <w:ind w:left="259"/>
        <w:jc w:val="left"/>
      </w:pPr>
      <w:r>
        <w:rPr>
          <w:rFonts w:ascii="Arial" w:hAnsi="Arial"/>
          <w:color w:val="525252"/>
          <w:sz w:val="13"/>
        </w:rPr>
        <w:t>long-term political and strategic implications to this test, satellites in low Earth orbit such as reconnaissance and weather satellites and manned space missions (including the International Space Station, space shuttle, and China’s manned flights) became vulnerable to the increase in space debris resulting from China’s satellite destruction.</w:t>
      </w:r>
    </w:p>
    <w:p>
      <w:pPr>
        <w:spacing w:after="20" w:line="223" w:lineRule="auto"/>
        <w:jc w:val="right"/>
        <w:bidi/>
      </w:pPr>
      <w:r>
        <w:rPr>
          <w:rFonts w:ascii="Arial" w:hAnsi="Arial"/>
          <w:sz w:val="16"/>
        </w:rPr>
        <w:t>029.02  با توجه به ماهیت فنی عملیات فضایی، تنوع گسترده تهدیدات و پیچیدگی فضای نبرد آینده و توسعه عملیات سیستم‌های فضایی، حفظ برتری در حوزه فضایی ضروری است.</w:t>
      </w:r>
    </w:p>
    <w:p>
      <w:pPr>
        <w:spacing w:after="28" w:line="216" w:lineRule="auto"/>
        <w:ind w:left="259"/>
        <w:jc w:val="left"/>
      </w:pPr>
      <w:r>
        <w:rPr>
          <w:rFonts w:ascii="Arial" w:hAnsi="Arial"/>
          <w:color w:val="525252"/>
          <w:sz w:val="13"/>
        </w:rPr>
        <w:t>Due to the technical nature of space operations, the broadening diversity of threats and the complexity of the future battlespace and the development of space systems operations, it is essential to maintain superiority in the space domain.</w:t>
      </w:r>
    </w:p>
    <w:p>
      <w:pPr>
        <w:spacing w:after="20" w:line="223" w:lineRule="auto"/>
        <w:jc w:val="right"/>
        <w:bidi/>
      </w:pPr>
      <w:r>
        <w:rPr>
          <w:rFonts w:ascii="Arial" w:hAnsi="Arial"/>
          <w:sz w:val="16"/>
        </w:rPr>
        <w:t>029.03  حوزه فضا و محیط عمودی به‌طور فزاینده‌ای با «همتایان فضایی نزدیک» اشباع می‌شود. توانایی ما برای کار آزادانه در فضا، تشخیص زمان گسترش جنگ به فضا، بهره‌برداری از جلوه‌های مبتنی بر فضا در زمان و سرعت انتخابی ما، و دیکته کردن پارامترهای دسترسی به فضا، همگی به چالش کشیده می‌شوند.</w:t>
      </w:r>
    </w:p>
    <w:p>
      <w:pPr>
        <w:spacing w:after="28" w:line="216" w:lineRule="auto"/>
        <w:ind w:left="259"/>
        <w:jc w:val="left"/>
      </w:pPr>
      <w:r>
        <w:rPr>
          <w:rFonts w:ascii="Arial" w:hAnsi="Arial"/>
          <w:color w:val="525252"/>
          <w:sz w:val="13"/>
        </w:rPr>
        <w:t>The space domain and the vertical environment is increasingly saturated with ‘near space peers.’ Our ability to operate freely through space, recognize when fighting extends to space, exploit space-based effects at a time and tempo of our choosing, and dictate the parameters of space access, are all challenged.</w:t>
      </w:r>
    </w:p>
    <w:p>
      <w:pPr>
        <w:spacing w:before="60" w:after="28"/>
        <w:jc w:val="right"/>
        <w:bidi/>
      </w:pPr>
      <w:r>
        <w:rPr>
          <w:b/>
          <w:color w:val="1F4D78"/>
          <w:sz w:val="18"/>
        </w:rPr>
        <w:t>2.27. ضرورت فضایی</w:t>
      </w:r>
    </w:p>
    <w:p>
      <w:pPr>
        <w:spacing w:after="20"/>
        <w:ind w:left="259"/>
        <w:jc w:val="left"/>
      </w:pPr>
      <w:r>
        <w:rPr>
          <w:color w:val="555555"/>
          <w:sz w:val="12"/>
        </w:rPr>
        <w:t>2.27. The Space Imperative</w:t>
      </w:r>
    </w:p>
    <w:p>
      <w:pPr>
        <w:spacing w:after="20" w:line="223" w:lineRule="auto"/>
        <w:jc w:val="right"/>
        <w:bidi/>
      </w:pPr>
      <w:r>
        <w:rPr>
          <w:rFonts w:ascii="Arial" w:hAnsi="Arial"/>
          <w:sz w:val="16"/>
        </w:rPr>
        <w:t>029.05  برای کامل شدن، مطالعه ۱۹۴۶ شرکت تحقیق و توسعه ژنرال لی مای به این نتیجه رسید که «ما نمی‌توانیم همه کاربرد و پیامدهای سفینه‌های فضایی را به وضوح ببینیم تا برادران رایت ناوگان ب-۲۹ را که ژاپن را بمباران می‌کنند و حمل‌ونقل هوایی در حال چرخش جهان را ببینند». برای ۷۰ سال آینده، توانایی ما برای مانور به فضا و از طریق فضا، پتانسیل نامحدودی را برای رفاه و امنیت ارائه کرده است و تداوم تسلط نیروی هوایی بر حوزه فضایی را به یک ضرورت ملی تبدیل کرده است.</w:t>
      </w:r>
    </w:p>
    <w:p>
      <w:pPr>
        <w:spacing w:after="28" w:line="216" w:lineRule="auto"/>
        <w:ind w:left="259"/>
        <w:jc w:val="left"/>
      </w:pPr>
      <w:r>
        <w:rPr>
          <w:rFonts w:ascii="Arial" w:hAnsi="Arial"/>
          <w:color w:val="525252"/>
          <w:sz w:val="13"/>
        </w:rPr>
        <w:t>To come full circle, General LeMay’s 1946 Research and Development Corporation study concluded that, “We can see no more clearly all the utility and implications of the space ships than the Wright Brothers could see fleets of B-29s bombing Japan and air transports circling the globe.” For the next 70 years, our ability to maneuver to and through space has presented unlimited potential for prosperity and security, making continued Air Force dominance of the space domain a national imperative.</w:t>
      </w:r>
    </w:p>
    <w:p>
      <w:pPr>
        <w:spacing w:after="20" w:line="223" w:lineRule="auto"/>
        <w:jc w:val="right"/>
        <w:bidi/>
      </w:pPr>
      <w:r>
        <w:rPr>
          <w:rFonts w:ascii="Arial" w:hAnsi="Arial"/>
          <w:sz w:val="16"/>
        </w:rPr>
        <w:t>029.06  در طول سال‌ها، فضا نقش مستقیمی در عملیات هوایی، زمینی، دریایی و فضای سایبری (CO) داشته است.</w:t>
      </w:r>
    </w:p>
    <w:p>
      <w:pPr>
        <w:spacing w:after="28" w:line="216" w:lineRule="auto"/>
        <w:ind w:left="259"/>
        <w:jc w:val="left"/>
      </w:pPr>
      <w:r>
        <w:rPr>
          <w:rFonts w:ascii="Arial" w:hAnsi="Arial"/>
          <w:color w:val="525252"/>
          <w:sz w:val="13"/>
        </w:rPr>
        <w:t>Throughout the years, space has been a direct contributor to air, land, maritime, and cyberspace operations (CO).</w:t>
      </w:r>
    </w:p>
    <w:p>
      <w:pPr>
        <w:spacing w:after="20" w:line="223" w:lineRule="auto"/>
        <w:jc w:val="right"/>
        <w:bidi/>
      </w:pPr>
      <w:r>
        <w:rPr>
          <w:rFonts w:ascii="Arial" w:hAnsi="Arial"/>
          <w:sz w:val="16"/>
        </w:rPr>
        <w:t>029.07  عملیات فضایی در همه حوزه‌ها با سکوهای زمینی و دریایی، روی وسایل نقلیه آسانسور فضایی، از طریق صورت‌های فلکی ثابت در مدار، و در سراسر طیف الکترومغناطیسی (EMS) انجام می‌شود.</w:t>
      </w:r>
    </w:p>
    <w:p>
      <w:pPr>
        <w:spacing w:after="28" w:line="216" w:lineRule="auto"/>
        <w:ind w:left="259"/>
        <w:jc w:val="left"/>
      </w:pPr>
      <w:r>
        <w:rPr>
          <w:rFonts w:ascii="Arial" w:hAnsi="Arial"/>
          <w:color w:val="525252"/>
          <w:sz w:val="13"/>
        </w:rPr>
        <w:t>Space operations are conducted in all domains with terrestrial and sea-based platforms, aboard space lift vehicles, via persistent on-orbit constellations, and across the electromagnetic spectrum (EMS).</w:t>
      </w:r>
    </w:p>
    <w:p>
      <w:pPr>
        <w:spacing w:after="20" w:line="223" w:lineRule="auto"/>
        <w:jc w:val="right"/>
        <w:bidi/>
      </w:pPr>
      <w:r>
        <w:rPr>
          <w:rFonts w:ascii="Arial" w:hAnsi="Arial"/>
          <w:sz w:val="16"/>
        </w:rPr>
        <w:t>029.08  گفته شد، در سال ۲۰۱۷، هدر ویلسون، وزیر نیروی هوایی به کنگره گفت که فضا دیگر تنها یک توانمندساز و تقویت‌کننده نیرو برای عملیات‌های نظامی ایالات متحده نیست، بلکه یک حوزه جنگی است درست مانند هوا، زمین و دریا.</w:t>
      </w:r>
    </w:p>
    <w:p>
      <w:pPr>
        <w:spacing w:after="28" w:line="216" w:lineRule="auto"/>
        <w:ind w:left="259"/>
        <w:jc w:val="left"/>
      </w:pPr>
      <w:r>
        <w:rPr>
          <w:rFonts w:ascii="Arial" w:hAnsi="Arial"/>
          <w:color w:val="525252"/>
          <w:sz w:val="13"/>
        </w:rPr>
        <w:t>That said, in 2017, Secretary of the Air Force Heather Wilson told Congress that space no longer is just an enabler and force enhancer for United States military operations, it is a warfighting domain just like air, land, and sea.</w:t>
      </w:r>
    </w:p>
    <w:p>
      <w:pPr>
        <w:spacing w:after="20" w:line="223" w:lineRule="auto"/>
        <w:jc w:val="right"/>
        <w:bidi/>
      </w:pPr>
      <w:r>
        <w:rPr>
          <w:rFonts w:ascii="Arial" w:hAnsi="Arial"/>
          <w:sz w:val="16"/>
        </w:rPr>
        <w:t>029.09  در سال ۲۰۱۸، ژنرال دیوید گلدفین، رئیس ستاد نیروی هوایی، با بیان اینکه زمان آن فرا رسیده است که ما به‌عنوان یک خدمت، صرف نظر از نشان تخصصی، برتری فضایی را با همان شور و اشتیاق و احساس مالکیت که امروز در مورد برتری هوایی اعمال می‌کنیم، بپذیریم. او در ادامه فریاد زد: «من معتقدم که در عرض چند سال از فضا خواهیم جنگید.</w:t>
      </w:r>
    </w:p>
    <w:p>
      <w:pPr>
        <w:spacing w:after="28" w:line="216" w:lineRule="auto"/>
        <w:ind w:left="259"/>
        <w:jc w:val="left"/>
      </w:pPr>
      <w:r>
        <w:rPr>
          <w:rFonts w:ascii="Arial" w:hAnsi="Arial"/>
          <w:color w:val="525252"/>
          <w:sz w:val="13"/>
        </w:rPr>
        <w:t>In 2018, Air Force Chief of Staff, General David Goldfein, doubled down in stating it was, “time for us as a service, regardless of specialty badge, to embrace space superiority with the same passion and sense of ownership as we apply to air superiority today.” He went on to exclaim, “I believe we’re going to be fighting from space in a matter of years.</w:t>
      </w:r>
    </w:p>
    <w:p>
      <w:pPr>
        <w:spacing w:after="20" w:line="223" w:lineRule="auto"/>
        <w:jc w:val="right"/>
        <w:bidi/>
      </w:pPr>
      <w:r>
        <w:rPr>
          <w:rFonts w:ascii="Arial" w:hAnsi="Arial"/>
          <w:sz w:val="16"/>
        </w:rPr>
        <w:t>029.10  و ما نیرویی هستیم که باید نبرد مشترک را در این عرصهٔ تازهٔ مورد مناقشه رهبری کنیم.</w:t>
      </w:r>
    </w:p>
    <w:p>
      <w:pPr>
        <w:spacing w:after="28" w:line="216" w:lineRule="auto"/>
        <w:ind w:left="259"/>
        <w:jc w:val="left"/>
      </w:pPr>
      <w:r>
        <w:rPr>
          <w:rFonts w:ascii="Arial" w:hAnsi="Arial"/>
          <w:color w:val="525252"/>
          <w:sz w:val="13"/>
        </w:rPr>
        <w:t>And we are the service that must lead joint war fighting in this new contested domain.</w:t>
      </w:r>
    </w:p>
    <w:p>
      <w:pPr>
        <w:spacing w:after="20" w:line="223" w:lineRule="auto"/>
        <w:jc w:val="right"/>
        <w:bidi/>
      </w:pPr>
      <w:r>
        <w:rPr>
          <w:rFonts w:ascii="Arial" w:hAnsi="Arial"/>
          <w:sz w:val="16"/>
        </w:rPr>
        <w:t>029.11  این چیزی است که ملت خواستار آن است.</w:t>
      </w:r>
    </w:p>
    <w:p>
      <w:pPr>
        <w:spacing w:after="28" w:line="216" w:lineRule="auto"/>
        <w:ind w:left="259"/>
        <w:jc w:val="left"/>
      </w:pPr>
      <w:r>
        <w:rPr>
          <w:rFonts w:ascii="Arial" w:hAnsi="Arial"/>
          <w:color w:val="525252"/>
          <w:sz w:val="13"/>
        </w:rPr>
        <w:t>This is what the nation demands.”</w:t>
      </w:r>
    </w:p>
    <w:p>
      <w:pPr>
        <w:spacing w:before="60" w:after="28"/>
        <w:jc w:val="right"/>
        <w:bidi/>
      </w:pPr>
      <w:r>
        <w:rPr>
          <w:b/>
          <w:color w:val="1F4D78"/>
          <w:sz w:val="18"/>
        </w:rPr>
        <w:t>2.28. نیروی فضایی</w:t>
      </w:r>
    </w:p>
    <w:p>
      <w:pPr>
        <w:spacing w:after="20"/>
        <w:ind w:left="259"/>
        <w:jc w:val="left"/>
      </w:pPr>
      <w:r>
        <w:rPr>
          <w:color w:val="555555"/>
          <w:sz w:val="12"/>
        </w:rPr>
        <w:t>2.28. The Space Force</w:t>
      </w:r>
    </w:p>
    <w:p>
      <w:pPr>
        <w:spacing w:after="20" w:line="223" w:lineRule="auto"/>
        <w:jc w:val="right"/>
        <w:bidi/>
      </w:pPr>
      <w:r>
        <w:rPr>
          <w:rFonts w:ascii="Arial" w:hAnsi="Arial"/>
          <w:sz w:val="16"/>
        </w:rPr>
        <w:t>029.13  در ۲۰ دسامبر ۲۰۱۹، عنوان ۱۰ و.س.ک.، چ.</w:t>
      </w:r>
    </w:p>
    <w:p>
      <w:pPr>
        <w:spacing w:after="28" w:line="216" w:lineRule="auto"/>
        <w:ind w:left="259"/>
        <w:jc w:val="left"/>
      </w:pPr>
      <w:r>
        <w:rPr>
          <w:rFonts w:ascii="Arial" w:hAnsi="Arial"/>
          <w:color w:val="525252"/>
          <w:sz w:val="13"/>
        </w:rPr>
        <w:t>On December 20, 2019, Title 10 U.S.C., Ch.</w:t>
      </w:r>
    </w:p>
    <w:p>
      <w:pPr>
        <w:spacing w:after="20" w:line="223" w:lineRule="auto"/>
        <w:jc w:val="right"/>
        <w:bidi/>
      </w:pPr>
      <w:r>
        <w:rPr>
          <w:rFonts w:ascii="Arial" w:hAnsi="Arial"/>
          <w:sz w:val="16"/>
        </w:rPr>
        <w:t>029.14  ۹۰۸، قانون نیروی فضایی ایالات متحده، ۱ ژانویه ۲۰۲۱، به‌عنوان بخشی از قانون مجوز دفاع ملی توسط رئیس جمهور دونالد ترامپ امضا شد.</w:t>
      </w:r>
    </w:p>
    <w:p>
      <w:pPr>
        <w:spacing w:after="28" w:line="216" w:lineRule="auto"/>
        <w:ind w:left="259"/>
        <w:jc w:val="left"/>
      </w:pPr>
      <w:r>
        <w:rPr>
          <w:rFonts w:ascii="Arial" w:hAnsi="Arial"/>
          <w:color w:val="525252"/>
          <w:sz w:val="13"/>
        </w:rPr>
        <w:t>908, U.S. Space Force Act, 1 January 2021, was signed as part of the National Defense Authorization Act by President Donald Trump.</w:t>
      </w:r>
    </w:p>
    <w:p>
      <w:pPr>
        <w:spacing w:after="20" w:line="223" w:lineRule="auto"/>
        <w:jc w:val="right"/>
        <w:bidi/>
      </w:pPr>
      <w:r>
        <w:rPr>
          <w:rFonts w:ascii="Arial" w:hAnsi="Arial"/>
          <w:sz w:val="16"/>
        </w:rPr>
        <w:t>029.15  این قانون، فرماندهی فضایی نیروی هوایی را به نیروی فضایی ایالات متحده سازماندهی مجدد کرد و اولین خدمات نظامی مستقل جدید را از زمان سازماندهی مجدد نیروی هوایی ارتش به‌عنوان USAF در سال ۱۹۴۷ ایجاد کرد.</w:t>
      </w:r>
    </w:p>
    <w:p>
      <w:pPr>
        <w:spacing w:after="28" w:line="216" w:lineRule="auto"/>
        <w:ind w:left="259"/>
        <w:jc w:val="left"/>
      </w:pPr>
      <w:r>
        <w:rPr>
          <w:rFonts w:ascii="Arial" w:hAnsi="Arial"/>
          <w:color w:val="525252"/>
          <w:sz w:val="13"/>
        </w:rPr>
        <w:t>This act reorganized the Air Force Space Command into the U.S. Space Force and created the first new independent military service since the Army Air Forces were reorganized as the USAF in 1947.</w:t>
      </w:r>
    </w:p>
    <w:p>
      <w:pPr>
        <w:spacing w:after="20" w:line="223" w:lineRule="auto"/>
        <w:jc w:val="right"/>
        <w:bidi/>
      </w:pPr>
      <w:r>
        <w:rPr>
          <w:rFonts w:ascii="Arial" w:hAnsi="Arial"/>
          <w:sz w:val="16"/>
        </w:rPr>
        <w:t>029.16  همراه با شعبه خواهر خود، USAF، نیروی فضایی بخشی از وزارت نیروی هوایی، یکی از سه بخش نظامی تحت رهبری غیرنظامیان در وزارت دفاع است.</w:t>
      </w:r>
    </w:p>
    <w:p>
      <w:pPr>
        <w:spacing w:after="28" w:line="216" w:lineRule="auto"/>
        <w:ind w:left="259"/>
        <w:jc w:val="left"/>
      </w:pPr>
      <w:r>
        <w:rPr>
          <w:rFonts w:ascii="Arial" w:hAnsi="Arial"/>
          <w:color w:val="525252"/>
          <w:sz w:val="13"/>
        </w:rPr>
        <w:t>Along with its sister branch, the USAF, the Space Force is part of the Department of the Air Force, one of the three civilian-led military departments within the Department of Defense.</w:t>
      </w:r>
    </w:p>
    <w:p>
      <w:pPr>
        <w:spacing w:after="20" w:line="223" w:lineRule="auto"/>
        <w:jc w:val="right"/>
        <w:bidi/>
      </w:pPr>
      <w:r>
        <w:rPr>
          <w:rFonts w:ascii="Arial" w:hAnsi="Arial"/>
          <w:sz w:val="16"/>
        </w:rPr>
        <w:t>029.17  کوچکترین شاخه در نیروهای مسلح ایالات متحده با قدرت نهایی ۸۴۰۰ نفر است و اعضای آن محافظان نامیده می‌شوند.</w:t>
      </w:r>
    </w:p>
    <w:p>
      <w:pPr>
        <w:spacing w:after="28" w:line="216" w:lineRule="auto"/>
        <w:ind w:left="259"/>
        <w:jc w:val="left"/>
      </w:pPr>
      <w:r>
        <w:rPr>
          <w:rFonts w:ascii="Arial" w:hAnsi="Arial"/>
          <w:color w:val="525252"/>
          <w:sz w:val="13"/>
        </w:rPr>
        <w:t>It is the smallest branch within the U.S. Armed Forces with an active-duty end strength of 8,400 and its members are called Guardians.</w:t>
      </w:r>
    </w:p>
    <w:p>
      <w:pPr>
        <w:spacing w:after="20" w:line="223" w:lineRule="auto"/>
        <w:jc w:val="right"/>
        <w:bidi/>
      </w:pPr>
      <w:r>
        <w:rPr>
          <w:rFonts w:ascii="Arial" w:hAnsi="Arial"/>
          <w:sz w:val="16"/>
        </w:rPr>
        <w:t>029.18  USAF، با این حال، مفهوم نیروی فضایی نظامی را ۷۰ سال قبل از ایجاد نیروی فضایی ایالات متحده، زمانی که یک ژنرال با بینش نیروی هوایی، که یک پزشک دانشمند بود، ایجاد کرد، سازمانی را ایجاد کرد که برای موفقیت برنامه پرواز فضایی سرنشین دار ناسا حیاتی شد. دکتر هری آرمسترانگ، که دومین جراح نیروی هوایی شد، اعتبار خود را به‌عنوان یک پیشگام علمی بر اساس مشارکت‌های قبلی خود در دوام سفرهای هوایی تجاری از طریق توسعه فشار کابین ایجاد کرد. دکتر آرمسترانگ از نظر علمی عبارت قدیمی «آسمان حد است» را تأیید نکرد. او مناظر خود را بسیار بالاتر قرار داده بود - سفر فضایی.</w:t>
      </w:r>
    </w:p>
    <w:p>
      <w:pPr>
        <w:spacing w:after="28" w:line="216" w:lineRule="auto"/>
        <w:ind w:left="259"/>
        <w:jc w:val="left"/>
      </w:pPr>
      <w:r>
        <w:rPr>
          <w:rFonts w:ascii="Arial" w:hAnsi="Arial"/>
          <w:color w:val="525252"/>
          <w:sz w:val="13"/>
        </w:rPr>
        <w:t>The USAF, however, originated the concept of a military space force 70 years before the U.S. Space Force was created when a visionary Air Force general, who was a physician-scientist, created an organization that became vital to the success of NASA’s manned space flight program. Dr. Harry Armstrong, who became the Air Force’s second Surgeon General, built his credibility as a scientific pioneer upon his earlier contributions to the viability of commercial air travel through his development of cabin pressurization. Dr. Armstrong did not scientifically subscribe to the old phrase “the sky’s the limit.” He had his sights set much higher - space travel.</w:t>
      </w:r>
    </w:p>
    <w:p>
      <w:pPr>
        <w:spacing w:after="20" w:line="223" w:lineRule="auto"/>
        <w:jc w:val="right"/>
        <w:bidi/>
      </w:pPr>
      <w:r>
        <w:rPr>
          <w:rFonts w:ascii="Arial" w:hAnsi="Arial"/>
          <w:sz w:val="16"/>
        </w:rPr>
        <w:t>029.19  او از موقعیت خود به‌عنوان فرمانده مدرسه USAF استفاده کرد</w:t>
      </w:r>
    </w:p>
    <w:p>
      <w:pPr>
        <w:spacing w:after="28" w:line="216" w:lineRule="auto"/>
        <w:ind w:left="259"/>
        <w:jc w:val="left"/>
      </w:pPr>
      <w:r>
        <w:rPr>
          <w:rFonts w:ascii="Arial" w:hAnsi="Arial"/>
          <w:color w:val="525252"/>
          <w:sz w:val="13"/>
        </w:rPr>
        <w:t>He leveraged his position as commander of the USAF School</w:t>
      </w:r>
    </w:p>
    <w:p>
      <w:r>
        <w:br w:type="page"/>
      </w:r>
    </w:p>
    <w:p>
      <w:pPr>
        <w:spacing w:after="60"/>
        <w:jc w:val="right"/>
        <w:bidi/>
      </w:pPr>
      <w:r>
        <w:rPr>
          <w:rFonts w:ascii="Arial" w:hAnsi="Arial"/>
          <w:b/>
          <w:color w:val="1F4D78"/>
          <w:sz w:val="19"/>
        </w:rPr>
        <w:t>هفتهٔ 30  |  صفحهٔ منبع: 46</w:t>
      </w:r>
    </w:p>
    <w:p>
      <w:pPr>
        <w:spacing w:after="20" w:line="223" w:lineRule="auto"/>
        <w:jc w:val="right"/>
        <w:bidi/>
      </w:pPr>
      <w:r>
        <w:rPr>
          <w:rFonts w:ascii="Arial" w:hAnsi="Arial"/>
          <w:sz w:val="16"/>
        </w:rPr>
        <w:t>030.01  پزشکی هوانوردی (USAFSAM) برای تحقق یک رویا.</w:t>
      </w:r>
    </w:p>
    <w:p>
      <w:pPr>
        <w:spacing w:after="28" w:line="216" w:lineRule="auto"/>
        <w:ind w:left="259"/>
        <w:jc w:val="left"/>
      </w:pPr>
      <w:r>
        <w:rPr>
          <w:rFonts w:ascii="Arial" w:hAnsi="Arial"/>
          <w:color w:val="525252"/>
          <w:sz w:val="13"/>
        </w:rPr>
        <w:t>of Aviation Medicine (USAFSAM) to fulfill a dream.</w:t>
      </w:r>
    </w:p>
    <w:p>
      <w:pPr>
        <w:spacing w:after="20" w:line="223" w:lineRule="auto"/>
        <w:jc w:val="right"/>
        <w:bidi/>
      </w:pPr>
      <w:r>
        <w:rPr>
          <w:rFonts w:ascii="Arial" w:hAnsi="Arial"/>
          <w:sz w:val="16"/>
        </w:rPr>
        <w:t>030.02  او ایده ساخت بر اساس پیشرفت‌های تکنولوژیکی که USAFSAM در پزشکی هوانوردی از زمان تأسیس خود در سال ۱۹۱۸ ایجاد کرده بود، برای ترویج حوزه جدید تحقیقات علمی آن زمان - پزشکی فضایی - در ذهن داشت.</w:t>
      </w:r>
    </w:p>
    <w:p>
      <w:pPr>
        <w:spacing w:after="28" w:line="216" w:lineRule="auto"/>
        <w:ind w:left="259"/>
        <w:jc w:val="left"/>
      </w:pPr>
      <w:r>
        <w:rPr>
          <w:rFonts w:ascii="Arial" w:hAnsi="Arial"/>
          <w:color w:val="525252"/>
          <w:sz w:val="13"/>
        </w:rPr>
        <w:t>He had conceived the idea of building upon technological advances USAFSAM had made in aviation medicine since its inception in 1918 to promote the then new field of scientific research - space medicine.</w:t>
      </w:r>
    </w:p>
    <w:p>
      <w:pPr>
        <w:spacing w:after="20" w:line="223" w:lineRule="auto"/>
        <w:jc w:val="right"/>
        <w:bidi/>
      </w:pPr>
      <w:r>
        <w:rPr>
          <w:rFonts w:ascii="Arial" w:hAnsi="Arial"/>
          <w:sz w:val="16"/>
        </w:rPr>
        <w:t>030.03  در سال ۱۹۴۹، دکتر آرمسترانگ زمانی که دانشمندان، مهندسان و تکنسین‌های سابق لوفت وافه آلمان را که بسیاری از آنها متخصص در اخترفیزیک و سایر رشته‌های علمی بودند، متقاعد کرد تا هسته اولین مدیکین ایر باسیک در وسافن را تشکیل دهند، دستاوردهای علمی و پزشکی را به حرکت درآورد. (AFB) در سن آنتونیو، تگزاس.</w:t>
      </w:r>
    </w:p>
    <w:p>
      <w:pPr>
        <w:spacing w:after="28" w:line="216" w:lineRule="auto"/>
        <w:ind w:left="259"/>
        <w:jc w:val="left"/>
      </w:pPr>
      <w:r>
        <w:rPr>
          <w:rFonts w:ascii="Arial" w:hAnsi="Arial"/>
          <w:color w:val="525252"/>
          <w:sz w:val="13"/>
        </w:rPr>
        <w:t>In 1949, Dr. Armstrong set in motion a juggernaut of scientific and medical achievement when he persuaded former German Luftwaffe scientists, engineers, and technicians, many of them experts in astrophysics and other scientific disciplines, to form the nucleus of the world’s first Department of Space Medicine at the USAFSAM at Randolph Air Force Base (AFB) in San Antonio, Texas.</w:t>
      </w:r>
    </w:p>
    <w:p>
      <w:pPr>
        <w:spacing w:after="20" w:line="223" w:lineRule="auto"/>
        <w:jc w:val="right"/>
        <w:bidi/>
      </w:pPr>
      <w:r>
        <w:rPr>
          <w:rFonts w:ascii="Arial" w:hAnsi="Arial"/>
          <w:sz w:val="16"/>
        </w:rPr>
        <w:t>030.04  دانشمندان سابق نیروی هوایی آلمان که تحت برنامه دولت ایالات متحده پس از جنگ جهانی دوم "عملیات کاغذی" استخدام شدند، سال‌ها قبل از ایجاد ناسا به‌عنوان اولین آژانس فضایی غیرنظامی جهان در پیشبرد مفهوم سفر فضایی سرنشین دار نقش مهمی داشتند.</w:t>
      </w:r>
    </w:p>
    <w:p>
      <w:pPr>
        <w:spacing w:after="28" w:line="216" w:lineRule="auto"/>
        <w:ind w:left="259"/>
        <w:jc w:val="left"/>
      </w:pPr>
      <w:r>
        <w:rPr>
          <w:rFonts w:ascii="Arial" w:hAnsi="Arial"/>
          <w:color w:val="525252"/>
          <w:sz w:val="13"/>
        </w:rPr>
        <w:t>Recruited under the U.S. government’s post-World War II program “Operation Paper Clip”, the former German Air Force scientists were instrumental in advancing the concept of manned space travel years before NASA was created as the world’s first civilian space agency.</w:t>
      </w:r>
    </w:p>
    <w:p>
      <w:pPr>
        <w:spacing w:after="20" w:line="223" w:lineRule="auto"/>
        <w:jc w:val="right"/>
        <w:bidi/>
      </w:pPr>
      <w:r>
        <w:rPr>
          <w:rFonts w:ascii="Arial" w:hAnsi="Arial"/>
          <w:sz w:val="16"/>
        </w:rPr>
        <w:t>030.05  دو نفر از آنها، برادران هری آرمسترانگ، هاینز و فریتز هابر، اولین شبیه ساز کابین فضایی جهان را ایده و طراحی کردند.</w:t>
      </w:r>
    </w:p>
    <w:p>
      <w:pPr>
        <w:spacing w:after="28" w:line="216" w:lineRule="auto"/>
        <w:ind w:left="259"/>
        <w:jc w:val="left"/>
      </w:pPr>
      <w:r>
        <w:rPr>
          <w:rFonts w:ascii="Arial" w:hAnsi="Arial"/>
          <w:color w:val="525252"/>
          <w:sz w:val="13"/>
        </w:rPr>
        <w:t>Two of them, Harry Armstrong brothers Heinz and Fritz Haber, conceived and designed the world’s first space cabin simulator.</w:t>
      </w:r>
    </w:p>
    <w:p>
      <w:pPr>
        <w:spacing w:after="20" w:line="223" w:lineRule="auto"/>
        <w:jc w:val="right"/>
        <w:bidi/>
      </w:pPr>
      <w:r>
        <w:rPr>
          <w:rFonts w:ascii="Arial" w:hAnsi="Arial"/>
          <w:sz w:val="16"/>
        </w:rPr>
        <w:t>030.06  که در سال ۱۹۵۲ ساخته شد، محفظه کم فشار برای آزمایش‌های پیشگامانه برای یافتن زنده‌ترین جو برای مسافران فضایی آینده محصور در یک کابین فضایی، پیشرو کپسول سفینه فضایی استفاده شد.</w:t>
      </w:r>
    </w:p>
    <w:p>
      <w:pPr>
        <w:spacing w:after="28" w:line="216" w:lineRule="auto"/>
        <w:ind w:left="259"/>
        <w:jc w:val="left"/>
      </w:pPr>
      <w:r>
        <w:rPr>
          <w:rFonts w:ascii="Arial" w:hAnsi="Arial"/>
          <w:color w:val="525252"/>
          <w:sz w:val="13"/>
        </w:rPr>
        <w:t>Built in 1952, the low-pressure chamber was used for pioneering experiments to find the most survivable atmosphere for future space travelers confined in a space cabin, forerunner of a spaceship capsule.</w:t>
      </w:r>
    </w:p>
    <w:p>
      <w:pPr>
        <w:spacing w:after="20" w:line="223" w:lineRule="auto"/>
        <w:jc w:val="right"/>
        <w:bidi/>
      </w:pPr>
      <w:r>
        <w:rPr>
          <w:rFonts w:ascii="Arial" w:hAnsi="Arial"/>
          <w:sz w:val="16"/>
        </w:rPr>
        <w:t>030.07  در سال ۱۹۵۵، برادران هابر به دنبال دانش ابتدایی در مورد یکی از ناشناخته‌های آن زمان در سفرهای فضایی - گرانش خرد یا بی وزنی بودند.</w:t>
      </w:r>
    </w:p>
    <w:p>
      <w:pPr>
        <w:spacing w:after="28" w:line="216" w:lineRule="auto"/>
        <w:ind w:left="259"/>
        <w:jc w:val="left"/>
      </w:pPr>
      <w:r>
        <w:rPr>
          <w:rFonts w:ascii="Arial" w:hAnsi="Arial"/>
          <w:color w:val="525252"/>
          <w:sz w:val="13"/>
        </w:rPr>
        <w:t>In 1955, the Haber brothers sought rudimentary knowledge of one of the then unknowns of space travel—microgravity or weightlessness.</w:t>
      </w:r>
    </w:p>
    <w:p>
      <w:pPr>
        <w:spacing w:after="20" w:line="223" w:lineRule="auto"/>
        <w:jc w:val="right"/>
        <w:bidi/>
      </w:pPr>
      <w:r>
        <w:rPr>
          <w:rFonts w:ascii="Arial" w:hAnsi="Arial"/>
          <w:sz w:val="16"/>
        </w:rPr>
        <w:t>030.08  هابرز تجزیه و تحلیل اولیه‌ای از اثرات فیزیولوژیکی تجربه شده توسط خلبانانی که در معرض دوره‌های کوتاه بی وزنی قرار داشتند، انجام دادند.</w:t>
      </w:r>
    </w:p>
    <w:p>
      <w:pPr>
        <w:spacing w:after="28" w:line="216" w:lineRule="auto"/>
        <w:ind w:left="259"/>
        <w:jc w:val="left"/>
      </w:pPr>
      <w:r>
        <w:rPr>
          <w:rFonts w:ascii="Arial" w:hAnsi="Arial"/>
          <w:color w:val="525252"/>
          <w:sz w:val="13"/>
        </w:rPr>
        <w:t>The Habers conducted preliminary analysis of the physiological effects experienced by pilots exposed to short periods of weightlessness.</w:t>
      </w:r>
    </w:p>
    <w:p>
      <w:pPr>
        <w:spacing w:after="20" w:line="223" w:lineRule="auto"/>
        <w:jc w:val="right"/>
        <w:bidi/>
      </w:pPr>
      <w:r>
        <w:rPr>
          <w:rFonts w:ascii="Arial" w:hAnsi="Arial"/>
          <w:sz w:val="16"/>
        </w:rPr>
        <w:t>030.09  آنها داده‌های مهمی در مورد تأثیر ریزگرانش بر انسان از طریق "پروازهای بی وزنی" به دست آوردند. هابرها ایده استفاده از جنگنده‌های نیروی هوایی را برای تولید دوره‌های بی‌وزنی لحظه‌ای در طول مانورهای پروازی مسیر سهموی که توسط جت‌های ف-۱۰۰ سوپر سابر انجام می‌شد، از راندولف AFB انجام می‌دادند.</w:t>
      </w:r>
    </w:p>
    <w:p>
      <w:pPr>
        <w:spacing w:after="28" w:line="216" w:lineRule="auto"/>
        <w:ind w:left="259"/>
        <w:jc w:val="left"/>
      </w:pPr>
      <w:r>
        <w:rPr>
          <w:rFonts w:ascii="Arial" w:hAnsi="Arial"/>
          <w:color w:val="525252"/>
          <w:sz w:val="13"/>
        </w:rPr>
        <w:t>They gleaned important data about microgravity’s impact on humans through “weightlessness flights.” The Habers had conceived the idea of using Air Force fighters to produce momentary periods of weightlessness during parabolic trajectory flight maneuvers executed by F-100 Super Sabre jets flown from Randolph AFB.</w:t>
      </w:r>
    </w:p>
    <w:p>
      <w:pPr>
        <w:spacing w:after="20" w:line="223" w:lineRule="auto"/>
        <w:jc w:val="right"/>
        <w:bidi/>
      </w:pPr>
      <w:r>
        <w:rPr>
          <w:rFonts w:ascii="Arial" w:hAnsi="Arial"/>
          <w:sz w:val="16"/>
        </w:rPr>
        <w:t>030.10  یکی از اولین دستاوردهای USAFSAM در توسعه پزشکی فضایی اندکی پس از آن رخ داد که اتحاد جماهیر شوروی با یک رویداد فضایی نقطه عطف جهان را شوکه کرد - پرتاب به مدار زمین اسپوتنیک ی در ۴ اکتبر ۱۹۵۷.</w:t>
      </w:r>
    </w:p>
    <w:p>
      <w:pPr>
        <w:spacing w:after="28" w:line="216" w:lineRule="auto"/>
        <w:ind w:left="259"/>
        <w:jc w:val="left"/>
      </w:pPr>
      <w:r>
        <w:rPr>
          <w:rFonts w:ascii="Arial" w:hAnsi="Arial"/>
          <w:color w:val="525252"/>
          <w:sz w:val="13"/>
        </w:rPr>
        <w:t>One of USAFSAM’s earliest achievements in space medicine development occurred shortly after the Soviet Union shocked the world with a milestone space event - having launched into Earth orbit Sputnik I on October 4, 1957.</w:t>
      </w:r>
    </w:p>
    <w:p>
      <w:pPr>
        <w:spacing w:after="20" w:line="223" w:lineRule="auto"/>
        <w:jc w:val="right"/>
        <w:bidi/>
      </w:pPr>
      <w:r>
        <w:rPr>
          <w:rFonts w:ascii="Arial" w:hAnsi="Arial"/>
          <w:sz w:val="16"/>
        </w:rPr>
        <w:t>030.11  این رویداد عصر فضا را آغاز کرد و منجر به "مسابقه فضایی" با ایالات متحده شد.</w:t>
      </w:r>
    </w:p>
    <w:p>
      <w:pPr>
        <w:spacing w:after="28" w:line="216" w:lineRule="auto"/>
        <w:ind w:left="259"/>
        <w:jc w:val="left"/>
      </w:pPr>
      <w:r>
        <w:rPr>
          <w:rFonts w:ascii="Arial" w:hAnsi="Arial"/>
          <w:color w:val="525252"/>
          <w:sz w:val="13"/>
        </w:rPr>
        <w:t>The event ushered in the space age and led to ‘the space race’ with the United States.</w:t>
      </w:r>
    </w:p>
    <w:p>
      <w:pPr>
        <w:spacing w:after="20" w:line="223" w:lineRule="auto"/>
        <w:jc w:val="right"/>
        <w:bidi/>
      </w:pPr>
      <w:r>
        <w:rPr>
          <w:rFonts w:ascii="Arial" w:hAnsi="Arial"/>
          <w:sz w:val="16"/>
        </w:rPr>
        <w:t>030.12  با درک تهدید بالقوه امنیت ملی ناشی از شوروی با اسپوتنیک، یک واکنش چشمگیر آمریکا ضروری بود.</w:t>
      </w:r>
    </w:p>
    <w:p>
      <w:pPr>
        <w:spacing w:after="28" w:line="216" w:lineRule="auto"/>
        <w:ind w:left="259"/>
        <w:jc w:val="left"/>
      </w:pPr>
      <w:r>
        <w:rPr>
          <w:rFonts w:ascii="Arial" w:hAnsi="Arial"/>
          <w:color w:val="525252"/>
          <w:sz w:val="13"/>
        </w:rPr>
        <w:t>Sensing the potential national security threat posed by the Soviets with Sputnik, a dramatic American response was required.</w:t>
      </w:r>
    </w:p>
    <w:p>
      <w:pPr>
        <w:spacing w:after="20" w:line="223" w:lineRule="auto"/>
        <w:jc w:val="right"/>
        <w:bidi/>
      </w:pPr>
      <w:r>
        <w:rPr>
          <w:rFonts w:ascii="Arial" w:hAnsi="Arial"/>
          <w:sz w:val="16"/>
        </w:rPr>
        <w:t>030.13  با این حال، با توجه به اینکه برنامه موشکی ICBM ایالات متحده در مراحل ابتدایی خود قرار دارد، و پرتاب موشک آزمایش نشده، ملاحظات قابل قبولی برای نشان دادن موفقیت آمیز در برابر یک "رویداد فضایی" برای مقابله با آنچه شوروی انجام داده بود، نیست، USAFSAM موظف شد یک آزمایش سفر فضایی را بر اساس تحقیقات قبلی به نمایش بگذارد.</w:t>
      </w:r>
    </w:p>
    <w:p>
      <w:pPr>
        <w:spacing w:after="28" w:line="216" w:lineRule="auto"/>
        <w:ind w:left="259"/>
        <w:jc w:val="left"/>
      </w:pPr>
      <w:r>
        <w:rPr>
          <w:rFonts w:ascii="Arial" w:hAnsi="Arial"/>
          <w:color w:val="525252"/>
          <w:sz w:val="13"/>
        </w:rPr>
        <w:t>However, with the U.S. ICBM missile program in its infancy, and untested rocket launches not a viable consideration to successfully demonstrate vis-à-vis a ‘space event’ to counter what the Soviets had done, the USAFSAM was tasked to showcase a space travel experiment based on earlier research.</w:t>
      </w:r>
    </w:p>
    <w:p>
      <w:pPr>
        <w:spacing w:after="20" w:line="223" w:lineRule="auto"/>
        <w:jc w:val="right"/>
        <w:bidi/>
      </w:pPr>
      <w:r>
        <w:rPr>
          <w:rFonts w:ascii="Arial" w:hAnsi="Arial"/>
          <w:sz w:val="16"/>
        </w:rPr>
        <w:t>030.14  دانشمندان USAFSAM با یک ایده جسورانه آمدند - از شبیه‌ساز کابین فضایی برای شبیه‌سازی ارسال یک داوطلب عضو نیروی هوایی به ماه استفاده کنید.</w:t>
      </w:r>
    </w:p>
    <w:p>
      <w:pPr>
        <w:spacing w:after="28" w:line="216" w:lineRule="auto"/>
        <w:ind w:left="259"/>
        <w:jc w:val="left"/>
      </w:pPr>
      <w:r>
        <w:rPr>
          <w:rFonts w:ascii="Arial" w:hAnsi="Arial"/>
          <w:color w:val="525252"/>
          <w:sz w:val="13"/>
        </w:rPr>
        <w:t>USAFSAM scientists came up with a bold idea - use the space cabin simulator to simulate sending an Airman volunteer to the moon.</w:t>
      </w:r>
    </w:p>
    <w:p>
      <w:pPr>
        <w:spacing w:after="20" w:line="223" w:lineRule="auto"/>
        <w:jc w:val="right"/>
        <w:bidi/>
      </w:pPr>
      <w:r>
        <w:rPr>
          <w:rFonts w:ascii="Arial" w:hAnsi="Arial"/>
          <w:sz w:val="16"/>
        </w:rPr>
        <w:t>030.15  برای انجام این سفر، یک انسان برای اولین بار در تاریخ در یک اتاق تحقیقاتی با استفاده از هوای ۱۰۰ درصد قابل بازیافت محبوس می‌شود.</w:t>
      </w:r>
    </w:p>
    <w:p>
      <w:pPr>
        <w:spacing w:after="28" w:line="216" w:lineRule="auto"/>
        <w:ind w:left="259"/>
        <w:jc w:val="left"/>
      </w:pPr>
      <w:r>
        <w:rPr>
          <w:rFonts w:ascii="Arial" w:hAnsi="Arial"/>
          <w:color w:val="525252"/>
          <w:sz w:val="13"/>
        </w:rPr>
        <w:t>To make the journey, a human would be confined for the first time in history within a research chamber using 100 percent recyclable air.</w:t>
      </w:r>
    </w:p>
    <w:p>
      <w:pPr>
        <w:spacing w:after="20" w:line="223" w:lineRule="auto"/>
        <w:jc w:val="right"/>
        <w:bidi/>
      </w:pPr>
      <w:r>
        <w:rPr>
          <w:rFonts w:ascii="Arial" w:hAnsi="Arial"/>
          <w:sz w:val="16"/>
        </w:rPr>
        <w:t>030.16  ا۱ک دونالد فارل، ۲۲ ساله، متخصص حسابداری AFB لاکلند AFB بیش از حد مطمئن و نترس از برانکس، نیویورک، داوطلب شد تا اولین «مسافر فضایی» آمریکا شود. در داخل کشتی دو و نیم تنی، ۲×۳ در AFB فولادی کم فشار ساخته شده است. در فوریه ۱۹۵۸ سفر ماه را در دستگاهی به نام تررللا ی (به لاتین "زمین کوچک") شبیه سازی کرد.</w:t>
      </w:r>
    </w:p>
    <w:p>
      <w:pPr>
        <w:spacing w:after="28" w:line="216" w:lineRule="auto"/>
        <w:ind w:left="259"/>
        <w:jc w:val="left"/>
      </w:pPr>
      <w:r>
        <w:rPr>
          <w:rFonts w:ascii="Arial" w:hAnsi="Arial"/>
          <w:color w:val="525252"/>
          <w:sz w:val="13"/>
        </w:rPr>
        <w:t>A1C Donald Farrell, a 22-year-old overly confident and fearless Lackland AFB accounting specialist from the Bronx, N.Y., volunteered to become America’s first ‘space traveler.’ Sequestered inside the two-and-a- half ton, 2x3 foot steel low pressure chamber at Randolph AFB, Farrell made the seven-day simulated lunar voyage in a device dubbed “Terrella I” (Latin for “Little Earth”) in February 1958.</w:t>
      </w:r>
    </w:p>
    <w:p>
      <w:pPr>
        <w:spacing w:after="20" w:line="223" w:lineRule="auto"/>
        <w:jc w:val="right"/>
        <w:bidi/>
      </w:pPr>
      <w:r>
        <w:rPr>
          <w:rFonts w:ascii="Arial" w:hAnsi="Arial"/>
          <w:sz w:val="16"/>
        </w:rPr>
        <w:t>030.17  رئیس جمهور آینده لیندون جانسون در انتظار استقبال از فارل پس از بازگشت به دونالد فارل زمین بود.</w:t>
      </w:r>
    </w:p>
    <w:p>
      <w:pPr>
        <w:spacing w:after="28" w:line="216" w:lineRule="auto"/>
        <w:ind w:left="259"/>
        <w:jc w:val="left"/>
      </w:pPr>
      <w:r>
        <w:rPr>
          <w:rFonts w:ascii="Arial" w:hAnsi="Arial"/>
          <w:color w:val="525252"/>
          <w:sz w:val="13"/>
        </w:rPr>
        <w:t>Waiting to greet Farrell upon his arrival back to Donald Farrell Earth was future President Lyndon Johnson.</w:t>
      </w:r>
    </w:p>
    <w:p>
      <w:pPr>
        <w:spacing w:after="20" w:line="223" w:lineRule="auto"/>
        <w:jc w:val="right"/>
        <w:bidi/>
      </w:pPr>
      <w:r>
        <w:rPr>
          <w:rFonts w:ascii="Arial" w:hAnsi="Arial"/>
          <w:sz w:val="16"/>
        </w:rPr>
        <w:t>030.18  اکسپدیشن فضایی فارل خبرهای بین‌المللی را برانگیخت و شیفتگی آمریکا به فضا را برانگیخت.</w:t>
      </w:r>
    </w:p>
    <w:p>
      <w:pPr>
        <w:spacing w:after="28" w:line="216" w:lineRule="auto"/>
        <w:ind w:left="259"/>
        <w:jc w:val="left"/>
      </w:pPr>
      <w:r>
        <w:rPr>
          <w:rFonts w:ascii="Arial" w:hAnsi="Arial"/>
          <w:color w:val="525252"/>
          <w:sz w:val="13"/>
        </w:rPr>
        <w:t>The Farrell space expedition made international news and sparked America’s fascination with space.</w:t>
      </w:r>
    </w:p>
    <w:p>
      <w:pPr>
        <w:spacing w:after="20" w:line="223" w:lineRule="auto"/>
        <w:jc w:val="right"/>
        <w:bidi/>
      </w:pPr>
      <w:r>
        <w:rPr>
          <w:rFonts w:ascii="Arial" w:hAnsi="Arial"/>
          <w:sz w:val="16"/>
        </w:rPr>
        <w:t>030.19  حتی راد سرلینگ تهیه‌کننده تلویزیونی را برانگیخت تا قسمتی از "منطقه گرگ و میش" را بر اساس آزمایش نیروی هوایی تولید کند.</w:t>
      </w:r>
    </w:p>
    <w:p>
      <w:pPr>
        <w:spacing w:after="28" w:line="216" w:lineRule="auto"/>
        <w:ind w:left="259"/>
        <w:jc w:val="left"/>
      </w:pPr>
      <w:r>
        <w:rPr>
          <w:rFonts w:ascii="Arial" w:hAnsi="Arial"/>
          <w:color w:val="525252"/>
          <w:sz w:val="13"/>
        </w:rPr>
        <w:t>It even inspired TV producer Rod Serling to produce a “Twilight Zone” episode based upon the Air Force experiment.</w:t>
      </w:r>
    </w:p>
    <w:p>
      <w:pPr>
        <w:spacing w:after="20" w:line="223" w:lineRule="auto"/>
        <w:jc w:val="right"/>
        <w:bidi/>
      </w:pPr>
      <w:r>
        <w:rPr>
          <w:rFonts w:ascii="Arial" w:hAnsi="Arial"/>
          <w:sz w:val="16"/>
        </w:rPr>
        <w:t>030.20  مهم‌تر از آن برای نیروی فضایی نیروی هوایی که دکتر آرمسترانگ افتتاح کرده بود، USAFSAM به شریک مهم ناسا تبدیل شد، ناسا که تنها پنج ماه پس از ماجراجویی فارل در ماه ایجاد شد.</w:t>
      </w:r>
    </w:p>
    <w:p>
      <w:pPr>
        <w:spacing w:after="28" w:line="216" w:lineRule="auto"/>
        <w:ind w:left="259"/>
        <w:jc w:val="left"/>
      </w:pPr>
      <w:r>
        <w:rPr>
          <w:rFonts w:ascii="Arial" w:hAnsi="Arial"/>
          <w:color w:val="525252"/>
          <w:sz w:val="13"/>
        </w:rPr>
        <w:t>More important to the Air Force space force that Dr. Armstrong had inaugurated, USAFSAM became an important partner with NASA, the latter having been created only five months after Farrell’s lunar adventure.</w:t>
      </w:r>
    </w:p>
    <w:p>
      <w:pPr>
        <w:spacing w:after="20" w:line="223" w:lineRule="auto"/>
        <w:jc w:val="right"/>
        <w:bidi/>
      </w:pPr>
      <w:r>
        <w:rPr>
          <w:rFonts w:ascii="Arial" w:hAnsi="Arial"/>
          <w:sz w:val="16"/>
        </w:rPr>
        <w:t>030.21  برای ۳۰ سال آینده ناسا قرارداد گرفت</w:t>
      </w:r>
    </w:p>
    <w:p>
      <w:pPr>
        <w:spacing w:after="28" w:line="216" w:lineRule="auto"/>
        <w:ind w:left="259"/>
        <w:jc w:val="left"/>
      </w:pPr>
      <w:r>
        <w:rPr>
          <w:rFonts w:ascii="Arial" w:hAnsi="Arial"/>
          <w:color w:val="525252"/>
          <w:sz w:val="13"/>
        </w:rPr>
        <w:t>For the next 30 years NASA contracted</w:t>
      </w:r>
    </w:p>
    <w:p>
      <w:r>
        <w:br w:type="page"/>
      </w:r>
    </w:p>
    <w:p>
      <w:pPr>
        <w:spacing w:after="60"/>
        <w:jc w:val="right"/>
        <w:bidi/>
      </w:pPr>
      <w:r>
        <w:rPr>
          <w:rFonts w:ascii="Arial" w:hAnsi="Arial"/>
          <w:b/>
          <w:color w:val="1F4D78"/>
          <w:sz w:val="19"/>
        </w:rPr>
        <w:t>هفتهٔ 31  |  صفحهٔ منبع: 47</w:t>
      </w:r>
    </w:p>
    <w:p>
      <w:pPr>
        <w:spacing w:after="20" w:line="223" w:lineRule="auto"/>
        <w:jc w:val="right"/>
        <w:bidi/>
      </w:pPr>
      <w:r>
        <w:rPr>
          <w:rFonts w:ascii="Arial" w:hAnsi="Arial"/>
          <w:sz w:val="16"/>
        </w:rPr>
        <w:t>031.01  با نیروی هوایی برای حمایت از برنامه پرواز فضایی سرنشین دار خود، که با شش فرود ماه (۱۹۶۹-۱۹۷۲) به اوج رسید.</w:t>
      </w:r>
    </w:p>
    <w:p>
      <w:pPr>
        <w:spacing w:after="28" w:line="216" w:lineRule="auto"/>
        <w:ind w:left="259"/>
        <w:jc w:val="left"/>
      </w:pPr>
      <w:r>
        <w:rPr>
          <w:rFonts w:ascii="Arial" w:hAnsi="Arial"/>
          <w:color w:val="525252"/>
          <w:sz w:val="13"/>
        </w:rPr>
        <w:t>with the Air Force to support its manned space flight program, culminating with the six moon landings (1969-1972).</w:t>
      </w:r>
    </w:p>
    <w:p>
      <w:pPr>
        <w:spacing w:after="20" w:line="223" w:lineRule="auto"/>
        <w:jc w:val="right"/>
        <w:bidi/>
      </w:pPr>
      <w:r>
        <w:rPr>
          <w:rFonts w:ascii="Arial" w:hAnsi="Arial"/>
          <w:sz w:val="16"/>
        </w:rPr>
        <w:t>031.02  دپارتمان پزشکی فضایی USAFSAM به مرکز حمایت از پروژه مرکوری ناسا تبدیل شد، یک برنامه نیروی هوایی که مدت کوتاهی پس از آغاز به کار توسط آژانس فضایی تخصیص یافته بود. موفقیت پروژه مرکوری و برنامه‌های بعدی جمینی و آپولو ناسا بدون آزمایشات تحقیقاتی USAFSAM که در راندولف AFB و بعدا در بروکس AFB در سن آنتونیو انجام شد، به‌طور کامل محقق نمی‌شد.</w:t>
      </w:r>
    </w:p>
    <w:p>
      <w:pPr>
        <w:spacing w:after="28" w:line="216" w:lineRule="auto"/>
        <w:ind w:left="259"/>
        <w:jc w:val="left"/>
      </w:pPr>
      <w:r>
        <w:rPr>
          <w:rFonts w:ascii="Arial" w:hAnsi="Arial"/>
          <w:color w:val="525252"/>
          <w:sz w:val="13"/>
        </w:rPr>
        <w:t>USAFSAM’s Department of Space Medicine became a hub of support to NASA’s Project Mercury, an Air Force program that had been appropriated by the space agency shortly after the latter’s inception.</w:t>
      </w:r>
    </w:p>
    <w:p>
      <w:pPr>
        <w:spacing w:after="20" w:line="223" w:lineRule="auto"/>
        <w:jc w:val="right"/>
        <w:bidi/>
      </w:pPr>
      <w:r>
        <w:rPr>
          <w:rFonts w:ascii="Arial" w:hAnsi="Arial"/>
          <w:sz w:val="16"/>
        </w:rPr>
        <w:t>031.03  موفقیت پروژه مرکوری و برنامه‌های جمینی و آپولو متعاقب ناسا، بدون آزمایش‌های تحقیقاتی USAFSAM که در راندولف AFB و بعدا در بروکس AFB در سن آنتونیو انجام شد، به‌طور کامل محقق نمی‌شد.</w:t>
      </w:r>
    </w:p>
    <w:p>
      <w:pPr>
        <w:spacing w:after="28" w:line="216" w:lineRule="auto"/>
        <w:ind w:left="259"/>
        <w:jc w:val="left"/>
      </w:pPr>
      <w:r>
        <w:rPr>
          <w:rFonts w:ascii="Arial" w:hAnsi="Arial"/>
          <w:color w:val="525252"/>
          <w:sz w:val="13"/>
        </w:rPr>
        <w:t>Project Mercury’s success, and NASA’s subsequent Gemini and Apollo programs, would not have been fully achieved without USAFSAM research experiments conducted at Randolph AFB and later at Brooks AFB in San Antonio.</w:t>
      </w:r>
    </w:p>
    <w:p>
      <w:pPr>
        <w:spacing w:after="20" w:line="223" w:lineRule="auto"/>
        <w:jc w:val="right"/>
        <w:bidi/>
      </w:pPr>
      <w:r>
        <w:rPr>
          <w:rFonts w:ascii="Arial" w:hAnsi="Arial"/>
          <w:sz w:val="16"/>
        </w:rPr>
        <w:t>031.04  ناسا برای آزمایش و مطالعه اثرات فیزیولوژیکی سفر فضایی بر روی نخستی‌ها قبل از پرتاب فضانوردان آمریکایی به مدار، به دانشمندان نیروی هوایی متکی بود.</w:t>
      </w:r>
    </w:p>
    <w:p>
      <w:pPr>
        <w:spacing w:after="28" w:line="216" w:lineRule="auto"/>
        <w:ind w:left="259"/>
        <w:jc w:val="left"/>
      </w:pPr>
      <w:r>
        <w:rPr>
          <w:rFonts w:ascii="Arial" w:hAnsi="Arial"/>
          <w:color w:val="525252"/>
          <w:sz w:val="13"/>
        </w:rPr>
        <w:t>NASA relied on Air Force scientists to test and study the physiological effects of space travel on primates before American astronauts could be launched into orbit.</w:t>
      </w:r>
    </w:p>
    <w:p>
      <w:pPr>
        <w:spacing w:after="20" w:line="223" w:lineRule="auto"/>
        <w:jc w:val="right"/>
        <w:bidi/>
      </w:pPr>
      <w:r>
        <w:rPr>
          <w:rFonts w:ascii="Arial" w:hAnsi="Arial"/>
          <w:sz w:val="16"/>
        </w:rPr>
        <w:t>031.05  سه ناشناخته سفر فضایی باید مورد بررسی قرار می‌گرفت: شتاب، ریزگرانش، و تابش.</w:t>
      </w:r>
    </w:p>
    <w:p>
      <w:pPr>
        <w:spacing w:after="28" w:line="216" w:lineRule="auto"/>
        <w:ind w:left="259"/>
        <w:jc w:val="left"/>
      </w:pPr>
      <w:r>
        <w:rPr>
          <w:rFonts w:ascii="Arial" w:hAnsi="Arial"/>
          <w:color w:val="525252"/>
          <w:sz w:val="13"/>
        </w:rPr>
        <w:t>Three unknowns of space travel had to be addressed: acceleration, microgravity, and radiation.</w:t>
      </w:r>
    </w:p>
    <w:p>
      <w:pPr>
        <w:spacing w:after="20" w:line="223" w:lineRule="auto"/>
        <w:jc w:val="right"/>
        <w:bidi/>
      </w:pPr>
      <w:r>
        <w:rPr>
          <w:rFonts w:ascii="Arial" w:hAnsi="Arial"/>
          <w:sz w:val="16"/>
        </w:rPr>
        <w:t>031.06  هر سه از طریق پروازهای زیرمداری اولین میمون‌های فضایی آمریکا مورد تجزیه و تحلیل قرار گرفتند.</w:t>
      </w:r>
    </w:p>
    <w:p>
      <w:pPr>
        <w:spacing w:after="28" w:line="216" w:lineRule="auto"/>
        <w:ind w:left="259"/>
        <w:jc w:val="left"/>
      </w:pPr>
      <w:r>
        <w:rPr>
          <w:rFonts w:ascii="Arial" w:hAnsi="Arial"/>
          <w:color w:val="525252"/>
          <w:sz w:val="13"/>
        </w:rPr>
        <w:t>All three were analyzed through suborbital flights of America’s first space monkeys.</w:t>
      </w:r>
    </w:p>
    <w:p>
      <w:pPr>
        <w:spacing w:after="20" w:line="223" w:lineRule="auto"/>
        <w:jc w:val="right"/>
        <w:bidi/>
      </w:pPr>
      <w:r>
        <w:rPr>
          <w:rFonts w:ascii="Arial" w:hAnsi="Arial"/>
          <w:sz w:val="16"/>
        </w:rPr>
        <w:t>031.07  در میان اولین نخستی‌هایی که در راندولف AFB آموزش دیدند، دو میمون رزوس به نام‌های دانشکده پزشکی هوانوردی بودند - "سام سپاک" و "میسس سام سپاک". تکنسین‌های نیروهای هوایی از USAFSAM به آموزش میمون‌ها کمک کردند، در حالی که دکتر هانس-گورگ کلاممان و تیمش استخدام‌کننده «وپراتیون پاپر کلیپ» تجهیزات پرواز فضایی مورد نیاز برای پرتاب ایمن نخستی‌ها به پرواز زیر مداری را طراحی و ساختند.</w:t>
      </w:r>
    </w:p>
    <w:p>
      <w:pPr>
        <w:spacing w:after="28" w:line="216" w:lineRule="auto"/>
        <w:ind w:left="259"/>
        <w:jc w:val="left"/>
      </w:pPr>
      <w:r>
        <w:rPr>
          <w:rFonts w:ascii="Arial" w:hAnsi="Arial"/>
          <w:color w:val="525252"/>
          <w:sz w:val="13"/>
        </w:rPr>
        <w:t>Among the first primates trained at Randolph AFB were two rhesus monkeys named after the School of Aviation Medicine - “Sam Space” and “Miss Sam Space.” USAFSAM enlisted Airmen technicians helped train the monkeys, while “Operation Paper Clip” recruit Dr. Hans-Georg Clamman and his team designed and built space flight equipment needed to safely launch primates into suborbital flight.</w:t>
      </w:r>
    </w:p>
    <w:p>
      <w:pPr>
        <w:spacing w:after="20" w:line="223" w:lineRule="auto"/>
        <w:jc w:val="right"/>
        <w:bidi/>
      </w:pPr>
      <w:r>
        <w:rPr>
          <w:rFonts w:ascii="Arial" w:hAnsi="Arial"/>
          <w:sz w:val="16"/>
        </w:rPr>
        <w:t>031.08  آنها یک دستگاه قفس مانند به نام بیوپاکک ایجاد کردند که هدف دوگانه داشت: عملکردهای فیزیولوژیکی پستانداران را زیر نظر داشت در حالی که آن را در مخروط دماغه یک موشک بالستیک محبوس می‌کرد.</w:t>
      </w:r>
    </w:p>
    <w:p>
      <w:pPr>
        <w:spacing w:after="28" w:line="216" w:lineRule="auto"/>
        <w:ind w:left="259"/>
        <w:jc w:val="left"/>
      </w:pPr>
      <w:r>
        <w:rPr>
          <w:rFonts w:ascii="Arial" w:hAnsi="Arial"/>
          <w:color w:val="525252"/>
          <w:sz w:val="13"/>
        </w:rPr>
        <w:t>They created a cage-like device called a biopack that served a dual purpose: it monitored the primate’s physiological functions while confining it inside the nose cone of a ballistic missile.</w:t>
      </w:r>
    </w:p>
    <w:p>
      <w:pPr>
        <w:spacing w:after="20" w:line="223" w:lineRule="auto"/>
        <w:jc w:val="right"/>
        <w:bidi/>
      </w:pPr>
      <w:r>
        <w:rPr>
          <w:rFonts w:ascii="Arial" w:hAnsi="Arial"/>
          <w:sz w:val="16"/>
        </w:rPr>
        <w:t>031.09  در سال ۱۹۵۹، کمتر از یک سال پس از سفر شبیه‌سازی شده فارل به ماه، اولین میمون فضایی آموزش‌دیده و مجهز USAFSAM با موشک «جو کوچک» در فضا سفر کرد.</w:t>
      </w:r>
    </w:p>
    <w:p>
      <w:pPr>
        <w:spacing w:after="28" w:line="216" w:lineRule="auto"/>
        <w:ind w:left="259"/>
        <w:jc w:val="left"/>
      </w:pPr>
      <w:r>
        <w:rPr>
          <w:rFonts w:ascii="Arial" w:hAnsi="Arial"/>
          <w:color w:val="525252"/>
          <w:sz w:val="13"/>
        </w:rPr>
        <w:t>In 1959, less than a year after Farrell’s simulated moon trip, USAFSAM’s first trained and equipped space monkey had traveled in space aboard a ‘Little Joe’ rocket.</w:t>
      </w:r>
    </w:p>
    <w:p>
      <w:pPr>
        <w:spacing w:after="20" w:line="223" w:lineRule="auto"/>
        <w:jc w:val="right"/>
        <w:bidi/>
      </w:pPr>
      <w:r>
        <w:rPr>
          <w:rFonts w:ascii="Arial" w:hAnsi="Arial"/>
          <w:sz w:val="16"/>
        </w:rPr>
        <w:t>031.10  نیروی فضایی نیروی هوایی که در راندولف AFB آغاز شد، در نهایت در سال ۱۹۵۹ به بروکس AFB منتقل شد.</w:t>
      </w:r>
    </w:p>
    <w:p>
      <w:pPr>
        <w:spacing w:after="28" w:line="216" w:lineRule="auto"/>
        <w:ind w:left="259"/>
        <w:jc w:val="left"/>
      </w:pPr>
      <w:r>
        <w:rPr>
          <w:rFonts w:ascii="Arial" w:hAnsi="Arial"/>
          <w:color w:val="525252"/>
          <w:sz w:val="13"/>
        </w:rPr>
        <w:t>The Air Force space force that began at Randolph AFB eventually moved to Brooks AFB in 1959.</w:t>
      </w:r>
    </w:p>
    <w:p>
      <w:pPr>
        <w:spacing w:after="20" w:line="223" w:lineRule="auto"/>
        <w:jc w:val="right"/>
        <w:bidi/>
      </w:pPr>
      <w:r>
        <w:rPr>
          <w:rFonts w:ascii="Arial" w:hAnsi="Arial"/>
          <w:sz w:val="16"/>
        </w:rPr>
        <w:t>031.11  کار اساسی پزشکی فضایی نیروی هوایی که در بروکس AFB پیشرفت کرد، منجر به شناسایی کاخ سفید شد.</w:t>
      </w:r>
    </w:p>
    <w:p>
      <w:pPr>
        <w:spacing w:after="28" w:line="216" w:lineRule="auto"/>
        <w:ind w:left="259"/>
        <w:jc w:val="left"/>
      </w:pPr>
      <w:r>
        <w:rPr>
          <w:rFonts w:ascii="Arial" w:hAnsi="Arial"/>
          <w:color w:val="525252"/>
          <w:sz w:val="13"/>
        </w:rPr>
        <w:t>The foundational Air Force space medicine work that progressed at Brooks AFB led to White House recognition.</w:t>
      </w:r>
    </w:p>
    <w:p>
      <w:pPr>
        <w:spacing w:after="20" w:line="223" w:lineRule="auto"/>
        <w:jc w:val="right"/>
        <w:bidi/>
      </w:pPr>
      <w:r>
        <w:rPr>
          <w:rFonts w:ascii="Arial" w:hAnsi="Arial"/>
          <w:sz w:val="16"/>
        </w:rPr>
        <w:t>031.12  طی بازدید خود از بروکس AFB در ۲۱ نوامبر ۱۹۶۳، رئیس جمهور جان اف کندی سخنرانی معروف خود را با عنوان "کلاه بر روی دیوار" در مورد اکتشافات فضایی ایراد کرد.</w:t>
      </w:r>
    </w:p>
    <w:p>
      <w:pPr>
        <w:spacing w:after="28" w:line="216" w:lineRule="auto"/>
        <w:ind w:left="259"/>
        <w:jc w:val="left"/>
      </w:pPr>
      <w:r>
        <w:rPr>
          <w:rFonts w:ascii="Arial" w:hAnsi="Arial"/>
          <w:color w:val="525252"/>
          <w:sz w:val="13"/>
        </w:rPr>
        <w:t>During his visit to Brooks AFB on November 21, 1963, President John F. Kennedy delivered his famous “cap over the wall” speech on space exploration.</w:t>
      </w:r>
    </w:p>
    <w:p>
      <w:pPr>
        <w:spacing w:after="20" w:line="223" w:lineRule="auto"/>
        <w:jc w:val="right"/>
        <w:bidi/>
      </w:pPr>
      <w:r>
        <w:rPr>
          <w:rFonts w:ascii="Arial" w:hAnsi="Arial"/>
          <w:sz w:val="16"/>
        </w:rPr>
        <w:t>031.13  او کمک‌های تحقیقات پزشکی فضایی نیروی هوایی را که نقش مهمی در توسعه برنامه پرواز فضایی سرنشین دار ناسا ایفا کرد، عنوان کرد.</w:t>
      </w:r>
    </w:p>
    <w:p>
      <w:pPr>
        <w:spacing w:after="28" w:line="216" w:lineRule="auto"/>
        <w:ind w:left="259"/>
        <w:jc w:val="left"/>
      </w:pPr>
      <w:r>
        <w:rPr>
          <w:rFonts w:ascii="Arial" w:hAnsi="Arial"/>
          <w:color w:val="525252"/>
          <w:sz w:val="13"/>
        </w:rPr>
        <w:t>He credited the contributions of Air Force space medicine research that played an integral role in the development of NASA’s manned space flight program.</w:t>
      </w:r>
    </w:p>
    <w:p>
      <w:pPr>
        <w:spacing w:after="20" w:line="223" w:lineRule="auto"/>
        <w:jc w:val="right"/>
        <w:bidi/>
      </w:pPr>
      <w:r>
        <w:rPr>
          <w:rFonts w:ascii="Arial" w:hAnsi="Arial"/>
          <w:sz w:val="16"/>
        </w:rPr>
        <w:t>031.14  میراث USAFSAM به‌عنوان نیروی فضایی افتتاحیه نیروی هوایی توسط نیروی فضایی جدید ایالات متحده به رسمیت شناخته شد.</w:t>
      </w:r>
    </w:p>
    <w:p>
      <w:pPr>
        <w:spacing w:after="28" w:line="216" w:lineRule="auto"/>
        <w:ind w:left="259"/>
        <w:jc w:val="left"/>
      </w:pPr>
      <w:r>
        <w:rPr>
          <w:rFonts w:ascii="Arial" w:hAnsi="Arial"/>
          <w:color w:val="525252"/>
          <w:sz w:val="13"/>
        </w:rPr>
        <w:t>USAFSAM’s legacy as the Air Force’s inaugural space force was recognized by the new U.S. Space Force.</w:t>
      </w:r>
    </w:p>
    <w:p>
      <w:pPr>
        <w:spacing w:after="20" w:line="223" w:lineRule="auto"/>
        <w:jc w:val="right"/>
        <w:bidi/>
      </w:pPr>
      <w:r>
        <w:rPr>
          <w:rFonts w:ascii="Arial" w:hAnsi="Arial"/>
          <w:sz w:val="16"/>
        </w:rPr>
        <w:t>031.15  در نوامبر ۲۰۲۰، اولین گروهبان ارشد نیروی فضایی (CMSSF)، CMSSF راجر تاوبرمن، از ساختمان ۶۶۱ راندولف AFB، جایی که اولین دپارتمان پزشکی فضایی جهان در آن مستقر بود، بازدید کرد.</w:t>
      </w:r>
    </w:p>
    <w:p>
      <w:pPr>
        <w:spacing w:after="28" w:line="216" w:lineRule="auto"/>
        <w:ind w:left="259"/>
        <w:jc w:val="left"/>
      </w:pPr>
      <w:r>
        <w:rPr>
          <w:rFonts w:ascii="Arial" w:hAnsi="Arial"/>
          <w:color w:val="525252"/>
          <w:sz w:val="13"/>
        </w:rPr>
        <w:t>In November 2020, U.S. Space Force’s first Chief Master Sergeant of the Space Force (CMSSF), CMSSF Roger Towberman, visited the Randolph AFB building 661 where the world’s first Department of Space Medicine had been headquartered.</w:t>
      </w:r>
    </w:p>
    <w:p>
      <w:pPr>
        <w:spacing w:after="20" w:line="223" w:lineRule="auto"/>
        <w:jc w:val="right"/>
        <w:bidi/>
      </w:pPr>
      <w:r>
        <w:rPr>
          <w:rFonts w:ascii="Arial" w:hAnsi="Arial"/>
          <w:sz w:val="16"/>
        </w:rPr>
        <w:t>031.16  او کنجکاو بود تا خودش ببیند که یک عضو نیروی هوایی در سفری به ماه، هفت روز را در فضای شبیه‌سازی‌شده گذرانده است، و در کجا دو میمون در حالی که لباس‌های فضایی طراحی شده ویژه‌ای که از رویه میز اتو یک دانشمند USAFSAM ساخته شده بودند، در حالی که برای موفقیت لباس می‌پوشیدند، حفر می‌کردند.</w:t>
      </w:r>
    </w:p>
    <w:p>
      <w:pPr>
        <w:spacing w:after="28" w:line="216" w:lineRule="auto"/>
        <w:ind w:left="259"/>
        <w:jc w:val="left"/>
      </w:pPr>
      <w:r>
        <w:rPr>
          <w:rFonts w:ascii="Arial" w:hAnsi="Arial"/>
          <w:color w:val="525252"/>
          <w:sz w:val="13"/>
        </w:rPr>
        <w:t>He was curious to see for himself where an Airman spent seven days in simulated space on a trip to the moon, and where two monkeys cavorted while dressed for success in specially designed space suits made from a USAFSAM scientist’s ironing board cover.</w:t>
      </w:r>
    </w:p>
    <w:p>
      <w:pPr>
        <w:spacing w:after="20" w:line="223" w:lineRule="auto"/>
        <w:jc w:val="right"/>
        <w:bidi/>
      </w:pPr>
      <w:r>
        <w:rPr>
          <w:rFonts w:ascii="Arial" w:hAnsi="Arial"/>
          <w:sz w:val="16"/>
        </w:rPr>
        <w:t>031.17  منطقه اتاق تحقیقات راجر تاوبرمن</w:t>
      </w:r>
    </w:p>
    <w:p>
      <w:pPr>
        <w:spacing w:after="28" w:line="216" w:lineRule="auto"/>
        <w:ind w:left="259"/>
        <w:jc w:val="left"/>
      </w:pPr>
      <w:r>
        <w:rPr>
          <w:rFonts w:ascii="Arial" w:hAnsi="Arial"/>
          <w:color w:val="525252"/>
          <w:sz w:val="13"/>
        </w:rPr>
        <w:t>Roger Towberman Research Chamber Area</w:t>
      </w:r>
    </w:p>
    <w:p>
      <w:r>
        <w:br w:type="page"/>
      </w:r>
    </w:p>
    <w:p>
      <w:pPr>
        <w:spacing w:after="60"/>
        <w:jc w:val="right"/>
        <w:bidi/>
      </w:pPr>
      <w:r>
        <w:rPr>
          <w:rFonts w:ascii="Arial" w:hAnsi="Arial"/>
          <w:b/>
          <w:color w:val="1F4D78"/>
          <w:sz w:val="19"/>
        </w:rPr>
        <w:t>هفتهٔ 32  |  صفحهٔ منبع: 48</w:t>
      </w:r>
    </w:p>
    <w:p>
      <w:pPr>
        <w:spacing w:before="60" w:after="28"/>
        <w:jc w:val="right"/>
        <w:bidi/>
      </w:pPr>
      <w:r>
        <w:rPr>
          <w:b/>
          <w:color w:val="1F4D78"/>
          <w:sz w:val="18"/>
        </w:rPr>
        <w:t>فصل 3</w:t>
      </w:r>
    </w:p>
    <w:p>
      <w:pPr>
        <w:spacing w:after="20"/>
        <w:ind w:left="259"/>
        <w:jc w:val="left"/>
      </w:pPr>
      <w:r>
        <w:rPr>
          <w:color w:val="555555"/>
          <w:sz w:val="12"/>
        </w:rPr>
        <w:t>Chapter 3</w:t>
      </w:r>
    </w:p>
    <w:p>
      <w:pPr>
        <w:spacing w:before="60" w:after="28"/>
        <w:jc w:val="right"/>
        <w:bidi/>
      </w:pPr>
      <w:r>
        <w:rPr>
          <w:b/>
          <w:color w:val="1F4D78"/>
          <w:sz w:val="18"/>
        </w:rPr>
        <w:t>USAF Heritage</w:t>
      </w:r>
    </w:p>
    <w:p>
      <w:pPr>
        <w:spacing w:after="20"/>
        <w:ind w:left="259"/>
        <w:jc w:val="left"/>
      </w:pPr>
      <w:r>
        <w:rPr>
          <w:color w:val="555555"/>
          <w:sz w:val="12"/>
        </w:rPr>
        <w:t>USAF HERITAGE</w:t>
      </w:r>
    </w:p>
    <w:p>
      <w:pPr>
        <w:spacing w:before="60" w:after="28"/>
        <w:jc w:val="right"/>
        <w:bidi/>
      </w:pPr>
      <w:r>
        <w:rPr>
          <w:b/>
          <w:color w:val="1F4D78"/>
          <w:sz w:val="18"/>
        </w:rPr>
        <w:t>بخش 3A - USAF و اواسط دهه 1900</w:t>
      </w:r>
    </w:p>
    <w:p>
      <w:pPr>
        <w:spacing w:after="20"/>
        <w:ind w:left="259"/>
        <w:jc w:val="left"/>
      </w:pPr>
      <w:r>
        <w:rPr>
          <w:color w:val="555555"/>
          <w:sz w:val="12"/>
        </w:rPr>
        <w:t>Section 3A—The USAF and the Mid-1900s</w:t>
      </w:r>
    </w:p>
    <w:p>
      <w:pPr>
        <w:spacing w:before="60" w:after="28"/>
        <w:jc w:val="right"/>
        <w:bidi/>
      </w:pPr>
      <w:r>
        <w:rPr>
          <w:b/>
          <w:color w:val="1F4D78"/>
          <w:sz w:val="18"/>
        </w:rPr>
        <w:t>3.1. USAF (18 سپتامبر 1947 - تاکنون)</w:t>
      </w:r>
    </w:p>
    <w:p>
      <w:pPr>
        <w:spacing w:after="20"/>
        <w:ind w:left="259"/>
        <w:jc w:val="left"/>
      </w:pPr>
      <w:r>
        <w:rPr>
          <w:color w:val="555555"/>
          <w:sz w:val="12"/>
        </w:rPr>
        <w:t>3.1. USAF (18 September 1947 - Present)</w:t>
      </w:r>
    </w:p>
    <w:p>
      <w:pPr>
        <w:spacing w:after="20" w:line="223" w:lineRule="auto"/>
        <w:jc w:val="right"/>
        <w:bidi/>
      </w:pPr>
      <w:r>
        <w:rPr>
          <w:rFonts w:ascii="Arial" w:hAnsi="Arial"/>
          <w:sz w:val="16"/>
        </w:rPr>
        <w:t>032.05  با ادامه رویدادهای زمانی منتهی به USAF امروز و فردا، متوجه می‌شویم که نیروهای هوایی بیش از ۷۰ سال است که موانع را می‌شکند.</w:t>
      </w:r>
    </w:p>
    <w:p>
      <w:pPr>
        <w:spacing w:after="28" w:line="216" w:lineRule="auto"/>
        <w:ind w:left="259"/>
        <w:jc w:val="left"/>
      </w:pPr>
      <w:r>
        <w:rPr>
          <w:rFonts w:ascii="Arial" w:hAnsi="Arial"/>
          <w:color w:val="525252"/>
          <w:sz w:val="13"/>
        </w:rPr>
        <w:t>Continuing the chronological events leading to our USAF of today and tomorrow, we recognize that Airmen have been breaking barriers for over 70 years.</w:t>
      </w:r>
    </w:p>
    <w:p>
      <w:pPr>
        <w:spacing w:after="20" w:line="223" w:lineRule="auto"/>
        <w:jc w:val="right"/>
        <w:bidi/>
      </w:pPr>
      <w:r>
        <w:rPr>
          <w:rFonts w:ascii="Arial" w:hAnsi="Arial"/>
          <w:sz w:val="16"/>
        </w:rPr>
        <w:t>032.06  با پیروزی در جنگ جهانی دوم، در ۲۶ ژوئیه ۱۹۴۷، رئیس جمهور هری اس. ترومن، قانون امنیت ملی ۱۹۴۷ را امضا کرد که بخش جداگانه و مستقلی از نیروی هوایی ایجاد کرد.</w:t>
      </w:r>
    </w:p>
    <w:p>
      <w:pPr>
        <w:spacing w:after="28" w:line="216" w:lineRule="auto"/>
        <w:ind w:left="259"/>
        <w:jc w:val="left"/>
      </w:pPr>
      <w:r>
        <w:rPr>
          <w:rFonts w:ascii="Arial" w:hAnsi="Arial"/>
          <w:color w:val="525252"/>
          <w:sz w:val="13"/>
        </w:rPr>
        <w:t>With victory in World War II, on 26 July 1947 President Harry S. Truman signed into law the National Security Act of 1947, which created a separate and independent Department of the Air Force.</w:t>
      </w:r>
    </w:p>
    <w:p>
      <w:pPr>
        <w:spacing w:after="20" w:line="223" w:lineRule="auto"/>
        <w:jc w:val="right"/>
        <w:bidi/>
      </w:pPr>
      <w:r>
        <w:rPr>
          <w:rFonts w:ascii="Arial" w:hAnsi="Arial"/>
          <w:sz w:val="16"/>
        </w:rPr>
        <w:t>032.07  پس از یک قرن پیشرفت قابل توجه در هوانوردی و پس از ۴۰ سال عملیات تحت ارتش ایالات متحده، در ۱۸ سپتامبر ۱۹۴۷ USAF رسما به‌عنوان یک شاخه مستقل و برابر از ارتش ما تأسیس شد.</w:t>
      </w:r>
    </w:p>
    <w:p>
      <w:pPr>
        <w:spacing w:after="28" w:line="216" w:lineRule="auto"/>
        <w:ind w:left="259"/>
        <w:jc w:val="left"/>
      </w:pPr>
      <w:r>
        <w:rPr>
          <w:rFonts w:ascii="Arial" w:hAnsi="Arial"/>
          <w:color w:val="525252"/>
          <w:sz w:val="13"/>
        </w:rPr>
        <w:t>After a century of significant advancements in aviation and after 40 years of operating under the U.S. Army, on 18 September 1947 the USAF was officially established as an independent, equal branch of our military.</w:t>
      </w:r>
    </w:p>
    <w:p>
      <w:pPr>
        <w:spacing w:after="20" w:line="223" w:lineRule="auto"/>
        <w:jc w:val="right"/>
        <w:bidi/>
      </w:pPr>
      <w:r>
        <w:rPr>
          <w:rFonts w:ascii="Arial" w:hAnsi="Arial"/>
          <w:sz w:val="16"/>
        </w:rPr>
        <w:t>032.08  تحت رهبری اولین رئیس ستاد نیروی هوایی، ژنرال کارل ا. اسپاتز، نیروی هوایی نقش‌ها و مأموریت‌های خود را برای مقابله با چالش‌های جنگ سرد رو به رشد روشن کرد.</w:t>
      </w:r>
    </w:p>
    <w:p>
      <w:pPr>
        <w:spacing w:after="28" w:line="216" w:lineRule="auto"/>
        <w:ind w:left="259"/>
        <w:jc w:val="left"/>
      </w:pPr>
      <w:r>
        <w:rPr>
          <w:rFonts w:ascii="Arial" w:hAnsi="Arial"/>
          <w:color w:val="525252"/>
          <w:sz w:val="13"/>
        </w:rPr>
        <w:t>Under the leadership of the first Chief of Staff of the Air Force, General Carl A. Spaatz, the Air Force clarified roles and missions to meet the challenges of the growing Cold War.</w:t>
      </w:r>
    </w:p>
    <w:p>
      <w:pPr>
        <w:spacing w:after="20" w:line="223" w:lineRule="auto"/>
        <w:jc w:val="right"/>
        <w:bidi/>
      </w:pPr>
      <w:r>
        <w:rPr>
          <w:rFonts w:ascii="Arial" w:hAnsi="Arial"/>
          <w:sz w:val="16"/>
        </w:rPr>
        <w:t>032.09  اولین زن در USAF، استر مک گووین بلیک.</w:t>
      </w:r>
    </w:p>
    <w:p>
      <w:pPr>
        <w:spacing w:after="28" w:line="216" w:lineRule="auto"/>
        <w:ind w:left="259"/>
        <w:jc w:val="left"/>
      </w:pPr>
      <w:r>
        <w:rPr>
          <w:rFonts w:ascii="Arial" w:hAnsi="Arial"/>
          <w:color w:val="525252"/>
          <w:sz w:val="13"/>
        </w:rPr>
        <w:t>First Female in USAF, Esther McGowin Blake.</w:t>
      </w:r>
    </w:p>
    <w:p>
      <w:pPr>
        <w:spacing w:after="20" w:line="223" w:lineRule="auto"/>
        <w:jc w:val="right"/>
        <w:bidi/>
      </w:pPr>
      <w:r>
        <w:rPr>
          <w:rFonts w:ascii="Arial" w:hAnsi="Arial"/>
          <w:sz w:val="16"/>
        </w:rPr>
        <w:t>032.10  در ژوئن ۱۹۴۸، قانون عمومی ۸۰-۶۲۵، قانون ادغام خدمات مسلحانه زنان، ۱۲ ژوئن ۱۹۴۸، به زنان وضعیت دائمی در نیروهای عادی و ذخیره همه شاخه‌های ارتش داد.</w:t>
      </w:r>
    </w:p>
    <w:p>
      <w:pPr>
        <w:spacing w:after="28" w:line="216" w:lineRule="auto"/>
        <w:ind w:left="259"/>
        <w:jc w:val="left"/>
      </w:pPr>
      <w:r>
        <w:rPr>
          <w:rFonts w:ascii="Arial" w:hAnsi="Arial"/>
          <w:color w:val="525252"/>
          <w:sz w:val="13"/>
        </w:rPr>
        <w:t>In June 1948, the Public Law 80-625, Women's Armed Services Integration Act, 12 June 1948, gave women permanent status in the Regular and Reserve Forces of all branches of the military.</w:t>
      </w:r>
    </w:p>
    <w:p>
      <w:pPr>
        <w:spacing w:after="20" w:line="223" w:lineRule="auto"/>
        <w:jc w:val="right"/>
        <w:bidi/>
      </w:pPr>
      <w:r>
        <w:rPr>
          <w:rFonts w:ascii="Arial" w:hAnsi="Arial"/>
          <w:sz w:val="16"/>
        </w:rPr>
        <w:t>032.11  در ۸ ژوئیه ۱۹۴۸، استر مک گووین بلیک اولین زن در USAF شد و اولین دقیقه از اولین ساعت از اولین روزی که وظیفه USAF مجاز شد را به خدمت گرفت.</w:t>
      </w:r>
    </w:p>
    <w:p>
      <w:pPr>
        <w:spacing w:after="28" w:line="216" w:lineRule="auto"/>
        <w:ind w:left="259"/>
        <w:jc w:val="left"/>
      </w:pPr>
      <w:r>
        <w:rPr>
          <w:rFonts w:ascii="Arial" w:hAnsi="Arial"/>
          <w:color w:val="525252"/>
          <w:sz w:val="13"/>
        </w:rPr>
        <w:t>On 8 July 1948, Esther McGowin Blake became the first woman in the USAF, enlisting the first minute of the first hour of the first day that USAF duty was authorized.</w:t>
      </w:r>
    </w:p>
    <w:p>
      <w:pPr>
        <w:spacing w:after="20" w:line="223" w:lineRule="auto"/>
        <w:jc w:val="right"/>
        <w:bidi/>
      </w:pPr>
      <w:r>
        <w:rPr>
          <w:rFonts w:ascii="Arial" w:hAnsi="Arial"/>
          <w:sz w:val="16"/>
        </w:rPr>
        <w:t>032.12  اگرچه اولین تجربه او با ارتش نبود، اما نیروی محرکه او برای خدمت آزاد کردن یک سرباز از کار اداری برای جنگ بود، با این امید که جنگ زودتر به پایان برسد.</w:t>
      </w:r>
    </w:p>
    <w:p>
      <w:pPr>
        <w:spacing w:after="28" w:line="216" w:lineRule="auto"/>
        <w:ind w:left="259"/>
        <w:jc w:val="left"/>
      </w:pPr>
      <w:r>
        <w:rPr>
          <w:rFonts w:ascii="Arial" w:hAnsi="Arial"/>
          <w:color w:val="525252"/>
          <w:sz w:val="13"/>
        </w:rPr>
        <w:t>Although it was not her first experience with the military, her driving force for serving was to free a soldier from clerical work to fight, with the hopes of ending the war sooner.</w:t>
      </w:r>
    </w:p>
    <w:p>
      <w:pPr>
        <w:spacing w:after="20" w:line="223" w:lineRule="auto"/>
        <w:jc w:val="right"/>
        <w:bidi/>
      </w:pPr>
      <w:r>
        <w:rPr>
          <w:rFonts w:ascii="Arial" w:hAnsi="Arial"/>
          <w:sz w:val="16"/>
        </w:rPr>
        <w:t>032.13  ستر مکگووین بلاک ۳.۲. محاصره برلین و عملیات ویتتلس در ۲۴ ژوئن ۱۹۴۸، اتحاد جماهیر شوروی مسیرهای سطحی بین برلین و مناطق اشغالی غربی در آلمان را مسدود کرد و از ترتیباتی که تحت آن ایالات متحده، بریتانیا، و فرانسه آلمان را اشغال کرده بودند، استفاده کرد.</w:t>
      </w:r>
    </w:p>
    <w:p>
      <w:pPr>
        <w:spacing w:after="28" w:line="216" w:lineRule="auto"/>
        <w:ind w:left="259"/>
        <w:jc w:val="left"/>
      </w:pPr>
      <w:r>
        <w:rPr>
          <w:rFonts w:ascii="Arial" w:hAnsi="Arial"/>
          <w:color w:val="525252"/>
          <w:sz w:val="13"/>
        </w:rPr>
        <w:t>Ester McGowin Blake 3.2.The Berlin Blockade and Operation Vittles On 24 June 1948, the Soviet Union blockaded surface routes between Berlin and the Western occupation zones in Germany, exploiting the arrangements under which the United States, Great Britain, and France had occupied Germany.</w:t>
      </w:r>
    </w:p>
    <w:p>
      <w:pPr>
        <w:spacing w:after="20" w:line="223" w:lineRule="auto"/>
        <w:jc w:val="right"/>
        <w:bidi/>
      </w:pPr>
      <w:r>
        <w:rPr>
          <w:rFonts w:ascii="Arial" w:hAnsi="Arial"/>
          <w:sz w:val="16"/>
        </w:rPr>
        <w:t>032.14  شوروی راه‌آهن و راهروهای جاده‌ای را برای ۲.۵ میلیون ساکن برلین غربی، واقع در اعماق آلمان شرقی کمونیست، مسدود کرد.</w:t>
      </w:r>
    </w:p>
    <w:p>
      <w:pPr>
        <w:spacing w:after="28" w:line="216" w:lineRule="auto"/>
        <w:ind w:left="259"/>
        <w:jc w:val="left"/>
      </w:pPr>
      <w:r>
        <w:rPr>
          <w:rFonts w:ascii="Arial" w:hAnsi="Arial"/>
          <w:color w:val="525252"/>
          <w:sz w:val="13"/>
        </w:rPr>
        <w:t>The Soviets blockaded railroad and road corridors to the 2.5 million residents of West Berlin, located deep within Communist East Germany.</w:t>
      </w:r>
    </w:p>
    <w:p>
      <w:pPr>
        <w:spacing w:after="20" w:line="223" w:lineRule="auto"/>
        <w:jc w:val="right"/>
        <w:bidi/>
      </w:pPr>
      <w:r>
        <w:rPr>
          <w:rFonts w:ascii="Arial" w:hAnsi="Arial"/>
          <w:sz w:val="16"/>
        </w:rPr>
        <w:t>032.15  دو روز پس از محاصره اتحاد جماهیر شوروی، متفقین نگران بودند که حمله به محاصره در زمین می‌تواند جنگ جهانی سوم را تسریع کند.</w:t>
      </w:r>
    </w:p>
    <w:p>
      <w:pPr>
        <w:spacing w:after="28" w:line="216" w:lineRule="auto"/>
        <w:ind w:left="259"/>
        <w:jc w:val="left"/>
      </w:pPr>
      <w:r>
        <w:rPr>
          <w:rFonts w:ascii="Arial" w:hAnsi="Arial"/>
          <w:color w:val="525252"/>
          <w:sz w:val="13"/>
        </w:rPr>
        <w:t>Two days after the Soviet Union blockade, the Allies worried that an attack against the blockade on the ground could precipitate World War III.</w:t>
      </w:r>
    </w:p>
    <w:p>
      <w:pPr>
        <w:spacing w:after="20" w:line="223" w:lineRule="auto"/>
        <w:jc w:val="right"/>
        <w:bidi/>
      </w:pPr>
      <w:r>
        <w:rPr>
          <w:rFonts w:ascii="Arial" w:hAnsi="Arial"/>
          <w:sz w:val="16"/>
        </w:rPr>
        <w:t>032.16  در عوض، یک پل هوایی به برلین ساخته شد و به مدت ۱۵ ماه ۲.۵ میلیون نفر از ساکنان بخش‌های غربی برلین توسط نیروی هوایی نگهداری شدند.</w:t>
      </w:r>
    </w:p>
    <w:p>
      <w:pPr>
        <w:spacing w:after="28" w:line="216" w:lineRule="auto"/>
        <w:ind w:left="259"/>
        <w:jc w:val="left"/>
      </w:pPr>
      <w:r>
        <w:rPr>
          <w:rFonts w:ascii="Arial" w:hAnsi="Arial"/>
          <w:color w:val="525252"/>
          <w:sz w:val="13"/>
        </w:rPr>
        <w:t>Instead, an air bridge into Berlin was built, and for 15 months the 2.5 million inhabitants of the Western sectors of Berlin were sustained by airpower.</w:t>
      </w:r>
    </w:p>
    <w:p>
      <w:pPr>
        <w:spacing w:after="20" w:line="223" w:lineRule="auto"/>
        <w:jc w:val="right"/>
        <w:bidi/>
      </w:pPr>
      <w:r>
        <w:rPr>
          <w:rFonts w:ascii="Arial" w:hAnsi="Arial"/>
          <w:sz w:val="16"/>
        </w:rPr>
        <w:t>032.17  هواپیمای برلین، همچنین به‌عنوان عملیات ویتتلس شناخته می‌شود، مقدار زیادی آذوقه، غذا، دارو و زغال سنگ را در هواپیماهای باری ک-۴۷ و ک-۵۴ تحویل داد.</w:t>
      </w:r>
    </w:p>
    <w:p>
      <w:pPr>
        <w:spacing w:after="28" w:line="216" w:lineRule="auto"/>
        <w:ind w:left="259"/>
        <w:jc w:val="left"/>
      </w:pPr>
      <w:r>
        <w:rPr>
          <w:rFonts w:ascii="Arial" w:hAnsi="Arial"/>
          <w:color w:val="525252"/>
          <w:sz w:val="13"/>
        </w:rPr>
        <w:t>The Berlin Airlift, also known as Operation Vittles, delivered an abundance of supplies, food, medicine, and coal on C-47 and C-54 cargo aircraft.</w:t>
      </w:r>
    </w:p>
    <w:p>
      <w:pPr>
        <w:spacing w:after="20" w:line="223" w:lineRule="auto"/>
        <w:jc w:val="right"/>
        <w:bidi/>
      </w:pPr>
      <w:r>
        <w:rPr>
          <w:rFonts w:ascii="Arial" w:hAnsi="Arial"/>
          <w:sz w:val="16"/>
        </w:rPr>
        <w:t>032.18  بیش از ۲.۳ میلیون تن کالا در بیش از ۲۷۷۰۰۰ پرواز تحویل داده شد که معادل یک پرواز در هر سه دقیقه است.</w:t>
      </w:r>
    </w:p>
    <w:p>
      <w:pPr>
        <w:spacing w:after="28" w:line="216" w:lineRule="auto"/>
        <w:ind w:left="259"/>
        <w:jc w:val="left"/>
      </w:pPr>
      <w:r>
        <w:rPr>
          <w:rFonts w:ascii="Arial" w:hAnsi="Arial"/>
          <w:color w:val="525252"/>
          <w:sz w:val="13"/>
        </w:rPr>
        <w:t>More than 2.3 million tons of supplies were delivered on over 277,000 flights, which equated to one flight every three minutes.</w:t>
      </w:r>
    </w:p>
    <w:p>
      <w:pPr>
        <w:spacing w:after="20" w:line="223" w:lineRule="auto"/>
        <w:jc w:val="right"/>
        <w:bidi/>
      </w:pPr>
      <w:r>
        <w:rPr>
          <w:rFonts w:ascii="Arial" w:hAnsi="Arial"/>
          <w:sz w:val="16"/>
        </w:rPr>
        <w:t>032.19  هنگامی که شوروی سرانجام محاصره را لغو کرد، موفقیت این خط هوایی نشان دهنده یکی از پیروزی‌های بزرگ غرب در جنگ سرد بود.</w:t>
      </w:r>
    </w:p>
    <w:p>
      <w:pPr>
        <w:spacing w:after="28" w:line="216" w:lineRule="auto"/>
        <w:ind w:left="259"/>
        <w:jc w:val="left"/>
      </w:pPr>
      <w:r>
        <w:rPr>
          <w:rFonts w:ascii="Arial" w:hAnsi="Arial"/>
          <w:color w:val="525252"/>
          <w:sz w:val="13"/>
        </w:rPr>
        <w:t>When the Soviets finally lifted the blockade, the airlift’s success represented one of the great Western victories of the Cold War.</w:t>
      </w:r>
    </w:p>
    <w:p>
      <w:pPr>
        <w:spacing w:after="20" w:line="223" w:lineRule="auto"/>
        <w:jc w:val="right"/>
        <w:bidi/>
      </w:pPr>
      <w:r>
        <w:rPr>
          <w:rFonts w:ascii="Arial" w:hAnsi="Arial"/>
          <w:sz w:val="16"/>
        </w:rPr>
        <w:t>032.20  اصول تصمیم‌گیری سریع و سازگاری که در حلقه OODA (مشاهده، شرق، تصمیم، عمل) مرکزی هستند (مدل/روش حل عملی حل مسئله ۸ مرحله‌ای DAF) مطمئنا در طی حمل و نقل هوایی برلین نشان داده شد.</w:t>
      </w:r>
    </w:p>
    <w:p>
      <w:pPr>
        <w:spacing w:after="28" w:line="216" w:lineRule="auto"/>
        <w:ind w:left="259"/>
        <w:jc w:val="left"/>
      </w:pPr>
      <w:r>
        <w:rPr>
          <w:rFonts w:ascii="Arial" w:hAnsi="Arial"/>
          <w:color w:val="525252"/>
          <w:sz w:val="13"/>
        </w:rPr>
        <w:t>The principles of rapid decision-making and adaptability that are central to the OODA (Observe, Orient, Decide, Act) loop (DAF 8-step Practical Problem Solving Model/Method) were certainly demonstrated during the Berlin Airlift.</w:t>
      </w:r>
    </w:p>
    <w:p>
      <w:pPr>
        <w:spacing w:after="20" w:line="223" w:lineRule="auto"/>
        <w:jc w:val="right"/>
        <w:bidi/>
      </w:pPr>
      <w:r>
        <w:rPr>
          <w:rFonts w:ascii="Arial" w:hAnsi="Arial"/>
          <w:sz w:val="16"/>
        </w:rPr>
        <w:t>032.21  موفقیت عملیات تا حد زیادی به دلیل توانایی نیروهای متفقین در مشاهده سریع وضعیت، جهت دهی به شرایط متغیر، تصمیم‌گیری در مورد بهترین اقدام و اقدام مؤثر برای حفظ شهر برلین در دوران محاصره شوروی بود.</w:t>
      </w:r>
    </w:p>
    <w:p>
      <w:pPr>
        <w:spacing w:after="28" w:line="216" w:lineRule="auto"/>
        <w:ind w:left="259"/>
        <w:jc w:val="left"/>
      </w:pPr>
      <w:r>
        <w:rPr>
          <w:rFonts w:ascii="Arial" w:hAnsi="Arial"/>
          <w:color w:val="525252"/>
          <w:sz w:val="13"/>
        </w:rPr>
        <w:t>The success of the operation was largely due to the ability of the Allied forces to quickly observe the situation, orient themselves to the changing conditions, decide on the best course of action, and act effectively to sustain the city of Berlin during the Soviet blockade.</w:t>
      </w:r>
    </w:p>
    <w:p>
      <w:pPr>
        <w:spacing w:after="20" w:line="223" w:lineRule="auto"/>
        <w:jc w:val="right"/>
        <w:bidi/>
      </w:pPr>
      <w:r>
        <w:rPr>
          <w:rFonts w:ascii="Arial" w:hAnsi="Arial"/>
          <w:sz w:val="16"/>
        </w:rPr>
        <w:t>032.22  این فرآیند تکراری و پیوسته بود که با تاکید حلقه OODA بر چابکی و پاسخگویی همسو بود.</w:t>
      </w:r>
    </w:p>
    <w:p>
      <w:pPr>
        <w:spacing w:after="28" w:line="216" w:lineRule="auto"/>
        <w:ind w:left="259"/>
        <w:jc w:val="left"/>
      </w:pPr>
      <w:r>
        <w:rPr>
          <w:rFonts w:ascii="Arial" w:hAnsi="Arial"/>
          <w:color w:val="525252"/>
          <w:sz w:val="13"/>
        </w:rPr>
        <w:t>This process was iterative and continuous, which aligns with the OODA loop’s emphasis on agility and responsiveness.</w:t>
      </w:r>
    </w:p>
    <w:p>
      <w:pPr>
        <w:spacing w:after="20" w:line="223" w:lineRule="auto"/>
        <w:jc w:val="right"/>
        <w:bidi/>
      </w:pPr>
      <w:r>
        <w:rPr>
          <w:rFonts w:ascii="Arial" w:hAnsi="Arial"/>
          <w:sz w:val="16"/>
        </w:rPr>
        <w:t>032.23  ایرلیفت برلین مسلما تعیین کننده‌ترین سهم نیروی هوایی در جنگ سرد بود که بدون شک از طریق استفاده غیرخشونت آمیز از نیروی هوایی و خنثی کردن یک رویارویی بالقوه فاجعه آمیز به یک اثر استراتژیک عمیق دست یافت.</w:t>
      </w:r>
    </w:p>
    <w:p>
      <w:pPr>
        <w:spacing w:after="28" w:line="216" w:lineRule="auto"/>
        <w:ind w:left="259"/>
        <w:jc w:val="left"/>
      </w:pPr>
      <w:r>
        <w:rPr>
          <w:rFonts w:ascii="Arial" w:hAnsi="Arial"/>
          <w:color w:val="525252"/>
          <w:sz w:val="13"/>
        </w:rPr>
        <w:t>The Berlin Airlift was arguably airpower’s single-most decisive contribution to the Cold War, unquestionably achieving a profound strategic effect through the nonviolent use of airpower and defusing a potentially disastrous confrontation.</w:t>
      </w:r>
    </w:p>
    <w:p>
      <w:r>
        <w:br w:type="page"/>
      </w:r>
    </w:p>
    <w:p>
      <w:pPr>
        <w:spacing w:after="60"/>
        <w:jc w:val="right"/>
        <w:bidi/>
      </w:pPr>
      <w:r>
        <w:rPr>
          <w:rFonts w:ascii="Arial" w:hAnsi="Arial"/>
          <w:b/>
          <w:color w:val="1F4D78"/>
          <w:sz w:val="19"/>
        </w:rPr>
        <w:t>هفتهٔ 33  |  صفحهٔ منبع: 49</w:t>
      </w:r>
    </w:p>
    <w:p>
      <w:pPr>
        <w:spacing w:before="60" w:after="28"/>
        <w:jc w:val="right"/>
        <w:bidi/>
      </w:pPr>
      <w:r>
        <w:rPr>
          <w:b/>
          <w:color w:val="1F4D78"/>
          <w:sz w:val="18"/>
        </w:rPr>
        <w:t>3.3. جنگ کره</w:t>
      </w:r>
    </w:p>
    <w:p>
      <w:pPr>
        <w:spacing w:after="20"/>
        <w:ind w:left="259"/>
        <w:jc w:val="left"/>
      </w:pPr>
      <w:r>
        <w:rPr>
          <w:color w:val="555555"/>
          <w:sz w:val="12"/>
        </w:rPr>
        <w:t>3.3. The Korean War</w:t>
      </w:r>
    </w:p>
    <w:p>
      <w:pPr>
        <w:spacing w:after="20" w:line="223" w:lineRule="auto"/>
        <w:jc w:val="right"/>
        <w:bidi/>
      </w:pPr>
      <w:r>
        <w:rPr>
          <w:rFonts w:ascii="Arial" w:hAnsi="Arial"/>
          <w:sz w:val="16"/>
        </w:rPr>
        <w:t>033.02  شبه جزیره تقسیم شد.</w:t>
      </w:r>
    </w:p>
    <w:p>
      <w:pPr>
        <w:spacing w:after="28" w:line="216" w:lineRule="auto"/>
        <w:ind w:left="259"/>
        <w:jc w:val="left"/>
      </w:pPr>
      <w:r>
        <w:rPr>
          <w:rFonts w:ascii="Arial" w:hAnsi="Arial"/>
          <w:color w:val="525252"/>
          <w:sz w:val="13"/>
        </w:rPr>
        <w:t>The Peninsula Divided.</w:t>
      </w:r>
    </w:p>
    <w:p>
      <w:pPr>
        <w:spacing w:after="20" w:line="223" w:lineRule="auto"/>
        <w:jc w:val="right"/>
        <w:bidi/>
      </w:pPr>
      <w:r>
        <w:rPr>
          <w:rFonts w:ascii="Arial" w:hAnsi="Arial"/>
          <w:sz w:val="16"/>
        </w:rPr>
        <w:t>033.03  در اوایل دهه ۱۹۰۰، چین منافع سیاسی در شبه جزیره کره داشت، اما در اوایل و اواسط دهه ۱۹۰۰، کره توسط ژاپن اداره می‌شد.</w:t>
      </w:r>
    </w:p>
    <w:p>
      <w:pPr>
        <w:spacing w:after="28" w:line="216" w:lineRule="auto"/>
        <w:ind w:left="259"/>
        <w:jc w:val="left"/>
      </w:pPr>
      <w:r>
        <w:rPr>
          <w:rFonts w:ascii="Arial" w:hAnsi="Arial"/>
          <w:color w:val="525252"/>
          <w:sz w:val="13"/>
        </w:rPr>
        <w:t>In the early 1900s, China had political interests in the Korean Peninsula, but through the early- and mid-1900s, Korea was ruled by Japan.</w:t>
      </w:r>
    </w:p>
    <w:p>
      <w:pPr>
        <w:spacing w:after="20" w:line="223" w:lineRule="auto"/>
        <w:jc w:val="right"/>
        <w:bidi/>
      </w:pPr>
      <w:r>
        <w:rPr>
          <w:rFonts w:ascii="Arial" w:hAnsi="Arial"/>
          <w:sz w:val="16"/>
        </w:rPr>
        <w:t>033.04  پس از پایان جنگ جهانی دوم، شبه جزیره کره اساسا به دو جبهه تقسیم شد: اتحاد جماهیر شوروی کره شمالی (جمهوری دموکراتیک خلق کره) را آزاد کرد و ایالات متحده با کره جنوبی (جمهوری کره) همسو شد.</w:t>
      </w:r>
    </w:p>
    <w:p>
      <w:pPr>
        <w:spacing w:after="28" w:line="216" w:lineRule="auto"/>
        <w:ind w:left="259"/>
        <w:jc w:val="left"/>
      </w:pPr>
      <w:r>
        <w:rPr>
          <w:rFonts w:ascii="Arial" w:hAnsi="Arial"/>
          <w:color w:val="525252"/>
          <w:sz w:val="13"/>
        </w:rPr>
        <w:t>After World War II ended, the Korean Peninsula was essentially divided into two fronts: the Soviet Union liberated North Korea (the Democratic People’s Republic of Korea) and the United States aligned with South Korea (the Republic of Korea).</w:t>
      </w:r>
    </w:p>
    <w:p>
      <w:pPr>
        <w:spacing w:after="20" w:line="223" w:lineRule="auto"/>
        <w:jc w:val="right"/>
        <w:bidi/>
      </w:pPr>
      <w:r>
        <w:rPr>
          <w:rFonts w:ascii="Arial" w:hAnsi="Arial"/>
          <w:sz w:val="16"/>
        </w:rPr>
        <w:t>033.05  که در موازی ۳۸ از هم جدا شدند، دولت‌های کره شمالی و جنوبی به توافقی با شرایط جدایی رضایت ندادند.</w:t>
      </w:r>
    </w:p>
    <w:p>
      <w:pPr>
        <w:spacing w:after="28" w:line="216" w:lineRule="auto"/>
        <w:ind w:left="259"/>
        <w:jc w:val="left"/>
      </w:pPr>
      <w:r>
        <w:rPr>
          <w:rFonts w:ascii="Arial" w:hAnsi="Arial"/>
          <w:color w:val="525252"/>
          <w:sz w:val="13"/>
        </w:rPr>
        <w:t>Separated at the 38th parallel, the North and South Korean governments did not settle on an agreement to the terms of the separation.</w:t>
      </w:r>
    </w:p>
    <w:p>
      <w:pPr>
        <w:spacing w:after="20" w:line="223" w:lineRule="auto"/>
        <w:jc w:val="right"/>
        <w:bidi/>
      </w:pPr>
      <w:r>
        <w:rPr>
          <w:rFonts w:ascii="Arial" w:hAnsi="Arial"/>
          <w:sz w:val="16"/>
        </w:rPr>
        <w:t>033.06  زمانی که کره شمالی کمونیست در ۲۵ ژوئن ۱۹۵۰ تهاجم گسترده‌ای را به کره جنوبی انجام داد، اختلافات بین دو طرف به سطح جدیدی رسید.</w:t>
      </w:r>
    </w:p>
    <w:p>
      <w:pPr>
        <w:spacing w:after="28" w:line="216" w:lineRule="auto"/>
        <w:ind w:left="259"/>
        <w:jc w:val="left"/>
      </w:pPr>
      <w:r>
        <w:rPr>
          <w:rFonts w:ascii="Arial" w:hAnsi="Arial"/>
          <w:color w:val="525252"/>
          <w:sz w:val="13"/>
        </w:rPr>
        <w:t>The feuding between the two sides escalated to a new level when Communist North Korea launched a massive invasion on South Korea on 25 June 1950.</w:t>
      </w:r>
    </w:p>
    <w:p>
      <w:pPr>
        <w:spacing w:after="20" w:line="223" w:lineRule="auto"/>
        <w:jc w:val="right"/>
        <w:bidi/>
      </w:pPr>
      <w:r>
        <w:rPr>
          <w:rFonts w:ascii="Arial" w:hAnsi="Arial"/>
          <w:sz w:val="16"/>
        </w:rPr>
        <w:t>033.07  از نظر جغرافیایی، کره به دلیل نزدیکی به ژاپن مورد توجه ایالات متحده بود.</w:t>
      </w:r>
    </w:p>
    <w:p>
      <w:pPr>
        <w:spacing w:after="28" w:line="216" w:lineRule="auto"/>
        <w:ind w:left="259"/>
        <w:jc w:val="left"/>
      </w:pPr>
      <w:r>
        <w:rPr>
          <w:rFonts w:ascii="Arial" w:hAnsi="Arial"/>
          <w:color w:val="525252"/>
          <w:sz w:val="13"/>
        </w:rPr>
        <w:t>Geographically, Korea was of interest to the United States because of its proximity to Japan.</w:t>
      </w:r>
    </w:p>
    <w:p>
      <w:pPr>
        <w:spacing w:after="20" w:line="223" w:lineRule="auto"/>
        <w:jc w:val="right"/>
        <w:bidi/>
      </w:pPr>
      <w:r>
        <w:rPr>
          <w:rFonts w:ascii="Arial" w:hAnsi="Arial"/>
          <w:sz w:val="16"/>
        </w:rPr>
        <w:t>033.08  همچنین، ظهور احزاب کمونیست باعث نگرانی شد که مداخله در جنگ کره را به تصمیمی چالش برانگیز و در عین حال قانع کننده تبدیل کرد.</w:t>
      </w:r>
    </w:p>
    <w:p>
      <w:pPr>
        <w:spacing w:after="28" w:line="216" w:lineRule="auto"/>
        <w:ind w:left="259"/>
        <w:jc w:val="left"/>
      </w:pPr>
      <w:r>
        <w:rPr>
          <w:rFonts w:ascii="Arial" w:hAnsi="Arial"/>
          <w:color w:val="525252"/>
          <w:sz w:val="13"/>
        </w:rPr>
        <w:t>Also, the rise of Communist parties was of concern that made intervention in the Korean War a challenging, yet compelling decision.</w:t>
      </w:r>
    </w:p>
    <w:p>
      <w:pPr>
        <w:spacing w:after="20" w:line="223" w:lineRule="auto"/>
        <w:jc w:val="right"/>
        <w:bidi/>
      </w:pPr>
      <w:r>
        <w:rPr>
          <w:rFonts w:ascii="Arial" w:hAnsi="Arial"/>
          <w:sz w:val="16"/>
        </w:rPr>
        <w:t>033.09  پرزیدنت ترومن بر اهمیت مهار جهانی کمونیسم تاکید کرد و از ارسال حمایت نظامی در شکل ۳.۱ حمایت کرد.</w:t>
      </w:r>
    </w:p>
    <w:p>
      <w:pPr>
        <w:spacing w:after="28" w:line="216" w:lineRule="auto"/>
        <w:ind w:left="259"/>
        <w:jc w:val="left"/>
      </w:pPr>
      <w:r>
        <w:rPr>
          <w:rFonts w:ascii="Arial" w:hAnsi="Arial"/>
          <w:color w:val="525252"/>
          <w:sz w:val="13"/>
        </w:rPr>
        <w:t>President Truman emphasized the importance of the global containment of communism and advocated for sending military support in the Figure 3.1.</w:t>
      </w:r>
    </w:p>
    <w:p>
      <w:pPr>
        <w:spacing w:after="20" w:line="223" w:lineRule="auto"/>
        <w:jc w:val="right"/>
        <w:bidi/>
      </w:pPr>
      <w:r>
        <w:rPr>
          <w:rFonts w:ascii="Arial" w:hAnsi="Arial"/>
          <w:sz w:val="16"/>
        </w:rPr>
        <w:t>033.10  شبه جزیره کره شبه جزیره کره.</w:t>
      </w:r>
    </w:p>
    <w:p>
      <w:pPr>
        <w:spacing w:after="28" w:line="216" w:lineRule="auto"/>
        <w:ind w:left="259"/>
        <w:jc w:val="left"/>
      </w:pPr>
      <w:r>
        <w:rPr>
          <w:rFonts w:ascii="Arial" w:hAnsi="Arial"/>
          <w:color w:val="525252"/>
          <w:sz w:val="13"/>
        </w:rPr>
        <w:t>The Korean Peninsula Korean Peninsula.</w:t>
      </w:r>
    </w:p>
    <w:p>
      <w:pPr>
        <w:spacing w:after="20" w:line="223" w:lineRule="auto"/>
        <w:jc w:val="right"/>
        <w:bidi/>
      </w:pPr>
      <w:r>
        <w:rPr>
          <w:rFonts w:ascii="Arial" w:hAnsi="Arial"/>
          <w:sz w:val="16"/>
        </w:rPr>
        <w:t>033.11  نبرد اوسان.</w:t>
      </w:r>
    </w:p>
    <w:p>
      <w:pPr>
        <w:spacing w:after="28" w:line="216" w:lineRule="auto"/>
        <w:ind w:left="259"/>
        <w:jc w:val="left"/>
      </w:pPr>
      <w:r>
        <w:rPr>
          <w:rFonts w:ascii="Arial" w:hAnsi="Arial"/>
          <w:color w:val="525252"/>
          <w:sz w:val="13"/>
        </w:rPr>
        <w:t>Battle of Osan.</w:t>
      </w:r>
    </w:p>
    <w:p>
      <w:pPr>
        <w:spacing w:after="20" w:line="223" w:lineRule="auto"/>
        <w:jc w:val="right"/>
        <w:bidi/>
      </w:pPr>
      <w:r>
        <w:rPr>
          <w:rFonts w:ascii="Arial" w:hAnsi="Arial"/>
          <w:sz w:val="16"/>
        </w:rPr>
        <w:t>033.12  سازمان ملل متحد، به رهبری شدید ایالات متحده، به سرعت به حمایت از جنوب پرداخت در حالی که چین و اتحاد جماهیر شوروی با شمال همسو شدند.</w:t>
      </w:r>
    </w:p>
    <w:p>
      <w:pPr>
        <w:spacing w:after="28" w:line="216" w:lineRule="auto"/>
        <w:ind w:left="259"/>
        <w:jc w:val="left"/>
      </w:pPr>
      <w:r>
        <w:rPr>
          <w:rFonts w:ascii="Arial" w:hAnsi="Arial"/>
          <w:color w:val="525252"/>
          <w:sz w:val="13"/>
        </w:rPr>
        <w:t>The United Nations, led heavily by the United States, quickly engaged in support of the South while China and the Soviet Union aligned with the North.</w:t>
      </w:r>
    </w:p>
    <w:p>
      <w:pPr>
        <w:spacing w:after="20" w:line="223" w:lineRule="auto"/>
        <w:jc w:val="right"/>
        <w:bidi/>
      </w:pPr>
      <w:r>
        <w:rPr>
          <w:rFonts w:ascii="Arial" w:hAnsi="Arial"/>
          <w:sz w:val="16"/>
        </w:rPr>
        <w:t>033.13  نبردهایی در کره از ژوئن تا سپتامبر در سال ۱۹۵۰ رخ داد که با سود و زیان شدید هر دو طرف همراه بود.</w:t>
      </w:r>
    </w:p>
    <w:p>
      <w:pPr>
        <w:spacing w:after="28" w:line="216" w:lineRule="auto"/>
        <w:ind w:left="259"/>
        <w:jc w:val="left"/>
      </w:pPr>
      <w:r>
        <w:rPr>
          <w:rFonts w:ascii="Arial" w:hAnsi="Arial"/>
          <w:color w:val="525252"/>
          <w:sz w:val="13"/>
        </w:rPr>
        <w:t>Battles ensued in Korea from June through September in 1950, with severe gains and losses on both sides.</w:t>
      </w:r>
    </w:p>
    <w:p>
      <w:pPr>
        <w:spacing w:after="20" w:line="223" w:lineRule="auto"/>
        <w:jc w:val="right"/>
        <w:bidi/>
      </w:pPr>
      <w:r>
        <w:rPr>
          <w:rFonts w:ascii="Arial" w:hAnsi="Arial"/>
          <w:sz w:val="16"/>
        </w:rPr>
        <w:t>033.14  نبرد اوسان عمدتا توسط ارتش ایالات متحده در ژوئیه ۱۹۵۰ انجام شد.</w:t>
      </w:r>
    </w:p>
    <w:p>
      <w:pPr>
        <w:spacing w:after="28" w:line="216" w:lineRule="auto"/>
        <w:ind w:left="259"/>
        <w:jc w:val="left"/>
      </w:pPr>
      <w:r>
        <w:rPr>
          <w:rFonts w:ascii="Arial" w:hAnsi="Arial"/>
          <w:color w:val="525252"/>
          <w:sz w:val="13"/>
        </w:rPr>
        <w:t>The Battle of Osan was primarily fought by the U.S. Army in July 1950.</w:t>
      </w:r>
    </w:p>
    <w:p>
      <w:pPr>
        <w:spacing w:after="20" w:line="223" w:lineRule="auto"/>
        <w:jc w:val="right"/>
        <w:bidi/>
      </w:pPr>
      <w:r>
        <w:rPr>
          <w:rFonts w:ascii="Arial" w:hAnsi="Arial"/>
          <w:sz w:val="16"/>
        </w:rPr>
        <w:t>033.15  تلفات قابل توجهی توسط لشکر ۲۴ پیاده وارد شد و مجبور به عقب نشینی شدند.</w:t>
      </w:r>
    </w:p>
    <w:p>
      <w:pPr>
        <w:spacing w:after="28" w:line="216" w:lineRule="auto"/>
        <w:ind w:left="259"/>
        <w:jc w:val="left"/>
      </w:pPr>
      <w:r>
        <w:rPr>
          <w:rFonts w:ascii="Arial" w:hAnsi="Arial"/>
          <w:color w:val="525252"/>
          <w:sz w:val="13"/>
        </w:rPr>
        <w:t>Significant losses were experienced by the 24th Infantry Division and they were forced to retreat.</w:t>
      </w:r>
    </w:p>
    <w:p>
      <w:pPr>
        <w:spacing w:after="20" w:line="223" w:lineRule="auto"/>
        <w:jc w:val="right"/>
        <w:bidi/>
      </w:pPr>
      <w:r>
        <w:rPr>
          <w:rFonts w:ascii="Arial" w:hAnsi="Arial"/>
          <w:sz w:val="16"/>
        </w:rPr>
        <w:t>033.16  اقدامات ظالمانه نیروهای کره شمالی عزم ما را افزایش داد، اما با داشتن سلاح و زره کمتر از کافی، دفاع از جنوب تنها ۱۰ درصد از شبه جزیره کره را تأمین کرد.</w:t>
      </w:r>
    </w:p>
    <w:p>
      <w:pPr>
        <w:spacing w:after="28" w:line="216" w:lineRule="auto"/>
        <w:ind w:left="259"/>
        <w:jc w:val="left"/>
      </w:pPr>
      <w:r>
        <w:rPr>
          <w:rFonts w:ascii="Arial" w:hAnsi="Arial"/>
          <w:color w:val="525252"/>
          <w:sz w:val="13"/>
        </w:rPr>
        <w:t>The ruthless actions of the North Korean forces heightened our determination, but with less than adequate weaponry and armor, defense of the South only secured 10 percent of the Korean Peninsula.</w:t>
      </w:r>
    </w:p>
    <w:p>
      <w:pPr>
        <w:spacing w:after="20" w:line="223" w:lineRule="auto"/>
        <w:jc w:val="right"/>
        <w:bidi/>
      </w:pPr>
      <w:r>
        <w:rPr>
          <w:rFonts w:ascii="Arial" w:hAnsi="Arial"/>
          <w:sz w:val="16"/>
        </w:rPr>
        <w:t>033.17  نبرد پیرامون پوسان.</w:t>
      </w:r>
    </w:p>
    <w:p>
      <w:pPr>
        <w:spacing w:after="28" w:line="216" w:lineRule="auto"/>
        <w:ind w:left="259"/>
        <w:jc w:val="left"/>
      </w:pPr>
      <w:r>
        <w:rPr>
          <w:rFonts w:ascii="Arial" w:hAnsi="Arial"/>
          <w:color w:val="525252"/>
          <w:sz w:val="13"/>
        </w:rPr>
        <w:t>Battle of Pusan Perimeter.</w:t>
      </w:r>
    </w:p>
    <w:p>
      <w:pPr>
        <w:spacing w:after="20" w:line="223" w:lineRule="auto"/>
        <w:jc w:val="right"/>
        <w:bidi/>
      </w:pPr>
      <w:r>
        <w:rPr>
          <w:rFonts w:ascii="Arial" w:hAnsi="Arial"/>
          <w:sz w:val="16"/>
        </w:rPr>
        <w:t>033.18  در آگوست و سپتامبر ۱۹۵۰، برای جلوگیری از پیشروی بیشتر شمال، شش هفته حملات بی امان هوایی، زمینی و دریایی نیروهای خود را به زیر زمین رساندند و مهاجمان کمونیست را در مسیر خود متوقف کردند.</w:t>
      </w:r>
    </w:p>
    <w:p>
      <w:pPr>
        <w:spacing w:after="28" w:line="216" w:lineRule="auto"/>
        <w:ind w:left="259"/>
        <w:jc w:val="left"/>
      </w:pPr>
      <w:r>
        <w:rPr>
          <w:rFonts w:ascii="Arial" w:hAnsi="Arial"/>
          <w:color w:val="525252"/>
          <w:sz w:val="13"/>
        </w:rPr>
        <w:t>In August and September 1950, to prevent the North from furthering their advance, six weeks of relentless air, land, and sea attacks ran their forces underground, halting the Communist invaders in their tracks.</w:t>
      </w:r>
    </w:p>
    <w:p>
      <w:pPr>
        <w:spacing w:after="20" w:line="223" w:lineRule="auto"/>
        <w:jc w:val="right"/>
        <w:bidi/>
      </w:pPr>
      <w:r>
        <w:rPr>
          <w:rFonts w:ascii="Arial" w:hAnsi="Arial"/>
          <w:sz w:val="16"/>
        </w:rPr>
        <w:t>033.19  در همین حال، تلاش‌ها در تقویت نیروها و تدارکات کره جنوبی برای دفاع از محیط با موفقیت انجام شد.</w:t>
      </w:r>
    </w:p>
    <w:p>
      <w:pPr>
        <w:spacing w:after="28" w:line="216" w:lineRule="auto"/>
        <w:ind w:left="259"/>
        <w:jc w:val="left"/>
      </w:pPr>
      <w:r>
        <w:rPr>
          <w:rFonts w:ascii="Arial" w:hAnsi="Arial"/>
          <w:color w:val="525252"/>
          <w:sz w:val="13"/>
        </w:rPr>
        <w:t>Meanwhile, efforts were successful in reinforcing South Korea’s forces and supplies to defend the perimeter.</w:t>
      </w:r>
    </w:p>
    <w:p>
      <w:pPr>
        <w:spacing w:after="20" w:line="223" w:lineRule="auto"/>
        <w:jc w:val="right"/>
        <w:bidi/>
      </w:pPr>
      <w:r>
        <w:rPr>
          <w:rFonts w:ascii="Arial" w:hAnsi="Arial"/>
          <w:sz w:val="16"/>
        </w:rPr>
        <w:t>033.20  در پایان نبرد، نیروهای کره شمالی در تمام نقاط اطراف به عقب رانده شدند.</w:t>
      </w:r>
    </w:p>
    <w:p>
      <w:pPr>
        <w:spacing w:after="28" w:line="216" w:lineRule="auto"/>
        <w:ind w:left="259"/>
        <w:jc w:val="left"/>
      </w:pPr>
      <w:r>
        <w:rPr>
          <w:rFonts w:ascii="Arial" w:hAnsi="Arial"/>
          <w:color w:val="525252"/>
          <w:sz w:val="13"/>
        </w:rPr>
        <w:t>By the battle’s end, North Korean forces were pushed back at all points along the perimeter.</w:t>
      </w:r>
    </w:p>
    <w:p>
      <w:pPr>
        <w:spacing w:after="20" w:line="223" w:lineRule="auto"/>
        <w:jc w:val="right"/>
        <w:bidi/>
      </w:pPr>
      <w:r>
        <w:rPr>
          <w:rFonts w:ascii="Arial" w:hAnsi="Arial"/>
          <w:sz w:val="16"/>
        </w:rPr>
        <w:t>033.21  نبرد اینچون.</w:t>
      </w:r>
    </w:p>
    <w:p>
      <w:pPr>
        <w:spacing w:after="28" w:line="216" w:lineRule="auto"/>
        <w:ind w:left="259"/>
        <w:jc w:val="left"/>
      </w:pPr>
      <w:r>
        <w:rPr>
          <w:rFonts w:ascii="Arial" w:hAnsi="Arial"/>
          <w:color w:val="525252"/>
          <w:sz w:val="13"/>
        </w:rPr>
        <w:t>Battle of Inchon.</w:t>
      </w:r>
    </w:p>
    <w:p>
      <w:pPr>
        <w:spacing w:after="20" w:line="223" w:lineRule="auto"/>
        <w:jc w:val="right"/>
        <w:bidi/>
      </w:pPr>
      <w:r>
        <w:rPr>
          <w:rFonts w:ascii="Arial" w:hAnsi="Arial"/>
          <w:sz w:val="16"/>
        </w:rPr>
        <w:t>033.22  در سپتامبر ۱۹۵۰، پرزیدنت ترومن مجوز تعقیب ارتش کره شمالی در شمال موازی ۳۸ را صادر کرد.</w:t>
      </w:r>
    </w:p>
    <w:p>
      <w:pPr>
        <w:spacing w:after="28" w:line="216" w:lineRule="auto"/>
        <w:ind w:left="259"/>
        <w:jc w:val="left"/>
      </w:pPr>
      <w:r>
        <w:rPr>
          <w:rFonts w:ascii="Arial" w:hAnsi="Arial"/>
          <w:color w:val="525252"/>
          <w:sz w:val="13"/>
        </w:rPr>
        <w:t>In September 1950, President Truman authorized the pursuit of North Korea’s Army north of the 38th parallel.</w:t>
      </w:r>
    </w:p>
    <w:p>
      <w:pPr>
        <w:spacing w:after="20" w:line="223" w:lineRule="auto"/>
        <w:jc w:val="right"/>
        <w:bidi/>
      </w:pPr>
      <w:r>
        <w:rPr>
          <w:rFonts w:ascii="Arial" w:hAnsi="Arial"/>
          <w:sz w:val="16"/>
        </w:rPr>
        <w:t>033.23  در طول نبرد اینچون، اگرچه هر دو مأموریت برتری هوایی و پشتیبانی هوایی نزدیک موفقیت آمیز بودند، تلاش طولانی برای ایجاد اختلال در خطوط تدارکات کمونیست‌ها با حمله هوایی شکست خورد.</w:t>
      </w:r>
    </w:p>
    <w:p>
      <w:pPr>
        <w:spacing w:after="28" w:line="216" w:lineRule="auto"/>
        <w:ind w:left="259"/>
        <w:jc w:val="left"/>
      </w:pPr>
      <w:r>
        <w:rPr>
          <w:rFonts w:ascii="Arial" w:hAnsi="Arial"/>
          <w:color w:val="525252"/>
          <w:sz w:val="13"/>
        </w:rPr>
        <w:t>During the Battle of Inchon, although both air superiority and close air support missions were successful, a lengthy attempt to disrupt Communist supply lines by air attack failed.</w:t>
      </w:r>
    </w:p>
    <w:p>
      <w:pPr>
        <w:spacing w:after="20" w:line="223" w:lineRule="auto"/>
        <w:jc w:val="right"/>
        <w:bidi/>
      </w:pPr>
      <w:r>
        <w:rPr>
          <w:rFonts w:ascii="Arial" w:hAnsi="Arial"/>
          <w:sz w:val="16"/>
        </w:rPr>
        <w:t>033.24  استراتژی جدیدی از مبارزات نظام‌مند برای تحمیل هزینه‌های اقتصادی طولانی‌مدت به کره شمالی و نیروهای چینی تا زمانی که جنگ ادامه دارد، اعمال شد.</w:t>
      </w:r>
    </w:p>
    <w:p>
      <w:pPr>
        <w:spacing w:after="28" w:line="216" w:lineRule="auto"/>
        <w:ind w:left="259"/>
        <w:jc w:val="left"/>
      </w:pPr>
      <w:r>
        <w:rPr>
          <w:rFonts w:ascii="Arial" w:hAnsi="Arial"/>
          <w:color w:val="525252"/>
          <w:sz w:val="13"/>
        </w:rPr>
        <w:t>A new strategy of systematic campaigning was applied to inflict prolonged economic cost to North Korea and the Chinese forces as long as war persisted.</w:t>
      </w:r>
    </w:p>
    <w:p>
      <w:pPr>
        <w:spacing w:after="20" w:line="223" w:lineRule="auto"/>
        <w:jc w:val="right"/>
        <w:bidi/>
      </w:pPr>
      <w:r>
        <w:rPr>
          <w:rFonts w:ascii="Arial" w:hAnsi="Arial"/>
          <w:sz w:val="16"/>
        </w:rPr>
        <w:t>033.25  رسم خط.</w:t>
      </w:r>
    </w:p>
    <w:p>
      <w:pPr>
        <w:spacing w:after="28" w:line="216" w:lineRule="auto"/>
        <w:ind w:left="259"/>
        <w:jc w:val="left"/>
      </w:pPr>
      <w:r>
        <w:rPr>
          <w:rFonts w:ascii="Arial" w:hAnsi="Arial"/>
          <w:color w:val="525252"/>
          <w:sz w:val="13"/>
        </w:rPr>
        <w:t>Drawing the Line.</w:t>
      </w:r>
    </w:p>
    <w:p>
      <w:pPr>
        <w:spacing w:after="20" w:line="223" w:lineRule="auto"/>
        <w:jc w:val="right"/>
        <w:bidi/>
      </w:pPr>
      <w:r>
        <w:rPr>
          <w:rFonts w:ascii="Arial" w:hAnsi="Arial"/>
          <w:sz w:val="16"/>
        </w:rPr>
        <w:t>033.26  مرحله اولیه جنگ کره خطرات ناآماده بودن را به تصویر می‌کشد، زیرا هوانوردان در تلاش برای یادگیری مجدد مهارت‌های پشتیبانی هوایی نزدیک و بازدارندگی بودند.</w:t>
      </w:r>
    </w:p>
    <w:p>
      <w:pPr>
        <w:spacing w:after="28" w:line="216" w:lineRule="auto"/>
        <w:ind w:left="259"/>
        <w:jc w:val="left"/>
      </w:pPr>
      <w:r>
        <w:rPr>
          <w:rFonts w:ascii="Arial" w:hAnsi="Arial"/>
          <w:color w:val="525252"/>
          <w:sz w:val="13"/>
        </w:rPr>
        <w:t>The initial phase of the Korean War illustrated the dangers of being unprepared as Airmen struggled to relearn close air support and interdiction skills.</w:t>
      </w:r>
    </w:p>
    <w:p>
      <w:pPr>
        <w:spacing w:after="20" w:line="223" w:lineRule="auto"/>
        <w:jc w:val="right"/>
        <w:bidi/>
      </w:pPr>
      <w:r>
        <w:rPr>
          <w:rFonts w:ascii="Arial" w:hAnsi="Arial"/>
          <w:sz w:val="16"/>
        </w:rPr>
        <w:t>033.27  با شروع جنگ کره، نبردهای هوایی در آسمان بالای کره توانایی‌های ما را به چالش کشید، اما عزم ما را به چالش کشید.</w:t>
      </w:r>
    </w:p>
    <w:p>
      <w:pPr>
        <w:spacing w:after="28" w:line="216" w:lineRule="auto"/>
        <w:ind w:left="259"/>
        <w:jc w:val="left"/>
      </w:pPr>
      <w:r>
        <w:rPr>
          <w:rFonts w:ascii="Arial" w:hAnsi="Arial"/>
          <w:color w:val="525252"/>
          <w:sz w:val="13"/>
        </w:rPr>
        <w:t>As the Korean War ensued, air battles in the skies above Korea challenged our capabilities, but not our resolve.</w:t>
      </w:r>
    </w:p>
    <w:p>
      <w:pPr>
        <w:spacing w:after="20" w:line="223" w:lineRule="auto"/>
        <w:jc w:val="right"/>
        <w:bidi/>
      </w:pPr>
      <w:r>
        <w:rPr>
          <w:rFonts w:ascii="Arial" w:hAnsi="Arial"/>
          <w:sz w:val="16"/>
        </w:rPr>
        <w:t>033.28  تلاش‌های سازمان ملل متحد دو تهاجم کمونیست‌ها به کره جنوبی را دفع کرد و نیروی هوایی آمریکا آسمان را در برابر حمله هوایی دشمن ایمن کرد.</w:t>
      </w:r>
    </w:p>
    <w:p>
      <w:pPr>
        <w:spacing w:after="28" w:line="216" w:lineRule="auto"/>
        <w:ind w:left="259"/>
        <w:jc w:val="left"/>
      </w:pPr>
      <w:r>
        <w:rPr>
          <w:rFonts w:ascii="Arial" w:hAnsi="Arial"/>
          <w:color w:val="525252"/>
          <w:sz w:val="13"/>
        </w:rPr>
        <w:t>The United Nation’s efforts repelled two communist invasions of South Korea, and American airpower secured the skies against enemy air attack.</w:t>
      </w:r>
    </w:p>
    <w:p>
      <w:pPr>
        <w:spacing w:after="20" w:line="223" w:lineRule="auto"/>
        <w:jc w:val="right"/>
        <w:bidi/>
      </w:pPr>
      <w:r>
        <w:rPr>
          <w:rFonts w:ascii="Arial" w:hAnsi="Arial"/>
          <w:sz w:val="16"/>
        </w:rPr>
        <w:t>033.29  هواپیماهای قدیمی‌تر USAF با نیروی هوایی بسیار مورد نیاز و غالب جنگنده‌های موتور جت ف-۸۶ سابر که بر فراز "کوچه میگ" می‌جنگیدند، جایی که آموزش و تجربه برتر غالب بود، جایگزین شدند.</w:t>
      </w:r>
    </w:p>
    <w:p>
      <w:pPr>
        <w:spacing w:after="28" w:line="216" w:lineRule="auto"/>
        <w:ind w:left="259"/>
        <w:jc w:val="left"/>
      </w:pPr>
      <w:r>
        <w:rPr>
          <w:rFonts w:ascii="Arial" w:hAnsi="Arial"/>
          <w:color w:val="525252"/>
          <w:sz w:val="13"/>
        </w:rPr>
        <w:t>Older USAF aircraft were replaced with the much needed, more dominating airpower of F-86 Sabre jet-engine fighters that battled over “MiG Alley” where superior training and experience prevailed.</w:t>
      </w:r>
    </w:p>
    <w:p>
      <w:pPr>
        <w:spacing w:after="20" w:line="223" w:lineRule="auto"/>
        <w:jc w:val="right"/>
        <w:bidi/>
      </w:pPr>
      <w:r>
        <w:rPr>
          <w:rFonts w:ascii="Arial" w:hAnsi="Arial"/>
          <w:sz w:val="16"/>
        </w:rPr>
        <w:t>033.30  خدمات نجات هوایی از نظر پزشکی تخلیه شد</w:t>
      </w:r>
    </w:p>
    <w:p>
      <w:pPr>
        <w:spacing w:after="28" w:line="216" w:lineRule="auto"/>
        <w:ind w:left="259"/>
        <w:jc w:val="left"/>
      </w:pPr>
      <w:r>
        <w:rPr>
          <w:rFonts w:ascii="Arial" w:hAnsi="Arial"/>
          <w:color w:val="525252"/>
          <w:sz w:val="13"/>
        </w:rPr>
        <w:t>The Air Rescue Service medically evacuated</w:t>
      </w:r>
    </w:p>
    <w:p>
      <w:r>
        <w:br w:type="page"/>
      </w:r>
    </w:p>
    <w:p>
      <w:pPr>
        <w:spacing w:after="60"/>
        <w:jc w:val="right"/>
        <w:bidi/>
      </w:pPr>
      <w:r>
        <w:rPr>
          <w:rFonts w:ascii="Arial" w:hAnsi="Arial"/>
          <w:b/>
          <w:color w:val="1F4D78"/>
          <w:sz w:val="19"/>
        </w:rPr>
        <w:t>هفتهٔ 34  |  صفحهٔ منبع: 50</w:t>
      </w:r>
    </w:p>
    <w:p>
      <w:pPr>
        <w:spacing w:after="20" w:line="223" w:lineRule="auto"/>
        <w:jc w:val="right"/>
        <w:bidi/>
      </w:pPr>
      <w:r>
        <w:rPr>
          <w:rFonts w:ascii="Arial" w:hAnsi="Arial"/>
          <w:sz w:val="16"/>
        </w:rPr>
        <w:t>034.01  بیش از ۹۶۰۰ سرباز مجروح و نزدیک به ۱۰۰۰ پرسنل را نجات دادند که در طول جنگ کره بر فراز قلمرو دشمن سرنگون شدند.</w:t>
      </w:r>
    </w:p>
    <w:p>
      <w:pPr>
        <w:spacing w:after="28" w:line="216" w:lineRule="auto"/>
        <w:ind w:left="259"/>
        <w:jc w:val="left"/>
      </w:pPr>
      <w:r>
        <w:rPr>
          <w:rFonts w:ascii="Arial" w:hAnsi="Arial"/>
          <w:color w:val="525252"/>
          <w:sz w:val="13"/>
        </w:rPr>
        <w:t>more than 9,600 wounded soldiers and rescued nearly 1,000 personnel shot down over enemy territory during the Korean War.</w:t>
      </w:r>
    </w:p>
    <w:p>
      <w:pPr>
        <w:spacing w:after="20" w:line="223" w:lineRule="auto"/>
        <w:jc w:val="right"/>
        <w:bidi/>
      </w:pPr>
      <w:r>
        <w:rPr>
          <w:rFonts w:ascii="Arial" w:hAnsi="Arial"/>
          <w:sz w:val="16"/>
        </w:rPr>
        <w:t>034.02  نبرد سرانجام در ۲۷ ژوئیه ۱۹۵۳ با امضای آتش بس پایان یافت.</w:t>
      </w:r>
    </w:p>
    <w:p>
      <w:pPr>
        <w:spacing w:after="28" w:line="216" w:lineRule="auto"/>
        <w:ind w:left="259"/>
        <w:jc w:val="left"/>
      </w:pPr>
      <w:r>
        <w:rPr>
          <w:rFonts w:ascii="Arial" w:hAnsi="Arial"/>
          <w:color w:val="525252"/>
          <w:sz w:val="13"/>
        </w:rPr>
        <w:t>The fighting finally ended on 27 July 1953, when an armistice was signed.</w:t>
      </w:r>
    </w:p>
    <w:p>
      <w:pPr>
        <w:spacing w:after="20" w:line="223" w:lineRule="auto"/>
        <w:jc w:val="right"/>
        <w:bidi/>
      </w:pPr>
      <w:r>
        <w:rPr>
          <w:rFonts w:ascii="Arial" w:hAnsi="Arial"/>
          <w:sz w:val="16"/>
        </w:rPr>
        <w:t>034.03  توافق منطقه غیرنظامی کره را ایجاد کرد تا کره شمالی و کره جنوبی را با یک نوار زمینی به عرض تقریبا چهار کیلومتر (۲.۴۸ مایل) جدا کند، همانطور که در شکل ۳.۱ نشان داده شده است.</w:t>
      </w:r>
    </w:p>
    <w:p>
      <w:pPr>
        <w:spacing w:after="28" w:line="216" w:lineRule="auto"/>
        <w:ind w:left="259"/>
        <w:jc w:val="left"/>
      </w:pPr>
      <w:r>
        <w:rPr>
          <w:rFonts w:ascii="Arial" w:hAnsi="Arial"/>
          <w:color w:val="525252"/>
          <w:sz w:val="13"/>
        </w:rPr>
        <w:t>The agreement created the Korean demilitarized zone to separate North and South Korea by a strip of land approximately four kilometers (2.48 miles) wide, as shown in Figure 3.1.</w:t>
      </w:r>
    </w:p>
    <w:p>
      <w:pPr>
        <w:spacing w:after="20" w:line="223" w:lineRule="auto"/>
        <w:jc w:val="right"/>
        <w:bidi/>
      </w:pPr>
      <w:r>
        <w:rPr>
          <w:rFonts w:ascii="Arial" w:hAnsi="Arial"/>
          <w:sz w:val="16"/>
        </w:rPr>
        <w:t>034.04  منطقه غیرنظامی هنوز هم وجود دارد.</w:t>
      </w:r>
    </w:p>
    <w:p>
      <w:pPr>
        <w:spacing w:after="28" w:line="216" w:lineRule="auto"/>
        <w:ind w:left="259"/>
        <w:jc w:val="left"/>
      </w:pPr>
      <w:r>
        <w:rPr>
          <w:rFonts w:ascii="Arial" w:hAnsi="Arial"/>
          <w:color w:val="525252"/>
          <w:sz w:val="13"/>
        </w:rPr>
        <w:t>The demilitarized zone still exists today.</w:t>
      </w:r>
    </w:p>
    <w:p>
      <w:pPr>
        <w:spacing w:after="20" w:line="223" w:lineRule="auto"/>
        <w:jc w:val="right"/>
        <w:bidi/>
      </w:pPr>
      <w:r>
        <w:rPr>
          <w:rFonts w:ascii="Arial" w:hAnsi="Arial"/>
          <w:sz w:val="16"/>
        </w:rPr>
        <w:t>034.05  بدون امضای معاهده صلح، دو کره از نظر فنی هنوز در جنگ هستند.</w:t>
      </w:r>
    </w:p>
    <w:p>
      <w:pPr>
        <w:spacing w:after="28" w:line="216" w:lineRule="auto"/>
        <w:ind w:left="259"/>
        <w:jc w:val="left"/>
      </w:pPr>
      <w:r>
        <w:rPr>
          <w:rFonts w:ascii="Arial" w:hAnsi="Arial"/>
          <w:color w:val="525252"/>
          <w:sz w:val="13"/>
        </w:rPr>
        <w:t>With no peace treaty signed, the two Koreas are technically still at war.</w:t>
      </w:r>
    </w:p>
    <w:p>
      <w:pPr>
        <w:spacing w:before="60" w:after="28"/>
        <w:jc w:val="right"/>
        <w:bidi/>
      </w:pPr>
      <w:r>
        <w:rPr>
          <w:b/>
          <w:color w:val="1F4D78"/>
          <w:sz w:val="18"/>
        </w:rPr>
        <w:t>3.4. عملیات امدادی در اواسط دهه 1900</w:t>
      </w:r>
    </w:p>
    <w:p>
      <w:pPr>
        <w:spacing w:after="20"/>
        <w:ind w:left="259"/>
        <w:jc w:val="left"/>
      </w:pPr>
      <w:r>
        <w:rPr>
          <w:color w:val="555555"/>
          <w:sz w:val="12"/>
        </w:rPr>
        <w:t>3.4. Relief Operations in Mid-1900’s</w:t>
      </w:r>
    </w:p>
    <w:p>
      <w:pPr>
        <w:spacing w:after="20" w:line="223" w:lineRule="auto"/>
        <w:jc w:val="right"/>
        <w:bidi/>
      </w:pPr>
      <w:r>
        <w:rPr>
          <w:rFonts w:ascii="Arial" w:hAnsi="Arial"/>
          <w:sz w:val="16"/>
        </w:rPr>
        <w:t>034.07  امداد و عملیات مجارستان ساف هاون ی &amp; II.</w:t>
      </w:r>
    </w:p>
    <w:p>
      <w:pPr>
        <w:spacing w:after="28" w:line="216" w:lineRule="auto"/>
        <w:ind w:left="259"/>
        <w:jc w:val="left"/>
      </w:pPr>
      <w:r>
        <w:rPr>
          <w:rFonts w:ascii="Arial" w:hAnsi="Arial"/>
          <w:color w:val="525252"/>
          <w:sz w:val="13"/>
        </w:rPr>
        <w:t>Hungarian Relief and Operations Safe Haven I &amp; II.</w:t>
      </w:r>
    </w:p>
    <w:p>
      <w:pPr>
        <w:spacing w:after="20" w:line="223" w:lineRule="auto"/>
        <w:jc w:val="right"/>
        <w:bidi/>
      </w:pPr>
      <w:r>
        <w:rPr>
          <w:rFonts w:ascii="Arial" w:hAnsi="Arial"/>
          <w:sz w:val="16"/>
        </w:rPr>
        <w:t>034.08  پس از انقلاب مجارستان در سال ۱۹۵۶، مأموریت‌های بشردوستانه عملیات پناهگاه امن ی (۱۹۵۶) و II (۱۹۵۷) برای پناهندگان مجارستانی آغاز شد.</w:t>
      </w:r>
    </w:p>
    <w:p>
      <w:pPr>
        <w:spacing w:after="28" w:line="216" w:lineRule="auto"/>
        <w:ind w:left="259"/>
        <w:jc w:val="left"/>
      </w:pPr>
      <w:r>
        <w:rPr>
          <w:rFonts w:ascii="Arial" w:hAnsi="Arial"/>
          <w:color w:val="525252"/>
          <w:sz w:val="13"/>
        </w:rPr>
        <w:t>Following the Hungarian Revolution of 1956, the humanitarian missions Operation Safe Haven I (1956) and II (1957) were initiated for Hungarian refugees.</w:t>
      </w:r>
    </w:p>
    <w:p>
      <w:pPr>
        <w:spacing w:after="20" w:line="223" w:lineRule="auto"/>
        <w:jc w:val="right"/>
        <w:bidi/>
      </w:pPr>
      <w:r>
        <w:rPr>
          <w:rFonts w:ascii="Arial" w:hAnsi="Arial"/>
          <w:sz w:val="16"/>
        </w:rPr>
        <w:t>034.09  USAF بیش از ۱۰۰۰۰ پناهجو را که پس از سرکوب شوروی شوروی ضد کمونیستی از مجارستان گریختند، با هواپیما منتقل کرد.</w:t>
      </w:r>
    </w:p>
    <w:p>
      <w:pPr>
        <w:spacing w:after="28" w:line="216" w:lineRule="auto"/>
        <w:ind w:left="259"/>
        <w:jc w:val="left"/>
      </w:pPr>
      <w:r>
        <w:rPr>
          <w:rFonts w:ascii="Arial" w:hAnsi="Arial"/>
          <w:color w:val="525252"/>
          <w:sz w:val="13"/>
        </w:rPr>
        <w:t>The USAF airlifted over 10,000 refugees to asylum who fled from Hungary after Soviet forces crushed the anti-communist uprising.</w:t>
      </w:r>
    </w:p>
    <w:p>
      <w:pPr>
        <w:spacing w:after="20" w:line="223" w:lineRule="auto"/>
        <w:jc w:val="right"/>
        <w:bidi/>
      </w:pPr>
      <w:r>
        <w:rPr>
          <w:rFonts w:ascii="Arial" w:hAnsi="Arial"/>
          <w:sz w:val="16"/>
        </w:rPr>
        <w:t>034.10  بلایای طبیعی شیلی و عملیات هوایی آمیگوس.</w:t>
      </w:r>
    </w:p>
    <w:p>
      <w:pPr>
        <w:spacing w:after="28" w:line="216" w:lineRule="auto"/>
        <w:ind w:left="259"/>
        <w:jc w:val="left"/>
      </w:pPr>
      <w:r>
        <w:rPr>
          <w:rFonts w:ascii="Arial" w:hAnsi="Arial"/>
          <w:color w:val="525252"/>
          <w:sz w:val="13"/>
        </w:rPr>
        <w:t>Chilean Natural Disasters and Operation Amigos Airlift.</w:t>
      </w:r>
    </w:p>
    <w:p>
      <w:pPr>
        <w:spacing w:after="20" w:line="223" w:lineRule="auto"/>
        <w:jc w:val="right"/>
        <w:bidi/>
      </w:pPr>
      <w:r>
        <w:rPr>
          <w:rFonts w:ascii="Arial" w:hAnsi="Arial"/>
          <w:sz w:val="16"/>
        </w:rPr>
        <w:t>034.11  در ماه مه ۱۹۶۰، زلزله‌ها، فوران‌های آتشفشانی، بهمن‌ها و امواج جزر و مدی جنوب شیلی را درنوردید و نزدیک به ۸۰۰۰ کشته یا مفقود، ۵۵۰۰ مجروح و بیش از ۲۴۰۰۰۰ بی خانمان برجای گذاشت.</w:t>
      </w:r>
    </w:p>
    <w:p>
      <w:pPr>
        <w:spacing w:after="28" w:line="216" w:lineRule="auto"/>
        <w:ind w:left="259"/>
        <w:jc w:val="left"/>
      </w:pPr>
      <w:r>
        <w:rPr>
          <w:rFonts w:ascii="Arial" w:hAnsi="Arial"/>
          <w:color w:val="525252"/>
          <w:sz w:val="13"/>
        </w:rPr>
        <w:t>In May 1960, earthquakes, volcanic eruptions, avalanches, and tidal waves ripped through southern Chile, leaving nearly 8,000 people dead or missing, 5,500 injured, and more than 240,000 homeless.</w:t>
      </w:r>
    </w:p>
    <w:p>
      <w:pPr>
        <w:spacing w:after="20" w:line="223" w:lineRule="auto"/>
        <w:jc w:val="right"/>
        <w:bidi/>
      </w:pPr>
      <w:r>
        <w:rPr>
          <w:rFonts w:ascii="Arial" w:hAnsi="Arial"/>
          <w:sz w:val="16"/>
        </w:rPr>
        <w:t>034.12  وزارت دفاع و وزارت امور خارجه با ارائه کمک‌های بشردوستانه موافقت کردند.</w:t>
      </w:r>
    </w:p>
    <w:p>
      <w:pPr>
        <w:spacing w:after="28" w:line="216" w:lineRule="auto"/>
        <w:ind w:left="259"/>
        <w:jc w:val="left"/>
      </w:pPr>
      <w:r>
        <w:rPr>
          <w:rFonts w:ascii="Arial" w:hAnsi="Arial"/>
          <w:color w:val="525252"/>
          <w:sz w:val="13"/>
        </w:rPr>
        <w:t>The Department of Defense and State Department agreed to provide humanitarian assistance.</w:t>
      </w:r>
    </w:p>
    <w:p>
      <w:pPr>
        <w:spacing w:after="20" w:line="223" w:lineRule="auto"/>
        <w:jc w:val="right"/>
        <w:bidi/>
      </w:pPr>
      <w:r>
        <w:rPr>
          <w:rFonts w:ascii="Arial" w:hAnsi="Arial"/>
          <w:sz w:val="16"/>
        </w:rPr>
        <w:t>034.13  در طول پرواز یک ماهه امیگوس ایرلیفت، USAF بیش از ۱۰۰۰ تن مواد را به منطقه آسیب دیده منتقل کرد.</w:t>
      </w:r>
    </w:p>
    <w:p>
      <w:pPr>
        <w:spacing w:after="28" w:line="216" w:lineRule="auto"/>
        <w:ind w:left="259"/>
        <w:jc w:val="left"/>
      </w:pPr>
      <w:r>
        <w:rPr>
          <w:rFonts w:ascii="Arial" w:hAnsi="Arial"/>
          <w:color w:val="525252"/>
          <w:sz w:val="13"/>
        </w:rPr>
        <w:t>During the month-long Amigos Airlift, the USAF airlifted over 1,000 tons of material to the stricken area.</w:t>
      </w:r>
    </w:p>
    <w:p>
      <w:pPr>
        <w:spacing w:before="60" w:after="28"/>
        <w:jc w:val="right"/>
        <w:bidi/>
      </w:pPr>
      <w:r>
        <w:rPr>
          <w:b/>
          <w:color w:val="1F4D78"/>
          <w:sz w:val="18"/>
        </w:rPr>
        <w:t>3.5. بحران موشکی کوبا</w:t>
      </w:r>
    </w:p>
    <w:p>
      <w:pPr>
        <w:spacing w:after="20"/>
        <w:ind w:left="259"/>
        <w:jc w:val="left"/>
      </w:pPr>
      <w:r>
        <w:rPr>
          <w:color w:val="555555"/>
          <w:sz w:val="12"/>
        </w:rPr>
        <w:t>3.5. Cuban Missile Crisis</w:t>
      </w:r>
    </w:p>
    <w:p>
      <w:pPr>
        <w:spacing w:after="20" w:line="223" w:lineRule="auto"/>
        <w:jc w:val="right"/>
        <w:bidi/>
      </w:pPr>
      <w:r>
        <w:rPr>
          <w:rFonts w:ascii="Arial" w:hAnsi="Arial"/>
          <w:sz w:val="16"/>
        </w:rPr>
        <w:t>034.15  در سال ۱۹۵۹، فیدل کاسترو، یک انقلابی کمونیست، دیکتاتور کوبا را سرنگون کرد و در ابتدا وعده انتخابات آزاد را داد، اما در عوض، دیکتاتوری را برقرار کرد.</w:t>
      </w:r>
    </w:p>
    <w:p>
      <w:pPr>
        <w:spacing w:after="28" w:line="216" w:lineRule="auto"/>
        <w:ind w:left="259"/>
        <w:jc w:val="left"/>
      </w:pPr>
      <w:r>
        <w:rPr>
          <w:rFonts w:ascii="Arial" w:hAnsi="Arial"/>
          <w:color w:val="525252"/>
          <w:sz w:val="13"/>
        </w:rPr>
        <w:t>In 1959, Fidel Castro, a communist revolutionary, overthrew the dictator of Cuba, initially promising free elections, but instead, instituted a dictatorship.</w:t>
      </w:r>
    </w:p>
    <w:p>
      <w:pPr>
        <w:spacing w:after="20" w:line="223" w:lineRule="auto"/>
        <w:jc w:val="right"/>
        <w:bidi/>
      </w:pPr>
      <w:r>
        <w:rPr>
          <w:rFonts w:ascii="Arial" w:hAnsi="Arial"/>
          <w:sz w:val="16"/>
        </w:rPr>
        <w:t>034.16  صدها هزار کوبایی به ایالات متحده فرار کردند.</w:t>
      </w:r>
    </w:p>
    <w:p>
      <w:pPr>
        <w:spacing w:after="28" w:line="216" w:lineRule="auto"/>
        <w:ind w:left="259"/>
        <w:jc w:val="left"/>
      </w:pPr>
      <w:r>
        <w:rPr>
          <w:rFonts w:ascii="Arial" w:hAnsi="Arial"/>
          <w:color w:val="525252"/>
          <w:sz w:val="13"/>
        </w:rPr>
        <w:t>Hundreds of thousands of Cubans fled to the United States.</w:t>
      </w:r>
    </w:p>
    <w:p>
      <w:pPr>
        <w:spacing w:after="20" w:line="223" w:lineRule="auto"/>
        <w:jc w:val="right"/>
        <w:bidi/>
      </w:pPr>
      <w:r>
        <w:rPr>
          <w:rFonts w:ascii="Arial" w:hAnsi="Arial"/>
          <w:sz w:val="16"/>
        </w:rPr>
        <w:t>034.17  در اواخر سال ۱۹۶۰، پرزیدنت آیزنهاور به آژانس اطلاعات مرکزی اجازه داد تا با استفاده از تبعیدیان کوبایی به‌عنوان سرباز برای سرنگونی کاسترو و نصب یک دولت طرفدار ایالات متحده، حمله‌ای را طراحی کند.</w:t>
      </w:r>
    </w:p>
    <w:p>
      <w:pPr>
        <w:spacing w:after="28" w:line="216" w:lineRule="auto"/>
        <w:ind w:left="259"/>
        <w:jc w:val="left"/>
      </w:pPr>
      <w:r>
        <w:rPr>
          <w:rFonts w:ascii="Arial" w:hAnsi="Arial"/>
          <w:color w:val="525252"/>
          <w:sz w:val="13"/>
        </w:rPr>
        <w:t>In late 1960, President Eisenhower authorized the Central Intelligence Agency to plan an invasion using Cuban exiles as troops to overthrow Castro and install a pro- U.S. Government.</w:t>
      </w:r>
    </w:p>
    <w:p>
      <w:pPr>
        <w:spacing w:after="20" w:line="223" w:lineRule="auto"/>
        <w:jc w:val="right"/>
        <w:bidi/>
      </w:pPr>
      <w:r>
        <w:rPr>
          <w:rFonts w:ascii="Arial" w:hAnsi="Arial"/>
          <w:sz w:val="16"/>
        </w:rPr>
        <w:t>034.18  در اواسط آوریل ۱۹۶۱، در دوران ریاست جمهوری جان اف کندی، دستور تهاجم صادر شد.</w:t>
      </w:r>
    </w:p>
    <w:p>
      <w:pPr>
        <w:spacing w:after="28" w:line="216" w:lineRule="auto"/>
        <w:ind w:left="259"/>
        <w:jc w:val="left"/>
      </w:pPr>
      <w:r>
        <w:rPr>
          <w:rFonts w:ascii="Arial" w:hAnsi="Arial"/>
          <w:color w:val="525252"/>
          <w:sz w:val="13"/>
        </w:rPr>
        <w:t>In mid-April 1961, during John F. Kennedy’s presidency, the invasion was ordered to proceed.</w:t>
      </w:r>
    </w:p>
    <w:p>
      <w:pPr>
        <w:spacing w:after="20" w:line="223" w:lineRule="auto"/>
        <w:jc w:val="right"/>
        <w:bidi/>
      </w:pPr>
      <w:r>
        <w:rPr>
          <w:rFonts w:ascii="Arial" w:hAnsi="Arial"/>
          <w:sz w:val="16"/>
        </w:rPr>
        <w:t>034.19  تبعیدیان کوبایی در خلیج خوک‌ها فرود آمدند و شکست سختی را متحمل شدند.</w:t>
      </w:r>
    </w:p>
    <w:p>
      <w:pPr>
        <w:spacing w:after="28" w:line="216" w:lineRule="auto"/>
        <w:ind w:left="259"/>
        <w:jc w:val="left"/>
      </w:pPr>
      <w:r>
        <w:rPr>
          <w:rFonts w:ascii="Arial" w:hAnsi="Arial"/>
          <w:color w:val="525252"/>
          <w:sz w:val="13"/>
        </w:rPr>
        <w:t>The Cuban exiles landed at the Bay of Pigs and suffered a crushing defeat.</w:t>
      </w:r>
    </w:p>
    <w:p>
      <w:pPr>
        <w:spacing w:after="20" w:line="223" w:lineRule="auto"/>
        <w:jc w:val="right"/>
        <w:bidi/>
      </w:pPr>
      <w:r>
        <w:rPr>
          <w:rFonts w:ascii="Arial" w:hAnsi="Arial"/>
          <w:sz w:val="16"/>
        </w:rPr>
        <w:t>034.20  اتحاد جماهیر شوروی تقریبا بلافاصله کمک‌های اقتصادی و نظامی به کوبا را افزایش داد.</w:t>
      </w:r>
    </w:p>
    <w:p>
      <w:pPr>
        <w:spacing w:after="28" w:line="216" w:lineRule="auto"/>
        <w:ind w:left="259"/>
        <w:jc w:val="left"/>
      </w:pPr>
      <w:r>
        <w:rPr>
          <w:rFonts w:ascii="Arial" w:hAnsi="Arial"/>
          <w:color w:val="525252"/>
          <w:sz w:val="13"/>
        </w:rPr>
        <w:t>The Soviet Union almost immediately increased economic and military aid to Cuba.</w:t>
      </w:r>
    </w:p>
    <w:p>
      <w:pPr>
        <w:spacing w:after="20" w:line="223" w:lineRule="auto"/>
        <w:jc w:val="right"/>
        <w:bidi/>
      </w:pPr>
      <w:r>
        <w:rPr>
          <w:rFonts w:ascii="Arial" w:hAnsi="Arial"/>
          <w:sz w:val="16"/>
        </w:rPr>
        <w:t>034.21  در آگوست ۱۹۶۲، عکس‌هایی از یک هواپیمای و-۲ از فرماندهی استراتژیک هوایی ساخت مجتمع‌های موشک‌های بالستیک میان‌برد و میان‌برد در کوبا را تأیید کرد.</w:t>
      </w:r>
    </w:p>
    <w:p>
      <w:pPr>
        <w:spacing w:after="28" w:line="216" w:lineRule="auto"/>
        <w:ind w:left="259"/>
        <w:jc w:val="left"/>
      </w:pPr>
      <w:r>
        <w:rPr>
          <w:rFonts w:ascii="Arial" w:hAnsi="Arial"/>
          <w:color w:val="525252"/>
          <w:sz w:val="13"/>
        </w:rPr>
        <w:t>In August 1962, photographs from a U-2 aircraft from Strategic Air Command confirmed the construction of intermediate- and medium-range ballistic missile complexes on Cuba.</w:t>
      </w:r>
    </w:p>
    <w:p>
      <w:pPr>
        <w:spacing w:after="20" w:line="223" w:lineRule="auto"/>
        <w:jc w:val="right"/>
        <w:bidi/>
      </w:pPr>
      <w:r>
        <w:rPr>
          <w:rFonts w:ascii="Arial" w:hAnsi="Arial"/>
          <w:sz w:val="16"/>
        </w:rPr>
        <w:t>034.22  نیروهای نظامی ما آماده‌سازی برای تهاجم را آغاز کردند، پروازهای شناسایی سطح پایین انجام دادند، هواپیماها را در پایگاه‌های متعدد در فلوریدا مستقر کردند، هواپیماهای ب-۴۷ با قابلیت هسته‌ای را در سراسر ایالات متحده پراکنده کردند و بمب‌افکن‌های سنگین ب-۵۲ را آماده حمله در هوا نگه داشتند.</w:t>
      </w:r>
    </w:p>
    <w:p>
      <w:pPr>
        <w:spacing w:after="28" w:line="216" w:lineRule="auto"/>
        <w:ind w:left="259"/>
        <w:jc w:val="left"/>
      </w:pPr>
      <w:r>
        <w:rPr>
          <w:rFonts w:ascii="Arial" w:hAnsi="Arial"/>
          <w:color w:val="525252"/>
          <w:sz w:val="13"/>
        </w:rPr>
        <w:t>Our military forces began preparations for an invasion, conducted low-level reconnaissance flights, deployed aircraft to numerous bases in Florida, dispersed nuclear-capable B-47 aircraft across the United States, and kept B-52 heavy bombers in the air ready to strike.</w:t>
      </w:r>
    </w:p>
    <w:p>
      <w:pPr>
        <w:spacing w:after="20" w:line="223" w:lineRule="auto"/>
        <w:jc w:val="right"/>
        <w:bidi/>
      </w:pPr>
      <w:r>
        <w:rPr>
          <w:rFonts w:ascii="Arial" w:hAnsi="Arial"/>
          <w:sz w:val="16"/>
        </w:rPr>
        <w:t>034.23  تنش‌ها در حالی تشدید شد که پرزیدنت کندی، مشاوران امنیت ملی او و مقامات ارشد نظامی در مورد مؤثرترین اقدام علیه اتحاد جماهیر شوروی بحث کردند.</w:t>
      </w:r>
    </w:p>
    <w:p>
      <w:pPr>
        <w:spacing w:after="28" w:line="216" w:lineRule="auto"/>
        <w:ind w:left="259"/>
        <w:jc w:val="left"/>
      </w:pPr>
      <w:r>
        <w:rPr>
          <w:rFonts w:ascii="Arial" w:hAnsi="Arial"/>
          <w:color w:val="525252"/>
          <w:sz w:val="13"/>
        </w:rPr>
        <w:t>Tensions escalated while President Kennedy, his national security advisors, and senior military officials discussed the most effective course of action against the Soviet Union.</w:t>
      </w:r>
    </w:p>
    <w:p>
      <w:pPr>
        <w:spacing w:after="20" w:line="223" w:lineRule="auto"/>
        <w:jc w:val="right"/>
        <w:bidi/>
      </w:pPr>
      <w:r>
        <w:rPr>
          <w:rFonts w:ascii="Arial" w:hAnsi="Arial"/>
          <w:sz w:val="16"/>
        </w:rPr>
        <w:t>034.24  بسیاری از اعضای ستاد مشترک ارتش از تهاجم حمایت کردند، اما پرزیدنت کندی تصمیم گرفت که محاصره دریایی جزیره را برای جلوگیری از رسیدن مواد بیشتر به کوبا اعمال کند.</w:t>
      </w:r>
    </w:p>
    <w:p>
      <w:pPr>
        <w:spacing w:after="28" w:line="216" w:lineRule="auto"/>
        <w:ind w:left="259"/>
        <w:jc w:val="left"/>
      </w:pPr>
      <w:r>
        <w:rPr>
          <w:rFonts w:ascii="Arial" w:hAnsi="Arial"/>
          <w:color w:val="525252"/>
          <w:sz w:val="13"/>
        </w:rPr>
        <w:t>Many on the Joint Chiefs of Staff favored an invasion, but President Kennedy chose to impose a naval blockade of the island to prevent more materiel from reaching Cuba.</w:t>
      </w:r>
    </w:p>
    <w:p>
      <w:pPr>
        <w:spacing w:after="20" w:line="223" w:lineRule="auto"/>
        <w:jc w:val="right"/>
        <w:bidi/>
      </w:pPr>
      <w:r>
        <w:rPr>
          <w:rFonts w:ascii="Arial" w:hAnsi="Arial"/>
          <w:sz w:val="16"/>
        </w:rPr>
        <w:t>034.25  که هنوز از نظر فنی یک اقدام جنگی بود، محاصره مزیت آن را داشت که تنش‌های جنگ سرد را تشدید نکرد.</w:t>
      </w:r>
    </w:p>
    <w:p>
      <w:pPr>
        <w:spacing w:after="28" w:line="216" w:lineRule="auto"/>
        <w:ind w:left="259"/>
        <w:jc w:val="left"/>
      </w:pPr>
      <w:r>
        <w:rPr>
          <w:rFonts w:ascii="Arial" w:hAnsi="Arial"/>
          <w:color w:val="525252"/>
          <w:sz w:val="13"/>
        </w:rPr>
        <w:t>Still technically an act of war, the blockade had the advantage of not escalating tensions of the Cold War.</w:t>
      </w:r>
    </w:p>
    <w:p>
      <w:pPr>
        <w:spacing w:after="20" w:line="223" w:lineRule="auto"/>
        <w:jc w:val="right"/>
        <w:bidi/>
      </w:pPr>
      <w:r>
        <w:rPr>
          <w:rFonts w:ascii="Arial" w:hAnsi="Arial"/>
          <w:sz w:val="16"/>
        </w:rPr>
        <w:t>034.26  در حالی که تدارکات نظامی ادامه داشت، ایالات متحده موافقت کرد که در ازای برداشتن موشک‌های شوروی از جزیره به کوبا حمله نکند.</w:t>
      </w:r>
    </w:p>
    <w:p>
      <w:pPr>
        <w:spacing w:after="28" w:line="216" w:lineRule="auto"/>
        <w:ind w:left="259"/>
        <w:jc w:val="left"/>
      </w:pPr>
      <w:r>
        <w:rPr>
          <w:rFonts w:ascii="Arial" w:hAnsi="Arial"/>
          <w:color w:val="525252"/>
          <w:sz w:val="13"/>
        </w:rPr>
        <w:t>While military preparations continued, the United States agreed not to invade Cuba in exchange for removal of Soviet missiles from the island.</w:t>
      </w:r>
    </w:p>
    <w:p>
      <w:pPr>
        <w:spacing w:after="20" w:line="223" w:lineRule="auto"/>
        <w:jc w:val="right"/>
        <w:bidi/>
      </w:pPr>
      <w:r>
        <w:rPr>
          <w:rFonts w:ascii="Arial" w:hAnsi="Arial"/>
          <w:sz w:val="16"/>
        </w:rPr>
        <w:t>034.27  مخفیانه نیز توافق کردیم که موشک‌های آمریکایی را از ترکیه خارج کنیم.</w:t>
      </w:r>
    </w:p>
    <w:p>
      <w:pPr>
        <w:spacing w:after="28" w:line="216" w:lineRule="auto"/>
        <w:ind w:left="259"/>
        <w:jc w:val="left"/>
      </w:pPr>
      <w:r>
        <w:rPr>
          <w:rFonts w:ascii="Arial" w:hAnsi="Arial"/>
          <w:color w:val="525252"/>
          <w:sz w:val="13"/>
        </w:rPr>
        <w:t>Secretly, we also agreed to remove American missiles from Turkey.</w:t>
      </w:r>
    </w:p>
    <w:p>
      <w:pPr>
        <w:spacing w:after="20" w:line="223" w:lineRule="auto"/>
        <w:jc w:val="right"/>
        <w:bidi/>
      </w:pPr>
      <w:r>
        <w:rPr>
          <w:rFonts w:ascii="Arial" w:hAnsi="Arial"/>
          <w:sz w:val="16"/>
        </w:rPr>
        <w:t>034.28  شوروی کشتی‌های خود را به مقصد کوبا چرخاند، موشک‌ها را در کوبا بسته‌بندی کرد و سکوهای پرتاب را از بین برد.</w:t>
      </w:r>
    </w:p>
    <w:p>
      <w:pPr>
        <w:spacing w:after="28" w:line="216" w:lineRule="auto"/>
        <w:ind w:left="259"/>
        <w:jc w:val="left"/>
      </w:pPr>
      <w:r>
        <w:rPr>
          <w:rFonts w:ascii="Arial" w:hAnsi="Arial"/>
          <w:color w:val="525252"/>
          <w:sz w:val="13"/>
        </w:rPr>
        <w:t>The Soviets turned their Cuban-bound ships around, packed up the missiles in Cuba, and dismantled the launch pads.</w:t>
      </w:r>
    </w:p>
    <w:p>
      <w:pPr>
        <w:spacing w:after="20" w:line="223" w:lineRule="auto"/>
        <w:jc w:val="right"/>
        <w:bidi/>
      </w:pPr>
      <w:r>
        <w:rPr>
          <w:rFonts w:ascii="Arial" w:hAnsi="Arial"/>
          <w:sz w:val="16"/>
        </w:rPr>
        <w:t>034.29  با پیشرفت کار، USAF به تدریج هواپیماها را به پایگاه‌های خود مستقر کرد و وضعیت هشدار را کاهش داد.</w:t>
      </w:r>
    </w:p>
    <w:p>
      <w:pPr>
        <w:spacing w:after="28" w:line="216" w:lineRule="auto"/>
        <w:ind w:left="259"/>
        <w:jc w:val="left"/>
      </w:pPr>
      <w:r>
        <w:rPr>
          <w:rFonts w:ascii="Arial" w:hAnsi="Arial"/>
          <w:color w:val="525252"/>
          <w:sz w:val="13"/>
        </w:rPr>
        <w:t>As the work progressed, the USAF gradually deployed aircraft back to home bases and lowered the alert status.</w:t>
      </w:r>
    </w:p>
    <w:p>
      <w:pPr>
        <w:spacing w:after="20" w:line="223" w:lineRule="auto"/>
        <w:jc w:val="right"/>
        <w:bidi/>
      </w:pPr>
      <w:r>
        <w:rPr>
          <w:rFonts w:ascii="Arial" w:hAnsi="Arial"/>
          <w:sz w:val="16"/>
        </w:rPr>
        <w:t>034.30  بحران موشکی کوبا، ایالات متحده و اتحاد جماهیر شوروی را به‌طور خطرناکی به جنگ هسته‌ای نزدیک کرد.</w:t>
      </w:r>
    </w:p>
    <w:p>
      <w:pPr>
        <w:spacing w:after="28" w:line="216" w:lineRule="auto"/>
        <w:ind w:left="259"/>
        <w:jc w:val="left"/>
      </w:pPr>
      <w:r>
        <w:rPr>
          <w:rFonts w:ascii="Arial" w:hAnsi="Arial"/>
          <w:color w:val="525252"/>
          <w:sz w:val="13"/>
        </w:rPr>
        <w:t>The Cuban missile crisis brought the United States and the Soviet Union dangerously close to nuclear war.</w:t>
      </w:r>
    </w:p>
    <w:p>
      <w:pPr>
        <w:spacing w:after="20" w:line="223" w:lineRule="auto"/>
        <w:jc w:val="right"/>
        <w:bidi/>
      </w:pPr>
      <w:r>
        <w:rPr>
          <w:rFonts w:ascii="Arial" w:hAnsi="Arial"/>
          <w:sz w:val="16"/>
        </w:rPr>
        <w:t>034.31  قدرت استراتژیک و تاکتیکی ما، همراه با اراده و توانایی استفاده از آن، هم افزایی را برای جلوگیری از جنگ هسته‌ای و متقاعد کردن رهبران شوروی برای حذف سلاح‌های هسته‌ای از کوبا فراهم کرد.</w:t>
      </w:r>
    </w:p>
    <w:p>
      <w:pPr>
        <w:spacing w:after="28" w:line="216" w:lineRule="auto"/>
        <w:ind w:left="259"/>
        <w:jc w:val="left"/>
      </w:pPr>
      <w:r>
        <w:rPr>
          <w:rFonts w:ascii="Arial" w:hAnsi="Arial"/>
          <w:color w:val="525252"/>
          <w:sz w:val="13"/>
        </w:rPr>
        <w:t>Our strategic and tactical power, coupled with the will and ability to use it, provided the synergy to deter nuclear war and convince Soviet leaders to remove the nuclear weapons from Cuba.</w:t>
      </w:r>
    </w:p>
    <w:p>
      <w:pPr>
        <w:spacing w:after="20" w:line="223" w:lineRule="auto"/>
        <w:jc w:val="right"/>
        <w:bidi/>
      </w:pPr>
      <w:r>
        <w:rPr>
          <w:rFonts w:ascii="Arial" w:hAnsi="Arial"/>
          <w:sz w:val="16"/>
        </w:rPr>
        <w:t>034.32  توجه: در اوایل دهه ۱۹۶۰، دکترین استراتژیک تخریب متقابل تضمین شده در خط مقدم استراتژی ملی قرار گرفت.</w:t>
      </w:r>
    </w:p>
    <w:p>
      <w:pPr>
        <w:spacing w:after="28" w:line="216" w:lineRule="auto"/>
        <w:ind w:left="259"/>
        <w:jc w:val="left"/>
      </w:pPr>
      <w:r>
        <w:rPr>
          <w:rFonts w:ascii="Arial" w:hAnsi="Arial"/>
          <w:color w:val="525252"/>
          <w:sz w:val="13"/>
        </w:rPr>
        <w:t>Note: In the early 1960s, the strategic doctrine of mutually assured destruction came to the forefront of national strategy.</w:t>
      </w:r>
    </w:p>
    <w:p>
      <w:pPr>
        <w:spacing w:after="20" w:line="223" w:lineRule="auto"/>
        <w:jc w:val="right"/>
        <w:bidi/>
      </w:pPr>
      <w:r>
        <w:rPr>
          <w:rFonts w:ascii="Arial" w:hAnsi="Arial"/>
          <w:sz w:val="16"/>
        </w:rPr>
        <w:t>034.33  این دکترین مبتنی بر این نظریه بود که نیروهای هسته‌ای استراتژیک ابرقدرت می‌توانند اندازه و محافظت شوند تا از حمله هسته‌ای جان سالم به در ببرند و با نیروی کافی برای نابودی طرف مقابل مقابله کنند.</w:t>
      </w:r>
    </w:p>
    <w:p>
      <w:pPr>
        <w:spacing w:after="28" w:line="216" w:lineRule="auto"/>
        <w:ind w:left="259"/>
        <w:jc w:val="left"/>
      </w:pPr>
      <w:r>
        <w:rPr>
          <w:rFonts w:ascii="Arial" w:hAnsi="Arial"/>
          <w:color w:val="525252"/>
          <w:sz w:val="13"/>
        </w:rPr>
        <w:t>The doctrine was based on the theory that superpower strategic nuclear forces could be sized and protected to survive a nuclear attack and retaliate with sufficient force to destroy the other side.</w:t>
      </w:r>
    </w:p>
    <w:p>
      <w:r>
        <w:br w:type="page"/>
      </w:r>
    </w:p>
    <w:p>
      <w:pPr>
        <w:spacing w:after="60"/>
        <w:jc w:val="right"/>
        <w:bidi/>
      </w:pPr>
      <w:r>
        <w:rPr>
          <w:rFonts w:ascii="Arial" w:hAnsi="Arial"/>
          <w:b/>
          <w:color w:val="1F4D78"/>
          <w:sz w:val="19"/>
        </w:rPr>
        <w:t>هفتهٔ 35  |  صفحهٔ منبع: 51</w:t>
      </w:r>
    </w:p>
    <w:p>
      <w:pPr>
        <w:spacing w:after="20" w:line="223" w:lineRule="auto"/>
        <w:jc w:val="right"/>
        <w:bidi/>
      </w:pPr>
      <w:r>
        <w:rPr>
          <w:rFonts w:ascii="Arial" w:hAnsi="Arial"/>
          <w:sz w:val="16"/>
        </w:rPr>
        <w:t>035.01  چنین تخریب تلافی جویانه‌ای با این فرض که هیچ رهبر منطقی جنگ هسته‌ای را آغاز نمی‌کند با علم به اینکه نتیجه آن تخریب هسته‌ای خواهد بود، بازدارنده تلقی می‌شد.</w:t>
      </w:r>
    </w:p>
    <w:p>
      <w:pPr>
        <w:spacing w:after="28" w:line="216" w:lineRule="auto"/>
        <w:ind w:left="259"/>
        <w:jc w:val="left"/>
      </w:pPr>
      <w:r>
        <w:rPr>
          <w:rFonts w:ascii="Arial" w:hAnsi="Arial"/>
          <w:color w:val="525252"/>
          <w:sz w:val="13"/>
        </w:rPr>
        <w:t>Such retaliatory destruction was considered to be deterrent under the premise that no rational leader would start a nuclear war knowing the result would be nuclear destruction.</w:t>
      </w:r>
    </w:p>
    <w:p>
      <w:pPr>
        <w:spacing w:after="20" w:line="223" w:lineRule="auto"/>
        <w:jc w:val="right"/>
        <w:bidi/>
      </w:pPr>
      <w:r>
        <w:rPr>
          <w:rFonts w:ascii="Arial" w:hAnsi="Arial"/>
          <w:sz w:val="16"/>
        </w:rPr>
        <w:t>035.02  در می‌۱۹۷۲، ایالات متحده و اتحاد جماهیر شوروی معاهده ضد موشک بالستیک (ABM) را امضا کردند.</w:t>
      </w:r>
    </w:p>
    <w:p>
      <w:pPr>
        <w:spacing w:after="28" w:line="216" w:lineRule="auto"/>
        <w:ind w:left="259"/>
        <w:jc w:val="left"/>
      </w:pPr>
      <w:r>
        <w:rPr>
          <w:rFonts w:ascii="Arial" w:hAnsi="Arial"/>
          <w:color w:val="525252"/>
          <w:sz w:val="13"/>
        </w:rPr>
        <w:t>In May 1972, the United States and the Soviet Union signed the Anti-Ballistic Missile (ABM) Treaty.</w:t>
      </w:r>
    </w:p>
    <w:p>
      <w:pPr>
        <w:spacing w:after="20" w:line="223" w:lineRule="auto"/>
        <w:jc w:val="right"/>
        <w:bidi/>
      </w:pPr>
      <w:r>
        <w:rPr>
          <w:rFonts w:ascii="Arial" w:hAnsi="Arial"/>
          <w:sz w:val="16"/>
        </w:rPr>
        <w:t>035.03  این معاهده در اکتبر ۱۹۷۲ لازم‌الاجرا شد و در اصل به هر دو طرف اجازه می‌داد دو سایت ثابت و زمینی موشک‌های ضد بالستیک مستقر کنند.</w:t>
      </w:r>
    </w:p>
    <w:p>
      <w:pPr>
        <w:spacing w:after="28" w:line="216" w:lineRule="auto"/>
        <w:ind w:left="259"/>
        <w:jc w:val="left"/>
      </w:pPr>
      <w:r>
        <w:rPr>
          <w:rFonts w:ascii="Arial" w:hAnsi="Arial"/>
          <w:color w:val="525252"/>
          <w:sz w:val="13"/>
        </w:rPr>
        <w:t>The Treaty entered into force in October 1972 and originally permitted both parties to deploy two fixed, ground-based anti-ballistic missile sites.</w:t>
      </w:r>
    </w:p>
    <w:p>
      <w:pPr>
        <w:spacing w:after="20" w:line="223" w:lineRule="auto"/>
        <w:jc w:val="right"/>
        <w:bidi/>
      </w:pPr>
      <w:r>
        <w:rPr>
          <w:rFonts w:ascii="Arial" w:hAnsi="Arial"/>
          <w:sz w:val="16"/>
        </w:rPr>
        <w:t>035.04  یک سایت می‌تواند از سرمایه ملی محافظت کند، در حالی که مکان دوم می‌تواند در یک میدان ICBM واقع شود.</w:t>
      </w:r>
    </w:p>
    <w:p>
      <w:pPr>
        <w:spacing w:after="28" w:line="216" w:lineRule="auto"/>
        <w:ind w:left="259"/>
        <w:jc w:val="left"/>
      </w:pPr>
      <w:r>
        <w:rPr>
          <w:rFonts w:ascii="Arial" w:hAnsi="Arial"/>
          <w:color w:val="525252"/>
          <w:sz w:val="13"/>
        </w:rPr>
        <w:t>One site could protect the national capital, while the second could be located at an ICBM field.</w:t>
      </w:r>
    </w:p>
    <w:p>
      <w:pPr>
        <w:spacing w:after="20" w:line="223" w:lineRule="auto"/>
        <w:jc w:val="right"/>
        <w:bidi/>
      </w:pPr>
      <w:r>
        <w:rPr>
          <w:rFonts w:ascii="Arial" w:hAnsi="Arial"/>
          <w:sz w:val="16"/>
        </w:rPr>
        <w:t>035.05  متعاقبا، پروتکل جولای ۱۹۷۵ تعداد سایت‌های مجاز ABM را به نصف کاهش داد.</w:t>
      </w:r>
    </w:p>
    <w:p>
      <w:pPr>
        <w:spacing w:after="28" w:line="216" w:lineRule="auto"/>
        <w:ind w:left="259"/>
        <w:jc w:val="left"/>
      </w:pPr>
      <w:r>
        <w:rPr>
          <w:rFonts w:ascii="Arial" w:hAnsi="Arial"/>
          <w:color w:val="525252"/>
          <w:sz w:val="13"/>
        </w:rPr>
        <w:t>Subsequently, a July 1975 protocol halved the numbered of permitted ABM sites.</w:t>
      </w:r>
    </w:p>
    <w:p>
      <w:pPr>
        <w:spacing w:after="20" w:line="223" w:lineRule="auto"/>
        <w:jc w:val="right"/>
        <w:bidi/>
      </w:pPr>
      <w:r>
        <w:rPr>
          <w:rFonts w:ascii="Arial" w:hAnsi="Arial"/>
          <w:sz w:val="16"/>
        </w:rPr>
        <w:t>035.06  ایالات متحده در ژوئن ۲۰۰۲ از معاهده ABM خارج شد.</w:t>
      </w:r>
    </w:p>
    <w:p>
      <w:pPr>
        <w:spacing w:after="28" w:line="216" w:lineRule="auto"/>
        <w:ind w:left="259"/>
        <w:jc w:val="left"/>
      </w:pPr>
      <w:r>
        <w:rPr>
          <w:rFonts w:ascii="Arial" w:hAnsi="Arial"/>
          <w:color w:val="525252"/>
          <w:sz w:val="13"/>
        </w:rPr>
        <w:t>The United States withdrew from the ABM Treaty in June 2002.</w:t>
      </w:r>
    </w:p>
    <w:p>
      <w:pPr>
        <w:spacing w:before="60" w:after="28"/>
        <w:jc w:val="right"/>
        <w:bidi/>
      </w:pPr>
      <w:r>
        <w:rPr>
          <w:b/>
          <w:color w:val="1F4D78"/>
          <w:sz w:val="18"/>
        </w:rPr>
        <w:t>3.6. درگیری ویتنام</w:t>
      </w:r>
    </w:p>
    <w:p>
      <w:pPr>
        <w:spacing w:after="20"/>
        <w:ind w:left="259"/>
        <w:jc w:val="left"/>
      </w:pPr>
      <w:r>
        <w:rPr>
          <w:color w:val="555555"/>
          <w:sz w:val="12"/>
        </w:rPr>
        <w:t>3.6. Vietnam Conflict</w:t>
      </w:r>
    </w:p>
    <w:p>
      <w:pPr>
        <w:spacing w:after="20" w:line="223" w:lineRule="auto"/>
        <w:jc w:val="right"/>
        <w:bidi/>
      </w:pPr>
      <w:r>
        <w:rPr>
          <w:rFonts w:ascii="Arial" w:hAnsi="Arial"/>
          <w:sz w:val="16"/>
        </w:rPr>
        <w:t>035.08  درگیری ویتنام عمدتا بین ویتنام شمالی و ویتنام جنوبی بر سر اینکه کدام طرف بر ویتنام حکومت خواهد کرد، درگرفت.</w:t>
      </w:r>
    </w:p>
    <w:p>
      <w:pPr>
        <w:spacing w:after="28" w:line="216" w:lineRule="auto"/>
        <w:ind w:left="259"/>
        <w:jc w:val="left"/>
      </w:pPr>
      <w:r>
        <w:rPr>
          <w:rFonts w:ascii="Arial" w:hAnsi="Arial"/>
          <w:color w:val="525252"/>
          <w:sz w:val="13"/>
        </w:rPr>
        <w:t>The Vietnam Conflict was fought primarily between the North Vietnamese and the South Vietnamese over which side would govern Vietnam.</w:t>
      </w:r>
    </w:p>
    <w:p>
      <w:pPr>
        <w:spacing w:after="20" w:line="223" w:lineRule="auto"/>
        <w:jc w:val="right"/>
        <w:bidi/>
      </w:pPr>
      <w:r>
        <w:rPr>
          <w:rFonts w:ascii="Arial" w:hAnsi="Arial"/>
          <w:sz w:val="16"/>
        </w:rPr>
        <w:t>035.09  ویتنام شمالی، به نمایندگی از ویت مین به رهبری هوشی مین، از حمایت چین و روسیه برخوردار شد.</w:t>
      </w:r>
    </w:p>
    <w:p>
      <w:pPr>
        <w:spacing w:after="28" w:line="216" w:lineRule="auto"/>
        <w:ind w:left="259"/>
        <w:jc w:val="left"/>
      </w:pPr>
      <w:r>
        <w:rPr>
          <w:rFonts w:ascii="Arial" w:hAnsi="Arial"/>
          <w:color w:val="525252"/>
          <w:sz w:val="13"/>
        </w:rPr>
        <w:t>North Vietnam, represented by the Viet Minh under Ho Chi Minh’s direction, gained support from China and Russia.</w:t>
      </w:r>
    </w:p>
    <w:p>
      <w:pPr>
        <w:spacing w:after="20" w:line="223" w:lineRule="auto"/>
        <w:jc w:val="right"/>
        <w:bidi/>
      </w:pPr>
      <w:r>
        <w:rPr>
          <w:rFonts w:ascii="Arial" w:hAnsi="Arial"/>
          <w:sz w:val="16"/>
        </w:rPr>
        <w:t>035.10  ویتنام جنوبی که توسط فرانسوی‌ها به‌عنوان دولت رسمی کشور حمایت می‌شد، توسط ایالات متحده و بریتانیا کمک می‌شد.</w:t>
      </w:r>
    </w:p>
    <w:p>
      <w:pPr>
        <w:spacing w:after="28" w:line="216" w:lineRule="auto"/>
        <w:ind w:left="259"/>
        <w:jc w:val="left"/>
      </w:pPr>
      <w:r>
        <w:rPr>
          <w:rFonts w:ascii="Arial" w:hAnsi="Arial"/>
          <w:color w:val="525252"/>
          <w:sz w:val="13"/>
        </w:rPr>
        <w:t>South Vietnam, supported by the French as the official government of the country, was aided by the United States and Great Britain.</w:t>
      </w:r>
    </w:p>
    <w:p>
      <w:pPr>
        <w:spacing w:after="20" w:line="223" w:lineRule="auto"/>
        <w:jc w:val="right"/>
        <w:bidi/>
      </w:pPr>
      <w:r>
        <w:rPr>
          <w:rFonts w:ascii="Arial" w:hAnsi="Arial"/>
          <w:sz w:val="16"/>
        </w:rPr>
        <w:t>035.11  در دهه ۱۹۵۰، مشارکت ما در ویتنام به‌عنوان یک عملیات جنگ سرد آغاز شد.</w:t>
      </w:r>
    </w:p>
    <w:p>
      <w:pPr>
        <w:spacing w:after="28" w:line="216" w:lineRule="auto"/>
        <w:ind w:left="259"/>
        <w:jc w:val="left"/>
      </w:pPr>
      <w:r>
        <w:rPr>
          <w:rFonts w:ascii="Arial" w:hAnsi="Arial"/>
          <w:color w:val="525252"/>
          <w:sz w:val="13"/>
        </w:rPr>
        <w:t>In the 1950s, our involvement in Vietnam began as a cold war operation.</w:t>
      </w:r>
    </w:p>
    <w:p>
      <w:pPr>
        <w:spacing w:after="20" w:line="223" w:lineRule="auto"/>
        <w:jc w:val="right"/>
        <w:bidi/>
      </w:pPr>
      <w:r>
        <w:rPr>
          <w:rFonts w:ascii="Arial" w:hAnsi="Arial"/>
          <w:sz w:val="16"/>
        </w:rPr>
        <w:t>035.12  سیاست مهار کمونیسم پس از جنگ جهانی دوم، رئیس جمهور هری اس. ترومن را بر آن داشت تا ردپای نظامی را افزایش دهد، بنابراین درگیر درگیری شد، اما اعلان جنگ نکرد.</w:t>
      </w:r>
    </w:p>
    <w:p>
      <w:pPr>
        <w:spacing w:after="28" w:line="216" w:lineRule="auto"/>
        <w:ind w:left="259"/>
        <w:jc w:val="left"/>
      </w:pPr>
      <w:r>
        <w:rPr>
          <w:rFonts w:ascii="Arial" w:hAnsi="Arial"/>
          <w:color w:val="525252"/>
          <w:sz w:val="13"/>
        </w:rPr>
        <w:t>The post-World War II policy of containment of communism prompted President Harry S. Truman to increase the military footprint, thus engaging in the conflict, but not declaring war.</w:t>
      </w:r>
    </w:p>
    <w:p>
      <w:pPr>
        <w:spacing w:after="20" w:line="223" w:lineRule="auto"/>
        <w:jc w:val="right"/>
        <w:bidi/>
      </w:pPr>
      <w:r>
        <w:rPr>
          <w:rFonts w:ascii="Arial" w:hAnsi="Arial"/>
          <w:sz w:val="16"/>
        </w:rPr>
        <w:t>035.13  با افزایش عملیات هوایی تهاجمی، حضور نیروی هوایی ارتش آمریکا در جنوب شرقی آسیا حتی بیشتر شد.</w:t>
      </w:r>
    </w:p>
    <w:p>
      <w:pPr>
        <w:spacing w:after="28" w:line="216" w:lineRule="auto"/>
        <w:ind w:left="259"/>
        <w:jc w:val="left"/>
      </w:pPr>
      <w:r>
        <w:rPr>
          <w:rFonts w:ascii="Arial" w:hAnsi="Arial"/>
          <w:color w:val="525252"/>
          <w:sz w:val="13"/>
        </w:rPr>
        <w:t>As offensive air operations increased, USAF presence in Southeast Asia increased even more.</w:t>
      </w:r>
    </w:p>
    <w:p>
      <w:pPr>
        <w:spacing w:after="20" w:line="223" w:lineRule="auto"/>
        <w:jc w:val="right"/>
        <w:bidi/>
      </w:pPr>
      <w:r>
        <w:rPr>
          <w:rFonts w:ascii="Arial" w:hAnsi="Arial"/>
          <w:sz w:val="16"/>
        </w:rPr>
        <w:t>035.14  هوانوردان وظایف مختلفی از جمله مأموریت‌های پشتیبانی، رزمی و نجات را انجام می‌دادند.</w:t>
      </w:r>
    </w:p>
    <w:p>
      <w:pPr>
        <w:spacing w:after="28" w:line="216" w:lineRule="auto"/>
        <w:ind w:left="259"/>
        <w:jc w:val="left"/>
      </w:pPr>
      <w:r>
        <w:rPr>
          <w:rFonts w:ascii="Arial" w:hAnsi="Arial"/>
          <w:color w:val="525252"/>
          <w:sz w:val="13"/>
        </w:rPr>
        <w:t>Airmen performed various duties, including support, combat, and rescue missions.</w:t>
      </w:r>
    </w:p>
    <w:p>
      <w:pPr>
        <w:spacing w:after="20" w:line="223" w:lineRule="auto"/>
        <w:jc w:val="right"/>
        <w:bidi/>
      </w:pPr>
      <w:r>
        <w:rPr>
          <w:rFonts w:ascii="Arial" w:hAnsi="Arial"/>
          <w:sz w:val="16"/>
        </w:rPr>
        <w:t>035.15  تیم‌های نیروی اضطراری مهندس پایگاه، که اغلب با نام پریم BEEF شناخته می‌شوند، روکش‌ها، پادگان‌ها و سایر تاسیسات ساختند.</w:t>
      </w:r>
    </w:p>
    <w:p>
      <w:pPr>
        <w:spacing w:after="28" w:line="216" w:lineRule="auto"/>
        <w:ind w:left="259"/>
        <w:jc w:val="left"/>
      </w:pPr>
      <w:r>
        <w:rPr>
          <w:rFonts w:ascii="Arial" w:hAnsi="Arial"/>
          <w:color w:val="525252"/>
          <w:sz w:val="13"/>
        </w:rPr>
        <w:t>Base Engineer Emergency Force Teams, often referred to as Prime BEEF, built revetments, barracks, and other facilities.</w:t>
      </w:r>
    </w:p>
    <w:p>
      <w:pPr>
        <w:spacing w:after="20" w:line="223" w:lineRule="auto"/>
        <w:jc w:val="right"/>
        <w:bidi/>
      </w:pPr>
      <w:r>
        <w:rPr>
          <w:rFonts w:ascii="Arial" w:hAnsi="Arial"/>
          <w:sz w:val="16"/>
        </w:rPr>
        <w:t>035.16  تیم‌های مهندسی اسکادران تعمیر عملیات سنگین قابل استقرار مهندسی سریع، که اغلب با نام REDHORSE شناخته می‌شوند، خدمات مهندسی عمران دوربرد بیشتری را ارائه کردند.</w:t>
      </w:r>
    </w:p>
    <w:p>
      <w:pPr>
        <w:spacing w:after="28" w:line="216" w:lineRule="auto"/>
        <w:ind w:left="259"/>
        <w:jc w:val="left"/>
      </w:pPr>
      <w:r>
        <w:rPr>
          <w:rFonts w:ascii="Arial" w:hAnsi="Arial"/>
          <w:color w:val="525252"/>
          <w:sz w:val="13"/>
        </w:rPr>
        <w:t>Rapid Engineering Deployable Heavy Operational Repair Squadron Engineer Teams, often referred to as REDHORSE, provided more long-range civil engineer services.</w:t>
      </w:r>
    </w:p>
    <w:p>
      <w:pPr>
        <w:spacing w:after="20" w:line="223" w:lineRule="auto"/>
        <w:jc w:val="right"/>
        <w:bidi/>
      </w:pPr>
      <w:r>
        <w:rPr>
          <w:rFonts w:ascii="Arial" w:hAnsi="Arial"/>
          <w:sz w:val="16"/>
        </w:rPr>
        <w:t>035.17  علاوه بر این، پرسنل ثبت‌نام شده در طول جنگ به‌عنوان توپچی‌های هوایی و لودرنشین در کشتی‌های جنگی خدمت می‌کردند.</w:t>
      </w:r>
    </w:p>
    <w:p>
      <w:pPr>
        <w:spacing w:after="28" w:line="216" w:lineRule="auto"/>
        <w:ind w:left="259"/>
        <w:jc w:val="left"/>
      </w:pPr>
      <w:r>
        <w:rPr>
          <w:rFonts w:ascii="Arial" w:hAnsi="Arial"/>
          <w:color w:val="525252"/>
          <w:sz w:val="13"/>
        </w:rPr>
        <w:t>In addition, enlisted personnel served on gunships during the war as aerial gunners and loadmasters.</w:t>
      </w:r>
    </w:p>
    <w:p>
      <w:pPr>
        <w:spacing w:after="20" w:line="223" w:lineRule="auto"/>
        <w:jc w:val="right"/>
        <w:bidi/>
      </w:pPr>
      <w:r>
        <w:rPr>
          <w:rFonts w:ascii="Arial" w:hAnsi="Arial"/>
          <w:sz w:val="16"/>
        </w:rPr>
        <w:t>035.18  عملیات فارمگیت.</w:t>
      </w:r>
    </w:p>
    <w:p>
      <w:pPr>
        <w:spacing w:after="28" w:line="216" w:lineRule="auto"/>
        <w:ind w:left="259"/>
        <w:jc w:val="left"/>
      </w:pPr>
      <w:r>
        <w:rPr>
          <w:rFonts w:ascii="Arial" w:hAnsi="Arial"/>
          <w:color w:val="525252"/>
          <w:sz w:val="13"/>
        </w:rPr>
        <w:t>Operation Farmgate.</w:t>
      </w:r>
    </w:p>
    <w:p>
      <w:pPr>
        <w:spacing w:after="20" w:line="223" w:lineRule="auto"/>
        <w:jc w:val="right"/>
        <w:bidi/>
      </w:pPr>
      <w:r>
        <w:rPr>
          <w:rFonts w:ascii="Arial" w:hAnsi="Arial"/>
          <w:sz w:val="16"/>
        </w:rPr>
        <w:t>035.19  در سال ۱۹۶۱، در پاسخ به تلاش‌های کمونیست‌ها در لائوس و ویتنام جنوبی، پرزیدنت کندی دستور عملیات فارمگات را صادر کرد.</w:t>
      </w:r>
    </w:p>
    <w:p>
      <w:pPr>
        <w:spacing w:after="28" w:line="216" w:lineRule="auto"/>
        <w:ind w:left="259"/>
        <w:jc w:val="left"/>
      </w:pPr>
      <w:r>
        <w:rPr>
          <w:rFonts w:ascii="Arial" w:hAnsi="Arial"/>
          <w:color w:val="525252"/>
          <w:sz w:val="13"/>
        </w:rPr>
        <w:t>In 1961, in response to Communist efforts in Laos and South Vietnam, President Kennedy ordered Operation Farmgate.</w:t>
      </w:r>
    </w:p>
    <w:p>
      <w:pPr>
        <w:spacing w:after="20" w:line="223" w:lineRule="auto"/>
        <w:jc w:val="right"/>
        <w:bidi/>
      </w:pPr>
      <w:r>
        <w:rPr>
          <w:rFonts w:ascii="Arial" w:hAnsi="Arial"/>
          <w:sz w:val="16"/>
        </w:rPr>
        <w:t>035.20  این عملیات شامل استقرار مخفیانه اسکادران آموزش خدمه رزمی ۴۴۰۰ (جنگل جیم) برای ارائه آموزش به نیروی هوایی ویتنام جنوبی بود.</w:t>
      </w:r>
    </w:p>
    <w:p>
      <w:pPr>
        <w:spacing w:after="28" w:line="216" w:lineRule="auto"/>
        <w:ind w:left="259"/>
        <w:jc w:val="left"/>
      </w:pPr>
      <w:r>
        <w:rPr>
          <w:rFonts w:ascii="Arial" w:hAnsi="Arial"/>
          <w:color w:val="525252"/>
          <w:sz w:val="13"/>
        </w:rPr>
        <w:t>The operation involved the covert deployment of the 4400th Combat Crew Training Squadron (Jungle Jim) to provide training to the South Vietnamese Air Force.</w:t>
      </w:r>
    </w:p>
    <w:p>
      <w:pPr>
        <w:spacing w:after="20" w:line="223" w:lineRule="auto"/>
        <w:jc w:val="right"/>
        <w:bidi/>
      </w:pPr>
      <w:r>
        <w:rPr>
          <w:rFonts w:ascii="Arial" w:hAnsi="Arial"/>
          <w:sz w:val="16"/>
        </w:rPr>
        <w:t>035.21  با پرواز ت-۲۸ تروجانس، ا-۲۶ ینوادرس و ا-۱ سکیرایدرس، خلبانان آمریکایی زیر چتر آموزش رزمی مأموریت‌های تهاجمی را انجام دادند.</w:t>
      </w:r>
    </w:p>
    <w:p>
      <w:pPr>
        <w:spacing w:after="28" w:line="216" w:lineRule="auto"/>
        <w:ind w:left="259"/>
        <w:jc w:val="left"/>
      </w:pPr>
      <w:r>
        <w:rPr>
          <w:rFonts w:ascii="Arial" w:hAnsi="Arial"/>
          <w:color w:val="525252"/>
          <w:sz w:val="13"/>
        </w:rPr>
        <w:t>Flying T-28 Trojans, A-26 Invaders, and A-1E Skyraiders, American pilots launched attack missions under the umbrella of combat training.</w:t>
      </w:r>
    </w:p>
    <w:p>
      <w:pPr>
        <w:spacing w:after="20" w:line="223" w:lineRule="auto"/>
        <w:jc w:val="right"/>
        <w:bidi/>
      </w:pPr>
      <w:r>
        <w:rPr>
          <w:rFonts w:ascii="Arial" w:hAnsi="Arial"/>
          <w:sz w:val="16"/>
        </w:rPr>
        <w:t>035.22  عملیات پیرک ارروو.</w:t>
      </w:r>
    </w:p>
    <w:p>
      <w:pPr>
        <w:spacing w:after="28" w:line="216" w:lineRule="auto"/>
        <w:ind w:left="259"/>
        <w:jc w:val="left"/>
      </w:pPr>
      <w:r>
        <w:rPr>
          <w:rFonts w:ascii="Arial" w:hAnsi="Arial"/>
          <w:color w:val="525252"/>
          <w:sz w:val="13"/>
        </w:rPr>
        <w:t>Operation Pierce Arrow.</w:t>
      </w:r>
    </w:p>
    <w:p>
      <w:pPr>
        <w:spacing w:after="20" w:line="223" w:lineRule="auto"/>
        <w:jc w:val="right"/>
        <w:bidi/>
      </w:pPr>
      <w:r>
        <w:rPr>
          <w:rFonts w:ascii="Arial" w:hAnsi="Arial"/>
          <w:sz w:val="16"/>
        </w:rPr>
        <w:t>035.23  در سال ۱۹۶۴، ویتنام شمالی هنگام گشت زنی در آب‌های خلیج تونکین، به ناوهای یو اس اس مادوکس و یو اس اس ترنر جوی شلیک کرد.</w:t>
      </w:r>
    </w:p>
    <w:p>
      <w:pPr>
        <w:spacing w:after="28" w:line="216" w:lineRule="auto"/>
        <w:ind w:left="259"/>
        <w:jc w:val="left"/>
      </w:pPr>
      <w:r>
        <w:rPr>
          <w:rFonts w:ascii="Arial" w:hAnsi="Arial"/>
          <w:color w:val="525252"/>
          <w:sz w:val="13"/>
        </w:rPr>
        <w:t>In 1964, the North Vietnamese fired on the USS Maddox and USS Turner Joy while patrolling in the waters of the Gulf of Tonkin.</w:t>
      </w:r>
    </w:p>
    <w:p>
      <w:pPr>
        <w:spacing w:after="20" w:line="223" w:lineRule="auto"/>
        <w:jc w:val="right"/>
        <w:bidi/>
      </w:pPr>
      <w:r>
        <w:rPr>
          <w:rFonts w:ascii="Arial" w:hAnsi="Arial"/>
          <w:sz w:val="16"/>
        </w:rPr>
        <w:t>035.24  به دنبال این حادثه، قطعنامه خلیج تونکین به تصویب رسید که به رئیس جمهور لیندون بی. جانسون اجازه می‌دهد از نیروی متعارف در جنوب شرقی آسیا بدون نیاز به اعلام رسمی جنگ توسط کنگره استفاده کند.</w:t>
      </w:r>
    </w:p>
    <w:p>
      <w:pPr>
        <w:spacing w:after="28" w:line="216" w:lineRule="auto"/>
        <w:ind w:left="259"/>
        <w:jc w:val="left"/>
      </w:pPr>
      <w:r>
        <w:rPr>
          <w:rFonts w:ascii="Arial" w:hAnsi="Arial"/>
          <w:color w:val="525252"/>
          <w:sz w:val="13"/>
        </w:rPr>
        <w:t>Following this incident, the Gulf of Tonkin Resolution was passed, authorizing President Lyndon B. Johnson to use conventional force in Southeast Asia without requiring a formal declaration of war by Congress.</w:t>
      </w:r>
    </w:p>
    <w:p>
      <w:pPr>
        <w:spacing w:after="20" w:line="223" w:lineRule="auto"/>
        <w:jc w:val="right"/>
        <w:bidi/>
      </w:pPr>
      <w:r>
        <w:rPr>
          <w:rFonts w:ascii="Arial" w:hAnsi="Arial"/>
          <w:sz w:val="16"/>
        </w:rPr>
        <w:t>035.25  نقش مشاوره ما به سرعت به یکی از عملیات‌های جنگی تبدیل شد.</w:t>
      </w:r>
    </w:p>
    <w:p>
      <w:pPr>
        <w:spacing w:after="28" w:line="216" w:lineRule="auto"/>
        <w:ind w:left="259"/>
        <w:jc w:val="left"/>
      </w:pPr>
      <w:r>
        <w:rPr>
          <w:rFonts w:ascii="Arial" w:hAnsi="Arial"/>
          <w:color w:val="525252"/>
          <w:sz w:val="13"/>
        </w:rPr>
        <w:t>Our advisory role rapidly evolved into one of combat operations.</w:t>
      </w:r>
    </w:p>
    <w:p>
      <w:pPr>
        <w:spacing w:after="20" w:line="223" w:lineRule="auto"/>
        <w:jc w:val="right"/>
        <w:bidi/>
      </w:pPr>
      <w:r>
        <w:rPr>
          <w:rFonts w:ascii="Arial" w:hAnsi="Arial"/>
          <w:sz w:val="16"/>
        </w:rPr>
        <w:t>035.26  اولین حملات بمب گذاری علیه ویتنام شمالی در همان سال رخ داد، زمانی که رئیس جمهور جانسون پوشش محرمانه بودن عملیات انجام شده را برداشت.</w:t>
      </w:r>
    </w:p>
    <w:p>
      <w:pPr>
        <w:spacing w:after="28" w:line="216" w:lineRule="auto"/>
        <w:ind w:left="259"/>
        <w:jc w:val="left"/>
      </w:pPr>
      <w:r>
        <w:rPr>
          <w:rFonts w:ascii="Arial" w:hAnsi="Arial"/>
          <w:color w:val="525252"/>
          <w:sz w:val="13"/>
        </w:rPr>
        <w:t>The first bombing raids against North Vietnam occurred that same year when President Johnson lifted the shroud of secrecy over the operations being conducted.</w:t>
      </w:r>
    </w:p>
    <w:p>
      <w:pPr>
        <w:spacing w:after="20" w:line="223" w:lineRule="auto"/>
        <w:jc w:val="right"/>
        <w:bidi/>
      </w:pPr>
      <w:r>
        <w:rPr>
          <w:rFonts w:ascii="Arial" w:hAnsi="Arial"/>
          <w:sz w:val="16"/>
        </w:rPr>
        <w:t>035.27  به‌عنوان نمایش قدرت، ایالات متحده حملات هوایی را علیه نیروهای ویتنام شمالی و کمونیست در کامبوج ترتیب داد.</w:t>
      </w:r>
    </w:p>
    <w:p>
      <w:pPr>
        <w:spacing w:after="28" w:line="216" w:lineRule="auto"/>
        <w:ind w:left="259"/>
        <w:jc w:val="left"/>
      </w:pPr>
      <w:r>
        <w:rPr>
          <w:rFonts w:ascii="Arial" w:hAnsi="Arial"/>
          <w:color w:val="525252"/>
          <w:sz w:val="13"/>
        </w:rPr>
        <w:t>As a show of force, the United States orchestrated air attacks against the North Vietnamese and Communist forces in Cambodia.</w:t>
      </w:r>
    </w:p>
    <w:p>
      <w:pPr>
        <w:spacing w:after="20" w:line="223" w:lineRule="auto"/>
        <w:jc w:val="right"/>
        <w:bidi/>
      </w:pPr>
      <w:r>
        <w:rPr>
          <w:rFonts w:ascii="Arial" w:hAnsi="Arial"/>
          <w:sz w:val="16"/>
        </w:rPr>
        <w:t>035.28  عملیات دارت شعله ور ی &amp; II.</w:t>
      </w:r>
    </w:p>
    <w:p>
      <w:pPr>
        <w:spacing w:after="28" w:line="216" w:lineRule="auto"/>
        <w:ind w:left="259"/>
        <w:jc w:val="left"/>
      </w:pPr>
      <w:r>
        <w:rPr>
          <w:rFonts w:ascii="Arial" w:hAnsi="Arial"/>
          <w:color w:val="525252"/>
          <w:sz w:val="13"/>
        </w:rPr>
        <w:t>Operation Flaming Dart I &amp; II.</w:t>
      </w:r>
    </w:p>
    <w:p>
      <w:pPr>
        <w:spacing w:after="20" w:line="223" w:lineRule="auto"/>
        <w:jc w:val="right"/>
        <w:bidi/>
      </w:pPr>
      <w:r>
        <w:rPr>
          <w:rFonts w:ascii="Arial" w:hAnsi="Arial"/>
          <w:sz w:val="16"/>
        </w:rPr>
        <w:t>035.29  در سال ۱۹۶۵، ویت کنگ‌های ویتنام شمالی به یک یگان مستشاری کوچک ایالات متحده در سپاه دوم، چهار و نیم مایلی شمال پلیکو حمله کردند.</w:t>
      </w:r>
    </w:p>
    <w:p>
      <w:pPr>
        <w:spacing w:after="28" w:line="216" w:lineRule="auto"/>
        <w:ind w:left="259"/>
        <w:jc w:val="left"/>
      </w:pPr>
      <w:r>
        <w:rPr>
          <w:rFonts w:ascii="Arial" w:hAnsi="Arial"/>
          <w:color w:val="525252"/>
          <w:sz w:val="13"/>
        </w:rPr>
        <w:t>In 1965, the North Vietnamese Viet Cong attacked a small U.S. advisory detachment in II Corps, four-and one-half miles north of Pleiku.</w:t>
      </w:r>
    </w:p>
    <w:p>
      <w:pPr>
        <w:spacing w:after="20" w:line="223" w:lineRule="auto"/>
        <w:jc w:val="right"/>
        <w:bidi/>
      </w:pPr>
      <w:r>
        <w:rPr>
          <w:rFonts w:ascii="Arial" w:hAnsi="Arial"/>
          <w:sz w:val="16"/>
        </w:rPr>
        <w:t>035.30  علاوه بر این، آنها به کمپ هالووی نیز حمله کردند.</w:t>
      </w:r>
    </w:p>
    <w:p>
      <w:pPr>
        <w:spacing w:after="28" w:line="216" w:lineRule="auto"/>
        <w:ind w:left="259"/>
        <w:jc w:val="left"/>
      </w:pPr>
      <w:r>
        <w:rPr>
          <w:rFonts w:ascii="Arial" w:hAnsi="Arial"/>
          <w:color w:val="525252"/>
          <w:sz w:val="13"/>
        </w:rPr>
        <w:t>Moreover, they also struck Camp Holloway.</w:t>
      </w:r>
    </w:p>
    <w:p>
      <w:pPr>
        <w:spacing w:after="20" w:line="223" w:lineRule="auto"/>
        <w:jc w:val="right"/>
        <w:bidi/>
      </w:pPr>
      <w:r>
        <w:rPr>
          <w:rFonts w:ascii="Arial" w:hAnsi="Arial"/>
          <w:sz w:val="16"/>
        </w:rPr>
        <w:t>035.31  در حملات مشترک هشت آمریکایی کشته و ۱۰۴ نفر زخمی شدند.</w:t>
      </w:r>
    </w:p>
    <w:p>
      <w:pPr>
        <w:spacing w:after="28" w:line="216" w:lineRule="auto"/>
        <w:ind w:left="259"/>
        <w:jc w:val="left"/>
      </w:pPr>
      <w:r>
        <w:rPr>
          <w:rFonts w:ascii="Arial" w:hAnsi="Arial"/>
          <w:color w:val="525252"/>
          <w:sz w:val="13"/>
        </w:rPr>
        <w:t>The joint assaults killed eight Americans and wounded 104.</w:t>
      </w:r>
    </w:p>
    <w:p>
      <w:pPr>
        <w:spacing w:after="20" w:line="223" w:lineRule="auto"/>
        <w:jc w:val="right"/>
        <w:bidi/>
      </w:pPr>
      <w:r>
        <w:rPr>
          <w:rFonts w:ascii="Arial" w:hAnsi="Arial"/>
          <w:sz w:val="16"/>
        </w:rPr>
        <w:t>035.32  ایالات متحده با عملیات دارت شعله ور ی، مجموعه‌ای از ۴۹ حمله هوایی علیه اهداف مختلف نظامی در ویتنام شمالی، پاسخ داد.</w:t>
      </w:r>
    </w:p>
    <w:p>
      <w:pPr>
        <w:spacing w:after="28" w:line="216" w:lineRule="auto"/>
        <w:ind w:left="259"/>
        <w:jc w:val="left"/>
      </w:pPr>
      <w:r>
        <w:rPr>
          <w:rFonts w:ascii="Arial" w:hAnsi="Arial"/>
          <w:color w:val="525252"/>
          <w:sz w:val="13"/>
        </w:rPr>
        <w:t>The United States responded with Operation Flaming Dart I, a series of 49 air strikes against various military targets in North Vietnam.</w:t>
      </w:r>
    </w:p>
    <w:p>
      <w:pPr>
        <w:spacing w:after="20" w:line="223" w:lineRule="auto"/>
        <w:jc w:val="right"/>
        <w:bidi/>
      </w:pPr>
      <w:r>
        <w:rPr>
          <w:rFonts w:ascii="Arial" w:hAnsi="Arial"/>
          <w:sz w:val="16"/>
        </w:rPr>
        <w:t>035.33  هنگامی که ویت کنگ در برابر حملات با حمله به هتلی که آمریکایی‌ها در آن مستقر بودند، تلافی کردند، عملیات دارت شعله ور II با حملات هوایی اضافی آغاز شد و با پرتاب هواپیما از سه ناو هواپیمابر نیروی دریایی ایالات متحده تقویت شد.</w:t>
      </w:r>
    </w:p>
    <w:p>
      <w:pPr>
        <w:spacing w:after="28" w:line="216" w:lineRule="auto"/>
        <w:ind w:left="259"/>
        <w:jc w:val="left"/>
      </w:pPr>
      <w:r>
        <w:rPr>
          <w:rFonts w:ascii="Arial" w:hAnsi="Arial"/>
          <w:color w:val="525252"/>
          <w:sz w:val="13"/>
        </w:rPr>
        <w:t>When the Viet Cong retaliated against the strikes by attacking a hotel where Americans were being housed, Operation Flaming Dart II was initiated with additional air attacks and reinforced with aircraft launches from three U.S. Navy aircraft carriers.</w:t>
      </w:r>
    </w:p>
    <w:p>
      <w:pPr>
        <w:spacing w:after="20" w:line="223" w:lineRule="auto"/>
        <w:jc w:val="right"/>
        <w:bidi/>
      </w:pPr>
      <w:r>
        <w:rPr>
          <w:rFonts w:ascii="Arial" w:hAnsi="Arial"/>
          <w:sz w:val="16"/>
        </w:rPr>
        <w:t>035.34  عملیات ارک لیگهت.</w:t>
      </w:r>
    </w:p>
    <w:p>
      <w:pPr>
        <w:spacing w:after="28" w:line="216" w:lineRule="auto"/>
        <w:ind w:left="259"/>
        <w:jc w:val="left"/>
      </w:pPr>
      <w:r>
        <w:rPr>
          <w:rFonts w:ascii="Arial" w:hAnsi="Arial"/>
          <w:color w:val="525252"/>
          <w:sz w:val="13"/>
        </w:rPr>
        <w:t>Operation Arc Light.</w:t>
      </w:r>
    </w:p>
    <w:p>
      <w:pPr>
        <w:spacing w:after="20" w:line="223" w:lineRule="auto"/>
        <w:jc w:val="right"/>
        <w:bidi/>
      </w:pPr>
      <w:r>
        <w:rPr>
          <w:rFonts w:ascii="Arial" w:hAnsi="Arial"/>
          <w:sz w:val="16"/>
        </w:rPr>
        <w:t>035.35  از سال ۱۹۶۵ تا ۱۹۷۳، USAF پشتیبانی نزدیک هوایی، منع، شناسایی، حمل و نقل هوایی، پشتیبانی تانکرها، و قابلیت‌های جستجو و نجات را برای عملیات در ویتنام فراهم کرد.</w:t>
      </w:r>
    </w:p>
    <w:p>
      <w:pPr>
        <w:spacing w:after="28" w:line="216" w:lineRule="auto"/>
        <w:ind w:left="259"/>
        <w:jc w:val="left"/>
      </w:pPr>
      <w:r>
        <w:rPr>
          <w:rFonts w:ascii="Arial" w:hAnsi="Arial"/>
          <w:color w:val="525252"/>
          <w:sz w:val="13"/>
        </w:rPr>
        <w:t>From 1965 to 1973, the USAF provided close air support, interdiction, reconnaissance, airlift, tanker support, and search-and-rescue capabilities to operations in Vietnam.</w:t>
      </w:r>
    </w:p>
    <w:p>
      <w:pPr>
        <w:spacing w:after="20" w:line="223" w:lineRule="auto"/>
        <w:jc w:val="right"/>
        <w:bidi/>
      </w:pPr>
      <w:r>
        <w:rPr>
          <w:rFonts w:ascii="Arial" w:hAnsi="Arial"/>
          <w:sz w:val="16"/>
        </w:rPr>
        <w:t>035.36  منابع مورد استفاده در طول عملیات ارک لیگهت از کسسنا و-۱ یک نفره استفاده شده توسط</w:t>
      </w:r>
    </w:p>
    <w:p>
      <w:pPr>
        <w:spacing w:after="28" w:line="216" w:lineRule="auto"/>
        <w:ind w:left="259"/>
        <w:jc w:val="left"/>
      </w:pPr>
      <w:r>
        <w:rPr>
          <w:rFonts w:ascii="Arial" w:hAnsi="Arial"/>
          <w:color w:val="525252"/>
          <w:sz w:val="13"/>
        </w:rPr>
        <w:t>Resources used during Operation Arc Light ranged from one-man Cessna O-1s used by</w:t>
      </w:r>
    </w:p>
    <w:p>
      <w:r>
        <w:br w:type="page"/>
      </w:r>
    </w:p>
    <w:p>
      <w:pPr>
        <w:spacing w:after="60"/>
        <w:jc w:val="right"/>
        <w:bidi/>
      </w:pPr>
      <w:r>
        <w:rPr>
          <w:rFonts w:ascii="Arial" w:hAnsi="Arial"/>
          <w:b/>
          <w:color w:val="1F4D78"/>
          <w:sz w:val="19"/>
        </w:rPr>
        <w:t>هفتهٔ 36  |  صفحهٔ منبع: 52</w:t>
      </w:r>
    </w:p>
    <w:p>
      <w:pPr>
        <w:spacing w:after="20" w:line="223" w:lineRule="auto"/>
        <w:jc w:val="right"/>
        <w:bidi/>
      </w:pPr>
      <w:r>
        <w:rPr>
          <w:rFonts w:ascii="Arial" w:hAnsi="Arial"/>
          <w:sz w:val="16"/>
        </w:rPr>
        <w:t>036.01  کنترل‌کننده‌های هوایی برای علامت‌گذاری اهداف دشمن برای مهاجمان، به ماموت‌های ب-۵۲د که برای پرتاب ۲۷ بمب ۷۵۰ پوندی و ۸۴ بمب ۵۰۰ پوندی تغییر یافته‌اند.</w:t>
      </w:r>
    </w:p>
    <w:p>
      <w:pPr>
        <w:spacing w:after="28" w:line="216" w:lineRule="auto"/>
        <w:ind w:left="259"/>
        <w:jc w:val="left"/>
      </w:pPr>
      <w:r>
        <w:rPr>
          <w:rFonts w:ascii="Arial" w:hAnsi="Arial"/>
          <w:color w:val="525252"/>
          <w:sz w:val="13"/>
        </w:rPr>
        <w:t>forward air controllers for marking enemy targets for strikers, to mammoth B-52Ds modified to drop as many as 27 750-pound bombs and 84 500-pound bombs.</w:t>
      </w:r>
    </w:p>
    <w:p>
      <w:pPr>
        <w:spacing w:after="20" w:line="223" w:lineRule="auto"/>
        <w:jc w:val="right"/>
        <w:bidi/>
      </w:pPr>
      <w:r>
        <w:rPr>
          <w:rFonts w:ascii="Arial" w:hAnsi="Arial"/>
          <w:sz w:val="16"/>
        </w:rPr>
        <w:t>036.02  در این مدت، هواپیماهای قدیمی جنگ جهانی دوم مانند جنگنده‌های AC-۴۷ به پلت‌فرم‌های پیشرفته رادار ف-۱۱۱ تعقیب زمین پیوستند.</w:t>
      </w:r>
    </w:p>
    <w:p>
      <w:pPr>
        <w:spacing w:after="28" w:line="216" w:lineRule="auto"/>
        <w:ind w:left="259"/>
        <w:jc w:val="left"/>
      </w:pPr>
      <w:r>
        <w:rPr>
          <w:rFonts w:ascii="Arial" w:hAnsi="Arial"/>
          <w:color w:val="525252"/>
          <w:sz w:val="13"/>
        </w:rPr>
        <w:t>During this time, vintage World War II aircraft like AC-47 gunships joined the advanced terrain-following radar F-111 state-of- the-art platforms.</w:t>
      </w:r>
    </w:p>
    <w:p>
      <w:pPr>
        <w:spacing w:after="20" w:line="223" w:lineRule="auto"/>
        <w:jc w:val="right"/>
        <w:bidi/>
      </w:pPr>
      <w:r>
        <w:rPr>
          <w:rFonts w:ascii="Arial" w:hAnsi="Arial"/>
          <w:sz w:val="16"/>
        </w:rPr>
        <w:t>036.03  تکمیل عملیات بر فراز ویتنام شمالی، این جنبه از جنگ هوایی بر فراز ویتنام جنوبی طیف کاملی از نیروی هوایی را نشان داد.</w:t>
      </w:r>
    </w:p>
    <w:p>
      <w:pPr>
        <w:spacing w:after="28" w:line="216" w:lineRule="auto"/>
        <w:ind w:left="259"/>
        <w:jc w:val="left"/>
      </w:pPr>
      <w:r>
        <w:rPr>
          <w:rFonts w:ascii="Arial" w:hAnsi="Arial"/>
          <w:color w:val="525252"/>
          <w:sz w:val="13"/>
        </w:rPr>
        <w:t>Complementing operations over North Vietnam, this aspect of the air war over South Vietnam demonstrated the full-spectrum of airpower.</w:t>
      </w:r>
    </w:p>
    <w:p>
      <w:pPr>
        <w:spacing w:after="20" w:line="223" w:lineRule="auto"/>
        <w:jc w:val="right"/>
        <w:bidi/>
      </w:pPr>
      <w:r>
        <w:rPr>
          <w:rFonts w:ascii="Arial" w:hAnsi="Arial"/>
          <w:sz w:val="16"/>
        </w:rPr>
        <w:t>036.04  عملیات غلتیدن تندر.</w:t>
      </w:r>
    </w:p>
    <w:p>
      <w:pPr>
        <w:spacing w:after="28" w:line="216" w:lineRule="auto"/>
        <w:ind w:left="259"/>
        <w:jc w:val="left"/>
      </w:pPr>
      <w:r>
        <w:rPr>
          <w:rFonts w:ascii="Arial" w:hAnsi="Arial"/>
          <w:color w:val="525252"/>
          <w:sz w:val="13"/>
        </w:rPr>
        <w:t>Operation Rolling Thunder.</w:t>
      </w:r>
    </w:p>
    <w:p>
      <w:pPr>
        <w:spacing w:after="20" w:line="223" w:lineRule="auto"/>
        <w:jc w:val="right"/>
        <w:bidi/>
      </w:pPr>
      <w:r>
        <w:rPr>
          <w:rFonts w:ascii="Arial" w:hAnsi="Arial"/>
          <w:sz w:val="16"/>
        </w:rPr>
        <w:t>036.05  در سال ۱۹۶۵، در مواجهه با وضعیت سیاسی و نظامی رو به وخامت در ویتنام جنوبی، پرزیدنت جانسون به‌عنوان نشانه‌ای از حمایت آمریکا از ویتنام جنوبی و نشانه‌ای از عزم ما، دستور عملیات روللینگ توندر را صادر کرد.</w:t>
      </w:r>
    </w:p>
    <w:p>
      <w:pPr>
        <w:spacing w:after="28" w:line="216" w:lineRule="auto"/>
        <w:ind w:left="259"/>
        <w:jc w:val="left"/>
      </w:pPr>
      <w:r>
        <w:rPr>
          <w:rFonts w:ascii="Arial" w:hAnsi="Arial"/>
          <w:color w:val="525252"/>
          <w:sz w:val="13"/>
        </w:rPr>
        <w:t>In 1965, faced with a deteriorating political and military situation in South Vietnam, President Johnson ordered Operation Rolling Thunder as a sign of American support to South Vietnam and a signal of our resolve.</w:t>
      </w:r>
    </w:p>
    <w:p>
      <w:pPr>
        <w:spacing w:after="20" w:line="223" w:lineRule="auto"/>
        <w:jc w:val="right"/>
        <w:bidi/>
      </w:pPr>
      <w:r>
        <w:rPr>
          <w:rFonts w:ascii="Arial" w:hAnsi="Arial"/>
          <w:sz w:val="16"/>
        </w:rPr>
        <w:t>036.06  عملیات روللینگ توندر به‌عنوان یک رویکرد سنجیده و محدود علیه اهداف نظامی منتخب در ویتنام شمالی در جنوب موازی ۱۹ اجرا شد.</w:t>
      </w:r>
    </w:p>
    <w:p>
      <w:pPr>
        <w:spacing w:after="28" w:line="216" w:lineRule="auto"/>
        <w:ind w:left="259"/>
        <w:jc w:val="left"/>
      </w:pPr>
      <w:r>
        <w:rPr>
          <w:rFonts w:ascii="Arial" w:hAnsi="Arial"/>
          <w:color w:val="525252"/>
          <w:sz w:val="13"/>
        </w:rPr>
        <w:t>Operation Rolling Thunder was implemented as a measured and limited approach against selected military targets in North Vietnam south of the 19th parallel.</w:t>
      </w:r>
    </w:p>
    <w:p>
      <w:pPr>
        <w:spacing w:after="20" w:line="223" w:lineRule="auto"/>
        <w:jc w:val="right"/>
        <w:bidi/>
      </w:pPr>
      <w:r>
        <w:rPr>
          <w:rFonts w:ascii="Arial" w:hAnsi="Arial"/>
          <w:sz w:val="16"/>
        </w:rPr>
        <w:t>036.07  هدف از بین بردن اراده ویتنام شمالی برای مبارزه، نابود کردن پایگاه‌های صنعتی و پدافند هوایی، و توقف جریان انسان‌ها و تدارکات در مسیر هوشی مین بود، در حالی که ویتنام شمالی را مجبور به مذاکرات صلح کرد.</w:t>
      </w:r>
    </w:p>
    <w:p>
      <w:pPr>
        <w:spacing w:after="28" w:line="216" w:lineRule="auto"/>
        <w:ind w:left="259"/>
        <w:jc w:val="left"/>
      </w:pPr>
      <w:r>
        <w:rPr>
          <w:rFonts w:ascii="Arial" w:hAnsi="Arial"/>
          <w:color w:val="525252"/>
          <w:sz w:val="13"/>
        </w:rPr>
        <w:t>The objective was to destroy the will of the North Vietnamese to fight, destroy industrial bases and air defenses, and stop the flow of men and supplies down the Ho Chi Minh Trail, while forcing North Vietnam into peace negotiations.</w:t>
      </w:r>
    </w:p>
    <w:p>
      <w:pPr>
        <w:spacing w:after="20" w:line="223" w:lineRule="auto"/>
        <w:jc w:val="right"/>
        <w:bidi/>
      </w:pPr>
      <w:r>
        <w:rPr>
          <w:rFonts w:ascii="Arial" w:hAnsi="Arial"/>
          <w:sz w:val="16"/>
        </w:rPr>
        <w:t>036.08  در پاسخ، دفاع هوایی ویتنام شمالی و همچنین موجودی موشک‌های زمین به هوای SA-۲ ساخت شوروی آن‌ها چند برابر شد.</w:t>
      </w:r>
    </w:p>
    <w:p>
      <w:pPr>
        <w:spacing w:after="28" w:line="216" w:lineRule="auto"/>
        <w:ind w:left="259"/>
        <w:jc w:val="left"/>
      </w:pPr>
      <w:r>
        <w:rPr>
          <w:rFonts w:ascii="Arial" w:hAnsi="Arial"/>
          <w:color w:val="525252"/>
          <w:sz w:val="13"/>
        </w:rPr>
        <w:t>In response, North Vietnamese air defenses multiplied, as well as their Soviet-made SA-2 surface-to-air missile inventory.</w:t>
      </w:r>
    </w:p>
    <w:p>
      <w:pPr>
        <w:spacing w:after="20" w:line="223" w:lineRule="auto"/>
        <w:jc w:val="right"/>
        <w:bidi/>
      </w:pPr>
      <w:r>
        <w:rPr>
          <w:rFonts w:ascii="Arial" w:hAnsi="Arial"/>
          <w:sz w:val="16"/>
        </w:rPr>
        <w:t>036.09  هانوی یک سیستم دفاع هوایی پیشرفته با کنترل رادار ایجاد کرد که ترکیبی از موشک‌های زمین به هوا، توپخانه ضد هوایی و رهگیرهای میگ-۱۷ و میگ-۲۱ ساخت شوروی بود.</w:t>
      </w:r>
    </w:p>
    <w:p>
      <w:pPr>
        <w:spacing w:after="28" w:line="216" w:lineRule="auto"/>
        <w:ind w:left="259"/>
        <w:jc w:val="left"/>
      </w:pPr>
      <w:r>
        <w:rPr>
          <w:rFonts w:ascii="Arial" w:hAnsi="Arial"/>
          <w:color w:val="525252"/>
          <w:sz w:val="13"/>
        </w:rPr>
        <w:t>Hanoi established an advanced radar-controlled air defense system that combined surface-to-air missiles, anti-aircraft artillery, and Soviet-produced MiG-17 and MiG-21 interceptors.</w:t>
      </w:r>
    </w:p>
    <w:p>
      <w:pPr>
        <w:spacing w:after="20" w:line="223" w:lineRule="auto"/>
        <w:jc w:val="right"/>
        <w:bidi/>
      </w:pPr>
      <w:r>
        <w:rPr>
          <w:rFonts w:ascii="Arial" w:hAnsi="Arial"/>
          <w:sz w:val="16"/>
        </w:rPr>
        <w:t>036.10  تت تهاجمی.</w:t>
      </w:r>
    </w:p>
    <w:p>
      <w:pPr>
        <w:spacing w:after="28" w:line="216" w:lineRule="auto"/>
        <w:ind w:left="259"/>
        <w:jc w:val="left"/>
      </w:pPr>
      <w:r>
        <w:rPr>
          <w:rFonts w:ascii="Arial" w:hAnsi="Arial"/>
          <w:color w:val="525252"/>
          <w:sz w:val="13"/>
        </w:rPr>
        <w:t>Tet Offensive.</w:t>
      </w:r>
    </w:p>
    <w:p>
      <w:pPr>
        <w:spacing w:after="20" w:line="223" w:lineRule="auto"/>
        <w:jc w:val="right"/>
        <w:bidi/>
      </w:pPr>
      <w:r>
        <w:rPr>
          <w:rFonts w:ascii="Arial" w:hAnsi="Arial"/>
          <w:sz w:val="16"/>
        </w:rPr>
        <w:t>036.11  در سال ۱۹۶۸، تقریبا ۷۰۰۰۰ نیروی ویتنام شمالی و ویت کنگ مجموعه‌ای هماهنگ از حملات شدید را به بیش از ۱۰۰ شهر در ویتنام جنوبی انجام دادند.</w:t>
      </w:r>
    </w:p>
    <w:p>
      <w:pPr>
        <w:spacing w:after="28" w:line="216" w:lineRule="auto"/>
        <w:ind w:left="259"/>
        <w:jc w:val="left"/>
      </w:pPr>
      <w:r>
        <w:rPr>
          <w:rFonts w:ascii="Arial" w:hAnsi="Arial"/>
          <w:color w:val="525252"/>
          <w:sz w:val="13"/>
        </w:rPr>
        <w:t>In 1968, approximately 70,000 North Vietnamese and Viet Cong forces launched a coordinated series of fierce attacks on more than 100 cities in South Vietnam.</w:t>
      </w:r>
    </w:p>
    <w:p>
      <w:pPr>
        <w:spacing w:after="20" w:line="223" w:lineRule="auto"/>
        <w:jc w:val="right"/>
        <w:bidi/>
      </w:pPr>
      <w:r>
        <w:rPr>
          <w:rFonts w:ascii="Arial" w:hAnsi="Arial"/>
          <w:sz w:val="16"/>
        </w:rPr>
        <w:t>036.12  رهبر ارتش خلق کمونیست ویتنام این حمله را در تلاش برای برانگیختن شورش در میان جمعیت ویتنام جنوبی و تشویق ایالات متحده برای کاهش حمایت از رژیم سایگون طراحی کرد.</w:t>
      </w:r>
    </w:p>
    <w:p>
      <w:pPr>
        <w:spacing w:after="28" w:line="216" w:lineRule="auto"/>
        <w:ind w:left="259"/>
        <w:jc w:val="left"/>
      </w:pPr>
      <w:r>
        <w:rPr>
          <w:rFonts w:ascii="Arial" w:hAnsi="Arial"/>
          <w:color w:val="525252"/>
          <w:sz w:val="13"/>
        </w:rPr>
        <w:t>The leader of the Communist People’s Army of Vietnam planned the offensive in an attempt to provoke rebellion among the South Vietnamese population and encourage the United States to scale back support of the Saigon regime.</w:t>
      </w:r>
    </w:p>
    <w:p>
      <w:pPr>
        <w:spacing w:after="20" w:line="223" w:lineRule="auto"/>
        <w:jc w:val="right"/>
        <w:bidi/>
      </w:pPr>
      <w:r>
        <w:rPr>
          <w:rFonts w:ascii="Arial" w:hAnsi="Arial"/>
          <w:sz w:val="16"/>
        </w:rPr>
        <w:t>036.13  نیروهای ایالات متحده و ویتنام جنوبی موفق شدند حملات کمونیست‌ها را در جریان آنچه که به‌عنوان حمله تت شناخته می‌شود، به نام سال نو قمری (تت) مهار کنند.</w:t>
      </w:r>
    </w:p>
    <w:p>
      <w:pPr>
        <w:spacing w:after="28" w:line="216" w:lineRule="auto"/>
        <w:ind w:left="259"/>
        <w:jc w:val="left"/>
      </w:pPr>
      <w:r>
        <w:rPr>
          <w:rFonts w:ascii="Arial" w:hAnsi="Arial"/>
          <w:color w:val="525252"/>
          <w:sz w:val="13"/>
        </w:rPr>
        <w:t>United States and South Vietnamese forces managed to hold off the Communist attacks during what is referred to as the Tet Offensive, named for the Lunar New Year (Tet).</w:t>
      </w:r>
    </w:p>
    <w:p>
      <w:pPr>
        <w:spacing w:after="20" w:line="223" w:lineRule="auto"/>
        <w:jc w:val="right"/>
        <w:bidi/>
      </w:pPr>
      <w:r>
        <w:rPr>
          <w:rFonts w:ascii="Arial" w:hAnsi="Arial"/>
          <w:sz w:val="16"/>
        </w:rPr>
        <w:t>036.14  اما تلفات سنگینی از هر دو طرف وارد شد.</w:t>
      </w:r>
    </w:p>
    <w:p>
      <w:pPr>
        <w:spacing w:after="28" w:line="216" w:lineRule="auto"/>
        <w:ind w:left="259"/>
        <w:jc w:val="left"/>
      </w:pPr>
      <w:r>
        <w:rPr>
          <w:rFonts w:ascii="Arial" w:hAnsi="Arial"/>
          <w:color w:val="525252"/>
          <w:sz w:val="13"/>
        </w:rPr>
        <w:t>However, heavy casualties were suffered on both sides.</w:t>
      </w:r>
    </w:p>
    <w:p>
      <w:pPr>
        <w:spacing w:after="20" w:line="223" w:lineRule="auto"/>
        <w:jc w:val="right"/>
        <w:bidi/>
      </w:pPr>
      <w:r>
        <w:rPr>
          <w:rFonts w:ascii="Arial" w:hAnsi="Arial"/>
          <w:sz w:val="16"/>
        </w:rPr>
        <w:t>036.15  پوشش خبری افکار عمومی آمریکا را شوکه و ناامید کرد و حمایت را بیشتر از بین برد.</w:t>
      </w:r>
    </w:p>
    <w:p>
      <w:pPr>
        <w:spacing w:after="28" w:line="216" w:lineRule="auto"/>
        <w:ind w:left="259"/>
        <w:jc w:val="left"/>
      </w:pPr>
      <w:r>
        <w:rPr>
          <w:rFonts w:ascii="Arial" w:hAnsi="Arial"/>
          <w:color w:val="525252"/>
          <w:sz w:val="13"/>
        </w:rPr>
        <w:t>News coverage shocked and dismayed the American public and further eroded support.</w:t>
      </w:r>
    </w:p>
    <w:p>
      <w:pPr>
        <w:spacing w:after="20" w:line="223" w:lineRule="auto"/>
        <w:jc w:val="right"/>
        <w:bidi/>
      </w:pPr>
      <w:r>
        <w:rPr>
          <w:rFonts w:ascii="Arial" w:hAnsi="Arial"/>
          <w:sz w:val="16"/>
        </w:rPr>
        <w:t>036.16  ویتنام شمالی با حمله تت به یک پیروزی استراتژیک دست یافت، زیرا این حملات نقطه عطفی در ویتنام و آغاز خروج روشمند آمریکا از منطقه بود.</w:t>
      </w:r>
    </w:p>
    <w:p>
      <w:pPr>
        <w:spacing w:after="28" w:line="216" w:lineRule="auto"/>
        <w:ind w:left="259"/>
        <w:jc w:val="left"/>
      </w:pPr>
      <w:r>
        <w:rPr>
          <w:rFonts w:ascii="Arial" w:hAnsi="Arial"/>
          <w:color w:val="525252"/>
          <w:sz w:val="13"/>
        </w:rPr>
        <w:t>North Vietnam achieved a strategic victory with the Tet Offensive, as the attacks marked a turning point in Vietnam and the beginning of the methodical American withdrawal from the region.</w:t>
      </w:r>
    </w:p>
    <w:p>
      <w:pPr>
        <w:spacing w:after="20" w:line="223" w:lineRule="auto"/>
        <w:jc w:val="right"/>
        <w:bidi/>
      </w:pPr>
      <w:r>
        <w:rPr>
          <w:rFonts w:ascii="Arial" w:hAnsi="Arial"/>
          <w:sz w:val="16"/>
        </w:rPr>
        <w:t>036.17  تا پاییز ۱۹۶۸، هواپیماهای تاکتیکی USAF و هواپیماهای تهاجمی نیروی دریایی بیش از ۳۰۰۰۰۰ سورتی پرواز را بر فراز ویتنام شمالی انجام دادند.</w:t>
      </w:r>
    </w:p>
    <w:p>
      <w:pPr>
        <w:spacing w:after="28" w:line="216" w:lineRule="auto"/>
        <w:ind w:left="259"/>
        <w:jc w:val="left"/>
      </w:pPr>
      <w:r>
        <w:rPr>
          <w:rFonts w:ascii="Arial" w:hAnsi="Arial"/>
          <w:color w:val="525252"/>
          <w:sz w:val="13"/>
        </w:rPr>
        <w:t>By the fall of 1968, USAF tactical aircraft and Navy attack aircraft had flown over 300,000 sorties over North Vietnam.</w:t>
      </w:r>
    </w:p>
    <w:p>
      <w:pPr>
        <w:spacing w:after="20" w:line="223" w:lineRule="auto"/>
        <w:jc w:val="right"/>
        <w:bidi/>
      </w:pPr>
      <w:r>
        <w:rPr>
          <w:rFonts w:ascii="Arial" w:hAnsi="Arial"/>
          <w:sz w:val="16"/>
        </w:rPr>
        <w:t>036.18  دشمن ۵۲۶ فروند هواپیما را سرنگون کرد و تلفات پرسنل نیز به همان اندازه سنگین بود.</w:t>
      </w:r>
    </w:p>
    <w:p>
      <w:pPr>
        <w:spacing w:after="28" w:line="216" w:lineRule="auto"/>
        <w:ind w:left="259"/>
        <w:jc w:val="left"/>
      </w:pPr>
      <w:r>
        <w:rPr>
          <w:rFonts w:ascii="Arial" w:hAnsi="Arial"/>
          <w:color w:val="525252"/>
          <w:sz w:val="13"/>
        </w:rPr>
        <w:t>The enemy downed 526 aircraft, and personnel losses were equally heavy.</w:t>
      </w:r>
    </w:p>
    <w:p>
      <w:pPr>
        <w:spacing w:after="20" w:line="223" w:lineRule="auto"/>
        <w:jc w:val="right"/>
        <w:bidi/>
      </w:pPr>
      <w:r>
        <w:rPr>
          <w:rFonts w:ascii="Arial" w:hAnsi="Arial"/>
          <w:sz w:val="16"/>
        </w:rPr>
        <w:t>036.19  از ۷۴۵ خدمه USAF که بر فراز ویتنام شمالی سرنگون شدند، ۱۴۵ نفر نجات یافتند، ۲۵۵ نفر کشته شدند، ۲۲۲ نفر دستگیر شدند و ۱۲۳ نفر در عملیات ناپدید شدند.</w:t>
      </w:r>
    </w:p>
    <w:p>
      <w:pPr>
        <w:spacing w:after="28" w:line="216" w:lineRule="auto"/>
        <w:ind w:left="259"/>
        <w:jc w:val="left"/>
      </w:pPr>
      <w:r>
        <w:rPr>
          <w:rFonts w:ascii="Arial" w:hAnsi="Arial"/>
          <w:color w:val="525252"/>
          <w:sz w:val="13"/>
        </w:rPr>
        <w:t>Of the 745 USAF crew members shot down over North Vietnam, 145 were rescued, 255 were confirmed killed, 222 were captured, and 123 were classified as missing in action.</w:t>
      </w:r>
    </w:p>
    <w:p>
      <w:pPr>
        <w:spacing w:after="20" w:line="223" w:lineRule="auto"/>
        <w:jc w:val="right"/>
        <w:bidi/>
      </w:pPr>
      <w:r>
        <w:rPr>
          <w:rFonts w:ascii="Arial" w:hAnsi="Arial"/>
          <w:sz w:val="16"/>
        </w:rPr>
        <w:t>036.20  رهبران USAF این نتایج را برای یک عملیات هوایی با برتری تقریبا کامل هوایی غیرقابل تحمل یافتند.</w:t>
      </w:r>
    </w:p>
    <w:p>
      <w:pPr>
        <w:spacing w:after="28" w:line="216" w:lineRule="auto"/>
        <w:ind w:left="259"/>
        <w:jc w:val="left"/>
      </w:pPr>
      <w:r>
        <w:rPr>
          <w:rFonts w:ascii="Arial" w:hAnsi="Arial"/>
          <w:color w:val="525252"/>
          <w:sz w:val="13"/>
        </w:rPr>
        <w:t>USAF leaders found these results intolerable for an air campaign with virtually complete air superiority.</w:t>
      </w:r>
    </w:p>
    <w:p>
      <w:pPr>
        <w:spacing w:after="20" w:line="223" w:lineRule="auto"/>
        <w:jc w:val="right"/>
        <w:bidi/>
      </w:pPr>
      <w:r>
        <w:rPr>
          <w:rFonts w:ascii="Arial" w:hAnsi="Arial"/>
          <w:sz w:val="16"/>
        </w:rPr>
        <w:t>036.21  عملیات نیاگارا.</w:t>
      </w:r>
    </w:p>
    <w:p>
      <w:pPr>
        <w:spacing w:after="28" w:line="216" w:lineRule="auto"/>
        <w:ind w:left="259"/>
        <w:jc w:val="left"/>
      </w:pPr>
      <w:r>
        <w:rPr>
          <w:rFonts w:ascii="Arial" w:hAnsi="Arial"/>
          <w:color w:val="525252"/>
          <w:sz w:val="13"/>
        </w:rPr>
        <w:t>Operation Niagara.</w:t>
      </w:r>
    </w:p>
    <w:p>
      <w:pPr>
        <w:spacing w:after="20" w:line="223" w:lineRule="auto"/>
        <w:jc w:val="right"/>
        <w:bidi/>
      </w:pPr>
      <w:r>
        <w:rPr>
          <w:rFonts w:ascii="Arial" w:hAnsi="Arial"/>
          <w:sz w:val="16"/>
        </w:rPr>
        <w:t>036.22  در سال ۱۹۶۸، محاصره خ سانه پتانسیل پشتیبانی هوایی نزدیک USAF را نشان داد.</w:t>
      </w:r>
    </w:p>
    <w:p>
      <w:pPr>
        <w:spacing w:after="28" w:line="216" w:lineRule="auto"/>
        <w:ind w:left="259"/>
        <w:jc w:val="left"/>
      </w:pPr>
      <w:r>
        <w:rPr>
          <w:rFonts w:ascii="Arial" w:hAnsi="Arial"/>
          <w:color w:val="525252"/>
          <w:sz w:val="13"/>
        </w:rPr>
        <w:t>In 1968, the siege of Khe Sanh displayed the potential of USAF close air support.</w:t>
      </w:r>
    </w:p>
    <w:p>
      <w:pPr>
        <w:spacing w:after="20" w:line="223" w:lineRule="auto"/>
        <w:jc w:val="right"/>
        <w:bidi/>
      </w:pPr>
      <w:r>
        <w:rPr>
          <w:rFonts w:ascii="Arial" w:hAnsi="Arial"/>
          <w:sz w:val="16"/>
        </w:rPr>
        <w:t>036.23  هنگامی که بیش از ۲۰۰۰۰ سرباز ویتنام شمالی، که توسط مناطق تپه‌ای و پوشیده محافظت می‌شدند، ۶۰۰۰ تفنگدار دریایی ایالات متحده را محاصره کردند، USAF از قدرت آتش گسترده استفاده کرد.</w:t>
      </w:r>
    </w:p>
    <w:p>
      <w:pPr>
        <w:spacing w:after="28" w:line="216" w:lineRule="auto"/>
        <w:ind w:left="259"/>
        <w:jc w:val="left"/>
      </w:pPr>
      <w:r>
        <w:rPr>
          <w:rFonts w:ascii="Arial" w:hAnsi="Arial"/>
          <w:color w:val="525252"/>
          <w:sz w:val="13"/>
        </w:rPr>
        <w:t>When more than 20,000 North Vietnamese troops, protected by hilly, covered terrain, surrounded 6,000 U.S. Marines, the USAF applied massive firepower.</w:t>
      </w:r>
    </w:p>
    <w:p>
      <w:pPr>
        <w:spacing w:after="20" w:line="223" w:lineRule="auto"/>
        <w:jc w:val="right"/>
        <w:bidi/>
      </w:pPr>
      <w:r>
        <w:rPr>
          <w:rFonts w:ascii="Arial" w:hAnsi="Arial"/>
          <w:sz w:val="16"/>
        </w:rPr>
        <w:t>036.24  در بیشتر محاصره ۷۷ روزه، هر ۹۰ دقیقه یک پرواز سه فروند ب-۵۲ به دشمن اصابت کرد.</w:t>
      </w:r>
    </w:p>
    <w:p>
      <w:pPr>
        <w:spacing w:after="28" w:line="216" w:lineRule="auto"/>
        <w:ind w:left="259"/>
        <w:jc w:val="left"/>
      </w:pPr>
      <w:r>
        <w:rPr>
          <w:rFonts w:ascii="Arial" w:hAnsi="Arial"/>
          <w:color w:val="525252"/>
          <w:sz w:val="13"/>
        </w:rPr>
        <w:t>A flight of three B-52s hit the enemy every 90 minutes for most of the 77-day siege.</w:t>
      </w:r>
    </w:p>
    <w:p>
      <w:pPr>
        <w:spacing w:after="20" w:line="223" w:lineRule="auto"/>
        <w:jc w:val="right"/>
        <w:bidi/>
      </w:pPr>
      <w:r>
        <w:rPr>
          <w:rFonts w:ascii="Arial" w:hAnsi="Arial"/>
          <w:sz w:val="16"/>
        </w:rPr>
        <w:t>036.25  برای جلوگیری از تهاجم دشمن به پایگاه، هواپیماها ۱۰۰۰۰۰ تن بمب پرتاب کردند که دو سوم بمب‌های ب-۵۲ بود.</w:t>
      </w:r>
    </w:p>
    <w:p>
      <w:pPr>
        <w:spacing w:after="28" w:line="216" w:lineRule="auto"/>
        <w:ind w:left="259"/>
        <w:jc w:val="left"/>
      </w:pPr>
      <w:r>
        <w:rPr>
          <w:rFonts w:ascii="Arial" w:hAnsi="Arial"/>
          <w:color w:val="525252"/>
          <w:sz w:val="13"/>
        </w:rPr>
        <w:t>To prevent the enemy from overrunning the base, aircraft dropped 100,000 tons of bombs, two-thirds of those from B-52s.</w:t>
      </w:r>
    </w:p>
    <w:p>
      <w:pPr>
        <w:spacing w:before="60" w:after="28"/>
        <w:jc w:val="right"/>
        <w:bidi/>
      </w:pPr>
      <w:r>
        <w:rPr>
          <w:b/>
          <w:color w:val="1F4D78"/>
          <w:sz w:val="18"/>
        </w:rPr>
        <w:t>3.7. ویتنامی شدن</w:t>
      </w:r>
    </w:p>
    <w:p>
      <w:pPr>
        <w:spacing w:after="20"/>
        <w:ind w:left="259"/>
        <w:jc w:val="left"/>
      </w:pPr>
      <w:r>
        <w:rPr>
          <w:color w:val="555555"/>
          <w:sz w:val="12"/>
        </w:rPr>
        <w:t>3.7. Vietnamization</w:t>
      </w:r>
    </w:p>
    <w:p>
      <w:pPr>
        <w:spacing w:after="20" w:line="223" w:lineRule="auto"/>
        <w:jc w:val="right"/>
        <w:bidi/>
      </w:pPr>
      <w:r>
        <w:rPr>
          <w:rFonts w:ascii="Arial" w:hAnsi="Arial"/>
          <w:sz w:val="16"/>
        </w:rPr>
        <w:t>036.27  در سال ۱۹۶۸، اندکی پس از روی کار آمدن، رئیس جمهور ریچارد ام. نیکسون اعلام کرد که هدف اصلی دولت او پایان دادن به نقش رزمی ایالات متحده در جنوب شرقی آسیا از طریق کمک به توانمندسازی ویتنام جنوبی با تجهیزات و آموزش است.</w:t>
      </w:r>
    </w:p>
    <w:p>
      <w:pPr>
        <w:spacing w:after="28" w:line="216" w:lineRule="auto"/>
        <w:ind w:left="259"/>
        <w:jc w:val="left"/>
      </w:pPr>
      <w:r>
        <w:rPr>
          <w:rFonts w:ascii="Arial" w:hAnsi="Arial"/>
          <w:color w:val="525252"/>
          <w:sz w:val="13"/>
        </w:rPr>
        <w:t>In 1968, shortly after taking office, President Richard M. Nixon announced that a primary goal of his administration would be to end the United States combat role in Southeast Asia by helping empower the South Vietnamese with equipment and training.</w:t>
      </w:r>
    </w:p>
    <w:p>
      <w:pPr>
        <w:spacing w:after="20" w:line="223" w:lineRule="auto"/>
        <w:jc w:val="right"/>
        <w:bidi/>
      </w:pPr>
      <w:r>
        <w:rPr>
          <w:rFonts w:ascii="Arial" w:hAnsi="Arial"/>
          <w:sz w:val="16"/>
        </w:rPr>
        <w:t>036.28  او وزیر دفاع را متهم کرد که ویتنامی کردن جنگ را در اولویت اصلی قرار دهد.</w:t>
      </w:r>
    </w:p>
    <w:p>
      <w:pPr>
        <w:spacing w:after="28" w:line="216" w:lineRule="auto"/>
        <w:ind w:left="259"/>
        <w:jc w:val="left"/>
      </w:pPr>
      <w:r>
        <w:rPr>
          <w:rFonts w:ascii="Arial" w:hAnsi="Arial"/>
          <w:color w:val="525252"/>
          <w:sz w:val="13"/>
        </w:rPr>
        <w:t>He charged the Secretary of Defense with making Vietnamization of the war a top priority.</w:t>
      </w:r>
    </w:p>
    <w:p>
      <w:pPr>
        <w:spacing w:after="20" w:line="223" w:lineRule="auto"/>
        <w:jc w:val="right"/>
        <w:bidi/>
      </w:pPr>
      <w:r>
        <w:rPr>
          <w:rFonts w:ascii="Arial" w:hAnsi="Arial"/>
          <w:sz w:val="16"/>
        </w:rPr>
        <w:t>036.29  در سال ۱۹۶۹، نیکسون خروج تدریجی از درگیری ناامیدکننده در ویتنام را آغاز کرد.</w:t>
      </w:r>
    </w:p>
    <w:p>
      <w:pPr>
        <w:spacing w:after="28" w:line="216" w:lineRule="auto"/>
        <w:ind w:left="259"/>
        <w:jc w:val="left"/>
      </w:pPr>
      <w:r>
        <w:rPr>
          <w:rFonts w:ascii="Arial" w:hAnsi="Arial"/>
          <w:color w:val="525252"/>
          <w:sz w:val="13"/>
        </w:rPr>
        <w:t>In 1969, Nixon initiated a phased withdrawal from the frustrating conflict in Vietnam.</w:t>
      </w:r>
    </w:p>
    <w:p>
      <w:pPr>
        <w:spacing w:after="20" w:line="223" w:lineRule="auto"/>
        <w:jc w:val="right"/>
        <w:bidi/>
      </w:pPr>
      <w:r>
        <w:rPr>
          <w:rFonts w:ascii="Arial" w:hAnsi="Arial"/>
          <w:sz w:val="16"/>
        </w:rPr>
        <w:t>036.30  با حذف نزدیک به ۵۳۶۰۰۰ سرباز در سال ۱۹۶۸، تعداد پرسنل آمریکایی تا سال ۱۹۷۲ کمتر از ۱۰۰۰۰۰ نفر بود.</w:t>
      </w:r>
    </w:p>
    <w:p>
      <w:pPr>
        <w:spacing w:after="28" w:line="216" w:lineRule="auto"/>
        <w:ind w:left="259"/>
        <w:jc w:val="left"/>
      </w:pPr>
      <w:r>
        <w:rPr>
          <w:rFonts w:ascii="Arial" w:hAnsi="Arial"/>
          <w:color w:val="525252"/>
          <w:sz w:val="13"/>
        </w:rPr>
        <w:t>Dropping from nearly 536,000 troops in 1968, American personnel numbered fewer than 100,000 by 1972.</w:t>
      </w:r>
    </w:p>
    <w:p>
      <w:pPr>
        <w:spacing w:after="20" w:line="223" w:lineRule="auto"/>
        <w:jc w:val="right"/>
        <w:bidi/>
      </w:pPr>
      <w:r>
        <w:rPr>
          <w:rFonts w:ascii="Arial" w:hAnsi="Arial"/>
          <w:sz w:val="16"/>
        </w:rPr>
        <w:t>036.31  وقتی ویتنامی‌ها عملیات هوایی را به دست گرفتند، نیروی هوایی آنها رشد کرد و به چهارمین نیروی هوایی بزرگ در جهان تبدیل شد.</w:t>
      </w:r>
    </w:p>
    <w:p>
      <w:pPr>
        <w:spacing w:after="28" w:line="216" w:lineRule="auto"/>
        <w:ind w:left="259"/>
        <w:jc w:val="left"/>
      </w:pPr>
      <w:r>
        <w:rPr>
          <w:rFonts w:ascii="Arial" w:hAnsi="Arial"/>
          <w:color w:val="525252"/>
          <w:sz w:val="13"/>
        </w:rPr>
        <w:t>As the Vietnamese took over air operations, their Air Force grew to become the fourth largest in the world.</w:t>
      </w:r>
    </w:p>
    <w:p>
      <w:pPr>
        <w:spacing w:after="20" w:line="223" w:lineRule="auto"/>
        <w:jc w:val="right"/>
        <w:bidi/>
      </w:pPr>
      <w:r>
        <w:rPr>
          <w:rFonts w:ascii="Arial" w:hAnsi="Arial"/>
          <w:sz w:val="16"/>
        </w:rPr>
        <w:t>036.32  عملیات لینباککر.</w:t>
      </w:r>
    </w:p>
    <w:p>
      <w:pPr>
        <w:spacing w:after="28" w:line="216" w:lineRule="auto"/>
        <w:ind w:left="259"/>
        <w:jc w:val="left"/>
      </w:pPr>
      <w:r>
        <w:rPr>
          <w:rFonts w:ascii="Arial" w:hAnsi="Arial"/>
          <w:color w:val="525252"/>
          <w:sz w:val="13"/>
        </w:rPr>
        <w:t>Operation Linebacker.</w:t>
      </w:r>
    </w:p>
    <w:p>
      <w:pPr>
        <w:spacing w:after="20" w:line="223" w:lineRule="auto"/>
        <w:jc w:val="right"/>
        <w:bidi/>
      </w:pPr>
      <w:r>
        <w:rPr>
          <w:rFonts w:ascii="Arial" w:hAnsi="Arial"/>
          <w:sz w:val="16"/>
        </w:rPr>
        <w:t>036.33  در سال ۱۹۷۲ با استفاده از کاهش حضور زمینی آمریکا، نیروهای کمونیست جبهه آزادیبخش ملی از منطقه غیرنظامی در ویتنام عبور کردند.</w:t>
      </w:r>
    </w:p>
    <w:p>
      <w:pPr>
        <w:spacing w:after="28" w:line="216" w:lineRule="auto"/>
        <w:ind w:left="259"/>
        <w:jc w:val="left"/>
      </w:pPr>
      <w:r>
        <w:rPr>
          <w:rFonts w:ascii="Arial" w:hAnsi="Arial"/>
          <w:color w:val="525252"/>
          <w:sz w:val="13"/>
        </w:rPr>
        <w:t>In 1972, taking advantage of reduced American ground presence, Communist forces of the National Liberation Front crossed the demilitarized zone in Vietnam.</w:t>
      </w:r>
    </w:p>
    <w:p>
      <w:pPr>
        <w:spacing w:after="20" w:line="223" w:lineRule="auto"/>
        <w:jc w:val="right"/>
        <w:bidi/>
      </w:pPr>
      <w:r>
        <w:rPr>
          <w:rFonts w:ascii="Arial" w:hAnsi="Arial"/>
          <w:sz w:val="16"/>
        </w:rPr>
        <w:t>036.34  رئیس جمهور نیکسون دستور مین گذاری بنادر را صادر کرد و مذاکرات صلح شکست خورد.</w:t>
      </w:r>
    </w:p>
    <w:p>
      <w:pPr>
        <w:spacing w:after="28" w:line="216" w:lineRule="auto"/>
        <w:ind w:left="259"/>
        <w:jc w:val="left"/>
      </w:pPr>
      <w:r>
        <w:rPr>
          <w:rFonts w:ascii="Arial" w:hAnsi="Arial"/>
          <w:color w:val="525252"/>
          <w:sz w:val="13"/>
        </w:rPr>
        <w:t>President Nixon ordered to have the harbors mined, and peace talks broke down.</w:t>
      </w:r>
    </w:p>
    <w:p>
      <w:pPr>
        <w:spacing w:after="20" w:line="223" w:lineRule="auto"/>
        <w:jc w:val="right"/>
        <w:bidi/>
      </w:pPr>
      <w:r>
        <w:rPr>
          <w:rFonts w:ascii="Arial" w:hAnsi="Arial"/>
          <w:sz w:val="16"/>
        </w:rPr>
        <w:t>036.35  نیکسون حل شد</w:t>
      </w:r>
    </w:p>
    <w:p>
      <w:pPr>
        <w:spacing w:after="28" w:line="216" w:lineRule="auto"/>
        <w:ind w:left="259"/>
        <w:jc w:val="left"/>
      </w:pPr>
      <w:r>
        <w:rPr>
          <w:rFonts w:ascii="Arial" w:hAnsi="Arial"/>
          <w:color w:val="525252"/>
          <w:sz w:val="13"/>
        </w:rPr>
        <w:t>Nixon resolved</w:t>
      </w:r>
    </w:p>
    <w:p>
      <w:r>
        <w:br w:type="page"/>
      </w:r>
    </w:p>
    <w:p>
      <w:pPr>
        <w:spacing w:after="60"/>
        <w:jc w:val="right"/>
        <w:bidi/>
      </w:pPr>
      <w:r>
        <w:rPr>
          <w:rFonts w:ascii="Arial" w:hAnsi="Arial"/>
          <w:b/>
          <w:color w:val="1F4D78"/>
          <w:sz w:val="19"/>
        </w:rPr>
        <w:t>هفتهٔ 37  |  صفحهٔ منبع: 53</w:t>
      </w:r>
    </w:p>
    <w:p>
      <w:pPr>
        <w:spacing w:after="20" w:line="223" w:lineRule="auto"/>
        <w:jc w:val="right"/>
        <w:bidi/>
      </w:pPr>
      <w:r>
        <w:rPr>
          <w:rFonts w:ascii="Arial" w:hAnsi="Arial"/>
          <w:sz w:val="16"/>
        </w:rPr>
        <w:t>037.01  برای دستیابی به صلح با افتخار، که تقویت نیروهای زمینی را از نظر سیاسی غیرممکن می‌کرد، بنابراین نیکسون از عملیات لینباککر برای خنثی کردن حمله کمونیست‌ها استفاده کرد.</w:t>
      </w:r>
    </w:p>
    <w:p>
      <w:pPr>
        <w:spacing w:after="28" w:line="216" w:lineRule="auto"/>
        <w:ind w:left="259"/>
        <w:jc w:val="left"/>
      </w:pPr>
      <w:r>
        <w:rPr>
          <w:rFonts w:ascii="Arial" w:hAnsi="Arial"/>
          <w:color w:val="525252"/>
          <w:sz w:val="13"/>
        </w:rPr>
        <w:t>to achieve peace with honor, which made reinforcing ground troops politically impossible, so Nixon employed Operation Linebacker to blunt the Communist attack.</w:t>
      </w:r>
    </w:p>
    <w:p>
      <w:pPr>
        <w:spacing w:after="20" w:line="223" w:lineRule="auto"/>
        <w:jc w:val="right"/>
        <w:bidi/>
      </w:pPr>
      <w:r>
        <w:rPr>
          <w:rFonts w:ascii="Arial" w:hAnsi="Arial"/>
          <w:sz w:val="16"/>
        </w:rPr>
        <w:t>037.02  عملیات لینباککر به ویتنام شمالی و جنوبی نشان داد که حتی بدون نیروی زمینی قابل توجه ارتش ایالات متحده، ایالات متحده همچنان می‌تواند بر جنگ تأثیر بگذارد.</w:t>
      </w:r>
    </w:p>
    <w:p>
      <w:pPr>
        <w:spacing w:after="28" w:line="216" w:lineRule="auto"/>
        <w:ind w:left="259"/>
        <w:jc w:val="left"/>
      </w:pPr>
      <w:r>
        <w:rPr>
          <w:rFonts w:ascii="Arial" w:hAnsi="Arial"/>
          <w:color w:val="525252"/>
          <w:sz w:val="13"/>
        </w:rPr>
        <w:t>Operation Linebacker demonstrated to both the North and South Vietnamese that even without significant U.S. Army ground forces, the United States could still influence the war.</w:t>
      </w:r>
    </w:p>
    <w:p>
      <w:pPr>
        <w:spacing w:after="20" w:line="223" w:lineRule="auto"/>
        <w:jc w:val="right"/>
        <w:bidi/>
      </w:pPr>
      <w:r>
        <w:rPr>
          <w:rFonts w:ascii="Arial" w:hAnsi="Arial"/>
          <w:sz w:val="16"/>
        </w:rPr>
        <w:t>037.03  در طول عملیات لینباککر، رهبران نظامی توانستند استراتژی و تاکتیک‌های مناسب را با کاهش قابل توجه محدودیت‌ها و مزایای به دست آمده به دلیل پیشرفت در فناوری به کار گیرند.</w:t>
      </w:r>
    </w:p>
    <w:p>
      <w:pPr>
        <w:spacing w:after="28" w:line="216" w:lineRule="auto"/>
        <w:ind w:left="259"/>
        <w:jc w:val="left"/>
      </w:pPr>
      <w:r>
        <w:rPr>
          <w:rFonts w:ascii="Arial" w:hAnsi="Arial"/>
          <w:color w:val="525252"/>
          <w:sz w:val="13"/>
        </w:rPr>
        <w:t>During Operation Linebacker military leaders were able to apply appropriate strategy and tactics with significantly reduced restrictions and advantages gained due to improvements in technology.</w:t>
      </w:r>
    </w:p>
    <w:p>
      <w:pPr>
        <w:spacing w:after="20" w:line="223" w:lineRule="auto"/>
        <w:jc w:val="right"/>
        <w:bidi/>
      </w:pPr>
      <w:r>
        <w:rPr>
          <w:rFonts w:ascii="Arial" w:hAnsi="Arial"/>
          <w:sz w:val="16"/>
        </w:rPr>
        <w:t>037.04  به ویژه، دستیابی به مهمات هدایت‌شونده دقیق و بمب‌های هوشمند هدایت‌شونده لیزری به‌طور چشمگیری دقت ضربه را افزایش داد.</w:t>
      </w:r>
    </w:p>
    <w:p>
      <w:pPr>
        <w:spacing w:after="28" w:line="216" w:lineRule="auto"/>
        <w:ind w:left="259"/>
        <w:jc w:val="left"/>
      </w:pPr>
      <w:r>
        <w:rPr>
          <w:rFonts w:ascii="Arial" w:hAnsi="Arial"/>
          <w:color w:val="525252"/>
          <w:sz w:val="13"/>
        </w:rPr>
        <w:t>Particularly, the acquisition of precision-guided munitions and laser-guided smart bombs dramatically increased strike accuracy.</w:t>
      </w:r>
    </w:p>
    <w:p>
      <w:pPr>
        <w:spacing w:after="20" w:line="223" w:lineRule="auto"/>
        <w:jc w:val="right"/>
        <w:bidi/>
      </w:pPr>
      <w:r>
        <w:rPr>
          <w:rFonts w:ascii="Arial" w:hAnsi="Arial"/>
          <w:sz w:val="16"/>
        </w:rPr>
        <w:t>037.05  در ۱۳ می‌۱۹۷۲، ۱۴ فروند ف-۴ فانتوم با ۲۴ بمب هوشمند به پل تانه هوا حمله کردند و هدفی را که سالها از حمله دور مانده بود منهدم کردند.</w:t>
      </w:r>
    </w:p>
    <w:p>
      <w:pPr>
        <w:spacing w:after="28" w:line="216" w:lineRule="auto"/>
        <w:ind w:left="259"/>
        <w:jc w:val="left"/>
      </w:pPr>
      <w:r>
        <w:rPr>
          <w:rFonts w:ascii="Arial" w:hAnsi="Arial"/>
          <w:color w:val="525252"/>
          <w:sz w:val="13"/>
        </w:rPr>
        <w:t>On 13 May 1972, 14 F-4 Phantoms hit the Thanh Hóa Bridge with 24 smart bombs, destroying a target that had eluded attack for years.</w:t>
      </w:r>
    </w:p>
    <w:p>
      <w:pPr>
        <w:spacing w:after="20" w:line="223" w:lineRule="auto"/>
        <w:jc w:val="right"/>
        <w:bidi/>
      </w:pPr>
      <w:r>
        <w:rPr>
          <w:rFonts w:ascii="Arial" w:hAnsi="Arial"/>
          <w:sz w:val="16"/>
        </w:rPr>
        <w:t>037.06  از آوریل تا اکتبر ۱۹۷۲، هواپیماهای USAF و نیروی دریایی ما بیش از ۱۵۵۰۰۰ تن بمب بر روی سربازان ویتنام شمالی پرتاب کردند.</w:t>
      </w:r>
    </w:p>
    <w:p>
      <w:pPr>
        <w:spacing w:after="28" w:line="216" w:lineRule="auto"/>
        <w:ind w:left="259"/>
        <w:jc w:val="left"/>
      </w:pPr>
      <w:r>
        <w:rPr>
          <w:rFonts w:ascii="Arial" w:hAnsi="Arial"/>
          <w:color w:val="525252"/>
          <w:sz w:val="13"/>
        </w:rPr>
        <w:t>From April to October 1972, our USAF and Navy aircraft dropped over 155,000 tons of bombs on North Vietnamese troops.</w:t>
      </w:r>
    </w:p>
    <w:p>
      <w:pPr>
        <w:spacing w:after="20" w:line="223" w:lineRule="auto"/>
        <w:jc w:val="right"/>
        <w:bidi/>
      </w:pPr>
      <w:r>
        <w:rPr>
          <w:rFonts w:ascii="Arial" w:hAnsi="Arial"/>
          <w:sz w:val="16"/>
        </w:rPr>
        <w:t>037.07  هنگامی که مذاکره کنندگان ویتنام شمالی شرایط خاص صلح را پذیرفتند، رئیس جمهور نیکسون کارزار هوایی را خاتمه داد.</w:t>
      </w:r>
    </w:p>
    <w:p>
      <w:pPr>
        <w:spacing w:after="28" w:line="216" w:lineRule="auto"/>
        <w:ind w:left="259"/>
        <w:jc w:val="left"/>
      </w:pPr>
      <w:r>
        <w:rPr>
          <w:rFonts w:ascii="Arial" w:hAnsi="Arial"/>
          <w:color w:val="525252"/>
          <w:sz w:val="13"/>
        </w:rPr>
        <w:t>When North Vietnamese negotiators accepted specific peace conditions, President Nixon terminated the air campaign.</w:t>
      </w:r>
    </w:p>
    <w:p>
      <w:pPr>
        <w:spacing w:after="20" w:line="223" w:lineRule="auto"/>
        <w:jc w:val="right"/>
        <w:bidi/>
      </w:pPr>
      <w:r>
        <w:rPr>
          <w:rFonts w:ascii="Arial" w:hAnsi="Arial"/>
          <w:sz w:val="16"/>
        </w:rPr>
        <w:t>037.08  عملیات لینباککر II.</w:t>
      </w:r>
    </w:p>
    <w:p>
      <w:pPr>
        <w:spacing w:after="28" w:line="216" w:lineRule="auto"/>
        <w:ind w:left="259"/>
        <w:jc w:val="left"/>
      </w:pPr>
      <w:r>
        <w:rPr>
          <w:rFonts w:ascii="Arial" w:hAnsi="Arial"/>
          <w:color w:val="525252"/>
          <w:sz w:val="13"/>
        </w:rPr>
        <w:t>Operation Linebacker II.</w:t>
      </w:r>
    </w:p>
    <w:p>
      <w:pPr>
        <w:spacing w:after="20" w:line="223" w:lineRule="auto"/>
        <w:jc w:val="right"/>
        <w:bidi/>
      </w:pPr>
      <w:r>
        <w:rPr>
          <w:rFonts w:ascii="Arial" w:hAnsi="Arial"/>
          <w:sz w:val="16"/>
        </w:rPr>
        <w:t>037.09  در دسامبر ۱۹۷۲، مقاومت ویتنام شمالی برای تسلیم شدن به شرایط توافقنامه صلح نهایی، رئیس جمهور نیکسون را بر آن داشت تا عملیات لینباککر II را آغاز کند، یک کمپین هوایی شدید ۱۱ روزه برای تحت فشار قرار دادن تطابق دشمن.</w:t>
      </w:r>
    </w:p>
    <w:p>
      <w:pPr>
        <w:spacing w:after="28" w:line="216" w:lineRule="auto"/>
        <w:ind w:left="259"/>
        <w:jc w:val="left"/>
      </w:pPr>
      <w:r>
        <w:rPr>
          <w:rFonts w:ascii="Arial" w:hAnsi="Arial"/>
          <w:color w:val="525252"/>
          <w:sz w:val="13"/>
        </w:rPr>
        <w:t>In December 1972, North Vietnamese resistance to submit to the terms of the final peace agreement prompted President Nixon to initiate Operation Linebacker II, an intense 11-day air campaign to pressure enemy compliance.</w:t>
      </w:r>
    </w:p>
    <w:p>
      <w:pPr>
        <w:spacing w:after="20" w:line="223" w:lineRule="auto"/>
        <w:jc w:val="right"/>
        <w:bidi/>
      </w:pPr>
      <w:r>
        <w:rPr>
          <w:rFonts w:ascii="Arial" w:hAnsi="Arial"/>
          <w:sz w:val="16"/>
        </w:rPr>
        <w:t>037.10  در عرض دو هفته، ۷۲۹ ب-۵۲ ۱۵۰۰۰ تن بمب پرتاب کردند.</w:t>
      </w:r>
    </w:p>
    <w:p>
      <w:pPr>
        <w:spacing w:after="28" w:line="216" w:lineRule="auto"/>
        <w:ind w:left="259"/>
        <w:jc w:val="left"/>
      </w:pPr>
      <w:r>
        <w:rPr>
          <w:rFonts w:ascii="Arial" w:hAnsi="Arial"/>
          <w:color w:val="525252"/>
          <w:sz w:val="13"/>
        </w:rPr>
        <w:t>Within two weeks, 729 B-52s dropped 15,000 tons of bombs.</w:t>
      </w:r>
    </w:p>
    <w:p>
      <w:pPr>
        <w:spacing w:after="20" w:line="223" w:lineRule="auto"/>
        <w:jc w:val="right"/>
        <w:bidi/>
      </w:pPr>
      <w:r>
        <w:rPr>
          <w:rFonts w:ascii="Arial" w:hAnsi="Arial"/>
          <w:sz w:val="16"/>
        </w:rPr>
        <w:t>037.11  جنگنده بمب افکن‌ها ۵۰۰۰ تن دیگر به اهداف صنعتی در ویتنام شمالی اضافه کردند.</w:t>
      </w:r>
    </w:p>
    <w:p>
      <w:pPr>
        <w:spacing w:after="28" w:line="216" w:lineRule="auto"/>
        <w:ind w:left="259"/>
        <w:jc w:val="left"/>
      </w:pPr>
      <w:r>
        <w:rPr>
          <w:rFonts w:ascii="Arial" w:hAnsi="Arial"/>
          <w:color w:val="525252"/>
          <w:sz w:val="13"/>
        </w:rPr>
        <w:t>Fighter-bombers added another 5,000 tons on industrial targets in North Vietnam.</w:t>
      </w:r>
    </w:p>
    <w:p>
      <w:pPr>
        <w:spacing w:after="20" w:line="223" w:lineRule="auto"/>
        <w:jc w:val="right"/>
        <w:bidi/>
      </w:pPr>
      <w:r>
        <w:rPr>
          <w:rFonts w:ascii="Arial" w:hAnsi="Arial"/>
          <w:sz w:val="16"/>
        </w:rPr>
        <w:t>037.12  عملیات لینباککر II موفق شد از بن بست خارج شود و مذاکرات با ویتنام شمالی از سر گرفته شد.</w:t>
      </w:r>
    </w:p>
    <w:p>
      <w:pPr>
        <w:spacing w:after="28" w:line="216" w:lineRule="auto"/>
        <w:ind w:left="259"/>
        <w:jc w:val="left"/>
      </w:pPr>
      <w:r>
        <w:rPr>
          <w:rFonts w:ascii="Arial" w:hAnsi="Arial"/>
          <w:color w:val="525252"/>
          <w:sz w:val="13"/>
        </w:rPr>
        <w:t>Operation Linebacker II succeeded in breaking the deadlock, and negotiations with North Vietnamese resumed.</w:t>
      </w:r>
    </w:p>
    <w:p>
      <w:pPr>
        <w:spacing w:after="20" w:line="223" w:lineRule="auto"/>
        <w:jc w:val="right"/>
        <w:bidi/>
      </w:pPr>
      <w:r>
        <w:rPr>
          <w:rFonts w:ascii="Arial" w:hAnsi="Arial"/>
          <w:sz w:val="16"/>
        </w:rPr>
        <w:t>037.13  آتش بس جامع در ۲۸ ژانویه ۱۹۷۳ امضا شد.</w:t>
      </w:r>
    </w:p>
    <w:p>
      <w:pPr>
        <w:spacing w:after="28" w:line="216" w:lineRule="auto"/>
        <w:ind w:left="259"/>
        <w:jc w:val="left"/>
      </w:pPr>
      <w:r>
        <w:rPr>
          <w:rFonts w:ascii="Arial" w:hAnsi="Arial"/>
          <w:color w:val="525252"/>
          <w:sz w:val="13"/>
        </w:rPr>
        <w:t>A comprehensive ceasefire was signed on 28 January 1973.</w:t>
      </w:r>
    </w:p>
    <w:p>
      <w:pPr>
        <w:spacing w:after="20" w:line="223" w:lineRule="auto"/>
        <w:jc w:val="right"/>
        <w:bidi/>
      </w:pPr>
      <w:r>
        <w:rPr>
          <w:rFonts w:ascii="Arial" w:hAnsi="Arial"/>
          <w:sz w:val="16"/>
        </w:rPr>
        <w:t>037.14  در ۲۹ مارس ۱۹۷۴ آخرین نفر از نیروهای ما از کشور خارج شدند.</w:t>
      </w:r>
    </w:p>
    <w:p>
      <w:pPr>
        <w:spacing w:after="28" w:line="216" w:lineRule="auto"/>
        <w:ind w:left="259"/>
        <w:jc w:val="left"/>
      </w:pPr>
      <w:r>
        <w:rPr>
          <w:rFonts w:ascii="Arial" w:hAnsi="Arial"/>
          <w:color w:val="525252"/>
          <w:sz w:val="13"/>
        </w:rPr>
        <w:t>On 29 March 1974, the last of our troops left the country.</w:t>
      </w:r>
    </w:p>
    <w:p>
      <w:pPr>
        <w:spacing w:after="20" w:line="223" w:lineRule="auto"/>
        <w:jc w:val="right"/>
        <w:bidi/>
      </w:pPr>
      <w:r>
        <w:rPr>
          <w:rFonts w:ascii="Arial" w:hAnsi="Arial"/>
          <w:sz w:val="16"/>
        </w:rPr>
        <w:t>037.15  علیرغم آتش بس، جنگ بین شمال و جنوب تا ۲۲ آوریل ادامه داشت که رئیس جمهور ویتنام جنوبی استعفا داد.</w:t>
      </w:r>
    </w:p>
    <w:p>
      <w:pPr>
        <w:spacing w:after="28" w:line="216" w:lineRule="auto"/>
        <w:ind w:left="259"/>
        <w:jc w:val="left"/>
      </w:pPr>
      <w:r>
        <w:rPr>
          <w:rFonts w:ascii="Arial" w:hAnsi="Arial"/>
          <w:color w:val="525252"/>
          <w:sz w:val="13"/>
        </w:rPr>
        <w:t>Despite the ceasefire, fighting between the North and the South continued until April 22 when the President of South Vietnam resigned.</w:t>
      </w:r>
    </w:p>
    <w:p>
      <w:pPr>
        <w:spacing w:after="20" w:line="223" w:lineRule="auto"/>
        <w:jc w:val="right"/>
        <w:bidi/>
      </w:pPr>
      <w:r>
        <w:rPr>
          <w:rFonts w:ascii="Arial" w:hAnsi="Arial"/>
          <w:sz w:val="16"/>
        </w:rPr>
        <w:t>037.16  در دوران ویتنام، نیروی هوایی تطبیق پذیری و تأثیر گسترده و همچنین محدودیت‌های خود را نشان داد.</w:t>
      </w:r>
    </w:p>
    <w:p>
      <w:pPr>
        <w:spacing w:after="28" w:line="216" w:lineRule="auto"/>
        <w:ind w:left="259"/>
        <w:jc w:val="left"/>
      </w:pPr>
      <w:r>
        <w:rPr>
          <w:rFonts w:ascii="Arial" w:hAnsi="Arial"/>
          <w:color w:val="525252"/>
          <w:sz w:val="13"/>
        </w:rPr>
        <w:t>During the Vietnam era, airpower demonstrated its versatility and wide-ranging impact, as well as its limitations.</w:t>
      </w:r>
    </w:p>
    <w:p>
      <w:pPr>
        <w:spacing w:after="20" w:line="223" w:lineRule="auto"/>
        <w:jc w:val="right"/>
        <w:bidi/>
      </w:pPr>
      <w:r>
        <w:rPr>
          <w:rFonts w:ascii="Arial" w:hAnsi="Arial"/>
          <w:sz w:val="16"/>
        </w:rPr>
        <w:t>037.17  با وجود نمایش نظامی چشمگیر، ایالات متحده در ویتنام پیروز قاطع نشد.</w:t>
      </w:r>
    </w:p>
    <w:p>
      <w:pPr>
        <w:spacing w:after="28" w:line="216" w:lineRule="auto"/>
        <w:ind w:left="259"/>
        <w:jc w:val="left"/>
      </w:pPr>
      <w:r>
        <w:rPr>
          <w:rFonts w:ascii="Arial" w:hAnsi="Arial"/>
          <w:color w:val="525252"/>
          <w:sz w:val="13"/>
        </w:rPr>
        <w:t>Despite an impressive military showing, the United States did not win decisively in Vietnam.</w:t>
      </w:r>
    </w:p>
    <w:p>
      <w:pPr>
        <w:spacing w:after="20" w:line="223" w:lineRule="auto"/>
        <w:jc w:val="right"/>
        <w:bidi/>
      </w:pPr>
      <w:r>
        <w:rPr>
          <w:rFonts w:ascii="Arial" w:hAnsi="Arial"/>
          <w:sz w:val="16"/>
        </w:rPr>
        <w:t>037.18  اگرچه USAF بیش از پنج میلیون سورتی پرواز انجام داد و شش میلیون تن بمب پرتاب کرد، کشور ویتنام در ۲ ژوئیه ۱۹۷۶ به‌طور رسمی تحت یک رژیم کمونیستی متحد شد.</w:t>
      </w:r>
    </w:p>
    <w:p>
      <w:pPr>
        <w:spacing w:after="28" w:line="216" w:lineRule="auto"/>
        <w:ind w:left="259"/>
        <w:jc w:val="left"/>
      </w:pPr>
      <w:r>
        <w:rPr>
          <w:rFonts w:ascii="Arial" w:hAnsi="Arial"/>
          <w:color w:val="525252"/>
          <w:sz w:val="13"/>
        </w:rPr>
        <w:t>Although the USAF flew more than five million sorties and dropped six million tons of bombs, the country of Vietnam was officially unified under a Communist regime on 2 July 1976.</w:t>
      </w:r>
    </w:p>
    <w:p>
      <w:pPr>
        <w:spacing w:after="20" w:line="223" w:lineRule="auto"/>
        <w:jc w:val="right"/>
        <w:bidi/>
      </w:pPr>
      <w:r>
        <w:rPr>
          <w:rFonts w:ascii="Arial" w:hAnsi="Arial"/>
          <w:sz w:val="16"/>
        </w:rPr>
        <w:t>037.19  شجاعت قابل توجه در طول درگیری ویتنام، ویلیام اچ پیتسنبرگر.</w:t>
      </w:r>
    </w:p>
    <w:p>
      <w:pPr>
        <w:spacing w:after="28" w:line="216" w:lineRule="auto"/>
        <w:ind w:left="259"/>
        <w:jc w:val="left"/>
      </w:pPr>
      <w:r>
        <w:rPr>
          <w:rFonts w:ascii="Arial" w:hAnsi="Arial"/>
          <w:color w:val="525252"/>
          <w:sz w:val="13"/>
        </w:rPr>
        <w:t>Notable Bravery During Vietnam Conflict, William H. Pitsenbarger.</w:t>
      </w:r>
    </w:p>
    <w:p>
      <w:pPr>
        <w:spacing w:after="20" w:line="223" w:lineRule="auto"/>
        <w:jc w:val="right"/>
        <w:bidi/>
      </w:pPr>
      <w:r>
        <w:rPr>
          <w:rFonts w:ascii="Arial" w:hAnsi="Arial"/>
          <w:sz w:val="16"/>
        </w:rPr>
        <w:t>037.20  ویللیام ه. پیتسنبارگر در شب سال نو در سال ۱۹۶۲ به USAF پیوست.</w:t>
      </w:r>
    </w:p>
    <w:p>
      <w:pPr>
        <w:spacing w:after="28" w:line="216" w:lineRule="auto"/>
        <w:ind w:left="259"/>
        <w:jc w:val="left"/>
      </w:pPr>
      <w:r>
        <w:rPr>
          <w:rFonts w:ascii="Arial" w:hAnsi="Arial"/>
          <w:color w:val="525252"/>
          <w:sz w:val="13"/>
        </w:rPr>
        <w:t>William H. Pitsenbarger joined the USAF on New Year’s Eve in 1962.</w:t>
      </w:r>
    </w:p>
    <w:p>
      <w:pPr>
        <w:spacing w:after="20" w:line="223" w:lineRule="auto"/>
        <w:jc w:val="right"/>
        <w:bidi/>
      </w:pPr>
      <w:r>
        <w:rPr>
          <w:rFonts w:ascii="Arial" w:hAnsi="Arial"/>
          <w:sz w:val="16"/>
        </w:rPr>
        <w:t>037.21  پس از آموزش نجات نجات در سال ۱۹۶۵، او به گروه ۶، اسکادران ۳۸ امداد و نجات هوایی، پایگاه هوایی بین هوا، در نزدیکی سایگون، جمهوری ویتنام جنوبی گزارش داد.</w:t>
      </w:r>
    </w:p>
    <w:p>
      <w:pPr>
        <w:spacing w:after="28" w:line="216" w:lineRule="auto"/>
        <w:ind w:left="259"/>
        <w:jc w:val="left"/>
      </w:pPr>
      <w:r>
        <w:rPr>
          <w:rFonts w:ascii="Arial" w:hAnsi="Arial"/>
          <w:color w:val="525252"/>
          <w:sz w:val="13"/>
        </w:rPr>
        <w:t>After pararescue training in 1965, he reported to Detachment 6, 38th Air Rescue and Recovery Squadron, Bien Hoa Air Base, near Saigon, Republic of South Vietnam.</w:t>
      </w:r>
    </w:p>
    <w:p>
      <w:pPr>
        <w:spacing w:after="20" w:line="223" w:lineRule="auto"/>
        <w:jc w:val="right"/>
        <w:bidi/>
      </w:pPr>
      <w:r>
        <w:rPr>
          <w:rFonts w:ascii="Arial" w:hAnsi="Arial"/>
          <w:sz w:val="16"/>
        </w:rPr>
        <w:t>037.22  رهبری او از او به‌عنوان "یکی از نژادهای خاص، هوشیار و همیشه آماده برای رفتن به هر مأموریتی" یاد کردند. در ۱۱ آوریل ۱۹۶۶، ایرمن پیتسنبرگر سوار بر یک هلیکوپتر نجات بود که به تماس برای تخلیه مجروحان ناشی از آتش‌سوزی در حال انجام پاسخ می‌داد.</w:t>
      </w:r>
    </w:p>
    <w:p>
      <w:pPr>
        <w:spacing w:after="28" w:line="216" w:lineRule="auto"/>
        <w:ind w:left="259"/>
        <w:jc w:val="left"/>
      </w:pPr>
      <w:r>
        <w:rPr>
          <w:rFonts w:ascii="Arial" w:hAnsi="Arial"/>
          <w:color w:val="525252"/>
          <w:sz w:val="13"/>
        </w:rPr>
        <w:t>His leadership referred to him as “one of a special breed, alert and always ready to go on any mission.” On 11 April 1966, Airman Pitsenbarger was aboard a rescue helicopter responding to a call to evacuate casualties from an ongoing firefight.</w:t>
      </w:r>
    </w:p>
    <w:p>
      <w:pPr>
        <w:spacing w:after="20" w:line="223" w:lineRule="auto"/>
        <w:jc w:val="right"/>
        <w:bidi/>
      </w:pPr>
      <w:r>
        <w:rPr>
          <w:rFonts w:ascii="Arial" w:hAnsi="Arial"/>
          <w:sz w:val="16"/>
        </w:rPr>
        <w:t>037.23  وقتی به محل رسید، از هلیکوپتر فرود آمد تا تلاش‌های نجات را هماهنگ کند، از مجروحان مراقبت کند، تلفات را برای تخلیه آماده کند و اطمینان حاصل کند که عملیات بازیابی ویلیام پیتسنبرگر روان و منظم است.</w:t>
      </w:r>
    </w:p>
    <w:p>
      <w:pPr>
        <w:spacing w:after="28" w:line="216" w:lineRule="auto"/>
        <w:ind w:left="259"/>
        <w:jc w:val="left"/>
      </w:pPr>
      <w:r>
        <w:rPr>
          <w:rFonts w:ascii="Arial" w:hAnsi="Arial"/>
          <w:color w:val="525252"/>
          <w:sz w:val="13"/>
        </w:rPr>
        <w:t>When he arrived at the site, he descended from the helicopter to coordinate rescue efforts, care for the wounded, prepare casualties for evacuation, and ensure the William Pitsenbarger recovery operation was smooth and orderly.</w:t>
      </w:r>
    </w:p>
    <w:p>
      <w:pPr>
        <w:spacing w:after="20" w:line="223" w:lineRule="auto"/>
        <w:jc w:val="right"/>
        <w:bidi/>
      </w:pPr>
      <w:r>
        <w:rPr>
          <w:rFonts w:ascii="Arial" w:hAnsi="Arial"/>
          <w:sz w:val="16"/>
        </w:rPr>
        <w:t>037.24  چندین بار از تخلیه خودداری کرد و ترجیح داد در کنار نیروهای ارتش در زمین بماند.</w:t>
      </w:r>
    </w:p>
    <w:p>
      <w:pPr>
        <w:spacing w:after="28" w:line="216" w:lineRule="auto"/>
        <w:ind w:left="259"/>
        <w:jc w:val="left"/>
      </w:pPr>
      <w:r>
        <w:rPr>
          <w:rFonts w:ascii="Arial" w:hAnsi="Arial"/>
          <w:color w:val="525252"/>
          <w:sz w:val="13"/>
        </w:rPr>
        <w:t>Several times he refused to evacuate and chose to remain with the Army troops on the ground.</w:t>
      </w:r>
    </w:p>
    <w:p>
      <w:pPr>
        <w:spacing w:after="20" w:line="223" w:lineRule="auto"/>
        <w:jc w:val="right"/>
        <w:bidi/>
      </w:pPr>
      <w:r>
        <w:rPr>
          <w:rFonts w:ascii="Arial" w:hAnsi="Arial"/>
          <w:sz w:val="16"/>
        </w:rPr>
        <w:t>037.25  با شدت گرفتن نبرد، پیتسنبرگر مکررا در معرض خطر قرار گرفتن در معرض آتش دشمن قرار گرفت، در حالی که مجروحان را به محل امن می‌برد، از آنها مراقبت می‌کرد و در صورت امکان به آتش پاسخ می‌داد.</w:t>
      </w:r>
    </w:p>
    <w:p>
      <w:pPr>
        <w:spacing w:after="28" w:line="216" w:lineRule="auto"/>
        <w:ind w:left="259"/>
        <w:jc w:val="left"/>
      </w:pPr>
      <w:r>
        <w:rPr>
          <w:rFonts w:ascii="Arial" w:hAnsi="Arial"/>
          <w:color w:val="525252"/>
          <w:sz w:val="13"/>
        </w:rPr>
        <w:t>As the battle raged, Pitsenbarger repeatedly risked exposure to enemy fire while pulling the wounded to safety, caring for them, and returning fire when possible.</w:t>
      </w:r>
    </w:p>
    <w:p>
      <w:pPr>
        <w:spacing w:after="20" w:line="223" w:lineRule="auto"/>
        <w:jc w:val="right"/>
        <w:bidi/>
      </w:pPr>
      <w:r>
        <w:rPr>
          <w:rFonts w:ascii="Arial" w:hAnsi="Arial"/>
          <w:sz w:val="16"/>
        </w:rPr>
        <w:t>037.26  در جریان درگیری سه بار مجروح شد.</w:t>
      </w:r>
    </w:p>
    <w:p>
      <w:pPr>
        <w:spacing w:after="28" w:line="216" w:lineRule="auto"/>
        <w:ind w:left="259"/>
        <w:jc w:val="left"/>
      </w:pPr>
      <w:r>
        <w:rPr>
          <w:rFonts w:ascii="Arial" w:hAnsi="Arial"/>
          <w:color w:val="525252"/>
          <w:sz w:val="13"/>
        </w:rPr>
        <w:t>During the fight, he was wounded three times.</w:t>
      </w:r>
    </w:p>
    <w:p>
      <w:pPr>
        <w:spacing w:after="20" w:line="223" w:lineRule="auto"/>
        <w:jc w:val="right"/>
        <w:bidi/>
      </w:pPr>
      <w:r>
        <w:rPr>
          <w:rFonts w:ascii="Arial" w:hAnsi="Arial"/>
          <w:sz w:val="16"/>
        </w:rPr>
        <w:t>037.27  وقتی مهمات دیگران کم شد، گیره مهمات را از مردگان جمع کرد و بین زنده‌ها توزیع کرد.</w:t>
      </w:r>
    </w:p>
    <w:p>
      <w:pPr>
        <w:spacing w:after="28" w:line="216" w:lineRule="auto"/>
        <w:ind w:left="259"/>
        <w:jc w:val="left"/>
      </w:pPr>
      <w:r>
        <w:rPr>
          <w:rFonts w:ascii="Arial" w:hAnsi="Arial"/>
          <w:color w:val="525252"/>
          <w:sz w:val="13"/>
        </w:rPr>
        <w:t>When others ran low on ammunition, he gathered ammo clips from the dead and distributed them to the living.</w:t>
      </w:r>
    </w:p>
    <w:p>
      <w:pPr>
        <w:spacing w:after="20" w:line="223" w:lineRule="auto"/>
        <w:jc w:val="right"/>
        <w:bidi/>
      </w:pPr>
      <w:r>
        <w:rPr>
          <w:rFonts w:ascii="Arial" w:hAnsi="Arial"/>
          <w:sz w:val="16"/>
        </w:rPr>
        <w:t>037.28  پس از انجام کمک، تفنگی را برداشت و به سربازان پیوست تا ویت کنگ را مهار کند.</w:t>
      </w:r>
    </w:p>
    <w:p>
      <w:pPr>
        <w:spacing w:after="28" w:line="216" w:lineRule="auto"/>
        <w:ind w:left="259"/>
        <w:jc w:val="left"/>
      </w:pPr>
      <w:r>
        <w:rPr>
          <w:rFonts w:ascii="Arial" w:hAnsi="Arial"/>
          <w:color w:val="525252"/>
          <w:sz w:val="13"/>
        </w:rPr>
        <w:t>Having administered aid, he picked up a rifle and joined the soldiers to help hold off the Viet Cong.</w:t>
      </w:r>
    </w:p>
    <w:p>
      <w:pPr>
        <w:spacing w:after="20" w:line="223" w:lineRule="auto"/>
        <w:jc w:val="right"/>
        <w:bidi/>
      </w:pPr>
      <w:r>
        <w:rPr>
          <w:rFonts w:ascii="Arial" w:hAnsi="Arial"/>
          <w:sz w:val="16"/>
        </w:rPr>
        <w:t>037.29  پیتسنبرگر در اواخر همان شب توسط تک تیراندازان ویت کنگ کشته شد.</w:t>
      </w:r>
    </w:p>
    <w:p>
      <w:pPr>
        <w:spacing w:after="28" w:line="216" w:lineRule="auto"/>
        <w:ind w:left="259"/>
        <w:jc w:val="left"/>
      </w:pPr>
      <w:r>
        <w:rPr>
          <w:rFonts w:ascii="Arial" w:hAnsi="Arial"/>
          <w:color w:val="525252"/>
          <w:sz w:val="13"/>
        </w:rPr>
        <w:t>Pitsenbarger was killed by Viet Cong snipers later that night.</w:t>
      </w:r>
    </w:p>
    <w:p>
      <w:pPr>
        <w:spacing w:after="20" w:line="223" w:lineRule="auto"/>
        <w:jc w:val="right"/>
        <w:bidi/>
      </w:pPr>
      <w:r>
        <w:rPr>
          <w:rFonts w:ascii="Arial" w:hAnsi="Arial"/>
          <w:sz w:val="16"/>
        </w:rPr>
        <w:t>037.30  وقتی جسد او روز بعد پیدا شد، یک دستش هنوز یک تفنگ و دست دیگرش یک کیت پزشکی در چنگ داشت.</w:t>
      </w:r>
    </w:p>
    <w:p>
      <w:pPr>
        <w:spacing w:after="28" w:line="216" w:lineRule="auto"/>
        <w:ind w:left="259"/>
        <w:jc w:val="left"/>
      </w:pPr>
      <w:r>
        <w:rPr>
          <w:rFonts w:ascii="Arial" w:hAnsi="Arial"/>
          <w:color w:val="525252"/>
          <w:sz w:val="13"/>
        </w:rPr>
        <w:t>When his body was recovered the next day, one hand still held a rifle and the other clutched a medical kit.</w:t>
      </w:r>
    </w:p>
    <w:p>
      <w:pPr>
        <w:spacing w:after="20" w:line="223" w:lineRule="auto"/>
        <w:jc w:val="right"/>
        <w:bidi/>
      </w:pPr>
      <w:r>
        <w:rPr>
          <w:rFonts w:ascii="Arial" w:hAnsi="Arial"/>
          <w:sz w:val="16"/>
        </w:rPr>
        <w:t>037.31  به لطف شجاعت و فداکاری پیتسنبرگر به وظیفه، ۹ مرد زنده از نبرد فرار کردند.</w:t>
      </w:r>
    </w:p>
    <w:p>
      <w:pPr>
        <w:spacing w:after="28" w:line="216" w:lineRule="auto"/>
        <w:ind w:left="259"/>
        <w:jc w:val="left"/>
      </w:pPr>
      <w:r>
        <w:rPr>
          <w:rFonts w:ascii="Arial" w:hAnsi="Arial"/>
          <w:color w:val="525252"/>
          <w:sz w:val="13"/>
        </w:rPr>
        <w:t>Nine men escaped the battle alive, thanks to Pitsenbarger’s courage and devotion to duty.</w:t>
      </w:r>
    </w:p>
    <w:p>
      <w:pPr>
        <w:spacing w:after="20" w:line="223" w:lineRule="auto"/>
        <w:jc w:val="right"/>
        <w:bidi/>
      </w:pPr>
      <w:r>
        <w:rPr>
          <w:rFonts w:ascii="Arial" w:hAnsi="Arial"/>
          <w:sz w:val="16"/>
        </w:rPr>
        <w:t>037.32  پیتسنبرگر تقریبا ۳۰۰ مأموریت نجات را در ویتنام انجام داد و به‌طور معمول جان خود را برای نجات دیگران به خطر انداخت.</w:t>
      </w:r>
    </w:p>
    <w:p>
      <w:pPr>
        <w:spacing w:after="28" w:line="216" w:lineRule="auto"/>
        <w:ind w:left="259"/>
        <w:jc w:val="left"/>
      </w:pPr>
      <w:r>
        <w:rPr>
          <w:rFonts w:ascii="Arial" w:hAnsi="Arial"/>
          <w:color w:val="525252"/>
          <w:sz w:val="13"/>
        </w:rPr>
        <w:t>Pitsenbarger flew almost 300 rescue missions in Vietnam, routinely risking his life to save others.</w:t>
      </w:r>
    </w:p>
    <w:p>
      <w:pPr>
        <w:spacing w:after="20" w:line="223" w:lineRule="auto"/>
        <w:jc w:val="right"/>
        <w:bidi/>
      </w:pPr>
      <w:r>
        <w:rPr>
          <w:rFonts w:ascii="Arial" w:hAnsi="Arial"/>
          <w:sz w:val="16"/>
        </w:rPr>
        <w:t>037.33  او پس از مرگ به‌عنوان گروهبان ستاد پیتسنبرگر ارتقا یافت و به دلیل شجاعت و فداکاری خود، پس از مرگ نشان صلیب نیروی هوایی به او اعطا شد.</w:t>
      </w:r>
    </w:p>
    <w:p>
      <w:pPr>
        <w:spacing w:after="28" w:line="216" w:lineRule="auto"/>
        <w:ind w:left="259"/>
        <w:jc w:val="left"/>
      </w:pPr>
      <w:r>
        <w:rPr>
          <w:rFonts w:ascii="Arial" w:hAnsi="Arial"/>
          <w:color w:val="525252"/>
          <w:sz w:val="13"/>
        </w:rPr>
        <w:t>He was posthumously promoted as Staff Sergeant Pitsenbarger, and for his bravery and sacrifice, he was posthumously awarded the Air Force Cross.</w:t>
      </w:r>
    </w:p>
    <w:p>
      <w:pPr>
        <w:spacing w:after="20" w:line="223" w:lineRule="auto"/>
        <w:jc w:val="right"/>
        <w:bidi/>
      </w:pPr>
      <w:r>
        <w:rPr>
          <w:rFonts w:ascii="Arial" w:hAnsi="Arial"/>
          <w:sz w:val="16"/>
        </w:rPr>
        <w:t>037.34  همچنین، در ۸ دسامبر ۲۰۰۰،</w:t>
      </w:r>
    </w:p>
    <w:p>
      <w:pPr>
        <w:spacing w:after="28" w:line="216" w:lineRule="auto"/>
        <w:ind w:left="259"/>
        <w:jc w:val="left"/>
      </w:pPr>
      <w:r>
        <w:rPr>
          <w:rFonts w:ascii="Arial" w:hAnsi="Arial"/>
          <w:color w:val="525252"/>
          <w:sz w:val="13"/>
        </w:rPr>
        <w:t>Also, on 8 December 2000,</w:t>
      </w:r>
    </w:p>
    <w:p>
      <w:r>
        <w:br w:type="page"/>
      </w:r>
    </w:p>
    <w:p>
      <w:pPr>
        <w:spacing w:after="60"/>
        <w:jc w:val="right"/>
        <w:bidi/>
      </w:pPr>
      <w:r>
        <w:rPr>
          <w:rFonts w:ascii="Arial" w:hAnsi="Arial"/>
          <w:b/>
          <w:color w:val="1F4D78"/>
          <w:sz w:val="19"/>
        </w:rPr>
        <w:t>هفتهٔ 38  |  صفحهٔ منبع: 54</w:t>
      </w:r>
    </w:p>
    <w:p>
      <w:pPr>
        <w:spacing w:after="20" w:line="223" w:lineRule="auto"/>
        <w:jc w:val="right"/>
        <w:bidi/>
      </w:pPr>
      <w:r>
        <w:rPr>
          <w:rFonts w:ascii="Arial" w:hAnsi="Arial"/>
          <w:sz w:val="16"/>
        </w:rPr>
        <w:t>038.01  والدین پیتسنبرگر ارتقاء پس از مرگ خود را به مدال افتخار از وزیر نیروی هوایی پذیرفتند.</w:t>
      </w:r>
    </w:p>
    <w:p>
      <w:pPr>
        <w:spacing w:after="28" w:line="216" w:lineRule="auto"/>
        <w:ind w:left="259"/>
        <w:jc w:val="left"/>
      </w:pPr>
      <w:r>
        <w:rPr>
          <w:rFonts w:ascii="Arial" w:hAnsi="Arial"/>
          <w:color w:val="525252"/>
          <w:sz w:val="13"/>
        </w:rPr>
        <w:t>Pitsenbarger’s parents accepted the posthumous upgrade to the Medal of Honor from the Secretary of the Air Force.</w:t>
      </w:r>
    </w:p>
    <w:p>
      <w:pPr>
        <w:spacing w:after="20" w:line="223" w:lineRule="auto"/>
        <w:jc w:val="right"/>
        <w:bidi/>
      </w:pPr>
      <w:r>
        <w:rPr>
          <w:rFonts w:ascii="Arial" w:hAnsi="Arial"/>
          <w:sz w:val="16"/>
        </w:rPr>
        <w:t>038.02  پیتسنبرگر اولین نیروی هوایی بود که هر دو مدال را پس از مرگ دریافت کرد.</w:t>
      </w:r>
    </w:p>
    <w:p>
      <w:pPr>
        <w:spacing w:after="28" w:line="216" w:lineRule="auto"/>
        <w:ind w:left="259"/>
        <w:jc w:val="left"/>
      </w:pPr>
      <w:r>
        <w:rPr>
          <w:rFonts w:ascii="Arial" w:hAnsi="Arial"/>
          <w:color w:val="525252"/>
          <w:sz w:val="13"/>
        </w:rPr>
        <w:t>Pitsenbarger was the first enlisted Airmen to receive both medals posthumously.</w:t>
      </w:r>
    </w:p>
    <w:p>
      <w:pPr>
        <w:spacing w:after="20" w:line="223" w:lineRule="auto"/>
        <w:jc w:val="right"/>
        <w:bidi/>
      </w:pPr>
      <w:r>
        <w:rPr>
          <w:rFonts w:ascii="Arial" w:hAnsi="Arial"/>
          <w:sz w:val="16"/>
        </w:rPr>
        <w:t>038.03  شجاعت قابل توجه در طول درگیری ویتنام، دوان هاکنی.</w:t>
      </w:r>
    </w:p>
    <w:p>
      <w:pPr>
        <w:spacing w:after="28" w:line="216" w:lineRule="auto"/>
        <w:ind w:left="259"/>
        <w:jc w:val="left"/>
      </w:pPr>
      <w:r>
        <w:rPr>
          <w:rFonts w:ascii="Arial" w:hAnsi="Arial"/>
          <w:color w:val="525252"/>
          <w:sz w:val="13"/>
        </w:rPr>
        <w:t>Notable Bravery During Vietnam Conflict, Duane Hackney.</w:t>
      </w:r>
    </w:p>
    <w:p>
      <w:pPr>
        <w:spacing w:after="20" w:line="223" w:lineRule="auto"/>
        <w:jc w:val="right"/>
        <w:bidi/>
      </w:pPr>
      <w:r>
        <w:rPr>
          <w:rFonts w:ascii="Arial" w:hAnsi="Arial"/>
          <w:sz w:val="16"/>
        </w:rPr>
        <w:t>038.04  دوان هاککنی بیش از ۲۰۰ مأموریت جنگی را در سه سال و نیم خدمت ویتنام انجام داد.</w:t>
      </w:r>
    </w:p>
    <w:p>
      <w:pPr>
        <w:spacing w:after="28" w:line="216" w:lineRule="auto"/>
        <w:ind w:left="259"/>
        <w:jc w:val="left"/>
      </w:pPr>
      <w:r>
        <w:rPr>
          <w:rFonts w:ascii="Arial" w:hAnsi="Arial"/>
          <w:color w:val="525252"/>
          <w:sz w:val="13"/>
        </w:rPr>
        <w:t>Duane Hackney flew more than 200 combat missions in three and a half years of Vietnam duty.</w:t>
      </w:r>
    </w:p>
    <w:p>
      <w:pPr>
        <w:spacing w:after="20" w:line="223" w:lineRule="auto"/>
        <w:jc w:val="right"/>
        <w:bidi/>
      </w:pPr>
      <w:r>
        <w:rPr>
          <w:rFonts w:ascii="Arial" w:hAnsi="Arial"/>
          <w:sz w:val="16"/>
        </w:rPr>
        <w:t>038.05  در ۶ فوریه ۱۹۶۷، هاکنی از یک HH-۳ در جستجوی یک خلبان سرنگون شده فرود آمد.</w:t>
      </w:r>
    </w:p>
    <w:p>
      <w:pPr>
        <w:spacing w:after="28" w:line="216" w:lineRule="auto"/>
        <w:ind w:left="259"/>
        <w:jc w:val="left"/>
      </w:pPr>
      <w:r>
        <w:rPr>
          <w:rFonts w:ascii="Arial" w:hAnsi="Arial"/>
          <w:color w:val="525252"/>
          <w:sz w:val="13"/>
        </w:rPr>
        <w:t>On 6 February 1967, Hackney descended from a HH-3E in search of a downed pilot.</w:t>
      </w:r>
    </w:p>
    <w:p>
      <w:pPr>
        <w:spacing w:after="20" w:line="223" w:lineRule="auto"/>
        <w:jc w:val="right"/>
        <w:bidi/>
      </w:pPr>
      <w:r>
        <w:rPr>
          <w:rFonts w:ascii="Arial" w:hAnsi="Arial"/>
          <w:sz w:val="16"/>
        </w:rPr>
        <w:t>038.06  در حالی که او و خلبان سرنگون شده در حال بیرون کشیدن بودند، هلیکوپتر آنها از یک توپ ضد هوایی ۳۷ میلی متری مورد اصابت مستقیم قرار گرفت و آتش گرفت.</w:t>
      </w:r>
    </w:p>
    <w:p>
      <w:pPr>
        <w:spacing w:after="28" w:line="216" w:lineRule="auto"/>
        <w:ind w:left="259"/>
        <w:jc w:val="left"/>
      </w:pPr>
      <w:r>
        <w:rPr>
          <w:rFonts w:ascii="Arial" w:hAnsi="Arial"/>
          <w:color w:val="525252"/>
          <w:sz w:val="13"/>
        </w:rPr>
        <w:t>As he and the downed pilot were being extracted, their helicopter took a direct hit from a 37-mm anti-aircraft gun and burst into flames.</w:t>
      </w:r>
    </w:p>
    <w:p>
      <w:pPr>
        <w:spacing w:after="20" w:line="223" w:lineRule="auto"/>
        <w:jc w:val="right"/>
        <w:bidi/>
      </w:pPr>
      <w:r>
        <w:rPr>
          <w:rFonts w:ascii="Arial" w:hAnsi="Arial"/>
          <w:sz w:val="16"/>
        </w:rPr>
        <w:t>038.07  که بر اثر ترکش‌های گلوله زخمی شده بود و دچار سوختگی درجه سه شده بود، هاکنی چتر نجات خود را بر روی خلبان نجات یافته قرار داد و او را از هلی کوپتر محکوم کرد.</w:t>
      </w:r>
    </w:p>
    <w:p>
      <w:pPr>
        <w:spacing w:after="28" w:line="216" w:lineRule="auto"/>
        <w:ind w:left="259"/>
        <w:jc w:val="left"/>
      </w:pPr>
      <w:r>
        <w:rPr>
          <w:rFonts w:ascii="Arial" w:hAnsi="Arial"/>
          <w:color w:val="525252"/>
          <w:sz w:val="13"/>
        </w:rPr>
        <w:t>Wounded by shell fragments and suffering third-degree burns, Hackney put his own parachute on the rescued pilot and got him out of the doomed chopper.</w:t>
      </w:r>
    </w:p>
    <w:p>
      <w:pPr>
        <w:spacing w:after="20" w:line="223" w:lineRule="auto"/>
        <w:jc w:val="right"/>
        <w:bidi/>
      </w:pPr>
      <w:r>
        <w:rPr>
          <w:rFonts w:ascii="Arial" w:hAnsi="Arial"/>
          <w:sz w:val="16"/>
        </w:rPr>
        <w:t>038.08  از میان دود غلیظ نگاه می‌کرد، یک آبراه آغشته به روغن پیدا کرد و روی آن لیز خورد.</w:t>
      </w:r>
    </w:p>
    <w:p>
      <w:pPr>
        <w:spacing w:after="28" w:line="216" w:lineRule="auto"/>
        <w:ind w:left="259"/>
        <w:jc w:val="left"/>
      </w:pPr>
      <w:r>
        <w:rPr>
          <w:rFonts w:ascii="Arial" w:hAnsi="Arial"/>
          <w:color w:val="525252"/>
          <w:sz w:val="13"/>
        </w:rPr>
        <w:t>Groping through dense smoke, he found an oil-soaked chute and slipped it on.</w:t>
      </w:r>
    </w:p>
    <w:p>
      <w:pPr>
        <w:spacing w:after="20" w:line="223" w:lineRule="auto"/>
        <w:jc w:val="right"/>
        <w:bidi/>
      </w:pPr>
      <w:r>
        <w:rPr>
          <w:rFonts w:ascii="Arial" w:hAnsi="Arial"/>
          <w:sz w:val="16"/>
        </w:rPr>
        <w:t>038.09  قبل از اینکه بتواند آن را ببندد، گلوله دوم به هلیکوپتر اصابت کرد و او را از در بیرون زد، اما او زنده ماند.</w:t>
      </w:r>
    </w:p>
    <w:p>
      <w:pPr>
        <w:spacing w:after="28" w:line="216" w:lineRule="auto"/>
        <w:ind w:left="259"/>
        <w:jc w:val="left"/>
      </w:pPr>
      <w:r>
        <w:rPr>
          <w:rFonts w:ascii="Arial" w:hAnsi="Arial"/>
          <w:color w:val="525252"/>
          <w:sz w:val="13"/>
        </w:rPr>
        <w:t>Before he could buckle it, a second shell hit the helicopter, blowing him out the door, but he survived.</w:t>
      </w:r>
    </w:p>
    <w:p>
      <w:pPr>
        <w:spacing w:after="20" w:line="223" w:lineRule="auto"/>
        <w:jc w:val="right"/>
        <w:bidi/>
      </w:pPr>
      <w:r>
        <w:rPr>
          <w:rFonts w:ascii="Arial" w:hAnsi="Arial"/>
          <w:sz w:val="16"/>
        </w:rPr>
        <w:t>038.10  در سال ۱۹۷۳، هاکنی دوئن هاکنی را از USAF ترک کرد و چهار سال بعد به‌عنوان مربی نجات نجات یافت.</w:t>
      </w:r>
    </w:p>
    <w:p>
      <w:pPr>
        <w:spacing w:after="28" w:line="216" w:lineRule="auto"/>
        <w:ind w:left="259"/>
        <w:jc w:val="left"/>
      </w:pPr>
      <w:r>
        <w:rPr>
          <w:rFonts w:ascii="Arial" w:hAnsi="Arial"/>
          <w:color w:val="525252"/>
          <w:sz w:val="13"/>
        </w:rPr>
        <w:t>In 1973, Hackney left Duane Hackney the USAF and returned four years later as a pararescue instructor.</w:t>
      </w:r>
    </w:p>
    <w:p>
      <w:pPr>
        <w:spacing w:after="20" w:line="223" w:lineRule="auto"/>
        <w:jc w:val="right"/>
        <w:bidi/>
      </w:pPr>
      <w:r>
        <w:rPr>
          <w:rFonts w:ascii="Arial" w:hAnsi="Arial"/>
          <w:sz w:val="16"/>
        </w:rPr>
        <w:t>038.11  او به‌عنوان سرگروهبان هاکنی بازنشسته شد، صلیب نیروی هوایی، چهار صلیب پرنده ممتاز، ستاره نقره‌ای، مدال هواپیمای هوایی، قلب بنفش، ۱۸ مدال هوایی، که بسیاری از آنها برای اعمال شجاعانه مجرد، و چندین نشان خارجی دریافت کرد.</w:t>
      </w:r>
    </w:p>
    <w:p>
      <w:pPr>
        <w:spacing w:after="28" w:line="216" w:lineRule="auto"/>
        <w:ind w:left="259"/>
        <w:jc w:val="left"/>
      </w:pPr>
      <w:r>
        <w:rPr>
          <w:rFonts w:ascii="Arial" w:hAnsi="Arial"/>
          <w:color w:val="525252"/>
          <w:sz w:val="13"/>
        </w:rPr>
        <w:t>He retired as Chief Master Sergeant Hackney, earned the Air Force Cross, four Distinguished Flying Crosses, the Silver Star, the Airman's Medal, the Purple Heart, 18 Air Medals, many for single acts of valor, and several foreign decorations.</w:t>
      </w:r>
    </w:p>
    <w:p>
      <w:pPr>
        <w:spacing w:after="20" w:line="223" w:lineRule="auto"/>
        <w:jc w:val="right"/>
        <w:bidi/>
      </w:pPr>
      <w:r>
        <w:rPr>
          <w:rFonts w:ascii="Arial" w:hAnsi="Arial"/>
          <w:sz w:val="16"/>
        </w:rPr>
        <w:t>038.12  او در مجموع بیش از ۷۰ جایزه و نشان دریافت کرد و جایزه چنی را برای اقدامات خود در سال ۱۹۶۷ دریافت کرد، افتخاری که برای شجاعت یا از خودگذشتگی ارائه شد.</w:t>
      </w:r>
    </w:p>
    <w:p>
      <w:pPr>
        <w:spacing w:after="28" w:line="216" w:lineRule="auto"/>
        <w:ind w:left="259"/>
        <w:jc w:val="left"/>
      </w:pPr>
      <w:r>
        <w:rPr>
          <w:rFonts w:ascii="Arial" w:hAnsi="Arial"/>
          <w:color w:val="525252"/>
          <w:sz w:val="13"/>
        </w:rPr>
        <w:t>He received more than 70 awards and decorations in all, and received the Cheney Award for his actions in 1967, an honor presented for valor or self- sacrifice.</w:t>
      </w:r>
    </w:p>
    <w:p>
      <w:pPr>
        <w:spacing w:after="20" w:line="223" w:lineRule="auto"/>
        <w:jc w:val="right"/>
        <w:bidi/>
      </w:pPr>
      <w:r>
        <w:rPr>
          <w:rFonts w:ascii="Arial" w:hAnsi="Arial"/>
          <w:sz w:val="16"/>
        </w:rPr>
        <w:t>038.13  در یک نقطه (و اغلب حتی اکنون)، از او به‌عنوان "مشاهده‌ترین سرباز نیروی هوایی" یاد می‌شود. شجاعت قابل توجه در طول درگیری ویتنام، ریچارد ال اچبرگر.</w:t>
      </w:r>
    </w:p>
    <w:p>
      <w:pPr>
        <w:spacing w:after="28" w:line="216" w:lineRule="auto"/>
        <w:ind w:left="259"/>
        <w:jc w:val="left"/>
      </w:pPr>
      <w:r>
        <w:rPr>
          <w:rFonts w:ascii="Arial" w:hAnsi="Arial"/>
          <w:color w:val="525252"/>
          <w:sz w:val="13"/>
        </w:rPr>
        <w:t>At one point (and often even now), he is referred to as the “most decorated enlisted Airman.” Notable Bravery During Vietnam Conflict, Richard L. Etchberger.</w:t>
      </w:r>
    </w:p>
    <w:p>
      <w:pPr>
        <w:spacing w:after="20" w:line="223" w:lineRule="auto"/>
        <w:jc w:val="right"/>
        <w:bidi/>
      </w:pPr>
      <w:r>
        <w:rPr>
          <w:rFonts w:ascii="Arial" w:hAnsi="Arial"/>
          <w:sz w:val="16"/>
        </w:rPr>
        <w:t>038.14  به‌عنوان یکی از آموزش‌دیده‌ترین تکنسین‌های رادار USAF، ریچارد لوی «دیک» اچبرگر برای یک مأموریت بسیار طبقه‌بندی شده در سایت لیما ۸۵ در لائوس داوطلب شد.</w:t>
      </w:r>
    </w:p>
    <w:p>
      <w:pPr>
        <w:spacing w:after="28" w:line="216" w:lineRule="auto"/>
        <w:ind w:left="259"/>
        <w:jc w:val="left"/>
      </w:pPr>
      <w:r>
        <w:rPr>
          <w:rFonts w:ascii="Arial" w:hAnsi="Arial"/>
          <w:color w:val="525252"/>
          <w:sz w:val="13"/>
        </w:rPr>
        <w:t>As one of the USAF’s most highly trained radar technicians, Richard Loy “Dick” Etchberger volunteered for a highly classified mission at Lima Site 85 in Laos.</w:t>
      </w:r>
    </w:p>
    <w:p>
      <w:pPr>
        <w:spacing w:after="20" w:line="223" w:lineRule="auto"/>
        <w:jc w:val="right"/>
        <w:bidi/>
      </w:pPr>
      <w:r>
        <w:rPr>
          <w:rFonts w:ascii="Arial" w:hAnsi="Arial"/>
          <w:sz w:val="16"/>
        </w:rPr>
        <w:t>038.15  در ۱۱ مارس ۱۹۶۸، اچبرگر رئیس خدمه یک تیم رادار بود که نیروهای ویتنام شمالی به سایت او حمله کردند.</w:t>
      </w:r>
    </w:p>
    <w:p>
      <w:pPr>
        <w:spacing w:after="28" w:line="216" w:lineRule="auto"/>
        <w:ind w:left="259"/>
        <w:jc w:val="left"/>
      </w:pPr>
      <w:r>
        <w:rPr>
          <w:rFonts w:ascii="Arial" w:hAnsi="Arial"/>
          <w:color w:val="525252"/>
          <w:sz w:val="13"/>
        </w:rPr>
        <w:t>On 11 March 1968, Etchberger was the crew chief of a radar team when North Vietnamese forces overran his site.</w:t>
      </w:r>
    </w:p>
    <w:p>
      <w:pPr>
        <w:spacing w:after="20" w:line="223" w:lineRule="auto"/>
        <w:jc w:val="right"/>
        <w:bidi/>
      </w:pPr>
      <w:r>
        <w:rPr>
          <w:rFonts w:ascii="Arial" w:hAnsi="Arial"/>
          <w:sz w:val="16"/>
        </w:rPr>
        <w:t>038.16  زیر آتش شدید، از همرزمانش دفاع کرد، حملات هوایی را فراخواند و تخلیه هوایی را هدایت کرد.</w:t>
      </w:r>
    </w:p>
    <w:p>
      <w:pPr>
        <w:spacing w:after="28" w:line="216" w:lineRule="auto"/>
        <w:ind w:left="259"/>
        <w:jc w:val="left"/>
      </w:pPr>
      <w:r>
        <w:rPr>
          <w:rFonts w:ascii="Arial" w:hAnsi="Arial"/>
          <w:color w:val="525252"/>
          <w:sz w:val="13"/>
        </w:rPr>
        <w:t>Under heavy fire, he defended his comrades, called in air strikes, and directed an air evacuation.</w:t>
      </w:r>
    </w:p>
    <w:p>
      <w:pPr>
        <w:spacing w:after="20" w:line="223" w:lineRule="auto"/>
        <w:jc w:val="right"/>
        <w:bidi/>
      </w:pPr>
      <w:r>
        <w:rPr>
          <w:rFonts w:ascii="Arial" w:hAnsi="Arial"/>
          <w:sz w:val="16"/>
        </w:rPr>
        <w:t>038.17  هنگامی که یک هلیکوپتر نجات رسید، او خود را در خط آتش قرار داد تا سه نیروهای هوایی را در قلاب‌های نجات سوار کند.</w:t>
      </w:r>
    </w:p>
    <w:p>
      <w:pPr>
        <w:spacing w:after="28" w:line="216" w:lineRule="auto"/>
        <w:ind w:left="259"/>
        <w:jc w:val="left"/>
      </w:pPr>
      <w:r>
        <w:rPr>
          <w:rFonts w:ascii="Arial" w:hAnsi="Arial"/>
          <w:color w:val="525252"/>
          <w:sz w:val="13"/>
        </w:rPr>
        <w:t>When a rescue helicopter arrived, he put himself in the line of fire to load three Airmen into rescue slings.</w:t>
      </w:r>
    </w:p>
    <w:p>
      <w:pPr>
        <w:spacing w:after="20" w:line="223" w:lineRule="auto"/>
        <w:jc w:val="right"/>
        <w:bidi/>
      </w:pPr>
      <w:r>
        <w:rPr>
          <w:rFonts w:ascii="Arial" w:hAnsi="Arial"/>
          <w:sz w:val="16"/>
        </w:rPr>
        <w:t>038.18  اچبرگر پس از اینکه ریچارد اچبرگر سایر ایرمن‌ها را سوار هلیکوپتر کرد نجات یافت.</w:t>
      </w:r>
    </w:p>
    <w:p>
      <w:pPr>
        <w:spacing w:after="28" w:line="216" w:lineRule="auto"/>
        <w:ind w:left="259"/>
        <w:jc w:val="left"/>
      </w:pPr>
      <w:r>
        <w:rPr>
          <w:rFonts w:ascii="Arial" w:hAnsi="Arial"/>
          <w:color w:val="525252"/>
          <w:sz w:val="13"/>
        </w:rPr>
        <w:t>Etchberger was rescued after Richard Etchberger putting the other Airmen on the helicopter.</w:t>
      </w:r>
    </w:p>
    <w:p>
      <w:pPr>
        <w:spacing w:after="20" w:line="223" w:lineRule="auto"/>
        <w:jc w:val="right"/>
        <w:bidi/>
      </w:pPr>
      <w:r>
        <w:rPr>
          <w:rFonts w:ascii="Arial" w:hAnsi="Arial"/>
          <w:sz w:val="16"/>
        </w:rPr>
        <w:t>038.19  در حالی که داخل هلیکوپتر بودند و در حال ترک منطقه بودند، یک گلوله از شکم هلیکوپتر گذشت و به اچبرگر اصابت کرد و قبل از اینکه آنها به پایگاه عملیاتی پیشرو برگردند، خونریزی کرد.</w:t>
      </w:r>
    </w:p>
    <w:p>
      <w:pPr>
        <w:spacing w:after="28" w:line="216" w:lineRule="auto"/>
        <w:ind w:left="259"/>
        <w:jc w:val="left"/>
      </w:pPr>
      <w:r>
        <w:rPr>
          <w:rFonts w:ascii="Arial" w:hAnsi="Arial"/>
          <w:color w:val="525252"/>
          <w:sz w:val="13"/>
        </w:rPr>
        <w:t>While inside the helicopter and as they were departing the area, a round went through the belly of the helicopter, striking Etchberger and he bled out before they returned to the forward operating base.</w:t>
      </w:r>
    </w:p>
    <w:p>
      <w:pPr>
        <w:spacing w:after="20" w:line="223" w:lineRule="auto"/>
        <w:jc w:val="right"/>
        <w:bidi/>
      </w:pPr>
      <w:r>
        <w:rPr>
          <w:rFonts w:ascii="Arial" w:hAnsi="Arial"/>
          <w:sz w:val="16"/>
        </w:rPr>
        <w:t>038.20  برای قهرمانی فوق‌العاده و رهبری عالی، اچبرگر پس از مرگ صلیب نیروی هوایی را دریافت کرد.</w:t>
      </w:r>
    </w:p>
    <w:p>
      <w:pPr>
        <w:spacing w:after="28" w:line="216" w:lineRule="auto"/>
        <w:ind w:left="259"/>
        <w:jc w:val="left"/>
      </w:pPr>
      <w:r>
        <w:rPr>
          <w:rFonts w:ascii="Arial" w:hAnsi="Arial"/>
          <w:color w:val="525252"/>
          <w:sz w:val="13"/>
        </w:rPr>
        <w:t>For extraordinary heroism and superb leadership, Etchberger was posthumously awarded the Air Force Cross.</w:t>
      </w:r>
    </w:p>
    <w:p>
      <w:pPr>
        <w:spacing w:after="20" w:line="223" w:lineRule="auto"/>
        <w:jc w:val="right"/>
        <w:bidi/>
      </w:pPr>
      <w:r>
        <w:rPr>
          <w:rFonts w:ascii="Arial" w:hAnsi="Arial"/>
          <w:sz w:val="16"/>
        </w:rPr>
        <w:t>038.21  در ۲۱ سپتامبر ۲۰۱۰، سه پسر اچبرگر ارتقاء پس از مرگ خود را به مدال افتخار از رئیس جمهور باراک اچ. اوباما پذیرفتند.</w:t>
      </w:r>
    </w:p>
    <w:p>
      <w:pPr>
        <w:spacing w:after="28" w:line="216" w:lineRule="auto"/>
        <w:ind w:left="259"/>
        <w:jc w:val="left"/>
      </w:pPr>
      <w:r>
        <w:rPr>
          <w:rFonts w:ascii="Arial" w:hAnsi="Arial"/>
          <w:color w:val="525252"/>
          <w:sz w:val="13"/>
        </w:rPr>
        <w:t>On 21 September 2010, Etchberger’s three sons accepted the posthumous upgrade to the Medal of Honor from President Barack H. Obama.</w:t>
      </w:r>
    </w:p>
    <w:p>
      <w:pPr>
        <w:spacing w:after="20" w:line="223" w:lineRule="auto"/>
        <w:jc w:val="right"/>
        <w:bidi/>
      </w:pPr>
      <w:r>
        <w:rPr>
          <w:rFonts w:ascii="Arial" w:hAnsi="Arial"/>
          <w:sz w:val="16"/>
        </w:rPr>
        <w:t>038.22  فرمانده ارشد گروهبان اچبرگر اولین -۹ در وزارت دفاع است که بالاترین جایزه کشور را دریافت می‌کند.</w:t>
      </w:r>
    </w:p>
    <w:p>
      <w:pPr>
        <w:spacing w:after="28" w:line="216" w:lineRule="auto"/>
        <w:ind w:left="259"/>
        <w:jc w:val="left"/>
      </w:pPr>
      <w:r>
        <w:rPr>
          <w:rFonts w:ascii="Arial" w:hAnsi="Arial"/>
          <w:color w:val="525252"/>
          <w:sz w:val="13"/>
        </w:rPr>
        <w:t>Chief Master Sergeant Etchberger is the first E-9 in the Department of Defense to receive the nation’s highest award.</w:t>
      </w:r>
    </w:p>
    <w:p>
      <w:pPr>
        <w:spacing w:after="20" w:line="223" w:lineRule="auto"/>
        <w:jc w:val="right"/>
        <w:bidi/>
      </w:pPr>
      <w:r>
        <w:rPr>
          <w:rFonts w:ascii="Arial" w:hAnsi="Arial"/>
          <w:sz w:val="16"/>
        </w:rPr>
        <w:t>038.23  شجاعت قابل توجه در طول درگیری ویتنام، جان ال. لویتو.</w:t>
      </w:r>
    </w:p>
    <w:p>
      <w:pPr>
        <w:spacing w:after="28" w:line="216" w:lineRule="auto"/>
        <w:ind w:left="259"/>
        <w:jc w:val="left"/>
      </w:pPr>
      <w:r>
        <w:rPr>
          <w:rFonts w:ascii="Arial" w:hAnsi="Arial"/>
          <w:color w:val="525252"/>
          <w:sz w:val="13"/>
        </w:rPr>
        <w:t>Notable Bravery During Vietnam Conflict, John L. Levitow.</w:t>
      </w:r>
    </w:p>
    <w:p>
      <w:pPr>
        <w:spacing w:after="20" w:line="223" w:lineRule="auto"/>
        <w:jc w:val="right"/>
        <w:bidi/>
      </w:pPr>
      <w:r>
        <w:rPr>
          <w:rFonts w:ascii="Arial" w:hAnsi="Arial"/>
          <w:sz w:val="16"/>
        </w:rPr>
        <w:t>038.24  در ۲۴ فوریه ۱۹۶۹، جان ال. لویتو در مأموریت‌های جنگی به‌عنوان فرمانده باربر بر فراز ویتنام، در حال کنترل شراره‌های منیزیم مارک ۲۴ بود که خلبانش هواپیما و خدمه هشت نفره آن را به چرخشی پرتاب کرد تا با ویت کنگ‌ها درگیر شود.</w:t>
      </w:r>
    </w:p>
    <w:p>
      <w:pPr>
        <w:spacing w:after="28" w:line="216" w:lineRule="auto"/>
        <w:ind w:left="259"/>
        <w:jc w:val="left"/>
      </w:pPr>
      <w:r>
        <w:rPr>
          <w:rFonts w:ascii="Arial" w:hAnsi="Arial"/>
          <w:color w:val="525252"/>
          <w:sz w:val="13"/>
        </w:rPr>
        <w:t>On 24 February 1969, flying combat missions as a loadmaster over Vietnam, John L. Levitow was handling Mark 24 magnesium flares when his pilot threw the aircraft and its eight-man crew into a turn to engage the Viet Cong.</w:t>
      </w:r>
    </w:p>
    <w:p>
      <w:pPr>
        <w:spacing w:after="20" w:line="223" w:lineRule="auto"/>
        <w:jc w:val="right"/>
        <w:bidi/>
      </w:pPr>
      <w:r>
        <w:rPr>
          <w:rFonts w:ascii="Arial" w:hAnsi="Arial"/>
          <w:sz w:val="16"/>
        </w:rPr>
        <w:t>038.25  AC-۴۷ سکیتراین، در اثر انفجاری مهیب دچار جرقه شد و با فرود آمدن یک گلوله خمپاره ۸۲ میلی‌متری در بال سمت راست، در یک جرقه نوری کورکننده غوطه‌ور شد.</w:t>
      </w:r>
    </w:p>
    <w:p>
      <w:pPr>
        <w:spacing w:after="28" w:line="216" w:lineRule="auto"/>
        <w:ind w:left="259"/>
        <w:jc w:val="left"/>
      </w:pPr>
      <w:r>
        <w:rPr>
          <w:rFonts w:ascii="Arial" w:hAnsi="Arial"/>
          <w:color w:val="525252"/>
          <w:sz w:val="13"/>
        </w:rPr>
        <w:t>The AC-47 Skytrain, was jarred by a tremendous explosion and bathed in a blinding flash of light when an 82-millimeter mortar shell landed on the right wing.</w:t>
      </w:r>
    </w:p>
    <w:p>
      <w:pPr>
        <w:spacing w:after="20" w:line="223" w:lineRule="auto"/>
        <w:jc w:val="right"/>
        <w:bidi/>
      </w:pPr>
      <w:r>
        <w:rPr>
          <w:rFonts w:ascii="Arial" w:hAnsi="Arial"/>
          <w:sz w:val="16"/>
        </w:rPr>
        <w:t>038.26  علیرغم اصابت ۴۰ ترکش در پاها، پهلو و کمر، لویتو یکی از خدمه را که به طرز خطرناکی نزدیک در باز محموله بود، نجات داد.</w:t>
      </w:r>
    </w:p>
    <w:p>
      <w:pPr>
        <w:spacing w:after="28" w:line="216" w:lineRule="auto"/>
        <w:ind w:left="259"/>
        <w:jc w:val="left"/>
      </w:pPr>
      <w:r>
        <w:rPr>
          <w:rFonts w:ascii="Arial" w:hAnsi="Arial"/>
          <w:color w:val="525252"/>
          <w:sz w:val="13"/>
        </w:rPr>
        <w:t>Despite 40 shrapnel wounds in his legs, side, and back, Levitow rescued a fellow crewmember who was perilously close to the open cargo door.</w:t>
      </w:r>
    </w:p>
    <w:p>
      <w:pPr>
        <w:spacing w:after="20" w:line="223" w:lineRule="auto"/>
        <w:jc w:val="right"/>
        <w:bidi/>
      </w:pPr>
      <w:r>
        <w:rPr>
          <w:rFonts w:ascii="Arial" w:hAnsi="Arial"/>
          <w:sz w:val="16"/>
        </w:rPr>
        <w:t>038.27  هنگامی که او مشعل منیزیم ۲۷ پوندی را دید که در میان قوطی‌های مهمات حاوی ۱۹۰۰۰ گلوله واقعی غلت می‌خورد، لویتو با مه‌ای از درد و شوک می‌جنگید، لویتو به سمت مشعل خزیده، دوباره آن را به سمت بدنش در آغوش گرفت.</w:t>
      </w:r>
    </w:p>
    <w:p>
      <w:pPr>
        <w:spacing w:after="28" w:line="216" w:lineRule="auto"/>
        <w:ind w:left="259"/>
        <w:jc w:val="left"/>
      </w:pPr>
      <w:r>
        <w:rPr>
          <w:rFonts w:ascii="Arial" w:hAnsi="Arial"/>
          <w:color w:val="525252"/>
          <w:sz w:val="13"/>
        </w:rPr>
        <w:t>When he saw a burning 27-pound magnesium flare John L. Levitow rolling amid ammunition cans that contained 19,000 live rounds, through a haze of pain and shock, and fighting a 30-degree bank, Levitow crawled to the flare, hugged it to his body, and dragged himself to the rear of the aircraft.</w:t>
      </w:r>
    </w:p>
    <w:p>
      <w:pPr>
        <w:spacing w:after="20" w:line="223" w:lineRule="auto"/>
        <w:jc w:val="right"/>
        <w:bidi/>
      </w:pPr>
      <w:r>
        <w:rPr>
          <w:rFonts w:ascii="Arial" w:hAnsi="Arial"/>
          <w:sz w:val="16"/>
        </w:rPr>
        <w:t>038.28  در همان لحظه که آن را از در باز محموله پرتاب کرد، مشعل جدا شد و در هوا مشتعل شد.</w:t>
      </w:r>
    </w:p>
    <w:p>
      <w:pPr>
        <w:spacing w:after="28" w:line="216" w:lineRule="auto"/>
        <w:ind w:left="259"/>
        <w:jc w:val="left"/>
      </w:pPr>
      <w:r>
        <w:rPr>
          <w:rFonts w:ascii="Arial" w:hAnsi="Arial"/>
          <w:color w:val="525252"/>
          <w:sz w:val="13"/>
        </w:rPr>
        <w:t>At the instant he hurled it through the open cargo door, the flare separated and ignited in the air.</w:t>
      </w:r>
    </w:p>
    <w:p>
      <w:r>
        <w:br w:type="page"/>
      </w:r>
    </w:p>
    <w:p>
      <w:pPr>
        <w:spacing w:after="60"/>
        <w:jc w:val="right"/>
        <w:bidi/>
      </w:pPr>
      <w:r>
        <w:rPr>
          <w:rFonts w:ascii="Arial" w:hAnsi="Arial"/>
          <w:b/>
          <w:color w:val="1F4D78"/>
          <w:sz w:val="19"/>
        </w:rPr>
        <w:t>هفتهٔ 39  |  صفحهٔ منبع: 55</w:t>
      </w:r>
    </w:p>
    <w:p>
      <w:pPr>
        <w:spacing w:after="20" w:line="223" w:lineRule="auto"/>
        <w:jc w:val="right"/>
        <w:bidi/>
      </w:pPr>
      <w:r>
        <w:rPr>
          <w:rFonts w:ascii="Arial" w:hAnsi="Arial"/>
          <w:sz w:val="16"/>
        </w:rPr>
        <w:t>039.01  هواپیما با بیش از ۳۵۰۰ سوراخ در بالها و بدنه، یک بیش از سه فوت طول، به پایگاه بازگشت.</w:t>
      </w:r>
    </w:p>
    <w:p>
      <w:pPr>
        <w:spacing w:after="28" w:line="216" w:lineRule="auto"/>
        <w:ind w:left="259"/>
        <w:jc w:val="left"/>
      </w:pPr>
      <w:r>
        <w:rPr>
          <w:rFonts w:ascii="Arial" w:hAnsi="Arial"/>
          <w:color w:val="525252"/>
          <w:sz w:val="13"/>
        </w:rPr>
        <w:t>The aircraft returned to base with more than 3,500 holes in the wings and fuselage, one more than three feet long.</w:t>
      </w:r>
    </w:p>
    <w:p>
      <w:pPr>
        <w:spacing w:after="20" w:line="223" w:lineRule="auto"/>
        <w:jc w:val="right"/>
        <w:bidi/>
      </w:pPr>
      <w:r>
        <w:rPr>
          <w:rFonts w:ascii="Arial" w:hAnsi="Arial"/>
          <w:sz w:val="16"/>
        </w:rPr>
        <w:t>039.02  لویتوو دو ماه و نیم را در بیمارستان برای بهبودی گذراند و سپس برای یک تور دیگر به ویتنام بازگشت.</w:t>
      </w:r>
    </w:p>
    <w:p>
      <w:pPr>
        <w:spacing w:after="28" w:line="216" w:lineRule="auto"/>
        <w:ind w:left="259"/>
        <w:jc w:val="left"/>
      </w:pPr>
      <w:r>
        <w:rPr>
          <w:rFonts w:ascii="Arial" w:hAnsi="Arial"/>
          <w:color w:val="525252"/>
          <w:sz w:val="13"/>
        </w:rPr>
        <w:t>Levitow spent two and a half months recovering in the hospital before returning to Vietnam for another tour.</w:t>
      </w:r>
    </w:p>
    <w:p>
      <w:pPr>
        <w:spacing w:after="20" w:line="223" w:lineRule="auto"/>
        <w:jc w:val="right"/>
        <w:bidi/>
      </w:pPr>
      <w:r>
        <w:rPr>
          <w:rFonts w:ascii="Arial" w:hAnsi="Arial"/>
          <w:sz w:val="16"/>
        </w:rPr>
        <w:t>039.03  او مدال افتخار را از رئیس جمهور نیکسون طی مراسم روز نیروهای مسلح در ۱۴ مه ۱۹۷۰ در کاخ سفید دریافت کرد.</w:t>
      </w:r>
    </w:p>
    <w:p>
      <w:pPr>
        <w:spacing w:after="28" w:line="216" w:lineRule="auto"/>
        <w:ind w:left="259"/>
        <w:jc w:val="left"/>
      </w:pPr>
      <w:r>
        <w:rPr>
          <w:rFonts w:ascii="Arial" w:hAnsi="Arial"/>
          <w:color w:val="525252"/>
          <w:sz w:val="13"/>
        </w:rPr>
        <w:t>He received the Medal of Honor from President Nixon during a 14 May 1970 Armed Forces Day ceremony at the White House.</w:t>
      </w:r>
    </w:p>
    <w:p>
      <w:pPr>
        <w:spacing w:after="20" w:line="223" w:lineRule="auto"/>
        <w:jc w:val="right"/>
        <w:bidi/>
      </w:pPr>
      <w:r>
        <w:rPr>
          <w:rFonts w:ascii="Arial" w:hAnsi="Arial"/>
          <w:sz w:val="16"/>
        </w:rPr>
        <w:t>039.04  چهار سال بعد به‌عنوان گروهبان لویتو با افتخار از خدمت معاف شد.</w:t>
      </w:r>
    </w:p>
    <w:p>
      <w:pPr>
        <w:spacing w:after="28" w:line="216" w:lineRule="auto"/>
        <w:ind w:left="259"/>
        <w:jc w:val="left"/>
      </w:pPr>
      <w:r>
        <w:rPr>
          <w:rFonts w:ascii="Arial" w:hAnsi="Arial"/>
          <w:color w:val="525252"/>
          <w:sz w:val="13"/>
        </w:rPr>
        <w:t>He was honorably discharged four years later as Sergeant Levitow.</w:t>
      </w:r>
    </w:p>
    <w:p>
      <w:pPr>
        <w:spacing w:after="20" w:line="223" w:lineRule="auto"/>
        <w:jc w:val="right"/>
        <w:bidi/>
      </w:pPr>
      <w:r>
        <w:rPr>
          <w:rFonts w:ascii="Arial" w:hAnsi="Arial"/>
          <w:sz w:val="16"/>
        </w:rPr>
        <w:t>039.05  در ۲۲ ژانویه ۱۹۹۸، فرماندهی تحرک هوایی یکی از هواپیماهای ک-۱۷ گلوبماستر III خود را به نام ت سپیریت وف جوهن لویتوو نامید.</w:t>
      </w:r>
    </w:p>
    <w:p>
      <w:pPr>
        <w:spacing w:after="28" w:line="216" w:lineRule="auto"/>
        <w:ind w:left="259"/>
        <w:jc w:val="left"/>
      </w:pPr>
      <w:r>
        <w:rPr>
          <w:rFonts w:ascii="Arial" w:hAnsi="Arial"/>
          <w:color w:val="525252"/>
          <w:sz w:val="13"/>
        </w:rPr>
        <w:t>On 22 January 1998, Air Mobility Command named one of its C- 17 Globemaster III aircraft, The Spirit of John Levitow.</w:t>
      </w:r>
    </w:p>
    <w:p>
      <w:pPr>
        <w:spacing w:after="20" w:line="223" w:lineRule="auto"/>
        <w:jc w:val="right"/>
        <w:bidi/>
      </w:pPr>
      <w:r>
        <w:rPr>
          <w:rFonts w:ascii="Arial" w:hAnsi="Arial"/>
          <w:sz w:val="16"/>
        </w:rPr>
        <w:t>039.06  لویتو با افتخارات نظامی در ۱۷ نوامبر ۲۰۰۰ در گورستان ملی آرلینگتون به خاک سپرده شد.</w:t>
      </w:r>
    </w:p>
    <w:p>
      <w:pPr>
        <w:spacing w:after="28" w:line="216" w:lineRule="auto"/>
        <w:ind w:left="259"/>
        <w:jc w:val="left"/>
      </w:pPr>
      <w:r>
        <w:rPr>
          <w:rFonts w:ascii="Arial" w:hAnsi="Arial"/>
          <w:color w:val="525252"/>
          <w:sz w:val="13"/>
        </w:rPr>
        <w:t>Levitow was buried with military honors 17 November 2000 at Arlington National Cemetery.</w:t>
      </w:r>
    </w:p>
    <w:p>
      <w:pPr>
        <w:spacing w:after="20" w:line="223" w:lineRule="auto"/>
        <w:jc w:val="right"/>
        <w:bidi/>
      </w:pPr>
      <w:r>
        <w:rPr>
          <w:rFonts w:ascii="Arial" w:hAnsi="Arial"/>
          <w:sz w:val="16"/>
        </w:rPr>
        <w:t>039.07  او پایین‌ترین مقام هوایی است که تاکنون مدال افتخار را برای قهرمانی استثنایی در زمان جنگ دریافت کرده است.</w:t>
      </w:r>
    </w:p>
    <w:p>
      <w:pPr>
        <w:spacing w:after="28" w:line="216" w:lineRule="auto"/>
        <w:ind w:left="259"/>
        <w:jc w:val="left"/>
      </w:pPr>
      <w:r>
        <w:rPr>
          <w:rFonts w:ascii="Arial" w:hAnsi="Arial"/>
          <w:color w:val="525252"/>
          <w:sz w:val="13"/>
        </w:rPr>
        <w:t>He is the lowest ranking Airman ever to receive the Medal of Honor for exceptional heroism during wartime.</w:t>
      </w:r>
    </w:p>
    <w:p>
      <w:pPr>
        <w:spacing w:after="20" w:line="223" w:lineRule="auto"/>
        <w:jc w:val="right"/>
        <w:bidi/>
      </w:pPr>
      <w:r>
        <w:rPr>
          <w:rFonts w:ascii="Arial" w:hAnsi="Arial"/>
          <w:sz w:val="16"/>
        </w:rPr>
        <w:t>039.08  جایزه جوهن ل. لویتوو برترین جایزه‌ای است که در طول تحصیلات نظامی حرفه‌ای ارائه می‌شود.</w:t>
      </w:r>
    </w:p>
    <w:p>
      <w:pPr>
        <w:spacing w:after="28" w:line="216" w:lineRule="auto"/>
        <w:ind w:left="259"/>
        <w:jc w:val="left"/>
      </w:pPr>
      <w:r>
        <w:rPr>
          <w:rFonts w:ascii="Arial" w:hAnsi="Arial"/>
          <w:color w:val="525252"/>
          <w:sz w:val="13"/>
        </w:rPr>
        <w:t>The John L. Levitow Award is the top award presented during enlisted professional military education.</w:t>
      </w:r>
    </w:p>
    <w:p>
      <w:pPr>
        <w:spacing w:after="20" w:line="223" w:lineRule="auto"/>
        <w:jc w:val="right"/>
        <w:bidi/>
      </w:pPr>
      <w:r>
        <w:rPr>
          <w:rFonts w:ascii="Arial" w:hAnsi="Arial"/>
          <w:sz w:val="16"/>
        </w:rPr>
        <w:t>039.09  شجاعت قابل توجه در طول درگیری ویتنام، وین فیسک.</w:t>
      </w:r>
    </w:p>
    <w:p>
      <w:pPr>
        <w:spacing w:after="28" w:line="216" w:lineRule="auto"/>
        <w:ind w:left="259"/>
        <w:jc w:val="left"/>
      </w:pPr>
      <w:r>
        <w:rPr>
          <w:rFonts w:ascii="Arial" w:hAnsi="Arial"/>
          <w:color w:val="525252"/>
          <w:sz w:val="13"/>
        </w:rPr>
        <w:t>Notable Bravery During Vietnam Conflict, Wayne Fisk.</w:t>
      </w:r>
    </w:p>
    <w:p>
      <w:pPr>
        <w:spacing w:after="20" w:line="223" w:lineRule="auto"/>
        <w:jc w:val="right"/>
        <w:bidi/>
      </w:pPr>
      <w:r>
        <w:rPr>
          <w:rFonts w:ascii="Arial" w:hAnsi="Arial"/>
          <w:sz w:val="16"/>
        </w:rPr>
        <w:t>039.10  وین فیسک مستقیما در حمله معروف به اردوگاه اسیران جنگی سون تای و نجات خدمه USS مایاقوز شرکت داشت.</w:t>
      </w:r>
    </w:p>
    <w:p>
      <w:pPr>
        <w:spacing w:after="28" w:line="216" w:lineRule="auto"/>
        <w:ind w:left="259"/>
        <w:jc w:val="left"/>
      </w:pPr>
      <w:r>
        <w:rPr>
          <w:rFonts w:ascii="Arial" w:hAnsi="Arial"/>
          <w:color w:val="525252"/>
          <w:sz w:val="13"/>
        </w:rPr>
        <w:t>Wayne Fisk was directly involved in the famed Son Tay Prisoner of War Camp raid and the rescue of the crew of the USS Mayaquez.</w:t>
      </w:r>
    </w:p>
    <w:p>
      <w:pPr>
        <w:spacing w:after="20" w:line="223" w:lineRule="auto"/>
        <w:jc w:val="right"/>
        <w:bidi/>
      </w:pPr>
      <w:r>
        <w:rPr>
          <w:rFonts w:ascii="Arial" w:hAnsi="Arial"/>
          <w:sz w:val="16"/>
        </w:rPr>
        <w:t>039.11  هنگامی که USS مایاقوز توسط نیروهای کمونیست کامبوج در می‌۱۹۷۵ ربوده شد، فیسک یکی از اعضای نیروی تهاجمی بود که با موفقیت کشتی، خدمه و تفنگداران دریایی ایالات متحده را به دام انداختند.</w:t>
      </w:r>
    </w:p>
    <w:p>
      <w:pPr>
        <w:spacing w:after="28" w:line="216" w:lineRule="auto"/>
        <w:ind w:left="259"/>
        <w:jc w:val="left"/>
      </w:pPr>
      <w:r>
        <w:rPr>
          <w:rFonts w:ascii="Arial" w:hAnsi="Arial"/>
          <w:color w:val="525252"/>
          <w:sz w:val="13"/>
        </w:rPr>
        <w:t>When the USS Mayaquez was hijacked by Cambodian Communist forces in May 1975, Fisk was a member of the assault force that successfully recovered the ship, the crew, and the entrapped U.S. Marines.</w:t>
      </w:r>
    </w:p>
    <w:p>
      <w:pPr>
        <w:spacing w:after="20" w:line="223" w:lineRule="auto"/>
        <w:jc w:val="right"/>
        <w:bidi/>
      </w:pPr>
      <w:r>
        <w:rPr>
          <w:rFonts w:ascii="Arial" w:hAnsi="Arial"/>
          <w:sz w:val="16"/>
        </w:rPr>
        <w:t>039.12  در پایان مأموریت، او به‌عنوان آخرین سرباز آمریکایی که نیروهای کمونیست را در نبرد زمینی در جنوب شرقی آسیا درگیر کرد، شناخته شد.</w:t>
      </w:r>
    </w:p>
    <w:p>
      <w:pPr>
        <w:spacing w:after="28" w:line="216" w:lineRule="auto"/>
        <w:ind w:left="259"/>
        <w:jc w:val="left"/>
      </w:pPr>
      <w:r>
        <w:rPr>
          <w:rFonts w:ascii="Arial" w:hAnsi="Arial"/>
          <w:color w:val="525252"/>
          <w:sz w:val="13"/>
        </w:rPr>
        <w:t>Concluding the mission, he was recognized as the last American serviceman to engage Communist forces in ground combat in Southeast Asia.</w:t>
      </w:r>
    </w:p>
    <w:p>
      <w:pPr>
        <w:spacing w:after="20" w:line="223" w:lineRule="auto"/>
        <w:jc w:val="right"/>
        <w:bidi/>
      </w:pPr>
      <w:r>
        <w:rPr>
          <w:rFonts w:ascii="Arial" w:hAnsi="Arial"/>
          <w:sz w:val="16"/>
        </w:rPr>
        <w:t>039.13  برای اقداماتش، فیسک دومین ستاره نقره‌ای خود را به وین فیسک اهدا کرد.</w:t>
      </w:r>
    </w:p>
    <w:p>
      <w:pPr>
        <w:spacing w:after="28" w:line="216" w:lineRule="auto"/>
        <w:ind w:left="259"/>
        <w:jc w:val="left"/>
      </w:pPr>
      <w:r>
        <w:rPr>
          <w:rFonts w:ascii="Arial" w:hAnsi="Arial"/>
          <w:color w:val="525252"/>
          <w:sz w:val="13"/>
        </w:rPr>
        <w:t>For his actions, Fisk was Wayne Fisk presented with his second Silver Star.</w:t>
      </w:r>
    </w:p>
    <w:p>
      <w:pPr>
        <w:spacing w:after="20" w:line="223" w:lineRule="auto"/>
        <w:jc w:val="right"/>
        <w:bidi/>
      </w:pPr>
      <w:r>
        <w:rPr>
          <w:rFonts w:ascii="Arial" w:hAnsi="Arial"/>
          <w:sz w:val="16"/>
        </w:rPr>
        <w:t>039.14  در سال ۱۹۷۹، او اولین دریافت کننده ۱۰ مرد جوان برجسته ایالات متحده جایکیس USAF بود.</w:t>
      </w:r>
    </w:p>
    <w:p>
      <w:pPr>
        <w:spacing w:after="28" w:line="216" w:lineRule="auto"/>
        <w:ind w:left="259"/>
        <w:jc w:val="left"/>
      </w:pPr>
      <w:r>
        <w:rPr>
          <w:rFonts w:ascii="Arial" w:hAnsi="Arial"/>
          <w:color w:val="525252"/>
          <w:sz w:val="13"/>
        </w:rPr>
        <w:t>In 1979, he was the first USAF enlisted recipient of the U.S. Jaycees 10 Outstanding Young Men of America.</w:t>
      </w:r>
    </w:p>
    <w:p>
      <w:pPr>
        <w:spacing w:after="20" w:line="223" w:lineRule="auto"/>
        <w:jc w:val="right"/>
        <w:bidi/>
      </w:pPr>
      <w:r>
        <w:rPr>
          <w:rFonts w:ascii="Arial" w:hAnsi="Arial"/>
          <w:sz w:val="16"/>
        </w:rPr>
        <w:t>039.15  در سال ۱۹۸۶، فرمانده ارشد گروهبان فیسک اولین مدیر تالار میراث نظامی نیروی هوایی در پایگاه نیروی هوایی ماکسول-آنکس گانتر، آلاباما شد.</w:t>
      </w:r>
    </w:p>
    <w:p>
      <w:pPr>
        <w:spacing w:after="28" w:line="216" w:lineRule="auto"/>
        <w:ind w:left="259"/>
        <w:jc w:val="left"/>
      </w:pPr>
      <w:r>
        <w:rPr>
          <w:rFonts w:ascii="Arial" w:hAnsi="Arial"/>
          <w:color w:val="525252"/>
          <w:sz w:val="13"/>
        </w:rPr>
        <w:t>In 1986, Chief Master Sergeant Fisk became the first director of the Air Force Enlisted Heritage Hall on Maxwell Air Force Base-Gunter Annex, Alabama.</w:t>
      </w:r>
    </w:p>
    <w:p>
      <w:pPr>
        <w:spacing w:before="60" w:after="28"/>
        <w:jc w:val="right"/>
        <w:bidi/>
      </w:pPr>
      <w:r>
        <w:rPr>
          <w:b/>
          <w:color w:val="1F4D78"/>
          <w:sz w:val="18"/>
        </w:rPr>
        <w:t>3.8. دوران پس از ویتنام</w:t>
      </w:r>
    </w:p>
    <w:p>
      <w:pPr>
        <w:spacing w:after="20"/>
        <w:ind w:left="259"/>
        <w:jc w:val="left"/>
      </w:pPr>
      <w:r>
        <w:rPr>
          <w:color w:val="555555"/>
          <w:sz w:val="12"/>
        </w:rPr>
        <w:t>3.8. The Post-Vietnam Era</w:t>
      </w:r>
    </w:p>
    <w:p>
      <w:pPr>
        <w:spacing w:after="20" w:line="223" w:lineRule="auto"/>
        <w:jc w:val="right"/>
        <w:bidi/>
      </w:pPr>
      <w:r>
        <w:rPr>
          <w:rFonts w:ascii="Arial" w:hAnsi="Arial"/>
          <w:sz w:val="16"/>
        </w:rPr>
        <w:t>039.17  ویتنام شمالی سایگون را در آوریل ۱۹۷۵ تصرف کرد.</w:t>
      </w:r>
    </w:p>
    <w:p>
      <w:pPr>
        <w:spacing w:after="28" w:line="216" w:lineRule="auto"/>
        <w:ind w:left="259"/>
        <w:jc w:val="left"/>
      </w:pPr>
      <w:r>
        <w:rPr>
          <w:rFonts w:ascii="Arial" w:hAnsi="Arial"/>
          <w:color w:val="525252"/>
          <w:sz w:val="13"/>
        </w:rPr>
        <w:t>The North Vietnamese captured Saigon in April 1975.</w:t>
      </w:r>
    </w:p>
    <w:p>
      <w:pPr>
        <w:spacing w:after="20" w:line="223" w:lineRule="auto"/>
        <w:jc w:val="right"/>
        <w:bidi/>
      </w:pPr>
      <w:r>
        <w:rPr>
          <w:rFonts w:ascii="Arial" w:hAnsi="Arial"/>
          <w:sz w:val="16"/>
        </w:rPr>
        <w:t>039.18  تعداد عملیات‌هایی که در طول دهه‌های ۱۹۶۰ و ۱۹۷۰ انجام شد، و میلیون‌ها تلفات و ویرانی شهروندان کشورهای درگیر، در تلاش‌های از دست رفته برای مهار کمونیسم، خلأ غرق‌کننده‌ای بر جای گذاشت.</w:t>
      </w:r>
    </w:p>
    <w:p>
      <w:pPr>
        <w:spacing w:after="28" w:line="216" w:lineRule="auto"/>
        <w:ind w:left="259"/>
        <w:jc w:val="left"/>
      </w:pPr>
      <w:r>
        <w:rPr>
          <w:rFonts w:ascii="Arial" w:hAnsi="Arial"/>
          <w:color w:val="525252"/>
          <w:sz w:val="13"/>
        </w:rPr>
        <w:t>The number of operations that ensued during the 1960s and 1970s, and the millions of casualties and devastation of the citizens of the countries involved, left a sinking void in the lost attempts to contain communism.</w:t>
      </w:r>
    </w:p>
    <w:p>
      <w:pPr>
        <w:spacing w:after="20" w:line="223" w:lineRule="auto"/>
        <w:jc w:val="right"/>
        <w:bidi/>
      </w:pPr>
      <w:r>
        <w:rPr>
          <w:rFonts w:ascii="Arial" w:hAnsi="Arial"/>
          <w:sz w:val="16"/>
        </w:rPr>
        <w:t>039.19  پس از پایان جنگ، صدها هزار پناهنده ویتنامی نیاز به جابجایی موقت داشتند تا زمانی که مکان‌های دائمی ایجاد شود.</w:t>
      </w:r>
    </w:p>
    <w:p>
      <w:pPr>
        <w:spacing w:after="28" w:line="216" w:lineRule="auto"/>
        <w:ind w:left="259"/>
        <w:jc w:val="left"/>
      </w:pPr>
      <w:r>
        <w:rPr>
          <w:rFonts w:ascii="Arial" w:hAnsi="Arial"/>
          <w:color w:val="525252"/>
          <w:sz w:val="13"/>
        </w:rPr>
        <w:t>After the war ended, hundreds of thousands of Vietnamese refugees required temporary relocation until permanent locations could be established.</w:t>
      </w:r>
    </w:p>
    <w:p>
      <w:pPr>
        <w:spacing w:after="20" w:line="223" w:lineRule="auto"/>
        <w:jc w:val="right"/>
        <w:bidi/>
      </w:pPr>
      <w:r>
        <w:rPr>
          <w:rFonts w:ascii="Arial" w:hAnsi="Arial"/>
          <w:sz w:val="16"/>
        </w:rPr>
        <w:t>039.20  بسیاری از این پناهندگان در ایالات متحده اسکان داده شدند.</w:t>
      </w:r>
    </w:p>
    <w:p>
      <w:pPr>
        <w:spacing w:after="28" w:line="216" w:lineRule="auto"/>
        <w:ind w:left="259"/>
        <w:jc w:val="left"/>
      </w:pPr>
      <w:r>
        <w:rPr>
          <w:rFonts w:ascii="Arial" w:hAnsi="Arial"/>
          <w:color w:val="525252"/>
          <w:sz w:val="13"/>
        </w:rPr>
        <w:t>Many of these refugees were resettled in the United States.</w:t>
      </w:r>
    </w:p>
    <w:p>
      <w:pPr>
        <w:spacing w:after="20" w:line="223" w:lineRule="auto"/>
        <w:jc w:val="right"/>
        <w:bidi/>
      </w:pPr>
      <w:r>
        <w:rPr>
          <w:rFonts w:ascii="Arial" w:hAnsi="Arial"/>
          <w:sz w:val="16"/>
        </w:rPr>
        <w:t>039.21  پرچم سرخ.</w:t>
      </w:r>
    </w:p>
    <w:p>
      <w:pPr>
        <w:spacing w:after="28" w:line="216" w:lineRule="auto"/>
        <w:ind w:left="259"/>
        <w:jc w:val="left"/>
      </w:pPr>
      <w:r>
        <w:rPr>
          <w:rFonts w:ascii="Arial" w:hAnsi="Arial"/>
          <w:color w:val="525252"/>
          <w:sz w:val="13"/>
        </w:rPr>
        <w:t>Red Flag.</w:t>
      </w:r>
    </w:p>
    <w:p>
      <w:pPr>
        <w:spacing w:after="20" w:line="223" w:lineRule="auto"/>
        <w:jc w:val="right"/>
        <w:bidi/>
      </w:pPr>
      <w:r>
        <w:rPr>
          <w:rFonts w:ascii="Arial" w:hAnsi="Arial"/>
          <w:sz w:val="16"/>
        </w:rPr>
        <w:t>039.22  USAF دوران ویتنام شامل بسیاری از اعضایی بود که در طول جنگ جهانی دوم وارد صفوف شدند.</w:t>
      </w:r>
    </w:p>
    <w:p>
      <w:pPr>
        <w:spacing w:after="28" w:line="216" w:lineRule="auto"/>
        <w:ind w:left="259"/>
        <w:jc w:val="left"/>
      </w:pPr>
      <w:r>
        <w:rPr>
          <w:rFonts w:ascii="Arial" w:hAnsi="Arial"/>
          <w:color w:val="525252"/>
          <w:sz w:val="13"/>
        </w:rPr>
        <w:t>The Vietnam-era USAF included many members who entered the ranks during World War II.</w:t>
      </w:r>
    </w:p>
    <w:p>
      <w:pPr>
        <w:spacing w:after="20" w:line="223" w:lineRule="auto"/>
        <w:jc w:val="right"/>
        <w:bidi/>
      </w:pPr>
      <w:r>
        <w:rPr>
          <w:rFonts w:ascii="Arial" w:hAnsi="Arial"/>
          <w:sz w:val="16"/>
        </w:rPr>
        <w:t>039.23  پرزیدنت نیکسون این پیش نویس را در سال ۱۹۷۳ به نفع ارتش آمریکایی کاملا داوطلب پایان داد.</w:t>
      </w:r>
    </w:p>
    <w:p>
      <w:pPr>
        <w:spacing w:after="28" w:line="216" w:lineRule="auto"/>
        <w:ind w:left="259"/>
        <w:jc w:val="left"/>
      </w:pPr>
      <w:r>
        <w:rPr>
          <w:rFonts w:ascii="Arial" w:hAnsi="Arial"/>
          <w:color w:val="525252"/>
          <w:sz w:val="13"/>
        </w:rPr>
        <w:t>President Nixon ended the draft in 1973 in favor of an all-volunteer American military.</w:t>
      </w:r>
    </w:p>
    <w:p>
      <w:pPr>
        <w:spacing w:after="20" w:line="223" w:lineRule="auto"/>
        <w:jc w:val="right"/>
        <w:bidi/>
      </w:pPr>
      <w:r>
        <w:rPr>
          <w:rFonts w:ascii="Arial" w:hAnsi="Arial"/>
          <w:sz w:val="16"/>
        </w:rPr>
        <w:t>039.24  USAF افراد جذب کرد و سربازان حرفه‌ای ویتنام کافی را حفظ کرد تا تغییرات قابل توجهی را ایجاد کند که با آموزش رزمی واقع بینانه و خطرناک‌تر شروع می‌شود.</w:t>
      </w:r>
    </w:p>
    <w:p>
      <w:pPr>
        <w:spacing w:after="28" w:line="216" w:lineRule="auto"/>
        <w:ind w:left="259"/>
        <w:jc w:val="left"/>
      </w:pPr>
      <w:r>
        <w:rPr>
          <w:rFonts w:ascii="Arial" w:hAnsi="Arial"/>
          <w:color w:val="525252"/>
          <w:sz w:val="13"/>
        </w:rPr>
        <w:t>The USAF attracted recruits and maintained enough Vietnam career veterans to allow significant changes, beginning with realistic, more dangerous, combat training.</w:t>
      </w:r>
    </w:p>
    <w:p>
      <w:pPr>
        <w:spacing w:after="20" w:line="223" w:lineRule="auto"/>
        <w:jc w:val="right"/>
        <w:bidi/>
      </w:pPr>
      <w:r>
        <w:rPr>
          <w:rFonts w:ascii="Arial" w:hAnsi="Arial"/>
          <w:sz w:val="16"/>
        </w:rPr>
        <w:t>039.25  تا سال ۱۹۷۵، آموزش در طول پرچم سرخ در مرکز تسلیحات و تاکتیک‌های USAF، پایگاه نیروی هوایی نلیس، نوادا انجام می‌شد.</w:t>
      </w:r>
    </w:p>
    <w:p>
      <w:pPr>
        <w:spacing w:after="28" w:line="216" w:lineRule="auto"/>
        <w:ind w:left="259"/>
        <w:jc w:val="left"/>
      </w:pPr>
      <w:r>
        <w:rPr>
          <w:rFonts w:ascii="Arial" w:hAnsi="Arial"/>
          <w:color w:val="525252"/>
          <w:sz w:val="13"/>
        </w:rPr>
        <w:t>By 1975, training was being conducted during Red Flag at the USAF Weapons and Tactics Center, Nellis Air Force Base, Nevada.</w:t>
      </w:r>
    </w:p>
    <w:p>
      <w:pPr>
        <w:spacing w:after="20" w:line="223" w:lineRule="auto"/>
        <w:jc w:val="right"/>
        <w:bidi/>
      </w:pPr>
      <w:r>
        <w:rPr>
          <w:rFonts w:ascii="Arial" w:hAnsi="Arial"/>
          <w:sz w:val="16"/>
        </w:rPr>
        <w:t>039.26  خدمه هواپیما سورتی پروازها و تشکیلات انفرادی را در موقعیت‌های واقعی انجام می‌دادند تا قبل از جنگ واقعی، تجربه کاربردی را کسب کنند.</w:t>
      </w:r>
    </w:p>
    <w:p>
      <w:pPr>
        <w:spacing w:after="28" w:line="216" w:lineRule="auto"/>
        <w:ind w:left="259"/>
        <w:jc w:val="left"/>
      </w:pPr>
      <w:r>
        <w:rPr>
          <w:rFonts w:ascii="Arial" w:hAnsi="Arial"/>
          <w:color w:val="525252"/>
          <w:sz w:val="13"/>
        </w:rPr>
        <w:t>Aircrews flew individual sorties and formations in realistic situations to gain application experience before actual combat.</w:t>
      </w:r>
    </w:p>
    <w:p>
      <w:pPr>
        <w:spacing w:after="20" w:line="223" w:lineRule="auto"/>
        <w:jc w:val="right"/>
        <w:bidi/>
      </w:pPr>
      <w:r>
        <w:rPr>
          <w:rFonts w:ascii="Arial" w:hAnsi="Arial"/>
          <w:sz w:val="16"/>
        </w:rPr>
        <w:t>039.27  پرچم قرمز برای انقلابی در آموزش USAF اعتبار دارد.</w:t>
      </w:r>
    </w:p>
    <w:p>
      <w:pPr>
        <w:spacing w:after="28" w:line="216" w:lineRule="auto"/>
        <w:ind w:left="259"/>
        <w:jc w:val="left"/>
      </w:pPr>
      <w:r>
        <w:rPr>
          <w:rFonts w:ascii="Arial" w:hAnsi="Arial"/>
          <w:color w:val="525252"/>
          <w:sz w:val="13"/>
        </w:rPr>
        <w:t>Red Flag is credited for revolutionizing USAF training.</w:t>
      </w:r>
    </w:p>
    <w:p>
      <w:pPr>
        <w:spacing w:after="20" w:line="223" w:lineRule="auto"/>
        <w:jc w:val="right"/>
        <w:bidi/>
      </w:pPr>
      <w:r>
        <w:rPr>
          <w:rFonts w:ascii="Arial" w:hAnsi="Arial"/>
          <w:sz w:val="16"/>
        </w:rPr>
        <w:t>039.28  بازسازی.</w:t>
      </w:r>
    </w:p>
    <w:p>
      <w:pPr>
        <w:spacing w:after="28" w:line="216" w:lineRule="auto"/>
        <w:ind w:left="259"/>
        <w:jc w:val="left"/>
      </w:pPr>
      <w:r>
        <w:rPr>
          <w:rFonts w:ascii="Arial" w:hAnsi="Arial"/>
          <w:color w:val="525252"/>
          <w:sz w:val="13"/>
        </w:rPr>
        <w:t>Rebuilding.</w:t>
      </w:r>
    </w:p>
    <w:p>
      <w:pPr>
        <w:spacing w:after="20" w:line="223" w:lineRule="auto"/>
        <w:jc w:val="right"/>
        <w:bidi/>
      </w:pPr>
      <w:r>
        <w:rPr>
          <w:rFonts w:ascii="Arial" w:hAnsi="Arial"/>
          <w:sz w:val="16"/>
        </w:rPr>
        <w:t>039.29  بازسازی خدمات نظامی پس از ویتنام شامل بکارگیری پیشرفت‌های فناوری برای کمپین‌های هوایی بود.</w:t>
      </w:r>
    </w:p>
    <w:p>
      <w:pPr>
        <w:spacing w:after="28" w:line="216" w:lineRule="auto"/>
        <w:ind w:left="259"/>
        <w:jc w:val="left"/>
      </w:pPr>
      <w:r>
        <w:rPr>
          <w:rFonts w:ascii="Arial" w:hAnsi="Arial"/>
          <w:color w:val="525252"/>
          <w:sz w:val="13"/>
        </w:rPr>
        <w:t>Post-Vietnam military service rebuilding included the application of technological improvements for air campaigns.</w:t>
      </w:r>
    </w:p>
    <w:p>
      <w:pPr>
        <w:spacing w:after="20" w:line="223" w:lineRule="auto"/>
        <w:jc w:val="right"/>
        <w:bidi/>
      </w:pPr>
      <w:r>
        <w:rPr>
          <w:rFonts w:ascii="Arial" w:hAnsi="Arial"/>
          <w:sz w:val="16"/>
        </w:rPr>
        <w:t>039.30  طرح‌هایی برای ف-۱۵ اگل که بلافاصله بعد از آن توسط ف-۱۶ فیگهتینگ فالکون دنبال شد، نیاز به هواپیماهای جنگی بسیار قابل مانور مجهز به موشک و توپ را برطرف کرد.</w:t>
      </w:r>
    </w:p>
    <w:p>
      <w:pPr>
        <w:spacing w:after="28" w:line="216" w:lineRule="auto"/>
        <w:ind w:left="259"/>
        <w:jc w:val="left"/>
      </w:pPr>
      <w:r>
        <w:rPr>
          <w:rFonts w:ascii="Arial" w:hAnsi="Arial"/>
          <w:color w:val="525252"/>
          <w:sz w:val="13"/>
        </w:rPr>
        <w:t>Plans for the F-15 Eagle, followed soon after by the F-16 Fighting Falcon, filled the need for highly maneuverable dogfighting aircraft armed with missiles and cannons.</w:t>
      </w:r>
    </w:p>
    <w:p>
      <w:pPr>
        <w:spacing w:after="20" w:line="223" w:lineRule="auto"/>
        <w:jc w:val="right"/>
        <w:bidi/>
      </w:pPr>
      <w:r>
        <w:rPr>
          <w:rFonts w:ascii="Arial" w:hAnsi="Arial"/>
          <w:sz w:val="16"/>
        </w:rPr>
        <w:t>039.31  برای انجام حملات هوایی عمیق، منزوی کردن دشمن در میدان نبرد، انجام ممانعت هوایی میدان نبرد، ایجاد اختلال در حرکت نیروهای ثانویه به جبهه و پشتیبانی هوایی نزدیک از نیروهای زمینی ارتش، نیروی هوایی ایالات متحده آمریکا ا-۱۰ توندربولت را تهیه کرد.</w:t>
      </w:r>
    </w:p>
    <w:p>
      <w:pPr>
        <w:spacing w:after="28" w:line="216" w:lineRule="auto"/>
        <w:ind w:left="259"/>
        <w:jc w:val="left"/>
      </w:pPr>
      <w:r>
        <w:rPr>
          <w:rFonts w:ascii="Arial" w:hAnsi="Arial"/>
          <w:color w:val="525252"/>
          <w:sz w:val="13"/>
        </w:rPr>
        <w:t>For conducting deep air attacks, isolating the enemy on the battlefield, conducting battlefield air interdiction, disrupting the movement of secondary forces to the front, and providing close air support to Army ground forces, the USAF procured the A-10 Thunderbolt.</w:t>
      </w:r>
    </w:p>
    <w:p>
      <w:pPr>
        <w:spacing w:after="20" w:line="223" w:lineRule="auto"/>
        <w:jc w:val="right"/>
        <w:bidi/>
      </w:pPr>
      <w:r>
        <w:rPr>
          <w:rFonts w:ascii="Arial" w:hAnsi="Arial"/>
          <w:sz w:val="16"/>
        </w:rPr>
        <w:t>039.32  علاوه بر این، ایالات متحده جنگنده رادارگریز ف-۱۱۷ نیگهتاوک را برای نفی خطرات ناشی از توپخانه ضد هوایی با هدایت رادار و موشک‌های زمین به هوا توسعه داد.</w:t>
      </w:r>
    </w:p>
    <w:p>
      <w:pPr>
        <w:spacing w:after="28" w:line="216" w:lineRule="auto"/>
        <w:ind w:left="259"/>
        <w:jc w:val="left"/>
      </w:pPr>
      <w:r>
        <w:rPr>
          <w:rFonts w:ascii="Arial" w:hAnsi="Arial"/>
          <w:color w:val="525252"/>
          <w:sz w:val="13"/>
        </w:rPr>
        <w:t>Additionally, the United States developed the F-117 Nighthawk stealth fighter to negate the dangers posed by radar-guided anti-aircraft artillery and surface-to-air missiles.</w:t>
      </w:r>
    </w:p>
    <w:p>
      <w:pPr>
        <w:spacing w:after="20" w:line="223" w:lineRule="auto"/>
        <w:jc w:val="right"/>
        <w:bidi/>
      </w:pPr>
      <w:r>
        <w:rPr>
          <w:rFonts w:ascii="Arial" w:hAnsi="Arial"/>
          <w:sz w:val="16"/>
        </w:rPr>
        <w:t>039.33  هنگامی که ف-۱۱۷ در سال ۱۹۸۰ عملیاتی شد، فناوری رادارگریز دارای رنگ‌ها، مواد و طرح‌های ویژه برای کاهش یا حذف رادار، حرارتی و امضای الکترونیکی هواپیما بود.</w:t>
      </w:r>
    </w:p>
    <w:p>
      <w:pPr>
        <w:spacing w:after="28" w:line="216" w:lineRule="auto"/>
        <w:ind w:left="259"/>
        <w:jc w:val="left"/>
      </w:pPr>
      <w:r>
        <w:rPr>
          <w:rFonts w:ascii="Arial" w:hAnsi="Arial"/>
          <w:color w:val="525252"/>
          <w:sz w:val="13"/>
        </w:rPr>
        <w:t>When the F-117 was operationalized in 1980, stealth technology featured special paints, materials, and designs to reduce or eliminate aircraft radar, thermal, and electronic signatures.</w:t>
      </w:r>
    </w:p>
    <w:p>
      <w:pPr>
        <w:spacing w:after="20" w:line="223" w:lineRule="auto"/>
        <w:jc w:val="right"/>
        <w:bidi/>
      </w:pPr>
      <w:r>
        <w:rPr>
          <w:rFonts w:ascii="Arial" w:hAnsi="Arial"/>
          <w:sz w:val="16"/>
        </w:rPr>
        <w:t>039.34  بمب‌های هدایت‌شونده لیزری، موشک‌های هدایت‌شونده الکترواپتیکی و سایر فناوری‌های دقیق، تمرکز دکترین USAF را از بمباران استراتژیک به بمباران دقیق از طریق صرفه‌جویی نیرو تغییر دادند.</w:t>
      </w:r>
    </w:p>
    <w:p>
      <w:pPr>
        <w:spacing w:after="28" w:line="216" w:lineRule="auto"/>
        <w:ind w:left="259"/>
        <w:jc w:val="left"/>
      </w:pPr>
      <w:r>
        <w:rPr>
          <w:rFonts w:ascii="Arial" w:hAnsi="Arial"/>
          <w:color w:val="525252"/>
          <w:sz w:val="13"/>
        </w:rPr>
        <w:t>Laser-guided bombs, electro-optically-guided missiles, and other precision technologies changed the focus of USAF doctrine from strategic bombing to pinpoint bombing through economy of force.</w:t>
      </w:r>
    </w:p>
    <w:p>
      <w:r>
        <w:br w:type="page"/>
      </w:r>
    </w:p>
    <w:p>
      <w:pPr>
        <w:spacing w:after="60"/>
        <w:jc w:val="right"/>
        <w:bidi/>
      </w:pPr>
      <w:r>
        <w:rPr>
          <w:rFonts w:ascii="Arial" w:hAnsi="Arial"/>
          <w:b/>
          <w:color w:val="1F4D78"/>
          <w:sz w:val="19"/>
        </w:rPr>
        <w:t>هفتهٔ 40  |  صفحهٔ منبع: 56</w:t>
      </w:r>
    </w:p>
    <w:p>
      <w:pPr>
        <w:spacing w:before="60" w:after="28"/>
        <w:jc w:val="right"/>
        <w:bidi/>
      </w:pPr>
      <w:r>
        <w:rPr>
          <w:b/>
          <w:color w:val="1F4D78"/>
          <w:sz w:val="18"/>
        </w:rPr>
        <w:t>3.9. بحران گروگان ایران و عملیات پنجه عقاب</w:t>
      </w:r>
    </w:p>
    <w:p>
      <w:pPr>
        <w:spacing w:after="20"/>
        <w:ind w:left="259"/>
        <w:jc w:val="left"/>
      </w:pPr>
      <w:r>
        <w:rPr>
          <w:color w:val="555555"/>
          <w:sz w:val="12"/>
        </w:rPr>
        <w:t>3.9. Iran Hostage Crisis and Operation Eagle Claw</w:t>
      </w:r>
    </w:p>
    <w:p>
      <w:pPr>
        <w:spacing w:after="20" w:line="223" w:lineRule="auto"/>
        <w:jc w:val="right"/>
        <w:bidi/>
      </w:pPr>
      <w:r>
        <w:rPr>
          <w:rFonts w:ascii="Arial" w:hAnsi="Arial"/>
          <w:sz w:val="16"/>
        </w:rPr>
        <w:t>040.02  در آوریل ۱۹۸۰، عملیات پنجه عقاب به‌عنوان تلاشی برای نجات ۵۲ گروگان آمریکایی از سفارت ایالات متحده در تهران، ایران آغاز شد.</w:t>
      </w:r>
    </w:p>
    <w:p>
      <w:pPr>
        <w:spacing w:after="28" w:line="216" w:lineRule="auto"/>
        <w:ind w:left="259"/>
        <w:jc w:val="left"/>
      </w:pPr>
      <w:r>
        <w:rPr>
          <w:rFonts w:ascii="Arial" w:hAnsi="Arial"/>
          <w:color w:val="525252"/>
          <w:sz w:val="13"/>
        </w:rPr>
        <w:t>In April 1980, Operation Eagle Claw kicked off as an attempt to rescue 52 American hostages from the U.S. Embassy in Tehran, Iran.</w:t>
      </w:r>
    </w:p>
    <w:p>
      <w:pPr>
        <w:spacing w:after="20" w:line="223" w:lineRule="auto"/>
        <w:jc w:val="right"/>
        <w:bidi/>
      </w:pPr>
      <w:r>
        <w:rPr>
          <w:rFonts w:ascii="Arial" w:hAnsi="Arial"/>
          <w:sz w:val="16"/>
        </w:rPr>
        <w:t>040.03  آمریکایی‌ها از ۴ نوامبر ۱۹۷۹ تا ۲۰ ژانویه ۱۹۸۱ زمانی که گروهی از دانشجویان ایرانی حامی انقلاب ایران سفارت ایالات متحده را تسخیر کردند، به مدت ۴۴۴ روز گروگان بودند.</w:t>
      </w:r>
    </w:p>
    <w:p>
      <w:pPr>
        <w:spacing w:after="28" w:line="216" w:lineRule="auto"/>
        <w:ind w:left="259"/>
        <w:jc w:val="left"/>
      </w:pPr>
      <w:r>
        <w:rPr>
          <w:rFonts w:ascii="Arial" w:hAnsi="Arial"/>
          <w:color w:val="525252"/>
          <w:sz w:val="13"/>
        </w:rPr>
        <w:t>The Americans were held hostage for 444 days, from 4 November 1979 to 20 January 1981 when a group of Iranian students who supported the Iranian Revolution took over the U.S. Embassy.</w:t>
      </w:r>
    </w:p>
    <w:p>
      <w:pPr>
        <w:spacing w:after="20" w:line="223" w:lineRule="auto"/>
        <w:jc w:val="right"/>
        <w:bidi/>
      </w:pPr>
      <w:r>
        <w:rPr>
          <w:rFonts w:ascii="Arial" w:hAnsi="Arial"/>
          <w:sz w:val="16"/>
        </w:rPr>
        <w:t>040.04  در ایالات متحده، بحران گروگانگیری آمریکایی‌ها را متحد کرد تا وضعیت را به‌عنوان تهدیدی علیه دیپلماسی بشناسند و حس میهن پرستی را در سراسر کشور ما برانگیخت.</w:t>
      </w:r>
    </w:p>
    <w:p>
      <w:pPr>
        <w:spacing w:after="28" w:line="216" w:lineRule="auto"/>
        <w:ind w:left="259"/>
        <w:jc w:val="left"/>
      </w:pPr>
      <w:r>
        <w:rPr>
          <w:rFonts w:ascii="Arial" w:hAnsi="Arial"/>
          <w:color w:val="525252"/>
          <w:sz w:val="13"/>
        </w:rPr>
        <w:t>In the United States, the hostage crisis united Americans to recognize the situation as a threat against diplomacy and ignited a sense of patriotism across our country.</w:t>
      </w:r>
    </w:p>
    <w:p>
      <w:pPr>
        <w:spacing w:after="20" w:line="223" w:lineRule="auto"/>
        <w:jc w:val="right"/>
        <w:bidi/>
      </w:pPr>
      <w:r>
        <w:rPr>
          <w:rFonts w:ascii="Arial" w:hAnsi="Arial"/>
          <w:sz w:val="16"/>
        </w:rPr>
        <w:t>040.05  با این حال، عملیات پنجه عقاب در نهایت به درخواست فرماندهان میدانی که مستقیما در این مأموریت شرکت داشتند، لغو شد.</w:t>
      </w:r>
    </w:p>
    <w:p>
      <w:pPr>
        <w:spacing w:after="28" w:line="216" w:lineRule="auto"/>
        <w:ind w:left="259"/>
        <w:jc w:val="left"/>
      </w:pPr>
      <w:r>
        <w:rPr>
          <w:rFonts w:ascii="Arial" w:hAnsi="Arial"/>
          <w:color w:val="525252"/>
          <w:sz w:val="13"/>
        </w:rPr>
        <w:t>However, Operation Eagle Claw was ultimately aborted at the request of field commanders directly involved in the mission.</w:t>
      </w:r>
    </w:p>
    <w:p>
      <w:pPr>
        <w:spacing w:after="20" w:line="223" w:lineRule="auto"/>
        <w:jc w:val="right"/>
        <w:bidi/>
      </w:pPr>
      <w:r>
        <w:rPr>
          <w:rFonts w:ascii="Arial" w:hAnsi="Arial"/>
          <w:sz w:val="16"/>
        </w:rPr>
        <w:t>040.06  آنها با موانع و مشکلات مکانیکی زیادی در ناوگان هلیکوپتر مواجه شدند تا امداد و نجات با موفقیت انجام شود.</w:t>
      </w:r>
    </w:p>
    <w:p>
      <w:pPr>
        <w:spacing w:after="28" w:line="216" w:lineRule="auto"/>
        <w:ind w:left="259"/>
        <w:jc w:val="left"/>
      </w:pPr>
      <w:r>
        <w:rPr>
          <w:rFonts w:ascii="Arial" w:hAnsi="Arial"/>
          <w:color w:val="525252"/>
          <w:sz w:val="13"/>
        </w:rPr>
        <w:t>They experienced too many obstacles and mechanical problems with the helicopter fleet for the rescue to be conducted successfully.</w:t>
      </w:r>
    </w:p>
    <w:p>
      <w:pPr>
        <w:spacing w:after="20" w:line="223" w:lineRule="auto"/>
        <w:jc w:val="right"/>
        <w:bidi/>
      </w:pPr>
      <w:r>
        <w:rPr>
          <w:rFonts w:ascii="Arial" w:hAnsi="Arial"/>
          <w:sz w:val="16"/>
        </w:rPr>
        <w:t>040.07  گروگان‌ها در نهایت در نتیجه مذاکرات سیاسی آزاد شدند و به ایالات متحده بازگردانده شدند.</w:t>
      </w:r>
    </w:p>
    <w:p>
      <w:pPr>
        <w:spacing w:after="28" w:line="216" w:lineRule="auto"/>
        <w:ind w:left="259"/>
        <w:jc w:val="left"/>
      </w:pPr>
      <w:r>
        <w:rPr>
          <w:rFonts w:ascii="Arial" w:hAnsi="Arial"/>
          <w:color w:val="525252"/>
          <w:sz w:val="13"/>
        </w:rPr>
        <w:t>The hostages were eventually released as a result of political negotiations and were returned home to the United States.</w:t>
      </w:r>
    </w:p>
    <w:p>
      <w:pPr>
        <w:spacing w:after="20" w:line="223" w:lineRule="auto"/>
        <w:jc w:val="right"/>
        <w:bidi/>
      </w:pPr>
      <w:r>
        <w:rPr>
          <w:rFonts w:ascii="Arial" w:hAnsi="Arial"/>
          <w:sz w:val="16"/>
        </w:rPr>
        <w:t>040.08  بحران گروگان‌گیری ایران به‌عنوان طولانی‌ترین گروگان‌گیری در تاریخ شناخته می‌شود.</w:t>
      </w:r>
    </w:p>
    <w:p>
      <w:pPr>
        <w:spacing w:after="28" w:line="216" w:lineRule="auto"/>
        <w:ind w:left="259"/>
        <w:jc w:val="left"/>
      </w:pPr>
      <w:r>
        <w:rPr>
          <w:rFonts w:ascii="Arial" w:hAnsi="Arial"/>
          <w:color w:val="525252"/>
          <w:sz w:val="13"/>
        </w:rPr>
        <w:t>The Iran Hostage Crisis is recognized as the longest hostage crisis in recorded history.</w:t>
      </w:r>
    </w:p>
    <w:p>
      <w:pPr>
        <w:spacing w:before="60" w:after="28"/>
        <w:jc w:val="right"/>
        <w:bidi/>
      </w:pPr>
      <w:r>
        <w:rPr>
          <w:b/>
          <w:color w:val="1F4D78"/>
          <w:sz w:val="18"/>
        </w:rPr>
        <w:t>3.10. حمله گرانادا و عملیات خشم فوری</w:t>
      </w:r>
    </w:p>
    <w:p>
      <w:pPr>
        <w:spacing w:after="20"/>
        <w:ind w:left="259"/>
        <w:jc w:val="left"/>
      </w:pPr>
      <w:r>
        <w:rPr>
          <w:color w:val="555555"/>
          <w:sz w:val="12"/>
        </w:rPr>
        <w:t>3.10. Grenada Invasion and Operation Urgent Fury</w:t>
      </w:r>
    </w:p>
    <w:p>
      <w:pPr>
        <w:spacing w:after="20" w:line="223" w:lineRule="auto"/>
        <w:jc w:val="right"/>
        <w:bidi/>
      </w:pPr>
      <w:r>
        <w:rPr>
          <w:rFonts w:ascii="Arial" w:hAnsi="Arial"/>
          <w:sz w:val="16"/>
        </w:rPr>
        <w:t>040.10  در اکتبر ۱۹۸۳، یک کودتای نظامی در جزیره کوچک گرانادا در دریای کارائیب، نخست‌وزیر موریس بیشاپ را دستگیر و سپس ترور کرد، منع آمد و شد ۲۴ ساعته برای تیراندازی در مقابل دید اعمال کرد و فرودگاه را تعطیل کرد.</w:t>
      </w:r>
    </w:p>
    <w:p>
      <w:pPr>
        <w:spacing w:after="28" w:line="216" w:lineRule="auto"/>
        <w:ind w:left="259"/>
        <w:jc w:val="left"/>
      </w:pPr>
      <w:r>
        <w:rPr>
          <w:rFonts w:ascii="Arial" w:hAnsi="Arial"/>
          <w:color w:val="525252"/>
          <w:sz w:val="13"/>
        </w:rPr>
        <w:t>In October 1983, a military coup on the tiny Caribbean island of Grenada arrested and then assassinated Prime Minister Maurice Bishop, imposed a 24-hour shoot-on-sight curfew, and closed the airport.</w:t>
      </w:r>
    </w:p>
    <w:p>
      <w:pPr>
        <w:spacing w:after="20" w:line="223" w:lineRule="auto"/>
        <w:jc w:val="right"/>
        <w:bidi/>
      </w:pPr>
      <w:r>
        <w:rPr>
          <w:rFonts w:ascii="Arial" w:hAnsi="Arial"/>
          <w:sz w:val="16"/>
        </w:rPr>
        <w:t>040.11  رئیس جمهور رونالد دبلیو ریگان، که خواهان تکرار بحران گروگانگیری در ایران نبود، مداخله نظامی را برای نجات ۶۰۰ شهروند آمریکایی که در مدرسه پزشکی در جزیره تحصیل می‌کردند، در نظر گرفت.</w:t>
      </w:r>
    </w:p>
    <w:p>
      <w:pPr>
        <w:spacing w:after="28" w:line="216" w:lineRule="auto"/>
        <w:ind w:left="259"/>
        <w:jc w:val="left"/>
      </w:pPr>
      <w:r>
        <w:rPr>
          <w:rFonts w:ascii="Arial" w:hAnsi="Arial"/>
          <w:color w:val="525252"/>
          <w:sz w:val="13"/>
        </w:rPr>
        <w:t>President Ronald W. Reagan, who did not want a repetition of the Iranian Hostage Crisis, considered military intervention to rescue the 600 American citizens who were attending medical school on the island.</w:t>
      </w:r>
    </w:p>
    <w:p>
      <w:pPr>
        <w:spacing w:after="20" w:line="223" w:lineRule="auto"/>
        <w:jc w:val="right"/>
        <w:bidi/>
      </w:pPr>
      <w:r>
        <w:rPr>
          <w:rFonts w:ascii="Arial" w:hAnsi="Arial"/>
          <w:sz w:val="16"/>
        </w:rPr>
        <w:t>040.12  در طول عملیات خشم فوری، بخش عمده‌ای از پشتیبانی USAF را واحدهای حمل و نقل هوایی و عملیات ویژه تشکیل می‌دادند.</w:t>
      </w:r>
    </w:p>
    <w:p>
      <w:pPr>
        <w:spacing w:after="28" w:line="216" w:lineRule="auto"/>
        <w:ind w:left="259"/>
        <w:jc w:val="left"/>
      </w:pPr>
      <w:r>
        <w:rPr>
          <w:rFonts w:ascii="Arial" w:hAnsi="Arial"/>
          <w:color w:val="525252"/>
          <w:sz w:val="13"/>
        </w:rPr>
        <w:t>During Operation Urgent Fury, the bulk of USAF support consisted of airlift and special operations units.</w:t>
      </w:r>
    </w:p>
    <w:p>
      <w:pPr>
        <w:spacing w:after="20" w:line="223" w:lineRule="auto"/>
        <w:jc w:val="right"/>
        <w:bidi/>
      </w:pPr>
      <w:r>
        <w:rPr>
          <w:rFonts w:ascii="Arial" w:hAnsi="Arial"/>
          <w:sz w:val="16"/>
        </w:rPr>
        <w:t>040.13  جنگنده‌های AC-۱۳۰ بارها و بارها ارزش خود را ثابت کردند و تطبیق پذیری و دقت بیشتری نسبت به بمباران دریایی و توپخانه زمینی نشان دادند.</w:t>
      </w:r>
    </w:p>
    <w:p>
      <w:pPr>
        <w:spacing w:after="28" w:line="216" w:lineRule="auto"/>
        <w:ind w:left="259"/>
        <w:jc w:val="left"/>
      </w:pPr>
      <w:r>
        <w:rPr>
          <w:rFonts w:ascii="Arial" w:hAnsi="Arial"/>
          <w:color w:val="525252"/>
          <w:sz w:val="13"/>
        </w:rPr>
        <w:t>AC-130 gunships proved their worth repeatedly, showing more versatility and accuracy than naval bombardment and land artillery.</w:t>
      </w:r>
    </w:p>
    <w:p>
      <w:pPr>
        <w:spacing w:after="20" w:line="223" w:lineRule="auto"/>
        <w:jc w:val="right"/>
        <w:bidi/>
      </w:pPr>
      <w:r>
        <w:rPr>
          <w:rFonts w:ascii="Arial" w:hAnsi="Arial"/>
          <w:sz w:val="16"/>
        </w:rPr>
        <w:t>040.14  چند نفر از پرسنل سربازگیری USAF به دلیل موفقیت ویژه مورد اشاره قرار گرفتند و به دلیل تلاش‌های خود مورد تحسین قرار گرفتند.</w:t>
      </w:r>
    </w:p>
    <w:p>
      <w:pPr>
        <w:spacing w:after="28" w:line="216" w:lineRule="auto"/>
        <w:ind w:left="259"/>
        <w:jc w:val="left"/>
      </w:pPr>
      <w:r>
        <w:rPr>
          <w:rFonts w:ascii="Arial" w:hAnsi="Arial"/>
          <w:color w:val="525252"/>
          <w:sz w:val="13"/>
        </w:rPr>
        <w:t>Several USAF enlisted personnel were cited for special achievement and received praise for their efforts.</w:t>
      </w:r>
    </w:p>
    <w:p>
      <w:pPr>
        <w:spacing w:after="20" w:line="223" w:lineRule="auto"/>
        <w:jc w:val="right"/>
        <w:bidi/>
      </w:pPr>
      <w:r>
        <w:rPr>
          <w:rFonts w:ascii="Arial" w:hAnsi="Arial"/>
          <w:sz w:val="16"/>
        </w:rPr>
        <w:t>040.15  تهاجم برای نجات دانشجویان و بازگرداندن نظم به گرانادا به شدت توسط چندین کشور مورد انتقاد قرار گرفت و مجمع عمومی سازمان ملل متحد آن را نقض آشکار قوانین بین‌المللی توصیف کرد.</w:t>
      </w:r>
    </w:p>
    <w:p>
      <w:pPr>
        <w:spacing w:after="28" w:line="216" w:lineRule="auto"/>
        <w:ind w:left="259"/>
        <w:jc w:val="left"/>
      </w:pPr>
      <w:r>
        <w:rPr>
          <w:rFonts w:ascii="Arial" w:hAnsi="Arial"/>
          <w:color w:val="525252"/>
          <w:sz w:val="13"/>
        </w:rPr>
        <w:t>The invasion to rescue the students and restore order to Grenada was strongly criticized by several countries and was described as a flagrant violation of international law by the United Nations General Assembly.</w:t>
      </w:r>
    </w:p>
    <w:p>
      <w:pPr>
        <w:spacing w:after="20" w:line="223" w:lineRule="auto"/>
        <w:jc w:val="right"/>
        <w:bidi/>
      </w:pPr>
      <w:r>
        <w:rPr>
          <w:rFonts w:ascii="Arial" w:hAnsi="Arial"/>
          <w:sz w:val="16"/>
        </w:rPr>
        <w:t>040.16  با این حال، حمایت عمومی قوی از این مأموریت در ایالات متحده وجود داشت و تاریخ تهاجم سالانه در گرانادا جشن گرفته می‌شود.</w:t>
      </w:r>
    </w:p>
    <w:p>
      <w:pPr>
        <w:spacing w:after="28" w:line="216" w:lineRule="auto"/>
        <w:ind w:left="259"/>
        <w:jc w:val="left"/>
      </w:pPr>
      <w:r>
        <w:rPr>
          <w:rFonts w:ascii="Arial" w:hAnsi="Arial"/>
          <w:color w:val="525252"/>
          <w:sz w:val="13"/>
        </w:rPr>
        <w:t>However, there was strong public support for the mission in the United States and the date of the invasion is celebrated in Grenada annually.</w:t>
      </w:r>
    </w:p>
    <w:p>
      <w:pPr>
        <w:spacing w:after="20" w:line="223" w:lineRule="auto"/>
        <w:jc w:val="right"/>
        <w:bidi/>
      </w:pPr>
      <w:r>
        <w:rPr>
          <w:rFonts w:ascii="Arial" w:hAnsi="Arial"/>
          <w:sz w:val="16"/>
        </w:rPr>
        <w:t>040.17  این عملیات منجر به انتصاب یک دولت موقت و به دنبال آن انتخابات دموکراتیک در سال ۱۹۸۴ شد و از آن زمان تاکنون یک کشور دموکراتیک باقی مانده است.</w:t>
      </w:r>
    </w:p>
    <w:p>
      <w:pPr>
        <w:spacing w:after="28" w:line="216" w:lineRule="auto"/>
        <w:ind w:left="259"/>
        <w:jc w:val="left"/>
      </w:pPr>
      <w:r>
        <w:rPr>
          <w:rFonts w:ascii="Arial" w:hAnsi="Arial"/>
          <w:color w:val="525252"/>
          <w:sz w:val="13"/>
        </w:rPr>
        <w:t>The operation resulted in the appointment of an interim government, followed by democratic elections in 1984, and has remained a democratic nation since.</w:t>
      </w:r>
    </w:p>
    <w:p>
      <w:pPr>
        <w:spacing w:before="60" w:after="28"/>
        <w:jc w:val="right"/>
        <w:bidi/>
      </w:pPr>
      <w:r>
        <w:rPr>
          <w:b/>
          <w:color w:val="1F4D78"/>
          <w:sz w:val="18"/>
        </w:rPr>
        <w:t>3.11. سرنگونی لیبی و عملیات ادیسه سپیده دم</w:t>
      </w:r>
    </w:p>
    <w:p>
      <w:pPr>
        <w:spacing w:after="20"/>
        <w:ind w:left="259"/>
        <w:jc w:val="left"/>
      </w:pPr>
      <w:r>
        <w:rPr>
          <w:color w:val="555555"/>
          <w:sz w:val="12"/>
        </w:rPr>
        <w:t>3.11. Overthrow of Libya and Operation Odyssey Dawn</w:t>
      </w:r>
    </w:p>
    <w:p>
      <w:pPr>
        <w:spacing w:after="20" w:line="223" w:lineRule="auto"/>
        <w:jc w:val="right"/>
        <w:bidi/>
      </w:pPr>
      <w:r>
        <w:rPr>
          <w:rFonts w:ascii="Arial" w:hAnsi="Arial"/>
          <w:sz w:val="16"/>
        </w:rPr>
        <w:t>040.19  در سال ۱۹۶۹، گروهی از افسران نظامی به رهبری معمر القذافی (اغلب به نام قذافی) سلطنت عرب طرفدار غرب لیبی را سرنگون کردند. لیبی در اواسط دهه ۱۹۸۰ که عملا کنترل نشده بود، چندین گام در جهت نشان دادن حمایت و حمایت از تروریسم در سراسر جهان برداشته بود.</w:t>
      </w:r>
    </w:p>
    <w:p>
      <w:pPr>
        <w:spacing w:after="28" w:line="216" w:lineRule="auto"/>
        <w:ind w:left="259"/>
        <w:jc w:val="left"/>
      </w:pPr>
      <w:r>
        <w:rPr>
          <w:rFonts w:ascii="Arial" w:hAnsi="Arial"/>
          <w:color w:val="525252"/>
          <w:sz w:val="13"/>
        </w:rPr>
        <w:t>In 1969, a group of junior military officers led by Muammar al-Qaddafi (often spelled Gaddafi) overthrew the pro-Western Libyan Arab monarchy.</w:t>
      </w:r>
    </w:p>
    <w:p>
      <w:pPr>
        <w:spacing w:after="20" w:line="223" w:lineRule="auto"/>
        <w:jc w:val="right"/>
        <w:bidi/>
      </w:pPr>
      <w:r>
        <w:rPr>
          <w:rFonts w:ascii="Arial" w:hAnsi="Arial"/>
          <w:sz w:val="16"/>
        </w:rPr>
        <w:t>040.20  در اواسط دهه ۱۹۸۰، لیبی که عملا کنترل نشده بود، چندین گام در جهت نشان دادن حمایت و حمایت از تروریسم در سراسر جهان برداشت.</w:t>
      </w:r>
    </w:p>
    <w:p>
      <w:pPr>
        <w:spacing w:after="28" w:line="216" w:lineRule="auto"/>
        <w:ind w:left="259"/>
        <w:jc w:val="left"/>
      </w:pPr>
      <w:r>
        <w:rPr>
          <w:rFonts w:ascii="Arial" w:hAnsi="Arial"/>
          <w:color w:val="525252"/>
          <w:sz w:val="13"/>
        </w:rPr>
        <w:t>Left virtually unchecked, by the mid-1980s Libya had taken several steps toward demonstrating support and sponsorship of worldwide terrorism.</w:t>
      </w:r>
    </w:p>
    <w:p>
      <w:pPr>
        <w:spacing w:after="20" w:line="223" w:lineRule="auto"/>
        <w:jc w:val="right"/>
        <w:bidi/>
      </w:pPr>
      <w:r>
        <w:rPr>
          <w:rFonts w:ascii="Arial" w:hAnsi="Arial"/>
          <w:sz w:val="16"/>
        </w:rPr>
        <w:t>040.21  قذافی در براندازی شرکت داشت. ترور جهانی تبعیدیان لیبیایی ضد قذافی و دیگر دشمنان؛ حمایت از اردوگاه‌های آموزشی تروریست‌ها در لیبی؛ و همچنین تأمین بودجه، تسلیحات، تدارکات و تأسیسات امن برای گروه‌های تروریستی متعدد.</w:t>
      </w:r>
    </w:p>
    <w:p>
      <w:pPr>
        <w:spacing w:after="28" w:line="216" w:lineRule="auto"/>
        <w:ind w:left="259"/>
        <w:jc w:val="left"/>
      </w:pPr>
      <w:r>
        <w:rPr>
          <w:rFonts w:ascii="Arial" w:hAnsi="Arial"/>
          <w:color w:val="525252"/>
          <w:sz w:val="13"/>
        </w:rPr>
        <w:t>Qadhafi was involved in subversion; global assassinations of anti-Qadhafi Libyan exiles and other adversaries; sponsorship of terrorist training camps within Libya; as well as supply of funds, weapons, logistics, and safe haven establishments for numerous terrorist groups.</w:t>
      </w:r>
    </w:p>
    <w:p>
      <w:pPr>
        <w:spacing w:after="20" w:line="223" w:lineRule="auto"/>
        <w:jc w:val="right"/>
        <w:bidi/>
      </w:pPr>
      <w:r>
        <w:rPr>
          <w:rFonts w:ascii="Arial" w:hAnsi="Arial"/>
          <w:sz w:val="16"/>
        </w:rPr>
        <w:t>040.22  با افزایش تروریسم با سرعت هشدار دهنده، دستورالعمل تصمیم امنیت ملی ۱۳۸ در ۳ آوریل ۱۹۸۴ توسط پرزیدنت ریگان امضا شد تا یک سیاست ملی حملات پیشگیرانه و تلافی جویانه علیه تروریست‌ها ایجاد شود.</w:t>
      </w:r>
    </w:p>
    <w:p>
      <w:pPr>
        <w:spacing w:after="28" w:line="216" w:lineRule="auto"/>
        <w:ind w:left="259"/>
        <w:jc w:val="left"/>
      </w:pPr>
      <w:r>
        <w:rPr>
          <w:rFonts w:ascii="Arial" w:hAnsi="Arial"/>
          <w:color w:val="525252"/>
          <w:sz w:val="13"/>
        </w:rPr>
        <w:t>With terrorism on the rise at alarming rates, National Security Decision Directive 138 was signed on 3 April 1984 by President Reagan to establish a national policy of preemptive and retaliatory strikes against terrorists.</w:t>
      </w:r>
    </w:p>
    <w:p>
      <w:pPr>
        <w:spacing w:after="20" w:line="223" w:lineRule="auto"/>
        <w:jc w:val="right"/>
        <w:bidi/>
      </w:pPr>
      <w:r>
        <w:rPr>
          <w:rFonts w:ascii="Arial" w:hAnsi="Arial"/>
          <w:sz w:val="16"/>
        </w:rPr>
        <w:t>040.23  متأسفانه، علیرغم شواهد قوی که لیبی را به تعدادی از حوادث تروریستی مرتبط می‌کند، ایالات متحده شواهد کافی برای دستور حملات تلافی جویانه در اختیار نداشت.</w:t>
      </w:r>
    </w:p>
    <w:p>
      <w:pPr>
        <w:spacing w:after="28" w:line="216" w:lineRule="auto"/>
        <w:ind w:left="259"/>
        <w:jc w:val="left"/>
      </w:pPr>
      <w:r>
        <w:rPr>
          <w:rFonts w:ascii="Arial" w:hAnsi="Arial"/>
          <w:color w:val="525252"/>
          <w:sz w:val="13"/>
        </w:rPr>
        <w:t>Unfortunately, despite strong evidence that connected Libya to a number of terrorist incidents, the United States did not have sufficient proof to order retaliatory strikes.</w:t>
      </w:r>
    </w:p>
    <w:p>
      <w:pPr>
        <w:spacing w:after="20" w:line="223" w:lineRule="auto"/>
        <w:jc w:val="right"/>
        <w:bidi/>
      </w:pPr>
      <w:r>
        <w:rPr>
          <w:rFonts w:ascii="Arial" w:hAnsi="Arial"/>
          <w:sz w:val="16"/>
        </w:rPr>
        <w:t>040.24  در پاسخ، پرزیدنت ریگان تصمیم گرفت تحریم هایی را علیه لیبی اعمال کند و قذافی را علنا محکوم کند، به‌ویژه به دلیل حمایت مالی از حملات به فرودگاه‌های رم و وین، ایتالیا.</w:t>
      </w:r>
    </w:p>
    <w:p>
      <w:pPr>
        <w:spacing w:after="28" w:line="216" w:lineRule="auto"/>
        <w:ind w:left="259"/>
        <w:jc w:val="left"/>
      </w:pPr>
      <w:r>
        <w:rPr>
          <w:rFonts w:ascii="Arial" w:hAnsi="Arial"/>
          <w:color w:val="525252"/>
          <w:sz w:val="13"/>
        </w:rPr>
        <w:t>In response, President Reagan chose to impose sanctions against Libya and publicly denounce Qadhafi, particularly for sponsoring attacks on the airports in Rome and Vienna, Italy.</w:t>
      </w:r>
    </w:p>
    <w:p>
      <w:pPr>
        <w:spacing w:after="20" w:line="223" w:lineRule="auto"/>
        <w:jc w:val="right"/>
        <w:bidi/>
      </w:pPr>
      <w:r>
        <w:rPr>
          <w:rFonts w:ascii="Arial" w:hAnsi="Arial"/>
          <w:sz w:val="16"/>
        </w:rPr>
        <w:t>040.25  دو سال پس از اعمال تحریم‌ها، لیبی مسئول بمباران دیسکوتک محبوب لا بلل در برلین غربی شناخته شد.</w:t>
      </w:r>
    </w:p>
    <w:p>
      <w:pPr>
        <w:spacing w:after="28" w:line="216" w:lineRule="auto"/>
        <w:ind w:left="259"/>
        <w:jc w:val="left"/>
      </w:pPr>
      <w:r>
        <w:rPr>
          <w:rFonts w:ascii="Arial" w:hAnsi="Arial"/>
          <w:color w:val="525252"/>
          <w:sz w:val="13"/>
        </w:rPr>
        <w:t>Two years after imposing sanctions, Libya was found responsible for the bombing of a popular discotheque, La Belle, in West Berlin.</w:t>
      </w:r>
    </w:p>
    <w:p>
      <w:pPr>
        <w:spacing w:after="20" w:line="223" w:lineRule="auto"/>
        <w:jc w:val="right"/>
        <w:bidi/>
      </w:pPr>
      <w:r>
        <w:rPr>
          <w:rFonts w:ascii="Arial" w:hAnsi="Arial"/>
          <w:sz w:val="16"/>
        </w:rPr>
        <w:t>040.26  این بار پرزیدنت ریگان شواهدی را داشت که به دنبال آن بود و اجازه حملات هوایی علیه لیبی را صادر کرد.</w:t>
      </w:r>
    </w:p>
    <w:p>
      <w:pPr>
        <w:spacing w:after="28" w:line="216" w:lineRule="auto"/>
        <w:ind w:left="259"/>
        <w:jc w:val="left"/>
      </w:pPr>
      <w:r>
        <w:rPr>
          <w:rFonts w:ascii="Arial" w:hAnsi="Arial"/>
          <w:color w:val="525252"/>
          <w:sz w:val="13"/>
        </w:rPr>
        <w:t>This time President Reagan had the evidence he sought, and he authorized air strikes against Libya.</w:t>
      </w:r>
    </w:p>
    <w:p>
      <w:pPr>
        <w:spacing w:after="20" w:line="223" w:lineRule="auto"/>
        <w:jc w:val="right"/>
        <w:bidi/>
      </w:pPr>
      <w:r>
        <w:rPr>
          <w:rFonts w:ascii="Arial" w:hAnsi="Arial"/>
          <w:sz w:val="16"/>
        </w:rPr>
        <w:t>040.27  در عرض یک هفته، حملات هوایی توسط USAF، نیروی دریایی و سپاه تفنگداران دریایی انجام شد.</w:t>
      </w:r>
    </w:p>
    <w:p>
      <w:pPr>
        <w:spacing w:after="28" w:line="216" w:lineRule="auto"/>
        <w:ind w:left="259"/>
        <w:jc w:val="left"/>
      </w:pPr>
      <w:r>
        <w:rPr>
          <w:rFonts w:ascii="Arial" w:hAnsi="Arial"/>
          <w:color w:val="525252"/>
          <w:sz w:val="13"/>
        </w:rPr>
        <w:t>Within one week, air strikes were carried out by the USAF, Navy, and Marine Corps.</w:t>
      </w:r>
    </w:p>
    <w:p>
      <w:pPr>
        <w:spacing w:after="20" w:line="223" w:lineRule="auto"/>
        <w:jc w:val="right"/>
        <w:bidi/>
      </w:pPr>
      <w:r>
        <w:rPr>
          <w:rFonts w:ascii="Arial" w:hAnsi="Arial"/>
          <w:sz w:val="16"/>
        </w:rPr>
        <w:t>040.28  اگرچه این حمله در ایالات متحده پشتیبانی می‌شد، اما متفقین اروپایی ما تقریبا در سراسر جهان از ترس اینکه خشونت بیشتری ایجاد کند، "تأسف" کردند.</w:t>
      </w:r>
    </w:p>
    <w:p>
      <w:pPr>
        <w:spacing w:after="28" w:line="216" w:lineRule="auto"/>
        <w:ind w:left="259"/>
        <w:jc w:val="left"/>
      </w:pPr>
      <w:r>
        <w:rPr>
          <w:rFonts w:ascii="Arial" w:hAnsi="Arial"/>
          <w:color w:val="525252"/>
          <w:sz w:val="13"/>
        </w:rPr>
        <w:t>Although the raid was supported in the United States, it was almost universally “regretted” by our European Allies for fear that it would spawn more violence.</w:t>
      </w:r>
    </w:p>
    <w:p>
      <w:r>
        <w:br w:type="page"/>
      </w:r>
    </w:p>
    <w:p>
      <w:pPr>
        <w:spacing w:after="60"/>
        <w:jc w:val="right"/>
        <w:bidi/>
      </w:pPr>
      <w:r>
        <w:rPr>
          <w:rFonts w:ascii="Arial" w:hAnsi="Arial"/>
          <w:b/>
          <w:color w:val="1F4D78"/>
          <w:sz w:val="19"/>
        </w:rPr>
        <w:t>هفتهٔ 41  |  صفحهٔ منبع: 57</w:t>
      </w:r>
    </w:p>
    <w:p>
      <w:pPr>
        <w:spacing w:after="20" w:line="223" w:lineRule="auto"/>
        <w:jc w:val="right"/>
        <w:bidi/>
      </w:pPr>
      <w:r>
        <w:rPr>
          <w:rFonts w:ascii="Arial" w:hAnsi="Arial"/>
          <w:sz w:val="16"/>
        </w:rPr>
        <w:t>041.01  در سال ۲۰۱۱، اولین جنگ داخلی لیبی که از آن به‌عنوان انقلاب لیبی یاد می‌شود، بین وفاداران قذافی و کسانی که به دنبال برکناری او از قدرت بودند، درگرفت.</w:t>
      </w:r>
    </w:p>
    <w:p>
      <w:pPr>
        <w:spacing w:after="28" w:line="216" w:lineRule="auto"/>
        <w:ind w:left="259"/>
        <w:jc w:val="left"/>
      </w:pPr>
      <w:r>
        <w:rPr>
          <w:rFonts w:ascii="Arial" w:hAnsi="Arial"/>
          <w:color w:val="525252"/>
          <w:sz w:val="13"/>
        </w:rPr>
        <w:t>In 2011, the first Libyan Civil War, referred to as the Libyan Revolution, broke out between Qadhafi loyalists and those seeking to remove him from power.</w:t>
      </w:r>
    </w:p>
    <w:p>
      <w:pPr>
        <w:spacing w:after="20" w:line="223" w:lineRule="auto"/>
        <w:jc w:val="right"/>
        <w:bidi/>
      </w:pPr>
      <w:r>
        <w:rPr>
          <w:rFonts w:ascii="Arial" w:hAnsi="Arial"/>
          <w:sz w:val="16"/>
        </w:rPr>
        <w:t>041.02  بر اساس قطعنامه ۱۹۷۳ شورای امنیت سازمان ملل متحد، در ماه مارس، ایالات متحده در عملیات ودیسسی داون با اجرای منطقه پرواز ممنوع شرکت کرد.</w:t>
      </w:r>
    </w:p>
    <w:p>
      <w:pPr>
        <w:spacing w:after="28" w:line="216" w:lineRule="auto"/>
        <w:ind w:left="259"/>
        <w:jc w:val="left"/>
      </w:pPr>
      <w:r>
        <w:rPr>
          <w:rFonts w:ascii="Arial" w:hAnsi="Arial"/>
          <w:color w:val="525252"/>
          <w:sz w:val="13"/>
        </w:rPr>
        <w:t>Under the United Nations Security Council Resolution 1973, in March the United States engaged in Operation Odyssey Dawn, implementing a no-fly zone.</w:t>
      </w:r>
    </w:p>
    <w:p>
      <w:pPr>
        <w:spacing w:after="20" w:line="223" w:lineRule="auto"/>
        <w:jc w:val="right"/>
        <w:bidi/>
      </w:pPr>
      <w:r>
        <w:rPr>
          <w:rFonts w:ascii="Arial" w:hAnsi="Arial"/>
          <w:sz w:val="16"/>
        </w:rPr>
        <w:t>041.03  در پایان ماه مارس، سازمان پیمان آتلانتیک شمالی (ناتو)، تحت عملیات یکپارچه محافظ، کنترل منطقه پرواز ممنوع را به عهده گرفت، حملات هوایی انجام داد و اقدامات دیگری مانند تحریم تسلیحاتی را اعمال کرد.</w:t>
      </w:r>
    </w:p>
    <w:p>
      <w:pPr>
        <w:spacing w:after="28" w:line="216" w:lineRule="auto"/>
        <w:ind w:left="259"/>
        <w:jc w:val="left"/>
      </w:pPr>
      <w:r>
        <w:rPr>
          <w:rFonts w:ascii="Arial" w:hAnsi="Arial"/>
          <w:color w:val="525252"/>
          <w:sz w:val="13"/>
        </w:rPr>
        <w:t>By the end of March, the North Atlantic Treaty Organization (NATO), under Operation Unified Protector, assumed control of the no-fly zone, conducted air strikes, and imposed additional actions, such as the arms embargo.</w:t>
      </w:r>
    </w:p>
    <w:p>
      <w:pPr>
        <w:spacing w:after="20" w:line="223" w:lineRule="auto"/>
        <w:jc w:val="right"/>
        <w:bidi/>
      </w:pPr>
      <w:r>
        <w:rPr>
          <w:rFonts w:ascii="Arial" w:hAnsi="Arial"/>
          <w:sz w:val="16"/>
        </w:rPr>
        <w:t>041.04  قذافی در ۲۰ اکتبر ۲۰۱۱ توسط نیروهای مخالف شورای ملی انتقالی دستگیر و کشته شد.</w:t>
      </w:r>
    </w:p>
    <w:p>
      <w:pPr>
        <w:spacing w:after="28" w:line="216" w:lineRule="auto"/>
        <w:ind w:left="259"/>
        <w:jc w:val="left"/>
      </w:pPr>
      <w:r>
        <w:rPr>
          <w:rFonts w:ascii="Arial" w:hAnsi="Arial"/>
          <w:color w:val="525252"/>
          <w:sz w:val="13"/>
        </w:rPr>
        <w:t>Qadhafi was captured and killed by the opposing forces of the National Transitional Council on 20 October 2011.</w:t>
      </w:r>
    </w:p>
    <w:p>
      <w:pPr>
        <w:spacing w:after="20" w:line="223" w:lineRule="auto"/>
        <w:jc w:val="right"/>
        <w:bidi/>
      </w:pPr>
      <w:r>
        <w:rPr>
          <w:rFonts w:ascii="Arial" w:hAnsi="Arial"/>
          <w:sz w:val="16"/>
        </w:rPr>
        <w:t>041.05  به دلیل ادامه درگیری‌ها بر سر دولت‌های رقیب، سرزمین و حقوق نفت، دومین جنگ داخلی لیبی در سال ۲۰۱۴ آغاز شد.</w:t>
      </w:r>
    </w:p>
    <w:p>
      <w:pPr>
        <w:spacing w:after="28" w:line="216" w:lineRule="auto"/>
        <w:ind w:left="259"/>
        <w:jc w:val="left"/>
      </w:pPr>
      <w:r>
        <w:rPr>
          <w:rFonts w:ascii="Arial" w:hAnsi="Arial"/>
          <w:color w:val="525252"/>
          <w:sz w:val="13"/>
        </w:rPr>
        <w:t>Due to continued conflict over rival governments, territory, and oil rights, the second Libyan Civil War began in 2014.</w:t>
      </w:r>
    </w:p>
    <w:p>
      <w:pPr>
        <w:spacing w:after="20" w:line="223" w:lineRule="auto"/>
        <w:jc w:val="right"/>
        <w:bidi/>
      </w:pPr>
      <w:r>
        <w:rPr>
          <w:rFonts w:ascii="Arial" w:hAnsi="Arial"/>
          <w:sz w:val="16"/>
        </w:rPr>
        <w:t>041.06  در دسامبر ۲۰۱۵ با آتش بسی با کمک سازمان ملل متحد موافقت شد که منجر به تشکیل «دولت وحدت» جدید اما با اعتماد کمی در میان مردم آن شد.</w:t>
      </w:r>
    </w:p>
    <w:p>
      <w:pPr>
        <w:spacing w:after="28" w:line="216" w:lineRule="auto"/>
        <w:ind w:left="259"/>
        <w:jc w:val="left"/>
      </w:pPr>
      <w:r>
        <w:rPr>
          <w:rFonts w:ascii="Arial" w:hAnsi="Arial"/>
          <w:color w:val="525252"/>
          <w:sz w:val="13"/>
        </w:rPr>
        <w:t>A United Nations assisted cease-fire was agreed to in December 2015 that led to a new ‘unity government’ but with little confidence among its people.</w:t>
      </w:r>
    </w:p>
    <w:p>
      <w:pPr>
        <w:spacing w:after="20" w:line="223" w:lineRule="auto"/>
        <w:jc w:val="right"/>
        <w:bidi/>
      </w:pPr>
      <w:r>
        <w:rPr>
          <w:rFonts w:ascii="Arial" w:hAnsi="Arial"/>
          <w:sz w:val="16"/>
        </w:rPr>
        <w:t>041.07  کشور در حال حاضر تحت حکومت وحدت ملی باقی مانده است.</w:t>
      </w:r>
    </w:p>
    <w:p>
      <w:pPr>
        <w:spacing w:after="28" w:line="216" w:lineRule="auto"/>
        <w:ind w:left="259"/>
        <w:jc w:val="left"/>
      </w:pPr>
      <w:r>
        <w:rPr>
          <w:rFonts w:ascii="Arial" w:hAnsi="Arial"/>
          <w:color w:val="525252"/>
          <w:sz w:val="13"/>
        </w:rPr>
        <w:t>The country currently remains under the unity government.</w:t>
      </w:r>
    </w:p>
    <w:p>
      <w:pPr>
        <w:spacing w:before="60" w:after="28"/>
        <w:jc w:val="right"/>
        <w:bidi/>
      </w:pPr>
      <w:r>
        <w:rPr>
          <w:b/>
          <w:color w:val="1F4D78"/>
          <w:sz w:val="18"/>
        </w:rPr>
        <w:t>3.12. کانال پاناما و عملیات Just Cause</w:t>
      </w:r>
    </w:p>
    <w:p>
      <w:pPr>
        <w:spacing w:after="20"/>
        <w:ind w:left="259"/>
        <w:jc w:val="left"/>
      </w:pPr>
      <w:r>
        <w:rPr>
          <w:color w:val="555555"/>
          <w:sz w:val="12"/>
        </w:rPr>
        <w:t>3.12. Panama Canal and Operation Just Cause</w:t>
      </w:r>
    </w:p>
    <w:p>
      <w:pPr>
        <w:spacing w:after="20" w:line="223" w:lineRule="auto"/>
        <w:jc w:val="right"/>
        <w:bidi/>
      </w:pPr>
      <w:r>
        <w:rPr>
          <w:rFonts w:ascii="Arial" w:hAnsi="Arial"/>
          <w:sz w:val="16"/>
        </w:rPr>
        <w:t>041.09  در سال ۱۹۰۴، جمهوری پاناما به ایالات متحده اجازه اشغال و کنترل منطقه‌ای به نام کانال پاناما را داد.</w:t>
      </w:r>
    </w:p>
    <w:p>
      <w:pPr>
        <w:spacing w:after="28" w:line="216" w:lineRule="auto"/>
        <w:ind w:left="259"/>
        <w:jc w:val="left"/>
      </w:pPr>
      <w:r>
        <w:rPr>
          <w:rFonts w:ascii="Arial" w:hAnsi="Arial"/>
          <w:color w:val="525252"/>
          <w:sz w:val="13"/>
        </w:rPr>
        <w:t>In 1904, the Republic of Panama granted the United States occupation and control of an area referred to as the Panama Canal.</w:t>
      </w:r>
    </w:p>
    <w:p>
      <w:pPr>
        <w:spacing w:after="20" w:line="223" w:lineRule="auto"/>
        <w:jc w:val="right"/>
        <w:bidi/>
      </w:pPr>
      <w:r>
        <w:rPr>
          <w:rFonts w:ascii="Arial" w:hAnsi="Arial"/>
          <w:sz w:val="16"/>
        </w:rPr>
        <w:t>041.10  کانال پاناما کانالی به طول ۴۰ مایل است که اقیانوس اطلس و اقیانوس آرام را به هم متصل می‌کند.</w:t>
      </w:r>
    </w:p>
    <w:p>
      <w:pPr>
        <w:spacing w:after="28" w:line="216" w:lineRule="auto"/>
        <w:ind w:left="259"/>
        <w:jc w:val="left"/>
      </w:pPr>
      <w:r>
        <w:rPr>
          <w:rFonts w:ascii="Arial" w:hAnsi="Arial"/>
          <w:color w:val="525252"/>
          <w:sz w:val="13"/>
        </w:rPr>
        <w:t>The Panama Canal is a 40-mile-long canal that connects the Atlantic and Pacific Oceans.</w:t>
      </w:r>
    </w:p>
    <w:p>
      <w:pPr>
        <w:spacing w:after="20" w:line="223" w:lineRule="auto"/>
        <w:jc w:val="right"/>
        <w:bidi/>
      </w:pPr>
      <w:r>
        <w:rPr>
          <w:rFonts w:ascii="Arial" w:hAnsi="Arial"/>
          <w:sz w:val="16"/>
        </w:rPr>
        <w:t>041.11  این کانال توسط ایالات متحده کنترل می‌شد تا اینکه مالکیت مشترک با پاناما در سال ۱۹۷۹ تحت معاهدات توریخوس-کارتر ایجاد شد.</w:t>
      </w:r>
    </w:p>
    <w:p>
      <w:pPr>
        <w:spacing w:after="28" w:line="216" w:lineRule="auto"/>
        <w:ind w:left="259"/>
        <w:jc w:val="left"/>
      </w:pPr>
      <w:r>
        <w:rPr>
          <w:rFonts w:ascii="Arial" w:hAnsi="Arial"/>
          <w:color w:val="525252"/>
          <w:sz w:val="13"/>
        </w:rPr>
        <w:t>The canal was controlled by the United States until joint ownership was established with Panama in 1979 under the Torrijos-Carter Treaties.</w:t>
      </w:r>
    </w:p>
    <w:p>
      <w:pPr>
        <w:spacing w:after="20" w:line="223" w:lineRule="auto"/>
        <w:jc w:val="right"/>
        <w:bidi/>
      </w:pPr>
      <w:r>
        <w:rPr>
          <w:rFonts w:ascii="Arial" w:hAnsi="Arial"/>
          <w:sz w:val="16"/>
        </w:rPr>
        <w:t>041.12  در سال ۱۹۸۳، ژنرال مانوئل نوریگا، خبرچین آژانس اطلاعات مرکزی و دیکتاتور نظامی، بالفعل رهبر پاناما شد.</w:t>
      </w:r>
    </w:p>
    <w:p>
      <w:pPr>
        <w:spacing w:after="28" w:line="216" w:lineRule="auto"/>
        <w:ind w:left="259"/>
        <w:jc w:val="left"/>
      </w:pPr>
      <w:r>
        <w:rPr>
          <w:rFonts w:ascii="Arial" w:hAnsi="Arial"/>
          <w:color w:val="525252"/>
          <w:sz w:val="13"/>
        </w:rPr>
        <w:t>In 1983, Central Intelligence Agency informant and military dictator, General Manuel Noriega, became the de facto Panamanian leader.</w:t>
      </w:r>
    </w:p>
    <w:p>
      <w:pPr>
        <w:spacing w:after="20" w:line="223" w:lineRule="auto"/>
        <w:jc w:val="right"/>
        <w:bidi/>
      </w:pPr>
      <w:r>
        <w:rPr>
          <w:rFonts w:ascii="Arial" w:hAnsi="Arial"/>
          <w:sz w:val="16"/>
        </w:rPr>
        <w:t>041.13  نوریگا به ارائه اطلاعات در مورد قاچاق مواد مخدر و پولشویی آمریکای لاتین ادامه داد و در عین حال درگیر چنین فعالیت هایی بود.</w:t>
      </w:r>
    </w:p>
    <w:p>
      <w:pPr>
        <w:spacing w:after="28" w:line="216" w:lineRule="auto"/>
        <w:ind w:left="259"/>
        <w:jc w:val="left"/>
      </w:pPr>
      <w:r>
        <w:rPr>
          <w:rFonts w:ascii="Arial" w:hAnsi="Arial"/>
          <w:color w:val="525252"/>
          <w:sz w:val="13"/>
        </w:rPr>
        <w:t>Noriega continued furnishing information on Latin American drug trafficking and money laundering, while at the same time engaging in such activities.</w:t>
      </w:r>
    </w:p>
    <w:p>
      <w:pPr>
        <w:spacing w:after="20" w:line="223" w:lineRule="auto"/>
        <w:jc w:val="right"/>
        <w:bidi/>
      </w:pPr>
      <w:r>
        <w:rPr>
          <w:rFonts w:ascii="Arial" w:hAnsi="Arial"/>
          <w:sz w:val="16"/>
        </w:rPr>
        <w:t>041.14  اقدامات نوریگا به‌طور فزاینده‌ای مخرب شد و روابط او با ایالات متحده بدتر شد.</w:t>
      </w:r>
    </w:p>
    <w:p>
      <w:pPr>
        <w:spacing w:after="28" w:line="216" w:lineRule="auto"/>
        <w:ind w:left="259"/>
        <w:jc w:val="left"/>
      </w:pPr>
      <w:r>
        <w:rPr>
          <w:rFonts w:ascii="Arial" w:hAnsi="Arial"/>
          <w:color w:val="525252"/>
          <w:sz w:val="13"/>
        </w:rPr>
        <w:t>Noriega’s actions grew increasingly destructive and his relationship with the United States deteriorated.</w:t>
      </w:r>
    </w:p>
    <w:p>
      <w:pPr>
        <w:spacing w:after="20" w:line="223" w:lineRule="auto"/>
        <w:jc w:val="right"/>
        <w:bidi/>
      </w:pPr>
      <w:r>
        <w:rPr>
          <w:rFonts w:ascii="Arial" w:hAnsi="Arial"/>
          <w:sz w:val="16"/>
        </w:rPr>
        <w:t>041.15  رئیس جمهور جورج اچ. بوش تصمیم گرفت برای محافظت از جان ۳۵۰۰۰ شهروند آمریکایی در پاناما وارد عمل شود و به پاناما حمله کند.</w:t>
      </w:r>
    </w:p>
    <w:p>
      <w:pPr>
        <w:spacing w:after="28" w:line="216" w:lineRule="auto"/>
        <w:ind w:left="259"/>
        <w:jc w:val="left"/>
      </w:pPr>
      <w:r>
        <w:rPr>
          <w:rFonts w:ascii="Arial" w:hAnsi="Arial"/>
          <w:color w:val="525252"/>
          <w:sz w:val="13"/>
        </w:rPr>
        <w:t>President George H.W. Bush decided to take action and invade Panama to safeguard the lives of 35,000 American citizens in Panama.</w:t>
      </w:r>
    </w:p>
    <w:p>
      <w:pPr>
        <w:spacing w:after="20" w:line="223" w:lineRule="auto"/>
        <w:jc w:val="right"/>
        <w:bidi/>
      </w:pPr>
      <w:r>
        <w:rPr>
          <w:rFonts w:ascii="Arial" w:hAnsi="Arial"/>
          <w:sz w:val="16"/>
        </w:rPr>
        <w:t>041.16  همچنین بر دفاع از دموکراسی و حقوق بشر در پاناما، مبارزه با قاچاق مواد مخدر و حفاظت از یکپارچگی معاهدات توریخوس-کارتر تاکید شد.</w:t>
      </w:r>
    </w:p>
    <w:p>
      <w:pPr>
        <w:spacing w:after="28" w:line="216" w:lineRule="auto"/>
        <w:ind w:left="259"/>
        <w:jc w:val="left"/>
      </w:pPr>
      <w:r>
        <w:rPr>
          <w:rFonts w:ascii="Arial" w:hAnsi="Arial"/>
          <w:color w:val="525252"/>
          <w:sz w:val="13"/>
        </w:rPr>
        <w:t>Emphasis was also placed on defending democracy and human rights in Panama, combating drug trafficking, and protecting the integrity of the Torrijos-Carter Treaties.</w:t>
      </w:r>
    </w:p>
    <w:p>
      <w:pPr>
        <w:spacing w:after="20" w:line="223" w:lineRule="auto"/>
        <w:jc w:val="right"/>
        <w:bidi/>
      </w:pPr>
      <w:r>
        <w:rPr>
          <w:rFonts w:ascii="Arial" w:hAnsi="Arial"/>
          <w:sz w:val="16"/>
        </w:rPr>
        <w:t>041.17  در سال ۱۹۸۹، عملیات جوست کاوس عملیات هوایی در پاناما را به‌عنوان بزرگترین و پیچیده‌ترین عملیات هوایی از زمان ویتنام آزمایش کرد که شامل چهار شاخه از نیروهای مسلح ایالات متحده و بیش از ۲۵۰ هواپیما بود.</w:t>
      </w:r>
    </w:p>
    <w:p>
      <w:pPr>
        <w:spacing w:after="28" w:line="216" w:lineRule="auto"/>
        <w:ind w:left="259"/>
        <w:jc w:val="left"/>
      </w:pPr>
      <w:r>
        <w:rPr>
          <w:rFonts w:ascii="Arial" w:hAnsi="Arial"/>
          <w:color w:val="525252"/>
          <w:sz w:val="13"/>
        </w:rPr>
        <w:t>In 1989, Operation Just Cause tested air operations in Panama as the largest and most complex air operation since Vietnam, involving four branches of the U.S. Armed Forces and more than 250 aircraft.</w:t>
      </w:r>
    </w:p>
    <w:p>
      <w:pPr>
        <w:spacing w:after="20" w:line="223" w:lineRule="auto"/>
        <w:jc w:val="right"/>
        <w:bidi/>
      </w:pPr>
      <w:r>
        <w:rPr>
          <w:rFonts w:ascii="Arial" w:hAnsi="Arial"/>
          <w:sz w:val="16"/>
        </w:rPr>
        <w:t>041.18  USAF عمدتا نیروها و تدارکات را با هواپیما حمل می‌کرد، اما ف-۱۱۷ نیگهتاوک را نیز برای اولین بار معرفی کرد.</w:t>
      </w:r>
    </w:p>
    <w:p>
      <w:pPr>
        <w:spacing w:after="28" w:line="216" w:lineRule="auto"/>
        <w:ind w:left="259"/>
        <w:jc w:val="left"/>
      </w:pPr>
      <w:r>
        <w:rPr>
          <w:rFonts w:ascii="Arial" w:hAnsi="Arial"/>
          <w:color w:val="525252"/>
          <w:sz w:val="13"/>
        </w:rPr>
        <w:t>The USAF primarily airlifted troops and supplies, but also debuted the F-117 Nighthawk.</w:t>
      </w:r>
    </w:p>
    <w:p>
      <w:pPr>
        <w:spacing w:after="20" w:line="223" w:lineRule="auto"/>
        <w:jc w:val="right"/>
        <w:bidi/>
      </w:pPr>
      <w:r>
        <w:rPr>
          <w:rFonts w:ascii="Arial" w:hAnsi="Arial"/>
          <w:sz w:val="16"/>
        </w:rPr>
        <w:t>041.19  در شب اول عملیات، ۸۴ هواپیما که در ارتفاع ۵۰۰ فوتی از سطح زمین پرواز می‌کردند، نزدیک به ۵۰۰۰ سرباز را رها کردند که بزرگترین عملیات هوایی شبانه از زمان جنگ جهانی دوم است.</w:t>
      </w:r>
    </w:p>
    <w:p>
      <w:pPr>
        <w:spacing w:after="28" w:line="216" w:lineRule="auto"/>
        <w:ind w:left="259"/>
        <w:jc w:val="left"/>
      </w:pPr>
      <w:r>
        <w:rPr>
          <w:rFonts w:ascii="Arial" w:hAnsi="Arial"/>
          <w:color w:val="525252"/>
          <w:sz w:val="13"/>
        </w:rPr>
        <w:t>On the first night of the operation, 84 aircraft flying 500 feet above the ground dropped nearly 5,000 troops, the largest nighttime airborne operation since World War II.</w:t>
      </w:r>
    </w:p>
    <w:p>
      <w:pPr>
        <w:spacing w:after="20" w:line="223" w:lineRule="auto"/>
        <w:jc w:val="right"/>
        <w:bidi/>
      </w:pPr>
      <w:r>
        <w:rPr>
          <w:rFonts w:ascii="Arial" w:hAnsi="Arial"/>
          <w:sz w:val="16"/>
        </w:rPr>
        <w:t>041.20  مقاومت سازمان یافته تنها در شش روز از بین رفت.</w:t>
      </w:r>
    </w:p>
    <w:p>
      <w:pPr>
        <w:spacing w:after="28" w:line="216" w:lineRule="auto"/>
        <w:ind w:left="259"/>
        <w:jc w:val="left"/>
      </w:pPr>
      <w:r>
        <w:rPr>
          <w:rFonts w:ascii="Arial" w:hAnsi="Arial"/>
          <w:color w:val="525252"/>
          <w:sz w:val="13"/>
        </w:rPr>
        <w:t>The organized resistance was eliminated in just six days.</w:t>
      </w:r>
    </w:p>
    <w:p>
      <w:pPr>
        <w:spacing w:after="20" w:line="223" w:lineRule="auto"/>
        <w:jc w:val="right"/>
        <w:bidi/>
      </w:pPr>
      <w:r>
        <w:rPr>
          <w:rFonts w:ascii="Arial" w:hAnsi="Arial"/>
          <w:sz w:val="16"/>
        </w:rPr>
        <w:t>041.21  مانوئل نوریگا در ۳ ژانویه ۱۹۹۰ تسلیم شد و به میامی، فلوریدا منتقل شد تا با هیئت منصفه فدرال به اتهام قاچاق مواد مخدر و پولشویی روبرو شود.</w:t>
      </w:r>
    </w:p>
    <w:p>
      <w:pPr>
        <w:spacing w:after="28" w:line="216" w:lineRule="auto"/>
        <w:ind w:left="259"/>
        <w:jc w:val="left"/>
      </w:pPr>
      <w:r>
        <w:rPr>
          <w:rFonts w:ascii="Arial" w:hAnsi="Arial"/>
          <w:color w:val="525252"/>
          <w:sz w:val="13"/>
        </w:rPr>
        <w:t>Manuel Noriega surrendered on 3 January 1990 and was flown to Miami, Florida to face a federal grand jury for drug-trafficking and money-laundering charges.</w:t>
      </w:r>
    </w:p>
    <w:p>
      <w:pPr>
        <w:spacing w:after="20" w:line="223" w:lineRule="auto"/>
        <w:jc w:val="right"/>
        <w:bidi/>
      </w:pPr>
      <w:r>
        <w:rPr>
          <w:rFonts w:ascii="Arial" w:hAnsi="Arial"/>
          <w:sz w:val="16"/>
        </w:rPr>
        <w:t>041.22  کانال پاناما در ۳۱ دسامبر ۱۹۹۹ به‌طور کامل به پاناما تحویل داده شد.</w:t>
      </w:r>
    </w:p>
    <w:p>
      <w:pPr>
        <w:spacing w:after="28" w:line="216" w:lineRule="auto"/>
        <w:ind w:left="259"/>
        <w:jc w:val="left"/>
      </w:pPr>
      <w:r>
        <w:rPr>
          <w:rFonts w:ascii="Arial" w:hAnsi="Arial"/>
          <w:color w:val="525252"/>
          <w:sz w:val="13"/>
        </w:rPr>
        <w:t>The Panama Canal was fully turned over to Panama on 31 December 1999.</w:t>
      </w:r>
    </w:p>
    <w:p>
      <w:r>
        <w:br w:type="page"/>
      </w:r>
    </w:p>
    <w:p>
      <w:pPr>
        <w:spacing w:after="60"/>
        <w:jc w:val="right"/>
        <w:bidi/>
      </w:pPr>
      <w:r>
        <w:rPr>
          <w:rFonts w:ascii="Arial" w:hAnsi="Arial"/>
          <w:b/>
          <w:color w:val="1F4D78"/>
          <w:sz w:val="19"/>
        </w:rPr>
        <w:t>هفتهٔ 42  |  صفحهٔ منبع: 58</w:t>
      </w:r>
    </w:p>
    <w:p>
      <w:pPr>
        <w:spacing w:before="60" w:after="28"/>
        <w:jc w:val="right"/>
        <w:bidi/>
      </w:pPr>
      <w:r>
        <w:rPr>
          <w:b/>
          <w:color w:val="1F4D78"/>
          <w:sz w:val="18"/>
        </w:rPr>
        <w:t>بخش 3B- USAF و پس از جنگ سرد</w:t>
      </w:r>
    </w:p>
    <w:p>
      <w:pPr>
        <w:spacing w:after="20"/>
        <w:ind w:left="259"/>
        <w:jc w:val="left"/>
      </w:pPr>
      <w:r>
        <w:rPr>
          <w:color w:val="555555"/>
          <w:sz w:val="12"/>
        </w:rPr>
        <w:t>Section 3B—The USAF and the Post-Cold War</w:t>
      </w:r>
    </w:p>
    <w:p>
      <w:pPr>
        <w:spacing w:before="60" w:after="28"/>
        <w:jc w:val="right"/>
        <w:bidi/>
      </w:pPr>
      <w:r>
        <w:rPr>
          <w:b/>
          <w:color w:val="1F4D78"/>
          <w:sz w:val="18"/>
        </w:rPr>
        <w:t>3.13. روابط آمریکا و شوروی</w:t>
      </w:r>
    </w:p>
    <w:p>
      <w:pPr>
        <w:spacing w:after="20"/>
        <w:ind w:left="259"/>
        <w:jc w:val="left"/>
      </w:pPr>
      <w:r>
        <w:rPr>
          <w:color w:val="555555"/>
          <w:sz w:val="12"/>
        </w:rPr>
        <w:t>3.13. American-Soviet Relations</w:t>
      </w:r>
    </w:p>
    <w:p>
      <w:pPr>
        <w:spacing w:after="20" w:line="223" w:lineRule="auto"/>
        <w:jc w:val="right"/>
        <w:bidi/>
      </w:pPr>
      <w:r>
        <w:rPr>
          <w:rFonts w:ascii="Arial" w:hAnsi="Arial"/>
          <w:sz w:val="16"/>
        </w:rPr>
        <w:t>042.03  در یک سخنرانی در ۲۳ مارس ۱۹۸۳، رئیس جمهور رونالد دبلیو ریگان پیشنهاد جایگزینی دکترین تخریب متقابل تضمین شده با یکی از بقای مطمئن را از طریق اجرای طرح دفاع استراتژیک داد.</w:t>
      </w:r>
    </w:p>
    <w:p>
      <w:pPr>
        <w:spacing w:after="28" w:line="216" w:lineRule="auto"/>
        <w:ind w:left="259"/>
        <w:jc w:val="left"/>
      </w:pPr>
      <w:r>
        <w:rPr>
          <w:rFonts w:ascii="Arial" w:hAnsi="Arial"/>
          <w:color w:val="525252"/>
          <w:sz w:val="13"/>
        </w:rPr>
        <w:t>In a 23 March 1983 address, President Ronald W. Reagan proposed replacing the doctrine of mutually assured destruction with one of assured survival, through implementation of the Strategic Defense Initiative.</w:t>
      </w:r>
    </w:p>
    <w:p>
      <w:pPr>
        <w:spacing w:after="20" w:line="223" w:lineRule="auto"/>
        <w:jc w:val="right"/>
        <w:bidi/>
      </w:pPr>
      <w:r>
        <w:rPr>
          <w:rFonts w:ascii="Arial" w:hAnsi="Arial"/>
          <w:sz w:val="16"/>
        </w:rPr>
        <w:t>042.04  ابتکار دفاع راهبردی شامل ترکیبی از سیستم‌های دفاعی، مانند لیزرهای مبتنی بر فضا، پرتوهای ذرات، تفنگ‌های ریلی و موشک‌های زمین‌پرتاب سریع برای رهگیری موشک‌های بالستیک قاره‌پیما در جو بیرونی زمین و مسیر بالستیک در فضا است.</w:t>
      </w:r>
    </w:p>
    <w:p>
      <w:pPr>
        <w:spacing w:after="28" w:line="216" w:lineRule="auto"/>
        <w:ind w:left="259"/>
        <w:jc w:val="left"/>
      </w:pPr>
      <w:r>
        <w:rPr>
          <w:rFonts w:ascii="Arial" w:hAnsi="Arial"/>
          <w:color w:val="525252"/>
          <w:sz w:val="13"/>
        </w:rPr>
        <w:t>The Strategic Defense Initiative would include a combination of defensive systems, such as space-based lasers, particle beams, railguns, and fast ground-launched missiles to intercept intercontinental ballistic missiles in the earth’s outer atmosphere and ballistic path in space.</w:t>
      </w:r>
    </w:p>
    <w:p>
      <w:pPr>
        <w:spacing w:after="20" w:line="223" w:lineRule="auto"/>
        <w:jc w:val="right"/>
        <w:bidi/>
      </w:pPr>
      <w:r>
        <w:rPr>
          <w:rFonts w:ascii="Arial" w:hAnsi="Arial"/>
          <w:sz w:val="16"/>
        </w:rPr>
        <w:t>042.05  معاهده نیروهای هسته‌ای میان برد.</w:t>
      </w:r>
    </w:p>
    <w:p>
      <w:pPr>
        <w:spacing w:after="28" w:line="216" w:lineRule="auto"/>
        <w:ind w:left="259"/>
        <w:jc w:val="left"/>
      </w:pPr>
      <w:r>
        <w:rPr>
          <w:rFonts w:ascii="Arial" w:hAnsi="Arial"/>
          <w:color w:val="525252"/>
          <w:sz w:val="13"/>
        </w:rPr>
        <w:t>Intermediate Range Nuclear Forces Treaty.</w:t>
      </w:r>
    </w:p>
    <w:p>
      <w:pPr>
        <w:spacing w:after="20" w:line="223" w:lineRule="auto"/>
        <w:jc w:val="right"/>
        <w:bidi/>
      </w:pPr>
      <w:r>
        <w:rPr>
          <w:rFonts w:ascii="Arial" w:hAnsi="Arial"/>
          <w:sz w:val="16"/>
        </w:rPr>
        <w:t>042.06  از مارس ۱۹۸۵، دبیر کل حزب کمونیست شوروی، میخائیل گورباچف، تغییرات عمده‌ای را در روابط شوروی و آمریکا آغاز کرد.</w:t>
      </w:r>
    </w:p>
    <w:p>
      <w:pPr>
        <w:spacing w:after="28" w:line="216" w:lineRule="auto"/>
        <w:ind w:left="259"/>
        <w:jc w:val="left"/>
      </w:pPr>
      <w:r>
        <w:rPr>
          <w:rFonts w:ascii="Arial" w:hAnsi="Arial"/>
          <w:color w:val="525252"/>
          <w:sz w:val="13"/>
        </w:rPr>
        <w:t>Beginning in March 1985, Soviet Communist Party General, Secretary Mikhail Gorbachev, initiated major changes in Soviet-American relations.</w:t>
      </w:r>
    </w:p>
    <w:p>
      <w:pPr>
        <w:spacing w:after="20" w:line="223" w:lineRule="auto"/>
        <w:jc w:val="right"/>
        <w:bidi/>
      </w:pPr>
      <w:r>
        <w:rPr>
          <w:rFonts w:ascii="Arial" w:hAnsi="Arial"/>
          <w:sz w:val="16"/>
        </w:rPr>
        <w:t>042.07  ایالات متحده و اتحاد جماهیر شوروی معاهده نیروهای هسته‌ای میان‌برد (INF) را در دسامبر ۱۹۸۷ امضا کردند.</w:t>
      </w:r>
    </w:p>
    <w:p>
      <w:pPr>
        <w:spacing w:after="28" w:line="216" w:lineRule="auto"/>
        <w:ind w:left="259"/>
        <w:jc w:val="left"/>
      </w:pPr>
      <w:r>
        <w:rPr>
          <w:rFonts w:ascii="Arial" w:hAnsi="Arial"/>
          <w:color w:val="525252"/>
          <w:sz w:val="13"/>
        </w:rPr>
        <w:t>The United States and Soviet Union signed the Intermediate-Range Nuclear Forces Treaty (INF Treaty) in December 1987.</w:t>
      </w:r>
    </w:p>
    <w:p>
      <w:pPr>
        <w:spacing w:after="20" w:line="223" w:lineRule="auto"/>
        <w:jc w:val="right"/>
        <w:bidi/>
      </w:pPr>
      <w:r>
        <w:rPr>
          <w:rFonts w:ascii="Arial" w:hAnsi="Arial"/>
          <w:sz w:val="16"/>
        </w:rPr>
        <w:t>042.08  این معاهده در ژوئن ۱۹۸۸ لازم‌الاجرا شد و یک کلاس کامل از تسلیحات، موشک‌های کروز پرتاب زمین و موشک‌های بالستیک با برد ۵۰۰ تا ۵۵۰۰ کیلومتر را حذف کرد.</w:t>
      </w:r>
    </w:p>
    <w:p>
      <w:pPr>
        <w:spacing w:after="28" w:line="216" w:lineRule="auto"/>
        <w:ind w:left="259"/>
        <w:jc w:val="left"/>
      </w:pPr>
      <w:r>
        <w:rPr>
          <w:rFonts w:ascii="Arial" w:hAnsi="Arial"/>
          <w:color w:val="525252"/>
          <w:sz w:val="13"/>
        </w:rPr>
        <w:t>The treaty entered into force in June 1988 and eliminated an entire class of weapons, ground launched cruise and ballistic missiles with a range of 500-5500 kilometers.</w:t>
      </w:r>
    </w:p>
    <w:p>
      <w:pPr>
        <w:spacing w:after="20" w:line="223" w:lineRule="auto"/>
        <w:jc w:val="right"/>
        <w:bidi/>
      </w:pPr>
      <w:r>
        <w:rPr>
          <w:rFonts w:ascii="Arial" w:hAnsi="Arial"/>
          <w:sz w:val="16"/>
        </w:rPr>
        <w:t>042.09  در فوریه ۲۰۱۹ به دلیل عدم پایبندی روسیه به این معاهده، ایالات متحده تعلیق تعهدات ایالات متحده تحت معاهده INF را اعلام کرد و علاوه بر این رسما اعلام کرد که قصد دارد ظرف شش ماه از این معاهده خارج شود.</w:t>
      </w:r>
    </w:p>
    <w:p>
      <w:pPr>
        <w:spacing w:after="28" w:line="216" w:lineRule="auto"/>
        <w:ind w:left="259"/>
        <w:jc w:val="left"/>
      </w:pPr>
      <w:r>
        <w:rPr>
          <w:rFonts w:ascii="Arial" w:hAnsi="Arial"/>
          <w:color w:val="525252"/>
          <w:sz w:val="13"/>
        </w:rPr>
        <w:t>In February 2019 because of Russia’s non-compliance with the treaty, the United States declared suspension of U.S. obligations under the INF Treaty, in addition formally announcing its intention to withdraw from the treaty in six months.</w:t>
      </w:r>
    </w:p>
    <w:p>
      <w:pPr>
        <w:spacing w:after="20" w:line="223" w:lineRule="auto"/>
        <w:jc w:val="right"/>
        <w:bidi/>
      </w:pPr>
      <w:r>
        <w:rPr>
          <w:rFonts w:ascii="Arial" w:hAnsi="Arial"/>
          <w:sz w:val="16"/>
        </w:rPr>
        <w:t>042.10  در مارس ۲۰۱۹، رئیس جمهور پوتین تعلیق معاهده INF توسط روسیه را به قانون امضا کرد.</w:t>
      </w:r>
    </w:p>
    <w:p>
      <w:pPr>
        <w:spacing w:after="28" w:line="216" w:lineRule="auto"/>
        <w:ind w:left="259"/>
        <w:jc w:val="left"/>
      </w:pPr>
      <w:r>
        <w:rPr>
          <w:rFonts w:ascii="Arial" w:hAnsi="Arial"/>
          <w:color w:val="525252"/>
          <w:sz w:val="13"/>
        </w:rPr>
        <w:t>In March 2019, President Putin signed Russia’s suspension of the INF Treaty into law.</w:t>
      </w:r>
    </w:p>
    <w:p>
      <w:pPr>
        <w:spacing w:after="20" w:line="223" w:lineRule="auto"/>
        <w:jc w:val="right"/>
        <w:bidi/>
      </w:pPr>
      <w:r>
        <w:rPr>
          <w:rFonts w:ascii="Arial" w:hAnsi="Arial"/>
          <w:sz w:val="16"/>
        </w:rPr>
        <w:t>042.11  ایالات متحده در آگوست ۲۰۱۹ از معاهده INF خارج شد.</w:t>
      </w:r>
    </w:p>
    <w:p>
      <w:pPr>
        <w:spacing w:after="28" w:line="216" w:lineRule="auto"/>
        <w:ind w:left="259"/>
        <w:jc w:val="left"/>
      </w:pPr>
      <w:r>
        <w:rPr>
          <w:rFonts w:ascii="Arial" w:hAnsi="Arial"/>
          <w:color w:val="525252"/>
          <w:sz w:val="13"/>
        </w:rPr>
        <w:t>The United States withdrew from the INF Treaty in August 2019.</w:t>
      </w:r>
    </w:p>
    <w:p>
      <w:pPr>
        <w:spacing w:after="20" w:line="223" w:lineRule="auto"/>
        <w:jc w:val="right"/>
        <w:bidi/>
      </w:pPr>
      <w:r>
        <w:rPr>
          <w:rFonts w:ascii="Arial" w:hAnsi="Arial"/>
          <w:sz w:val="16"/>
        </w:rPr>
        <w:t>042.12  معاهدات کاهش تسلیحات استراتژیک.</w:t>
      </w:r>
    </w:p>
    <w:p>
      <w:pPr>
        <w:spacing w:after="28" w:line="216" w:lineRule="auto"/>
        <w:ind w:left="259"/>
        <w:jc w:val="left"/>
      </w:pPr>
      <w:r>
        <w:rPr>
          <w:rFonts w:ascii="Arial" w:hAnsi="Arial"/>
          <w:color w:val="525252"/>
          <w:sz w:val="13"/>
        </w:rPr>
        <w:t>Strategic Arms Reduction Treaties.</w:t>
      </w:r>
    </w:p>
    <w:p>
      <w:pPr>
        <w:spacing w:after="20" w:line="223" w:lineRule="auto"/>
        <w:jc w:val="right"/>
        <w:bidi/>
      </w:pPr>
      <w:r>
        <w:rPr>
          <w:rFonts w:ascii="Arial" w:hAnsi="Arial"/>
          <w:sz w:val="16"/>
        </w:rPr>
        <w:t>042.13  استراتژی هسته‌ای آمریکا در پاسخ به سیاست‌ها و ابتکارات پس از جنگ سرد به‌طور قابل توجهی تغییر کرد.</w:t>
      </w:r>
    </w:p>
    <w:p>
      <w:pPr>
        <w:spacing w:after="28" w:line="216" w:lineRule="auto"/>
        <w:ind w:left="259"/>
        <w:jc w:val="left"/>
      </w:pPr>
      <w:r>
        <w:rPr>
          <w:rFonts w:ascii="Arial" w:hAnsi="Arial"/>
          <w:color w:val="525252"/>
          <w:sz w:val="13"/>
        </w:rPr>
        <w:t>American nuclear strategy changed significantly in response to post-Cold War policies and initiatives.</w:t>
      </w:r>
    </w:p>
    <w:p>
      <w:pPr>
        <w:spacing w:after="20" w:line="223" w:lineRule="auto"/>
        <w:jc w:val="right"/>
        <w:bidi/>
      </w:pPr>
      <w:r>
        <w:rPr>
          <w:rFonts w:ascii="Arial" w:hAnsi="Arial"/>
          <w:sz w:val="16"/>
        </w:rPr>
        <w:t>042.14  معاهده کاهش تسلیحات استراتژیک (START ی)، که توسط ایالات متحده و اتحاد جماهیر شوروی در جولای ۱۹۹۱ امضا شد، در دسامبر ۱۹۹۴ لازم الاجرا شد و در دسامبر ۲۰۰۹ منقضی شد.</w:t>
      </w:r>
    </w:p>
    <w:p>
      <w:pPr>
        <w:spacing w:after="28" w:line="216" w:lineRule="auto"/>
        <w:ind w:left="259"/>
        <w:jc w:val="left"/>
      </w:pPr>
      <w:r>
        <w:rPr>
          <w:rFonts w:ascii="Arial" w:hAnsi="Arial"/>
          <w:color w:val="525252"/>
          <w:sz w:val="13"/>
        </w:rPr>
        <w:t>The Strategic Arms Reduction Treaty (START I), signed by the United States and the Soviet Union in July 1991, entered into force in December 1994 and expired in December 2009.</w:t>
      </w:r>
    </w:p>
    <w:p>
      <w:pPr>
        <w:spacing w:after="20" w:line="223" w:lineRule="auto"/>
        <w:jc w:val="right"/>
        <w:bidi/>
      </w:pPr>
      <w:r>
        <w:rPr>
          <w:rFonts w:ascii="Arial" w:hAnsi="Arial"/>
          <w:sz w:val="16"/>
        </w:rPr>
        <w:t>042.15  تحت استارت ی، ایالات متحده موافقت کرد که تسلیحات را به ۶۰۰۰ کلاهک جنگی در موشک‌های بالستیک بین قاره‌ای مستقر، موشک‌های بالستیک پرتاب شده از زیردریایی و بمب‌افکن‌های سنگین کاهش دهد.</w:t>
      </w:r>
    </w:p>
    <w:p>
      <w:pPr>
        <w:spacing w:after="28" w:line="216" w:lineRule="auto"/>
        <w:ind w:left="259"/>
        <w:jc w:val="left"/>
      </w:pPr>
      <w:r>
        <w:rPr>
          <w:rFonts w:ascii="Arial" w:hAnsi="Arial"/>
          <w:color w:val="525252"/>
          <w:sz w:val="13"/>
        </w:rPr>
        <w:t>Under START I, the United States agreed to reduce arms to 6,000 total warheads on deployed intercontinental ballistic missiles, submarine launched ballistic missiles, and heavy bombers.</w:t>
      </w:r>
    </w:p>
    <w:p>
      <w:pPr>
        <w:spacing w:after="20" w:line="223" w:lineRule="auto"/>
        <w:jc w:val="right"/>
        <w:bidi/>
      </w:pPr>
      <w:r>
        <w:rPr>
          <w:rFonts w:ascii="Arial" w:hAnsi="Arial"/>
          <w:sz w:val="16"/>
        </w:rPr>
        <w:t>042.16  USAF، با دستور ریاست جمهوری در سپتامبر ۱۹۹۱، به فرماندهی هوایی استراتژیک اطلاع داد تا بمب افکن‌های سنگین را از وضعیت آماده باش خارج کند.</w:t>
      </w:r>
    </w:p>
    <w:p>
      <w:pPr>
        <w:spacing w:after="28" w:line="216" w:lineRule="auto"/>
        <w:ind w:left="259"/>
        <w:jc w:val="left"/>
      </w:pPr>
      <w:r>
        <w:rPr>
          <w:rFonts w:ascii="Arial" w:hAnsi="Arial"/>
          <w:color w:val="525252"/>
          <w:sz w:val="13"/>
        </w:rPr>
        <w:t>The USAF, by presidential direction in September 1991, notified Strategic Air Command to remove heavy bombers from alert status.</w:t>
      </w:r>
    </w:p>
    <w:p>
      <w:pPr>
        <w:spacing w:after="20" w:line="223" w:lineRule="auto"/>
        <w:jc w:val="right"/>
        <w:bidi/>
      </w:pPr>
      <w:r>
        <w:rPr>
          <w:rFonts w:ascii="Arial" w:hAnsi="Arial"/>
          <w:sz w:val="16"/>
        </w:rPr>
        <w:t>042.17  فرماندهی هوایی استراتژیک متعاقبا در ژوئن ۱۹۹۲ غیرفعال شد. فرماندهی استراتژیک ایالات متحده جایگزین فرماندهی استراتژیک هوایی شد و کنترل تمام نیروهای هسته‌ای استراتژیک نیروی دریایی ایالات متحده آمریکا و نیروی دریایی باقیمانده را به عهده گرفت.</w:t>
      </w:r>
    </w:p>
    <w:p>
      <w:pPr>
        <w:spacing w:after="28" w:line="216" w:lineRule="auto"/>
        <w:ind w:left="259"/>
        <w:jc w:val="left"/>
      </w:pPr>
      <w:r>
        <w:rPr>
          <w:rFonts w:ascii="Arial" w:hAnsi="Arial"/>
          <w:color w:val="525252"/>
          <w:sz w:val="13"/>
        </w:rPr>
        <w:t>Strategic Air Command was subsequently inactivated in June 1992. U.S. Strategic Command replaced Strategic Air Command and assumed control of all remaining USAF and Navy strategic nuclear forces.</w:t>
      </w:r>
    </w:p>
    <w:p>
      <w:pPr>
        <w:spacing w:after="20" w:line="223" w:lineRule="auto"/>
        <w:jc w:val="right"/>
        <w:bidi/>
      </w:pPr>
      <w:r>
        <w:rPr>
          <w:rFonts w:ascii="Arial" w:hAnsi="Arial"/>
          <w:sz w:val="16"/>
        </w:rPr>
        <w:t>042.18  START II، که در ژانویه ۱۹۹۳ توسط ایالات متحده و روسیه امضا شد، کل کلاهک‌های مستقر شده را تا برد ۳۵۰۰ مایل دریایی کاهش داد، اما این توافق هرگز به‌طور رسمی اجرایی نشد.</w:t>
      </w:r>
    </w:p>
    <w:p>
      <w:pPr>
        <w:spacing w:after="28" w:line="216" w:lineRule="auto"/>
        <w:ind w:left="259"/>
        <w:jc w:val="left"/>
      </w:pPr>
      <w:r>
        <w:rPr>
          <w:rFonts w:ascii="Arial" w:hAnsi="Arial"/>
          <w:color w:val="525252"/>
          <w:sz w:val="13"/>
        </w:rPr>
        <w:t>START II, signed in January 1993 by the United States and Russia, would reduce total deployed warheads up to a range of 3,500 nautical miles, but the agreement never officially went into effect.</w:t>
      </w:r>
    </w:p>
    <w:p>
      <w:pPr>
        <w:spacing w:after="20" w:line="223" w:lineRule="auto"/>
        <w:jc w:val="right"/>
        <w:bidi/>
      </w:pPr>
      <w:r>
        <w:rPr>
          <w:rFonts w:ascii="Arial" w:hAnsi="Arial"/>
          <w:sz w:val="16"/>
        </w:rPr>
        <w:t>042.19  در سال ۱۹۹۷، START III آغاز شد، اما به دلیل شکست مذاکرات بین دو کشور، هرگز امضا نشد.</w:t>
      </w:r>
    </w:p>
    <w:p>
      <w:pPr>
        <w:spacing w:after="28" w:line="216" w:lineRule="auto"/>
        <w:ind w:left="259"/>
        <w:jc w:val="left"/>
      </w:pPr>
      <w:r>
        <w:rPr>
          <w:rFonts w:ascii="Arial" w:hAnsi="Arial"/>
          <w:color w:val="525252"/>
          <w:sz w:val="13"/>
        </w:rPr>
        <w:t>In 1997, START III was initiated, but was never signed due to negotiations breaking down between the two countries.</w:t>
      </w:r>
    </w:p>
    <w:p>
      <w:pPr>
        <w:spacing w:after="20" w:line="223" w:lineRule="auto"/>
        <w:jc w:val="right"/>
        <w:bidi/>
      </w:pPr>
      <w:r>
        <w:rPr>
          <w:rFonts w:ascii="Arial" w:hAnsi="Arial"/>
          <w:sz w:val="16"/>
        </w:rPr>
        <w:t>042.20  معاهده استارت جدید، که رسما به نام پیمان بین ایالات متحده آمریکا و فدراسیون روسیه در مورد اقداماتی برای کاهش و محدودیت بیشتر تسلیحات تهاجمی استراتژیک نامگذاری شد، در آوریل ۲۰۱۰ امضا شد و در فوریه ۲۰۱۱ لازم الاجرا شد.</w:t>
      </w:r>
    </w:p>
    <w:p>
      <w:pPr>
        <w:spacing w:after="28" w:line="216" w:lineRule="auto"/>
        <w:ind w:left="259"/>
        <w:jc w:val="left"/>
      </w:pPr>
      <w:r>
        <w:rPr>
          <w:rFonts w:ascii="Arial" w:hAnsi="Arial"/>
          <w:color w:val="525252"/>
          <w:sz w:val="13"/>
        </w:rPr>
        <w:t>The New START Treaty, officially named The Treaty between the United States of America and the Russian Federation on Measures for the further Reduction and Limitation of Strategic Offensive Arms, was signed in April 2010, and entered into force in February 2011.</w:t>
      </w:r>
    </w:p>
    <w:p>
      <w:pPr>
        <w:spacing w:after="20" w:line="223" w:lineRule="auto"/>
        <w:jc w:val="right"/>
        <w:bidi/>
      </w:pPr>
      <w:r>
        <w:rPr>
          <w:rFonts w:ascii="Arial" w:hAnsi="Arial"/>
          <w:sz w:val="16"/>
        </w:rPr>
        <w:t>042.21  این معاهده برای یک دوره پنج ساله یک بار در فوریه ۲۰۲۱ تمدید شد و در فوریه ۲۰۲۶ منقضی خواهد شد.</w:t>
      </w:r>
    </w:p>
    <w:p>
      <w:pPr>
        <w:spacing w:after="28" w:line="216" w:lineRule="auto"/>
        <w:ind w:left="259"/>
        <w:jc w:val="left"/>
      </w:pPr>
      <w:r>
        <w:rPr>
          <w:rFonts w:ascii="Arial" w:hAnsi="Arial"/>
          <w:color w:val="525252"/>
          <w:sz w:val="13"/>
        </w:rPr>
        <w:t>The treaty was extended for one-time five-year period in February 2021 and will expire in February 2026.</w:t>
      </w:r>
    </w:p>
    <w:p>
      <w:pPr>
        <w:spacing w:before="60" w:after="28"/>
        <w:jc w:val="right"/>
        <w:bidi/>
      </w:pPr>
      <w:r>
        <w:rPr>
          <w:b/>
          <w:color w:val="1F4D78"/>
          <w:sz w:val="18"/>
        </w:rPr>
        <w:t>3.14. تهاجم عراق به کویت</w:t>
      </w:r>
    </w:p>
    <w:p>
      <w:pPr>
        <w:spacing w:after="20"/>
        <w:ind w:left="259"/>
        <w:jc w:val="left"/>
      </w:pPr>
      <w:r>
        <w:rPr>
          <w:color w:val="555555"/>
          <w:sz w:val="12"/>
        </w:rPr>
        <w:t>3.14. Iraqi Invasion of Kuwait</w:t>
      </w:r>
    </w:p>
    <w:p>
      <w:pPr>
        <w:spacing w:after="20" w:line="223" w:lineRule="auto"/>
        <w:jc w:val="right"/>
        <w:bidi/>
      </w:pPr>
      <w:r>
        <w:rPr>
          <w:rFonts w:ascii="Arial" w:hAnsi="Arial"/>
          <w:sz w:val="16"/>
        </w:rPr>
        <w:t>042.23  عملیات سپر صحرا.</w:t>
      </w:r>
    </w:p>
    <w:p>
      <w:pPr>
        <w:spacing w:after="28" w:line="216" w:lineRule="auto"/>
        <w:ind w:left="259"/>
        <w:jc w:val="left"/>
      </w:pPr>
      <w:r>
        <w:rPr>
          <w:rFonts w:ascii="Arial" w:hAnsi="Arial"/>
          <w:color w:val="525252"/>
          <w:sz w:val="13"/>
        </w:rPr>
        <w:t>Operation Desert Shield.</w:t>
      </w:r>
    </w:p>
    <w:p>
      <w:pPr>
        <w:spacing w:after="20" w:line="223" w:lineRule="auto"/>
        <w:jc w:val="right"/>
        <w:bidi/>
      </w:pPr>
      <w:r>
        <w:rPr>
          <w:rFonts w:ascii="Arial" w:hAnsi="Arial"/>
          <w:sz w:val="16"/>
        </w:rPr>
        <w:t>042.24  در ۲ اوت ۱۹۹۰، صدام حسین دیکتاتور عراق به ۱۰۰۰۰۰ سرباز دستور داد تا به کویت نفت خیز حمله کنند و کویت را استان نوزدهم عراق اعلام کرد.</w:t>
      </w:r>
    </w:p>
    <w:p>
      <w:pPr>
        <w:spacing w:after="28" w:line="216" w:lineRule="auto"/>
        <w:ind w:left="259"/>
        <w:jc w:val="left"/>
      </w:pPr>
      <w:r>
        <w:rPr>
          <w:rFonts w:ascii="Arial" w:hAnsi="Arial"/>
          <w:color w:val="525252"/>
          <w:sz w:val="13"/>
        </w:rPr>
        <w:t>On 2 August 1990, Iraqi dictator Saddam Hussein ordered 100,000 troops to invade oil-rich Kuwait, claiming Kuwait as Iraq’s 19th province.</w:t>
      </w:r>
    </w:p>
    <w:p>
      <w:pPr>
        <w:spacing w:after="20" w:line="223" w:lineRule="auto"/>
        <w:jc w:val="right"/>
        <w:bidi/>
      </w:pPr>
      <w:r>
        <w:rPr>
          <w:rFonts w:ascii="Arial" w:hAnsi="Arial"/>
          <w:sz w:val="16"/>
        </w:rPr>
        <w:t>042.25  تهاجم با چهارمین ارتش بزرگ جهان و برنامه گسترده برای توسعه سلاح‌های هسته‌ای، عراق را با ذخایر عظیم نفت در آستانه عربستان سعودی قرار داد.</w:t>
      </w:r>
    </w:p>
    <w:p>
      <w:pPr>
        <w:spacing w:after="28" w:line="216" w:lineRule="auto"/>
        <w:ind w:left="259"/>
        <w:jc w:val="left"/>
      </w:pPr>
      <w:r>
        <w:rPr>
          <w:rFonts w:ascii="Arial" w:hAnsi="Arial"/>
          <w:color w:val="525252"/>
          <w:sz w:val="13"/>
        </w:rPr>
        <w:t>The invasion, with the fourth largest Army in the world and an extensive program to develop nuclear weapons, put Iraq on the doorstep of Saudi Arabia with vast petroleum reserves.</w:t>
      </w:r>
    </w:p>
    <w:p>
      <w:pPr>
        <w:spacing w:after="20" w:line="223" w:lineRule="auto"/>
        <w:jc w:val="right"/>
        <w:bidi/>
      </w:pPr>
      <w:r>
        <w:rPr>
          <w:rFonts w:ascii="Arial" w:hAnsi="Arial"/>
          <w:sz w:val="16"/>
        </w:rPr>
        <w:t>042.26  اگر سعودی‌ها به دست عراق بیفتند، دیکتاتور ۵۰ درصد نفت جهان را در اختیار خواهد داشت.</w:t>
      </w:r>
    </w:p>
    <w:p>
      <w:pPr>
        <w:spacing w:after="28" w:line="216" w:lineRule="auto"/>
        <w:ind w:left="259"/>
        <w:jc w:val="left"/>
      </w:pPr>
      <w:r>
        <w:rPr>
          <w:rFonts w:ascii="Arial" w:hAnsi="Arial"/>
          <w:color w:val="525252"/>
          <w:sz w:val="13"/>
        </w:rPr>
        <w:t>If the Saudis were to fall to Iraq, the dictator would then control 50 percent of the world’s oil.</w:t>
      </w:r>
    </w:p>
    <w:p>
      <w:pPr>
        <w:spacing w:after="20" w:line="223" w:lineRule="auto"/>
        <w:jc w:val="right"/>
        <w:bidi/>
      </w:pPr>
      <w:r>
        <w:rPr>
          <w:rFonts w:ascii="Arial" w:hAnsi="Arial"/>
          <w:sz w:val="16"/>
        </w:rPr>
        <w:t>042.27  ایالات متحده به دنبال و دریافت مجوز سازمان ملل برای اقدام علیه عراق و پیوستن به ۳۵ کشور دیگر برای آغاز عملیات صحرا بود.</w:t>
      </w:r>
    </w:p>
    <w:p>
      <w:pPr>
        <w:spacing w:after="28" w:line="216" w:lineRule="auto"/>
        <w:ind w:left="259"/>
        <w:jc w:val="left"/>
      </w:pPr>
      <w:r>
        <w:rPr>
          <w:rFonts w:ascii="Arial" w:hAnsi="Arial"/>
          <w:color w:val="525252"/>
          <w:sz w:val="13"/>
        </w:rPr>
        <w:t>The United States sought and received a United Nations sanction to act against Iraq and joined 35 other nations to launch Operation Desert</w:t>
      </w:r>
    </w:p>
    <w:p>
      <w:r>
        <w:br w:type="page"/>
      </w:r>
    </w:p>
    <w:p>
      <w:pPr>
        <w:spacing w:after="60"/>
        <w:jc w:val="right"/>
        <w:bidi/>
      </w:pPr>
      <w:r>
        <w:rPr>
          <w:rFonts w:ascii="Arial" w:hAnsi="Arial"/>
          <w:b/>
          <w:color w:val="1F4D78"/>
          <w:sz w:val="19"/>
        </w:rPr>
        <w:t>هفتهٔ 43  |  صفحهٔ منبع: 59</w:t>
      </w:r>
    </w:p>
    <w:p>
      <w:pPr>
        <w:spacing w:after="20" w:line="223" w:lineRule="auto"/>
        <w:jc w:val="right"/>
        <w:bidi/>
      </w:pPr>
      <w:r>
        <w:rPr>
          <w:rFonts w:ascii="Arial" w:hAnsi="Arial"/>
          <w:sz w:val="16"/>
        </w:rPr>
        <w:t>043.01  سپر.</w:t>
      </w:r>
    </w:p>
    <w:p>
      <w:pPr>
        <w:spacing w:after="28" w:line="216" w:lineRule="auto"/>
        <w:ind w:left="259"/>
        <w:jc w:val="left"/>
      </w:pPr>
      <w:r>
        <w:rPr>
          <w:rFonts w:ascii="Arial" w:hAnsi="Arial"/>
          <w:color w:val="525252"/>
          <w:sz w:val="13"/>
        </w:rPr>
        <w:t>Shield.</w:t>
      </w:r>
    </w:p>
    <w:p>
      <w:pPr>
        <w:spacing w:after="20" w:line="223" w:lineRule="auto"/>
        <w:jc w:val="right"/>
        <w:bidi/>
      </w:pPr>
      <w:r>
        <w:rPr>
          <w:rFonts w:ascii="Arial" w:hAnsi="Arial"/>
          <w:sz w:val="16"/>
        </w:rPr>
        <w:t>043.02  استقرار دفاعی یک دستاورد چشمگیر بود.</w:t>
      </w:r>
    </w:p>
    <w:p>
      <w:pPr>
        <w:spacing w:after="28" w:line="216" w:lineRule="auto"/>
        <w:ind w:left="259"/>
        <w:jc w:val="left"/>
      </w:pPr>
      <w:r>
        <w:rPr>
          <w:rFonts w:ascii="Arial" w:hAnsi="Arial"/>
          <w:color w:val="525252"/>
          <w:sz w:val="13"/>
        </w:rPr>
        <w:t>The defensive deployment was an impressive accomplishment.</w:t>
      </w:r>
    </w:p>
    <w:p>
      <w:pPr>
        <w:spacing w:after="20" w:line="223" w:lineRule="auto"/>
        <w:jc w:val="right"/>
        <w:bidi/>
      </w:pPr>
      <w:r>
        <w:rPr>
          <w:rFonts w:ascii="Arial" w:hAnsi="Arial"/>
          <w:sz w:val="16"/>
        </w:rPr>
        <w:t>043.03  در ۸ اوت ۱۹۹۰، ۲۴ فروند ف-۱۵ک پس از خروج ۱۵ ساعت زودتر از پایگاه نیروی هوایی لنگلی، ویرجینیا، در عربستان سعودی فرود آمدند.</w:t>
      </w:r>
    </w:p>
    <w:p>
      <w:pPr>
        <w:spacing w:after="28" w:line="216" w:lineRule="auto"/>
        <w:ind w:left="259"/>
        <w:jc w:val="left"/>
      </w:pPr>
      <w:r>
        <w:rPr>
          <w:rFonts w:ascii="Arial" w:hAnsi="Arial"/>
          <w:color w:val="525252"/>
          <w:sz w:val="13"/>
        </w:rPr>
        <w:t>On 8 August 1990, 24 F- 15Cs landed in Saudi Arabia after departing 15 hours earlier from Langley Air Force Base, Virginia.</w:t>
      </w:r>
    </w:p>
    <w:p>
      <w:pPr>
        <w:spacing w:after="20" w:line="223" w:lineRule="auto"/>
        <w:jc w:val="right"/>
        <w:bidi/>
      </w:pPr>
      <w:r>
        <w:rPr>
          <w:rFonts w:ascii="Arial" w:hAnsi="Arial"/>
          <w:sz w:val="16"/>
        </w:rPr>
        <w:t>043.04  ظرف یک هفته، ترابری ک-۱۴۱ و ک-۵ لشکر ۸۲د هوابرد ارتش و عناصر بال جنگنده تاکتیکی ۱ نیروی هوایی را برای دفاع از عربستان سعودی و سایر کشورهای خلیج فارس در برابر تجاوزات بیشتر تحویل دادند.</w:t>
      </w:r>
    </w:p>
    <w:p>
      <w:pPr>
        <w:spacing w:after="28" w:line="216" w:lineRule="auto"/>
        <w:ind w:left="259"/>
        <w:jc w:val="left"/>
      </w:pPr>
      <w:r>
        <w:rPr>
          <w:rFonts w:ascii="Arial" w:hAnsi="Arial"/>
          <w:color w:val="525252"/>
          <w:sz w:val="13"/>
        </w:rPr>
        <w:t>Within one week, C-141 and C-5 transports delivered the Army 82d Airborne Division and elements of the Air Force 1st Tactical Fighter Wing to defend Saudi Arabia and the other Persian Gulf states against further aggression.</w:t>
      </w:r>
    </w:p>
    <w:p>
      <w:pPr>
        <w:spacing w:after="20" w:line="223" w:lineRule="auto"/>
        <w:jc w:val="right"/>
        <w:bidi/>
      </w:pPr>
      <w:r>
        <w:rPr>
          <w:rFonts w:ascii="Arial" w:hAnsi="Arial"/>
          <w:sz w:val="16"/>
        </w:rPr>
        <w:t>043.05  کمتر از یک ماه پس از بسیج، ۱۲۲۰ هواپیمای متفقین در صحنه و آماده نبرد بودند که ابتدا صدام حسین را از تجاوز به سعودی‌ها بازدارند و سپس در صورت لزوم برای تهاجم متقابل آماده کنند.</w:t>
      </w:r>
    </w:p>
    <w:p>
      <w:pPr>
        <w:spacing w:after="28" w:line="216" w:lineRule="auto"/>
        <w:ind w:left="259"/>
        <w:jc w:val="left"/>
      </w:pPr>
      <w:r>
        <w:rPr>
          <w:rFonts w:ascii="Arial" w:hAnsi="Arial"/>
          <w:color w:val="525252"/>
          <w:sz w:val="13"/>
        </w:rPr>
        <w:t>Less than one month after mobilization, 1,220 Allied aircraft were in theater and combat ready, aimed first at deterring Saddam Hussein from aggression against the Saudis, then preparing for a counter invasion, if necessary.</w:t>
      </w:r>
    </w:p>
    <w:p>
      <w:pPr>
        <w:spacing w:after="20" w:line="223" w:lineRule="auto"/>
        <w:jc w:val="right"/>
        <w:bidi/>
      </w:pPr>
      <w:r>
        <w:rPr>
          <w:rFonts w:ascii="Arial" w:hAnsi="Arial"/>
          <w:sz w:val="16"/>
        </w:rPr>
        <w:t>043.06  عملیات سپر صحرا به‌عنوان بزرگترین استقرار هوایی در تاریخ، برلین را تحت الشعاع قرار داد.</w:t>
      </w:r>
    </w:p>
    <w:p>
      <w:pPr>
        <w:spacing w:after="28" w:line="216" w:lineRule="auto"/>
        <w:ind w:left="259"/>
        <w:jc w:val="left"/>
      </w:pPr>
      <w:r>
        <w:rPr>
          <w:rFonts w:ascii="Arial" w:hAnsi="Arial"/>
          <w:color w:val="525252"/>
          <w:sz w:val="13"/>
        </w:rPr>
        <w:t>Operation Desert Shield eclipsed the Berlin Airlift as the greatest air deployment in history.</w:t>
      </w:r>
    </w:p>
    <w:p>
      <w:pPr>
        <w:spacing w:after="20" w:line="223" w:lineRule="auto"/>
        <w:jc w:val="right"/>
        <w:bidi/>
      </w:pPr>
      <w:r>
        <w:rPr>
          <w:rFonts w:ascii="Arial" w:hAnsi="Arial"/>
          <w:sz w:val="16"/>
        </w:rPr>
        <w:t>043.07  بین آگوست ۱۹۹۰ تا ژانویه ۱۹۹۱، هواپیماهای باری فرماندهی نیروی هوایی نظامی ۲۰۵۰۰ مأموریت حمل و نقل هوایی استراتژیک انجام دادند، ۵۳۴۰۰۰ پرسنل را تحویل دادند و ۵۴۲۰۰۰ تن محموله را به سالن نمایش منتقل کردند.</w:t>
      </w:r>
    </w:p>
    <w:p>
      <w:pPr>
        <w:spacing w:after="28" w:line="216" w:lineRule="auto"/>
        <w:ind w:left="259"/>
        <w:jc w:val="left"/>
      </w:pPr>
      <w:r>
        <w:rPr>
          <w:rFonts w:ascii="Arial" w:hAnsi="Arial"/>
          <w:color w:val="525252"/>
          <w:sz w:val="13"/>
        </w:rPr>
        <w:t>Between August 1990 and January 1991, Military Airlift Command cargo planes conducted 20,500 strategic airlift missions, delivered 534,000 personnel, and carried 542,000 tons of cargo to the theater.</w:t>
      </w:r>
    </w:p>
    <w:p>
      <w:pPr>
        <w:spacing w:after="20" w:line="223" w:lineRule="auto"/>
        <w:jc w:val="right"/>
        <w:bidi/>
      </w:pPr>
      <w:r>
        <w:rPr>
          <w:rFonts w:ascii="Arial" w:hAnsi="Arial"/>
          <w:sz w:val="16"/>
        </w:rPr>
        <w:t>043.08  عملیات طوفان صحرا.</w:t>
      </w:r>
    </w:p>
    <w:p>
      <w:pPr>
        <w:spacing w:after="28" w:line="216" w:lineRule="auto"/>
        <w:ind w:left="259"/>
        <w:jc w:val="left"/>
      </w:pPr>
      <w:r>
        <w:rPr>
          <w:rFonts w:ascii="Arial" w:hAnsi="Arial"/>
          <w:color w:val="525252"/>
          <w:sz w:val="13"/>
        </w:rPr>
        <w:t>Operation Desert Storm.</w:t>
      </w:r>
    </w:p>
    <w:p>
      <w:pPr>
        <w:spacing w:after="20" w:line="223" w:lineRule="auto"/>
        <w:jc w:val="right"/>
        <w:bidi/>
      </w:pPr>
      <w:r>
        <w:rPr>
          <w:rFonts w:ascii="Arial" w:hAnsi="Arial"/>
          <w:sz w:val="16"/>
        </w:rPr>
        <w:t>043.09  رئیس جمهور جورج اچ دبلیو. بوش خواستار خروج فوری نیروهای عراقی از کویت شد.</w:t>
      </w:r>
    </w:p>
    <w:p>
      <w:pPr>
        <w:spacing w:after="28" w:line="216" w:lineRule="auto"/>
        <w:ind w:left="259"/>
        <w:jc w:val="left"/>
      </w:pPr>
      <w:r>
        <w:rPr>
          <w:rFonts w:ascii="Arial" w:hAnsi="Arial"/>
          <w:color w:val="525252"/>
          <w:sz w:val="13"/>
        </w:rPr>
        <w:t>President George H.W. Bush demanded the immediate withdrawal of Iraqi forces from Kuwait.</w:t>
      </w:r>
    </w:p>
    <w:p>
      <w:pPr>
        <w:spacing w:after="20" w:line="223" w:lineRule="auto"/>
        <w:jc w:val="right"/>
        <w:bidi/>
      </w:pPr>
      <w:r>
        <w:rPr>
          <w:rFonts w:ascii="Arial" w:hAnsi="Arial"/>
          <w:sz w:val="16"/>
        </w:rPr>
        <w:t>043.10  صدام حسین با این باور که مردم آمریکا شکم جنگ را ندارند، برای بیش از شش ماه تناوب بین سرپیچی و وعده‌های مبهم از تبعیت می‌کرد.</w:t>
      </w:r>
    </w:p>
    <w:p>
      <w:pPr>
        <w:spacing w:after="28" w:line="216" w:lineRule="auto"/>
        <w:ind w:left="259"/>
        <w:jc w:val="left"/>
      </w:pPr>
      <w:r>
        <w:rPr>
          <w:rFonts w:ascii="Arial" w:hAnsi="Arial"/>
          <w:color w:val="525252"/>
          <w:sz w:val="13"/>
        </w:rPr>
        <w:t>Believing that the American public lacked the stomach for war, for more than six months Saddam Hussein alternated between defiance and vague promises of compliance.</w:t>
      </w:r>
    </w:p>
    <w:p>
      <w:pPr>
        <w:spacing w:after="20" w:line="223" w:lineRule="auto"/>
        <w:jc w:val="right"/>
        <w:bidi/>
      </w:pPr>
      <w:r>
        <w:rPr>
          <w:rFonts w:ascii="Arial" w:hAnsi="Arial"/>
          <w:sz w:val="16"/>
        </w:rPr>
        <w:t>043.11  وقتی صدام آخرین ضرب الاجل خروج نیروهایش از کویت را از دست داد، ایالات متحده با امتناع صدام از همکاری صبر خود را از دست داد و عملیات طوفان صحرا را آغاز کرد.</w:t>
      </w:r>
    </w:p>
    <w:p>
      <w:pPr>
        <w:spacing w:after="28" w:line="216" w:lineRule="auto"/>
        <w:ind w:left="259"/>
        <w:jc w:val="left"/>
      </w:pPr>
      <w:r>
        <w:rPr>
          <w:rFonts w:ascii="Arial" w:hAnsi="Arial"/>
          <w:color w:val="525252"/>
          <w:sz w:val="13"/>
        </w:rPr>
        <w:t>When Saddam missed the final deadline to withdraw his troops from Kuwait, the United States lost patience with Saddam’s refusal to cooperate, and initiated Operation Desert Storm.</w:t>
      </w:r>
    </w:p>
    <w:p>
      <w:pPr>
        <w:spacing w:after="20" w:line="223" w:lineRule="auto"/>
        <w:jc w:val="right"/>
        <w:bidi/>
      </w:pPr>
      <w:r>
        <w:rPr>
          <w:rFonts w:ascii="Arial" w:hAnsi="Arial"/>
          <w:sz w:val="16"/>
        </w:rPr>
        <w:t>043.12  در ساعت ۰۱۰۰، ۱۷ ژانویه ۱۹۹۱، سه هلیکوپتر MH-۵۳ج پاو لوو، عملیات ویژه USAF، ۹ آپاچی ارتش را در اولین مأموریت ضربتی هدایت کردند.</w:t>
      </w:r>
    </w:p>
    <w:p>
      <w:pPr>
        <w:spacing w:after="28" w:line="216" w:lineRule="auto"/>
        <w:ind w:left="259"/>
        <w:jc w:val="left"/>
      </w:pPr>
      <w:r>
        <w:rPr>
          <w:rFonts w:ascii="Arial" w:hAnsi="Arial"/>
          <w:color w:val="525252"/>
          <w:sz w:val="13"/>
        </w:rPr>
        <w:t>At 0100, 17 January 1991, three USAF Special Operations MH-53J Pave Low helicopters led nine Army Apaches on the first strike mission.</w:t>
      </w:r>
    </w:p>
    <w:p>
      <w:pPr>
        <w:spacing w:after="20" w:line="223" w:lineRule="auto"/>
        <w:jc w:val="right"/>
        <w:bidi/>
      </w:pPr>
      <w:r>
        <w:rPr>
          <w:rFonts w:ascii="Arial" w:hAnsi="Arial"/>
          <w:sz w:val="16"/>
        </w:rPr>
        <w:t>043.13  تحت فرماندهی ژنرال چارلز هورنر، نیروی هوایی فرماندهی مرکزی ایالات متحده، هواپیماهای ۱۴ کشور طرح اصلی حمله را اجرا کردند.</w:t>
      </w:r>
    </w:p>
    <w:p>
      <w:pPr>
        <w:spacing w:after="28" w:line="216" w:lineRule="auto"/>
        <w:ind w:left="259"/>
        <w:jc w:val="left"/>
      </w:pPr>
      <w:r>
        <w:rPr>
          <w:rFonts w:ascii="Arial" w:hAnsi="Arial"/>
          <w:color w:val="525252"/>
          <w:sz w:val="13"/>
        </w:rPr>
        <w:t>Under the command of Lieutenant General Charles A. Horner, U.S. Central Command Air Forces, aircraft from 14 countries implemented the master attack plan.</w:t>
      </w:r>
    </w:p>
    <w:p>
      <w:pPr>
        <w:spacing w:after="20" w:line="223" w:lineRule="auto"/>
        <w:jc w:val="right"/>
        <w:bidi/>
      </w:pPr>
      <w:r>
        <w:rPr>
          <w:rFonts w:ascii="Arial" w:hAnsi="Arial"/>
          <w:sz w:val="16"/>
        </w:rPr>
        <w:t>043.14  در عرض چند ساعت، جهان پوشش زنده تلویزیونی را تماشا کرد در حالی که آسمان عراق مملو از آتش توپخانه ضد هوایی بود.</w:t>
      </w:r>
    </w:p>
    <w:p>
      <w:pPr>
        <w:spacing w:after="28" w:line="216" w:lineRule="auto"/>
        <w:ind w:left="259"/>
        <w:jc w:val="left"/>
      </w:pPr>
      <w:r>
        <w:rPr>
          <w:rFonts w:ascii="Arial" w:hAnsi="Arial"/>
          <w:color w:val="525252"/>
          <w:sz w:val="13"/>
        </w:rPr>
        <w:t>Within hours, the world watched live television coverage while Iraqi skies filled with anti-aircraft artillery fire.</w:t>
      </w:r>
    </w:p>
    <w:p>
      <w:pPr>
        <w:spacing w:after="20" w:line="223" w:lineRule="auto"/>
        <w:jc w:val="right"/>
        <w:bidi/>
      </w:pPr>
      <w:r>
        <w:rPr>
          <w:rFonts w:ascii="Arial" w:hAnsi="Arial"/>
          <w:sz w:val="16"/>
        </w:rPr>
        <w:t>043.15  در پاسخ به موشک‌های اسکاد اصلاح‌شده شوروی که عراق علیه اسرائیل، عربستان سعودی و کشورهای خلیج فارس شلیک کرد، نیروی هوایی آمریکا با ناوگانی متشکل از ا-۱۰، ف-۱۶ و ف-۱۵ با ناوبری در ارتفاع پایین و هدف‌گیری زیرسرخ، اقدامی را به‌عنوان «شکار بزرگ اسکاد» آغاز کرد.</w:t>
      </w:r>
    </w:p>
    <w:p>
      <w:pPr>
        <w:spacing w:after="28" w:line="216" w:lineRule="auto"/>
        <w:ind w:left="259"/>
        <w:jc w:val="left"/>
      </w:pPr>
      <w:r>
        <w:rPr>
          <w:rFonts w:ascii="Arial" w:hAnsi="Arial"/>
          <w:color w:val="525252"/>
          <w:sz w:val="13"/>
        </w:rPr>
        <w:t>In response to Iraq’s modified Soviet scud missiles launched against Israel, Saudi Arabia, and the Persian Gulf States, the USAF commenced what became known as ‘the great scud hunt’ with a fleet of A-10s, F-16s, and F-15Es with low-altitude navigation and targeting infrared for night pods.</w:t>
      </w:r>
    </w:p>
    <w:p>
      <w:pPr>
        <w:spacing w:after="20" w:line="223" w:lineRule="auto"/>
        <w:jc w:val="right"/>
        <w:bidi/>
      </w:pPr>
      <w:r>
        <w:rPr>
          <w:rFonts w:ascii="Arial" w:hAnsi="Arial"/>
          <w:sz w:val="16"/>
        </w:rPr>
        <w:t>043.16  ف-۱۱۷ا با دقت بی‌سابقه‌ای به اهداف دفاعی سنگین حمله کرد و با موفقیت از دفاع پیشرفته ضد هوایی عراق فرار کرد.</w:t>
      </w:r>
    </w:p>
    <w:p>
      <w:pPr>
        <w:spacing w:after="28" w:line="216" w:lineRule="auto"/>
        <w:ind w:left="259"/>
        <w:jc w:val="left"/>
      </w:pPr>
      <w:r>
        <w:rPr>
          <w:rFonts w:ascii="Arial" w:hAnsi="Arial"/>
          <w:color w:val="525252"/>
          <w:sz w:val="13"/>
        </w:rPr>
        <w:t>The F-117As struck heavily defended targets with unprecedented precision and successfully evaded the sophisticated Iraqi anti-aircraft defenses.</w:t>
      </w:r>
    </w:p>
    <w:p>
      <w:pPr>
        <w:spacing w:after="20" w:line="223" w:lineRule="auto"/>
        <w:jc w:val="right"/>
        <w:bidi/>
      </w:pPr>
      <w:r>
        <w:rPr>
          <w:rFonts w:ascii="Arial" w:hAnsi="Arial"/>
          <w:sz w:val="16"/>
        </w:rPr>
        <w:t>043.17  یک پرواز متشکل از هفت ب-۵۲گ بدون توقف از پایگاه نیروی هوایی بارکسدیل، لوئیزیانا برای حمله به ایستگاه‌های برق و تأسیسات ارتباطی عراق پرواز کرد.</w:t>
      </w:r>
    </w:p>
    <w:p>
      <w:pPr>
        <w:spacing w:after="28" w:line="216" w:lineRule="auto"/>
        <w:ind w:left="259"/>
        <w:jc w:val="left"/>
      </w:pPr>
      <w:r>
        <w:rPr>
          <w:rFonts w:ascii="Arial" w:hAnsi="Arial"/>
          <w:color w:val="525252"/>
          <w:sz w:val="13"/>
        </w:rPr>
        <w:t>A flight of seven B-52Gs flew nonstop from Barksdale Air Force Base, Louisiana to strike Iraqi power stations and communications facilities.</w:t>
      </w:r>
    </w:p>
    <w:p>
      <w:pPr>
        <w:spacing w:after="20" w:line="223" w:lineRule="auto"/>
        <w:jc w:val="right"/>
        <w:bidi/>
      </w:pPr>
      <w:r>
        <w:rPr>
          <w:rFonts w:ascii="Arial" w:hAnsi="Arial"/>
          <w:sz w:val="16"/>
        </w:rPr>
        <w:t>043.18  در ۳۵ ساعت رفت و برگشت، حمله ۱۴۰۰۰ مایلی طولانی‌ترین مأموریت جنگی تا آن زمان و اثباتی بر گستره جهانی آمریکا بود.</w:t>
      </w:r>
    </w:p>
    <w:p>
      <w:pPr>
        <w:spacing w:after="28" w:line="216" w:lineRule="auto"/>
        <w:ind w:left="259"/>
        <w:jc w:val="left"/>
      </w:pPr>
      <w:r>
        <w:rPr>
          <w:rFonts w:ascii="Arial" w:hAnsi="Arial"/>
          <w:color w:val="525252"/>
          <w:sz w:val="13"/>
        </w:rPr>
        <w:t>At 35 hours round-trip, the 14,000-mile raid was the longest combat mission up to that time, and proof of America’s global reach.</w:t>
      </w:r>
    </w:p>
    <w:p>
      <w:pPr>
        <w:spacing w:after="20" w:line="223" w:lineRule="auto"/>
        <w:jc w:val="right"/>
        <w:bidi/>
      </w:pPr>
      <w:r>
        <w:rPr>
          <w:rFonts w:ascii="Arial" w:hAnsi="Arial"/>
          <w:sz w:val="16"/>
        </w:rPr>
        <w:t>043.19  ناوگان با پرتاب بمب‌های عظیم روحیه ارتش عراق را در هم شکست.</w:t>
      </w:r>
    </w:p>
    <w:p>
      <w:pPr>
        <w:spacing w:after="28" w:line="216" w:lineRule="auto"/>
        <w:ind w:left="259"/>
        <w:jc w:val="left"/>
      </w:pPr>
      <w:r>
        <w:rPr>
          <w:rFonts w:ascii="Arial" w:hAnsi="Arial"/>
          <w:color w:val="525252"/>
          <w:sz w:val="13"/>
        </w:rPr>
        <w:t>The fleet shattered Iraqi Army morale with massive bomb drops.</w:t>
      </w:r>
    </w:p>
    <w:p>
      <w:pPr>
        <w:spacing w:after="20" w:line="223" w:lineRule="auto"/>
        <w:jc w:val="right"/>
        <w:bidi/>
      </w:pPr>
      <w:r>
        <w:rPr>
          <w:rFonts w:ascii="Arial" w:hAnsi="Arial"/>
          <w:sz w:val="16"/>
        </w:rPr>
        <w:t>043.20  پس از استقرار تسلط هوایی و از بین بردن سیستم فرماندهی و کنترل دشمن، نیروهای ائتلاف توجه خود را به نیروهای زمینی مستقر دشمن معطوف کردند که ظاهرا مایل بودند به اولین نیروهای متفقینی که دیدند تسلیم شوند.</w:t>
      </w:r>
    </w:p>
    <w:p>
      <w:pPr>
        <w:spacing w:after="28" w:line="216" w:lineRule="auto"/>
        <w:ind w:left="259"/>
        <w:jc w:val="left"/>
      </w:pPr>
      <w:r>
        <w:rPr>
          <w:rFonts w:ascii="Arial" w:hAnsi="Arial"/>
          <w:color w:val="525252"/>
          <w:sz w:val="13"/>
        </w:rPr>
        <w:t>After establishing air dominance and destroying the enemy’s command and control system, coalition forces turned their attention to entrenched enemy ground forces, who were evidently willing to surrender to the first Allied troops they saw.</w:t>
      </w:r>
    </w:p>
    <w:p>
      <w:pPr>
        <w:spacing w:after="20" w:line="223" w:lineRule="auto"/>
        <w:jc w:val="right"/>
        <w:bidi/>
      </w:pPr>
      <w:r>
        <w:rPr>
          <w:rFonts w:ascii="Arial" w:hAnsi="Arial"/>
          <w:sz w:val="16"/>
        </w:rPr>
        <w:t>043.21  هنگامی که یکی از فرماندهان عراقی با صراحت اظهار داشت که به دلیل حملات ب-۵۲ تسلیم شده است، بازپرس وی خاطرنشان کرد که موقعیت او هرگز مورد حمله ب-۵۲ قرار نگرفته است. عراقی گفت: «این درست است، اما من یکی را دیدم که مورد حمله قرار گرفته بود.» در حالی که نیروهای زمینی ائتلاف مانور معروف هییل مری ژنرال شوارتسکف را انجام دادند که آخرین ضربه را به نیروهای نظامی عراق وارد کرد، نیروی هوایی زمینه را برای پیروزی فراهم کرد.</w:t>
      </w:r>
    </w:p>
    <w:p>
      <w:pPr>
        <w:spacing w:after="28" w:line="216" w:lineRule="auto"/>
        <w:ind w:left="259"/>
        <w:jc w:val="left"/>
      </w:pPr>
      <w:r>
        <w:rPr>
          <w:rFonts w:ascii="Arial" w:hAnsi="Arial"/>
          <w:color w:val="525252"/>
          <w:sz w:val="13"/>
        </w:rPr>
        <w:t>When one Iraqi commander candidly asserted that he surrendered because of B-52 strikes, his interrogator pointed out that his position had never been attacked by the B-52.</w:t>
      </w:r>
    </w:p>
    <w:p>
      <w:pPr>
        <w:spacing w:after="20" w:line="223" w:lineRule="auto"/>
        <w:jc w:val="right"/>
        <w:bidi/>
      </w:pPr>
      <w:r>
        <w:rPr>
          <w:rFonts w:ascii="Arial" w:hAnsi="Arial"/>
          <w:sz w:val="16"/>
        </w:rPr>
        <w:t>043.22  عراقی گفت: «این درست است، اما من یکی را دیدم که مورد حمله قرار گرفته بود». در حالی که نیروهای زمینی ائتلاف مانور معروف هییل مری ژنرال شوارتسکف را انجام دادند که آخرین ضربه را به نیروهای نظامی عراق وارد کرد، نیروی هوایی زمینه را برای پیروزی فراهم کرد.</w:t>
      </w:r>
    </w:p>
    <w:p>
      <w:pPr>
        <w:spacing w:after="28" w:line="216" w:lineRule="auto"/>
        <w:ind w:left="259"/>
        <w:jc w:val="left"/>
      </w:pPr>
      <w:r>
        <w:rPr>
          <w:rFonts w:ascii="Arial" w:hAnsi="Arial"/>
          <w:color w:val="525252"/>
          <w:sz w:val="13"/>
        </w:rPr>
        <w:t>“That is true,” the Iraqi asserted, “but I saw one that had been attacked.” While coalition ground forces delivered General Schwarzkopf’s famous Hail Mary outflanking maneuver that applied the final blow to the Iraqi military forces, airpower set the stage for victory.</w:t>
      </w:r>
    </w:p>
    <w:p>
      <w:pPr>
        <w:spacing w:after="20" w:line="223" w:lineRule="auto"/>
        <w:jc w:val="right"/>
        <w:bidi/>
      </w:pPr>
      <w:r>
        <w:rPr>
          <w:rFonts w:ascii="Arial" w:hAnsi="Arial"/>
          <w:sz w:val="16"/>
        </w:rPr>
        <w:t>043.23  همانطور که در بررسی نیروی هوایی جنگ خلیج فارس گفته شد، «تعداد تانک‌ها یا توپخانه‌های عراقی منهدم شده یا تعداد سربازان عراقی کشته شده مهم نبود.</w:t>
      </w:r>
    </w:p>
    <w:p>
      <w:pPr>
        <w:spacing w:after="28" w:line="216" w:lineRule="auto"/>
        <w:ind w:left="259"/>
        <w:jc w:val="left"/>
      </w:pPr>
      <w:r>
        <w:rPr>
          <w:rFonts w:ascii="Arial" w:hAnsi="Arial"/>
          <w:color w:val="525252"/>
          <w:sz w:val="13"/>
        </w:rPr>
        <w:t>As stated in the Gulf War Air Power Survey, “It was not the number of Iraqi tanks or artillery pieces destroyed, or the number of Iraqi soldiers killed that mattered.</w:t>
      </w:r>
    </w:p>
    <w:p>
      <w:pPr>
        <w:spacing w:after="20" w:line="223" w:lineRule="auto"/>
        <w:jc w:val="right"/>
        <w:bidi/>
      </w:pPr>
      <w:r>
        <w:rPr>
          <w:rFonts w:ascii="Arial" w:hAnsi="Arial"/>
          <w:sz w:val="16"/>
        </w:rPr>
        <w:t>043.24  اثربخشی عملیات هوایی در گسستن ساختار سازمانی و انسجام نیروهای نظامی دشمن و رسیدن به ذهن سرباز عراقی مهم بود. در ۲۸ فوریه ۱۹۹۱، تقریبا ۴۸ ساعت پس از پایان جنگ هوایی و محوریت تهاجم زمینی، عراق تسلیم ائتلاف شد.</w:t>
      </w:r>
    </w:p>
    <w:p>
      <w:pPr>
        <w:spacing w:after="28" w:line="216" w:lineRule="auto"/>
        <w:ind w:left="259"/>
        <w:jc w:val="left"/>
      </w:pPr>
      <w:r>
        <w:rPr>
          <w:rFonts w:ascii="Arial" w:hAnsi="Arial"/>
          <w:color w:val="525252"/>
          <w:sz w:val="13"/>
        </w:rPr>
        <w:t>It was the effectiveness of the air campaign in breaking apart the organizational structure and cohesion of enemy military forces and in reaching the mind of the Iraqi soldier that counted.” On 28 February 1991, scarcely 48 hours after the air war ended and the land invasion took center stage, Iraq surrendered to the coalition.</w:t>
      </w:r>
    </w:p>
    <w:p>
      <w:pPr>
        <w:spacing w:after="20" w:line="223" w:lineRule="auto"/>
        <w:jc w:val="right"/>
        <w:bidi/>
      </w:pPr>
      <w:r>
        <w:rPr>
          <w:rFonts w:ascii="Arial" w:hAnsi="Arial"/>
          <w:sz w:val="16"/>
        </w:rPr>
        <w:t>043.25  علیرغم بیش از ۲۷۰۰ سورتی پرواز (۲۲ درصد از فاز هوایی استراتژیک)، دشمن موفق شد ۸۸ اسکاد را پرتاب کند، از جمله یکی که به یک واحد ذخیره ارتش آمریکا در ظهران، عربستان سعودی حمله کرد و ۲۸ سرباز را کشت و ۹۸ نفر را مجروح کرد.</w:t>
      </w:r>
    </w:p>
    <w:p>
      <w:pPr>
        <w:spacing w:after="28" w:line="216" w:lineRule="auto"/>
        <w:ind w:left="259"/>
        <w:jc w:val="left"/>
      </w:pPr>
      <w:r>
        <w:rPr>
          <w:rFonts w:ascii="Arial" w:hAnsi="Arial"/>
          <w:color w:val="525252"/>
          <w:sz w:val="13"/>
        </w:rPr>
        <w:t>Despite over 2,700 sorties (22 percent of the strategic air phase), the enemy managed to launch 88 scuds, including one that struck a U.S. Army Reserve unit at Dhahran, Saudi Arabia, killing 28 soldiers and wounding 98.</w:t>
      </w:r>
    </w:p>
    <w:p>
      <w:pPr>
        <w:spacing w:after="20" w:line="223" w:lineRule="auto"/>
        <w:jc w:val="right"/>
        <w:bidi/>
      </w:pPr>
      <w:r>
        <w:rPr>
          <w:rFonts w:ascii="Arial" w:hAnsi="Arial"/>
          <w:sz w:val="16"/>
        </w:rPr>
        <w:t>043.26  در طول عملیات هوایی، ائتلاف بیش از ۱۱۸۰۰۰ سورتی پرواز انجام داد که ۶۰ درصد از آنها توسط USAF انجام شد.</w:t>
      </w:r>
    </w:p>
    <w:p>
      <w:pPr>
        <w:spacing w:after="28" w:line="216" w:lineRule="auto"/>
        <w:ind w:left="259"/>
        <w:jc w:val="left"/>
      </w:pPr>
      <w:r>
        <w:rPr>
          <w:rFonts w:ascii="Arial" w:hAnsi="Arial"/>
          <w:color w:val="525252"/>
          <w:sz w:val="13"/>
        </w:rPr>
        <w:t>Over the course of the air campaign, the coalition flew over 118,000 sorties, of which the USAF flew 60 percent.</w:t>
      </w:r>
    </w:p>
    <w:p>
      <w:pPr>
        <w:spacing w:after="20" w:line="223" w:lineRule="auto"/>
        <w:jc w:val="right"/>
        <w:bidi/>
      </w:pPr>
      <w:r>
        <w:rPr>
          <w:rFonts w:ascii="Arial" w:hAnsi="Arial"/>
          <w:sz w:val="16"/>
        </w:rPr>
        <w:t>043.27  در جنگ ۴۳ روزه، USAF برای اولین بار در نبردهای مدرن، شریک برابر قدرت زمینی و دریایی بود.</w:t>
      </w:r>
    </w:p>
    <w:p>
      <w:pPr>
        <w:spacing w:after="28" w:line="216" w:lineRule="auto"/>
        <w:ind w:left="259"/>
        <w:jc w:val="left"/>
      </w:pPr>
      <w:r>
        <w:rPr>
          <w:rFonts w:ascii="Arial" w:hAnsi="Arial"/>
          <w:color w:val="525252"/>
          <w:sz w:val="13"/>
        </w:rPr>
        <w:t>In the 43-day war, the USAF was, for the first time in modern combat, the equal partner of land and sea power.</w:t>
      </w:r>
    </w:p>
    <w:p>
      <w:r>
        <w:br w:type="page"/>
      </w:r>
    </w:p>
    <w:p>
      <w:pPr>
        <w:spacing w:after="60"/>
        <w:jc w:val="right"/>
        <w:bidi/>
      </w:pPr>
      <w:r>
        <w:rPr>
          <w:rFonts w:ascii="Arial" w:hAnsi="Arial"/>
          <w:b/>
          <w:color w:val="1F4D78"/>
          <w:sz w:val="19"/>
        </w:rPr>
        <w:t>هفتهٔ 44  |  صفحهٔ منبع: 60</w:t>
      </w:r>
    </w:p>
    <w:p>
      <w:pPr>
        <w:spacing w:after="20" w:line="223" w:lineRule="auto"/>
        <w:jc w:val="right"/>
        <w:bidi/>
      </w:pPr>
      <w:r>
        <w:rPr>
          <w:rFonts w:ascii="Arial" w:hAnsi="Arial"/>
          <w:sz w:val="16"/>
        </w:rPr>
        <w:t>044.01  دارایی‌های فضایی جنگ خلیج فارس.</w:t>
      </w:r>
    </w:p>
    <w:p>
      <w:pPr>
        <w:spacing w:after="28" w:line="216" w:lineRule="auto"/>
        <w:ind w:left="259"/>
        <w:jc w:val="left"/>
      </w:pPr>
      <w:r>
        <w:rPr>
          <w:rFonts w:ascii="Arial" w:hAnsi="Arial"/>
          <w:color w:val="525252"/>
          <w:sz w:val="13"/>
        </w:rPr>
        <w:t>Gulf War Space Assets.</w:t>
      </w:r>
    </w:p>
    <w:p>
      <w:pPr>
        <w:spacing w:after="20" w:line="223" w:lineRule="auto"/>
        <w:jc w:val="right"/>
        <w:bidi/>
      </w:pPr>
      <w:r>
        <w:rPr>
          <w:rFonts w:ascii="Arial" w:hAnsi="Arial"/>
          <w:sz w:val="16"/>
        </w:rPr>
        <w:t>044.02  جنگ خلیج‌فارس اولین استفاده گسترده و گسترده از قابلیت‌های پشتیبانی فضایی بود.</w:t>
      </w:r>
    </w:p>
    <w:p>
      <w:pPr>
        <w:spacing w:after="28" w:line="216" w:lineRule="auto"/>
        <w:ind w:left="259"/>
        <w:jc w:val="left"/>
      </w:pPr>
      <w:r>
        <w:rPr>
          <w:rFonts w:ascii="Arial" w:hAnsi="Arial"/>
          <w:color w:val="525252"/>
          <w:sz w:val="13"/>
        </w:rPr>
        <w:t>The Gulf War represented the first extensive, broad-based employment of space support capabilities.</w:t>
      </w:r>
    </w:p>
    <w:p>
      <w:pPr>
        <w:spacing w:after="20" w:line="223" w:lineRule="auto"/>
        <w:jc w:val="right"/>
        <w:bidi/>
      </w:pPr>
      <w:r>
        <w:rPr>
          <w:rFonts w:ascii="Arial" w:hAnsi="Arial"/>
          <w:sz w:val="16"/>
        </w:rPr>
        <w:t>044.03  نیروهای ائتلاف بیش از ۶۰ ماهواره نظامی و همچنین سیستم‌های تجاری و بخش غیرنظامی را در طول درگیری به کار گرفتند.</w:t>
      </w:r>
    </w:p>
    <w:p>
      <w:pPr>
        <w:spacing w:after="28" w:line="216" w:lineRule="auto"/>
        <w:ind w:left="259"/>
        <w:jc w:val="left"/>
      </w:pPr>
      <w:r>
        <w:rPr>
          <w:rFonts w:ascii="Arial" w:hAnsi="Arial"/>
          <w:color w:val="525252"/>
          <w:sz w:val="13"/>
        </w:rPr>
        <w:t>Coalition forces employed more than 60 military satellites, as well as commercial and civil sector systems during the conflict.</w:t>
      </w:r>
    </w:p>
    <w:p>
      <w:pPr>
        <w:spacing w:after="20" w:line="223" w:lineRule="auto"/>
        <w:jc w:val="right"/>
        <w:bidi/>
      </w:pPr>
      <w:r>
        <w:rPr>
          <w:rFonts w:ascii="Arial" w:hAnsi="Arial"/>
          <w:sz w:val="16"/>
        </w:rPr>
        <w:t>044.04  برنامه ماهواره هواشناسی دفاعی، پشتیبانی هواشناسی اختصاصی را در تئاتر ارائه کرد، که به تسهیل برنامه‌ریزی و کاربرد قدرت رزمی ایمن و بسیار مؤثر در یک محیط خشن که مشخصه آن طوفان‌های شن و آتش‌سوزی‌های نفت است، کمک کرد.</w:t>
      </w:r>
    </w:p>
    <w:p>
      <w:pPr>
        <w:spacing w:after="28" w:line="216" w:lineRule="auto"/>
        <w:ind w:left="259"/>
        <w:jc w:val="left"/>
      </w:pPr>
      <w:r>
        <w:rPr>
          <w:rFonts w:ascii="Arial" w:hAnsi="Arial"/>
          <w:color w:val="525252"/>
          <w:sz w:val="13"/>
        </w:rPr>
        <w:t>The defense meteorological satellite program provided dedicated meteorological support in theater, which helped facilitate safe, highly effective combat power planning and application in a harsh environment characterized by sandstorms and oil fires.</w:t>
      </w:r>
    </w:p>
    <w:p>
      <w:pPr>
        <w:spacing w:after="20" w:line="223" w:lineRule="auto"/>
        <w:jc w:val="right"/>
        <w:bidi/>
      </w:pPr>
      <w:r>
        <w:rPr>
          <w:rFonts w:ascii="Arial" w:hAnsi="Arial"/>
          <w:sz w:val="16"/>
        </w:rPr>
        <w:t>044.05  سیستم‌های مبتنی بر ماهواره به دلیل حجم زیاد و نبود زیرساخت‌های زمینی، بیش از ۹۰ درصد از تمام ارتباطات را به سالن و از سالن تحویل می‌دادند.</w:t>
      </w:r>
    </w:p>
    <w:p>
      <w:pPr>
        <w:spacing w:after="28" w:line="216" w:lineRule="auto"/>
        <w:ind w:left="259"/>
        <w:jc w:val="left"/>
      </w:pPr>
      <w:r>
        <w:rPr>
          <w:rFonts w:ascii="Arial" w:hAnsi="Arial"/>
          <w:color w:val="525252"/>
          <w:sz w:val="13"/>
        </w:rPr>
        <w:t>Satellite-based systems delivered more than 90 percent of all communications to and from the theater due to the sheer volume and the lack of ground-based infrastructure.</w:t>
      </w:r>
    </w:p>
    <w:p>
      <w:pPr>
        <w:spacing w:after="20" w:line="223" w:lineRule="auto"/>
        <w:jc w:val="right"/>
        <w:bidi/>
      </w:pPr>
      <w:r>
        <w:rPr>
          <w:rFonts w:ascii="Arial" w:hAnsi="Arial"/>
          <w:sz w:val="16"/>
        </w:rPr>
        <w:t>044.06  در اوج درگیری، ۷۰۰۰۰۰ تماس تلفنی و ۱۵۲۰۰۰ پیام در روز از طریق پیوندهای ماهواره‌ای سرازیر می‌شد.</w:t>
      </w:r>
    </w:p>
    <w:p>
      <w:pPr>
        <w:spacing w:after="28" w:line="216" w:lineRule="auto"/>
        <w:ind w:left="259"/>
        <w:jc w:val="left"/>
      </w:pPr>
      <w:r>
        <w:rPr>
          <w:rFonts w:ascii="Arial" w:hAnsi="Arial"/>
          <w:color w:val="525252"/>
          <w:sz w:val="13"/>
        </w:rPr>
        <w:t>At the height of the conflict, 700,000 phone calls and 152,000 messages per day flowed over satellite links.</w:t>
      </w:r>
    </w:p>
    <w:p>
      <w:pPr>
        <w:spacing w:after="20" w:line="223" w:lineRule="auto"/>
        <w:jc w:val="right"/>
        <w:bidi/>
      </w:pPr>
      <w:r>
        <w:rPr>
          <w:rFonts w:ascii="Arial" w:hAnsi="Arial"/>
          <w:sz w:val="16"/>
        </w:rPr>
        <w:t>044.07  دارایی‌های فضایی USAF موقعیت‌یابی و ناوبری دقیقی را برای نیروهای مشترک و ائتلاف با شروع جنگی سیستم موقعیت‌یابی جهانی فراهم کرد.</w:t>
      </w:r>
    </w:p>
    <w:p>
      <w:pPr>
        <w:spacing w:after="28" w:line="216" w:lineRule="auto"/>
        <w:ind w:left="259"/>
        <w:jc w:val="left"/>
      </w:pPr>
      <w:r>
        <w:rPr>
          <w:rFonts w:ascii="Arial" w:hAnsi="Arial"/>
          <w:color w:val="525252"/>
          <w:sz w:val="13"/>
        </w:rPr>
        <w:t>USAF space assets provided precision positioning and navigation to joint and coalition forces with the combat debut of the global positioning system.</w:t>
      </w:r>
    </w:p>
    <w:p>
      <w:pPr>
        <w:spacing w:after="20" w:line="223" w:lineRule="auto"/>
        <w:jc w:val="right"/>
        <w:bidi/>
      </w:pPr>
      <w:r>
        <w:rPr>
          <w:rFonts w:ascii="Arial" w:hAnsi="Arial"/>
          <w:sz w:val="16"/>
        </w:rPr>
        <w:t>044.08  نیروهای فضایی همچنین هشدارهای پیشرفته پرتاب اسکاد عراق را ارائه کردند که به شرکای ائتلاف زمان کافی برای درگیری با موشک‌های وارده را می‌داد.</w:t>
      </w:r>
    </w:p>
    <w:p>
      <w:pPr>
        <w:spacing w:after="28" w:line="216" w:lineRule="auto"/>
        <w:ind w:left="259"/>
        <w:jc w:val="left"/>
      </w:pPr>
      <w:r>
        <w:rPr>
          <w:rFonts w:ascii="Arial" w:hAnsi="Arial"/>
          <w:color w:val="525252"/>
          <w:sz w:val="13"/>
        </w:rPr>
        <w:t>Space forces also provided advanced Iraqi scud launch warnings that gave coalition partners sufficient time to engage the incoming missiles.</w:t>
      </w:r>
    </w:p>
    <w:p>
      <w:pPr>
        <w:spacing w:after="20" w:line="223" w:lineRule="auto"/>
        <w:jc w:val="right"/>
        <w:bidi/>
      </w:pPr>
      <w:r>
        <w:rPr>
          <w:rFonts w:ascii="Arial" w:hAnsi="Arial"/>
          <w:sz w:val="16"/>
        </w:rPr>
        <w:t>044.09  قابلیت‌های نیروی فضایی بر اسرائیل تأثیر گذاشت که بی‌طرف بماند و در نتیجه یکپارچگی ائتلاف را نیز حفظ کند.</w:t>
      </w:r>
    </w:p>
    <w:p>
      <w:pPr>
        <w:spacing w:after="28" w:line="216" w:lineRule="auto"/>
        <w:ind w:left="259"/>
        <w:jc w:val="left"/>
      </w:pPr>
      <w:r>
        <w:rPr>
          <w:rFonts w:ascii="Arial" w:hAnsi="Arial"/>
          <w:color w:val="525252"/>
          <w:sz w:val="13"/>
        </w:rPr>
        <w:t>Space force capabilities influenced Israel to remain neutral, thereby preserving the integrity of the coalition as well.</w:t>
      </w:r>
    </w:p>
    <w:p>
      <w:pPr>
        <w:spacing w:after="20" w:line="223" w:lineRule="auto"/>
        <w:jc w:val="right"/>
        <w:bidi/>
      </w:pPr>
      <w:r>
        <w:rPr>
          <w:rFonts w:ascii="Arial" w:hAnsi="Arial"/>
          <w:sz w:val="16"/>
        </w:rPr>
        <w:t>044.10  جنگ خلیج فارس اولین درگیری بود که قابلیت‌های تقویت نیروی ارتباطات فضایی، اطلاعات، ناوبری، هشدار موشکی، ماهواره‌های هواشناسی و مهمات هدایت‌شونده دقیق را در جنگ مدرن با جامعه مشترک برجسته کرد.</w:t>
      </w:r>
    </w:p>
    <w:p>
      <w:pPr>
        <w:spacing w:after="28" w:line="216" w:lineRule="auto"/>
        <w:ind w:left="259"/>
        <w:jc w:val="left"/>
      </w:pPr>
      <w:r>
        <w:rPr>
          <w:rFonts w:ascii="Arial" w:hAnsi="Arial"/>
          <w:color w:val="525252"/>
          <w:sz w:val="13"/>
        </w:rPr>
        <w:t>The Persian Gulf War was the first conflict to highlight the force enhancement capabilities of space-based communications, intelligence, navigation, missile warning, weather satellites, and precision guided munitions in modern warfare with the joint community.</w:t>
      </w:r>
    </w:p>
    <w:p>
      <w:pPr>
        <w:spacing w:after="20" w:line="223" w:lineRule="auto"/>
        <w:jc w:val="right"/>
        <w:bidi/>
      </w:pPr>
      <w:r>
        <w:rPr>
          <w:rFonts w:ascii="Arial" w:hAnsi="Arial"/>
          <w:sz w:val="16"/>
        </w:rPr>
        <w:t>044.11  جمعیت و عملیات کردهای عراق آسایش را فراهم می‌کند. ۱. در سال ۱۹۹۱، به دنبال جنگ خلیج فارس، صدام حسین، رهبر عراق، به جمعیت کرد در شمال عراق حمله کرد.</w:t>
      </w:r>
    </w:p>
    <w:p>
      <w:pPr>
        <w:spacing w:after="28" w:line="216" w:lineRule="auto"/>
        <w:ind w:left="259"/>
        <w:jc w:val="left"/>
      </w:pPr>
      <w:r>
        <w:rPr>
          <w:rFonts w:ascii="Arial" w:hAnsi="Arial"/>
          <w:color w:val="525252"/>
          <w:sz w:val="13"/>
        </w:rPr>
        <w:t>Iraqi Kurd Population and Operation Provide Comfort I. In 1991, following the Persian Gulf War, Iraqi leader, Saddam Hussein, attacked the Kurdish population in Northern Iraq.</w:t>
      </w:r>
    </w:p>
    <w:p>
      <w:pPr>
        <w:spacing w:after="20" w:line="223" w:lineRule="auto"/>
        <w:jc w:val="right"/>
        <w:bidi/>
      </w:pPr>
      <w:r>
        <w:rPr>
          <w:rFonts w:ascii="Arial" w:hAnsi="Arial"/>
          <w:sz w:val="16"/>
        </w:rPr>
        <w:t>044.12  از ترس تکرار تهدید قبلی سرکوب وحشیانه، سلاح‌های شیمیایی و کشتار توسط نیروهای عراقی، بیش از یک میلیون کرد به ایران و ترکیه گریختند و صدها هزار نفر دیگر در دامنه کوه‌های سرد در مرز عراق و ترکیه جمع شدند.</w:t>
      </w:r>
    </w:p>
    <w:p>
      <w:pPr>
        <w:spacing w:after="28" w:line="216" w:lineRule="auto"/>
        <w:ind w:left="259"/>
        <w:jc w:val="left"/>
      </w:pPr>
      <w:r>
        <w:rPr>
          <w:rFonts w:ascii="Arial" w:hAnsi="Arial"/>
          <w:color w:val="525252"/>
          <w:sz w:val="13"/>
        </w:rPr>
        <w:t>Fearing a repeat of the previous threat of brutal suppression, chemical weapons, and massacres by Iraqi troops, more than a million Kurds fled to Iran and Turkey and hundreds of thousands more gathered on cold mountain slopes on the Iraqi-Turkish border.</w:t>
      </w:r>
    </w:p>
    <w:p>
      <w:pPr>
        <w:spacing w:after="20" w:line="223" w:lineRule="auto"/>
        <w:jc w:val="right"/>
        <w:bidi/>
      </w:pPr>
      <w:r>
        <w:rPr>
          <w:rFonts w:ascii="Arial" w:hAnsi="Arial"/>
          <w:sz w:val="16"/>
        </w:rPr>
        <w:t>044.13  با کمبود غذا، آب تمیز، لباس، پتو، تجهیزات پزشکی و سرپناه، پناهندگان از میزان مرگ و میر بسیار زیادی رنج می‌برند.</w:t>
      </w:r>
    </w:p>
    <w:p>
      <w:pPr>
        <w:spacing w:after="28" w:line="216" w:lineRule="auto"/>
        <w:ind w:left="259"/>
        <w:jc w:val="left"/>
      </w:pPr>
      <w:r>
        <w:rPr>
          <w:rFonts w:ascii="Arial" w:hAnsi="Arial"/>
          <w:color w:val="525252"/>
          <w:sz w:val="13"/>
        </w:rPr>
        <w:t>Lacking food, clean water, clothing, blankets, medical supplies, and shelter, the refugees suffered enormous mortality rates.</w:t>
      </w:r>
    </w:p>
    <w:p>
      <w:pPr>
        <w:spacing w:after="20" w:line="223" w:lineRule="auto"/>
        <w:jc w:val="right"/>
        <w:bidi/>
      </w:pPr>
      <w:r>
        <w:rPr>
          <w:rFonts w:ascii="Arial" w:hAnsi="Arial"/>
          <w:sz w:val="16"/>
        </w:rPr>
        <w:t>044.14  در واکنش به این فاجعه آشکار، شورای امنیت سازمان ملل متحد قطعنامه ۶۸۸ را تصویب کرد و مجوز یک اقدام امدادی بشردوستانه را صادر کرد.</w:t>
      </w:r>
    </w:p>
    <w:p>
      <w:pPr>
        <w:spacing w:after="28" w:line="216" w:lineRule="auto"/>
        <w:ind w:left="259"/>
        <w:jc w:val="left"/>
      </w:pPr>
      <w:r>
        <w:rPr>
          <w:rFonts w:ascii="Arial" w:hAnsi="Arial"/>
          <w:color w:val="525252"/>
          <w:sz w:val="13"/>
        </w:rPr>
        <w:t>In response to the unfolding tragedy, the United Nations Security Council passed Resolution 688 and authorized a humanitarian relief effort.</w:t>
      </w:r>
    </w:p>
    <w:p>
      <w:pPr>
        <w:spacing w:after="20" w:line="223" w:lineRule="auto"/>
        <w:jc w:val="right"/>
        <w:bidi/>
      </w:pPr>
      <w:r>
        <w:rPr>
          <w:rFonts w:ascii="Arial" w:hAnsi="Arial"/>
          <w:sz w:val="16"/>
        </w:rPr>
        <w:t>044.15  ایالات متحده یک گروه ضربت را برای عملیات تأمین آسایش سازماندهی و ترکیب کرد که ۷۰۰۰ تن تدارکات را تحویل داد و هزاران کرد آواره را با هواپیما به محل امن منتقل کرد.</w:t>
      </w:r>
    </w:p>
    <w:p>
      <w:pPr>
        <w:spacing w:after="28" w:line="216" w:lineRule="auto"/>
        <w:ind w:left="259"/>
        <w:jc w:val="left"/>
      </w:pPr>
      <w:r>
        <w:rPr>
          <w:rFonts w:ascii="Arial" w:hAnsi="Arial"/>
          <w:color w:val="525252"/>
          <w:sz w:val="13"/>
        </w:rPr>
        <w:t>The United States organized and combined a task force for Operation Provide Comfort that delivered 7,000 tons of supplies and airlifted thousands of displaced Kurds to safety.</w:t>
      </w:r>
    </w:p>
    <w:p>
      <w:pPr>
        <w:spacing w:after="20" w:line="223" w:lineRule="auto"/>
        <w:jc w:val="right"/>
        <w:bidi/>
      </w:pPr>
      <w:r>
        <w:rPr>
          <w:rFonts w:ascii="Arial" w:hAnsi="Arial"/>
          <w:sz w:val="16"/>
        </w:rPr>
        <w:t>044.16  عملیات ارائه راحتی دو ماه پس از شروع به‌طور رسمی به پایان رسید.</w:t>
      </w:r>
    </w:p>
    <w:p>
      <w:pPr>
        <w:spacing w:after="28" w:line="216" w:lineRule="auto"/>
        <w:ind w:left="259"/>
        <w:jc w:val="left"/>
      </w:pPr>
      <w:r>
        <w:rPr>
          <w:rFonts w:ascii="Arial" w:hAnsi="Arial"/>
          <w:color w:val="525252"/>
          <w:sz w:val="13"/>
        </w:rPr>
        <w:t>Operation Provide Comfort officially ended two months after it began.</w:t>
      </w:r>
    </w:p>
    <w:p>
      <w:pPr>
        <w:spacing w:after="20" w:line="223" w:lineRule="auto"/>
        <w:jc w:val="right"/>
        <w:bidi/>
      </w:pPr>
      <w:r>
        <w:rPr>
          <w:rFonts w:ascii="Arial" w:hAnsi="Arial"/>
          <w:sz w:val="16"/>
        </w:rPr>
        <w:t>044.17  جمعیت کردستان عراق و عملیات تأمین آسایش II.</w:t>
      </w:r>
    </w:p>
    <w:p>
      <w:pPr>
        <w:spacing w:after="28" w:line="216" w:lineRule="auto"/>
        <w:ind w:left="259"/>
        <w:jc w:val="left"/>
      </w:pPr>
      <w:r>
        <w:rPr>
          <w:rFonts w:ascii="Arial" w:hAnsi="Arial"/>
          <w:color w:val="525252"/>
          <w:sz w:val="13"/>
        </w:rPr>
        <w:t>Iraqi Kurd Population and Operation Provide Comfort II.</w:t>
      </w:r>
    </w:p>
    <w:p>
      <w:pPr>
        <w:spacing w:after="20" w:line="223" w:lineRule="auto"/>
        <w:jc w:val="right"/>
        <w:bidi/>
      </w:pPr>
      <w:r>
        <w:rPr>
          <w:rFonts w:ascii="Arial" w:hAnsi="Arial"/>
          <w:sz w:val="16"/>
        </w:rPr>
        <w:t>044.18  وپراتیون پرووید کومفورت II از روزی که عملیات ارائه کومفورت به پایان رسید آغاز شد.</w:t>
      </w:r>
    </w:p>
    <w:p>
      <w:pPr>
        <w:spacing w:after="28" w:line="216" w:lineRule="auto"/>
        <w:ind w:left="259"/>
        <w:jc w:val="left"/>
      </w:pPr>
      <w:r>
        <w:rPr>
          <w:rFonts w:ascii="Arial" w:hAnsi="Arial"/>
          <w:color w:val="525252"/>
          <w:sz w:val="13"/>
        </w:rPr>
        <w:t>Operation Provide Comfort II began the day Operation Provide Comfort ended.</w:t>
      </w:r>
    </w:p>
    <w:p>
      <w:pPr>
        <w:spacing w:after="20" w:line="223" w:lineRule="auto"/>
        <w:jc w:val="right"/>
        <w:bidi/>
      </w:pPr>
      <w:r>
        <w:rPr>
          <w:rFonts w:ascii="Arial" w:hAnsi="Arial"/>
          <w:sz w:val="16"/>
        </w:rPr>
        <w:t>044.19  تمرکز اولیه این عملیات، جلوگیری از تجاوز عراق به کردها پس از بازگشت به کشورشان بود.</w:t>
      </w:r>
    </w:p>
    <w:p>
      <w:pPr>
        <w:spacing w:after="28" w:line="216" w:lineRule="auto"/>
        <w:ind w:left="259"/>
        <w:jc w:val="left"/>
      </w:pPr>
      <w:r>
        <w:rPr>
          <w:rFonts w:ascii="Arial" w:hAnsi="Arial"/>
          <w:color w:val="525252"/>
          <w:sz w:val="13"/>
        </w:rPr>
        <w:t>The primary focus for this operation was to prevent Iraqi aggression against the Kurds once they returned to their country.</w:t>
      </w:r>
    </w:p>
    <w:p>
      <w:pPr>
        <w:spacing w:after="20" w:line="223" w:lineRule="auto"/>
        <w:jc w:val="right"/>
        <w:bidi/>
      </w:pPr>
      <w:r>
        <w:rPr>
          <w:rFonts w:ascii="Arial" w:hAnsi="Arial"/>
          <w:sz w:val="16"/>
        </w:rPr>
        <w:t>044.20  این عملیات به‌طور رسمی در ۳۱ دسامبر ۱۹۹۶ به درخواست دولت ترکیه که خواهان بهبود روابط با ایران و عراق بود، پایان یافت.</w:t>
      </w:r>
    </w:p>
    <w:p>
      <w:pPr>
        <w:spacing w:after="28" w:line="216" w:lineRule="auto"/>
        <w:ind w:left="259"/>
        <w:jc w:val="left"/>
      </w:pPr>
      <w:r>
        <w:rPr>
          <w:rFonts w:ascii="Arial" w:hAnsi="Arial"/>
          <w:color w:val="525252"/>
          <w:sz w:val="13"/>
        </w:rPr>
        <w:t>The operation ended officially on 31 December 1996 at the request of the Turkish Government who wanted to improve relations with Iran and Iraq.</w:t>
      </w:r>
    </w:p>
    <w:p>
      <w:pPr>
        <w:spacing w:after="20" w:line="223" w:lineRule="auto"/>
        <w:jc w:val="right"/>
        <w:bidi/>
      </w:pPr>
      <w:r>
        <w:rPr>
          <w:rFonts w:ascii="Arial" w:hAnsi="Arial"/>
          <w:sz w:val="16"/>
        </w:rPr>
        <w:t>044.21  برای پاسخگویی به این درخواست، در حالی که همچنان پشتیبانی و امنیت منطقه را تأمین می‌کرد، عملیات تأمین آسایش ۲ توسط عملیات دیده‌بان شمالی دنبال شد که در ۱ ژانویه ۱۹۹۷ با مأموریت اجرای منطقه پرواز ممنوع شمالی آغاز شد.</w:t>
      </w:r>
    </w:p>
    <w:p>
      <w:pPr>
        <w:spacing w:after="28" w:line="216" w:lineRule="auto"/>
        <w:ind w:left="259"/>
        <w:jc w:val="left"/>
      </w:pPr>
      <w:r>
        <w:rPr>
          <w:rFonts w:ascii="Arial" w:hAnsi="Arial"/>
          <w:color w:val="525252"/>
          <w:sz w:val="13"/>
        </w:rPr>
        <w:t>To accommodate the request, while still providing support and security to the region, Operation Provide Comfort II was followed by Operation Northern Watch, which began on 1 January 1997, with the mission of enforcing the northern no-fly zone.</w:t>
      </w:r>
    </w:p>
    <w:p>
      <w:pPr>
        <w:spacing w:after="20" w:line="223" w:lineRule="auto"/>
        <w:jc w:val="right"/>
        <w:bidi/>
      </w:pPr>
      <w:r>
        <w:rPr>
          <w:rFonts w:ascii="Arial" w:hAnsi="Arial"/>
          <w:sz w:val="16"/>
        </w:rPr>
        <w:t>044.22  مناطق پرواز ممنوع بر فراز عراق و عملیات دیده بان جنوب و شمال.</w:t>
      </w:r>
    </w:p>
    <w:p>
      <w:pPr>
        <w:spacing w:after="28" w:line="216" w:lineRule="auto"/>
        <w:ind w:left="259"/>
        <w:jc w:val="left"/>
      </w:pPr>
      <w:r>
        <w:rPr>
          <w:rFonts w:ascii="Arial" w:hAnsi="Arial"/>
          <w:color w:val="525252"/>
          <w:sz w:val="13"/>
        </w:rPr>
        <w:t>No-Fly Zones over Iraq and Operations Southern and Northern Watch.</w:t>
      </w:r>
    </w:p>
    <w:p>
      <w:pPr>
        <w:spacing w:after="20" w:line="223" w:lineRule="auto"/>
        <w:jc w:val="right"/>
        <w:bidi/>
      </w:pPr>
      <w:r>
        <w:rPr>
          <w:rFonts w:ascii="Arial" w:hAnsi="Arial"/>
          <w:sz w:val="16"/>
        </w:rPr>
        <w:t>044.23  عملیات دیده بان جنوبی در ۲۷ اوت ۱۹۹۲ آغاز شد و تا ۱۹ مارس ۲۰۰۳ ادامه داشت.</w:t>
      </w:r>
    </w:p>
    <w:p>
      <w:pPr>
        <w:spacing w:after="28" w:line="216" w:lineRule="auto"/>
        <w:ind w:left="259"/>
        <w:jc w:val="left"/>
      </w:pPr>
      <w:r>
        <w:rPr>
          <w:rFonts w:ascii="Arial" w:hAnsi="Arial"/>
          <w:color w:val="525252"/>
          <w:sz w:val="13"/>
        </w:rPr>
        <w:t>Operation Southern Watch began on 27 August 1992 and lasted until 19 March 2003.</w:t>
      </w:r>
    </w:p>
    <w:p>
      <w:pPr>
        <w:spacing w:after="20" w:line="223" w:lineRule="auto"/>
        <w:jc w:val="right"/>
        <w:bidi/>
      </w:pPr>
      <w:r>
        <w:rPr>
          <w:rFonts w:ascii="Arial" w:hAnsi="Arial"/>
          <w:sz w:val="16"/>
        </w:rPr>
        <w:t>044.24  عملیات دیده بان جنوبی یک روز پس از آن آغاز شد که پرزیدنت بوش در حمایت از قطعنامه ۶۸۸ شورای امنیت سازمان ملل متحد، منطقه پرواز ممنوع را در جنوب عراق اعلام کرد تا از فعالیت نظامی مجدد عراق در نزدیکی کویت جلوگیری کند.</w:t>
      </w:r>
    </w:p>
    <w:p>
      <w:pPr>
        <w:spacing w:after="28" w:line="216" w:lineRule="auto"/>
        <w:ind w:left="259"/>
        <w:jc w:val="left"/>
      </w:pPr>
      <w:r>
        <w:rPr>
          <w:rFonts w:ascii="Arial" w:hAnsi="Arial"/>
          <w:color w:val="525252"/>
          <w:sz w:val="13"/>
        </w:rPr>
        <w:t>Operation Southern Watch began one day after President Bush announced a no-fly zone in Southern Iraq in support of United Nations Security Council Resolution 688, to discourage renewed Iraqi military activity near Kuwait.</w:t>
      </w:r>
    </w:p>
    <w:p>
      <w:pPr>
        <w:spacing w:after="20" w:line="223" w:lineRule="auto"/>
        <w:jc w:val="right"/>
        <w:bidi/>
      </w:pPr>
      <w:r>
        <w:rPr>
          <w:rFonts w:ascii="Arial" w:hAnsi="Arial"/>
          <w:sz w:val="16"/>
        </w:rPr>
        <w:t>044.25  این قطعنامه از مسلمانان شیعه در برابر حملات هوایی رژیم عراق محافظت کرد.</w:t>
      </w:r>
    </w:p>
    <w:p>
      <w:pPr>
        <w:spacing w:after="28" w:line="216" w:lineRule="auto"/>
        <w:ind w:left="259"/>
        <w:jc w:val="left"/>
      </w:pPr>
      <w:r>
        <w:rPr>
          <w:rFonts w:ascii="Arial" w:hAnsi="Arial"/>
          <w:color w:val="525252"/>
          <w:sz w:val="13"/>
        </w:rPr>
        <w:t>The resolution protected Shiite Muslims under aerial attack from the Iraqi regime.</w:t>
      </w:r>
    </w:p>
    <w:p>
      <w:pPr>
        <w:spacing w:after="20" w:line="223" w:lineRule="auto"/>
        <w:jc w:val="right"/>
        <w:bidi/>
      </w:pPr>
      <w:r>
        <w:rPr>
          <w:rFonts w:ascii="Arial" w:hAnsi="Arial"/>
          <w:sz w:val="16"/>
        </w:rPr>
        <w:t>044.26  عملیات دیده بان شمالی توسط رئیس جمهور ویلیام جی کلینتون برای ایجاد مناطق پرواز ممنوع در شمال موازی ۳۶ آغاز شد.</w:t>
      </w:r>
    </w:p>
    <w:p>
      <w:pPr>
        <w:spacing w:after="28" w:line="216" w:lineRule="auto"/>
        <w:ind w:left="259"/>
        <w:jc w:val="left"/>
      </w:pPr>
      <w:r>
        <w:rPr>
          <w:rFonts w:ascii="Arial" w:hAnsi="Arial"/>
          <w:color w:val="525252"/>
          <w:sz w:val="13"/>
        </w:rPr>
        <w:t>Operation Northern Watch was initiated by President William J. Clinton to establish no-fly zones north of the 36th parallel.</w:t>
      </w:r>
    </w:p>
    <w:p>
      <w:pPr>
        <w:spacing w:after="20" w:line="223" w:lineRule="auto"/>
        <w:jc w:val="right"/>
        <w:bidi/>
      </w:pPr>
      <w:r>
        <w:rPr>
          <w:rFonts w:ascii="Arial" w:hAnsi="Arial"/>
          <w:sz w:val="16"/>
        </w:rPr>
        <w:t>044.27  گسترش به این معنی بود که بیشتر حریم هوایی عراق در مناطق پرواز ممنوع سقوط کرد.</w:t>
      </w:r>
    </w:p>
    <w:p>
      <w:pPr>
        <w:spacing w:after="28" w:line="216" w:lineRule="auto"/>
        <w:ind w:left="259"/>
        <w:jc w:val="left"/>
      </w:pPr>
      <w:r>
        <w:rPr>
          <w:rFonts w:ascii="Arial" w:hAnsi="Arial"/>
          <w:color w:val="525252"/>
          <w:sz w:val="13"/>
        </w:rPr>
        <w:t>The expansion meant that most of Iraqi airspace fell into no-fly zones.</w:t>
      </w:r>
    </w:p>
    <w:p>
      <w:pPr>
        <w:spacing w:after="20" w:line="223" w:lineRule="auto"/>
        <w:jc w:val="right"/>
        <w:bidi/>
      </w:pPr>
      <w:r>
        <w:rPr>
          <w:rFonts w:ascii="Arial" w:hAnsi="Arial"/>
          <w:sz w:val="16"/>
        </w:rPr>
        <w:t>044.28  عملیات دیده بان شمالی تا ۱۷ مارس ۲۰۰۳ ادامه داشت.</w:t>
      </w:r>
    </w:p>
    <w:p>
      <w:pPr>
        <w:spacing w:after="28" w:line="216" w:lineRule="auto"/>
        <w:ind w:left="259"/>
        <w:jc w:val="left"/>
      </w:pPr>
      <w:r>
        <w:rPr>
          <w:rFonts w:ascii="Arial" w:hAnsi="Arial"/>
          <w:color w:val="525252"/>
          <w:sz w:val="13"/>
        </w:rPr>
        <w:t>Operation Northern Watch lasted until 17 March 2003.</w:t>
      </w:r>
    </w:p>
    <w:p>
      <w:pPr>
        <w:spacing w:before="60" w:after="28"/>
        <w:jc w:val="right"/>
        <w:bidi/>
      </w:pPr>
      <w:r>
        <w:rPr>
          <w:b/>
          <w:color w:val="1F4D78"/>
          <w:sz w:val="18"/>
        </w:rPr>
        <w:t>شکل 3.2.</w:t>
      </w:r>
    </w:p>
    <w:p>
      <w:pPr>
        <w:spacing w:after="20"/>
        <w:ind w:left="259"/>
        <w:jc w:val="left"/>
      </w:pPr>
      <w:r>
        <w:rPr>
          <w:color w:val="555555"/>
          <w:sz w:val="12"/>
        </w:rPr>
        <w:t>Figure 3.2.</w:t>
      </w:r>
    </w:p>
    <w:p>
      <w:pPr>
        <w:spacing w:after="20" w:line="223" w:lineRule="auto"/>
        <w:jc w:val="right"/>
        <w:bidi/>
      </w:pPr>
      <w:r>
        <w:rPr>
          <w:rFonts w:ascii="Arial" w:hAnsi="Arial"/>
          <w:sz w:val="16"/>
        </w:rPr>
        <w:t>044.30  مناطق پرواز ممنوع عراق دو روز قبل از شروع عملیات آزادی عراق رسما پایان یافت.</w:t>
      </w:r>
    </w:p>
    <w:p>
      <w:pPr>
        <w:spacing w:after="28" w:line="216" w:lineRule="auto"/>
        <w:ind w:left="259"/>
        <w:jc w:val="left"/>
      </w:pPr>
      <w:r>
        <w:rPr>
          <w:rFonts w:ascii="Arial" w:hAnsi="Arial"/>
          <w:color w:val="525252"/>
          <w:sz w:val="13"/>
        </w:rPr>
        <w:t>Iraq No-Fly Zones It officially ended two days before Operation Iraqi Freedom began.</w:t>
      </w:r>
    </w:p>
    <w:p>
      <w:pPr>
        <w:spacing w:before="60" w:after="28"/>
        <w:jc w:val="right"/>
        <w:bidi/>
      </w:pPr>
      <w:r>
        <w:rPr>
          <w:b/>
          <w:color w:val="1F4D78"/>
          <w:sz w:val="18"/>
        </w:rPr>
        <w:t>شکل 3.2. برای نشان دادن مناطق پرواز ممنوع شمالی و جنوبی ارائه شده است.</w:t>
      </w:r>
    </w:p>
    <w:p>
      <w:pPr>
        <w:spacing w:after="20"/>
        <w:ind w:left="259"/>
        <w:jc w:val="left"/>
      </w:pPr>
      <w:r>
        <w:rPr>
          <w:color w:val="555555"/>
          <w:sz w:val="12"/>
        </w:rPr>
        <w:t>Figure 3.2. is provided to show the northern and southern no-fly zones.</w:t>
      </w:r>
    </w:p>
    <w:p>
      <w:r>
        <w:br w:type="page"/>
      </w:r>
    </w:p>
    <w:p>
      <w:pPr>
        <w:spacing w:after="60"/>
        <w:jc w:val="right"/>
        <w:bidi/>
      </w:pPr>
      <w:r>
        <w:rPr>
          <w:rFonts w:ascii="Arial" w:hAnsi="Arial"/>
          <w:b/>
          <w:color w:val="1F4D78"/>
          <w:sz w:val="19"/>
        </w:rPr>
        <w:t>هفتهٔ 45  |  صفحهٔ منبع: 61</w:t>
      </w:r>
    </w:p>
    <w:p>
      <w:pPr>
        <w:spacing w:before="60" w:after="28"/>
        <w:jc w:val="right"/>
        <w:bidi/>
      </w:pPr>
      <w:r>
        <w:rPr>
          <w:b/>
          <w:color w:val="1F4D78"/>
          <w:sz w:val="18"/>
        </w:rPr>
        <w:t>3.15. حمایت نظامی و کمک های بشردوستانه</w:t>
      </w:r>
    </w:p>
    <w:p>
      <w:pPr>
        <w:spacing w:after="20"/>
        <w:ind w:left="259"/>
        <w:jc w:val="left"/>
      </w:pPr>
      <w:r>
        <w:rPr>
          <w:color w:val="555555"/>
          <w:sz w:val="12"/>
        </w:rPr>
        <w:t>3.15. Military Support and Humanitarian Relief</w:t>
      </w:r>
    </w:p>
    <w:p>
      <w:pPr>
        <w:spacing w:after="20" w:line="223" w:lineRule="auto"/>
        <w:jc w:val="right"/>
        <w:bidi/>
      </w:pPr>
      <w:r>
        <w:rPr>
          <w:rFonts w:ascii="Arial" w:hAnsi="Arial"/>
          <w:sz w:val="16"/>
        </w:rPr>
        <w:t>045.02  در حالی که درگیر جنگ خلیج فارس بود، از جمله شرکت در عملیات‌های سال‌های متمادی در منطقه پس از جنگ خلیج‌فارس، USAF همچنین پشتیبانی نظامی و کمک‌های بشردوستانه را در سراسر جهان ارائه می‌کرد.</w:t>
      </w:r>
    </w:p>
    <w:p>
      <w:pPr>
        <w:spacing w:after="28" w:line="216" w:lineRule="auto"/>
        <w:ind w:left="259"/>
        <w:jc w:val="left"/>
      </w:pPr>
      <w:r>
        <w:rPr>
          <w:rFonts w:ascii="Arial" w:hAnsi="Arial"/>
          <w:color w:val="525252"/>
          <w:sz w:val="13"/>
        </w:rPr>
        <w:t>While engaged with the Gulf War, including participation in operations for many years in the region following the Gulf War, the USAF was also providing military support and humanitarian relief around the world.</w:t>
      </w:r>
    </w:p>
    <w:p>
      <w:pPr>
        <w:spacing w:after="20" w:line="223" w:lineRule="auto"/>
        <w:jc w:val="right"/>
        <w:bidi/>
      </w:pPr>
      <w:r>
        <w:rPr>
          <w:rFonts w:ascii="Arial" w:hAnsi="Arial"/>
          <w:sz w:val="16"/>
        </w:rPr>
        <w:t>045.03  طوفان خلیج بنگال و عملیات فرشته دریا.</w:t>
      </w:r>
    </w:p>
    <w:p>
      <w:pPr>
        <w:spacing w:after="28" w:line="216" w:lineRule="auto"/>
        <w:ind w:left="259"/>
        <w:jc w:val="left"/>
      </w:pPr>
      <w:r>
        <w:rPr>
          <w:rFonts w:ascii="Arial" w:hAnsi="Arial"/>
          <w:color w:val="525252"/>
          <w:sz w:val="13"/>
        </w:rPr>
        <w:t>Bay of Bengal Typhoon and Operation Sea Angel.</w:t>
      </w:r>
    </w:p>
    <w:p>
      <w:pPr>
        <w:spacing w:after="20" w:line="223" w:lineRule="auto"/>
        <w:jc w:val="right"/>
        <w:bidi/>
      </w:pPr>
      <w:r>
        <w:rPr>
          <w:rFonts w:ascii="Arial" w:hAnsi="Arial"/>
          <w:sz w:val="16"/>
        </w:rPr>
        <w:t>045.04  علاوه بر جنگ خلیج فارس، USAF تعدادی مأموریت بشردوستانه به کشورهای مختلف در سراسر جهان انجام داد.</w:t>
      </w:r>
    </w:p>
    <w:p>
      <w:pPr>
        <w:spacing w:after="28" w:line="216" w:lineRule="auto"/>
        <w:ind w:left="259"/>
        <w:jc w:val="left"/>
      </w:pPr>
      <w:r>
        <w:rPr>
          <w:rFonts w:ascii="Arial" w:hAnsi="Arial"/>
          <w:color w:val="525252"/>
          <w:sz w:val="13"/>
        </w:rPr>
        <w:t>In addition to the Gulf War, the USAF performed a number of humanitarian missions to various countries around the world.</w:t>
      </w:r>
    </w:p>
    <w:p>
      <w:pPr>
        <w:spacing w:after="20" w:line="223" w:lineRule="auto"/>
        <w:jc w:val="right"/>
        <w:bidi/>
      </w:pPr>
      <w:r>
        <w:rPr>
          <w:rFonts w:ascii="Arial" w:hAnsi="Arial"/>
          <w:sz w:val="16"/>
        </w:rPr>
        <w:t>045.05  در سال ۱۹۹۱، طوفانی با رعد و برق و بادهایی با سرعت ۱۵۰ مایل در ساعت، بر بنگلادش را درنوردید و خساراتی به بار آورد که حدود ۱.۵ میلیارد دلار برآورد شد.</w:t>
      </w:r>
    </w:p>
    <w:p>
      <w:pPr>
        <w:spacing w:after="28" w:line="216" w:lineRule="auto"/>
        <w:ind w:left="259"/>
        <w:jc w:val="left"/>
      </w:pPr>
      <w:r>
        <w:rPr>
          <w:rFonts w:ascii="Arial" w:hAnsi="Arial"/>
          <w:color w:val="525252"/>
          <w:sz w:val="13"/>
        </w:rPr>
        <w:t>In 1991, a typhoon swept over Bangladesh with thunderstorms and winds of up to 150 mph, causing damages estimated to be $1.5 billion.</w:t>
      </w:r>
    </w:p>
    <w:p>
      <w:pPr>
        <w:spacing w:after="20" w:line="223" w:lineRule="auto"/>
        <w:jc w:val="right"/>
        <w:bidi/>
      </w:pPr>
      <w:r>
        <w:rPr>
          <w:rFonts w:ascii="Arial" w:hAnsi="Arial"/>
          <w:sz w:val="16"/>
        </w:rPr>
        <w:t>045.06  طوفان باعث طوفان ۲۰ فوتی در سراسر کشور شد و ۱۳۸۰۰۰ نفر را کشت و خانه‌های بیش از ۱۰ میلیون نفر دیگر را ویران کرد.</w:t>
      </w:r>
    </w:p>
    <w:p>
      <w:pPr>
        <w:spacing w:after="28" w:line="216" w:lineRule="auto"/>
        <w:ind w:left="259"/>
        <w:jc w:val="left"/>
      </w:pPr>
      <w:r>
        <w:rPr>
          <w:rFonts w:ascii="Arial" w:hAnsi="Arial"/>
          <w:color w:val="525252"/>
          <w:sz w:val="13"/>
        </w:rPr>
        <w:t>The typhoon caused a 20-foot storm surge over the country, killing 138,000 people and destroying homes of more than 10 million others.</w:t>
      </w:r>
    </w:p>
    <w:p>
      <w:pPr>
        <w:spacing w:after="20" w:line="223" w:lineRule="auto"/>
        <w:jc w:val="right"/>
        <w:bidi/>
      </w:pPr>
      <w:r>
        <w:rPr>
          <w:rFonts w:ascii="Arial" w:hAnsi="Arial"/>
          <w:sz w:val="16"/>
        </w:rPr>
        <w:t>045.07  در پاسخ به ویرانی، هوانوردان، تفنگداران دریایی و ملوانان، ۳۰۰۰ تن آذوقه را طی عملیات سا انگل به بنگلادش تحویل دادند.</w:t>
      </w:r>
    </w:p>
    <w:p>
      <w:pPr>
        <w:spacing w:after="28" w:line="216" w:lineRule="auto"/>
        <w:ind w:left="259"/>
        <w:jc w:val="left"/>
      </w:pPr>
      <w:r>
        <w:rPr>
          <w:rFonts w:ascii="Arial" w:hAnsi="Arial"/>
          <w:color w:val="525252"/>
          <w:sz w:val="13"/>
        </w:rPr>
        <w:t>In response to the devastation, the Airmen, Marines, and Sailors, delivered 3,000 tons of supplies to Bangladesh during Operation Sea Angel.</w:t>
      </w:r>
    </w:p>
    <w:p>
      <w:pPr>
        <w:spacing w:after="20" w:line="223" w:lineRule="auto"/>
        <w:jc w:val="right"/>
        <w:bidi/>
      </w:pPr>
      <w:r>
        <w:rPr>
          <w:rFonts w:ascii="Arial" w:hAnsi="Arial"/>
          <w:sz w:val="16"/>
        </w:rPr>
        <w:t>045.08  پشتیبانی و عملیات اتحاد جماهیر شوروی امید می‌دهد.</w:t>
      </w:r>
    </w:p>
    <w:p>
      <w:pPr>
        <w:spacing w:after="28" w:line="216" w:lineRule="auto"/>
        <w:ind w:left="259"/>
        <w:jc w:val="left"/>
      </w:pPr>
      <w:r>
        <w:rPr>
          <w:rFonts w:ascii="Arial" w:hAnsi="Arial"/>
          <w:color w:val="525252"/>
          <w:sz w:val="13"/>
        </w:rPr>
        <w:t>Soviet Union Support and Operation Provide Hope.</w:t>
      </w:r>
    </w:p>
    <w:p>
      <w:pPr>
        <w:spacing w:after="20" w:line="223" w:lineRule="auto"/>
        <w:jc w:val="right"/>
        <w:bidi/>
      </w:pPr>
      <w:r>
        <w:rPr>
          <w:rFonts w:ascii="Arial" w:hAnsi="Arial"/>
          <w:sz w:val="16"/>
        </w:rPr>
        <w:t>045.09  عملیات ارائه امید در سال ۱۹۹۲ آغاز شد.</w:t>
      </w:r>
    </w:p>
    <w:p>
      <w:pPr>
        <w:spacing w:after="28" w:line="216" w:lineRule="auto"/>
        <w:ind w:left="259"/>
        <w:jc w:val="left"/>
      </w:pPr>
      <w:r>
        <w:rPr>
          <w:rFonts w:ascii="Arial" w:hAnsi="Arial"/>
          <w:color w:val="525252"/>
          <w:sz w:val="13"/>
        </w:rPr>
        <w:t>Operation Provide Hope began in 1992.</w:t>
      </w:r>
    </w:p>
    <w:p>
      <w:pPr>
        <w:spacing w:after="20" w:line="223" w:lineRule="auto"/>
        <w:jc w:val="right"/>
        <w:bidi/>
      </w:pPr>
      <w:r>
        <w:rPr>
          <w:rFonts w:ascii="Arial" w:hAnsi="Arial"/>
          <w:sz w:val="16"/>
        </w:rPr>
        <w:t>045.10  اتحاد جماهیر شوروی سابق در حال گذار از یک کشور کمونیستی به یک کشور سرمایه داری بود که بسیاری از جمعیت خود را برای بقا در تلاش بودند.</w:t>
      </w:r>
    </w:p>
    <w:p>
      <w:pPr>
        <w:spacing w:after="28" w:line="216" w:lineRule="auto"/>
        <w:ind w:left="259"/>
        <w:jc w:val="left"/>
      </w:pPr>
      <w:r>
        <w:rPr>
          <w:rFonts w:ascii="Arial" w:hAnsi="Arial"/>
          <w:color w:val="525252"/>
          <w:sz w:val="13"/>
        </w:rPr>
        <w:t>The former Soviet Union was transitioning from a Communist country to a capitalist nation that left much of its population struggling for survival.</w:t>
      </w:r>
    </w:p>
    <w:p>
      <w:pPr>
        <w:spacing w:after="20" w:line="223" w:lineRule="auto"/>
        <w:jc w:val="right"/>
        <w:bidi/>
      </w:pPr>
      <w:r>
        <w:rPr>
          <w:rFonts w:ascii="Arial" w:hAnsi="Arial"/>
          <w:sz w:val="16"/>
        </w:rPr>
        <w:t>045.11  نه تنها مردم ساکن در پایتخت‌ها در رنج بودند، بلکه در شهرهای دوردست نیز نیاز مبرمی به حمایت داشتند.</w:t>
      </w:r>
    </w:p>
    <w:p>
      <w:pPr>
        <w:spacing w:after="28" w:line="216" w:lineRule="auto"/>
        <w:ind w:left="259"/>
        <w:jc w:val="left"/>
      </w:pPr>
      <w:r>
        <w:rPr>
          <w:rFonts w:ascii="Arial" w:hAnsi="Arial"/>
          <w:color w:val="525252"/>
          <w:sz w:val="13"/>
        </w:rPr>
        <w:t>Not only were people living in the capital cities suffering, but there was also dire need of support in the outlying cities as well.</w:t>
      </w:r>
    </w:p>
    <w:p>
      <w:pPr>
        <w:spacing w:after="20" w:line="223" w:lineRule="auto"/>
        <w:jc w:val="right"/>
        <w:bidi/>
      </w:pPr>
      <w:r>
        <w:rPr>
          <w:rFonts w:ascii="Arial" w:hAnsi="Arial"/>
          <w:sz w:val="16"/>
        </w:rPr>
        <w:t>045.12  مأموریت حمل و نقل هوایی عملیات ارائه امید تقریبا دو هفته به طول انجامید و تلاش‌های مداوم برای کمک به ایجاد خدمات پزشکی پایدار تقریبا دو سال به طول انجامید.</w:t>
      </w:r>
    </w:p>
    <w:p>
      <w:pPr>
        <w:spacing w:after="28" w:line="216" w:lineRule="auto"/>
        <w:ind w:left="259"/>
        <w:jc w:val="left"/>
      </w:pPr>
      <w:r>
        <w:rPr>
          <w:rFonts w:ascii="Arial" w:hAnsi="Arial"/>
          <w:color w:val="525252"/>
          <w:sz w:val="13"/>
        </w:rPr>
        <w:t>The Operation Provide Hope airlift mission lasted approximately two weeks, with the ongoing efforts of helping build sustainable medical services lasting almost two years.</w:t>
      </w:r>
    </w:p>
    <w:p>
      <w:pPr>
        <w:spacing w:after="20" w:line="223" w:lineRule="auto"/>
        <w:jc w:val="right"/>
        <w:bidi/>
      </w:pPr>
      <w:r>
        <w:rPr>
          <w:rFonts w:ascii="Arial" w:hAnsi="Arial"/>
          <w:sz w:val="16"/>
        </w:rPr>
        <w:t>045.13  این عملیات در نهایت ۲۵۰۰۰ تن غذا، دارو و محموله‌های دیگر را در اختیار اتحاد جماهیر شوروی سابق قرار داد.</w:t>
      </w:r>
    </w:p>
    <w:p>
      <w:pPr>
        <w:spacing w:after="28" w:line="216" w:lineRule="auto"/>
        <w:ind w:left="259"/>
        <w:jc w:val="left"/>
      </w:pPr>
      <w:r>
        <w:rPr>
          <w:rFonts w:ascii="Arial" w:hAnsi="Arial"/>
          <w:color w:val="525252"/>
          <w:sz w:val="13"/>
        </w:rPr>
        <w:t>The operation ultimately provided 25,000 tons of food, medicine, and other cargo to the former Soviet Union.</w:t>
      </w:r>
    </w:p>
    <w:p>
      <w:pPr>
        <w:spacing w:after="20" w:line="223" w:lineRule="auto"/>
        <w:jc w:val="right"/>
        <w:bidi/>
      </w:pPr>
      <w:r>
        <w:rPr>
          <w:rFonts w:ascii="Arial" w:hAnsi="Arial"/>
          <w:sz w:val="16"/>
        </w:rPr>
        <w:t>045.14  امداد و عملیات سومالی امداد رسانی می‌کند.</w:t>
      </w:r>
    </w:p>
    <w:p>
      <w:pPr>
        <w:spacing w:after="28" w:line="216" w:lineRule="auto"/>
        <w:ind w:left="259"/>
        <w:jc w:val="left"/>
      </w:pPr>
      <w:r>
        <w:rPr>
          <w:rFonts w:ascii="Arial" w:hAnsi="Arial"/>
          <w:color w:val="525252"/>
          <w:sz w:val="13"/>
        </w:rPr>
        <w:t>Somalia Relief and Operation Provide Relief.</w:t>
      </w:r>
    </w:p>
    <w:p>
      <w:pPr>
        <w:spacing w:after="20" w:line="223" w:lineRule="auto"/>
        <w:jc w:val="right"/>
        <w:bidi/>
      </w:pPr>
      <w:r>
        <w:rPr>
          <w:rFonts w:ascii="Arial" w:hAnsi="Arial"/>
          <w:sz w:val="16"/>
        </w:rPr>
        <w:t>045.15  در سال ۱۹۹۲، ناآرامی‌ها در پی یک جنگ داخلی دو ساله منجر به قحطی در سومالی شد که منجر به کشته شدن ۳۵۰۰۰۰ نفر شد.</w:t>
      </w:r>
    </w:p>
    <w:p>
      <w:pPr>
        <w:spacing w:after="28" w:line="216" w:lineRule="auto"/>
        <w:ind w:left="259"/>
        <w:jc w:val="left"/>
      </w:pPr>
      <w:r>
        <w:rPr>
          <w:rFonts w:ascii="Arial" w:hAnsi="Arial"/>
          <w:color w:val="525252"/>
          <w:sz w:val="13"/>
        </w:rPr>
        <w:t>In 1992, unrest in the wake of a two-year civil war contributed to a famine in Somalia that killed up to 350,000 people.</w:t>
      </w:r>
    </w:p>
    <w:p>
      <w:pPr>
        <w:spacing w:after="20" w:line="223" w:lineRule="auto"/>
        <w:jc w:val="right"/>
        <w:bidi/>
      </w:pPr>
      <w:r>
        <w:rPr>
          <w:rFonts w:ascii="Arial" w:hAnsi="Arial"/>
          <w:sz w:val="16"/>
        </w:rPr>
        <w:t>045.16  حدود ۸۰۰۰۰ پناهنده از کشور آسیب دیده فرار کردند.</w:t>
      </w:r>
    </w:p>
    <w:p>
      <w:pPr>
        <w:spacing w:after="28" w:line="216" w:lineRule="auto"/>
        <w:ind w:left="259"/>
        <w:jc w:val="left"/>
      </w:pPr>
      <w:r>
        <w:rPr>
          <w:rFonts w:ascii="Arial" w:hAnsi="Arial"/>
          <w:color w:val="525252"/>
          <w:sz w:val="13"/>
        </w:rPr>
        <w:t>As many as 80,000 refugees fled the stricken country.</w:t>
      </w:r>
    </w:p>
    <w:p>
      <w:pPr>
        <w:spacing w:after="20" w:line="223" w:lineRule="auto"/>
        <w:jc w:val="right"/>
        <w:bidi/>
      </w:pPr>
      <w:r>
        <w:rPr>
          <w:rFonts w:ascii="Arial" w:hAnsi="Arial"/>
          <w:sz w:val="16"/>
        </w:rPr>
        <w:t>045.17  سازمان ملل متحد در جولای ۱۹۹۲ یک تلاش امدادی را برای رسیدگی به رنج پناهندگان در نزدیکی مرز کنیا و سومالی و در خود سومالی رهبری کرد.</w:t>
      </w:r>
    </w:p>
    <w:p>
      <w:pPr>
        <w:spacing w:after="28" w:line="216" w:lineRule="auto"/>
        <w:ind w:left="259"/>
        <w:jc w:val="left"/>
      </w:pPr>
      <w:r>
        <w:rPr>
          <w:rFonts w:ascii="Arial" w:hAnsi="Arial"/>
          <w:color w:val="525252"/>
          <w:sz w:val="13"/>
        </w:rPr>
        <w:t>The United Nations led a relief effort in July 1992 to address the suffering of refugees near the Kenya-Somalia border and in Somalia itself.</w:t>
      </w:r>
    </w:p>
    <w:p>
      <w:pPr>
        <w:spacing w:after="20" w:line="223" w:lineRule="auto"/>
        <w:jc w:val="right"/>
        <w:bidi/>
      </w:pPr>
      <w:r>
        <w:rPr>
          <w:rFonts w:ascii="Arial" w:hAnsi="Arial"/>
          <w:sz w:val="16"/>
        </w:rPr>
        <w:t>045.18  ایالات متحده دو ماه بعد عملیات تأمین امداد را آغاز کرد.</w:t>
      </w:r>
    </w:p>
    <w:p>
      <w:pPr>
        <w:spacing w:after="28" w:line="216" w:lineRule="auto"/>
        <w:ind w:left="259"/>
        <w:jc w:val="left"/>
      </w:pPr>
      <w:r>
        <w:rPr>
          <w:rFonts w:ascii="Arial" w:hAnsi="Arial"/>
          <w:color w:val="525252"/>
          <w:sz w:val="13"/>
        </w:rPr>
        <w:t>The United States initiated Operation Provide Relief two months later.</w:t>
      </w:r>
    </w:p>
    <w:p>
      <w:pPr>
        <w:spacing w:after="20" w:line="223" w:lineRule="auto"/>
        <w:jc w:val="right"/>
        <w:bidi/>
      </w:pPr>
      <w:r>
        <w:rPr>
          <w:rFonts w:ascii="Arial" w:hAnsi="Arial"/>
          <w:sz w:val="16"/>
        </w:rPr>
        <w:t>045.19  تا دسامبر، ۱۹۰۰۰ تن غذا به منطقه منتقل شد، اغلب در زیر تگرگ آتش سلاح‌های سبک.</w:t>
      </w:r>
    </w:p>
    <w:p>
      <w:pPr>
        <w:spacing w:after="28" w:line="216" w:lineRule="auto"/>
        <w:ind w:left="259"/>
        <w:jc w:val="left"/>
      </w:pPr>
      <w:r>
        <w:rPr>
          <w:rFonts w:ascii="Arial" w:hAnsi="Arial"/>
          <w:color w:val="525252"/>
          <w:sz w:val="13"/>
        </w:rPr>
        <w:t>By December, 19,000 tons of food were airlifted into the region, often under the hail of small arms fire.</w:t>
      </w:r>
    </w:p>
    <w:p>
      <w:pPr>
        <w:spacing w:after="20" w:line="223" w:lineRule="auto"/>
        <w:jc w:val="right"/>
        <w:bidi/>
      </w:pPr>
      <w:r>
        <w:rPr>
          <w:rFonts w:ascii="Arial" w:hAnsi="Arial"/>
          <w:sz w:val="16"/>
        </w:rPr>
        <w:t>045.20  جنگ داخلی و جنگ قبیله‌ای مانع از آن شد که بسیاری از آذوقه‌ها به دست کسانی برسد که به شدت به آنها نیاز داشتند.</w:t>
      </w:r>
    </w:p>
    <w:p>
      <w:pPr>
        <w:spacing w:after="28" w:line="216" w:lineRule="auto"/>
        <w:ind w:left="259"/>
        <w:jc w:val="left"/>
      </w:pPr>
      <w:r>
        <w:rPr>
          <w:rFonts w:ascii="Arial" w:hAnsi="Arial"/>
          <w:color w:val="525252"/>
          <w:sz w:val="13"/>
        </w:rPr>
        <w:t>Civil war and clan fighting prevented much of the supplies from getting into the hands of those who desperately needed them.</w:t>
      </w:r>
    </w:p>
    <w:p>
      <w:pPr>
        <w:spacing w:after="20" w:line="223" w:lineRule="auto"/>
        <w:jc w:val="right"/>
        <w:bidi/>
      </w:pPr>
      <w:r>
        <w:rPr>
          <w:rFonts w:ascii="Arial" w:hAnsi="Arial"/>
          <w:sz w:val="16"/>
        </w:rPr>
        <w:t>045.21  امداد و عملیات سومالیا یمپرسسیو لیفت &amp; رستور هوپ ی. در سپتامبر ۱۹۹۲، برای رسیدگی به مسائل قحطی در سومالی، ایالات متحده عملیات آسانسور تأثیرگذار را برای انتقال هوایی صدها سرباز پاکستانی تحت پرچم سازمان ملل برای ارائه کمک به سومالی آغاز کرد.</w:t>
      </w:r>
    </w:p>
    <w:p>
      <w:pPr>
        <w:spacing w:after="28" w:line="216" w:lineRule="auto"/>
        <w:ind w:left="259"/>
        <w:jc w:val="left"/>
      </w:pPr>
      <w:r>
        <w:rPr>
          <w:rFonts w:ascii="Arial" w:hAnsi="Arial"/>
          <w:color w:val="525252"/>
          <w:sz w:val="13"/>
        </w:rPr>
        <w:t>Somalia Relief and Operations Impressive Lift &amp; Restore Hope I. In September 1992, to address the issues of famine in Somalia, the United States initiated Operation Impressive Lift to airlift hundreds of Pakistani soldiers under the United Nations banner to provide aid in Somalia.</w:t>
      </w:r>
    </w:p>
    <w:p>
      <w:pPr>
        <w:spacing w:after="20" w:line="223" w:lineRule="auto"/>
        <w:jc w:val="right"/>
        <w:bidi/>
      </w:pPr>
      <w:r>
        <w:rPr>
          <w:rFonts w:ascii="Arial" w:hAnsi="Arial"/>
          <w:sz w:val="16"/>
        </w:rPr>
        <w:t>045.22  با وجود تلاش‌ها و افزایش امنیت سازمان ملل، مشکلات همچنان ادامه داشت.</w:t>
      </w:r>
    </w:p>
    <w:p>
      <w:pPr>
        <w:spacing w:after="28" w:line="216" w:lineRule="auto"/>
        <w:ind w:left="259"/>
        <w:jc w:val="left"/>
      </w:pPr>
      <w:r>
        <w:rPr>
          <w:rFonts w:ascii="Arial" w:hAnsi="Arial"/>
          <w:color w:val="525252"/>
          <w:sz w:val="13"/>
        </w:rPr>
        <w:t>Despite efforts and increased security from the United Nations, the problems continued.</w:t>
      </w:r>
    </w:p>
    <w:p>
      <w:pPr>
        <w:spacing w:after="20" w:line="223" w:lineRule="auto"/>
        <w:jc w:val="right"/>
        <w:bidi/>
      </w:pPr>
      <w:r>
        <w:rPr>
          <w:rFonts w:ascii="Arial" w:hAnsi="Arial"/>
          <w:sz w:val="16"/>
        </w:rPr>
        <w:t>045.23  در ۴ دسامبر ۱۹۹۲، پرزیدنت بوش به عملیات بازگرداندن امید اجازه داد تا نظم را در سومالی برقرار کند تا غذا به دست نیازمندان برسد.</w:t>
      </w:r>
    </w:p>
    <w:p>
      <w:pPr>
        <w:spacing w:after="28" w:line="216" w:lineRule="auto"/>
        <w:ind w:left="259"/>
        <w:jc w:val="left"/>
      </w:pPr>
      <w:r>
        <w:rPr>
          <w:rFonts w:ascii="Arial" w:hAnsi="Arial"/>
          <w:color w:val="525252"/>
          <w:sz w:val="13"/>
        </w:rPr>
        <w:t>On 4 December 1992, President Bush authorized Operation Restore Hope to establish order in Somalia so that food could reach those in need.</w:t>
      </w:r>
    </w:p>
    <w:p>
      <w:pPr>
        <w:spacing w:after="20" w:line="223" w:lineRule="auto"/>
        <w:jc w:val="right"/>
        <w:bidi/>
      </w:pPr>
      <w:r>
        <w:rPr>
          <w:rFonts w:ascii="Arial" w:hAnsi="Arial"/>
          <w:sz w:val="16"/>
        </w:rPr>
        <w:t>045.24  با حضور تفنگداران دریایی ایالات متحده روی زمین و با کنترل فرودگاه، پروازها از سر گرفته شدند.</w:t>
      </w:r>
    </w:p>
    <w:p>
      <w:pPr>
        <w:spacing w:after="28" w:line="216" w:lineRule="auto"/>
        <w:ind w:left="259"/>
        <w:jc w:val="left"/>
      </w:pPr>
      <w:r>
        <w:rPr>
          <w:rFonts w:ascii="Arial" w:hAnsi="Arial"/>
          <w:color w:val="525252"/>
          <w:sz w:val="13"/>
        </w:rPr>
        <w:t>With U.S. Marines on the ground and with control of the airport, flights were able to resume.</w:t>
      </w:r>
    </w:p>
    <w:p>
      <w:pPr>
        <w:spacing w:after="20" w:line="223" w:lineRule="auto"/>
        <w:jc w:val="right"/>
        <w:bidi/>
      </w:pPr>
      <w:r>
        <w:rPr>
          <w:rFonts w:ascii="Arial" w:hAnsi="Arial"/>
          <w:sz w:val="16"/>
        </w:rPr>
        <w:t>045.25  در طول عملیات بازگرداندن امید، ما ۳۲۰۰۰ نفر از سربازان خود را به سومالی منتقل کردیم.</w:t>
      </w:r>
    </w:p>
    <w:p>
      <w:pPr>
        <w:spacing w:after="28" w:line="216" w:lineRule="auto"/>
        <w:ind w:left="259"/>
        <w:jc w:val="left"/>
      </w:pPr>
      <w:r>
        <w:rPr>
          <w:rFonts w:ascii="Arial" w:hAnsi="Arial"/>
          <w:color w:val="525252"/>
          <w:sz w:val="13"/>
        </w:rPr>
        <w:t>During Operation Restore Hope, we airlifted 32,000 of our troops into Somalia.</w:t>
      </w:r>
    </w:p>
    <w:p>
      <w:pPr>
        <w:spacing w:after="20" w:line="223" w:lineRule="auto"/>
        <w:jc w:val="right"/>
        <w:bidi/>
      </w:pPr>
      <w:r>
        <w:rPr>
          <w:rFonts w:ascii="Arial" w:hAnsi="Arial"/>
          <w:sz w:val="16"/>
        </w:rPr>
        <w:t>045.26  تا ۴ مه ۱۹۹۳، کمتر از ۵۰۰۰ مورد باقی مانده بود که به‌طور رسمی پایان یافت.</w:t>
      </w:r>
    </w:p>
    <w:p>
      <w:pPr>
        <w:spacing w:after="28" w:line="216" w:lineRule="auto"/>
        <w:ind w:left="259"/>
        <w:jc w:val="left"/>
      </w:pPr>
      <w:r>
        <w:rPr>
          <w:rFonts w:ascii="Arial" w:hAnsi="Arial"/>
          <w:color w:val="525252"/>
          <w:sz w:val="13"/>
        </w:rPr>
        <w:t>By 4 May 1993, fewer than 5,000 remained when it officially ended.</w:t>
      </w:r>
    </w:p>
    <w:p>
      <w:pPr>
        <w:spacing w:after="20" w:line="223" w:lineRule="auto"/>
        <w:jc w:val="right"/>
        <w:bidi/>
      </w:pPr>
      <w:r>
        <w:rPr>
          <w:rFonts w:ascii="Arial" w:hAnsi="Arial"/>
          <w:sz w:val="16"/>
        </w:rPr>
        <w:t>045.27  امداد سومالی و عملیات بازگرداندن امید دوم.</w:t>
      </w:r>
    </w:p>
    <w:p>
      <w:pPr>
        <w:spacing w:after="28" w:line="216" w:lineRule="auto"/>
        <w:ind w:left="259"/>
        <w:jc w:val="left"/>
      </w:pPr>
      <w:r>
        <w:rPr>
          <w:rFonts w:ascii="Arial" w:hAnsi="Arial"/>
          <w:color w:val="525252"/>
          <w:sz w:val="13"/>
        </w:rPr>
        <w:t>Somalia Relief and Operation Restore Hope II.</w:t>
      </w:r>
    </w:p>
    <w:p>
      <w:pPr>
        <w:spacing w:after="20" w:line="223" w:lineRule="auto"/>
        <w:jc w:val="right"/>
        <w:bidi/>
      </w:pPr>
      <w:r>
        <w:rPr>
          <w:rFonts w:ascii="Arial" w:hAnsi="Arial"/>
          <w:sz w:val="16"/>
        </w:rPr>
        <w:t>045.28  پس از پایان عملیات بازگرداندن امید، درگیری‌های جناحی در سومالی ادامه یافت و باعث شد تلاش‌های امدادی دوباره از بین برود.</w:t>
      </w:r>
    </w:p>
    <w:p>
      <w:pPr>
        <w:spacing w:after="28" w:line="216" w:lineRule="auto"/>
        <w:ind w:left="259"/>
        <w:jc w:val="left"/>
      </w:pPr>
      <w:r>
        <w:rPr>
          <w:rFonts w:ascii="Arial" w:hAnsi="Arial"/>
          <w:color w:val="525252"/>
          <w:sz w:val="13"/>
        </w:rPr>
        <w:t>After Operation Restore Hope ended, factional fighting within Somalia continued, causing relief efforts to unravel yet again.</w:t>
      </w:r>
    </w:p>
    <w:p>
      <w:pPr>
        <w:spacing w:after="20" w:line="223" w:lineRule="auto"/>
        <w:jc w:val="right"/>
        <w:bidi/>
      </w:pPr>
      <w:r>
        <w:rPr>
          <w:rFonts w:ascii="Arial" w:hAnsi="Arial"/>
          <w:sz w:val="16"/>
        </w:rPr>
        <w:t>045.29  در ۳ اکتبر ۱۹۹۳، نیروهای ویژه ایالات متحده، برای دستگیری اعضای یک قبیله خطرناک و مخرب، به سومالی بازگشتند.</w:t>
      </w:r>
    </w:p>
    <w:p>
      <w:pPr>
        <w:spacing w:after="28" w:line="216" w:lineRule="auto"/>
        <w:ind w:left="259"/>
        <w:jc w:val="left"/>
      </w:pPr>
      <w:r>
        <w:rPr>
          <w:rFonts w:ascii="Arial" w:hAnsi="Arial"/>
          <w:color w:val="525252"/>
          <w:sz w:val="13"/>
        </w:rPr>
        <w:t>On 3 October 1993, U.S. Special Forces, to capture members of a dangerous, disruptive clan, returned to Somalia.</w:t>
      </w:r>
    </w:p>
    <w:p>
      <w:pPr>
        <w:spacing w:after="20" w:line="223" w:lineRule="auto"/>
        <w:jc w:val="right"/>
        <w:bidi/>
      </w:pPr>
      <w:r>
        <w:rPr>
          <w:rFonts w:ascii="Arial" w:hAnsi="Arial"/>
          <w:sz w:val="16"/>
        </w:rPr>
        <w:t>045.30  تیم ۱۸ پرسنل خود را از دست داد و ۸۴ مجروح داشت.</w:t>
      </w:r>
    </w:p>
    <w:p>
      <w:pPr>
        <w:spacing w:after="28" w:line="216" w:lineRule="auto"/>
        <w:ind w:left="259"/>
        <w:jc w:val="left"/>
      </w:pPr>
      <w:r>
        <w:rPr>
          <w:rFonts w:ascii="Arial" w:hAnsi="Arial"/>
          <w:color w:val="525252"/>
          <w:sz w:val="13"/>
        </w:rPr>
        <w:t>The team lost 18 personnel and suffered 84 wounded.</w:t>
      </w:r>
    </w:p>
    <w:p>
      <w:pPr>
        <w:spacing w:after="20" w:line="223" w:lineRule="auto"/>
        <w:jc w:val="right"/>
        <w:bidi/>
      </w:pPr>
      <w:r>
        <w:rPr>
          <w:rFonts w:ascii="Arial" w:hAnsi="Arial"/>
          <w:sz w:val="16"/>
        </w:rPr>
        <w:t>045.31  در پاسخ، در طول عملیات بازگرداندن امید II، ما ۱۷۰۰ نفر از نیروهای خود و ۳۱۰۰ تن محموله را بین ۵ تا ۱۳ اکتبر ۱۹۹۳ به موگادیشو منتقل کردیم تا وضعیت را تثبیت کنیم.</w:t>
      </w:r>
    </w:p>
    <w:p>
      <w:pPr>
        <w:spacing w:after="28" w:line="216" w:lineRule="auto"/>
        <w:ind w:left="259"/>
        <w:jc w:val="left"/>
      </w:pPr>
      <w:r>
        <w:rPr>
          <w:rFonts w:ascii="Arial" w:hAnsi="Arial"/>
          <w:color w:val="525252"/>
          <w:sz w:val="13"/>
        </w:rPr>
        <w:t>In response, during Operation Restore Hope II we airlifted 1,700 of our troops and 3,100 tons of cargo into Mogadishu between 5 and 13 October 1993 to stabilize the situation.</w:t>
      </w:r>
    </w:p>
    <w:p>
      <w:pPr>
        <w:spacing w:after="20" w:line="223" w:lineRule="auto"/>
        <w:jc w:val="right"/>
        <w:bidi/>
      </w:pPr>
      <w:r>
        <w:rPr>
          <w:rFonts w:ascii="Arial" w:hAnsi="Arial"/>
          <w:sz w:val="16"/>
        </w:rPr>
        <w:t>045.32  پرزیدنت کلینتون از متعهد ساختن ایالات متحده به ملت سازی خودداری کرد و عملیات بازگرداندن امید ۲ رسما در ۲۵ مارس ۱۹۹۴ پایان یافت، زمانی که آخرین ک-۵ موگادیشو را ترک کرد.</w:t>
      </w:r>
    </w:p>
    <w:p>
      <w:pPr>
        <w:spacing w:after="28" w:line="216" w:lineRule="auto"/>
        <w:ind w:left="259"/>
        <w:jc w:val="left"/>
      </w:pPr>
      <w:r>
        <w:rPr>
          <w:rFonts w:ascii="Arial" w:hAnsi="Arial"/>
          <w:color w:val="525252"/>
          <w:sz w:val="13"/>
        </w:rPr>
        <w:t>President Clinton refused to commit the United States to nation building and Operation Restore Hope II officially ended 25 March 1994 when the last C-5 departed Mogadishu.</w:t>
      </w:r>
    </w:p>
    <w:p>
      <w:pPr>
        <w:spacing w:after="20" w:line="223" w:lineRule="auto"/>
        <w:jc w:val="right"/>
        <w:bidi/>
      </w:pPr>
      <w:r>
        <w:rPr>
          <w:rFonts w:ascii="Arial" w:hAnsi="Arial"/>
          <w:sz w:val="16"/>
        </w:rPr>
        <w:t>045.33  در حالی که عملیات بازگرداندن امید ۲ به نیروهای ما اجازه داد تا بدون تلفات بیشتر از کشور خارج شوند، هرج و مرج حاکم شد و خطر قحطی در سومالی باقی ماند.</w:t>
      </w:r>
    </w:p>
    <w:p>
      <w:pPr>
        <w:spacing w:after="28" w:line="216" w:lineRule="auto"/>
        <w:ind w:left="259"/>
        <w:jc w:val="left"/>
      </w:pPr>
      <w:r>
        <w:rPr>
          <w:rFonts w:ascii="Arial" w:hAnsi="Arial"/>
          <w:color w:val="525252"/>
          <w:sz w:val="13"/>
        </w:rPr>
        <w:t>While Operation Restore Hope II allowed our troops to get out of the country without further casualties, anarchy ruled, and the threat of famine remained in Somalia.</w:t>
      </w:r>
    </w:p>
    <w:p>
      <w:r>
        <w:br w:type="page"/>
      </w:r>
    </w:p>
    <w:p>
      <w:pPr>
        <w:spacing w:after="60"/>
        <w:jc w:val="right"/>
        <w:bidi/>
      </w:pPr>
      <w:r>
        <w:rPr>
          <w:rFonts w:ascii="Arial" w:hAnsi="Arial"/>
          <w:b/>
          <w:color w:val="1F4D78"/>
          <w:sz w:val="19"/>
        </w:rPr>
        <w:t>هفتهٔ 46  |  صفحهٔ منبع: 62</w:t>
      </w:r>
    </w:p>
    <w:p>
      <w:pPr>
        <w:spacing w:after="20" w:line="223" w:lineRule="auto"/>
        <w:jc w:val="right"/>
        <w:bidi/>
      </w:pPr>
      <w:r>
        <w:rPr>
          <w:rFonts w:ascii="Arial" w:hAnsi="Arial"/>
          <w:sz w:val="16"/>
        </w:rPr>
        <w:t>046.01  شجاعت قابل توجه در سومالی، تیموتی ای ویلکینسون.</w:t>
      </w:r>
    </w:p>
    <w:p>
      <w:pPr>
        <w:spacing w:after="28" w:line="216" w:lineRule="auto"/>
        <w:ind w:left="259"/>
        <w:jc w:val="left"/>
      </w:pPr>
      <w:r>
        <w:rPr>
          <w:rFonts w:ascii="Arial" w:hAnsi="Arial"/>
          <w:color w:val="525252"/>
          <w:sz w:val="13"/>
        </w:rPr>
        <w:t>Notable Bravery in Somalia, Timothy A. Wilkinson.</w:t>
      </w:r>
    </w:p>
    <w:p>
      <w:pPr>
        <w:spacing w:after="20" w:line="223" w:lineRule="auto"/>
        <w:jc w:val="right"/>
        <w:bidi/>
      </w:pPr>
      <w:r>
        <w:rPr>
          <w:rFonts w:ascii="Arial" w:hAnsi="Arial"/>
          <w:sz w:val="16"/>
        </w:rPr>
        <w:t>046.02  در اواخر بعدازظهر ۳ اکتبر ۱۹۹۳، تیموتی آ. ویلکینسون، یک نجات‌بخش با اسکادران ۲۴ تاکتیک ویژه، با خدمه خود به سرنگونی یک هلیکوپتر UH-۶۰ در خیابان‌های موگادیشو، سومالی پاسخ داد.</w:t>
      </w:r>
    </w:p>
    <w:p>
      <w:pPr>
        <w:spacing w:after="28" w:line="216" w:lineRule="auto"/>
        <w:ind w:left="259"/>
        <w:jc w:val="left"/>
      </w:pPr>
      <w:r>
        <w:rPr>
          <w:rFonts w:ascii="Arial" w:hAnsi="Arial"/>
          <w:color w:val="525252"/>
          <w:sz w:val="13"/>
        </w:rPr>
        <w:t>In the late afternoon of 3 October 1993, Timothy A. Wilkinson, a pararescueman with the 24th Special Tactics Squadron, responded with his crew to the downing of a UH-60 helicopter in the streets of Mogadishu, Somalia.</w:t>
      </w:r>
    </w:p>
    <w:p>
      <w:pPr>
        <w:spacing w:after="20" w:line="223" w:lineRule="auto"/>
        <w:jc w:val="right"/>
        <w:bidi/>
      </w:pPr>
      <w:r>
        <w:rPr>
          <w:rFonts w:ascii="Arial" w:hAnsi="Arial"/>
          <w:sz w:val="16"/>
        </w:rPr>
        <w:t>046.03  ویلکینسون در حین بیرون آوردن مجروحان و مجروحان مرگبار از هلیکوپتر سقوط کرده بارها در معرض آتش شدید سلاح‌های سبک دشمن قرار گرفت.</w:t>
      </w:r>
    </w:p>
    <w:p>
      <w:pPr>
        <w:spacing w:after="28" w:line="216" w:lineRule="auto"/>
        <w:ind w:left="259"/>
        <w:jc w:val="left"/>
      </w:pPr>
      <w:r>
        <w:rPr>
          <w:rFonts w:ascii="Arial" w:hAnsi="Arial"/>
          <w:color w:val="525252"/>
          <w:sz w:val="13"/>
        </w:rPr>
        <w:t>Wilkinson was repeatedly exposed to intense enemy small arms fire while extracting the injured and mortally wounded from the crashed helicopter.</w:t>
      </w:r>
    </w:p>
    <w:p>
      <w:pPr>
        <w:spacing w:after="20" w:line="223" w:lineRule="auto"/>
        <w:jc w:val="right"/>
        <w:bidi/>
      </w:pPr>
      <w:r>
        <w:rPr>
          <w:rFonts w:ascii="Arial" w:hAnsi="Arial"/>
          <w:sz w:val="16"/>
        </w:rPr>
        <w:t>046.04  علیرغم جراحات خود، او خدمات پزشکی نجات بخش را برای خدمه ارائه کرد، سپس به عنصر امنیتی رنجر روی آورد که درگیر آتش سوزی شدید در تقاطع چهار طرفه تیموتی ویلکینسون از موقعیت خود بود، جایی که او شروع به درمان فوری کرد.</w:t>
      </w:r>
    </w:p>
    <w:p>
      <w:pPr>
        <w:spacing w:after="28" w:line="216" w:lineRule="auto"/>
        <w:ind w:left="259"/>
        <w:jc w:val="left"/>
      </w:pPr>
      <w:r>
        <w:rPr>
          <w:rFonts w:ascii="Arial" w:hAnsi="Arial"/>
          <w:color w:val="525252"/>
          <w:sz w:val="13"/>
        </w:rPr>
        <w:t>Despite his own injuries, he provided life-saving medical treatment to the crewmembers, then turned to the ranger security element engaged in an intense firefight across an open four-way Timothy Wilkinson intersection from his position where he began immediate medical treatment.</w:t>
      </w:r>
    </w:p>
    <w:p>
      <w:pPr>
        <w:spacing w:after="20" w:line="223" w:lineRule="auto"/>
        <w:jc w:val="right"/>
        <w:bidi/>
      </w:pPr>
      <w:r>
        <w:rPr>
          <w:rFonts w:ascii="Arial" w:hAnsi="Arial"/>
          <w:sz w:val="16"/>
        </w:rPr>
        <w:t>046.05  شجاعت و دلاوری شخصی او در زیر آتش شدید دشمن در موفقیت تمام تلاش‌های درمان و تخلیه مجروحان که در درگیری شدید ۱۸ ساعته رزمی انجام شد، جدایی‌ناپذیر بود.</w:t>
      </w:r>
    </w:p>
    <w:p>
      <w:pPr>
        <w:spacing w:after="28" w:line="216" w:lineRule="auto"/>
        <w:ind w:left="259"/>
        <w:jc w:val="left"/>
      </w:pPr>
      <w:r>
        <w:rPr>
          <w:rFonts w:ascii="Arial" w:hAnsi="Arial"/>
          <w:color w:val="525252"/>
          <w:sz w:val="13"/>
        </w:rPr>
        <w:t>His personal courage and bravery under heavy enemy fire were integral to the success of all casualty treatment and evacuation efforts conducted in the intense 18-hour combat engagement.</w:t>
      </w:r>
    </w:p>
    <w:p>
      <w:pPr>
        <w:spacing w:after="20" w:line="223" w:lineRule="auto"/>
        <w:jc w:val="right"/>
        <w:bidi/>
      </w:pPr>
      <w:r>
        <w:rPr>
          <w:rFonts w:ascii="Arial" w:hAnsi="Arial"/>
          <w:sz w:val="16"/>
        </w:rPr>
        <w:t>046.06  استاد گروهبان ویلکینسون به خاطر اقدامات قهرمانانه خود نشان صلیب نیروی هوایی را دریافت کرد.</w:t>
      </w:r>
    </w:p>
    <w:p>
      <w:pPr>
        <w:spacing w:after="28" w:line="216" w:lineRule="auto"/>
        <w:ind w:left="259"/>
        <w:jc w:val="left"/>
      </w:pPr>
      <w:r>
        <w:rPr>
          <w:rFonts w:ascii="Arial" w:hAnsi="Arial"/>
          <w:color w:val="525252"/>
          <w:sz w:val="13"/>
        </w:rPr>
        <w:t>Master Sergeant Wilkinson was awarded the Air Force Cross for his heroic actions.</w:t>
      </w:r>
    </w:p>
    <w:p>
      <w:pPr>
        <w:spacing w:after="20" w:line="223" w:lineRule="auto"/>
        <w:jc w:val="right"/>
        <w:bidi/>
      </w:pPr>
      <w:r>
        <w:rPr>
          <w:rFonts w:ascii="Arial" w:hAnsi="Arial"/>
          <w:sz w:val="16"/>
        </w:rPr>
        <w:t>046.07  تثبیت و عملیات اروپای شرقی وعده داده است.</w:t>
      </w:r>
    </w:p>
    <w:p>
      <w:pPr>
        <w:spacing w:after="28" w:line="216" w:lineRule="auto"/>
        <w:ind w:left="259"/>
        <w:jc w:val="left"/>
      </w:pPr>
      <w:r>
        <w:rPr>
          <w:rFonts w:ascii="Arial" w:hAnsi="Arial"/>
          <w:color w:val="525252"/>
          <w:sz w:val="13"/>
        </w:rPr>
        <w:t>Eastern Europe Stabilization and Operation Provide Promise.</w:t>
      </w:r>
    </w:p>
    <w:p>
      <w:pPr>
        <w:spacing w:after="20" w:line="223" w:lineRule="auto"/>
        <w:jc w:val="right"/>
        <w:bidi/>
      </w:pPr>
      <w:r>
        <w:rPr>
          <w:rFonts w:ascii="Arial" w:hAnsi="Arial"/>
          <w:sz w:val="16"/>
        </w:rPr>
        <w:t>046.08  که منجر به آغاز عملیات پروو پرومیس شد، فروپاشی کمونیسم در اروپای شرقی، همراه با فروپاشی خود اتحاد جماهیر شوروی، پیوند سیاسی را که یوگسلاوی از نظر قومی متفاوت را به‌عنوان یک ملت واحد پیوند می‌داد، از بین برد.</w:t>
      </w:r>
    </w:p>
    <w:p>
      <w:pPr>
        <w:spacing w:after="28" w:line="216" w:lineRule="auto"/>
        <w:ind w:left="259"/>
        <w:jc w:val="left"/>
      </w:pPr>
      <w:r>
        <w:rPr>
          <w:rFonts w:ascii="Arial" w:hAnsi="Arial"/>
          <w:color w:val="525252"/>
          <w:sz w:val="13"/>
        </w:rPr>
        <w:t>Leading up to the initiation of Operation Provide Promise, the collapse of communism in Eastern Europe, coupled with the disintegration of the Soviet Union itself, dissolved the political bind that tied ethnically diverse Yugoslavia as a single nation.</w:t>
      </w:r>
    </w:p>
    <w:p>
      <w:pPr>
        <w:spacing w:after="20" w:line="223" w:lineRule="auto"/>
        <w:jc w:val="right"/>
        <w:bidi/>
      </w:pPr>
      <w:r>
        <w:rPr>
          <w:rFonts w:ascii="Arial" w:hAnsi="Arial"/>
          <w:sz w:val="16"/>
        </w:rPr>
        <w:t>046.09  اسلوونی و کرواسی کاتولیک رومی استقلال خود را از فدراسیون یوگسلاوی که تحت تسلط صربستان ارتدوکس شرقی بود اعلام کردند.</w:t>
      </w:r>
    </w:p>
    <w:p>
      <w:pPr>
        <w:spacing w:after="28" w:line="216" w:lineRule="auto"/>
        <w:ind w:left="259"/>
        <w:jc w:val="left"/>
      </w:pPr>
      <w:r>
        <w:rPr>
          <w:rFonts w:ascii="Arial" w:hAnsi="Arial"/>
          <w:color w:val="525252"/>
          <w:sz w:val="13"/>
        </w:rPr>
        <w:t>Roman Catholic Slovenia and Croatia declared their independence from the Yugoslav Federation that was dominated by Eastern Orthodox Serbia.</w:t>
      </w:r>
    </w:p>
    <w:p>
      <w:pPr>
        <w:spacing w:after="20" w:line="223" w:lineRule="auto"/>
        <w:jc w:val="right"/>
        <w:bidi/>
      </w:pPr>
      <w:r>
        <w:rPr>
          <w:rFonts w:ascii="Arial" w:hAnsi="Arial"/>
          <w:sz w:val="16"/>
        </w:rPr>
        <w:t>046.10  در اوایل سال ۱۹۹۲، بوسنی و هرزگوین (بوسنی) عمدتا مسلمان نیز روابط خود را با فدراسیون قطع کرد.</w:t>
      </w:r>
    </w:p>
    <w:p>
      <w:pPr>
        <w:spacing w:after="28" w:line="216" w:lineRule="auto"/>
        <w:ind w:left="259"/>
        <w:jc w:val="left"/>
      </w:pPr>
      <w:r>
        <w:rPr>
          <w:rFonts w:ascii="Arial" w:hAnsi="Arial"/>
          <w:color w:val="525252"/>
          <w:sz w:val="13"/>
        </w:rPr>
        <w:t>In early 1992, predominantly Muslim Bosnia-Herzegovina (Bosnia) also severed ties with the Federation.</w:t>
      </w:r>
    </w:p>
    <w:p>
      <w:pPr>
        <w:spacing w:after="20" w:line="223" w:lineRule="auto"/>
        <w:jc w:val="right"/>
        <w:bidi/>
      </w:pPr>
      <w:r>
        <w:rPr>
          <w:rFonts w:ascii="Arial" w:hAnsi="Arial"/>
          <w:sz w:val="16"/>
        </w:rPr>
        <w:t>046.11  صرب‌های داخل بوسنی از ترس وضعیت اقلیت خود، با اعمال حکومت قومی خود، تصرف قلمرو و محاصره پایتخت بوسنی، سارایوو، واکنش نشان دادند.</w:t>
      </w:r>
    </w:p>
    <w:p>
      <w:pPr>
        <w:spacing w:after="28" w:line="216" w:lineRule="auto"/>
        <w:ind w:left="259"/>
        <w:jc w:val="left"/>
      </w:pPr>
      <w:r>
        <w:rPr>
          <w:rFonts w:ascii="Arial" w:hAnsi="Arial"/>
          <w:color w:val="525252"/>
          <w:sz w:val="13"/>
        </w:rPr>
        <w:t>Fearing their minority status, Serbs within Bosnia reacted by enforcing their ethnic state, seizing territory, and besieging the Bosnian capital of Sarajevo.</w:t>
      </w:r>
    </w:p>
    <w:p>
      <w:pPr>
        <w:spacing w:after="20" w:line="223" w:lineRule="auto"/>
        <w:jc w:val="right"/>
        <w:bidi/>
      </w:pPr>
      <w:r>
        <w:rPr>
          <w:rFonts w:ascii="Arial" w:hAnsi="Arial"/>
          <w:sz w:val="16"/>
        </w:rPr>
        <w:t>046.12  در ژوئیه ۱۹۹۲، ایالات متحده با تلاش‌های سازمان ملل متحد در عملیات پروو پرومیس درگیر شد.</w:t>
      </w:r>
    </w:p>
    <w:p>
      <w:pPr>
        <w:spacing w:after="28" w:line="216" w:lineRule="auto"/>
        <w:ind w:left="259"/>
        <w:jc w:val="left"/>
      </w:pPr>
      <w:r>
        <w:rPr>
          <w:rFonts w:ascii="Arial" w:hAnsi="Arial"/>
          <w:color w:val="525252"/>
          <w:sz w:val="13"/>
        </w:rPr>
        <w:t>In July 1992, the United States became involved with the United Nation’s efforts in Operation Provide Promise.</w:t>
      </w:r>
    </w:p>
    <w:p>
      <w:pPr>
        <w:spacing w:after="20" w:line="223" w:lineRule="auto"/>
        <w:jc w:val="right"/>
        <w:bidi/>
      </w:pPr>
      <w:r>
        <w:rPr>
          <w:rFonts w:ascii="Arial" w:hAnsi="Arial"/>
          <w:sz w:val="16"/>
        </w:rPr>
        <w:t>046.13  خدمه ک-۱۳۰ در استقرار ۳ هفته‌ای از پایگاه هوایی راین مین آلمان برای تحویل مواد غذایی و تجهیزات پزشکی به منطقه خارج شدند.</w:t>
      </w:r>
    </w:p>
    <w:p>
      <w:pPr>
        <w:spacing w:after="28" w:line="216" w:lineRule="auto"/>
        <w:ind w:left="259"/>
        <w:jc w:val="left"/>
      </w:pPr>
      <w:r>
        <w:rPr>
          <w:rFonts w:ascii="Arial" w:hAnsi="Arial"/>
          <w:color w:val="525252"/>
          <w:sz w:val="13"/>
        </w:rPr>
        <w:t>C-130 crews on 3-week deployments flew out of Rhein-Main Air Base, Germany to deliver food and medical supplies to the region.</w:t>
      </w:r>
    </w:p>
    <w:p>
      <w:pPr>
        <w:spacing w:after="20" w:line="223" w:lineRule="auto"/>
        <w:jc w:val="right"/>
        <w:bidi/>
      </w:pPr>
      <w:r>
        <w:rPr>
          <w:rFonts w:ascii="Arial" w:hAnsi="Arial"/>
          <w:sz w:val="16"/>
        </w:rPr>
        <w:t>046.14  این تلاش توسط ۱۵ کشور دیگر نیز پشتیبانی شد که تجهیزات امدادی را به سارایوو منتقل کردند.</w:t>
      </w:r>
    </w:p>
    <w:p>
      <w:pPr>
        <w:spacing w:after="28" w:line="216" w:lineRule="auto"/>
        <w:ind w:left="259"/>
        <w:jc w:val="left"/>
      </w:pPr>
      <w:r>
        <w:rPr>
          <w:rFonts w:ascii="Arial" w:hAnsi="Arial"/>
          <w:color w:val="525252"/>
          <w:sz w:val="13"/>
        </w:rPr>
        <w:t>The effort was supported by 15 additional countries also airlifting relief supplies to Sarajevo.</w:t>
      </w:r>
    </w:p>
    <w:p>
      <w:pPr>
        <w:spacing w:after="20" w:line="223" w:lineRule="auto"/>
        <w:jc w:val="right"/>
        <w:bidi/>
      </w:pPr>
      <w:r>
        <w:rPr>
          <w:rFonts w:ascii="Arial" w:hAnsi="Arial"/>
          <w:sz w:val="16"/>
        </w:rPr>
        <w:t>046.15  به‌طور خلاصه، برای تکمیل تلاش‌ها، عملیات ارائه بابانوئل در دسامبر ۱۹۹۳ آغاز شد، زمانی که ک-۱۳۰س ۵۰ تن اسباب‌بازی و لباس و کفش کودکان را رها کرد.</w:t>
      </w:r>
    </w:p>
    <w:p>
      <w:pPr>
        <w:spacing w:after="28" w:line="216" w:lineRule="auto"/>
        <w:ind w:left="259"/>
        <w:jc w:val="left"/>
      </w:pPr>
      <w:r>
        <w:rPr>
          <w:rFonts w:ascii="Arial" w:hAnsi="Arial"/>
          <w:color w:val="525252"/>
          <w:sz w:val="13"/>
        </w:rPr>
        <w:t>Briefly, to supplement efforts, Operation Provide Santa kicked off in December 1993 when C-130s dropped 50 tons of toys and children’s clothing and shoes.</w:t>
      </w:r>
    </w:p>
    <w:p>
      <w:pPr>
        <w:spacing w:after="20" w:line="223" w:lineRule="auto"/>
        <w:jc w:val="right"/>
        <w:bidi/>
      </w:pPr>
      <w:r>
        <w:rPr>
          <w:rFonts w:ascii="Arial" w:hAnsi="Arial"/>
          <w:sz w:val="16"/>
        </w:rPr>
        <w:t>046.16  در ۱۴ دسامبر ۱۹۹۵، جناح‌های متخاصم در پایگاه نیروی هوایی رایت-پترسون، اوهایو، توافق‌نامه‌های صلح امضا کردند و خواستار پایان دادن به ارسال کمک‌های بشردوستانه از زمین به سارایوو شدند.</w:t>
      </w:r>
    </w:p>
    <w:p>
      <w:pPr>
        <w:spacing w:after="28" w:line="216" w:lineRule="auto"/>
        <w:ind w:left="259"/>
        <w:jc w:val="left"/>
      </w:pPr>
      <w:r>
        <w:rPr>
          <w:rFonts w:ascii="Arial" w:hAnsi="Arial"/>
          <w:color w:val="525252"/>
          <w:sz w:val="13"/>
        </w:rPr>
        <w:t>On 14 December 1995, warring factions signed peace accords at Wright-Patterson Air Force Base, Ohio, calling for an end to humanitarian air-land deliveries into Sarajevo.</w:t>
      </w:r>
    </w:p>
    <w:p>
      <w:pPr>
        <w:spacing w:after="20" w:line="223" w:lineRule="auto"/>
        <w:jc w:val="right"/>
        <w:bidi/>
      </w:pPr>
      <w:r>
        <w:rPr>
          <w:rFonts w:ascii="Arial" w:hAnsi="Arial"/>
          <w:sz w:val="16"/>
        </w:rPr>
        <w:t>046.17  در طول عملیات پروو پرومیس، هواپیماهای حامی عملیات امدادی سازمان ملل در ۲۷۹ حادثه آتش زمینی مقاومت کردند و طولانی‌ترین حمل‌ونقل هوایی بشردوستانه در تاریخ بود که بیش از سه سال و نیم به طول انجامید.</w:t>
      </w:r>
    </w:p>
    <w:p>
      <w:pPr>
        <w:spacing w:after="28" w:line="216" w:lineRule="auto"/>
        <w:ind w:left="259"/>
        <w:jc w:val="left"/>
      </w:pPr>
      <w:r>
        <w:rPr>
          <w:rFonts w:ascii="Arial" w:hAnsi="Arial"/>
          <w:color w:val="525252"/>
          <w:sz w:val="13"/>
        </w:rPr>
        <w:t>During Operation Provide Promise, aircraft supporting the United Nation’s relief operation withstood 279 incidents of ground fire and was the longest running humanitarian airlift in history, lasting over three and a half years.</w:t>
      </w:r>
    </w:p>
    <w:p>
      <w:pPr>
        <w:spacing w:after="20" w:line="223" w:lineRule="auto"/>
        <w:jc w:val="right"/>
        <w:bidi/>
      </w:pPr>
      <w:r>
        <w:rPr>
          <w:rFonts w:ascii="Arial" w:hAnsi="Arial"/>
          <w:sz w:val="16"/>
        </w:rPr>
        <w:t>046.18  جنگ در بوسنی و عملیات دنی فلیگهت.</w:t>
      </w:r>
    </w:p>
    <w:p>
      <w:pPr>
        <w:spacing w:after="28" w:line="216" w:lineRule="auto"/>
        <w:ind w:left="259"/>
        <w:jc w:val="left"/>
      </w:pPr>
      <w:r>
        <w:rPr>
          <w:rFonts w:ascii="Arial" w:hAnsi="Arial"/>
          <w:color w:val="525252"/>
          <w:sz w:val="13"/>
        </w:rPr>
        <w:t>War in Bosnia and Operation Deny Flight.</w:t>
      </w:r>
    </w:p>
    <w:p>
      <w:pPr>
        <w:spacing w:after="20" w:line="223" w:lineRule="auto"/>
        <w:jc w:val="right"/>
        <w:bidi/>
      </w:pPr>
      <w:r>
        <w:rPr>
          <w:rFonts w:ascii="Arial" w:hAnsi="Arial"/>
          <w:sz w:val="16"/>
        </w:rPr>
        <w:t>046.19  در ۱۲ آوریل ۱۹۹۳، عملیات انکار پرواز به‌عنوان تلاش سازمان پیمان آتلانتیک شمالی (ناتو) برای محدود کردن جنگ در بوسنی از طریق تحمیل منطقه پرواز ممنوع بر فراز کشور آغاز شد و در خدمت پشتیبانی هوایی نزدیک برای نیروهای سازمان ملل در بوسنی بود.</w:t>
      </w:r>
    </w:p>
    <w:p>
      <w:pPr>
        <w:spacing w:after="28" w:line="216" w:lineRule="auto"/>
        <w:ind w:left="259"/>
        <w:jc w:val="left"/>
      </w:pPr>
      <w:r>
        <w:rPr>
          <w:rFonts w:ascii="Arial" w:hAnsi="Arial"/>
          <w:color w:val="525252"/>
          <w:sz w:val="13"/>
        </w:rPr>
        <w:t>On 12 April 1993, Operation Deny Flight began as a North Atlantic Treaty Organization (NATO) effort to limit the war in Bosnia through imposition of a no-fly zone over the country and served to provide close air support for United Nation’s troops in Bosnia.</w:t>
      </w:r>
    </w:p>
    <w:p>
      <w:pPr>
        <w:spacing w:after="20" w:line="223" w:lineRule="auto"/>
        <w:jc w:val="right"/>
        <w:bidi/>
      </w:pPr>
      <w:r>
        <w:rPr>
          <w:rFonts w:ascii="Arial" w:hAnsi="Arial"/>
          <w:sz w:val="16"/>
        </w:rPr>
        <w:t>046.20  این مأموریت با چالش‌هایی مواجه شد، به‌ویژه زمانی که صرب‌های بوسنی نیروهای مسلح سازمان ملل را به گروگان گرفتند تا از آنها به‌عنوان اهرمی در برابر حملات هوایی مداوم استفاده کنند.</w:t>
      </w:r>
    </w:p>
    <w:p>
      <w:pPr>
        <w:spacing w:after="28" w:line="216" w:lineRule="auto"/>
        <w:ind w:left="259"/>
        <w:jc w:val="left"/>
      </w:pPr>
      <w:r>
        <w:rPr>
          <w:rFonts w:ascii="Arial" w:hAnsi="Arial"/>
          <w:color w:val="525252"/>
          <w:sz w:val="13"/>
        </w:rPr>
        <w:t>The mission faced challenges, particularly when Bosnian Serbs took lightly armed United Nation’s forces hostage to use as leverage against continued airstrikes.</w:t>
      </w:r>
    </w:p>
    <w:p>
      <w:pPr>
        <w:spacing w:after="20" w:line="223" w:lineRule="auto"/>
        <w:jc w:val="right"/>
        <w:bidi/>
      </w:pPr>
      <w:r>
        <w:rPr>
          <w:rFonts w:ascii="Arial" w:hAnsi="Arial"/>
          <w:sz w:val="16"/>
        </w:rPr>
        <w:t>046.21  سازمان ملل با وتوی حملات بیشتر به صرب‌ها موافقت کرد، اما این مأموریت همچنان از مهاجمان صرب حمله می‌کرد.</w:t>
      </w:r>
    </w:p>
    <w:p>
      <w:pPr>
        <w:spacing w:after="28" w:line="216" w:lineRule="auto"/>
        <w:ind w:left="259"/>
        <w:jc w:val="left"/>
      </w:pPr>
      <w:r>
        <w:rPr>
          <w:rFonts w:ascii="Arial" w:hAnsi="Arial"/>
          <w:color w:val="525252"/>
          <w:sz w:val="13"/>
        </w:rPr>
        <w:t>The United Nations agreed to veto further strikes on the Serbs, but the mission was still taking strikes from Serb aggressors.</w:t>
      </w:r>
    </w:p>
    <w:p>
      <w:pPr>
        <w:spacing w:after="20" w:line="223" w:lineRule="auto"/>
        <w:jc w:val="right"/>
        <w:bidi/>
      </w:pPr>
      <w:r>
        <w:rPr>
          <w:rFonts w:ascii="Arial" w:hAnsi="Arial"/>
          <w:sz w:val="16"/>
        </w:rPr>
        <w:t>046.22  عملیات دنی فلیگهت در ۲۰ دسامبر ۱۹۹۵ به پایان رسید و نزدیک به ۱۰۰۰۰۰ پرواز انجام شده در تلاش برای پایان دادن به آشفتگی در منطقه را به همراه داشت.</w:t>
      </w:r>
    </w:p>
    <w:p>
      <w:pPr>
        <w:spacing w:after="28" w:line="216" w:lineRule="auto"/>
        <w:ind w:left="259"/>
        <w:jc w:val="left"/>
      </w:pPr>
      <w:r>
        <w:rPr>
          <w:rFonts w:ascii="Arial" w:hAnsi="Arial"/>
          <w:color w:val="525252"/>
          <w:sz w:val="13"/>
        </w:rPr>
        <w:t>Operation Deny Flight ended on 20 December 1995, bringing a close to the 100,000 sorties flown in efforts of ending turmoil in the region.</w:t>
      </w:r>
    </w:p>
    <w:p>
      <w:pPr>
        <w:spacing w:after="20" w:line="223" w:lineRule="auto"/>
        <w:jc w:val="right"/>
        <w:bidi/>
      </w:pPr>
      <w:r>
        <w:rPr>
          <w:rFonts w:ascii="Arial" w:hAnsi="Arial"/>
          <w:sz w:val="16"/>
        </w:rPr>
        <w:t>046.23  کنترل و عملیات هائیتی دموکراسی را حفظ می‌کند.</w:t>
      </w:r>
    </w:p>
    <w:p>
      <w:pPr>
        <w:spacing w:after="28" w:line="216" w:lineRule="auto"/>
        <w:ind w:left="259"/>
        <w:jc w:val="left"/>
      </w:pPr>
      <w:r>
        <w:rPr>
          <w:rFonts w:ascii="Arial" w:hAnsi="Arial"/>
          <w:color w:val="525252"/>
          <w:sz w:val="13"/>
        </w:rPr>
        <w:t>Haitian Control and Operation Uphold Democracy.</w:t>
      </w:r>
    </w:p>
    <w:p>
      <w:pPr>
        <w:spacing w:after="20" w:line="223" w:lineRule="auto"/>
        <w:jc w:val="right"/>
        <w:bidi/>
      </w:pPr>
      <w:r>
        <w:rPr>
          <w:rFonts w:ascii="Arial" w:hAnsi="Arial"/>
          <w:sz w:val="16"/>
        </w:rPr>
        <w:t>046.24  در ۸ سپتامبر ۱۹۹۴، ایالات متحده عملیات حمایت از دموکراسی را برای حذف رژیم نظامی که ژان برتراند آریستید، رئیس جمهور هائیتی را سرنگون کرده بود، آغاز کرد.</w:t>
      </w:r>
    </w:p>
    <w:p>
      <w:pPr>
        <w:spacing w:after="28" w:line="216" w:lineRule="auto"/>
        <w:ind w:left="259"/>
        <w:jc w:val="left"/>
      </w:pPr>
      <w:r>
        <w:rPr>
          <w:rFonts w:ascii="Arial" w:hAnsi="Arial"/>
          <w:color w:val="525252"/>
          <w:sz w:val="13"/>
        </w:rPr>
        <w:t>On 8 September 1994, the United States launched Operation Uphold Democracy to remove the military regime that had overthrown Haitian President Jean-Bertrand Aristide.</w:t>
      </w:r>
    </w:p>
    <w:p>
      <w:pPr>
        <w:spacing w:after="20" w:line="223" w:lineRule="auto"/>
        <w:jc w:val="right"/>
        <w:bidi/>
      </w:pPr>
      <w:r>
        <w:rPr>
          <w:rFonts w:ascii="Arial" w:hAnsi="Arial"/>
          <w:sz w:val="16"/>
        </w:rPr>
        <w:t>046.25  فرماندهی آتلانتیک ایالات متحده دو طرح مختلف، یکی برای ورود اجباری و دیگری برای ورود غیرفعال ایجاد کرد.</w:t>
      </w:r>
    </w:p>
    <w:p>
      <w:pPr>
        <w:spacing w:after="28" w:line="216" w:lineRule="auto"/>
        <w:ind w:left="259"/>
        <w:jc w:val="left"/>
      </w:pPr>
      <w:r>
        <w:rPr>
          <w:rFonts w:ascii="Arial" w:hAnsi="Arial"/>
          <w:color w:val="525252"/>
          <w:sz w:val="13"/>
        </w:rPr>
        <w:t>The U.S. Atlantic Command developed two different plans, one for forcible entry and the other for passive entry.</w:t>
      </w:r>
    </w:p>
    <w:p>
      <w:pPr>
        <w:spacing w:after="20" w:line="223" w:lineRule="auto"/>
        <w:jc w:val="right"/>
        <w:bidi/>
      </w:pPr>
      <w:r>
        <w:rPr>
          <w:rFonts w:ascii="Arial" w:hAnsi="Arial"/>
          <w:sz w:val="16"/>
        </w:rPr>
        <w:t>046.26  در حالی که برنامه‌ریزان USAF از طریق انواع استراتژی‌های تهاجم کار می‌کردند، نیروی هوایی متشکل از ۲۰۰ هواپیما فعال شدند تا در صورت نیاز نیروی عظیمی از قدرت را تحمل کنند.</w:t>
      </w:r>
    </w:p>
    <w:p>
      <w:pPr>
        <w:spacing w:after="28" w:line="216" w:lineRule="auto"/>
        <w:ind w:left="259"/>
        <w:jc w:val="left"/>
      </w:pPr>
      <w:r>
        <w:rPr>
          <w:rFonts w:ascii="Arial" w:hAnsi="Arial"/>
          <w:color w:val="525252"/>
          <w:sz w:val="13"/>
        </w:rPr>
        <w:t>While USAF planners worked through variations of both invasion strategies, an aerial force of more than 200 aircraft were activated to bear an overwhelming force of strength, if needed.</w:t>
      </w:r>
    </w:p>
    <w:p>
      <w:pPr>
        <w:spacing w:after="20" w:line="223" w:lineRule="auto"/>
        <w:jc w:val="right"/>
        <w:bidi/>
      </w:pPr>
      <w:r>
        <w:rPr>
          <w:rFonts w:ascii="Arial" w:hAnsi="Arial"/>
          <w:sz w:val="16"/>
        </w:rPr>
        <w:t>046.27  تقریبا در آخرین لحظه، یک پیشنهاد دیپلماتیک توسط رئیس جمهور سابق جیمز ای. کارتر، رهبر نظامی هائیتی را متقاعد کرد که کنترل را رها کند.</w:t>
      </w:r>
    </w:p>
    <w:p>
      <w:pPr>
        <w:spacing w:after="28" w:line="216" w:lineRule="auto"/>
        <w:ind w:left="259"/>
        <w:jc w:val="left"/>
      </w:pPr>
      <w:r>
        <w:rPr>
          <w:rFonts w:ascii="Arial" w:hAnsi="Arial"/>
          <w:color w:val="525252"/>
          <w:sz w:val="13"/>
        </w:rPr>
        <w:t>At nearly the last minute, a diplomatic proposal offered by former President James E. Carter, persuaded the military leader in Haiti to relinquish control.</w:t>
      </w:r>
    </w:p>
    <w:p>
      <w:pPr>
        <w:spacing w:after="20" w:line="223" w:lineRule="auto"/>
        <w:jc w:val="right"/>
        <w:bidi/>
      </w:pPr>
      <w:r>
        <w:rPr>
          <w:rFonts w:ascii="Arial" w:hAnsi="Arial"/>
          <w:sz w:val="16"/>
        </w:rPr>
        <w:t>046.28  این حرکت اجازه داد تا این مأموریت به‌عنوان یک نیروی حافظ صلح چند ملیتی و استفاده از طرح ورود غیر فعال اجرا شود.</w:t>
      </w:r>
    </w:p>
    <w:p>
      <w:pPr>
        <w:spacing w:after="28" w:line="216" w:lineRule="auto"/>
        <w:ind w:left="259"/>
        <w:jc w:val="left"/>
      </w:pPr>
      <w:r>
        <w:rPr>
          <w:rFonts w:ascii="Arial" w:hAnsi="Arial"/>
          <w:color w:val="525252"/>
          <w:sz w:val="13"/>
        </w:rPr>
        <w:t>This move allowed the mission to be implemented as an insertion of a multinational peacekeeping force and application of the passive-entry plan.</w:t>
      </w:r>
    </w:p>
    <w:p>
      <w:pPr>
        <w:spacing w:after="20" w:line="223" w:lineRule="auto"/>
        <w:jc w:val="right"/>
        <w:bidi/>
      </w:pPr>
      <w:r>
        <w:rPr>
          <w:rFonts w:ascii="Arial" w:hAnsi="Arial"/>
          <w:sz w:val="16"/>
        </w:rPr>
        <w:t>046.29  سازگاری موفقیت آمیز با حمل و نقل هوایی نیروهای حافظ صلح، شاخص اصلی انعطاف پذیری نیروی هوایی نظامی و سیاسی بود.</w:t>
      </w:r>
    </w:p>
    <w:p>
      <w:pPr>
        <w:spacing w:after="28" w:line="216" w:lineRule="auto"/>
        <w:ind w:left="259"/>
        <w:jc w:val="left"/>
      </w:pPr>
      <w:r>
        <w:rPr>
          <w:rFonts w:ascii="Arial" w:hAnsi="Arial"/>
          <w:color w:val="525252"/>
          <w:sz w:val="13"/>
        </w:rPr>
        <w:t>The successful adaptation to airlifting peacekeeping troops was a major indicator of the flexibility airpower offers military and political</w:t>
      </w:r>
    </w:p>
    <w:p>
      <w:r>
        <w:br w:type="page"/>
      </w:r>
    </w:p>
    <w:p>
      <w:pPr>
        <w:spacing w:after="60"/>
        <w:jc w:val="right"/>
        <w:bidi/>
      </w:pPr>
      <w:r>
        <w:rPr>
          <w:rFonts w:ascii="Arial" w:hAnsi="Arial"/>
          <w:b/>
          <w:color w:val="1F4D78"/>
          <w:sz w:val="19"/>
        </w:rPr>
        <w:t>هفتهٔ 47  |  صفحهٔ منبع: 63</w:t>
      </w:r>
    </w:p>
    <w:p>
      <w:pPr>
        <w:spacing w:after="20" w:line="223" w:lineRule="auto"/>
        <w:jc w:val="right"/>
        <w:bidi/>
      </w:pPr>
      <w:r>
        <w:rPr>
          <w:rFonts w:ascii="Arial" w:hAnsi="Arial"/>
          <w:sz w:val="16"/>
        </w:rPr>
        <w:t>047.01  رهبران در تحقق اهداف سیاست خارجی.</w:t>
      </w:r>
    </w:p>
    <w:p>
      <w:pPr>
        <w:spacing w:after="28" w:line="216" w:lineRule="auto"/>
        <w:ind w:left="259"/>
        <w:jc w:val="left"/>
      </w:pPr>
      <w:r>
        <w:rPr>
          <w:rFonts w:ascii="Arial" w:hAnsi="Arial"/>
          <w:color w:val="525252"/>
          <w:sz w:val="13"/>
        </w:rPr>
        <w:t>leaders in fulfilling foreign policy objectives.</w:t>
      </w:r>
    </w:p>
    <w:p>
      <w:pPr>
        <w:spacing w:after="20" w:line="223" w:lineRule="auto"/>
        <w:jc w:val="right"/>
        <w:bidi/>
      </w:pPr>
      <w:r>
        <w:rPr>
          <w:rFonts w:ascii="Arial" w:hAnsi="Arial"/>
          <w:sz w:val="16"/>
        </w:rPr>
        <w:t>047.02  درگیری نیروی هوایی ایالات متحده در ۱۲ اکتبر ۱۹۹۴ به پایان رسید.</w:t>
      </w:r>
    </w:p>
    <w:p>
      <w:pPr>
        <w:spacing w:after="28" w:line="216" w:lineRule="auto"/>
        <w:ind w:left="259"/>
        <w:jc w:val="left"/>
      </w:pPr>
      <w:r>
        <w:rPr>
          <w:rFonts w:ascii="Arial" w:hAnsi="Arial"/>
          <w:color w:val="525252"/>
          <w:sz w:val="13"/>
        </w:rPr>
        <w:t>U. S. Air Force involvement effectively ended 12 October 1994.</w:t>
      </w:r>
    </w:p>
    <w:p>
      <w:pPr>
        <w:spacing w:after="20" w:line="223" w:lineRule="auto"/>
        <w:jc w:val="right"/>
        <w:bidi/>
      </w:pPr>
      <w:r>
        <w:rPr>
          <w:rFonts w:ascii="Arial" w:hAnsi="Arial"/>
          <w:sz w:val="16"/>
        </w:rPr>
        <w:t>047.03  سه روز بعد، رئیس جمهور هائیتی به کشورش بازگشت.</w:t>
      </w:r>
    </w:p>
    <w:p>
      <w:pPr>
        <w:spacing w:after="28" w:line="216" w:lineRule="auto"/>
        <w:ind w:left="259"/>
        <w:jc w:val="left"/>
      </w:pPr>
      <w:r>
        <w:rPr>
          <w:rFonts w:ascii="Arial" w:hAnsi="Arial"/>
          <w:color w:val="525252"/>
          <w:sz w:val="13"/>
        </w:rPr>
        <w:t>Three days later, the Haitian President returned to his country.</w:t>
      </w:r>
    </w:p>
    <w:p>
      <w:pPr>
        <w:spacing w:after="20" w:line="223" w:lineRule="auto"/>
        <w:jc w:val="right"/>
        <w:bidi/>
      </w:pPr>
      <w:r>
        <w:rPr>
          <w:rFonts w:ascii="Arial" w:hAnsi="Arial"/>
          <w:sz w:val="16"/>
        </w:rPr>
        <w:t>047.04  حفاظت از مرز کویت و عملیات جنگجوی هوشیار.</w:t>
      </w:r>
    </w:p>
    <w:p>
      <w:pPr>
        <w:spacing w:after="28" w:line="216" w:lineRule="auto"/>
        <w:ind w:left="259"/>
        <w:jc w:val="left"/>
      </w:pPr>
      <w:r>
        <w:rPr>
          <w:rFonts w:ascii="Arial" w:hAnsi="Arial"/>
          <w:color w:val="525252"/>
          <w:sz w:val="13"/>
        </w:rPr>
        <w:t>Kuwaiti Border Protection and Operation Vigilant Warrior.</w:t>
      </w:r>
    </w:p>
    <w:p>
      <w:pPr>
        <w:spacing w:after="20" w:line="223" w:lineRule="auto"/>
        <w:jc w:val="right"/>
        <w:bidi/>
      </w:pPr>
      <w:r>
        <w:rPr>
          <w:rFonts w:ascii="Arial" w:hAnsi="Arial"/>
          <w:sz w:val="16"/>
        </w:rPr>
        <w:t>047.05  در اکتبر ۱۹۹۴، نیروهای عراقی، از جمله گارد نخبه جمهوری خواه عراق، در مرز کویت تجمع کردند.</w:t>
      </w:r>
    </w:p>
    <w:p>
      <w:pPr>
        <w:spacing w:after="28" w:line="216" w:lineRule="auto"/>
        <w:ind w:left="259"/>
        <w:jc w:val="left"/>
      </w:pPr>
      <w:r>
        <w:rPr>
          <w:rFonts w:ascii="Arial" w:hAnsi="Arial"/>
          <w:color w:val="525252"/>
          <w:sz w:val="13"/>
        </w:rPr>
        <w:t>In October 1994, Iraqi troops, including the elite Iraqi Republican Guard, massed at the Kuwaiti border.</w:t>
      </w:r>
    </w:p>
    <w:p>
      <w:pPr>
        <w:spacing w:after="20" w:line="223" w:lineRule="auto"/>
        <w:jc w:val="right"/>
        <w:bidi/>
      </w:pPr>
      <w:r>
        <w:rPr>
          <w:rFonts w:ascii="Arial" w:hAnsi="Arial"/>
          <w:sz w:val="16"/>
        </w:rPr>
        <w:t>047.06  صدام حسین یک بار دیگر موضع گیری تهاجمی برای قدرت را آغاز کرده بود.</w:t>
      </w:r>
    </w:p>
    <w:p>
      <w:pPr>
        <w:spacing w:after="28" w:line="216" w:lineRule="auto"/>
        <w:ind w:left="259"/>
        <w:jc w:val="left"/>
      </w:pPr>
      <w:r>
        <w:rPr>
          <w:rFonts w:ascii="Arial" w:hAnsi="Arial"/>
          <w:color w:val="525252"/>
          <w:sz w:val="13"/>
        </w:rPr>
        <w:t>Saddam Hussein had begun aggressive posturing for power once again.</w:t>
      </w:r>
    </w:p>
    <w:p>
      <w:pPr>
        <w:spacing w:after="20" w:line="223" w:lineRule="auto"/>
        <w:jc w:val="right"/>
        <w:bidi/>
      </w:pPr>
      <w:r>
        <w:rPr>
          <w:rFonts w:ascii="Arial" w:hAnsi="Arial"/>
          <w:sz w:val="16"/>
        </w:rPr>
        <w:t>047.07  ایالات متحده با عملیات جنگجوی هوشیار پاسخ داد.</w:t>
      </w:r>
    </w:p>
    <w:p>
      <w:pPr>
        <w:spacing w:after="28" w:line="216" w:lineRule="auto"/>
        <w:ind w:left="259"/>
        <w:jc w:val="left"/>
      </w:pPr>
      <w:r>
        <w:rPr>
          <w:rFonts w:ascii="Arial" w:hAnsi="Arial"/>
          <w:color w:val="525252"/>
          <w:sz w:val="13"/>
        </w:rPr>
        <w:t>The United States responded with Operation Vigilant Warrior.</w:t>
      </w:r>
    </w:p>
    <w:p>
      <w:pPr>
        <w:spacing w:after="20" w:line="223" w:lineRule="auto"/>
        <w:jc w:val="right"/>
        <w:bidi/>
      </w:pPr>
      <w:r>
        <w:rPr>
          <w:rFonts w:ascii="Arial" w:hAnsi="Arial"/>
          <w:sz w:val="16"/>
        </w:rPr>
        <w:t>047.08  هزاران نفر از پرسنل اضافی نیروهای مسلح ایالات متحده وارد تئاتر شدند.</w:t>
      </w:r>
    </w:p>
    <w:p>
      <w:pPr>
        <w:spacing w:after="28" w:line="216" w:lineRule="auto"/>
        <w:ind w:left="259"/>
        <w:jc w:val="left"/>
      </w:pPr>
      <w:r>
        <w:rPr>
          <w:rFonts w:ascii="Arial" w:hAnsi="Arial"/>
          <w:color w:val="525252"/>
          <w:sz w:val="13"/>
        </w:rPr>
        <w:t>Thousands of additional U.S. Armed Forces personnel entered into the theater.</w:t>
      </w:r>
    </w:p>
    <w:p>
      <w:pPr>
        <w:spacing w:after="20" w:line="223" w:lineRule="auto"/>
        <w:jc w:val="right"/>
        <w:bidi/>
      </w:pPr>
      <w:r>
        <w:rPr>
          <w:rFonts w:ascii="Arial" w:hAnsi="Arial"/>
          <w:sz w:val="16"/>
        </w:rPr>
        <w:t>047.09  در نتیجه واکنش آمریکا، کویت مورد حمله قرار نگرفت و عراق نیروهای زمینی خود را از مرز فراخواند.</w:t>
      </w:r>
    </w:p>
    <w:p>
      <w:pPr>
        <w:spacing w:after="28" w:line="216" w:lineRule="auto"/>
        <w:ind w:left="259"/>
        <w:jc w:val="left"/>
      </w:pPr>
      <w:r>
        <w:rPr>
          <w:rFonts w:ascii="Arial" w:hAnsi="Arial"/>
          <w:color w:val="525252"/>
          <w:sz w:val="13"/>
        </w:rPr>
        <w:t>As a result of the American response, Kuwait was not invaded, and Iraq recalled its ground forces away from the border.</w:t>
      </w:r>
    </w:p>
    <w:p>
      <w:pPr>
        <w:spacing w:after="20" w:line="223" w:lineRule="auto"/>
        <w:jc w:val="right"/>
        <w:bidi/>
      </w:pPr>
      <w:r>
        <w:rPr>
          <w:rFonts w:ascii="Arial" w:hAnsi="Arial"/>
          <w:sz w:val="16"/>
        </w:rPr>
        <w:t>047.10  عملیات جنگجوی هوشیار به‌طور رسمی در ۱۵ دسامبر ۱۹۹۴ پایان یافت.</w:t>
      </w:r>
    </w:p>
    <w:p>
      <w:pPr>
        <w:spacing w:after="28" w:line="216" w:lineRule="auto"/>
        <w:ind w:left="259"/>
        <w:jc w:val="left"/>
      </w:pPr>
      <w:r>
        <w:rPr>
          <w:rFonts w:ascii="Arial" w:hAnsi="Arial"/>
          <w:color w:val="525252"/>
          <w:sz w:val="13"/>
        </w:rPr>
        <w:t>Operation Vigilant Warrior officially ended on 15 December 1994.</w:t>
      </w:r>
    </w:p>
    <w:p>
      <w:pPr>
        <w:spacing w:after="20" w:line="223" w:lineRule="auto"/>
        <w:jc w:val="right"/>
        <w:bidi/>
      </w:pPr>
      <w:r>
        <w:rPr>
          <w:rFonts w:ascii="Arial" w:hAnsi="Arial"/>
          <w:sz w:val="16"/>
        </w:rPr>
        <w:t>047.11  حملات صربهای بوسنی و عملیات نیروی عمدی.</w:t>
      </w:r>
    </w:p>
    <w:p>
      <w:pPr>
        <w:spacing w:after="28" w:line="216" w:lineRule="auto"/>
        <w:ind w:left="259"/>
        <w:jc w:val="left"/>
      </w:pPr>
      <w:r>
        <w:rPr>
          <w:rFonts w:ascii="Arial" w:hAnsi="Arial"/>
          <w:color w:val="525252"/>
          <w:sz w:val="13"/>
        </w:rPr>
        <w:t>Bosnian Serb Attacks and Operation Deliberate Force.</w:t>
      </w:r>
    </w:p>
    <w:p>
      <w:pPr>
        <w:spacing w:after="20" w:line="223" w:lineRule="auto"/>
        <w:jc w:val="right"/>
        <w:bidi/>
      </w:pPr>
      <w:r>
        <w:rPr>
          <w:rFonts w:ascii="Arial" w:hAnsi="Arial"/>
          <w:sz w:val="16"/>
        </w:rPr>
        <w:t>047.12  در سال ۱۹۹۵، پس از گلوله خمپاره‌ای که ۳۷ غیرنظامی را در سارایوو کشت، عملیات نیروی عمدی به نیروهای صرب بوسنی اطلاع داده شد که آنها در قبال اقدامات خود پاسخگو خواهند بود.</w:t>
      </w:r>
    </w:p>
    <w:p>
      <w:pPr>
        <w:spacing w:after="28" w:line="216" w:lineRule="auto"/>
        <w:ind w:left="259"/>
        <w:jc w:val="left"/>
      </w:pPr>
      <w:r>
        <w:rPr>
          <w:rFonts w:ascii="Arial" w:hAnsi="Arial"/>
          <w:color w:val="525252"/>
          <w:sz w:val="13"/>
        </w:rPr>
        <w:t>In 1995, after a mortar shell killed 37 civilians in Sarajevo, Operation Deliberate Force served notice to Bosnian Serb forces that they would be held accountable for their actions.</w:t>
      </w:r>
    </w:p>
    <w:p>
      <w:pPr>
        <w:spacing w:after="20" w:line="223" w:lineRule="auto"/>
        <w:jc w:val="right"/>
        <w:bidi/>
      </w:pPr>
      <w:r>
        <w:rPr>
          <w:rFonts w:ascii="Arial" w:hAnsi="Arial"/>
          <w:sz w:val="16"/>
        </w:rPr>
        <w:t>047.13  عملیات نیروی عمدی حملات هوایی علیه اهداف صرب بوسنی در سراسر کشور انجام شد.</w:t>
      </w:r>
    </w:p>
    <w:p>
      <w:pPr>
        <w:spacing w:after="28" w:line="216" w:lineRule="auto"/>
        <w:ind w:left="259"/>
        <w:jc w:val="left"/>
      </w:pPr>
      <w:r>
        <w:rPr>
          <w:rFonts w:ascii="Arial" w:hAnsi="Arial"/>
          <w:color w:val="525252"/>
          <w:sz w:val="13"/>
        </w:rPr>
        <w:t>Operation Deliberate Force airstrikes were launched against Bosnian Serb targets throughout the country.</w:t>
      </w:r>
    </w:p>
    <w:p>
      <w:pPr>
        <w:spacing w:after="20" w:line="223" w:lineRule="auto"/>
        <w:jc w:val="right"/>
        <w:bidi/>
      </w:pPr>
      <w:r>
        <w:rPr>
          <w:rFonts w:ascii="Arial" w:hAnsi="Arial"/>
          <w:sz w:val="16"/>
        </w:rPr>
        <w:t>047.14  این اولین کارزار در جنگ هوایی بود که در آن مهمات دقیق بر بمب‌های معمولی برتری داشت.</w:t>
      </w:r>
    </w:p>
    <w:p>
      <w:pPr>
        <w:spacing w:after="28" w:line="216" w:lineRule="auto"/>
        <w:ind w:left="259"/>
        <w:jc w:val="left"/>
      </w:pPr>
      <w:r>
        <w:rPr>
          <w:rFonts w:ascii="Arial" w:hAnsi="Arial"/>
          <w:color w:val="525252"/>
          <w:sz w:val="13"/>
        </w:rPr>
        <w:t>This was the first campaign in aerial warfare where precision munitions outweighed conventional bombs.</w:t>
      </w:r>
    </w:p>
    <w:p>
      <w:pPr>
        <w:spacing w:after="20" w:line="223" w:lineRule="auto"/>
        <w:jc w:val="right"/>
        <w:bidi/>
      </w:pPr>
      <w:r>
        <w:rPr>
          <w:rFonts w:ascii="Arial" w:hAnsi="Arial"/>
          <w:sz w:val="16"/>
        </w:rPr>
        <w:t>047.15  کمپین هوایی بی وقفه نتایج مطلوب را به دست آورد.</w:t>
      </w:r>
    </w:p>
    <w:p>
      <w:pPr>
        <w:spacing w:after="28" w:line="216" w:lineRule="auto"/>
        <w:ind w:left="259"/>
        <w:jc w:val="left"/>
      </w:pPr>
      <w:r>
        <w:rPr>
          <w:rFonts w:ascii="Arial" w:hAnsi="Arial"/>
          <w:color w:val="525252"/>
          <w:sz w:val="13"/>
        </w:rPr>
        <w:t>The incessant air campaign garnered the desired results.</w:t>
      </w:r>
    </w:p>
    <w:p>
      <w:pPr>
        <w:spacing w:after="20" w:line="223" w:lineRule="auto"/>
        <w:jc w:val="right"/>
        <w:bidi/>
      </w:pPr>
      <w:r>
        <w:rPr>
          <w:rFonts w:ascii="Arial" w:hAnsi="Arial"/>
          <w:sz w:val="16"/>
        </w:rPr>
        <w:t>047.16  عملیات نیروی عمدی نقش کلیدی در پایان دادن به جنگ در بوسنی ایفا کرد.</w:t>
      </w:r>
    </w:p>
    <w:p>
      <w:pPr>
        <w:spacing w:after="28" w:line="216" w:lineRule="auto"/>
        <w:ind w:left="259"/>
        <w:jc w:val="left"/>
      </w:pPr>
      <w:r>
        <w:rPr>
          <w:rFonts w:ascii="Arial" w:hAnsi="Arial"/>
          <w:color w:val="525252"/>
          <w:sz w:val="13"/>
        </w:rPr>
        <w:t>Operation Deliberate Force played a key role in ending the war in Bosnia.</w:t>
      </w:r>
    </w:p>
    <w:p>
      <w:pPr>
        <w:spacing w:after="20" w:line="223" w:lineRule="auto"/>
        <w:jc w:val="right"/>
        <w:bidi/>
      </w:pPr>
      <w:r>
        <w:rPr>
          <w:rFonts w:ascii="Arial" w:hAnsi="Arial"/>
          <w:sz w:val="16"/>
        </w:rPr>
        <w:t>047.17  در ۱۴ سپتامبر همان سال، صرب‌ها با شرایط ناتو موافقت کردند و بمباران متوقف شد.</w:t>
      </w:r>
    </w:p>
    <w:p>
      <w:pPr>
        <w:spacing w:after="28" w:line="216" w:lineRule="auto"/>
        <w:ind w:left="259"/>
        <w:jc w:val="left"/>
      </w:pPr>
      <w:r>
        <w:rPr>
          <w:rFonts w:ascii="Arial" w:hAnsi="Arial"/>
          <w:color w:val="525252"/>
          <w:sz w:val="13"/>
        </w:rPr>
        <w:t>On 14 September that same year, the Serbs agreed to NATO terms and the bombing stopped.</w:t>
      </w:r>
    </w:p>
    <w:p>
      <w:pPr>
        <w:spacing w:after="20" w:line="223" w:lineRule="auto"/>
        <w:jc w:val="right"/>
        <w:bidi/>
      </w:pPr>
      <w:r>
        <w:rPr>
          <w:rFonts w:ascii="Arial" w:hAnsi="Arial"/>
          <w:sz w:val="16"/>
        </w:rPr>
        <w:t>047.18  عملیات نیروی عمدی رسما در ۲۱ سپتامبر ۱۹۹۵ پایان یافت.</w:t>
      </w:r>
    </w:p>
    <w:p>
      <w:pPr>
        <w:spacing w:after="28" w:line="216" w:lineRule="auto"/>
        <w:ind w:left="259"/>
        <w:jc w:val="left"/>
      </w:pPr>
      <w:r>
        <w:rPr>
          <w:rFonts w:ascii="Arial" w:hAnsi="Arial"/>
          <w:color w:val="525252"/>
          <w:sz w:val="13"/>
        </w:rPr>
        <w:t>Operation Deliberate Force officially ended on 21 September 1995.</w:t>
      </w:r>
    </w:p>
    <w:p>
      <w:pPr>
        <w:spacing w:after="20" w:line="223" w:lineRule="auto"/>
        <w:jc w:val="right"/>
        <w:bidi/>
      </w:pPr>
      <w:r>
        <w:rPr>
          <w:rFonts w:ascii="Arial" w:hAnsi="Arial"/>
          <w:sz w:val="16"/>
        </w:rPr>
        <w:t>047.19  حفاظت از نسل کشی کردها و عملیات اعتصاب صحرا.</w:t>
      </w:r>
    </w:p>
    <w:p>
      <w:pPr>
        <w:spacing w:after="28" w:line="216" w:lineRule="auto"/>
        <w:ind w:left="259"/>
        <w:jc w:val="left"/>
      </w:pPr>
      <w:r>
        <w:rPr>
          <w:rFonts w:ascii="Arial" w:hAnsi="Arial"/>
          <w:color w:val="525252"/>
          <w:sz w:val="13"/>
        </w:rPr>
        <w:t>Kurd Genocide Protection and Operation Desert Strike.</w:t>
      </w:r>
    </w:p>
    <w:p>
      <w:pPr>
        <w:spacing w:after="20" w:line="223" w:lineRule="auto"/>
        <w:jc w:val="right"/>
        <w:bidi/>
      </w:pPr>
      <w:r>
        <w:rPr>
          <w:rFonts w:ascii="Arial" w:hAnsi="Arial"/>
          <w:sz w:val="16"/>
        </w:rPr>
        <w:t>047.20  در آگوست ۱۹۹۶، صدام حسین دستور حمله به شهر اربیل در کردستان عراق را صادر کرد.</w:t>
      </w:r>
    </w:p>
    <w:p>
      <w:pPr>
        <w:spacing w:after="28" w:line="216" w:lineRule="auto"/>
        <w:ind w:left="259"/>
        <w:jc w:val="left"/>
      </w:pPr>
      <w:r>
        <w:rPr>
          <w:rFonts w:ascii="Arial" w:hAnsi="Arial"/>
          <w:color w:val="525252"/>
          <w:sz w:val="13"/>
        </w:rPr>
        <w:t>In August 1996, Saddam Hussein ordered an attack on the city of Irbil in Iraqi Kurdistan.</w:t>
      </w:r>
    </w:p>
    <w:p>
      <w:pPr>
        <w:spacing w:after="20" w:line="223" w:lineRule="auto"/>
        <w:jc w:val="right"/>
        <w:bidi/>
      </w:pPr>
      <w:r>
        <w:rPr>
          <w:rFonts w:ascii="Arial" w:hAnsi="Arial"/>
          <w:sz w:val="16"/>
        </w:rPr>
        <w:t>047.21  این حمله ترس آمریکایی‌ها را از یک کارزار نسل کشی علیه کردها، مشابه کمپین‌های ۱۹۸۸ و ۱۹۹۱، برانگیخت.</w:t>
      </w:r>
    </w:p>
    <w:p>
      <w:pPr>
        <w:spacing w:after="28" w:line="216" w:lineRule="auto"/>
        <w:ind w:left="259"/>
        <w:jc w:val="left"/>
      </w:pPr>
      <w:r>
        <w:rPr>
          <w:rFonts w:ascii="Arial" w:hAnsi="Arial"/>
          <w:color w:val="525252"/>
          <w:sz w:val="13"/>
        </w:rPr>
        <w:t>This attack stoked American fears of a genocidal campaign against the Kurds, similar to the campaigns of 1988 and 1991.</w:t>
      </w:r>
    </w:p>
    <w:p>
      <w:pPr>
        <w:spacing w:after="20" w:line="223" w:lineRule="auto"/>
        <w:jc w:val="right"/>
        <w:bidi/>
      </w:pPr>
      <w:r>
        <w:rPr>
          <w:rFonts w:ascii="Arial" w:hAnsi="Arial"/>
          <w:sz w:val="16"/>
        </w:rPr>
        <w:t>047.22  همچنین صدام را در نقض آشکار قطعنامه ۶۸۸ شورای امنیت سازمان ملل متحد قرار داد که سرکوب اقلیت‌های قومی عراق را ممنوع می‌کند.</w:t>
      </w:r>
    </w:p>
    <w:p>
      <w:pPr>
        <w:spacing w:after="28" w:line="216" w:lineRule="auto"/>
        <w:ind w:left="259"/>
        <w:jc w:val="left"/>
      </w:pPr>
      <w:r>
        <w:rPr>
          <w:rFonts w:ascii="Arial" w:hAnsi="Arial"/>
          <w:color w:val="525252"/>
          <w:sz w:val="13"/>
        </w:rPr>
        <w:t>It also placed Saddam in clear violation of United Nations Security Council Resolution 688, forbidding repression of Iraq’s ethnic minorities.</w:t>
      </w:r>
    </w:p>
    <w:p>
      <w:pPr>
        <w:spacing w:after="20" w:line="223" w:lineRule="auto"/>
        <w:jc w:val="right"/>
        <w:bidi/>
      </w:pPr>
      <w:r>
        <w:rPr>
          <w:rFonts w:ascii="Arial" w:hAnsi="Arial"/>
          <w:sz w:val="16"/>
        </w:rPr>
        <w:t>047.23  عملیات ضربت صحرا یک سری حملات را علیه صدام انجام داد.</w:t>
      </w:r>
    </w:p>
    <w:p>
      <w:pPr>
        <w:spacing w:after="28" w:line="216" w:lineRule="auto"/>
        <w:ind w:left="259"/>
        <w:jc w:val="left"/>
      </w:pPr>
      <w:r>
        <w:rPr>
          <w:rFonts w:ascii="Arial" w:hAnsi="Arial"/>
          <w:color w:val="525252"/>
          <w:sz w:val="13"/>
        </w:rPr>
        <w:t>Operation Desert Strike launched a series of strikes against Saddam.</w:t>
      </w:r>
    </w:p>
    <w:p>
      <w:pPr>
        <w:spacing w:after="20" w:line="223" w:lineRule="auto"/>
        <w:jc w:val="right"/>
        <w:bidi/>
      </w:pPr>
      <w:r>
        <w:rPr>
          <w:rFonts w:ascii="Arial" w:hAnsi="Arial"/>
          <w:sz w:val="16"/>
        </w:rPr>
        <w:t>047.24  در همان بازه زمانی، عملیات پناهگاه اقیانوس آرام، که اغلب به‌عنوان عملیات ترانزیت سریع از آن یاد می‌شود، تلاشی چند مرحله‌ای را برای انتقال هوایی حدود ۷۰۰۰ کرد آواره به مناطق امن آغاز کرد.</w:t>
      </w:r>
    </w:p>
    <w:p>
      <w:pPr>
        <w:spacing w:after="28" w:line="216" w:lineRule="auto"/>
        <w:ind w:left="259"/>
        <w:jc w:val="left"/>
      </w:pPr>
      <w:r>
        <w:rPr>
          <w:rFonts w:ascii="Arial" w:hAnsi="Arial"/>
          <w:color w:val="525252"/>
          <w:sz w:val="13"/>
        </w:rPr>
        <w:t>In that same timeframe, Operation Pacific Haven, often referred to as Operation Quick Transit, began a multi-stage effort to provide airlift for as many as 7,000 displaced Kurds to safe areas.</w:t>
      </w:r>
    </w:p>
    <w:p>
      <w:pPr>
        <w:spacing w:after="20" w:line="223" w:lineRule="auto"/>
        <w:jc w:val="right"/>
        <w:bidi/>
      </w:pPr>
      <w:r>
        <w:rPr>
          <w:rFonts w:ascii="Arial" w:hAnsi="Arial"/>
          <w:sz w:val="16"/>
        </w:rPr>
        <w:t>047.25  سلاح‌های کشتار جمعی و عملیات روباه صحرا.</w:t>
      </w:r>
    </w:p>
    <w:p>
      <w:pPr>
        <w:spacing w:after="28" w:line="216" w:lineRule="auto"/>
        <w:ind w:left="259"/>
        <w:jc w:val="left"/>
      </w:pPr>
      <w:r>
        <w:rPr>
          <w:rFonts w:ascii="Arial" w:hAnsi="Arial"/>
          <w:color w:val="525252"/>
          <w:sz w:val="13"/>
        </w:rPr>
        <w:t>Iraqi Weapons of Mass Destruction and Operation Desert Fox.</w:t>
      </w:r>
    </w:p>
    <w:p>
      <w:pPr>
        <w:spacing w:after="20" w:line="223" w:lineRule="auto"/>
        <w:jc w:val="right"/>
        <w:bidi/>
      </w:pPr>
      <w:r>
        <w:rPr>
          <w:rFonts w:ascii="Arial" w:hAnsi="Arial"/>
          <w:sz w:val="16"/>
        </w:rPr>
        <w:t>047.26  عملیات روباه صحرا یک کمپین بمباران چهار روزه در سال ۱۹۹۸ بود که به تاسیساتی در عراق که گمان می‌رود برای تولید سلاح‌های کشتار جمعی استفاده می‌شد، هدایت شد.</w:t>
      </w:r>
    </w:p>
    <w:p>
      <w:pPr>
        <w:spacing w:after="28" w:line="216" w:lineRule="auto"/>
        <w:ind w:left="259"/>
        <w:jc w:val="left"/>
      </w:pPr>
      <w:r>
        <w:rPr>
          <w:rFonts w:ascii="Arial" w:hAnsi="Arial"/>
          <w:color w:val="525252"/>
          <w:sz w:val="13"/>
        </w:rPr>
        <w:t>Operation Desert Fox was a four-day bombing campaign in 1998, directed at facilities in Iraq believed to be used to produce weapons of mass destruction.</w:t>
      </w:r>
    </w:p>
    <w:p>
      <w:pPr>
        <w:spacing w:after="20" w:line="223" w:lineRule="auto"/>
        <w:jc w:val="right"/>
        <w:bidi/>
      </w:pPr>
      <w:r>
        <w:rPr>
          <w:rFonts w:ascii="Arial" w:hAnsi="Arial"/>
          <w:sz w:val="16"/>
        </w:rPr>
        <w:t>047.27  این اعتصاب در نتیجه مقاومت صدام حسین برای تبعیت از شورای امنیت سازمان ملل متحد و تیم‌های بازرسی آغاز شد.</w:t>
      </w:r>
    </w:p>
    <w:p>
      <w:pPr>
        <w:spacing w:after="28" w:line="216" w:lineRule="auto"/>
        <w:ind w:left="259"/>
        <w:jc w:val="left"/>
      </w:pPr>
      <w:r>
        <w:rPr>
          <w:rFonts w:ascii="Arial" w:hAnsi="Arial"/>
          <w:color w:val="525252"/>
          <w:sz w:val="13"/>
        </w:rPr>
        <w:t>The strike was initiated as a result of Saddam Hussein’s resistance to comply with United Nations Security Council and the inspection teams.</w:t>
      </w:r>
    </w:p>
    <w:p>
      <w:pPr>
        <w:spacing w:after="20" w:line="223" w:lineRule="auto"/>
        <w:jc w:val="right"/>
        <w:bidi/>
      </w:pPr>
      <w:r>
        <w:rPr>
          <w:rFonts w:ascii="Arial" w:hAnsi="Arial"/>
          <w:sz w:val="16"/>
        </w:rPr>
        <w:t>047.28  عملیات روباه صحرا بزرگترین حمله به عراق در چند سال اخیر بود.</w:t>
      </w:r>
    </w:p>
    <w:p>
      <w:pPr>
        <w:spacing w:after="28" w:line="216" w:lineRule="auto"/>
        <w:ind w:left="259"/>
        <w:jc w:val="left"/>
      </w:pPr>
      <w:r>
        <w:rPr>
          <w:rFonts w:ascii="Arial" w:hAnsi="Arial"/>
          <w:color w:val="525252"/>
          <w:sz w:val="13"/>
        </w:rPr>
        <w:t>Operation Desert Fox was the largest strike against Iraq in several years.</w:t>
      </w:r>
    </w:p>
    <w:p>
      <w:pPr>
        <w:spacing w:after="20" w:line="223" w:lineRule="auto"/>
        <w:jc w:val="right"/>
        <w:bidi/>
      </w:pPr>
      <w:r>
        <w:rPr>
          <w:rFonts w:ascii="Arial" w:hAnsi="Arial"/>
          <w:sz w:val="16"/>
        </w:rPr>
        <w:t>047.29  انتقادات متعددی در مورد میزان، روش‌ها، نیات و نتایج حمله دریافت شد.</w:t>
      </w:r>
    </w:p>
    <w:p>
      <w:pPr>
        <w:spacing w:after="28" w:line="216" w:lineRule="auto"/>
        <w:ind w:left="259"/>
        <w:jc w:val="left"/>
      </w:pPr>
      <w:r>
        <w:rPr>
          <w:rFonts w:ascii="Arial" w:hAnsi="Arial"/>
          <w:color w:val="525252"/>
          <w:sz w:val="13"/>
        </w:rPr>
        <w:t>Criticism was received on several accounts as to the extent, methods, intentions, and outcomes of the attack.</w:t>
      </w:r>
    </w:p>
    <w:p>
      <w:pPr>
        <w:spacing w:after="20" w:line="223" w:lineRule="auto"/>
        <w:jc w:val="right"/>
        <w:bidi/>
      </w:pPr>
      <w:r>
        <w:rPr>
          <w:rFonts w:ascii="Arial" w:hAnsi="Arial"/>
          <w:sz w:val="16"/>
        </w:rPr>
        <w:t>047.30  در نهایت، اقدامات بسیار مؤثر انجام شده در طول عملیات موفقیت آمیز تلقی شد.</w:t>
      </w:r>
    </w:p>
    <w:p>
      <w:pPr>
        <w:spacing w:after="28" w:line="216" w:lineRule="auto"/>
        <w:ind w:left="259"/>
        <w:jc w:val="left"/>
      </w:pPr>
      <w:r>
        <w:rPr>
          <w:rFonts w:ascii="Arial" w:hAnsi="Arial"/>
          <w:color w:val="525252"/>
          <w:sz w:val="13"/>
        </w:rPr>
        <w:t>Ultimately, the highly effective actions taken during the operation were deemed to be a success.</w:t>
      </w:r>
    </w:p>
    <w:p>
      <w:pPr>
        <w:spacing w:after="20" w:line="223" w:lineRule="auto"/>
        <w:jc w:val="right"/>
        <w:bidi/>
      </w:pPr>
      <w:r>
        <w:rPr>
          <w:rFonts w:ascii="Arial" w:hAnsi="Arial"/>
          <w:sz w:val="16"/>
        </w:rPr>
        <w:t>047.31  پیشگیری از خشونت قومی صرب و عملیات نیروهای متحد.</w:t>
      </w:r>
    </w:p>
    <w:p>
      <w:pPr>
        <w:spacing w:after="28" w:line="216" w:lineRule="auto"/>
        <w:ind w:left="259"/>
        <w:jc w:val="left"/>
      </w:pPr>
      <w:r>
        <w:rPr>
          <w:rFonts w:ascii="Arial" w:hAnsi="Arial"/>
          <w:color w:val="525252"/>
          <w:sz w:val="13"/>
        </w:rPr>
        <w:t>Serb Ethnic Violence Prevention and Operation Allied Force.</w:t>
      </w:r>
    </w:p>
    <w:p>
      <w:pPr>
        <w:spacing w:after="20" w:line="223" w:lineRule="auto"/>
        <w:jc w:val="right"/>
        <w:bidi/>
      </w:pPr>
      <w:r>
        <w:rPr>
          <w:rFonts w:ascii="Arial" w:hAnsi="Arial"/>
          <w:sz w:val="16"/>
        </w:rPr>
        <w:t>047.32  پس از فروپاشی یوگسلاوی پس از جنگ سرد، ظلم تدریجی دولت صربستان بر جمعیت آلبانیایی قومی برای تقریبا یک دهه در نهایت به خشونت و کشتار جمعی افزایش یافت.</w:t>
      </w:r>
    </w:p>
    <w:p>
      <w:pPr>
        <w:spacing w:after="28" w:line="216" w:lineRule="auto"/>
        <w:ind w:left="259"/>
        <w:jc w:val="left"/>
      </w:pPr>
      <w:r>
        <w:rPr>
          <w:rFonts w:ascii="Arial" w:hAnsi="Arial"/>
          <w:color w:val="525252"/>
          <w:sz w:val="13"/>
        </w:rPr>
        <w:t>After the post-Cold War breakup of Yugoslavia, the Serbian government’s gradual oppression over the ethnic Albanian population for almost a decade eventually escalated to violence and mass killings.</w:t>
      </w:r>
    </w:p>
    <w:p>
      <w:pPr>
        <w:spacing w:after="20" w:line="223" w:lineRule="auto"/>
        <w:jc w:val="right"/>
        <w:bidi/>
      </w:pPr>
      <w:r>
        <w:rPr>
          <w:rFonts w:ascii="Arial" w:hAnsi="Arial"/>
          <w:sz w:val="16"/>
        </w:rPr>
        <w:t>047.33  جامعه بین المللی در بهار ۱۹۹۸ با رهبران صربستان برای یافتن راه حلی قابل قبول برای همه طرف‌ها مذاکره کرد.</w:t>
      </w:r>
    </w:p>
    <w:p>
      <w:pPr>
        <w:spacing w:after="28" w:line="216" w:lineRule="auto"/>
        <w:ind w:left="259"/>
        <w:jc w:val="left"/>
      </w:pPr>
      <w:r>
        <w:rPr>
          <w:rFonts w:ascii="Arial" w:hAnsi="Arial"/>
          <w:color w:val="525252"/>
          <w:sz w:val="13"/>
        </w:rPr>
        <w:t>The international community began to negotiate with Serbian leaders in the spring of 1998 for a solution acceptable to all parties.</w:t>
      </w:r>
    </w:p>
    <w:p>
      <w:pPr>
        <w:spacing w:after="20" w:line="223" w:lineRule="auto"/>
        <w:jc w:val="right"/>
        <w:bidi/>
      </w:pPr>
      <w:r>
        <w:rPr>
          <w:rFonts w:ascii="Arial" w:hAnsi="Arial"/>
          <w:sz w:val="16"/>
        </w:rPr>
        <w:t>047.34  صرب‌ها به رهبری رئیس جمهور اسلوبودان میلوسویچ، این موضوع را یک موضوع داخلی می‌دانستند.</w:t>
      </w:r>
    </w:p>
    <w:p>
      <w:pPr>
        <w:spacing w:after="28" w:line="216" w:lineRule="auto"/>
        <w:ind w:left="259"/>
        <w:jc w:val="left"/>
      </w:pPr>
      <w:r>
        <w:rPr>
          <w:rFonts w:ascii="Arial" w:hAnsi="Arial"/>
          <w:color w:val="525252"/>
          <w:sz w:val="13"/>
        </w:rPr>
        <w:t>The Serbs, led by President Slobodan Milosevic, considered the matter an internal one.</w:t>
      </w:r>
    </w:p>
    <w:p>
      <w:pPr>
        <w:spacing w:after="20" w:line="223" w:lineRule="auto"/>
        <w:jc w:val="right"/>
        <w:bidi/>
      </w:pPr>
      <w:r>
        <w:rPr>
          <w:rFonts w:ascii="Arial" w:hAnsi="Arial"/>
          <w:sz w:val="16"/>
        </w:rPr>
        <w:t>047.35  تلاش نهایی برای مذاکره برای حل و فصل در ژانویه ۱۹۹۹ در رامبویه، فرانسه آغاز شد، اما مذاکرات بلافاصله پس از آن شکست خورد.</w:t>
      </w:r>
    </w:p>
    <w:p>
      <w:pPr>
        <w:spacing w:after="28" w:line="216" w:lineRule="auto"/>
        <w:ind w:left="259"/>
        <w:jc w:val="left"/>
      </w:pPr>
      <w:r>
        <w:rPr>
          <w:rFonts w:ascii="Arial" w:hAnsi="Arial"/>
          <w:color w:val="525252"/>
          <w:sz w:val="13"/>
        </w:rPr>
        <w:t>A final effort to negotiate a settlement began in January 1999 at Rambouillet, France, but talks broke down soon after.</w:t>
      </w:r>
    </w:p>
    <w:p>
      <w:pPr>
        <w:spacing w:after="20" w:line="223" w:lineRule="auto"/>
        <w:jc w:val="right"/>
        <w:bidi/>
      </w:pPr>
      <w:r>
        <w:rPr>
          <w:rFonts w:ascii="Arial" w:hAnsi="Arial"/>
          <w:sz w:val="16"/>
        </w:rPr>
        <w:t>047.36  وقتی دیپلماسی شکست خورد، ناتو نگران احتمال وقوع یک جنگ داخلی نسل کشی و بی ثباتی در سراسر منطقه بالکان در جنوب شرقی اروپا بود.</w:t>
      </w:r>
    </w:p>
    <w:p>
      <w:pPr>
        <w:spacing w:after="28" w:line="216" w:lineRule="auto"/>
        <w:ind w:left="259"/>
        <w:jc w:val="left"/>
      </w:pPr>
      <w:r>
        <w:rPr>
          <w:rFonts w:ascii="Arial" w:hAnsi="Arial"/>
          <w:color w:val="525252"/>
          <w:sz w:val="13"/>
        </w:rPr>
        <w:t>When diplomacy failed, NATO worried about the possibility of a genocidal civil war and destabilization throughout the Balkan region in southeastern Europe.</w:t>
      </w:r>
    </w:p>
    <w:p>
      <w:pPr>
        <w:spacing w:after="20" w:line="223" w:lineRule="auto"/>
        <w:jc w:val="right"/>
        <w:bidi/>
      </w:pPr>
      <w:r>
        <w:rPr>
          <w:rFonts w:ascii="Arial" w:hAnsi="Arial"/>
          <w:sz w:val="16"/>
        </w:rPr>
        <w:t>047.37  هنگامی که رئیس جمهور میلوسویچ یک حمله ظالمانه را برای سرکوب ارتش آزادیبخش کوزوو و بیرون راندن آلبانیایی‌های قومی از کوزوو آغاز کرد، متفقین که با یک بحران انسانی عظیم روبرو شدند، به نیروی هوایی روی آوردند.</w:t>
      </w:r>
    </w:p>
    <w:p>
      <w:pPr>
        <w:spacing w:after="28" w:line="216" w:lineRule="auto"/>
        <w:ind w:left="259"/>
        <w:jc w:val="left"/>
      </w:pPr>
      <w:r>
        <w:rPr>
          <w:rFonts w:ascii="Arial" w:hAnsi="Arial"/>
          <w:color w:val="525252"/>
          <w:sz w:val="13"/>
        </w:rPr>
        <w:t>When President Milosevic unleashed a ruthless offensive designed to crush the Kosovo Liberation Army and drive ethnic Albanians out of Kosovo, the Allies, faced with a massive humanitarian crisis, turned to airpower.</w:t>
      </w:r>
    </w:p>
    <w:p>
      <w:pPr>
        <w:spacing w:after="20" w:line="223" w:lineRule="auto"/>
        <w:jc w:val="right"/>
        <w:bidi/>
      </w:pPr>
      <w:r>
        <w:rPr>
          <w:rFonts w:ascii="Arial" w:hAnsi="Arial"/>
          <w:sz w:val="16"/>
        </w:rPr>
        <w:t>047.38  عملیات نیروهای متفقین در ۲۴ مارس ۱۹۹۹ برای وادار کردن صربستان به پذیرش شروط برای پایان دادن به درگیری در کوزوو و جلوگیری از تکرار پاکسازی قومی که در بوسنی رخ داد آغاز شد.</w:t>
      </w:r>
    </w:p>
    <w:p>
      <w:pPr>
        <w:spacing w:after="28" w:line="216" w:lineRule="auto"/>
        <w:ind w:left="259"/>
        <w:jc w:val="left"/>
      </w:pPr>
      <w:r>
        <w:rPr>
          <w:rFonts w:ascii="Arial" w:hAnsi="Arial"/>
          <w:color w:val="525252"/>
          <w:sz w:val="13"/>
        </w:rPr>
        <w:t>Operation Allied Force began on 24 March 1999 to force Serbia to accept terms to end the conflict in Kosovo and prevent a repeat of the ethnic cleansing that took place in Bosnia.</w:t>
      </w:r>
    </w:p>
    <w:p>
      <w:pPr>
        <w:spacing w:after="20" w:line="223" w:lineRule="auto"/>
        <w:jc w:val="right"/>
        <w:bidi/>
      </w:pPr>
      <w:r>
        <w:rPr>
          <w:rFonts w:ascii="Arial" w:hAnsi="Arial"/>
          <w:sz w:val="16"/>
        </w:rPr>
        <w:t>047.39  عملیات با سه هدف آغاز شد: نشان دادن مخالفت با تجاوز. میلوسویچ را از تشدید حملات علیه غیرنظامیان بازدارد. و به توانایی صربستان برای جنگ علیه کوزوو آسیب برساند.</w:t>
      </w:r>
    </w:p>
    <w:p>
      <w:pPr>
        <w:spacing w:after="28" w:line="216" w:lineRule="auto"/>
        <w:ind w:left="259"/>
        <w:jc w:val="left"/>
      </w:pPr>
      <w:r>
        <w:rPr>
          <w:rFonts w:ascii="Arial" w:hAnsi="Arial"/>
          <w:color w:val="525252"/>
          <w:sz w:val="13"/>
        </w:rPr>
        <w:t>The operation was initiated with three objectives: demonstrate opposition to aggression; deter Milosevic from escalating attacks on civilians; and damage Serbia’s capability to wage war against Kosovo.</w:t>
      </w:r>
    </w:p>
    <w:p>
      <w:r>
        <w:br w:type="page"/>
      </w:r>
    </w:p>
    <w:p>
      <w:pPr>
        <w:spacing w:after="60"/>
        <w:jc w:val="right"/>
        <w:bidi/>
      </w:pPr>
      <w:r>
        <w:rPr>
          <w:rFonts w:ascii="Arial" w:hAnsi="Arial"/>
          <w:b/>
          <w:color w:val="1F4D78"/>
          <w:sz w:val="19"/>
        </w:rPr>
        <w:t>هفتهٔ 48  |  صفحهٔ منبع: 64</w:t>
      </w:r>
    </w:p>
    <w:p>
      <w:pPr>
        <w:spacing w:after="20" w:line="223" w:lineRule="auto"/>
        <w:jc w:val="right"/>
        <w:bidi/>
      </w:pPr>
      <w:r>
        <w:rPr>
          <w:rFonts w:ascii="Arial" w:hAnsi="Arial"/>
          <w:sz w:val="16"/>
        </w:rPr>
        <w:t>048.01  متاسفانه عزم میلوسویچ دست‌کم گرفته شد.</w:t>
      </w:r>
    </w:p>
    <w:p>
      <w:pPr>
        <w:spacing w:after="28" w:line="216" w:lineRule="auto"/>
        <w:ind w:left="259"/>
        <w:jc w:val="left"/>
      </w:pPr>
      <w:r>
        <w:rPr>
          <w:rFonts w:ascii="Arial" w:hAnsi="Arial"/>
          <w:color w:val="525252"/>
          <w:sz w:val="13"/>
        </w:rPr>
        <w:t>Unfortunately, Milosevic’s resolve was underestimated.</w:t>
      </w:r>
    </w:p>
    <w:p>
      <w:pPr>
        <w:spacing w:after="20" w:line="223" w:lineRule="auto"/>
        <w:jc w:val="right"/>
        <w:bidi/>
      </w:pPr>
      <w:r>
        <w:rPr>
          <w:rFonts w:ascii="Arial" w:hAnsi="Arial"/>
          <w:sz w:val="16"/>
        </w:rPr>
        <w:t>048.02  آنچه که تصور می‌شد به چند روز حمله هوایی نیاز داشت، ۷۸ روز طول کشید و ۳۰۰۱۸ سورتی پرواز برای ایمن کردن هدف انجام شد.</w:t>
      </w:r>
    </w:p>
    <w:p>
      <w:pPr>
        <w:spacing w:after="28" w:line="216" w:lineRule="auto"/>
        <w:ind w:left="259"/>
        <w:jc w:val="left"/>
      </w:pPr>
      <w:r>
        <w:rPr>
          <w:rFonts w:ascii="Arial" w:hAnsi="Arial"/>
          <w:color w:val="525252"/>
          <w:sz w:val="13"/>
        </w:rPr>
        <w:t>What was believed to require a few days of airstrikes turned out to take 78 days, with 30,018 sorties to secure the objective.</w:t>
      </w:r>
    </w:p>
    <w:p>
      <w:pPr>
        <w:spacing w:after="20" w:line="223" w:lineRule="auto"/>
        <w:jc w:val="right"/>
        <w:bidi/>
      </w:pPr>
      <w:r>
        <w:rPr>
          <w:rFonts w:ascii="Arial" w:hAnsi="Arial"/>
          <w:sz w:val="16"/>
        </w:rPr>
        <w:t>048.03  عوامل اولیه‌ای که منجر به ختم عملیات شد، اتحاد و عزم بود.</w:t>
      </w:r>
    </w:p>
    <w:p>
      <w:pPr>
        <w:spacing w:after="28" w:line="216" w:lineRule="auto"/>
        <w:ind w:left="259"/>
        <w:jc w:val="left"/>
      </w:pPr>
      <w:r>
        <w:rPr>
          <w:rFonts w:ascii="Arial" w:hAnsi="Arial"/>
          <w:color w:val="525252"/>
          <w:sz w:val="13"/>
        </w:rPr>
        <w:t>The primary factors that led to the conclusion of the operation were unity and resolve.</w:t>
      </w:r>
    </w:p>
    <w:p>
      <w:pPr>
        <w:spacing w:after="20" w:line="223" w:lineRule="auto"/>
        <w:jc w:val="right"/>
        <w:bidi/>
      </w:pPr>
      <w:r>
        <w:rPr>
          <w:rFonts w:ascii="Arial" w:hAnsi="Arial"/>
          <w:sz w:val="16"/>
        </w:rPr>
        <w:t>048.04  این درسی برای میلوسویچ روشن بود که ناتو سخت بود و در طول کارزار به تدریج سخت‌تر شد.</w:t>
      </w:r>
    </w:p>
    <w:p>
      <w:pPr>
        <w:spacing w:after="28" w:line="216" w:lineRule="auto"/>
        <w:ind w:left="259"/>
        <w:jc w:val="left"/>
      </w:pPr>
      <w:r>
        <w:rPr>
          <w:rFonts w:ascii="Arial" w:hAnsi="Arial"/>
          <w:color w:val="525252"/>
          <w:sz w:val="13"/>
        </w:rPr>
        <w:t>The lesson was clear to Milosevic that NATO was tough and became progressively tougher throughout the campaign.</w:t>
      </w:r>
    </w:p>
    <w:p>
      <w:pPr>
        <w:spacing w:after="20" w:line="223" w:lineRule="auto"/>
        <w:jc w:val="right"/>
        <w:bidi/>
      </w:pPr>
      <w:r>
        <w:rPr>
          <w:rFonts w:ascii="Arial" w:hAnsi="Arial"/>
          <w:sz w:val="16"/>
        </w:rPr>
        <w:t>048.05  دقت و تداوم عملیات هوایی در متقاعد کردن میلوسویچ برای پایان دادن به مبارزه اساسی بود.</w:t>
      </w:r>
    </w:p>
    <w:p>
      <w:pPr>
        <w:spacing w:after="28" w:line="216" w:lineRule="auto"/>
        <w:ind w:left="259"/>
        <w:jc w:val="left"/>
      </w:pPr>
      <w:r>
        <w:rPr>
          <w:rFonts w:ascii="Arial" w:hAnsi="Arial"/>
          <w:color w:val="525252"/>
          <w:sz w:val="13"/>
        </w:rPr>
        <w:t>The precision and persistence of the air campaign was fundamental in convincing Milosevic to end the fight.</w:t>
      </w:r>
    </w:p>
    <w:p>
      <w:r>
        <w:br w:type="page"/>
      </w:r>
    </w:p>
    <w:p>
      <w:pPr>
        <w:spacing w:after="60"/>
        <w:jc w:val="right"/>
        <w:bidi/>
      </w:pPr>
      <w:r>
        <w:rPr>
          <w:rFonts w:ascii="Arial" w:hAnsi="Arial"/>
          <w:b/>
          <w:color w:val="1F4D78"/>
          <w:sz w:val="19"/>
        </w:rPr>
        <w:t>هفتهٔ 49  |  صفحهٔ منبع: 65</w:t>
      </w:r>
    </w:p>
    <w:p>
      <w:pPr>
        <w:spacing w:before="60" w:after="28"/>
        <w:jc w:val="right"/>
        <w:bidi/>
      </w:pPr>
      <w:r>
        <w:rPr>
          <w:b/>
          <w:color w:val="1F4D78"/>
          <w:sz w:val="18"/>
        </w:rPr>
        <w:t>بخش 3C- USAF و هزاره جدید</w:t>
      </w:r>
    </w:p>
    <w:p>
      <w:pPr>
        <w:spacing w:after="20"/>
        <w:ind w:left="259"/>
        <w:jc w:val="left"/>
      </w:pPr>
      <w:r>
        <w:rPr>
          <w:color w:val="555555"/>
          <w:sz w:val="12"/>
        </w:rPr>
        <w:t>Section 3C—The USAF and the New Millennium</w:t>
      </w:r>
    </w:p>
    <w:p>
      <w:pPr>
        <w:spacing w:before="60" w:after="28"/>
        <w:jc w:val="right"/>
        <w:bidi/>
      </w:pPr>
      <w:r>
        <w:rPr>
          <w:b/>
          <w:color w:val="1F4D78"/>
          <w:sz w:val="18"/>
        </w:rPr>
        <w:t>3.16. حملات تروریستی</w:t>
      </w:r>
    </w:p>
    <w:p>
      <w:pPr>
        <w:spacing w:after="20"/>
        <w:ind w:left="259"/>
        <w:jc w:val="left"/>
      </w:pPr>
      <w:r>
        <w:rPr>
          <w:color w:val="555555"/>
          <w:sz w:val="12"/>
        </w:rPr>
        <w:t>3.16. Terrorist Attacks</w:t>
      </w:r>
    </w:p>
    <w:p>
      <w:pPr>
        <w:spacing w:after="20" w:line="223" w:lineRule="auto"/>
        <w:jc w:val="right"/>
        <w:bidi/>
      </w:pPr>
      <w:r>
        <w:rPr>
          <w:rFonts w:ascii="Arial" w:hAnsi="Arial"/>
          <w:sz w:val="16"/>
        </w:rPr>
        <w:t>049.03  برج هایخبر.</w:t>
      </w:r>
    </w:p>
    <w:p>
      <w:pPr>
        <w:spacing w:after="28" w:line="216" w:lineRule="auto"/>
        <w:ind w:left="259"/>
        <w:jc w:val="left"/>
      </w:pPr>
      <w:r>
        <w:rPr>
          <w:rFonts w:ascii="Arial" w:hAnsi="Arial"/>
          <w:color w:val="525252"/>
          <w:sz w:val="13"/>
        </w:rPr>
        <w:t>Khobar Towers.</w:t>
      </w:r>
    </w:p>
    <w:p>
      <w:pPr>
        <w:spacing w:after="20" w:line="223" w:lineRule="auto"/>
        <w:jc w:val="right"/>
        <w:bidi/>
      </w:pPr>
      <w:r>
        <w:rPr>
          <w:rFonts w:ascii="Arial" w:hAnsi="Arial"/>
          <w:sz w:val="16"/>
        </w:rPr>
        <w:t>049.04  در شب ۲۵ ژوئن ۱۹۹۶، بمباران ساختمان ۱۳۱ در مجموعه برج‌های خبر، شکل ۳.۳، در ظهران، عربستان سعودی اولین بار بود که نیروی هوایی آمریکا مستقیما مورد هدف تروریست‌ها قرار گرفت و اولین بار بود که وزارت دفاع یک منطقه قلب‌های غیر بنفش را صادر کرد.</w:t>
      </w:r>
    </w:p>
    <w:p>
      <w:pPr>
        <w:spacing w:after="28" w:line="216" w:lineRule="auto"/>
        <w:ind w:left="259"/>
        <w:jc w:val="left"/>
      </w:pPr>
      <w:r>
        <w:rPr>
          <w:rFonts w:ascii="Arial" w:hAnsi="Arial"/>
          <w:color w:val="525252"/>
          <w:sz w:val="13"/>
        </w:rPr>
        <w:t>During the night of June 25, 1996, the bombing of building 131 in the Khobar Towers, Figure 3.3., complex in Dhahran, Saudi Arabia marked the 1st time that the USAF was directly targeted by terrorists and was the first time that the DoD issued purple hearts for a non-combat area.</w:t>
      </w:r>
    </w:p>
    <w:p>
      <w:pPr>
        <w:spacing w:after="20" w:line="223" w:lineRule="auto"/>
        <w:jc w:val="right"/>
        <w:bidi/>
      </w:pPr>
      <w:r>
        <w:rPr>
          <w:rFonts w:ascii="Arial" w:hAnsi="Arial"/>
          <w:sz w:val="16"/>
        </w:rPr>
        <w:t>049.05  ۱۹ نیروی هوایی کشته شدند (۲ افسر و ۱۷ سرباز) و صدها نفر مجروح شدند.</w:t>
      </w:r>
    </w:p>
    <w:p>
      <w:pPr>
        <w:spacing w:after="28" w:line="216" w:lineRule="auto"/>
        <w:ind w:left="259"/>
        <w:jc w:val="left"/>
      </w:pPr>
      <w:r>
        <w:rPr>
          <w:rFonts w:ascii="Arial" w:hAnsi="Arial"/>
          <w:color w:val="525252"/>
          <w:sz w:val="13"/>
        </w:rPr>
        <w:t>19 Airmen were killed (2 officers and 17 enlisted) and hundreds were injured.</w:t>
      </w:r>
    </w:p>
    <w:p>
      <w:pPr>
        <w:spacing w:after="20" w:line="223" w:lineRule="auto"/>
        <w:jc w:val="right"/>
        <w:bidi/>
      </w:pPr>
      <w:r>
        <w:rPr>
          <w:rFonts w:ascii="Arial" w:hAnsi="Arial"/>
          <w:sz w:val="16"/>
        </w:rPr>
        <w:t>049.06  متاسفانه، این حمله شنیع شکل ۳.۳.</w:t>
      </w:r>
    </w:p>
    <w:p>
      <w:pPr>
        <w:spacing w:after="28" w:line="216" w:lineRule="auto"/>
        <w:ind w:left="259"/>
        <w:jc w:val="left"/>
      </w:pPr>
      <w:r>
        <w:rPr>
          <w:rFonts w:ascii="Arial" w:hAnsi="Arial"/>
          <w:color w:val="525252"/>
          <w:sz w:val="13"/>
        </w:rPr>
        <w:t>Unfortunately, this heinous attack Figure 3.3.</w:t>
      </w:r>
    </w:p>
    <w:p>
      <w:pPr>
        <w:spacing w:after="20" w:line="223" w:lineRule="auto"/>
        <w:jc w:val="right"/>
        <w:bidi/>
      </w:pPr>
      <w:r>
        <w:rPr>
          <w:rFonts w:ascii="Arial" w:hAnsi="Arial"/>
          <w:sz w:val="16"/>
        </w:rPr>
        <w:t>049.07  حمله برج‌های خوب آخرین آخرین نخواهد بود.</w:t>
      </w:r>
    </w:p>
    <w:p>
      <w:pPr>
        <w:spacing w:after="28" w:line="216" w:lineRule="auto"/>
        <w:ind w:left="259"/>
        <w:jc w:val="left"/>
      </w:pPr>
      <w:r>
        <w:rPr>
          <w:rFonts w:ascii="Arial" w:hAnsi="Arial"/>
          <w:color w:val="525252"/>
          <w:sz w:val="13"/>
        </w:rPr>
        <w:t>Khobar Towers Attack wouldn’t be the last.</w:t>
      </w:r>
    </w:p>
    <w:p>
      <w:pPr>
        <w:spacing w:after="20" w:line="223" w:lineRule="auto"/>
        <w:jc w:val="right"/>
        <w:bidi/>
      </w:pPr>
      <w:r>
        <w:rPr>
          <w:rFonts w:ascii="Arial" w:hAnsi="Arial"/>
          <w:sz w:val="16"/>
        </w:rPr>
        <w:t>049.08  عملیات عقاب نجیب.</w:t>
      </w:r>
    </w:p>
    <w:p>
      <w:pPr>
        <w:spacing w:after="28" w:line="216" w:lineRule="auto"/>
        <w:ind w:left="259"/>
        <w:jc w:val="left"/>
      </w:pPr>
      <w:r>
        <w:rPr>
          <w:rFonts w:ascii="Arial" w:hAnsi="Arial"/>
          <w:color w:val="525252"/>
          <w:sz w:val="13"/>
        </w:rPr>
        <w:t>Operation Noble Eagle.</w:t>
      </w:r>
    </w:p>
    <w:p>
      <w:pPr>
        <w:spacing w:after="20" w:line="223" w:lineRule="auto"/>
        <w:jc w:val="right"/>
        <w:bidi/>
      </w:pPr>
      <w:r>
        <w:rPr>
          <w:rFonts w:ascii="Arial" w:hAnsi="Arial"/>
          <w:sz w:val="16"/>
        </w:rPr>
        <w:t>049.09  تروریسم در ۱۱ سپتامبر ۲۰۰۱ در یک حمله برنامه‌ریزی شده توسط افراط گرایان اسلامی هنگامی که تروریست‌های القاعده چهار هواپیمای مسافربری را که در حریم هوایی ایالات متحده پرواز می‌کردند، ربودند، به خانه حمله کرد.</w:t>
      </w:r>
    </w:p>
    <w:p>
      <w:pPr>
        <w:spacing w:after="28" w:line="216" w:lineRule="auto"/>
        <w:ind w:left="259"/>
        <w:jc w:val="left"/>
      </w:pPr>
      <w:r>
        <w:rPr>
          <w:rFonts w:ascii="Arial" w:hAnsi="Arial"/>
          <w:color w:val="525252"/>
          <w:sz w:val="13"/>
        </w:rPr>
        <w:t>Terrorism struck home on 11 September 2001 in a planned attack by Islamic extremists when Al Qaeda terrorists hijacked four airliners flying in United States airspace.</w:t>
      </w:r>
    </w:p>
    <w:p>
      <w:pPr>
        <w:spacing w:after="20" w:line="223" w:lineRule="auto"/>
        <w:jc w:val="right"/>
        <w:bidi/>
      </w:pPr>
      <w:r>
        <w:rPr>
          <w:rFonts w:ascii="Arial" w:hAnsi="Arial"/>
          <w:sz w:val="16"/>
        </w:rPr>
        <w:t>049.10  دو هواپیما به برج‌های مرکز تجارت جهانی، یکی به پنتاگون و چهارمی در یک میدان دورافتاده در پنسیلوانیا سقوط کرد.</w:t>
      </w:r>
    </w:p>
    <w:p>
      <w:pPr>
        <w:spacing w:after="28" w:line="216" w:lineRule="auto"/>
        <w:ind w:left="259"/>
        <w:jc w:val="left"/>
      </w:pPr>
      <w:r>
        <w:rPr>
          <w:rFonts w:ascii="Arial" w:hAnsi="Arial"/>
          <w:color w:val="525252"/>
          <w:sz w:val="13"/>
        </w:rPr>
        <w:t>Two aircraft were flown into the towers of the World Trade Center, one was flown into the Pentagon, and the fourth crashed in a remote field in Pennsylvania.</w:t>
      </w:r>
    </w:p>
    <w:p>
      <w:pPr>
        <w:spacing w:after="20" w:line="223" w:lineRule="auto"/>
        <w:jc w:val="right"/>
        <w:bidi/>
      </w:pPr>
      <w:r>
        <w:rPr>
          <w:rFonts w:ascii="Arial" w:hAnsi="Arial"/>
          <w:sz w:val="16"/>
        </w:rPr>
        <w:t>049.11  هزاران نفر در آن رویدادها مجروح شدند و ۲۹۹۶ نفر از جمله ۱۹ نفر از جمله شکل ۳.۴ جان باختند.</w:t>
      </w:r>
    </w:p>
    <w:p>
      <w:pPr>
        <w:spacing w:after="28" w:line="216" w:lineRule="auto"/>
        <w:ind w:left="259"/>
        <w:jc w:val="left"/>
      </w:pPr>
      <w:r>
        <w:rPr>
          <w:rFonts w:ascii="Arial" w:hAnsi="Arial"/>
          <w:color w:val="525252"/>
          <w:sz w:val="13"/>
        </w:rPr>
        <w:t>Thousands of people were injured in those events, and 2,996 people died, including the 19 Figure 3.4.</w:t>
      </w:r>
    </w:p>
    <w:p>
      <w:pPr>
        <w:spacing w:after="20" w:line="223" w:lineRule="auto"/>
        <w:jc w:val="right"/>
        <w:bidi/>
      </w:pPr>
      <w:r>
        <w:rPr>
          <w:rFonts w:ascii="Arial" w:hAnsi="Arial"/>
          <w:sz w:val="16"/>
        </w:rPr>
        <w:t>049.12  حملات تروریستی هواپیماربایان ۱۱ سپتامبر ۲۰۰۱.</w:t>
      </w:r>
    </w:p>
    <w:p>
      <w:pPr>
        <w:spacing w:after="28" w:line="216" w:lineRule="auto"/>
        <w:ind w:left="259"/>
        <w:jc w:val="left"/>
      </w:pPr>
      <w:r>
        <w:rPr>
          <w:rFonts w:ascii="Arial" w:hAnsi="Arial"/>
          <w:color w:val="525252"/>
          <w:sz w:val="13"/>
        </w:rPr>
        <w:t>Terrorist Attacks of 11 September 2001 hijackers.</w:t>
      </w:r>
    </w:p>
    <w:p>
      <w:pPr>
        <w:spacing w:after="20" w:line="223" w:lineRule="auto"/>
        <w:jc w:val="right"/>
        <w:bidi/>
      </w:pPr>
      <w:r>
        <w:rPr>
          <w:rFonts w:ascii="Arial" w:hAnsi="Arial"/>
          <w:sz w:val="16"/>
        </w:rPr>
        <w:t>049.13  در پاسخ، پرزیدنت جورج دبلیو بوش اعلام جنگ جهانی علیه تروریسم کرد.</w:t>
      </w:r>
    </w:p>
    <w:p>
      <w:pPr>
        <w:spacing w:after="28" w:line="216" w:lineRule="auto"/>
        <w:ind w:left="259"/>
        <w:jc w:val="left"/>
      </w:pPr>
      <w:r>
        <w:rPr>
          <w:rFonts w:ascii="Arial" w:hAnsi="Arial"/>
          <w:color w:val="525252"/>
          <w:sz w:val="13"/>
        </w:rPr>
        <w:t>In response, President George W. Bush declared a global war on terrorism.</w:t>
      </w:r>
    </w:p>
    <w:p>
      <w:pPr>
        <w:spacing w:before="60" w:after="28"/>
        <w:jc w:val="right"/>
        <w:bidi/>
      </w:pPr>
      <w:r>
        <w:rPr>
          <w:b/>
          <w:color w:val="1F4D78"/>
          <w:sz w:val="18"/>
        </w:rPr>
        <w:t>شکل 3.4. برای نشان دادن زمان هر یک از چهار حمله ارائه شده است.</w:t>
      </w:r>
    </w:p>
    <w:p>
      <w:pPr>
        <w:spacing w:after="20"/>
        <w:ind w:left="259"/>
        <w:jc w:val="left"/>
      </w:pPr>
      <w:r>
        <w:rPr>
          <w:color w:val="555555"/>
          <w:sz w:val="12"/>
        </w:rPr>
        <w:t>Figure 3.4. is provided to show the timing of each of the four attacks.</w:t>
      </w:r>
    </w:p>
    <w:p>
      <w:pPr>
        <w:spacing w:after="20" w:line="223" w:lineRule="auto"/>
        <w:jc w:val="right"/>
        <w:bidi/>
      </w:pPr>
      <w:r>
        <w:rPr>
          <w:rFonts w:ascii="Arial" w:hAnsi="Arial"/>
          <w:sz w:val="16"/>
        </w:rPr>
        <w:t>049.15  این اعمال خشونت‌آمیز بی‌سابقه هزاران کشته، هزاران نفر دیگر را غمگین و ملتی از آسیب‌پذیری‌های آینده خود نامطمئن بر جای گذاشت.</w:t>
      </w:r>
    </w:p>
    <w:p>
      <w:pPr>
        <w:spacing w:after="28" w:line="216" w:lineRule="auto"/>
        <w:ind w:left="259"/>
        <w:jc w:val="left"/>
      </w:pPr>
      <w:r>
        <w:rPr>
          <w:rFonts w:ascii="Arial" w:hAnsi="Arial"/>
          <w:color w:val="525252"/>
          <w:sz w:val="13"/>
        </w:rPr>
        <w:t>These unprecedented acts of violence left thousands dead, thousands more grieving, and a nation unsure of its future vulnerabilities.</w:t>
      </w:r>
    </w:p>
    <w:p>
      <w:pPr>
        <w:spacing w:after="20" w:line="223" w:lineRule="auto"/>
        <w:jc w:val="right"/>
        <w:bidi/>
      </w:pPr>
      <w:r>
        <w:rPr>
          <w:rFonts w:ascii="Arial" w:hAnsi="Arial"/>
          <w:sz w:val="16"/>
        </w:rPr>
        <w:t>049.16  چیزی که مسلم بود عمق و دامنه نفرت افراطی اسلامی بود.</w:t>
      </w:r>
    </w:p>
    <w:p>
      <w:pPr>
        <w:spacing w:after="28" w:line="216" w:lineRule="auto"/>
        <w:ind w:left="259"/>
        <w:jc w:val="left"/>
      </w:pPr>
      <w:r>
        <w:rPr>
          <w:rFonts w:ascii="Arial" w:hAnsi="Arial"/>
          <w:color w:val="525252"/>
          <w:sz w:val="13"/>
        </w:rPr>
        <w:t>One thing that was for certain was the depth and scope of radical Islamic hatred.</w:t>
      </w:r>
    </w:p>
    <w:p>
      <w:pPr>
        <w:spacing w:after="20" w:line="223" w:lineRule="auto"/>
        <w:jc w:val="right"/>
        <w:bidi/>
      </w:pPr>
      <w:r>
        <w:rPr>
          <w:rFonts w:ascii="Arial" w:hAnsi="Arial"/>
          <w:sz w:val="16"/>
        </w:rPr>
        <w:t>049.17  ایالات متحده فورا بر محافظت از میهن ما در برابر حملات هوایی داخلی و خارجی متمرکز شد و هواپیماهای جنگنده برای حمایت از عملیات عقاب نجیب شروع به پرواز گشت‌های هوایی رزمی در آسمان آمریکا کردند.</w:t>
      </w:r>
    </w:p>
    <w:p>
      <w:pPr>
        <w:spacing w:after="28" w:line="216" w:lineRule="auto"/>
        <w:ind w:left="259"/>
        <w:jc w:val="left"/>
      </w:pPr>
      <w:r>
        <w:rPr>
          <w:rFonts w:ascii="Arial" w:hAnsi="Arial"/>
          <w:color w:val="525252"/>
          <w:sz w:val="13"/>
        </w:rPr>
        <w:t>The United States immediately focused on protecting our homeland from both internal and external air attacks, and fighter aircraft began flying combat air patrols in the skies over America in support of Operation Noble Eagle.</w:t>
      </w:r>
    </w:p>
    <w:p>
      <w:pPr>
        <w:spacing w:after="20" w:line="223" w:lineRule="auto"/>
        <w:jc w:val="right"/>
        <w:bidi/>
      </w:pPr>
      <w:r>
        <w:rPr>
          <w:rFonts w:ascii="Arial" w:hAnsi="Arial"/>
          <w:sz w:val="16"/>
        </w:rPr>
        <w:t>049.18  هزاران نفر از نیروهای گارد ملی و پرسنل ذخیره برای حفاظت از دارایی‌های نظامی و غیرنظامی از جمله فرودگاه‌ها، تاسیسات نظامی و زیرساخت‌ها بسیج شدند.</w:t>
      </w:r>
    </w:p>
    <w:p>
      <w:pPr>
        <w:spacing w:after="28" w:line="216" w:lineRule="auto"/>
        <w:ind w:left="259"/>
        <w:jc w:val="left"/>
      </w:pPr>
      <w:r>
        <w:rPr>
          <w:rFonts w:ascii="Arial" w:hAnsi="Arial"/>
          <w:color w:val="525252"/>
          <w:sz w:val="13"/>
        </w:rPr>
        <w:t>Thousands of National Guard and Reserve personnel were mobilized to protect military and civilian assets, including airports, military installations, and infrastructure.</w:t>
      </w:r>
    </w:p>
    <w:p>
      <w:pPr>
        <w:spacing w:after="20" w:line="223" w:lineRule="auto"/>
        <w:jc w:val="right"/>
        <w:bidi/>
      </w:pPr>
      <w:r>
        <w:rPr>
          <w:rFonts w:ascii="Arial" w:hAnsi="Arial"/>
          <w:sz w:val="16"/>
        </w:rPr>
        <w:t>049.19  جنگنده، تانکر، و تجهیزات هوایی نظارتی USAF پوشش پاسخ رهگیری ۲۴ ساعته را تقریبا برای کل کشور فراهم کرد.</w:t>
      </w:r>
    </w:p>
    <w:p>
      <w:pPr>
        <w:spacing w:after="28" w:line="216" w:lineRule="auto"/>
        <w:ind w:left="259"/>
        <w:jc w:val="left"/>
      </w:pPr>
      <w:r>
        <w:rPr>
          <w:rFonts w:ascii="Arial" w:hAnsi="Arial"/>
          <w:color w:val="525252"/>
          <w:sz w:val="13"/>
        </w:rPr>
        <w:t>USAF fighter, tanker, and surveillance air assets provided 24-hour intercept response coverage for virtually the entire country.</w:t>
      </w:r>
    </w:p>
    <w:p>
      <w:pPr>
        <w:spacing w:after="20" w:line="223" w:lineRule="auto"/>
        <w:jc w:val="right"/>
        <w:bidi/>
      </w:pPr>
      <w:r>
        <w:rPr>
          <w:rFonts w:ascii="Arial" w:hAnsi="Arial"/>
          <w:sz w:val="16"/>
        </w:rPr>
        <w:t>049.20  ماه‌ها بعد، فرماندهی دفاع هوافضای آمریکای شمالی، با بیش از ۱۰۰ جنگنده گارد ملی هوایی، ذخیره USAF و جنگنده رگاف از ۲۶ مکان، به نظارت بر حریم هوایی آمریکا ادامه داد.</w:t>
      </w:r>
    </w:p>
    <w:p>
      <w:pPr>
        <w:spacing w:after="28" w:line="216" w:lineRule="auto"/>
        <w:ind w:left="259"/>
        <w:jc w:val="left"/>
      </w:pPr>
      <w:r>
        <w:rPr>
          <w:rFonts w:ascii="Arial" w:hAnsi="Arial"/>
          <w:color w:val="525252"/>
          <w:sz w:val="13"/>
        </w:rPr>
        <w:t>Months later, North American Aerospace Defense Command, with more than 100 Air National Guard, USAF Reserve, and RegAF fighters from 26 locations, continued to monitor American airspace.</w:t>
      </w:r>
    </w:p>
    <w:p>
      <w:pPr>
        <w:spacing w:after="20" w:line="223" w:lineRule="auto"/>
        <w:jc w:val="right"/>
        <w:bidi/>
      </w:pPr>
      <w:r>
        <w:rPr>
          <w:rFonts w:ascii="Arial" w:hAnsi="Arial"/>
          <w:sz w:val="16"/>
        </w:rPr>
        <w:t>049.21  در سراسر جهان، در حالی که آمریکایی‌ها تلاش می‌کردند پس از حوادث ۱۱ سپتامبر مجددا جمع شوند و به جلو بروند، در سراسر جهان حمایت و همبستگی کردند (حملات در اصطلاح عامیانه «۱۱ سپتامبر» نامیده می‌شوند).</w:t>
      </w:r>
    </w:p>
    <w:p>
      <w:pPr>
        <w:spacing w:after="28" w:line="216" w:lineRule="auto"/>
        <w:ind w:left="259"/>
        <w:jc w:val="left"/>
      </w:pPr>
      <w:r>
        <w:rPr>
          <w:rFonts w:ascii="Arial" w:hAnsi="Arial"/>
          <w:color w:val="525252"/>
          <w:sz w:val="13"/>
        </w:rPr>
        <w:t>Across the globe, nations offered support and solidarity as Americans tried to regroup and move forward in the aftermath of the events of 9/11(the attacks are colloquially referred to as “9/11”).</w:t>
      </w:r>
    </w:p>
    <w:p>
      <w:pPr>
        <w:spacing w:after="20" w:line="223" w:lineRule="auto"/>
        <w:jc w:val="right"/>
        <w:bidi/>
      </w:pPr>
      <w:r>
        <w:rPr>
          <w:rFonts w:ascii="Arial" w:hAnsi="Arial"/>
          <w:sz w:val="16"/>
        </w:rPr>
        <w:t>049.22  نمونه‌هایی از رشادت و فداکاری تا به امروز از اعضای نیروهای مسلح و غیرنظامیانی که همرزمان خود را از آتش ساختمان‌ها نجات می‌دهند، آتش نشان می‌دهند، مراقبت‌های پزشکی ارائه می‌کنند، به بازماندگان دلداری می‌دهند، و داوطلب می‌شوند تا هر کاری که می‌توانند پس از وقوع فاجعه انجام دهند، همچنان در جریان است.</w:t>
      </w:r>
    </w:p>
    <w:p>
      <w:pPr>
        <w:spacing w:after="28" w:line="216" w:lineRule="auto"/>
        <w:ind w:left="259"/>
        <w:jc w:val="left"/>
      </w:pPr>
      <w:r>
        <w:rPr>
          <w:rFonts w:ascii="Arial" w:hAnsi="Arial"/>
          <w:color w:val="525252"/>
          <w:sz w:val="13"/>
        </w:rPr>
        <w:t>Examples of bravery and sacrifice continue to circulate to this day of service members and civilians rescuing comrades from burning buildings, fighting fires, providing medical attention, comforting survivors, and volunteering to do whatever they could after the tragedy occurred.</w:t>
      </w:r>
    </w:p>
    <w:p>
      <w:r>
        <w:br w:type="page"/>
      </w:r>
    </w:p>
    <w:p>
      <w:pPr>
        <w:spacing w:after="60"/>
        <w:jc w:val="right"/>
        <w:bidi/>
      </w:pPr>
      <w:r>
        <w:rPr>
          <w:rFonts w:ascii="Arial" w:hAnsi="Arial"/>
          <w:b/>
          <w:color w:val="1F4D78"/>
          <w:sz w:val="19"/>
        </w:rPr>
        <w:t>هفتهٔ 50  |  صفحهٔ منبع: 66</w:t>
      </w:r>
    </w:p>
    <w:p>
      <w:pPr>
        <w:spacing w:before="60" w:after="28"/>
        <w:jc w:val="right"/>
        <w:bidi/>
      </w:pPr>
      <w:r>
        <w:rPr>
          <w:b/>
          <w:color w:val="1F4D78"/>
          <w:sz w:val="18"/>
        </w:rPr>
        <w:t>3.17. جنگ علیه تروریسم - افغانستان</w:t>
      </w:r>
    </w:p>
    <w:p>
      <w:pPr>
        <w:spacing w:after="20"/>
        <w:ind w:left="259"/>
        <w:jc w:val="left"/>
      </w:pPr>
      <w:r>
        <w:rPr>
          <w:color w:val="555555"/>
          <w:sz w:val="12"/>
        </w:rPr>
        <w:t>3.17. War on Terror - Afghanistan</w:t>
      </w:r>
    </w:p>
    <w:p>
      <w:pPr>
        <w:spacing w:after="20" w:line="223" w:lineRule="auto"/>
        <w:jc w:val="right"/>
        <w:bidi/>
      </w:pPr>
      <w:r>
        <w:rPr>
          <w:rFonts w:ascii="Arial" w:hAnsi="Arial"/>
          <w:sz w:val="16"/>
        </w:rPr>
        <w:t>050.02  پس از حملات ۱۱ سپتامبر ۲۰۰۱، ایالات متحده گزارش داد که اسامه بن لادن پشت بدترین حملات تروریستی در تاریخ جهان بوده است.</w:t>
      </w:r>
    </w:p>
    <w:p>
      <w:pPr>
        <w:spacing w:after="28" w:line="216" w:lineRule="auto"/>
        <w:ind w:left="259"/>
        <w:jc w:val="left"/>
      </w:pPr>
      <w:r>
        <w:rPr>
          <w:rFonts w:ascii="Arial" w:hAnsi="Arial"/>
          <w:color w:val="525252"/>
          <w:sz w:val="13"/>
        </w:rPr>
        <w:t>Following the 11 September 2001 attacks, the United States reported that Osama bin Laden was behind the worst terrorist attacks in world history.</w:t>
      </w:r>
    </w:p>
    <w:p>
      <w:pPr>
        <w:spacing w:after="20" w:line="223" w:lineRule="auto"/>
        <w:jc w:val="right"/>
        <w:bidi/>
      </w:pPr>
      <w:r>
        <w:rPr>
          <w:rFonts w:ascii="Arial" w:hAnsi="Arial"/>
          <w:sz w:val="16"/>
        </w:rPr>
        <w:t>050.03  پرزیدنت بوش از طالبان، دولت حاکم افغانستان خواست که همه رهبران القاعده را به دولت ایالات متحده تحویل دهد، همه اتباع خارجی زندانی را آزاد کند، بلافاصله تمام اردوگاه‌های آموزشی تروریست‌ها را ببندد، همه تروریست‌ها و حامیان خود را به مقامات تحویل دهد، و به بازرسان اجازه دسترسی کامل به کمپ‌های آموزشی تروریستی را بدهد.</w:t>
      </w:r>
    </w:p>
    <w:p>
      <w:pPr>
        <w:spacing w:after="28" w:line="216" w:lineRule="auto"/>
        <w:ind w:left="259"/>
        <w:jc w:val="left"/>
      </w:pPr>
      <w:r>
        <w:rPr>
          <w:rFonts w:ascii="Arial" w:hAnsi="Arial"/>
          <w:color w:val="525252"/>
          <w:sz w:val="13"/>
        </w:rPr>
        <w:t>President Bush demanded that the Taliban, Afghanistan’s ruling government, deliver all leaders of al-Qaeda to the U.S. Government, release all imprisoned foreign nationals, immediately close all terrorist training camps, hand over all terrorists and supporters to authorities, and allow inspectors full access to terrorist training camps.</w:t>
      </w:r>
    </w:p>
    <w:p>
      <w:pPr>
        <w:spacing w:after="20" w:line="223" w:lineRule="auto"/>
        <w:jc w:val="right"/>
        <w:bidi/>
      </w:pPr>
      <w:r>
        <w:rPr>
          <w:rFonts w:ascii="Arial" w:hAnsi="Arial"/>
          <w:sz w:val="16"/>
        </w:rPr>
        <w:t>050.04  وقتی طالبان امتناع کردند، پرزیدنت بوش دستور داد نیروهای نظامی به منطقه بروند.</w:t>
      </w:r>
    </w:p>
    <w:p>
      <w:pPr>
        <w:spacing w:after="28" w:line="216" w:lineRule="auto"/>
        <w:ind w:left="259"/>
        <w:jc w:val="left"/>
      </w:pPr>
      <w:r>
        <w:rPr>
          <w:rFonts w:ascii="Arial" w:hAnsi="Arial"/>
          <w:color w:val="525252"/>
          <w:sz w:val="13"/>
        </w:rPr>
        <w:t>When the Taliban refused, President Bush ordered military forces to the region.</w:t>
      </w:r>
    </w:p>
    <w:p>
      <w:pPr>
        <w:spacing w:after="20" w:line="223" w:lineRule="auto"/>
        <w:jc w:val="right"/>
        <w:bidi/>
      </w:pPr>
      <w:r>
        <w:rPr>
          <w:rFonts w:ascii="Arial" w:hAnsi="Arial"/>
          <w:sz w:val="16"/>
        </w:rPr>
        <w:t>050.05  عملیات آزادی پایدار.</w:t>
      </w:r>
    </w:p>
    <w:p>
      <w:pPr>
        <w:spacing w:after="28" w:line="216" w:lineRule="auto"/>
        <w:ind w:left="259"/>
        <w:jc w:val="left"/>
      </w:pPr>
      <w:r>
        <w:rPr>
          <w:rFonts w:ascii="Arial" w:hAnsi="Arial"/>
          <w:color w:val="525252"/>
          <w:sz w:val="13"/>
        </w:rPr>
        <w:t>Operation Enduring Freedom.</w:t>
      </w:r>
    </w:p>
    <w:p>
      <w:pPr>
        <w:spacing w:after="20" w:line="223" w:lineRule="auto"/>
        <w:jc w:val="right"/>
        <w:bidi/>
      </w:pPr>
      <w:r>
        <w:rPr>
          <w:rFonts w:ascii="Arial" w:hAnsi="Arial"/>
          <w:sz w:val="16"/>
        </w:rPr>
        <w:t>050.06  عملیات آزادی پایدار، مبارزه با تروریسم را به خاک خارجی برد، به‌ویژه در مکان‌هایی که سازمان‌های تروریستی در افغانستان وجود داشتند.</w:t>
      </w:r>
    </w:p>
    <w:p>
      <w:pPr>
        <w:spacing w:after="28" w:line="216" w:lineRule="auto"/>
        <w:ind w:left="259"/>
        <w:jc w:val="left"/>
      </w:pPr>
      <w:r>
        <w:rPr>
          <w:rFonts w:ascii="Arial" w:hAnsi="Arial"/>
          <w:color w:val="525252"/>
          <w:sz w:val="13"/>
        </w:rPr>
        <w:t>Operation Enduring Freedom took the fight against terrorism to foreign soil, most notably to locations where terrorist organizations existed in Afghanistan.</w:t>
      </w:r>
    </w:p>
    <w:p>
      <w:pPr>
        <w:spacing w:after="20" w:line="223" w:lineRule="auto"/>
        <w:jc w:val="right"/>
        <w:bidi/>
      </w:pPr>
      <w:r>
        <w:rPr>
          <w:rFonts w:ascii="Arial" w:hAnsi="Arial"/>
          <w:sz w:val="16"/>
        </w:rPr>
        <w:t>050.07  عملیات آزادی پایدار بر تشکیل و اقدام با یک ائتلاف بین‌المللی برای حذف حکومت طالبان افغانستان متمرکز بود.</w:t>
      </w:r>
    </w:p>
    <w:p>
      <w:pPr>
        <w:spacing w:after="28" w:line="216" w:lineRule="auto"/>
        <w:ind w:left="259"/>
        <w:jc w:val="left"/>
      </w:pPr>
      <w:r>
        <w:rPr>
          <w:rFonts w:ascii="Arial" w:hAnsi="Arial"/>
          <w:color w:val="525252"/>
          <w:sz w:val="13"/>
        </w:rPr>
        <w:t>Operation Enduring Freedom was focused on forming and acting with an international coalition to remove Afghanistan’s Taliban government.</w:t>
      </w:r>
    </w:p>
    <w:p>
      <w:pPr>
        <w:spacing w:after="20" w:line="223" w:lineRule="auto"/>
        <w:jc w:val="right"/>
        <w:bidi/>
      </w:pPr>
      <w:r>
        <w:rPr>
          <w:rFonts w:ascii="Arial" w:hAnsi="Arial"/>
          <w:sz w:val="16"/>
        </w:rPr>
        <w:t>050.08  ائتلاف عمدتا شامل نیروهایی از بریتانیا، استرالیا، کانادا، جمهوری چک، دانمارک، فرانسه، آلمان، ایتالیا، ژاپن، اردن، هلند، نیوزلند، نروژ، پاکستان، لهستان، روسیه، اسپانیا، ترکیه و سایر کشورها بود.</w:t>
      </w:r>
    </w:p>
    <w:p>
      <w:pPr>
        <w:spacing w:after="28" w:line="216" w:lineRule="auto"/>
        <w:ind w:left="259"/>
        <w:jc w:val="left"/>
      </w:pPr>
      <w:r>
        <w:rPr>
          <w:rFonts w:ascii="Arial" w:hAnsi="Arial"/>
          <w:color w:val="525252"/>
          <w:sz w:val="13"/>
        </w:rPr>
        <w:t>The coalition primarily included forces from the United Kingdom, Australia, Canada, the Czech Republic, Denmark, France, Germany, Italy, Japan, Jordan, the Netherlands, New Zealand, Norway, Pakistan, Poland, Russia, Spain, Turkey, and other nations.</w:t>
      </w:r>
    </w:p>
    <w:p>
      <w:pPr>
        <w:spacing w:after="20" w:line="223" w:lineRule="auto"/>
        <w:jc w:val="right"/>
        <w:bidi/>
      </w:pPr>
      <w:r>
        <w:rPr>
          <w:rFonts w:ascii="Arial" w:hAnsi="Arial"/>
          <w:sz w:val="16"/>
        </w:rPr>
        <w:t>050.09  ایالات متحده تقریبا ۳۵۰ هواپیما به افغانستان فرستاد.</w:t>
      </w:r>
    </w:p>
    <w:p>
      <w:pPr>
        <w:spacing w:after="28" w:line="216" w:lineRule="auto"/>
        <w:ind w:left="259"/>
        <w:jc w:val="left"/>
      </w:pPr>
      <w:r>
        <w:rPr>
          <w:rFonts w:ascii="Arial" w:hAnsi="Arial"/>
          <w:color w:val="525252"/>
          <w:sz w:val="13"/>
        </w:rPr>
        <w:t>The United States sent approximately 350 aircraft to Afghanistan.</w:t>
      </w:r>
    </w:p>
    <w:p>
      <w:pPr>
        <w:spacing w:after="20" w:line="223" w:lineRule="auto"/>
        <w:jc w:val="right"/>
        <w:bidi/>
      </w:pPr>
      <w:r>
        <w:rPr>
          <w:rFonts w:ascii="Arial" w:hAnsi="Arial"/>
          <w:sz w:val="16"/>
        </w:rPr>
        <w:t>050.10  چندین بمب افکن ب-۱ و ب-۵۲، جنگنده‌های ف-۱۵ و ف-۱۶، هواپیماهای عملیات ویژه، هواپیماهای بدون سرنشین RQ-۱ب و RQ-۴ا و جنگنده‌های نیروی دریایی مستقر در پایگاه‌های سراسر کشور.</w:t>
      </w:r>
    </w:p>
    <w:p>
      <w:pPr>
        <w:spacing w:after="28" w:line="216" w:lineRule="auto"/>
        <w:ind w:left="259"/>
        <w:jc w:val="left"/>
      </w:pPr>
      <w:r>
        <w:rPr>
          <w:rFonts w:ascii="Arial" w:hAnsi="Arial"/>
          <w:color w:val="525252"/>
          <w:sz w:val="13"/>
        </w:rPr>
        <w:t>Several B-1 and B-52 bombers, F-15 and F-16 fighters, special operations aircraft, RQ-1B and RQ-4A unmanned aerial vehicles, and Navy fighters deployed to bases throughout the country.</w:t>
      </w:r>
    </w:p>
    <w:p>
      <w:pPr>
        <w:spacing w:after="20" w:line="223" w:lineRule="auto"/>
        <w:jc w:val="right"/>
        <w:bidi/>
      </w:pPr>
      <w:r>
        <w:rPr>
          <w:rFonts w:ascii="Arial" w:hAnsi="Arial"/>
          <w:sz w:val="16"/>
        </w:rPr>
        <w:t>050.11  در ۷ اکتبر ۲۰۰۱، به دنبال ادامه امتناع طالبان از تحویل مظنونان تروریستی، هواپیماهای ایالات متحده، بریتانیا و فرانسه عملیات هوایی مداوم را علیه اهداف تروریستی در کشور آغاز کردند.</w:t>
      </w:r>
    </w:p>
    <w:p>
      <w:pPr>
        <w:spacing w:after="28" w:line="216" w:lineRule="auto"/>
        <w:ind w:left="259"/>
        <w:jc w:val="left"/>
      </w:pPr>
      <w:r>
        <w:rPr>
          <w:rFonts w:ascii="Arial" w:hAnsi="Arial"/>
          <w:color w:val="525252"/>
          <w:sz w:val="13"/>
        </w:rPr>
        <w:t>On 7 October 2001, following continued Taliban refusal to hand over suspected terrorists, United States, British, and French aircraft began a sustained air campaign against terrorist targets in the country.</w:t>
      </w:r>
    </w:p>
    <w:p>
      <w:pPr>
        <w:spacing w:after="20" w:line="223" w:lineRule="auto"/>
        <w:jc w:val="right"/>
        <w:bidi/>
      </w:pPr>
      <w:r>
        <w:rPr>
          <w:rFonts w:ascii="Arial" w:hAnsi="Arial"/>
          <w:sz w:val="16"/>
        </w:rPr>
        <w:t>050.12  حملات عملیات آزادی پایدار با بمب افکن‌های USAF، هواپیماهای حمله ناو نیروی دریایی و موشک‌های کروز توماهاوک از دریا آغاز شد.</w:t>
      </w:r>
    </w:p>
    <w:p>
      <w:pPr>
        <w:spacing w:after="28" w:line="216" w:lineRule="auto"/>
        <w:ind w:left="259"/>
        <w:jc w:val="left"/>
      </w:pPr>
      <w:r>
        <w:rPr>
          <w:rFonts w:ascii="Arial" w:hAnsi="Arial"/>
          <w:color w:val="525252"/>
          <w:sz w:val="13"/>
        </w:rPr>
        <w:t>Operation Enduring Freedom strikes began with USAF bombers, Navy carrier-strike aircraft, and sea-launched Tomahawk cruise missiles.</w:t>
      </w:r>
    </w:p>
    <w:p>
      <w:pPr>
        <w:spacing w:after="20" w:line="223" w:lineRule="auto"/>
        <w:jc w:val="right"/>
        <w:bidi/>
      </w:pPr>
      <w:r>
        <w:rPr>
          <w:rFonts w:ascii="Arial" w:hAnsi="Arial"/>
          <w:sz w:val="16"/>
        </w:rPr>
        <w:t>050.13  بمب افکن‌های ب-۵۲ USAF به سمت مناطق درگیری پرواز کردند که در آن نیروهای زمینی حملات را هدایت می‌کردند.</w:t>
      </w:r>
    </w:p>
    <w:p>
      <w:pPr>
        <w:spacing w:after="28" w:line="216" w:lineRule="auto"/>
        <w:ind w:left="259"/>
        <w:jc w:val="left"/>
      </w:pPr>
      <w:r>
        <w:rPr>
          <w:rFonts w:ascii="Arial" w:hAnsi="Arial"/>
          <w:color w:val="525252"/>
          <w:sz w:val="13"/>
        </w:rPr>
        <w:t>The USAF B-52 bombers flew to engagement zones where ground- based forces directed attacks.</w:t>
      </w:r>
    </w:p>
    <w:p>
      <w:pPr>
        <w:spacing w:after="20" w:line="223" w:lineRule="auto"/>
        <w:jc w:val="right"/>
        <w:bidi/>
      </w:pPr>
      <w:r>
        <w:rPr>
          <w:rFonts w:ascii="Arial" w:hAnsi="Arial"/>
          <w:sz w:val="16"/>
        </w:rPr>
        <w:t>050.14  مهمات هدایت شونده با دقت زیادی به کار گرفته شد و برنامه ریزان هوایی را قادر می‌ساخت تا تعداد پروازهای هوایی مورد نیاز برای از بین بردن یک هدف خاص را کاهش دهند.</w:t>
      </w:r>
    </w:p>
    <w:p>
      <w:pPr>
        <w:spacing w:after="28" w:line="216" w:lineRule="auto"/>
        <w:ind w:left="259"/>
        <w:jc w:val="left"/>
      </w:pPr>
      <w:r>
        <w:rPr>
          <w:rFonts w:ascii="Arial" w:hAnsi="Arial"/>
          <w:color w:val="525252"/>
          <w:sz w:val="13"/>
        </w:rPr>
        <w:t>Guided munitions were employed with great accuracy, enabling air planners to reduce the number of air sorties required to destroy a particular objective.</w:t>
      </w:r>
    </w:p>
    <w:p>
      <w:pPr>
        <w:spacing w:after="20" w:line="223" w:lineRule="auto"/>
        <w:jc w:val="right"/>
        <w:bidi/>
      </w:pPr>
      <w:r>
        <w:rPr>
          <w:rFonts w:ascii="Arial" w:hAnsi="Arial"/>
          <w:sz w:val="16"/>
        </w:rPr>
        <w:t>050.15  در روزهای آغازین کمپین، تلاش‌های مشترک و ترکیبی پدافند هوایی، مراکز فرماندهی و سایر اهداف ثابت طالبان را منهدم کردند.</w:t>
      </w:r>
    </w:p>
    <w:p>
      <w:pPr>
        <w:spacing w:after="28" w:line="216" w:lineRule="auto"/>
        <w:ind w:left="259"/>
        <w:jc w:val="left"/>
      </w:pPr>
      <w:r>
        <w:rPr>
          <w:rFonts w:ascii="Arial" w:hAnsi="Arial"/>
          <w:color w:val="525252"/>
          <w:sz w:val="13"/>
        </w:rPr>
        <w:t>In the opening days of the campaign, joint and combined efforts destroyed Taliban air defenses, command centers, and other fixed targets.</w:t>
      </w:r>
    </w:p>
    <w:p>
      <w:pPr>
        <w:spacing w:after="20" w:line="223" w:lineRule="auto"/>
        <w:jc w:val="right"/>
        <w:bidi/>
      </w:pPr>
      <w:r>
        <w:rPr>
          <w:rFonts w:ascii="Arial" w:hAnsi="Arial"/>
          <w:sz w:val="16"/>
        </w:rPr>
        <w:t>050.16  عملیات جنگی در افغانستان با گروه‌های کوچکی از نیروهای نظامی نخبه آمریکایی آغاز شد که برای حمایت از جنگجویان افغان ضد طالبان مستقر شدند.</w:t>
      </w:r>
    </w:p>
    <w:p>
      <w:pPr>
        <w:spacing w:after="28" w:line="216" w:lineRule="auto"/>
        <w:ind w:left="259"/>
        <w:jc w:val="left"/>
      </w:pPr>
      <w:r>
        <w:rPr>
          <w:rFonts w:ascii="Arial" w:hAnsi="Arial"/>
          <w:color w:val="525252"/>
          <w:sz w:val="13"/>
        </w:rPr>
        <w:t>Combat operations in Afghanistan began with small groups of elite American military forces deployed to support anti-Taliban Afghani fighters.</w:t>
      </w:r>
    </w:p>
    <w:p>
      <w:pPr>
        <w:spacing w:after="20" w:line="223" w:lineRule="auto"/>
        <w:jc w:val="right"/>
        <w:bidi/>
      </w:pPr>
      <w:r>
        <w:rPr>
          <w:rFonts w:ascii="Arial" w:hAnsi="Arial"/>
          <w:sz w:val="16"/>
        </w:rPr>
        <w:t>050.17  زمین ناهموار افغانستان، روابط پیچیده سیاسی و دوری از پایگاه‌های عملیاتی نیروهای ائتلاف را به چالش کشیده است.</w:t>
      </w:r>
    </w:p>
    <w:p>
      <w:pPr>
        <w:spacing w:after="28" w:line="216" w:lineRule="auto"/>
        <w:ind w:left="259"/>
        <w:jc w:val="left"/>
      </w:pPr>
      <w:r>
        <w:rPr>
          <w:rFonts w:ascii="Arial" w:hAnsi="Arial"/>
          <w:color w:val="525252"/>
          <w:sz w:val="13"/>
        </w:rPr>
        <w:t>Afghanistan’s rugged terrain, complex political relationships, and distance from operating bases challenged coalition forces.</w:t>
      </w:r>
    </w:p>
    <w:p>
      <w:pPr>
        <w:spacing w:after="20" w:line="223" w:lineRule="auto"/>
        <w:jc w:val="right"/>
        <w:bidi/>
      </w:pPr>
      <w:r>
        <w:rPr>
          <w:rFonts w:ascii="Arial" w:hAnsi="Arial"/>
          <w:sz w:val="16"/>
        </w:rPr>
        <w:t>050.18  کنترل‌کننده‌های جنگی USAF در میان ۳۰۰ پرسنل عملیات ویژه ارتش، نیروی دریایی و USAF بودند که ائتلاف شمال افغانستان را تقویت کردند.</w:t>
      </w:r>
    </w:p>
    <w:p>
      <w:pPr>
        <w:spacing w:after="28" w:line="216" w:lineRule="auto"/>
        <w:ind w:left="259"/>
        <w:jc w:val="left"/>
      </w:pPr>
      <w:r>
        <w:rPr>
          <w:rFonts w:ascii="Arial" w:hAnsi="Arial"/>
          <w:color w:val="525252"/>
          <w:sz w:val="13"/>
        </w:rPr>
        <w:t>USAF combat controllers were among the 300 Army, Navy, and USAF special operations personnel augmenting the Afghan Northern Alliance.</w:t>
      </w:r>
    </w:p>
    <w:p>
      <w:pPr>
        <w:spacing w:after="20" w:line="223" w:lineRule="auto"/>
        <w:jc w:val="right"/>
        <w:bidi/>
      </w:pPr>
      <w:r>
        <w:rPr>
          <w:rFonts w:ascii="Arial" w:hAnsi="Arial"/>
          <w:sz w:val="16"/>
        </w:rPr>
        <w:t>050.19  در نوامبر ۲۰۰۱، نیروهای ائتلاف کنترل کابل، پایتخت افغانستان را به دست گرفتند.</w:t>
      </w:r>
    </w:p>
    <w:p>
      <w:pPr>
        <w:spacing w:after="28" w:line="216" w:lineRule="auto"/>
        <w:ind w:left="259"/>
        <w:jc w:val="left"/>
      </w:pPr>
      <w:r>
        <w:rPr>
          <w:rFonts w:ascii="Arial" w:hAnsi="Arial"/>
          <w:color w:val="525252"/>
          <w:sz w:val="13"/>
        </w:rPr>
        <w:t>In November 2001, coalition forces took control of Kabul, Afghanistan’s capital.</w:t>
      </w:r>
    </w:p>
    <w:p>
      <w:pPr>
        <w:spacing w:after="20" w:line="223" w:lineRule="auto"/>
        <w:jc w:val="right"/>
        <w:bidi/>
      </w:pPr>
      <w:r>
        <w:rPr>
          <w:rFonts w:ascii="Arial" w:hAnsi="Arial"/>
          <w:sz w:val="16"/>
        </w:rPr>
        <w:t>050.20  مقاومت طالبان شروع به فروپاشی کرد و در دسامبر ۲۰۰۱، قندهار، آخرین شهر بزرگ تحت کنترل طالبان، رها شد.</w:t>
      </w:r>
    </w:p>
    <w:p>
      <w:pPr>
        <w:spacing w:after="28" w:line="216" w:lineRule="auto"/>
        <w:ind w:left="259"/>
        <w:jc w:val="left"/>
      </w:pPr>
      <w:r>
        <w:rPr>
          <w:rFonts w:ascii="Arial" w:hAnsi="Arial"/>
          <w:color w:val="525252"/>
          <w:sz w:val="13"/>
        </w:rPr>
        <w:t>The Taliban resistance began to collapse, and in December 2001, Kandahar was abandoned, the last major town under Taliban control.</w:t>
      </w:r>
    </w:p>
    <w:p>
      <w:pPr>
        <w:spacing w:after="20" w:line="223" w:lineRule="auto"/>
        <w:jc w:val="right"/>
        <w:bidi/>
      </w:pPr>
      <w:r>
        <w:rPr>
          <w:rFonts w:ascii="Arial" w:hAnsi="Arial"/>
          <w:sz w:val="16"/>
        </w:rPr>
        <w:t>050.21  نیروهای تروریستی به صورت زیرزمینی اداره شدند، اما از بین نرفتند و باعث عملیات ضد شورش مداوم و گسترده شدند.</w:t>
      </w:r>
    </w:p>
    <w:p>
      <w:pPr>
        <w:spacing w:after="28" w:line="216" w:lineRule="auto"/>
        <w:ind w:left="259"/>
        <w:jc w:val="left"/>
      </w:pPr>
      <w:r>
        <w:rPr>
          <w:rFonts w:ascii="Arial" w:hAnsi="Arial"/>
          <w:color w:val="525252"/>
          <w:sz w:val="13"/>
        </w:rPr>
        <w:t>Terrorist forces were run underground, but not eliminated, causing ongoing, extended counterinsurgency operations.</w:t>
      </w:r>
    </w:p>
    <w:p>
      <w:pPr>
        <w:spacing w:after="20" w:line="223" w:lineRule="auto"/>
        <w:jc w:val="right"/>
        <w:bidi/>
      </w:pPr>
      <w:r>
        <w:rPr>
          <w:rFonts w:ascii="Arial" w:hAnsi="Arial"/>
          <w:sz w:val="16"/>
        </w:rPr>
        <w:t>050.22  علاوه بر اینکه یک عملیات رزمی بود، عملیات آزادی پایدار به‌عنوان یک مأموریت بشردوستانه نیز انجام شد.</w:t>
      </w:r>
    </w:p>
    <w:p>
      <w:pPr>
        <w:spacing w:after="28" w:line="216" w:lineRule="auto"/>
        <w:ind w:left="259"/>
        <w:jc w:val="left"/>
      </w:pPr>
      <w:r>
        <w:rPr>
          <w:rFonts w:ascii="Arial" w:hAnsi="Arial"/>
          <w:color w:val="525252"/>
          <w:sz w:val="13"/>
        </w:rPr>
        <w:t>In addition to being a combat operation, Operation Enduring Freedom served as a humanitarian mission.</w:t>
      </w:r>
    </w:p>
    <w:p>
      <w:pPr>
        <w:spacing w:after="20" w:line="223" w:lineRule="auto"/>
        <w:jc w:val="right"/>
        <w:bidi/>
      </w:pPr>
      <w:r>
        <w:rPr>
          <w:rFonts w:ascii="Arial" w:hAnsi="Arial"/>
          <w:sz w:val="16"/>
        </w:rPr>
        <w:t>050.23  اعضای نیروهای مسلح با دادن نزدیک به ۲.۵ میلیون جیره به مردم مظلوم افغانستان کمک‌های بشردوستانه کردند.</w:t>
      </w:r>
    </w:p>
    <w:p>
      <w:pPr>
        <w:spacing w:after="28" w:line="216" w:lineRule="auto"/>
        <w:ind w:left="259"/>
        <w:jc w:val="left"/>
      </w:pPr>
      <w:r>
        <w:rPr>
          <w:rFonts w:ascii="Arial" w:hAnsi="Arial"/>
          <w:color w:val="525252"/>
          <w:sz w:val="13"/>
        </w:rPr>
        <w:t>Service members provided humanitarian relief by dropping nearly 2.5 million rations to the oppressed Afghan people.</w:t>
      </w:r>
    </w:p>
    <w:p>
      <w:pPr>
        <w:spacing w:after="20" w:line="223" w:lineRule="auto"/>
        <w:jc w:val="right"/>
        <w:bidi/>
      </w:pPr>
      <w:r>
        <w:rPr>
          <w:rFonts w:ascii="Arial" w:hAnsi="Arial"/>
          <w:sz w:val="16"/>
        </w:rPr>
        <w:t>050.24  عملیات آزادی پایدار گسترش می‌یابد.</w:t>
      </w:r>
    </w:p>
    <w:p>
      <w:pPr>
        <w:spacing w:after="28" w:line="216" w:lineRule="auto"/>
        <w:ind w:left="259"/>
        <w:jc w:val="left"/>
      </w:pPr>
      <w:r>
        <w:rPr>
          <w:rFonts w:ascii="Arial" w:hAnsi="Arial"/>
          <w:color w:val="525252"/>
          <w:sz w:val="13"/>
        </w:rPr>
        <w:t>Operation Enduring Freedom Expands.</w:t>
      </w:r>
    </w:p>
    <w:p>
      <w:pPr>
        <w:spacing w:after="20" w:line="223" w:lineRule="auto"/>
        <w:jc w:val="right"/>
        <w:bidi/>
      </w:pPr>
      <w:r>
        <w:rPr>
          <w:rFonts w:ascii="Arial" w:hAnsi="Arial"/>
          <w:sz w:val="16"/>
        </w:rPr>
        <w:t>050.25  در ژانویه ۲۰۰۲، ۱۲۰۰ عضو فرماندهی عملیات ویژه ایالات متحده در اقیانوس آرام به فیلیپین اعزام شدند تا به نیروهای مسلح فیلیپین در ریشه کن کردن القاعده و سایر گروه‌های تروریستی مانند جماعت اسلامیه و ابوسیاف کمک کنند.</w:t>
      </w:r>
    </w:p>
    <w:p>
      <w:pPr>
        <w:spacing w:after="28" w:line="216" w:lineRule="auto"/>
        <w:ind w:left="259"/>
        <w:jc w:val="left"/>
      </w:pPr>
      <w:r>
        <w:rPr>
          <w:rFonts w:ascii="Arial" w:hAnsi="Arial"/>
          <w:color w:val="525252"/>
          <w:sz w:val="13"/>
        </w:rPr>
        <w:t>In January 2002, 1,200 members of U.S. Special Operations Command, Pacific were deployed to the Philippines to assist the Armed Forces of the Philippines in uprooting al-Qaeda and other terrorist groups, such as Jemaah Islamiyah and Abu Sayyaf.</w:t>
      </w:r>
    </w:p>
    <w:p>
      <w:pPr>
        <w:spacing w:after="20" w:line="223" w:lineRule="auto"/>
        <w:jc w:val="right"/>
        <w:bidi/>
      </w:pPr>
      <w:r>
        <w:rPr>
          <w:rFonts w:ascii="Arial" w:hAnsi="Arial"/>
          <w:sz w:val="16"/>
        </w:rPr>
        <w:t>050.26  مأموریت کمک به عملیات نظامی علیه نیروهای تروریستی و همچنین حمایت از عملیات بشردوستانه برای جزیره باسیلان فیلیپین بود، جایی که انتظار می‌رفت بیشتر درگیری‌ها در آنجا رخ دهد.</w:t>
      </w:r>
    </w:p>
    <w:p>
      <w:pPr>
        <w:spacing w:after="28" w:line="216" w:lineRule="auto"/>
        <w:ind w:left="259"/>
        <w:jc w:val="left"/>
      </w:pPr>
      <w:r>
        <w:rPr>
          <w:rFonts w:ascii="Arial" w:hAnsi="Arial"/>
          <w:color w:val="525252"/>
          <w:sz w:val="13"/>
        </w:rPr>
        <w:t>The mission was to assist military operations against terrorist forces as well as support humanitarian operations for the Philippine island of Basilan, where most of the conflict was expected to take place.</w:t>
      </w:r>
    </w:p>
    <w:p>
      <w:pPr>
        <w:spacing w:after="20" w:line="223" w:lineRule="auto"/>
        <w:jc w:val="right"/>
        <w:bidi/>
      </w:pPr>
      <w:r>
        <w:rPr>
          <w:rFonts w:ascii="Arial" w:hAnsi="Arial"/>
          <w:sz w:val="16"/>
        </w:rPr>
        <w:t>050.27  یک گروگان آمریکایی در جریان این مأموریت پیدا شد و تعداد اعضای گروه ابوسیاف از ۸۰۰ به ۱۰۰ کاهش یافت.</w:t>
      </w:r>
    </w:p>
    <w:p>
      <w:pPr>
        <w:spacing w:after="28" w:line="216" w:lineRule="auto"/>
        <w:ind w:left="259"/>
        <w:jc w:val="left"/>
      </w:pPr>
      <w:r>
        <w:rPr>
          <w:rFonts w:ascii="Arial" w:hAnsi="Arial"/>
          <w:color w:val="525252"/>
          <w:sz w:val="13"/>
        </w:rPr>
        <w:t>One American hostage was recovered during the mission, and the Abu Sayyaf Group was reduced from 800 to 100 members.</w:t>
      </w:r>
    </w:p>
    <w:p>
      <w:pPr>
        <w:spacing w:after="20" w:line="223" w:lineRule="auto"/>
        <w:jc w:val="right"/>
        <w:bidi/>
      </w:pPr>
      <w:r>
        <w:rPr>
          <w:rFonts w:ascii="Arial" w:hAnsi="Arial"/>
          <w:sz w:val="16"/>
        </w:rPr>
        <w:t>050.28  تلاش‌های حاصل از این تعامل باعث ایجاد ۱۴ مدرسه، ۷ درمانگاه، ۳ بیمارستان و ارائه خدمات پزشکی به بیش از ۱۸۰۰۰ نفر از ساکنان باسیلان شد.</w:t>
      </w:r>
    </w:p>
    <w:p>
      <w:pPr>
        <w:spacing w:after="28" w:line="216" w:lineRule="auto"/>
        <w:ind w:left="259"/>
        <w:jc w:val="left"/>
      </w:pPr>
      <w:r>
        <w:rPr>
          <w:rFonts w:ascii="Arial" w:hAnsi="Arial"/>
          <w:color w:val="525252"/>
          <w:sz w:val="13"/>
        </w:rPr>
        <w:t>Efforts from this engagement created 14 schools, 7 clinics, 3 hospitals, and provided medical care to over 18,000 residents of Basilan.</w:t>
      </w:r>
    </w:p>
    <w:p>
      <w:pPr>
        <w:spacing w:after="20" w:line="223" w:lineRule="auto"/>
        <w:jc w:val="right"/>
        <w:bidi/>
      </w:pPr>
      <w:r>
        <w:rPr>
          <w:rFonts w:ascii="Arial" w:hAnsi="Arial"/>
          <w:sz w:val="16"/>
        </w:rPr>
        <w:t>050.29  جنگ علیه تروریسم در آفریقا.</w:t>
      </w:r>
    </w:p>
    <w:p>
      <w:pPr>
        <w:spacing w:after="28" w:line="216" w:lineRule="auto"/>
        <w:ind w:left="259"/>
        <w:jc w:val="left"/>
      </w:pPr>
      <w:r>
        <w:rPr>
          <w:rFonts w:ascii="Arial" w:hAnsi="Arial"/>
          <w:color w:val="525252"/>
          <w:sz w:val="13"/>
        </w:rPr>
        <w:t>War on Terrorism in Africa.</w:t>
      </w:r>
    </w:p>
    <w:p>
      <w:pPr>
        <w:spacing w:after="20" w:line="223" w:lineRule="auto"/>
        <w:jc w:val="right"/>
        <w:bidi/>
      </w:pPr>
      <w:r>
        <w:rPr>
          <w:rFonts w:ascii="Arial" w:hAnsi="Arial"/>
          <w:sz w:val="16"/>
        </w:rPr>
        <w:t>050.30  توجه به شاخ آفریقا در اواسط سال ۲۰۰۲ معطوف شد و بر اخلال و کشف فعالیت‌های تروریستی در منطقه متمرکز شد.</w:t>
      </w:r>
    </w:p>
    <w:p>
      <w:pPr>
        <w:spacing w:after="28" w:line="216" w:lineRule="auto"/>
        <w:ind w:left="259"/>
        <w:jc w:val="left"/>
      </w:pPr>
      <w:r>
        <w:rPr>
          <w:rFonts w:ascii="Arial" w:hAnsi="Arial"/>
          <w:color w:val="525252"/>
          <w:sz w:val="13"/>
        </w:rPr>
        <w:t>Attention was turned to the Horn of Africa in mid-2002, focused on disrupting and detecting terrorist activities in the region.</w:t>
      </w:r>
    </w:p>
    <w:p>
      <w:pPr>
        <w:spacing w:after="20" w:line="223" w:lineRule="auto"/>
        <w:jc w:val="right"/>
        <w:bidi/>
      </w:pPr>
      <w:r>
        <w:rPr>
          <w:rFonts w:ascii="Arial" w:hAnsi="Arial"/>
          <w:sz w:val="16"/>
        </w:rPr>
        <w:t>050.31  این مأموریت شامل موارد بشردوستانه بود</w:t>
      </w:r>
    </w:p>
    <w:p>
      <w:pPr>
        <w:spacing w:after="28" w:line="216" w:lineRule="auto"/>
        <w:ind w:left="259"/>
        <w:jc w:val="left"/>
      </w:pPr>
      <w:r>
        <w:rPr>
          <w:rFonts w:ascii="Arial" w:hAnsi="Arial"/>
          <w:color w:val="525252"/>
          <w:sz w:val="13"/>
        </w:rPr>
        <w:t>The mission included humanitarian</w:t>
      </w:r>
    </w:p>
    <w:p>
      <w:r>
        <w:br w:type="page"/>
      </w:r>
    </w:p>
    <w:p>
      <w:pPr>
        <w:spacing w:after="60"/>
        <w:jc w:val="right"/>
        <w:bidi/>
      </w:pPr>
      <w:r>
        <w:rPr>
          <w:rFonts w:ascii="Arial" w:hAnsi="Arial"/>
          <w:b/>
          <w:color w:val="1F4D78"/>
          <w:sz w:val="19"/>
        </w:rPr>
        <w:t>هفتهٔ 51  |  صفحهٔ منبع: 67</w:t>
      </w:r>
    </w:p>
    <w:p>
      <w:pPr>
        <w:spacing w:after="20" w:line="223" w:lineRule="auto"/>
        <w:jc w:val="right"/>
        <w:bidi/>
      </w:pPr>
      <w:r>
        <w:rPr>
          <w:rFonts w:ascii="Arial" w:hAnsi="Arial"/>
          <w:sz w:val="16"/>
        </w:rPr>
        <w:t>051.01  تلاش برای بازسازی مدارس و امکانات پزشکی، و همچنین آموزش نیروهای محلی در تاکتیک‌های ضد تروریسم و ​​ضد شورش در سراسر جیبوتی، کنیا و اتیوپی.</w:t>
      </w:r>
    </w:p>
    <w:p>
      <w:pPr>
        <w:spacing w:after="28" w:line="216" w:lineRule="auto"/>
        <w:ind w:left="259"/>
        <w:jc w:val="left"/>
      </w:pPr>
      <w:r>
        <w:rPr>
          <w:rFonts w:ascii="Arial" w:hAnsi="Arial"/>
          <w:color w:val="525252"/>
          <w:sz w:val="13"/>
        </w:rPr>
        <w:t>efforts for rebuilding schools and medical facilities, as well as training local forces in counterterrorism and counterinsurgency tactics throughout Djibouti, Kenya, and Ethiopia.</w:t>
      </w:r>
    </w:p>
    <w:p>
      <w:pPr>
        <w:spacing w:after="20" w:line="223" w:lineRule="auto"/>
        <w:jc w:val="right"/>
        <w:bidi/>
      </w:pPr>
      <w:r>
        <w:rPr>
          <w:rFonts w:ascii="Arial" w:hAnsi="Arial"/>
          <w:sz w:val="16"/>
        </w:rPr>
        <w:t>051.02  عملیات آناکوندا.</w:t>
      </w:r>
    </w:p>
    <w:p>
      <w:pPr>
        <w:spacing w:after="28" w:line="216" w:lineRule="auto"/>
        <w:ind w:left="259"/>
        <w:jc w:val="left"/>
      </w:pPr>
      <w:r>
        <w:rPr>
          <w:rFonts w:ascii="Arial" w:hAnsi="Arial"/>
          <w:color w:val="525252"/>
          <w:sz w:val="13"/>
        </w:rPr>
        <w:t>Operation Anaconda.</w:t>
      </w:r>
    </w:p>
    <w:p>
      <w:pPr>
        <w:spacing w:after="20" w:line="223" w:lineRule="auto"/>
        <w:jc w:val="right"/>
        <w:bidi/>
      </w:pPr>
      <w:r>
        <w:rPr>
          <w:rFonts w:ascii="Arial" w:hAnsi="Arial"/>
          <w:sz w:val="16"/>
        </w:rPr>
        <w:t>051.03  در ۲ مارس ۲۰۰۲، عملیات آناکوندا به‌عنوان یکی از حیاتی‌ترین عملیات رزمی مشترک، که برای حذف مقاومت طالبان از افغانستان طراحی شده بود، آغاز شد.</w:t>
      </w:r>
    </w:p>
    <w:p>
      <w:pPr>
        <w:spacing w:after="28" w:line="216" w:lineRule="auto"/>
        <w:ind w:left="259"/>
        <w:jc w:val="left"/>
      </w:pPr>
      <w:r>
        <w:rPr>
          <w:rFonts w:ascii="Arial" w:hAnsi="Arial"/>
          <w:color w:val="525252"/>
          <w:sz w:val="13"/>
        </w:rPr>
        <w:t>On 2 March 2002, Operation Anaconda was launched as one of the most crucial joint combat operations, designed to remove the Taliban resistance from Afghanistan.</w:t>
      </w:r>
    </w:p>
    <w:p>
      <w:pPr>
        <w:spacing w:after="20" w:line="223" w:lineRule="auto"/>
        <w:jc w:val="right"/>
        <w:bidi/>
      </w:pPr>
      <w:r>
        <w:rPr>
          <w:rFonts w:ascii="Arial" w:hAnsi="Arial"/>
          <w:sz w:val="16"/>
        </w:rPr>
        <w:t>051.04  عملیات آناکوندا، که در دره شاهیکوت انجام شد، یک نبرد پیچیده بود که در زمین‌های ناهموار کوهستانی در شرایط دشوار انجام شد.</w:t>
      </w:r>
    </w:p>
    <w:p>
      <w:pPr>
        <w:spacing w:after="28" w:line="216" w:lineRule="auto"/>
        <w:ind w:left="259"/>
        <w:jc w:val="left"/>
      </w:pPr>
      <w:r>
        <w:rPr>
          <w:rFonts w:ascii="Arial" w:hAnsi="Arial"/>
          <w:color w:val="525252"/>
          <w:sz w:val="13"/>
        </w:rPr>
        <w:t>Operation Anaconda, conducted in the Shahikot Valley, was a complex battle fought in rugged mountainous terrain under difficult conditions.</w:t>
      </w:r>
    </w:p>
    <w:p>
      <w:pPr>
        <w:spacing w:after="20" w:line="223" w:lineRule="auto"/>
        <w:jc w:val="right"/>
        <w:bidi/>
      </w:pPr>
      <w:r>
        <w:rPr>
          <w:rFonts w:ascii="Arial" w:hAnsi="Arial"/>
          <w:sz w:val="16"/>
        </w:rPr>
        <w:t>051.05  در ساعات اولیه صبح، در قله کوهی به نام تاکور غار در جنوب شرقی افغانستان، سربازان القاعده به یک هلیکوپتر MH-۴۷ شلیک کردند.</w:t>
      </w:r>
    </w:p>
    <w:p>
      <w:pPr>
        <w:spacing w:after="28" w:line="216" w:lineRule="auto"/>
        <w:ind w:left="259"/>
        <w:jc w:val="left"/>
      </w:pPr>
      <w:r>
        <w:rPr>
          <w:rFonts w:ascii="Arial" w:hAnsi="Arial"/>
          <w:color w:val="525252"/>
          <w:sz w:val="13"/>
        </w:rPr>
        <w:t>In the early morning hours, on a mountaintop called Takur Ghar in southeastern Afghanistan, al Qaeda soldiers fired on an MH-47E helicopter.</w:t>
      </w:r>
    </w:p>
    <w:p>
      <w:pPr>
        <w:spacing w:after="20" w:line="223" w:lineRule="auto"/>
        <w:jc w:val="right"/>
        <w:bidi/>
      </w:pPr>
      <w:r>
        <w:rPr>
          <w:rFonts w:ascii="Arial" w:hAnsi="Arial"/>
          <w:sz w:val="16"/>
        </w:rPr>
        <w:t>051.06  حمله به هلیکوپتر باعث شد که یک نیروی دریایی، افسر درجه یک نیل سی رابرتز، از در باز هلیکوپتر به زمین بیفتد.</w:t>
      </w:r>
    </w:p>
    <w:p>
      <w:pPr>
        <w:spacing w:after="28" w:line="216" w:lineRule="auto"/>
        <w:ind w:left="259"/>
        <w:jc w:val="left"/>
      </w:pPr>
      <w:r>
        <w:rPr>
          <w:rFonts w:ascii="Arial" w:hAnsi="Arial"/>
          <w:color w:val="525252"/>
          <w:sz w:val="13"/>
        </w:rPr>
        <w:t>The strike on the helicopter caused a Navy SEAL, Petty Officer First Class Neil C. Roberts, to fall through the open helicopter door to the ground.</w:t>
      </w:r>
    </w:p>
    <w:p>
      <w:pPr>
        <w:spacing w:after="20" w:line="223" w:lineRule="auto"/>
        <w:jc w:val="right"/>
        <w:bidi/>
      </w:pPr>
      <w:r>
        <w:rPr>
          <w:rFonts w:ascii="Arial" w:hAnsi="Arial"/>
          <w:sz w:val="16"/>
        </w:rPr>
        <w:t>051.07  زنجیره‌ای از وقایع در طی یک مصیبت ۱۷ ساعته به اوج خود رسید که در یکی از شدیدترین درگیری‌های واحدهای کوچک در جنگ علیه تروریسم به اوج خود رسید.</w:t>
      </w:r>
    </w:p>
    <w:p>
      <w:pPr>
        <w:spacing w:after="28" w:line="216" w:lineRule="auto"/>
        <w:ind w:left="259"/>
        <w:jc w:val="left"/>
      </w:pPr>
      <w:r>
        <w:rPr>
          <w:rFonts w:ascii="Arial" w:hAnsi="Arial"/>
          <w:color w:val="525252"/>
          <w:sz w:val="13"/>
        </w:rPr>
        <w:t>A chain of events followed during a 17-hour ordeal culminating in one of the most intense small-unit firefights of the war against terrorism.</w:t>
      </w:r>
    </w:p>
    <w:p>
      <w:pPr>
        <w:spacing w:after="20" w:line="223" w:lineRule="auto"/>
        <w:jc w:val="right"/>
        <w:bidi/>
      </w:pPr>
      <w:r>
        <w:rPr>
          <w:rFonts w:ascii="Arial" w:hAnsi="Arial"/>
          <w:sz w:val="16"/>
        </w:rPr>
        <w:t>051.08  مطبوعات از عملیات آناکوندا به‌عنوان نبرد در کوه شاه کوت یاد کردند، اما مردانی که در آنجا جنگیدند آن را نبرد روبرت ریج نامیدند. نیروهای مسلح ایالات متحده که در این مبارزه شرکت داشتند با شجاعت آشکار خود را متمایز کردند.</w:t>
      </w:r>
    </w:p>
    <w:p>
      <w:pPr>
        <w:spacing w:after="28" w:line="216" w:lineRule="auto"/>
        <w:ind w:left="259"/>
        <w:jc w:val="left"/>
      </w:pPr>
      <w:r>
        <w:rPr>
          <w:rFonts w:ascii="Arial" w:hAnsi="Arial"/>
          <w:color w:val="525252"/>
          <w:sz w:val="13"/>
        </w:rPr>
        <w:t>The press referred to Operation Anaconda as the battle at Shah-I-Kot Mountain, but the men who fought there called it the battle of Robert’s Ridge. U.S. Armed Forces involved in this fight distinguished themselves by conspicuous bravery.</w:t>
      </w:r>
    </w:p>
    <w:p>
      <w:pPr>
        <w:spacing w:after="20" w:line="223" w:lineRule="auto"/>
        <w:jc w:val="right"/>
        <w:bidi/>
      </w:pPr>
      <w:r>
        <w:rPr>
          <w:rFonts w:ascii="Arial" w:hAnsi="Arial"/>
          <w:sz w:val="16"/>
        </w:rPr>
        <w:t>051.09  اقدامات قهرمانانه بیشمار آنها بهترین عملکرد آمریکا را به نمایش گذاشت زیرا اپراتورهای ویژه USAF، ارتش و نیروی دریایی در کنار یکدیگر جنگیدند، و در این روند، قله کوه را ایمن کردند و خسارات جدی به القاعده وارد کردند.</w:t>
      </w:r>
    </w:p>
    <w:p>
      <w:pPr>
        <w:spacing w:after="28" w:line="216" w:lineRule="auto"/>
        <w:ind w:left="259"/>
        <w:jc w:val="left"/>
      </w:pPr>
      <w:r>
        <w:rPr>
          <w:rFonts w:ascii="Arial" w:hAnsi="Arial"/>
          <w:color w:val="525252"/>
          <w:sz w:val="13"/>
        </w:rPr>
        <w:t>Their countless acts of heroism demonstrated America’s best as USAF, Army, and Navy special operators fought side by side, and in the process, secured the mountaintop and inflicted serious loss on al Qaeda.</w:t>
      </w:r>
    </w:p>
    <w:p>
      <w:pPr>
        <w:spacing w:after="20" w:line="223" w:lineRule="auto"/>
        <w:jc w:val="right"/>
        <w:bidi/>
      </w:pPr>
      <w:r>
        <w:rPr>
          <w:rFonts w:ascii="Arial" w:hAnsi="Arial"/>
          <w:sz w:val="16"/>
        </w:rPr>
        <w:t>051.10  عملیات آناکوندا با پیروزی آمریکا به پایان رسید، اما نه بدون فداکاری نهایی هشت آمریکایی و ۸۰ زخمی.</w:t>
      </w:r>
    </w:p>
    <w:p>
      <w:pPr>
        <w:spacing w:after="28" w:line="216" w:lineRule="auto"/>
        <w:ind w:left="259"/>
        <w:jc w:val="left"/>
      </w:pPr>
      <w:r>
        <w:rPr>
          <w:rFonts w:ascii="Arial" w:hAnsi="Arial"/>
          <w:color w:val="525252"/>
          <w:sz w:val="13"/>
        </w:rPr>
        <w:t>Operation Anaconda ended as an American victory, but not without the ultimate sacrifice of eight Americans and 80 wounded.</w:t>
      </w:r>
    </w:p>
    <w:p>
      <w:pPr>
        <w:spacing w:after="20" w:line="223" w:lineRule="auto"/>
        <w:jc w:val="right"/>
        <w:bidi/>
      </w:pPr>
      <w:r>
        <w:rPr>
          <w:rFonts w:ascii="Arial" w:hAnsi="Arial"/>
          <w:sz w:val="16"/>
        </w:rPr>
        <w:t>051.11  مراحل دشوار اولیه نبرد بینش هایی را برای تفکر در مورد چگونگی سازماندهی، آموزش و تجهیز نیروهای نظامی برای عملیات‌های اعزامی مشترک آینده و چگونگی پیگیری تحول فراهم کرد.</w:t>
      </w:r>
    </w:p>
    <w:p>
      <w:pPr>
        <w:spacing w:after="28" w:line="216" w:lineRule="auto"/>
        <w:ind w:left="259"/>
        <w:jc w:val="left"/>
      </w:pPr>
      <w:r>
        <w:rPr>
          <w:rFonts w:ascii="Arial" w:hAnsi="Arial"/>
          <w:color w:val="525252"/>
          <w:sz w:val="13"/>
        </w:rPr>
        <w:t>The difficult early stages of the battle provided insights for thinking about how to organize, train, and equip military forces for future joint expeditionary operations and how to pursue transformation.</w:t>
      </w:r>
    </w:p>
    <w:p>
      <w:pPr>
        <w:spacing w:after="20" w:line="223" w:lineRule="auto"/>
        <w:jc w:val="right"/>
        <w:bidi/>
      </w:pPr>
      <w:r>
        <w:rPr>
          <w:rFonts w:ascii="Arial" w:hAnsi="Arial"/>
          <w:sz w:val="16"/>
        </w:rPr>
        <w:t>051.12  شجاعت قابل توجه در افغانستان، جیسون دی. کانینگهام.</w:t>
      </w:r>
    </w:p>
    <w:p>
      <w:pPr>
        <w:spacing w:after="28" w:line="216" w:lineRule="auto"/>
        <w:ind w:left="259"/>
        <w:jc w:val="left"/>
      </w:pPr>
      <w:r>
        <w:rPr>
          <w:rFonts w:ascii="Arial" w:hAnsi="Arial"/>
          <w:color w:val="525252"/>
          <w:sz w:val="13"/>
        </w:rPr>
        <w:t>Notable Bravery in Afghanistan, Jason D. Cunningham.</w:t>
      </w:r>
    </w:p>
    <w:p>
      <w:pPr>
        <w:spacing w:after="20" w:line="223" w:lineRule="auto"/>
        <w:jc w:val="right"/>
        <w:bidi/>
      </w:pPr>
      <w:r>
        <w:rPr>
          <w:rFonts w:ascii="Arial" w:hAnsi="Arial"/>
          <w:sz w:val="16"/>
        </w:rPr>
        <w:t>051.13  در سال ۲۰۰۲، خلبان ارشد جیسون دی. کانینگهام، پزشک اصلی جستجو و نجات جنگی USAF بود، نجات‌دهنده نجات به یک نیروی واکنش سریع که وظیفه نجات دو سرباز آمریکایی از زمین‌های سخت تحت اشغال نیروهای القاعده و طالبان را بر عهده داشت.</w:t>
      </w:r>
    </w:p>
    <w:p>
      <w:pPr>
        <w:spacing w:after="28" w:line="216" w:lineRule="auto"/>
        <w:ind w:left="259"/>
        <w:jc w:val="left"/>
      </w:pPr>
      <w:r>
        <w:rPr>
          <w:rFonts w:ascii="Arial" w:hAnsi="Arial"/>
          <w:color w:val="525252"/>
          <w:sz w:val="13"/>
        </w:rPr>
        <w:t>In 2002, Senior Airman Jason D. Cunningham was the primary USAF combat search and rescue medic, pararescueman assigned to a quick reaction force tasked to rescue two American servicemen from austere terrain occupied by Al Qaeda and Taliban forces.</w:t>
      </w:r>
    </w:p>
    <w:p>
      <w:pPr>
        <w:spacing w:after="20" w:line="223" w:lineRule="auto"/>
        <w:jc w:val="right"/>
        <w:bidi/>
      </w:pPr>
      <w:r>
        <w:rPr>
          <w:rFonts w:ascii="Arial" w:hAnsi="Arial"/>
          <w:sz w:val="16"/>
        </w:rPr>
        <w:t>051.14  اندکی قبل از فرود در نزدیکی روستای مرزک، در استان پکتیا، افغانستان، در ۴ مارس، هلیکوپتر MH-۴۷ کانینگهام با شلیک راکت و اسلحه کوچک، هواپیما را به شدت از کار انداخت.</w:t>
      </w:r>
    </w:p>
    <w:p>
      <w:pPr>
        <w:spacing w:after="28" w:line="216" w:lineRule="auto"/>
        <w:ind w:left="259"/>
        <w:jc w:val="left"/>
      </w:pPr>
      <w:r>
        <w:rPr>
          <w:rFonts w:ascii="Arial" w:hAnsi="Arial"/>
          <w:color w:val="525252"/>
          <w:sz w:val="13"/>
        </w:rPr>
        <w:t>Shortly before landing near the village of Marzak, Paktia Province, Afghanistan, on 4 March Cunningham’s MH- 47E helicopter took rocket-propelled grenade and small arms fire, severely disabling the aircraft.</w:t>
      </w:r>
    </w:p>
    <w:p>
      <w:pPr>
        <w:spacing w:after="20" w:line="223" w:lineRule="auto"/>
        <w:jc w:val="right"/>
        <w:bidi/>
      </w:pPr>
      <w:r>
        <w:rPr>
          <w:rFonts w:ascii="Arial" w:hAnsi="Arial"/>
          <w:sz w:val="16"/>
        </w:rPr>
        <w:t>051.15  نیروی هجومی یک دفاع عجولانه تشکیل داد و تیم بلافاصله متحمل سه کشته و پنج تلفات شدید شد.</w:t>
      </w:r>
    </w:p>
    <w:p>
      <w:pPr>
        <w:spacing w:after="28" w:line="216" w:lineRule="auto"/>
        <w:ind w:left="259"/>
        <w:jc w:val="left"/>
      </w:pPr>
      <w:r>
        <w:rPr>
          <w:rFonts w:ascii="Arial" w:hAnsi="Arial"/>
          <w:color w:val="525252"/>
          <w:sz w:val="13"/>
        </w:rPr>
        <w:t>The assault force formed a hasty defense and the team immediately suffered three fatalities and five critical casualties.</w:t>
      </w:r>
    </w:p>
    <w:p>
      <w:pPr>
        <w:spacing w:after="20" w:line="223" w:lineRule="auto"/>
        <w:jc w:val="right"/>
        <w:bidi/>
      </w:pPr>
      <w:r>
        <w:rPr>
          <w:rFonts w:ascii="Arial" w:hAnsi="Arial"/>
          <w:sz w:val="16"/>
        </w:rPr>
        <w:t>051.16  در مواجهه با آتش دشمن و به خطر انداختن جان خود، کانینگهام در بدنه در حال سوختن جیسون دی. کانینگهام برای مداوای مجروحان باقی ماند.</w:t>
      </w:r>
    </w:p>
    <w:p>
      <w:pPr>
        <w:spacing w:after="28" w:line="216" w:lineRule="auto"/>
        <w:ind w:left="259"/>
        <w:jc w:val="left"/>
      </w:pPr>
      <w:r>
        <w:rPr>
          <w:rFonts w:ascii="Arial" w:hAnsi="Arial"/>
          <w:color w:val="525252"/>
          <w:sz w:val="13"/>
        </w:rPr>
        <w:t>Facing enemy fire, risking his own life, Cunningham remained in the burning Jason D. Cunningham fuselage to treat the wounded.</w:t>
      </w:r>
    </w:p>
    <w:p>
      <w:pPr>
        <w:spacing w:after="20" w:line="223" w:lineRule="auto"/>
        <w:jc w:val="right"/>
        <w:bidi/>
      </w:pPr>
      <w:r>
        <w:rPr>
          <w:rFonts w:ascii="Arial" w:hAnsi="Arial"/>
          <w:sz w:val="16"/>
        </w:rPr>
        <w:t>051.17  او با نادیده گرفتن خطر شدید و قرار گرفتن در معرض آتش دشمن در هفت نوبت، بیماران خود را تحت حمله خمپاره به مکان امن‌تری منتقل کرد.</w:t>
      </w:r>
    </w:p>
    <w:p>
      <w:pPr>
        <w:spacing w:after="28" w:line="216" w:lineRule="auto"/>
        <w:ind w:left="259"/>
        <w:jc w:val="left"/>
      </w:pPr>
      <w:r>
        <w:rPr>
          <w:rFonts w:ascii="Arial" w:hAnsi="Arial"/>
          <w:color w:val="525252"/>
          <w:sz w:val="13"/>
        </w:rPr>
        <w:t>He moved his patients to a more secure location under mortar attack, disregarding extreme danger and exposing himself to enemy fire on seven separate occasions.</w:t>
      </w:r>
    </w:p>
    <w:p>
      <w:pPr>
        <w:spacing w:after="20" w:line="223" w:lineRule="auto"/>
        <w:jc w:val="right"/>
        <w:bidi/>
      </w:pPr>
      <w:r>
        <w:rPr>
          <w:rFonts w:ascii="Arial" w:hAnsi="Arial"/>
          <w:sz w:val="16"/>
        </w:rPr>
        <w:t>051.18  هنگامی که دومین نقطه جمع‌آوری تلفات به خطر افتاد، کانینگهام با سلاح‌های کوچک و حملات نارنجک‌های پرتابه راکتی شهامت کرد تا مجروحان را در نقطه سوم جمع‌آوری قرار دهد.</w:t>
      </w:r>
    </w:p>
    <w:p>
      <w:pPr>
        <w:spacing w:after="28" w:line="216" w:lineRule="auto"/>
        <w:ind w:left="259"/>
        <w:jc w:val="left"/>
      </w:pPr>
      <w:r>
        <w:rPr>
          <w:rFonts w:ascii="Arial" w:hAnsi="Arial"/>
          <w:color w:val="525252"/>
          <w:sz w:val="13"/>
        </w:rPr>
        <w:t>When the second casualty collection point was compromised, Cunningham braved intense small arms and rocket-propelled grenade attacks to reposition the wounded to a third collection point.</w:t>
      </w:r>
    </w:p>
    <w:p>
      <w:pPr>
        <w:spacing w:after="20" w:line="223" w:lineRule="auto"/>
        <w:jc w:val="right"/>
        <w:bidi/>
      </w:pPr>
      <w:r>
        <w:rPr>
          <w:rFonts w:ascii="Arial" w:hAnsi="Arial"/>
          <w:sz w:val="16"/>
        </w:rPr>
        <w:t>051.19  با مجروح شدن مرگبار و به سرعت محو شدن، به هدایت حرکت بیمار ادامه داد و در عین حال مسئولیت را به یک پزشک دیگر منتقل کرد.</w:t>
      </w:r>
    </w:p>
    <w:p>
      <w:pPr>
        <w:spacing w:after="28" w:line="216" w:lineRule="auto"/>
        <w:ind w:left="259"/>
        <w:jc w:val="left"/>
      </w:pPr>
      <w:r>
        <w:rPr>
          <w:rFonts w:ascii="Arial" w:hAnsi="Arial"/>
          <w:color w:val="525252"/>
          <w:sz w:val="13"/>
        </w:rPr>
        <w:t>Mortally wounded and quickly fading, he continued to direct patient movement while transferring responsibilities to another medic.</w:t>
      </w:r>
    </w:p>
    <w:p>
      <w:pPr>
        <w:spacing w:after="20" w:line="223" w:lineRule="auto"/>
        <w:jc w:val="right"/>
        <w:bidi/>
      </w:pPr>
      <w:r>
        <w:rPr>
          <w:rFonts w:ascii="Arial" w:hAnsi="Arial"/>
          <w:sz w:val="16"/>
        </w:rPr>
        <w:t>051.20  تلاش‌های فداکارانه او منجر به تحویل ۱۰ آمریکایی به شدت مجروح به مراقبت‌های پزشکی نجات بخش شد.</w:t>
      </w:r>
    </w:p>
    <w:p>
      <w:pPr>
        <w:spacing w:after="28" w:line="216" w:lineRule="auto"/>
        <w:ind w:left="259"/>
        <w:jc w:val="left"/>
      </w:pPr>
      <w:r>
        <w:rPr>
          <w:rFonts w:ascii="Arial" w:hAnsi="Arial"/>
          <w:color w:val="525252"/>
          <w:sz w:val="13"/>
        </w:rPr>
        <w:t>His selfless efforts resulted in the delivery of 10 gravely wounded Americans to life-saving medical care.</w:t>
      </w:r>
    </w:p>
    <w:p>
      <w:pPr>
        <w:spacing w:after="20" w:line="223" w:lineRule="auto"/>
        <w:jc w:val="right"/>
        <w:bidi/>
      </w:pPr>
      <w:r>
        <w:rPr>
          <w:rFonts w:ascii="Arial" w:hAnsi="Arial"/>
          <w:sz w:val="16"/>
        </w:rPr>
        <w:t>051.21  وزیر USAF پس از مرگ به فرمانده ارشد کانینگهام نشان صلیب نیروی هوایی را به دلیل قهرمانی فوق‌العاده‌اش در عملیات نظامی علیه نیروهای مسلح مخالف اعطا کرد.</w:t>
      </w:r>
    </w:p>
    <w:p>
      <w:pPr>
        <w:spacing w:after="28" w:line="216" w:lineRule="auto"/>
        <w:ind w:left="259"/>
        <w:jc w:val="left"/>
      </w:pPr>
      <w:r>
        <w:rPr>
          <w:rFonts w:ascii="Arial" w:hAnsi="Arial"/>
          <w:color w:val="525252"/>
          <w:sz w:val="13"/>
        </w:rPr>
        <w:t>The Secretary of the USAF posthumously awarded Senior Airman Cunningham the Air Force Cross for his extraordinary heroism in military operations against an opposing armed force.</w:t>
      </w:r>
    </w:p>
    <w:p>
      <w:pPr>
        <w:spacing w:after="20" w:line="223" w:lineRule="auto"/>
        <w:jc w:val="right"/>
        <w:bidi/>
      </w:pPr>
      <w:r>
        <w:rPr>
          <w:rFonts w:ascii="Arial" w:hAnsi="Arial"/>
          <w:sz w:val="16"/>
        </w:rPr>
        <w:t>051.22  شجاعت قابل توجه در افغانستان، جان آ. چاپمن.</w:t>
      </w:r>
    </w:p>
    <w:p>
      <w:pPr>
        <w:spacing w:after="28" w:line="216" w:lineRule="auto"/>
        <w:ind w:left="259"/>
        <w:jc w:val="left"/>
      </w:pPr>
      <w:r>
        <w:rPr>
          <w:rFonts w:ascii="Arial" w:hAnsi="Arial"/>
          <w:color w:val="525252"/>
          <w:sz w:val="13"/>
        </w:rPr>
        <w:t>Notable Bravery in Afghanistan, John A. Chapman.</w:t>
      </w:r>
    </w:p>
    <w:p>
      <w:pPr>
        <w:spacing w:after="20" w:line="223" w:lineRule="auto"/>
        <w:jc w:val="right"/>
        <w:bidi/>
      </w:pPr>
      <w:r>
        <w:rPr>
          <w:rFonts w:ascii="Arial" w:hAnsi="Arial"/>
          <w:sz w:val="16"/>
        </w:rPr>
        <w:t>051.23  در ۴ مارس ۲۰۰۲، در طی عملیات آناکوندا، پس از شلیک توسط القاعده و از دست دادن نیروی دریایی SEAL، هلیکوپتر MH-۴۷ جان ای.</w:t>
      </w:r>
    </w:p>
    <w:p>
      <w:pPr>
        <w:spacing w:after="28" w:line="216" w:lineRule="auto"/>
        <w:ind w:left="259"/>
        <w:jc w:val="left"/>
      </w:pPr>
      <w:r>
        <w:rPr>
          <w:rFonts w:ascii="Arial" w:hAnsi="Arial"/>
          <w:color w:val="525252"/>
          <w:sz w:val="13"/>
        </w:rPr>
        <w:t>On 4 March 2002, during Operation Anaconda, after being fired upon by al Qaeda and losing a Navy SEAL, John A. Chapman’s MH- 47E helicopter landed just under five miles away.</w:t>
      </w:r>
    </w:p>
    <w:p>
      <w:pPr>
        <w:spacing w:after="20" w:line="223" w:lineRule="auto"/>
        <w:jc w:val="right"/>
        <w:bidi/>
      </w:pPr>
      <w:r>
        <w:rPr>
          <w:rFonts w:ascii="Arial" w:hAnsi="Arial"/>
          <w:sz w:val="16"/>
        </w:rPr>
        <w:t>051.24  هنگامی که بر روی زمین قرار گرفت، چپمن به هلیکوپتر دیگری دستور داد تا آنها را بگیرد و با موفقیت عضو تیم مأموریت خود را از دژ دشمن نجات داد.</w:t>
      </w:r>
    </w:p>
    <w:p>
      <w:pPr>
        <w:spacing w:after="28" w:line="216" w:lineRule="auto"/>
        <w:ind w:left="259"/>
        <w:jc w:val="left"/>
      </w:pPr>
      <w:r>
        <w:rPr>
          <w:rFonts w:ascii="Arial" w:hAnsi="Arial"/>
          <w:color w:val="525252"/>
          <w:sz w:val="13"/>
        </w:rPr>
        <w:t>Once on the ground, Chapman provided directions to another helicopter to pick them up, successfully rescuing their mission team member from the enemy stronghold.</w:t>
      </w:r>
    </w:p>
    <w:p>
      <w:pPr>
        <w:spacing w:after="20" w:line="223" w:lineRule="auto"/>
        <w:jc w:val="right"/>
        <w:bidi/>
      </w:pPr>
      <w:r>
        <w:rPr>
          <w:rFonts w:ascii="Arial" w:hAnsi="Arial"/>
          <w:sz w:val="16"/>
        </w:rPr>
        <w:t>051.25  چپمن دو سرباز دشمن را کشت و بدون توجه به جان خود، به سمت لانه مسلسل حفر شده پیشروی کرد که تیم از سه جهت زیر آتش گرفت.</w:t>
      </w:r>
    </w:p>
    <w:p>
      <w:pPr>
        <w:spacing w:after="28" w:line="216" w:lineRule="auto"/>
        <w:ind w:left="259"/>
        <w:jc w:val="left"/>
      </w:pPr>
      <w:r>
        <w:rPr>
          <w:rFonts w:ascii="Arial" w:hAnsi="Arial"/>
          <w:color w:val="525252"/>
          <w:sz w:val="13"/>
        </w:rPr>
        <w:t>Chapman killed two enemy soldiers, and without regard for his own life, kept advancing toward a dug-in machinegun nest when the team came under fire from three directions.</w:t>
      </w:r>
    </w:p>
    <w:p>
      <w:pPr>
        <w:spacing w:after="20" w:line="223" w:lineRule="auto"/>
        <w:jc w:val="right"/>
        <w:bidi/>
      </w:pPr>
      <w:r>
        <w:rPr>
          <w:rFonts w:ascii="Arial" w:hAnsi="Arial"/>
          <w:sz w:val="16"/>
        </w:rPr>
        <w:t>051.26  چپمن با حداقل پوشش شخصی تیراندازی کرد و تسلیم جان آ. چپمن شد.</w:t>
      </w:r>
    </w:p>
    <w:p>
      <w:pPr>
        <w:spacing w:after="28" w:line="216" w:lineRule="auto"/>
        <w:ind w:left="259"/>
        <w:jc w:val="left"/>
      </w:pPr>
      <w:r>
        <w:rPr>
          <w:rFonts w:ascii="Arial" w:hAnsi="Arial"/>
          <w:color w:val="525252"/>
          <w:sz w:val="13"/>
        </w:rPr>
        <w:t>Chapman exchanged fire from minimal personal cover and succumbed to John A. Chapman</w:t>
      </w:r>
    </w:p>
    <w:p>
      <w:r>
        <w:br w:type="page"/>
      </w:r>
    </w:p>
    <w:p>
      <w:pPr>
        <w:spacing w:after="60"/>
        <w:jc w:val="right"/>
        <w:bidi/>
      </w:pPr>
      <w:r>
        <w:rPr>
          <w:rFonts w:ascii="Arial" w:hAnsi="Arial"/>
          <w:b/>
          <w:color w:val="1F4D78"/>
          <w:sz w:val="19"/>
        </w:rPr>
        <w:t>هفتهٔ 52  |  صفحهٔ منبع: 68</w:t>
      </w:r>
    </w:p>
    <w:p>
      <w:pPr>
        <w:spacing w:after="20" w:line="223" w:lineRule="auto"/>
        <w:jc w:val="right"/>
        <w:bidi/>
      </w:pPr>
      <w:r>
        <w:rPr>
          <w:rFonts w:ascii="Arial" w:hAnsi="Arial"/>
          <w:sz w:val="16"/>
        </w:rPr>
        <w:t>052.01  زخم‌های متعدد.</w:t>
      </w:r>
    </w:p>
    <w:p>
      <w:pPr>
        <w:spacing w:after="28" w:line="216" w:lineRule="auto"/>
        <w:ind w:left="259"/>
        <w:jc w:val="left"/>
      </w:pPr>
      <w:r>
        <w:rPr>
          <w:rFonts w:ascii="Arial" w:hAnsi="Arial"/>
          <w:color w:val="525252"/>
          <w:sz w:val="13"/>
        </w:rPr>
        <w:t>multiple wounds.</w:t>
      </w:r>
    </w:p>
    <w:p>
      <w:pPr>
        <w:spacing w:after="20" w:line="223" w:lineRule="auto"/>
        <w:jc w:val="right"/>
        <w:bidi/>
      </w:pPr>
      <w:r>
        <w:rPr>
          <w:rFonts w:ascii="Arial" w:hAnsi="Arial"/>
          <w:sz w:val="16"/>
        </w:rPr>
        <w:t>052.02  درگیری او و انهدام اولین موقعیت دشمن و پیشروی به موقعیت دوم، تیم او را قادر ساخت تا پوشش داده شود، تماس دشمن را قطع کند و جان کل تیم نجات را نجات دهد.</w:t>
      </w:r>
    </w:p>
    <w:p>
      <w:pPr>
        <w:spacing w:after="28" w:line="216" w:lineRule="auto"/>
        <w:ind w:left="259"/>
        <w:jc w:val="left"/>
      </w:pPr>
      <w:r>
        <w:rPr>
          <w:rFonts w:ascii="Arial" w:hAnsi="Arial"/>
          <w:color w:val="525252"/>
          <w:sz w:val="13"/>
        </w:rPr>
        <w:t>His engagement and destruction of the first enemy position and advancement to the second enabled his team to take cover, break enemy contact, and save the lives of the entire rescue team.</w:t>
      </w:r>
    </w:p>
    <w:p>
      <w:pPr>
        <w:spacing w:after="20" w:line="223" w:lineRule="auto"/>
        <w:jc w:val="right"/>
        <w:bidi/>
      </w:pPr>
      <w:r>
        <w:rPr>
          <w:rFonts w:ascii="Arial" w:hAnsi="Arial"/>
          <w:sz w:val="16"/>
        </w:rPr>
        <w:t>052.03  در ۱۰ ژانویه ۲۰۰۳، وزیر USAF پس از مرگ صلیب نیروی هوایی را به گروهبان فنی جان ا. چپمن اعطا کرد.</w:t>
      </w:r>
    </w:p>
    <w:p>
      <w:pPr>
        <w:spacing w:after="28" w:line="216" w:lineRule="auto"/>
        <w:ind w:left="259"/>
        <w:jc w:val="left"/>
      </w:pPr>
      <w:r>
        <w:rPr>
          <w:rFonts w:ascii="Arial" w:hAnsi="Arial"/>
          <w:color w:val="525252"/>
          <w:sz w:val="13"/>
        </w:rPr>
        <w:t>On 10 January 2003, the Secretary of the USAF posthumously awarded the Air Force Cross to Technical Sergeant John A. Chapman.</w:t>
      </w:r>
    </w:p>
    <w:p>
      <w:pPr>
        <w:spacing w:after="20" w:line="223" w:lineRule="auto"/>
        <w:jc w:val="right"/>
        <w:bidi/>
      </w:pPr>
      <w:r>
        <w:rPr>
          <w:rFonts w:ascii="Arial" w:hAnsi="Arial"/>
          <w:sz w:val="16"/>
        </w:rPr>
        <w:t>052.04  در ۲۲ اوت ۲۰۱۸، بیوه چپمن ارتقاء پس از مرگ خود را به مدال افتخار از رئیس جمهور دونالد جی. ترامپ پذیرفت.</w:t>
      </w:r>
    </w:p>
    <w:p>
      <w:pPr>
        <w:spacing w:after="28" w:line="216" w:lineRule="auto"/>
        <w:ind w:left="259"/>
        <w:jc w:val="left"/>
      </w:pPr>
      <w:r>
        <w:rPr>
          <w:rFonts w:ascii="Arial" w:hAnsi="Arial"/>
          <w:color w:val="525252"/>
          <w:sz w:val="13"/>
        </w:rPr>
        <w:t>On 22 August 2018, Chapman’s widow accepted the posthumous upgrade to the Medal of Honor from President Donald J. Trump.</w:t>
      </w:r>
    </w:p>
    <w:p>
      <w:pPr>
        <w:spacing w:after="20" w:line="223" w:lineRule="auto"/>
        <w:jc w:val="right"/>
        <w:bidi/>
      </w:pPr>
      <w:r>
        <w:rPr>
          <w:rFonts w:ascii="Arial" w:hAnsi="Arial"/>
          <w:sz w:val="16"/>
        </w:rPr>
        <w:t>052.05  چپمن اولین عضو USAF است که از زمان درگیری ویتنام این جایزه را دریافت می‌کند.</w:t>
      </w:r>
    </w:p>
    <w:p>
      <w:pPr>
        <w:spacing w:after="28" w:line="216" w:lineRule="auto"/>
        <w:ind w:left="259"/>
        <w:jc w:val="left"/>
      </w:pPr>
      <w:r>
        <w:rPr>
          <w:rFonts w:ascii="Arial" w:hAnsi="Arial"/>
          <w:color w:val="525252"/>
          <w:sz w:val="13"/>
        </w:rPr>
        <w:t>Chapman is the first USAF member to receive this award since the Vietnam Conflict.</w:t>
      </w:r>
    </w:p>
    <w:p>
      <w:pPr>
        <w:spacing w:after="20" w:line="223" w:lineRule="auto"/>
        <w:jc w:val="right"/>
        <w:bidi/>
      </w:pPr>
      <w:r>
        <w:rPr>
          <w:rFonts w:ascii="Arial" w:hAnsi="Arial"/>
          <w:sz w:val="16"/>
        </w:rPr>
        <w:t>052.06  شجاعت قابل توجه در افغانستان، انیسا شیرو.</w:t>
      </w:r>
    </w:p>
    <w:p>
      <w:pPr>
        <w:spacing w:after="28" w:line="216" w:lineRule="auto"/>
        <w:ind w:left="259"/>
        <w:jc w:val="left"/>
      </w:pPr>
      <w:r>
        <w:rPr>
          <w:rFonts w:ascii="Arial" w:hAnsi="Arial"/>
          <w:color w:val="525252"/>
          <w:sz w:val="13"/>
        </w:rPr>
        <w:t>Notable Bravery in Afghanistan, Anissa Shero.</w:t>
      </w:r>
    </w:p>
    <w:p>
      <w:pPr>
        <w:spacing w:after="20" w:line="223" w:lineRule="auto"/>
        <w:jc w:val="right"/>
        <w:bidi/>
      </w:pPr>
      <w:r>
        <w:rPr>
          <w:rFonts w:ascii="Arial" w:hAnsi="Arial"/>
          <w:sz w:val="16"/>
        </w:rPr>
        <w:t>052.07  کماندوی هوایی آنیسا شیرو در طول عملیات آزادی پایدار به‌عنوان فرمانده باربر روی یک MC-۱۳۰ کومبات تالون II با علامت تماس چاریوت-۵۵ خدمت کرد.</w:t>
      </w:r>
    </w:p>
    <w:p>
      <w:pPr>
        <w:spacing w:after="28" w:line="216" w:lineRule="auto"/>
        <w:ind w:left="259"/>
        <w:jc w:val="left"/>
      </w:pPr>
      <w:r>
        <w:rPr>
          <w:rFonts w:ascii="Arial" w:hAnsi="Arial"/>
          <w:color w:val="525252"/>
          <w:sz w:val="13"/>
        </w:rPr>
        <w:t>Air Commando Anissa Shero served as a loadmaster aboard an MC-130 Combat Talon II, call sign Chariot-55, during Operation Enduring Freedom.</w:t>
      </w:r>
    </w:p>
    <w:p>
      <w:pPr>
        <w:spacing w:after="20" w:line="223" w:lineRule="auto"/>
        <w:jc w:val="right"/>
        <w:bidi/>
      </w:pPr>
      <w:r>
        <w:rPr>
          <w:rFonts w:ascii="Arial" w:hAnsi="Arial"/>
          <w:sz w:val="16"/>
        </w:rPr>
        <w:t>052.08  در ۱۲ ژوئن ۲۰۰۲، چاریوت-۵۵ مأموریت یافت تا یک تیم سه نفره نیروهای ویژه ایالات متحده را از باند فرودگاهی در نزدیکی روستای سرده بند افغانستان بیرون بکشد.</w:t>
      </w:r>
    </w:p>
    <w:p>
      <w:pPr>
        <w:spacing w:after="28" w:line="216" w:lineRule="auto"/>
        <w:ind w:left="259"/>
        <w:jc w:val="left"/>
      </w:pPr>
      <w:r>
        <w:rPr>
          <w:rFonts w:ascii="Arial" w:hAnsi="Arial"/>
          <w:color w:val="525252"/>
          <w:sz w:val="13"/>
        </w:rPr>
        <w:t>On June 12, 2002, Chariot-55 was tasked with extracting a three-man U.S. Special Forces team from a dirt runway near the village of Sardeh Band, Afghanistan.</w:t>
      </w:r>
    </w:p>
    <w:p>
      <w:pPr>
        <w:spacing w:after="20" w:line="223" w:lineRule="auto"/>
        <w:jc w:val="right"/>
        <w:bidi/>
      </w:pPr>
      <w:r>
        <w:rPr>
          <w:rFonts w:ascii="Arial" w:hAnsi="Arial"/>
          <w:sz w:val="16"/>
        </w:rPr>
        <w:t>052.09  هنگامی که بر روی زمین قرار گرفتند، شیرو و همکار لودمستر شان کورلو، هر دو از اسکادران عملیات ویژه ۱۵، یک موتور در حال کار را روی تیم و تجهیزات انجام دادند.</w:t>
      </w:r>
    </w:p>
    <w:p>
      <w:pPr>
        <w:spacing w:after="28" w:line="216" w:lineRule="auto"/>
        <w:ind w:left="259"/>
        <w:jc w:val="left"/>
      </w:pPr>
      <w:r>
        <w:rPr>
          <w:rFonts w:ascii="Arial" w:hAnsi="Arial"/>
          <w:color w:val="525252"/>
          <w:sz w:val="13"/>
        </w:rPr>
        <w:t>Once on the ground, Shero, and fellow loadmaster Sean Corlew, both from the 15th Special Operations Squadron, performed an engine-running on- load of the team and equipment.</w:t>
      </w:r>
    </w:p>
    <w:p>
      <w:pPr>
        <w:spacing w:after="20" w:line="223" w:lineRule="auto"/>
        <w:jc w:val="right"/>
        <w:bidi/>
      </w:pPr>
      <w:r>
        <w:rPr>
          <w:rFonts w:ascii="Arial" w:hAnsi="Arial"/>
          <w:sz w:val="16"/>
        </w:rPr>
        <w:t>052.10  پس از تلاش ناقص برخاستن، شیرو دو سرباز را که مهار نشده بودند کشف کرد و به آنها گفت که دست و پنجه نرم کنند.</w:t>
      </w:r>
    </w:p>
    <w:p>
      <w:pPr>
        <w:spacing w:after="28" w:line="216" w:lineRule="auto"/>
        <w:ind w:left="259"/>
        <w:jc w:val="left"/>
      </w:pPr>
      <w:r>
        <w:rPr>
          <w:rFonts w:ascii="Arial" w:hAnsi="Arial"/>
          <w:color w:val="525252"/>
          <w:sz w:val="13"/>
        </w:rPr>
        <w:t>After an aborted takeoff attempt, Shero discovered two soldiers unrestrained and told them to buckle up.</w:t>
      </w:r>
    </w:p>
    <w:p>
      <w:pPr>
        <w:spacing w:after="20" w:line="223" w:lineRule="auto"/>
        <w:jc w:val="right"/>
        <w:bidi/>
      </w:pPr>
      <w:r>
        <w:rPr>
          <w:rFonts w:ascii="Arial" w:hAnsi="Arial"/>
          <w:sz w:val="16"/>
        </w:rPr>
        <w:t>052.11  کمی بعد، هواپیما دوباره بلند شد و این بار سقوط کرد.</w:t>
      </w:r>
    </w:p>
    <w:p>
      <w:pPr>
        <w:spacing w:after="28" w:line="216" w:lineRule="auto"/>
        <w:ind w:left="259"/>
        <w:jc w:val="left"/>
      </w:pPr>
      <w:r>
        <w:rPr>
          <w:rFonts w:ascii="Arial" w:hAnsi="Arial"/>
          <w:color w:val="525252"/>
          <w:sz w:val="13"/>
        </w:rPr>
        <w:t>Shortly after, the aircraft took off again, this time crashing.</w:t>
      </w:r>
    </w:p>
    <w:p>
      <w:pPr>
        <w:spacing w:after="20" w:line="223" w:lineRule="auto"/>
        <w:jc w:val="right"/>
        <w:bidi/>
      </w:pPr>
      <w:r>
        <w:rPr>
          <w:rFonts w:ascii="Arial" w:hAnsi="Arial"/>
          <w:sz w:val="16"/>
        </w:rPr>
        <w:t>052.12  شرو، کورلو و آنیسا شرو گروهبان درجه یک ارتش ایالات متحده پیتر تایچ درگذشت.</w:t>
      </w:r>
    </w:p>
    <w:p>
      <w:pPr>
        <w:spacing w:after="28" w:line="216" w:lineRule="auto"/>
        <w:ind w:left="259"/>
        <w:jc w:val="left"/>
      </w:pPr>
      <w:r>
        <w:rPr>
          <w:rFonts w:ascii="Arial" w:hAnsi="Arial"/>
          <w:color w:val="525252"/>
          <w:sz w:val="13"/>
        </w:rPr>
        <w:t>Shero, Corlew, and Anissa Shero U.S. Army Sergeant First Class Peter Tycz died.</w:t>
      </w:r>
    </w:p>
    <w:p>
      <w:pPr>
        <w:spacing w:after="20" w:line="223" w:lineRule="auto"/>
        <w:jc w:val="right"/>
        <w:bidi/>
      </w:pPr>
      <w:r>
        <w:rPr>
          <w:rFonts w:ascii="Arial" w:hAnsi="Arial"/>
          <w:sz w:val="16"/>
        </w:rPr>
        <w:t>052.13  دو سربازی که شرو به آنها کمک کرد هر دو زنده ماندند.</w:t>
      </w:r>
    </w:p>
    <w:p>
      <w:pPr>
        <w:spacing w:after="28" w:line="216" w:lineRule="auto"/>
        <w:ind w:left="259"/>
        <w:jc w:val="left"/>
      </w:pPr>
      <w:r>
        <w:rPr>
          <w:rFonts w:ascii="Arial" w:hAnsi="Arial"/>
          <w:color w:val="525252"/>
          <w:sz w:val="13"/>
        </w:rPr>
        <w:t>The two soldiers that Shero assisted both survived.</w:t>
      </w:r>
    </w:p>
    <w:p>
      <w:pPr>
        <w:spacing w:after="20" w:line="223" w:lineRule="auto"/>
        <w:jc w:val="right"/>
        <w:bidi/>
      </w:pPr>
      <w:r>
        <w:rPr>
          <w:rFonts w:ascii="Arial" w:hAnsi="Arial"/>
          <w:sz w:val="16"/>
        </w:rPr>
        <w:t>052.14  او اولین زن مجروح در عملیات آزادی پایدار/افغانستان بود.</w:t>
      </w:r>
    </w:p>
    <w:p>
      <w:pPr>
        <w:spacing w:after="28" w:line="216" w:lineRule="auto"/>
        <w:ind w:left="259"/>
        <w:jc w:val="left"/>
      </w:pPr>
      <w:r>
        <w:rPr>
          <w:rFonts w:ascii="Arial" w:hAnsi="Arial"/>
          <w:color w:val="525252"/>
          <w:sz w:val="13"/>
        </w:rPr>
        <w:t>She was the first female casualty in Operation Enduring Freedom/Afghanistan.</w:t>
      </w:r>
    </w:p>
    <w:p>
      <w:pPr>
        <w:spacing w:after="20" w:line="223" w:lineRule="auto"/>
        <w:jc w:val="right"/>
        <w:bidi/>
      </w:pPr>
      <w:r>
        <w:rPr>
          <w:rFonts w:ascii="Arial" w:hAnsi="Arial"/>
          <w:sz w:val="16"/>
        </w:rPr>
        <w:t>052.15  شجاعت قابل توجه در افغانستان، کوین والن.</w:t>
      </w:r>
    </w:p>
    <w:p>
      <w:pPr>
        <w:spacing w:after="28" w:line="216" w:lineRule="auto"/>
        <w:ind w:left="259"/>
        <w:jc w:val="left"/>
      </w:pPr>
      <w:r>
        <w:rPr>
          <w:rFonts w:ascii="Arial" w:hAnsi="Arial"/>
          <w:color w:val="525252"/>
          <w:sz w:val="13"/>
        </w:rPr>
        <w:t>Notable Bravery in Afghanistan, Kevin Whalen.</w:t>
      </w:r>
    </w:p>
    <w:p>
      <w:pPr>
        <w:spacing w:after="20" w:line="223" w:lineRule="auto"/>
        <w:jc w:val="right"/>
        <w:bidi/>
      </w:pPr>
      <w:r>
        <w:rPr>
          <w:rFonts w:ascii="Arial" w:hAnsi="Arial"/>
          <w:sz w:val="16"/>
        </w:rPr>
        <w:t>052.16  در ۱۹ جولای ۲۰۰۳، کوین والن، یک کنترل کننده حمله ترمینال حزب کنترل هوایی تاکتیکی، از یک گشت جنگی افغان و ایالات متحده در دره گایان، افغانستان پشتیبانی می‌کرد.</w:t>
      </w:r>
    </w:p>
    <w:p>
      <w:pPr>
        <w:spacing w:after="28" w:line="216" w:lineRule="auto"/>
        <w:ind w:left="259"/>
        <w:jc w:val="left"/>
      </w:pPr>
      <w:r>
        <w:rPr>
          <w:rFonts w:ascii="Arial" w:hAnsi="Arial"/>
          <w:color w:val="525252"/>
          <w:sz w:val="13"/>
        </w:rPr>
        <w:t>On 19 July 2003, Kevin Whalen, a Tactical Air Control Party Terminal Attack Controller was supporting an Afghan and U.S. combat patrol in the Gayan Valley, Afghanistan.</w:t>
      </w:r>
    </w:p>
    <w:p>
      <w:pPr>
        <w:spacing w:after="20" w:line="223" w:lineRule="auto"/>
        <w:jc w:val="right"/>
        <w:bidi/>
      </w:pPr>
      <w:r>
        <w:rPr>
          <w:rFonts w:ascii="Arial" w:hAnsi="Arial"/>
          <w:sz w:val="16"/>
        </w:rPr>
        <w:t>052.17  گشت در یک کمین کاملا هماهنگ مورد اصابت قرار گرفت.</w:t>
      </w:r>
    </w:p>
    <w:p>
      <w:pPr>
        <w:spacing w:after="28" w:line="216" w:lineRule="auto"/>
        <w:ind w:left="259"/>
        <w:jc w:val="left"/>
      </w:pPr>
      <w:r>
        <w:rPr>
          <w:rFonts w:ascii="Arial" w:hAnsi="Arial"/>
          <w:color w:val="525252"/>
          <w:sz w:val="13"/>
        </w:rPr>
        <w:t>The patrol was hit in a well-coordinated ambush.</w:t>
      </w:r>
    </w:p>
    <w:p>
      <w:pPr>
        <w:spacing w:after="20" w:line="223" w:lineRule="auto"/>
        <w:jc w:val="right"/>
        <w:bidi/>
      </w:pPr>
      <w:r>
        <w:rPr>
          <w:rFonts w:ascii="Arial" w:hAnsi="Arial"/>
          <w:sz w:val="16"/>
        </w:rPr>
        <w:t>052.18  وهالن با یک نارنجک انداز خودکار به تیراندازی مؤثر پاسخ داد و در معرض آتش دشمن ماند و در عین حال به بقیه تیم اجازه داد تا پناه بگیرند.</w:t>
      </w:r>
    </w:p>
    <w:p>
      <w:pPr>
        <w:spacing w:after="28" w:line="216" w:lineRule="auto"/>
        <w:ind w:left="259"/>
        <w:jc w:val="left"/>
      </w:pPr>
      <w:r>
        <w:rPr>
          <w:rFonts w:ascii="Arial" w:hAnsi="Arial"/>
          <w:color w:val="525252"/>
          <w:sz w:val="13"/>
        </w:rPr>
        <w:t>Whalen returned effective fire with an automatic grenade launcher and remained exposed to enemy fire while allowing the rest of the team to take cover.</w:t>
      </w:r>
    </w:p>
    <w:p>
      <w:pPr>
        <w:spacing w:after="20" w:line="223" w:lineRule="auto"/>
        <w:jc w:val="right"/>
        <w:bidi/>
      </w:pPr>
      <w:r>
        <w:rPr>
          <w:rFonts w:ascii="Arial" w:hAnsi="Arial"/>
          <w:sz w:val="16"/>
        </w:rPr>
        <w:t>052.19  هنگامی که نارنجک انداز مورد اصابت قرار گرفت و آسیب دید، ولین در جایگاه خود باقی ماند و سعی کرد پرتابگر را تعمیر کند.</w:t>
      </w:r>
    </w:p>
    <w:p>
      <w:pPr>
        <w:spacing w:after="28" w:line="216" w:lineRule="auto"/>
        <w:ind w:left="259"/>
        <w:jc w:val="left"/>
      </w:pPr>
      <w:r>
        <w:rPr>
          <w:rFonts w:ascii="Arial" w:hAnsi="Arial"/>
          <w:color w:val="525252"/>
          <w:sz w:val="13"/>
        </w:rPr>
        <w:t>When the grenade launcher was hit and damaged, Whalen remained at his post and attempted to fix the launcher.</w:t>
      </w:r>
    </w:p>
    <w:p>
      <w:pPr>
        <w:spacing w:after="20" w:line="223" w:lineRule="auto"/>
        <w:jc w:val="right"/>
        <w:bidi/>
      </w:pPr>
      <w:r>
        <w:rPr>
          <w:rFonts w:ascii="Arial" w:hAnsi="Arial"/>
          <w:sz w:val="16"/>
        </w:rPr>
        <w:t>052.20  سه ضربه خورد.</w:t>
      </w:r>
    </w:p>
    <w:p>
      <w:pPr>
        <w:spacing w:after="28" w:line="216" w:lineRule="auto"/>
        <w:ind w:left="259"/>
        <w:jc w:val="left"/>
      </w:pPr>
      <w:r>
        <w:rPr>
          <w:rFonts w:ascii="Arial" w:hAnsi="Arial"/>
          <w:color w:val="525252"/>
          <w:sz w:val="13"/>
        </w:rPr>
        <w:t>He was hit three times.</w:t>
      </w:r>
    </w:p>
    <w:p>
      <w:pPr>
        <w:spacing w:after="20" w:line="223" w:lineRule="auto"/>
        <w:jc w:val="right"/>
        <w:bidi/>
      </w:pPr>
      <w:r>
        <w:rPr>
          <w:rFonts w:ascii="Arial" w:hAnsi="Arial"/>
          <w:sz w:val="16"/>
        </w:rPr>
        <w:t>052.21  کوین والن یک گلوله به زره بدن او اصابت کرد، گلوله دیگری به ابزار گربر او اصابت کرد و گلوله سوم به بازوی چپ او اصابت کرد.</w:t>
      </w:r>
    </w:p>
    <w:p>
      <w:pPr>
        <w:spacing w:after="28" w:line="216" w:lineRule="auto"/>
        <w:ind w:left="259"/>
        <w:jc w:val="left"/>
      </w:pPr>
      <w:r>
        <w:rPr>
          <w:rFonts w:ascii="Arial" w:hAnsi="Arial"/>
          <w:color w:val="525252"/>
          <w:sz w:val="13"/>
        </w:rPr>
        <w:t>Kevin Whalen One bullet hit his body armor, another his Gerber tool, and the third struck him in the left arm.</w:t>
      </w:r>
    </w:p>
    <w:p>
      <w:pPr>
        <w:spacing w:after="20" w:line="223" w:lineRule="auto"/>
        <w:jc w:val="right"/>
        <w:bidi/>
      </w:pPr>
      <w:r>
        <w:rPr>
          <w:rFonts w:ascii="Arial" w:hAnsi="Arial"/>
          <w:sz w:val="16"/>
        </w:rPr>
        <w:t>052.22  والن از برجک خارج شد، کمک‌های اولیه را برای متوقف کردن خونریزی آغاز کرد و رادیو خود را بازیابی کرد تا با پشتیبانی نزدیک هوایی تماس بگیرد.</w:t>
      </w:r>
    </w:p>
    <w:p>
      <w:pPr>
        <w:spacing w:after="28" w:line="216" w:lineRule="auto"/>
        <w:ind w:left="259"/>
        <w:jc w:val="left"/>
      </w:pPr>
      <w:r>
        <w:rPr>
          <w:rFonts w:ascii="Arial" w:hAnsi="Arial"/>
          <w:color w:val="525252"/>
          <w:sz w:val="13"/>
        </w:rPr>
        <w:t>Whalen dropped out of the turret, began first aid to stop the bleeding, and recovered his radio to call in close air support.</w:t>
      </w:r>
    </w:p>
    <w:p>
      <w:pPr>
        <w:spacing w:after="20" w:line="223" w:lineRule="auto"/>
        <w:jc w:val="right"/>
        <w:bidi/>
      </w:pPr>
      <w:r>
        <w:rPr>
          <w:rFonts w:ascii="Arial" w:hAnsi="Arial"/>
          <w:sz w:val="16"/>
        </w:rPr>
        <w:t>052.23  وقتی نامزدی به پایان رسید، والن اصرار کرد که همه مجروحان دیگر ابتدا تخلیه شوند.</w:t>
      </w:r>
    </w:p>
    <w:p>
      <w:pPr>
        <w:spacing w:after="28" w:line="216" w:lineRule="auto"/>
        <w:ind w:left="259"/>
        <w:jc w:val="left"/>
      </w:pPr>
      <w:r>
        <w:rPr>
          <w:rFonts w:ascii="Arial" w:hAnsi="Arial"/>
          <w:color w:val="525252"/>
          <w:sz w:val="13"/>
        </w:rPr>
        <w:t>When the engagement was over, Whalen insisted that all other wounded be evacuated first.</w:t>
      </w:r>
    </w:p>
    <w:p>
      <w:pPr>
        <w:spacing w:after="20" w:line="223" w:lineRule="auto"/>
        <w:jc w:val="right"/>
        <w:bidi/>
      </w:pPr>
      <w:r>
        <w:rPr>
          <w:rFonts w:ascii="Arial" w:hAnsi="Arial"/>
          <w:sz w:val="16"/>
        </w:rPr>
        <w:t>052.24  پس از دو روز بستری شدن در بیمارستان، برای ادامه مأموریت‌های رزمی به تیم خود بازگشت.</w:t>
      </w:r>
    </w:p>
    <w:p>
      <w:pPr>
        <w:spacing w:after="28" w:line="216" w:lineRule="auto"/>
        <w:ind w:left="259"/>
        <w:jc w:val="left"/>
      </w:pPr>
      <w:r>
        <w:rPr>
          <w:rFonts w:ascii="Arial" w:hAnsi="Arial"/>
          <w:color w:val="525252"/>
          <w:sz w:val="13"/>
        </w:rPr>
        <w:t>After two days in the hospital, he returned to his team to continue combat missions.</w:t>
      </w:r>
    </w:p>
    <w:p>
      <w:pPr>
        <w:spacing w:after="20" w:line="223" w:lineRule="auto"/>
        <w:jc w:val="right"/>
        <w:bidi/>
      </w:pPr>
      <w:r>
        <w:rPr>
          <w:rFonts w:ascii="Arial" w:hAnsi="Arial"/>
          <w:sz w:val="16"/>
        </w:rPr>
        <w:t>052.25  برای اقدامات خود، گروهبان فنی ولین ستاره نقره‌ای دریافت کرد.</w:t>
      </w:r>
    </w:p>
    <w:p>
      <w:pPr>
        <w:spacing w:after="28" w:line="216" w:lineRule="auto"/>
        <w:ind w:left="259"/>
        <w:jc w:val="left"/>
      </w:pPr>
      <w:r>
        <w:rPr>
          <w:rFonts w:ascii="Arial" w:hAnsi="Arial"/>
          <w:color w:val="525252"/>
          <w:sz w:val="13"/>
        </w:rPr>
        <w:t>For his actions, Technical Sergeant Whalen was awarded the Silver Star.</w:t>
      </w:r>
    </w:p>
    <w:p>
      <w:pPr>
        <w:spacing w:after="20" w:line="223" w:lineRule="auto"/>
        <w:jc w:val="right"/>
        <w:bidi/>
      </w:pPr>
      <w:r>
        <w:rPr>
          <w:rFonts w:ascii="Arial" w:hAnsi="Arial"/>
          <w:sz w:val="16"/>
        </w:rPr>
        <w:t>052.26  شجاعت قابل توجه در افغانستان، رامون کولون لوپز.</w:t>
      </w:r>
    </w:p>
    <w:p>
      <w:pPr>
        <w:spacing w:after="28" w:line="216" w:lineRule="auto"/>
        <w:ind w:left="259"/>
        <w:jc w:val="left"/>
      </w:pPr>
      <w:r>
        <w:rPr>
          <w:rFonts w:ascii="Arial" w:hAnsi="Arial"/>
          <w:color w:val="525252"/>
          <w:sz w:val="13"/>
        </w:rPr>
        <w:t>Notable Bravery in Afghanistan, Ramon Colon-Lopez.</w:t>
      </w:r>
    </w:p>
    <w:p>
      <w:pPr>
        <w:spacing w:after="20" w:line="223" w:lineRule="auto"/>
        <w:jc w:val="right"/>
        <w:bidi/>
      </w:pPr>
      <w:r>
        <w:rPr>
          <w:rFonts w:ascii="Arial" w:hAnsi="Arial"/>
          <w:sz w:val="16"/>
        </w:rPr>
        <w:t>052.27  رامون کولون لوپز، یک نجات‌بخش، در ۱۱ مارس ۲۰۰۴ به‌عنوان بخشی از یک تیم عملیاتی نیروی پیشرفته که در کنار عناصر واحد ضربت ملی افغانستان خدمت می‌کرد، به افغانستان اعزام شد.</w:t>
      </w:r>
    </w:p>
    <w:p>
      <w:pPr>
        <w:spacing w:after="28" w:line="216" w:lineRule="auto"/>
        <w:ind w:left="259"/>
        <w:jc w:val="left"/>
      </w:pPr>
      <w:r>
        <w:rPr>
          <w:rFonts w:ascii="Arial" w:hAnsi="Arial"/>
          <w:color w:val="525252"/>
          <w:sz w:val="13"/>
        </w:rPr>
        <w:t>Ramon Colon- Lopez, a pararescueman, was deployed to Afghanistan on 11 March 2004, as part of an advanced force operations team serving alongside elements of the Afghan national strike unit.</w:t>
      </w:r>
    </w:p>
    <w:p>
      <w:pPr>
        <w:spacing w:after="20" w:line="223" w:lineRule="auto"/>
        <w:jc w:val="right"/>
        <w:bidi/>
      </w:pPr>
      <w:r>
        <w:rPr>
          <w:rFonts w:ascii="Arial" w:hAnsi="Arial"/>
          <w:sz w:val="16"/>
        </w:rPr>
        <w:t>052.28  مأموریت این بود که هدفی با ارزش بالا را به تصرف خود درآورد (پادشاه مواد مخدر که از تروریسم حمایت مالی می‌کرد) و جلوگیری از تکثیر سلاح‌های شیمیایی.</w:t>
      </w:r>
    </w:p>
    <w:p>
      <w:pPr>
        <w:spacing w:after="28" w:line="216" w:lineRule="auto"/>
        <w:ind w:left="259"/>
        <w:jc w:val="left"/>
      </w:pPr>
      <w:r>
        <w:rPr>
          <w:rFonts w:ascii="Arial" w:hAnsi="Arial"/>
          <w:color w:val="525252"/>
          <w:sz w:val="13"/>
        </w:rPr>
        <w:t>The mission was to capture a high- value target (a drug king-pin who was funding terrorism) and prevent the proliferation of chemical weapons.</w:t>
      </w:r>
    </w:p>
    <w:p>
      <w:pPr>
        <w:spacing w:after="20" w:line="223" w:lineRule="auto"/>
        <w:jc w:val="right"/>
        <w:bidi/>
      </w:pPr>
      <w:r>
        <w:rPr>
          <w:rFonts w:ascii="Arial" w:hAnsi="Arial"/>
          <w:sz w:val="16"/>
        </w:rPr>
        <w:t>052.29  در حین انجام عملیات، استاد ارشد گروهبان کولون-لوپز در اولین بالگرد از چهار هلیکوپتر بود که با اسلحه‌های کوچک آتش گرفت و هنگام فرود آسیب جدی دید.</w:t>
      </w:r>
    </w:p>
    <w:p>
      <w:pPr>
        <w:spacing w:after="28" w:line="216" w:lineRule="auto"/>
        <w:ind w:left="259"/>
        <w:jc w:val="left"/>
      </w:pPr>
      <w:r>
        <w:rPr>
          <w:rFonts w:ascii="Arial" w:hAnsi="Arial"/>
          <w:color w:val="525252"/>
          <w:sz w:val="13"/>
        </w:rPr>
        <w:t>While conducting operations, Senior Master Sergeant Colon-Lopez was on the first of four helicopters that took sustained small-arms fire and was seriously damaged as they landed.</w:t>
      </w:r>
    </w:p>
    <w:p>
      <w:pPr>
        <w:spacing w:after="20" w:line="223" w:lineRule="auto"/>
        <w:jc w:val="right"/>
        <w:bidi/>
      </w:pPr>
      <w:r>
        <w:rPr>
          <w:rFonts w:ascii="Arial" w:hAnsi="Arial"/>
          <w:sz w:val="16"/>
        </w:rPr>
        <w:t>052.30  رامون کولون-لوپز با گلوله هایی که به اطراف او برخورد کرد و از اندازه نیروی دشمن مطمئن نبود، به جلو فشار آورد و مواضع دشمن را زیر گرفت.</w:t>
      </w:r>
    </w:p>
    <w:p>
      <w:pPr>
        <w:spacing w:after="28" w:line="216" w:lineRule="auto"/>
        <w:ind w:left="259"/>
        <w:jc w:val="left"/>
      </w:pPr>
      <w:r>
        <w:rPr>
          <w:rFonts w:ascii="Arial" w:hAnsi="Arial"/>
          <w:color w:val="525252"/>
          <w:sz w:val="13"/>
        </w:rPr>
        <w:t>With rounds impacting all around him and unsure of the size of the enemy force, Ramon Colon-Lopez he pressed forward, overrunning enemy positions.</w:t>
      </w:r>
    </w:p>
    <w:p>
      <w:pPr>
        <w:spacing w:after="20" w:line="223" w:lineRule="auto"/>
        <w:jc w:val="right"/>
        <w:bidi/>
      </w:pPr>
      <w:r>
        <w:rPr>
          <w:rFonts w:ascii="Arial" w:hAnsi="Arial"/>
          <w:sz w:val="16"/>
        </w:rPr>
        <w:t>052.31  اقدامات او آتش دشمن علیه سه هلیکوپتر دیگر را فرو نشاند و دشمن را از خود دور کرد.</w:t>
      </w:r>
    </w:p>
    <w:p>
      <w:pPr>
        <w:spacing w:after="28" w:line="216" w:lineRule="auto"/>
        <w:ind w:left="259"/>
        <w:jc w:val="left"/>
      </w:pPr>
      <w:r>
        <w:rPr>
          <w:rFonts w:ascii="Arial" w:hAnsi="Arial"/>
          <w:color w:val="525252"/>
          <w:sz w:val="13"/>
        </w:rPr>
        <w:t>His actions suppressed enemy fire against the other three helicopters and drove the enemy away.</w:t>
      </w:r>
    </w:p>
    <w:p>
      <w:pPr>
        <w:spacing w:after="20" w:line="223" w:lineRule="auto"/>
        <w:jc w:val="right"/>
        <w:bidi/>
      </w:pPr>
      <w:r>
        <w:rPr>
          <w:rFonts w:ascii="Arial" w:hAnsi="Arial"/>
          <w:sz w:val="16"/>
        </w:rPr>
        <w:t>052.32  این حمله منجر به دو کشتن دشمن، ۱۰ دستگیری دشمن و انهدام نارنجک‌های راکتی و سلاح‌های کالیبر کوچک شد.</w:t>
      </w:r>
    </w:p>
    <w:p>
      <w:pPr>
        <w:spacing w:after="28" w:line="216" w:lineRule="auto"/>
        <w:ind w:left="259"/>
        <w:jc w:val="left"/>
      </w:pPr>
      <w:r>
        <w:rPr>
          <w:rFonts w:ascii="Arial" w:hAnsi="Arial"/>
          <w:color w:val="525252"/>
          <w:sz w:val="13"/>
        </w:rPr>
        <w:t>The raid resulted in two enemy kills, 10 enemy apprehensions, and the destruction of rocket-propelled grenades and small caliber weapons.</w:t>
      </w:r>
    </w:p>
    <w:p>
      <w:pPr>
        <w:spacing w:after="20" w:line="223" w:lineRule="auto"/>
        <w:jc w:val="right"/>
        <w:bidi/>
      </w:pPr>
      <w:r>
        <w:rPr>
          <w:rFonts w:ascii="Arial" w:hAnsi="Arial"/>
          <w:sz w:val="16"/>
        </w:rPr>
        <w:t>052.33  در نتیجه اقدامات خود، کولون لوپز ستاره برنز را با شجاعت دریافت کرد و یکی از شش دریافت کننده اول و تنها آمریکایی اسپانیایی تبار بود که مدال اکشن رزمی را به دست آورد.</w:t>
      </w:r>
    </w:p>
    <w:p>
      <w:pPr>
        <w:spacing w:after="28" w:line="216" w:lineRule="auto"/>
        <w:ind w:left="259"/>
        <w:jc w:val="left"/>
      </w:pPr>
      <w:r>
        <w:rPr>
          <w:rFonts w:ascii="Arial" w:hAnsi="Arial"/>
          <w:color w:val="525252"/>
          <w:sz w:val="13"/>
        </w:rPr>
        <w:t>As a result of his actions, Colon-Lopez received the Bronze Star with Valor and became one of the first six recipients of, and only Hispanic American, to earn the Combat Action Medal.</w:t>
      </w:r>
    </w:p>
    <w:p>
      <w:pPr>
        <w:spacing w:after="20" w:line="223" w:lineRule="auto"/>
        <w:jc w:val="right"/>
        <w:bidi/>
      </w:pPr>
      <w:r>
        <w:rPr>
          <w:rFonts w:ascii="Arial" w:hAnsi="Arial"/>
          <w:sz w:val="16"/>
        </w:rPr>
        <w:t>052.34  او بعدا به درجه سرگروهبان ارتقا یافت و در چندین رهبری خدمت کرد.</w:t>
      </w:r>
    </w:p>
    <w:p>
      <w:pPr>
        <w:spacing w:after="28" w:line="216" w:lineRule="auto"/>
        <w:ind w:left="259"/>
        <w:jc w:val="left"/>
      </w:pPr>
      <w:r>
        <w:rPr>
          <w:rFonts w:ascii="Arial" w:hAnsi="Arial"/>
          <w:color w:val="525252"/>
          <w:sz w:val="13"/>
        </w:rPr>
        <w:t>He was later promoted to Chief Master Sergeant and served in several leadership</w:t>
      </w:r>
    </w:p>
    <w:p>
      <w:r>
        <w:br w:type="page"/>
      </w:r>
    </w:p>
    <w:p>
      <w:pPr>
        <w:spacing w:after="60"/>
        <w:jc w:val="right"/>
        <w:bidi/>
      </w:pPr>
      <w:r>
        <w:rPr>
          <w:rFonts w:ascii="Arial" w:hAnsi="Arial"/>
          <w:b/>
          <w:color w:val="1F4D78"/>
          <w:sz w:val="19"/>
        </w:rPr>
        <w:t>هفتهٔ 53  |  صفحهٔ منبع: 69</w:t>
      </w:r>
    </w:p>
    <w:p>
      <w:pPr>
        <w:spacing w:after="20" w:line="223" w:lineRule="auto"/>
        <w:jc w:val="right"/>
        <w:bidi/>
      </w:pPr>
      <w:r>
        <w:rPr>
          <w:rFonts w:ascii="Arial" w:hAnsi="Arial"/>
          <w:sz w:val="16"/>
        </w:rPr>
        <w:t>053.01  سمت، که در سال ۲۰۱۹ به‌عنوان چهارمین مشاور ارشد استخدام شده رئیس ستاد مشترک ارتش به اوج خود رسید.</w:t>
      </w:r>
    </w:p>
    <w:p>
      <w:pPr>
        <w:spacing w:after="28" w:line="216" w:lineRule="auto"/>
        <w:ind w:left="259"/>
        <w:jc w:val="left"/>
      </w:pPr>
      <w:r>
        <w:rPr>
          <w:rFonts w:ascii="Arial" w:hAnsi="Arial"/>
          <w:color w:val="525252"/>
          <w:sz w:val="13"/>
        </w:rPr>
        <w:t>positions, culminating in 2019 as the fourth Senior Enlisted Advisor to the Chairman of the Joint Chiefs of Staff.</w:t>
      </w:r>
    </w:p>
    <w:p>
      <w:pPr>
        <w:spacing w:after="20" w:line="223" w:lineRule="auto"/>
        <w:jc w:val="right"/>
        <w:bidi/>
      </w:pPr>
      <w:r>
        <w:rPr>
          <w:rFonts w:ascii="Arial" w:hAnsi="Arial"/>
          <w:sz w:val="16"/>
        </w:rPr>
        <w:t>053.02  شجاعت قابل توجه در افغانستان، رابرت گیترز.</w:t>
      </w:r>
    </w:p>
    <w:p>
      <w:pPr>
        <w:spacing w:after="28" w:line="216" w:lineRule="auto"/>
        <w:ind w:left="259"/>
        <w:jc w:val="left"/>
      </w:pPr>
      <w:r>
        <w:rPr>
          <w:rFonts w:ascii="Arial" w:hAnsi="Arial"/>
          <w:color w:val="525252"/>
          <w:sz w:val="13"/>
        </w:rPr>
        <w:t>Notable Bravery in Afghanistan, Robert Guiterrez.</w:t>
      </w:r>
    </w:p>
    <w:p>
      <w:pPr>
        <w:spacing w:after="20" w:line="223" w:lineRule="auto"/>
        <w:jc w:val="right"/>
        <w:bidi/>
      </w:pPr>
      <w:r>
        <w:rPr>
          <w:rFonts w:ascii="Arial" w:hAnsi="Arial"/>
          <w:sz w:val="16"/>
        </w:rPr>
        <w:t>053.03  رابرت گیترز، به‌عنوان یک کنترل کننده جنگی که به یک یگان نیروهای ویژه ارتش منصوب شده بود، به استان قلب، افغانستان اعزام شد.</w:t>
      </w:r>
    </w:p>
    <w:p>
      <w:pPr>
        <w:spacing w:after="28" w:line="216" w:lineRule="auto"/>
        <w:ind w:left="259"/>
        <w:jc w:val="left"/>
      </w:pPr>
      <w:r>
        <w:rPr>
          <w:rFonts w:ascii="Arial" w:hAnsi="Arial"/>
          <w:color w:val="525252"/>
          <w:sz w:val="13"/>
        </w:rPr>
        <w:t>Robert Guiterrez, deployed to Heart Province, Afghanistan as a combat controller assigned to an Army Special Forces Detachment.</w:t>
      </w:r>
    </w:p>
    <w:p>
      <w:pPr>
        <w:spacing w:after="20" w:line="223" w:lineRule="auto"/>
        <w:jc w:val="right"/>
        <w:bidi/>
      </w:pPr>
      <w:r>
        <w:rPr>
          <w:rFonts w:ascii="Arial" w:hAnsi="Arial"/>
          <w:sz w:val="16"/>
        </w:rPr>
        <w:t>053.04  در ۵ اکتبر ۲۰۰۹، گوتیرز و تیمش یک حمله شبانه پرخطر برای دستگیری رهبر شماره دو طالبان در منطقه انجام دادند.</w:t>
      </w:r>
    </w:p>
    <w:p>
      <w:pPr>
        <w:spacing w:after="28" w:line="216" w:lineRule="auto"/>
        <w:ind w:left="259"/>
        <w:jc w:val="left"/>
      </w:pPr>
      <w:r>
        <w:rPr>
          <w:rFonts w:ascii="Arial" w:hAnsi="Arial"/>
          <w:color w:val="525252"/>
          <w:sz w:val="13"/>
        </w:rPr>
        <w:t>On 5 October 2009, Gutierrez and his team conducted a high-risk nighttime raid to capture the number two Taliban leader in the region.</w:t>
      </w:r>
    </w:p>
    <w:p>
      <w:pPr>
        <w:spacing w:after="20" w:line="223" w:lineRule="auto"/>
        <w:jc w:val="right"/>
        <w:bidi/>
      </w:pPr>
      <w:r>
        <w:rPr>
          <w:rFonts w:ascii="Arial" w:hAnsi="Arial"/>
          <w:sz w:val="16"/>
        </w:rPr>
        <w:t>053.05  در حمله اولیه، تیم با رگبار تفنگ و آتش مسلسل سنگین از سوی یک نیروی دشمن از نظر عددی برتر و مصمم مورد حمله قرار گرفت.</w:t>
      </w:r>
    </w:p>
    <w:p>
      <w:pPr>
        <w:spacing w:after="28" w:line="216" w:lineRule="auto"/>
        <w:ind w:left="259"/>
        <w:jc w:val="left"/>
      </w:pPr>
      <w:r>
        <w:rPr>
          <w:rFonts w:ascii="Arial" w:hAnsi="Arial"/>
          <w:color w:val="525252"/>
          <w:sz w:val="13"/>
        </w:rPr>
        <w:t>During the initial assault, the team was attacked with a barrage of rifle and heavy machine-gun fire from a numerically superior and determined enemy force.</w:t>
      </w:r>
    </w:p>
    <w:p>
      <w:pPr>
        <w:spacing w:after="20" w:line="223" w:lineRule="auto"/>
        <w:jc w:val="right"/>
        <w:bidi/>
      </w:pPr>
      <w:r>
        <w:rPr>
          <w:rFonts w:ascii="Arial" w:hAnsi="Arial"/>
          <w:sz w:val="16"/>
        </w:rPr>
        <w:t>053.06  گوتیرز از ناحیه قفسه سینه مورد اصابت گلوله قرار گرفت، رهبر تیم او از ناحیه پای رابرت گیترز مورد اصابت گلوله قرار گرفت و عنصر ده نفره در ساختمانی که راه فراری نداشت، گیر افتاد.</w:t>
      </w:r>
    </w:p>
    <w:p>
      <w:pPr>
        <w:spacing w:after="28" w:line="216" w:lineRule="auto"/>
        <w:ind w:left="259"/>
        <w:jc w:val="left"/>
      </w:pPr>
      <w:r>
        <w:rPr>
          <w:rFonts w:ascii="Arial" w:hAnsi="Arial"/>
          <w:color w:val="525252"/>
          <w:sz w:val="13"/>
        </w:rPr>
        <w:t>Gutierrez was shot in the chest, his team leader was shot in the Robert Guiterrez leg, and the ten-man element was pinned down in a building with no escape route.</w:t>
      </w:r>
    </w:p>
    <w:p>
      <w:pPr>
        <w:spacing w:after="20" w:line="223" w:lineRule="auto"/>
        <w:jc w:val="right"/>
        <w:bidi/>
      </w:pPr>
      <w:r>
        <w:rPr>
          <w:rFonts w:ascii="Arial" w:hAnsi="Arial"/>
          <w:sz w:val="16"/>
        </w:rPr>
        <w:t>053.07  با درد شدید و مواجهه با احتمال بسیار واقعی که بمیرد، گوتیرز ابتکار عمل را به دست گرفت و از کنار گذاشتن وظایف خود به‌عنوان کنترل کننده حمله ترمینال مشترک خودداری کرد.</w:t>
      </w:r>
    </w:p>
    <w:p>
      <w:pPr>
        <w:spacing w:after="28" w:line="216" w:lineRule="auto"/>
        <w:ind w:left="259"/>
        <w:jc w:val="left"/>
      </w:pPr>
      <w:r>
        <w:rPr>
          <w:rFonts w:ascii="Arial" w:hAnsi="Arial"/>
          <w:color w:val="525252"/>
          <w:sz w:val="13"/>
        </w:rPr>
        <w:t>In great pain and confronting the very real possibility that he would die, Gutierrez seized the initiative and refused to relinquish his duties as joint terminal attack controller.</w:t>
      </w:r>
    </w:p>
    <w:p>
      <w:pPr>
        <w:spacing w:after="20" w:line="223" w:lineRule="auto"/>
        <w:jc w:val="right"/>
        <w:bidi/>
      </w:pPr>
      <w:r>
        <w:rPr>
          <w:rFonts w:ascii="Arial" w:hAnsi="Arial"/>
          <w:sz w:val="16"/>
        </w:rPr>
        <w:t>053.08  در زیر آتش شدید، او با تفنگ م-۴ خود با جنگجویان طالبان درگیر شد و نیروی هوایی را به خدمت گرفت و سه پرتاب "خطر نزدیک" ا-۱۰ را با دقت استثنایی در برابر نیروهای دشمن در فاصله ۳۰ فوتی کنترل کرد.</w:t>
      </w:r>
    </w:p>
    <w:p>
      <w:pPr>
        <w:spacing w:after="28" w:line="216" w:lineRule="auto"/>
        <w:ind w:left="259"/>
        <w:jc w:val="left"/>
      </w:pPr>
      <w:r>
        <w:rPr>
          <w:rFonts w:ascii="Arial" w:hAnsi="Arial"/>
          <w:color w:val="525252"/>
          <w:sz w:val="13"/>
        </w:rPr>
        <w:t>Under intense fire, he engaged Taliban fighters with his M-4 rifle and brought airpower to bear, controlling three “danger close” A-10 strafing runs with exceptional precision against enemy forces just 30 feet away.</w:t>
      </w:r>
    </w:p>
    <w:p>
      <w:pPr>
        <w:spacing w:after="20" w:line="223" w:lineRule="auto"/>
        <w:jc w:val="right"/>
        <w:bidi/>
      </w:pPr>
      <w:r>
        <w:rPr>
          <w:rFonts w:ascii="Arial" w:hAnsi="Arial"/>
          <w:sz w:val="16"/>
        </w:rPr>
        <w:t>053.09  پس از اولین حمله ا-۱۰، پزشک تیم یک رفع فشار با سوزن برای باد کردن مجدد ریه فرو ریخته گوتیرز انجام داد و به او اجازه داد تا دو مسابقه بعدی را هدایت کند که نیروی دشمن را از بین برد و به تیم اجازه داد بدون تلفات اضافی از منطقه کشتار فرار کند.</w:t>
      </w:r>
    </w:p>
    <w:p>
      <w:pPr>
        <w:spacing w:after="28" w:line="216" w:lineRule="auto"/>
        <w:ind w:left="259"/>
        <w:jc w:val="left"/>
      </w:pPr>
      <w:r>
        <w:rPr>
          <w:rFonts w:ascii="Arial" w:hAnsi="Arial"/>
          <w:color w:val="525252"/>
          <w:sz w:val="13"/>
        </w:rPr>
        <w:t>After the first A-10 attack, the team medic performed a needle decompression to re-inflate Gutierrez’s collapsed lung, allowing him to direct the next two strafe runs which decimated the enemy force and allowed the team to escape the kill zone without additional casualties.</w:t>
      </w:r>
    </w:p>
    <w:p>
      <w:pPr>
        <w:spacing w:after="20" w:line="223" w:lineRule="auto"/>
        <w:jc w:val="right"/>
        <w:bidi/>
      </w:pPr>
      <w:r>
        <w:rPr>
          <w:rFonts w:ascii="Arial" w:hAnsi="Arial"/>
          <w:sz w:val="16"/>
        </w:rPr>
        <w:t>053.10  در طول نبرد چهار ساعته، اقدامات شجاعانه گوتیرز، که جان خود را به خطر انداخته بود، به نجات جان هم‌تیمی هایش کمک کرد و ضربه مهلکی به شبکه منطقه‌ای طالبان وارد کرد.</w:t>
      </w:r>
    </w:p>
    <w:p>
      <w:pPr>
        <w:spacing w:after="28" w:line="216" w:lineRule="auto"/>
        <w:ind w:left="259"/>
        <w:jc w:val="left"/>
      </w:pPr>
      <w:r>
        <w:rPr>
          <w:rFonts w:ascii="Arial" w:hAnsi="Arial"/>
          <w:color w:val="525252"/>
          <w:sz w:val="13"/>
        </w:rPr>
        <w:t>Throughout the four-hour battle, Gutierrez’s valorous actions, at great risk to his own life, helped save the lives of his teammates and dealt a crushing blow to the regional Taliban network.</w:t>
      </w:r>
    </w:p>
    <w:p>
      <w:pPr>
        <w:spacing w:after="20" w:line="223" w:lineRule="auto"/>
        <w:jc w:val="right"/>
        <w:bidi/>
      </w:pPr>
      <w:r>
        <w:rPr>
          <w:rFonts w:ascii="Arial" w:hAnsi="Arial"/>
          <w:sz w:val="16"/>
        </w:rPr>
        <w:t>053.11  برای این اقدام به گیترز نشان صلیب نیروی هوایی اعطا شد.</w:t>
      </w:r>
    </w:p>
    <w:p>
      <w:pPr>
        <w:spacing w:after="28" w:line="216" w:lineRule="auto"/>
        <w:ind w:left="259"/>
        <w:jc w:val="left"/>
      </w:pPr>
      <w:r>
        <w:rPr>
          <w:rFonts w:ascii="Arial" w:hAnsi="Arial"/>
          <w:color w:val="525252"/>
          <w:sz w:val="13"/>
        </w:rPr>
        <w:t>For this action, Guiterrez was awarded the Air Force Cross.</w:t>
      </w:r>
    </w:p>
    <w:p>
      <w:pPr>
        <w:spacing w:before="60" w:after="28"/>
        <w:jc w:val="right"/>
        <w:bidi/>
      </w:pPr>
      <w:r>
        <w:rPr>
          <w:b/>
          <w:color w:val="1F4D78"/>
          <w:sz w:val="18"/>
        </w:rPr>
        <w:t>3.18. خروج نیروهای نظامی از افغانستان</w:t>
      </w:r>
    </w:p>
    <w:p>
      <w:pPr>
        <w:spacing w:after="20"/>
        <w:ind w:left="259"/>
        <w:jc w:val="left"/>
      </w:pPr>
      <w:r>
        <w:rPr>
          <w:color w:val="555555"/>
          <w:sz w:val="12"/>
        </w:rPr>
        <w:t>3.18. Afghanistan Troop Withdrawal</w:t>
      </w:r>
    </w:p>
    <w:p>
      <w:pPr>
        <w:spacing w:after="20" w:line="223" w:lineRule="auto"/>
        <w:jc w:val="right"/>
        <w:bidi/>
      </w:pPr>
      <w:r>
        <w:rPr>
          <w:rFonts w:ascii="Arial" w:hAnsi="Arial"/>
          <w:sz w:val="16"/>
        </w:rPr>
        <w:t>053.13  در سال ۲۰۱۱، در اوج دخالت آمریکا در افغانستان، ۱۰۱۰۰۰ نیروی نظامی به این کشور اعزام شدند.</w:t>
      </w:r>
    </w:p>
    <w:p>
      <w:pPr>
        <w:spacing w:after="28" w:line="216" w:lineRule="auto"/>
        <w:ind w:left="259"/>
        <w:jc w:val="left"/>
      </w:pPr>
      <w:r>
        <w:rPr>
          <w:rFonts w:ascii="Arial" w:hAnsi="Arial"/>
          <w:color w:val="525252"/>
          <w:sz w:val="13"/>
        </w:rPr>
        <w:t>In 2011, at the height of American involvement in Afghanistan, 101,000 service members were deployed to the country.</w:t>
      </w:r>
    </w:p>
    <w:p>
      <w:pPr>
        <w:spacing w:after="20" w:line="223" w:lineRule="auto"/>
        <w:jc w:val="right"/>
        <w:bidi/>
      </w:pPr>
      <w:r>
        <w:rPr>
          <w:rFonts w:ascii="Arial" w:hAnsi="Arial"/>
          <w:sz w:val="16"/>
        </w:rPr>
        <w:t>053.14  در ژوئن ۲۰۱۳، نیروهای افغان رسما عملیات جنگی را به عهده گرفتند.</w:t>
      </w:r>
    </w:p>
    <w:p>
      <w:pPr>
        <w:spacing w:after="28" w:line="216" w:lineRule="auto"/>
        <w:ind w:left="259"/>
        <w:jc w:val="left"/>
      </w:pPr>
      <w:r>
        <w:rPr>
          <w:rFonts w:ascii="Arial" w:hAnsi="Arial"/>
          <w:color w:val="525252"/>
          <w:sz w:val="13"/>
        </w:rPr>
        <w:t>In June 2013, Afghan forces formally took over combat operations.</w:t>
      </w:r>
    </w:p>
    <w:p>
      <w:pPr>
        <w:spacing w:after="20" w:line="223" w:lineRule="auto"/>
        <w:jc w:val="right"/>
        <w:bidi/>
      </w:pPr>
      <w:r>
        <w:rPr>
          <w:rFonts w:ascii="Arial" w:hAnsi="Arial"/>
          <w:sz w:val="16"/>
        </w:rPr>
        <w:t>053.15  در مقر نیروهای بین‌المللی کمک به امنیت سازمان پیمان آتلانتیک شمالی (ناتو) در کابل، مراسمی پایان مأموریت آیساف و انتقال به حمایت قاطع به رهبری ناتو را نشان داد.</w:t>
      </w:r>
    </w:p>
    <w:p>
      <w:pPr>
        <w:spacing w:after="28" w:line="216" w:lineRule="auto"/>
        <w:ind w:left="259"/>
        <w:jc w:val="left"/>
      </w:pPr>
      <w:r>
        <w:rPr>
          <w:rFonts w:ascii="Arial" w:hAnsi="Arial"/>
          <w:color w:val="525252"/>
          <w:sz w:val="13"/>
        </w:rPr>
        <w:t>At the North Atlantic Treaty Organization (NATO) International Security Assistance Force (ISAF) Headquarters in Kabul, a ceremony marked the end of ISAF’s mission and the transition to the NATO-led Resolute Support.</w:t>
      </w:r>
    </w:p>
    <w:p>
      <w:pPr>
        <w:spacing w:after="20" w:line="223" w:lineRule="auto"/>
        <w:jc w:val="right"/>
        <w:bidi/>
      </w:pPr>
      <w:r>
        <w:rPr>
          <w:rFonts w:ascii="Arial" w:hAnsi="Arial"/>
          <w:sz w:val="16"/>
        </w:rPr>
        <w:t>053.16  برای بیشتر افراد، جنگ در افغانستان در سال ۲۰۱۴ به پایان رسید.</w:t>
      </w:r>
    </w:p>
    <w:p>
      <w:pPr>
        <w:spacing w:after="28" w:line="216" w:lineRule="auto"/>
        <w:ind w:left="259"/>
        <w:jc w:val="left"/>
      </w:pPr>
      <w:r>
        <w:rPr>
          <w:rFonts w:ascii="Arial" w:hAnsi="Arial"/>
          <w:color w:val="525252"/>
          <w:sz w:val="13"/>
        </w:rPr>
        <w:t>For most, the war in Afghanistan came to an end in 2014.</w:t>
      </w:r>
    </w:p>
    <w:p>
      <w:pPr>
        <w:spacing w:after="20" w:line="223" w:lineRule="auto"/>
        <w:jc w:val="right"/>
        <w:bidi/>
      </w:pPr>
      <w:r>
        <w:rPr>
          <w:rFonts w:ascii="Arial" w:hAnsi="Arial"/>
          <w:sz w:val="16"/>
        </w:rPr>
        <w:t>053.17  در طول عملیات آزادی پایدار، ۷ اکتبر ۲۰۰۱ تا ۲۸ دسامبر ۲۰۱۴، مجموع تلفات ائتلاف به ۳۴۸۶ نفر رسید.</w:t>
      </w:r>
    </w:p>
    <w:p>
      <w:pPr>
        <w:spacing w:after="28" w:line="216" w:lineRule="auto"/>
        <w:ind w:left="259"/>
        <w:jc w:val="left"/>
      </w:pPr>
      <w:r>
        <w:rPr>
          <w:rFonts w:ascii="Arial" w:hAnsi="Arial"/>
          <w:color w:val="525252"/>
          <w:sz w:val="13"/>
        </w:rPr>
        <w:t>Throughout Operation Enduring Freedom, 7 October 2001-28 December 2014, coalition casualties totaled 3,486.</w:t>
      </w:r>
    </w:p>
    <w:p>
      <w:pPr>
        <w:spacing w:after="20" w:line="223" w:lineRule="auto"/>
        <w:jc w:val="right"/>
        <w:bidi/>
      </w:pPr>
      <w:r>
        <w:rPr>
          <w:rFonts w:ascii="Arial" w:hAnsi="Arial"/>
          <w:sz w:val="16"/>
        </w:rPr>
        <w:t>053.18  تلفات طالبان و القاعده از ۲۵۵۰۰ تا ۴۰۵۰۰ متغیر بود.</w:t>
      </w:r>
    </w:p>
    <w:p>
      <w:pPr>
        <w:spacing w:after="28" w:line="216" w:lineRule="auto"/>
        <w:ind w:left="259"/>
        <w:jc w:val="left"/>
      </w:pPr>
      <w:r>
        <w:rPr>
          <w:rFonts w:ascii="Arial" w:hAnsi="Arial"/>
          <w:color w:val="525252"/>
          <w:sz w:val="13"/>
        </w:rPr>
        <w:t>Taliban and Al-Qaeda casualties ranged from 25,500 to 40,500.</w:t>
      </w:r>
    </w:p>
    <w:p>
      <w:pPr>
        <w:spacing w:after="20" w:line="223" w:lineRule="auto"/>
        <w:jc w:val="right"/>
        <w:bidi/>
      </w:pPr>
      <w:r>
        <w:rPr>
          <w:rFonts w:ascii="Arial" w:hAnsi="Arial"/>
          <w:sz w:val="16"/>
        </w:rPr>
        <w:t>053.19  خروج نیروها/اعلام پایان جنگ در افغانستان در ۳۱ اوت ۲۰۲۱ اتفاق افتاد.</w:t>
      </w:r>
    </w:p>
    <w:p>
      <w:pPr>
        <w:spacing w:after="28" w:line="216" w:lineRule="auto"/>
        <w:ind w:left="259"/>
        <w:jc w:val="left"/>
      </w:pPr>
      <w:r>
        <w:rPr>
          <w:rFonts w:ascii="Arial" w:hAnsi="Arial"/>
          <w:color w:val="525252"/>
          <w:sz w:val="13"/>
        </w:rPr>
        <w:t>The troop withdrawal/declared end to war in Afghanistan happened on 31 August 2021.</w:t>
      </w:r>
    </w:p>
    <w:p>
      <w:pPr>
        <w:spacing w:after="20" w:line="223" w:lineRule="auto"/>
        <w:jc w:val="right"/>
        <w:bidi/>
      </w:pPr>
      <w:r>
        <w:rPr>
          <w:rFonts w:ascii="Arial" w:hAnsi="Arial"/>
          <w:sz w:val="16"/>
        </w:rPr>
        <w:t>053.20  شجاعت قابل توجه در افغانستان، دلورین شریدان.</w:t>
      </w:r>
    </w:p>
    <w:p>
      <w:pPr>
        <w:spacing w:after="28" w:line="216" w:lineRule="auto"/>
        <w:ind w:left="259"/>
        <w:jc w:val="left"/>
      </w:pPr>
      <w:r>
        <w:rPr>
          <w:rFonts w:ascii="Arial" w:hAnsi="Arial"/>
          <w:color w:val="525252"/>
          <w:sz w:val="13"/>
        </w:rPr>
        <w:t>Notable Bravery in Afghanistan, Delorean Sheridan.</w:t>
      </w:r>
    </w:p>
    <w:p>
      <w:pPr>
        <w:spacing w:after="20" w:line="223" w:lineRule="auto"/>
        <w:jc w:val="right"/>
        <w:bidi/>
      </w:pPr>
      <w:r>
        <w:rPr>
          <w:rFonts w:ascii="Arial" w:hAnsi="Arial"/>
          <w:sz w:val="16"/>
        </w:rPr>
        <w:t>053.21  در مارس ۲۰۱۳، دلورین شریدان در حال تکمیل یک مقدمه معمول برای یک مأموریت کنترل جنگی در محل مستقر خود در استان وردک، افغانستان بود.</w:t>
      </w:r>
    </w:p>
    <w:p>
      <w:pPr>
        <w:spacing w:after="28" w:line="216" w:lineRule="auto"/>
        <w:ind w:left="259"/>
        <w:jc w:val="left"/>
      </w:pPr>
      <w:r>
        <w:rPr>
          <w:rFonts w:ascii="Arial" w:hAnsi="Arial"/>
          <w:color w:val="525252"/>
          <w:sz w:val="13"/>
        </w:rPr>
        <w:t>In March 2013, Delorean Sheridan was completing a routine pre-brief for a combat control mission at his deployed location in Wardak Province, Afghanistan.</w:t>
      </w:r>
    </w:p>
    <w:p>
      <w:pPr>
        <w:spacing w:after="20" w:line="223" w:lineRule="auto"/>
        <w:jc w:val="right"/>
        <w:bidi/>
      </w:pPr>
      <w:r>
        <w:rPr>
          <w:rFonts w:ascii="Arial" w:hAnsi="Arial"/>
          <w:sz w:val="16"/>
        </w:rPr>
        <w:t>053.22  در حالی که تیم او وسایل را در وسایل نقلیه خود بار می‌کردند، یک افسر پلیس افغان ناگهان چرخید و با یک مسلسل سوار بر کامیون در فاصله ۲۵ فوتی تیراندازی کرد.</w:t>
      </w:r>
    </w:p>
    <w:p>
      <w:pPr>
        <w:spacing w:after="28" w:line="216" w:lineRule="auto"/>
        <w:ind w:left="259"/>
        <w:jc w:val="left"/>
      </w:pPr>
      <w:r>
        <w:rPr>
          <w:rFonts w:ascii="Arial" w:hAnsi="Arial"/>
          <w:color w:val="525252"/>
          <w:sz w:val="13"/>
        </w:rPr>
        <w:t>While his team loaded gear into their vehicles, an Afghan police officer suddenly turned and opened fire with a truck-mounted machine gun 25 feet away.</w:t>
      </w:r>
    </w:p>
    <w:p>
      <w:pPr>
        <w:spacing w:after="20" w:line="223" w:lineRule="auto"/>
        <w:jc w:val="right"/>
        <w:bidi/>
      </w:pPr>
      <w:r>
        <w:rPr>
          <w:rFonts w:ascii="Arial" w:hAnsi="Arial"/>
          <w:sz w:val="16"/>
        </w:rPr>
        <w:t>053.23  همزمان، ۱۵ تا ۲۰ شورشی درست در خارج از روستا با تیراندازی سنگین به پایگاه درگیر شدند.</w:t>
      </w:r>
    </w:p>
    <w:p>
      <w:pPr>
        <w:spacing w:after="28" w:line="216" w:lineRule="auto"/>
        <w:ind w:left="259"/>
        <w:jc w:val="left"/>
      </w:pPr>
      <w:r>
        <w:rPr>
          <w:rFonts w:ascii="Arial" w:hAnsi="Arial"/>
          <w:color w:val="525252"/>
          <w:sz w:val="13"/>
        </w:rPr>
        <w:t>Simultaneously, 15 to 20 insurgents just outside the village engaged the base with heavy machine gunfire.</w:t>
      </w:r>
    </w:p>
    <w:p>
      <w:pPr>
        <w:spacing w:after="20" w:line="223" w:lineRule="auto"/>
        <w:jc w:val="right"/>
        <w:bidi/>
      </w:pPr>
      <w:r>
        <w:rPr>
          <w:rFonts w:ascii="Arial" w:hAnsi="Arial"/>
          <w:sz w:val="16"/>
        </w:rPr>
        <w:t>053.24  با شلیک گلوله‌ها و کشتن هم‌تیمی هایش، شریدان با یک تپانچه و یک تفنگ م-۴ دلورین شریدان به روی مرد مسلح بست و تهدید فوری را با دقت مرگبار خنثی کرد.</w:t>
      </w:r>
    </w:p>
    <w:p>
      <w:pPr>
        <w:spacing w:after="28" w:line="216" w:lineRule="auto"/>
        <w:ind w:left="259"/>
        <w:jc w:val="left"/>
      </w:pPr>
      <w:r>
        <w:rPr>
          <w:rFonts w:ascii="Arial" w:hAnsi="Arial"/>
          <w:color w:val="525252"/>
          <w:sz w:val="13"/>
        </w:rPr>
        <w:t>With rounds striking and killing his teammates, Sheridan closed in on the gunman with a pistol and an M-4 Delorean Sheridan Rifle, neutralizing the immediate threat with deadly accuracy.</w:t>
      </w:r>
    </w:p>
    <w:p>
      <w:pPr>
        <w:spacing w:after="20" w:line="223" w:lineRule="auto"/>
        <w:jc w:val="right"/>
        <w:bidi/>
      </w:pPr>
      <w:r>
        <w:rPr>
          <w:rFonts w:ascii="Arial" w:hAnsi="Arial"/>
          <w:sz w:val="16"/>
        </w:rPr>
        <w:t>053.25  هنوز تحت حمله شدید شورشیان خارجی، شریدان سه بار دیگر خود را در معرض تیراندازی سنگین مسلسل قرار داد تا هم‌تیمی‌های مجروح خود را از خط آتش به سمت یک نقطه حفاظت شده جمع‌آوری تلفات بکشاند.</w:t>
      </w:r>
    </w:p>
    <w:p>
      <w:pPr>
        <w:spacing w:after="28" w:line="216" w:lineRule="auto"/>
        <w:ind w:left="259"/>
        <w:jc w:val="left"/>
      </w:pPr>
      <w:r>
        <w:rPr>
          <w:rFonts w:ascii="Arial" w:hAnsi="Arial"/>
          <w:color w:val="525252"/>
          <w:sz w:val="13"/>
        </w:rPr>
        <w:t>Still under heavy attack from outside insurgents, Sheridan exposed himself to heavy machine gunfire three more times to drag his wounded teammates out of the line of fire to a protected casualty collection point.</w:t>
      </w:r>
    </w:p>
    <w:p>
      <w:pPr>
        <w:spacing w:after="20" w:line="223" w:lineRule="auto"/>
        <w:jc w:val="right"/>
        <w:bidi/>
      </w:pPr>
      <w:r>
        <w:rPr>
          <w:rFonts w:ascii="Arial" w:hAnsi="Arial"/>
          <w:sz w:val="16"/>
        </w:rPr>
        <w:t>053.26  شریدان هواپیماهای پشتیبانی و نظارت هوایی نزدیک را برای مشخص کردن، درگیر شدن و از بین بردن شورشیان اضافی هدایت کرد و ورودی و خروجی شش هلیکوپتر تخلیه پزشکی را هدایت کرد.</w:t>
      </w:r>
    </w:p>
    <w:p>
      <w:pPr>
        <w:spacing w:after="28" w:line="216" w:lineRule="auto"/>
        <w:ind w:left="259"/>
        <w:jc w:val="left"/>
      </w:pPr>
      <w:r>
        <w:rPr>
          <w:rFonts w:ascii="Arial" w:hAnsi="Arial"/>
          <w:color w:val="525252"/>
          <w:sz w:val="13"/>
        </w:rPr>
        <w:t>Sheridan directed close air support and surveillance aircraft to pinpoint, engage, and eliminate additional insurgents, and directed the entrance and exit of six medical evacuation helicopters.</w:t>
      </w:r>
    </w:p>
    <w:p>
      <w:pPr>
        <w:spacing w:after="20" w:line="223" w:lineRule="auto"/>
        <w:jc w:val="right"/>
        <w:bidi/>
      </w:pPr>
      <w:r>
        <w:rPr>
          <w:rFonts w:ascii="Arial" w:hAnsi="Arial"/>
          <w:sz w:val="16"/>
        </w:rPr>
        <w:t>053.27  آرامش و رهبری شریدان در مواجهه با خطر به نجات جان ۲۳ نفر کمک کرد.</w:t>
      </w:r>
    </w:p>
    <w:p>
      <w:pPr>
        <w:spacing w:after="28" w:line="216" w:lineRule="auto"/>
        <w:ind w:left="259"/>
        <w:jc w:val="left"/>
      </w:pPr>
      <w:r>
        <w:rPr>
          <w:rFonts w:ascii="Arial" w:hAnsi="Arial"/>
          <w:color w:val="525252"/>
          <w:sz w:val="13"/>
        </w:rPr>
        <w:t>Sheridan’s calmness and leadership in the face of danger helped save 23 lives.</w:t>
      </w:r>
    </w:p>
    <w:p>
      <w:pPr>
        <w:spacing w:after="20" w:line="223" w:lineRule="auto"/>
        <w:jc w:val="right"/>
        <w:bidi/>
      </w:pPr>
      <w:r>
        <w:rPr>
          <w:rFonts w:ascii="Arial" w:hAnsi="Arial"/>
          <w:sz w:val="16"/>
        </w:rPr>
        <w:t>053.28  برای این اقدامات به گروهبان فنی شریدان ستاره نقره‌ای اعطا شد.</w:t>
      </w:r>
    </w:p>
    <w:p>
      <w:pPr>
        <w:spacing w:after="28" w:line="216" w:lineRule="auto"/>
        <w:ind w:left="259"/>
        <w:jc w:val="left"/>
      </w:pPr>
      <w:r>
        <w:rPr>
          <w:rFonts w:ascii="Arial" w:hAnsi="Arial"/>
          <w:color w:val="525252"/>
          <w:sz w:val="13"/>
        </w:rPr>
        <w:t>For these actions, Technical Sergeant Sheridan was awarded the Silver Star.</w:t>
      </w:r>
    </w:p>
    <w:p>
      <w:pPr>
        <w:spacing w:after="20" w:line="223" w:lineRule="auto"/>
        <w:jc w:val="right"/>
        <w:bidi/>
      </w:pPr>
      <w:r>
        <w:rPr>
          <w:rFonts w:ascii="Arial" w:hAnsi="Arial"/>
          <w:sz w:val="16"/>
        </w:rPr>
        <w:t>053.29  او همچنین یکی از معتبرترین جوایز USAF، لانک پ. سیجان USAF لادرشیپ اوارد در سال ۲۰۱۳ را دریافت کرد.</w:t>
      </w:r>
    </w:p>
    <w:p>
      <w:pPr>
        <w:spacing w:after="28" w:line="216" w:lineRule="auto"/>
        <w:ind w:left="259"/>
        <w:jc w:val="left"/>
      </w:pPr>
      <w:r>
        <w:rPr>
          <w:rFonts w:ascii="Arial" w:hAnsi="Arial"/>
          <w:color w:val="525252"/>
          <w:sz w:val="13"/>
        </w:rPr>
        <w:t>He also received one of the USAF’s most prestigious awards, the 2013 Lance P. Sijan USAF Leadership Award.</w:t>
      </w:r>
    </w:p>
    <w:p>
      <w:pPr>
        <w:spacing w:after="20" w:line="223" w:lineRule="auto"/>
        <w:jc w:val="right"/>
        <w:bidi/>
      </w:pPr>
      <w:r>
        <w:rPr>
          <w:rFonts w:ascii="Arial" w:hAnsi="Arial"/>
          <w:sz w:val="16"/>
        </w:rPr>
        <w:t>053.30  در نهایت، او به‌عنوان یکی از ۱۲ هوانورد برجسته سال برای سال ۲۰۱۴ انتخاب شد.</w:t>
      </w:r>
    </w:p>
    <w:p>
      <w:pPr>
        <w:spacing w:after="28" w:line="216" w:lineRule="auto"/>
        <w:ind w:left="259"/>
        <w:jc w:val="left"/>
      </w:pPr>
      <w:r>
        <w:rPr>
          <w:rFonts w:ascii="Arial" w:hAnsi="Arial"/>
          <w:color w:val="525252"/>
          <w:sz w:val="13"/>
        </w:rPr>
        <w:t>Lastly, he was selected as one of the 12 Outstanding Airmen of the Year for 2014.</w:t>
      </w:r>
    </w:p>
    <w:p>
      <w:r>
        <w:br w:type="page"/>
      </w:r>
    </w:p>
    <w:p>
      <w:pPr>
        <w:spacing w:after="60"/>
        <w:jc w:val="right"/>
        <w:bidi/>
      </w:pPr>
      <w:r>
        <w:rPr>
          <w:rFonts w:ascii="Arial" w:hAnsi="Arial"/>
          <w:b/>
          <w:color w:val="1F4D78"/>
          <w:sz w:val="19"/>
        </w:rPr>
        <w:t>هفتهٔ 54  |  صفحهٔ منبع: 70</w:t>
      </w:r>
    </w:p>
    <w:p>
      <w:pPr>
        <w:spacing w:after="20" w:line="223" w:lineRule="auto"/>
        <w:jc w:val="right"/>
        <w:bidi/>
      </w:pPr>
      <w:r>
        <w:rPr>
          <w:rFonts w:ascii="Arial" w:hAnsi="Arial"/>
          <w:sz w:val="16"/>
        </w:rPr>
        <w:t>054.01  عملیات نگهبان آزادی.</w:t>
      </w:r>
    </w:p>
    <w:p>
      <w:pPr>
        <w:spacing w:after="28" w:line="216" w:lineRule="auto"/>
        <w:ind w:left="259"/>
        <w:jc w:val="left"/>
      </w:pPr>
      <w:r>
        <w:rPr>
          <w:rFonts w:ascii="Arial" w:hAnsi="Arial"/>
          <w:color w:val="525252"/>
          <w:sz w:val="13"/>
        </w:rPr>
        <w:t>Operation Freedom’s Sentinel.</w:t>
      </w:r>
    </w:p>
    <w:p>
      <w:pPr>
        <w:spacing w:after="20" w:line="223" w:lineRule="auto"/>
        <w:jc w:val="right"/>
        <w:bidi/>
      </w:pPr>
      <w:r>
        <w:rPr>
          <w:rFonts w:ascii="Arial" w:hAnsi="Arial"/>
          <w:sz w:val="16"/>
        </w:rPr>
        <w:t>054.02  پس از پایان ضرب الاجل خروج نیروها از افغانستان، تقریبا ۳۰۰ نیروی هوایی آمریکایی برای انجام عملیات علیه بقایای القاعده و کمک به ایستادن در نیروی هوایی افغانستان در افغانستان ماندند.</w:t>
      </w:r>
    </w:p>
    <w:p>
      <w:pPr>
        <w:spacing w:after="28" w:line="216" w:lineRule="auto"/>
        <w:ind w:left="259"/>
        <w:jc w:val="left"/>
      </w:pPr>
      <w:r>
        <w:rPr>
          <w:rFonts w:ascii="Arial" w:hAnsi="Arial"/>
          <w:color w:val="525252"/>
          <w:sz w:val="13"/>
        </w:rPr>
        <w:t>After the deadline for troop withdrawal from Afghanistan, roughly 300 American Airmen stayed in Afghanistan to carry out operations against remnants of Al Qaeda and help stand up the Afghan Air Force.</w:t>
      </w:r>
    </w:p>
    <w:p>
      <w:pPr>
        <w:spacing w:after="20" w:line="223" w:lineRule="auto"/>
        <w:jc w:val="right"/>
        <w:bidi/>
      </w:pPr>
      <w:r>
        <w:rPr>
          <w:rFonts w:ascii="Arial" w:hAnsi="Arial"/>
          <w:sz w:val="16"/>
        </w:rPr>
        <w:t>054.03  در سال ۲۰۱۵، عملیات رزمی عملیات آزادی پایدار با عملیات فریدوم’س سنتینل جایگزین شد.</w:t>
      </w:r>
    </w:p>
    <w:p>
      <w:pPr>
        <w:spacing w:after="28" w:line="216" w:lineRule="auto"/>
        <w:ind w:left="259"/>
        <w:jc w:val="left"/>
      </w:pPr>
      <w:r>
        <w:rPr>
          <w:rFonts w:ascii="Arial" w:hAnsi="Arial"/>
          <w:color w:val="525252"/>
          <w:sz w:val="13"/>
        </w:rPr>
        <w:t>In 2015, combat operations of Operation Enduring Freedom were replaced by Operation Freedom’s Sentinel.</w:t>
      </w:r>
    </w:p>
    <w:p>
      <w:pPr>
        <w:spacing w:after="20" w:line="223" w:lineRule="auto"/>
        <w:jc w:val="right"/>
        <w:bidi/>
      </w:pPr>
      <w:r>
        <w:rPr>
          <w:rFonts w:ascii="Arial" w:hAnsi="Arial"/>
          <w:sz w:val="16"/>
        </w:rPr>
        <w:t>054.04  با همکاری با عملیات پشتیبانی قاطع ناتو، ۲۸ کشور ناتو، ۱۴ کشور شریک و ۱۱۰۰۰ سرباز آمریکایی به مأموریت آموزش، مشاوره و کمک به نیروی هوایی افغانستان برای کمک به استقلال کامل آن ادامه دادند.</w:t>
      </w:r>
    </w:p>
    <w:p>
      <w:pPr>
        <w:spacing w:after="28" w:line="216" w:lineRule="auto"/>
        <w:ind w:left="259"/>
        <w:jc w:val="left"/>
      </w:pPr>
      <w:r>
        <w:rPr>
          <w:rFonts w:ascii="Arial" w:hAnsi="Arial"/>
          <w:color w:val="525252"/>
          <w:sz w:val="13"/>
        </w:rPr>
        <w:t>Working with NATO’s Operation Resolute Support, 28 NATO nations, 14 partner nations, and 11,000 American troops continued the mission of training, advising, and assisting the Afghan Air Force to help it become fully independent.</w:t>
      </w:r>
    </w:p>
    <w:p>
      <w:pPr>
        <w:spacing w:after="20" w:line="223" w:lineRule="auto"/>
        <w:jc w:val="right"/>
        <w:bidi/>
      </w:pPr>
      <w:r>
        <w:rPr>
          <w:rFonts w:ascii="Arial" w:hAnsi="Arial"/>
          <w:sz w:val="16"/>
        </w:rPr>
        <w:t>054.05  شجاعت قابل توجه در افغانستان، الکسی ژرمنوویچ.</w:t>
      </w:r>
    </w:p>
    <w:p>
      <w:pPr>
        <w:spacing w:after="28" w:line="216" w:lineRule="auto"/>
        <w:ind w:left="259"/>
        <w:jc w:val="left"/>
      </w:pPr>
      <w:r>
        <w:rPr>
          <w:rFonts w:ascii="Arial" w:hAnsi="Arial"/>
          <w:color w:val="525252"/>
          <w:sz w:val="13"/>
        </w:rPr>
        <w:t>Notable Bravery in Afghanistan, Alexey Germanovich.</w:t>
      </w:r>
    </w:p>
    <w:p>
      <w:pPr>
        <w:spacing w:after="20" w:line="223" w:lineRule="auto"/>
        <w:jc w:val="right"/>
        <w:bidi/>
      </w:pPr>
      <w:r>
        <w:rPr>
          <w:rFonts w:ascii="Arial" w:hAnsi="Arial"/>
          <w:sz w:val="16"/>
        </w:rPr>
        <w:t>054.06  الکسی ژرمانوویچ، یک کنترول کننده حملات ترمینال مشترک، به‌عنوان بخشی از بخش هوایی مشترک عملیات ویژه مشترک افغانستان، در استان ننگرهار افغانستان مستقر شد.</w:t>
      </w:r>
    </w:p>
    <w:p>
      <w:pPr>
        <w:spacing w:after="28" w:line="216" w:lineRule="auto"/>
        <w:ind w:left="259"/>
        <w:jc w:val="left"/>
      </w:pPr>
      <w:r>
        <w:rPr>
          <w:rFonts w:ascii="Arial" w:hAnsi="Arial"/>
          <w:color w:val="525252"/>
          <w:sz w:val="13"/>
        </w:rPr>
        <w:t>Alexey Germanovich, a Joint Terminal Attack Controller, was deployed to the Nangarhar Province of Afghanistan as a part of the Afghanistan Combined Joint Special Operations Air Component.</w:t>
      </w:r>
    </w:p>
    <w:p>
      <w:pPr>
        <w:spacing w:after="20" w:line="223" w:lineRule="auto"/>
        <w:jc w:val="right"/>
        <w:bidi/>
      </w:pPr>
      <w:r>
        <w:rPr>
          <w:rFonts w:ascii="Arial" w:hAnsi="Arial"/>
          <w:sz w:val="16"/>
        </w:rPr>
        <w:t>054.07  در صبح روز ۸ آوریل ۲۰۱۷، ژرمانوویچ و تیمش زیر آتش شدید مسلسل و تک تیرانداز قرار گرفتند.</w:t>
      </w:r>
    </w:p>
    <w:p>
      <w:pPr>
        <w:spacing w:after="28" w:line="216" w:lineRule="auto"/>
        <w:ind w:left="259"/>
        <w:jc w:val="left"/>
      </w:pPr>
      <w:r>
        <w:rPr>
          <w:rFonts w:ascii="Arial" w:hAnsi="Arial"/>
          <w:color w:val="525252"/>
          <w:sz w:val="13"/>
        </w:rPr>
        <w:t>On the morning of 8 April 2017, Germanovich and his team came under intense machine gun and sniper fire.</w:t>
      </w:r>
    </w:p>
    <w:p>
      <w:pPr>
        <w:spacing w:after="20" w:line="223" w:lineRule="auto"/>
        <w:jc w:val="right"/>
        <w:bidi/>
      </w:pPr>
      <w:r>
        <w:rPr>
          <w:rFonts w:ascii="Arial" w:hAnsi="Arial"/>
          <w:sz w:val="16"/>
        </w:rPr>
        <w:t>054.08  درگیری شدید آتش در پی داشت و نیروهای دوست با مواضع بی‌شماری دشمن درگیر شد و شورشیان از همه طرف دره به تقویت خود ادامه دادند.</w:t>
      </w:r>
    </w:p>
    <w:p>
      <w:pPr>
        <w:spacing w:after="28" w:line="216" w:lineRule="auto"/>
        <w:ind w:left="259"/>
        <w:jc w:val="left"/>
      </w:pPr>
      <w:r>
        <w:rPr>
          <w:rFonts w:ascii="Arial" w:hAnsi="Arial"/>
          <w:color w:val="525252"/>
          <w:sz w:val="13"/>
        </w:rPr>
        <w:t>A ferocious firefight ensued, enveloping friendly forces with countless enemy fighting positions as insurgents continued to reinforce from all sides of the valley.</w:t>
      </w:r>
    </w:p>
    <w:p>
      <w:pPr>
        <w:spacing w:after="20" w:line="223" w:lineRule="auto"/>
        <w:jc w:val="right"/>
        <w:bidi/>
      </w:pPr>
      <w:r>
        <w:rPr>
          <w:rFonts w:ascii="Arial" w:hAnsi="Arial"/>
          <w:sz w:val="16"/>
        </w:rPr>
        <w:t>054.09  بدون تردید، عمدا خود را با دویدن به سمت هم‌تیمی‌های منزوی خود به سمت الکسی ژرمانوویچ، عبور از ۷۰ متر زمین باز و تیراندازی مسلسل در معرض خطر جدی قرار داد.</w:t>
      </w:r>
    </w:p>
    <w:p>
      <w:pPr>
        <w:spacing w:after="28" w:line="216" w:lineRule="auto"/>
        <w:ind w:left="259"/>
        <w:jc w:val="left"/>
      </w:pPr>
      <w:r>
        <w:rPr>
          <w:rFonts w:ascii="Arial" w:hAnsi="Arial"/>
          <w:color w:val="525252"/>
          <w:sz w:val="13"/>
        </w:rPr>
        <w:t>Without hesitation, he deliberately placed himself in grave danger by sprinting towards Alexey Germanovich his isolated teammates, traversing 70 meters of open terrain and a fusillade of machine gun fire.</w:t>
      </w:r>
    </w:p>
    <w:p>
      <w:pPr>
        <w:spacing w:after="20" w:line="223" w:lineRule="auto"/>
        <w:jc w:val="right"/>
        <w:bidi/>
      </w:pPr>
      <w:r>
        <w:rPr>
          <w:rFonts w:ascii="Arial" w:hAnsi="Arial"/>
          <w:sz w:val="16"/>
        </w:rPr>
        <w:t>054.10  او چندین مسابقه را با بمب‌های ۵۰۰ پوندی و ۲۰۰۰ پوندی در فاصله ۹۰ متری موقعیت خود کارگردانی کرد.</w:t>
      </w:r>
    </w:p>
    <w:p>
      <w:pPr>
        <w:spacing w:after="28" w:line="216" w:lineRule="auto"/>
        <w:ind w:left="259"/>
        <w:jc w:val="left"/>
      </w:pPr>
      <w:r>
        <w:rPr>
          <w:rFonts w:ascii="Arial" w:hAnsi="Arial"/>
          <w:color w:val="525252"/>
          <w:sz w:val="13"/>
        </w:rPr>
        <w:t>He directed multiple strafing runs, with 500-pound and 2,000-pound bomb strikes as close as 90 meters from his position.</w:t>
      </w:r>
    </w:p>
    <w:p>
      <w:pPr>
        <w:spacing w:after="20" w:line="223" w:lineRule="auto"/>
        <w:jc w:val="right"/>
        <w:bidi/>
      </w:pPr>
      <w:r>
        <w:rPr>
          <w:rFonts w:ascii="Arial" w:hAnsi="Arial"/>
          <w:sz w:val="16"/>
        </w:rPr>
        <w:t>054.11  از آنجایی که عضو تیمش به شدت مجروح شده بود، ژرمانوویچ خود را بین دشمن و نیروهای دوستی که تحت فشار بودند قرار داد و با بدنش از آنها محافظت کرد و از آتش سرکوب کننده خود استفاده کرد.</w:t>
      </w:r>
    </w:p>
    <w:p>
      <w:pPr>
        <w:spacing w:after="28" w:line="216" w:lineRule="auto"/>
        <w:ind w:left="259"/>
        <w:jc w:val="left"/>
      </w:pPr>
      <w:r>
        <w:rPr>
          <w:rFonts w:ascii="Arial" w:hAnsi="Arial"/>
          <w:color w:val="525252"/>
          <w:sz w:val="13"/>
        </w:rPr>
        <w:t>As his team member was mortally wounded, Germanovich placed himself between the enemy and the pinned down friendly forces, protecting them with his body and employing his own suppressive fire.</w:t>
      </w:r>
    </w:p>
    <w:p>
      <w:pPr>
        <w:spacing w:after="20" w:line="223" w:lineRule="auto"/>
        <w:jc w:val="right"/>
        <w:bidi/>
      </w:pPr>
      <w:r>
        <w:rPr>
          <w:rFonts w:ascii="Arial" w:hAnsi="Arial"/>
          <w:sz w:val="16"/>
        </w:rPr>
        <w:t>054.12  با کاهش مهمات تیم، ژرمانوویچ پشتیبانی هوایی نزدیک را در فاصله ۲۰ متری موقعیت خود هدایت کرد و دشمن را خنثی کرد.</w:t>
      </w:r>
    </w:p>
    <w:p>
      <w:pPr>
        <w:spacing w:after="28" w:line="216" w:lineRule="auto"/>
        <w:ind w:left="259"/>
        <w:jc w:val="left"/>
      </w:pPr>
      <w:r>
        <w:rPr>
          <w:rFonts w:ascii="Arial" w:hAnsi="Arial"/>
          <w:color w:val="525252"/>
          <w:sz w:val="13"/>
        </w:rPr>
        <w:t>As the team’s ammunition dwindled, Germanovich directed close air support as close as 20 meters from his position, neutralizing the enemy.</w:t>
      </w:r>
    </w:p>
    <w:p>
      <w:pPr>
        <w:spacing w:after="20" w:line="223" w:lineRule="auto"/>
        <w:jc w:val="right"/>
        <w:bidi/>
      </w:pPr>
      <w:r>
        <w:rPr>
          <w:rFonts w:ascii="Arial" w:hAnsi="Arial"/>
          <w:sz w:val="16"/>
        </w:rPr>
        <w:t>054.13  در نهایت، او تخلیه پزشکی هلیکوپترها را برای بیرون آوردن مجروحان هماهنگ کرد و به حمل یک سرباز در ارتفاع ۷۰۰ متری در سربالایی به منطقه فرود کمک کرد و همچنان خواستار پشتیبانی نزدیک هوایی شد.</w:t>
      </w:r>
    </w:p>
    <w:p>
      <w:pPr>
        <w:spacing w:after="28" w:line="216" w:lineRule="auto"/>
        <w:ind w:left="259"/>
        <w:jc w:val="left"/>
      </w:pPr>
      <w:r>
        <w:rPr>
          <w:rFonts w:ascii="Arial" w:hAnsi="Arial"/>
          <w:color w:val="525252"/>
          <w:sz w:val="13"/>
        </w:rPr>
        <w:t>Finally, he coordinated a medical evacuation of helicopters to extract the wounded and helped carry a Soldier 700 meters uphill to the landing zone as he continued to call for close air support.</w:t>
      </w:r>
    </w:p>
    <w:p>
      <w:pPr>
        <w:spacing w:after="20" w:line="223" w:lineRule="auto"/>
        <w:jc w:val="right"/>
        <w:bidi/>
      </w:pPr>
      <w:r>
        <w:rPr>
          <w:rFonts w:ascii="Arial" w:hAnsi="Arial"/>
          <w:sz w:val="16"/>
        </w:rPr>
        <w:t>054.14  اقدامات او مستقیما منجر به حفاظت از بیش از ۱۵۰ نیروی دوست و درگیری مرگبار ۱۱ موقعیت جنگی جداگانه شد.</w:t>
      </w:r>
    </w:p>
    <w:p>
      <w:pPr>
        <w:spacing w:after="28" w:line="216" w:lineRule="auto"/>
        <w:ind w:left="259"/>
        <w:jc w:val="left"/>
      </w:pPr>
      <w:r>
        <w:rPr>
          <w:rFonts w:ascii="Arial" w:hAnsi="Arial"/>
          <w:color w:val="525252"/>
          <w:sz w:val="13"/>
        </w:rPr>
        <w:t>His actions directly resulted in the protection of over 150 friendly forces and the lethal engagement of 11 separate fighting positions.</w:t>
      </w:r>
    </w:p>
    <w:p>
      <w:pPr>
        <w:spacing w:after="20" w:line="223" w:lineRule="auto"/>
        <w:jc w:val="right"/>
        <w:bidi/>
      </w:pPr>
      <w:r>
        <w:rPr>
          <w:rFonts w:ascii="Arial" w:hAnsi="Arial"/>
          <w:sz w:val="16"/>
        </w:rPr>
        <w:t>054.15  در نتیجه اقدامات خود، الکسی ژرمانوویچ صلیب نیروی هوایی را دریافت کرد.</w:t>
      </w:r>
    </w:p>
    <w:p>
      <w:pPr>
        <w:spacing w:after="28" w:line="216" w:lineRule="auto"/>
        <w:ind w:left="259"/>
        <w:jc w:val="left"/>
      </w:pPr>
      <w:r>
        <w:rPr>
          <w:rFonts w:ascii="Arial" w:hAnsi="Arial"/>
          <w:color w:val="525252"/>
          <w:sz w:val="13"/>
        </w:rPr>
        <w:t>As a result of his actions, Alexey Germanovich was awarded the Air Force Cross.</w:t>
      </w:r>
    </w:p>
    <w:p>
      <w:pPr>
        <w:spacing w:after="20" w:line="223" w:lineRule="auto"/>
        <w:jc w:val="right"/>
        <w:bidi/>
      </w:pPr>
      <w:r>
        <w:rPr>
          <w:rFonts w:ascii="Arial" w:hAnsi="Arial"/>
          <w:sz w:val="16"/>
        </w:rPr>
        <w:t>054.16  شجاعت قابل توجه در افغانستان، دانیل کلر.</w:t>
      </w:r>
    </w:p>
    <w:p>
      <w:pPr>
        <w:spacing w:after="28" w:line="216" w:lineRule="auto"/>
        <w:ind w:left="259"/>
        <w:jc w:val="left"/>
      </w:pPr>
      <w:r>
        <w:rPr>
          <w:rFonts w:ascii="Arial" w:hAnsi="Arial"/>
          <w:color w:val="525252"/>
          <w:sz w:val="13"/>
        </w:rPr>
        <w:t>Notable Bravery in Afghanistan, Daniel Keller.</w:t>
      </w:r>
    </w:p>
    <w:p>
      <w:pPr>
        <w:spacing w:after="20" w:line="223" w:lineRule="auto"/>
        <w:jc w:val="right"/>
        <w:bidi/>
      </w:pPr>
      <w:r>
        <w:rPr>
          <w:rFonts w:ascii="Arial" w:hAnsi="Arial"/>
          <w:sz w:val="16"/>
        </w:rPr>
        <w:t>054.17  دانیل کلر، یک کنترول کننده حملات ترمینال مشترک وابسته به نیروهای تهاجمی مشترک عملیات ویژه در استان ننگرهار، افغانستان.</w:t>
      </w:r>
    </w:p>
    <w:p>
      <w:pPr>
        <w:spacing w:after="28" w:line="216" w:lineRule="auto"/>
        <w:ind w:left="259"/>
        <w:jc w:val="left"/>
      </w:pPr>
      <w:r>
        <w:rPr>
          <w:rFonts w:ascii="Arial" w:hAnsi="Arial"/>
          <w:color w:val="525252"/>
          <w:sz w:val="13"/>
        </w:rPr>
        <w:t>Daniel Keller, a Joint Terminal Attack Controller attached to a combined joint special operations assault force at Nangarhar Province, Afghanistan.</w:t>
      </w:r>
    </w:p>
    <w:p>
      <w:pPr>
        <w:spacing w:after="20" w:line="223" w:lineRule="auto"/>
        <w:jc w:val="right"/>
        <w:bidi/>
      </w:pPr>
      <w:r>
        <w:rPr>
          <w:rFonts w:ascii="Arial" w:hAnsi="Arial"/>
          <w:sz w:val="16"/>
        </w:rPr>
        <w:t>054.18  در ۱۶ اوت ۲۰۱۷، کلر عملیات پاکسازی را علیه ۳۵۰ جنگجوی دولت اسلامی آغاز کرد.</w:t>
      </w:r>
    </w:p>
    <w:p>
      <w:pPr>
        <w:spacing w:after="28" w:line="216" w:lineRule="auto"/>
        <w:ind w:left="259"/>
        <w:jc w:val="left"/>
      </w:pPr>
      <w:r>
        <w:rPr>
          <w:rFonts w:ascii="Arial" w:hAnsi="Arial"/>
          <w:color w:val="525252"/>
          <w:sz w:val="13"/>
        </w:rPr>
        <w:t>On 16 August 2017, Keller embarked on a clearance operation against 350 Islamic State fighters.</w:t>
      </w:r>
    </w:p>
    <w:p>
      <w:pPr>
        <w:spacing w:after="20" w:line="223" w:lineRule="auto"/>
        <w:jc w:val="right"/>
        <w:bidi/>
      </w:pPr>
      <w:r>
        <w:rPr>
          <w:rFonts w:ascii="Arial" w:hAnsi="Arial"/>
          <w:sz w:val="16"/>
        </w:rPr>
        <w:t>054.19  پس از پانزده ساعت تماس مداوم، نیروهای تهاجمی با یک بمب دست ساز منفجر شده در خانه برخورد کردند که چهار نفر کشته و سی و یک نفر زخمی شدند.</w:t>
      </w:r>
    </w:p>
    <w:p>
      <w:pPr>
        <w:spacing w:after="28" w:line="216" w:lineRule="auto"/>
        <w:ind w:left="259"/>
        <w:jc w:val="left"/>
      </w:pPr>
      <w:r>
        <w:rPr>
          <w:rFonts w:ascii="Arial" w:hAnsi="Arial"/>
          <w:color w:val="525252"/>
          <w:sz w:val="13"/>
        </w:rPr>
        <w:t>After fifteen hours of sustained contact, the assault force struck a house-borne improvised explosive device killing four personnel and wounding thirty-one.</w:t>
      </w:r>
    </w:p>
    <w:p>
      <w:pPr>
        <w:spacing w:after="20" w:line="223" w:lineRule="auto"/>
        <w:jc w:val="right"/>
        <w:bidi/>
      </w:pPr>
      <w:r>
        <w:rPr>
          <w:rFonts w:ascii="Arial" w:hAnsi="Arial"/>
          <w:sz w:val="16"/>
        </w:rPr>
        <w:t>054.20  پس از کوبیده شدن در اثر انفجار و تقلا به پاهای خود، در حالی که با تفنگ م۴ خود پاسخ آتش می‌داد، درگیری هوا به زمین را انجام داد.</w:t>
      </w:r>
    </w:p>
    <w:p>
      <w:pPr>
        <w:spacing w:after="28" w:line="216" w:lineRule="auto"/>
        <w:ind w:left="259"/>
        <w:jc w:val="left"/>
      </w:pPr>
      <w:r>
        <w:rPr>
          <w:rFonts w:ascii="Arial" w:hAnsi="Arial"/>
          <w:color w:val="525252"/>
          <w:sz w:val="13"/>
        </w:rPr>
        <w:t>After being knocked over by the blast and struggling to his feet, he executed air to ground engagements while returning fire with his M4 rifle.</w:t>
      </w:r>
    </w:p>
    <w:p>
      <w:pPr>
        <w:spacing w:after="20" w:line="223" w:lineRule="auto"/>
        <w:jc w:val="right"/>
        <w:bidi/>
      </w:pPr>
      <w:r>
        <w:rPr>
          <w:rFonts w:ascii="Arial" w:hAnsi="Arial"/>
          <w:sz w:val="16"/>
        </w:rPr>
        <w:t>054.21  کلر به انتقال سیزده مجروح بدحال به منطقه فرود هلیکوپتر در زیر تگرگ آتش دشمن کمک کرد.</w:t>
      </w:r>
    </w:p>
    <w:p>
      <w:pPr>
        <w:spacing w:after="28" w:line="216" w:lineRule="auto"/>
        <w:ind w:left="259"/>
        <w:jc w:val="left"/>
      </w:pPr>
      <w:r>
        <w:rPr>
          <w:rFonts w:ascii="Arial" w:hAnsi="Arial"/>
          <w:color w:val="525252"/>
          <w:sz w:val="13"/>
        </w:rPr>
        <w:t>Keller helped move thirteen critically wounded casualties to a helicopter landing zone under a hail of enemy fire.</w:t>
      </w:r>
    </w:p>
    <w:p>
      <w:pPr>
        <w:spacing w:after="20" w:line="223" w:lineRule="auto"/>
        <w:jc w:val="right"/>
        <w:bidi/>
      </w:pPr>
      <w:r>
        <w:rPr>
          <w:rFonts w:ascii="Arial" w:hAnsi="Arial"/>
          <w:sz w:val="16"/>
        </w:rPr>
        <w:t>054.22  با توجه به اینکه دانیل کلر متوجه شد هلیکوپترهای تخلیه پزشکی قادر به شناسایی منطقه فرود نیستند، خود را در معرض آتش دشمن قرار داد تا در هر دو هواپیما مارشال کند.</w:t>
      </w:r>
    </w:p>
    <w:p>
      <w:pPr>
        <w:spacing w:after="28" w:line="216" w:lineRule="auto"/>
        <w:ind w:left="259"/>
        <w:jc w:val="left"/>
      </w:pPr>
      <w:r>
        <w:rPr>
          <w:rFonts w:ascii="Arial" w:hAnsi="Arial"/>
          <w:color w:val="525252"/>
          <w:sz w:val="13"/>
        </w:rPr>
        <w:t>Upon noticing Daniel Keller the medical evacuation helicopters were unable to identify the landing zone, he exposed himself to enemy fire in order to marshal in both aircraft.</w:t>
      </w:r>
    </w:p>
    <w:p>
      <w:pPr>
        <w:spacing w:after="20" w:line="223" w:lineRule="auto"/>
        <w:jc w:val="right"/>
        <w:bidi/>
      </w:pPr>
      <w:r>
        <w:rPr>
          <w:rFonts w:ascii="Arial" w:hAnsi="Arial"/>
          <w:sz w:val="16"/>
        </w:rPr>
        <w:t>054.23  پس از خاتمه مأموریت و با وجود جراحاتش، کلر افراد مجروح را در وسایل نقلیه سوار کرد و داوطلب شد تا در حالی که سایر هم‌تیمی‌های مجروح را اسکورت می‌کرد، دو و نیم کیلومتر به عقب به سمت یک پاسگاه جنگی پیاده روی کند.</w:t>
      </w:r>
    </w:p>
    <w:p>
      <w:pPr>
        <w:spacing w:after="28" w:line="216" w:lineRule="auto"/>
        <w:ind w:left="259"/>
        <w:jc w:val="left"/>
      </w:pPr>
      <w:r>
        <w:rPr>
          <w:rFonts w:ascii="Arial" w:hAnsi="Arial"/>
          <w:color w:val="525252"/>
          <w:sz w:val="13"/>
        </w:rPr>
        <w:t>After the mission had been aborted and despite his injuries, Keller loaded wounded personnel into vehicles and volunteered to walk two and a half kilometers back to a combat outpost while escorting other wounded teammates.</w:t>
      </w:r>
    </w:p>
    <w:p>
      <w:pPr>
        <w:spacing w:after="20" w:line="223" w:lineRule="auto"/>
        <w:jc w:val="right"/>
        <w:bidi/>
      </w:pPr>
      <w:r>
        <w:rPr>
          <w:rFonts w:ascii="Arial" w:hAnsi="Arial"/>
          <w:sz w:val="16"/>
        </w:rPr>
        <w:t>054.24  در طول این حرکت، کلر یک حمله سه جانبه دشمن را با آتش متقابل دفع کرد و همزمان مواضع دشمن را به کنترل کننده حمله ترمینال مشترک دیگری منتقل کرد و به نیروهای دوست اجازه داد تا تماس را قطع کنند.</w:t>
      </w:r>
    </w:p>
    <w:p>
      <w:pPr>
        <w:spacing w:after="28" w:line="216" w:lineRule="auto"/>
        <w:ind w:left="259"/>
        <w:jc w:val="left"/>
      </w:pPr>
      <w:r>
        <w:rPr>
          <w:rFonts w:ascii="Arial" w:hAnsi="Arial"/>
          <w:color w:val="525252"/>
          <w:sz w:val="13"/>
        </w:rPr>
        <w:t>During this movement, Keller repulsed a three-sided enemy attack by returning fire and simultaneously passed enemy positions to another Joint Terminal Attack Controller, allowing friendly forces to break contact.</w:t>
      </w:r>
    </w:p>
    <w:p>
      <w:pPr>
        <w:spacing w:after="20" w:line="223" w:lineRule="auto"/>
        <w:jc w:val="right"/>
        <w:bidi/>
      </w:pPr>
      <w:r>
        <w:rPr>
          <w:rFonts w:ascii="Arial" w:hAnsi="Arial"/>
          <w:sz w:val="16"/>
        </w:rPr>
        <w:t>054.25  در نتیجه اقدامات خود، دانیل کلر نشان صلیب نیروی هوایی را دریافت کرد.</w:t>
      </w:r>
    </w:p>
    <w:p>
      <w:pPr>
        <w:spacing w:after="28" w:line="216" w:lineRule="auto"/>
        <w:ind w:left="259"/>
        <w:jc w:val="left"/>
      </w:pPr>
      <w:r>
        <w:rPr>
          <w:rFonts w:ascii="Arial" w:hAnsi="Arial"/>
          <w:color w:val="525252"/>
          <w:sz w:val="13"/>
        </w:rPr>
        <w:t>As a result of his actions, Daniel Keller was awarded the Air Force Cross.</w:t>
      </w:r>
    </w:p>
    <w:p>
      <w:r>
        <w:br w:type="page"/>
      </w:r>
    </w:p>
    <w:p>
      <w:pPr>
        <w:spacing w:after="60"/>
        <w:jc w:val="right"/>
        <w:bidi/>
      </w:pPr>
      <w:r>
        <w:rPr>
          <w:rFonts w:ascii="Arial" w:hAnsi="Arial"/>
          <w:b/>
          <w:color w:val="1F4D78"/>
          <w:sz w:val="19"/>
        </w:rPr>
        <w:t>هفتهٔ 55  |  صفحهٔ منبع: 71</w:t>
      </w:r>
    </w:p>
    <w:p>
      <w:pPr>
        <w:spacing w:before="60" w:after="28"/>
        <w:jc w:val="right"/>
        <w:bidi/>
      </w:pPr>
      <w:r>
        <w:rPr>
          <w:b/>
          <w:color w:val="1F4D78"/>
          <w:sz w:val="18"/>
        </w:rPr>
        <w:t>3.19. جنگ علیه تروریسم - عراق</w:t>
      </w:r>
    </w:p>
    <w:p>
      <w:pPr>
        <w:spacing w:after="20"/>
        <w:ind w:left="259"/>
        <w:jc w:val="left"/>
      </w:pPr>
      <w:r>
        <w:rPr>
          <w:color w:val="555555"/>
          <w:sz w:val="12"/>
        </w:rPr>
        <w:t>3.19. War on Terror - Iraq</w:t>
      </w:r>
    </w:p>
    <w:p>
      <w:pPr>
        <w:spacing w:after="20" w:line="223" w:lineRule="auto"/>
        <w:jc w:val="right"/>
        <w:bidi/>
      </w:pPr>
      <w:r>
        <w:rPr>
          <w:rFonts w:ascii="Arial" w:hAnsi="Arial"/>
          <w:sz w:val="16"/>
        </w:rPr>
        <w:t>055.02  عملیات آزادی عراق.</w:t>
      </w:r>
    </w:p>
    <w:p>
      <w:pPr>
        <w:spacing w:after="28" w:line="216" w:lineRule="auto"/>
        <w:ind w:left="259"/>
        <w:jc w:val="left"/>
      </w:pPr>
      <w:r>
        <w:rPr>
          <w:rFonts w:ascii="Arial" w:hAnsi="Arial"/>
          <w:color w:val="525252"/>
          <w:sz w:val="13"/>
        </w:rPr>
        <w:t>Operation Iraqi Freedom.</w:t>
      </w:r>
    </w:p>
    <w:p>
      <w:pPr>
        <w:spacing w:after="20" w:line="223" w:lineRule="auto"/>
        <w:jc w:val="right"/>
        <w:bidi/>
      </w:pPr>
      <w:r>
        <w:rPr>
          <w:rFonts w:ascii="Arial" w:hAnsi="Arial"/>
          <w:sz w:val="16"/>
        </w:rPr>
        <w:t>055.03  در مارس ۲۰۰۳، پس از دریافت گزارش‌های اطلاعاتی مبنی بر داشتن یا ساختن سلاح‌های کشتار جمعی توسط صدام حسین، پرزیدنت بوش اولتیماتوم ۴۸ ساعته‌ای را برای او و پسرانش اعلام کرد که در غیر این صورت با عواقب سختی مواجه شوند.</w:t>
      </w:r>
    </w:p>
    <w:p>
      <w:pPr>
        <w:spacing w:after="28" w:line="216" w:lineRule="auto"/>
        <w:ind w:left="259"/>
        <w:jc w:val="left"/>
      </w:pPr>
      <w:r>
        <w:rPr>
          <w:rFonts w:ascii="Arial" w:hAnsi="Arial"/>
          <w:color w:val="525252"/>
          <w:sz w:val="13"/>
        </w:rPr>
        <w:t>In March 2003, after receiving intelligence reports that Saddam Hussein possessed or was building weapons of mass destruction, President Bush announced a 48- hour ultimatum for him and his sons to leave Iraq or face severe consequences.</w:t>
      </w:r>
    </w:p>
    <w:p>
      <w:pPr>
        <w:spacing w:after="20" w:line="223" w:lineRule="auto"/>
        <w:jc w:val="right"/>
        <w:bidi/>
      </w:pPr>
      <w:r>
        <w:rPr>
          <w:rFonts w:ascii="Arial" w:hAnsi="Arial"/>
          <w:sz w:val="16"/>
        </w:rPr>
        <w:t>055.04  وقتی صدام از تبعیت خودداری کرد، ائتلافی از نیروهای آمریکایی و متفقین برای پایان دادن به رژیم حسین و آزادی مردم عراق وارد عراق شدند.</w:t>
      </w:r>
    </w:p>
    <w:p>
      <w:pPr>
        <w:spacing w:after="28" w:line="216" w:lineRule="auto"/>
        <w:ind w:left="259"/>
        <w:jc w:val="left"/>
      </w:pPr>
      <w:r>
        <w:rPr>
          <w:rFonts w:ascii="Arial" w:hAnsi="Arial"/>
          <w:color w:val="525252"/>
          <w:sz w:val="13"/>
        </w:rPr>
        <w:t>When Saddam refused to comply, a coalition of American and Allied forces entered Iraq to end the Hussein regime and free the Iraqi people.</w:t>
      </w:r>
    </w:p>
    <w:p>
      <w:pPr>
        <w:spacing w:after="20" w:line="223" w:lineRule="auto"/>
        <w:jc w:val="right"/>
        <w:bidi/>
      </w:pPr>
      <w:r>
        <w:rPr>
          <w:rFonts w:ascii="Arial" w:hAnsi="Arial"/>
          <w:sz w:val="16"/>
        </w:rPr>
        <w:t>055.05  اهداف اولیه عملیات آزادی عراق ایجاد عراقی باثبات، توانمندسازی یک دولت گسترده که از سلاح‌های کشتار جمعی چشم پوشی می‌کند، و سرزنش تروریسم به کشورهای همسایه بود.</w:t>
      </w:r>
    </w:p>
    <w:p>
      <w:pPr>
        <w:spacing w:after="28" w:line="216" w:lineRule="auto"/>
        <w:ind w:left="259"/>
        <w:jc w:val="left"/>
      </w:pPr>
      <w:r>
        <w:rPr>
          <w:rFonts w:ascii="Arial" w:hAnsi="Arial"/>
          <w:color w:val="525252"/>
          <w:sz w:val="13"/>
        </w:rPr>
        <w:t>The primary goals of Operation Iraqi Freedom were to create a stable Iraq, empower a broad-based government that renounces weapons of mass destruction, and rebuke terrorism to neighboring countries.</w:t>
      </w:r>
    </w:p>
    <w:p>
      <w:pPr>
        <w:spacing w:after="20" w:line="223" w:lineRule="auto"/>
        <w:jc w:val="right"/>
        <w:bidi/>
      </w:pPr>
      <w:r>
        <w:rPr>
          <w:rFonts w:ascii="Arial" w:hAnsi="Arial"/>
          <w:sz w:val="16"/>
        </w:rPr>
        <w:t>055.06  فرماندهان نیروهای ترکیبی اهدافی را برای شکست یا وادار کردن تسلیم نیروهای عراقی، خنثی کردن رهبری رژیم، و خنثی کردن موشک‌های بالستیک تئاتر عراق/سیستم‌های ارسال سلاح‌های کشتار جمعی انجام دادند.</w:t>
      </w:r>
    </w:p>
    <w:p>
      <w:pPr>
        <w:spacing w:after="28" w:line="216" w:lineRule="auto"/>
        <w:ind w:left="259"/>
        <w:jc w:val="left"/>
      </w:pPr>
      <w:r>
        <w:rPr>
          <w:rFonts w:ascii="Arial" w:hAnsi="Arial"/>
          <w:color w:val="525252"/>
          <w:sz w:val="13"/>
        </w:rPr>
        <w:t>Combined force commanders carried out objectives to defeat or compel capitulation of Iraqi forces, neutralize regime leadership, and neutralize Iraqi theater ballistic missile/weapons of mass destruction delivery systems.</w:t>
      </w:r>
    </w:p>
    <w:p>
      <w:pPr>
        <w:spacing w:after="20" w:line="223" w:lineRule="auto"/>
        <w:jc w:val="right"/>
        <w:bidi/>
      </w:pPr>
      <w:r>
        <w:rPr>
          <w:rFonts w:ascii="Arial" w:hAnsi="Arial"/>
          <w:sz w:val="16"/>
        </w:rPr>
        <w:t>055.07  بیش از ۳۰۰۰۰۰ سرباز برای تشکیل یک ائتلاف چندملیتی در منطقه خلیج فارس مستقر شدند و عملیات آزادی عراق رسما در ۲۰ مارس ۲۰۰۳ آغاز شد.</w:t>
      </w:r>
    </w:p>
    <w:p>
      <w:pPr>
        <w:spacing w:after="28" w:line="216" w:lineRule="auto"/>
        <w:ind w:left="259"/>
        <w:jc w:val="left"/>
      </w:pPr>
      <w:r>
        <w:rPr>
          <w:rFonts w:ascii="Arial" w:hAnsi="Arial"/>
          <w:color w:val="525252"/>
          <w:sz w:val="13"/>
        </w:rPr>
        <w:t>More than 300,000 troops were deployed to the Gulf region to form a multinational coalition, and Operation Iraqi Freedom officially began on 20 March 2003.</w:t>
      </w:r>
    </w:p>
    <w:p>
      <w:pPr>
        <w:spacing w:after="20" w:line="223" w:lineRule="auto"/>
        <w:jc w:val="right"/>
        <w:bidi/>
      </w:pPr>
      <w:r>
        <w:rPr>
          <w:rFonts w:ascii="Arial" w:hAnsi="Arial"/>
          <w:sz w:val="16"/>
        </w:rPr>
        <w:t>055.08  در روز اول، در حالی که نیروهای بریتانیا بصره را که برای رساندن کمک‌های بشردوستانه ضروری بود، تصرف کردند، ایالات متحده حملات هوایی را چنان ویرانگر انجام داد که سربازان صدام قادر به جنگیدن نبودند یا نمی‌خواستند بجنگند.</w:t>
      </w:r>
    </w:p>
    <w:p>
      <w:pPr>
        <w:spacing w:after="28" w:line="216" w:lineRule="auto"/>
        <w:ind w:left="259"/>
        <w:jc w:val="left"/>
      </w:pPr>
      <w:r>
        <w:rPr>
          <w:rFonts w:ascii="Arial" w:hAnsi="Arial"/>
          <w:color w:val="525252"/>
          <w:sz w:val="13"/>
        </w:rPr>
        <w:t>On the first day, while British forces took Basra, which was essential to delivering humanitarian aid, the United States unleashed air strikes so devastating that Saddam’s soldiers were left unable or unwilling to fight.</w:t>
      </w:r>
    </w:p>
    <w:p>
      <w:pPr>
        <w:spacing w:after="20" w:line="223" w:lineRule="auto"/>
        <w:jc w:val="right"/>
        <w:bidi/>
      </w:pPr>
      <w:r>
        <w:rPr>
          <w:rFonts w:ascii="Arial" w:hAnsi="Arial"/>
          <w:sz w:val="16"/>
        </w:rPr>
        <w:t>055.09  بین ۳۰۰ تا ۴۰۰ موشک کروز به سمت اهداف شلیک شد که بیشتر از تعداد پرتاب شده در کل جنگ اول خلیج فارس بود.</w:t>
      </w:r>
    </w:p>
    <w:p>
      <w:pPr>
        <w:spacing w:after="28" w:line="216" w:lineRule="auto"/>
        <w:ind w:left="259"/>
        <w:jc w:val="left"/>
      </w:pPr>
      <w:r>
        <w:rPr>
          <w:rFonts w:ascii="Arial" w:hAnsi="Arial"/>
          <w:color w:val="525252"/>
          <w:sz w:val="13"/>
        </w:rPr>
        <w:t>Between 300 and 400 cruise missiles were fired at targets, more than the number launched during the entire first Gulf War.</w:t>
      </w:r>
    </w:p>
    <w:p>
      <w:pPr>
        <w:spacing w:after="20" w:line="223" w:lineRule="auto"/>
        <w:jc w:val="right"/>
        <w:bidi/>
      </w:pPr>
      <w:r>
        <w:rPr>
          <w:rFonts w:ascii="Arial" w:hAnsi="Arial"/>
          <w:sz w:val="16"/>
        </w:rPr>
        <w:t>055.10  در روز دوم، طرح نبرد خواستار پرتاب ۳۰۰ تا ۴۰۰ موشک دیگر شد که دانشگاه دفاع ملی از آن به‌عنوان شوک و هیبت یاد کرد.</w:t>
      </w:r>
    </w:p>
    <w:p>
      <w:pPr>
        <w:spacing w:after="28" w:line="216" w:lineRule="auto"/>
        <w:ind w:left="259"/>
        <w:jc w:val="left"/>
      </w:pPr>
      <w:r>
        <w:rPr>
          <w:rFonts w:ascii="Arial" w:hAnsi="Arial"/>
          <w:color w:val="525252"/>
          <w:sz w:val="13"/>
        </w:rPr>
        <w:t>On the second day, the battle plan called for launching another 300 to 400 missiles, what the National Defense University referred to as shock and awe.</w:t>
      </w:r>
    </w:p>
    <w:p>
      <w:pPr>
        <w:spacing w:after="20" w:line="223" w:lineRule="auto"/>
        <w:jc w:val="right"/>
        <w:bidi/>
      </w:pPr>
      <w:r>
        <w:rPr>
          <w:rFonts w:ascii="Arial" w:hAnsi="Arial"/>
          <w:sz w:val="16"/>
        </w:rPr>
        <w:t>055.11  این طرح به جای تخریب فیزیکی نیروی نظامی مخالف، بر تخریب روانی اراده دشمن برای مبارزه متمرکز بود.</w:t>
      </w:r>
    </w:p>
    <w:p>
      <w:pPr>
        <w:spacing w:after="28" w:line="216" w:lineRule="auto"/>
        <w:ind w:left="259"/>
        <w:jc w:val="left"/>
      </w:pPr>
      <w:r>
        <w:rPr>
          <w:rFonts w:ascii="Arial" w:hAnsi="Arial"/>
          <w:color w:val="525252"/>
          <w:sz w:val="13"/>
        </w:rPr>
        <w:t>The plan was focused on the psychological destruction of the enemy’s will to fight rather than the physical destruction of the opposing military force.</w:t>
      </w:r>
    </w:p>
    <w:p>
      <w:pPr>
        <w:spacing w:after="20" w:line="223" w:lineRule="auto"/>
        <w:jc w:val="right"/>
        <w:bidi/>
      </w:pPr>
      <w:r>
        <w:rPr>
          <w:rFonts w:ascii="Arial" w:hAnsi="Arial"/>
          <w:sz w:val="16"/>
        </w:rPr>
        <w:t>055.12  این مفهوم متکی بر تعداد زیادی از سلاح‌های هدایت‌شونده دقیق بود که به‌طور همزمان به دشمن ضربه می‌زنند، رویکردی که به‌جای چند روز یا هفته، چند دقیقه طول می‌کشد.</w:t>
      </w:r>
    </w:p>
    <w:p>
      <w:pPr>
        <w:spacing w:after="28" w:line="216" w:lineRule="auto"/>
        <w:ind w:left="259"/>
        <w:jc w:val="left"/>
      </w:pPr>
      <w:r>
        <w:rPr>
          <w:rFonts w:ascii="Arial" w:hAnsi="Arial"/>
          <w:color w:val="525252"/>
          <w:sz w:val="13"/>
        </w:rPr>
        <w:t>The concept relied on a large number of precision-guided weapons hitting the enemy simultaneously, an approach that takes minutes instead of days or weeks.</w:t>
      </w:r>
    </w:p>
    <w:p>
      <w:pPr>
        <w:spacing w:after="20" w:line="223" w:lineRule="auto"/>
        <w:jc w:val="right"/>
        <w:bidi/>
      </w:pPr>
      <w:r>
        <w:rPr>
          <w:rFonts w:ascii="Arial" w:hAnsi="Arial"/>
          <w:sz w:val="16"/>
        </w:rPr>
        <w:t>055.13  در ۹ آوریل ۲۰۰۳، فرماندهان آمریکایی اعلام کردند که رژیم صدام دیگر کنترل بغداد را در دست ندارد.</w:t>
      </w:r>
    </w:p>
    <w:p>
      <w:pPr>
        <w:spacing w:after="28" w:line="216" w:lineRule="auto"/>
        <w:ind w:left="259"/>
        <w:jc w:val="left"/>
      </w:pPr>
      <w:r>
        <w:rPr>
          <w:rFonts w:ascii="Arial" w:hAnsi="Arial"/>
          <w:color w:val="525252"/>
          <w:sz w:val="13"/>
        </w:rPr>
        <w:t>By 9 April 2003, American commanders declared that Saddam’s regime was no longer in control of Baghdad.</w:t>
      </w:r>
    </w:p>
    <w:p>
      <w:pPr>
        <w:spacing w:after="20" w:line="223" w:lineRule="auto"/>
        <w:jc w:val="right"/>
        <w:bidi/>
      </w:pPr>
      <w:r>
        <w:rPr>
          <w:rFonts w:ascii="Arial" w:hAnsi="Arial"/>
          <w:sz w:val="16"/>
        </w:rPr>
        <w:t>055.14  قبل از سقوط شهر، جمعیت شادمان مجسمه ۴۰ فوتی صدام را سرنگون کردند.</w:t>
      </w:r>
    </w:p>
    <w:p>
      <w:pPr>
        <w:spacing w:after="28" w:line="216" w:lineRule="auto"/>
        <w:ind w:left="259"/>
        <w:jc w:val="left"/>
      </w:pPr>
      <w:r>
        <w:rPr>
          <w:rFonts w:ascii="Arial" w:hAnsi="Arial"/>
          <w:color w:val="525252"/>
          <w:sz w:val="13"/>
        </w:rPr>
        <w:t>Before the city fell, jubilant crowds toppled a 40-foot statue of Saddam.</w:t>
      </w:r>
    </w:p>
    <w:p>
      <w:pPr>
        <w:spacing w:after="20" w:line="223" w:lineRule="auto"/>
        <w:jc w:val="right"/>
        <w:bidi/>
      </w:pPr>
      <w:r>
        <w:rPr>
          <w:rFonts w:ascii="Arial" w:hAnsi="Arial"/>
          <w:sz w:val="16"/>
        </w:rPr>
        <w:t>055.15  همچنین، مشاور علمی عراق، اولین نفر در لیست ۵۵ رهبر تحت تعقیب صادر شده توسط ائتلاف، تسلیم شد.</w:t>
      </w:r>
    </w:p>
    <w:p>
      <w:pPr>
        <w:spacing w:after="28" w:line="216" w:lineRule="auto"/>
        <w:ind w:left="259"/>
        <w:jc w:val="left"/>
      </w:pPr>
      <w:r>
        <w:rPr>
          <w:rFonts w:ascii="Arial" w:hAnsi="Arial"/>
          <w:color w:val="525252"/>
          <w:sz w:val="13"/>
        </w:rPr>
        <w:t>Also, Iraq’s science advisor, the first on the 55 most-wanted leaders list issued by the coalition, surrendered.</w:t>
      </w:r>
    </w:p>
    <w:p>
      <w:pPr>
        <w:spacing w:after="20" w:line="223" w:lineRule="auto"/>
        <w:jc w:val="right"/>
        <w:bidi/>
      </w:pPr>
      <w:r>
        <w:rPr>
          <w:rFonts w:ascii="Arial" w:hAnsi="Arial"/>
          <w:sz w:val="16"/>
        </w:rPr>
        <w:t>055.16  در کمتر از یک ماه، نیروهای نظامی ما از کنار گارد جمهوری عراق عبور کردند، پل‌های رودخانه‌های دجله و فرات را تصرف کردند و فرودگاه بین‌المللی صدام را تحت کنترل گرفتند.</w:t>
      </w:r>
    </w:p>
    <w:p>
      <w:pPr>
        <w:spacing w:after="28" w:line="216" w:lineRule="auto"/>
        <w:ind w:left="259"/>
        <w:jc w:val="left"/>
      </w:pPr>
      <w:r>
        <w:rPr>
          <w:rFonts w:ascii="Arial" w:hAnsi="Arial"/>
          <w:color w:val="525252"/>
          <w:sz w:val="13"/>
        </w:rPr>
        <w:t>In less than one month, our military forces rolled past Iraq’s Republican Guard, seized bridges over the Tigris and Euphrates rivers, and commandeered Saddam International Airport.</w:t>
      </w:r>
    </w:p>
    <w:p>
      <w:pPr>
        <w:spacing w:after="20" w:line="223" w:lineRule="auto"/>
        <w:jc w:val="right"/>
        <w:bidi/>
      </w:pPr>
      <w:r>
        <w:rPr>
          <w:rFonts w:ascii="Arial" w:hAnsi="Arial"/>
          <w:sz w:val="16"/>
        </w:rPr>
        <w:t>055.17  با کنترل فرودگاه، عملیات عمده‌ای برای از بین بردن مراکز فعالیت شورشیان انجام شد.</w:t>
      </w:r>
    </w:p>
    <w:p>
      <w:pPr>
        <w:spacing w:after="28" w:line="216" w:lineRule="auto"/>
        <w:ind w:left="259"/>
        <w:jc w:val="left"/>
      </w:pPr>
      <w:r>
        <w:rPr>
          <w:rFonts w:ascii="Arial" w:hAnsi="Arial"/>
          <w:color w:val="525252"/>
          <w:sz w:val="13"/>
        </w:rPr>
        <w:t>With control of the airport, major operations were conducted to eliminate insurgent centers of activity.</w:t>
      </w:r>
    </w:p>
    <w:p>
      <w:pPr>
        <w:spacing w:after="20" w:line="223" w:lineRule="auto"/>
        <w:jc w:val="right"/>
        <w:bidi/>
      </w:pPr>
      <w:r>
        <w:rPr>
          <w:rFonts w:ascii="Arial" w:hAnsi="Arial"/>
          <w:sz w:val="16"/>
        </w:rPr>
        <w:t>055.18  شجاعت قابل توجه در عراق، اسکات دی ساتر.</w:t>
      </w:r>
    </w:p>
    <w:p>
      <w:pPr>
        <w:spacing w:after="28" w:line="216" w:lineRule="auto"/>
        <w:ind w:left="259"/>
        <w:jc w:val="left"/>
      </w:pPr>
      <w:r>
        <w:rPr>
          <w:rFonts w:ascii="Arial" w:hAnsi="Arial"/>
          <w:color w:val="525252"/>
          <w:sz w:val="13"/>
        </w:rPr>
        <w:t>Notable Bravery in Iraq, Scott D. Sather.</w:t>
      </w:r>
    </w:p>
    <w:p>
      <w:pPr>
        <w:spacing w:after="20" w:line="223" w:lineRule="auto"/>
        <w:jc w:val="right"/>
        <w:bidi/>
      </w:pPr>
      <w:r>
        <w:rPr>
          <w:rFonts w:ascii="Arial" w:hAnsi="Arial"/>
          <w:sz w:val="16"/>
        </w:rPr>
        <w:t>055.19  اسکات دی ساتر در اولین روز از جنگ زمینی عملیات آزادی عراق، یک گروه عملیات شناسایی را به عراق هدایت کرد و استحکامات دشمن را در طول گذرگاه مرزی شکست.</w:t>
      </w:r>
    </w:p>
    <w:p>
      <w:pPr>
        <w:spacing w:after="28" w:line="216" w:lineRule="auto"/>
        <w:ind w:left="259"/>
        <w:jc w:val="left"/>
      </w:pPr>
      <w:r>
        <w:rPr>
          <w:rFonts w:ascii="Arial" w:hAnsi="Arial"/>
          <w:color w:val="525252"/>
          <w:sz w:val="13"/>
        </w:rPr>
        <w:t>Scott D. Sather led a reconnaissance task force into Iraq on the first day of the ground war of Operation Iraqi Freedom, breeching enemy fortifications during the border crossing.</w:t>
      </w:r>
    </w:p>
    <w:p>
      <w:pPr>
        <w:spacing w:after="20" w:line="223" w:lineRule="auto"/>
        <w:jc w:val="right"/>
        <w:bidi/>
      </w:pPr>
      <w:r>
        <w:rPr>
          <w:rFonts w:ascii="Arial" w:hAnsi="Arial"/>
          <w:sz w:val="16"/>
        </w:rPr>
        <w:t>055.20  طی چند روز بعد، ساتر مایل‌های بی شماری را طی کرد و در صحرای جنوب غربی عراق برای پشتیبانی از مأموریت‌های طبقه بندی شده، شناسایی تخصصی انجام داد.</w:t>
      </w:r>
    </w:p>
    <w:p>
      <w:pPr>
        <w:spacing w:after="28" w:line="216" w:lineRule="auto"/>
        <w:ind w:left="259"/>
        <w:jc w:val="left"/>
      </w:pPr>
      <w:r>
        <w:rPr>
          <w:rFonts w:ascii="Arial" w:hAnsi="Arial"/>
          <w:color w:val="525252"/>
          <w:sz w:val="13"/>
        </w:rPr>
        <w:t>During the next several days, Sather covered countless miles conducting specialized reconnaissance in the Southwestern Iraqi desert in support of classified missions.</w:t>
      </w:r>
    </w:p>
    <w:p>
      <w:pPr>
        <w:spacing w:after="20" w:line="223" w:lineRule="auto"/>
        <w:jc w:val="right"/>
        <w:bidi/>
      </w:pPr>
      <w:r>
        <w:rPr>
          <w:rFonts w:ascii="Arial" w:hAnsi="Arial"/>
          <w:sz w:val="16"/>
        </w:rPr>
        <w:t>055.21  ساتر سپس در منطقه‌ای با تمرکز شدید دشمن به کار گرفته شد و وظیفه آن فراهم کردن شناسایی و اطلاعات حیاتی در مورد حرکت دشمن و پشتیبانی از مأموریت‌های اقدام مستقیم علیه نیروهای دشمن بود.</w:t>
      </w:r>
    </w:p>
    <w:p>
      <w:pPr>
        <w:spacing w:after="28" w:line="216" w:lineRule="auto"/>
        <w:ind w:left="259"/>
        <w:jc w:val="left"/>
      </w:pPr>
      <w:r>
        <w:rPr>
          <w:rFonts w:ascii="Arial" w:hAnsi="Arial"/>
          <w:color w:val="525252"/>
          <w:sz w:val="13"/>
        </w:rPr>
        <w:t>Sather was then employed to an area of heavy enemy concentration, tasked to provide critical reconnaissance and intelligence on enemy movement, supporting direct action missions against enemy forces.</w:t>
      </w:r>
    </w:p>
    <w:p>
      <w:pPr>
        <w:spacing w:after="20" w:line="223" w:lineRule="auto"/>
        <w:jc w:val="right"/>
        <w:bidi/>
      </w:pPr>
      <w:r>
        <w:rPr>
          <w:rFonts w:ascii="Arial" w:hAnsi="Arial"/>
          <w:sz w:val="16"/>
        </w:rPr>
        <w:t>055.22  رهبری و شجاعت فوق‌العاده ساتر در میدان نبرد اسکات ساتر در طول مدت استقرار وی با ایفای نقش مهمی در موفقیت جنگ و سرنگونی کامل رژیم عراق، در موفقیت‌های چشمگیر مأموریت‌های رزمی بسیار مؤثر بود.</w:t>
      </w:r>
    </w:p>
    <w:p>
      <w:pPr>
        <w:spacing w:after="28" w:line="216" w:lineRule="auto"/>
        <w:ind w:left="259"/>
        <w:jc w:val="left"/>
      </w:pPr>
      <w:r>
        <w:rPr>
          <w:rFonts w:ascii="Arial" w:hAnsi="Arial"/>
          <w:color w:val="525252"/>
          <w:sz w:val="13"/>
        </w:rPr>
        <w:t>Sather’s phenomenal leadership and bravery on the Scott Sather battlefield throughout his deployment were instrumental in the resounding successes of numerous combat missions by performing a significant role in the success of the war and the complete overthrow of the Iraqi regime.</w:t>
      </w:r>
    </w:p>
    <w:p>
      <w:pPr>
        <w:spacing w:after="20" w:line="223" w:lineRule="auto"/>
        <w:jc w:val="right"/>
        <w:bidi/>
      </w:pPr>
      <w:r>
        <w:rPr>
          <w:rFonts w:ascii="Arial" w:hAnsi="Arial"/>
          <w:sz w:val="16"/>
        </w:rPr>
        <w:t>055.23  گروهبان ستاد اسکات ساتر در ۸ آوریل ۲۰۰۳ درگذشت.</w:t>
      </w:r>
    </w:p>
    <w:p>
      <w:pPr>
        <w:spacing w:after="28" w:line="216" w:lineRule="auto"/>
        <w:ind w:left="259"/>
        <w:jc w:val="left"/>
      </w:pPr>
      <w:r>
        <w:rPr>
          <w:rFonts w:ascii="Arial" w:hAnsi="Arial"/>
          <w:color w:val="525252"/>
          <w:sz w:val="13"/>
        </w:rPr>
        <w:t>Staff Sergeant Scott Sather died on 8 April 2003.</w:t>
      </w:r>
    </w:p>
    <w:p>
      <w:pPr>
        <w:spacing w:after="20" w:line="223" w:lineRule="auto"/>
        <w:jc w:val="right"/>
        <w:bidi/>
      </w:pPr>
      <w:r>
        <w:rPr>
          <w:rFonts w:ascii="Arial" w:hAnsi="Arial"/>
          <w:sz w:val="16"/>
        </w:rPr>
        <w:t>055.24  او اولین هوایی بود که در عملیات آزادی عراق کشته شد.</w:t>
      </w:r>
    </w:p>
    <w:p>
      <w:pPr>
        <w:spacing w:after="28" w:line="216" w:lineRule="auto"/>
        <w:ind w:left="259"/>
        <w:jc w:val="left"/>
      </w:pPr>
      <w:r>
        <w:rPr>
          <w:rFonts w:ascii="Arial" w:hAnsi="Arial"/>
          <w:color w:val="525252"/>
          <w:sz w:val="13"/>
        </w:rPr>
        <w:t>He was the first Airman killed in Operation Iraqi Freedom.</w:t>
      </w:r>
    </w:p>
    <w:p>
      <w:pPr>
        <w:spacing w:after="20" w:line="223" w:lineRule="auto"/>
        <w:jc w:val="right"/>
        <w:bidi/>
      </w:pPr>
      <w:r>
        <w:rPr>
          <w:rFonts w:ascii="Arial" w:hAnsi="Arial"/>
          <w:sz w:val="16"/>
        </w:rPr>
        <w:t>055.25  او در طول دوران حرفه‌ای خود در USAF هفت مدال از جمله ستاره برنز به دست آورد.</w:t>
      </w:r>
    </w:p>
    <w:p>
      <w:pPr>
        <w:spacing w:after="28" w:line="216" w:lineRule="auto"/>
        <w:ind w:left="259"/>
        <w:jc w:val="left"/>
      </w:pPr>
      <w:r>
        <w:rPr>
          <w:rFonts w:ascii="Arial" w:hAnsi="Arial"/>
          <w:color w:val="525252"/>
          <w:sz w:val="13"/>
        </w:rPr>
        <w:t>He earned seven medals during his USAF career, including the Bronze Star.</w:t>
      </w:r>
    </w:p>
    <w:p>
      <w:r>
        <w:br w:type="page"/>
      </w:r>
    </w:p>
    <w:p>
      <w:pPr>
        <w:spacing w:after="60"/>
        <w:jc w:val="right"/>
        <w:bidi/>
      </w:pPr>
      <w:r>
        <w:rPr>
          <w:rFonts w:ascii="Arial" w:hAnsi="Arial"/>
          <w:b/>
          <w:color w:val="1F4D78"/>
          <w:sz w:val="19"/>
        </w:rPr>
        <w:t>هفتهٔ 56  |  صفحهٔ منبع: 72</w:t>
      </w:r>
    </w:p>
    <w:p>
      <w:pPr>
        <w:spacing w:after="20" w:line="223" w:lineRule="auto"/>
        <w:jc w:val="right"/>
        <w:bidi/>
      </w:pPr>
      <w:r>
        <w:rPr>
          <w:rFonts w:ascii="Arial" w:hAnsi="Arial"/>
          <w:sz w:val="16"/>
        </w:rPr>
        <w:t>056.01  شجاعت قابل توجه در عراق، الیزابت جاکوبسون.</w:t>
      </w:r>
    </w:p>
    <w:p>
      <w:pPr>
        <w:spacing w:after="28" w:line="216" w:lineRule="auto"/>
        <w:ind w:left="259"/>
        <w:jc w:val="left"/>
      </w:pPr>
      <w:r>
        <w:rPr>
          <w:rFonts w:ascii="Arial" w:hAnsi="Arial"/>
          <w:color w:val="525252"/>
          <w:sz w:val="13"/>
        </w:rPr>
        <w:t>Notable Bravery in Iraq, Elizabeth Jacobson.</w:t>
      </w:r>
    </w:p>
    <w:p>
      <w:pPr>
        <w:spacing w:after="20" w:line="223" w:lineRule="auto"/>
        <w:jc w:val="right"/>
        <w:bidi/>
      </w:pPr>
      <w:r>
        <w:rPr>
          <w:rFonts w:ascii="Arial" w:hAnsi="Arial"/>
          <w:sz w:val="16"/>
        </w:rPr>
        <w:t>056.02  سه ماه پس از اعزام او، عضو نیروهای امنیتی، الیزابت جاکوبسون، به‌عنوان عضوی از تیم پشتیبانی کاروان خارج از پایگاه، از یک کاروان در مسیر کمپ بوکا، عراق محافظت می‌کرد.</w:t>
      </w:r>
    </w:p>
    <w:p>
      <w:pPr>
        <w:spacing w:after="28" w:line="216" w:lineRule="auto"/>
        <w:ind w:left="259"/>
        <w:jc w:val="left"/>
      </w:pPr>
      <w:r>
        <w:rPr>
          <w:rFonts w:ascii="Arial" w:hAnsi="Arial"/>
          <w:color w:val="525252"/>
          <w:sz w:val="13"/>
        </w:rPr>
        <w:t>Three months into her deployment, security forces member, Elizabeth Jacobson, was guarding a convoy enroute from Camp Bucca, Iraq as a member of the off-base convoy support team.</w:t>
      </w:r>
    </w:p>
    <w:p>
      <w:pPr>
        <w:spacing w:after="20" w:line="223" w:lineRule="auto"/>
        <w:jc w:val="right"/>
        <w:bidi/>
      </w:pPr>
      <w:r>
        <w:rPr>
          <w:rFonts w:ascii="Arial" w:hAnsi="Arial"/>
          <w:sz w:val="16"/>
        </w:rPr>
        <w:t>056.03  کاروان در نزدیکی صفوان عراق مورد اصابت یک بمب دست ساز قرار گرفت.</w:t>
      </w:r>
    </w:p>
    <w:p>
      <w:pPr>
        <w:spacing w:after="28" w:line="216" w:lineRule="auto"/>
        <w:ind w:left="259"/>
        <w:jc w:val="left"/>
      </w:pPr>
      <w:r>
        <w:rPr>
          <w:rFonts w:ascii="Arial" w:hAnsi="Arial"/>
          <w:color w:val="525252"/>
          <w:sz w:val="13"/>
        </w:rPr>
        <w:t>The convoy was hit by an improvised explosive device near Safwan, Iraq.</w:t>
      </w:r>
    </w:p>
    <w:p>
      <w:pPr>
        <w:spacing w:after="20" w:line="223" w:lineRule="auto"/>
        <w:jc w:val="right"/>
        <w:bidi/>
      </w:pPr>
      <w:r>
        <w:rPr>
          <w:rFonts w:ascii="Arial" w:hAnsi="Arial"/>
          <w:sz w:val="16"/>
        </w:rPr>
        <w:t>056.04  در ۲۸ سپتامبر ۲۰۰۵، ا۱ک جاکوبسون اولین نیروی هوایی نیروهای امنیتی و اولین زن هوایی بود که در عملیات آزادی عراق جان باخت.</w:t>
      </w:r>
    </w:p>
    <w:p>
      <w:pPr>
        <w:spacing w:after="28" w:line="216" w:lineRule="auto"/>
        <w:ind w:left="259"/>
        <w:jc w:val="left"/>
      </w:pPr>
      <w:r>
        <w:rPr>
          <w:rFonts w:ascii="Arial" w:hAnsi="Arial"/>
          <w:color w:val="525252"/>
          <w:sz w:val="13"/>
        </w:rPr>
        <w:t>On 28 September 2005, A1C Jacobson was the first security forces Airman and first female Airman to die in Operation Iraqi Freedom.</w:t>
      </w:r>
    </w:p>
    <w:p>
      <w:pPr>
        <w:spacing w:after="20" w:line="223" w:lineRule="auto"/>
        <w:jc w:val="right"/>
        <w:bidi/>
      </w:pPr>
      <w:r>
        <w:rPr>
          <w:rFonts w:ascii="Arial" w:hAnsi="Arial"/>
          <w:sz w:val="16"/>
        </w:rPr>
        <w:t>056.05  او دو سال در USAF خدمت کرد.</w:t>
      </w:r>
    </w:p>
    <w:p>
      <w:pPr>
        <w:spacing w:after="28" w:line="216" w:lineRule="auto"/>
        <w:ind w:left="259"/>
        <w:jc w:val="left"/>
      </w:pPr>
      <w:r>
        <w:rPr>
          <w:rFonts w:ascii="Arial" w:hAnsi="Arial"/>
          <w:color w:val="525252"/>
          <w:sz w:val="13"/>
        </w:rPr>
        <w:t>She served in the USAF two years.</w:t>
      </w:r>
    </w:p>
    <w:p>
      <w:pPr>
        <w:spacing w:after="20" w:line="223" w:lineRule="auto"/>
        <w:jc w:val="right"/>
        <w:bidi/>
      </w:pPr>
      <w:r>
        <w:rPr>
          <w:rFonts w:ascii="Arial" w:hAnsi="Arial"/>
          <w:sz w:val="16"/>
        </w:rPr>
        <w:t>056.06  جایزه لیزابت ن. جاکوبسون برای تعالی اعزامی به افتخار او تأسیس شد.</w:t>
      </w:r>
    </w:p>
    <w:p>
      <w:pPr>
        <w:spacing w:after="28" w:line="216" w:lineRule="auto"/>
        <w:ind w:left="259"/>
        <w:jc w:val="left"/>
      </w:pPr>
      <w:r>
        <w:rPr>
          <w:rFonts w:ascii="Arial" w:hAnsi="Arial"/>
          <w:color w:val="525252"/>
          <w:sz w:val="13"/>
        </w:rPr>
        <w:t>The Elizabeth N. Jacobson Award for Expeditionary Excellence was established in her honor.</w:t>
      </w:r>
    </w:p>
    <w:p>
      <w:pPr>
        <w:spacing w:after="20" w:line="223" w:lineRule="auto"/>
        <w:jc w:val="right"/>
        <w:bidi/>
      </w:pPr>
      <w:r>
        <w:rPr>
          <w:rFonts w:ascii="Arial" w:hAnsi="Arial"/>
          <w:sz w:val="16"/>
        </w:rPr>
        <w:t>056.07  جایزه الیزابت جیکوبسون به نیروهای هوایی برای عملکرد فوق‌العاده در حین استقرار داده می‌شود.</w:t>
      </w:r>
    </w:p>
    <w:p>
      <w:pPr>
        <w:spacing w:after="28" w:line="216" w:lineRule="auto"/>
        <w:ind w:left="259"/>
        <w:jc w:val="left"/>
      </w:pPr>
      <w:r>
        <w:rPr>
          <w:rFonts w:ascii="Arial" w:hAnsi="Arial"/>
          <w:color w:val="525252"/>
          <w:sz w:val="13"/>
        </w:rPr>
        <w:t>The award is given Elizabeth Jacobson to Airmen for outstanding performance during a deployment.</w:t>
      </w:r>
    </w:p>
    <w:p>
      <w:pPr>
        <w:spacing w:before="60" w:after="28"/>
        <w:jc w:val="right"/>
        <w:bidi/>
      </w:pPr>
      <w:r>
        <w:rPr>
          <w:b/>
          <w:color w:val="1F4D78"/>
          <w:sz w:val="18"/>
        </w:rPr>
        <w:t>3.20. عملیات آزادی عراق ادامه دارد</w:t>
      </w:r>
    </w:p>
    <w:p>
      <w:pPr>
        <w:spacing w:after="20"/>
        <w:ind w:left="259"/>
        <w:jc w:val="left"/>
      </w:pPr>
      <w:r>
        <w:rPr>
          <w:color w:val="555555"/>
          <w:sz w:val="12"/>
        </w:rPr>
        <w:t>3.20. Operation Iraqi Freedom Continues</w:t>
      </w:r>
    </w:p>
    <w:p>
      <w:pPr>
        <w:spacing w:after="20" w:line="223" w:lineRule="auto"/>
        <w:jc w:val="right"/>
        <w:bidi/>
      </w:pPr>
      <w:r>
        <w:rPr>
          <w:rFonts w:ascii="Arial" w:hAnsi="Arial"/>
          <w:sz w:val="16"/>
        </w:rPr>
        <w:t>056.09  مداخله ایالات متحده در عراق بر کنترل شورشیان و توانمند ساختن این کشور برای بازسازی قانون اساسی و دولت متمرکز بود.</w:t>
      </w:r>
    </w:p>
    <w:p>
      <w:pPr>
        <w:spacing w:after="28" w:line="216" w:lineRule="auto"/>
        <w:ind w:left="259"/>
        <w:jc w:val="left"/>
      </w:pPr>
      <w:r>
        <w:rPr>
          <w:rFonts w:ascii="Arial" w:hAnsi="Arial"/>
          <w:color w:val="525252"/>
          <w:sz w:val="13"/>
        </w:rPr>
        <w:t>The United States involvement in Iraq maintained focused on controlling insurgents and enabling the country to rebuild its constitution and government.</w:t>
      </w:r>
    </w:p>
    <w:p>
      <w:pPr>
        <w:spacing w:after="20" w:line="223" w:lineRule="auto"/>
        <w:jc w:val="right"/>
        <w:bidi/>
      </w:pPr>
      <w:r>
        <w:rPr>
          <w:rFonts w:ascii="Arial" w:hAnsi="Arial"/>
          <w:sz w:val="16"/>
        </w:rPr>
        <w:t>056.10  پنجاه و چهار پرسنل USAF در جنگ عراق جان باختند.</w:t>
      </w:r>
    </w:p>
    <w:p>
      <w:pPr>
        <w:spacing w:after="28" w:line="216" w:lineRule="auto"/>
        <w:ind w:left="259"/>
        <w:jc w:val="left"/>
      </w:pPr>
      <w:r>
        <w:rPr>
          <w:rFonts w:ascii="Arial" w:hAnsi="Arial"/>
          <w:color w:val="525252"/>
          <w:sz w:val="13"/>
        </w:rPr>
        <w:t>Fifty-four USAF personnel died in the Iraq War.</w:t>
      </w:r>
    </w:p>
    <w:p>
      <w:pPr>
        <w:spacing w:after="20" w:line="223" w:lineRule="auto"/>
        <w:jc w:val="right"/>
        <w:bidi/>
      </w:pPr>
      <w:r>
        <w:rPr>
          <w:rFonts w:ascii="Arial" w:hAnsi="Arial"/>
          <w:sz w:val="16"/>
        </w:rPr>
        <w:t>056.11  در سال ۲۰۰۳، صدام حسین پیدا و دستگیر شد. او سه سال بعد محاکمه و اعدام شد.</w:t>
      </w:r>
    </w:p>
    <w:p>
      <w:pPr>
        <w:spacing w:after="28" w:line="216" w:lineRule="auto"/>
        <w:ind w:left="259"/>
        <w:jc w:val="left"/>
      </w:pPr>
      <w:r>
        <w:rPr>
          <w:rFonts w:ascii="Arial" w:hAnsi="Arial"/>
          <w:color w:val="525252"/>
          <w:sz w:val="13"/>
        </w:rPr>
        <w:t>In 2003, Saddam Hussein was found and captured; he was tried and executed three years later.</w:t>
      </w:r>
    </w:p>
    <w:p>
      <w:pPr>
        <w:spacing w:after="20" w:line="223" w:lineRule="auto"/>
        <w:jc w:val="right"/>
        <w:bidi/>
      </w:pPr>
      <w:r>
        <w:rPr>
          <w:rFonts w:ascii="Arial" w:hAnsi="Arial"/>
          <w:sz w:val="16"/>
        </w:rPr>
        <w:t>056.12  با بی ثباتی خارج از کنترل در منطقه، در درجه اول بین شیعه و سنی، این کشور بار دیگر به بستری برای فعالیت‌های تروریستی تبدیل شد.</w:t>
      </w:r>
    </w:p>
    <w:p>
      <w:pPr>
        <w:spacing w:after="28" w:line="216" w:lineRule="auto"/>
        <w:ind w:left="259"/>
        <w:jc w:val="left"/>
      </w:pPr>
      <w:r>
        <w:rPr>
          <w:rFonts w:ascii="Arial" w:hAnsi="Arial"/>
          <w:color w:val="525252"/>
          <w:sz w:val="13"/>
        </w:rPr>
        <w:t>With instability raging out of control in the region, primarily between Shias and Sunnis, the country became a breeding-ground for terrorist activities once again.</w:t>
      </w:r>
    </w:p>
    <w:p>
      <w:pPr>
        <w:spacing w:after="20" w:line="223" w:lineRule="auto"/>
        <w:jc w:val="right"/>
        <w:bidi/>
      </w:pPr>
      <w:r>
        <w:rPr>
          <w:rFonts w:ascii="Arial" w:hAnsi="Arial"/>
          <w:sz w:val="16"/>
        </w:rPr>
        <w:t>056.13  ایالات متحده با افزایش نیرو در سال ۲۰۰۷ برای کاهش تنش اوضاع مداخله کرد.</w:t>
      </w:r>
    </w:p>
    <w:p>
      <w:pPr>
        <w:spacing w:after="28" w:line="216" w:lineRule="auto"/>
        <w:ind w:left="259"/>
        <w:jc w:val="left"/>
      </w:pPr>
      <w:r>
        <w:rPr>
          <w:rFonts w:ascii="Arial" w:hAnsi="Arial"/>
          <w:color w:val="525252"/>
          <w:sz w:val="13"/>
        </w:rPr>
        <w:t>The United States intervened with a surge of force in 2007 to deescalate the situation.</w:t>
      </w:r>
    </w:p>
    <w:p>
      <w:pPr>
        <w:spacing w:after="20" w:line="223" w:lineRule="auto"/>
        <w:jc w:val="right"/>
        <w:bidi/>
      </w:pPr>
      <w:r>
        <w:rPr>
          <w:rFonts w:ascii="Arial" w:hAnsi="Arial"/>
          <w:sz w:val="16"/>
        </w:rPr>
        <w:t>056.14  عملیات طلوع نو.</w:t>
      </w:r>
    </w:p>
    <w:p>
      <w:pPr>
        <w:spacing w:after="28" w:line="216" w:lineRule="auto"/>
        <w:ind w:left="259"/>
        <w:jc w:val="left"/>
      </w:pPr>
      <w:r>
        <w:rPr>
          <w:rFonts w:ascii="Arial" w:hAnsi="Arial"/>
          <w:color w:val="525252"/>
          <w:sz w:val="13"/>
        </w:rPr>
        <w:t>Operation New Dawn.</w:t>
      </w:r>
    </w:p>
    <w:p>
      <w:pPr>
        <w:spacing w:after="20" w:line="223" w:lineRule="auto"/>
        <w:jc w:val="right"/>
        <w:bidi/>
      </w:pPr>
      <w:r>
        <w:rPr>
          <w:rFonts w:ascii="Arial" w:hAnsi="Arial"/>
          <w:sz w:val="16"/>
        </w:rPr>
        <w:t>056.15  در ۱ سپتامبر ۲۰۱۰، عملیات از عملیات آزادی عراق به عملیات طلوع جدید منتقل شد، که به معنای پایان رسمی به دخالت ایالات متحده در عملیات رزمی نظامی بود.</w:t>
      </w:r>
    </w:p>
    <w:p>
      <w:pPr>
        <w:spacing w:after="28" w:line="216" w:lineRule="auto"/>
        <w:ind w:left="259"/>
        <w:jc w:val="left"/>
      </w:pPr>
      <w:r>
        <w:rPr>
          <w:rFonts w:ascii="Arial" w:hAnsi="Arial"/>
          <w:color w:val="525252"/>
          <w:sz w:val="13"/>
        </w:rPr>
        <w:t>On 1 September 2010, operations transitioned from Operation Iraqi Freedom to Operation New Dawn, signifying a formal end to United States involvement in the military combat operations.</w:t>
      </w:r>
    </w:p>
    <w:p>
      <w:pPr>
        <w:spacing w:after="20" w:line="223" w:lineRule="auto"/>
        <w:jc w:val="right"/>
        <w:bidi/>
      </w:pPr>
      <w:r>
        <w:rPr>
          <w:rFonts w:ascii="Arial" w:hAnsi="Arial"/>
          <w:sz w:val="16"/>
        </w:rPr>
        <w:t>056.16  انتقال به نقش پشتیبانی و عملیات ثبات با افزایش توانایی نیروهای امنیتی عراق و بهبود توانایی آنها برای مبارزه با تروریست‌ها و تأمین امنیت مردم آنها امکان پذیر شد.</w:t>
      </w:r>
    </w:p>
    <w:p>
      <w:pPr>
        <w:spacing w:after="28" w:line="216" w:lineRule="auto"/>
        <w:ind w:left="259"/>
        <w:jc w:val="left"/>
      </w:pPr>
      <w:r>
        <w:rPr>
          <w:rFonts w:ascii="Arial" w:hAnsi="Arial"/>
          <w:color w:val="525252"/>
          <w:sz w:val="13"/>
        </w:rPr>
        <w:t>The transition to a supporting role and stability operations was made possible by increased capability of Iraqi security forces and their improved ability to combat terrorists and provide security for their people.</w:t>
      </w:r>
    </w:p>
    <w:p>
      <w:pPr>
        <w:spacing w:after="20" w:line="223" w:lineRule="auto"/>
        <w:jc w:val="right"/>
        <w:bidi/>
      </w:pPr>
      <w:r>
        <w:rPr>
          <w:rFonts w:ascii="Arial" w:hAnsi="Arial"/>
          <w:sz w:val="16"/>
        </w:rPr>
        <w:t>056.17  به‌عنوان بخشی از عملیات طلوع جدید، ارتش ما سه مأموریت اصلی داشت: مشاوره، کمک و آموزش نیروهای امنیتی عراق. انجام عملیات ضد تروریستی مشترک؛ و حمایت از تیم‌های بازسازی استانی و شرکای غیرنظامی که به ایجاد ظرفیت مدنی عراق کمک کردند.</w:t>
      </w:r>
    </w:p>
    <w:p>
      <w:pPr>
        <w:spacing w:after="28" w:line="216" w:lineRule="auto"/>
        <w:ind w:left="259"/>
        <w:jc w:val="left"/>
      </w:pPr>
      <w:r>
        <w:rPr>
          <w:rFonts w:ascii="Arial" w:hAnsi="Arial"/>
          <w:color w:val="525252"/>
          <w:sz w:val="13"/>
        </w:rPr>
        <w:t>As part of Operation New Dawn, our military had three primary missions: advising, assisting, and training the Iraqi security forces; conducting partnered counterterrorism operations; and providing support to provincial reconstruction teams and civilian partners as they helped build Iraq’s civil capacity.</w:t>
      </w:r>
    </w:p>
    <w:p>
      <w:pPr>
        <w:spacing w:after="20" w:line="223" w:lineRule="auto"/>
        <w:jc w:val="right"/>
        <w:bidi/>
      </w:pPr>
      <w:r>
        <w:rPr>
          <w:rFonts w:ascii="Arial" w:hAnsi="Arial"/>
          <w:sz w:val="16"/>
        </w:rPr>
        <w:t>056.18  طبق شرایط توافقنامه دوجانبه که در سال ۲۰۰۸ توسط پرزیدنت بوش امضا شد، خروج نیروها از عراق در ۱۸ دسامبر ۲۰۱۱ تکمیل شد.</w:t>
      </w:r>
    </w:p>
    <w:p>
      <w:pPr>
        <w:spacing w:after="28" w:line="216" w:lineRule="auto"/>
        <w:ind w:left="259"/>
        <w:jc w:val="left"/>
      </w:pPr>
      <w:r>
        <w:rPr>
          <w:rFonts w:ascii="Arial" w:hAnsi="Arial"/>
          <w:color w:val="525252"/>
          <w:sz w:val="13"/>
        </w:rPr>
        <w:t>As mandated under the terms of a bilateral agreement signed in 2008 by President Bush, troop withdrawal from Iraq was completed on 18 December 2011.</w:t>
      </w:r>
    </w:p>
    <w:p>
      <w:pPr>
        <w:spacing w:before="60" w:after="28"/>
        <w:jc w:val="right"/>
        <w:bidi/>
      </w:pPr>
      <w:r>
        <w:rPr>
          <w:b/>
          <w:color w:val="1F4D78"/>
          <w:sz w:val="18"/>
        </w:rPr>
        <w:t>3.21. جنگ علیه ترور - لیبی</w:t>
      </w:r>
    </w:p>
    <w:p>
      <w:pPr>
        <w:spacing w:after="20"/>
        <w:ind w:left="259"/>
        <w:jc w:val="left"/>
      </w:pPr>
      <w:r>
        <w:rPr>
          <w:color w:val="555555"/>
          <w:sz w:val="12"/>
        </w:rPr>
        <w:t>3.21. War on Terror - Libya</w:t>
      </w:r>
    </w:p>
    <w:p>
      <w:pPr>
        <w:spacing w:after="20" w:line="223" w:lineRule="auto"/>
        <w:jc w:val="right"/>
        <w:bidi/>
      </w:pPr>
      <w:r>
        <w:rPr>
          <w:rFonts w:ascii="Arial" w:hAnsi="Arial"/>
          <w:sz w:val="16"/>
        </w:rPr>
        <w:t>056.20  عملیات ادیسه طلوع.</w:t>
      </w:r>
    </w:p>
    <w:p>
      <w:pPr>
        <w:spacing w:after="28" w:line="216" w:lineRule="auto"/>
        <w:ind w:left="259"/>
        <w:jc w:val="left"/>
      </w:pPr>
      <w:r>
        <w:rPr>
          <w:rFonts w:ascii="Arial" w:hAnsi="Arial"/>
          <w:color w:val="525252"/>
          <w:sz w:val="13"/>
        </w:rPr>
        <w:t>Operation Odyssey Dawn.</w:t>
      </w:r>
    </w:p>
    <w:p>
      <w:pPr>
        <w:spacing w:after="20" w:line="223" w:lineRule="auto"/>
        <w:jc w:val="right"/>
        <w:bidi/>
      </w:pPr>
      <w:r>
        <w:rPr>
          <w:rFonts w:ascii="Arial" w:hAnsi="Arial"/>
          <w:sz w:val="16"/>
        </w:rPr>
        <w:t>056.21  در ۲۰ مارس ۲۰۱۱، تحت عملیات ادیسه سپیده دم، مجموعه‌ای از هواپیماها برای اجرای قطعنامه ۱۹۷۳ شورای امنیت سازمان ملل متحد، با محوریت محافظت از شهروندان لیبی در برابر آسیب‌های بیشتر تحت رژیم معمر قذافی، راه‌اندازی شد.</w:t>
      </w:r>
    </w:p>
    <w:p>
      <w:pPr>
        <w:spacing w:after="28" w:line="216" w:lineRule="auto"/>
        <w:ind w:left="259"/>
        <w:jc w:val="left"/>
      </w:pPr>
      <w:r>
        <w:rPr>
          <w:rFonts w:ascii="Arial" w:hAnsi="Arial"/>
          <w:color w:val="525252"/>
          <w:sz w:val="13"/>
        </w:rPr>
        <w:t>On 20 March 2011, under Operation Odyssey Dawn, a collection of aircraft was launched to enforce United Nations Security Council Resolution 1973, centered on protecting Libyan citizens from further harm under Moammar Gadhafi’s regime.</w:t>
      </w:r>
    </w:p>
    <w:p>
      <w:pPr>
        <w:spacing w:after="20" w:line="223" w:lineRule="auto"/>
        <w:jc w:val="right"/>
        <w:bidi/>
      </w:pPr>
      <w:r>
        <w:rPr>
          <w:rFonts w:ascii="Arial" w:hAnsi="Arial"/>
          <w:sz w:val="16"/>
        </w:rPr>
        <w:t>056.22  پس از پرتاب اولیه موشک‌های تاماهاوک، هواپیماها حملاتی را به انواع اهداف استراتژیک بر فراز لیبی انجام دادند و فضای هوایی ایجاد کردند که هیچ نیروی دشمن نتواند به سوی نیروهای مخالف لیبی پیشروی کند.</w:t>
      </w:r>
    </w:p>
    <w:p>
      <w:pPr>
        <w:spacing w:after="28" w:line="216" w:lineRule="auto"/>
        <w:ind w:left="259"/>
        <w:jc w:val="left"/>
      </w:pPr>
      <w:r>
        <w:rPr>
          <w:rFonts w:ascii="Arial" w:hAnsi="Arial"/>
          <w:color w:val="525252"/>
          <w:sz w:val="13"/>
        </w:rPr>
        <w:t>Following an initial launch of Tomahawk missiles, aircraft conducted strikes on a variety of strategic targets over Libya and created an airspace where no enemy forces could advance on Libyan opposition troops.</w:t>
      </w:r>
    </w:p>
    <w:p>
      <w:pPr>
        <w:spacing w:after="20" w:line="223" w:lineRule="auto"/>
        <w:jc w:val="right"/>
        <w:bidi/>
      </w:pPr>
      <w:r>
        <w:rPr>
          <w:rFonts w:ascii="Arial" w:hAnsi="Arial"/>
          <w:sz w:val="16"/>
        </w:rPr>
        <w:t>056.23  در ۳۱ مارس ۲۰۱۱، ایالات متحده فرماندهی کامل نظامی عملیات و کنترل منطقه پرواز ممنوع را به ناتو سپرد و نقش پشتیبانی را برای باقیمانده عملیات، که تحت عنوان عملیات محافظ متحد انجام شد، بر عهده گرفت.</w:t>
      </w:r>
    </w:p>
    <w:p>
      <w:pPr>
        <w:spacing w:after="28" w:line="216" w:lineRule="auto"/>
        <w:ind w:left="259"/>
        <w:jc w:val="left"/>
      </w:pPr>
      <w:r>
        <w:rPr>
          <w:rFonts w:ascii="Arial" w:hAnsi="Arial"/>
          <w:color w:val="525252"/>
          <w:sz w:val="13"/>
        </w:rPr>
        <w:t>On 31 March 2011, the United States passed complete military command of the operation and control of the no-fly zone to NATO and took up a supporting role for the remainder of the operation, which was carried out under the name Operation Unified Protector.</w:t>
      </w:r>
    </w:p>
    <w:p>
      <w:pPr>
        <w:spacing w:before="60" w:after="28"/>
        <w:jc w:val="right"/>
        <w:bidi/>
      </w:pPr>
      <w:r>
        <w:rPr>
          <w:b/>
          <w:color w:val="1F4D78"/>
          <w:sz w:val="18"/>
        </w:rPr>
        <w:t>3.22. جنگ علیه تروریسم - دولت اسلامی عراق و شام</w:t>
      </w:r>
    </w:p>
    <w:p>
      <w:pPr>
        <w:spacing w:after="20"/>
        <w:ind w:left="259"/>
        <w:jc w:val="left"/>
      </w:pPr>
      <w:r>
        <w:rPr>
          <w:color w:val="555555"/>
          <w:sz w:val="12"/>
        </w:rPr>
        <w:t>3.22. War on Terror - Islamic State of Iraq and the Levant</w:t>
      </w:r>
    </w:p>
    <w:p>
      <w:pPr>
        <w:spacing w:after="20" w:line="223" w:lineRule="auto"/>
        <w:jc w:val="right"/>
        <w:bidi/>
      </w:pPr>
      <w:r>
        <w:rPr>
          <w:rFonts w:ascii="Arial" w:hAnsi="Arial"/>
          <w:sz w:val="16"/>
        </w:rPr>
        <w:t>056.25  عملیات حل ذاتی.</w:t>
      </w:r>
    </w:p>
    <w:p>
      <w:pPr>
        <w:spacing w:after="28" w:line="216" w:lineRule="auto"/>
        <w:ind w:left="259"/>
        <w:jc w:val="left"/>
      </w:pPr>
      <w:r>
        <w:rPr>
          <w:rFonts w:ascii="Arial" w:hAnsi="Arial"/>
          <w:color w:val="525252"/>
          <w:sz w:val="13"/>
        </w:rPr>
        <w:t>Operation Inherent Resolve.</w:t>
      </w:r>
    </w:p>
    <w:p>
      <w:pPr>
        <w:spacing w:after="20" w:line="223" w:lineRule="auto"/>
        <w:jc w:val="right"/>
        <w:bidi/>
      </w:pPr>
      <w:r>
        <w:rPr>
          <w:rFonts w:ascii="Arial" w:hAnsi="Arial"/>
          <w:sz w:val="16"/>
        </w:rPr>
        <w:t>056.26  در سال ۲۰۱۴، تهدیدی جدید و شوم ظاهر شد که نتیجه آن مشارکت مجدد ایالات متحده در عملیات در آسمان عراق بود.</w:t>
      </w:r>
    </w:p>
    <w:p>
      <w:pPr>
        <w:spacing w:after="28" w:line="216" w:lineRule="auto"/>
        <w:ind w:left="259"/>
        <w:jc w:val="left"/>
      </w:pPr>
      <w:r>
        <w:rPr>
          <w:rFonts w:ascii="Arial" w:hAnsi="Arial"/>
          <w:color w:val="525252"/>
          <w:sz w:val="13"/>
        </w:rPr>
        <w:t>In 2014, a new and ominous threat emerged that resulted in the involvement of the United States in operations in the skies over Iraq once again.</w:t>
      </w:r>
    </w:p>
    <w:p>
      <w:pPr>
        <w:spacing w:after="20" w:line="223" w:lineRule="auto"/>
        <w:jc w:val="right"/>
        <w:bidi/>
      </w:pPr>
      <w:r>
        <w:rPr>
          <w:rFonts w:ascii="Arial" w:hAnsi="Arial"/>
          <w:sz w:val="16"/>
        </w:rPr>
        <w:t>056.27  این بار، دشمن که خود را دولت اسلامی عراق و شام (داعش) می‌نامید، یک سازمان جهادی سنی تندرو بود.</w:t>
      </w:r>
    </w:p>
    <w:p>
      <w:pPr>
        <w:spacing w:after="28" w:line="216" w:lineRule="auto"/>
        <w:ind w:left="259"/>
        <w:jc w:val="left"/>
      </w:pPr>
      <w:r>
        <w:rPr>
          <w:rFonts w:ascii="Arial" w:hAnsi="Arial"/>
          <w:color w:val="525252"/>
          <w:sz w:val="13"/>
        </w:rPr>
        <w:t>This time, the enemy, calling themselves the Islamic State of Iraq and the Levant (ISIL), was an extremist Sunni jihadist organization.</w:t>
      </w:r>
    </w:p>
    <w:p>
      <w:pPr>
        <w:spacing w:after="20" w:line="223" w:lineRule="auto"/>
        <w:jc w:val="right"/>
        <w:bidi/>
      </w:pPr>
      <w:r>
        <w:rPr>
          <w:rFonts w:ascii="Arial" w:hAnsi="Arial"/>
          <w:sz w:val="16"/>
        </w:rPr>
        <w:t>056.28  با کمک تعدادی از جذب‌کنندگان و هواداران در سراسر جهان، داعش کنترل قلمروی سوریه و شمال عراق را به دست آورد و جنایات وحشیانه‌ای از جمله قتل‌های دسته جمعی و اعدام‌های بی‌رحمانه غیرنظامیان بی‌گناه را در پی داشت.</w:t>
      </w:r>
    </w:p>
    <w:p>
      <w:pPr>
        <w:spacing w:after="28" w:line="216" w:lineRule="auto"/>
        <w:ind w:left="259"/>
        <w:jc w:val="left"/>
      </w:pPr>
      <w:r>
        <w:rPr>
          <w:rFonts w:ascii="Arial" w:hAnsi="Arial"/>
          <w:color w:val="525252"/>
          <w:sz w:val="13"/>
        </w:rPr>
        <w:t>Aided by a number of worldwide recruits and sympathizers, ISIL gained control of territory in Syria and Northern Iraq and left savage atrocities in their wake, including mass murders and ruthless executions of innocent civilians.</w:t>
      </w:r>
    </w:p>
    <w:p>
      <w:pPr>
        <w:spacing w:after="20" w:line="223" w:lineRule="auto"/>
        <w:jc w:val="right"/>
        <w:bidi/>
      </w:pPr>
      <w:r>
        <w:rPr>
          <w:rFonts w:ascii="Arial" w:hAnsi="Arial"/>
          <w:sz w:val="16"/>
        </w:rPr>
        <w:t>056.29  تخمین زده شد که داعش بودجه سالانه بیش از ۱،۰۰۰،۰۰۰،۰۰۰ دلار و نیروی بیش از ۳۰،۰۰۰ جنگجو داشته باشد.</w:t>
      </w:r>
    </w:p>
    <w:p>
      <w:pPr>
        <w:spacing w:after="28" w:line="216" w:lineRule="auto"/>
        <w:ind w:left="259"/>
        <w:jc w:val="left"/>
      </w:pPr>
      <w:r>
        <w:rPr>
          <w:rFonts w:ascii="Arial" w:hAnsi="Arial"/>
          <w:color w:val="525252"/>
          <w:sz w:val="13"/>
        </w:rPr>
        <w:t>ISIL was estimated to have an annual budget of more than $1,000,000,000 and a force of more than 30,000 fighters.</w:t>
      </w:r>
    </w:p>
    <w:p>
      <w:pPr>
        <w:spacing w:after="20" w:line="223" w:lineRule="auto"/>
        <w:jc w:val="right"/>
        <w:bidi/>
      </w:pPr>
      <w:r>
        <w:rPr>
          <w:rFonts w:ascii="Arial" w:hAnsi="Arial"/>
          <w:sz w:val="16"/>
        </w:rPr>
        <w:t>056.30  وحشیگری آنها منجر به محکومیت تقریبا جهانی شد - حتی القاعده آنها را رد کرد.</w:t>
      </w:r>
    </w:p>
    <w:p>
      <w:pPr>
        <w:spacing w:after="28" w:line="216" w:lineRule="auto"/>
        <w:ind w:left="259"/>
        <w:jc w:val="left"/>
      </w:pPr>
      <w:r>
        <w:rPr>
          <w:rFonts w:ascii="Arial" w:hAnsi="Arial"/>
          <w:color w:val="525252"/>
          <w:sz w:val="13"/>
        </w:rPr>
        <w:t>Their brutality resulted in nearly universal condemnation—even Al Qaeda repudiated them.</w:t>
      </w:r>
    </w:p>
    <w:p>
      <w:pPr>
        <w:spacing w:after="20" w:line="223" w:lineRule="auto"/>
        <w:jc w:val="right"/>
        <w:bidi/>
      </w:pPr>
      <w:r>
        <w:rPr>
          <w:rFonts w:ascii="Arial" w:hAnsi="Arial"/>
          <w:sz w:val="16"/>
        </w:rPr>
        <w:t>056.31  پرزیدنت باراک اچ. اوباما اجازه استفاده از زور را با همکاری کشورهای شریک برای انجام حملات هوایی با دقت هدفمند بر فراز عراق و سوریه و خنثی کردن برنامه مخرب آنها صادر کرد.</w:t>
      </w:r>
    </w:p>
    <w:p>
      <w:pPr>
        <w:spacing w:after="28" w:line="216" w:lineRule="auto"/>
        <w:ind w:left="259"/>
        <w:jc w:val="left"/>
      </w:pPr>
      <w:r>
        <w:rPr>
          <w:rFonts w:ascii="Arial" w:hAnsi="Arial"/>
          <w:color w:val="525252"/>
          <w:sz w:val="13"/>
        </w:rPr>
        <w:t>President Barack H. Obama authorized the use of force, in cooperation with partner nations, to conduct carefully targeted air strikes over Iraq and Syria and thwart their destructive agenda.</w:t>
      </w:r>
    </w:p>
    <w:p>
      <w:r>
        <w:br w:type="page"/>
      </w:r>
    </w:p>
    <w:p>
      <w:pPr>
        <w:spacing w:after="60"/>
        <w:jc w:val="right"/>
        <w:bidi/>
      </w:pPr>
      <w:r>
        <w:rPr>
          <w:rFonts w:ascii="Arial" w:hAnsi="Arial"/>
          <w:b/>
          <w:color w:val="1F4D78"/>
          <w:sz w:val="19"/>
        </w:rPr>
        <w:t>هفتهٔ 57  |  صفحهٔ منبع: 73</w:t>
      </w:r>
    </w:p>
    <w:p>
      <w:pPr>
        <w:spacing w:after="20" w:line="223" w:lineRule="auto"/>
        <w:jc w:val="right"/>
        <w:bidi/>
      </w:pPr>
      <w:r>
        <w:rPr>
          <w:rFonts w:ascii="Arial" w:hAnsi="Arial"/>
          <w:sz w:val="16"/>
        </w:rPr>
        <w:t>057.01  ۳.۲۳. اولین زن فرمانده شاتل فضایی، آیلین ام. کالینز.</w:t>
      </w:r>
    </w:p>
    <w:p>
      <w:pPr>
        <w:spacing w:after="28" w:line="216" w:lineRule="auto"/>
        <w:ind w:left="259"/>
        <w:jc w:val="left"/>
      </w:pPr>
      <w:r>
        <w:rPr>
          <w:rFonts w:ascii="Arial" w:hAnsi="Arial"/>
          <w:color w:val="525252"/>
          <w:sz w:val="13"/>
        </w:rPr>
        <w:t>3.23. First Female Space Shuttle Commander, Eileen M. Collins.</w:t>
      </w:r>
    </w:p>
    <w:p>
      <w:pPr>
        <w:spacing w:after="20" w:line="223" w:lineRule="auto"/>
        <w:jc w:val="right"/>
        <w:bidi/>
      </w:pPr>
      <w:r>
        <w:rPr>
          <w:rFonts w:ascii="Arial" w:hAnsi="Arial"/>
          <w:sz w:val="16"/>
        </w:rPr>
        <w:t>057.02  آیلین ام کالینز، افسر USAF و فضانورد ناسا، اولین زنی بود که مأموریت شاتل فضایی را فرماندهی کرد.</w:t>
      </w:r>
    </w:p>
    <w:p>
      <w:pPr>
        <w:spacing w:after="28" w:line="216" w:lineRule="auto"/>
        <w:ind w:left="259"/>
        <w:jc w:val="left"/>
      </w:pPr>
      <w:r>
        <w:rPr>
          <w:rFonts w:ascii="Arial" w:hAnsi="Arial"/>
          <w:color w:val="525252"/>
          <w:sz w:val="13"/>
        </w:rPr>
        <w:t>Eileen M. Collins, a USAF officer and NASA astronaut, was the first woman to command a space shuttle mission.</w:t>
      </w:r>
    </w:p>
    <w:p>
      <w:pPr>
        <w:spacing w:after="20" w:line="223" w:lineRule="auto"/>
        <w:jc w:val="right"/>
        <w:bidi/>
      </w:pPr>
      <w:r>
        <w:rPr>
          <w:rFonts w:ascii="Arial" w:hAnsi="Arial"/>
          <w:sz w:val="16"/>
        </w:rPr>
        <w:t>057.03  او در سال ۱۹۹۱ فضانورد شد، در ابتدا به تیم پشتیبانی مهندسی مدارگرد منصوب شد و در حین کار بر روی برنامه فضاپیما چندین دفتر را رهبری کرد.</w:t>
      </w:r>
    </w:p>
    <w:p>
      <w:pPr>
        <w:spacing w:after="28" w:line="216" w:lineRule="auto"/>
        <w:ind w:left="259"/>
        <w:jc w:val="left"/>
      </w:pPr>
      <w:r>
        <w:rPr>
          <w:rFonts w:ascii="Arial" w:hAnsi="Arial"/>
          <w:color w:val="525252"/>
          <w:sz w:val="13"/>
        </w:rPr>
        <w:t>She became an astronaut in 1991, was initially assigned to the orbiter engineering support team, and led several offices while working on the spacecraft program.</w:t>
      </w:r>
    </w:p>
    <w:p>
      <w:pPr>
        <w:spacing w:after="20" w:line="223" w:lineRule="auto"/>
        <w:jc w:val="right"/>
        <w:bidi/>
      </w:pPr>
      <w:r>
        <w:rPr>
          <w:rFonts w:ascii="Arial" w:hAnsi="Arial"/>
          <w:sz w:val="16"/>
        </w:rPr>
        <w:t>057.04  در ۳ تا ۱۱ فوریه ۱۹۹۵، سرهنگ کالینز با فضاپیمای دیسکاوری، اولین پرواز برنامه فضایی روسی-آمریکایی را انجام داد.</w:t>
      </w:r>
    </w:p>
    <w:p>
      <w:pPr>
        <w:spacing w:after="28" w:line="216" w:lineRule="auto"/>
        <w:ind w:left="259"/>
        <w:jc w:val="left"/>
      </w:pPr>
      <w:r>
        <w:rPr>
          <w:rFonts w:ascii="Arial" w:hAnsi="Arial"/>
          <w:color w:val="525252"/>
          <w:sz w:val="13"/>
        </w:rPr>
        <w:t>On 3- 11 February 1995, aboard the spacecraft Discovery, Colonel Collins flew the first flight of the Russian-American space program.</w:t>
      </w:r>
    </w:p>
    <w:p>
      <w:pPr>
        <w:spacing w:after="20" w:line="223" w:lineRule="auto"/>
        <w:jc w:val="right"/>
        <w:bidi/>
      </w:pPr>
      <w:r>
        <w:rPr>
          <w:rFonts w:ascii="Arial" w:hAnsi="Arial"/>
          <w:sz w:val="16"/>
        </w:rPr>
        <w:t>057.05  در ۱۵ تا ۲۴ مه ۱۹۹۷، سرهنگ کالینز با سفینه فضایی آتلانتیس در ششمین مأموریت شاتل آیلین ام. کالینز ناسا برای قرار ملاقات و پهلو گرفتن با ایستگاه فضایی روسیه، میر، پرواز کرد.</w:t>
      </w:r>
    </w:p>
    <w:p>
      <w:pPr>
        <w:spacing w:after="28" w:line="216" w:lineRule="auto"/>
        <w:ind w:left="259"/>
        <w:jc w:val="left"/>
      </w:pPr>
      <w:r>
        <w:rPr>
          <w:rFonts w:ascii="Arial" w:hAnsi="Arial"/>
          <w:color w:val="525252"/>
          <w:sz w:val="13"/>
        </w:rPr>
        <w:t>On 15-24 May 1997, aboard the spacecraft Atlantis, Colonel Collins flew on Eileen M. Collins NASAs sixth shuttle mission to rendezvous and dock with the Russian Space Station, Mir.</w:t>
      </w:r>
    </w:p>
    <w:p>
      <w:pPr>
        <w:spacing w:after="20" w:line="223" w:lineRule="auto"/>
        <w:jc w:val="right"/>
        <w:bidi/>
      </w:pPr>
      <w:r>
        <w:rPr>
          <w:rFonts w:ascii="Arial" w:hAnsi="Arial"/>
          <w:sz w:val="16"/>
        </w:rPr>
        <w:t>057.06  در ۲۲ تا ۲۷ ژوئیه ۱۹۹۹، سرهنگ کالینز در سفینه فضایی کلمبیا، اولین زنی بود که مأموریت شاتل را فرماندهی کرد.</w:t>
      </w:r>
    </w:p>
    <w:p>
      <w:pPr>
        <w:spacing w:after="28" w:line="216" w:lineRule="auto"/>
        <w:ind w:left="259"/>
        <w:jc w:val="left"/>
      </w:pPr>
      <w:r>
        <w:rPr>
          <w:rFonts w:ascii="Arial" w:hAnsi="Arial"/>
          <w:color w:val="525252"/>
          <w:sz w:val="13"/>
        </w:rPr>
        <w:t>On 22-27 July 1999, aboard the spacecraft Columbia, Colonel Collins became the first woman to command a shuttle mission.</w:t>
      </w:r>
    </w:p>
    <w:p>
      <w:pPr>
        <w:spacing w:after="20" w:line="223" w:lineRule="auto"/>
        <w:jc w:val="right"/>
        <w:bidi/>
      </w:pPr>
      <w:r>
        <w:rPr>
          <w:rFonts w:ascii="Arial" w:hAnsi="Arial"/>
          <w:sz w:val="16"/>
        </w:rPr>
        <w:t>057.07  در ۲۶ ژوئیه تا ۹ اوت ۲۰۰۵، سرهنگ کالینز در فضاپیمای دیسکاوری، یکی از خدمه‌ای بود که مأموریت بازگشت به پرواز را انجام داد که طی آن شاتل به ایستگاه فضایی بین‌المللی لنگر انداخت.</w:t>
      </w:r>
    </w:p>
    <w:p>
      <w:pPr>
        <w:spacing w:after="28" w:line="216" w:lineRule="auto"/>
        <w:ind w:left="259"/>
        <w:jc w:val="left"/>
      </w:pPr>
      <w:r>
        <w:rPr>
          <w:rFonts w:ascii="Arial" w:hAnsi="Arial"/>
          <w:color w:val="525252"/>
          <w:sz w:val="13"/>
        </w:rPr>
        <w:t>On 26 July-9 August 2005, aboard the spacecraft Discovery, Colonel Collins was a member of the crew that conducted the return- to- flight mission during which the shuttle docked with the International Space Station.</w:t>
      </w:r>
    </w:p>
    <w:p>
      <w:pPr>
        <w:spacing w:after="20" w:line="223" w:lineRule="auto"/>
        <w:jc w:val="right"/>
        <w:bidi/>
      </w:pPr>
      <w:r>
        <w:rPr>
          <w:rFonts w:ascii="Arial" w:hAnsi="Arial"/>
          <w:sz w:val="16"/>
        </w:rPr>
        <w:t>057.08  تا زمانی که در سال ۲۰۰۶ از ناسا بازنشسته شد، سرهنگ کالینز بیش از ۶۷۵۰ ساعت در ۳۰ نوع هواپیمای مختلف ثبت‌نام کرد و چهار پرواز فضایی انجام داد که بیش از ۸۷۲ ساعت در فضا بود.</w:t>
      </w:r>
    </w:p>
    <w:p>
      <w:pPr>
        <w:spacing w:after="28" w:line="216" w:lineRule="auto"/>
        <w:ind w:left="259"/>
        <w:jc w:val="left"/>
      </w:pPr>
      <w:r>
        <w:rPr>
          <w:rFonts w:ascii="Arial" w:hAnsi="Arial"/>
          <w:color w:val="525252"/>
          <w:sz w:val="13"/>
        </w:rPr>
        <w:t>By the time she retired from NASA in 2006, Colonel Collins logged more than 6,750 hours in 30 different types of aircraft and conducted four space flights, logging over 872 hours in space.</w:t>
      </w:r>
    </w:p>
    <w:p>
      <w:pPr>
        <w:spacing w:after="20" w:line="223" w:lineRule="auto"/>
        <w:jc w:val="right"/>
        <w:bidi/>
      </w:pPr>
      <w:r>
        <w:rPr>
          <w:rFonts w:ascii="Arial" w:hAnsi="Arial"/>
          <w:sz w:val="16"/>
        </w:rPr>
        <w:t>057.09  کلنل کالینز به‌عنوان یکی از ۳۰۰ زن برتر تاریخ شناخته شده است که در تغییر جهان تأثیر داشته است.</w:t>
      </w:r>
    </w:p>
    <w:p>
      <w:pPr>
        <w:spacing w:after="28" w:line="216" w:lineRule="auto"/>
        <w:ind w:left="259"/>
        <w:jc w:val="left"/>
      </w:pPr>
      <w:r>
        <w:rPr>
          <w:rFonts w:ascii="Arial" w:hAnsi="Arial"/>
          <w:color w:val="525252"/>
          <w:sz w:val="13"/>
        </w:rPr>
        <w:t>Colonel Collins has been recognized as one of the top 300 women in history who has had an impact on changing the world.</w:t>
      </w:r>
    </w:p>
    <w:p>
      <w:pPr>
        <w:spacing w:before="60" w:after="28"/>
        <w:jc w:val="right"/>
        <w:bidi/>
      </w:pPr>
      <w:r>
        <w:rPr>
          <w:b/>
          <w:color w:val="1F4D78"/>
          <w:sz w:val="18"/>
        </w:rPr>
        <w:t>3.24. USAF از اولین و تنها خلبان زن استخدام شده استقبال می کند</w:t>
      </w:r>
    </w:p>
    <w:p>
      <w:pPr>
        <w:spacing w:after="20"/>
        <w:ind w:left="259"/>
        <w:jc w:val="left"/>
      </w:pPr>
      <w:r>
        <w:rPr>
          <w:color w:val="555555"/>
          <w:sz w:val="12"/>
        </w:rPr>
        <w:t>3.24. USAF Welcomes First and Only Enlisted Female Pilot</w:t>
      </w:r>
    </w:p>
    <w:p>
      <w:pPr>
        <w:spacing w:after="20" w:line="223" w:lineRule="auto"/>
        <w:jc w:val="right"/>
        <w:bidi/>
      </w:pPr>
      <w:r>
        <w:rPr>
          <w:rFonts w:ascii="Arial" w:hAnsi="Arial"/>
          <w:sz w:val="16"/>
        </w:rPr>
        <w:t>057.11  در ۴ آگوست ۲۰۱۷، کورتنی فارلی اولین و تنها خلبان زن استخدام شد.</w:t>
      </w:r>
    </w:p>
    <w:p>
      <w:pPr>
        <w:spacing w:after="28" w:line="216" w:lineRule="auto"/>
        <w:ind w:left="259"/>
        <w:jc w:val="left"/>
      </w:pPr>
      <w:r>
        <w:rPr>
          <w:rFonts w:ascii="Arial" w:hAnsi="Arial"/>
          <w:color w:val="525252"/>
          <w:sz w:val="13"/>
        </w:rPr>
        <w:t>On 4 August 2017, Courtney Farley became the first and only enlisted female pilot.</w:t>
      </w:r>
    </w:p>
    <w:p>
      <w:pPr>
        <w:spacing w:after="20" w:line="223" w:lineRule="auto"/>
        <w:jc w:val="right"/>
        <w:bidi/>
      </w:pPr>
      <w:r>
        <w:rPr>
          <w:rFonts w:ascii="Arial" w:hAnsi="Arial"/>
          <w:sz w:val="16"/>
        </w:rPr>
        <w:t>057.12  او یکی از ۱۲ فردی است که از زمان جنگ جهانی دوم به بعد وارد آموزش خلبانی شده است.</w:t>
      </w:r>
    </w:p>
    <w:p>
      <w:pPr>
        <w:spacing w:after="28" w:line="216" w:lineRule="auto"/>
        <w:ind w:left="259"/>
        <w:jc w:val="left"/>
      </w:pPr>
      <w:r>
        <w:rPr>
          <w:rFonts w:ascii="Arial" w:hAnsi="Arial"/>
          <w:color w:val="525252"/>
          <w:sz w:val="13"/>
        </w:rPr>
        <w:t>She is one of 12 hand-picked individuals to enter pilot training since World War II.</w:t>
      </w:r>
    </w:p>
    <w:p>
      <w:pPr>
        <w:spacing w:after="20" w:line="223" w:lineRule="auto"/>
        <w:jc w:val="right"/>
        <w:bidi/>
      </w:pPr>
      <w:r>
        <w:rPr>
          <w:rFonts w:ascii="Arial" w:hAnsi="Arial"/>
          <w:sz w:val="16"/>
        </w:rPr>
        <w:t>057.13  فارلی از آن زمان تاکنون RQ-۴ گلوبال هاوک را راه‌اندازی کرده و در حال حاضر خلبان آن است.</w:t>
      </w:r>
    </w:p>
    <w:p>
      <w:pPr>
        <w:spacing w:after="28" w:line="216" w:lineRule="auto"/>
        <w:ind w:left="259"/>
        <w:jc w:val="left"/>
      </w:pPr>
      <w:r>
        <w:rPr>
          <w:rFonts w:ascii="Arial" w:hAnsi="Arial"/>
          <w:color w:val="525252"/>
          <w:sz w:val="13"/>
        </w:rPr>
        <w:t>Farley has since commissioned and currently pilots the RQ-4 Global Hawk.</w:t>
      </w:r>
    </w:p>
    <w:p>
      <w:pPr>
        <w:spacing w:after="20" w:line="223" w:lineRule="auto"/>
        <w:jc w:val="right"/>
        <w:bidi/>
      </w:pPr>
      <w:r>
        <w:rPr>
          <w:rFonts w:ascii="Arial" w:hAnsi="Arial"/>
          <w:sz w:val="16"/>
        </w:rPr>
        <w:t>057.14  کورتنی فارلی</w:t>
      </w:r>
    </w:p>
    <w:p>
      <w:pPr>
        <w:spacing w:after="28" w:line="216" w:lineRule="auto"/>
        <w:ind w:left="259"/>
        <w:jc w:val="left"/>
      </w:pPr>
      <w:r>
        <w:rPr>
          <w:rFonts w:ascii="Arial" w:hAnsi="Arial"/>
          <w:color w:val="525252"/>
          <w:sz w:val="13"/>
        </w:rPr>
        <w:t>Courtney Farley</w:t>
      </w:r>
    </w:p>
    <w:p>
      <w:pPr>
        <w:spacing w:before="60" w:after="28"/>
        <w:jc w:val="right"/>
        <w:bidi/>
      </w:pPr>
      <w:r>
        <w:rPr>
          <w:b/>
          <w:color w:val="1F4D78"/>
          <w:sz w:val="18"/>
        </w:rPr>
        <w:t>3.25. حذف شد.</w:t>
      </w:r>
    </w:p>
    <w:p>
      <w:pPr>
        <w:spacing w:after="20"/>
        <w:ind w:left="259"/>
        <w:jc w:val="left"/>
      </w:pPr>
      <w:r>
        <w:rPr>
          <w:color w:val="555555"/>
          <w:sz w:val="12"/>
        </w:rPr>
        <w:t>3.25. DELETED.</w:t>
      </w:r>
    </w:p>
    <w:p>
      <w:r>
        <w:br w:type="page"/>
      </w:r>
    </w:p>
    <w:p>
      <w:pPr>
        <w:spacing w:after="60"/>
        <w:jc w:val="right"/>
        <w:bidi/>
      </w:pPr>
      <w:r>
        <w:rPr>
          <w:rFonts w:ascii="Arial" w:hAnsi="Arial"/>
          <w:b/>
          <w:color w:val="1F4D78"/>
          <w:sz w:val="19"/>
        </w:rPr>
        <w:t>هفتهٔ 58  |  صفحهٔ منبع: 74</w:t>
      </w:r>
    </w:p>
    <w:p>
      <w:pPr>
        <w:spacing w:before="60" w:after="28"/>
        <w:jc w:val="right"/>
        <w:bidi/>
      </w:pPr>
      <w:r>
        <w:rPr>
          <w:b/>
          <w:color w:val="1F4D78"/>
          <w:sz w:val="18"/>
        </w:rPr>
        <w:t>فصل 4</w:t>
      </w:r>
    </w:p>
    <w:p>
      <w:pPr>
        <w:spacing w:after="20"/>
        <w:ind w:left="259"/>
        <w:jc w:val="left"/>
      </w:pPr>
      <w:r>
        <w:rPr>
          <w:color w:val="555555"/>
          <w:sz w:val="12"/>
        </w:rPr>
        <w:t>Chapter 4</w:t>
      </w:r>
    </w:p>
    <w:p>
      <w:pPr>
        <w:spacing w:before="60" w:after="28"/>
        <w:jc w:val="right"/>
        <w:bidi/>
      </w:pPr>
      <w:r>
        <w:rPr>
          <w:b/>
          <w:color w:val="1F4D78"/>
          <w:sz w:val="18"/>
        </w:rPr>
        <w:t>هوا و نیروی سایبری</w:t>
      </w:r>
    </w:p>
    <w:p>
      <w:pPr>
        <w:spacing w:after="20"/>
        <w:ind w:left="259"/>
        <w:jc w:val="left"/>
      </w:pPr>
      <w:r>
        <w:rPr>
          <w:color w:val="555555"/>
          <w:sz w:val="12"/>
        </w:rPr>
        <w:t>AIR AND CYBERPOWER</w:t>
      </w:r>
    </w:p>
    <w:p>
      <w:pPr>
        <w:spacing w:before="60" w:after="28"/>
        <w:jc w:val="right"/>
        <w:bidi/>
      </w:pPr>
      <w:r>
        <w:rPr>
          <w:b/>
          <w:color w:val="1F4D78"/>
          <w:sz w:val="18"/>
        </w:rPr>
        <w:t>بخش 4A - شناسایی با نیروی هوایی</w:t>
      </w:r>
    </w:p>
    <w:p>
      <w:pPr>
        <w:spacing w:after="20"/>
        <w:ind w:left="259"/>
        <w:jc w:val="left"/>
      </w:pPr>
      <w:r>
        <w:rPr>
          <w:color w:val="555555"/>
          <w:sz w:val="12"/>
        </w:rPr>
        <w:t>Section 4A—Identifying with Airpower</w:t>
      </w:r>
    </w:p>
    <w:p>
      <w:pPr>
        <w:spacing w:before="60" w:after="28"/>
        <w:jc w:val="right"/>
        <w:bidi/>
      </w:pPr>
      <w:r>
        <w:rPr>
          <w:b/>
          <w:color w:val="1F4D78"/>
          <w:sz w:val="18"/>
        </w:rPr>
        <w:t>4.1. حوزه های نیروی هوایی</w:t>
      </w:r>
    </w:p>
    <w:p>
      <w:pPr>
        <w:spacing w:after="20"/>
        <w:ind w:left="259"/>
        <w:jc w:val="left"/>
      </w:pPr>
      <w:r>
        <w:rPr>
          <w:color w:val="555555"/>
          <w:sz w:val="12"/>
        </w:rPr>
        <w:t>4.1. Domains of Airpower</w:t>
      </w:r>
    </w:p>
    <w:p>
      <w:pPr>
        <w:spacing w:after="20" w:line="223" w:lineRule="auto"/>
        <w:jc w:val="right"/>
        <w:bidi/>
      </w:pPr>
      <w:r>
        <w:rPr>
          <w:rFonts w:ascii="Arial" w:hAnsi="Arial"/>
          <w:sz w:val="16"/>
        </w:rPr>
        <w:t>058.05  نیروی هوایی را می‌توان از داخل و همچنین در سراسر حوزه‌های هوا و فضای مجازی اعمال کرد.</w:t>
      </w:r>
    </w:p>
    <w:p>
      <w:pPr>
        <w:spacing w:after="28" w:line="216" w:lineRule="auto"/>
        <w:ind w:left="259"/>
        <w:jc w:val="left"/>
      </w:pPr>
      <w:r>
        <w:rPr>
          <w:rFonts w:ascii="Arial" w:hAnsi="Arial"/>
          <w:color w:val="525252"/>
          <w:sz w:val="13"/>
        </w:rPr>
        <w:t>Airpower can be applied from within, as well as across the domains of air and cyberspace.</w:t>
      </w:r>
    </w:p>
    <w:p>
      <w:pPr>
        <w:spacing w:after="20" w:line="223" w:lineRule="auto"/>
        <w:jc w:val="right"/>
        <w:bidi/>
      </w:pPr>
      <w:r>
        <w:rPr>
          <w:rFonts w:ascii="Arial" w:hAnsi="Arial"/>
          <w:sz w:val="16"/>
        </w:rPr>
        <w:t>058.06  از منظر عملیاتی، حوزه هوایی را می‌توان به‌عنوان منطقه‌ای در بالای سطح زمین توصیف کرد که در آن آیرودینامیک به‌طور کلی بر برنامه‌ریزی و اجرای عملیات نظامی حاکم است.</w:t>
      </w:r>
    </w:p>
    <w:p>
      <w:pPr>
        <w:spacing w:after="28" w:line="216" w:lineRule="auto"/>
        <w:ind w:left="259"/>
        <w:jc w:val="left"/>
      </w:pPr>
      <w:r>
        <w:rPr>
          <w:rFonts w:ascii="Arial" w:hAnsi="Arial"/>
          <w:color w:val="525252"/>
          <w:sz w:val="13"/>
        </w:rPr>
        <w:t>From an operational perspective, the air domain can be described as that region above the earth’s surface in which aerodynamics generally govern the planning and conduct of military operations.</w:t>
      </w:r>
    </w:p>
    <w:p>
      <w:pPr>
        <w:spacing w:after="20" w:line="223" w:lineRule="auto"/>
        <w:jc w:val="right"/>
        <w:bidi/>
      </w:pPr>
      <w:r>
        <w:rPr>
          <w:rFonts w:ascii="Arial" w:hAnsi="Arial"/>
          <w:sz w:val="16"/>
        </w:rPr>
        <w:t>058.07  حوزه فضایی را می‌توان به‌عنوان منطقه‌ای در بالای سطح زمین توصیف کرد که در آن اختر دینامیکی به‌طور کلی بر برنامه‌ریزی و اجرای عملیات نظامی حاکم است.</w:t>
      </w:r>
    </w:p>
    <w:p>
      <w:pPr>
        <w:spacing w:after="28" w:line="216" w:lineRule="auto"/>
        <w:ind w:left="259"/>
        <w:jc w:val="left"/>
      </w:pPr>
      <w:r>
        <w:rPr>
          <w:rFonts w:ascii="Arial" w:hAnsi="Arial"/>
          <w:color w:val="525252"/>
          <w:sz w:val="13"/>
        </w:rPr>
        <w:t>The space domain can be described as that region above the earth’s surface in which astrodynamics generally govern the planning and conduct of military operations.</w:t>
      </w:r>
    </w:p>
    <w:p>
      <w:pPr>
        <w:spacing w:after="20" w:line="223" w:lineRule="auto"/>
        <w:jc w:val="right"/>
        <w:bidi/>
      </w:pPr>
      <w:r>
        <w:rPr>
          <w:rFonts w:ascii="Arial" w:hAnsi="Arial"/>
          <w:sz w:val="16"/>
        </w:rPr>
        <w:t>058.08  حوزه فضای سایبری یک دامنه جهانی در محیط اطلاعاتی است که از شبکه وابسته به هم زیرساخت‌های فناوری اطلاعات شامل اینترنت، شبکه‌های مخابراتی، سیستم‌های کامپیوتری و پردازنده‌ها و کنترل‌کننده‌های تعبیه‌شده تشکیل شده است.</w:t>
      </w:r>
    </w:p>
    <w:p>
      <w:pPr>
        <w:spacing w:after="28" w:line="216" w:lineRule="auto"/>
        <w:ind w:left="259"/>
        <w:jc w:val="left"/>
      </w:pPr>
      <w:r>
        <w:rPr>
          <w:rFonts w:ascii="Arial" w:hAnsi="Arial"/>
          <w:color w:val="525252"/>
          <w:sz w:val="13"/>
        </w:rPr>
        <w:t>The cyberspace domain is a global domain within the information environment consisting of the interdependent network of information technology infrastructures, including the internet, telecommunications networks, computer systems, and embedded processors and controllers.</w:t>
      </w:r>
    </w:p>
    <w:p>
      <w:pPr>
        <w:spacing w:before="60" w:after="28"/>
        <w:jc w:val="right"/>
        <w:bidi/>
      </w:pPr>
      <w:r>
        <w:rPr>
          <w:b/>
          <w:color w:val="1F4D78"/>
          <w:sz w:val="18"/>
        </w:rPr>
        <w:t>4.2. نیروی هوایی تعریف شده است</w:t>
      </w:r>
    </w:p>
    <w:p>
      <w:pPr>
        <w:spacing w:after="20"/>
        <w:ind w:left="259"/>
        <w:jc w:val="left"/>
      </w:pPr>
      <w:r>
        <w:rPr>
          <w:color w:val="555555"/>
          <w:sz w:val="12"/>
        </w:rPr>
        <w:t>4.2. Airpower Defined</w:t>
      </w:r>
    </w:p>
    <w:p>
      <w:pPr>
        <w:spacing w:after="20" w:line="223" w:lineRule="auto"/>
        <w:jc w:val="right"/>
        <w:bidi/>
      </w:pPr>
      <w:r>
        <w:rPr>
          <w:rFonts w:ascii="Arial" w:hAnsi="Arial"/>
          <w:sz w:val="16"/>
        </w:rPr>
        <w:t>058.10  در ۷۶ سال گذشته، USAF به‌عنوان عضوی از بهترین تیم جنگی مشترک روی کره زمین، موانع را می‌شکند و هوشیاری جهانی، دسترسی جهانی و قدرت جهانی را برای آمریکا فراهم می‌کند.</w:t>
      </w:r>
    </w:p>
    <w:p>
      <w:pPr>
        <w:spacing w:after="28" w:line="216" w:lineRule="auto"/>
        <w:ind w:left="259"/>
        <w:jc w:val="left"/>
      </w:pPr>
      <w:r>
        <w:rPr>
          <w:rFonts w:ascii="Arial" w:hAnsi="Arial"/>
          <w:color w:val="525252"/>
          <w:sz w:val="13"/>
        </w:rPr>
        <w:t>For the past 76 years, the USAF has been breaking barriers as a member of the finest joint warfighting team on the planet, providing Global Vigilance, Global Reach, and Global Power for America.</w:t>
      </w:r>
    </w:p>
    <w:p>
      <w:pPr>
        <w:spacing w:after="20" w:line="223" w:lineRule="auto"/>
        <w:jc w:val="right"/>
        <w:bidi/>
      </w:pPr>
      <w:r>
        <w:rPr>
          <w:rFonts w:ascii="Arial" w:hAnsi="Arial"/>
          <w:sz w:val="16"/>
        </w:rPr>
        <w:t>058.11  از نظر هوشیاری جهانی، نیروهای هوایی یک شبکه اطلاعاتی جهانی و فرماندهی و کنترل بلادرنگ ایجاد کرده‌اند که می‌تواند کوچک‌ترین اهداف را پیدا، تعمیر و به پایان برساند.</w:t>
      </w:r>
    </w:p>
    <w:p>
      <w:pPr>
        <w:spacing w:after="28" w:line="216" w:lineRule="auto"/>
        <w:ind w:left="259"/>
        <w:jc w:val="left"/>
      </w:pPr>
      <w:r>
        <w:rPr>
          <w:rFonts w:ascii="Arial" w:hAnsi="Arial"/>
          <w:color w:val="525252"/>
          <w:sz w:val="13"/>
        </w:rPr>
        <w:t>In terms of Global Vigilance, Airmen have built a real-time global intelligence and command and control network that can find, fix, and finish the smallest of targets.</w:t>
      </w:r>
    </w:p>
    <w:p>
      <w:pPr>
        <w:spacing w:after="20" w:line="223" w:lineRule="auto"/>
        <w:jc w:val="right"/>
        <w:bidi/>
      </w:pPr>
      <w:r>
        <w:rPr>
          <w:rFonts w:ascii="Arial" w:hAnsi="Arial"/>
          <w:sz w:val="16"/>
        </w:rPr>
        <w:t>058.12  هوانوردان چندین صورت فلکی ماهواره‌ای را اداره می‌کنند که از اطمینان از آگاهی موقعیت تا هشدار هسته‌ای را شامل می‌شود.</w:t>
      </w:r>
    </w:p>
    <w:p>
      <w:pPr>
        <w:spacing w:after="28" w:line="216" w:lineRule="auto"/>
        <w:ind w:left="259"/>
        <w:jc w:val="left"/>
      </w:pPr>
      <w:r>
        <w:rPr>
          <w:rFonts w:ascii="Arial" w:hAnsi="Arial"/>
          <w:color w:val="525252"/>
          <w:sz w:val="13"/>
        </w:rPr>
        <w:t>Airmen operate multiple satellite constellations that range from ensuring situational awareness to nuclear warning.</w:t>
      </w:r>
    </w:p>
    <w:p>
      <w:pPr>
        <w:spacing w:after="20" w:line="223" w:lineRule="auto"/>
        <w:jc w:val="right"/>
        <w:bidi/>
      </w:pPr>
      <w:r>
        <w:rPr>
          <w:rFonts w:ascii="Arial" w:hAnsi="Arial"/>
          <w:sz w:val="16"/>
        </w:rPr>
        <w:t>058.13  اپراتورهای سایبری شبکه‌های حیاتی و سیستم‌های مأموریت ما را می‌سازند، ایمن می‌کنند، کار می‌کنند و از آن دفاع می‌کنند و آماده انجام اقدامات تهاجمی در، از و از طریق فضای سایبری هستند.</w:t>
      </w:r>
    </w:p>
    <w:p>
      <w:pPr>
        <w:spacing w:after="28" w:line="216" w:lineRule="auto"/>
        <w:ind w:left="259"/>
        <w:jc w:val="left"/>
      </w:pPr>
      <w:r>
        <w:rPr>
          <w:rFonts w:ascii="Arial" w:hAnsi="Arial"/>
          <w:color w:val="525252"/>
          <w:sz w:val="13"/>
        </w:rPr>
        <w:t>Cyber operators build, secure, operate, and defend our critical networks and mission systems, and are ready to take offensive actions in, from, and through cyberspace.</w:t>
      </w:r>
    </w:p>
    <w:p>
      <w:pPr>
        <w:spacing w:after="20" w:line="223" w:lineRule="auto"/>
        <w:jc w:val="right"/>
        <w:bidi/>
      </w:pPr>
      <w:r>
        <w:rPr>
          <w:rFonts w:ascii="Arial" w:hAnsi="Arial"/>
          <w:sz w:val="16"/>
        </w:rPr>
        <w:t>058.14  از نظر دسترسی جهانی، USAF به سرعت جهان را برای پاسخگویی به بحران‌ها و تحویل تدارکات و پرسنل حیاتی به هر نقطه از کره زمین می‌چرخاند.</w:t>
      </w:r>
    </w:p>
    <w:p>
      <w:pPr>
        <w:spacing w:after="28" w:line="216" w:lineRule="auto"/>
        <w:ind w:left="259"/>
        <w:jc w:val="left"/>
      </w:pPr>
      <w:r>
        <w:rPr>
          <w:rFonts w:ascii="Arial" w:hAnsi="Arial"/>
          <w:color w:val="525252"/>
          <w:sz w:val="13"/>
        </w:rPr>
        <w:t>In terms of Global Reach, the USAF ranges the globe rapidly to respond to crises and deliver critical supplies and personnel to any location on the planet.</w:t>
      </w:r>
    </w:p>
    <w:p>
      <w:pPr>
        <w:spacing w:after="20" w:line="223" w:lineRule="auto"/>
        <w:jc w:val="right"/>
        <w:bidi/>
      </w:pPr>
      <w:r>
        <w:rPr>
          <w:rFonts w:ascii="Arial" w:hAnsi="Arial"/>
          <w:sz w:val="16"/>
        </w:rPr>
        <w:t>058.15  موبیلیتی نیروهای هوایی در ۲۳ کشور در ۷۷ مکان، سیستم جهانی فرودگاه‌ها را اداره می‌کنند و امکان دسترسی متحدان و شرکای مشترک را فراهم می‌کنند.</w:t>
      </w:r>
    </w:p>
    <w:p>
      <w:pPr>
        <w:spacing w:after="28" w:line="216" w:lineRule="auto"/>
        <w:ind w:left="259"/>
        <w:jc w:val="left"/>
      </w:pPr>
      <w:r>
        <w:rPr>
          <w:rFonts w:ascii="Arial" w:hAnsi="Arial"/>
          <w:color w:val="525252"/>
          <w:sz w:val="13"/>
        </w:rPr>
        <w:t>Mobility Airmen are in 23 countries at 77 locations operating a global system of airfields and enabling access for allies and joint partners.</w:t>
      </w:r>
    </w:p>
    <w:p>
      <w:pPr>
        <w:spacing w:after="20" w:line="223" w:lineRule="auto"/>
        <w:jc w:val="right"/>
        <w:bidi/>
      </w:pPr>
      <w:r>
        <w:rPr>
          <w:rFonts w:ascii="Arial" w:hAnsi="Arial"/>
          <w:sz w:val="16"/>
        </w:rPr>
        <w:t>058.16  تعاملات مداوم توسط نیروهای عملیات ویژه بسیار ماهر ما، روابط حیاتی و دسترسی جهانی ایمن را در زمان و مکان انتخابی ما افزایش می‌دهد.</w:t>
      </w:r>
    </w:p>
    <w:p>
      <w:pPr>
        <w:spacing w:after="28" w:line="216" w:lineRule="auto"/>
        <w:ind w:left="259"/>
        <w:jc w:val="left"/>
      </w:pPr>
      <w:r>
        <w:rPr>
          <w:rFonts w:ascii="Arial" w:hAnsi="Arial"/>
          <w:color w:val="525252"/>
          <w:sz w:val="13"/>
        </w:rPr>
        <w:t>Persistent engagements by our highly skilled special operations forces enhance critical relationships and secure global access at a time and place of our choosing.</w:t>
      </w:r>
    </w:p>
    <w:p>
      <w:pPr>
        <w:spacing w:after="20" w:line="223" w:lineRule="auto"/>
        <w:jc w:val="right"/>
        <w:bidi/>
      </w:pPr>
      <w:r>
        <w:rPr>
          <w:rFonts w:ascii="Arial" w:hAnsi="Arial"/>
          <w:sz w:val="16"/>
        </w:rPr>
        <w:t>058.17  از نظر قدرت جهانی، USAF می‌تواند با جنگنده‌های آمریکایی، بمب افکن‌ها، هواپیماهای هدایت شونده از راه دور و موشک‌های بالستیک قاره پیما به دشمن در هر نقطه از جهان در کوتاه مدت حمله کند.</w:t>
      </w:r>
    </w:p>
    <w:p>
      <w:pPr>
        <w:spacing w:after="28" w:line="216" w:lineRule="auto"/>
        <w:ind w:left="259"/>
        <w:jc w:val="left"/>
      </w:pPr>
      <w:r>
        <w:rPr>
          <w:rFonts w:ascii="Arial" w:hAnsi="Arial"/>
          <w:color w:val="525252"/>
          <w:sz w:val="13"/>
        </w:rPr>
        <w:t>In terms of Global Power, the USAF can strike an enemy on short notice anywhere in the world with American fighters, bombers, remotely piloted aircraft, and intercontinental ballistic missiles.</w:t>
      </w:r>
    </w:p>
    <w:p>
      <w:pPr>
        <w:spacing w:after="20" w:line="223" w:lineRule="auto"/>
        <w:jc w:val="right"/>
        <w:bidi/>
      </w:pPr>
      <w:r>
        <w:rPr>
          <w:rFonts w:ascii="Arial" w:hAnsi="Arial"/>
          <w:sz w:val="16"/>
        </w:rPr>
        <w:t>058.18  اپراتورهای ویژه USAF مأموریت‌های ضد تروریسم را روزانه انجام می‌دهند، در حالی که نیروهای هسته‌ای ما پشتیبان نهایی برای جلوگیری از حملات به میهن و متحدان و شرکای ما هستند که به بازدارندگی گسترده ایالات متحده متکی هستند.</w:t>
      </w:r>
    </w:p>
    <w:p>
      <w:pPr>
        <w:spacing w:after="28" w:line="216" w:lineRule="auto"/>
        <w:ind w:left="259"/>
        <w:jc w:val="left"/>
      </w:pPr>
      <w:r>
        <w:rPr>
          <w:rFonts w:ascii="Arial" w:hAnsi="Arial"/>
          <w:color w:val="525252"/>
          <w:sz w:val="13"/>
        </w:rPr>
        <w:t>USAF special operators conduct counter-terrorism missions daily, while our nuclear forces are the ultimate backstop to deter attacks on the homeland and our Allies and partners who rely on U.S. extended deterrence.</w:t>
      </w:r>
    </w:p>
    <w:p>
      <w:pPr>
        <w:spacing w:after="20" w:line="223" w:lineRule="auto"/>
        <w:jc w:val="right"/>
        <w:bidi/>
      </w:pPr>
      <w:r>
        <w:rPr>
          <w:rFonts w:ascii="Arial" w:hAnsi="Arial"/>
          <w:sz w:val="16"/>
        </w:rPr>
        <w:t>058.19  به‌عنوان هوانورد، ما باید اطمینان حاصل کنیم که مأموریت ما در همه سطوح درک شده است و به دلیل قابلیت‌هایی که نیروی هوایی برای مبارزه به ارمغان می‌آورد، قدردانی می‌کنیم.</w:t>
      </w:r>
    </w:p>
    <w:p>
      <w:pPr>
        <w:spacing w:after="28" w:line="216" w:lineRule="auto"/>
        <w:ind w:left="259"/>
        <w:jc w:val="left"/>
      </w:pPr>
      <w:r>
        <w:rPr>
          <w:rFonts w:ascii="Arial" w:hAnsi="Arial"/>
          <w:color w:val="525252"/>
          <w:sz w:val="13"/>
        </w:rPr>
        <w:t>As Airmen, we must ensure our mission is understood at all levels and appreciated for the capabilities airpower brings to the fight.</w:t>
      </w:r>
    </w:p>
    <w:p>
      <w:pPr>
        <w:spacing w:after="20" w:line="223" w:lineRule="auto"/>
        <w:jc w:val="right"/>
        <w:bidi/>
      </w:pPr>
      <w:r>
        <w:rPr>
          <w:rFonts w:ascii="Arial" w:hAnsi="Arial"/>
          <w:sz w:val="16"/>
        </w:rPr>
        <w:t>058.20  نیروی هوایی توانایی ارائه قدرت یا نفوذ نظامی از طریق کنترل و بهره‌برداری از هوا و فضای سایبری برای دستیابی به اهداف استراتژیک، عملیاتی و تاکتیکی است.</w:t>
      </w:r>
    </w:p>
    <w:p>
      <w:pPr>
        <w:spacing w:after="28" w:line="216" w:lineRule="auto"/>
        <w:ind w:left="259"/>
        <w:jc w:val="left"/>
      </w:pPr>
      <w:r>
        <w:rPr>
          <w:rFonts w:ascii="Arial" w:hAnsi="Arial"/>
          <w:color w:val="525252"/>
          <w:sz w:val="13"/>
        </w:rPr>
        <w:t>Airpower is the ability to project military power or influence through the control and exploitation of air and cyberspace to achieve strategic, operational, and tactical objectives.</w:t>
      </w:r>
    </w:p>
    <w:p>
      <w:pPr>
        <w:spacing w:after="20" w:line="223" w:lineRule="auto"/>
        <w:jc w:val="right"/>
        <w:bidi/>
      </w:pPr>
      <w:r>
        <w:rPr>
          <w:rFonts w:ascii="Arial" w:hAnsi="Arial"/>
          <w:sz w:val="16"/>
        </w:rPr>
        <w:t>058.21  به‌عنوان جامع‌ترین تأمین‌کننده نیروی هوایی نظامی در کشور، USAF عملیات هوایی و فضای سایبری مداوم و همزمان را در سطوح استراتژیک، عملیاتی و تاکتیکی جنگ انجام می‌دهد.</w:t>
      </w:r>
    </w:p>
    <w:p>
      <w:pPr>
        <w:spacing w:after="28" w:line="216" w:lineRule="auto"/>
        <w:ind w:left="259"/>
        <w:jc w:val="left"/>
      </w:pPr>
      <w:r>
        <w:rPr>
          <w:rFonts w:ascii="Arial" w:hAnsi="Arial"/>
          <w:color w:val="525252"/>
          <w:sz w:val="13"/>
        </w:rPr>
        <w:t>As the nation’s most comprehensive provider of military airpower, the USAF conducts continuous and concurrent air and cyberspace operations across the strategic, operational, and tactical levels of war.</w:t>
      </w:r>
    </w:p>
    <w:p>
      <w:pPr>
        <w:spacing w:after="20" w:line="223" w:lineRule="auto"/>
        <w:jc w:val="right"/>
        <w:bidi/>
      </w:pPr>
      <w:r>
        <w:rPr>
          <w:rFonts w:ascii="Arial" w:hAnsi="Arial"/>
          <w:sz w:val="16"/>
        </w:rPr>
        <w:t>058.22  نیروی هوایی ابزار همه کاره و گسترده برای دستیابی به اهداف ملی با توانایی بازدارندگی و واکنش فوری به بحران‌ها در هر نقطه از جهان را فراهم می‌کند، در حالی که با قدرت زمینی و دریایی در حین عملیات علیه نیروهای دشمن، و هنگام حفاظت و کمک به نیروهای دوست، همسو می‌شود.</w:t>
      </w:r>
    </w:p>
    <w:p>
      <w:pPr>
        <w:spacing w:after="28" w:line="216" w:lineRule="auto"/>
        <w:ind w:left="259"/>
        <w:jc w:val="left"/>
      </w:pPr>
      <w:r>
        <w:rPr>
          <w:rFonts w:ascii="Arial" w:hAnsi="Arial"/>
          <w:color w:val="525252"/>
          <w:sz w:val="13"/>
        </w:rPr>
        <w:t>Airpower provides the versatile, wide-ranging means towards achieving national objectives with the ability to deter and respond immediately to crises anywhere in the world, while aligned with land and maritime power during operations against enemy forces, and when protecting and aiding friendly forces.</w:t>
      </w:r>
    </w:p>
    <w:p>
      <w:pPr>
        <w:spacing w:before="60" w:after="28"/>
        <w:jc w:val="right"/>
        <w:bidi/>
      </w:pPr>
      <w:r>
        <w:rPr>
          <w:b/>
          <w:color w:val="1F4D78"/>
          <w:sz w:val="18"/>
        </w:rPr>
        <w:t>4.3. قدرت سایبری تعریف شده است</w:t>
      </w:r>
    </w:p>
    <w:p>
      <w:pPr>
        <w:spacing w:after="20"/>
        <w:ind w:left="259"/>
        <w:jc w:val="left"/>
      </w:pPr>
      <w:r>
        <w:rPr>
          <w:color w:val="555555"/>
          <w:sz w:val="12"/>
        </w:rPr>
        <w:t>4.3. Cyberpower Defined</w:t>
      </w:r>
    </w:p>
    <w:p>
      <w:pPr>
        <w:spacing w:after="20" w:line="223" w:lineRule="auto"/>
        <w:jc w:val="right"/>
        <w:bidi/>
      </w:pPr>
      <w:r>
        <w:rPr>
          <w:rFonts w:ascii="Arial" w:hAnsi="Arial"/>
          <w:sz w:val="16"/>
        </w:rPr>
        <w:t>058.24  فضای مجازی یک دامنه جهانی در محیط اطلاعات (IE) است که از شبکه‌های وابسته به هم زیرساخت‌های فناوری اطلاعات و داده‌های ساکن، از جمله اینترنت، شبکه‌های مخابراتی، سیستم‌های کامپیوتری، و پردازنده‌های تعبیه‌شده تشکیل شده است.</w:t>
      </w:r>
    </w:p>
    <w:p>
      <w:pPr>
        <w:spacing w:after="28" w:line="216" w:lineRule="auto"/>
        <w:ind w:left="259"/>
        <w:jc w:val="left"/>
      </w:pPr>
      <w:r>
        <w:rPr>
          <w:rFonts w:ascii="Arial" w:hAnsi="Arial"/>
          <w:color w:val="525252"/>
          <w:sz w:val="13"/>
        </w:rPr>
        <w:t>Cyberspace is a global domain within the information environment (IE) consisting of the interdependent networks of information technology infrastructures and resident data, including the internet, telecommunications networks, computer systems, and embedded processors and</w:t>
      </w:r>
    </w:p>
    <w:p>
      <w:r>
        <w:br w:type="page"/>
      </w:r>
    </w:p>
    <w:p>
      <w:pPr>
        <w:spacing w:after="60"/>
        <w:jc w:val="right"/>
        <w:bidi/>
      </w:pPr>
      <w:r>
        <w:rPr>
          <w:rFonts w:ascii="Arial" w:hAnsi="Arial"/>
          <w:b/>
          <w:color w:val="1F4D78"/>
          <w:sz w:val="19"/>
        </w:rPr>
        <w:t>هفتهٔ 59  |  صفحهٔ منبع: 75</w:t>
      </w:r>
    </w:p>
    <w:p>
      <w:pPr>
        <w:spacing w:after="20" w:line="223" w:lineRule="auto"/>
        <w:jc w:val="right"/>
        <w:bidi/>
      </w:pPr>
      <w:r>
        <w:rPr>
          <w:rFonts w:ascii="Arial" w:hAnsi="Arial"/>
          <w:sz w:val="16"/>
        </w:rPr>
        <w:t>059.01  کنترل کننده‌ها</w:t>
      </w:r>
    </w:p>
    <w:p>
      <w:pPr>
        <w:spacing w:after="28" w:line="216" w:lineRule="auto"/>
        <w:ind w:left="259"/>
        <w:jc w:val="left"/>
      </w:pPr>
      <w:r>
        <w:rPr>
          <w:rFonts w:ascii="Arial" w:hAnsi="Arial"/>
          <w:color w:val="525252"/>
          <w:sz w:val="13"/>
        </w:rPr>
        <w:t>controllers.</w:t>
      </w:r>
    </w:p>
    <w:p>
      <w:pPr>
        <w:spacing w:after="20" w:line="223" w:lineRule="auto"/>
        <w:jc w:val="right"/>
        <w:bidi/>
      </w:pPr>
      <w:r>
        <w:rPr>
          <w:rFonts w:ascii="Arial" w:hAnsi="Arial"/>
          <w:sz w:val="16"/>
        </w:rPr>
        <w:t>059.02  این تعریف از فضای سایبری از انتشارات مشترک (JP) ۳-۱۲، عملیات فضای مجازی، و AFDP ۳-۱۲، عملیات فضای مجازی آمده است.</w:t>
      </w:r>
    </w:p>
    <w:p>
      <w:pPr>
        <w:spacing w:after="28" w:line="216" w:lineRule="auto"/>
        <w:ind w:left="259"/>
        <w:jc w:val="left"/>
      </w:pPr>
      <w:r>
        <w:rPr>
          <w:rFonts w:ascii="Arial" w:hAnsi="Arial"/>
          <w:color w:val="525252"/>
          <w:sz w:val="13"/>
        </w:rPr>
        <w:t>This definition of cyberspace comes from Joint Publication (JP) 3-12, Cyberspace Operations, and AFDP 3-12, Cyberspace Operations.</w:t>
      </w:r>
    </w:p>
    <w:p>
      <w:pPr>
        <w:spacing w:after="20" w:line="223" w:lineRule="auto"/>
        <w:jc w:val="right"/>
        <w:bidi/>
      </w:pPr>
      <w:r>
        <w:rPr>
          <w:rFonts w:ascii="Arial" w:hAnsi="Arial"/>
          <w:sz w:val="16"/>
        </w:rPr>
        <w:t>059.03  همانطور که در JP ۳-۱۲ توضیح داده شد، عملیات فضای سایبری به‌کارگیری قابلیت‌های فضای سایبری است که هدف اصلی دستیابی به هدف در فضای سایبر یا از طریق آن است.</w:t>
      </w:r>
    </w:p>
    <w:p>
      <w:pPr>
        <w:spacing w:after="28" w:line="216" w:lineRule="auto"/>
        <w:ind w:left="259"/>
        <w:jc w:val="left"/>
      </w:pPr>
      <w:r>
        <w:rPr>
          <w:rFonts w:ascii="Arial" w:hAnsi="Arial"/>
          <w:color w:val="525252"/>
          <w:sz w:val="13"/>
        </w:rPr>
        <w:t>As further described by JP 3-12, cyberspace operations are the employment of cyberspace capabilities where the primary purpose to achieve objective in or through cyberspace.</w:t>
      </w:r>
    </w:p>
    <w:p>
      <w:pPr>
        <w:spacing w:after="20" w:line="223" w:lineRule="auto"/>
        <w:jc w:val="right"/>
        <w:bidi/>
      </w:pPr>
      <w:r>
        <w:rPr>
          <w:rFonts w:ascii="Arial" w:hAnsi="Arial"/>
          <w:sz w:val="16"/>
        </w:rPr>
        <w:t>059.04  سه مولفه برای فضای مجازی.</w:t>
      </w:r>
    </w:p>
    <w:p>
      <w:pPr>
        <w:spacing w:after="28" w:line="216" w:lineRule="auto"/>
        <w:ind w:left="259"/>
        <w:jc w:val="left"/>
      </w:pPr>
      <w:r>
        <w:rPr>
          <w:rFonts w:ascii="Arial" w:hAnsi="Arial"/>
          <w:color w:val="525252"/>
          <w:sz w:val="13"/>
        </w:rPr>
        <w:t>Three Components to Cyberspace.</w:t>
      </w:r>
    </w:p>
    <w:p>
      <w:pPr>
        <w:spacing w:after="20" w:line="223" w:lineRule="auto"/>
        <w:jc w:val="right"/>
        <w:bidi/>
      </w:pPr>
      <w:r>
        <w:rPr>
          <w:rFonts w:ascii="Arial" w:hAnsi="Arial"/>
          <w:sz w:val="16"/>
        </w:rPr>
        <w:t>059.05  الکترونیک و طیف الکترومغناطیسی به دوگانگی تابش موج-ذره اشاره دارد که وقتی با اطلاعات مدوله می‌شود، یک سیگنال ایجاد می‌کند.</w:t>
      </w:r>
    </w:p>
    <w:p>
      <w:pPr>
        <w:spacing w:after="28" w:line="216" w:lineRule="auto"/>
        <w:ind w:left="259"/>
        <w:jc w:val="left"/>
      </w:pPr>
      <w:r>
        <w:rPr>
          <w:rFonts w:ascii="Arial" w:hAnsi="Arial"/>
          <w:color w:val="525252"/>
          <w:sz w:val="13"/>
        </w:rPr>
        <w:t>Electronics and the electromagnetic spectrum refer to the wave-particle duality of radiation that, when modulated with information, creates a signal.</w:t>
      </w:r>
    </w:p>
    <w:p>
      <w:pPr>
        <w:spacing w:after="20" w:line="223" w:lineRule="auto"/>
        <w:jc w:val="right"/>
        <w:bidi/>
      </w:pPr>
      <w:r>
        <w:rPr>
          <w:rFonts w:ascii="Arial" w:hAnsi="Arial"/>
          <w:sz w:val="16"/>
        </w:rPr>
        <w:t>059.06  داده‌ها و سیستم‌های شبکه‌ای به اطلاعات دیجیتال و برنامه‌های کاربردی و کامپیوترها و شبکه هایی که در آنها وجود دارند، اشاره دارد.</w:t>
      </w:r>
    </w:p>
    <w:p>
      <w:pPr>
        <w:spacing w:after="28" w:line="216" w:lineRule="auto"/>
        <w:ind w:left="259"/>
        <w:jc w:val="left"/>
      </w:pPr>
      <w:r>
        <w:rPr>
          <w:rFonts w:ascii="Arial" w:hAnsi="Arial"/>
          <w:color w:val="525252"/>
          <w:sz w:val="13"/>
        </w:rPr>
        <w:t>Data and networked systems refer to digital information and application programs and the computers and networks on which they exist.</w:t>
      </w:r>
    </w:p>
    <w:p>
      <w:pPr>
        <w:spacing w:after="20" w:line="223" w:lineRule="auto"/>
        <w:jc w:val="right"/>
        <w:bidi/>
      </w:pPr>
      <w:r>
        <w:rPr>
          <w:rFonts w:ascii="Arial" w:hAnsi="Arial"/>
          <w:sz w:val="16"/>
        </w:rPr>
        <w:t>059.07  سه جزء در فضای سایبری به‌عنوان زیر شناخته می‌شوند: (۱) «اثرگذارها» که طیف گسترده‌ای از تهدیدات سیگنال‌های آنالوگ و دیجیتال را در بر می‌گیرند. (۲) «رسانه‌ای» که تأثیرگذاران را قادر می‌سازد تا به اهداف، با سیم و بی‌سیم، سخت‌افزار و نرم‌افزار دسترسی پیدا کنند. و (۳) "هدف‌ها" شامل سلاح‌ها و سیستم هایی است که از رایانه‌ها یا شبکه‌ها استفاده می‌کنند.</w:t>
      </w:r>
    </w:p>
    <w:p>
      <w:pPr>
        <w:spacing w:after="28" w:line="216" w:lineRule="auto"/>
        <w:ind w:left="259"/>
        <w:jc w:val="left"/>
      </w:pPr>
      <w:r>
        <w:rPr>
          <w:rFonts w:ascii="Arial" w:hAnsi="Arial"/>
          <w:color w:val="525252"/>
          <w:sz w:val="13"/>
        </w:rPr>
        <w:t>Three components to cyberspace are recognized as: (1) the “effectors” that encompass a broad range of signal-borne threats, analog and digital; (2) the “medium” that enables effectors to access the targets, wired and wireless, hardware and software; and (3) the “targets” to include weapons and systems that use computers or networks.</w:t>
      </w:r>
    </w:p>
    <w:p>
      <w:pPr>
        <w:spacing w:after="20" w:line="223" w:lineRule="auto"/>
        <w:jc w:val="right"/>
        <w:bidi/>
      </w:pPr>
      <w:r>
        <w:rPr>
          <w:rFonts w:ascii="Arial" w:hAnsi="Arial"/>
          <w:sz w:val="16"/>
        </w:rPr>
        <w:t>059.08  پیش‌بینی و اجتناب از تهدیدات، نیاز به مبارزه با آن‌ها را از بین می‌برد و هزینه‌های همزمان داده‌ها و یکپارچگی سیستم را کاهش می‌دهد و پیشگیری را به اولین خط دفاعی مؤثر در برابر تهدیدات سایبری تبدیل می‌کند.</w:t>
      </w:r>
    </w:p>
    <w:p>
      <w:pPr>
        <w:spacing w:after="28" w:line="216" w:lineRule="auto"/>
        <w:ind w:left="259"/>
        <w:jc w:val="left"/>
      </w:pPr>
      <w:r>
        <w:rPr>
          <w:rFonts w:ascii="Arial" w:hAnsi="Arial"/>
          <w:color w:val="525252"/>
          <w:sz w:val="13"/>
        </w:rPr>
        <w:t>Anticipating and avoiding threats eliminates the need to fight them and saves the concurrent cost to data and system integrity, making prevention an effective first line of defense against cyber threats.</w:t>
      </w:r>
    </w:p>
    <w:p>
      <w:pPr>
        <w:spacing w:after="20" w:line="223" w:lineRule="auto"/>
        <w:jc w:val="right"/>
        <w:bidi/>
      </w:pPr>
      <w:r>
        <w:rPr>
          <w:rFonts w:ascii="Arial" w:hAnsi="Arial"/>
          <w:sz w:val="16"/>
        </w:rPr>
        <w:t>059.09  پیش‌بینی یک تهدید سایبری شامل راه‌اندازی سیستم‌های هشدار زودهنگام در افق است که فعالیت‌های غیرعادی را تشخیص می‌دهد، آنالیز سریع اثر انگشت پزشکی قانونی آن برای پیش‌بینی رفتار آینده، و برقراری ارتباط از طریق گزینه‌های قابل بازگشت برای جلوگیری از تهدید.</w:t>
      </w:r>
    </w:p>
    <w:p>
      <w:pPr>
        <w:spacing w:after="28" w:line="216" w:lineRule="auto"/>
        <w:ind w:left="259"/>
        <w:jc w:val="left"/>
      </w:pPr>
      <w:r>
        <w:rPr>
          <w:rFonts w:ascii="Arial" w:hAnsi="Arial"/>
          <w:color w:val="525252"/>
          <w:sz w:val="13"/>
        </w:rPr>
        <w:t>Anticipating a cyber threat includes setting up over-the-horizon early warning systems that detect anomalous activity, analyzing rapidly its forensic fingerprint to predict future behavior, and communicating through viable reach-back options to avoid the threat.</w:t>
      </w:r>
    </w:p>
    <w:p>
      <w:pPr>
        <w:spacing w:after="20" w:line="223" w:lineRule="auto"/>
        <w:jc w:val="right"/>
        <w:bidi/>
      </w:pPr>
      <w:r>
        <w:rPr>
          <w:rFonts w:ascii="Arial" w:hAnsi="Arial"/>
          <w:sz w:val="16"/>
        </w:rPr>
        <w:t>059.10  چهار اصل اصلی قدرت سایبری تهاجمی.</w:t>
      </w:r>
    </w:p>
    <w:p>
      <w:pPr>
        <w:spacing w:after="28" w:line="216" w:lineRule="auto"/>
        <w:ind w:left="259"/>
        <w:jc w:val="left"/>
      </w:pPr>
      <w:r>
        <w:rPr>
          <w:rFonts w:ascii="Arial" w:hAnsi="Arial"/>
          <w:color w:val="525252"/>
          <w:sz w:val="13"/>
        </w:rPr>
        <w:t>Four Axioms of Offensive Cyberpower.</w:t>
      </w:r>
    </w:p>
    <w:p>
      <w:pPr>
        <w:spacing w:after="20" w:line="223" w:lineRule="auto"/>
        <w:jc w:val="right"/>
        <w:bidi/>
      </w:pPr>
      <w:r>
        <w:rPr>
          <w:rFonts w:ascii="Arial" w:hAnsi="Arial"/>
          <w:sz w:val="16"/>
        </w:rPr>
        <w:t>059.11  چهار اصل قدرت سایبری تهاجمی عبارتند از: عملکرد نادرست جهت دهی، دسترسی مخفیانه، بهره‌برداری از آسیب پذیری‌ها و شناخت برتر انسانی.</w:t>
      </w:r>
    </w:p>
    <w:p>
      <w:pPr>
        <w:spacing w:after="28" w:line="216" w:lineRule="auto"/>
        <w:ind w:left="259"/>
        <w:jc w:val="left"/>
      </w:pPr>
      <w:r>
        <w:rPr>
          <w:rFonts w:ascii="Arial" w:hAnsi="Arial"/>
          <w:color w:val="525252"/>
          <w:sz w:val="13"/>
        </w:rPr>
        <w:t>The four axioms of offensive cyberpower are: misdirecting functionality, stealth access, exploiting vulnerabilities, and superior human cognition.</w:t>
      </w:r>
    </w:p>
    <w:p>
      <w:pPr>
        <w:spacing w:after="20" w:line="223" w:lineRule="auto"/>
        <w:jc w:val="right"/>
        <w:bidi/>
      </w:pPr>
      <w:r>
        <w:rPr>
          <w:rFonts w:ascii="Arial" w:hAnsi="Arial"/>
          <w:sz w:val="16"/>
        </w:rPr>
        <w:t>059.12  از دیدگاه جنگ، اینترنت به‌طور سنتی دفاع را بر حمله ترجیح داده است.</w:t>
      </w:r>
    </w:p>
    <w:p>
      <w:pPr>
        <w:spacing w:after="28" w:line="216" w:lineRule="auto"/>
        <w:ind w:left="259"/>
        <w:jc w:val="left"/>
      </w:pPr>
      <w:r>
        <w:rPr>
          <w:rFonts w:ascii="Arial" w:hAnsi="Arial"/>
          <w:color w:val="525252"/>
          <w:sz w:val="13"/>
        </w:rPr>
        <w:t>From a war-fighting perspective, the internet has traditionally favored the defense over the offense.</w:t>
      </w:r>
    </w:p>
    <w:p>
      <w:pPr>
        <w:spacing w:after="20" w:line="223" w:lineRule="auto"/>
        <w:jc w:val="right"/>
        <w:bidi/>
      </w:pPr>
      <w:r>
        <w:rPr>
          <w:rFonts w:ascii="Arial" w:hAnsi="Arial"/>
          <w:sz w:val="16"/>
        </w:rPr>
        <w:t>059.13  این مزیت ذاتی برای مهاجم ناشی از طراحی پروتکل‌های اینترنتی برای تحمل شکست به جای انعطاف پذیری در برابر حمله است.</w:t>
      </w:r>
    </w:p>
    <w:p>
      <w:pPr>
        <w:spacing w:after="28" w:line="216" w:lineRule="auto"/>
        <w:ind w:left="259"/>
        <w:jc w:val="left"/>
      </w:pPr>
      <w:r>
        <w:rPr>
          <w:rFonts w:ascii="Arial" w:hAnsi="Arial"/>
          <w:color w:val="525252"/>
          <w:sz w:val="13"/>
        </w:rPr>
        <w:t>This inherent advantage to the attacker resulted from the design of the internet protocols for tolerance to failure rather than resilience to attack.</w:t>
      </w:r>
    </w:p>
    <w:p>
      <w:pPr>
        <w:spacing w:after="20" w:line="223" w:lineRule="auto"/>
        <w:jc w:val="right"/>
        <w:bidi/>
      </w:pPr>
      <w:r>
        <w:rPr>
          <w:rFonts w:ascii="Arial" w:hAnsi="Arial"/>
          <w:sz w:val="16"/>
        </w:rPr>
        <w:t>059.14  اصلاح دامنه سایبری ممکن است روشی مؤثر برای اجتناب از حمله باشد.</w:t>
      </w:r>
    </w:p>
    <w:p>
      <w:pPr>
        <w:spacing w:after="28" w:line="216" w:lineRule="auto"/>
        <w:ind w:left="259"/>
        <w:jc w:val="left"/>
      </w:pPr>
      <w:r>
        <w:rPr>
          <w:rFonts w:ascii="Arial" w:hAnsi="Arial"/>
          <w:color w:val="525252"/>
          <w:sz w:val="13"/>
        </w:rPr>
        <w:t>Modifying the cyber domain may provide an effective method for attack avoidance.</w:t>
      </w:r>
    </w:p>
    <w:p>
      <w:pPr>
        <w:spacing w:after="20" w:line="223" w:lineRule="auto"/>
        <w:jc w:val="right"/>
        <w:bidi/>
      </w:pPr>
      <w:r>
        <w:rPr>
          <w:rFonts w:ascii="Arial" w:hAnsi="Arial"/>
          <w:sz w:val="16"/>
        </w:rPr>
        <w:t>059.15  همانطور که یک گروه جنگی حامل به جای اینکه در یک مکان ثابت بنشیند در اقیانوس‌ها حرکت می‌کند، شبکه یا سیستم نیز می‌تواند برای فریب و اجتناب از حمله در فضای آدرس IP حرکت کند.</w:t>
      </w:r>
    </w:p>
    <w:p>
      <w:pPr>
        <w:spacing w:after="28" w:line="216" w:lineRule="auto"/>
        <w:ind w:left="259"/>
        <w:jc w:val="left"/>
      </w:pPr>
      <w:r>
        <w:rPr>
          <w:rFonts w:ascii="Arial" w:hAnsi="Arial"/>
          <w:color w:val="525252"/>
          <w:sz w:val="13"/>
        </w:rPr>
        <w:t>Just as a carrier battle group sails the oceans rather than sitting still in one location, so can a network or system move around the IP address space for deception and attack avoidance.</w:t>
      </w:r>
    </w:p>
    <w:p>
      <w:pPr>
        <w:spacing w:after="20" w:line="223" w:lineRule="auto"/>
        <w:jc w:val="right"/>
        <w:bidi/>
      </w:pPr>
      <w:r>
        <w:rPr>
          <w:rFonts w:ascii="Arial" w:hAnsi="Arial"/>
          <w:sz w:val="16"/>
        </w:rPr>
        <w:t>059.16  اصول فن‌آوری‌های حفاظتی ضد دستکاری به دنبال کاهش آسیب‌پذیری با کاهش دامنه حفاظت و تمرکز بر اجزای حیاتی در یک سیستم هستند و دسترسی به آن‌ها را سخت‌تر می‌کنند.</w:t>
      </w:r>
    </w:p>
    <w:p>
      <w:pPr>
        <w:spacing w:after="28" w:line="216" w:lineRule="auto"/>
        <w:ind w:left="259"/>
        <w:jc w:val="left"/>
      </w:pPr>
      <w:r>
        <w:rPr>
          <w:rFonts w:ascii="Arial" w:hAnsi="Arial"/>
          <w:color w:val="525252"/>
          <w:sz w:val="13"/>
        </w:rPr>
        <w:t>The tenets of anti-tamper protection technologies seek to reduce vulnerability by reducing the scope of protection and focusing on critical components in a system, making them harder to access.</w:t>
      </w:r>
    </w:p>
    <w:p>
      <w:pPr>
        <w:spacing w:after="20" w:line="223" w:lineRule="auto"/>
        <w:jc w:val="right"/>
        <w:bidi/>
      </w:pPr>
      <w:r>
        <w:rPr>
          <w:rFonts w:ascii="Arial" w:hAnsi="Arial"/>
          <w:sz w:val="16"/>
        </w:rPr>
        <w:t>059.17  این رویکرد به مدافعان اجازه می‌دهد جریمه‌های بالایی را برای مهاجم اعمال کنند و از تهدید جلوگیری کنند.</w:t>
      </w:r>
    </w:p>
    <w:p>
      <w:pPr>
        <w:spacing w:after="28" w:line="216" w:lineRule="auto"/>
        <w:ind w:left="259"/>
        <w:jc w:val="left"/>
      </w:pPr>
      <w:r>
        <w:rPr>
          <w:rFonts w:ascii="Arial" w:hAnsi="Arial"/>
          <w:color w:val="525252"/>
          <w:sz w:val="13"/>
        </w:rPr>
        <w:t>This approach allows the defenders to impose high penalties on the attacker and deter the threat.</w:t>
      </w:r>
    </w:p>
    <w:p>
      <w:pPr>
        <w:spacing w:after="20" w:line="223" w:lineRule="auto"/>
        <w:jc w:val="right"/>
        <w:bidi/>
      </w:pPr>
      <w:r>
        <w:rPr>
          <w:rFonts w:ascii="Arial" w:hAnsi="Arial"/>
          <w:sz w:val="16"/>
        </w:rPr>
        <w:t>059.18  بنابراین، قدرت سایبری تهاجمی بهره‌برداری از آسیب‌پذیری تصور نشده است، جایی که ناامنی سایبری ناشناخته در برابر امنیت سایبری شناخته شده در یک سیستم پیچیده و تعاملی از رایانه‌ها، شبکه‌ها و انسان‌ها پیروز می‌شود.</w:t>
      </w:r>
    </w:p>
    <w:p>
      <w:pPr>
        <w:spacing w:after="28" w:line="216" w:lineRule="auto"/>
        <w:ind w:left="259"/>
        <w:jc w:val="left"/>
      </w:pPr>
      <w:r>
        <w:rPr>
          <w:rFonts w:ascii="Arial" w:hAnsi="Arial"/>
          <w:color w:val="525252"/>
          <w:sz w:val="13"/>
        </w:rPr>
        <w:t>Hence, offensive cyberpower is the exploitation of the unconceived vulnerability, where unknown cyber insecurity wins against known cybersecurity in a complex, interactive system of computers, networks, and humans.</w:t>
      </w:r>
    </w:p>
    <w:p>
      <w:r>
        <w:br w:type="page"/>
      </w:r>
    </w:p>
    <w:p>
      <w:pPr>
        <w:spacing w:after="60"/>
        <w:jc w:val="right"/>
        <w:bidi/>
      </w:pPr>
      <w:r>
        <w:rPr>
          <w:rFonts w:ascii="Arial" w:hAnsi="Arial"/>
          <w:b/>
          <w:color w:val="1F4D78"/>
          <w:sz w:val="19"/>
        </w:rPr>
        <w:t>هفتهٔ 60  |  صفحهٔ منبع: 76</w:t>
      </w:r>
    </w:p>
    <w:p>
      <w:pPr>
        <w:spacing w:before="60" w:after="28"/>
        <w:jc w:val="right"/>
        <w:bidi/>
      </w:pPr>
      <w:r>
        <w:rPr>
          <w:b/>
          <w:color w:val="1F4D78"/>
          <w:sz w:val="18"/>
        </w:rPr>
        <w:t>بخش 4B-سیستم های هواپیما</w:t>
      </w:r>
    </w:p>
    <w:p>
      <w:pPr>
        <w:spacing w:after="20"/>
        <w:ind w:left="259"/>
        <w:jc w:val="left"/>
      </w:pPr>
      <w:r>
        <w:rPr>
          <w:color w:val="555555"/>
          <w:sz w:val="12"/>
        </w:rPr>
        <w:t>Section 4B—Aircraft Systems</w:t>
      </w:r>
    </w:p>
    <w:p>
      <w:pPr>
        <w:spacing w:before="60" w:after="28"/>
        <w:jc w:val="right"/>
        <w:bidi/>
      </w:pPr>
      <w:r>
        <w:rPr>
          <w:b/>
          <w:color w:val="1F4D78"/>
          <w:sz w:val="18"/>
        </w:rPr>
        <w:t>4.4. شناسایی هواپیما</w:t>
      </w:r>
    </w:p>
    <w:p>
      <w:pPr>
        <w:spacing w:after="20"/>
        <w:ind w:left="259"/>
        <w:jc w:val="left"/>
      </w:pPr>
      <w:r>
        <w:rPr>
          <w:color w:val="555555"/>
          <w:sz w:val="12"/>
        </w:rPr>
        <w:t>4.4. Identifying Aircraft</w:t>
      </w:r>
    </w:p>
    <w:p>
      <w:pPr>
        <w:spacing w:after="20" w:line="223" w:lineRule="auto"/>
        <w:jc w:val="right"/>
        <w:bidi/>
      </w:pPr>
      <w:r>
        <w:rPr>
          <w:rFonts w:ascii="Arial" w:hAnsi="Arial"/>
          <w:sz w:val="16"/>
        </w:rPr>
        <w:t>060.03  در طول تاریخ نظامی، جنگجویان رنگ‌های یگان خود را وارد نبرد کرده‌اند، آنها را بالا برده‌اند تا بر دشمنان خود تأثیر بگذارند و به اعضای یگان احساس تعلق و غرور می‌دهند.</w:t>
      </w:r>
    </w:p>
    <w:p>
      <w:pPr>
        <w:spacing w:after="28" w:line="216" w:lineRule="auto"/>
        <w:ind w:left="259"/>
        <w:jc w:val="left"/>
      </w:pPr>
      <w:r>
        <w:rPr>
          <w:rFonts w:ascii="Arial" w:hAnsi="Arial"/>
          <w:color w:val="525252"/>
          <w:sz w:val="13"/>
        </w:rPr>
        <w:t>Throughout military history, warriors have carried their unit colors into battle, raising them high to make an impression on their enemies and giving unit members a sense of belonging and pride.</w:t>
      </w:r>
    </w:p>
    <w:p>
      <w:pPr>
        <w:spacing w:after="20" w:line="223" w:lineRule="auto"/>
        <w:jc w:val="right"/>
        <w:bidi/>
      </w:pPr>
      <w:r>
        <w:rPr>
          <w:rFonts w:ascii="Arial" w:hAnsi="Arial"/>
          <w:sz w:val="16"/>
        </w:rPr>
        <w:t>060.04  این سنت تا به امروز به شکل فلاش باله هواپیما یا فلاش دم ادامه دارد.</w:t>
      </w:r>
    </w:p>
    <w:p>
      <w:pPr>
        <w:spacing w:after="28" w:line="216" w:lineRule="auto"/>
        <w:ind w:left="259"/>
        <w:jc w:val="left"/>
      </w:pPr>
      <w:r>
        <w:rPr>
          <w:rFonts w:ascii="Arial" w:hAnsi="Arial"/>
          <w:color w:val="525252"/>
          <w:sz w:val="13"/>
        </w:rPr>
        <w:t>That tradition carries on to this day in the form of aircraft fin flashes or tail flashes.</w:t>
      </w:r>
    </w:p>
    <w:p>
      <w:pPr>
        <w:spacing w:after="20" w:line="223" w:lineRule="auto"/>
        <w:jc w:val="right"/>
        <w:bidi/>
      </w:pPr>
      <w:r>
        <w:rPr>
          <w:rFonts w:ascii="Arial" w:hAnsi="Arial"/>
          <w:sz w:val="16"/>
        </w:rPr>
        <w:t>060.05  اطلاعات مربوط به فلاش‌های دم استاندارد پایه و واحد شکل ۴.۱ را مشخص می‌کند.</w:t>
      </w:r>
    </w:p>
    <w:p>
      <w:pPr>
        <w:spacing w:after="28" w:line="216" w:lineRule="auto"/>
        <w:ind w:left="259"/>
        <w:jc w:val="left"/>
      </w:pPr>
      <w:r>
        <w:rPr>
          <w:rFonts w:ascii="Arial" w:hAnsi="Arial"/>
          <w:color w:val="525252"/>
          <w:sz w:val="13"/>
        </w:rPr>
        <w:t>Information on standard tail flashes designates the base and unit the Figure 4.1.</w:t>
      </w:r>
    </w:p>
    <w:p>
      <w:pPr>
        <w:spacing w:after="20" w:line="223" w:lineRule="auto"/>
        <w:jc w:val="right"/>
        <w:bidi/>
      </w:pPr>
      <w:r>
        <w:rPr>
          <w:rFonts w:ascii="Arial" w:hAnsi="Arial"/>
          <w:sz w:val="16"/>
        </w:rPr>
        <w:t>060.06  هواپیمای تایل فلاشس از است و همچنین شماره دم هواپیما.</w:t>
      </w:r>
    </w:p>
    <w:p>
      <w:pPr>
        <w:spacing w:after="28" w:line="216" w:lineRule="auto"/>
        <w:ind w:left="259"/>
        <w:jc w:val="left"/>
      </w:pPr>
      <w:r>
        <w:rPr>
          <w:rFonts w:ascii="Arial" w:hAnsi="Arial"/>
          <w:color w:val="525252"/>
          <w:sz w:val="13"/>
        </w:rPr>
        <w:t>Tail Flashes aircraft is from, as well as the tail number of the aircraft.</w:t>
      </w:r>
    </w:p>
    <w:p>
      <w:pPr>
        <w:spacing w:after="20" w:line="223" w:lineRule="auto"/>
        <w:jc w:val="right"/>
        <w:bidi/>
      </w:pPr>
      <w:r>
        <w:rPr>
          <w:rFonts w:ascii="Arial" w:hAnsi="Arial"/>
          <w:sz w:val="16"/>
        </w:rPr>
        <w:t>060.07  به‌طور سنتی، یگان‌ها یک هواپیما را به‌عنوان پرچمدار واحد انتخاب می‌کردند که دارای فلاش باله‌ای خاص بود که نشان‌دهنده اسکادران یا بال خاص بود و هواپیمای تعیین‌شده برای فرمانده واحد بود.</w:t>
      </w:r>
    </w:p>
    <w:p>
      <w:pPr>
        <w:spacing w:after="28" w:line="216" w:lineRule="auto"/>
        <w:ind w:left="259"/>
        <w:jc w:val="left"/>
      </w:pPr>
      <w:r>
        <w:rPr>
          <w:rFonts w:ascii="Arial" w:hAnsi="Arial"/>
          <w:color w:val="525252"/>
          <w:sz w:val="13"/>
        </w:rPr>
        <w:t>Traditionally, units would select a single aircraft to be the unit flagship with a special fin flash that represented the specific squadron or wing and was the assigned airplane for the unit commander.</w:t>
      </w:r>
    </w:p>
    <w:p>
      <w:pPr>
        <w:spacing w:after="20" w:line="223" w:lineRule="auto"/>
        <w:jc w:val="right"/>
        <w:bidi/>
      </w:pPr>
      <w:r>
        <w:rPr>
          <w:rFonts w:ascii="Arial" w:hAnsi="Arial"/>
          <w:sz w:val="16"/>
        </w:rPr>
        <w:t>060.08  پرچمدار هواپیمایی بود که عموما برای عکس‌ها، نمایش‌های هوایی و سایر نمایش‌های عمومی استفاده می‌شد.</w:t>
      </w:r>
    </w:p>
    <w:p>
      <w:pPr>
        <w:spacing w:after="28" w:line="216" w:lineRule="auto"/>
        <w:ind w:left="259"/>
        <w:jc w:val="left"/>
      </w:pPr>
      <w:r>
        <w:rPr>
          <w:rFonts w:ascii="Arial" w:hAnsi="Arial"/>
          <w:color w:val="525252"/>
          <w:sz w:val="13"/>
        </w:rPr>
        <w:t>The flagship was the airplane generally used for photos, air shows, and other public displays.</w:t>
      </w:r>
    </w:p>
    <w:p>
      <w:pPr>
        <w:spacing w:after="20" w:line="223" w:lineRule="auto"/>
        <w:jc w:val="right"/>
        <w:bidi/>
      </w:pPr>
      <w:r>
        <w:rPr>
          <w:rFonts w:ascii="Arial" w:hAnsi="Arial"/>
          <w:sz w:val="16"/>
        </w:rPr>
        <w:t>060.09  امروزه، در حالی که طرح‌های فلاش دم، همانطور که در شکل ۴.۱ نشان داده شده است، می‌توانند شامل رنگ باشند، فلاش‌های دنباله اغلب در سایه‌های مختلف خاکستری برای حفظ ظاهر استتار انجام می‌شوند.</w:t>
      </w:r>
    </w:p>
    <w:p>
      <w:pPr>
        <w:spacing w:after="28" w:line="216" w:lineRule="auto"/>
        <w:ind w:left="259"/>
        <w:jc w:val="left"/>
      </w:pPr>
      <w:r>
        <w:rPr>
          <w:rFonts w:ascii="Arial" w:hAnsi="Arial"/>
          <w:color w:val="525252"/>
          <w:sz w:val="13"/>
        </w:rPr>
        <w:t>Today, while tail flash designs, as shown in Figure 4.1., can include color, tail flashes are often done in various shades of gray to maintain a camouflage appearance.</w:t>
      </w:r>
    </w:p>
    <w:p>
      <w:pPr>
        <w:spacing w:after="20" w:line="223" w:lineRule="auto"/>
        <w:jc w:val="right"/>
        <w:bidi/>
      </w:pPr>
      <w:r>
        <w:rPr>
          <w:rFonts w:ascii="Arial" w:hAnsi="Arial"/>
          <w:sz w:val="16"/>
        </w:rPr>
        <w:t>060.10  علامت گذاری دم هواپیما.</w:t>
      </w:r>
    </w:p>
    <w:p>
      <w:pPr>
        <w:spacing w:after="28" w:line="216" w:lineRule="auto"/>
        <w:ind w:left="259"/>
        <w:jc w:val="left"/>
      </w:pPr>
      <w:r>
        <w:rPr>
          <w:rFonts w:ascii="Arial" w:hAnsi="Arial"/>
          <w:color w:val="525252"/>
          <w:sz w:val="13"/>
        </w:rPr>
        <w:t>Aircraft Tail Markings.</w:t>
      </w:r>
    </w:p>
    <w:p>
      <w:pPr>
        <w:spacing w:after="20" w:line="223" w:lineRule="auto"/>
        <w:jc w:val="right"/>
        <w:bidi/>
      </w:pPr>
      <w:r>
        <w:rPr>
          <w:rFonts w:ascii="Arial" w:hAnsi="Arial"/>
          <w:sz w:val="16"/>
        </w:rPr>
        <w:t>060.11  در حالی که مشابه است، هر شاخه از ارتش هواپیماهای منحصر به فردی در موجودی خود دارد و ممکن است کد آنها کمی متفاوت باشد.</w:t>
      </w:r>
    </w:p>
    <w:p>
      <w:pPr>
        <w:spacing w:after="28" w:line="216" w:lineRule="auto"/>
        <w:ind w:left="259"/>
        <w:jc w:val="left"/>
      </w:pPr>
      <w:r>
        <w:rPr>
          <w:rFonts w:ascii="Arial" w:hAnsi="Arial"/>
          <w:color w:val="525252"/>
          <w:sz w:val="13"/>
        </w:rPr>
        <w:t>While similar, each branch of the military has unique aircraft in their inventory and their codes may vary slightly.</w:t>
      </w:r>
    </w:p>
    <w:p>
      <w:pPr>
        <w:spacing w:after="20" w:line="223" w:lineRule="auto"/>
        <w:jc w:val="right"/>
        <w:bidi/>
      </w:pPr>
      <w:r>
        <w:rPr>
          <w:rFonts w:ascii="Arial" w:hAnsi="Arial"/>
          <w:sz w:val="16"/>
        </w:rPr>
        <w:t>060.12  راندل.</w:t>
      </w:r>
    </w:p>
    <w:p>
      <w:pPr>
        <w:spacing w:after="28" w:line="216" w:lineRule="auto"/>
        <w:ind w:left="259"/>
        <w:jc w:val="left"/>
      </w:pPr>
      <w:r>
        <w:rPr>
          <w:rFonts w:ascii="Arial" w:hAnsi="Arial"/>
          <w:color w:val="525252"/>
          <w:sz w:val="13"/>
        </w:rPr>
        <w:t>Roundel.</w:t>
      </w:r>
    </w:p>
    <w:p>
      <w:pPr>
        <w:spacing w:after="20" w:line="223" w:lineRule="auto"/>
        <w:jc w:val="right"/>
        <w:bidi/>
      </w:pPr>
      <w:r>
        <w:rPr>
          <w:rFonts w:ascii="Arial" w:hAnsi="Arial"/>
          <w:sz w:val="16"/>
        </w:rPr>
        <w:t>060.13  گردل یک دیسک مدور است که اغلب به‌عنوان نماد ملی یا تاریخی استفاده می‌شود.</w:t>
      </w:r>
    </w:p>
    <w:p>
      <w:pPr>
        <w:spacing w:after="28" w:line="216" w:lineRule="auto"/>
        <w:ind w:left="259"/>
        <w:jc w:val="left"/>
      </w:pPr>
      <w:r>
        <w:rPr>
          <w:rFonts w:ascii="Arial" w:hAnsi="Arial"/>
          <w:color w:val="525252"/>
          <w:sz w:val="13"/>
        </w:rPr>
        <w:t>A roundel is a circular disc often used as a national or historic symbol.</w:t>
      </w:r>
    </w:p>
    <w:p>
      <w:pPr>
        <w:spacing w:after="20" w:line="223" w:lineRule="auto"/>
        <w:jc w:val="right"/>
        <w:bidi/>
      </w:pPr>
      <w:r>
        <w:rPr>
          <w:rFonts w:ascii="Arial" w:hAnsi="Arial"/>
          <w:sz w:val="16"/>
        </w:rPr>
        <w:t>060.14  یکی از مکان‌هایی که گرد در آن بیشتر دیده می‌شود، هواپیماهای نظامی یا زیرساخت‌ها است.</w:t>
      </w:r>
    </w:p>
    <w:p>
      <w:pPr>
        <w:spacing w:after="28" w:line="216" w:lineRule="auto"/>
        <w:ind w:left="259"/>
        <w:jc w:val="left"/>
      </w:pPr>
      <w:r>
        <w:rPr>
          <w:rFonts w:ascii="Arial" w:hAnsi="Arial"/>
          <w:color w:val="525252"/>
          <w:sz w:val="13"/>
        </w:rPr>
        <w:t>One place that roundels are most commonly seen on are on military aircraft or infrastructure.</w:t>
      </w:r>
    </w:p>
    <w:p>
      <w:pPr>
        <w:spacing w:after="20" w:line="223" w:lineRule="auto"/>
        <w:jc w:val="right"/>
        <w:bidi/>
      </w:pPr>
      <w:r>
        <w:rPr>
          <w:rFonts w:ascii="Arial" w:hAnsi="Arial"/>
          <w:sz w:val="16"/>
        </w:rPr>
        <w:t>060.15  سرویس هوایی فرانسه منشا استفاده از گلوله در هواپیماهای نظامی در طول جنگ جهانی اول شد که اغلب از رنگ‌های قرمز، سفید و آبی به‌عنوان نماینده پرچم ملی خود استفاده می‌کردند.</w:t>
      </w:r>
    </w:p>
    <w:p>
      <w:pPr>
        <w:spacing w:after="28" w:line="216" w:lineRule="auto"/>
        <w:ind w:left="259"/>
        <w:jc w:val="left"/>
      </w:pPr>
      <w:r>
        <w:rPr>
          <w:rFonts w:ascii="Arial" w:hAnsi="Arial"/>
          <w:color w:val="525252"/>
          <w:sz w:val="13"/>
        </w:rPr>
        <w:t>The French Air Service originated the use of roundels on military aircraft during World War I, most often using colors of red, white, and blue as representative of their national flag.</w:t>
      </w:r>
    </w:p>
    <w:p>
      <w:pPr>
        <w:spacing w:before="60" w:after="28"/>
        <w:jc w:val="right"/>
        <w:bidi/>
      </w:pPr>
      <w:r>
        <w:rPr>
          <w:b/>
          <w:color w:val="1F4D78"/>
          <w:sz w:val="18"/>
        </w:rPr>
        <w:t>ضمیمه 2، The Roundel، تکامل رول را در طول استفاده از آن در USAF نشان می دهد.</w:t>
      </w:r>
    </w:p>
    <w:p>
      <w:pPr>
        <w:spacing w:after="20"/>
        <w:ind w:left="259"/>
        <w:jc w:val="left"/>
      </w:pPr>
      <w:r>
        <w:rPr>
          <w:color w:val="555555"/>
          <w:sz w:val="12"/>
        </w:rPr>
        <w:t>Attachment 2, The Roundel, shows the evolution of the roundel throughout its use in the USAF.</w:t>
      </w:r>
    </w:p>
    <w:p>
      <w:pPr>
        <w:spacing w:before="60" w:after="28"/>
        <w:jc w:val="right"/>
        <w:bidi/>
      </w:pPr>
      <w:r>
        <w:rPr>
          <w:b/>
          <w:color w:val="1F4D78"/>
          <w:sz w:val="18"/>
        </w:rPr>
        <w:t>4.5. سری طراحی ماموریت</w:t>
      </w:r>
    </w:p>
    <w:p>
      <w:pPr>
        <w:spacing w:after="20"/>
        <w:ind w:left="259"/>
        <w:jc w:val="left"/>
      </w:pPr>
      <w:r>
        <w:rPr>
          <w:color w:val="555555"/>
          <w:sz w:val="12"/>
        </w:rPr>
        <w:t>4.5. Mission Design Series</w:t>
      </w:r>
    </w:p>
    <w:p>
      <w:pPr>
        <w:spacing w:after="20" w:line="223" w:lineRule="auto"/>
        <w:jc w:val="right"/>
        <w:bidi/>
      </w:pPr>
      <w:r>
        <w:rPr>
          <w:rFonts w:ascii="Arial" w:hAnsi="Arial"/>
          <w:sz w:val="16"/>
        </w:rPr>
        <w:t>060.18  تعیین‌کننده سری طراحی مأموریت یک نماد الفبایی و عددی رسمی شناخته شده وزارت دفاع است که برای تعیین وسایل نقلیه هوافضای دفاعی نظامی طبقه‌بندی شده به‌عنوان هواپیما، موشک هدایت شونده، موشک، کاوشگر، تقویت‌کننده و ماهواره استفاده می‌شود.</w:t>
      </w:r>
    </w:p>
    <w:p>
      <w:pPr>
        <w:spacing w:after="28" w:line="216" w:lineRule="auto"/>
        <w:ind w:left="259"/>
        <w:jc w:val="left"/>
      </w:pPr>
      <w:r>
        <w:rPr>
          <w:rFonts w:ascii="Arial" w:hAnsi="Arial"/>
          <w:color w:val="525252"/>
          <w:sz w:val="13"/>
        </w:rPr>
        <w:t>The mission design series designator is an official Department of Defense recognized alpha- numeric symbol used to designate military defense aerospace vehicles categorized as aircraft, guided missiles, rockets, probes, boosters, and satellites.</w:t>
      </w:r>
    </w:p>
    <w:p>
      <w:pPr>
        <w:spacing w:after="20" w:line="223" w:lineRule="auto"/>
        <w:jc w:val="right"/>
        <w:bidi/>
      </w:pPr>
      <w:r>
        <w:rPr>
          <w:rFonts w:ascii="Arial" w:hAnsi="Arial"/>
          <w:sz w:val="16"/>
        </w:rPr>
        <w:t>060.19  تعیین کننده وسیله نقلیه هوافضا را در دو جزء که با یک خط تیره از هم جدا شده‌اند، توصیف می‌کند.</w:t>
      </w:r>
    </w:p>
    <w:p>
      <w:pPr>
        <w:spacing w:after="28" w:line="216" w:lineRule="auto"/>
        <w:ind w:left="259"/>
        <w:jc w:val="left"/>
      </w:pPr>
      <w:r>
        <w:rPr>
          <w:rFonts w:ascii="Arial" w:hAnsi="Arial"/>
          <w:color w:val="525252"/>
          <w:sz w:val="13"/>
        </w:rPr>
        <w:t>The designator describes the aerospace vehicle in two components, separated by a dash.</w:t>
      </w:r>
    </w:p>
    <w:p>
      <w:pPr>
        <w:spacing w:after="20" w:line="223" w:lineRule="auto"/>
        <w:jc w:val="right"/>
        <w:bidi/>
      </w:pPr>
      <w:r>
        <w:rPr>
          <w:rFonts w:ascii="Arial" w:hAnsi="Arial"/>
          <w:sz w:val="16"/>
        </w:rPr>
        <w:t>060.20  اولین جزء، که فقط از کاراکترهای آلفا تشکیل شده است، مأموریت وسیله نقلیه را توصیف می‌کند.</w:t>
      </w:r>
    </w:p>
    <w:p>
      <w:pPr>
        <w:spacing w:after="28" w:line="216" w:lineRule="auto"/>
        <w:ind w:left="259"/>
        <w:jc w:val="left"/>
      </w:pPr>
      <w:r>
        <w:rPr>
          <w:rFonts w:ascii="Arial" w:hAnsi="Arial"/>
          <w:color w:val="525252"/>
          <w:sz w:val="13"/>
        </w:rPr>
        <w:t>The first component, comprised only of alpha characters, describes the mission of the vehicle.</w:t>
      </w:r>
    </w:p>
    <w:p>
      <w:pPr>
        <w:spacing w:after="20" w:line="223" w:lineRule="auto"/>
        <w:jc w:val="right"/>
        <w:bidi/>
      </w:pPr>
      <w:r>
        <w:rPr>
          <w:rFonts w:ascii="Arial" w:hAnsi="Arial"/>
          <w:sz w:val="16"/>
        </w:rPr>
        <w:t>060.21  جزء دوم که از کاراکترهای الفبایی تشکیل شده است، شماره طراحی و سری طراحی خودرو را توصیف می‌کند.</w:t>
      </w:r>
    </w:p>
    <w:p>
      <w:pPr>
        <w:spacing w:after="28" w:line="216" w:lineRule="auto"/>
        <w:ind w:left="259"/>
        <w:jc w:val="left"/>
      </w:pPr>
      <w:r>
        <w:rPr>
          <w:rFonts w:ascii="Arial" w:hAnsi="Arial"/>
          <w:color w:val="525252"/>
          <w:sz w:val="13"/>
        </w:rPr>
        <w:t>The second component, comprised of alpha- numeric characters, describes the design number and design series of the vehicle.</w:t>
      </w:r>
    </w:p>
    <w:p>
      <w:pPr>
        <w:spacing w:after="20" w:line="223" w:lineRule="auto"/>
        <w:jc w:val="right"/>
        <w:bidi/>
      </w:pPr>
      <w:r>
        <w:rPr>
          <w:rFonts w:ascii="Arial" w:hAnsi="Arial"/>
          <w:sz w:val="16"/>
        </w:rPr>
        <w:t>060.22  همچنین، برخی از طراحان نامه‌ای به دنبال نشانگر دو قسمتی هواپیما برای نشان دادن نوع یا سری مدل خواهند داشت، که معمولا به دلیل طراحی مدل بهبود یافته است.</w:t>
      </w:r>
    </w:p>
    <w:p>
      <w:pPr>
        <w:spacing w:after="28" w:line="216" w:lineRule="auto"/>
        <w:ind w:left="259"/>
        <w:jc w:val="left"/>
      </w:pPr>
      <w:r>
        <w:rPr>
          <w:rFonts w:ascii="Arial" w:hAnsi="Arial"/>
          <w:color w:val="525252"/>
          <w:sz w:val="13"/>
        </w:rPr>
        <w:t>Also, some designators will have a letter following the two-part designator of the aircraft to indicate the model type or series, usually due to improved model designs.</w:t>
      </w:r>
    </w:p>
    <w:p>
      <w:pPr>
        <w:spacing w:after="20" w:line="223" w:lineRule="auto"/>
        <w:jc w:val="right"/>
        <w:bidi/>
      </w:pPr>
      <w:r>
        <w:rPr>
          <w:rFonts w:ascii="Arial" w:hAnsi="Arial"/>
          <w:sz w:val="16"/>
        </w:rPr>
        <w:t>060.23  در طول سال‌ها، نام‌گذاری‌ها تغییر کرده‌اند، اما بسیاری از سیستم‌ها ثابت مانده‌اند.</w:t>
      </w:r>
    </w:p>
    <w:p>
      <w:pPr>
        <w:spacing w:after="28" w:line="216" w:lineRule="auto"/>
        <w:ind w:left="259"/>
        <w:jc w:val="left"/>
      </w:pPr>
      <w:r>
        <w:rPr>
          <w:rFonts w:ascii="Arial" w:hAnsi="Arial"/>
          <w:color w:val="525252"/>
          <w:sz w:val="13"/>
        </w:rPr>
        <w:t>Over the years, the designations have changed, but much of the system has remained the same.</w:t>
      </w:r>
    </w:p>
    <w:p>
      <w:pPr>
        <w:spacing w:before="60" w:after="28"/>
        <w:jc w:val="right"/>
        <w:bidi/>
      </w:pPr>
      <w:r>
        <w:rPr>
          <w:b/>
          <w:color w:val="1F4D78"/>
          <w:sz w:val="18"/>
        </w:rPr>
        <w:t>جدول 4.1. برای نشان دادن یک لیست جامع از تعیین کنندگان سری طراحی ماموریت برای هواپیماهای USAF ارائه شده است.</w:t>
      </w:r>
    </w:p>
    <w:p>
      <w:pPr>
        <w:spacing w:after="20"/>
        <w:ind w:left="259"/>
        <w:jc w:val="left"/>
      </w:pPr>
      <w:r>
        <w:rPr>
          <w:color w:val="555555"/>
          <w:sz w:val="12"/>
        </w:rPr>
        <w:t>Table 4.1. is provided to show a comprehensive list of mission design series designators for USAF aircraft.</w:t>
      </w:r>
    </w:p>
    <w:p>
      <w:r>
        <w:br w:type="page"/>
      </w:r>
    </w:p>
    <w:p>
      <w:pPr>
        <w:spacing w:after="60"/>
        <w:jc w:val="right"/>
        <w:bidi/>
      </w:pPr>
      <w:r>
        <w:rPr>
          <w:rFonts w:ascii="Arial" w:hAnsi="Arial"/>
          <w:b/>
          <w:color w:val="1F4D78"/>
          <w:sz w:val="19"/>
        </w:rPr>
        <w:t>هفتهٔ 61  |  صفحهٔ منبع: 77</w:t>
      </w:r>
    </w:p>
    <w:p>
      <w:pPr>
        <w:spacing w:after="20" w:line="223" w:lineRule="auto"/>
        <w:jc w:val="right"/>
        <w:bidi/>
      </w:pPr>
      <w:r>
        <w:rPr>
          <w:rFonts w:ascii="Arial" w:hAnsi="Arial"/>
          <w:sz w:val="16"/>
        </w:rPr>
        <w:t>061.01  نمادهای تعیین کننده برای هواپیماهای غیراستاندارد (ستون‌های ۱-۴): نمادهای تعیین کننده برای هواپیماهای استاندارد (ستون‌های ۱-۳): پیشوند وضعیت اصلاح شده مأموریت اصلی نوع وسیله نقلیه - به صورت دیجیتالی توسعه یافته ا - حمله ا - حمله د - بخش کنترل پهپاد گ-گومبر ک-ترانسپورت. ج - آزمایش ویژه (موقت) د - مدیر ک - حمل و نقل ه - هلیکوپتر ن - آزمایش ویژه (دائمی) - ویژه الکترونیک - ویژه الکترونیک ق - نصب هواپیمای بدون سرنشین (UA) کس - آزمایشی ف - جنگنده ف - جنگنده س - هواپیمای فضایی ی - نمونه اولیه ه - جستجوی و/LT</w:t>
      </w:r>
    </w:p>
    <w:p>
      <w:pPr>
        <w:spacing w:after="28" w:line="216" w:lineRule="auto"/>
        <w:ind w:left="259"/>
        <w:jc w:val="left"/>
      </w:pPr>
      <w:r>
        <w:rPr>
          <w:rFonts w:ascii="Arial" w:hAnsi="Arial"/>
          <w:color w:val="525252"/>
          <w:sz w:val="13"/>
        </w:rPr>
        <w:t>Designator Symbols for Non-Standard Aircraft (columns 1-4): Designator Symbols for Standard Aircraft (columns 1-3): Status Prefix Modified Mission Basic Mission Vehicle Type e - Digitally Developed A - Attack A - Attack D - UAV Control Segment G - Permanently Grounded C - Transport B - Bomber G - Glider J - Special Test (Temporary) D - Director C - Transport H - Helicopter N - Special Test (Permanent) E - Special Electronic E - Special Electronic Q - Unmanned Aircraft (UA) Installation Installation X - Experimental F - Fighter F - Fighter S - Spaceplane Y - Prototype H - Search/Rescue/ L - Laser V - VTOL/STOL</w:t>
      </w:r>
    </w:p>
    <w:p>
      <w:pPr>
        <w:spacing w:before="60" w:after="28"/>
        <w:jc w:val="right"/>
        <w:bidi/>
      </w:pPr>
      <w:r>
        <w:rPr>
          <w:b/>
          <w:color w:val="1F4D78"/>
          <w:sz w:val="18"/>
        </w:rPr>
        <w:t>MEDEVAC</w:t>
      </w:r>
    </w:p>
    <w:p>
      <w:pPr>
        <w:spacing w:after="20"/>
        <w:ind w:left="259"/>
        <w:jc w:val="left"/>
      </w:pPr>
      <w:r>
        <w:rPr>
          <w:color w:val="555555"/>
          <w:sz w:val="12"/>
        </w:rPr>
        <w:t>MEDEVAC</w:t>
      </w:r>
    </w:p>
    <w:p>
      <w:pPr>
        <w:spacing w:after="20" w:line="223" w:lineRule="auto"/>
        <w:jc w:val="right"/>
        <w:bidi/>
      </w:pPr>
      <w:r>
        <w:rPr>
          <w:rFonts w:ascii="Arial" w:hAnsi="Arial"/>
          <w:sz w:val="16"/>
        </w:rPr>
        <w:t>061.03  ز - برنامه‌ریزی ک - تانکر و - مشاهده ز - وسیله نقلیه سبک‌تر از هوا ل - هوای سرد پ - گشت م - چند مأموریت ر - شناسایی و - مشاهده س - ضد زیردریایی پ - پاترول ت - تراینر ق - پهپاد و - وتیلیتی انتی-کوننایسس ر - روب و - وتیلیتی و - کارکنان و - آب و هوا</w:t>
      </w:r>
    </w:p>
    <w:p>
      <w:pPr>
        <w:spacing w:after="28" w:line="216" w:lineRule="auto"/>
        <w:ind w:left="259"/>
        <w:jc w:val="left"/>
      </w:pPr>
      <w:r>
        <w:rPr>
          <w:rFonts w:ascii="Arial" w:hAnsi="Arial"/>
          <w:color w:val="525252"/>
          <w:sz w:val="13"/>
        </w:rPr>
        <w:t>Z - Planning K - Tanker O - Observation Z - Lighter-Than-Air Vehicle L - Cold Weather P - Patrol M - Multi-Mission R - Reconnaissance O - Observation S - Anti-Submarine P - Patrol T - Trainer Q - Drone U - Utility R - Reconnaissance X - Research S - Anti-Submarine T - Trainer U - Utility V - Staff W - Weather</w:t>
      </w:r>
    </w:p>
    <w:p>
      <w:pPr>
        <w:spacing w:before="60" w:after="28"/>
        <w:jc w:val="right"/>
        <w:bidi/>
      </w:pPr>
      <w:r>
        <w:rPr>
          <w:b/>
          <w:color w:val="1F4D78"/>
          <w:sz w:val="18"/>
        </w:rPr>
        <w:t>جدول 4.1. طراحان سری طراحی ماموریت وسایل نقلیه هوافضا برای هواپیما</w:t>
      </w:r>
    </w:p>
    <w:p>
      <w:pPr>
        <w:spacing w:after="20"/>
        <w:ind w:left="259"/>
        <w:jc w:val="left"/>
      </w:pPr>
      <w:r>
        <w:rPr>
          <w:color w:val="555555"/>
          <w:sz w:val="12"/>
        </w:rPr>
        <w:t>Table 4.1. Aerospace Vehicle Mission Design Series Designators for Aircraft</w:t>
      </w:r>
    </w:p>
    <w:p>
      <w:pPr>
        <w:spacing w:before="60" w:after="28"/>
        <w:jc w:val="right"/>
        <w:bidi/>
      </w:pPr>
      <w:r>
        <w:rPr>
          <w:b/>
          <w:color w:val="1F4D78"/>
          <w:sz w:val="18"/>
        </w:rPr>
        <w:t>4.6. قابلیت های سیستم هواپیما</w:t>
      </w:r>
    </w:p>
    <w:p>
      <w:pPr>
        <w:spacing w:after="20"/>
        <w:ind w:left="259"/>
        <w:jc w:val="left"/>
      </w:pPr>
      <w:r>
        <w:rPr>
          <w:color w:val="555555"/>
          <w:sz w:val="12"/>
        </w:rPr>
        <w:t>4.6. Aircraft System Capabilities</w:t>
      </w:r>
    </w:p>
    <w:p>
      <w:pPr>
        <w:spacing w:after="20" w:line="223" w:lineRule="auto"/>
        <w:jc w:val="right"/>
        <w:bidi/>
      </w:pPr>
      <w:r>
        <w:rPr>
          <w:rFonts w:ascii="Arial" w:hAnsi="Arial"/>
          <w:sz w:val="16"/>
        </w:rPr>
        <w:t>061.06  USAF در سطح جهانی هر روز درگیر انجام مأموریت هایی برای شکست دادن دشمنان است.</w:t>
      </w:r>
    </w:p>
    <w:p>
      <w:pPr>
        <w:spacing w:after="28" w:line="216" w:lineRule="auto"/>
        <w:ind w:left="259"/>
        <w:jc w:val="left"/>
      </w:pPr>
      <w:r>
        <w:rPr>
          <w:rFonts w:ascii="Arial" w:hAnsi="Arial"/>
          <w:color w:val="525252"/>
          <w:sz w:val="13"/>
        </w:rPr>
        <w:t>The USAF is globally engaged in conducting missions every day to defeat adversaries.</w:t>
      </w:r>
    </w:p>
    <w:p>
      <w:pPr>
        <w:spacing w:after="20" w:line="223" w:lineRule="auto"/>
        <w:jc w:val="right"/>
        <w:bidi/>
      </w:pPr>
      <w:r>
        <w:rPr>
          <w:rFonts w:ascii="Arial" w:hAnsi="Arial"/>
          <w:sz w:val="16"/>
        </w:rPr>
        <w:t>061.07  ما از کشورهای شریک در مقابله با تروریسم فرامنطقه‌ای حمایت می‌کنیم، اطمینان می‌دهیم که تیم نظامی مشترک می‌تواند مأموریت‌هایی را در سرتاسر جهان انجام دهد و از میهن دفاع کند.</w:t>
      </w:r>
    </w:p>
    <w:p>
      <w:pPr>
        <w:spacing w:after="28" w:line="216" w:lineRule="auto"/>
        <w:ind w:left="259"/>
        <w:jc w:val="left"/>
      </w:pPr>
      <w:r>
        <w:rPr>
          <w:rFonts w:ascii="Arial" w:hAnsi="Arial"/>
          <w:color w:val="525252"/>
          <w:sz w:val="13"/>
        </w:rPr>
        <w:t>We support partner nations in countering trans-regional terrorism, ensure the joint military team can conduct missions across the globe, and defend the homeland.</w:t>
      </w:r>
    </w:p>
    <w:p>
      <w:pPr>
        <w:spacing w:after="20" w:line="223" w:lineRule="auto"/>
        <w:jc w:val="right"/>
        <w:bidi/>
      </w:pPr>
      <w:r>
        <w:rPr>
          <w:rFonts w:ascii="Arial" w:hAnsi="Arial"/>
          <w:sz w:val="16"/>
        </w:rPr>
        <w:t>061.08  در حال حاضر، تقریبا ۲۱۰۰۰ نیروی هوایی در ۱۷۵ مکان مستقر هستند. ۸۰۰۰۰ نیروی هوایی مستقر هستند. و ۲۷۰۰۰ نیروی هوایی از داخل ایالات متحده عملیات انجام می‌دهند.</w:t>
      </w:r>
    </w:p>
    <w:p>
      <w:pPr>
        <w:spacing w:after="28" w:line="216" w:lineRule="auto"/>
        <w:ind w:left="259"/>
        <w:jc w:val="left"/>
      </w:pPr>
      <w:r>
        <w:rPr>
          <w:rFonts w:ascii="Arial" w:hAnsi="Arial"/>
          <w:color w:val="525252"/>
          <w:sz w:val="13"/>
        </w:rPr>
        <w:t>Currently, approximately 21,000 Airmen are deployed to 175 locations; 80,000 Airmen are forward based; and 27,000 Airmen conduct operations from within the United States.</w:t>
      </w:r>
    </w:p>
    <w:p>
      <w:pPr>
        <w:spacing w:after="20" w:line="223" w:lineRule="auto"/>
        <w:jc w:val="right"/>
        <w:bidi/>
      </w:pPr>
      <w:r>
        <w:rPr>
          <w:rFonts w:ascii="Arial" w:hAnsi="Arial"/>
          <w:sz w:val="16"/>
        </w:rPr>
        <w:t>061.09  همچنین، USAF بیش از ۶۰۰۰ محصول اطلاعاتی در روز تولید می‌کند که عملیات را در سراسر جهان هدایت می‌کند.</w:t>
      </w:r>
    </w:p>
    <w:p>
      <w:pPr>
        <w:spacing w:after="28" w:line="216" w:lineRule="auto"/>
        <w:ind w:left="259"/>
        <w:jc w:val="left"/>
      </w:pPr>
      <w:r>
        <w:rPr>
          <w:rFonts w:ascii="Arial" w:hAnsi="Arial"/>
          <w:color w:val="525252"/>
          <w:sz w:val="13"/>
        </w:rPr>
        <w:t>Also, the USAF produces more than 6,000 intelligence products per day, driving operations around the globe.</w:t>
      </w:r>
    </w:p>
    <w:p>
      <w:pPr>
        <w:spacing w:after="20" w:line="223" w:lineRule="auto"/>
        <w:jc w:val="right"/>
        <w:bidi/>
      </w:pPr>
      <w:r>
        <w:rPr>
          <w:rFonts w:ascii="Arial" w:hAnsi="Arial"/>
          <w:sz w:val="16"/>
        </w:rPr>
        <w:t>061.10  اپراتورهای سایبری میلیاردها اتصال مخرب را مسدود کرده‌اند و دسترسی به دشمنان نوآور فزاینده را ممنوع کرده‌اند.</w:t>
      </w:r>
    </w:p>
    <w:p>
      <w:pPr>
        <w:spacing w:after="28" w:line="216" w:lineRule="auto"/>
        <w:ind w:left="259"/>
        <w:jc w:val="left"/>
      </w:pPr>
      <w:r>
        <w:rPr>
          <w:rFonts w:ascii="Arial" w:hAnsi="Arial"/>
          <w:color w:val="525252"/>
          <w:sz w:val="13"/>
        </w:rPr>
        <w:t>Cyber operators have blocked billions of malicious connections, denying access against increasingly innovative adversaries.</w:t>
      </w:r>
    </w:p>
    <w:p>
      <w:pPr>
        <w:spacing w:after="20" w:line="223" w:lineRule="auto"/>
        <w:jc w:val="right"/>
        <w:bidi/>
      </w:pPr>
      <w:r>
        <w:rPr>
          <w:rFonts w:ascii="Arial" w:hAnsi="Arial"/>
          <w:sz w:val="16"/>
        </w:rPr>
        <w:t>061.11  برتری هوایی امنیت شهروندان آمریکایی را هر روز تضمین می‌کند و ایالت ایالتی را قادر می‌سازد تا هواپیماهای خلبانی از راه دور، پردازش اطلاعات و مراقبت در پایگاه‌های موشکی هسته‌ای را انجام دهد.</w:t>
      </w:r>
    </w:p>
    <w:p>
      <w:pPr>
        <w:spacing w:after="28" w:line="216" w:lineRule="auto"/>
        <w:ind w:left="259"/>
        <w:jc w:val="left"/>
      </w:pPr>
      <w:r>
        <w:rPr>
          <w:rFonts w:ascii="Arial" w:hAnsi="Arial"/>
          <w:color w:val="525252"/>
          <w:sz w:val="13"/>
        </w:rPr>
        <w:t>Air superiority ensures the safety of American citizens every day and enables Airmen stateside to operate remotely piloted aircraft, process intelligence, and stand watch at nuclear missile bases.</w:t>
      </w:r>
    </w:p>
    <w:p>
      <w:pPr>
        <w:spacing w:after="20" w:line="223" w:lineRule="auto"/>
        <w:jc w:val="right"/>
        <w:bidi/>
      </w:pPr>
      <w:r>
        <w:rPr>
          <w:rFonts w:ascii="Arial" w:hAnsi="Arial"/>
          <w:sz w:val="16"/>
        </w:rPr>
        <w:t>061.12  و با مشارکت فرماندهی دفاع هوافضای آمریکای شمالی، نیروهای هوایی سیستم‌های هشدار و کنترل هوافضا را برای اطمینان از حاکمیت هوایی و دفاع هوایی حریم هوایی بر فراز کانادا، آلاسکا و قاره ایالات متحده حفظ می‌کنند.</w:t>
      </w:r>
    </w:p>
    <w:p>
      <w:pPr>
        <w:spacing w:after="28" w:line="216" w:lineRule="auto"/>
        <w:ind w:left="259"/>
        <w:jc w:val="left"/>
      </w:pPr>
      <w:r>
        <w:rPr>
          <w:rFonts w:ascii="Arial" w:hAnsi="Arial"/>
          <w:color w:val="525252"/>
          <w:sz w:val="13"/>
        </w:rPr>
        <w:t>And, in partnership with the North American Aerospace Defense Command, Airmen maintain aerospace warning and control systems to ensure air sovereignty and air defense of the airspace over Canada, Alaska, and the Continental United States.</w:t>
      </w:r>
    </w:p>
    <w:p>
      <w:r>
        <w:br w:type="page"/>
      </w:r>
    </w:p>
    <w:p>
      <w:pPr>
        <w:spacing w:after="60"/>
        <w:jc w:val="right"/>
        <w:bidi/>
      </w:pPr>
      <w:r>
        <w:rPr>
          <w:rFonts w:ascii="Arial" w:hAnsi="Arial"/>
          <w:b/>
          <w:color w:val="1F4D78"/>
          <w:sz w:val="19"/>
        </w:rPr>
        <w:t>هفتهٔ 62  |  صفحهٔ منبع: 78</w:t>
      </w:r>
    </w:p>
    <w:p>
      <w:pPr>
        <w:spacing w:after="20" w:line="223" w:lineRule="auto"/>
        <w:jc w:val="right"/>
        <w:bidi/>
      </w:pPr>
      <w:r>
        <w:rPr>
          <w:rFonts w:ascii="Arial" w:hAnsi="Arial"/>
          <w:sz w:val="16"/>
        </w:rPr>
        <w:t>062.01  موجودی سیستم هواپیما.</w:t>
      </w:r>
    </w:p>
    <w:p>
      <w:pPr>
        <w:spacing w:after="28" w:line="216" w:lineRule="auto"/>
        <w:ind w:left="259"/>
        <w:jc w:val="left"/>
      </w:pPr>
      <w:r>
        <w:rPr>
          <w:rFonts w:ascii="Arial" w:hAnsi="Arial"/>
          <w:color w:val="525252"/>
          <w:sz w:val="13"/>
        </w:rPr>
        <w:t>Aircraft System Inventory.</w:t>
      </w:r>
    </w:p>
    <w:p>
      <w:pPr>
        <w:spacing w:after="20" w:line="223" w:lineRule="auto"/>
        <w:jc w:val="right"/>
        <w:bidi/>
      </w:pPr>
      <w:r>
        <w:rPr>
          <w:rFonts w:ascii="Arial" w:hAnsi="Arial"/>
          <w:sz w:val="16"/>
        </w:rPr>
        <w:t>062.02  در حالی که فهرست جامعی از هواپیماهای USAF و توضیحات مفصل را می‌توانید در برگه اطلاعات پورتال USAF بیابید، توضیحات کلی از چندین سیستم هواپیما/سلاح موجود در فهرست در اینجا ارائه شده است.</w:t>
      </w:r>
    </w:p>
    <w:p>
      <w:pPr>
        <w:spacing w:after="28" w:line="216" w:lineRule="auto"/>
        <w:ind w:left="259"/>
        <w:jc w:val="left"/>
      </w:pPr>
      <w:r>
        <w:rPr>
          <w:rFonts w:ascii="Arial" w:hAnsi="Arial"/>
          <w:color w:val="525252"/>
          <w:sz w:val="13"/>
        </w:rPr>
        <w:t>While a comprehensive list of USAF aircraft and detailed descriptions can be found on the USAF Portal Fact Sheets, generalized descriptions of several of the aircraft/weapon systems in the inventory are provided here.</w:t>
      </w:r>
    </w:p>
    <w:p>
      <w:pPr>
        <w:spacing w:after="20" w:line="223" w:lineRule="auto"/>
        <w:jc w:val="right"/>
        <w:bidi/>
      </w:pPr>
      <w:r>
        <w:rPr>
          <w:rFonts w:ascii="Arial" w:hAnsi="Arial"/>
          <w:sz w:val="16"/>
        </w:rPr>
        <w:t>062.03  ایرکرافت واپون سیستمس ا-۱۰، توندربولت II ا-۱۰ یک پلت فرم پشتیبانی هوایی نزدیک است که برای پشتیبانی از نیروها در تماس با نیروهای دشمن استفاده می‌شود.</w:t>
      </w:r>
    </w:p>
    <w:p>
      <w:pPr>
        <w:spacing w:after="28" w:line="216" w:lineRule="auto"/>
        <w:ind w:left="259"/>
        <w:jc w:val="left"/>
      </w:pPr>
      <w:r>
        <w:rPr>
          <w:rFonts w:ascii="Arial" w:hAnsi="Arial"/>
          <w:color w:val="525252"/>
          <w:sz w:val="13"/>
        </w:rPr>
        <w:t>Aircraft Weapon Systems A-10, Thunderbolt II The A-10 is a close air support platform used to support troops in contact with enemy forces.</w:t>
      </w:r>
    </w:p>
    <w:p>
      <w:pPr>
        <w:spacing w:after="20" w:line="223" w:lineRule="auto"/>
        <w:jc w:val="right"/>
        <w:bidi/>
      </w:pPr>
      <w:r>
        <w:rPr>
          <w:rFonts w:ascii="Arial" w:hAnsi="Arial"/>
          <w:sz w:val="16"/>
        </w:rPr>
        <w:t>062.04  ا-۱۰ نقش‌های ثانویه منع هوایی، کنترل هوای پیشروی هوایی، و جستجو و نجات جنگی را انجام می‌دهد.</w:t>
      </w:r>
    </w:p>
    <w:p>
      <w:pPr>
        <w:spacing w:after="28" w:line="216" w:lineRule="auto"/>
        <w:ind w:left="259"/>
        <w:jc w:val="left"/>
      </w:pPr>
      <w:r>
        <w:rPr>
          <w:rFonts w:ascii="Arial" w:hAnsi="Arial"/>
          <w:color w:val="525252"/>
          <w:sz w:val="13"/>
        </w:rPr>
        <w:t>The A-10 performs secondary roles of air interdiction, airborne forward air control, and combat search and rescue.</w:t>
      </w:r>
    </w:p>
    <w:p>
      <w:pPr>
        <w:spacing w:after="20" w:line="223" w:lineRule="auto"/>
        <w:jc w:val="right"/>
        <w:bidi/>
      </w:pPr>
      <w:r>
        <w:rPr>
          <w:rFonts w:ascii="Arial" w:hAnsi="Arial"/>
          <w:sz w:val="16"/>
        </w:rPr>
        <w:t>062.05  این هواپیما قدرت مانور بسیار خوبی در سرعت و ارتفاع کم هوا دارد و یک پلت فرم تحویل سلاح بسیار دقیق و قابل بقا است.</w:t>
      </w:r>
    </w:p>
    <w:p>
      <w:pPr>
        <w:spacing w:after="28" w:line="216" w:lineRule="auto"/>
        <w:ind w:left="259"/>
        <w:jc w:val="left"/>
      </w:pPr>
      <w:r>
        <w:rPr>
          <w:rFonts w:ascii="Arial" w:hAnsi="Arial"/>
          <w:color w:val="525252"/>
          <w:sz w:val="13"/>
        </w:rPr>
        <w:t>This aircraft has excellent maneuverability at low air speeds and altitude and is a highly accurate and survivable weapons-delivery platform.</w:t>
      </w:r>
    </w:p>
    <w:p>
      <w:pPr>
        <w:spacing w:after="20" w:line="223" w:lineRule="auto"/>
        <w:jc w:val="right"/>
        <w:bidi/>
      </w:pPr>
      <w:r>
        <w:rPr>
          <w:rFonts w:ascii="Arial" w:hAnsi="Arial"/>
          <w:sz w:val="16"/>
        </w:rPr>
        <w:t>062.06  ب-۱ب، لنسر ب-۱ب یک بمب افکن چند مأموریتی است که بیشترین محموله سلاح‌های هدایت شونده و غیر هدایت شونده را در فهرست موجودی دارد.</w:t>
      </w:r>
    </w:p>
    <w:p>
      <w:pPr>
        <w:spacing w:after="28" w:line="216" w:lineRule="auto"/>
        <w:ind w:left="259"/>
        <w:jc w:val="left"/>
      </w:pPr>
      <w:r>
        <w:rPr>
          <w:rFonts w:ascii="Arial" w:hAnsi="Arial"/>
          <w:color w:val="525252"/>
          <w:sz w:val="13"/>
        </w:rPr>
        <w:t>B-1B, Lancer The B-1B is a multi-mission bomber carrying the largest payload of both guided and unguided weapons in the inventory.</w:t>
      </w:r>
    </w:p>
    <w:p>
      <w:pPr>
        <w:spacing w:after="20" w:line="223" w:lineRule="auto"/>
        <w:jc w:val="right"/>
        <w:bidi/>
      </w:pPr>
      <w:r>
        <w:rPr>
          <w:rFonts w:ascii="Arial" w:hAnsi="Arial"/>
          <w:sz w:val="16"/>
        </w:rPr>
        <w:t>062.07  پیکربندی ترکیبی بال/بدنه ب-۱ب، بال‌های هندسه متغیر و موتورهای پس‌سوخت توربوفن با هم ترکیب می‌شوند تا برد طولانی، مانورپذیری و سرعت بالا را در عین افزایش بقا ارائه دهند.</w:t>
      </w:r>
    </w:p>
    <w:p>
      <w:pPr>
        <w:spacing w:after="28" w:line="216" w:lineRule="auto"/>
        <w:ind w:left="259"/>
        <w:jc w:val="left"/>
      </w:pPr>
      <w:r>
        <w:rPr>
          <w:rFonts w:ascii="Arial" w:hAnsi="Arial"/>
          <w:color w:val="525252"/>
          <w:sz w:val="13"/>
        </w:rPr>
        <w:t>The B-1B's blended wing/body configuration, variable-geometry wings, and turbofan afterburning engines combine to provide long range, maneuverability, and high speed while enhancing survivability.</w:t>
      </w:r>
    </w:p>
    <w:p>
      <w:pPr>
        <w:spacing w:after="20" w:line="223" w:lineRule="auto"/>
        <w:jc w:val="right"/>
        <w:bidi/>
      </w:pPr>
      <w:r>
        <w:rPr>
          <w:rFonts w:ascii="Arial" w:hAnsi="Arial"/>
          <w:sz w:val="16"/>
        </w:rPr>
        <w:t>062.08  ب-۲، سپیریت ب-۲ یک بمب افکن چند منظوره است که قادر به حمل مهمات متعارف و هسته‌ای و سلاح‌های هسته‌ای است.</w:t>
      </w:r>
    </w:p>
    <w:p>
      <w:pPr>
        <w:spacing w:after="28" w:line="216" w:lineRule="auto"/>
        <w:ind w:left="259"/>
        <w:jc w:val="left"/>
      </w:pPr>
      <w:r>
        <w:rPr>
          <w:rFonts w:ascii="Arial" w:hAnsi="Arial"/>
          <w:color w:val="525252"/>
          <w:sz w:val="13"/>
        </w:rPr>
        <w:t>B-2, Spirit The B-2 is a multi-role bomber capable of delivering both conventional and nuclear conventional munitions and nuclear weapons.</w:t>
      </w:r>
    </w:p>
    <w:p>
      <w:pPr>
        <w:spacing w:after="20" w:line="223" w:lineRule="auto"/>
        <w:jc w:val="right"/>
        <w:bidi/>
      </w:pPr>
      <w:r>
        <w:rPr>
          <w:rFonts w:ascii="Arial" w:hAnsi="Arial"/>
          <w:sz w:val="16"/>
        </w:rPr>
        <w:t>062.09  انعطاف پذیری نافذ و اثربخشی ذاتی بمب افکن‌های سرنشین دار همان چیزی است که ب-۲ ارائه می‌کند.</w:t>
      </w:r>
    </w:p>
    <w:p>
      <w:pPr>
        <w:spacing w:after="28" w:line="216" w:lineRule="auto"/>
        <w:ind w:left="259"/>
        <w:jc w:val="left"/>
      </w:pPr>
      <w:r>
        <w:rPr>
          <w:rFonts w:ascii="Arial" w:hAnsi="Arial"/>
          <w:color w:val="525252"/>
          <w:sz w:val="13"/>
        </w:rPr>
        <w:t>The penetrating flexibility and effectiveness inherent in manned bombers is what the B- 2 provides.</w:t>
      </w:r>
    </w:p>
    <w:p>
      <w:pPr>
        <w:spacing w:after="20" w:line="223" w:lineRule="auto"/>
        <w:jc w:val="right"/>
        <w:bidi/>
      </w:pPr>
      <w:r>
        <w:rPr>
          <w:rFonts w:ascii="Arial" w:hAnsi="Arial"/>
          <w:sz w:val="16"/>
        </w:rPr>
        <w:t>062.10  ویژگی‌های پنهان و قابل مشاهده کم به آن توانایی منحصربه‌فردی برای نفوذ به پیچیده‌ترین دفاع‌های دشمن و تهدید با ارزش‌ترین و به شدت دفاع شده‌ترین اهداف آن می‌دهد.</w:t>
      </w:r>
    </w:p>
    <w:p>
      <w:pPr>
        <w:spacing w:after="28" w:line="216" w:lineRule="auto"/>
        <w:ind w:left="259"/>
        <w:jc w:val="left"/>
      </w:pPr>
      <w:r>
        <w:rPr>
          <w:rFonts w:ascii="Arial" w:hAnsi="Arial"/>
          <w:color w:val="525252"/>
          <w:sz w:val="13"/>
        </w:rPr>
        <w:t>The low-observable, stealth characteristics give it the unique ability to penetrate an enemy’s most sophisticated defenses and threaten its most valued and heavily defended targets.</w:t>
      </w:r>
    </w:p>
    <w:p>
      <w:pPr>
        <w:spacing w:after="20" w:line="223" w:lineRule="auto"/>
        <w:jc w:val="right"/>
        <w:bidi/>
      </w:pPr>
      <w:r>
        <w:rPr>
          <w:rFonts w:ascii="Arial" w:hAnsi="Arial"/>
          <w:sz w:val="16"/>
        </w:rPr>
        <w:t>062.11  این هواپیما تنها قابلیت حمله متعارف سخت/عمیق مدفون در همه آب و هوا را ارائه می‌کند.</w:t>
      </w:r>
    </w:p>
    <w:p>
      <w:pPr>
        <w:spacing w:after="28" w:line="216" w:lineRule="auto"/>
        <w:ind w:left="259"/>
        <w:jc w:val="left"/>
      </w:pPr>
      <w:r>
        <w:rPr>
          <w:rFonts w:ascii="Arial" w:hAnsi="Arial"/>
          <w:color w:val="525252"/>
          <w:sz w:val="13"/>
        </w:rPr>
        <w:t>This aircraft provides the only all-weather hard/deeply buried conventional strike capability.</w:t>
      </w:r>
    </w:p>
    <w:p>
      <w:pPr>
        <w:spacing w:after="20" w:line="223" w:lineRule="auto"/>
        <w:jc w:val="right"/>
        <w:bidi/>
      </w:pPr>
      <w:r>
        <w:rPr>
          <w:rFonts w:ascii="Arial" w:hAnsi="Arial"/>
          <w:sz w:val="16"/>
        </w:rPr>
        <w:t>062.12  ب-۲۱، رایدر ب-۲۱ برای پشتیبانی از سه گانه هسته‌ای طراحی شده است و قابلیت بازدارندگی هسته‌ای قابل مشاهده و قابل انعطافی را ارائه می‌دهد که به متحدان و شرکا اطمینان می‌دهد.</w:t>
      </w:r>
    </w:p>
    <w:p>
      <w:pPr>
        <w:spacing w:after="28" w:line="216" w:lineRule="auto"/>
        <w:ind w:left="259"/>
        <w:jc w:val="left"/>
      </w:pPr>
      <w:r>
        <w:rPr>
          <w:rFonts w:ascii="Arial" w:hAnsi="Arial"/>
          <w:color w:val="525252"/>
          <w:sz w:val="13"/>
        </w:rPr>
        <w:t>B-21, Raider The B-21 is designed to support the nuclear triad, providing a visible and flexible nuclear deterrent capability that will assure allies and partners.</w:t>
      </w:r>
    </w:p>
    <w:p>
      <w:pPr>
        <w:spacing w:after="20" w:line="223" w:lineRule="auto"/>
        <w:jc w:val="right"/>
        <w:bidi/>
      </w:pPr>
      <w:r>
        <w:rPr>
          <w:rFonts w:ascii="Arial" w:hAnsi="Arial"/>
          <w:sz w:val="16"/>
        </w:rPr>
        <w:t>062.13  با توانایی نفوذ به پدافند هوایی مدرن، ب-۲۱ می‌تواند در حمایت از اهداف امنیت ملی، بار دوربرد، مختلط و قابلیت بقای بالا را فراهم کند.</w:t>
      </w:r>
    </w:p>
    <w:p>
      <w:pPr>
        <w:spacing w:after="28" w:line="216" w:lineRule="auto"/>
        <w:ind w:left="259"/>
        <w:jc w:val="left"/>
      </w:pPr>
      <w:r>
        <w:rPr>
          <w:rFonts w:ascii="Arial" w:hAnsi="Arial"/>
          <w:color w:val="525252"/>
          <w:sz w:val="13"/>
        </w:rPr>
        <w:t>With the ability to penetrate modern air defenses, the B-21 can provide long-range, mixed payload and high survivability in support of national security objectives.</w:t>
      </w:r>
    </w:p>
    <w:p>
      <w:pPr>
        <w:spacing w:after="20" w:line="223" w:lineRule="auto"/>
        <w:jc w:val="right"/>
        <w:bidi/>
      </w:pPr>
      <w:r>
        <w:rPr>
          <w:rFonts w:ascii="Arial" w:hAnsi="Arial"/>
          <w:sz w:val="16"/>
        </w:rPr>
        <w:t>062.14  ب-۲۱ به گونه‌ای طراحی شده است که معماری باز داشته باشد، قادر به ادغام فناوری جدید و پاسخگویی به تهدیدات آینده در سراسر طیف کامل عملیات است.</w:t>
      </w:r>
    </w:p>
    <w:p>
      <w:pPr>
        <w:spacing w:after="28" w:line="216" w:lineRule="auto"/>
        <w:ind w:left="259"/>
        <w:jc w:val="left"/>
      </w:pPr>
      <w:r>
        <w:rPr>
          <w:rFonts w:ascii="Arial" w:hAnsi="Arial"/>
          <w:color w:val="525252"/>
          <w:sz w:val="13"/>
        </w:rPr>
        <w:t>The B-21 is designed to have an open architecture, able to integrate new technology and respond to future threats across the full-spectrum of operations.</w:t>
      </w:r>
    </w:p>
    <w:p>
      <w:pPr>
        <w:spacing w:after="20" w:line="223" w:lineRule="auto"/>
        <w:jc w:val="right"/>
        <w:bidi/>
      </w:pPr>
      <w:r>
        <w:rPr>
          <w:rFonts w:ascii="Arial" w:hAnsi="Arial"/>
          <w:sz w:val="16"/>
        </w:rPr>
        <w:t>062.15  توجه: ب-۲۱ هنوز در مراحل توسعه است و به‌طور رسمی بخشی از موجودی USAF نیست.</w:t>
      </w:r>
    </w:p>
    <w:p>
      <w:pPr>
        <w:spacing w:after="28" w:line="216" w:lineRule="auto"/>
        <w:ind w:left="259"/>
        <w:jc w:val="left"/>
      </w:pPr>
      <w:r>
        <w:rPr>
          <w:rFonts w:ascii="Arial" w:hAnsi="Arial"/>
          <w:color w:val="525252"/>
          <w:sz w:val="13"/>
        </w:rPr>
        <w:t>Note: The B-21 is still in the development phases and is not officially a part of the USAF inventory.</w:t>
      </w:r>
    </w:p>
    <w:p>
      <w:r>
        <w:br w:type="page"/>
      </w:r>
    </w:p>
    <w:p>
      <w:pPr>
        <w:spacing w:after="60"/>
        <w:jc w:val="right"/>
        <w:bidi/>
      </w:pPr>
      <w:r>
        <w:rPr>
          <w:rFonts w:ascii="Arial" w:hAnsi="Arial"/>
          <w:b/>
          <w:color w:val="1F4D78"/>
          <w:sz w:val="19"/>
        </w:rPr>
        <w:t>هفتهٔ 63  |  صفحهٔ منبع: 79</w:t>
      </w:r>
    </w:p>
    <w:p>
      <w:pPr>
        <w:spacing w:after="20" w:line="223" w:lineRule="auto"/>
        <w:jc w:val="right"/>
        <w:bidi/>
      </w:pPr>
      <w:r>
        <w:rPr>
          <w:rFonts w:ascii="Arial" w:hAnsi="Arial"/>
          <w:sz w:val="16"/>
        </w:rPr>
        <w:t>063.01  ب-۵۲، ستراتوفورترسس ب-۵۲ یک بمب افکن سنگین و دوربرد است که می‌تواند انواع مأموریت‌های متعارف یا هسته‌ای از جمله حمله استراتژیک، پشتیبانی از هوای نزدیک، منع هوایی و ضد هوایی تهاجمی را انجام دهد.</w:t>
      </w:r>
    </w:p>
    <w:p>
      <w:pPr>
        <w:spacing w:after="28" w:line="216" w:lineRule="auto"/>
        <w:ind w:left="259"/>
        <w:jc w:val="left"/>
      </w:pPr>
      <w:r>
        <w:rPr>
          <w:rFonts w:ascii="Arial" w:hAnsi="Arial"/>
          <w:color w:val="525252"/>
          <w:sz w:val="13"/>
        </w:rPr>
        <w:t>B-52, Stratofortress The B-52 is a long-range, heavy bomber that can perform a variety of conventional or nuclear missions including strategic attack, close-air support, air interdiction, and offensive counter-air.</w:t>
      </w:r>
    </w:p>
    <w:p>
      <w:pPr>
        <w:spacing w:after="20" w:line="223" w:lineRule="auto"/>
        <w:jc w:val="right"/>
        <w:bidi/>
      </w:pPr>
      <w:r>
        <w:rPr>
          <w:rFonts w:ascii="Arial" w:hAnsi="Arial"/>
          <w:sz w:val="16"/>
        </w:rPr>
        <w:t>063.02  برای بیش از ۴۰ سال، ب-۵۲ ستراتوفورترسسس ستون فقرات نیروی بمب افکن استراتژیک سرنشین دار بوده است.</w:t>
      </w:r>
    </w:p>
    <w:p>
      <w:pPr>
        <w:spacing w:after="28" w:line="216" w:lineRule="auto"/>
        <w:ind w:left="259"/>
        <w:jc w:val="left"/>
      </w:pPr>
      <w:r>
        <w:rPr>
          <w:rFonts w:ascii="Arial" w:hAnsi="Arial"/>
          <w:color w:val="525252"/>
          <w:sz w:val="13"/>
        </w:rPr>
        <w:t>For more than 40 years, B-52 Stratofortresses have been the backbone of the manned strategic bomber force.</w:t>
      </w:r>
    </w:p>
    <w:p>
      <w:pPr>
        <w:spacing w:after="20" w:line="223" w:lineRule="auto"/>
        <w:jc w:val="right"/>
        <w:bidi/>
      </w:pPr>
      <w:r>
        <w:rPr>
          <w:rFonts w:ascii="Arial" w:hAnsi="Arial"/>
          <w:sz w:val="16"/>
        </w:rPr>
        <w:t>063.03  ب-۵۲ قادر به انداختن یا پرتاب گسترده‌ترین آرایه سلاح موجود در موجودی است.</w:t>
      </w:r>
    </w:p>
    <w:p>
      <w:pPr>
        <w:spacing w:after="28" w:line="216" w:lineRule="auto"/>
        <w:ind w:left="259"/>
        <w:jc w:val="left"/>
      </w:pPr>
      <w:r>
        <w:rPr>
          <w:rFonts w:ascii="Arial" w:hAnsi="Arial"/>
          <w:color w:val="525252"/>
          <w:sz w:val="13"/>
        </w:rPr>
        <w:t>The B-52 is capable of dropping or launching the widest array of weapons in the inventory.</w:t>
      </w:r>
    </w:p>
    <w:p>
      <w:pPr>
        <w:spacing w:after="20" w:line="223" w:lineRule="auto"/>
        <w:jc w:val="right"/>
        <w:bidi/>
      </w:pPr>
      <w:r>
        <w:rPr>
          <w:rFonts w:ascii="Arial" w:hAnsi="Arial"/>
          <w:sz w:val="16"/>
        </w:rPr>
        <w:t>063.04  ک-۵م، سوپر گالاکسی ک-۵م یکی از بزرگترین هواپیماهای جهان است.</w:t>
      </w:r>
    </w:p>
    <w:p>
      <w:pPr>
        <w:spacing w:after="28" w:line="216" w:lineRule="auto"/>
        <w:ind w:left="259"/>
        <w:jc w:val="left"/>
      </w:pPr>
      <w:r>
        <w:rPr>
          <w:rFonts w:ascii="Arial" w:hAnsi="Arial"/>
          <w:color w:val="525252"/>
          <w:sz w:val="13"/>
        </w:rPr>
        <w:t>C-5M, Super Galaxy The C-5M is one of the largest aircraft in the world.</w:t>
      </w:r>
    </w:p>
    <w:p>
      <w:pPr>
        <w:spacing w:after="20" w:line="223" w:lineRule="auto"/>
        <w:jc w:val="right"/>
        <w:bidi/>
      </w:pPr>
      <w:r>
        <w:rPr>
          <w:rFonts w:ascii="Arial" w:hAnsi="Arial"/>
          <w:sz w:val="16"/>
        </w:rPr>
        <w:t>063.05  ک-۵ برای تحویل استراتژیک بین تئاتری محموله‌ها و مسافران بزرگ و بزرگ استفاده می‌شود.</w:t>
      </w:r>
    </w:p>
    <w:p>
      <w:pPr>
        <w:spacing w:after="28" w:line="216" w:lineRule="auto"/>
        <w:ind w:left="259"/>
        <w:jc w:val="left"/>
      </w:pPr>
      <w:r>
        <w:rPr>
          <w:rFonts w:ascii="Arial" w:hAnsi="Arial"/>
          <w:color w:val="525252"/>
          <w:sz w:val="13"/>
        </w:rPr>
        <w:t>The C- 5 is used for strategic intertheater delivery of outsized and oversized cargo and passengers.</w:t>
      </w:r>
    </w:p>
    <w:p>
      <w:pPr>
        <w:spacing w:after="20" w:line="223" w:lineRule="auto"/>
        <w:jc w:val="right"/>
        <w:bidi/>
      </w:pPr>
      <w:r>
        <w:rPr>
          <w:rFonts w:ascii="Arial" w:hAnsi="Arial"/>
          <w:sz w:val="16"/>
        </w:rPr>
        <w:t>063.06  خدمه زمینی قادر به بارگیری و تخلیه بار به‌طور همزمان در دهانه‌های بار جلو و عقب هستند و زمان انتقال محموله را کاهش می‌دهند.</w:t>
      </w:r>
    </w:p>
    <w:p>
      <w:pPr>
        <w:spacing w:after="28" w:line="216" w:lineRule="auto"/>
        <w:ind w:left="259"/>
        <w:jc w:val="left"/>
      </w:pPr>
      <w:r>
        <w:rPr>
          <w:rFonts w:ascii="Arial" w:hAnsi="Arial"/>
          <w:color w:val="525252"/>
          <w:sz w:val="13"/>
        </w:rPr>
        <w:t>Ground crews are able to load and off-load simultaneously at the front and rear cargo openings, reducing cargo transfer times.</w:t>
      </w:r>
    </w:p>
    <w:p>
      <w:pPr>
        <w:spacing w:after="20" w:line="223" w:lineRule="auto"/>
        <w:jc w:val="right"/>
        <w:bidi/>
      </w:pPr>
      <w:r>
        <w:rPr>
          <w:rFonts w:ascii="Arial" w:hAnsi="Arial"/>
          <w:sz w:val="16"/>
        </w:rPr>
        <w:t>063.07  ک-۱۷، گلوبماستر III ک-۱۷ قادر به تحویل استراتژیک سریع نیروها و محموله‌ها به پایگاه‌های اصلی عملیاتی یا مستقیما به پایگاه‌های پیشرو در منطقه استقرار است.</w:t>
      </w:r>
    </w:p>
    <w:p>
      <w:pPr>
        <w:spacing w:after="28" w:line="216" w:lineRule="auto"/>
        <w:ind w:left="259"/>
        <w:jc w:val="left"/>
      </w:pPr>
      <w:r>
        <w:rPr>
          <w:rFonts w:ascii="Arial" w:hAnsi="Arial"/>
          <w:color w:val="525252"/>
          <w:sz w:val="13"/>
        </w:rPr>
        <w:t>C-17, Globemaster III The C-17 is capable of rapid strategic delivery of troops and cargo to main operating bases or directly to forward bases in the deployment area.</w:t>
      </w:r>
    </w:p>
    <w:p>
      <w:pPr>
        <w:spacing w:after="20" w:line="223" w:lineRule="auto"/>
        <w:jc w:val="right"/>
        <w:bidi/>
      </w:pPr>
      <w:r>
        <w:rPr>
          <w:rFonts w:ascii="Arial" w:hAnsi="Arial"/>
          <w:sz w:val="16"/>
        </w:rPr>
        <w:t>063.08  این هواپیما می‌تواند مأموریت‌های هوایی تاکتیکی و ایردراپ را انجام دهد و در صورت لزوم می‌تواند زباله‌ها و بیماران سرپایی را در حین تخلیه هواپزشکی حمل کند.</w:t>
      </w:r>
    </w:p>
    <w:p>
      <w:pPr>
        <w:spacing w:after="28" w:line="216" w:lineRule="auto"/>
        <w:ind w:left="259"/>
        <w:jc w:val="left"/>
      </w:pPr>
      <w:r>
        <w:rPr>
          <w:rFonts w:ascii="Arial" w:hAnsi="Arial"/>
          <w:color w:val="525252"/>
          <w:sz w:val="13"/>
        </w:rPr>
        <w:t>The aircraft can perform tactical airlift and airdrop missions and can transport litters and ambulatory patients during aeromedical evacuations, when required.</w:t>
      </w:r>
    </w:p>
    <w:p>
      <w:pPr>
        <w:spacing w:after="20" w:line="223" w:lineRule="auto"/>
        <w:jc w:val="right"/>
        <w:bidi/>
      </w:pPr>
      <w:r>
        <w:rPr>
          <w:rFonts w:ascii="Arial" w:hAnsi="Arial"/>
          <w:sz w:val="16"/>
        </w:rPr>
        <w:t>063.09  ک-۲۰، گولفسترام III ک-۲۰ یک هواپیمای باری و مسافربری دو موتوره است که برای مقامات عالی رتبه دولتی استفاده می‌شود.</w:t>
      </w:r>
    </w:p>
    <w:p>
      <w:pPr>
        <w:spacing w:after="28" w:line="216" w:lineRule="auto"/>
        <w:ind w:left="259"/>
        <w:jc w:val="left"/>
      </w:pPr>
      <w:r>
        <w:rPr>
          <w:rFonts w:ascii="Arial" w:hAnsi="Arial"/>
          <w:color w:val="525252"/>
          <w:sz w:val="13"/>
        </w:rPr>
        <w:t>C-20, Gulfstream III The C-20 is a twin-engine cargo and passenger airlift aircraft used for high-ranking government officials.</w:t>
      </w:r>
    </w:p>
    <w:p>
      <w:pPr>
        <w:spacing w:after="20" w:line="223" w:lineRule="auto"/>
        <w:jc w:val="right"/>
        <w:bidi/>
      </w:pPr>
      <w:r>
        <w:rPr>
          <w:rFonts w:ascii="Arial" w:hAnsi="Arial"/>
          <w:sz w:val="16"/>
        </w:rPr>
        <w:t>063.10  قابلیت‌های ارتباطی امن و غیرایمن مسافر در سراسر جهان در هواپیما وجود دارد.</w:t>
      </w:r>
    </w:p>
    <w:p>
      <w:pPr>
        <w:spacing w:after="28" w:line="216" w:lineRule="auto"/>
        <w:ind w:left="259"/>
        <w:jc w:val="left"/>
      </w:pPr>
      <w:r>
        <w:rPr>
          <w:rFonts w:ascii="Arial" w:hAnsi="Arial"/>
          <w:color w:val="525252"/>
          <w:sz w:val="13"/>
        </w:rPr>
        <w:t>Worldwide secure and non-secure passenger communication capabilities exist on the aircraft.</w:t>
      </w:r>
    </w:p>
    <w:p>
      <w:pPr>
        <w:spacing w:after="20" w:line="223" w:lineRule="auto"/>
        <w:jc w:val="right"/>
        <w:bidi/>
      </w:pPr>
      <w:r>
        <w:rPr>
          <w:rFonts w:ascii="Arial" w:hAnsi="Arial"/>
          <w:sz w:val="16"/>
        </w:rPr>
        <w:t>063.11  ک-۲۱، لارجت ک-۲۱ یک هواپیمای باری و مسافربری دو موتوره است که برای بردهای کوتاه و در میدان‌های کوتاه استفاده می‌شود.</w:t>
      </w:r>
    </w:p>
    <w:p>
      <w:pPr>
        <w:spacing w:after="28" w:line="216" w:lineRule="auto"/>
        <w:ind w:left="259"/>
        <w:jc w:val="left"/>
      </w:pPr>
      <w:r>
        <w:rPr>
          <w:rFonts w:ascii="Arial" w:hAnsi="Arial"/>
          <w:color w:val="525252"/>
          <w:sz w:val="13"/>
        </w:rPr>
        <w:t>C-21, Learjet The C-21 is a twin-engine cargo and passenger airlift aircraft employed for short ranges and into short fields.</w:t>
      </w:r>
    </w:p>
    <w:p>
      <w:pPr>
        <w:spacing w:after="20" w:line="223" w:lineRule="auto"/>
        <w:jc w:val="right"/>
        <w:bidi/>
      </w:pPr>
      <w:r>
        <w:rPr>
          <w:rFonts w:ascii="Arial" w:hAnsi="Arial"/>
          <w:sz w:val="16"/>
        </w:rPr>
        <w:t>063.12  این هواپیما را می‌توان برای حمل زباله در حین تخلیه پزشکی پیکربندی کرد.</w:t>
      </w:r>
    </w:p>
    <w:p>
      <w:pPr>
        <w:spacing w:after="28" w:line="216" w:lineRule="auto"/>
        <w:ind w:left="259"/>
        <w:jc w:val="left"/>
      </w:pPr>
      <w:r>
        <w:rPr>
          <w:rFonts w:ascii="Arial" w:hAnsi="Arial"/>
          <w:color w:val="525252"/>
          <w:sz w:val="13"/>
        </w:rPr>
        <w:t>This aircraft can be configured to transport litters during medical evacuations.</w:t>
      </w:r>
    </w:p>
    <w:p>
      <w:pPr>
        <w:spacing w:after="20" w:line="223" w:lineRule="auto"/>
        <w:jc w:val="right"/>
        <w:bidi/>
      </w:pPr>
      <w:r>
        <w:rPr>
          <w:rFonts w:ascii="Arial" w:hAnsi="Arial"/>
          <w:sz w:val="16"/>
        </w:rPr>
        <w:t>063.13  ک-۳۷، گولفسترام و ک-۳۷ یک هواپیمای باری و مسافربری دو موتوره است که برای انجام مأموریت‌های حمل و نقل هوایی ویژه در سراسر جهان برای مقامات عالی رتبه دولتی استفاده می‌شود.</w:t>
      </w:r>
    </w:p>
    <w:p>
      <w:pPr>
        <w:spacing w:after="28" w:line="216" w:lineRule="auto"/>
        <w:ind w:left="259"/>
        <w:jc w:val="left"/>
      </w:pPr>
      <w:r>
        <w:rPr>
          <w:rFonts w:ascii="Arial" w:hAnsi="Arial"/>
          <w:color w:val="525252"/>
          <w:sz w:val="13"/>
        </w:rPr>
        <w:t>C-37, Gulfstream V The C-37 is a twin-engine cargo and passenger airlift aircraft used to fill the worldwide special airlift missions for high-ranking government officials.</w:t>
      </w:r>
    </w:p>
    <w:p>
      <w:pPr>
        <w:spacing w:after="20" w:line="223" w:lineRule="auto"/>
        <w:jc w:val="right"/>
        <w:bidi/>
      </w:pPr>
      <w:r>
        <w:rPr>
          <w:rFonts w:ascii="Arial" w:hAnsi="Arial"/>
          <w:sz w:val="16"/>
        </w:rPr>
        <w:t>063.14  این هواپیما به تجهیزات ارتباطی تجاری و نظامی برای ارائه قابلیت صوتی و داده‌ای امن و غیر ایمن مجهز شده است.</w:t>
      </w:r>
    </w:p>
    <w:p>
      <w:pPr>
        <w:spacing w:after="28" w:line="216" w:lineRule="auto"/>
        <w:ind w:left="259"/>
        <w:jc w:val="left"/>
      </w:pPr>
      <w:r>
        <w:rPr>
          <w:rFonts w:ascii="Arial" w:hAnsi="Arial"/>
          <w:color w:val="525252"/>
          <w:sz w:val="13"/>
        </w:rPr>
        <w:t>The aircraft is equipped with commercial and military communications equipment to provide secure and non-secure voice and data capability.</w:t>
      </w:r>
    </w:p>
    <w:p>
      <w:r>
        <w:br w:type="page"/>
      </w:r>
    </w:p>
    <w:p>
      <w:pPr>
        <w:spacing w:after="60"/>
        <w:jc w:val="right"/>
        <w:bidi/>
      </w:pPr>
      <w:r>
        <w:rPr>
          <w:rFonts w:ascii="Arial" w:hAnsi="Arial"/>
          <w:b/>
          <w:color w:val="1F4D78"/>
          <w:sz w:val="19"/>
        </w:rPr>
        <w:t>هفتهٔ 64  |  صفحهٔ منبع: 80</w:t>
      </w:r>
    </w:p>
    <w:p>
      <w:pPr>
        <w:spacing w:after="20" w:line="223" w:lineRule="auto"/>
        <w:jc w:val="right"/>
        <w:bidi/>
      </w:pPr>
      <w:r>
        <w:rPr>
          <w:rFonts w:ascii="Arial" w:hAnsi="Arial"/>
          <w:sz w:val="16"/>
        </w:rPr>
        <w:t>064.01  ک-۴۰ب/ک ک-۴۰ به‌عنوان دفتری در آسمان برای رهبران ارشد نظامی و دولتی طراحی شده است.</w:t>
      </w:r>
    </w:p>
    <w:p>
      <w:pPr>
        <w:spacing w:after="28" w:line="216" w:lineRule="auto"/>
        <w:ind w:left="259"/>
        <w:jc w:val="left"/>
      </w:pPr>
      <w:r>
        <w:rPr>
          <w:rFonts w:ascii="Arial" w:hAnsi="Arial"/>
          <w:color w:val="525252"/>
          <w:sz w:val="13"/>
        </w:rPr>
        <w:t>C-40B/C The C-40 is designed to be an office in the sky for senior military and government leaders.</w:t>
      </w:r>
    </w:p>
    <w:p>
      <w:pPr>
        <w:spacing w:after="20" w:line="223" w:lineRule="auto"/>
        <w:jc w:val="right"/>
        <w:bidi/>
      </w:pPr>
      <w:r>
        <w:rPr>
          <w:rFonts w:ascii="Arial" w:hAnsi="Arial"/>
          <w:sz w:val="16"/>
        </w:rPr>
        <w:t>064.02  حمل و نقل ایمن، راحت و قابل اعتماد را به نقاط مختلف جهان فراهم می‌کند.</w:t>
      </w:r>
    </w:p>
    <w:p>
      <w:pPr>
        <w:spacing w:after="28" w:line="216" w:lineRule="auto"/>
        <w:ind w:left="259"/>
        <w:jc w:val="left"/>
      </w:pPr>
      <w:r>
        <w:rPr>
          <w:rFonts w:ascii="Arial" w:hAnsi="Arial"/>
          <w:color w:val="525252"/>
          <w:sz w:val="13"/>
        </w:rPr>
        <w:t>It provides safe, comfortable, and reliable transportation to locations around the world.</w:t>
      </w:r>
    </w:p>
    <w:p>
      <w:pPr>
        <w:spacing w:after="20" w:line="223" w:lineRule="auto"/>
        <w:jc w:val="right"/>
        <w:bidi/>
      </w:pPr>
      <w:r>
        <w:rPr>
          <w:rFonts w:ascii="Arial" w:hAnsi="Arial"/>
          <w:sz w:val="16"/>
        </w:rPr>
        <w:t>064.03  مشتریان اصلی ک-۴۰ب فرماندهان جنگنده و مقامات ارشد دولتی هستند.</w:t>
      </w:r>
    </w:p>
    <w:p>
      <w:pPr>
        <w:spacing w:after="28" w:line="216" w:lineRule="auto"/>
        <w:ind w:left="259"/>
        <w:jc w:val="left"/>
      </w:pPr>
      <w:r>
        <w:rPr>
          <w:rFonts w:ascii="Arial" w:hAnsi="Arial"/>
          <w:color w:val="525252"/>
          <w:sz w:val="13"/>
        </w:rPr>
        <w:t>The C-40B’s primary customers are combatant commanders and senior government officials.</w:t>
      </w:r>
    </w:p>
    <w:p>
      <w:pPr>
        <w:spacing w:after="20" w:line="223" w:lineRule="auto"/>
        <w:jc w:val="right"/>
        <w:bidi/>
      </w:pPr>
      <w:r>
        <w:rPr>
          <w:rFonts w:ascii="Arial" w:hAnsi="Arial"/>
          <w:sz w:val="16"/>
        </w:rPr>
        <w:t>064.04  ک-۱۳۰، هرکولس ک-۱۳۰ عمدتا بخش تاکتیکی مأموریت‌های حمل و نقل هوایی را انجام می‌دهد.</w:t>
      </w:r>
    </w:p>
    <w:p>
      <w:pPr>
        <w:spacing w:after="28" w:line="216" w:lineRule="auto"/>
        <w:ind w:left="259"/>
        <w:jc w:val="left"/>
      </w:pPr>
      <w:r>
        <w:rPr>
          <w:rFonts w:ascii="Arial" w:hAnsi="Arial"/>
          <w:color w:val="525252"/>
          <w:sz w:val="13"/>
        </w:rPr>
        <w:t>C-130, Hercules The C-130 primarily performs the tactical portion of airlift missions.</w:t>
      </w:r>
    </w:p>
    <w:p>
      <w:pPr>
        <w:spacing w:after="20" w:line="223" w:lineRule="auto"/>
        <w:jc w:val="right"/>
        <w:bidi/>
      </w:pPr>
      <w:r>
        <w:rPr>
          <w:rFonts w:ascii="Arial" w:hAnsi="Arial"/>
          <w:sz w:val="16"/>
        </w:rPr>
        <w:t>064.05  این هواپیما قادر است از نوارهای خاکی ناهموار عمل کند.</w:t>
      </w:r>
    </w:p>
    <w:p>
      <w:pPr>
        <w:spacing w:after="28" w:line="216" w:lineRule="auto"/>
        <w:ind w:left="259"/>
        <w:jc w:val="left"/>
      </w:pPr>
      <w:r>
        <w:rPr>
          <w:rFonts w:ascii="Arial" w:hAnsi="Arial"/>
          <w:color w:val="525252"/>
          <w:sz w:val="13"/>
        </w:rPr>
        <w:t>The aircraft is capable of operating from rough dirt strips.</w:t>
      </w:r>
    </w:p>
    <w:p>
      <w:pPr>
        <w:spacing w:after="20" w:line="223" w:lineRule="auto"/>
        <w:jc w:val="right"/>
        <w:bidi/>
      </w:pPr>
      <w:r>
        <w:rPr>
          <w:rFonts w:ascii="Arial" w:hAnsi="Arial"/>
          <w:sz w:val="16"/>
        </w:rPr>
        <w:t>064.06  نسخه‌های اصلی و تخصصی این هواپیما نقش‌های متنوعی از جمله پشتیبانی هوایی، تأمین مجدد قطب جنوب، مأموریت‌های هواپزشکی، شناسایی آب‌وهوا، اسپری هوایی، اطفای حریق، و امدادرسانی به بلایای طبیعی را انجام می‌دهند.</w:t>
      </w:r>
    </w:p>
    <w:p>
      <w:pPr>
        <w:spacing w:after="28" w:line="216" w:lineRule="auto"/>
        <w:ind w:left="259"/>
        <w:jc w:val="left"/>
      </w:pPr>
      <w:r>
        <w:rPr>
          <w:rFonts w:ascii="Arial" w:hAnsi="Arial"/>
          <w:color w:val="525252"/>
          <w:sz w:val="13"/>
        </w:rPr>
        <w:t>Basic and specialized versions of the aircraft perform diverse roles including airlift support, Antarctic resupply, aeromedical missions, weather reconnaissance, aerial spray, firefighting, and natural disaster relief.</w:t>
      </w:r>
    </w:p>
    <w:p>
      <w:pPr>
        <w:spacing w:after="20" w:line="223" w:lineRule="auto"/>
        <w:jc w:val="right"/>
        <w:bidi/>
      </w:pPr>
      <w:r>
        <w:rPr>
          <w:rFonts w:ascii="Arial" w:hAnsi="Arial"/>
          <w:sz w:val="16"/>
        </w:rPr>
        <w:t>064.07  برخی از اصلاحات شناخته شده شامل AC-۱۳۰، گونشیپ. EC-۱۳۰ه، کومپاسس کالل؛ EC-۱۳۰ج، کومماندو سولو؛ HC-۱۳۰ن/ج، کومبات کینگ؛ MC-۱۳۰ه، کومبات تالون II؛ و MC-۱۳۰ج، کومماندو II.</w:t>
      </w:r>
    </w:p>
    <w:p>
      <w:pPr>
        <w:spacing w:after="28" w:line="216" w:lineRule="auto"/>
        <w:ind w:left="259"/>
        <w:jc w:val="left"/>
      </w:pPr>
      <w:r>
        <w:rPr>
          <w:rFonts w:ascii="Arial" w:hAnsi="Arial"/>
          <w:color w:val="525252"/>
          <w:sz w:val="13"/>
        </w:rPr>
        <w:t>Some commonly recognized modifications include the AC-130, Gunship; EC-130H, Compass Call; EC-130J, Commando Solo; HC-130N/J, Combat King; MC-130H, Combat Talon II; and the MC-130J, Commando II.</w:t>
      </w:r>
    </w:p>
    <w:p>
      <w:pPr>
        <w:spacing w:after="20" w:line="223" w:lineRule="auto"/>
        <w:jc w:val="right"/>
        <w:bidi/>
      </w:pPr>
      <w:r>
        <w:rPr>
          <w:rFonts w:ascii="Arial" w:hAnsi="Arial"/>
          <w:sz w:val="16"/>
        </w:rPr>
        <w:t>064.08  ک-۱۴۶، وولفهووند مأموریت اصلی ک-۱۴۶ ارائه حرکت انعطاف پذیر، پاسخگو و عملیاتی به فرماندهی عملیات ویژه ایالات متحده برای تیم‌های کوچک مورد نیاز برای پشتیبانی از فرماندهی عملیات ویژه تئاتر در سراسر جهان است.</w:t>
      </w:r>
    </w:p>
    <w:p>
      <w:pPr>
        <w:spacing w:after="28" w:line="216" w:lineRule="auto"/>
        <w:ind w:left="259"/>
        <w:jc w:val="left"/>
      </w:pPr>
      <w:r>
        <w:rPr>
          <w:rFonts w:ascii="Arial" w:hAnsi="Arial"/>
          <w:color w:val="525252"/>
          <w:sz w:val="13"/>
        </w:rPr>
        <w:t>C-146, Wolfhound The C-146’s primary mission is to provide U.S. Special Operations Command flexible, responsive, and operational movement of small teams needed in support of Theater Special Operations Commands around the world.</w:t>
      </w:r>
    </w:p>
    <w:p>
      <w:pPr>
        <w:spacing w:after="20" w:line="223" w:lineRule="auto"/>
        <w:jc w:val="right"/>
        <w:bidi/>
      </w:pPr>
      <w:r>
        <w:rPr>
          <w:rFonts w:ascii="Arial" w:hAnsi="Arial"/>
          <w:sz w:val="16"/>
        </w:rPr>
        <w:t>064.09  CV-۲۲، وسپری CV-۲۲ یک هواپیمای شیب دار است که ویژگی‌های برخاست عمودی، شناور و فرود عمودی یک هلیکوپتر را با ویژگی‌های دوربرد، کارایی سوخت و سرعت یک هواپیمای توربوپراپ ترکیب می‌کند.</w:t>
      </w:r>
    </w:p>
    <w:p>
      <w:pPr>
        <w:spacing w:after="28" w:line="216" w:lineRule="auto"/>
        <w:ind w:left="259"/>
        <w:jc w:val="left"/>
      </w:pPr>
      <w:r>
        <w:rPr>
          <w:rFonts w:ascii="Arial" w:hAnsi="Arial"/>
          <w:color w:val="525252"/>
          <w:sz w:val="13"/>
        </w:rPr>
        <w:t>CV-22, Osprey The CV-22 is a tiltrotor aircraft that combines the vertical takeoff, hover, and vertical landing qualities of a helicopter with the long-range, fuel efficiency, and speed characteristics of a turboprop aircraft.</w:t>
      </w:r>
    </w:p>
    <w:p>
      <w:pPr>
        <w:spacing w:after="20" w:line="223" w:lineRule="auto"/>
        <w:jc w:val="right"/>
        <w:bidi/>
      </w:pPr>
      <w:r>
        <w:rPr>
          <w:rFonts w:ascii="Arial" w:hAnsi="Arial"/>
          <w:sz w:val="16"/>
        </w:rPr>
        <w:t>064.10  مأموریت آن انجام مأموریت‌های دوربرد نفوذ، نفوذ و تأمین مجدد برای نیروهای عملیات ویژه است.</w:t>
      </w:r>
    </w:p>
    <w:p>
      <w:pPr>
        <w:spacing w:after="28" w:line="216" w:lineRule="auto"/>
        <w:ind w:left="259"/>
        <w:jc w:val="left"/>
      </w:pPr>
      <w:r>
        <w:rPr>
          <w:rFonts w:ascii="Arial" w:hAnsi="Arial"/>
          <w:color w:val="525252"/>
          <w:sz w:val="13"/>
        </w:rPr>
        <w:t>Its mission is to conduct long-range infiltration, exfiltration, and resupply missions for special operations forces.</w:t>
      </w:r>
    </w:p>
    <w:p>
      <w:pPr>
        <w:spacing w:after="20" w:line="223" w:lineRule="auto"/>
        <w:jc w:val="right"/>
        <w:bidi/>
      </w:pPr>
      <w:r>
        <w:rPr>
          <w:rFonts w:ascii="Arial" w:hAnsi="Arial"/>
          <w:sz w:val="16"/>
        </w:rPr>
        <w:t>064.11  -۳، سنتری ت -۳ یک پلت فرم مدیریت نبرد فرماندهی و کنترل هوایی قابل استقرار است که در سطح تاکتیکی جنگ به کار می‌رود.</w:t>
      </w:r>
    </w:p>
    <w:p>
      <w:pPr>
        <w:spacing w:after="28" w:line="216" w:lineRule="auto"/>
        <w:ind w:left="259"/>
        <w:jc w:val="left"/>
      </w:pPr>
      <w:r>
        <w:rPr>
          <w:rFonts w:ascii="Arial" w:hAnsi="Arial"/>
          <w:color w:val="525252"/>
          <w:sz w:val="13"/>
        </w:rPr>
        <w:t>E-3, Sentry The E-3 is a deployable airborne command and control battle management platform employed at the tactical level of war.</w:t>
      </w:r>
    </w:p>
    <w:p>
      <w:pPr>
        <w:spacing w:after="20" w:line="223" w:lineRule="auto"/>
        <w:jc w:val="right"/>
        <w:bidi/>
      </w:pPr>
      <w:r>
        <w:rPr>
          <w:rFonts w:ascii="Arial" w:hAnsi="Arial"/>
          <w:sz w:val="16"/>
        </w:rPr>
        <w:t>064.12  سیستم هشدار و کنترل هوابرد (AWACS) کلیه نظارت بر ارتفاع، هشدار و مدیریت نبرد را برای عملیات نبرد هوایی در سراسر جهان فراهم می‌کند.</w:t>
      </w:r>
    </w:p>
    <w:p>
      <w:pPr>
        <w:spacing w:after="28" w:line="216" w:lineRule="auto"/>
        <w:ind w:left="259"/>
        <w:jc w:val="left"/>
      </w:pPr>
      <w:r>
        <w:rPr>
          <w:rFonts w:ascii="Arial" w:hAnsi="Arial"/>
          <w:color w:val="525252"/>
          <w:sz w:val="13"/>
        </w:rPr>
        <w:t>The Airborne Warning and Control System (AWACS) provides all altitude surveillance, warning, and battle management for worldwide air combat operations.</w:t>
      </w:r>
    </w:p>
    <w:p>
      <w:pPr>
        <w:spacing w:after="20" w:line="223" w:lineRule="auto"/>
        <w:jc w:val="right"/>
        <w:bidi/>
      </w:pPr>
      <w:r>
        <w:rPr>
          <w:rFonts w:ascii="Arial" w:hAnsi="Arial"/>
          <w:sz w:val="16"/>
        </w:rPr>
        <w:t>064.13  -۳ عملیات مشترک و ترکیبی را هدایت، هماهنگ و کنترل می‌کند.</w:t>
      </w:r>
    </w:p>
    <w:p>
      <w:pPr>
        <w:spacing w:after="28" w:line="216" w:lineRule="auto"/>
        <w:ind w:left="259"/>
        <w:jc w:val="left"/>
      </w:pPr>
      <w:r>
        <w:rPr>
          <w:rFonts w:ascii="Arial" w:hAnsi="Arial"/>
          <w:color w:val="525252"/>
          <w:sz w:val="13"/>
        </w:rPr>
        <w:t>The E-3 directs, coordinates, and controls joint and combined operations.</w:t>
      </w:r>
    </w:p>
    <w:p>
      <w:r>
        <w:br w:type="page"/>
      </w:r>
    </w:p>
    <w:p>
      <w:pPr>
        <w:spacing w:after="60"/>
        <w:jc w:val="right"/>
        <w:bidi/>
      </w:pPr>
      <w:r>
        <w:rPr>
          <w:rFonts w:ascii="Arial" w:hAnsi="Arial"/>
          <w:b/>
          <w:color w:val="1F4D78"/>
          <w:sz w:val="19"/>
        </w:rPr>
        <w:t>هفتهٔ 65  |  صفحهٔ منبع: 81</w:t>
      </w:r>
    </w:p>
    <w:p>
      <w:pPr>
        <w:spacing w:before="60" w:after="28"/>
        <w:jc w:val="right"/>
        <w:bidi/>
      </w:pPr>
      <w:r>
        <w:rPr>
          <w:b/>
          <w:color w:val="1F4D78"/>
          <w:sz w:val="18"/>
        </w:rPr>
        <w:t>E-4B، NAOC</w:t>
      </w:r>
    </w:p>
    <w:p>
      <w:pPr>
        <w:spacing w:after="20"/>
        <w:ind w:left="259"/>
        <w:jc w:val="left"/>
      </w:pPr>
      <w:r>
        <w:rPr>
          <w:color w:val="555555"/>
          <w:sz w:val="12"/>
        </w:rPr>
        <w:t>E-4B, NAOC</w:t>
      </w:r>
    </w:p>
    <w:p>
      <w:pPr>
        <w:spacing w:after="20" w:line="223" w:lineRule="auto"/>
        <w:jc w:val="right"/>
        <w:bidi/>
      </w:pPr>
      <w:r>
        <w:rPr>
          <w:rFonts w:ascii="Arial" w:hAnsi="Arial"/>
          <w:sz w:val="16"/>
        </w:rPr>
        <w:t>065.02  -۴ب، به‌ویژه برای مرکز ملی عملیات هوابرد (NAOC) شناخته شده است، به‌عنوان یک گره بسیار قابل بقا در سیستم فرماندهی نظامی ملی طراحی شده است.</w:t>
      </w:r>
    </w:p>
    <w:p>
      <w:pPr>
        <w:spacing w:after="28" w:line="216" w:lineRule="auto"/>
        <w:ind w:left="259"/>
        <w:jc w:val="left"/>
      </w:pPr>
      <w:r>
        <w:rPr>
          <w:rFonts w:ascii="Arial" w:hAnsi="Arial"/>
          <w:color w:val="525252"/>
          <w:sz w:val="13"/>
        </w:rPr>
        <w:t>The E-4B, particularly known for its National Airborne Operations Center (NAOC), is designed as a highly survivable node of the National Military Command System.</w:t>
      </w:r>
    </w:p>
    <w:p>
      <w:pPr>
        <w:spacing w:after="20" w:line="223" w:lineRule="auto"/>
        <w:jc w:val="right"/>
        <w:bidi/>
      </w:pPr>
      <w:r>
        <w:rPr>
          <w:rFonts w:ascii="Arial" w:hAnsi="Arial"/>
          <w:sz w:val="16"/>
        </w:rPr>
        <w:t>065.03  -۴ب در مواقع اضطراری ملی پشتیبانی از مأموریت فرماندهی و کنترل حیاتی را ارائه می‌کند و برای هماهنگی اقدامات مقامات مدنی در هنگام واکنش به بحران پشتیبانی می‌کند.</w:t>
      </w:r>
    </w:p>
    <w:p>
      <w:pPr>
        <w:spacing w:after="28" w:line="216" w:lineRule="auto"/>
        <w:ind w:left="259"/>
        <w:jc w:val="left"/>
      </w:pPr>
      <w:r>
        <w:rPr>
          <w:rFonts w:ascii="Arial" w:hAnsi="Arial"/>
          <w:color w:val="525252"/>
          <w:sz w:val="13"/>
        </w:rPr>
        <w:t>The E-4B provides critical command and control mission support in case of national emergency and provides support to coordinate actions by civil authorities during crisis response.</w:t>
      </w:r>
    </w:p>
    <w:p>
      <w:pPr>
        <w:spacing w:after="20" w:line="223" w:lineRule="auto"/>
        <w:jc w:val="right"/>
        <w:bidi/>
      </w:pPr>
      <w:r>
        <w:rPr>
          <w:rFonts w:ascii="Arial" w:hAnsi="Arial"/>
          <w:sz w:val="16"/>
        </w:rPr>
        <w:t>065.04  -۸ک، جوینت STARS سیستم رادار نظارت مشترک و حمله هدف -۸ک (جوینت STARS) یک برنامه مشترک ارتش و USAF است که برای ارتقای مدیریت نبرد با ارائه نظارت نزدیک به زمان واقعی در منطقه وسیع و اطلاعات هدف قرار دادن اهداف زمینی متحرک و ثابت طراحی شده است.</w:t>
      </w:r>
    </w:p>
    <w:p>
      <w:pPr>
        <w:spacing w:after="28" w:line="216" w:lineRule="auto"/>
        <w:ind w:left="259"/>
        <w:jc w:val="left"/>
      </w:pPr>
      <w:r>
        <w:rPr>
          <w:rFonts w:ascii="Arial" w:hAnsi="Arial"/>
          <w:color w:val="525252"/>
          <w:sz w:val="13"/>
        </w:rPr>
        <w:t>E-8C, Joint STARS The E-8C Joint Surveillance and Target Attack Radar System (Joint STARS) is a joint Army/USAF program designed to enhance battle management by providing near real-time wide-area surveillance and targeting information on moving and stationary ground targets.</w:t>
      </w:r>
    </w:p>
    <w:p>
      <w:pPr>
        <w:spacing w:after="20" w:line="223" w:lineRule="auto"/>
        <w:jc w:val="right"/>
        <w:bidi/>
      </w:pPr>
      <w:r>
        <w:rPr>
          <w:rFonts w:ascii="Arial" w:hAnsi="Arial"/>
          <w:sz w:val="16"/>
        </w:rPr>
        <w:t>065.05  -۹ا -۹ا یک هواپیمای توربوپراپ دوقلو است که به‌عنوان سکوی نظارتی برای اطمینان از پاک بودن آب‌های خلیج مکزیک از قایق‌ها و هواپیماهای غیرنظامی در هنگام پرتاب موشک‌های زنده و سایر فعالیت‌های نظامی خطرناک استفاده می‌شود.</w:t>
      </w:r>
    </w:p>
    <w:p>
      <w:pPr>
        <w:spacing w:after="28" w:line="216" w:lineRule="auto"/>
        <w:ind w:left="259"/>
        <w:jc w:val="left"/>
      </w:pPr>
      <w:r>
        <w:rPr>
          <w:rFonts w:ascii="Arial" w:hAnsi="Arial"/>
          <w:color w:val="525252"/>
          <w:sz w:val="13"/>
        </w:rPr>
        <w:t>E-9A The E-9A is a twin turboprop aircraft used as a surveillance platform to ensure the Gulf of Mexico waters are clear of civilian boaters and aircraft during live missile launches and other hazardous military activities.</w:t>
      </w:r>
    </w:p>
    <w:p>
      <w:pPr>
        <w:spacing w:after="20" w:line="223" w:lineRule="auto"/>
        <w:jc w:val="right"/>
        <w:bidi/>
      </w:pPr>
      <w:r>
        <w:rPr>
          <w:rFonts w:ascii="Arial" w:hAnsi="Arial"/>
          <w:sz w:val="16"/>
        </w:rPr>
        <w:t>065.06  -۹ا از ارزیابی، توسعه و آزمایش عملیاتی سیستم تسلیحات هوا به هوا پشتیبانی می‌کند.</w:t>
      </w:r>
    </w:p>
    <w:p>
      <w:pPr>
        <w:spacing w:after="28" w:line="216" w:lineRule="auto"/>
        <w:ind w:left="259"/>
        <w:jc w:val="left"/>
      </w:pPr>
      <w:r>
        <w:rPr>
          <w:rFonts w:ascii="Arial" w:hAnsi="Arial"/>
          <w:color w:val="525252"/>
          <w:sz w:val="13"/>
        </w:rPr>
        <w:t>The E-9A provides support for air-to-air weapons system evaluation, development, and operational testing.</w:t>
      </w:r>
    </w:p>
    <w:p>
      <w:pPr>
        <w:spacing w:after="20" w:line="223" w:lineRule="auto"/>
        <w:jc w:val="right"/>
        <w:bidi/>
      </w:pPr>
      <w:r>
        <w:rPr>
          <w:rFonts w:ascii="Arial" w:hAnsi="Arial"/>
          <w:sz w:val="16"/>
        </w:rPr>
        <w:t>065.07  ف-۱۵، اگل ف-۱۵ یک جنگنده دو موتوره، در شرایط آب و هوایی، بسیار قابل مانور است که برای کسب و حفظ برتری هوایی طراحی شده است.</w:t>
      </w:r>
    </w:p>
    <w:p>
      <w:pPr>
        <w:spacing w:after="28" w:line="216" w:lineRule="auto"/>
        <w:ind w:left="259"/>
        <w:jc w:val="left"/>
      </w:pPr>
      <w:r>
        <w:rPr>
          <w:rFonts w:ascii="Arial" w:hAnsi="Arial"/>
          <w:color w:val="525252"/>
          <w:sz w:val="13"/>
        </w:rPr>
        <w:t>F-15, Eagle The F-15 is a dual engine, all weather, extremely maneuverable fighter designed to gain and maintain air superiority.</w:t>
      </w:r>
    </w:p>
    <w:p>
      <w:pPr>
        <w:spacing w:after="20" w:line="223" w:lineRule="auto"/>
        <w:jc w:val="right"/>
        <w:bidi/>
      </w:pPr>
      <w:r>
        <w:rPr>
          <w:rFonts w:ascii="Arial" w:hAnsi="Arial"/>
          <w:sz w:val="16"/>
        </w:rPr>
        <w:t>065.08  ف-۱۵ دارای سیستم‌ها و تسلیحات الکترونیکی برای شناسایی، بدست آوردن، ردیابی و حمله به هواپیماهای دشمن در حین عملیات در حریم هوایی دوستانه یا تحت کنترل دشمن است.</w:t>
      </w:r>
    </w:p>
    <w:p>
      <w:pPr>
        <w:spacing w:after="28" w:line="216" w:lineRule="auto"/>
        <w:ind w:left="259"/>
        <w:jc w:val="left"/>
      </w:pPr>
      <w:r>
        <w:rPr>
          <w:rFonts w:ascii="Arial" w:hAnsi="Arial"/>
          <w:color w:val="525252"/>
          <w:sz w:val="13"/>
        </w:rPr>
        <w:t>The F-15 has electronic systems and weaponry to detect, acquire, track, and attack enemy aircraft while operating in friendly or enemy-controlled airspace.</w:t>
      </w:r>
    </w:p>
    <w:p>
      <w:pPr>
        <w:spacing w:after="20" w:line="223" w:lineRule="auto"/>
        <w:jc w:val="right"/>
        <w:bidi/>
      </w:pPr>
      <w:r>
        <w:rPr>
          <w:rFonts w:ascii="Arial" w:hAnsi="Arial"/>
          <w:sz w:val="16"/>
        </w:rPr>
        <w:t>065.09  ف-۱۵، ستریک اگل ف-۱۵ یک جنگنده دو موتوره، هوا به زمین، هوا به هوا، هوا به هوا است که برای پشتیبانی هوایی نزدیک، حمله استراتژیک و نقش‌های بازدارنده طراحی شده است.</w:t>
      </w:r>
    </w:p>
    <w:p>
      <w:pPr>
        <w:spacing w:after="28" w:line="216" w:lineRule="auto"/>
        <w:ind w:left="259"/>
        <w:jc w:val="left"/>
      </w:pPr>
      <w:r>
        <w:rPr>
          <w:rFonts w:ascii="Arial" w:hAnsi="Arial"/>
          <w:color w:val="525252"/>
          <w:sz w:val="13"/>
        </w:rPr>
        <w:t>F-15E, Strike Eagle The F-15E is a dual engine, air-to-ground, air-to-air, all- weather fighter, designed for close air support, strategic attack, and interdiction roles.</w:t>
      </w:r>
    </w:p>
    <w:p>
      <w:pPr>
        <w:spacing w:after="20" w:line="223" w:lineRule="auto"/>
        <w:jc w:val="right"/>
        <w:bidi/>
      </w:pPr>
      <w:r>
        <w:rPr>
          <w:rFonts w:ascii="Arial" w:hAnsi="Arial"/>
          <w:sz w:val="16"/>
        </w:rPr>
        <w:t>065.10  ف-۱۵ این قابلیت را دارد که راه خود را به سمت هدف در بردهای طولانی بجنگد، مواضع زمینی دشمن را نابود کند و راه خروج را بجنگد.</w:t>
      </w:r>
    </w:p>
    <w:p>
      <w:pPr>
        <w:spacing w:after="28" w:line="216" w:lineRule="auto"/>
        <w:ind w:left="259"/>
        <w:jc w:val="left"/>
      </w:pPr>
      <w:r>
        <w:rPr>
          <w:rFonts w:ascii="Arial" w:hAnsi="Arial"/>
          <w:color w:val="525252"/>
          <w:sz w:val="13"/>
        </w:rPr>
        <w:t>The F-15E has the capability to fight its way to a target over long ranges, destroy enemy ground positions, and fight its way out.</w:t>
      </w:r>
    </w:p>
    <w:p>
      <w:pPr>
        <w:spacing w:after="20" w:line="223" w:lineRule="auto"/>
        <w:jc w:val="right"/>
        <w:bidi/>
      </w:pPr>
      <w:r>
        <w:rPr>
          <w:rFonts w:ascii="Arial" w:hAnsi="Arial"/>
          <w:sz w:val="16"/>
        </w:rPr>
        <w:t>065.11  این هواپیما از دو خدمه استفاده می‌کند - یک خلبان و یک افسر سیستم‌های تسلیحاتی.</w:t>
      </w:r>
    </w:p>
    <w:p>
      <w:pPr>
        <w:spacing w:after="28" w:line="216" w:lineRule="auto"/>
        <w:ind w:left="259"/>
        <w:jc w:val="left"/>
      </w:pPr>
      <w:r>
        <w:rPr>
          <w:rFonts w:ascii="Arial" w:hAnsi="Arial"/>
          <w:color w:val="525252"/>
          <w:sz w:val="13"/>
        </w:rPr>
        <w:t>The aircraft uses two crew members - a pilot and a weapon systems officer.</w:t>
      </w:r>
    </w:p>
    <w:p>
      <w:pPr>
        <w:spacing w:after="20" w:line="223" w:lineRule="auto"/>
        <w:jc w:val="right"/>
        <w:bidi/>
      </w:pPr>
      <w:r>
        <w:rPr>
          <w:rFonts w:ascii="Arial" w:hAnsi="Arial"/>
          <w:sz w:val="16"/>
        </w:rPr>
        <w:t>065.12  ف-۱۶، فیگهتینگ فالکون ف-۱۶ یک جنگنده تاکتیکی تک موتوره و چند منظوره با قابلیت‌های کامل نبرد هوا به هوا و هوا به زمین است.</w:t>
      </w:r>
    </w:p>
    <w:p>
      <w:pPr>
        <w:spacing w:after="28" w:line="216" w:lineRule="auto"/>
        <w:ind w:left="259"/>
        <w:jc w:val="left"/>
      </w:pPr>
      <w:r>
        <w:rPr>
          <w:rFonts w:ascii="Arial" w:hAnsi="Arial"/>
          <w:color w:val="525252"/>
          <w:sz w:val="13"/>
        </w:rPr>
        <w:t>F-16, Fighting Falcon The F-16 is a single engine, multi-role tactical fighter with full air-to-air and air-to-ground combat capabilities.</w:t>
      </w:r>
    </w:p>
    <w:p>
      <w:pPr>
        <w:spacing w:after="20" w:line="223" w:lineRule="auto"/>
        <w:jc w:val="right"/>
        <w:bidi/>
      </w:pPr>
      <w:r>
        <w:rPr>
          <w:rFonts w:ascii="Arial" w:hAnsi="Arial"/>
          <w:sz w:val="16"/>
        </w:rPr>
        <w:t>065.13  این هواپیما یک سیستم تسلیحاتی نسبتا کم هزینه و با کارایی بالا برای ایالات متحده و کشورهای متحد آن فراهم می‌کند.</w:t>
      </w:r>
    </w:p>
    <w:p>
      <w:pPr>
        <w:spacing w:after="28" w:line="216" w:lineRule="auto"/>
        <w:ind w:left="259"/>
        <w:jc w:val="left"/>
      </w:pPr>
      <w:r>
        <w:rPr>
          <w:rFonts w:ascii="Arial" w:hAnsi="Arial"/>
          <w:color w:val="525252"/>
          <w:sz w:val="13"/>
        </w:rPr>
        <w:t>This aircraft provides a relatively low-cost, high-performance weapon system for the United States and allied nations.</w:t>
      </w:r>
    </w:p>
    <w:p>
      <w:r>
        <w:br w:type="page"/>
      </w:r>
    </w:p>
    <w:p>
      <w:pPr>
        <w:spacing w:after="60"/>
        <w:jc w:val="right"/>
        <w:bidi/>
      </w:pPr>
      <w:r>
        <w:rPr>
          <w:rFonts w:ascii="Arial" w:hAnsi="Arial"/>
          <w:b/>
          <w:color w:val="1F4D78"/>
          <w:sz w:val="19"/>
        </w:rPr>
        <w:t>هفتهٔ 66  |  صفحهٔ منبع: 82</w:t>
      </w:r>
    </w:p>
    <w:p>
      <w:pPr>
        <w:spacing w:after="20" w:line="223" w:lineRule="auto"/>
        <w:jc w:val="right"/>
        <w:bidi/>
      </w:pPr>
      <w:r>
        <w:rPr>
          <w:rFonts w:ascii="Arial" w:hAnsi="Arial"/>
          <w:sz w:val="16"/>
        </w:rPr>
        <w:t>066.01  ف-۲۲، راپتور ف-۲۲ یک بدنه هوایی با قابلیت مشاهده کم و بسیار قابل مانور با سیستم‌های اویونیک یکپارچه پیشرفته و عملکرد آیرودینامیکی است که امکان کروز مافوق صوت بدون استفاده از پس سوز را فراهم می‌کند.</w:t>
      </w:r>
    </w:p>
    <w:p>
      <w:pPr>
        <w:spacing w:after="28" w:line="216" w:lineRule="auto"/>
        <w:ind w:left="259"/>
        <w:jc w:val="left"/>
      </w:pPr>
      <w:r>
        <w:rPr>
          <w:rFonts w:ascii="Arial" w:hAnsi="Arial"/>
          <w:color w:val="525252"/>
          <w:sz w:val="13"/>
        </w:rPr>
        <w:t>F-22, Raptor The F-22 is a low observable, highly maneuverable airframe with advanced integrated avionics and aerodynamic performance allowing supersonic cruise without using afterburner.</w:t>
      </w:r>
    </w:p>
    <w:p>
      <w:pPr>
        <w:spacing w:after="20" w:line="223" w:lineRule="auto"/>
        <w:jc w:val="right"/>
        <w:bidi/>
      </w:pPr>
      <w:r>
        <w:rPr>
          <w:rFonts w:ascii="Arial" w:hAnsi="Arial"/>
          <w:sz w:val="16"/>
        </w:rPr>
        <w:t>066.02  ف-۳۵، لیگهتنینگ II ف-۳۵ به USAF قدرت تسلط بر آسمان‌ها را می‌دهد - در هر زمان و هر مکان.</w:t>
      </w:r>
    </w:p>
    <w:p>
      <w:pPr>
        <w:spacing w:after="28" w:line="216" w:lineRule="auto"/>
        <w:ind w:left="259"/>
        <w:jc w:val="left"/>
      </w:pPr>
      <w:r>
        <w:rPr>
          <w:rFonts w:ascii="Arial" w:hAnsi="Arial"/>
          <w:color w:val="525252"/>
          <w:sz w:val="13"/>
        </w:rPr>
        <w:t>F-35, Lightning II The F-35 gives the USAF the power to dominate the skies - anytime, anywhere.</w:t>
      </w:r>
    </w:p>
    <w:p>
      <w:pPr>
        <w:spacing w:after="20" w:line="223" w:lineRule="auto"/>
        <w:jc w:val="right"/>
        <w:bidi/>
      </w:pPr>
      <w:r>
        <w:rPr>
          <w:rFonts w:ascii="Arial" w:hAnsi="Arial"/>
          <w:sz w:val="16"/>
        </w:rPr>
        <w:t>066.03  ف-۳۵ یک جنگنده چابک، همه کاره و با عملکرد بالا است که مخفی کاری، همجوشی حسگرها و آگاهی موقعیتی بی سابقه را ترکیب می‌کند.</w:t>
      </w:r>
    </w:p>
    <w:p>
      <w:pPr>
        <w:spacing w:after="28" w:line="216" w:lineRule="auto"/>
        <w:ind w:left="259"/>
        <w:jc w:val="left"/>
      </w:pPr>
      <w:r>
        <w:rPr>
          <w:rFonts w:ascii="Arial" w:hAnsi="Arial"/>
          <w:color w:val="525252"/>
          <w:sz w:val="13"/>
        </w:rPr>
        <w:t>The F-35 is an agile, versatile, high- performance fighter that combines stealth, sensor fusion, and unprecedented situational awareness.</w:t>
      </w:r>
    </w:p>
    <w:p>
      <w:pPr>
        <w:spacing w:after="20" w:line="223" w:lineRule="auto"/>
        <w:jc w:val="right"/>
        <w:bidi/>
      </w:pPr>
      <w:r>
        <w:rPr>
          <w:rFonts w:ascii="Arial" w:hAnsi="Arial"/>
          <w:sz w:val="16"/>
        </w:rPr>
        <w:t>066.04  HH-۶۰گ، پاو هاوک هلیکوپتر HH-۶۰گ عمدتا برای انجام عملیات بازیابی پرسنل در محیط‌های متخاصم برای بازیابی پرسنل جدا شده استفاده می‌شود.</w:t>
      </w:r>
    </w:p>
    <w:p>
      <w:pPr>
        <w:spacing w:after="28" w:line="216" w:lineRule="auto"/>
        <w:ind w:left="259"/>
        <w:jc w:val="left"/>
      </w:pPr>
      <w:r>
        <w:rPr>
          <w:rFonts w:ascii="Arial" w:hAnsi="Arial"/>
          <w:color w:val="525252"/>
          <w:sz w:val="13"/>
        </w:rPr>
        <w:t>HH-60G, Pave Hawk The HH-60G helicopter is primarily used to conduct personnel recovery operations into hostile environments to recover isolated personnel.</w:t>
      </w:r>
    </w:p>
    <w:p>
      <w:pPr>
        <w:spacing w:after="20" w:line="223" w:lineRule="auto"/>
        <w:jc w:val="right"/>
        <w:bidi/>
      </w:pPr>
      <w:r>
        <w:rPr>
          <w:rFonts w:ascii="Arial" w:hAnsi="Arial"/>
          <w:sz w:val="16"/>
        </w:rPr>
        <w:t>066.05  HH-۶۰گ به سرعت قابل استقرار است و دارای قابلیت نبرد در روز/شب، آب و هوای حاشیه‌ای است که برای عملیات جستجو و نجات جنگی، مبارزه با مواد مخدر، امدادرسانی در بلایای طبیعی، جستجو و نجات غیرنظامی و عملیات پشتیبانی استفاده می‌شود.</w:t>
      </w:r>
    </w:p>
    <w:p>
      <w:pPr>
        <w:spacing w:after="28" w:line="216" w:lineRule="auto"/>
        <w:ind w:left="259"/>
        <w:jc w:val="left"/>
      </w:pPr>
      <w:r>
        <w:rPr>
          <w:rFonts w:ascii="Arial" w:hAnsi="Arial"/>
          <w:color w:val="525252"/>
          <w:sz w:val="13"/>
        </w:rPr>
        <w:t>The HH-60G is rapidly deployable and has day/night, marginal weather combat capability employed for combat search and rescue, counter-drug, disaster relief, civil search and rescue, and support operations.</w:t>
      </w:r>
    </w:p>
    <w:p>
      <w:pPr>
        <w:spacing w:after="20" w:line="223" w:lineRule="auto"/>
        <w:jc w:val="right"/>
        <w:bidi/>
      </w:pPr>
      <w:r>
        <w:rPr>
          <w:rFonts w:ascii="Arial" w:hAnsi="Arial"/>
          <w:sz w:val="16"/>
        </w:rPr>
        <w:t>066.06  HH-۶۰و یک نوع پیشرفته از HH-۶۰گ است که قرار است جایگزین ناوگان قدیمی هلیکوپترهای HH-۶۰گ شود.</w:t>
      </w:r>
    </w:p>
    <w:p>
      <w:pPr>
        <w:spacing w:after="28" w:line="216" w:lineRule="auto"/>
        <w:ind w:left="259"/>
        <w:jc w:val="left"/>
      </w:pPr>
      <w:r>
        <w:rPr>
          <w:rFonts w:ascii="Arial" w:hAnsi="Arial"/>
          <w:color w:val="525252"/>
          <w:sz w:val="13"/>
        </w:rPr>
        <w:t>The HH-60W is an advanced variant of the HH-60G is set to replace the ageing fleet of HH- 60G helicopters.</w:t>
      </w:r>
    </w:p>
    <w:p>
      <w:pPr>
        <w:spacing w:after="20" w:line="223" w:lineRule="auto"/>
        <w:jc w:val="right"/>
        <w:bidi/>
      </w:pPr>
      <w:r>
        <w:rPr>
          <w:rFonts w:ascii="Arial" w:hAnsi="Arial"/>
          <w:sz w:val="16"/>
        </w:rPr>
        <w:t>066.07  KC-۱۰، توسعه دهنده KC-۱۰ پشتیبانی جهانی سوخت‌گیری و حمل و نقل هوایی در حین پرواز را برای استقرار، استخدام، استقرار مجدد، و عملیات‌های ویژه مشترک/ترکیبی فراهم می‌کند.</w:t>
      </w:r>
    </w:p>
    <w:p>
      <w:pPr>
        <w:spacing w:after="28" w:line="216" w:lineRule="auto"/>
        <w:ind w:left="259"/>
        <w:jc w:val="left"/>
      </w:pPr>
      <w:r>
        <w:rPr>
          <w:rFonts w:ascii="Arial" w:hAnsi="Arial"/>
          <w:color w:val="525252"/>
          <w:sz w:val="13"/>
        </w:rPr>
        <w:t>KC-10, Extender The KC-10 provides global in-flight refueling and airlift support for deployment, employment, redeployment, and joint/combined special operations.</w:t>
      </w:r>
    </w:p>
    <w:p>
      <w:pPr>
        <w:spacing w:after="20" w:line="223" w:lineRule="auto"/>
        <w:jc w:val="right"/>
        <w:bidi/>
      </w:pPr>
      <w:r>
        <w:rPr>
          <w:rFonts w:ascii="Arial" w:hAnsi="Arial"/>
          <w:sz w:val="16"/>
        </w:rPr>
        <w:t>066.08  قادر است وظایف یک تانکر و هواپیمای باری را با سوخت رسانی به جنگنده‌ها و همزمان حمل پرسنل و تجهیزات پشتیبانی جنگنده در استقرار خارج از کشور ترکیب کند.</w:t>
      </w:r>
    </w:p>
    <w:p>
      <w:pPr>
        <w:spacing w:after="28" w:line="216" w:lineRule="auto"/>
        <w:ind w:left="259"/>
        <w:jc w:val="left"/>
      </w:pPr>
      <w:r>
        <w:rPr>
          <w:rFonts w:ascii="Arial" w:hAnsi="Arial"/>
          <w:color w:val="525252"/>
          <w:sz w:val="13"/>
        </w:rPr>
        <w:t>It is able to combine the tasks of a tanker and cargo aircraft by refueling fighters and simultaneously carrying fighter support personnel and equipment on overseas deployments.</w:t>
      </w:r>
    </w:p>
    <w:p>
      <w:pPr>
        <w:spacing w:after="20" w:line="223" w:lineRule="auto"/>
        <w:jc w:val="right"/>
        <w:bidi/>
      </w:pPr>
      <w:r>
        <w:rPr>
          <w:rFonts w:ascii="Arial" w:hAnsi="Arial"/>
          <w:sz w:val="16"/>
        </w:rPr>
        <w:t>066.09  KC-۱۰ همچنین می‌تواند بستر و بیماران سرپایی را با استفاده از پالت‌های پشتیبانی بیمار در طول تخلیه هواپزشکی حمل کند.</w:t>
      </w:r>
    </w:p>
    <w:p>
      <w:pPr>
        <w:spacing w:after="28" w:line="216" w:lineRule="auto"/>
        <w:ind w:left="259"/>
        <w:jc w:val="left"/>
      </w:pPr>
      <w:r>
        <w:rPr>
          <w:rFonts w:ascii="Arial" w:hAnsi="Arial"/>
          <w:color w:val="525252"/>
          <w:sz w:val="13"/>
        </w:rPr>
        <w:t>The KC-10 is also capable of transporting litter and ambulatory patients using patient support pallets during aeromedical evacuations.</w:t>
      </w:r>
    </w:p>
    <w:p>
      <w:pPr>
        <w:spacing w:after="20" w:line="223" w:lineRule="auto"/>
        <w:jc w:val="right"/>
        <w:bidi/>
      </w:pPr>
      <w:r>
        <w:rPr>
          <w:rFonts w:ascii="Arial" w:hAnsi="Arial"/>
          <w:sz w:val="16"/>
        </w:rPr>
        <w:t>066.10  KC-۴۶، پگاسوس تانکر KC-۴۶ا سوخت‌گیری بوم و دروگ را در یک مأموریت انجام می‌دهد و قابلیت حمل هوایی را فراهم می‌کند.</w:t>
      </w:r>
    </w:p>
    <w:p>
      <w:pPr>
        <w:spacing w:after="28" w:line="216" w:lineRule="auto"/>
        <w:ind w:left="259"/>
        <w:jc w:val="left"/>
      </w:pPr>
      <w:r>
        <w:rPr>
          <w:rFonts w:ascii="Arial" w:hAnsi="Arial"/>
          <w:color w:val="525252"/>
          <w:sz w:val="13"/>
        </w:rPr>
        <w:t>KC-46, Pegasus The KC-46A tanker will conduct boom and drogue refueling on a single mission and provide airlift capability.</w:t>
      </w:r>
    </w:p>
    <w:p>
      <w:pPr>
        <w:spacing w:after="20" w:line="223" w:lineRule="auto"/>
        <w:jc w:val="right"/>
        <w:bidi/>
      </w:pPr>
      <w:r>
        <w:rPr>
          <w:rFonts w:ascii="Arial" w:hAnsi="Arial"/>
          <w:sz w:val="16"/>
        </w:rPr>
        <w:t>066.11  USAF تحویل اولین فروند از ۱۷۹ فروند KC-۴۶ا را آغاز کرده است که به مجموع ناوگان نفتکش بیش از ۴۰۰ فروند هواپیما اضافه می‌کند.</w:t>
      </w:r>
    </w:p>
    <w:p>
      <w:pPr>
        <w:spacing w:after="28" w:line="216" w:lineRule="auto"/>
        <w:ind w:left="259"/>
        <w:jc w:val="left"/>
      </w:pPr>
      <w:r>
        <w:rPr>
          <w:rFonts w:ascii="Arial" w:hAnsi="Arial"/>
          <w:color w:val="525252"/>
          <w:sz w:val="13"/>
        </w:rPr>
        <w:t>The USAF has begun to take delivery of the first of 179 KC-46As, adding to a total tanker fleet of more than 400 aircraft.</w:t>
      </w:r>
    </w:p>
    <w:p>
      <w:pPr>
        <w:spacing w:after="20" w:line="223" w:lineRule="auto"/>
        <w:jc w:val="right"/>
        <w:bidi/>
      </w:pPr>
      <w:r>
        <w:rPr>
          <w:rFonts w:ascii="Arial" w:hAnsi="Arial"/>
          <w:sz w:val="16"/>
        </w:rPr>
        <w:t>066.12  حتی با وجود ۱۷۹ نفتکش برنامه‌ریزی شده، هنوز نیاز به میدان دادن صدها نفتکش دیگر برای برآورده کردن الزامات امنیت ملی وجود دارد.</w:t>
      </w:r>
    </w:p>
    <w:p>
      <w:pPr>
        <w:spacing w:after="28" w:line="216" w:lineRule="auto"/>
        <w:ind w:left="259"/>
        <w:jc w:val="left"/>
      </w:pPr>
      <w:r>
        <w:rPr>
          <w:rFonts w:ascii="Arial" w:hAnsi="Arial"/>
          <w:color w:val="525252"/>
          <w:sz w:val="13"/>
        </w:rPr>
        <w:t>Even with 179 planned tankers, there is still a need to field hundreds more to meet national security requirements.</w:t>
      </w:r>
    </w:p>
    <w:p>
      <w:r>
        <w:br w:type="page"/>
      </w:r>
    </w:p>
    <w:p>
      <w:pPr>
        <w:spacing w:after="60"/>
        <w:jc w:val="right"/>
        <w:bidi/>
      </w:pPr>
      <w:r>
        <w:rPr>
          <w:rFonts w:ascii="Arial" w:hAnsi="Arial"/>
          <w:b/>
          <w:color w:val="1F4D78"/>
          <w:sz w:val="19"/>
        </w:rPr>
        <w:t>هفتهٔ 67  |  صفحهٔ منبع: 83</w:t>
      </w:r>
    </w:p>
    <w:p>
      <w:pPr>
        <w:spacing w:after="20" w:line="223" w:lineRule="auto"/>
        <w:jc w:val="right"/>
        <w:bidi/>
      </w:pPr>
      <w:r>
        <w:rPr>
          <w:rFonts w:ascii="Arial" w:hAnsi="Arial"/>
          <w:sz w:val="16"/>
        </w:rPr>
        <w:t>067.01  KC-۱۳۵، ستراتوتانکر KC-۱۳۵ قابلیت سوخت‌گیری هوایی اصلی را برای USAF فراهم می‌کند و بیش از ۵۰ سال است که در این نقش برتری داشته است.</w:t>
      </w:r>
    </w:p>
    <w:p>
      <w:pPr>
        <w:spacing w:after="28" w:line="216" w:lineRule="auto"/>
        <w:ind w:left="259"/>
        <w:jc w:val="left"/>
      </w:pPr>
      <w:r>
        <w:rPr>
          <w:rFonts w:ascii="Arial" w:hAnsi="Arial"/>
          <w:color w:val="525252"/>
          <w:sz w:val="13"/>
        </w:rPr>
        <w:t>KC-135, Stratotanker The KC-135 provides the core aerial refueling capability for the USAF and has excelled in this role for more than 50 years.</w:t>
      </w:r>
    </w:p>
    <w:p>
      <w:pPr>
        <w:spacing w:after="20" w:line="223" w:lineRule="auto"/>
        <w:jc w:val="right"/>
        <w:bidi/>
      </w:pPr>
      <w:r>
        <w:rPr>
          <w:rFonts w:ascii="Arial" w:hAnsi="Arial"/>
          <w:sz w:val="16"/>
        </w:rPr>
        <w:t>067.02  یک عرشه بار در بالای سیستم سوخت‌گیری می‌تواند بسته به پیکربندی ذخیره‌سازی سوخت، بار مخلوطی از مسافران و محموله را در خود جای دهد.</w:t>
      </w:r>
    </w:p>
    <w:p>
      <w:pPr>
        <w:spacing w:after="28" w:line="216" w:lineRule="auto"/>
        <w:ind w:left="259"/>
        <w:jc w:val="left"/>
      </w:pPr>
      <w:r>
        <w:rPr>
          <w:rFonts w:ascii="Arial" w:hAnsi="Arial"/>
          <w:color w:val="525252"/>
          <w:sz w:val="13"/>
        </w:rPr>
        <w:t>A cargo deck above the refueling system can hold a mixed load of passengers and cargo, depending on fuel storage configuration.</w:t>
      </w:r>
    </w:p>
    <w:p>
      <w:pPr>
        <w:spacing w:after="20" w:line="223" w:lineRule="auto"/>
        <w:jc w:val="right"/>
        <w:bidi/>
      </w:pPr>
      <w:r>
        <w:rPr>
          <w:rFonts w:ascii="Arial" w:hAnsi="Arial"/>
          <w:sz w:val="16"/>
        </w:rPr>
        <w:t>067.03  اصلاحات متداول شناخته شده اضافی شامل OC-۱۳۵ب، وپن سکیس. RC-۱۳۵س، توپ کبرا؛ RC-۱۳۵و، ارسال رزمی؛ RC-۱۳۵و/و، اتصال پرچ. و WC-۱۳۵، کونستانت فونیکس.</w:t>
      </w:r>
    </w:p>
    <w:p>
      <w:pPr>
        <w:spacing w:after="28" w:line="216" w:lineRule="auto"/>
        <w:ind w:left="259"/>
        <w:jc w:val="left"/>
      </w:pPr>
      <w:r>
        <w:rPr>
          <w:rFonts w:ascii="Arial" w:hAnsi="Arial"/>
          <w:color w:val="525252"/>
          <w:sz w:val="13"/>
        </w:rPr>
        <w:t>Additional commonly recognized modifications include the OC-135B, Open Skies; RC-135S, Cobra Ball; RC-135U, Combat Sent; RC-135V/W, Rivet Joint; and the WC-135, Constant Phoenix.</w:t>
      </w:r>
    </w:p>
    <w:p>
      <w:pPr>
        <w:spacing w:after="20" w:line="223" w:lineRule="auto"/>
        <w:jc w:val="right"/>
        <w:bidi/>
      </w:pPr>
      <w:r>
        <w:rPr>
          <w:rFonts w:ascii="Arial" w:hAnsi="Arial"/>
          <w:sz w:val="16"/>
        </w:rPr>
        <w:t>067.04  MC-۱۲ MC-۱۲ یک هواپیمای توربوپراپ دو موتوره با ارتفاع متوسط ​​تا کم است.</w:t>
      </w:r>
    </w:p>
    <w:p>
      <w:pPr>
        <w:spacing w:after="28" w:line="216" w:lineRule="auto"/>
        <w:ind w:left="259"/>
        <w:jc w:val="left"/>
      </w:pPr>
      <w:r>
        <w:rPr>
          <w:rFonts w:ascii="Arial" w:hAnsi="Arial"/>
          <w:color w:val="525252"/>
          <w:sz w:val="13"/>
        </w:rPr>
        <w:t>MC-12 The MC-12 is a medium- to low-altitude, twin-engine turboprop aircraft.</w:t>
      </w:r>
    </w:p>
    <w:p>
      <w:pPr>
        <w:spacing w:after="20" w:line="223" w:lineRule="auto"/>
        <w:jc w:val="right"/>
        <w:bidi/>
      </w:pPr>
      <w:r>
        <w:rPr>
          <w:rFonts w:ascii="Arial" w:hAnsi="Arial"/>
          <w:sz w:val="16"/>
        </w:rPr>
        <w:t>067.05  مأموریت اصلی آن ارائه پشتیبانی اطلاعاتی، نظارتی و شناسایی مستقیم به نیروهای زمینی در حمایت از فرمانده نیروی مشترک است.</w:t>
      </w:r>
    </w:p>
    <w:p>
      <w:pPr>
        <w:spacing w:after="28" w:line="216" w:lineRule="auto"/>
        <w:ind w:left="259"/>
        <w:jc w:val="left"/>
      </w:pPr>
      <w:r>
        <w:rPr>
          <w:rFonts w:ascii="Arial" w:hAnsi="Arial"/>
          <w:color w:val="525252"/>
          <w:sz w:val="13"/>
        </w:rPr>
        <w:t>Its primary mission is to provide intelligence, surveillance, and reconnaissance support directly to ground forces in support of the Joint Force Commander.</w:t>
      </w:r>
    </w:p>
    <w:p>
      <w:pPr>
        <w:spacing w:after="20" w:line="223" w:lineRule="auto"/>
        <w:jc w:val="right"/>
        <w:bidi/>
      </w:pPr>
      <w:r>
        <w:rPr>
          <w:rFonts w:ascii="Arial" w:hAnsi="Arial"/>
          <w:sz w:val="16"/>
        </w:rPr>
        <w:t>067.06  MH-۱۳۹ا MH-۱۳۹ا جایگزین ناوگان UH-۱ن مربوط به دوران ویتنام می‌شود که پاسخ اضطراری و پشتیبانی کاروانی را برای نیروهای هسته‌ای و رفع کمبودهای توانایی در سرعت، برد، استقامت و ظرفیت حمل فراهم می‌کند.</w:t>
      </w:r>
    </w:p>
    <w:p>
      <w:pPr>
        <w:spacing w:after="28" w:line="216" w:lineRule="auto"/>
        <w:ind w:left="259"/>
        <w:jc w:val="left"/>
      </w:pPr>
      <w:r>
        <w:rPr>
          <w:rFonts w:ascii="Arial" w:hAnsi="Arial"/>
          <w:color w:val="525252"/>
          <w:sz w:val="13"/>
        </w:rPr>
        <w:t>MH-139A The MH-139A is replacing the Vietnam-era UH-1N fleet that provides emergency response and convoy support for the nuclear forces and address capability shortfalls in speed, range, endurance, and carrying capacity.</w:t>
      </w:r>
    </w:p>
    <w:p>
      <w:pPr>
        <w:spacing w:after="20" w:line="223" w:lineRule="auto"/>
        <w:jc w:val="right"/>
        <w:bidi/>
      </w:pPr>
      <w:r>
        <w:rPr>
          <w:rFonts w:ascii="Arial" w:hAnsi="Arial"/>
          <w:sz w:val="16"/>
        </w:rPr>
        <w:t>067.07  MQ-۹، راپر MQ-۹ یک هواپیمای مسلح، چند مأموریتی، ارتفاع متوسط، با استقامت طولانی و کنترل از راه دور است.</w:t>
      </w:r>
    </w:p>
    <w:p>
      <w:pPr>
        <w:spacing w:after="28" w:line="216" w:lineRule="auto"/>
        <w:ind w:left="259"/>
        <w:jc w:val="left"/>
      </w:pPr>
      <w:r>
        <w:rPr>
          <w:rFonts w:ascii="Arial" w:hAnsi="Arial"/>
          <w:color w:val="525252"/>
          <w:sz w:val="13"/>
        </w:rPr>
        <w:t>MQ-9, Reaper The MQ-9 is an armed, multi-mission, medium-altitude, long-endurance, remotely piloted aircraft.</w:t>
      </w:r>
    </w:p>
    <w:p>
      <w:pPr>
        <w:spacing w:after="20" w:line="223" w:lineRule="auto"/>
        <w:jc w:val="right"/>
        <w:bidi/>
      </w:pPr>
      <w:r>
        <w:rPr>
          <w:rFonts w:ascii="Arial" w:hAnsi="Arial"/>
          <w:sz w:val="16"/>
        </w:rPr>
        <w:t>067.08  MQ-۹ می‌تواند از موشک‌های AGM-۱۱۴ هللفیر و بمب‌های هدایت‌شونده لیزری GBU-۱۲ استفاده کند.</w:t>
      </w:r>
    </w:p>
    <w:p>
      <w:pPr>
        <w:spacing w:after="28" w:line="216" w:lineRule="auto"/>
        <w:ind w:left="259"/>
        <w:jc w:val="left"/>
      </w:pPr>
      <w:r>
        <w:rPr>
          <w:rFonts w:ascii="Arial" w:hAnsi="Arial"/>
          <w:color w:val="525252"/>
          <w:sz w:val="13"/>
        </w:rPr>
        <w:t>The MQ-9 can employ both AGM-114 Hellfire missiles and GBU-12 laser-guided bombs.</w:t>
      </w:r>
    </w:p>
    <w:p>
      <w:pPr>
        <w:spacing w:after="20" w:line="223" w:lineRule="auto"/>
        <w:jc w:val="right"/>
        <w:bidi/>
      </w:pPr>
      <w:r>
        <w:rPr>
          <w:rFonts w:ascii="Arial" w:hAnsi="Arial"/>
          <w:sz w:val="16"/>
        </w:rPr>
        <w:t>067.09  هواپیمای کنترل از راه دور را می‌توان جدا کرد و در یک کانتینر برای استقرار در سراسر جهان بارگیری کرد.</w:t>
      </w:r>
    </w:p>
    <w:p>
      <w:pPr>
        <w:spacing w:after="28" w:line="216" w:lineRule="auto"/>
        <w:ind w:left="259"/>
        <w:jc w:val="left"/>
      </w:pPr>
      <w:r>
        <w:rPr>
          <w:rFonts w:ascii="Arial" w:hAnsi="Arial"/>
          <w:color w:val="525252"/>
          <w:sz w:val="13"/>
        </w:rPr>
        <w:t>The remotely piloted aircraft can be disassembled and loaded into a single container for deployment worldwide.</w:t>
      </w:r>
    </w:p>
    <w:p>
      <w:pPr>
        <w:spacing w:after="20" w:line="223" w:lineRule="auto"/>
        <w:jc w:val="right"/>
        <w:bidi/>
      </w:pPr>
      <w:r>
        <w:rPr>
          <w:rFonts w:ascii="Arial" w:hAnsi="Arial"/>
          <w:sz w:val="16"/>
        </w:rPr>
        <w:t>067.10  RQ-۴، گلوبال هاوک RQ-۴ یک هواپیمای خلبانی از راه دور با ارتفاع بالا، با استقامت طولانی و دارای مجموعه حسگرهای یکپارچه است که قابلیت‌های اطلاعاتی، نظارتی و شناسایی را در تمام شرایط آب و هوایی، اطلاعات، نظارت و شناسایی ارائه می‌کند.</w:t>
      </w:r>
    </w:p>
    <w:p>
      <w:pPr>
        <w:spacing w:after="28" w:line="216" w:lineRule="auto"/>
        <w:ind w:left="259"/>
        <w:jc w:val="left"/>
      </w:pPr>
      <w:r>
        <w:rPr>
          <w:rFonts w:ascii="Arial" w:hAnsi="Arial"/>
          <w:color w:val="525252"/>
          <w:sz w:val="13"/>
        </w:rPr>
        <w:t>RQ-4, Global Hawk The RQ-4 is a high-altitude, long-endurance, remotely piloted aircraft with an integrated sensor suite that provides all-weather, intelligence, surveillance, and reconnaissance capability.</w:t>
      </w:r>
    </w:p>
    <w:p>
      <w:pPr>
        <w:spacing w:after="20" w:line="223" w:lineRule="auto"/>
        <w:jc w:val="right"/>
        <w:bidi/>
      </w:pPr>
      <w:r>
        <w:rPr>
          <w:rFonts w:ascii="Arial" w:hAnsi="Arial"/>
          <w:sz w:val="16"/>
        </w:rPr>
        <w:t>067.11  مأموریت RQ-۴ ارائه طیف گسترده‌ای از قابلیت جمع‌آوری اطلاعات، نظارت و شناسایی برای پشتیبانی از نیروهای مشترک در زمان صلح و عملیات اضطراری در سراسر جهان است.</w:t>
      </w:r>
    </w:p>
    <w:p>
      <w:pPr>
        <w:spacing w:after="28" w:line="216" w:lineRule="auto"/>
        <w:ind w:left="259"/>
        <w:jc w:val="left"/>
      </w:pPr>
      <w:r>
        <w:rPr>
          <w:rFonts w:ascii="Arial" w:hAnsi="Arial"/>
          <w:color w:val="525252"/>
          <w:sz w:val="13"/>
        </w:rPr>
        <w:t>The RQ-4’s mission is to provide a broad spectrum of intelligence, surveillance, and reconnaissance collection capability to support Joint Forces in worldwide peacetime and contingency operations.</w:t>
      </w:r>
    </w:p>
    <w:p>
      <w:r>
        <w:br w:type="page"/>
      </w:r>
    </w:p>
    <w:p>
      <w:pPr>
        <w:spacing w:after="60"/>
        <w:jc w:val="right"/>
        <w:bidi/>
      </w:pPr>
      <w:r>
        <w:rPr>
          <w:rFonts w:ascii="Arial" w:hAnsi="Arial"/>
          <w:b/>
          <w:color w:val="1F4D78"/>
          <w:sz w:val="19"/>
        </w:rPr>
        <w:t>هفتهٔ 68  |  صفحهٔ منبع: 84</w:t>
      </w:r>
    </w:p>
    <w:p>
      <w:pPr>
        <w:spacing w:after="20" w:line="223" w:lineRule="auto"/>
        <w:jc w:val="right"/>
        <w:bidi/>
      </w:pPr>
      <w:r>
        <w:rPr>
          <w:rFonts w:ascii="Arial" w:hAnsi="Arial"/>
          <w:sz w:val="16"/>
        </w:rPr>
        <w:t>068.01  ت-۱ا، جایهاوک ت-۱ا یک جت آموزشی دو موتوره با برد متوسط ​​است که در مرحله پیشرفته آموزش خلبانی تخصصی در مقطع کارشناسی برای دانشجویانی که برای پرواز با هواپیماهای ترابری یا تانکر انتخاب می‌شوند استفاده می‌شود.</w:t>
      </w:r>
    </w:p>
    <w:p>
      <w:pPr>
        <w:spacing w:after="28" w:line="216" w:lineRule="auto"/>
        <w:ind w:left="259"/>
        <w:jc w:val="left"/>
      </w:pPr>
      <w:r>
        <w:rPr>
          <w:rFonts w:ascii="Arial" w:hAnsi="Arial"/>
          <w:color w:val="525252"/>
          <w:sz w:val="13"/>
        </w:rPr>
        <w:t>T-1A, Jayhawk The T-1A is a medium-range, twin-engine jet trainer used in the advanced phase of specialized undergraduate pilot training for students selected to fly airlift or tanker aircraft.</w:t>
      </w:r>
    </w:p>
    <w:p>
      <w:pPr>
        <w:spacing w:after="20" w:line="223" w:lineRule="auto"/>
        <w:jc w:val="right"/>
        <w:bidi/>
      </w:pPr>
      <w:r>
        <w:rPr>
          <w:rFonts w:ascii="Arial" w:hAnsi="Arial"/>
          <w:sz w:val="16"/>
        </w:rPr>
        <w:t>068.02  برای پشتیبانی از آموزش ناوبر برای USAF، نیروی دریایی، تفنگداران دریایی و خدمات بین‌المللی استفاده می‌شود.</w:t>
      </w:r>
    </w:p>
    <w:p>
      <w:pPr>
        <w:spacing w:after="28" w:line="216" w:lineRule="auto"/>
        <w:ind w:left="259"/>
        <w:jc w:val="left"/>
      </w:pPr>
      <w:r>
        <w:rPr>
          <w:rFonts w:ascii="Arial" w:hAnsi="Arial"/>
          <w:color w:val="525252"/>
          <w:sz w:val="13"/>
        </w:rPr>
        <w:t>It is used to support navigator training for USAF, Navy, Marine Corps, and international services.</w:t>
      </w:r>
    </w:p>
    <w:p>
      <w:pPr>
        <w:spacing w:after="20" w:line="223" w:lineRule="auto"/>
        <w:jc w:val="right"/>
        <w:bidi/>
      </w:pPr>
      <w:r>
        <w:rPr>
          <w:rFonts w:ascii="Arial" w:hAnsi="Arial"/>
          <w:sz w:val="16"/>
        </w:rPr>
        <w:t>068.03  ت-۶ا، تکسان II ت-۶ا یک هواپیمای آموزشی پرواز اولیه تک موتوره برای خلبانان آینده USAF و نیروی دریایی است.</w:t>
      </w:r>
    </w:p>
    <w:p>
      <w:pPr>
        <w:spacing w:after="28" w:line="216" w:lineRule="auto"/>
        <w:ind w:left="259"/>
        <w:jc w:val="left"/>
      </w:pPr>
      <w:r>
        <w:rPr>
          <w:rFonts w:ascii="Arial" w:hAnsi="Arial"/>
          <w:color w:val="525252"/>
          <w:sz w:val="13"/>
        </w:rPr>
        <w:t>T-6A, Texan II The T-6A is a single-engine primary flight training aircraft for future USAF and Navy pilots.</w:t>
      </w:r>
    </w:p>
    <w:p>
      <w:pPr>
        <w:spacing w:after="20" w:line="223" w:lineRule="auto"/>
        <w:jc w:val="right"/>
        <w:bidi/>
      </w:pPr>
      <w:r>
        <w:rPr>
          <w:rFonts w:ascii="Arial" w:hAnsi="Arial"/>
          <w:sz w:val="16"/>
        </w:rPr>
        <w:t>068.04  دانش‌آموزان قبل از اینکه به آموزش پرواز پیشرفته بروند، مهارت‌های اولیه پرواز را که در ت-۶ رایج است، یاد می‌گیرند.</w:t>
      </w:r>
    </w:p>
    <w:p>
      <w:pPr>
        <w:spacing w:after="28" w:line="216" w:lineRule="auto"/>
        <w:ind w:left="259"/>
        <w:jc w:val="left"/>
      </w:pPr>
      <w:r>
        <w:rPr>
          <w:rFonts w:ascii="Arial" w:hAnsi="Arial"/>
          <w:color w:val="525252"/>
          <w:sz w:val="13"/>
        </w:rPr>
        <w:t>Students learn basic flying skills common in the T-6 before moving on to advanced flight training.</w:t>
      </w:r>
    </w:p>
    <w:p>
      <w:pPr>
        <w:spacing w:after="20" w:line="223" w:lineRule="auto"/>
        <w:jc w:val="right"/>
        <w:bidi/>
      </w:pPr>
      <w:r>
        <w:rPr>
          <w:rFonts w:ascii="Arial" w:hAnsi="Arial"/>
          <w:sz w:val="16"/>
        </w:rPr>
        <w:t>068.05  ت-۳۸، تالون ت-۳۸ یک جت آموزش دهنده دو موتوره، در ارتفاع بالا و مافوق صوت است که در مرحله پیشرفته آموزش خلبانی تخصصی در مقطع کارشناسی برای دانشجویانی که برای پرواز با هواپیماهای جنگنده انتخاب می‌شوند، استفاده می‌شود.</w:t>
      </w:r>
    </w:p>
    <w:p>
      <w:pPr>
        <w:spacing w:after="28" w:line="216" w:lineRule="auto"/>
        <w:ind w:left="259"/>
        <w:jc w:val="left"/>
      </w:pPr>
      <w:r>
        <w:rPr>
          <w:rFonts w:ascii="Arial" w:hAnsi="Arial"/>
          <w:color w:val="525252"/>
          <w:sz w:val="13"/>
        </w:rPr>
        <w:t>T-38, Talon The T-38 is a twin-engine, high-altitude, supersonic jet trainer used in the advanced phase of specialized undergraduate pilot training for students selected to fly fighter aircraft.</w:t>
      </w:r>
    </w:p>
    <w:p>
      <w:pPr>
        <w:spacing w:after="20" w:line="223" w:lineRule="auto"/>
        <w:jc w:val="right"/>
        <w:bidi/>
      </w:pPr>
      <w:r>
        <w:rPr>
          <w:rFonts w:ascii="Arial" w:hAnsi="Arial"/>
          <w:sz w:val="16"/>
        </w:rPr>
        <w:t>068.06  فرماندهی رزم هوایی، فرماندهی مواد USAF و اداره ملی هوانوردی و فضایی نیز از ت-۳۸ در نقش‌های مختلف استفاده می‌کنند.</w:t>
      </w:r>
    </w:p>
    <w:p>
      <w:pPr>
        <w:spacing w:after="28" w:line="216" w:lineRule="auto"/>
        <w:ind w:left="259"/>
        <w:jc w:val="left"/>
      </w:pPr>
      <w:r>
        <w:rPr>
          <w:rFonts w:ascii="Arial" w:hAnsi="Arial"/>
          <w:color w:val="525252"/>
          <w:sz w:val="13"/>
        </w:rPr>
        <w:t>Air Combat Command, USAF Material Command, and the National Aeronautics and Space Administration also use the T-38 in various roles.</w:t>
      </w:r>
    </w:p>
    <w:p>
      <w:pPr>
        <w:spacing w:after="20" w:line="223" w:lineRule="auto"/>
        <w:jc w:val="right"/>
        <w:bidi/>
      </w:pPr>
      <w:r>
        <w:rPr>
          <w:rFonts w:ascii="Arial" w:hAnsi="Arial"/>
          <w:sz w:val="16"/>
        </w:rPr>
        <w:t>068.07  جت آموزشی پیشرفته کاملا جدید ت-۷ رد هاوک برای جایگزینی ت-۳۸ تالون قدیمی انتخاب شده است.</w:t>
      </w:r>
    </w:p>
    <w:p>
      <w:pPr>
        <w:spacing w:after="28" w:line="216" w:lineRule="auto"/>
        <w:ind w:left="259"/>
        <w:jc w:val="left"/>
      </w:pPr>
      <w:r>
        <w:rPr>
          <w:rFonts w:ascii="Arial" w:hAnsi="Arial"/>
          <w:color w:val="525252"/>
          <w:sz w:val="13"/>
        </w:rPr>
        <w:t>The all- new advanced jet trainer T-7 Red Hawk has been selected to replace the aging T-38 Talon.</w:t>
      </w:r>
    </w:p>
    <w:p>
      <w:pPr>
        <w:spacing w:after="20" w:line="223" w:lineRule="auto"/>
        <w:jc w:val="right"/>
        <w:bidi/>
      </w:pPr>
      <w:r>
        <w:rPr>
          <w:rFonts w:ascii="Arial" w:hAnsi="Arial"/>
          <w:sz w:val="16"/>
        </w:rPr>
        <w:t>068.08  و-۲س، بانوی اژدها و-۲ نظارت و شناسایی در ارتفاع بالا و در همه شرایط آب و هوایی را ارائه می‌کند و تصاویر حیاتی و اطلاعات اطلاعاتی را در تمام مراحل درگیری ارائه می‌کند، از جمله نشانه‌ها و هشدارهای زمان صلح، درگیری‌های با شدت کم، و خصومت‌های در مقیاس بزرگ.</w:t>
      </w:r>
    </w:p>
    <w:p>
      <w:pPr>
        <w:spacing w:after="28" w:line="216" w:lineRule="auto"/>
        <w:ind w:left="259"/>
        <w:jc w:val="left"/>
      </w:pPr>
      <w:r>
        <w:rPr>
          <w:rFonts w:ascii="Arial" w:hAnsi="Arial"/>
          <w:color w:val="525252"/>
          <w:sz w:val="13"/>
        </w:rPr>
        <w:t>U-2S, Dragon Lady The U-2 provides high-altitude, all-weather surveillance and reconnaissance and delivers critical imagery and signals intelligence in all phases of conflict, including peacetime indications and warnings, low-intensity conflict, and large-scale hostilities.</w:t>
      </w:r>
    </w:p>
    <w:p>
      <w:pPr>
        <w:spacing w:after="20" w:line="223" w:lineRule="auto"/>
        <w:jc w:val="right"/>
        <w:bidi/>
      </w:pPr>
      <w:r>
        <w:rPr>
          <w:rFonts w:ascii="Arial" w:hAnsi="Arial"/>
          <w:sz w:val="16"/>
        </w:rPr>
        <w:t>068.09  خلبانان و-۲ که به‌طور معمول در ارتفاعات بیش از ۷۰۰۰۰ پا پرواز می‌کنند، لباس هایی با فشار کامل شبیه لباس هایی که فضانوردان می‌پوشند می‌پوشند.</w:t>
      </w:r>
    </w:p>
    <w:p>
      <w:pPr>
        <w:spacing w:after="28" w:line="216" w:lineRule="auto"/>
        <w:ind w:left="259"/>
        <w:jc w:val="left"/>
      </w:pPr>
      <w:r>
        <w:rPr>
          <w:rFonts w:ascii="Arial" w:hAnsi="Arial"/>
          <w:color w:val="525252"/>
          <w:sz w:val="13"/>
        </w:rPr>
        <w:t>Routinely flown at altitudes over 70,000 feet, U-2 pilots wear full pressure suits similar to those worn by astronauts.</w:t>
      </w:r>
    </w:p>
    <w:p>
      <w:pPr>
        <w:spacing w:after="20" w:line="223" w:lineRule="auto"/>
        <w:jc w:val="right"/>
        <w:bidi/>
      </w:pPr>
      <w:r>
        <w:rPr>
          <w:rFonts w:ascii="Arial" w:hAnsi="Arial"/>
          <w:sz w:val="16"/>
        </w:rPr>
        <w:t>068.10  و-۲۸ا، دراکو و-۲۸ا بخشی از ناوگان سرنشین دار، اطلاعات هوابرد، نظارت و شناسایی فرماندهی عملیات ویژه است.</w:t>
      </w:r>
    </w:p>
    <w:p>
      <w:pPr>
        <w:spacing w:after="28" w:line="216" w:lineRule="auto"/>
        <w:ind w:left="259"/>
        <w:jc w:val="left"/>
      </w:pPr>
      <w:r>
        <w:rPr>
          <w:rFonts w:ascii="Arial" w:hAnsi="Arial"/>
          <w:color w:val="525252"/>
          <w:sz w:val="13"/>
        </w:rPr>
        <w:t>U-28A, Draco The U-28A is part of the Special Operations Command manned, airborne intelligence, surveillance, and reconnaissance fleet.</w:t>
      </w:r>
    </w:p>
    <w:p>
      <w:pPr>
        <w:spacing w:after="20" w:line="223" w:lineRule="auto"/>
        <w:jc w:val="right"/>
        <w:bidi/>
      </w:pPr>
      <w:r>
        <w:rPr>
          <w:rFonts w:ascii="Arial" w:hAnsi="Arial"/>
          <w:sz w:val="16"/>
        </w:rPr>
        <w:t>068.11  پشتیبانی تاکتیکی بال ثابت را برای عملیات‌های بشردوستانه، جستجو و نجات، عملیات متعارف و مأموریت‌های ویژه ارائه می‌دهد.</w:t>
      </w:r>
    </w:p>
    <w:p>
      <w:pPr>
        <w:spacing w:after="28" w:line="216" w:lineRule="auto"/>
        <w:ind w:left="259"/>
        <w:jc w:val="left"/>
      </w:pPr>
      <w:r>
        <w:rPr>
          <w:rFonts w:ascii="Arial" w:hAnsi="Arial"/>
          <w:color w:val="525252"/>
          <w:sz w:val="13"/>
        </w:rPr>
        <w:t>It provides fixed-wing tactical support to humanitarian operations, search and rescue, conventional, and special operations missions.</w:t>
      </w:r>
    </w:p>
    <w:p>
      <w:pPr>
        <w:spacing w:after="20" w:line="223" w:lineRule="auto"/>
        <w:jc w:val="right"/>
        <w:bidi/>
      </w:pPr>
      <w:r>
        <w:rPr>
          <w:rFonts w:ascii="Arial" w:hAnsi="Arial"/>
          <w:sz w:val="16"/>
        </w:rPr>
        <w:t>068.12  UH-۱ن، هوی UH-۱ن یک هلیکوپتر آسان‌برنده است که برای پشتیبانی از مأموریت‌های مختلف استفاده می‌شود.</w:t>
      </w:r>
    </w:p>
    <w:p>
      <w:pPr>
        <w:spacing w:after="28" w:line="216" w:lineRule="auto"/>
        <w:ind w:left="259"/>
        <w:jc w:val="left"/>
      </w:pPr>
      <w:r>
        <w:rPr>
          <w:rFonts w:ascii="Arial" w:hAnsi="Arial"/>
          <w:color w:val="525252"/>
          <w:sz w:val="13"/>
        </w:rPr>
        <w:t>UH-1N, Huey The UH-1N is a light-lift utility helicopter used to support various missions.</w:t>
      </w:r>
    </w:p>
    <w:p>
      <w:pPr>
        <w:spacing w:after="20" w:line="223" w:lineRule="auto"/>
        <w:jc w:val="right"/>
        <w:bidi/>
      </w:pPr>
      <w:r>
        <w:rPr>
          <w:rFonts w:ascii="Arial" w:hAnsi="Arial"/>
          <w:sz w:val="16"/>
        </w:rPr>
        <w:t>068.13  مأموریت‌های اولیه شامل حمل هوایی نیروهای امنیتی اضطراری، امنیت و نظارت بر کاروان‌های سلاح‌های هسته‌ای خارج از پایگاه و حمل و نقل هوایی بازدیدکنندگان برجسته است.</w:t>
      </w:r>
    </w:p>
    <w:p>
      <w:pPr>
        <w:spacing w:after="28" w:line="216" w:lineRule="auto"/>
        <w:ind w:left="259"/>
        <w:jc w:val="left"/>
      </w:pPr>
      <w:r>
        <w:rPr>
          <w:rFonts w:ascii="Arial" w:hAnsi="Arial"/>
          <w:color w:val="525252"/>
          <w:sz w:val="13"/>
        </w:rPr>
        <w:t>The primary missions include airlift of emergency security forces, security, and surveillance of off- base nuclear weapons convoys, and distinguished visitor airlift.</w:t>
      </w:r>
    </w:p>
    <w:p>
      <w:pPr>
        <w:spacing w:after="20" w:line="223" w:lineRule="auto"/>
        <w:jc w:val="right"/>
        <w:bidi/>
      </w:pPr>
      <w:r>
        <w:rPr>
          <w:rFonts w:ascii="Arial" w:hAnsi="Arial"/>
          <w:sz w:val="16"/>
        </w:rPr>
        <w:t>068.14  کاربردهای دیگر عبارتند از واکنش در بلایا، جستجو و نجات، تخلیه پزشکی، بازرسی کابل هوابرد، پشتیبانی از مدرسه بقای خدمه هواپیما، پشتیبانی معمول سایت موشک، و حمل و نقل.</w:t>
      </w:r>
    </w:p>
    <w:p>
      <w:pPr>
        <w:spacing w:after="28" w:line="216" w:lineRule="auto"/>
        <w:ind w:left="259"/>
        <w:jc w:val="left"/>
      </w:pPr>
      <w:r>
        <w:rPr>
          <w:rFonts w:ascii="Arial" w:hAnsi="Arial"/>
          <w:color w:val="525252"/>
          <w:sz w:val="13"/>
        </w:rPr>
        <w:t>Other uses include disaster response, search and rescue, medical evacuation, airborne cable inspections, support to aircrew survival school, routine missile site support, and transport.</w:t>
      </w:r>
    </w:p>
    <w:p>
      <w:r>
        <w:br w:type="page"/>
      </w:r>
    </w:p>
    <w:p>
      <w:pPr>
        <w:spacing w:after="60"/>
        <w:jc w:val="right"/>
        <w:bidi/>
      </w:pPr>
      <w:r>
        <w:rPr>
          <w:rFonts w:ascii="Arial" w:hAnsi="Arial"/>
          <w:b/>
          <w:color w:val="1F4D78"/>
          <w:sz w:val="19"/>
        </w:rPr>
        <w:t>هفتهٔ 69  |  صفحهٔ منبع: 85</w:t>
      </w:r>
    </w:p>
    <w:p>
      <w:pPr>
        <w:spacing w:after="20" w:line="223" w:lineRule="auto"/>
        <w:jc w:val="right"/>
        <w:bidi/>
      </w:pPr>
      <w:r>
        <w:rPr>
          <w:rFonts w:ascii="Arial" w:hAnsi="Arial"/>
          <w:sz w:val="16"/>
        </w:rPr>
        <w:t>069.01  UV-۱۸، سمور دوقلو UV-۱۸ برای پشتیبانی از آموزش چتر نجات و هواپیماسازی در آکادمی USAF استفاده می‌شود.</w:t>
      </w:r>
    </w:p>
    <w:p>
      <w:pPr>
        <w:spacing w:after="28" w:line="216" w:lineRule="auto"/>
        <w:ind w:left="259"/>
        <w:jc w:val="left"/>
      </w:pPr>
      <w:r>
        <w:rPr>
          <w:rFonts w:ascii="Arial" w:hAnsi="Arial"/>
          <w:color w:val="525252"/>
          <w:sz w:val="13"/>
        </w:rPr>
        <w:t>UV-18, Twin Otter The UV-18 is used to support parachute and airmanship training at the USAF Academy.</w:t>
      </w:r>
    </w:p>
    <w:p>
      <w:pPr>
        <w:spacing w:after="20" w:line="223" w:lineRule="auto"/>
        <w:jc w:val="right"/>
        <w:bidi/>
      </w:pPr>
      <w:r>
        <w:rPr>
          <w:rFonts w:ascii="Arial" w:hAnsi="Arial"/>
          <w:sz w:val="16"/>
        </w:rPr>
        <w:t>069.02  این هواپیما قادر به حمل خلبان، کمک خلبان و حداکثر ۱۷ پرنده است.</w:t>
      </w:r>
    </w:p>
    <w:p>
      <w:pPr>
        <w:spacing w:after="28" w:line="216" w:lineRule="auto"/>
        <w:ind w:left="259"/>
        <w:jc w:val="left"/>
      </w:pPr>
      <w:r>
        <w:rPr>
          <w:rFonts w:ascii="Arial" w:hAnsi="Arial"/>
          <w:color w:val="525252"/>
          <w:sz w:val="13"/>
        </w:rPr>
        <w:t>The aircraft is capable of carrying a pilot, co-pilot, and up to 17 jumpers.</w:t>
      </w:r>
    </w:p>
    <w:p>
      <w:pPr>
        <w:spacing w:after="20" w:line="223" w:lineRule="auto"/>
        <w:jc w:val="right"/>
        <w:bidi/>
      </w:pPr>
      <w:r>
        <w:rPr>
          <w:rFonts w:ascii="Arial" w:hAnsi="Arial"/>
          <w:sz w:val="16"/>
        </w:rPr>
        <w:t>069.03  VC-۲۵، نیروی هوایی ون ناوگان حمل و نقل هوایی ریاست جمهوری متشکل از دو بوئینگ ۷۴۷-۲۰۰ب با پیکربندی ویژه با نام USAF VC-۲۵ است.</w:t>
      </w:r>
    </w:p>
    <w:p>
      <w:pPr>
        <w:spacing w:after="28" w:line="216" w:lineRule="auto"/>
        <w:ind w:left="259"/>
        <w:jc w:val="left"/>
      </w:pPr>
      <w:r>
        <w:rPr>
          <w:rFonts w:ascii="Arial" w:hAnsi="Arial"/>
          <w:color w:val="525252"/>
          <w:sz w:val="13"/>
        </w:rPr>
        <w:t>VC-25, Air Force One The presidential air transport fleet consists of two specially configured Boeing 747-200B’s with the USAF designation VC-25.</w:t>
      </w:r>
    </w:p>
    <w:p>
      <w:pPr>
        <w:spacing w:after="20" w:line="223" w:lineRule="auto"/>
        <w:jc w:val="right"/>
        <w:bidi/>
      </w:pPr>
      <w:r>
        <w:rPr>
          <w:rFonts w:ascii="Arial" w:hAnsi="Arial"/>
          <w:sz w:val="16"/>
        </w:rPr>
        <w:t>069.04  هنگامی که رئیس جمهور ایالات متحده در هواپیما یا هر هواپیمای USAF است، علامت تماس رادیویی "نیروی هوایی ون" است.</w:t>
      </w:r>
    </w:p>
    <w:p>
      <w:pPr>
        <w:spacing w:after="28" w:line="216" w:lineRule="auto"/>
        <w:ind w:left="259"/>
        <w:jc w:val="left"/>
      </w:pPr>
      <w:r>
        <w:rPr>
          <w:rFonts w:ascii="Arial" w:hAnsi="Arial"/>
          <w:color w:val="525252"/>
          <w:sz w:val="13"/>
        </w:rPr>
        <w:t>When the U.S. President is aboard either aircraft, or any USAF aircraft, the radio call sign is “Air Force One.”</w:t>
      </w:r>
    </w:p>
    <w:p>
      <w:r>
        <w:br w:type="page"/>
      </w:r>
    </w:p>
    <w:p>
      <w:pPr>
        <w:spacing w:after="60"/>
        <w:jc w:val="right"/>
        <w:bidi/>
      </w:pPr>
      <w:r>
        <w:rPr>
          <w:rFonts w:ascii="Arial" w:hAnsi="Arial"/>
          <w:b/>
          <w:color w:val="1F4D78"/>
          <w:sz w:val="19"/>
        </w:rPr>
        <w:t>هفتهٔ 70  |  صفحهٔ منبع: 86</w:t>
      </w:r>
    </w:p>
    <w:p>
      <w:pPr>
        <w:spacing w:before="60" w:after="28"/>
        <w:jc w:val="right"/>
        <w:bidi/>
      </w:pPr>
      <w:r>
        <w:rPr>
          <w:b/>
          <w:color w:val="1F4D78"/>
          <w:sz w:val="18"/>
        </w:rPr>
        <w:t>بخش 4C-سیستم های موشکی و مهمات</w:t>
      </w:r>
    </w:p>
    <w:p>
      <w:pPr>
        <w:spacing w:after="20"/>
        <w:ind w:left="259"/>
        <w:jc w:val="left"/>
      </w:pPr>
      <w:r>
        <w:rPr>
          <w:color w:val="555555"/>
          <w:sz w:val="12"/>
        </w:rPr>
        <w:t>Section 4C—Missile and Munition Systems</w:t>
      </w:r>
    </w:p>
    <w:p>
      <w:pPr>
        <w:spacing w:before="60" w:after="28"/>
        <w:jc w:val="right"/>
        <w:bidi/>
      </w:pPr>
      <w:r>
        <w:rPr>
          <w:b/>
          <w:color w:val="1F4D78"/>
          <w:sz w:val="18"/>
        </w:rPr>
        <w:t>4.7. قابلیت های موشک و سیستم مهمات</w:t>
      </w:r>
    </w:p>
    <w:p>
      <w:pPr>
        <w:spacing w:after="20"/>
        <w:ind w:left="259"/>
        <w:jc w:val="left"/>
      </w:pPr>
      <w:r>
        <w:rPr>
          <w:color w:val="555555"/>
          <w:sz w:val="12"/>
        </w:rPr>
        <w:t>4.7. Missile and Munition System Capabilities</w:t>
      </w:r>
    </w:p>
    <w:p>
      <w:pPr>
        <w:spacing w:after="20" w:line="223" w:lineRule="auto"/>
        <w:jc w:val="right"/>
        <w:bidi/>
      </w:pPr>
      <w:r>
        <w:rPr>
          <w:rFonts w:ascii="Arial" w:hAnsi="Arial"/>
          <w:sz w:val="16"/>
        </w:rPr>
        <w:t>070.03  به‌عنوان یک نیروی نظامی برتر، ما با برخی از پیشرفته‌ترین سلاح‌های جهان کار می‌کنیم.</w:t>
      </w:r>
    </w:p>
    <w:p>
      <w:pPr>
        <w:spacing w:after="28" w:line="216" w:lineRule="auto"/>
        <w:ind w:left="259"/>
        <w:jc w:val="left"/>
      </w:pPr>
      <w:r>
        <w:rPr>
          <w:rFonts w:ascii="Arial" w:hAnsi="Arial"/>
          <w:color w:val="525252"/>
          <w:sz w:val="13"/>
        </w:rPr>
        <w:t>As a superior military force, we work with some of the most advanced weapons in the world.</w:t>
      </w:r>
    </w:p>
    <w:p>
      <w:pPr>
        <w:spacing w:after="20" w:line="223" w:lineRule="auto"/>
        <w:jc w:val="right"/>
        <w:bidi/>
      </w:pPr>
      <w:r>
        <w:rPr>
          <w:rFonts w:ascii="Arial" w:hAnsi="Arial"/>
          <w:sz w:val="16"/>
        </w:rPr>
        <w:t>070.04  جمع‌آوری و پردازش مهمات غیرهسته‌ای مسئولیت بزرگی است.</w:t>
      </w:r>
    </w:p>
    <w:p>
      <w:pPr>
        <w:spacing w:after="28" w:line="216" w:lineRule="auto"/>
        <w:ind w:left="259"/>
        <w:jc w:val="left"/>
      </w:pPr>
      <w:r>
        <w:rPr>
          <w:rFonts w:ascii="Arial" w:hAnsi="Arial"/>
          <w:color w:val="525252"/>
          <w:sz w:val="13"/>
        </w:rPr>
        <w:t>It is a great responsibility to assemble and process nonnuclear munitions.</w:t>
      </w:r>
    </w:p>
    <w:p>
      <w:pPr>
        <w:spacing w:after="20" w:line="223" w:lineRule="auto"/>
        <w:jc w:val="right"/>
        <w:bidi/>
      </w:pPr>
      <w:r>
        <w:rPr>
          <w:rFonts w:ascii="Arial" w:hAnsi="Arial"/>
          <w:sz w:val="16"/>
        </w:rPr>
        <w:t>070.05  کار با سطح بالایی از توجه به جزئیات و دقت بسیار زیاد، هوانوردان بسیار آموزش دیده سیستم‌های موشک و مهمات را کنترل، ذخیره، حمل و نقل، تسلیح و خلع سلاح می‌کنند و خود را متعهد می‌دانند که موفقیت مأموریت‌های ما را تضمین کنند.</w:t>
      </w:r>
    </w:p>
    <w:p>
      <w:pPr>
        <w:spacing w:after="28" w:line="216" w:lineRule="auto"/>
        <w:ind w:left="259"/>
        <w:jc w:val="left"/>
      </w:pPr>
      <w:r>
        <w:rPr>
          <w:rFonts w:ascii="Arial" w:hAnsi="Arial"/>
          <w:color w:val="525252"/>
          <w:sz w:val="13"/>
        </w:rPr>
        <w:t>Working with a high level of attention to detail and extreme care, highly trained Airmen handle, store, transport, arm, and disarm missile and munition systems and commit themselves to ensuring the success of our missions.</w:t>
      </w:r>
    </w:p>
    <w:p>
      <w:pPr>
        <w:spacing w:after="20" w:line="223" w:lineRule="auto"/>
        <w:jc w:val="right"/>
        <w:bidi/>
      </w:pPr>
      <w:r>
        <w:rPr>
          <w:rFonts w:ascii="Arial" w:hAnsi="Arial"/>
          <w:sz w:val="16"/>
        </w:rPr>
        <w:t>070.06  موجودی سیستم موشک و مهمات.</w:t>
      </w:r>
    </w:p>
    <w:p>
      <w:pPr>
        <w:spacing w:after="28" w:line="216" w:lineRule="auto"/>
        <w:ind w:left="259"/>
        <w:jc w:val="left"/>
      </w:pPr>
      <w:r>
        <w:rPr>
          <w:rFonts w:ascii="Arial" w:hAnsi="Arial"/>
          <w:color w:val="525252"/>
          <w:sz w:val="13"/>
        </w:rPr>
        <w:t>Missile and Munition System Inventory.</w:t>
      </w:r>
    </w:p>
    <w:p>
      <w:pPr>
        <w:spacing w:after="20" w:line="223" w:lineRule="auto"/>
        <w:jc w:val="right"/>
        <w:bidi/>
      </w:pPr>
      <w:r>
        <w:rPr>
          <w:rFonts w:ascii="Arial" w:hAnsi="Arial"/>
          <w:sz w:val="16"/>
        </w:rPr>
        <w:t>070.07  شرح کلی چندین سیستم موشکی و مهمات فعلی در اینجا ارائه شده است.</w:t>
      </w:r>
    </w:p>
    <w:p>
      <w:pPr>
        <w:spacing w:after="28" w:line="216" w:lineRule="auto"/>
        <w:ind w:left="259"/>
        <w:jc w:val="left"/>
      </w:pPr>
      <w:r>
        <w:rPr>
          <w:rFonts w:ascii="Arial" w:hAnsi="Arial"/>
          <w:color w:val="525252"/>
          <w:sz w:val="13"/>
        </w:rPr>
        <w:t>Generalized descriptions of several of the current missile and munition systems are provided here.</w:t>
      </w:r>
    </w:p>
    <w:p>
      <w:pPr>
        <w:spacing w:after="20" w:line="223" w:lineRule="auto"/>
        <w:jc w:val="right"/>
        <w:bidi/>
      </w:pPr>
      <w:r>
        <w:rPr>
          <w:rFonts w:ascii="Arial" w:hAnsi="Arial"/>
          <w:sz w:val="16"/>
        </w:rPr>
        <w:t>070.08  موشک‌ها و سیستم‌های مهمات ADM-۱۶۰، مینیاتوری فریبنده هوا پرتاب ADM-۱۶۰ مینیاتوری هوا پرتاب (MALD) یک وسیله نقلیه پروازی ارزان قیمت است که مدولار، پرتاب هوایی و قابل برنامه‌ریزی است.</w:t>
      </w:r>
    </w:p>
    <w:p>
      <w:pPr>
        <w:spacing w:after="28" w:line="216" w:lineRule="auto"/>
        <w:ind w:left="259"/>
        <w:jc w:val="left"/>
      </w:pPr>
      <w:r>
        <w:rPr>
          <w:rFonts w:ascii="Arial" w:hAnsi="Arial"/>
          <w:color w:val="525252"/>
          <w:sz w:val="13"/>
        </w:rPr>
        <w:t>Missile and Munition Systems ADM-160, Miniature Air-Launched Decoy ADM-160 Miniature Air-Launched Decoy (MALD) is a low-cost flight vehicle that is modular, air-launched, and programmable.</w:t>
      </w:r>
    </w:p>
    <w:p>
      <w:pPr>
        <w:spacing w:after="20" w:line="223" w:lineRule="auto"/>
        <w:jc w:val="right"/>
        <w:bidi/>
      </w:pPr>
      <w:r>
        <w:rPr>
          <w:rFonts w:ascii="Arial" w:hAnsi="Arial"/>
          <w:sz w:val="16"/>
        </w:rPr>
        <w:t>070.09  وزن آن کمتر از ۳۰۰ پوند است و برد آن تقریبا ۵۰۰ مایل دریایی است.</w:t>
      </w:r>
    </w:p>
    <w:p>
      <w:pPr>
        <w:spacing w:after="28" w:line="216" w:lineRule="auto"/>
        <w:ind w:left="259"/>
        <w:jc w:val="left"/>
      </w:pPr>
      <w:r>
        <w:rPr>
          <w:rFonts w:ascii="Arial" w:hAnsi="Arial"/>
          <w:color w:val="525252"/>
          <w:sz w:val="13"/>
        </w:rPr>
        <w:t>It weighs less than 300 pounds and has a range of approximately 500 nautical miles.</w:t>
      </w:r>
    </w:p>
    <w:p>
      <w:pPr>
        <w:spacing w:after="20" w:line="223" w:lineRule="auto"/>
        <w:jc w:val="right"/>
        <w:bidi/>
      </w:pPr>
      <w:r>
        <w:rPr>
          <w:rFonts w:ascii="Arial" w:hAnsi="Arial"/>
          <w:sz w:val="16"/>
        </w:rPr>
        <w:t>070.10  MALD با کپی کردن مشخصات پرواز جنگی و امضای هواپیماهای ایالات متحده و متحدانش از هواپیما و خدمه آنها محافظت می‌کند.</w:t>
      </w:r>
    </w:p>
    <w:p>
      <w:pPr>
        <w:spacing w:after="28" w:line="216" w:lineRule="auto"/>
        <w:ind w:left="259"/>
        <w:jc w:val="left"/>
      </w:pPr>
      <w:r>
        <w:rPr>
          <w:rFonts w:ascii="Arial" w:hAnsi="Arial"/>
          <w:color w:val="525252"/>
          <w:sz w:val="13"/>
        </w:rPr>
        <w:t>MALD protects aircraft and their crews by duplicating the combat flight profiles and signatures of United States and allied aircraft.</w:t>
      </w:r>
    </w:p>
    <w:p>
      <w:pPr>
        <w:spacing w:after="20" w:line="223" w:lineRule="auto"/>
        <w:jc w:val="right"/>
        <w:bidi/>
      </w:pPr>
      <w:r>
        <w:rPr>
          <w:rFonts w:ascii="Arial" w:hAnsi="Arial"/>
          <w:sz w:val="16"/>
        </w:rPr>
        <w:t>070.11  AGM-۸۶، موشک کروز پرتاب هوایی موشک کروز پرتاب هوایی AGM-۸۶ یک سلاح تهاجمی هسته‌ای نافذ و سطح پایین برای استفاده علیه اهداف سطحی استراتژیک است.</w:t>
      </w:r>
    </w:p>
    <w:p>
      <w:pPr>
        <w:spacing w:after="28" w:line="216" w:lineRule="auto"/>
        <w:ind w:left="259"/>
        <w:jc w:val="left"/>
      </w:pPr>
      <w:r>
        <w:rPr>
          <w:rFonts w:ascii="Arial" w:hAnsi="Arial"/>
          <w:color w:val="525252"/>
          <w:sz w:val="13"/>
        </w:rPr>
        <w:t>AGM-86, Air Launched Cruise Missile The AGM-86 Air Launched Cruise Missile is a low-level, penetrating nuclear strike weapon for use against strategic surface targets.</w:t>
      </w:r>
    </w:p>
    <w:p>
      <w:pPr>
        <w:spacing w:after="20" w:line="223" w:lineRule="auto"/>
        <w:jc w:val="right"/>
        <w:bidi/>
      </w:pPr>
      <w:r>
        <w:rPr>
          <w:rFonts w:ascii="Arial" w:hAnsi="Arial"/>
          <w:sz w:val="16"/>
        </w:rPr>
        <w:t>070.12  این موشک هسته‌ای راهبردی مادون صوت، بسیار دقیق، دوربرد و هوا به سطح است که برای قرار دادن کلاهک هسته‌ای و۸۰-۱ طراحی شده است و قادر است از دفاع هوایی و زمینی برای حمله به اهداف در هر نقطه در قلمرو دشمن فرار کند.</w:t>
      </w:r>
    </w:p>
    <w:p>
      <w:pPr>
        <w:spacing w:after="28" w:line="216" w:lineRule="auto"/>
        <w:ind w:left="259"/>
        <w:jc w:val="left"/>
      </w:pPr>
      <w:r>
        <w:rPr>
          <w:rFonts w:ascii="Arial" w:hAnsi="Arial"/>
          <w:color w:val="525252"/>
          <w:sz w:val="13"/>
        </w:rPr>
        <w:t>It is a subsonic, highly accurate, long-range, air-to- surface strategic nuclear missile designed to house the W80-1 nuclear warhead and is able to evade air- and ground-based defenses to strike targets at any location within any enemy’s territory.</w:t>
      </w:r>
    </w:p>
    <w:p>
      <w:pPr>
        <w:spacing w:after="20" w:line="223" w:lineRule="auto"/>
        <w:jc w:val="right"/>
        <w:bidi/>
      </w:pPr>
      <w:r>
        <w:rPr>
          <w:rFonts w:ascii="Arial" w:hAnsi="Arial"/>
          <w:sz w:val="16"/>
        </w:rPr>
        <w:t>070.13  AGM-۱۱۴، موشک هلفایر که در اصل برای استفاده ضد زره ساخته شد، AGM-۱۱۴ هللفیر با هدایت لیزری خانواده‌ای از موشک‌های هوا به سطح هدایت شونده کلاس ۱۰۰ پوندی برای استفاده علیه اهداف ثابت و متحرک است.</w:t>
      </w:r>
    </w:p>
    <w:p>
      <w:pPr>
        <w:spacing w:after="28" w:line="216" w:lineRule="auto"/>
        <w:ind w:left="259"/>
        <w:jc w:val="left"/>
      </w:pPr>
      <w:r>
        <w:rPr>
          <w:rFonts w:ascii="Arial" w:hAnsi="Arial"/>
          <w:color w:val="525252"/>
          <w:sz w:val="13"/>
        </w:rPr>
        <w:t>AGM-114, Hellfire Missile Originally developed for anti-armor use, the laser-guided AGM-114 Hellfire is a family of 100-pound class guided air-to-surface missiles for use against fixed and moving targets.</w:t>
      </w:r>
    </w:p>
    <w:p>
      <w:pPr>
        <w:spacing w:after="20" w:line="223" w:lineRule="auto"/>
        <w:jc w:val="right"/>
        <w:bidi/>
      </w:pPr>
      <w:r>
        <w:rPr>
          <w:rFonts w:ascii="Arial" w:hAnsi="Arial"/>
          <w:sz w:val="16"/>
        </w:rPr>
        <w:t>070.14  دارای قابلیت ضربات دقیق چند هدفه و چند مأموریتی است و می‌تواند از هواپیماهای چرخشی و بال ثابت از جمله هواپیماهای خلبانی از راه دور پرتاب شود.</w:t>
      </w:r>
    </w:p>
    <w:p>
      <w:pPr>
        <w:spacing w:after="28" w:line="216" w:lineRule="auto"/>
        <w:ind w:left="259"/>
        <w:jc w:val="left"/>
      </w:pPr>
      <w:r>
        <w:rPr>
          <w:rFonts w:ascii="Arial" w:hAnsi="Arial"/>
          <w:color w:val="525252"/>
          <w:sz w:val="13"/>
        </w:rPr>
        <w:t>It has multi-mission, multi-target precision-strike capability, and can be launched from multiple rotary and fixed-wing aircraft including remotely piloted aircraft.</w:t>
      </w:r>
    </w:p>
    <w:p>
      <w:r>
        <w:br w:type="page"/>
      </w:r>
    </w:p>
    <w:p>
      <w:pPr>
        <w:spacing w:after="60"/>
        <w:jc w:val="right"/>
        <w:bidi/>
      </w:pPr>
      <w:r>
        <w:rPr>
          <w:rFonts w:ascii="Arial" w:hAnsi="Arial"/>
          <w:b/>
          <w:color w:val="1F4D78"/>
          <w:sz w:val="19"/>
        </w:rPr>
        <w:t>هفتهٔ 71  |  صفحهٔ منبع: 87</w:t>
      </w:r>
    </w:p>
    <w:p>
      <w:pPr>
        <w:spacing w:after="20" w:line="223" w:lineRule="auto"/>
        <w:jc w:val="right"/>
        <w:bidi/>
      </w:pPr>
      <w:r>
        <w:rPr>
          <w:rFonts w:ascii="Arial" w:hAnsi="Arial"/>
          <w:sz w:val="16"/>
        </w:rPr>
        <w:t>071.01  AGM-۱۵۸، موشک ایستاده مشترک هوا به سطح AGM-۱۵۸ موشک ایستاده هوا به سطح مشترک، موشکی با برد بلند، معمولی، هوا به زمین و دقیق است که برای انهدام هدف‌های با ارزش، ثابت، با ارزش بالا، هدف‌گیری مناسب و با ارزش استفاده می‌شود.</w:t>
      </w:r>
    </w:p>
    <w:p>
      <w:pPr>
        <w:spacing w:after="28" w:line="216" w:lineRule="auto"/>
        <w:ind w:left="259"/>
        <w:jc w:val="left"/>
      </w:pPr>
      <w:r>
        <w:rPr>
          <w:rFonts w:ascii="Arial" w:hAnsi="Arial"/>
          <w:color w:val="525252"/>
          <w:sz w:val="13"/>
        </w:rPr>
        <w:t>AGM-158, Joint Air-to-Surface Stand-off Missile The AGM-158 Joint Air-to-Surface Stand-off Missile is a long-range, conventional, air-to-ground, precision stand- off missile used to destroy high-value, well-defended, fixed, and relocatable targets.</w:t>
      </w:r>
    </w:p>
    <w:p>
      <w:pPr>
        <w:spacing w:after="20" w:line="223" w:lineRule="auto"/>
        <w:jc w:val="right"/>
        <w:bidi/>
      </w:pPr>
      <w:r>
        <w:rPr>
          <w:rFonts w:ascii="Arial" w:hAnsi="Arial"/>
          <w:sz w:val="16"/>
        </w:rPr>
        <w:t>071.02  AIM-۱۲۰، ادوانکد مدیوم-رانگ ایر-تو-ایر میسسیل ت AIM-۱۲۰ ادوانکد مدیوم-رانگ ایر-تو-ایر میسسیل یس ا سوپرسونیک، مدیوم-رانگ، اکتیو رادار گویدد ایر-تو-ایر میسسیل ویت ا هیگه کسپلوسیو وارهاد.</w:t>
      </w:r>
    </w:p>
    <w:p>
      <w:pPr>
        <w:spacing w:after="28" w:line="216" w:lineRule="auto"/>
        <w:ind w:left="259"/>
        <w:jc w:val="left"/>
      </w:pPr>
      <w:r>
        <w:rPr>
          <w:rFonts w:ascii="Arial" w:hAnsi="Arial"/>
          <w:color w:val="525252"/>
          <w:sz w:val="13"/>
        </w:rPr>
        <w:t>AIM-120, Advanced Medium-Range Air-to-Air Missile The AIM-120 Advanced Medium-Range Air-to-Air Missile is a supersonic, medium-range, active radar guided air-to-air missile with a high explosive warhead.</w:t>
      </w:r>
    </w:p>
    <w:p>
      <w:pPr>
        <w:spacing w:after="20" w:line="223" w:lineRule="auto"/>
        <w:jc w:val="right"/>
        <w:bidi/>
      </w:pPr>
      <w:r>
        <w:rPr>
          <w:rFonts w:ascii="Arial" w:hAnsi="Arial"/>
          <w:sz w:val="16"/>
        </w:rPr>
        <w:t>071.03  دارای قابلیت فراتر از برد بصری در همه شرایط آب و هوایی است که توانایی‌های رزم هوایی را برای مقابله با تهدید فعلی و آینده سلاح‌های هوا به هوای دشمن بهبود می‌بخشد.</w:t>
      </w:r>
    </w:p>
    <w:p>
      <w:pPr>
        <w:spacing w:after="28" w:line="216" w:lineRule="auto"/>
        <w:ind w:left="259"/>
        <w:jc w:val="left"/>
      </w:pPr>
      <w:r>
        <w:rPr>
          <w:rFonts w:ascii="Arial" w:hAnsi="Arial"/>
          <w:color w:val="525252"/>
          <w:sz w:val="13"/>
        </w:rPr>
        <w:t>It has an all-weather, beyond-visual-range capability that improves the aerial combat capabilities to meet current and future threat of enemy air-to-air weapons.</w:t>
      </w:r>
    </w:p>
    <w:p>
      <w:pPr>
        <w:spacing w:after="20" w:line="223" w:lineRule="auto"/>
        <w:jc w:val="right"/>
        <w:bidi/>
      </w:pPr>
      <w:r>
        <w:rPr>
          <w:rFonts w:ascii="Arial" w:hAnsi="Arial"/>
          <w:sz w:val="16"/>
        </w:rPr>
        <w:t>071.04  AIM-۹م/کس، سیدویندر AIM-۹م/کس سیدویندر یک موشک هوا به هوا جستجوگر حرارت مادون قرمز غیرفعال مافوق صوت، برد کوتاه و غیرفعال با سرجنگی با قابلیت انفجار بالا است.</w:t>
      </w:r>
    </w:p>
    <w:p>
      <w:pPr>
        <w:spacing w:after="28" w:line="216" w:lineRule="auto"/>
        <w:ind w:left="259"/>
        <w:jc w:val="left"/>
      </w:pPr>
      <w:r>
        <w:rPr>
          <w:rFonts w:ascii="Arial" w:hAnsi="Arial"/>
          <w:color w:val="525252"/>
          <w:sz w:val="13"/>
        </w:rPr>
        <w:t>AIM-9M/X, Sidewinder The AIM-9M/X Sidewinder is a fighter-borne supersonic, short-range, passive infrared heat-seeking air-to-air missile with a high explosive warhead.</w:t>
      </w:r>
    </w:p>
    <w:p>
      <w:pPr>
        <w:spacing w:after="20" w:line="223" w:lineRule="auto"/>
        <w:jc w:val="right"/>
        <w:bidi/>
      </w:pPr>
      <w:r>
        <w:rPr>
          <w:rFonts w:ascii="Arial" w:hAnsi="Arial"/>
          <w:sz w:val="16"/>
        </w:rPr>
        <w:t>071.05  GBU-۳۱/۳۲/۳۸/۵۴/۵۶، مهمات حمله مستقیم مشترک مهمات حمله مستقیم مشترک GBU-۳۱/۳۲/۳۸/۵۴/۵۶ (JDAM) یک سیستم نیروی دریایی ایالات متحده آمریکا و نیروی دریایی است که برای ارتقاء موجودی موجودی از بمب‌های هدفمند لیزری، همه منظوره و بمب‌های یکپارچه لیزری و جی‌پی‌اس استفاده می‌شود. کیت هایی برای تحویل دقیق آب و هوای نامطلوب از ارتفاعات بسیار کم تا بسیار بالا.</w:t>
      </w:r>
    </w:p>
    <w:p>
      <w:pPr>
        <w:spacing w:after="28" w:line="216" w:lineRule="auto"/>
        <w:ind w:left="259"/>
        <w:jc w:val="left"/>
      </w:pPr>
      <w:r>
        <w:rPr>
          <w:rFonts w:ascii="Arial" w:hAnsi="Arial"/>
          <w:color w:val="525252"/>
          <w:sz w:val="13"/>
        </w:rPr>
        <w:t>GBU-31/32/38/54/56, Joint Direct Attack Munition The GBU-31/32/38/54/56 Joint Direct Attack Munition (JDAM) is a USAF and Navy system used to upgrade the existing inventory of general-purpose bombs by integrating them with GPS, laser, and inertial guidance system tail kits to provide accurate adverse weather delivery from very low to very high altitudes.</w:t>
      </w:r>
    </w:p>
    <w:p>
      <w:pPr>
        <w:spacing w:after="20" w:line="223" w:lineRule="auto"/>
        <w:jc w:val="right"/>
        <w:bidi/>
      </w:pPr>
      <w:r>
        <w:rPr>
          <w:rFonts w:ascii="Arial" w:hAnsi="Arial"/>
          <w:sz w:val="16"/>
        </w:rPr>
        <w:t>071.06  JDAM چندین سلاح را قادر می‌سازد تا در یک پاس به یک یا چند هدف هدایت شوند.</w:t>
      </w:r>
    </w:p>
    <w:p>
      <w:pPr>
        <w:spacing w:after="28" w:line="216" w:lineRule="auto"/>
        <w:ind w:left="259"/>
        <w:jc w:val="left"/>
      </w:pPr>
      <w:r>
        <w:rPr>
          <w:rFonts w:ascii="Arial" w:hAnsi="Arial"/>
          <w:color w:val="525252"/>
          <w:sz w:val="13"/>
        </w:rPr>
        <w:t>JDAM enables multiple weapons to be directed against single or multiple targets on a single pass.</w:t>
      </w:r>
    </w:p>
    <w:p>
      <w:pPr>
        <w:spacing w:after="20" w:line="223" w:lineRule="auto"/>
        <w:jc w:val="right"/>
        <w:bidi/>
      </w:pPr>
      <w:r>
        <w:rPr>
          <w:rFonts w:ascii="Arial" w:hAnsi="Arial"/>
          <w:sz w:val="16"/>
        </w:rPr>
        <w:t>071.07  GBU-۳۹، بمب با قطر کوچک GBU-۳۹ سمالل دیامتر بومب (SDB) یک مهمات هدایت شونده با برد گسترده در همه شرایط آب و هوایی، کلاس ۲۵۰ پوندی است.</w:t>
      </w:r>
    </w:p>
    <w:p>
      <w:pPr>
        <w:spacing w:after="28" w:line="216" w:lineRule="auto"/>
        <w:ind w:left="259"/>
        <w:jc w:val="left"/>
      </w:pPr>
      <w:r>
        <w:rPr>
          <w:rFonts w:ascii="Arial" w:hAnsi="Arial"/>
          <w:color w:val="525252"/>
          <w:sz w:val="13"/>
        </w:rPr>
        <w:t>GBU-39, Small Diameter Bomb The GBU-39 Small Diameter Bomb (SDB) is an extended range all-weather, 250-pound class, guided munition.</w:t>
      </w:r>
    </w:p>
    <w:p>
      <w:pPr>
        <w:spacing w:after="20" w:line="223" w:lineRule="auto"/>
        <w:jc w:val="right"/>
        <w:bidi/>
      </w:pPr>
      <w:r>
        <w:rPr>
          <w:rFonts w:ascii="Arial" w:hAnsi="Arial"/>
          <w:sz w:val="16"/>
        </w:rPr>
        <w:t>071.08  SDB برای ارائه ناوبری به هدف به GPS متکی است.</w:t>
      </w:r>
    </w:p>
    <w:p>
      <w:pPr>
        <w:spacing w:after="28" w:line="216" w:lineRule="auto"/>
        <w:ind w:left="259"/>
        <w:jc w:val="left"/>
      </w:pPr>
      <w:r>
        <w:rPr>
          <w:rFonts w:ascii="Arial" w:hAnsi="Arial"/>
          <w:color w:val="525252"/>
          <w:sz w:val="13"/>
        </w:rPr>
        <w:t>The SDB relies on GPS to provide navigation to the target.</w:t>
      </w:r>
    </w:p>
    <w:p>
      <w:pPr>
        <w:spacing w:after="20" w:line="223" w:lineRule="auto"/>
        <w:jc w:val="right"/>
        <w:bidi/>
      </w:pPr>
      <w:r>
        <w:rPr>
          <w:rFonts w:ascii="Arial" w:hAnsi="Arial"/>
          <w:sz w:val="16"/>
        </w:rPr>
        <w:t>071.09  قابلیت انهدام اهداف ثابت و ثابت را دارد.</w:t>
      </w:r>
    </w:p>
    <w:p>
      <w:pPr>
        <w:spacing w:after="28" w:line="216" w:lineRule="auto"/>
        <w:ind w:left="259"/>
        <w:jc w:val="left"/>
      </w:pPr>
      <w:r>
        <w:rPr>
          <w:rFonts w:ascii="Arial" w:hAnsi="Arial"/>
          <w:color w:val="525252"/>
          <w:sz w:val="13"/>
        </w:rPr>
        <w:t>It is capable of destroying fixed and stationary targets.</w:t>
      </w:r>
    </w:p>
    <w:p>
      <w:pPr>
        <w:spacing w:after="20" w:line="223" w:lineRule="auto"/>
        <w:jc w:val="right"/>
        <w:bidi/>
      </w:pPr>
      <w:r>
        <w:rPr>
          <w:rFonts w:ascii="Arial" w:hAnsi="Arial"/>
          <w:sz w:val="16"/>
        </w:rPr>
        <w:t>071.10  SDB بارگیری هواپیما را افزایش می‌دهد، ردپای لجستیکی را کاهش می‌دهد، آسیب‌های جانبی را کاهش می‌دهد و زمان تولید سورتی هواپیما را بهبود می‌بخشد.</w:t>
      </w:r>
    </w:p>
    <w:p>
      <w:pPr>
        <w:spacing w:after="28" w:line="216" w:lineRule="auto"/>
        <w:ind w:left="259"/>
        <w:jc w:val="left"/>
      </w:pPr>
      <w:r>
        <w:rPr>
          <w:rFonts w:ascii="Arial" w:hAnsi="Arial"/>
          <w:color w:val="525252"/>
          <w:sz w:val="13"/>
        </w:rPr>
        <w:t>SDB increases aircraft loadout, decreases the logistical footprint, decreases collateral damage, and improves aircraft sortie generation times.</w:t>
      </w:r>
    </w:p>
    <w:p>
      <w:r>
        <w:br w:type="page"/>
      </w:r>
    </w:p>
    <w:p>
      <w:pPr>
        <w:spacing w:after="60"/>
        <w:jc w:val="right"/>
        <w:bidi/>
      </w:pPr>
      <w:r>
        <w:rPr>
          <w:rFonts w:ascii="Arial" w:hAnsi="Arial"/>
          <w:b/>
          <w:color w:val="1F4D78"/>
          <w:sz w:val="19"/>
        </w:rPr>
        <w:t>هفتهٔ 72  |  صفحهٔ منبع: 88</w:t>
      </w:r>
    </w:p>
    <w:p>
      <w:pPr>
        <w:spacing w:after="20" w:line="223" w:lineRule="auto"/>
        <w:jc w:val="right"/>
        <w:bidi/>
      </w:pPr>
      <w:r>
        <w:rPr>
          <w:rFonts w:ascii="Arial" w:hAnsi="Arial"/>
          <w:sz w:val="16"/>
        </w:rPr>
        <w:t>072.01  GBU-۵۷، نفوذگر مهمات عظیم GBU-۵۷ ماسسیو وردنانک پنتراتور یک سیستم تسلیحاتی هدایت شونده ۳۰۰۰۰ پوندی است که برای انجام مأموریت دشوار و پیچیده رسیدن به اهداف و انهدام در تاسیسات سخت و عمیق طراحی شده است.</w:t>
      </w:r>
    </w:p>
    <w:p>
      <w:pPr>
        <w:spacing w:after="28" w:line="216" w:lineRule="auto"/>
        <w:ind w:left="259"/>
        <w:jc w:val="left"/>
      </w:pPr>
      <w:r>
        <w:rPr>
          <w:rFonts w:ascii="Arial" w:hAnsi="Arial"/>
          <w:color w:val="525252"/>
          <w:sz w:val="13"/>
        </w:rPr>
        <w:t>GBU-57, Massive Ordnance Penetrator The GBU-57 Massive Ordnance Penetrator is a 30,000- pound guided, earth-penetrating weapon system designed to accomplish the difficult, complicated mission of reaching and destroying targets in hardened and deeply- buried facilities.</w:t>
      </w:r>
    </w:p>
    <w:p>
      <w:pPr>
        <w:spacing w:after="20" w:line="223" w:lineRule="auto"/>
        <w:jc w:val="right"/>
        <w:bidi/>
      </w:pPr>
      <w:r>
        <w:rPr>
          <w:rFonts w:ascii="Arial" w:hAnsi="Arial"/>
          <w:sz w:val="16"/>
        </w:rPr>
        <w:t>072.02  این سلاح بیش از ۲۰ فوت طول دارد و بیش از ۵۳۰۰ پوند مواد منفجره را حمل می‌کند.</w:t>
      </w:r>
    </w:p>
    <w:p>
      <w:pPr>
        <w:spacing w:after="28" w:line="216" w:lineRule="auto"/>
        <w:ind w:left="259"/>
        <w:jc w:val="left"/>
      </w:pPr>
      <w:r>
        <w:rPr>
          <w:rFonts w:ascii="Arial" w:hAnsi="Arial"/>
          <w:color w:val="525252"/>
          <w:sz w:val="13"/>
        </w:rPr>
        <w:t>This weapon is over 20 feet long and carries more than 5,300 pounds of explosives.</w:t>
      </w:r>
    </w:p>
    <w:p>
      <w:pPr>
        <w:spacing w:after="20" w:line="223" w:lineRule="auto"/>
        <w:jc w:val="right"/>
        <w:bidi/>
      </w:pPr>
      <w:r>
        <w:rPr>
          <w:rFonts w:ascii="Arial" w:hAnsi="Arial"/>
          <w:sz w:val="16"/>
        </w:rPr>
        <w:t>072.03  LGM-۳۰گ، موشک بالستیک بین قاره‌ای مینوتمان III یک سامانه تسلیحاتی استراتژیک با برد بین قاره‌ای است.</w:t>
      </w:r>
    </w:p>
    <w:p>
      <w:pPr>
        <w:spacing w:after="28" w:line="216" w:lineRule="auto"/>
        <w:ind w:left="259"/>
        <w:jc w:val="left"/>
      </w:pPr>
      <w:r>
        <w:rPr>
          <w:rFonts w:ascii="Arial" w:hAnsi="Arial"/>
          <w:color w:val="525252"/>
          <w:sz w:val="13"/>
        </w:rPr>
        <w:t>LGM-30G, Intercontinental Ballistic Missile The Minuteman III is a strategic weapon system of intercontinental range.</w:t>
      </w:r>
    </w:p>
    <w:p>
      <w:pPr>
        <w:spacing w:after="20" w:line="223" w:lineRule="auto"/>
        <w:jc w:val="right"/>
        <w:bidi/>
      </w:pPr>
      <w:r>
        <w:rPr>
          <w:rFonts w:ascii="Arial" w:hAnsi="Arial"/>
          <w:sz w:val="16"/>
        </w:rPr>
        <w:t>072.04  این موشک‌های هسته‌ای برای محافظت در برابر حمله در سیلوهای سخت شده پراکنده می‌شوند و از طریق سیستم کابل‌های سخت شده به مرکز کنترل پرتاب زیرزمینی متصل می‌شوند.</w:t>
      </w:r>
    </w:p>
    <w:p>
      <w:pPr>
        <w:spacing w:after="28" w:line="216" w:lineRule="auto"/>
        <w:ind w:left="259"/>
        <w:jc w:val="left"/>
      </w:pPr>
      <w:r>
        <w:rPr>
          <w:rFonts w:ascii="Arial" w:hAnsi="Arial"/>
          <w:color w:val="525252"/>
          <w:sz w:val="13"/>
        </w:rPr>
        <w:t>These nuclear missiles are dispersed in hardened silos to protect against attack and connected to an underground launch control center through a system of hardened cables.</w:t>
      </w:r>
    </w:p>
    <w:p>
      <w:pPr>
        <w:spacing w:after="20" w:line="223" w:lineRule="auto"/>
        <w:jc w:val="right"/>
        <w:bidi/>
      </w:pPr>
      <w:r>
        <w:rPr>
          <w:rFonts w:ascii="Arial" w:hAnsi="Arial"/>
          <w:sz w:val="16"/>
        </w:rPr>
        <w:t>072.05  مینوتمان III ICBM برای ارائه یک و۸۷ یا حداکثر سه سلاح گرما هسته‌ای و۷۸ طراحی شده است.</w:t>
      </w:r>
    </w:p>
    <w:p>
      <w:pPr>
        <w:spacing w:after="28" w:line="216" w:lineRule="auto"/>
        <w:ind w:left="259"/>
        <w:jc w:val="left"/>
      </w:pPr>
      <w:r>
        <w:rPr>
          <w:rFonts w:ascii="Arial" w:hAnsi="Arial"/>
          <w:color w:val="525252"/>
          <w:sz w:val="13"/>
        </w:rPr>
        <w:t>The Minuteman III ICBM is designed to deliver one W87 or up to three W78 thermonuclear weapons.</w:t>
      </w:r>
    </w:p>
    <w:p>
      <w:pPr>
        <w:spacing w:after="20" w:line="223" w:lineRule="auto"/>
        <w:jc w:val="right"/>
        <w:bidi/>
      </w:pPr>
      <w:r>
        <w:rPr>
          <w:rFonts w:ascii="Arial" w:hAnsi="Arial"/>
          <w:sz w:val="16"/>
        </w:rPr>
        <w:t>072.06  ب۶۱، بمب گرما هسته‌ای ب۶۱ یک خانواده تسلیحات هسته‌ای تاکتیکی است که شامل تغییرات -۷، -۱۱، -۱۲ و -۱۳ می‌شود.</w:t>
      </w:r>
    </w:p>
    <w:p>
      <w:pPr>
        <w:spacing w:after="28" w:line="216" w:lineRule="auto"/>
        <w:ind w:left="259"/>
        <w:jc w:val="left"/>
      </w:pPr>
      <w:r>
        <w:rPr>
          <w:rFonts w:ascii="Arial" w:hAnsi="Arial"/>
          <w:color w:val="525252"/>
          <w:sz w:val="13"/>
        </w:rPr>
        <w:t>B61, Thermonuclear Bomb The B61 is an air-dropped tactical nuclear weapon family including the -7, -11, -12, and -13 modifications.</w:t>
      </w:r>
    </w:p>
    <w:p>
      <w:pPr>
        <w:spacing w:after="20" w:line="223" w:lineRule="auto"/>
        <w:jc w:val="right"/>
        <w:bidi/>
      </w:pPr>
      <w:r>
        <w:rPr>
          <w:rFonts w:ascii="Arial" w:hAnsi="Arial"/>
          <w:sz w:val="16"/>
        </w:rPr>
        <w:t>072.07  این سلاح را می‌توان هم با هواپیماهای بمب افکن و هم با هواپیماهای جنگنده حمل کرد.</w:t>
      </w:r>
    </w:p>
    <w:p>
      <w:pPr>
        <w:spacing w:after="28" w:line="216" w:lineRule="auto"/>
        <w:ind w:left="259"/>
        <w:jc w:val="left"/>
      </w:pPr>
      <w:r>
        <w:rPr>
          <w:rFonts w:ascii="Arial" w:hAnsi="Arial"/>
          <w:color w:val="525252"/>
          <w:sz w:val="13"/>
        </w:rPr>
        <w:t>The weapon can be carried by both bomber and fighter aircraft.</w:t>
      </w:r>
    </w:p>
    <w:p>
      <w:pPr>
        <w:spacing w:after="20" w:line="223" w:lineRule="auto"/>
        <w:jc w:val="right"/>
        <w:bidi/>
      </w:pPr>
      <w:r>
        <w:rPr>
          <w:rFonts w:ascii="Arial" w:hAnsi="Arial"/>
          <w:sz w:val="16"/>
        </w:rPr>
        <w:t>072.08  قابلیت‌های سیستم تسلیحاتی شامل گزینه‌های نفوذ به زمین برای اهداف سخت‌شده، گزینه‌های تسلیم قابل انتخاب متناسب با الزامات مأموریت خاص، و کیت دم هدایت‌شونده برای هدف‌گیری دقیق‌تر و اثربخشی بالاتر در تسلیم‌های پایین‌تر است.</w:t>
      </w:r>
    </w:p>
    <w:p>
      <w:pPr>
        <w:spacing w:after="28" w:line="216" w:lineRule="auto"/>
        <w:ind w:left="259"/>
        <w:jc w:val="left"/>
      </w:pPr>
      <w:r>
        <w:rPr>
          <w:rFonts w:ascii="Arial" w:hAnsi="Arial"/>
          <w:color w:val="525252"/>
          <w:sz w:val="13"/>
        </w:rPr>
        <w:t>The capabilities of the weapon system include ground- penetrating options for hardened targets, selectable yield options tailored to specific mission requirements, and a guided tail kit for more precise targeting and higher effectiveness at lower yields.</w:t>
      </w:r>
    </w:p>
    <w:p>
      <w:r>
        <w:br w:type="page"/>
      </w:r>
    </w:p>
    <w:p>
      <w:pPr>
        <w:spacing w:after="60"/>
        <w:jc w:val="right"/>
        <w:bidi/>
      </w:pPr>
      <w:r>
        <w:rPr>
          <w:rFonts w:ascii="Arial" w:hAnsi="Arial"/>
          <w:b/>
          <w:color w:val="1F4D78"/>
          <w:sz w:val="19"/>
        </w:rPr>
        <w:t>هفتهٔ 73  |  صفحهٔ منبع: 89</w:t>
      </w:r>
    </w:p>
    <w:p>
      <w:pPr>
        <w:spacing w:before="60" w:after="28"/>
        <w:jc w:val="right"/>
        <w:bidi/>
      </w:pPr>
      <w:r>
        <w:rPr>
          <w:b/>
          <w:color w:val="1F4D78"/>
          <w:sz w:val="18"/>
        </w:rPr>
        <w:t>فصل 5</w:t>
      </w:r>
    </w:p>
    <w:p>
      <w:pPr>
        <w:spacing w:after="20"/>
        <w:ind w:left="259"/>
        <w:jc w:val="left"/>
      </w:pPr>
      <w:r>
        <w:rPr>
          <w:color w:val="555555"/>
          <w:sz w:val="12"/>
        </w:rPr>
        <w:t>Chapter 5</w:t>
      </w:r>
    </w:p>
    <w:p>
      <w:pPr>
        <w:spacing w:before="60" w:after="28"/>
        <w:jc w:val="right"/>
        <w:bidi/>
      </w:pPr>
      <w:r>
        <w:rPr>
          <w:b/>
          <w:color w:val="1F4D78"/>
          <w:sz w:val="18"/>
        </w:rPr>
        <w:t>سازمان و فرماندهی نظامی</w:t>
      </w:r>
    </w:p>
    <w:p>
      <w:pPr>
        <w:spacing w:after="20"/>
        <w:ind w:left="259"/>
        <w:jc w:val="left"/>
      </w:pPr>
      <w:r>
        <w:rPr>
          <w:color w:val="555555"/>
          <w:sz w:val="12"/>
        </w:rPr>
        <w:t>MILITARY ORGANIZATION AND COMMAND</w:t>
      </w:r>
    </w:p>
    <w:p>
      <w:pPr>
        <w:spacing w:before="60" w:after="28"/>
        <w:jc w:val="right"/>
        <w:bidi/>
      </w:pPr>
      <w:r>
        <w:rPr>
          <w:b/>
          <w:color w:val="1F4D78"/>
          <w:sz w:val="18"/>
        </w:rPr>
        <w:t>بخش 5A-نیروهای مسلح ایالات متحده</w:t>
      </w:r>
    </w:p>
    <w:p>
      <w:pPr>
        <w:spacing w:after="20"/>
        <w:ind w:left="259"/>
        <w:jc w:val="left"/>
      </w:pPr>
      <w:r>
        <w:rPr>
          <w:color w:val="555555"/>
          <w:sz w:val="12"/>
        </w:rPr>
        <w:t>Section 5A—United States Armed Forces</w:t>
      </w:r>
    </w:p>
    <w:p>
      <w:pPr>
        <w:spacing w:before="60" w:after="28"/>
        <w:jc w:val="right"/>
        <w:bidi/>
      </w:pPr>
      <w:r>
        <w:rPr>
          <w:b/>
          <w:color w:val="1F4D78"/>
          <w:sz w:val="18"/>
        </w:rPr>
        <w:t>5.1. مقام فرماندهی</w:t>
      </w:r>
    </w:p>
    <w:p>
      <w:pPr>
        <w:spacing w:after="20"/>
        <w:ind w:left="259"/>
        <w:jc w:val="left"/>
      </w:pPr>
      <w:r>
        <w:rPr>
          <w:color w:val="555555"/>
          <w:sz w:val="12"/>
        </w:rPr>
        <w:t>5.1. Command Authority</w:t>
      </w:r>
    </w:p>
    <w:p>
      <w:pPr>
        <w:spacing w:after="20" w:line="223" w:lineRule="auto"/>
        <w:jc w:val="right"/>
        <w:bidi/>
      </w:pPr>
      <w:r>
        <w:rPr>
          <w:rFonts w:ascii="Arial" w:hAnsi="Arial"/>
          <w:sz w:val="16"/>
        </w:rPr>
        <w:t>073.05  از بدو تولد ملت ما، سیاست‌ها و دستورالعمل‌هایی از سوی غیرنظامیان منصوب به ارتش و قوه مجریه و مقننه دولت انجام شده است.</w:t>
      </w:r>
    </w:p>
    <w:p>
      <w:pPr>
        <w:spacing w:after="28" w:line="216" w:lineRule="auto"/>
        <w:ind w:left="259"/>
        <w:jc w:val="left"/>
      </w:pPr>
      <w:r>
        <w:rPr>
          <w:rFonts w:ascii="Arial" w:hAnsi="Arial"/>
          <w:color w:val="525252"/>
          <w:sz w:val="13"/>
        </w:rPr>
        <w:t>Since the birth of our nation, policies and directives have been made by civilians assigned to the military and to the executive and legislative branches of the government.</w:t>
      </w:r>
    </w:p>
    <w:p>
      <w:pPr>
        <w:spacing w:after="20" w:line="223" w:lineRule="auto"/>
        <w:jc w:val="right"/>
        <w:bidi/>
      </w:pPr>
      <w:r>
        <w:rPr>
          <w:rFonts w:ascii="Arial" w:hAnsi="Arial"/>
          <w:sz w:val="16"/>
        </w:rPr>
        <w:t>073.06  اقتدار فرماندهی سطوح تعیین شده مسئولیت فرماندهی، کنترل و ارتباطات در سراسر زنجیره فرماندهی است.</w:t>
      </w:r>
    </w:p>
    <w:p>
      <w:pPr>
        <w:spacing w:after="28" w:line="216" w:lineRule="auto"/>
        <w:ind w:left="259"/>
        <w:jc w:val="left"/>
      </w:pPr>
      <w:r>
        <w:rPr>
          <w:rFonts w:ascii="Arial" w:hAnsi="Arial"/>
          <w:color w:val="525252"/>
          <w:sz w:val="13"/>
        </w:rPr>
        <w:t>Command authority is the established levels of responsibility for command, control, and communication throughout a chain of command.</w:t>
      </w:r>
    </w:p>
    <w:p>
      <w:pPr>
        <w:spacing w:after="20" w:line="223" w:lineRule="auto"/>
        <w:jc w:val="right"/>
        <w:bidi/>
      </w:pPr>
      <w:r>
        <w:rPr>
          <w:rFonts w:ascii="Arial" w:hAnsi="Arial"/>
          <w:sz w:val="16"/>
        </w:rPr>
        <w:t>073.07  مسئولیت و اختیار برای نیروهای مسلح ایالات متحده از رئیس جمهور ایالات متحده، از طریق وزیر دفاع، از طریق دو شاخه مجزا از فرماندهی، و از طریق هر فرمانده در هر سطحی در شاخه‌های خدمات گسترش می‌یابد.</w:t>
      </w:r>
    </w:p>
    <w:p>
      <w:pPr>
        <w:spacing w:after="28" w:line="216" w:lineRule="auto"/>
        <w:ind w:left="259"/>
        <w:jc w:val="left"/>
      </w:pPr>
      <w:r>
        <w:rPr>
          <w:rFonts w:ascii="Arial" w:hAnsi="Arial"/>
          <w:color w:val="525252"/>
          <w:sz w:val="13"/>
        </w:rPr>
        <w:t>Responsibility and authority for the U.S. Armed Forces extends from the U.S. President, through the Secretary of Defense, through two distinct branches of command, and through each commander at every level in the branches of service.</w:t>
      </w:r>
    </w:p>
    <w:p>
      <w:pPr>
        <w:spacing w:after="20" w:line="223" w:lineRule="auto"/>
        <w:jc w:val="right"/>
        <w:bidi/>
      </w:pPr>
      <w:r>
        <w:rPr>
          <w:rFonts w:ascii="Arial" w:hAnsi="Arial"/>
          <w:sz w:val="16"/>
        </w:rPr>
        <w:t>073.08  سطوح مختلف در زنجیره فرماندهی مسئولیت‌ها و اختیارات متفاوتی دارند. با این حال، هر سطح در زنجیره مسئول تمام سطوح پایین‌تر و پاسخگو به تمام سطوح بالاتر است.</w:t>
      </w:r>
    </w:p>
    <w:p>
      <w:pPr>
        <w:spacing w:after="28" w:line="216" w:lineRule="auto"/>
        <w:ind w:left="259"/>
        <w:jc w:val="left"/>
      </w:pPr>
      <w:r>
        <w:rPr>
          <w:rFonts w:ascii="Arial" w:hAnsi="Arial"/>
          <w:color w:val="525252"/>
          <w:sz w:val="13"/>
        </w:rPr>
        <w:t>The various levels within the chain of command have different responsibilities and authority; however, each level in the chain is responsible for all lower levels and accountable to all higher levels.</w:t>
      </w:r>
    </w:p>
    <w:p>
      <w:pPr>
        <w:spacing w:after="20" w:line="223" w:lineRule="auto"/>
        <w:jc w:val="right"/>
        <w:bidi/>
      </w:pPr>
      <w:r>
        <w:rPr>
          <w:rFonts w:ascii="Arial" w:hAnsi="Arial"/>
          <w:sz w:val="16"/>
        </w:rPr>
        <w:t>073.09  فرمانده کل قوا.</w:t>
      </w:r>
    </w:p>
    <w:p>
      <w:pPr>
        <w:spacing w:after="28" w:line="216" w:lineRule="auto"/>
        <w:ind w:left="259"/>
        <w:jc w:val="left"/>
      </w:pPr>
      <w:r>
        <w:rPr>
          <w:rFonts w:ascii="Arial" w:hAnsi="Arial"/>
          <w:color w:val="525252"/>
          <w:sz w:val="13"/>
        </w:rPr>
        <w:t>Commander in Chief.</w:t>
      </w:r>
    </w:p>
    <w:p>
      <w:pPr>
        <w:spacing w:after="20" w:line="223" w:lineRule="auto"/>
        <w:jc w:val="right"/>
        <w:bidi/>
      </w:pPr>
      <w:r>
        <w:rPr>
          <w:rFonts w:ascii="Arial" w:hAnsi="Arial"/>
          <w:sz w:val="16"/>
        </w:rPr>
        <w:t>073.10  قانون اساسی ایالات متحده اصل اساسی کنترل غیر نظامی نیروهای مسلح ایالات متحده را تعیین می‌کند.</w:t>
      </w:r>
    </w:p>
    <w:p>
      <w:pPr>
        <w:spacing w:after="28" w:line="216" w:lineRule="auto"/>
        <w:ind w:left="259"/>
        <w:jc w:val="left"/>
      </w:pPr>
      <w:r>
        <w:rPr>
          <w:rFonts w:ascii="Arial" w:hAnsi="Arial"/>
          <w:color w:val="525252"/>
          <w:sz w:val="13"/>
        </w:rPr>
        <w:t>The U.S. Constitution establishes the basic principle of civilian control of the U.S. Armed Forces.</w:t>
      </w:r>
    </w:p>
    <w:p>
      <w:pPr>
        <w:spacing w:after="20" w:line="223" w:lineRule="auto"/>
        <w:jc w:val="right"/>
        <w:bidi/>
      </w:pPr>
      <w:r>
        <w:rPr>
          <w:rFonts w:ascii="Arial" w:hAnsi="Arial"/>
          <w:sz w:val="16"/>
        </w:rPr>
        <w:t>073.11  به‌عنوان فرمانده کل، رئیس جمهور ایالات متحده دارای اختیارات فرماندهی نهایی است. اما رئیس جمهور به‌عنوان رئیس قوه مجریه تابع سیستم کنترل و تعادل قوای مقننه و قضائیه است.</w:t>
      </w:r>
    </w:p>
    <w:p>
      <w:pPr>
        <w:spacing w:after="28" w:line="216" w:lineRule="auto"/>
        <w:ind w:left="259"/>
        <w:jc w:val="left"/>
      </w:pPr>
      <w:r>
        <w:rPr>
          <w:rFonts w:ascii="Arial" w:hAnsi="Arial"/>
          <w:color w:val="525252"/>
          <w:sz w:val="13"/>
        </w:rPr>
        <w:t>As Commander in Chief, the U.S. President has final command authority; however, as head of the executive branch, the President is subject to the checks and balances system of the legislative and judicial branches.</w:t>
      </w:r>
    </w:p>
    <w:p>
      <w:pPr>
        <w:spacing w:after="20" w:line="223" w:lineRule="auto"/>
        <w:jc w:val="right"/>
        <w:bidi/>
      </w:pPr>
      <w:r>
        <w:rPr>
          <w:rFonts w:ascii="Arial" w:hAnsi="Arial"/>
          <w:sz w:val="16"/>
        </w:rPr>
        <w:t>073.12  زنجیره فرماندهی.</w:t>
      </w:r>
    </w:p>
    <w:p>
      <w:pPr>
        <w:spacing w:after="28" w:line="216" w:lineRule="auto"/>
        <w:ind w:left="259"/>
        <w:jc w:val="left"/>
      </w:pPr>
      <w:r>
        <w:rPr>
          <w:rFonts w:ascii="Arial" w:hAnsi="Arial"/>
          <w:color w:val="525252"/>
          <w:sz w:val="13"/>
        </w:rPr>
        <w:t>Chain of Command.</w:t>
      </w:r>
    </w:p>
    <w:p>
      <w:pPr>
        <w:spacing w:after="20" w:line="223" w:lineRule="auto"/>
        <w:jc w:val="right"/>
        <w:bidi/>
      </w:pPr>
      <w:r>
        <w:rPr>
          <w:rFonts w:ascii="Arial" w:hAnsi="Arial"/>
          <w:sz w:val="16"/>
        </w:rPr>
        <w:t>073.13  طبق قانون، زنجیره فرماندهی از رئیس جمهور ایالات متحده، از طریق وزیر دفاع، تا فرماندهان رزمی (CCDR) اجرا می‌شود.</w:t>
      </w:r>
    </w:p>
    <w:p>
      <w:pPr>
        <w:spacing w:after="28" w:line="216" w:lineRule="auto"/>
        <w:ind w:left="259"/>
        <w:jc w:val="left"/>
      </w:pPr>
      <w:r>
        <w:rPr>
          <w:rFonts w:ascii="Arial" w:hAnsi="Arial"/>
          <w:color w:val="525252"/>
          <w:sz w:val="13"/>
        </w:rPr>
        <w:t>By statute, the chain of command runs from the U.S. President, through the Secretary of Defense, to the Combatant Commanders (CCDR).</w:t>
      </w:r>
    </w:p>
    <w:p>
      <w:pPr>
        <w:spacing w:after="20" w:line="223" w:lineRule="auto"/>
        <w:jc w:val="right"/>
        <w:bidi/>
      </w:pPr>
      <w:r>
        <w:rPr>
          <w:rFonts w:ascii="Arial" w:hAnsi="Arial"/>
          <w:sz w:val="16"/>
        </w:rPr>
        <w:t>073.14  برای همه نیروهایی که به CCDR ها اختصاص داده نشده‌اند، زنجیره فرماندهی از رئیس جمهور ایالات متحده، از طریق وزیر دفاع، تا وزرای ادارات نظامی اجرا می‌شود.</w:t>
      </w:r>
    </w:p>
    <w:p>
      <w:pPr>
        <w:spacing w:after="28" w:line="216" w:lineRule="auto"/>
        <w:ind w:left="259"/>
        <w:jc w:val="left"/>
      </w:pPr>
      <w:r>
        <w:rPr>
          <w:rFonts w:ascii="Arial" w:hAnsi="Arial"/>
          <w:color w:val="525252"/>
          <w:sz w:val="13"/>
        </w:rPr>
        <w:t>For all forces not assigned to the CCDRs, the chain of command runs from the U.S. President, through the Secretary of Defense, to the Secretaries of the military departments.</w:t>
      </w:r>
    </w:p>
    <w:p>
      <w:pPr>
        <w:spacing w:after="20" w:line="223" w:lineRule="auto"/>
        <w:jc w:val="right"/>
        <w:bidi/>
      </w:pPr>
      <w:r>
        <w:rPr>
          <w:rFonts w:ascii="Arial" w:hAnsi="Arial"/>
          <w:sz w:val="16"/>
        </w:rPr>
        <w:t>073.15  هنگامی که نیروها به CCDRها اختصاص داده می‌شوند، کنترل اداری بر آن نیروها معمولا از طریق شاخه خدمات مربوطه آنها جریان دارد.</w:t>
      </w:r>
    </w:p>
    <w:p>
      <w:pPr>
        <w:spacing w:after="28" w:line="216" w:lineRule="auto"/>
        <w:ind w:left="259"/>
        <w:jc w:val="left"/>
      </w:pPr>
      <w:r>
        <w:rPr>
          <w:rFonts w:ascii="Arial" w:hAnsi="Arial"/>
          <w:color w:val="525252"/>
          <w:sz w:val="13"/>
        </w:rPr>
        <w:t>When forces are assigned to the CCDRs, administrative control over those forces still typically flows through their respective service branch.</w:t>
      </w:r>
    </w:p>
    <w:p>
      <w:pPr>
        <w:spacing w:after="20" w:line="223" w:lineRule="auto"/>
        <w:jc w:val="right"/>
        <w:bidi/>
      </w:pPr>
      <w:r>
        <w:rPr>
          <w:rFonts w:ascii="Arial" w:hAnsi="Arial"/>
          <w:sz w:val="16"/>
        </w:rPr>
        <w:t>073.16  توجه: یک ماده از قانون عمومی ۹۹-۴۳۳، قانون سازماندهی مجدد وزارت دفاع گلدواتر-نیکولز در سال ۱۹۸۶، ۱ اکتبر ۱۹۸۶، به رئیس جمهور ایالات متحده اجازه می‌دهد ارتباطات را از طریق رئیس ستاد مشترک ارتش، با قرار دادن رئیس در فرماندهی، اجازه دهد.</w:t>
      </w:r>
    </w:p>
    <w:p>
      <w:pPr>
        <w:spacing w:after="28" w:line="216" w:lineRule="auto"/>
        <w:ind w:left="259"/>
        <w:jc w:val="left"/>
      </w:pPr>
      <w:r>
        <w:rPr>
          <w:rFonts w:ascii="Arial" w:hAnsi="Arial"/>
          <w:color w:val="525252"/>
          <w:sz w:val="13"/>
        </w:rPr>
        <w:t>Note: A provision of the Public Law 99-433, Goldwater-Nichols Department of Defense Reorganization Act of 1986, 1 October 1986, permits the U.S. President to authorize communications through the Chairman of the Joint Chiefs of Staff, placing the Chairman in the communications chain of command.</w:t>
      </w:r>
    </w:p>
    <w:p>
      <w:pPr>
        <w:spacing w:before="60" w:after="28"/>
        <w:jc w:val="right"/>
        <w:bidi/>
      </w:pPr>
      <w:r>
        <w:rPr>
          <w:b/>
          <w:color w:val="1F4D78"/>
          <w:sz w:val="18"/>
        </w:rPr>
        <w:t>5.2. وزارت دفاع</w:t>
      </w:r>
    </w:p>
    <w:p>
      <w:pPr>
        <w:spacing w:after="20"/>
        <w:ind w:left="259"/>
        <w:jc w:val="left"/>
      </w:pPr>
      <w:r>
        <w:rPr>
          <w:color w:val="555555"/>
          <w:sz w:val="12"/>
        </w:rPr>
        <w:t>5.2. Department of Defense</w:t>
      </w:r>
    </w:p>
    <w:p>
      <w:pPr>
        <w:spacing w:after="20" w:line="223" w:lineRule="auto"/>
        <w:jc w:val="right"/>
        <w:bidi/>
      </w:pPr>
      <w:r>
        <w:rPr>
          <w:rFonts w:ascii="Arial" w:hAnsi="Arial"/>
          <w:sz w:val="16"/>
        </w:rPr>
        <w:t>073.18  با بیش از ۱.۳ میلیون عضو در نیروهای منظم، ۸۲۶۰۰۰ نفر دیگر در گارد ملی و نیروهای ذخیره و ۷۴۲۰۰۰ پرسنل غیرنظامی، وزارت دفاع بزرگترین سازمان دولتی آمریکا است.</w:t>
      </w:r>
    </w:p>
    <w:p>
      <w:pPr>
        <w:spacing w:after="28" w:line="216" w:lineRule="auto"/>
        <w:ind w:left="259"/>
        <w:jc w:val="left"/>
      </w:pPr>
      <w:r>
        <w:rPr>
          <w:rFonts w:ascii="Arial" w:hAnsi="Arial"/>
          <w:color w:val="525252"/>
          <w:sz w:val="13"/>
        </w:rPr>
        <w:t>With over 1.3 million members in the Regular Forces, another 826,000 in the National Guard and Reserve Forces, and 742,000 civilian personnel, the Department of Defense is America’s largest government agency.</w:t>
      </w:r>
    </w:p>
    <w:p>
      <w:pPr>
        <w:spacing w:after="20" w:line="223" w:lineRule="auto"/>
        <w:jc w:val="right"/>
        <w:bidi/>
      </w:pPr>
      <w:r>
        <w:rPr>
          <w:rFonts w:ascii="Arial" w:hAnsi="Arial"/>
          <w:sz w:val="16"/>
        </w:rPr>
        <w:t>073.19  مأموریت وزارت دفاع تأمین نیروهای نظامی برای جلوگیری از جنگ و حفاظت از امنیت کشورمان است.</w:t>
      </w:r>
    </w:p>
    <w:p>
      <w:pPr>
        <w:spacing w:after="28" w:line="216" w:lineRule="auto"/>
        <w:ind w:left="259"/>
        <w:jc w:val="left"/>
      </w:pPr>
      <w:r>
        <w:rPr>
          <w:rFonts w:ascii="Arial" w:hAnsi="Arial"/>
          <w:color w:val="525252"/>
          <w:sz w:val="13"/>
        </w:rPr>
        <w:t>The mission of the Department of Defense is to provide military forces to deter war and protect the security of our country.</w:t>
      </w:r>
    </w:p>
    <w:p>
      <w:pPr>
        <w:spacing w:after="20" w:line="223" w:lineRule="auto"/>
        <w:jc w:val="right"/>
        <w:bidi/>
      </w:pPr>
      <w:r>
        <w:rPr>
          <w:rFonts w:ascii="Arial" w:hAnsi="Arial"/>
          <w:sz w:val="16"/>
        </w:rPr>
        <w:t>073.20  دفتر مرکزی در پنتاگون، وزارت دفاع شامل دفتر وزیر دفاع است. رئیس ستاد مشترک؛ ستاد مشترک؛ و بخش‌های ارتش، نیروی دریایی (از جمله تفنگداران دریایی)، و نیروی هوایی (از جمله نیروی فضایی).</w:t>
      </w:r>
    </w:p>
    <w:p>
      <w:pPr>
        <w:spacing w:after="28" w:line="216" w:lineRule="auto"/>
        <w:ind w:left="259"/>
        <w:jc w:val="left"/>
      </w:pPr>
      <w:r>
        <w:rPr>
          <w:rFonts w:ascii="Arial" w:hAnsi="Arial"/>
          <w:color w:val="525252"/>
          <w:sz w:val="13"/>
        </w:rPr>
        <w:t>Headquartered at the Pentagon, the Department of Defense includes the Office of the Secretary of Defense; the Joint Chiefs of Staff; the Joint Staff; and the Departments of the Army, Navy (including the Marine Corps), and Air Force (including the Space Force).</w:t>
      </w:r>
    </w:p>
    <w:p>
      <w:pPr>
        <w:spacing w:after="20" w:line="223" w:lineRule="auto"/>
        <w:jc w:val="right"/>
        <w:bidi/>
      </w:pPr>
      <w:r>
        <w:rPr>
          <w:rFonts w:ascii="Arial" w:hAnsi="Arial"/>
          <w:sz w:val="16"/>
        </w:rPr>
        <w:t>073.21  به‌علاوه، وزارت دفاع شامل فرماندهی‌های رزمی متحد (CCMD) و نیروهایی است که به فرماندهی ترکیبی، آژانس‌های دفاعی و فعالیت‌های میدانی اختصاص داده شده‌اند.</w:t>
      </w:r>
    </w:p>
    <w:p>
      <w:pPr>
        <w:spacing w:after="28" w:line="216" w:lineRule="auto"/>
        <w:ind w:left="259"/>
        <w:jc w:val="left"/>
      </w:pPr>
      <w:r>
        <w:rPr>
          <w:rFonts w:ascii="Arial" w:hAnsi="Arial"/>
          <w:color w:val="525252"/>
          <w:sz w:val="13"/>
        </w:rPr>
        <w:t>Furthermore, the Department of Defense includes the unified combatant commands (CCMD) and forces dedicated to combined commands, defense agencies, and field activities.</w:t>
      </w:r>
    </w:p>
    <w:p>
      <w:pPr>
        <w:spacing w:after="20" w:line="223" w:lineRule="auto"/>
        <w:jc w:val="right"/>
        <w:bidi/>
      </w:pPr>
      <w:r>
        <w:rPr>
          <w:rFonts w:ascii="Arial" w:hAnsi="Arial"/>
          <w:sz w:val="16"/>
        </w:rPr>
        <w:t>073.22  به‌عنوان رئیس غیرنظامی وزارت دفاع، وزیر دفاع مستقیما به رئیس جمهور ایالات متحده گزارش می‌دهد.</w:t>
      </w:r>
    </w:p>
    <w:p>
      <w:pPr>
        <w:spacing w:after="28" w:line="216" w:lineRule="auto"/>
        <w:ind w:left="259"/>
        <w:jc w:val="left"/>
      </w:pPr>
      <w:r>
        <w:rPr>
          <w:rFonts w:ascii="Arial" w:hAnsi="Arial"/>
          <w:color w:val="525252"/>
          <w:sz w:val="13"/>
        </w:rPr>
        <w:t>As the civilian head of the Department of Defense, the Secretary of Defense reports directly to the U.S. President.</w:t>
      </w:r>
    </w:p>
    <w:p>
      <w:pPr>
        <w:spacing w:after="20" w:line="223" w:lineRule="auto"/>
        <w:jc w:val="right"/>
        <w:bidi/>
      </w:pPr>
      <w:r>
        <w:rPr>
          <w:rFonts w:ascii="Arial" w:hAnsi="Arial"/>
          <w:sz w:val="16"/>
        </w:rPr>
        <w:t>073.23  وزیر دفاع.</w:t>
      </w:r>
    </w:p>
    <w:p>
      <w:pPr>
        <w:spacing w:after="28" w:line="216" w:lineRule="auto"/>
        <w:ind w:left="259"/>
        <w:jc w:val="left"/>
      </w:pPr>
      <w:r>
        <w:rPr>
          <w:rFonts w:ascii="Arial" w:hAnsi="Arial"/>
          <w:color w:val="525252"/>
          <w:sz w:val="13"/>
        </w:rPr>
        <w:t>Secretary of Defense.</w:t>
      </w:r>
    </w:p>
    <w:p>
      <w:pPr>
        <w:spacing w:after="20" w:line="223" w:lineRule="auto"/>
        <w:jc w:val="right"/>
        <w:bidi/>
      </w:pPr>
      <w:r>
        <w:rPr>
          <w:rFonts w:ascii="Arial" w:hAnsi="Arial"/>
          <w:sz w:val="16"/>
        </w:rPr>
        <w:t>073.24  وزیر دفاع (سکدف) توسط رئیس جمهور ایالات متحده، با مشورت و موافقت سنا منصوب می‌شود.</w:t>
      </w:r>
    </w:p>
    <w:p>
      <w:pPr>
        <w:spacing w:after="28" w:line="216" w:lineRule="auto"/>
        <w:ind w:left="259"/>
        <w:jc w:val="left"/>
      </w:pPr>
      <w:r>
        <w:rPr>
          <w:rFonts w:ascii="Arial" w:hAnsi="Arial"/>
          <w:color w:val="525252"/>
          <w:sz w:val="13"/>
        </w:rPr>
        <w:t>The Secretary of Defense (SecDef) is appointed by the U.S. President, with advice and consent of the Senate.</w:t>
      </w:r>
    </w:p>
    <w:p>
      <w:pPr>
        <w:spacing w:after="20" w:line="223" w:lineRule="auto"/>
        <w:jc w:val="right"/>
        <w:bidi/>
      </w:pPr>
      <w:r>
        <w:rPr>
          <w:rFonts w:ascii="Arial" w:hAnsi="Arial"/>
          <w:sz w:val="16"/>
        </w:rPr>
        <w:t>073.25  سکدف به‌عنوان مشاور اصلی سیاست دفاعی رئیس جمهور ایالات متحده عمل می‌کند و مسئول تدوین خط‌مشی دفاعی کلی، خط‌مشی مربوط به تمام موضوعات مورد توجه مستقیم و اصلی وزارت دفاع، و اجرای سیاست‌های مصوب است.</w:t>
      </w:r>
    </w:p>
    <w:p>
      <w:pPr>
        <w:spacing w:after="28" w:line="216" w:lineRule="auto"/>
        <w:ind w:left="259"/>
        <w:jc w:val="left"/>
      </w:pPr>
      <w:r>
        <w:rPr>
          <w:rFonts w:ascii="Arial" w:hAnsi="Arial"/>
          <w:color w:val="525252"/>
          <w:sz w:val="13"/>
        </w:rPr>
        <w:t>The SecDef serves as principal defense policy advisor to the U.S. President and is responsible for the formulation of general defense policy, policy related to all matters of direct and primary concern to the Department of Defense, and for the execution of approved policy.</w:t>
      </w:r>
    </w:p>
    <w:p>
      <w:pPr>
        <w:spacing w:after="20" w:line="223" w:lineRule="auto"/>
        <w:jc w:val="right"/>
        <w:bidi/>
      </w:pPr>
      <w:r>
        <w:rPr>
          <w:rFonts w:ascii="Arial" w:hAnsi="Arial"/>
          <w:sz w:val="16"/>
        </w:rPr>
        <w:t>073.26  علاوه بر اعمال زنجیره فرماندهی عملیاتی بین رئیس جمهور ایالات متحده و نیروهای CCDR، مسئولیت خاص سکدف ارائه خط‌مشی مکتوب است.</w:t>
      </w:r>
    </w:p>
    <w:p>
      <w:pPr>
        <w:spacing w:after="28" w:line="216" w:lineRule="auto"/>
        <w:ind w:left="259"/>
        <w:jc w:val="left"/>
      </w:pPr>
      <w:r>
        <w:rPr>
          <w:rFonts w:ascii="Arial" w:hAnsi="Arial"/>
          <w:color w:val="525252"/>
          <w:sz w:val="13"/>
        </w:rPr>
        <w:t>In addition to exercising the operational chain of command between the U.S. President and the CCDRs, a specific responsibility of the SecDef is to provide written policy</w:t>
      </w:r>
    </w:p>
    <w:p>
      <w:r>
        <w:br w:type="page"/>
      </w:r>
    </w:p>
    <w:p>
      <w:pPr>
        <w:spacing w:after="60"/>
        <w:jc w:val="right"/>
        <w:bidi/>
      </w:pPr>
      <w:r>
        <w:rPr>
          <w:rFonts w:ascii="Arial" w:hAnsi="Arial"/>
          <w:b/>
          <w:color w:val="1F4D78"/>
          <w:sz w:val="19"/>
        </w:rPr>
        <w:t>هفتهٔ 74  |  صفحهٔ منبع: 90</w:t>
      </w:r>
    </w:p>
    <w:p>
      <w:pPr>
        <w:spacing w:after="20" w:line="223" w:lineRule="auto"/>
        <w:jc w:val="right"/>
        <w:bidi/>
      </w:pPr>
      <w:r>
        <w:rPr>
          <w:rFonts w:ascii="Arial" w:hAnsi="Arial"/>
          <w:sz w:val="16"/>
        </w:rPr>
        <w:t>074.01  برای اهداف و سیاست‌های امنیت ملی وزارت دفاع، اولویت‌های مأموریت نظامی، و سطوح پیش‌بینی‌شده برای منابع موجود.</w:t>
      </w:r>
    </w:p>
    <w:p>
      <w:pPr>
        <w:spacing w:after="28" w:line="216" w:lineRule="auto"/>
        <w:ind w:left="259"/>
        <w:jc w:val="left"/>
      </w:pPr>
      <w:r>
        <w:rPr>
          <w:rFonts w:ascii="Arial" w:hAnsi="Arial"/>
          <w:color w:val="525252"/>
          <w:sz w:val="13"/>
        </w:rPr>
        <w:t>guidance for Department of Defense national security objectives and policies, military mission priorities, and projected levels for available resources.</w:t>
      </w:r>
    </w:p>
    <w:p>
      <w:pPr>
        <w:spacing w:after="20" w:line="223" w:lineRule="auto"/>
        <w:jc w:val="right"/>
        <w:bidi/>
      </w:pPr>
      <w:r>
        <w:rPr>
          <w:rFonts w:ascii="Arial" w:hAnsi="Arial"/>
          <w:sz w:val="16"/>
        </w:rPr>
        <w:t>074.02  سکدف همچنین به رئیس ستاد مشترک رهنمودهای خط‌مشی مکتوب در مورد برنامه‌های اضطراری ارائه می‌دهد.</w:t>
      </w:r>
    </w:p>
    <w:p>
      <w:pPr>
        <w:spacing w:after="28" w:line="216" w:lineRule="auto"/>
        <w:ind w:left="259"/>
        <w:jc w:val="left"/>
      </w:pPr>
      <w:r>
        <w:rPr>
          <w:rFonts w:ascii="Arial" w:hAnsi="Arial"/>
          <w:color w:val="525252"/>
          <w:sz w:val="13"/>
        </w:rPr>
        <w:t>The SecDef also provides the Chairman of the Joint Chiefs of Staff with written policy guidance regarding contingency plans.</w:t>
      </w:r>
    </w:p>
    <w:p>
      <w:pPr>
        <w:spacing w:after="20" w:line="223" w:lineRule="auto"/>
        <w:jc w:val="right"/>
        <w:bidi/>
      </w:pPr>
      <w:r>
        <w:rPr>
          <w:rFonts w:ascii="Arial" w:hAnsi="Arial"/>
          <w:sz w:val="16"/>
        </w:rPr>
        <w:t>074.03  به وزرای دپارتمان‌های نظامی و CCDR دستورالعمل‌های کتبی ارائه می‌شود تا تشخیص و نظارت مؤثر همه تهدیدات هوایی و دریایی بالقوه برای امنیت ملی ایالات متحده را هدایت کنند.</w:t>
      </w:r>
    </w:p>
    <w:p>
      <w:pPr>
        <w:spacing w:after="28" w:line="216" w:lineRule="auto"/>
        <w:ind w:left="259"/>
        <w:jc w:val="left"/>
      </w:pPr>
      <w:r>
        <w:rPr>
          <w:rFonts w:ascii="Arial" w:hAnsi="Arial"/>
          <w:color w:val="525252"/>
          <w:sz w:val="13"/>
        </w:rPr>
        <w:t>The Secretaries of the military departments and the CCDRs are provided written guidelines to direct the effective detection and monitoring of all potential aerial and maritime threats to the national security of the United States.</w:t>
      </w:r>
    </w:p>
    <w:p>
      <w:pPr>
        <w:spacing w:after="20" w:line="223" w:lineRule="auto"/>
        <w:jc w:val="right"/>
        <w:bidi/>
      </w:pPr>
      <w:r>
        <w:rPr>
          <w:rFonts w:ascii="Arial" w:hAnsi="Arial"/>
          <w:sz w:val="16"/>
        </w:rPr>
        <w:t>074.04  شورای سیاستگذاری نیروهای مسلح.</w:t>
      </w:r>
    </w:p>
    <w:p>
      <w:pPr>
        <w:spacing w:after="28" w:line="216" w:lineRule="auto"/>
        <w:ind w:left="259"/>
        <w:jc w:val="left"/>
      </w:pPr>
      <w:r>
        <w:rPr>
          <w:rFonts w:ascii="Arial" w:hAnsi="Arial"/>
          <w:color w:val="525252"/>
          <w:sz w:val="13"/>
        </w:rPr>
        <w:t>The Armed Forces Policy Council.</w:t>
      </w:r>
    </w:p>
    <w:p>
      <w:pPr>
        <w:spacing w:after="20" w:line="223" w:lineRule="auto"/>
        <w:jc w:val="right"/>
        <w:bidi/>
      </w:pPr>
      <w:r>
        <w:rPr>
          <w:rFonts w:ascii="Arial" w:hAnsi="Arial"/>
          <w:sz w:val="16"/>
        </w:rPr>
        <w:t>074.05  شورای سیاستگذاری نیروهای مسلح در مواردی که نیاز به دیدی دوربرد دارد کمک می‌کند، سیاست دفاعی گسترده را تدوین می‌کند و در صورت درخواست به وزیر دفاع در مورد سیاست‌ها مشاوره می‌دهد.</w:t>
      </w:r>
    </w:p>
    <w:p>
      <w:pPr>
        <w:spacing w:after="28" w:line="216" w:lineRule="auto"/>
        <w:ind w:left="259"/>
        <w:jc w:val="left"/>
      </w:pPr>
      <w:r>
        <w:rPr>
          <w:rFonts w:ascii="Arial" w:hAnsi="Arial"/>
          <w:color w:val="525252"/>
          <w:sz w:val="13"/>
        </w:rPr>
        <w:t>The Armed Forces Policy Council assists in matters requiring a long-range view, formulates broad defense policy, and advises the Secretary of Defense on policies, as requested.</w:t>
      </w:r>
    </w:p>
    <w:p>
      <w:pPr>
        <w:spacing w:after="20" w:line="223" w:lineRule="auto"/>
        <w:jc w:val="right"/>
        <w:bidi/>
      </w:pPr>
      <w:r>
        <w:rPr>
          <w:rFonts w:ascii="Arial" w:hAnsi="Arial"/>
          <w:sz w:val="16"/>
        </w:rPr>
        <w:t>074.06  شورای سیاستگذاری نیروهای مسلح متشکل از وزیر دفاع است که به‌عنوان رئیس شورا خدمت می‌کند. معاون وزیر دفاع؛ وزرای ارتش، نیروی دریایی و USAF؛ رئیس ستاد مشترک ارتش؛ معاون وزیر دفاع در امور اکتساب و حفظ، معاون وزیر دفاع در امور تحقیقات و مهندسی، معاون وزیر دفاع در امور سیاست؛ معاون اکتساب و فناوری معاونت دفاع، معاون پژوهش و مهندسی وزیر دفاع، معاون اکتساب و پشتیبانی معاونت دفاعی وزارت دفاع؛ و روسای خدمات.</w:t>
      </w:r>
    </w:p>
    <w:p>
      <w:pPr>
        <w:spacing w:after="28" w:line="216" w:lineRule="auto"/>
        <w:ind w:left="259"/>
        <w:jc w:val="left"/>
      </w:pPr>
      <w:r>
        <w:rPr>
          <w:rFonts w:ascii="Arial" w:hAnsi="Arial"/>
          <w:color w:val="525252"/>
          <w:sz w:val="13"/>
        </w:rPr>
        <w:t>The Armed Forces Policy Council consists of the Secretary of Defense serving as the Chairman of the Council; the Deputy Secretary of Defense; Secretaries of the Army, Navy, and USAF; the Chairman of the Joint Chiefs of Staff; Under Secretary of Defense for Acquisition and Sustainment, the Under Secretary of Defense for Research and Engineering, the Under Secretary of Defense for Policy; the Deputy Under Secretary of Defense for Acquisition and Technology, the Deputy Under Secretary of Defense for Research and Engineering, the Deputy Under Secretary of Defense for Acquisition and Sustainment; and the Service Chiefs.</w:t>
      </w:r>
    </w:p>
    <w:p>
      <w:pPr>
        <w:spacing w:after="20" w:line="223" w:lineRule="auto"/>
        <w:jc w:val="right"/>
        <w:bidi/>
      </w:pPr>
      <w:r>
        <w:rPr>
          <w:rFonts w:ascii="Arial" w:hAnsi="Arial"/>
          <w:sz w:val="16"/>
        </w:rPr>
        <w:t>074.07  معاونان وزیر دفاع.</w:t>
      </w:r>
    </w:p>
    <w:p>
      <w:pPr>
        <w:spacing w:after="28" w:line="216" w:lineRule="auto"/>
        <w:ind w:left="259"/>
        <w:jc w:val="left"/>
      </w:pPr>
      <w:r>
        <w:rPr>
          <w:rFonts w:ascii="Arial" w:hAnsi="Arial"/>
          <w:color w:val="525252"/>
          <w:sz w:val="13"/>
        </w:rPr>
        <w:t>Under Secretaries of Defense.</w:t>
      </w:r>
    </w:p>
    <w:p>
      <w:pPr>
        <w:spacing w:after="20" w:line="223" w:lineRule="auto"/>
        <w:jc w:val="right"/>
        <w:bidi/>
      </w:pPr>
      <w:r>
        <w:rPr>
          <w:rFonts w:ascii="Arial" w:hAnsi="Arial"/>
          <w:sz w:val="16"/>
        </w:rPr>
        <w:t>074.08  شش معاون وزیر دفاع (سیاست، کنترل، پرسنل و آمادگی، معاون وزیر دفاع برای کسب و پشتیبانی (ا&amp;س)، معاون وزیر دفاع در امور تحقیقات و مهندسی، و اطلاعات) وجود دارد که به وزیر دفاع کمک می‌کنند.</w:t>
      </w:r>
    </w:p>
    <w:p>
      <w:pPr>
        <w:spacing w:after="28" w:line="216" w:lineRule="auto"/>
        <w:ind w:left="259"/>
        <w:jc w:val="left"/>
      </w:pPr>
      <w:r>
        <w:rPr>
          <w:rFonts w:ascii="Arial" w:hAnsi="Arial"/>
          <w:color w:val="525252"/>
          <w:sz w:val="13"/>
        </w:rPr>
        <w:t>There are six Under Secretaries of Defense (Policy; Comptroller; Personnel and Readiness; Under Secretary of Defense for Acquisition and Sustainment (A&amp;S); Under Secretary of Defense for Research and Engineering; and Intelligence) who assist the Secretary of Defense.</w:t>
      </w:r>
    </w:p>
    <w:p>
      <w:pPr>
        <w:spacing w:after="20" w:line="223" w:lineRule="auto"/>
        <w:jc w:val="right"/>
        <w:bidi/>
      </w:pPr>
      <w:r>
        <w:rPr>
          <w:rFonts w:ascii="Arial" w:hAnsi="Arial"/>
          <w:sz w:val="16"/>
        </w:rPr>
        <w:t>074.09  وزیر دفاع از طریق تعدادی از آژانس‌های ویژه مانند آژانس کاهش تهدیدات دفاعی، سرویس امنیتی و آژانس لجستیک دفاعی که مهارت‌ها، تخصص‌ها و مشاوره‌های خاصی را ارائه می‌کنند، کمک‌های کارکنان دریافت می‌کند.</w:t>
      </w:r>
    </w:p>
    <w:p>
      <w:pPr>
        <w:spacing w:after="28" w:line="216" w:lineRule="auto"/>
        <w:ind w:left="259"/>
        <w:jc w:val="left"/>
      </w:pPr>
      <w:r>
        <w:rPr>
          <w:rFonts w:ascii="Arial" w:hAnsi="Arial"/>
          <w:color w:val="525252"/>
          <w:sz w:val="13"/>
        </w:rPr>
        <w:t>The Secretary of Defense receives staff assistance through a number of special agencies, such as the Defense Threat Reduction Agency, Security Service, and Defense Logistics Agency, which provide special skills, expertise, and advice.</w:t>
      </w:r>
    </w:p>
    <w:p>
      <w:pPr>
        <w:spacing w:before="60" w:after="28"/>
        <w:jc w:val="right"/>
        <w:bidi/>
      </w:pPr>
      <w:r>
        <w:rPr>
          <w:b/>
          <w:color w:val="1F4D78"/>
          <w:sz w:val="18"/>
        </w:rPr>
        <w:t>5.3. ستاد مشترک</w:t>
      </w:r>
    </w:p>
    <w:p>
      <w:pPr>
        <w:spacing w:after="20"/>
        <w:ind w:left="259"/>
        <w:jc w:val="left"/>
      </w:pPr>
      <w:r>
        <w:rPr>
          <w:color w:val="555555"/>
          <w:sz w:val="12"/>
        </w:rPr>
        <w:t>5.3. Joint Staff</w:t>
      </w:r>
    </w:p>
    <w:p>
      <w:pPr>
        <w:spacing w:after="20" w:line="223" w:lineRule="auto"/>
        <w:jc w:val="right"/>
        <w:bidi/>
      </w:pPr>
      <w:r>
        <w:rPr>
          <w:rFonts w:ascii="Arial" w:hAnsi="Arial"/>
          <w:sz w:val="16"/>
        </w:rPr>
        <w:t>074.11  ستاد مشترک به اعضای ستاد مشترک در انجام مسئولیت‌های محوله در جهت هدایت استراتژیک، عملیات یکپارچه CCMD و ادغام تمام شاخه‌های ارتش در یک نیروی کارآمد کمک می‌کند.</w:t>
      </w:r>
    </w:p>
    <w:p>
      <w:pPr>
        <w:spacing w:after="28" w:line="216" w:lineRule="auto"/>
        <w:ind w:left="259"/>
        <w:jc w:val="left"/>
      </w:pPr>
      <w:r>
        <w:rPr>
          <w:rFonts w:ascii="Arial" w:hAnsi="Arial"/>
          <w:color w:val="525252"/>
          <w:sz w:val="13"/>
        </w:rPr>
        <w:t>The Joint Staff assists members of the Joint Chiefs of Staff in carrying out assigned responsibilities of strategic direction, unified operation of CCMD, and integration of all branches of the military into an efficient force.</w:t>
      </w:r>
    </w:p>
    <w:p>
      <w:pPr>
        <w:spacing w:after="20" w:line="223" w:lineRule="auto"/>
        <w:jc w:val="right"/>
        <w:bidi/>
      </w:pPr>
      <w:r>
        <w:rPr>
          <w:rFonts w:ascii="Arial" w:hAnsi="Arial"/>
          <w:sz w:val="16"/>
        </w:rPr>
        <w:t>074.12  طبق قانون، هدایت ستاد مشترک منحصرا بر عهده رئیس ستاد مشترک است.</w:t>
      </w:r>
    </w:p>
    <w:p>
      <w:pPr>
        <w:spacing w:after="28" w:line="216" w:lineRule="auto"/>
        <w:ind w:left="259"/>
        <w:jc w:val="left"/>
      </w:pPr>
      <w:r>
        <w:rPr>
          <w:rFonts w:ascii="Arial" w:hAnsi="Arial"/>
          <w:color w:val="525252"/>
          <w:sz w:val="13"/>
        </w:rPr>
        <w:t>By law, the direction of the Joint Staff rests exclusively with the Chairman of the Joint Chiefs of Staff.</w:t>
      </w:r>
    </w:p>
    <w:p>
      <w:pPr>
        <w:spacing w:after="20" w:line="223" w:lineRule="auto"/>
        <w:jc w:val="right"/>
        <w:bidi/>
      </w:pPr>
      <w:r>
        <w:rPr>
          <w:rFonts w:ascii="Arial" w:hAnsi="Arial"/>
          <w:sz w:val="16"/>
        </w:rPr>
        <w:t>074.13  رئیس معمولا ستاد مشترک را از طریق مدیر ستاد مشترک مدیریت می‌کند.</w:t>
      </w:r>
    </w:p>
    <w:p>
      <w:pPr>
        <w:spacing w:after="28" w:line="216" w:lineRule="auto"/>
        <w:ind w:left="259"/>
        <w:jc w:val="left"/>
      </w:pPr>
      <w:r>
        <w:rPr>
          <w:rFonts w:ascii="Arial" w:hAnsi="Arial"/>
          <w:color w:val="525252"/>
          <w:sz w:val="13"/>
        </w:rPr>
        <w:t>The Chairman normally manages the Joint Staff through the Director of the Joint Staff.</w:t>
      </w:r>
    </w:p>
    <w:p>
      <w:pPr>
        <w:spacing w:after="20" w:line="223" w:lineRule="auto"/>
        <w:jc w:val="right"/>
        <w:bidi/>
      </w:pPr>
      <w:r>
        <w:rPr>
          <w:rFonts w:ascii="Arial" w:hAnsi="Arial"/>
          <w:sz w:val="16"/>
        </w:rPr>
        <w:t>074.14  مدیر پس از مشورت با سایر اعضای ستاد مشترک و با تأیید وزیر دفاع توسط رئیس انتخاب می‌شود.</w:t>
      </w:r>
    </w:p>
    <w:p>
      <w:pPr>
        <w:spacing w:after="28" w:line="216" w:lineRule="auto"/>
        <w:ind w:left="259"/>
        <w:jc w:val="left"/>
      </w:pPr>
      <w:r>
        <w:rPr>
          <w:rFonts w:ascii="Arial" w:hAnsi="Arial"/>
          <w:color w:val="525252"/>
          <w:sz w:val="13"/>
        </w:rPr>
        <w:t>The Director is selected by the Chairman after consultation with other members of the Joint Chiefs and with the approval of the Secretary of Defense.</w:t>
      </w:r>
    </w:p>
    <w:p>
      <w:pPr>
        <w:spacing w:after="20" w:line="223" w:lineRule="auto"/>
        <w:jc w:val="right"/>
        <w:bidi/>
      </w:pPr>
      <w:r>
        <w:rPr>
          <w:rFonts w:ascii="Arial" w:hAnsi="Arial"/>
          <w:sz w:val="16"/>
        </w:rPr>
        <w:t>074.15  ستاد مشترک متشکل از بیش از ۱۵۰۰ پرسنل نظامی و غیرنظامی است که از تعداد تقریبا مساوی افسران ارتش، نیروی دریایی، USAF و USSF تشکیل شده است.</w:t>
      </w:r>
    </w:p>
    <w:p>
      <w:pPr>
        <w:spacing w:after="28" w:line="216" w:lineRule="auto"/>
        <w:ind w:left="259"/>
        <w:jc w:val="left"/>
      </w:pPr>
      <w:r>
        <w:rPr>
          <w:rFonts w:ascii="Arial" w:hAnsi="Arial"/>
          <w:color w:val="525252"/>
          <w:sz w:val="13"/>
        </w:rPr>
        <w:t>The Joint Staff consists of more than 1,500 military and civilian personnel, composed of approximately equal numbers of officers from the Army, Navy, USAF, and USSF.</w:t>
      </w:r>
    </w:p>
    <w:p>
      <w:pPr>
        <w:spacing w:after="20" w:line="223" w:lineRule="auto"/>
        <w:jc w:val="right"/>
        <w:bidi/>
      </w:pPr>
      <w:r>
        <w:rPr>
          <w:rFonts w:ascii="Arial" w:hAnsi="Arial"/>
          <w:sz w:val="16"/>
        </w:rPr>
        <w:t>074.16  تفنگداران دریایی حدود ۲۰ درصد از تعداد اختصاص داده شده به نیروی دریایی را تشکیل می‌دهند.</w:t>
      </w:r>
    </w:p>
    <w:p>
      <w:pPr>
        <w:spacing w:after="28" w:line="216" w:lineRule="auto"/>
        <w:ind w:left="259"/>
        <w:jc w:val="left"/>
      </w:pPr>
      <w:r>
        <w:rPr>
          <w:rFonts w:ascii="Arial" w:hAnsi="Arial"/>
          <w:color w:val="525252"/>
          <w:sz w:val="13"/>
        </w:rPr>
        <w:t>Marines make up about 20 percent of the number allocated to the Navy.</w:t>
      </w:r>
    </w:p>
    <w:p>
      <w:pPr>
        <w:spacing w:after="20" w:line="223" w:lineRule="auto"/>
        <w:jc w:val="right"/>
        <w:bidi/>
      </w:pPr>
      <w:r>
        <w:rPr>
          <w:rFonts w:ascii="Arial" w:hAnsi="Arial"/>
          <w:sz w:val="16"/>
        </w:rPr>
        <w:t>074.17  رئیس، رئیس ستاد مشترک.</w:t>
      </w:r>
    </w:p>
    <w:p>
      <w:pPr>
        <w:spacing w:after="28" w:line="216" w:lineRule="auto"/>
        <w:ind w:left="259"/>
        <w:jc w:val="left"/>
      </w:pPr>
      <w:r>
        <w:rPr>
          <w:rFonts w:ascii="Arial" w:hAnsi="Arial"/>
          <w:color w:val="525252"/>
          <w:sz w:val="13"/>
        </w:rPr>
        <w:t>Chairman, Joint Chiefs of Staff.</w:t>
      </w:r>
    </w:p>
    <w:p>
      <w:pPr>
        <w:spacing w:after="20" w:line="223" w:lineRule="auto"/>
        <w:jc w:val="right"/>
        <w:bidi/>
      </w:pPr>
      <w:r>
        <w:rPr>
          <w:rFonts w:ascii="Arial" w:hAnsi="Arial"/>
          <w:sz w:val="16"/>
        </w:rPr>
        <w:t>074.18  که توسط رئیس جمهور ایالات متحده منصوب می‌شود، با مشورت و موافقت سنا، رئیس ستاد مشترک ارتش (CJCS) دارای درجه ژنرال یا دریاسالار است.</w:t>
      </w:r>
    </w:p>
    <w:p>
      <w:pPr>
        <w:spacing w:after="28" w:line="216" w:lineRule="auto"/>
        <w:ind w:left="259"/>
        <w:jc w:val="left"/>
      </w:pPr>
      <w:r>
        <w:rPr>
          <w:rFonts w:ascii="Arial" w:hAnsi="Arial"/>
          <w:color w:val="525252"/>
          <w:sz w:val="13"/>
        </w:rPr>
        <w:t>Appointed by the U.S. President, by and with advice and consent of the Senate, the Chairman of the Joint Chiefs of Staff (CJCS) holds the grade of General or Admiral.</w:t>
      </w:r>
    </w:p>
    <w:p>
      <w:pPr>
        <w:spacing w:after="20" w:line="223" w:lineRule="auto"/>
        <w:jc w:val="right"/>
        <w:bidi/>
      </w:pPr>
      <w:r>
        <w:rPr>
          <w:rFonts w:ascii="Arial" w:hAnsi="Arial"/>
          <w:sz w:val="16"/>
        </w:rPr>
        <w:t>074.19  CJCS از همه افسران دیگر نیروهای مسلح ایالات متحده بالاتر است، اما نمی‌تواند فرماندهی نظامی را بر روی رئیس ستاد مشترک یا نیروهای مسلح ایالات متحده اعمال کند.</w:t>
      </w:r>
    </w:p>
    <w:p>
      <w:pPr>
        <w:spacing w:after="28" w:line="216" w:lineRule="auto"/>
        <w:ind w:left="259"/>
        <w:jc w:val="left"/>
      </w:pPr>
      <w:r>
        <w:rPr>
          <w:rFonts w:ascii="Arial" w:hAnsi="Arial"/>
          <w:color w:val="525252"/>
          <w:sz w:val="13"/>
        </w:rPr>
        <w:t>The CJCS outranks all other officers of the U.S. Armed Forces but may not exercise military command over the Joint Chiefs of Staff or the U.S. Armed Forces.</w:t>
      </w:r>
    </w:p>
    <w:p>
      <w:pPr>
        <w:spacing w:after="20" w:line="223" w:lineRule="auto"/>
        <w:jc w:val="right"/>
        <w:bidi/>
      </w:pPr>
      <w:r>
        <w:rPr>
          <w:rFonts w:ascii="Arial" w:hAnsi="Arial"/>
          <w:sz w:val="16"/>
        </w:rPr>
        <w:t>074.20  CJCS مشاور نظامی اصلی رئیس جمهور ایالات متحده، شورای امنیت ملی و وزیر دفاع است.</w:t>
      </w:r>
    </w:p>
    <w:p>
      <w:pPr>
        <w:spacing w:after="28" w:line="216" w:lineRule="auto"/>
        <w:ind w:left="259"/>
        <w:jc w:val="left"/>
      </w:pPr>
      <w:r>
        <w:rPr>
          <w:rFonts w:ascii="Arial" w:hAnsi="Arial"/>
          <w:color w:val="525252"/>
          <w:sz w:val="13"/>
        </w:rPr>
        <w:t>The CJCS is the principal military advisor to the U.S. President, the National Security Council, and the Secretary of Defense.</w:t>
      </w:r>
    </w:p>
    <w:p>
      <w:pPr>
        <w:spacing w:after="20" w:line="223" w:lineRule="auto"/>
        <w:jc w:val="right"/>
        <w:bidi/>
      </w:pPr>
      <w:r>
        <w:rPr>
          <w:rFonts w:ascii="Arial" w:hAnsi="Arial"/>
          <w:sz w:val="16"/>
        </w:rPr>
        <w:t>074.21  وزیر دفاع ممکن است مسئولیت نظارت بر فعالیت‌های CCMD را به CJCS واگذار کند.</w:t>
      </w:r>
    </w:p>
    <w:p>
      <w:pPr>
        <w:spacing w:after="28" w:line="216" w:lineRule="auto"/>
        <w:ind w:left="259"/>
        <w:jc w:val="left"/>
      </w:pPr>
      <w:r>
        <w:rPr>
          <w:rFonts w:ascii="Arial" w:hAnsi="Arial"/>
          <w:color w:val="525252"/>
          <w:sz w:val="13"/>
        </w:rPr>
        <w:t>The Secretary of Defense may assign CJCS responsibility for overseeing the activities of the CCMDs.</w:t>
      </w:r>
    </w:p>
    <w:p>
      <w:pPr>
        <w:spacing w:after="20" w:line="223" w:lineRule="auto"/>
        <w:jc w:val="right"/>
        <w:bidi/>
      </w:pPr>
      <w:r>
        <w:rPr>
          <w:rFonts w:ascii="Arial" w:hAnsi="Arial"/>
          <w:sz w:val="16"/>
        </w:rPr>
        <w:t>074.22  CJCS ریاست ستاد مشترک را بر عهده دارد و به‌طور عینی توصیه‌ها و دیدگاه‌های فرماندهان مشترک را به رئیس‌جمهور، شورای امنیت ملی یا وزیر دفاع ایالات متحده ارائه می‌کند.</w:t>
      </w:r>
    </w:p>
    <w:p>
      <w:pPr>
        <w:spacing w:after="28" w:line="216" w:lineRule="auto"/>
        <w:ind w:left="259"/>
        <w:jc w:val="left"/>
      </w:pPr>
      <w:r>
        <w:rPr>
          <w:rFonts w:ascii="Arial" w:hAnsi="Arial"/>
          <w:color w:val="525252"/>
          <w:sz w:val="13"/>
        </w:rPr>
        <w:t>The CJCS presides over the Joint Chiefs of Staff and objectively furnishes recommendations and views of the Joint Chiefs to the U.S. President, National Security Council, or the Secretary of Defense.</w:t>
      </w:r>
    </w:p>
    <w:p>
      <w:pPr>
        <w:spacing w:after="20" w:line="223" w:lineRule="auto"/>
        <w:jc w:val="right"/>
        <w:bidi/>
      </w:pPr>
      <w:r>
        <w:rPr>
          <w:rFonts w:ascii="Arial" w:hAnsi="Arial"/>
          <w:sz w:val="16"/>
        </w:rPr>
        <w:t>074.23  نایب رئیس، رئیس ستاد مشترک.</w:t>
      </w:r>
    </w:p>
    <w:p>
      <w:pPr>
        <w:spacing w:after="28" w:line="216" w:lineRule="auto"/>
        <w:ind w:left="259"/>
        <w:jc w:val="left"/>
      </w:pPr>
      <w:r>
        <w:rPr>
          <w:rFonts w:ascii="Arial" w:hAnsi="Arial"/>
          <w:color w:val="525252"/>
          <w:sz w:val="13"/>
        </w:rPr>
        <w:t>Vice Chairman, Joint Chiefs of Staff.</w:t>
      </w:r>
    </w:p>
    <w:p>
      <w:pPr>
        <w:spacing w:after="20" w:line="223" w:lineRule="auto"/>
        <w:jc w:val="right"/>
        <w:bidi/>
      </w:pPr>
      <w:r>
        <w:rPr>
          <w:rFonts w:ascii="Arial" w:hAnsi="Arial"/>
          <w:sz w:val="16"/>
        </w:rPr>
        <w:t>074.24  معاون رئیس ستاد مشترک ارتش (VCJCS) که توسط رئیس جمهور ایالات متحده، توسط و با مشورت و موافقت سنا منصوب می‌شود، یکی از اعضای ستاد مشترک است.</w:t>
      </w:r>
    </w:p>
    <w:p>
      <w:pPr>
        <w:spacing w:after="28" w:line="216" w:lineRule="auto"/>
        <w:ind w:left="259"/>
        <w:jc w:val="left"/>
      </w:pPr>
      <w:r>
        <w:rPr>
          <w:rFonts w:ascii="Arial" w:hAnsi="Arial"/>
          <w:color w:val="525252"/>
          <w:sz w:val="13"/>
        </w:rPr>
        <w:t>The Vice Chairman of the Joint Chiefs of Staff (VCJCS), appointed by the U.S. President, by and with advice and consent of the Senate, is a member of the Joint Chiefs of Staff.</w:t>
      </w:r>
    </w:p>
    <w:p>
      <w:pPr>
        <w:spacing w:after="20" w:line="223" w:lineRule="auto"/>
        <w:jc w:val="right"/>
        <w:bidi/>
      </w:pPr>
      <w:r>
        <w:rPr>
          <w:rFonts w:ascii="Arial" w:hAnsi="Arial"/>
          <w:sz w:val="16"/>
        </w:rPr>
        <w:t>074.25  VCJCS وظایفی را که توسط رئیس، با تأیید وزیر دفاع تعیین شده است، انجام می‌دهد.</w:t>
      </w:r>
    </w:p>
    <w:p>
      <w:pPr>
        <w:spacing w:after="28" w:line="216" w:lineRule="auto"/>
        <w:ind w:left="259"/>
        <w:jc w:val="left"/>
      </w:pPr>
      <w:r>
        <w:rPr>
          <w:rFonts w:ascii="Arial" w:hAnsi="Arial"/>
          <w:color w:val="525252"/>
          <w:sz w:val="13"/>
        </w:rPr>
        <w:t>The VCJCS performs duties prescribed by the Chairman, with the approval of the Secretary of Defense.</w:t>
      </w:r>
    </w:p>
    <w:p>
      <w:pPr>
        <w:spacing w:after="20" w:line="223" w:lineRule="auto"/>
        <w:jc w:val="right"/>
        <w:bidi/>
      </w:pPr>
      <w:r>
        <w:rPr>
          <w:rFonts w:ascii="Arial" w:hAnsi="Arial"/>
          <w:sz w:val="16"/>
        </w:rPr>
        <w:t>074.26  VCJCS نمی‌تواند از همان شاخه خدماتی باشد که رئیس، یک دوره دو ساله انجام می‌دهد و ممکن است برای دو دوره دیگر دوباره منصوب شود.</w:t>
      </w:r>
    </w:p>
    <w:p>
      <w:pPr>
        <w:spacing w:after="28" w:line="216" w:lineRule="auto"/>
        <w:ind w:left="259"/>
        <w:jc w:val="left"/>
      </w:pPr>
      <w:r>
        <w:rPr>
          <w:rFonts w:ascii="Arial" w:hAnsi="Arial"/>
          <w:color w:val="525252"/>
          <w:sz w:val="13"/>
        </w:rPr>
        <w:t>The VCJCS cannot be from the same branch of service as the Chairman, serves a tour of two years, and may be reappointed for two additional terms.</w:t>
      </w:r>
    </w:p>
    <w:p>
      <w:pPr>
        <w:spacing w:after="20" w:line="223" w:lineRule="auto"/>
        <w:jc w:val="right"/>
        <w:bidi/>
      </w:pPr>
      <w:r>
        <w:rPr>
          <w:rFonts w:ascii="Arial" w:hAnsi="Arial"/>
          <w:sz w:val="16"/>
        </w:rPr>
        <w:t>074.27  در صورت لزوم، VCJCS نقش سرپرست را در غیاب رئیس بر عهده می‌گیرد.</w:t>
      </w:r>
    </w:p>
    <w:p>
      <w:pPr>
        <w:spacing w:after="28" w:line="216" w:lineRule="auto"/>
        <w:ind w:left="259"/>
        <w:jc w:val="left"/>
      </w:pPr>
      <w:r>
        <w:rPr>
          <w:rFonts w:ascii="Arial" w:hAnsi="Arial"/>
          <w:color w:val="525252"/>
          <w:sz w:val="13"/>
        </w:rPr>
        <w:t>When required, the VCJCS assumes the role of Acting Chairman in the Chairman’s absence.</w:t>
      </w:r>
    </w:p>
    <w:p>
      <w:r>
        <w:br w:type="page"/>
      </w:r>
    </w:p>
    <w:p>
      <w:pPr>
        <w:spacing w:after="60"/>
        <w:jc w:val="right"/>
        <w:bidi/>
      </w:pPr>
      <w:r>
        <w:rPr>
          <w:rFonts w:ascii="Arial" w:hAnsi="Arial"/>
          <w:b/>
          <w:color w:val="1F4D78"/>
          <w:sz w:val="19"/>
        </w:rPr>
        <w:t>هفتهٔ 75  |  صفحهٔ منبع: 91</w:t>
      </w:r>
    </w:p>
    <w:p>
      <w:pPr>
        <w:spacing w:after="20" w:line="223" w:lineRule="auto"/>
        <w:jc w:val="right"/>
        <w:bidi/>
      </w:pPr>
      <w:r>
        <w:rPr>
          <w:rFonts w:ascii="Arial" w:hAnsi="Arial"/>
          <w:sz w:val="16"/>
        </w:rPr>
        <w:t>075.01  مشاور ارشد استخدامی رئیس.</w:t>
      </w:r>
    </w:p>
    <w:p>
      <w:pPr>
        <w:spacing w:after="28" w:line="216" w:lineRule="auto"/>
        <w:ind w:left="259"/>
        <w:jc w:val="left"/>
      </w:pPr>
      <w:r>
        <w:rPr>
          <w:rFonts w:ascii="Arial" w:hAnsi="Arial"/>
          <w:color w:val="525252"/>
          <w:sz w:val="13"/>
        </w:rPr>
        <w:t>Senior Enlisted Advisor to the Chairman.</w:t>
      </w:r>
    </w:p>
    <w:p>
      <w:pPr>
        <w:spacing w:after="20" w:line="223" w:lineRule="auto"/>
        <w:jc w:val="right"/>
        <w:bidi/>
      </w:pPr>
      <w:r>
        <w:rPr>
          <w:rFonts w:ascii="Arial" w:hAnsi="Arial"/>
          <w:sz w:val="16"/>
        </w:rPr>
        <w:t>075.02  مشاور ارشد استخدامی رئیس (SEAC)، به‌عنوان بالاترین پست نظامی ارشد در نیروهای مسلح ایالات متحده تعیین شده است.</w:t>
      </w:r>
    </w:p>
    <w:p>
      <w:pPr>
        <w:spacing w:after="28" w:line="216" w:lineRule="auto"/>
        <w:ind w:left="259"/>
        <w:jc w:val="left"/>
      </w:pPr>
      <w:r>
        <w:rPr>
          <w:rFonts w:ascii="Arial" w:hAnsi="Arial"/>
          <w:color w:val="525252"/>
          <w:sz w:val="13"/>
        </w:rPr>
        <w:t>Senior Enlisted Advisor to the Chairman (SEAC), is designated as the highest senior enlisted position in the U.S. Armed Forces.</w:t>
      </w:r>
    </w:p>
    <w:p>
      <w:pPr>
        <w:spacing w:after="20" w:line="223" w:lineRule="auto"/>
        <w:jc w:val="right"/>
        <w:bidi/>
      </w:pPr>
      <w:r>
        <w:rPr>
          <w:rFonts w:ascii="Arial" w:hAnsi="Arial"/>
          <w:sz w:val="16"/>
        </w:rPr>
        <w:t>075.03  SEAC به‌عنوان مشاور رئیس و وزیر دفاع در مورد همه موارد مربوط به ادغام کل نیرو، استفاده، سلامت نیرو، و توسعه مشترک برای پرسنل سرباز وظیفه منصوب می‌شود.</w:t>
      </w:r>
    </w:p>
    <w:p>
      <w:pPr>
        <w:spacing w:after="28" w:line="216" w:lineRule="auto"/>
        <w:ind w:left="259"/>
        <w:jc w:val="left"/>
      </w:pPr>
      <w:r>
        <w:rPr>
          <w:rFonts w:ascii="Arial" w:hAnsi="Arial"/>
          <w:color w:val="525252"/>
          <w:sz w:val="13"/>
        </w:rPr>
        <w:t>The SEAC is appointed to serve as an advisor to the Chairman and the Secretary of Defense on all matters involving Total Force integration, utilization, health of the force, and joint development for enlisted personnel.</w:t>
      </w:r>
    </w:p>
    <w:p>
      <w:pPr>
        <w:spacing w:after="20" w:line="223" w:lineRule="auto"/>
        <w:jc w:val="right"/>
        <w:bidi/>
      </w:pPr>
      <w:r>
        <w:rPr>
          <w:rFonts w:ascii="Arial" w:hAnsi="Arial"/>
          <w:sz w:val="16"/>
        </w:rPr>
        <w:t>075.04  SEAC همچنین به‌عنوان سخنگوی رهبران و سازمان‌ها در مورد مسائل قابل اجرا که بر نیروهای ثبت‌نام شده تأثیر می‌گذارد، خدمت می‌کند.</w:t>
      </w:r>
    </w:p>
    <w:p>
      <w:pPr>
        <w:spacing w:after="28" w:line="216" w:lineRule="auto"/>
        <w:ind w:left="259"/>
        <w:jc w:val="left"/>
      </w:pPr>
      <w:r>
        <w:rPr>
          <w:rFonts w:ascii="Arial" w:hAnsi="Arial"/>
          <w:color w:val="525252"/>
          <w:sz w:val="13"/>
        </w:rPr>
        <w:t>The SEAC also serves as a spokesperson to leaders and organizations on applicable issues affecting enlisted forces.</w:t>
      </w:r>
    </w:p>
    <w:p>
      <w:pPr>
        <w:spacing w:after="20" w:line="223" w:lineRule="auto"/>
        <w:jc w:val="right"/>
        <w:bidi/>
      </w:pPr>
      <w:r>
        <w:rPr>
          <w:rFonts w:ascii="Arial" w:hAnsi="Arial"/>
          <w:sz w:val="16"/>
        </w:rPr>
        <w:t>075.05  رئیس ستاد مشترک.</w:t>
      </w:r>
    </w:p>
    <w:p>
      <w:pPr>
        <w:spacing w:after="28" w:line="216" w:lineRule="auto"/>
        <w:ind w:left="259"/>
        <w:jc w:val="left"/>
      </w:pPr>
      <w:r>
        <w:rPr>
          <w:rFonts w:ascii="Arial" w:hAnsi="Arial"/>
          <w:color w:val="525252"/>
          <w:sz w:val="13"/>
        </w:rPr>
        <w:t>Joint Chiefs of Staff.</w:t>
      </w:r>
    </w:p>
    <w:p>
      <w:pPr>
        <w:spacing w:after="20" w:line="223" w:lineRule="auto"/>
        <w:jc w:val="right"/>
        <w:bidi/>
      </w:pPr>
      <w:r>
        <w:rPr>
          <w:rFonts w:ascii="Arial" w:hAnsi="Arial"/>
          <w:sz w:val="16"/>
        </w:rPr>
        <w:t>075.06  با توجه به اختیارات، هدایت و کنترل رئیس جمهور و وزیر دفاع ایالات متحده، اعضای ستاد مشترک ارتش به‌عنوان مشاور رئیس جمهور، وزیر دفاع و شورای امنیت ملی خدمت می‌کنند.</w:t>
      </w:r>
    </w:p>
    <w:p>
      <w:pPr>
        <w:spacing w:after="28" w:line="216" w:lineRule="auto"/>
        <w:ind w:left="259"/>
        <w:jc w:val="left"/>
      </w:pPr>
      <w:r>
        <w:rPr>
          <w:rFonts w:ascii="Arial" w:hAnsi="Arial"/>
          <w:color w:val="525252"/>
          <w:sz w:val="13"/>
        </w:rPr>
        <w:t>Subject to the authority, direction, and control of the U.S. President and the Secretary of Defense, members of the Joint Chiefs of Staff serve as advisors to the President, Secretary of Defense, and the National Security Council.</w:t>
      </w:r>
    </w:p>
    <w:p>
      <w:pPr>
        <w:spacing w:after="20" w:line="223" w:lineRule="auto"/>
        <w:jc w:val="right"/>
        <w:bidi/>
      </w:pPr>
      <w:r>
        <w:rPr>
          <w:rFonts w:ascii="Arial" w:hAnsi="Arial"/>
          <w:sz w:val="16"/>
        </w:rPr>
        <w:t>075.07  فرماندهان مشترک جهت گیری استراتژیک نیروهای مسلح ایالات متحده را ارائه می‌دهند، نیازهای اصلی مادی و پرسنلی را با توجه به نیازهای استراتژیک و لجستیک بررسی می‌کنند و دکترین مشترک را ایجاد می‌کنند.</w:t>
      </w:r>
    </w:p>
    <w:p>
      <w:pPr>
        <w:spacing w:after="28" w:line="216" w:lineRule="auto"/>
        <w:ind w:left="259"/>
        <w:jc w:val="left"/>
      </w:pPr>
      <w:r>
        <w:rPr>
          <w:rFonts w:ascii="Arial" w:hAnsi="Arial"/>
          <w:color w:val="525252"/>
          <w:sz w:val="13"/>
        </w:rPr>
        <w:t>The Joint Chiefs provide the strategic direction of the U.S. Armed Forces, review major materiel and personnel requirements according to strategic and logistic requirements, and establish joint doctrine.</w:t>
      </w:r>
    </w:p>
    <w:p>
      <w:pPr>
        <w:spacing w:after="20" w:line="223" w:lineRule="auto"/>
        <w:jc w:val="right"/>
        <w:bidi/>
      </w:pPr>
      <w:r>
        <w:rPr>
          <w:rFonts w:ascii="Arial" w:hAnsi="Arial"/>
          <w:sz w:val="16"/>
        </w:rPr>
        <w:t>075.08  اعضای ستاد مشترک همچنین مسئولیت واگذاری مسئولیت‌های لجستیکی به خدمات نظامی، تدوین سیاست‌های آموزش مشترک و هماهنگی آموزش نظامی را بر عهده دارند.</w:t>
      </w:r>
    </w:p>
    <w:p>
      <w:pPr>
        <w:spacing w:after="28" w:line="216" w:lineRule="auto"/>
        <w:ind w:left="259"/>
        <w:jc w:val="left"/>
      </w:pPr>
      <w:r>
        <w:rPr>
          <w:rFonts w:ascii="Arial" w:hAnsi="Arial"/>
          <w:color w:val="525252"/>
          <w:sz w:val="13"/>
        </w:rPr>
        <w:t>Members of the Joint Chiefs of Staff are also responsible for the assignment of logistic responsibilities to the military services, formulation of policies for joint training, and coordination of military education.</w:t>
      </w:r>
    </w:p>
    <w:p>
      <w:pPr>
        <w:spacing w:after="20" w:line="223" w:lineRule="auto"/>
        <w:jc w:val="right"/>
        <w:bidi/>
      </w:pPr>
      <w:r>
        <w:rPr>
          <w:rFonts w:ascii="Arial" w:hAnsi="Arial"/>
          <w:sz w:val="16"/>
        </w:rPr>
        <w:t>075.09  اعضای ستاد مشترک رئیس هستند. نایب رئیس؛ رئیس ستاد ارتش آمریکا؛ رئیس عملیات دریایی؛ رئیس ستاد نیروی هوایی ارتش آمریکا؛ رئیس عملیات فضایی؛ فرمانده نیروی دریایی ارتش؛ و رئیس دفتر گارد ملی.</w:t>
      </w:r>
    </w:p>
    <w:p>
      <w:pPr>
        <w:spacing w:after="28" w:line="216" w:lineRule="auto"/>
        <w:ind w:left="259"/>
        <w:jc w:val="left"/>
      </w:pPr>
      <w:r>
        <w:rPr>
          <w:rFonts w:ascii="Arial" w:hAnsi="Arial"/>
          <w:color w:val="525252"/>
          <w:sz w:val="13"/>
        </w:rPr>
        <w:t>Members of the Joint Chiefs of Staff are the Chairman; Vice Chairman; Chief of Staff of the U.S. Army; Chief of Naval Operations; Chief of Staff of the USAF; Chief of Space Operations; Commandant of the Marine Corps; and Chief of the National Guard Bureau.</w:t>
      </w:r>
    </w:p>
    <w:p>
      <w:pPr>
        <w:spacing w:after="20" w:line="223" w:lineRule="auto"/>
        <w:jc w:val="right"/>
        <w:bidi/>
      </w:pPr>
      <w:r>
        <w:rPr>
          <w:rFonts w:ascii="Arial" w:hAnsi="Arial"/>
          <w:sz w:val="16"/>
        </w:rPr>
        <w:t>075.10  برای روسای خدمات (رئیس ستاد ارتش، رئیس عملیات دریایی، رئیس ستاد نیروی هوایی ایالات متحده، رئیس عملیات فضایی، فرمانده سپاه تفنگداران دریایی)، وظایف رئیس ستاد مشترک آنها بر سایر وظایف اولویت دارد.</w:t>
      </w:r>
    </w:p>
    <w:p>
      <w:pPr>
        <w:spacing w:after="28" w:line="216" w:lineRule="auto"/>
        <w:ind w:left="259"/>
        <w:jc w:val="left"/>
      </w:pPr>
      <w:r>
        <w:rPr>
          <w:rFonts w:ascii="Arial" w:hAnsi="Arial"/>
          <w:color w:val="525252"/>
          <w:sz w:val="13"/>
        </w:rPr>
        <w:t>For the Service Chiefs (Chief of Staff of the Army, Chief of Naval Operations, Chief of Staff of the USAF, Chief of Space Operations, Commandant of the Marine Corps), their Joint Chiefs of Staff duties take precedence over all other duties.</w:t>
      </w:r>
    </w:p>
    <w:p>
      <w:pPr>
        <w:spacing w:after="20" w:line="223" w:lineRule="auto"/>
        <w:jc w:val="right"/>
        <w:bidi/>
      </w:pPr>
      <w:r>
        <w:rPr>
          <w:rFonts w:ascii="Arial" w:hAnsi="Arial"/>
          <w:sz w:val="16"/>
        </w:rPr>
        <w:t>075.11  در نتیجه، فرماندهان مشترک به‌عنوان روسای نظامی خدمات مربوطه خود، وظایف بسیاری را به معاونین خود محول می‌کنند و مسئولیت کلی را نیز حفظ می‌کنند.</w:t>
      </w:r>
    </w:p>
    <w:p>
      <w:pPr>
        <w:spacing w:after="28" w:line="216" w:lineRule="auto"/>
        <w:ind w:left="259"/>
        <w:jc w:val="left"/>
      </w:pPr>
      <w:r>
        <w:rPr>
          <w:rFonts w:ascii="Arial" w:hAnsi="Arial"/>
          <w:color w:val="525252"/>
          <w:sz w:val="13"/>
        </w:rPr>
        <w:t>Consequently, as the military heads of their respective services, the Joint Chiefs delegate many duties to their Vice Chiefs while retaining overall responsibility.</w:t>
      </w:r>
    </w:p>
    <w:p>
      <w:r>
        <w:br w:type="page"/>
      </w:r>
    </w:p>
    <w:p>
      <w:pPr>
        <w:spacing w:after="60"/>
        <w:jc w:val="right"/>
        <w:bidi/>
      </w:pPr>
      <w:r>
        <w:rPr>
          <w:rFonts w:ascii="Arial" w:hAnsi="Arial"/>
          <w:b/>
          <w:color w:val="1F4D78"/>
          <w:sz w:val="19"/>
        </w:rPr>
        <w:t>هفتهٔ 76  |  صفحهٔ منبع: 92</w:t>
      </w:r>
    </w:p>
    <w:p>
      <w:pPr>
        <w:spacing w:before="60" w:after="28"/>
        <w:jc w:val="right"/>
        <w:bidi/>
      </w:pPr>
      <w:r>
        <w:rPr>
          <w:b/>
          <w:color w:val="1F4D78"/>
          <w:sz w:val="18"/>
        </w:rPr>
        <w:t>بخش 5B-بخش‌های نظامی</w:t>
      </w:r>
    </w:p>
    <w:p>
      <w:pPr>
        <w:spacing w:after="20"/>
        <w:ind w:left="259"/>
        <w:jc w:val="left"/>
      </w:pPr>
      <w:r>
        <w:rPr>
          <w:color w:val="555555"/>
          <w:sz w:val="12"/>
        </w:rPr>
        <w:t>Section 5B—Military Departments</w:t>
      </w:r>
    </w:p>
    <w:p>
      <w:pPr>
        <w:spacing w:before="60" w:after="28"/>
        <w:jc w:val="right"/>
        <w:bidi/>
      </w:pPr>
      <w:r>
        <w:rPr>
          <w:b/>
          <w:color w:val="1F4D78"/>
          <w:sz w:val="18"/>
        </w:rPr>
        <w:t>5.4. دفاع از ملت</w:t>
      </w:r>
    </w:p>
    <w:p>
      <w:pPr>
        <w:spacing w:after="20"/>
        <w:ind w:left="259"/>
        <w:jc w:val="left"/>
      </w:pPr>
      <w:r>
        <w:rPr>
          <w:color w:val="555555"/>
          <w:sz w:val="12"/>
        </w:rPr>
        <w:t>5.4. Defending the Nation</w:t>
      </w:r>
    </w:p>
    <w:p>
      <w:pPr>
        <w:spacing w:after="20" w:line="223" w:lineRule="auto"/>
        <w:jc w:val="right"/>
        <w:bidi/>
      </w:pPr>
      <w:r>
        <w:rPr>
          <w:rFonts w:ascii="Arial" w:hAnsi="Arial"/>
          <w:sz w:val="16"/>
        </w:rPr>
        <w:t>076.03  از زمان تولد ملت، ارتش ما بر اساس قانون اساسی وظیفه تضمین بقای ملی، دفاع از جان و مال و ارتقای منافع حیاتی در داخل و خارج از کشور را بر عهده داشته است.</w:t>
      </w:r>
    </w:p>
    <w:p>
      <w:pPr>
        <w:spacing w:after="28" w:line="216" w:lineRule="auto"/>
        <w:ind w:left="259"/>
        <w:jc w:val="left"/>
      </w:pPr>
      <w:r>
        <w:rPr>
          <w:rFonts w:ascii="Arial" w:hAnsi="Arial"/>
          <w:color w:val="525252"/>
          <w:sz w:val="13"/>
        </w:rPr>
        <w:t>Since the nation’s birth, our military has had the constitutional duty to ensure national survival, defend lives and property, and promote vital interests at home and abroad.</w:t>
      </w:r>
    </w:p>
    <w:p>
      <w:pPr>
        <w:spacing w:after="20" w:line="223" w:lineRule="auto"/>
        <w:jc w:val="right"/>
        <w:bidi/>
      </w:pPr>
      <w:r>
        <w:rPr>
          <w:rFonts w:ascii="Arial" w:hAnsi="Arial"/>
          <w:sz w:val="16"/>
        </w:rPr>
        <w:t>076.04  به‌طور مشترک، رهبران ارشد نظامی، استراتژی دفاع از میهن و اطمینان از متحدان، و در عین حال منصرف کردن، بازدارندگی و شکست دشمنان را تضمین می‌کنند.</w:t>
      </w:r>
    </w:p>
    <w:p>
      <w:pPr>
        <w:spacing w:after="28" w:line="216" w:lineRule="auto"/>
        <w:ind w:left="259"/>
        <w:jc w:val="left"/>
      </w:pPr>
      <w:r>
        <w:rPr>
          <w:rFonts w:ascii="Arial" w:hAnsi="Arial"/>
          <w:color w:val="525252"/>
          <w:sz w:val="13"/>
        </w:rPr>
        <w:t>Jointly, senior military leaders underwrite the strategy of defending the homeland and assuring allies, while dissuading, deterring, and defeating enemies.</w:t>
      </w:r>
    </w:p>
    <w:p>
      <w:pPr>
        <w:spacing w:after="20" w:line="223" w:lineRule="auto"/>
        <w:jc w:val="right"/>
        <w:bidi/>
      </w:pPr>
      <w:r>
        <w:rPr>
          <w:rFonts w:ascii="Arial" w:hAnsi="Arial"/>
          <w:sz w:val="16"/>
        </w:rPr>
        <w:t>076.05  بخش‌های نظامی از ارتش، نیروی دریایی (شامل سپاه تفنگداران دریایی و در زمان جنگ، گارد ساحلی) و USAF (شامل نیروی فضایی) تشکیل شده‌اند، همانطور که در شکل ۵.۱ نشان داده شده است.</w:t>
      </w:r>
    </w:p>
    <w:p>
      <w:pPr>
        <w:spacing w:after="28" w:line="216" w:lineRule="auto"/>
        <w:ind w:left="259"/>
        <w:jc w:val="left"/>
      </w:pPr>
      <w:r>
        <w:rPr>
          <w:rFonts w:ascii="Arial" w:hAnsi="Arial"/>
          <w:color w:val="525252"/>
          <w:sz w:val="13"/>
        </w:rPr>
        <w:t>The military departments consist of the Army, Navy (including the Marine Corps and, in wartime, the Coast Guard), and the USAF (including the Space Force), as shown in Figure 5.1.</w:t>
      </w:r>
    </w:p>
    <w:p>
      <w:pPr>
        <w:spacing w:before="60" w:after="28"/>
        <w:jc w:val="right"/>
        <w:bidi/>
      </w:pPr>
      <w:r>
        <w:rPr>
          <w:b/>
          <w:color w:val="1F4D78"/>
          <w:sz w:val="18"/>
        </w:rPr>
        <w:t>شکل 5.1. ادارات نظامی ایالات متحده</w:t>
      </w:r>
    </w:p>
    <w:p>
      <w:pPr>
        <w:spacing w:after="20"/>
        <w:ind w:left="259"/>
        <w:jc w:val="left"/>
      </w:pPr>
      <w:r>
        <w:rPr>
          <w:color w:val="555555"/>
          <w:sz w:val="12"/>
        </w:rPr>
        <w:t>Figure 5.1. U.S. Military Departments</w:t>
      </w:r>
    </w:p>
    <w:p>
      <w:pPr>
        <w:spacing w:before="60" w:after="28"/>
        <w:jc w:val="right"/>
        <w:bidi/>
      </w:pPr>
      <w:r>
        <w:rPr>
          <w:b/>
          <w:color w:val="1F4D78"/>
          <w:sz w:val="18"/>
        </w:rPr>
        <w:t>5.5. وظایف عمومی نظامی</w:t>
      </w:r>
    </w:p>
    <w:p>
      <w:pPr>
        <w:spacing w:after="20"/>
        <w:ind w:left="259"/>
        <w:jc w:val="left"/>
      </w:pPr>
      <w:r>
        <w:rPr>
          <w:color w:val="555555"/>
          <w:sz w:val="12"/>
        </w:rPr>
        <w:t>5.5. General Military Functions</w:t>
      </w:r>
    </w:p>
    <w:p>
      <w:pPr>
        <w:spacing w:after="20" w:line="223" w:lineRule="auto"/>
        <w:jc w:val="right"/>
        <w:bidi/>
      </w:pPr>
      <w:r>
        <w:rPr>
          <w:rFonts w:ascii="Arial" w:hAnsi="Arial"/>
          <w:sz w:val="16"/>
        </w:rPr>
        <w:t>076.08  وزیر دفاع و ستاد مشترک، وظایف (نقش‌ها و مأموریت‌های) کلی و خاص هر شاخه از نیروهای مسلح ایالات متحده را در توافقنامه کی‌وست در سال ۱۹۴۸ تعیین کردند.</w:t>
      </w:r>
    </w:p>
    <w:p>
      <w:pPr>
        <w:spacing w:after="28" w:line="216" w:lineRule="auto"/>
        <w:ind w:left="259"/>
        <w:jc w:val="left"/>
      </w:pPr>
      <w:r>
        <w:rPr>
          <w:rFonts w:ascii="Arial" w:hAnsi="Arial"/>
          <w:color w:val="525252"/>
          <w:sz w:val="13"/>
        </w:rPr>
        <w:t>The Secretary of Defense and the Joint Chiefs of Staff established the general and specific functions (roles and missions) of each branch of the U.S. Armed Forces in the Key West Agreement of 1948.</w:t>
      </w:r>
    </w:p>
    <w:p>
      <w:pPr>
        <w:spacing w:after="20" w:line="223" w:lineRule="auto"/>
        <w:jc w:val="right"/>
        <w:bidi/>
      </w:pPr>
      <w:r>
        <w:rPr>
          <w:rFonts w:ascii="Arial" w:hAnsi="Arial"/>
          <w:sz w:val="16"/>
        </w:rPr>
        <w:t>076.09  آخرین بازنگری توافقنامه کی وست در سال ۱۹۵۸ سه وظیفه کلی نیروهای مسلح ایالات متحده را بیان می‌کند: (۱) حمایت و دفاع از قانون اساسی ایالات متحده در برابر همه دشمنان خارجی و داخلی. (۲) با اقدام نظامی به موقع و مؤثر، امنیت ایالات متحده، دارایی‌ها و مناطق حیاتی برای منافع آن را تضمین کند. (۳) و حمایت و پیشبرد سیاست‌ها و منافع ملی ایالات متحده.</w:t>
      </w:r>
    </w:p>
    <w:p>
      <w:pPr>
        <w:spacing w:after="28" w:line="216" w:lineRule="auto"/>
        <w:ind w:left="259"/>
        <w:jc w:val="left"/>
      </w:pPr>
      <w:r>
        <w:rPr>
          <w:rFonts w:ascii="Arial" w:hAnsi="Arial"/>
          <w:color w:val="525252"/>
          <w:sz w:val="13"/>
        </w:rPr>
        <w:t>The latest revision of the Key West Agreement in 1958 states three general functions of the U.S. Armed Forces: (1) support and defend the U.S. Constitution against all enemies, foreign and domestic; (2) ensure, by timely and effective military action, the security of the United States, its possessions, and areas vital to its interests; (3) and uphold and advance the national policies and interests of the United States.</w:t>
      </w:r>
    </w:p>
    <w:p>
      <w:pPr>
        <w:spacing w:after="20" w:line="223" w:lineRule="auto"/>
        <w:jc w:val="right"/>
        <w:bidi/>
      </w:pPr>
      <w:r>
        <w:rPr>
          <w:rFonts w:ascii="Arial" w:hAnsi="Arial"/>
          <w:sz w:val="16"/>
        </w:rPr>
        <w:t>076.10  هر سرویس باید اصول کلی را رعایت کند و وظایف مشخصی را که در موافقتنامه کی وست تعیین شده انجام دهد و در تمام مواردی که صرفه جویی و اثربخشی افزایش می‌یابد از پرسنل، تجهیزات و امکانات سایر خدمات استفاده کند.</w:t>
      </w:r>
    </w:p>
    <w:p>
      <w:pPr>
        <w:spacing w:after="28" w:line="216" w:lineRule="auto"/>
        <w:ind w:left="259"/>
        <w:jc w:val="left"/>
      </w:pPr>
      <w:r>
        <w:rPr>
          <w:rFonts w:ascii="Arial" w:hAnsi="Arial"/>
          <w:color w:val="525252"/>
          <w:sz w:val="13"/>
        </w:rPr>
        <w:t>Each service shall observe the general principles and fulfill the specific functions as established in the Key West Agreement, and make use of the personnel, equipment, and facilities of the other services in all cases where economy and effectiveness will be increased.</w:t>
      </w:r>
    </w:p>
    <w:p>
      <w:pPr>
        <w:spacing w:after="20" w:line="223" w:lineRule="auto"/>
        <w:jc w:val="right"/>
        <w:bidi/>
      </w:pPr>
      <w:r>
        <w:rPr>
          <w:rFonts w:ascii="Arial" w:hAnsi="Arial"/>
          <w:sz w:val="16"/>
        </w:rPr>
        <w:t>076.11  توابع ارتش ایالات متحده.</w:t>
      </w:r>
    </w:p>
    <w:p>
      <w:pPr>
        <w:spacing w:after="28" w:line="216" w:lineRule="auto"/>
        <w:ind w:left="259"/>
        <w:jc w:val="left"/>
      </w:pPr>
      <w:r>
        <w:rPr>
          <w:rFonts w:ascii="Arial" w:hAnsi="Arial"/>
          <w:color w:val="525252"/>
          <w:sz w:val="13"/>
        </w:rPr>
        <w:t>Functions of the United States Army.</w:t>
      </w:r>
    </w:p>
    <w:p>
      <w:pPr>
        <w:spacing w:after="20" w:line="223" w:lineRule="auto"/>
        <w:jc w:val="right"/>
        <w:bidi/>
      </w:pPr>
      <w:r>
        <w:rPr>
          <w:rFonts w:ascii="Arial" w:hAnsi="Arial"/>
          <w:sz w:val="16"/>
        </w:rPr>
        <w:t>076.12  ارتش ایالات متحده به‌عنوان شاخه زمینی نیروهای مسلح ایالات متحده خدمت می‌کند.</w:t>
      </w:r>
    </w:p>
    <w:p>
      <w:pPr>
        <w:spacing w:after="28" w:line="216" w:lineRule="auto"/>
        <w:ind w:left="259"/>
        <w:jc w:val="left"/>
      </w:pPr>
      <w:r>
        <w:rPr>
          <w:rFonts w:ascii="Arial" w:hAnsi="Arial"/>
          <w:color w:val="525252"/>
          <w:sz w:val="13"/>
        </w:rPr>
        <w:t>The U.S. Army serves as the land-based branch of the U.S. Armed Forces.</w:t>
      </w:r>
    </w:p>
    <w:p>
      <w:pPr>
        <w:spacing w:after="20" w:line="223" w:lineRule="auto"/>
        <w:jc w:val="right"/>
        <w:bidi/>
      </w:pPr>
      <w:r>
        <w:rPr>
          <w:rFonts w:ascii="Arial" w:hAnsi="Arial"/>
          <w:sz w:val="16"/>
        </w:rPr>
        <w:t>076.13  مأموریت ارتش این است که "جنگ و پیروزی در جنگ‌های ملت ما با ارائه تسلط سریع و پایدار بر روی زمین در طیف کامل عملیات نظامی و طیف درگیری در حمایت از فرماندهان رزمنده." ارتش مسئول آماده‌سازی نیروهای زمینی لازم برای تعقیب مؤثر جنگ و گسترش اجزای زمان صلح ارتش برای رفع نیازهای جنگ است.</w:t>
      </w:r>
    </w:p>
    <w:p>
      <w:pPr>
        <w:spacing w:after="28" w:line="216" w:lineRule="auto"/>
        <w:ind w:left="259"/>
        <w:jc w:val="left"/>
      </w:pPr>
      <w:r>
        <w:rPr>
          <w:rFonts w:ascii="Arial" w:hAnsi="Arial"/>
          <w:color w:val="525252"/>
          <w:sz w:val="13"/>
        </w:rPr>
        <w:t>The mission of the Army is, “To fight and win our nation’s wars by providing prompt, sustained land dominance across the full range of military operations and the spectrum of conflict in support of combatant commanders.” The Army is responsible for the preparation of land forces necessary for the effective prosecution of war, and for the expansion of peacetime components of the Army to meet the needs of war.</w:t>
      </w:r>
    </w:p>
    <w:p>
      <w:pPr>
        <w:spacing w:after="20" w:line="223" w:lineRule="auto"/>
        <w:jc w:val="right"/>
        <w:bidi/>
      </w:pPr>
      <w:r>
        <w:rPr>
          <w:rFonts w:ascii="Arial" w:hAnsi="Arial"/>
          <w:sz w:val="16"/>
        </w:rPr>
        <w:t>076.14  ارتش همچنین مسئول توسعه تسلیحات، تاکتیک‌ها، تکنیک‌ها، سازماندهی و تجهیزات عناصر رزمی و خدماتی ارتش و هماهنگی با نیروی دریایی و USAF در همه جنبه‌های مورد علاقه مشترک، از جمله موارد مربوط به عملیات آبی خاکی و هوابرد است.</w:t>
      </w:r>
    </w:p>
    <w:p>
      <w:pPr>
        <w:spacing w:after="28" w:line="216" w:lineRule="auto"/>
        <w:ind w:left="259"/>
        <w:jc w:val="left"/>
      </w:pPr>
      <w:r>
        <w:rPr>
          <w:rFonts w:ascii="Arial" w:hAnsi="Arial"/>
          <w:color w:val="525252"/>
          <w:sz w:val="13"/>
        </w:rPr>
        <w:t>The Army is also responsible for developing weapons, tactics, technique, organization, and equipment of Army combat and service elements and coordinating with the Navy and the USAF in all aspects of joint concern, including those which pertain to amphibious and airborne operations.</w:t>
      </w:r>
    </w:p>
    <w:p>
      <w:pPr>
        <w:spacing w:after="20" w:line="223" w:lineRule="auto"/>
        <w:jc w:val="right"/>
        <w:bidi/>
      </w:pPr>
      <w:r>
        <w:rPr>
          <w:rFonts w:ascii="Arial" w:hAnsi="Arial"/>
          <w:sz w:val="16"/>
        </w:rPr>
        <w:t>076.15  وظایف خاص ارتش سازماندهی، آموزش و تجهیز نیروهای زمینی برای موارد زیر است: (۱) عملیات روی زمین، از جمله عملیات مشترک. (۲) تصرف یا دفاع از مناطق زمینی، از جمله عملیات هوایی و آبی خاکی مشترک. و (۳) تصرف مناطق.</w:t>
      </w:r>
    </w:p>
    <w:p>
      <w:pPr>
        <w:spacing w:after="28" w:line="216" w:lineRule="auto"/>
        <w:ind w:left="259"/>
        <w:jc w:val="left"/>
      </w:pPr>
      <w:r>
        <w:rPr>
          <w:rFonts w:ascii="Arial" w:hAnsi="Arial"/>
          <w:color w:val="525252"/>
          <w:sz w:val="13"/>
        </w:rPr>
        <w:t>The specific functions of the Army are to organize, train, and equip land forces for: (1) operations on land, including joint operations; (2) the seizure or defense of land areas, including airborne and joint amphibious operations; and (3) the occupation of land areas.</w:t>
      </w:r>
    </w:p>
    <w:p>
      <w:pPr>
        <w:spacing w:after="20" w:line="223" w:lineRule="auto"/>
        <w:jc w:val="right"/>
        <w:bidi/>
      </w:pPr>
      <w:r>
        <w:rPr>
          <w:rFonts w:ascii="Arial" w:hAnsi="Arial"/>
          <w:sz w:val="16"/>
        </w:rPr>
        <w:t>076.16  توابع نیروی دریایی ایالات متحده.</w:t>
      </w:r>
    </w:p>
    <w:p>
      <w:pPr>
        <w:spacing w:after="28" w:line="216" w:lineRule="auto"/>
        <w:ind w:left="259"/>
        <w:jc w:val="left"/>
      </w:pPr>
      <w:r>
        <w:rPr>
          <w:rFonts w:ascii="Arial" w:hAnsi="Arial"/>
          <w:color w:val="525252"/>
          <w:sz w:val="13"/>
        </w:rPr>
        <w:t>Functions of the United States Navy.</w:t>
      </w:r>
    </w:p>
    <w:p>
      <w:pPr>
        <w:spacing w:after="20" w:line="223" w:lineRule="auto"/>
        <w:jc w:val="right"/>
        <w:bidi/>
      </w:pPr>
      <w:r>
        <w:rPr>
          <w:rFonts w:ascii="Arial" w:hAnsi="Arial"/>
          <w:sz w:val="16"/>
        </w:rPr>
        <w:t>076.17  مأموریت نیروی دریایی ایالات متحده حفظ، آموزش و تجهیز نیروهای دریایی آماده رزمی است که قادر به پیروزی در جنگ‌ها، جلوگیری از تهاجم و حفظ آزادی دریاها هستند.</w:t>
      </w:r>
    </w:p>
    <w:p>
      <w:pPr>
        <w:spacing w:after="28" w:line="216" w:lineRule="auto"/>
        <w:ind w:left="259"/>
        <w:jc w:val="left"/>
      </w:pPr>
      <w:r>
        <w:rPr>
          <w:rFonts w:ascii="Arial" w:hAnsi="Arial"/>
          <w:color w:val="525252"/>
          <w:sz w:val="13"/>
        </w:rPr>
        <w:t>The mission of the U.S. Navy is to maintain, train, and equip combat-ready naval forces capable of winning wars, deterring aggression, and maintaining freedom of the seas.</w:t>
      </w:r>
    </w:p>
    <w:p>
      <w:pPr>
        <w:spacing w:after="20" w:line="223" w:lineRule="auto"/>
        <w:jc w:val="right"/>
        <w:bidi/>
      </w:pPr>
      <w:r>
        <w:rPr>
          <w:rFonts w:ascii="Arial" w:hAnsi="Arial"/>
          <w:sz w:val="16"/>
        </w:rPr>
        <w:t>076.18  نیروی دریایی شامل نیروهای رزمی و خدماتی دریایی، هوانوردی دریایی و سپاه تفنگداران دریایی است.</w:t>
      </w:r>
    </w:p>
    <w:p>
      <w:pPr>
        <w:spacing w:after="28" w:line="216" w:lineRule="auto"/>
        <w:ind w:left="259"/>
        <w:jc w:val="left"/>
      </w:pPr>
      <w:r>
        <w:rPr>
          <w:rFonts w:ascii="Arial" w:hAnsi="Arial"/>
          <w:color w:val="525252"/>
          <w:sz w:val="13"/>
        </w:rPr>
        <w:t>The Navy includes naval combat and service forces, naval aviation, and the Marine Corps.</w:t>
      </w:r>
    </w:p>
    <w:p>
      <w:pPr>
        <w:spacing w:after="20" w:line="223" w:lineRule="auto"/>
        <w:jc w:val="right"/>
        <w:bidi/>
      </w:pPr>
      <w:r>
        <w:rPr>
          <w:rFonts w:ascii="Arial" w:hAnsi="Arial"/>
          <w:sz w:val="16"/>
        </w:rPr>
        <w:t>076.19  سازماندهی شده، آموزش دیده و تجهیز شده است در درجه اول برای نبردهای سریع و پایدار در</w:t>
      </w:r>
    </w:p>
    <w:p>
      <w:pPr>
        <w:spacing w:after="28" w:line="216" w:lineRule="auto"/>
        <w:ind w:left="259"/>
        <w:jc w:val="left"/>
      </w:pPr>
      <w:r>
        <w:rPr>
          <w:rFonts w:ascii="Arial" w:hAnsi="Arial"/>
          <w:color w:val="525252"/>
          <w:sz w:val="13"/>
        </w:rPr>
        <w:t>It is organized, trained, and equipped primarily for prompt and sustained combat at</w:t>
      </w:r>
    </w:p>
    <w:p>
      <w:r>
        <w:br w:type="page"/>
      </w:r>
    </w:p>
    <w:p>
      <w:pPr>
        <w:spacing w:after="60"/>
        <w:jc w:val="right"/>
        <w:bidi/>
      </w:pPr>
      <w:r>
        <w:rPr>
          <w:rFonts w:ascii="Arial" w:hAnsi="Arial"/>
          <w:b/>
          <w:color w:val="1F4D78"/>
          <w:sz w:val="19"/>
        </w:rPr>
        <w:t>هفتهٔ 77  |  صفحهٔ منبع: 93</w:t>
      </w:r>
    </w:p>
    <w:p>
      <w:pPr>
        <w:spacing w:after="20" w:line="223" w:lineRule="auto"/>
        <w:jc w:val="right"/>
        <w:bidi/>
      </w:pPr>
      <w:r>
        <w:rPr>
          <w:rFonts w:ascii="Arial" w:hAnsi="Arial"/>
          <w:sz w:val="16"/>
        </w:rPr>
        <w:t>077.01  دریا.</w:t>
      </w:r>
    </w:p>
    <w:p>
      <w:pPr>
        <w:spacing w:after="28" w:line="216" w:lineRule="auto"/>
        <w:ind w:left="259"/>
        <w:jc w:val="left"/>
      </w:pPr>
      <w:r>
        <w:rPr>
          <w:rFonts w:ascii="Arial" w:hAnsi="Arial"/>
          <w:color w:val="525252"/>
          <w:sz w:val="13"/>
        </w:rPr>
        <w:t>sea.</w:t>
      </w:r>
    </w:p>
    <w:p>
      <w:pPr>
        <w:spacing w:after="20" w:line="223" w:lineRule="auto"/>
        <w:jc w:val="right"/>
        <w:bidi/>
      </w:pPr>
      <w:r>
        <w:rPr>
          <w:rFonts w:ascii="Arial" w:hAnsi="Arial"/>
          <w:sz w:val="16"/>
        </w:rPr>
        <w:t>077.02  نیروی دریایی مسئول آماده‌سازی نیروهای دریایی لازم برای تعقیب مؤثر جنگ و گسترش اجزای زمان صلح نیروی دریایی برای رفع نیازهای جنگ است. نیروی دریایی ایالات متحده بزرگترین و تواناترین نیروی دریایی در جهان است که بالاترین تناژ ناوگان جنگی ترکیبی و بزرگترین ناوگان ناو هواپیمابر جهان را دارد.</w:t>
      </w:r>
    </w:p>
    <w:p>
      <w:pPr>
        <w:spacing w:after="28" w:line="216" w:lineRule="auto"/>
        <w:ind w:left="259"/>
        <w:jc w:val="left"/>
      </w:pPr>
      <w:r>
        <w:rPr>
          <w:rFonts w:ascii="Arial" w:hAnsi="Arial"/>
          <w:color w:val="525252"/>
          <w:sz w:val="13"/>
        </w:rPr>
        <w:t>The Navy is responsible for the preparation of naval forces necessary for the effective prosecution of war, and for the expansion of the peacetime components of the Navy to meet the needs of war. U.S. Navy is the largest, most capable navy in the world, with the highest combined battle fleet tonnage and the world's largest aircraft carrier fleet.</w:t>
      </w:r>
    </w:p>
    <w:p>
      <w:pPr>
        <w:spacing w:after="20" w:line="223" w:lineRule="auto"/>
        <w:jc w:val="right"/>
        <w:bidi/>
      </w:pPr>
      <w:r>
        <w:rPr>
          <w:rFonts w:ascii="Arial" w:hAnsi="Arial"/>
          <w:sz w:val="16"/>
        </w:rPr>
        <w:t>077.03  نیروی دریایی تسلیحات، تاکتیک‌ها، تکنیک‌ها، سازماندهی و تجهیزات عناصر رزمی و خدماتی دریایی را توسعه خواهد داد و با ارتش و USAF در همه جنبه‌های نگرانی مشترک، از جمله موارد مربوط به عملیات آبی خاکی، هماهنگ خواهد شد.</w:t>
      </w:r>
    </w:p>
    <w:p>
      <w:pPr>
        <w:spacing w:after="28" w:line="216" w:lineRule="auto"/>
        <w:ind w:left="259"/>
        <w:jc w:val="left"/>
      </w:pPr>
      <w:r>
        <w:rPr>
          <w:rFonts w:ascii="Arial" w:hAnsi="Arial"/>
          <w:color w:val="525252"/>
          <w:sz w:val="13"/>
        </w:rPr>
        <w:t>The Navy will develop weapons, tactics, technique, organization, and equipment of naval combat and service elements, coordinating with the Army and the USAF in all aspects of joint concern, including those which pertain to amphibious operations.</w:t>
      </w:r>
    </w:p>
    <w:p>
      <w:pPr>
        <w:spacing w:after="20" w:line="223" w:lineRule="auto"/>
        <w:jc w:val="right"/>
        <w:bidi/>
      </w:pPr>
      <w:r>
        <w:rPr>
          <w:rFonts w:ascii="Arial" w:hAnsi="Arial"/>
          <w:sz w:val="16"/>
        </w:rPr>
        <w:t>077.04  وظایف خاص نیروی دریایی سازماندهی، آموزش و تجهیز نیروهای دریایی برای: (۱) عملیات در دریا، از جمله عملیات مشترک؛ (۲) کنترل مناطق حیاتی دریایی، حفاظت از خطوط حیاتی دریایی، و سرکوب تجارت دریایی دشمن. (۳) پشتیبانی نیروهای اشغالگر در صورت لزوم. (۴) تصرف مواضع جزئی در ساحل دشمن با قابلیت کاهش توسط نیروهای فرود که ممکن است در سازمان ناوگان باشد. (۵) شناسایی دریایی، جنگ ضد زیردریایی و حفاظت از کشتیرانی.</w:t>
      </w:r>
    </w:p>
    <w:p>
      <w:pPr>
        <w:spacing w:after="28" w:line="216" w:lineRule="auto"/>
        <w:ind w:left="259"/>
        <w:jc w:val="left"/>
      </w:pPr>
      <w:r>
        <w:rPr>
          <w:rFonts w:ascii="Arial" w:hAnsi="Arial"/>
          <w:color w:val="525252"/>
          <w:sz w:val="13"/>
        </w:rPr>
        <w:t>The specific functions of the Navy are to organize, train and, equip naval forces for; (1) operations at sea, including joint operations; (2) the control of vital sea areas, the protection of vital sea lanes, and the suppression of enemy sea commerce; (3) the support of occupation forces as required; (4) the seizure of minor enemy shore positions capable of reduction by such landing forces as may be comprised within the fleet organization; (5) naval reconnaissance, antisubmarine warfare, and protection of shipping.</w:t>
      </w:r>
    </w:p>
    <w:p>
      <w:pPr>
        <w:spacing w:after="20" w:line="223" w:lineRule="auto"/>
        <w:jc w:val="right"/>
        <w:bidi/>
      </w:pPr>
      <w:r>
        <w:rPr>
          <w:rFonts w:ascii="Arial" w:hAnsi="Arial"/>
          <w:sz w:val="16"/>
        </w:rPr>
        <w:t>077.05  وظایف تفنگداران دریایی ایالات متحده.</w:t>
      </w:r>
    </w:p>
    <w:p>
      <w:pPr>
        <w:spacing w:after="28" w:line="216" w:lineRule="auto"/>
        <w:ind w:left="259"/>
        <w:jc w:val="left"/>
      </w:pPr>
      <w:r>
        <w:rPr>
          <w:rFonts w:ascii="Arial" w:hAnsi="Arial"/>
          <w:color w:val="525252"/>
          <w:sz w:val="13"/>
        </w:rPr>
        <w:t>Functions of the United States Marine Corps.</w:t>
      </w:r>
    </w:p>
    <w:p>
      <w:pPr>
        <w:spacing w:after="20" w:line="223" w:lineRule="auto"/>
        <w:jc w:val="right"/>
        <w:bidi/>
      </w:pPr>
      <w:r>
        <w:rPr>
          <w:rFonts w:ascii="Arial" w:hAnsi="Arial"/>
          <w:sz w:val="16"/>
        </w:rPr>
        <w:t>077.06  وظایف ویژه سپاه تفنگداران دریایی عبارتند از: (۱) فراهم کردن نیروهای دریایی با اجزای پشتیبانی برای خدمت در تصرف یا دفاع از پایگاه‌های دریایی پیشرفته و برای انجام عملیات‌های زمینی محدود در ارتباط با آن. (۲) توسعه، در هماهنگی با ارتش و USAF، مراحل عملیات آبی خاکی که مربوط به تاکتیک‌ها، تکنیک‌ها و تجهیزات مورد استفاده توسط نیروهای فرود می‌شود. (۳) تأمین یگان‌ها و سازمان‌ها برای خدمت در کشتی‌های مسلح نیروی دریایی. (۴) تأمین یگان‌های امنیتی برای حفاظت از اموال نیروی دریایی در ایستگاه‌ها و پایگاه‌های دریایی. و (۵) به دستور مقام مناسب، مأموریت‌ها و گروه‌هایی را برای خدمت در کشورهای خارجی که ممکن است برای حمایت از سیاست‌ها و منافع ملی ایالات متحده لازم باشد، فراهم کند.</w:t>
      </w:r>
    </w:p>
    <w:p>
      <w:pPr>
        <w:spacing w:after="28" w:line="216" w:lineRule="auto"/>
        <w:ind w:left="259"/>
        <w:jc w:val="left"/>
      </w:pPr>
      <w:r>
        <w:rPr>
          <w:rFonts w:ascii="Arial" w:hAnsi="Arial"/>
          <w:color w:val="525252"/>
          <w:sz w:val="13"/>
        </w:rPr>
        <w:t>The Marine Corps specific functions are: (1) to provide marine forces with supporting components for service in the seizure or defense of advanced naval bases and for the conduct of limited land operations in connection therewith; (2) to develop, in coordination with the Army and the USAF, those phases of amphibious operations which pertain to the tactics, technique, and equipment employed by landing forces; (3) to provide detachments and organizations for service on armed vessels of the Navy; (4) to provide security detachments for protection of naval property at naval stations and bases; and (5) to provide, as directed by proper authority, such missions and detachments for service in foreign countries as may be required to support the national policies and interests of the United States.</w:t>
      </w:r>
    </w:p>
    <w:p>
      <w:pPr>
        <w:spacing w:after="20" w:line="223" w:lineRule="auto"/>
        <w:jc w:val="right"/>
        <w:bidi/>
      </w:pPr>
      <w:r>
        <w:rPr>
          <w:rFonts w:ascii="Arial" w:hAnsi="Arial"/>
          <w:sz w:val="16"/>
        </w:rPr>
        <w:t>077.07  سپاه تفنگداران دریایی، طبق دستور مقام مناسب، مأموریت‌ها و دسته‌هایی را برای خدمت در کشورهای خارجی که ممکن است برای حمایت از سیاست‌ها و منافع ملی ایالات متحده لازم باشد، فراهم می‌کند و به ارتش و USAF در انجام مأموریت‌هایشان کمک می‌کند.</w:t>
      </w:r>
    </w:p>
    <w:p>
      <w:pPr>
        <w:spacing w:after="28" w:line="216" w:lineRule="auto"/>
        <w:ind w:left="259"/>
        <w:jc w:val="left"/>
      </w:pPr>
      <w:r>
        <w:rPr>
          <w:rFonts w:ascii="Arial" w:hAnsi="Arial"/>
          <w:color w:val="525252"/>
          <w:sz w:val="13"/>
        </w:rPr>
        <w:t>The Marine Corps will provide, as directed by proper authority, such missions, and detachments for service in foreign countries as may be required to support the national policies and interests of the United States and will assist the Army and the USAF in the accomplishment of their missions.</w:t>
      </w:r>
    </w:p>
    <w:p>
      <w:pPr>
        <w:spacing w:after="20" w:line="223" w:lineRule="auto"/>
        <w:jc w:val="right"/>
        <w:bidi/>
      </w:pPr>
      <w:r>
        <w:rPr>
          <w:rFonts w:ascii="Arial" w:hAnsi="Arial"/>
          <w:sz w:val="16"/>
        </w:rPr>
        <w:t>077.08  وظایف گارد ساحلی ایالات متحده.</w:t>
      </w:r>
    </w:p>
    <w:p>
      <w:pPr>
        <w:spacing w:after="28" w:line="216" w:lineRule="auto"/>
        <w:ind w:left="259"/>
        <w:jc w:val="left"/>
      </w:pPr>
      <w:r>
        <w:rPr>
          <w:rFonts w:ascii="Arial" w:hAnsi="Arial"/>
          <w:color w:val="525252"/>
          <w:sz w:val="13"/>
        </w:rPr>
        <w:t>Functions of the United States Coast Guard.</w:t>
      </w:r>
    </w:p>
    <w:p>
      <w:pPr>
        <w:spacing w:after="20" w:line="223" w:lineRule="auto"/>
        <w:jc w:val="right"/>
        <w:bidi/>
      </w:pPr>
      <w:r>
        <w:rPr>
          <w:rFonts w:ascii="Arial" w:hAnsi="Arial"/>
          <w:sz w:val="16"/>
        </w:rPr>
        <w:t>077.09  گارد ساحلی ایالات متحده یک خدمت نظامی و شاخه‌ای از نیروهای مسلح ایالات متحده است.</w:t>
      </w:r>
    </w:p>
    <w:p>
      <w:pPr>
        <w:spacing w:after="28" w:line="216" w:lineRule="auto"/>
        <w:ind w:left="259"/>
        <w:jc w:val="left"/>
      </w:pPr>
      <w:r>
        <w:rPr>
          <w:rFonts w:ascii="Arial" w:hAnsi="Arial"/>
          <w:color w:val="525252"/>
          <w:sz w:val="13"/>
        </w:rPr>
        <w:t>The U.S. Coast Guard is a military service and a branch of the U.S. Armed Forces at all times.</w:t>
      </w:r>
    </w:p>
    <w:p>
      <w:pPr>
        <w:spacing w:after="20" w:line="223" w:lineRule="auto"/>
        <w:jc w:val="right"/>
        <w:bidi/>
      </w:pPr>
      <w:r>
        <w:rPr>
          <w:rFonts w:ascii="Arial" w:hAnsi="Arial"/>
          <w:sz w:val="16"/>
        </w:rPr>
        <w:t>077.10  این یک خدمت در وزارت امنیت داخلی است، مگر زمانی که به‌عنوان بخشی از نیروی دریایی برای اعلام جنگ یا زمانی که رئیس جمهور ایالات متحده دستور می‌دهد.</w:t>
      </w:r>
    </w:p>
    <w:p>
      <w:pPr>
        <w:spacing w:after="28" w:line="216" w:lineRule="auto"/>
        <w:ind w:left="259"/>
        <w:jc w:val="left"/>
      </w:pPr>
      <w:r>
        <w:rPr>
          <w:rFonts w:ascii="Arial" w:hAnsi="Arial"/>
          <w:color w:val="525252"/>
          <w:sz w:val="13"/>
        </w:rPr>
        <w:t>It is a service in the Department of Homeland Security except when operating as part of the Navy on declaration of war or when the U.S. President directs.</w:t>
      </w:r>
    </w:p>
    <w:p>
      <w:pPr>
        <w:spacing w:after="20" w:line="223" w:lineRule="auto"/>
        <w:jc w:val="right"/>
        <w:bidi/>
      </w:pPr>
      <w:r>
        <w:rPr>
          <w:rFonts w:ascii="Arial" w:hAnsi="Arial"/>
          <w:sz w:val="16"/>
        </w:rPr>
        <w:t>077.11  وظایف اصلی گارد ساحلی عبارتند از: (۱) اجرا یا کمک به اجرای کلیه قوانین فدرال قابل اجرا در، زیر و بر روی دریاهای آزاد و آبهای مشمول صلاحیت ایالات متحده. (۲) درگیر نظارت هوایی دریایی یا ممنوعیت برای اجرا یا کمک به اجرای قوانین ایالات متحده. (۳) اجرای قوانین و انتشار و اجرای مقررات برای ارتقای ایمنی جان و مال در و زیر دریاها و آب‌های آزاد که تحت صلاحیت ایالات متحده است، که تمام موضوعاتی را پوشش می‌دهد که به‌طور خاص توسط قانون به برخی از بخش‌های اجرایی دیگر تفویض نشده است. (۴) توسعه، ایجاد، نگهداری، و بهره‌برداری با توجه به الزامات دفاع ملی، کمک به کشتیرانی دریایی، تأسیسات یخ شکن، و تأسیسات نجات برای ارتقای ایمنی در، زیر و روی دریاهای آزاد و آب‌های مشمول صلاحیت ایالات متحده؛ (۵) بر اساس موافقت نامه‌های بین المللی، تأسیسات یخ شکن را در، زیر و بالای آب‌های غیر از دریاهای آزاد و آب‌های مشمول صلاحیت ایالات متحده توسعه، ایجاد، نگهداری و راه‌اندازی کند. (۶) در تحقیقات اقیانوس شناسی در دریاهای آزاد و در آب‌های مشمول صلاحیت ایالات متحده شرکت کنند. و (۷) حفظ وضعیت آمادگی برای عملکرد به‌عنوان یک سرویس تخصصی در نیروی دریایی در زمان جنگ، از جمله انجام مسئولیت‌های فرماندهی منطقه دفاع دریایی.</w:t>
      </w:r>
    </w:p>
    <w:p>
      <w:pPr>
        <w:spacing w:after="28" w:line="216" w:lineRule="auto"/>
        <w:ind w:left="259"/>
        <w:jc w:val="left"/>
      </w:pPr>
      <w:r>
        <w:rPr>
          <w:rFonts w:ascii="Arial" w:hAnsi="Arial"/>
          <w:color w:val="525252"/>
          <w:sz w:val="13"/>
        </w:rPr>
        <w:t>Major functions of the Coast Guard are to: (1) enforce or assist in the enforcement of all applicable federal laws on, under, and over the high seas and waters subject to the jurisdiction of the United States; (2) engage in maritime air surveillance or interdiction to enforce or assist in the enforcement of the laws of the United States; (3) administer laws and promulgate and enforce regulations for the promotion of safety of life and property on and under the high seas and waters subject to the jurisdiction of the United States, covering all matters not specifically delegated by law to some other executive department; (4) develop, establish, maintain, and operate, with due regard to the requirements of national defense, aids to maritime navigation, icebreaking facilities, and rescue facilities for the promotion of safety on, under, and over the high seas and waters subject to the jurisdiction of the United States; (5) pursuant to international agreements, develop, establish, maintain, and operate icebreaking facilities on, under, and over waters other than the high seas and waters subject to the jurisdiction of the United States; (6) engage in oceanographic research of the high seas and in waters subject to the jurisdiction of the United States; and (7) maintain a state of readiness to function as a specialized service in the Navy in time of war, including the fulfillment of Maritime Defense Zone command responsibilities.</w:t>
      </w:r>
    </w:p>
    <w:p>
      <w:pPr>
        <w:spacing w:after="20" w:line="223" w:lineRule="auto"/>
        <w:jc w:val="right"/>
        <w:bidi/>
      </w:pPr>
      <w:r>
        <w:rPr>
          <w:rFonts w:ascii="Arial" w:hAnsi="Arial"/>
          <w:sz w:val="16"/>
        </w:rPr>
        <w:t>077.12  توابع USAF.</w:t>
      </w:r>
    </w:p>
    <w:p>
      <w:pPr>
        <w:spacing w:after="28" w:line="216" w:lineRule="auto"/>
        <w:ind w:left="259"/>
        <w:jc w:val="left"/>
      </w:pPr>
      <w:r>
        <w:rPr>
          <w:rFonts w:ascii="Arial" w:hAnsi="Arial"/>
          <w:color w:val="525252"/>
          <w:sz w:val="13"/>
        </w:rPr>
        <w:t>Functions of the USAF.</w:t>
      </w:r>
    </w:p>
    <w:p>
      <w:pPr>
        <w:spacing w:after="20" w:line="223" w:lineRule="auto"/>
        <w:jc w:val="right"/>
        <w:bidi/>
      </w:pPr>
      <w:r>
        <w:rPr>
          <w:rFonts w:ascii="Arial" w:hAnsi="Arial"/>
          <w:sz w:val="16"/>
        </w:rPr>
        <w:t>077.13  USAF شامل تمام نیروهای هوانوردی نظامی، اعم از رزمی و خدماتی است که به‌طور خاص تعیین نشده‌اند، و در درجه اول برای عملیات تهاجمی و تدافعی هوایی سریع و پایدار سازماندهی شده، آموزش دیده و مجهز است.</w:t>
      </w:r>
    </w:p>
    <w:p>
      <w:pPr>
        <w:spacing w:after="28" w:line="216" w:lineRule="auto"/>
        <w:ind w:left="259"/>
        <w:jc w:val="left"/>
      </w:pPr>
      <w:r>
        <w:rPr>
          <w:rFonts w:ascii="Arial" w:hAnsi="Arial"/>
          <w:color w:val="525252"/>
          <w:sz w:val="13"/>
        </w:rPr>
        <w:t>The USAF includes all military aviation forces, both combat and service, not otherwise specifically assigned, and is organized, trained, and equipped primarily for prompt and sustained air offensive and defensive operations.</w:t>
      </w:r>
    </w:p>
    <w:p>
      <w:pPr>
        <w:spacing w:after="20" w:line="223" w:lineRule="auto"/>
        <w:jc w:val="right"/>
        <w:bidi/>
      </w:pPr>
      <w:r>
        <w:rPr>
          <w:rFonts w:ascii="Arial" w:hAnsi="Arial"/>
          <w:sz w:val="16"/>
        </w:rPr>
        <w:t>077.14  USAF مسئول آمادگی لازم برای تعقیب قانونی مؤثر جنگ است مگر در مواردی که تعیین شده باشد، و همچنین برای گسترش اجزای زمان صلح USAF برای رفع نیازهای جنگ.</w:t>
      </w:r>
    </w:p>
    <w:p>
      <w:pPr>
        <w:spacing w:after="28" w:line="216" w:lineRule="auto"/>
        <w:ind w:left="259"/>
        <w:jc w:val="left"/>
      </w:pPr>
      <w:r>
        <w:rPr>
          <w:rFonts w:ascii="Arial" w:hAnsi="Arial"/>
          <w:color w:val="525252"/>
          <w:sz w:val="13"/>
        </w:rPr>
        <w:t>The USAF is responsible for the preparation necessary for the effective prosecution of war except as otherwise assigned, and for the expansion of the peacetime components of the USAF to meet the needs of war.</w:t>
      </w:r>
    </w:p>
    <w:p>
      <w:pPr>
        <w:spacing w:after="20" w:line="223" w:lineRule="auto"/>
        <w:jc w:val="right"/>
        <w:bidi/>
      </w:pPr>
      <w:r>
        <w:rPr>
          <w:rFonts w:ascii="Arial" w:hAnsi="Arial"/>
          <w:sz w:val="16"/>
        </w:rPr>
        <w:t>077.15  USAF وسایل هماهنگی پدافند هوایی را در بین تمام خدمات فراهم می‌کند و به ارتش و نیروی دریایی کمک خواهد کرد.</w:t>
      </w:r>
    </w:p>
    <w:p>
      <w:pPr>
        <w:spacing w:after="28" w:line="216" w:lineRule="auto"/>
        <w:ind w:left="259"/>
        <w:jc w:val="left"/>
      </w:pPr>
      <w:r>
        <w:rPr>
          <w:rFonts w:ascii="Arial" w:hAnsi="Arial"/>
          <w:color w:val="525252"/>
          <w:sz w:val="13"/>
        </w:rPr>
        <w:t>The USAF will provide the means for coordination of air defense among all services and will assist the Army and Navy in</w:t>
      </w:r>
    </w:p>
    <w:p>
      <w:r>
        <w:br w:type="page"/>
      </w:r>
    </w:p>
    <w:p>
      <w:pPr>
        <w:spacing w:after="60"/>
        <w:jc w:val="right"/>
        <w:bidi/>
      </w:pPr>
      <w:r>
        <w:rPr>
          <w:rFonts w:ascii="Arial" w:hAnsi="Arial"/>
          <w:b/>
          <w:color w:val="1F4D78"/>
          <w:sz w:val="19"/>
        </w:rPr>
        <w:t>هفتهٔ 78  |  صفحهٔ منبع: 94</w:t>
      </w:r>
    </w:p>
    <w:p>
      <w:pPr>
        <w:spacing w:after="20" w:line="223" w:lineRule="auto"/>
        <w:jc w:val="right"/>
        <w:bidi/>
      </w:pPr>
      <w:r>
        <w:rPr>
          <w:rFonts w:ascii="Arial" w:hAnsi="Arial"/>
          <w:sz w:val="16"/>
        </w:rPr>
        <w:t>078.01  انجام مأموریت‌های خود، از جمله ارائه خدمات و لوازم مشترک که توسط مقامات مربوطه تعیین شده است.</w:t>
      </w:r>
    </w:p>
    <w:p>
      <w:pPr>
        <w:spacing w:after="28" w:line="216" w:lineRule="auto"/>
        <w:ind w:left="259"/>
        <w:jc w:val="left"/>
      </w:pPr>
      <w:r>
        <w:rPr>
          <w:rFonts w:ascii="Arial" w:hAnsi="Arial"/>
          <w:color w:val="525252"/>
          <w:sz w:val="13"/>
        </w:rPr>
        <w:t>accomplishment of their missions, including the provision of common services and supplies as determined by proper authority.</w:t>
      </w:r>
    </w:p>
    <w:p>
      <w:pPr>
        <w:spacing w:after="20" w:line="223" w:lineRule="auto"/>
        <w:jc w:val="right"/>
        <w:bidi/>
      </w:pPr>
      <w:r>
        <w:rPr>
          <w:rFonts w:ascii="Arial" w:hAnsi="Arial"/>
          <w:sz w:val="16"/>
        </w:rPr>
        <w:t>078.02  وظایف خاص USAF سازماندهی، آموزش و تجهیز نیروهای هوایی برای موارد زیر است: (۱) عملیات هوایی از جمله عملیات مشترک. (۲) کسب و حفظ برتری هوایی عمومی؛ (۳) ایجاد برتری هوایی محلی در جا و در صورت لزوم. (۴) نیروی استراتژیک ایالات متحده و شناسایی استراتژیک هوایی. (۵) حمل و نقل هوایی و پشتیبانی از عملیات هوایی؛ (۶) پشتیبانی هوایی از نیروهای زمینی و نیروی دریایی، از جمله حمایت از نیروهای اشغالگر. (۷) حمل و نقل هوایی برای نیروهای مسلح ایالات متحده، به جز موارد ارائه شده توسط نیروی دریایی؛ و (۸) توسعه تسلیحات، تاکتیک‌ها، تکنیک‌ها، سازماندهی و تجهیزات عناصر رزمی و خدماتی USAF، هماهنگی با ارتش و نیروی دریایی در مورد همه جنبه‌های نگرانی مشترک، از جمله موارد مربوط به عملیات آبی خاکی و هوابرد.</w:t>
      </w:r>
    </w:p>
    <w:p>
      <w:pPr>
        <w:spacing w:after="28" w:line="216" w:lineRule="auto"/>
        <w:ind w:left="259"/>
        <w:jc w:val="left"/>
      </w:pPr>
      <w:r>
        <w:rPr>
          <w:rFonts w:ascii="Arial" w:hAnsi="Arial"/>
          <w:color w:val="525252"/>
          <w:sz w:val="13"/>
        </w:rPr>
        <w:t>The specific functions of the USAF are to organize, train, and equip air forces for: (1) air operations including joint operations; (2) gaining and maintaining general air supremacy; (3) establishing local air superiority where and as required; (4) the strategic force of the United States and strategic air reconnaissance; (5) airlift and support for airborne operations; (6) air support to land forces and naval forces, including support of occupation forces; (7) air transport for the U.S. Armed Forces, except as provided by the Navy; and (8) to develop weapons, tactics, technique, organization and equipment of USAF combat and service elements, coordinating with the Army and Navy on all aspects of joint concern, including those which pertain to amphibious and airborne operations.</w:t>
      </w:r>
    </w:p>
    <w:p>
      <w:pPr>
        <w:spacing w:after="20" w:line="223" w:lineRule="auto"/>
        <w:jc w:val="right"/>
        <w:bidi/>
      </w:pPr>
      <w:r>
        <w:rPr>
          <w:rFonts w:ascii="Arial" w:hAnsi="Arial"/>
          <w:sz w:val="16"/>
        </w:rPr>
        <w:t>078.03  توابع نیروی فضایی ایالات متحده.</w:t>
      </w:r>
    </w:p>
    <w:p>
      <w:pPr>
        <w:spacing w:after="28" w:line="216" w:lineRule="auto"/>
        <w:ind w:left="259"/>
        <w:jc w:val="left"/>
      </w:pPr>
      <w:r>
        <w:rPr>
          <w:rFonts w:ascii="Arial" w:hAnsi="Arial"/>
          <w:color w:val="525252"/>
          <w:sz w:val="13"/>
        </w:rPr>
        <w:t>Functions of the United States Space Force.</w:t>
      </w:r>
    </w:p>
    <w:p>
      <w:pPr>
        <w:spacing w:after="20" w:line="223" w:lineRule="auto"/>
        <w:jc w:val="right"/>
        <w:bidi/>
      </w:pPr>
      <w:r>
        <w:rPr>
          <w:rFonts w:ascii="Arial" w:hAnsi="Arial"/>
          <w:sz w:val="16"/>
        </w:rPr>
        <w:t>078.04  دپارتمان نیروی هوایی متشکل از نیروهای هوایی، فضایی و فضای سایبری، اعم از رزمی و پشتیبانی است که به نحو دیگری تعیین نشده است.</w:t>
      </w:r>
    </w:p>
    <w:p>
      <w:pPr>
        <w:spacing w:after="28" w:line="216" w:lineRule="auto"/>
        <w:ind w:left="259"/>
        <w:jc w:val="left"/>
      </w:pPr>
      <w:r>
        <w:rPr>
          <w:rFonts w:ascii="Arial" w:hAnsi="Arial"/>
          <w:color w:val="525252"/>
          <w:sz w:val="13"/>
        </w:rPr>
        <w:t>The Department of the Air Force is composed of air, space and cyberspace forces, both combat and support, not otherwise assigned.</w:t>
      </w:r>
    </w:p>
    <w:p>
      <w:pPr>
        <w:spacing w:after="20" w:line="223" w:lineRule="auto"/>
        <w:jc w:val="right"/>
        <w:bidi/>
      </w:pPr>
      <w:r>
        <w:rPr>
          <w:rFonts w:ascii="Arial" w:hAnsi="Arial"/>
          <w:sz w:val="16"/>
        </w:rPr>
        <w:t>078.05  USAF و نیروی فضایی نیروهای هوایی و فضایی اصلی کشور هستند و مسئول آماده‌سازی نیروهای لازم برای تعقیب مؤثر جنگ هستند.</w:t>
      </w:r>
    </w:p>
    <w:p>
      <w:pPr>
        <w:spacing w:after="28" w:line="216" w:lineRule="auto"/>
        <w:ind w:left="259"/>
        <w:jc w:val="left"/>
      </w:pPr>
      <w:r>
        <w:rPr>
          <w:rFonts w:ascii="Arial" w:hAnsi="Arial"/>
          <w:color w:val="525252"/>
          <w:sz w:val="13"/>
        </w:rPr>
        <w:t>The USAF and Space Force are the nation’s principal air and space forces and are responsible for the preparation of forces necessary for the effective prosecution of war.</w:t>
      </w:r>
    </w:p>
    <w:p>
      <w:pPr>
        <w:spacing w:after="20" w:line="223" w:lineRule="auto"/>
        <w:jc w:val="right"/>
        <w:bidi/>
      </w:pPr>
      <w:r>
        <w:rPr>
          <w:rFonts w:ascii="Arial" w:hAnsi="Arial"/>
          <w:sz w:val="16"/>
        </w:rPr>
        <w:t>078.06  وزارت نیروی هوایی نیروهای هوایی، فضایی و فضای مجازی را سازماندهی، آموزش، تجهیز و تأمین می‌کند تا عملیات رزمی سریع و مستمر، مشارکت نظامی و همکاری امنیتی در دفاع از ملت و حمایت از سایر خدمات نظامی و نیروهای مشترک انجام شود.</w:t>
      </w:r>
    </w:p>
    <w:p>
      <w:pPr>
        <w:spacing w:after="28" w:line="216" w:lineRule="auto"/>
        <w:ind w:left="259"/>
        <w:jc w:val="left"/>
      </w:pPr>
      <w:r>
        <w:rPr>
          <w:rFonts w:ascii="Arial" w:hAnsi="Arial"/>
          <w:color w:val="525252"/>
          <w:sz w:val="13"/>
        </w:rPr>
        <w:t>The Department of the Air Force shall organize, train, equip, and provide air, space, and cyberspace forces for the conduct of prompt and sustained combat operations, military engagement, and security cooperation in defense of the nation, and to support the other Military Services and joint forces.</w:t>
      </w:r>
    </w:p>
    <w:p>
      <w:pPr>
        <w:spacing w:after="20" w:line="223" w:lineRule="auto"/>
        <w:jc w:val="right"/>
        <w:bidi/>
      </w:pPr>
      <w:r>
        <w:rPr>
          <w:rFonts w:ascii="Arial" w:hAnsi="Arial"/>
          <w:sz w:val="16"/>
        </w:rPr>
        <w:t>078.07  USAF و نیروی فضایی هوشیاری جهانی، دسترسی جهانی و قدرت جهانی را در قالب نیروهای مستقر در محل، پیشرو و اعزامی به کشور ارائه خواهند کرد که دارای ظرفیت بازدارندگی از تجاوز و خشونت توسط بازیگران دولتی، غیردولتی و فردی برای جلوگیری از درگیری هستند، و در صورت شکست بازدارندگی، عملیات نظامی ایالات متحده در دامنه کامل مورد پیگرد قانونی قرار خواهند گرفت.</w:t>
      </w:r>
    </w:p>
    <w:p>
      <w:pPr>
        <w:spacing w:after="28" w:line="216" w:lineRule="auto"/>
        <w:ind w:left="259"/>
        <w:jc w:val="left"/>
      </w:pPr>
      <w:r>
        <w:rPr>
          <w:rFonts w:ascii="Arial" w:hAnsi="Arial"/>
          <w:color w:val="525252"/>
          <w:sz w:val="13"/>
        </w:rPr>
        <w:t>The USAF and Space Force will provide the nation with global vigilance, global reach, and global power in the form of in-place, forward-based, and expeditionary forces possessing the capacity to deter aggression and violence by state, non-state, and individual actors to prevent conflict, and, should deterrence fail, prosecute the full range of military operations in support of U.S. national interests.</w:t>
      </w:r>
    </w:p>
    <w:p>
      <w:pPr>
        <w:spacing w:after="20" w:line="223" w:lineRule="auto"/>
        <w:jc w:val="right"/>
        <w:bidi/>
      </w:pPr>
      <w:r>
        <w:rPr>
          <w:rFonts w:ascii="Arial" w:hAnsi="Arial"/>
          <w:sz w:val="16"/>
        </w:rPr>
        <w:t>078.08  نیروی فضایی، در داخل وزارت نیروی هوایی، باید مفاهیم، ​​دکترین، تاکتیک‌ها، تکنیک‌ها و رویه‌ها را توسعه دهد و سازماندهی، آموزش، تجهیز، و نیروهایی را برای انجام وظایف خاص زیر فراهم کند: (۱) آزادی عملیات برای ایالات متحده در، از و به فضا را فراهم کند.</w:t>
      </w:r>
    </w:p>
    <w:p>
      <w:pPr>
        <w:spacing w:after="28" w:line="216" w:lineRule="auto"/>
        <w:ind w:left="259"/>
        <w:jc w:val="left"/>
      </w:pPr>
      <w:r>
        <w:rPr>
          <w:rFonts w:ascii="Arial" w:hAnsi="Arial"/>
          <w:color w:val="525252"/>
          <w:sz w:val="13"/>
        </w:rPr>
        <w:t>The Space Force, within the Department of the Air Force, shall develop concepts, doctrine, tactics, techniques, and procedures and organize, train, equip, and provide forces to perform the following specific functions: (1) provide freedom of operation for the United States in, from, and to space.</w:t>
      </w:r>
    </w:p>
    <w:p>
      <w:pPr>
        <w:spacing w:after="20" w:line="223" w:lineRule="auto"/>
        <w:jc w:val="right"/>
        <w:bidi/>
      </w:pPr>
      <w:r>
        <w:rPr>
          <w:rFonts w:ascii="Arial" w:hAnsi="Arial"/>
          <w:sz w:val="16"/>
        </w:rPr>
        <w:t>078.09  (۲) عملیات فضایی سریع و پایدار را ارائه می‌دهد.</w:t>
      </w:r>
    </w:p>
    <w:p>
      <w:pPr>
        <w:spacing w:after="28" w:line="216" w:lineRule="auto"/>
        <w:ind w:left="259"/>
        <w:jc w:val="left"/>
      </w:pPr>
      <w:r>
        <w:rPr>
          <w:rFonts w:ascii="Arial" w:hAnsi="Arial"/>
          <w:color w:val="525252"/>
          <w:sz w:val="13"/>
        </w:rPr>
        <w:t>(2) provide prompt and sustained space operations.</w:t>
      </w:r>
    </w:p>
    <w:p>
      <w:pPr>
        <w:spacing w:after="20" w:line="223" w:lineRule="auto"/>
        <w:jc w:val="right"/>
        <w:bidi/>
      </w:pPr>
      <w:r>
        <w:rPr>
          <w:rFonts w:ascii="Arial" w:hAnsi="Arial"/>
          <w:sz w:val="16"/>
        </w:rPr>
        <w:t>078.10  (۳) از منافع ایالات متحده در فضا محافظت کنید.</w:t>
      </w:r>
    </w:p>
    <w:p>
      <w:pPr>
        <w:spacing w:after="28" w:line="216" w:lineRule="auto"/>
        <w:ind w:left="259"/>
        <w:jc w:val="left"/>
      </w:pPr>
      <w:r>
        <w:rPr>
          <w:rFonts w:ascii="Arial" w:hAnsi="Arial"/>
          <w:color w:val="525252"/>
          <w:sz w:val="13"/>
        </w:rPr>
        <w:t>(3) protect the interests of the United States in space.</w:t>
      </w:r>
    </w:p>
    <w:p>
      <w:pPr>
        <w:spacing w:after="20" w:line="223" w:lineRule="auto"/>
        <w:jc w:val="right"/>
        <w:bidi/>
      </w:pPr>
      <w:r>
        <w:rPr>
          <w:rFonts w:ascii="Arial" w:hAnsi="Arial"/>
          <w:sz w:val="16"/>
        </w:rPr>
        <w:t>078.11  (۴) از پرخاشگری در فضا، از و به فضا جلوگیری می‌کند.</w:t>
      </w:r>
    </w:p>
    <w:p>
      <w:pPr>
        <w:spacing w:after="28" w:line="216" w:lineRule="auto"/>
        <w:ind w:left="259"/>
        <w:jc w:val="left"/>
      </w:pPr>
      <w:r>
        <w:rPr>
          <w:rFonts w:ascii="Arial" w:hAnsi="Arial"/>
          <w:color w:val="525252"/>
          <w:sz w:val="13"/>
        </w:rPr>
        <w:t>(4) deter aggression in, from, and to space.</w:t>
      </w:r>
    </w:p>
    <w:p>
      <w:pPr>
        <w:spacing w:after="20" w:line="223" w:lineRule="auto"/>
        <w:jc w:val="right"/>
        <w:bidi/>
      </w:pPr>
      <w:r>
        <w:rPr>
          <w:rFonts w:ascii="Arial" w:hAnsi="Arial"/>
          <w:sz w:val="16"/>
        </w:rPr>
        <w:t>078.12  (۵) عملیات فضایی را انجام دهد.</w:t>
      </w:r>
    </w:p>
    <w:p>
      <w:pPr>
        <w:spacing w:after="28" w:line="216" w:lineRule="auto"/>
        <w:ind w:left="259"/>
        <w:jc w:val="left"/>
      </w:pPr>
      <w:r>
        <w:rPr>
          <w:rFonts w:ascii="Arial" w:hAnsi="Arial"/>
          <w:color w:val="525252"/>
          <w:sz w:val="13"/>
        </w:rPr>
        <w:t>(5) conduct space operations.</w:t>
      </w:r>
    </w:p>
    <w:p>
      <w:r>
        <w:br w:type="page"/>
      </w:r>
    </w:p>
    <w:p>
      <w:pPr>
        <w:spacing w:after="60"/>
        <w:jc w:val="right"/>
        <w:bidi/>
      </w:pPr>
      <w:r>
        <w:rPr>
          <w:rFonts w:ascii="Arial" w:hAnsi="Arial"/>
          <w:b/>
          <w:color w:val="1F4D78"/>
          <w:sz w:val="19"/>
        </w:rPr>
        <w:t>هفتهٔ 79  |  صفحهٔ منبع: 95</w:t>
      </w:r>
    </w:p>
    <w:p>
      <w:pPr>
        <w:spacing w:before="60" w:after="28"/>
        <w:jc w:val="right"/>
        <w:bidi/>
      </w:pPr>
      <w:r>
        <w:rPr>
          <w:b/>
          <w:color w:val="1F4D78"/>
          <w:sz w:val="18"/>
        </w:rPr>
        <w:t>بخش 5C-ساختار فرماندهی نظامی</w:t>
      </w:r>
    </w:p>
    <w:p>
      <w:pPr>
        <w:spacing w:after="20"/>
        <w:ind w:left="259"/>
        <w:jc w:val="left"/>
      </w:pPr>
      <w:r>
        <w:rPr>
          <w:color w:val="555555"/>
          <w:sz w:val="12"/>
        </w:rPr>
        <w:t>Section 5C—Military Command Structure</w:t>
      </w:r>
    </w:p>
    <w:p>
      <w:pPr>
        <w:spacing w:before="60" w:after="28"/>
        <w:jc w:val="right"/>
        <w:bidi/>
      </w:pPr>
      <w:r>
        <w:rPr>
          <w:b/>
          <w:color w:val="1F4D78"/>
          <w:sz w:val="18"/>
        </w:rPr>
        <w:t>5.6. دستورات ترکیبی</w:t>
      </w:r>
    </w:p>
    <w:p>
      <w:pPr>
        <w:spacing w:after="20"/>
        <w:ind w:left="259"/>
        <w:jc w:val="left"/>
      </w:pPr>
      <w:r>
        <w:rPr>
          <w:color w:val="555555"/>
          <w:sz w:val="12"/>
        </w:rPr>
        <w:t>5.6. Combined Commands</w:t>
      </w:r>
    </w:p>
    <w:p>
      <w:pPr>
        <w:spacing w:after="20" w:line="223" w:lineRule="auto"/>
        <w:jc w:val="right"/>
        <w:bidi/>
      </w:pPr>
      <w:r>
        <w:rPr>
          <w:rFonts w:ascii="Arial" w:hAnsi="Arial"/>
          <w:sz w:val="16"/>
        </w:rPr>
        <w:t>079.03  فرماندهی ترکیبی شامل دو یا چند نیرو یا سازمان از دو یا چند متحد است که با هم عمل می‌کنند.</w:t>
      </w:r>
    </w:p>
    <w:p>
      <w:pPr>
        <w:spacing w:after="28" w:line="216" w:lineRule="auto"/>
        <w:ind w:left="259"/>
        <w:jc w:val="left"/>
      </w:pPr>
      <w:r>
        <w:rPr>
          <w:rFonts w:ascii="Arial" w:hAnsi="Arial"/>
          <w:color w:val="525252"/>
          <w:sz w:val="13"/>
        </w:rPr>
        <w:t>Combined commands consist of two or more forces or agencies of two or more allies operating together.</w:t>
      </w:r>
    </w:p>
    <w:p>
      <w:pPr>
        <w:spacing w:after="20" w:line="223" w:lineRule="auto"/>
        <w:jc w:val="right"/>
        <w:bidi/>
      </w:pPr>
      <w:r>
        <w:rPr>
          <w:rFonts w:ascii="Arial" w:hAnsi="Arial"/>
          <w:sz w:val="16"/>
        </w:rPr>
        <w:t>079.04  مأموریت‌ها و مسئولیت‌های ترکیبی (از جمله مسئولیت‌های فرماندهی) باید توافق‌نامه‌های چندملیتی مربوطه را ایجاد، اختصاص دهند و مطابقت دهند.</w:t>
      </w:r>
    </w:p>
    <w:p>
      <w:pPr>
        <w:spacing w:after="28" w:line="216" w:lineRule="auto"/>
        <w:ind w:left="259"/>
        <w:jc w:val="left"/>
      </w:pPr>
      <w:r>
        <w:rPr>
          <w:rFonts w:ascii="Arial" w:hAnsi="Arial"/>
          <w:color w:val="525252"/>
          <w:sz w:val="13"/>
        </w:rPr>
        <w:t>Combined missions and responsibilities (including command responsibilities) must establish, assign, and conform to relevant multinational agreements.</w:t>
      </w:r>
    </w:p>
    <w:p>
      <w:pPr>
        <w:spacing w:after="20" w:line="223" w:lineRule="auto"/>
        <w:jc w:val="right"/>
        <w:bidi/>
      </w:pPr>
      <w:r>
        <w:rPr>
          <w:rFonts w:ascii="Arial" w:hAnsi="Arial"/>
          <w:sz w:val="16"/>
        </w:rPr>
        <w:t>079.05  به‌طور معمول، یک فرماندهی ترکیبی تحت شرایط یک معاهده، اتحاد یا توافقنامه دوجانبه بین یا بین کشورهای مربوطه عمل می‌کند.</w:t>
      </w:r>
    </w:p>
    <w:p>
      <w:pPr>
        <w:spacing w:after="28" w:line="216" w:lineRule="auto"/>
        <w:ind w:left="259"/>
        <w:jc w:val="left"/>
      </w:pPr>
      <w:r>
        <w:rPr>
          <w:rFonts w:ascii="Arial" w:hAnsi="Arial"/>
          <w:color w:val="525252"/>
          <w:sz w:val="13"/>
        </w:rPr>
        <w:t>Normally, a combined command operates under the terms of a treaty, alliance, or bilateral agreement between or among the nations concerned.</w:t>
      </w:r>
    </w:p>
    <w:p>
      <w:pPr>
        <w:spacing w:after="20" w:line="223" w:lineRule="auto"/>
        <w:jc w:val="right"/>
        <w:bidi/>
      </w:pPr>
      <w:r>
        <w:rPr>
          <w:rFonts w:ascii="Arial" w:hAnsi="Arial"/>
          <w:sz w:val="16"/>
        </w:rPr>
        <w:t>079.06  نمونه‌هایی از دستورات ترکیبی عبارتند از: فرماندهی دفاع هوافضای آمریکای شمالی، فرماندهی نیروهای ترکیبی کره، و عملیات فرماندهی متفقین.</w:t>
      </w:r>
    </w:p>
    <w:p>
      <w:pPr>
        <w:spacing w:after="28" w:line="216" w:lineRule="auto"/>
        <w:ind w:left="259"/>
        <w:jc w:val="left"/>
      </w:pPr>
      <w:r>
        <w:rPr>
          <w:rFonts w:ascii="Arial" w:hAnsi="Arial"/>
          <w:color w:val="525252"/>
          <w:sz w:val="13"/>
        </w:rPr>
        <w:t>Examples of combined commands are: North American Aerospace Defense Command, Combined Forces Command Korea, and Allied Command Operations.</w:t>
      </w:r>
    </w:p>
    <w:p>
      <w:pPr>
        <w:spacing w:before="60" w:after="28"/>
        <w:jc w:val="right"/>
        <w:bidi/>
      </w:pPr>
      <w:r>
        <w:rPr>
          <w:b/>
          <w:color w:val="1F4D78"/>
          <w:sz w:val="18"/>
        </w:rPr>
        <w:t>5.7. فرماندهی رزمندگان متحد</w:t>
      </w:r>
    </w:p>
    <w:p>
      <w:pPr>
        <w:spacing w:after="20"/>
        <w:ind w:left="259"/>
        <w:jc w:val="left"/>
      </w:pPr>
      <w:r>
        <w:rPr>
          <w:color w:val="555555"/>
          <w:sz w:val="12"/>
        </w:rPr>
        <w:t>5.7. Unified Combatant Commands</w:t>
      </w:r>
    </w:p>
    <w:p>
      <w:pPr>
        <w:spacing w:after="20" w:line="223" w:lineRule="auto"/>
        <w:jc w:val="right"/>
        <w:bidi/>
      </w:pPr>
      <w:r>
        <w:rPr>
          <w:rFonts w:ascii="Arial" w:hAnsi="Arial"/>
          <w:sz w:val="16"/>
        </w:rPr>
        <w:t>079.08  رئیس جمهور ایالات متحده، با کمک رئیس ستاد مشترک ارتش از طریق وزیر دفاع، CCMD های یکپارچه‌ای را برای انجام مأموریت‌های نظامی ایجاد می‌کند.</w:t>
      </w:r>
    </w:p>
    <w:p>
      <w:pPr>
        <w:spacing w:after="28" w:line="216" w:lineRule="auto"/>
        <w:ind w:left="259"/>
        <w:jc w:val="left"/>
      </w:pPr>
      <w:r>
        <w:rPr>
          <w:rFonts w:ascii="Arial" w:hAnsi="Arial"/>
          <w:color w:val="525252"/>
          <w:sz w:val="13"/>
        </w:rPr>
        <w:t>The U.S. President, assisted by the Chairman of the Joint Chiefs of Staff through the Secretary of Defense, establishes unified CCMDs for the performance of military missions.</w:t>
      </w:r>
    </w:p>
    <w:p>
      <w:pPr>
        <w:spacing w:after="20" w:line="223" w:lineRule="auto"/>
        <w:jc w:val="right"/>
        <w:bidi/>
      </w:pPr>
      <w:r>
        <w:rPr>
          <w:rFonts w:ascii="Arial" w:hAnsi="Arial"/>
          <w:sz w:val="16"/>
        </w:rPr>
        <w:t>079.09  CCMD های متحد یک مأموریت گسترده و مستمر متشکل از نیروهای دو یا چند بخش نظامی دارند.</w:t>
      </w:r>
    </w:p>
    <w:p>
      <w:pPr>
        <w:spacing w:after="28" w:line="216" w:lineRule="auto"/>
        <w:ind w:left="259"/>
        <w:jc w:val="left"/>
      </w:pPr>
      <w:r>
        <w:rPr>
          <w:rFonts w:ascii="Arial" w:hAnsi="Arial"/>
          <w:color w:val="525252"/>
          <w:sz w:val="13"/>
        </w:rPr>
        <w:t>Unified CCMDs have a broad, continuing mission composed of forces from two or more military departments.</w:t>
      </w:r>
    </w:p>
    <w:p>
      <w:pPr>
        <w:spacing w:after="20" w:line="223" w:lineRule="auto"/>
        <w:jc w:val="right"/>
        <w:bidi/>
      </w:pPr>
      <w:r>
        <w:rPr>
          <w:rFonts w:ascii="Arial" w:hAnsi="Arial"/>
          <w:sz w:val="16"/>
        </w:rPr>
        <w:t>079.10  تمامی واحدهایی که به یک فرماندهی رزمنده واحد اختصاص یافته یا متصل شده‌اند، تحت اختیار فرماندهی رزمی فرمانده فرماندهی رزمنده واحد و مقام کنترل اداری فرمانده جزء خدمات مربوطه باقی می‌مانند.</w:t>
      </w:r>
    </w:p>
    <w:p>
      <w:pPr>
        <w:spacing w:after="28" w:line="216" w:lineRule="auto"/>
        <w:ind w:left="259"/>
        <w:jc w:val="left"/>
      </w:pPr>
      <w:r>
        <w:rPr>
          <w:rFonts w:ascii="Arial" w:hAnsi="Arial"/>
          <w:color w:val="525252"/>
          <w:sz w:val="13"/>
        </w:rPr>
        <w:t>All units assigned or attached to a unified combatant command remain under the combatant command authority of the unified combatant command commander and the administrative control authority of the respective service component commander.</w:t>
      </w:r>
    </w:p>
    <w:p>
      <w:pPr>
        <w:spacing w:after="20" w:line="223" w:lineRule="auto"/>
        <w:jc w:val="right"/>
        <w:bidi/>
      </w:pPr>
      <w:r>
        <w:rPr>
          <w:rFonts w:ascii="Arial" w:hAnsi="Arial"/>
          <w:sz w:val="16"/>
        </w:rPr>
        <w:t>079.11  پس از انتساب یا پیوستن به یک فرماندهی رزمی متحد، نیرویی نمی‌تواند منتقل شود مگر با اختیارات وزیر دفاع یا طبق رویه‌های خاص با تأیید رئیس‌جمهور ایالات متحده.</w:t>
      </w:r>
    </w:p>
    <w:p>
      <w:pPr>
        <w:spacing w:after="28" w:line="216" w:lineRule="auto"/>
        <w:ind w:left="259"/>
        <w:jc w:val="left"/>
      </w:pPr>
      <w:r>
        <w:rPr>
          <w:rFonts w:ascii="Arial" w:hAnsi="Arial"/>
          <w:color w:val="525252"/>
          <w:sz w:val="13"/>
        </w:rPr>
        <w:t>Once assigned or attached to a unified combatant command, a force cannot be transferred except by authority of the Secretary of Defense or under special procedures with approval of the U.S. President.</w:t>
      </w:r>
    </w:p>
    <w:p>
      <w:pPr>
        <w:spacing w:after="20" w:line="223" w:lineRule="auto"/>
        <w:jc w:val="right"/>
        <w:bidi/>
      </w:pPr>
      <w:r>
        <w:rPr>
          <w:rFonts w:ascii="Arial" w:hAnsi="Arial"/>
          <w:sz w:val="16"/>
        </w:rPr>
        <w:t>079.12  طرح فرماندهی یکپارچه.</w:t>
      </w:r>
    </w:p>
    <w:p>
      <w:pPr>
        <w:spacing w:after="28" w:line="216" w:lineRule="auto"/>
        <w:ind w:left="259"/>
        <w:jc w:val="left"/>
      </w:pPr>
      <w:r>
        <w:rPr>
          <w:rFonts w:ascii="Arial" w:hAnsi="Arial"/>
          <w:color w:val="525252"/>
          <w:sz w:val="13"/>
        </w:rPr>
        <w:t>Unified Command Plan.</w:t>
      </w:r>
    </w:p>
    <w:p>
      <w:pPr>
        <w:spacing w:after="20" w:line="223" w:lineRule="auto"/>
        <w:jc w:val="right"/>
        <w:bidi/>
      </w:pPr>
      <w:r>
        <w:rPr>
          <w:rFonts w:ascii="Arial" w:hAnsi="Arial"/>
          <w:sz w:val="16"/>
        </w:rPr>
        <w:t>079.13  طرح فرماندهی یکپارچه یک سند طبقه بندی شده قوه مجریه است که توسط رئیس ستاد مشترک برای تعیین مأموریت تهیه شده است. برنامه‌ریزی، آموزش، و مسئولیت‌های عملیاتی؛ و مناطق جغرافیایی مسئولیت CCMD ها.</w:t>
      </w:r>
    </w:p>
    <w:p>
      <w:pPr>
        <w:spacing w:after="28" w:line="216" w:lineRule="auto"/>
        <w:ind w:left="259"/>
        <w:jc w:val="left"/>
      </w:pPr>
      <w:r>
        <w:rPr>
          <w:rFonts w:ascii="Arial" w:hAnsi="Arial"/>
          <w:color w:val="525252"/>
          <w:sz w:val="13"/>
        </w:rPr>
        <w:t>The Unified Command Plan is a classified executive branch document prepared by the Chairman of the Joint Chiefs of Staff that assigns missions; planning, training, and operational responsibilities; and geographic areas of responsibilities to CCMDs.</w:t>
      </w:r>
    </w:p>
    <w:p>
      <w:pPr>
        <w:spacing w:after="20" w:line="223" w:lineRule="auto"/>
        <w:jc w:val="right"/>
        <w:bidi/>
      </w:pPr>
      <w:r>
        <w:rPr>
          <w:rFonts w:ascii="Arial" w:hAnsi="Arial"/>
          <w:sz w:val="16"/>
        </w:rPr>
        <w:t>079.14  طرح فرماندهی یکپارچه تأثیر قابل توجهی بر نحوه سازماندهی، آموزش و تأمین منابع CCMD ها دارد - حوزه هایی که کنگره بر اساس قانون اساسی اختیار دارد.</w:t>
      </w:r>
    </w:p>
    <w:p>
      <w:pPr>
        <w:spacing w:after="28" w:line="216" w:lineRule="auto"/>
        <w:ind w:left="259"/>
        <w:jc w:val="left"/>
      </w:pPr>
      <w:r>
        <w:rPr>
          <w:rFonts w:ascii="Arial" w:hAnsi="Arial"/>
          <w:color w:val="525252"/>
          <w:sz w:val="13"/>
        </w:rPr>
        <w:t>The Unified Command Plan has a significant impact on how CCMDs are organized, trained, and resourced— areas over which Congress has constitutional authority.</w:t>
      </w:r>
    </w:p>
    <w:p>
      <w:pPr>
        <w:spacing w:after="20" w:line="223" w:lineRule="auto"/>
        <w:jc w:val="right"/>
        <w:bidi/>
      </w:pPr>
      <w:r>
        <w:rPr>
          <w:rFonts w:ascii="Arial" w:hAnsi="Arial"/>
          <w:sz w:val="16"/>
        </w:rPr>
        <w:t>079.15  این طرح هر دو سال یکبار بررسی و به‌روز می‌شود.</w:t>
      </w:r>
    </w:p>
    <w:p>
      <w:pPr>
        <w:spacing w:after="28" w:line="216" w:lineRule="auto"/>
        <w:ind w:left="259"/>
        <w:jc w:val="left"/>
      </w:pPr>
      <w:r>
        <w:rPr>
          <w:rFonts w:ascii="Arial" w:hAnsi="Arial"/>
          <w:color w:val="525252"/>
          <w:sz w:val="13"/>
        </w:rPr>
        <w:t>The plan is reviewed and updated every two years.</w:t>
      </w:r>
    </w:p>
    <w:p>
      <w:pPr>
        <w:spacing w:before="60" w:after="28"/>
        <w:jc w:val="right"/>
        <w:bidi/>
      </w:pPr>
      <w:r>
        <w:rPr>
          <w:b/>
          <w:color w:val="1F4D78"/>
          <w:sz w:val="18"/>
        </w:rPr>
        <w:t>5.8. سازمان فرماندهی رزمندگان</w:t>
      </w:r>
    </w:p>
    <w:p>
      <w:pPr>
        <w:spacing w:after="20"/>
        <w:ind w:left="259"/>
        <w:jc w:val="left"/>
      </w:pPr>
      <w:r>
        <w:rPr>
          <w:color w:val="555555"/>
          <w:sz w:val="12"/>
        </w:rPr>
        <w:t>5.8. Combatant Command Organization</w:t>
      </w:r>
    </w:p>
    <w:p>
      <w:pPr>
        <w:spacing w:after="20" w:line="223" w:lineRule="auto"/>
        <w:jc w:val="right"/>
        <w:bidi/>
      </w:pPr>
      <w:r>
        <w:rPr>
          <w:rFonts w:ascii="Arial" w:hAnsi="Arial"/>
          <w:sz w:val="16"/>
        </w:rPr>
        <w:t>079.17  در حال حاضر ۱۱ CCMD وجود دارد، همانطور که در شکل ۵.۲ نشان داده شده است.</w:t>
      </w:r>
    </w:p>
    <w:p>
      <w:pPr>
        <w:spacing w:after="28" w:line="216" w:lineRule="auto"/>
        <w:ind w:left="259"/>
        <w:jc w:val="left"/>
      </w:pPr>
      <w:r>
        <w:rPr>
          <w:rFonts w:ascii="Arial" w:hAnsi="Arial"/>
          <w:color w:val="525252"/>
          <w:sz w:val="13"/>
        </w:rPr>
        <w:t>There are currently 11 CCMDs, as shown in Figure 5.2.</w:t>
      </w:r>
    </w:p>
    <w:p>
      <w:pPr>
        <w:spacing w:after="20" w:line="223" w:lineRule="auto"/>
        <w:jc w:val="right"/>
        <w:bidi/>
      </w:pPr>
      <w:r>
        <w:rPr>
          <w:rFonts w:ascii="Arial" w:hAnsi="Arial"/>
          <w:sz w:val="16"/>
        </w:rPr>
        <w:t>079.18  آنها توسط مأموریت‌ها و مسئولیت هایی بر اساس منطقه جغرافیایی مسئولیت (AOR) یا عملکرد ایجاد می‌شوند.</w:t>
      </w:r>
    </w:p>
    <w:p>
      <w:pPr>
        <w:spacing w:after="28" w:line="216" w:lineRule="auto"/>
        <w:ind w:left="259"/>
        <w:jc w:val="left"/>
      </w:pPr>
      <w:r>
        <w:rPr>
          <w:rFonts w:ascii="Arial" w:hAnsi="Arial"/>
          <w:color w:val="525252"/>
          <w:sz w:val="13"/>
        </w:rPr>
        <w:t>They are established by missions and responsibilities based on either a geographic area of responsibility (AOR) or function.</w:t>
      </w:r>
    </w:p>
    <w:p>
      <w:pPr>
        <w:spacing w:after="20" w:line="223" w:lineRule="auto"/>
        <w:jc w:val="right"/>
        <w:bidi/>
      </w:pPr>
      <w:r>
        <w:rPr>
          <w:rFonts w:ascii="Arial" w:hAnsi="Arial"/>
          <w:sz w:val="16"/>
        </w:rPr>
        <w:t>079.19  CCDR با AOR در مرزهای فیزیکی و جغرافیایی مشخص شده توسط UCP عمل می‌کنند و دارای شکل ۵.۲ هستند.</w:t>
      </w:r>
    </w:p>
    <w:p>
      <w:pPr>
        <w:spacing w:after="28" w:line="216" w:lineRule="auto"/>
        <w:ind w:left="259"/>
        <w:jc w:val="left"/>
      </w:pPr>
      <w:r>
        <w:rPr>
          <w:rFonts w:ascii="Arial" w:hAnsi="Arial"/>
          <w:color w:val="525252"/>
          <w:sz w:val="13"/>
        </w:rPr>
        <w:t>CCDRs with an AOR operate in clearly delineated physical and geographic boundaries established by the UCP and have a Figure 5.2.</w:t>
      </w:r>
    </w:p>
    <w:p>
      <w:pPr>
        <w:spacing w:after="20" w:line="223" w:lineRule="auto"/>
        <w:jc w:val="right"/>
        <w:bidi/>
      </w:pPr>
      <w:r>
        <w:rPr>
          <w:rFonts w:ascii="Arial" w:hAnsi="Arial"/>
          <w:sz w:val="16"/>
        </w:rPr>
        <w:t>079.20  فرماندهی رزمی تمرکز نظامی متمایز منطقه‌ای.</w:t>
      </w:r>
    </w:p>
    <w:p>
      <w:pPr>
        <w:spacing w:after="28" w:line="216" w:lineRule="auto"/>
        <w:ind w:left="259"/>
        <w:jc w:val="left"/>
      </w:pPr>
      <w:r>
        <w:rPr>
          <w:rFonts w:ascii="Arial" w:hAnsi="Arial"/>
          <w:color w:val="525252"/>
          <w:sz w:val="13"/>
        </w:rPr>
        <w:t>Combatant Commands distinctive regional military focus.</w:t>
      </w:r>
    </w:p>
    <w:p>
      <w:pPr>
        <w:spacing w:after="20" w:line="223" w:lineRule="auto"/>
        <w:jc w:val="right"/>
        <w:bidi/>
      </w:pPr>
      <w:r>
        <w:rPr>
          <w:rFonts w:ascii="Arial" w:hAnsi="Arial"/>
          <w:sz w:val="16"/>
        </w:rPr>
        <w:t>079.21  CCMD های یکپارچه با AOR شامل فرماندهی آفریقای ایالات متحده، فرماندهی مرکزی ایالات متحده، فرماندهی اروپای ایالات متحده، فرماندهی شمالی ایالات متحده، فرماندهی هند و اقیانوس آرام، و فرماندهی جنوبی ایالات متحده است.</w:t>
      </w:r>
    </w:p>
    <w:p>
      <w:pPr>
        <w:spacing w:after="28" w:line="216" w:lineRule="auto"/>
        <w:ind w:left="259"/>
        <w:jc w:val="left"/>
      </w:pPr>
      <w:r>
        <w:rPr>
          <w:rFonts w:ascii="Arial" w:hAnsi="Arial"/>
          <w:color w:val="525252"/>
          <w:sz w:val="13"/>
        </w:rPr>
        <w:t>Unified CCMDs with an AOR include U.S. Africa Command, U.S. Central Command, U.S. European Command, U.S. Northern Command, U.S. Indo-Pacific Command, and U.S. Southern Command.</w:t>
      </w:r>
    </w:p>
    <w:p>
      <w:pPr>
        <w:spacing w:after="20" w:line="223" w:lineRule="auto"/>
        <w:jc w:val="right"/>
        <w:bidi/>
      </w:pPr>
      <w:r>
        <w:rPr>
          <w:rFonts w:ascii="Arial" w:hAnsi="Arial"/>
          <w:sz w:val="16"/>
        </w:rPr>
        <w:t>079.22  CCMD ها که صرفا بر اساس عملکردهای نظامی و بدون توجه به یک منطقه جغرافیایی خاص هستند، دستورات عملکردی نامیده می‌شوند.</w:t>
      </w:r>
    </w:p>
    <w:p>
      <w:pPr>
        <w:spacing w:after="28" w:line="216" w:lineRule="auto"/>
        <w:ind w:left="259"/>
        <w:jc w:val="left"/>
      </w:pPr>
      <w:r>
        <w:rPr>
          <w:rFonts w:ascii="Arial" w:hAnsi="Arial"/>
          <w:color w:val="525252"/>
          <w:sz w:val="13"/>
        </w:rPr>
        <w:t>CCMDs based solely on military functions without respect to a specific geographic region are called functional commands.</w:t>
      </w:r>
    </w:p>
    <w:p>
      <w:pPr>
        <w:spacing w:after="20" w:line="223" w:lineRule="auto"/>
        <w:jc w:val="right"/>
        <w:bidi/>
      </w:pPr>
      <w:r>
        <w:rPr>
          <w:rFonts w:ascii="Arial" w:hAnsi="Arial"/>
          <w:sz w:val="16"/>
        </w:rPr>
        <w:t>079.23  این دستورات در سراسر مرزهای جغرافیایی عمل می‌کنند و قابلیت‌های منحصربه‌فردی را برای سایر CCDRها و سرویس‌ها فراهم می‌کنند.</w:t>
      </w:r>
    </w:p>
    <w:p>
      <w:pPr>
        <w:spacing w:after="28" w:line="216" w:lineRule="auto"/>
        <w:ind w:left="259"/>
        <w:jc w:val="left"/>
      </w:pPr>
      <w:r>
        <w:rPr>
          <w:rFonts w:ascii="Arial" w:hAnsi="Arial"/>
          <w:color w:val="525252"/>
          <w:sz w:val="13"/>
        </w:rPr>
        <w:t>These commands operate globally across geographic boundaries and provide unique capabilities to other CCDRs and the Services.</w:t>
      </w:r>
    </w:p>
    <w:p>
      <w:pPr>
        <w:spacing w:after="20" w:line="223" w:lineRule="auto"/>
        <w:jc w:val="right"/>
        <w:bidi/>
      </w:pPr>
      <w:r>
        <w:rPr>
          <w:rFonts w:ascii="Arial" w:hAnsi="Arial"/>
          <w:sz w:val="16"/>
        </w:rPr>
        <w:t>079.24  CCMDهای کاربردی شامل فرماندهی عملیات ویژه ایالات متحده، فرماندهی استراتژیک ایالات متحده، فرماندهی سایبری ایالات متحده و فرماندهی حمل و نقل ایالات متحده است.</w:t>
      </w:r>
    </w:p>
    <w:p>
      <w:pPr>
        <w:spacing w:after="28" w:line="216" w:lineRule="auto"/>
        <w:ind w:left="259"/>
        <w:jc w:val="left"/>
      </w:pPr>
      <w:r>
        <w:rPr>
          <w:rFonts w:ascii="Arial" w:hAnsi="Arial"/>
          <w:color w:val="525252"/>
          <w:sz w:val="13"/>
        </w:rPr>
        <w:t>The functional CCMDs include U.S. Special Operations Command, U.S. Strategic Command, U.S. Cyber Command, and U.S. Transportation Command.</w:t>
      </w:r>
    </w:p>
    <w:p>
      <w:r>
        <w:br w:type="page"/>
      </w:r>
    </w:p>
    <w:p>
      <w:pPr>
        <w:spacing w:after="60"/>
        <w:jc w:val="right"/>
        <w:bidi/>
      </w:pPr>
      <w:r>
        <w:rPr>
          <w:rFonts w:ascii="Arial" w:hAnsi="Arial"/>
          <w:b/>
          <w:color w:val="1F4D78"/>
          <w:sz w:val="19"/>
        </w:rPr>
        <w:t>هفتهٔ 80  |  صفحهٔ منبع: 96</w:t>
      </w:r>
    </w:p>
    <w:p>
      <w:pPr>
        <w:spacing w:after="20" w:line="223" w:lineRule="auto"/>
        <w:jc w:val="right"/>
        <w:bidi/>
      </w:pPr>
      <w:r>
        <w:rPr>
          <w:rFonts w:ascii="Arial" w:hAnsi="Arial"/>
          <w:sz w:val="16"/>
        </w:rPr>
        <w:t>080.01  فرماندهی ایالات متحده آفریقا.</w:t>
      </w:r>
    </w:p>
    <w:p>
      <w:pPr>
        <w:spacing w:after="28" w:line="216" w:lineRule="auto"/>
        <w:ind w:left="259"/>
        <w:jc w:val="left"/>
      </w:pPr>
      <w:r>
        <w:rPr>
          <w:rFonts w:ascii="Arial" w:hAnsi="Arial"/>
          <w:color w:val="525252"/>
          <w:sz w:val="13"/>
        </w:rPr>
        <w:t>United States Africa Command.</w:t>
      </w:r>
    </w:p>
    <w:p>
      <w:pPr>
        <w:spacing w:after="20" w:line="223" w:lineRule="auto"/>
        <w:jc w:val="right"/>
        <w:bidi/>
      </w:pPr>
      <w:r>
        <w:rPr>
          <w:rFonts w:ascii="Arial" w:hAnsi="Arial"/>
          <w:sz w:val="16"/>
        </w:rPr>
        <w:t>080.02  مقر فرماندهی ایالات متحده آفریقا (USAFRICOM) در سربازخانه کلی، اشتوتگارت، آلمان واقع شده است.</w:t>
      </w:r>
    </w:p>
    <w:p>
      <w:pPr>
        <w:spacing w:after="28" w:line="216" w:lineRule="auto"/>
        <w:ind w:left="259"/>
        <w:jc w:val="left"/>
      </w:pPr>
      <w:r>
        <w:rPr>
          <w:rFonts w:ascii="Arial" w:hAnsi="Arial"/>
          <w:color w:val="525252"/>
          <w:sz w:val="13"/>
        </w:rPr>
        <w:t>United States Africa Command (USAFRICOM) headquarters is located at Kelley Barracks, Stuttgart, Germany.</w:t>
      </w:r>
    </w:p>
    <w:p>
      <w:pPr>
        <w:spacing w:after="20" w:line="223" w:lineRule="auto"/>
        <w:jc w:val="right"/>
        <w:bidi/>
      </w:pPr>
      <w:r>
        <w:rPr>
          <w:rFonts w:ascii="Arial" w:hAnsi="Arial"/>
          <w:sz w:val="16"/>
        </w:rPr>
        <w:t>080.03  USAFRICOM مسئول روابط نظامی با کشورهای آفریقایی، اتحادیه آفریقا و سازمان‌های امنیتی منطقه‌ای آفریقا است.</w:t>
      </w:r>
    </w:p>
    <w:p>
      <w:pPr>
        <w:spacing w:after="28" w:line="216" w:lineRule="auto"/>
        <w:ind w:left="259"/>
        <w:jc w:val="left"/>
      </w:pPr>
      <w:r>
        <w:rPr>
          <w:rFonts w:ascii="Arial" w:hAnsi="Arial"/>
          <w:color w:val="525252"/>
          <w:sz w:val="13"/>
        </w:rPr>
        <w:t>USAFRICOM is responsible for military relations with African nations, the African Union, and African regional security organizations.</w:t>
      </w:r>
    </w:p>
    <w:p>
      <w:pPr>
        <w:spacing w:after="20" w:line="223" w:lineRule="auto"/>
        <w:jc w:val="right"/>
        <w:bidi/>
      </w:pPr>
      <w:r>
        <w:rPr>
          <w:rFonts w:ascii="Arial" w:hAnsi="Arial"/>
          <w:sz w:val="16"/>
        </w:rPr>
        <w:t>080.04  با تقویت توان دفاعی کشورهای آفریقایی از منافع ایالات متحده محافظت و دفاع می‌کند و با همکاری دولت‌های آفریقایی، مأموریت‌های نظامی را انجام می‌دهد که ضمن بازدارندگی و شکست انواع تهدیدات فراملی، امنیت را افزایش می‌دهد.</w:t>
      </w:r>
    </w:p>
    <w:p>
      <w:pPr>
        <w:spacing w:after="28" w:line="216" w:lineRule="auto"/>
        <w:ind w:left="259"/>
        <w:jc w:val="left"/>
      </w:pPr>
      <w:r>
        <w:rPr>
          <w:rFonts w:ascii="Arial" w:hAnsi="Arial"/>
          <w:color w:val="525252"/>
          <w:sz w:val="13"/>
        </w:rPr>
        <w:t>It protects and defends the interests of the United States by strengthening the defense capabilities of African nations and, in cooperation with African governments, conducts military missions that increase security while deterring and defeating a variety of transnational threats.</w:t>
      </w:r>
    </w:p>
    <w:p>
      <w:pPr>
        <w:spacing w:after="20" w:line="223" w:lineRule="auto"/>
        <w:jc w:val="right"/>
        <w:bidi/>
      </w:pPr>
      <w:r>
        <w:rPr>
          <w:rFonts w:ascii="Arial" w:hAnsi="Arial"/>
          <w:sz w:val="16"/>
        </w:rPr>
        <w:t>080.05  فرماندهی مرکزی ایالات متحده.</w:t>
      </w:r>
    </w:p>
    <w:p>
      <w:pPr>
        <w:spacing w:after="28" w:line="216" w:lineRule="auto"/>
        <w:ind w:left="259"/>
        <w:jc w:val="left"/>
      </w:pPr>
      <w:r>
        <w:rPr>
          <w:rFonts w:ascii="Arial" w:hAnsi="Arial"/>
          <w:color w:val="525252"/>
          <w:sz w:val="13"/>
        </w:rPr>
        <w:t>United States Central Command.</w:t>
      </w:r>
    </w:p>
    <w:p>
      <w:pPr>
        <w:spacing w:after="20" w:line="223" w:lineRule="auto"/>
        <w:jc w:val="right"/>
        <w:bidi/>
      </w:pPr>
      <w:r>
        <w:rPr>
          <w:rFonts w:ascii="Arial" w:hAnsi="Arial"/>
          <w:sz w:val="16"/>
        </w:rPr>
        <w:t>080.06  مقر فرماندهی مرکزی ایالات متحده (USCENTCOM) در پایگاه نیروی هوایی مک دیل، فلوریدا واقع شده است.</w:t>
      </w:r>
    </w:p>
    <w:p>
      <w:pPr>
        <w:spacing w:after="28" w:line="216" w:lineRule="auto"/>
        <w:ind w:left="259"/>
        <w:jc w:val="left"/>
      </w:pPr>
      <w:r>
        <w:rPr>
          <w:rFonts w:ascii="Arial" w:hAnsi="Arial"/>
          <w:color w:val="525252"/>
          <w:sz w:val="13"/>
        </w:rPr>
        <w:t>United States Central Command (USCENTCOM) headquarters is located at MacDill Air Force Base, Florida.</w:t>
      </w:r>
    </w:p>
    <w:p>
      <w:pPr>
        <w:spacing w:after="20" w:line="223" w:lineRule="auto"/>
        <w:jc w:val="right"/>
        <w:bidi/>
      </w:pPr>
      <w:r>
        <w:rPr>
          <w:rFonts w:ascii="Arial" w:hAnsi="Arial"/>
          <w:sz w:val="16"/>
        </w:rPr>
        <w:t>080.07  USCENTCOM مسئول عملیات در ۲۰ کشوری است که در منطقه "مرکزی" جهان قرار دارند و شامل کشورهای خاورمیانه، بخش هایی از شمال آفریقا و آسیای مرکزی می‌شود.</w:t>
      </w:r>
    </w:p>
    <w:p>
      <w:pPr>
        <w:spacing w:after="28" w:line="216" w:lineRule="auto"/>
        <w:ind w:left="259"/>
        <w:jc w:val="left"/>
      </w:pPr>
      <w:r>
        <w:rPr>
          <w:rFonts w:ascii="Arial" w:hAnsi="Arial"/>
          <w:color w:val="525252"/>
          <w:sz w:val="13"/>
        </w:rPr>
        <w:t>USCENTCOM is responsible for operations in 20 countries that fall in the “central” area of the globe, to include countries in the Middle East, parts of Northern Africa, and Central Asia.</w:t>
      </w:r>
    </w:p>
    <w:p>
      <w:pPr>
        <w:spacing w:after="20" w:line="223" w:lineRule="auto"/>
        <w:jc w:val="right"/>
        <w:bidi/>
      </w:pPr>
      <w:r>
        <w:rPr>
          <w:rFonts w:ascii="Arial" w:hAnsi="Arial"/>
          <w:sz w:val="16"/>
        </w:rPr>
        <w:t>080.08  USCENTCOM از مشارکت‌های ملی و بین المللی برای ایجاد همکاری بین کشورها، پاسخ به بحران‌ها، بازدارندگی و شکست تهدیدها و حمایت از توسعه‌ای که در نهایت ثبات را در منطقه افزایش می‌دهد، استفاده می‌کند.</w:t>
      </w:r>
    </w:p>
    <w:p>
      <w:pPr>
        <w:spacing w:after="28" w:line="216" w:lineRule="auto"/>
        <w:ind w:left="259"/>
        <w:jc w:val="left"/>
      </w:pPr>
      <w:r>
        <w:rPr>
          <w:rFonts w:ascii="Arial" w:hAnsi="Arial"/>
          <w:color w:val="525252"/>
          <w:sz w:val="13"/>
        </w:rPr>
        <w:t>USCENTCOM utilizes national and international partnerships to build cooperation among nations, respond to crises, deter, and defeat threats, and support development that ultimately increases stability in the region.</w:t>
      </w:r>
    </w:p>
    <w:p>
      <w:pPr>
        <w:spacing w:after="20" w:line="223" w:lineRule="auto"/>
        <w:jc w:val="right"/>
        <w:bidi/>
      </w:pPr>
      <w:r>
        <w:rPr>
          <w:rFonts w:ascii="Arial" w:hAnsi="Arial"/>
          <w:sz w:val="16"/>
        </w:rPr>
        <w:t>080.09  فرماندهی اروپای ایالات متحده.</w:t>
      </w:r>
    </w:p>
    <w:p>
      <w:pPr>
        <w:spacing w:after="28" w:line="216" w:lineRule="auto"/>
        <w:ind w:left="259"/>
        <w:jc w:val="left"/>
      </w:pPr>
      <w:r>
        <w:rPr>
          <w:rFonts w:ascii="Arial" w:hAnsi="Arial"/>
          <w:color w:val="525252"/>
          <w:sz w:val="13"/>
        </w:rPr>
        <w:t>United States European Command.</w:t>
      </w:r>
    </w:p>
    <w:p>
      <w:pPr>
        <w:spacing w:after="20" w:line="223" w:lineRule="auto"/>
        <w:jc w:val="right"/>
        <w:bidi/>
      </w:pPr>
      <w:r>
        <w:rPr>
          <w:rFonts w:ascii="Arial" w:hAnsi="Arial"/>
          <w:sz w:val="16"/>
        </w:rPr>
        <w:t>080.10  مقر فرماندهی اروپای ایالات متحده (USEUCOM) در پادگان پچ، اشتوتگارت، آلمان واقع شده است.</w:t>
      </w:r>
    </w:p>
    <w:p>
      <w:pPr>
        <w:spacing w:after="28" w:line="216" w:lineRule="auto"/>
        <w:ind w:left="259"/>
        <w:jc w:val="left"/>
      </w:pPr>
      <w:r>
        <w:rPr>
          <w:rFonts w:ascii="Arial" w:hAnsi="Arial"/>
          <w:color w:val="525252"/>
          <w:sz w:val="13"/>
        </w:rPr>
        <w:t>United States European Command (USEUCOM) headquarters is located at Patch Barracks, Stuttgart, Germany.</w:t>
      </w:r>
    </w:p>
    <w:p>
      <w:pPr>
        <w:spacing w:after="20" w:line="223" w:lineRule="auto"/>
        <w:jc w:val="right"/>
        <w:bidi/>
      </w:pPr>
      <w:r>
        <w:rPr>
          <w:rFonts w:ascii="Arial" w:hAnsi="Arial"/>
          <w:sz w:val="16"/>
        </w:rPr>
        <w:t>080.11  USEUCOM از نزدیک با کشورهای عضو سازمان پیمان آتلانتیک شمالی و سایر کشورهای شریک برای رسیدگی به نیازهای امنیتی و دفاعی کشورها در اروپا، بخش‌هایی از خاورمیانه و اوراسیا همکاری می‌کند.</w:t>
      </w:r>
    </w:p>
    <w:p>
      <w:pPr>
        <w:spacing w:after="28" w:line="216" w:lineRule="auto"/>
        <w:ind w:left="259"/>
        <w:jc w:val="left"/>
      </w:pPr>
      <w:r>
        <w:rPr>
          <w:rFonts w:ascii="Arial" w:hAnsi="Arial"/>
          <w:color w:val="525252"/>
          <w:sz w:val="13"/>
        </w:rPr>
        <w:t>USEUCOM works closely with countries in the North Atlantic Treaty Organization and other partner nations to address the security and defense needs of nations in Europe, parts of the Middle East, and Eurasia.</w:t>
      </w:r>
    </w:p>
    <w:p>
      <w:pPr>
        <w:spacing w:after="20" w:line="223" w:lineRule="auto"/>
        <w:jc w:val="right"/>
        <w:bidi/>
      </w:pPr>
      <w:r>
        <w:rPr>
          <w:rFonts w:ascii="Arial" w:hAnsi="Arial"/>
          <w:sz w:val="16"/>
        </w:rPr>
        <w:t>080.12  USEUCOM با این کشورها برای یافتن راه‌حل‌های همکاری در صلح و زمان جنگ، برنامه‌ریزی مأموریت‌های آموزشی، ارائه کمک‌های بشردوستانه، و توسعه استراتژی‌هایی برای ارتقای صلح و ثبات در منطقه هماهنگ می‌کند.</w:t>
      </w:r>
    </w:p>
    <w:p>
      <w:pPr>
        <w:spacing w:after="28" w:line="216" w:lineRule="auto"/>
        <w:ind w:left="259"/>
        <w:jc w:val="left"/>
      </w:pPr>
      <w:r>
        <w:rPr>
          <w:rFonts w:ascii="Arial" w:hAnsi="Arial"/>
          <w:color w:val="525252"/>
          <w:sz w:val="13"/>
        </w:rPr>
        <w:t>USEUCOM coordinates with these nations to find cooperative solutions in peace and wartime alike, to plan training missions, provide humanitarian assistance, and develop strategies for promoting peace and stability in the region.</w:t>
      </w:r>
    </w:p>
    <w:p>
      <w:pPr>
        <w:spacing w:after="20" w:line="223" w:lineRule="auto"/>
        <w:jc w:val="right"/>
        <w:bidi/>
      </w:pPr>
      <w:r>
        <w:rPr>
          <w:rFonts w:ascii="Arial" w:hAnsi="Arial"/>
          <w:sz w:val="16"/>
        </w:rPr>
        <w:t>080.13  فرماندهی شمالی ایالات متحده.</w:t>
      </w:r>
    </w:p>
    <w:p>
      <w:pPr>
        <w:spacing w:after="28" w:line="216" w:lineRule="auto"/>
        <w:ind w:left="259"/>
        <w:jc w:val="left"/>
      </w:pPr>
      <w:r>
        <w:rPr>
          <w:rFonts w:ascii="Arial" w:hAnsi="Arial"/>
          <w:color w:val="525252"/>
          <w:sz w:val="13"/>
        </w:rPr>
        <w:t>United States Northern Command.</w:t>
      </w:r>
    </w:p>
    <w:p>
      <w:pPr>
        <w:spacing w:after="20" w:line="223" w:lineRule="auto"/>
        <w:jc w:val="right"/>
        <w:bidi/>
      </w:pPr>
      <w:r>
        <w:rPr>
          <w:rFonts w:ascii="Arial" w:hAnsi="Arial"/>
          <w:sz w:val="16"/>
        </w:rPr>
        <w:t>080.14  مقر فرماندهی شمالی ایالات متحده (USNORTHCOM) در پایگاه نیروی هوایی پیترسون، کلرادو واقع شده است.</w:t>
      </w:r>
    </w:p>
    <w:p>
      <w:pPr>
        <w:spacing w:after="28" w:line="216" w:lineRule="auto"/>
        <w:ind w:left="259"/>
        <w:jc w:val="left"/>
      </w:pPr>
      <w:r>
        <w:rPr>
          <w:rFonts w:ascii="Arial" w:hAnsi="Arial"/>
          <w:color w:val="525252"/>
          <w:sz w:val="13"/>
        </w:rPr>
        <w:t>United States Northern Command (USNORTHCOM) headquarters is located at Peterson Air Force Base, Colorado.</w:t>
      </w:r>
    </w:p>
    <w:p>
      <w:pPr>
        <w:spacing w:after="20" w:line="223" w:lineRule="auto"/>
        <w:jc w:val="right"/>
        <w:bidi/>
      </w:pPr>
      <w:r>
        <w:rPr>
          <w:rFonts w:ascii="Arial" w:hAnsi="Arial"/>
          <w:sz w:val="16"/>
        </w:rPr>
        <w:t>080.15  USNORTHCOM در منطقه مسئولیت شامل ایالات متحده قاره، آلاسکا، مکزیک، کانادا، بخش‌هایی از دریای کارائیب و آب‌های اطراف فعالیت می‌کند.</w:t>
      </w:r>
    </w:p>
    <w:p>
      <w:pPr>
        <w:spacing w:after="28" w:line="216" w:lineRule="auto"/>
        <w:ind w:left="259"/>
        <w:jc w:val="left"/>
      </w:pPr>
      <w:r>
        <w:rPr>
          <w:rFonts w:ascii="Arial" w:hAnsi="Arial"/>
          <w:color w:val="525252"/>
          <w:sz w:val="13"/>
        </w:rPr>
        <w:t>USNORTHCOM operates in the area of responsibility encompassing the Continental United States, Alaska, Mexico, Canada, portions of the Caribbean, and surrounding waters.</w:t>
      </w:r>
    </w:p>
    <w:p>
      <w:pPr>
        <w:spacing w:after="20" w:line="223" w:lineRule="auto"/>
        <w:jc w:val="right"/>
        <w:bidi/>
      </w:pPr>
      <w:r>
        <w:rPr>
          <w:rFonts w:ascii="Arial" w:hAnsi="Arial"/>
          <w:sz w:val="16"/>
        </w:rPr>
        <w:t>080.16  USNORTHCOM در درجه اول مسئول پشتیبانی مدنی و امنیت داخلی است.</w:t>
      </w:r>
    </w:p>
    <w:p>
      <w:pPr>
        <w:spacing w:after="28" w:line="216" w:lineRule="auto"/>
        <w:ind w:left="259"/>
        <w:jc w:val="left"/>
      </w:pPr>
      <w:r>
        <w:rPr>
          <w:rFonts w:ascii="Arial" w:hAnsi="Arial"/>
          <w:color w:val="525252"/>
          <w:sz w:val="13"/>
        </w:rPr>
        <w:t>USNORTHCOM is primarily responsible for civil support and homeland security.</w:t>
      </w:r>
    </w:p>
    <w:p>
      <w:pPr>
        <w:spacing w:after="20" w:line="223" w:lineRule="auto"/>
        <w:jc w:val="right"/>
        <w:bidi/>
      </w:pPr>
      <w:r>
        <w:rPr>
          <w:rFonts w:ascii="Arial" w:hAnsi="Arial"/>
          <w:sz w:val="16"/>
        </w:rPr>
        <w:t>080.17  فرمانده USNORTHCOM به‌عنوان فرمانده فرماندهی و.س. لمنت، فرماندهی دفاع هوافضای آمریکای شمالی (NORAD) و فرمانده فرماندهی NORAD زمانی که یک افسر ایالات متحده این نقش را انجام می‌دهد، تعیین می‌شود.</w:t>
      </w:r>
    </w:p>
    <w:p>
      <w:pPr>
        <w:spacing w:after="28" w:line="216" w:lineRule="auto"/>
        <w:ind w:left="259"/>
        <w:jc w:val="left"/>
      </w:pPr>
      <w:r>
        <w:rPr>
          <w:rFonts w:ascii="Arial" w:hAnsi="Arial"/>
          <w:color w:val="525252"/>
          <w:sz w:val="13"/>
        </w:rPr>
        <w:t>The Commander of USNORTHCOM is designated as the Commander of U.S. Element, North American Aerospace Defense (NORAD) Command and Commander of NORAD Command when a United States officer fulfills that role.</w:t>
      </w:r>
    </w:p>
    <w:p>
      <w:pPr>
        <w:spacing w:after="20" w:line="223" w:lineRule="auto"/>
        <w:jc w:val="right"/>
        <w:bidi/>
      </w:pPr>
      <w:r>
        <w:rPr>
          <w:rFonts w:ascii="Arial" w:hAnsi="Arial"/>
          <w:sz w:val="16"/>
        </w:rPr>
        <w:t>080.18  فرماندهی هند و اقیانوسیه ایالات متحده.</w:t>
      </w:r>
    </w:p>
    <w:p>
      <w:pPr>
        <w:spacing w:after="28" w:line="216" w:lineRule="auto"/>
        <w:ind w:left="259"/>
        <w:jc w:val="left"/>
      </w:pPr>
      <w:r>
        <w:rPr>
          <w:rFonts w:ascii="Arial" w:hAnsi="Arial"/>
          <w:color w:val="525252"/>
          <w:sz w:val="13"/>
        </w:rPr>
        <w:t>United States Indo-Pacific Command.</w:t>
      </w:r>
    </w:p>
    <w:p>
      <w:pPr>
        <w:spacing w:after="20" w:line="223" w:lineRule="auto"/>
        <w:jc w:val="right"/>
        <w:bidi/>
      </w:pPr>
      <w:r>
        <w:rPr>
          <w:rFonts w:ascii="Arial" w:hAnsi="Arial"/>
          <w:sz w:val="16"/>
        </w:rPr>
        <w:t>080.19  مقر فرماندهی هند و اقیانوسیه ایالات متحده (USINDOPACOM) در کمپ ه.م. اسمیت، هاوایی</w:t>
      </w:r>
    </w:p>
    <w:p>
      <w:pPr>
        <w:spacing w:after="28" w:line="216" w:lineRule="auto"/>
        <w:ind w:left="259"/>
        <w:jc w:val="left"/>
      </w:pPr>
      <w:r>
        <w:rPr>
          <w:rFonts w:ascii="Arial" w:hAnsi="Arial"/>
          <w:color w:val="525252"/>
          <w:sz w:val="13"/>
        </w:rPr>
        <w:t>United States Indo-Pacific Command (USINDOPACOM) headquarters is located at Camp H.M. Smith, Hawaii.</w:t>
      </w:r>
    </w:p>
    <w:p>
      <w:pPr>
        <w:spacing w:after="20" w:line="223" w:lineRule="auto"/>
        <w:jc w:val="right"/>
        <w:bidi/>
      </w:pPr>
      <w:r>
        <w:rPr>
          <w:rFonts w:ascii="Arial" w:hAnsi="Arial"/>
          <w:sz w:val="16"/>
        </w:rPr>
        <w:t>080.20  USINDOPACOM ناظر بر ناحیه‌ای از مسئولیت است که از سواحل غربی ایالات متحده تا مرز غربی هند و از قطب جنوب تا جزایر آلوتین امتداد دارد که شامل ۳۶ کشور مختلف است.</w:t>
      </w:r>
    </w:p>
    <w:p>
      <w:pPr>
        <w:spacing w:after="28" w:line="216" w:lineRule="auto"/>
        <w:ind w:left="259"/>
        <w:jc w:val="left"/>
      </w:pPr>
      <w:r>
        <w:rPr>
          <w:rFonts w:ascii="Arial" w:hAnsi="Arial"/>
          <w:color w:val="525252"/>
          <w:sz w:val="13"/>
        </w:rPr>
        <w:t>USINDOPACOM oversees an area of responsibility stretching from the western shores of the United States to the western border of India, and from Antarctica to the Aleutian Islands, encompassing 36 diverse nations.</w:t>
      </w:r>
    </w:p>
    <w:p>
      <w:pPr>
        <w:spacing w:after="20" w:line="223" w:lineRule="auto"/>
        <w:jc w:val="right"/>
        <w:bidi/>
      </w:pPr>
      <w:r>
        <w:rPr>
          <w:rFonts w:ascii="Arial" w:hAnsi="Arial"/>
          <w:sz w:val="16"/>
        </w:rPr>
        <w:t>080.21  USINDOPACOM و شرکای آن برای ارتقای توسعه منطقه و در عین حال همکاری برای تقویت امنیت، جلوگیری از تجاوز، پاسخ با زور، در صورت لزوم، ارائه کمک‌های بشردوستانه مرتبط با قاچاق غیرقانونی، و انجام تمرین‌های نظامی چندملیتی طراحی شده برای تقویت مشارکت در عین توسعه قابلیت‌های جمعی، تلاش می‌کنند.</w:t>
      </w:r>
    </w:p>
    <w:p>
      <w:pPr>
        <w:spacing w:after="28" w:line="216" w:lineRule="auto"/>
        <w:ind w:left="259"/>
        <w:jc w:val="left"/>
      </w:pPr>
      <w:r>
        <w:rPr>
          <w:rFonts w:ascii="Arial" w:hAnsi="Arial"/>
          <w:color w:val="525252"/>
          <w:sz w:val="13"/>
        </w:rPr>
        <w:t>USINDOPACOM and its partners work to promote the development of the region while cooperating to enhance security, deter aggression, respond with force, when necessary, provide humanitarian assistance associated with illicit trafficking, and conduct multinational military exercises designed to strengthen partnerships while developing collective capabilities.</w:t>
      </w:r>
    </w:p>
    <w:p>
      <w:pPr>
        <w:spacing w:after="20" w:line="223" w:lineRule="auto"/>
        <w:jc w:val="right"/>
        <w:bidi/>
      </w:pPr>
      <w:r>
        <w:rPr>
          <w:rFonts w:ascii="Arial" w:hAnsi="Arial"/>
          <w:sz w:val="16"/>
        </w:rPr>
        <w:t>080.22  فرماندهی جنوبی ایالات متحده.</w:t>
      </w:r>
    </w:p>
    <w:p>
      <w:pPr>
        <w:spacing w:after="28" w:line="216" w:lineRule="auto"/>
        <w:ind w:left="259"/>
        <w:jc w:val="left"/>
      </w:pPr>
      <w:r>
        <w:rPr>
          <w:rFonts w:ascii="Arial" w:hAnsi="Arial"/>
          <w:color w:val="525252"/>
          <w:sz w:val="13"/>
        </w:rPr>
        <w:t>United States Southern Command.</w:t>
      </w:r>
    </w:p>
    <w:p>
      <w:pPr>
        <w:spacing w:after="20" w:line="223" w:lineRule="auto"/>
        <w:jc w:val="right"/>
        <w:bidi/>
      </w:pPr>
      <w:r>
        <w:rPr>
          <w:rFonts w:ascii="Arial" w:hAnsi="Arial"/>
          <w:sz w:val="16"/>
        </w:rPr>
        <w:t>080.23  مقر فرماندهی جنوبی ایالات متحده (USSOUTHCOM) در میامی، فلوریدا واقع شده است.</w:t>
      </w:r>
    </w:p>
    <w:p>
      <w:pPr>
        <w:spacing w:after="28" w:line="216" w:lineRule="auto"/>
        <w:ind w:left="259"/>
        <w:jc w:val="left"/>
      </w:pPr>
      <w:r>
        <w:rPr>
          <w:rFonts w:ascii="Arial" w:hAnsi="Arial"/>
          <w:color w:val="525252"/>
          <w:sz w:val="13"/>
        </w:rPr>
        <w:t>United States Southern Command (USSOUTHCOM) headquarters is located at Miami, Florida.</w:t>
      </w:r>
    </w:p>
    <w:p>
      <w:pPr>
        <w:spacing w:after="20" w:line="223" w:lineRule="auto"/>
        <w:jc w:val="right"/>
        <w:bidi/>
      </w:pPr>
      <w:r>
        <w:rPr>
          <w:rFonts w:ascii="Arial" w:hAnsi="Arial"/>
          <w:sz w:val="16"/>
        </w:rPr>
        <w:t>080.24  USSOUTHCOM بر منطقه‌ای از مسئولیت شامل ۳۱ کشور در آمریکای لاتین در جنوب مکزیک، آمریکای مرکزی و جنوبی و دریای کارائیب نظارت می‌کند.</w:t>
      </w:r>
    </w:p>
    <w:p>
      <w:pPr>
        <w:spacing w:after="28" w:line="216" w:lineRule="auto"/>
        <w:ind w:left="259"/>
        <w:jc w:val="left"/>
      </w:pPr>
      <w:r>
        <w:rPr>
          <w:rFonts w:ascii="Arial" w:hAnsi="Arial"/>
          <w:color w:val="525252"/>
          <w:sz w:val="13"/>
        </w:rPr>
        <w:t>USSOUTHCOM oversees an area of responsibility encompassing 31 nations in Latin America south of Mexico, Central and South America, and the Caribbean Sea.</w:t>
      </w:r>
    </w:p>
    <w:p>
      <w:pPr>
        <w:spacing w:after="20" w:line="223" w:lineRule="auto"/>
        <w:jc w:val="right"/>
        <w:bidi/>
      </w:pPr>
      <w:r>
        <w:rPr>
          <w:rFonts w:ascii="Arial" w:hAnsi="Arial"/>
          <w:sz w:val="16"/>
        </w:rPr>
        <w:t>080.25  USSOUTHCOM برای افزایش امنیت ایالات متحده از طریق مشارکت دادن شرکای خود برای تقویت توانایی‌های حفظ صلح در منطقه، ترویج حقوق بشر، جلوگیری از فعالیت‌های غیرقانونی مرتبط با قاچاق غیرقانونی، و انجام تمرینات نظامی چند ملیتی طراحی شده برای تقویت مشارکت‌ها و در عین حال توسعه قابلیت‌های جمعی تلاش می‌کند.</w:t>
      </w:r>
    </w:p>
    <w:p>
      <w:pPr>
        <w:spacing w:after="28" w:line="216" w:lineRule="auto"/>
        <w:ind w:left="259"/>
        <w:jc w:val="left"/>
      </w:pPr>
      <w:r>
        <w:rPr>
          <w:rFonts w:ascii="Arial" w:hAnsi="Arial"/>
          <w:color w:val="525252"/>
          <w:sz w:val="13"/>
        </w:rPr>
        <w:t>USSOUTHCOM works to increase the security of the United States by engaging its partners to enhance the peacekeeping abilities of the region, promote human rights, deter illegal activities associated with illicit trafficking, and conduct multinational military exercises designed to strengthen partnerships while developing collective capabilities.</w:t>
      </w:r>
    </w:p>
    <w:p>
      <w:pPr>
        <w:spacing w:after="20" w:line="223" w:lineRule="auto"/>
        <w:jc w:val="right"/>
        <w:bidi/>
      </w:pPr>
      <w:r>
        <w:rPr>
          <w:rFonts w:ascii="Arial" w:hAnsi="Arial"/>
          <w:sz w:val="16"/>
        </w:rPr>
        <w:t>080.26  فرماندهی عملیات ویژه ایالات متحده.</w:t>
      </w:r>
    </w:p>
    <w:p>
      <w:pPr>
        <w:spacing w:after="28" w:line="216" w:lineRule="auto"/>
        <w:ind w:left="259"/>
        <w:jc w:val="left"/>
      </w:pPr>
      <w:r>
        <w:rPr>
          <w:rFonts w:ascii="Arial" w:hAnsi="Arial"/>
          <w:color w:val="525252"/>
          <w:sz w:val="13"/>
        </w:rPr>
        <w:t>United States Special Operations Command.</w:t>
      </w:r>
    </w:p>
    <w:p>
      <w:pPr>
        <w:spacing w:after="20" w:line="223" w:lineRule="auto"/>
        <w:jc w:val="right"/>
        <w:bidi/>
      </w:pPr>
      <w:r>
        <w:rPr>
          <w:rFonts w:ascii="Arial" w:hAnsi="Arial"/>
          <w:sz w:val="16"/>
        </w:rPr>
        <w:t>080.27  مقر فرماندهی عملیات ویژه ایالات متحده (USSOCOM) در پایگاه نیروی هوایی مک دیل، فلوریدا واقع شده است.</w:t>
      </w:r>
    </w:p>
    <w:p>
      <w:pPr>
        <w:spacing w:after="28" w:line="216" w:lineRule="auto"/>
        <w:ind w:left="259"/>
        <w:jc w:val="left"/>
      </w:pPr>
      <w:r>
        <w:rPr>
          <w:rFonts w:ascii="Arial" w:hAnsi="Arial"/>
          <w:color w:val="525252"/>
          <w:sz w:val="13"/>
        </w:rPr>
        <w:t>United States Special Operations Command (USSOCOM) headquarters is located at MacDill Air Force Base, Florida.</w:t>
      </w:r>
    </w:p>
    <w:p>
      <w:pPr>
        <w:spacing w:after="20" w:line="223" w:lineRule="auto"/>
        <w:jc w:val="right"/>
        <w:bidi/>
      </w:pPr>
      <w:r>
        <w:rPr>
          <w:rFonts w:ascii="Arial" w:hAnsi="Arial"/>
          <w:sz w:val="16"/>
        </w:rPr>
        <w:t>080.28  USSOCOM مسئول برنامه‌ریزی و اجرای عملیات ویژه است.</w:t>
      </w:r>
    </w:p>
    <w:p>
      <w:pPr>
        <w:spacing w:after="28" w:line="216" w:lineRule="auto"/>
        <w:ind w:left="259"/>
        <w:jc w:val="left"/>
      </w:pPr>
      <w:r>
        <w:rPr>
          <w:rFonts w:ascii="Arial" w:hAnsi="Arial"/>
          <w:color w:val="525252"/>
          <w:sz w:val="13"/>
        </w:rPr>
        <w:t>USSOCOM is responsible for planning and conducting special operations.</w:t>
      </w:r>
    </w:p>
    <w:p>
      <w:pPr>
        <w:spacing w:after="20" w:line="223" w:lineRule="auto"/>
        <w:jc w:val="right"/>
        <w:bidi/>
      </w:pPr>
      <w:r>
        <w:rPr>
          <w:rFonts w:ascii="Arial" w:hAnsi="Arial"/>
          <w:sz w:val="16"/>
        </w:rPr>
        <w:t>080.29  اقدام مستقیم را در قالب حملات کوتاه مدت و حملات در مقیاس کوچک، شناسایی ویژه، جنگ غیر متعارف، دفاع داخلی خارجی، عملیات امور داخلی، ضد تروریسم، عملیات روانی،</w:t>
      </w:r>
    </w:p>
    <w:p>
      <w:pPr>
        <w:spacing w:after="28" w:line="216" w:lineRule="auto"/>
        <w:ind w:left="259"/>
        <w:jc w:val="left"/>
      </w:pPr>
      <w:r>
        <w:rPr>
          <w:rFonts w:ascii="Arial" w:hAnsi="Arial"/>
          <w:color w:val="525252"/>
          <w:sz w:val="13"/>
        </w:rPr>
        <w:t>It offers direct action in the form of short duration strikes and small-scale offensives, special reconnaissance, unconventional warfare, foreign internal defense, civil affairs operations, counterterrorism, psychological operations,</w:t>
      </w:r>
    </w:p>
    <w:p>
      <w:r>
        <w:br w:type="page"/>
      </w:r>
    </w:p>
    <w:p>
      <w:pPr>
        <w:spacing w:after="60"/>
        <w:jc w:val="right"/>
        <w:bidi/>
      </w:pPr>
      <w:r>
        <w:rPr>
          <w:rFonts w:ascii="Arial" w:hAnsi="Arial"/>
          <w:b/>
          <w:color w:val="1F4D78"/>
          <w:sz w:val="19"/>
        </w:rPr>
        <w:t>هفتهٔ 81  |  صفحهٔ منبع: 97</w:t>
      </w:r>
    </w:p>
    <w:p>
      <w:pPr>
        <w:spacing w:after="20" w:line="223" w:lineRule="auto"/>
        <w:jc w:val="right"/>
        <w:bidi/>
      </w:pPr>
      <w:r>
        <w:rPr>
          <w:rFonts w:ascii="Arial" w:hAnsi="Arial"/>
          <w:sz w:val="16"/>
        </w:rPr>
        <w:t>081.01  عملیات اطلاعاتی، مقابله با گسترش سلاح‌های کشتار جمعی، کمک به نیروهای امنیتی، عملیات ضد شورش، و هر گونه فعالیت خاص که توسط رئیس جمهور یا وزیر دفاع ایالات متحده هدایت می‌شود.</w:t>
      </w:r>
    </w:p>
    <w:p>
      <w:pPr>
        <w:spacing w:after="28" w:line="216" w:lineRule="auto"/>
        <w:ind w:left="259"/>
        <w:jc w:val="left"/>
      </w:pPr>
      <w:r>
        <w:rPr>
          <w:rFonts w:ascii="Arial" w:hAnsi="Arial"/>
          <w:color w:val="525252"/>
          <w:sz w:val="13"/>
        </w:rPr>
        <w:t>information operations, counter-proliferation of weapons of mass destruction, security force assistance, counterinsurgency operations, and any specific activities directed by the U.S. President or the Secretary of Defense.</w:t>
      </w:r>
    </w:p>
    <w:p>
      <w:pPr>
        <w:spacing w:after="20" w:line="223" w:lineRule="auto"/>
        <w:jc w:val="right"/>
        <w:bidi/>
      </w:pPr>
      <w:r>
        <w:rPr>
          <w:rFonts w:ascii="Arial" w:hAnsi="Arial"/>
          <w:sz w:val="16"/>
        </w:rPr>
        <w:t>081.02  فرماندهی استراتژیک ایالات متحده.</w:t>
      </w:r>
    </w:p>
    <w:p>
      <w:pPr>
        <w:spacing w:after="28" w:line="216" w:lineRule="auto"/>
        <w:ind w:left="259"/>
        <w:jc w:val="left"/>
      </w:pPr>
      <w:r>
        <w:rPr>
          <w:rFonts w:ascii="Arial" w:hAnsi="Arial"/>
          <w:color w:val="525252"/>
          <w:sz w:val="13"/>
        </w:rPr>
        <w:t>United States Strategic Command.</w:t>
      </w:r>
    </w:p>
    <w:p>
      <w:pPr>
        <w:spacing w:after="20" w:line="223" w:lineRule="auto"/>
        <w:jc w:val="right"/>
        <w:bidi/>
      </w:pPr>
      <w:r>
        <w:rPr>
          <w:rFonts w:ascii="Arial" w:hAnsi="Arial"/>
          <w:sz w:val="16"/>
        </w:rPr>
        <w:t>081.03  مقر فرماندهی استراتژیک ایالات متحده (USSTRATCOM) در پایگاه نیروی هوایی وففوتت، نبراسکا واقع شده است.</w:t>
      </w:r>
    </w:p>
    <w:p>
      <w:pPr>
        <w:spacing w:after="28" w:line="216" w:lineRule="auto"/>
        <w:ind w:left="259"/>
        <w:jc w:val="left"/>
      </w:pPr>
      <w:r>
        <w:rPr>
          <w:rFonts w:ascii="Arial" w:hAnsi="Arial"/>
          <w:color w:val="525252"/>
          <w:sz w:val="13"/>
        </w:rPr>
        <w:t>United States Strategic Command (USSTRATCOM) headquarters is located at Offutt Air Force Base, Nebraska.</w:t>
      </w:r>
    </w:p>
    <w:p>
      <w:pPr>
        <w:spacing w:after="20" w:line="223" w:lineRule="auto"/>
        <w:jc w:val="right"/>
        <w:bidi/>
      </w:pPr>
      <w:r>
        <w:rPr>
          <w:rFonts w:ascii="Arial" w:hAnsi="Arial"/>
          <w:sz w:val="16"/>
        </w:rPr>
        <w:t>081.04  USSTRATCOM عملیات جهانی را با مشارکت سایر CCMD ها، خدمات و آژانس‌های دولتی ایالات متحده برای بازدارندگی و شناسایی حملات استراتژیک علیه ایالات متحده انجام می‌دهد.</w:t>
      </w:r>
    </w:p>
    <w:p>
      <w:pPr>
        <w:spacing w:after="28" w:line="216" w:lineRule="auto"/>
        <w:ind w:left="259"/>
        <w:jc w:val="left"/>
      </w:pPr>
      <w:r>
        <w:rPr>
          <w:rFonts w:ascii="Arial" w:hAnsi="Arial"/>
          <w:color w:val="525252"/>
          <w:sz w:val="13"/>
        </w:rPr>
        <w:t>USSTRATCOM conducts global operations in partnership with other CCMDs, services, and U.S. Government agencies, to deter and detect strategic attacks against the United States.</w:t>
      </w:r>
    </w:p>
    <w:p>
      <w:pPr>
        <w:spacing w:after="20" w:line="223" w:lineRule="auto"/>
        <w:jc w:val="right"/>
        <w:bidi/>
      </w:pPr>
      <w:r>
        <w:rPr>
          <w:rFonts w:ascii="Arial" w:hAnsi="Arial"/>
          <w:sz w:val="16"/>
        </w:rPr>
        <w:t>081.05  USSTRATCOM مسئول فرماندهی قابلیت‌های هسته‌ای، حمله جهانی، تجزیه و تحلیل عملیات مشترک طیف الکترومغناطیسی و هدف گیری، و ارزیابی تهدید موشکی است.</w:t>
      </w:r>
    </w:p>
    <w:p>
      <w:pPr>
        <w:spacing w:after="28" w:line="216" w:lineRule="auto"/>
        <w:ind w:left="259"/>
        <w:jc w:val="left"/>
      </w:pPr>
      <w:r>
        <w:rPr>
          <w:rFonts w:ascii="Arial" w:hAnsi="Arial"/>
          <w:color w:val="525252"/>
          <w:sz w:val="13"/>
        </w:rPr>
        <w:t>USSTRATCOM is responsible for command of nuclear capabilities, global strike, joint electromagnetic spectrum operations analysis and targeting, and missile threat assessment.</w:t>
      </w:r>
    </w:p>
    <w:p>
      <w:pPr>
        <w:spacing w:after="20" w:line="223" w:lineRule="auto"/>
        <w:jc w:val="right"/>
        <w:bidi/>
      </w:pPr>
      <w:r>
        <w:rPr>
          <w:rFonts w:ascii="Arial" w:hAnsi="Arial"/>
          <w:sz w:val="16"/>
        </w:rPr>
        <w:t>081.06  فرماندهی سایبری ایالات متحده.</w:t>
      </w:r>
    </w:p>
    <w:p>
      <w:pPr>
        <w:spacing w:after="28" w:line="216" w:lineRule="auto"/>
        <w:ind w:left="259"/>
        <w:jc w:val="left"/>
      </w:pPr>
      <w:r>
        <w:rPr>
          <w:rFonts w:ascii="Arial" w:hAnsi="Arial"/>
          <w:color w:val="525252"/>
          <w:sz w:val="13"/>
        </w:rPr>
        <w:t>United States Cyber Command.</w:t>
      </w:r>
    </w:p>
    <w:p>
      <w:pPr>
        <w:spacing w:after="20" w:line="223" w:lineRule="auto"/>
        <w:jc w:val="right"/>
        <w:bidi/>
      </w:pPr>
      <w:r>
        <w:rPr>
          <w:rFonts w:ascii="Arial" w:hAnsi="Arial"/>
          <w:sz w:val="16"/>
        </w:rPr>
        <w:t>081.07  مقر فرماندهی سایبری ایالات متحده (USCYBERCOM) در فورت مید، مریلند واقع شده است.</w:t>
      </w:r>
    </w:p>
    <w:p>
      <w:pPr>
        <w:spacing w:after="28" w:line="216" w:lineRule="auto"/>
        <w:ind w:left="259"/>
        <w:jc w:val="left"/>
      </w:pPr>
      <w:r>
        <w:rPr>
          <w:rFonts w:ascii="Arial" w:hAnsi="Arial"/>
          <w:color w:val="525252"/>
          <w:sz w:val="13"/>
        </w:rPr>
        <w:t>United States Cyber Command (USCYBERCOM) headquarters is located at Fort Meade, Maryland.</w:t>
      </w:r>
    </w:p>
    <w:p>
      <w:pPr>
        <w:spacing w:after="20" w:line="223" w:lineRule="auto"/>
        <w:jc w:val="right"/>
        <w:bidi/>
      </w:pPr>
      <w:r>
        <w:rPr>
          <w:rFonts w:ascii="Arial" w:hAnsi="Arial"/>
          <w:sz w:val="16"/>
        </w:rPr>
        <w:t>081.08  USCYBERCOM مسئول دستیابی و حفظ برتری فضای سایبری در راستای همسویی با استراتژی امنیت ملی و استراتژی دفاع ملی به‌عنوان یک جزء حیاتی برای پیشبرد منافع ملی است.</w:t>
      </w:r>
    </w:p>
    <w:p>
      <w:pPr>
        <w:spacing w:after="28" w:line="216" w:lineRule="auto"/>
        <w:ind w:left="259"/>
        <w:jc w:val="left"/>
      </w:pPr>
      <w:r>
        <w:rPr>
          <w:rFonts w:ascii="Arial" w:hAnsi="Arial"/>
          <w:color w:val="525252"/>
          <w:sz w:val="13"/>
        </w:rPr>
        <w:t>USCYBERCOM is responsible for achieving and maintaining cyberspace superiority in alignment with the National Security Strategy and National Defense Strategy as a critical component of advancing national interests.</w:t>
      </w:r>
    </w:p>
    <w:p>
      <w:pPr>
        <w:spacing w:after="20" w:line="223" w:lineRule="auto"/>
        <w:jc w:val="right"/>
        <w:bidi/>
      </w:pPr>
      <w:r>
        <w:rPr>
          <w:rFonts w:ascii="Arial" w:hAnsi="Arial"/>
          <w:sz w:val="16"/>
        </w:rPr>
        <w:t>081.09  فرماندهی حمل و نقل ایالات متحده.</w:t>
      </w:r>
    </w:p>
    <w:p>
      <w:pPr>
        <w:spacing w:after="28" w:line="216" w:lineRule="auto"/>
        <w:ind w:left="259"/>
        <w:jc w:val="left"/>
      </w:pPr>
      <w:r>
        <w:rPr>
          <w:rFonts w:ascii="Arial" w:hAnsi="Arial"/>
          <w:color w:val="525252"/>
          <w:sz w:val="13"/>
        </w:rPr>
        <w:t>United States Transportation Command.</w:t>
      </w:r>
    </w:p>
    <w:p>
      <w:pPr>
        <w:spacing w:after="20" w:line="223" w:lineRule="auto"/>
        <w:jc w:val="right"/>
        <w:bidi/>
      </w:pPr>
      <w:r>
        <w:rPr>
          <w:rFonts w:ascii="Arial" w:hAnsi="Arial"/>
          <w:sz w:val="16"/>
        </w:rPr>
        <w:t>081.10  مقر فرماندهی حمل و نقل ایالات متحده (USTRANSCOM) در پایگاه نیروی هوایی اسکات، ایلینوی واقع شده است.</w:t>
      </w:r>
    </w:p>
    <w:p>
      <w:pPr>
        <w:spacing w:after="28" w:line="216" w:lineRule="auto"/>
        <w:ind w:left="259"/>
        <w:jc w:val="left"/>
      </w:pPr>
      <w:r>
        <w:rPr>
          <w:rFonts w:ascii="Arial" w:hAnsi="Arial"/>
          <w:color w:val="525252"/>
          <w:sz w:val="13"/>
        </w:rPr>
        <w:t>United States Transportation Command (USTRANSCOM) headquarters is located at Scott Air Force Base, Illinois.</w:t>
      </w:r>
    </w:p>
    <w:p>
      <w:pPr>
        <w:spacing w:after="20" w:line="223" w:lineRule="auto"/>
        <w:jc w:val="right"/>
        <w:bidi/>
      </w:pPr>
      <w:r>
        <w:rPr>
          <w:rFonts w:ascii="Arial" w:hAnsi="Arial"/>
          <w:sz w:val="16"/>
        </w:rPr>
        <w:t>081.11  USTRANSCOM عملیات تحرک یکپارچه جهانی را انجام می‌دهد، شرکت گسترده‌تر استقرار و توزیع مشترک را رهبری می‌کند، و قابلیت‌های توانمندی را برای طرح و حفظ نیروی مشترک در حمایت از اهداف ملی فراهم می‌کند.</w:t>
      </w:r>
    </w:p>
    <w:p>
      <w:pPr>
        <w:spacing w:after="28" w:line="216" w:lineRule="auto"/>
        <w:ind w:left="259"/>
        <w:jc w:val="left"/>
      </w:pPr>
      <w:r>
        <w:rPr>
          <w:rFonts w:ascii="Arial" w:hAnsi="Arial"/>
          <w:color w:val="525252"/>
          <w:sz w:val="13"/>
        </w:rPr>
        <w:t>USTRANSCOM conducts globally integrated mobility operations, leads the broader Joint Deployment and Distribution Enterprise, and provides enabling capabilities in order to project and sustain the Joint Force in support of national objectives.</w:t>
      </w:r>
    </w:p>
    <w:p>
      <w:pPr>
        <w:spacing w:after="20" w:line="223" w:lineRule="auto"/>
        <w:jc w:val="right"/>
        <w:bidi/>
      </w:pPr>
      <w:r>
        <w:rPr>
          <w:rFonts w:ascii="Arial" w:hAnsi="Arial"/>
          <w:sz w:val="16"/>
        </w:rPr>
        <w:t>081.12  فرماندهی فضایی ایالات متحده.</w:t>
      </w:r>
    </w:p>
    <w:p>
      <w:pPr>
        <w:spacing w:after="28" w:line="216" w:lineRule="auto"/>
        <w:ind w:left="259"/>
        <w:jc w:val="left"/>
      </w:pPr>
      <w:r>
        <w:rPr>
          <w:rFonts w:ascii="Arial" w:hAnsi="Arial"/>
          <w:color w:val="525252"/>
          <w:sz w:val="13"/>
        </w:rPr>
        <w:t>United States Space Command.</w:t>
      </w:r>
    </w:p>
    <w:p>
      <w:pPr>
        <w:spacing w:after="20" w:line="223" w:lineRule="auto"/>
        <w:jc w:val="right"/>
        <w:bidi/>
      </w:pPr>
      <w:r>
        <w:rPr>
          <w:rFonts w:ascii="Arial" w:hAnsi="Arial"/>
          <w:sz w:val="16"/>
        </w:rPr>
        <w:t>081.13  مقر فرماندهی فضایی ایالات متحده (USSPACECOM) در پایگاه نیروی هوایی پیترسون، کلرادو واقع شده است.</w:t>
      </w:r>
    </w:p>
    <w:p>
      <w:pPr>
        <w:spacing w:after="28" w:line="216" w:lineRule="auto"/>
        <w:ind w:left="259"/>
        <w:jc w:val="left"/>
      </w:pPr>
      <w:r>
        <w:rPr>
          <w:rFonts w:ascii="Arial" w:hAnsi="Arial"/>
          <w:color w:val="525252"/>
          <w:sz w:val="13"/>
        </w:rPr>
        <w:t>United States Space Command (USSPACECOM) headquarters is located at Peterson Air Force Base, Colorado.</w:t>
      </w:r>
    </w:p>
    <w:p>
      <w:pPr>
        <w:spacing w:after="20" w:line="223" w:lineRule="auto"/>
        <w:jc w:val="right"/>
        <w:bidi/>
      </w:pPr>
      <w:r>
        <w:rPr>
          <w:rFonts w:ascii="Arial" w:hAnsi="Arial"/>
          <w:sz w:val="16"/>
        </w:rPr>
        <w:t>081.14  USSPACECOM عملیاتی را در فضا، از و به فضا برای جلوگیری از درگیری، و در صورت لزوم، شکست تهاجم، ارائه قدرت جنگی فضایی برای نیروی مشترک/ترکیب و دفاع از منافع حیاتی ایالات متحده با متحدان و شرکا انجام می‌دهد.</w:t>
      </w:r>
    </w:p>
    <w:p>
      <w:pPr>
        <w:spacing w:after="28" w:line="216" w:lineRule="auto"/>
        <w:ind w:left="259"/>
        <w:jc w:val="left"/>
      </w:pPr>
      <w:r>
        <w:rPr>
          <w:rFonts w:ascii="Arial" w:hAnsi="Arial"/>
          <w:color w:val="525252"/>
          <w:sz w:val="13"/>
        </w:rPr>
        <w:t>USSPACECOM conducts operations in, from and to space to deter conflict, and, if necessary, defeat aggression, deliver space combat power for the Joint/Combined Force and defend U.S. vital interests with allies and partners.</w:t>
      </w:r>
    </w:p>
    <w:p>
      <w:pPr>
        <w:spacing w:after="20" w:line="223" w:lineRule="auto"/>
        <w:jc w:val="right"/>
        <w:bidi/>
      </w:pPr>
      <w:r>
        <w:rPr>
          <w:rFonts w:ascii="Arial" w:hAnsi="Arial"/>
          <w:sz w:val="16"/>
        </w:rPr>
        <w:t>081.15  در نهایت، قدرت جنگی فضایی همان چیزی است که USSPACECOM تضمین می‌کند که هرگز روزی بدون فضا نخواهد بود.</w:t>
      </w:r>
    </w:p>
    <w:p>
      <w:pPr>
        <w:spacing w:after="28" w:line="216" w:lineRule="auto"/>
        <w:ind w:left="259"/>
        <w:jc w:val="left"/>
      </w:pPr>
      <w:r>
        <w:rPr>
          <w:rFonts w:ascii="Arial" w:hAnsi="Arial"/>
          <w:color w:val="525252"/>
          <w:sz w:val="13"/>
        </w:rPr>
        <w:t>Ultimately, space combat power is how USSPACECOM ensures there is never a day without space.</w:t>
      </w:r>
    </w:p>
    <w:p>
      <w:pPr>
        <w:spacing w:before="60" w:after="28"/>
        <w:jc w:val="right"/>
        <w:bidi/>
      </w:pPr>
      <w:r>
        <w:rPr>
          <w:b/>
          <w:color w:val="1F4D78"/>
          <w:sz w:val="18"/>
        </w:rPr>
        <w:t>5.9. جزء خدمات USAF به یک فرمانده رزمنده</w:t>
      </w:r>
    </w:p>
    <w:p>
      <w:pPr>
        <w:spacing w:after="20"/>
        <w:ind w:left="259"/>
        <w:jc w:val="left"/>
      </w:pPr>
      <w:r>
        <w:rPr>
          <w:color w:val="555555"/>
          <w:sz w:val="12"/>
        </w:rPr>
        <w:t>5.9. USAF Service Component to a Combatant Commander</w:t>
      </w:r>
    </w:p>
    <w:p>
      <w:pPr>
        <w:spacing w:after="20" w:line="223" w:lineRule="auto"/>
        <w:jc w:val="right"/>
        <w:bidi/>
      </w:pPr>
      <w:r>
        <w:rPr>
          <w:rFonts w:ascii="Arial" w:hAnsi="Arial"/>
          <w:sz w:val="16"/>
        </w:rPr>
        <w:t>081.17  مطابق با عنوان ۱۰ کد ایالات متحده، نیروهای مسلح و طرح فرماندهی یکپارچه، وزیر نیروی هوایی، مطابق با دستور وزیر دفاع، نیروهای نیروی هوایی را به فرماندهی اجزای خدمات نیروی هوایی، تحت فرماندهی یک فرمانده، نیروی هوایی (COMAF) انتخاب و منصوب می‌کند.</w:t>
      </w:r>
    </w:p>
    <w:p>
      <w:pPr>
        <w:spacing w:after="28" w:line="216" w:lineRule="auto"/>
        <w:ind w:left="259"/>
        <w:jc w:val="left"/>
      </w:pPr>
      <w:r>
        <w:rPr>
          <w:rFonts w:ascii="Arial" w:hAnsi="Arial"/>
          <w:color w:val="525252"/>
          <w:sz w:val="13"/>
        </w:rPr>
        <w:t>In compliance with Title 10 United States Code, Armed Forces, and the Unified Command Plan, the Secretary of the Air Force, in accordance with direction of the Secretary of Defense, selects and assigns Air Force forces to Air Force Service Component Commands, commanded by a Commander, Air Force Forces (COMAFFOR).</w:t>
      </w:r>
    </w:p>
    <w:p>
      <w:pPr>
        <w:spacing w:after="20" w:line="223" w:lineRule="auto"/>
        <w:jc w:val="right"/>
        <w:bidi/>
      </w:pPr>
      <w:r>
        <w:rPr>
          <w:rFonts w:ascii="Arial" w:hAnsi="Arial"/>
          <w:sz w:val="16"/>
        </w:rPr>
        <w:t>081.18  تحت زنجیره فرماندهی عملیاتی، COMAFFOR به یک فرمانده نیروی مشترک منصوب می‌شود که معمولا اختیارات عملیاتی (که کنترل عملیاتی یا OPCON نیز نامیده می‌شود) را به نیروی هوایی و تحت زنجیره اداری فرماندهی، اختیار اداری (که کنترل اداری یا ADCON نیز نامیده می‌شود) به دبیر نیروی هوایی واگذار می‌کند.</w:t>
      </w:r>
    </w:p>
    <w:p>
      <w:pPr>
        <w:spacing w:after="28" w:line="216" w:lineRule="auto"/>
        <w:ind w:left="259"/>
        <w:jc w:val="left"/>
      </w:pPr>
      <w:r>
        <w:rPr>
          <w:rFonts w:ascii="Arial" w:hAnsi="Arial"/>
          <w:color w:val="525252"/>
          <w:sz w:val="13"/>
        </w:rPr>
        <w:t>Under the operational chain of command, The COMAFFOR is assigned to a joint force commander who typically delegates operational authority (also called operational control or OPCON) of the Air Force, and under the administrative chain of command, administrative authority (also called administrative control or ADCON) of the Secretary of the Air Force.</w:t>
      </w:r>
    </w:p>
    <w:p>
      <w:pPr>
        <w:spacing w:after="20" w:line="223" w:lineRule="auto"/>
        <w:jc w:val="right"/>
        <w:bidi/>
      </w:pPr>
      <w:r>
        <w:rPr>
          <w:rFonts w:ascii="Arial" w:hAnsi="Arial"/>
          <w:sz w:val="16"/>
        </w:rPr>
        <w:t>081.19  جزئیات بیشتر را می‌توانید در AFI ۳۸-۱۰۱، نیروی انسانی و سازمان پیدا کنید.</w:t>
      </w:r>
    </w:p>
    <w:p>
      <w:pPr>
        <w:spacing w:after="28" w:line="216" w:lineRule="auto"/>
        <w:ind w:left="259"/>
        <w:jc w:val="left"/>
      </w:pPr>
      <w:r>
        <w:rPr>
          <w:rFonts w:ascii="Arial" w:hAnsi="Arial"/>
          <w:color w:val="525252"/>
          <w:sz w:val="13"/>
        </w:rPr>
        <w:t>Further details can be found in AFI 38-101, Manpower and Organization.</w:t>
      </w:r>
    </w:p>
    <w:p>
      <w:r>
        <w:br w:type="page"/>
      </w:r>
    </w:p>
    <w:p>
      <w:pPr>
        <w:spacing w:after="60"/>
        <w:jc w:val="right"/>
        <w:bidi/>
      </w:pPr>
      <w:r>
        <w:rPr>
          <w:rFonts w:ascii="Arial" w:hAnsi="Arial"/>
          <w:b/>
          <w:color w:val="1F4D78"/>
          <w:sz w:val="19"/>
        </w:rPr>
        <w:t>هفتهٔ 82  |  صفحهٔ منبع: 98</w:t>
      </w:r>
    </w:p>
    <w:p>
      <w:pPr>
        <w:spacing w:before="60" w:after="28"/>
        <w:jc w:val="right"/>
        <w:bidi/>
      </w:pPr>
      <w:r>
        <w:rPr>
          <w:b/>
          <w:color w:val="1F4D78"/>
          <w:sz w:val="18"/>
        </w:rPr>
        <w:t>بخش 5D - نیروی کل USAF</w:t>
      </w:r>
    </w:p>
    <w:p>
      <w:pPr>
        <w:spacing w:after="20"/>
        <w:ind w:left="259"/>
        <w:jc w:val="left"/>
      </w:pPr>
      <w:r>
        <w:rPr>
          <w:color w:val="555555"/>
          <w:sz w:val="12"/>
        </w:rPr>
        <w:t>Section 5D—USAF Total Force</w:t>
      </w:r>
    </w:p>
    <w:p>
      <w:pPr>
        <w:spacing w:before="60" w:after="28"/>
        <w:jc w:val="right"/>
        <w:bidi/>
      </w:pPr>
      <w:r>
        <w:rPr>
          <w:b/>
          <w:color w:val="1F4D78"/>
          <w:sz w:val="18"/>
        </w:rPr>
        <w:t>5.10. یک تیم</w:t>
      </w:r>
    </w:p>
    <w:p>
      <w:pPr>
        <w:spacing w:after="20"/>
        <w:ind w:left="259"/>
        <w:jc w:val="left"/>
      </w:pPr>
      <w:r>
        <w:rPr>
          <w:color w:val="555555"/>
          <w:sz w:val="12"/>
        </w:rPr>
        <w:t>5.10. One Team</w:t>
      </w:r>
    </w:p>
    <w:p>
      <w:pPr>
        <w:spacing w:after="20" w:line="223" w:lineRule="auto"/>
        <w:jc w:val="right"/>
        <w:bidi/>
      </w:pPr>
      <w:r>
        <w:rPr>
          <w:rFonts w:ascii="Arial" w:hAnsi="Arial"/>
          <w:sz w:val="16"/>
        </w:rPr>
        <w:t>082.03  نیروی کل USAF یک تیم است - USAF.</w:t>
      </w:r>
    </w:p>
    <w:p>
      <w:pPr>
        <w:spacing w:after="28" w:line="216" w:lineRule="auto"/>
        <w:ind w:left="259"/>
        <w:jc w:val="left"/>
      </w:pPr>
      <w:r>
        <w:rPr>
          <w:rFonts w:ascii="Arial" w:hAnsi="Arial"/>
          <w:color w:val="525252"/>
          <w:sz w:val="13"/>
        </w:rPr>
        <w:t>The USAF Total Force is one team—the USAF.</w:t>
      </w:r>
    </w:p>
    <w:p>
      <w:pPr>
        <w:spacing w:after="20" w:line="223" w:lineRule="auto"/>
        <w:jc w:val="right"/>
        <w:bidi/>
      </w:pPr>
      <w:r>
        <w:rPr>
          <w:rFonts w:ascii="Arial" w:hAnsi="Arial"/>
          <w:sz w:val="16"/>
        </w:rPr>
        <w:t>082.04  از اعضای نظامی و غیرنظامی (از جمله پیمانکاران) تشکیل شده است که در سه بخش خدمت می‌کنند: رگاف، USAF رسرو، و ایر گوارد ناتیونال.</w:t>
      </w:r>
    </w:p>
    <w:p>
      <w:pPr>
        <w:spacing w:after="28" w:line="216" w:lineRule="auto"/>
        <w:ind w:left="259"/>
        <w:jc w:val="left"/>
      </w:pPr>
      <w:r>
        <w:rPr>
          <w:rFonts w:ascii="Arial" w:hAnsi="Arial"/>
          <w:color w:val="525252"/>
          <w:sz w:val="13"/>
        </w:rPr>
        <w:t>It is comprised of military and civilian members (including contractors), serving within three components: the RegAF, USAF Reserve, and Air National Guard.</w:t>
      </w:r>
    </w:p>
    <w:p>
      <w:pPr>
        <w:spacing w:after="20" w:line="223" w:lineRule="auto"/>
        <w:jc w:val="right"/>
        <w:bidi/>
      </w:pPr>
      <w:r>
        <w:rPr>
          <w:rFonts w:ascii="Arial" w:hAnsi="Arial"/>
          <w:sz w:val="16"/>
        </w:rPr>
        <w:t>082.05  هر جزء استعدادها و قابلیت هایی را به همراه دارد که باید برای انجام مأموریت USAF ادغام شوند.</w:t>
      </w:r>
    </w:p>
    <w:p>
      <w:pPr>
        <w:spacing w:after="28" w:line="216" w:lineRule="auto"/>
        <w:ind w:left="259"/>
        <w:jc w:val="left"/>
      </w:pPr>
      <w:r>
        <w:rPr>
          <w:rFonts w:ascii="Arial" w:hAnsi="Arial"/>
          <w:color w:val="525252"/>
          <w:sz w:val="13"/>
        </w:rPr>
        <w:t>Each component brings talents and capabilities that must be integrated to perform the USAF mission.</w:t>
      </w:r>
    </w:p>
    <w:p>
      <w:pPr>
        <w:spacing w:after="20" w:line="223" w:lineRule="auto"/>
        <w:jc w:val="right"/>
        <w:bidi/>
      </w:pPr>
      <w:r>
        <w:rPr>
          <w:rFonts w:ascii="Arial" w:hAnsi="Arial"/>
          <w:sz w:val="16"/>
        </w:rPr>
        <w:t>082.06  الزامات بالا و تقاضای استقرار مکرر گارد ملی هوایی و رزرو USAF در چند دهه گذشته، یک نیروی ذخیره استراتژیک سنتی را به نیرویی تبدیل کرده است که قابلیت عملیاتی، عمق استراتژیک و ظرفیت موج را فراهم می‌کند.</w:t>
      </w:r>
    </w:p>
    <w:p>
      <w:pPr>
        <w:spacing w:after="28" w:line="216" w:lineRule="auto"/>
        <w:ind w:left="259"/>
        <w:jc w:val="left"/>
      </w:pPr>
      <w:r>
        <w:rPr>
          <w:rFonts w:ascii="Arial" w:hAnsi="Arial"/>
          <w:color w:val="525252"/>
          <w:sz w:val="13"/>
        </w:rPr>
        <w:t>Elevated requirements and the demands of recurring deployments of the Air National Guard and USAF Reserve over the past few decades have transformed a traditionally strategic Reserve Force into a force that provides operational capability, strategic depth, and surge capacity.</w:t>
      </w:r>
    </w:p>
    <w:p>
      <w:pPr>
        <w:spacing w:after="20" w:line="223" w:lineRule="auto"/>
        <w:jc w:val="right"/>
        <w:bidi/>
      </w:pPr>
      <w:r>
        <w:rPr>
          <w:rFonts w:ascii="Arial" w:hAnsi="Arial"/>
          <w:sz w:val="16"/>
        </w:rPr>
        <w:t>082.07  توان هوایی را نمی‌توان به‌طور کارآمد و مؤثر بدون مشارکت هر یک از اجزاء با هم به کار برد.</w:t>
      </w:r>
    </w:p>
    <w:p>
      <w:pPr>
        <w:spacing w:after="28" w:line="216" w:lineRule="auto"/>
        <w:ind w:left="259"/>
        <w:jc w:val="left"/>
      </w:pPr>
      <w:r>
        <w:rPr>
          <w:rFonts w:ascii="Arial" w:hAnsi="Arial"/>
          <w:color w:val="525252"/>
          <w:sz w:val="13"/>
        </w:rPr>
        <w:t>Airpower cannot be applied efficiently and effectively without the contributions of each component working together.</w:t>
      </w:r>
    </w:p>
    <w:p>
      <w:pPr>
        <w:spacing w:after="20" w:line="223" w:lineRule="auto"/>
        <w:jc w:val="right"/>
        <w:bidi/>
      </w:pPr>
      <w:r>
        <w:rPr>
          <w:rFonts w:ascii="Arial" w:hAnsi="Arial"/>
          <w:sz w:val="16"/>
        </w:rPr>
        <w:t>082.08  رگاف، رسرو و گوارد نیروهای هوایی چندین دهه به‌عنوان یک تیم مستقر شده و جنگیده‌اند و تقریبا در میدان جنگ قابل تشخیص نیستند.</w:t>
      </w:r>
    </w:p>
    <w:p>
      <w:pPr>
        <w:spacing w:after="28" w:line="216" w:lineRule="auto"/>
        <w:ind w:left="259"/>
        <w:jc w:val="left"/>
      </w:pPr>
      <w:r>
        <w:rPr>
          <w:rFonts w:ascii="Arial" w:hAnsi="Arial"/>
          <w:color w:val="525252"/>
          <w:sz w:val="13"/>
        </w:rPr>
        <w:t>RegAF, Reserve, and Guard Airmen have deployed and fought as one team for decades and are nearly indistinguishable on the battlefield.</w:t>
      </w:r>
    </w:p>
    <w:p>
      <w:pPr>
        <w:spacing w:after="20" w:line="223" w:lineRule="auto"/>
        <w:jc w:val="right"/>
        <w:bidi/>
      </w:pPr>
      <w:r>
        <w:rPr>
          <w:rFonts w:ascii="Arial" w:hAnsi="Arial"/>
          <w:sz w:val="16"/>
        </w:rPr>
        <w:t>082.09  علاوه بر این، هوانوردان غیرنظامی هر روز دوشادوش همتایان نظامی خود کار می‌کنند و برای موفقیت مأموریت بسیار مهم هستند.</w:t>
      </w:r>
    </w:p>
    <w:p>
      <w:pPr>
        <w:spacing w:after="28" w:line="216" w:lineRule="auto"/>
        <w:ind w:left="259"/>
        <w:jc w:val="left"/>
      </w:pPr>
      <w:r>
        <w:rPr>
          <w:rFonts w:ascii="Arial" w:hAnsi="Arial"/>
          <w:color w:val="525252"/>
          <w:sz w:val="13"/>
        </w:rPr>
        <w:t>Additionally, civilian Airmen work side by side daily with their military counterparts and are critical to mission success.</w:t>
      </w:r>
    </w:p>
    <w:p>
      <w:pPr>
        <w:spacing w:after="20" w:line="223" w:lineRule="auto"/>
        <w:jc w:val="right"/>
        <w:bidi/>
      </w:pPr>
      <w:r>
        <w:rPr>
          <w:rFonts w:ascii="Arial" w:hAnsi="Arial"/>
          <w:sz w:val="16"/>
        </w:rPr>
        <w:t>082.10  کارکنان غیرنظامی تجربه، تداوم و رهبری ارزشمندی را در همه مجموعه‌های مأموریت ارائه می‌کنند و دیدگاهی را ارائه می‌کنند که دیدگاه USAF را گسترش می‌دهد و توانایی ما را برای حل مشکلات، سازگاری با چالش‌های جدید و دستیابی به موفقیت در مأموریت افزایش می‌دهد.</w:t>
      </w:r>
    </w:p>
    <w:p>
      <w:pPr>
        <w:spacing w:after="28" w:line="216" w:lineRule="auto"/>
        <w:ind w:left="259"/>
        <w:jc w:val="left"/>
      </w:pPr>
      <w:r>
        <w:rPr>
          <w:rFonts w:ascii="Arial" w:hAnsi="Arial"/>
          <w:color w:val="525252"/>
          <w:sz w:val="13"/>
        </w:rPr>
        <w:t>Civilian employees provide invaluable experience, continuity, and leadership in all mission sets, and contribute a viewpoint that expands the USAF perspective and enhances our capability to solve problems, adapt to new challenges, and achieve mission success.</w:t>
      </w:r>
    </w:p>
    <w:p>
      <w:pPr>
        <w:spacing w:after="20" w:line="223" w:lineRule="auto"/>
        <w:jc w:val="right"/>
        <w:bidi/>
      </w:pPr>
      <w:r>
        <w:rPr>
          <w:rFonts w:ascii="Arial" w:hAnsi="Arial"/>
          <w:sz w:val="16"/>
        </w:rPr>
        <w:t>082.11  استفاده از قدرت نیروی کل، استفاده و هم افزایی نیروهای چابک و منابع هوایی را به حداکثر می‌رساند.</w:t>
      </w:r>
    </w:p>
    <w:p>
      <w:pPr>
        <w:spacing w:after="28" w:line="216" w:lineRule="auto"/>
        <w:ind w:left="259"/>
        <w:jc w:val="left"/>
      </w:pPr>
      <w:r>
        <w:rPr>
          <w:rFonts w:ascii="Arial" w:hAnsi="Arial"/>
          <w:color w:val="525252"/>
          <w:sz w:val="13"/>
        </w:rPr>
        <w:t>Leveraging the strength of the Total Force maximizes the use and synergy of agile Airmen and resources.</w:t>
      </w:r>
    </w:p>
    <w:p>
      <w:pPr>
        <w:spacing w:after="20" w:line="223" w:lineRule="auto"/>
        <w:jc w:val="right"/>
        <w:bidi/>
      </w:pPr>
      <w:r>
        <w:rPr>
          <w:rFonts w:ascii="Arial" w:hAnsi="Arial"/>
          <w:sz w:val="16"/>
        </w:rPr>
        <w:t>082.12  سازمان‌هایی که تحت ادغام توتال فورس طراحی شده‌اند، تجهیزات، امکانات و منابع را برای انجام یک مأموریت مشترک به اشتراک می‌گذارند.</w:t>
      </w:r>
    </w:p>
    <w:p>
      <w:pPr>
        <w:spacing w:after="28" w:line="216" w:lineRule="auto"/>
        <w:ind w:left="259"/>
        <w:jc w:val="left"/>
      </w:pPr>
      <w:r>
        <w:rPr>
          <w:rFonts w:ascii="Arial" w:hAnsi="Arial"/>
          <w:color w:val="525252"/>
          <w:sz w:val="13"/>
        </w:rPr>
        <w:t>Organizations designed under Total Force integration share equipment, facilities, and resources to carry out a common mission.</w:t>
      </w:r>
    </w:p>
    <w:p>
      <w:pPr>
        <w:spacing w:after="20" w:line="223" w:lineRule="auto"/>
        <w:jc w:val="right"/>
        <w:bidi/>
      </w:pPr>
      <w:r>
        <w:rPr>
          <w:rFonts w:ascii="Arial" w:hAnsi="Arial"/>
          <w:sz w:val="16"/>
        </w:rPr>
        <w:t>082.13  تحت یک انجمن کلاسیک، کامپوننت منظم واحد میزبان است و مسئولیت سیستم سلاح را حفظ می‌کند و در عین حال مأموریت را با واحد مستأجر رزرو یا نگهبان به اشتراک می‌گذارد.</w:t>
      </w:r>
    </w:p>
    <w:p>
      <w:pPr>
        <w:spacing w:after="28" w:line="216" w:lineRule="auto"/>
        <w:ind w:left="259"/>
        <w:jc w:val="left"/>
      </w:pPr>
      <w:r>
        <w:rPr>
          <w:rFonts w:ascii="Arial" w:hAnsi="Arial"/>
          <w:color w:val="525252"/>
          <w:sz w:val="13"/>
        </w:rPr>
        <w:t>Under a classic association, the Regular Component is the host unit, retaining weapon system responsibility, while sharing the mission with a Reserve or Guard tenant unit.</w:t>
      </w:r>
    </w:p>
    <w:p>
      <w:pPr>
        <w:spacing w:after="20" w:line="223" w:lineRule="auto"/>
        <w:jc w:val="right"/>
        <w:bidi/>
      </w:pPr>
      <w:r>
        <w:rPr>
          <w:rFonts w:ascii="Arial" w:hAnsi="Arial"/>
          <w:sz w:val="16"/>
        </w:rPr>
        <w:t>082.14  تحت یک انجمن فعال، واحد رزرو یا نگهبان میزبان است، با یک مستاجر جزء معمولی.</w:t>
      </w:r>
    </w:p>
    <w:p>
      <w:pPr>
        <w:spacing w:after="28" w:line="216" w:lineRule="auto"/>
        <w:ind w:left="259"/>
        <w:jc w:val="left"/>
      </w:pPr>
      <w:r>
        <w:rPr>
          <w:rFonts w:ascii="Arial" w:hAnsi="Arial"/>
          <w:color w:val="525252"/>
          <w:sz w:val="13"/>
        </w:rPr>
        <w:t>Under an active association, the Reserve or Guard unit is host, with a Regular Component tenant.</w:t>
      </w:r>
    </w:p>
    <w:p>
      <w:pPr>
        <w:spacing w:after="20" w:line="223" w:lineRule="auto"/>
        <w:jc w:val="right"/>
        <w:bidi/>
      </w:pPr>
      <w:r>
        <w:rPr>
          <w:rFonts w:ascii="Arial" w:hAnsi="Arial"/>
          <w:sz w:val="16"/>
        </w:rPr>
        <w:t>082.15  ادغام با کامپوننت معمولی به این روش، مزایای هم افزایی متعددی را برای قدرت USAF به همراه دارد، از جمله توانایی بهبود یافته برای پاسخگویی با ظرفیت افزایش در لحظه.</w:t>
      </w:r>
    </w:p>
    <w:p>
      <w:pPr>
        <w:spacing w:after="28" w:line="216" w:lineRule="auto"/>
        <w:ind w:left="259"/>
        <w:jc w:val="left"/>
      </w:pPr>
      <w:r>
        <w:rPr>
          <w:rFonts w:ascii="Arial" w:hAnsi="Arial"/>
          <w:color w:val="525252"/>
          <w:sz w:val="13"/>
        </w:rPr>
        <w:t>Integrating with the Regular Component in this way yields numerous synergistic benefits to the USAF’s strength, including an improved ability to respond with surge capacity at a moment’s notice.</w:t>
      </w:r>
    </w:p>
    <w:p>
      <w:pPr>
        <w:spacing w:before="60" w:after="28"/>
        <w:jc w:val="right"/>
        <w:bidi/>
      </w:pPr>
      <w:r>
        <w:rPr>
          <w:b/>
          <w:color w:val="1F4D78"/>
          <w:sz w:val="18"/>
        </w:rPr>
        <w:t>5.11. جزء ذخیره هوا</w:t>
      </w:r>
    </w:p>
    <w:p>
      <w:pPr>
        <w:spacing w:after="20"/>
        <w:ind w:left="259"/>
        <w:jc w:val="left"/>
      </w:pPr>
      <w:r>
        <w:rPr>
          <w:color w:val="555555"/>
          <w:sz w:val="12"/>
        </w:rPr>
        <w:t>5.11. Air Reserve Component</w:t>
      </w:r>
    </w:p>
    <w:p>
      <w:pPr>
        <w:spacing w:after="20" w:line="223" w:lineRule="auto"/>
        <w:jc w:val="right"/>
        <w:bidi/>
      </w:pPr>
      <w:r>
        <w:rPr>
          <w:rFonts w:ascii="Arial" w:hAnsi="Arial"/>
          <w:sz w:val="16"/>
        </w:rPr>
        <w:t>082.17  گارد ملی هوایی و رزرو USAF بخش مهمی از قابلیت هوافضای ما به‌عنوان جزء ذخیره هوایی را تشکیل می‌دهند.</w:t>
      </w:r>
    </w:p>
    <w:p>
      <w:pPr>
        <w:spacing w:after="28" w:line="216" w:lineRule="auto"/>
        <w:ind w:left="259"/>
        <w:jc w:val="left"/>
      </w:pPr>
      <w:r>
        <w:rPr>
          <w:rFonts w:ascii="Arial" w:hAnsi="Arial"/>
          <w:color w:val="525252"/>
          <w:sz w:val="13"/>
        </w:rPr>
        <w:t>The Air National Guard and USAF Reserve form a significant part of our aerospace capability as the Air Reserve Component.</w:t>
      </w:r>
    </w:p>
    <w:p>
      <w:pPr>
        <w:spacing w:after="20" w:line="223" w:lineRule="auto"/>
        <w:jc w:val="right"/>
        <w:bidi/>
      </w:pPr>
      <w:r>
        <w:rPr>
          <w:rFonts w:ascii="Arial" w:hAnsi="Arial"/>
          <w:sz w:val="16"/>
        </w:rPr>
        <w:t>082.18  زمانی که شرایط ایجاب می‌کند که رگاف به سرعت مستقر شود، نیروها از مؤلفه ذخیره هوایی خارج می‌شوند.</w:t>
      </w:r>
    </w:p>
    <w:p>
      <w:pPr>
        <w:spacing w:after="28" w:line="216" w:lineRule="auto"/>
        <w:ind w:left="259"/>
        <w:jc w:val="left"/>
      </w:pPr>
      <w:r>
        <w:rPr>
          <w:rFonts w:ascii="Arial" w:hAnsi="Arial"/>
          <w:color w:val="525252"/>
          <w:sz w:val="13"/>
        </w:rPr>
        <w:t>Forces are drawn from the Air Reserve Component when circumstances require the RegAF to rapidly deploy.</w:t>
      </w:r>
    </w:p>
    <w:p>
      <w:pPr>
        <w:spacing w:after="20" w:line="223" w:lineRule="auto"/>
        <w:jc w:val="right"/>
        <w:bidi/>
      </w:pPr>
      <w:r>
        <w:rPr>
          <w:rFonts w:ascii="Arial" w:hAnsi="Arial"/>
          <w:sz w:val="16"/>
        </w:rPr>
        <w:t>082.19  قطعات ذخیره هوایی کارکنان و آموزش دیده‌اند تا استانداردهای آموزشی و سطوح آمادگی مشابه نیروهای مؤلفه رگاف را برآورده کنند و با همان تجهیزات با اولویت مساوی عرضه می‌شوند.</w:t>
      </w:r>
    </w:p>
    <w:p>
      <w:pPr>
        <w:spacing w:after="28" w:line="216" w:lineRule="auto"/>
        <w:ind w:left="259"/>
        <w:jc w:val="left"/>
      </w:pPr>
      <w:r>
        <w:rPr>
          <w:rFonts w:ascii="Arial" w:hAnsi="Arial"/>
          <w:color w:val="525252"/>
          <w:sz w:val="13"/>
        </w:rPr>
        <w:t>Air Reserve Components are staffed and trained to meet the same training standards and readiness levels as RegAF Component Forces and are supplied with the same equipment on an equal priority.</w:t>
      </w:r>
    </w:p>
    <w:p>
      <w:pPr>
        <w:spacing w:after="20" w:line="223" w:lineRule="auto"/>
        <w:jc w:val="right"/>
        <w:bidi/>
      </w:pPr>
      <w:r>
        <w:rPr>
          <w:rFonts w:ascii="Arial" w:hAnsi="Arial"/>
          <w:sz w:val="16"/>
        </w:rPr>
        <w:t>082.20  رگاف فقط می‌تواند تجهیزات را برای سایر تعهدات با تأیید کتبی وزیر دفاع خارج کند، منحرف کند، یا تخصیص دهد.</w:t>
      </w:r>
    </w:p>
    <w:p>
      <w:pPr>
        <w:spacing w:after="28" w:line="216" w:lineRule="auto"/>
        <w:ind w:left="259"/>
        <w:jc w:val="left"/>
      </w:pPr>
      <w:r>
        <w:rPr>
          <w:rFonts w:ascii="Arial" w:hAnsi="Arial"/>
          <w:color w:val="525252"/>
          <w:sz w:val="13"/>
        </w:rPr>
        <w:t>The RegAF can only withdraw, divert, or reassign equipment for other commitments with the Secretary of Defense’s written approval.</w:t>
      </w:r>
    </w:p>
    <w:p>
      <w:pPr>
        <w:spacing w:after="20" w:line="223" w:lineRule="auto"/>
        <w:jc w:val="right"/>
        <w:bidi/>
      </w:pPr>
      <w:r>
        <w:rPr>
          <w:rFonts w:ascii="Arial" w:hAnsi="Arial"/>
          <w:sz w:val="16"/>
        </w:rPr>
        <w:t>082.21  برای اطمینان از پاسخگویی و آمادگی رزمی، اجزای ذخیره هوایی به‌طور مداوم ارزیابی و نوسازی می‌شوند.</w:t>
      </w:r>
    </w:p>
    <w:p>
      <w:pPr>
        <w:spacing w:after="28" w:line="216" w:lineRule="auto"/>
        <w:ind w:left="259"/>
        <w:jc w:val="left"/>
      </w:pPr>
      <w:r>
        <w:rPr>
          <w:rFonts w:ascii="Arial" w:hAnsi="Arial"/>
          <w:color w:val="525252"/>
          <w:sz w:val="13"/>
        </w:rPr>
        <w:t>To ensure responsiveness and combat readiness, Air Reserve Components are continuously evaluated and modernized.</w:t>
      </w:r>
    </w:p>
    <w:p>
      <w:pPr>
        <w:spacing w:after="20" w:line="223" w:lineRule="auto"/>
        <w:jc w:val="right"/>
        <w:bidi/>
      </w:pPr>
      <w:r>
        <w:rPr>
          <w:rFonts w:ascii="Arial" w:hAnsi="Arial"/>
          <w:sz w:val="16"/>
        </w:rPr>
        <w:t>082.22  واحدهای اجزای ذخیره هوایی گاهی اوقات برای استفاده از مزیت‌های جمعیتی ایالتی یا منطقه‌ای از هم جدا می‌شوند و مانند منابع رگاف در پایگاه‌های اصلی و چند اسکادران متمرکز نیستند.</w:t>
      </w:r>
    </w:p>
    <w:p>
      <w:pPr>
        <w:spacing w:after="28" w:line="216" w:lineRule="auto"/>
        <w:ind w:left="259"/>
        <w:jc w:val="left"/>
      </w:pPr>
      <w:r>
        <w:rPr>
          <w:rFonts w:ascii="Arial" w:hAnsi="Arial"/>
          <w:color w:val="525252"/>
          <w:sz w:val="13"/>
        </w:rPr>
        <w:t>Air Reserve Component units are sometimes separated to take advantage of state or regional demographics and are not centralized at major, multi-squadron bases, as is the case with RegAF resources.</w:t>
      </w:r>
    </w:p>
    <w:p>
      <w:pPr>
        <w:spacing w:after="20" w:line="223" w:lineRule="auto"/>
        <w:jc w:val="right"/>
        <w:bidi/>
      </w:pPr>
      <w:r>
        <w:rPr>
          <w:rFonts w:ascii="Arial" w:hAnsi="Arial"/>
          <w:sz w:val="16"/>
        </w:rPr>
        <w:t>082.23  این استثنا سودمند است زیرا یک رابطه قوی با جامعه غیرنظامی برقرار می‌کند و حمایت عمومی را برای نیروهای USAF به‌عنوان یک کل ایجاد می‌کند.</w:t>
      </w:r>
    </w:p>
    <w:p>
      <w:pPr>
        <w:spacing w:after="28" w:line="216" w:lineRule="auto"/>
        <w:ind w:left="259"/>
        <w:jc w:val="left"/>
      </w:pPr>
      <w:r>
        <w:rPr>
          <w:rFonts w:ascii="Arial" w:hAnsi="Arial"/>
          <w:color w:val="525252"/>
          <w:sz w:val="13"/>
        </w:rPr>
        <w:t>This exception is beneficial because it implements a strong relationship with the civilian community and builds public support for the USAF as a whole.</w:t>
      </w:r>
    </w:p>
    <w:p>
      <w:pPr>
        <w:spacing w:after="20" w:line="223" w:lineRule="auto"/>
        <w:jc w:val="right"/>
        <w:bidi/>
      </w:pPr>
      <w:r>
        <w:rPr>
          <w:rFonts w:ascii="Arial" w:hAnsi="Arial"/>
          <w:sz w:val="16"/>
        </w:rPr>
        <w:t>082.24  فرماندهی یگان‌های ذخیره غیربسیج نیروی هوایی از طریق فرمانده، فرماندهی رزرو USAF، که به نوبه خود در برابر رئیس ستاد نیروی هوایی مسئول است، انجام می‌شود.</w:t>
      </w:r>
    </w:p>
    <w:p>
      <w:pPr>
        <w:spacing w:after="28" w:line="216" w:lineRule="auto"/>
        <w:ind w:left="259"/>
        <w:jc w:val="left"/>
      </w:pPr>
      <w:r>
        <w:rPr>
          <w:rFonts w:ascii="Arial" w:hAnsi="Arial"/>
          <w:color w:val="525252"/>
          <w:sz w:val="13"/>
        </w:rPr>
        <w:t>Command of non-mobilized USAF Reserve units is exercised through the Commander, USAF Reserve Command, who, in turn, is responsible to the Chief of Staff of the Air Force.</w:t>
      </w:r>
    </w:p>
    <w:p>
      <w:pPr>
        <w:spacing w:after="20" w:line="223" w:lineRule="auto"/>
        <w:jc w:val="right"/>
        <w:bidi/>
      </w:pPr>
      <w:r>
        <w:rPr>
          <w:rFonts w:ascii="Arial" w:hAnsi="Arial"/>
          <w:sz w:val="16"/>
        </w:rPr>
        <w:t>082.25  فرماندهی نیروهای تقویت کننده بسیج انفرادی ذخیره غیر بسیج USAF (یماس) به‌طور همزمان از طریق فرماندهی رزرو USAF و واحد پیوست انجام می‌شود.</w:t>
      </w:r>
    </w:p>
    <w:p>
      <w:pPr>
        <w:spacing w:after="28" w:line="216" w:lineRule="auto"/>
        <w:ind w:left="259"/>
        <w:jc w:val="left"/>
      </w:pPr>
      <w:r>
        <w:rPr>
          <w:rFonts w:ascii="Arial" w:hAnsi="Arial"/>
          <w:color w:val="525252"/>
          <w:sz w:val="13"/>
        </w:rPr>
        <w:t>Command of non-mobilized USAF Reserve Individual Mobilization Augmentees (IMAs) is exercised concurrently through USAF Reserve Command and the unit of attachment.</w:t>
      </w:r>
    </w:p>
    <w:p>
      <w:pPr>
        <w:spacing w:after="20" w:line="223" w:lineRule="auto"/>
        <w:jc w:val="right"/>
        <w:bidi/>
      </w:pPr>
      <w:r>
        <w:rPr>
          <w:rFonts w:ascii="Arial" w:hAnsi="Arial"/>
          <w:sz w:val="16"/>
        </w:rPr>
        <w:t>082.26  هر زمان که رئیس جمهور به بسیج کد IAW عنوان ۱۰ ایالات متحده اجازه دهد، وزیر دفاع می‌تواند اختیار فراخوانی را به وزرای خدمات تفویض کند.</w:t>
      </w:r>
    </w:p>
    <w:p>
      <w:pPr>
        <w:spacing w:after="28" w:line="216" w:lineRule="auto"/>
        <w:ind w:left="259"/>
        <w:jc w:val="left"/>
      </w:pPr>
      <w:r>
        <w:rPr>
          <w:rFonts w:ascii="Arial" w:hAnsi="Arial"/>
          <w:color w:val="525252"/>
          <w:sz w:val="13"/>
        </w:rPr>
        <w:t>Whenever the President authorizes mobilization IAW Title 10 U.S. Code, the Secretary of Defense can delegate call-up authority to the service Secretaries.</w:t>
      </w:r>
    </w:p>
    <w:p>
      <w:pPr>
        <w:spacing w:after="20" w:line="223" w:lineRule="auto"/>
        <w:jc w:val="right"/>
        <w:bidi/>
      </w:pPr>
      <w:r>
        <w:rPr>
          <w:rFonts w:ascii="Arial" w:hAnsi="Arial"/>
          <w:sz w:val="16"/>
        </w:rPr>
        <w:t>082.27  در آن صورت، وزیر نیروی هوایی خواهد بود</w:t>
      </w:r>
    </w:p>
    <w:p>
      <w:pPr>
        <w:spacing w:after="28" w:line="216" w:lineRule="auto"/>
        <w:ind w:left="259"/>
        <w:jc w:val="left"/>
      </w:pPr>
      <w:r>
        <w:rPr>
          <w:rFonts w:ascii="Arial" w:hAnsi="Arial"/>
          <w:color w:val="525252"/>
          <w:sz w:val="13"/>
        </w:rPr>
        <w:t>In that case, the Secretary of the Air Force would be</w:t>
      </w:r>
    </w:p>
    <w:p>
      <w:r>
        <w:br w:type="page"/>
      </w:r>
    </w:p>
    <w:p>
      <w:pPr>
        <w:spacing w:after="60"/>
        <w:jc w:val="right"/>
        <w:bidi/>
      </w:pPr>
      <w:r>
        <w:rPr>
          <w:rFonts w:ascii="Arial" w:hAnsi="Arial"/>
          <w:b/>
          <w:color w:val="1F4D78"/>
          <w:sz w:val="19"/>
        </w:rPr>
        <w:t>هفتهٔ 83  |  صفحهٔ منبع: 99</w:t>
      </w:r>
    </w:p>
    <w:p>
      <w:pPr>
        <w:spacing w:after="20" w:line="223" w:lineRule="auto"/>
        <w:jc w:val="right"/>
        <w:bidi/>
      </w:pPr>
      <w:r>
        <w:rPr>
          <w:rFonts w:ascii="Arial" w:hAnsi="Arial"/>
          <w:sz w:val="16"/>
        </w:rPr>
        <w:t>083.01  مجاز به فراخوانی گارد ملی هوایی و نیروهای رزرو USAF به وضعیت رگاف.</w:t>
      </w:r>
    </w:p>
    <w:p>
      <w:pPr>
        <w:spacing w:after="28" w:line="216" w:lineRule="auto"/>
        <w:ind w:left="259"/>
        <w:jc w:val="left"/>
      </w:pPr>
      <w:r>
        <w:rPr>
          <w:rFonts w:ascii="Arial" w:hAnsi="Arial"/>
          <w:color w:val="525252"/>
          <w:sz w:val="13"/>
        </w:rPr>
        <w:t>authorized to call Air National Guard and USAF Reserve Forces to RegAF status.</w:t>
      </w:r>
    </w:p>
    <w:p>
      <w:pPr>
        <w:spacing w:after="20" w:line="223" w:lineRule="auto"/>
        <w:jc w:val="right"/>
        <w:bidi/>
      </w:pPr>
      <w:r>
        <w:rPr>
          <w:rFonts w:ascii="Arial" w:hAnsi="Arial"/>
          <w:sz w:val="16"/>
        </w:rPr>
        <w:t>083.02  هنگام فعال شدن، فرماندهی عملیاتی اجزای ذخیره هوایی به فرمانده بدست‌آورنده منتقل می‌شود، که او همچنین مسئول ایجاد منابع آموزشی برای همه اجزای ذخیره هوایی اختصاص‌یافته یا پیوست شده است.</w:t>
      </w:r>
    </w:p>
    <w:p>
      <w:pPr>
        <w:spacing w:after="28" w:line="216" w:lineRule="auto"/>
        <w:ind w:left="259"/>
        <w:jc w:val="left"/>
      </w:pPr>
      <w:r>
        <w:rPr>
          <w:rFonts w:ascii="Arial" w:hAnsi="Arial"/>
          <w:color w:val="525252"/>
          <w:sz w:val="13"/>
        </w:rPr>
        <w:t>When activated, operational command of Air Reserve Components transfers to the gaining commander, who is also responsible for establishing training resources for all assigned or attached Air Reserve Components.</w:t>
      </w:r>
    </w:p>
    <w:p>
      <w:pPr>
        <w:spacing w:after="20" w:line="223" w:lineRule="auto"/>
        <w:jc w:val="right"/>
        <w:bidi/>
      </w:pPr>
      <w:r>
        <w:rPr>
          <w:rFonts w:ascii="Arial" w:hAnsi="Arial"/>
          <w:sz w:val="16"/>
        </w:rPr>
        <w:t>083.03  توجه: هفت جزء ذخیره نیروهای مسلح ایالات متحده عبارتند از: گارد ملی ارتش، ذخیره ارتش، ذخیره نیروی دریایی، ذخیره سپاه تفنگداران دریایی، گارد ملی هوایی، رزرو USAF، و ذخیره گارد ساحلی.</w:t>
      </w:r>
    </w:p>
    <w:p>
      <w:pPr>
        <w:spacing w:after="28" w:line="216" w:lineRule="auto"/>
        <w:ind w:left="259"/>
        <w:jc w:val="left"/>
      </w:pPr>
      <w:r>
        <w:rPr>
          <w:rFonts w:ascii="Arial" w:hAnsi="Arial"/>
          <w:color w:val="525252"/>
          <w:sz w:val="13"/>
        </w:rPr>
        <w:t>Note: The seven Reserve Components of the U.S. Armed Forces are: Army National Guard, Army Reserve, Navy Reserve, Marine Corps Reserve, Air National Guard, USAF Reserve, and Coast Guard Reserve.</w:t>
      </w:r>
    </w:p>
    <w:p>
      <w:pPr>
        <w:spacing w:after="20" w:line="223" w:lineRule="auto"/>
        <w:jc w:val="right"/>
        <w:bidi/>
      </w:pPr>
      <w:r>
        <w:rPr>
          <w:rFonts w:ascii="Arial" w:hAnsi="Arial"/>
          <w:sz w:val="16"/>
        </w:rPr>
        <w:t>083.04  گارد ملی هوایی.</w:t>
      </w:r>
    </w:p>
    <w:p>
      <w:pPr>
        <w:spacing w:after="28" w:line="216" w:lineRule="auto"/>
        <w:ind w:left="259"/>
        <w:jc w:val="left"/>
      </w:pPr>
      <w:r>
        <w:rPr>
          <w:rFonts w:ascii="Arial" w:hAnsi="Arial"/>
          <w:color w:val="525252"/>
          <w:sz w:val="13"/>
        </w:rPr>
        <w:t>Air National Guard.</w:t>
      </w:r>
    </w:p>
    <w:p>
      <w:pPr>
        <w:spacing w:after="20" w:line="223" w:lineRule="auto"/>
        <w:jc w:val="right"/>
        <w:bidi/>
      </w:pPr>
      <w:r>
        <w:rPr>
          <w:rFonts w:ascii="Arial" w:hAnsi="Arial"/>
          <w:sz w:val="16"/>
        </w:rPr>
        <w:t>083.05  دفتر گارد ملی فعالیت مشترک وزارت دفاع است که در پنتاگون واقع شده است.</w:t>
      </w:r>
    </w:p>
    <w:p>
      <w:pPr>
        <w:spacing w:after="28" w:line="216" w:lineRule="auto"/>
        <w:ind w:left="259"/>
        <w:jc w:val="left"/>
      </w:pPr>
      <w:r>
        <w:rPr>
          <w:rFonts w:ascii="Arial" w:hAnsi="Arial"/>
          <w:color w:val="525252"/>
          <w:sz w:val="13"/>
        </w:rPr>
        <w:t>The National Guard Bureau is a joint activity of the Department of Defense, located in the Pentagon.</w:t>
      </w:r>
    </w:p>
    <w:p>
      <w:pPr>
        <w:spacing w:after="20" w:line="223" w:lineRule="auto"/>
        <w:jc w:val="right"/>
        <w:bidi/>
      </w:pPr>
      <w:r>
        <w:rPr>
          <w:rFonts w:ascii="Arial" w:hAnsi="Arial"/>
          <w:sz w:val="16"/>
        </w:rPr>
        <w:t>083.06  به‌عنوان یکی از اجزای ذخیره نیروهای مسلح ایالات متحده، گارد ملی هوایی (https://www.goang.com/) اغلب برای تقویت اجزای رگاف در انجام مأموریت‌های خود فراخوانده می‌شود.</w:t>
      </w:r>
    </w:p>
    <w:p>
      <w:pPr>
        <w:spacing w:after="28" w:line="216" w:lineRule="auto"/>
        <w:ind w:left="259"/>
        <w:jc w:val="left"/>
      </w:pPr>
      <w:r>
        <w:rPr>
          <w:rFonts w:ascii="Arial" w:hAnsi="Arial"/>
          <w:color w:val="525252"/>
          <w:sz w:val="13"/>
        </w:rPr>
        <w:t>As one of the Reserve Components of the U.S. Armed Forces, the Air National Guard (https://www.goang.com/) is often called upon to augment the RegAF Components in the performance of their missions.</w:t>
      </w:r>
    </w:p>
    <w:p>
      <w:pPr>
        <w:spacing w:after="20" w:line="223" w:lineRule="auto"/>
        <w:jc w:val="right"/>
        <w:bidi/>
      </w:pPr>
      <w:r>
        <w:rPr>
          <w:rFonts w:ascii="Arial" w:hAnsi="Arial"/>
          <w:sz w:val="16"/>
        </w:rPr>
        <w:t>083.07  گارد ملی هوایی بیش از ۱۰۵۰۰۰ افسر و اعضای ثبت‌نام شده دارد که در ۹۰ واحد پرواز و ۵۷۹ واحد پشتیبانی مأموریت خدمت می‌کنند.</w:t>
      </w:r>
    </w:p>
    <w:p>
      <w:pPr>
        <w:spacing w:after="28" w:line="216" w:lineRule="auto"/>
        <w:ind w:left="259"/>
        <w:jc w:val="left"/>
      </w:pPr>
      <w:r>
        <w:rPr>
          <w:rFonts w:ascii="Arial" w:hAnsi="Arial"/>
          <w:color w:val="525252"/>
          <w:sz w:val="13"/>
        </w:rPr>
        <w:t>The Air National Guard has more than 105,000 officers and enlisted members who serve in 90 flying units and 579 mission support units.</w:t>
      </w:r>
    </w:p>
    <w:p>
      <w:pPr>
        <w:spacing w:after="20" w:line="223" w:lineRule="auto"/>
        <w:jc w:val="right"/>
        <w:bidi/>
      </w:pPr>
      <w:r>
        <w:rPr>
          <w:rFonts w:ascii="Arial" w:hAnsi="Arial"/>
          <w:sz w:val="16"/>
        </w:rPr>
        <w:t>083.08  منابع اصلی پشتیبانی تمام وقت از واحدهای گارد ملی هوایی، تکنسین‌های نظامی با وضعیت دوگانه هستند.</w:t>
      </w:r>
    </w:p>
    <w:p>
      <w:pPr>
        <w:spacing w:after="28" w:line="216" w:lineRule="auto"/>
        <w:ind w:left="259"/>
        <w:jc w:val="left"/>
      </w:pPr>
      <w:r>
        <w:rPr>
          <w:rFonts w:ascii="Arial" w:hAnsi="Arial"/>
          <w:color w:val="525252"/>
          <w:sz w:val="13"/>
        </w:rPr>
        <w:t>The primary sources of full-time support for Air National Guard units are the dual-status military technicians.</w:t>
      </w:r>
    </w:p>
    <w:p>
      <w:pPr>
        <w:spacing w:after="20" w:line="223" w:lineRule="auto"/>
        <w:jc w:val="right"/>
        <w:bidi/>
      </w:pPr>
      <w:r>
        <w:rPr>
          <w:rFonts w:ascii="Arial" w:hAnsi="Arial"/>
          <w:sz w:val="16"/>
        </w:rPr>
        <w:t>083.09  این پرسنل پشتیبانی روزانه، مدیریت، استخدام، آموزش، آموزش و نگهداری واحد را انجام می‌دهند.</w:t>
      </w:r>
    </w:p>
    <w:p>
      <w:pPr>
        <w:spacing w:after="28" w:line="216" w:lineRule="auto"/>
        <w:ind w:left="259"/>
        <w:jc w:val="left"/>
      </w:pPr>
      <w:r>
        <w:rPr>
          <w:rFonts w:ascii="Arial" w:hAnsi="Arial"/>
          <w:color w:val="525252"/>
          <w:sz w:val="13"/>
        </w:rPr>
        <w:t>These personnel perform day- to-day organization, administration, recruitment, instruction, training, and maintenance support for the unit.</w:t>
      </w:r>
    </w:p>
    <w:p>
      <w:pPr>
        <w:spacing w:after="20" w:line="223" w:lineRule="auto"/>
        <w:jc w:val="right"/>
        <w:bidi/>
      </w:pPr>
      <w:r>
        <w:rPr>
          <w:rFonts w:ascii="Arial" w:hAnsi="Arial"/>
          <w:sz w:val="16"/>
        </w:rPr>
        <w:t>083.10  طبق قانون، تکنسین‌های نظامی با وضعیت دوگانه، کارکنان خدمات کشوری دولت فدرال هستند که باید اعضای نظامی واحدی باشند که آنها را به کار می‌گیرد.</w:t>
      </w:r>
    </w:p>
    <w:p>
      <w:pPr>
        <w:spacing w:after="28" w:line="216" w:lineRule="auto"/>
        <w:ind w:left="259"/>
        <w:jc w:val="left"/>
      </w:pPr>
      <w:r>
        <w:rPr>
          <w:rFonts w:ascii="Arial" w:hAnsi="Arial"/>
          <w:color w:val="525252"/>
          <w:sz w:val="13"/>
        </w:rPr>
        <w:t>By law, dual-status military technicians are civil service employees of the federal government who must be military members of the unit that employs them.</w:t>
      </w:r>
    </w:p>
    <w:p>
      <w:pPr>
        <w:spacing w:after="20" w:line="223" w:lineRule="auto"/>
        <w:jc w:val="right"/>
        <w:bidi/>
      </w:pPr>
      <w:r>
        <w:rPr>
          <w:rFonts w:ascii="Arial" w:hAnsi="Arial"/>
          <w:sz w:val="16"/>
        </w:rPr>
        <w:t>083.11  تکنسین‌ها با واحد آموزش می‌بینند و در صورت فدرال شدن با واحد بسیج می‌شوند.</w:t>
      </w:r>
    </w:p>
    <w:p>
      <w:pPr>
        <w:spacing w:after="28" w:line="216" w:lineRule="auto"/>
        <w:ind w:left="259"/>
        <w:jc w:val="left"/>
      </w:pPr>
      <w:r>
        <w:rPr>
          <w:rFonts w:ascii="Arial" w:hAnsi="Arial"/>
          <w:color w:val="525252"/>
          <w:sz w:val="13"/>
        </w:rPr>
        <w:t>Technicians train with the unit and are mobilized with the unit when federalized.</w:t>
      </w:r>
    </w:p>
    <w:p>
      <w:pPr>
        <w:spacing w:after="20" w:line="223" w:lineRule="auto"/>
        <w:jc w:val="right"/>
        <w:bidi/>
      </w:pPr>
      <w:r>
        <w:rPr>
          <w:rFonts w:ascii="Arial" w:hAnsi="Arial"/>
          <w:sz w:val="16"/>
        </w:rPr>
        <w:t>083.12  مأموریت دوگانه فدرال و ایالتی.</w:t>
      </w:r>
    </w:p>
    <w:p>
      <w:pPr>
        <w:spacing w:after="28" w:line="216" w:lineRule="auto"/>
        <w:ind w:left="259"/>
        <w:jc w:val="left"/>
      </w:pPr>
      <w:r>
        <w:rPr>
          <w:rFonts w:ascii="Arial" w:hAnsi="Arial"/>
          <w:color w:val="525252"/>
          <w:sz w:val="13"/>
        </w:rPr>
        <w:t>Dual Federal and State Mission.</w:t>
      </w:r>
    </w:p>
    <w:p>
      <w:pPr>
        <w:spacing w:after="20" w:line="223" w:lineRule="auto"/>
        <w:jc w:val="right"/>
        <w:bidi/>
      </w:pPr>
      <w:r>
        <w:rPr>
          <w:rFonts w:ascii="Arial" w:hAnsi="Arial"/>
          <w:sz w:val="16"/>
        </w:rPr>
        <w:t>083.13  مأموریت دوگانه فدرال و ایالتی گارد ملی هوایی، یک ماده از قانون اساسی ایالات متحده، به این نتیجه می‌رسد که هر یک از گاردها عضویت در گارد ملی ایالت خود و گارد ملی ایالات متحده را داشته باشد.</w:t>
      </w:r>
    </w:p>
    <w:p>
      <w:pPr>
        <w:spacing w:after="28" w:line="216" w:lineRule="auto"/>
        <w:ind w:left="259"/>
        <w:jc w:val="left"/>
      </w:pPr>
      <w:r>
        <w:rPr>
          <w:rFonts w:ascii="Arial" w:hAnsi="Arial"/>
          <w:color w:val="525252"/>
          <w:sz w:val="13"/>
        </w:rPr>
        <w:t>The Air National Guard’s dual federal and state mission, a provision of the U.S. Constitution, results in each Guardsman holding membership in the National Guard of his or her state and in the U.S. National Guard.</w:t>
      </w:r>
    </w:p>
    <w:p>
      <w:pPr>
        <w:spacing w:after="20" w:line="223" w:lineRule="auto"/>
        <w:jc w:val="right"/>
        <w:bidi/>
      </w:pPr>
      <w:r>
        <w:rPr>
          <w:rFonts w:ascii="Arial" w:hAnsi="Arial"/>
          <w:sz w:val="16"/>
        </w:rPr>
        <w:t>083.14  مأموریت فدرال گارد ملی هوایی حفظ واحدهای آموزش دیده و مجهز در دسترس برای بسیج سریع در طول جنگ و ارائه کمک در مواقع اضطراری ملی، مانند بلایای طبیعی یا اختلالات داخلی است.</w:t>
      </w:r>
    </w:p>
    <w:p>
      <w:pPr>
        <w:spacing w:after="28" w:line="216" w:lineRule="auto"/>
        <w:ind w:left="259"/>
        <w:jc w:val="left"/>
      </w:pPr>
      <w:r>
        <w:rPr>
          <w:rFonts w:ascii="Arial" w:hAnsi="Arial"/>
          <w:color w:val="525252"/>
          <w:sz w:val="13"/>
        </w:rPr>
        <w:t>The Air National Guard's federal mission is to maintain well-trained, well-equipped units available for prompt mobilization during war, and provide assistance during national emergencies, such as natural disasters or civil disturbances.</w:t>
      </w:r>
    </w:p>
    <w:p>
      <w:pPr>
        <w:spacing w:after="20" w:line="223" w:lineRule="auto"/>
        <w:jc w:val="right"/>
        <w:bidi/>
      </w:pPr>
      <w:r>
        <w:rPr>
          <w:rFonts w:ascii="Arial" w:hAnsi="Arial"/>
          <w:sz w:val="16"/>
        </w:rPr>
        <w:t>083.15  در زمان صلح، یگان‌های آماده رزم و واحدهای پشتیبانی برای انجام مأموریت‌های سازگار با عملیات آموزشی، آمادگی بسیج، بشردوستانه و عملیات اضطراری به اکثر فرماندهان اصلی اختصاص داده می‌شوند.</w:t>
      </w:r>
    </w:p>
    <w:p>
      <w:pPr>
        <w:spacing w:after="28" w:line="216" w:lineRule="auto"/>
        <w:ind w:left="259"/>
        <w:jc w:val="left"/>
      </w:pPr>
      <w:r>
        <w:rPr>
          <w:rFonts w:ascii="Arial" w:hAnsi="Arial"/>
          <w:color w:val="525252"/>
          <w:sz w:val="13"/>
        </w:rPr>
        <w:t>During peacetime, the combat-ready units and support units are assigned to most major commands to carry out missions compatible with training, mobilization readiness, humanitarian, and contingency operations.</w:t>
      </w:r>
    </w:p>
    <w:p>
      <w:pPr>
        <w:spacing w:after="20" w:line="223" w:lineRule="auto"/>
        <w:jc w:val="right"/>
        <w:bidi/>
      </w:pPr>
      <w:r>
        <w:rPr>
          <w:rFonts w:ascii="Arial" w:hAnsi="Arial"/>
          <w:sz w:val="16"/>
        </w:rPr>
        <w:t>083.16  وقتی واحدهای گارد ملی هوایی بسیج یا تحت کنترل فدرال نیستند، صلاحیت فرماندهی این واحدها به فرماندار ایالت، مشترک المنافع یا مالکیت محول می‌شود.</w:t>
      </w:r>
    </w:p>
    <w:p>
      <w:pPr>
        <w:spacing w:after="28" w:line="216" w:lineRule="auto"/>
        <w:ind w:left="259"/>
        <w:jc w:val="left"/>
      </w:pPr>
      <w:r>
        <w:rPr>
          <w:rFonts w:ascii="Arial" w:hAnsi="Arial"/>
          <w:color w:val="525252"/>
          <w:sz w:val="13"/>
        </w:rPr>
        <w:t>When Air National Guard units are not mobilized or under federal control, command jurisdiction for these units is vested in the governor of the state, commonwealth, or possession.</w:t>
      </w:r>
    </w:p>
    <w:p>
      <w:pPr>
        <w:spacing w:after="20" w:line="223" w:lineRule="auto"/>
        <w:jc w:val="right"/>
        <w:bidi/>
      </w:pPr>
      <w:r>
        <w:rPr>
          <w:rFonts w:ascii="Arial" w:hAnsi="Arial"/>
          <w:sz w:val="16"/>
        </w:rPr>
        <w:t>083.17  رئیس جمهور ایالات متحده به‌عنوان فرماندار ناحیه کلمبیا، صلاحیت فرماندهی بر واحدهای گارد ملی هوایی دارد.</w:t>
      </w:r>
    </w:p>
    <w:p>
      <w:pPr>
        <w:spacing w:after="28" w:line="216" w:lineRule="auto"/>
        <w:ind w:left="259"/>
        <w:jc w:val="left"/>
      </w:pPr>
      <w:r>
        <w:rPr>
          <w:rFonts w:ascii="Arial" w:hAnsi="Arial"/>
          <w:color w:val="525252"/>
          <w:sz w:val="13"/>
        </w:rPr>
        <w:t>As the Governor of the District of Columbia, the U.S. President has command jurisdiction over Air National Guard units.</w:t>
      </w:r>
    </w:p>
    <w:p>
      <w:pPr>
        <w:spacing w:after="20" w:line="223" w:lineRule="auto"/>
        <w:jc w:val="right"/>
        <w:bidi/>
      </w:pPr>
      <w:r>
        <w:rPr>
          <w:rFonts w:ascii="Arial" w:hAnsi="Arial"/>
          <w:sz w:val="16"/>
        </w:rPr>
        <w:t>083.18  رئیس جمهور ایالات متحده این اختیار را به وزیر ارتش به‌عنوان فرماندار ناحیه کلمبیا تفویض می‌کند.</w:t>
      </w:r>
    </w:p>
    <w:p>
      <w:pPr>
        <w:spacing w:after="28" w:line="216" w:lineRule="auto"/>
        <w:ind w:left="259"/>
        <w:jc w:val="left"/>
      </w:pPr>
      <w:r>
        <w:rPr>
          <w:rFonts w:ascii="Arial" w:hAnsi="Arial"/>
          <w:color w:val="525252"/>
          <w:sz w:val="13"/>
        </w:rPr>
        <w:t>The U.S. President delegates this authority to the Secretary of the Army as Governor of the District of Columbia.</w:t>
      </w:r>
    </w:p>
    <w:p>
      <w:pPr>
        <w:spacing w:after="20" w:line="223" w:lineRule="auto"/>
        <w:jc w:val="right"/>
        <w:bidi/>
      </w:pPr>
      <w:r>
        <w:rPr>
          <w:rFonts w:ascii="Arial" w:hAnsi="Arial"/>
          <w:sz w:val="16"/>
        </w:rPr>
        <w:t>083.19  هر یک از ۵۴ سازمان گارد ملی تحت نظارت ژنرال آجودان ایالت یا قلمرو است.</w:t>
      </w:r>
    </w:p>
    <w:p>
      <w:pPr>
        <w:spacing w:after="28" w:line="216" w:lineRule="auto"/>
        <w:ind w:left="259"/>
        <w:jc w:val="left"/>
      </w:pPr>
      <w:r>
        <w:rPr>
          <w:rFonts w:ascii="Arial" w:hAnsi="Arial"/>
          <w:color w:val="525252"/>
          <w:sz w:val="13"/>
        </w:rPr>
        <w:t>Each of the 54 National Guard organizations is supervised by the adjutant general of the state or territory.</w:t>
      </w:r>
    </w:p>
    <w:p>
      <w:pPr>
        <w:spacing w:after="20" w:line="223" w:lineRule="auto"/>
        <w:jc w:val="right"/>
        <w:bidi/>
      </w:pPr>
      <w:r>
        <w:rPr>
          <w:rFonts w:ascii="Arial" w:hAnsi="Arial"/>
          <w:sz w:val="16"/>
        </w:rPr>
        <w:t>083.20  بر اساس قوانین ایالتی، گارد ملی هوایی از جان و مال محافظت می‌کند و صلح، نظم و امنیت عمومی را حفظ می‌کند.</w:t>
      </w:r>
    </w:p>
    <w:p>
      <w:pPr>
        <w:spacing w:after="28" w:line="216" w:lineRule="auto"/>
        <w:ind w:left="259"/>
        <w:jc w:val="left"/>
      </w:pPr>
      <w:r>
        <w:rPr>
          <w:rFonts w:ascii="Arial" w:hAnsi="Arial"/>
          <w:color w:val="525252"/>
          <w:sz w:val="13"/>
        </w:rPr>
        <w:t>Under state law, the Air National Guard provides protection of life and property, and preserves peace, order, and public safety.</w:t>
      </w:r>
    </w:p>
    <w:p>
      <w:pPr>
        <w:spacing w:after="20" w:line="223" w:lineRule="auto"/>
        <w:jc w:val="right"/>
        <w:bidi/>
      </w:pPr>
      <w:r>
        <w:rPr>
          <w:rFonts w:ascii="Arial" w:hAnsi="Arial"/>
          <w:sz w:val="16"/>
        </w:rPr>
        <w:t>083.21  این مأموریت‌ها از طریق پشتیبانی امدادی اضطراری در هنگام بلایای طبیعی انجام می‌شود. عملیات جستجو و نجات؛ حمایت از مقامات دفاع مدنی؛ نگهداری خدمات عمومی حیاتی؛ و عملیات مبارزه با مواد مخدر</w:t>
      </w:r>
    </w:p>
    <w:p>
      <w:pPr>
        <w:spacing w:after="28" w:line="216" w:lineRule="auto"/>
        <w:ind w:left="259"/>
        <w:jc w:val="left"/>
      </w:pPr>
      <w:r>
        <w:rPr>
          <w:rFonts w:ascii="Arial" w:hAnsi="Arial"/>
          <w:color w:val="525252"/>
          <w:sz w:val="13"/>
        </w:rPr>
        <w:t>These missions are accomplished through emergency relief support during natural disasters; search and rescue operations; support to civil defense authorities; maintenance of vital public services; and counterdrug operations.</w:t>
      </w:r>
    </w:p>
    <w:p>
      <w:pPr>
        <w:spacing w:after="20" w:line="223" w:lineRule="auto"/>
        <w:jc w:val="right"/>
        <w:bidi/>
      </w:pPr>
      <w:r>
        <w:rPr>
          <w:rFonts w:ascii="Arial" w:hAnsi="Arial"/>
          <w:sz w:val="16"/>
        </w:rPr>
        <w:t>083.22  رزرو USAF.</w:t>
      </w:r>
    </w:p>
    <w:p>
      <w:pPr>
        <w:spacing w:after="28" w:line="216" w:lineRule="auto"/>
        <w:ind w:left="259"/>
        <w:jc w:val="left"/>
      </w:pPr>
      <w:r>
        <w:rPr>
          <w:rFonts w:ascii="Arial" w:hAnsi="Arial"/>
          <w:color w:val="525252"/>
          <w:sz w:val="13"/>
        </w:rPr>
        <w:t>USAF Reserve.</w:t>
      </w:r>
    </w:p>
    <w:p>
      <w:pPr>
        <w:spacing w:after="20" w:line="223" w:lineRule="auto"/>
        <w:jc w:val="right"/>
        <w:bidi/>
      </w:pPr>
      <w:r>
        <w:rPr>
          <w:rFonts w:ascii="Arial" w:hAnsi="Arial"/>
          <w:sz w:val="16"/>
        </w:rPr>
        <w:t>083.23  رئیس ذخیره USAF، HAF، پنتاگون، به‌عنوان مشاور اصلی در امور ذخیره برای وزیر نیروی هوایی و رئیس ستاد نیروی هوایی خدمت می‌کند.</w:t>
      </w:r>
    </w:p>
    <w:p>
      <w:pPr>
        <w:spacing w:after="28" w:line="216" w:lineRule="auto"/>
        <w:ind w:left="259"/>
        <w:jc w:val="left"/>
      </w:pPr>
      <w:r>
        <w:rPr>
          <w:rFonts w:ascii="Arial" w:hAnsi="Arial"/>
          <w:color w:val="525252"/>
          <w:sz w:val="13"/>
        </w:rPr>
        <w:t>The Chief of USAF Reserve, HAF, Pentagon, serves as the principal advisor on reserve matters to the Secretary of the Air Force and Chief of Staff of the Air Force.</w:t>
      </w:r>
    </w:p>
    <w:p>
      <w:pPr>
        <w:spacing w:after="20" w:line="223" w:lineRule="auto"/>
        <w:jc w:val="right"/>
        <w:bidi/>
      </w:pPr>
      <w:r>
        <w:rPr>
          <w:rFonts w:ascii="Arial" w:hAnsi="Arial"/>
          <w:sz w:val="16"/>
        </w:rPr>
        <w:t>083.24  نیروی ذخیرهٔ USAF (https://www.airforce.com/ways-to-serve/air-force-reserve) از افسران، نیروهای درجه‌دار و کارکنان غیرنظامی تشکیل می‌شود که طبق قانون موظف‌اند هرگاه نیرو و یگان‌های موجود در بخش فعال پاسخ‌گوی نیاز نباشد، نیازهای نیروهای مسلح ایالات متحده را تأمین کنند.</w:t>
      </w:r>
    </w:p>
    <w:p>
      <w:pPr>
        <w:spacing w:after="28" w:line="216" w:lineRule="auto"/>
        <w:ind w:left="259"/>
        <w:jc w:val="left"/>
      </w:pPr>
      <w:r>
        <w:rPr>
          <w:rFonts w:ascii="Arial" w:hAnsi="Arial"/>
          <w:color w:val="525252"/>
          <w:sz w:val="13"/>
        </w:rPr>
        <w:t>The USAF Reserve (https://www.airforce.com/ways-to-serve/air-force-reserve) consists of officers, enlisted, and civil servants who are tasked, by law, to fill the needs of the U.S. Armed Forces whenever more units and people are required than are available within the RegAF.</w:t>
      </w:r>
    </w:p>
    <w:p>
      <w:pPr>
        <w:spacing w:after="20" w:line="223" w:lineRule="auto"/>
        <w:jc w:val="right"/>
        <w:bidi/>
      </w:pPr>
      <w:r>
        <w:rPr>
          <w:rFonts w:ascii="Arial" w:hAnsi="Arial"/>
          <w:sz w:val="16"/>
        </w:rPr>
        <w:t>083.25  بیش از ۸۳۵۳۰۰ نفر ذخیره آماده، آماده به کار و بازنشسته را تشکیل می‌دهند.</w:t>
      </w:r>
    </w:p>
    <w:p>
      <w:pPr>
        <w:spacing w:after="28" w:line="216" w:lineRule="auto"/>
        <w:ind w:left="259"/>
        <w:jc w:val="left"/>
      </w:pPr>
      <w:r>
        <w:rPr>
          <w:rFonts w:ascii="Arial" w:hAnsi="Arial"/>
          <w:color w:val="525252"/>
          <w:sz w:val="13"/>
        </w:rPr>
        <w:t>More than 835,300 people make up the Ready, Standby, and Retired Reserve.</w:t>
      </w:r>
    </w:p>
    <w:p>
      <w:pPr>
        <w:spacing w:after="20" w:line="223" w:lineRule="auto"/>
        <w:jc w:val="right"/>
        <w:bidi/>
      </w:pPr>
      <w:r>
        <w:rPr>
          <w:rFonts w:ascii="Arial" w:hAnsi="Arial"/>
          <w:sz w:val="16"/>
        </w:rPr>
        <w:t>083.26  این شامل نزدیک به ۷۰۳۰۰ ذخیره منتخب است که برای شرکت در هر تخصص شغلی و در خط مقدم عملیات‌های نظامی روزانه در سراسر جهان "آماده" هستند.</w:t>
      </w:r>
    </w:p>
    <w:p>
      <w:pPr>
        <w:spacing w:after="28" w:line="216" w:lineRule="auto"/>
        <w:ind w:left="259"/>
        <w:jc w:val="left"/>
      </w:pPr>
      <w:r>
        <w:rPr>
          <w:rFonts w:ascii="Arial" w:hAnsi="Arial"/>
          <w:color w:val="525252"/>
          <w:sz w:val="13"/>
        </w:rPr>
        <w:t>This includes nearly 70,300 Selected Reservists who are “ready-now” for participating in every job specialty and on the front lines of daily military operations around the globe.</w:t>
      </w:r>
    </w:p>
    <w:p>
      <w:pPr>
        <w:spacing w:after="20" w:line="223" w:lineRule="auto"/>
        <w:jc w:val="right"/>
        <w:bidi/>
      </w:pPr>
      <w:r>
        <w:rPr>
          <w:rFonts w:ascii="Arial" w:hAnsi="Arial"/>
          <w:sz w:val="16"/>
        </w:rPr>
        <w:t>083.27  نیروی ذخیره USAF یک نیروی آماده جنگ است که در ۶۶ مکان در سراسر ایالات متحده مستقر است و برای هر CCMD در هوا و فضای سایبری در سطح جهانی خدمت می‌کند.</w:t>
      </w:r>
    </w:p>
    <w:p>
      <w:pPr>
        <w:spacing w:after="28" w:line="216" w:lineRule="auto"/>
        <w:ind w:left="259"/>
        <w:jc w:val="left"/>
      </w:pPr>
      <w:r>
        <w:rPr>
          <w:rFonts w:ascii="Arial" w:hAnsi="Arial"/>
          <w:color w:val="525252"/>
          <w:sz w:val="13"/>
        </w:rPr>
        <w:t>The USAF Reserve is a combat-ready force, stationed at 66 locations throughout the United States, and serving globally for every CCMD in air and cyberspace.</w:t>
      </w:r>
    </w:p>
    <w:p>
      <w:pPr>
        <w:spacing w:after="20" w:line="223" w:lineRule="auto"/>
        <w:jc w:val="right"/>
        <w:bidi/>
      </w:pPr>
      <w:r>
        <w:rPr>
          <w:rFonts w:ascii="Arial" w:hAnsi="Arial"/>
          <w:sz w:val="16"/>
        </w:rPr>
        <w:t>083.28  امروزه و در سال‌های اخیر، نیروهای ذخیره از هر عملکرد اصلی USAF و هر CCDR در سراسر جهان پشتیبانی می‌کنند.</w:t>
      </w:r>
    </w:p>
    <w:p>
      <w:pPr>
        <w:spacing w:after="28" w:line="216" w:lineRule="auto"/>
        <w:ind w:left="259"/>
        <w:jc w:val="left"/>
      </w:pPr>
      <w:r>
        <w:rPr>
          <w:rFonts w:ascii="Arial" w:hAnsi="Arial"/>
          <w:color w:val="525252"/>
          <w:sz w:val="13"/>
        </w:rPr>
        <w:t>Today and in recent years, Reservists have supported every USAF core function and every CCDR around the world.</w:t>
      </w:r>
    </w:p>
    <w:p>
      <w:pPr>
        <w:spacing w:after="20" w:line="223" w:lineRule="auto"/>
        <w:jc w:val="right"/>
        <w:bidi/>
      </w:pPr>
      <w:r>
        <w:rPr>
          <w:rFonts w:ascii="Arial" w:hAnsi="Arial"/>
          <w:sz w:val="16"/>
        </w:rPr>
        <w:t>083.29  نیروهای ذخیره USAF از سلاح‌های هسته‌ای محافظت می‌کنند و موقعیت یابی جهانی را هدایت می‌کنند</w:t>
      </w:r>
    </w:p>
    <w:p>
      <w:pPr>
        <w:spacing w:after="28" w:line="216" w:lineRule="auto"/>
        <w:ind w:left="259"/>
        <w:jc w:val="left"/>
      </w:pPr>
      <w:r>
        <w:rPr>
          <w:rFonts w:ascii="Arial" w:hAnsi="Arial"/>
          <w:color w:val="525252"/>
          <w:sz w:val="13"/>
        </w:rPr>
        <w:t>USAF Reservists safeguard nuclear weapons and guide global positioning</w:t>
      </w:r>
    </w:p>
    <w:p>
      <w:r>
        <w:br w:type="page"/>
      </w:r>
    </w:p>
    <w:p>
      <w:pPr>
        <w:spacing w:after="60"/>
        <w:jc w:val="right"/>
        <w:bidi/>
      </w:pPr>
      <w:r>
        <w:rPr>
          <w:rFonts w:ascii="Arial" w:hAnsi="Arial"/>
          <w:b/>
          <w:color w:val="1F4D78"/>
          <w:sz w:val="19"/>
        </w:rPr>
        <w:t>هفتهٔ 84  |  صفحهٔ منبع: 100</w:t>
      </w:r>
    </w:p>
    <w:p>
      <w:pPr>
        <w:spacing w:after="20" w:line="223" w:lineRule="auto"/>
        <w:jc w:val="right"/>
        <w:bidi/>
      </w:pPr>
      <w:r>
        <w:rPr>
          <w:rFonts w:ascii="Arial" w:hAnsi="Arial"/>
          <w:sz w:val="16"/>
        </w:rPr>
        <w:t>084.01  ماهواره.</w:t>
      </w:r>
    </w:p>
    <w:p>
      <w:pPr>
        <w:spacing w:after="28" w:line="216" w:lineRule="auto"/>
        <w:ind w:left="259"/>
        <w:jc w:val="left"/>
      </w:pPr>
      <w:r>
        <w:rPr>
          <w:rFonts w:ascii="Arial" w:hAnsi="Arial"/>
          <w:color w:val="525252"/>
          <w:sz w:val="13"/>
        </w:rPr>
        <w:t>satellites.</w:t>
      </w:r>
    </w:p>
    <w:p>
      <w:pPr>
        <w:spacing w:after="20" w:line="223" w:lineRule="auto"/>
        <w:jc w:val="right"/>
        <w:bidi/>
      </w:pPr>
      <w:r>
        <w:rPr>
          <w:rFonts w:ascii="Arial" w:hAnsi="Arial"/>
          <w:sz w:val="16"/>
        </w:rPr>
        <w:t>084.02  نیروهای ذخیره با هواپیماهای خلبانی از راه دور در نبرد در نیمی از جهان دورتر پرواز می‌کنند، طوفان‌ها را در دریا ردیابی می‌کنند، و تجهیزات پزشکی و غذا را برای نجات جان‌ها به مناطق فاجعه‌بار می‌آورند.</w:t>
      </w:r>
    </w:p>
    <w:p>
      <w:pPr>
        <w:spacing w:after="28" w:line="216" w:lineRule="auto"/>
        <w:ind w:left="259"/>
        <w:jc w:val="left"/>
      </w:pPr>
      <w:r>
        <w:rPr>
          <w:rFonts w:ascii="Arial" w:hAnsi="Arial"/>
          <w:color w:val="525252"/>
          <w:sz w:val="13"/>
        </w:rPr>
        <w:t>Reservists fly remotely piloted aircraft in combat half a world away, track hurricanes out at sea, and bring medical supplies and food into disaster areas to save lives.</w:t>
      </w:r>
    </w:p>
    <w:p>
      <w:pPr>
        <w:spacing w:after="20" w:line="223" w:lineRule="auto"/>
        <w:jc w:val="right"/>
        <w:bidi/>
      </w:pPr>
      <w:r>
        <w:rPr>
          <w:rFonts w:ascii="Arial" w:hAnsi="Arial"/>
          <w:sz w:val="16"/>
        </w:rPr>
        <w:t>084.03  برای بیش از ۷۵ سال، نیروی ذخیره USAF میراث پیشگامان اولیه هوایی را به انجام رسانده و از پتانسیلی که توسط رویاپردازانی که آن را ایجاد کرده‌اند، فراتر رفته است.</w:t>
      </w:r>
    </w:p>
    <w:p>
      <w:pPr>
        <w:spacing w:after="28" w:line="216" w:lineRule="auto"/>
        <w:ind w:left="259"/>
        <w:jc w:val="left"/>
      </w:pPr>
      <w:r>
        <w:rPr>
          <w:rFonts w:ascii="Arial" w:hAnsi="Arial"/>
          <w:color w:val="525252"/>
          <w:sz w:val="13"/>
        </w:rPr>
        <w:t>For more than 75 years, the USAF Reserve has fulfilled the legacy of early air pioneers and exceeded the potential seen by the visionaries who created it.</w:t>
      </w:r>
    </w:p>
    <w:p>
      <w:pPr>
        <w:spacing w:before="60" w:after="28"/>
        <w:jc w:val="right"/>
        <w:bidi/>
      </w:pPr>
      <w:r>
        <w:rPr>
          <w:b/>
          <w:color w:val="1F4D78"/>
          <w:sz w:val="18"/>
        </w:rPr>
        <w:t>5.12. گشت هوایی غیرنظامی / USAF کمکی ⟦ ۰۰۵ § 40301.</w:t>
      </w:r>
    </w:p>
    <w:p>
      <w:pPr>
        <w:spacing w:after="20"/>
        <w:ind w:left="259"/>
        <w:jc w:val="left"/>
      </w:pPr>
      <w:r>
        <w:rPr>
          <w:color w:val="555555"/>
          <w:sz w:val="12"/>
        </w:rPr>
        <w:t>5.12. Civil Air Patrol/USAF Auxiliary</w:t>
      </w:r>
    </w:p>
    <w:p>
      <w:pPr>
        <w:spacing w:after="20" w:line="223" w:lineRule="auto"/>
        <w:jc w:val="right"/>
        <w:bidi/>
      </w:pPr>
      <w:r>
        <w:rPr>
          <w:rFonts w:ascii="Arial" w:hAnsi="Arial"/>
          <w:sz w:val="16"/>
        </w:rPr>
        <w:t>084.05  گشت هوایی غیر نظامی (CAP) یک شرکت غیرانتفاعی و دارای مجوز کنگره تحت ۳۶ و.س.ک است. § ۴۰۳۰۱.</w:t>
      </w:r>
    </w:p>
    <w:p>
      <w:pPr>
        <w:spacing w:after="28" w:line="216" w:lineRule="auto"/>
        <w:ind w:left="259"/>
        <w:jc w:val="left"/>
      </w:pPr>
      <w:r>
        <w:rPr>
          <w:rFonts w:ascii="Arial" w:hAnsi="Arial"/>
          <w:color w:val="525252"/>
          <w:sz w:val="13"/>
        </w:rPr>
        <w:t>The Civil Air Patrol (CAP) is a congressionally chartered, non-profit corporation under 36 U.S.C. § 40301.</w:t>
      </w:r>
    </w:p>
    <w:p>
      <w:pPr>
        <w:spacing w:after="20" w:line="223" w:lineRule="auto"/>
        <w:jc w:val="right"/>
        <w:bidi/>
      </w:pPr>
      <w:r>
        <w:rPr>
          <w:rFonts w:ascii="Arial" w:hAnsi="Arial"/>
          <w:sz w:val="16"/>
        </w:rPr>
        <w:t>084.06  CAP همچنین به‌عنوان کمکی غیرنظامی داوطلب USAF تعیین می‌شود، زمانی که خدمات CAP توسط هر بخش یا سازمانی از دولت فدرال استفاده می‌شود.</w:t>
      </w:r>
    </w:p>
    <w:p>
      <w:pPr>
        <w:spacing w:after="28" w:line="216" w:lineRule="auto"/>
        <w:ind w:left="259"/>
        <w:jc w:val="left"/>
      </w:pPr>
      <w:r>
        <w:rPr>
          <w:rFonts w:ascii="Arial" w:hAnsi="Arial"/>
          <w:color w:val="525252"/>
          <w:sz w:val="13"/>
        </w:rPr>
        <w:t>CAP is also designated the volunteer civilian auxiliary of the USAF when CAP services are utilized by any department or agency of the Federal government.</w:t>
      </w:r>
    </w:p>
    <w:p>
      <w:pPr>
        <w:spacing w:after="20" w:line="223" w:lineRule="auto"/>
        <w:jc w:val="right"/>
        <w:bidi/>
      </w:pPr>
      <w:r>
        <w:rPr>
          <w:rFonts w:ascii="Arial" w:hAnsi="Arial"/>
          <w:sz w:val="16"/>
        </w:rPr>
        <w:t>084.07  وزیر نیروی هوایی می‌تواند از خدمات CAP به جای منابع USAF یا مکمل آن برای انجام برنامه‌ها و مأموریت‌های غیر جنگی نیروی هوایی ایالات متحده استفاده کند.</w:t>
      </w:r>
    </w:p>
    <w:p>
      <w:pPr>
        <w:spacing w:after="28" w:line="216" w:lineRule="auto"/>
        <w:ind w:left="259"/>
        <w:jc w:val="left"/>
      </w:pPr>
      <w:r>
        <w:rPr>
          <w:rFonts w:ascii="Arial" w:hAnsi="Arial"/>
          <w:color w:val="525252"/>
          <w:sz w:val="13"/>
        </w:rPr>
        <w:t>The Secretary of the Air Force can employ the services of CAP in lieu of, or to supplement, USAF resources to fulfill the non-combat programs and missions of the USAF.</w:t>
      </w:r>
    </w:p>
    <w:p>
      <w:pPr>
        <w:spacing w:after="20" w:line="223" w:lineRule="auto"/>
        <w:jc w:val="right"/>
        <w:bidi/>
      </w:pPr>
      <w:r>
        <w:rPr>
          <w:rFonts w:ascii="Arial" w:hAnsi="Arial"/>
          <w:sz w:val="16"/>
        </w:rPr>
        <w:t>084.08  به‌عنوان یک شریک توتال فورس، زمانی که توسط USAF تأیید و تعیین شد، CAP مأموریت هایی را به‌عنوان هوانورد نیروی کمکی USAF انجام می‌دهد که تحت فرماندهی رزم هوایی برای نظارت و بهره‌برداری مالی و عملیاتی قرار دارد.</w:t>
      </w:r>
    </w:p>
    <w:p>
      <w:pPr>
        <w:spacing w:after="28" w:line="216" w:lineRule="auto"/>
        <w:ind w:left="259"/>
        <w:jc w:val="left"/>
      </w:pPr>
      <w:r>
        <w:rPr>
          <w:rFonts w:ascii="Arial" w:hAnsi="Arial"/>
          <w:color w:val="525252"/>
          <w:sz w:val="13"/>
        </w:rPr>
        <w:t>As a Total Force partner, when approved and assigned by the USAF, CAP conducts missions as Airmen of the USAF Auxiliary, aligned under Air Combat Command for fiscal and operational oversight and utilization.</w:t>
      </w:r>
    </w:p>
    <w:p>
      <w:pPr>
        <w:spacing w:after="20" w:line="223" w:lineRule="auto"/>
        <w:jc w:val="right"/>
        <w:bidi/>
      </w:pPr>
      <w:r>
        <w:rPr>
          <w:rFonts w:ascii="Arial" w:hAnsi="Arial"/>
          <w:sz w:val="16"/>
        </w:rPr>
        <w:t>084.09  CAP بیش از ۵۵۰۰۰ عضو ارشد و داوطلب کادت دارد، ناوگانی متشکل از بیش از ۵۵۰ هواپیما و بیش از ۱۰۰۰ وسیله نقلیه را نگهداری می‌کند، قابلیت‌های ارتباطی متعدد در سراسر کشور را مدیریت می‌کند و یک سلول پزشکی قانونی تلفن همراه پیشرفته را حفظ می‌کند.</w:t>
      </w:r>
    </w:p>
    <w:p>
      <w:pPr>
        <w:spacing w:after="28" w:line="216" w:lineRule="auto"/>
        <w:ind w:left="259"/>
        <w:jc w:val="left"/>
      </w:pPr>
      <w:r>
        <w:rPr>
          <w:rFonts w:ascii="Arial" w:hAnsi="Arial"/>
          <w:color w:val="525252"/>
          <w:sz w:val="13"/>
        </w:rPr>
        <w:t>CAP has over 55,000 senior member and cadet volunteers, maintains a fleet of over 550 aircraft and over 1000 vehicles, manages multiple nationwide communications capabilities, and maintains a state-of-the-art cell phone forensics cell.</w:t>
      </w:r>
    </w:p>
    <w:p>
      <w:pPr>
        <w:spacing w:after="20" w:line="223" w:lineRule="auto"/>
        <w:jc w:val="right"/>
        <w:bidi/>
      </w:pPr>
      <w:r>
        <w:rPr>
          <w:rFonts w:ascii="Arial" w:hAnsi="Arial"/>
          <w:sz w:val="16"/>
        </w:rPr>
        <w:t>084.10  سه برنامه اصلی مدیریت شده توسط CAP شامل خدمات اضطراری و پشتیبانی مدنی، آموزش هوافضا، و برنامه‌های کادت است.</w:t>
      </w:r>
    </w:p>
    <w:p>
      <w:pPr>
        <w:spacing w:after="28" w:line="216" w:lineRule="auto"/>
        <w:ind w:left="259"/>
        <w:jc w:val="left"/>
      </w:pPr>
      <w:r>
        <w:rPr>
          <w:rFonts w:ascii="Arial" w:hAnsi="Arial"/>
          <w:color w:val="525252"/>
          <w:sz w:val="13"/>
        </w:rPr>
        <w:t>Three primary programs managed by CAP involve emergency services and civil support, aerospace education, and cadet programs.</w:t>
      </w:r>
    </w:p>
    <w:p>
      <w:pPr>
        <w:spacing w:after="20" w:line="223" w:lineRule="auto"/>
        <w:jc w:val="right"/>
        <w:bidi/>
      </w:pPr>
      <w:r>
        <w:rPr>
          <w:rFonts w:ascii="Arial" w:hAnsi="Arial"/>
          <w:sz w:val="16"/>
        </w:rPr>
        <w:t>084.11  خدمات اضطراری و برنامه‌های پشتیبانی مدنی توانایی برآوردن الزامات USAF را برای کمک به سازمان‌های فدرال، ایالتی، محلی و غیردولتی در شرایط عادی و اضطراری در حمایت از عملیات امنیت داخلی، مدیریت پیامدها، و جستجو و نجات حفظ می‌کنند.</w:t>
      </w:r>
    </w:p>
    <w:p>
      <w:pPr>
        <w:spacing w:after="28" w:line="216" w:lineRule="auto"/>
        <w:ind w:left="259"/>
        <w:jc w:val="left"/>
      </w:pPr>
      <w:r>
        <w:rPr>
          <w:rFonts w:ascii="Arial" w:hAnsi="Arial"/>
          <w:color w:val="525252"/>
          <w:sz w:val="13"/>
        </w:rPr>
        <w:t>The emergency services and civil support programs maintain the ability to meet USAF requirements to assist federal, state, local, and non- governmental organizations during routine and emergency situations in support of homeland security operations, consequence management, and search and rescue.</w:t>
      </w:r>
    </w:p>
    <w:p>
      <w:pPr>
        <w:spacing w:after="20" w:line="223" w:lineRule="auto"/>
        <w:jc w:val="right"/>
        <w:bidi/>
      </w:pPr>
      <w:r>
        <w:rPr>
          <w:rFonts w:ascii="Arial" w:hAnsi="Arial"/>
          <w:sz w:val="16"/>
        </w:rPr>
        <w:t>084.12  آموزش هوافضا موادی با محوریت هوانوردی را برای اعضای ارشد و دانشجویان و همچنین عموم مردم فراهم می‌کند.</w:t>
      </w:r>
    </w:p>
    <w:p>
      <w:pPr>
        <w:spacing w:after="28" w:line="216" w:lineRule="auto"/>
        <w:ind w:left="259"/>
        <w:jc w:val="left"/>
      </w:pPr>
      <w:r>
        <w:rPr>
          <w:rFonts w:ascii="Arial" w:hAnsi="Arial"/>
          <w:color w:val="525252"/>
          <w:sz w:val="13"/>
        </w:rPr>
        <w:t>Aerospace education provides aviation-focused materials for both senior and cadet members, as well as the general public.</w:t>
      </w:r>
    </w:p>
    <w:p>
      <w:pPr>
        <w:spacing w:after="20" w:line="223" w:lineRule="auto"/>
        <w:jc w:val="right"/>
        <w:bidi/>
      </w:pPr>
      <w:r>
        <w:rPr>
          <w:rFonts w:ascii="Arial" w:hAnsi="Arial"/>
          <w:sz w:val="16"/>
        </w:rPr>
        <w:t>084.13  برنامه کادت برای ایجاد انگیزه در جوانان آمریکایی برای تبدیل شدن به شهروندان مسئول از طریق فعالیت‌های هوانوردی طراحی شده است.</w:t>
      </w:r>
    </w:p>
    <w:p>
      <w:pPr>
        <w:spacing w:after="28" w:line="216" w:lineRule="auto"/>
        <w:ind w:left="259"/>
        <w:jc w:val="left"/>
      </w:pPr>
      <w:r>
        <w:rPr>
          <w:rFonts w:ascii="Arial" w:hAnsi="Arial"/>
          <w:color w:val="525252"/>
          <w:sz w:val="13"/>
        </w:rPr>
        <w:t>The cadet program is designed to motivate American youth to become responsible citizens through aviation-centered activities.</w:t>
      </w:r>
    </w:p>
    <w:p>
      <w:pPr>
        <w:spacing w:after="20" w:line="223" w:lineRule="auto"/>
        <w:jc w:val="right"/>
        <w:bidi/>
      </w:pPr>
      <w:r>
        <w:rPr>
          <w:rFonts w:ascii="Arial" w:hAnsi="Arial"/>
          <w:sz w:val="16"/>
        </w:rPr>
        <w:t>084.14  CAP در هشت منطقه جغرافیایی به رهبری فرماندهان منطقه و ۵۲ جناح در سطح ایالت سازماندهی شده است که شامل ناحیه کلمبیا و پورتوریکو / جزایر ویرجین ایالات متحده است.</w:t>
      </w:r>
    </w:p>
    <w:p>
      <w:pPr>
        <w:spacing w:after="28" w:line="216" w:lineRule="auto"/>
        <w:ind w:left="259"/>
        <w:jc w:val="left"/>
      </w:pPr>
      <w:r>
        <w:rPr>
          <w:rFonts w:ascii="Arial" w:hAnsi="Arial"/>
          <w:color w:val="525252"/>
          <w:sz w:val="13"/>
        </w:rPr>
        <w:t>CAP is organized into eight geographic regions led by regional commanders, and 52 state-level wings, to include the District of Columbia, and Puerto Rico / U.S. Virgin Islands.</w:t>
      </w:r>
    </w:p>
    <w:p>
      <w:pPr>
        <w:spacing w:after="20" w:line="223" w:lineRule="auto"/>
        <w:jc w:val="right"/>
        <w:bidi/>
      </w:pPr>
      <w:r>
        <w:rPr>
          <w:rFonts w:ascii="Arial" w:hAnsi="Arial"/>
          <w:sz w:val="16"/>
        </w:rPr>
        <w:t>084.15  تقریبا ۱۴۰۰ واحد منفرد رده‌های پایین‌تر در جناح‌های سطح دولتی را تشکیل می‌دهند.</w:t>
      </w:r>
    </w:p>
    <w:p>
      <w:pPr>
        <w:spacing w:after="28" w:line="216" w:lineRule="auto"/>
        <w:ind w:left="259"/>
        <w:jc w:val="left"/>
      </w:pPr>
      <w:r>
        <w:rPr>
          <w:rFonts w:ascii="Arial" w:hAnsi="Arial"/>
          <w:color w:val="525252"/>
          <w:sz w:val="13"/>
        </w:rPr>
        <w:t>Approximately 1,400 total individual units comprise the lower-level echelons within the state-level wings.</w:t>
      </w:r>
    </w:p>
    <w:p>
      <w:pPr>
        <w:spacing w:after="20" w:line="223" w:lineRule="auto"/>
        <w:jc w:val="right"/>
        <w:bidi/>
      </w:pPr>
      <w:r>
        <w:rPr>
          <w:rFonts w:ascii="Arial" w:hAnsi="Arial"/>
          <w:sz w:val="16"/>
        </w:rPr>
        <w:t>084.16  توجه: چهار نیروی کمکی غیرنظامی نیروهای مسلح ایالات متحده عبارتند از: گشت هوایی غیرنظامی، گارد ساحلی کمکی، تفنگداران دریایی، و سیستم رادیویی کمکی نظامی.</w:t>
      </w:r>
    </w:p>
    <w:p>
      <w:pPr>
        <w:spacing w:after="28" w:line="216" w:lineRule="auto"/>
        <w:ind w:left="259"/>
        <w:jc w:val="left"/>
      </w:pPr>
      <w:r>
        <w:rPr>
          <w:rFonts w:ascii="Arial" w:hAnsi="Arial"/>
          <w:color w:val="525252"/>
          <w:sz w:val="13"/>
        </w:rPr>
        <w:t>Note: The four civilian auxiliaries of the U.S. Armed Forces are: Civil Air Patrol, Coast Guard Auxiliary, Merchant Marine, and Military Auxiliary Radio System.</w:t>
      </w:r>
    </w:p>
    <w:p>
      <w:pPr>
        <w:spacing w:before="60" w:after="28"/>
        <w:jc w:val="right"/>
        <w:bidi/>
      </w:pPr>
      <w:r>
        <w:rPr>
          <w:b/>
          <w:color w:val="1F4D78"/>
          <w:sz w:val="18"/>
        </w:rPr>
        <w:t>5.13. آموزش افسران ذخیره جوان نیروی هوایی</w:t>
      </w:r>
    </w:p>
    <w:p>
      <w:pPr>
        <w:spacing w:after="20"/>
        <w:ind w:left="259"/>
        <w:jc w:val="left"/>
      </w:pPr>
      <w:r>
        <w:rPr>
          <w:color w:val="555555"/>
          <w:sz w:val="12"/>
        </w:rPr>
        <w:t>5.13. Air Force Junior Reserve Officer Training Corps</w:t>
      </w:r>
    </w:p>
    <w:p>
      <w:pPr>
        <w:spacing w:after="20" w:line="223" w:lineRule="auto"/>
        <w:jc w:val="right"/>
        <w:bidi/>
      </w:pPr>
      <w:r>
        <w:rPr>
          <w:rFonts w:ascii="Arial" w:hAnsi="Arial"/>
          <w:sz w:val="16"/>
        </w:rPr>
        <w:t>084.18  مأموریت سپاه آموزش افسران ذخیره جوان نیروی هوایی (AFJROTC) توسعه شهروندانی با شخصیت است که برای خدمت به ملت و جامعه تلاش می‌کنند.</w:t>
      </w:r>
    </w:p>
    <w:p>
      <w:pPr>
        <w:spacing w:after="28" w:line="216" w:lineRule="auto"/>
        <w:ind w:left="259"/>
        <w:jc w:val="left"/>
      </w:pPr>
      <w:r>
        <w:rPr>
          <w:rFonts w:ascii="Arial" w:hAnsi="Arial"/>
          <w:color w:val="525252"/>
          <w:sz w:val="13"/>
        </w:rPr>
        <w:t>The Air Force Junior Reserve Officer Training Corps (AFJROTC) mission is to develop citizens of character dedicated to serving the nation and community.</w:t>
      </w:r>
    </w:p>
    <w:p>
      <w:pPr>
        <w:spacing w:after="20" w:line="223" w:lineRule="auto"/>
        <w:jc w:val="right"/>
        <w:bidi/>
      </w:pPr>
      <w:r>
        <w:rPr>
          <w:rFonts w:ascii="Arial" w:hAnsi="Arial"/>
          <w:sz w:val="16"/>
        </w:rPr>
        <w:t>084.19  برنامه AFJROTC یک برنامه آموزش شهروندی اجباری برای دانش‌آموزان کلاس نهم تا دوازدهم است که آموزش رهبری و یک برنامه علوم هوافضا را برای دانش‌آموزان دبیرستانی ارائه می‌کند تا جنبه‌های تاریخی و علمی فناوری هوافضا را کشف کنند و به اتکا به خود، رهبران خوب و ویژگی‌های دیگر خود اتکایی می‌دهد.</w:t>
      </w:r>
    </w:p>
    <w:p>
      <w:pPr>
        <w:spacing w:after="28" w:line="216" w:lineRule="auto"/>
        <w:ind w:left="259"/>
        <w:jc w:val="left"/>
      </w:pPr>
      <w:r>
        <w:rPr>
          <w:rFonts w:ascii="Arial" w:hAnsi="Arial"/>
          <w:color w:val="525252"/>
          <w:sz w:val="13"/>
        </w:rPr>
        <w:t>The AFJROTC program is a Title 10 United States Code, Armed Forces, mandated citizenship training program open to 9th-12th grade students that provides leadership training and an aerospace science program for high school students to explore the historic and scientific aspects of aerospace technology and teaches self- reliance, self-discipline, and other characteristics found in good leaders.</w:t>
      </w:r>
    </w:p>
    <w:p>
      <w:pPr>
        <w:spacing w:after="20" w:line="223" w:lineRule="auto"/>
        <w:jc w:val="right"/>
        <w:bidi/>
      </w:pPr>
      <w:r>
        <w:rPr>
          <w:rFonts w:ascii="Arial" w:hAnsi="Arial"/>
          <w:sz w:val="16"/>
        </w:rPr>
        <w:t>084.20  این اهداف از طریق آموزش در کلاس درس و آموزش اصول هوا و فضا و فرصت‌های یادگیری عملی در تعدادی از فعالیت‌های فوق برنامه سرگرم کننده و چالش برانگیز به دست می‌آیند.</w:t>
      </w:r>
    </w:p>
    <w:p>
      <w:pPr>
        <w:spacing w:after="28" w:line="216" w:lineRule="auto"/>
        <w:ind w:left="259"/>
        <w:jc w:val="left"/>
      </w:pPr>
      <w:r>
        <w:rPr>
          <w:rFonts w:ascii="Arial" w:hAnsi="Arial"/>
          <w:color w:val="525252"/>
          <w:sz w:val="13"/>
        </w:rPr>
        <w:t>These objectives are achieved through classroom education and instruction in air and space fundamentals and hands-on learning opportunities in a number of fun and challenging extra-curricular activities.</w:t>
      </w:r>
    </w:p>
    <w:p>
      <w:pPr>
        <w:spacing w:after="20" w:line="223" w:lineRule="auto"/>
        <w:jc w:val="right"/>
        <w:bidi/>
      </w:pPr>
      <w:r>
        <w:rPr>
          <w:rFonts w:ascii="Arial" w:hAnsi="Arial"/>
          <w:sz w:val="16"/>
        </w:rPr>
        <w:t>084.21  به دانش‌آموزان دبیرستانی که در برنامه AFJROTC ثبت‌نام می‌کنند، طیف گسترده‌ای از فعالیت‌های درسی و فوق برنامه ارائه می‌شود.</w:t>
      </w:r>
    </w:p>
    <w:p>
      <w:pPr>
        <w:spacing w:after="28" w:line="216" w:lineRule="auto"/>
        <w:ind w:left="259"/>
        <w:jc w:val="left"/>
      </w:pPr>
      <w:r>
        <w:rPr>
          <w:rFonts w:ascii="Arial" w:hAnsi="Arial"/>
          <w:color w:val="525252"/>
          <w:sz w:val="13"/>
        </w:rPr>
        <w:t>Secondary school students who enroll in the AFJROTC program are offered a wide variety of curricular and extra-curricular activities.</w:t>
      </w:r>
    </w:p>
    <w:p>
      <w:pPr>
        <w:spacing w:after="20" w:line="223" w:lineRule="auto"/>
        <w:jc w:val="right"/>
        <w:bidi/>
      </w:pPr>
      <w:r>
        <w:rPr>
          <w:rFonts w:ascii="Arial" w:hAnsi="Arial"/>
          <w:sz w:val="16"/>
        </w:rPr>
        <w:t>084.22  کارکنان AFJROTC شامل ۳۱ پرسنل منصوب در ستاد و بیش از ۱۹۰۰ افسر بازنشسته USAF و مربیان نظامی است.</w:t>
      </w:r>
    </w:p>
    <w:p>
      <w:pPr>
        <w:spacing w:after="28" w:line="216" w:lineRule="auto"/>
        <w:ind w:left="259"/>
        <w:jc w:val="left"/>
      </w:pPr>
      <w:r>
        <w:rPr>
          <w:rFonts w:ascii="Arial" w:hAnsi="Arial"/>
          <w:color w:val="525252"/>
          <w:sz w:val="13"/>
        </w:rPr>
        <w:t>The AFJROTC staff includes 31 personnel assigned to headquarters and more than 1,900 retired USAF officer and enlisted military instructors.</w:t>
      </w:r>
    </w:p>
    <w:p>
      <w:pPr>
        <w:spacing w:after="20" w:line="223" w:lineRule="auto"/>
        <w:jc w:val="right"/>
        <w:bidi/>
      </w:pPr>
      <w:r>
        <w:rPr>
          <w:rFonts w:ascii="Arial" w:hAnsi="Arial"/>
          <w:sz w:val="16"/>
        </w:rPr>
        <w:t>084.23  ۸۷۰ واحد AFJROTC نماینده نیروهای هوایی و فضایی هستند (تقریبا ۸۶۰ نماینده نیروی هوایی ایالات متحده آمریکا در حالی که ۱۰ واحد دیگر نماینده نیروی فضایی هستند) با نزدیک به ۱۲۰۰۰۰ دانشجو در دبیرستان‌های سراسر ایالات متحده و مدارس وابسته به وزارت دفاع در اروپا و مدارس دولتی گوتوام و همچنین پوتویفیک.</w:t>
      </w:r>
    </w:p>
    <w:p>
      <w:pPr>
        <w:spacing w:after="28" w:line="216" w:lineRule="auto"/>
        <w:ind w:left="259"/>
        <w:jc w:val="left"/>
      </w:pPr>
      <w:r>
        <w:rPr>
          <w:rFonts w:ascii="Arial" w:hAnsi="Arial"/>
          <w:color w:val="525252"/>
          <w:sz w:val="13"/>
        </w:rPr>
        <w:t>There are 870 AFJROTC units representing the Air and Space Forces (approximately 860 represent the USAF while the other 10 represent the Space Force) with nearly 120,000 cadets in high schools across the United States and selected Department of Defense dependent schools in Europe and the Pacific, as well as public schools in Puerto Rico and Guam.</w:t>
      </w:r>
    </w:p>
    <w:p>
      <w:pPr>
        <w:spacing w:after="20" w:line="223" w:lineRule="auto"/>
        <w:jc w:val="right"/>
        <w:bidi/>
      </w:pPr>
      <w:r>
        <w:rPr>
          <w:rFonts w:ascii="Arial" w:hAnsi="Arial"/>
          <w:sz w:val="16"/>
        </w:rPr>
        <w:t>084.24  برنامه AFJROTC یک ابزار استخدام یا الحاق برای خدمات نظامی نیست زیرا دانشجویانی که در این برنامه شرکت می‌کنند هیچ تعهدی برای خدمت سربازی ندارند.</w:t>
      </w:r>
    </w:p>
    <w:p>
      <w:pPr>
        <w:spacing w:after="28" w:line="216" w:lineRule="auto"/>
        <w:ind w:left="259"/>
        <w:jc w:val="left"/>
      </w:pPr>
      <w:r>
        <w:rPr>
          <w:rFonts w:ascii="Arial" w:hAnsi="Arial"/>
          <w:color w:val="525252"/>
          <w:sz w:val="13"/>
        </w:rPr>
        <w:t>The AFJROTC program is not a recruiting or accession tool for the military services as students who participate in the program incur no military service obligation.</w:t>
      </w:r>
    </w:p>
    <w:p>
      <w:r>
        <w:br w:type="page"/>
      </w:r>
    </w:p>
    <w:p>
      <w:pPr>
        <w:spacing w:after="60"/>
        <w:jc w:val="right"/>
        <w:bidi/>
      </w:pPr>
      <w:r>
        <w:rPr>
          <w:rFonts w:ascii="Arial" w:hAnsi="Arial"/>
          <w:b/>
          <w:color w:val="1F4D78"/>
          <w:sz w:val="19"/>
        </w:rPr>
        <w:t>هفتهٔ 85  |  صفحهٔ منبع: 101</w:t>
      </w:r>
    </w:p>
    <w:p>
      <w:pPr>
        <w:spacing w:before="60" w:after="28"/>
        <w:jc w:val="right"/>
        <w:bidi/>
      </w:pPr>
      <w:r>
        <w:rPr>
          <w:b/>
          <w:color w:val="1F4D78"/>
          <w:sz w:val="18"/>
        </w:rPr>
        <w:t>بخش 5E-ساختار USAF</w:t>
      </w:r>
    </w:p>
    <w:p>
      <w:pPr>
        <w:spacing w:after="20"/>
        <w:ind w:left="259"/>
        <w:jc w:val="left"/>
      </w:pPr>
      <w:r>
        <w:rPr>
          <w:color w:val="555555"/>
          <w:sz w:val="12"/>
        </w:rPr>
        <w:t>Section 5E—USAF Structure</w:t>
      </w:r>
    </w:p>
    <w:p>
      <w:pPr>
        <w:spacing w:before="60" w:after="28"/>
        <w:jc w:val="right"/>
        <w:bidi/>
      </w:pPr>
      <w:r>
        <w:rPr>
          <w:b/>
          <w:color w:val="1F4D78"/>
          <w:sz w:val="18"/>
        </w:rPr>
        <w:t>5.14. وزارت نیروی هوایی (DAF)</w:t>
      </w:r>
    </w:p>
    <w:p>
      <w:pPr>
        <w:spacing w:after="20"/>
        <w:ind w:left="259"/>
        <w:jc w:val="left"/>
      </w:pPr>
      <w:r>
        <w:rPr>
          <w:color w:val="555555"/>
          <w:sz w:val="12"/>
        </w:rPr>
        <w:t>5.14. Department of the Air Force (DAF)</w:t>
      </w:r>
    </w:p>
    <w:p>
      <w:pPr>
        <w:spacing w:after="20" w:line="223" w:lineRule="auto"/>
        <w:jc w:val="right"/>
        <w:bidi/>
      </w:pPr>
      <w:r>
        <w:rPr>
          <w:rFonts w:ascii="Arial" w:hAnsi="Arial"/>
          <w:sz w:val="16"/>
        </w:rPr>
        <w:t>085.03  عنوان ۱۰ کد ایالات متحده، نیروهای مسلح، وظایف، مسئولیت‌ها و تعهدات قانونی وزارت نیروی هوایی را ارائه می‌کند.</w:t>
      </w:r>
    </w:p>
    <w:p>
      <w:pPr>
        <w:spacing w:after="28" w:line="216" w:lineRule="auto"/>
        <w:ind w:left="259"/>
        <w:jc w:val="left"/>
      </w:pPr>
      <w:r>
        <w:rPr>
          <w:rFonts w:ascii="Arial" w:hAnsi="Arial"/>
          <w:color w:val="525252"/>
          <w:sz w:val="13"/>
        </w:rPr>
        <w:t>Title 10 United States Code, Armed Forces, provides specified duties, responsibilities, and legal obligations of the Department of the Air Force.</w:t>
      </w:r>
    </w:p>
    <w:p>
      <w:pPr>
        <w:spacing w:after="20" w:line="223" w:lineRule="auto"/>
        <w:jc w:val="right"/>
        <w:bidi/>
      </w:pPr>
      <w:r>
        <w:rPr>
          <w:rFonts w:ascii="Arial" w:hAnsi="Arial"/>
          <w:sz w:val="16"/>
        </w:rPr>
        <w:t>085.04  مأموریت USAF پرواز، جنگیدن، و برنده شدن ... نیروی هوایی در هر زمان و هر مکان است.</w:t>
      </w:r>
    </w:p>
    <w:p>
      <w:pPr>
        <w:spacing w:after="28" w:line="216" w:lineRule="auto"/>
        <w:ind w:left="259"/>
        <w:jc w:val="left"/>
      </w:pPr>
      <w:r>
        <w:rPr>
          <w:rFonts w:ascii="Arial" w:hAnsi="Arial"/>
          <w:color w:val="525252"/>
          <w:sz w:val="13"/>
        </w:rPr>
        <w:t>The USAF’s mission is to fly, fight, and win…airpower anytime, anywhere.</w:t>
      </w:r>
    </w:p>
    <w:p>
      <w:pPr>
        <w:spacing w:after="20" w:line="223" w:lineRule="auto"/>
        <w:jc w:val="right"/>
        <w:bidi/>
      </w:pPr>
      <w:r>
        <w:rPr>
          <w:rFonts w:ascii="Arial" w:hAnsi="Arial"/>
          <w:sz w:val="16"/>
        </w:rPr>
        <w:t>085.05  دپارتمان نیروی هوایی (DAF) متشکل از دبیرخانه (شامل دبیر نیروی هوایی و کارکنان اصلی وزیر)، واحدهای نیروی هوایی و میدانی، و نیروی فضایی ستاد فرماندهی و واحدهای میدانی است.</w:t>
      </w:r>
    </w:p>
    <w:p>
      <w:pPr>
        <w:spacing w:after="28" w:line="216" w:lineRule="auto"/>
        <w:ind w:left="259"/>
        <w:jc w:val="left"/>
      </w:pPr>
      <w:r>
        <w:rPr>
          <w:rFonts w:ascii="Arial" w:hAnsi="Arial"/>
          <w:color w:val="525252"/>
          <w:sz w:val="13"/>
        </w:rPr>
        <w:t>The Department of the Air Force (DAF) is comprised of the secretariat (including the Secretary of the Air Force and the Secretary’s principal staff), HAF and field units, and Headquarters Space Force and field units.</w:t>
      </w:r>
    </w:p>
    <w:p>
      <w:pPr>
        <w:spacing w:after="20" w:line="223" w:lineRule="auto"/>
        <w:jc w:val="right"/>
        <w:bidi/>
      </w:pPr>
      <w:r>
        <w:rPr>
          <w:rFonts w:ascii="Arial" w:hAnsi="Arial"/>
          <w:sz w:val="16"/>
        </w:rPr>
        <w:t>085.06  مسئول آماده‌سازی نیروهای هوایی، فضایی و سایبری لازم برای تعقیب مؤثر جنگ و عملیات‌های نظامی کوتاه‌مدت جنگ برای گسترش اجزای زمان صلح نیروی هوایی ایالات متحده آمریکا و نیروی فضایی برای رفع نیازهای جنگ است.</w:t>
      </w:r>
    </w:p>
    <w:p>
      <w:pPr>
        <w:spacing w:after="28" w:line="216" w:lineRule="auto"/>
        <w:ind w:left="259"/>
        <w:jc w:val="left"/>
      </w:pPr>
      <w:r>
        <w:rPr>
          <w:rFonts w:ascii="Arial" w:hAnsi="Arial"/>
          <w:color w:val="525252"/>
          <w:sz w:val="13"/>
        </w:rPr>
        <w:t>It is responsible for preparing the air, space, and cyber forces necessary for the effective prosecution of war and military operations short of war for the expansion of the peacetime components of the USAF and Space Force to meet the needs of war.</w:t>
      </w:r>
    </w:p>
    <w:p>
      <w:pPr>
        <w:spacing w:after="20" w:line="223" w:lineRule="auto"/>
        <w:jc w:val="right"/>
        <w:bidi/>
      </w:pPr>
      <w:r>
        <w:rPr>
          <w:rFonts w:ascii="Arial" w:hAnsi="Arial"/>
          <w:sz w:val="16"/>
        </w:rPr>
        <w:t>085.07  DAF از سه نهاد اصلی تشکیل شده است: دبیرخانه (شامل وزیر نیروی هوایی و کارکنان اصلی وزیر) و ستاد هوایی (به ریاست رئیس ستاد نیروی هوایی)، و ستاد فضایی (به ریاست رئیس عملیات فضایی).</w:t>
      </w:r>
    </w:p>
    <w:p>
      <w:pPr>
        <w:spacing w:after="28" w:line="216" w:lineRule="auto"/>
        <w:ind w:left="259"/>
        <w:jc w:val="left"/>
      </w:pPr>
      <w:r>
        <w:rPr>
          <w:rFonts w:ascii="Arial" w:hAnsi="Arial"/>
          <w:color w:val="525252"/>
          <w:sz w:val="13"/>
        </w:rPr>
        <w:t>DAF consists of three major entities: the Secretariat (including the Secretary of the Air Force and the Secretary’s principal staff) and the Air Staff (headed by the Chief of Staff of the Air Force), and the Space Staff (headed by the Chief of Space Operations).</w:t>
      </w:r>
    </w:p>
    <w:p>
      <w:pPr>
        <w:spacing w:after="20" w:line="223" w:lineRule="auto"/>
        <w:jc w:val="right"/>
        <w:bidi/>
      </w:pPr>
      <w:r>
        <w:rPr>
          <w:rFonts w:ascii="Arial" w:hAnsi="Arial"/>
          <w:sz w:val="16"/>
        </w:rPr>
        <w:t>085.08  یگان‌های میدانی، سازمان‌های جزئی در نیروی فضایی و USAF هستند.</w:t>
      </w:r>
    </w:p>
    <w:p>
      <w:pPr>
        <w:spacing w:after="28" w:line="216" w:lineRule="auto"/>
        <w:ind w:left="259"/>
        <w:jc w:val="left"/>
      </w:pPr>
      <w:r>
        <w:rPr>
          <w:rFonts w:ascii="Arial" w:hAnsi="Arial"/>
          <w:color w:val="525252"/>
          <w:sz w:val="13"/>
        </w:rPr>
        <w:t>Field units are the component organizations within the USAF and Space Force.</w:t>
      </w:r>
    </w:p>
    <w:p>
      <w:pPr>
        <w:spacing w:after="20" w:line="223" w:lineRule="auto"/>
        <w:jc w:val="right"/>
        <w:bidi/>
      </w:pPr>
      <w:r>
        <w:rPr>
          <w:rFonts w:ascii="Arial" w:hAnsi="Arial"/>
          <w:sz w:val="16"/>
        </w:rPr>
        <w:t>085.09  توابع اصلی USAF.</w:t>
      </w:r>
    </w:p>
    <w:p>
      <w:pPr>
        <w:spacing w:after="28" w:line="216" w:lineRule="auto"/>
        <w:ind w:left="259"/>
        <w:jc w:val="left"/>
      </w:pPr>
      <w:r>
        <w:rPr>
          <w:rFonts w:ascii="Arial" w:hAnsi="Arial"/>
          <w:color w:val="525252"/>
          <w:sz w:val="13"/>
        </w:rPr>
        <w:t>USAF Primary Functions.</w:t>
      </w:r>
    </w:p>
    <w:p>
      <w:pPr>
        <w:spacing w:after="20" w:line="223" w:lineRule="auto"/>
        <w:jc w:val="right"/>
        <w:bidi/>
      </w:pPr>
      <w:r>
        <w:rPr>
          <w:rFonts w:ascii="Arial" w:hAnsi="Arial"/>
          <w:sz w:val="16"/>
        </w:rPr>
        <w:t>085.10  علاوه بر وظایف عمومی و اختصاصی شاخه‌های نظامی که در توافقنامه کی وست مشخص شده است، وظایف اصلی شاخه‌ها نیز وجود دارد.</w:t>
      </w:r>
    </w:p>
    <w:p>
      <w:pPr>
        <w:spacing w:after="28" w:line="216" w:lineRule="auto"/>
        <w:ind w:left="259"/>
        <w:jc w:val="left"/>
      </w:pPr>
      <w:r>
        <w:rPr>
          <w:rFonts w:ascii="Arial" w:hAnsi="Arial"/>
          <w:color w:val="525252"/>
          <w:sz w:val="13"/>
        </w:rPr>
        <w:t>In addition to general and specific functions of the military branches outlined in the Key West Agreement, there are also primary functions of the branches.</w:t>
      </w:r>
    </w:p>
    <w:p>
      <w:pPr>
        <w:spacing w:after="20" w:line="223" w:lineRule="auto"/>
        <w:jc w:val="right"/>
        <w:bidi/>
      </w:pPr>
      <w:r>
        <w:rPr>
          <w:rFonts w:ascii="Arial" w:hAnsi="Arial"/>
          <w:sz w:val="16"/>
        </w:rPr>
        <w:t>085.11  وظایف اصلی USAF شامل سازماندهی، آموزش، تجهیز، و تأمین نیرو برای انجام عملیات تهاجمی و دفاعی، شامل دفاع هوایی و موشکی مناسب، به دست آوردن و حفظ برتری هوایی، و برتری هوایی در صورت لزوم، برای ایجاد امکان انجام عملیات توسط نیروهای ایالات متحده و متحدان، نیروهای ویژه، زمینی و دریایی، اما محدود نمی‌شود. انجام عملیات هسته‌ای در حمایت از بازدارندگی استراتژیک؛ انجام حمله دقیق جهانی، شامل حمله استراتژیک، منع، پشتیبانی نزدیک هوایی، و حمله سریع جهانی. ارائه به موقع و جهانی یکپارچه اطلاعات، نظارت و قابلیت شناسایی؛ ارائه تحرک جهانی سریع برای به‌کارگیری و حفظ نیروهای ارگانیک هوایی و فضایی و سایر خدمات نظامی، شامل نیروهای حمل و نقل هوایی برای عملیات هوایی، پشتیبانی لجستیکی هوایی، نیروهای تانکر برای سوخت‌گیری در حین پرواز، و تخلیه هوایی پزشکی. ارائه پشتیبانی رزمی چابک برای تقویت عملیات هوایی و فضایی و استقرار، اشتغال، حفظ و استقرار مجدد نیروهای هوایی؛ انجام عملیات بازیابی پرسنل جهانی از جمله جنگ در سراسر تئاتر و جستجو و نجات غیرنظامی؛ و فرماندهی و کنترل یکپارچه جهانی برای عملیات هوایی و فضایی را انجام دهد.</w:t>
      </w:r>
    </w:p>
    <w:p>
      <w:pPr>
        <w:spacing w:after="28" w:line="216" w:lineRule="auto"/>
        <w:ind w:left="259"/>
        <w:jc w:val="left"/>
      </w:pPr>
      <w:r>
        <w:rPr>
          <w:rFonts w:ascii="Arial" w:hAnsi="Arial"/>
          <w:color w:val="525252"/>
          <w:sz w:val="13"/>
        </w:rPr>
        <w:t>The primary functions of the USAF include, but are not limited to organizing, training, equipping, and providing forces to conduct offensive and defensive operations, to include appropriate air and missile defense, to gain and maintain air superiority, and air supremacy as required, to enable, the conduct of operations by U.S. and allied land, sea, air, and special operations forces; conduct nuclear operations in support of strategic deterrence; conduct global precision attack, to include strategic attack, interdiction, close air support, and prompt global strike; provide timely, global integrated intelligence, surveillance, and reconnaissance capability; provide rapid global mobility to employ and sustain organic air and space forces and other Military Services, to include airlift forces for airborne operations, air logistical support, tanker forces for in-flight refueling, and aeromedical evacuation; provide agile combat support to enhance the air and space campaign and the deployment, employment, sustainment, and redeployment of air forces; conduct global personnel recovery operations including theater-wide combat and civil search and rescue; and conduct global integrated command and control for air and space operations.</w:t>
      </w:r>
    </w:p>
    <w:p>
      <w:pPr>
        <w:spacing w:after="20" w:line="223" w:lineRule="auto"/>
        <w:jc w:val="right"/>
        <w:bidi/>
      </w:pPr>
      <w:r>
        <w:rPr>
          <w:rFonts w:ascii="Arial" w:hAnsi="Arial"/>
          <w:sz w:val="16"/>
        </w:rPr>
        <w:t>085.12  همانطور که در AFI ۱-۱ بیان شد، USAF یک شریک مشترک قابل اعتماد و قابل اعتماد با خدمات خواهر ما خواهد بود که به دلیل صداقت در همه فعالیت‌ها، از جمله حمایت از مأموریت مشترک در درجه اول و مهم‌تر از همه، شناخته شده است.</w:t>
      </w:r>
    </w:p>
    <w:p>
      <w:pPr>
        <w:spacing w:after="28" w:line="216" w:lineRule="auto"/>
        <w:ind w:left="259"/>
        <w:jc w:val="left"/>
      </w:pPr>
      <w:r>
        <w:rPr>
          <w:rFonts w:ascii="Arial" w:hAnsi="Arial"/>
          <w:color w:val="525252"/>
          <w:sz w:val="13"/>
        </w:rPr>
        <w:t>As stated in AFI 1-1, the USAF will be a trusted and reliable joint partner with our sister services known for integrity in all activities, including supporting the joint mission first and foremost.</w:t>
      </w:r>
    </w:p>
    <w:p>
      <w:pPr>
        <w:spacing w:after="20" w:line="223" w:lineRule="auto"/>
        <w:jc w:val="right"/>
        <w:bidi/>
      </w:pPr>
      <w:r>
        <w:rPr>
          <w:rFonts w:ascii="Arial" w:hAnsi="Arial"/>
          <w:sz w:val="16"/>
        </w:rPr>
        <w:t>085.13  USAF قابلیت‌های هوایی و سایبری قانع کننده‌ای را برای استفاده توسط CCDR ها فراهم می‌کند.</w:t>
      </w:r>
    </w:p>
    <w:p>
      <w:pPr>
        <w:spacing w:after="28" w:line="216" w:lineRule="auto"/>
        <w:ind w:left="259"/>
        <w:jc w:val="left"/>
      </w:pPr>
      <w:r>
        <w:rPr>
          <w:rFonts w:ascii="Arial" w:hAnsi="Arial"/>
          <w:color w:val="525252"/>
          <w:sz w:val="13"/>
        </w:rPr>
        <w:t>USAF provides compelling air and cyber capabilities for use by the CCDRs.</w:t>
      </w:r>
    </w:p>
    <w:p>
      <w:pPr>
        <w:spacing w:after="20" w:line="223" w:lineRule="auto"/>
        <w:jc w:val="right"/>
        <w:bidi/>
      </w:pPr>
      <w:r>
        <w:rPr>
          <w:rFonts w:ascii="Arial" w:hAnsi="Arial"/>
          <w:sz w:val="16"/>
        </w:rPr>
        <w:t>085.14  USAF به‌عنوان مباشر همه منابع USAF در خدمت به مردم آمریکا سرآمد خواهد بود و در عین حال هوشیاری جهانی دقیق و قابل اعتماد، دسترسی جهانی و قدرت جهانی را برای ملت فراهم می‌کند.</w:t>
      </w:r>
    </w:p>
    <w:p>
      <w:pPr>
        <w:spacing w:after="28" w:line="216" w:lineRule="auto"/>
        <w:ind w:left="259"/>
        <w:jc w:val="left"/>
      </w:pPr>
      <w:r>
        <w:rPr>
          <w:rFonts w:ascii="Arial" w:hAnsi="Arial"/>
          <w:color w:val="525252"/>
          <w:sz w:val="13"/>
        </w:rPr>
        <w:t>USAF will excel as stewards of all USAF resources in service to the American people, while providing precise and reliable Global Vigilance, Global Reach, and Global Power for the nation.</w:t>
      </w:r>
    </w:p>
    <w:p>
      <w:pPr>
        <w:spacing w:after="20" w:line="223" w:lineRule="auto"/>
        <w:jc w:val="right"/>
        <w:bidi/>
      </w:pPr>
      <w:r>
        <w:rPr>
          <w:rFonts w:ascii="Arial" w:hAnsi="Arial"/>
          <w:sz w:val="16"/>
        </w:rPr>
        <w:t>085.15  وزیر نیروی هوایی.</w:t>
      </w:r>
    </w:p>
    <w:p>
      <w:pPr>
        <w:spacing w:after="28" w:line="216" w:lineRule="auto"/>
        <w:ind w:left="259"/>
        <w:jc w:val="left"/>
      </w:pPr>
      <w:r>
        <w:rPr>
          <w:rFonts w:ascii="Arial" w:hAnsi="Arial"/>
          <w:color w:val="525252"/>
          <w:sz w:val="13"/>
        </w:rPr>
        <w:t>Secretary of the Air Force.</w:t>
      </w:r>
    </w:p>
    <w:p>
      <w:pPr>
        <w:spacing w:after="20" w:line="223" w:lineRule="auto"/>
        <w:jc w:val="right"/>
        <w:bidi/>
      </w:pPr>
      <w:r>
        <w:rPr>
          <w:rFonts w:ascii="Arial" w:hAnsi="Arial"/>
          <w:sz w:val="16"/>
        </w:rPr>
        <w:t>085.16  وزیر نیروی هوایی (سکاف) غیرنظامی است که توسط رئیس جمهور ایالات متحده، توسط و با مشورت و موافقت سنا منصوب می‌شود.</w:t>
      </w:r>
    </w:p>
    <w:p>
      <w:pPr>
        <w:spacing w:after="28" w:line="216" w:lineRule="auto"/>
        <w:ind w:left="259"/>
        <w:jc w:val="left"/>
      </w:pPr>
      <w:r>
        <w:rPr>
          <w:rFonts w:ascii="Arial" w:hAnsi="Arial"/>
          <w:color w:val="525252"/>
          <w:sz w:val="13"/>
        </w:rPr>
        <w:t>The Secretary of the Air Force (SecAF) is a civilian appointed by the U.S. President, by and with the advice and consent of the Senate.</w:t>
      </w:r>
    </w:p>
    <w:p>
      <w:pPr>
        <w:spacing w:after="20" w:line="223" w:lineRule="auto"/>
        <w:jc w:val="right"/>
        <w:bidi/>
      </w:pPr>
      <w:r>
        <w:rPr>
          <w:rFonts w:ascii="Arial" w:hAnsi="Arial"/>
          <w:sz w:val="16"/>
        </w:rPr>
        <w:t>085.17  سکاف رئیس بخش نیروی هوایی است و تابع اختیارات، کنترل و هدایت وزیر دفاع است.</w:t>
      </w:r>
    </w:p>
    <w:p>
      <w:pPr>
        <w:spacing w:after="28" w:line="216" w:lineRule="auto"/>
        <w:ind w:left="259"/>
        <w:jc w:val="left"/>
      </w:pPr>
      <w:r>
        <w:rPr>
          <w:rFonts w:ascii="Arial" w:hAnsi="Arial"/>
          <w:color w:val="525252"/>
          <w:sz w:val="13"/>
        </w:rPr>
        <w:t>The SecAF is the head of the Department of the Air Force and is subject to the authority, control, and direction of the Secretary of Defense.</w:t>
      </w:r>
    </w:p>
    <w:p>
      <w:pPr>
        <w:spacing w:after="20" w:line="223" w:lineRule="auto"/>
        <w:jc w:val="right"/>
        <w:bidi/>
      </w:pPr>
      <w:r>
        <w:rPr>
          <w:rFonts w:ascii="Arial" w:hAnsi="Arial"/>
          <w:sz w:val="16"/>
        </w:rPr>
        <w:t>085.18  مسئولیت‌های سکاف شامل استخدام، سازماندهی، تأمین، تجهیز (شامل تحقیق و توسعه)، آموزش، خدمات، بسیج، اعزام و اداره پرسنل (برنامه‌های اخلاقی و رفاهی) است. نگهداری، ساخت، تجهیز و تعمیر تجهیزات نظامی؛ ساخت، نگهداری و تعمیر ساختمان‌ها، سازه‌ها و تاسیسات. و تحصیل اموال غیرمنقول و منافع در اموال غیر منقول.</w:t>
      </w:r>
    </w:p>
    <w:p>
      <w:pPr>
        <w:spacing w:after="28" w:line="216" w:lineRule="auto"/>
        <w:ind w:left="259"/>
        <w:jc w:val="left"/>
      </w:pPr>
      <w:r>
        <w:rPr>
          <w:rFonts w:ascii="Arial" w:hAnsi="Arial"/>
          <w:color w:val="525252"/>
          <w:sz w:val="13"/>
        </w:rPr>
        <w:t>Responsibilities of the SecAF include recruiting, organizing, supplying, equipping (including research and development), training, servicing, mobilizing, demobilizing, and administering personnel (morale and welfare programs); maintaining, constructing, outfitting, and repairing military equipment; constructing, maintaining, and repairing buildings, structures, and utilities; and acquiring real property and interests in real property.</w:t>
      </w:r>
    </w:p>
    <w:p>
      <w:r>
        <w:br w:type="page"/>
      </w:r>
    </w:p>
    <w:p>
      <w:pPr>
        <w:spacing w:after="60"/>
        <w:jc w:val="right"/>
        <w:bidi/>
      </w:pPr>
      <w:r>
        <w:rPr>
          <w:rFonts w:ascii="Arial" w:hAnsi="Arial"/>
          <w:b/>
          <w:color w:val="1F4D78"/>
          <w:sz w:val="19"/>
        </w:rPr>
        <w:t>هفتهٔ 86  |  صفحهٔ منبع: 102</w:t>
      </w:r>
    </w:p>
    <w:p>
      <w:pPr>
        <w:spacing w:before="60" w:after="28"/>
        <w:jc w:val="right"/>
        <w:bidi/>
      </w:pPr>
      <w:r>
        <w:rPr>
          <w:b/>
          <w:color w:val="1F4D78"/>
          <w:sz w:val="18"/>
        </w:rPr>
        <w:t>5.15. سطوح فرماندهی و مسئولیت</w:t>
      </w:r>
    </w:p>
    <w:p>
      <w:pPr>
        <w:spacing w:after="20"/>
        <w:ind w:left="259"/>
        <w:jc w:val="left"/>
      </w:pPr>
      <w:r>
        <w:rPr>
          <w:color w:val="555555"/>
          <w:sz w:val="12"/>
        </w:rPr>
        <w:t>5.15. Levels of Command and Responsibility</w:t>
      </w:r>
    </w:p>
    <w:p>
      <w:pPr>
        <w:spacing w:after="20" w:line="223" w:lineRule="auto"/>
        <w:jc w:val="right"/>
        <w:bidi/>
      </w:pPr>
      <w:r>
        <w:rPr>
          <w:rFonts w:ascii="Arial" w:hAnsi="Arial"/>
          <w:sz w:val="16"/>
        </w:rPr>
        <w:t>086.02  رئیس ستاد نیروی هوایی.</w:t>
      </w:r>
    </w:p>
    <w:p>
      <w:pPr>
        <w:spacing w:after="28" w:line="216" w:lineRule="auto"/>
        <w:ind w:left="259"/>
        <w:jc w:val="left"/>
      </w:pPr>
      <w:r>
        <w:rPr>
          <w:rFonts w:ascii="Arial" w:hAnsi="Arial"/>
          <w:color w:val="525252"/>
          <w:sz w:val="13"/>
        </w:rPr>
        <w:t>Chief of Staff of the Air Force.</w:t>
      </w:r>
    </w:p>
    <w:p>
      <w:pPr>
        <w:spacing w:after="20" w:line="223" w:lineRule="auto"/>
        <w:jc w:val="right"/>
        <w:bidi/>
      </w:pPr>
      <w:r>
        <w:rPr>
          <w:rFonts w:ascii="Arial" w:hAnsi="Arial"/>
          <w:sz w:val="16"/>
        </w:rPr>
        <w:t>086.03  رئیس ستاد نیروی هوایی (CSAF) یک افسر کل USAF است که برای چهار سال توسط رئیس جمهور ایالات متحده و با مشورت و موافقت سنا منصوب می‌شود.</w:t>
      </w:r>
    </w:p>
    <w:p>
      <w:pPr>
        <w:spacing w:after="28" w:line="216" w:lineRule="auto"/>
        <w:ind w:left="259"/>
        <w:jc w:val="left"/>
      </w:pPr>
      <w:r>
        <w:rPr>
          <w:rFonts w:ascii="Arial" w:hAnsi="Arial"/>
          <w:color w:val="525252"/>
          <w:sz w:val="13"/>
        </w:rPr>
        <w:t>The Chief of Staff of the Air Force (CSAF) is a USAF General Officer appointed for four years by the U.S. President, by and with the advice and consent of the Senate.</w:t>
      </w:r>
    </w:p>
    <w:p>
      <w:pPr>
        <w:spacing w:after="20" w:line="223" w:lineRule="auto"/>
        <w:jc w:val="right"/>
        <w:bidi/>
      </w:pPr>
      <w:r>
        <w:rPr>
          <w:rFonts w:ascii="Arial" w:hAnsi="Arial"/>
          <w:sz w:val="16"/>
        </w:rPr>
        <w:t>086.04  CSAF تابع اختیارات، هدایت و کنترل وزیر نیروی هوایی است و ریاست ستاد هوایی را بر عهده دارد.</w:t>
      </w:r>
    </w:p>
    <w:p>
      <w:pPr>
        <w:spacing w:after="28" w:line="216" w:lineRule="auto"/>
        <w:ind w:left="259"/>
        <w:jc w:val="left"/>
      </w:pPr>
      <w:r>
        <w:rPr>
          <w:rFonts w:ascii="Arial" w:hAnsi="Arial"/>
          <w:color w:val="525252"/>
          <w:sz w:val="13"/>
        </w:rPr>
        <w:t>The CSAF is subject to the authority, direction, and control of the Secretary of the Air Force, and presides over the Air Staff.</w:t>
      </w:r>
    </w:p>
    <w:p>
      <w:pPr>
        <w:spacing w:after="20" w:line="223" w:lineRule="auto"/>
        <w:jc w:val="right"/>
        <w:bidi/>
      </w:pPr>
      <w:r>
        <w:rPr>
          <w:rFonts w:ascii="Arial" w:hAnsi="Arial"/>
          <w:sz w:val="16"/>
        </w:rPr>
        <w:t>086.05  CSAF به‌عنوان یک عامل در اجرای توصیه‌ها یا طرح‌ها توسط وزیر عمل می‌کند و نظارت را مطابق با اختیارات تعیین شده به فرماندهان CCMD‌ها و سازمان‌های واحد یا مشخص شده از USAF اعمال می‌کند.</w:t>
      </w:r>
    </w:p>
    <w:p>
      <w:pPr>
        <w:spacing w:after="28" w:line="216" w:lineRule="auto"/>
        <w:ind w:left="259"/>
        <w:jc w:val="left"/>
      </w:pPr>
      <w:r>
        <w:rPr>
          <w:rFonts w:ascii="Arial" w:hAnsi="Arial"/>
          <w:color w:val="525252"/>
          <w:sz w:val="13"/>
        </w:rPr>
        <w:t>The CSAF acts as an agent in carrying out recommendations or plans by the Secretary, and exercises supervision consistent with the authority assigned to commanders of unified or specified CCMDs and organizations of the USAF.</w:t>
      </w:r>
    </w:p>
    <w:p>
      <w:pPr>
        <w:spacing w:after="20" w:line="223" w:lineRule="auto"/>
        <w:jc w:val="right"/>
        <w:bidi/>
      </w:pPr>
      <w:r>
        <w:rPr>
          <w:rFonts w:ascii="Arial" w:hAnsi="Arial"/>
          <w:sz w:val="16"/>
        </w:rPr>
        <w:t>086.06  به‌عنوان یکی از اعضای ستاد مشترک، CSAF به دبیر نیروی هوایی در مورد توصیه‌های نظامی ارائه شده توسط رئیس ستاد مشترک در مورد موضوعاتی که بر وزارت نیروی هوایی تأثیر می‌گذارد تا حدی که چنین اقدامی به استقلال یا انجام وظایف مورد نیاز به‌عنوان یکی از اعضای ستاد مشترک لطمه‌ای وارد نمی‌کند، اطلاع می‌دهد.</w:t>
      </w:r>
    </w:p>
    <w:p>
      <w:pPr>
        <w:spacing w:after="28" w:line="216" w:lineRule="auto"/>
        <w:ind w:left="259"/>
        <w:jc w:val="left"/>
      </w:pPr>
      <w:r>
        <w:rPr>
          <w:rFonts w:ascii="Arial" w:hAnsi="Arial"/>
          <w:color w:val="525252"/>
          <w:sz w:val="13"/>
        </w:rPr>
        <w:t>As a member of the Joint Chiefs of Staff, the CSAF informs the Secretary of the Air Force regarding military advice rendered by the Joint Chiefs of Staff on matters affecting the Department of the Air Force to the extent that such action does not impair the independence or performance of required duties as a member of the Joint Chiefs of Staff.</w:t>
      </w:r>
    </w:p>
    <w:p>
      <w:pPr>
        <w:spacing w:after="20" w:line="223" w:lineRule="auto"/>
        <w:jc w:val="right"/>
        <w:bidi/>
      </w:pPr>
      <w:r>
        <w:rPr>
          <w:rFonts w:ascii="Arial" w:hAnsi="Arial"/>
          <w:sz w:val="16"/>
        </w:rPr>
        <w:t>086.07  کارکنان هوایی.</w:t>
      </w:r>
    </w:p>
    <w:p>
      <w:pPr>
        <w:spacing w:after="28" w:line="216" w:lineRule="auto"/>
        <w:ind w:left="259"/>
        <w:jc w:val="left"/>
      </w:pPr>
      <w:r>
        <w:rPr>
          <w:rFonts w:ascii="Arial" w:hAnsi="Arial"/>
          <w:color w:val="525252"/>
          <w:sz w:val="13"/>
        </w:rPr>
        <w:t>Air Staff.</w:t>
      </w:r>
    </w:p>
    <w:p>
      <w:pPr>
        <w:spacing w:after="20" w:line="223" w:lineRule="auto"/>
        <w:jc w:val="right"/>
        <w:bidi/>
      </w:pPr>
      <w:r>
        <w:rPr>
          <w:rFonts w:ascii="Arial" w:hAnsi="Arial"/>
          <w:sz w:val="16"/>
        </w:rPr>
        <w:t>086.08  ستاد هوایی از CSAF در انجام مسئولیت‌های خود حمایت می‌کند.</w:t>
      </w:r>
    </w:p>
    <w:p>
      <w:pPr>
        <w:spacing w:after="28" w:line="216" w:lineRule="auto"/>
        <w:ind w:left="259"/>
        <w:jc w:val="left"/>
      </w:pPr>
      <w:r>
        <w:rPr>
          <w:rFonts w:ascii="Arial" w:hAnsi="Arial"/>
          <w:color w:val="525252"/>
          <w:sz w:val="13"/>
        </w:rPr>
        <w:t>The Air Staff supports the CSAF in carrying out his or her responsibilities.</w:t>
      </w:r>
    </w:p>
    <w:p>
      <w:pPr>
        <w:spacing w:after="20" w:line="223" w:lineRule="auto"/>
        <w:jc w:val="right"/>
        <w:bidi/>
      </w:pPr>
      <w:r>
        <w:rPr>
          <w:rFonts w:ascii="Arial" w:hAnsi="Arial"/>
          <w:sz w:val="16"/>
        </w:rPr>
        <w:t>086.09  ستاد هوایی متشکل از رئیس ستاد، معاون رئیس ستاد، معاونان رئیس ستاد، دستیاران رئیس ستاد، جراح کل نیروی هوایی، قاضی دادستان کل نیروی هوایی، رئیس رزرو نیروی هوایی، و سایر کارکنان تفصیلی نیروی هوایی و کارکنان غیرنظامی نیروی هوایی ارتش آمریکا است.</w:t>
      </w:r>
    </w:p>
    <w:p>
      <w:pPr>
        <w:spacing w:after="28" w:line="216" w:lineRule="auto"/>
        <w:ind w:left="259"/>
        <w:jc w:val="left"/>
      </w:pPr>
      <w:r>
        <w:rPr>
          <w:rFonts w:ascii="Arial" w:hAnsi="Arial"/>
          <w:color w:val="525252"/>
          <w:sz w:val="13"/>
        </w:rPr>
        <w:t>The Air Staff is composed of the Chief of Staff, Vice Chief of Staff, Deputy Chiefs of Staff, Assistant Chiefs of Staff, Surgeon General of the Air Force, The Judge Advocate General of the Air Force, Chief of the Air Force Reserve, and other USAF and civilian employees in the Department of the Air Force assigned or detailed to the Air Staff.</w:t>
      </w:r>
    </w:p>
    <w:p>
      <w:pPr>
        <w:spacing w:after="20" w:line="223" w:lineRule="auto"/>
        <w:jc w:val="right"/>
        <w:bidi/>
      </w:pPr>
      <w:r>
        <w:rPr>
          <w:rFonts w:ascii="Arial" w:hAnsi="Arial"/>
          <w:sz w:val="16"/>
        </w:rPr>
        <w:t>086.10  مسئولیت‌ها بر اساس سازمان‌های دو حرفی عملکردی سازماندهی می‌شوند.</w:t>
      </w:r>
    </w:p>
    <w:p>
      <w:pPr>
        <w:spacing w:after="28" w:line="216" w:lineRule="auto"/>
        <w:ind w:left="259"/>
        <w:jc w:val="left"/>
      </w:pPr>
      <w:r>
        <w:rPr>
          <w:rFonts w:ascii="Arial" w:hAnsi="Arial"/>
          <w:color w:val="525252"/>
          <w:sz w:val="13"/>
        </w:rPr>
        <w:t>Responsibilities are organized based on functional two-letter organizations.</w:t>
      </w:r>
    </w:p>
    <w:p>
      <w:pPr>
        <w:spacing w:after="20" w:line="223" w:lineRule="auto"/>
        <w:jc w:val="right"/>
        <w:bidi/>
      </w:pPr>
      <w:r>
        <w:rPr>
          <w:rFonts w:ascii="Arial" w:hAnsi="Arial"/>
          <w:sz w:val="16"/>
        </w:rPr>
        <w:t>086.11  برخی سازمان‌ها را می‌توان تحت یک فرمانده/مدیر ادغام کرد و نمادهای اداری مشابهی خواهند داشت.</w:t>
      </w:r>
    </w:p>
    <w:p>
      <w:pPr>
        <w:spacing w:after="28" w:line="216" w:lineRule="auto"/>
        <w:ind w:left="259"/>
        <w:jc w:val="left"/>
      </w:pPr>
      <w:r>
        <w:rPr>
          <w:rFonts w:ascii="Arial" w:hAnsi="Arial"/>
          <w:color w:val="525252"/>
          <w:sz w:val="13"/>
        </w:rPr>
        <w:t>Some organizations can be merged under one commander/director and will have similarly merged office symbols.</w:t>
      </w:r>
    </w:p>
    <w:p>
      <w:pPr>
        <w:spacing w:after="20" w:line="223" w:lineRule="auto"/>
        <w:jc w:val="right"/>
        <w:bidi/>
      </w:pPr>
      <w:r>
        <w:rPr>
          <w:rFonts w:ascii="Arial" w:hAnsi="Arial"/>
          <w:sz w:val="16"/>
        </w:rPr>
        <w:t>086.12  کدهای نماد دفتر USAF در اینجا ارائه می‌شوند: ا۱ - نیروی انسانی، پرسنل و خدمات ا۲/۶ - عملیات اطلاعات، نظارت، شناسایی و اثرات سایبری ا۳ - عملیات ا۴ - لجستیک، مهندسی و حفاظت نیرو ا۵/۷، یکپارچه‌سازی و استراتژی ا۵/۷، رممونیکر، و استراتژی ا۵ برنامه‌ها و برنامه‌های استراتژیک ا۱۰ - بازدارندگی استراتژیک و یکپارچگی هسته‌ای (که توسط USAF تعیین شده است) آژانس‌های عملیات میدانی.</w:t>
      </w:r>
    </w:p>
    <w:p>
      <w:pPr>
        <w:spacing w:after="28" w:line="216" w:lineRule="auto"/>
        <w:ind w:left="259"/>
        <w:jc w:val="left"/>
      </w:pPr>
      <w:r>
        <w:rPr>
          <w:rFonts w:ascii="Arial" w:hAnsi="Arial"/>
          <w:color w:val="525252"/>
          <w:sz w:val="13"/>
        </w:rPr>
        <w:t>The USAF office symbol codes are provided here: A1 - Manpower, Personnel, and Services A2/6 - Intelligence, Surveillance, Reconnaissance, and Cyber Effects Operations A3 - Operations A4 - Logistics, Engineering, and Force Protection A5/7 - Strategy, Integration, and Requirements A6 - Communications A8 - Strategic Plans and Programs A10 - Strategic Deterrence and Nuclear Integration (as designated by USAF) Field Operating Agencies.</w:t>
      </w:r>
    </w:p>
    <w:p>
      <w:pPr>
        <w:spacing w:after="20" w:line="223" w:lineRule="auto"/>
        <w:jc w:val="right"/>
        <w:bidi/>
      </w:pPr>
      <w:r>
        <w:rPr>
          <w:rFonts w:ascii="Arial" w:hAnsi="Arial"/>
          <w:sz w:val="16"/>
        </w:rPr>
        <w:t>086.13  آژانس‌های عملیاتی میدانی (FOA) زیرمجموعه‌های USAF هستند که مستقیما تابع یک مدیر عملکردی HAF هستند.</w:t>
      </w:r>
    </w:p>
    <w:p>
      <w:pPr>
        <w:spacing w:after="28" w:line="216" w:lineRule="auto"/>
        <w:ind w:left="259"/>
        <w:jc w:val="left"/>
      </w:pPr>
      <w:r>
        <w:rPr>
          <w:rFonts w:ascii="Arial" w:hAnsi="Arial"/>
          <w:color w:val="525252"/>
          <w:sz w:val="13"/>
        </w:rPr>
        <w:t>Field Operating Agencies (FOA) are USAF subdivisions directly subordinate to a HAF functional manager.</w:t>
      </w:r>
    </w:p>
    <w:p>
      <w:pPr>
        <w:spacing w:after="20" w:line="223" w:lineRule="auto"/>
        <w:jc w:val="right"/>
        <w:bidi/>
      </w:pPr>
      <w:r>
        <w:rPr>
          <w:rFonts w:ascii="Arial" w:hAnsi="Arial"/>
          <w:sz w:val="16"/>
        </w:rPr>
        <w:t>086.14  یک FOA فعالیت‌های میدانی را فراتر از محدوده دستورات اصلی انجام می‌دهد.</w:t>
      </w:r>
    </w:p>
    <w:p>
      <w:pPr>
        <w:spacing w:after="28" w:line="216" w:lineRule="auto"/>
        <w:ind w:left="259"/>
        <w:jc w:val="left"/>
      </w:pPr>
      <w:r>
        <w:rPr>
          <w:rFonts w:ascii="Arial" w:hAnsi="Arial"/>
          <w:color w:val="525252"/>
          <w:sz w:val="13"/>
        </w:rPr>
        <w:t>A FOA performs field activities beyond the scope of major commands.</w:t>
      </w:r>
    </w:p>
    <w:p>
      <w:pPr>
        <w:spacing w:after="20" w:line="223" w:lineRule="auto"/>
        <w:jc w:val="right"/>
        <w:bidi/>
      </w:pPr>
      <w:r>
        <w:rPr>
          <w:rFonts w:ascii="Arial" w:hAnsi="Arial"/>
          <w:sz w:val="16"/>
        </w:rPr>
        <w:t>086.15  فعالیت‌ها تخصصی یا مرتبط با یک مأموریت گسترده USAF هستند و شامل وظایفی نمی‌شوند که در ستاد مدیریت (مانند فرماندهی تحرک هوایی ستاد)، مگر اینکه به‌طور خاص توسط یک مقام وزارت دفاع هدایت شود.</w:t>
      </w:r>
    </w:p>
    <w:p>
      <w:pPr>
        <w:spacing w:after="28" w:line="216" w:lineRule="auto"/>
        <w:ind w:left="259"/>
        <w:jc w:val="left"/>
      </w:pPr>
      <w:r>
        <w:rPr>
          <w:rFonts w:ascii="Arial" w:hAnsi="Arial"/>
          <w:color w:val="525252"/>
          <w:sz w:val="13"/>
        </w:rPr>
        <w:t>The activities are specialized or associated with a USAF-wide mission and do not include functions performed in management headquarters (such as Headquarters Air Mobility Command), unless specifically directed by a Department of Defense authority.</w:t>
      </w:r>
    </w:p>
    <w:p>
      <w:pPr>
        <w:spacing w:after="20" w:line="223" w:lineRule="auto"/>
        <w:jc w:val="right"/>
        <w:bidi/>
      </w:pPr>
      <w:r>
        <w:rPr>
          <w:rFonts w:ascii="Arial" w:hAnsi="Arial"/>
          <w:sz w:val="16"/>
        </w:rPr>
        <w:t>086.16  دو نمونه از FOA ها مرکز پرسنل نیروی هوایی و دفتر تحقیقات ویژه نیروی هوایی هستند.</w:t>
      </w:r>
    </w:p>
    <w:p>
      <w:pPr>
        <w:spacing w:after="28" w:line="216" w:lineRule="auto"/>
        <w:ind w:left="259"/>
        <w:jc w:val="left"/>
      </w:pPr>
      <w:r>
        <w:rPr>
          <w:rFonts w:ascii="Arial" w:hAnsi="Arial"/>
          <w:color w:val="525252"/>
          <w:sz w:val="13"/>
        </w:rPr>
        <w:t>Two examples of FOAs are the Air Force Personnel Center and the Air Force Office of Special Investigations.</w:t>
      </w:r>
    </w:p>
    <w:p>
      <w:pPr>
        <w:spacing w:after="20" w:line="223" w:lineRule="auto"/>
        <w:jc w:val="right"/>
        <w:bidi/>
      </w:pPr>
      <w:r>
        <w:rPr>
          <w:rFonts w:ascii="Arial" w:hAnsi="Arial"/>
          <w:sz w:val="16"/>
        </w:rPr>
        <w:t>086.17  واحدهای گزارش‌دهی مستقیم.</w:t>
      </w:r>
    </w:p>
    <w:p>
      <w:pPr>
        <w:spacing w:after="28" w:line="216" w:lineRule="auto"/>
        <w:ind w:left="259"/>
        <w:jc w:val="left"/>
      </w:pPr>
      <w:r>
        <w:rPr>
          <w:rFonts w:ascii="Arial" w:hAnsi="Arial"/>
          <w:color w:val="525252"/>
          <w:sz w:val="13"/>
        </w:rPr>
        <w:t>Direct Reporting Units.</w:t>
      </w:r>
    </w:p>
    <w:p>
      <w:pPr>
        <w:spacing w:after="20" w:line="223" w:lineRule="auto"/>
        <w:jc w:val="right"/>
        <w:bidi/>
      </w:pPr>
      <w:r>
        <w:rPr>
          <w:rFonts w:ascii="Arial" w:hAnsi="Arial"/>
          <w:sz w:val="16"/>
        </w:rPr>
        <w:t>086.18  واحدهای گزارش مستقیم (DRU) زیرمجموعه‌های USAF هستند که مستقیما تابع رئیس ستاد نیروی هوایی هستند.</w:t>
      </w:r>
    </w:p>
    <w:p>
      <w:pPr>
        <w:spacing w:after="28" w:line="216" w:lineRule="auto"/>
        <w:ind w:left="259"/>
        <w:jc w:val="left"/>
      </w:pPr>
      <w:r>
        <w:rPr>
          <w:rFonts w:ascii="Arial" w:hAnsi="Arial"/>
          <w:color w:val="525252"/>
          <w:sz w:val="13"/>
        </w:rPr>
        <w:t>Direct Reporting Units (DRU) are USAF subdivisions directly subordinate to the Chief of Staff of the Air Force.</w:t>
      </w:r>
    </w:p>
    <w:p>
      <w:pPr>
        <w:spacing w:after="20" w:line="223" w:lineRule="auto"/>
        <w:jc w:val="right"/>
        <w:bidi/>
      </w:pPr>
      <w:r>
        <w:rPr>
          <w:rFonts w:ascii="Arial" w:hAnsi="Arial"/>
          <w:sz w:val="16"/>
        </w:rPr>
        <w:t>086.19  یک DRU مأموریتی را انجام می‌دهد که در هیچ یک از دستورات اصلی قرار نمی‌گیرد، اما بسیاری از مسئولیت‌های اداری و سازمانی مشابهی دارد.</w:t>
      </w:r>
    </w:p>
    <w:p>
      <w:pPr>
        <w:spacing w:after="28" w:line="216" w:lineRule="auto"/>
        <w:ind w:left="259"/>
        <w:jc w:val="left"/>
      </w:pPr>
      <w:r>
        <w:rPr>
          <w:rFonts w:ascii="Arial" w:hAnsi="Arial"/>
          <w:color w:val="525252"/>
          <w:sz w:val="13"/>
        </w:rPr>
        <w:t>A DRU performs a mission that does not fit into any of the major commands but has many of the same administrative and organizational responsibilities.</w:t>
      </w:r>
    </w:p>
    <w:p>
      <w:pPr>
        <w:spacing w:after="20" w:line="223" w:lineRule="auto"/>
        <w:jc w:val="right"/>
        <w:bidi/>
      </w:pPr>
      <w:r>
        <w:rPr>
          <w:rFonts w:ascii="Arial" w:hAnsi="Arial"/>
          <w:sz w:val="16"/>
        </w:rPr>
        <w:t>086.20  دو نمونه از DRUها عبارتند از منطقه نیروی هوایی واشنگتن و آکادمی USAF.</w:t>
      </w:r>
    </w:p>
    <w:p>
      <w:pPr>
        <w:spacing w:after="28" w:line="216" w:lineRule="auto"/>
        <w:ind w:left="259"/>
        <w:jc w:val="left"/>
      </w:pPr>
      <w:r>
        <w:rPr>
          <w:rFonts w:ascii="Arial" w:hAnsi="Arial"/>
          <w:color w:val="525252"/>
          <w:sz w:val="13"/>
        </w:rPr>
        <w:t>Two examples of DRUs are the Air Force District of Washington and the USAF Academy.</w:t>
      </w:r>
    </w:p>
    <w:p>
      <w:pPr>
        <w:spacing w:after="20" w:line="223" w:lineRule="auto"/>
        <w:jc w:val="right"/>
        <w:bidi/>
      </w:pPr>
      <w:r>
        <w:rPr>
          <w:rFonts w:ascii="Arial" w:hAnsi="Arial"/>
          <w:sz w:val="16"/>
        </w:rPr>
        <w:t>086.21  توجه: ناحیه نیروی هوایی واشنگتن (AFDW)، که مقر آن در پایگاه مشترک اندروز، مریلند است، یک DRU برای HAF است که به رئیس ستاد نیروی هوایی گزارش می‌دهد.</w:t>
      </w:r>
    </w:p>
    <w:p>
      <w:pPr>
        <w:spacing w:after="28" w:line="216" w:lineRule="auto"/>
        <w:ind w:left="259"/>
        <w:jc w:val="left"/>
      </w:pPr>
      <w:r>
        <w:rPr>
          <w:rFonts w:ascii="Arial" w:hAnsi="Arial"/>
          <w:color w:val="525252"/>
          <w:sz w:val="13"/>
        </w:rPr>
        <w:t>Note: The Air Force District of Washington (AFDW), headquartered at Joint Base Andrews, Maryland, is a DRU to HAF, reporting to the Chief of Staff of the Air Force.</w:t>
      </w:r>
    </w:p>
    <w:p>
      <w:pPr>
        <w:spacing w:after="20" w:line="223" w:lineRule="auto"/>
        <w:jc w:val="right"/>
        <w:bidi/>
      </w:pPr>
      <w:r>
        <w:rPr>
          <w:rFonts w:ascii="Arial" w:hAnsi="Arial"/>
          <w:sz w:val="16"/>
        </w:rPr>
        <w:t>086.22  AFDW در سال ۲۰۰۵ مجددا فعال شد تا به سه هدف کلی رسیدگی کند: همسو کردن ساختار فرماندهی USAF در منطقه پایتخت ملی (NCR) و خارج از کشور. بهبود پشتیبانی USAF از ستاد نیروی مشترک-NCR (JFHQ-NCR). و یک صدای واحد برای مسائل مربوط به خدمات متقابل USAF در NCR تعیین کنید.</w:t>
      </w:r>
    </w:p>
    <w:p>
      <w:pPr>
        <w:spacing w:after="28" w:line="216" w:lineRule="auto"/>
        <w:ind w:left="259"/>
        <w:jc w:val="left"/>
      </w:pPr>
      <w:r>
        <w:rPr>
          <w:rFonts w:ascii="Arial" w:hAnsi="Arial"/>
          <w:color w:val="525252"/>
          <w:sz w:val="13"/>
        </w:rPr>
        <w:t>AFDW was reactivated in 2005 to address three broad objectives: align the USAF command structure in the National Capital Region (NCR) and abroad; improve USAF support to the Joint Force Headquarters-NCR (JFHQ-NCR); and designate a single voice for USAF cross-service issues in the NCR.</w:t>
      </w:r>
    </w:p>
    <w:p>
      <w:r>
        <w:br w:type="page"/>
      </w:r>
    </w:p>
    <w:p>
      <w:pPr>
        <w:spacing w:after="60"/>
        <w:jc w:val="right"/>
        <w:bidi/>
      </w:pPr>
      <w:r>
        <w:rPr>
          <w:rFonts w:ascii="Arial" w:hAnsi="Arial"/>
          <w:b/>
          <w:color w:val="1F4D78"/>
          <w:sz w:val="19"/>
        </w:rPr>
        <w:t>هفتهٔ 87  |  صفحهٔ منبع: 103</w:t>
      </w:r>
    </w:p>
    <w:p>
      <w:pPr>
        <w:spacing w:after="20" w:line="223" w:lineRule="auto"/>
        <w:jc w:val="right"/>
        <w:bidi/>
      </w:pPr>
      <w:r>
        <w:rPr>
          <w:rFonts w:ascii="Arial" w:hAnsi="Arial"/>
          <w:sz w:val="16"/>
        </w:rPr>
        <w:t>087.01  AFDW به‌عنوان بخش خدمات USAF برای اهداف هماهنگی با JFHQ-NCR و فرماندهی پشتیبانی اداره پزشکی منطقه پایتخت ملی آژانس بهداشت دفاعی عمل می‌کند.</w:t>
      </w:r>
    </w:p>
    <w:p>
      <w:pPr>
        <w:spacing w:after="28" w:line="216" w:lineRule="auto"/>
        <w:ind w:left="259"/>
        <w:jc w:val="left"/>
      </w:pPr>
      <w:r>
        <w:rPr>
          <w:rFonts w:ascii="Arial" w:hAnsi="Arial"/>
          <w:color w:val="525252"/>
          <w:sz w:val="13"/>
        </w:rPr>
        <w:t>AFDW serves as the USAF Service Component for coordination purposes to JFHQ-NCR and the supporting command to the Defense Health Agency National Capital Region Medical Directorate.</w:t>
      </w:r>
    </w:p>
    <w:p>
      <w:pPr>
        <w:spacing w:after="20" w:line="223" w:lineRule="auto"/>
        <w:jc w:val="right"/>
        <w:bidi/>
      </w:pPr>
      <w:r>
        <w:rPr>
          <w:rFonts w:ascii="Arial" w:hAnsi="Arial"/>
          <w:sz w:val="16"/>
        </w:rPr>
        <w:t>087.02  وقتی JFHQ-NCR به نیروی عملیات مشترک NCR (JTF-NCR) منتقل می‌شود، بال اعزامی هوایی ۳۲۰ (۳۲۰ AEW) فعال می‌شود و جزء خدمات USAF JTF-NCR می‌شود.</w:t>
      </w:r>
    </w:p>
    <w:p>
      <w:pPr>
        <w:spacing w:after="28" w:line="216" w:lineRule="auto"/>
        <w:ind w:left="259"/>
        <w:jc w:val="left"/>
      </w:pPr>
      <w:r>
        <w:rPr>
          <w:rFonts w:ascii="Arial" w:hAnsi="Arial"/>
          <w:color w:val="525252"/>
          <w:sz w:val="13"/>
        </w:rPr>
        <w:t>When the JFHQ-NCR transitions to the Joint Task Force NCR (JTF-NCR), the 320th Air Expeditionary Wing (320 AEW) activates and becomes the USAF Service Component of JTF- NCR.</w:t>
      </w:r>
    </w:p>
    <w:p>
      <w:pPr>
        <w:spacing w:after="20" w:line="223" w:lineRule="auto"/>
        <w:jc w:val="right"/>
        <w:bidi/>
      </w:pPr>
      <w:r>
        <w:rPr>
          <w:rFonts w:ascii="Arial" w:hAnsi="Arial"/>
          <w:sz w:val="16"/>
        </w:rPr>
        <w:t>087.03  وقتی فعال می‌شود، کومماندر وف AFDW به‌عنوان کومماندر، ۳۲۰ AEW دو کلاه می‌شود.</w:t>
      </w:r>
    </w:p>
    <w:p>
      <w:pPr>
        <w:spacing w:after="28" w:line="216" w:lineRule="auto"/>
        <w:ind w:left="259"/>
        <w:jc w:val="left"/>
      </w:pPr>
      <w:r>
        <w:rPr>
          <w:rFonts w:ascii="Arial" w:hAnsi="Arial"/>
          <w:color w:val="525252"/>
          <w:sz w:val="13"/>
        </w:rPr>
        <w:t>When activated, the Commander of AFDW is dual hatted as the Commander, 320 AEW.</w:t>
      </w:r>
    </w:p>
    <w:p>
      <w:pPr>
        <w:spacing w:after="20" w:line="223" w:lineRule="auto"/>
        <w:jc w:val="right"/>
        <w:bidi/>
      </w:pPr>
      <w:r>
        <w:rPr>
          <w:rFonts w:ascii="Arial" w:hAnsi="Arial"/>
          <w:sz w:val="16"/>
        </w:rPr>
        <w:t>087.04  دستورالعمل مأموریت نیروی هوایی ۱۳ مأموریت‌ها را مشخص می‌کند و وظایف محوله را که برای AFDW در هر دو نقش USAF در سراسر جهان و نقش مؤلفه خدماتی JTF-NCR USAF قابل اعمال است، روشن می‌کند.</w:t>
      </w:r>
    </w:p>
    <w:p>
      <w:pPr>
        <w:spacing w:after="28" w:line="216" w:lineRule="auto"/>
        <w:ind w:left="259"/>
        <w:jc w:val="left"/>
      </w:pPr>
      <w:r>
        <w:rPr>
          <w:rFonts w:ascii="Arial" w:hAnsi="Arial"/>
          <w:color w:val="525252"/>
          <w:sz w:val="13"/>
        </w:rPr>
        <w:t>Air Force Mission Directive 13 delineates missions and clarifies assigned duties applicable to AFDW in both its worldwide USAF role and its JTF-NCR USAF Service Component role.</w:t>
      </w:r>
    </w:p>
    <w:p>
      <w:pPr>
        <w:spacing w:after="20" w:line="223" w:lineRule="auto"/>
        <w:jc w:val="right"/>
        <w:bidi/>
      </w:pPr>
      <w:r>
        <w:rPr>
          <w:rFonts w:ascii="Arial" w:hAnsi="Arial"/>
          <w:sz w:val="16"/>
        </w:rPr>
        <w:t>087.05  دستورات اصلی.</w:t>
      </w:r>
    </w:p>
    <w:p>
      <w:pPr>
        <w:spacing w:after="28" w:line="216" w:lineRule="auto"/>
        <w:ind w:left="259"/>
        <w:jc w:val="left"/>
      </w:pPr>
      <w:r>
        <w:rPr>
          <w:rFonts w:ascii="Arial" w:hAnsi="Arial"/>
          <w:color w:val="525252"/>
          <w:sz w:val="13"/>
        </w:rPr>
        <w:t>Major Commands.</w:t>
      </w:r>
    </w:p>
    <w:p>
      <w:pPr>
        <w:spacing w:after="20" w:line="223" w:lineRule="auto"/>
        <w:jc w:val="right"/>
        <w:bidi/>
      </w:pPr>
      <w:r>
        <w:rPr>
          <w:rFonts w:ascii="Arial" w:hAnsi="Arial"/>
          <w:sz w:val="16"/>
        </w:rPr>
        <w:t>087.06  فرماندهی‌های اصلی (MAJCOM) به صورت عملکردی در ایالات متحده و از نظر جغرافیایی در خارج از کشور سازماندهی می‌شوند.</w:t>
      </w:r>
    </w:p>
    <w:p>
      <w:pPr>
        <w:spacing w:after="28" w:line="216" w:lineRule="auto"/>
        <w:ind w:left="259"/>
        <w:jc w:val="left"/>
      </w:pPr>
      <w:r>
        <w:rPr>
          <w:rFonts w:ascii="Arial" w:hAnsi="Arial"/>
          <w:color w:val="525252"/>
          <w:sz w:val="13"/>
        </w:rPr>
        <w:t>Major commands (MAJCOM) are organized functionally in the United States and geographically overseas.</w:t>
      </w:r>
    </w:p>
    <w:p>
      <w:pPr>
        <w:spacing w:after="20" w:line="223" w:lineRule="auto"/>
        <w:jc w:val="right"/>
        <w:bidi/>
      </w:pPr>
      <w:r>
        <w:rPr>
          <w:rFonts w:ascii="Arial" w:hAnsi="Arial"/>
          <w:sz w:val="16"/>
        </w:rPr>
        <w:t>087.07  یک MAJCOM، همانطور که در شکل ۵.۳ نشان داده شده است، یک زیرمجموعه اصلی USAF را نشان می‌دهد که بخش خاصی از مأموریت USAF را دارد.</w:t>
      </w:r>
    </w:p>
    <w:p>
      <w:pPr>
        <w:spacing w:after="28" w:line="216" w:lineRule="auto"/>
        <w:ind w:left="259"/>
        <w:jc w:val="left"/>
      </w:pPr>
      <w:r>
        <w:rPr>
          <w:rFonts w:ascii="Arial" w:hAnsi="Arial"/>
          <w:color w:val="525252"/>
          <w:sz w:val="13"/>
        </w:rPr>
        <w:t>A MAJCOM, as shown in Figure 5.3., represents a major USAF subdivision having a specific portion of the USAF mission.</w:t>
      </w:r>
    </w:p>
    <w:p>
      <w:pPr>
        <w:spacing w:after="20" w:line="223" w:lineRule="auto"/>
        <w:jc w:val="right"/>
        <w:bidi/>
      </w:pPr>
      <w:r>
        <w:rPr>
          <w:rFonts w:ascii="Arial" w:hAnsi="Arial"/>
          <w:sz w:val="16"/>
        </w:rPr>
        <w:t>087.08  هر MAJCOM مستقیما تابع HAF است.</w:t>
      </w:r>
    </w:p>
    <w:p>
      <w:pPr>
        <w:spacing w:after="28" w:line="216" w:lineRule="auto"/>
        <w:ind w:left="259"/>
        <w:jc w:val="left"/>
      </w:pPr>
      <w:r>
        <w:rPr>
          <w:rFonts w:ascii="Arial" w:hAnsi="Arial"/>
          <w:color w:val="525252"/>
          <w:sz w:val="13"/>
        </w:rPr>
        <w:t>Each MAJCOM is directly subordinate to HAF.</w:t>
      </w:r>
    </w:p>
    <w:p>
      <w:pPr>
        <w:spacing w:after="20" w:line="223" w:lineRule="auto"/>
        <w:jc w:val="right"/>
        <w:bidi/>
      </w:pPr>
      <w:r>
        <w:rPr>
          <w:rFonts w:ascii="Arial" w:hAnsi="Arial"/>
          <w:sz w:val="16"/>
        </w:rPr>
        <w:t>087.09  MAJCOM ها به هم مرتبط و مکمل هستند و عناصر تهاجمی، دفاعی و پشتیبانی را ارائه می‌دهند.</w:t>
      </w:r>
    </w:p>
    <w:p>
      <w:pPr>
        <w:spacing w:after="28" w:line="216" w:lineRule="auto"/>
        <w:ind w:left="259"/>
        <w:jc w:val="left"/>
      </w:pPr>
      <w:r>
        <w:rPr>
          <w:rFonts w:ascii="Arial" w:hAnsi="Arial"/>
          <w:color w:val="525252"/>
          <w:sz w:val="13"/>
        </w:rPr>
        <w:t>MAJCOMs are interrelated and complementary, providing offensive, defensive, and support elements.</w:t>
      </w:r>
    </w:p>
    <w:p>
      <w:pPr>
        <w:spacing w:after="20" w:line="223" w:lineRule="auto"/>
        <w:jc w:val="right"/>
        <w:bidi/>
      </w:pPr>
      <w:r>
        <w:rPr>
          <w:rFonts w:ascii="Arial" w:hAnsi="Arial"/>
          <w:sz w:val="16"/>
        </w:rPr>
        <w:t>087.10  یک فرماندهی عملیاتی شامل (کلا یا جزئی) از نیروهای راهبردی، تاکتیکی، فضایی یا دفاعی یا نیروهای پروازی است که مستقیما از این نیروها پشتیبانی می‌کنند.</w:t>
      </w:r>
    </w:p>
    <w:p>
      <w:pPr>
        <w:spacing w:after="28" w:line="216" w:lineRule="auto"/>
        <w:ind w:left="259"/>
        <w:jc w:val="left"/>
      </w:pPr>
      <w:r>
        <w:rPr>
          <w:rFonts w:ascii="Arial" w:hAnsi="Arial"/>
          <w:color w:val="525252"/>
          <w:sz w:val="13"/>
        </w:rPr>
        <w:t>An operational command consists (in whole or in part) of strategic, tactical, space, or defense forces, or of flying forces that directly support such forces.</w:t>
      </w:r>
    </w:p>
    <w:p>
      <w:pPr>
        <w:spacing w:after="20" w:line="223" w:lineRule="auto"/>
        <w:jc w:val="right"/>
        <w:bidi/>
      </w:pPr>
      <w:r>
        <w:rPr>
          <w:rFonts w:ascii="Arial" w:hAnsi="Arial"/>
          <w:sz w:val="16"/>
        </w:rPr>
        <w:t>087.11  یک فرماندهی پشتیبانی ممکن است تدارکات، سیستم‌های تسلیحاتی، سیستم‌های پشتیبانی، تجهیزات پشتیبانی عملیاتی، مواد جنگی، تعمیر و نگهداری، حمل‌ونقل سطحی، آموزش و آموزش، خدمات ویژه و سایر سازمان‌های پشتیبانی شده را ارائه دهد.</w:t>
      </w:r>
    </w:p>
    <w:p>
      <w:pPr>
        <w:spacing w:after="28" w:line="216" w:lineRule="auto"/>
        <w:ind w:left="259"/>
        <w:jc w:val="left"/>
      </w:pPr>
      <w:r>
        <w:rPr>
          <w:rFonts w:ascii="Arial" w:hAnsi="Arial"/>
          <w:color w:val="525252"/>
          <w:sz w:val="13"/>
        </w:rPr>
        <w:t>A support command may provide supplies, weapon systems, support systems, operational support equipment, combat material, maintenance, surface transportation, education and training, special services, and other supported organizations.</w:t>
      </w:r>
    </w:p>
    <w:p>
      <w:pPr>
        <w:spacing w:after="20" w:line="223" w:lineRule="auto"/>
        <w:jc w:val="right"/>
        <w:bidi/>
      </w:pPr>
      <w:r>
        <w:rPr>
          <w:rFonts w:ascii="Arial" w:hAnsi="Arial"/>
          <w:sz w:val="16"/>
        </w:rPr>
        <w:t>087.12  در ساختار USAF MAJCOM، دو نوع تخصصی MAJCOM وجود دارد: MAJCOMهای اصلی و MAJCOMهای جزء.</w:t>
      </w:r>
    </w:p>
    <w:p>
      <w:pPr>
        <w:spacing w:after="28" w:line="216" w:lineRule="auto"/>
        <w:ind w:left="259"/>
        <w:jc w:val="left"/>
      </w:pPr>
      <w:r>
        <w:rPr>
          <w:rFonts w:ascii="Arial" w:hAnsi="Arial"/>
          <w:color w:val="525252"/>
          <w:sz w:val="13"/>
        </w:rPr>
        <w:t>Within the USAF MAJCOM structure, there are two specialized types of MAJCOMs: Lead MAJCOMs and Component MAJCOMs.</w:t>
      </w:r>
    </w:p>
    <w:p>
      <w:pPr>
        <w:spacing w:before="60" w:after="28"/>
        <w:jc w:val="right"/>
        <w:bidi/>
      </w:pPr>
      <w:r>
        <w:rPr>
          <w:b/>
          <w:color w:val="1F4D78"/>
          <w:sz w:val="18"/>
        </w:rPr>
        <w:t>شکل 5.3. دستورات اصلی</w:t>
      </w:r>
    </w:p>
    <w:p>
      <w:pPr>
        <w:spacing w:after="20"/>
        <w:ind w:left="259"/>
        <w:jc w:val="left"/>
      </w:pPr>
      <w:r>
        <w:rPr>
          <w:color w:val="555555"/>
          <w:sz w:val="12"/>
        </w:rPr>
        <w:t>Figure 5.3. Major Commands</w:t>
      </w:r>
    </w:p>
    <w:p>
      <w:pPr>
        <w:spacing w:after="20" w:line="223" w:lineRule="auto"/>
        <w:jc w:val="right"/>
        <w:bidi/>
      </w:pPr>
      <w:r>
        <w:rPr>
          <w:rFonts w:ascii="Arial" w:hAnsi="Arial"/>
          <w:sz w:val="16"/>
        </w:rPr>
        <w:t>087.14  سرب MAJCOM.</w:t>
      </w:r>
    </w:p>
    <w:p>
      <w:pPr>
        <w:spacing w:after="28" w:line="216" w:lineRule="auto"/>
        <w:ind w:left="259"/>
        <w:jc w:val="left"/>
      </w:pPr>
      <w:r>
        <w:rPr>
          <w:rFonts w:ascii="Arial" w:hAnsi="Arial"/>
          <w:color w:val="525252"/>
          <w:sz w:val="13"/>
        </w:rPr>
        <w:t>Lead MAJCOM.</w:t>
      </w:r>
    </w:p>
    <w:p>
      <w:pPr>
        <w:spacing w:after="20" w:line="223" w:lineRule="auto"/>
        <w:jc w:val="right"/>
        <w:bidi/>
      </w:pPr>
      <w:r>
        <w:rPr>
          <w:rFonts w:ascii="Arial" w:hAnsi="Arial"/>
          <w:sz w:val="16"/>
        </w:rPr>
        <w:t>087.15  یک MAJCOM سرب، نوعی از MAJCOM است که مسئولیت‌های یک عملکرد خاص را در یک MAJCOM منفرد، که از کل USAF پشتیبانی می‌کند، ادغام می‌کند.</w:t>
      </w:r>
    </w:p>
    <w:p>
      <w:pPr>
        <w:spacing w:after="28" w:line="216" w:lineRule="auto"/>
        <w:ind w:left="259"/>
        <w:jc w:val="left"/>
      </w:pPr>
      <w:r>
        <w:rPr>
          <w:rFonts w:ascii="Arial" w:hAnsi="Arial"/>
          <w:color w:val="525252"/>
          <w:sz w:val="13"/>
        </w:rPr>
        <w:t>A Lead MAJCOM is the type of MAJCOM that consolidates responsibilities for a particular function in a single MAJCOM, supporting the entire USAF, as applicable.</w:t>
      </w:r>
    </w:p>
    <w:p>
      <w:pPr>
        <w:spacing w:after="20" w:line="223" w:lineRule="auto"/>
        <w:jc w:val="right"/>
        <w:bidi/>
      </w:pPr>
      <w:r>
        <w:rPr>
          <w:rFonts w:ascii="Arial" w:hAnsi="Arial"/>
          <w:sz w:val="16"/>
        </w:rPr>
        <w:t>087.16  برای مثال، فرماندهی آموزش و آموزش هوایی، رهبری MAJCOM برای آموزش و آموزش برای USAF است.</w:t>
      </w:r>
    </w:p>
    <w:p>
      <w:pPr>
        <w:spacing w:after="28" w:line="216" w:lineRule="auto"/>
        <w:ind w:left="259"/>
        <w:jc w:val="left"/>
      </w:pPr>
      <w:r>
        <w:rPr>
          <w:rFonts w:ascii="Arial" w:hAnsi="Arial"/>
          <w:color w:val="525252"/>
          <w:sz w:val="13"/>
        </w:rPr>
        <w:t>For example, Air Education and Training Command is the Lead MAJCOM for education and training for the USAF.</w:t>
      </w:r>
    </w:p>
    <w:p>
      <w:pPr>
        <w:spacing w:after="20" w:line="223" w:lineRule="auto"/>
        <w:jc w:val="right"/>
        <w:bidi/>
      </w:pPr>
      <w:r>
        <w:rPr>
          <w:rFonts w:ascii="Arial" w:hAnsi="Arial"/>
          <w:sz w:val="16"/>
        </w:rPr>
        <w:t>087.17  جزء MAJCOM.</w:t>
      </w:r>
    </w:p>
    <w:p>
      <w:pPr>
        <w:spacing w:after="28" w:line="216" w:lineRule="auto"/>
        <w:ind w:left="259"/>
        <w:jc w:val="left"/>
      </w:pPr>
      <w:r>
        <w:rPr>
          <w:rFonts w:ascii="Arial" w:hAnsi="Arial"/>
          <w:color w:val="525252"/>
          <w:sz w:val="13"/>
        </w:rPr>
        <w:t>Component MAJCOM.</w:t>
      </w:r>
    </w:p>
    <w:p>
      <w:pPr>
        <w:spacing w:after="20" w:line="223" w:lineRule="auto"/>
        <w:jc w:val="right"/>
        <w:bidi/>
      </w:pPr>
      <w:r>
        <w:rPr>
          <w:rFonts w:ascii="Arial" w:hAnsi="Arial"/>
          <w:sz w:val="16"/>
        </w:rPr>
        <w:t>087.18  ا کومپوننت MAJCOM (ک-MAJCOM) نوعی MAJCOM است که جزء USAF برای یک CCMD یکپارچه است.</w:t>
      </w:r>
    </w:p>
    <w:p>
      <w:pPr>
        <w:spacing w:after="28" w:line="216" w:lineRule="auto"/>
        <w:ind w:left="259"/>
        <w:jc w:val="left"/>
      </w:pPr>
      <w:r>
        <w:rPr>
          <w:rFonts w:ascii="Arial" w:hAnsi="Arial"/>
          <w:color w:val="525252"/>
          <w:sz w:val="13"/>
        </w:rPr>
        <w:t>A Component MAJCOM (C-MAJCOM) is the type of MAJCOM that is the USAF Component to a unified CCMD.</w:t>
      </w:r>
    </w:p>
    <w:p>
      <w:pPr>
        <w:spacing w:after="20" w:line="223" w:lineRule="auto"/>
        <w:jc w:val="right"/>
        <w:bidi/>
      </w:pPr>
      <w:r>
        <w:rPr>
          <w:rFonts w:ascii="Arial" w:hAnsi="Arial"/>
          <w:sz w:val="16"/>
        </w:rPr>
        <w:t>087.19  یک ک-MAJCOM توسط فرمانده نیروی هوایی فرماندهی می‌شود و شامل کارکنان پشتیبانی، یک یا چند نیروی هوایی با شماره اجزاء (که از طریق آن نیروهای خود را به CCDR ارائه می‌کند) و همه نیروهای اختصاص‌یافته و متصل است.</w:t>
      </w:r>
    </w:p>
    <w:p>
      <w:pPr>
        <w:spacing w:after="28" w:line="216" w:lineRule="auto"/>
        <w:ind w:left="259"/>
        <w:jc w:val="left"/>
      </w:pPr>
      <w:r>
        <w:rPr>
          <w:rFonts w:ascii="Arial" w:hAnsi="Arial"/>
          <w:color w:val="525252"/>
          <w:sz w:val="13"/>
        </w:rPr>
        <w:t>A C-MAJCOM is commanded by the Commander of Air Force Forces and includes supporting staff, one or more Component Numbered Air Forces (through which it presents its forces to the CCDR), and all assigned and attached forces.</w:t>
      </w:r>
    </w:p>
    <w:p>
      <w:pPr>
        <w:spacing w:after="20" w:line="223" w:lineRule="auto"/>
        <w:jc w:val="right"/>
        <w:bidi/>
      </w:pPr>
      <w:r>
        <w:rPr>
          <w:rFonts w:ascii="Arial" w:hAnsi="Arial"/>
          <w:sz w:val="16"/>
        </w:rPr>
        <w:t>087.20  ک-MAJCOM، در سطح استراتژیک، فعالیت‌های مؤلفه را در تمام مراحل درگیری یکپارچه می‌کند.</w:t>
      </w:r>
    </w:p>
    <w:p>
      <w:pPr>
        <w:spacing w:after="28" w:line="216" w:lineRule="auto"/>
        <w:ind w:left="259"/>
        <w:jc w:val="left"/>
      </w:pPr>
      <w:r>
        <w:rPr>
          <w:rFonts w:ascii="Arial" w:hAnsi="Arial"/>
          <w:color w:val="525252"/>
          <w:sz w:val="13"/>
        </w:rPr>
        <w:t>The C- MAJCOM integrates, at the strategic level, component activities across all phases of conflict.</w:t>
      </w:r>
    </w:p>
    <w:p>
      <w:pPr>
        <w:spacing w:after="20" w:line="223" w:lineRule="auto"/>
        <w:jc w:val="right"/>
        <w:bidi/>
      </w:pPr>
      <w:r>
        <w:rPr>
          <w:rFonts w:ascii="Arial" w:hAnsi="Arial"/>
          <w:sz w:val="16"/>
        </w:rPr>
        <w:t>087.21  نمونه‌ای از ک-MAJCOM، نیروهای هوایی اقیانوس آرام، جزء USAF به فرماندهی ایالات متحده در اقیانوس آرام است.</w:t>
      </w:r>
    </w:p>
    <w:p>
      <w:pPr>
        <w:spacing w:after="28" w:line="216" w:lineRule="auto"/>
        <w:ind w:left="259"/>
        <w:jc w:val="left"/>
      </w:pPr>
      <w:r>
        <w:rPr>
          <w:rFonts w:ascii="Arial" w:hAnsi="Arial"/>
          <w:color w:val="525252"/>
          <w:sz w:val="13"/>
        </w:rPr>
        <w:t>An example of a C-MAJCOM is Pacific Air Forces, the USAF Component to United States Indo- Pacific Command.</w:t>
      </w:r>
    </w:p>
    <w:p>
      <w:pPr>
        <w:spacing w:after="20" w:line="223" w:lineRule="auto"/>
        <w:jc w:val="right"/>
        <w:bidi/>
      </w:pPr>
      <w:r>
        <w:rPr>
          <w:rFonts w:ascii="Arial" w:hAnsi="Arial"/>
          <w:sz w:val="16"/>
        </w:rPr>
        <w:t>087.22  برای اطلاعات بیشتر در مورد روابط و نقش‌های مؤلفه، به جلد ۱ دکترین AF، فرماندهی، ضمیمه ۳-۳۰ دکترین AF، فرماندهی و کنترل، و AFI ۳۸-۱۰۱ مراجعه کنید.</w:t>
      </w:r>
    </w:p>
    <w:p>
      <w:pPr>
        <w:spacing w:after="28" w:line="216" w:lineRule="auto"/>
        <w:ind w:left="259"/>
        <w:jc w:val="left"/>
      </w:pPr>
      <w:r>
        <w:rPr>
          <w:rFonts w:ascii="Arial" w:hAnsi="Arial"/>
          <w:color w:val="525252"/>
          <w:sz w:val="13"/>
        </w:rPr>
        <w:t>For additional information on component relationships and roles, refer to AF Doctrine Volume 1, Command, AF Doctrine Annex 3-30, Command and Control, and AFI 38- 101.</w:t>
      </w:r>
    </w:p>
    <w:p>
      <w:pPr>
        <w:spacing w:after="20" w:line="223" w:lineRule="auto"/>
        <w:jc w:val="right"/>
        <w:bidi/>
      </w:pPr>
      <w:r>
        <w:rPr>
          <w:rFonts w:ascii="Arial" w:hAnsi="Arial"/>
          <w:sz w:val="16"/>
        </w:rPr>
        <w:t>087.23  توجه: یک MAJCOM می‌تواند هم لاد MAJCOM و هم ک-MAJCOM باشد.</w:t>
      </w:r>
    </w:p>
    <w:p>
      <w:pPr>
        <w:spacing w:after="28" w:line="216" w:lineRule="auto"/>
        <w:ind w:left="259"/>
        <w:jc w:val="left"/>
      </w:pPr>
      <w:r>
        <w:rPr>
          <w:rFonts w:ascii="Arial" w:hAnsi="Arial"/>
          <w:color w:val="525252"/>
          <w:sz w:val="13"/>
        </w:rPr>
        <w:t>Note: A MAJCOM can be both a Lead MAJCOM and a C-MAJCOM.</w:t>
      </w:r>
    </w:p>
    <w:p>
      <w:pPr>
        <w:spacing w:after="20" w:line="223" w:lineRule="auto"/>
        <w:jc w:val="right"/>
        <w:bidi/>
      </w:pPr>
      <w:r>
        <w:rPr>
          <w:rFonts w:ascii="Arial" w:hAnsi="Arial"/>
          <w:sz w:val="16"/>
        </w:rPr>
        <w:t>087.24  فرماندهی رزم هوایی.</w:t>
      </w:r>
    </w:p>
    <w:p>
      <w:pPr>
        <w:spacing w:after="28" w:line="216" w:lineRule="auto"/>
        <w:ind w:left="259"/>
        <w:jc w:val="left"/>
      </w:pPr>
      <w:r>
        <w:rPr>
          <w:rFonts w:ascii="Arial" w:hAnsi="Arial"/>
          <w:color w:val="525252"/>
          <w:sz w:val="13"/>
        </w:rPr>
        <w:t>Air Combat Command.</w:t>
      </w:r>
    </w:p>
    <w:p>
      <w:pPr>
        <w:spacing w:after="20" w:line="223" w:lineRule="auto"/>
        <w:jc w:val="right"/>
        <w:bidi/>
      </w:pPr>
      <w:r>
        <w:rPr>
          <w:rFonts w:ascii="Arial" w:hAnsi="Arial"/>
          <w:sz w:val="16"/>
        </w:rPr>
        <w:t>087.25  فرماندهی رزم هوایی (ACC) به‌عنوان یک MAJCOM در ۱ ژوئن ۱۹۹۲ فعال شد و مقر آن در پایگاه مشترک لانگلی-یوستیس، ویرجینیا است.</w:t>
      </w:r>
    </w:p>
    <w:p>
      <w:pPr>
        <w:spacing w:after="28" w:line="216" w:lineRule="auto"/>
        <w:ind w:left="259"/>
        <w:jc w:val="left"/>
      </w:pPr>
      <w:r>
        <w:rPr>
          <w:rFonts w:ascii="Arial" w:hAnsi="Arial"/>
          <w:color w:val="525252"/>
          <w:sz w:val="13"/>
        </w:rPr>
        <w:t>Air Combat Command (ACC) was activated as a MAJCOM on 1 June 1992, and is headquartered at Joint Base Langley-Eustis, Virginia.</w:t>
      </w:r>
    </w:p>
    <w:p>
      <w:pPr>
        <w:spacing w:after="20" w:line="223" w:lineRule="auto"/>
        <w:jc w:val="right"/>
        <w:bidi/>
      </w:pPr>
      <w:r>
        <w:rPr>
          <w:rFonts w:ascii="Arial" w:hAnsi="Arial"/>
          <w:sz w:val="16"/>
        </w:rPr>
        <w:t>087.26  ACC تأمین کننده اصلی نیروهای رزم هوایی برای فرماندهان جنگی آمریکا است. مأموریت</w:t>
      </w:r>
    </w:p>
    <w:p>
      <w:pPr>
        <w:spacing w:after="28" w:line="216" w:lineRule="auto"/>
        <w:ind w:left="259"/>
        <w:jc w:val="left"/>
      </w:pPr>
      <w:r>
        <w:rPr>
          <w:rFonts w:ascii="Arial" w:hAnsi="Arial"/>
          <w:color w:val="525252"/>
          <w:sz w:val="13"/>
        </w:rPr>
        <w:t>ACC is the primary provider of air combat forces to America's warfighting commanders.</w:t>
      </w:r>
    </w:p>
    <w:p>
      <w:pPr>
        <w:spacing w:after="20" w:line="223" w:lineRule="auto"/>
        <w:jc w:val="right"/>
        <w:bidi/>
      </w:pPr>
      <w:r>
        <w:rPr>
          <w:rFonts w:ascii="Arial" w:hAnsi="Arial"/>
          <w:sz w:val="16"/>
        </w:rPr>
        <w:t>087.27  ACC پشتیبانی از اجرای جهانی استراتژی امنیت ملی با عملیات جنگنده، بمب افکن، شناسایی، مدیریت نبرد، و هواپیماهای جنگی الکترونیکی است.</w:t>
      </w:r>
    </w:p>
    <w:p>
      <w:pPr>
        <w:spacing w:after="28" w:line="216" w:lineRule="auto"/>
        <w:ind w:left="259"/>
        <w:jc w:val="left"/>
      </w:pPr>
      <w:r>
        <w:rPr>
          <w:rFonts w:ascii="Arial" w:hAnsi="Arial"/>
          <w:color w:val="525252"/>
          <w:sz w:val="13"/>
        </w:rPr>
        <w:t>ACC’s mission is to support global implementation of the national security strategy by operating fighter, bomber, reconnaissance, battle-management, and electronic-combat aircraft.</w:t>
      </w:r>
    </w:p>
    <w:p>
      <w:pPr>
        <w:spacing w:after="20" w:line="223" w:lineRule="auto"/>
        <w:jc w:val="right"/>
        <w:bidi/>
      </w:pPr>
      <w:r>
        <w:rPr>
          <w:rFonts w:ascii="Arial" w:hAnsi="Arial"/>
          <w:sz w:val="16"/>
        </w:rPr>
        <w:t>087.28  همچنین سیستم‌های فرماندهی، کنترل، ارتباطات و اطلاعاتی را فراهم می‌کند و عملیات اطلاعات جهانی را انجام می‌دهد.</w:t>
      </w:r>
    </w:p>
    <w:p>
      <w:pPr>
        <w:spacing w:after="28" w:line="216" w:lineRule="auto"/>
        <w:ind w:left="259"/>
        <w:jc w:val="left"/>
      </w:pPr>
      <w:r>
        <w:rPr>
          <w:rFonts w:ascii="Arial" w:hAnsi="Arial"/>
          <w:color w:val="525252"/>
          <w:sz w:val="13"/>
        </w:rPr>
        <w:t>It also provides command, control, communications, and intelligence systems, and conducts global information operations.</w:t>
      </w:r>
    </w:p>
    <w:p>
      <w:pPr>
        <w:spacing w:after="20" w:line="223" w:lineRule="auto"/>
        <w:jc w:val="right"/>
        <w:bidi/>
      </w:pPr>
      <w:r>
        <w:rPr>
          <w:rFonts w:ascii="Arial" w:hAnsi="Arial"/>
          <w:sz w:val="16"/>
        </w:rPr>
        <w:t>087.29  ACC سازماندهی، آموزش، تجهیز، و حفظ نیروهای آماده رزمی برای استقرار و استخدام سریع و حصول اطمینان از آمادگی نیروهای دفاع هوایی استراتژیک برای مقابله با چالش‌های</w:t>
      </w:r>
    </w:p>
    <w:p>
      <w:pPr>
        <w:spacing w:after="28" w:line="216" w:lineRule="auto"/>
        <w:ind w:left="259"/>
        <w:jc w:val="left"/>
      </w:pPr>
      <w:r>
        <w:rPr>
          <w:rFonts w:ascii="Arial" w:hAnsi="Arial"/>
          <w:color w:val="525252"/>
          <w:sz w:val="13"/>
        </w:rPr>
        <w:t>ACC organizes, trains, equips, and maintains combat-ready forces for rapid deployment and employment while ensuring strategic air defense forces are ready to meet the challenges of</w:t>
      </w:r>
    </w:p>
    <w:p>
      <w:r>
        <w:br w:type="page"/>
      </w:r>
    </w:p>
    <w:p>
      <w:pPr>
        <w:spacing w:after="60"/>
        <w:jc w:val="right"/>
        <w:bidi/>
      </w:pPr>
      <w:r>
        <w:rPr>
          <w:rFonts w:ascii="Arial" w:hAnsi="Arial"/>
          <w:b/>
          <w:color w:val="1F4D78"/>
          <w:sz w:val="19"/>
        </w:rPr>
        <w:t>هفتهٔ 88  |  صفحهٔ منبع: 104</w:t>
      </w:r>
    </w:p>
    <w:p>
      <w:pPr>
        <w:spacing w:after="20" w:line="223" w:lineRule="auto"/>
        <w:jc w:val="right"/>
        <w:bidi/>
      </w:pPr>
      <w:r>
        <w:rPr>
          <w:rFonts w:ascii="Arial" w:hAnsi="Arial"/>
          <w:sz w:val="16"/>
        </w:rPr>
        <w:t>088.01  حاکمیت هوایی در زمان صلح و دفاع هوایی در زمان جنگ.</w:t>
      </w:r>
    </w:p>
    <w:p>
      <w:pPr>
        <w:spacing w:after="28" w:line="216" w:lineRule="auto"/>
        <w:ind w:left="259"/>
        <w:jc w:val="left"/>
      </w:pPr>
      <w:r>
        <w:rPr>
          <w:rFonts w:ascii="Arial" w:hAnsi="Arial"/>
          <w:color w:val="525252"/>
          <w:sz w:val="13"/>
        </w:rPr>
        <w:t>peacetime air sovereignty and wartime air defense.</w:t>
      </w:r>
    </w:p>
    <w:p>
      <w:pPr>
        <w:spacing w:after="20" w:line="223" w:lineRule="auto"/>
        <w:jc w:val="right"/>
        <w:bidi/>
      </w:pPr>
      <w:r>
        <w:rPr>
          <w:rFonts w:ascii="Arial" w:hAnsi="Arial"/>
          <w:sz w:val="16"/>
        </w:rPr>
        <w:t>088.02  علاوه بر این، ACC استراتژی، دکترین، مفاهیم، ​​تاکتیک‌ها و رویه‌هایی را برای استخدام نیروی هوایی توسعه می‌دهد.</w:t>
      </w:r>
    </w:p>
    <w:p>
      <w:pPr>
        <w:spacing w:after="28" w:line="216" w:lineRule="auto"/>
        <w:ind w:left="259"/>
        <w:jc w:val="left"/>
      </w:pPr>
      <w:r>
        <w:rPr>
          <w:rFonts w:ascii="Arial" w:hAnsi="Arial"/>
          <w:color w:val="525252"/>
          <w:sz w:val="13"/>
        </w:rPr>
        <w:t>Additionally, ACC develops strategy, doctrine, concepts, tactics, and procedures for airpower employment.</w:t>
      </w:r>
    </w:p>
    <w:p>
      <w:pPr>
        <w:spacing w:after="20" w:line="223" w:lineRule="auto"/>
        <w:jc w:val="right"/>
        <w:bidi/>
      </w:pPr>
      <w:r>
        <w:rPr>
          <w:rFonts w:ascii="Arial" w:hAnsi="Arial"/>
          <w:sz w:val="16"/>
        </w:rPr>
        <w:t>088.03  این فرماندهی نیروهای جنگی متعارف و اطلاعاتی را در اختیار تمامی فرماندهان یکپارچه قرار می‌دهد تا از برتری هوایی و اطلاعاتی برای جنگجویان و تصمیم گیرندگان ملی اطمینان حاصل شود.</w:t>
      </w:r>
    </w:p>
    <w:p>
      <w:pPr>
        <w:spacing w:after="28" w:line="216" w:lineRule="auto"/>
        <w:ind w:left="259"/>
        <w:jc w:val="left"/>
      </w:pPr>
      <w:r>
        <w:rPr>
          <w:rFonts w:ascii="Arial" w:hAnsi="Arial"/>
          <w:color w:val="525252"/>
          <w:sz w:val="13"/>
        </w:rPr>
        <w:t>The command provides conventional and information warfare forces to all unified commands to ensure air and information superiority for warfighters and national decision-makers.</w:t>
      </w:r>
    </w:p>
    <w:p>
      <w:pPr>
        <w:spacing w:after="20" w:line="223" w:lineRule="auto"/>
        <w:jc w:val="right"/>
        <w:bidi/>
      </w:pPr>
      <w:r>
        <w:rPr>
          <w:rFonts w:ascii="Arial" w:hAnsi="Arial"/>
          <w:sz w:val="16"/>
        </w:rPr>
        <w:t>088.04  می‌توان از این فرماندهی برای کمک به آژانس‌های ملی با قابلیت‌های اطلاعاتی، نظارتی و واکنش به بحران فراخوانی کرد.</w:t>
      </w:r>
    </w:p>
    <w:p>
      <w:pPr>
        <w:spacing w:after="28" w:line="216" w:lineRule="auto"/>
        <w:ind w:left="259"/>
        <w:jc w:val="left"/>
      </w:pPr>
      <w:r>
        <w:rPr>
          <w:rFonts w:ascii="Arial" w:hAnsi="Arial"/>
          <w:color w:val="525252"/>
          <w:sz w:val="13"/>
        </w:rPr>
        <w:t>The command can be called upon to assist national agencies with intelligence, surveillance, and crisis response capabilities.</w:t>
      </w:r>
    </w:p>
    <w:p>
      <w:pPr>
        <w:spacing w:after="20" w:line="223" w:lineRule="auto"/>
        <w:jc w:val="right"/>
        <w:bidi/>
      </w:pPr>
      <w:r>
        <w:rPr>
          <w:rFonts w:ascii="Arial" w:hAnsi="Arial"/>
          <w:sz w:val="16"/>
        </w:rPr>
        <w:t>088.05  ACC همچنین مسئولیت عملیات جستجو و نجات داخلی در ۴۸ ایالت مجاور را بر عهده دارد.</w:t>
      </w:r>
    </w:p>
    <w:p>
      <w:pPr>
        <w:spacing w:after="28" w:line="216" w:lineRule="auto"/>
        <w:ind w:left="259"/>
        <w:jc w:val="left"/>
      </w:pPr>
      <w:r>
        <w:rPr>
          <w:rFonts w:ascii="Arial" w:hAnsi="Arial"/>
          <w:color w:val="525252"/>
          <w:sz w:val="13"/>
        </w:rPr>
        <w:t>ACC also has responsibility for inland search and rescue operations in the 48 contiguous states.</w:t>
      </w:r>
    </w:p>
    <w:p>
      <w:pPr>
        <w:spacing w:after="20" w:line="223" w:lineRule="auto"/>
        <w:jc w:val="right"/>
        <w:bidi/>
      </w:pPr>
      <w:r>
        <w:rPr>
          <w:rFonts w:ascii="Arial" w:hAnsi="Arial"/>
          <w:sz w:val="16"/>
        </w:rPr>
        <w:t>088.06  به‌طور کلی، ACC بیش از ۱۳۰۰ هواپیما، ۳۴ بال، ۱۹ پایگاه و بیش از ۷۰ مکان عملیاتی در سراسر جهان با ۹۴۰۰۰ عضو نیروی کل دارد.</w:t>
      </w:r>
    </w:p>
    <w:p>
      <w:pPr>
        <w:spacing w:after="28" w:line="216" w:lineRule="auto"/>
        <w:ind w:left="259"/>
        <w:jc w:val="left"/>
      </w:pPr>
      <w:r>
        <w:rPr>
          <w:rFonts w:ascii="Arial" w:hAnsi="Arial"/>
          <w:color w:val="525252"/>
          <w:sz w:val="13"/>
        </w:rPr>
        <w:t>Overall, ACC operates more than 1,300 aircraft, 34 wings, 19 bases, and has more than 70 worldwide operating locations with 94,000 Total Force members.</w:t>
      </w:r>
    </w:p>
    <w:p>
      <w:pPr>
        <w:spacing w:after="20" w:line="223" w:lineRule="auto"/>
        <w:jc w:val="right"/>
        <w:bidi/>
      </w:pPr>
      <w:r>
        <w:rPr>
          <w:rFonts w:ascii="Arial" w:hAnsi="Arial"/>
          <w:sz w:val="16"/>
        </w:rPr>
        <w:t>088.07  فرماندهی تحرک هوایی.</w:t>
      </w:r>
    </w:p>
    <w:p>
      <w:pPr>
        <w:spacing w:after="28" w:line="216" w:lineRule="auto"/>
        <w:ind w:left="259"/>
        <w:jc w:val="left"/>
      </w:pPr>
      <w:r>
        <w:rPr>
          <w:rFonts w:ascii="Arial" w:hAnsi="Arial"/>
          <w:color w:val="525252"/>
          <w:sz w:val="13"/>
        </w:rPr>
        <w:t>Air Mobility Command.</w:t>
      </w:r>
    </w:p>
    <w:p>
      <w:pPr>
        <w:spacing w:after="20" w:line="223" w:lineRule="auto"/>
        <w:jc w:val="right"/>
        <w:bidi/>
      </w:pPr>
      <w:r>
        <w:rPr>
          <w:rFonts w:ascii="Arial" w:hAnsi="Arial"/>
          <w:sz w:val="16"/>
        </w:rPr>
        <w:t>088.08  فرماندهی تحرک هوایی (AMC) به‌عنوان یک MAJCOM در ۱ ژوئن ۱۹۹۲ فعال شد، مقر آن در پایگاه نیروی هوایی اسکات، ایلینوی است و جزء فرماندهی حمل و نقل ایالات متحده آمریکا است.</w:t>
      </w:r>
    </w:p>
    <w:p>
      <w:pPr>
        <w:spacing w:after="28" w:line="216" w:lineRule="auto"/>
        <w:ind w:left="259"/>
        <w:jc w:val="left"/>
      </w:pPr>
      <w:r>
        <w:rPr>
          <w:rFonts w:ascii="Arial" w:hAnsi="Arial"/>
          <w:color w:val="525252"/>
          <w:sz w:val="13"/>
        </w:rPr>
        <w:t>Air Mobility Command (AMC) was activated as a MAJCOM on 1 June 1992, is headquartered at Scott Air Force Base, Illinois, and is the USAF Component to U.S. Transportation Command.</w:t>
      </w:r>
    </w:p>
    <w:p>
      <w:pPr>
        <w:spacing w:after="20" w:line="223" w:lineRule="auto"/>
        <w:jc w:val="right"/>
        <w:bidi/>
      </w:pPr>
      <w:r>
        <w:rPr>
          <w:rFonts w:ascii="Arial" w:hAnsi="Arial"/>
          <w:sz w:val="16"/>
        </w:rPr>
        <w:t>088.09  مأموریت AMC ارائه تحرک هوایی جهانی، اثرات مناسب، مکان مناسب، زمان مناسب است.</w:t>
      </w:r>
    </w:p>
    <w:p>
      <w:pPr>
        <w:spacing w:after="28" w:line="216" w:lineRule="auto"/>
        <w:ind w:left="259"/>
        <w:jc w:val="left"/>
      </w:pPr>
      <w:r>
        <w:rPr>
          <w:rFonts w:ascii="Arial" w:hAnsi="Arial"/>
          <w:color w:val="525252"/>
          <w:sz w:val="13"/>
        </w:rPr>
        <w:t>AMC’s mission is to provide global air mobility, the right effects, right place, right time.</w:t>
      </w:r>
    </w:p>
    <w:p>
      <w:pPr>
        <w:spacing w:after="20" w:line="223" w:lineRule="auto"/>
        <w:jc w:val="right"/>
        <w:bidi/>
      </w:pPr>
      <w:r>
        <w:rPr>
          <w:rFonts w:ascii="Arial" w:hAnsi="Arial"/>
          <w:sz w:val="16"/>
        </w:rPr>
        <w:t>088.10  این فرماندهی نقش مهمی در ارائه حمایت‌های بشردوستانه در داخل و سراسر جهان ایفا می‌کند و حمل و نقل هوایی و سوخت گیری هوایی را برای تمام نیروهای مسلح ایالات متحده فراهم می‌کند.</w:t>
      </w:r>
    </w:p>
    <w:p>
      <w:pPr>
        <w:spacing w:after="28" w:line="216" w:lineRule="auto"/>
        <w:ind w:left="259"/>
        <w:jc w:val="left"/>
      </w:pPr>
      <w:r>
        <w:rPr>
          <w:rFonts w:ascii="Arial" w:hAnsi="Arial"/>
          <w:color w:val="525252"/>
          <w:sz w:val="13"/>
        </w:rPr>
        <w:t>The command plays a crucial role in providing humanitarian support at home and around the world and provides airlift and aerial refueling for all U.S. Armed Forces.</w:t>
      </w:r>
    </w:p>
    <w:p>
      <w:pPr>
        <w:spacing w:after="20" w:line="223" w:lineRule="auto"/>
        <w:jc w:val="right"/>
        <w:bidi/>
      </w:pPr>
      <w:r>
        <w:rPr>
          <w:rFonts w:ascii="Arial" w:hAnsi="Arial"/>
          <w:sz w:val="16"/>
        </w:rPr>
        <w:t>088.11  بسیاری از هواپیماهای وظیفه ویژه و پشتیبانی عملیاتی و مأموریت‌های تخلیه هواپزشکی ایالتی به AMC اختصاص داده شده است.</w:t>
      </w:r>
    </w:p>
    <w:p>
      <w:pPr>
        <w:spacing w:after="28" w:line="216" w:lineRule="auto"/>
        <w:ind w:left="259"/>
        <w:jc w:val="left"/>
      </w:pPr>
      <w:r>
        <w:rPr>
          <w:rFonts w:ascii="Arial" w:hAnsi="Arial"/>
          <w:color w:val="525252"/>
          <w:sz w:val="13"/>
        </w:rPr>
        <w:t>Many special duty and operational support aircraft and stateside aeromedical evacuation missions are assigned to AMC.</w:t>
      </w:r>
    </w:p>
    <w:p>
      <w:pPr>
        <w:spacing w:after="20" w:line="223" w:lineRule="auto"/>
        <w:jc w:val="right"/>
        <w:bidi/>
      </w:pPr>
      <w:r>
        <w:rPr>
          <w:rFonts w:ascii="Arial" w:hAnsi="Arial"/>
          <w:sz w:val="16"/>
        </w:rPr>
        <w:t>088.12  این نیروی سریع، منعطف و پاسخگو با قابل مشاهده بودن توانایی و شخصیت آمریکا، ثبات را در مناطق ارتقا می‌دهد.</w:t>
      </w:r>
    </w:p>
    <w:p>
      <w:pPr>
        <w:spacing w:after="28" w:line="216" w:lineRule="auto"/>
        <w:ind w:left="259"/>
        <w:jc w:val="left"/>
      </w:pPr>
      <w:r>
        <w:rPr>
          <w:rFonts w:ascii="Arial" w:hAnsi="Arial"/>
          <w:color w:val="525252"/>
          <w:sz w:val="13"/>
        </w:rPr>
        <w:t>This rapid, flexible, and responsive force promotes stability in regions by keeping America’s capability and character highly visible.</w:t>
      </w:r>
    </w:p>
    <w:p>
      <w:pPr>
        <w:spacing w:after="20" w:line="223" w:lineRule="auto"/>
        <w:jc w:val="right"/>
        <w:bidi/>
      </w:pPr>
      <w:r>
        <w:rPr>
          <w:rFonts w:ascii="Arial" w:hAnsi="Arial"/>
          <w:sz w:val="16"/>
        </w:rPr>
        <w:t>088.13  به‌طور کلی، AMC دارای یک نیروی هوایی شماره دار، ۱۷ بال، دو گروه حمل و نقل هوایی و یک گروه پایگاه هوایی است.</w:t>
      </w:r>
    </w:p>
    <w:p>
      <w:pPr>
        <w:spacing w:after="28" w:line="216" w:lineRule="auto"/>
        <w:ind w:left="259"/>
        <w:jc w:val="left"/>
      </w:pPr>
      <w:r>
        <w:rPr>
          <w:rFonts w:ascii="Arial" w:hAnsi="Arial"/>
          <w:color w:val="525252"/>
          <w:sz w:val="13"/>
        </w:rPr>
        <w:t>Overall, AMC has one Numbered Air Force, 17 wings, two airlift groups, and one air base group.</w:t>
      </w:r>
    </w:p>
    <w:p>
      <w:pPr>
        <w:spacing w:after="20" w:line="223" w:lineRule="auto"/>
        <w:jc w:val="right"/>
        <w:bidi/>
      </w:pPr>
      <w:r>
        <w:rPr>
          <w:rFonts w:ascii="Arial" w:hAnsi="Arial"/>
          <w:sz w:val="16"/>
        </w:rPr>
        <w:t>088.14  AMC نزدیک به ۱۳۳۷۰۰ عضو نیروی کل دارد که عملیات تحرک جهانی سریع فرماندهی را ممکن می‌سازد.</w:t>
      </w:r>
    </w:p>
    <w:p>
      <w:pPr>
        <w:spacing w:after="28" w:line="216" w:lineRule="auto"/>
        <w:ind w:left="259"/>
        <w:jc w:val="left"/>
      </w:pPr>
      <w:r>
        <w:rPr>
          <w:rFonts w:ascii="Arial" w:hAnsi="Arial"/>
          <w:color w:val="525252"/>
          <w:sz w:val="13"/>
        </w:rPr>
        <w:t>AMC has nearly 133,700 Total Force members who make the command's rapid global mobility operations possible.</w:t>
      </w:r>
    </w:p>
    <w:p>
      <w:pPr>
        <w:spacing w:after="20" w:line="223" w:lineRule="auto"/>
        <w:jc w:val="right"/>
        <w:bidi/>
      </w:pPr>
      <w:r>
        <w:rPr>
          <w:rFonts w:ascii="Arial" w:hAnsi="Arial"/>
          <w:sz w:val="16"/>
        </w:rPr>
        <w:t>088.15  نیروی هوایی اقیانوس آرام.</w:t>
      </w:r>
    </w:p>
    <w:p>
      <w:pPr>
        <w:spacing w:after="28" w:line="216" w:lineRule="auto"/>
        <w:ind w:left="259"/>
        <w:jc w:val="left"/>
      </w:pPr>
      <w:r>
        <w:rPr>
          <w:rFonts w:ascii="Arial" w:hAnsi="Arial"/>
          <w:color w:val="525252"/>
          <w:sz w:val="13"/>
        </w:rPr>
        <w:t>Pacific Air Forces.</w:t>
      </w:r>
    </w:p>
    <w:p>
      <w:pPr>
        <w:spacing w:after="20" w:line="223" w:lineRule="auto"/>
        <w:jc w:val="right"/>
        <w:bidi/>
      </w:pPr>
      <w:r>
        <w:rPr>
          <w:rFonts w:ascii="Arial" w:hAnsi="Arial"/>
          <w:sz w:val="16"/>
        </w:rPr>
        <w:t>088.16  نیروهای هوایی اقیانوس آرام (PACAF) به‌عنوان یک MAJCOM در ۳ اوت ۱۹۴۴ فعال شد، مقر آن در پایگاه مشترک پرل هاربر-هیکم، هاوایی، و جزء فرماندهی هند و اقیانوس آرام ایالات متحده است.</w:t>
      </w:r>
    </w:p>
    <w:p>
      <w:pPr>
        <w:spacing w:after="28" w:line="216" w:lineRule="auto"/>
        <w:ind w:left="259"/>
        <w:jc w:val="left"/>
      </w:pPr>
      <w:r>
        <w:rPr>
          <w:rFonts w:ascii="Arial" w:hAnsi="Arial"/>
          <w:color w:val="525252"/>
          <w:sz w:val="13"/>
        </w:rPr>
        <w:t>Pacific Air Forces (PACAF) was activated as a MAJCOM on 3 August 1944, is headquartered at Joint Base Pearl Harbor-Hickam, Hawaii, and is the USAF Component of U.S. Indo-Pacific Command.</w:t>
      </w:r>
    </w:p>
    <w:p>
      <w:pPr>
        <w:spacing w:after="20" w:line="223" w:lineRule="auto"/>
        <w:jc w:val="right"/>
        <w:bidi/>
      </w:pPr>
      <w:r>
        <w:rPr>
          <w:rFonts w:ascii="Arial" w:hAnsi="Arial"/>
          <w:sz w:val="16"/>
        </w:rPr>
        <w:t>088.17  مأموریت PACAF ارائه قابلیت‌های هوایی و فضای سایبری سریع و دقیق برای محافظت و دفاع از ایالات متحده، سرزمین‌ها، متحدان و شرکای آن است. ارائه هشدار و دفاع یکپارچه هوایی و موشکی؛ ارتقای قابلیت همکاری در سراسر حوزه مسئولیت؛ حفظ دسترسی استراتژیک و آزادی حرکت در همه حوزه‌ها؛ و در سراسر طیف کامل حوادث احتمالی نظامی برای بازگرداندن امنیت منطقه پاسخ دهد.</w:t>
      </w:r>
    </w:p>
    <w:p>
      <w:pPr>
        <w:spacing w:after="28" w:line="216" w:lineRule="auto"/>
        <w:ind w:left="259"/>
        <w:jc w:val="left"/>
      </w:pPr>
      <w:r>
        <w:rPr>
          <w:rFonts w:ascii="Arial" w:hAnsi="Arial"/>
          <w:color w:val="525252"/>
          <w:sz w:val="13"/>
        </w:rPr>
        <w:t>PACAF’s mission is to deliver rapid and precise air and cyberspace capabilities to protect and defend the United States, its territories, allies, and partners; provide integrated air and missile warning and defense; promote interoperability throughout the area of responsibility; maintain strategic access and freedom of movement across all domains; and respond across the full spectrum of military contingencies to restore regional security.</w:t>
      </w:r>
    </w:p>
    <w:p>
      <w:pPr>
        <w:spacing w:after="20" w:line="223" w:lineRule="auto"/>
        <w:jc w:val="right"/>
        <w:bidi/>
      </w:pPr>
      <w:r>
        <w:rPr>
          <w:rFonts w:ascii="Arial" w:hAnsi="Arial"/>
          <w:sz w:val="16"/>
        </w:rPr>
        <w:t>088.18  منطقه مسئولیت PACAF ۶۰ درصد از جمعیت جهان در ۳۶ کشور در ۵۲ درصد از سطح زمین و ۱۶ منطقه زمانی با بیش از ۱۰۰۰ زبان صحبت می‌شود.</w:t>
      </w:r>
    </w:p>
    <w:p>
      <w:pPr>
        <w:spacing w:after="28" w:line="216" w:lineRule="auto"/>
        <w:ind w:left="259"/>
        <w:jc w:val="left"/>
      </w:pPr>
      <w:r>
        <w:rPr>
          <w:rFonts w:ascii="Arial" w:hAnsi="Arial"/>
          <w:color w:val="525252"/>
          <w:sz w:val="13"/>
        </w:rPr>
        <w:t>PACAF’s area of responsibility is home to 60 percent of the world’s population in 36 nations across 52 percent of the Earth's surface and 16 time zones, with more than 1,000 languages spoken.</w:t>
      </w:r>
    </w:p>
    <w:p>
      <w:pPr>
        <w:spacing w:after="20" w:line="223" w:lineRule="auto"/>
        <w:jc w:val="right"/>
        <w:bidi/>
      </w:pPr>
      <w:r>
        <w:rPr>
          <w:rFonts w:ascii="Arial" w:hAnsi="Arial"/>
          <w:sz w:val="16"/>
        </w:rPr>
        <w:t>088.19  موقعیت منحصر به فرد مثلث استراتژیک (هاوایی-گوام-آلاسکا) به ملت ما حضور مداوم و گزینه هایی برای ارائه نیروی هوایی از قلمرو مستقل می‌دهد.</w:t>
      </w:r>
    </w:p>
    <w:p>
      <w:pPr>
        <w:spacing w:after="28" w:line="216" w:lineRule="auto"/>
        <w:ind w:left="259"/>
        <w:jc w:val="left"/>
      </w:pPr>
      <w:r>
        <w:rPr>
          <w:rFonts w:ascii="Arial" w:hAnsi="Arial"/>
          <w:color w:val="525252"/>
          <w:sz w:val="13"/>
        </w:rPr>
        <w:t>The unique location of the strategic triangle (Hawaii-Guam-Alaska) gives our nation persistent presence and options to project airpower from sovereign territory.</w:t>
      </w:r>
    </w:p>
    <w:p>
      <w:pPr>
        <w:spacing w:after="20" w:line="223" w:lineRule="auto"/>
        <w:jc w:val="right"/>
        <w:bidi/>
      </w:pPr>
      <w:r>
        <w:rPr>
          <w:rFonts w:ascii="Arial" w:hAnsi="Arial"/>
          <w:sz w:val="16"/>
        </w:rPr>
        <w:t>088.20  هوانوردان PACAF برای پشتیبانی از عملیات اضطراری برون مرزی در هر زمان معینی مستقر هستند و بسیاری از آنها در مأموریت‌های غیرسنتی مانند عملیات کاروان و بازداشت‌شدگان شرکت می‌کنند.</w:t>
      </w:r>
    </w:p>
    <w:p>
      <w:pPr>
        <w:spacing w:after="28" w:line="216" w:lineRule="auto"/>
        <w:ind w:left="259"/>
        <w:jc w:val="left"/>
      </w:pPr>
      <w:r>
        <w:rPr>
          <w:rFonts w:ascii="Arial" w:hAnsi="Arial"/>
          <w:color w:val="525252"/>
          <w:sz w:val="13"/>
        </w:rPr>
        <w:t>PACAF’s Airmen are postured to deploy at any given time in support of overseas contingency operations, many participating in non-traditional missions, such as convoy and detainee operations.</w:t>
      </w:r>
    </w:p>
    <w:p>
      <w:pPr>
        <w:spacing w:after="20" w:line="223" w:lineRule="auto"/>
        <w:jc w:val="right"/>
        <w:bidi/>
      </w:pPr>
      <w:r>
        <w:rPr>
          <w:rFonts w:ascii="Arial" w:hAnsi="Arial"/>
          <w:sz w:val="16"/>
        </w:rPr>
        <w:t>088.21  به‌طور کلی، PACAF تقریبا ۴۶۰۰۰ پرسنل نظامی و غیرنظامی دارد که در ۹ مکان استراتژیک و تعداد زیادی تأسیسات کوچکتر، عمدتا در هاوایی، آلاسکا، ژاپن، گوام، و جمهوری کره خدمت می‌کنند.</w:t>
      </w:r>
    </w:p>
    <w:p>
      <w:pPr>
        <w:spacing w:after="28" w:line="216" w:lineRule="auto"/>
        <w:ind w:left="259"/>
        <w:jc w:val="left"/>
      </w:pPr>
      <w:r>
        <w:rPr>
          <w:rFonts w:ascii="Arial" w:hAnsi="Arial"/>
          <w:color w:val="525252"/>
          <w:sz w:val="13"/>
        </w:rPr>
        <w:t>Overall, PACAF has approximately 46,000 military and civilian personnel serving in nine strategic locations and numerous smaller facilities, primarily in Hawaii, Alaska, Japan, Guam, and the Republic of Korea.</w:t>
      </w:r>
    </w:p>
    <w:p>
      <w:pPr>
        <w:spacing w:after="20" w:line="223" w:lineRule="auto"/>
        <w:jc w:val="right"/>
        <w:bidi/>
      </w:pPr>
      <w:r>
        <w:rPr>
          <w:rFonts w:ascii="Arial" w:hAnsi="Arial"/>
          <w:sz w:val="16"/>
        </w:rPr>
        <w:t>088.22  تقریبا ۳۲۰ هواپیمای جنگنده، تانکر، محموله، مدیریت نبرد هوایی، نظارت، نجات، و هواپیمای حمله با حدود ۱۰۰ هواپیمای مستقر اضافی که در گوام در حال چرخش هستند به فرماندهی اختصاص داده شده است.</w:t>
      </w:r>
    </w:p>
    <w:p>
      <w:pPr>
        <w:spacing w:after="28" w:line="216" w:lineRule="auto"/>
        <w:ind w:left="259"/>
        <w:jc w:val="left"/>
      </w:pPr>
      <w:r>
        <w:rPr>
          <w:rFonts w:ascii="Arial" w:hAnsi="Arial"/>
          <w:color w:val="525252"/>
          <w:sz w:val="13"/>
        </w:rPr>
        <w:t>Approximately 320 fighter, tanker, cargo, air battle management, surveillance, rescue, and attack aircraft are assigned to the command with approximately 100 additional deployed aircraft rotating on Guam.</w:t>
      </w:r>
    </w:p>
    <w:p>
      <w:pPr>
        <w:spacing w:after="20" w:line="223" w:lineRule="auto"/>
        <w:jc w:val="right"/>
        <w:bidi/>
      </w:pPr>
      <w:r>
        <w:rPr>
          <w:rFonts w:ascii="Arial" w:hAnsi="Arial"/>
          <w:sz w:val="16"/>
        </w:rPr>
        <w:t>088.23  نیروی هوایی ایالات متحده در اروپا و نیروی هوایی آفریقا.</w:t>
      </w:r>
    </w:p>
    <w:p>
      <w:pPr>
        <w:spacing w:after="28" w:line="216" w:lineRule="auto"/>
        <w:ind w:left="259"/>
        <w:jc w:val="left"/>
      </w:pPr>
      <w:r>
        <w:rPr>
          <w:rFonts w:ascii="Arial" w:hAnsi="Arial"/>
          <w:color w:val="525252"/>
          <w:sz w:val="13"/>
        </w:rPr>
        <w:t>United States Air Forces in Europe &amp; Air Forces Africa.</w:t>
      </w:r>
    </w:p>
    <w:p>
      <w:pPr>
        <w:spacing w:after="20" w:line="223" w:lineRule="auto"/>
        <w:jc w:val="right"/>
        <w:bidi/>
      </w:pPr>
      <w:r>
        <w:rPr>
          <w:rFonts w:ascii="Arial" w:hAnsi="Arial"/>
          <w:sz w:val="16"/>
        </w:rPr>
        <w:t>088.24  نیروی هوایی ایالات متحده در اروپا و نیروهای هوایی آفریقا (USAFE-AFAFRICA) به‌عنوان MAJCOM در ۲۰ آوریل ۲۰۱۲ فعال شد و مقر آن در پایگاه هوایی رامشتاین، آلمان است.</w:t>
      </w:r>
    </w:p>
    <w:p>
      <w:pPr>
        <w:spacing w:after="28" w:line="216" w:lineRule="auto"/>
        <w:ind w:left="259"/>
        <w:jc w:val="left"/>
      </w:pPr>
      <w:r>
        <w:rPr>
          <w:rFonts w:ascii="Arial" w:hAnsi="Arial"/>
          <w:color w:val="525252"/>
          <w:sz w:val="13"/>
        </w:rPr>
        <w:t>United States Air Forces in Europe &amp; Air Forces Africa (USAFE-AFAFRICA) was activated as a MAJCOM on 20 April 2012 and is headquartered at Ramstein Air Base, Germany.</w:t>
      </w:r>
    </w:p>
    <w:p>
      <w:pPr>
        <w:spacing w:after="20" w:line="223" w:lineRule="auto"/>
        <w:jc w:val="right"/>
        <w:bidi/>
      </w:pPr>
      <w:r>
        <w:rPr>
          <w:rFonts w:ascii="Arial" w:hAnsi="Arial"/>
          <w:sz w:val="16"/>
        </w:rPr>
        <w:t>088.25  USAFE-AFAFRICA یک سازمان ترکیبی است که دو CCMD مجزا را ارائه می‌کند.</w:t>
      </w:r>
    </w:p>
    <w:p>
      <w:pPr>
        <w:spacing w:after="28" w:line="216" w:lineRule="auto"/>
        <w:ind w:left="259"/>
        <w:jc w:val="left"/>
      </w:pPr>
      <w:r>
        <w:rPr>
          <w:rFonts w:ascii="Arial" w:hAnsi="Arial"/>
          <w:color w:val="525252"/>
          <w:sz w:val="13"/>
        </w:rPr>
        <w:t>USAFE-AFAFRICA is a combined organization that provides two separate CCMDs.</w:t>
      </w:r>
    </w:p>
    <w:p>
      <w:pPr>
        <w:spacing w:after="20" w:line="223" w:lineRule="auto"/>
        <w:jc w:val="right"/>
        <w:bidi/>
      </w:pPr>
      <w:r>
        <w:rPr>
          <w:rFonts w:ascii="Arial" w:hAnsi="Arial"/>
          <w:sz w:val="16"/>
        </w:rPr>
        <w:t>088.26  USAFE جزء خدمات USAF به فرماندهی اروپای ایالات متحده است و AFAFRICA جزء خدمات USAF به فرماندهی آفریقای ایالات متحده است.</w:t>
      </w:r>
    </w:p>
    <w:p>
      <w:pPr>
        <w:spacing w:after="28" w:line="216" w:lineRule="auto"/>
        <w:ind w:left="259"/>
        <w:jc w:val="left"/>
      </w:pPr>
      <w:r>
        <w:rPr>
          <w:rFonts w:ascii="Arial" w:hAnsi="Arial"/>
          <w:color w:val="525252"/>
          <w:sz w:val="13"/>
        </w:rPr>
        <w:t>USAFE is the USAF Service Component to U.S. European Command, and AFAFRICA is the USAF Service Component to U.S. Africa Command.</w:t>
      </w:r>
    </w:p>
    <w:p>
      <w:pPr>
        <w:spacing w:after="20" w:line="223" w:lineRule="auto"/>
        <w:jc w:val="right"/>
        <w:bidi/>
      </w:pPr>
      <w:r>
        <w:rPr>
          <w:rFonts w:ascii="Arial" w:hAnsi="Arial"/>
          <w:sz w:val="16"/>
        </w:rPr>
        <w:t>088.27  هر دو USAFE و AFAFRICA، که با هم به‌عنوان یک ستاد ترکیبی USAFE-AFAFRICA عمل می‌کنند، توسط یک افسر کل با دو نقش و اختیار جداگانه و مجزا فرماندهی می‌شوند.</w:t>
      </w:r>
    </w:p>
    <w:p>
      <w:pPr>
        <w:spacing w:after="28" w:line="216" w:lineRule="auto"/>
        <w:ind w:left="259"/>
        <w:jc w:val="left"/>
      </w:pPr>
      <w:r>
        <w:rPr>
          <w:rFonts w:ascii="Arial" w:hAnsi="Arial"/>
          <w:color w:val="525252"/>
          <w:sz w:val="13"/>
        </w:rPr>
        <w:t>Both USAFE and AFAFRICA, which function together as a blended USAFE-AFAFRICA staff, are commanded by the same General Officer with two separate and distinct roles and authorities.</w:t>
      </w:r>
    </w:p>
    <w:p>
      <w:pPr>
        <w:spacing w:after="20" w:line="223" w:lineRule="auto"/>
        <w:jc w:val="right"/>
        <w:bidi/>
      </w:pPr>
      <w:r>
        <w:rPr>
          <w:rFonts w:ascii="Arial" w:hAnsi="Arial"/>
          <w:sz w:val="16"/>
        </w:rPr>
        <w:t>088.28  USAFE-AFAFRICA برای دستیابی به اهداف ایالات متحده و سازمان پیمان آتلانتیک شمالی، عملیات هوایی و فضایی را در اروپا، بخش‌هایی از آسیا و تمام آفریقا به جز مصر برنامه‌ریزی، اجرا، کنترل، هماهنگی و پشتیبانی می‌کند.</w:t>
      </w:r>
    </w:p>
    <w:p>
      <w:pPr>
        <w:spacing w:after="28" w:line="216" w:lineRule="auto"/>
        <w:ind w:left="259"/>
        <w:jc w:val="left"/>
      </w:pPr>
      <w:r>
        <w:rPr>
          <w:rFonts w:ascii="Arial" w:hAnsi="Arial"/>
          <w:color w:val="525252"/>
          <w:sz w:val="13"/>
        </w:rPr>
        <w:t>USAFE-AFAFRICA plans, conducts, controls, coordinates, and supports air and space operations in Europe, parts of Asia, and all of Africa except for Egypt, to achieve United States and North Atlantic Treaty Organization objectives.</w:t>
      </w:r>
    </w:p>
    <w:p>
      <w:pPr>
        <w:spacing w:after="20" w:line="223" w:lineRule="auto"/>
        <w:jc w:val="right"/>
        <w:bidi/>
      </w:pPr>
      <w:r>
        <w:rPr>
          <w:rFonts w:ascii="Arial" w:hAnsi="Arial"/>
          <w:sz w:val="16"/>
        </w:rPr>
        <w:t>088.29  به‌عنوان بخشی از مأموریت خود، USAFE-AFAFRICA به یگان‌های USAF فرمان می‌دهد که بال‌های آماده جنگ مستقر در بریتانیای کبیر به ترکیه را حفظ می‌کنند.</w:t>
      </w:r>
    </w:p>
    <w:p>
      <w:pPr>
        <w:spacing w:after="28" w:line="216" w:lineRule="auto"/>
        <w:ind w:left="259"/>
        <w:jc w:val="left"/>
      </w:pPr>
      <w:r>
        <w:rPr>
          <w:rFonts w:ascii="Arial" w:hAnsi="Arial"/>
          <w:color w:val="525252"/>
          <w:sz w:val="13"/>
        </w:rPr>
        <w:t>As part of its mission, USAFE-AFAFRICA commands USAF units maintaining combat-ready wings based on Great Britain to Turkey.</w:t>
      </w:r>
    </w:p>
    <w:p>
      <w:r>
        <w:br w:type="page"/>
      </w:r>
    </w:p>
    <w:p>
      <w:pPr>
        <w:spacing w:after="60"/>
        <w:jc w:val="right"/>
        <w:bidi/>
      </w:pPr>
      <w:r>
        <w:rPr>
          <w:rFonts w:ascii="Arial" w:hAnsi="Arial"/>
          <w:b/>
          <w:color w:val="1F4D78"/>
          <w:sz w:val="19"/>
        </w:rPr>
        <w:t>هفتهٔ 89  |  صفحهٔ منبع: 105</w:t>
      </w:r>
    </w:p>
    <w:p>
      <w:pPr>
        <w:spacing w:after="20" w:line="223" w:lineRule="auto"/>
        <w:jc w:val="right"/>
        <w:bidi/>
      </w:pPr>
      <w:r>
        <w:rPr>
          <w:rFonts w:ascii="Arial" w:hAnsi="Arial"/>
          <w:sz w:val="16"/>
        </w:rPr>
        <w:t>089.01  USAFE-AFAFRICA عملیات هوایی را در تئاتری در سه قاره، با مساحت بیش از ۱۹ میلیون مایل مربع، شامل ۱۰۴ کشور مستقل، دارای بیش از یک چهارم جمعیت جهان، و تولید بیش از یک چهارم تولید ناخالص داخلی جهان، هدایت می‌کند.</w:t>
      </w:r>
    </w:p>
    <w:p>
      <w:pPr>
        <w:spacing w:after="28" w:line="216" w:lineRule="auto"/>
        <w:ind w:left="259"/>
        <w:jc w:val="left"/>
      </w:pPr>
      <w:r>
        <w:rPr>
          <w:rFonts w:ascii="Arial" w:hAnsi="Arial"/>
          <w:color w:val="525252"/>
          <w:sz w:val="13"/>
        </w:rPr>
        <w:t>USAFE-AFAFRICA directs air operations in a theater spanning three continents, covering more than 19 million square miles, containing 104 independent states, possessing more than a quarter of the world's population, and producing more than a quarter of the world’s gross domestic product.</w:t>
      </w:r>
    </w:p>
    <w:p>
      <w:pPr>
        <w:spacing w:after="20" w:line="223" w:lineRule="auto"/>
        <w:jc w:val="right"/>
        <w:bidi/>
      </w:pPr>
      <w:r>
        <w:rPr>
          <w:rFonts w:ascii="Arial" w:hAnsi="Arial"/>
          <w:sz w:val="16"/>
        </w:rPr>
        <w:t>089.02  نقش آن در اروپا و آفریقا از جنگ به عملیات بشردوستانه و حافظ صلح و همچنین سایر حوادث غیرمتعارف غیر سنتی در سراسر منطقه مسئولیت آن گسترش یافته است.</w:t>
      </w:r>
    </w:p>
    <w:p>
      <w:pPr>
        <w:spacing w:after="28" w:line="216" w:lineRule="auto"/>
        <w:ind w:left="259"/>
        <w:jc w:val="left"/>
      </w:pPr>
      <w:r>
        <w:rPr>
          <w:rFonts w:ascii="Arial" w:hAnsi="Arial"/>
          <w:color w:val="525252"/>
          <w:sz w:val="13"/>
        </w:rPr>
        <w:t>Its role in Europe and Africa has expanded from warfighting to humanitarian and peacekeeping operations, as well as other non-traditional contingencies throughout its area of responsibility.</w:t>
      </w:r>
    </w:p>
    <w:p>
      <w:pPr>
        <w:spacing w:after="20" w:line="223" w:lineRule="auto"/>
        <w:jc w:val="right"/>
        <w:bidi/>
      </w:pPr>
      <w:r>
        <w:rPr>
          <w:rFonts w:ascii="Arial" w:hAnsi="Arial"/>
          <w:sz w:val="16"/>
        </w:rPr>
        <w:t>089.03  به‌طور کلی، USAFE-AFAFRICA از یک نیروی هوایی شماره دار، هفت پایگاه اصلی عملیاتی و ۱۱۴ مکان جدا از هم جغرافیایی تشکیل شده است.</w:t>
      </w:r>
    </w:p>
    <w:p>
      <w:pPr>
        <w:spacing w:after="28" w:line="216" w:lineRule="auto"/>
        <w:ind w:left="259"/>
        <w:jc w:val="left"/>
      </w:pPr>
      <w:r>
        <w:rPr>
          <w:rFonts w:ascii="Arial" w:hAnsi="Arial"/>
          <w:color w:val="525252"/>
          <w:sz w:val="13"/>
        </w:rPr>
        <w:t>Overall, USAFE-AFAFRICA consists of one Numbered Air Force, seven main operating bases, and 114 geographically separated locations.</w:t>
      </w:r>
    </w:p>
    <w:p>
      <w:pPr>
        <w:spacing w:after="20" w:line="223" w:lineRule="auto"/>
        <w:jc w:val="right"/>
        <w:bidi/>
      </w:pPr>
      <w:r>
        <w:rPr>
          <w:rFonts w:ascii="Arial" w:hAnsi="Arial"/>
          <w:sz w:val="16"/>
        </w:rPr>
        <w:t>089.04  بیش از ۳۵۰۰۰ عضو نیروی کل به USAFE-AFAFRICA اختصاص داده شده‌اند.</w:t>
      </w:r>
    </w:p>
    <w:p>
      <w:pPr>
        <w:spacing w:after="28" w:line="216" w:lineRule="auto"/>
        <w:ind w:left="259"/>
        <w:jc w:val="left"/>
      </w:pPr>
      <w:r>
        <w:rPr>
          <w:rFonts w:ascii="Arial" w:hAnsi="Arial"/>
          <w:color w:val="525252"/>
          <w:sz w:val="13"/>
        </w:rPr>
        <w:t>More than 35,000 Total Force members are assigned to USAFE-AFAFRICA.</w:t>
      </w:r>
    </w:p>
    <w:p>
      <w:pPr>
        <w:spacing w:after="20" w:line="223" w:lineRule="auto"/>
        <w:jc w:val="right"/>
        <w:bidi/>
      </w:pPr>
      <w:r>
        <w:rPr>
          <w:rFonts w:ascii="Arial" w:hAnsi="Arial"/>
          <w:sz w:val="16"/>
        </w:rPr>
        <w:t>089.05  دارایی تجهیزات شامل حدود ۲۱۷ هواپیما و یک مکمل کامل از سلاح‌های متعارف است.</w:t>
      </w:r>
    </w:p>
    <w:p>
      <w:pPr>
        <w:spacing w:after="28" w:line="216" w:lineRule="auto"/>
        <w:ind w:left="259"/>
        <w:jc w:val="left"/>
      </w:pPr>
      <w:r>
        <w:rPr>
          <w:rFonts w:ascii="Arial" w:hAnsi="Arial"/>
          <w:color w:val="525252"/>
          <w:sz w:val="13"/>
        </w:rPr>
        <w:t>Equipment assets include about 217 aircraft and a full complement of conventional weapons.</w:t>
      </w:r>
    </w:p>
    <w:p>
      <w:pPr>
        <w:spacing w:after="20" w:line="223" w:lineRule="auto"/>
        <w:jc w:val="right"/>
        <w:bidi/>
      </w:pPr>
      <w:r>
        <w:rPr>
          <w:rFonts w:ascii="Arial" w:hAnsi="Arial"/>
          <w:sz w:val="16"/>
        </w:rPr>
        <w:t>089.06  فرماندهی آموزش و پرورش هوایی.</w:t>
      </w:r>
    </w:p>
    <w:p>
      <w:pPr>
        <w:spacing w:after="28" w:line="216" w:lineRule="auto"/>
        <w:ind w:left="259"/>
        <w:jc w:val="left"/>
      </w:pPr>
      <w:r>
        <w:rPr>
          <w:rFonts w:ascii="Arial" w:hAnsi="Arial"/>
          <w:color w:val="525252"/>
          <w:sz w:val="13"/>
        </w:rPr>
        <w:t>Air Education and Training Command.</w:t>
      </w:r>
    </w:p>
    <w:p>
      <w:pPr>
        <w:spacing w:after="20" w:line="223" w:lineRule="auto"/>
        <w:jc w:val="right"/>
        <w:bidi/>
      </w:pPr>
      <w:r>
        <w:rPr>
          <w:rFonts w:ascii="Arial" w:hAnsi="Arial"/>
          <w:sz w:val="16"/>
        </w:rPr>
        <w:t>089.07  در ۱ ژوئیه ۱۹۹۳، فرماندهی آموزش و آموزش هوایی (AETC) به‌عنوان MAJCOM فعال شد و مقر آن در پایگاه مشترک سن آنتونیو راندولف، تگزاس است.</w:t>
      </w:r>
    </w:p>
    <w:p>
      <w:pPr>
        <w:spacing w:after="28" w:line="216" w:lineRule="auto"/>
        <w:ind w:left="259"/>
        <w:jc w:val="left"/>
      </w:pPr>
      <w:r>
        <w:rPr>
          <w:rFonts w:ascii="Arial" w:hAnsi="Arial"/>
          <w:color w:val="525252"/>
          <w:sz w:val="13"/>
        </w:rPr>
        <w:t>On 1 July 1993, the Air Education and Training Command (AETC) was activated as a MAJCOM and is headquartered at Joint Base San Antonio- Randolph, Texas.</w:t>
      </w:r>
    </w:p>
    <w:p>
      <w:pPr>
        <w:spacing w:after="20" w:line="223" w:lineRule="auto"/>
        <w:jc w:val="right"/>
        <w:bidi/>
      </w:pPr>
      <w:r>
        <w:rPr>
          <w:rFonts w:ascii="Arial" w:hAnsi="Arial"/>
          <w:sz w:val="16"/>
        </w:rPr>
        <w:t>089.08  مأموریت AETC استخدام، آموزش و آموزش هوانوردان استثنایی است.</w:t>
      </w:r>
    </w:p>
    <w:p>
      <w:pPr>
        <w:spacing w:after="28" w:line="216" w:lineRule="auto"/>
        <w:ind w:left="259"/>
        <w:jc w:val="left"/>
      </w:pPr>
      <w:r>
        <w:rPr>
          <w:rFonts w:ascii="Arial" w:hAnsi="Arial"/>
          <w:color w:val="525252"/>
          <w:sz w:val="13"/>
        </w:rPr>
        <w:t>AETC’s mission is to Recruit, train and educate exceptional Airmen.</w:t>
      </w:r>
    </w:p>
    <w:p>
      <w:pPr>
        <w:spacing w:after="20" w:line="223" w:lineRule="auto"/>
        <w:jc w:val="right"/>
        <w:bidi/>
      </w:pPr>
      <w:r>
        <w:rPr>
          <w:rFonts w:ascii="Arial" w:hAnsi="Arial"/>
          <w:sz w:val="16"/>
        </w:rPr>
        <w:t>089.09  AETC مردان و زنان جوان آمریکایی را که داوطلبانه برای خدمت به کشورشان داوطلب شده‌اند، تبدیل به هوانورد می‌کند و با آموزش (به‌عنوان مثال ما) ارزش‌های اصلی USAF و USSF، به آنها انگیزه می‌دهد که فرهنگ USAF را در آغوش بگیرند.</w:t>
      </w:r>
    </w:p>
    <w:p>
      <w:pPr>
        <w:spacing w:after="28" w:line="216" w:lineRule="auto"/>
        <w:ind w:left="259"/>
        <w:jc w:val="left"/>
      </w:pPr>
      <w:r>
        <w:rPr>
          <w:rFonts w:ascii="Arial" w:hAnsi="Arial"/>
          <w:color w:val="525252"/>
          <w:sz w:val="13"/>
        </w:rPr>
        <w:t>AETC develops America’s young men and women who have volunteered to serve their country, into Airmen, motivating them to embrace the USAF culture by teaching (by our example) the USAF and USSF core values.</w:t>
      </w:r>
    </w:p>
    <w:p>
      <w:pPr>
        <w:spacing w:after="20" w:line="223" w:lineRule="auto"/>
        <w:jc w:val="right"/>
        <w:bidi/>
      </w:pPr>
      <w:r>
        <w:rPr>
          <w:rFonts w:ascii="Arial" w:hAnsi="Arial"/>
          <w:sz w:val="16"/>
        </w:rPr>
        <w:t>089.10  مأموریت آموزشی AETC آن را به اولین فرمانی تبدیل می‌کند که زندگی تقریبا هر عضو USAF را لمس می‌کند.</w:t>
      </w:r>
    </w:p>
    <w:p>
      <w:pPr>
        <w:spacing w:after="28" w:line="216" w:lineRule="auto"/>
        <w:ind w:left="259"/>
        <w:jc w:val="left"/>
      </w:pPr>
      <w:r>
        <w:rPr>
          <w:rFonts w:ascii="Arial" w:hAnsi="Arial"/>
          <w:color w:val="525252"/>
          <w:sz w:val="13"/>
        </w:rPr>
        <w:t>AETC’s training mission makes it the first command to touch the lives of nearly every USAF member.</w:t>
      </w:r>
    </w:p>
    <w:p>
      <w:pPr>
        <w:spacing w:after="20" w:line="223" w:lineRule="auto"/>
        <w:jc w:val="right"/>
        <w:bidi/>
      </w:pPr>
      <w:r>
        <w:rPr>
          <w:rFonts w:ascii="Arial" w:hAnsi="Arial"/>
          <w:sz w:val="16"/>
        </w:rPr>
        <w:t>089.11  در طول سال‌ها، بیش از ۲۵ میلیون دانشجو از AETC فارغ‌التحصیل شده‌اند.</w:t>
      </w:r>
    </w:p>
    <w:p>
      <w:pPr>
        <w:spacing w:after="28" w:line="216" w:lineRule="auto"/>
        <w:ind w:left="259"/>
        <w:jc w:val="left"/>
      </w:pPr>
      <w:r>
        <w:rPr>
          <w:rFonts w:ascii="Arial" w:hAnsi="Arial"/>
          <w:color w:val="525252"/>
          <w:sz w:val="13"/>
        </w:rPr>
        <w:t>Over the years, more than 25 million students have graduated from AETC.</w:t>
      </w:r>
    </w:p>
    <w:p>
      <w:pPr>
        <w:spacing w:after="20" w:line="223" w:lineRule="auto"/>
        <w:jc w:val="right"/>
        <w:bidi/>
      </w:pPr>
      <w:r>
        <w:rPr>
          <w:rFonts w:ascii="Arial" w:hAnsi="Arial"/>
          <w:sz w:val="16"/>
        </w:rPr>
        <w:t>089.12  به‌طور کلی، AETC شامل خدمات استخدام USAF، دو نیروی هوایی شماره‌دار و دانشگاه هوایی است.</w:t>
      </w:r>
    </w:p>
    <w:p>
      <w:pPr>
        <w:spacing w:after="28" w:line="216" w:lineRule="auto"/>
        <w:ind w:left="259"/>
        <w:jc w:val="left"/>
      </w:pPr>
      <w:r>
        <w:rPr>
          <w:rFonts w:ascii="Arial" w:hAnsi="Arial"/>
          <w:color w:val="525252"/>
          <w:sz w:val="13"/>
        </w:rPr>
        <w:t>Overall, AETC includes USAF Recruiting Service, two Numbered Air Forces and the Air University.</w:t>
      </w:r>
    </w:p>
    <w:p>
      <w:pPr>
        <w:spacing w:after="20" w:line="223" w:lineRule="auto"/>
        <w:jc w:val="right"/>
        <w:bidi/>
      </w:pPr>
      <w:r>
        <w:rPr>
          <w:rFonts w:ascii="Arial" w:hAnsi="Arial"/>
          <w:sz w:val="16"/>
        </w:rPr>
        <w:t>089.13  AETC ۱۲ تاسیسات اصلی را اداره می‌کند و از واحدهای مستاجر در پایگاه‌های متعدد در سراسر جهان پشتیبانی می‌کند.</w:t>
      </w:r>
    </w:p>
    <w:p>
      <w:pPr>
        <w:spacing w:after="28" w:line="216" w:lineRule="auto"/>
        <w:ind w:left="259"/>
        <w:jc w:val="left"/>
      </w:pPr>
      <w:r>
        <w:rPr>
          <w:rFonts w:ascii="Arial" w:hAnsi="Arial"/>
          <w:color w:val="525252"/>
          <w:sz w:val="13"/>
        </w:rPr>
        <w:t>AETC operates 12 major installations and supports tenant units on numerous bases across the globe.</w:t>
      </w:r>
    </w:p>
    <w:p>
      <w:pPr>
        <w:spacing w:after="20" w:line="223" w:lineRule="auto"/>
        <w:jc w:val="right"/>
        <w:bidi/>
      </w:pPr>
      <w:r>
        <w:rPr>
          <w:rFonts w:ascii="Arial" w:hAnsi="Arial"/>
          <w:sz w:val="16"/>
        </w:rPr>
        <w:t>089.14  فرماندهی مواد نیروی هوایی.</w:t>
      </w:r>
    </w:p>
    <w:p>
      <w:pPr>
        <w:spacing w:after="28" w:line="216" w:lineRule="auto"/>
        <w:ind w:left="259"/>
        <w:jc w:val="left"/>
      </w:pPr>
      <w:r>
        <w:rPr>
          <w:rFonts w:ascii="Arial" w:hAnsi="Arial"/>
          <w:color w:val="525252"/>
          <w:sz w:val="13"/>
        </w:rPr>
        <w:t>Air Force Materiel Command.</w:t>
      </w:r>
    </w:p>
    <w:p>
      <w:pPr>
        <w:spacing w:after="20" w:line="223" w:lineRule="auto"/>
        <w:jc w:val="right"/>
        <w:bidi/>
      </w:pPr>
      <w:r>
        <w:rPr>
          <w:rFonts w:ascii="Arial" w:hAnsi="Arial"/>
          <w:sz w:val="16"/>
        </w:rPr>
        <w:t>089.15  فرماندهی ماتریل نیروی هوایی (AFMC) به‌عنوان MAJCOM در ۱ ژوئیه ۱۹۹۲ فعال شد و مقر آن در پایگاه نیروی هوایی رایت-پترسون، اوهایو است.</w:t>
      </w:r>
    </w:p>
    <w:p>
      <w:pPr>
        <w:spacing w:after="28" w:line="216" w:lineRule="auto"/>
        <w:ind w:left="259"/>
        <w:jc w:val="left"/>
      </w:pPr>
      <w:r>
        <w:rPr>
          <w:rFonts w:ascii="Arial" w:hAnsi="Arial"/>
          <w:color w:val="525252"/>
          <w:sz w:val="13"/>
        </w:rPr>
        <w:t>Air Force Materiel Command (AFMC) was activated as a MAJCOM on 1 July 1992 and is headquartered at Wright-Patterson Air Force Base, Ohio.</w:t>
      </w:r>
    </w:p>
    <w:p>
      <w:pPr>
        <w:spacing w:after="20" w:line="223" w:lineRule="auto"/>
        <w:jc w:val="right"/>
        <w:bidi/>
      </w:pPr>
      <w:r>
        <w:rPr>
          <w:rFonts w:ascii="Arial" w:hAnsi="Arial"/>
          <w:sz w:val="16"/>
        </w:rPr>
        <w:t>089.16  مأموریت AFMC تجهیز USAF برای نیروی هوایی مسلط بر جهان است.</w:t>
      </w:r>
    </w:p>
    <w:p>
      <w:pPr>
        <w:spacing w:after="28" w:line="216" w:lineRule="auto"/>
        <w:ind w:left="259"/>
        <w:jc w:val="left"/>
      </w:pPr>
      <w:r>
        <w:rPr>
          <w:rFonts w:ascii="Arial" w:hAnsi="Arial"/>
          <w:color w:val="525252"/>
          <w:sz w:val="13"/>
        </w:rPr>
        <w:t>AFMC’s mission is to equip the USAF for world-dominant airpower.</w:t>
      </w:r>
    </w:p>
    <w:p>
      <w:pPr>
        <w:spacing w:after="20" w:line="223" w:lineRule="auto"/>
        <w:jc w:val="right"/>
        <w:bidi/>
      </w:pPr>
      <w:r>
        <w:rPr>
          <w:rFonts w:ascii="Arial" w:hAnsi="Arial"/>
          <w:sz w:val="16"/>
        </w:rPr>
        <w:t>089.17  AFMC از طریق توسعه و انتقال فناوری، مدیریت کسب حرفه‌ای، آزمایش و ارزیابی دقیق، و حفظ در سطح جهانی همه سیستم‌های تسلیحاتی USAF، قابلیت‌های اعزامی برنده جنگ را به جنگنده ارائه می‌کند.</w:t>
      </w:r>
    </w:p>
    <w:p>
      <w:pPr>
        <w:spacing w:after="28" w:line="216" w:lineRule="auto"/>
        <w:ind w:left="259"/>
        <w:jc w:val="left"/>
      </w:pPr>
      <w:r>
        <w:rPr>
          <w:rFonts w:ascii="Arial" w:hAnsi="Arial"/>
          <w:color w:val="525252"/>
          <w:sz w:val="13"/>
        </w:rPr>
        <w:t>AFMC delivers war-winning expeditionary capabilities to the warfighter through development and transition of technology, professional acquisition management, exacting test and evaluation, and world-class sustainment of all USAF weapon systems.</w:t>
      </w:r>
    </w:p>
    <w:p>
      <w:pPr>
        <w:spacing w:after="20" w:line="223" w:lineRule="auto"/>
        <w:jc w:val="right"/>
        <w:bidi/>
      </w:pPr>
      <w:r>
        <w:rPr>
          <w:rFonts w:ascii="Arial" w:hAnsi="Arial"/>
          <w:sz w:val="16"/>
        </w:rPr>
        <w:t>089.18  AFMC مأموریت خود مبنی بر تجهیز نیروی هوایی آمریکا به بهترین سیستم‌های تسلیحاتی را از طریق آزمایشگاه تحقیقاتی نیروی هوایی و چندین مرکز منحصر به فرد که مسئول نظارت "گهواره تا گور" هواپیماها، سیستم‌های الکترونیکی، موشک‌ها و مهمات هستند، انجام می‌دهد.</w:t>
      </w:r>
    </w:p>
    <w:p>
      <w:pPr>
        <w:spacing w:after="28" w:line="216" w:lineRule="auto"/>
        <w:ind w:left="259"/>
        <w:jc w:val="left"/>
      </w:pPr>
      <w:r>
        <w:rPr>
          <w:rFonts w:ascii="Arial" w:hAnsi="Arial"/>
          <w:color w:val="525252"/>
          <w:sz w:val="13"/>
        </w:rPr>
        <w:t>AFMC fulfills its mission of equipping the USAF with the best weapon systems through the Air Force Research Laboratory and several unique centers which are responsible for the “cradle-to-grave” oversight for aircraft, electronic systems, missiles, and munitions.</w:t>
      </w:r>
    </w:p>
    <w:p>
      <w:pPr>
        <w:spacing w:after="20" w:line="223" w:lineRule="auto"/>
        <w:jc w:val="right"/>
        <w:bidi/>
      </w:pPr>
      <w:r>
        <w:rPr>
          <w:rFonts w:ascii="Arial" w:hAnsi="Arial"/>
          <w:sz w:val="16"/>
        </w:rPr>
        <w:t>089.19  AFMC یک نیروی کار فرماندهی بسیار حرفه‌ای و ماهر متشکل از ۸۰۰۰۰ عضو توتال فورس را استخدام می‌کند.</w:t>
      </w:r>
    </w:p>
    <w:p>
      <w:pPr>
        <w:spacing w:after="28" w:line="216" w:lineRule="auto"/>
        <w:ind w:left="259"/>
        <w:jc w:val="left"/>
      </w:pPr>
      <w:r>
        <w:rPr>
          <w:rFonts w:ascii="Arial" w:hAnsi="Arial"/>
          <w:color w:val="525252"/>
          <w:sz w:val="13"/>
        </w:rPr>
        <w:t>AFMC employs a highly professional and skilled command work force of some 80,000 Total Force members.</w:t>
      </w:r>
    </w:p>
    <w:p>
      <w:pPr>
        <w:spacing w:after="20" w:line="223" w:lineRule="auto"/>
        <w:jc w:val="right"/>
        <w:bidi/>
      </w:pPr>
      <w:r>
        <w:rPr>
          <w:rFonts w:ascii="Arial" w:hAnsi="Arial"/>
          <w:sz w:val="16"/>
        </w:rPr>
        <w:t>089.20  فرماندهی عملیات ویژه نیروی هوایی.</w:t>
      </w:r>
    </w:p>
    <w:p>
      <w:pPr>
        <w:spacing w:after="28" w:line="216" w:lineRule="auto"/>
        <w:ind w:left="259"/>
        <w:jc w:val="left"/>
      </w:pPr>
      <w:r>
        <w:rPr>
          <w:rFonts w:ascii="Arial" w:hAnsi="Arial"/>
          <w:color w:val="525252"/>
          <w:sz w:val="13"/>
        </w:rPr>
        <w:t>Air Force Special Operations Command.</w:t>
      </w:r>
    </w:p>
    <w:p>
      <w:pPr>
        <w:spacing w:after="20" w:line="223" w:lineRule="auto"/>
        <w:jc w:val="right"/>
        <w:bidi/>
      </w:pPr>
      <w:r>
        <w:rPr>
          <w:rFonts w:ascii="Arial" w:hAnsi="Arial"/>
          <w:sz w:val="16"/>
        </w:rPr>
        <w:t>089.21  فرماندهی عملیات ویژه نیروی هوایی (AFSOC) به‌عنوان MAJCOM در ۲۲ مه ۱۹۹۰ فعال شد، مقر آن در فیلد هورلبرت، فلوریدا است و جزء فرماندهی عملیات ویژه ایالات متحده آمریکا است.</w:t>
      </w:r>
    </w:p>
    <w:p>
      <w:pPr>
        <w:spacing w:after="28" w:line="216" w:lineRule="auto"/>
        <w:ind w:left="259"/>
        <w:jc w:val="left"/>
      </w:pPr>
      <w:r>
        <w:rPr>
          <w:rFonts w:ascii="Arial" w:hAnsi="Arial"/>
          <w:color w:val="525252"/>
          <w:sz w:val="13"/>
        </w:rPr>
        <w:t>Air Force Special Operations Command (AFSOC) was activated as a MAJCOM on 22 May 1990, is headquartered at Hurlburt Field, Florida, and is the USAF Component of U.S. Special Operations Command.</w:t>
      </w:r>
    </w:p>
    <w:p>
      <w:pPr>
        <w:spacing w:after="20" w:line="223" w:lineRule="auto"/>
        <w:jc w:val="right"/>
        <w:bidi/>
      </w:pPr>
      <w:r>
        <w:rPr>
          <w:rFonts w:ascii="Arial" w:hAnsi="Arial"/>
          <w:sz w:val="16"/>
        </w:rPr>
        <w:t>089.22  مأموریت AFSOC این است که نیروی هوایی تخصصی کشورمان را فراهم کند، که بتواند در سراسر طیف درگیری‌ها ... در هر مکان، هر زمان و هر مکان.</w:t>
      </w:r>
    </w:p>
    <w:p>
      <w:pPr>
        <w:spacing w:after="28" w:line="216" w:lineRule="auto"/>
        <w:ind w:left="259"/>
        <w:jc w:val="left"/>
      </w:pPr>
      <w:r>
        <w:rPr>
          <w:rFonts w:ascii="Arial" w:hAnsi="Arial"/>
          <w:color w:val="525252"/>
          <w:sz w:val="13"/>
        </w:rPr>
        <w:t>AFSOC’s mission is to provide our nation’s specialized airpower, capable across the spectrum of conflict…any place, anytime, anywhere.</w:t>
      </w:r>
    </w:p>
    <w:p>
      <w:pPr>
        <w:spacing w:after="20" w:line="223" w:lineRule="auto"/>
        <w:jc w:val="right"/>
        <w:bidi/>
      </w:pPr>
      <w:r>
        <w:rPr>
          <w:rFonts w:ascii="Arial" w:hAnsi="Arial"/>
          <w:sz w:val="16"/>
        </w:rPr>
        <w:t>089.23  AFSOC هوانوردان بسیار آموزش دیده و با قابلیت استقرار سریع را برای مأموریت‌های عملیات ویژه جهانی از کاربرد دقیق قدرت آتش گرفته تا نفوذ، خروج، تأمین مجدد و سوخت گیری عناصر عملیاتی برای استقرار در سراسر جهان و انتساب به فرماندهی یکپارچه منطقه‌ای فراهم می‌کند.</w:t>
      </w:r>
    </w:p>
    <w:p>
      <w:pPr>
        <w:spacing w:after="28" w:line="216" w:lineRule="auto"/>
        <w:ind w:left="259"/>
        <w:jc w:val="left"/>
      </w:pPr>
      <w:r>
        <w:rPr>
          <w:rFonts w:ascii="Arial" w:hAnsi="Arial"/>
          <w:color w:val="525252"/>
          <w:sz w:val="13"/>
        </w:rPr>
        <w:t>AFSOC provides highly trained, rapidly deployable Airmen for global special operations missions ranging from precision application of firepower to infiltration, exfiltration, resupply, and refueling of operational elements for worldwide deployment and assignment to regional unified commands.</w:t>
      </w:r>
    </w:p>
    <w:p>
      <w:pPr>
        <w:spacing w:after="20" w:line="223" w:lineRule="auto"/>
        <w:jc w:val="right"/>
        <w:bidi/>
      </w:pPr>
      <w:r>
        <w:rPr>
          <w:rFonts w:ascii="Arial" w:hAnsi="Arial"/>
          <w:sz w:val="16"/>
        </w:rPr>
        <w:t>089.24  مأموریت‌های اصلی فرماندهی شامل عملیات هوایی میدان نبرد است. پشتیبانی رزمی چابک؛ دفاع داخلی خارجی هوانوردی؛ عملیات اطلاعاتی/عملیات پشتیبانی اطلاعات نظامی؛ ضربه دقیق؛ تحرک هوایی تخصصی؛ فرماندهی و کنترل؛ و اطلاعات، مراقبت و شناسایی.</w:t>
      </w:r>
    </w:p>
    <w:p>
      <w:pPr>
        <w:spacing w:after="28" w:line="216" w:lineRule="auto"/>
        <w:ind w:left="259"/>
        <w:jc w:val="left"/>
      </w:pPr>
      <w:r>
        <w:rPr>
          <w:rFonts w:ascii="Arial" w:hAnsi="Arial"/>
          <w:color w:val="525252"/>
          <w:sz w:val="13"/>
        </w:rPr>
        <w:t>The command's core missions include battlefield air operations; agile combat support; aviation foreign internal defense; information operations/military information support operations; precision strike; specialized air mobility; command and control; and intelligence, surveillance, and reconnaissance.</w:t>
      </w:r>
    </w:p>
    <w:p>
      <w:pPr>
        <w:spacing w:after="20" w:line="223" w:lineRule="auto"/>
        <w:jc w:val="right"/>
        <w:bidi/>
      </w:pPr>
      <w:r>
        <w:rPr>
          <w:rFonts w:ascii="Arial" w:hAnsi="Arial"/>
          <w:sz w:val="16"/>
        </w:rPr>
        <w:t>089.25  اولویت‌های AFSOC اطمینان از آمادگی برای اجرای عملیات ویژه جهانی امروز، تغییر نیرو و ناوگان ما برای حفظ ارتباط فردا و سرمایه گذاری در انعطاف پذیری نیرو، خانواده و روابط ما همیشه است.</w:t>
      </w:r>
    </w:p>
    <w:p>
      <w:pPr>
        <w:spacing w:after="28" w:line="216" w:lineRule="auto"/>
        <w:ind w:left="259"/>
        <w:jc w:val="left"/>
      </w:pPr>
      <w:r>
        <w:rPr>
          <w:rFonts w:ascii="Arial" w:hAnsi="Arial"/>
          <w:color w:val="525252"/>
          <w:sz w:val="13"/>
        </w:rPr>
        <w:t>AFSOC’s priorities are to ensure readiness to execute global special operations today, transform our force and fleet to maintain relevance tomorrow, and invest in the resiliency of our force, family, and relationships always.</w:t>
      </w:r>
    </w:p>
    <w:p>
      <w:pPr>
        <w:spacing w:after="20" w:line="223" w:lineRule="auto"/>
        <w:jc w:val="right"/>
        <w:bidi/>
      </w:pPr>
      <w:r>
        <w:rPr>
          <w:rFonts w:ascii="Arial" w:hAnsi="Arial"/>
          <w:sz w:val="16"/>
        </w:rPr>
        <w:t>089.26  مرکز جنگ هوایی عملیات ویژه نیروی هوایی، که مقر آن در میدان هورلبرت، فلوریدا است، نیروها را برای انجام مأموریت‌های عملیات ویژه سازماندهی، آموزش، آموزش و تجهیز می‌کند. فعالیت‌های جنگی نامنظم MAJCOM را رهبری می‌کند. اجرای آزمون و ارزیابی عملیات ویژه و برنامه‌های آموخته شده. و دکترین، تاکتیک‌ها، تکنیک‌ها و رویه‌ها را برای مأموریت‌های عملیات ویژه نیروی هوایی توسعه می‌دهد.</w:t>
      </w:r>
    </w:p>
    <w:p>
      <w:pPr>
        <w:spacing w:after="28" w:line="216" w:lineRule="auto"/>
        <w:ind w:left="259"/>
        <w:jc w:val="left"/>
      </w:pPr>
      <w:r>
        <w:rPr>
          <w:rFonts w:ascii="Arial" w:hAnsi="Arial"/>
          <w:color w:val="525252"/>
          <w:sz w:val="13"/>
        </w:rPr>
        <w:t>The Air Force Special Operations Air Warfare Center, headquartered at Hurlburt Field, Florida, organizes, trains, educates, and equips forces to conduct special operations missions; leads MAJCOM irregular warfare activities; executes special operations test and evaluation and lessons learned programs; and develops doctrine, tactics, techniques, and procedures for Air Force special operations missions.</w:t>
      </w:r>
    </w:p>
    <w:p>
      <w:pPr>
        <w:spacing w:after="20" w:line="223" w:lineRule="auto"/>
        <w:jc w:val="right"/>
        <w:bidi/>
      </w:pPr>
      <w:r>
        <w:rPr>
          <w:rFonts w:ascii="Arial" w:hAnsi="Arial"/>
          <w:sz w:val="16"/>
        </w:rPr>
        <w:t>089.27  اسکادران‌های تاکتیک ویژه AFSOC کنترلرهای رزمی، ویژه</w:t>
      </w:r>
    </w:p>
    <w:p>
      <w:pPr>
        <w:spacing w:after="28" w:line="216" w:lineRule="auto"/>
        <w:ind w:left="259"/>
        <w:jc w:val="left"/>
      </w:pPr>
      <w:r>
        <w:rPr>
          <w:rFonts w:ascii="Arial" w:hAnsi="Arial"/>
          <w:color w:val="525252"/>
          <w:sz w:val="13"/>
        </w:rPr>
        <w:t>AFSOC’s special tactics squadrons combine combat controllers, special</w:t>
      </w:r>
    </w:p>
    <w:p>
      <w:r>
        <w:br w:type="page"/>
      </w:r>
    </w:p>
    <w:p>
      <w:pPr>
        <w:spacing w:after="60"/>
        <w:jc w:val="right"/>
        <w:bidi/>
      </w:pPr>
      <w:r>
        <w:rPr>
          <w:rFonts w:ascii="Arial" w:hAnsi="Arial"/>
          <w:b/>
          <w:color w:val="1F4D78"/>
          <w:sz w:val="19"/>
        </w:rPr>
        <w:t>هفتهٔ 90  |  صفحهٔ منبع: 106</w:t>
      </w:r>
    </w:p>
    <w:p>
      <w:pPr>
        <w:spacing w:after="20" w:line="223" w:lineRule="auto"/>
        <w:jc w:val="right"/>
        <w:bidi/>
      </w:pPr>
      <w:r>
        <w:rPr>
          <w:rFonts w:ascii="Arial" w:hAnsi="Arial"/>
          <w:sz w:val="16"/>
        </w:rPr>
        <w:t>090.01  متخصصان گروه شناسایی، نجات‌دهنده و کنترل هوایی تاکتیکی با سایر خدمات برای تشکیل تیم‌های عملیات ویژه مشترک همه کاره.</w:t>
      </w:r>
    </w:p>
    <w:p>
      <w:pPr>
        <w:spacing w:after="28" w:line="216" w:lineRule="auto"/>
        <w:ind w:left="259"/>
        <w:jc w:val="left"/>
      </w:pPr>
      <w:r>
        <w:rPr>
          <w:rFonts w:ascii="Arial" w:hAnsi="Arial"/>
          <w:color w:val="525252"/>
          <w:sz w:val="13"/>
        </w:rPr>
        <w:t>reconnaissance, pararescuemen, and tactical air control party specialists with other services to form versatile joint special operations teams.</w:t>
      </w:r>
    </w:p>
    <w:p>
      <w:pPr>
        <w:spacing w:after="20" w:line="223" w:lineRule="auto"/>
        <w:jc w:val="right"/>
        <w:bidi/>
      </w:pPr>
      <w:r>
        <w:rPr>
          <w:rFonts w:ascii="Arial" w:hAnsi="Arial"/>
          <w:sz w:val="16"/>
        </w:rPr>
        <w:t>090.02  AFSOC دارای بیش از ۱۹۵۰۰ عضو نیروی توتال است که منصوب شده‌اند و چندین دارایی بال ثابت و بال چرخشی را اداره می‌کنند.</w:t>
      </w:r>
    </w:p>
    <w:p>
      <w:pPr>
        <w:spacing w:after="28" w:line="216" w:lineRule="auto"/>
        <w:ind w:left="259"/>
        <w:jc w:val="left"/>
      </w:pPr>
      <w:r>
        <w:rPr>
          <w:rFonts w:ascii="Arial" w:hAnsi="Arial"/>
          <w:color w:val="525252"/>
          <w:sz w:val="13"/>
        </w:rPr>
        <w:t>AFSOC has more than 19,500 Total Force members assigned and operates multiple fixed-wing and rotary-wing assets.</w:t>
      </w:r>
    </w:p>
    <w:p>
      <w:pPr>
        <w:spacing w:after="20" w:line="223" w:lineRule="auto"/>
        <w:jc w:val="right"/>
        <w:bidi/>
      </w:pPr>
      <w:r>
        <w:rPr>
          <w:rFonts w:ascii="Arial" w:hAnsi="Arial"/>
          <w:sz w:val="16"/>
        </w:rPr>
        <w:t>090.03  فرماندهی حمله جهانی نیروی هوایی.</w:t>
      </w:r>
    </w:p>
    <w:p>
      <w:pPr>
        <w:spacing w:after="28" w:line="216" w:lineRule="auto"/>
        <w:ind w:left="259"/>
        <w:jc w:val="left"/>
      </w:pPr>
      <w:r>
        <w:rPr>
          <w:rFonts w:ascii="Arial" w:hAnsi="Arial"/>
          <w:color w:val="525252"/>
          <w:sz w:val="13"/>
        </w:rPr>
        <w:t>Air Force Global Strike Command.</w:t>
      </w:r>
    </w:p>
    <w:p>
      <w:pPr>
        <w:spacing w:after="20" w:line="223" w:lineRule="auto"/>
        <w:jc w:val="right"/>
        <w:bidi/>
      </w:pPr>
      <w:r>
        <w:rPr>
          <w:rFonts w:ascii="Arial" w:hAnsi="Arial"/>
          <w:sz w:val="16"/>
        </w:rPr>
        <w:t>090.04  فرماندهی حمله جهانی نیروی هوایی (AFGSC) به‌عنوان یک MAJCOM در ۷ آگوست ۲۰۰۹ فعال شد، مقر آن در پایگاه نیروی هوایی بارکسدیل، لوئیزیانا است و یکی از دو بخش خدمات USAF در فرماندهی استراتژیک ایالات متحده است.</w:t>
      </w:r>
    </w:p>
    <w:p>
      <w:pPr>
        <w:spacing w:after="28" w:line="216" w:lineRule="auto"/>
        <w:ind w:left="259"/>
        <w:jc w:val="left"/>
      </w:pPr>
      <w:r>
        <w:rPr>
          <w:rFonts w:ascii="Arial" w:hAnsi="Arial"/>
          <w:color w:val="525252"/>
          <w:sz w:val="13"/>
        </w:rPr>
        <w:t>Air Force Global Strike Command (AFGSC) was activated as a MAJCOM on 7 August 2009, is headquartered at Barksdale Air Force Base, Louisiana, and is one of two USAF Service Components of U.S. Strategic Command.</w:t>
      </w:r>
    </w:p>
    <w:p>
      <w:pPr>
        <w:spacing w:after="20" w:line="223" w:lineRule="auto"/>
        <w:jc w:val="right"/>
        <w:bidi/>
      </w:pPr>
      <w:r>
        <w:rPr>
          <w:rFonts w:ascii="Arial" w:hAnsi="Arial"/>
          <w:sz w:val="16"/>
        </w:rPr>
        <w:t>090.05  مأموریت AFGSC ارائه بازدارندگی استراتژیک، حمله جهانی و پشتیبانی رزمی در هر زمان و هر مکان است.</w:t>
      </w:r>
    </w:p>
    <w:p>
      <w:pPr>
        <w:spacing w:after="28" w:line="216" w:lineRule="auto"/>
        <w:ind w:left="259"/>
        <w:jc w:val="left"/>
      </w:pPr>
      <w:r>
        <w:rPr>
          <w:rFonts w:ascii="Arial" w:hAnsi="Arial"/>
          <w:color w:val="525252"/>
          <w:sz w:val="13"/>
        </w:rPr>
        <w:t>AFGSC’s mission is to provide strategic deterrence, global strike, and combat support…anytime, anywhere.</w:t>
      </w:r>
    </w:p>
    <w:p>
      <w:pPr>
        <w:spacing w:after="20" w:line="223" w:lineRule="auto"/>
        <w:jc w:val="right"/>
        <w:bidi/>
      </w:pPr>
      <w:r>
        <w:rPr>
          <w:rFonts w:ascii="Arial" w:hAnsi="Arial"/>
          <w:sz w:val="16"/>
        </w:rPr>
        <w:t>090.06  AFGSC مسئول سه بال موشک بالستیک قاره پیما، کل نیروی بمب افکن USAF، برنامه بمب افکن حمله بلند برد، و پشتیبانی عملیاتی و تعمیراتی از سازمان‌های درون شرکت هسته‌ای است.</w:t>
      </w:r>
    </w:p>
    <w:p>
      <w:pPr>
        <w:spacing w:after="28" w:line="216" w:lineRule="auto"/>
        <w:ind w:left="259"/>
        <w:jc w:val="left"/>
      </w:pPr>
      <w:r>
        <w:rPr>
          <w:rFonts w:ascii="Arial" w:hAnsi="Arial"/>
          <w:color w:val="525252"/>
          <w:sz w:val="13"/>
        </w:rPr>
        <w:t>AFGSC is responsible for the nation’s three intercontinental ballistic missile wings, the USAF’s entire bomber force, the Long Range Strike Bomber Program, and operational and maintenance support to organizations within the nuclear enterprise.</w:t>
      </w:r>
    </w:p>
    <w:p>
      <w:pPr>
        <w:spacing w:after="20" w:line="223" w:lineRule="auto"/>
        <w:jc w:val="right"/>
        <w:bidi/>
      </w:pPr>
      <w:r>
        <w:rPr>
          <w:rFonts w:ascii="Arial" w:hAnsi="Arial"/>
          <w:sz w:val="16"/>
        </w:rPr>
        <w:t>090.07  AFGSC نگهبان قوی‌ترین سلاح‌های روی کره زمین است و تأمین‌کننده نیرو برای دو پایه سه‌گانه هسته‌ای است.</w:t>
      </w:r>
    </w:p>
    <w:p>
      <w:pPr>
        <w:spacing w:after="28" w:line="216" w:lineRule="auto"/>
        <w:ind w:left="259"/>
        <w:jc w:val="left"/>
      </w:pPr>
      <w:r>
        <w:rPr>
          <w:rFonts w:ascii="Arial" w:hAnsi="Arial"/>
          <w:color w:val="525252"/>
          <w:sz w:val="13"/>
        </w:rPr>
        <w:t>AFGSC is the guardian of the most powerful weapons on the planet and is the force provider for two legs of the nuclear triad.</w:t>
      </w:r>
    </w:p>
    <w:p>
      <w:pPr>
        <w:spacing w:after="20" w:line="223" w:lineRule="auto"/>
        <w:jc w:val="right"/>
        <w:bidi/>
      </w:pPr>
      <w:r>
        <w:rPr>
          <w:rFonts w:ascii="Arial" w:hAnsi="Arial"/>
          <w:sz w:val="16"/>
        </w:rPr>
        <w:t>090.08  نیروی موشک بالستیک قاره پیمای AFGSC به صورت شبانه روزی برای پاسخ به تماس رئیس جمهور ایالات متحده مستقر است، درست مانند بیش از ۵۰ سال.</w:t>
      </w:r>
    </w:p>
    <w:p>
      <w:pPr>
        <w:spacing w:after="28" w:line="216" w:lineRule="auto"/>
        <w:ind w:left="259"/>
        <w:jc w:val="left"/>
      </w:pPr>
      <w:r>
        <w:rPr>
          <w:rFonts w:ascii="Arial" w:hAnsi="Arial"/>
          <w:color w:val="525252"/>
          <w:sz w:val="13"/>
        </w:rPr>
        <w:t>AFGSC’s intercontinental ballistic missile force is postured around the clock to answer the U.S. President’s call, just as it has been for over 50 years.</w:t>
      </w:r>
    </w:p>
    <w:p>
      <w:pPr>
        <w:spacing w:after="20" w:line="223" w:lineRule="auto"/>
        <w:jc w:val="right"/>
        <w:bidi/>
      </w:pPr>
      <w:r>
        <w:rPr>
          <w:rFonts w:ascii="Arial" w:hAnsi="Arial"/>
          <w:sz w:val="16"/>
        </w:rPr>
        <w:t>090.09  ناوگان بمب افکن AFGSC برای بازدارندگی هسته‌ای و حمله جهانی متعارف آماده و مجهز است.</w:t>
      </w:r>
    </w:p>
    <w:p>
      <w:pPr>
        <w:spacing w:after="28" w:line="216" w:lineRule="auto"/>
        <w:ind w:left="259"/>
        <w:jc w:val="left"/>
      </w:pPr>
      <w:r>
        <w:rPr>
          <w:rFonts w:ascii="Arial" w:hAnsi="Arial"/>
          <w:color w:val="525252"/>
          <w:sz w:val="13"/>
        </w:rPr>
        <w:t>AFGSC’s bomber fleet remains prepared and equipped for nuclear deterrence and conventional global strike.</w:t>
      </w:r>
    </w:p>
    <w:p>
      <w:pPr>
        <w:spacing w:after="20" w:line="223" w:lineRule="auto"/>
        <w:jc w:val="right"/>
        <w:bidi/>
      </w:pPr>
      <w:r>
        <w:rPr>
          <w:rFonts w:ascii="Arial" w:hAnsi="Arial"/>
          <w:sz w:val="16"/>
        </w:rPr>
        <w:t>090.10  تقریبا ۳۱۰۰۰ متخصص به دو نیروی هوایی شماره دار، ۹ بال، دو اسکادران جدا از هم جغرافیایی، یک یگان در قاره ایالات متحده، و در سراسر جهان مستقر شده‌اند.</w:t>
      </w:r>
    </w:p>
    <w:p>
      <w:pPr>
        <w:spacing w:after="28" w:line="216" w:lineRule="auto"/>
        <w:ind w:left="259"/>
        <w:jc w:val="left"/>
      </w:pPr>
      <w:r>
        <w:rPr>
          <w:rFonts w:ascii="Arial" w:hAnsi="Arial"/>
          <w:color w:val="525252"/>
          <w:sz w:val="13"/>
        </w:rPr>
        <w:t>Approximately 31,000 professionals are assigned to two Numbered Air Forces, nine wings, two geographically separated squadrons, one detachment in the Continental United States, and deployed around the globe.</w:t>
      </w:r>
    </w:p>
    <w:p>
      <w:pPr>
        <w:spacing w:after="20" w:line="223" w:lineRule="auto"/>
        <w:jc w:val="right"/>
        <w:bidi/>
      </w:pPr>
      <w:r>
        <w:rPr>
          <w:rFonts w:ascii="Arial" w:hAnsi="Arial"/>
          <w:sz w:val="16"/>
        </w:rPr>
        <w:t>090.11  فرماندهی ذخیره نیروی هوایی.</w:t>
      </w:r>
    </w:p>
    <w:p>
      <w:pPr>
        <w:spacing w:after="28" w:line="216" w:lineRule="auto"/>
        <w:ind w:left="259"/>
        <w:jc w:val="left"/>
      </w:pPr>
      <w:r>
        <w:rPr>
          <w:rFonts w:ascii="Arial" w:hAnsi="Arial"/>
          <w:color w:val="525252"/>
          <w:sz w:val="13"/>
        </w:rPr>
        <w:t>Air Force Reserve Command.</w:t>
      </w:r>
    </w:p>
    <w:p>
      <w:pPr>
        <w:spacing w:after="20" w:line="223" w:lineRule="auto"/>
        <w:jc w:val="right"/>
        <w:bidi/>
      </w:pPr>
      <w:r>
        <w:rPr>
          <w:rFonts w:ascii="Arial" w:hAnsi="Arial"/>
          <w:sz w:val="16"/>
        </w:rPr>
        <w:t>090.12  فرماندهی رزرو نیروی هوایی (AFRC) به‌عنوان MAJCOM در ۱۷ فوریه ۱۹۹۷ فعال شد و مقر آن در پایگاه نیروی هوایی رابینز، جورجیا است.</w:t>
      </w:r>
    </w:p>
    <w:p>
      <w:pPr>
        <w:spacing w:after="28" w:line="216" w:lineRule="auto"/>
        <w:ind w:left="259"/>
        <w:jc w:val="left"/>
      </w:pPr>
      <w:r>
        <w:rPr>
          <w:rFonts w:ascii="Arial" w:hAnsi="Arial"/>
          <w:color w:val="525252"/>
          <w:sz w:val="13"/>
        </w:rPr>
        <w:t>Air Force Reserve Command (AFRC) was activated as a MAJCOM on 17 February 1997, and is headquartered at Robins Air Force Base, Georgia.</w:t>
      </w:r>
    </w:p>
    <w:p>
      <w:pPr>
        <w:spacing w:after="20" w:line="223" w:lineRule="auto"/>
        <w:jc w:val="right"/>
        <w:bidi/>
      </w:pPr>
      <w:r>
        <w:rPr>
          <w:rFonts w:ascii="Arial" w:hAnsi="Arial"/>
          <w:sz w:val="16"/>
        </w:rPr>
        <w:t>090.13  مأموریت AFRC فراهم کردن نیروهای آماده جنگ برای پرواز، جنگ و پیروزی است.</w:t>
      </w:r>
    </w:p>
    <w:p>
      <w:pPr>
        <w:spacing w:after="28" w:line="216" w:lineRule="auto"/>
        <w:ind w:left="259"/>
        <w:jc w:val="left"/>
      </w:pPr>
      <w:r>
        <w:rPr>
          <w:rFonts w:ascii="Arial" w:hAnsi="Arial"/>
          <w:color w:val="525252"/>
          <w:sz w:val="13"/>
        </w:rPr>
        <w:t>AFRC’s mission is to provide combat-ready forces to fly, fight, and win.</w:t>
      </w:r>
    </w:p>
    <w:p>
      <w:pPr>
        <w:spacing w:after="20" w:line="223" w:lineRule="auto"/>
        <w:jc w:val="right"/>
        <w:bidi/>
      </w:pPr>
      <w:r>
        <w:rPr>
          <w:rFonts w:ascii="Arial" w:hAnsi="Arial"/>
          <w:sz w:val="16"/>
        </w:rPr>
        <w:t>090.14  AFRC تقریبا ۲۰ درصد از کل نیرو را برای حدود ۵ درصد از بودجه نیروی انسانی به USAF ارائه می‌دهد.</w:t>
      </w:r>
    </w:p>
    <w:p>
      <w:pPr>
        <w:spacing w:after="28" w:line="216" w:lineRule="auto"/>
        <w:ind w:left="259"/>
        <w:jc w:val="left"/>
      </w:pPr>
      <w:r>
        <w:rPr>
          <w:rFonts w:ascii="Arial" w:hAnsi="Arial"/>
          <w:color w:val="525252"/>
          <w:sz w:val="13"/>
        </w:rPr>
        <w:t>AFRC provides the USAF approximately 20 percent of the Total Force for about 5 percent of the manpower budget.</w:t>
      </w:r>
    </w:p>
    <w:p>
      <w:pPr>
        <w:spacing w:after="20" w:line="223" w:lineRule="auto"/>
        <w:jc w:val="right"/>
        <w:bidi/>
      </w:pPr>
      <w:r>
        <w:rPr>
          <w:rFonts w:ascii="Arial" w:hAnsi="Arial"/>
          <w:sz w:val="16"/>
        </w:rPr>
        <w:t>090.15  قابلیت‌ها شامل عملیات بازدارندگی هسته‌ای است. برتری هوا و فضای مجازی؛ فرماندهی و کنترل؛ شناسایی جاسوسی یکپارچه جهانی؛ حمله دقیق جهانی؛ عملیات ویژه؛ تحرک سریع جهانی؛ و بازیابی پرسنل</w:t>
      </w:r>
    </w:p>
    <w:p>
      <w:pPr>
        <w:spacing w:after="28" w:line="216" w:lineRule="auto"/>
        <w:ind w:left="259"/>
        <w:jc w:val="left"/>
      </w:pPr>
      <w:r>
        <w:rPr>
          <w:rFonts w:ascii="Arial" w:hAnsi="Arial"/>
          <w:color w:val="525252"/>
          <w:sz w:val="13"/>
        </w:rPr>
        <w:t>Capabilities include nuclear deterrence operations; air and cyberspace superiority; command and control; global integrated intelligence surveillance reconnaissance; global precision attack; special operations; rapid global mobility; and personnel recovery.</w:t>
      </w:r>
    </w:p>
    <w:p>
      <w:pPr>
        <w:spacing w:after="20" w:line="223" w:lineRule="auto"/>
        <w:jc w:val="right"/>
        <w:bidi/>
      </w:pPr>
      <w:r>
        <w:rPr>
          <w:rFonts w:ascii="Arial" w:hAnsi="Arial"/>
          <w:sz w:val="16"/>
        </w:rPr>
        <w:t>090.16  AFRC همچنین عملیات فضایی، آزمایش پرواز هواپیما، عملیات بندر هوایی، مهندس عمران، نیروهای امنیتی، آموزش نظامی، ارتباطات، پشتیبانی تحرک، حمل و نقل و مأموریت‌های خدماتی را انجام می‌دهد.</w:t>
      </w:r>
    </w:p>
    <w:p>
      <w:pPr>
        <w:spacing w:after="28" w:line="216" w:lineRule="auto"/>
        <w:ind w:left="259"/>
        <w:jc w:val="left"/>
      </w:pPr>
      <w:r>
        <w:rPr>
          <w:rFonts w:ascii="Arial" w:hAnsi="Arial"/>
          <w:color w:val="525252"/>
          <w:sz w:val="13"/>
        </w:rPr>
        <w:t>AFRC also perform space operations, aircraft flight testing, aerial port operations, civil engineer, security forces, military training, communications, mobility support, transportation, and services missions.</w:t>
      </w:r>
    </w:p>
    <w:p>
      <w:pPr>
        <w:spacing w:after="20" w:line="223" w:lineRule="auto"/>
        <w:jc w:val="right"/>
        <w:bidi/>
      </w:pPr>
      <w:r>
        <w:rPr>
          <w:rFonts w:ascii="Arial" w:hAnsi="Arial"/>
          <w:sz w:val="16"/>
        </w:rPr>
        <w:t>090.17  فرمانده AFRC مسئول سازماندهی، آموزش و تجهیز کلیه واحدهای رزرو USAF است.</w:t>
      </w:r>
    </w:p>
    <w:p>
      <w:pPr>
        <w:spacing w:after="28" w:line="216" w:lineRule="auto"/>
        <w:ind w:left="259"/>
        <w:jc w:val="left"/>
      </w:pPr>
      <w:r>
        <w:rPr>
          <w:rFonts w:ascii="Arial" w:hAnsi="Arial"/>
          <w:color w:val="525252"/>
          <w:sz w:val="13"/>
        </w:rPr>
        <w:t>The commander of AFRC is responsible for organizing, training, and equipping all USAF Reserve units.</w:t>
      </w:r>
    </w:p>
    <w:p>
      <w:pPr>
        <w:spacing w:after="20" w:line="223" w:lineRule="auto"/>
        <w:jc w:val="right"/>
        <w:bidi/>
      </w:pPr>
      <w:r>
        <w:rPr>
          <w:rFonts w:ascii="Arial" w:hAnsi="Arial"/>
          <w:sz w:val="16"/>
        </w:rPr>
        <w:t>090.18  به‌طور کلی، AFRC از سه نیروی هوایی شماره‌دار، یک مرکز تولید نیرو، مرکز پرسنل رزرو هوایی، ۳۵ بال، ۱۰ گروه مستقل، واحدهای پشتیبانی مأموریت‌های مختلف، و مکان‌ها و محدوده‌های متفرقه دیگر تشکیل شده است.</w:t>
      </w:r>
    </w:p>
    <w:p>
      <w:pPr>
        <w:spacing w:after="28" w:line="216" w:lineRule="auto"/>
        <w:ind w:left="259"/>
        <w:jc w:val="left"/>
      </w:pPr>
      <w:r>
        <w:rPr>
          <w:rFonts w:ascii="Arial" w:hAnsi="Arial"/>
          <w:color w:val="525252"/>
          <w:sz w:val="13"/>
        </w:rPr>
        <w:t>Overall, AFRC is composed of three Numbered Air Forces, a Force Generation Center, the Air Reserve Personnel Center, 35 wings, 10 independent groups, various mission support units, and additional miscellaneous locations and ranges.</w:t>
      </w:r>
    </w:p>
    <w:p>
      <w:pPr>
        <w:spacing w:after="20" w:line="223" w:lineRule="auto"/>
        <w:jc w:val="right"/>
        <w:bidi/>
      </w:pPr>
      <w:r>
        <w:rPr>
          <w:rFonts w:ascii="Arial" w:hAnsi="Arial"/>
          <w:sz w:val="16"/>
        </w:rPr>
        <w:t>090.19  AFRC نزدیک به ۷۴۷۱۸ عضو نیروی کل دارد که برای انجام خواسته‌های مأموریت متنوع خود تعیین شده‌اند.</w:t>
      </w:r>
    </w:p>
    <w:p>
      <w:pPr>
        <w:spacing w:after="28" w:line="216" w:lineRule="auto"/>
        <w:ind w:left="259"/>
        <w:jc w:val="left"/>
      </w:pPr>
      <w:r>
        <w:rPr>
          <w:rFonts w:ascii="Arial" w:hAnsi="Arial"/>
          <w:color w:val="525252"/>
          <w:sz w:val="13"/>
        </w:rPr>
        <w:t>AFRC has nearly 74,718 Total Force members assigned to accomplish the demands of its diverse mission.</w:t>
      </w:r>
    </w:p>
    <w:p>
      <w:pPr>
        <w:spacing w:before="60" w:after="28"/>
        <w:jc w:val="right"/>
        <w:bidi/>
      </w:pPr>
      <w:r>
        <w:rPr>
          <w:b/>
          <w:color w:val="1F4D78"/>
          <w:sz w:val="18"/>
        </w:rPr>
        <w:t>5.16. سطوح زیردست فرماندهی و مسئولیت</w:t>
      </w:r>
    </w:p>
    <w:p>
      <w:pPr>
        <w:spacing w:after="20"/>
        <w:ind w:left="259"/>
        <w:jc w:val="left"/>
      </w:pPr>
      <w:r>
        <w:rPr>
          <w:color w:val="555555"/>
          <w:sz w:val="12"/>
        </w:rPr>
        <w:t>5.16. Subordinate Levels of Command and Responsibility</w:t>
      </w:r>
    </w:p>
    <w:p>
      <w:pPr>
        <w:spacing w:after="20" w:line="223" w:lineRule="auto"/>
        <w:jc w:val="right"/>
        <w:bidi/>
      </w:pPr>
      <w:r>
        <w:rPr>
          <w:rFonts w:ascii="Arial" w:hAnsi="Arial"/>
          <w:sz w:val="16"/>
        </w:rPr>
        <w:t>090.21  در زیر MAJCOM چندین سطح فرماندهی زیردست ساختار یافته وجود دارد که هر کدام به ترتیب دارای هدف مشخص و مسئولیت‌های تعیین شده برای انجام هستند، همانطور که در اینجا به اختصار توضیح داده شده است.</w:t>
      </w:r>
    </w:p>
    <w:p>
      <w:pPr>
        <w:spacing w:after="28" w:line="216" w:lineRule="auto"/>
        <w:ind w:left="259"/>
        <w:jc w:val="left"/>
      </w:pPr>
      <w:r>
        <w:rPr>
          <w:rFonts w:ascii="Arial" w:hAnsi="Arial"/>
          <w:color w:val="525252"/>
          <w:sz w:val="13"/>
        </w:rPr>
        <w:t>Below MAJCOMs are several structured subordinate levels of command, each with an established purpose and assigned responsibilities to be carried out respectively, as briefly described here.</w:t>
      </w:r>
    </w:p>
    <w:p>
      <w:pPr>
        <w:spacing w:after="20" w:line="223" w:lineRule="auto"/>
        <w:jc w:val="right"/>
        <w:bidi/>
      </w:pPr>
      <w:r>
        <w:rPr>
          <w:rFonts w:ascii="Arial" w:hAnsi="Arial"/>
          <w:sz w:val="16"/>
        </w:rPr>
        <w:t>090.22  برای جزئیات بیشتر در مورد سطوح فرماندهی USAF، به AFI ۳۸-۱۰۱ مراجعه کنید.</w:t>
      </w:r>
    </w:p>
    <w:p>
      <w:pPr>
        <w:spacing w:after="28" w:line="216" w:lineRule="auto"/>
        <w:ind w:left="259"/>
        <w:jc w:val="left"/>
      </w:pPr>
      <w:r>
        <w:rPr>
          <w:rFonts w:ascii="Arial" w:hAnsi="Arial"/>
          <w:color w:val="525252"/>
          <w:sz w:val="13"/>
        </w:rPr>
        <w:t>For additional details on USAF levels of command, refer to AFI 38-101.</w:t>
      </w:r>
    </w:p>
    <w:p>
      <w:pPr>
        <w:spacing w:after="20" w:line="223" w:lineRule="auto"/>
        <w:jc w:val="right"/>
        <w:bidi/>
      </w:pPr>
      <w:r>
        <w:rPr>
          <w:rFonts w:ascii="Arial" w:hAnsi="Arial"/>
          <w:sz w:val="16"/>
        </w:rPr>
        <w:t>090.23  شماره نیروی هوایی.</w:t>
      </w:r>
    </w:p>
    <w:p>
      <w:pPr>
        <w:spacing w:after="28" w:line="216" w:lineRule="auto"/>
        <w:ind w:left="259"/>
        <w:jc w:val="left"/>
      </w:pPr>
      <w:r>
        <w:rPr>
          <w:rFonts w:ascii="Arial" w:hAnsi="Arial"/>
          <w:color w:val="525252"/>
          <w:sz w:val="13"/>
        </w:rPr>
        <w:t>Numbered Air Force.</w:t>
      </w:r>
    </w:p>
    <w:p>
      <w:pPr>
        <w:spacing w:after="20" w:line="223" w:lineRule="auto"/>
        <w:jc w:val="right"/>
        <w:bidi/>
      </w:pPr>
      <w:r>
        <w:rPr>
          <w:rFonts w:ascii="Arial" w:hAnsi="Arial"/>
          <w:sz w:val="16"/>
        </w:rPr>
        <w:t>090.24  نیروی هوایی شماره‌دار (NAF) یک سطح اداری فرماندهی است که مستقیما تحت یک MAJCOM است.</w:t>
      </w:r>
    </w:p>
    <w:p>
      <w:pPr>
        <w:spacing w:after="28" w:line="216" w:lineRule="auto"/>
        <w:ind w:left="259"/>
        <w:jc w:val="left"/>
      </w:pPr>
      <w:r>
        <w:rPr>
          <w:rFonts w:ascii="Arial" w:hAnsi="Arial"/>
          <w:color w:val="525252"/>
          <w:sz w:val="13"/>
        </w:rPr>
        <w:t>The Numbered Air Force (NAF) is an administrative level of command directly under a MAJCOM.</w:t>
      </w:r>
    </w:p>
    <w:p>
      <w:pPr>
        <w:spacing w:after="20" w:line="223" w:lineRule="auto"/>
        <w:jc w:val="right"/>
        <w:bidi/>
      </w:pPr>
      <w:r>
        <w:rPr>
          <w:rFonts w:ascii="Arial" w:hAnsi="Arial"/>
          <w:sz w:val="16"/>
        </w:rPr>
        <w:t>090.25  NAF ها رهبری و نظارت عملیاتی سطح متوسط ​​را ارائه می‌دهند.</w:t>
      </w:r>
    </w:p>
    <w:p>
      <w:pPr>
        <w:spacing w:after="28" w:line="216" w:lineRule="auto"/>
        <w:ind w:left="259"/>
        <w:jc w:val="left"/>
      </w:pPr>
      <w:r>
        <w:rPr>
          <w:rFonts w:ascii="Arial" w:hAnsi="Arial"/>
          <w:color w:val="525252"/>
          <w:sz w:val="13"/>
        </w:rPr>
        <w:t>NAFs provide intermediate level operational leadership and supervision.</w:t>
      </w:r>
    </w:p>
    <w:p>
      <w:pPr>
        <w:spacing w:after="20" w:line="223" w:lineRule="auto"/>
        <w:jc w:val="right"/>
        <w:bidi/>
      </w:pPr>
      <w:r>
        <w:rPr>
          <w:rFonts w:ascii="Arial" w:hAnsi="Arial"/>
          <w:sz w:val="16"/>
        </w:rPr>
        <w:t>090.26  کارکنان عملکردی کاملی ندارند.</w:t>
      </w:r>
    </w:p>
    <w:p>
      <w:pPr>
        <w:spacing w:after="28" w:line="216" w:lineRule="auto"/>
        <w:ind w:left="259"/>
        <w:jc w:val="left"/>
      </w:pPr>
      <w:r>
        <w:rPr>
          <w:rFonts w:ascii="Arial" w:hAnsi="Arial"/>
          <w:color w:val="525252"/>
          <w:sz w:val="13"/>
        </w:rPr>
        <w:t>They do not have complete functional staffs.</w:t>
      </w:r>
    </w:p>
    <w:p>
      <w:pPr>
        <w:spacing w:after="20" w:line="223" w:lineRule="auto"/>
        <w:jc w:val="right"/>
        <w:bidi/>
      </w:pPr>
      <w:r>
        <w:rPr>
          <w:rFonts w:ascii="Arial" w:hAnsi="Arial"/>
          <w:sz w:val="16"/>
        </w:rPr>
        <w:t>090.27  در NAFهای غیر جزء، تعداد پرسنل اختصاص داده شده متفاوت است اما نباید از ۹۹ مجوز نیروی انسانی بدون معافیت تأیید شده تجاوز کند.</w:t>
      </w:r>
    </w:p>
    <w:p>
      <w:pPr>
        <w:spacing w:after="28" w:line="216" w:lineRule="auto"/>
        <w:ind w:left="259"/>
        <w:jc w:val="left"/>
      </w:pPr>
      <w:r>
        <w:rPr>
          <w:rFonts w:ascii="Arial" w:hAnsi="Arial"/>
          <w:color w:val="525252"/>
          <w:sz w:val="13"/>
        </w:rPr>
        <w:t>In non-component NAFs, the number of personnel assigned varies but should not exceed 99 manpower authorizations without an approved waiver.</w:t>
      </w:r>
    </w:p>
    <w:p>
      <w:pPr>
        <w:spacing w:after="20" w:line="223" w:lineRule="auto"/>
        <w:jc w:val="right"/>
        <w:bidi/>
      </w:pPr>
      <w:r>
        <w:rPr>
          <w:rFonts w:ascii="Arial" w:hAnsi="Arial"/>
          <w:sz w:val="16"/>
        </w:rPr>
        <w:t>090.28  به یک NAF واحدهای تابعی مانند بالها، گروهها و اسکادران اختصاص داده شده است.</w:t>
      </w:r>
    </w:p>
    <w:p>
      <w:pPr>
        <w:spacing w:after="28" w:line="216" w:lineRule="auto"/>
        <w:ind w:left="259"/>
        <w:jc w:val="left"/>
      </w:pPr>
      <w:r>
        <w:rPr>
          <w:rFonts w:ascii="Arial" w:hAnsi="Arial"/>
          <w:color w:val="525252"/>
          <w:sz w:val="13"/>
        </w:rPr>
        <w:t>A NAF is assigned subordinate units, such as wings, groups, and squadrons.</w:t>
      </w:r>
    </w:p>
    <w:p>
      <w:pPr>
        <w:spacing w:after="20" w:line="223" w:lineRule="auto"/>
        <w:jc w:val="right"/>
        <w:bidi/>
      </w:pPr>
      <w:r>
        <w:rPr>
          <w:rFonts w:ascii="Arial" w:hAnsi="Arial"/>
          <w:sz w:val="16"/>
        </w:rPr>
        <w:t>090.29  نیروی هوایی شماره‌گذاری شده/نام اجزای USAF.</w:t>
      </w:r>
    </w:p>
    <w:p>
      <w:pPr>
        <w:spacing w:after="28" w:line="216" w:lineRule="auto"/>
        <w:ind w:left="259"/>
        <w:jc w:val="left"/>
      </w:pPr>
      <w:r>
        <w:rPr>
          <w:rFonts w:ascii="Arial" w:hAnsi="Arial"/>
          <w:color w:val="525252"/>
          <w:sz w:val="13"/>
        </w:rPr>
        <w:t>USAF Component Numbered/Named Air Forces.</w:t>
      </w:r>
    </w:p>
    <w:p>
      <w:pPr>
        <w:spacing w:after="20" w:line="223" w:lineRule="auto"/>
        <w:jc w:val="right"/>
        <w:bidi/>
      </w:pPr>
      <w:r>
        <w:rPr>
          <w:rFonts w:ascii="Arial" w:hAnsi="Arial"/>
          <w:sz w:val="16"/>
        </w:rPr>
        <w:t>090.30  یک NAF جزء (ک-NAF)، که به‌عنوان ستاد جنگی شناخته می‌شود، برای انجام یک مأموریت عملیاتی و جنگی در حمایت از یک فرمانده نیروی مشترک ساخته شده است.</w:t>
      </w:r>
    </w:p>
    <w:p>
      <w:pPr>
        <w:spacing w:after="28" w:line="216" w:lineRule="auto"/>
        <w:ind w:left="259"/>
        <w:jc w:val="left"/>
      </w:pPr>
      <w:r>
        <w:rPr>
          <w:rFonts w:ascii="Arial" w:hAnsi="Arial"/>
          <w:color w:val="525252"/>
          <w:sz w:val="13"/>
        </w:rPr>
        <w:t>A Component NAF (C-NAF), nicknamed as warfighting headquarters, is structured to perform an operational and warfighting mission in support of a Joint Force Commander.</w:t>
      </w:r>
    </w:p>
    <w:p>
      <w:pPr>
        <w:spacing w:after="20" w:line="223" w:lineRule="auto"/>
        <w:jc w:val="right"/>
        <w:bidi/>
      </w:pPr>
      <w:r>
        <w:rPr>
          <w:rFonts w:ascii="Arial" w:hAnsi="Arial"/>
          <w:sz w:val="16"/>
        </w:rPr>
        <w:t>090.31  ۱۰ فروند ک-NAF USAF، دستورات اولیه اجزای جنگی در سطح عملیاتی هستند.</w:t>
      </w:r>
    </w:p>
    <w:p>
      <w:pPr>
        <w:spacing w:after="28" w:line="216" w:lineRule="auto"/>
        <w:ind w:left="259"/>
        <w:jc w:val="left"/>
      </w:pPr>
      <w:r>
        <w:rPr>
          <w:rFonts w:ascii="Arial" w:hAnsi="Arial"/>
          <w:color w:val="525252"/>
          <w:sz w:val="13"/>
        </w:rPr>
        <w:t>The 10 USAF C-NAFs are the primary operational-level warfighting component commands.</w:t>
      </w:r>
    </w:p>
    <w:p>
      <w:pPr>
        <w:spacing w:after="20" w:line="223" w:lineRule="auto"/>
        <w:jc w:val="right"/>
        <w:bidi/>
      </w:pPr>
      <w:r>
        <w:rPr>
          <w:rFonts w:ascii="Arial" w:hAnsi="Arial"/>
          <w:sz w:val="16"/>
        </w:rPr>
        <w:t>090.32  مقر ک-NAF معمولا متشکل از یک کارمند نیروی هوایی و یک مرکز یا مرکز عملیات هوایی و فضایی است.</w:t>
      </w:r>
    </w:p>
    <w:p>
      <w:pPr>
        <w:spacing w:after="28" w:line="216" w:lineRule="auto"/>
        <w:ind w:left="259"/>
        <w:jc w:val="left"/>
      </w:pPr>
      <w:r>
        <w:rPr>
          <w:rFonts w:ascii="Arial" w:hAnsi="Arial"/>
          <w:color w:val="525252"/>
          <w:sz w:val="13"/>
        </w:rPr>
        <w:t>The C-NAF headquarters normally consists of an Air Force Forces staff and an assigned air and space operations center or operations center.</w:t>
      </w:r>
    </w:p>
    <w:p>
      <w:pPr>
        <w:spacing w:after="20" w:line="223" w:lineRule="auto"/>
        <w:jc w:val="right"/>
        <w:bidi/>
      </w:pPr>
      <w:r>
        <w:rPr>
          <w:rFonts w:ascii="Arial" w:hAnsi="Arial"/>
          <w:sz w:val="16"/>
        </w:rPr>
        <w:t>090.33  آنها به حمایت از CCDR متحد و فرماندهان نیروی مشترک تابعه در سراسر طیف کامل عملیات نظامی اختصاص دارند.</w:t>
      </w:r>
    </w:p>
    <w:p>
      <w:pPr>
        <w:spacing w:after="28" w:line="216" w:lineRule="auto"/>
        <w:ind w:left="259"/>
        <w:jc w:val="left"/>
      </w:pPr>
      <w:r>
        <w:rPr>
          <w:rFonts w:ascii="Arial" w:hAnsi="Arial"/>
          <w:color w:val="525252"/>
          <w:sz w:val="13"/>
        </w:rPr>
        <w:t>They are dedicated to supporting the unified CCDR and subordinate Joint Force Commanders across the full range of military operations.</w:t>
      </w:r>
    </w:p>
    <w:p>
      <w:pPr>
        <w:spacing w:after="20" w:line="223" w:lineRule="auto"/>
        <w:jc w:val="right"/>
        <w:bidi/>
      </w:pPr>
      <w:r>
        <w:rPr>
          <w:rFonts w:ascii="Arial" w:hAnsi="Arial"/>
          <w:sz w:val="16"/>
        </w:rPr>
        <w:t>090.34  فرمانده ک-NAF که به‌عنوان فرمانده نیروی هوایی منصوب شد</w:t>
      </w:r>
    </w:p>
    <w:p>
      <w:pPr>
        <w:spacing w:after="28" w:line="216" w:lineRule="auto"/>
        <w:ind w:left="259"/>
        <w:jc w:val="left"/>
      </w:pPr>
      <w:r>
        <w:rPr>
          <w:rFonts w:ascii="Arial" w:hAnsi="Arial"/>
          <w:color w:val="525252"/>
          <w:sz w:val="13"/>
        </w:rPr>
        <w:t>The C-NAF commander, assigned as the Commander of Air</w:t>
      </w:r>
    </w:p>
    <w:p>
      <w:r>
        <w:br w:type="page"/>
      </w:r>
    </w:p>
    <w:p>
      <w:pPr>
        <w:spacing w:after="60"/>
        <w:jc w:val="right"/>
        <w:bidi/>
      </w:pPr>
      <w:r>
        <w:rPr>
          <w:rFonts w:ascii="Arial" w:hAnsi="Arial"/>
          <w:b/>
          <w:color w:val="1F4D78"/>
          <w:sz w:val="19"/>
        </w:rPr>
        <w:t>هفتهٔ 91  |  صفحهٔ منبع: 107</w:t>
      </w:r>
    </w:p>
    <w:p>
      <w:pPr>
        <w:spacing w:after="20" w:line="223" w:lineRule="auto"/>
        <w:jc w:val="right"/>
        <w:bidi/>
      </w:pPr>
      <w:r>
        <w:rPr>
          <w:rFonts w:ascii="Arial" w:hAnsi="Arial"/>
          <w:sz w:val="16"/>
        </w:rPr>
        <w:t>091.01  نیروهای نیرو در یک CCMD جغرافیایی، معمولا به‌عنوان فرمانده بخش هوایی نیروی مشترک تئاتر نیز تعیین می‌شوند.</w:t>
      </w:r>
    </w:p>
    <w:p>
      <w:pPr>
        <w:spacing w:after="28" w:line="216" w:lineRule="auto"/>
        <w:ind w:left="259"/>
        <w:jc w:val="left"/>
      </w:pPr>
      <w:r>
        <w:rPr>
          <w:rFonts w:ascii="Arial" w:hAnsi="Arial"/>
          <w:color w:val="525252"/>
          <w:sz w:val="13"/>
        </w:rPr>
        <w:t>Force Forces to a geographic CCMD, will normally also be designated as the theater Joint Force Air Component Commander.</w:t>
      </w:r>
    </w:p>
    <w:p>
      <w:pPr>
        <w:spacing w:after="20" w:line="223" w:lineRule="auto"/>
        <w:jc w:val="right"/>
        <w:bidi/>
      </w:pPr>
      <w:r>
        <w:rPr>
          <w:rFonts w:ascii="Arial" w:hAnsi="Arial"/>
          <w:sz w:val="16"/>
        </w:rPr>
        <w:t>091.02  یک فرمانده ک-NAF نیز ممکن است توسط فرمانده جزء برای فرماندهی یک گروه عملیات مشترک، در صورت لزوم، تعیین شود.</w:t>
      </w:r>
    </w:p>
    <w:p>
      <w:pPr>
        <w:spacing w:after="28" w:line="216" w:lineRule="auto"/>
        <w:ind w:left="259"/>
        <w:jc w:val="left"/>
      </w:pPr>
      <w:r>
        <w:rPr>
          <w:rFonts w:ascii="Arial" w:hAnsi="Arial"/>
          <w:color w:val="525252"/>
          <w:sz w:val="13"/>
        </w:rPr>
        <w:t>A C-NAF commander may also be designated by the component commander to command a joint task force, as required.</w:t>
      </w:r>
    </w:p>
    <w:p>
      <w:pPr>
        <w:spacing w:after="20" w:line="223" w:lineRule="auto"/>
        <w:jc w:val="right"/>
        <w:bidi/>
      </w:pPr>
      <w:r>
        <w:rPr>
          <w:rFonts w:ascii="Arial" w:hAnsi="Arial"/>
          <w:sz w:val="16"/>
        </w:rPr>
        <w:t>091.03  بال.</w:t>
      </w:r>
    </w:p>
    <w:p>
      <w:pPr>
        <w:spacing w:after="28" w:line="216" w:lineRule="auto"/>
        <w:ind w:left="259"/>
        <w:jc w:val="left"/>
      </w:pPr>
      <w:r>
        <w:rPr>
          <w:rFonts w:ascii="Arial" w:hAnsi="Arial"/>
          <w:color w:val="525252"/>
          <w:sz w:val="13"/>
        </w:rPr>
        <w:t>Wing.</w:t>
      </w:r>
    </w:p>
    <w:p>
      <w:pPr>
        <w:spacing w:after="20" w:line="223" w:lineRule="auto"/>
        <w:jc w:val="right"/>
        <w:bidi/>
      </w:pPr>
      <w:r>
        <w:rPr>
          <w:rFonts w:ascii="Arial" w:hAnsi="Arial"/>
          <w:sz w:val="16"/>
        </w:rPr>
        <w:t>091.04  بال سطحی از فرماندهی پایین‌تر از نیروی هوایی شماره گذاری شده است و دارای یک مأموریت متمایز با دامنه قابل توجه است.</w:t>
      </w:r>
    </w:p>
    <w:p>
      <w:pPr>
        <w:spacing w:after="28" w:line="216" w:lineRule="auto"/>
        <w:ind w:left="259"/>
        <w:jc w:val="left"/>
      </w:pPr>
      <w:r>
        <w:rPr>
          <w:rFonts w:ascii="Arial" w:hAnsi="Arial"/>
          <w:color w:val="525252"/>
          <w:sz w:val="13"/>
        </w:rPr>
        <w:t>The wing is a level of command below the Numbered Air Force and has a distinct mission with significant scope.</w:t>
      </w:r>
    </w:p>
    <w:p>
      <w:pPr>
        <w:spacing w:after="20" w:line="223" w:lineRule="auto"/>
        <w:jc w:val="right"/>
        <w:bidi/>
      </w:pPr>
      <w:r>
        <w:rPr>
          <w:rFonts w:ascii="Arial" w:hAnsi="Arial"/>
          <w:sz w:val="16"/>
        </w:rPr>
        <w:t>091.05  یک بال مسئول حفظ نصب است و ممکن است چندین اسکادران در بیش از یک گروه وابسته داشته باشد.</w:t>
      </w:r>
    </w:p>
    <w:p>
      <w:pPr>
        <w:spacing w:after="28" w:line="216" w:lineRule="auto"/>
        <w:ind w:left="259"/>
        <w:jc w:val="left"/>
      </w:pPr>
      <w:r>
        <w:rPr>
          <w:rFonts w:ascii="Arial" w:hAnsi="Arial"/>
          <w:color w:val="525252"/>
          <w:sz w:val="13"/>
        </w:rPr>
        <w:t>A wing is responsible for maintaining the installation and may have several squadrons in more than one dependent group.</w:t>
      </w:r>
    </w:p>
    <w:p>
      <w:pPr>
        <w:spacing w:after="20" w:line="223" w:lineRule="auto"/>
        <w:jc w:val="right"/>
        <w:bidi/>
      </w:pPr>
      <w:r>
        <w:rPr>
          <w:rFonts w:ascii="Arial" w:hAnsi="Arial"/>
          <w:sz w:val="16"/>
        </w:rPr>
        <w:t>091.06  وینگس دارای حداقل جمعیت تعدیل شده حداقل ۱۰۰۰ نفر (۷۵۰ نفر برای گارد ملی هوایی و فرماندهی رزرو نیروی هوایی) خواهد بود که شامل مجوزهای نیروی انسانی، دانشجویان و درصدی از نیروی کار پیمانکار می‌شود.</w:t>
      </w:r>
    </w:p>
    <w:p>
      <w:pPr>
        <w:spacing w:after="28" w:line="216" w:lineRule="auto"/>
        <w:ind w:left="259"/>
        <w:jc w:val="left"/>
      </w:pPr>
      <w:r>
        <w:rPr>
          <w:rFonts w:ascii="Arial" w:hAnsi="Arial"/>
          <w:color w:val="525252"/>
          <w:sz w:val="13"/>
        </w:rPr>
        <w:t>Wings will have a minimum adjusted population of at least 1,000 (750 for Air National Guard and Air Force Reserve Command), to include manpower authorizations, students, and a percentage of contractor workforces.</w:t>
      </w:r>
    </w:p>
    <w:p>
      <w:pPr>
        <w:spacing w:after="20" w:line="223" w:lineRule="auto"/>
        <w:jc w:val="right"/>
        <w:bidi/>
      </w:pPr>
      <w:r>
        <w:rPr>
          <w:rFonts w:ascii="Arial" w:hAnsi="Arial"/>
          <w:sz w:val="16"/>
        </w:rPr>
        <w:t>091.07  انواع مختلف بال‌ها عملیاتی، پایگاه هوایی یا مأموریت تخصصی هستند.</w:t>
      </w:r>
    </w:p>
    <w:p>
      <w:pPr>
        <w:spacing w:after="28" w:line="216" w:lineRule="auto"/>
        <w:ind w:left="259"/>
        <w:jc w:val="left"/>
      </w:pPr>
      <w:r>
        <w:rPr>
          <w:rFonts w:ascii="Arial" w:hAnsi="Arial"/>
          <w:color w:val="525252"/>
          <w:sz w:val="13"/>
        </w:rPr>
        <w:t>The different types of wings are operational, air base, or specialized mission.</w:t>
      </w:r>
    </w:p>
    <w:p>
      <w:pPr>
        <w:spacing w:after="20" w:line="223" w:lineRule="auto"/>
        <w:jc w:val="right"/>
        <w:bidi/>
      </w:pPr>
      <w:r>
        <w:rPr>
          <w:rFonts w:ascii="Arial" w:hAnsi="Arial"/>
          <w:sz w:val="16"/>
        </w:rPr>
        <w:t>091.08  بال عملیاتی.</w:t>
      </w:r>
    </w:p>
    <w:p>
      <w:pPr>
        <w:spacing w:after="28" w:line="216" w:lineRule="auto"/>
        <w:ind w:left="259"/>
        <w:jc w:val="left"/>
      </w:pPr>
      <w:r>
        <w:rPr>
          <w:rFonts w:ascii="Arial" w:hAnsi="Arial"/>
          <w:color w:val="525252"/>
          <w:sz w:val="13"/>
        </w:rPr>
        <w:t>Operational Wing.</w:t>
      </w:r>
    </w:p>
    <w:p>
      <w:pPr>
        <w:spacing w:after="20" w:line="223" w:lineRule="auto"/>
        <w:jc w:val="right"/>
        <w:bidi/>
      </w:pPr>
      <w:r>
        <w:rPr>
          <w:rFonts w:ascii="Arial" w:hAnsi="Arial"/>
          <w:sz w:val="16"/>
        </w:rPr>
        <w:t>091.09  یک بال عملیاتی، جناحی است که دارای یک گروه عملیاتی و فعالیت مأموریت عملیاتی مرتبط است.</w:t>
      </w:r>
    </w:p>
    <w:p>
      <w:pPr>
        <w:spacing w:after="28" w:line="216" w:lineRule="auto"/>
        <w:ind w:left="259"/>
        <w:jc w:val="left"/>
      </w:pPr>
      <w:r>
        <w:rPr>
          <w:rFonts w:ascii="Arial" w:hAnsi="Arial"/>
          <w:color w:val="525252"/>
          <w:sz w:val="13"/>
        </w:rPr>
        <w:t>An operational wing is one that has an operations group and related operational mission activity assigned.</w:t>
      </w:r>
    </w:p>
    <w:p>
      <w:pPr>
        <w:spacing w:after="20" w:line="223" w:lineRule="auto"/>
        <w:jc w:val="right"/>
        <w:bidi/>
      </w:pPr>
      <w:r>
        <w:rPr>
          <w:rFonts w:ascii="Arial" w:hAnsi="Arial"/>
          <w:sz w:val="16"/>
        </w:rPr>
        <w:t>091.10  هنگامی که یک بال عملیاتی مأموریت اصلی پایگاه را انجام می‌دهد، معمولا پایگاه را حفظ و راه‌اندازی می‌کند.</w:t>
      </w:r>
    </w:p>
    <w:p>
      <w:pPr>
        <w:spacing w:after="28" w:line="216" w:lineRule="auto"/>
        <w:ind w:left="259"/>
        <w:jc w:val="left"/>
      </w:pPr>
      <w:r>
        <w:rPr>
          <w:rFonts w:ascii="Arial" w:hAnsi="Arial"/>
          <w:color w:val="525252"/>
          <w:sz w:val="13"/>
        </w:rPr>
        <w:t>When an operational wing performs the primary mission of the base, it usually maintains and operates the base.</w:t>
      </w:r>
    </w:p>
    <w:p>
      <w:pPr>
        <w:spacing w:after="20" w:line="223" w:lineRule="auto"/>
        <w:jc w:val="right"/>
        <w:bidi/>
      </w:pPr>
      <w:r>
        <w:rPr>
          <w:rFonts w:ascii="Arial" w:hAnsi="Arial"/>
          <w:sz w:val="16"/>
        </w:rPr>
        <w:t>091.11  علاوه بر این، یک بال عملیاتی قادر است در صورت نیاز در مناطق عملیاتی مانند تعمیر و نگهداری و مهمات، خود پشتیبانی کند.</w:t>
      </w:r>
    </w:p>
    <w:p>
      <w:pPr>
        <w:spacing w:after="28" w:line="216" w:lineRule="auto"/>
        <w:ind w:left="259"/>
        <w:jc w:val="left"/>
      </w:pPr>
      <w:r>
        <w:rPr>
          <w:rFonts w:ascii="Arial" w:hAnsi="Arial"/>
          <w:color w:val="525252"/>
          <w:sz w:val="13"/>
        </w:rPr>
        <w:t>In addition, an operational wing is capable of self-support in functional areas, such as maintenance and munitions, as needed.</w:t>
      </w:r>
    </w:p>
    <w:p>
      <w:pPr>
        <w:spacing w:after="20" w:line="223" w:lineRule="auto"/>
        <w:jc w:val="right"/>
        <w:bidi/>
      </w:pPr>
      <w:r>
        <w:rPr>
          <w:rFonts w:ascii="Arial" w:hAnsi="Arial"/>
          <w:sz w:val="16"/>
        </w:rPr>
        <w:t>091.12  هنگامی که یک بال عملیاتی یک واحد مستاجر است، فرمان میزبان معمولا پشتیبانی پایه و تدارکات را فراهم می‌کند.</w:t>
      </w:r>
    </w:p>
    <w:p>
      <w:pPr>
        <w:spacing w:after="28" w:line="216" w:lineRule="auto"/>
        <w:ind w:left="259"/>
        <w:jc w:val="left"/>
      </w:pPr>
      <w:r>
        <w:rPr>
          <w:rFonts w:ascii="Arial" w:hAnsi="Arial"/>
          <w:color w:val="525252"/>
          <w:sz w:val="13"/>
        </w:rPr>
        <w:t>When an operational wing is a tenant unit, the host command typically provides base and logistics support.</w:t>
      </w:r>
    </w:p>
    <w:p>
      <w:pPr>
        <w:spacing w:after="20" w:line="223" w:lineRule="auto"/>
        <w:jc w:val="right"/>
        <w:bidi/>
      </w:pPr>
      <w:r>
        <w:rPr>
          <w:rFonts w:ascii="Arial" w:hAnsi="Arial"/>
          <w:sz w:val="16"/>
        </w:rPr>
        <w:t>091.13  بال پایگاه هوایی.</w:t>
      </w:r>
    </w:p>
    <w:p>
      <w:pPr>
        <w:spacing w:after="28" w:line="216" w:lineRule="auto"/>
        <w:ind w:left="259"/>
        <w:jc w:val="left"/>
      </w:pPr>
      <w:r>
        <w:rPr>
          <w:rFonts w:ascii="Arial" w:hAnsi="Arial"/>
          <w:color w:val="525252"/>
          <w:sz w:val="13"/>
        </w:rPr>
        <w:t>Air Base Wing.</w:t>
      </w:r>
    </w:p>
    <w:p>
      <w:pPr>
        <w:spacing w:after="20" w:line="223" w:lineRule="auto"/>
        <w:jc w:val="right"/>
        <w:bidi/>
      </w:pPr>
      <w:r>
        <w:rPr>
          <w:rFonts w:ascii="Arial" w:hAnsi="Arial"/>
          <w:sz w:val="16"/>
        </w:rPr>
        <w:t>091.14  یک بال پایگاه هوایی به جای یک مأموریت عملیاتی، عملکرد پشتیبانی را انجام می‌دهد.</w:t>
      </w:r>
    </w:p>
    <w:p>
      <w:pPr>
        <w:spacing w:after="28" w:line="216" w:lineRule="auto"/>
        <w:ind w:left="259"/>
        <w:jc w:val="left"/>
      </w:pPr>
      <w:r>
        <w:rPr>
          <w:rFonts w:ascii="Arial" w:hAnsi="Arial"/>
          <w:color w:val="525252"/>
          <w:sz w:val="13"/>
        </w:rPr>
        <w:t>An air base wing performs a support function rather than an operational mission.</w:t>
      </w:r>
    </w:p>
    <w:p>
      <w:pPr>
        <w:spacing w:after="20" w:line="223" w:lineRule="auto"/>
        <w:jc w:val="right"/>
        <w:bidi/>
      </w:pPr>
      <w:r>
        <w:rPr>
          <w:rFonts w:ascii="Arial" w:hAnsi="Arial"/>
          <w:sz w:val="16"/>
        </w:rPr>
        <w:t>091.15  این نوع بال یک پایه را نگهداری و راه‌اندازی می‌کند.</w:t>
      </w:r>
    </w:p>
    <w:p>
      <w:pPr>
        <w:spacing w:after="28" w:line="216" w:lineRule="auto"/>
        <w:ind w:left="259"/>
        <w:jc w:val="left"/>
      </w:pPr>
      <w:r>
        <w:rPr>
          <w:rFonts w:ascii="Arial" w:hAnsi="Arial"/>
          <w:color w:val="525252"/>
          <w:sz w:val="13"/>
        </w:rPr>
        <w:t>This type of wing maintains and operates a base.</w:t>
      </w:r>
    </w:p>
    <w:p>
      <w:pPr>
        <w:spacing w:after="20" w:line="223" w:lineRule="auto"/>
        <w:jc w:val="right"/>
        <w:bidi/>
      </w:pPr>
      <w:r>
        <w:rPr>
          <w:rFonts w:ascii="Arial" w:hAnsi="Arial"/>
          <w:sz w:val="16"/>
        </w:rPr>
        <w:t>091.16  یک بال پایگاه هوایی اغلب پشتیبانی عملکردی را برای مقر MAJCOM فراهم می‌کند.</w:t>
      </w:r>
    </w:p>
    <w:p>
      <w:pPr>
        <w:spacing w:after="28" w:line="216" w:lineRule="auto"/>
        <w:ind w:left="259"/>
        <w:jc w:val="left"/>
      </w:pPr>
      <w:r>
        <w:rPr>
          <w:rFonts w:ascii="Arial" w:hAnsi="Arial"/>
          <w:color w:val="525252"/>
          <w:sz w:val="13"/>
        </w:rPr>
        <w:t>An air base wing often provides functional support to a MAJCOM headquarters.</w:t>
      </w:r>
    </w:p>
    <w:p>
      <w:pPr>
        <w:spacing w:after="20" w:line="223" w:lineRule="auto"/>
        <w:jc w:val="right"/>
        <w:bidi/>
      </w:pPr>
      <w:r>
        <w:rPr>
          <w:rFonts w:ascii="Arial" w:hAnsi="Arial"/>
          <w:sz w:val="16"/>
        </w:rPr>
        <w:t>091.17  بال مأموریت تخصصی.</w:t>
      </w:r>
    </w:p>
    <w:p>
      <w:pPr>
        <w:spacing w:after="28" w:line="216" w:lineRule="auto"/>
        <w:ind w:left="259"/>
        <w:jc w:val="left"/>
      </w:pPr>
      <w:r>
        <w:rPr>
          <w:rFonts w:ascii="Arial" w:hAnsi="Arial"/>
          <w:color w:val="525252"/>
          <w:sz w:val="13"/>
        </w:rPr>
        <w:t>Specialized Mission Wing.</w:t>
      </w:r>
    </w:p>
    <w:p>
      <w:pPr>
        <w:spacing w:after="20" w:line="223" w:lineRule="auto"/>
        <w:jc w:val="right"/>
        <w:bidi/>
      </w:pPr>
      <w:r>
        <w:rPr>
          <w:rFonts w:ascii="Arial" w:hAnsi="Arial"/>
          <w:sz w:val="16"/>
        </w:rPr>
        <w:t>091.18  یک بال مأموریت تخصصی یک مأموریت تخصصی را انجام می‌دهد و معمولا هواپیما یا موشک اختصاص ندارد.</w:t>
      </w:r>
    </w:p>
    <w:p>
      <w:pPr>
        <w:spacing w:after="28" w:line="216" w:lineRule="auto"/>
        <w:ind w:left="259"/>
        <w:jc w:val="left"/>
      </w:pPr>
      <w:r>
        <w:rPr>
          <w:rFonts w:ascii="Arial" w:hAnsi="Arial"/>
          <w:color w:val="525252"/>
          <w:sz w:val="13"/>
        </w:rPr>
        <w:t>A specialized mission wing performs a specialized mission and usually does not have aircraft or missiles assigned.</w:t>
      </w:r>
    </w:p>
    <w:p>
      <w:pPr>
        <w:spacing w:after="20" w:line="223" w:lineRule="auto"/>
        <w:jc w:val="right"/>
        <w:bidi/>
      </w:pPr>
      <w:r>
        <w:rPr>
          <w:rFonts w:ascii="Arial" w:hAnsi="Arial"/>
          <w:sz w:val="16"/>
        </w:rPr>
        <w:t>091.19  به‌عنوان مثال می‌توان به بال‌های هوش، بال‌های آموزشی و غیره اشاره کرد.</w:t>
      </w:r>
    </w:p>
    <w:p>
      <w:pPr>
        <w:spacing w:after="28" w:line="216" w:lineRule="auto"/>
        <w:ind w:left="259"/>
        <w:jc w:val="left"/>
      </w:pPr>
      <w:r>
        <w:rPr>
          <w:rFonts w:ascii="Arial" w:hAnsi="Arial"/>
          <w:color w:val="525252"/>
          <w:sz w:val="13"/>
        </w:rPr>
        <w:t>Examples include intelligence wings, training wings, and so on.</w:t>
      </w:r>
    </w:p>
    <w:p>
      <w:pPr>
        <w:spacing w:after="20" w:line="223" w:lineRule="auto"/>
        <w:jc w:val="right"/>
        <w:bidi/>
      </w:pPr>
      <w:r>
        <w:rPr>
          <w:rFonts w:ascii="Arial" w:hAnsi="Arial"/>
          <w:sz w:val="16"/>
        </w:rPr>
        <w:t>091.20  این بال بسته به نگهداری و راه‌اندازی پایگاه، یا بال میزبان یا مستاجر است. گروه ⟦۰۲۱.</w:t>
      </w:r>
    </w:p>
    <w:p>
      <w:pPr>
        <w:spacing w:after="28" w:line="216" w:lineRule="auto"/>
        <w:ind w:left="259"/>
        <w:jc w:val="left"/>
      </w:pPr>
      <w:r>
        <w:rPr>
          <w:rFonts w:ascii="Arial" w:hAnsi="Arial"/>
          <w:color w:val="525252"/>
          <w:sz w:val="13"/>
        </w:rPr>
        <w:t>This wing is either a host or a tenant wing, depending on if it maintains and operates the base.</w:t>
      </w:r>
    </w:p>
    <w:p>
      <w:pPr>
        <w:spacing w:after="20" w:line="223" w:lineRule="auto"/>
        <w:jc w:val="right"/>
        <w:bidi/>
      </w:pPr>
      <w:r>
        <w:rPr>
          <w:rFonts w:ascii="Arial" w:hAnsi="Arial"/>
          <w:sz w:val="16"/>
        </w:rPr>
        <w:t>091.21  گروه.</w:t>
      </w:r>
    </w:p>
    <w:p>
      <w:pPr>
        <w:spacing w:after="28" w:line="216" w:lineRule="auto"/>
        <w:ind w:left="259"/>
        <w:jc w:val="left"/>
      </w:pPr>
      <w:r>
        <w:rPr>
          <w:rFonts w:ascii="Arial" w:hAnsi="Arial"/>
          <w:color w:val="525252"/>
          <w:sz w:val="13"/>
        </w:rPr>
        <w:t>Group.</w:t>
      </w:r>
    </w:p>
    <w:p>
      <w:pPr>
        <w:spacing w:after="20" w:line="223" w:lineRule="auto"/>
        <w:jc w:val="right"/>
        <w:bidi/>
      </w:pPr>
      <w:r>
        <w:rPr>
          <w:rFonts w:ascii="Arial" w:hAnsi="Arial"/>
          <w:sz w:val="16"/>
        </w:rPr>
        <w:t>091.22  گروه سطحی از فرمان در زیر بال است.</w:t>
      </w:r>
    </w:p>
    <w:p>
      <w:pPr>
        <w:spacing w:after="28" w:line="216" w:lineRule="auto"/>
        <w:ind w:left="259"/>
        <w:jc w:val="left"/>
      </w:pPr>
      <w:r>
        <w:rPr>
          <w:rFonts w:ascii="Arial" w:hAnsi="Arial"/>
          <w:color w:val="525252"/>
          <w:sz w:val="13"/>
        </w:rPr>
        <w:t>A group is a level of command below the wing.</w:t>
      </w:r>
    </w:p>
    <w:p>
      <w:pPr>
        <w:spacing w:after="20" w:line="223" w:lineRule="auto"/>
        <w:jc w:val="right"/>
        <w:bidi/>
      </w:pPr>
      <w:r>
        <w:rPr>
          <w:rFonts w:ascii="Arial" w:hAnsi="Arial"/>
          <w:sz w:val="16"/>
        </w:rPr>
        <w:t>091.23  مانند نیروی هوایی شماره دار، یک گروه یک رده تاکتیکی با حداقل پشتیبانی کارکنان است.</w:t>
      </w:r>
    </w:p>
    <w:p>
      <w:pPr>
        <w:spacing w:after="28" w:line="216" w:lineRule="auto"/>
        <w:ind w:left="259"/>
        <w:jc w:val="left"/>
      </w:pPr>
      <w:r>
        <w:rPr>
          <w:rFonts w:ascii="Arial" w:hAnsi="Arial"/>
          <w:color w:val="525252"/>
          <w:sz w:val="13"/>
        </w:rPr>
        <w:t>Like the Numbered Air Force, a group is a tactical echelon with minimal staff support.</w:t>
      </w:r>
    </w:p>
    <w:p>
      <w:pPr>
        <w:spacing w:after="20" w:line="223" w:lineRule="auto"/>
        <w:jc w:val="right"/>
        <w:bidi/>
      </w:pPr>
      <w:r>
        <w:rPr>
          <w:rFonts w:ascii="Arial" w:hAnsi="Arial"/>
          <w:sz w:val="16"/>
        </w:rPr>
        <w:t>091.24  یک گروه معمولا دارای دو یا چند واحد فرعی است.</w:t>
      </w:r>
    </w:p>
    <w:p>
      <w:pPr>
        <w:spacing w:after="28" w:line="216" w:lineRule="auto"/>
        <w:ind w:left="259"/>
        <w:jc w:val="left"/>
      </w:pPr>
      <w:r>
        <w:rPr>
          <w:rFonts w:ascii="Arial" w:hAnsi="Arial"/>
          <w:color w:val="525252"/>
          <w:sz w:val="13"/>
        </w:rPr>
        <w:t>A group usually has two or more subordinate units.</w:t>
      </w:r>
    </w:p>
    <w:p>
      <w:pPr>
        <w:spacing w:after="20" w:line="223" w:lineRule="auto"/>
        <w:jc w:val="right"/>
        <w:bidi/>
      </w:pPr>
      <w:r>
        <w:rPr>
          <w:rFonts w:ascii="Arial" w:hAnsi="Arial"/>
          <w:sz w:val="16"/>
        </w:rPr>
        <w:t>091.25  گروه وابسته یک واحد مأموریتی، لجستیکی، پشتیبانی، پزشکی یا عملکردی بزرگ است، مانند گروه مهندسی عمران.</w:t>
      </w:r>
    </w:p>
    <w:p>
      <w:pPr>
        <w:spacing w:after="28" w:line="216" w:lineRule="auto"/>
        <w:ind w:left="259"/>
        <w:jc w:val="left"/>
      </w:pPr>
      <w:r>
        <w:rPr>
          <w:rFonts w:ascii="Arial" w:hAnsi="Arial"/>
          <w:color w:val="525252"/>
          <w:sz w:val="13"/>
        </w:rPr>
        <w:t>A dependent group is a mission, logistics, support, medical, or large functional unit, such as a civil engineer group.</w:t>
      </w:r>
    </w:p>
    <w:p>
      <w:pPr>
        <w:spacing w:after="20" w:line="223" w:lineRule="auto"/>
        <w:jc w:val="right"/>
        <w:bidi/>
      </w:pPr>
      <w:r>
        <w:rPr>
          <w:rFonts w:ascii="Arial" w:hAnsi="Arial"/>
          <w:sz w:val="16"/>
        </w:rPr>
        <w:t>091.26  گروه‌های وابسته ممکن است دارای عناصر کوچکی از کارکنان پشتیبانی باشند که به صورت بخش‌هایی سازماندهی شده‌اند، مانند استانداردسازی و ارزیابی یا کنترل کیفیت.</w:t>
      </w:r>
    </w:p>
    <w:p>
      <w:pPr>
        <w:spacing w:after="28" w:line="216" w:lineRule="auto"/>
        <w:ind w:left="259"/>
        <w:jc w:val="left"/>
      </w:pPr>
      <w:r>
        <w:rPr>
          <w:rFonts w:ascii="Arial" w:hAnsi="Arial"/>
          <w:color w:val="525252"/>
          <w:sz w:val="13"/>
        </w:rPr>
        <w:t>Dependent groups may possess small supporting staff elements that are organized as sections, such as standardization and evaluation or quality control.</w:t>
      </w:r>
    </w:p>
    <w:p>
      <w:pPr>
        <w:spacing w:after="20" w:line="223" w:lineRule="auto"/>
        <w:jc w:val="right"/>
        <w:bidi/>
      </w:pPr>
      <w:r>
        <w:rPr>
          <w:rFonts w:ascii="Arial" w:hAnsi="Arial"/>
          <w:sz w:val="16"/>
        </w:rPr>
        <w:t>091.27  یک گروه مستقل وظایف و مسئولیت‌های مشابهی با بال مشابه دارد، اما دامنه و اندازه آن تعیین سطح بال را تضمین نمی‌کند.</w:t>
      </w:r>
    </w:p>
    <w:p>
      <w:pPr>
        <w:spacing w:after="28" w:line="216" w:lineRule="auto"/>
        <w:ind w:left="259"/>
        <w:jc w:val="left"/>
      </w:pPr>
      <w:r>
        <w:rPr>
          <w:rFonts w:ascii="Arial" w:hAnsi="Arial"/>
          <w:color w:val="525252"/>
          <w:sz w:val="13"/>
        </w:rPr>
        <w:t>An independent group has the same functions and responsibilities as a like-type wing, but its scope and size do not warrant wing-level designation.</w:t>
      </w:r>
    </w:p>
    <w:p>
      <w:pPr>
        <w:spacing w:after="20" w:line="223" w:lineRule="auto"/>
        <w:jc w:val="right"/>
        <w:bidi/>
      </w:pPr>
      <w:r>
        <w:rPr>
          <w:rFonts w:ascii="Arial" w:hAnsi="Arial"/>
          <w:sz w:val="16"/>
        </w:rPr>
        <w:t>091.28  گروهها حداقل جمعیت تعدیل شده حداقل ۴۰۰ نفر (۲۰۰ نفر برای گارد ملی هوایی و فرماندهی ذخیره نیروی هوایی) خواهند داشت که شامل مجوزهای نیروی انسانی، دانشجویان و درصدی از نیروی کار پیمانکار می‌شود.</w:t>
      </w:r>
    </w:p>
    <w:p>
      <w:pPr>
        <w:spacing w:after="28" w:line="216" w:lineRule="auto"/>
        <w:ind w:left="259"/>
        <w:jc w:val="left"/>
      </w:pPr>
      <w:r>
        <w:rPr>
          <w:rFonts w:ascii="Arial" w:hAnsi="Arial"/>
          <w:color w:val="525252"/>
          <w:sz w:val="13"/>
        </w:rPr>
        <w:t>Groups will have a minimum adjusted population of at least 400 (200 for Air National Guard and Air Force Reserve Command), to include manpower authorizations, students, and a percentage of contractor workforces.</w:t>
      </w:r>
    </w:p>
    <w:p>
      <w:pPr>
        <w:spacing w:after="20" w:line="223" w:lineRule="auto"/>
        <w:jc w:val="right"/>
        <w:bidi/>
      </w:pPr>
      <w:r>
        <w:rPr>
          <w:rFonts w:ascii="Arial" w:hAnsi="Arial"/>
          <w:sz w:val="16"/>
        </w:rPr>
        <w:t>091.29  اسکادران.</w:t>
      </w:r>
    </w:p>
    <w:p>
      <w:pPr>
        <w:spacing w:after="28" w:line="216" w:lineRule="auto"/>
        <w:ind w:left="259"/>
        <w:jc w:val="left"/>
      </w:pPr>
      <w:r>
        <w:rPr>
          <w:rFonts w:ascii="Arial" w:hAnsi="Arial"/>
          <w:color w:val="525252"/>
          <w:sz w:val="13"/>
        </w:rPr>
        <w:t>Squadron.</w:t>
      </w:r>
    </w:p>
    <w:p>
      <w:pPr>
        <w:spacing w:after="20" w:line="223" w:lineRule="auto"/>
        <w:jc w:val="right"/>
        <w:bidi/>
      </w:pPr>
      <w:r>
        <w:rPr>
          <w:rFonts w:ascii="Arial" w:hAnsi="Arial"/>
          <w:sz w:val="16"/>
        </w:rPr>
        <w:t>091.30  یک اسکادران واحد اصلی، هسته و بلوک اصلی ساختمان نیروی هوایی ایالات متحده است.</w:t>
      </w:r>
    </w:p>
    <w:p>
      <w:pPr>
        <w:spacing w:after="28" w:line="216" w:lineRule="auto"/>
        <w:ind w:left="259"/>
        <w:jc w:val="left"/>
      </w:pPr>
      <w:r>
        <w:rPr>
          <w:rFonts w:ascii="Arial" w:hAnsi="Arial"/>
          <w:color w:val="525252"/>
          <w:sz w:val="13"/>
        </w:rPr>
        <w:t>A squadron is the basic unit, the nucleus, and the basic building block of the USAF.</w:t>
      </w:r>
    </w:p>
    <w:p>
      <w:pPr>
        <w:spacing w:after="20" w:line="223" w:lineRule="auto"/>
        <w:jc w:val="right"/>
        <w:bidi/>
      </w:pPr>
      <w:r>
        <w:rPr>
          <w:rFonts w:ascii="Arial" w:hAnsi="Arial"/>
          <w:sz w:val="16"/>
        </w:rPr>
        <w:t>091.31  انواع مختلف اسکادران‌ها یا واحدهای مأموریتی هستند، مانند اسکادران‌های پروازی عملیاتی، یا واحدهای عملکردی، مانند مهندس عمران، نیروهای امنیتی، یا اسکادران‌های آمادگی تدارکات.</w:t>
      </w:r>
    </w:p>
    <w:p>
      <w:pPr>
        <w:spacing w:after="28" w:line="216" w:lineRule="auto"/>
        <w:ind w:left="259"/>
        <w:jc w:val="left"/>
      </w:pPr>
      <w:r>
        <w:rPr>
          <w:rFonts w:ascii="Arial" w:hAnsi="Arial"/>
          <w:color w:val="525252"/>
          <w:sz w:val="13"/>
        </w:rPr>
        <w:t>The different types of squadrons are either mission units, such as operational flying squadrons, or functional units, such as civil engineer, security forces, or logistics readiness squadrons.</w:t>
      </w:r>
    </w:p>
    <w:p>
      <w:pPr>
        <w:spacing w:after="20" w:line="223" w:lineRule="auto"/>
        <w:jc w:val="right"/>
        <w:bidi/>
      </w:pPr>
      <w:r>
        <w:rPr>
          <w:rFonts w:ascii="Arial" w:hAnsi="Arial"/>
          <w:sz w:val="16"/>
        </w:rPr>
        <w:t>091.32  اسکادران‌ها بر حسب مسئولیت از نظر اندازه متفاوت هستند و باید سازماندهی شده و دارای منابع باشند تا به هواداران اجازه دهند تا بر مأموریت USAF تمرکز کنند.</w:t>
      </w:r>
    </w:p>
    <w:p>
      <w:pPr>
        <w:spacing w:after="28" w:line="216" w:lineRule="auto"/>
        <w:ind w:left="259"/>
        <w:jc w:val="left"/>
      </w:pPr>
      <w:r>
        <w:rPr>
          <w:rFonts w:ascii="Arial" w:hAnsi="Arial"/>
          <w:color w:val="525252"/>
          <w:sz w:val="13"/>
        </w:rPr>
        <w:t>Squadrons vary in size according to responsibility and should be organized and resourced to allow Airmen to focus on the USAF mission.</w:t>
      </w:r>
    </w:p>
    <w:p>
      <w:pPr>
        <w:spacing w:after="20" w:line="223" w:lineRule="auto"/>
        <w:jc w:val="right"/>
        <w:bidi/>
      </w:pPr>
      <w:r>
        <w:rPr>
          <w:rFonts w:ascii="Arial" w:hAnsi="Arial"/>
          <w:sz w:val="16"/>
        </w:rPr>
        <w:t>091.33  اسکادران دارای حداقل جمعیت تعدیل شده حداقل ۳۵ نفر خواهد بود و می‌تواند تا چند صد نفر پرسنل را شامل شود که شامل مجوزهای نیروی انسانی، دانش‌آموزان و درصدی از نیروی کار پیمانکاری می‌شود.</w:t>
      </w:r>
    </w:p>
    <w:p>
      <w:pPr>
        <w:spacing w:after="28" w:line="216" w:lineRule="auto"/>
        <w:ind w:left="259"/>
        <w:jc w:val="left"/>
      </w:pPr>
      <w:r>
        <w:rPr>
          <w:rFonts w:ascii="Arial" w:hAnsi="Arial"/>
          <w:color w:val="525252"/>
          <w:sz w:val="13"/>
        </w:rPr>
        <w:t>Squadrons will have a minimum adjusted population of at least 35 and can range up to several hundred personnel, which includes manpower authorizations, students, and a percentage of contractor workforces.</w:t>
      </w:r>
    </w:p>
    <w:p>
      <w:pPr>
        <w:spacing w:after="20" w:line="223" w:lineRule="auto"/>
        <w:jc w:val="right"/>
        <w:bidi/>
      </w:pPr>
      <w:r>
        <w:rPr>
          <w:rFonts w:ascii="Arial" w:hAnsi="Arial"/>
          <w:sz w:val="16"/>
        </w:rPr>
        <w:t>091.34  پرواز.</w:t>
      </w:r>
    </w:p>
    <w:p>
      <w:pPr>
        <w:spacing w:after="28" w:line="216" w:lineRule="auto"/>
        <w:ind w:left="259"/>
        <w:jc w:val="left"/>
      </w:pPr>
      <w:r>
        <w:rPr>
          <w:rFonts w:ascii="Arial" w:hAnsi="Arial"/>
          <w:color w:val="525252"/>
          <w:sz w:val="13"/>
        </w:rPr>
        <w:t>Flight.</w:t>
      </w:r>
    </w:p>
    <w:p>
      <w:pPr>
        <w:spacing w:after="20" w:line="223" w:lineRule="auto"/>
        <w:jc w:val="right"/>
        <w:bidi/>
      </w:pPr>
      <w:r>
        <w:rPr>
          <w:rFonts w:ascii="Arial" w:hAnsi="Arial"/>
          <w:sz w:val="16"/>
        </w:rPr>
        <w:t>091.35  اگر به تقسیم داخلی درون یک اسکادران نیاز باشد، ممکن است پروازهای شماره‌دار/نام‌دار، آلفا یا عملیاتی ایجاد شود.</w:t>
      </w:r>
    </w:p>
    <w:p>
      <w:pPr>
        <w:spacing w:after="28" w:line="216" w:lineRule="auto"/>
        <w:ind w:left="259"/>
        <w:jc w:val="left"/>
      </w:pPr>
      <w:r>
        <w:rPr>
          <w:rFonts w:ascii="Arial" w:hAnsi="Arial"/>
          <w:color w:val="525252"/>
          <w:sz w:val="13"/>
        </w:rPr>
        <w:t>If internal subdivision within a squadron is required, numbered/named, alpha, or functional flights may be established.</w:t>
      </w:r>
    </w:p>
    <w:p>
      <w:pPr>
        <w:spacing w:after="20" w:line="223" w:lineRule="auto"/>
        <w:jc w:val="right"/>
        <w:bidi/>
      </w:pPr>
      <w:r>
        <w:rPr>
          <w:rFonts w:ascii="Arial" w:hAnsi="Arial"/>
          <w:sz w:val="16"/>
        </w:rPr>
        <w:t>091.36  پروازها معمولا ۱۲ تا ۱۰۰ نفر هستند.</w:t>
      </w:r>
    </w:p>
    <w:p>
      <w:pPr>
        <w:spacing w:after="28" w:line="216" w:lineRule="auto"/>
        <w:ind w:left="259"/>
        <w:jc w:val="left"/>
      </w:pPr>
      <w:r>
        <w:rPr>
          <w:rFonts w:ascii="Arial" w:hAnsi="Arial"/>
          <w:color w:val="525252"/>
          <w:sz w:val="13"/>
        </w:rPr>
        <w:t>Flights typically consist of 12 to 100 people.</w:t>
      </w:r>
    </w:p>
    <w:p>
      <w:pPr>
        <w:spacing w:after="20" w:line="223" w:lineRule="auto"/>
        <w:jc w:val="right"/>
        <w:bidi/>
      </w:pPr>
      <w:r>
        <w:rPr>
          <w:rFonts w:ascii="Arial" w:hAnsi="Arial"/>
          <w:sz w:val="16"/>
        </w:rPr>
        <w:t>091.37  پرواز شماره دار یا نامگذاری شده در درجه اول عناصر کوچکتر را در یک واحد سازماندهی شده ترکیب می‌کند.</w:t>
      </w:r>
    </w:p>
    <w:p>
      <w:pPr>
        <w:spacing w:after="28" w:line="216" w:lineRule="auto"/>
        <w:ind w:left="259"/>
        <w:jc w:val="left"/>
      </w:pPr>
      <w:r>
        <w:rPr>
          <w:rFonts w:ascii="Arial" w:hAnsi="Arial"/>
          <w:color w:val="525252"/>
          <w:sz w:val="13"/>
        </w:rPr>
        <w:t>A numbered or named flight primarily incorporates smaller elements into an organized unit.</w:t>
      </w:r>
    </w:p>
    <w:p>
      <w:pPr>
        <w:spacing w:after="20" w:line="223" w:lineRule="auto"/>
        <w:jc w:val="right"/>
        <w:bidi/>
      </w:pPr>
      <w:r>
        <w:rPr>
          <w:rFonts w:ascii="Arial" w:hAnsi="Arial"/>
          <w:sz w:val="16"/>
        </w:rPr>
        <w:t>091.38  ویژگی‌های اداری برای پرواز شماره‌دار یا نام‌گذاری‌شده شامل گزارش‌دهی قدرت، مانند ویژگی‌های یک اسکادران است.</w:t>
      </w:r>
    </w:p>
    <w:p>
      <w:pPr>
        <w:spacing w:after="28" w:line="216" w:lineRule="auto"/>
        <w:ind w:left="259"/>
        <w:jc w:val="left"/>
      </w:pPr>
      <w:r>
        <w:rPr>
          <w:rFonts w:ascii="Arial" w:hAnsi="Arial"/>
          <w:color w:val="525252"/>
          <w:sz w:val="13"/>
        </w:rPr>
        <w:t>The administrative characteristics for a numbered or named flight include, strength reporting, like those of a squadron.</w:t>
      </w:r>
    </w:p>
    <w:p>
      <w:pPr>
        <w:spacing w:after="20" w:line="223" w:lineRule="auto"/>
        <w:jc w:val="right"/>
        <w:bidi/>
      </w:pPr>
      <w:r>
        <w:rPr>
          <w:rFonts w:ascii="Arial" w:hAnsi="Arial"/>
          <w:sz w:val="16"/>
        </w:rPr>
        <w:t>091.39  پروازهای آلفا بخشی از یک اسکادران (معمولا یک اسکادران مأموریت) هستند و از عناصر متعددی تشکیل شده‌اند که مأموریت‌های یکسانی را انجام می‌دهند.</w:t>
      </w:r>
    </w:p>
    <w:p>
      <w:pPr>
        <w:spacing w:after="28" w:line="216" w:lineRule="auto"/>
        <w:ind w:left="259"/>
        <w:jc w:val="left"/>
      </w:pPr>
      <w:r>
        <w:rPr>
          <w:rFonts w:ascii="Arial" w:hAnsi="Arial"/>
          <w:color w:val="525252"/>
          <w:sz w:val="13"/>
        </w:rPr>
        <w:t>Alpha flights are part of a squadron (usually a mission squadron) and are composed of several elements that perform identical missions.</w:t>
      </w:r>
    </w:p>
    <w:p>
      <w:pPr>
        <w:spacing w:after="20" w:line="223" w:lineRule="auto"/>
        <w:jc w:val="right"/>
        <w:bidi/>
      </w:pPr>
      <w:r>
        <w:rPr>
          <w:rFonts w:ascii="Arial" w:hAnsi="Arial"/>
          <w:sz w:val="16"/>
        </w:rPr>
        <w:t>091.40  پروازهای کاربردی معمولا بخشی از یک اسکادران هستند و از عناصری تشکیل شده‌اند که مأموریت‌های خاصی را انجام می‌دهند.</w:t>
      </w:r>
    </w:p>
    <w:p>
      <w:pPr>
        <w:spacing w:after="28" w:line="216" w:lineRule="auto"/>
        <w:ind w:left="259"/>
        <w:jc w:val="left"/>
      </w:pPr>
      <w:r>
        <w:rPr>
          <w:rFonts w:ascii="Arial" w:hAnsi="Arial"/>
          <w:color w:val="525252"/>
          <w:sz w:val="13"/>
        </w:rPr>
        <w:t>Functional flights are usually part of a squadron and are composed of elements that perform specific missions.</w:t>
      </w:r>
    </w:p>
    <w:p>
      <w:r>
        <w:br w:type="page"/>
      </w:r>
    </w:p>
    <w:p>
      <w:pPr>
        <w:spacing w:after="60"/>
        <w:jc w:val="right"/>
        <w:bidi/>
      </w:pPr>
      <w:r>
        <w:rPr>
          <w:rFonts w:ascii="Arial" w:hAnsi="Arial"/>
          <w:b/>
          <w:color w:val="1F4D78"/>
          <w:sz w:val="19"/>
        </w:rPr>
        <w:t>هفتهٔ 92  |  صفحهٔ منبع: 108</w:t>
      </w:r>
    </w:p>
    <w:p>
      <w:pPr>
        <w:spacing w:after="20" w:line="223" w:lineRule="auto"/>
        <w:jc w:val="right"/>
        <w:bidi/>
      </w:pPr>
      <w:r>
        <w:rPr>
          <w:rFonts w:ascii="Arial" w:hAnsi="Arial"/>
          <w:sz w:val="16"/>
        </w:rPr>
        <w:t>092.01  عنصر.</w:t>
      </w:r>
    </w:p>
    <w:p>
      <w:pPr>
        <w:spacing w:after="28" w:line="216" w:lineRule="auto"/>
        <w:ind w:left="259"/>
        <w:jc w:val="left"/>
      </w:pPr>
      <w:r>
        <w:rPr>
          <w:rFonts w:ascii="Arial" w:hAnsi="Arial"/>
          <w:color w:val="525252"/>
          <w:sz w:val="13"/>
        </w:rPr>
        <w:t>Element.</w:t>
      </w:r>
    </w:p>
    <w:p>
      <w:pPr>
        <w:spacing w:after="20" w:line="223" w:lineRule="auto"/>
        <w:jc w:val="right"/>
        <w:bidi/>
      </w:pPr>
      <w:r>
        <w:rPr>
          <w:rFonts w:ascii="Arial" w:hAnsi="Arial"/>
          <w:sz w:val="16"/>
        </w:rPr>
        <w:t>092.02  عناصر زیرمجموعه پروازها هستند.</w:t>
      </w:r>
    </w:p>
    <w:p>
      <w:pPr>
        <w:spacing w:after="28" w:line="216" w:lineRule="auto"/>
        <w:ind w:left="259"/>
        <w:jc w:val="left"/>
      </w:pPr>
      <w:r>
        <w:rPr>
          <w:rFonts w:ascii="Arial" w:hAnsi="Arial"/>
          <w:color w:val="525252"/>
          <w:sz w:val="13"/>
        </w:rPr>
        <w:t>Elements are subdivisions of flights.</w:t>
      </w:r>
    </w:p>
    <w:p>
      <w:pPr>
        <w:spacing w:after="20" w:line="223" w:lineRule="auto"/>
        <w:jc w:val="right"/>
        <w:bidi/>
      </w:pPr>
      <w:r>
        <w:rPr>
          <w:rFonts w:ascii="Arial" w:hAnsi="Arial"/>
          <w:sz w:val="16"/>
        </w:rPr>
        <w:t>092.03  به‌طور معمول، پروازها در صورت لزوم به سه یا چهار عنصر با توزیع یکنواخت تقسیم می‌شوند.</w:t>
      </w:r>
    </w:p>
    <w:p>
      <w:pPr>
        <w:spacing w:after="28" w:line="216" w:lineRule="auto"/>
        <w:ind w:left="259"/>
        <w:jc w:val="left"/>
      </w:pPr>
      <w:r>
        <w:rPr>
          <w:rFonts w:ascii="Arial" w:hAnsi="Arial"/>
          <w:color w:val="525252"/>
          <w:sz w:val="13"/>
        </w:rPr>
        <w:t>Typically, flights are broken into three or four evenly distributed elements, when necessary.</w:t>
      </w:r>
    </w:p>
    <w:p>
      <w:r>
        <w:br w:type="page"/>
      </w:r>
    </w:p>
    <w:p>
      <w:pPr>
        <w:spacing w:after="60"/>
        <w:jc w:val="right"/>
        <w:bidi/>
      </w:pPr>
      <w:r>
        <w:rPr>
          <w:rFonts w:ascii="Arial" w:hAnsi="Arial"/>
          <w:b/>
          <w:color w:val="1F4D78"/>
          <w:sz w:val="19"/>
        </w:rPr>
        <w:t>هفتهٔ 93  |  صفحهٔ منبع: 109</w:t>
      </w:r>
    </w:p>
    <w:p>
      <w:pPr>
        <w:spacing w:before="60" w:after="28"/>
        <w:jc w:val="right"/>
        <w:bidi/>
      </w:pPr>
      <w:r>
        <w:rPr>
          <w:b/>
          <w:color w:val="1F4D78"/>
          <w:sz w:val="18"/>
        </w:rPr>
        <w:t>فصل 6</w:t>
      </w:r>
    </w:p>
    <w:p>
      <w:pPr>
        <w:spacing w:after="20"/>
        <w:ind w:left="259"/>
        <w:jc w:val="left"/>
      </w:pPr>
      <w:r>
        <w:rPr>
          <w:color w:val="555555"/>
          <w:sz w:val="12"/>
        </w:rPr>
        <w:t>Chapter 6</w:t>
      </w:r>
    </w:p>
    <w:p>
      <w:pPr>
        <w:spacing w:before="60" w:after="28"/>
        <w:jc w:val="right"/>
        <w:bidi/>
      </w:pPr>
      <w:r>
        <w:rPr>
          <w:b/>
          <w:color w:val="1F4D78"/>
          <w:sz w:val="18"/>
        </w:rPr>
        <w:t>دکترین و نیروی مشترک</w:t>
      </w:r>
    </w:p>
    <w:p>
      <w:pPr>
        <w:spacing w:after="20"/>
        <w:ind w:left="259"/>
        <w:jc w:val="left"/>
      </w:pPr>
      <w:r>
        <w:rPr>
          <w:color w:val="555555"/>
          <w:sz w:val="12"/>
        </w:rPr>
        <w:t>DOCTRINE AND JOINT FORCE</w:t>
      </w:r>
    </w:p>
    <w:p>
      <w:pPr>
        <w:spacing w:before="60" w:after="28"/>
        <w:jc w:val="right"/>
        <w:bidi/>
      </w:pPr>
      <w:r>
        <w:rPr>
          <w:b/>
          <w:color w:val="1F4D78"/>
          <w:sz w:val="18"/>
        </w:rPr>
        <w:t>بخش 6A-دکترین</w:t>
      </w:r>
    </w:p>
    <w:p>
      <w:pPr>
        <w:spacing w:after="20"/>
        <w:ind w:left="259"/>
        <w:jc w:val="left"/>
      </w:pPr>
      <w:r>
        <w:rPr>
          <w:color w:val="555555"/>
          <w:sz w:val="12"/>
        </w:rPr>
        <w:t>Section 6A—Doctrine</w:t>
      </w:r>
    </w:p>
    <w:p>
      <w:pPr>
        <w:spacing w:before="60" w:after="28"/>
        <w:jc w:val="right"/>
        <w:bidi/>
      </w:pPr>
      <w:r>
        <w:rPr>
          <w:b/>
          <w:color w:val="1F4D78"/>
          <w:sz w:val="18"/>
        </w:rPr>
        <w:t>6.1. دکترین تعریف شده است</w:t>
      </w:r>
    </w:p>
    <w:p>
      <w:pPr>
        <w:spacing w:after="20"/>
        <w:ind w:left="259"/>
        <w:jc w:val="left"/>
      </w:pPr>
      <w:r>
        <w:rPr>
          <w:color w:val="555555"/>
          <w:sz w:val="12"/>
        </w:rPr>
        <w:t>6.1. Doctrine Defined</w:t>
      </w:r>
    </w:p>
    <w:p>
      <w:pPr>
        <w:spacing w:after="20" w:line="223" w:lineRule="auto"/>
        <w:jc w:val="right"/>
        <w:bidi/>
      </w:pPr>
      <w:r>
        <w:rPr>
          <w:rFonts w:ascii="Arial" w:hAnsi="Arial"/>
          <w:sz w:val="16"/>
        </w:rPr>
        <w:t>093.05  هر هوانوردی به دکترین نیاز دارد تا اساسا بفهمد که چگونه در ساختن نیروی هوایی ما به بهترین در جهان کمک می‌کند.</w:t>
      </w:r>
    </w:p>
    <w:p>
      <w:pPr>
        <w:spacing w:after="28" w:line="216" w:lineRule="auto"/>
        <w:ind w:left="259"/>
        <w:jc w:val="left"/>
      </w:pPr>
      <w:r>
        <w:rPr>
          <w:rFonts w:ascii="Arial" w:hAnsi="Arial"/>
          <w:color w:val="525252"/>
          <w:sz w:val="13"/>
        </w:rPr>
        <w:t>Every Airman needs doctrine to fundamentally understand how he or she contributes to making our Air Force the best in the world.</w:t>
      </w:r>
    </w:p>
    <w:p>
      <w:pPr>
        <w:spacing w:after="20" w:line="223" w:lineRule="auto"/>
        <w:jc w:val="right"/>
        <w:bidi/>
      </w:pPr>
      <w:r>
        <w:rPr>
          <w:rFonts w:ascii="Arial" w:hAnsi="Arial"/>
          <w:sz w:val="16"/>
        </w:rPr>
        <w:t>093.06  به ما می‌گوید که چگونه به‌طور مؤثر و کارآمد از نیروی هوایی برای کمک به دفاع از کشورمان استفاده کنیم.</w:t>
      </w:r>
    </w:p>
    <w:p>
      <w:pPr>
        <w:spacing w:after="28" w:line="216" w:lineRule="auto"/>
        <w:ind w:left="259"/>
        <w:jc w:val="left"/>
      </w:pPr>
      <w:r>
        <w:rPr>
          <w:rFonts w:ascii="Arial" w:hAnsi="Arial"/>
          <w:color w:val="525252"/>
          <w:sz w:val="13"/>
        </w:rPr>
        <w:t>It tells us how to effectively and efficiently apply airpower to help defend our nation.</w:t>
      </w:r>
    </w:p>
    <w:p>
      <w:pPr>
        <w:spacing w:after="20" w:line="223" w:lineRule="auto"/>
        <w:jc w:val="right"/>
        <w:bidi/>
      </w:pPr>
      <w:r>
        <w:rPr>
          <w:rFonts w:ascii="Arial" w:hAnsi="Arial"/>
          <w:sz w:val="16"/>
        </w:rPr>
        <w:t>093.07  ما باید درک کنیم که دکترین میراث هوانوردی است که از هواداران قبل از ما منتقل شده است.</w:t>
      </w:r>
    </w:p>
    <w:p>
      <w:pPr>
        <w:spacing w:after="28" w:line="216" w:lineRule="auto"/>
        <w:ind w:left="259"/>
        <w:jc w:val="left"/>
      </w:pPr>
      <w:r>
        <w:rPr>
          <w:rFonts w:ascii="Arial" w:hAnsi="Arial"/>
          <w:color w:val="525252"/>
          <w:sz w:val="13"/>
        </w:rPr>
        <w:t>We should understand that doctrine is the Airman's inheritance, passed down from Airmen before us.</w:t>
      </w:r>
    </w:p>
    <w:p>
      <w:pPr>
        <w:spacing w:after="20" w:line="223" w:lineRule="auto"/>
        <w:jc w:val="right"/>
        <w:bidi/>
      </w:pPr>
      <w:r>
        <w:rPr>
          <w:rFonts w:ascii="Arial" w:hAnsi="Arial"/>
          <w:sz w:val="16"/>
        </w:rPr>
        <w:t>093.08  این میراث جنگی ماست. دکترین</w:t>
      </w:r>
    </w:p>
    <w:p>
      <w:pPr>
        <w:spacing w:after="28" w:line="216" w:lineRule="auto"/>
        <w:ind w:left="259"/>
        <w:jc w:val="left"/>
      </w:pPr>
      <w:r>
        <w:rPr>
          <w:rFonts w:ascii="Arial" w:hAnsi="Arial"/>
          <w:color w:val="525252"/>
          <w:sz w:val="13"/>
        </w:rPr>
        <w:t>It is our warfighting legacy.</w:t>
      </w:r>
    </w:p>
    <w:p>
      <w:pPr>
        <w:spacing w:after="20" w:line="223" w:lineRule="auto"/>
        <w:jc w:val="right"/>
        <w:bidi/>
      </w:pPr>
      <w:r>
        <w:rPr>
          <w:rFonts w:ascii="Arial" w:hAnsi="Arial"/>
          <w:sz w:val="16"/>
        </w:rPr>
        <w:t>093.09  به ما می‌گوید که ما کی هستیم و چرا نیروی هوایی ما وجود دارد. دکترین</w:t>
      </w:r>
    </w:p>
    <w:p>
      <w:pPr>
        <w:spacing w:after="28" w:line="216" w:lineRule="auto"/>
        <w:ind w:left="259"/>
        <w:jc w:val="left"/>
      </w:pPr>
      <w:r>
        <w:rPr>
          <w:rFonts w:ascii="Arial" w:hAnsi="Arial"/>
          <w:color w:val="525252"/>
          <w:sz w:val="13"/>
        </w:rPr>
        <w:t>Doctrine tells us who we are and why our Air Force exists.</w:t>
      </w:r>
    </w:p>
    <w:p>
      <w:pPr>
        <w:spacing w:after="20" w:line="223" w:lineRule="auto"/>
        <w:jc w:val="right"/>
        <w:bidi/>
      </w:pPr>
      <w:r>
        <w:rPr>
          <w:rFonts w:ascii="Arial" w:hAnsi="Arial"/>
          <w:sz w:val="16"/>
        </w:rPr>
        <w:t>093.10  تجربه جنگی و دانش قهرمانان، رهبران، نظریه پردازان و دانشمندان نیروی هوایی ما است.</w:t>
      </w:r>
    </w:p>
    <w:p>
      <w:pPr>
        <w:spacing w:after="28" w:line="216" w:lineRule="auto"/>
        <w:ind w:left="259"/>
        <w:jc w:val="left"/>
      </w:pPr>
      <w:r>
        <w:rPr>
          <w:rFonts w:ascii="Arial" w:hAnsi="Arial"/>
          <w:color w:val="525252"/>
          <w:sz w:val="13"/>
        </w:rPr>
        <w:t>Doctrine is the distilled warfighting experience and knowledge of our Air Force heroes, leaders, theorists, and scholars.</w:t>
      </w:r>
    </w:p>
    <w:p>
      <w:pPr>
        <w:spacing w:after="20" w:line="223" w:lineRule="auto"/>
        <w:jc w:val="right"/>
        <w:bidi/>
      </w:pPr>
      <w:r>
        <w:rPr>
          <w:rFonts w:ascii="Arial" w:hAnsi="Arial"/>
          <w:sz w:val="16"/>
        </w:rPr>
        <w:t>093.11  از همه مهمتر، دکترین درس‌های جنگ را به تصویر می‌کشد و متبلور می‌کند.</w:t>
      </w:r>
    </w:p>
    <w:p>
      <w:pPr>
        <w:spacing w:after="28" w:line="216" w:lineRule="auto"/>
        <w:ind w:left="259"/>
        <w:jc w:val="left"/>
      </w:pPr>
      <w:r>
        <w:rPr>
          <w:rFonts w:ascii="Arial" w:hAnsi="Arial"/>
          <w:color w:val="525252"/>
          <w:sz w:val="13"/>
        </w:rPr>
        <w:t>Most importantly, doctrine captures and crystallizes the warfighting lessons.</w:t>
      </w:r>
    </w:p>
    <w:p>
      <w:pPr>
        <w:spacing w:after="20" w:line="223" w:lineRule="auto"/>
        <w:jc w:val="right"/>
        <w:bidi/>
      </w:pPr>
      <w:r>
        <w:rPr>
          <w:rFonts w:ascii="Arial" w:hAnsi="Arial"/>
          <w:sz w:val="16"/>
        </w:rPr>
        <w:t>093.12  این مسئولیت ماست که به‌طور مستمر دکترین USAF را از طریق تجربه و بحث بهبود بخشیم تا بتوانیم بهترین شیوه‌ها و درس‌های آموخته شده خود را به هوانوردان فردا منتقل کنیم.</w:t>
      </w:r>
    </w:p>
    <w:p>
      <w:pPr>
        <w:spacing w:after="28" w:line="216" w:lineRule="auto"/>
        <w:ind w:left="259"/>
        <w:jc w:val="left"/>
      </w:pPr>
      <w:r>
        <w:rPr>
          <w:rFonts w:ascii="Arial" w:hAnsi="Arial"/>
          <w:color w:val="525252"/>
          <w:sz w:val="13"/>
        </w:rPr>
        <w:t>It is our responsibility to continually improve USAF doctrine through experience and debate, so we can pass down our best practices and our lessons learned to tomorrow's Airmen.</w:t>
      </w:r>
    </w:p>
    <w:p>
      <w:pPr>
        <w:spacing w:after="20" w:line="223" w:lineRule="auto"/>
        <w:jc w:val="right"/>
        <w:bidi/>
      </w:pPr>
      <w:r>
        <w:rPr>
          <w:rFonts w:ascii="Arial" w:hAnsi="Arial"/>
          <w:sz w:val="16"/>
        </w:rPr>
        <w:t>093.13  «من کاملا متقاعد شده‌ام که رهبران به دنیا نمی‌آیند؛ آنها مانند هر حرفه دیگری، آموزش دیده، آموزش دیده و ساخته شده‌اند.</w:t>
      </w:r>
    </w:p>
    <w:p>
      <w:pPr>
        <w:spacing w:after="28" w:line="216" w:lineRule="auto"/>
        <w:ind w:left="259"/>
        <w:jc w:val="left"/>
      </w:pPr>
      <w:r>
        <w:rPr>
          <w:rFonts w:ascii="Arial" w:hAnsi="Arial"/>
          <w:color w:val="525252"/>
          <w:sz w:val="13"/>
        </w:rPr>
        <w:t>“I’m firmly convinced that leaders are not born; they’re educated, trained, and made, as in every other profession.</w:t>
      </w:r>
    </w:p>
    <w:p>
      <w:pPr>
        <w:spacing w:after="20" w:line="223" w:lineRule="auto"/>
        <w:jc w:val="right"/>
        <w:bidi/>
      </w:pPr>
      <w:r>
        <w:rPr>
          <w:rFonts w:ascii="Arial" w:hAnsi="Arial"/>
          <w:sz w:val="16"/>
        </w:rPr>
        <w:t>093.14  برای اطمینان از یک USAF قوی و آماده، ما باید همیشه به این روند متعهد بمانیم." گنرال کورتیس . لمای، CSAF، ۱۹۶۱-۱۹۶۵ یک بحث کلی در مورد دکترین نیروی هوایی را می‌توان در دوکترین پریمر در دکترین مرکز لمای در https://www.doctrine.af.mil/ یافت.</w:t>
      </w:r>
    </w:p>
    <w:p>
      <w:pPr>
        <w:spacing w:after="28" w:line="216" w:lineRule="auto"/>
        <w:ind w:left="259"/>
        <w:jc w:val="left"/>
      </w:pPr>
      <w:r>
        <w:rPr>
          <w:rFonts w:ascii="Arial" w:hAnsi="Arial"/>
          <w:color w:val="525252"/>
          <w:sz w:val="13"/>
        </w:rPr>
        <w:t>To ensure a strong, ready USAF, we must always remain dedicated to this process.” General Curtis E. LeMay, CSAF, 1961-1965 A general discussion of Air Force doctrine can be found in the Doctrine Primer on the LeMay Center’s doctrine https://www.doctrine.af.mil/.</w:t>
      </w:r>
    </w:p>
    <w:p>
      <w:pPr>
        <w:spacing w:after="20" w:line="223" w:lineRule="auto"/>
        <w:jc w:val="right"/>
        <w:bidi/>
      </w:pPr>
      <w:r>
        <w:rPr>
          <w:rFonts w:ascii="Arial" w:hAnsi="Arial"/>
          <w:sz w:val="16"/>
        </w:rPr>
        <w:t>093.15  مبانی دکترین.</w:t>
      </w:r>
    </w:p>
    <w:p>
      <w:pPr>
        <w:spacing w:after="28" w:line="216" w:lineRule="auto"/>
        <w:ind w:left="259"/>
        <w:jc w:val="left"/>
      </w:pPr>
      <w:r>
        <w:rPr>
          <w:rFonts w:ascii="Arial" w:hAnsi="Arial"/>
          <w:color w:val="525252"/>
          <w:sz w:val="13"/>
        </w:rPr>
        <w:t>Fundamentals of Doctrine.</w:t>
      </w:r>
    </w:p>
    <w:p>
      <w:pPr>
        <w:spacing w:after="20" w:line="223" w:lineRule="auto"/>
        <w:jc w:val="right"/>
        <w:bidi/>
      </w:pPr>
      <w:r>
        <w:rPr>
          <w:rFonts w:ascii="Arial" w:hAnsi="Arial"/>
          <w:sz w:val="16"/>
        </w:rPr>
        <w:t>093.16  خدمت سربازی مبتنی بر ارزش هایی است که تجربه ثابت کرده است برای موفقیت عملیاتی حیاتی است.</w:t>
      </w:r>
    </w:p>
    <w:p>
      <w:pPr>
        <w:spacing w:after="28" w:line="216" w:lineRule="auto"/>
        <w:ind w:left="259"/>
        <w:jc w:val="left"/>
      </w:pPr>
      <w:r>
        <w:rPr>
          <w:rFonts w:ascii="Arial" w:hAnsi="Arial"/>
          <w:color w:val="525252"/>
          <w:sz w:val="13"/>
        </w:rPr>
        <w:t>Military service is based on values that experience has proven to be vital for operational success.</w:t>
      </w:r>
    </w:p>
    <w:p>
      <w:pPr>
        <w:spacing w:after="20" w:line="223" w:lineRule="auto"/>
        <w:jc w:val="right"/>
        <w:bidi/>
      </w:pPr>
      <w:r>
        <w:rPr>
          <w:rFonts w:ascii="Arial" w:hAnsi="Arial"/>
          <w:sz w:val="16"/>
        </w:rPr>
        <w:t>093.17  پیچیدگی ادغام عناصر جنگی بر اساس دکترین، و عدم قطعیت ذاتی در عملیات اضطراری به سرعت در حال توسعه، ایجاب می‌کند که برنامه‌ریزی و اشتغال قابل درک و تکرار شوند.</w:t>
      </w:r>
    </w:p>
    <w:p>
      <w:pPr>
        <w:spacing w:after="28" w:line="216" w:lineRule="auto"/>
        <w:ind w:left="259"/>
        <w:jc w:val="left"/>
      </w:pPr>
      <w:r>
        <w:rPr>
          <w:rFonts w:ascii="Arial" w:hAnsi="Arial"/>
          <w:color w:val="525252"/>
          <w:sz w:val="13"/>
        </w:rPr>
        <w:t>The complexity of integrating fighting elements according to doctrine, and the uncertainty inherent in rapidly developing contingency operations, demands that planning and employment be understood and repeatable.</w:t>
      </w:r>
    </w:p>
    <w:p>
      <w:pPr>
        <w:spacing w:after="20" w:line="223" w:lineRule="auto"/>
        <w:jc w:val="right"/>
        <w:bidi/>
      </w:pPr>
      <w:r>
        <w:rPr>
          <w:rFonts w:ascii="Arial" w:hAnsi="Arial"/>
          <w:sz w:val="16"/>
        </w:rPr>
        <w:t>093.18  رویارویی با چالش‌های این جهان به سرعت در حال تغییر مستلزم درک و کاربرد دکترین است. دکترین</w:t>
      </w:r>
    </w:p>
    <w:p>
      <w:pPr>
        <w:spacing w:after="28" w:line="216" w:lineRule="auto"/>
        <w:ind w:left="259"/>
        <w:jc w:val="left"/>
      </w:pPr>
      <w:r>
        <w:rPr>
          <w:rFonts w:ascii="Arial" w:hAnsi="Arial"/>
          <w:color w:val="525252"/>
          <w:sz w:val="13"/>
        </w:rPr>
        <w:t>Meeting the challenges of this rapidly changing world requires understanding and application of doctrine.</w:t>
      </w:r>
    </w:p>
    <w:p>
      <w:pPr>
        <w:spacing w:after="20" w:line="223" w:lineRule="auto"/>
        <w:jc w:val="right"/>
        <w:bidi/>
      </w:pPr>
      <w:r>
        <w:rPr>
          <w:rFonts w:ascii="Arial" w:hAnsi="Arial"/>
          <w:sz w:val="16"/>
        </w:rPr>
        <w:t>093.19  به‌عنوان دکترین مشترک، دکترین چند ملیتی و دکترین خدمات وجود دارد.</w:t>
      </w:r>
    </w:p>
    <w:p>
      <w:pPr>
        <w:spacing w:after="28" w:line="216" w:lineRule="auto"/>
        <w:ind w:left="259"/>
        <w:jc w:val="left"/>
      </w:pPr>
      <w:r>
        <w:rPr>
          <w:rFonts w:ascii="Arial" w:hAnsi="Arial"/>
          <w:color w:val="525252"/>
          <w:sz w:val="13"/>
        </w:rPr>
        <w:t>Doctrine exists as joint doctrine, multinational doctrine, and Service doctrine.</w:t>
      </w:r>
    </w:p>
    <w:p>
      <w:pPr>
        <w:spacing w:after="20" w:line="223" w:lineRule="auto"/>
        <w:jc w:val="right"/>
        <w:bidi/>
      </w:pPr>
      <w:r>
        <w:rPr>
          <w:rFonts w:ascii="Arial" w:hAnsi="Arial"/>
          <w:sz w:val="16"/>
        </w:rPr>
        <w:t>093.20  دکترین مشترک.</w:t>
      </w:r>
    </w:p>
    <w:p>
      <w:pPr>
        <w:spacing w:after="28" w:line="216" w:lineRule="auto"/>
        <w:ind w:left="259"/>
        <w:jc w:val="left"/>
      </w:pPr>
      <w:r>
        <w:rPr>
          <w:rFonts w:ascii="Arial" w:hAnsi="Arial"/>
          <w:color w:val="525252"/>
          <w:sz w:val="13"/>
        </w:rPr>
        <w:t>Joint Doctrine.</w:t>
      </w:r>
    </w:p>
    <w:p>
      <w:pPr>
        <w:spacing w:after="20" w:line="223" w:lineRule="auto"/>
        <w:jc w:val="right"/>
        <w:bidi/>
      </w:pPr>
      <w:r>
        <w:rPr>
          <w:rFonts w:ascii="Arial" w:hAnsi="Arial"/>
          <w:sz w:val="16"/>
        </w:rPr>
        <w:t>093.21  تهدیدهای فزاینده علیه ایالات متحده و منافع متحدانش در سرتاسر جهان، نیروهای مسلح ایالات متحده را ایجاب می‌کند که در تداوم رقابت مهارت داشته باشند.</w:t>
      </w:r>
    </w:p>
    <w:p>
      <w:pPr>
        <w:spacing w:after="28" w:line="216" w:lineRule="auto"/>
        <w:ind w:left="259"/>
        <w:jc w:val="left"/>
      </w:pPr>
      <w:r>
        <w:rPr>
          <w:rFonts w:ascii="Arial" w:hAnsi="Arial"/>
          <w:color w:val="525252"/>
          <w:sz w:val="13"/>
        </w:rPr>
        <w:t>The growing threats to United States and allied interests throughout the world demand U.S. Armed Forces be proficient across the competition continuum.</w:t>
      </w:r>
    </w:p>
    <w:p>
      <w:pPr>
        <w:spacing w:after="20" w:line="223" w:lineRule="auto"/>
        <w:jc w:val="right"/>
        <w:bidi/>
      </w:pPr>
      <w:r>
        <w:rPr>
          <w:rFonts w:ascii="Arial" w:hAnsi="Arial"/>
          <w:sz w:val="16"/>
        </w:rPr>
        <w:t>093.22  اصول اساسی که عملیات مشترک را هدایت می‌کند در دکترین مشترک ثبت شده است.</w:t>
      </w:r>
    </w:p>
    <w:p>
      <w:pPr>
        <w:spacing w:after="28" w:line="216" w:lineRule="auto"/>
        <w:ind w:left="259"/>
        <w:jc w:val="left"/>
      </w:pPr>
      <w:r>
        <w:rPr>
          <w:rFonts w:ascii="Arial" w:hAnsi="Arial"/>
          <w:color w:val="525252"/>
          <w:sz w:val="13"/>
        </w:rPr>
        <w:t>The fundamental principles that guide joint operations are recorded in joint doctrine.</w:t>
      </w:r>
    </w:p>
    <w:p>
      <w:pPr>
        <w:spacing w:after="20" w:line="223" w:lineRule="auto"/>
        <w:jc w:val="right"/>
        <w:bidi/>
      </w:pPr>
      <w:r>
        <w:rPr>
          <w:rFonts w:ascii="Arial" w:hAnsi="Arial"/>
          <w:sz w:val="16"/>
        </w:rPr>
        <w:t>093.23  هدف دکترین مشترک، افزایش اثربخشی عملیات مشترک با ارائه اصول اساسی است که استخدام و ادغام ارتش ایالات متحده را برای ایجاد وحدت تلاش و وحدت فرماندهی هدایت می‌کند. دکترین مشترک ⟦۰۲۴ دیدگاه مشترکی را برای برنامه‌ریزی، آموزش و اجرای عملیات نظامی مشترک ترویج می‌کند.</w:t>
      </w:r>
    </w:p>
    <w:p>
      <w:pPr>
        <w:spacing w:after="28" w:line="216" w:lineRule="auto"/>
        <w:ind w:left="259"/>
        <w:jc w:val="left"/>
      </w:pPr>
      <w:r>
        <w:rPr>
          <w:rFonts w:ascii="Arial" w:hAnsi="Arial"/>
          <w:color w:val="525252"/>
          <w:sz w:val="13"/>
        </w:rPr>
        <w:t>The purpose of joint doctrine is to enhance the effectiveness of joint operations by providing fundamental principles that guide the employment and integration of the U.S. military to create unity of effort and unity of command.</w:t>
      </w:r>
    </w:p>
    <w:p>
      <w:pPr>
        <w:spacing w:after="20" w:line="223" w:lineRule="auto"/>
        <w:jc w:val="right"/>
        <w:bidi/>
      </w:pPr>
      <w:r>
        <w:rPr>
          <w:rFonts w:ascii="Arial" w:hAnsi="Arial"/>
          <w:sz w:val="16"/>
        </w:rPr>
        <w:t>093.24  دکترین مشترک دیدگاه مشترکی را برای برنامه‌ریزی، آموزش و اجرای عملیات نظامی مشترک ترویج می‌کند.</w:t>
      </w:r>
    </w:p>
    <w:p>
      <w:pPr>
        <w:spacing w:after="28" w:line="216" w:lineRule="auto"/>
        <w:ind w:left="259"/>
        <w:jc w:val="left"/>
      </w:pPr>
      <w:r>
        <w:rPr>
          <w:rFonts w:ascii="Arial" w:hAnsi="Arial"/>
          <w:color w:val="525252"/>
          <w:sz w:val="13"/>
        </w:rPr>
        <w:t>Joint doctrine promotes a common perspective from which to plan, train, and conduct joint military operations.</w:t>
      </w:r>
    </w:p>
    <w:p>
      <w:pPr>
        <w:spacing w:after="20" w:line="223" w:lineRule="auto"/>
        <w:jc w:val="right"/>
        <w:bidi/>
      </w:pPr>
      <w:r>
        <w:rPr>
          <w:rFonts w:ascii="Arial" w:hAnsi="Arial"/>
          <w:sz w:val="16"/>
        </w:rPr>
        <w:t>093.25  مبانی دکترین مشترک بیانگر آنچه آموزش داده می‌شود، باور می‌شود و از آن حمایت می‌شود (چه چیزی درست است و چه چیزی بهتر عمل می‌کند).</w:t>
      </w:r>
    </w:p>
    <w:p>
      <w:pPr>
        <w:spacing w:after="28" w:line="216" w:lineRule="auto"/>
        <w:ind w:left="259"/>
        <w:jc w:val="left"/>
      </w:pPr>
      <w:r>
        <w:rPr>
          <w:rFonts w:ascii="Arial" w:hAnsi="Arial"/>
          <w:color w:val="525252"/>
          <w:sz w:val="13"/>
        </w:rPr>
        <w:t>The foundations of joint doctrine represent what is taught, believed, and advocated for (what is right and what works best).</w:t>
      </w:r>
    </w:p>
    <w:p>
      <w:pPr>
        <w:spacing w:after="20" w:line="223" w:lineRule="auto"/>
        <w:jc w:val="right"/>
        <w:bidi/>
      </w:pPr>
      <w:r>
        <w:rPr>
          <w:rFonts w:ascii="Arial" w:hAnsi="Arial"/>
          <w:sz w:val="16"/>
        </w:rPr>
        <w:t>093.26  عملیات مشترک به‌طور معمول و کارآمد در محیط عملیاتی فعلی انجام می‌شود.</w:t>
      </w:r>
    </w:p>
    <w:p>
      <w:pPr>
        <w:spacing w:after="28" w:line="216" w:lineRule="auto"/>
        <w:ind w:left="259"/>
        <w:jc w:val="left"/>
      </w:pPr>
      <w:r>
        <w:rPr>
          <w:rFonts w:ascii="Arial" w:hAnsi="Arial"/>
          <w:color w:val="525252"/>
          <w:sz w:val="13"/>
        </w:rPr>
        <w:t>Joint operations are conducted routinely and efficiently in the current operational environment.</w:t>
      </w:r>
    </w:p>
    <w:p>
      <w:pPr>
        <w:spacing w:after="20" w:line="223" w:lineRule="auto"/>
        <w:jc w:val="right"/>
        <w:bidi/>
      </w:pPr>
      <w:r>
        <w:rPr>
          <w:rFonts w:ascii="Arial" w:hAnsi="Arial"/>
          <w:sz w:val="16"/>
        </w:rPr>
        <w:t>093.27  برای حفظ و ارتقای این کارایی، رهبران مشترک باید با پشتکار مطالعه، اعمال، آموزش و در نهایت بینش برای بهبود دکترین مشترک ارائه دهند.</w:t>
      </w:r>
    </w:p>
    <w:p>
      <w:pPr>
        <w:spacing w:after="28" w:line="216" w:lineRule="auto"/>
        <w:ind w:left="259"/>
        <w:jc w:val="left"/>
      </w:pPr>
      <w:r>
        <w:rPr>
          <w:rFonts w:ascii="Arial" w:hAnsi="Arial"/>
          <w:color w:val="525252"/>
          <w:sz w:val="13"/>
        </w:rPr>
        <w:t>To maintain and enhance this efficiency, joint leaders must diligently study, apply, teach, and ultimately provide insights to improve joint doctrine.</w:t>
      </w:r>
    </w:p>
    <w:p>
      <w:pPr>
        <w:spacing w:after="20" w:line="223" w:lineRule="auto"/>
        <w:jc w:val="right"/>
        <w:bidi/>
      </w:pPr>
      <w:r>
        <w:rPr>
          <w:rFonts w:ascii="Arial" w:hAnsi="Arial"/>
          <w:sz w:val="16"/>
        </w:rPr>
        <w:t>093.28  JP ۱ جلد ۱، جنگ مشترک، نسخه مرجع، اصول اساسی و راهنمایی‌های کلی را برای نیروهای مسلح ایالات متحده ارائه می‌دهد و هسته اصلی نیروهای ما را تشکیل می‌دهد تا بتوانند به‌عنوان یک نیروی متحد بجنگند - یک تیم مشترک.</w:t>
      </w:r>
    </w:p>
    <w:p>
      <w:pPr>
        <w:spacing w:after="28" w:line="216" w:lineRule="auto"/>
        <w:ind w:left="259"/>
        <w:jc w:val="left"/>
      </w:pPr>
      <w:r>
        <w:rPr>
          <w:rFonts w:ascii="Arial" w:hAnsi="Arial"/>
          <w:color w:val="525252"/>
          <w:sz w:val="13"/>
        </w:rPr>
        <w:t>JP 1 Volume 1, Joint Warfighting, Reference Copy, provides fundamental principles and overarching guidance for the U.S. Armed Forces and forms the core for our forces to be able to fight as a unified force—a joint team.</w:t>
      </w:r>
    </w:p>
    <w:p>
      <w:pPr>
        <w:spacing w:after="20" w:line="223" w:lineRule="auto"/>
        <w:jc w:val="right"/>
        <w:bidi/>
      </w:pPr>
      <w:r>
        <w:rPr>
          <w:rFonts w:ascii="Arial" w:hAnsi="Arial"/>
          <w:sz w:val="16"/>
        </w:rPr>
        <w:t>093.29  دکترین مشترک توصیه رسمی است و عمل خواهد شد مگر در مواردی که به تشخیص فرمانده یا شرایط استثنایی خلاف آن حکم شود.</w:t>
      </w:r>
    </w:p>
    <w:p>
      <w:pPr>
        <w:spacing w:after="28" w:line="216" w:lineRule="auto"/>
        <w:ind w:left="259"/>
        <w:jc w:val="left"/>
      </w:pPr>
      <w:r>
        <w:rPr>
          <w:rFonts w:ascii="Arial" w:hAnsi="Arial"/>
          <w:color w:val="525252"/>
          <w:sz w:val="13"/>
        </w:rPr>
        <w:t>Joint doctrine is official advice and will be followed, except when in the judgment of the commander or exceptional circumstances dictate otherwise.</w:t>
      </w:r>
    </w:p>
    <w:p>
      <w:pPr>
        <w:spacing w:after="20" w:line="223" w:lineRule="auto"/>
        <w:jc w:val="right"/>
        <w:bidi/>
      </w:pPr>
      <w:r>
        <w:rPr>
          <w:rFonts w:ascii="Arial" w:hAnsi="Arial"/>
          <w:sz w:val="16"/>
        </w:rPr>
        <w:t>093.30  دکترین چند ملیتی.</w:t>
      </w:r>
    </w:p>
    <w:p>
      <w:pPr>
        <w:spacing w:after="28" w:line="216" w:lineRule="auto"/>
        <w:ind w:left="259"/>
        <w:jc w:val="left"/>
      </w:pPr>
      <w:r>
        <w:rPr>
          <w:rFonts w:ascii="Arial" w:hAnsi="Arial"/>
          <w:color w:val="525252"/>
          <w:sz w:val="13"/>
        </w:rPr>
        <w:t>Multinational Doctrine.</w:t>
      </w:r>
    </w:p>
    <w:p>
      <w:pPr>
        <w:spacing w:after="20" w:line="223" w:lineRule="auto"/>
        <w:jc w:val="right"/>
        <w:bidi/>
      </w:pPr>
      <w:r>
        <w:rPr>
          <w:rFonts w:ascii="Arial" w:hAnsi="Arial"/>
          <w:sz w:val="16"/>
        </w:rPr>
        <w:t>093.31  برخی از کشورها دارای دکترین و برنامه‌های آموزشی با کامل هستند</w:t>
      </w:r>
    </w:p>
    <w:p>
      <w:pPr>
        <w:spacing w:after="28" w:line="216" w:lineRule="auto"/>
        <w:ind w:left="259"/>
        <w:jc w:val="left"/>
      </w:pPr>
      <w:r>
        <w:rPr>
          <w:rFonts w:ascii="Arial" w:hAnsi="Arial"/>
          <w:color w:val="525252"/>
          <w:sz w:val="13"/>
        </w:rPr>
        <w:t>Some nations possess doctrine and training programs with a full</w:t>
      </w:r>
    </w:p>
    <w:p>
      <w:r>
        <w:br w:type="page"/>
      </w:r>
    </w:p>
    <w:p>
      <w:pPr>
        <w:spacing w:after="60"/>
        <w:jc w:val="right"/>
        <w:bidi/>
      </w:pPr>
      <w:r>
        <w:rPr>
          <w:rFonts w:ascii="Arial" w:hAnsi="Arial"/>
          <w:b/>
          <w:color w:val="1F4D78"/>
          <w:sz w:val="19"/>
        </w:rPr>
        <w:t>هفتهٔ 94  |  صفحهٔ منبع: 110</w:t>
      </w:r>
    </w:p>
    <w:p>
      <w:pPr>
        <w:spacing w:after="20" w:line="223" w:lineRule="auto"/>
        <w:jc w:val="right"/>
        <w:bidi/>
      </w:pPr>
      <w:r>
        <w:rPr>
          <w:rFonts w:ascii="Arial" w:hAnsi="Arial"/>
          <w:sz w:val="16"/>
        </w:rPr>
        <w:t>094.01  رسیدگی به مسائل استراتژیک، عملیاتی و تاکتیکی.</w:t>
      </w:r>
    </w:p>
    <w:p>
      <w:pPr>
        <w:spacing w:after="28" w:line="216" w:lineRule="auto"/>
        <w:ind w:left="259"/>
        <w:jc w:val="left"/>
      </w:pPr>
      <w:r>
        <w:rPr>
          <w:rFonts w:ascii="Arial" w:hAnsi="Arial"/>
          <w:color w:val="525252"/>
          <w:sz w:val="13"/>
        </w:rPr>
        <w:t>treatment of strategic, operational, and tactical issues.</w:t>
      </w:r>
    </w:p>
    <w:p>
      <w:pPr>
        <w:spacing w:after="20" w:line="223" w:lineRule="auto"/>
        <w:jc w:val="right"/>
        <w:bidi/>
      </w:pPr>
      <w:r>
        <w:rPr>
          <w:rFonts w:ascii="Arial" w:hAnsi="Arial"/>
          <w:sz w:val="16"/>
        </w:rPr>
        <w:t>094.02  سایر کشورها برنامه‌های دکترین و آموزشی هم از نظر وسعت و هم توانایی کمتری برای مطابقت با اهداف و مقاصد ملی خود دارند.</w:t>
      </w:r>
    </w:p>
    <w:p>
      <w:pPr>
        <w:spacing w:after="28" w:line="216" w:lineRule="auto"/>
        <w:ind w:left="259"/>
        <w:jc w:val="left"/>
      </w:pPr>
      <w:r>
        <w:rPr>
          <w:rFonts w:ascii="Arial" w:hAnsi="Arial"/>
          <w:color w:val="525252"/>
          <w:sz w:val="13"/>
        </w:rPr>
        <w:t>Other nations have doctrine and training programs smaller in both scope and capability to match their national goals and objectives.</w:t>
      </w:r>
    </w:p>
    <w:p>
      <w:pPr>
        <w:spacing w:after="20" w:line="223" w:lineRule="auto"/>
        <w:jc w:val="right"/>
        <w:bidi/>
      </w:pPr>
      <w:r>
        <w:rPr>
          <w:rFonts w:ascii="Arial" w:hAnsi="Arial"/>
          <w:sz w:val="16"/>
        </w:rPr>
        <w:t>094.03  دکترین چند ملیتی، همانطور که در مورد نیروی هوایی اعمال می‌شود، بهترین راه را برای ادغام و به‌کارگیری نیروهای USAF با نیروهای متحدان در جنگ ائتلاف توصیف می‌کند.</w:t>
      </w:r>
    </w:p>
    <w:p>
      <w:pPr>
        <w:spacing w:after="28" w:line="216" w:lineRule="auto"/>
        <w:ind w:left="259"/>
        <w:jc w:val="left"/>
      </w:pPr>
      <w:r>
        <w:rPr>
          <w:rFonts w:ascii="Arial" w:hAnsi="Arial"/>
          <w:color w:val="525252"/>
          <w:sz w:val="13"/>
        </w:rPr>
        <w:t>Multinational doctrine, as it applies to airpower, describes the best way to integrate and employ USAFs with the forces of allies in coalition warfare.</w:t>
      </w:r>
    </w:p>
    <w:p>
      <w:pPr>
        <w:spacing w:after="20" w:line="223" w:lineRule="auto"/>
        <w:jc w:val="right"/>
        <w:bidi/>
      </w:pPr>
      <w:r>
        <w:rPr>
          <w:rFonts w:ascii="Arial" w:hAnsi="Arial"/>
          <w:sz w:val="16"/>
        </w:rPr>
        <w:t>094.04  اصول، سازماندهی و رویه‌های اساسی مورد توافق بین یا بین نیروهای متفقین را ایجاد می‌کند.</w:t>
      </w:r>
    </w:p>
    <w:p>
      <w:pPr>
        <w:spacing w:after="28" w:line="216" w:lineRule="auto"/>
        <w:ind w:left="259"/>
        <w:jc w:val="left"/>
      </w:pPr>
      <w:r>
        <w:rPr>
          <w:rFonts w:ascii="Arial" w:hAnsi="Arial"/>
          <w:color w:val="525252"/>
          <w:sz w:val="13"/>
        </w:rPr>
        <w:t>It establishes principles, organization, and fundamental procedures agreed upon between or among Allied Forces.</w:t>
      </w:r>
    </w:p>
    <w:p>
      <w:pPr>
        <w:spacing w:after="20" w:line="223" w:lineRule="auto"/>
        <w:jc w:val="right"/>
        <w:bidi/>
      </w:pPr>
      <w:r>
        <w:rPr>
          <w:rFonts w:ascii="Arial" w:hAnsi="Arial"/>
          <w:sz w:val="16"/>
        </w:rPr>
        <w:t>094.05  هنگامی که در نتیجه یک معاهده ایجاد شود، مانند سازمان پیمان آتلانتیک شمالی (ناتو)، دکترین چند ملیتی دستوری است.</w:t>
      </w:r>
    </w:p>
    <w:p>
      <w:pPr>
        <w:spacing w:after="28" w:line="216" w:lineRule="auto"/>
        <w:ind w:left="259"/>
        <w:jc w:val="left"/>
      </w:pPr>
      <w:r>
        <w:rPr>
          <w:rFonts w:ascii="Arial" w:hAnsi="Arial"/>
          <w:color w:val="525252"/>
          <w:sz w:val="13"/>
        </w:rPr>
        <w:t>When developed as a result of a treaty, as in North Atlantic Treaty Organization (NATO), multinational doctrine is directive.</w:t>
      </w:r>
    </w:p>
    <w:p>
      <w:pPr>
        <w:spacing w:after="20" w:line="223" w:lineRule="auto"/>
        <w:jc w:val="right"/>
        <w:bidi/>
      </w:pPr>
      <w:r>
        <w:rPr>
          <w:rFonts w:ascii="Arial" w:hAnsi="Arial"/>
          <w:sz w:val="16"/>
        </w:rPr>
        <w:t>094.06  هنگامی که نیروهای مسلح ایالات متحده در عملیات‌های چند ملیتی شرکت می‌کنند، فرماندهان ما از دکترین چند ملیتی پیروی می‌کنند و رویه‌های تأیید شده (مورد تأیید) را دنبال می‌کنند.</w:t>
      </w:r>
    </w:p>
    <w:p>
      <w:pPr>
        <w:spacing w:after="28" w:line="216" w:lineRule="auto"/>
        <w:ind w:left="259"/>
        <w:jc w:val="left"/>
      </w:pPr>
      <w:r>
        <w:rPr>
          <w:rFonts w:ascii="Arial" w:hAnsi="Arial"/>
          <w:color w:val="525252"/>
          <w:sz w:val="13"/>
        </w:rPr>
        <w:t>When the U.S. Armed Forces participate in multinational operations, our commanders follow multinational doctrine and ratified (approved) procedures.</w:t>
      </w:r>
    </w:p>
    <w:p>
      <w:pPr>
        <w:spacing w:after="20" w:line="223" w:lineRule="auto"/>
        <w:jc w:val="right"/>
        <w:bidi/>
      </w:pPr>
      <w:r>
        <w:rPr>
          <w:rFonts w:ascii="Arial" w:hAnsi="Arial"/>
          <w:sz w:val="16"/>
        </w:rPr>
        <w:t>094.07  برای دکترین و رویه‌های چندملیتی که توسط ایالات متحده تأیید نشده است، فرماندهان باید دکترین و رویه‌های فرماندهی چند ملیتی را در صورت لزوم و مطابق با قانون، خط‌مشی و دستورالعمل‌ها ارزیابی کرده و از آنها پیروی کنند.</w:t>
      </w:r>
    </w:p>
    <w:p>
      <w:pPr>
        <w:spacing w:after="28" w:line="216" w:lineRule="auto"/>
        <w:ind w:left="259"/>
        <w:jc w:val="left"/>
      </w:pPr>
      <w:r>
        <w:rPr>
          <w:rFonts w:ascii="Arial" w:hAnsi="Arial"/>
          <w:color w:val="525252"/>
          <w:sz w:val="13"/>
        </w:rPr>
        <w:t>For multinational doctrine and procedures not ratified by the United States, commanders should evaluate and follow multinational command doctrine and procedures where applicable and consistent with law, policy, and guidance.</w:t>
      </w:r>
    </w:p>
    <w:p>
      <w:pPr>
        <w:spacing w:after="20" w:line="223" w:lineRule="auto"/>
        <w:jc w:val="right"/>
        <w:bidi/>
      </w:pPr>
      <w:r>
        <w:rPr>
          <w:rFonts w:ascii="Arial" w:hAnsi="Arial"/>
          <w:sz w:val="16"/>
        </w:rPr>
        <w:t>094.08  دکترین خدمات.</w:t>
      </w:r>
    </w:p>
    <w:p>
      <w:pPr>
        <w:spacing w:after="28" w:line="216" w:lineRule="auto"/>
        <w:ind w:left="259"/>
        <w:jc w:val="left"/>
      </w:pPr>
      <w:r>
        <w:rPr>
          <w:rFonts w:ascii="Arial" w:hAnsi="Arial"/>
          <w:color w:val="525252"/>
          <w:sz w:val="13"/>
        </w:rPr>
        <w:t>Service Doctrine.</w:t>
      </w:r>
    </w:p>
    <w:p>
      <w:pPr>
        <w:spacing w:after="20" w:line="223" w:lineRule="auto"/>
        <w:jc w:val="right"/>
        <w:bidi/>
      </w:pPr>
      <w:r>
        <w:rPr>
          <w:rFonts w:ascii="Arial" w:hAnsi="Arial"/>
          <w:sz w:val="16"/>
        </w:rPr>
        <w:t>094.09  دکترین خدمات ما، دکترین USAF (https://www.doctrine.af.mil/)، توسط مرکز توسعه دکترین و آموزش کورتیس . لمای در پایگاه نیروی هوایی ماکسول، آلاباما ایجاد شده است.</w:t>
      </w:r>
    </w:p>
    <w:p>
      <w:pPr>
        <w:spacing w:after="28" w:line="216" w:lineRule="auto"/>
        <w:ind w:left="259"/>
        <w:jc w:val="left"/>
      </w:pPr>
      <w:r>
        <w:rPr>
          <w:rFonts w:ascii="Arial" w:hAnsi="Arial"/>
          <w:color w:val="525252"/>
          <w:sz w:val="13"/>
        </w:rPr>
        <w:t>Our service doctrine, USAF doctrine (https://www.doctrine.af.mil/), is developed by the Curtis E. LeMay Center for Doctrine Development and Education at Maxwell Air Force Base, Alabama.</w:t>
      </w:r>
    </w:p>
    <w:p>
      <w:pPr>
        <w:spacing w:after="20" w:line="223" w:lineRule="auto"/>
        <w:jc w:val="right"/>
        <w:bidi/>
      </w:pPr>
      <w:r>
        <w:rPr>
          <w:rFonts w:ascii="Arial" w:hAnsi="Arial"/>
          <w:sz w:val="16"/>
        </w:rPr>
        <w:t>094.10  دکترین ما بهترین شیوه‌ها را برای سازماندهی، برنامه‌ریزی و به‌کارگیری نیروی هوایی جهانی ارائه می‌دهد.</w:t>
      </w:r>
    </w:p>
    <w:p>
      <w:pPr>
        <w:spacing w:after="28" w:line="216" w:lineRule="auto"/>
        <w:ind w:left="259"/>
        <w:jc w:val="left"/>
      </w:pPr>
      <w:r>
        <w:rPr>
          <w:rFonts w:ascii="Arial" w:hAnsi="Arial"/>
          <w:color w:val="525252"/>
          <w:sz w:val="13"/>
        </w:rPr>
        <w:t>Our doctrine provides best practices for organization, planning, and employment of global airpower.</w:t>
      </w:r>
    </w:p>
    <w:p>
      <w:pPr>
        <w:spacing w:after="20" w:line="223" w:lineRule="auto"/>
        <w:jc w:val="right"/>
        <w:bidi/>
      </w:pPr>
      <w:r>
        <w:rPr>
          <w:rFonts w:ascii="Arial" w:hAnsi="Arial"/>
          <w:sz w:val="16"/>
        </w:rPr>
        <w:t>094.11  با بهبود قابلیت‌های نیروی هوایی، نیروهای هوایی همچنین باید مفاهیم، ​​درس‌های آموخته‌شده و فناوری‌های جدید را در فرآیندهای توسعه و کاربرد خود بگنجانند.</w:t>
      </w:r>
    </w:p>
    <w:p>
      <w:pPr>
        <w:spacing w:after="28" w:line="216" w:lineRule="auto"/>
        <w:ind w:left="259"/>
        <w:jc w:val="left"/>
      </w:pPr>
      <w:r>
        <w:rPr>
          <w:rFonts w:ascii="Arial" w:hAnsi="Arial"/>
          <w:color w:val="525252"/>
          <w:sz w:val="13"/>
        </w:rPr>
        <w:t>As airpower capabilities improve, Airmen must also incorporate new concepts, lessons learned, and technologies into our development and application processes.</w:t>
      </w:r>
    </w:p>
    <w:p>
      <w:pPr>
        <w:spacing w:after="20" w:line="223" w:lineRule="auto"/>
        <w:jc w:val="right"/>
        <w:bidi/>
      </w:pPr>
      <w:r>
        <w:rPr>
          <w:rFonts w:ascii="Arial" w:hAnsi="Arial"/>
          <w:sz w:val="16"/>
        </w:rPr>
        <w:t>094.12  توجه: مرکز لمای نسب خود را به مدرسه تاکتیکی نیروی هوایی در لنگلی فیلد، ویرجینیا می‌رساند.</w:t>
      </w:r>
    </w:p>
    <w:p>
      <w:pPr>
        <w:spacing w:after="28" w:line="216" w:lineRule="auto"/>
        <w:ind w:left="259"/>
        <w:jc w:val="left"/>
      </w:pPr>
      <w:r>
        <w:rPr>
          <w:rFonts w:ascii="Arial" w:hAnsi="Arial"/>
          <w:color w:val="525252"/>
          <w:sz w:val="13"/>
        </w:rPr>
        <w:t>Note: The LeMay Center traces its lineage to the Air Corps Tactical School at Langley Field, Virginia.</w:t>
      </w:r>
    </w:p>
    <w:p>
      <w:pPr>
        <w:spacing w:after="20" w:line="223" w:lineRule="auto"/>
        <w:jc w:val="right"/>
        <w:bidi/>
      </w:pPr>
      <w:r>
        <w:rPr>
          <w:rFonts w:ascii="Arial" w:hAnsi="Arial"/>
          <w:sz w:val="16"/>
        </w:rPr>
        <w:t>094.13  از طریق یک سری تغییرات در نام و مکان، مدرسه به مرکز توسعه دکترین نیروی هوایی تبدیل شد و تبدیل به یک مدرسه مقدماتی برای افسران نیروی هوایی شد که مشتاق حضور در دانشکده فرماندهی و ستاد کل ارتش ایالات متحده بودند.</w:t>
      </w:r>
    </w:p>
    <w:p>
      <w:pPr>
        <w:spacing w:after="28" w:line="216" w:lineRule="auto"/>
        <w:ind w:left="259"/>
        <w:jc w:val="left"/>
      </w:pPr>
      <w:r>
        <w:rPr>
          <w:rFonts w:ascii="Arial" w:hAnsi="Arial"/>
          <w:color w:val="525252"/>
          <w:sz w:val="13"/>
        </w:rPr>
        <w:t>Through a series of changes in name and location, the school evolved into the doctrine development center of the Air Corps and became a preparatory school for Air Corps officers aspiring to attend the U.S. Army's Command and General Staff College.</w:t>
      </w:r>
    </w:p>
    <w:p>
      <w:pPr>
        <w:spacing w:after="20" w:line="223" w:lineRule="auto"/>
        <w:jc w:val="right"/>
        <w:bidi/>
      </w:pPr>
      <w:r>
        <w:rPr>
          <w:rFonts w:ascii="Arial" w:hAnsi="Arial"/>
          <w:sz w:val="16"/>
        </w:rPr>
        <w:t>094.14  در سال ۱۹۴۶، نیروی هوایی ارتش دانشگاه هوایی را برای ادامه اهداف مدرسه تاکتیکی نیروی هوایی ایجاد کرد.</w:t>
      </w:r>
    </w:p>
    <w:p>
      <w:pPr>
        <w:spacing w:after="28" w:line="216" w:lineRule="auto"/>
        <w:ind w:left="259"/>
        <w:jc w:val="left"/>
      </w:pPr>
      <w:r>
        <w:rPr>
          <w:rFonts w:ascii="Arial" w:hAnsi="Arial"/>
          <w:color w:val="525252"/>
          <w:sz w:val="13"/>
        </w:rPr>
        <w:t>In 1946, the Army Air Force created the Air University to continue with the Air Corps Tactical School objectives.</w:t>
      </w:r>
    </w:p>
    <w:p>
      <w:pPr>
        <w:spacing w:after="20" w:line="223" w:lineRule="auto"/>
        <w:jc w:val="right"/>
        <w:bidi/>
      </w:pPr>
      <w:r>
        <w:rPr>
          <w:rFonts w:ascii="Arial" w:hAnsi="Arial"/>
          <w:sz w:val="16"/>
        </w:rPr>
        <w:t>094.15  امروز، مرکز لمای به‌عنوان نماینده اصلی CSAF برای دکترین عمل می‌کند و تخصص توسعه دکترین را برای کل USAF ارائه می‌کند.</w:t>
      </w:r>
    </w:p>
    <w:p>
      <w:pPr>
        <w:spacing w:after="28" w:line="216" w:lineRule="auto"/>
        <w:ind w:left="259"/>
        <w:jc w:val="left"/>
      </w:pPr>
      <w:r>
        <w:rPr>
          <w:rFonts w:ascii="Arial" w:hAnsi="Arial"/>
          <w:color w:val="525252"/>
          <w:sz w:val="13"/>
        </w:rPr>
        <w:t>Today, the LeMay Center serves as the CSAF’s Principal Agent for Doctrine and provides doctrine development expertise for the entire USAF.</w:t>
      </w:r>
    </w:p>
    <w:p>
      <w:pPr>
        <w:spacing w:before="60" w:after="28"/>
        <w:jc w:val="right"/>
        <w:bidi/>
      </w:pPr>
      <w:r>
        <w:rPr>
          <w:b/>
          <w:color w:val="1F4D78"/>
          <w:sz w:val="18"/>
        </w:rPr>
        <w:t>6.2. سطوح دکترین USAF</w:t>
      </w:r>
    </w:p>
    <w:p>
      <w:pPr>
        <w:spacing w:after="20"/>
        <w:ind w:left="259"/>
        <w:jc w:val="left"/>
      </w:pPr>
      <w:r>
        <w:rPr>
          <w:color w:val="555555"/>
          <w:sz w:val="12"/>
        </w:rPr>
        <w:t>6.2. Levels of USAF Doctrine</w:t>
      </w:r>
    </w:p>
    <w:p>
      <w:pPr>
        <w:spacing w:after="20" w:line="223" w:lineRule="auto"/>
        <w:jc w:val="right"/>
        <w:bidi/>
      </w:pPr>
      <w:r>
        <w:rPr>
          <w:rFonts w:ascii="Arial" w:hAnsi="Arial"/>
          <w:sz w:val="16"/>
        </w:rPr>
        <w:t>094.17  نیروی هوایی هرگز به تنهایی تحت تعقیب قرار نمی‌گیرد و هیچ یک از عملیات‌های احتمالی نظامی، چه در زمان صلح و چه در زمان جنگ، نمی‌تواند هدف خود را بدون فضا یا فضای سایبری بهینه کند.</w:t>
      </w:r>
    </w:p>
    <w:p>
      <w:pPr>
        <w:spacing w:after="28" w:line="216" w:lineRule="auto"/>
        <w:ind w:left="259"/>
        <w:jc w:val="left"/>
      </w:pPr>
      <w:r>
        <w:rPr>
          <w:rFonts w:ascii="Arial" w:hAnsi="Arial"/>
          <w:color w:val="525252"/>
          <w:sz w:val="13"/>
        </w:rPr>
        <w:t>Airpower is never prosecuted alone, and not one military contingency or operation, whether in peacetime or wartime, can optimize its objective without space or cyberspace.</w:t>
      </w:r>
    </w:p>
    <w:p>
      <w:pPr>
        <w:spacing w:after="20" w:line="223" w:lineRule="auto"/>
        <w:jc w:val="right"/>
        <w:bidi/>
      </w:pPr>
      <w:r>
        <w:rPr>
          <w:rFonts w:ascii="Arial" w:hAnsi="Arial"/>
          <w:sz w:val="16"/>
        </w:rPr>
        <w:t>094.18  کاربرد صحیح نیروی هوایی مستلزم یک دکترین جامع اشتغال و دیدگاه یک عضو نیروی هوایی است.</w:t>
      </w:r>
    </w:p>
    <w:p>
      <w:pPr>
        <w:spacing w:after="28" w:line="216" w:lineRule="auto"/>
        <w:ind w:left="259"/>
        <w:jc w:val="left"/>
      </w:pPr>
      <w:r>
        <w:rPr>
          <w:rFonts w:ascii="Arial" w:hAnsi="Arial"/>
          <w:color w:val="525252"/>
          <w:sz w:val="13"/>
        </w:rPr>
        <w:t>The proper application of airpower requires a comprehensive doctrine of employment and an Airman’s perspective.</w:t>
      </w:r>
    </w:p>
    <w:p>
      <w:pPr>
        <w:spacing w:after="20" w:line="223" w:lineRule="auto"/>
        <w:jc w:val="right"/>
        <w:bidi/>
      </w:pPr>
      <w:r>
        <w:rPr>
          <w:rFonts w:ascii="Arial" w:hAnsi="Arial"/>
          <w:sz w:val="16"/>
        </w:rPr>
        <w:t>094.19  اطلاعات مندرج در دکترین USAF، چه به‌طور مستقیم یا غیرمستقیم، به‌طور روزانه در مورد نیروهای هوایی اعمال می‌شود.</w:t>
      </w:r>
    </w:p>
    <w:p>
      <w:pPr>
        <w:spacing w:after="28" w:line="216" w:lineRule="auto"/>
        <w:ind w:left="259"/>
        <w:jc w:val="left"/>
      </w:pPr>
      <w:r>
        <w:rPr>
          <w:rFonts w:ascii="Arial" w:hAnsi="Arial"/>
          <w:color w:val="525252"/>
          <w:sz w:val="13"/>
        </w:rPr>
        <w:t>Information addressed in USAF doctrine, whether directly or indirectly, applies to Airmen on a daily basis.</w:t>
      </w:r>
    </w:p>
    <w:p>
      <w:pPr>
        <w:spacing w:after="20" w:line="223" w:lineRule="auto"/>
        <w:jc w:val="right"/>
        <w:bidi/>
      </w:pPr>
      <w:r>
        <w:rPr>
          <w:rFonts w:ascii="Arial" w:hAnsi="Arial"/>
          <w:sz w:val="16"/>
        </w:rPr>
        <w:t>094.20  دروس ارائه شده در دکترین، در حالی که برای درک جنگ نوشته شده‌اند، اغلب می‌توانند تحت طیف وسیعی از زمینه‌ها استفاده شوند که تصمیم‌گیری را تقویت می‌کند و رهبری را در سرتاسر USAF تقویت می‌کند. دکترین</w:t>
      </w:r>
    </w:p>
    <w:p>
      <w:pPr>
        <w:spacing w:after="28" w:line="216" w:lineRule="auto"/>
        <w:ind w:left="259"/>
        <w:jc w:val="left"/>
      </w:pPr>
      <w:r>
        <w:rPr>
          <w:rFonts w:ascii="Arial" w:hAnsi="Arial"/>
          <w:color w:val="525252"/>
          <w:sz w:val="13"/>
        </w:rPr>
        <w:t>Lessons presented in doctrine, while written for the purpose of understanding warfighting, often can be applied under a range of contexts that enhance decision- making and strengthen leadership across the USAF.</w:t>
      </w:r>
    </w:p>
    <w:p>
      <w:pPr>
        <w:spacing w:after="20" w:line="223" w:lineRule="auto"/>
        <w:jc w:val="right"/>
        <w:bidi/>
      </w:pPr>
      <w:r>
        <w:rPr>
          <w:rFonts w:ascii="Arial" w:hAnsi="Arial"/>
          <w:sz w:val="16"/>
        </w:rPr>
        <w:t>094.21  USAF در سه سطح اصلی، عملیاتی و تاکتیکی مورد توجه قرار می‌گیرد.</w:t>
      </w:r>
    </w:p>
    <w:p>
      <w:pPr>
        <w:spacing w:after="28" w:line="216" w:lineRule="auto"/>
        <w:ind w:left="259"/>
        <w:jc w:val="left"/>
      </w:pPr>
      <w:r>
        <w:rPr>
          <w:rFonts w:ascii="Arial" w:hAnsi="Arial"/>
          <w:color w:val="525252"/>
          <w:sz w:val="13"/>
        </w:rPr>
        <w:t>USAF doctrine is addressed at three levels: basic, operational, and tactical.</w:t>
      </w:r>
    </w:p>
    <w:p>
      <w:pPr>
        <w:spacing w:after="20" w:line="223" w:lineRule="auto"/>
        <w:jc w:val="right"/>
        <w:bidi/>
      </w:pPr>
      <w:r>
        <w:rPr>
          <w:rFonts w:ascii="Arial" w:hAnsi="Arial"/>
          <w:sz w:val="16"/>
        </w:rPr>
        <w:t>094.22  این سطوح از محتوای فکری این دکترین صحبت می‌کنند.</w:t>
      </w:r>
    </w:p>
    <w:p>
      <w:pPr>
        <w:spacing w:after="28" w:line="216" w:lineRule="auto"/>
        <w:ind w:left="259"/>
        <w:jc w:val="left"/>
      </w:pPr>
      <w:r>
        <w:rPr>
          <w:rFonts w:ascii="Arial" w:hAnsi="Arial"/>
          <w:color w:val="525252"/>
          <w:sz w:val="13"/>
        </w:rPr>
        <w:t>These levels speak to the intellectual content of the doctrine.</w:t>
      </w:r>
    </w:p>
    <w:p>
      <w:pPr>
        <w:spacing w:after="20" w:line="223" w:lineRule="auto"/>
        <w:jc w:val="right"/>
        <w:bidi/>
      </w:pPr>
      <w:r>
        <w:rPr>
          <w:rFonts w:ascii="Arial" w:hAnsi="Arial"/>
          <w:sz w:val="16"/>
        </w:rPr>
        <w:t>094.23  دکترین اساسی.</w:t>
      </w:r>
    </w:p>
    <w:p>
      <w:pPr>
        <w:spacing w:after="28" w:line="216" w:lineRule="auto"/>
        <w:ind w:left="259"/>
        <w:jc w:val="left"/>
      </w:pPr>
      <w:r>
        <w:rPr>
          <w:rFonts w:ascii="Arial" w:hAnsi="Arial"/>
          <w:color w:val="525252"/>
          <w:sz w:val="13"/>
        </w:rPr>
        <w:t>Basic Doctrine.</w:t>
      </w:r>
    </w:p>
    <w:p>
      <w:pPr>
        <w:spacing w:after="20" w:line="223" w:lineRule="auto"/>
        <w:jc w:val="right"/>
        <w:bidi/>
      </w:pPr>
      <w:r>
        <w:rPr>
          <w:rFonts w:ascii="Arial" w:hAnsi="Arial"/>
          <w:sz w:val="16"/>
        </w:rPr>
        <w:t>094.24  دکترین اساسی، موجود در نشریه دکترین نیروی هوایی (AFDP) ۱، نیروی هوایی، بیانیه برتر ایالات متحده آمریکا در مورد اعتقادات ما و سنگ بنای هویت خدمات ما است.</w:t>
      </w:r>
    </w:p>
    <w:p>
      <w:pPr>
        <w:spacing w:after="28" w:line="216" w:lineRule="auto"/>
        <w:ind w:left="259"/>
        <w:jc w:val="left"/>
      </w:pPr>
      <w:r>
        <w:rPr>
          <w:rFonts w:ascii="Arial" w:hAnsi="Arial"/>
          <w:color w:val="525252"/>
          <w:sz w:val="13"/>
        </w:rPr>
        <w:t>Basic doctrine, contained in Air Force Doctrine Publication (AFDP) 1, The Air Force, is the USAF’s premier statement of our beliefs and the cornerstone upon which our Service identity is based.</w:t>
      </w:r>
    </w:p>
    <w:p>
      <w:pPr>
        <w:spacing w:after="20" w:line="223" w:lineRule="auto"/>
        <w:jc w:val="right"/>
        <w:bidi/>
      </w:pPr>
      <w:r>
        <w:rPr>
          <w:rFonts w:ascii="Arial" w:hAnsi="Arial"/>
          <w:sz w:val="16"/>
        </w:rPr>
        <w:t>094.25  دکترین اساسی بنیادی‌ترین و بادوام‌ترین باورهایی را بیان می‌کند که استفاده، ارائه و سازماندهی مناسب نیروها را در عملیات نظامی توصیف و راهنمایی می‌کند.</w:t>
      </w:r>
    </w:p>
    <w:p>
      <w:pPr>
        <w:spacing w:after="28" w:line="216" w:lineRule="auto"/>
        <w:ind w:left="259"/>
        <w:jc w:val="left"/>
      </w:pPr>
      <w:r>
        <w:rPr>
          <w:rFonts w:ascii="Arial" w:hAnsi="Arial"/>
          <w:color w:val="525252"/>
          <w:sz w:val="13"/>
        </w:rPr>
        <w:t>Basic doctrine states the most fundamental and enduring beliefs that describe and guide the proper use, presentation, and organization of forces in military action.</w:t>
      </w:r>
    </w:p>
    <w:p>
      <w:pPr>
        <w:spacing w:after="20" w:line="223" w:lineRule="auto"/>
        <w:jc w:val="right"/>
        <w:bidi/>
      </w:pPr>
      <w:r>
        <w:rPr>
          <w:rFonts w:ascii="Arial" w:hAnsi="Arial"/>
          <w:sz w:val="16"/>
        </w:rPr>
        <w:t>094.26  دکترین اساسی "ویژگی‌های عنصری" نیروی هوایی را توصیف می‌کند و دیدگاه هوادار را ارائه می‌دهد.</w:t>
      </w:r>
    </w:p>
    <w:p>
      <w:pPr>
        <w:spacing w:after="28" w:line="216" w:lineRule="auto"/>
        <w:ind w:left="259"/>
        <w:jc w:val="left"/>
      </w:pPr>
      <w:r>
        <w:rPr>
          <w:rFonts w:ascii="Arial" w:hAnsi="Arial"/>
          <w:color w:val="525252"/>
          <w:sz w:val="13"/>
        </w:rPr>
        <w:t>Basic doctrine describes the “elemental properties” of airpower and provides the Airman’s perspective.</w:t>
      </w:r>
    </w:p>
    <w:p>
      <w:pPr>
        <w:spacing w:after="20" w:line="223" w:lineRule="auto"/>
        <w:jc w:val="right"/>
        <w:bidi/>
      </w:pPr>
      <w:r>
        <w:rPr>
          <w:rFonts w:ascii="Arial" w:hAnsi="Arial"/>
          <w:sz w:val="16"/>
        </w:rPr>
        <w:t>094.27  به دلیل ویژگی اساسی و پایدار خود، دکترین پایه راهنمایی‌های گسترده و مستمری را در مورد نحوه سازماندهی، بکارگیری، تجهیز و تداوم نیروی هوایی ما ارائه می‌دهد.</w:t>
      </w:r>
    </w:p>
    <w:p>
      <w:pPr>
        <w:spacing w:after="28" w:line="216" w:lineRule="auto"/>
        <w:ind w:left="259"/>
        <w:jc w:val="left"/>
      </w:pPr>
      <w:r>
        <w:rPr>
          <w:rFonts w:ascii="Arial" w:hAnsi="Arial"/>
          <w:color w:val="525252"/>
          <w:sz w:val="13"/>
        </w:rPr>
        <w:t>Because of its fundamental and enduring character, basic doctrine provides broad and continuing guidance on how our USAF is organized, employed, equipped, and sustained.</w:t>
      </w:r>
    </w:p>
    <w:p>
      <w:pPr>
        <w:spacing w:after="20" w:line="223" w:lineRule="auto"/>
        <w:jc w:val="right"/>
        <w:bidi/>
      </w:pPr>
      <w:r>
        <w:rPr>
          <w:rFonts w:ascii="Arial" w:hAnsi="Arial"/>
          <w:sz w:val="16"/>
        </w:rPr>
        <w:t>094.28  چون مبانی گسترده و پایدار را بیان می‌کند، دکترین پایه نسبت به سطوح دیگر دکترین به کندی تغییر می‌کند.</w:t>
      </w:r>
    </w:p>
    <w:p>
      <w:pPr>
        <w:spacing w:after="28" w:line="216" w:lineRule="auto"/>
        <w:ind w:left="259"/>
        <w:jc w:val="left"/>
      </w:pPr>
      <w:r>
        <w:rPr>
          <w:rFonts w:ascii="Arial" w:hAnsi="Arial"/>
          <w:color w:val="525252"/>
          <w:sz w:val="13"/>
        </w:rPr>
        <w:t>Because it expresses broad, enduring fundamentals, basic doctrine changes relatively slowly compared to the other levels of doctrine.</w:t>
      </w:r>
    </w:p>
    <w:p>
      <w:pPr>
        <w:spacing w:after="20" w:line="223" w:lineRule="auto"/>
        <w:jc w:val="right"/>
        <w:bidi/>
      </w:pPr>
      <w:r>
        <w:rPr>
          <w:rFonts w:ascii="Arial" w:hAnsi="Arial"/>
          <w:sz w:val="16"/>
        </w:rPr>
        <w:t>094.29  نقاط کانونی AFDP ۱ دلیل وجود ما به‌عنوان USAF (چرا می‌جنگیم)، هوانوردان به‌عنوان رهبران و مبتکران (که هستیم)، نیروی هوایی به‌عنوان توانایی نمایش قدرت نظامی در داخل، از و از طریق هوا (آنچه ما انجام می‌دهیم) و اصول نیروی هوایی است که حقایق اساسی در مورد چگونگی اعمال نیروی هوایی است.</w:t>
      </w:r>
    </w:p>
    <w:p>
      <w:pPr>
        <w:spacing w:after="28" w:line="216" w:lineRule="auto"/>
        <w:ind w:left="259"/>
        <w:jc w:val="left"/>
      </w:pPr>
      <w:r>
        <w:rPr>
          <w:rFonts w:ascii="Arial" w:hAnsi="Arial"/>
          <w:color w:val="525252"/>
          <w:sz w:val="13"/>
        </w:rPr>
        <w:t>The focal points of AFDP 1 are the reason we exist as a USAF (why we fight), Airmen as the leaders and innovators (who we are), airpower as the ability to project military power in, from and through the air (what we do), and the tenets of airpower which are the fundamental truths of how to apply airpower (how we do it).</w:t>
      </w:r>
    </w:p>
    <w:p>
      <w:pPr>
        <w:spacing w:after="20" w:line="223" w:lineRule="auto"/>
        <w:jc w:val="right"/>
        <w:bidi/>
      </w:pPr>
      <w:r>
        <w:rPr>
          <w:rFonts w:ascii="Arial" w:hAnsi="Arial"/>
          <w:sz w:val="16"/>
        </w:rPr>
        <w:t>094.30  به‌عنوان پایه و اساس همه دکترین‌ها، دکترین اساسی لحن و چشم انداز توسعه دکترین را برای آینده تعیین می‌کند.</w:t>
      </w:r>
    </w:p>
    <w:p>
      <w:pPr>
        <w:spacing w:after="28" w:line="216" w:lineRule="auto"/>
        <w:ind w:left="259"/>
        <w:jc w:val="left"/>
      </w:pPr>
      <w:r>
        <w:rPr>
          <w:rFonts w:ascii="Arial" w:hAnsi="Arial"/>
          <w:color w:val="525252"/>
          <w:sz w:val="13"/>
        </w:rPr>
        <w:t>As the foundation of all doctrine, basic doctrine sets the tone and vision for doctrine development for the future.</w:t>
      </w:r>
    </w:p>
    <w:p>
      <w:pPr>
        <w:spacing w:after="20" w:line="223" w:lineRule="auto"/>
        <w:jc w:val="right"/>
        <w:bidi/>
      </w:pPr>
      <w:r>
        <w:rPr>
          <w:rFonts w:ascii="Arial" w:hAnsi="Arial"/>
          <w:sz w:val="16"/>
        </w:rPr>
        <w:t>094.31  دکترین عملیاتی. دکترین عملیاتی ⟦۰۳۲، که در تمام AFDPهای اضافی موجود است، سازماندهی دقیق نیروها را تشریح می‌کند و اصول دکترین اساسی را برای اقدامات نظامی به کار می‌برد.</w:t>
      </w:r>
    </w:p>
    <w:p>
      <w:pPr>
        <w:spacing w:after="28" w:line="216" w:lineRule="auto"/>
        <w:ind w:left="259"/>
        <w:jc w:val="left"/>
      </w:pPr>
      <w:r>
        <w:rPr>
          <w:rFonts w:ascii="Arial" w:hAnsi="Arial"/>
          <w:color w:val="525252"/>
          <w:sz w:val="13"/>
        </w:rPr>
        <w:t>Operational Doctrine.</w:t>
      </w:r>
    </w:p>
    <w:p>
      <w:pPr>
        <w:spacing w:after="20" w:line="223" w:lineRule="auto"/>
        <w:jc w:val="right"/>
        <w:bidi/>
      </w:pPr>
      <w:r>
        <w:rPr>
          <w:rFonts w:ascii="Arial" w:hAnsi="Arial"/>
          <w:sz w:val="16"/>
        </w:rPr>
        <w:t>094.32  دکترین عملیاتی که در تمام AFDP های اضافی موجود است، سازماندهی دقیق نیروها را توصیف می‌کند و اصول دکترین اساسی را در اقدامات نظامی به کار می‌برد.</w:t>
      </w:r>
    </w:p>
    <w:p>
      <w:pPr>
        <w:spacing w:after="28" w:line="216" w:lineRule="auto"/>
        <w:ind w:left="259"/>
        <w:jc w:val="left"/>
      </w:pPr>
      <w:r>
        <w:rPr>
          <w:rFonts w:ascii="Arial" w:hAnsi="Arial"/>
          <w:color w:val="525252"/>
          <w:sz w:val="13"/>
        </w:rPr>
        <w:t>Operational doctrine, contained in all the additional AFDPs, describes detailed organization of forces, and applies the principles of basic doctrine to military actions.</w:t>
      </w:r>
    </w:p>
    <w:p>
      <w:pPr>
        <w:spacing w:after="20" w:line="223" w:lineRule="auto"/>
        <w:jc w:val="right"/>
        <w:bidi/>
      </w:pPr>
      <w:r>
        <w:rPr>
          <w:rFonts w:ascii="Arial" w:hAnsi="Arial"/>
          <w:sz w:val="16"/>
        </w:rPr>
        <w:t>094.33  مخاطبان اصلی دکترین عملیاتی COMAFFOR و کارکنان آن‌ها که از یک مشترک حمایت می‌کنند</w:t>
      </w:r>
    </w:p>
    <w:p>
      <w:pPr>
        <w:spacing w:after="28" w:line="216" w:lineRule="auto"/>
        <w:ind w:left="259"/>
        <w:jc w:val="left"/>
      </w:pPr>
      <w:r>
        <w:rPr>
          <w:rFonts w:ascii="Arial" w:hAnsi="Arial"/>
          <w:color w:val="525252"/>
          <w:sz w:val="13"/>
        </w:rPr>
        <w:t>The primary audience for operational doctrine COMAFFOR and their staff supporting a joint</w:t>
      </w:r>
    </w:p>
    <w:p>
      <w:r>
        <w:br w:type="page"/>
      </w:r>
    </w:p>
    <w:p>
      <w:pPr>
        <w:spacing w:after="60"/>
        <w:jc w:val="right"/>
        <w:bidi/>
      </w:pPr>
      <w:r>
        <w:rPr>
          <w:rFonts w:ascii="Arial" w:hAnsi="Arial"/>
          <w:b/>
          <w:color w:val="1F4D78"/>
          <w:sz w:val="19"/>
        </w:rPr>
        <w:t>هفتهٔ 95  |  صفحهٔ منبع: 111</w:t>
      </w:r>
    </w:p>
    <w:p>
      <w:pPr>
        <w:spacing w:after="20" w:line="223" w:lineRule="auto"/>
        <w:jc w:val="right"/>
        <w:bidi/>
      </w:pPr>
      <w:r>
        <w:rPr>
          <w:rFonts w:ascii="Arial" w:hAnsi="Arial"/>
          <w:sz w:val="16"/>
        </w:rPr>
        <w:t>095.01  فرمانده نیرو (JFC). دکترین عملیاتی</w:t>
      </w:r>
    </w:p>
    <w:p>
      <w:pPr>
        <w:spacing w:after="28" w:line="216" w:lineRule="auto"/>
        <w:ind w:left="259"/>
        <w:jc w:val="left"/>
      </w:pPr>
      <w:r>
        <w:rPr>
          <w:rFonts w:ascii="Arial" w:hAnsi="Arial"/>
          <w:color w:val="525252"/>
          <w:sz w:val="13"/>
        </w:rPr>
        <w:t>force commander (JFC).</w:t>
      </w:r>
    </w:p>
    <w:p>
      <w:pPr>
        <w:spacing w:after="20" w:line="223" w:lineRule="auto"/>
        <w:jc w:val="right"/>
        <w:bidi/>
      </w:pPr>
      <w:r>
        <w:rPr>
          <w:rFonts w:ascii="Arial" w:hAnsi="Arial"/>
          <w:sz w:val="16"/>
        </w:rPr>
        <w:t>095.02  سازماندهی و بکارگیری مناسب نیروهای نیروی هوایی را در چارچوب اهداف متمایز، قابلیت‌های نیرو، مناطق عملیاتی گسترده و محیط‌های عملیاتی هدایت می‌کند. دکترین عملیاتی</w:t>
      </w:r>
    </w:p>
    <w:p>
      <w:pPr>
        <w:spacing w:after="28" w:line="216" w:lineRule="auto"/>
        <w:ind w:left="259"/>
        <w:jc w:val="left"/>
      </w:pPr>
      <w:r>
        <w:rPr>
          <w:rFonts w:ascii="Arial" w:hAnsi="Arial"/>
          <w:color w:val="525252"/>
          <w:sz w:val="13"/>
        </w:rPr>
        <w:t>Operational doctrine guides the proper organization and employment of airpower forces in the context of distinct objectives, force capabilities, broad functional areas, and operational environments.</w:t>
      </w:r>
    </w:p>
    <w:p>
      <w:pPr>
        <w:spacing w:after="20" w:line="223" w:lineRule="auto"/>
        <w:jc w:val="right"/>
        <w:bidi/>
      </w:pPr>
      <w:r>
        <w:rPr>
          <w:rFonts w:ascii="Arial" w:hAnsi="Arial"/>
          <w:sz w:val="16"/>
        </w:rPr>
        <w:t>095.03  تمرکز را برای توسعه مأموریت‌ها و وظایفی که باید از طریق دکترین تاکتیکی اجرا شوند، فراهم می‌کند. دکترین</w:t>
      </w:r>
    </w:p>
    <w:p>
      <w:pPr>
        <w:spacing w:after="28" w:line="216" w:lineRule="auto"/>
        <w:ind w:left="259"/>
        <w:jc w:val="left"/>
      </w:pPr>
      <w:r>
        <w:rPr>
          <w:rFonts w:ascii="Arial" w:hAnsi="Arial"/>
          <w:color w:val="525252"/>
          <w:sz w:val="13"/>
        </w:rPr>
        <w:t>Operational doctrine provides the focus for developing the missions and tasks to be executed through tactical doctrine.</w:t>
      </w:r>
    </w:p>
    <w:p>
      <w:pPr>
        <w:spacing w:after="20" w:line="223" w:lineRule="auto"/>
        <w:jc w:val="right"/>
        <w:bidi/>
      </w:pPr>
      <w:r>
        <w:rPr>
          <w:rFonts w:ascii="Arial" w:hAnsi="Arial"/>
          <w:sz w:val="16"/>
        </w:rPr>
        <w:t>095.04  در این سطح توسط مرکز لمای مدیریت می‌شود و تغییرات IAW AFI ۱۰-۱۳۰۱، توسعه دکترین نیروی هوایی، و AFPD ۱۰-۱۳، دکترین نیروی هوایی ایجاد شده است.</w:t>
      </w:r>
    </w:p>
    <w:p>
      <w:pPr>
        <w:spacing w:after="28" w:line="216" w:lineRule="auto"/>
        <w:ind w:left="259"/>
        <w:jc w:val="left"/>
      </w:pPr>
      <w:r>
        <w:rPr>
          <w:rFonts w:ascii="Arial" w:hAnsi="Arial"/>
          <w:color w:val="525252"/>
          <w:sz w:val="13"/>
        </w:rPr>
        <w:t>Doctrine at this level is managed by the LeMay Center and changes are made IAW AFI 10-1301, Air Force Doctrine Development, and AFPD 10-13, Air Force Doctrine.</w:t>
      </w:r>
    </w:p>
    <w:p>
      <w:pPr>
        <w:spacing w:after="20" w:line="223" w:lineRule="auto"/>
        <w:jc w:val="right"/>
        <w:bidi/>
      </w:pPr>
      <w:r>
        <w:rPr>
          <w:rFonts w:ascii="Arial" w:hAnsi="Arial"/>
          <w:sz w:val="16"/>
        </w:rPr>
        <w:t>095.05  دکترین تاکتیکی. دکترین تاکتیکی</w:t>
      </w:r>
    </w:p>
    <w:p>
      <w:pPr>
        <w:spacing w:after="28" w:line="216" w:lineRule="auto"/>
        <w:ind w:left="259"/>
        <w:jc w:val="left"/>
      </w:pPr>
      <w:r>
        <w:rPr>
          <w:rFonts w:ascii="Arial" w:hAnsi="Arial"/>
          <w:color w:val="525252"/>
          <w:sz w:val="13"/>
        </w:rPr>
        <w:t>Tactical Doctrine.</w:t>
      </w:r>
    </w:p>
    <w:p>
      <w:pPr>
        <w:spacing w:after="20" w:line="223" w:lineRule="auto"/>
        <w:jc w:val="right"/>
        <w:bidi/>
      </w:pPr>
      <w:r>
        <w:rPr>
          <w:rFonts w:ascii="Arial" w:hAnsi="Arial"/>
          <w:sz w:val="16"/>
        </w:rPr>
        <w:t>095.06  به‌کارگیری مناسب دارایی‌های خاص USAF را به صورت جداگانه یا در هماهنگی با سایر دارایی‌ها برای دستیابی به اهداف دقیق توصیف می‌کند.</w:t>
      </w:r>
    </w:p>
    <w:p>
      <w:pPr>
        <w:spacing w:after="28" w:line="216" w:lineRule="auto"/>
        <w:ind w:left="259"/>
        <w:jc w:val="left"/>
      </w:pPr>
      <w:r>
        <w:rPr>
          <w:rFonts w:ascii="Arial" w:hAnsi="Arial"/>
          <w:color w:val="525252"/>
          <w:sz w:val="13"/>
        </w:rPr>
        <w:t>Tactical doctrine describes the proper employment of specific USAF assets, individually or in concert with other assets, to accomplish detailed objectives.</w:t>
      </w:r>
    </w:p>
    <w:p>
      <w:pPr>
        <w:spacing w:after="20" w:line="223" w:lineRule="auto"/>
        <w:jc w:val="right"/>
        <w:bidi/>
      </w:pPr>
      <w:r>
        <w:rPr>
          <w:rFonts w:ascii="Arial" w:hAnsi="Arial"/>
          <w:sz w:val="16"/>
        </w:rPr>
        <w:t>095.07  دکترین تاکتیکی اهداف خاصی مانند توقف پیشروی یک ستون زرهی را در نظر می‌گیرد. شرایط، مانند تهدیدات، آب و هوا، و زمین؛ و استفاده از دارایی‌های USAF.</w:t>
      </w:r>
    </w:p>
    <w:p>
      <w:pPr>
        <w:spacing w:after="28" w:line="216" w:lineRule="auto"/>
        <w:ind w:left="259"/>
        <w:jc w:val="left"/>
      </w:pPr>
      <w:r>
        <w:rPr>
          <w:rFonts w:ascii="Arial" w:hAnsi="Arial"/>
          <w:color w:val="525252"/>
          <w:sz w:val="13"/>
        </w:rPr>
        <w:t>Tactical doctrine considers particular objectives, such as stopping the advance of an armored column; conditions, such as threats, weather, and terrain; and employment of USAF assets.</w:t>
      </w:r>
    </w:p>
    <w:p>
      <w:pPr>
        <w:spacing w:after="20" w:line="223" w:lineRule="auto"/>
        <w:jc w:val="right"/>
        <w:bidi/>
      </w:pPr>
      <w:r>
        <w:rPr>
          <w:rFonts w:ascii="Arial" w:hAnsi="Arial"/>
          <w:sz w:val="16"/>
        </w:rPr>
        <w:t>095.08  دکترین تاکتیکی USAF به‌عنوان تاکتیک‌ها، تکنیک‌ها و رویه‌ها در دستورالعمل‌های سری -۳ نیروی هوایی مدون شده است که بسیاری از آنها به دلیل ماهیت حساسشان طبقه بندی شده‌اند.</w:t>
      </w:r>
    </w:p>
    <w:p>
      <w:pPr>
        <w:spacing w:after="28" w:line="216" w:lineRule="auto"/>
        <w:ind w:left="259"/>
        <w:jc w:val="left"/>
      </w:pPr>
      <w:r>
        <w:rPr>
          <w:rFonts w:ascii="Arial" w:hAnsi="Arial"/>
          <w:color w:val="525252"/>
          <w:sz w:val="13"/>
        </w:rPr>
        <w:t>USAF tactical doctrine is codified as tactics, techniques, and procedures in Air Force -3 series manuals, many of which are classified due to their sensitive nature.</w:t>
      </w:r>
    </w:p>
    <w:p>
      <w:pPr>
        <w:spacing w:after="20" w:line="223" w:lineRule="auto"/>
        <w:jc w:val="right"/>
        <w:bidi/>
      </w:pPr>
      <w:r>
        <w:rPr>
          <w:rFonts w:ascii="Arial" w:hAnsi="Arial"/>
          <w:sz w:val="16"/>
        </w:rPr>
        <w:t>095.09  از آنجایی که دکترین تاکتیکی ارتباط نزدیکی با استفاده از فناوری و تاکتیک‌های نوظهور دارد، تغییر احتمالا با سرعت بیشتری نسبت به سطوح دیگر دکترین رخ خواهد داد.</w:t>
      </w:r>
    </w:p>
    <w:p>
      <w:pPr>
        <w:spacing w:after="28" w:line="216" w:lineRule="auto"/>
        <w:ind w:left="259"/>
        <w:jc w:val="left"/>
      </w:pPr>
      <w:r>
        <w:rPr>
          <w:rFonts w:ascii="Arial" w:hAnsi="Arial"/>
          <w:color w:val="525252"/>
          <w:sz w:val="13"/>
        </w:rPr>
        <w:t>Because tactical doctrine is closely associated with the employment of technology and emerging tactics, change will likely occur more rapidly than other levels of doctrine.</w:t>
      </w:r>
    </w:p>
    <w:p>
      <w:pPr>
        <w:spacing w:after="20" w:line="223" w:lineRule="auto"/>
        <w:jc w:val="right"/>
        <w:bidi/>
      </w:pPr>
      <w:r>
        <w:rPr>
          <w:rFonts w:ascii="Arial" w:hAnsi="Arial"/>
          <w:sz w:val="16"/>
        </w:rPr>
        <w:t>095.10  دکترین تاکتیکی در چندین مکان در USAF توسعه یافته است: اسکادران ۵۶۱ سلاح، اسکادران آموزشی تحرک ۴۲۳د، و مرکز کاربردهای فضایی دریای زمینی هوایی. همچنین می‌تواند توسط یک دفتر ستاد هوایی یا یک فرماندهی اصلی توسعه یابد.</w:t>
      </w:r>
    </w:p>
    <w:p>
      <w:pPr>
        <w:spacing w:after="28" w:line="216" w:lineRule="auto"/>
        <w:ind w:left="259"/>
        <w:jc w:val="left"/>
      </w:pPr>
      <w:r>
        <w:rPr>
          <w:rFonts w:ascii="Arial" w:hAnsi="Arial"/>
          <w:color w:val="525252"/>
          <w:sz w:val="13"/>
        </w:rPr>
        <w:t>Tactical doctrine is developed at multiple locations in the USAF: the 561st Weapons Squadron, the 423d Mobility Training Squadron, and the Air Land Sea Space Applications Center; it can also be developed by an Air Staff office or a major command.</w:t>
      </w:r>
    </w:p>
    <w:p>
      <w:pPr>
        <w:spacing w:before="60" w:after="28"/>
        <w:jc w:val="right"/>
        <w:bidi/>
      </w:pPr>
      <w:r>
        <w:rPr>
          <w:b/>
          <w:color w:val="1F4D78"/>
          <w:sz w:val="18"/>
        </w:rPr>
        <w:t>6.3. کاربردهای دکترین</w:t>
      </w:r>
    </w:p>
    <w:p>
      <w:pPr>
        <w:spacing w:after="20"/>
        <w:ind w:left="259"/>
        <w:jc w:val="left"/>
      </w:pPr>
      <w:r>
        <w:rPr>
          <w:color w:val="555555"/>
          <w:sz w:val="12"/>
        </w:rPr>
        <w:t>6.3. Uses of Doctrine</w:t>
      </w:r>
    </w:p>
    <w:p>
      <w:pPr>
        <w:spacing w:after="20" w:line="223" w:lineRule="auto"/>
        <w:jc w:val="right"/>
        <w:bidi/>
      </w:pPr>
      <w:r>
        <w:rPr>
          <w:rFonts w:ascii="Arial" w:hAnsi="Arial"/>
          <w:sz w:val="16"/>
        </w:rPr>
        <w:t>095.12  درک تکنیک زیربنایی مورد استفاده برای ساختار دکترین به تقویت این نکته کمک می‌کند که دکترین باید قوی نوشته شود، اما به‌طور گسترده، به تصمیم‌گیرندگان اجازه می‌دهد در تفسیر و انعطاف‌پذیری در کاربرد داشته باشند، اما باید به اندازه کافی خاص باشد تا راهنمایی آگاهانه ارائه کند.</w:t>
      </w:r>
    </w:p>
    <w:p>
      <w:pPr>
        <w:spacing w:after="28" w:line="216" w:lineRule="auto"/>
        <w:ind w:left="259"/>
        <w:jc w:val="left"/>
      </w:pPr>
      <w:r>
        <w:rPr>
          <w:rFonts w:ascii="Arial" w:hAnsi="Arial"/>
          <w:color w:val="525252"/>
          <w:sz w:val="13"/>
        </w:rPr>
        <w:t>Understanding the underlying technique used to structure doctrine helps amplify the point that doctrine should be written robustly, but broadly, allowing decision-makers latitude in interpretation and flexibility in application, yet it should be specific enough to provide informed guidance.</w:t>
      </w:r>
    </w:p>
    <w:p>
      <w:pPr>
        <w:spacing w:after="20" w:line="223" w:lineRule="auto"/>
        <w:jc w:val="right"/>
        <w:bidi/>
      </w:pPr>
      <w:r>
        <w:rPr>
          <w:rFonts w:ascii="Arial" w:hAnsi="Arial"/>
          <w:sz w:val="16"/>
        </w:rPr>
        <w:t>095.13  درک چگونگی ساختار دکترین همچنین استفاده از دکترین را در تبیین موضوعات مورد مناقشه نشان می‌دهد و اینکه چگونه می‌توان از دکترین برای تمرکز بیشتر افکار و استراتژی‌ها از طریق استفاده از بهترین ابزار برای ادغام جنبه‌های مختلف قدرت و سازماندهی نظامی استفاده کرد.</w:t>
      </w:r>
    </w:p>
    <w:p>
      <w:pPr>
        <w:spacing w:after="28" w:line="216" w:lineRule="auto"/>
        <w:ind w:left="259"/>
        <w:jc w:val="left"/>
      </w:pPr>
      <w:r>
        <w:rPr>
          <w:rFonts w:ascii="Arial" w:hAnsi="Arial"/>
          <w:color w:val="525252"/>
          <w:sz w:val="13"/>
        </w:rPr>
        <w:t>Understanding how doctrine is structured also illustrates the use of doctrine in explaining contentious issues and how doctrine can be used to focus thoughts and strategies more effectively through applying the best means of integrating various aspects of military power and organization.</w:t>
      </w:r>
    </w:p>
    <w:p>
      <w:pPr>
        <w:spacing w:after="20" w:line="223" w:lineRule="auto"/>
        <w:jc w:val="right"/>
        <w:bidi/>
      </w:pPr>
      <w:r>
        <w:rPr>
          <w:rFonts w:ascii="Arial" w:hAnsi="Arial"/>
          <w:sz w:val="16"/>
        </w:rPr>
        <w:t>095.14  اصول کلیدی دکترین در اینجا ارائه شده است.</w:t>
      </w:r>
    </w:p>
    <w:p>
      <w:pPr>
        <w:spacing w:after="28" w:line="216" w:lineRule="auto"/>
        <w:ind w:left="259"/>
        <w:jc w:val="left"/>
      </w:pPr>
      <w:r>
        <w:rPr>
          <w:rFonts w:ascii="Arial" w:hAnsi="Arial"/>
          <w:color w:val="525252"/>
          <w:sz w:val="13"/>
        </w:rPr>
        <w:t>Key principles of doctrine are provided here.</w:t>
      </w:r>
    </w:p>
    <w:p>
      <w:pPr>
        <w:spacing w:after="20" w:line="223" w:lineRule="auto"/>
        <w:jc w:val="right"/>
        <w:bidi/>
      </w:pPr>
      <w:r>
        <w:rPr>
          <w:rFonts w:ascii="Arial" w:hAnsi="Arial"/>
          <w:sz w:val="16"/>
        </w:rPr>
        <w:t>095.15  جنگ، نه فیزیک.</w:t>
      </w:r>
    </w:p>
    <w:p>
      <w:pPr>
        <w:spacing w:after="28" w:line="216" w:lineRule="auto"/>
        <w:ind w:left="259"/>
        <w:jc w:val="left"/>
      </w:pPr>
      <w:r>
        <w:rPr>
          <w:rFonts w:ascii="Arial" w:hAnsi="Arial"/>
          <w:color w:val="525252"/>
          <w:sz w:val="13"/>
        </w:rPr>
        <w:t>Warfighting, not Physics.</w:t>
      </w:r>
    </w:p>
    <w:p>
      <w:pPr>
        <w:spacing w:after="20" w:line="223" w:lineRule="auto"/>
        <w:jc w:val="right"/>
        <w:bidi/>
      </w:pPr>
      <w:r>
        <w:rPr>
          <w:rFonts w:ascii="Arial" w:hAnsi="Arial"/>
          <w:sz w:val="16"/>
        </w:rPr>
        <w:t>095.16  اصل فیزیکی جنگ به‌طور خاص به تفاوت‌های درک شده بین عملیات در هوا و فضای سایبری نمی‌پردازد.</w:t>
      </w:r>
    </w:p>
    <w:p>
      <w:pPr>
        <w:spacing w:after="28" w:line="216" w:lineRule="auto"/>
        <w:ind w:left="259"/>
        <w:jc w:val="left"/>
      </w:pPr>
      <w:r>
        <w:rPr>
          <w:rFonts w:ascii="Arial" w:hAnsi="Arial"/>
          <w:color w:val="525252"/>
          <w:sz w:val="13"/>
        </w:rPr>
        <w:t>The warfighting does not physic principle specifically addresses the perceived differences between operations in air and cyberspace.</w:t>
      </w:r>
    </w:p>
    <w:p>
      <w:pPr>
        <w:spacing w:after="20" w:line="223" w:lineRule="auto"/>
        <w:jc w:val="right"/>
        <w:bidi/>
      </w:pPr>
      <w:r>
        <w:rPr>
          <w:rFonts w:ascii="Arial" w:hAnsi="Arial"/>
          <w:sz w:val="16"/>
        </w:rPr>
        <w:t>095.17  هوا و فضای سایبری حوزه‌های جداگانه‌ای هستند که نیازمند بهره‌برداری از مجموعه‌های مختلف قوانین فیزیکی هستند، اما با اثراتی که می‌توانند در صورت ادغام ایجاد کنند، به هم مرتبط هستند.</w:t>
      </w:r>
    </w:p>
    <w:p>
      <w:pPr>
        <w:spacing w:after="28" w:line="216" w:lineRule="auto"/>
        <w:ind w:left="259"/>
        <w:jc w:val="left"/>
      </w:pPr>
      <w:r>
        <w:rPr>
          <w:rFonts w:ascii="Arial" w:hAnsi="Arial"/>
          <w:color w:val="525252"/>
          <w:sz w:val="13"/>
        </w:rPr>
        <w:t>Air and cyberspace are separate domains requiring exploitation of different sets of physical laws but are linked by the effects they can produce when integrated.</w:t>
      </w:r>
    </w:p>
    <w:p>
      <w:pPr>
        <w:spacing w:after="20" w:line="223" w:lineRule="auto"/>
        <w:jc w:val="right"/>
        <w:bidi/>
      </w:pPr>
      <w:r>
        <w:rPr>
          <w:rFonts w:ascii="Arial" w:hAnsi="Arial"/>
          <w:sz w:val="16"/>
        </w:rPr>
        <w:t>095.18  برای مثال، نیروهای هوایی باید بیشتر به فکر بهترین ابزار برای به‌کارگیری قابلیت‌های اطلاعاتی، نظارتی و شناسایی باشند، نه اینکه یک سکوی هوابرد یا در مدار باشد.</w:t>
      </w:r>
    </w:p>
    <w:p>
      <w:pPr>
        <w:spacing w:after="28" w:line="216" w:lineRule="auto"/>
        <w:ind w:left="259"/>
        <w:jc w:val="left"/>
      </w:pPr>
      <w:r>
        <w:rPr>
          <w:rFonts w:ascii="Arial" w:hAnsi="Arial"/>
          <w:color w:val="525252"/>
          <w:sz w:val="13"/>
        </w:rPr>
        <w:t>For example, Airmen should be more concerned with the best means of employing intelligence, surveillance, and reconnaissance capabilities, rather than whether a platform is airborne or in orbit.</w:t>
      </w:r>
    </w:p>
    <w:p>
      <w:pPr>
        <w:spacing w:after="20" w:line="223" w:lineRule="auto"/>
        <w:jc w:val="right"/>
        <w:bidi/>
      </w:pPr>
      <w:r>
        <w:rPr>
          <w:rFonts w:ascii="Arial" w:hAnsi="Arial"/>
          <w:sz w:val="16"/>
        </w:rPr>
        <w:t>095.19  افکت‌ها، نه پلتفرم‌ها.</w:t>
      </w:r>
    </w:p>
    <w:p>
      <w:pPr>
        <w:spacing w:after="28" w:line="216" w:lineRule="auto"/>
        <w:ind w:left="259"/>
        <w:jc w:val="left"/>
      </w:pPr>
      <w:r>
        <w:rPr>
          <w:rFonts w:ascii="Arial" w:hAnsi="Arial"/>
          <w:color w:val="525252"/>
          <w:sz w:val="13"/>
        </w:rPr>
        <w:t>Effects, not Platforms.</w:t>
      </w:r>
    </w:p>
    <w:p>
      <w:pPr>
        <w:spacing w:after="20" w:line="223" w:lineRule="auto"/>
        <w:jc w:val="right"/>
        <w:bidi/>
      </w:pPr>
      <w:r>
        <w:rPr>
          <w:rFonts w:ascii="Arial" w:hAnsi="Arial"/>
          <w:sz w:val="16"/>
        </w:rPr>
        <w:t>095.20  اصل افکت‌ها، نه پلتفرم‌ها، بیشتر بر نتیجه مطلوب یک اقدام خاص تمرکز می‌کند تا روی سیستم یا سلاحی که اثر را ارائه می‌دهد.</w:t>
      </w:r>
    </w:p>
    <w:p>
      <w:pPr>
        <w:spacing w:after="28" w:line="216" w:lineRule="auto"/>
        <w:ind w:left="259"/>
        <w:jc w:val="left"/>
      </w:pPr>
      <w:r>
        <w:rPr>
          <w:rFonts w:ascii="Arial" w:hAnsi="Arial"/>
          <w:color w:val="525252"/>
          <w:sz w:val="13"/>
        </w:rPr>
        <w:t>The effects, not platforms principle focuses on the desired outcome of a particular action more so than on the system or weapon that provides the effect.</w:t>
      </w:r>
    </w:p>
    <w:p>
      <w:pPr>
        <w:spacing w:after="20" w:line="223" w:lineRule="auto"/>
        <w:jc w:val="right"/>
        <w:bidi/>
      </w:pPr>
      <w:r>
        <w:rPr>
          <w:rFonts w:ascii="Arial" w:hAnsi="Arial"/>
          <w:sz w:val="16"/>
        </w:rPr>
        <w:t>095.21  رویکرد مبتنی بر اثرات به عملیات با اهداف نظامی روشن و بیان وضعیت‌های نهایی مطلوب آغاز می‌شود. دکترین</w:t>
      </w:r>
    </w:p>
    <w:p>
      <w:pPr>
        <w:spacing w:after="28" w:line="216" w:lineRule="auto"/>
        <w:ind w:left="259"/>
        <w:jc w:val="left"/>
      </w:pPr>
      <w:r>
        <w:rPr>
          <w:rFonts w:ascii="Arial" w:hAnsi="Arial"/>
          <w:color w:val="525252"/>
          <w:sz w:val="13"/>
        </w:rPr>
        <w:t>The effects-based approach to operations begins with clear military objectives and the statement of desired end- states.</w:t>
      </w:r>
    </w:p>
    <w:p>
      <w:pPr>
        <w:spacing w:after="20" w:line="223" w:lineRule="auto"/>
        <w:jc w:val="right"/>
        <w:bidi/>
      </w:pPr>
      <w:r>
        <w:rPr>
          <w:rFonts w:ascii="Arial" w:hAnsi="Arial"/>
          <w:sz w:val="16"/>
        </w:rPr>
        <w:t>095.22  USAF به‌طور صریح سیستم‌های تسلیحاتی خاصی را به وظایف یا اثرات خاص مرتبط نمی‌کند.</w:t>
      </w:r>
    </w:p>
    <w:p>
      <w:pPr>
        <w:spacing w:after="28" w:line="216" w:lineRule="auto"/>
        <w:ind w:left="259"/>
        <w:jc w:val="left"/>
      </w:pPr>
      <w:r>
        <w:rPr>
          <w:rFonts w:ascii="Arial" w:hAnsi="Arial"/>
          <w:color w:val="525252"/>
          <w:sz w:val="13"/>
        </w:rPr>
        <w:t>USAF doctrine does not explicitly tie specific weapon systems to specific tasks or effects.</w:t>
      </w:r>
    </w:p>
    <w:p>
      <w:pPr>
        <w:spacing w:after="20" w:line="223" w:lineRule="auto"/>
        <w:jc w:val="right"/>
        <w:bidi/>
      </w:pPr>
      <w:r>
        <w:rPr>
          <w:rFonts w:ascii="Arial" w:hAnsi="Arial"/>
          <w:sz w:val="16"/>
        </w:rPr>
        <w:t>095.23  اینکه آیا یک ب-۵۲ یا یک ف-۱۶ یک وظیفه معین را انجام می‌دهد یا اینکه یک سکوی سرنشین دار یا بدون سرنشین است، تقریبا به اندازه نتیجه مأموریت مهم نیست.</w:t>
      </w:r>
    </w:p>
    <w:p>
      <w:pPr>
        <w:spacing w:after="28" w:line="216" w:lineRule="auto"/>
        <w:ind w:left="259"/>
        <w:jc w:val="left"/>
      </w:pPr>
      <w:r>
        <w:rPr>
          <w:rFonts w:ascii="Arial" w:hAnsi="Arial"/>
          <w:color w:val="525252"/>
          <w:sz w:val="13"/>
        </w:rPr>
        <w:t>Whether a B-52 or an F-16 accomplishes a given task or whether a platform is manned or unmanned is not nearly as important as the outcome of the mission.</w:t>
      </w:r>
    </w:p>
    <w:p>
      <w:pPr>
        <w:spacing w:after="20" w:line="223" w:lineRule="auto"/>
        <w:jc w:val="right"/>
        <w:bidi/>
      </w:pPr>
      <w:r>
        <w:rPr>
          <w:rFonts w:ascii="Arial" w:hAnsi="Arial"/>
          <w:sz w:val="16"/>
        </w:rPr>
        <w:t>095.24  استفاده از دامنه، نه مالکیت دامنه.</w:t>
      </w:r>
    </w:p>
    <w:p>
      <w:pPr>
        <w:spacing w:after="28" w:line="216" w:lineRule="auto"/>
        <w:ind w:left="259"/>
        <w:jc w:val="left"/>
      </w:pPr>
      <w:r>
        <w:rPr>
          <w:rFonts w:ascii="Arial" w:hAnsi="Arial"/>
          <w:color w:val="525252"/>
          <w:sz w:val="13"/>
        </w:rPr>
        <w:t>Using Domains, not Owning Domains.</w:t>
      </w:r>
    </w:p>
    <w:p>
      <w:pPr>
        <w:spacing w:after="20" w:line="223" w:lineRule="auto"/>
        <w:jc w:val="right"/>
        <w:bidi/>
      </w:pPr>
      <w:r>
        <w:rPr>
          <w:rFonts w:ascii="Arial" w:hAnsi="Arial"/>
          <w:sz w:val="16"/>
        </w:rPr>
        <w:t>095.25  اصل استفاده از دامنه‌ها، عدم مالکیت دامنه‌ها، اهمیت انجام صحیح عملیات در یک حوزه را برای به دست آوردن بهترین اثرات جنگی نشان می‌دهد، نه حک کردن فضای نبرد بر اساس سرویس یا منطقه‌گرایی کاربردی (کوته‌نگری).</w:t>
      </w:r>
    </w:p>
    <w:p>
      <w:pPr>
        <w:spacing w:after="28" w:line="216" w:lineRule="auto"/>
        <w:ind w:left="259"/>
        <w:jc w:val="left"/>
      </w:pPr>
      <w:r>
        <w:rPr>
          <w:rFonts w:ascii="Arial" w:hAnsi="Arial"/>
          <w:color w:val="525252"/>
          <w:sz w:val="13"/>
        </w:rPr>
        <w:t>The using domains, not owning domains principle illustrates the importance of properly conducting operations in a domain to obtain the best warfighting effects, not of carving up the battlespace based on Service or functional parochialism (narrow-mindedness).</w:t>
      </w:r>
    </w:p>
    <w:p>
      <w:pPr>
        <w:spacing w:after="20" w:line="223" w:lineRule="auto"/>
        <w:jc w:val="right"/>
        <w:bidi/>
      </w:pPr>
      <w:r>
        <w:rPr>
          <w:rFonts w:ascii="Arial" w:hAnsi="Arial"/>
          <w:sz w:val="16"/>
        </w:rPr>
        <w:t>095.26  تمرکز بر استفاده از نیروها در یک حوزه، اولین گام حیاتی برای یکپارچه سازی تلاش‌ها است.</w:t>
      </w:r>
    </w:p>
    <w:p>
      <w:pPr>
        <w:spacing w:after="28" w:line="216" w:lineRule="auto"/>
        <w:ind w:left="259"/>
        <w:jc w:val="left"/>
      </w:pPr>
      <w:r>
        <w:rPr>
          <w:rFonts w:ascii="Arial" w:hAnsi="Arial"/>
          <w:color w:val="525252"/>
          <w:sz w:val="13"/>
        </w:rPr>
        <w:t>Focusing on using forces within a domain is a vital first step to integration of efforts.</w:t>
      </w:r>
    </w:p>
    <w:p>
      <w:pPr>
        <w:spacing w:after="20" w:line="223" w:lineRule="auto"/>
        <w:jc w:val="right"/>
        <w:bidi/>
      </w:pPr>
      <w:r>
        <w:rPr>
          <w:rFonts w:ascii="Arial" w:hAnsi="Arial"/>
          <w:sz w:val="16"/>
        </w:rPr>
        <w:t>095.27  مشاجرات بر سر مالکیت در نهایت منجر به‌کاربرد نابهینه تلاش‌ها به قیمت تلاش کلان و بزرگ‌تر می‌شود.</w:t>
      </w:r>
    </w:p>
    <w:p>
      <w:pPr>
        <w:spacing w:after="28" w:line="216" w:lineRule="auto"/>
        <w:ind w:left="259"/>
        <w:jc w:val="left"/>
      </w:pPr>
      <w:r>
        <w:rPr>
          <w:rFonts w:ascii="Arial" w:hAnsi="Arial"/>
          <w:color w:val="525252"/>
          <w:sz w:val="13"/>
        </w:rPr>
        <w:t>Arguments over ownership eventually lead to suboptimal application of efforts at the expense of the larger, total effort.</w:t>
      </w:r>
    </w:p>
    <w:p>
      <w:r>
        <w:br w:type="page"/>
      </w:r>
    </w:p>
    <w:p>
      <w:pPr>
        <w:spacing w:after="60"/>
        <w:jc w:val="right"/>
        <w:bidi/>
      </w:pPr>
      <w:r>
        <w:rPr>
          <w:rFonts w:ascii="Arial" w:hAnsi="Arial"/>
          <w:b/>
          <w:color w:val="1F4D78"/>
          <w:sz w:val="19"/>
        </w:rPr>
        <w:t>هفتهٔ 96  |  صفحهٔ منبع: 112</w:t>
      </w:r>
    </w:p>
    <w:p>
      <w:pPr>
        <w:spacing w:after="20" w:line="223" w:lineRule="auto"/>
        <w:jc w:val="right"/>
        <w:bidi/>
      </w:pPr>
      <w:r>
        <w:rPr>
          <w:rFonts w:ascii="Arial" w:hAnsi="Arial"/>
          <w:sz w:val="16"/>
        </w:rPr>
        <w:t>096.01  سازمان، نه سازمان.</w:t>
      </w:r>
    </w:p>
    <w:p>
      <w:pPr>
        <w:spacing w:after="28" w:line="216" w:lineRule="auto"/>
        <w:ind w:left="259"/>
        <w:jc w:val="left"/>
      </w:pPr>
      <w:r>
        <w:rPr>
          <w:rFonts w:ascii="Arial" w:hAnsi="Arial"/>
          <w:color w:val="525252"/>
          <w:sz w:val="13"/>
        </w:rPr>
        <w:t>Organization, not Organizations.</w:t>
      </w:r>
    </w:p>
    <w:p>
      <w:pPr>
        <w:spacing w:after="20" w:line="223" w:lineRule="auto"/>
        <w:jc w:val="right"/>
        <w:bidi/>
      </w:pPr>
      <w:r>
        <w:rPr>
          <w:rFonts w:ascii="Arial" w:hAnsi="Arial"/>
          <w:sz w:val="16"/>
        </w:rPr>
        <w:t>096.02  اصل سازمان، نه سازمان‌ها به خواسته‌های جنگ مدرن اشاره می‌کند که خدمات مختلف، ملت‌های مختلف و کارکردهای متفاوت در یک سرویس واحد اغلب باید به صورت هوشمندانه گرد هم آیند تا به وحدت فرماندهی و وحدت تلاش دست یابند.</w:t>
      </w:r>
    </w:p>
    <w:p>
      <w:pPr>
        <w:spacing w:after="28" w:line="216" w:lineRule="auto"/>
        <w:ind w:left="259"/>
        <w:jc w:val="left"/>
      </w:pPr>
      <w:r>
        <w:rPr>
          <w:rFonts w:ascii="Arial" w:hAnsi="Arial"/>
          <w:color w:val="525252"/>
          <w:sz w:val="13"/>
        </w:rPr>
        <w:t>The organization, not organizations principle refers to modern warfare demands that different Services, different nations, and differing functions within a single Service often need to be brought together intelligently to achieve unity of command and unity of effort.</w:t>
      </w:r>
    </w:p>
    <w:p>
      <w:pPr>
        <w:spacing w:after="20" w:line="223" w:lineRule="auto"/>
        <w:jc w:val="right"/>
        <w:bidi/>
      </w:pPr>
      <w:r>
        <w:rPr>
          <w:rFonts w:ascii="Arial" w:hAnsi="Arial"/>
          <w:sz w:val="16"/>
        </w:rPr>
        <w:t>096.03  دکترین توضیح می‌دهد که چرا ساختارهای سازمانی خاص بر سایرین ترجیح داده می‌شوند و روابط فرماندهی مؤثر و مقامات فرماندهی را توصیف می‌کند. این امر، ایستادگی سریع سازمان‌های مشترک و خدماتی را در شرایطی که به سرعت در حال تحول هستند، تسهیل می‌کند.</w:t>
      </w:r>
    </w:p>
    <w:p>
      <w:pPr>
        <w:spacing w:after="28" w:line="216" w:lineRule="auto"/>
        <w:ind w:left="259"/>
        <w:jc w:val="left"/>
      </w:pPr>
      <w:r>
        <w:rPr>
          <w:rFonts w:ascii="Arial" w:hAnsi="Arial"/>
          <w:color w:val="525252"/>
          <w:sz w:val="13"/>
        </w:rPr>
        <w:t>Doctrine explains why certain organizational structures are preferred over others and describes effective command relationships and command authorities; this facilitates the rapid standup of joint and Service organizations during rapidly evolving situations.</w:t>
      </w:r>
    </w:p>
    <w:p>
      <w:pPr>
        <w:spacing w:after="20" w:line="223" w:lineRule="auto"/>
        <w:jc w:val="right"/>
        <w:bidi/>
      </w:pPr>
      <w:r>
        <w:rPr>
          <w:rFonts w:ascii="Arial" w:hAnsi="Arial"/>
          <w:sz w:val="16"/>
        </w:rPr>
        <w:t>096.04  در نهایت، دکترین درباره این نیست که آیا یک عنصر خاص از یک نیروی مشترک تعیین‌کننده‌تر از دیگری است یا نه در مورد این که یک عنصر به‌عنوان مرکز عملیات مشترک عمل می‌کند: این نیروی کلی و متناسب است که تعیین‌کننده است.</w:t>
      </w:r>
    </w:p>
    <w:p>
      <w:pPr>
        <w:spacing w:after="28" w:line="216" w:lineRule="auto"/>
        <w:ind w:left="259"/>
        <w:jc w:val="left"/>
      </w:pPr>
      <w:r>
        <w:rPr>
          <w:rFonts w:ascii="Arial" w:hAnsi="Arial"/>
          <w:color w:val="525252"/>
          <w:sz w:val="13"/>
        </w:rPr>
        <w:t>Ultimately, doctrine is not about whether one particular element of a joint force is more decisive than another, nor about suggesting that one element serve as the centerpiece of joint operations: it’s the total, tailored force that’s decisive.</w:t>
      </w:r>
    </w:p>
    <w:p>
      <w:pPr>
        <w:spacing w:after="20" w:line="223" w:lineRule="auto"/>
        <w:jc w:val="right"/>
        <w:bidi/>
      </w:pPr>
      <w:r>
        <w:rPr>
          <w:rFonts w:ascii="Arial" w:hAnsi="Arial"/>
          <w:sz w:val="16"/>
        </w:rPr>
        <w:t>096.05  هم افزایی، نه تفکیک.</w:t>
      </w:r>
    </w:p>
    <w:p>
      <w:pPr>
        <w:spacing w:after="28" w:line="216" w:lineRule="auto"/>
        <w:ind w:left="259"/>
        <w:jc w:val="left"/>
      </w:pPr>
      <w:r>
        <w:rPr>
          <w:rFonts w:ascii="Arial" w:hAnsi="Arial"/>
          <w:color w:val="525252"/>
          <w:sz w:val="13"/>
        </w:rPr>
        <w:t>Synergy, not Segregation.</w:t>
      </w:r>
    </w:p>
    <w:p>
      <w:pPr>
        <w:spacing w:after="20" w:line="223" w:lineRule="auto"/>
        <w:jc w:val="right"/>
        <w:bidi/>
      </w:pPr>
      <w:r>
        <w:rPr>
          <w:rFonts w:ascii="Arial" w:hAnsi="Arial"/>
          <w:sz w:val="16"/>
        </w:rPr>
        <w:t>096.06  اصل هم افزایی، نه تفکیک تصدیق می‌کند که تفکیک تضمین می‌کند که کل هرگز بزرگتر از مجموع اجزای آن نخواهد بود.</w:t>
      </w:r>
    </w:p>
    <w:p>
      <w:pPr>
        <w:spacing w:after="28" w:line="216" w:lineRule="auto"/>
        <w:ind w:left="259"/>
        <w:jc w:val="left"/>
      </w:pPr>
      <w:r>
        <w:rPr>
          <w:rFonts w:ascii="Arial" w:hAnsi="Arial"/>
          <w:color w:val="525252"/>
          <w:sz w:val="13"/>
        </w:rPr>
        <w:t>The synergy, not segregation principle acknowledges that segregation guarantees that the whole will never be greater than the sum of its parts.</w:t>
      </w:r>
    </w:p>
    <w:p>
      <w:pPr>
        <w:spacing w:after="20" w:line="223" w:lineRule="auto"/>
        <w:jc w:val="right"/>
        <w:bidi/>
      </w:pPr>
      <w:r>
        <w:rPr>
          <w:rFonts w:ascii="Arial" w:hAnsi="Arial"/>
          <w:sz w:val="16"/>
        </w:rPr>
        <w:t>096.07  برای امکان هم افزایی، هوانوردان باید به کل سالن عملیات دسترسی داشته باشند تا توانایی دستیابی به اهداف را به حداکثر برسانند. دسترسی نباید از هیچ منطقه‌ای به دلیل اقدامات محدود کننده غیر ضروری کنترل آتش محدود شود.</w:t>
      </w:r>
    </w:p>
    <w:p>
      <w:pPr>
        <w:spacing w:after="28" w:line="216" w:lineRule="auto"/>
        <w:ind w:left="259"/>
        <w:jc w:val="left"/>
      </w:pPr>
      <w:r>
        <w:rPr>
          <w:rFonts w:ascii="Arial" w:hAnsi="Arial"/>
          <w:color w:val="525252"/>
          <w:sz w:val="13"/>
        </w:rPr>
        <w:t>To allow synergy, Airmen should have access to the entire theater of operations to maximize the ability to achieve objectives; access should not be restricted from any area due to unnecessarily restrictive fire control measures.</w:t>
      </w:r>
    </w:p>
    <w:p>
      <w:pPr>
        <w:spacing w:after="20" w:line="223" w:lineRule="auto"/>
        <w:jc w:val="right"/>
        <w:bidi/>
      </w:pPr>
      <w:r>
        <w:rPr>
          <w:rFonts w:ascii="Arial" w:hAnsi="Arial"/>
          <w:sz w:val="16"/>
        </w:rPr>
        <w:t>096.08  یک طرز فکر هم افزایی، مناطق عملیاتی در فضای نبرد را باز می‌کند و امکان حداکثر استفاده از قابلیت‌های کمیاب، پرتقاضا و با چگالی کم را فراهم می‌کند و اثربخشی رزمی را افزایش می‌دهد.</w:t>
      </w:r>
    </w:p>
    <w:p>
      <w:pPr>
        <w:spacing w:after="28" w:line="216" w:lineRule="auto"/>
        <w:ind w:left="259"/>
        <w:jc w:val="left"/>
      </w:pPr>
      <w:r>
        <w:rPr>
          <w:rFonts w:ascii="Arial" w:hAnsi="Arial"/>
          <w:color w:val="525252"/>
          <w:sz w:val="13"/>
        </w:rPr>
        <w:t>A synergistic mindset opens the battlespace areas of operation and allows maximization of use of scarce, high-demand, low-density capabilities and enhances combat effectiveness.</w:t>
      </w:r>
    </w:p>
    <w:p>
      <w:pPr>
        <w:spacing w:after="20" w:line="223" w:lineRule="auto"/>
        <w:jc w:val="right"/>
        <w:bidi/>
      </w:pPr>
      <w:r>
        <w:rPr>
          <w:rFonts w:ascii="Arial" w:hAnsi="Arial"/>
          <w:sz w:val="16"/>
        </w:rPr>
        <w:t>096.09  یکپارچه سازی، نه فقط همگام سازی.</w:t>
      </w:r>
    </w:p>
    <w:p>
      <w:pPr>
        <w:spacing w:after="28" w:line="216" w:lineRule="auto"/>
        <w:ind w:left="259"/>
        <w:jc w:val="left"/>
      </w:pPr>
      <w:r>
        <w:rPr>
          <w:rFonts w:ascii="Arial" w:hAnsi="Arial"/>
          <w:color w:val="525252"/>
          <w:sz w:val="13"/>
        </w:rPr>
        <w:t>Integration, not just Synchronization.</w:t>
      </w:r>
    </w:p>
    <w:p>
      <w:pPr>
        <w:spacing w:after="20" w:line="223" w:lineRule="auto"/>
        <w:jc w:val="right"/>
        <w:bidi/>
      </w:pPr>
      <w:r>
        <w:rPr>
          <w:rFonts w:ascii="Arial" w:hAnsi="Arial"/>
          <w:sz w:val="16"/>
        </w:rPr>
        <w:t>096.10  اصل یکپارچه سازی، نه فقط همگام سازی، ارزش ادغام را نسبت به همگام سازی نشان می‌دهد.</w:t>
      </w:r>
    </w:p>
    <w:p>
      <w:pPr>
        <w:spacing w:after="28" w:line="216" w:lineRule="auto"/>
        <w:ind w:left="259"/>
        <w:jc w:val="left"/>
      </w:pPr>
      <w:r>
        <w:rPr>
          <w:rFonts w:ascii="Arial" w:hAnsi="Arial"/>
          <w:color w:val="525252"/>
          <w:sz w:val="13"/>
        </w:rPr>
        <w:t>The integration, not just synchronization principle addresses the value of integration over synchronization.</w:t>
      </w:r>
    </w:p>
    <w:p>
      <w:pPr>
        <w:spacing w:after="20" w:line="223" w:lineRule="auto"/>
        <w:jc w:val="right"/>
        <w:bidi/>
      </w:pPr>
      <w:r>
        <w:rPr>
          <w:rFonts w:ascii="Arial" w:hAnsi="Arial"/>
          <w:sz w:val="16"/>
        </w:rPr>
        <w:t>096.11  همگام سازی به‌عنوان "ترتیب اقدامات نظامی در زمان، مکان و هدف برای تولید حداکثر قدرت رزمی نسبی در مکان و زمان تعیین کننده" تعریف شده است. در مقایسه، ادغام به‌عنوان "آرایش نیروهای نظامی و اقدامات آنها برای ایجاد نیرویی که با درگیری به‌عنوان یک کل عمل می‌کند" تعریف می‌شود. همگام سازی بر زمان بندی تاکید دارد، در حالی که ادغام اولویت و اثر را با منابع کمیاب کارآمد و مؤثر می‌داند.</w:t>
      </w:r>
    </w:p>
    <w:p>
      <w:pPr>
        <w:spacing w:after="28" w:line="216" w:lineRule="auto"/>
        <w:ind w:left="259"/>
        <w:jc w:val="left"/>
      </w:pPr>
      <w:r>
        <w:rPr>
          <w:rFonts w:ascii="Arial" w:hAnsi="Arial"/>
          <w:color w:val="525252"/>
          <w:sz w:val="13"/>
        </w:rPr>
        <w:t>Synchronization is defined as “the arrangement of military actions in time, space, and purpose to produce maximum relative combat power at a decisive place and time.” Integration, by comparison, is defined as “the arrangement of military forces and their actions to create a force that operates by engaging as a whole.” Synchronization emphasizes timing, while integration considers priority and effect to be both efficient and effective with scarce resources.</w:t>
      </w:r>
    </w:p>
    <w:p>
      <w:pPr>
        <w:spacing w:after="20" w:line="223" w:lineRule="auto"/>
        <w:jc w:val="right"/>
        <w:bidi/>
      </w:pPr>
      <w:r>
        <w:rPr>
          <w:rFonts w:ascii="Arial" w:hAnsi="Arial"/>
          <w:sz w:val="16"/>
        </w:rPr>
        <w:t>096.12  نیروی مناسب، نه فقط سهم برابر نیرو.</w:t>
      </w:r>
    </w:p>
    <w:p>
      <w:pPr>
        <w:spacing w:after="28" w:line="216" w:lineRule="auto"/>
        <w:ind w:left="259"/>
        <w:jc w:val="left"/>
      </w:pPr>
      <w:r>
        <w:rPr>
          <w:rFonts w:ascii="Arial" w:hAnsi="Arial"/>
          <w:color w:val="525252"/>
          <w:sz w:val="13"/>
        </w:rPr>
        <w:t>The Right Force, not just Equal Shares of the Force.</w:t>
      </w:r>
    </w:p>
    <w:p>
      <w:pPr>
        <w:spacing w:after="20" w:line="223" w:lineRule="auto"/>
        <w:jc w:val="right"/>
        <w:bidi/>
      </w:pPr>
      <w:r>
        <w:rPr>
          <w:rFonts w:ascii="Arial" w:hAnsi="Arial"/>
          <w:sz w:val="16"/>
        </w:rPr>
        <w:t>096.13  نیروی مناسب، نه فقط سهم مساوی از اصل نیرو، بیانیه JP ۱ جلد ۱ را بیان می‌کند که ادغام نیروهای مشترک برای رفع آسیب‌پذیری‌های عملکردی و جغرافیایی طراحی شده است، اما نیروها بر اساس کسانی انتخاب خواهند شد که می‌توانند قابلیت‌های مورد نیاز در هر عملیات را فراهم کنند.</w:t>
      </w:r>
    </w:p>
    <w:p>
      <w:pPr>
        <w:spacing w:after="28" w:line="216" w:lineRule="auto"/>
        <w:ind w:left="259"/>
        <w:jc w:val="left"/>
      </w:pPr>
      <w:r>
        <w:rPr>
          <w:rFonts w:ascii="Arial" w:hAnsi="Arial"/>
          <w:color w:val="525252"/>
          <w:sz w:val="13"/>
        </w:rPr>
        <w:t>The right force, not just equal shares of the force principle address the JP 1 Volume 1 statement that the integration of Joint Forces is designed to address both functional and geographic vulnerabilities, but forces will be selected based on those who can provide the capabilities needed in each operation.</w:t>
      </w:r>
    </w:p>
    <w:p>
      <w:pPr>
        <w:spacing w:after="20" w:line="223" w:lineRule="auto"/>
        <w:jc w:val="right"/>
        <w:bidi/>
      </w:pPr>
      <w:r>
        <w:rPr>
          <w:rFonts w:ascii="Arial" w:hAnsi="Arial"/>
          <w:sz w:val="16"/>
        </w:rPr>
        <w:t>096.14  همانطور که یکی از افسران ارشد USAF گفت، "جنگ مشترک مانند بیسبال لیگ کوچک نیست، جایی که همه فرصت بازی پیدا کنند." هر نیروی مشترک داده شده باید به‌طور مناسب برای کار در دست طراحی شود.</w:t>
      </w:r>
    </w:p>
    <w:p>
      <w:pPr>
        <w:spacing w:after="28" w:line="216" w:lineRule="auto"/>
        <w:ind w:left="259"/>
        <w:jc w:val="left"/>
      </w:pPr>
      <w:r>
        <w:rPr>
          <w:rFonts w:ascii="Arial" w:hAnsi="Arial"/>
          <w:color w:val="525252"/>
          <w:sz w:val="13"/>
        </w:rPr>
        <w:t>As one senior USAF officer said, “Joint warfighting is not like Little League baseball, where everybody gets a chance to play.” Any given joint force should be tailored appropriately for the task at hand.</w:t>
      </w:r>
    </w:p>
    <w:p>
      <w:pPr>
        <w:spacing w:after="20" w:line="223" w:lineRule="auto"/>
        <w:jc w:val="right"/>
        <w:bidi/>
      </w:pPr>
      <w:r>
        <w:rPr>
          <w:rFonts w:ascii="Arial" w:hAnsi="Arial"/>
          <w:sz w:val="16"/>
        </w:rPr>
        <w:t>096.15  برخی از عملیات زمینی، برخی دیگر هوا محور، برخی دیگر دریایی، فضای مجازی یا اطلاعات محور خواهند بود.</w:t>
      </w:r>
    </w:p>
    <w:p>
      <w:pPr>
        <w:spacing w:after="28" w:line="216" w:lineRule="auto"/>
        <w:ind w:left="259"/>
        <w:jc w:val="left"/>
      </w:pPr>
      <w:r>
        <w:rPr>
          <w:rFonts w:ascii="Arial" w:hAnsi="Arial"/>
          <w:color w:val="525252"/>
          <w:sz w:val="13"/>
        </w:rPr>
        <w:t>Some operations will be land- centric, others air-centric, others maritime-, cyberspace-, or information- centric.</w:t>
      </w:r>
    </w:p>
    <w:p>
      <w:pPr>
        <w:spacing w:after="20" w:line="223" w:lineRule="auto"/>
        <w:jc w:val="right"/>
        <w:bidi/>
      </w:pPr>
      <w:r>
        <w:rPr>
          <w:rFonts w:ascii="Arial" w:hAnsi="Arial"/>
          <w:sz w:val="16"/>
        </w:rPr>
        <w:t>096.16  ترکیب نیروی مشترک و وظایف محول شده به عناصر مختلف باید منعکس کننده نیازهای مأموریت باشد.</w:t>
      </w:r>
    </w:p>
    <w:p>
      <w:pPr>
        <w:spacing w:after="28" w:line="216" w:lineRule="auto"/>
        <w:ind w:left="259"/>
        <w:jc w:val="left"/>
      </w:pPr>
      <w:r>
        <w:rPr>
          <w:rFonts w:ascii="Arial" w:hAnsi="Arial"/>
          <w:color w:val="525252"/>
          <w:sz w:val="13"/>
        </w:rPr>
        <w:t>The composition of the joint force and the tasks assigned to various elements should reflect the needs of the mission.</w:t>
      </w:r>
    </w:p>
    <w:p>
      <w:pPr>
        <w:spacing w:before="60" w:after="28"/>
        <w:jc w:val="right"/>
        <w:bidi/>
      </w:pPr>
      <w:r>
        <w:rPr>
          <w:b/>
          <w:color w:val="1F4D78"/>
          <w:sz w:val="18"/>
        </w:rPr>
        <w:t>6.4. اصول عملیات مشترک</w:t>
      </w:r>
    </w:p>
    <w:p>
      <w:pPr>
        <w:spacing w:after="20"/>
        <w:ind w:left="259"/>
        <w:jc w:val="left"/>
      </w:pPr>
      <w:r>
        <w:rPr>
          <w:color w:val="555555"/>
          <w:sz w:val="12"/>
        </w:rPr>
        <w:t>6.4. Principles of Joint Operations</w:t>
      </w:r>
    </w:p>
    <w:p>
      <w:pPr>
        <w:spacing w:after="20" w:line="223" w:lineRule="auto"/>
        <w:jc w:val="right"/>
        <w:bidi/>
      </w:pPr>
      <w:r>
        <w:rPr>
          <w:rFonts w:ascii="Arial" w:hAnsi="Arial"/>
          <w:sz w:val="16"/>
        </w:rPr>
        <w:t>096.18  در طول تاریخ درگیری‌ها، رهبران نظامی به اصول خاصی اشاره کرده‌اند که باعث پیروزی می‌شود.</w:t>
      </w:r>
    </w:p>
    <w:p>
      <w:pPr>
        <w:spacing w:after="28" w:line="216" w:lineRule="auto"/>
        <w:ind w:left="259"/>
        <w:jc w:val="left"/>
      </w:pPr>
      <w:r>
        <w:rPr>
          <w:rFonts w:ascii="Arial" w:hAnsi="Arial"/>
          <w:color w:val="525252"/>
          <w:sz w:val="13"/>
        </w:rPr>
        <w:t>Throughout the history of conflict, military leaders have noted certain principles that produce victory.</w:t>
      </w:r>
    </w:p>
    <w:p>
      <w:pPr>
        <w:spacing w:after="20" w:line="223" w:lineRule="auto"/>
        <w:jc w:val="right"/>
        <w:bidi/>
      </w:pPr>
      <w:r>
        <w:rPr>
          <w:rFonts w:ascii="Arial" w:hAnsi="Arial"/>
          <w:sz w:val="16"/>
        </w:rPr>
        <w:t>096.19  امروزه به‌عنوان اصول عملیات مشترک شناخته می‌شود، این جنبه‌های جنگ به‌طور جهانی درست و مرتبط هستند.</w:t>
      </w:r>
    </w:p>
    <w:p>
      <w:pPr>
        <w:spacing w:after="28" w:line="216" w:lineRule="auto"/>
        <w:ind w:left="259"/>
        <w:jc w:val="left"/>
      </w:pPr>
      <w:r>
        <w:rPr>
          <w:rFonts w:ascii="Arial" w:hAnsi="Arial"/>
          <w:color w:val="525252"/>
          <w:sz w:val="13"/>
        </w:rPr>
        <w:t>Known today as the principles of joint operations, these aspects of warfare are found to be universally true and relevant.</w:t>
      </w:r>
    </w:p>
    <w:p>
      <w:pPr>
        <w:spacing w:after="20" w:line="223" w:lineRule="auto"/>
        <w:jc w:val="right"/>
        <w:bidi/>
      </w:pPr>
      <w:r>
        <w:rPr>
          <w:rFonts w:ascii="Arial" w:hAnsi="Arial"/>
          <w:sz w:val="16"/>
        </w:rPr>
        <w:t>096.20  به‌عنوان اعضای تیم مشترک، هوانوردان باید از نحوه اعمال این اصول برای همه نیروها قدردانی کنند، اما باید به‌طور کامل آنها را در مورد نیروی هوایی ایالات متحده درک کنند.</w:t>
      </w:r>
    </w:p>
    <w:p>
      <w:pPr>
        <w:spacing w:after="28" w:line="216" w:lineRule="auto"/>
        <w:ind w:left="259"/>
        <w:jc w:val="left"/>
      </w:pPr>
      <w:r>
        <w:rPr>
          <w:rFonts w:ascii="Arial" w:hAnsi="Arial"/>
          <w:color w:val="525252"/>
          <w:sz w:val="13"/>
        </w:rPr>
        <w:t>As members of the joint team, Airmen should appreciate how these principles apply to all forces but should most fully understand them as they pertain to the USAF.</w:t>
      </w:r>
    </w:p>
    <w:p>
      <w:pPr>
        <w:spacing w:after="20" w:line="223" w:lineRule="auto"/>
        <w:jc w:val="right"/>
        <w:bidi/>
      </w:pPr>
      <w:r>
        <w:rPr>
          <w:rFonts w:ascii="Arial" w:hAnsi="Arial"/>
          <w:sz w:val="16"/>
        </w:rPr>
        <w:t>096.21  توان هوایی قابلیت‌های منحصربه‌فردی را ارائه می‌کند، بدون توجه به اینکه کدام سرویس سیستم‌ها را اجرا می‌کند و مهم نیست که از چه نوع پلت فرمی استفاده می‌شود.</w:t>
      </w:r>
    </w:p>
    <w:p>
      <w:pPr>
        <w:spacing w:after="28" w:line="216" w:lineRule="auto"/>
        <w:ind w:left="259"/>
        <w:jc w:val="left"/>
      </w:pPr>
      <w:r>
        <w:rPr>
          <w:rFonts w:ascii="Arial" w:hAnsi="Arial"/>
          <w:color w:val="525252"/>
          <w:sz w:val="13"/>
        </w:rPr>
        <w:t>Airpower provides unique capabilities, no matter which Service operates the systems, and no matter which type of platform is used.</w:t>
      </w:r>
    </w:p>
    <w:p>
      <w:pPr>
        <w:spacing w:after="20" w:line="223" w:lineRule="auto"/>
        <w:jc w:val="right"/>
        <w:bidi/>
      </w:pPr>
      <w:r>
        <w:rPr>
          <w:rFonts w:ascii="Arial" w:hAnsi="Arial"/>
          <w:sz w:val="16"/>
        </w:rPr>
        <w:t>096.22  این اصول عملیات مشترک به‌عنوان راهنمایی برای رهبران برای ارزیابی مسیرهای بالقوه اقدام است.</w:t>
      </w:r>
    </w:p>
    <w:p>
      <w:pPr>
        <w:spacing w:after="28" w:line="216" w:lineRule="auto"/>
        <w:ind w:left="259"/>
        <w:jc w:val="left"/>
      </w:pPr>
      <w:r>
        <w:rPr>
          <w:rFonts w:ascii="Arial" w:hAnsi="Arial"/>
          <w:color w:val="525252"/>
          <w:sz w:val="13"/>
        </w:rPr>
        <w:t>These principles of joint operations serve as guidance for leaders to evaluate potential courses of action.</w:t>
      </w:r>
    </w:p>
    <w:p>
      <w:pPr>
        <w:spacing w:after="20" w:line="223" w:lineRule="auto"/>
        <w:jc w:val="right"/>
        <w:bidi/>
      </w:pPr>
      <w:r>
        <w:rPr>
          <w:rFonts w:ascii="Arial" w:hAnsi="Arial"/>
          <w:sz w:val="16"/>
        </w:rPr>
        <w:t>096.23  هیچ یک از اصول را نباید بدون توجه به سایرین در نظر گرفت.</w:t>
      </w:r>
    </w:p>
    <w:p>
      <w:pPr>
        <w:spacing w:after="28" w:line="216" w:lineRule="auto"/>
        <w:ind w:left="259"/>
        <w:jc w:val="left"/>
      </w:pPr>
      <w:r>
        <w:rPr>
          <w:rFonts w:ascii="Arial" w:hAnsi="Arial"/>
          <w:color w:val="525252"/>
          <w:sz w:val="13"/>
        </w:rPr>
        <w:t>No one principle should be considered without due consideration of the others.</w:t>
      </w:r>
    </w:p>
    <w:p>
      <w:pPr>
        <w:spacing w:after="20" w:line="223" w:lineRule="auto"/>
        <w:jc w:val="right"/>
        <w:bidi/>
      </w:pPr>
      <w:r>
        <w:rPr>
          <w:rFonts w:ascii="Arial" w:hAnsi="Arial"/>
          <w:sz w:val="16"/>
        </w:rPr>
        <w:t>096.24  اصول عملیات مشترک، همراه با اصول اضافی نیروی هوایی (که در بخش بعدی به آن پرداخته می‌شود)، زمینه را برای یک دکترین سالم و پایدار برای نیروهای هوایی و فضای سایبری نیروی مشترک آمریکا فراهم می‌کند.</w:t>
      </w:r>
    </w:p>
    <w:p>
      <w:pPr>
        <w:spacing w:after="28" w:line="216" w:lineRule="auto"/>
        <w:ind w:left="259"/>
        <w:jc w:val="left"/>
      </w:pPr>
      <w:r>
        <w:rPr>
          <w:rFonts w:ascii="Arial" w:hAnsi="Arial"/>
          <w:color w:val="525252"/>
          <w:sz w:val="13"/>
        </w:rPr>
        <w:t>The principles of joint operations, combined with the additional tenets of airpower (addressed in the next section), provide the basis for a sound and enduring doctrine for the air and cyberspace forces of America’s joint force.</w:t>
      </w:r>
    </w:p>
    <w:p>
      <w:pPr>
        <w:spacing w:after="20" w:line="223" w:lineRule="auto"/>
        <w:jc w:val="right"/>
        <w:bidi/>
      </w:pPr>
      <w:r>
        <w:rPr>
          <w:rFonts w:ascii="Arial" w:hAnsi="Arial"/>
          <w:sz w:val="16"/>
        </w:rPr>
        <w:t>096.25  اصول عملیات مشترک، همانطور که در JP ۳-۰، عملیات مشترک مورد بحث قرار گرفت، در اینجا با دیدگاه USAF مورد بررسی قرار گرفته است.</w:t>
      </w:r>
    </w:p>
    <w:p>
      <w:pPr>
        <w:spacing w:after="28" w:line="216" w:lineRule="auto"/>
        <w:ind w:left="259"/>
        <w:jc w:val="left"/>
      </w:pPr>
      <w:r>
        <w:rPr>
          <w:rFonts w:ascii="Arial" w:hAnsi="Arial"/>
          <w:color w:val="525252"/>
          <w:sz w:val="13"/>
        </w:rPr>
        <w:t>The principles of joint operations, as discussed in JP 3-0, Joint Operations, are addressed here with a USAF perspective.</w:t>
      </w:r>
    </w:p>
    <w:p>
      <w:pPr>
        <w:spacing w:after="20" w:line="223" w:lineRule="auto"/>
        <w:jc w:val="right"/>
        <w:bidi/>
      </w:pPr>
      <w:r>
        <w:rPr>
          <w:rFonts w:ascii="Arial" w:hAnsi="Arial"/>
          <w:sz w:val="16"/>
        </w:rPr>
        <w:t>096.26  اصول عملیات مشترک حول ۹ اصل سنتی جنگ شکل گرفته است.</w:t>
      </w:r>
    </w:p>
    <w:p>
      <w:pPr>
        <w:spacing w:after="28" w:line="216" w:lineRule="auto"/>
        <w:ind w:left="259"/>
        <w:jc w:val="left"/>
      </w:pPr>
      <w:r>
        <w:rPr>
          <w:rFonts w:ascii="Arial" w:hAnsi="Arial"/>
          <w:color w:val="525252"/>
          <w:sz w:val="13"/>
        </w:rPr>
        <w:t>The principles of joint operations are formed around the nine traditional principles of war.</w:t>
      </w:r>
    </w:p>
    <w:p>
      <w:pPr>
        <w:spacing w:after="20" w:line="223" w:lineRule="auto"/>
        <w:jc w:val="right"/>
        <w:bidi/>
      </w:pPr>
      <w:r>
        <w:rPr>
          <w:rFonts w:ascii="Arial" w:hAnsi="Arial"/>
          <w:sz w:val="16"/>
        </w:rPr>
        <w:t>096.27  سه اصل اضافی - خویشتن داری، استقامت، و مشروعیت - به نحوه استفاده نیروهای مسلح ایالات متحده از قدرت رزمی در سراسر تداوم رقابت مربوط است.</w:t>
      </w:r>
    </w:p>
    <w:p>
      <w:pPr>
        <w:spacing w:after="28" w:line="216" w:lineRule="auto"/>
        <w:ind w:left="259"/>
        <w:jc w:val="left"/>
      </w:pPr>
      <w:r>
        <w:rPr>
          <w:rFonts w:ascii="Arial" w:hAnsi="Arial"/>
          <w:color w:val="525252"/>
          <w:sz w:val="13"/>
        </w:rPr>
        <w:t>Three additional principles—restraint, perseverance, and legitimacy—are relevant to how the Armed Forces of the United States use combat power across the competition continuum.</w:t>
      </w:r>
    </w:p>
    <w:p>
      <w:pPr>
        <w:spacing w:after="20" w:line="223" w:lineRule="auto"/>
        <w:jc w:val="right"/>
        <w:bidi/>
      </w:pPr>
      <w:r>
        <w:rPr>
          <w:rFonts w:ascii="Arial" w:hAnsi="Arial"/>
          <w:sz w:val="16"/>
        </w:rPr>
        <w:t>096.28  علاوه بر این، یک اصل ویژه عملیاتی وجود دارد که USAF از آن استفاده می‌کند: وحدت تلاش.</w:t>
      </w:r>
    </w:p>
    <w:p>
      <w:pPr>
        <w:spacing w:after="28" w:line="216" w:lineRule="auto"/>
        <w:ind w:left="259"/>
        <w:jc w:val="left"/>
      </w:pPr>
      <w:r>
        <w:rPr>
          <w:rFonts w:ascii="Arial" w:hAnsi="Arial"/>
          <w:color w:val="525252"/>
          <w:sz w:val="13"/>
        </w:rPr>
        <w:t>In addition, there is a specific principle of operations the USAF uses: unity of effort.</w:t>
      </w:r>
    </w:p>
    <w:p>
      <w:r>
        <w:br w:type="page"/>
      </w:r>
    </w:p>
    <w:p>
      <w:pPr>
        <w:spacing w:after="60"/>
        <w:jc w:val="right"/>
        <w:bidi/>
      </w:pPr>
      <w:r>
        <w:rPr>
          <w:rFonts w:ascii="Arial" w:hAnsi="Arial"/>
          <w:b/>
          <w:color w:val="1F4D78"/>
          <w:sz w:val="19"/>
        </w:rPr>
        <w:t>هفتهٔ 97  |  صفحهٔ منبع: 113</w:t>
      </w:r>
    </w:p>
    <w:p>
      <w:pPr>
        <w:spacing w:after="20" w:line="223" w:lineRule="auto"/>
        <w:jc w:val="right"/>
        <w:bidi/>
      </w:pPr>
      <w:r>
        <w:rPr>
          <w:rFonts w:ascii="Arial" w:hAnsi="Arial"/>
          <w:sz w:val="16"/>
        </w:rPr>
        <w:t>097.01  وحدت فرماندهی.</w:t>
      </w:r>
    </w:p>
    <w:p>
      <w:pPr>
        <w:spacing w:after="28" w:line="216" w:lineRule="auto"/>
        <w:ind w:left="259"/>
        <w:jc w:val="left"/>
      </w:pPr>
      <w:r>
        <w:rPr>
          <w:rFonts w:ascii="Arial" w:hAnsi="Arial"/>
          <w:color w:val="525252"/>
          <w:sz w:val="13"/>
        </w:rPr>
        <w:t>Unity of Command.</w:t>
      </w:r>
    </w:p>
    <w:p>
      <w:pPr>
        <w:spacing w:after="20" w:line="223" w:lineRule="auto"/>
        <w:jc w:val="right"/>
        <w:bidi/>
      </w:pPr>
      <w:r>
        <w:rPr>
          <w:rFonts w:ascii="Arial" w:hAnsi="Arial"/>
          <w:sz w:val="16"/>
        </w:rPr>
        <w:t>097.02  وحدت فرماندهی در به‌کارگیری نیروی هوایی حیاتی است زیرا تمرکز و اولویت تلاش مناسب توسط یک فرمانده مسئول با اختیار و توانایی هدایت استخدام نیرو در تعقیب اهداف مشترک را تضمین می‌کند.</w:t>
      </w:r>
    </w:p>
    <w:p>
      <w:pPr>
        <w:spacing w:after="28" w:line="216" w:lineRule="auto"/>
        <w:ind w:left="259"/>
        <w:jc w:val="left"/>
      </w:pPr>
      <w:r>
        <w:rPr>
          <w:rFonts w:ascii="Arial" w:hAnsi="Arial"/>
          <w:color w:val="525252"/>
          <w:sz w:val="13"/>
        </w:rPr>
        <w:t>Unity of command is vital in employing airpower as it ensures appropriate concentration and priority of effort by one responsible commander with the authority and the capability to direct force employment in pursuit of common objectives.</w:t>
      </w:r>
    </w:p>
    <w:p>
      <w:pPr>
        <w:spacing w:after="20" w:line="223" w:lineRule="auto"/>
        <w:jc w:val="right"/>
        <w:bidi/>
      </w:pPr>
      <w:r>
        <w:rPr>
          <w:rFonts w:ascii="Arial" w:hAnsi="Arial"/>
          <w:sz w:val="16"/>
        </w:rPr>
        <w:t>097.03  چشم انداز سطح عملیاتی USAF خواستار وحدت فرماندهی برای به دست آوردن مؤثرترین و کارآمدترین کاربرد نیروی هوایی است.</w:t>
      </w:r>
    </w:p>
    <w:p>
      <w:pPr>
        <w:spacing w:after="28" w:line="216" w:lineRule="auto"/>
        <w:ind w:left="259"/>
        <w:jc w:val="left"/>
      </w:pPr>
      <w:r>
        <w:rPr>
          <w:rFonts w:ascii="Arial" w:hAnsi="Arial"/>
          <w:color w:val="525252"/>
          <w:sz w:val="13"/>
        </w:rPr>
        <w:t>The USAF’s operational- level perspective calls for unity of command to gain the most effective and efficient application of airpower.</w:t>
      </w:r>
    </w:p>
    <w:p>
      <w:pPr>
        <w:spacing w:after="20" w:line="223" w:lineRule="auto"/>
        <w:jc w:val="right"/>
        <w:bidi/>
      </w:pPr>
      <w:r>
        <w:rPr>
          <w:rFonts w:ascii="Arial" w:hAnsi="Arial"/>
          <w:sz w:val="16"/>
        </w:rPr>
        <w:t>097.04  نیروی هوایی محصول قابلیت‌های متعدد است و فرماندهی متمرکز برای ترکیب مؤثر این قابلیت‌ها و ایجاد وحدت فرماندهی ضروری است.</w:t>
      </w:r>
    </w:p>
    <w:p>
      <w:pPr>
        <w:spacing w:after="28" w:line="216" w:lineRule="auto"/>
        <w:ind w:left="259"/>
        <w:jc w:val="left"/>
      </w:pPr>
      <w:r>
        <w:rPr>
          <w:rFonts w:ascii="Arial" w:hAnsi="Arial"/>
          <w:color w:val="525252"/>
          <w:sz w:val="13"/>
        </w:rPr>
        <w:t>Airpower is the product of multiple capabilities, and centralized command is essential to effectively fuse these capabilities and provide unity of command.</w:t>
      </w:r>
    </w:p>
    <w:p>
      <w:pPr>
        <w:spacing w:after="20" w:line="223" w:lineRule="auto"/>
        <w:jc w:val="right"/>
        <w:bidi/>
      </w:pPr>
      <w:r>
        <w:rPr>
          <w:rFonts w:ascii="Arial" w:hAnsi="Arial"/>
          <w:sz w:val="16"/>
        </w:rPr>
        <w:t>097.05  اقتصاد نیرو.</w:t>
      </w:r>
    </w:p>
    <w:p>
      <w:pPr>
        <w:spacing w:after="28" w:line="216" w:lineRule="auto"/>
        <w:ind w:left="259"/>
        <w:jc w:val="left"/>
      </w:pPr>
      <w:r>
        <w:rPr>
          <w:rFonts w:ascii="Arial" w:hAnsi="Arial"/>
          <w:color w:val="525252"/>
          <w:sz w:val="13"/>
        </w:rPr>
        <w:t>Economy of Force.</w:t>
      </w:r>
    </w:p>
    <w:p>
      <w:pPr>
        <w:spacing w:after="20" w:line="223" w:lineRule="auto"/>
        <w:jc w:val="right"/>
        <w:bidi/>
      </w:pPr>
      <w:r>
        <w:rPr>
          <w:rFonts w:ascii="Arial" w:hAnsi="Arial"/>
          <w:sz w:val="16"/>
        </w:rPr>
        <w:t>097.06  اقتصاد نیرو، به‌کارگیری و توزیع عاقلانه نیرو با انتخاب بهترین ترکیبی از قابلیت‌های نیروی هوایی است.</w:t>
      </w:r>
    </w:p>
    <w:p>
      <w:pPr>
        <w:spacing w:after="28" w:line="216" w:lineRule="auto"/>
        <w:ind w:left="259"/>
        <w:jc w:val="left"/>
      </w:pPr>
      <w:r>
        <w:rPr>
          <w:rFonts w:ascii="Arial" w:hAnsi="Arial"/>
          <w:color w:val="525252"/>
          <w:sz w:val="13"/>
        </w:rPr>
        <w:t>Economy of force is the judicious employment and distribution of force by selecting the best mix of airpower capabilities.</w:t>
      </w:r>
    </w:p>
    <w:p>
      <w:pPr>
        <w:spacing w:after="20" w:line="223" w:lineRule="auto"/>
        <w:jc w:val="right"/>
        <w:bidi/>
      </w:pPr>
      <w:r>
        <w:rPr>
          <w:rFonts w:ascii="Arial" w:hAnsi="Arial"/>
          <w:sz w:val="16"/>
        </w:rPr>
        <w:t>097.07  برای اطمینان از در دسترس بودن قدرت رزمی عظیم، تلاش مناسب باید به اهداف اولیه اختصاص داده شود و منابع ضروری کمتری به تلاش‌های ثانویه اختصاص یابد.</w:t>
      </w:r>
    </w:p>
    <w:p>
      <w:pPr>
        <w:spacing w:after="28" w:line="216" w:lineRule="auto"/>
        <w:ind w:left="259"/>
        <w:jc w:val="left"/>
      </w:pPr>
      <w:r>
        <w:rPr>
          <w:rFonts w:ascii="Arial" w:hAnsi="Arial"/>
          <w:color w:val="525252"/>
          <w:sz w:val="13"/>
        </w:rPr>
        <w:t>To ensure overwhelming combat power is available, appropriate effort should be devoted to primary objectives and allocate lesser essential resources to secondary efforts.</w:t>
      </w:r>
    </w:p>
    <w:p>
      <w:pPr>
        <w:spacing w:after="20" w:line="223" w:lineRule="auto"/>
        <w:jc w:val="right"/>
        <w:bidi/>
      </w:pPr>
      <w:r>
        <w:rPr>
          <w:rFonts w:ascii="Arial" w:hAnsi="Arial"/>
          <w:sz w:val="16"/>
        </w:rPr>
        <w:t>097.08  اقتصاد نیرو ممکن است از یک فرمانده بخواهد که بر اساس اولویت اهداف، تعادلی را در کاربرد نیروی هوایی بین حمله، دفاع، تأخیر یا انجام سایر عملیات‌ها مانند عملیات اطلاعاتی برقرار کند.</w:t>
      </w:r>
    </w:p>
    <w:p>
      <w:pPr>
        <w:spacing w:after="28" w:line="216" w:lineRule="auto"/>
        <w:ind w:left="259"/>
        <w:jc w:val="left"/>
      </w:pPr>
      <w:r>
        <w:rPr>
          <w:rFonts w:ascii="Arial" w:hAnsi="Arial"/>
          <w:color w:val="525252"/>
          <w:sz w:val="13"/>
        </w:rPr>
        <w:t>Economy of force may require a commander to establish a balance in the application of airpower between attacking, defending, delaying, or conducting other operations, such as information operations, based on the priority of the objectives.</w:t>
      </w:r>
    </w:p>
    <w:p>
      <w:pPr>
        <w:spacing w:after="20" w:line="223" w:lineRule="auto"/>
        <w:jc w:val="right"/>
        <w:bidi/>
      </w:pPr>
      <w:r>
        <w:rPr>
          <w:rFonts w:ascii="Arial" w:hAnsi="Arial"/>
          <w:sz w:val="16"/>
        </w:rPr>
        <w:t>097.09  همچنین، اولویت‌ها ممکن است به سرعت از یک نوع مأموریت، مانند ممنوعیت، به دیگری، مانند پشتیبانی نزدیک هوایی، تغییر کند.</w:t>
      </w:r>
    </w:p>
    <w:p>
      <w:pPr>
        <w:spacing w:after="28" w:line="216" w:lineRule="auto"/>
        <w:ind w:left="259"/>
        <w:jc w:val="left"/>
      </w:pPr>
      <w:r>
        <w:rPr>
          <w:rFonts w:ascii="Arial" w:hAnsi="Arial"/>
          <w:color w:val="525252"/>
          <w:sz w:val="13"/>
        </w:rPr>
        <w:t>Also, priorities may shift rapidly from one type of mission, such as interdiction, to another, such as close air support.</w:t>
      </w:r>
    </w:p>
    <w:p>
      <w:pPr>
        <w:spacing w:after="20" w:line="223" w:lineRule="auto"/>
        <w:jc w:val="right"/>
        <w:bidi/>
      </w:pPr>
      <w:r>
        <w:rPr>
          <w:rFonts w:ascii="Arial" w:hAnsi="Arial"/>
          <w:sz w:val="16"/>
        </w:rPr>
        <w:t>097.10  اگرچه اصل صرفه جویی در زور استفاده از نیروی غالب را به یک معنا پیشنهاد می‌کند، اما در عین حال توصیه می‌کند که از نیروی بیش از حد لازم استفاده نکنید.</w:t>
      </w:r>
    </w:p>
    <w:p>
      <w:pPr>
        <w:spacing w:after="28" w:line="216" w:lineRule="auto"/>
        <w:ind w:left="259"/>
        <w:jc w:val="left"/>
      </w:pPr>
      <w:r>
        <w:rPr>
          <w:rFonts w:ascii="Arial" w:hAnsi="Arial"/>
          <w:color w:val="525252"/>
          <w:sz w:val="13"/>
        </w:rPr>
        <w:t>Although the principle of economy of force suggests the use of overwhelming force in one sense, it also recommends against the use of more force than reasonably necessary.</w:t>
      </w:r>
    </w:p>
    <w:p>
      <w:pPr>
        <w:spacing w:after="20" w:line="223" w:lineRule="auto"/>
        <w:jc w:val="right"/>
        <w:bidi/>
      </w:pPr>
      <w:r>
        <w:rPr>
          <w:rFonts w:ascii="Arial" w:hAnsi="Arial"/>
          <w:sz w:val="16"/>
        </w:rPr>
        <w:t>097.11  مانور.</w:t>
      </w:r>
    </w:p>
    <w:p>
      <w:pPr>
        <w:spacing w:after="28" w:line="216" w:lineRule="auto"/>
        <w:ind w:left="259"/>
        <w:jc w:val="left"/>
      </w:pPr>
      <w:r>
        <w:rPr>
          <w:rFonts w:ascii="Arial" w:hAnsi="Arial"/>
          <w:color w:val="525252"/>
          <w:sz w:val="13"/>
        </w:rPr>
        <w:t>Maneuver.</w:t>
      </w:r>
    </w:p>
    <w:p>
      <w:pPr>
        <w:spacing w:after="20" w:line="223" w:lineRule="auto"/>
        <w:jc w:val="right"/>
        <w:bidi/>
      </w:pPr>
      <w:r>
        <w:rPr>
          <w:rFonts w:ascii="Arial" w:hAnsi="Arial"/>
          <w:sz w:val="16"/>
        </w:rPr>
        <w:t>097.12  مانور دشمن را از طریق اعمال انعطاف‌پذیر قدرت رزمی در فضای چند بعدی جنگی در موقعیتی مضر قرار می‌دهد.</w:t>
      </w:r>
    </w:p>
    <w:p>
      <w:pPr>
        <w:spacing w:after="28" w:line="216" w:lineRule="auto"/>
        <w:ind w:left="259"/>
        <w:jc w:val="left"/>
      </w:pPr>
      <w:r>
        <w:rPr>
          <w:rFonts w:ascii="Arial" w:hAnsi="Arial"/>
          <w:color w:val="525252"/>
          <w:sz w:val="13"/>
        </w:rPr>
        <w:t>Maneuver places the enemy in a position of disadvantage through the flexible application of combat power in a multidimensional combat space.</w:t>
      </w:r>
    </w:p>
    <w:p>
      <w:pPr>
        <w:spacing w:after="20" w:line="223" w:lineRule="auto"/>
        <w:jc w:val="right"/>
        <w:bidi/>
      </w:pPr>
      <w:r>
        <w:rPr>
          <w:rFonts w:ascii="Arial" w:hAnsi="Arial"/>
          <w:sz w:val="16"/>
        </w:rPr>
        <w:t>097.13  توانایی توان هوایی برای انجام مانور نه تنها محصول سرعت و برد آن است، بلکه قابلیت مانور نیز از طریق انعطاف پذیری و تطبیق پذیری ایجاد شده در طول برنامه‌ریزی و اجرای عملیات به دست می‌آید.</w:t>
      </w:r>
    </w:p>
    <w:p>
      <w:pPr>
        <w:spacing w:after="28" w:line="216" w:lineRule="auto"/>
        <w:ind w:left="259"/>
        <w:jc w:val="left"/>
      </w:pPr>
      <w:r>
        <w:rPr>
          <w:rFonts w:ascii="Arial" w:hAnsi="Arial"/>
          <w:color w:val="525252"/>
          <w:sz w:val="13"/>
        </w:rPr>
        <w:t>Airpower’s ability to conduct maneuver is not only a product of its speed and range, but maneuverability is also obtained through flexibility and versatility established during the planning and execution of operations.</w:t>
      </w:r>
    </w:p>
    <w:p>
      <w:pPr>
        <w:spacing w:after="20" w:line="223" w:lineRule="auto"/>
        <w:jc w:val="right"/>
        <w:bidi/>
      </w:pPr>
      <w:r>
        <w:rPr>
          <w:rFonts w:ascii="Arial" w:hAnsi="Arial"/>
          <w:sz w:val="16"/>
        </w:rPr>
        <w:t>097.14  اصل مانور به درگیری احتمالی در هر مکان، از هر جهت و در هر زمان اجازه می‌دهد و دشمن را مجبور می‌کند که در همه جا مراقب باشد.</w:t>
      </w:r>
    </w:p>
    <w:p>
      <w:pPr>
        <w:spacing w:after="28" w:line="216" w:lineRule="auto"/>
        <w:ind w:left="259"/>
        <w:jc w:val="left"/>
      </w:pPr>
      <w:r>
        <w:rPr>
          <w:rFonts w:ascii="Arial" w:hAnsi="Arial"/>
          <w:color w:val="525252"/>
          <w:sz w:val="13"/>
        </w:rPr>
        <w:t>The principle of maneuver allows potential engagement anywhere, from any direction, at any time, forcing the adversary to be on guard everywhere.</w:t>
      </w:r>
    </w:p>
    <w:p>
      <w:pPr>
        <w:spacing w:after="20" w:line="223" w:lineRule="auto"/>
        <w:jc w:val="right"/>
        <w:bidi/>
      </w:pPr>
      <w:r>
        <w:rPr>
          <w:rFonts w:ascii="Arial" w:hAnsi="Arial"/>
          <w:sz w:val="16"/>
        </w:rPr>
        <w:t>097.15  اعمال اصل مانور، دشمن را وادار به واکنش می‌کند و امکان بهره‌برداری از عملیات دوستانه موفق و کاهش آسیب پذیری‌های دوستانه را فراهم می‌کند.</w:t>
      </w:r>
    </w:p>
    <w:p>
      <w:pPr>
        <w:spacing w:after="28" w:line="216" w:lineRule="auto"/>
        <w:ind w:left="259"/>
        <w:jc w:val="left"/>
      </w:pPr>
      <w:r>
        <w:rPr>
          <w:rFonts w:ascii="Arial" w:hAnsi="Arial"/>
          <w:color w:val="525252"/>
          <w:sz w:val="13"/>
        </w:rPr>
        <w:t>Applying the principle of maneuver will force the enemy to react, allowing the exploitation of successful friendly operations and reducing friendly vulnerabilities.</w:t>
      </w:r>
    </w:p>
    <w:p>
      <w:pPr>
        <w:spacing w:after="20" w:line="223" w:lineRule="auto"/>
        <w:jc w:val="right"/>
        <w:bidi/>
      </w:pPr>
      <w:r>
        <w:rPr>
          <w:rFonts w:ascii="Arial" w:hAnsi="Arial"/>
          <w:sz w:val="16"/>
        </w:rPr>
        <w:t>097.16  استقرار پیشروی دارایی‌های نیروی هوایی یکی از نمونه‌های مانور است که با حضور خود می‌تواند به متحدان اطمینان داده و متجاوزان را بازدارد.</w:t>
      </w:r>
    </w:p>
    <w:p>
      <w:pPr>
        <w:spacing w:after="28" w:line="216" w:lineRule="auto"/>
        <w:ind w:left="259"/>
        <w:jc w:val="left"/>
      </w:pPr>
      <w:r>
        <w:rPr>
          <w:rFonts w:ascii="Arial" w:hAnsi="Arial"/>
          <w:color w:val="525252"/>
          <w:sz w:val="13"/>
        </w:rPr>
        <w:t>Forward deployment of airpower assets is one example of maneuver that, by its very presence, can reassure allies and deter aggressors.</w:t>
      </w:r>
    </w:p>
    <w:p>
      <w:pPr>
        <w:spacing w:after="20" w:line="223" w:lineRule="auto"/>
        <w:jc w:val="right"/>
        <w:bidi/>
      </w:pPr>
      <w:r>
        <w:rPr>
          <w:rFonts w:ascii="Arial" w:hAnsi="Arial"/>
          <w:sz w:val="16"/>
        </w:rPr>
        <w:t>097.17  هدف.</w:t>
      </w:r>
    </w:p>
    <w:p>
      <w:pPr>
        <w:spacing w:after="28" w:line="216" w:lineRule="auto"/>
        <w:ind w:left="259"/>
        <w:jc w:val="left"/>
      </w:pPr>
      <w:r>
        <w:rPr>
          <w:rFonts w:ascii="Arial" w:hAnsi="Arial"/>
          <w:color w:val="525252"/>
          <w:sz w:val="13"/>
        </w:rPr>
        <w:t>Objective.</w:t>
      </w:r>
    </w:p>
    <w:p>
      <w:pPr>
        <w:spacing w:after="20" w:line="223" w:lineRule="auto"/>
        <w:jc w:val="right"/>
        <w:bidi/>
      </w:pPr>
      <w:r>
        <w:rPr>
          <w:rFonts w:ascii="Arial" w:hAnsi="Arial"/>
          <w:sz w:val="16"/>
        </w:rPr>
        <w:t>097.18  اصل هدف هدایت عملیات نظامی به سمت یک هدف تعریف شده و قابل دستیابی است که به اهداف استراتژیک، عملیاتی و تاکتیکی تثبیت شده کمک می‌کند.</w:t>
      </w:r>
    </w:p>
    <w:p>
      <w:pPr>
        <w:spacing w:after="28" w:line="216" w:lineRule="auto"/>
        <w:ind w:left="259"/>
        <w:jc w:val="left"/>
      </w:pPr>
      <w:r>
        <w:rPr>
          <w:rFonts w:ascii="Arial" w:hAnsi="Arial"/>
          <w:color w:val="525252"/>
          <w:sz w:val="13"/>
        </w:rPr>
        <w:t>The principle of objective is to direct military operations toward a defined and attainable objective that contributes to established strategic, operational, and tactical goals.</w:t>
      </w:r>
    </w:p>
    <w:p>
      <w:pPr>
        <w:spacing w:after="20" w:line="223" w:lineRule="auto"/>
        <w:jc w:val="right"/>
        <w:bidi/>
      </w:pPr>
      <w:r>
        <w:rPr>
          <w:rFonts w:ascii="Arial" w:hAnsi="Arial"/>
          <w:sz w:val="16"/>
        </w:rPr>
        <w:t>097.19  در معنای وسیع، اصل هدف بر این است که اهداف سیاسی و نظامی باید در یک راستا قرار گیرند و به وضوح بیان شوند.</w:t>
      </w:r>
    </w:p>
    <w:p>
      <w:pPr>
        <w:spacing w:after="28" w:line="216" w:lineRule="auto"/>
        <w:ind w:left="259"/>
        <w:jc w:val="left"/>
      </w:pPr>
      <w:r>
        <w:rPr>
          <w:rFonts w:ascii="Arial" w:hAnsi="Arial"/>
          <w:color w:val="525252"/>
          <w:sz w:val="13"/>
        </w:rPr>
        <w:t>In a broad sense, the principle of objective holds that political and military goals should be aligned and clearly articulated.</w:t>
      </w:r>
    </w:p>
    <w:p>
      <w:pPr>
        <w:spacing w:after="20" w:line="223" w:lineRule="auto"/>
        <w:jc w:val="right"/>
        <w:bidi/>
      </w:pPr>
      <w:r>
        <w:rPr>
          <w:rFonts w:ascii="Arial" w:hAnsi="Arial"/>
          <w:sz w:val="16"/>
        </w:rPr>
        <w:t>097.20  یک استراتژی نظامی شفاف ملی تمرکز را برای تعریف اهداف کمپین یا تئاتر فراهم می‌کند، در حالی که در سطح عملیاتی، اهداف کمپین یا تئاتر اولویت‌های نظامی را تعیین می‌کنند.</w:t>
      </w:r>
    </w:p>
    <w:p>
      <w:pPr>
        <w:spacing w:after="28" w:line="216" w:lineRule="auto"/>
        <w:ind w:left="259"/>
        <w:jc w:val="left"/>
      </w:pPr>
      <w:r>
        <w:rPr>
          <w:rFonts w:ascii="Arial" w:hAnsi="Arial"/>
          <w:color w:val="525252"/>
          <w:sz w:val="13"/>
        </w:rPr>
        <w:t>A clear national military strategy provides focus for defining campaign or theater objectives, while at the operational level, campaign or theater objectives determine military priorities.</w:t>
      </w:r>
    </w:p>
    <w:p>
      <w:pPr>
        <w:spacing w:after="20" w:line="223" w:lineRule="auto"/>
        <w:jc w:val="right"/>
        <w:bidi/>
      </w:pPr>
      <w:r>
        <w:rPr>
          <w:rFonts w:ascii="Arial" w:hAnsi="Arial"/>
          <w:sz w:val="16"/>
        </w:rPr>
        <w:t>097.21  از ابتدا، نیروی هوایی می‌تواند اهداف تاکتیکی، عملیاتی یا استراتژیک را در هر ترکیبی یا هر سه به‌طور همزمان دنبال کند.</w:t>
      </w:r>
    </w:p>
    <w:p>
      <w:pPr>
        <w:spacing w:after="28" w:line="216" w:lineRule="auto"/>
        <w:ind w:left="259"/>
        <w:jc w:val="left"/>
      </w:pPr>
      <w:r>
        <w:rPr>
          <w:rFonts w:ascii="Arial" w:hAnsi="Arial"/>
          <w:color w:val="525252"/>
          <w:sz w:val="13"/>
        </w:rPr>
        <w:t>From the outset, airpower can pursue tactical, operational, or strategic objectives in any combination, or all three simultaneously.</w:t>
      </w:r>
    </w:p>
    <w:p>
      <w:pPr>
        <w:spacing w:after="20" w:line="223" w:lineRule="auto"/>
        <w:jc w:val="right"/>
        <w:bidi/>
      </w:pPr>
      <w:r>
        <w:rPr>
          <w:rFonts w:ascii="Arial" w:hAnsi="Arial"/>
          <w:sz w:val="16"/>
        </w:rPr>
        <w:t>097.22  از منظر یک ایرمن، اصل هدف اولویت‌ها را شکل می‌دهد تا به نیروی هوایی اجازه دهد بر اولویت‌های تئاتر یا مبارزات انتخاباتی متمرکز شود و به دنبال جلوگیری از انتقال عناصر نیرو به اهداف پراکنده است.</w:t>
      </w:r>
    </w:p>
    <w:p>
      <w:pPr>
        <w:spacing w:after="28" w:line="216" w:lineRule="auto"/>
        <w:ind w:left="259"/>
        <w:jc w:val="left"/>
      </w:pPr>
      <w:r>
        <w:rPr>
          <w:rFonts w:ascii="Arial" w:hAnsi="Arial"/>
          <w:color w:val="525252"/>
          <w:sz w:val="13"/>
        </w:rPr>
        <w:t>From an Airman’s perspective, the principle of objective shapes priorities to allow airpower to concentrate on theater or campaign priorities and seeks to avoid the siphoning of force elements to fragmented objectives.</w:t>
      </w:r>
    </w:p>
    <w:p>
      <w:pPr>
        <w:spacing w:after="20" w:line="223" w:lineRule="auto"/>
        <w:jc w:val="right"/>
        <w:bidi/>
      </w:pPr>
      <w:r>
        <w:rPr>
          <w:rFonts w:ascii="Arial" w:hAnsi="Arial"/>
          <w:sz w:val="16"/>
        </w:rPr>
        <w:t>097.23  امنیت.</w:t>
      </w:r>
    </w:p>
    <w:p>
      <w:pPr>
        <w:spacing w:after="28" w:line="216" w:lineRule="auto"/>
        <w:ind w:left="259"/>
        <w:jc w:val="left"/>
      </w:pPr>
      <w:r>
        <w:rPr>
          <w:rFonts w:ascii="Arial" w:hAnsi="Arial"/>
          <w:color w:val="525252"/>
          <w:sz w:val="13"/>
        </w:rPr>
        <w:t>Security.</w:t>
      </w:r>
    </w:p>
    <w:p>
      <w:pPr>
        <w:spacing w:after="20" w:line="223" w:lineRule="auto"/>
        <w:jc w:val="right"/>
        <w:bidi/>
      </w:pPr>
      <w:r>
        <w:rPr>
          <w:rFonts w:ascii="Arial" w:hAnsi="Arial"/>
          <w:sz w:val="16"/>
        </w:rPr>
        <w:t>097.24  هدف اصل امنیت این است که هرگز به دشمن اجازه ندهد که مزیت غیرمنتظره‌ای به دست آورد.</w:t>
      </w:r>
    </w:p>
    <w:p>
      <w:pPr>
        <w:spacing w:after="28" w:line="216" w:lineRule="auto"/>
        <w:ind w:left="259"/>
        <w:jc w:val="left"/>
      </w:pPr>
      <w:r>
        <w:rPr>
          <w:rFonts w:ascii="Arial" w:hAnsi="Arial"/>
          <w:color w:val="525252"/>
          <w:sz w:val="13"/>
        </w:rPr>
        <w:t>The purpose of the principle of security is to never permit the enemy to acquire an unexpected advantage.</w:t>
      </w:r>
    </w:p>
    <w:p>
      <w:pPr>
        <w:spacing w:after="20" w:line="223" w:lineRule="auto"/>
        <w:jc w:val="right"/>
        <w:bidi/>
      </w:pPr>
      <w:r>
        <w:rPr>
          <w:rFonts w:ascii="Arial" w:hAnsi="Arial"/>
          <w:sz w:val="16"/>
        </w:rPr>
        <w:t>097.25  برای امنیت، درک این نکته ضروری است که امنیت فیزیکی، عملیاتی و اطلاعاتی را در بر می‌گیرد.</w:t>
      </w:r>
    </w:p>
    <w:p>
      <w:pPr>
        <w:spacing w:after="28" w:line="216" w:lineRule="auto"/>
        <w:ind w:left="259"/>
        <w:jc w:val="left"/>
      </w:pPr>
      <w:r>
        <w:rPr>
          <w:rFonts w:ascii="Arial" w:hAnsi="Arial"/>
          <w:color w:val="525252"/>
          <w:sz w:val="13"/>
        </w:rPr>
        <w:t>Critical to security is understanding that it embraces physical, operations, and information security.</w:t>
      </w:r>
    </w:p>
    <w:p>
      <w:pPr>
        <w:spacing w:after="20" w:line="223" w:lineRule="auto"/>
        <w:jc w:val="right"/>
        <w:bidi/>
      </w:pPr>
      <w:r>
        <w:rPr>
          <w:rFonts w:ascii="Arial" w:hAnsi="Arial"/>
          <w:sz w:val="16"/>
        </w:rPr>
        <w:t>097.26  امنیت را می‌توان با ماندن در خارج از دسترس دشمن، به صورت فیزیکی و مجازی به دست آورد، زیرا نیروی هوایی منحصرا برای عملیات در افق مناسب است.</w:t>
      </w:r>
    </w:p>
    <w:p>
      <w:pPr>
        <w:spacing w:after="28" w:line="216" w:lineRule="auto"/>
        <w:ind w:left="259"/>
        <w:jc w:val="left"/>
      </w:pPr>
      <w:r>
        <w:rPr>
          <w:rFonts w:ascii="Arial" w:hAnsi="Arial"/>
          <w:color w:val="525252"/>
          <w:sz w:val="13"/>
        </w:rPr>
        <w:t>Security may be obtained by staying beyond the enemy’s reach, physically and virtually, as airpower is uniquely suited to operate over the horizon.</w:t>
      </w:r>
    </w:p>
    <w:p>
      <w:pPr>
        <w:spacing w:after="20" w:line="223" w:lineRule="auto"/>
        <w:jc w:val="right"/>
        <w:bidi/>
      </w:pPr>
      <w:r>
        <w:rPr>
          <w:rFonts w:ascii="Arial" w:hAnsi="Arial"/>
          <w:sz w:val="16"/>
        </w:rPr>
        <w:t>097.27  امنیت در برابر نفوذ فیزیکی و الکترونیکی، قابلیت‌ها و نیات ما را پنهان می‌کند، در حالی که به نیروهای دوست اجازه می‌دهد اطلاعاتی درباره دشمن جمع‌آوری کنند.</w:t>
      </w:r>
    </w:p>
    <w:p>
      <w:pPr>
        <w:spacing w:after="28" w:line="216" w:lineRule="auto"/>
        <w:ind w:left="259"/>
        <w:jc w:val="left"/>
      </w:pPr>
      <w:r>
        <w:rPr>
          <w:rFonts w:ascii="Arial" w:hAnsi="Arial"/>
          <w:color w:val="525252"/>
          <w:sz w:val="13"/>
        </w:rPr>
        <w:t>Security from physical and electronic intrusion conceals our capabilities and intentions, while allowing friendly forces to gather information on the adversary.</w:t>
      </w:r>
    </w:p>
    <w:p>
      <w:pPr>
        <w:spacing w:after="20" w:line="223" w:lineRule="auto"/>
        <w:jc w:val="right"/>
        <w:bidi/>
      </w:pPr>
      <w:r>
        <w:rPr>
          <w:rFonts w:ascii="Arial" w:hAnsi="Arial"/>
          <w:sz w:val="16"/>
        </w:rPr>
        <w:t>097.28  امنیت از طریق حفاظت نیرو بخشی جدایی ناپذیر از محافظت از هواپیماها و پایگاه‌های ثابت است که در آن به‌ویژه آسیب پذیر هستند.</w:t>
      </w:r>
    </w:p>
    <w:p>
      <w:pPr>
        <w:spacing w:after="28" w:line="216" w:lineRule="auto"/>
        <w:ind w:left="259"/>
        <w:jc w:val="left"/>
      </w:pPr>
      <w:r>
        <w:rPr>
          <w:rFonts w:ascii="Arial" w:hAnsi="Arial"/>
          <w:color w:val="525252"/>
          <w:sz w:val="13"/>
        </w:rPr>
        <w:t>Security through force protection is an integral part of protecting aircraft and fixed bases where they are especially vulnerable.</w:t>
      </w:r>
    </w:p>
    <w:p>
      <w:pPr>
        <w:spacing w:after="20" w:line="223" w:lineRule="auto"/>
        <w:jc w:val="right"/>
        <w:bidi/>
      </w:pPr>
      <w:r>
        <w:rPr>
          <w:rFonts w:ascii="Arial" w:hAnsi="Arial"/>
          <w:sz w:val="16"/>
        </w:rPr>
        <w:t>097.29  اطلاعات برای تضمین نتیجه یک درگیری، به‌ویژه با ارتباطات پیشرفته و فناوری‌های کامپیوتری امروزی، مرکزی است.</w:t>
      </w:r>
    </w:p>
    <w:p>
      <w:pPr>
        <w:spacing w:after="28" w:line="216" w:lineRule="auto"/>
        <w:ind w:left="259"/>
        <w:jc w:val="left"/>
      </w:pPr>
      <w:r>
        <w:rPr>
          <w:rFonts w:ascii="Arial" w:hAnsi="Arial"/>
          <w:color w:val="525252"/>
          <w:sz w:val="13"/>
        </w:rPr>
        <w:t>Information is central to securing the outcome of a conflict, particularly with today’s advanced communications and computer technologies.</w:t>
      </w:r>
    </w:p>
    <w:p>
      <w:pPr>
        <w:spacing w:after="20" w:line="223" w:lineRule="auto"/>
        <w:jc w:val="right"/>
        <w:bidi/>
      </w:pPr>
      <w:r>
        <w:rPr>
          <w:rFonts w:ascii="Arial" w:hAnsi="Arial"/>
          <w:sz w:val="16"/>
        </w:rPr>
        <w:t>097.30  امنیت توانایی‌های ما را برای مقاومت در برابر حملات هوایی، زمینی و فضای سایبری و در عین حال حفظ فعالیت‌های نیروی هوایی علیه دشمن تضمین می‌کند.</w:t>
      </w:r>
    </w:p>
    <w:p>
      <w:pPr>
        <w:spacing w:after="28" w:line="216" w:lineRule="auto"/>
        <w:ind w:left="259"/>
        <w:jc w:val="left"/>
      </w:pPr>
      <w:r>
        <w:rPr>
          <w:rFonts w:ascii="Arial" w:hAnsi="Arial"/>
          <w:color w:val="525252"/>
          <w:sz w:val="13"/>
        </w:rPr>
        <w:t>Security ensures our capabilities of withstanding aerial, ground, and cyberspace attacks while sustaining airpower activities against the enemy.</w:t>
      </w:r>
    </w:p>
    <w:p>
      <w:pPr>
        <w:spacing w:after="20" w:line="223" w:lineRule="auto"/>
        <w:jc w:val="right"/>
        <w:bidi/>
      </w:pPr>
      <w:r>
        <w:rPr>
          <w:rFonts w:ascii="Arial" w:hAnsi="Arial"/>
          <w:sz w:val="16"/>
        </w:rPr>
        <w:t>097.31  توهین آمیز.</w:t>
      </w:r>
    </w:p>
    <w:p>
      <w:pPr>
        <w:spacing w:after="28" w:line="216" w:lineRule="auto"/>
        <w:ind w:left="259"/>
        <w:jc w:val="left"/>
      </w:pPr>
      <w:r>
        <w:rPr>
          <w:rFonts w:ascii="Arial" w:hAnsi="Arial"/>
          <w:color w:val="525252"/>
          <w:sz w:val="13"/>
        </w:rPr>
        <w:t>Offensive.</w:t>
      </w:r>
    </w:p>
    <w:p>
      <w:pPr>
        <w:spacing w:after="20" w:line="223" w:lineRule="auto"/>
        <w:jc w:val="right"/>
        <w:bidi/>
      </w:pPr>
      <w:r>
        <w:rPr>
          <w:rFonts w:ascii="Arial" w:hAnsi="Arial"/>
          <w:sz w:val="16"/>
        </w:rPr>
        <w:t>097.32  هدف از یک اقدام تهاجمی، تصرف، حفظ و بهره‌برداری از ابتکار عمل، ابتکار عمل ما، تا حد امکان کارآمد و مؤثر است.</w:t>
      </w:r>
    </w:p>
    <w:p>
      <w:pPr>
        <w:spacing w:after="28" w:line="216" w:lineRule="auto"/>
        <w:ind w:left="259"/>
        <w:jc w:val="left"/>
      </w:pPr>
      <w:r>
        <w:rPr>
          <w:rFonts w:ascii="Arial" w:hAnsi="Arial"/>
          <w:color w:val="525252"/>
          <w:sz w:val="13"/>
        </w:rPr>
        <w:t>The purpose of an offensive action is to seize, retain, and exploit the initiative, our initiative, as efficiently and effectively as possible.</w:t>
      </w:r>
    </w:p>
    <w:p>
      <w:pPr>
        <w:spacing w:after="20" w:line="223" w:lineRule="auto"/>
        <w:jc w:val="right"/>
        <w:bidi/>
      </w:pPr>
      <w:r>
        <w:rPr>
          <w:rFonts w:ascii="Arial" w:hAnsi="Arial"/>
          <w:sz w:val="16"/>
        </w:rPr>
        <w:t>097.33  هدف تهاجمی، اقدام به جای واکنش و دیکته کردن زمان، مکان، هدف، محدوده، شدت و سرعت عملیات است.</w:t>
      </w:r>
    </w:p>
    <w:p>
      <w:pPr>
        <w:spacing w:after="28" w:line="216" w:lineRule="auto"/>
        <w:ind w:left="259"/>
        <w:jc w:val="left"/>
      </w:pPr>
      <w:r>
        <w:rPr>
          <w:rFonts w:ascii="Arial" w:hAnsi="Arial"/>
          <w:color w:val="525252"/>
          <w:sz w:val="13"/>
        </w:rPr>
        <w:t>The offensive aim is to act rather than react and to dictate the time, place, purpose, scope, intensity, and pace of operations.</w:t>
      </w:r>
    </w:p>
    <w:p>
      <w:pPr>
        <w:spacing w:after="20" w:line="223" w:lineRule="auto"/>
        <w:jc w:val="right"/>
        <w:bidi/>
      </w:pPr>
      <w:r>
        <w:rPr>
          <w:rFonts w:ascii="Arial" w:hAnsi="Arial"/>
          <w:sz w:val="16"/>
        </w:rPr>
        <w:t>097.34  در حالی که ممکن است در مواقعی اقدامات دفاعی مورد نیاز باشد، موفقیت در جنگ عموما در هنگام حمله به دست می‌آید.</w:t>
      </w:r>
    </w:p>
    <w:p>
      <w:pPr>
        <w:spacing w:after="28" w:line="216" w:lineRule="auto"/>
        <w:ind w:left="259"/>
        <w:jc w:val="left"/>
      </w:pPr>
      <w:r>
        <w:rPr>
          <w:rFonts w:ascii="Arial" w:hAnsi="Arial"/>
          <w:color w:val="525252"/>
          <w:sz w:val="13"/>
        </w:rPr>
        <w:t>While defensive measures may be required at times, success in war is generally attained while on the offensive.</w:t>
      </w:r>
    </w:p>
    <w:p>
      <w:pPr>
        <w:spacing w:after="20" w:line="223" w:lineRule="auto"/>
        <w:jc w:val="right"/>
        <w:bidi/>
      </w:pPr>
      <w:r>
        <w:rPr>
          <w:rFonts w:ascii="Arial" w:hAnsi="Arial"/>
          <w:sz w:val="16"/>
        </w:rPr>
        <w:t>097.35  همه</w:t>
      </w:r>
    </w:p>
    <w:p>
      <w:pPr>
        <w:spacing w:after="28" w:line="216" w:lineRule="auto"/>
        <w:ind w:left="259"/>
        <w:jc w:val="left"/>
      </w:pPr>
      <w:r>
        <w:rPr>
          <w:rFonts w:ascii="Arial" w:hAnsi="Arial"/>
          <w:color w:val="525252"/>
          <w:sz w:val="13"/>
        </w:rPr>
        <w:t>All</w:t>
      </w:r>
    </w:p>
    <w:p>
      <w:r>
        <w:br w:type="page"/>
      </w:r>
    </w:p>
    <w:p>
      <w:pPr>
        <w:spacing w:after="60"/>
        <w:jc w:val="right"/>
        <w:bidi/>
      </w:pPr>
      <w:r>
        <w:rPr>
          <w:rFonts w:ascii="Arial" w:hAnsi="Arial"/>
          <w:b/>
          <w:color w:val="1F4D78"/>
          <w:sz w:val="19"/>
        </w:rPr>
        <w:t>هفتهٔ 98  |  صفحهٔ منبع: 114</w:t>
      </w:r>
    </w:p>
    <w:p>
      <w:pPr>
        <w:spacing w:after="20" w:line="223" w:lineRule="auto"/>
        <w:jc w:val="right"/>
        <w:bidi/>
      </w:pPr>
      <w:r>
        <w:rPr>
          <w:rFonts w:ascii="Arial" w:hAnsi="Arial"/>
          <w:sz w:val="16"/>
        </w:rPr>
        <w:t>098.01  دارای قابلیت‌های تهاجمی هستند و توانایی نیروی هوایی برای انبوه، مانور و عملیات مستقل یا همزمان در سطوح تاکتیکی، عملیاتی و استراتژیک جنگ، دسترسی جهانی را برای حمله مستقیم و سریع و به دست گرفتن ابتکار عمل فراهم می‌کند.</w:t>
      </w:r>
    </w:p>
    <w:p>
      <w:pPr>
        <w:spacing w:after="28" w:line="216" w:lineRule="auto"/>
        <w:ind w:left="259"/>
        <w:jc w:val="left"/>
      </w:pPr>
      <w:r>
        <w:rPr>
          <w:rFonts w:ascii="Arial" w:hAnsi="Arial"/>
          <w:color w:val="525252"/>
          <w:sz w:val="13"/>
        </w:rPr>
        <w:t>military forces have offensive capabilities, and airpower’s ability to mass, maneuver, and operate independently or simultaneously at the tactical, operational, and strategic levels of war, provides global reach to directly and rapidly take the offensive and seize the initiative.</w:t>
      </w:r>
    </w:p>
    <w:p>
      <w:pPr>
        <w:spacing w:after="20" w:line="223" w:lineRule="auto"/>
        <w:jc w:val="right"/>
        <w:bidi/>
      </w:pPr>
      <w:r>
        <w:rPr>
          <w:rFonts w:ascii="Arial" w:hAnsi="Arial"/>
          <w:sz w:val="16"/>
        </w:rPr>
        <w:t>098.02  پس از توقیف، ابتکار عمل باید حفظ شود و به‌طور کامل مورد بهره‌برداری قرار گیرد.</w:t>
      </w:r>
    </w:p>
    <w:p>
      <w:pPr>
        <w:spacing w:after="28" w:line="216" w:lineRule="auto"/>
        <w:ind w:left="259"/>
        <w:jc w:val="left"/>
      </w:pPr>
      <w:r>
        <w:rPr>
          <w:rFonts w:ascii="Arial" w:hAnsi="Arial"/>
          <w:color w:val="525252"/>
          <w:sz w:val="13"/>
        </w:rPr>
        <w:t>Once seized, the initiative should be retained and fully exploited.</w:t>
      </w:r>
    </w:p>
    <w:p>
      <w:pPr>
        <w:spacing w:after="20" w:line="223" w:lineRule="auto"/>
        <w:jc w:val="right"/>
        <w:bidi/>
      </w:pPr>
      <w:r>
        <w:rPr>
          <w:rFonts w:ascii="Arial" w:hAnsi="Arial"/>
          <w:sz w:val="16"/>
        </w:rPr>
        <w:t>098.03  از طریق اقدامات تهاجمی سریع و پایدار که برای دستیابی به اهداف عملیاتی و استراتژیک طراحی شده‌اند، نیروی هوایی به جای اقدام، دشمن را وادار به واکنش می‌کند، حمله را از آنها سلب می‌کند و در نهایت نیروهای ما را قادر می‌سازد تا درگیری را شکل دهند.</w:t>
      </w:r>
    </w:p>
    <w:p>
      <w:pPr>
        <w:spacing w:after="28" w:line="216" w:lineRule="auto"/>
        <w:ind w:left="259"/>
        <w:jc w:val="left"/>
      </w:pPr>
      <w:r>
        <w:rPr>
          <w:rFonts w:ascii="Arial" w:hAnsi="Arial"/>
          <w:color w:val="525252"/>
          <w:sz w:val="13"/>
        </w:rPr>
        <w:t>Through prompt and sustained offensive actions designed to attain operational and strategic objectives, airpower causes the enemy to react rather than act, denies them the offensive, and ultimately enables our forces to shape the conflict.</w:t>
      </w:r>
    </w:p>
    <w:p>
      <w:pPr>
        <w:spacing w:after="20" w:line="223" w:lineRule="auto"/>
        <w:jc w:val="right"/>
        <w:bidi/>
      </w:pPr>
      <w:r>
        <w:rPr>
          <w:rFonts w:ascii="Arial" w:hAnsi="Arial"/>
          <w:sz w:val="16"/>
        </w:rPr>
        <w:t>098.04  جرم.</w:t>
      </w:r>
    </w:p>
    <w:p>
      <w:pPr>
        <w:spacing w:after="28" w:line="216" w:lineRule="auto"/>
        <w:ind w:left="259"/>
        <w:jc w:val="left"/>
      </w:pPr>
      <w:r>
        <w:rPr>
          <w:rFonts w:ascii="Arial" w:hAnsi="Arial"/>
          <w:color w:val="525252"/>
          <w:sz w:val="13"/>
        </w:rPr>
        <w:t>Mass.</w:t>
      </w:r>
    </w:p>
    <w:p>
      <w:pPr>
        <w:spacing w:after="20" w:line="223" w:lineRule="auto"/>
        <w:jc w:val="right"/>
        <w:bidi/>
      </w:pPr>
      <w:r>
        <w:rPr>
          <w:rFonts w:ascii="Arial" w:hAnsi="Arial"/>
          <w:sz w:val="16"/>
        </w:rPr>
        <w:t>098.05  تمرکز قدرت نظامی از طریق توده، یک ملاحظات اساسی در تمامی عملیات نظامی است.</w:t>
      </w:r>
    </w:p>
    <w:p>
      <w:pPr>
        <w:spacing w:after="28" w:line="216" w:lineRule="auto"/>
        <w:ind w:left="259"/>
        <w:jc w:val="left"/>
      </w:pPr>
      <w:r>
        <w:rPr>
          <w:rFonts w:ascii="Arial" w:hAnsi="Arial"/>
          <w:color w:val="525252"/>
          <w:sz w:val="13"/>
        </w:rPr>
        <w:t>Concentration of military power through mass is a fundamental consideration in all military operations.</w:t>
      </w:r>
    </w:p>
    <w:p>
      <w:pPr>
        <w:spacing w:after="20" w:line="223" w:lineRule="auto"/>
        <w:jc w:val="right"/>
        <w:bidi/>
      </w:pPr>
      <w:r>
        <w:rPr>
          <w:rFonts w:ascii="Arial" w:hAnsi="Arial"/>
          <w:sz w:val="16"/>
        </w:rPr>
        <w:t>098.06  نیروی هوایی امروزی به‌طور منحصربه‌فردی قادر به حمله از مکان‌های پراکنده و جمع‌آوری قدرت رزمی در هدف است، خواه آن هدف یک مکان فیزیکی واحد باشد یا سیستم‌های دشمن به‌طور گسترده.</w:t>
      </w:r>
    </w:p>
    <w:p>
      <w:pPr>
        <w:spacing w:after="28" w:line="216" w:lineRule="auto"/>
        <w:ind w:left="259"/>
        <w:jc w:val="left"/>
      </w:pPr>
      <w:r>
        <w:rPr>
          <w:rFonts w:ascii="Arial" w:hAnsi="Arial"/>
          <w:color w:val="525252"/>
          <w:sz w:val="13"/>
        </w:rPr>
        <w:t>Today’s airpower is uniquely capable of launching an attack from widely dispersed locations and massing combat power at the objective, whether that objective is a single physical location or widely dispersed enemy systems.</w:t>
      </w:r>
    </w:p>
    <w:p>
      <w:pPr>
        <w:spacing w:after="20" w:line="223" w:lineRule="auto"/>
        <w:jc w:val="right"/>
        <w:bidi/>
      </w:pPr>
      <w:r>
        <w:rPr>
          <w:rFonts w:ascii="Arial" w:hAnsi="Arial"/>
          <w:sz w:val="16"/>
        </w:rPr>
        <w:t>098.07  نیروی هوایی، با سرعت، برد، و انعطاف‌پذیری، که با دقت و مرگبار بودن سلاح‌های دقیق و پیشرفت‌های فناوری اطلاعات تکمیل می‌شود، از طریق حمله بسیار مؤثر به جای غلبه بر تعداد نیروهای لزوما زیاد، به انبوه دست می‌یابد.</w:t>
      </w:r>
    </w:p>
    <w:p>
      <w:pPr>
        <w:spacing w:after="28" w:line="216" w:lineRule="auto"/>
        <w:ind w:left="259"/>
        <w:jc w:val="left"/>
      </w:pPr>
      <w:r>
        <w:rPr>
          <w:rFonts w:ascii="Arial" w:hAnsi="Arial"/>
          <w:color w:val="525252"/>
          <w:sz w:val="13"/>
        </w:rPr>
        <w:t>Airpower, with speed, range, and flexibility, complemented by accuracy and lethality of precision weapons and advances in information technologies, achieves mass through highly effective attack rather than overwhelming by necessarily large numbers of forces.</w:t>
      </w:r>
    </w:p>
    <w:p>
      <w:pPr>
        <w:spacing w:after="20" w:line="223" w:lineRule="auto"/>
        <w:jc w:val="right"/>
        <w:bidi/>
      </w:pPr>
      <w:r>
        <w:rPr>
          <w:rFonts w:ascii="Arial" w:hAnsi="Arial"/>
          <w:sz w:val="16"/>
        </w:rPr>
        <w:t>098.08  قابلیت‌های فضای سایبری USAF، که اغلب توسط سیستم‌های فضایی فعال می‌شوند، به نیروهای پراکنده اجازه می‌دهد به سرعت اهداف زودگذر را پیدا، تعمیر و ردیابی کنند و پاسخی با اثرات دقیق در سراسر جهان جمع‌آوری کنند.</w:t>
      </w:r>
    </w:p>
    <w:p>
      <w:pPr>
        <w:spacing w:after="28" w:line="216" w:lineRule="auto"/>
        <w:ind w:left="259"/>
        <w:jc w:val="left"/>
      </w:pPr>
      <w:r>
        <w:rPr>
          <w:rFonts w:ascii="Arial" w:hAnsi="Arial"/>
          <w:color w:val="525252"/>
          <w:sz w:val="13"/>
        </w:rPr>
        <w:t>USAF cyberspace capabilities, often enabled by space systems, allow dispersed forces to collaborate to rapidly find, fix, and track fleeting targets, and mass a response with precise effects around the globe.</w:t>
      </w:r>
    </w:p>
    <w:p>
      <w:pPr>
        <w:spacing w:after="20" w:line="223" w:lineRule="auto"/>
        <w:jc w:val="right"/>
        <w:bidi/>
      </w:pPr>
      <w:r>
        <w:rPr>
          <w:rFonts w:ascii="Arial" w:hAnsi="Arial"/>
          <w:sz w:val="16"/>
        </w:rPr>
        <w:t>098.09  سورپرایز.</w:t>
      </w:r>
    </w:p>
    <w:p>
      <w:pPr>
        <w:spacing w:after="28" w:line="216" w:lineRule="auto"/>
        <w:ind w:left="259"/>
        <w:jc w:val="left"/>
      </w:pPr>
      <w:r>
        <w:rPr>
          <w:rFonts w:ascii="Arial" w:hAnsi="Arial"/>
          <w:color w:val="525252"/>
          <w:sz w:val="13"/>
        </w:rPr>
        <w:t>Surprise.</w:t>
      </w:r>
    </w:p>
    <w:p>
      <w:pPr>
        <w:spacing w:after="20" w:line="223" w:lineRule="auto"/>
        <w:jc w:val="right"/>
        <w:bidi/>
      </w:pPr>
      <w:r>
        <w:rPr>
          <w:rFonts w:ascii="Arial" w:hAnsi="Arial"/>
          <w:sz w:val="16"/>
        </w:rPr>
        <w:t>098.10  غافلگیری یکی از قوی‌ترین مزیت‌های نیروی هوایی است.</w:t>
      </w:r>
    </w:p>
    <w:p>
      <w:pPr>
        <w:spacing w:after="28" w:line="216" w:lineRule="auto"/>
        <w:ind w:left="259"/>
        <w:jc w:val="left"/>
      </w:pPr>
      <w:r>
        <w:rPr>
          <w:rFonts w:ascii="Arial" w:hAnsi="Arial"/>
          <w:color w:val="525252"/>
          <w:sz w:val="13"/>
        </w:rPr>
        <w:t>Surprise is one of airpower’s strongest advantages.</w:t>
      </w:r>
    </w:p>
    <w:p>
      <w:pPr>
        <w:spacing w:after="20" w:line="223" w:lineRule="auto"/>
        <w:jc w:val="right"/>
        <w:bidi/>
      </w:pPr>
      <w:r>
        <w:rPr>
          <w:rFonts w:ascii="Arial" w:hAnsi="Arial"/>
          <w:sz w:val="16"/>
        </w:rPr>
        <w:t>098.11  سورپرایز با حمله به دشمن در زمان، مکان یا به نحوی که برای آن آماده نیست، از اصل امنیت استفاده می‌کند.</w:t>
      </w:r>
    </w:p>
    <w:p>
      <w:pPr>
        <w:spacing w:after="28" w:line="216" w:lineRule="auto"/>
        <w:ind w:left="259"/>
        <w:jc w:val="left"/>
      </w:pPr>
      <w:r>
        <w:rPr>
          <w:rFonts w:ascii="Arial" w:hAnsi="Arial"/>
          <w:color w:val="525252"/>
          <w:sz w:val="13"/>
        </w:rPr>
        <w:t>Surprise leverages the principle of security by attacking the enemy at a time, place, or in a manner for which they are not prepared.</w:t>
      </w:r>
    </w:p>
    <w:p>
      <w:pPr>
        <w:spacing w:after="20" w:line="223" w:lineRule="auto"/>
        <w:jc w:val="right"/>
        <w:bidi/>
      </w:pPr>
      <w:r>
        <w:rPr>
          <w:rFonts w:ascii="Arial" w:hAnsi="Arial"/>
          <w:sz w:val="16"/>
        </w:rPr>
        <w:t>098.12  سرعت و برد قابلیت‌های هوا و فضای سایبری به همراه انعطاف‌پذیری و تطبیق پذیری آن‌ها، عنصر غافلگیری را قادر می‌سازد و نیروهای دیگر را برای دستیابی به غافلگیری تقویت و توانمند می‌سازد.</w:t>
      </w:r>
    </w:p>
    <w:p>
      <w:pPr>
        <w:spacing w:after="28" w:line="216" w:lineRule="auto"/>
        <w:ind w:left="259"/>
        <w:jc w:val="left"/>
      </w:pPr>
      <w:r>
        <w:rPr>
          <w:rFonts w:ascii="Arial" w:hAnsi="Arial"/>
          <w:color w:val="525252"/>
          <w:sz w:val="13"/>
        </w:rPr>
        <w:t>The speed and range of air and cyberspace capabilities, coupled with their flexibility and versatility, enable the element of surprise, and enhance and empower other forces to achieve surprise as well.</w:t>
      </w:r>
    </w:p>
    <w:p>
      <w:pPr>
        <w:spacing w:after="20" w:line="223" w:lineRule="auto"/>
        <w:jc w:val="right"/>
        <w:bidi/>
      </w:pPr>
      <w:r>
        <w:rPr>
          <w:rFonts w:ascii="Arial" w:hAnsi="Arial"/>
          <w:sz w:val="16"/>
        </w:rPr>
        <w:t>098.13  دسترسی سریع جهانی به نیروی هوایی می‌تواند نیروهای سطحی را قادر سازد تا به سرعت به مقاصد خارجی برسند و از غافلگیری سرمایه‌گذاری کنند و در نتیجه ابتکار عمل را به دست بگیرند.</w:t>
      </w:r>
    </w:p>
    <w:p>
      <w:pPr>
        <w:spacing w:after="28" w:line="216" w:lineRule="auto"/>
        <w:ind w:left="259"/>
        <w:jc w:val="left"/>
      </w:pPr>
      <w:r>
        <w:rPr>
          <w:rFonts w:ascii="Arial" w:hAnsi="Arial"/>
          <w:color w:val="525252"/>
          <w:sz w:val="13"/>
        </w:rPr>
        <w:t>The rapid global reach of airpower can enable surface forces to reach foreign destinations quickly, capitalizing on surprise and thus seizing the initiative.</w:t>
      </w:r>
    </w:p>
    <w:p>
      <w:pPr>
        <w:spacing w:after="20" w:line="223" w:lineRule="auto"/>
        <w:jc w:val="right"/>
        <w:bidi/>
      </w:pPr>
      <w:r>
        <w:rPr>
          <w:rFonts w:ascii="Arial" w:hAnsi="Arial"/>
          <w:sz w:val="16"/>
        </w:rPr>
        <w:t>098.14  سادگی.</w:t>
      </w:r>
    </w:p>
    <w:p>
      <w:pPr>
        <w:spacing w:after="28" w:line="216" w:lineRule="auto"/>
        <w:ind w:left="259"/>
        <w:jc w:val="left"/>
      </w:pPr>
      <w:r>
        <w:rPr>
          <w:rFonts w:ascii="Arial" w:hAnsi="Arial"/>
          <w:color w:val="525252"/>
          <w:sz w:val="13"/>
        </w:rPr>
        <w:t>Simplicity.</w:t>
      </w:r>
    </w:p>
    <w:p>
      <w:pPr>
        <w:spacing w:after="20" w:line="223" w:lineRule="auto"/>
        <w:jc w:val="right"/>
        <w:bidi/>
      </w:pPr>
      <w:r>
        <w:rPr>
          <w:rFonts w:ascii="Arial" w:hAnsi="Arial"/>
          <w:sz w:val="16"/>
        </w:rPr>
        <w:t>098.15  سادگی مستلزم اجتناب از پیچیدگی‌های غیرضروری در سازماندهی، آماده‌سازی، برنامه‌ریزی و اجرای عملیات نظامی است.</w:t>
      </w:r>
    </w:p>
    <w:p>
      <w:pPr>
        <w:spacing w:after="28" w:line="216" w:lineRule="auto"/>
        <w:ind w:left="259"/>
        <w:jc w:val="left"/>
      </w:pPr>
      <w:r>
        <w:rPr>
          <w:rFonts w:ascii="Arial" w:hAnsi="Arial"/>
          <w:color w:val="525252"/>
          <w:sz w:val="13"/>
        </w:rPr>
        <w:t>Simplicity calls for avoiding unnecessary complexity in organizing, preparing, planning, and conducting military operations.</w:t>
      </w:r>
    </w:p>
    <w:p>
      <w:pPr>
        <w:spacing w:after="20" w:line="223" w:lineRule="auto"/>
        <w:jc w:val="right"/>
        <w:bidi/>
      </w:pPr>
      <w:r>
        <w:rPr>
          <w:rFonts w:ascii="Arial" w:hAnsi="Arial"/>
          <w:sz w:val="16"/>
        </w:rPr>
        <w:t>098.16  سادگی تضمین می‌کند که راهنمایی‌ها، برنامه‌ها و دستورات به همان اندازه ساده و مستقیم هستند که یک هدف نظامی اجازه می‌دهد.</w:t>
      </w:r>
    </w:p>
    <w:p>
      <w:pPr>
        <w:spacing w:after="28" w:line="216" w:lineRule="auto"/>
        <w:ind w:left="259"/>
        <w:jc w:val="left"/>
      </w:pPr>
      <w:r>
        <w:rPr>
          <w:rFonts w:ascii="Arial" w:hAnsi="Arial"/>
          <w:color w:val="525252"/>
          <w:sz w:val="13"/>
        </w:rPr>
        <w:t>Simplicity ensures that guidance, plans, and orders are as simple and direct as a military objective allows.</w:t>
      </w:r>
    </w:p>
    <w:p>
      <w:pPr>
        <w:spacing w:after="20" w:line="223" w:lineRule="auto"/>
        <w:jc w:val="right"/>
        <w:bidi/>
      </w:pPr>
      <w:r>
        <w:rPr>
          <w:rFonts w:ascii="Arial" w:hAnsi="Arial"/>
          <w:sz w:val="16"/>
        </w:rPr>
        <w:t>098.17  راهنمایی ساده به CCDRهای زیردستان اجازه می‌دهد به‌طور خلاقانه در بخش خود از محیط عملیاتی عمل کنند و از مفهوم اجرای غیرمتمرکز پشتیبانی کنند.</w:t>
      </w:r>
    </w:p>
    <w:p>
      <w:pPr>
        <w:spacing w:after="28" w:line="216" w:lineRule="auto"/>
        <w:ind w:left="259"/>
        <w:jc w:val="left"/>
      </w:pPr>
      <w:r>
        <w:rPr>
          <w:rFonts w:ascii="Arial" w:hAnsi="Arial"/>
          <w:color w:val="525252"/>
          <w:sz w:val="13"/>
        </w:rPr>
        <w:t>Simple guidance allows subordinate CCDRs the freedom to operate creatively within their portion of the operational environment, supporting the concept of decentralized execution.</w:t>
      </w:r>
    </w:p>
    <w:p>
      <w:pPr>
        <w:spacing w:after="20" w:line="223" w:lineRule="auto"/>
        <w:jc w:val="right"/>
        <w:bidi/>
      </w:pPr>
      <w:r>
        <w:rPr>
          <w:rFonts w:ascii="Arial" w:hAnsi="Arial"/>
          <w:sz w:val="16"/>
        </w:rPr>
        <w:t>098.18  تجهیزات مشترک، درک مشترک از خدمات و دکترین مشترک، و آشنایی با روش‌ها از طریق تمرین‌ها و آموزش‌های مشترک، می‌تواند به غلبه بر پیچیدگی در حین اجرای برنامه‌های ساده، ارائه سازماندهی بدون ابهام و ایجاد روابط فرماندهی به وضوح کمک کند.</w:t>
      </w:r>
    </w:p>
    <w:p>
      <w:pPr>
        <w:spacing w:after="28" w:line="216" w:lineRule="auto"/>
        <w:ind w:left="259"/>
        <w:jc w:val="left"/>
      </w:pPr>
      <w:r>
        <w:rPr>
          <w:rFonts w:ascii="Arial" w:hAnsi="Arial"/>
          <w:color w:val="525252"/>
          <w:sz w:val="13"/>
        </w:rPr>
        <w:t>Common equipment, a common understanding of Service and joint doctrine, and familiarity with procedures through joint exercises and training, can help overcome complexity while implementing straightforward plans, providing unambiguous organization, and establishing clearly defined command relationships.</w:t>
      </w:r>
    </w:p>
    <w:p>
      <w:pPr>
        <w:spacing w:after="20" w:line="223" w:lineRule="auto"/>
        <w:jc w:val="right"/>
        <w:bidi/>
      </w:pPr>
      <w:r>
        <w:rPr>
          <w:rFonts w:ascii="Arial" w:hAnsi="Arial"/>
          <w:sz w:val="16"/>
        </w:rPr>
        <w:t>098.19  خویشتنداری.</w:t>
      </w:r>
    </w:p>
    <w:p>
      <w:pPr>
        <w:spacing w:after="28" w:line="216" w:lineRule="auto"/>
        <w:ind w:left="259"/>
        <w:jc w:val="left"/>
      </w:pPr>
      <w:r>
        <w:rPr>
          <w:rFonts w:ascii="Arial" w:hAnsi="Arial"/>
          <w:color w:val="525252"/>
          <w:sz w:val="13"/>
        </w:rPr>
        <w:t>Restraint.</w:t>
      </w:r>
    </w:p>
    <w:p>
      <w:pPr>
        <w:spacing w:after="20" w:line="223" w:lineRule="auto"/>
        <w:jc w:val="right"/>
        <w:bidi/>
      </w:pPr>
      <w:r>
        <w:rPr>
          <w:rFonts w:ascii="Arial" w:hAnsi="Arial"/>
          <w:sz w:val="16"/>
        </w:rPr>
        <w:t>098.20  هدف از مهار جلوگیری از استفاده غیر ضروری از زور است.</w:t>
      </w:r>
    </w:p>
    <w:p>
      <w:pPr>
        <w:spacing w:after="28" w:line="216" w:lineRule="auto"/>
        <w:ind w:left="259"/>
        <w:jc w:val="left"/>
      </w:pPr>
      <w:r>
        <w:rPr>
          <w:rFonts w:ascii="Arial" w:hAnsi="Arial"/>
          <w:color w:val="525252"/>
          <w:sz w:val="13"/>
        </w:rPr>
        <w:t>The purpose of restraint is to prevent the unnecessary use of force.</w:t>
      </w:r>
    </w:p>
    <w:p>
      <w:pPr>
        <w:spacing w:after="20" w:line="223" w:lineRule="auto"/>
        <w:jc w:val="right"/>
        <w:bidi/>
      </w:pPr>
      <w:r>
        <w:rPr>
          <w:rFonts w:ascii="Arial" w:hAnsi="Arial"/>
          <w:sz w:val="16"/>
        </w:rPr>
        <w:t>098.21  خویشتنداری مستلزم ایجاد تعادل دقیق و منظم بین نیاز به امنیت، اجرای عملیات نظامی و دستیابی به اهداف ملی است.</w:t>
      </w:r>
    </w:p>
    <w:p>
      <w:pPr>
        <w:spacing w:after="28" w:line="216" w:lineRule="auto"/>
        <w:ind w:left="259"/>
        <w:jc w:val="left"/>
      </w:pPr>
      <w:r>
        <w:rPr>
          <w:rFonts w:ascii="Arial" w:hAnsi="Arial"/>
          <w:color w:val="525252"/>
          <w:sz w:val="13"/>
        </w:rPr>
        <w:t>Restraint requires the careful and disciplined balancing of the need for security, the conduct of military operations, and the achievement of national objectives.</w:t>
      </w:r>
    </w:p>
    <w:p>
      <w:pPr>
        <w:spacing w:after="20" w:line="223" w:lineRule="auto"/>
        <w:jc w:val="right"/>
        <w:bidi/>
      </w:pPr>
      <w:r>
        <w:rPr>
          <w:rFonts w:ascii="Arial" w:hAnsi="Arial"/>
          <w:sz w:val="16"/>
        </w:rPr>
        <w:t>098.22  زور بیش از حد با آن دسته از طرف‌های درگیر مخالفت می‌کند و در نتیجه به مشروعیت سازمانی که از آن استفاده می‌کند آسیب می‌رساند در حالی که به‌طور بالقوه مشروعیت طرف مقابل را افزایش می‌دهد.</w:t>
      </w:r>
    </w:p>
    <w:p>
      <w:pPr>
        <w:spacing w:after="28" w:line="216" w:lineRule="auto"/>
        <w:ind w:left="259"/>
        <w:jc w:val="left"/>
      </w:pPr>
      <w:r>
        <w:rPr>
          <w:rFonts w:ascii="Arial" w:hAnsi="Arial"/>
          <w:color w:val="525252"/>
          <w:sz w:val="13"/>
        </w:rPr>
        <w:t>Excessive force antagonizes those parties involved, thereby damaging the legitimacy of the organization that uses it while potentially enhancing the legitimacy of the opposing party.</w:t>
      </w:r>
    </w:p>
    <w:p>
      <w:pPr>
        <w:spacing w:after="20" w:line="223" w:lineRule="auto"/>
        <w:jc w:val="right"/>
        <w:bidi/>
      </w:pPr>
      <w:r>
        <w:rPr>
          <w:rFonts w:ascii="Arial" w:hAnsi="Arial"/>
          <w:sz w:val="16"/>
        </w:rPr>
        <w:t>098.23  قوانین دقیق درگیری که فرمانده با شرایط خاص عملیات تطبیق می‌دهد، می‌تواند به تسهیل مهار مناسب کمک کند.</w:t>
      </w:r>
    </w:p>
    <w:p>
      <w:pPr>
        <w:spacing w:after="28" w:line="216" w:lineRule="auto"/>
        <w:ind w:left="259"/>
        <w:jc w:val="left"/>
      </w:pPr>
      <w:r>
        <w:rPr>
          <w:rFonts w:ascii="Arial" w:hAnsi="Arial"/>
          <w:color w:val="525252"/>
          <w:sz w:val="13"/>
        </w:rPr>
        <w:t>Sufficiently detailed rules of engagement the commander tailors to the specific circumstances of the operation can help facilitate appropriate restraint.</w:t>
      </w:r>
    </w:p>
    <w:p>
      <w:pPr>
        <w:spacing w:after="20" w:line="223" w:lineRule="auto"/>
        <w:jc w:val="right"/>
        <w:bidi/>
      </w:pPr>
      <w:r>
        <w:rPr>
          <w:rFonts w:ascii="Arial" w:hAnsi="Arial"/>
          <w:sz w:val="16"/>
        </w:rPr>
        <w:t>098.24  استقامت.</w:t>
      </w:r>
    </w:p>
    <w:p>
      <w:pPr>
        <w:spacing w:after="28" w:line="216" w:lineRule="auto"/>
        <w:ind w:left="259"/>
        <w:jc w:val="left"/>
      </w:pPr>
      <w:r>
        <w:rPr>
          <w:rFonts w:ascii="Arial" w:hAnsi="Arial"/>
          <w:color w:val="525252"/>
          <w:sz w:val="13"/>
        </w:rPr>
        <w:t>Perseverance.</w:t>
      </w:r>
    </w:p>
    <w:p>
      <w:pPr>
        <w:spacing w:after="20" w:line="223" w:lineRule="auto"/>
        <w:jc w:val="right"/>
        <w:bidi/>
      </w:pPr>
      <w:r>
        <w:rPr>
          <w:rFonts w:ascii="Arial" w:hAnsi="Arial"/>
          <w:sz w:val="16"/>
        </w:rPr>
        <w:t>098.25  هدف از استقامت، اطمینان از تعهد لازم برای دستیابی به اهداف ملی است.</w:t>
      </w:r>
    </w:p>
    <w:p>
      <w:pPr>
        <w:spacing w:after="28" w:line="216" w:lineRule="auto"/>
        <w:ind w:left="259"/>
        <w:jc w:val="left"/>
      </w:pPr>
      <w:r>
        <w:rPr>
          <w:rFonts w:ascii="Arial" w:hAnsi="Arial"/>
          <w:color w:val="525252"/>
          <w:sz w:val="13"/>
        </w:rPr>
        <w:t>The purpose of perseverance is to ensure the commitment necessary to achieve national objectives.</w:t>
      </w:r>
    </w:p>
    <w:p>
      <w:pPr>
        <w:spacing w:after="20" w:line="223" w:lineRule="auto"/>
        <w:jc w:val="right"/>
        <w:bidi/>
      </w:pPr>
      <w:r>
        <w:rPr>
          <w:rFonts w:ascii="Arial" w:hAnsi="Arial"/>
          <w:sz w:val="16"/>
        </w:rPr>
        <w:t>098.26  استقامت مستلزم آمادگی برای عملیات نظامی سنجیده و طولانی در تعقیب اهداف ملی است.</w:t>
      </w:r>
    </w:p>
    <w:p>
      <w:pPr>
        <w:spacing w:after="28" w:line="216" w:lineRule="auto"/>
        <w:ind w:left="259"/>
        <w:jc w:val="left"/>
      </w:pPr>
      <w:r>
        <w:rPr>
          <w:rFonts w:ascii="Arial" w:hAnsi="Arial"/>
          <w:color w:val="525252"/>
          <w:sz w:val="13"/>
        </w:rPr>
        <w:t>Perseverance involves preparation for measured, protracted military operations in pursuit of national objectives.</w:t>
      </w:r>
    </w:p>
    <w:p>
      <w:pPr>
        <w:spacing w:after="20" w:line="223" w:lineRule="auto"/>
        <w:jc w:val="right"/>
        <w:bidi/>
      </w:pPr>
      <w:r>
        <w:rPr>
          <w:rFonts w:ascii="Arial" w:hAnsi="Arial"/>
          <w:sz w:val="16"/>
        </w:rPr>
        <w:t>098.27  برخی از عملیات مشترک ممکن است سالها طول بکشد تا به معیارهای خاتمه دست یابند.</w:t>
      </w:r>
    </w:p>
    <w:p>
      <w:pPr>
        <w:spacing w:after="28" w:line="216" w:lineRule="auto"/>
        <w:ind w:left="259"/>
        <w:jc w:val="left"/>
      </w:pPr>
      <w:r>
        <w:rPr>
          <w:rFonts w:ascii="Arial" w:hAnsi="Arial"/>
          <w:color w:val="525252"/>
          <w:sz w:val="13"/>
        </w:rPr>
        <w:t>Some joint operations may require years to reach the termination criteria.</w:t>
      </w:r>
    </w:p>
    <w:p>
      <w:pPr>
        <w:spacing w:after="20" w:line="223" w:lineRule="auto"/>
        <w:jc w:val="right"/>
        <w:bidi/>
      </w:pPr>
      <w:r>
        <w:rPr>
          <w:rFonts w:ascii="Arial" w:hAnsi="Arial"/>
          <w:sz w:val="16"/>
        </w:rPr>
        <w:t>098.28  پیگیری صبورانه، مصمم و پیگیر اهداف و مقاصد ملی برای موفقیت ضروری است.</w:t>
      </w:r>
    </w:p>
    <w:p>
      <w:pPr>
        <w:spacing w:after="28" w:line="216" w:lineRule="auto"/>
        <w:ind w:left="259"/>
        <w:jc w:val="left"/>
      </w:pPr>
      <w:r>
        <w:rPr>
          <w:rFonts w:ascii="Arial" w:hAnsi="Arial"/>
          <w:color w:val="525252"/>
          <w:sz w:val="13"/>
        </w:rPr>
        <w:t>The patient, resolute, and persistent pursuit of national goals and objectives is essential to success.</w:t>
      </w:r>
    </w:p>
    <w:p>
      <w:pPr>
        <w:spacing w:after="20" w:line="223" w:lineRule="auto"/>
        <w:jc w:val="right"/>
        <w:bidi/>
      </w:pPr>
      <w:r>
        <w:rPr>
          <w:rFonts w:ascii="Arial" w:hAnsi="Arial"/>
          <w:sz w:val="16"/>
        </w:rPr>
        <w:t>098.29  این اغلب شامل اقدامات دیپلماتیک، اقتصادی و اطلاعاتی برای تکمیل تلاش‌های نظامی می‌شود.</w:t>
      </w:r>
    </w:p>
    <w:p>
      <w:pPr>
        <w:spacing w:after="28" w:line="216" w:lineRule="auto"/>
        <w:ind w:left="259"/>
        <w:jc w:val="left"/>
      </w:pPr>
      <w:r>
        <w:rPr>
          <w:rFonts w:ascii="Arial" w:hAnsi="Arial"/>
          <w:color w:val="525252"/>
          <w:sz w:val="13"/>
        </w:rPr>
        <w:t>This will frequently involve diplomatic, economic, and informational measures to supplement military efforts.</w:t>
      </w:r>
    </w:p>
    <w:p>
      <w:pPr>
        <w:spacing w:after="20" w:line="223" w:lineRule="auto"/>
        <w:jc w:val="right"/>
        <w:bidi/>
      </w:pPr>
      <w:r>
        <w:rPr>
          <w:rFonts w:ascii="Arial" w:hAnsi="Arial"/>
          <w:sz w:val="16"/>
        </w:rPr>
        <w:t>098.30  مشروعیت.</w:t>
      </w:r>
    </w:p>
    <w:p>
      <w:pPr>
        <w:spacing w:after="28" w:line="216" w:lineRule="auto"/>
        <w:ind w:left="259"/>
        <w:jc w:val="left"/>
      </w:pPr>
      <w:r>
        <w:rPr>
          <w:rFonts w:ascii="Arial" w:hAnsi="Arial"/>
          <w:color w:val="525252"/>
          <w:sz w:val="13"/>
        </w:rPr>
        <w:t>Legitimacy.</w:t>
      </w:r>
    </w:p>
    <w:p>
      <w:pPr>
        <w:spacing w:after="20" w:line="223" w:lineRule="auto"/>
        <w:jc w:val="right"/>
        <w:bidi/>
      </w:pPr>
      <w:r>
        <w:rPr>
          <w:rFonts w:ascii="Arial" w:hAnsi="Arial"/>
          <w:sz w:val="16"/>
        </w:rPr>
        <w:t>098.31  هدف از مشروعیت حفظ اقتدار قانونی و اخلاقی در انجام عملیات است.</w:t>
      </w:r>
    </w:p>
    <w:p>
      <w:pPr>
        <w:spacing w:after="28" w:line="216" w:lineRule="auto"/>
        <w:ind w:left="259"/>
        <w:jc w:val="left"/>
      </w:pPr>
      <w:r>
        <w:rPr>
          <w:rFonts w:ascii="Arial" w:hAnsi="Arial"/>
          <w:color w:val="525252"/>
          <w:sz w:val="13"/>
        </w:rPr>
        <w:t>The purpose of legitimacy is to maintain legal and moral authority in the conduct of operations.</w:t>
      </w:r>
    </w:p>
    <w:p>
      <w:pPr>
        <w:spacing w:after="20" w:line="223" w:lineRule="auto"/>
        <w:jc w:val="right"/>
        <w:bidi/>
      </w:pPr>
      <w:r>
        <w:rPr>
          <w:rFonts w:ascii="Arial" w:hAnsi="Arial"/>
          <w:sz w:val="16"/>
        </w:rPr>
        <w:t>098.32  مشروعیت که می‌تواند عاملی تعیین‌کننده در عملیات باشد، مبتنی بر قانونی بودن، اخلاقی بودن و درستی عمل از دیدگاه‌های مختلف مخاطبان علاقه‌مند است.</w:t>
      </w:r>
    </w:p>
    <w:p>
      <w:pPr>
        <w:spacing w:after="28" w:line="216" w:lineRule="auto"/>
        <w:ind w:left="259"/>
        <w:jc w:val="left"/>
      </w:pPr>
      <w:r>
        <w:rPr>
          <w:rFonts w:ascii="Arial" w:hAnsi="Arial"/>
          <w:color w:val="525252"/>
          <w:sz w:val="13"/>
        </w:rPr>
        <w:t>Legitimacy, which can be a decisive factor in operations, is based on the actual and perceived legality, morality, and rightness of the actions from the various perspectives of interested audiences.</w:t>
      </w:r>
    </w:p>
    <w:p>
      <w:pPr>
        <w:spacing w:after="20" w:line="223" w:lineRule="auto"/>
        <w:jc w:val="right"/>
        <w:bidi/>
      </w:pPr>
      <w:r>
        <w:rPr>
          <w:rFonts w:ascii="Arial" w:hAnsi="Arial"/>
          <w:sz w:val="16"/>
        </w:rPr>
        <w:t>098.33  این مخاطبان شامل رهبری ملی ما و جمعیت داخلی، دولت‌ها و جمعیت غیرنظامی در منطقه عملیاتی، کشورهای شریک و متحدان، و ملت‌ها خواهند بود.</w:t>
      </w:r>
    </w:p>
    <w:p>
      <w:pPr>
        <w:spacing w:after="28" w:line="216" w:lineRule="auto"/>
        <w:ind w:left="259"/>
        <w:jc w:val="left"/>
      </w:pPr>
      <w:r>
        <w:rPr>
          <w:rFonts w:ascii="Arial" w:hAnsi="Arial"/>
          <w:color w:val="525252"/>
          <w:sz w:val="13"/>
        </w:rPr>
        <w:t>These audiences will include our national leadership and domestic population, governments and civilian populations in the operational area, partner nations and allies, and nations</w:t>
      </w:r>
    </w:p>
    <w:p>
      <w:r>
        <w:br w:type="page"/>
      </w:r>
    </w:p>
    <w:p>
      <w:pPr>
        <w:spacing w:after="60"/>
        <w:jc w:val="right"/>
        <w:bidi/>
      </w:pPr>
      <w:r>
        <w:rPr>
          <w:rFonts w:ascii="Arial" w:hAnsi="Arial"/>
          <w:b/>
          <w:color w:val="1F4D78"/>
          <w:sz w:val="19"/>
        </w:rPr>
        <w:t>هفتهٔ 99  |  صفحهٔ منبع: 115</w:t>
      </w:r>
    </w:p>
    <w:p>
      <w:pPr>
        <w:spacing w:after="20" w:line="223" w:lineRule="auto"/>
        <w:jc w:val="right"/>
        <w:bidi/>
      </w:pPr>
      <w:r>
        <w:rPr>
          <w:rFonts w:ascii="Arial" w:hAnsi="Arial"/>
          <w:sz w:val="16"/>
        </w:rPr>
        <w:t>099.01  و سازمانها در سراسر جهان.</w:t>
      </w:r>
    </w:p>
    <w:p>
      <w:pPr>
        <w:spacing w:after="28" w:line="216" w:lineRule="auto"/>
        <w:ind w:left="259"/>
        <w:jc w:val="left"/>
      </w:pPr>
      <w:r>
        <w:rPr>
          <w:rFonts w:ascii="Arial" w:hAnsi="Arial"/>
          <w:color w:val="525252"/>
          <w:sz w:val="13"/>
        </w:rPr>
        <w:t>and organizations around the world.</w:t>
      </w:r>
    </w:p>
    <w:p>
      <w:pPr>
        <w:spacing w:after="20" w:line="223" w:lineRule="auto"/>
        <w:jc w:val="right"/>
        <w:bidi/>
      </w:pPr>
      <w:r>
        <w:rPr>
          <w:rFonts w:ascii="Arial" w:hAnsi="Arial"/>
          <w:sz w:val="16"/>
        </w:rPr>
        <w:t>099.02  وحدت تلاش (اصل اضافی نیروی هوایی، AFDP ۱).</w:t>
      </w:r>
    </w:p>
    <w:p>
      <w:pPr>
        <w:spacing w:after="28" w:line="216" w:lineRule="auto"/>
        <w:ind w:left="259"/>
        <w:jc w:val="left"/>
      </w:pPr>
      <w:r>
        <w:rPr>
          <w:rFonts w:ascii="Arial" w:hAnsi="Arial"/>
          <w:color w:val="525252"/>
          <w:sz w:val="13"/>
        </w:rPr>
        <w:t>Unity of Effort (additional Air Force Principle, AFDP 1).</w:t>
      </w:r>
    </w:p>
    <w:p>
      <w:pPr>
        <w:spacing w:after="20" w:line="223" w:lineRule="auto"/>
        <w:jc w:val="right"/>
        <w:bidi/>
      </w:pPr>
      <w:r>
        <w:rPr>
          <w:rFonts w:ascii="Arial" w:hAnsi="Arial"/>
          <w:sz w:val="16"/>
        </w:rPr>
        <w:t>099.03  هدف از این اصل این است که اطمینان حاصل شود که طیف وسیعی از مؤلفه‌ها، آژانس‌ها و شرکای فعال در طول یک حادثه احتیاطی، اقدامات و منابع خود را هماهنگ می‌کنند و بر همان هدف تمرکز می‌کنند.</w:t>
      </w:r>
    </w:p>
    <w:p>
      <w:pPr>
        <w:spacing w:after="28" w:line="216" w:lineRule="auto"/>
        <w:ind w:left="259"/>
        <w:jc w:val="left"/>
      </w:pPr>
      <w:r>
        <w:rPr>
          <w:rFonts w:ascii="Arial" w:hAnsi="Arial"/>
          <w:color w:val="525252"/>
          <w:sz w:val="13"/>
        </w:rPr>
        <w:t>The purpose of this principle is to ensure that a wide range of components, agencies, and partners operating during a contingency coordinate their actions and resources and focus on the same goal.</w:t>
      </w:r>
    </w:p>
    <w:p>
      <w:pPr>
        <w:spacing w:after="20" w:line="223" w:lineRule="auto"/>
        <w:jc w:val="right"/>
        <w:bidi/>
      </w:pPr>
      <w:r>
        <w:rPr>
          <w:rFonts w:ascii="Arial" w:hAnsi="Arial"/>
          <w:sz w:val="16"/>
        </w:rPr>
        <w:t>099.04  این یک اصل حیاتی برای USAF است، به‌ویژه هنگامی که در یک محیط بین سازمانی و چند ملیتی کار می‌کند.</w:t>
      </w:r>
    </w:p>
    <w:p>
      <w:pPr>
        <w:spacing w:after="28" w:line="216" w:lineRule="auto"/>
        <w:ind w:left="259"/>
        <w:jc w:val="left"/>
      </w:pPr>
      <w:r>
        <w:rPr>
          <w:rFonts w:ascii="Arial" w:hAnsi="Arial"/>
          <w:color w:val="525252"/>
          <w:sz w:val="13"/>
        </w:rPr>
        <w:t>This is a vital principle for the USAF, especially when working in an interagency and multinational environment.</w:t>
      </w:r>
    </w:p>
    <w:p>
      <w:pPr>
        <w:spacing w:before="60" w:after="28"/>
        <w:jc w:val="right"/>
        <w:bidi/>
      </w:pPr>
      <w:r>
        <w:rPr>
          <w:b/>
          <w:color w:val="1F4D78"/>
          <w:sz w:val="18"/>
        </w:rPr>
        <w:t>6.5. اصول نیروی هوایی</w:t>
      </w:r>
    </w:p>
    <w:p>
      <w:pPr>
        <w:spacing w:after="20"/>
        <w:ind w:left="259"/>
        <w:jc w:val="left"/>
      </w:pPr>
      <w:r>
        <w:rPr>
          <w:color w:val="555555"/>
          <w:sz w:val="12"/>
        </w:rPr>
        <w:t>6.5. Tenets of Airpower</w:t>
      </w:r>
    </w:p>
    <w:p>
      <w:pPr>
        <w:spacing w:after="20" w:line="223" w:lineRule="auto"/>
        <w:jc w:val="right"/>
        <w:bidi/>
      </w:pPr>
      <w:r>
        <w:rPr>
          <w:rFonts w:ascii="Arial" w:hAnsi="Arial"/>
          <w:sz w:val="16"/>
        </w:rPr>
        <w:t>099.06  استفاده از نیروی هوایی توسط چندین حقیقت اساسی راهنمایی اصلاح شده است. این حقایق به‌عنوان اصول نیروی هوایی شناخته می‌شوند.</w:t>
      </w:r>
    </w:p>
    <w:p>
      <w:pPr>
        <w:spacing w:after="28" w:line="216" w:lineRule="auto"/>
        <w:ind w:left="259"/>
        <w:jc w:val="left"/>
      </w:pPr>
      <w:r>
        <w:rPr>
          <w:rFonts w:ascii="Arial" w:hAnsi="Arial"/>
          <w:color w:val="525252"/>
          <w:sz w:val="13"/>
        </w:rPr>
        <w:t>The application of airpower is refined by several fundamental guiding truths; these truths are known as the tenets of airpower.</w:t>
      </w:r>
    </w:p>
    <w:p>
      <w:pPr>
        <w:spacing w:after="20" w:line="223" w:lineRule="auto"/>
        <w:jc w:val="right"/>
        <w:bidi/>
      </w:pPr>
      <w:r>
        <w:rPr>
          <w:rFonts w:ascii="Arial" w:hAnsi="Arial"/>
          <w:sz w:val="16"/>
        </w:rPr>
        <w:t>099.07  اصول نیروی هوایی منعکس کننده تکامل تاریخی و اعتقادی منحصر به فرد نیروی هوایی و همچنین درک فعلی از ماهیت نیروی هوایی است.</w:t>
      </w:r>
    </w:p>
    <w:p>
      <w:pPr>
        <w:spacing w:after="28" w:line="216" w:lineRule="auto"/>
        <w:ind w:left="259"/>
        <w:jc w:val="left"/>
      </w:pPr>
      <w:r>
        <w:rPr>
          <w:rFonts w:ascii="Arial" w:hAnsi="Arial"/>
          <w:color w:val="525252"/>
          <w:sz w:val="13"/>
        </w:rPr>
        <w:t>The tenets of airpower reflect a unique historical and doctrinal evolution of airpower, as well as a current appreciation for the nature of airpower.</w:t>
      </w:r>
    </w:p>
    <w:p>
      <w:pPr>
        <w:spacing w:after="20" w:line="223" w:lineRule="auto"/>
        <w:jc w:val="right"/>
        <w:bidi/>
      </w:pPr>
      <w:r>
        <w:rPr>
          <w:rFonts w:ascii="Arial" w:hAnsi="Arial"/>
          <w:sz w:val="16"/>
        </w:rPr>
        <w:t>099.08  ضمن تکمیل اصول عملیات مشترک، که راهنمایی کلی در مورد کاربرد نیروهای نظامی ارائه می‌کند، این اصول ملاحظات خاصی را برای استفاده از نیروی هوایی ارائه می‌کنند.</w:t>
      </w:r>
    </w:p>
    <w:p>
      <w:pPr>
        <w:spacing w:after="28" w:line="216" w:lineRule="auto"/>
        <w:ind w:left="259"/>
        <w:jc w:val="left"/>
      </w:pPr>
      <w:r>
        <w:rPr>
          <w:rFonts w:ascii="Arial" w:hAnsi="Arial"/>
          <w:color w:val="525252"/>
          <w:sz w:val="13"/>
        </w:rPr>
        <w:t>While complementing the principles of joint operations, which provide general guidance on the application of military forces, these tenets provide specific considerations for the employment of airpower.</w:t>
      </w:r>
    </w:p>
    <w:p>
      <w:pPr>
        <w:spacing w:after="20" w:line="223" w:lineRule="auto"/>
        <w:jc w:val="right"/>
        <w:bidi/>
      </w:pPr>
      <w:r>
        <w:rPr>
          <w:rFonts w:ascii="Arial" w:hAnsi="Arial"/>
          <w:sz w:val="16"/>
        </w:rPr>
        <w:t>099.09  این اصول نیازمند قضاوت آگاهانه در کاربرد و ترکیبی ماهرانه برای تطبیق آنها با محیط عملیاتی در حال تغییر است.</w:t>
      </w:r>
    </w:p>
    <w:p>
      <w:pPr>
        <w:spacing w:after="28" w:line="216" w:lineRule="auto"/>
        <w:ind w:left="259"/>
        <w:jc w:val="left"/>
      </w:pPr>
      <w:r>
        <w:rPr>
          <w:rFonts w:ascii="Arial" w:hAnsi="Arial"/>
          <w:color w:val="525252"/>
          <w:sz w:val="13"/>
        </w:rPr>
        <w:t>These tenets require informed judgment in application and a skillful blending to tailor them to the ever-changing operational environment.</w:t>
      </w:r>
    </w:p>
    <w:p>
      <w:pPr>
        <w:spacing w:after="20" w:line="223" w:lineRule="auto"/>
        <w:jc w:val="right"/>
        <w:bidi/>
      </w:pPr>
      <w:r>
        <w:rPr>
          <w:rFonts w:ascii="Arial" w:hAnsi="Arial"/>
          <w:sz w:val="16"/>
        </w:rPr>
        <w:t>099.10  هوانوردان در همه سطوح باید این واقعیت را بپذیرند که جنگ فوق‌العاده پیچیده است و هیچ دو عملیاتی شبیه هم نیستند.</w:t>
      </w:r>
    </w:p>
    <w:p>
      <w:pPr>
        <w:spacing w:after="28" w:line="216" w:lineRule="auto"/>
        <w:ind w:left="259"/>
        <w:jc w:val="left"/>
      </w:pPr>
      <w:r>
        <w:rPr>
          <w:rFonts w:ascii="Arial" w:hAnsi="Arial"/>
          <w:color w:val="525252"/>
          <w:sz w:val="13"/>
        </w:rPr>
        <w:t>Airmen at all levels must accept the fact that war is incredibly complex, and no two operations are identical.</w:t>
      </w:r>
    </w:p>
    <w:p>
      <w:pPr>
        <w:spacing w:after="20" w:line="223" w:lineRule="auto"/>
        <w:jc w:val="right"/>
        <w:bidi/>
      </w:pPr>
      <w:r>
        <w:rPr>
          <w:rFonts w:ascii="Arial" w:hAnsi="Arial"/>
          <w:sz w:val="16"/>
        </w:rPr>
        <w:t>099.11  اصول نیروی هوایی، همانطور که در AFDP ۱ تعریف شده است، در اینجا توضیح داده شده است.</w:t>
      </w:r>
    </w:p>
    <w:p>
      <w:pPr>
        <w:spacing w:after="28" w:line="216" w:lineRule="auto"/>
        <w:ind w:left="259"/>
        <w:jc w:val="left"/>
      </w:pPr>
      <w:r>
        <w:rPr>
          <w:rFonts w:ascii="Arial" w:hAnsi="Arial"/>
          <w:color w:val="525252"/>
          <w:sz w:val="13"/>
        </w:rPr>
        <w:t>The tenets of airpower, as defined in AFDP 1, are described here.</w:t>
      </w:r>
    </w:p>
    <w:p>
      <w:pPr>
        <w:spacing w:after="20" w:line="223" w:lineRule="auto"/>
        <w:jc w:val="right"/>
        <w:bidi/>
      </w:pPr>
      <w:r>
        <w:rPr>
          <w:rFonts w:ascii="Arial" w:hAnsi="Arial"/>
          <w:sz w:val="16"/>
        </w:rPr>
        <w:t>099.12  فرماندهی مأموریت.</w:t>
      </w:r>
    </w:p>
    <w:p>
      <w:pPr>
        <w:spacing w:after="28" w:line="216" w:lineRule="auto"/>
        <w:ind w:left="259"/>
        <w:jc w:val="left"/>
      </w:pPr>
      <w:r>
        <w:rPr>
          <w:rFonts w:ascii="Arial" w:hAnsi="Arial"/>
          <w:color w:val="525252"/>
          <w:sz w:val="13"/>
        </w:rPr>
        <w:t>Mission Command.</w:t>
      </w:r>
    </w:p>
    <w:p>
      <w:pPr>
        <w:spacing w:after="20" w:line="223" w:lineRule="auto"/>
        <w:jc w:val="right"/>
        <w:bidi/>
      </w:pPr>
      <w:r>
        <w:rPr>
          <w:rFonts w:ascii="Arial" w:hAnsi="Arial"/>
          <w:sz w:val="16"/>
        </w:rPr>
        <w:t>099.13  فلسفه عضو نیروی هوایی برای فرماندهی و کنترل (ک۲) نیروی هوایی، فرماندهی مأموریت است.</w:t>
      </w:r>
    </w:p>
    <w:p>
      <w:pPr>
        <w:spacing w:after="28" w:line="216" w:lineRule="auto"/>
        <w:ind w:left="259"/>
        <w:jc w:val="left"/>
      </w:pPr>
      <w:r>
        <w:rPr>
          <w:rFonts w:ascii="Arial" w:hAnsi="Arial"/>
          <w:color w:val="525252"/>
          <w:sz w:val="13"/>
        </w:rPr>
        <w:t>The Airman’s philosophy for the command and control (C2) of airpower is mission command.</w:t>
      </w:r>
    </w:p>
    <w:p>
      <w:pPr>
        <w:spacing w:after="20" w:line="223" w:lineRule="auto"/>
        <w:jc w:val="right"/>
        <w:bidi/>
      </w:pPr>
      <w:r>
        <w:rPr>
          <w:rFonts w:ascii="Arial" w:hAnsi="Arial"/>
          <w:sz w:val="16"/>
        </w:rPr>
        <w:t>099.14  فرماندهی مأموریت رویکردی به ک۲ است که تصمیم‌گیری زیردستان را برای انعطاف‌پذیری، ابتکار و پاسخ‌گویی در دستیابی به مقاصد فرمانده توانمند می‌سازد.</w:t>
      </w:r>
    </w:p>
    <w:p>
      <w:pPr>
        <w:spacing w:after="28" w:line="216" w:lineRule="auto"/>
        <w:ind w:left="259"/>
        <w:jc w:val="left"/>
      </w:pPr>
      <w:r>
        <w:rPr>
          <w:rFonts w:ascii="Arial" w:hAnsi="Arial"/>
          <w:color w:val="525252"/>
          <w:sz w:val="13"/>
        </w:rPr>
        <w:t>Mission command is an approach to C2 that empowers subordinate decision- making for flexibility, initiative, and responsiveness in the accomplishment of commander’s intent.</w:t>
      </w:r>
    </w:p>
    <w:p>
      <w:pPr>
        <w:spacing w:after="20" w:line="223" w:lineRule="auto"/>
        <w:jc w:val="right"/>
        <w:bidi/>
      </w:pPr>
      <w:r>
        <w:rPr>
          <w:rFonts w:ascii="Arial" w:hAnsi="Arial"/>
          <w:sz w:val="16"/>
        </w:rPr>
        <w:t>099.15  فرماندهی مأموریت به هوانوردان در محیط‌های با عدم قطعیت، پیچیدگی و تغییرات سریع با آزادی عمل مورد نیاز برای بهره‌برداری از فرصت‌های نوظهور و موفقیت عمل می‌کند.</w:t>
      </w:r>
    </w:p>
    <w:p>
      <w:pPr>
        <w:spacing w:after="28" w:line="216" w:lineRule="auto"/>
        <w:ind w:left="259"/>
        <w:jc w:val="left"/>
      </w:pPr>
      <w:r>
        <w:rPr>
          <w:rFonts w:ascii="Arial" w:hAnsi="Arial"/>
          <w:color w:val="525252"/>
          <w:sz w:val="13"/>
        </w:rPr>
        <w:t>Mission command provides Airmen operating in environments of increasing uncertainty, complexity, and rapid change with the freedom of action needed to exploit emergent opportunities and succeed.</w:t>
      </w:r>
    </w:p>
    <w:p>
      <w:pPr>
        <w:spacing w:after="20" w:line="223" w:lineRule="auto"/>
        <w:jc w:val="right"/>
        <w:bidi/>
      </w:pPr>
      <w:r>
        <w:rPr>
          <w:rFonts w:ascii="Arial" w:hAnsi="Arial"/>
          <w:sz w:val="16"/>
        </w:rPr>
        <w:t>099.16  با توجه به دسترسی جهانی و اثرات استراتژیک نیروی هوایی، رویکرد USAF به فرماندهی مأموریت، نیاز به انعطاف تاکتیکی را با مدیریت خطرات جهانی متعادل می‌کند.</w:t>
      </w:r>
    </w:p>
    <w:p>
      <w:pPr>
        <w:spacing w:after="28" w:line="216" w:lineRule="auto"/>
        <w:ind w:left="259"/>
        <w:jc w:val="left"/>
      </w:pPr>
      <w:r>
        <w:rPr>
          <w:rFonts w:ascii="Arial" w:hAnsi="Arial"/>
          <w:color w:val="525252"/>
          <w:sz w:val="13"/>
        </w:rPr>
        <w:t>Given the global reach and strategic effects of airpower, the USAF’s approach to mission command balances the need for tactical flexibility with the management of global risks.</w:t>
      </w:r>
    </w:p>
    <w:p>
      <w:pPr>
        <w:spacing w:after="20" w:line="223" w:lineRule="auto"/>
        <w:jc w:val="right"/>
        <w:bidi/>
      </w:pPr>
      <w:r>
        <w:rPr>
          <w:rFonts w:ascii="Arial" w:hAnsi="Arial"/>
          <w:sz w:val="16"/>
        </w:rPr>
        <w:t>099.17  هوانوردان فرمان مأموریت را از طریق فرماندهی متمرکز، کنترل توزیع شده و اجرای غیرمتمرکز اجرا می‌کنند.</w:t>
      </w:r>
    </w:p>
    <w:p>
      <w:pPr>
        <w:spacing w:after="28" w:line="216" w:lineRule="auto"/>
        <w:ind w:left="259"/>
        <w:jc w:val="left"/>
      </w:pPr>
      <w:r>
        <w:rPr>
          <w:rFonts w:ascii="Arial" w:hAnsi="Arial"/>
          <w:color w:val="525252"/>
          <w:sz w:val="13"/>
        </w:rPr>
        <w:t>Airmen execute mission command through centralized command, distributed control, and decentralized execution.</w:t>
      </w:r>
    </w:p>
    <w:p>
      <w:pPr>
        <w:spacing w:after="20" w:line="223" w:lineRule="auto"/>
        <w:jc w:val="right"/>
        <w:bidi/>
      </w:pPr>
      <w:r>
        <w:rPr>
          <w:rFonts w:ascii="Arial" w:hAnsi="Arial"/>
          <w:sz w:val="16"/>
        </w:rPr>
        <w:t>099.18  فرماندهی متمرکز استاندارد سازماندهی ابزار مؤثر و کارآمد به‌کارگیری نیروی هوایی است. اصل جرم را در عین حفظ اصل صرفه جویی در نیرو، فعال می‌کند.</w:t>
      </w:r>
    </w:p>
    <w:p>
      <w:pPr>
        <w:spacing w:after="28" w:line="216" w:lineRule="auto"/>
        <w:ind w:left="259"/>
        <w:jc w:val="left"/>
      </w:pPr>
      <w:r>
        <w:rPr>
          <w:rFonts w:ascii="Arial" w:hAnsi="Arial"/>
          <w:color w:val="525252"/>
          <w:sz w:val="13"/>
        </w:rPr>
        <w:t>Centralized command is the organizing standard for the effective and efficient means of employing airpower; it enables the principle of mass while maintaining the principle of economy of force.</w:t>
      </w:r>
    </w:p>
    <w:p>
      <w:pPr>
        <w:spacing w:after="20" w:line="223" w:lineRule="auto"/>
        <w:jc w:val="right"/>
        <w:bidi/>
      </w:pPr>
      <w:r>
        <w:rPr>
          <w:rFonts w:ascii="Arial" w:hAnsi="Arial"/>
          <w:sz w:val="16"/>
        </w:rPr>
        <w:t>099.19  به دلیل ظرفیت قدرت هوایی برای تأثیر مستقیم بر سطوح استراتژیک و عملیاتی جنگ، باید توسط یک هوانورد، فرمانده اجزای هوایی، فرماندهی شود.</w:t>
      </w:r>
    </w:p>
    <w:p>
      <w:pPr>
        <w:spacing w:after="28" w:line="216" w:lineRule="auto"/>
        <w:ind w:left="259"/>
        <w:jc w:val="left"/>
      </w:pPr>
      <w:r>
        <w:rPr>
          <w:rFonts w:ascii="Arial" w:hAnsi="Arial"/>
          <w:color w:val="525252"/>
          <w:sz w:val="13"/>
        </w:rPr>
        <w:t>Because of airpower’s potential to directly affect the strategic and operational levels of warfare, it should be commanded by a single Airman, the air component commander.</w:t>
      </w:r>
    </w:p>
    <w:p>
      <w:pPr>
        <w:spacing w:after="20" w:line="223" w:lineRule="auto"/>
        <w:jc w:val="right"/>
        <w:bidi/>
      </w:pPr>
      <w:r>
        <w:rPr>
          <w:rFonts w:ascii="Arial" w:hAnsi="Arial"/>
          <w:sz w:val="16"/>
        </w:rPr>
        <w:t>099.20  کنترل توزیع شده از انعطاف پذیری و انعطاف‌پذیری قدرت هوایی برای اطمینان از پاسخگویی، بقا و پایدار ماندن آن بهره می‌برد.</w:t>
      </w:r>
    </w:p>
    <w:p>
      <w:pPr>
        <w:spacing w:after="28" w:line="216" w:lineRule="auto"/>
        <w:ind w:left="259"/>
        <w:jc w:val="left"/>
      </w:pPr>
      <w:r>
        <w:rPr>
          <w:rFonts w:ascii="Arial" w:hAnsi="Arial"/>
          <w:color w:val="525252"/>
          <w:sz w:val="13"/>
        </w:rPr>
        <w:t>Distributed control exploits airpower’s flexibility and versatility to ensure that it remains responsive, survivable, and sustainable.</w:t>
      </w:r>
    </w:p>
    <w:p>
      <w:pPr>
        <w:spacing w:after="20" w:line="223" w:lineRule="auto"/>
        <w:jc w:val="right"/>
        <w:bidi/>
      </w:pPr>
      <w:r>
        <w:rPr>
          <w:rFonts w:ascii="Arial" w:hAnsi="Arial"/>
          <w:sz w:val="16"/>
        </w:rPr>
        <w:t>099.21  اجرای غیرمتمرکز تفویض اختیار برای دستیابی به دامنه کنترل مؤثر، پرورش ابتکار عمل منظم و توانمندسازی زیردستان برای بهره‌برداری از فرصت‌های زودگذر است.</w:t>
      </w:r>
    </w:p>
    <w:p>
      <w:pPr>
        <w:spacing w:after="28" w:line="216" w:lineRule="auto"/>
        <w:ind w:left="259"/>
        <w:jc w:val="left"/>
      </w:pPr>
      <w:r>
        <w:rPr>
          <w:rFonts w:ascii="Arial" w:hAnsi="Arial"/>
          <w:color w:val="525252"/>
          <w:sz w:val="13"/>
        </w:rPr>
        <w:t>Decentralized execution is the delegation of authority to achieve effective span of control, foster disciplined initiative, and empower subordinates to exploit fleeting opportunities.</w:t>
      </w:r>
    </w:p>
    <w:p>
      <w:pPr>
        <w:spacing w:after="20" w:line="223" w:lineRule="auto"/>
        <w:jc w:val="right"/>
        <w:bidi/>
      </w:pPr>
      <w:r>
        <w:rPr>
          <w:rFonts w:ascii="Arial" w:hAnsi="Arial"/>
          <w:sz w:val="16"/>
        </w:rPr>
        <w:t>099.22  انعطاف پذیری و تطبیق پذیری.</w:t>
      </w:r>
    </w:p>
    <w:p>
      <w:pPr>
        <w:spacing w:after="28" w:line="216" w:lineRule="auto"/>
        <w:ind w:left="259"/>
        <w:jc w:val="left"/>
      </w:pPr>
      <w:r>
        <w:rPr>
          <w:rFonts w:ascii="Arial" w:hAnsi="Arial"/>
          <w:color w:val="525252"/>
          <w:sz w:val="13"/>
        </w:rPr>
        <w:t>Flexibility and Versatility.</w:t>
      </w:r>
    </w:p>
    <w:p>
      <w:pPr>
        <w:spacing w:after="20" w:line="223" w:lineRule="auto"/>
        <w:jc w:val="right"/>
        <w:bidi/>
      </w:pPr>
      <w:r>
        <w:rPr>
          <w:rFonts w:ascii="Arial" w:hAnsi="Arial"/>
          <w:sz w:val="16"/>
        </w:rPr>
        <w:t>099.23  با انعطاف پذیری و تطبیق پذیری، نیروی هوایی پتانسیل دستیابی به هم افزایی بی بدیل را از طریق عملیات نامتقارن و موازی دارد.</w:t>
      </w:r>
    </w:p>
    <w:p>
      <w:pPr>
        <w:spacing w:after="28" w:line="216" w:lineRule="auto"/>
        <w:ind w:left="259"/>
        <w:jc w:val="left"/>
      </w:pPr>
      <w:r>
        <w:rPr>
          <w:rFonts w:ascii="Arial" w:hAnsi="Arial"/>
          <w:color w:val="525252"/>
          <w:sz w:val="13"/>
        </w:rPr>
        <w:t>With flexibility and versatility, airpower has the potential to achieve unmatched synergy through asymmetric and parallel operations.</w:t>
      </w:r>
    </w:p>
    <w:p>
      <w:pPr>
        <w:spacing w:after="20" w:line="223" w:lineRule="auto"/>
        <w:jc w:val="right"/>
        <w:bidi/>
      </w:pPr>
      <w:r>
        <w:rPr>
          <w:rFonts w:ascii="Arial" w:hAnsi="Arial"/>
          <w:sz w:val="16"/>
        </w:rPr>
        <w:t>099.24  انعطاف‌پذیری به نیروی هوایی اجازه می‌دهد سریع و قاطعانه از یک هدف JFC به هدف دیگر تغییر کند. نقش آفرینی سریع دارایی‌ها از یک مأموریت از پیش برنامه‌ریزی شده برای حمایت از یک نیاز پیش بینی نشده.</w:t>
      </w:r>
    </w:p>
    <w:p>
      <w:pPr>
        <w:spacing w:after="28" w:line="216" w:lineRule="auto"/>
        <w:ind w:left="259"/>
        <w:jc w:val="left"/>
      </w:pPr>
      <w:r>
        <w:rPr>
          <w:rFonts w:ascii="Arial" w:hAnsi="Arial"/>
          <w:color w:val="525252"/>
          <w:sz w:val="13"/>
        </w:rPr>
        <w:t>Flexibility allows airpower to shift from one JFC objective to another, quickly and decisively; to re-role assets quickly from a preplanned mission to support an unanticipated need.</w:t>
      </w:r>
    </w:p>
    <w:p>
      <w:pPr>
        <w:spacing w:after="20" w:line="223" w:lineRule="auto"/>
        <w:jc w:val="right"/>
        <w:bidi/>
      </w:pPr>
      <w:r>
        <w:rPr>
          <w:rFonts w:ascii="Arial" w:hAnsi="Arial"/>
          <w:sz w:val="16"/>
        </w:rPr>
        <w:t>099.25  تطبیق پذیری توانایی به‌کارگیری نیروی هوایی به‌طور مؤثر در سطوح استراتژیک، عملیاتی و تاکتیکی جنگ و ارائه طیف گسترده‌ای از وظایف در هماهنگی با سایر عناصر مشترک است.</w:t>
      </w:r>
    </w:p>
    <w:p>
      <w:pPr>
        <w:spacing w:after="28" w:line="216" w:lineRule="auto"/>
        <w:ind w:left="259"/>
        <w:jc w:val="left"/>
      </w:pPr>
      <w:r>
        <w:rPr>
          <w:rFonts w:ascii="Arial" w:hAnsi="Arial"/>
          <w:color w:val="525252"/>
          <w:sz w:val="13"/>
        </w:rPr>
        <w:t>Versatility is the ability to employ airpower effectively at the strategic, operational, and tactical levels of war and provide a wide variety of tasks in concert with other joint elements.</w:t>
      </w:r>
    </w:p>
    <w:p>
      <w:pPr>
        <w:spacing w:after="20" w:line="223" w:lineRule="auto"/>
        <w:jc w:val="right"/>
        <w:bidi/>
      </w:pPr>
      <w:r>
        <w:rPr>
          <w:rFonts w:ascii="Arial" w:hAnsi="Arial"/>
          <w:sz w:val="16"/>
        </w:rPr>
        <w:t>099.26  قابلیت‌های فضای سایبری به‌ویژه قادر به پشتیبانی همزمان از چندین وظیفه در سراسر جهان و پشتیبانی از وظایف در تمام سطوح جنگ هستند.</w:t>
      </w:r>
    </w:p>
    <w:p>
      <w:pPr>
        <w:spacing w:after="28" w:line="216" w:lineRule="auto"/>
        <w:ind w:left="259"/>
        <w:jc w:val="left"/>
      </w:pPr>
      <w:r>
        <w:rPr>
          <w:rFonts w:ascii="Arial" w:hAnsi="Arial"/>
          <w:color w:val="525252"/>
          <w:sz w:val="13"/>
        </w:rPr>
        <w:t>Cyberspace capabilities are especially able to simultaneously support multiple taskings around the globe and support tasks at all levels of warfare.</w:t>
      </w:r>
    </w:p>
    <w:p>
      <w:pPr>
        <w:spacing w:after="20" w:line="223" w:lineRule="auto"/>
        <w:jc w:val="right"/>
        <w:bidi/>
      </w:pPr>
      <w:r>
        <w:rPr>
          <w:rFonts w:ascii="Arial" w:hAnsi="Arial"/>
          <w:sz w:val="16"/>
        </w:rPr>
        <w:t>099.27  اثرات هم افزایی.</w:t>
      </w:r>
    </w:p>
    <w:p>
      <w:pPr>
        <w:spacing w:after="28" w:line="216" w:lineRule="auto"/>
        <w:ind w:left="259"/>
        <w:jc w:val="left"/>
      </w:pPr>
      <w:r>
        <w:rPr>
          <w:rFonts w:ascii="Arial" w:hAnsi="Arial"/>
          <w:color w:val="525252"/>
          <w:sz w:val="13"/>
        </w:rPr>
        <w:t>Synergistic Effects.</w:t>
      </w:r>
    </w:p>
    <w:p>
      <w:pPr>
        <w:spacing w:after="20" w:line="223" w:lineRule="auto"/>
        <w:jc w:val="right"/>
        <w:bidi/>
      </w:pPr>
      <w:r>
        <w:rPr>
          <w:rFonts w:ascii="Arial" w:hAnsi="Arial"/>
          <w:sz w:val="16"/>
        </w:rPr>
        <w:t>099.28  کاربرد مناسب و هم افزایی یک نیروی هماهنگ در چندین حوزه می‌تواند اثرات مطلوبی را ایجاد کند که از سهم نیروهایی که در غیر این صورت به صورت جداگانه به کار می‌روند فراتر می‌رود.</w:t>
      </w:r>
    </w:p>
    <w:p>
      <w:pPr>
        <w:spacing w:after="28" w:line="216" w:lineRule="auto"/>
        <w:ind w:left="259"/>
        <w:jc w:val="left"/>
      </w:pPr>
      <w:r>
        <w:rPr>
          <w:rFonts w:ascii="Arial" w:hAnsi="Arial"/>
          <w:color w:val="525252"/>
          <w:sz w:val="13"/>
        </w:rPr>
        <w:t>The proper, synergistic application of a coordinated force across multiple domains can produce desired effects that exceed the contributions of forces otherwise employed individually.</w:t>
      </w:r>
    </w:p>
    <w:p>
      <w:pPr>
        <w:spacing w:after="20" w:line="223" w:lineRule="auto"/>
        <w:jc w:val="right"/>
        <w:bidi/>
      </w:pPr>
      <w:r>
        <w:rPr>
          <w:rFonts w:ascii="Arial" w:hAnsi="Arial"/>
          <w:sz w:val="16"/>
        </w:rPr>
        <w:t>099.29  به جای ایجاد انهدام تعداد زیادی از اهداف از طریق جنگ فرسایشی، هدف از دستیابی به اثرات هم افزایی، به‌کارگیری دقیق و هماهنگ عناصر مختلف نیروی هوایی و سطحی برای اعمال فشار نامتناسب بر رهبران دشمن برای انطباق با اراده ملی ما (تأثیر گذاشتن بر نیت آنها بر توانایی نیروهای دشمن) است.</w:t>
      </w:r>
    </w:p>
    <w:p>
      <w:pPr>
        <w:spacing w:after="28" w:line="216" w:lineRule="auto"/>
        <w:ind w:left="259"/>
        <w:jc w:val="left"/>
      </w:pPr>
      <w:r>
        <w:rPr>
          <w:rFonts w:ascii="Arial" w:hAnsi="Arial"/>
          <w:color w:val="525252"/>
          <w:sz w:val="13"/>
        </w:rPr>
        <w:t>Rather than causing the destruction of a large number of targets through attrition warfare, the objective of achieving synergistic effects is the precise, coordinated application of the various elements of airpower and surface power to bring disproportionate pressure upon enemy leaders to comply with our national will (affecting their intent) or to cause functional defeat of the enemy forces (affecting their capability).</w:t>
      </w:r>
    </w:p>
    <w:p>
      <w:pPr>
        <w:spacing w:after="20" w:line="223" w:lineRule="auto"/>
        <w:jc w:val="right"/>
        <w:bidi/>
      </w:pPr>
      <w:r>
        <w:rPr>
          <w:rFonts w:ascii="Arial" w:hAnsi="Arial"/>
          <w:sz w:val="16"/>
        </w:rPr>
        <w:t>099.30  توان هوایی در توانایی خود در دیکته کردن سرعت و</w:t>
      </w:r>
    </w:p>
    <w:p>
      <w:pPr>
        <w:spacing w:after="28" w:line="216" w:lineRule="auto"/>
        <w:ind w:left="259"/>
        <w:jc w:val="left"/>
      </w:pPr>
      <w:r>
        <w:rPr>
          <w:rFonts w:ascii="Arial" w:hAnsi="Arial"/>
          <w:color w:val="525252"/>
          <w:sz w:val="13"/>
        </w:rPr>
        <w:t>Airpower is unique in its ability to dictate the tempo and</w:t>
      </w:r>
    </w:p>
    <w:p>
      <w:r>
        <w:br w:type="page"/>
      </w:r>
    </w:p>
    <w:p>
      <w:pPr>
        <w:spacing w:after="60"/>
        <w:jc w:val="right"/>
        <w:bidi/>
      </w:pPr>
      <w:r>
        <w:rPr>
          <w:rFonts w:ascii="Arial" w:hAnsi="Arial"/>
          <w:b/>
          <w:color w:val="1F4D78"/>
          <w:sz w:val="19"/>
        </w:rPr>
        <w:t>هفتهٔ 100  |  صفحهٔ منبع: 116</w:t>
      </w:r>
    </w:p>
    <w:p>
      <w:pPr>
        <w:spacing w:after="20" w:line="223" w:lineRule="auto"/>
        <w:jc w:val="right"/>
        <w:bidi/>
      </w:pPr>
      <w:r>
        <w:rPr>
          <w:rFonts w:ascii="Arial" w:hAnsi="Arial"/>
          <w:sz w:val="16"/>
        </w:rPr>
        <w:t>100.01  جهت کل یک تلاش جنگی بدون توجه به مقیاس عملیات.</w:t>
      </w:r>
    </w:p>
    <w:p>
      <w:pPr>
        <w:spacing w:after="28" w:line="216" w:lineRule="auto"/>
        <w:ind w:left="259"/>
        <w:jc w:val="left"/>
      </w:pPr>
      <w:r>
        <w:rPr>
          <w:rFonts w:ascii="Arial" w:hAnsi="Arial"/>
          <w:color w:val="525252"/>
          <w:sz w:val="13"/>
        </w:rPr>
        <w:t>direction of an entire warfighting effort regardless of the scale of the operation.</w:t>
      </w:r>
    </w:p>
    <w:p>
      <w:pPr>
        <w:spacing w:after="20" w:line="223" w:lineRule="auto"/>
        <w:jc w:val="right"/>
        <w:bidi/>
      </w:pPr>
      <w:r>
        <w:rPr>
          <w:rFonts w:ascii="Arial" w:hAnsi="Arial"/>
          <w:sz w:val="16"/>
        </w:rPr>
        <w:t>100.02  پایداری.</w:t>
      </w:r>
    </w:p>
    <w:p>
      <w:pPr>
        <w:spacing w:after="28" w:line="216" w:lineRule="auto"/>
        <w:ind w:left="259"/>
        <w:jc w:val="left"/>
      </w:pPr>
      <w:r>
        <w:rPr>
          <w:rFonts w:ascii="Arial" w:hAnsi="Arial"/>
          <w:color w:val="525252"/>
          <w:sz w:val="13"/>
        </w:rPr>
        <w:t>Persistence.</w:t>
      </w:r>
    </w:p>
    <w:p>
      <w:pPr>
        <w:spacing w:after="20" w:line="223" w:lineRule="auto"/>
        <w:jc w:val="right"/>
        <w:bidi/>
      </w:pPr>
      <w:r>
        <w:rPr>
          <w:rFonts w:ascii="Arial" w:hAnsi="Arial"/>
          <w:sz w:val="16"/>
        </w:rPr>
        <w:t>100.03  عملیات نیروی هوایی ممکن است به‌طور مداوم علیه طیف وسیعی از اهداف، با تداوم انجام شود.</w:t>
      </w:r>
    </w:p>
    <w:p>
      <w:pPr>
        <w:spacing w:after="28" w:line="216" w:lineRule="auto"/>
        <w:ind w:left="259"/>
        <w:jc w:val="left"/>
      </w:pPr>
      <w:r>
        <w:rPr>
          <w:rFonts w:ascii="Arial" w:hAnsi="Arial"/>
          <w:color w:val="525252"/>
          <w:sz w:val="13"/>
        </w:rPr>
        <w:t>Airpower operations may be conducted continuously against a broad spectrum of targets, with persistence.</w:t>
      </w:r>
    </w:p>
    <w:p>
      <w:pPr>
        <w:spacing w:after="20" w:line="223" w:lineRule="auto"/>
        <w:jc w:val="right"/>
        <w:bidi/>
      </w:pPr>
      <w:r>
        <w:rPr>
          <w:rFonts w:ascii="Arial" w:hAnsi="Arial"/>
          <w:sz w:val="16"/>
        </w:rPr>
        <w:t>100.04  سرعت و برد استثنایی توان هوایی به نیروهایش اجازه می‌دهد محدوده وسیعی از اهداف یا مناطق را تقریبا به میل خود و با عزم بازدید و بازبینی کنند.</w:t>
      </w:r>
    </w:p>
    <w:p>
      <w:pPr>
        <w:spacing w:after="28" w:line="216" w:lineRule="auto"/>
        <w:ind w:left="259"/>
        <w:jc w:val="left"/>
      </w:pPr>
      <w:r>
        <w:rPr>
          <w:rFonts w:ascii="Arial" w:hAnsi="Arial"/>
          <w:color w:val="525252"/>
          <w:sz w:val="13"/>
        </w:rPr>
        <w:t>Airpower’s exceptional speed and range allow its forces to visit and revisit wide ranges of targets or territories nearly at will, and with resolve.</w:t>
      </w:r>
    </w:p>
    <w:p>
      <w:pPr>
        <w:spacing w:after="20" w:line="223" w:lineRule="auto"/>
        <w:jc w:val="right"/>
        <w:bidi/>
      </w:pPr>
      <w:r>
        <w:rPr>
          <w:rFonts w:ascii="Arial" w:hAnsi="Arial"/>
          <w:sz w:val="16"/>
        </w:rPr>
        <w:t>100.05  لازم نیست که نیروی هوایی زمین را اشغال کند یا دائما در مجاورت مناطق عملیاتی باقی بماند تا پاسخی قدرتمند داشته باشد.</w:t>
      </w:r>
    </w:p>
    <w:p>
      <w:pPr>
        <w:spacing w:after="28" w:line="216" w:lineRule="auto"/>
        <w:ind w:left="259"/>
        <w:jc w:val="left"/>
      </w:pPr>
      <w:r>
        <w:rPr>
          <w:rFonts w:ascii="Arial" w:hAnsi="Arial"/>
          <w:color w:val="525252"/>
          <w:sz w:val="13"/>
        </w:rPr>
        <w:t>Airpower does not have to occupy terrain or remain constantly in proximity to areas of operation to bring a powerful response.</w:t>
      </w:r>
    </w:p>
    <w:p>
      <w:pPr>
        <w:spacing w:after="20" w:line="223" w:lineRule="auto"/>
        <w:jc w:val="right"/>
        <w:bidi/>
      </w:pPr>
      <w:r>
        <w:rPr>
          <w:rFonts w:ascii="Arial" w:hAnsi="Arial"/>
          <w:sz w:val="16"/>
        </w:rPr>
        <w:t>100.06  سیستم‌های هواپیمای بدون سرنشین امکانات مشابهی را از جو ارائه می‌دهند.</w:t>
      </w:r>
    </w:p>
    <w:p>
      <w:pPr>
        <w:spacing w:after="28" w:line="216" w:lineRule="auto"/>
        <w:ind w:left="259"/>
        <w:jc w:val="left"/>
      </w:pPr>
      <w:r>
        <w:rPr>
          <w:rFonts w:ascii="Arial" w:hAnsi="Arial"/>
          <w:color w:val="525252"/>
          <w:sz w:val="13"/>
        </w:rPr>
        <w:t>Unmanned aircraft systems offer similar possibilities from the atmosphere.</w:t>
      </w:r>
    </w:p>
    <w:p>
      <w:pPr>
        <w:spacing w:after="20" w:line="223" w:lineRule="auto"/>
        <w:jc w:val="right"/>
        <w:bidi/>
      </w:pPr>
      <w:r>
        <w:rPr>
          <w:rFonts w:ascii="Arial" w:hAnsi="Arial"/>
          <w:sz w:val="16"/>
        </w:rPr>
        <w:t>100.07  پایداری فشار را بر دشمن حفظ می‌کند و توانایی دور زدن اثرات استراتژیک را از دشمن سلب می‌کند.</w:t>
      </w:r>
    </w:p>
    <w:p>
      <w:pPr>
        <w:spacing w:after="28" w:line="216" w:lineRule="auto"/>
        <w:ind w:left="259"/>
        <w:jc w:val="left"/>
      </w:pPr>
      <w:r>
        <w:rPr>
          <w:rFonts w:ascii="Arial" w:hAnsi="Arial"/>
          <w:color w:val="525252"/>
          <w:sz w:val="13"/>
        </w:rPr>
        <w:t>Persistence keeps pressure on and denies the enemy the ability to circumvent strategic effects.</w:t>
      </w:r>
    </w:p>
    <w:p>
      <w:pPr>
        <w:spacing w:after="20" w:line="223" w:lineRule="auto"/>
        <w:jc w:val="right"/>
        <w:bidi/>
      </w:pPr>
      <w:r>
        <w:rPr>
          <w:rFonts w:ascii="Arial" w:hAnsi="Arial"/>
          <w:sz w:val="16"/>
        </w:rPr>
        <w:t>100.08  تظاهرات عملیات مداوم می‌تواند از حفظ جریان مداوم مواد تا مناطق آسیب‌دیده در زمان صلح متغیر باشد. قابلیت‌های اطلاعاتی، نظارتی و شناسایی برای نظارت بر دشمنان؛ اطمینان از اینکه اهداف به‌طور مستمر از کارکرد خارج می‌شوند. یا حصول اطمینان از اینکه منابع و امکانات در یک زمان معین از دشمن محروم می‌شوند یا در اختیار یک متحد قرار می‌گیرند.</w:t>
      </w:r>
    </w:p>
    <w:p>
      <w:pPr>
        <w:spacing w:after="28" w:line="216" w:lineRule="auto"/>
        <w:ind w:left="259"/>
        <w:jc w:val="left"/>
      </w:pPr>
      <w:r>
        <w:rPr>
          <w:rFonts w:ascii="Arial" w:hAnsi="Arial"/>
          <w:color w:val="525252"/>
          <w:sz w:val="13"/>
        </w:rPr>
        <w:t>Demonstrations of persistent operations could range from maintaining a continuous flow of materiel to peacetime distressed areas; intelligence, surveillance, and reconnaissance capabilities monitoring adversaries; assuring targets are kept continually out of commission; or ensuring resources and facilities are denied an enemy or provided to an ally during a specified time.</w:t>
      </w:r>
    </w:p>
    <w:p>
      <w:pPr>
        <w:spacing w:after="20" w:line="223" w:lineRule="auto"/>
        <w:jc w:val="right"/>
        <w:bidi/>
      </w:pPr>
      <w:r>
        <w:rPr>
          <w:rFonts w:ascii="Arial" w:hAnsi="Arial"/>
          <w:sz w:val="16"/>
        </w:rPr>
        <w:t>100.09  نتیجه نهایی این خواهد بود که فرصتی را از حریف برای به دست گرفتن ابتکار عمل و انجام مستقیم وظایف محول شده دریغ نکنیم.</w:t>
      </w:r>
    </w:p>
    <w:p>
      <w:pPr>
        <w:spacing w:after="28" w:line="216" w:lineRule="auto"/>
        <w:ind w:left="259"/>
        <w:jc w:val="left"/>
      </w:pPr>
      <w:r>
        <w:rPr>
          <w:rFonts w:ascii="Arial" w:hAnsi="Arial"/>
          <w:color w:val="525252"/>
          <w:sz w:val="13"/>
        </w:rPr>
        <w:t>The end result would be to deny the opponent an opportunity to seize the initiative and to directly accomplish assigned tasks.</w:t>
      </w:r>
    </w:p>
    <w:p>
      <w:pPr>
        <w:spacing w:after="20" w:line="223" w:lineRule="auto"/>
        <w:jc w:val="right"/>
        <w:bidi/>
      </w:pPr>
      <w:r>
        <w:rPr>
          <w:rFonts w:ascii="Arial" w:hAnsi="Arial"/>
          <w:sz w:val="16"/>
        </w:rPr>
        <w:t>100.10  تمرکز.</w:t>
      </w:r>
    </w:p>
    <w:p>
      <w:pPr>
        <w:spacing w:after="28" w:line="216" w:lineRule="auto"/>
        <w:ind w:left="259"/>
        <w:jc w:val="left"/>
      </w:pPr>
      <w:r>
        <w:rPr>
          <w:rFonts w:ascii="Arial" w:hAnsi="Arial"/>
          <w:color w:val="525252"/>
          <w:sz w:val="13"/>
        </w:rPr>
        <w:t>Concentration.</w:t>
      </w:r>
    </w:p>
    <w:p>
      <w:pPr>
        <w:spacing w:after="20" w:line="223" w:lineRule="auto"/>
        <w:jc w:val="right"/>
        <w:bidi/>
      </w:pPr>
      <w:r>
        <w:rPr>
          <w:rFonts w:ascii="Arial" w:hAnsi="Arial"/>
          <w:sz w:val="16"/>
        </w:rPr>
        <w:t>100.11  یکی از ثابت‌ترین و مهم‌ترین روندها در طول تاریخ نظامی، تلاش برای اعمال قدرت متمرکز و غالب در زمان و مکان تعیین‌کننده بوده است.</w:t>
      </w:r>
    </w:p>
    <w:p>
      <w:pPr>
        <w:spacing w:after="28" w:line="216" w:lineRule="auto"/>
        <w:ind w:left="259"/>
        <w:jc w:val="left"/>
      </w:pPr>
      <w:r>
        <w:rPr>
          <w:rFonts w:ascii="Arial" w:hAnsi="Arial"/>
          <w:color w:val="525252"/>
          <w:sz w:val="13"/>
        </w:rPr>
        <w:t>One of the most constant and important trends throughout military history has been the effort of applying concentrated, overwhelming power at the decisive time and place.</w:t>
      </w:r>
    </w:p>
    <w:p>
      <w:pPr>
        <w:spacing w:after="20" w:line="223" w:lineRule="auto"/>
        <w:jc w:val="right"/>
        <w:bidi/>
      </w:pPr>
      <w:r>
        <w:rPr>
          <w:rFonts w:ascii="Arial" w:hAnsi="Arial"/>
          <w:sz w:val="16"/>
        </w:rPr>
        <w:t>100.12  از آنجایی که انعطاف‌پذیری قدرت هوایی، با کشندگی، سرعت و پایداری آن، آن را به گزینه‌ای جذاب برای بسیاری از وظایف تبدیل می‌کند، تقاضا اغلب از نیروهای موجود فراتر می‌رود.</w:t>
      </w:r>
    </w:p>
    <w:p>
      <w:pPr>
        <w:spacing w:after="28" w:line="216" w:lineRule="auto"/>
        <w:ind w:left="259"/>
        <w:jc w:val="left"/>
      </w:pPr>
      <w:r>
        <w:rPr>
          <w:rFonts w:ascii="Arial" w:hAnsi="Arial"/>
          <w:color w:val="525252"/>
          <w:sz w:val="13"/>
        </w:rPr>
        <w:t>Because the versatility of airpower, with its lethality, speed, and persistence, makes it an attractive option for many tasks, the demand often exceeds the available forces.</w:t>
      </w:r>
    </w:p>
    <w:p>
      <w:pPr>
        <w:spacing w:after="20" w:line="223" w:lineRule="auto"/>
        <w:jc w:val="right"/>
        <w:bidi/>
      </w:pPr>
      <w:r>
        <w:rPr>
          <w:rFonts w:ascii="Arial" w:hAnsi="Arial"/>
          <w:sz w:val="16"/>
        </w:rPr>
        <w:t>100.13  بدون تمرکز تلاش‌ها، تکه تکه شدن تلاش یکپارچه نیروی هوایی ممکن است در تلاش برای برآورده کردن بسیاری از خواسته‌های مأموریت رخ دهد.</w:t>
      </w:r>
    </w:p>
    <w:p>
      <w:pPr>
        <w:spacing w:after="28" w:line="216" w:lineRule="auto"/>
        <w:ind w:left="259"/>
        <w:jc w:val="left"/>
      </w:pPr>
      <w:r>
        <w:rPr>
          <w:rFonts w:ascii="Arial" w:hAnsi="Arial"/>
          <w:color w:val="525252"/>
          <w:sz w:val="13"/>
        </w:rPr>
        <w:t>Without concentration of efforts, fragmentation of the integrated airpower effort could occur in attempts to fulfill the many demands of the mission.</w:t>
      </w:r>
    </w:p>
    <w:p>
      <w:pPr>
        <w:spacing w:after="20" w:line="223" w:lineRule="auto"/>
        <w:jc w:val="right"/>
        <w:bidi/>
      </w:pPr>
      <w:r>
        <w:rPr>
          <w:rFonts w:ascii="Arial" w:hAnsi="Arial"/>
          <w:sz w:val="16"/>
        </w:rPr>
        <w:t>100.14  برای جلوگیری از خطر سه گانه عدم دستیابی به اهداف در سطح عملیاتی، تأخیر یا کاهش دستیابی به اثرات تعیین کننده و افزایش نرخ ساییدگی نیرو، هوانوردان باید از رقیق شدن ناخواسته تأثیرات نیروی هوایی ناشی از تقاضای بالا محافظت کنند و توانایی به‌کارگیری بیشتر تلاش‌های متمرکز را حفظ کنند.</w:t>
      </w:r>
    </w:p>
    <w:p>
      <w:pPr>
        <w:spacing w:after="28" w:line="216" w:lineRule="auto"/>
        <w:ind w:left="259"/>
        <w:jc w:val="left"/>
      </w:pPr>
      <w:r>
        <w:rPr>
          <w:rFonts w:ascii="Arial" w:hAnsi="Arial"/>
          <w:color w:val="525252"/>
          <w:sz w:val="13"/>
        </w:rPr>
        <w:t>To prevent the triple risk of failing to achieve operational-level objectives, delaying, or diminishing the attainment of decisive effects, and increasing the attrition rate of the force, Airmen should guard against the inadvertent dilution of airpower effects resulting from high demand and maintain the capability of employing concentrated efforts when most applicable.</w:t>
      </w:r>
    </w:p>
    <w:p>
      <w:pPr>
        <w:spacing w:after="20" w:line="223" w:lineRule="auto"/>
        <w:jc w:val="right"/>
        <w:bidi/>
      </w:pPr>
      <w:r>
        <w:rPr>
          <w:rFonts w:ascii="Arial" w:hAnsi="Arial"/>
          <w:sz w:val="16"/>
        </w:rPr>
        <w:t>100.15  اولویت.</w:t>
      </w:r>
    </w:p>
    <w:p>
      <w:pPr>
        <w:spacing w:after="28" w:line="216" w:lineRule="auto"/>
        <w:ind w:left="259"/>
        <w:jc w:val="left"/>
      </w:pPr>
      <w:r>
        <w:rPr>
          <w:rFonts w:ascii="Arial" w:hAnsi="Arial"/>
          <w:color w:val="525252"/>
          <w:sz w:val="13"/>
        </w:rPr>
        <w:t>Priority.</w:t>
      </w:r>
    </w:p>
    <w:p>
      <w:pPr>
        <w:spacing w:after="20" w:line="223" w:lineRule="auto"/>
        <w:jc w:val="right"/>
        <w:bidi/>
      </w:pPr>
      <w:r>
        <w:rPr>
          <w:rFonts w:ascii="Arial" w:hAnsi="Arial"/>
          <w:sz w:val="16"/>
        </w:rPr>
        <w:t>100.16  استفاده از نیروی هوایی باید بین توانایی آن برای انجام عملیات در تمام سطوح جنگ، اغلب به‌طور همزمان، متعادل باشد.</w:t>
      </w:r>
    </w:p>
    <w:p>
      <w:pPr>
        <w:spacing w:after="28" w:line="216" w:lineRule="auto"/>
        <w:ind w:left="259"/>
        <w:jc w:val="left"/>
      </w:pPr>
      <w:r>
        <w:rPr>
          <w:rFonts w:ascii="Arial" w:hAnsi="Arial"/>
          <w:color w:val="525252"/>
          <w:sz w:val="13"/>
        </w:rPr>
        <w:t>The application of airpower should be balanced among its ability to conduct operations at all levels of war, often simultaneously.</w:t>
      </w:r>
    </w:p>
    <w:p>
      <w:pPr>
        <w:spacing w:after="20" w:line="223" w:lineRule="auto"/>
        <w:jc w:val="right"/>
        <w:bidi/>
      </w:pPr>
      <w:r>
        <w:rPr>
          <w:rFonts w:ascii="Arial" w:hAnsi="Arial"/>
          <w:sz w:val="16"/>
        </w:rPr>
        <w:t>100.17  فرماندهان همه اجزا و همه سطوح باید اولویت‌های روشنی را برای استفاده از نیروی هوایی تعیین کنند تا به‌طور مؤثر الزامات خود را برای اثرات هماهنگ شده نیروی هوایی اولویت‌بندی کنند.</w:t>
      </w:r>
    </w:p>
    <w:p>
      <w:pPr>
        <w:spacing w:after="28" w:line="216" w:lineRule="auto"/>
        <w:ind w:left="259"/>
        <w:jc w:val="left"/>
      </w:pPr>
      <w:r>
        <w:rPr>
          <w:rFonts w:ascii="Arial" w:hAnsi="Arial"/>
          <w:color w:val="525252"/>
          <w:sz w:val="13"/>
        </w:rPr>
        <w:t>Commanders of all components and all levels should establish clear priorities for the use of airpower to effectively prioritize their requirements for coordinated airpower effects.</w:t>
      </w:r>
    </w:p>
    <w:p>
      <w:pPr>
        <w:spacing w:after="20" w:line="223" w:lineRule="auto"/>
        <w:jc w:val="right"/>
        <w:bidi/>
      </w:pPr>
      <w:r>
        <w:rPr>
          <w:rFonts w:ascii="Arial" w:hAnsi="Arial"/>
          <w:sz w:val="16"/>
        </w:rPr>
        <w:t>100.18  فرمانده بخش هوایی باید کاربردهای احتمالی نیروهای جزء و نقاط قوت و قابلیت‌های آنها را برای حمایت از کمپین کلی مشترک ارزیابی کند.</w:t>
      </w:r>
    </w:p>
    <w:p>
      <w:pPr>
        <w:spacing w:after="28" w:line="216" w:lineRule="auto"/>
        <w:ind w:left="259"/>
        <w:jc w:val="left"/>
      </w:pPr>
      <w:r>
        <w:rPr>
          <w:rFonts w:ascii="Arial" w:hAnsi="Arial"/>
          <w:color w:val="525252"/>
          <w:sz w:val="13"/>
        </w:rPr>
        <w:t>The air component commander should assess the possible uses of component forces and their strengths and capabilities to support the overall joint campaign.</w:t>
      </w:r>
    </w:p>
    <w:p>
      <w:pPr>
        <w:spacing w:after="20" w:line="223" w:lineRule="auto"/>
        <w:jc w:val="right"/>
        <w:bidi/>
      </w:pPr>
      <w:r>
        <w:rPr>
          <w:rFonts w:ascii="Arial" w:hAnsi="Arial"/>
          <w:sz w:val="16"/>
        </w:rPr>
        <w:t>100.19  منابع محدود مستلزم آن است که از نیروی هوایی در جایی استفاده شود که بتواند بیشترین سهم را در حیاتی‌ترین نیازهای فعلی فرمانده نیروی مشترک داشته باشد.</w:t>
      </w:r>
    </w:p>
    <w:p>
      <w:pPr>
        <w:spacing w:after="28" w:line="216" w:lineRule="auto"/>
        <w:ind w:left="259"/>
        <w:jc w:val="left"/>
      </w:pPr>
      <w:r>
        <w:rPr>
          <w:rFonts w:ascii="Arial" w:hAnsi="Arial"/>
          <w:color w:val="525252"/>
          <w:sz w:val="13"/>
        </w:rPr>
        <w:t>Limited resources require that airpower be applied where it can make the greatest contribution to the most critical current joint force commander requirements.</w:t>
      </w:r>
    </w:p>
    <w:p>
      <w:pPr>
        <w:spacing w:after="20" w:line="223" w:lineRule="auto"/>
        <w:jc w:val="right"/>
        <w:bidi/>
      </w:pPr>
      <w:r>
        <w:rPr>
          <w:rFonts w:ascii="Arial" w:hAnsi="Arial"/>
          <w:sz w:val="16"/>
        </w:rPr>
        <w:t>100.20  موجودی.</w:t>
      </w:r>
    </w:p>
    <w:p>
      <w:pPr>
        <w:spacing w:after="28" w:line="216" w:lineRule="auto"/>
        <w:ind w:left="259"/>
        <w:jc w:val="left"/>
      </w:pPr>
      <w:r>
        <w:rPr>
          <w:rFonts w:ascii="Arial" w:hAnsi="Arial"/>
          <w:color w:val="525252"/>
          <w:sz w:val="13"/>
        </w:rPr>
        <w:t>Balance.</w:t>
      </w:r>
    </w:p>
    <w:p>
      <w:pPr>
        <w:spacing w:after="20" w:line="223" w:lineRule="auto"/>
        <w:jc w:val="right"/>
        <w:bidi/>
      </w:pPr>
      <w:r>
        <w:rPr>
          <w:rFonts w:ascii="Arial" w:hAnsi="Arial"/>
          <w:sz w:val="16"/>
        </w:rPr>
        <w:t>100.21  بسیاری از مهارت‌های یک فرمانده قطعات هوایی در تعادل پویا و صحیح اصول عملیات مشترک و اصول نیروی هوایی منعکس می‌شود.</w:t>
      </w:r>
    </w:p>
    <w:p>
      <w:pPr>
        <w:spacing w:after="28" w:line="216" w:lineRule="auto"/>
        <w:ind w:left="259"/>
        <w:jc w:val="left"/>
      </w:pPr>
      <w:r>
        <w:rPr>
          <w:rFonts w:ascii="Arial" w:hAnsi="Arial"/>
          <w:color w:val="525252"/>
          <w:sz w:val="13"/>
        </w:rPr>
        <w:t>Much of the skill of an air component commander is reflected in the dynamic and correct balancing of the principles of joint operations and the tenets of airpower.</w:t>
      </w:r>
    </w:p>
    <w:p>
      <w:pPr>
        <w:spacing w:after="20" w:line="223" w:lineRule="auto"/>
        <w:jc w:val="right"/>
        <w:bidi/>
      </w:pPr>
      <w:r>
        <w:rPr>
          <w:rFonts w:ascii="Arial" w:hAnsi="Arial"/>
          <w:sz w:val="16"/>
        </w:rPr>
        <w:t>100.22  یک فرمانده جزء هوایی باید فرصت‌های رزمی، ضرورت، اثربخشی، کارآیی و تأثیر بر تحقق اهداف تعیین شده را در برابر خطرات مربوط به نیروهای دوست متعادل کند.</w:t>
      </w:r>
    </w:p>
    <w:p>
      <w:pPr>
        <w:spacing w:after="28" w:line="216" w:lineRule="auto"/>
        <w:ind w:left="259"/>
        <w:jc w:val="left"/>
      </w:pPr>
      <w:r>
        <w:rPr>
          <w:rFonts w:ascii="Arial" w:hAnsi="Arial"/>
          <w:color w:val="525252"/>
          <w:sz w:val="13"/>
        </w:rPr>
        <w:t>An air component commander should balance combat opportunity, necessity, effectiveness, efficiency, and the impact on accomplishing assigned objectives against the associated risk to friendly forces.</w:t>
      </w:r>
    </w:p>
    <w:p>
      <w:pPr>
        <w:spacing w:after="20" w:line="223" w:lineRule="auto"/>
        <w:jc w:val="right"/>
        <w:bidi/>
      </w:pPr>
      <w:r>
        <w:rPr>
          <w:rFonts w:ascii="Arial" w:hAnsi="Arial"/>
          <w:sz w:val="16"/>
        </w:rPr>
        <w:t>100.23  یک عضو نیروی هوایی به‌طور منحصر به فرد و بهترین گزینه برای تعیین تعادل مناسب در سطح تئاتر بین عملیات هوایی تهاجمی و دفاعی و در بین برنامه‌های استراتژیک، عملیاتی و تاکتیکی است.</w:t>
      </w:r>
    </w:p>
    <w:p>
      <w:pPr>
        <w:spacing w:after="28" w:line="216" w:lineRule="auto"/>
        <w:ind w:left="259"/>
        <w:jc w:val="left"/>
      </w:pPr>
      <w:r>
        <w:rPr>
          <w:rFonts w:ascii="Arial" w:hAnsi="Arial"/>
          <w:color w:val="525252"/>
          <w:sz w:val="13"/>
        </w:rPr>
        <w:t>An Airman is uniquely and best suited to determine the proper theater-wide balance between offensive and defensive air operations, and among strategic, operational, and tactical applications.</w:t>
      </w:r>
    </w:p>
    <w:p>
      <w:pPr>
        <w:spacing w:after="20" w:line="223" w:lineRule="auto"/>
        <w:jc w:val="right"/>
        <w:bidi/>
      </w:pPr>
      <w:r>
        <w:rPr>
          <w:rFonts w:ascii="Arial" w:hAnsi="Arial"/>
          <w:sz w:val="16"/>
        </w:rPr>
        <w:t>100.24  دارایی‌های نیروی هوایی معمولا فقط به تعداد محدود در دسترس هستند. بنابراین، تعادل یک عامل تعیین کننده برای الزامات مأموریت است.</w:t>
      </w:r>
    </w:p>
    <w:p>
      <w:pPr>
        <w:spacing w:after="28" w:line="216" w:lineRule="auto"/>
        <w:ind w:left="259"/>
        <w:jc w:val="left"/>
      </w:pPr>
      <w:r>
        <w:rPr>
          <w:rFonts w:ascii="Arial" w:hAnsi="Arial"/>
          <w:color w:val="525252"/>
          <w:sz w:val="13"/>
        </w:rPr>
        <w:t>Airpower assets are normally available only in finite numbers; thus, balance is a crucial determinant for mission requirements.</w:t>
      </w:r>
    </w:p>
    <w:p>
      <w:r>
        <w:br w:type="page"/>
      </w:r>
    </w:p>
    <w:p>
      <w:pPr>
        <w:spacing w:after="60"/>
        <w:jc w:val="right"/>
        <w:bidi/>
      </w:pPr>
      <w:r>
        <w:rPr>
          <w:rFonts w:ascii="Arial" w:hAnsi="Arial"/>
          <w:b/>
          <w:color w:val="1F4D78"/>
          <w:sz w:val="19"/>
        </w:rPr>
        <w:t>هفتهٔ 101  |  صفحهٔ منبع: 117</w:t>
      </w:r>
    </w:p>
    <w:p>
      <w:pPr>
        <w:spacing w:before="60" w:after="28"/>
        <w:jc w:val="right"/>
        <w:bidi/>
      </w:pPr>
      <w:r>
        <w:rPr>
          <w:b/>
          <w:color w:val="1F4D78"/>
          <w:sz w:val="18"/>
        </w:rPr>
        <w:t>بخش 6B-نیروی مشترک</w:t>
      </w:r>
    </w:p>
    <w:p>
      <w:pPr>
        <w:spacing w:after="20"/>
        <w:ind w:left="259"/>
        <w:jc w:val="left"/>
      </w:pPr>
      <w:r>
        <w:rPr>
          <w:color w:val="555555"/>
          <w:sz w:val="12"/>
        </w:rPr>
        <w:t>Section 6B—Joint Force</w:t>
      </w:r>
    </w:p>
    <w:p>
      <w:pPr>
        <w:spacing w:before="60" w:after="28"/>
        <w:jc w:val="right"/>
        <w:bidi/>
      </w:pPr>
      <w:r>
        <w:rPr>
          <w:b/>
          <w:color w:val="1F4D78"/>
          <w:sz w:val="18"/>
        </w:rPr>
        <w:t>6.6. تیم مشترک</w:t>
      </w:r>
    </w:p>
    <w:p>
      <w:pPr>
        <w:spacing w:after="20"/>
        <w:ind w:left="259"/>
        <w:jc w:val="left"/>
      </w:pPr>
      <w:r>
        <w:rPr>
          <w:color w:val="555555"/>
          <w:sz w:val="12"/>
        </w:rPr>
        <w:t>6.6. The Joint Team</w:t>
      </w:r>
    </w:p>
    <w:p>
      <w:pPr>
        <w:spacing w:after="20" w:line="223" w:lineRule="auto"/>
        <w:jc w:val="right"/>
        <w:bidi/>
      </w:pPr>
      <w:r>
        <w:rPr>
          <w:rFonts w:ascii="Arial" w:hAnsi="Arial"/>
          <w:sz w:val="16"/>
        </w:rPr>
        <w:t>101.03  توان هوایی موفقیت خود را در رویارویی با چالش‌های امنیتی داخلی و بین‌المللی با استفاده از قابلیت‌های مشترک مربوطه و به حداکثر رساندن نتایج هم افزایی نشان داده است.</w:t>
      </w:r>
    </w:p>
    <w:p>
      <w:pPr>
        <w:spacing w:after="28" w:line="216" w:lineRule="auto"/>
        <w:ind w:left="259"/>
        <w:jc w:val="left"/>
      </w:pPr>
      <w:r>
        <w:rPr>
          <w:rFonts w:ascii="Arial" w:hAnsi="Arial"/>
          <w:color w:val="525252"/>
          <w:sz w:val="13"/>
        </w:rPr>
        <w:t>Airpower has demonstrated its success to meet our homeland and international security challenges by leveraging our respective joint capabilities and maximizing synergistic results.</w:t>
      </w:r>
    </w:p>
    <w:p>
      <w:pPr>
        <w:spacing w:after="20" w:line="223" w:lineRule="auto"/>
        <w:jc w:val="right"/>
        <w:bidi/>
      </w:pPr>
      <w:r>
        <w:rPr>
          <w:rFonts w:ascii="Arial" w:hAnsi="Arial"/>
          <w:sz w:val="16"/>
        </w:rPr>
        <w:t>101.04  هدف از قابلیت‌هایی مانند عملیات فضای سایبری، تضمین توانایی ما برای عملیات در هر حوزه فضای سایبری مورد مناقشه برای پشتیبانی از مأموریت‌های حیاتی زمینی، دریایی، هوایی و فضایی با استفاده از قابلیت‌هایی برای محافظت از سیستم‌های ضروری فضای سایبری نظامی و تسریع بازیابی آنها در صورت وقوع حمله است.</w:t>
      </w:r>
    </w:p>
    <w:p>
      <w:pPr>
        <w:spacing w:after="28" w:line="216" w:lineRule="auto"/>
        <w:ind w:left="259"/>
        <w:jc w:val="left"/>
      </w:pPr>
      <w:r>
        <w:rPr>
          <w:rFonts w:ascii="Arial" w:hAnsi="Arial"/>
          <w:color w:val="525252"/>
          <w:sz w:val="13"/>
        </w:rPr>
        <w:t>Capabilities such as cyberspace operations aim to guarantee our capability to operate in any contested cyberspace domain to support vital land, maritime, air, and space missions by employing capabilities to protect essential military cyberspace systems and to speed their recovery if an attack does occur.</w:t>
      </w:r>
    </w:p>
    <w:p>
      <w:pPr>
        <w:spacing w:after="20" w:line="223" w:lineRule="auto"/>
        <w:jc w:val="right"/>
        <w:bidi/>
      </w:pPr>
      <w:r>
        <w:rPr>
          <w:rFonts w:ascii="Arial" w:hAnsi="Arial"/>
          <w:sz w:val="16"/>
        </w:rPr>
        <w:t>101.05  در حوزه‌های جنگی که به‌طور فزاینده‌ای وابسته به یکدیگر هستند، USAF دارای قابلیت‌های منحصربه‌فردی برای تضمین تحرک جهانی است. اعتصاب دوربرد؛ و اطلاعات، نظارت و شناسایی مؤثر.</w:t>
      </w:r>
    </w:p>
    <w:p>
      <w:pPr>
        <w:spacing w:after="28" w:line="216" w:lineRule="auto"/>
        <w:ind w:left="259"/>
        <w:jc w:val="left"/>
      </w:pPr>
      <w:r>
        <w:rPr>
          <w:rFonts w:ascii="Arial" w:hAnsi="Arial"/>
          <w:color w:val="525252"/>
          <w:sz w:val="13"/>
        </w:rPr>
        <w:t>In the increasingly interdependent warfighting domains, the USAF possesses unique capabilities for ensuring global mobility; long-range strike; and effective intelligence, surveillance, and reconnaissance.</w:t>
      </w:r>
    </w:p>
    <w:p>
      <w:pPr>
        <w:spacing w:after="20" w:line="223" w:lineRule="auto"/>
        <w:jc w:val="right"/>
        <w:bidi/>
      </w:pPr>
      <w:r>
        <w:rPr>
          <w:rFonts w:ascii="Arial" w:hAnsi="Arial"/>
          <w:sz w:val="16"/>
        </w:rPr>
        <w:t>101.06  اکنون به ندرت می‌بینیم که یک سرویس یا حتی یک کشور به‌طور یکجانبه عملیاتی را برنامه‌ریزی، سازماندهی یا اجرا کند.</w:t>
      </w:r>
    </w:p>
    <w:p>
      <w:pPr>
        <w:spacing w:after="28" w:line="216" w:lineRule="auto"/>
        <w:ind w:left="259"/>
        <w:jc w:val="left"/>
      </w:pPr>
      <w:r>
        <w:rPr>
          <w:rFonts w:ascii="Arial" w:hAnsi="Arial"/>
          <w:color w:val="525252"/>
          <w:sz w:val="13"/>
        </w:rPr>
        <w:t>We now rarely see any one Service or even any one country unilaterally plan, organize, or execute an operation.</w:t>
      </w:r>
    </w:p>
    <w:p>
      <w:pPr>
        <w:spacing w:after="20" w:line="223" w:lineRule="auto"/>
        <w:jc w:val="right"/>
        <w:bidi/>
      </w:pPr>
      <w:r>
        <w:rPr>
          <w:rFonts w:ascii="Arial" w:hAnsi="Arial"/>
          <w:sz w:val="16"/>
        </w:rPr>
        <w:t>101.07  در عوض، ما شاهد فراگیری بیشتر با شرکای مشترک، ائتلافی و گاهی اوقات بین سازمانی هستیم که به موجب آن برای موفقیت در محیط پیچیده امروزی به یکدیگر وابسته هستیم.</w:t>
      </w:r>
    </w:p>
    <w:p>
      <w:pPr>
        <w:spacing w:after="28" w:line="216" w:lineRule="auto"/>
        <w:ind w:left="259"/>
        <w:jc w:val="left"/>
      </w:pPr>
      <w:r>
        <w:rPr>
          <w:rFonts w:ascii="Arial" w:hAnsi="Arial"/>
          <w:color w:val="525252"/>
          <w:sz w:val="13"/>
        </w:rPr>
        <w:t>Instead, we see greater inclusiveness with joint, coalition, and sometimes interagency partners, whereby we depend on each other to succeed in today’s complex environment.</w:t>
      </w:r>
    </w:p>
    <w:p>
      <w:pPr>
        <w:spacing w:after="20" w:line="223" w:lineRule="auto"/>
        <w:jc w:val="right"/>
        <w:bidi/>
      </w:pPr>
      <w:r>
        <w:rPr>
          <w:rFonts w:ascii="Arial" w:hAnsi="Arial"/>
          <w:sz w:val="16"/>
        </w:rPr>
        <w:t>101.08  از طریق این وابستگی متقابل، نیروی مشترک می‌تواند منابع و قابلیت‌های مناسب را از هر شریک انتخاب کند.</w:t>
      </w:r>
    </w:p>
    <w:p>
      <w:pPr>
        <w:spacing w:after="28" w:line="216" w:lineRule="auto"/>
        <w:ind w:left="259"/>
        <w:jc w:val="left"/>
      </w:pPr>
      <w:r>
        <w:rPr>
          <w:rFonts w:ascii="Arial" w:hAnsi="Arial"/>
          <w:color w:val="525252"/>
          <w:sz w:val="13"/>
        </w:rPr>
        <w:t>Through this interdependence the joint force is able to select the right resources and capabilities from each partner.</w:t>
      </w:r>
    </w:p>
    <w:p>
      <w:pPr>
        <w:spacing w:after="20" w:line="223" w:lineRule="auto"/>
        <w:jc w:val="right"/>
        <w:bidi/>
      </w:pPr>
      <w:r>
        <w:rPr>
          <w:rFonts w:ascii="Arial" w:hAnsi="Arial"/>
          <w:sz w:val="16"/>
        </w:rPr>
        <w:t>101.09  این قابلیت‌ها فقط در صورت وقوع یک حادثه مورد استفاده قرار نمی‌گیرند، بلکه از طریق مکان‌هایی مانند تمرین‌ها و عملیات‌های زمان صلح هم افزایی و آزمایش می‌شوند تا اطمینان حاصل شود که همه شرکای مشترک، بین سازمانی و چند ملیتی می‌توانند به اهداف مورد نظر در زمان و مکان مناسب دست یابند.</w:t>
      </w:r>
    </w:p>
    <w:p>
      <w:pPr>
        <w:spacing w:after="28" w:line="216" w:lineRule="auto"/>
        <w:ind w:left="259"/>
        <w:jc w:val="left"/>
      </w:pPr>
      <w:r>
        <w:rPr>
          <w:rFonts w:ascii="Arial" w:hAnsi="Arial"/>
          <w:color w:val="525252"/>
          <w:sz w:val="13"/>
        </w:rPr>
        <w:t>These capabilities are not just used when a contingency arises but are synergized and tested through such venues as exercises and peacetime operations to ensure all joint, interagency, and multinational partners can achieve the desired objectives at the right time and right place.</w:t>
      </w:r>
    </w:p>
    <w:p>
      <w:pPr>
        <w:spacing w:after="20" w:line="223" w:lineRule="auto"/>
        <w:jc w:val="right"/>
        <w:bidi/>
      </w:pPr>
      <w:r>
        <w:rPr>
          <w:rFonts w:ascii="Arial" w:hAnsi="Arial"/>
          <w:sz w:val="16"/>
        </w:rPr>
        <w:t>101.10  عملیات مشترک.</w:t>
      </w:r>
    </w:p>
    <w:p>
      <w:pPr>
        <w:spacing w:after="28" w:line="216" w:lineRule="auto"/>
        <w:ind w:left="259"/>
        <w:jc w:val="left"/>
      </w:pPr>
      <w:r>
        <w:rPr>
          <w:rFonts w:ascii="Arial" w:hAnsi="Arial"/>
          <w:color w:val="525252"/>
          <w:sz w:val="13"/>
        </w:rPr>
        <w:t>Joint Operations.</w:t>
      </w:r>
    </w:p>
    <w:p>
      <w:pPr>
        <w:spacing w:after="20" w:line="223" w:lineRule="auto"/>
        <w:jc w:val="right"/>
        <w:bidi/>
      </w:pPr>
      <w:r>
        <w:rPr>
          <w:rFonts w:ascii="Arial" w:hAnsi="Arial"/>
          <w:sz w:val="16"/>
        </w:rPr>
        <w:t>101.11  اگرچه سرویس‌های فردی ممکن است برای انجام وظایف و مأموریت‌ها در حمایت از اهداف وزارت دفاع برنامه‌ریزی و اجرای عملیات کنند، وزارت دفاع معمولا حداقل دو سرویس از حداقل دو بخش نظامی را در یک عملیات واحد، به‌ویژه در نبرد، از طریق عملیات مشترک به کار می‌گیرد.</w:t>
      </w:r>
    </w:p>
    <w:p>
      <w:pPr>
        <w:spacing w:after="28" w:line="216" w:lineRule="auto"/>
        <w:ind w:left="259"/>
        <w:jc w:val="left"/>
      </w:pPr>
      <w:r>
        <w:rPr>
          <w:rFonts w:ascii="Arial" w:hAnsi="Arial"/>
          <w:color w:val="525252"/>
          <w:sz w:val="13"/>
        </w:rPr>
        <w:t>Although individual services may plan and conduct operations to accomplish tasks and missions in support of Department of Defense objectives, the Department of Defense more typically employs at least two services from at least two military departments in a single operation, particularly in combat, through joint operations.</w:t>
      </w:r>
    </w:p>
    <w:p>
      <w:pPr>
        <w:spacing w:after="20" w:line="223" w:lineRule="auto"/>
        <w:jc w:val="right"/>
        <w:bidi/>
      </w:pPr>
      <w:r>
        <w:rPr>
          <w:rFonts w:ascii="Arial" w:hAnsi="Arial"/>
          <w:sz w:val="16"/>
        </w:rPr>
        <w:t>101.12  عملیات مشترک اصطلاح کلی است که برای توصیف اقدامات نظامی انجام شده توسط نیروهای مشترک در روابط فرماندهی مشخص استفاده می‌شود.</w:t>
      </w:r>
    </w:p>
    <w:p>
      <w:pPr>
        <w:spacing w:after="28" w:line="216" w:lineRule="auto"/>
        <w:ind w:left="259"/>
        <w:jc w:val="left"/>
      </w:pPr>
      <w:r>
        <w:rPr>
          <w:rFonts w:ascii="Arial" w:hAnsi="Arial"/>
          <w:color w:val="525252"/>
          <w:sz w:val="13"/>
        </w:rPr>
        <w:t>A joint operation is the general term used to describe military actions conducted by joint forces in specified command relationships.</w:t>
      </w:r>
    </w:p>
    <w:p>
      <w:pPr>
        <w:spacing w:after="20" w:line="223" w:lineRule="auto"/>
        <w:jc w:val="right"/>
        <w:bidi/>
      </w:pPr>
      <w:r>
        <w:rPr>
          <w:rFonts w:ascii="Arial" w:hAnsi="Arial"/>
          <w:sz w:val="16"/>
        </w:rPr>
        <w:t>101.13  عملیات مشترک شامل نبرد در مواقع ضروری برای دستیابی به اهداف در تمام سطوح جنگی است.</w:t>
      </w:r>
    </w:p>
    <w:p>
      <w:pPr>
        <w:spacing w:after="28" w:line="216" w:lineRule="auto"/>
        <w:ind w:left="259"/>
        <w:jc w:val="left"/>
      </w:pPr>
      <w:r>
        <w:rPr>
          <w:rFonts w:ascii="Arial" w:hAnsi="Arial"/>
          <w:color w:val="525252"/>
          <w:sz w:val="13"/>
        </w:rPr>
        <w:t>Joint operations include combat when necessary to achieve objectives at all levels of warfare.</w:t>
      </w:r>
    </w:p>
    <w:p>
      <w:pPr>
        <w:spacing w:after="20" w:line="223" w:lineRule="auto"/>
        <w:jc w:val="right"/>
        <w:bidi/>
      </w:pPr>
      <w:r>
        <w:rPr>
          <w:rFonts w:ascii="Arial" w:hAnsi="Arial"/>
          <w:sz w:val="16"/>
        </w:rPr>
        <w:t>101.14  بر اساس اصول اساسی فرماندهی و کنترل مشترک، نیروهای مشترک برای عملیات مؤثر و کارآمد سازماندهی می‌شوند و به فرماندهان، اختیارات فرماندهی لازم برای برنامه‌ریزی، هدایت و کنترل نیروهای خود برای انجام مأموریت‌های محوله تفویض می‌شود.</w:t>
      </w:r>
    </w:p>
    <w:p>
      <w:pPr>
        <w:spacing w:after="28" w:line="216" w:lineRule="auto"/>
        <w:ind w:left="259"/>
        <w:jc w:val="left"/>
      </w:pPr>
      <w:r>
        <w:rPr>
          <w:rFonts w:ascii="Arial" w:hAnsi="Arial"/>
          <w:color w:val="525252"/>
          <w:sz w:val="13"/>
        </w:rPr>
        <w:t>Based on the fundamental principles for joint command and control, joint forces are organized for effective and efficient operations, and commanders are delegated the necessary command authorities to plan, direct, and control their forces to accomplish assigned missions.</w:t>
      </w:r>
    </w:p>
    <w:p>
      <w:pPr>
        <w:spacing w:after="20" w:line="223" w:lineRule="auto"/>
        <w:jc w:val="right"/>
        <w:bidi/>
      </w:pPr>
      <w:r>
        <w:rPr>
          <w:rFonts w:ascii="Arial" w:hAnsi="Arial"/>
          <w:sz w:val="16"/>
        </w:rPr>
        <w:t>101.15  عملیات چندملیتی.</w:t>
      </w:r>
    </w:p>
    <w:p>
      <w:pPr>
        <w:spacing w:after="28" w:line="216" w:lineRule="auto"/>
        <w:ind w:left="259"/>
        <w:jc w:val="left"/>
      </w:pPr>
      <w:r>
        <w:rPr>
          <w:rFonts w:ascii="Arial" w:hAnsi="Arial"/>
          <w:color w:val="525252"/>
          <w:sz w:val="13"/>
        </w:rPr>
        <w:t>Multinational Operations.</w:t>
      </w:r>
    </w:p>
    <w:p>
      <w:pPr>
        <w:spacing w:after="20" w:line="223" w:lineRule="auto"/>
        <w:jc w:val="right"/>
        <w:bidi/>
      </w:pPr>
      <w:r>
        <w:rPr>
          <w:rFonts w:ascii="Arial" w:hAnsi="Arial"/>
          <w:sz w:val="16"/>
        </w:rPr>
        <w:t>101.16  از آنجایی که ملت ما و نیروهای مسلح آن با اولویت‌های متعددی مواجه هستند، باید توجه داشته باشیم که فقط منابع لازم را برای اطمینان از ادغام قابلیت‌های مناسب و قابلیت همکاری در همه حوزه‌ها پیش ببریم.</w:t>
      </w:r>
    </w:p>
    <w:p>
      <w:pPr>
        <w:spacing w:after="28" w:line="216" w:lineRule="auto"/>
        <w:ind w:left="259"/>
        <w:jc w:val="left"/>
      </w:pPr>
      <w:r>
        <w:rPr>
          <w:rFonts w:ascii="Arial" w:hAnsi="Arial"/>
          <w:color w:val="525252"/>
          <w:sz w:val="13"/>
        </w:rPr>
        <w:t>As our nation and its armed forces are confronted with a multitude of priorities, we must be mindful to advance only the necessary resources to ensure that the right capabilities are integrated, and that they are interoperable across all domains.</w:t>
      </w:r>
    </w:p>
    <w:p>
      <w:pPr>
        <w:spacing w:after="20" w:line="223" w:lineRule="auto"/>
        <w:jc w:val="right"/>
        <w:bidi/>
      </w:pPr>
      <w:r>
        <w:rPr>
          <w:rFonts w:ascii="Arial" w:hAnsi="Arial"/>
          <w:sz w:val="16"/>
        </w:rPr>
        <w:t>101.17  اولویت‌های رقیب امروزی باید با دقت در برابر همه قابلیت‌های نظامی سنجیده شوند و اطمینان حاصل شود که کیفیت - نه لزوما کمی - به طرز هوشمندانه‌ای به یک نیروی واکنش سریع‌تر، انعطاف‌پذیرتر و چابک‌تر کمک می‌کند.</w:t>
      </w:r>
    </w:p>
    <w:p>
      <w:pPr>
        <w:spacing w:after="28" w:line="216" w:lineRule="auto"/>
        <w:ind w:left="259"/>
        <w:jc w:val="left"/>
      </w:pPr>
      <w:r>
        <w:rPr>
          <w:rFonts w:ascii="Arial" w:hAnsi="Arial"/>
          <w:color w:val="525252"/>
          <w:sz w:val="13"/>
        </w:rPr>
        <w:t>Competing priorities today must be carefully measured against all military capabilities, ensuring that quality—not necessarily quantity—smartly contributes to a faster, more flexible, and agile response force.</w:t>
      </w:r>
    </w:p>
    <w:p>
      <w:pPr>
        <w:spacing w:after="20" w:line="223" w:lineRule="auto"/>
        <w:jc w:val="right"/>
        <w:bidi/>
      </w:pPr>
      <w:r>
        <w:rPr>
          <w:rFonts w:ascii="Arial" w:hAnsi="Arial"/>
          <w:sz w:val="16"/>
        </w:rPr>
        <w:t>101.18  همچنین، ما باید به نقاط قوت سایر شرکای ملی تکیه کنیم و در عین حال اطمینان حاصل کنیم که همه قابلیت‌ها قابل همکاری هستند تا اطمینان حاصل کنیم که می‌توانیم به اهداف کلی خود دست یابیم.</w:t>
      </w:r>
    </w:p>
    <w:p>
      <w:pPr>
        <w:spacing w:after="28" w:line="216" w:lineRule="auto"/>
        <w:ind w:left="259"/>
        <w:jc w:val="left"/>
      </w:pPr>
      <w:r>
        <w:rPr>
          <w:rFonts w:ascii="Arial" w:hAnsi="Arial"/>
          <w:color w:val="525252"/>
          <w:sz w:val="13"/>
        </w:rPr>
        <w:t>As well, we must rely on the strengths of other national partners, while ensuring all capabilities are interoperable to ensure we can achieve our overarching objectives.</w:t>
      </w:r>
    </w:p>
    <w:p>
      <w:pPr>
        <w:spacing w:after="20" w:line="223" w:lineRule="auto"/>
        <w:jc w:val="right"/>
        <w:bidi/>
      </w:pPr>
      <w:r>
        <w:rPr>
          <w:rFonts w:ascii="Arial" w:hAnsi="Arial"/>
          <w:sz w:val="16"/>
        </w:rPr>
        <w:t>101.19  یکی از اولین اقدامات موفقیت آمیز عملیاتی ترکیب نیروهای مشترک و چند ملیتی در عملیات سپر صحرا و طوفان صحرا تجربه شد.</w:t>
      </w:r>
    </w:p>
    <w:p>
      <w:pPr>
        <w:spacing w:after="28" w:line="216" w:lineRule="auto"/>
        <w:ind w:left="259"/>
        <w:jc w:val="left"/>
      </w:pPr>
      <w:r>
        <w:rPr>
          <w:rFonts w:ascii="Arial" w:hAnsi="Arial"/>
          <w:color w:val="525252"/>
          <w:sz w:val="13"/>
        </w:rPr>
        <w:t>One of the first successful operational actions of combining joint and multinational forces was experienced during Operations Desert Shield and Desert Storm.</w:t>
      </w:r>
    </w:p>
    <w:p>
      <w:pPr>
        <w:spacing w:after="20" w:line="223" w:lineRule="auto"/>
        <w:jc w:val="right"/>
        <w:bidi/>
      </w:pPr>
      <w:r>
        <w:rPr>
          <w:rFonts w:ascii="Arial" w:hAnsi="Arial"/>
          <w:sz w:val="16"/>
        </w:rPr>
        <w:t>101.20  این عملیات ارزش و اثربخشی عملیات نظامی مشترک و ائتلاف را نشان داد.</w:t>
      </w:r>
    </w:p>
    <w:p>
      <w:pPr>
        <w:spacing w:after="28" w:line="216" w:lineRule="auto"/>
        <w:ind w:left="259"/>
        <w:jc w:val="left"/>
      </w:pPr>
      <w:r>
        <w:rPr>
          <w:rFonts w:ascii="Arial" w:hAnsi="Arial"/>
          <w:color w:val="525252"/>
          <w:sz w:val="13"/>
        </w:rPr>
        <w:t>These operations demonstrated the value and effectiveness of joint and coalition military operations.</w:t>
      </w:r>
    </w:p>
    <w:p>
      <w:pPr>
        <w:spacing w:after="20" w:line="223" w:lineRule="auto"/>
        <w:jc w:val="right"/>
        <w:bidi/>
      </w:pPr>
      <w:r>
        <w:rPr>
          <w:rFonts w:ascii="Arial" w:hAnsi="Arial"/>
          <w:sz w:val="16"/>
        </w:rPr>
        <w:t>101.21  از قابلیت‌های منحصر به فرد هر یک از خدمات نظامی ما و هر یک از شرکای ما، در مراحل مختلف هر دو عملیات مورد بهره‌برداری قرار گرفت.</w:t>
      </w:r>
    </w:p>
    <w:p>
      <w:pPr>
        <w:spacing w:after="28" w:line="216" w:lineRule="auto"/>
        <w:ind w:left="259"/>
        <w:jc w:val="left"/>
      </w:pPr>
      <w:r>
        <w:rPr>
          <w:rFonts w:ascii="Arial" w:hAnsi="Arial"/>
          <w:color w:val="525252"/>
          <w:sz w:val="13"/>
        </w:rPr>
        <w:t>The unique capabilities of each of our military Services, and those of each of our partners, were exploited during various phases of both operations.</w:t>
      </w:r>
    </w:p>
    <w:p>
      <w:pPr>
        <w:spacing w:after="20" w:line="223" w:lineRule="auto"/>
        <w:jc w:val="right"/>
        <w:bidi/>
      </w:pPr>
      <w:r>
        <w:rPr>
          <w:rFonts w:ascii="Arial" w:hAnsi="Arial"/>
          <w:sz w:val="16"/>
        </w:rPr>
        <w:t>101.22  نیروی ائتلاف قابلیت رزمی هم افزایی را فراهم کرد که بیشترین قدرت نظامی ممکن را برای مقابله با حریف به ارمغان آورد.</w:t>
      </w:r>
    </w:p>
    <w:p>
      <w:pPr>
        <w:spacing w:after="28" w:line="216" w:lineRule="auto"/>
        <w:ind w:left="259"/>
        <w:jc w:val="left"/>
      </w:pPr>
      <w:r>
        <w:rPr>
          <w:rFonts w:ascii="Arial" w:hAnsi="Arial"/>
          <w:color w:val="525252"/>
          <w:sz w:val="13"/>
        </w:rPr>
        <w:t>The coalition force provided a synergistic combat capability which brought the greatest possible military power to bear against the opponent.</w:t>
      </w:r>
    </w:p>
    <w:p>
      <w:pPr>
        <w:spacing w:after="20" w:line="223" w:lineRule="auto"/>
        <w:jc w:val="right"/>
        <w:bidi/>
      </w:pPr>
      <w:r>
        <w:rPr>
          <w:rFonts w:ascii="Arial" w:hAnsi="Arial"/>
          <w:sz w:val="16"/>
        </w:rPr>
        <w:t>101.23  به همین ترتیب، تجربه ما نیز اهمیت آموزش مشترک و چند ملیتی، ارزش حضور رو به جلو، و اعتبار توالی برای پرتاب قدرت را تأیید کرد.</w:t>
      </w:r>
    </w:p>
    <w:p>
      <w:pPr>
        <w:spacing w:after="28" w:line="216" w:lineRule="auto"/>
        <w:ind w:left="259"/>
        <w:jc w:val="left"/>
      </w:pPr>
      <w:r>
        <w:rPr>
          <w:rFonts w:ascii="Arial" w:hAnsi="Arial"/>
          <w:color w:val="525252"/>
          <w:sz w:val="13"/>
        </w:rPr>
        <w:t>Likewise, our experience also reaffirmed the importance of joint and multinational training, the value of forward presence, and the validity of sequencing for power-projection.</w:t>
      </w:r>
    </w:p>
    <w:p>
      <w:r>
        <w:br w:type="page"/>
      </w:r>
    </w:p>
    <w:p>
      <w:pPr>
        <w:spacing w:after="60"/>
        <w:jc w:val="right"/>
        <w:bidi/>
      </w:pPr>
      <w:r>
        <w:rPr>
          <w:rFonts w:ascii="Arial" w:hAnsi="Arial"/>
          <w:b/>
          <w:color w:val="1F4D78"/>
          <w:sz w:val="19"/>
        </w:rPr>
        <w:t>هفتهٔ 102  |  صفحهٔ منبع: 118</w:t>
      </w:r>
    </w:p>
    <w:p>
      <w:pPr>
        <w:spacing w:after="20" w:line="223" w:lineRule="auto"/>
        <w:jc w:val="right"/>
        <w:bidi/>
      </w:pPr>
      <w:r>
        <w:rPr>
          <w:rFonts w:ascii="Arial" w:hAnsi="Arial"/>
          <w:sz w:val="16"/>
        </w:rPr>
        <w:t>102.01  وحدت فرماندهی و وحدت تلاش.</w:t>
      </w:r>
    </w:p>
    <w:p>
      <w:pPr>
        <w:spacing w:after="28" w:line="216" w:lineRule="auto"/>
        <w:ind w:left="259"/>
        <w:jc w:val="left"/>
      </w:pPr>
      <w:r>
        <w:rPr>
          <w:rFonts w:ascii="Arial" w:hAnsi="Arial"/>
          <w:color w:val="525252"/>
          <w:sz w:val="13"/>
        </w:rPr>
        <w:t>Unity of Command and Unity of Effort.</w:t>
      </w:r>
    </w:p>
    <w:p>
      <w:pPr>
        <w:spacing w:after="20" w:line="223" w:lineRule="auto"/>
        <w:jc w:val="right"/>
        <w:bidi/>
      </w:pPr>
      <w:r>
        <w:rPr>
          <w:rFonts w:ascii="Arial" w:hAnsi="Arial"/>
          <w:sz w:val="16"/>
        </w:rPr>
        <w:t>102.02  وحدت فرماندهی به این معنی است که همه نیروها تحت یک فرمانده واحد با اختیارات لازم برای هدایت همه نیروهای به کار گرفته شده در تعقیب یک هدف مشترک عمل می‌کنند.</w:t>
      </w:r>
    </w:p>
    <w:p>
      <w:pPr>
        <w:spacing w:after="28" w:line="216" w:lineRule="auto"/>
        <w:ind w:left="259"/>
        <w:jc w:val="left"/>
      </w:pPr>
      <w:r>
        <w:rPr>
          <w:rFonts w:ascii="Arial" w:hAnsi="Arial"/>
          <w:color w:val="525252"/>
          <w:sz w:val="13"/>
        </w:rPr>
        <w:t>Unity of command means all forces operate under a single commander with the requisite authority to direct all forces employed in pursuit of a common purpose.</w:t>
      </w:r>
    </w:p>
    <w:p>
      <w:pPr>
        <w:spacing w:after="20" w:line="223" w:lineRule="auto"/>
        <w:jc w:val="right"/>
        <w:bidi/>
      </w:pPr>
      <w:r>
        <w:rPr>
          <w:rFonts w:ascii="Arial" w:hAnsi="Arial"/>
          <w:sz w:val="16"/>
        </w:rPr>
        <w:t>102.03  با این حال، وحدت تلاش مستلزم هماهنگی و همکاری میان همه نیروها در جهت هدفی است که عموما به رسمیت شناخته شده است، اگرچه آنها لزوما بخشی از یک ساختار فرماندهی نیستند.</w:t>
      </w:r>
    </w:p>
    <w:p>
      <w:pPr>
        <w:spacing w:after="28" w:line="216" w:lineRule="auto"/>
        <w:ind w:left="259"/>
        <w:jc w:val="left"/>
      </w:pPr>
      <w:r>
        <w:rPr>
          <w:rFonts w:ascii="Arial" w:hAnsi="Arial"/>
          <w:color w:val="525252"/>
          <w:sz w:val="13"/>
        </w:rPr>
        <w:t>Unity of effort, however, requires coordination and cooperation among all forces toward a commonly recognized objective, although they are not necessarily part of the same command structure.</w:t>
      </w:r>
    </w:p>
    <w:p>
      <w:pPr>
        <w:spacing w:after="20" w:line="223" w:lineRule="auto"/>
        <w:jc w:val="right"/>
        <w:bidi/>
      </w:pPr>
      <w:r>
        <w:rPr>
          <w:rFonts w:ascii="Arial" w:hAnsi="Arial"/>
          <w:sz w:val="16"/>
        </w:rPr>
        <w:t>102.04  در طول عملیات چندملیتی و هماهنگی بین سازمانی، ممکن است وحدت فرماندهی ممکن نباشد، اما لازمه وحدت تلاش بسیار مهم است.</w:t>
      </w:r>
    </w:p>
    <w:p>
      <w:pPr>
        <w:spacing w:after="28" w:line="216" w:lineRule="auto"/>
        <w:ind w:left="259"/>
        <w:jc w:val="left"/>
      </w:pPr>
      <w:r>
        <w:rPr>
          <w:rFonts w:ascii="Arial" w:hAnsi="Arial"/>
          <w:color w:val="525252"/>
          <w:sz w:val="13"/>
        </w:rPr>
        <w:t>During multinational operations and interagency coordination, unity of command may not be possible, but the requirement for unity of effort becomes paramount.</w:t>
      </w:r>
    </w:p>
    <w:p>
      <w:pPr>
        <w:spacing w:after="20" w:line="223" w:lineRule="auto"/>
        <w:jc w:val="right"/>
        <w:bidi/>
      </w:pPr>
      <w:r>
        <w:rPr>
          <w:rFonts w:ascii="Arial" w:hAnsi="Arial"/>
          <w:sz w:val="16"/>
        </w:rPr>
        <w:t>102.05  وحدت تلاش - هماهنگی از طریق همکاری و منافع مشترک - مکمل ضروری وحدت فرماندهی است.</w:t>
      </w:r>
    </w:p>
    <w:p>
      <w:pPr>
        <w:spacing w:after="28" w:line="216" w:lineRule="auto"/>
        <w:ind w:left="259"/>
        <w:jc w:val="left"/>
      </w:pPr>
      <w:r>
        <w:rPr>
          <w:rFonts w:ascii="Arial" w:hAnsi="Arial"/>
          <w:color w:val="525252"/>
          <w:sz w:val="13"/>
        </w:rPr>
        <w:t>Unity of effort - coordination through cooperation and common interests - is an essential complement to unity of command.</w:t>
      </w:r>
    </w:p>
    <w:p>
      <w:pPr>
        <w:spacing w:after="20" w:line="223" w:lineRule="auto"/>
        <w:jc w:val="right"/>
        <w:bidi/>
      </w:pPr>
      <w:r>
        <w:rPr>
          <w:rFonts w:ascii="Arial" w:hAnsi="Arial"/>
          <w:sz w:val="16"/>
        </w:rPr>
        <w:t>102.06  توجه: یکی از ابتکارات پایه‌گذاری که به وابستگی متقابل و قابلیت همکاری مشترک می‌پردازد، قانون سازمان‌دهی مجدد وزارت دفاع گلدواتر-نیکلز در سال ۱۹۸۶ بود.</w:t>
      </w:r>
    </w:p>
    <w:p>
      <w:pPr>
        <w:spacing w:after="28" w:line="216" w:lineRule="auto"/>
        <w:ind w:left="259"/>
        <w:jc w:val="left"/>
      </w:pPr>
      <w:r>
        <w:rPr>
          <w:rFonts w:ascii="Arial" w:hAnsi="Arial"/>
          <w:color w:val="525252"/>
          <w:sz w:val="13"/>
        </w:rPr>
        <w:t>Note: One of the founding initiatives which addressed joint interdependence and joint interoperability was the Goldwater-Nichols Department of Defense Reorganization Act of 1986.</w:t>
      </w:r>
    </w:p>
    <w:p>
      <w:pPr>
        <w:spacing w:before="60" w:after="28"/>
        <w:jc w:val="right"/>
        <w:bidi/>
      </w:pPr>
      <w:r>
        <w:rPr>
          <w:b/>
          <w:color w:val="1F4D78"/>
          <w:sz w:val="18"/>
        </w:rPr>
        <w:t>6.7. مقامات فرماندهی</w:t>
      </w:r>
    </w:p>
    <w:p>
      <w:pPr>
        <w:spacing w:after="20"/>
        <w:ind w:left="259"/>
        <w:jc w:val="left"/>
      </w:pPr>
      <w:r>
        <w:rPr>
          <w:color w:val="555555"/>
          <w:sz w:val="12"/>
        </w:rPr>
        <w:t>6.7. Command Authorities</w:t>
      </w:r>
    </w:p>
    <w:p>
      <w:pPr>
        <w:spacing w:after="20" w:line="223" w:lineRule="auto"/>
        <w:jc w:val="right"/>
        <w:bidi/>
      </w:pPr>
      <w:r>
        <w:rPr>
          <w:rFonts w:ascii="Arial" w:hAnsi="Arial"/>
          <w:sz w:val="16"/>
        </w:rPr>
        <w:t>102.08  فرماندهی رزمی (مقام فرماندهی).</w:t>
      </w:r>
    </w:p>
    <w:p>
      <w:pPr>
        <w:spacing w:after="28" w:line="216" w:lineRule="auto"/>
        <w:ind w:left="259"/>
        <w:jc w:val="left"/>
      </w:pPr>
      <w:r>
        <w:rPr>
          <w:rFonts w:ascii="Arial" w:hAnsi="Arial"/>
          <w:color w:val="525252"/>
          <w:sz w:val="13"/>
        </w:rPr>
        <w:t>Combatant Command (Command Authority).</w:t>
      </w:r>
    </w:p>
    <w:p>
      <w:pPr>
        <w:spacing w:after="20" w:line="223" w:lineRule="auto"/>
        <w:jc w:val="right"/>
        <w:bidi/>
      </w:pPr>
      <w:r>
        <w:rPr>
          <w:rFonts w:ascii="Arial" w:hAnsi="Arial"/>
          <w:sz w:val="16"/>
        </w:rPr>
        <w:t>102.09  فرماندهی رزمی (اقتدار فرماندهی)، که به اختصار COCOM نامیده می‌شود، اختیارات یک CCDR برای انجام وظایف فرماندهی بر نیروهای تعیین‌شده شامل سازمان‌دهی و بکارگیری فرماندهی و نیرو، تعیین وظایف، تعیین اهداف، و دادن رهنمودهای مقتدرانه بر تمام جنبه‌های عملیات نظامی، آموزش مشترک، آموزش نیروهای ویژه، و فرماندهان ارتش است. تدارکات لازم برای انجام مأموریت‌های محول شده به فرماندهی.</w:t>
      </w:r>
    </w:p>
    <w:p>
      <w:pPr>
        <w:spacing w:after="28" w:line="216" w:lineRule="auto"/>
        <w:ind w:left="259"/>
        <w:jc w:val="left"/>
      </w:pPr>
      <w:r>
        <w:rPr>
          <w:rFonts w:ascii="Arial" w:hAnsi="Arial"/>
          <w:color w:val="525252"/>
          <w:sz w:val="13"/>
        </w:rPr>
        <w:t>Combatant command (command authority), abbreviated as COCOM, is the authority of a CCDR to perform functions of command over assigned forces involving organizing and employing commands and forces, assigning tasks, designating objectives, and giving authoritative direction over all aspects of military operations, joint training (or in the case of U.S. Special Operations Command, training of assigned forces), and logistics necessary to accomplish the missions assigned to the command.</w:t>
      </w:r>
    </w:p>
    <w:p>
      <w:pPr>
        <w:spacing w:after="20" w:line="223" w:lineRule="auto"/>
        <w:jc w:val="right"/>
        <w:bidi/>
      </w:pPr>
      <w:r>
        <w:rPr>
          <w:rFonts w:ascii="Arial" w:hAnsi="Arial"/>
          <w:sz w:val="16"/>
        </w:rPr>
        <w:t>102.10  قابل تفویض یا انتقال نیست.</w:t>
      </w:r>
    </w:p>
    <w:p>
      <w:pPr>
        <w:spacing w:after="28" w:line="216" w:lineRule="auto"/>
        <w:ind w:left="259"/>
        <w:jc w:val="left"/>
      </w:pPr>
      <w:r>
        <w:rPr>
          <w:rFonts w:ascii="Arial" w:hAnsi="Arial"/>
          <w:color w:val="525252"/>
          <w:sz w:val="13"/>
        </w:rPr>
        <w:t>It cannot be delegated or transferred.</w:t>
      </w:r>
    </w:p>
    <w:p>
      <w:pPr>
        <w:spacing w:after="20" w:line="223" w:lineRule="auto"/>
        <w:jc w:val="right"/>
        <w:bidi/>
      </w:pPr>
      <w:r>
        <w:rPr>
          <w:rFonts w:ascii="Arial" w:hAnsi="Arial"/>
          <w:sz w:val="16"/>
        </w:rPr>
        <w:t>102.11  کنترل عملیاتی.</w:t>
      </w:r>
    </w:p>
    <w:p>
      <w:pPr>
        <w:spacing w:after="28" w:line="216" w:lineRule="auto"/>
        <w:ind w:left="259"/>
        <w:jc w:val="left"/>
      </w:pPr>
      <w:r>
        <w:rPr>
          <w:rFonts w:ascii="Arial" w:hAnsi="Arial"/>
          <w:color w:val="525252"/>
          <w:sz w:val="13"/>
        </w:rPr>
        <w:t>Operational Control.</w:t>
      </w:r>
    </w:p>
    <w:p>
      <w:pPr>
        <w:spacing w:after="20" w:line="223" w:lineRule="auto"/>
        <w:jc w:val="right"/>
        <w:bidi/>
      </w:pPr>
      <w:r>
        <w:rPr>
          <w:rFonts w:ascii="Arial" w:hAnsi="Arial"/>
          <w:sz w:val="16"/>
        </w:rPr>
        <w:t>102.12  کنترل عملیاتی (OPCON) در COCOM ذاتی است و اقتدار انجام آن وظایف فرماندهی بر نیروهای زیرمجموعه است که شامل سازماندهی و بکارگیری فرماندهی و نیرو، تعیین وظایف، تعیین اهداف، و دادن دستورات مقتدر لازم برای انجام مأموریت است.</w:t>
      </w:r>
    </w:p>
    <w:p>
      <w:pPr>
        <w:spacing w:after="28" w:line="216" w:lineRule="auto"/>
        <w:ind w:left="259"/>
        <w:jc w:val="left"/>
      </w:pPr>
      <w:r>
        <w:rPr>
          <w:rFonts w:ascii="Arial" w:hAnsi="Arial"/>
          <w:color w:val="525252"/>
          <w:sz w:val="13"/>
        </w:rPr>
        <w:t>Operational control (OPCON) is inherent in COCOM and is the authority to perform those functions of command over subordinate forces involving organizing and employing commands and forces, assigning tasks, designating objectives, and giving authoritative direction necessary to accomplish the mission.</w:t>
      </w:r>
    </w:p>
    <w:p>
      <w:pPr>
        <w:spacing w:after="20" w:line="223" w:lineRule="auto"/>
        <w:jc w:val="right"/>
        <w:bidi/>
      </w:pPr>
      <w:r>
        <w:rPr>
          <w:rFonts w:ascii="Arial" w:hAnsi="Arial"/>
          <w:sz w:val="16"/>
        </w:rPr>
        <w:t>102.13  OPCON اقتدار فرماندهی است که ممکن است توسط فرماندهان در هر رده‌ای در سطح CCMD یا پایین‌تر از آن اعمال شود و ممکن است در داخل فرماندهی تفویض شود.</w:t>
      </w:r>
    </w:p>
    <w:p>
      <w:pPr>
        <w:spacing w:after="28" w:line="216" w:lineRule="auto"/>
        <w:ind w:left="259"/>
        <w:jc w:val="left"/>
      </w:pPr>
      <w:r>
        <w:rPr>
          <w:rFonts w:ascii="Arial" w:hAnsi="Arial"/>
          <w:color w:val="525252"/>
          <w:sz w:val="13"/>
        </w:rPr>
        <w:t>OPCON is the command authority that may be exercised by commanders at any echelon at or below the level of CCMD and may be delegated within the command.</w:t>
      </w:r>
    </w:p>
    <w:p>
      <w:pPr>
        <w:spacing w:after="20" w:line="223" w:lineRule="auto"/>
        <w:jc w:val="right"/>
        <w:bidi/>
      </w:pPr>
      <w:r>
        <w:rPr>
          <w:rFonts w:ascii="Arial" w:hAnsi="Arial"/>
          <w:sz w:val="16"/>
        </w:rPr>
        <w:t>102.14  در حالی که OPCON شامل هدایت مقتدرانه در تمام جنبه‌های عملیات نظامی و آموزش مشترک لازم برای انجام مأموریت‌های محوله به فرماندهی می‌شود، هدایت معتبر برای تدارکات یا امور اداری، انضباط، سازمان‌دهی داخلی یا آموزش واحد را شامل نمی‌شود.</w:t>
      </w:r>
    </w:p>
    <w:p>
      <w:pPr>
        <w:spacing w:after="28" w:line="216" w:lineRule="auto"/>
        <w:ind w:left="259"/>
        <w:jc w:val="left"/>
      </w:pPr>
      <w:r>
        <w:rPr>
          <w:rFonts w:ascii="Arial" w:hAnsi="Arial"/>
          <w:color w:val="525252"/>
          <w:sz w:val="13"/>
        </w:rPr>
        <w:t>While OPCON includes authoritative direction over all aspects of military operations and joint training necessary to accomplish missions assigned to the command, it does not include authoritative direction for logistics or matters of administration, discipline, internal organization, or unit training.</w:t>
      </w:r>
    </w:p>
    <w:p>
      <w:pPr>
        <w:spacing w:after="20" w:line="223" w:lineRule="auto"/>
        <w:jc w:val="right"/>
        <w:bidi/>
      </w:pPr>
      <w:r>
        <w:rPr>
          <w:rFonts w:ascii="Arial" w:hAnsi="Arial"/>
          <w:sz w:val="16"/>
        </w:rPr>
        <w:t>102.15  کنترل تاکتیکی.</w:t>
      </w:r>
    </w:p>
    <w:p>
      <w:pPr>
        <w:spacing w:after="28" w:line="216" w:lineRule="auto"/>
        <w:ind w:left="259"/>
        <w:jc w:val="left"/>
      </w:pPr>
      <w:r>
        <w:rPr>
          <w:rFonts w:ascii="Arial" w:hAnsi="Arial"/>
          <w:color w:val="525252"/>
          <w:sz w:val="13"/>
        </w:rPr>
        <w:t>Tactical Control.</w:t>
      </w:r>
    </w:p>
    <w:p>
      <w:pPr>
        <w:spacing w:after="20" w:line="223" w:lineRule="auto"/>
        <w:jc w:val="right"/>
        <w:bidi/>
      </w:pPr>
      <w:r>
        <w:rPr>
          <w:rFonts w:ascii="Arial" w:hAnsi="Arial"/>
          <w:sz w:val="16"/>
        </w:rPr>
        <w:t>102.16  کنترل تاکتیکی (TACON) ذاتی OPCON است و اقتدار فرماندهی بر نیروها یا فرماندهی اختصاص داده شده یا پیوست شده، یا قابلیت نظامی نیروهایی است که برای انجام وظایفی که محدود به جهت دقیق و کنترل حرکات یا مانورهای داخل منطقه عملیاتی لازم برای انجام مأموریت‌ها یا وظایف محوله است، در دسترس است.</w:t>
      </w:r>
    </w:p>
    <w:p>
      <w:pPr>
        <w:spacing w:after="28" w:line="216" w:lineRule="auto"/>
        <w:ind w:left="259"/>
        <w:jc w:val="left"/>
      </w:pPr>
      <w:r>
        <w:rPr>
          <w:rFonts w:ascii="Arial" w:hAnsi="Arial"/>
          <w:color w:val="525252"/>
          <w:sz w:val="13"/>
        </w:rPr>
        <w:t>Tactical control (TACON) is inherent in OPCON and is the command authority over assigned or attached forces or commands, or military capability of forces made available for taskings that are limited to the detailed direction and control of movements or maneuvers within the operational area necessary to accomplish assigned missions or tasks.</w:t>
      </w:r>
    </w:p>
    <w:p>
      <w:pPr>
        <w:spacing w:after="20" w:line="223" w:lineRule="auto"/>
        <w:jc w:val="right"/>
        <w:bidi/>
      </w:pPr>
      <w:r>
        <w:rPr>
          <w:rFonts w:ascii="Arial" w:hAnsi="Arial"/>
          <w:sz w:val="16"/>
        </w:rPr>
        <w:t>102.17  TACON ممکن است به فرماندهان در هر سطحی در سطح یا کمتر از سطح CCMD تفویض شده و توسط آنها اعمال شود.</w:t>
      </w:r>
    </w:p>
    <w:p>
      <w:pPr>
        <w:spacing w:after="28" w:line="216" w:lineRule="auto"/>
        <w:ind w:left="259"/>
        <w:jc w:val="left"/>
      </w:pPr>
      <w:r>
        <w:rPr>
          <w:rFonts w:ascii="Arial" w:hAnsi="Arial"/>
          <w:color w:val="525252"/>
          <w:sz w:val="13"/>
        </w:rPr>
        <w:t>TACON may be delegated to and exercised by commanders at any echelon at or below the level of CCMD.</w:t>
      </w:r>
    </w:p>
    <w:p>
      <w:pPr>
        <w:spacing w:after="20" w:line="223" w:lineRule="auto"/>
        <w:jc w:val="right"/>
        <w:bidi/>
      </w:pPr>
      <w:r>
        <w:rPr>
          <w:rFonts w:ascii="Arial" w:hAnsi="Arial"/>
          <w:sz w:val="16"/>
        </w:rPr>
        <w:t>102.18  پشتیبانی.</w:t>
      </w:r>
    </w:p>
    <w:p>
      <w:pPr>
        <w:spacing w:after="28" w:line="216" w:lineRule="auto"/>
        <w:ind w:left="259"/>
        <w:jc w:val="left"/>
      </w:pPr>
      <w:r>
        <w:rPr>
          <w:rFonts w:ascii="Arial" w:hAnsi="Arial"/>
          <w:color w:val="525252"/>
          <w:sz w:val="13"/>
        </w:rPr>
        <w:t>Support.</w:t>
      </w:r>
    </w:p>
    <w:p>
      <w:pPr>
        <w:spacing w:after="20" w:line="223" w:lineRule="auto"/>
        <w:jc w:val="right"/>
        <w:bidi/>
      </w:pPr>
      <w:r>
        <w:rPr>
          <w:rFonts w:ascii="Arial" w:hAnsi="Arial"/>
          <w:sz w:val="16"/>
        </w:rPr>
        <w:t>102.19  پشتیبانی یک اقتدار فرماندهی است و زمانی که یک سازمان باید به نیروی دیگری کمک کند، محافظت کند، تکمیل یا حفظ کند، توسط یک فرمانده مافوق بین فرماندهان زیردست ایجاد می‌شود.</w:t>
      </w:r>
    </w:p>
    <w:p>
      <w:pPr>
        <w:spacing w:after="28" w:line="216" w:lineRule="auto"/>
        <w:ind w:left="259"/>
        <w:jc w:val="left"/>
      </w:pPr>
      <w:r>
        <w:rPr>
          <w:rFonts w:ascii="Arial" w:hAnsi="Arial"/>
          <w:color w:val="525252"/>
          <w:sz w:val="13"/>
        </w:rPr>
        <w:t>Support is a command authority and is established by a superior commander between subordinate commanders when one organization should aid, protect, complement, or sustain another force.</w:t>
      </w:r>
    </w:p>
    <w:p>
      <w:pPr>
        <w:spacing w:after="20" w:line="223" w:lineRule="auto"/>
        <w:jc w:val="right"/>
        <w:bidi/>
      </w:pPr>
      <w:r>
        <w:rPr>
          <w:rFonts w:ascii="Arial" w:hAnsi="Arial"/>
          <w:sz w:val="16"/>
        </w:rPr>
        <w:t>102.20  تعیین روابط پشتیبانی مهم است زیرا اولویت‌ها را به فرماندهان و کارکنانی که در حال برنامه‌ریزی یا اجرای عملیات مشترک هستند، می‌رساند.</w:t>
      </w:r>
    </w:p>
    <w:p>
      <w:pPr>
        <w:spacing w:after="28" w:line="216" w:lineRule="auto"/>
        <w:ind w:left="259"/>
        <w:jc w:val="left"/>
      </w:pPr>
      <w:r>
        <w:rPr>
          <w:rFonts w:ascii="Arial" w:hAnsi="Arial"/>
          <w:color w:val="525252"/>
          <w:sz w:val="13"/>
        </w:rPr>
        <w:t>The designation of supporting relationships is important as it conveys priorities to commanders and staffs who are planning or executing joint operations.</w:t>
      </w:r>
    </w:p>
    <w:p>
      <w:pPr>
        <w:spacing w:after="20" w:line="223" w:lineRule="auto"/>
        <w:jc w:val="right"/>
        <w:bidi/>
      </w:pPr>
      <w:r>
        <w:rPr>
          <w:rFonts w:ascii="Arial" w:hAnsi="Arial"/>
          <w:sz w:val="16"/>
        </w:rPr>
        <w:t>102.21  مقام ایجاد کننده (فرمانده مافوق مشترک) مسئول اطمینان از این است که هم فرمانده مورد حمایت و هم فرماندهان پشتیبان میزان اختیاراتی را که به فرمانده مورد حمایت اعطا می‌شود، درک می‌کنند.</w:t>
      </w:r>
    </w:p>
    <w:p>
      <w:pPr>
        <w:spacing w:after="28" w:line="216" w:lineRule="auto"/>
        <w:ind w:left="259"/>
        <w:jc w:val="left"/>
      </w:pPr>
      <w:r>
        <w:rPr>
          <w:rFonts w:ascii="Arial" w:hAnsi="Arial"/>
          <w:color w:val="525252"/>
          <w:sz w:val="13"/>
        </w:rPr>
        <w:t>The establishing authority (the common superior commander) is responsible for ensuring that both the supported commander and supporting commanders understand the degree of authority that the supported commander is granted.</w:t>
      </w:r>
    </w:p>
    <w:p>
      <w:pPr>
        <w:spacing w:after="20" w:line="223" w:lineRule="auto"/>
        <w:jc w:val="right"/>
        <w:bidi/>
      </w:pPr>
      <w:r>
        <w:rPr>
          <w:rFonts w:ascii="Arial" w:hAnsi="Arial"/>
          <w:sz w:val="16"/>
        </w:rPr>
        <w:t>102.22  فرمانده تحت حمایت باید اطمینان حاصل کند که فرماندهان پشتیبان کمک مورد نیاز را درک می‌کنند.</w:t>
      </w:r>
    </w:p>
    <w:p>
      <w:pPr>
        <w:spacing w:after="28" w:line="216" w:lineRule="auto"/>
        <w:ind w:left="259"/>
        <w:jc w:val="left"/>
      </w:pPr>
      <w:r>
        <w:rPr>
          <w:rFonts w:ascii="Arial" w:hAnsi="Arial"/>
          <w:color w:val="525252"/>
          <w:sz w:val="13"/>
        </w:rPr>
        <w:t>The supported commander should ensure that the supporting commanders understand the assistance required.</w:t>
      </w:r>
    </w:p>
    <w:p>
      <w:pPr>
        <w:spacing w:after="20" w:line="223" w:lineRule="auto"/>
        <w:jc w:val="right"/>
        <w:bidi/>
      </w:pPr>
      <w:r>
        <w:rPr>
          <w:rFonts w:ascii="Arial" w:hAnsi="Arial"/>
          <w:sz w:val="16"/>
        </w:rPr>
        <w:t>102.23  فرماندهان پشتیبان پس از آن کمک‌های مورد نیاز را، مشروط به توانایی‌های موجود فرمانده پشتیبانی و سایر وظایف محول شده، ارائه خواهند کرد.</w:t>
      </w:r>
    </w:p>
    <w:p>
      <w:pPr>
        <w:spacing w:after="28" w:line="216" w:lineRule="auto"/>
        <w:ind w:left="259"/>
        <w:jc w:val="left"/>
      </w:pPr>
      <w:r>
        <w:rPr>
          <w:rFonts w:ascii="Arial" w:hAnsi="Arial"/>
          <w:color w:val="525252"/>
          <w:sz w:val="13"/>
        </w:rPr>
        <w:t>The supporting commanders will then provide the assistance needed, subject to a supporting commander’s existing capabilities and other assigned tasks.</w:t>
      </w:r>
    </w:p>
    <w:p>
      <w:pPr>
        <w:spacing w:after="20" w:line="223" w:lineRule="auto"/>
        <w:jc w:val="right"/>
        <w:bidi/>
      </w:pPr>
      <w:r>
        <w:rPr>
          <w:rFonts w:ascii="Arial" w:hAnsi="Arial"/>
          <w:sz w:val="16"/>
        </w:rPr>
        <w:t>102.24  کنترل اداری.</w:t>
      </w:r>
    </w:p>
    <w:p>
      <w:pPr>
        <w:spacing w:after="28" w:line="216" w:lineRule="auto"/>
        <w:ind w:left="259"/>
        <w:jc w:val="left"/>
      </w:pPr>
      <w:r>
        <w:rPr>
          <w:rFonts w:ascii="Arial" w:hAnsi="Arial"/>
          <w:color w:val="525252"/>
          <w:sz w:val="13"/>
        </w:rPr>
        <w:t>Administrative Control.</w:t>
      </w:r>
    </w:p>
    <w:p>
      <w:pPr>
        <w:spacing w:after="20" w:line="223" w:lineRule="auto"/>
        <w:jc w:val="right"/>
        <w:bidi/>
      </w:pPr>
      <w:r>
        <w:rPr>
          <w:rFonts w:ascii="Arial" w:hAnsi="Arial"/>
          <w:sz w:val="16"/>
        </w:rPr>
        <w:t>102.25  کنترل اداری (ADCON) جهت یا اعمال اختیار بر سازمانهای زیردست یا سایر سازمانها درباره اداره و پشتیبانی است.</w:t>
      </w:r>
    </w:p>
    <w:p>
      <w:pPr>
        <w:spacing w:after="28" w:line="216" w:lineRule="auto"/>
        <w:ind w:left="259"/>
        <w:jc w:val="left"/>
      </w:pPr>
      <w:r>
        <w:rPr>
          <w:rFonts w:ascii="Arial" w:hAnsi="Arial"/>
          <w:color w:val="525252"/>
          <w:sz w:val="13"/>
        </w:rPr>
        <w:t>Administrative control (ADCON) is direction or exercise of authority over subordinate or other organizations in respect to administration and support.</w:t>
      </w:r>
    </w:p>
    <w:p>
      <w:pPr>
        <w:spacing w:after="20" w:line="223" w:lineRule="auto"/>
        <w:jc w:val="right"/>
        <w:bidi/>
      </w:pPr>
      <w:r>
        <w:rPr>
          <w:rFonts w:ascii="Arial" w:hAnsi="Arial"/>
          <w:sz w:val="16"/>
        </w:rPr>
        <w:t>102.26  ADCON یک مرجع سرویس است که از طریق کانال‌های سرویس جریان دارد.</w:t>
      </w:r>
    </w:p>
    <w:p>
      <w:pPr>
        <w:spacing w:after="28" w:line="216" w:lineRule="auto"/>
        <w:ind w:left="259"/>
        <w:jc w:val="left"/>
      </w:pPr>
      <w:r>
        <w:rPr>
          <w:rFonts w:ascii="Arial" w:hAnsi="Arial"/>
          <w:color w:val="525252"/>
          <w:sz w:val="13"/>
        </w:rPr>
        <w:t>ADCON is a Service authority that flows through Service channels.</w:t>
      </w:r>
    </w:p>
    <w:p>
      <w:pPr>
        <w:spacing w:after="20" w:line="223" w:lineRule="auto"/>
        <w:jc w:val="right"/>
        <w:bidi/>
      </w:pPr>
      <w:r>
        <w:rPr>
          <w:rFonts w:ascii="Arial" w:hAnsi="Arial"/>
          <w:sz w:val="16"/>
        </w:rPr>
        <w:t>102.27  این مرجع یک مرجع فرماندهی عملیاتی نیست، اما اختیارات لازم را برای سرویس‌ها فراهم می‌کند تا وظایف "سازماندهی، آموزش، و تجهیز" فردی خود را در عنوان ۱۰، USC انجام دهند.</w:t>
      </w:r>
    </w:p>
    <w:p>
      <w:pPr>
        <w:spacing w:after="28" w:line="216" w:lineRule="auto"/>
        <w:ind w:left="259"/>
        <w:jc w:val="left"/>
      </w:pPr>
      <w:r>
        <w:rPr>
          <w:rFonts w:ascii="Arial" w:hAnsi="Arial"/>
          <w:color w:val="525252"/>
          <w:sz w:val="13"/>
        </w:rPr>
        <w:t>This authority is not an operational command authority but provides the requisite authority for Services to execute their individual “organize, train, and equip” functions per Title 10, USC.</w:t>
      </w:r>
    </w:p>
    <w:p>
      <w:pPr>
        <w:spacing w:after="20" w:line="223" w:lineRule="auto"/>
        <w:jc w:val="right"/>
        <w:bidi/>
      </w:pPr>
      <w:r>
        <w:rPr>
          <w:rFonts w:ascii="Arial" w:hAnsi="Arial"/>
          <w:sz w:val="16"/>
        </w:rPr>
        <w:t>102.28  ADCON ممکن است به فرماندهان نیروهای خدماتی که به یک CCDR در هر رده‌ای در یا زیر</w:t>
      </w:r>
    </w:p>
    <w:p>
      <w:pPr>
        <w:spacing w:after="28" w:line="216" w:lineRule="auto"/>
        <w:ind w:left="259"/>
        <w:jc w:val="left"/>
      </w:pPr>
      <w:r>
        <w:rPr>
          <w:rFonts w:ascii="Arial" w:hAnsi="Arial"/>
          <w:color w:val="525252"/>
          <w:sz w:val="13"/>
        </w:rPr>
        <w:t>ADCON may be delegated to and exercised by commanders of Service forces assigned to a CCDR at any echelon at or below the</w:t>
      </w:r>
    </w:p>
    <w:p>
      <w:r>
        <w:br w:type="page"/>
      </w:r>
    </w:p>
    <w:p>
      <w:pPr>
        <w:spacing w:after="60"/>
        <w:jc w:val="right"/>
        <w:bidi/>
      </w:pPr>
      <w:r>
        <w:rPr>
          <w:rFonts w:ascii="Arial" w:hAnsi="Arial"/>
          <w:b/>
          <w:color w:val="1F4D78"/>
          <w:sz w:val="19"/>
        </w:rPr>
        <w:t>هفتهٔ 103  |  صفحهٔ منبع: 119</w:t>
      </w:r>
    </w:p>
    <w:p>
      <w:pPr>
        <w:spacing w:after="20" w:line="223" w:lineRule="auto"/>
        <w:jc w:val="right"/>
        <w:bidi/>
      </w:pPr>
      <w:r>
        <w:rPr>
          <w:rFonts w:ascii="Arial" w:hAnsi="Arial"/>
          <w:sz w:val="16"/>
        </w:rPr>
        <w:t>103.01  فرمان جزء سرویک.</w:t>
      </w:r>
    </w:p>
    <w:p>
      <w:pPr>
        <w:spacing w:after="28" w:line="216" w:lineRule="auto"/>
        <w:ind w:left="259"/>
        <w:jc w:val="left"/>
      </w:pPr>
      <w:r>
        <w:rPr>
          <w:rFonts w:ascii="Arial" w:hAnsi="Arial"/>
          <w:color w:val="525252"/>
          <w:sz w:val="13"/>
        </w:rPr>
        <w:t>level of Service component command.</w:t>
      </w:r>
    </w:p>
    <w:p>
      <w:pPr>
        <w:spacing w:after="20" w:line="223" w:lineRule="auto"/>
        <w:jc w:val="right"/>
        <w:bidi/>
      </w:pPr>
      <w:r>
        <w:rPr>
          <w:rFonts w:ascii="Arial" w:hAnsi="Arial"/>
          <w:sz w:val="16"/>
        </w:rPr>
        <w:t>103.02  ADCON تابع اختیارات فرماندهی CCDR است.</w:t>
      </w:r>
    </w:p>
    <w:p>
      <w:pPr>
        <w:spacing w:after="28" w:line="216" w:lineRule="auto"/>
        <w:ind w:left="259"/>
        <w:jc w:val="left"/>
      </w:pPr>
      <w:r>
        <w:rPr>
          <w:rFonts w:ascii="Arial" w:hAnsi="Arial"/>
          <w:color w:val="525252"/>
          <w:sz w:val="13"/>
        </w:rPr>
        <w:t>ADCON is subject to the command authority of CCDRs.</w:t>
      </w:r>
    </w:p>
    <w:p>
      <w:pPr>
        <w:spacing w:after="20" w:line="223" w:lineRule="auto"/>
        <w:jc w:val="right"/>
        <w:bidi/>
      </w:pPr>
      <w:r>
        <w:rPr>
          <w:rFonts w:ascii="Arial" w:hAnsi="Arial"/>
          <w:sz w:val="16"/>
        </w:rPr>
        <w:t>103.03  فرماندهان خدماتی که ADCON را انجام می‌دهند، مقاماتی را که توسط یک CCDR دارای COCOM بر فرماندهان نیروهای خدمات اختصاص داده شده است، غصب نمی‌کنند.</w:t>
      </w:r>
    </w:p>
    <w:p>
      <w:pPr>
        <w:spacing w:after="28" w:line="216" w:lineRule="auto"/>
        <w:ind w:left="259"/>
        <w:jc w:val="left"/>
      </w:pPr>
      <w:r>
        <w:rPr>
          <w:rFonts w:ascii="Arial" w:hAnsi="Arial"/>
          <w:color w:val="525252"/>
          <w:sz w:val="13"/>
        </w:rPr>
        <w:t>Service commanders exercising ADCON will not usurp the authorities assigned by a CCDR having COCOM over commanders of assigned Service forces.</w:t>
      </w:r>
    </w:p>
    <w:p>
      <w:pPr>
        <w:spacing w:after="20" w:line="223" w:lineRule="auto"/>
        <w:jc w:val="right"/>
        <w:bidi/>
      </w:pPr>
      <w:r>
        <w:rPr>
          <w:rFonts w:ascii="Arial" w:hAnsi="Arial"/>
          <w:sz w:val="16"/>
        </w:rPr>
        <w:t>103.04  توجه: هنگامی که تحت عنوان ۱۰، USC بسیج می‌شوند، فرماندهی گارد ملی و نیروهای ذخیره (به استثنای آنهایی که به‌طور خاص مستثنی هستند) توسط وزیر دفاع به CCMD ها منصوب می‌شود.</w:t>
      </w:r>
    </w:p>
    <w:p>
      <w:pPr>
        <w:spacing w:after="28" w:line="216" w:lineRule="auto"/>
        <w:ind w:left="259"/>
        <w:jc w:val="left"/>
      </w:pPr>
      <w:r>
        <w:rPr>
          <w:rFonts w:ascii="Arial" w:hAnsi="Arial"/>
          <w:color w:val="525252"/>
          <w:sz w:val="13"/>
        </w:rPr>
        <w:t>Note: When mobilized under Title 10, USC, command of National Guard and Reserve Forces (except those specifically exempted) is assigned by the Secretary of Defense to the CCMDs.</w:t>
      </w:r>
    </w:p>
    <w:p>
      <w:pPr>
        <w:spacing w:after="20" w:line="223" w:lineRule="auto"/>
        <w:jc w:val="right"/>
        <w:bidi/>
      </w:pPr>
      <w:r>
        <w:rPr>
          <w:rFonts w:ascii="Arial" w:hAnsi="Arial"/>
          <w:sz w:val="16"/>
        </w:rPr>
        <w:t>103.05  این نیروها هنگامی که برای دوره‌های خاص بسیج می‌شوند یا پس از تأیید اعتبار برای استخدام توسط سرویس والدینشان به رگاف دستور داده می‌شوند، برای مأموریت‌های عملیاتی در دسترس هستند.</w:t>
      </w:r>
    </w:p>
    <w:p>
      <w:pPr>
        <w:spacing w:after="28" w:line="216" w:lineRule="auto"/>
        <w:ind w:left="259"/>
        <w:jc w:val="left"/>
      </w:pPr>
      <w:r>
        <w:rPr>
          <w:rFonts w:ascii="Arial" w:hAnsi="Arial"/>
          <w:color w:val="525252"/>
          <w:sz w:val="13"/>
        </w:rPr>
        <w:t>These forces are available for operational missions when mobilized for specific periods or when ordered to RegAF after being validated for employment by their parent Service.</w:t>
      </w:r>
    </w:p>
    <w:p>
      <w:pPr>
        <w:spacing w:before="60" w:after="28"/>
        <w:jc w:val="right"/>
        <w:bidi/>
      </w:pPr>
      <w:r>
        <w:rPr>
          <w:b/>
          <w:color w:val="1F4D78"/>
          <w:sz w:val="18"/>
        </w:rPr>
        <w:t>6.8. سازمان نیروی مشترک</w:t>
      </w:r>
    </w:p>
    <w:p>
      <w:pPr>
        <w:spacing w:after="20"/>
        <w:ind w:left="259"/>
        <w:jc w:val="left"/>
      </w:pPr>
      <w:r>
        <w:rPr>
          <w:color w:val="555555"/>
          <w:sz w:val="12"/>
        </w:rPr>
        <w:t>6.8. Joint Force Organization</w:t>
      </w:r>
    </w:p>
    <w:p>
      <w:pPr>
        <w:spacing w:after="20" w:line="223" w:lineRule="auto"/>
        <w:jc w:val="right"/>
        <w:bidi/>
      </w:pPr>
      <w:r>
        <w:rPr>
          <w:rFonts w:ascii="Arial" w:hAnsi="Arial"/>
          <w:sz w:val="16"/>
        </w:rPr>
        <w:t>103.07  نیروی مشترک، نیرویی است مرکب از عناصر، اختصاص داده شده، یا پیوست شده از دو یا چند بخش نظامی که زیر نظر یک فرمانده نیروی مشترک عمل می‌کنند.</w:t>
      </w:r>
    </w:p>
    <w:p>
      <w:pPr>
        <w:spacing w:after="28" w:line="216" w:lineRule="auto"/>
        <w:ind w:left="259"/>
        <w:jc w:val="left"/>
      </w:pPr>
      <w:r>
        <w:rPr>
          <w:rFonts w:ascii="Arial" w:hAnsi="Arial"/>
          <w:color w:val="525252"/>
          <w:sz w:val="13"/>
        </w:rPr>
        <w:t>A joint force is a force composed of elements, assigned, or attached, of two or more Military Departments operating under a single joint force commander.</w:t>
      </w:r>
    </w:p>
    <w:p>
      <w:pPr>
        <w:spacing w:after="20" w:line="223" w:lineRule="auto"/>
        <w:jc w:val="right"/>
        <w:bidi/>
      </w:pPr>
      <w:r>
        <w:rPr>
          <w:rFonts w:ascii="Arial" w:hAnsi="Arial"/>
          <w:sz w:val="16"/>
        </w:rPr>
        <w:t>103.08  نیروهای مشترک در سه سطح ایجاد می‌شوند: CCMD یکپارچه، فرماندهی واحد تابعه، و نیروهای عملیات مشترک.</w:t>
      </w:r>
    </w:p>
    <w:p>
      <w:pPr>
        <w:spacing w:after="28" w:line="216" w:lineRule="auto"/>
        <w:ind w:left="259"/>
        <w:jc w:val="left"/>
      </w:pPr>
      <w:r>
        <w:rPr>
          <w:rFonts w:ascii="Arial" w:hAnsi="Arial"/>
          <w:color w:val="525252"/>
          <w:sz w:val="13"/>
        </w:rPr>
        <w:t>Joint forces are established at three levels: unified CCMDs, subordinate unified commands, and joint task forces.</w:t>
      </w:r>
    </w:p>
    <w:p>
      <w:pPr>
        <w:spacing w:after="20" w:line="223" w:lineRule="auto"/>
        <w:jc w:val="right"/>
        <w:bidi/>
      </w:pPr>
      <w:r>
        <w:rPr>
          <w:rFonts w:ascii="Arial" w:hAnsi="Arial"/>
          <w:sz w:val="16"/>
        </w:rPr>
        <w:t>103.09  این سازمان‌ها توسط یک JFC فرماندهی می‌شوند.</w:t>
      </w:r>
    </w:p>
    <w:p>
      <w:pPr>
        <w:spacing w:after="28" w:line="216" w:lineRule="auto"/>
        <w:ind w:left="259"/>
        <w:jc w:val="left"/>
      </w:pPr>
      <w:r>
        <w:rPr>
          <w:rFonts w:ascii="Arial" w:hAnsi="Arial"/>
          <w:color w:val="525252"/>
          <w:sz w:val="13"/>
        </w:rPr>
        <w:t>These organizations are commanded by a JFC.</w:t>
      </w:r>
    </w:p>
    <w:p>
      <w:pPr>
        <w:spacing w:after="20" w:line="223" w:lineRule="auto"/>
        <w:jc w:val="right"/>
        <w:bidi/>
      </w:pPr>
      <w:r>
        <w:rPr>
          <w:rFonts w:ascii="Arial" w:hAnsi="Arial"/>
          <w:sz w:val="16"/>
        </w:rPr>
        <w:t>103.10  فرمانده نیروی مشترک.</w:t>
      </w:r>
    </w:p>
    <w:p>
      <w:pPr>
        <w:spacing w:after="28" w:line="216" w:lineRule="auto"/>
        <w:ind w:left="259"/>
        <w:jc w:val="left"/>
      </w:pPr>
      <w:r>
        <w:rPr>
          <w:rFonts w:ascii="Arial" w:hAnsi="Arial"/>
          <w:color w:val="525252"/>
          <w:sz w:val="13"/>
        </w:rPr>
        <w:t>Joint Force Commander.</w:t>
      </w:r>
    </w:p>
    <w:p>
      <w:pPr>
        <w:spacing w:after="20" w:line="223" w:lineRule="auto"/>
        <w:jc w:val="right"/>
        <w:bidi/>
      </w:pPr>
      <w:r>
        <w:rPr>
          <w:rFonts w:ascii="Arial" w:hAnsi="Arial"/>
          <w:sz w:val="16"/>
        </w:rPr>
        <w:t>103.11  JFC اصطلاحی است که به CCDR، فرمانده زیرمجموعه، یا فرمانده نیروی عملیات مشترک مجاز به اعمال COCOM یا کنترل عملیاتی بر روی یک نیروی مشترک اطلاق می‌شود.</w:t>
      </w:r>
    </w:p>
    <w:p>
      <w:pPr>
        <w:spacing w:after="28" w:line="216" w:lineRule="auto"/>
        <w:ind w:left="259"/>
        <w:jc w:val="left"/>
      </w:pPr>
      <w:r>
        <w:rPr>
          <w:rFonts w:ascii="Arial" w:hAnsi="Arial"/>
          <w:color w:val="525252"/>
          <w:sz w:val="13"/>
        </w:rPr>
        <w:t>A JFC is a term applied to a CCDR, subunified commander, or joint task force commander authorized to exercise COCOM or operational control over a joint force.</w:t>
      </w:r>
    </w:p>
    <w:p>
      <w:pPr>
        <w:spacing w:after="20" w:line="223" w:lineRule="auto"/>
        <w:jc w:val="right"/>
        <w:bidi/>
      </w:pPr>
      <w:r>
        <w:rPr>
          <w:rFonts w:ascii="Arial" w:hAnsi="Arial"/>
          <w:sz w:val="16"/>
        </w:rPr>
        <w:t>103.12  مسئولیت‌های JFC ارائه قصد و نیت واضح فرمانده و ارتباط به موقع وظایف مشخص شده، همراه با هر گونه الزامات لازم برای هماهنگی و گزارش است.</w:t>
      </w:r>
    </w:p>
    <w:p>
      <w:pPr>
        <w:spacing w:after="28" w:line="216" w:lineRule="auto"/>
        <w:ind w:left="259"/>
        <w:jc w:val="left"/>
      </w:pPr>
      <w:r>
        <w:rPr>
          <w:rFonts w:ascii="Arial" w:hAnsi="Arial"/>
          <w:color w:val="525252"/>
          <w:sz w:val="13"/>
        </w:rPr>
        <w:t>JFC’s responsibilities are to provide a clear commander’s intent and timely communication of specified tasks, together with any required coordinating and reporting requirements.</w:t>
      </w:r>
    </w:p>
    <w:p>
      <w:pPr>
        <w:spacing w:after="20" w:line="223" w:lineRule="auto"/>
        <w:jc w:val="right"/>
        <w:bidi/>
      </w:pPr>
      <w:r>
        <w:rPr>
          <w:rFonts w:ascii="Arial" w:hAnsi="Arial"/>
          <w:sz w:val="16"/>
        </w:rPr>
        <w:t>103.13  یک JFC مسئول انتقال نیروها و سایر قابلیت‌ها به فرماندهان زیردست تعیین شده برای انجام وظایف محوله است.</w:t>
      </w:r>
    </w:p>
    <w:p>
      <w:pPr>
        <w:spacing w:after="28" w:line="216" w:lineRule="auto"/>
        <w:ind w:left="259"/>
        <w:jc w:val="left"/>
      </w:pPr>
      <w:r>
        <w:rPr>
          <w:rFonts w:ascii="Arial" w:hAnsi="Arial"/>
          <w:color w:val="525252"/>
          <w:sz w:val="13"/>
        </w:rPr>
        <w:t>A JFC is responsible for the transfer of forces and other capabilities to designated subordinate commanders for accomplishing assigned tasks.</w:t>
      </w:r>
    </w:p>
    <w:p>
      <w:pPr>
        <w:spacing w:after="20" w:line="223" w:lineRule="auto"/>
        <w:jc w:val="right"/>
        <w:bidi/>
      </w:pPr>
      <w:r>
        <w:rPr>
          <w:rFonts w:ascii="Arial" w:hAnsi="Arial"/>
          <w:sz w:val="16"/>
        </w:rPr>
        <w:t>103.14  یک JFC تمام اطلاعات موجود را در اختیار فرماندهان زیردست قرار می‌دهد که بر مأموریت‌ها و اهداف تعیین‌شده آنها تأثیر می‌گذارد.</w:t>
      </w:r>
    </w:p>
    <w:p>
      <w:pPr>
        <w:spacing w:after="28" w:line="216" w:lineRule="auto"/>
        <w:ind w:left="259"/>
        <w:jc w:val="left"/>
      </w:pPr>
      <w:r>
        <w:rPr>
          <w:rFonts w:ascii="Arial" w:hAnsi="Arial"/>
          <w:color w:val="525252"/>
          <w:sz w:val="13"/>
        </w:rPr>
        <w:t>A JFC will provide all available information to subordinate commanders that affect their assigned missions and objectives.</w:t>
      </w:r>
    </w:p>
    <w:p>
      <w:pPr>
        <w:spacing w:after="20" w:line="223" w:lineRule="auto"/>
        <w:jc w:val="right"/>
        <w:bidi/>
      </w:pPr>
      <w:r>
        <w:rPr>
          <w:rFonts w:ascii="Arial" w:hAnsi="Arial"/>
          <w:sz w:val="16"/>
        </w:rPr>
        <w:t>103.15  فرمانده نیروی هوایی.</w:t>
      </w:r>
    </w:p>
    <w:p>
      <w:pPr>
        <w:spacing w:after="28" w:line="216" w:lineRule="auto"/>
        <w:ind w:left="259"/>
        <w:jc w:val="left"/>
      </w:pPr>
      <w:r>
        <w:rPr>
          <w:rFonts w:ascii="Arial" w:hAnsi="Arial"/>
          <w:color w:val="525252"/>
          <w:sz w:val="13"/>
        </w:rPr>
        <w:t>Commander, Air Force Forces.</w:t>
      </w:r>
    </w:p>
    <w:p>
      <w:pPr>
        <w:spacing w:after="20" w:line="223" w:lineRule="auto"/>
        <w:jc w:val="right"/>
        <w:bidi/>
      </w:pPr>
      <w:r>
        <w:rPr>
          <w:rFonts w:ascii="Arial" w:hAnsi="Arial"/>
          <w:sz w:val="16"/>
        </w:rPr>
        <w:t>103.16  عنوان فرمانده، نیروهای نیروی هوایی (COMAFFOR) برای شناسایی فرمانده نیروی هوایی ایالات متحده در یک جزء USAF محفوظ است.</w:t>
      </w:r>
    </w:p>
    <w:p>
      <w:pPr>
        <w:spacing w:after="28" w:line="216" w:lineRule="auto"/>
        <w:ind w:left="259"/>
        <w:jc w:val="left"/>
      </w:pPr>
      <w:r>
        <w:rPr>
          <w:rFonts w:ascii="Arial" w:hAnsi="Arial"/>
          <w:color w:val="525252"/>
          <w:sz w:val="13"/>
        </w:rPr>
        <w:t>The title of commander, Air Force Forces (COMAFFOR) is reserved to identify the USAF commander of a USAF component.</w:t>
      </w:r>
    </w:p>
    <w:p>
      <w:pPr>
        <w:spacing w:after="20" w:line="223" w:lineRule="auto"/>
        <w:jc w:val="right"/>
        <w:bidi/>
      </w:pPr>
      <w:r>
        <w:rPr>
          <w:rFonts w:ascii="Arial" w:hAnsi="Arial"/>
          <w:sz w:val="16"/>
        </w:rPr>
        <w:t>103.17  این جزء می‌تواند به یک نیروی مشترک در سطح CCMD یکپارچه، CCMD یکپارچه تابعه، یا در سطح نیروی کار مشترک اختصاص داده یا به آن متصل شود.</w:t>
      </w:r>
    </w:p>
    <w:p>
      <w:pPr>
        <w:spacing w:after="28" w:line="216" w:lineRule="auto"/>
        <w:ind w:left="259"/>
        <w:jc w:val="left"/>
      </w:pPr>
      <w:r>
        <w:rPr>
          <w:rFonts w:ascii="Arial" w:hAnsi="Arial"/>
          <w:color w:val="525252"/>
          <w:sz w:val="13"/>
        </w:rPr>
        <w:t>This component could be assigned or attached to a joint force at the unified CCMD, subordinate unified CCMD, or joint task force level.</w:t>
      </w:r>
    </w:p>
    <w:p>
      <w:pPr>
        <w:spacing w:after="20" w:line="223" w:lineRule="auto"/>
        <w:jc w:val="right"/>
        <w:bidi/>
      </w:pPr>
      <w:r>
        <w:rPr>
          <w:rFonts w:ascii="Arial" w:hAnsi="Arial"/>
          <w:sz w:val="16"/>
        </w:rPr>
        <w:t>103.18  از نظر عملیاتی، COMAFFOR باید آماده بکارگیری نیروهای نیروی هوایی طبق دستور JFC باشد، و در صورت تعیین، آماده به‌کارگیری نیروهای هوایی مشترک به‌عنوان فرمانده جزء نیروی هوایی مشترک (JFACC) باشد.</w:t>
      </w:r>
    </w:p>
    <w:p>
      <w:pPr>
        <w:spacing w:after="28" w:line="216" w:lineRule="auto"/>
        <w:ind w:left="259"/>
        <w:jc w:val="left"/>
      </w:pPr>
      <w:r>
        <w:rPr>
          <w:rFonts w:ascii="Arial" w:hAnsi="Arial"/>
          <w:color w:val="525252"/>
          <w:sz w:val="13"/>
        </w:rPr>
        <w:t>Operationally, the COMAFFOR should be prepared to employ Air Force Forces as directed by the JFC, and if designated, be prepared to employ joint air forces as the joint force air component commander (JFACC).</w:t>
      </w:r>
    </w:p>
    <w:p>
      <w:pPr>
        <w:spacing w:after="20" w:line="223" w:lineRule="auto"/>
        <w:jc w:val="right"/>
        <w:bidi/>
      </w:pPr>
      <w:r>
        <w:rPr>
          <w:rFonts w:ascii="Arial" w:hAnsi="Arial"/>
          <w:sz w:val="16"/>
        </w:rPr>
        <w:t>103.19  COMAFFOR معمولا باید در سطح فرماندهی بالاتر از نیروهای عملیاتی تعیین شود و نباید به‌عنوان فرمانده یکی از واحدهای عملیاتی زیرمجموعه قرار گیرد.</w:t>
      </w:r>
    </w:p>
    <w:p>
      <w:pPr>
        <w:spacing w:after="28" w:line="216" w:lineRule="auto"/>
        <w:ind w:left="259"/>
        <w:jc w:val="left"/>
      </w:pPr>
      <w:r>
        <w:rPr>
          <w:rFonts w:ascii="Arial" w:hAnsi="Arial"/>
          <w:color w:val="525252"/>
          <w:sz w:val="13"/>
        </w:rPr>
        <w:t>The COMAFFOR should normally be designated at a command level above the operating forces and should not be dual- hatted as commander of one of the subordinate operating units.</w:t>
      </w:r>
    </w:p>
    <w:p>
      <w:pPr>
        <w:spacing w:after="20" w:line="223" w:lineRule="auto"/>
        <w:jc w:val="right"/>
        <w:bidi/>
      </w:pPr>
      <w:r>
        <w:rPr>
          <w:rFonts w:ascii="Arial" w:hAnsi="Arial"/>
          <w:sz w:val="16"/>
        </w:rPr>
        <w:t>103.20  این امر COMAFFOR را قادر می‌سازد تا در سطح عملیاتی جنگ تمرکز کند، در حالی که فرماندهان زیردست واحدهای خود را در سطح تاکتیکی رهبری می‌کنند.</w:t>
      </w:r>
    </w:p>
    <w:p>
      <w:pPr>
        <w:spacing w:after="28" w:line="216" w:lineRule="auto"/>
        <w:ind w:left="259"/>
        <w:jc w:val="left"/>
      </w:pPr>
      <w:r>
        <w:rPr>
          <w:rFonts w:ascii="Arial" w:hAnsi="Arial"/>
          <w:color w:val="525252"/>
          <w:sz w:val="13"/>
        </w:rPr>
        <w:t>This enables the COMAFFOR to focus at the operational level of war, while subordinate commanders lead their units at the tactical level.</w:t>
      </w:r>
    </w:p>
    <w:p>
      <w:pPr>
        <w:spacing w:after="20" w:line="223" w:lineRule="auto"/>
        <w:jc w:val="right"/>
        <w:bidi/>
      </w:pPr>
      <w:r>
        <w:rPr>
          <w:rFonts w:ascii="Arial" w:hAnsi="Arial"/>
          <w:sz w:val="16"/>
        </w:rPr>
        <w:t>103.21  از آنجایی که COMAFFOR و JFACC تقریبا همیشه یک نفر هستند، USAF ترجیح می‌دهد از اصطلاح "فرمانده اجزای هوایی" در هنگام اشاره به وظایف یا وظایفی استفاده کند که می‌تواند توسط هر دو یا هر دو انجام شود، مگر اینکه استفاده صریح از اصطلاح "COMAFFOR" یا "JFACC" برای وضوح لازم باشد.</w:t>
      </w:r>
    </w:p>
    <w:p>
      <w:pPr>
        <w:spacing w:after="28" w:line="216" w:lineRule="auto"/>
        <w:ind w:left="259"/>
        <w:jc w:val="left"/>
      </w:pPr>
      <w:r>
        <w:rPr>
          <w:rFonts w:ascii="Arial" w:hAnsi="Arial"/>
          <w:color w:val="525252"/>
          <w:sz w:val="13"/>
        </w:rPr>
        <w:t>Since the COMAFFOR and JFACC are nearly always the same individual, the USAF prefers to use the term “air component commander” when referring to duties or functions that could be carried out by either or both, unless explicit use of the term “COMAFFOR” or “JFACC” is necessary for clarity.</w:t>
      </w:r>
    </w:p>
    <w:p>
      <w:pPr>
        <w:spacing w:after="20" w:line="223" w:lineRule="auto"/>
        <w:jc w:val="right"/>
        <w:bidi/>
      </w:pPr>
      <w:r>
        <w:rPr>
          <w:rFonts w:ascii="Arial" w:hAnsi="Arial"/>
          <w:sz w:val="16"/>
        </w:rPr>
        <w:t>103.22  این دوگانگی اختیارات در اصل موضوع بیان می‌شود: نیروهای هوایی برای نیروهای هوایی کار می‌کند و عضو نیروی هوایی ارشد برای JFC کار می‌کند.</w:t>
      </w:r>
    </w:p>
    <w:p>
      <w:pPr>
        <w:spacing w:after="28" w:line="216" w:lineRule="auto"/>
        <w:ind w:left="259"/>
        <w:jc w:val="left"/>
      </w:pPr>
      <w:r>
        <w:rPr>
          <w:rFonts w:ascii="Arial" w:hAnsi="Arial"/>
          <w:color w:val="525252"/>
          <w:sz w:val="13"/>
        </w:rPr>
        <w:t>This duality of authorities is expressed in the axiom: Airmen work for Airmen and the senior Airman works for the JFC.</w:t>
      </w:r>
    </w:p>
    <w:p>
      <w:pPr>
        <w:spacing w:after="20" w:line="223" w:lineRule="auto"/>
        <w:jc w:val="right"/>
        <w:bidi/>
      </w:pPr>
      <w:r>
        <w:rPr>
          <w:rFonts w:ascii="Arial" w:hAnsi="Arial"/>
          <w:sz w:val="16"/>
        </w:rPr>
        <w:t>103.23  گروه ضربت اعزامی هوایی.</w:t>
      </w:r>
    </w:p>
    <w:p>
      <w:pPr>
        <w:spacing w:after="28" w:line="216" w:lineRule="auto"/>
        <w:ind w:left="259"/>
        <w:jc w:val="left"/>
      </w:pPr>
      <w:r>
        <w:rPr>
          <w:rFonts w:ascii="Arial" w:hAnsi="Arial"/>
          <w:color w:val="525252"/>
          <w:sz w:val="13"/>
        </w:rPr>
        <w:t>Air Expeditionary Task Force.</w:t>
      </w:r>
    </w:p>
    <w:p>
      <w:pPr>
        <w:spacing w:after="20" w:line="223" w:lineRule="auto"/>
        <w:jc w:val="right"/>
        <w:bidi/>
      </w:pPr>
      <w:r>
        <w:rPr>
          <w:rFonts w:ascii="Arial" w:hAnsi="Arial"/>
          <w:sz w:val="16"/>
        </w:rPr>
        <w:t>103.24  گروه ضربت اعزامی هوایی (AETF) وسیله اولیه‌ای است که توسط آن USAF نیروها را به یک JFC در طول عملیات اضطراری ارائه می‌کند، زمانی که هیچ جزء موجود USAF از قبل وجود نداشته باشد، مانند زمانی که یک کارگروه مشترک ایجاد شده است.</w:t>
      </w:r>
    </w:p>
    <w:p>
      <w:pPr>
        <w:spacing w:after="28" w:line="216" w:lineRule="auto"/>
        <w:ind w:left="259"/>
        <w:jc w:val="left"/>
      </w:pPr>
      <w:r>
        <w:rPr>
          <w:rFonts w:ascii="Arial" w:hAnsi="Arial"/>
          <w:color w:val="525252"/>
          <w:sz w:val="13"/>
        </w:rPr>
        <w:t>The air expeditionary task force (AETF) is the primary means by which the USAF presents forces to a JFC during contingency operations when no existing USAF component already exists, such as when a joint task force is established.</w:t>
      </w:r>
    </w:p>
    <w:p>
      <w:pPr>
        <w:spacing w:after="20" w:line="223" w:lineRule="auto"/>
        <w:jc w:val="right"/>
        <w:bidi/>
      </w:pPr>
      <w:r>
        <w:rPr>
          <w:rFonts w:ascii="Arial" w:hAnsi="Arial"/>
          <w:sz w:val="16"/>
        </w:rPr>
        <w:t>103.25  AETFها برای برآوردن الزامات مأموریت خاص JFC اندازه و طراحی شده‌اند.</w:t>
      </w:r>
    </w:p>
    <w:p>
      <w:pPr>
        <w:spacing w:after="28" w:line="216" w:lineRule="auto"/>
        <w:ind w:left="259"/>
        <w:jc w:val="left"/>
      </w:pPr>
      <w:r>
        <w:rPr>
          <w:rFonts w:ascii="Arial" w:hAnsi="Arial"/>
          <w:color w:val="525252"/>
          <w:sz w:val="13"/>
        </w:rPr>
        <w:t>AETFs are sized and tailored to meet the JFC’s specific mission requirements.</w:t>
      </w:r>
    </w:p>
    <w:p>
      <w:pPr>
        <w:spacing w:after="20" w:line="223" w:lineRule="auto"/>
        <w:jc w:val="right"/>
        <w:bidi/>
      </w:pPr>
      <w:r>
        <w:rPr>
          <w:rFonts w:ascii="Arial" w:hAnsi="Arial"/>
          <w:sz w:val="16"/>
        </w:rPr>
        <w:t>103.26  هنگام تشکیل یک AETF، COMAFFOR در صورت وجود، ابتدا باید از منابع درون تئاتر استفاده کند.</w:t>
      </w:r>
    </w:p>
    <w:p>
      <w:pPr>
        <w:spacing w:after="28" w:line="216" w:lineRule="auto"/>
        <w:ind w:left="259"/>
        <w:jc w:val="left"/>
      </w:pPr>
      <w:r>
        <w:rPr>
          <w:rFonts w:ascii="Arial" w:hAnsi="Arial"/>
          <w:color w:val="525252"/>
          <w:sz w:val="13"/>
        </w:rPr>
        <w:t>When forming an AETF, the COMAFFOR should draw first from in-theater resources, if available.</w:t>
      </w:r>
    </w:p>
    <w:p>
      <w:pPr>
        <w:spacing w:after="20" w:line="223" w:lineRule="auto"/>
        <w:jc w:val="right"/>
        <w:bidi/>
      </w:pPr>
      <w:r>
        <w:rPr>
          <w:rFonts w:ascii="Arial" w:hAnsi="Arial"/>
          <w:sz w:val="16"/>
        </w:rPr>
        <w:t>103.27  در صورت نیاز به تقویت، یا اگر نیروهای داخل سالن در دسترس نباشند، USAF از نیروی اعزامی هوایی که در حال حاضر در حال چرخش هستند، استفاده خواهد کرد.</w:t>
      </w:r>
    </w:p>
    <w:p>
      <w:pPr>
        <w:spacing w:after="28" w:line="216" w:lineRule="auto"/>
        <w:ind w:left="259"/>
        <w:jc w:val="left"/>
      </w:pPr>
      <w:r>
        <w:rPr>
          <w:rFonts w:ascii="Arial" w:hAnsi="Arial"/>
          <w:color w:val="525252"/>
          <w:sz w:val="13"/>
        </w:rPr>
        <w:t>If augmentation is needed, or if in-theater forces are not available, the USAF will draw from the air expeditionary force currently on rotation.</w:t>
      </w:r>
    </w:p>
    <w:p>
      <w:pPr>
        <w:spacing w:after="20" w:line="223" w:lineRule="auto"/>
        <w:jc w:val="right"/>
        <w:bidi/>
      </w:pPr>
      <w:r>
        <w:rPr>
          <w:rFonts w:ascii="Arial" w:hAnsi="Arial"/>
          <w:sz w:val="16"/>
        </w:rPr>
        <w:t>103.28  این نیروها، چه در داخل تئاتر و چه از خارج از تئاتر مستقر شده باشند، باید به‌طور کامل با نگهداری، پشتیبانی لجستیکی، خدمات بهداشتی، و عناصر اداری مورد حمایت قرار گیرند.</w:t>
      </w:r>
    </w:p>
    <w:p>
      <w:pPr>
        <w:spacing w:after="28" w:line="216" w:lineRule="auto"/>
        <w:ind w:left="259"/>
        <w:jc w:val="left"/>
      </w:pPr>
      <w:r>
        <w:rPr>
          <w:rFonts w:ascii="Arial" w:hAnsi="Arial"/>
          <w:color w:val="525252"/>
          <w:sz w:val="13"/>
        </w:rPr>
        <w:t>These forces, whether in-theater or deployed from out of theater, should be fully supported with the requisite maintenance, logistical support, health services, and administrative elements.</w:t>
      </w:r>
    </w:p>
    <w:p>
      <w:pPr>
        <w:spacing w:after="20" w:line="223" w:lineRule="auto"/>
        <w:jc w:val="right"/>
        <w:bidi/>
      </w:pPr>
      <w:r>
        <w:rPr>
          <w:rFonts w:ascii="Arial" w:hAnsi="Arial"/>
          <w:sz w:val="16"/>
        </w:rPr>
        <w:t>103.29  این نیروها در داخل گروه ضربت اعزامی هوایی به‌عنوان بال‌های اعزامی، گروه‌ها، اسکادران‌ها، پروازها، جداشدگان یا عناصر تشکیل می‌شوند تا محدوده‌های معقولی از عناصر فرماندهی و کنترل را در سطوح مناسب فراهم کنند و هویت واحد را ارائه دهند.</w:t>
      </w:r>
    </w:p>
    <w:p>
      <w:pPr>
        <w:spacing w:after="28" w:line="216" w:lineRule="auto"/>
        <w:ind w:left="259"/>
        <w:jc w:val="left"/>
      </w:pPr>
      <w:r>
        <w:rPr>
          <w:rFonts w:ascii="Arial" w:hAnsi="Arial"/>
          <w:color w:val="525252"/>
          <w:sz w:val="13"/>
        </w:rPr>
        <w:t>These forces will form up within the air expeditionary task force as expeditionary wings, groups, squadrons, flights, detachments, or elements, to provide reasonable spans of command and control elements at appropriate levels, and to provide unit identity.</w:t>
      </w:r>
    </w:p>
    <w:p>
      <w:pPr>
        <w:spacing w:after="20" w:line="223" w:lineRule="auto"/>
        <w:jc w:val="right"/>
        <w:bidi/>
      </w:pPr>
      <w:r>
        <w:rPr>
          <w:rFonts w:ascii="Arial" w:hAnsi="Arial"/>
          <w:sz w:val="16"/>
        </w:rPr>
        <w:t>103.30  مرکز عملیات هوایی.</w:t>
      </w:r>
    </w:p>
    <w:p>
      <w:pPr>
        <w:spacing w:after="28" w:line="216" w:lineRule="auto"/>
        <w:ind w:left="259"/>
        <w:jc w:val="left"/>
      </w:pPr>
      <w:r>
        <w:rPr>
          <w:rFonts w:ascii="Arial" w:hAnsi="Arial"/>
          <w:color w:val="525252"/>
          <w:sz w:val="13"/>
        </w:rPr>
        <w:t>Air Operations Center.</w:t>
      </w:r>
    </w:p>
    <w:p>
      <w:pPr>
        <w:spacing w:after="20" w:line="223" w:lineRule="auto"/>
        <w:jc w:val="right"/>
        <w:bidi/>
      </w:pPr>
      <w:r>
        <w:rPr>
          <w:rFonts w:ascii="Arial" w:hAnsi="Arial"/>
          <w:sz w:val="16"/>
        </w:rPr>
        <w:t>103.31  مرکز عملیات هوایی (AOC) آژانس ارشد COMAFFOR است که فرماندهی و کنترل نیروهای نیروی هوایی را فراهم می‌کند و با سایر اجزا هماهنگ می‌کند.</w:t>
      </w:r>
    </w:p>
    <w:p>
      <w:pPr>
        <w:spacing w:after="28" w:line="216" w:lineRule="auto"/>
        <w:ind w:left="259"/>
        <w:jc w:val="left"/>
      </w:pPr>
      <w:r>
        <w:rPr>
          <w:rFonts w:ascii="Arial" w:hAnsi="Arial"/>
          <w:color w:val="525252"/>
          <w:sz w:val="13"/>
        </w:rPr>
        <w:t>The air operations center (AOC) is the senior agency of the COMAFFOR that provides command and control of Air Force Forces and coordinates with other components</w:t>
      </w:r>
    </w:p>
    <w:p>
      <w:r>
        <w:br w:type="page"/>
      </w:r>
    </w:p>
    <w:p>
      <w:pPr>
        <w:spacing w:after="60"/>
        <w:jc w:val="right"/>
        <w:bidi/>
      </w:pPr>
      <w:r>
        <w:rPr>
          <w:rFonts w:ascii="Arial" w:hAnsi="Arial"/>
          <w:b/>
          <w:color w:val="1F4D78"/>
          <w:sz w:val="19"/>
        </w:rPr>
        <w:t>هفتهٔ 104  |  صفحهٔ منبع: 120</w:t>
      </w:r>
    </w:p>
    <w:p>
      <w:pPr>
        <w:spacing w:after="20" w:line="223" w:lineRule="auto"/>
        <w:jc w:val="right"/>
        <w:bidi/>
      </w:pPr>
      <w:r>
        <w:rPr>
          <w:rFonts w:ascii="Arial" w:hAnsi="Arial"/>
          <w:sz w:val="16"/>
        </w:rPr>
        <w:t>104.01  و خدمات.</w:t>
      </w:r>
    </w:p>
    <w:p>
      <w:pPr>
        <w:spacing w:after="28" w:line="216" w:lineRule="auto"/>
        <w:ind w:left="259"/>
        <w:jc w:val="left"/>
      </w:pPr>
      <w:r>
        <w:rPr>
          <w:rFonts w:ascii="Arial" w:hAnsi="Arial"/>
          <w:color w:val="525252"/>
          <w:sz w:val="13"/>
        </w:rPr>
        <w:t>and Services.</w:t>
      </w:r>
    </w:p>
    <w:p>
      <w:pPr>
        <w:spacing w:after="20" w:line="223" w:lineRule="auto"/>
        <w:jc w:val="right"/>
        <w:bidi/>
      </w:pPr>
      <w:r>
        <w:rPr>
          <w:rFonts w:ascii="Arial" w:hAnsi="Arial"/>
          <w:sz w:val="16"/>
        </w:rPr>
        <w:t>104.02  یک AOC ممکن است منطقه‌ای یا عملکردی باشد و با هدف نیروی مشترکی که پشتیبانی می‌کند همسو باشد.</w:t>
      </w:r>
    </w:p>
    <w:p>
      <w:pPr>
        <w:spacing w:after="28" w:line="216" w:lineRule="auto"/>
        <w:ind w:left="259"/>
        <w:jc w:val="left"/>
      </w:pPr>
      <w:r>
        <w:rPr>
          <w:rFonts w:ascii="Arial" w:hAnsi="Arial"/>
          <w:color w:val="525252"/>
          <w:sz w:val="13"/>
        </w:rPr>
        <w:t>An AOC may be regional or functional, aligning with the purpose of the joint force they support.</w:t>
      </w:r>
    </w:p>
    <w:p>
      <w:pPr>
        <w:spacing w:after="20" w:line="223" w:lineRule="auto"/>
        <w:jc w:val="right"/>
        <w:bidi/>
      </w:pPr>
      <w:r>
        <w:rPr>
          <w:rFonts w:ascii="Arial" w:hAnsi="Arial"/>
          <w:sz w:val="16"/>
        </w:rPr>
        <w:t>104.03  AOC شامل برنامه‌ریزی، اطلاعات، اشتغال، تحرک و قابلیت‌های ارزیابی لازم برای برنامه‌ریزی و اجرای عملیات هوایی است.</w:t>
      </w:r>
    </w:p>
    <w:p>
      <w:pPr>
        <w:spacing w:after="28" w:line="216" w:lineRule="auto"/>
        <w:ind w:left="259"/>
        <w:jc w:val="left"/>
      </w:pPr>
      <w:r>
        <w:rPr>
          <w:rFonts w:ascii="Arial" w:hAnsi="Arial"/>
          <w:color w:val="525252"/>
          <w:sz w:val="13"/>
        </w:rPr>
        <w:t>The AOC includes requisite planning, intelligence, employment, mobility, and assessment capabilities to plan and conduct air operations.</w:t>
      </w:r>
    </w:p>
    <w:p>
      <w:pPr>
        <w:spacing w:after="20" w:line="223" w:lineRule="auto"/>
        <w:jc w:val="right"/>
        <w:bidi/>
      </w:pPr>
      <w:r>
        <w:rPr>
          <w:rFonts w:ascii="Arial" w:hAnsi="Arial"/>
          <w:sz w:val="16"/>
        </w:rPr>
        <w:t>104.04  اگر COMAFFOR به‌عنوان JFACC نیز تعیین شود، AOC معمولا تقویت مفصل دریافت می‌کند و به AOC مشترک تبدیل می‌شود.</w:t>
      </w:r>
    </w:p>
    <w:p>
      <w:pPr>
        <w:spacing w:after="28" w:line="216" w:lineRule="auto"/>
        <w:ind w:left="259"/>
        <w:jc w:val="left"/>
      </w:pPr>
      <w:r>
        <w:rPr>
          <w:rFonts w:ascii="Arial" w:hAnsi="Arial"/>
          <w:color w:val="525252"/>
          <w:sz w:val="13"/>
        </w:rPr>
        <w:t>If the COMAFFOR is also designated as the JFACC, the AOC will typically receive joint augmentation and become the joint AOC</w:t>
      </w:r>
    </w:p>
    <w:p>
      <w:pPr>
        <w:spacing w:before="60" w:after="28"/>
        <w:jc w:val="right"/>
        <w:bidi/>
      </w:pPr>
      <w:r>
        <w:rPr>
          <w:b/>
          <w:color w:val="1F4D78"/>
          <w:sz w:val="18"/>
        </w:rPr>
        <w:t>(JAOC).</w:t>
      </w:r>
    </w:p>
    <w:p>
      <w:pPr>
        <w:spacing w:after="20"/>
        <w:ind w:left="259"/>
        <w:jc w:val="left"/>
      </w:pPr>
      <w:r>
        <w:rPr>
          <w:color w:val="555555"/>
          <w:sz w:val="12"/>
        </w:rPr>
        <w:t>(JAOC).</w:t>
      </w:r>
    </w:p>
    <w:p>
      <w:pPr>
        <w:spacing w:after="20" w:line="223" w:lineRule="auto"/>
        <w:jc w:val="right"/>
        <w:bidi/>
      </w:pPr>
      <w:r>
        <w:rPr>
          <w:rFonts w:ascii="Arial" w:hAnsi="Arial"/>
          <w:sz w:val="16"/>
        </w:rPr>
        <w:t>104.06  کارکنان نیروی هوایی.</w:t>
      </w:r>
    </w:p>
    <w:p>
      <w:pPr>
        <w:spacing w:after="28" w:line="216" w:lineRule="auto"/>
        <w:ind w:left="259"/>
        <w:jc w:val="left"/>
      </w:pPr>
      <w:r>
        <w:rPr>
          <w:rFonts w:ascii="Arial" w:hAnsi="Arial"/>
          <w:color w:val="525252"/>
          <w:sz w:val="13"/>
        </w:rPr>
        <w:t>Air Force Forces Staff.</w:t>
      </w:r>
    </w:p>
    <w:p>
      <w:pPr>
        <w:spacing w:after="20" w:line="223" w:lineRule="auto"/>
        <w:jc w:val="right"/>
        <w:bidi/>
      </w:pPr>
      <w:r>
        <w:rPr>
          <w:rFonts w:ascii="Arial" w:hAnsi="Arial"/>
          <w:sz w:val="16"/>
        </w:rPr>
        <w:t>104.07  COMAFFOR به یک نهاد فرماندهی مسئول استقرار، حفظ و اداره نیروهای نیروی هوایی نیاز دارد.</w:t>
      </w:r>
    </w:p>
    <w:p>
      <w:pPr>
        <w:spacing w:after="28" w:line="216" w:lineRule="auto"/>
        <w:ind w:left="259"/>
        <w:jc w:val="left"/>
      </w:pPr>
      <w:r>
        <w:rPr>
          <w:rFonts w:ascii="Arial" w:hAnsi="Arial"/>
          <w:color w:val="525252"/>
          <w:sz w:val="13"/>
        </w:rPr>
        <w:t>The COMAFFOR needs a command entity responsible for the deployment, sustainment, and administration of Air Force Forces.</w:t>
      </w:r>
    </w:p>
    <w:p>
      <w:pPr>
        <w:spacing w:after="20" w:line="223" w:lineRule="auto"/>
        <w:jc w:val="right"/>
        <w:bidi/>
      </w:pPr>
      <w:r>
        <w:rPr>
          <w:rFonts w:ascii="Arial" w:hAnsi="Arial"/>
          <w:sz w:val="16"/>
        </w:rPr>
        <w:t>104.08  کارکنان AFFOR مکانیسمی است که COMAFFOR از طریق آن این مسئولیت‌های خدماتی را انجام می‌دهد.</w:t>
      </w:r>
    </w:p>
    <w:p>
      <w:pPr>
        <w:spacing w:after="28" w:line="216" w:lineRule="auto"/>
        <w:ind w:left="259"/>
        <w:jc w:val="left"/>
      </w:pPr>
      <w:r>
        <w:rPr>
          <w:rFonts w:ascii="Arial" w:hAnsi="Arial"/>
          <w:color w:val="525252"/>
          <w:sz w:val="13"/>
        </w:rPr>
        <w:t>The AFFOR staff is the mechanism through which the COMAFFOR exercises these Service responsibilities.</w:t>
      </w:r>
    </w:p>
    <w:p>
      <w:pPr>
        <w:spacing w:after="20" w:line="223" w:lineRule="auto"/>
        <w:jc w:val="right"/>
        <w:bidi/>
      </w:pPr>
      <w:r>
        <w:rPr>
          <w:rFonts w:ascii="Arial" w:hAnsi="Arial"/>
          <w:sz w:val="16"/>
        </w:rPr>
        <w:t>104.09  این فعالیت‌های پایدار معمولا به‌عنوان "تخت، لوبیا، و گلوله" نامیده می‌شوند. کارکنان AFFOR همچنین مسئول برنامه‌ریزی طولانی مدت و عملیات مشارکت در تئاتر هستند که خارج از تمرکز عملیاتی فعلی AOC هستند.</w:t>
      </w:r>
    </w:p>
    <w:p>
      <w:pPr>
        <w:spacing w:after="28" w:line="216" w:lineRule="auto"/>
        <w:ind w:left="259"/>
        <w:jc w:val="left"/>
      </w:pPr>
      <w:r>
        <w:rPr>
          <w:rFonts w:ascii="Arial" w:hAnsi="Arial"/>
          <w:color w:val="525252"/>
          <w:sz w:val="13"/>
        </w:rPr>
        <w:t>These sustainment activities are commonly referred to as “beds, beans, and bullets.” The AFFOR staff is also responsible for the long-range planning and theater engagement operations that fall outside the AOC’s current operational focus.</w:t>
      </w:r>
    </w:p>
    <w:p>
      <w:pPr>
        <w:spacing w:after="20" w:line="223" w:lineRule="auto"/>
        <w:jc w:val="right"/>
        <w:bidi/>
      </w:pPr>
      <w:r>
        <w:rPr>
          <w:rFonts w:ascii="Arial" w:hAnsi="Arial"/>
          <w:sz w:val="16"/>
        </w:rPr>
        <w:t>104.10  فرمانده قطعه هوایی نیروی مشترک.</w:t>
      </w:r>
    </w:p>
    <w:p>
      <w:pPr>
        <w:spacing w:after="28" w:line="216" w:lineRule="auto"/>
        <w:ind w:left="259"/>
        <w:jc w:val="left"/>
      </w:pPr>
      <w:r>
        <w:rPr>
          <w:rFonts w:ascii="Arial" w:hAnsi="Arial"/>
          <w:color w:val="525252"/>
          <w:sz w:val="13"/>
        </w:rPr>
        <w:t>Joint Force Air Component Commander.</w:t>
      </w:r>
    </w:p>
    <w:p>
      <w:pPr>
        <w:spacing w:after="20" w:line="223" w:lineRule="auto"/>
        <w:jc w:val="right"/>
        <w:bidi/>
      </w:pPr>
      <w:r>
        <w:rPr>
          <w:rFonts w:ascii="Arial" w:hAnsi="Arial"/>
          <w:sz w:val="16"/>
        </w:rPr>
        <w:t>104.11  اگر دارایی‌های هوایی از بیش از یک سرویس در یک نیروی مشترک وجود داشته باشد، JFC معمولا یک JFACC را برای بهره‌برداری کامل از قابلیت‌های عملیات هوایی مشترک تعیین می‌کند.</w:t>
      </w:r>
    </w:p>
    <w:p>
      <w:pPr>
        <w:spacing w:after="28" w:line="216" w:lineRule="auto"/>
        <w:ind w:left="259"/>
        <w:jc w:val="left"/>
      </w:pPr>
      <w:r>
        <w:rPr>
          <w:rFonts w:ascii="Arial" w:hAnsi="Arial"/>
          <w:color w:val="525252"/>
          <w:sz w:val="13"/>
        </w:rPr>
        <w:t>If air assets from more than one Service are present within a joint force, the JFC normally will designate a JFACC to exploit the full capabilities of joint air operations.</w:t>
      </w:r>
    </w:p>
    <w:p>
      <w:pPr>
        <w:spacing w:after="20" w:line="223" w:lineRule="auto"/>
        <w:jc w:val="right"/>
        <w:bidi/>
      </w:pPr>
      <w:r>
        <w:rPr>
          <w:rFonts w:ascii="Arial" w:hAnsi="Arial"/>
          <w:sz w:val="16"/>
        </w:rPr>
        <w:t>104.12  JFACC معمولا فرمانده بخش خدمات با برتری قابلیت‌های هوایی و توانایی برنامه‌ریزی، انجام وظیفه و کنترل عملیات هوایی مشترک است.</w:t>
      </w:r>
    </w:p>
    <w:p>
      <w:pPr>
        <w:spacing w:after="28" w:line="216" w:lineRule="auto"/>
        <w:ind w:left="259"/>
        <w:jc w:val="left"/>
      </w:pPr>
      <w:r>
        <w:rPr>
          <w:rFonts w:ascii="Arial" w:hAnsi="Arial"/>
          <w:color w:val="525252"/>
          <w:sz w:val="13"/>
        </w:rPr>
        <w:t>The JFACC is typically the Service component commander with the preponderance of air capabilities and the ability to plan, task, and control joint air operations.</w:t>
      </w:r>
    </w:p>
    <w:p>
      <w:pPr>
        <w:spacing w:after="20" w:line="223" w:lineRule="auto"/>
        <w:jc w:val="right"/>
        <w:bidi/>
      </w:pPr>
      <w:r>
        <w:rPr>
          <w:rFonts w:ascii="Arial" w:hAnsi="Arial"/>
          <w:sz w:val="16"/>
        </w:rPr>
        <w:t>104.13  JFACC به‌کارگیری مناسب نیروهای نیروی هوایی از چندین مؤلفه به JFC را توصیه می‌کند.</w:t>
      </w:r>
    </w:p>
    <w:p>
      <w:pPr>
        <w:spacing w:after="28" w:line="216" w:lineRule="auto"/>
        <w:ind w:left="259"/>
        <w:jc w:val="left"/>
      </w:pPr>
      <w:r>
        <w:rPr>
          <w:rFonts w:ascii="Arial" w:hAnsi="Arial"/>
          <w:color w:val="525252"/>
          <w:sz w:val="13"/>
        </w:rPr>
        <w:t>The JFACC recommends the proper employment of Air Force Forces from multiple components to the JFC.</w:t>
      </w:r>
    </w:p>
    <w:p>
      <w:pPr>
        <w:spacing w:after="20" w:line="223" w:lineRule="auto"/>
        <w:jc w:val="right"/>
        <w:bidi/>
      </w:pPr>
      <w:r>
        <w:rPr>
          <w:rFonts w:ascii="Arial" w:hAnsi="Arial"/>
          <w:sz w:val="16"/>
        </w:rPr>
        <w:t>104.14  JFACC همچنین برنامه‌ریزی، هماهنگی، تخصیص، اجرا و ارزیابی عملیات هوایی را برای انجام مأموریت‌های عملیاتی محول شده انجام می‌دهد.</w:t>
      </w:r>
    </w:p>
    <w:p>
      <w:pPr>
        <w:spacing w:after="28" w:line="216" w:lineRule="auto"/>
        <w:ind w:left="259"/>
        <w:jc w:val="left"/>
      </w:pPr>
      <w:r>
        <w:rPr>
          <w:rFonts w:ascii="Arial" w:hAnsi="Arial"/>
          <w:color w:val="525252"/>
          <w:sz w:val="13"/>
        </w:rPr>
        <w:t>The JFACC also plans, coordinates, allocates, executes, and assesses air operations to accomplish assigned operational missions.</w:t>
      </w:r>
    </w:p>
    <w:p>
      <w:pPr>
        <w:spacing w:after="20" w:line="223" w:lineRule="auto"/>
        <w:jc w:val="right"/>
        <w:bidi/>
      </w:pPr>
      <w:r>
        <w:rPr>
          <w:rFonts w:ascii="Arial" w:hAnsi="Arial"/>
          <w:sz w:val="16"/>
        </w:rPr>
        <w:t>104.15  به دلیل گستره وسیع عملیات هوایی، JFACC معمولا همان منطقه عملیاتی مشترک/چشم انداز کل سالن را مانند JFC حفظ می‌کند.</w:t>
      </w:r>
    </w:p>
    <w:p>
      <w:pPr>
        <w:spacing w:after="28" w:line="216" w:lineRule="auto"/>
        <w:ind w:left="259"/>
        <w:jc w:val="left"/>
      </w:pPr>
      <w:r>
        <w:rPr>
          <w:rFonts w:ascii="Arial" w:hAnsi="Arial"/>
          <w:color w:val="525252"/>
          <w:sz w:val="13"/>
        </w:rPr>
        <w:t>Because of the wide scope of air operations, the JFACC will typically maintain the same joint operating area/theater-wide perspective as the JFC.</w:t>
      </w:r>
    </w:p>
    <w:p>
      <w:pPr>
        <w:spacing w:after="20" w:line="223" w:lineRule="auto"/>
        <w:jc w:val="right"/>
        <w:bidi/>
      </w:pPr>
      <w:r>
        <w:rPr>
          <w:rFonts w:ascii="Arial" w:hAnsi="Arial"/>
          <w:sz w:val="16"/>
        </w:rPr>
        <w:t>104.16  JFACC، مانند هر فرمانده دیگر، نباید به‌عنوان JFC مورد کلاه قرار گیرد.</w:t>
      </w:r>
    </w:p>
    <w:p>
      <w:pPr>
        <w:spacing w:after="28" w:line="216" w:lineRule="auto"/>
        <w:ind w:left="259"/>
        <w:jc w:val="left"/>
      </w:pPr>
      <w:r>
        <w:rPr>
          <w:rFonts w:ascii="Arial" w:hAnsi="Arial"/>
          <w:color w:val="525252"/>
          <w:sz w:val="13"/>
        </w:rPr>
        <w:t>The JFACC, as with any component commander, should not be dual hatted as the JFC.</w:t>
      </w:r>
    </w:p>
    <w:p>
      <w:pPr>
        <w:spacing w:after="20" w:line="223" w:lineRule="auto"/>
        <w:jc w:val="right"/>
        <w:bidi/>
      </w:pPr>
      <w:r>
        <w:rPr>
          <w:rFonts w:ascii="Arial" w:hAnsi="Arial"/>
          <w:sz w:val="16"/>
        </w:rPr>
        <w:t>104.17  COMAFFOR کنترل عملیاتی نیروهای نیروی هوایی را انجام می‌دهد و به‌عنوان JFACC عمل می‌کند، معمولا کنترل تاکتیکی هر گونه دارایی‌های هوایی نیروی دریایی، ارتش، تفنگداران دریایی و ائتلاف را که برای انجام وظیفه در دسترس است، اعمال می‌کند.</w:t>
      </w:r>
    </w:p>
    <w:p>
      <w:pPr>
        <w:spacing w:after="28" w:line="216" w:lineRule="auto"/>
        <w:ind w:left="259"/>
        <w:jc w:val="left"/>
      </w:pPr>
      <w:r>
        <w:rPr>
          <w:rFonts w:ascii="Arial" w:hAnsi="Arial"/>
          <w:color w:val="525252"/>
          <w:sz w:val="13"/>
        </w:rPr>
        <w:t>The COMAFFOR exercises operational control of Air Force Forces, and acting as a JFACC, normally exercises tactical control of any Navy, Army, Marine, and coalition air assets made available for tasking.</w:t>
      </w:r>
    </w:p>
    <w:p>
      <w:pPr>
        <w:spacing w:after="20" w:line="223" w:lineRule="auto"/>
        <w:jc w:val="right"/>
        <w:bidi/>
      </w:pPr>
      <w:r>
        <w:rPr>
          <w:rFonts w:ascii="Arial" w:hAnsi="Arial"/>
          <w:sz w:val="16"/>
        </w:rPr>
        <w:t>104.18  به این ترتیب، اصطلاح "فرمانده اجزای هوایی" زمانی که فرمانده تا این حد دو کلاه باشد، اصطلاح ارجح است.</w:t>
      </w:r>
    </w:p>
    <w:p>
      <w:pPr>
        <w:spacing w:after="28" w:line="216" w:lineRule="auto"/>
        <w:ind w:left="259"/>
        <w:jc w:val="left"/>
      </w:pPr>
      <w:r>
        <w:rPr>
          <w:rFonts w:ascii="Arial" w:hAnsi="Arial"/>
          <w:color w:val="525252"/>
          <w:sz w:val="13"/>
        </w:rPr>
        <w:t>As such, the term “air component commander” is the preferred term when the commander is so dual-hatted.</w:t>
      </w:r>
    </w:p>
    <w:p>
      <w:pPr>
        <w:spacing w:after="20" w:line="223" w:lineRule="auto"/>
        <w:jc w:val="right"/>
        <w:bidi/>
      </w:pPr>
      <w:r>
        <w:rPr>
          <w:rFonts w:ascii="Arial" w:hAnsi="Arial"/>
          <w:sz w:val="16"/>
        </w:rPr>
        <w:t>104.19  در صورت همکاری با کشورهای شریک در یک عملیات چند ملیتی، JFACC ممکن است به‌عنوان فرمانده اجزای هوایی نیروی ترکیبی/ائتلافی (CFACC) تعیین شود که مسئول برنامه‌ریزی، هماهنگی و انجام وظیفه برای همه عملیات‌های هوایی چند ملیتی است.</w:t>
      </w:r>
    </w:p>
    <w:p>
      <w:pPr>
        <w:spacing w:after="28" w:line="216" w:lineRule="auto"/>
        <w:ind w:left="259"/>
        <w:jc w:val="left"/>
      </w:pPr>
      <w:r>
        <w:rPr>
          <w:rFonts w:ascii="Arial" w:hAnsi="Arial"/>
          <w:color w:val="525252"/>
          <w:sz w:val="13"/>
        </w:rPr>
        <w:t>If working with partner nations in a multinational operation, the JFACC may be designated as the combined/coalition force air component commander (CFACC), responsible for planning, coordinating, and tasking of all multinational air operations.</w:t>
      </w:r>
    </w:p>
    <w:p>
      <w:pPr>
        <w:spacing w:after="20" w:line="223" w:lineRule="auto"/>
        <w:jc w:val="right"/>
        <w:bidi/>
      </w:pPr>
      <w:r>
        <w:rPr>
          <w:rFonts w:ascii="Arial" w:hAnsi="Arial"/>
          <w:sz w:val="16"/>
        </w:rPr>
        <w:t>104.20  توجه: تجربه تاریخی نشان داده است که در عملیات‌های مشترک، COMAFFOR معمولا به‌عنوان JFACC تعیین می‌شود، زیرا USAF معمولا از قابلیت‌های هوایی برتری دارد.</w:t>
      </w:r>
    </w:p>
    <w:p>
      <w:pPr>
        <w:spacing w:after="28" w:line="216" w:lineRule="auto"/>
        <w:ind w:left="259"/>
        <w:jc w:val="left"/>
      </w:pPr>
      <w:r>
        <w:rPr>
          <w:rFonts w:ascii="Arial" w:hAnsi="Arial"/>
          <w:color w:val="525252"/>
          <w:sz w:val="13"/>
        </w:rPr>
        <w:t>Note: Historic experience has shown that in joint operations the COMAFFOR is normally designated as the JFACC, as the USAF typically has the preponderance of air capabilities.</w:t>
      </w:r>
    </w:p>
    <w:p>
      <w:pPr>
        <w:spacing w:after="20" w:line="223" w:lineRule="auto"/>
        <w:jc w:val="right"/>
        <w:bidi/>
      </w:pPr>
      <w:r>
        <w:rPr>
          <w:rFonts w:ascii="Arial" w:hAnsi="Arial"/>
          <w:sz w:val="16"/>
        </w:rPr>
        <w:t>104.21  با پیش‌بینی این امر، نیروی هوایی برنامه‌ریزی می‌کند و آموزش می‌دهد تا یک فرمانده بخش هوایی را برای انجام هر دو نقش استخدام کند، و AOC برنامه‌ریزی و آموزش می‌دهد تا یک JAOC باشد.</w:t>
      </w:r>
    </w:p>
    <w:p>
      <w:pPr>
        <w:spacing w:after="28" w:line="216" w:lineRule="auto"/>
        <w:ind w:left="259"/>
        <w:jc w:val="left"/>
      </w:pPr>
      <w:r>
        <w:rPr>
          <w:rFonts w:ascii="Arial" w:hAnsi="Arial"/>
          <w:color w:val="525252"/>
          <w:sz w:val="13"/>
        </w:rPr>
        <w:t>In anticipation of this, the Air Force plans, and trains to employ an air component commander to perform both roles, and the AOC plans and trains to be a JAOC.</w:t>
      </w:r>
    </w:p>
    <w:p>
      <w:r>
        <w:br w:type="page"/>
      </w:r>
    </w:p>
    <w:p>
      <w:pPr>
        <w:spacing w:after="60"/>
        <w:jc w:val="right"/>
        <w:bidi/>
      </w:pPr>
      <w:r>
        <w:rPr>
          <w:rFonts w:ascii="Arial" w:hAnsi="Arial"/>
          <w:b/>
          <w:color w:val="1F4D78"/>
          <w:sz w:val="19"/>
        </w:rPr>
        <w:t>هفتهٔ 105  |  صفحهٔ منبع: 121</w:t>
      </w:r>
    </w:p>
    <w:p>
      <w:pPr>
        <w:spacing w:before="60" w:after="28"/>
        <w:jc w:val="right"/>
        <w:bidi/>
      </w:pPr>
      <w:r>
        <w:rPr>
          <w:b/>
          <w:color w:val="1F4D78"/>
          <w:sz w:val="18"/>
        </w:rPr>
        <w:t>بخش 6C-برنامه ریزی مشترک</w:t>
      </w:r>
    </w:p>
    <w:p>
      <w:pPr>
        <w:spacing w:after="20"/>
        <w:ind w:left="259"/>
        <w:jc w:val="left"/>
      </w:pPr>
      <w:r>
        <w:rPr>
          <w:color w:val="555555"/>
          <w:sz w:val="12"/>
        </w:rPr>
        <w:t>Section 6C—Joint Planning</w:t>
      </w:r>
    </w:p>
    <w:p>
      <w:pPr>
        <w:spacing w:before="60" w:after="28"/>
        <w:jc w:val="right"/>
        <w:bidi/>
      </w:pPr>
      <w:r>
        <w:rPr>
          <w:b/>
          <w:color w:val="1F4D78"/>
          <w:sz w:val="18"/>
        </w:rPr>
        <w:t>6.9. فرآیند برنامه ریزی مشترک</w:t>
      </w:r>
    </w:p>
    <w:p>
      <w:pPr>
        <w:spacing w:after="20"/>
        <w:ind w:left="259"/>
        <w:jc w:val="left"/>
      </w:pPr>
      <w:r>
        <w:rPr>
          <w:color w:val="555555"/>
          <w:sz w:val="12"/>
        </w:rPr>
        <w:t>6.9. Joint Planning Process</w:t>
      </w:r>
    </w:p>
    <w:p>
      <w:pPr>
        <w:spacing w:after="20" w:line="223" w:lineRule="auto"/>
        <w:jc w:val="right"/>
        <w:bidi/>
      </w:pPr>
      <w:r>
        <w:rPr>
          <w:rFonts w:ascii="Arial" w:hAnsi="Arial"/>
          <w:sz w:val="16"/>
        </w:rPr>
        <w:t>105.03  برنامه‌ریزی مشترک شامل فعالیت‌های برنامه‌ریزی مرتبط با عملیات نظامی مشترک توسط CCDRها و فرماندهان نیروی مشترک زیرمجموعه آنها در پاسخ به حوادث و بحران‌ها است.</w:t>
      </w:r>
    </w:p>
    <w:p>
      <w:pPr>
        <w:spacing w:after="28" w:line="216" w:lineRule="auto"/>
        <w:ind w:left="259"/>
        <w:jc w:val="left"/>
      </w:pPr>
      <w:r>
        <w:rPr>
          <w:rFonts w:ascii="Arial" w:hAnsi="Arial"/>
          <w:color w:val="525252"/>
          <w:sz w:val="13"/>
        </w:rPr>
        <w:t>Joint planning consists of planning activities associated with joint military operations by CCDRs and their subordinate Joint Force Commanders in response to contingencies and crises.</w:t>
      </w:r>
    </w:p>
    <w:p>
      <w:pPr>
        <w:spacing w:after="20" w:line="223" w:lineRule="auto"/>
        <w:jc w:val="right"/>
        <w:bidi/>
      </w:pPr>
      <w:r>
        <w:rPr>
          <w:rFonts w:ascii="Arial" w:hAnsi="Arial"/>
          <w:sz w:val="16"/>
        </w:rPr>
        <w:t>105.04  برنامه‌ریزی مشترک ابزاری برای آماده‌سازی و مدیریت نیروهای مشترک برای بسیج، استقرار، اشتغال، حفظ، استقرار مجدد و بی‌نظامی است.</w:t>
      </w:r>
    </w:p>
    <w:p>
      <w:pPr>
        <w:spacing w:after="28" w:line="216" w:lineRule="auto"/>
        <w:ind w:left="259"/>
        <w:jc w:val="left"/>
      </w:pPr>
      <w:r>
        <w:rPr>
          <w:rFonts w:ascii="Arial" w:hAnsi="Arial"/>
          <w:color w:val="525252"/>
          <w:sz w:val="13"/>
        </w:rPr>
        <w:t>Joint planning is a means of preparing and managing Joint Forces for mobilization, deployment, employment, sustainment, redeployment, and demobilization.</w:t>
      </w:r>
    </w:p>
    <w:p>
      <w:pPr>
        <w:spacing w:after="20" w:line="223" w:lineRule="auto"/>
        <w:jc w:val="right"/>
        <w:bidi/>
      </w:pPr>
      <w:r>
        <w:rPr>
          <w:rFonts w:ascii="Arial" w:hAnsi="Arial"/>
          <w:sz w:val="16"/>
        </w:rPr>
        <w:t>105.05  در سطح ملی، برنامه‌ریزی مشترک ابزار نظامی قدرت ملی را با دستیابی به اهداف و مقاصد امنیت ملی مرتبط می‌کند و برای تأمین امنیت کشورهای نهایی استراتژیک در سراسر طیف عملیات نظامی ضروری است.</w:t>
      </w:r>
    </w:p>
    <w:p>
      <w:pPr>
        <w:spacing w:after="28" w:line="216" w:lineRule="auto"/>
        <w:ind w:left="259"/>
        <w:jc w:val="left"/>
      </w:pPr>
      <w:r>
        <w:rPr>
          <w:rFonts w:ascii="Arial" w:hAnsi="Arial"/>
          <w:color w:val="525252"/>
          <w:sz w:val="13"/>
        </w:rPr>
        <w:t>At the national level, joint planning ties the military instrument of national power to the achievement of national security goals and objectives and is essential to securing strategic end-states across the range of military operations.</w:t>
      </w:r>
    </w:p>
    <w:p>
      <w:pPr>
        <w:spacing w:after="20" w:line="223" w:lineRule="auto"/>
        <w:jc w:val="right"/>
        <w:bidi/>
      </w:pPr>
      <w:r>
        <w:rPr>
          <w:rFonts w:ascii="Arial" w:hAnsi="Arial"/>
          <w:sz w:val="16"/>
        </w:rPr>
        <w:t>105.06  برنامه‌ریزی با در نظر گرفتن حالت پایانی آغاز می‌شود و هدف واحدی را فراهم می‌کند که اقدامات و منابع حول آن متمرکز می‌شوند.</w:t>
      </w:r>
    </w:p>
    <w:p>
      <w:pPr>
        <w:spacing w:after="28" w:line="216" w:lineRule="auto"/>
        <w:ind w:left="259"/>
        <w:jc w:val="left"/>
      </w:pPr>
      <w:r>
        <w:rPr>
          <w:rFonts w:ascii="Arial" w:hAnsi="Arial"/>
          <w:color w:val="525252"/>
          <w:sz w:val="13"/>
        </w:rPr>
        <w:t>Planning begins with the end state in mind, providing a unifying purpose around which actions and resources are focused.</w:t>
      </w:r>
    </w:p>
    <w:p>
      <w:pPr>
        <w:spacing w:after="20" w:line="223" w:lineRule="auto"/>
        <w:jc w:val="right"/>
        <w:bidi/>
      </w:pPr>
      <w:r>
        <w:rPr>
          <w:rFonts w:ascii="Arial" w:hAnsi="Arial"/>
          <w:sz w:val="16"/>
        </w:rPr>
        <w:t>105.07  نکته: حالت پایانی نظامی مجموعه شرایط مورد نیازی است که دستیابی به اهداف نظامی را مشخص می‌کند.</w:t>
      </w:r>
    </w:p>
    <w:p>
      <w:pPr>
        <w:spacing w:after="28" w:line="216" w:lineRule="auto"/>
        <w:ind w:left="259"/>
        <w:jc w:val="left"/>
      </w:pPr>
      <w:r>
        <w:rPr>
          <w:rFonts w:ascii="Arial" w:hAnsi="Arial"/>
          <w:color w:val="525252"/>
          <w:sz w:val="13"/>
        </w:rPr>
        <w:t>Note: Military end state is the set of required conditions that defines achievement of military objectives.</w:t>
      </w:r>
    </w:p>
    <w:p>
      <w:pPr>
        <w:spacing w:after="20" w:line="223" w:lineRule="auto"/>
        <w:jc w:val="right"/>
        <w:bidi/>
      </w:pPr>
      <w:r>
        <w:rPr>
          <w:rFonts w:ascii="Arial" w:hAnsi="Arial"/>
          <w:sz w:val="16"/>
        </w:rPr>
        <w:t>105.08  معمولا نشان‌دهنده مقطع زمانی یا شرایطی است که رئیس‌جمهور ایالات متحده پس از آن نیازی به ارتش به‌عنوان ابزار اصلی برای دستیابی به اهداف ملی باقی‌مانده ندارد.</w:t>
      </w:r>
    </w:p>
    <w:p>
      <w:pPr>
        <w:spacing w:after="28" w:line="216" w:lineRule="auto"/>
        <w:ind w:left="259"/>
        <w:jc w:val="left"/>
      </w:pPr>
      <w:r>
        <w:rPr>
          <w:rFonts w:ascii="Arial" w:hAnsi="Arial"/>
          <w:color w:val="525252"/>
          <w:sz w:val="13"/>
        </w:rPr>
        <w:t>It normally represents a point in time or circumstances beyond which the U.S. President does not require the military as the primary means to achieve remaining national objectives.</w:t>
      </w:r>
    </w:p>
    <w:p>
      <w:pPr>
        <w:spacing w:after="20" w:line="223" w:lineRule="auto"/>
        <w:jc w:val="right"/>
        <w:bidi/>
      </w:pPr>
      <w:r>
        <w:rPr>
          <w:rFonts w:ascii="Arial" w:hAnsi="Arial"/>
          <w:sz w:val="16"/>
        </w:rPr>
        <w:t>105.09  جدای از ارتباط آشکار آن با اهداف استراتژیک یا عملیاتی، تعریف واضح وضعیت نهایی نظامی، وحدت تلاش را ترویج می‌کند، همگام‌سازی را تسهیل می‌کند، به شفاف‌سازی کمک می‌کند و ممکن است خطر را کاهش دهد.</w:t>
      </w:r>
    </w:p>
    <w:p>
      <w:pPr>
        <w:spacing w:after="28" w:line="216" w:lineRule="auto"/>
        <w:ind w:left="259"/>
        <w:jc w:val="left"/>
      </w:pPr>
      <w:r>
        <w:rPr>
          <w:rFonts w:ascii="Arial" w:hAnsi="Arial"/>
          <w:color w:val="525252"/>
          <w:sz w:val="13"/>
        </w:rPr>
        <w:t>Aside from its obvious association with strategic or operational objectives, clearly defining the military end state promotes unity of effort, facilitates synchronization, helps clarify, and may reduce risk.</w:t>
      </w:r>
    </w:p>
    <w:p>
      <w:pPr>
        <w:spacing w:after="20" w:line="223" w:lineRule="auto"/>
        <w:jc w:val="right"/>
        <w:bidi/>
      </w:pPr>
      <w:r>
        <w:rPr>
          <w:rFonts w:ascii="Arial" w:hAnsi="Arial"/>
          <w:sz w:val="16"/>
        </w:rPr>
        <w:t>105.10  فرآیند برنامه‌ریزی یکپارچه.</w:t>
      </w:r>
    </w:p>
    <w:p>
      <w:pPr>
        <w:spacing w:after="28" w:line="216" w:lineRule="auto"/>
        <w:ind w:left="259"/>
        <w:jc w:val="left"/>
      </w:pPr>
      <w:r>
        <w:rPr>
          <w:rFonts w:ascii="Arial" w:hAnsi="Arial"/>
          <w:color w:val="525252"/>
          <w:sz w:val="13"/>
        </w:rPr>
        <w:t>Integrated Planning Process.</w:t>
      </w:r>
    </w:p>
    <w:p>
      <w:pPr>
        <w:spacing w:after="20" w:line="223" w:lineRule="auto"/>
        <w:jc w:val="right"/>
        <w:bidi/>
      </w:pPr>
      <w:r>
        <w:rPr>
          <w:rFonts w:ascii="Arial" w:hAnsi="Arial"/>
          <w:sz w:val="16"/>
        </w:rPr>
        <w:t>105.11  در حالی که تمرکز برنامه‌ریزی مشترک در سطح CCDR است، برنامه‌ریزی در هر رده فرماندهی و در سراسر طیف عملیات نظامی انجام می‌شود.</w:t>
      </w:r>
    </w:p>
    <w:p>
      <w:pPr>
        <w:spacing w:after="28" w:line="216" w:lineRule="auto"/>
        <w:ind w:left="259"/>
        <w:jc w:val="left"/>
      </w:pPr>
      <w:r>
        <w:rPr>
          <w:rFonts w:ascii="Arial" w:hAnsi="Arial"/>
          <w:color w:val="525252"/>
          <w:sz w:val="13"/>
        </w:rPr>
        <w:t>While the focus of joint planning is at the CCDR level, planning is conducted at every echelon of command and across the range of military operations.</w:t>
      </w:r>
    </w:p>
    <w:p>
      <w:pPr>
        <w:spacing w:after="20" w:line="223" w:lineRule="auto"/>
        <w:jc w:val="right"/>
        <w:bidi/>
      </w:pPr>
      <w:r>
        <w:rPr>
          <w:rFonts w:ascii="Arial" w:hAnsi="Arial"/>
          <w:sz w:val="16"/>
        </w:rPr>
        <w:t>105.12  برنامه‌ریزی مشترک فرآیندی یکپارچه را برای حل مسئله و تصمیم‌گیری منظم، تحلیلی و هماهنگ به کار می‌گیرد که به‌عنوان فرآیند برنامه‌ریزی مشترک شناخته می‌شود.</w:t>
      </w:r>
    </w:p>
    <w:p>
      <w:pPr>
        <w:spacing w:after="28" w:line="216" w:lineRule="auto"/>
        <w:ind w:left="259"/>
        <w:jc w:val="left"/>
      </w:pPr>
      <w:r>
        <w:rPr>
          <w:rFonts w:ascii="Arial" w:hAnsi="Arial"/>
          <w:color w:val="525252"/>
          <w:sz w:val="13"/>
        </w:rPr>
        <w:t>Joint planning employs an integrated process for orderly, analytical, and coordinated problem solving and decision-making known as the joint planning process.</w:t>
      </w:r>
    </w:p>
    <w:p>
      <w:pPr>
        <w:spacing w:after="20" w:line="223" w:lineRule="auto"/>
        <w:jc w:val="right"/>
        <w:bidi/>
      </w:pPr>
      <w:r>
        <w:rPr>
          <w:rFonts w:ascii="Arial" w:hAnsi="Arial"/>
          <w:sz w:val="16"/>
        </w:rPr>
        <w:t>105.13  در زمان صلح، این فرآیند به گونه‌ای طراحی شده است که از توسعه کامل و کاملا هماهنگ برنامه‌های اضطراری پشتیبانی کند.</w:t>
      </w:r>
    </w:p>
    <w:p>
      <w:pPr>
        <w:spacing w:after="28" w:line="216" w:lineRule="auto"/>
        <w:ind w:left="259"/>
        <w:jc w:val="left"/>
      </w:pPr>
      <w:r>
        <w:rPr>
          <w:rFonts w:ascii="Arial" w:hAnsi="Arial"/>
          <w:color w:val="525252"/>
          <w:sz w:val="13"/>
        </w:rPr>
        <w:t>In peacetime, the process is structured to support the thorough, fully coordinated development of contingency plans.</w:t>
      </w:r>
    </w:p>
    <w:p>
      <w:pPr>
        <w:spacing w:after="20" w:line="223" w:lineRule="auto"/>
        <w:jc w:val="right"/>
        <w:bidi/>
      </w:pPr>
      <w:r>
        <w:rPr>
          <w:rFonts w:ascii="Arial" w:hAnsi="Arial"/>
          <w:sz w:val="16"/>
        </w:rPr>
        <w:t>105.14  در بحران، فرآیند را می‌توان برای حمایت از الزامات پویای رویدادهای در حال تغییر تطبیق داد.</w:t>
      </w:r>
    </w:p>
    <w:p>
      <w:pPr>
        <w:spacing w:after="28" w:line="216" w:lineRule="auto"/>
        <w:ind w:left="259"/>
        <w:jc w:val="left"/>
      </w:pPr>
      <w:r>
        <w:rPr>
          <w:rFonts w:ascii="Arial" w:hAnsi="Arial"/>
          <w:color w:val="525252"/>
          <w:sz w:val="13"/>
        </w:rPr>
        <w:t>In crisis, the process can be adapted to support the dynamic requirements of changing events.</w:t>
      </w:r>
    </w:p>
    <w:p>
      <w:pPr>
        <w:spacing w:after="20" w:line="223" w:lineRule="auto"/>
        <w:jc w:val="right"/>
        <w:bidi/>
      </w:pPr>
      <w:r>
        <w:rPr>
          <w:rFonts w:ascii="Arial" w:hAnsi="Arial"/>
          <w:sz w:val="16"/>
        </w:rPr>
        <w:t>105.15  در زمان جنگ، این فرآیند برای تطبیق با تمرکززدایی بیشتر فعالیت‌های برنامه‌ریزی اصلاح می‌شود.</w:t>
      </w:r>
    </w:p>
    <w:p>
      <w:pPr>
        <w:spacing w:after="28" w:line="216" w:lineRule="auto"/>
        <w:ind w:left="259"/>
        <w:jc w:val="left"/>
      </w:pPr>
      <w:r>
        <w:rPr>
          <w:rFonts w:ascii="Arial" w:hAnsi="Arial"/>
          <w:color w:val="525252"/>
          <w:sz w:val="13"/>
        </w:rPr>
        <w:t>In wartime, the process is modified to accommodate greater decentralization of planning activities.</w:t>
      </w:r>
    </w:p>
    <w:p>
      <w:pPr>
        <w:spacing w:after="20" w:line="223" w:lineRule="auto"/>
        <w:jc w:val="right"/>
        <w:bidi/>
      </w:pPr>
      <w:r>
        <w:rPr>
          <w:rFonts w:ascii="Arial" w:hAnsi="Arial"/>
          <w:sz w:val="16"/>
        </w:rPr>
        <w:t>105.16  مراحل فرآیند برنامه‌ریزی مشترک.</w:t>
      </w:r>
    </w:p>
    <w:p>
      <w:pPr>
        <w:spacing w:after="28" w:line="216" w:lineRule="auto"/>
        <w:ind w:left="259"/>
        <w:jc w:val="left"/>
      </w:pPr>
      <w:r>
        <w:rPr>
          <w:rFonts w:ascii="Arial" w:hAnsi="Arial"/>
          <w:color w:val="525252"/>
          <w:sz w:val="13"/>
        </w:rPr>
        <w:t>Joint Planning Process Steps.</w:t>
      </w:r>
    </w:p>
    <w:p>
      <w:pPr>
        <w:spacing w:after="20" w:line="223" w:lineRule="auto"/>
        <w:jc w:val="right"/>
        <w:bidi/>
      </w:pPr>
      <w:r>
        <w:rPr>
          <w:rFonts w:ascii="Arial" w:hAnsi="Arial"/>
          <w:sz w:val="16"/>
        </w:rPr>
        <w:t>105.17  فرآیند برنامه‌ریزی مشترک یک مجموعه هفت مرحله‌ای منظم و تحلیلی از مراحل منطقی برای چارچوب بندی یک مشکل است. بررسی یک مأموریت؛ توسعه، تجزیه و تحلیل و مقایسه COAهای جایگزین؛ بهترین COA را انتخاب کنید. و یک طرح یا سفارش تولید کنید.</w:t>
      </w:r>
    </w:p>
    <w:p>
      <w:pPr>
        <w:spacing w:after="28" w:line="216" w:lineRule="auto"/>
        <w:ind w:left="259"/>
        <w:jc w:val="left"/>
      </w:pPr>
      <w:r>
        <w:rPr>
          <w:rFonts w:ascii="Arial" w:hAnsi="Arial"/>
          <w:color w:val="525252"/>
          <w:sz w:val="13"/>
        </w:rPr>
        <w:t>The Joint Planning Process is a seven-step orderly, analytical set of logical steps to frame a problem; examine a mission; develop, analyze, and compare alternative COAs; select the best COA; and produce a plan or order.</w:t>
      </w:r>
    </w:p>
    <w:p>
      <w:pPr>
        <w:spacing w:after="20" w:line="223" w:lineRule="auto"/>
        <w:jc w:val="right"/>
        <w:bidi/>
      </w:pPr>
      <w:r>
        <w:rPr>
          <w:rFonts w:ascii="Arial" w:hAnsi="Arial"/>
          <w:sz w:val="16"/>
        </w:rPr>
        <w:t>105.18  فرآیند برنامه‌ریزی مشترک شامل هفت مرحله است که در اینجا مشخص شده است.</w:t>
      </w:r>
    </w:p>
    <w:p>
      <w:pPr>
        <w:spacing w:after="28" w:line="216" w:lineRule="auto"/>
        <w:ind w:left="259"/>
        <w:jc w:val="left"/>
      </w:pPr>
      <w:r>
        <w:rPr>
          <w:rFonts w:ascii="Arial" w:hAnsi="Arial"/>
          <w:color w:val="525252"/>
          <w:sz w:val="13"/>
        </w:rPr>
        <w:t>The joint planning process consists of seven steps identified here.</w:t>
      </w:r>
    </w:p>
    <w:p>
      <w:pPr>
        <w:spacing w:after="20" w:line="223" w:lineRule="auto"/>
        <w:jc w:val="right"/>
        <w:bidi/>
      </w:pPr>
      <w:r>
        <w:rPr>
          <w:rFonts w:ascii="Arial" w:hAnsi="Arial"/>
          <w:sz w:val="16"/>
        </w:rPr>
        <w:t>105.19  مرحله ۱: شروع برنامه‌ریزی.</w:t>
      </w:r>
    </w:p>
    <w:p>
      <w:pPr>
        <w:spacing w:after="28" w:line="216" w:lineRule="auto"/>
        <w:ind w:left="259"/>
        <w:jc w:val="left"/>
      </w:pPr>
      <w:r>
        <w:rPr>
          <w:rFonts w:ascii="Arial" w:hAnsi="Arial"/>
          <w:color w:val="525252"/>
          <w:sz w:val="13"/>
        </w:rPr>
        <w:t>Step 1: Planning Initiation.</w:t>
      </w:r>
    </w:p>
    <w:p>
      <w:pPr>
        <w:spacing w:after="20" w:line="223" w:lineRule="auto"/>
        <w:jc w:val="right"/>
        <w:bidi/>
      </w:pPr>
      <w:r>
        <w:rPr>
          <w:rFonts w:ascii="Arial" w:hAnsi="Arial"/>
          <w:sz w:val="16"/>
        </w:rPr>
        <w:t>105.20  برنامه‌ریزی مشترک زمانی آغاز می‌شود که یک مقام مناسب بالقوه توانایی نظامی را برای پشتیبانی از اهداف ملی یا در پاسخ به یک بحران بالقوه یا واقعی تشخیص دهد.</w:t>
      </w:r>
    </w:p>
    <w:p>
      <w:pPr>
        <w:spacing w:after="28" w:line="216" w:lineRule="auto"/>
        <w:ind w:left="259"/>
        <w:jc w:val="left"/>
      </w:pPr>
      <w:r>
        <w:rPr>
          <w:rFonts w:ascii="Arial" w:hAnsi="Arial"/>
          <w:color w:val="525252"/>
          <w:sz w:val="13"/>
        </w:rPr>
        <w:t>Joint planning begins when an appropriate authority recognizes potential for military capability to be employed in support of national objectives or in response to a potential or actual crisis.</w:t>
      </w:r>
    </w:p>
    <w:p>
      <w:pPr>
        <w:spacing w:after="20" w:line="223" w:lineRule="auto"/>
        <w:jc w:val="right"/>
        <w:bidi/>
      </w:pPr>
      <w:r>
        <w:rPr>
          <w:rFonts w:ascii="Arial" w:hAnsi="Arial"/>
          <w:sz w:val="16"/>
        </w:rPr>
        <w:t>105.21  در سطح استراتژیک، آن مقام - رئیس جمهور، سکدف یا CJCS - با تصمیم‌گیری برای توسعه گزینه‌های نظامی برنامه‌ریزی را آغاز می‌کند.</w:t>
      </w:r>
    </w:p>
    <w:p>
      <w:pPr>
        <w:spacing w:after="28" w:line="216" w:lineRule="auto"/>
        <w:ind w:left="259"/>
        <w:jc w:val="left"/>
      </w:pPr>
      <w:r>
        <w:rPr>
          <w:rFonts w:ascii="Arial" w:hAnsi="Arial"/>
          <w:color w:val="525252"/>
          <w:sz w:val="13"/>
        </w:rPr>
        <w:t>At the strategic level, that authority—the President, SecDef, or CJCS— initiates planning by deciding to develop military options.</w:t>
      </w:r>
    </w:p>
    <w:p>
      <w:pPr>
        <w:spacing w:after="20" w:line="223" w:lineRule="auto"/>
        <w:jc w:val="right"/>
        <w:bidi/>
      </w:pPr>
      <w:r>
        <w:rPr>
          <w:rFonts w:ascii="Arial" w:hAnsi="Arial"/>
          <w:sz w:val="16"/>
        </w:rPr>
        <w:t>105.22  دستورات ریاست جمهوری، استراتژی امنیت ملی (NSS)، طرح فرماندهی یکپارچه (UCP)، دستورالعمل برنامه‌ریزی اضطراری (CPG)، استراتژی دفاع ملی (NDS)، استراتژی ملی نظامی (NMS)، برنامه مشترک قابلیت‌های استراتژیک (JSCP)، و اسناد راهنمایی استراتژیک مرتبط به‌عنوان راهنمای اولیه برنامه‌ریزی عمل می‌کنند.</w:t>
      </w:r>
    </w:p>
    <w:p>
      <w:pPr>
        <w:spacing w:after="28" w:line="216" w:lineRule="auto"/>
        <w:ind w:left="259"/>
        <w:jc w:val="left"/>
      </w:pPr>
      <w:r>
        <w:rPr>
          <w:rFonts w:ascii="Arial" w:hAnsi="Arial"/>
          <w:color w:val="525252"/>
          <w:sz w:val="13"/>
        </w:rPr>
        <w:t>Presidential directives, the National Security Strategy (NSS), Unified Command Plan (UCP), Contingency Planning Guidance (CPG), National Defense Strategy (NDS), National Military Strategy (NMS), Joint Strategic Capabilities Plan (JSCP), and related strategic guidance documents serve as the primary guidance to begin planning.</w:t>
      </w:r>
    </w:p>
    <w:p>
      <w:pPr>
        <w:spacing w:after="20" w:line="223" w:lineRule="auto"/>
        <w:jc w:val="right"/>
        <w:bidi/>
      </w:pPr>
      <w:r>
        <w:rPr>
          <w:rFonts w:ascii="Arial" w:hAnsi="Arial"/>
          <w:sz w:val="16"/>
        </w:rPr>
        <w:t>105.23  مرحله ۲: تجزیه و تحلیل مأموریت.</w:t>
      </w:r>
    </w:p>
    <w:p>
      <w:pPr>
        <w:spacing w:after="28" w:line="216" w:lineRule="auto"/>
        <w:ind w:left="259"/>
        <w:jc w:val="left"/>
      </w:pPr>
      <w:r>
        <w:rPr>
          <w:rFonts w:ascii="Arial" w:hAnsi="Arial"/>
          <w:color w:val="525252"/>
          <w:sz w:val="13"/>
        </w:rPr>
        <w:t>Step 2: Mission Analysis.</w:t>
      </w:r>
    </w:p>
    <w:p>
      <w:pPr>
        <w:spacing w:after="20" w:line="223" w:lineRule="auto"/>
        <w:jc w:val="right"/>
        <w:bidi/>
      </w:pPr>
      <w:r>
        <w:rPr>
          <w:rFonts w:ascii="Arial" w:hAnsi="Arial"/>
          <w:sz w:val="16"/>
        </w:rPr>
        <w:t>105.24  CCDR و کارکنان یک بیانیه مأموریت مجدد ارائه می‌کنند که به فرماندهان زیردستان و پشتیبان اجازه می‌دهد تخمین‌ها و تلاش‌های برنامه‌ریزی خود را برای موافقت ستاد فرماندهی بالاتر آغاز کنند.</w:t>
      </w:r>
    </w:p>
    <w:p>
      <w:pPr>
        <w:spacing w:after="28" w:line="216" w:lineRule="auto"/>
        <w:ind w:left="259"/>
        <w:jc w:val="left"/>
      </w:pPr>
      <w:r>
        <w:rPr>
          <w:rFonts w:ascii="Arial" w:hAnsi="Arial"/>
          <w:color w:val="525252"/>
          <w:sz w:val="13"/>
        </w:rPr>
        <w:t>The CCDR and staff develop a restated mission statement that allows subordinate and supporting commanders to begin their own estimates and planning efforts for higher headquarters’ concurrence.</w:t>
      </w:r>
    </w:p>
    <w:p>
      <w:pPr>
        <w:spacing w:after="20" w:line="223" w:lineRule="auto"/>
        <w:jc w:val="right"/>
        <w:bidi/>
      </w:pPr>
      <w:r>
        <w:rPr>
          <w:rFonts w:ascii="Arial" w:hAnsi="Arial"/>
          <w:sz w:val="16"/>
        </w:rPr>
        <w:t>105.25  مأموریت نیروی مشترک، وظیفه یا مجموعه‌ای از وظایف، همراه با هدفی است که به وضوح نشان دهنده اقدام و دلیل انجام آن است.</w:t>
      </w:r>
    </w:p>
    <w:p>
      <w:pPr>
        <w:spacing w:after="28" w:line="216" w:lineRule="auto"/>
        <w:ind w:left="259"/>
        <w:jc w:val="left"/>
      </w:pPr>
      <w:r>
        <w:rPr>
          <w:rFonts w:ascii="Arial" w:hAnsi="Arial"/>
          <w:color w:val="525252"/>
          <w:sz w:val="13"/>
        </w:rPr>
        <w:t>The joint force’s mission is the task or set of tasks, together with the purpose, that clearly indicates the action to be taken and the reason for doing so.</w:t>
      </w:r>
    </w:p>
    <w:p>
      <w:pPr>
        <w:spacing w:after="20" w:line="223" w:lineRule="auto"/>
        <w:jc w:val="right"/>
        <w:bidi/>
      </w:pPr>
      <w:r>
        <w:rPr>
          <w:rFonts w:ascii="Arial" w:hAnsi="Arial"/>
          <w:sz w:val="16"/>
        </w:rPr>
        <w:t>105.26  تجزیه و تحلیل مأموریت برای مطالعه وظایف محول شده و شناسایی سایر وظایف لازم برای انجام مأموریت استفاده می‌شود.</w:t>
      </w:r>
    </w:p>
    <w:p>
      <w:pPr>
        <w:spacing w:after="28" w:line="216" w:lineRule="auto"/>
        <w:ind w:left="259"/>
        <w:jc w:val="left"/>
      </w:pPr>
      <w:r>
        <w:rPr>
          <w:rFonts w:ascii="Arial" w:hAnsi="Arial"/>
          <w:color w:val="525252"/>
          <w:sz w:val="13"/>
        </w:rPr>
        <w:t>Mission analysis is used to study the assigned tasks and to identify all other tasks necessary to accomplish the mission.</w:t>
      </w:r>
    </w:p>
    <w:p>
      <w:pPr>
        <w:spacing w:after="20" w:line="223" w:lineRule="auto"/>
        <w:jc w:val="right"/>
        <w:bidi/>
      </w:pPr>
      <w:r>
        <w:rPr>
          <w:rFonts w:ascii="Arial" w:hAnsi="Arial"/>
          <w:sz w:val="16"/>
        </w:rPr>
        <w:t>105.27  تجزیه و تحلیل مأموریت، فرمانده و کارکنان را بر روی مشکل مورد نظر متمرکز می‌کند و پایه‌ای را برای برنامه‌ریزی مؤثر ایجاد می‌کند.</w:t>
      </w:r>
    </w:p>
    <w:p>
      <w:pPr>
        <w:spacing w:after="28" w:line="216" w:lineRule="auto"/>
        <w:ind w:left="259"/>
        <w:jc w:val="left"/>
      </w:pPr>
      <w:r>
        <w:rPr>
          <w:rFonts w:ascii="Arial" w:hAnsi="Arial"/>
          <w:color w:val="525252"/>
          <w:sz w:val="13"/>
        </w:rPr>
        <w:t>Mission analysis focuses the commander and the staff on the problem at hand and lays a foundation for effective planning.</w:t>
      </w:r>
    </w:p>
    <w:p>
      <w:r>
        <w:br w:type="page"/>
      </w:r>
    </w:p>
    <w:p>
      <w:pPr>
        <w:spacing w:after="60"/>
        <w:jc w:val="right"/>
        <w:bidi/>
      </w:pPr>
      <w:r>
        <w:rPr>
          <w:rFonts w:ascii="Arial" w:hAnsi="Arial"/>
          <w:b/>
          <w:color w:val="1F4D78"/>
          <w:sz w:val="19"/>
        </w:rPr>
        <w:t>هفتهٔ 106  |  صفحهٔ منبع: 122</w:t>
      </w:r>
    </w:p>
    <w:p>
      <w:pPr>
        <w:spacing w:after="20" w:line="223" w:lineRule="auto"/>
        <w:jc w:val="right"/>
        <w:bidi/>
      </w:pPr>
      <w:r>
        <w:rPr>
          <w:rFonts w:ascii="Arial" w:hAnsi="Arial"/>
          <w:sz w:val="16"/>
        </w:rPr>
        <w:t>106.01  مرحله ۳: دوره توسعه اقدام.</w:t>
      </w:r>
    </w:p>
    <w:p>
      <w:pPr>
        <w:spacing w:after="28" w:line="216" w:lineRule="auto"/>
        <w:ind w:left="259"/>
        <w:jc w:val="left"/>
      </w:pPr>
      <w:r>
        <w:rPr>
          <w:rFonts w:ascii="Arial" w:hAnsi="Arial"/>
          <w:color w:val="525252"/>
          <w:sz w:val="13"/>
        </w:rPr>
        <w:t>Step 3: Course of Action Development.</w:t>
      </w:r>
    </w:p>
    <w:p>
      <w:pPr>
        <w:spacing w:after="20" w:line="223" w:lineRule="auto"/>
        <w:jc w:val="right"/>
        <w:bidi/>
      </w:pPr>
      <w:r>
        <w:rPr>
          <w:rFonts w:ascii="Arial" w:hAnsi="Arial"/>
          <w:sz w:val="16"/>
        </w:rPr>
        <w:t>106.02  COA یک راه بالقوه (راه حل، روش) برای انجام مأموریت تعیین شده است.</w:t>
      </w:r>
    </w:p>
    <w:p>
      <w:pPr>
        <w:spacing w:after="28" w:line="216" w:lineRule="auto"/>
        <w:ind w:left="259"/>
        <w:jc w:val="left"/>
      </w:pPr>
      <w:r>
        <w:rPr>
          <w:rFonts w:ascii="Arial" w:hAnsi="Arial"/>
          <w:color w:val="525252"/>
          <w:sz w:val="13"/>
        </w:rPr>
        <w:t>A COA is a potential way (solution, method) to accomplish the assigned mission.</w:t>
      </w:r>
    </w:p>
    <w:p>
      <w:pPr>
        <w:spacing w:after="20" w:line="223" w:lineRule="auto"/>
        <w:jc w:val="right"/>
        <w:bidi/>
      </w:pPr>
      <w:r>
        <w:rPr>
          <w:rFonts w:ascii="Arial" w:hAnsi="Arial"/>
          <w:sz w:val="16"/>
        </w:rPr>
        <w:t>106.03  کارکنان چندین COA را توسعه می‌دهند تا به فرماندهان گزینه‌هایی برای رسیدن به وضعیت نهایی نظامی ارائه دهند.</w:t>
      </w:r>
    </w:p>
    <w:p>
      <w:pPr>
        <w:spacing w:after="28" w:line="216" w:lineRule="auto"/>
        <w:ind w:left="259"/>
        <w:jc w:val="left"/>
      </w:pPr>
      <w:r>
        <w:rPr>
          <w:rFonts w:ascii="Arial" w:hAnsi="Arial"/>
          <w:color w:val="525252"/>
          <w:sz w:val="13"/>
        </w:rPr>
        <w:t>Staffs develop multiple COAs to provide commanders with options to attain the military end state.</w:t>
      </w:r>
    </w:p>
    <w:p>
      <w:pPr>
        <w:spacing w:after="20" w:line="223" w:lineRule="auto"/>
        <w:jc w:val="right"/>
        <w:bidi/>
      </w:pPr>
      <w:r>
        <w:rPr>
          <w:rFonts w:ascii="Arial" w:hAnsi="Arial"/>
          <w:sz w:val="16"/>
        </w:rPr>
        <w:t>106.04  یک COA خوب، مأموریت را در چارچوب هدایت فرمانده انجام می‌دهد، انعطاف‌پذیری را برای رویارویی با رویدادهای پیش‌بینی‌نشده در حین اجرا فراهم می‌کند و نیروی مشترک را برای عملیات‌های آینده قرار می‌دهد.</w:t>
      </w:r>
    </w:p>
    <w:p>
      <w:pPr>
        <w:spacing w:after="28" w:line="216" w:lineRule="auto"/>
        <w:ind w:left="259"/>
        <w:jc w:val="left"/>
      </w:pPr>
      <w:r>
        <w:rPr>
          <w:rFonts w:ascii="Arial" w:hAnsi="Arial"/>
          <w:color w:val="525252"/>
          <w:sz w:val="13"/>
        </w:rPr>
        <w:t>A good COA accomplishes the mission within the commander’s guidance, provides flexibility to meet unforeseen events during execution, and positions the joint force for future operations.</w:t>
      </w:r>
    </w:p>
    <w:p>
      <w:pPr>
        <w:spacing w:after="20" w:line="223" w:lineRule="auto"/>
        <w:jc w:val="right"/>
        <w:bidi/>
      </w:pPr>
      <w:r>
        <w:rPr>
          <w:rFonts w:ascii="Arial" w:hAnsi="Arial"/>
          <w:sz w:val="16"/>
        </w:rPr>
        <w:t>106.05  همچنین حداکثر عرض جغرافیایی را برای ابتکار به اجزا می‌دهد.</w:t>
      </w:r>
    </w:p>
    <w:p>
      <w:pPr>
        <w:spacing w:after="28" w:line="216" w:lineRule="auto"/>
        <w:ind w:left="259"/>
        <w:jc w:val="left"/>
      </w:pPr>
      <w:r>
        <w:rPr>
          <w:rFonts w:ascii="Arial" w:hAnsi="Arial"/>
          <w:color w:val="525252"/>
          <w:sz w:val="13"/>
        </w:rPr>
        <w:t>It also gives components the maximum latitude for initiative.</w:t>
      </w:r>
    </w:p>
    <w:p>
      <w:pPr>
        <w:spacing w:after="20" w:line="223" w:lineRule="auto"/>
        <w:jc w:val="right"/>
        <w:bidi/>
      </w:pPr>
      <w:r>
        <w:rPr>
          <w:rFonts w:ascii="Arial" w:hAnsi="Arial"/>
          <w:sz w:val="16"/>
        </w:rPr>
        <w:t>106.06  همه COA ها باید مناسب، امکان پذیر، قابل قبول، قابل تشخیص و کامل باشند.</w:t>
      </w:r>
    </w:p>
    <w:p>
      <w:pPr>
        <w:spacing w:after="28" w:line="216" w:lineRule="auto"/>
        <w:ind w:left="259"/>
        <w:jc w:val="left"/>
      </w:pPr>
      <w:r>
        <w:rPr>
          <w:rFonts w:ascii="Arial" w:hAnsi="Arial"/>
          <w:color w:val="525252"/>
          <w:sz w:val="13"/>
        </w:rPr>
        <w:t>All COAs must be suitable, feasible, acceptable, distinguishable, and complete.</w:t>
      </w:r>
    </w:p>
    <w:p>
      <w:pPr>
        <w:spacing w:after="20" w:line="223" w:lineRule="auto"/>
        <w:jc w:val="right"/>
        <w:bidi/>
      </w:pPr>
      <w:r>
        <w:rPr>
          <w:rFonts w:ascii="Arial" w:hAnsi="Arial"/>
          <w:sz w:val="16"/>
        </w:rPr>
        <w:t>106.07  مرحله ۴: دوره تحلیل عمل و بازی جنگی.</w:t>
      </w:r>
    </w:p>
    <w:p>
      <w:pPr>
        <w:spacing w:after="28" w:line="216" w:lineRule="auto"/>
        <w:ind w:left="259"/>
        <w:jc w:val="left"/>
      </w:pPr>
      <w:r>
        <w:rPr>
          <w:rFonts w:ascii="Arial" w:hAnsi="Arial"/>
          <w:color w:val="525252"/>
          <w:sz w:val="13"/>
        </w:rPr>
        <w:t>Step 4: Course of Action Analysis and Wargaming.</w:t>
      </w:r>
    </w:p>
    <w:p>
      <w:pPr>
        <w:spacing w:after="20" w:line="223" w:lineRule="auto"/>
        <w:jc w:val="right"/>
        <w:bidi/>
      </w:pPr>
      <w:r>
        <w:rPr>
          <w:rFonts w:ascii="Arial" w:hAnsi="Arial"/>
          <w:sz w:val="16"/>
        </w:rPr>
        <w:t>106.08  مرحله تجزیه و تحلیل COA، COA های بالقوه را از نزدیک بررسی می‌کند تا جزئیاتی را آشکار کند که به فرمانده و کارکنان اجازه می‌دهد آنها را ارزیابی کنند و مزایا و معایب را شناسایی کنند.</w:t>
      </w:r>
    </w:p>
    <w:p>
      <w:pPr>
        <w:spacing w:after="28" w:line="216" w:lineRule="auto"/>
        <w:ind w:left="259"/>
        <w:jc w:val="left"/>
      </w:pPr>
      <w:r>
        <w:rPr>
          <w:rFonts w:ascii="Arial" w:hAnsi="Arial"/>
          <w:color w:val="525252"/>
          <w:sz w:val="13"/>
        </w:rPr>
        <w:t>The COA analysis step closely examines potential COAs to reveal details that will allow the commander and staff to evaluate them and identify advantages and disadvantages.</w:t>
      </w:r>
    </w:p>
    <w:p>
      <w:pPr>
        <w:spacing w:after="20" w:line="223" w:lineRule="auto"/>
        <w:jc w:val="right"/>
        <w:bidi/>
      </w:pPr>
      <w:r>
        <w:rPr>
          <w:rFonts w:ascii="Arial" w:hAnsi="Arial"/>
          <w:sz w:val="16"/>
        </w:rPr>
        <w:t>106.09  وارگامینگ یک ابزار اصلی برای تجزیه و تحلیل COA است.</w:t>
      </w:r>
    </w:p>
    <w:p>
      <w:pPr>
        <w:spacing w:after="28" w:line="216" w:lineRule="auto"/>
        <w:ind w:left="259"/>
        <w:jc w:val="left"/>
      </w:pPr>
      <w:r>
        <w:rPr>
          <w:rFonts w:ascii="Arial" w:hAnsi="Arial"/>
          <w:color w:val="525252"/>
          <w:sz w:val="13"/>
        </w:rPr>
        <w:t>Wargaming is a primary means for COA analysis.</w:t>
      </w:r>
    </w:p>
    <w:p>
      <w:pPr>
        <w:spacing w:after="20" w:line="223" w:lineRule="auto"/>
        <w:jc w:val="right"/>
        <w:bidi/>
      </w:pPr>
      <w:r>
        <w:rPr>
          <w:rFonts w:ascii="Arial" w:hAnsi="Arial"/>
          <w:sz w:val="16"/>
        </w:rPr>
        <w:t>106.10  بازی‌های جنگی بازنمایی درگیری یا رقابت در یک محیط ترکیبی هستند که در آن افراد تصمیم می‌گیرند و به پیامدهای آن تصمیم‌ها پاسخ می‌دهند.</w:t>
      </w:r>
    </w:p>
    <w:p>
      <w:pPr>
        <w:spacing w:after="28" w:line="216" w:lineRule="auto"/>
        <w:ind w:left="259"/>
        <w:jc w:val="left"/>
      </w:pPr>
      <w:r>
        <w:rPr>
          <w:rFonts w:ascii="Arial" w:hAnsi="Arial"/>
          <w:color w:val="525252"/>
          <w:sz w:val="13"/>
        </w:rPr>
        <w:t>Wargames are representations of conflict or competition in a synthetic environment, in which people make decisions and respond to the consequences of those decisions.</w:t>
      </w:r>
    </w:p>
    <w:p>
      <w:pPr>
        <w:spacing w:after="20" w:line="223" w:lineRule="auto"/>
        <w:jc w:val="right"/>
        <w:bidi/>
      </w:pPr>
      <w:r>
        <w:rPr>
          <w:rFonts w:ascii="Arial" w:hAnsi="Arial"/>
          <w:sz w:val="16"/>
        </w:rPr>
        <w:t>106.11  بازی جنگی COA تلاشی آگاهانه برای تجسم جریان عملیات، با توجه به قوت‌ها و تمایلات نیروهای مشترک، قابلیت‌های دشمن و COA های احتمالی، و سایر جنبه‌های محیط عملیاتی (OE) است.</w:t>
      </w:r>
    </w:p>
    <w:p>
      <w:pPr>
        <w:spacing w:after="28" w:line="216" w:lineRule="auto"/>
        <w:ind w:left="259"/>
        <w:jc w:val="left"/>
      </w:pPr>
      <w:r>
        <w:rPr>
          <w:rFonts w:ascii="Arial" w:hAnsi="Arial"/>
          <w:color w:val="525252"/>
          <w:sz w:val="13"/>
        </w:rPr>
        <w:t>COA wargaming is a conscious attempt to visualize the flow of the operation, given joint force strengths and dispositions, adversary capabilities and possible COAs, and other aspects of the Operating Environment (OE).</w:t>
      </w:r>
    </w:p>
    <w:p>
      <w:pPr>
        <w:spacing w:after="20" w:line="223" w:lineRule="auto"/>
        <w:jc w:val="right"/>
        <w:bidi/>
      </w:pPr>
      <w:r>
        <w:rPr>
          <w:rFonts w:ascii="Arial" w:hAnsi="Arial"/>
          <w:sz w:val="16"/>
        </w:rPr>
        <w:t>106.12  هر رویداد حیاتی در یک COA پیشنهادی باید بر اساس زمان در دسترس با استفاده از روش کنش، واکنش، و متقابل متقابل نیروی دوستانه و/یا متضاد با نیروی متضاد، جنگ شود.</w:t>
      </w:r>
    </w:p>
    <w:p>
      <w:pPr>
        <w:spacing w:after="28" w:line="216" w:lineRule="auto"/>
        <w:ind w:left="259"/>
        <w:jc w:val="left"/>
      </w:pPr>
      <w:r>
        <w:rPr>
          <w:rFonts w:ascii="Arial" w:hAnsi="Arial"/>
          <w:color w:val="525252"/>
          <w:sz w:val="13"/>
        </w:rPr>
        <w:t>Each critical event within a proposed COA should be wargamed based upon time available using the action, reaction, and counteraction method of friendly and/or opposing force interaction.</w:t>
      </w:r>
    </w:p>
    <w:p>
      <w:pPr>
        <w:spacing w:after="20" w:line="223" w:lineRule="auto"/>
        <w:jc w:val="right"/>
        <w:bidi/>
      </w:pPr>
      <w:r>
        <w:rPr>
          <w:rFonts w:ascii="Arial" w:hAnsi="Arial"/>
          <w:sz w:val="16"/>
        </w:rPr>
        <w:t>106.13  مرحله ۵: مقایسه دوره عمل.</w:t>
      </w:r>
    </w:p>
    <w:p>
      <w:pPr>
        <w:spacing w:after="28" w:line="216" w:lineRule="auto"/>
        <w:ind w:left="259"/>
        <w:jc w:val="left"/>
      </w:pPr>
      <w:r>
        <w:rPr>
          <w:rFonts w:ascii="Arial" w:hAnsi="Arial"/>
          <w:color w:val="525252"/>
          <w:sz w:val="13"/>
        </w:rPr>
        <w:t>Step 5: Course of Action Comparison.</w:t>
      </w:r>
    </w:p>
    <w:p>
      <w:pPr>
        <w:spacing w:after="20" w:line="223" w:lineRule="auto"/>
        <w:jc w:val="right"/>
        <w:bidi/>
      </w:pPr>
      <w:r>
        <w:rPr>
          <w:rFonts w:ascii="Arial" w:hAnsi="Arial"/>
          <w:sz w:val="16"/>
        </w:rPr>
        <w:t>106.14  مقایسه COA هم یک فرآیند ذهنی و هم عینی است که به موجب آن COAها به‌طور مستقل در نظر گرفته می‌شوند و بر اساس مجموعه‌ای از معیارهایی که توسط کارکنان و فرمانده تعیین می‌شوند، ارزیابی/مقایسه می‌شوند.</w:t>
      </w:r>
    </w:p>
    <w:p>
      <w:pPr>
        <w:spacing w:after="28" w:line="216" w:lineRule="auto"/>
        <w:ind w:left="259"/>
        <w:jc w:val="left"/>
      </w:pPr>
      <w:r>
        <w:rPr>
          <w:rFonts w:ascii="Arial" w:hAnsi="Arial"/>
          <w:color w:val="525252"/>
          <w:sz w:val="13"/>
        </w:rPr>
        <w:t>COA comparison is both a subjective and objective process, whereby COAs are considered independently and evaluated/compared against a set of criteria that are established by the staff and commander.</w:t>
      </w:r>
    </w:p>
    <w:p>
      <w:pPr>
        <w:spacing w:after="20" w:line="223" w:lineRule="auto"/>
        <w:jc w:val="right"/>
        <w:bidi/>
      </w:pPr>
      <w:r>
        <w:rPr>
          <w:rFonts w:ascii="Arial" w:hAnsi="Arial"/>
          <w:sz w:val="16"/>
        </w:rPr>
        <w:t>106.15  هدف شناسایی و توصیه COA است که بالاترین احتمال را برای انجام مأموریت دارد و قابل قبول است.</w:t>
      </w:r>
    </w:p>
    <w:p>
      <w:pPr>
        <w:spacing w:after="28" w:line="216" w:lineRule="auto"/>
        <w:ind w:left="259"/>
        <w:jc w:val="left"/>
      </w:pPr>
      <w:r>
        <w:rPr>
          <w:rFonts w:ascii="Arial" w:hAnsi="Arial"/>
          <w:color w:val="525252"/>
          <w:sz w:val="13"/>
        </w:rPr>
        <w:t>The objective is to identify and recommend the COA that has the highest probability of accomplishing the mission and is acceptable.</w:t>
      </w:r>
    </w:p>
    <w:p>
      <w:pPr>
        <w:spacing w:after="20" w:line="223" w:lineRule="auto"/>
        <w:jc w:val="right"/>
        <w:bidi/>
      </w:pPr>
      <w:r>
        <w:rPr>
          <w:rFonts w:ascii="Arial" w:hAnsi="Arial"/>
          <w:sz w:val="16"/>
        </w:rPr>
        <w:t>106.16  مقایسه COA فرآیند تصمیم‌گیری فرمانده را با ایجاد تعادل بین اهداف، وسایل، راه‌ها و خطر هر COA تسهیل می‌کند.</w:t>
      </w:r>
    </w:p>
    <w:p>
      <w:pPr>
        <w:spacing w:after="28" w:line="216" w:lineRule="auto"/>
        <w:ind w:left="259"/>
        <w:jc w:val="left"/>
      </w:pPr>
      <w:r>
        <w:rPr>
          <w:rFonts w:ascii="Arial" w:hAnsi="Arial"/>
          <w:color w:val="525252"/>
          <w:sz w:val="13"/>
        </w:rPr>
        <w:t>COA comparison facilitates the commander’s decision-making process by balancing the ends, means, ways, and risk of each COA.</w:t>
      </w:r>
    </w:p>
    <w:p>
      <w:pPr>
        <w:spacing w:after="20" w:line="223" w:lineRule="auto"/>
        <w:jc w:val="right"/>
        <w:bidi/>
      </w:pPr>
      <w:r>
        <w:rPr>
          <w:rFonts w:ascii="Arial" w:hAnsi="Arial"/>
          <w:sz w:val="16"/>
        </w:rPr>
        <w:t>106.17  محصول نهایی این کار، ارائه توضیحاتی به فرمانده در مورد توصیه COA و تصمیم فرمانده است.</w:t>
      </w:r>
    </w:p>
    <w:p>
      <w:pPr>
        <w:spacing w:after="28" w:line="216" w:lineRule="auto"/>
        <w:ind w:left="259"/>
        <w:jc w:val="left"/>
      </w:pPr>
      <w:r>
        <w:rPr>
          <w:rFonts w:ascii="Arial" w:hAnsi="Arial"/>
          <w:color w:val="525252"/>
          <w:sz w:val="13"/>
        </w:rPr>
        <w:t>The end product of this task is a briefing to the commander on a COA recommendation and a decision by the commander.</w:t>
      </w:r>
    </w:p>
    <w:p>
      <w:pPr>
        <w:spacing w:after="20" w:line="223" w:lineRule="auto"/>
        <w:jc w:val="right"/>
        <w:bidi/>
      </w:pPr>
      <w:r>
        <w:rPr>
          <w:rFonts w:ascii="Arial" w:hAnsi="Arial"/>
          <w:sz w:val="16"/>
        </w:rPr>
        <w:t>106.18  مرحله ۶: تأیید دوره اقدام.</w:t>
      </w:r>
    </w:p>
    <w:p>
      <w:pPr>
        <w:spacing w:after="28" w:line="216" w:lineRule="auto"/>
        <w:ind w:left="259"/>
        <w:jc w:val="left"/>
      </w:pPr>
      <w:r>
        <w:rPr>
          <w:rFonts w:ascii="Arial" w:hAnsi="Arial"/>
          <w:color w:val="525252"/>
          <w:sz w:val="13"/>
        </w:rPr>
        <w:t>Step 6: Course of Action Approval.</w:t>
      </w:r>
    </w:p>
    <w:p>
      <w:pPr>
        <w:spacing w:after="20" w:line="223" w:lineRule="auto"/>
        <w:jc w:val="right"/>
        <w:bidi/>
      </w:pPr>
      <w:r>
        <w:rPr>
          <w:rFonts w:ascii="Arial" w:hAnsi="Arial"/>
          <w:sz w:val="16"/>
        </w:rPr>
        <w:t>106.19  در مرحله تأیید COA، کارکنان فرمانده را در مورد نتایج مقایسه COA و بازی جنگی توضیح می‌دهند و یک COA را برای تأیید توصیه می‌کنند.</w:t>
      </w:r>
    </w:p>
    <w:p>
      <w:pPr>
        <w:spacing w:after="28" w:line="216" w:lineRule="auto"/>
        <w:ind w:left="259"/>
        <w:jc w:val="left"/>
      </w:pPr>
      <w:r>
        <w:rPr>
          <w:rFonts w:ascii="Arial" w:hAnsi="Arial"/>
          <w:color w:val="525252"/>
          <w:sz w:val="13"/>
        </w:rPr>
        <w:t>In the COA approval step, the staff briefs the commander on the COA comparison and wargaming results and recommends a COA for approval.</w:t>
      </w:r>
    </w:p>
    <w:p>
      <w:pPr>
        <w:spacing w:after="20" w:line="223" w:lineRule="auto"/>
        <w:jc w:val="right"/>
        <w:bidi/>
      </w:pPr>
      <w:r>
        <w:rPr>
          <w:rFonts w:ascii="Arial" w:hAnsi="Arial"/>
          <w:sz w:val="16"/>
        </w:rPr>
        <w:t>106.20  فرمانده ممکن است COA را تأیید کند، آن را اصلاح کند، یا به‌کارکنان دستور دهد تا بخش‌هایی از فرآیند برنامه‌ریزی عملیات مشترک را تکرار کنند.</w:t>
      </w:r>
    </w:p>
    <w:p>
      <w:pPr>
        <w:spacing w:after="28" w:line="216" w:lineRule="auto"/>
        <w:ind w:left="259"/>
        <w:jc w:val="left"/>
      </w:pPr>
      <w:r>
        <w:rPr>
          <w:rFonts w:ascii="Arial" w:hAnsi="Arial"/>
          <w:color w:val="525252"/>
          <w:sz w:val="13"/>
        </w:rPr>
        <w:t>The commander may approve the COA, modify it, or direct the staff to reiterate portions of the joint operation planning process.</w:t>
      </w:r>
    </w:p>
    <w:p>
      <w:pPr>
        <w:spacing w:after="20" w:line="223" w:lineRule="auto"/>
        <w:jc w:val="right"/>
        <w:bidi/>
      </w:pPr>
      <w:r>
        <w:rPr>
          <w:rFonts w:ascii="Arial" w:hAnsi="Arial"/>
          <w:sz w:val="16"/>
        </w:rPr>
        <w:t>106.21  مرحله ۷: برنامه‌ریزی یا سفارش توسعه.</w:t>
      </w:r>
    </w:p>
    <w:p>
      <w:pPr>
        <w:spacing w:after="28" w:line="216" w:lineRule="auto"/>
        <w:ind w:left="259"/>
        <w:jc w:val="left"/>
      </w:pPr>
      <w:r>
        <w:rPr>
          <w:rFonts w:ascii="Arial" w:hAnsi="Arial"/>
          <w:color w:val="525252"/>
          <w:sz w:val="13"/>
        </w:rPr>
        <w:t>Step 7: Plan or Order Development.</w:t>
      </w:r>
    </w:p>
    <w:p>
      <w:pPr>
        <w:spacing w:after="20" w:line="223" w:lineRule="auto"/>
        <w:jc w:val="right"/>
        <w:bidi/>
      </w:pPr>
      <w:r>
        <w:rPr>
          <w:rFonts w:ascii="Arial" w:hAnsi="Arial"/>
          <w:sz w:val="16"/>
        </w:rPr>
        <w:t>106.22  برنامه‌ریزی منجر به طرحی می‌شود که در قالب یک طرح یا دستور مستند شده است.</w:t>
      </w:r>
    </w:p>
    <w:p>
      <w:pPr>
        <w:spacing w:after="28" w:line="216" w:lineRule="auto"/>
        <w:ind w:left="259"/>
        <w:jc w:val="left"/>
      </w:pPr>
      <w:r>
        <w:rPr>
          <w:rFonts w:ascii="Arial" w:hAnsi="Arial"/>
          <w:color w:val="525252"/>
          <w:sz w:val="13"/>
        </w:rPr>
        <w:t>Planning results in a plan that is documented in the format of a plan or an order.</w:t>
      </w:r>
    </w:p>
    <w:p>
      <w:pPr>
        <w:spacing w:after="20" w:line="223" w:lineRule="auto"/>
        <w:jc w:val="right"/>
        <w:bidi/>
      </w:pPr>
      <w:r>
        <w:rPr>
          <w:rFonts w:ascii="Arial" w:hAnsi="Arial"/>
          <w:sz w:val="16"/>
        </w:rPr>
        <w:t>106.23  اگر اجرا قریب الوقوع یا در حال انجام است، طرح معمولا در قالب یک سفارش مستند می‌شود.</w:t>
      </w:r>
    </w:p>
    <w:p>
      <w:pPr>
        <w:spacing w:after="28" w:line="216" w:lineRule="auto"/>
        <w:ind w:left="259"/>
        <w:jc w:val="left"/>
      </w:pPr>
      <w:r>
        <w:rPr>
          <w:rFonts w:ascii="Arial" w:hAnsi="Arial"/>
          <w:color w:val="525252"/>
          <w:sz w:val="13"/>
        </w:rPr>
        <w:t>If execution is imminent or in progress, the plan is typically documented in the format of an order.</w:t>
      </w:r>
    </w:p>
    <w:p>
      <w:pPr>
        <w:spacing w:after="20" w:line="223" w:lineRule="auto"/>
        <w:jc w:val="right"/>
        <w:bidi/>
      </w:pPr>
      <w:r>
        <w:rPr>
          <w:rFonts w:ascii="Arial" w:hAnsi="Arial"/>
          <w:sz w:val="16"/>
        </w:rPr>
        <w:t>106.24  در طول توسعه برنامه یا دستور، فرمانده و کارکنان با همکاری اجزا و سازمان‌های زیرمجموعه و پشتیبانی، COA مصوب را به یک برنامه یا دستور عملیات تفصیلی (OPORD) با اصلاح مفهوم اولیه عملیات (CONOPS) مرتبط با COA تأیید شده گسترش می‌دهند.</w:t>
      </w:r>
    </w:p>
    <w:p>
      <w:pPr>
        <w:spacing w:after="28" w:line="216" w:lineRule="auto"/>
        <w:ind w:left="259"/>
        <w:jc w:val="left"/>
      </w:pPr>
      <w:r>
        <w:rPr>
          <w:rFonts w:ascii="Arial" w:hAnsi="Arial"/>
          <w:color w:val="525252"/>
          <w:sz w:val="13"/>
        </w:rPr>
        <w:t>During plan or order development, the commander, and staff, in collaboration with subordinate and supporting components and organizations, expand the approved COA into a detailed plan or operations order (OPORD) by refining the initial concept of operations (CONOPS) associated with the approved COA.</w:t>
      </w:r>
    </w:p>
    <w:p>
      <w:pPr>
        <w:spacing w:before="60" w:after="28"/>
        <w:jc w:val="right"/>
        <w:bidi/>
      </w:pPr>
      <w:r>
        <w:rPr>
          <w:b/>
          <w:color w:val="1F4D78"/>
          <w:sz w:val="18"/>
        </w:rPr>
        <w:t>6.10. برنامه ریزی مشترک</w:t>
      </w:r>
    </w:p>
    <w:p>
      <w:pPr>
        <w:spacing w:after="20"/>
        <w:ind w:left="259"/>
        <w:jc w:val="left"/>
      </w:pPr>
      <w:r>
        <w:rPr>
          <w:color w:val="555555"/>
          <w:sz w:val="12"/>
        </w:rPr>
        <w:t>6.10. Joint Planning</w:t>
      </w:r>
    </w:p>
    <w:p>
      <w:pPr>
        <w:spacing w:after="20" w:line="223" w:lineRule="auto"/>
        <w:jc w:val="right"/>
        <w:bidi/>
      </w:pPr>
      <w:r>
        <w:rPr>
          <w:rFonts w:ascii="Arial" w:hAnsi="Arial"/>
          <w:sz w:val="16"/>
        </w:rPr>
        <w:t>106.26  برنامه‌ریزی مشترک، فرآیند عمدی تعیین چگونگی اجرای هدایت استراتژیک است: چگونگی (راه‌های) استفاده از قابلیت‌های نظامی (وسایل) در زمان و مکان برای دستیابی به اهداف (هدف‌ها) در سطح قابل قبولی از ریسک.</w:t>
      </w:r>
    </w:p>
    <w:p>
      <w:pPr>
        <w:spacing w:after="28" w:line="216" w:lineRule="auto"/>
        <w:ind w:left="259"/>
        <w:jc w:val="left"/>
      </w:pPr>
      <w:r>
        <w:rPr>
          <w:rFonts w:ascii="Arial" w:hAnsi="Arial"/>
          <w:color w:val="525252"/>
          <w:sz w:val="13"/>
        </w:rPr>
        <w:t>Joint planning is the deliberate process of determining how to implement strategic guidance: how (the ways) to use military capabilities (the means) in time and space to achieve objectives (the ends) within an acceptable level of risk.</w:t>
      </w:r>
    </w:p>
    <w:p>
      <w:pPr>
        <w:spacing w:after="20" w:line="223" w:lineRule="auto"/>
        <w:jc w:val="right"/>
        <w:bidi/>
      </w:pPr>
      <w:r>
        <w:rPr>
          <w:rFonts w:ascii="Arial" w:hAnsi="Arial"/>
          <w:sz w:val="16"/>
        </w:rPr>
        <w:t>106.27  در حالت ایده‌آل، برنامه‌ریزی با اهداف استراتژیک ملی مشخص و دولت‌های پایانی نظامی آغاز می‌شود تا هدفی وحدت‌بخش فراهم کند که اقدامات و منابع حول آن متمرکز شوند.</w:t>
      </w:r>
    </w:p>
    <w:p>
      <w:pPr>
        <w:spacing w:after="28" w:line="216" w:lineRule="auto"/>
        <w:ind w:left="259"/>
        <w:jc w:val="left"/>
      </w:pPr>
      <w:r>
        <w:rPr>
          <w:rFonts w:ascii="Arial" w:hAnsi="Arial"/>
          <w:color w:val="525252"/>
          <w:sz w:val="13"/>
        </w:rPr>
        <w:t>Ideally, planning begins with specified national strategic objectives and military end states to provide a unifying purpose around which actions and resources are focused.</w:t>
      </w:r>
    </w:p>
    <w:p>
      <w:pPr>
        <w:spacing w:after="20" w:line="223" w:lineRule="auto"/>
        <w:jc w:val="right"/>
        <w:bidi/>
      </w:pPr>
      <w:r>
        <w:rPr>
          <w:rFonts w:ascii="Arial" w:hAnsi="Arial"/>
          <w:sz w:val="16"/>
        </w:rPr>
        <w:t>106.28  رهبران برنامه‌ریزی مشترکی را برای درک محیط‌های استراتژیک و عملیاتی انجام می‌دهند تا بهترین روش‌ها را برای استفاده از قابلیت‌های وزارت دفاع برای دستیابی به اهداف ملی تعیین کنند.</w:t>
      </w:r>
    </w:p>
    <w:p>
      <w:pPr>
        <w:spacing w:after="28" w:line="216" w:lineRule="auto"/>
        <w:ind w:left="259"/>
        <w:jc w:val="left"/>
      </w:pPr>
      <w:r>
        <w:rPr>
          <w:rFonts w:ascii="Arial" w:hAnsi="Arial"/>
          <w:color w:val="525252"/>
          <w:sz w:val="13"/>
        </w:rPr>
        <w:t>Leaders conduct joint planning to understand the strategic and operational environments to determine the best methods for employing the Department of Defense’s capabilities to achieve national objectives.</w:t>
      </w:r>
    </w:p>
    <w:p>
      <w:pPr>
        <w:spacing w:after="20" w:line="223" w:lineRule="auto"/>
        <w:jc w:val="right"/>
        <w:bidi/>
      </w:pPr>
      <w:r>
        <w:rPr>
          <w:rFonts w:ascii="Arial" w:hAnsi="Arial"/>
          <w:sz w:val="16"/>
        </w:rPr>
        <w:t>106.29  برنامه‌ریزی مشترک راه‌ها و ابزارهای نظامی را مشخص می‌کند که رئیس جمهور می‌تواند با سایر ابزارهای قدرت ملی (دیپلماتیک، اطلاعاتی و اقتصادی) هماهنگ شود.</w:t>
      </w:r>
    </w:p>
    <w:p>
      <w:pPr>
        <w:spacing w:after="28" w:line="216" w:lineRule="auto"/>
        <w:ind w:left="259"/>
        <w:jc w:val="left"/>
      </w:pPr>
      <w:r>
        <w:rPr>
          <w:rFonts w:ascii="Arial" w:hAnsi="Arial"/>
          <w:color w:val="525252"/>
          <w:sz w:val="13"/>
        </w:rPr>
        <w:t>Joint planning identifies military ways and means the President can align with other instruments of national power (diplomatic, informational, and economic).</w:t>
      </w:r>
    </w:p>
    <w:p>
      <w:pPr>
        <w:spacing w:after="20" w:line="223" w:lineRule="auto"/>
        <w:jc w:val="right"/>
        <w:bidi/>
      </w:pPr>
      <w:r>
        <w:rPr>
          <w:rFonts w:ascii="Arial" w:hAnsi="Arial"/>
          <w:sz w:val="16"/>
        </w:rPr>
        <w:t>106.30  در این فرآیند، برنامه‌ریزی مشترک مشکل را چارچوب بندی می‌کند. اهداف، راه‌ها و وسایل را همسو می‌کند. توسعه رویکردهای عملیاتی؛ حساب برای ریسک؛ و به رهبران فضای تصمیم‌گیری با گزینه‌های نظامی پیشنهادی می‌دهد.</w:t>
      </w:r>
    </w:p>
    <w:p>
      <w:pPr>
        <w:spacing w:after="28" w:line="216" w:lineRule="auto"/>
        <w:ind w:left="259"/>
        <w:jc w:val="left"/>
      </w:pPr>
      <w:r>
        <w:rPr>
          <w:rFonts w:ascii="Arial" w:hAnsi="Arial"/>
          <w:color w:val="525252"/>
          <w:sz w:val="13"/>
        </w:rPr>
        <w:t>In the process, joint planning frames the problem; aligns ends, ways, and means; develops operational approaches; accounts for risk; and gives leaders decision space with proposed military options.</w:t>
      </w:r>
    </w:p>
    <w:p>
      <w:pPr>
        <w:spacing w:after="20" w:line="223" w:lineRule="auto"/>
        <w:jc w:val="right"/>
        <w:bidi/>
      </w:pPr>
      <w:r>
        <w:rPr>
          <w:rFonts w:ascii="Arial" w:hAnsi="Arial"/>
          <w:sz w:val="16"/>
        </w:rPr>
        <w:t>106.31  CCDR ها ممکن است اهدافی را برای بررسی رئیس جمهور و وزیر دفاع (سکدف) قبل از شروع برنامه‌ریزی دقیق پیشنهاد کنند.</w:t>
      </w:r>
    </w:p>
    <w:p>
      <w:pPr>
        <w:spacing w:after="28" w:line="216" w:lineRule="auto"/>
        <w:ind w:left="259"/>
        <w:jc w:val="left"/>
      </w:pPr>
      <w:r>
        <w:rPr>
          <w:rFonts w:ascii="Arial" w:hAnsi="Arial"/>
          <w:color w:val="525252"/>
          <w:sz w:val="13"/>
        </w:rPr>
        <w:t>CCDRs may propose objectives for the President and Secretary of Defense’s (SecDef’s) consideration before beginning detailed planning.</w:t>
      </w:r>
    </w:p>
    <w:p>
      <w:pPr>
        <w:spacing w:after="20" w:line="223" w:lineRule="auto"/>
        <w:jc w:val="right"/>
        <w:bidi/>
      </w:pPr>
      <w:r>
        <w:rPr>
          <w:rFonts w:ascii="Arial" w:hAnsi="Arial"/>
          <w:sz w:val="16"/>
        </w:rPr>
        <w:t>106.32  رئیس ستاد مشترک</w:t>
      </w:r>
    </w:p>
    <w:p>
      <w:pPr>
        <w:spacing w:after="28" w:line="216" w:lineRule="auto"/>
        <w:ind w:left="259"/>
        <w:jc w:val="left"/>
      </w:pPr>
      <w:r>
        <w:rPr>
          <w:rFonts w:ascii="Arial" w:hAnsi="Arial"/>
          <w:color w:val="525252"/>
          <w:sz w:val="13"/>
        </w:rPr>
        <w:t>The Chairman of the Joint Chiefs of</w:t>
      </w:r>
    </w:p>
    <w:p>
      <w:r>
        <w:br w:type="page"/>
      </w:r>
    </w:p>
    <w:p>
      <w:pPr>
        <w:spacing w:after="60"/>
        <w:jc w:val="right"/>
        <w:bidi/>
      </w:pPr>
      <w:r>
        <w:rPr>
          <w:rFonts w:ascii="Arial" w:hAnsi="Arial"/>
          <w:b/>
          <w:color w:val="1F4D78"/>
          <w:sz w:val="19"/>
        </w:rPr>
        <w:t>هفتهٔ 107  |  صفحهٔ منبع: 123</w:t>
      </w:r>
    </w:p>
    <w:p>
      <w:pPr>
        <w:spacing w:after="20" w:line="223" w:lineRule="auto"/>
        <w:jc w:val="right"/>
        <w:bidi/>
      </w:pPr>
      <w:r>
        <w:rPr>
          <w:rFonts w:ascii="Arial" w:hAnsi="Arial"/>
          <w:sz w:val="16"/>
        </w:rPr>
        <w:t>107.01  کارکنان (CJCS)، به‌عنوان مشاور نظامی اصلی رئیس جمهور و سکدف، ممکن است مشاوره نظامی در مورد اهداف پیشنهادی و اولویت بندی جهانی ارائه دهند.</w:t>
      </w:r>
    </w:p>
    <w:p>
      <w:pPr>
        <w:spacing w:after="28" w:line="216" w:lineRule="auto"/>
        <w:ind w:left="259"/>
        <w:jc w:val="left"/>
      </w:pPr>
      <w:r>
        <w:rPr>
          <w:rFonts w:ascii="Arial" w:hAnsi="Arial"/>
          <w:color w:val="525252"/>
          <w:sz w:val="13"/>
        </w:rPr>
        <w:t>Staff (CJCS), as the principal military advisor to the President and SecDef, may offer military advice on the proposed objectives and global prioritization.</w:t>
      </w:r>
    </w:p>
    <w:p>
      <w:pPr>
        <w:spacing w:after="20" w:line="223" w:lineRule="auto"/>
        <w:jc w:val="right"/>
        <w:bidi/>
      </w:pPr>
      <w:r>
        <w:rPr>
          <w:rFonts w:ascii="Arial" w:hAnsi="Arial"/>
          <w:sz w:val="16"/>
        </w:rPr>
        <w:t>107.02  طرح‌های کمپین.</w:t>
      </w:r>
    </w:p>
    <w:p>
      <w:pPr>
        <w:spacing w:after="28" w:line="216" w:lineRule="auto"/>
        <w:ind w:left="259"/>
        <w:jc w:val="left"/>
      </w:pPr>
      <w:r>
        <w:rPr>
          <w:rFonts w:ascii="Arial" w:hAnsi="Arial"/>
          <w:color w:val="525252"/>
          <w:sz w:val="13"/>
        </w:rPr>
        <w:t>Campaign Plans.</w:t>
      </w:r>
    </w:p>
    <w:p>
      <w:pPr>
        <w:spacing w:after="20" w:line="223" w:lineRule="auto"/>
        <w:jc w:val="right"/>
        <w:bidi/>
      </w:pPr>
      <w:r>
        <w:rPr>
          <w:rFonts w:ascii="Arial" w:hAnsi="Arial"/>
          <w:sz w:val="16"/>
        </w:rPr>
        <w:t>107.03  برنامه‌های کمپین، عملیات روزانه نیروی مشترک را برای شکل دادن به OE و دستیابی به اهداف ملی سازماندهی می‌کند.</w:t>
      </w:r>
    </w:p>
    <w:p>
      <w:pPr>
        <w:spacing w:after="28" w:line="216" w:lineRule="auto"/>
        <w:ind w:left="259"/>
        <w:jc w:val="left"/>
      </w:pPr>
      <w:r>
        <w:rPr>
          <w:rFonts w:ascii="Arial" w:hAnsi="Arial"/>
          <w:color w:val="525252"/>
          <w:sz w:val="13"/>
        </w:rPr>
        <w:t>Campaign plans organize the day-to-day operations of the joint force to shape the OE and achieve national objectives.</w:t>
      </w:r>
    </w:p>
    <w:p>
      <w:pPr>
        <w:spacing w:after="20" w:line="223" w:lineRule="auto"/>
        <w:jc w:val="right"/>
        <w:bidi/>
      </w:pPr>
      <w:r>
        <w:rPr>
          <w:rFonts w:ascii="Arial" w:hAnsi="Arial"/>
          <w:sz w:val="16"/>
        </w:rPr>
        <w:t>107.04  آنها اهداف، شرایط و وظایفی را تعیین می‌کنند که تحت آن اجزای CCMD و سرویس واحد یا مشخص شده، عملیات، فعالیت‌ها و سرمایه‌گذاری‌ها را برای دستیابی به اهداف (شرایط تعیین‌شده) در حمایت از سیاست ملی ایجاد می‌کنند. کمپین‌های</w:t>
      </w:r>
    </w:p>
    <w:p>
      <w:pPr>
        <w:spacing w:after="28" w:line="216" w:lineRule="auto"/>
        <w:ind w:left="259"/>
        <w:jc w:val="left"/>
      </w:pPr>
      <w:r>
        <w:rPr>
          <w:rFonts w:ascii="Arial" w:hAnsi="Arial"/>
          <w:color w:val="525252"/>
          <w:sz w:val="13"/>
        </w:rPr>
        <w:t>They establish objectives, conditions, and tasks under which the united or specified CCMD and Service components build operations, activities, and investments to achieve objectives (set conditions) in support of national policy.</w:t>
      </w:r>
    </w:p>
    <w:p>
      <w:pPr>
        <w:spacing w:after="20" w:line="223" w:lineRule="auto"/>
        <w:jc w:val="right"/>
        <w:bidi/>
      </w:pPr>
      <w:r>
        <w:rPr>
          <w:rFonts w:ascii="Arial" w:hAnsi="Arial"/>
          <w:sz w:val="16"/>
        </w:rPr>
        <w:t>107.05  CCMD فعال هستند و به ندرت معیاری از موفقیت نظامی را نشان می‌دهند که نشان‌دهنده پیروزی به معنای سنتی باشد.</w:t>
      </w:r>
    </w:p>
    <w:p>
      <w:pPr>
        <w:spacing w:after="28" w:line="216" w:lineRule="auto"/>
        <w:ind w:left="259"/>
        <w:jc w:val="left"/>
      </w:pPr>
      <w:r>
        <w:rPr>
          <w:rFonts w:ascii="Arial" w:hAnsi="Arial"/>
          <w:color w:val="525252"/>
          <w:sz w:val="13"/>
        </w:rPr>
        <w:t>CCMD campaigns are proactive and rarely feature a single measure of military success implying victory in the traditional sense.</w:t>
      </w:r>
    </w:p>
    <w:p>
      <w:pPr>
        <w:spacing w:after="20" w:line="223" w:lineRule="auto"/>
        <w:jc w:val="right"/>
        <w:bidi/>
      </w:pPr>
      <w:r>
        <w:rPr>
          <w:rFonts w:ascii="Arial" w:hAnsi="Arial"/>
          <w:sz w:val="16"/>
        </w:rPr>
        <w:t>107.06  کمپین مجموعه‌ای از عملیات نظامی مرتبط برای دستیابی به اهداف استراتژیک و عملیاتی در زمان و مکان معین است.</w:t>
      </w:r>
    </w:p>
    <w:p>
      <w:pPr>
        <w:spacing w:after="28" w:line="216" w:lineRule="auto"/>
        <w:ind w:left="259"/>
        <w:jc w:val="left"/>
      </w:pPr>
      <w:r>
        <w:rPr>
          <w:rFonts w:ascii="Arial" w:hAnsi="Arial"/>
          <w:color w:val="525252"/>
          <w:sz w:val="13"/>
        </w:rPr>
        <w:t>A campaign is a series of related military operations to achieve strategic and operational objectives in a given time and space.</w:t>
      </w:r>
    </w:p>
    <w:p>
      <w:pPr>
        <w:spacing w:after="20" w:line="223" w:lineRule="auto"/>
        <w:jc w:val="right"/>
        <w:bidi/>
      </w:pPr>
      <w:r>
        <w:rPr>
          <w:rFonts w:ascii="Arial" w:hAnsi="Arial"/>
          <w:sz w:val="16"/>
        </w:rPr>
        <w:t>107.07  زمانی کمپین‌ها برنامه‌ریزی می‌شوند که اهداف مورد نظر بیش از محدوده یک عملیات واحد باشد.</w:t>
      </w:r>
    </w:p>
    <w:p>
      <w:pPr>
        <w:spacing w:after="28" w:line="216" w:lineRule="auto"/>
        <w:ind w:left="259"/>
        <w:jc w:val="left"/>
      </w:pPr>
      <w:r>
        <w:rPr>
          <w:rFonts w:ascii="Arial" w:hAnsi="Arial"/>
          <w:color w:val="525252"/>
          <w:sz w:val="13"/>
        </w:rPr>
        <w:t>Campaigns are planned when contemplated objectives exceed the scope of a single operation.</w:t>
      </w:r>
    </w:p>
    <w:p>
      <w:pPr>
        <w:spacing w:after="20" w:line="223" w:lineRule="auto"/>
        <w:jc w:val="right"/>
        <w:bidi/>
      </w:pPr>
      <w:r>
        <w:rPr>
          <w:rFonts w:ascii="Arial" w:hAnsi="Arial"/>
          <w:sz w:val="16"/>
        </w:rPr>
        <w:t>107.08  بنابراین، کمپین‌ها اغلب گسترده‌ترین عملیات مشترک از نظر زمان و سایر منابع هستند.</w:t>
      </w:r>
    </w:p>
    <w:p>
      <w:pPr>
        <w:spacing w:after="28" w:line="216" w:lineRule="auto"/>
        <w:ind w:left="259"/>
        <w:jc w:val="left"/>
      </w:pPr>
      <w:r>
        <w:rPr>
          <w:rFonts w:ascii="Arial" w:hAnsi="Arial"/>
          <w:color w:val="525252"/>
          <w:sz w:val="13"/>
        </w:rPr>
        <w:t>Thus, campaigns are often the most extensive joint operations in terms of time and other resources.</w:t>
      </w:r>
    </w:p>
    <w:p>
      <w:pPr>
        <w:spacing w:after="20" w:line="223" w:lineRule="auto"/>
        <w:jc w:val="right"/>
        <w:bidi/>
      </w:pPr>
      <w:r>
        <w:rPr>
          <w:rFonts w:ascii="Arial" w:hAnsi="Arial"/>
          <w:sz w:val="16"/>
        </w:rPr>
        <w:t>107.09  CCDR ها دامنه کامل کمپین‌های خود را در طرح هایی مستند می‌کنند که شامل طرح کمپین و همه طرح‌های زیرمجموعه و پشتیبان آن می‌شود.</w:t>
      </w:r>
    </w:p>
    <w:p>
      <w:pPr>
        <w:spacing w:after="28" w:line="216" w:lineRule="auto"/>
        <w:ind w:left="259"/>
        <w:jc w:val="left"/>
      </w:pPr>
      <w:r>
        <w:rPr>
          <w:rFonts w:ascii="Arial" w:hAnsi="Arial"/>
          <w:color w:val="525252"/>
          <w:sz w:val="13"/>
        </w:rPr>
        <w:t>CCDRs document the full scope of their campaigns in plans that include the campaign plan and all of its subordinate and supporting plans.</w:t>
      </w:r>
    </w:p>
    <w:p>
      <w:pPr>
        <w:spacing w:after="20" w:line="223" w:lineRule="auto"/>
        <w:jc w:val="right"/>
        <w:bidi/>
      </w:pPr>
      <w:r>
        <w:rPr>
          <w:rFonts w:ascii="Arial" w:hAnsi="Arial"/>
          <w:sz w:val="16"/>
        </w:rPr>
        <w:t>107.10  طرح‌های اضطراری.</w:t>
      </w:r>
    </w:p>
    <w:p>
      <w:pPr>
        <w:spacing w:after="28" w:line="216" w:lineRule="auto"/>
        <w:ind w:left="259"/>
        <w:jc w:val="left"/>
      </w:pPr>
      <w:r>
        <w:rPr>
          <w:rFonts w:ascii="Arial" w:hAnsi="Arial"/>
          <w:color w:val="525252"/>
          <w:sz w:val="13"/>
        </w:rPr>
        <w:t>Contingency Plans.</w:t>
      </w:r>
    </w:p>
    <w:p>
      <w:pPr>
        <w:spacing w:after="20" w:line="223" w:lineRule="auto"/>
        <w:jc w:val="right"/>
        <w:bidi/>
      </w:pPr>
      <w:r>
        <w:rPr>
          <w:rFonts w:ascii="Arial" w:hAnsi="Arial"/>
          <w:sz w:val="16"/>
        </w:rPr>
        <w:t>107.11  طرح‌های اضطراری معمولا از قبل برای رسیدگی به یک بحران پیش‌بینی‌شده آماده می‌شوند و باید در طول اجرا اصلاح شوند تا به شرایط آن زمان پاسخ دهند.</w:t>
      </w:r>
    </w:p>
    <w:p>
      <w:pPr>
        <w:spacing w:after="28" w:line="216" w:lineRule="auto"/>
        <w:ind w:left="259"/>
        <w:jc w:val="left"/>
      </w:pPr>
      <w:r>
        <w:rPr>
          <w:rFonts w:ascii="Arial" w:hAnsi="Arial"/>
          <w:color w:val="525252"/>
          <w:sz w:val="13"/>
        </w:rPr>
        <w:t>Contingency plans are typically prepared in advance to address an anticipated crisis and must be modified during execution to respond to conditions at the time.</w:t>
      </w:r>
    </w:p>
    <w:p>
      <w:pPr>
        <w:spacing w:after="20" w:line="223" w:lineRule="auto"/>
        <w:jc w:val="right"/>
        <w:bidi/>
      </w:pPr>
      <w:r>
        <w:rPr>
          <w:rFonts w:ascii="Arial" w:hAnsi="Arial"/>
          <w:sz w:val="16"/>
        </w:rPr>
        <w:t>107.12  احتیاطی وضعیتی است که احتمالا نیروهای نظامی را در واکنش به بلایای طبیعی و مصنوعی، تروریست‌ها، خرابکاران، عملیات نظامی توسط قدرت‌های خارجی یا سایر موقعیت‌هایی که توسط رئیس‌جمهور یا وزیر دفاع ایالات متحده هدایت می‌شود، درگیر می‌کند.</w:t>
      </w:r>
    </w:p>
    <w:p>
      <w:pPr>
        <w:spacing w:after="28" w:line="216" w:lineRule="auto"/>
        <w:ind w:left="259"/>
        <w:jc w:val="left"/>
      </w:pPr>
      <w:r>
        <w:rPr>
          <w:rFonts w:ascii="Arial" w:hAnsi="Arial"/>
          <w:color w:val="525252"/>
          <w:sz w:val="13"/>
        </w:rPr>
        <w:t>A contingency is a situation that likely would involve military forces in response to natural and man-made disasters, terrorists, subversives, military operations by foreign powers, or other situations as directed by the U.S. President or Secretary of Defense.</w:t>
      </w:r>
    </w:p>
    <w:p>
      <w:pPr>
        <w:spacing w:after="20" w:line="223" w:lineRule="auto"/>
        <w:jc w:val="right"/>
        <w:bidi/>
      </w:pPr>
      <w:r>
        <w:rPr>
          <w:rFonts w:ascii="Arial" w:hAnsi="Arial"/>
          <w:sz w:val="16"/>
        </w:rPr>
        <w:t>107.13  انجمن برنامه‌ریزی و اجرای مشترک از برنامه‌ریزی احتمالی برای توسعه برنامه‌هایی برای طیف وسیعی از موارد احتمالی استفاده می‌کند.</w:t>
      </w:r>
    </w:p>
    <w:p>
      <w:pPr>
        <w:spacing w:after="28" w:line="216" w:lineRule="auto"/>
        <w:ind w:left="259"/>
        <w:jc w:val="left"/>
      </w:pPr>
      <w:r>
        <w:rPr>
          <w:rFonts w:ascii="Arial" w:hAnsi="Arial"/>
          <w:color w:val="525252"/>
          <w:sz w:val="13"/>
        </w:rPr>
        <w:t>The Joint Planning and Execution Community uses contingency planning to develop plans for a broad range of contingencies.</w:t>
      </w:r>
    </w:p>
    <w:p>
      <w:pPr>
        <w:spacing w:after="20" w:line="223" w:lineRule="auto"/>
        <w:jc w:val="right"/>
        <w:bidi/>
      </w:pPr>
      <w:r>
        <w:rPr>
          <w:rFonts w:ascii="Arial" w:hAnsi="Arial"/>
          <w:sz w:val="16"/>
        </w:rPr>
        <w:t>107.14  فرماندهان و کارکنان برنامه‌های حمایتی را تهیه می‌کنند که چگونگی رسیدن فرماندهان پشتیبان به اهداف و/یا وظایف محوله را توضیح می‌دهد.</w:t>
      </w:r>
    </w:p>
    <w:p>
      <w:pPr>
        <w:spacing w:after="28" w:line="216" w:lineRule="auto"/>
        <w:ind w:left="259"/>
        <w:jc w:val="left"/>
      </w:pPr>
      <w:r>
        <w:rPr>
          <w:rFonts w:ascii="Arial" w:hAnsi="Arial"/>
          <w:color w:val="525252"/>
          <w:sz w:val="13"/>
        </w:rPr>
        <w:t>Commanders and staffs prepare supporting plans that describe how supporting commanders intend to achieve their assigned objectives and/or tasks.</w:t>
      </w:r>
    </w:p>
    <w:p>
      <w:pPr>
        <w:spacing w:after="20" w:line="223" w:lineRule="auto"/>
        <w:jc w:val="right"/>
        <w:bidi/>
      </w:pPr>
      <w:r>
        <w:rPr>
          <w:rFonts w:ascii="Arial" w:hAnsi="Arial"/>
          <w:sz w:val="16"/>
        </w:rPr>
        <w:t>107.15  فرماندهان و کارکنان پشتیبان این طرح‌ها را با همکاری برنامه ریزان فرمانده پشتیبانی شده به صورت پاسخگو توسعه می‌دهند.</w:t>
      </w:r>
    </w:p>
    <w:p>
      <w:pPr>
        <w:spacing w:after="28" w:line="216" w:lineRule="auto"/>
        <w:ind w:left="259"/>
        <w:jc w:val="left"/>
      </w:pPr>
      <w:r>
        <w:rPr>
          <w:rFonts w:ascii="Arial" w:hAnsi="Arial"/>
          <w:color w:val="525252"/>
          <w:sz w:val="13"/>
        </w:rPr>
        <w:t>Supporting commanders and staffs develop these plans responsively in collaboration with the supported commander’s planners.</w:t>
      </w:r>
    </w:p>
    <w:p>
      <w:pPr>
        <w:spacing w:after="20" w:line="223" w:lineRule="auto"/>
        <w:jc w:val="right"/>
        <w:bidi/>
      </w:pPr>
      <w:r>
        <w:rPr>
          <w:rFonts w:ascii="Arial" w:hAnsi="Arial"/>
          <w:sz w:val="16"/>
        </w:rPr>
        <w:t>107.16  به‌عنوان بخشی از این فرآیند مشترک، فرماندهان پشتیبانی شده سطح جزئیات مورد نیاز را مشخص می‌کنند و طرح‌های حمایتی حاصل را بررسی و تأیید می‌کنند.</w:t>
      </w:r>
    </w:p>
    <w:p>
      <w:pPr>
        <w:spacing w:after="28" w:line="216" w:lineRule="auto"/>
        <w:ind w:left="259"/>
        <w:jc w:val="left"/>
      </w:pPr>
      <w:r>
        <w:rPr>
          <w:rFonts w:ascii="Arial" w:hAnsi="Arial"/>
          <w:color w:val="525252"/>
          <w:sz w:val="13"/>
        </w:rPr>
        <w:t>As part of this collaborative process, supported commanders specify the level of detail required and review and approve the resulting supporting plans.</w:t>
      </w:r>
    </w:p>
    <w:p>
      <w:pPr>
        <w:spacing w:before="60" w:after="28"/>
        <w:jc w:val="right"/>
        <w:bidi/>
      </w:pPr>
      <w:r>
        <w:rPr>
          <w:b/>
          <w:color w:val="1F4D78"/>
          <w:sz w:val="18"/>
        </w:rPr>
        <w:t>6.11. برنامه ریزی در بحران</w:t>
      </w:r>
    </w:p>
    <w:p>
      <w:pPr>
        <w:spacing w:after="20"/>
        <w:ind w:left="259"/>
        <w:jc w:val="left"/>
      </w:pPr>
      <w:r>
        <w:rPr>
          <w:color w:val="555555"/>
          <w:sz w:val="12"/>
        </w:rPr>
        <w:t>6.11. Planning in Crisis</w:t>
      </w:r>
    </w:p>
    <w:p>
      <w:pPr>
        <w:spacing w:after="20" w:line="223" w:lineRule="auto"/>
        <w:jc w:val="right"/>
        <w:bidi/>
      </w:pPr>
      <w:r>
        <w:rPr>
          <w:rFonts w:ascii="Arial" w:hAnsi="Arial"/>
          <w:sz w:val="16"/>
        </w:rPr>
        <w:t>107.18  بحران حادثه یا موقعیتی است که شرایطی با چنان اهمیت امنیت ملی ایجاد می‌کند که رئیس‌جمهور یا سکدف ممکن است تعهد نیروها و منابع نظامی ایالات متحده را برای دستیابی یا دفاع از اهداف ملی در نظر بگیرند.</w:t>
      </w:r>
    </w:p>
    <w:p>
      <w:pPr>
        <w:spacing w:after="28" w:line="216" w:lineRule="auto"/>
        <w:ind w:left="259"/>
        <w:jc w:val="left"/>
      </w:pPr>
      <w:r>
        <w:rPr>
          <w:rFonts w:ascii="Arial" w:hAnsi="Arial"/>
          <w:color w:val="525252"/>
          <w:sz w:val="13"/>
        </w:rPr>
        <w:t>A crisis is an incident or situation that creates a condition of such national security importance that the President or SecDef may consider a commitment of U.S. military forces and resources to achieve or defend national objectives.</w:t>
      </w:r>
    </w:p>
    <w:p>
      <w:pPr>
        <w:spacing w:after="20" w:line="223" w:lineRule="auto"/>
        <w:jc w:val="right"/>
        <w:bidi/>
      </w:pPr>
      <w:r>
        <w:rPr>
          <w:rFonts w:ascii="Arial" w:hAnsi="Arial"/>
          <w:sz w:val="16"/>
        </w:rPr>
        <w:t>107.19  بحران‌ها ممکن است در طول زمان تکامل یابند (مانند تشدید جنگ داخلی، بحران بشردوستانه) یا به سرعت توسعه یابند (مانند نجات گروگان، بلایای طبیعی) بدون هشدار یا بدون هشدار و نیاز به تصمیم‌گیری سریع دارند.</w:t>
      </w:r>
    </w:p>
    <w:p>
      <w:pPr>
        <w:spacing w:after="28" w:line="216" w:lineRule="auto"/>
        <w:ind w:left="259"/>
        <w:jc w:val="left"/>
      </w:pPr>
      <w:r>
        <w:rPr>
          <w:rFonts w:ascii="Arial" w:hAnsi="Arial"/>
          <w:color w:val="525252"/>
          <w:sz w:val="13"/>
        </w:rPr>
        <w:t>Crises may evolve over time (e.g., escalating civil war, humanitarian crisis) or develop quickly (e.g., hostage rescue, natural disaster) with little or no warning and require accelerated decision making.</w:t>
      </w:r>
    </w:p>
    <w:p>
      <w:pPr>
        <w:spacing w:after="20" w:line="223" w:lineRule="auto"/>
        <w:jc w:val="right"/>
        <w:bidi/>
      </w:pPr>
      <w:r>
        <w:rPr>
          <w:rFonts w:ascii="Arial" w:hAnsi="Arial"/>
          <w:sz w:val="16"/>
        </w:rPr>
        <w:t>107.20  گاهی اوقات یک بحران ممکن است بحران‌های دیگری را در جاهای دیگر ایجاد کند.</w:t>
      </w:r>
    </w:p>
    <w:p>
      <w:pPr>
        <w:spacing w:after="28" w:line="216" w:lineRule="auto"/>
        <w:ind w:left="259"/>
        <w:jc w:val="left"/>
      </w:pPr>
      <w:r>
        <w:rPr>
          <w:rFonts w:ascii="Arial" w:hAnsi="Arial"/>
          <w:color w:val="525252"/>
          <w:sz w:val="13"/>
        </w:rPr>
        <w:t>Sometimes a single crisis may generate other crises elsewhere.</w:t>
      </w:r>
    </w:p>
    <w:p>
      <w:pPr>
        <w:spacing w:after="20" w:line="223" w:lineRule="auto"/>
        <w:jc w:val="right"/>
        <w:bidi/>
      </w:pPr>
      <w:r>
        <w:rPr>
          <w:rFonts w:ascii="Arial" w:hAnsi="Arial"/>
          <w:sz w:val="16"/>
        </w:rPr>
        <w:t>107.21  بحران‌های متعدد همچنین می‌توانند به‌طور همزمان بر دو یا چند CCDR تأثیر بگذارند.</w:t>
      </w:r>
    </w:p>
    <w:p>
      <w:pPr>
        <w:spacing w:after="28" w:line="216" w:lineRule="auto"/>
        <w:ind w:left="259"/>
        <w:jc w:val="left"/>
      </w:pPr>
      <w:r>
        <w:rPr>
          <w:rFonts w:ascii="Arial" w:hAnsi="Arial"/>
          <w:color w:val="525252"/>
          <w:sz w:val="13"/>
        </w:rPr>
        <w:t>Multiple crises can also concurrently impact two or more CCDRs.</w:t>
      </w:r>
    </w:p>
    <w:p>
      <w:pPr>
        <w:spacing w:after="20" w:line="223" w:lineRule="auto"/>
        <w:jc w:val="right"/>
        <w:bidi/>
      </w:pPr>
      <w:r>
        <w:rPr>
          <w:rFonts w:ascii="Arial" w:hAnsi="Arial"/>
          <w:sz w:val="16"/>
        </w:rPr>
        <w:t>107.22  علاوه بر این، ممکن است یک تهدید واحد با پیامدهای فرامنطقه‌ای وجود داشته باشد که به‌طور همزمان دو یا چند CCDR را تهدید می‌کند.</w:t>
      </w:r>
    </w:p>
    <w:p>
      <w:pPr>
        <w:spacing w:after="28" w:line="216" w:lineRule="auto"/>
        <w:ind w:left="259"/>
        <w:jc w:val="left"/>
      </w:pPr>
      <w:r>
        <w:rPr>
          <w:rFonts w:ascii="Arial" w:hAnsi="Arial"/>
          <w:color w:val="525252"/>
          <w:sz w:val="13"/>
        </w:rPr>
        <w:t>Furthermore, there may be a single threat with transregional implications that simultaneously threatens two or more CCDRs.</w:t>
      </w:r>
    </w:p>
    <w:p>
      <w:pPr>
        <w:spacing w:after="20" w:line="223" w:lineRule="auto"/>
        <w:jc w:val="right"/>
        <w:bidi/>
      </w:pPr>
      <w:r>
        <w:rPr>
          <w:rFonts w:ascii="Arial" w:hAnsi="Arial"/>
          <w:sz w:val="16"/>
        </w:rPr>
        <w:t>107.23  در این شرایط، روابط فرماندهی پشتیبانی شده و پشتیبانی ممکن است سیال باشند.</w:t>
      </w:r>
    </w:p>
    <w:p>
      <w:pPr>
        <w:spacing w:after="28" w:line="216" w:lineRule="auto"/>
        <w:ind w:left="259"/>
        <w:jc w:val="left"/>
      </w:pPr>
      <w:r>
        <w:rPr>
          <w:rFonts w:ascii="Arial" w:hAnsi="Arial"/>
          <w:color w:val="525252"/>
          <w:sz w:val="13"/>
        </w:rPr>
        <w:t>In these situations, supported and supporting command relationships may be fluid.</w:t>
      </w:r>
    </w:p>
    <w:p>
      <w:pPr>
        <w:spacing w:after="20" w:line="223" w:lineRule="auto"/>
        <w:jc w:val="right"/>
        <w:bidi/>
      </w:pPr>
      <w:r>
        <w:rPr>
          <w:rFonts w:ascii="Arial" w:hAnsi="Arial"/>
          <w:sz w:val="16"/>
        </w:rPr>
        <w:t>107.24  نیروها و قابلیت‌های متعهد به کاهش تهدیدات اضطراری احتمالا نیازمند تخصیص مجدد یا اولویت‌بندی مجدد پویا هستند.</w:t>
      </w:r>
    </w:p>
    <w:p>
      <w:pPr>
        <w:spacing w:after="28" w:line="216" w:lineRule="auto"/>
        <w:ind w:left="259"/>
        <w:jc w:val="left"/>
      </w:pPr>
      <w:r>
        <w:rPr>
          <w:rFonts w:ascii="Arial" w:hAnsi="Arial"/>
          <w:color w:val="525252"/>
          <w:sz w:val="13"/>
        </w:rPr>
        <w:t>Forces and capabilities committed to mitigate emergent threats will likely require dynamic reallocation or reprioritization.</w:t>
      </w:r>
    </w:p>
    <w:p>
      <w:pPr>
        <w:spacing w:after="20" w:line="223" w:lineRule="auto"/>
        <w:jc w:val="right"/>
        <w:bidi/>
      </w:pPr>
      <w:r>
        <w:rPr>
          <w:rFonts w:ascii="Arial" w:hAnsi="Arial"/>
          <w:sz w:val="16"/>
        </w:rPr>
        <w:t>107.25  این موقعیت‌ها، که به‌طور فزاینده‌ای عادی هستند، اهمیت برنامه‌ریزی یکپارچه و تصمیم‌گیری مدیریت نیرو را از منظر جهانی آگاهانه از ریسک نشان می‌دهند.</w:t>
      </w:r>
    </w:p>
    <w:p>
      <w:pPr>
        <w:spacing w:after="28" w:line="216" w:lineRule="auto"/>
        <w:ind w:left="259"/>
        <w:jc w:val="left"/>
      </w:pPr>
      <w:r>
        <w:rPr>
          <w:rFonts w:ascii="Arial" w:hAnsi="Arial"/>
          <w:color w:val="525252"/>
          <w:sz w:val="13"/>
        </w:rPr>
        <w:t>These situations, increasingly the norm, highlight the importance of integrated planning and making force management decisions from a risk-informed, global perspective.</w:t>
      </w:r>
    </w:p>
    <w:p>
      <w:pPr>
        <w:spacing w:after="20" w:line="223" w:lineRule="auto"/>
        <w:jc w:val="right"/>
        <w:bidi/>
      </w:pPr>
      <w:r>
        <w:rPr>
          <w:rFonts w:ascii="Arial" w:hAnsi="Arial"/>
          <w:sz w:val="16"/>
        </w:rPr>
        <w:t>107.26  برنامه‌ریزی در پاسخ به یک بحران عموما منجر به انتشار یک دستور و اجرای یک عملیات می‌شود.</w:t>
      </w:r>
    </w:p>
    <w:p>
      <w:pPr>
        <w:spacing w:after="28" w:line="216" w:lineRule="auto"/>
        <w:ind w:left="259"/>
        <w:jc w:val="left"/>
      </w:pPr>
      <w:r>
        <w:rPr>
          <w:rFonts w:ascii="Arial" w:hAnsi="Arial"/>
          <w:color w:val="525252"/>
          <w:sz w:val="13"/>
        </w:rPr>
        <w:t>Planning in response to a crisis generally results in the publication of an order and the execution of an operation.</w:t>
      </w:r>
    </w:p>
    <w:p>
      <w:pPr>
        <w:spacing w:after="20" w:line="223" w:lineRule="auto"/>
        <w:jc w:val="right"/>
        <w:bidi/>
      </w:pPr>
      <w:r>
        <w:rPr>
          <w:rFonts w:ascii="Arial" w:hAnsi="Arial"/>
          <w:sz w:val="16"/>
        </w:rPr>
        <w:t>107.27  برنامه‌ریزی بحران باید به رهبران ارشد کمک کند تا تعیین کنند که آیا یک واکنش نظامی می‌تواند به دستیابی به هدف مورد نظر با هزینه و سطوح ریسک قابل قبول کمک کند یا خیر.</w:t>
      </w:r>
    </w:p>
    <w:p>
      <w:pPr>
        <w:spacing w:after="28" w:line="216" w:lineRule="auto"/>
        <w:ind w:left="259"/>
        <w:jc w:val="left"/>
      </w:pPr>
      <w:r>
        <w:rPr>
          <w:rFonts w:ascii="Arial" w:hAnsi="Arial"/>
          <w:color w:val="525252"/>
          <w:sz w:val="13"/>
        </w:rPr>
        <w:t>Crisis planning should help senior leaders determine if a military response can help achieve the desired objective at acceptable cost and risk levels.</w:t>
      </w:r>
    </w:p>
    <w:p>
      <w:pPr>
        <w:spacing w:after="20" w:line="223" w:lineRule="auto"/>
        <w:jc w:val="right"/>
        <w:bidi/>
      </w:pPr>
      <w:r>
        <w:rPr>
          <w:rFonts w:ascii="Arial" w:hAnsi="Arial"/>
          <w:sz w:val="16"/>
        </w:rPr>
        <w:t>107.28  جامعه برنامه‌ریزی و اجرای مشترک.</w:t>
      </w:r>
    </w:p>
    <w:p>
      <w:pPr>
        <w:spacing w:after="28" w:line="216" w:lineRule="auto"/>
        <w:ind w:left="259"/>
        <w:jc w:val="left"/>
      </w:pPr>
      <w:r>
        <w:rPr>
          <w:rFonts w:ascii="Arial" w:hAnsi="Arial"/>
          <w:color w:val="525252"/>
          <w:sz w:val="13"/>
        </w:rPr>
        <w:t>Joint Planning and Execution Community.</w:t>
      </w:r>
    </w:p>
    <w:p>
      <w:pPr>
        <w:spacing w:after="20" w:line="223" w:lineRule="auto"/>
        <w:jc w:val="right"/>
        <w:bidi/>
      </w:pPr>
      <w:r>
        <w:rPr>
          <w:rFonts w:ascii="Arial" w:hAnsi="Arial"/>
          <w:sz w:val="16"/>
        </w:rPr>
        <w:t>107.29  انجمن برنامه‌ریزی و اجرای مشترک (JPEC) عملیات مشترک را برای اطمینان از انتقال بی‌وقفه فرمانده نیروی مشترک از برنامه‌ریزی به اجرا در زمان‌های بحران، نظارت، برنامه‌ریزی، ارزیابی و اجرا می‌کند.</w:t>
      </w:r>
    </w:p>
    <w:p>
      <w:pPr>
        <w:spacing w:after="28" w:line="216" w:lineRule="auto"/>
        <w:ind w:left="259"/>
        <w:jc w:val="left"/>
      </w:pPr>
      <w:r>
        <w:rPr>
          <w:rFonts w:ascii="Arial" w:hAnsi="Arial"/>
          <w:color w:val="525252"/>
          <w:sz w:val="13"/>
        </w:rPr>
        <w:t>The Joint Planning and Execution Community (JPEC) monitor, plan, assess, and execute joint operations to ensure the Joint Force Commander’s seamless transition from planning to execution during times of crisis.</w:t>
      </w:r>
    </w:p>
    <w:p>
      <w:pPr>
        <w:spacing w:after="20" w:line="223" w:lineRule="auto"/>
        <w:jc w:val="right"/>
        <w:bidi/>
      </w:pPr>
      <w:r>
        <w:rPr>
          <w:rFonts w:ascii="Arial" w:hAnsi="Arial"/>
          <w:sz w:val="16"/>
        </w:rPr>
        <w:t>107.30  این فرآیند در سراسر سطوح سازمانی، از جمله تعامل بین وزیر دفاع و نیروهای CCDR که در نهایت به رئیس جمهور و وزیر دفاع ایالات متحده کمک می‌کند تصمیم بگیرند که چه زمانی، کجا و چگونه نیروهای مسلح ایالات متحده را متعهد کنند، را در بر می‌گیرد.</w:t>
      </w:r>
    </w:p>
    <w:p>
      <w:pPr>
        <w:spacing w:after="28" w:line="216" w:lineRule="auto"/>
        <w:ind w:left="259"/>
        <w:jc w:val="left"/>
      </w:pPr>
      <w:r>
        <w:rPr>
          <w:rFonts w:ascii="Arial" w:hAnsi="Arial"/>
          <w:color w:val="525252"/>
          <w:sz w:val="13"/>
        </w:rPr>
        <w:t>This process spans across organizational levels, including the interaction between Secretary of Defense and CCDRs which ultimately helps the U.S. President and Secretary of Defense decide when, where, and how to commit U.S. Armed Forces.</w:t>
      </w:r>
    </w:p>
    <w:p>
      <w:pPr>
        <w:spacing w:after="20" w:line="223" w:lineRule="auto"/>
        <w:jc w:val="right"/>
        <w:bidi/>
      </w:pPr>
      <w:r>
        <w:rPr>
          <w:rFonts w:ascii="Arial" w:hAnsi="Arial"/>
          <w:sz w:val="16"/>
        </w:rPr>
        <w:t>107.31  هدایت استراتژیک روشن و تعامل مکرر بین رهبران ارشد و برنامه‌ریزان، درک و توافق اولیه برای مفروضات برنامه‌ریزی، ملاحظات، ریسک‌ها و سایر عوامل کلیدی را ارتقا می‌دهد.</w:t>
      </w:r>
    </w:p>
    <w:p>
      <w:pPr>
        <w:spacing w:after="28" w:line="216" w:lineRule="auto"/>
        <w:ind w:left="259"/>
        <w:jc w:val="left"/>
      </w:pPr>
      <w:r>
        <w:rPr>
          <w:rFonts w:ascii="Arial" w:hAnsi="Arial"/>
          <w:color w:val="525252"/>
          <w:sz w:val="13"/>
        </w:rPr>
        <w:t>Clear strategic guidance and frequent interaction between senior leaders and planners promote early understanding and agreement for planning assumptions, considerations, risks, and other key factors.</w:t>
      </w:r>
    </w:p>
    <w:p>
      <w:r>
        <w:br w:type="page"/>
      </w:r>
    </w:p>
    <w:p>
      <w:pPr>
        <w:spacing w:after="60"/>
        <w:jc w:val="right"/>
        <w:bidi/>
      </w:pPr>
      <w:r>
        <w:rPr>
          <w:rFonts w:ascii="Arial" w:hAnsi="Arial"/>
          <w:b/>
          <w:color w:val="1F4D78"/>
          <w:sz w:val="19"/>
        </w:rPr>
        <w:t>هفتهٔ 108  |  صفحهٔ منبع: 124</w:t>
      </w:r>
    </w:p>
    <w:p>
      <w:pPr>
        <w:spacing w:before="60" w:after="28"/>
        <w:jc w:val="right"/>
        <w:bidi/>
      </w:pPr>
      <w:r>
        <w:rPr>
          <w:b/>
          <w:color w:val="1F4D78"/>
          <w:sz w:val="18"/>
        </w:rPr>
        <w:t>6.12. دستورات عملیات مشترک</w:t>
      </w:r>
    </w:p>
    <w:p>
      <w:pPr>
        <w:spacing w:after="20"/>
        <w:ind w:left="259"/>
        <w:jc w:val="left"/>
      </w:pPr>
      <w:r>
        <w:rPr>
          <w:color w:val="555555"/>
          <w:sz w:val="12"/>
        </w:rPr>
        <w:t>6.12. Joint Operation Orders</w:t>
      </w:r>
    </w:p>
    <w:p>
      <w:pPr>
        <w:spacing w:after="20" w:line="223" w:lineRule="auto"/>
        <w:jc w:val="right"/>
        <w:bidi/>
      </w:pPr>
      <w:r>
        <w:rPr>
          <w:rFonts w:ascii="Arial" w:hAnsi="Arial"/>
          <w:sz w:val="16"/>
        </w:rPr>
        <w:t>108.02  جنبه‌های مهم و انواع دستورات عملیات مشترک در اینجا شرح داده شده است.</w:t>
      </w:r>
    </w:p>
    <w:p>
      <w:pPr>
        <w:spacing w:after="28" w:line="216" w:lineRule="auto"/>
        <w:ind w:left="259"/>
        <w:jc w:val="left"/>
      </w:pPr>
      <w:r>
        <w:rPr>
          <w:rFonts w:ascii="Arial" w:hAnsi="Arial"/>
          <w:color w:val="525252"/>
          <w:sz w:val="13"/>
        </w:rPr>
        <w:t>Important aspects and types of joint operation orders are described here.</w:t>
      </w:r>
    </w:p>
    <w:p>
      <w:pPr>
        <w:spacing w:after="20" w:line="223" w:lineRule="auto"/>
        <w:jc w:val="right"/>
        <w:bidi/>
      </w:pPr>
      <w:r>
        <w:rPr>
          <w:rFonts w:ascii="Arial" w:hAnsi="Arial"/>
          <w:sz w:val="16"/>
        </w:rPr>
        <w:t>108.03  دستور اخطار.</w:t>
      </w:r>
    </w:p>
    <w:p>
      <w:pPr>
        <w:spacing w:after="28" w:line="216" w:lineRule="auto"/>
        <w:ind w:left="259"/>
        <w:jc w:val="left"/>
      </w:pPr>
      <w:r>
        <w:rPr>
          <w:rFonts w:ascii="Arial" w:hAnsi="Arial"/>
          <w:color w:val="525252"/>
          <w:sz w:val="13"/>
        </w:rPr>
        <w:t>Warning Order.</w:t>
      </w:r>
    </w:p>
    <w:p>
      <w:pPr>
        <w:spacing w:after="20" w:line="223" w:lineRule="auto"/>
        <w:jc w:val="right"/>
        <w:bidi/>
      </w:pPr>
      <w:r>
        <w:rPr>
          <w:rFonts w:ascii="Arial" w:hAnsi="Arial"/>
          <w:sz w:val="16"/>
        </w:rPr>
        <w:t>108.04  دستور هشدار (WARNORD)، صادر شده توسط رئیس ستاد مشترک، یک دستورالعمل برنامه‌ریزی است که توسعه و ارزیابی دوره‌های عملیات نظامی (COA) توسط یک فرمانده تحت حمایت را آغاز می‌کند و از فرمانده مورد حمایت درخواست می‌کند تا برآورد فرمانده را ارائه دهد.</w:t>
      </w:r>
    </w:p>
    <w:p>
      <w:pPr>
        <w:spacing w:after="28" w:line="216" w:lineRule="auto"/>
        <w:ind w:left="259"/>
        <w:jc w:val="left"/>
      </w:pPr>
      <w:r>
        <w:rPr>
          <w:rFonts w:ascii="Arial" w:hAnsi="Arial"/>
          <w:color w:val="525252"/>
          <w:sz w:val="13"/>
        </w:rPr>
        <w:t>A warning order (WARNORD), issued by the Chairman of the Joint Chiefs of Staff, is a planning directive that initiates the development and evaluation of military courses of action (COAs) by a supported commander and requests that the supported commander submit a commander’s estimate.</w:t>
      </w:r>
    </w:p>
    <w:p>
      <w:pPr>
        <w:spacing w:after="20" w:line="223" w:lineRule="auto"/>
        <w:jc w:val="right"/>
        <w:bidi/>
      </w:pPr>
      <w:r>
        <w:rPr>
          <w:rFonts w:ascii="Arial" w:hAnsi="Arial"/>
          <w:sz w:val="16"/>
        </w:rPr>
        <w:t>108.05  دستور برنامه‌ریزی.</w:t>
      </w:r>
    </w:p>
    <w:p>
      <w:pPr>
        <w:spacing w:after="28" w:line="216" w:lineRule="auto"/>
        <w:ind w:left="259"/>
        <w:jc w:val="left"/>
      </w:pPr>
      <w:r>
        <w:rPr>
          <w:rFonts w:ascii="Arial" w:hAnsi="Arial"/>
          <w:color w:val="525252"/>
          <w:sz w:val="13"/>
        </w:rPr>
        <w:t>Planning Order.</w:t>
      </w:r>
    </w:p>
    <w:p>
      <w:pPr>
        <w:spacing w:after="20" w:line="223" w:lineRule="auto"/>
        <w:jc w:val="right"/>
        <w:bidi/>
      </w:pPr>
      <w:r>
        <w:rPr>
          <w:rFonts w:ascii="Arial" w:hAnsi="Arial"/>
          <w:sz w:val="16"/>
        </w:rPr>
        <w:t>108.06  دستور برنامه‌ریزی (PLANORD) یک دستورالعمل برنامه‌ریزی است که راهنمایی‌های برنامه‌ریزی اساسی را ارائه می‌دهد و شروع توسعه طرح را قبل از اینکه مقام هدایت کننده یک COA نظامی را تأیید کند هدایت می‌کند.</w:t>
      </w:r>
    </w:p>
    <w:p>
      <w:pPr>
        <w:spacing w:after="28" w:line="216" w:lineRule="auto"/>
        <w:ind w:left="259"/>
        <w:jc w:val="left"/>
      </w:pPr>
      <w:r>
        <w:rPr>
          <w:rFonts w:ascii="Arial" w:hAnsi="Arial"/>
          <w:color w:val="525252"/>
          <w:sz w:val="13"/>
        </w:rPr>
        <w:t>A planning order (PLANORD) is a planning directive that provides essential planning guidance and directs the initiation of plan development before the directing authority approves a military COA.</w:t>
      </w:r>
    </w:p>
    <w:p>
      <w:pPr>
        <w:spacing w:after="20" w:line="223" w:lineRule="auto"/>
        <w:jc w:val="right"/>
        <w:bidi/>
      </w:pPr>
      <w:r>
        <w:rPr>
          <w:rFonts w:ascii="Arial" w:hAnsi="Arial"/>
          <w:sz w:val="16"/>
        </w:rPr>
        <w:t>108.07  سفارش هشدار.</w:t>
      </w:r>
    </w:p>
    <w:p>
      <w:pPr>
        <w:spacing w:after="28" w:line="216" w:lineRule="auto"/>
        <w:ind w:left="259"/>
        <w:jc w:val="left"/>
      </w:pPr>
      <w:r>
        <w:rPr>
          <w:rFonts w:ascii="Arial" w:hAnsi="Arial"/>
          <w:color w:val="525252"/>
          <w:sz w:val="13"/>
        </w:rPr>
        <w:t>Alert Order.</w:t>
      </w:r>
    </w:p>
    <w:p>
      <w:pPr>
        <w:spacing w:after="20" w:line="223" w:lineRule="auto"/>
        <w:jc w:val="right"/>
        <w:bidi/>
      </w:pPr>
      <w:r>
        <w:rPr>
          <w:rFonts w:ascii="Arial" w:hAnsi="Arial"/>
          <w:sz w:val="16"/>
        </w:rPr>
        <w:t>108.08  دستور هشدار (ALERTORD) یک دستورالعمل برنامه‌ریزی است که راهنمایی‌های برنامه‌ریزی ضروری را ارائه می‌کند و شروع توسعه طرح را پس از تأیید یک COA نظامی توسط مقام هدایت کننده هدایت می‌کند.</w:t>
      </w:r>
    </w:p>
    <w:p>
      <w:pPr>
        <w:spacing w:after="28" w:line="216" w:lineRule="auto"/>
        <w:ind w:left="259"/>
        <w:jc w:val="left"/>
      </w:pPr>
      <w:r>
        <w:rPr>
          <w:rFonts w:ascii="Arial" w:hAnsi="Arial"/>
          <w:color w:val="525252"/>
          <w:sz w:val="13"/>
        </w:rPr>
        <w:t>An alert order (ALERTORD) is a planning directive that provides essential planning guidance and directs the initiation of plan development after the directing authority approves a military COA.</w:t>
      </w:r>
    </w:p>
    <w:p>
      <w:pPr>
        <w:spacing w:after="20" w:line="223" w:lineRule="auto"/>
        <w:jc w:val="right"/>
        <w:bidi/>
      </w:pPr>
      <w:r>
        <w:rPr>
          <w:rFonts w:ascii="Arial" w:hAnsi="Arial"/>
          <w:sz w:val="16"/>
        </w:rPr>
        <w:t>108.09  ALERTORD اجازه اجرای COA تأیید شده را نمی‌دهد.</w:t>
      </w:r>
    </w:p>
    <w:p>
      <w:pPr>
        <w:spacing w:after="28" w:line="216" w:lineRule="auto"/>
        <w:ind w:left="259"/>
        <w:jc w:val="left"/>
      </w:pPr>
      <w:r>
        <w:rPr>
          <w:rFonts w:ascii="Arial" w:hAnsi="Arial"/>
          <w:color w:val="525252"/>
          <w:sz w:val="13"/>
        </w:rPr>
        <w:t>An ALERTORD does not authorize execution of the approved COA.</w:t>
      </w:r>
    </w:p>
    <w:p>
      <w:pPr>
        <w:spacing w:after="20" w:line="223" w:lineRule="auto"/>
        <w:jc w:val="right"/>
        <w:bidi/>
      </w:pPr>
      <w:r>
        <w:rPr>
          <w:rFonts w:ascii="Arial" w:hAnsi="Arial"/>
          <w:sz w:val="16"/>
        </w:rPr>
        <w:t>108.10  برای استقرار سفارش آماده شوید.</w:t>
      </w:r>
    </w:p>
    <w:p>
      <w:pPr>
        <w:spacing w:after="28" w:line="216" w:lineRule="auto"/>
        <w:ind w:left="259"/>
        <w:jc w:val="left"/>
      </w:pPr>
      <w:r>
        <w:rPr>
          <w:rFonts w:ascii="Arial" w:hAnsi="Arial"/>
          <w:color w:val="525252"/>
          <w:sz w:val="13"/>
        </w:rPr>
        <w:t>Prepare to Deploy Order.</w:t>
      </w:r>
    </w:p>
    <w:p>
      <w:pPr>
        <w:spacing w:after="20" w:line="223" w:lineRule="auto"/>
        <w:jc w:val="right"/>
        <w:bidi/>
      </w:pPr>
      <w:r>
        <w:rPr>
          <w:rFonts w:ascii="Arial" w:hAnsi="Arial"/>
          <w:sz w:val="16"/>
        </w:rPr>
        <w:t>108.11  رئیس ستاد مشترک ارتش، با اختیار و به دستور رئیس جمهور یا وزیر دفاع ایالات متحده، دستور آمادگی برای استقرار برای افزایش یا کاهش وضعیت استقرار واحدها را صادر می‌کند. برای استقرار یا اعزام مجدد نیروها؛ یا هدایت هر اقدام دیگری که نشان دهنده اقدام نظامی برنامه‌ریزی شده یا خاتمه آن در پاسخ به یک رویداد یا حادثه بحرانی خاص باشد.</w:t>
      </w:r>
    </w:p>
    <w:p>
      <w:pPr>
        <w:spacing w:after="28" w:line="216" w:lineRule="auto"/>
        <w:ind w:left="259"/>
        <w:jc w:val="left"/>
      </w:pPr>
      <w:r>
        <w:rPr>
          <w:rFonts w:ascii="Arial" w:hAnsi="Arial"/>
          <w:color w:val="525252"/>
          <w:sz w:val="13"/>
        </w:rPr>
        <w:t>The Chairman of the Joint Chiefs of Staff, by the authority of and at the direction of the U.S. President or Secretary of Defense, issues a prepare to deploy order to increase or decrease the deployability posture of units; to deploy or redeploy forces; or to direct any other action that would signal planned military action or its termination in response to a particular crisis event or incident.</w:t>
      </w:r>
    </w:p>
    <w:p>
      <w:pPr>
        <w:spacing w:after="20" w:line="223" w:lineRule="auto"/>
        <w:jc w:val="right"/>
        <w:bidi/>
      </w:pPr>
      <w:r>
        <w:rPr>
          <w:rFonts w:ascii="Arial" w:hAnsi="Arial"/>
          <w:sz w:val="16"/>
        </w:rPr>
        <w:t>108.12  سفارش استقرار/تجارت مجدد.</w:t>
      </w:r>
    </w:p>
    <w:p>
      <w:pPr>
        <w:spacing w:after="28" w:line="216" w:lineRule="auto"/>
        <w:ind w:left="259"/>
        <w:jc w:val="left"/>
      </w:pPr>
      <w:r>
        <w:rPr>
          <w:rFonts w:ascii="Arial" w:hAnsi="Arial"/>
          <w:color w:val="525252"/>
          <w:sz w:val="13"/>
        </w:rPr>
        <w:t>Deployment/Redeployment Order.</w:t>
      </w:r>
    </w:p>
    <w:p>
      <w:pPr>
        <w:spacing w:after="20" w:line="223" w:lineRule="auto"/>
        <w:jc w:val="right"/>
        <w:bidi/>
      </w:pPr>
      <w:r>
        <w:rPr>
          <w:rFonts w:ascii="Arial" w:hAnsi="Arial"/>
          <w:sz w:val="16"/>
        </w:rPr>
        <w:t>108.13  دستور استقرار یا استقرار مجدد یک دستورالعمل برنامه‌ریزی از وزیر دفاع است که توسط رئیس ستاد مشترک ارتش صادر می‌شود و اجازه می‌دهد و هدایت نیروها را بین CCMD از طریق جابجایی یا الحاق انجام می‌دهد.</w:t>
      </w:r>
    </w:p>
    <w:p>
      <w:pPr>
        <w:spacing w:after="28" w:line="216" w:lineRule="auto"/>
        <w:ind w:left="259"/>
        <w:jc w:val="left"/>
      </w:pPr>
      <w:r>
        <w:rPr>
          <w:rFonts w:ascii="Arial" w:hAnsi="Arial"/>
          <w:color w:val="525252"/>
          <w:sz w:val="13"/>
        </w:rPr>
        <w:t>A deployment or redeployment order is a planning directive from the Secretary of Defense, issued by the Chairman of the Joint Chiefs of Staff, which authorizes and directs the transfer of forces between CCMDs by reassignment or attachment.</w:t>
      </w:r>
    </w:p>
    <w:p>
      <w:pPr>
        <w:spacing w:after="20" w:line="223" w:lineRule="auto"/>
        <w:jc w:val="right"/>
        <w:bidi/>
      </w:pPr>
      <w:r>
        <w:rPr>
          <w:rFonts w:ascii="Arial" w:hAnsi="Arial"/>
          <w:sz w:val="16"/>
        </w:rPr>
        <w:t>108.14  دستور استقرار یا استقرار مجدد معمولا اقتداری را مشخص می‌کند که CCDR بدست‌آورنده بر نیروهای منتقل شده اعمال خواهد کرد.</w:t>
      </w:r>
    </w:p>
    <w:p>
      <w:pPr>
        <w:spacing w:after="28" w:line="216" w:lineRule="auto"/>
        <w:ind w:left="259"/>
        <w:jc w:val="left"/>
      </w:pPr>
      <w:r>
        <w:rPr>
          <w:rFonts w:ascii="Arial" w:hAnsi="Arial"/>
          <w:color w:val="525252"/>
          <w:sz w:val="13"/>
        </w:rPr>
        <w:t>A deployment or redeployment order normally specifies the authority that the gaining CCDR will exercise over the transferred forces.</w:t>
      </w:r>
    </w:p>
    <w:p>
      <w:pPr>
        <w:spacing w:after="20" w:line="223" w:lineRule="auto"/>
        <w:jc w:val="right"/>
        <w:bidi/>
      </w:pPr>
      <w:r>
        <w:rPr>
          <w:rFonts w:ascii="Arial" w:hAnsi="Arial"/>
          <w:sz w:val="16"/>
        </w:rPr>
        <w:t>108.15  مفهوم عملیات.</w:t>
      </w:r>
    </w:p>
    <w:p>
      <w:pPr>
        <w:spacing w:after="28" w:line="216" w:lineRule="auto"/>
        <w:ind w:left="259"/>
        <w:jc w:val="left"/>
      </w:pPr>
      <w:r>
        <w:rPr>
          <w:rFonts w:ascii="Arial" w:hAnsi="Arial"/>
          <w:color w:val="525252"/>
          <w:sz w:val="13"/>
        </w:rPr>
        <w:t>Concept of Operations.</w:t>
      </w:r>
    </w:p>
    <w:p>
      <w:pPr>
        <w:spacing w:after="20" w:line="223" w:lineRule="auto"/>
        <w:jc w:val="right"/>
        <w:bidi/>
      </w:pPr>
      <w:r>
        <w:rPr>
          <w:rFonts w:ascii="Arial" w:hAnsi="Arial"/>
          <w:sz w:val="16"/>
        </w:rPr>
        <w:t>108.16  مفهوم عملیات (CONOPS) بیانیه یا طرح کلی است که برای ارائه مفروضات یا قصد یک فرمانده درباره یک عملیات یا یک سری عملیات استفاده می‌شود.</w:t>
      </w:r>
    </w:p>
    <w:p>
      <w:pPr>
        <w:spacing w:after="28" w:line="216" w:lineRule="auto"/>
        <w:ind w:left="259"/>
        <w:jc w:val="left"/>
      </w:pPr>
      <w:r>
        <w:rPr>
          <w:rFonts w:ascii="Arial" w:hAnsi="Arial"/>
          <w:color w:val="525252"/>
          <w:sz w:val="13"/>
        </w:rPr>
        <w:t>A concept of operations (CONOPS) is a statement or outline used to present a commander’s assumptions or intent with regard to an operation or series of operations.</w:t>
      </w:r>
    </w:p>
    <w:p>
      <w:pPr>
        <w:spacing w:after="20" w:line="223" w:lineRule="auto"/>
        <w:jc w:val="right"/>
        <w:bidi/>
      </w:pPr>
      <w:r>
        <w:rPr>
          <w:rFonts w:ascii="Arial" w:hAnsi="Arial"/>
          <w:sz w:val="16"/>
        </w:rPr>
        <w:t>108.17  CONOPS برای ارائه تصویری کلی از یک عملیات یا مشکل در حال ظهور طراحی شده است.</w:t>
      </w:r>
    </w:p>
    <w:p>
      <w:pPr>
        <w:spacing w:after="28" w:line="216" w:lineRule="auto"/>
        <w:ind w:left="259"/>
        <w:jc w:val="left"/>
      </w:pPr>
      <w:r>
        <w:rPr>
          <w:rFonts w:ascii="Arial" w:hAnsi="Arial"/>
          <w:color w:val="525252"/>
          <w:sz w:val="13"/>
        </w:rPr>
        <w:t>CONOPS are designed to give an overall picture of an operation or emerging issue.</w:t>
      </w:r>
    </w:p>
    <w:p>
      <w:pPr>
        <w:spacing w:after="20" w:line="223" w:lineRule="auto"/>
        <w:jc w:val="right"/>
        <w:bidi/>
      </w:pPr>
      <w:r>
        <w:rPr>
          <w:rFonts w:ascii="Arial" w:hAnsi="Arial"/>
          <w:sz w:val="16"/>
        </w:rPr>
        <w:t>108.18  حکم اعدام.</w:t>
      </w:r>
    </w:p>
    <w:p>
      <w:pPr>
        <w:spacing w:after="28" w:line="216" w:lineRule="auto"/>
        <w:ind w:left="259"/>
        <w:jc w:val="left"/>
      </w:pPr>
      <w:r>
        <w:rPr>
          <w:rFonts w:ascii="Arial" w:hAnsi="Arial"/>
          <w:color w:val="525252"/>
          <w:sz w:val="13"/>
        </w:rPr>
        <w:t>Execution Order.</w:t>
      </w:r>
    </w:p>
    <w:p>
      <w:pPr>
        <w:spacing w:after="20" w:line="223" w:lineRule="auto"/>
        <w:jc w:val="right"/>
        <w:bidi/>
      </w:pPr>
      <w:r>
        <w:rPr>
          <w:rFonts w:ascii="Arial" w:hAnsi="Arial"/>
          <w:sz w:val="16"/>
        </w:rPr>
        <w:t>108.19  فقط رئیس جمهور و وزیر دفاع ایالات متحده صلاحیت تأیید و هدایت شروع عملیات نظامی را دارند.</w:t>
      </w:r>
    </w:p>
    <w:p>
      <w:pPr>
        <w:spacing w:after="28" w:line="216" w:lineRule="auto"/>
        <w:ind w:left="259"/>
        <w:jc w:val="left"/>
      </w:pPr>
      <w:r>
        <w:rPr>
          <w:rFonts w:ascii="Arial" w:hAnsi="Arial"/>
          <w:color w:val="525252"/>
          <w:sz w:val="13"/>
        </w:rPr>
        <w:t>Only the U.S. President and Secretary of Defense have the authority to approve and direct the initiation of military operations.</w:t>
      </w:r>
    </w:p>
    <w:p>
      <w:pPr>
        <w:spacing w:after="20" w:line="223" w:lineRule="auto"/>
        <w:jc w:val="right"/>
        <w:bidi/>
      </w:pPr>
      <w:r>
        <w:rPr>
          <w:rFonts w:ascii="Arial" w:hAnsi="Arial"/>
          <w:sz w:val="16"/>
        </w:rPr>
        <w:t>108.20  رئیس ستاد مشترک ارتش، با اختیار و دستور رئیس جمهور یا وزیر دفاع ایالات متحده، متعاقبا ممکن است دستور اجرایی (EXORD) برای شروع عملیات نظامی صادر کند.</w:t>
      </w:r>
    </w:p>
    <w:p>
      <w:pPr>
        <w:spacing w:after="28" w:line="216" w:lineRule="auto"/>
        <w:ind w:left="259"/>
        <w:jc w:val="left"/>
      </w:pPr>
      <w:r>
        <w:rPr>
          <w:rFonts w:ascii="Arial" w:hAnsi="Arial"/>
          <w:color w:val="525252"/>
          <w:sz w:val="13"/>
        </w:rPr>
        <w:t>The Chairman of the Joint Chiefs of Staff, by the authority of and at the direction of the U.S. President or Secretary of Defense, may subsequently issue an execute order (EXORD) to initiate military operations.</w:t>
      </w:r>
    </w:p>
    <w:p>
      <w:pPr>
        <w:spacing w:after="20" w:line="223" w:lineRule="auto"/>
        <w:jc w:val="right"/>
        <w:bidi/>
      </w:pPr>
      <w:r>
        <w:rPr>
          <w:rFonts w:ascii="Arial" w:hAnsi="Arial"/>
          <w:sz w:val="16"/>
        </w:rPr>
        <w:t>108.21  فرماندهان پشتیبانی و پشتیبانی و فرماندهان نیروی مشترک زیرمجموعه از EXORD برای اجرای مصوبات استفاده می‌کنند.</w:t>
      </w:r>
    </w:p>
    <w:p>
      <w:pPr>
        <w:spacing w:after="28" w:line="216" w:lineRule="auto"/>
        <w:ind w:left="259"/>
        <w:jc w:val="left"/>
      </w:pPr>
      <w:r>
        <w:rPr>
          <w:rFonts w:ascii="Arial" w:hAnsi="Arial"/>
          <w:color w:val="525252"/>
          <w:sz w:val="13"/>
        </w:rPr>
        <w:t>Supported and supporting commanders and subordinate Joint Force Commanders use an EXORD to implement the approved</w:t>
      </w:r>
    </w:p>
    <w:p>
      <w:pPr>
        <w:spacing w:before="60" w:after="28"/>
        <w:jc w:val="right"/>
        <w:bidi/>
      </w:pPr>
      <w:r>
        <w:rPr>
          <w:b/>
          <w:color w:val="1F4D78"/>
          <w:sz w:val="18"/>
        </w:rPr>
        <w:t>CONOPS.</w:t>
      </w:r>
    </w:p>
    <w:p>
      <w:pPr>
        <w:spacing w:after="20"/>
        <w:ind w:left="259"/>
        <w:jc w:val="left"/>
      </w:pPr>
      <w:r>
        <w:rPr>
          <w:color w:val="555555"/>
          <w:sz w:val="12"/>
        </w:rPr>
        <w:t>CONOPS.</w:t>
      </w:r>
    </w:p>
    <w:p>
      <w:pPr>
        <w:spacing w:after="20" w:line="223" w:lineRule="auto"/>
        <w:jc w:val="right"/>
        <w:bidi/>
      </w:pPr>
      <w:r>
        <w:rPr>
          <w:rFonts w:ascii="Arial" w:hAnsi="Arial"/>
          <w:sz w:val="16"/>
        </w:rPr>
        <w:t>108.23  دستور عملیات.</w:t>
      </w:r>
    </w:p>
    <w:p>
      <w:pPr>
        <w:spacing w:after="28" w:line="216" w:lineRule="auto"/>
        <w:ind w:left="259"/>
        <w:jc w:val="left"/>
      </w:pPr>
      <w:r>
        <w:rPr>
          <w:rFonts w:ascii="Arial" w:hAnsi="Arial"/>
          <w:color w:val="525252"/>
          <w:sz w:val="13"/>
        </w:rPr>
        <w:t>Operation Order.</w:t>
      </w:r>
    </w:p>
    <w:p>
      <w:pPr>
        <w:spacing w:after="20" w:line="223" w:lineRule="auto"/>
        <w:jc w:val="right"/>
        <w:bidi/>
      </w:pPr>
      <w:r>
        <w:rPr>
          <w:rFonts w:ascii="Arial" w:hAnsi="Arial"/>
          <w:sz w:val="16"/>
        </w:rPr>
        <w:t>108.24  دستور عملیات (OPORD) دستوری است که توسط یک فرمانده برای فرماندهان زیرمجموعه برای اجرای هماهنگ یک عملیات صادر می‌شود.</w:t>
      </w:r>
    </w:p>
    <w:p>
      <w:pPr>
        <w:spacing w:after="28" w:line="216" w:lineRule="auto"/>
        <w:ind w:left="259"/>
        <w:jc w:val="left"/>
      </w:pPr>
      <w:r>
        <w:rPr>
          <w:rFonts w:ascii="Arial" w:hAnsi="Arial"/>
          <w:color w:val="525252"/>
          <w:sz w:val="13"/>
        </w:rPr>
        <w:t>An operation order (OPORD) is a directive issued by a commander to subordinate commanders for the purpose of effecting the coordinated execution of an operation.</w:t>
      </w:r>
    </w:p>
    <w:p>
      <w:pPr>
        <w:spacing w:after="20" w:line="223" w:lineRule="auto"/>
        <w:jc w:val="right"/>
        <w:bidi/>
      </w:pPr>
      <w:r>
        <w:rPr>
          <w:rFonts w:ascii="Arial" w:hAnsi="Arial"/>
          <w:sz w:val="16"/>
        </w:rPr>
        <w:t>108.25  OPORDهای مشترک تحت رویه‌های مشترک در قالب‌های تجویز شده در طول برنامه‌ریزی اقدام بحران تهیه می‌شوند.</w:t>
      </w:r>
    </w:p>
    <w:p>
      <w:pPr>
        <w:spacing w:after="28" w:line="216" w:lineRule="auto"/>
        <w:ind w:left="259"/>
        <w:jc w:val="left"/>
      </w:pPr>
      <w:r>
        <w:rPr>
          <w:rFonts w:ascii="Arial" w:hAnsi="Arial"/>
          <w:color w:val="525252"/>
          <w:sz w:val="13"/>
        </w:rPr>
        <w:t>Joint OPORDs are prepared under joint procedures in prescribed formats during crisis action planning.</w:t>
      </w:r>
    </w:p>
    <w:p>
      <w:pPr>
        <w:spacing w:after="20" w:line="223" w:lineRule="auto"/>
        <w:jc w:val="right"/>
        <w:bidi/>
      </w:pPr>
      <w:r>
        <w:rPr>
          <w:rFonts w:ascii="Arial" w:hAnsi="Arial"/>
          <w:sz w:val="16"/>
        </w:rPr>
        <w:t>108.26  نظم تکه تکه.</w:t>
      </w:r>
    </w:p>
    <w:p>
      <w:pPr>
        <w:spacing w:after="28" w:line="216" w:lineRule="auto"/>
        <w:ind w:left="259"/>
        <w:jc w:val="left"/>
      </w:pPr>
      <w:r>
        <w:rPr>
          <w:rFonts w:ascii="Arial" w:hAnsi="Arial"/>
          <w:color w:val="525252"/>
          <w:sz w:val="13"/>
        </w:rPr>
        <w:t>Fragmentary Order.</w:t>
      </w:r>
    </w:p>
    <w:p>
      <w:pPr>
        <w:spacing w:after="20" w:line="223" w:lineRule="auto"/>
        <w:jc w:val="right"/>
        <w:bidi/>
      </w:pPr>
      <w:r>
        <w:rPr>
          <w:rFonts w:ascii="Arial" w:hAnsi="Arial"/>
          <w:sz w:val="16"/>
        </w:rPr>
        <w:t>108.27  سفارش قطعه‌ای (FRAGORD) شکل اختصاری دستور عملیات شفاهی، نوشتاری یا دیجیتالی است که نیاز به بیان مجدد اطلاعات موجود در یک دستور عملیات اصلی را از بین می‌برد و در عین حال امکان انتشار تغییرات سفارشات قبلی را فراهم می‌کند.</w:t>
      </w:r>
    </w:p>
    <w:p>
      <w:pPr>
        <w:spacing w:after="28" w:line="216" w:lineRule="auto"/>
        <w:ind w:left="259"/>
        <w:jc w:val="left"/>
      </w:pPr>
      <w:r>
        <w:rPr>
          <w:rFonts w:ascii="Arial" w:hAnsi="Arial"/>
          <w:color w:val="525252"/>
          <w:sz w:val="13"/>
        </w:rPr>
        <w:t>A fragmentary order (FRAGORD) is an abbreviated form of a verbal, written, or digital operation order, which eliminates the need for restating information contained in a basic operation order while enabling dissemination of changes to previous orders.</w:t>
      </w:r>
    </w:p>
    <w:p>
      <w:pPr>
        <w:spacing w:after="20" w:line="223" w:lineRule="auto"/>
        <w:jc w:val="right"/>
        <w:bidi/>
      </w:pPr>
      <w:r>
        <w:rPr>
          <w:rFonts w:ascii="Arial" w:hAnsi="Arial"/>
          <w:sz w:val="16"/>
        </w:rPr>
        <w:t>108.28  معمولا در صورت نیاز یا به صورت روزانه صادر می‌شود.</w:t>
      </w:r>
    </w:p>
    <w:p>
      <w:pPr>
        <w:spacing w:after="28" w:line="216" w:lineRule="auto"/>
        <w:ind w:left="259"/>
        <w:jc w:val="left"/>
      </w:pPr>
      <w:r>
        <w:rPr>
          <w:rFonts w:ascii="Arial" w:hAnsi="Arial"/>
          <w:color w:val="525252"/>
          <w:sz w:val="13"/>
        </w:rPr>
        <w:t>It is usually issued as needed or on a day-to-day basis.</w:t>
      </w:r>
    </w:p>
    <w:p>
      <w:r>
        <w:br w:type="page"/>
      </w:r>
    </w:p>
    <w:p>
      <w:pPr>
        <w:spacing w:after="60"/>
        <w:jc w:val="right"/>
        <w:bidi/>
      </w:pPr>
      <w:r>
        <w:rPr>
          <w:rFonts w:ascii="Arial" w:hAnsi="Arial"/>
          <w:b/>
          <w:color w:val="1F4D78"/>
          <w:sz w:val="19"/>
        </w:rPr>
        <w:t>هفتهٔ 109  |  صفحهٔ منبع: 125</w:t>
      </w:r>
    </w:p>
    <w:p>
      <w:pPr>
        <w:spacing w:before="60" w:after="28"/>
        <w:jc w:val="right"/>
        <w:bidi/>
      </w:pPr>
      <w:r>
        <w:rPr>
          <w:b/>
          <w:color w:val="1F4D78"/>
          <w:sz w:val="18"/>
        </w:rPr>
        <w:t>فصل 7</w:t>
      </w:r>
    </w:p>
    <w:p>
      <w:pPr>
        <w:spacing w:after="20"/>
        <w:ind w:left="259"/>
        <w:jc w:val="left"/>
      </w:pPr>
      <w:r>
        <w:rPr>
          <w:color w:val="555555"/>
          <w:sz w:val="12"/>
        </w:rPr>
        <w:t>Chapter 7</w:t>
      </w:r>
    </w:p>
    <w:p>
      <w:pPr>
        <w:spacing w:before="60" w:after="28"/>
        <w:jc w:val="right"/>
        <w:bidi/>
      </w:pPr>
      <w:r>
        <w:rPr>
          <w:b/>
          <w:color w:val="1F4D78"/>
          <w:sz w:val="18"/>
        </w:rPr>
        <w:t>توسعه نیروی اعزامی</w:t>
      </w:r>
    </w:p>
    <w:p>
      <w:pPr>
        <w:spacing w:after="20"/>
        <w:ind w:left="259"/>
        <w:jc w:val="left"/>
      </w:pPr>
      <w:r>
        <w:rPr>
          <w:color w:val="555555"/>
          <w:sz w:val="12"/>
        </w:rPr>
        <w:t>ENLISTED FORCE DEVELOPMENT</w:t>
      </w:r>
    </w:p>
    <w:p>
      <w:pPr>
        <w:spacing w:before="60" w:after="28"/>
        <w:jc w:val="right"/>
        <w:bidi/>
      </w:pPr>
      <w:r>
        <w:rPr>
          <w:b/>
          <w:color w:val="1F4D78"/>
          <w:sz w:val="18"/>
        </w:rPr>
        <w:t>بخش 7A - سطوح رهبری</w:t>
      </w:r>
    </w:p>
    <w:p>
      <w:pPr>
        <w:spacing w:after="20"/>
        <w:ind w:left="259"/>
        <w:jc w:val="left"/>
      </w:pPr>
      <w:r>
        <w:rPr>
          <w:color w:val="555555"/>
          <w:sz w:val="12"/>
        </w:rPr>
        <w:t>Section 7A—Leadership Levels</w:t>
      </w:r>
    </w:p>
    <w:p>
      <w:pPr>
        <w:spacing w:before="60" w:after="28"/>
        <w:jc w:val="right"/>
        <w:bidi/>
      </w:pPr>
      <w:r>
        <w:rPr>
          <w:b/>
          <w:color w:val="1F4D78"/>
          <w:sz w:val="18"/>
        </w:rPr>
        <w:t>7.1. تعهد به مسئولیت - یک تیم از تیم ها</w:t>
      </w:r>
    </w:p>
    <w:p>
      <w:pPr>
        <w:spacing w:after="20"/>
        <w:ind w:left="259"/>
        <w:jc w:val="left"/>
      </w:pPr>
      <w:r>
        <w:rPr>
          <w:color w:val="555555"/>
          <w:sz w:val="12"/>
        </w:rPr>
        <w:t>7.1. Commitment to Responsibility - A Team of Teams</w:t>
      </w:r>
    </w:p>
    <w:p>
      <w:pPr>
        <w:spacing w:after="20" w:line="223" w:lineRule="auto"/>
        <w:jc w:val="right"/>
        <w:bidi/>
      </w:pPr>
      <w:r>
        <w:rPr>
          <w:rFonts w:ascii="Arial" w:hAnsi="Arial"/>
          <w:sz w:val="16"/>
        </w:rPr>
        <w:t>109.05  بسیاری از هوانوردان درجه‌دار افسران یا غیرنظامیان را به‌عنوان سرپرست مستقیم دارند.</w:t>
      </w:r>
    </w:p>
    <w:p>
      <w:pPr>
        <w:spacing w:after="28" w:line="216" w:lineRule="auto"/>
        <w:ind w:left="259"/>
        <w:jc w:val="left"/>
      </w:pPr>
      <w:r>
        <w:rPr>
          <w:rFonts w:ascii="Arial" w:hAnsi="Arial"/>
          <w:color w:val="525252"/>
          <w:sz w:val="13"/>
        </w:rPr>
        <w:t>Many enlisted Airmen have officers or civilians as direct supervisors.</w:t>
      </w:r>
    </w:p>
    <w:p>
      <w:pPr>
        <w:spacing w:after="20" w:line="223" w:lineRule="auto"/>
        <w:jc w:val="right"/>
        <w:bidi/>
      </w:pPr>
      <w:r>
        <w:rPr>
          <w:rFonts w:ascii="Arial" w:hAnsi="Arial"/>
          <w:sz w:val="16"/>
        </w:rPr>
        <w:t>109.06  به افسران، پرسنل غیرنظامی، و سربازان نیروی هوایی نیاز جدی وجود دارد که رویکردی عمدی و مشترک برای توسعه نیرو، پیشرفت شغلی، و به عهده گرفتن افزایش مسئولیت‌های نظارتی و رهبری داشته باشند.</w:t>
      </w:r>
    </w:p>
    <w:p>
      <w:pPr>
        <w:spacing w:after="28" w:line="216" w:lineRule="auto"/>
        <w:ind w:left="259"/>
        <w:jc w:val="left"/>
      </w:pPr>
      <w:r>
        <w:rPr>
          <w:rFonts w:ascii="Arial" w:hAnsi="Arial"/>
          <w:color w:val="525252"/>
          <w:sz w:val="13"/>
        </w:rPr>
        <w:t>There is a compelling need for officers, civilian personnel, and enlisted Airmen to have a deliberate and common approach to force development, career progression, and the assumption of increased supervisory and leadership responsibilities.</w:t>
      </w:r>
    </w:p>
    <w:p>
      <w:pPr>
        <w:spacing w:after="20" w:line="223" w:lineRule="auto"/>
        <w:jc w:val="right"/>
        <w:bidi/>
      </w:pPr>
      <w:r>
        <w:rPr>
          <w:rFonts w:ascii="Arial" w:hAnsi="Arial"/>
          <w:sz w:val="16"/>
        </w:rPr>
        <w:t>109.07  هر روز که ما مأموریت‌های خود را انجام می‌دهیم، همه ما باید با این مسئولیت‌ها و نحوه ارتباط آنها با ساختار نیرو آشنا و درک کنیم.</w:t>
      </w:r>
    </w:p>
    <w:p>
      <w:pPr>
        <w:spacing w:after="28" w:line="216" w:lineRule="auto"/>
        <w:ind w:left="259"/>
        <w:jc w:val="left"/>
      </w:pPr>
      <w:r>
        <w:rPr>
          <w:rFonts w:ascii="Arial" w:hAnsi="Arial"/>
          <w:color w:val="525252"/>
          <w:sz w:val="13"/>
        </w:rPr>
        <w:t>Each day as we execute our missions, we should all be familiar with and understand these responsibilities and how they relate to the force structure.</w:t>
      </w:r>
    </w:p>
    <w:p>
      <w:pPr>
        <w:spacing w:after="20" w:line="223" w:lineRule="auto"/>
        <w:jc w:val="right"/>
        <w:bidi/>
      </w:pPr>
      <w:r>
        <w:rPr>
          <w:rFonts w:ascii="Arial" w:hAnsi="Arial"/>
          <w:sz w:val="16"/>
        </w:rPr>
        <w:t>109.08  ساختار نیروی ما، ارزش‌های اصلی، شایستگی‌های اساسی و شغلی، آنچه را که ما را به هوانوردی تبدیل می‌کند، توصیف می‌کند.</w:t>
      </w:r>
    </w:p>
    <w:p>
      <w:pPr>
        <w:spacing w:after="28" w:line="216" w:lineRule="auto"/>
        <w:ind w:left="259"/>
        <w:jc w:val="left"/>
      </w:pPr>
      <w:r>
        <w:rPr>
          <w:rFonts w:ascii="Arial" w:hAnsi="Arial"/>
          <w:color w:val="525252"/>
          <w:sz w:val="13"/>
        </w:rPr>
        <w:t>Our force structure, core values, foundational and occupational competencies, describe what makes us Airmen.</w:t>
      </w:r>
    </w:p>
    <w:p>
      <w:pPr>
        <w:spacing w:after="20" w:line="223" w:lineRule="auto"/>
        <w:jc w:val="right"/>
        <w:bidi/>
      </w:pPr>
      <w:r>
        <w:rPr>
          <w:rFonts w:ascii="Arial" w:hAnsi="Arial"/>
          <w:sz w:val="16"/>
        </w:rPr>
        <w:t>109.09  مسئولیت‌های افسری.</w:t>
      </w:r>
    </w:p>
    <w:p>
      <w:pPr>
        <w:spacing w:after="28" w:line="216" w:lineRule="auto"/>
        <w:ind w:left="259"/>
        <w:jc w:val="left"/>
      </w:pPr>
      <w:r>
        <w:rPr>
          <w:rFonts w:ascii="Arial" w:hAnsi="Arial"/>
          <w:color w:val="525252"/>
          <w:sz w:val="13"/>
        </w:rPr>
        <w:t>Officer Responsibilities.</w:t>
      </w:r>
    </w:p>
    <w:p>
      <w:pPr>
        <w:spacing w:after="20" w:line="223" w:lineRule="auto"/>
        <w:jc w:val="right"/>
        <w:bidi/>
      </w:pPr>
      <w:r>
        <w:rPr>
          <w:rFonts w:ascii="Arial" w:hAnsi="Arial"/>
          <w:sz w:val="16"/>
        </w:rPr>
        <w:t>109.10  ساختار نیروی افسری از سه طبقه مجزا و مجزا تشکیل شده است.</w:t>
      </w:r>
    </w:p>
    <w:p>
      <w:pPr>
        <w:spacing w:after="28" w:line="216" w:lineRule="auto"/>
        <w:ind w:left="259"/>
        <w:jc w:val="left"/>
      </w:pPr>
      <w:r>
        <w:rPr>
          <w:rFonts w:ascii="Arial" w:hAnsi="Arial"/>
          <w:color w:val="525252"/>
          <w:sz w:val="13"/>
        </w:rPr>
        <w:t>The officer force structure is comprised of three distinct and separate tiers.</w:t>
      </w:r>
    </w:p>
    <w:p>
      <w:pPr>
        <w:spacing w:after="20" w:line="223" w:lineRule="auto"/>
        <w:jc w:val="right"/>
        <w:bidi/>
      </w:pPr>
      <w:r>
        <w:rPr>
          <w:rFonts w:ascii="Arial" w:hAnsi="Arial"/>
          <w:sz w:val="16"/>
        </w:rPr>
        <w:t>109.11  این رده‌ها عبارتند از افسر درجه شرکت با نمرات و-۱ تا و-۳، افسر درجه میدانی با نمرات و-۴ تا و-۶ و افسر عمومی با نمرات و-۷ تا و-۱۰.</w:t>
      </w:r>
    </w:p>
    <w:p>
      <w:pPr>
        <w:spacing w:after="28" w:line="216" w:lineRule="auto"/>
        <w:ind w:left="259"/>
        <w:jc w:val="left"/>
      </w:pPr>
      <w:r>
        <w:rPr>
          <w:rFonts w:ascii="Arial" w:hAnsi="Arial"/>
          <w:color w:val="525252"/>
          <w:sz w:val="13"/>
        </w:rPr>
        <w:t>The tiers are Company Grade Officer with grades O-1 thru O-3, Field Grade Officer with grades O-4 thru O-6, and General Officer, with grades of O-7 thru O-10.</w:t>
      </w:r>
    </w:p>
    <w:p>
      <w:pPr>
        <w:spacing w:after="20" w:line="223" w:lineRule="auto"/>
        <w:jc w:val="right"/>
        <w:bidi/>
      </w:pPr>
      <w:r>
        <w:rPr>
          <w:rFonts w:ascii="Arial" w:hAnsi="Arial"/>
          <w:sz w:val="16"/>
        </w:rPr>
        <w:t>109.12  پیشرفت از طریق لایه‌ها با افزایش سطوح رهبری و مسئولیت‌های مدیریتی مرتبط است، به طوری که هر لایه بر مسئولیت‌های قبلی بنا شده و بر توسعه شایستگی‌های تاکتیکی، عملیاتی و استراتژیک مناسب مرتبط با رتبه و موقعیت خود تمرکز می‌کند.</w:t>
      </w:r>
    </w:p>
    <w:p>
      <w:pPr>
        <w:spacing w:after="28" w:line="216" w:lineRule="auto"/>
        <w:ind w:left="259"/>
        <w:jc w:val="left"/>
      </w:pPr>
      <w:r>
        <w:rPr>
          <w:rFonts w:ascii="Arial" w:hAnsi="Arial"/>
          <w:color w:val="525252"/>
          <w:sz w:val="13"/>
        </w:rPr>
        <w:t>Progression through the tiers correlates to increased levels of leadership and managerial responsibilities, with each tier building on previous responsibilities and focusing on developing the appropriate tactical, operational, and strategic competencies associated with their rank and position.</w:t>
      </w:r>
    </w:p>
    <w:p>
      <w:pPr>
        <w:spacing w:after="20" w:line="223" w:lineRule="auto"/>
        <w:jc w:val="right"/>
        <w:bidi/>
      </w:pPr>
      <w:r>
        <w:rPr>
          <w:rFonts w:ascii="Arial" w:hAnsi="Arial"/>
          <w:sz w:val="16"/>
        </w:rPr>
        <w:t>109.13  بنابراین، از افسران عمومی انتظار می‌رود که بر مسئولیت‌های افسر درجه میدانی تسلط داشته باشند.</w:t>
      </w:r>
    </w:p>
    <w:p>
      <w:pPr>
        <w:spacing w:after="28" w:line="216" w:lineRule="auto"/>
        <w:ind w:left="259"/>
        <w:jc w:val="left"/>
      </w:pPr>
      <w:r>
        <w:rPr>
          <w:rFonts w:ascii="Arial" w:hAnsi="Arial"/>
          <w:color w:val="525252"/>
          <w:sz w:val="13"/>
        </w:rPr>
        <w:t>Therefore, General Officers are expected to have mastered Field Grade Officer responsibilities.</w:t>
      </w:r>
    </w:p>
    <w:p>
      <w:pPr>
        <w:spacing w:after="20" w:line="223" w:lineRule="auto"/>
        <w:jc w:val="right"/>
        <w:bidi/>
      </w:pPr>
      <w:r>
        <w:rPr>
          <w:rFonts w:ascii="Arial" w:hAnsi="Arial"/>
          <w:sz w:val="16"/>
        </w:rPr>
        <w:t>109.14  به همین ترتیب، از افسران درجه میدانی انتظار می‌رود که بر مسئولیت‌های افسر درجه شرکت تسلط داشته باشند.</w:t>
      </w:r>
    </w:p>
    <w:p>
      <w:pPr>
        <w:spacing w:after="28" w:line="216" w:lineRule="auto"/>
        <w:ind w:left="259"/>
        <w:jc w:val="left"/>
      </w:pPr>
      <w:r>
        <w:rPr>
          <w:rFonts w:ascii="Arial" w:hAnsi="Arial"/>
          <w:color w:val="525252"/>
          <w:sz w:val="13"/>
        </w:rPr>
        <w:t>Likewise, Field Grade Officers are expected to have mastered Company Grade Officer responsibilities.</w:t>
      </w:r>
    </w:p>
    <w:p>
      <w:pPr>
        <w:spacing w:after="20" w:line="223" w:lineRule="auto"/>
        <w:jc w:val="right"/>
        <w:bidi/>
      </w:pPr>
      <w:r>
        <w:rPr>
          <w:rFonts w:ascii="Arial" w:hAnsi="Arial"/>
          <w:sz w:val="16"/>
        </w:rPr>
        <w:t>109.15  مهم‌تر از همه، تمرکز هر لایه رهبری، حرفه‌ای بودن و موفقیت در مأموریت در حرفهٔ نظامی است.</w:t>
      </w:r>
    </w:p>
    <w:p>
      <w:pPr>
        <w:spacing w:after="28" w:line="216" w:lineRule="auto"/>
        <w:ind w:left="259"/>
        <w:jc w:val="left"/>
      </w:pPr>
      <w:r>
        <w:rPr>
          <w:rFonts w:ascii="Arial" w:hAnsi="Arial"/>
          <w:color w:val="525252"/>
          <w:sz w:val="13"/>
        </w:rPr>
        <w:t>Above all, the focus of each tier is leadership, professionalism, and mission success in the profession of arms.</w:t>
      </w:r>
    </w:p>
    <w:p>
      <w:pPr>
        <w:spacing w:after="20" w:line="223" w:lineRule="auto"/>
        <w:jc w:val="right"/>
        <w:bidi/>
      </w:pPr>
      <w:r>
        <w:rPr>
          <w:rFonts w:ascii="Arial" w:hAnsi="Arial"/>
          <w:sz w:val="16"/>
        </w:rPr>
        <w:t>109.16  مسئولیت‌های ثبت شده.</w:t>
      </w:r>
    </w:p>
    <w:p>
      <w:pPr>
        <w:spacing w:after="28" w:line="216" w:lineRule="auto"/>
        <w:ind w:left="259"/>
        <w:jc w:val="left"/>
      </w:pPr>
      <w:r>
        <w:rPr>
          <w:rFonts w:ascii="Arial" w:hAnsi="Arial"/>
          <w:color w:val="525252"/>
          <w:sz w:val="13"/>
        </w:rPr>
        <w:t>Enlisted Responsibilities.</w:t>
      </w:r>
    </w:p>
    <w:p>
      <w:pPr>
        <w:spacing w:after="20" w:line="223" w:lineRule="auto"/>
        <w:jc w:val="right"/>
        <w:bidi/>
      </w:pPr>
      <w:r>
        <w:rPr>
          <w:rFonts w:ascii="Arial" w:hAnsi="Arial"/>
          <w:sz w:val="16"/>
        </w:rPr>
        <w:t>109.17  از نظر عملکرد، USAF کارشناسان فنی را از طریق برنامه‌ریزی جانشین پروری و پیشرفت در رستهٔ شغلی توسعه می‌دهد.</w:t>
      </w:r>
    </w:p>
    <w:p>
      <w:pPr>
        <w:spacing w:after="28" w:line="216" w:lineRule="auto"/>
        <w:ind w:left="259"/>
        <w:jc w:val="left"/>
      </w:pPr>
      <w:r>
        <w:rPr>
          <w:rFonts w:ascii="Arial" w:hAnsi="Arial"/>
          <w:color w:val="525252"/>
          <w:sz w:val="13"/>
        </w:rPr>
        <w:t>Functionally, the USAF develops technical experts through career field progression and succession planning.</w:t>
      </w:r>
    </w:p>
    <w:p>
      <w:pPr>
        <w:spacing w:after="20" w:line="223" w:lineRule="auto"/>
        <w:jc w:val="right"/>
        <w:bidi/>
      </w:pPr>
      <w:r>
        <w:rPr>
          <w:rFonts w:ascii="Arial" w:hAnsi="Arial"/>
          <w:sz w:val="16"/>
        </w:rPr>
        <w:t>109.18  از نظر نهادی، USAF در تلاش است تا رهبران با تجربه را توسعه دهد.</w:t>
      </w:r>
    </w:p>
    <w:p>
      <w:pPr>
        <w:spacing w:after="28" w:line="216" w:lineRule="auto"/>
        <w:ind w:left="259"/>
        <w:jc w:val="left"/>
      </w:pPr>
      <w:r>
        <w:rPr>
          <w:rFonts w:ascii="Arial" w:hAnsi="Arial"/>
          <w:color w:val="525252"/>
          <w:sz w:val="13"/>
        </w:rPr>
        <w:t>Institutionally, the USAF strives to develop experienced leaders.</w:t>
      </w:r>
    </w:p>
    <w:p>
      <w:pPr>
        <w:spacing w:after="20" w:line="223" w:lineRule="auto"/>
        <w:jc w:val="right"/>
        <w:bidi/>
      </w:pPr>
      <w:r>
        <w:rPr>
          <w:rFonts w:ascii="Arial" w:hAnsi="Arial"/>
          <w:sz w:val="16"/>
        </w:rPr>
        <w:t>109.19  از همان مراحل اولیه، هوانوردان و سرپرستان باید مسیر پیشرفت را برای پیشرفت فنی و حرفه‌ای درک کنند.</w:t>
      </w:r>
    </w:p>
    <w:p>
      <w:pPr>
        <w:spacing w:after="28" w:line="216" w:lineRule="auto"/>
        <w:ind w:left="259"/>
        <w:jc w:val="left"/>
      </w:pPr>
      <w:r>
        <w:rPr>
          <w:rFonts w:ascii="Arial" w:hAnsi="Arial"/>
          <w:color w:val="525252"/>
          <w:sz w:val="13"/>
        </w:rPr>
        <w:t>From the earliest stages, Airmen and supervisors must comprehend the progression path for technical and professional development.</w:t>
      </w:r>
    </w:p>
    <w:p>
      <w:pPr>
        <w:spacing w:after="20" w:line="223" w:lineRule="auto"/>
        <w:jc w:val="right"/>
        <w:bidi/>
      </w:pPr>
      <w:r>
        <w:rPr>
          <w:rFonts w:ascii="Arial" w:hAnsi="Arial"/>
          <w:sz w:val="16"/>
        </w:rPr>
        <w:t>109.20  همانطور که هوانوردان تخصص و پتانسیل خود را نشان می‌دهند، باید فرصت‌هایی برای تشویق مسئولیت‌پذیری بیشتر و افزایش نقش‌های رهبری فراهم شود.</w:t>
      </w:r>
    </w:p>
    <w:p>
      <w:pPr>
        <w:spacing w:after="28" w:line="216" w:lineRule="auto"/>
        <w:ind w:left="259"/>
        <w:jc w:val="left"/>
      </w:pPr>
      <w:r>
        <w:rPr>
          <w:rFonts w:ascii="Arial" w:hAnsi="Arial"/>
          <w:color w:val="525252"/>
          <w:sz w:val="13"/>
        </w:rPr>
        <w:t>As Airmen demonstrate expertise and potential, opportunities should be made available to encourage more responsibility and increased leadership roles.</w:t>
      </w:r>
    </w:p>
    <w:p>
      <w:pPr>
        <w:spacing w:after="20" w:line="223" w:lineRule="auto"/>
        <w:jc w:val="right"/>
        <w:bidi/>
      </w:pPr>
      <w:r>
        <w:rPr>
          <w:rFonts w:ascii="Arial" w:hAnsi="Arial"/>
          <w:sz w:val="16"/>
        </w:rPr>
        <w:t>109.21  فرصت‌های توسعه‌ای، مانند استقرار، تمرین‌ها، وظایف مشترک، وظایف ویژه، و مأموریت‌های کارکنان ستاد، دیدگاه‌های منحصربه‌فردی را در مورد نحوه عملکرد USAF ارائه می‌دهند.</w:t>
      </w:r>
    </w:p>
    <w:p>
      <w:pPr>
        <w:spacing w:after="28" w:line="216" w:lineRule="auto"/>
        <w:ind w:left="259"/>
        <w:jc w:val="left"/>
      </w:pPr>
      <w:r>
        <w:rPr>
          <w:rFonts w:ascii="Arial" w:hAnsi="Arial"/>
          <w:color w:val="525252"/>
          <w:sz w:val="13"/>
        </w:rPr>
        <w:t>Developmental opportunities, such as deployments, exercises, joint assignments, special duty assignments, and headquarters staff assignments, offer unique perspectives on how the USAF functions.</w:t>
      </w:r>
    </w:p>
    <w:p>
      <w:pPr>
        <w:spacing w:after="20" w:line="223" w:lineRule="auto"/>
        <w:jc w:val="right"/>
        <w:bidi/>
      </w:pPr>
      <w:r>
        <w:rPr>
          <w:rFonts w:ascii="Arial" w:hAnsi="Arial"/>
          <w:sz w:val="16"/>
        </w:rPr>
        <w:t>109.22  پیشرفت و توسعه شغلی مؤثر به گفتگوهای عمدی بین سرپرستان و زیردستان در مورد رستهٔ شغلی و الزامات USAF، صلاحیت‌های شخصی و اهداف بستگی دارد.</w:t>
      </w:r>
    </w:p>
    <w:p>
      <w:pPr>
        <w:spacing w:after="28" w:line="216" w:lineRule="auto"/>
        <w:ind w:left="259"/>
        <w:jc w:val="left"/>
      </w:pPr>
      <w:r>
        <w:rPr>
          <w:rFonts w:ascii="Arial" w:hAnsi="Arial"/>
          <w:color w:val="525252"/>
          <w:sz w:val="13"/>
        </w:rPr>
        <w:t>Effective career progression and development are dependent upon deliberate conversations between supervisors and subordinates regarding career field and USAF requirements, personal qualifications, and goals.</w:t>
      </w:r>
    </w:p>
    <w:p>
      <w:pPr>
        <w:spacing w:after="20" w:line="223" w:lineRule="auto"/>
        <w:jc w:val="right"/>
        <w:bidi/>
      </w:pPr>
      <w:r>
        <w:rPr>
          <w:rFonts w:ascii="Arial" w:hAnsi="Arial"/>
          <w:sz w:val="16"/>
        </w:rPr>
        <w:t>109.23  مسئولیت‌های غیرنظامی.</w:t>
      </w:r>
    </w:p>
    <w:p>
      <w:pPr>
        <w:spacing w:after="28" w:line="216" w:lineRule="auto"/>
        <w:ind w:left="259"/>
        <w:jc w:val="left"/>
      </w:pPr>
      <w:r>
        <w:rPr>
          <w:rFonts w:ascii="Arial" w:hAnsi="Arial"/>
          <w:color w:val="525252"/>
          <w:sz w:val="13"/>
        </w:rPr>
        <w:t>Civilian Responsibilities.</w:t>
      </w:r>
    </w:p>
    <w:p>
      <w:pPr>
        <w:spacing w:after="20" w:line="223" w:lineRule="auto"/>
        <w:jc w:val="right"/>
        <w:bidi/>
      </w:pPr>
      <w:r>
        <w:rPr>
          <w:rFonts w:ascii="Arial" w:hAnsi="Arial"/>
          <w:sz w:val="16"/>
        </w:rPr>
        <w:t>109.24  خدمات ملکی USAF از بیش از ۱۸۰۰۰۰ غیرنظامی حرفه‌ای در بیش از ۳۵ کشور تشکیل شده است.</w:t>
      </w:r>
    </w:p>
    <w:p>
      <w:pPr>
        <w:spacing w:after="28" w:line="216" w:lineRule="auto"/>
        <w:ind w:left="259"/>
        <w:jc w:val="left"/>
      </w:pPr>
      <w:r>
        <w:rPr>
          <w:rFonts w:ascii="Arial" w:hAnsi="Arial"/>
          <w:color w:val="525252"/>
          <w:sz w:val="13"/>
        </w:rPr>
        <w:t>The USAF Civil Service consists of more than 180,000 professional civilians in over 35 countries.</w:t>
      </w:r>
    </w:p>
    <w:p>
      <w:pPr>
        <w:spacing w:after="20" w:line="223" w:lineRule="auto"/>
        <w:jc w:val="right"/>
        <w:bidi/>
      </w:pPr>
      <w:r>
        <w:rPr>
          <w:rFonts w:ascii="Arial" w:hAnsi="Arial"/>
          <w:sz w:val="16"/>
        </w:rPr>
        <w:t>109.25  در ۱۱ سیستم پرسنلی، ۲۲ رشته شغلی، ۴۷۲ سری شغلی و ۲۷ طرح پرداخت متفاوت وجود دارد.</w:t>
      </w:r>
    </w:p>
    <w:p>
      <w:pPr>
        <w:spacing w:after="28" w:line="216" w:lineRule="auto"/>
        <w:ind w:left="259"/>
        <w:jc w:val="left"/>
      </w:pPr>
      <w:r>
        <w:rPr>
          <w:rFonts w:ascii="Arial" w:hAnsi="Arial"/>
          <w:color w:val="525252"/>
          <w:sz w:val="13"/>
        </w:rPr>
        <w:t>Within 11 personnel systems there are 22 career fields, 472 occupational series, and 27 different pay plans.</w:t>
      </w:r>
    </w:p>
    <w:p>
      <w:pPr>
        <w:spacing w:after="20" w:line="223" w:lineRule="auto"/>
        <w:jc w:val="right"/>
        <w:bidi/>
      </w:pPr>
      <w:r>
        <w:rPr>
          <w:rFonts w:ascii="Arial" w:hAnsi="Arial"/>
          <w:sz w:val="16"/>
        </w:rPr>
        <w:t>109.26  غیرنظامیان در پست‌های حیاتی مانند دانشمندان، مهندسان، متخصصان قراردادی، مربیان، کارشناسان اطلاعاتی، مکانیک، متخصصان منابع انسانی، آتش نشانان، مکانیک هواپیما، ارائه دهندگان مراقبت از کودکان و بسیاری دیگر خدمت می‌کنند.</w:t>
      </w:r>
    </w:p>
    <w:p>
      <w:pPr>
        <w:spacing w:after="28" w:line="216" w:lineRule="auto"/>
        <w:ind w:left="259"/>
        <w:jc w:val="left"/>
      </w:pPr>
      <w:r>
        <w:rPr>
          <w:rFonts w:ascii="Arial" w:hAnsi="Arial"/>
          <w:color w:val="525252"/>
          <w:sz w:val="13"/>
        </w:rPr>
        <w:t>Civilians serve in critical positions, such as scientists, engineers, contract specialists, instructors, intelligence experts, mechanics, human resource professionals, firefighters, aircraft mechanics, childcare providers, and many others.</w:t>
      </w:r>
    </w:p>
    <w:p>
      <w:pPr>
        <w:spacing w:after="20" w:line="223" w:lineRule="auto"/>
        <w:jc w:val="right"/>
        <w:bidi/>
      </w:pPr>
      <w:r>
        <w:rPr>
          <w:rFonts w:ascii="Arial" w:hAnsi="Arial"/>
          <w:sz w:val="16"/>
        </w:rPr>
        <w:t>109.27  آنها دانش و ثبات شرکتی را در سراسر USAF ارائه می‌کنند و در مناطق مختلف احتمالی مستقر می‌شوند.</w:t>
      </w:r>
    </w:p>
    <w:p>
      <w:pPr>
        <w:spacing w:after="28" w:line="216" w:lineRule="auto"/>
        <w:ind w:left="259"/>
        <w:jc w:val="left"/>
      </w:pPr>
      <w:r>
        <w:rPr>
          <w:rFonts w:ascii="Arial" w:hAnsi="Arial"/>
          <w:color w:val="525252"/>
          <w:sz w:val="13"/>
        </w:rPr>
        <w:t>They provide corporate knowledge and stability across the USAF and deploy to various contingency areas.</w:t>
      </w:r>
    </w:p>
    <w:p>
      <w:pPr>
        <w:spacing w:after="20" w:line="223" w:lineRule="auto"/>
        <w:jc w:val="right"/>
        <w:bidi/>
      </w:pPr>
      <w:r>
        <w:rPr>
          <w:rFonts w:ascii="Arial" w:hAnsi="Arial"/>
          <w:sz w:val="16"/>
        </w:rPr>
        <w:t>109.28  غیرنظامیان برای قدرت USAF ما اساسی هستند و مانند لشکر سربازگیری و افسری، نیاز جدی به یک رویکرد عمدی و مشترک برای توسعه نیرو، پیشرفت شغلی، و به عهده گرفتن افزایش مسئولیت‌های نظارتی و رهبری دارند.</w:t>
      </w:r>
    </w:p>
    <w:p>
      <w:pPr>
        <w:spacing w:after="28" w:line="216" w:lineRule="auto"/>
        <w:ind w:left="259"/>
        <w:jc w:val="left"/>
      </w:pPr>
      <w:r>
        <w:rPr>
          <w:rFonts w:ascii="Arial" w:hAnsi="Arial"/>
          <w:color w:val="525252"/>
          <w:sz w:val="13"/>
        </w:rPr>
        <w:t>Civilians are fundamental to the strength of our USAF, and like the enlisted and officer corps, have a compelling need for a deliberate and common approach to force development, career progression, and the assumption of increased supervisory and leadership responsibilities.</w:t>
      </w:r>
    </w:p>
    <w:p>
      <w:pPr>
        <w:spacing w:before="60" w:after="28"/>
        <w:jc w:val="right"/>
        <w:bidi/>
      </w:pPr>
      <w:r>
        <w:rPr>
          <w:b/>
          <w:color w:val="1F4D78"/>
          <w:sz w:val="18"/>
        </w:rPr>
        <w:t>7.2. تداوم یادگیری</w:t>
      </w:r>
    </w:p>
    <w:p>
      <w:pPr>
        <w:spacing w:after="20"/>
        <w:ind w:left="259"/>
        <w:jc w:val="left"/>
      </w:pPr>
      <w:r>
        <w:rPr>
          <w:color w:val="555555"/>
          <w:sz w:val="12"/>
        </w:rPr>
        <w:t>7.2. Continuum of Learning</w:t>
      </w:r>
    </w:p>
    <w:p>
      <w:pPr>
        <w:spacing w:after="20" w:line="223" w:lineRule="auto"/>
        <w:jc w:val="right"/>
        <w:bidi/>
      </w:pPr>
      <w:r>
        <w:rPr>
          <w:rFonts w:ascii="Arial" w:hAnsi="Arial"/>
          <w:sz w:val="16"/>
        </w:rPr>
        <w:t>109.30  توسعه نیرو عموما منجر به مهارت رهبری، مدیریت و اخلاق جنگجو می‌شود.</w:t>
      </w:r>
    </w:p>
    <w:p>
      <w:pPr>
        <w:spacing w:after="28" w:line="216" w:lineRule="auto"/>
        <w:ind w:left="259"/>
        <w:jc w:val="left"/>
      </w:pPr>
      <w:r>
        <w:rPr>
          <w:rFonts w:ascii="Arial" w:hAnsi="Arial"/>
          <w:color w:val="525252"/>
          <w:sz w:val="13"/>
        </w:rPr>
        <w:t>Force development generally results in leadership, management, and warrior ethos proficiency.</w:t>
      </w:r>
    </w:p>
    <w:p>
      <w:pPr>
        <w:spacing w:after="20" w:line="223" w:lineRule="auto"/>
        <w:jc w:val="right"/>
        <w:bidi/>
      </w:pPr>
      <w:r>
        <w:rPr>
          <w:rFonts w:ascii="Arial" w:hAnsi="Arial"/>
          <w:sz w:val="16"/>
        </w:rPr>
        <w:t>109.31  ساختار توسعه نیرو چارچوبی است که نیازهای رشدی را با شایستگی‌های بنیادی از طریق پیوسته یادگیری پیوند می‌دهد.</w:t>
      </w:r>
    </w:p>
    <w:p>
      <w:pPr>
        <w:spacing w:after="28" w:line="216" w:lineRule="auto"/>
        <w:ind w:left="259"/>
        <w:jc w:val="left"/>
      </w:pPr>
      <w:r>
        <w:rPr>
          <w:rFonts w:ascii="Arial" w:hAnsi="Arial"/>
          <w:color w:val="525252"/>
          <w:sz w:val="13"/>
        </w:rPr>
        <w:t>The force development construct is a framework that links developmental needs with foundational competencies through the continuum of learning.</w:t>
      </w:r>
    </w:p>
    <w:p>
      <w:pPr>
        <w:spacing w:after="20" w:line="223" w:lineRule="auto"/>
        <w:jc w:val="right"/>
        <w:bidi/>
      </w:pPr>
      <w:r>
        <w:rPr>
          <w:rFonts w:ascii="Arial" w:hAnsi="Arial"/>
          <w:sz w:val="16"/>
        </w:rPr>
        <w:t>109.32  توسعه شایستگی شغلی</w:t>
      </w:r>
    </w:p>
    <w:p>
      <w:pPr>
        <w:spacing w:after="28" w:line="216" w:lineRule="auto"/>
        <w:ind w:left="259"/>
        <w:jc w:val="left"/>
      </w:pPr>
      <w:r>
        <w:rPr>
          <w:rFonts w:ascii="Arial" w:hAnsi="Arial"/>
          <w:color w:val="525252"/>
          <w:sz w:val="13"/>
        </w:rPr>
        <w:t>Occupational competency development</w:t>
      </w:r>
    </w:p>
    <w:p>
      <w:r>
        <w:br w:type="page"/>
      </w:r>
    </w:p>
    <w:p>
      <w:pPr>
        <w:spacing w:after="60"/>
        <w:jc w:val="right"/>
        <w:bidi/>
      </w:pPr>
      <w:r>
        <w:rPr>
          <w:rFonts w:ascii="Arial" w:hAnsi="Arial"/>
          <w:b/>
          <w:color w:val="1F4D78"/>
          <w:sz w:val="19"/>
        </w:rPr>
        <w:t>هفتهٔ 110  |  صفحهٔ منبع: 126</w:t>
      </w:r>
    </w:p>
    <w:p>
      <w:pPr>
        <w:spacing w:after="20" w:line="223" w:lineRule="auto"/>
        <w:jc w:val="right"/>
        <w:bidi/>
      </w:pPr>
      <w:r>
        <w:rPr>
          <w:rFonts w:ascii="Arial" w:hAnsi="Arial"/>
          <w:sz w:val="16"/>
        </w:rPr>
        <w:t>110.01  عموما منجر به مهارت فنی می‌شود.</w:t>
      </w:r>
    </w:p>
    <w:p>
      <w:pPr>
        <w:spacing w:after="28" w:line="216" w:lineRule="auto"/>
        <w:ind w:left="259"/>
        <w:jc w:val="left"/>
      </w:pPr>
      <w:r>
        <w:rPr>
          <w:rFonts w:ascii="Arial" w:hAnsi="Arial"/>
          <w:color w:val="525252"/>
          <w:sz w:val="13"/>
        </w:rPr>
        <w:t>generally results in technical skill proficiency.</w:t>
      </w:r>
    </w:p>
    <w:p>
      <w:pPr>
        <w:spacing w:after="20" w:line="223" w:lineRule="auto"/>
        <w:jc w:val="right"/>
        <w:bidi/>
      </w:pPr>
      <w:r>
        <w:rPr>
          <w:rFonts w:ascii="Arial" w:hAnsi="Arial"/>
          <w:sz w:val="16"/>
        </w:rPr>
        <w:t>110.02  تداوم یادگیری، همراه با شایستگی‌های تعریف‌شده، برای اطمینان از واجد شرایط بودن و آمادگی هوانوردان برای رویارویی با چالش‌های محیط‌های عملیاتی فعلی و آتی، هماهنگ است.</w:t>
      </w:r>
    </w:p>
    <w:p>
      <w:pPr>
        <w:spacing w:after="28" w:line="216" w:lineRule="auto"/>
        <w:ind w:left="259"/>
        <w:jc w:val="left"/>
      </w:pPr>
      <w:r>
        <w:rPr>
          <w:rFonts w:ascii="Arial" w:hAnsi="Arial"/>
          <w:color w:val="525252"/>
          <w:sz w:val="13"/>
        </w:rPr>
        <w:t>The continuum of learning, along with the defined competencies, are aligned to ensure Airmen are qualified and ready to meet the challenges of current and future operating environments.</w:t>
      </w:r>
    </w:p>
    <w:p>
      <w:pPr>
        <w:spacing w:after="20" w:line="223" w:lineRule="auto"/>
        <w:jc w:val="right"/>
        <w:bidi/>
      </w:pPr>
      <w:r>
        <w:rPr>
          <w:rFonts w:ascii="Arial" w:hAnsi="Arial"/>
          <w:sz w:val="16"/>
        </w:rPr>
        <w:t>110.03  تداوم یادگیری فرآیندی طولانی مدت از توسعه است که در آن تجربیات چالش برانگیز با آموزش و آموزش از طریق یک طبقه‌بندی مشترک ترکیب می‌شوند تا هوادارانی تولید کنند که دارای تخصص تاکتیکی، شایستگی عملیاتی و بینش استراتژیک برای رهبری و اجرای طیف کامل مأموریت‌های USAF باشند.</w:t>
      </w:r>
    </w:p>
    <w:p>
      <w:pPr>
        <w:spacing w:after="28" w:line="216" w:lineRule="auto"/>
        <w:ind w:left="259"/>
        <w:jc w:val="left"/>
      </w:pPr>
      <w:r>
        <w:rPr>
          <w:rFonts w:ascii="Arial" w:hAnsi="Arial"/>
          <w:color w:val="525252"/>
          <w:sz w:val="13"/>
        </w:rPr>
        <w:t>The continuum of learning is a career-long process of development where challenging experiences are combined with education and training through a common taxonomy to produce Airmen who possess the tactical expertise, operational competence, and strategic vision to lead and execute the full-spectrum of USAF missions.</w:t>
      </w:r>
    </w:p>
    <w:p>
      <w:pPr>
        <w:spacing w:after="20" w:line="223" w:lineRule="auto"/>
        <w:jc w:val="right"/>
        <w:bidi/>
      </w:pPr>
      <w:r>
        <w:rPr>
          <w:rFonts w:ascii="Arial" w:hAnsi="Arial"/>
          <w:sz w:val="16"/>
        </w:rPr>
        <w:t>110.04  سه سطح متمایز مرتبط با مهارت‌های رهبری عبارتند از: تخصص تاکتیکی، شایستگی عملیاتی و چشم انداز استراتژیک.</w:t>
      </w:r>
    </w:p>
    <w:p>
      <w:pPr>
        <w:spacing w:after="28" w:line="216" w:lineRule="auto"/>
        <w:ind w:left="259"/>
        <w:jc w:val="left"/>
      </w:pPr>
      <w:r>
        <w:rPr>
          <w:rFonts w:ascii="Arial" w:hAnsi="Arial"/>
          <w:color w:val="525252"/>
          <w:sz w:val="13"/>
        </w:rPr>
        <w:t>The three distinct levels associated with leadership skills are: tactical expertise, operational competence, and strategic vision.</w:t>
      </w:r>
    </w:p>
    <w:p>
      <w:pPr>
        <w:spacing w:after="20" w:line="223" w:lineRule="auto"/>
        <w:jc w:val="right"/>
        <w:bidi/>
      </w:pPr>
      <w:r>
        <w:rPr>
          <w:rFonts w:ascii="Arial" w:hAnsi="Arial"/>
          <w:sz w:val="16"/>
        </w:rPr>
        <w:t>110.05  این سطوح با تاکید متفاوت در بین شایستگی‌های بنیادی شناخته می‌شوند.</w:t>
      </w:r>
    </w:p>
    <w:p>
      <w:pPr>
        <w:spacing w:after="28" w:line="216" w:lineRule="auto"/>
        <w:ind w:left="259"/>
        <w:jc w:val="left"/>
      </w:pPr>
      <w:r>
        <w:rPr>
          <w:rFonts w:ascii="Arial" w:hAnsi="Arial"/>
          <w:color w:val="525252"/>
          <w:sz w:val="13"/>
        </w:rPr>
        <w:t>These levels are recognized with varying emphasis across the foundational competencies.</w:t>
      </w:r>
    </w:p>
    <w:p>
      <w:pPr>
        <w:spacing w:after="20" w:line="223" w:lineRule="auto"/>
        <w:jc w:val="right"/>
        <w:bidi/>
      </w:pPr>
      <w:r>
        <w:rPr>
          <w:rFonts w:ascii="Arial" w:hAnsi="Arial"/>
          <w:sz w:val="16"/>
        </w:rPr>
        <w:t>110.06  همانطور که نیروهای هوایی از تخصص تاکتیکی به سطوح رهبری چشم انداز استراتژیک پیشرفت می‌کند، تاکید بر استفاده از شایستگی‌های اساسی به تمرکز گسترده تری تغییر می‌کند.</w:t>
      </w:r>
    </w:p>
    <w:p>
      <w:pPr>
        <w:spacing w:after="28" w:line="216" w:lineRule="auto"/>
        <w:ind w:left="259"/>
        <w:jc w:val="left"/>
      </w:pPr>
      <w:r>
        <w:rPr>
          <w:rFonts w:ascii="Arial" w:hAnsi="Arial"/>
          <w:color w:val="525252"/>
          <w:sz w:val="13"/>
        </w:rPr>
        <w:t>As Airmen progress from tactical expertise to strategic vision leadership levels, emphasis on the use of foundational competencies shifts to a broader focus.</w:t>
      </w:r>
    </w:p>
    <w:p>
      <w:pPr>
        <w:spacing w:after="20" w:line="223" w:lineRule="auto"/>
        <w:jc w:val="right"/>
        <w:bidi/>
      </w:pPr>
      <w:r>
        <w:rPr>
          <w:rFonts w:ascii="Arial" w:hAnsi="Arial"/>
          <w:sz w:val="16"/>
        </w:rPr>
        <w:t>110.07  ماهیت و دامنه رهبری و همچنین روش‌های ترجیحی رهبری بر اساس سطح رهبری و مسئولیت‌ها متفاوت است.</w:t>
      </w:r>
    </w:p>
    <w:p>
      <w:pPr>
        <w:spacing w:after="28" w:line="216" w:lineRule="auto"/>
        <w:ind w:left="259"/>
        <w:jc w:val="left"/>
      </w:pPr>
      <w:r>
        <w:rPr>
          <w:rFonts w:ascii="Arial" w:hAnsi="Arial"/>
          <w:color w:val="525252"/>
          <w:sz w:val="13"/>
        </w:rPr>
        <w:t>The nature and scope of leadership as well as preferred leadership methods differ based on the level of leadership and responsibilities.</w:t>
      </w:r>
    </w:p>
    <w:p>
      <w:pPr>
        <w:spacing w:after="20" w:line="223" w:lineRule="auto"/>
        <w:jc w:val="right"/>
        <w:bidi/>
      </w:pPr>
      <w:r>
        <w:rPr>
          <w:rFonts w:ascii="Arial" w:hAnsi="Arial"/>
          <w:sz w:val="16"/>
        </w:rPr>
        <w:t>110.08  تخصص تاکتیکی.</w:t>
      </w:r>
    </w:p>
    <w:p>
      <w:pPr>
        <w:spacing w:after="28" w:line="216" w:lineRule="auto"/>
        <w:ind w:left="259"/>
        <w:jc w:val="left"/>
      </w:pPr>
      <w:r>
        <w:rPr>
          <w:rFonts w:ascii="Arial" w:hAnsi="Arial"/>
          <w:color w:val="525252"/>
          <w:sz w:val="13"/>
        </w:rPr>
        <w:t>Tactical Expertise.</w:t>
      </w:r>
    </w:p>
    <w:p>
      <w:pPr>
        <w:spacing w:after="20" w:line="223" w:lineRule="auto"/>
        <w:jc w:val="right"/>
        <w:bidi/>
      </w:pPr>
      <w:r>
        <w:rPr>
          <w:rFonts w:ascii="Arial" w:hAnsi="Arial"/>
          <w:sz w:val="16"/>
        </w:rPr>
        <w:t>110.09  توسعه در سطح تخصص تاکتیکی شامل درک کلی از رهبری تیم و قدردانی از رهبری سازمان است.</w:t>
      </w:r>
    </w:p>
    <w:p>
      <w:pPr>
        <w:spacing w:after="28" w:line="216" w:lineRule="auto"/>
        <w:ind w:left="259"/>
        <w:jc w:val="left"/>
      </w:pPr>
      <w:r>
        <w:rPr>
          <w:rFonts w:ascii="Arial" w:hAnsi="Arial"/>
          <w:color w:val="525252"/>
          <w:sz w:val="13"/>
        </w:rPr>
        <w:t>Development at the tactical expertise level includes a general understanding of team leadership and an appreciation for organization leadership.</w:t>
      </w:r>
    </w:p>
    <w:p>
      <w:pPr>
        <w:spacing w:after="20" w:line="223" w:lineRule="auto"/>
        <w:jc w:val="right"/>
        <w:bidi/>
      </w:pPr>
      <w:r>
        <w:rPr>
          <w:rFonts w:ascii="Arial" w:hAnsi="Arial"/>
          <w:sz w:val="16"/>
        </w:rPr>
        <w:t>110.10  زمان تسلط بر مهارت‌های وظیفه اصلی، کسب تجربه در به‌کارگیری آن مهارت‌ها و شروع کسب دانش و تجربه ضروری برای نشان دادن رهبری مؤثر و اخلاقی است.</w:t>
      </w:r>
    </w:p>
    <w:p>
      <w:pPr>
        <w:spacing w:after="28" w:line="216" w:lineRule="auto"/>
        <w:ind w:left="259"/>
        <w:jc w:val="left"/>
      </w:pPr>
      <w:r>
        <w:rPr>
          <w:rFonts w:ascii="Arial" w:hAnsi="Arial"/>
          <w:color w:val="525252"/>
          <w:sz w:val="13"/>
        </w:rPr>
        <w:t>It is a time to master core duty skills, gain experience in applying those skills, and begin acquiring knowledge and experience essential for demonstrating effective, ethical leadership.</w:t>
      </w:r>
    </w:p>
    <w:p>
      <w:pPr>
        <w:spacing w:after="20" w:line="223" w:lineRule="auto"/>
        <w:jc w:val="right"/>
        <w:bidi/>
      </w:pPr>
      <w:r>
        <w:rPr>
          <w:rFonts w:ascii="Arial" w:hAnsi="Arial"/>
          <w:sz w:val="16"/>
        </w:rPr>
        <w:t>110.11  هوانوردان در سطح تخصص تاکتیکی یاد می‌گیرند که به تکنسین‌ها و متخصصان اصلی USAF تبدیل شوند، با فرهنگ USAF ادغام شوند و ارزش‌های اصلی USAF را بپذیرند.</w:t>
      </w:r>
    </w:p>
    <w:p>
      <w:pPr>
        <w:spacing w:after="28" w:line="216" w:lineRule="auto"/>
        <w:ind w:left="259"/>
        <w:jc w:val="left"/>
      </w:pPr>
      <w:r>
        <w:rPr>
          <w:rFonts w:ascii="Arial" w:hAnsi="Arial"/>
          <w:color w:val="525252"/>
          <w:sz w:val="13"/>
        </w:rPr>
        <w:t>Airmen at the tactical expertise level learn to become the USAF’s primary technicians and specialists, assimilate into the USAF culture, and adopt the USAF core values.</w:t>
      </w:r>
    </w:p>
    <w:p>
      <w:pPr>
        <w:spacing w:after="20" w:line="223" w:lineRule="auto"/>
        <w:jc w:val="right"/>
        <w:bidi/>
      </w:pPr>
      <w:r>
        <w:rPr>
          <w:rFonts w:ascii="Arial" w:hAnsi="Arial"/>
          <w:sz w:val="16"/>
        </w:rPr>
        <w:t>110.12  سطح تخصص تاکتیکی زمانی است برای تقویت توانایی‌های پیروی، ایجاد انگیزه در زیردستان و تأثیرگذاری بر همسالان برای انجام مأموریت در حالی که روحیه جنگجو را توسعه می‌دهد و مهارت‌های ارتباطی را تا حد امکان مؤثر و کارآمد انجام می‌دهد.</w:t>
      </w:r>
    </w:p>
    <w:p>
      <w:pPr>
        <w:spacing w:after="28" w:line="216" w:lineRule="auto"/>
        <w:ind w:left="259"/>
        <w:jc w:val="left"/>
      </w:pPr>
      <w:r>
        <w:rPr>
          <w:rFonts w:ascii="Arial" w:hAnsi="Arial"/>
          <w:color w:val="525252"/>
          <w:sz w:val="13"/>
        </w:rPr>
        <w:t>The tactical expertise level is a time for honing followership abilities, motivating subordinates, and influencing peers to accomplish the mission while developing a warrior ethos and exercising communication skills as effectively and efficiently as possible.</w:t>
      </w:r>
    </w:p>
    <w:p>
      <w:pPr>
        <w:spacing w:after="20" w:line="223" w:lineRule="auto"/>
        <w:jc w:val="right"/>
        <w:bidi/>
      </w:pPr>
      <w:r>
        <w:rPr>
          <w:rFonts w:ascii="Arial" w:hAnsi="Arial"/>
          <w:sz w:val="16"/>
        </w:rPr>
        <w:t>110.13  صلاحیت عملیاتی.</w:t>
      </w:r>
    </w:p>
    <w:p>
      <w:pPr>
        <w:spacing w:after="28" w:line="216" w:lineRule="auto"/>
        <w:ind w:left="259"/>
        <w:jc w:val="left"/>
      </w:pPr>
      <w:r>
        <w:rPr>
          <w:rFonts w:ascii="Arial" w:hAnsi="Arial"/>
          <w:color w:val="525252"/>
          <w:sz w:val="13"/>
        </w:rPr>
        <w:t>Operational Competence.</w:t>
      </w:r>
    </w:p>
    <w:p>
      <w:pPr>
        <w:spacing w:after="20" w:line="223" w:lineRule="auto"/>
        <w:jc w:val="right"/>
        <w:bidi/>
      </w:pPr>
      <w:r>
        <w:rPr>
          <w:rFonts w:ascii="Arial" w:hAnsi="Arial"/>
          <w:sz w:val="16"/>
        </w:rPr>
        <w:t>110.14  توسعه در سطح رهبری شایستگی عملیاتی شامل ایجاد درک گسترده‌تر از دیدگاه USAF و ادغام قابلیت‌های متنوع در اجرای عملیات است.</w:t>
      </w:r>
    </w:p>
    <w:p>
      <w:pPr>
        <w:spacing w:after="28" w:line="216" w:lineRule="auto"/>
        <w:ind w:left="259"/>
        <w:jc w:val="left"/>
      </w:pPr>
      <w:r>
        <w:rPr>
          <w:rFonts w:ascii="Arial" w:hAnsi="Arial"/>
          <w:color w:val="525252"/>
          <w:sz w:val="13"/>
        </w:rPr>
        <w:t>Development at the operational competence leadership level includes developing a broader understanding of the USAF perspective and the integration of diverse capabilities in operational execution.</w:t>
      </w:r>
    </w:p>
    <w:p>
      <w:pPr>
        <w:spacing w:after="20" w:line="223" w:lineRule="auto"/>
        <w:jc w:val="right"/>
        <w:bidi/>
      </w:pPr>
      <w:r>
        <w:rPr>
          <w:rFonts w:ascii="Arial" w:hAnsi="Arial"/>
          <w:sz w:val="16"/>
        </w:rPr>
        <w:t>110.15  زمان انتقال از متخصصان به رهبران با درک خود به‌عنوان رهبر و پیرو، در حالی که درک پویایی سازمانی و تیمی را به کار می‌برند، است.</w:t>
      </w:r>
    </w:p>
    <w:p>
      <w:pPr>
        <w:spacing w:after="28" w:line="216" w:lineRule="auto"/>
        <w:ind w:left="259"/>
        <w:jc w:val="left"/>
      </w:pPr>
      <w:r>
        <w:rPr>
          <w:rFonts w:ascii="Arial" w:hAnsi="Arial"/>
          <w:color w:val="525252"/>
          <w:sz w:val="13"/>
        </w:rPr>
        <w:t>It is a time to transition from specialists to leaders with an understanding of themselves as leaders and followers, while applying an understanding of organizational and team dynamics.</w:t>
      </w:r>
    </w:p>
    <w:p>
      <w:pPr>
        <w:spacing w:after="20" w:line="223" w:lineRule="auto"/>
        <w:jc w:val="right"/>
        <w:bidi/>
      </w:pPr>
      <w:r>
        <w:rPr>
          <w:rFonts w:ascii="Arial" w:hAnsi="Arial"/>
          <w:sz w:val="16"/>
        </w:rPr>
        <w:t>110.16  زمان هدایت تیم‌ها با توسعه و الهام بخشیدن به دیگران و مراقبت از افراد است.</w:t>
      </w:r>
    </w:p>
    <w:p>
      <w:pPr>
        <w:spacing w:after="28" w:line="216" w:lineRule="auto"/>
        <w:ind w:left="259"/>
        <w:jc w:val="left"/>
      </w:pPr>
      <w:r>
        <w:rPr>
          <w:rFonts w:ascii="Arial" w:hAnsi="Arial"/>
          <w:color w:val="525252"/>
          <w:sz w:val="13"/>
        </w:rPr>
        <w:t>It is a time to lead teams by developing and inspiring others and taking care of people.</w:t>
      </w:r>
    </w:p>
    <w:p>
      <w:pPr>
        <w:spacing w:after="20" w:line="223" w:lineRule="auto"/>
        <w:jc w:val="right"/>
        <w:bidi/>
      </w:pPr>
      <w:r>
        <w:rPr>
          <w:rFonts w:ascii="Arial" w:hAnsi="Arial"/>
          <w:sz w:val="16"/>
        </w:rPr>
        <w:t>110.17  زمان تقویت روابط مشترک از طریق ایجاد تیم‌ها و ائتلاف‌ها، به‌ویژه در سازمان‌های بزرگ، و مذاکره با دیگران، اغلب خارج از سازمان است.</w:t>
      </w:r>
    </w:p>
    <w:p>
      <w:pPr>
        <w:spacing w:after="28" w:line="216" w:lineRule="auto"/>
        <w:ind w:left="259"/>
        <w:jc w:val="left"/>
      </w:pPr>
      <w:r>
        <w:rPr>
          <w:rFonts w:ascii="Arial" w:hAnsi="Arial"/>
          <w:color w:val="525252"/>
          <w:sz w:val="13"/>
        </w:rPr>
        <w:t>It is a time to foster collaborative relationships through building teams and coalitions, especially within large organizations, and negotiating with others, often external to the organization.</w:t>
      </w:r>
    </w:p>
    <w:p>
      <w:pPr>
        <w:spacing w:after="20" w:line="223" w:lineRule="auto"/>
        <w:jc w:val="right"/>
        <w:bidi/>
      </w:pPr>
      <w:r>
        <w:rPr>
          <w:rFonts w:ascii="Arial" w:hAnsi="Arial"/>
          <w:sz w:val="16"/>
        </w:rPr>
        <w:t>110.18  اکثریت هوانوردان درجه‌دار در سطوح تخصص تاکتیکی و صلاحیت عملیاتی فعالیت می‌کنند.</w:t>
      </w:r>
    </w:p>
    <w:p>
      <w:pPr>
        <w:spacing w:after="28" w:line="216" w:lineRule="auto"/>
        <w:ind w:left="259"/>
        <w:jc w:val="left"/>
      </w:pPr>
      <w:r>
        <w:rPr>
          <w:rFonts w:ascii="Arial" w:hAnsi="Arial"/>
          <w:color w:val="525252"/>
          <w:sz w:val="13"/>
        </w:rPr>
        <w:t>The majority of enlisted Airmen operate at the tactical expertise and operational competence levels.</w:t>
      </w:r>
    </w:p>
    <w:p>
      <w:pPr>
        <w:spacing w:after="20" w:line="223" w:lineRule="auto"/>
        <w:jc w:val="right"/>
        <w:bidi/>
      </w:pPr>
      <w:r>
        <w:rPr>
          <w:rFonts w:ascii="Arial" w:hAnsi="Arial"/>
          <w:sz w:val="16"/>
        </w:rPr>
        <w:t>110.19  چشم انداز استراتژیک.</w:t>
      </w:r>
    </w:p>
    <w:p>
      <w:pPr>
        <w:spacing w:after="28" w:line="216" w:lineRule="auto"/>
        <w:ind w:left="259"/>
        <w:jc w:val="left"/>
      </w:pPr>
      <w:r>
        <w:rPr>
          <w:rFonts w:ascii="Arial" w:hAnsi="Arial"/>
          <w:color w:val="525252"/>
          <w:sz w:val="13"/>
        </w:rPr>
        <w:t>Strategic Vision.</w:t>
      </w:r>
    </w:p>
    <w:p>
      <w:pPr>
        <w:spacing w:after="20" w:line="223" w:lineRule="auto"/>
        <w:jc w:val="right"/>
        <w:bidi/>
      </w:pPr>
      <w:r>
        <w:rPr>
          <w:rFonts w:ascii="Arial" w:hAnsi="Arial"/>
          <w:sz w:val="16"/>
        </w:rPr>
        <w:t>110.20  توسعه در سطح چشم انداز استراتژیک شامل ترکیب شایستگی‌های سازمانی فردی و افراد/تیم بسیار توسعه یافته، به‌کارگیری شایستگی‌های سازمانی گسترده، و رهبری و هدایت سازمان‌های فوق‌العاده پیچیده و چند لایه است.</w:t>
      </w:r>
    </w:p>
    <w:p>
      <w:pPr>
        <w:spacing w:after="28" w:line="216" w:lineRule="auto"/>
        <w:ind w:left="259"/>
        <w:jc w:val="left"/>
      </w:pPr>
      <w:r>
        <w:rPr>
          <w:rFonts w:ascii="Arial" w:hAnsi="Arial"/>
          <w:color w:val="525252"/>
          <w:sz w:val="13"/>
        </w:rPr>
        <w:t>Development at the strategic vision level includes combining highly developed personal and people/team institutional competencies, applying broad organizational competencies, and leading and directing exceptionally complex and multi-tiered organizations.</w:t>
      </w:r>
    </w:p>
    <w:p>
      <w:pPr>
        <w:spacing w:after="20" w:line="223" w:lineRule="auto"/>
        <w:jc w:val="right"/>
        <w:bidi/>
      </w:pPr>
      <w:r>
        <w:rPr>
          <w:rFonts w:ascii="Arial" w:hAnsi="Arial"/>
          <w:sz w:val="16"/>
        </w:rPr>
        <w:t>110.21  زمان ایجاد درک عمیق از چگونگی دستیابی هواداران به نتایج هم افزایی و اثرات مورد نظر با قابلیت‌های عملیاتی خود است.</w:t>
      </w:r>
    </w:p>
    <w:p>
      <w:pPr>
        <w:spacing w:after="28" w:line="216" w:lineRule="auto"/>
        <w:ind w:left="259"/>
        <w:jc w:val="left"/>
      </w:pPr>
      <w:r>
        <w:rPr>
          <w:rFonts w:ascii="Arial" w:hAnsi="Arial"/>
          <w:color w:val="525252"/>
          <w:sz w:val="13"/>
        </w:rPr>
        <w:t>It is a time to develop a deep understanding of how Airmen achieve synergistic results and desired effects with their operational capabilities.</w:t>
      </w:r>
    </w:p>
    <w:p>
      <w:pPr>
        <w:spacing w:after="20" w:line="223" w:lineRule="auto"/>
        <w:jc w:val="right"/>
        <w:bidi/>
      </w:pPr>
      <w:r>
        <w:rPr>
          <w:rFonts w:ascii="Arial" w:hAnsi="Arial"/>
          <w:sz w:val="16"/>
        </w:rPr>
        <w:t>110.22  زمانی است که یک نیروی هوایی از قابلیت‌های نظامی استفاده می‌کند، هنرهای عملیاتی و استراتژیک را می‌شناسد، و درک کاملی از قابلیت‌های واحد، USAF، مشترک و ائتلاف دارد.</w:t>
      </w:r>
    </w:p>
    <w:p>
      <w:pPr>
        <w:spacing w:after="28" w:line="216" w:lineRule="auto"/>
        <w:ind w:left="259"/>
        <w:jc w:val="left"/>
      </w:pPr>
      <w:r>
        <w:rPr>
          <w:rFonts w:ascii="Arial" w:hAnsi="Arial"/>
          <w:color w:val="525252"/>
          <w:sz w:val="13"/>
        </w:rPr>
        <w:t>It is a time when an Airman employs military capabilities, understands the operational and strategic arts, and has a thorough understanding of unit, USAF, joint, and coalition capabilities.</w:t>
      </w:r>
    </w:p>
    <w:p>
      <w:pPr>
        <w:spacing w:after="20" w:line="223" w:lineRule="auto"/>
        <w:jc w:val="right"/>
        <w:bidi/>
      </w:pPr>
      <w:r>
        <w:rPr>
          <w:rFonts w:ascii="Arial" w:hAnsi="Arial"/>
          <w:sz w:val="16"/>
        </w:rPr>
        <w:t>110.23  توسعه در سطح چشم انداز استراتژیک شامل دیدگاه سازمانی با درک کامل ساختار و روابط مورد نیاز برای دستیابی به اهداف استراتژیک است.</w:t>
      </w:r>
    </w:p>
    <w:p>
      <w:pPr>
        <w:spacing w:after="28" w:line="216" w:lineRule="auto"/>
        <w:ind w:left="259"/>
        <w:jc w:val="left"/>
      </w:pPr>
      <w:r>
        <w:rPr>
          <w:rFonts w:ascii="Arial" w:hAnsi="Arial"/>
          <w:color w:val="525252"/>
          <w:sz w:val="13"/>
        </w:rPr>
        <w:t>Development at the strategic vision level includes an enterprise perspective with a thorough understanding of the structure and relationships needed to accomplish strategic objectives.</w:t>
      </w:r>
    </w:p>
    <w:p>
      <w:pPr>
        <w:spacing w:after="20" w:line="223" w:lineRule="auto"/>
        <w:jc w:val="right"/>
        <w:bidi/>
      </w:pPr>
      <w:r>
        <w:rPr>
          <w:rFonts w:ascii="Arial" w:hAnsi="Arial"/>
          <w:sz w:val="16"/>
        </w:rPr>
        <w:t>110.24  سطح چشم انداز استراتژیک بر اثراتی که یک هواپیمای می‌تواند در سرتاسر نیروی هوایی ایالات متحده و وزارت دفاع داشته باشد، متمرکز است.</w:t>
      </w:r>
    </w:p>
    <w:p>
      <w:pPr>
        <w:spacing w:after="28" w:line="216" w:lineRule="auto"/>
        <w:ind w:left="259"/>
        <w:jc w:val="left"/>
      </w:pPr>
      <w:r>
        <w:rPr>
          <w:rFonts w:ascii="Arial" w:hAnsi="Arial"/>
          <w:color w:val="525252"/>
          <w:sz w:val="13"/>
        </w:rPr>
        <w:t>The strategic vision level focuses on the effects an Airman can have across the USAF and on the Department of Defense.</w:t>
      </w:r>
    </w:p>
    <w:p>
      <w:pPr>
        <w:spacing w:before="60" w:after="28"/>
        <w:jc w:val="right"/>
        <w:bidi/>
      </w:pPr>
      <w:r>
        <w:rPr>
          <w:b/>
          <w:color w:val="1F4D78"/>
          <w:sz w:val="18"/>
        </w:rPr>
        <w:t>7.3. شایستگی های اصلی</w:t>
      </w:r>
    </w:p>
    <w:p>
      <w:pPr>
        <w:spacing w:after="20"/>
        <w:ind w:left="259"/>
        <w:jc w:val="left"/>
      </w:pPr>
      <w:r>
        <w:rPr>
          <w:color w:val="555555"/>
          <w:sz w:val="12"/>
        </w:rPr>
        <w:t>7.3. Core Competencies</w:t>
      </w:r>
    </w:p>
    <w:p>
      <w:pPr>
        <w:spacing w:after="20" w:line="223" w:lineRule="auto"/>
        <w:jc w:val="right"/>
        <w:bidi/>
      </w:pPr>
      <w:r>
        <w:rPr>
          <w:rFonts w:ascii="Arial" w:hAnsi="Arial"/>
          <w:sz w:val="16"/>
        </w:rPr>
        <w:t>110.26  شایستگی‌های اصلی در مورد مفاهیم تصویر بزرگی هستند که USAF همیشه انجام می‌دهد یا انتظار می‌رود انجام دهد یا بداند.</w:t>
      </w:r>
    </w:p>
    <w:p>
      <w:pPr>
        <w:spacing w:after="28" w:line="216" w:lineRule="auto"/>
        <w:ind w:left="259"/>
        <w:jc w:val="left"/>
      </w:pPr>
      <w:r>
        <w:rPr>
          <w:rFonts w:ascii="Arial" w:hAnsi="Arial"/>
          <w:color w:val="525252"/>
          <w:sz w:val="13"/>
        </w:rPr>
        <w:t>Core competencies are about big picture concepts that the USAF does, or is expected to do or know, all the time.</w:t>
      </w:r>
    </w:p>
    <w:p>
      <w:pPr>
        <w:spacing w:after="20" w:line="223" w:lineRule="auto"/>
        <w:jc w:val="right"/>
        <w:bidi/>
      </w:pPr>
      <w:r>
        <w:rPr>
          <w:rFonts w:ascii="Arial" w:hAnsi="Arial"/>
          <w:sz w:val="16"/>
        </w:rPr>
        <w:t>110.27  شایستگی به این معناست که یک فرد یا سازمان توانایی‌ها یا کیفیت‌های لازم را برای انجام یا عملکرد موفقیت آمیز دارد.</w:t>
      </w:r>
    </w:p>
    <w:p>
      <w:pPr>
        <w:spacing w:after="28" w:line="216" w:lineRule="auto"/>
        <w:ind w:left="259"/>
        <w:jc w:val="left"/>
      </w:pPr>
      <w:r>
        <w:rPr>
          <w:rFonts w:ascii="Arial" w:hAnsi="Arial"/>
          <w:color w:val="525252"/>
          <w:sz w:val="13"/>
        </w:rPr>
        <w:t>Being competent means that a person or organization has the necessary abilities or qualities to perform or function successfully.</w:t>
      </w:r>
    </w:p>
    <w:p>
      <w:pPr>
        <w:spacing w:after="20" w:line="223" w:lineRule="auto"/>
        <w:jc w:val="right"/>
        <w:bidi/>
      </w:pPr>
      <w:r>
        <w:rPr>
          <w:rFonts w:ascii="Arial" w:hAnsi="Arial"/>
          <w:sz w:val="16"/>
        </w:rPr>
        <w:t>110.28  شایستگی‌های اصلی مجموعه‌ای کلیدی از توانایی‌ها یا ویژگی‌ها هستند که در قلب دلیل وجود سازمان قرار دارند.</w:t>
      </w:r>
    </w:p>
    <w:p>
      <w:pPr>
        <w:spacing w:after="28" w:line="216" w:lineRule="auto"/>
        <w:ind w:left="259"/>
        <w:jc w:val="left"/>
      </w:pPr>
      <w:r>
        <w:rPr>
          <w:rFonts w:ascii="Arial" w:hAnsi="Arial"/>
          <w:color w:val="525252"/>
          <w:sz w:val="13"/>
        </w:rPr>
        <w:t>Core competencies are a key set of abilities or qualities at the heart of the organization’s reason for being.</w:t>
      </w:r>
    </w:p>
    <w:p>
      <w:pPr>
        <w:spacing w:after="20" w:line="223" w:lineRule="auto"/>
        <w:jc w:val="right"/>
        <w:bidi/>
      </w:pPr>
      <w:r>
        <w:rPr>
          <w:rFonts w:ascii="Arial" w:hAnsi="Arial"/>
          <w:sz w:val="16"/>
        </w:rPr>
        <w:t>110.29  برای USAF، شایستگی‌های اصلی آن دسته از توانایی‌ها و ویژگی‌های ویژه‌ای هستند که در مجموع از آن برخورداریم که ما را قادر می‌سازد تا با موفقیت عمل کنیم و جلوه‌های نیروی هوایی ایجاد کنیم.</w:t>
      </w:r>
    </w:p>
    <w:p>
      <w:pPr>
        <w:spacing w:after="28" w:line="216" w:lineRule="auto"/>
        <w:ind w:left="259"/>
        <w:jc w:val="left"/>
      </w:pPr>
      <w:r>
        <w:rPr>
          <w:rFonts w:ascii="Arial" w:hAnsi="Arial"/>
          <w:color w:val="525252"/>
          <w:sz w:val="13"/>
        </w:rPr>
        <w:t>For the USAF, core competencies are those special abilities and qualities we collectively possess that enable us to function successfully and create airpower effects.</w:t>
      </w:r>
    </w:p>
    <w:p>
      <w:pPr>
        <w:spacing w:after="20" w:line="223" w:lineRule="auto"/>
        <w:jc w:val="right"/>
        <w:bidi/>
      </w:pPr>
      <w:r>
        <w:rPr>
          <w:rFonts w:ascii="Arial" w:hAnsi="Arial"/>
          <w:sz w:val="16"/>
        </w:rPr>
        <w:t>110.30  برخی از شایستگی‌های اصلی منحصر به USAF هستند</w:t>
      </w:r>
    </w:p>
    <w:p>
      <w:pPr>
        <w:spacing w:after="28" w:line="216" w:lineRule="auto"/>
        <w:ind w:left="259"/>
        <w:jc w:val="left"/>
      </w:pPr>
      <w:r>
        <w:rPr>
          <w:rFonts w:ascii="Arial" w:hAnsi="Arial"/>
          <w:color w:val="525252"/>
          <w:sz w:val="13"/>
        </w:rPr>
        <w:t>Some core competencies are unique to the USAF</w:t>
      </w:r>
    </w:p>
    <w:p>
      <w:r>
        <w:br w:type="page"/>
      </w:r>
    </w:p>
    <w:p>
      <w:pPr>
        <w:spacing w:after="60"/>
        <w:jc w:val="right"/>
        <w:bidi/>
      </w:pPr>
      <w:r>
        <w:rPr>
          <w:rFonts w:ascii="Arial" w:hAnsi="Arial"/>
          <w:b/>
          <w:color w:val="1F4D78"/>
          <w:sz w:val="19"/>
        </w:rPr>
        <w:t>هفتهٔ 111  |  صفحهٔ منبع: 127</w:t>
      </w:r>
    </w:p>
    <w:p>
      <w:pPr>
        <w:spacing w:after="20" w:line="223" w:lineRule="auto"/>
        <w:jc w:val="right"/>
        <w:bidi/>
      </w:pPr>
      <w:r>
        <w:rPr>
          <w:rFonts w:ascii="Arial" w:hAnsi="Arial"/>
          <w:sz w:val="16"/>
        </w:rPr>
        <w:t>111.01  و ما را از خدمات خواهر خود متمایز می‌کند، در حالی که سایر شایستگی‌های اصلی در سراسر شاخه‌های خدمات همسو هستند.</w:t>
      </w:r>
    </w:p>
    <w:p>
      <w:pPr>
        <w:spacing w:after="28" w:line="216" w:lineRule="auto"/>
        <w:ind w:left="259"/>
        <w:jc w:val="left"/>
      </w:pPr>
      <w:r>
        <w:rPr>
          <w:rFonts w:ascii="Arial" w:hAnsi="Arial"/>
          <w:color w:val="525252"/>
          <w:sz w:val="13"/>
        </w:rPr>
        <w:t>and distinguish us from our sister services, while other core competencies are aligned across the branches of service.</w:t>
      </w:r>
    </w:p>
    <w:p>
      <w:pPr>
        <w:spacing w:after="20" w:line="223" w:lineRule="auto"/>
        <w:jc w:val="right"/>
        <w:bidi/>
      </w:pPr>
      <w:r>
        <w:rPr>
          <w:rFonts w:ascii="Arial" w:hAnsi="Arial"/>
          <w:sz w:val="16"/>
        </w:rPr>
        <w:t>111.02  صلاحیت‌های شغلی.</w:t>
      </w:r>
    </w:p>
    <w:p>
      <w:pPr>
        <w:spacing w:after="28" w:line="216" w:lineRule="auto"/>
        <w:ind w:left="259"/>
        <w:jc w:val="left"/>
      </w:pPr>
      <w:r>
        <w:rPr>
          <w:rFonts w:ascii="Arial" w:hAnsi="Arial"/>
          <w:color w:val="525252"/>
          <w:sz w:val="13"/>
        </w:rPr>
        <w:t>Occupational Competencies.</w:t>
      </w:r>
    </w:p>
    <w:p>
      <w:pPr>
        <w:spacing w:after="20" w:line="223" w:lineRule="auto"/>
        <w:jc w:val="right"/>
        <w:bidi/>
      </w:pPr>
      <w:r>
        <w:rPr>
          <w:rFonts w:ascii="Arial" w:hAnsi="Arial"/>
          <w:sz w:val="16"/>
        </w:rPr>
        <w:t>111.03  صلاحیت‌های شغلی برای هوانوردان در یک گروه یا تخصص خاص نیروی کار مورد نیاز است.</w:t>
      </w:r>
    </w:p>
    <w:p>
      <w:pPr>
        <w:spacing w:after="28" w:line="216" w:lineRule="auto"/>
        <w:ind w:left="259"/>
        <w:jc w:val="left"/>
      </w:pPr>
      <w:r>
        <w:rPr>
          <w:rFonts w:ascii="Arial" w:hAnsi="Arial"/>
          <w:color w:val="525252"/>
          <w:sz w:val="13"/>
        </w:rPr>
        <w:t>Occupational competencies are required of Airmen within a specific workforce category or specialty.</w:t>
      </w:r>
    </w:p>
    <w:p>
      <w:pPr>
        <w:spacing w:after="20" w:line="223" w:lineRule="auto"/>
        <w:jc w:val="right"/>
        <w:bidi/>
      </w:pPr>
      <w:r>
        <w:rPr>
          <w:rFonts w:ascii="Arial" w:hAnsi="Arial"/>
          <w:sz w:val="16"/>
        </w:rPr>
        <w:t>111.04  شایستگی‌های شغلی دانش فنی/عملکردی، مهارت‌ها و توانایی‌های مورد نیاز برای انجام موفقیت‌آمیز مأموریت آن وظیفه را توصیف می‌کنند.</w:t>
      </w:r>
    </w:p>
    <w:p>
      <w:pPr>
        <w:spacing w:after="28" w:line="216" w:lineRule="auto"/>
        <w:ind w:left="259"/>
        <w:jc w:val="left"/>
      </w:pPr>
      <w:r>
        <w:rPr>
          <w:rFonts w:ascii="Arial" w:hAnsi="Arial"/>
          <w:color w:val="525252"/>
          <w:sz w:val="13"/>
        </w:rPr>
        <w:t>Occupational competencies describe technical/functional knowledge, skills and abilities needed to perform that function’s mission successfully.</w:t>
      </w:r>
    </w:p>
    <w:p>
      <w:pPr>
        <w:spacing w:after="20" w:line="223" w:lineRule="auto"/>
        <w:jc w:val="right"/>
        <w:bidi/>
      </w:pPr>
      <w:r>
        <w:rPr>
          <w:rFonts w:ascii="Arial" w:hAnsi="Arial"/>
          <w:sz w:val="16"/>
        </w:rPr>
        <w:t>111.05  برای جزئیات بیشتر به AFH ۳۶-۲۶۴۷، کومپتنکی مودلینگ مراجعه کنید.</w:t>
      </w:r>
    </w:p>
    <w:p>
      <w:pPr>
        <w:spacing w:after="28" w:line="216" w:lineRule="auto"/>
        <w:ind w:left="259"/>
        <w:jc w:val="left"/>
      </w:pPr>
      <w:r>
        <w:rPr>
          <w:rFonts w:ascii="Arial" w:hAnsi="Arial"/>
          <w:color w:val="525252"/>
          <w:sz w:val="13"/>
        </w:rPr>
        <w:t>Refer to AFH 36-2647, Competency Modeling, for additional details.</w:t>
      </w:r>
    </w:p>
    <w:p>
      <w:pPr>
        <w:spacing w:after="20" w:line="223" w:lineRule="auto"/>
        <w:jc w:val="right"/>
        <w:bidi/>
      </w:pPr>
      <w:r>
        <w:rPr>
          <w:rFonts w:ascii="Arial" w:hAnsi="Arial"/>
          <w:sz w:val="16"/>
        </w:rPr>
        <w:t>111.06  شایستگی‌های بنیادی عضو نیروی هوایی.</w:t>
      </w:r>
    </w:p>
    <w:p>
      <w:pPr>
        <w:spacing w:after="28" w:line="216" w:lineRule="auto"/>
        <w:ind w:left="259"/>
        <w:jc w:val="left"/>
      </w:pPr>
      <w:r>
        <w:rPr>
          <w:rFonts w:ascii="Arial" w:hAnsi="Arial"/>
          <w:color w:val="525252"/>
          <w:sz w:val="13"/>
        </w:rPr>
        <w:t>Airman’s Foundational Competencies.</w:t>
      </w:r>
    </w:p>
    <w:p>
      <w:pPr>
        <w:spacing w:after="20" w:line="223" w:lineRule="auto"/>
        <w:jc w:val="right"/>
        <w:bidi/>
      </w:pPr>
      <w:r>
        <w:rPr>
          <w:rFonts w:ascii="Arial" w:hAnsi="Arial"/>
          <w:sz w:val="16"/>
        </w:rPr>
        <w:t>111.07  شایستگی‌های بنیادی، نیروهای هوایی را آماده می‌کند تا در وسیع‌ترین مجموعه وظایف و الزامات USAF با موفقیت عمل کنند و در یک محیط عملیاتی دائما در حال تغییر وفق دهند.</w:t>
      </w:r>
    </w:p>
    <w:p>
      <w:pPr>
        <w:spacing w:after="28" w:line="216" w:lineRule="auto"/>
        <w:ind w:left="259"/>
        <w:jc w:val="left"/>
      </w:pPr>
      <w:r>
        <w:rPr>
          <w:rFonts w:ascii="Arial" w:hAnsi="Arial"/>
          <w:color w:val="525252"/>
          <w:sz w:val="13"/>
        </w:rPr>
        <w:t>Foundational competencies prepare Airmen to operate successfully across the widest array of USAF tasks and requirements, and to adapt in a constantly changing operational environment.</w:t>
      </w:r>
    </w:p>
    <w:p>
      <w:pPr>
        <w:spacing w:after="20" w:line="223" w:lineRule="auto"/>
        <w:jc w:val="right"/>
        <w:bidi/>
      </w:pPr>
      <w:r>
        <w:rPr>
          <w:rFonts w:ascii="Arial" w:hAnsi="Arial"/>
          <w:sz w:val="16"/>
        </w:rPr>
        <w:t>111.08  آنها به‌طور گسترده در میان اعضای USAF (خدمت سرباز، افسر و غیرنظامی) قابل استفاده هستند، همه مشاغل، عملکردها و سطوح سازمانی را در بر می‌گیرند و چارچوبی را برای توسعه نیرو در USAF تشکیل می‌دهند.</w:t>
      </w:r>
    </w:p>
    <w:p>
      <w:pPr>
        <w:spacing w:after="28" w:line="216" w:lineRule="auto"/>
        <w:ind w:left="259"/>
        <w:jc w:val="left"/>
      </w:pPr>
      <w:r>
        <w:rPr>
          <w:rFonts w:ascii="Arial" w:hAnsi="Arial"/>
          <w:color w:val="525252"/>
          <w:sz w:val="13"/>
        </w:rPr>
        <w:t>They are broadly applicable across (enlisted, officer, and civilian) USAF members, spanning all occupations, functions, and organizational levels, and form the framework for force development in the USAF.</w:t>
      </w:r>
    </w:p>
    <w:p>
      <w:pPr>
        <w:spacing w:after="20" w:line="223" w:lineRule="auto"/>
        <w:jc w:val="right"/>
        <w:bidi/>
      </w:pPr>
      <w:r>
        <w:rPr>
          <w:rFonts w:ascii="Arial" w:hAnsi="Arial"/>
          <w:sz w:val="16"/>
        </w:rPr>
        <w:t>111.09  شایستگی‌های بنیادی، الگوهای قابل مشاهده و اندازه‌گیری از دانش، مهارت‌ها و توانایی‌های مورد نیاز برای انجام موفقیت‌آمیز در سراسر یک حرفه USAF هستند.</w:t>
      </w:r>
    </w:p>
    <w:p>
      <w:pPr>
        <w:spacing w:after="28" w:line="216" w:lineRule="auto"/>
        <w:ind w:left="259"/>
        <w:jc w:val="left"/>
      </w:pPr>
      <w:r>
        <w:rPr>
          <w:rFonts w:ascii="Arial" w:hAnsi="Arial"/>
          <w:color w:val="525252"/>
          <w:sz w:val="13"/>
        </w:rPr>
        <w:t>Foundational competencies are observable, measurable patterns of knowledge, skills and abilities needed to perform successfully across a USAF career.</w:t>
      </w:r>
    </w:p>
    <w:p>
      <w:pPr>
        <w:spacing w:after="20" w:line="223" w:lineRule="auto"/>
        <w:jc w:val="right"/>
        <w:bidi/>
      </w:pPr>
      <w:r>
        <w:rPr>
          <w:rFonts w:ascii="Arial" w:hAnsi="Arial"/>
          <w:sz w:val="16"/>
        </w:rPr>
        <w:t>111.10  شایستگی‌های بنیادی پایدار هستند و ویژگی هایی را در بر می‌گیرند که USAF معتقد است برای موفقیت مأموریت حیاتی هستند.</w:t>
      </w:r>
    </w:p>
    <w:p>
      <w:pPr>
        <w:spacing w:after="28" w:line="216" w:lineRule="auto"/>
        <w:ind w:left="259"/>
        <w:jc w:val="left"/>
      </w:pPr>
      <w:r>
        <w:rPr>
          <w:rFonts w:ascii="Arial" w:hAnsi="Arial"/>
          <w:color w:val="525252"/>
          <w:sz w:val="13"/>
        </w:rPr>
        <w:t>The Foundational competencies are enduring and encompass attributes the USAF believes are critical to mission success.</w:t>
      </w:r>
    </w:p>
    <w:p>
      <w:pPr>
        <w:spacing w:after="20" w:line="223" w:lineRule="auto"/>
        <w:jc w:val="right"/>
        <w:bidi/>
      </w:pPr>
      <w:r>
        <w:rPr>
          <w:rFonts w:ascii="Arial" w:hAnsi="Arial"/>
          <w:sz w:val="16"/>
        </w:rPr>
        <w:t>111.11  شایستگی‌های بنیادی به چهار دسته عمده تقسیم می‌شوند: توسعه خود، توسعه دیگران، توسعه ایده‌ها و توسعه سازمان‌ها.</w:t>
      </w:r>
    </w:p>
    <w:p>
      <w:pPr>
        <w:spacing w:after="28" w:line="216" w:lineRule="auto"/>
        <w:ind w:left="259"/>
        <w:jc w:val="left"/>
      </w:pPr>
      <w:r>
        <w:rPr>
          <w:rFonts w:ascii="Arial" w:hAnsi="Arial"/>
          <w:color w:val="525252"/>
          <w:sz w:val="13"/>
        </w:rPr>
        <w:t>The Foundational competencies are grouped into four major categories: Developing Self, Developing Others, Developing Ideas, and Developing Organizations.</w:t>
      </w:r>
    </w:p>
    <w:p>
      <w:pPr>
        <w:spacing w:after="20" w:line="223" w:lineRule="auto"/>
        <w:jc w:val="right"/>
        <w:bidi/>
      </w:pPr>
      <w:r>
        <w:rPr>
          <w:rFonts w:ascii="Arial" w:hAnsi="Arial"/>
          <w:sz w:val="16"/>
        </w:rPr>
        <w:t>111.12  به هر یک از این دسته‌های شایستگی در فصل‌های بعدی AFH ۱ پرداخته شده است.</w:t>
      </w:r>
    </w:p>
    <w:p>
      <w:pPr>
        <w:spacing w:after="28" w:line="216" w:lineRule="auto"/>
        <w:ind w:left="259"/>
        <w:jc w:val="left"/>
      </w:pPr>
      <w:r>
        <w:rPr>
          <w:rFonts w:ascii="Arial" w:hAnsi="Arial"/>
          <w:color w:val="525252"/>
          <w:sz w:val="13"/>
        </w:rPr>
        <w:t>Each of these competency categories is addressed in subsequent chapters of AFH 1.</w:t>
      </w:r>
    </w:p>
    <w:p>
      <w:pPr>
        <w:spacing w:after="20" w:line="223" w:lineRule="auto"/>
        <w:jc w:val="right"/>
        <w:bidi/>
      </w:pPr>
      <w:r>
        <w:rPr>
          <w:rFonts w:ascii="Arial" w:hAnsi="Arial"/>
          <w:sz w:val="16"/>
        </w:rPr>
        <w:t>111.13  برای جزئیات بیشتر به AFH ۳۶-۲۶۴۷، کومپتنکی مودلینگ مراجعه کنید.</w:t>
      </w:r>
    </w:p>
    <w:p>
      <w:pPr>
        <w:spacing w:after="28" w:line="216" w:lineRule="auto"/>
        <w:ind w:left="259"/>
        <w:jc w:val="left"/>
      </w:pPr>
      <w:r>
        <w:rPr>
          <w:rFonts w:ascii="Arial" w:hAnsi="Arial"/>
          <w:color w:val="525252"/>
          <w:sz w:val="13"/>
        </w:rPr>
        <w:t>Refer to AFH 36-2647, Competency Modeling, for additional details.</w:t>
      </w:r>
    </w:p>
    <w:p>
      <w:r>
        <w:br w:type="page"/>
      </w:r>
    </w:p>
    <w:p>
      <w:pPr>
        <w:spacing w:after="60"/>
        <w:jc w:val="right"/>
        <w:bidi/>
      </w:pPr>
      <w:r>
        <w:rPr>
          <w:rFonts w:ascii="Arial" w:hAnsi="Arial"/>
          <w:b/>
          <w:color w:val="1F4D78"/>
          <w:sz w:val="19"/>
        </w:rPr>
        <w:t>هفتهٔ 112  |  صفحهٔ منبع: 128</w:t>
      </w:r>
    </w:p>
    <w:p>
      <w:pPr>
        <w:spacing w:before="60" w:after="28"/>
        <w:jc w:val="right"/>
        <w:bidi/>
      </w:pPr>
      <w:r>
        <w:rPr>
          <w:b/>
          <w:color w:val="1F4D78"/>
          <w:sz w:val="18"/>
        </w:rPr>
        <w:t>بخش 7B-ساختار نیروی اعزامی</w:t>
      </w:r>
    </w:p>
    <w:p>
      <w:pPr>
        <w:spacing w:after="20"/>
        <w:ind w:left="259"/>
        <w:jc w:val="left"/>
      </w:pPr>
      <w:r>
        <w:rPr>
          <w:color w:val="555555"/>
          <w:sz w:val="12"/>
        </w:rPr>
        <w:t>Section 7B—Enlisted Force Structure</w:t>
      </w:r>
    </w:p>
    <w:p>
      <w:pPr>
        <w:spacing w:before="60" w:after="28"/>
        <w:jc w:val="right"/>
        <w:bidi/>
      </w:pPr>
      <w:r>
        <w:rPr>
          <w:b/>
          <w:color w:val="1F4D78"/>
          <w:sz w:val="18"/>
        </w:rPr>
        <w:t>7.4. چارچوب ساختار نیروی فهرست شده</w:t>
      </w:r>
    </w:p>
    <w:p>
      <w:pPr>
        <w:spacing w:after="20"/>
        <w:ind w:left="259"/>
        <w:jc w:val="left"/>
      </w:pPr>
      <w:r>
        <w:rPr>
          <w:color w:val="555555"/>
          <w:sz w:val="12"/>
        </w:rPr>
        <w:t>7.4. Enlisted Force Structure Framework</w:t>
      </w:r>
    </w:p>
    <w:p>
      <w:pPr>
        <w:spacing w:after="20" w:line="223" w:lineRule="auto"/>
        <w:jc w:val="right"/>
        <w:bidi/>
      </w:pPr>
      <w:r>
        <w:rPr>
          <w:rFonts w:ascii="Arial" w:hAnsi="Arial"/>
          <w:sz w:val="16"/>
        </w:rPr>
        <w:t>112.03  برای استفاده بهینه از منابع خود، باید مجموعه‌ای منسجم و کاملا تعریف شده از انتظارات، استانداردها و فرصت‌های رشد برای همه هوانوردان، صرف نظر از رتبه یا تخصص، داشته باشیم.</w:t>
      </w:r>
    </w:p>
    <w:p>
      <w:pPr>
        <w:spacing w:after="28" w:line="216" w:lineRule="auto"/>
        <w:ind w:left="259"/>
        <w:jc w:val="left"/>
      </w:pPr>
      <w:r>
        <w:rPr>
          <w:rFonts w:ascii="Arial" w:hAnsi="Arial"/>
          <w:color w:val="525252"/>
          <w:sz w:val="13"/>
        </w:rPr>
        <w:t>To best leverage our resources, we must have a consistent, well-defined set of expectations, standards, and growth opportunities for all Airmen, regardless of rank or specialty.</w:t>
      </w:r>
    </w:p>
    <w:p>
      <w:pPr>
        <w:spacing w:after="20" w:line="223" w:lineRule="auto"/>
        <w:jc w:val="right"/>
        <w:bidi/>
      </w:pPr>
      <w:r>
        <w:rPr>
          <w:rFonts w:ascii="Arial" w:hAnsi="Arial"/>
          <w:sz w:val="16"/>
        </w:rPr>
        <w:t>112.04  ساختار نیروی استخدام شده نیاز قانع کننده به یک رویکرد عمدی و مشترک برای توسعه نیرو، پیشرفت شغلی، افزایش مسئولیت‌های نظارتی و رهبری را برآورده می‌کند.</w:t>
      </w:r>
    </w:p>
    <w:p>
      <w:pPr>
        <w:spacing w:after="28" w:line="216" w:lineRule="auto"/>
        <w:ind w:left="259"/>
        <w:jc w:val="left"/>
      </w:pPr>
      <w:r>
        <w:rPr>
          <w:rFonts w:ascii="Arial" w:hAnsi="Arial"/>
          <w:color w:val="525252"/>
          <w:sz w:val="13"/>
        </w:rPr>
        <w:t>The enlisted force structure fulfills a compelling need for a deliberate and common approach to force development, career progression, increased supervisory, and leadership responsibilities.</w:t>
      </w:r>
    </w:p>
    <w:p>
      <w:pPr>
        <w:spacing w:after="20" w:line="223" w:lineRule="auto"/>
        <w:jc w:val="right"/>
        <w:bidi/>
      </w:pPr>
      <w:r>
        <w:rPr>
          <w:rFonts w:ascii="Arial" w:hAnsi="Arial"/>
          <w:sz w:val="16"/>
        </w:rPr>
        <w:t>112.05  ساختار نیروی فهرست‌شده چارچوبی را فراهم می‌کند تا ضمن توسعه شایستگی‌های اساسی و شغلی، به بهترین شکل نیازهای مأموریت را برآورده کند.</w:t>
      </w:r>
    </w:p>
    <w:p>
      <w:pPr>
        <w:spacing w:after="28" w:line="216" w:lineRule="auto"/>
        <w:ind w:left="259"/>
        <w:jc w:val="left"/>
      </w:pPr>
      <w:r>
        <w:rPr>
          <w:rFonts w:ascii="Arial" w:hAnsi="Arial"/>
          <w:color w:val="525252"/>
          <w:sz w:val="13"/>
        </w:rPr>
        <w:t>The enlisted force structure provides the framework to best meet mission requirements while developing foundational and occupational competencies.</w:t>
      </w:r>
    </w:p>
    <w:p>
      <w:pPr>
        <w:spacing w:after="20" w:line="223" w:lineRule="auto"/>
        <w:jc w:val="right"/>
        <w:bidi/>
      </w:pPr>
      <w:r>
        <w:rPr>
          <w:rFonts w:ascii="Arial" w:hAnsi="Arial"/>
          <w:sz w:val="16"/>
        </w:rPr>
        <w:t>112.06  از سه سطح مجزا و مجزا تشکیل شده است که هر کدام با افزایش سطح تحصیلات، آموزش و تجربه مرتبط هستند که سطوح فزاینده‌ای از مهارت، رهبری و مسئولیت‌های مدیریتی را ایجاد می‌کنند.</w:t>
      </w:r>
    </w:p>
    <w:p>
      <w:pPr>
        <w:spacing w:after="28" w:line="216" w:lineRule="auto"/>
        <w:ind w:left="259"/>
        <w:jc w:val="left"/>
      </w:pPr>
      <w:r>
        <w:rPr>
          <w:rFonts w:ascii="Arial" w:hAnsi="Arial"/>
          <w:color w:val="525252"/>
          <w:sz w:val="13"/>
        </w:rPr>
        <w:t>It is comprised of three distinct and separate tiers, each correlating to increased levels of education, training, and experience, which build increasing levels of proficiency, leadership, and managerial responsibilities.</w:t>
      </w:r>
    </w:p>
    <w:p>
      <w:pPr>
        <w:spacing w:before="60" w:after="28"/>
        <w:jc w:val="right"/>
        <w:bidi/>
      </w:pPr>
      <w:r>
        <w:rPr>
          <w:b/>
          <w:color w:val="1F4D78"/>
          <w:sz w:val="18"/>
        </w:rPr>
        <w:t>7.5. ردیف سربازان جوان</w:t>
      </w:r>
    </w:p>
    <w:p>
      <w:pPr>
        <w:spacing w:after="20"/>
        <w:ind w:left="259"/>
        <w:jc w:val="left"/>
      </w:pPr>
      <w:r>
        <w:rPr>
          <w:color w:val="555555"/>
          <w:sz w:val="12"/>
        </w:rPr>
        <w:t>7.5. Junior Enlisted Tier</w:t>
      </w:r>
    </w:p>
    <w:p>
      <w:pPr>
        <w:spacing w:after="20" w:line="223" w:lineRule="auto"/>
        <w:jc w:val="right"/>
        <w:bidi/>
      </w:pPr>
      <w:r>
        <w:rPr>
          <w:rFonts w:ascii="Arial" w:hAnsi="Arial"/>
          <w:sz w:val="16"/>
        </w:rPr>
        <w:t>112.08  ردیف سربازی جوان شامل درجات: عضو نیروی هوایی باسیک، عضو نیروی هوایی، عضو نیروی هوایی فیرست کلاسس و سنیور عضو نیروی هوایی است.</w:t>
      </w:r>
    </w:p>
    <w:p>
      <w:pPr>
        <w:spacing w:after="28" w:line="216" w:lineRule="auto"/>
        <w:ind w:left="259"/>
        <w:jc w:val="left"/>
      </w:pPr>
      <w:r>
        <w:rPr>
          <w:rFonts w:ascii="Arial" w:hAnsi="Arial"/>
          <w:color w:val="525252"/>
          <w:sz w:val="13"/>
        </w:rPr>
        <w:t>The junior enlisted tier consists of the ranks: Airman Basic, Airman, Airman First Class, and Senior Airman.</w:t>
      </w:r>
    </w:p>
    <w:p>
      <w:pPr>
        <w:spacing w:after="20" w:line="223" w:lineRule="auto"/>
        <w:jc w:val="right"/>
        <w:bidi/>
      </w:pPr>
      <w:r>
        <w:rPr>
          <w:rFonts w:ascii="Arial" w:hAnsi="Arial"/>
          <w:sz w:val="16"/>
        </w:rPr>
        <w:t>112.09  الحاقات اولیه ثبت‌نام شده در این ردیف وارد USAF می‌شوند و با شایستگی‌های اساسی آشنا می‌شوند.</w:t>
      </w:r>
    </w:p>
    <w:p>
      <w:pPr>
        <w:spacing w:after="28" w:line="216" w:lineRule="auto"/>
        <w:ind w:left="259"/>
        <w:jc w:val="left"/>
      </w:pPr>
      <w:r>
        <w:rPr>
          <w:rFonts w:ascii="Arial" w:hAnsi="Arial"/>
          <w:color w:val="525252"/>
          <w:sz w:val="13"/>
        </w:rPr>
        <w:t>Initial enlisted accessions enter the USAF in this tier and are introduced to the foundational competencies.</w:t>
      </w:r>
    </w:p>
    <w:p>
      <w:pPr>
        <w:spacing w:after="20" w:line="223" w:lineRule="auto"/>
        <w:jc w:val="right"/>
        <w:bidi/>
      </w:pPr>
      <w:r>
        <w:rPr>
          <w:rFonts w:ascii="Arial" w:hAnsi="Arial"/>
          <w:sz w:val="16"/>
        </w:rPr>
        <w:t>112.10  آنها بر انطباق با ارتش، بودن بخشی از حرفهٔ نظامی، دستیابی به مهارت شغلی و یادگیری اعضای سازنده نیروهای USAF تمرکز می‌کنند.</w:t>
      </w:r>
    </w:p>
    <w:p>
      <w:pPr>
        <w:spacing w:after="28" w:line="216" w:lineRule="auto"/>
        <w:ind w:left="259"/>
        <w:jc w:val="left"/>
      </w:pPr>
      <w:r>
        <w:rPr>
          <w:rFonts w:ascii="Arial" w:hAnsi="Arial"/>
          <w:color w:val="525252"/>
          <w:sz w:val="13"/>
        </w:rPr>
        <w:t>They focus on adapting to the military, being part of the profession of arms, achieving occupational proficiency, and learning to be productive members of the USAF.</w:t>
      </w:r>
    </w:p>
    <w:p>
      <w:pPr>
        <w:spacing w:after="20" w:line="223" w:lineRule="auto"/>
        <w:jc w:val="right"/>
        <w:bidi/>
      </w:pPr>
      <w:r>
        <w:rPr>
          <w:rFonts w:ascii="Arial" w:hAnsi="Arial"/>
          <w:sz w:val="16"/>
        </w:rPr>
        <w:t>112.11  در این ردیف، هوانوردان آموزش دیده، واجد شرایط و آماده انجام عملیات در ایستگاه خانگی و در یک محیط اعزامی هستند و برای افزایش مسئولیت‌ها آماده می‌شوند.</w:t>
      </w:r>
    </w:p>
    <w:p>
      <w:pPr>
        <w:spacing w:after="28" w:line="216" w:lineRule="auto"/>
        <w:ind w:left="259"/>
        <w:jc w:val="left"/>
      </w:pPr>
      <w:r>
        <w:rPr>
          <w:rFonts w:ascii="Arial" w:hAnsi="Arial"/>
          <w:color w:val="525252"/>
          <w:sz w:val="13"/>
        </w:rPr>
        <w:t>In this tier, Airmen are trained, qualified, and ready to operate at home station and in an expeditionary environment, and they prepare for increased responsibilities.</w:t>
      </w:r>
    </w:p>
    <w:p>
      <w:pPr>
        <w:spacing w:after="20" w:line="223" w:lineRule="auto"/>
        <w:jc w:val="right"/>
        <w:bidi/>
      </w:pPr>
      <w:r>
        <w:rPr>
          <w:rFonts w:ascii="Arial" w:hAnsi="Arial"/>
          <w:sz w:val="16"/>
        </w:rPr>
        <w:t>112.12  هوانوردان درجه‌دار جوان در اوایل حرفه خود از طریق پیوسته پرواز ۱۰۰ (BMT)، ۲۰۰ (آموزش فنی) و ۳۰۰ (مرکز هوانوردی ترم اول) پیشرفت خواهند کرد.</w:t>
      </w:r>
    </w:p>
    <w:p>
      <w:pPr>
        <w:spacing w:after="28" w:line="216" w:lineRule="auto"/>
        <w:ind w:left="259"/>
        <w:jc w:val="left"/>
      </w:pPr>
      <w:r>
        <w:rPr>
          <w:rFonts w:ascii="Arial" w:hAnsi="Arial"/>
          <w:color w:val="525252"/>
          <w:sz w:val="13"/>
        </w:rPr>
        <w:t>Junior enlisted Airmen will progress early in their career through the Airmanship Continuum of 100 (BMT), 200 (Technical Training) and 300 (First-Term Airmen Center).</w:t>
      </w:r>
    </w:p>
    <w:p>
      <w:pPr>
        <w:spacing w:after="20" w:line="223" w:lineRule="auto"/>
        <w:jc w:val="right"/>
        <w:bidi/>
      </w:pPr>
      <w:r>
        <w:rPr>
          <w:rFonts w:ascii="Arial" w:hAnsi="Arial"/>
          <w:sz w:val="16"/>
        </w:rPr>
        <w:t>112.13  هوانیروز پایه و تازه استخدام شده.</w:t>
      </w:r>
    </w:p>
    <w:p>
      <w:pPr>
        <w:spacing w:after="28" w:line="216" w:lineRule="auto"/>
        <w:ind w:left="259"/>
        <w:jc w:val="left"/>
      </w:pPr>
      <w:r>
        <w:rPr>
          <w:rFonts w:ascii="Arial" w:hAnsi="Arial"/>
          <w:color w:val="525252"/>
          <w:sz w:val="13"/>
        </w:rPr>
        <w:t>Airman Basic and Newly Enlisted Airmen.</w:t>
      </w:r>
    </w:p>
    <w:p>
      <w:pPr>
        <w:spacing w:after="20" w:line="223" w:lineRule="auto"/>
        <w:jc w:val="right"/>
        <w:bidi/>
      </w:pPr>
      <w:r>
        <w:rPr>
          <w:rFonts w:ascii="Arial" w:hAnsi="Arial"/>
          <w:sz w:val="16"/>
        </w:rPr>
        <w:t>112.14  نیروهای هوایی باسیک و همچنین افرادی که در ابتدا به‌عنوان عضو نیروی هوایی یا عضو نیروی هوایی فیرست کلاسس در USAF نام نویسی می‌کنند، در درجه اول با حرفه نظامی تطبیق داده می‌شوند، دانش استانداردهای USAF، آداب و رسوم، ادب و همچنین تلاش برای دستیابی به مهارت‌های شغلی تحت نظارت دقیق را کسب می‌کنند.</w:t>
      </w:r>
    </w:p>
    <w:p>
      <w:pPr>
        <w:spacing w:after="28" w:line="216" w:lineRule="auto"/>
        <w:ind w:left="259"/>
        <w:jc w:val="left"/>
      </w:pPr>
      <w:r>
        <w:rPr>
          <w:rFonts w:ascii="Arial" w:hAnsi="Arial"/>
          <w:color w:val="525252"/>
          <w:sz w:val="13"/>
        </w:rPr>
        <w:t>Airmen Basic, as well as Airmen who initially enlist in the USAF as Airman or Airman First Class, are primarily adapting to the military profession, acquiring knowledge of USAF standards, customs, courtesies, as well as striving to attain occupational proficiency under close supervision.</w:t>
      </w:r>
    </w:p>
    <w:p>
      <w:pPr>
        <w:spacing w:after="20" w:line="223" w:lineRule="auto"/>
        <w:jc w:val="right"/>
        <w:bidi/>
      </w:pPr>
      <w:r>
        <w:rPr>
          <w:rFonts w:ascii="Arial" w:hAnsi="Arial"/>
          <w:sz w:val="16"/>
        </w:rPr>
        <w:t>112.15  مخفف نوشتاری عضو نیروی هوایی باسیک "AB" و اصطلاح رسمی آدرس "عضو نیروی هوایی باسیک" یا "عضو نیروی هوایی" است. خلبان.</w:t>
      </w:r>
    </w:p>
    <w:p>
      <w:pPr>
        <w:spacing w:after="28" w:line="216" w:lineRule="auto"/>
        <w:ind w:left="259"/>
        <w:jc w:val="left"/>
      </w:pPr>
      <w:r>
        <w:rPr>
          <w:rFonts w:ascii="Arial" w:hAnsi="Arial"/>
          <w:color w:val="525252"/>
          <w:sz w:val="13"/>
        </w:rPr>
        <w:t>The written abbreviation for Airman Basic is “AB” and the official term of address is “Airman Basic” or “Airman.” Airman.</w:t>
      </w:r>
    </w:p>
    <w:p>
      <w:pPr>
        <w:spacing w:after="20" w:line="223" w:lineRule="auto"/>
        <w:jc w:val="right"/>
        <w:bidi/>
      </w:pPr>
      <w:r>
        <w:rPr>
          <w:rFonts w:ascii="Arial" w:hAnsi="Arial"/>
          <w:sz w:val="16"/>
        </w:rPr>
        <w:t>112.16  هوانوردان به یادگیری و انطباق با حرفه نظامی ادامه می‌دهند و انتظار می‌رود استانداردها، آداب و رسوم و ادب نظامی را درک کرده و با آنها مطابقت داشته باشند.</w:t>
      </w:r>
    </w:p>
    <w:p>
      <w:pPr>
        <w:spacing w:after="28" w:line="216" w:lineRule="auto"/>
        <w:ind w:left="259"/>
        <w:jc w:val="left"/>
      </w:pPr>
      <w:r>
        <w:rPr>
          <w:rFonts w:ascii="Arial" w:hAnsi="Arial"/>
          <w:color w:val="525252"/>
          <w:sz w:val="13"/>
        </w:rPr>
        <w:t>Airmen continue learning and adapting to the military profession and are expected to understand and conform to military standards, customs, and courtesies.</w:t>
      </w:r>
    </w:p>
    <w:p>
      <w:pPr>
        <w:spacing w:after="20" w:line="223" w:lineRule="auto"/>
        <w:jc w:val="right"/>
        <w:bidi/>
      </w:pPr>
      <w:r>
        <w:rPr>
          <w:rFonts w:ascii="Arial" w:hAnsi="Arial"/>
          <w:sz w:val="16"/>
        </w:rPr>
        <w:t>112.17  یک عضو نیروی هوایی شروع به نشان دادن مهارت شغلی در وظایف اساسی می‌کند و همچنان به نظارت و حمایت قابل توجهی نیاز دارد.</w:t>
      </w:r>
    </w:p>
    <w:p>
      <w:pPr>
        <w:spacing w:after="28" w:line="216" w:lineRule="auto"/>
        <w:ind w:left="259"/>
        <w:jc w:val="left"/>
      </w:pPr>
      <w:r>
        <w:rPr>
          <w:rFonts w:ascii="Arial" w:hAnsi="Arial"/>
          <w:color w:val="525252"/>
          <w:sz w:val="13"/>
        </w:rPr>
        <w:t>An Airman begins to show occupational proficiency at basic tasks and still requires significant supervision and support.</w:t>
      </w:r>
    </w:p>
    <w:p>
      <w:pPr>
        <w:spacing w:after="20" w:line="223" w:lineRule="auto"/>
        <w:jc w:val="right"/>
        <w:bidi/>
      </w:pPr>
      <w:r>
        <w:rPr>
          <w:rFonts w:ascii="Arial" w:hAnsi="Arial"/>
          <w:sz w:val="16"/>
        </w:rPr>
        <w:t>112.18  مخفف نوشته شده "امن" و اصطلاح رسمی آدرس "عضو نیروی هوایی" است. هواپیمای درجه یک.</w:t>
      </w:r>
    </w:p>
    <w:p>
      <w:pPr>
        <w:spacing w:after="28" w:line="216" w:lineRule="auto"/>
        <w:ind w:left="259"/>
        <w:jc w:val="left"/>
      </w:pPr>
      <w:r>
        <w:rPr>
          <w:rFonts w:ascii="Arial" w:hAnsi="Arial"/>
          <w:color w:val="525252"/>
          <w:sz w:val="13"/>
        </w:rPr>
        <w:t>The written abbreviation is “Amn,” and the official term of address is “Airman.” Airman First Class.</w:t>
      </w:r>
    </w:p>
    <w:p>
      <w:pPr>
        <w:spacing w:after="20" w:line="223" w:lineRule="auto"/>
        <w:jc w:val="right"/>
        <w:bidi/>
      </w:pPr>
      <w:r>
        <w:rPr>
          <w:rFonts w:ascii="Arial" w:hAnsi="Arial"/>
          <w:sz w:val="16"/>
        </w:rPr>
        <w:t>112.19  نیروهای هوایی فیرست کلاسس به‌طور کامل با استانداردهای USAF مطابقت دارد و زمانی را به افزایش مهارت‌ها در رسته‌های شغلی و حرفه نظامی خود اختصاص می‌دهد و در عین حال به اعضای مؤثر تیم تبدیل می‌شود.</w:t>
      </w:r>
    </w:p>
    <w:p>
      <w:pPr>
        <w:spacing w:after="28" w:line="216" w:lineRule="auto"/>
        <w:ind w:left="259"/>
        <w:jc w:val="left"/>
      </w:pPr>
      <w:r>
        <w:rPr>
          <w:rFonts w:ascii="Arial" w:hAnsi="Arial"/>
          <w:color w:val="525252"/>
          <w:sz w:val="13"/>
        </w:rPr>
        <w:t>Airmen First Class fully comply with USAF standards and devote time to increasing skills in their career fields and the military profession while becoming effective team members.</w:t>
      </w:r>
    </w:p>
    <w:p>
      <w:pPr>
        <w:spacing w:after="20" w:line="223" w:lineRule="auto"/>
        <w:jc w:val="right"/>
        <w:bidi/>
      </w:pPr>
      <w:r>
        <w:rPr>
          <w:rFonts w:ascii="Arial" w:hAnsi="Arial"/>
          <w:sz w:val="16"/>
        </w:rPr>
        <w:t>112.20  برای عضو نیروی هوایی فیرست کلاسس، نظارت مستمر برای رشد مداوم شغلی و حرفه‌ای ضروری است.</w:t>
      </w:r>
    </w:p>
    <w:p>
      <w:pPr>
        <w:spacing w:after="28" w:line="216" w:lineRule="auto"/>
        <w:ind w:left="259"/>
        <w:jc w:val="left"/>
      </w:pPr>
      <w:r>
        <w:rPr>
          <w:rFonts w:ascii="Arial" w:hAnsi="Arial"/>
          <w:color w:val="525252"/>
          <w:sz w:val="13"/>
        </w:rPr>
        <w:t>For the Airman First Class, continued supervision is essential to ongoing occupational and professional growth.</w:t>
      </w:r>
    </w:p>
    <w:p>
      <w:pPr>
        <w:spacing w:after="20" w:line="223" w:lineRule="auto"/>
        <w:jc w:val="right"/>
        <w:bidi/>
      </w:pPr>
      <w:r>
        <w:rPr>
          <w:rFonts w:ascii="Arial" w:hAnsi="Arial"/>
          <w:sz w:val="16"/>
        </w:rPr>
        <w:t>112.21  به‌طور معمول، سطح ۵ مهارت در این درجه به دست می‌آید.</w:t>
      </w:r>
    </w:p>
    <w:p>
      <w:pPr>
        <w:spacing w:after="28" w:line="216" w:lineRule="auto"/>
        <w:ind w:left="259"/>
        <w:jc w:val="left"/>
      </w:pPr>
      <w:r>
        <w:rPr>
          <w:rFonts w:ascii="Arial" w:hAnsi="Arial"/>
          <w:color w:val="525252"/>
          <w:sz w:val="13"/>
        </w:rPr>
        <w:t>Typically, the 5-skill level is earned at this grade.</w:t>
      </w:r>
    </w:p>
    <w:p>
      <w:pPr>
        <w:spacing w:after="20" w:line="223" w:lineRule="auto"/>
        <w:jc w:val="right"/>
        <w:bidi/>
      </w:pPr>
      <w:r>
        <w:rPr>
          <w:rFonts w:ascii="Arial" w:hAnsi="Arial"/>
          <w:sz w:val="16"/>
        </w:rPr>
        <w:t>112.22  مخفف نوشته شده "ا۱ک" و اصطلاح رسمی آدرس "عضو نیروی هوایی فیرست کلاسس" یا "عضو نیروی هوایی" است. خلبان ارشد.</w:t>
      </w:r>
    </w:p>
    <w:p>
      <w:pPr>
        <w:spacing w:after="28" w:line="216" w:lineRule="auto"/>
        <w:ind w:left="259"/>
        <w:jc w:val="left"/>
      </w:pPr>
      <w:r>
        <w:rPr>
          <w:rFonts w:ascii="Arial" w:hAnsi="Arial"/>
          <w:color w:val="525252"/>
          <w:sz w:val="13"/>
        </w:rPr>
        <w:t>The written abbreviation is “A1C,” and the official term of address is “Airman First Class” or “Airman.” Senior Airman.</w:t>
      </w:r>
    </w:p>
    <w:p>
      <w:pPr>
        <w:spacing w:after="20" w:line="223" w:lineRule="auto"/>
        <w:jc w:val="right"/>
        <w:bidi/>
      </w:pPr>
      <w:r>
        <w:rPr>
          <w:rFonts w:ascii="Arial" w:hAnsi="Arial"/>
          <w:sz w:val="16"/>
        </w:rPr>
        <w:t>112.23  هوانوردان ارشد معمولا به‌عنوان تکنسین‌ها و مربیان ماهر فعالیت می‌کنند.</w:t>
      </w:r>
    </w:p>
    <w:p>
      <w:pPr>
        <w:spacing w:after="28" w:line="216" w:lineRule="auto"/>
        <w:ind w:left="259"/>
        <w:jc w:val="left"/>
      </w:pPr>
      <w:r>
        <w:rPr>
          <w:rFonts w:ascii="Arial" w:hAnsi="Arial"/>
          <w:color w:val="525252"/>
          <w:sz w:val="13"/>
        </w:rPr>
        <w:t>Senior Airmen commonly perform as skilled technicians and trainers.</w:t>
      </w:r>
    </w:p>
    <w:p>
      <w:pPr>
        <w:spacing w:after="20" w:line="223" w:lineRule="auto"/>
        <w:jc w:val="right"/>
        <w:bidi/>
      </w:pPr>
      <w:r>
        <w:rPr>
          <w:rFonts w:ascii="Arial" w:hAnsi="Arial"/>
          <w:sz w:val="16"/>
        </w:rPr>
        <w:t>112.24  آنها شروع به توسعه مهارت‌های نظارتی و رهبری از طریق مسئولیت‌پذیری تدریجی، مطالعه فردی و راهنمایی می‌کنند.</w:t>
      </w:r>
    </w:p>
    <w:p>
      <w:pPr>
        <w:spacing w:after="28" w:line="216" w:lineRule="auto"/>
        <w:ind w:left="259"/>
        <w:jc w:val="left"/>
      </w:pPr>
      <w:r>
        <w:rPr>
          <w:rFonts w:ascii="Arial" w:hAnsi="Arial"/>
          <w:color w:val="525252"/>
          <w:sz w:val="13"/>
        </w:rPr>
        <w:t>They begin developing supervisory and leadership skills through progressive responsibility, individual study, and mentoring.</w:t>
      </w:r>
    </w:p>
    <w:p>
      <w:pPr>
        <w:spacing w:after="20" w:line="223" w:lineRule="auto"/>
        <w:jc w:val="right"/>
        <w:bidi/>
      </w:pPr>
      <w:r>
        <w:rPr>
          <w:rFonts w:ascii="Arial" w:hAnsi="Arial"/>
          <w:sz w:val="16"/>
        </w:rPr>
        <w:t>112.25  هوانوردان ارشد می‌کوشند تا از طریق حداکثر استفاده از راهنمایی و کمک افسران و رهبران ثبت‌نام شده، خود را به‌عنوان مربیان مؤثر معرفی کنند.</w:t>
      </w:r>
    </w:p>
    <w:p>
      <w:pPr>
        <w:spacing w:after="28" w:line="216" w:lineRule="auto"/>
        <w:ind w:left="259"/>
        <w:jc w:val="left"/>
      </w:pPr>
      <w:r>
        <w:rPr>
          <w:rFonts w:ascii="Arial" w:hAnsi="Arial"/>
          <w:color w:val="525252"/>
          <w:sz w:val="13"/>
        </w:rPr>
        <w:t>Senior Airmen strive to establish themselves as effective trainers through the maximum use of guidance and assistance from officer and enlisted leaders.</w:t>
      </w:r>
    </w:p>
    <w:p>
      <w:pPr>
        <w:spacing w:after="20" w:line="223" w:lineRule="auto"/>
        <w:jc w:val="right"/>
        <w:bidi/>
      </w:pPr>
      <w:r>
        <w:rPr>
          <w:rFonts w:ascii="Arial" w:hAnsi="Arial"/>
          <w:sz w:val="16"/>
        </w:rPr>
        <w:t>112.26  هوانورد ارشد باید قبل از گرفتن درجه گروهبان ستادی، مدرسه رهبری هوانوردی را تکمیل کند.</w:t>
      </w:r>
    </w:p>
    <w:p>
      <w:pPr>
        <w:spacing w:after="28" w:line="216" w:lineRule="auto"/>
        <w:ind w:left="259"/>
        <w:jc w:val="left"/>
      </w:pPr>
      <w:r>
        <w:rPr>
          <w:rFonts w:ascii="Arial" w:hAnsi="Arial"/>
          <w:color w:val="525252"/>
          <w:sz w:val="13"/>
        </w:rPr>
        <w:t>Senior Airman must complete Airman Leadership School before assuming the grade of Staff Sergeant.</w:t>
      </w:r>
    </w:p>
    <w:p>
      <w:pPr>
        <w:spacing w:after="20" w:line="223" w:lineRule="auto"/>
        <w:jc w:val="right"/>
        <w:bidi/>
      </w:pPr>
      <w:r>
        <w:rPr>
          <w:rFonts w:ascii="Arial" w:hAnsi="Arial"/>
          <w:sz w:val="16"/>
        </w:rPr>
        <w:t>112.27  مخفف نوشته شده "سرا" و اصطلاح رسمی آدرس "سنیور عضو نیروی هوایی" یا "عضو نیروی هوایی" است.</w:t>
      </w:r>
    </w:p>
    <w:p>
      <w:pPr>
        <w:spacing w:after="28" w:line="216" w:lineRule="auto"/>
        <w:ind w:left="259"/>
        <w:jc w:val="left"/>
      </w:pPr>
      <w:r>
        <w:rPr>
          <w:rFonts w:ascii="Arial" w:hAnsi="Arial"/>
          <w:color w:val="525252"/>
          <w:sz w:val="13"/>
        </w:rPr>
        <w:t>The written abbreviation is “SrA,” and the official term of address is “Senior Airman” or “Airman.”</w:t>
      </w:r>
    </w:p>
    <w:p>
      <w:pPr>
        <w:spacing w:before="60" w:after="28"/>
        <w:jc w:val="right"/>
        <w:bidi/>
      </w:pPr>
      <w:r>
        <w:rPr>
          <w:b/>
          <w:color w:val="1F4D78"/>
          <w:sz w:val="18"/>
        </w:rPr>
        <w:t>7.6. درجه افسر غیر مأمور</w:t>
      </w:r>
    </w:p>
    <w:p>
      <w:pPr>
        <w:spacing w:after="20"/>
        <w:ind w:left="259"/>
        <w:jc w:val="left"/>
      </w:pPr>
      <w:r>
        <w:rPr>
          <w:color w:val="555555"/>
          <w:sz w:val="12"/>
        </w:rPr>
        <w:t>7.6. Noncommissioned Officer Tier</w:t>
      </w:r>
    </w:p>
    <w:p>
      <w:r>
        <w:br w:type="page"/>
      </w:r>
    </w:p>
    <w:p>
      <w:pPr>
        <w:spacing w:after="60"/>
        <w:jc w:val="right"/>
        <w:bidi/>
      </w:pPr>
      <w:r>
        <w:rPr>
          <w:rFonts w:ascii="Arial" w:hAnsi="Arial"/>
          <w:b/>
          <w:color w:val="1F4D78"/>
          <w:sz w:val="19"/>
        </w:rPr>
        <w:t>هفتهٔ 113  |  صفحهٔ منبع: 129</w:t>
      </w:r>
    </w:p>
    <w:p>
      <w:pPr>
        <w:spacing w:after="20" w:line="223" w:lineRule="auto"/>
        <w:jc w:val="right"/>
        <w:bidi/>
      </w:pPr>
      <w:r>
        <w:rPr>
          <w:rFonts w:ascii="Arial" w:hAnsi="Arial"/>
          <w:sz w:val="16"/>
        </w:rPr>
        <w:t>113.01  ردهٔ درجه‌داران (NCO) شامل درجات Staff Sergeant و Technical Sergeant است.</w:t>
      </w:r>
    </w:p>
    <w:p>
      <w:pPr>
        <w:spacing w:after="28" w:line="216" w:lineRule="auto"/>
        <w:ind w:left="259"/>
        <w:jc w:val="left"/>
      </w:pPr>
      <w:r>
        <w:rPr>
          <w:rFonts w:ascii="Arial" w:hAnsi="Arial"/>
          <w:color w:val="525252"/>
          <w:sz w:val="13"/>
        </w:rPr>
        <w:t>The Noncommissioned Officer (NCO) tier consists of the ranks: Staff Sergeant and Technical Sergeant.</w:t>
      </w:r>
    </w:p>
    <w:p>
      <w:pPr>
        <w:spacing w:after="20" w:line="223" w:lineRule="auto"/>
        <w:jc w:val="right"/>
        <w:bidi/>
      </w:pPr>
      <w:r>
        <w:rPr>
          <w:rFonts w:ascii="Arial" w:hAnsi="Arial"/>
          <w:sz w:val="16"/>
        </w:rPr>
        <w:t>113.02  افسران به رشد شغلی خود ادامه می‌دهند و به تکنسین‌های خبره تبدیل می‌شوند و در عین حال به‌عنوان رهبران، سرپرستان، مدیران و مربیان در حرفهٔ نظامی توسعه می‌یابند.</w:t>
      </w:r>
    </w:p>
    <w:p>
      <w:pPr>
        <w:spacing w:after="28" w:line="216" w:lineRule="auto"/>
        <w:ind w:left="259"/>
        <w:jc w:val="left"/>
      </w:pPr>
      <w:r>
        <w:rPr>
          <w:rFonts w:ascii="Arial" w:hAnsi="Arial"/>
          <w:color w:val="525252"/>
          <w:sz w:val="13"/>
        </w:rPr>
        <w:t>NCOs continue occupational growth and become expert technicians while developing as leaders, supervisors, managers, and mentors in the profession of arms.</w:t>
      </w:r>
    </w:p>
    <w:p>
      <w:pPr>
        <w:spacing w:after="20" w:line="223" w:lineRule="auto"/>
        <w:jc w:val="right"/>
        <w:bidi/>
      </w:pPr>
      <w:r>
        <w:rPr>
          <w:rFonts w:ascii="Arial" w:hAnsi="Arial"/>
          <w:sz w:val="16"/>
        </w:rPr>
        <w:t>113.03  علاوه بر این، افسران پلیس اطمینان حاصل می‌کنند که خود و زیردستان را آموزش دیده، واجد شرایط و آماده استقرار و عملیات در ایستگاه اصلی و در یک محیط اعزامی نگه می‌دارند.</w:t>
      </w:r>
    </w:p>
    <w:p>
      <w:pPr>
        <w:spacing w:after="28" w:line="216" w:lineRule="auto"/>
        <w:ind w:left="259"/>
        <w:jc w:val="left"/>
      </w:pPr>
      <w:r>
        <w:rPr>
          <w:rFonts w:ascii="Arial" w:hAnsi="Arial"/>
          <w:color w:val="525252"/>
          <w:sz w:val="13"/>
        </w:rPr>
        <w:t>Additionally, NCOs ensure they keep themselves and subordinates trained, qualified, and ready to deploy and operate at home station and in an expeditionary environment.</w:t>
      </w:r>
    </w:p>
    <w:p>
      <w:pPr>
        <w:spacing w:after="20" w:line="223" w:lineRule="auto"/>
        <w:jc w:val="right"/>
        <w:bidi/>
      </w:pPr>
      <w:r>
        <w:rPr>
          <w:rFonts w:ascii="Arial" w:hAnsi="Arial"/>
          <w:sz w:val="16"/>
        </w:rPr>
        <w:t>113.04  در این رده، درجه افسران شایستگی‌های اساسی را در آمادگی برای افزایش مسئولیت‌ها درک کرده و درونی می‌کنند و در عین حال پیشرفت حرفه‌ای را از طریق ابزارهای مختلف، از جمله فرآیند انتخاب وظایف ویژه توسعه‌ای و آموزش نظامی حرفه‌ای، دنبال می‌کنند.</w:t>
      </w:r>
    </w:p>
    <w:p>
      <w:pPr>
        <w:spacing w:after="28" w:line="216" w:lineRule="auto"/>
        <w:ind w:left="259"/>
        <w:jc w:val="left"/>
      </w:pPr>
      <w:r>
        <w:rPr>
          <w:rFonts w:ascii="Arial" w:hAnsi="Arial"/>
          <w:color w:val="525252"/>
          <w:sz w:val="13"/>
        </w:rPr>
        <w:t>In this tier, NCOs understand and internalize foundational competencies in preparation for increased responsibilities while pursuing professional development through a variety of means, including the developmental special duty selection process and professional military education.</w:t>
      </w:r>
    </w:p>
    <w:p>
      <w:pPr>
        <w:spacing w:after="20" w:line="223" w:lineRule="auto"/>
        <w:jc w:val="right"/>
        <w:bidi/>
      </w:pPr>
      <w:r>
        <w:rPr>
          <w:rFonts w:ascii="Arial" w:hAnsi="Arial"/>
          <w:sz w:val="16"/>
        </w:rPr>
        <w:t>113.05  گروهبان ستاد.</w:t>
      </w:r>
    </w:p>
    <w:p>
      <w:pPr>
        <w:spacing w:after="28" w:line="216" w:lineRule="auto"/>
        <w:ind w:left="259"/>
        <w:jc w:val="left"/>
      </w:pPr>
      <w:r>
        <w:rPr>
          <w:rFonts w:ascii="Arial" w:hAnsi="Arial"/>
          <w:color w:val="525252"/>
          <w:sz w:val="13"/>
        </w:rPr>
        <w:t>Staff Sergeant.</w:t>
      </w:r>
    </w:p>
    <w:p>
      <w:pPr>
        <w:spacing w:after="20" w:line="223" w:lineRule="auto"/>
        <w:jc w:val="right"/>
        <w:bidi/>
      </w:pPr>
      <w:r>
        <w:rPr>
          <w:rFonts w:ascii="Arial" w:hAnsi="Arial"/>
          <w:sz w:val="16"/>
        </w:rPr>
        <w:t>113.06  گروهبانان کارکنان تکنسین‌های ماهری با مسئولیت‌های نظارتی و آموزشی هستند.</w:t>
      </w:r>
    </w:p>
    <w:p>
      <w:pPr>
        <w:spacing w:after="28" w:line="216" w:lineRule="auto"/>
        <w:ind w:left="259"/>
        <w:jc w:val="left"/>
      </w:pPr>
      <w:r>
        <w:rPr>
          <w:rFonts w:ascii="Arial" w:hAnsi="Arial"/>
          <w:color w:val="525252"/>
          <w:sz w:val="13"/>
        </w:rPr>
        <w:t>Staff Sergeants are skilled technicians with supervisory and training responsibilities.</w:t>
      </w:r>
    </w:p>
    <w:p>
      <w:pPr>
        <w:spacing w:after="20" w:line="223" w:lineRule="auto"/>
        <w:jc w:val="right"/>
        <w:bidi/>
      </w:pPr>
      <w:r>
        <w:rPr>
          <w:rFonts w:ascii="Arial" w:hAnsi="Arial"/>
          <w:sz w:val="16"/>
        </w:rPr>
        <w:t>113.07  به‌طور معمول، سطح ۷ مهارت در این رتبه به دست می‌آید.</w:t>
      </w:r>
    </w:p>
    <w:p>
      <w:pPr>
        <w:spacing w:after="28" w:line="216" w:lineRule="auto"/>
        <w:ind w:left="259"/>
        <w:jc w:val="left"/>
      </w:pPr>
      <w:r>
        <w:rPr>
          <w:rFonts w:ascii="Arial" w:hAnsi="Arial"/>
          <w:color w:val="525252"/>
          <w:sz w:val="13"/>
        </w:rPr>
        <w:t>Typically, the 7-skill level is earned at this rank.</w:t>
      </w:r>
    </w:p>
    <w:p>
      <w:pPr>
        <w:spacing w:after="20" w:line="223" w:lineRule="auto"/>
        <w:jc w:val="right"/>
        <w:bidi/>
      </w:pPr>
      <w:r>
        <w:rPr>
          <w:rFonts w:ascii="Arial" w:hAnsi="Arial"/>
          <w:sz w:val="16"/>
        </w:rPr>
        <w:t>113.08  گروهبانان کارکنان از استفاده مناسب از منابع تحت کنترل خود برای انجام مؤثر و کارآمد مأموریت اطمینان حاصل می‌کنند.</w:t>
      </w:r>
    </w:p>
    <w:p>
      <w:pPr>
        <w:spacing w:after="28" w:line="216" w:lineRule="auto"/>
        <w:ind w:left="259"/>
        <w:jc w:val="left"/>
      </w:pPr>
      <w:r>
        <w:rPr>
          <w:rFonts w:ascii="Arial" w:hAnsi="Arial"/>
          <w:color w:val="525252"/>
          <w:sz w:val="13"/>
        </w:rPr>
        <w:t>Staff Sergeants ensure proper use of resources under their control for effective, efficient accomplishment of the mission.</w:t>
      </w:r>
    </w:p>
    <w:p>
      <w:pPr>
        <w:spacing w:after="20" w:line="223" w:lineRule="auto"/>
        <w:jc w:val="right"/>
        <w:bidi/>
      </w:pPr>
      <w:r>
        <w:rPr>
          <w:rFonts w:ascii="Arial" w:hAnsi="Arial"/>
          <w:sz w:val="16"/>
        </w:rPr>
        <w:t>113.09  مخفف نوشته شده "SSgt" و اصطلاح رسمی آدرس "ستافف سرگانت" یا "سرگانت" است. گروهبان فنی</w:t>
      </w:r>
    </w:p>
    <w:p>
      <w:pPr>
        <w:spacing w:after="28" w:line="216" w:lineRule="auto"/>
        <w:ind w:left="259"/>
        <w:jc w:val="left"/>
      </w:pPr>
      <w:r>
        <w:rPr>
          <w:rFonts w:ascii="Arial" w:hAnsi="Arial"/>
          <w:color w:val="525252"/>
          <w:sz w:val="13"/>
        </w:rPr>
        <w:t>The written abbreviation is “SSgt,” and the official term of address is “Staff Sergeant” or “Sergeant.” Technical Sergeant.</w:t>
      </w:r>
    </w:p>
    <w:p>
      <w:pPr>
        <w:spacing w:after="20" w:line="223" w:lineRule="auto"/>
        <w:jc w:val="right"/>
        <w:bidi/>
      </w:pPr>
      <w:r>
        <w:rPr>
          <w:rFonts w:ascii="Arial" w:hAnsi="Arial"/>
          <w:sz w:val="16"/>
        </w:rPr>
        <w:t>113.10  گروهبان‌های فنی اغلب کارشناسان فنی یک واحد هستند.</w:t>
      </w:r>
    </w:p>
    <w:p>
      <w:pPr>
        <w:spacing w:after="28" w:line="216" w:lineRule="auto"/>
        <w:ind w:left="259"/>
        <w:jc w:val="left"/>
      </w:pPr>
      <w:r>
        <w:rPr>
          <w:rFonts w:ascii="Arial" w:hAnsi="Arial"/>
          <w:color w:val="525252"/>
          <w:sz w:val="13"/>
        </w:rPr>
        <w:t>Technical Sergeants are often a unit’s technical experts.</w:t>
      </w:r>
    </w:p>
    <w:p>
      <w:pPr>
        <w:spacing w:after="20" w:line="223" w:lineRule="auto"/>
        <w:jc w:val="right"/>
        <w:bidi/>
      </w:pPr>
      <w:r>
        <w:rPr>
          <w:rFonts w:ascii="Arial" w:hAnsi="Arial"/>
          <w:sz w:val="16"/>
        </w:rPr>
        <w:t>113.11  آنها به‌طور مداوم در تلاش هستند تا به‌عنوان تکنسین، سرپرست، رهبر و مربی از طریق فرصت‌های توسعه حرفه‌ای، از جمله آموزش نظامی حرفه‌ای، پیشرفت کنند.</w:t>
      </w:r>
    </w:p>
    <w:p>
      <w:pPr>
        <w:spacing w:after="28" w:line="216" w:lineRule="auto"/>
        <w:ind w:left="259"/>
        <w:jc w:val="left"/>
      </w:pPr>
      <w:r>
        <w:rPr>
          <w:rFonts w:ascii="Arial" w:hAnsi="Arial"/>
          <w:color w:val="525252"/>
          <w:sz w:val="13"/>
        </w:rPr>
        <w:t>They continuously strive to develop as technicians, supervisors, leaders, and mentors through professional development opportunities, including professional military education.</w:t>
      </w:r>
    </w:p>
    <w:p>
      <w:pPr>
        <w:spacing w:after="20" w:line="223" w:lineRule="auto"/>
        <w:jc w:val="right"/>
        <w:bidi/>
      </w:pPr>
      <w:r>
        <w:rPr>
          <w:rFonts w:ascii="Arial" w:hAnsi="Arial"/>
          <w:sz w:val="16"/>
        </w:rPr>
        <w:t>113.12  گروهبان فنی باید قبل از گرفتن درجه استاد گروهبان، آکادمی افسری را تکمیل کنند.</w:t>
      </w:r>
    </w:p>
    <w:p>
      <w:pPr>
        <w:spacing w:after="28" w:line="216" w:lineRule="auto"/>
        <w:ind w:left="259"/>
        <w:jc w:val="left"/>
      </w:pPr>
      <w:r>
        <w:rPr>
          <w:rFonts w:ascii="Arial" w:hAnsi="Arial"/>
          <w:color w:val="525252"/>
          <w:sz w:val="13"/>
        </w:rPr>
        <w:t>Technical Sergeants must complete the NCO Academy before assuming the grade of Master Sergeant.</w:t>
      </w:r>
    </w:p>
    <w:p>
      <w:pPr>
        <w:spacing w:after="20" w:line="223" w:lineRule="auto"/>
        <w:jc w:val="right"/>
        <w:bidi/>
      </w:pPr>
      <w:r>
        <w:rPr>
          <w:rFonts w:ascii="Arial" w:hAnsi="Arial"/>
          <w:sz w:val="16"/>
        </w:rPr>
        <w:t>113.13  مخفف نوشته شده "TSgt" است و اصطلاح رسمی آدرس "تچنیکال سرگانت"، "تچ سرگانت" یا "سرگانت" است.</w:t>
      </w:r>
    </w:p>
    <w:p>
      <w:pPr>
        <w:spacing w:after="28" w:line="216" w:lineRule="auto"/>
        <w:ind w:left="259"/>
        <w:jc w:val="left"/>
      </w:pPr>
      <w:r>
        <w:rPr>
          <w:rFonts w:ascii="Arial" w:hAnsi="Arial"/>
          <w:color w:val="525252"/>
          <w:sz w:val="13"/>
        </w:rPr>
        <w:t>The written abbreviation is “TSgt,” and the official term of address is “Technical Sergeant,” “Tech Sergeant,” or “Sergeant.”</w:t>
      </w:r>
    </w:p>
    <w:p>
      <w:pPr>
        <w:spacing w:before="60" w:after="28"/>
        <w:jc w:val="right"/>
        <w:bidi/>
      </w:pPr>
      <w:r>
        <w:rPr>
          <w:b/>
          <w:color w:val="1F4D78"/>
          <w:sz w:val="18"/>
        </w:rPr>
        <w:t>7.7. درجه افسر ارشد</w:t>
      </w:r>
    </w:p>
    <w:p>
      <w:pPr>
        <w:spacing w:after="20"/>
        <w:ind w:left="259"/>
        <w:jc w:val="left"/>
      </w:pPr>
      <w:r>
        <w:rPr>
          <w:color w:val="555555"/>
          <w:sz w:val="12"/>
        </w:rPr>
        <w:t>7.7. Senior Noncommissioned Officer Tier</w:t>
      </w:r>
    </w:p>
    <w:p>
      <w:pPr>
        <w:spacing w:after="20" w:line="223" w:lineRule="auto"/>
        <w:jc w:val="right"/>
        <w:bidi/>
      </w:pPr>
      <w:r>
        <w:rPr>
          <w:rFonts w:ascii="Arial" w:hAnsi="Arial"/>
          <w:sz w:val="16"/>
        </w:rPr>
        <w:t>113.15  ردهٔ درجه‌داران ارشد (SNCO) شامل درجات Master Sergeant، Senior Master Sergeant و Chief Master Sergeant است.</w:t>
      </w:r>
    </w:p>
    <w:p>
      <w:pPr>
        <w:spacing w:after="28" w:line="216" w:lineRule="auto"/>
        <w:ind w:left="259"/>
        <w:jc w:val="left"/>
      </w:pPr>
      <w:r>
        <w:rPr>
          <w:rFonts w:ascii="Arial" w:hAnsi="Arial"/>
          <w:color w:val="525252"/>
          <w:sz w:val="13"/>
        </w:rPr>
        <w:t>The Senior Noncommissioned Officer (SNCO) tier consists of the ranks: Master Sergeant, Senior Master Sergeant, and Chief Master Sergeant.</w:t>
      </w:r>
    </w:p>
    <w:p>
      <w:pPr>
        <w:spacing w:after="20" w:line="223" w:lineRule="auto"/>
        <w:jc w:val="right"/>
        <w:bidi/>
      </w:pPr>
      <w:r>
        <w:rPr>
          <w:rFonts w:ascii="Arial" w:hAnsi="Arial"/>
          <w:sz w:val="16"/>
        </w:rPr>
        <w:t>113.16  SNCO ها به‌عنوان رهبران حرفهٔ نظامی خدمت می‌کنند.</w:t>
      </w:r>
    </w:p>
    <w:p>
      <w:pPr>
        <w:spacing w:after="28" w:line="216" w:lineRule="auto"/>
        <w:ind w:left="259"/>
        <w:jc w:val="left"/>
      </w:pPr>
      <w:r>
        <w:rPr>
          <w:rFonts w:ascii="Arial" w:hAnsi="Arial"/>
          <w:color w:val="525252"/>
          <w:sz w:val="13"/>
        </w:rPr>
        <w:t>SNCOs serve as leaders in the profession of arms.</w:t>
      </w:r>
    </w:p>
    <w:p>
      <w:pPr>
        <w:spacing w:after="20" w:line="223" w:lineRule="auto"/>
        <w:jc w:val="right"/>
        <w:bidi/>
      </w:pPr>
      <w:r>
        <w:rPr>
          <w:rFonts w:ascii="Arial" w:hAnsi="Arial"/>
          <w:sz w:val="16"/>
        </w:rPr>
        <w:t>113.17  آن‌ها هوانوردان و افسران جوان تحت سرپرستی خود را مشاوره، نظارت، راهنمایی و توسعه می‌دهند.</w:t>
      </w:r>
    </w:p>
    <w:p>
      <w:pPr>
        <w:spacing w:after="28" w:line="216" w:lineRule="auto"/>
        <w:ind w:left="259"/>
        <w:jc w:val="left"/>
      </w:pPr>
      <w:r>
        <w:rPr>
          <w:rFonts w:ascii="Arial" w:hAnsi="Arial"/>
          <w:color w:val="525252"/>
          <w:sz w:val="13"/>
        </w:rPr>
        <w:t>They advise, supervise, mentor, and develop junior enlisted Airmen and NCOs under their charge.</w:t>
      </w:r>
    </w:p>
    <w:p>
      <w:pPr>
        <w:spacing w:after="20" w:line="223" w:lineRule="auto"/>
        <w:jc w:val="right"/>
        <w:bidi/>
      </w:pPr>
      <w:r>
        <w:rPr>
          <w:rFonts w:ascii="Arial" w:hAnsi="Arial"/>
          <w:sz w:val="16"/>
        </w:rPr>
        <w:t>113.18  در این رده، SNCOها به توسعه حرفه‌ای ادامه می‌دهند و در فرآیندهای تصمیم‌گیری در مورد موضوعات مختلف فنی، عملیاتی و سازمانی مشارکت می‌کنند.</w:t>
      </w:r>
    </w:p>
    <w:p>
      <w:pPr>
        <w:spacing w:after="28" w:line="216" w:lineRule="auto"/>
        <w:ind w:left="259"/>
        <w:jc w:val="left"/>
      </w:pPr>
      <w:r>
        <w:rPr>
          <w:rFonts w:ascii="Arial" w:hAnsi="Arial"/>
          <w:color w:val="525252"/>
          <w:sz w:val="13"/>
        </w:rPr>
        <w:t>In this tier, SNCOs continue professional development and participate in decision-making processes on a variety of technical, operational, and organizational issues.</w:t>
      </w:r>
    </w:p>
    <w:p>
      <w:pPr>
        <w:spacing w:after="20" w:line="223" w:lineRule="auto"/>
        <w:jc w:val="right"/>
        <w:bidi/>
      </w:pPr>
      <w:r>
        <w:rPr>
          <w:rFonts w:ascii="Arial" w:hAnsi="Arial"/>
          <w:sz w:val="16"/>
        </w:rPr>
        <w:t>113.19  آنها تجربه رهبری زیادی برای استفاده از منابع و پرسنل در برابر انواع الزامات مأموریت دارند.</w:t>
      </w:r>
    </w:p>
    <w:p>
      <w:pPr>
        <w:spacing w:after="28" w:line="216" w:lineRule="auto"/>
        <w:ind w:left="259"/>
        <w:jc w:val="left"/>
      </w:pPr>
      <w:r>
        <w:rPr>
          <w:rFonts w:ascii="Arial" w:hAnsi="Arial"/>
          <w:color w:val="525252"/>
          <w:sz w:val="13"/>
        </w:rPr>
        <w:t>They have a great deal of leadership experience to leverage resources and personnel against a variety of mission requirements.</w:t>
      </w:r>
    </w:p>
    <w:p>
      <w:pPr>
        <w:spacing w:after="20" w:line="223" w:lineRule="auto"/>
        <w:jc w:val="right"/>
        <w:bidi/>
      </w:pPr>
      <w:r>
        <w:rPr>
          <w:rFonts w:ascii="Arial" w:hAnsi="Arial"/>
          <w:sz w:val="16"/>
        </w:rPr>
        <w:t>113.20  آنها به توسعه حرفه‌ای از طریق فرصت‌های کاربردی، آموزش نظامی حرفه‌ای ادامه می‌دهند و ممکن است در دوره‌های خدمات خواهران یا دوره‌های بین المللی SNCO شرکت کنند.</w:t>
      </w:r>
    </w:p>
    <w:p>
      <w:pPr>
        <w:spacing w:after="28" w:line="216" w:lineRule="auto"/>
        <w:ind w:left="259"/>
        <w:jc w:val="left"/>
      </w:pPr>
      <w:r>
        <w:rPr>
          <w:rFonts w:ascii="Arial" w:hAnsi="Arial"/>
          <w:color w:val="525252"/>
          <w:sz w:val="13"/>
        </w:rPr>
        <w:t>They continue professional development through functional opportunities, professional military education, and may attend sister service or international SNCO courses.</w:t>
      </w:r>
    </w:p>
    <w:p>
      <w:pPr>
        <w:spacing w:after="20" w:line="223" w:lineRule="auto"/>
        <w:jc w:val="right"/>
        <w:bidi/>
      </w:pPr>
      <w:r>
        <w:rPr>
          <w:rFonts w:ascii="Arial" w:hAnsi="Arial"/>
          <w:sz w:val="16"/>
        </w:rPr>
        <w:t>113.21  استاد گروهبان.</w:t>
      </w:r>
    </w:p>
    <w:p>
      <w:pPr>
        <w:spacing w:after="28" w:line="216" w:lineRule="auto"/>
        <w:ind w:left="259"/>
        <w:jc w:val="left"/>
      </w:pPr>
      <w:r>
        <w:rPr>
          <w:rFonts w:ascii="Arial" w:hAnsi="Arial"/>
          <w:color w:val="525252"/>
          <w:sz w:val="13"/>
        </w:rPr>
        <w:t>Master Sergeant.</w:t>
      </w:r>
    </w:p>
    <w:p>
      <w:pPr>
        <w:spacing w:after="20" w:line="223" w:lineRule="auto"/>
        <w:jc w:val="right"/>
        <w:bidi/>
      </w:pPr>
      <w:r>
        <w:rPr>
          <w:rFonts w:ascii="Arial" w:hAnsi="Arial"/>
          <w:sz w:val="16"/>
        </w:rPr>
        <w:t>113.22  استاد گروهبان‌ها کارشناسان فنی هستند که از سرپرستان خط اول به رهبران صلاحیت عملیاتی تبدیل می‌شوند.</w:t>
      </w:r>
    </w:p>
    <w:p>
      <w:pPr>
        <w:spacing w:after="28" w:line="216" w:lineRule="auto"/>
        <w:ind w:left="259"/>
        <w:jc w:val="left"/>
      </w:pPr>
      <w:r>
        <w:rPr>
          <w:rFonts w:ascii="Arial" w:hAnsi="Arial"/>
          <w:color w:val="525252"/>
          <w:sz w:val="13"/>
        </w:rPr>
        <w:t>Master Sergeants are technical experts, transitioning from first-line supervisors to leaders of operational competence.</w:t>
      </w:r>
    </w:p>
    <w:p>
      <w:pPr>
        <w:spacing w:after="20" w:line="223" w:lineRule="auto"/>
        <w:jc w:val="right"/>
        <w:bidi/>
      </w:pPr>
      <w:r>
        <w:rPr>
          <w:rFonts w:ascii="Arial" w:hAnsi="Arial"/>
          <w:sz w:val="16"/>
        </w:rPr>
        <w:t>113.23  این رتبه دارای مسئولیت‌های افزایش یافته برای رهبری، مدیریت و تیم سازی است.</w:t>
      </w:r>
    </w:p>
    <w:p>
      <w:pPr>
        <w:spacing w:after="28" w:line="216" w:lineRule="auto"/>
        <w:ind w:left="259"/>
        <w:jc w:val="left"/>
      </w:pPr>
      <w:r>
        <w:rPr>
          <w:rFonts w:ascii="Arial" w:hAnsi="Arial"/>
          <w:color w:val="525252"/>
          <w:sz w:val="13"/>
        </w:rPr>
        <w:t>This rank carries increased responsibilities for leadership, management, and team building.</w:t>
      </w:r>
    </w:p>
    <w:p>
      <w:pPr>
        <w:spacing w:after="20" w:line="223" w:lineRule="auto"/>
        <w:jc w:val="right"/>
        <w:bidi/>
      </w:pPr>
      <w:r>
        <w:rPr>
          <w:rFonts w:ascii="Arial" w:hAnsi="Arial"/>
          <w:sz w:val="16"/>
        </w:rPr>
        <w:t>113.24  استاد گروهبان باید فرصت‌ها را از طریق فرآیند انتخاب وظایف ویژه توسعه‌ای در نظر بگیرند.</w:t>
      </w:r>
    </w:p>
    <w:p>
      <w:pPr>
        <w:spacing w:after="28" w:line="216" w:lineRule="auto"/>
        <w:ind w:left="259"/>
        <w:jc w:val="left"/>
      </w:pPr>
      <w:r>
        <w:rPr>
          <w:rFonts w:ascii="Arial" w:hAnsi="Arial"/>
          <w:color w:val="525252"/>
          <w:sz w:val="13"/>
        </w:rPr>
        <w:t>Master Sergeants should consider broadening opportunities through the developmental special duty selection process.</w:t>
      </w:r>
    </w:p>
    <w:p>
      <w:pPr>
        <w:spacing w:after="20" w:line="223" w:lineRule="auto"/>
        <w:jc w:val="right"/>
        <w:bidi/>
      </w:pPr>
      <w:r>
        <w:rPr>
          <w:rFonts w:ascii="Arial" w:hAnsi="Arial"/>
          <w:sz w:val="16"/>
        </w:rPr>
        <w:t>113.25  استاد گروهبان باید آکادمی SNCO را قبل از گرفتن درجه سرگروهبان ارشد تکمیل کنند.</w:t>
      </w:r>
    </w:p>
    <w:p>
      <w:pPr>
        <w:spacing w:after="28" w:line="216" w:lineRule="auto"/>
        <w:ind w:left="259"/>
        <w:jc w:val="left"/>
      </w:pPr>
      <w:r>
        <w:rPr>
          <w:rFonts w:ascii="Arial" w:hAnsi="Arial"/>
          <w:color w:val="525252"/>
          <w:sz w:val="13"/>
        </w:rPr>
        <w:t>Master Sergeants must complete the SNCO Academy before assuming the grade of Senior Master Sergeant.</w:t>
      </w:r>
    </w:p>
    <w:p>
      <w:pPr>
        <w:spacing w:after="20" w:line="223" w:lineRule="auto"/>
        <w:jc w:val="right"/>
        <w:bidi/>
      </w:pPr>
      <w:r>
        <w:rPr>
          <w:rFonts w:ascii="Arial" w:hAnsi="Arial"/>
          <w:sz w:val="16"/>
        </w:rPr>
        <w:t>113.26  مخفف نوشته شده "MSgt" و اصطلاح رسمی آدرس "ماستر سرگانت" یا "سرگانت" است. سرگروهبان ارشد.</w:t>
      </w:r>
    </w:p>
    <w:p>
      <w:pPr>
        <w:spacing w:after="28" w:line="216" w:lineRule="auto"/>
        <w:ind w:left="259"/>
        <w:jc w:val="left"/>
      </w:pPr>
      <w:r>
        <w:rPr>
          <w:rFonts w:ascii="Arial" w:hAnsi="Arial"/>
          <w:color w:val="525252"/>
          <w:sz w:val="13"/>
        </w:rPr>
        <w:t>The written abbreviation is “MSgt,” and the official term of address is “Master Sergeant” or “Sergeant.” Senior Master Sergeant.</w:t>
      </w:r>
    </w:p>
    <w:p>
      <w:pPr>
        <w:spacing w:after="20" w:line="223" w:lineRule="auto"/>
        <w:jc w:val="right"/>
        <w:bidi/>
      </w:pPr>
      <w:r>
        <w:rPr>
          <w:rFonts w:ascii="Arial" w:hAnsi="Arial"/>
          <w:sz w:val="16"/>
        </w:rPr>
        <w:t>113.27  استاد گروهبانان با تجربه، رهبران عملیاتی، در ادغام استعدادها، مهارت‌ها و منابع تیم با سایر سازمان‌ها مهارت دارند.</w:t>
      </w:r>
    </w:p>
    <w:p>
      <w:pPr>
        <w:spacing w:after="28" w:line="216" w:lineRule="auto"/>
        <w:ind w:left="259"/>
        <w:jc w:val="left"/>
      </w:pPr>
      <w:r>
        <w:rPr>
          <w:rFonts w:ascii="Arial" w:hAnsi="Arial"/>
          <w:color w:val="525252"/>
          <w:sz w:val="13"/>
        </w:rPr>
        <w:t>Senior Master Sergeants are experienced, operational leaders, skilled at merging team talents, skills, and resources with other organizations.</w:t>
      </w:r>
    </w:p>
    <w:p>
      <w:pPr>
        <w:spacing w:after="20" w:line="223" w:lineRule="auto"/>
        <w:jc w:val="right"/>
        <w:bidi/>
      </w:pPr>
      <w:r>
        <w:rPr>
          <w:rFonts w:ascii="Arial" w:hAnsi="Arial"/>
          <w:sz w:val="16"/>
        </w:rPr>
        <w:t>113.28  مخفف نوشته شده "SMSgt" و اصطلاح رسمی آدرس "سنیور ماستر سرگانت"، "سنیور" یا "سرگانت" است. سرگروهبان.</w:t>
      </w:r>
    </w:p>
    <w:p>
      <w:pPr>
        <w:spacing w:after="28" w:line="216" w:lineRule="auto"/>
        <w:ind w:left="259"/>
        <w:jc w:val="left"/>
      </w:pPr>
      <w:r>
        <w:rPr>
          <w:rFonts w:ascii="Arial" w:hAnsi="Arial"/>
          <w:color w:val="525252"/>
          <w:sz w:val="13"/>
        </w:rPr>
        <w:t>The written abbreviation is “SMSgt,” and the official term of address is “Senior Master Sergeant,” “Senior,” or “Sergeant.” Chief Master Sergeant.</w:t>
      </w:r>
    </w:p>
    <w:p>
      <w:pPr>
        <w:spacing w:after="20" w:line="223" w:lineRule="auto"/>
        <w:jc w:val="right"/>
        <w:bidi/>
      </w:pPr>
      <w:r>
        <w:rPr>
          <w:rFonts w:ascii="Arial" w:hAnsi="Arial"/>
          <w:sz w:val="16"/>
        </w:rPr>
        <w:t>113.29  سرگروهبانان دارای تجربه عملیاتی و شغلی قابل توجهی هستند و دارای موقعیت‌های رهبری استراتژیک با نفوذ فوق‌العاده هستند.</w:t>
      </w:r>
    </w:p>
    <w:p>
      <w:pPr>
        <w:spacing w:after="28" w:line="216" w:lineRule="auto"/>
        <w:ind w:left="259"/>
        <w:jc w:val="left"/>
      </w:pPr>
      <w:r>
        <w:rPr>
          <w:rFonts w:ascii="Arial" w:hAnsi="Arial"/>
          <w:color w:val="525252"/>
          <w:sz w:val="13"/>
        </w:rPr>
        <w:t>Chief Master Sergeants possess substantial operational and occupational experience and hold strategic leadership positions with tremendous influence.</w:t>
      </w:r>
    </w:p>
    <w:p>
      <w:pPr>
        <w:spacing w:after="20" w:line="223" w:lineRule="auto"/>
        <w:jc w:val="right"/>
        <w:bidi/>
      </w:pPr>
      <w:r>
        <w:rPr>
          <w:rFonts w:ascii="Arial" w:hAnsi="Arial"/>
          <w:sz w:val="16"/>
        </w:rPr>
        <w:t>113.30  آنها وظیفه راهنمایی و توسعه پرسنل ثبت‌نام شده و تأثیرگذاری بر توسعه حرفه‌ای افسران درجه شرکت را بر عهده دارند.</w:t>
      </w:r>
    </w:p>
    <w:p>
      <w:pPr>
        <w:spacing w:after="28" w:line="216" w:lineRule="auto"/>
        <w:ind w:left="259"/>
        <w:jc w:val="left"/>
      </w:pPr>
      <w:r>
        <w:rPr>
          <w:rFonts w:ascii="Arial" w:hAnsi="Arial"/>
          <w:color w:val="525252"/>
          <w:sz w:val="13"/>
        </w:rPr>
        <w:t>They are charged with mentoring and developing junior enlisted personnel and influencing the professional development of company grade officers.</w:t>
      </w:r>
    </w:p>
    <w:p>
      <w:pPr>
        <w:spacing w:after="20" w:line="223" w:lineRule="auto"/>
        <w:jc w:val="right"/>
        <w:bidi/>
      </w:pPr>
      <w:r>
        <w:rPr>
          <w:rFonts w:ascii="Arial" w:hAnsi="Arial"/>
          <w:sz w:val="16"/>
        </w:rPr>
        <w:t>113.31  همه روسای تازه انتخاب شده رگاف در دوره رهبری ارشد شرکت خواهند کرد.</w:t>
      </w:r>
    </w:p>
    <w:p>
      <w:pPr>
        <w:spacing w:after="28" w:line="216" w:lineRule="auto"/>
        <w:ind w:left="259"/>
        <w:jc w:val="left"/>
      </w:pPr>
      <w:r>
        <w:rPr>
          <w:rFonts w:ascii="Arial" w:hAnsi="Arial"/>
          <w:color w:val="525252"/>
          <w:sz w:val="13"/>
        </w:rPr>
        <w:t>All newly selected RegAF chiefs will attend the Chief Leadership Course.</w:t>
      </w:r>
    </w:p>
    <w:p>
      <w:pPr>
        <w:spacing w:after="20" w:line="223" w:lineRule="auto"/>
        <w:jc w:val="right"/>
        <w:bidi/>
      </w:pPr>
      <w:r>
        <w:rPr>
          <w:rFonts w:ascii="Arial" w:hAnsi="Arial"/>
          <w:sz w:val="16"/>
        </w:rPr>
        <w:t>113.32  روسای مؤلفه‌های ذخیره جدید انتخاب شده یا در دوره رهبری ارشد یا در دوره راهنمایی اصلی خود شرکت خواهند کرد.</w:t>
      </w:r>
    </w:p>
    <w:p>
      <w:pPr>
        <w:spacing w:after="28" w:line="216" w:lineRule="auto"/>
        <w:ind w:left="259"/>
        <w:jc w:val="left"/>
      </w:pPr>
      <w:r>
        <w:rPr>
          <w:rFonts w:ascii="Arial" w:hAnsi="Arial"/>
          <w:color w:val="525252"/>
          <w:sz w:val="13"/>
        </w:rPr>
        <w:t>Newly selected Reserve Component chiefs will attend either the Chief Leadership Course or their Chief Orientation Course.</w:t>
      </w:r>
    </w:p>
    <w:p>
      <w:pPr>
        <w:spacing w:after="20" w:line="223" w:lineRule="auto"/>
        <w:jc w:val="right"/>
        <w:bidi/>
      </w:pPr>
      <w:r>
        <w:rPr>
          <w:rFonts w:ascii="Arial" w:hAnsi="Arial"/>
          <w:sz w:val="16"/>
        </w:rPr>
        <w:t>113.33  مخفف نوشته شده "CMSgt" و اصطلاح رسمی آدرس "چیف ماستر سرگانت" یا "چیف" است.</w:t>
      </w:r>
    </w:p>
    <w:p>
      <w:pPr>
        <w:spacing w:after="28" w:line="216" w:lineRule="auto"/>
        <w:ind w:left="259"/>
        <w:jc w:val="left"/>
      </w:pPr>
      <w:r>
        <w:rPr>
          <w:rFonts w:ascii="Arial" w:hAnsi="Arial"/>
          <w:color w:val="525252"/>
          <w:sz w:val="13"/>
        </w:rPr>
        <w:t>The written abbreviation is “CMSgt,” and the official term of address is “Chief Master Sergeant” or “Chief.”</w:t>
      </w:r>
    </w:p>
    <w:p>
      <w:r>
        <w:br w:type="page"/>
      </w:r>
    </w:p>
    <w:p>
      <w:pPr>
        <w:spacing w:after="60"/>
        <w:jc w:val="right"/>
        <w:bidi/>
      </w:pPr>
      <w:r>
        <w:rPr>
          <w:rFonts w:ascii="Arial" w:hAnsi="Arial"/>
          <w:b/>
          <w:color w:val="1F4D78"/>
          <w:sz w:val="19"/>
        </w:rPr>
        <w:t>هفتهٔ 114  |  صفحهٔ منبع: 130</w:t>
      </w:r>
    </w:p>
    <w:p>
      <w:pPr>
        <w:spacing w:before="60" w:after="28"/>
        <w:jc w:val="right"/>
        <w:bidi/>
      </w:pPr>
      <w:r>
        <w:rPr>
          <w:b/>
          <w:color w:val="1F4D78"/>
          <w:sz w:val="18"/>
        </w:rPr>
        <w:t>بخش 7C-عناوین وظایف و سمت‌های ویژه</w:t>
      </w:r>
    </w:p>
    <w:p>
      <w:pPr>
        <w:spacing w:after="20"/>
        <w:ind w:left="259"/>
        <w:jc w:val="left"/>
      </w:pPr>
      <w:r>
        <w:rPr>
          <w:color w:val="555555"/>
          <w:sz w:val="12"/>
        </w:rPr>
        <w:t>Section 7C—Duty Titles and Special Positions</w:t>
      </w:r>
    </w:p>
    <w:p>
      <w:pPr>
        <w:spacing w:before="60" w:after="28"/>
        <w:jc w:val="right"/>
        <w:bidi/>
      </w:pPr>
      <w:r>
        <w:rPr>
          <w:b/>
          <w:color w:val="1F4D78"/>
          <w:sz w:val="18"/>
        </w:rPr>
        <w:t>7.8. عناوین وظیفه ثبت نام شده</w:t>
      </w:r>
    </w:p>
    <w:p>
      <w:pPr>
        <w:spacing w:after="20"/>
        <w:ind w:left="259"/>
        <w:jc w:val="left"/>
      </w:pPr>
      <w:r>
        <w:rPr>
          <w:color w:val="555555"/>
          <w:sz w:val="12"/>
        </w:rPr>
        <w:t>7.8. Enlisted Duty Titles</w:t>
      </w:r>
    </w:p>
    <w:p>
      <w:pPr>
        <w:spacing w:after="20" w:line="223" w:lineRule="auto"/>
        <w:jc w:val="right"/>
        <w:bidi/>
      </w:pPr>
      <w:r>
        <w:rPr>
          <w:rFonts w:ascii="Arial" w:hAnsi="Arial"/>
          <w:sz w:val="16"/>
        </w:rPr>
        <w:t>114.03  زمانی که عناوین وظیفه به درستی اعمال شوند، درک سریع نقش و سطح مسئولیت فرد را تسهیل می‌کنند.</w:t>
      </w:r>
    </w:p>
    <w:p>
      <w:pPr>
        <w:spacing w:after="28" w:line="216" w:lineRule="auto"/>
        <w:ind w:left="259"/>
        <w:jc w:val="left"/>
      </w:pPr>
      <w:r>
        <w:rPr>
          <w:rFonts w:ascii="Arial" w:hAnsi="Arial"/>
          <w:color w:val="525252"/>
          <w:sz w:val="13"/>
        </w:rPr>
        <w:t>When properly applied, duty titles facilitate a quick understanding of a person’s role and level of responsibility.</w:t>
      </w:r>
    </w:p>
    <w:p>
      <w:pPr>
        <w:spacing w:after="20" w:line="223" w:lineRule="auto"/>
        <w:jc w:val="right"/>
        <w:bidi/>
      </w:pPr>
      <w:r>
        <w:rPr>
          <w:rFonts w:ascii="Arial" w:hAnsi="Arial"/>
          <w:sz w:val="16"/>
        </w:rPr>
        <w:t>114.04  عناوین وظیفه بر اساس حیطه مسئولیت و وظایف در حال انجام اختصاص می‌یابد.</w:t>
      </w:r>
    </w:p>
    <w:p>
      <w:pPr>
        <w:spacing w:after="28" w:line="216" w:lineRule="auto"/>
        <w:ind w:left="259"/>
        <w:jc w:val="left"/>
      </w:pPr>
      <w:r>
        <w:rPr>
          <w:rFonts w:ascii="Arial" w:hAnsi="Arial"/>
          <w:color w:val="525252"/>
          <w:sz w:val="13"/>
        </w:rPr>
        <w:t>Enlisted duty titles are assigned based upon the scope of responsibility and the duties being performed.</w:t>
      </w:r>
    </w:p>
    <w:p>
      <w:pPr>
        <w:spacing w:after="20" w:line="223" w:lineRule="auto"/>
        <w:jc w:val="right"/>
        <w:bidi/>
      </w:pPr>
      <w:r>
        <w:rPr>
          <w:rFonts w:ascii="Arial" w:hAnsi="Arial"/>
          <w:sz w:val="16"/>
        </w:rPr>
        <w:t>114.05  عناوین وظیفه زیر عناوین وظیفه رسمی و مجاز برای نیروی اعزامی است.</w:t>
      </w:r>
    </w:p>
    <w:p>
      <w:pPr>
        <w:spacing w:after="28" w:line="216" w:lineRule="auto"/>
        <w:ind w:left="259"/>
        <w:jc w:val="left"/>
      </w:pPr>
      <w:r>
        <w:rPr>
          <w:rFonts w:ascii="Arial" w:hAnsi="Arial"/>
          <w:color w:val="525252"/>
          <w:sz w:val="13"/>
        </w:rPr>
        <w:t>The following duty titles are the official, authorized duty titles for the enlisted force.</w:t>
      </w:r>
    </w:p>
    <w:p>
      <w:pPr>
        <w:spacing w:after="20" w:line="223" w:lineRule="auto"/>
        <w:jc w:val="right"/>
        <w:bidi/>
      </w:pPr>
      <w:r>
        <w:rPr>
          <w:rFonts w:ascii="Arial" w:hAnsi="Arial"/>
          <w:sz w:val="16"/>
        </w:rPr>
        <w:t>114.06  سرپرست.</w:t>
      </w:r>
    </w:p>
    <w:p>
      <w:pPr>
        <w:spacing w:after="28" w:line="216" w:lineRule="auto"/>
        <w:ind w:left="259"/>
        <w:jc w:val="left"/>
      </w:pPr>
      <w:r>
        <w:rPr>
          <w:rFonts w:ascii="Arial" w:hAnsi="Arial"/>
          <w:color w:val="525252"/>
          <w:sz w:val="13"/>
        </w:rPr>
        <w:t>Supervisor.</w:t>
      </w:r>
    </w:p>
    <w:p>
      <w:pPr>
        <w:spacing w:after="20" w:line="223" w:lineRule="auto"/>
        <w:jc w:val="right"/>
        <w:bidi/>
      </w:pPr>
      <w:r>
        <w:rPr>
          <w:rFonts w:ascii="Arial" w:hAnsi="Arial"/>
          <w:sz w:val="16"/>
        </w:rPr>
        <w:t>114.07  عنوان سوپروایزر برای NCO و برخی از هوانوردان ارشد که سرپرستان خط اول هستند، مانند سرپرست تجهیزات سنگین و سرپرست شیفت استفاده می‌شود.</w:t>
      </w:r>
    </w:p>
    <w:p>
      <w:pPr>
        <w:spacing w:after="28" w:line="216" w:lineRule="auto"/>
        <w:ind w:left="259"/>
        <w:jc w:val="left"/>
      </w:pPr>
      <w:r>
        <w:rPr>
          <w:rFonts w:ascii="Arial" w:hAnsi="Arial"/>
          <w:color w:val="525252"/>
          <w:sz w:val="13"/>
        </w:rPr>
        <w:t>The title of Supervisor is used for NCO and some Senior Airmen who are first- line supervisors, such as heavy equipment supervisors and shift supervisors.</w:t>
      </w:r>
    </w:p>
    <w:p>
      <w:pPr>
        <w:spacing w:after="20" w:line="223" w:lineRule="auto"/>
        <w:jc w:val="right"/>
        <w:bidi/>
      </w:pPr>
      <w:r>
        <w:rPr>
          <w:rFonts w:ascii="Arial" w:hAnsi="Arial"/>
          <w:sz w:val="16"/>
        </w:rPr>
        <w:t>114.08  هوانوردان درجه‌دار جوان عنوان سرپرستی را نخواهند داشت مگر اینکه حداقل فارغ‌التحصیل مدرسه رهبری هوانوردی باشند و بر کار دیگران نظارت داشته باشند.</w:t>
      </w:r>
    </w:p>
    <w:p>
      <w:pPr>
        <w:spacing w:after="28" w:line="216" w:lineRule="auto"/>
        <w:ind w:left="259"/>
        <w:jc w:val="left"/>
      </w:pPr>
      <w:r>
        <w:rPr>
          <w:rFonts w:ascii="Arial" w:hAnsi="Arial"/>
          <w:color w:val="525252"/>
          <w:sz w:val="13"/>
        </w:rPr>
        <w:t>Junior enlisted Airmen will not have the duty title of supervisor unless they are at least an Airman Leadership School graduate and supervise the work of others.</w:t>
      </w:r>
    </w:p>
    <w:p>
      <w:pPr>
        <w:spacing w:after="20" w:line="223" w:lineRule="auto"/>
        <w:jc w:val="right"/>
        <w:bidi/>
      </w:pPr>
      <w:r>
        <w:rPr>
          <w:rFonts w:ascii="Arial" w:hAnsi="Arial"/>
          <w:sz w:val="16"/>
        </w:rPr>
        <w:t>114.09  درجه‌دار مسئول.</w:t>
      </w:r>
    </w:p>
    <w:p>
      <w:pPr>
        <w:spacing w:after="28" w:line="216" w:lineRule="auto"/>
        <w:ind w:left="259"/>
        <w:jc w:val="left"/>
      </w:pPr>
      <w:r>
        <w:rPr>
          <w:rFonts w:ascii="Arial" w:hAnsi="Arial"/>
          <w:color w:val="525252"/>
          <w:sz w:val="13"/>
        </w:rPr>
        <w:t>Noncommissioned Officer in Charge.</w:t>
      </w:r>
    </w:p>
    <w:p>
      <w:pPr>
        <w:spacing w:after="20" w:line="223" w:lineRule="auto"/>
        <w:jc w:val="right"/>
        <w:bidi/>
      </w:pPr>
      <w:r>
        <w:rPr>
          <w:rFonts w:ascii="Arial" w:hAnsi="Arial"/>
          <w:sz w:val="16"/>
        </w:rPr>
        <w:t>114.10  عنوان درجه‌دار مسئول (NCOIC) فقط برای NCOها و SNCOهایی به‌کار می‌رود که مسئول یک مرکز کاری یا بخش هستند.</w:t>
      </w:r>
    </w:p>
    <w:p>
      <w:pPr>
        <w:spacing w:after="28" w:line="216" w:lineRule="auto"/>
        <w:ind w:left="259"/>
        <w:jc w:val="left"/>
      </w:pPr>
      <w:r>
        <w:rPr>
          <w:rFonts w:ascii="Arial" w:hAnsi="Arial"/>
          <w:color w:val="525252"/>
          <w:sz w:val="13"/>
        </w:rPr>
        <w:t>The title of Noncommissioned Officer In Charge (NCOIC), is used only for NCOs and SNCOs in charge of a work center or element.</w:t>
      </w:r>
    </w:p>
    <w:p>
      <w:pPr>
        <w:spacing w:after="20" w:line="223" w:lineRule="auto"/>
        <w:jc w:val="right"/>
        <w:bidi/>
      </w:pPr>
      <w:r>
        <w:rPr>
          <w:rFonts w:ascii="Arial" w:hAnsi="Arial"/>
          <w:sz w:val="16"/>
        </w:rPr>
        <w:t>114.11  NCOIC ها معمولا سرپرستان زیردستی دارند.</w:t>
      </w:r>
    </w:p>
    <w:p>
      <w:pPr>
        <w:spacing w:after="28" w:line="216" w:lineRule="auto"/>
        <w:ind w:left="259"/>
        <w:jc w:val="left"/>
      </w:pPr>
      <w:r>
        <w:rPr>
          <w:rFonts w:ascii="Arial" w:hAnsi="Arial"/>
          <w:color w:val="525252"/>
          <w:sz w:val="13"/>
        </w:rPr>
        <w:t>NCOICs typically have subordinate supervisors.</w:t>
      </w:r>
    </w:p>
    <w:p>
      <w:pPr>
        <w:spacing w:after="20" w:line="223" w:lineRule="auto"/>
        <w:jc w:val="right"/>
        <w:bidi/>
      </w:pPr>
      <w:r>
        <w:rPr>
          <w:rFonts w:ascii="Arial" w:hAnsi="Arial"/>
          <w:sz w:val="16"/>
        </w:rPr>
        <w:t>114.12  عنوان NCOIC همچنین برای کسانی استفاده می‌شود که وظیفه اصلی آنها یک برنامه یا عملکرد مدیریتی در سطح واحد است، حتی اگر مستقیما بر پرسنل نظارت نداشته باشند.</w:t>
      </w:r>
    </w:p>
    <w:p>
      <w:pPr>
        <w:spacing w:after="28" w:line="216" w:lineRule="auto"/>
        <w:ind w:left="259"/>
        <w:jc w:val="left"/>
      </w:pPr>
      <w:r>
        <w:rPr>
          <w:rFonts w:ascii="Arial" w:hAnsi="Arial"/>
          <w:color w:val="525252"/>
          <w:sz w:val="13"/>
        </w:rPr>
        <w:t>The title of NCOIC is also used for those whose primary duty is a unit-wide program or management function, even if they do not directly supervise personnel.</w:t>
      </w:r>
    </w:p>
    <w:p>
      <w:pPr>
        <w:spacing w:before="60" w:after="28"/>
        <w:jc w:val="right"/>
        <w:bidi/>
      </w:pPr>
      <w:r>
        <w:rPr>
          <w:b/>
          <w:color w:val="1F4D78"/>
          <w:sz w:val="18"/>
        </w:rPr>
        <w:t>رئیس بخش. عنوان رئیس بخش برای NCOها و SNCOهایی که مسئول یک بخش هستند استفاده می شود</w:t>
      </w:r>
    </w:p>
    <w:p>
      <w:pPr>
        <w:spacing w:after="20"/>
        <w:ind w:left="259"/>
        <w:jc w:val="left"/>
      </w:pPr>
      <w:r>
        <w:rPr>
          <w:color w:val="555555"/>
          <w:sz w:val="12"/>
        </w:rPr>
        <w:t>Section Chief. The title of Section Chief is used for NCOs and SNCOs in charge of a section with</w:t>
      </w:r>
    </w:p>
    <w:p>
      <w:pPr>
        <w:spacing w:after="20" w:line="223" w:lineRule="auto"/>
        <w:jc w:val="right"/>
        <w:bidi/>
      </w:pPr>
      <w:r>
        <w:rPr>
          <w:rFonts w:ascii="Arial" w:hAnsi="Arial"/>
          <w:sz w:val="16"/>
        </w:rPr>
        <w:t>114.14  حداقل دو مرکز یا عنصر کار تابعه.</w:t>
      </w:r>
    </w:p>
    <w:p>
      <w:pPr>
        <w:spacing w:after="28" w:line="216" w:lineRule="auto"/>
        <w:ind w:left="259"/>
        <w:jc w:val="left"/>
      </w:pPr>
      <w:r>
        <w:rPr>
          <w:rFonts w:ascii="Arial" w:hAnsi="Arial"/>
          <w:color w:val="525252"/>
          <w:sz w:val="13"/>
        </w:rPr>
        <w:t>at least two subordinate work centers or elements.</w:t>
      </w:r>
    </w:p>
    <w:p>
      <w:pPr>
        <w:spacing w:before="60" w:after="28"/>
        <w:jc w:val="right"/>
        <w:bidi/>
      </w:pPr>
      <w:r>
        <w:rPr>
          <w:b/>
          <w:color w:val="1F4D78"/>
          <w:sz w:val="18"/>
        </w:rPr>
        <w:t>روسای بخش معمولاً SNCO هستند و بسته به اندازه بخش، رتبه متفاوت خواهد بود.</w:t>
      </w:r>
    </w:p>
    <w:p>
      <w:pPr>
        <w:spacing w:after="20"/>
        <w:ind w:left="259"/>
        <w:jc w:val="left"/>
      </w:pPr>
      <w:r>
        <w:rPr>
          <w:color w:val="555555"/>
          <w:sz w:val="12"/>
        </w:rPr>
        <w:t>Section chiefs are typically SNCOs, and the rank will vary depending upon the size of the section.</w:t>
      </w:r>
    </w:p>
    <w:p>
      <w:pPr>
        <w:spacing w:after="20" w:line="223" w:lineRule="auto"/>
        <w:jc w:val="right"/>
        <w:bidi/>
      </w:pPr>
      <w:r>
        <w:rPr>
          <w:rFonts w:ascii="Arial" w:hAnsi="Arial"/>
          <w:sz w:val="16"/>
        </w:rPr>
        <w:t>114.16  رئیس پرواز.</w:t>
      </w:r>
    </w:p>
    <w:p>
      <w:pPr>
        <w:spacing w:after="28" w:line="216" w:lineRule="auto"/>
        <w:ind w:left="259"/>
        <w:jc w:val="left"/>
      </w:pPr>
      <w:r>
        <w:rPr>
          <w:rFonts w:ascii="Arial" w:hAnsi="Arial"/>
          <w:color w:val="525252"/>
          <w:sz w:val="13"/>
        </w:rPr>
        <w:t>Flight Chief.</w:t>
      </w:r>
    </w:p>
    <w:p>
      <w:pPr>
        <w:spacing w:after="20" w:line="223" w:lineRule="auto"/>
        <w:jc w:val="right"/>
        <w:bidi/>
      </w:pPr>
      <w:r>
        <w:rPr>
          <w:rFonts w:ascii="Arial" w:hAnsi="Arial"/>
          <w:sz w:val="16"/>
        </w:rPr>
        <w:t>114.17  عنوان فلیگهت چیف برای NCOها و SNCOهایی که رهبران یک پرواز هستند استفاده می‌شود.</w:t>
      </w:r>
    </w:p>
    <w:p>
      <w:pPr>
        <w:spacing w:after="28" w:line="216" w:lineRule="auto"/>
        <w:ind w:left="259"/>
        <w:jc w:val="left"/>
      </w:pPr>
      <w:r>
        <w:rPr>
          <w:rFonts w:ascii="Arial" w:hAnsi="Arial"/>
          <w:color w:val="525252"/>
          <w:sz w:val="13"/>
        </w:rPr>
        <w:t>The title of Flight Chief is used for NCOs and SNCOs who are the enlisted leaders of a flight.</w:t>
      </w:r>
    </w:p>
    <w:p>
      <w:pPr>
        <w:spacing w:after="20" w:line="223" w:lineRule="auto"/>
        <w:jc w:val="right"/>
        <w:bidi/>
      </w:pPr>
      <w:r>
        <w:rPr>
          <w:rFonts w:ascii="Arial" w:hAnsi="Arial"/>
          <w:sz w:val="16"/>
        </w:rPr>
        <w:t>114.18  روسای پرواز معمولا SNCO هستند و بسته به اندازه پرواز، رتبه متفاوت خواهد بود.</w:t>
      </w:r>
    </w:p>
    <w:p>
      <w:pPr>
        <w:spacing w:after="28" w:line="216" w:lineRule="auto"/>
        <w:ind w:left="259"/>
        <w:jc w:val="left"/>
      </w:pPr>
      <w:r>
        <w:rPr>
          <w:rFonts w:ascii="Arial" w:hAnsi="Arial"/>
          <w:color w:val="525252"/>
          <w:sz w:val="13"/>
        </w:rPr>
        <w:t>Flight chiefs are typically SNCOs, and the rank will vary depending upon the size of the flight.</w:t>
      </w:r>
    </w:p>
    <w:p>
      <w:pPr>
        <w:spacing w:after="20" w:line="223" w:lineRule="auto"/>
        <w:jc w:val="right"/>
        <w:bidi/>
      </w:pPr>
      <w:r>
        <w:rPr>
          <w:rFonts w:ascii="Arial" w:hAnsi="Arial"/>
          <w:sz w:val="16"/>
        </w:rPr>
        <w:t>114.19  مدیر.</w:t>
      </w:r>
    </w:p>
    <w:p>
      <w:pPr>
        <w:spacing w:after="28" w:line="216" w:lineRule="auto"/>
        <w:ind w:left="259"/>
        <w:jc w:val="left"/>
      </w:pPr>
      <w:r>
        <w:rPr>
          <w:rFonts w:ascii="Arial" w:hAnsi="Arial"/>
          <w:color w:val="525252"/>
          <w:sz w:val="13"/>
        </w:rPr>
        <w:t>Manager.</w:t>
      </w:r>
    </w:p>
    <w:p>
      <w:pPr>
        <w:spacing w:after="20" w:line="223" w:lineRule="auto"/>
        <w:jc w:val="right"/>
        <w:bidi/>
      </w:pPr>
      <w:r>
        <w:rPr>
          <w:rFonts w:ascii="Arial" w:hAnsi="Arial"/>
          <w:sz w:val="16"/>
        </w:rPr>
        <w:t>114.20  عنوان مدیر، علاوه بر سمت‌های ویژه SNCO مدیران حوزه شغلی USAF و مدیران عملیاتی فرماندهی اصلی، برای NCOها و SNCOهایی که مدیران برنامه، پروژه و سیاست در سطوح تعیین‌شده USAF هستند، استفاده می‌شود.</w:t>
      </w:r>
    </w:p>
    <w:p>
      <w:pPr>
        <w:spacing w:after="28" w:line="216" w:lineRule="auto"/>
        <w:ind w:left="259"/>
        <w:jc w:val="left"/>
      </w:pPr>
      <w:r>
        <w:rPr>
          <w:rFonts w:ascii="Arial" w:hAnsi="Arial"/>
          <w:color w:val="525252"/>
          <w:sz w:val="13"/>
        </w:rPr>
        <w:t>The title of Manager, in addition to the special SNCO positions of USAF career field managers and major command functional managers, is used for NCOs and SNCOs who are program, project, and policy managers at designated USAF levels.</w:t>
      </w:r>
    </w:p>
    <w:p>
      <w:pPr>
        <w:spacing w:after="20" w:line="223" w:lineRule="auto"/>
        <w:jc w:val="right"/>
        <w:bidi/>
      </w:pPr>
      <w:r>
        <w:rPr>
          <w:rFonts w:ascii="Arial" w:hAnsi="Arial"/>
          <w:sz w:val="16"/>
        </w:rPr>
        <w:t>114.21  آنها ممکن است پرسنلی داشته باشند که برای آنها کار می‌کنند یا نداشته باشند و ممکن است رهبر ثبت‌نام شده شعبه، بخش یا اداره باشند.</w:t>
      </w:r>
    </w:p>
    <w:p>
      <w:pPr>
        <w:spacing w:after="28" w:line="216" w:lineRule="auto"/>
        <w:ind w:left="259"/>
        <w:jc w:val="left"/>
      </w:pPr>
      <w:r>
        <w:rPr>
          <w:rFonts w:ascii="Arial" w:hAnsi="Arial"/>
          <w:color w:val="525252"/>
          <w:sz w:val="13"/>
        </w:rPr>
        <w:t>They may or may not have personnel working for them and may be the enlisted leader of the branch, division, or directorate.</w:t>
      </w:r>
    </w:p>
    <w:p>
      <w:pPr>
        <w:spacing w:after="20" w:line="223" w:lineRule="auto"/>
        <w:jc w:val="right"/>
        <w:bidi/>
      </w:pPr>
      <w:r>
        <w:rPr>
          <w:rFonts w:ascii="Arial" w:hAnsi="Arial"/>
          <w:sz w:val="16"/>
        </w:rPr>
        <w:t>114.22  رئیس.</w:t>
      </w:r>
    </w:p>
    <w:p>
      <w:pPr>
        <w:spacing w:after="28" w:line="216" w:lineRule="auto"/>
        <w:ind w:left="259"/>
        <w:jc w:val="left"/>
      </w:pPr>
      <w:r>
        <w:rPr>
          <w:rFonts w:ascii="Arial" w:hAnsi="Arial"/>
          <w:color w:val="525252"/>
          <w:sz w:val="13"/>
        </w:rPr>
        <w:t>Chief.</w:t>
      </w:r>
    </w:p>
    <w:p>
      <w:pPr>
        <w:spacing w:after="20" w:line="223" w:lineRule="auto"/>
        <w:jc w:val="right"/>
        <w:bidi/>
      </w:pPr>
      <w:r>
        <w:rPr>
          <w:rFonts w:ascii="Arial" w:hAnsi="Arial"/>
          <w:sz w:val="16"/>
        </w:rPr>
        <w:t>114.23  عنوان رئیس برای گروهبانان ارشد که مدیران برنامه، پروژه یا خط‌مشی در سطوح تعیین شده USAF هستند استفاده می‌شود.</w:t>
      </w:r>
    </w:p>
    <w:p>
      <w:pPr>
        <w:spacing w:after="28" w:line="216" w:lineRule="auto"/>
        <w:ind w:left="259"/>
        <w:jc w:val="left"/>
      </w:pPr>
      <w:r>
        <w:rPr>
          <w:rFonts w:ascii="Arial" w:hAnsi="Arial"/>
          <w:color w:val="525252"/>
          <w:sz w:val="13"/>
        </w:rPr>
        <w:t>The title of Chief is used for Chief Master Sergeants who are program, project, or policy managers at designated USAF levels.</w:t>
      </w:r>
    </w:p>
    <w:p>
      <w:pPr>
        <w:spacing w:after="20" w:line="223" w:lineRule="auto"/>
        <w:jc w:val="right"/>
        <w:bidi/>
      </w:pPr>
      <w:r>
        <w:rPr>
          <w:rFonts w:ascii="Arial" w:hAnsi="Arial"/>
          <w:sz w:val="16"/>
        </w:rPr>
        <w:t>114.24  آنها ممکن است پرسنلی داشته باشند که برای آنها کار می‌کنند یا نداشته باشند و ممکن است رهبر ثبت‌نام شده شعبه، بخش یا اداره باشند.</w:t>
      </w:r>
    </w:p>
    <w:p>
      <w:pPr>
        <w:spacing w:after="28" w:line="216" w:lineRule="auto"/>
        <w:ind w:left="259"/>
        <w:jc w:val="left"/>
      </w:pPr>
      <w:r>
        <w:rPr>
          <w:rFonts w:ascii="Arial" w:hAnsi="Arial"/>
          <w:color w:val="525252"/>
          <w:sz w:val="13"/>
        </w:rPr>
        <w:t>They may or may not have personnel working for them and may be the enlisted leader of the branch, division, or directorate.</w:t>
      </w:r>
    </w:p>
    <w:p>
      <w:pPr>
        <w:spacing w:before="60" w:after="28"/>
        <w:jc w:val="right"/>
        <w:bidi/>
      </w:pPr>
      <w:r>
        <w:rPr>
          <w:b/>
          <w:color w:val="1F4D78"/>
          <w:sz w:val="18"/>
        </w:rPr>
        <w:t>7.9. موقعیت های انتخابی ارشد</w:t>
      </w:r>
    </w:p>
    <w:p>
      <w:pPr>
        <w:spacing w:after="20"/>
        <w:ind w:left="259"/>
        <w:jc w:val="left"/>
      </w:pPr>
      <w:r>
        <w:rPr>
          <w:color w:val="555555"/>
          <w:sz w:val="12"/>
        </w:rPr>
        <w:t>7.9. Selective Senior Enlisted Positions</w:t>
      </w:r>
    </w:p>
    <w:p>
      <w:pPr>
        <w:spacing w:after="20" w:line="223" w:lineRule="auto"/>
        <w:jc w:val="right"/>
        <w:bidi/>
      </w:pPr>
      <w:r>
        <w:rPr>
          <w:rFonts w:ascii="Arial" w:hAnsi="Arial"/>
          <w:sz w:val="16"/>
        </w:rPr>
        <w:t>114.26  هوانوردان ممکن است در سمت‌های رهبری یا وظیفه در داخل یا خارج از تخصص عملکردی خود خدمت کنند.</w:t>
      </w:r>
    </w:p>
    <w:p>
      <w:pPr>
        <w:spacing w:after="28" w:line="216" w:lineRule="auto"/>
        <w:ind w:left="259"/>
        <w:jc w:val="left"/>
      </w:pPr>
      <w:r>
        <w:rPr>
          <w:rFonts w:ascii="Arial" w:hAnsi="Arial"/>
          <w:color w:val="525252"/>
          <w:sz w:val="13"/>
        </w:rPr>
        <w:t>Airmen may serve in leadership or duty positions within or outside their functional specialty.</w:t>
      </w:r>
    </w:p>
    <w:p>
      <w:pPr>
        <w:spacing w:after="20" w:line="223" w:lineRule="auto"/>
        <w:jc w:val="right"/>
        <w:bidi/>
      </w:pPr>
      <w:r>
        <w:rPr>
          <w:rFonts w:ascii="Arial" w:hAnsi="Arial"/>
          <w:sz w:val="16"/>
        </w:rPr>
        <w:t>114.27  برای موقعیت‌های وظیفه ویژه اضافی، به فهرست رده‌بندی سربازان نیروی هوایی مراجعه کنید.</w:t>
      </w:r>
    </w:p>
    <w:p>
      <w:pPr>
        <w:spacing w:after="28" w:line="216" w:lineRule="auto"/>
        <w:ind w:left="259"/>
        <w:jc w:val="left"/>
      </w:pPr>
      <w:r>
        <w:rPr>
          <w:rFonts w:ascii="Arial" w:hAnsi="Arial"/>
          <w:color w:val="525252"/>
          <w:sz w:val="13"/>
        </w:rPr>
        <w:t>For additional special duty positions, refer to the Air Force Enlisted Classification Directory.</w:t>
      </w:r>
    </w:p>
    <w:p>
      <w:pPr>
        <w:spacing w:after="20" w:line="223" w:lineRule="auto"/>
        <w:jc w:val="right"/>
        <w:bidi/>
      </w:pPr>
      <w:r>
        <w:rPr>
          <w:rFonts w:ascii="Arial" w:hAnsi="Arial"/>
          <w:sz w:val="16"/>
        </w:rPr>
        <w:t>114.28  فرمانده گروهبان نیروی هوایی.</w:t>
      </w:r>
    </w:p>
    <w:p>
      <w:pPr>
        <w:spacing w:after="28" w:line="216" w:lineRule="auto"/>
        <w:ind w:left="259"/>
        <w:jc w:val="left"/>
      </w:pPr>
      <w:r>
        <w:rPr>
          <w:rFonts w:ascii="Arial" w:hAnsi="Arial"/>
          <w:color w:val="525252"/>
          <w:sz w:val="13"/>
        </w:rPr>
        <w:t>Chief Master Sergeant of the Air Force.</w:t>
      </w:r>
    </w:p>
    <w:p>
      <w:pPr>
        <w:spacing w:after="20" w:line="223" w:lineRule="auto"/>
        <w:jc w:val="right"/>
        <w:bidi/>
      </w:pPr>
      <w:r>
        <w:rPr>
          <w:rFonts w:ascii="Arial" w:hAnsi="Arial"/>
          <w:sz w:val="16"/>
        </w:rPr>
        <w:t>114.29  CMSAF رهبر ارشد سربازی USAF است و بر همه اعضای ثبت‌نام شده USAF اولویت دارد.</w:t>
      </w:r>
    </w:p>
    <w:p>
      <w:pPr>
        <w:spacing w:after="28" w:line="216" w:lineRule="auto"/>
        <w:ind w:left="259"/>
        <w:jc w:val="left"/>
      </w:pPr>
      <w:r>
        <w:rPr>
          <w:rFonts w:ascii="Arial" w:hAnsi="Arial"/>
          <w:color w:val="525252"/>
          <w:sz w:val="13"/>
        </w:rPr>
        <w:t>The CMSAF is the senior enlisted leader of the USAF and takes precedence over all USAF enlisted members.</w:t>
      </w:r>
    </w:p>
    <w:p>
      <w:pPr>
        <w:spacing w:after="20" w:line="223" w:lineRule="auto"/>
        <w:jc w:val="right"/>
        <w:bidi/>
      </w:pPr>
      <w:r>
        <w:rPr>
          <w:rFonts w:ascii="Arial" w:hAnsi="Arial"/>
          <w:sz w:val="16"/>
        </w:rPr>
        <w:t>114.30  CMSAF رهبری نیروهای اعزامی را فراهم می‌کند و به رئیس ستاد نیروی هوایی، وزیر نیروی هوایی، رئیس ستاد مشترک ارتش و وزیر دفاع در مورد مسائل مربوط به سربازان هوایی و خانواده‌هایشان مشاوره می‌دهد.</w:t>
      </w:r>
    </w:p>
    <w:p>
      <w:pPr>
        <w:spacing w:after="28" w:line="216" w:lineRule="auto"/>
        <w:ind w:left="259"/>
        <w:jc w:val="left"/>
      </w:pPr>
      <w:r>
        <w:rPr>
          <w:rFonts w:ascii="Arial" w:hAnsi="Arial"/>
          <w:color w:val="525252"/>
          <w:sz w:val="13"/>
        </w:rPr>
        <w:t>The CMSAF provides leadership to the enlisted force and advises the Chief of Staff of the Air Force, Secretary of the Air Force, Chairman of the Joint Chiefs of Staff, and the Secretary of Defense on enlisted matters for Airmen and their families.</w:t>
      </w:r>
    </w:p>
    <w:p>
      <w:pPr>
        <w:spacing w:after="20" w:line="223" w:lineRule="auto"/>
        <w:jc w:val="right"/>
        <w:bidi/>
      </w:pPr>
      <w:r>
        <w:rPr>
          <w:rFonts w:ascii="Arial" w:hAnsi="Arial"/>
          <w:sz w:val="16"/>
        </w:rPr>
        <w:t>114.31  CMSAF با نیرو ارتباط برقرار می‌کند، در هیئت‌ها و کمیته‌های سازمان‌هایی که بر نیروهای هوایی اثر می‌گذارند خدمت می‌کند، در مقابل کنگره شهادت می‌دهد، و مدیر حوزه شغلی USAF برای فرماندهان ارشد فرماندهی و سرپرستان گروه است.</w:t>
      </w:r>
    </w:p>
    <w:p>
      <w:pPr>
        <w:spacing w:after="28" w:line="216" w:lineRule="auto"/>
        <w:ind w:left="259"/>
        <w:jc w:val="left"/>
      </w:pPr>
      <w:r>
        <w:rPr>
          <w:rFonts w:ascii="Arial" w:hAnsi="Arial"/>
          <w:color w:val="525252"/>
          <w:sz w:val="13"/>
        </w:rPr>
        <w:t>The CMSAF communicates with the force, serves on boards and committees for organizations affecting Airmen, testifies before Congress, and is the USAF career field manager for command chief master sergeants and group superintendents.</w:t>
      </w:r>
    </w:p>
    <w:p>
      <w:pPr>
        <w:spacing w:after="20" w:line="223" w:lineRule="auto"/>
        <w:jc w:val="right"/>
        <w:bidi/>
      </w:pPr>
      <w:r>
        <w:rPr>
          <w:rFonts w:ascii="Arial" w:hAnsi="Arial"/>
          <w:sz w:val="16"/>
        </w:rPr>
        <w:t>114.32  CMSAF با مشاوران ارشد استخدام شده خدمات خواهر در مورد مسائلی که بر همه اعضای ثبت‌نام شده تأثیر می‌گذارد، مشورت می‌کند. با رهبران نظامی خارجی درباره همکاری‌های امنیتی تئاتر و تلاش‌های توسعه کشور شریک تعامل می‌کند.</w:t>
      </w:r>
    </w:p>
    <w:p>
      <w:pPr>
        <w:spacing w:after="28" w:line="216" w:lineRule="auto"/>
        <w:ind w:left="259"/>
        <w:jc w:val="left"/>
      </w:pPr>
      <w:r>
        <w:rPr>
          <w:rFonts w:ascii="Arial" w:hAnsi="Arial"/>
          <w:color w:val="525252"/>
          <w:sz w:val="13"/>
        </w:rPr>
        <w:t>The CMSAF consults with sister service senior enlisted advisors on issues affecting all enlisted members; engages with foreign military leaders regarding theater security cooperation and partner nation development efforts;</w:t>
      </w:r>
    </w:p>
    <w:p>
      <w:r>
        <w:br w:type="page"/>
      </w:r>
    </w:p>
    <w:p>
      <w:pPr>
        <w:spacing w:after="60"/>
        <w:jc w:val="right"/>
        <w:bidi/>
      </w:pPr>
      <w:r>
        <w:rPr>
          <w:rFonts w:ascii="Arial" w:hAnsi="Arial"/>
          <w:b/>
          <w:color w:val="1F4D78"/>
          <w:sz w:val="19"/>
        </w:rPr>
        <w:t>هفتهٔ 115  |  صفحهٔ منبع: 131</w:t>
      </w:r>
    </w:p>
    <w:p>
      <w:pPr>
        <w:spacing w:after="20" w:line="223" w:lineRule="auto"/>
        <w:jc w:val="right"/>
        <w:bidi/>
      </w:pPr>
      <w:r>
        <w:rPr>
          <w:rFonts w:ascii="Arial" w:hAnsi="Arial"/>
          <w:sz w:val="16"/>
        </w:rPr>
        <w:t>115.01  نماینده USAF برای عموم مردم، سازمان‌های حرفه‌ای و رسانه‌های آمریکایی است. و برنامه وردر وف ت سوورد نیروی هوایی را مدیریت می‌کند.</w:t>
      </w:r>
    </w:p>
    <w:p>
      <w:pPr>
        <w:spacing w:after="28" w:line="216" w:lineRule="auto"/>
        <w:ind w:left="259"/>
        <w:jc w:val="left"/>
      </w:pPr>
      <w:r>
        <w:rPr>
          <w:rFonts w:ascii="Arial" w:hAnsi="Arial"/>
          <w:color w:val="525252"/>
          <w:sz w:val="13"/>
        </w:rPr>
        <w:t>represents the USAF to the American public, professional organizations, and media; and manages the Air Force Order of the Sword Program.</w:t>
      </w:r>
    </w:p>
    <w:p>
      <w:pPr>
        <w:spacing w:after="20" w:line="223" w:lineRule="auto"/>
        <w:jc w:val="right"/>
        <w:bidi/>
      </w:pPr>
      <w:r>
        <w:rPr>
          <w:rFonts w:ascii="Arial" w:hAnsi="Arial"/>
          <w:sz w:val="16"/>
        </w:rPr>
        <w:t>115.02  مخفف نوشته شده "CMSAF" و اصطلاح رسمی آدرس "سرگروهبان ارشد نیروی هوایی" یا "رئیس" است. توجه: ایجاد یک موقعیت CMSAF در ابتدا توسط شورای مشورتی هوانوردی انجمن نیروی هوایی در سال ۱۹۶۴ پیشنهاد شد.</w:t>
      </w:r>
    </w:p>
    <w:p>
      <w:pPr>
        <w:spacing w:after="28" w:line="216" w:lineRule="auto"/>
        <w:ind w:left="259"/>
        <w:jc w:val="left"/>
      </w:pPr>
      <w:r>
        <w:rPr>
          <w:rFonts w:ascii="Arial" w:hAnsi="Arial"/>
          <w:color w:val="525252"/>
          <w:sz w:val="13"/>
        </w:rPr>
        <w:t>The written abbreviation is “CMSAF,” and the official term of address is “Chief Master Sergeant of the Air Force” or “Chief.” Note: Establishing a CMSAF position was initially proposed by the Air Force Association’s Airman Advisory Council in 1964.</w:t>
      </w:r>
    </w:p>
    <w:p>
      <w:pPr>
        <w:spacing w:after="20" w:line="223" w:lineRule="auto"/>
        <w:jc w:val="right"/>
        <w:bidi/>
      </w:pPr>
      <w:r>
        <w:rPr>
          <w:rFonts w:ascii="Arial" w:hAnsi="Arial"/>
          <w:sz w:val="16"/>
        </w:rPr>
        <w:t>115.03  در سال ۱۹۶۶، مندل ریورز، عضو کنگره، لایحه‌ای ارائه کرد که هر یک از خدمات را موظف می‌کرد تا یک عضو ارشد استخدام شده را منصوب کنند.</w:t>
      </w:r>
    </w:p>
    <w:p>
      <w:pPr>
        <w:spacing w:after="28" w:line="216" w:lineRule="auto"/>
        <w:ind w:left="259"/>
        <w:jc w:val="left"/>
      </w:pPr>
      <w:r>
        <w:rPr>
          <w:rFonts w:ascii="Arial" w:hAnsi="Arial"/>
          <w:color w:val="525252"/>
          <w:sz w:val="13"/>
        </w:rPr>
        <w:t>In 1966, Congressman Mendel Rivers introduced a bill that would mandate each of the services to appoint one senior enlisted member.</w:t>
      </w:r>
    </w:p>
    <w:p>
      <w:pPr>
        <w:spacing w:after="20" w:line="223" w:lineRule="auto"/>
        <w:jc w:val="right"/>
        <w:bidi/>
      </w:pPr>
      <w:r>
        <w:rPr>
          <w:rFonts w:ascii="Arial" w:hAnsi="Arial"/>
          <w:sz w:val="16"/>
        </w:rPr>
        <w:t>115.04  عضو ارشد ثبت‌نام شده برای USAF به‌عنوان مشاور ارشد استخدام شده رئیس ستاد نیروی هوایی خدمت خواهد کرد.</w:t>
      </w:r>
    </w:p>
    <w:p>
      <w:pPr>
        <w:spacing w:after="28" w:line="216" w:lineRule="auto"/>
        <w:ind w:left="259"/>
        <w:jc w:val="left"/>
      </w:pPr>
      <w:r>
        <w:rPr>
          <w:rFonts w:ascii="Arial" w:hAnsi="Arial"/>
          <w:color w:val="525252"/>
          <w:sz w:val="13"/>
        </w:rPr>
        <w:t>The senior enlisted member for the USAF would serve as the senior enlisted advisor to the Chief of Staff of the Air Force.</w:t>
      </w:r>
    </w:p>
    <w:p>
      <w:pPr>
        <w:spacing w:after="20" w:line="223" w:lineRule="auto"/>
        <w:jc w:val="right"/>
        <w:bidi/>
      </w:pPr>
      <w:r>
        <w:rPr>
          <w:rFonts w:ascii="Arial" w:hAnsi="Arial"/>
          <w:sz w:val="16"/>
        </w:rPr>
        <w:t>115.05  سپاه تفنگداران دریایی پیش‌تر در سال ۱۹۵۷ سمت گروهبان سرگرد نیروی دریایی را ایجاد کرده بود و ارتش پیش‌تر موقعیت گروهبان سرلشکر ارتش را در سال ۱۹۶۵ ایجاد کرده بود.</w:t>
      </w:r>
    </w:p>
    <w:p>
      <w:pPr>
        <w:spacing w:after="28" w:line="216" w:lineRule="auto"/>
        <w:ind w:left="259"/>
        <w:jc w:val="left"/>
      </w:pPr>
      <w:r>
        <w:rPr>
          <w:rFonts w:ascii="Arial" w:hAnsi="Arial"/>
          <w:color w:val="525252"/>
          <w:sz w:val="13"/>
        </w:rPr>
        <w:t>The Marine Corps had already created the position of Sergeant Major of the Marine Corps in 1957, and the Army had already created the position of Sergeant Major of the Army in 1965.</w:t>
      </w:r>
    </w:p>
    <w:p>
      <w:pPr>
        <w:spacing w:after="20" w:line="223" w:lineRule="auto"/>
        <w:jc w:val="right"/>
        <w:bidi/>
      </w:pPr>
      <w:r>
        <w:rPr>
          <w:rFonts w:ascii="Arial" w:hAnsi="Arial"/>
          <w:sz w:val="16"/>
        </w:rPr>
        <w:t>115.06  اگرچه لایحه ریورز هرگز تصویب نشد، USAF حمایت فوق‌العاده پشت این پیشنهاد را تشخیص داد.</w:t>
      </w:r>
    </w:p>
    <w:p>
      <w:pPr>
        <w:spacing w:after="28" w:line="216" w:lineRule="auto"/>
        <w:ind w:left="259"/>
        <w:jc w:val="left"/>
      </w:pPr>
      <w:r>
        <w:rPr>
          <w:rFonts w:ascii="Arial" w:hAnsi="Arial"/>
          <w:color w:val="525252"/>
          <w:sz w:val="13"/>
        </w:rPr>
        <w:t>Although the Rivers bill never passed, the USAF recognized the tremendous support behind the proposal.</w:t>
      </w:r>
    </w:p>
    <w:p>
      <w:pPr>
        <w:spacing w:after="20" w:line="223" w:lineRule="auto"/>
        <w:jc w:val="right"/>
        <w:bidi/>
      </w:pPr>
      <w:r>
        <w:rPr>
          <w:rFonts w:ascii="Arial" w:hAnsi="Arial"/>
          <w:sz w:val="16"/>
        </w:rPr>
        <w:t>115.07  در اکتبر ۱۹۶۶، رئیس ستاد نیروی هوایی ژنرال جان پی مک کانل، موقعیت تازه ایجاد شده CMSAF را اعلام کرد.</w:t>
      </w:r>
    </w:p>
    <w:p>
      <w:pPr>
        <w:spacing w:after="28" w:line="216" w:lineRule="auto"/>
        <w:ind w:left="259"/>
        <w:jc w:val="left"/>
      </w:pPr>
      <w:r>
        <w:rPr>
          <w:rFonts w:ascii="Arial" w:hAnsi="Arial"/>
          <w:color w:val="525252"/>
          <w:sz w:val="13"/>
        </w:rPr>
        <w:t>In October 1966, Chief of Staff of the Air Force General John P. McConnell announced the newly created position of CMSAF.</w:t>
      </w:r>
    </w:p>
    <w:p>
      <w:pPr>
        <w:spacing w:after="20" w:line="223" w:lineRule="auto"/>
        <w:jc w:val="right"/>
        <w:bidi/>
      </w:pPr>
      <w:r>
        <w:rPr>
          <w:rFonts w:ascii="Arial" w:hAnsi="Arial"/>
          <w:sz w:val="16"/>
        </w:rPr>
        <w:t>115.08  در آوریل ۱۹۶۷، رئیس پل دبلیو آیری اولین کسی بود که نشان منحصر به فرد CMSAF را با تاج گل دور ستاره به تن کرد.</w:t>
      </w:r>
    </w:p>
    <w:p>
      <w:pPr>
        <w:spacing w:after="28" w:line="216" w:lineRule="auto"/>
        <w:ind w:left="259"/>
        <w:jc w:val="left"/>
      </w:pPr>
      <w:r>
        <w:rPr>
          <w:rFonts w:ascii="Arial" w:hAnsi="Arial"/>
          <w:color w:val="525252"/>
          <w:sz w:val="13"/>
        </w:rPr>
        <w:t>In April 1967, Chief Paul W. Airey became the first to wear the unique CMSAF insignia with the wreath around the star.</w:t>
      </w:r>
    </w:p>
    <w:p>
      <w:pPr>
        <w:spacing w:after="20" w:line="223" w:lineRule="auto"/>
        <w:jc w:val="right"/>
        <w:bidi/>
      </w:pPr>
      <w:r>
        <w:rPr>
          <w:rFonts w:ascii="Arial" w:hAnsi="Arial"/>
          <w:sz w:val="16"/>
        </w:rPr>
        <w:t>115.09  به پیوست ۵، سرگروهبانان ارشد نیروی هوایی، برای عکس و بیوگرافی مختصری از همه CMSAF ها مراجعه کنید.</w:t>
      </w:r>
    </w:p>
    <w:p>
      <w:pPr>
        <w:spacing w:after="28" w:line="216" w:lineRule="auto"/>
        <w:ind w:left="259"/>
        <w:jc w:val="left"/>
      </w:pPr>
      <w:r>
        <w:rPr>
          <w:rFonts w:ascii="Arial" w:hAnsi="Arial"/>
          <w:color w:val="525252"/>
          <w:sz w:val="13"/>
        </w:rPr>
        <w:t>See Attachment 5, Chief Master Sergeants of the Air Force, for a photo and brief biography of all CMSAFs.</w:t>
      </w:r>
    </w:p>
    <w:p>
      <w:pPr>
        <w:spacing w:after="20" w:line="223" w:lineRule="auto"/>
        <w:jc w:val="right"/>
        <w:bidi/>
      </w:pPr>
      <w:r>
        <w:rPr>
          <w:rFonts w:ascii="Arial" w:hAnsi="Arial"/>
          <w:sz w:val="16"/>
        </w:rPr>
        <w:t>115.10  فرماندهی فرمانده گروهبان.</w:t>
      </w:r>
    </w:p>
    <w:p>
      <w:pPr>
        <w:spacing w:after="28" w:line="216" w:lineRule="auto"/>
        <w:ind w:left="259"/>
        <w:jc w:val="left"/>
      </w:pPr>
      <w:r>
        <w:rPr>
          <w:rFonts w:ascii="Arial" w:hAnsi="Arial"/>
          <w:color w:val="525252"/>
          <w:sz w:val="13"/>
        </w:rPr>
        <w:t>Command Chief Master Sergeant.</w:t>
      </w:r>
    </w:p>
    <w:p>
      <w:pPr>
        <w:spacing w:after="20" w:line="223" w:lineRule="auto"/>
        <w:jc w:val="right"/>
        <w:bidi/>
      </w:pPr>
      <w:r>
        <w:rPr>
          <w:rFonts w:ascii="Arial" w:hAnsi="Arial"/>
          <w:sz w:val="16"/>
        </w:rPr>
        <w:t>115.11  عنوان فرماندهی فرمانده گروهبان (CCM) برای فرمانده ارشد سرباز در سطح تعیین شده USAF - به‌طور سنتی در بالها، مراکز، نیروهای هوایی شماره (NAF) و فرماندهی اصلی (MAJCOM) اعمال می‌شود.</w:t>
      </w:r>
    </w:p>
    <w:p>
      <w:pPr>
        <w:spacing w:after="28" w:line="216" w:lineRule="auto"/>
        <w:ind w:left="259"/>
        <w:jc w:val="left"/>
      </w:pPr>
      <w:r>
        <w:rPr>
          <w:rFonts w:ascii="Arial" w:hAnsi="Arial"/>
          <w:color w:val="525252"/>
          <w:sz w:val="13"/>
        </w:rPr>
        <w:t>The title of Command Chief Master Sergeant (CCM) applies to the senior enlisted leader in a designated USAF level - traditionally at wings, centers, numbered air forces (NAF), and major commands (MAJCOM).</w:t>
      </w:r>
    </w:p>
    <w:p>
      <w:pPr>
        <w:spacing w:after="20" w:line="223" w:lineRule="auto"/>
        <w:jc w:val="right"/>
        <w:bidi/>
      </w:pPr>
      <w:r>
        <w:rPr>
          <w:rFonts w:ascii="Arial" w:hAnsi="Arial"/>
          <w:sz w:val="16"/>
        </w:rPr>
        <w:t>115.12  فرمانده فرماندهی فرماندهی، نظارت کلی بر نیروهای اعزامی فرماندهی انجام می‌دهد و مسئول مشاوره فرماندهان و کارکنان در مورد اثربخشی مأموریت، توسعه حرفه‌ای، شناسایی، نامزدی و استخدام نیروی هوایی کلیدی، ارتقاء سریع، ارزیابی عملکرد، آمادگی نظامی، آموزش، بهره‌برداری، سلامتی و اقدامات سازمانی برای فهرست کردن سازمان‌ها است. کمبودها یا چالش‌ها</w:t>
      </w:r>
    </w:p>
    <w:p>
      <w:pPr>
        <w:spacing w:after="28" w:line="216" w:lineRule="auto"/>
        <w:ind w:left="259"/>
        <w:jc w:val="left"/>
      </w:pPr>
      <w:r>
        <w:rPr>
          <w:rFonts w:ascii="Arial" w:hAnsi="Arial"/>
          <w:color w:val="525252"/>
          <w:sz w:val="13"/>
        </w:rPr>
        <w:t>The command chief master sergeant provides general supervision to the command’s enlisted force and is responsible for advising commanders and staff on mission effectiveness, professional development, recognition, key enlisted Airmen nominations and hires, accelerated promotions, performance evaluations, military readiness, training, utilization, health, morale, and welfare of the organization’s enlisted, and takes action to address shortfalls or challenges.</w:t>
      </w:r>
    </w:p>
    <w:p>
      <w:pPr>
        <w:spacing w:after="20" w:line="223" w:lineRule="auto"/>
        <w:jc w:val="right"/>
        <w:bidi/>
      </w:pPr>
      <w:r>
        <w:rPr>
          <w:rFonts w:ascii="Arial" w:hAnsi="Arial"/>
          <w:sz w:val="16"/>
        </w:rPr>
        <w:t>115.13  آنها همچنین به‌طور منظم از نیروهای هوایی بازدید می‌کنند تا شامل سفر به واحدها/عناصر جدا از هم جغرافیایی باشد. تعامل با همتایان خدمات خواهر؛ به‌عنوان یک رابط با جامعه محلی و همکاری نزدیک با آنها و اطمینان از آمادگی نیروهای ثبت‌نام شده برای برآورده کردن الزامات مأموریت (هم در محل و هم مستقر).</w:t>
      </w:r>
    </w:p>
    <w:p>
      <w:pPr>
        <w:spacing w:after="28" w:line="216" w:lineRule="auto"/>
        <w:ind w:left="259"/>
        <w:jc w:val="left"/>
      </w:pPr>
      <w:r>
        <w:rPr>
          <w:rFonts w:ascii="Arial" w:hAnsi="Arial"/>
          <w:color w:val="525252"/>
          <w:sz w:val="13"/>
        </w:rPr>
        <w:t>They also regularly visit Airmen, to include traveling to geographically separated units/elements; interact with sister service counterparts; serve as a liaison to and work closely with the local community and ensure the enlisted force is ready to meet mission requirements (both in-place and deployed).</w:t>
      </w:r>
    </w:p>
    <w:p>
      <w:pPr>
        <w:spacing w:after="20" w:line="223" w:lineRule="auto"/>
        <w:jc w:val="right"/>
        <w:bidi/>
      </w:pPr>
      <w:r>
        <w:rPr>
          <w:rFonts w:ascii="Arial" w:hAnsi="Arial"/>
          <w:sz w:val="16"/>
        </w:rPr>
        <w:t>115.14  فرماندهان ارشد فرماندهی رگاف با توصیه به رتبه‌بندی ارشد و اعضای هیئت در مورد پتانسیل سربازان نیروی هوایی برای خدمت در درجه بالاتر بعدی، در پانل توزیع نیرو خدمت می‌کنند.</w:t>
      </w:r>
    </w:p>
    <w:p>
      <w:pPr>
        <w:spacing w:after="28" w:line="216" w:lineRule="auto"/>
        <w:ind w:left="259"/>
        <w:jc w:val="left"/>
      </w:pPr>
      <w:r>
        <w:rPr>
          <w:rFonts w:ascii="Arial" w:hAnsi="Arial"/>
          <w:color w:val="525252"/>
          <w:sz w:val="13"/>
        </w:rPr>
        <w:t>RegAF command chief master sergeants serve on the enlisted force distribution panel by advising their senior rater and panel membership on enlisted Airmen’s potential to serve in the next higher grade.</w:t>
      </w:r>
    </w:p>
    <w:p>
      <w:pPr>
        <w:spacing w:after="20" w:line="223" w:lineRule="auto"/>
        <w:jc w:val="right"/>
        <w:bidi/>
      </w:pPr>
      <w:r>
        <w:rPr>
          <w:rFonts w:ascii="Arial" w:hAnsi="Arial"/>
          <w:sz w:val="16"/>
        </w:rPr>
        <w:t>115.15  آنها در انتخاب و نامزدی هوانوردان درجه‌دار برای پست‌های مسئولیت بیشتر، برای شامل وظایف ویژه توسعه، کمک و توصیه می‌کنند.</w:t>
      </w:r>
    </w:p>
    <w:p>
      <w:pPr>
        <w:spacing w:after="28" w:line="216" w:lineRule="auto"/>
        <w:ind w:left="259"/>
        <w:jc w:val="left"/>
      </w:pPr>
      <w:r>
        <w:rPr>
          <w:rFonts w:ascii="Arial" w:hAnsi="Arial"/>
          <w:color w:val="525252"/>
          <w:sz w:val="13"/>
        </w:rPr>
        <w:t>They assist and advise in the selection and nomination of enlisted Airmen for positions of greater responsibility, to include developmental special duties.</w:t>
      </w:r>
    </w:p>
    <w:p>
      <w:pPr>
        <w:spacing w:after="20" w:line="223" w:lineRule="auto"/>
        <w:jc w:val="right"/>
        <w:bidi/>
      </w:pPr>
      <w:r>
        <w:rPr>
          <w:rFonts w:ascii="Arial" w:hAnsi="Arial"/>
          <w:sz w:val="16"/>
        </w:rPr>
        <w:t>115.16  فرمانده گروهبان فرمانده عملیاتی برای رهبران ارشد سرباز یگان زیردست و گروهبانان یکم در سازمان آنها است و سایر وظایف را طبق نیاز/به دستور فرمانده آنها انجام می‌دهد.</w:t>
      </w:r>
    </w:p>
    <w:p>
      <w:pPr>
        <w:spacing w:after="28" w:line="216" w:lineRule="auto"/>
        <w:ind w:left="259"/>
        <w:jc w:val="left"/>
      </w:pPr>
      <w:r>
        <w:rPr>
          <w:rFonts w:ascii="Arial" w:hAnsi="Arial"/>
          <w:color w:val="525252"/>
          <w:sz w:val="13"/>
        </w:rPr>
        <w:t>The command chief master sergeant is the functional manager for subordinate unit’s senior enlisted leaders and first sergeants in their organization, and performs other duties as required/directed by their commander.</w:t>
      </w:r>
    </w:p>
    <w:p>
      <w:pPr>
        <w:spacing w:after="20" w:line="223" w:lineRule="auto"/>
        <w:jc w:val="right"/>
        <w:bidi/>
      </w:pPr>
      <w:r>
        <w:rPr>
          <w:rFonts w:ascii="Arial" w:hAnsi="Arial"/>
          <w:sz w:val="16"/>
        </w:rPr>
        <w:t>115.17  توجه: از عناوین سنیور نلیستد ادویسور (SEA)، سنیور نلیستد لادر (SEL) و چیف نلیستد ماناگر (CEM) تنها زمانی استفاده می‌شود که دارای یک موقعیت تعیین شده و تأیید شده باشید.</w:t>
      </w:r>
    </w:p>
    <w:p>
      <w:pPr>
        <w:spacing w:after="28" w:line="216" w:lineRule="auto"/>
        <w:ind w:left="259"/>
        <w:jc w:val="left"/>
      </w:pPr>
      <w:r>
        <w:rPr>
          <w:rFonts w:ascii="Arial" w:hAnsi="Arial"/>
          <w:color w:val="525252"/>
          <w:sz w:val="13"/>
        </w:rPr>
        <w:t>Note: The titles of Senior Enlisted Advisor (SEA), Senior Enlisted Leader (SEL), and Chief Enlisted Manager (CEM) are only used when holding a designated and approved position.</w:t>
      </w:r>
    </w:p>
    <w:p>
      <w:pPr>
        <w:spacing w:after="20" w:line="223" w:lineRule="auto"/>
        <w:jc w:val="right"/>
        <w:bidi/>
      </w:pPr>
      <w:r>
        <w:rPr>
          <w:rFonts w:ascii="Arial" w:hAnsi="Arial"/>
          <w:sz w:val="16"/>
        </w:rPr>
        <w:t>115.18  معادل یک گروهبان ارشد فرماندهی در COCOM یا گروه ضربت مشترک (JTF) یک فرمانده ارشد CCMD یا گروه عملیات مشترک است.</w:t>
      </w:r>
    </w:p>
    <w:p>
      <w:pPr>
        <w:spacing w:after="28" w:line="216" w:lineRule="auto"/>
        <w:ind w:left="259"/>
        <w:jc w:val="left"/>
      </w:pPr>
      <w:r>
        <w:rPr>
          <w:rFonts w:ascii="Arial" w:hAnsi="Arial"/>
          <w:color w:val="525252"/>
          <w:sz w:val="13"/>
        </w:rPr>
        <w:t>The equivalent to a command chief master sergeant in a COCOM or joint task force (JTF) is a CCMD or joint task force senior enlisted leader.</w:t>
      </w:r>
    </w:p>
    <w:p>
      <w:pPr>
        <w:spacing w:after="20" w:line="223" w:lineRule="auto"/>
        <w:jc w:val="right"/>
        <w:bidi/>
      </w:pPr>
      <w:r>
        <w:rPr>
          <w:rFonts w:ascii="Arial" w:hAnsi="Arial"/>
          <w:sz w:val="16"/>
        </w:rPr>
        <w:t>115.19  استفاده تأیید شده از عناوین SEA و SEL اغلب در ساختارهای سازمانی مشترک و ائتلافی استفاده می‌شود و همیشه مترادف با نقش یک گروهبان ارشد فرماندهی نیست.</w:t>
      </w:r>
    </w:p>
    <w:p>
      <w:pPr>
        <w:spacing w:after="28" w:line="216" w:lineRule="auto"/>
        <w:ind w:left="259"/>
        <w:jc w:val="left"/>
      </w:pPr>
      <w:r>
        <w:rPr>
          <w:rFonts w:ascii="Arial" w:hAnsi="Arial"/>
          <w:color w:val="525252"/>
          <w:sz w:val="13"/>
        </w:rPr>
        <w:t>Approved use of the titles of SEA and SEL are often used in joint and coalition organizational structures and are not always synonymous with the role of a command chief master sergeant.</w:t>
      </w:r>
    </w:p>
    <w:p>
      <w:pPr>
        <w:spacing w:after="20" w:line="223" w:lineRule="auto"/>
        <w:jc w:val="right"/>
        <w:bidi/>
      </w:pPr>
      <w:r>
        <w:rPr>
          <w:rFonts w:ascii="Arial" w:hAnsi="Arial"/>
          <w:sz w:val="16"/>
        </w:rPr>
        <w:t>115.20  رهبر ارشد سرباز.</w:t>
      </w:r>
    </w:p>
    <w:p>
      <w:pPr>
        <w:spacing w:after="28" w:line="216" w:lineRule="auto"/>
        <w:ind w:left="259"/>
        <w:jc w:val="left"/>
      </w:pPr>
      <w:r>
        <w:rPr>
          <w:rFonts w:ascii="Arial" w:hAnsi="Arial"/>
          <w:color w:val="525252"/>
          <w:sz w:val="13"/>
        </w:rPr>
        <w:t>Senior Enlisted Leader.</w:t>
      </w:r>
    </w:p>
    <w:p>
      <w:pPr>
        <w:spacing w:after="20" w:line="223" w:lineRule="auto"/>
        <w:jc w:val="right"/>
        <w:bidi/>
      </w:pPr>
      <w:r>
        <w:rPr>
          <w:rFonts w:ascii="Arial" w:hAnsi="Arial"/>
          <w:sz w:val="16"/>
        </w:rPr>
        <w:t>115.21  این موقعیت به‌عنوان مشاور کلیدی در هر تیم و واحد فرماندهی عمل می‌کند.</w:t>
      </w:r>
    </w:p>
    <w:p>
      <w:pPr>
        <w:spacing w:after="28" w:line="216" w:lineRule="auto"/>
        <w:ind w:left="259"/>
        <w:jc w:val="left"/>
      </w:pPr>
      <w:r>
        <w:rPr>
          <w:rFonts w:ascii="Arial" w:hAnsi="Arial"/>
          <w:color w:val="525252"/>
          <w:sz w:val="13"/>
        </w:rPr>
        <w:t>This position serves as a key advisor in every command team and unit.</w:t>
      </w:r>
    </w:p>
    <w:p>
      <w:pPr>
        <w:spacing w:after="20" w:line="223" w:lineRule="auto"/>
        <w:jc w:val="right"/>
        <w:bidi/>
      </w:pPr>
      <w:r>
        <w:rPr>
          <w:rFonts w:ascii="Arial" w:hAnsi="Arial"/>
          <w:sz w:val="16"/>
        </w:rPr>
        <w:t>115.22  عنوان SEL برای SNCO های مسئول سطوح اسکادران، گروه و ستاد استفاده می‌شود.</w:t>
      </w:r>
    </w:p>
    <w:p>
      <w:pPr>
        <w:spacing w:after="28" w:line="216" w:lineRule="auto"/>
        <w:ind w:left="259"/>
        <w:jc w:val="left"/>
      </w:pPr>
      <w:r>
        <w:rPr>
          <w:rFonts w:ascii="Arial" w:hAnsi="Arial"/>
          <w:color w:val="525252"/>
          <w:sz w:val="13"/>
        </w:rPr>
        <w:t>The title of SEL is used for SNCOs in charge of squadron, group, and headquarters levels.</w:t>
      </w:r>
    </w:p>
    <w:p>
      <w:pPr>
        <w:spacing w:after="20" w:line="223" w:lineRule="auto"/>
        <w:jc w:val="right"/>
        <w:bidi/>
      </w:pPr>
      <w:r>
        <w:rPr>
          <w:rFonts w:ascii="Arial" w:hAnsi="Arial"/>
          <w:sz w:val="16"/>
        </w:rPr>
        <w:t>115.23  این رهبران استخدام شده، راهنمایی، راهنمایی، تجربه و تخصص را در سازماندهی، تجهیز، آموزش، و بسیج نیروی ثبت‌نام شده سازمان برای برآوردن الزامات ایستگاه اصلی و مأموریت اعزامی ارائه می‌کنند.</w:t>
      </w:r>
    </w:p>
    <w:p>
      <w:pPr>
        <w:spacing w:after="28" w:line="216" w:lineRule="auto"/>
        <w:ind w:left="259"/>
        <w:jc w:val="left"/>
      </w:pPr>
      <w:r>
        <w:rPr>
          <w:rFonts w:ascii="Arial" w:hAnsi="Arial"/>
          <w:color w:val="525252"/>
          <w:sz w:val="13"/>
        </w:rPr>
        <w:t>These enlisted leaders provide mentorship, guidance, experience, and expertise in organizing, equipping, training, and mobilizing the organization’s enlisted force to meet home station and expeditionary mission requirements.</w:t>
      </w:r>
    </w:p>
    <w:p>
      <w:pPr>
        <w:spacing w:after="20" w:line="223" w:lineRule="auto"/>
        <w:jc w:val="right"/>
        <w:bidi/>
      </w:pPr>
      <w:r>
        <w:rPr>
          <w:rFonts w:ascii="Arial" w:hAnsi="Arial"/>
          <w:sz w:val="16"/>
        </w:rPr>
        <w:t>115.24  نیروهای رگاف SEL ممکن است از فرماندهان، مدیران، و رهبران همکار ثبت‌نام شده قبل از پانل توزیع نیروی نام نویسی شده در مورد عملکرد و پتانسیل هوانوردان واجد شرایط ارتقاء برای خدمت در درجه بالاتر بعدی پشتیبانی و مشاوره کنند.</w:t>
      </w:r>
    </w:p>
    <w:p>
      <w:pPr>
        <w:spacing w:after="28" w:line="216" w:lineRule="auto"/>
        <w:ind w:left="259"/>
        <w:jc w:val="left"/>
      </w:pPr>
      <w:r>
        <w:rPr>
          <w:rFonts w:ascii="Arial" w:hAnsi="Arial"/>
          <w:color w:val="525252"/>
          <w:sz w:val="13"/>
        </w:rPr>
        <w:t>RegAF SELs may support and advise commanders, directors, and fellow enlisted leaders prior to the enlisted force distribution panel on promotion eligible Airmen’s performance and potential to serve in the next higher grade.</w:t>
      </w:r>
    </w:p>
    <w:p>
      <w:pPr>
        <w:spacing w:after="20" w:line="223" w:lineRule="auto"/>
        <w:jc w:val="right"/>
        <w:bidi/>
      </w:pPr>
      <w:r>
        <w:rPr>
          <w:rFonts w:ascii="Arial" w:hAnsi="Arial"/>
          <w:sz w:val="16"/>
        </w:rPr>
        <w:t>115.25  آنها همچنین در انتخاب و نامزدی هوانوردان درجه‌دار برای پست‌های مسئولیت بیشتر، برای درج وظایف ویژه توسعه، کمک و مشاوره می‌دهند.</w:t>
      </w:r>
    </w:p>
    <w:p>
      <w:pPr>
        <w:spacing w:after="28" w:line="216" w:lineRule="auto"/>
        <w:ind w:left="259"/>
        <w:jc w:val="left"/>
      </w:pPr>
      <w:r>
        <w:rPr>
          <w:rFonts w:ascii="Arial" w:hAnsi="Arial"/>
          <w:color w:val="525252"/>
          <w:sz w:val="13"/>
        </w:rPr>
        <w:t>They also assist and advise in the selection and nomination of enlisted Airmen for positions of greater responsibility, to include developmental special duties.</w:t>
      </w:r>
    </w:p>
    <w:p>
      <w:pPr>
        <w:spacing w:after="20" w:line="223" w:lineRule="auto"/>
        <w:jc w:val="right"/>
        <w:bidi/>
      </w:pPr>
      <w:r>
        <w:rPr>
          <w:rFonts w:ascii="Arial" w:hAnsi="Arial"/>
          <w:sz w:val="16"/>
        </w:rPr>
        <w:t>115.26  SEL های توتال فورس فعالیت‌های منابع را مدیریت و هدایت می‌کنند، سیاست‌ها و دستورالعمل‌های قابل اجرا را تفسیر و اجرا می‌کنند، رویه‌های کنترلی را برای برآورده کردن اهداف و استانداردهای مأموریت ایجاد می‌کنند، و فعالانه از برنامه‌های شناسایی قوی حمایت و حفظ می‌کنند.</w:t>
      </w:r>
    </w:p>
    <w:p>
      <w:pPr>
        <w:spacing w:after="28" w:line="216" w:lineRule="auto"/>
        <w:ind w:left="259"/>
        <w:jc w:val="left"/>
      </w:pPr>
      <w:r>
        <w:rPr>
          <w:rFonts w:ascii="Arial" w:hAnsi="Arial"/>
          <w:color w:val="525252"/>
          <w:sz w:val="13"/>
        </w:rPr>
        <w:t>Total Force SELs manage and direct resource activities, interpret and enforce policies and applicable directives, establish control procedures to meet mission goals and standards, and actively support and maintain robust recognition programs.</w:t>
      </w:r>
    </w:p>
    <w:p>
      <w:pPr>
        <w:spacing w:after="20" w:line="223" w:lineRule="auto"/>
        <w:jc w:val="right"/>
        <w:bidi/>
      </w:pPr>
      <w:r>
        <w:rPr>
          <w:rFonts w:ascii="Arial" w:hAnsi="Arial"/>
          <w:sz w:val="16"/>
        </w:rPr>
        <w:t>115.27  آنها در هماهنگی با سایر رهبران ثبت‌نام شده برای نظارت بر آمادگی، آموزش، سلامت، روحیه، رفاه، و</w:t>
      </w:r>
    </w:p>
    <w:p>
      <w:pPr>
        <w:spacing w:after="28" w:line="216" w:lineRule="auto"/>
        <w:ind w:left="259"/>
        <w:jc w:val="left"/>
      </w:pPr>
      <w:r>
        <w:rPr>
          <w:rFonts w:ascii="Arial" w:hAnsi="Arial"/>
          <w:color w:val="525252"/>
          <w:sz w:val="13"/>
        </w:rPr>
        <w:t>They work in concert with other enlisted leaders, to oversee the readiness, training, health, morale, welfare, and</w:t>
      </w:r>
    </w:p>
    <w:p>
      <w:r>
        <w:br w:type="page"/>
      </w:r>
    </w:p>
    <w:p>
      <w:pPr>
        <w:spacing w:after="60"/>
        <w:jc w:val="right"/>
        <w:bidi/>
      </w:pPr>
      <w:r>
        <w:rPr>
          <w:rFonts w:ascii="Arial" w:hAnsi="Arial"/>
          <w:b/>
          <w:color w:val="1F4D78"/>
          <w:sz w:val="19"/>
        </w:rPr>
        <w:t>هفتهٔ 116  |  صفحهٔ منبع: 132</w:t>
      </w:r>
    </w:p>
    <w:p>
      <w:pPr>
        <w:spacing w:after="20" w:line="223" w:lineRule="auto"/>
        <w:jc w:val="right"/>
        <w:bidi/>
      </w:pPr>
      <w:r>
        <w:rPr>
          <w:rFonts w:ascii="Arial" w:hAnsi="Arial"/>
          <w:sz w:val="16"/>
        </w:rPr>
        <w:t>116.01  کیفیت زندگی پرسنل تعیین شده.</w:t>
      </w:r>
    </w:p>
    <w:p>
      <w:pPr>
        <w:spacing w:after="28" w:line="216" w:lineRule="auto"/>
        <w:ind w:left="259"/>
        <w:jc w:val="left"/>
      </w:pPr>
      <w:r>
        <w:rPr>
          <w:rFonts w:ascii="Arial" w:hAnsi="Arial"/>
          <w:color w:val="525252"/>
          <w:sz w:val="13"/>
        </w:rPr>
        <w:t>quality of life of assigned personnel.</w:t>
      </w:r>
    </w:p>
    <w:p>
      <w:pPr>
        <w:spacing w:after="20" w:line="223" w:lineRule="auto"/>
        <w:jc w:val="right"/>
        <w:bidi/>
      </w:pPr>
      <w:r>
        <w:rPr>
          <w:rFonts w:ascii="Arial" w:hAnsi="Arial"/>
          <w:sz w:val="16"/>
        </w:rPr>
        <w:t>116.02  آنها نماینده فرمانده در همه امور برای پشتیبانی از مأموریت و آمادگی پرسنل، از جمله حفظ نبض نیروی اعزامی، شرکت در شوراها و هیئت‌های مشورتی، تعامل با همتایان خدمات خواهر، و انجام سایر وظایف بر حسب نیاز/دستورالعمل فرمانده.</w:t>
      </w:r>
    </w:p>
    <w:p>
      <w:pPr>
        <w:spacing w:after="28" w:line="216" w:lineRule="auto"/>
        <w:ind w:left="259"/>
        <w:jc w:val="left"/>
      </w:pPr>
      <w:r>
        <w:rPr>
          <w:rFonts w:ascii="Arial" w:hAnsi="Arial"/>
          <w:color w:val="525252"/>
          <w:sz w:val="13"/>
        </w:rPr>
        <w:t>They represent the commander on all matters to support mission and personnel readiness, to include maintaining the pulse of the enlisted force, participating on advisory councils and boards, interacting with sister-service counterparts, and performing other duties as required/directed by the commander.</w:t>
      </w:r>
    </w:p>
    <w:p>
      <w:pPr>
        <w:spacing w:after="20" w:line="223" w:lineRule="auto"/>
        <w:jc w:val="right"/>
        <w:bidi/>
      </w:pPr>
      <w:r>
        <w:rPr>
          <w:rFonts w:ascii="Arial" w:hAnsi="Arial"/>
          <w:sz w:val="16"/>
        </w:rPr>
        <w:t>116.03  گروهبان اول.</w:t>
      </w:r>
    </w:p>
    <w:p>
      <w:pPr>
        <w:spacing w:after="28" w:line="216" w:lineRule="auto"/>
        <w:ind w:left="259"/>
        <w:jc w:val="left"/>
      </w:pPr>
      <w:r>
        <w:rPr>
          <w:rFonts w:ascii="Arial" w:hAnsi="Arial"/>
          <w:color w:val="525252"/>
          <w:sz w:val="13"/>
        </w:rPr>
        <w:t>First Sergeant.</w:t>
      </w:r>
    </w:p>
    <w:p>
      <w:pPr>
        <w:spacing w:after="20" w:line="223" w:lineRule="auto"/>
        <w:jc w:val="right"/>
        <w:bidi/>
      </w:pPr>
      <w:r>
        <w:rPr>
          <w:rFonts w:ascii="Arial" w:hAnsi="Arial"/>
          <w:sz w:val="16"/>
        </w:rPr>
        <w:t>116.04  گروهبان اول یک رهبر کلیدی است که در موقعیتی پر افتخار و با ارزش و غنی از عرف و سنت خدمت می‌کند.</w:t>
      </w:r>
    </w:p>
    <w:p>
      <w:pPr>
        <w:spacing w:after="28" w:line="216" w:lineRule="auto"/>
        <w:ind w:left="259"/>
        <w:jc w:val="left"/>
      </w:pPr>
      <w:r>
        <w:rPr>
          <w:rFonts w:ascii="Arial" w:hAnsi="Arial"/>
          <w:color w:val="525252"/>
          <w:sz w:val="13"/>
        </w:rPr>
        <w:t>The First sergeant is a key leader serving in a time-honored career-broadening position rich in custom and tradition.</w:t>
      </w:r>
    </w:p>
    <w:p>
      <w:pPr>
        <w:spacing w:after="20" w:line="223" w:lineRule="auto"/>
        <w:jc w:val="right"/>
        <w:bidi/>
      </w:pPr>
      <w:r>
        <w:rPr>
          <w:rFonts w:ascii="Arial" w:hAnsi="Arial"/>
          <w:sz w:val="16"/>
        </w:rPr>
        <w:t>116.05  آنان عالی‌ترین ویژگی‌های درجه‌داران ارشد نیروی هوایی را نمایندگی می‌کنند.</w:t>
      </w:r>
    </w:p>
    <w:p>
      <w:pPr>
        <w:spacing w:after="28" w:line="216" w:lineRule="auto"/>
        <w:ind w:left="259"/>
        <w:jc w:val="left"/>
      </w:pPr>
      <w:r>
        <w:rPr>
          <w:rFonts w:ascii="Arial" w:hAnsi="Arial"/>
          <w:color w:val="525252"/>
          <w:sz w:val="13"/>
        </w:rPr>
        <w:t>They epitomize the highest qualities of Air Force Senior Noncommissioned Officers.</w:t>
      </w:r>
    </w:p>
    <w:p>
      <w:pPr>
        <w:spacing w:after="20" w:line="223" w:lineRule="auto"/>
        <w:jc w:val="right"/>
        <w:bidi/>
      </w:pPr>
      <w:r>
        <w:rPr>
          <w:rFonts w:ascii="Arial" w:hAnsi="Arial"/>
          <w:sz w:val="16"/>
        </w:rPr>
        <w:t>116.06  این ویژگی‌ها مستلزم آن است که گروهبان یکم همیشه فهیم و قابل اعتماد باقی بماند و ارزش‌های اصلی نیروی هوایی ایالات متحده را مثال بزند.</w:t>
      </w:r>
    </w:p>
    <w:p>
      <w:pPr>
        <w:spacing w:after="28" w:line="216" w:lineRule="auto"/>
        <w:ind w:left="259"/>
        <w:jc w:val="left"/>
      </w:pPr>
      <w:r>
        <w:rPr>
          <w:rFonts w:ascii="Arial" w:hAnsi="Arial"/>
          <w:color w:val="525252"/>
          <w:sz w:val="13"/>
        </w:rPr>
        <w:t>These qualities require the First Sergeant to always to remain perceptive and credible and to exemplify the core values of the United States Air Force.</w:t>
      </w:r>
    </w:p>
    <w:p>
      <w:pPr>
        <w:spacing w:after="20" w:line="223" w:lineRule="auto"/>
        <w:jc w:val="right"/>
        <w:bidi/>
      </w:pPr>
      <w:r>
        <w:rPr>
          <w:rFonts w:ascii="Arial" w:hAnsi="Arial"/>
          <w:sz w:val="16"/>
        </w:rPr>
        <w:t>116.07  مدیر میدانی شغلی نیروی هوایی (AFCFM).</w:t>
      </w:r>
    </w:p>
    <w:p>
      <w:pPr>
        <w:spacing w:after="28" w:line="216" w:lineRule="auto"/>
        <w:ind w:left="259"/>
        <w:jc w:val="left"/>
      </w:pPr>
      <w:r>
        <w:rPr>
          <w:rFonts w:ascii="Arial" w:hAnsi="Arial"/>
          <w:color w:val="525252"/>
          <w:sz w:val="13"/>
        </w:rPr>
        <w:t>Air Force Career Field Manager (AFCFM).</w:t>
      </w:r>
    </w:p>
    <w:p>
      <w:pPr>
        <w:spacing w:after="20" w:line="223" w:lineRule="auto"/>
        <w:jc w:val="right"/>
        <w:bidi/>
      </w:pPr>
      <w:r>
        <w:rPr>
          <w:rFonts w:ascii="Arial" w:hAnsi="Arial"/>
          <w:sz w:val="16"/>
        </w:rPr>
        <w:t>116.08  عنوان سربازگیری AFCFM معمولا برای فرماندهان ارشد که معمولا در HAF مستقر هستند و مسئول سازماندهی و مدیریت یک یا چند رشته شغلی ثبت‌نام شده هستند، اعمال می‌شود.</w:t>
      </w:r>
    </w:p>
    <w:p>
      <w:pPr>
        <w:spacing w:after="28" w:line="216" w:lineRule="auto"/>
        <w:ind w:left="259"/>
        <w:jc w:val="left"/>
      </w:pPr>
      <w:r>
        <w:rPr>
          <w:rFonts w:ascii="Arial" w:hAnsi="Arial"/>
          <w:color w:val="525252"/>
          <w:sz w:val="13"/>
        </w:rPr>
        <w:t>The title of Enlisted AFCFM typically applies to Chief Master Sergeants, normally located at HAF, responsible for organizing and managing one or more enlisted career fields.</w:t>
      </w:r>
    </w:p>
    <w:p>
      <w:pPr>
        <w:spacing w:after="20" w:line="223" w:lineRule="auto"/>
        <w:jc w:val="right"/>
        <w:bidi/>
      </w:pPr>
      <w:r>
        <w:rPr>
          <w:rFonts w:ascii="Arial" w:hAnsi="Arial"/>
          <w:sz w:val="16"/>
        </w:rPr>
        <w:t>116.09  مسئولیت‌های آنها شامل ایجاد الزامات ورود به رشته شغلی، مدیریت نیازهای پرسنل آموزش دیده، و توسعه و مدیریت الزامات و برنامه‌های برنامه آموزشی طولانی مدت است.</w:t>
      </w:r>
    </w:p>
    <w:p>
      <w:pPr>
        <w:spacing w:after="28" w:line="216" w:lineRule="auto"/>
        <w:ind w:left="259"/>
        <w:jc w:val="left"/>
      </w:pPr>
      <w:r>
        <w:rPr>
          <w:rFonts w:ascii="Arial" w:hAnsi="Arial"/>
          <w:color w:val="525252"/>
          <w:sz w:val="13"/>
        </w:rPr>
        <w:t>Their responsibilities include establishing career field entry requirements, managing trained personnel requirements, and developing and managing career- long training plan requirements and programs.</w:t>
      </w:r>
    </w:p>
    <w:p>
      <w:pPr>
        <w:spacing w:after="20" w:line="223" w:lineRule="auto"/>
        <w:jc w:val="right"/>
        <w:bidi/>
      </w:pPr>
      <w:r>
        <w:rPr>
          <w:rFonts w:ascii="Arial" w:hAnsi="Arial"/>
          <w:sz w:val="16"/>
        </w:rPr>
        <w:t>116.10  آنها همچنین مسیرهای شغلی مناسبی را ایجاد می‌کنند، اثربخشی آموزش را ارزیابی می‌کنند، سلامت و نیروی انسانی حوزه شغلی را نظارت می‌کنند، و در مورد نیروی انسانی، سیاست‌های پرسنل و برنامه‌ها اطلاعات ارائه می‌دهند.</w:t>
      </w:r>
    </w:p>
    <w:p>
      <w:pPr>
        <w:spacing w:after="28" w:line="216" w:lineRule="auto"/>
        <w:ind w:left="259"/>
        <w:jc w:val="left"/>
      </w:pPr>
      <w:r>
        <w:rPr>
          <w:rFonts w:ascii="Arial" w:hAnsi="Arial"/>
          <w:color w:val="525252"/>
          <w:sz w:val="13"/>
        </w:rPr>
        <w:t>They also construct viable career paths, evaluate training effectiveness, monitor health and manning of the career field, and provide input on manning, personnel policies, and programs.</w:t>
      </w:r>
    </w:p>
    <w:p>
      <w:pPr>
        <w:spacing w:after="20" w:line="223" w:lineRule="auto"/>
        <w:jc w:val="right"/>
        <w:bidi/>
      </w:pPr>
      <w:r>
        <w:rPr>
          <w:rFonts w:ascii="Arial" w:hAnsi="Arial"/>
          <w:sz w:val="16"/>
        </w:rPr>
        <w:t>116.11  AFCFMها همچنین به‌طور منظم از نیروهای هوایی بازدید می‌کنند تا شامل سفر به واحدها/عناصر جدا از هم جغرافیایی شود.</w:t>
      </w:r>
    </w:p>
    <w:p>
      <w:pPr>
        <w:spacing w:after="28" w:line="216" w:lineRule="auto"/>
        <w:ind w:left="259"/>
        <w:jc w:val="left"/>
      </w:pPr>
      <w:r>
        <w:rPr>
          <w:rFonts w:ascii="Arial" w:hAnsi="Arial"/>
          <w:color w:val="525252"/>
          <w:sz w:val="13"/>
        </w:rPr>
        <w:t>AFCFMs also regularly visit Airmen, to include traveling to geographically separated units/elements.</w:t>
      </w:r>
    </w:p>
    <w:p>
      <w:pPr>
        <w:spacing w:after="20" w:line="223" w:lineRule="auto"/>
        <w:jc w:val="right"/>
        <w:bidi/>
      </w:pPr>
      <w:r>
        <w:rPr>
          <w:rFonts w:ascii="Arial" w:hAnsi="Arial"/>
          <w:sz w:val="16"/>
        </w:rPr>
        <w:t>116.12  علاوه بر این، از طریق استفاده از تیم‌های توسعه نام‌نویس، آنها برنامه‌ریزی پیشرفت و جانشینی را اجرا می‌کنند تا اطمینان حاصل کنند که پرسنل و مجموعه مهارت‌های کافی برای انجام مأموریت در دسترس هستند.</w:t>
      </w:r>
    </w:p>
    <w:p>
      <w:pPr>
        <w:spacing w:after="28" w:line="216" w:lineRule="auto"/>
        <w:ind w:left="259"/>
        <w:jc w:val="left"/>
      </w:pPr>
      <w:r>
        <w:rPr>
          <w:rFonts w:ascii="Arial" w:hAnsi="Arial"/>
          <w:color w:val="525252"/>
          <w:sz w:val="13"/>
        </w:rPr>
        <w:t>Additionally, through the use of enlisted development teams, they execute progression and succession planning to ensure there are sufficient personnel and skillsets available to accomplish the mission.</w:t>
      </w:r>
    </w:p>
    <w:p>
      <w:pPr>
        <w:spacing w:after="20" w:line="223" w:lineRule="auto"/>
        <w:jc w:val="right"/>
        <w:bidi/>
      </w:pPr>
      <w:r>
        <w:rPr>
          <w:rFonts w:ascii="Arial" w:hAnsi="Arial"/>
          <w:sz w:val="16"/>
        </w:rPr>
        <w:t>116.13  به‌عنوان کارشناسان کارکردی، آنها اطمینان می‌دهند که رسته‌های شغلی آنها هم به نیازهای فعلی و هم در آینده USAF پاسخگو است.</w:t>
      </w:r>
    </w:p>
    <w:p>
      <w:pPr>
        <w:spacing w:after="28" w:line="216" w:lineRule="auto"/>
        <w:ind w:left="259"/>
        <w:jc w:val="left"/>
      </w:pPr>
      <w:r>
        <w:rPr>
          <w:rFonts w:ascii="Arial" w:hAnsi="Arial"/>
          <w:color w:val="525252"/>
          <w:sz w:val="13"/>
        </w:rPr>
        <w:t>As functional experts, they ensure their career fields are responsive to both current and future needs of the USAF.</w:t>
      </w:r>
    </w:p>
    <w:p>
      <w:pPr>
        <w:spacing w:after="20" w:line="223" w:lineRule="auto"/>
        <w:jc w:val="right"/>
        <w:bidi/>
      </w:pPr>
      <w:r>
        <w:rPr>
          <w:rFonts w:ascii="Arial" w:hAnsi="Arial"/>
          <w:sz w:val="16"/>
        </w:rPr>
        <w:t>116.14  آنها به شدت به همکاری متکی هستند و به‌طور مستقیم با سایر دفاتر HAF در مورد مسائلی که بر حوزه شغلی آنها تأثیر می‌گذارد و با فرماندهی اصلی و آژانس عملیات میدانی مربوطه خود که نمایندگان حوزه شغلی و مدیران آموزشی را برای انتشار سیاست‌های USAF و رستهٔ شغلی و الزامات برنامه استخدام کرده‌اند، ارتباط برقرار می‌کنند.</w:t>
      </w:r>
    </w:p>
    <w:p>
      <w:pPr>
        <w:spacing w:after="28" w:line="216" w:lineRule="auto"/>
        <w:ind w:left="259"/>
        <w:jc w:val="left"/>
      </w:pPr>
      <w:r>
        <w:rPr>
          <w:rFonts w:ascii="Arial" w:hAnsi="Arial"/>
          <w:color w:val="525252"/>
          <w:sz w:val="13"/>
        </w:rPr>
        <w:t>They rely heavily on collaboration and communicate directly with other HAF offices on issues impacting their career field and with their respective major command and field operating agency enlisted career field representatives and training managers to disseminate USAF and career field policies and program requirements.</w:t>
      </w:r>
    </w:p>
    <w:p>
      <w:pPr>
        <w:spacing w:after="20" w:line="223" w:lineRule="auto"/>
        <w:jc w:val="right"/>
        <w:bidi/>
      </w:pPr>
      <w:r>
        <w:rPr>
          <w:rFonts w:ascii="Arial" w:hAnsi="Arial"/>
          <w:sz w:val="16"/>
        </w:rPr>
        <w:t>116.15  مدیر عملکردی فرماندهی اصلی (MFM).</w:t>
      </w:r>
    </w:p>
    <w:p>
      <w:pPr>
        <w:spacing w:after="28" w:line="216" w:lineRule="auto"/>
        <w:ind w:left="259"/>
        <w:jc w:val="left"/>
      </w:pPr>
      <w:r>
        <w:rPr>
          <w:rFonts w:ascii="Arial" w:hAnsi="Arial"/>
          <w:color w:val="525252"/>
          <w:sz w:val="13"/>
        </w:rPr>
        <w:t>Major Command Functional Manager (MFM).</w:t>
      </w:r>
    </w:p>
    <w:p>
      <w:pPr>
        <w:spacing w:after="20" w:line="223" w:lineRule="auto"/>
        <w:jc w:val="right"/>
        <w:bidi/>
      </w:pPr>
      <w:r>
        <w:rPr>
          <w:rFonts w:ascii="Arial" w:hAnsi="Arial"/>
          <w:sz w:val="16"/>
        </w:rPr>
        <w:t>116.16  عنوان نلیستد MFM برای SNCOهایی اعمال می‌شود که رسته‌های شغلی تعیین شده را مدیریت می‌کنند و به‌عنوان رابط فرماندهی اصلی برای AFCFM مربوطه خود عمل می‌کنند. آن‌ها مرتبا از سازمان‌هایی در فرماندهی اصلی که نظارت می‌کنند بازدید می‌کنند، سلامت و مدیریت رشته‌های شغلی خود را در چارچوب فرماندهی خود نظارت می‌کنند و نگرانی‌ها را به افکفمس ارتقا می‌دهند. آنها آموزش فرماندهی را برای رشته شغلی خود مدیریت می‌کنند و آموزش فرماندهی و مسائل پرسنل را در ستاد فرماندهی اصلی خود و با AFCFM ها هماهنگ می‌کنند. آنها سیاست‌های USAF و رستهٔ شغلی و الزامات برنامه را منتشر می‌کنند که بر رستهٔ شغلی آنها در سراسر فرماندهی اصلی تأثیر می‌گذارد.</w:t>
      </w:r>
    </w:p>
    <w:p>
      <w:pPr>
        <w:spacing w:after="28" w:line="216" w:lineRule="auto"/>
        <w:ind w:left="259"/>
        <w:jc w:val="left"/>
      </w:pPr>
      <w:r>
        <w:rPr>
          <w:rFonts w:ascii="Arial" w:hAnsi="Arial"/>
          <w:color w:val="525252"/>
          <w:sz w:val="13"/>
        </w:rPr>
        <w:t>The title of Enlisted MFM applies to SNCOs who manage designated enlisted career fields and serve as the major command liaisons for their respective AFCFMs. They regularly visit organizations in the major command they oversee, monitor the health and manning of their career fields within their command, and elevate concerns to the AFCFMs. They manage command training for their career field and coordinate command training and personnel issues across their major command staff and with AFCFMs. They disseminate USAF and career field policies and program requirements affecting their career field throughout the major command.</w:t>
      </w:r>
    </w:p>
    <w:p>
      <w:pPr>
        <w:spacing w:after="20" w:line="223" w:lineRule="auto"/>
        <w:jc w:val="right"/>
        <w:bidi/>
      </w:pPr>
      <w:r>
        <w:rPr>
          <w:rFonts w:ascii="Arial" w:hAnsi="Arial"/>
          <w:sz w:val="16"/>
        </w:rPr>
        <w:t>116.17  آنها با مرکز پرسنل نیروی هوایی (فقط رگاف) از طریق فرماندهی اصلی خود هماهنگ می‌کنند تا از اولویت‌بندی فرماندهی مناسب منابع پرسنلی تخصیص یافته و اختصاص داده شده اطمینان حاصل کنند.</w:t>
      </w:r>
    </w:p>
    <w:p>
      <w:pPr>
        <w:spacing w:after="28" w:line="216" w:lineRule="auto"/>
        <w:ind w:left="259"/>
        <w:jc w:val="left"/>
      </w:pPr>
      <w:r>
        <w:rPr>
          <w:rFonts w:ascii="Arial" w:hAnsi="Arial"/>
          <w:color w:val="525252"/>
          <w:sz w:val="13"/>
        </w:rPr>
        <w:t>They coordinate with the Air Force Personnel Center (RegAF only), through their major command, to ensure proper command prioritization of allocated and assigned personnel resources.</w:t>
      </w:r>
    </w:p>
    <w:p>
      <w:pPr>
        <w:spacing w:after="20" w:line="223" w:lineRule="auto"/>
        <w:jc w:val="right"/>
        <w:bidi/>
      </w:pPr>
      <w:r>
        <w:rPr>
          <w:rFonts w:ascii="Arial" w:hAnsi="Arial"/>
          <w:sz w:val="16"/>
        </w:rPr>
        <w:t>116.18  آنها تخصص عملکردی و موضوعی را به مدیران آموزش می‌دهند تا برنامه‌های آموزشی جدید را توسعه دهند یا برنامه‌های آموزشی موجود را اصلاح یا بهبود بخشند.</w:t>
      </w:r>
    </w:p>
    <w:p>
      <w:pPr>
        <w:spacing w:after="28" w:line="216" w:lineRule="auto"/>
        <w:ind w:left="259"/>
        <w:jc w:val="left"/>
      </w:pPr>
      <w:r>
        <w:rPr>
          <w:rFonts w:ascii="Arial" w:hAnsi="Arial"/>
          <w:color w:val="525252"/>
          <w:sz w:val="13"/>
        </w:rPr>
        <w:t>They provide functional and subject matter expertise to training managers to develop new or modify/improve existing training programs.</w:t>
      </w:r>
    </w:p>
    <w:p>
      <w:r>
        <w:br w:type="page"/>
      </w:r>
    </w:p>
    <w:p>
      <w:pPr>
        <w:spacing w:after="60"/>
        <w:jc w:val="right"/>
        <w:bidi/>
      </w:pPr>
      <w:r>
        <w:rPr>
          <w:rFonts w:ascii="Arial" w:hAnsi="Arial"/>
          <w:b/>
          <w:color w:val="1F4D78"/>
          <w:sz w:val="19"/>
        </w:rPr>
        <w:t>هفتهٔ 117  |  صفحهٔ منبع: 133</w:t>
      </w:r>
    </w:p>
    <w:p>
      <w:pPr>
        <w:spacing w:before="60" w:after="28"/>
        <w:jc w:val="right"/>
        <w:bidi/>
      </w:pPr>
      <w:r>
        <w:rPr>
          <w:b/>
          <w:color w:val="1F4D78"/>
          <w:sz w:val="18"/>
        </w:rPr>
        <w:t>بخش 7D - توسعه نیرو</w:t>
      </w:r>
    </w:p>
    <w:p>
      <w:pPr>
        <w:spacing w:after="20"/>
        <w:ind w:left="259"/>
        <w:jc w:val="left"/>
      </w:pPr>
      <w:r>
        <w:rPr>
          <w:color w:val="555555"/>
          <w:sz w:val="12"/>
        </w:rPr>
        <w:t>Section 7D—Force Development</w:t>
      </w:r>
    </w:p>
    <w:p>
      <w:pPr>
        <w:spacing w:before="60" w:after="28"/>
        <w:jc w:val="right"/>
        <w:bidi/>
      </w:pPr>
      <w:r>
        <w:rPr>
          <w:b/>
          <w:color w:val="1F4D78"/>
          <w:sz w:val="18"/>
        </w:rPr>
        <w:t>7.10. ساختار توسعه نیروی نام نویسی شده</w:t>
      </w:r>
    </w:p>
    <w:p>
      <w:pPr>
        <w:spacing w:after="20"/>
        <w:ind w:left="259"/>
        <w:jc w:val="left"/>
      </w:pPr>
      <w:r>
        <w:rPr>
          <w:color w:val="555555"/>
          <w:sz w:val="12"/>
        </w:rPr>
        <w:t>7.10. Enlisted Force Development Construct</w:t>
      </w:r>
    </w:p>
    <w:p>
      <w:pPr>
        <w:spacing w:after="20" w:line="223" w:lineRule="auto"/>
        <w:jc w:val="right"/>
        <w:bidi/>
      </w:pPr>
      <w:r>
        <w:rPr>
          <w:rFonts w:ascii="Arial" w:hAnsi="Arial"/>
          <w:sz w:val="16"/>
        </w:rPr>
        <w:t>117.03  توسعه نیروی اعزامی، آموزش، آموزش، و تجربه را در یک رویکرد چرخه زندگی برای توسعه هوانوردان نوآوری که آماده انجام مأموریت USAF و رهبری در یک محیط جهانی به سرعت در حال تحول هستند، ترکیب می‌کند.</w:t>
      </w:r>
    </w:p>
    <w:p>
      <w:pPr>
        <w:spacing w:after="28" w:line="216" w:lineRule="auto"/>
        <w:ind w:left="259"/>
        <w:jc w:val="left"/>
      </w:pPr>
      <w:r>
        <w:rPr>
          <w:rFonts w:ascii="Arial" w:hAnsi="Arial"/>
          <w:color w:val="525252"/>
          <w:sz w:val="13"/>
        </w:rPr>
        <w:t>Enlisted force development combines training, education, and experience in a life-cycle approach to developing innovative Airmen prepared to accomplish the USAF mission and lead in a rapidly evolving global environment.</w:t>
      </w:r>
    </w:p>
    <w:p>
      <w:pPr>
        <w:spacing w:after="20" w:line="223" w:lineRule="auto"/>
        <w:jc w:val="right"/>
        <w:bidi/>
      </w:pPr>
      <w:r>
        <w:rPr>
          <w:rFonts w:ascii="Arial" w:hAnsi="Arial"/>
          <w:sz w:val="16"/>
        </w:rPr>
        <w:t>117.04  توسعه عمدی در طول دوران حرفه‌ای یک هواپیمای ضروری است و از طریق آموزش در مورد شایستگی‌های اساسی، آموزش شایستگی‌های شغلی، جستجوی مجموعه‌ای متنوع از فرصت‌های تجربی، و استفاده از ابزارهای توسعه نیروی اضافی برای رشد مستمر برای برآوردن نیازهای شخصی و حرفه‌ای، ارضا می‌شود.</w:t>
      </w:r>
    </w:p>
    <w:p>
      <w:pPr>
        <w:spacing w:after="28" w:line="216" w:lineRule="auto"/>
        <w:ind w:left="259"/>
        <w:jc w:val="left"/>
      </w:pPr>
      <w:r>
        <w:rPr>
          <w:rFonts w:ascii="Arial" w:hAnsi="Arial"/>
          <w:color w:val="525252"/>
          <w:sz w:val="13"/>
        </w:rPr>
        <w:t>Deliberate development is essential throughout an Airman’s career and is satisfied through education on foundational competencies, training on occupational competencies, seeking a varied array of experiential opportunities, and utilizing additional force developmental tools for continued growth to meet both personal and professional needs.</w:t>
      </w:r>
    </w:p>
    <w:p>
      <w:pPr>
        <w:spacing w:after="20" w:line="223" w:lineRule="auto"/>
        <w:jc w:val="right"/>
        <w:bidi/>
      </w:pPr>
      <w:r>
        <w:rPr>
          <w:rFonts w:ascii="Arial" w:hAnsi="Arial"/>
          <w:sz w:val="16"/>
        </w:rPr>
        <w:t>117.05  به‌عنوان هوانوردان در حال توسعه، ضروری است که از فرصت‌ها و منابع فراوانی که هم در یک تخصص و هم در سرتاسر USAF وجود دارد، استفاده کامل کنیم.</w:t>
      </w:r>
    </w:p>
    <w:p>
      <w:pPr>
        <w:spacing w:after="28" w:line="216" w:lineRule="auto"/>
        <w:ind w:left="259"/>
        <w:jc w:val="left"/>
      </w:pPr>
      <w:r>
        <w:rPr>
          <w:rFonts w:ascii="Arial" w:hAnsi="Arial"/>
          <w:color w:val="525252"/>
          <w:sz w:val="13"/>
        </w:rPr>
        <w:t>As developing Airmen, it is essential to take full advantage of the abundant opportunities and resources that exist both in a specialty and across the USAF.</w:t>
      </w:r>
    </w:p>
    <w:p>
      <w:pPr>
        <w:spacing w:after="20" w:line="223" w:lineRule="auto"/>
        <w:jc w:val="right"/>
        <w:bidi/>
      </w:pPr>
      <w:r>
        <w:rPr>
          <w:rFonts w:ascii="Arial" w:hAnsi="Arial"/>
          <w:sz w:val="16"/>
        </w:rPr>
        <w:t>117.06  آنچه از منظر سازمانی ضروری است، بررسی چگونگی پیشرفت هوانوردان در طول حرفه خود برای بر عهده گرفتن موفقیت آمیز مسئولیت‌های مورد نیاز در موقعیت‌های رهبری عملیاتی و استراتژیک است.</w:t>
      </w:r>
    </w:p>
    <w:p>
      <w:pPr>
        <w:spacing w:after="28" w:line="216" w:lineRule="auto"/>
        <w:ind w:left="259"/>
        <w:jc w:val="left"/>
      </w:pPr>
      <w:r>
        <w:rPr>
          <w:rFonts w:ascii="Arial" w:hAnsi="Arial"/>
          <w:color w:val="525252"/>
          <w:sz w:val="13"/>
        </w:rPr>
        <w:t>What is imperative from an enterprise perspective, is looking at how Airmen progress through their careers to successfully assume the responsibilities required in operational and strategic leadership positions.</w:t>
      </w:r>
    </w:p>
    <w:p>
      <w:pPr>
        <w:spacing w:after="20" w:line="223" w:lineRule="auto"/>
        <w:jc w:val="right"/>
        <w:bidi/>
      </w:pPr>
      <w:r>
        <w:rPr>
          <w:rFonts w:ascii="Arial" w:hAnsi="Arial"/>
          <w:sz w:val="16"/>
        </w:rPr>
        <w:t>117.07  تیم‌های توسعه ثبت‌نام شده.</w:t>
      </w:r>
    </w:p>
    <w:p>
      <w:pPr>
        <w:spacing w:after="28" w:line="216" w:lineRule="auto"/>
        <w:ind w:left="259"/>
        <w:jc w:val="left"/>
      </w:pPr>
      <w:r>
        <w:rPr>
          <w:rFonts w:ascii="Arial" w:hAnsi="Arial"/>
          <w:color w:val="525252"/>
          <w:sz w:val="13"/>
        </w:rPr>
        <w:t>Enlisted Development Teams.</w:t>
      </w:r>
    </w:p>
    <w:p>
      <w:pPr>
        <w:spacing w:after="20" w:line="223" w:lineRule="auto"/>
        <w:jc w:val="right"/>
        <w:bidi/>
      </w:pPr>
      <w:r>
        <w:rPr>
          <w:rFonts w:ascii="Arial" w:hAnsi="Arial"/>
          <w:sz w:val="16"/>
        </w:rPr>
        <w:t>117.08  تیم‌های توسعه استخدام‌شده برای اهرم توسعه هوانوردان واجد شرایط با ظرفیت رهبری و فرهنگ‌پذیری لازم برای پشتیبانی از الزامات مأموریت فعلی و پیش‌بینی‌شده طراحی شده‌اند.</w:t>
      </w:r>
    </w:p>
    <w:p>
      <w:pPr>
        <w:spacing w:after="28" w:line="216" w:lineRule="auto"/>
        <w:ind w:left="259"/>
        <w:jc w:val="left"/>
      </w:pPr>
      <w:r>
        <w:rPr>
          <w:rFonts w:ascii="Arial" w:hAnsi="Arial"/>
          <w:color w:val="525252"/>
          <w:sz w:val="13"/>
        </w:rPr>
        <w:t>Enlisted development teams are designed to leverage the development of qualified Airmen with the leadership capacity and acculturation necessary to support current and projected mission requirements.</w:t>
      </w:r>
    </w:p>
    <w:p>
      <w:pPr>
        <w:spacing w:after="20" w:line="223" w:lineRule="auto"/>
        <w:jc w:val="right"/>
        <w:bidi/>
      </w:pPr>
      <w:r>
        <w:rPr>
          <w:rFonts w:ascii="Arial" w:hAnsi="Arial"/>
          <w:sz w:val="16"/>
        </w:rPr>
        <w:t>117.09  مدیران حوزه شغلی از تیم‌های توسعه استخدام‌شده برای انجام برنامه‌ریزی پیشرفت و جانشینی استفاده می‌کنند تا نیروهای هوایی را بر اساس آموزش، آموزش، تجربه و الزامات عملکردی تعریف‌شده در پست‌های رهبری و توسعه کلیدی قرار دهند.</w:t>
      </w:r>
    </w:p>
    <w:p>
      <w:pPr>
        <w:spacing w:after="28" w:line="216" w:lineRule="auto"/>
        <w:ind w:left="259"/>
        <w:jc w:val="left"/>
      </w:pPr>
      <w:r>
        <w:rPr>
          <w:rFonts w:ascii="Arial" w:hAnsi="Arial"/>
          <w:color w:val="525252"/>
          <w:sz w:val="13"/>
        </w:rPr>
        <w:t>Career field managers use enlisted development teams to perform progression and succession planning to place Airmen in key leadership and developmental positions based on defined education, training, experience, and performance requirements.</w:t>
      </w:r>
    </w:p>
    <w:p>
      <w:pPr>
        <w:spacing w:after="20" w:line="223" w:lineRule="auto"/>
        <w:jc w:val="right"/>
        <w:bidi/>
      </w:pPr>
      <w:r>
        <w:rPr>
          <w:rFonts w:ascii="Arial" w:hAnsi="Arial"/>
          <w:sz w:val="16"/>
        </w:rPr>
        <w:t>117.10  قرار دادن افراد مناسب در مکان مناسب در زمان مناسب ضروری است.</w:t>
      </w:r>
    </w:p>
    <w:p>
      <w:pPr>
        <w:spacing w:after="28" w:line="216" w:lineRule="auto"/>
        <w:ind w:left="259"/>
        <w:jc w:val="left"/>
      </w:pPr>
      <w:r>
        <w:rPr>
          <w:rFonts w:ascii="Arial" w:hAnsi="Arial"/>
          <w:color w:val="525252"/>
          <w:sz w:val="13"/>
        </w:rPr>
        <w:t>Placing the right people in the right place at the right time is imperative.</w:t>
      </w:r>
    </w:p>
    <w:p>
      <w:pPr>
        <w:spacing w:after="20" w:line="223" w:lineRule="auto"/>
        <w:jc w:val="right"/>
        <w:bidi/>
      </w:pPr>
      <w:r>
        <w:rPr>
          <w:rFonts w:ascii="Arial" w:hAnsi="Arial"/>
          <w:sz w:val="16"/>
        </w:rPr>
        <w:t>117.11  پنل توسعه نیروی مستخدم.</w:t>
      </w:r>
    </w:p>
    <w:p>
      <w:pPr>
        <w:spacing w:after="28" w:line="216" w:lineRule="auto"/>
        <w:ind w:left="259"/>
        <w:jc w:val="left"/>
      </w:pPr>
      <w:r>
        <w:rPr>
          <w:rFonts w:ascii="Arial" w:hAnsi="Arial"/>
          <w:color w:val="525252"/>
          <w:sz w:val="13"/>
        </w:rPr>
        <w:t>Enlisted Force Development Panel.</w:t>
      </w:r>
    </w:p>
    <w:p>
      <w:pPr>
        <w:spacing w:after="20" w:line="223" w:lineRule="auto"/>
        <w:jc w:val="right"/>
        <w:bidi/>
      </w:pPr>
      <w:r>
        <w:rPr>
          <w:rFonts w:ascii="Arial" w:hAnsi="Arial"/>
          <w:sz w:val="16"/>
        </w:rPr>
        <w:t>117.12  پنل توسعه نیروی سرباز وظیفه هدایت ابتکارات توسعه نیروی اعزامی را بر عهده دارد.</w:t>
      </w:r>
    </w:p>
    <w:p>
      <w:pPr>
        <w:spacing w:after="28" w:line="216" w:lineRule="auto"/>
        <w:ind w:left="259"/>
        <w:jc w:val="left"/>
      </w:pPr>
      <w:r>
        <w:rPr>
          <w:rFonts w:ascii="Arial" w:hAnsi="Arial"/>
          <w:color w:val="525252"/>
          <w:sz w:val="13"/>
        </w:rPr>
        <w:t>The Enlisted Force Development Panel is responsible for guiding enlisted force development initiatives.</w:t>
      </w:r>
    </w:p>
    <w:p>
      <w:pPr>
        <w:spacing w:after="20" w:line="223" w:lineRule="auto"/>
        <w:jc w:val="right"/>
        <w:bidi/>
      </w:pPr>
      <w:r>
        <w:rPr>
          <w:rFonts w:ascii="Arial" w:hAnsi="Arial"/>
          <w:sz w:val="16"/>
        </w:rPr>
        <w:t>117.13  مسئولیت این هیئت بررسی، ارزیابی، و ارائه توصیه‌هایی به رهبران ارشد USAF در مورد آموزش، آموزش، و تجربیات مؤثر بر توسعه سربازی است.</w:t>
      </w:r>
    </w:p>
    <w:p>
      <w:pPr>
        <w:spacing w:after="28" w:line="216" w:lineRule="auto"/>
        <w:ind w:left="259"/>
        <w:jc w:val="left"/>
      </w:pPr>
      <w:r>
        <w:rPr>
          <w:rFonts w:ascii="Arial" w:hAnsi="Arial"/>
          <w:color w:val="525252"/>
          <w:sz w:val="13"/>
        </w:rPr>
        <w:t>The panel is charged with reviewing, evaluating, and making recommendations to senior USAF leaders regarding education, training, and experiences impacting enlisted development.</w:t>
      </w:r>
    </w:p>
    <w:p>
      <w:pPr>
        <w:spacing w:after="20" w:line="223" w:lineRule="auto"/>
        <w:jc w:val="right"/>
        <w:bidi/>
      </w:pPr>
      <w:r>
        <w:rPr>
          <w:rFonts w:ascii="Arial" w:hAnsi="Arial"/>
          <w:sz w:val="16"/>
        </w:rPr>
        <w:t>117.14  اعضای هیئت شامل فرماندهان ارشد فرماندهی، مدیران میدان شغلی، و همچنین نمایندگانی از فرماندهی آموزش و آموزش هوایی، مرکز پرسنل نیروی هوایی، و نیروی هوایی ارتش هستند.</w:t>
      </w:r>
    </w:p>
    <w:p>
      <w:pPr>
        <w:spacing w:after="28" w:line="216" w:lineRule="auto"/>
        <w:ind w:left="259"/>
        <w:jc w:val="left"/>
      </w:pPr>
      <w:r>
        <w:rPr>
          <w:rFonts w:ascii="Arial" w:hAnsi="Arial"/>
          <w:color w:val="525252"/>
          <w:sz w:val="13"/>
        </w:rPr>
        <w:t>Panel members include command chief master sergeants, career field managers, as well as representatives from Air Education and Training Command, Air Force Personnel Center, and HAF.</w:t>
      </w:r>
    </w:p>
    <w:p>
      <w:pPr>
        <w:spacing w:after="20" w:line="223" w:lineRule="auto"/>
        <w:jc w:val="right"/>
        <w:bidi/>
      </w:pPr>
      <w:r>
        <w:rPr>
          <w:rFonts w:ascii="Arial" w:hAnsi="Arial"/>
          <w:sz w:val="16"/>
        </w:rPr>
        <w:t>117.15  شورای رهبری ارشد سربازگیری نیروی هوایی.</w:t>
      </w:r>
    </w:p>
    <w:p>
      <w:pPr>
        <w:spacing w:after="28" w:line="216" w:lineRule="auto"/>
        <w:ind w:left="259"/>
        <w:jc w:val="left"/>
      </w:pPr>
      <w:r>
        <w:rPr>
          <w:rFonts w:ascii="Arial" w:hAnsi="Arial"/>
          <w:color w:val="525252"/>
          <w:sz w:val="13"/>
        </w:rPr>
        <w:t>Air Force Senior Enlisted Leadership Council.</w:t>
      </w:r>
    </w:p>
    <w:p>
      <w:pPr>
        <w:spacing w:after="20" w:line="223" w:lineRule="auto"/>
        <w:jc w:val="right"/>
        <w:bidi/>
      </w:pPr>
      <w:r>
        <w:rPr>
          <w:rFonts w:ascii="Arial" w:hAnsi="Arial"/>
          <w:sz w:val="16"/>
        </w:rPr>
        <w:t>117.16  شورای رهبری ارشد نیروی هوایی مسئول رسیدگی به ابتکارات توسعه عمدی برای هوانوردان با توجه به فرصت‌ها برای عملکرد بهبود یافته است.</w:t>
      </w:r>
    </w:p>
    <w:p>
      <w:pPr>
        <w:spacing w:after="28" w:line="216" w:lineRule="auto"/>
        <w:ind w:left="259"/>
        <w:jc w:val="left"/>
      </w:pPr>
      <w:r>
        <w:rPr>
          <w:rFonts w:ascii="Arial" w:hAnsi="Arial"/>
          <w:color w:val="525252"/>
          <w:sz w:val="13"/>
        </w:rPr>
        <w:t>The Air Force Senior Enlisted Leadership Council is responsible for addressing deliberate development initiatives for Airmen with regard to opportunities for enhanced performance.</w:t>
      </w:r>
    </w:p>
    <w:p>
      <w:pPr>
        <w:spacing w:after="20" w:line="223" w:lineRule="auto"/>
        <w:jc w:val="right"/>
        <w:bidi/>
      </w:pPr>
      <w:r>
        <w:rPr>
          <w:rFonts w:ascii="Arial" w:hAnsi="Arial"/>
          <w:sz w:val="16"/>
        </w:rPr>
        <w:t>117.17  شورا متشکل از گروهبانان ارشد است که در فرماندهی استراتژیک/مشترک/ترکیبی، فرماندهان اصلی فرماندهی، سایر رهبران ارشد ثبت‌نام شده، و مشاوران منتخب خدمت می‌کنند.</w:t>
      </w:r>
    </w:p>
    <w:p>
      <w:pPr>
        <w:spacing w:after="28" w:line="216" w:lineRule="auto"/>
        <w:ind w:left="259"/>
        <w:jc w:val="left"/>
      </w:pPr>
      <w:r>
        <w:rPr>
          <w:rFonts w:ascii="Arial" w:hAnsi="Arial"/>
          <w:color w:val="525252"/>
          <w:sz w:val="13"/>
        </w:rPr>
        <w:t>The council is comprised of chief master sergeants serving in strategic/joint/combined commands, major command command chiefs, other senior enlisted leader, and selected advisors.</w:t>
      </w:r>
    </w:p>
    <w:p>
      <w:pPr>
        <w:spacing w:after="20" w:line="223" w:lineRule="auto"/>
        <w:jc w:val="right"/>
        <w:bidi/>
      </w:pPr>
      <w:r>
        <w:rPr>
          <w:rFonts w:ascii="Arial" w:hAnsi="Arial"/>
          <w:sz w:val="16"/>
        </w:rPr>
        <w:t>117.18  هدف شورا ارتقای کالیبر و عملکرد سربازان نیروی هوایی ارتش، ایجاد راه‌حل‌هایی برای موضوعات و فرصت‌های با اولویت برای هوانوردان و خانواده‌ها، مشاوره و مشاوره به وزیر نیروی هوایی، رئیس ستاد نیروی هوایی، و فرماندهان و رهبران ارشد نیروی هوایی ارتش آمریکا است.</w:t>
      </w:r>
    </w:p>
    <w:p>
      <w:pPr>
        <w:spacing w:after="28" w:line="216" w:lineRule="auto"/>
        <w:ind w:left="259"/>
        <w:jc w:val="left"/>
      </w:pPr>
      <w:r>
        <w:rPr>
          <w:rFonts w:ascii="Arial" w:hAnsi="Arial"/>
          <w:color w:val="525252"/>
          <w:sz w:val="13"/>
        </w:rPr>
        <w:t>Efforts of the council aim to elevate the caliber and performance of enlisted Airmen, develop solutions to the highest priority issues and opportunities for Airmen and families, counsel and advise the Secretary of the Air Force, the Chief of Staff of the Air Force, and senior USAF commanders and leaders.</w:t>
      </w:r>
    </w:p>
    <w:p>
      <w:pPr>
        <w:spacing w:after="20" w:line="223" w:lineRule="auto"/>
        <w:jc w:val="right"/>
        <w:bidi/>
      </w:pPr>
      <w:r>
        <w:rPr>
          <w:rFonts w:ascii="Arial" w:hAnsi="Arial"/>
          <w:sz w:val="16"/>
        </w:rPr>
        <w:t>117.19  شورای سربازگیری نیروی هوایی.</w:t>
      </w:r>
    </w:p>
    <w:p>
      <w:pPr>
        <w:spacing w:after="28" w:line="216" w:lineRule="auto"/>
        <w:ind w:left="259"/>
        <w:jc w:val="left"/>
      </w:pPr>
      <w:r>
        <w:rPr>
          <w:rFonts w:ascii="Arial" w:hAnsi="Arial"/>
          <w:color w:val="525252"/>
          <w:sz w:val="13"/>
        </w:rPr>
        <w:t>Air Force Enlisted Council.</w:t>
      </w:r>
    </w:p>
    <w:p>
      <w:pPr>
        <w:spacing w:after="20" w:line="223" w:lineRule="auto"/>
        <w:jc w:val="right"/>
        <w:bidi/>
      </w:pPr>
      <w:r>
        <w:rPr>
          <w:rFonts w:ascii="Arial" w:hAnsi="Arial"/>
          <w:sz w:val="16"/>
        </w:rPr>
        <w:t>117.20  شورای سربازگیری نیروی هوایی متشکل از ۱۲ هوانورد برجسته کنونی سال است.</w:t>
      </w:r>
    </w:p>
    <w:p>
      <w:pPr>
        <w:spacing w:after="28" w:line="216" w:lineRule="auto"/>
        <w:ind w:left="259"/>
        <w:jc w:val="left"/>
      </w:pPr>
      <w:r>
        <w:rPr>
          <w:rFonts w:ascii="Arial" w:hAnsi="Arial"/>
          <w:color w:val="525252"/>
          <w:sz w:val="13"/>
        </w:rPr>
        <w:t>The Air Force Enlisted Council is comprised of the current 12 Outstanding Airmen of the Year.</w:t>
      </w:r>
    </w:p>
    <w:p>
      <w:pPr>
        <w:spacing w:after="20" w:line="223" w:lineRule="auto"/>
        <w:jc w:val="right"/>
        <w:bidi/>
      </w:pPr>
      <w:r>
        <w:rPr>
          <w:rFonts w:ascii="Arial" w:hAnsi="Arial"/>
          <w:sz w:val="16"/>
        </w:rPr>
        <w:t>117.21  با راهنمایی و نظارت شورای رهبری ارشد نیروی هوایی، شورای سربازگیری نیروی هوایی به‌عنوان سفیران برای تلاش‌های استخدام و حفظ نیروی هوایی خدمت می‌کند.</w:t>
      </w:r>
    </w:p>
    <w:p>
      <w:pPr>
        <w:spacing w:after="28" w:line="216" w:lineRule="auto"/>
        <w:ind w:left="259"/>
        <w:jc w:val="left"/>
      </w:pPr>
      <w:r>
        <w:rPr>
          <w:rFonts w:ascii="Arial" w:hAnsi="Arial"/>
          <w:color w:val="525252"/>
          <w:sz w:val="13"/>
        </w:rPr>
        <w:t>With mentorship and oversight of the Air Force Senior Enlisted Leadership Council, the Air Force Enlisted Council serves as enlisted ambassadors for USAF enlisted recruiting and retention efforts.</w:t>
      </w:r>
    </w:p>
    <w:p>
      <w:pPr>
        <w:spacing w:after="20" w:line="223" w:lineRule="auto"/>
        <w:jc w:val="right"/>
        <w:bidi/>
      </w:pPr>
      <w:r>
        <w:rPr>
          <w:rFonts w:ascii="Arial" w:hAnsi="Arial"/>
          <w:sz w:val="16"/>
        </w:rPr>
        <w:t>117.22  شورا همچنین به‌طور فعال با انجمن نیروی هوایی، آموزش نظامی حرفه‌ای ثبت‌نام شده و سازمان‌های مختلف ثبت‌نام شده USAF درگیر می‌شود.</w:t>
      </w:r>
    </w:p>
    <w:p>
      <w:pPr>
        <w:spacing w:after="28" w:line="216" w:lineRule="auto"/>
        <w:ind w:left="259"/>
        <w:jc w:val="left"/>
      </w:pPr>
      <w:r>
        <w:rPr>
          <w:rFonts w:ascii="Arial" w:hAnsi="Arial"/>
          <w:color w:val="525252"/>
          <w:sz w:val="13"/>
        </w:rPr>
        <w:t>The council also actively engages with the Air Force Association, enlisted professional military education, and various enlisted USAF organizations.</w:t>
      </w:r>
    </w:p>
    <w:p>
      <w:pPr>
        <w:spacing w:after="20" w:line="223" w:lineRule="auto"/>
        <w:jc w:val="right"/>
        <w:bidi/>
      </w:pPr>
      <w:r>
        <w:rPr>
          <w:rFonts w:ascii="Arial" w:hAnsi="Arial"/>
          <w:sz w:val="16"/>
        </w:rPr>
        <w:t>117.23  میوکتور.</w:t>
      </w:r>
    </w:p>
    <w:p>
      <w:pPr>
        <w:spacing w:after="28" w:line="216" w:lineRule="auto"/>
        <w:ind w:left="259"/>
        <w:jc w:val="left"/>
      </w:pPr>
      <w:r>
        <w:rPr>
          <w:rFonts w:ascii="Arial" w:hAnsi="Arial"/>
          <w:color w:val="525252"/>
          <w:sz w:val="13"/>
        </w:rPr>
        <w:t>MyVECTOR.</w:t>
      </w:r>
    </w:p>
    <w:p>
      <w:pPr>
        <w:spacing w:after="20" w:line="223" w:lineRule="auto"/>
        <w:jc w:val="right"/>
        <w:bidi/>
      </w:pPr>
      <w:r>
        <w:rPr>
          <w:rFonts w:ascii="Arial" w:hAnsi="Arial"/>
          <w:sz w:val="16"/>
        </w:rPr>
        <w:t>117.24  میوکتور یک راه حل سازمانی، ردیابی تجربه، نیروی کل است که از اولویت‌های توسعه USAF پشتیبانی می‌کند.</w:t>
      </w:r>
    </w:p>
    <w:p>
      <w:pPr>
        <w:spacing w:after="28" w:line="216" w:lineRule="auto"/>
        <w:ind w:left="259"/>
        <w:jc w:val="left"/>
      </w:pPr>
      <w:r>
        <w:rPr>
          <w:rFonts w:ascii="Arial" w:hAnsi="Arial"/>
          <w:color w:val="525252"/>
          <w:sz w:val="13"/>
        </w:rPr>
        <w:t>MyVECTOR is a Total Force, experience tracking, enterprise solution, that supports USAF development priorities.</w:t>
      </w:r>
    </w:p>
    <w:p>
      <w:pPr>
        <w:spacing w:after="20" w:line="223" w:lineRule="auto"/>
        <w:jc w:val="right"/>
        <w:bidi/>
      </w:pPr>
      <w:r>
        <w:rPr>
          <w:rFonts w:ascii="Arial" w:hAnsi="Arial"/>
          <w:sz w:val="16"/>
        </w:rPr>
        <w:t>117.25  میوکتور یک ابزار برنامه‌ریزی شغلی و توسعه نیرو مبتنی بر وب است که به افراد اجازه می‌دهد شفافیت بیشتری در توسعه و مدیریت شغلی خود داشته باشند.</w:t>
      </w:r>
    </w:p>
    <w:p>
      <w:pPr>
        <w:spacing w:after="28" w:line="216" w:lineRule="auto"/>
        <w:ind w:left="259"/>
        <w:jc w:val="left"/>
      </w:pPr>
      <w:r>
        <w:rPr>
          <w:rFonts w:ascii="Arial" w:hAnsi="Arial"/>
          <w:color w:val="525252"/>
          <w:sz w:val="13"/>
        </w:rPr>
        <w:t>MyVECTOR is a web-based career planning and force development tool that allows individuals greater transparency into their development and career management.</w:t>
      </w:r>
    </w:p>
    <w:p>
      <w:pPr>
        <w:spacing w:after="20" w:line="223" w:lineRule="auto"/>
        <w:jc w:val="right"/>
        <w:bidi/>
      </w:pPr>
      <w:r>
        <w:rPr>
          <w:rFonts w:ascii="Arial" w:hAnsi="Arial"/>
          <w:sz w:val="16"/>
        </w:rPr>
        <w:t>117.26  علاوه بر اینکه ابزار فناوری اطلاعات سازمانی است که برای پشتیبانی از مدیران حوزه شغلی و تیم‌های توسعه استفاده می‌شود، میوکتور همچنین قابلیت‌های مربیگری قوی ارائه می‌دهد.</w:t>
      </w:r>
    </w:p>
    <w:p>
      <w:pPr>
        <w:spacing w:after="28" w:line="216" w:lineRule="auto"/>
        <w:ind w:left="259"/>
        <w:jc w:val="left"/>
      </w:pPr>
      <w:r>
        <w:rPr>
          <w:rFonts w:ascii="Arial" w:hAnsi="Arial"/>
          <w:color w:val="525252"/>
          <w:sz w:val="13"/>
        </w:rPr>
        <w:t>In addition to being the enterprise information technology tool used to support career field managers and development teams, MyVECTOR also offers robust mentoring capabilities.</w:t>
      </w:r>
    </w:p>
    <w:p>
      <w:r>
        <w:br w:type="page"/>
      </w:r>
    </w:p>
    <w:p>
      <w:pPr>
        <w:spacing w:after="60"/>
        <w:jc w:val="right"/>
        <w:bidi/>
      </w:pPr>
      <w:r>
        <w:rPr>
          <w:rFonts w:ascii="Arial" w:hAnsi="Arial"/>
          <w:b/>
          <w:color w:val="1F4D78"/>
          <w:sz w:val="19"/>
        </w:rPr>
        <w:t>هفتهٔ 118  |  صفحهٔ منبع: 134</w:t>
      </w:r>
    </w:p>
    <w:p>
      <w:pPr>
        <w:spacing w:after="20" w:line="223" w:lineRule="auto"/>
        <w:jc w:val="right"/>
        <w:bidi/>
      </w:pPr>
      <w:r>
        <w:rPr>
          <w:rFonts w:ascii="Arial" w:hAnsi="Arial"/>
          <w:sz w:val="16"/>
        </w:rPr>
        <w:t>118.01  پلتفرم آنلاین مدرن پیکربندی را ارائه می‌دهد و نه تنها از روش سنتی درخواست مربی پشتیبانی می‌کند، بلکه قابلیت تطبیق مربی را بر اساس ویژگی‌های وزنی شناسایی‌شده توسط نیروهای هوایی در جستجوی مربی ارائه می‌دهد.</w:t>
      </w:r>
    </w:p>
    <w:p>
      <w:pPr>
        <w:spacing w:after="28" w:line="216" w:lineRule="auto"/>
        <w:ind w:left="259"/>
        <w:jc w:val="left"/>
      </w:pPr>
      <w:r>
        <w:rPr>
          <w:rFonts w:ascii="Arial" w:hAnsi="Arial"/>
          <w:color w:val="525252"/>
          <w:sz w:val="13"/>
        </w:rPr>
        <w:t>The modern online platform offers configuration, supporting not only the traditional by-name method of requesting a mentor, but also providing a mentor-matching capability based on weighted characteristics identified by Airmen searching for a mentor.</w:t>
      </w:r>
    </w:p>
    <w:p>
      <w:pPr>
        <w:spacing w:after="20" w:line="223" w:lineRule="auto"/>
        <w:jc w:val="right"/>
        <w:bidi/>
      </w:pPr>
      <w:r>
        <w:rPr>
          <w:rFonts w:ascii="Arial" w:hAnsi="Arial"/>
          <w:sz w:val="16"/>
        </w:rPr>
        <w:t>118.02  میوکتور یک طرح راهنمایی در زمان واقعی، تالارهای گفتگو، یک ردیاب گلوله برای مستندسازی دستاوردها و توانایی گفتگوی آنلاین با یک مربی ارائه می‌دهد.</w:t>
      </w:r>
    </w:p>
    <w:p>
      <w:pPr>
        <w:spacing w:after="28" w:line="216" w:lineRule="auto"/>
        <w:ind w:left="259"/>
        <w:jc w:val="left"/>
      </w:pPr>
      <w:r>
        <w:rPr>
          <w:rFonts w:ascii="Arial" w:hAnsi="Arial"/>
          <w:color w:val="525252"/>
          <w:sz w:val="13"/>
        </w:rPr>
        <w:t>MyVECTOR offers a real-time mentoring plan, discussion forums, a bullet tracker to document accomplishments, and the ability to dialogue on-line with a mentor.</w:t>
      </w:r>
    </w:p>
    <w:p>
      <w:pPr>
        <w:spacing w:after="20" w:line="223" w:lineRule="auto"/>
        <w:jc w:val="right"/>
        <w:bidi/>
      </w:pPr>
      <w:r>
        <w:rPr>
          <w:rFonts w:ascii="Arial" w:hAnsi="Arial"/>
          <w:sz w:val="16"/>
        </w:rPr>
        <w:t>118.03  میوکتور همچنین شامل یک کاتالوگ تجربه ویژه توسعه (DSE) در بخش برنامه توسعه است.</w:t>
      </w:r>
    </w:p>
    <w:p>
      <w:pPr>
        <w:spacing w:after="28" w:line="216" w:lineRule="auto"/>
        <w:ind w:left="259"/>
        <w:jc w:val="left"/>
      </w:pPr>
      <w:r>
        <w:rPr>
          <w:rFonts w:ascii="Arial" w:hAnsi="Arial"/>
          <w:color w:val="525252"/>
          <w:sz w:val="13"/>
        </w:rPr>
        <w:t>MyVECTOR also includes a Developmental Special Experience (DSE) Catalog in the Development Plan section.</w:t>
      </w:r>
    </w:p>
    <w:p>
      <w:pPr>
        <w:spacing w:after="20" w:line="223" w:lineRule="auto"/>
        <w:jc w:val="right"/>
        <w:bidi/>
      </w:pPr>
      <w:r>
        <w:rPr>
          <w:rFonts w:ascii="Arial" w:hAnsi="Arial"/>
          <w:sz w:val="16"/>
        </w:rPr>
        <w:t>118.04  DSE تجارب عملی را ارائه می‌کند که معمولا خارج از آموزش رسمی AFSC یا سری حرفه‌ای است و به افراد کمک می‌کند تا شایستگی‌ها را به دست آورند یا ارتقا دهند.</w:t>
      </w:r>
    </w:p>
    <w:p>
      <w:pPr>
        <w:spacing w:after="28" w:line="216" w:lineRule="auto"/>
        <w:ind w:left="259"/>
        <w:jc w:val="left"/>
      </w:pPr>
      <w:r>
        <w:rPr>
          <w:rFonts w:ascii="Arial" w:hAnsi="Arial"/>
          <w:color w:val="525252"/>
          <w:sz w:val="13"/>
        </w:rPr>
        <w:t>DSEs provide hands-on experiences that are typically outside of AFSC or career series formal training, and help individuals gain or enhance competencies.</w:t>
      </w:r>
    </w:p>
    <w:p>
      <w:pPr>
        <w:spacing w:after="20" w:line="223" w:lineRule="auto"/>
        <w:jc w:val="right"/>
        <w:bidi/>
      </w:pPr>
      <w:r>
        <w:rPr>
          <w:rFonts w:ascii="Arial" w:hAnsi="Arial"/>
          <w:sz w:val="16"/>
        </w:rPr>
        <w:t>118.05  برخلاف سیستم‌های انتساب، کاتالوگ تمام DSE‌ها را، صرف‌نظر از موقعیت‌های خالی یا پنجره‌های برنامه، فهرست می‌کند تا کاربران را از همه الزامات یا پیش نیازها آگاه کند.</w:t>
      </w:r>
    </w:p>
    <w:p>
      <w:pPr>
        <w:spacing w:after="28" w:line="216" w:lineRule="auto"/>
        <w:ind w:left="259"/>
        <w:jc w:val="left"/>
      </w:pPr>
      <w:r>
        <w:rPr>
          <w:rFonts w:ascii="Arial" w:hAnsi="Arial"/>
          <w:color w:val="525252"/>
          <w:sz w:val="13"/>
        </w:rPr>
        <w:t>Unlike assignment systems, the Catalog lists all DSEs, regardless of vacancies or application windows, to make users aware of all requirements or prerequisites.</w:t>
      </w:r>
    </w:p>
    <w:p>
      <w:pPr>
        <w:spacing w:after="20" w:line="223" w:lineRule="auto"/>
        <w:jc w:val="right"/>
        <w:bidi/>
      </w:pPr>
      <w:r>
        <w:rPr>
          <w:rFonts w:ascii="Arial" w:hAnsi="Arial"/>
          <w:sz w:val="16"/>
        </w:rPr>
        <w:t>118.06  میوکتور علاوه بر این یک خودارزیابی رشدی را ارائه می‌دهد که به اعضا کمک می‌کند نقاط قوت شخصی و زمینه‌های بهبود را در بین شایستگی‌های بنیادی USAF شناسایی کنند.</w:t>
      </w:r>
    </w:p>
    <w:p>
      <w:pPr>
        <w:spacing w:after="28" w:line="216" w:lineRule="auto"/>
        <w:ind w:left="259"/>
        <w:jc w:val="left"/>
      </w:pPr>
      <w:r>
        <w:rPr>
          <w:rFonts w:ascii="Arial" w:hAnsi="Arial"/>
          <w:color w:val="525252"/>
          <w:sz w:val="13"/>
        </w:rPr>
        <w:t>MyVECTOR additionally offers a developmental self-assessment that helps members identify their personal strengths and areas for improvement among the USAF Foundational Competencies.</w:t>
      </w:r>
    </w:p>
    <w:p>
      <w:pPr>
        <w:spacing w:after="20" w:line="223" w:lineRule="auto"/>
        <w:jc w:val="right"/>
        <w:bidi/>
      </w:pPr>
      <w:r>
        <w:rPr>
          <w:rFonts w:ascii="Arial" w:hAnsi="Arial"/>
          <w:sz w:val="16"/>
        </w:rPr>
        <w:t>118.07  خود ارزیابی، بازخورد فوری در مورد منابع آنلاین توصیه شده (به‌عنوان مثال، ویدئوها، مقالات، دوره‌ها) بر اساس حوزه‌های شناسایی شده یک عضو برای بهبود ارائه می‌دهد.</w:t>
      </w:r>
    </w:p>
    <w:p>
      <w:pPr>
        <w:spacing w:after="28" w:line="216" w:lineRule="auto"/>
        <w:ind w:left="259"/>
        <w:jc w:val="left"/>
      </w:pPr>
      <w:r>
        <w:rPr>
          <w:rFonts w:ascii="Arial" w:hAnsi="Arial"/>
          <w:color w:val="525252"/>
          <w:sz w:val="13"/>
        </w:rPr>
        <w:t>The self-assessment provides immediate feedback on recommended online resources (e.g., videos, articles, courses) based on a member’s identified areas for improvement.</w:t>
      </w:r>
    </w:p>
    <w:p>
      <w:pPr>
        <w:spacing w:after="20" w:line="223" w:lineRule="auto"/>
        <w:jc w:val="right"/>
        <w:bidi/>
      </w:pPr>
      <w:r>
        <w:rPr>
          <w:rFonts w:ascii="Arial" w:hAnsi="Arial"/>
          <w:sz w:val="16"/>
        </w:rPr>
        <w:t>118.08  برای خودآگاهی بیشتر، اعضا همچنین این گزینه را دارند که از ابزار ارزیابی برای درخواست بازخورد محرمانه از سرپرستان و/یا زیردستان، همتایان یا اعضای رده بالاتر خود استفاده کنند (بازخورد ۳۶۰ درجه).</w:t>
      </w:r>
    </w:p>
    <w:p>
      <w:pPr>
        <w:spacing w:after="28" w:line="216" w:lineRule="auto"/>
        <w:ind w:left="259"/>
        <w:jc w:val="left"/>
      </w:pPr>
      <w:r>
        <w:rPr>
          <w:rFonts w:ascii="Arial" w:hAnsi="Arial"/>
          <w:color w:val="525252"/>
          <w:sz w:val="13"/>
        </w:rPr>
        <w:t>To further self- awareness, members also have the option to use the assessment tool to request confidential feedback from their supervisors and/or subordinates, peers, or higher-ranking members (360- degree feedback).</w:t>
      </w:r>
    </w:p>
    <w:p>
      <w:pPr>
        <w:spacing w:after="20" w:line="223" w:lineRule="auto"/>
        <w:jc w:val="right"/>
        <w:bidi/>
      </w:pPr>
      <w:r>
        <w:rPr>
          <w:rFonts w:ascii="Arial" w:hAnsi="Arial"/>
          <w:sz w:val="16"/>
        </w:rPr>
        <w:t>118.09  هوانوردان می‌توانند در هر زمان به کتابخانه کامل قابل جستجوی منابع آنلاین (مانند ویدئوها، مقالات، دوره‌ها) مرتبط با هر شایستگی اساسی (مانند کار تیمی، ارتباط، انعطاف‌پذیری) دسترسی داشته باشند تا توسعه شخصی و حرفه‌ای را بیشتر کنند.</w:t>
      </w:r>
    </w:p>
    <w:p>
      <w:pPr>
        <w:spacing w:after="28" w:line="216" w:lineRule="auto"/>
        <w:ind w:left="259"/>
        <w:jc w:val="left"/>
      </w:pPr>
      <w:r>
        <w:rPr>
          <w:rFonts w:ascii="Arial" w:hAnsi="Arial"/>
          <w:color w:val="525252"/>
          <w:sz w:val="13"/>
        </w:rPr>
        <w:t>Airmen can access the full searchable library of online resources (e.g., videos, articles, courses) associated with each foundational competency (e.g., Teamwork, Communication, Resilience) at any time to further personal and professional development.</w:t>
      </w:r>
    </w:p>
    <w:p>
      <w:pPr>
        <w:spacing w:after="20" w:line="223" w:lineRule="auto"/>
        <w:jc w:val="right"/>
        <w:bidi/>
      </w:pPr>
      <w:r>
        <w:rPr>
          <w:rFonts w:ascii="Arial" w:hAnsi="Arial"/>
          <w:sz w:val="16"/>
        </w:rPr>
        <w:t>118.10  مدیریت استعداد.</w:t>
      </w:r>
    </w:p>
    <w:p>
      <w:pPr>
        <w:spacing w:after="28" w:line="216" w:lineRule="auto"/>
        <w:ind w:left="259"/>
        <w:jc w:val="left"/>
      </w:pPr>
      <w:r>
        <w:rPr>
          <w:rFonts w:ascii="Arial" w:hAnsi="Arial"/>
          <w:color w:val="525252"/>
          <w:sz w:val="13"/>
        </w:rPr>
        <w:t>Talent Management.</w:t>
      </w:r>
    </w:p>
    <w:p>
      <w:pPr>
        <w:spacing w:after="20" w:line="223" w:lineRule="auto"/>
        <w:jc w:val="right"/>
        <w:bidi/>
      </w:pPr>
      <w:r>
        <w:rPr>
          <w:rFonts w:ascii="Arial" w:hAnsi="Arial"/>
          <w:sz w:val="16"/>
        </w:rPr>
        <w:t>118.11  فرهنگ USAF ما باید هوانوردان مناسب را جذب کند، متخصصانی که آماده نمایندگی بزرگترین USAF جهان هستند.</w:t>
      </w:r>
    </w:p>
    <w:p>
      <w:pPr>
        <w:spacing w:after="28" w:line="216" w:lineRule="auto"/>
        <w:ind w:left="259"/>
        <w:jc w:val="left"/>
      </w:pPr>
      <w:r>
        <w:rPr>
          <w:rFonts w:ascii="Arial" w:hAnsi="Arial"/>
          <w:color w:val="525252"/>
          <w:sz w:val="13"/>
        </w:rPr>
        <w:t>Our USAF culture should attract the right Airmen, professionals ready to represent the world’s greatest USAF.</w:t>
      </w:r>
    </w:p>
    <w:p>
      <w:pPr>
        <w:spacing w:after="20" w:line="223" w:lineRule="auto"/>
        <w:jc w:val="right"/>
        <w:bidi/>
      </w:pPr>
      <w:r>
        <w:rPr>
          <w:rFonts w:ascii="Arial" w:hAnsi="Arial"/>
          <w:sz w:val="16"/>
        </w:rPr>
        <w:t>118.12  مدیریت استعداد با استخدام آغاز می‌شود و از طریق آموزش و آموزش ادامه می‌یابد و در آنجا پرورش می‌یابد.</w:t>
      </w:r>
    </w:p>
    <w:p>
      <w:pPr>
        <w:spacing w:after="28" w:line="216" w:lineRule="auto"/>
        <w:ind w:left="259"/>
        <w:jc w:val="left"/>
      </w:pPr>
      <w:r>
        <w:rPr>
          <w:rFonts w:ascii="Arial" w:hAnsi="Arial"/>
          <w:color w:val="525252"/>
          <w:sz w:val="13"/>
        </w:rPr>
        <w:t>Talent management begins with recruiting and is continued through training and education, where it is cultivated.</w:t>
      </w:r>
    </w:p>
    <w:p>
      <w:pPr>
        <w:spacing w:after="20" w:line="223" w:lineRule="auto"/>
        <w:jc w:val="right"/>
        <w:bidi/>
      </w:pPr>
      <w:r>
        <w:rPr>
          <w:rFonts w:ascii="Arial" w:hAnsi="Arial"/>
          <w:sz w:val="16"/>
        </w:rPr>
        <w:t>118.13  توانایی USAF برای ادامه پاسخ سریعتر از دشمنان ما به انعطاف پذیری و سازگاری هواپیماهای ما متکی است.</w:t>
      </w:r>
    </w:p>
    <w:p>
      <w:pPr>
        <w:spacing w:after="28" w:line="216" w:lineRule="auto"/>
        <w:ind w:left="259"/>
        <w:jc w:val="left"/>
      </w:pPr>
      <w:r>
        <w:rPr>
          <w:rFonts w:ascii="Arial" w:hAnsi="Arial"/>
          <w:color w:val="525252"/>
          <w:sz w:val="13"/>
        </w:rPr>
        <w:t>The USAF’s ability to continue to respond faster than our adversaries rely on the flexibility and adaptability of our Airmen.</w:t>
      </w:r>
    </w:p>
    <w:p>
      <w:pPr>
        <w:spacing w:after="20" w:line="223" w:lineRule="auto"/>
        <w:jc w:val="right"/>
        <w:bidi/>
      </w:pPr>
      <w:r>
        <w:rPr>
          <w:rFonts w:ascii="Arial" w:hAnsi="Arial"/>
          <w:sz w:val="16"/>
        </w:rPr>
        <w:t>118.14  نه تنها می‌خواهیم مبتکر باشیم، بلکه ملت ما نیز به آن وابسته است.</w:t>
      </w:r>
    </w:p>
    <w:p>
      <w:pPr>
        <w:spacing w:after="28" w:line="216" w:lineRule="auto"/>
        <w:ind w:left="259"/>
        <w:jc w:val="left"/>
      </w:pPr>
      <w:r>
        <w:rPr>
          <w:rFonts w:ascii="Arial" w:hAnsi="Arial"/>
          <w:color w:val="525252"/>
          <w:sz w:val="13"/>
        </w:rPr>
        <w:t>Not only do we want to be innovators, but our nation also depends on it.</w:t>
      </w:r>
    </w:p>
    <w:p>
      <w:pPr>
        <w:spacing w:after="20" w:line="223" w:lineRule="auto"/>
        <w:jc w:val="right"/>
        <w:bidi/>
      </w:pPr>
      <w:r>
        <w:rPr>
          <w:rFonts w:ascii="Arial" w:hAnsi="Arial"/>
          <w:sz w:val="16"/>
        </w:rPr>
        <w:t>118.15  نحوه مدیریت استعدادها به‌طور مستقیم بر نحوه مبارزه و پیروزی در جنگ‌ها تأثیر می‌گذارد.</w:t>
      </w:r>
    </w:p>
    <w:p>
      <w:pPr>
        <w:spacing w:after="28" w:line="216" w:lineRule="auto"/>
        <w:ind w:left="259"/>
        <w:jc w:val="left"/>
      </w:pPr>
      <w:r>
        <w:rPr>
          <w:rFonts w:ascii="Arial" w:hAnsi="Arial"/>
          <w:color w:val="525252"/>
          <w:sz w:val="13"/>
        </w:rPr>
        <w:t>The way we manage talent directly impacts the way we fight and win wars.</w:t>
      </w:r>
    </w:p>
    <w:p>
      <w:pPr>
        <w:spacing w:after="20" w:line="223" w:lineRule="auto"/>
        <w:jc w:val="right"/>
        <w:bidi/>
      </w:pPr>
      <w:r>
        <w:rPr>
          <w:rFonts w:ascii="Arial" w:hAnsi="Arial"/>
          <w:sz w:val="16"/>
        </w:rPr>
        <w:t>118.16  سیستمی که برای مدیریت افراد طراحی شده است باید به همان اندازه چابک باشد که ما از نیروهای هوایی انتظار داریم.</w:t>
      </w:r>
    </w:p>
    <w:p>
      <w:pPr>
        <w:spacing w:after="28" w:line="216" w:lineRule="auto"/>
        <w:ind w:left="259"/>
        <w:jc w:val="left"/>
      </w:pPr>
      <w:r>
        <w:rPr>
          <w:rFonts w:ascii="Arial" w:hAnsi="Arial"/>
          <w:color w:val="525252"/>
          <w:sz w:val="13"/>
        </w:rPr>
        <w:t>The system that is designed to manage people must be as agile as we expect our Airmen to be.</w:t>
      </w:r>
    </w:p>
    <w:p>
      <w:pPr>
        <w:spacing w:after="20" w:line="223" w:lineRule="auto"/>
        <w:jc w:val="right"/>
        <w:bidi/>
      </w:pPr>
      <w:r>
        <w:rPr>
          <w:rFonts w:ascii="Arial" w:hAnsi="Arial"/>
          <w:sz w:val="16"/>
        </w:rPr>
        <w:t>118.17  لبه رقابتی.</w:t>
      </w:r>
    </w:p>
    <w:p>
      <w:pPr>
        <w:spacing w:after="28" w:line="216" w:lineRule="auto"/>
        <w:ind w:left="259"/>
        <w:jc w:val="left"/>
      </w:pPr>
      <w:r>
        <w:rPr>
          <w:rFonts w:ascii="Arial" w:hAnsi="Arial"/>
          <w:color w:val="525252"/>
          <w:sz w:val="13"/>
        </w:rPr>
        <w:t>Competitive Edge.</w:t>
      </w:r>
    </w:p>
    <w:p>
      <w:pPr>
        <w:spacing w:after="20" w:line="223" w:lineRule="auto"/>
        <w:jc w:val="right"/>
        <w:bidi/>
      </w:pPr>
      <w:r>
        <w:rPr>
          <w:rFonts w:ascii="Arial" w:hAnsi="Arial"/>
          <w:sz w:val="16"/>
        </w:rPr>
        <w:t>118.18  USAF به‌عنوان یک موسسه اهمیت یک محیط کاری نوآورانه و چابک را برای حفظ مزیت رقابتی و در نظر گرفتن کارفرمای منتخب برای بهترین و درخشان‌ترین استعدادهای کشورمان تشخیص می‌دهد.</w:t>
      </w:r>
    </w:p>
    <w:p>
      <w:pPr>
        <w:spacing w:after="28" w:line="216" w:lineRule="auto"/>
        <w:ind w:left="259"/>
        <w:jc w:val="left"/>
      </w:pPr>
      <w:r>
        <w:rPr>
          <w:rFonts w:ascii="Arial" w:hAnsi="Arial"/>
          <w:color w:val="525252"/>
          <w:sz w:val="13"/>
        </w:rPr>
        <w:t>The USAF as an institution recognizes the importance of an innovative and agile work environment for maintaining a competitive edge and being considered an employer of choice for our nation’s best and brightest talent.</w:t>
      </w:r>
    </w:p>
    <w:p>
      <w:pPr>
        <w:spacing w:after="20" w:line="223" w:lineRule="auto"/>
        <w:jc w:val="right"/>
        <w:bidi/>
      </w:pPr>
      <w:r>
        <w:rPr>
          <w:rFonts w:ascii="Arial" w:hAnsi="Arial"/>
          <w:sz w:val="16"/>
        </w:rPr>
        <w:t>118.19  آموزش و آموزش به‌طور پیوسته با سرمایه‌گذاری بر استعدادهای افراد داخل USAF هماهنگ‌تر می‌شود.</w:t>
      </w:r>
    </w:p>
    <w:p>
      <w:pPr>
        <w:spacing w:after="28" w:line="216" w:lineRule="auto"/>
        <w:ind w:left="259"/>
        <w:jc w:val="left"/>
      </w:pPr>
      <w:r>
        <w:rPr>
          <w:rFonts w:ascii="Arial" w:hAnsi="Arial"/>
          <w:color w:val="525252"/>
          <w:sz w:val="13"/>
        </w:rPr>
        <w:t>Training and education are steadily becoming more aligned with capitalizing on talents of those within the USAF.</w:t>
      </w:r>
    </w:p>
    <w:p>
      <w:pPr>
        <w:spacing w:after="20" w:line="223" w:lineRule="auto"/>
        <w:jc w:val="right"/>
        <w:bidi/>
      </w:pPr>
      <w:r>
        <w:rPr>
          <w:rFonts w:ascii="Arial" w:hAnsi="Arial"/>
          <w:sz w:val="16"/>
        </w:rPr>
        <w:t>118.20  برنامه‌های USAF برای توسعه، مدیریت و اجرای آموزش و آموزش واقع بینانه و منعطف برای تولید نیروی بسیار ماهر و با انگیزه که قادر به انجام کلیه وظایف و وظایف در حمایت از مأموریت USAF باشد، طراحی شده است.</w:t>
      </w:r>
    </w:p>
    <w:p>
      <w:pPr>
        <w:spacing w:after="28" w:line="216" w:lineRule="auto"/>
        <w:ind w:left="259"/>
        <w:jc w:val="left"/>
      </w:pPr>
      <w:r>
        <w:rPr>
          <w:rFonts w:ascii="Arial" w:hAnsi="Arial"/>
          <w:color w:val="525252"/>
          <w:sz w:val="13"/>
        </w:rPr>
        <w:t>USAF programs are designed to develop, manage, and execute realistic and flexible training and education to produce a highly skilled, motivated force that is capable of carrying out all tasks and functions in support of the USAF mission.</w:t>
      </w:r>
    </w:p>
    <w:p>
      <w:pPr>
        <w:spacing w:after="20" w:line="223" w:lineRule="auto"/>
        <w:jc w:val="right"/>
        <w:bidi/>
      </w:pPr>
      <w:r>
        <w:rPr>
          <w:rFonts w:ascii="Arial" w:hAnsi="Arial"/>
          <w:sz w:val="16"/>
        </w:rPr>
        <w:t>118.21  هوانوردان مبتکر نیرو را نیرو می‌دهند.</w:t>
      </w:r>
    </w:p>
    <w:p>
      <w:pPr>
        <w:spacing w:after="28" w:line="216" w:lineRule="auto"/>
        <w:ind w:left="259"/>
        <w:jc w:val="left"/>
      </w:pPr>
      <w:r>
        <w:rPr>
          <w:rFonts w:ascii="Arial" w:hAnsi="Arial"/>
          <w:color w:val="525252"/>
          <w:sz w:val="13"/>
        </w:rPr>
        <w:t>Innovative Airmen power the force.</w:t>
      </w:r>
    </w:p>
    <w:p>
      <w:pPr>
        <w:spacing w:after="20" w:line="223" w:lineRule="auto"/>
        <w:jc w:val="right"/>
        <w:bidi/>
      </w:pPr>
      <w:r>
        <w:rPr>
          <w:rFonts w:ascii="Arial" w:hAnsi="Arial"/>
          <w:sz w:val="16"/>
        </w:rPr>
        <w:t>118.22  برای حفظ سرعت، ما باید به‌طور مداوم آموزش و پرورش خود را مدرن کنیم تا مرتبط و پاسخگو باشد.</w:t>
      </w:r>
    </w:p>
    <w:p>
      <w:pPr>
        <w:spacing w:after="28" w:line="216" w:lineRule="auto"/>
        <w:ind w:left="259"/>
        <w:jc w:val="left"/>
      </w:pPr>
      <w:r>
        <w:rPr>
          <w:rFonts w:ascii="Arial" w:hAnsi="Arial"/>
          <w:color w:val="525252"/>
          <w:sz w:val="13"/>
        </w:rPr>
        <w:t>To keep pace, we must continuously modernize our education and training to be relevant and responsive.</w:t>
      </w:r>
    </w:p>
    <w:p>
      <w:pPr>
        <w:spacing w:after="20" w:line="223" w:lineRule="auto"/>
        <w:jc w:val="right"/>
        <w:bidi/>
      </w:pPr>
      <w:r>
        <w:rPr>
          <w:rFonts w:ascii="Arial" w:hAnsi="Arial"/>
          <w:sz w:val="16"/>
        </w:rPr>
        <w:t>118.23  چشم‌انداز غیرقابل پیش‌بینی که ما در آن فعالیت می‌کنیم، ایجاب می‌کند که USAF به بازبینی، بهبود و تکامل فرآیندهای مدیریت پرسنل خود ادامه دهد تا اطمینان حاصل شود که ما نیروهای هوایی با استعداد خود را حفظ می‌کنیم.</w:t>
      </w:r>
    </w:p>
    <w:p>
      <w:pPr>
        <w:spacing w:after="28" w:line="216" w:lineRule="auto"/>
        <w:ind w:left="259"/>
        <w:jc w:val="left"/>
      </w:pPr>
      <w:r>
        <w:rPr>
          <w:rFonts w:ascii="Arial" w:hAnsi="Arial"/>
          <w:color w:val="525252"/>
          <w:sz w:val="13"/>
        </w:rPr>
        <w:t>The unpredictable landscape we operate in requires the USAF to continue to revisit, improve, and evolve our personnel management processes to ensure we retain our talented Airmen.</w:t>
      </w:r>
    </w:p>
    <w:p>
      <w:pPr>
        <w:spacing w:after="20" w:line="223" w:lineRule="auto"/>
        <w:jc w:val="right"/>
        <w:bidi/>
      </w:pPr>
      <w:r>
        <w:rPr>
          <w:rFonts w:ascii="Arial" w:hAnsi="Arial"/>
          <w:sz w:val="16"/>
        </w:rPr>
        <w:t>118.24  در حالی که برخی از ابتکارات گسترده هستند و برخی دیگر هدفمندتر هستند، همه آنها هدف یکسانی دارند - افزایش موقعیت رقابتی ما برای استعدادهای برتر.</w:t>
      </w:r>
    </w:p>
    <w:p>
      <w:pPr>
        <w:spacing w:after="28" w:line="216" w:lineRule="auto"/>
        <w:ind w:left="259"/>
        <w:jc w:val="left"/>
      </w:pPr>
      <w:r>
        <w:rPr>
          <w:rFonts w:ascii="Arial" w:hAnsi="Arial"/>
          <w:color w:val="525252"/>
          <w:sz w:val="13"/>
        </w:rPr>
        <w:t>While some initiatives are force- wide and others are more targeted, they all have the same objective - to increase our competitive position for top talent.</w:t>
      </w:r>
    </w:p>
    <w:p>
      <w:pPr>
        <w:spacing w:before="60" w:after="28"/>
        <w:jc w:val="right"/>
        <w:bidi/>
      </w:pPr>
      <w:r>
        <w:rPr>
          <w:b/>
          <w:color w:val="1F4D78"/>
          <w:sz w:val="18"/>
        </w:rPr>
        <w:t>7.11. برنامه تحلیل شغلی</w:t>
      </w:r>
    </w:p>
    <w:p>
      <w:pPr>
        <w:spacing w:after="20"/>
        <w:ind w:left="259"/>
        <w:jc w:val="left"/>
      </w:pPr>
      <w:r>
        <w:rPr>
          <w:color w:val="555555"/>
          <w:sz w:val="12"/>
        </w:rPr>
        <w:t>7.11. Occupational Analysis Program</w:t>
      </w:r>
    </w:p>
    <w:p>
      <w:pPr>
        <w:spacing w:after="20" w:line="223" w:lineRule="auto"/>
        <w:jc w:val="right"/>
        <w:bidi/>
      </w:pPr>
      <w:r>
        <w:rPr>
          <w:rFonts w:ascii="Arial" w:hAnsi="Arial"/>
          <w:sz w:val="16"/>
        </w:rPr>
        <w:t>118.26  فرماندهی آموزش و آموزش هوایی، اسکادران مطالعات و تجزیه و تحلیل، میزبان برنامه تحلیل شغلی USAF است که توسط DAFMAN ۳۶-۲۶۶۴، برنامه ارزیابی پرسنل اداره می‌شود.</w:t>
      </w:r>
    </w:p>
    <w:p>
      <w:pPr>
        <w:spacing w:after="28" w:line="216" w:lineRule="auto"/>
        <w:ind w:left="259"/>
        <w:jc w:val="left"/>
      </w:pPr>
      <w:r>
        <w:rPr>
          <w:rFonts w:ascii="Arial" w:hAnsi="Arial"/>
          <w:color w:val="525252"/>
          <w:sz w:val="13"/>
        </w:rPr>
        <w:t>Air Education and Training Command, Studies and Analysis Squadron, houses the USAF Occupational Analysis Program, governed by DAFMAN 36-2664, Personnel Assessment Program.</w:t>
      </w:r>
    </w:p>
    <w:p>
      <w:pPr>
        <w:spacing w:after="20" w:line="223" w:lineRule="auto"/>
        <w:jc w:val="right"/>
        <w:bidi/>
      </w:pPr>
      <w:r>
        <w:rPr>
          <w:rFonts w:ascii="Arial" w:hAnsi="Arial"/>
          <w:sz w:val="16"/>
        </w:rPr>
        <w:t>118.27  هدف از این برنامه تجهیز رهبران و مدیران ارشد پرسنل USAF و برنامه‌های آموزشی و آموزشی با اطلاعات عینی و مبتنی بر واقعیت در مورد مشاغل USAF و سری‌های شغلی غیرنظامی است.</w:t>
      </w:r>
    </w:p>
    <w:p>
      <w:pPr>
        <w:spacing w:after="28" w:line="216" w:lineRule="auto"/>
        <w:ind w:left="259"/>
        <w:jc w:val="left"/>
      </w:pPr>
      <w:r>
        <w:rPr>
          <w:rFonts w:ascii="Arial" w:hAnsi="Arial"/>
          <w:color w:val="525252"/>
          <w:sz w:val="13"/>
        </w:rPr>
        <w:t>The purpose of the program is to equip senior leaders and managers of USAF personnel and education and training programs with objective, fact-based information about USAF occupations and civilian occupational series.</w:t>
      </w:r>
    </w:p>
    <w:p>
      <w:pPr>
        <w:spacing w:after="20" w:line="223" w:lineRule="auto"/>
        <w:jc w:val="right"/>
        <w:bidi/>
      </w:pPr>
      <w:r>
        <w:rPr>
          <w:rFonts w:ascii="Arial" w:hAnsi="Arial"/>
          <w:sz w:val="16"/>
        </w:rPr>
        <w:t>118.28  نقش تجزیه و تحلیل شغلی انجام مطالعات شغلی، توسعه ابزارهای نظرسنجی، تجزیه و تحلیل داده‌های جمع‌آوری‌شده و ارائه اطلاعات تخصصی کاربردی USAF است.</w:t>
      </w:r>
    </w:p>
    <w:p>
      <w:pPr>
        <w:spacing w:after="28" w:line="216" w:lineRule="auto"/>
        <w:ind w:left="259"/>
        <w:jc w:val="left"/>
      </w:pPr>
      <w:r>
        <w:rPr>
          <w:rFonts w:ascii="Arial" w:hAnsi="Arial"/>
          <w:color w:val="525252"/>
          <w:sz w:val="13"/>
        </w:rPr>
        <w:t>The role of occupational analysis is to conduct occupational studies, develop survey instruments, analyze data collected, and provide actionable USAF specialty information.</w:t>
      </w:r>
    </w:p>
    <w:p>
      <w:r>
        <w:br w:type="page"/>
      </w:r>
    </w:p>
    <w:p>
      <w:pPr>
        <w:spacing w:after="60"/>
        <w:jc w:val="right"/>
        <w:bidi/>
      </w:pPr>
      <w:r>
        <w:rPr>
          <w:rFonts w:ascii="Arial" w:hAnsi="Arial"/>
          <w:b/>
          <w:color w:val="1F4D78"/>
          <w:sz w:val="19"/>
        </w:rPr>
        <w:t>هفتهٔ 119  |  صفحهٔ منبع: 135</w:t>
      </w:r>
    </w:p>
    <w:p>
      <w:pPr>
        <w:spacing w:after="20" w:line="223" w:lineRule="auto"/>
        <w:jc w:val="right"/>
        <w:bidi/>
      </w:pPr>
      <w:r>
        <w:rPr>
          <w:rFonts w:ascii="Arial" w:hAnsi="Arial"/>
          <w:sz w:val="16"/>
        </w:rPr>
        <w:t>119.01  همانطور که در AFPD ۳۶-۲۶ اشاره شد، برنامه تحلیل شغلی نهاد منحصر به فرد USAF است که عوامل عملکرد شغلی/ شغلی را که در توسعه سیستم آموزشی تعریف، اندازه‌گیری و اعمال می‌شوند جمع‌آوری، تجزیه و تحلیل و گزارش می‌کند.</w:t>
      </w:r>
    </w:p>
    <w:p>
      <w:pPr>
        <w:spacing w:after="28" w:line="216" w:lineRule="auto"/>
        <w:ind w:left="259"/>
        <w:jc w:val="left"/>
      </w:pPr>
      <w:r>
        <w:rPr>
          <w:rFonts w:ascii="Arial" w:hAnsi="Arial"/>
          <w:color w:val="525252"/>
          <w:sz w:val="13"/>
        </w:rPr>
        <w:t>As noted in AFPD 36-26, the Occupational Analysis Program is the singularly unique USAF entity which collects, analyzes, and reports the job/occupational performance factors which are defined, measured, and applied within instructional system development.</w:t>
      </w:r>
    </w:p>
    <w:p>
      <w:pPr>
        <w:spacing w:after="20" w:line="223" w:lineRule="auto"/>
        <w:jc w:val="right"/>
        <w:bidi/>
      </w:pPr>
      <w:r>
        <w:rPr>
          <w:rFonts w:ascii="Arial" w:hAnsi="Arial"/>
          <w:sz w:val="16"/>
        </w:rPr>
        <w:t>119.02  در نتیجه، برنامه تحلیل شغلی برای ارائه یک جهت گیری عینی و واقعی برای سه اصل توسعه نیرو که ذاتی در توسعه نیرو هستند، ضروری است: آموزش، استفاده، و ارتقاء.</w:t>
      </w:r>
    </w:p>
    <w:p>
      <w:pPr>
        <w:spacing w:after="28" w:line="216" w:lineRule="auto"/>
        <w:ind w:left="259"/>
        <w:jc w:val="left"/>
      </w:pPr>
      <w:r>
        <w:rPr>
          <w:rFonts w:ascii="Arial" w:hAnsi="Arial"/>
          <w:color w:val="525252"/>
          <w:sz w:val="13"/>
        </w:rPr>
        <w:t>Consequently, the Occupational Analysis Program is integral to providing an objective and factual orientation for three force development tenets inherent in force development: training, utilization, and promotions.</w:t>
      </w:r>
    </w:p>
    <w:p>
      <w:pPr>
        <w:spacing w:after="20" w:line="223" w:lineRule="auto"/>
        <w:jc w:val="right"/>
        <w:bidi/>
      </w:pPr>
      <w:r>
        <w:rPr>
          <w:rFonts w:ascii="Arial" w:hAnsi="Arial"/>
          <w:sz w:val="16"/>
        </w:rPr>
        <w:t>119.03  آموزش.</w:t>
      </w:r>
    </w:p>
    <w:p>
      <w:pPr>
        <w:spacing w:after="28" w:line="216" w:lineRule="auto"/>
        <w:ind w:left="259"/>
        <w:jc w:val="left"/>
      </w:pPr>
      <w:r>
        <w:rPr>
          <w:rFonts w:ascii="Arial" w:hAnsi="Arial"/>
          <w:color w:val="525252"/>
          <w:sz w:val="13"/>
        </w:rPr>
        <w:t>Training.</w:t>
      </w:r>
    </w:p>
    <w:p>
      <w:pPr>
        <w:spacing w:after="20" w:line="223" w:lineRule="auto"/>
        <w:jc w:val="right"/>
        <w:bidi/>
      </w:pPr>
      <w:r>
        <w:rPr>
          <w:rFonts w:ascii="Arial" w:hAnsi="Arial"/>
          <w:sz w:val="16"/>
        </w:rPr>
        <w:t>119.04  آموزش مبتنی بر قابلیت‌ها برای شناسایی دانش مورد نیاز و وظایف خاصی که نیاز به آموزش برای برآوردن الزامات عملکرد شغلی را ضروری می‌کند، استفاده می‌شود.</w:t>
      </w:r>
    </w:p>
    <w:p>
      <w:pPr>
        <w:spacing w:after="28" w:line="216" w:lineRule="auto"/>
        <w:ind w:left="259"/>
        <w:jc w:val="left"/>
      </w:pPr>
      <w:r>
        <w:rPr>
          <w:rFonts w:ascii="Arial" w:hAnsi="Arial"/>
          <w:color w:val="525252"/>
          <w:sz w:val="13"/>
        </w:rPr>
        <w:t>Capabilities-based training is used to identify knowledge needed and specific tasks necessitating training to meet job performance requirements.</w:t>
      </w:r>
    </w:p>
    <w:p>
      <w:pPr>
        <w:spacing w:after="20" w:line="223" w:lineRule="auto"/>
        <w:jc w:val="right"/>
        <w:bidi/>
      </w:pPr>
      <w:r>
        <w:rPr>
          <w:rFonts w:ascii="Arial" w:hAnsi="Arial"/>
          <w:sz w:val="16"/>
        </w:rPr>
        <w:t>119.05  استفاده.</w:t>
      </w:r>
    </w:p>
    <w:p>
      <w:pPr>
        <w:spacing w:after="28" w:line="216" w:lineRule="auto"/>
        <w:ind w:left="259"/>
        <w:jc w:val="left"/>
      </w:pPr>
      <w:r>
        <w:rPr>
          <w:rFonts w:ascii="Arial" w:hAnsi="Arial"/>
          <w:color w:val="525252"/>
          <w:sz w:val="13"/>
        </w:rPr>
        <w:t>Utilization.</w:t>
      </w:r>
    </w:p>
    <w:p>
      <w:pPr>
        <w:spacing w:after="20" w:line="223" w:lineRule="auto"/>
        <w:jc w:val="right"/>
        <w:bidi/>
      </w:pPr>
      <w:r>
        <w:rPr>
          <w:rFonts w:ascii="Arial" w:hAnsi="Arial"/>
          <w:sz w:val="16"/>
        </w:rPr>
        <w:t>119.06  طبقه بندی و استفاده از پرسنل برای شناسایی وظایف انجام شده در هر مرحله شغلی و اعتبار بخشیدن به ساختارهای شغلی استفاده می‌شود.</w:t>
      </w:r>
    </w:p>
    <w:p>
      <w:pPr>
        <w:spacing w:after="28" w:line="216" w:lineRule="auto"/>
        <w:ind w:left="259"/>
        <w:jc w:val="left"/>
      </w:pPr>
      <w:r>
        <w:rPr>
          <w:rFonts w:ascii="Arial" w:hAnsi="Arial"/>
          <w:color w:val="525252"/>
          <w:sz w:val="13"/>
        </w:rPr>
        <w:t>Personnel classification and utilization is used to identify tasks performed at each career stage and to validate occupational structures.</w:t>
      </w:r>
    </w:p>
    <w:p>
      <w:pPr>
        <w:spacing w:after="20" w:line="223" w:lineRule="auto"/>
        <w:jc w:val="right"/>
        <w:bidi/>
      </w:pPr>
      <w:r>
        <w:rPr>
          <w:rFonts w:ascii="Arial" w:hAnsi="Arial"/>
          <w:sz w:val="16"/>
        </w:rPr>
        <w:t>119.07  تبلیغات.</w:t>
      </w:r>
    </w:p>
    <w:p>
      <w:pPr>
        <w:spacing w:after="28" w:line="216" w:lineRule="auto"/>
        <w:ind w:left="259"/>
        <w:jc w:val="left"/>
      </w:pPr>
      <w:r>
        <w:rPr>
          <w:rFonts w:ascii="Arial" w:hAnsi="Arial"/>
          <w:color w:val="525252"/>
          <w:sz w:val="13"/>
        </w:rPr>
        <w:t>Promotions.</w:t>
      </w:r>
    </w:p>
    <w:p>
      <w:pPr>
        <w:spacing w:after="20" w:line="223" w:lineRule="auto"/>
        <w:jc w:val="right"/>
        <w:bidi/>
      </w:pPr>
      <w:r>
        <w:rPr>
          <w:rFonts w:ascii="Arial" w:hAnsi="Arial"/>
          <w:sz w:val="16"/>
        </w:rPr>
        <w:t>119.08  تست ارتقاء برای شناسایی محتوای مرتبط عملیاتی برای توسعه آزمایش و ارتقاء و حفظ بهترین نیروهای هوایی استفاده می‌شود.</w:t>
      </w:r>
    </w:p>
    <w:p>
      <w:pPr>
        <w:spacing w:after="28" w:line="216" w:lineRule="auto"/>
        <w:ind w:left="259"/>
        <w:jc w:val="left"/>
      </w:pPr>
      <w:r>
        <w:rPr>
          <w:rFonts w:ascii="Arial" w:hAnsi="Arial"/>
          <w:color w:val="525252"/>
          <w:sz w:val="13"/>
        </w:rPr>
        <w:t>Promotion testing is used to identify operationally relevant content for test development and promoting and retaining the best Airmen.</w:t>
      </w:r>
    </w:p>
    <w:p>
      <w:pPr>
        <w:spacing w:after="20" w:line="223" w:lineRule="auto"/>
        <w:jc w:val="right"/>
        <w:bidi/>
      </w:pPr>
      <w:r>
        <w:rPr>
          <w:rFonts w:ascii="Arial" w:hAnsi="Arial"/>
          <w:sz w:val="16"/>
        </w:rPr>
        <w:t>119.09  فرآیند تحلیل شغلی.</w:t>
      </w:r>
    </w:p>
    <w:p>
      <w:pPr>
        <w:spacing w:after="28" w:line="216" w:lineRule="auto"/>
        <w:ind w:left="259"/>
        <w:jc w:val="left"/>
      </w:pPr>
      <w:r>
        <w:rPr>
          <w:rFonts w:ascii="Arial" w:hAnsi="Arial"/>
          <w:color w:val="525252"/>
          <w:sz w:val="13"/>
        </w:rPr>
        <w:t>Occupational Analysis Process.</w:t>
      </w:r>
    </w:p>
    <w:p>
      <w:pPr>
        <w:spacing w:after="20" w:line="223" w:lineRule="auto"/>
        <w:jc w:val="right"/>
        <w:bidi/>
      </w:pPr>
      <w:r>
        <w:rPr>
          <w:rFonts w:ascii="Arial" w:hAnsi="Arial"/>
          <w:sz w:val="16"/>
        </w:rPr>
        <w:t>119.10  وککوپاتیونال انالیسیس مطالعات شغلی را بر روی تخصص‌های USAF به صورت دوره‌ای انجام می‌دهد، معمولا یک چرخه سه تا چهار ساله، و در صورت درخواست در صورت خارج از چرخه.</w:t>
      </w:r>
    </w:p>
    <w:p>
      <w:pPr>
        <w:spacing w:after="28" w:line="216" w:lineRule="auto"/>
        <w:ind w:left="259"/>
        <w:jc w:val="left"/>
      </w:pPr>
      <w:r>
        <w:rPr>
          <w:rFonts w:ascii="Arial" w:hAnsi="Arial"/>
          <w:color w:val="525252"/>
          <w:sz w:val="13"/>
        </w:rPr>
        <w:t>Occupational Analysis conducts occupational studies on enlisted USAF specialties on a periodic basis, typically a three- to four-year cycle, and upon request if out of cycle.</w:t>
      </w:r>
    </w:p>
    <w:p>
      <w:pPr>
        <w:spacing w:after="20" w:line="223" w:lineRule="auto"/>
        <w:jc w:val="right"/>
        <w:bidi/>
      </w:pPr>
      <w:r>
        <w:rPr>
          <w:rFonts w:ascii="Arial" w:hAnsi="Arial"/>
          <w:sz w:val="16"/>
        </w:rPr>
        <w:t>119.11  مطالعات ویژه مانند تخصص‌های افسری USAF و سری‌های شغلی غیرنظامی نیز در صورت درخواست انجام می‌شود.</w:t>
      </w:r>
    </w:p>
    <w:p>
      <w:pPr>
        <w:spacing w:after="28" w:line="216" w:lineRule="auto"/>
        <w:ind w:left="259"/>
        <w:jc w:val="left"/>
      </w:pPr>
      <w:r>
        <w:rPr>
          <w:rFonts w:ascii="Arial" w:hAnsi="Arial"/>
          <w:color w:val="525252"/>
          <w:sz w:val="13"/>
        </w:rPr>
        <w:t>Special studies, such as officer USAF specialties and civilian occupational series, are also conducted upon request.</w:t>
      </w:r>
    </w:p>
    <w:p>
      <w:pPr>
        <w:spacing w:after="20" w:line="223" w:lineRule="auto"/>
        <w:jc w:val="right"/>
        <w:bidi/>
      </w:pPr>
      <w:r>
        <w:rPr>
          <w:rFonts w:ascii="Arial" w:hAnsi="Arial"/>
          <w:sz w:val="16"/>
        </w:rPr>
        <w:t>119.12  رهبران حوزه شغلی و کارشناسان موضوع کلید فرآیند توسعه محتوای ابزارهای نظرسنجی شغلی هستند.</w:t>
      </w:r>
    </w:p>
    <w:p>
      <w:pPr>
        <w:spacing w:after="28" w:line="216" w:lineRule="auto"/>
        <w:ind w:left="259"/>
        <w:jc w:val="left"/>
      </w:pPr>
      <w:r>
        <w:rPr>
          <w:rFonts w:ascii="Arial" w:hAnsi="Arial"/>
          <w:color w:val="525252"/>
          <w:sz w:val="13"/>
        </w:rPr>
        <w:t>Career field leaders and subject matter experts are key to the process in developing the content of occupational survey instruments.</w:t>
      </w:r>
    </w:p>
    <w:p>
      <w:pPr>
        <w:spacing w:after="20" w:line="223" w:lineRule="auto"/>
        <w:jc w:val="right"/>
        <w:bidi/>
      </w:pPr>
      <w:r>
        <w:rPr>
          <w:rFonts w:ascii="Arial" w:hAnsi="Arial"/>
          <w:sz w:val="16"/>
        </w:rPr>
        <w:t>119.13  بررسی‌های شغلی از طریق پست الکترونیکی مستقیم (افنت) برای همه پرسنل واجد شرایط در تخصص هدف یا مجموعه‌های شغلی غیرنظامی انجام می‌شود.</w:t>
      </w:r>
    </w:p>
    <w:p>
      <w:pPr>
        <w:spacing w:after="28" w:line="216" w:lineRule="auto"/>
        <w:ind w:left="259"/>
        <w:jc w:val="left"/>
      </w:pPr>
      <w:r>
        <w:rPr>
          <w:rFonts w:ascii="Arial" w:hAnsi="Arial"/>
          <w:color w:val="525252"/>
          <w:sz w:val="13"/>
        </w:rPr>
        <w:t>Occupational surveys are administered to all eligible personnel in the targeted specialty or civilian occupational series through direct e- mail (AFNet).</w:t>
      </w:r>
    </w:p>
    <w:p>
      <w:pPr>
        <w:spacing w:after="20" w:line="223" w:lineRule="auto"/>
        <w:jc w:val="right"/>
        <w:bidi/>
      </w:pPr>
      <w:r>
        <w:rPr>
          <w:rFonts w:ascii="Arial" w:hAnsi="Arial"/>
          <w:sz w:val="16"/>
        </w:rPr>
        <w:t>119.14  داده‌های تحلیل شغلی.</w:t>
      </w:r>
    </w:p>
    <w:p>
      <w:pPr>
        <w:spacing w:after="28" w:line="216" w:lineRule="auto"/>
        <w:ind w:left="259"/>
        <w:jc w:val="left"/>
      </w:pPr>
      <w:r>
        <w:rPr>
          <w:rFonts w:ascii="Arial" w:hAnsi="Arial"/>
          <w:color w:val="525252"/>
          <w:sz w:val="13"/>
        </w:rPr>
        <w:t>Occupational Analysis Data.</w:t>
      </w:r>
    </w:p>
    <w:p>
      <w:pPr>
        <w:spacing w:after="20" w:line="223" w:lineRule="auto"/>
        <w:jc w:val="right"/>
        <w:bidi/>
      </w:pPr>
      <w:r>
        <w:rPr>
          <w:rFonts w:ascii="Arial" w:hAnsi="Arial"/>
          <w:sz w:val="16"/>
        </w:rPr>
        <w:t>119.15  نتایج پیمایش شغلی در گزارش‌های تحلیل شغلی ارائه می‌شود که شامل اطلاعاتی در مورد وظایف و مسئولیت‌های انجام شده توسط اعضای حوزه شغلی در قالب بیانیه‌های وظایف و حوزه‌های وظیفه در هر مرحله از حرفه آنها می‌شود.</w:t>
      </w:r>
    </w:p>
    <w:p>
      <w:pPr>
        <w:spacing w:after="28" w:line="216" w:lineRule="auto"/>
        <w:ind w:left="259"/>
        <w:jc w:val="left"/>
      </w:pPr>
      <w:r>
        <w:rPr>
          <w:rFonts w:ascii="Arial" w:hAnsi="Arial"/>
          <w:color w:val="525252"/>
          <w:sz w:val="13"/>
        </w:rPr>
        <w:t>Occupational survey results are provided in occupational analysis reports that include information on the duties and responsibilities performed by career field members in the form of task statements and duty areas throughout each stage of their career.</w:t>
      </w:r>
    </w:p>
    <w:p>
      <w:pPr>
        <w:spacing w:after="20" w:line="223" w:lineRule="auto"/>
        <w:jc w:val="right"/>
        <w:bidi/>
      </w:pPr>
      <w:r>
        <w:rPr>
          <w:rFonts w:ascii="Arial" w:hAnsi="Arial"/>
          <w:sz w:val="16"/>
        </w:rPr>
        <w:t>119.16  تصمیم گیرندگان مرتبط با برنامه‌های آموزشی از داده‌های به‌دست‌آمده برای ایجاد، اعتبارسنجی، تنظیم یا حفظ آموزش نسبت به تخصص‌ها و سطوح مهارت USAF و برای حمایت از تصمیم‌گیری‌ها در مورد نوع آموزش مورد نیاز، چه کسی به آموزش نیاز دارد و تا چه عمقی آموزش باید آموزش داده شود، استفاده می‌کنند.</w:t>
      </w:r>
    </w:p>
    <w:p>
      <w:pPr>
        <w:spacing w:after="28" w:line="216" w:lineRule="auto"/>
        <w:ind w:left="259"/>
        <w:jc w:val="left"/>
      </w:pPr>
      <w:r>
        <w:rPr>
          <w:rFonts w:ascii="Arial" w:hAnsi="Arial"/>
          <w:color w:val="525252"/>
          <w:sz w:val="13"/>
        </w:rPr>
        <w:t>Decision-makers associated with training programs use the data obtained to establish, validate, adjust, or maintain training relative to USAF specialties and skill-levels, and to support decisions on what type of training is needed, who needs the training, and to what depth the training should be taught.</w:t>
      </w:r>
    </w:p>
    <w:p>
      <w:pPr>
        <w:spacing w:after="20" w:line="223" w:lineRule="auto"/>
        <w:jc w:val="right"/>
        <w:bidi/>
      </w:pPr>
      <w:r>
        <w:rPr>
          <w:rFonts w:ascii="Arial" w:hAnsi="Arial"/>
          <w:sz w:val="16"/>
        </w:rPr>
        <w:t>119.17  همه اعضای حوزه شغلی نقش‌های محوری با نتایج سازنده مطالعات شغلی دارند.</w:t>
      </w:r>
    </w:p>
    <w:p>
      <w:pPr>
        <w:spacing w:after="28" w:line="216" w:lineRule="auto"/>
        <w:ind w:left="259"/>
        <w:jc w:val="left"/>
      </w:pPr>
      <w:r>
        <w:rPr>
          <w:rFonts w:ascii="Arial" w:hAnsi="Arial"/>
          <w:color w:val="525252"/>
          <w:sz w:val="13"/>
        </w:rPr>
        <w:t>All career field members have pivotal roles with the constructive outcomes of occupational studies.</w:t>
      </w:r>
    </w:p>
    <w:p>
      <w:pPr>
        <w:spacing w:after="20" w:line="223" w:lineRule="auto"/>
        <w:jc w:val="right"/>
        <w:bidi/>
      </w:pPr>
      <w:r>
        <w:rPr>
          <w:rFonts w:ascii="Arial" w:hAnsi="Arial"/>
          <w:sz w:val="16"/>
        </w:rPr>
        <w:t>119.18  هوانوردان یک رشته شغلی مورد بررسی باید زمان و تعهد لازم را برای تکمیل بررسی‌های شغلی خود اختصاص دهند.</w:t>
      </w:r>
    </w:p>
    <w:p>
      <w:pPr>
        <w:spacing w:after="28" w:line="216" w:lineRule="auto"/>
        <w:ind w:left="259"/>
        <w:jc w:val="left"/>
      </w:pPr>
      <w:r>
        <w:rPr>
          <w:rFonts w:ascii="Arial" w:hAnsi="Arial"/>
          <w:color w:val="525252"/>
          <w:sz w:val="13"/>
        </w:rPr>
        <w:t>Airmen of a career field being surveyed must devote the necessary time and commitment in completing their assigned occupational surveys.</w:t>
      </w:r>
    </w:p>
    <w:p>
      <w:pPr>
        <w:spacing w:after="20" w:line="223" w:lineRule="auto"/>
        <w:jc w:val="right"/>
        <w:bidi/>
      </w:pPr>
      <w:r>
        <w:rPr>
          <w:rFonts w:ascii="Arial" w:hAnsi="Arial"/>
          <w:sz w:val="16"/>
        </w:rPr>
        <w:t>119.19  داده‌های جمع‌آوری‌شده از هر شرکت‌کننده در نظرسنجی به برنامه‌های آموزشی مرتبط عملیاتی برای تخصص USAF آنها و آزمون‌های ارتقای منصفانه و قابل اعتماد برای رشته شغلی آنها تحت سیستم ارتقای هواپیمای وزن دار تبدیل می‌شود.</w:t>
      </w:r>
    </w:p>
    <w:p>
      <w:pPr>
        <w:spacing w:after="28" w:line="216" w:lineRule="auto"/>
        <w:ind w:left="259"/>
        <w:jc w:val="left"/>
      </w:pPr>
      <w:r>
        <w:rPr>
          <w:rFonts w:ascii="Arial" w:hAnsi="Arial"/>
          <w:color w:val="525252"/>
          <w:sz w:val="13"/>
        </w:rPr>
        <w:t>The data collected from each survey participant translates into operationally relevant training programs for their USAF specialty, and fair and reliable promotion tests for their career field under Weighted Airman Promotion System.</w:t>
      </w:r>
    </w:p>
    <w:p>
      <w:pPr>
        <w:spacing w:after="20" w:line="223" w:lineRule="auto"/>
        <w:jc w:val="right"/>
        <w:bidi/>
      </w:pPr>
      <w:r>
        <w:rPr>
          <w:rFonts w:ascii="Arial" w:hAnsi="Arial"/>
          <w:sz w:val="16"/>
        </w:rPr>
        <w:t>119.20  تجزیه و تحلیل شغلی به‌عنوان یک مکانیسم ارزیابی خارجی برای برنامه‌های آموزشی و آموزشی USAF عمل می‌کند.</w:t>
      </w:r>
    </w:p>
    <w:p>
      <w:pPr>
        <w:spacing w:after="28" w:line="216" w:lineRule="auto"/>
        <w:ind w:left="259"/>
        <w:jc w:val="left"/>
      </w:pPr>
      <w:r>
        <w:rPr>
          <w:rFonts w:ascii="Arial" w:hAnsi="Arial"/>
          <w:color w:val="525252"/>
          <w:sz w:val="13"/>
        </w:rPr>
        <w:t>Occupational analysis serves as an external evaluation mechanism for USAF education and training programs.</w:t>
      </w:r>
    </w:p>
    <w:p>
      <w:pPr>
        <w:spacing w:after="20" w:line="223" w:lineRule="auto"/>
        <w:jc w:val="right"/>
        <w:bidi/>
      </w:pPr>
      <w:r>
        <w:rPr>
          <w:rFonts w:ascii="Arial" w:hAnsi="Arial"/>
          <w:sz w:val="16"/>
        </w:rPr>
        <w:t>119.21  داده‌های تجزیه و تحلیل شغلی در طول نیازمندی‌های آموزش تخصصی، جلسات تیم، و استفاده و کارگاه‌های آموزشی برای ارزیابی الزامات آموزشی از نظر مرتبط بودن و اثربخشی، و تعیین اینکه آیا تغییراتی در برنامه‌های آموزشی و آموزشی حوزه شغلی آنها ضروری است یا خیر، استفاده می‌شود. محتوای دوره توسعه شغلی؛ و توضیحات تخصصی USAF در مورد وظایف، مسئولیت‌ها و صلاحیت‌ها.</w:t>
      </w:r>
    </w:p>
    <w:p>
      <w:pPr>
        <w:spacing w:after="28" w:line="216" w:lineRule="auto"/>
        <w:ind w:left="259"/>
        <w:jc w:val="left"/>
      </w:pPr>
      <w:r>
        <w:rPr>
          <w:rFonts w:ascii="Arial" w:hAnsi="Arial"/>
          <w:color w:val="525252"/>
          <w:sz w:val="13"/>
        </w:rPr>
        <w:t>Occupational analysis data is used during specialty training requirements, team sessions, and utilization and training workshops to evaluate training requirements for relevancy and efficacy, and to determine if modifications are warranted to their Career Field Education and Training Plans; Career Development Course content; and the USAF specialty descriptions of duties, responsibilities, and qualifications.</w:t>
      </w:r>
    </w:p>
    <w:p>
      <w:pPr>
        <w:spacing w:after="20" w:line="223" w:lineRule="auto"/>
        <w:jc w:val="right"/>
        <w:bidi/>
      </w:pPr>
      <w:r>
        <w:rPr>
          <w:rFonts w:ascii="Arial" w:hAnsi="Arial"/>
          <w:sz w:val="16"/>
        </w:rPr>
        <w:t>119.22  برای مشاهده اطلاعات رستهٔ شغلی و به دست آوردن بینش ارزشمند در مورد وظایف و مسئولیت‌های رسته‌های شغلی در سراسر USAF، از وب‌سایت تحلیل شغلی (https://usaf.dps.mil/sites/aetc-hq/A9/SAS/OA/) بازدید کنید.</w:t>
      </w:r>
    </w:p>
    <w:p>
      <w:pPr>
        <w:spacing w:after="28" w:line="216" w:lineRule="auto"/>
        <w:ind w:left="259"/>
        <w:jc w:val="left"/>
      </w:pPr>
      <w:r>
        <w:rPr>
          <w:rFonts w:ascii="Arial" w:hAnsi="Arial"/>
          <w:color w:val="525252"/>
          <w:sz w:val="13"/>
        </w:rPr>
        <w:t>To view career field information and gain valuable insights into the duties and responsibilities of career fields across the USAF, visit the Occupational Analysis (https://usaf.dps.mil/sites/aetc-hq/A9/SAS/OA/) website.</w:t>
      </w:r>
    </w:p>
    <w:p>
      <w:pPr>
        <w:spacing w:after="20" w:line="223" w:lineRule="auto"/>
        <w:jc w:val="right"/>
        <w:bidi/>
      </w:pPr>
      <w:r>
        <w:rPr>
          <w:rFonts w:ascii="Arial" w:hAnsi="Arial"/>
          <w:sz w:val="16"/>
        </w:rPr>
        <w:t>119.23  اطلاعات اضافی ارائه شده در وب‌سایت شامل اطلاعات رضایت شغلی، داده‌های تعادل بین کار و زندگی، و دلیل پشت سر این است که چرا نیروهای هوایی دوباره به خدمت سربازی می‌رود یا از USAF جدا می‌شود.</w:t>
      </w:r>
    </w:p>
    <w:p>
      <w:pPr>
        <w:spacing w:after="28" w:line="216" w:lineRule="auto"/>
        <w:ind w:left="259"/>
        <w:jc w:val="left"/>
      </w:pPr>
      <w:r>
        <w:rPr>
          <w:rFonts w:ascii="Arial" w:hAnsi="Arial"/>
          <w:color w:val="525252"/>
          <w:sz w:val="13"/>
        </w:rPr>
        <w:t>Additional information provided on the website includes job satisfaction information, work-life balance data, and the rationale behind why Airmen are reenlisting or separating from the USAF.</w:t>
      </w:r>
    </w:p>
    <w:p>
      <w:r>
        <w:br w:type="page"/>
      </w:r>
    </w:p>
    <w:p>
      <w:pPr>
        <w:spacing w:after="60"/>
        <w:jc w:val="right"/>
        <w:bidi/>
      </w:pPr>
      <w:r>
        <w:rPr>
          <w:rFonts w:ascii="Arial" w:hAnsi="Arial"/>
          <w:b/>
          <w:color w:val="1F4D78"/>
          <w:sz w:val="19"/>
        </w:rPr>
        <w:t>هفتهٔ 120  |  صفحهٔ منبع: 136</w:t>
      </w:r>
    </w:p>
    <w:p>
      <w:pPr>
        <w:spacing w:before="60" w:after="28"/>
        <w:jc w:val="right"/>
        <w:bidi/>
      </w:pPr>
      <w:r>
        <w:rPr>
          <w:b/>
          <w:color w:val="1F4D78"/>
          <w:sz w:val="18"/>
        </w:rPr>
        <w:t>بخش 7E-مسئولیت های آموزشی</w:t>
      </w:r>
    </w:p>
    <w:p>
      <w:pPr>
        <w:spacing w:after="20"/>
        <w:ind w:left="259"/>
        <w:jc w:val="left"/>
      </w:pPr>
      <w:r>
        <w:rPr>
          <w:color w:val="555555"/>
          <w:sz w:val="12"/>
        </w:rPr>
        <w:t>Section 7E—Training Responsibilities</w:t>
      </w:r>
    </w:p>
    <w:p>
      <w:pPr>
        <w:spacing w:before="60" w:after="28"/>
        <w:jc w:val="right"/>
        <w:bidi/>
      </w:pPr>
      <w:r>
        <w:rPr>
          <w:b/>
          <w:color w:val="1F4D78"/>
          <w:sz w:val="18"/>
        </w:rPr>
        <w:t>7.12. فرصت های آموزشی</w:t>
      </w:r>
    </w:p>
    <w:p>
      <w:pPr>
        <w:spacing w:after="20"/>
        <w:ind w:left="259"/>
        <w:jc w:val="left"/>
      </w:pPr>
      <w:r>
        <w:rPr>
          <w:color w:val="555555"/>
          <w:sz w:val="12"/>
        </w:rPr>
        <w:t>7.12. Training Opportunities</w:t>
      </w:r>
    </w:p>
    <w:p>
      <w:pPr>
        <w:spacing w:after="20" w:line="223" w:lineRule="auto"/>
        <w:jc w:val="right"/>
        <w:bidi/>
      </w:pPr>
      <w:r>
        <w:rPr>
          <w:rFonts w:ascii="Arial" w:hAnsi="Arial"/>
          <w:sz w:val="16"/>
        </w:rPr>
        <w:t>120.03  آموزش چیزی است که هر هوانوردی در طول حرفه خود به آن نیاز دارد، از آموزش نظامی اولیه گرفته تا آموزش فنی، تا آموزش سطح مهارت‌های پیشرفته و فراتر از آن.</w:t>
      </w:r>
    </w:p>
    <w:p>
      <w:pPr>
        <w:spacing w:after="28" w:line="216" w:lineRule="auto"/>
        <w:ind w:left="259"/>
        <w:jc w:val="left"/>
      </w:pPr>
      <w:r>
        <w:rPr>
          <w:rFonts w:ascii="Arial" w:hAnsi="Arial"/>
          <w:color w:val="525252"/>
          <w:sz w:val="13"/>
        </w:rPr>
        <w:t>Training is something every Airman needs throughout their career, from basic military training to technical training, to advanced skill level training, and beyond.</w:t>
      </w:r>
    </w:p>
    <w:p>
      <w:pPr>
        <w:spacing w:after="20" w:line="223" w:lineRule="auto"/>
        <w:jc w:val="right"/>
        <w:bidi/>
      </w:pPr>
      <w:r>
        <w:rPr>
          <w:rFonts w:ascii="Arial" w:hAnsi="Arial"/>
          <w:sz w:val="16"/>
        </w:rPr>
        <w:t>120.04  این نیاز سالانه میلیون‌ها دلار برای USAF هزینه دارد و دلیل خوبی هم دارد.</w:t>
      </w:r>
    </w:p>
    <w:p>
      <w:pPr>
        <w:spacing w:after="28" w:line="216" w:lineRule="auto"/>
        <w:ind w:left="259"/>
        <w:jc w:val="left"/>
      </w:pPr>
      <w:r>
        <w:rPr>
          <w:rFonts w:ascii="Arial" w:hAnsi="Arial"/>
          <w:color w:val="525252"/>
          <w:sz w:val="13"/>
        </w:rPr>
        <w:t>This need costs the USAF millions of dollars annually, and for good reason.</w:t>
      </w:r>
    </w:p>
    <w:p>
      <w:pPr>
        <w:spacing w:after="20" w:line="223" w:lineRule="auto"/>
        <w:jc w:val="right"/>
        <w:bidi/>
      </w:pPr>
      <w:r>
        <w:rPr>
          <w:rFonts w:ascii="Arial" w:hAnsi="Arial"/>
          <w:sz w:val="16"/>
        </w:rPr>
        <w:t>120.05  برای انجام مأموریت، چه به معنای ارسال ماهواره به مدار، هواپیما در هوا، گزارش به مقر بالاتر یا وسایل نقلیه در جاده، آموزش ضروری است.</w:t>
      </w:r>
    </w:p>
    <w:p>
      <w:pPr>
        <w:spacing w:after="28" w:line="216" w:lineRule="auto"/>
        <w:ind w:left="259"/>
        <w:jc w:val="left"/>
      </w:pPr>
      <w:r>
        <w:rPr>
          <w:rFonts w:ascii="Arial" w:hAnsi="Arial"/>
          <w:color w:val="525252"/>
          <w:sz w:val="13"/>
        </w:rPr>
        <w:t>To accomplish the mission, whether that means sending satellites into orbit, planes in the air, reports to higher headquarters, or vehicles on the road, training is a must.</w:t>
      </w:r>
    </w:p>
    <w:p>
      <w:pPr>
        <w:spacing w:before="60" w:after="28"/>
        <w:jc w:val="right"/>
        <w:bidi/>
      </w:pPr>
      <w:r>
        <w:rPr>
          <w:b/>
          <w:color w:val="1F4D78"/>
          <w:sz w:val="18"/>
        </w:rPr>
        <w:t>7.13. آموزش نظامی پایه</w:t>
      </w:r>
    </w:p>
    <w:p>
      <w:pPr>
        <w:spacing w:after="20"/>
        <w:ind w:left="259"/>
        <w:jc w:val="left"/>
      </w:pPr>
      <w:r>
        <w:rPr>
          <w:color w:val="555555"/>
          <w:sz w:val="12"/>
        </w:rPr>
        <w:t>7.13. Basic Military Training</w:t>
      </w:r>
    </w:p>
    <w:p>
      <w:pPr>
        <w:spacing w:after="20" w:line="223" w:lineRule="auto"/>
        <w:jc w:val="right"/>
        <w:bidi/>
      </w:pPr>
      <w:r>
        <w:rPr>
          <w:rFonts w:ascii="Arial" w:hAnsi="Arial"/>
          <w:sz w:val="16"/>
        </w:rPr>
        <w:t>120.07  همه هوانوردان درجه‌دار در مهارت‌های اساسی لازم برای موفقیت در USAF آموزش دیده‌اند.</w:t>
      </w:r>
    </w:p>
    <w:p>
      <w:pPr>
        <w:spacing w:after="28" w:line="216" w:lineRule="auto"/>
        <w:ind w:left="259"/>
        <w:jc w:val="left"/>
      </w:pPr>
      <w:r>
        <w:rPr>
          <w:rFonts w:ascii="Arial" w:hAnsi="Arial"/>
          <w:color w:val="525252"/>
          <w:sz w:val="13"/>
        </w:rPr>
        <w:t>All enlisted Airmen are trained in the fundamental skills necessary to be successful in the USAF.</w:t>
      </w:r>
    </w:p>
    <w:p>
      <w:pPr>
        <w:spacing w:after="20" w:line="223" w:lineRule="auto"/>
        <w:jc w:val="right"/>
        <w:bidi/>
      </w:pPr>
      <w:r>
        <w:rPr>
          <w:rFonts w:ascii="Arial" w:hAnsi="Arial"/>
          <w:sz w:val="16"/>
        </w:rPr>
        <w:t>120.08  این مهارت‌ها شامل مهارت‌های رزمی اولیه، تمرین‌های آموزشی میدانی، آموزش سلاح، انضباط نظامی، آمادگی جسمانی، تمرین و تشریفات، بازرسی از خوابگاه، تاریخ و میراث، ارزش‌های اصلی، و طیف گسترده‌ای از موضوعات مرتبط با زندگی USAF، مانند مدیریت مالی، مسائل خانوادگی، و سوء مصرف الکل/مواد است.</w:t>
      </w:r>
    </w:p>
    <w:p>
      <w:pPr>
        <w:spacing w:after="28" w:line="216" w:lineRule="auto"/>
        <w:ind w:left="259"/>
        <w:jc w:val="left"/>
      </w:pPr>
      <w:r>
        <w:rPr>
          <w:rFonts w:ascii="Arial" w:hAnsi="Arial"/>
          <w:color w:val="525252"/>
          <w:sz w:val="13"/>
        </w:rPr>
        <w:t>These skills include basic combat skills, field training exercises, weapons training, military discipline, physical fitness, drill and ceremonies, dormitory inspections, history and heritage, core values, and a comprehensive range of subjects relating to USAF life, such as financial management, family issues, and alcohol/substance abuse.</w:t>
      </w:r>
    </w:p>
    <w:p>
      <w:pPr>
        <w:spacing w:after="20" w:line="223" w:lineRule="auto"/>
        <w:jc w:val="right"/>
        <w:bidi/>
      </w:pPr>
      <w:r>
        <w:rPr>
          <w:rFonts w:ascii="Arial" w:hAnsi="Arial"/>
          <w:sz w:val="16"/>
        </w:rPr>
        <w:t>120.09  بیش از هفت میلیون مرد و زن جوان وارد آموزش‌های نظامی اولیه USAF شده‌اند.</w:t>
      </w:r>
    </w:p>
    <w:p>
      <w:pPr>
        <w:spacing w:after="28" w:line="216" w:lineRule="auto"/>
        <w:ind w:left="259"/>
        <w:jc w:val="left"/>
      </w:pPr>
      <w:r>
        <w:rPr>
          <w:rFonts w:ascii="Arial" w:hAnsi="Arial"/>
          <w:color w:val="525252"/>
          <w:sz w:val="13"/>
        </w:rPr>
        <w:t>More than seven million young men and women have entered USAF basic military training.</w:t>
      </w:r>
    </w:p>
    <w:p>
      <w:pPr>
        <w:spacing w:after="20" w:line="223" w:lineRule="auto"/>
        <w:jc w:val="right"/>
        <w:bidi/>
      </w:pPr>
      <w:r>
        <w:rPr>
          <w:rFonts w:ascii="Arial" w:hAnsi="Arial"/>
          <w:sz w:val="16"/>
        </w:rPr>
        <w:t>120.10  آموزش مقدماتی نظامی با مرحله دریافت (هفته صفر) آغاز و با فارغ‌التحصیلی پایان می‌یابد.</w:t>
      </w:r>
    </w:p>
    <w:p>
      <w:pPr>
        <w:spacing w:after="28" w:line="216" w:lineRule="auto"/>
        <w:ind w:left="259"/>
        <w:jc w:val="left"/>
      </w:pPr>
      <w:r>
        <w:rPr>
          <w:rFonts w:ascii="Arial" w:hAnsi="Arial"/>
          <w:color w:val="525252"/>
          <w:sz w:val="13"/>
        </w:rPr>
        <w:t>Basic military training begins with the receiving phase (zero week) and ends with graduation.</w:t>
      </w:r>
    </w:p>
    <w:p>
      <w:pPr>
        <w:spacing w:after="20" w:line="223" w:lineRule="auto"/>
        <w:jc w:val="right"/>
        <w:bidi/>
      </w:pPr>
      <w:r>
        <w:rPr>
          <w:rFonts w:ascii="Arial" w:hAnsi="Arial"/>
          <w:sz w:val="16"/>
        </w:rPr>
        <w:t>120.11  مربیان آموزش نظامی مسئول بیشتر آموزش هایی هستند که انجام می‌شود و در طول فرآیند آموزشی کارآموزان را همراهی می‌کنند.</w:t>
      </w:r>
    </w:p>
    <w:p>
      <w:pPr>
        <w:spacing w:after="28" w:line="216" w:lineRule="auto"/>
        <w:ind w:left="259"/>
        <w:jc w:val="left"/>
      </w:pPr>
      <w:r>
        <w:rPr>
          <w:rFonts w:ascii="Arial" w:hAnsi="Arial"/>
          <w:color w:val="525252"/>
          <w:sz w:val="13"/>
        </w:rPr>
        <w:t>Military training instructors are responsible for most of the training that takes place, and they accompany trainees throughout the training process.</w:t>
      </w:r>
    </w:p>
    <w:p>
      <w:pPr>
        <w:spacing w:after="20" w:line="223" w:lineRule="auto"/>
        <w:jc w:val="right"/>
        <w:bidi/>
      </w:pPr>
      <w:r>
        <w:rPr>
          <w:rFonts w:ascii="Arial" w:hAnsi="Arial"/>
          <w:sz w:val="16"/>
        </w:rPr>
        <w:t>120.12  پس از فارغ‌التحصیلی، همه هوانوردان به مدرسه آموزش فنی مناسب یا اولین وظیفه خود می‌روند.</w:t>
      </w:r>
    </w:p>
    <w:p>
      <w:pPr>
        <w:spacing w:after="28" w:line="216" w:lineRule="auto"/>
        <w:ind w:left="259"/>
        <w:jc w:val="left"/>
      </w:pPr>
      <w:r>
        <w:rPr>
          <w:rFonts w:ascii="Arial" w:hAnsi="Arial"/>
          <w:color w:val="525252"/>
          <w:sz w:val="13"/>
        </w:rPr>
        <w:t>Following graduation, all Airmen proceed to the appropriate technical training school or their first duty assignment.</w:t>
      </w:r>
    </w:p>
    <w:p>
      <w:pPr>
        <w:spacing w:after="20" w:line="223" w:lineRule="auto"/>
        <w:jc w:val="right"/>
        <w:bidi/>
      </w:pPr>
      <w:r>
        <w:rPr>
          <w:rFonts w:ascii="Arial" w:hAnsi="Arial"/>
          <w:sz w:val="16"/>
        </w:rPr>
        <w:t>120.13  آموزش فنی معمولا از یک ماه تا دو سال طول می‌کشد، بسته به کد تخصص نیروی هوایی (AFSC) اختصاص داده شده توسط هواپیمای.</w:t>
      </w:r>
    </w:p>
    <w:p>
      <w:pPr>
        <w:spacing w:after="28" w:line="216" w:lineRule="auto"/>
        <w:ind w:left="259"/>
        <w:jc w:val="left"/>
      </w:pPr>
      <w:r>
        <w:rPr>
          <w:rFonts w:ascii="Arial" w:hAnsi="Arial"/>
          <w:color w:val="525252"/>
          <w:sz w:val="13"/>
        </w:rPr>
        <w:t>Technical training typically lasts anywhere from one month to two years, depending on the Airman’s assigned Air Force Specialty Code (AFSC).</w:t>
      </w:r>
    </w:p>
    <w:p>
      <w:pPr>
        <w:spacing w:before="60" w:after="28"/>
        <w:jc w:val="right"/>
        <w:bidi/>
      </w:pPr>
      <w:r>
        <w:rPr>
          <w:b/>
          <w:color w:val="1F4D78"/>
          <w:sz w:val="18"/>
        </w:rPr>
        <w:t>7.14. آموزش حین کار</w:t>
      </w:r>
    </w:p>
    <w:p>
      <w:pPr>
        <w:spacing w:after="20"/>
        <w:ind w:left="259"/>
        <w:jc w:val="left"/>
      </w:pPr>
      <w:r>
        <w:rPr>
          <w:color w:val="555555"/>
          <w:sz w:val="12"/>
        </w:rPr>
        <w:t>7.14. On-the-Job Training</w:t>
      </w:r>
    </w:p>
    <w:p>
      <w:pPr>
        <w:spacing w:after="20" w:line="223" w:lineRule="auto"/>
        <w:jc w:val="right"/>
        <w:bidi/>
      </w:pPr>
      <w:r>
        <w:rPr>
          <w:rFonts w:ascii="Arial" w:hAnsi="Arial"/>
          <w:sz w:val="16"/>
        </w:rPr>
        <w:t>120.15  آموزش حین کار USAF (OJT) به پرسنل این فرصت را می‌دهد تا به دانش و مهارت‌های لازم برای انجام وظایف در تخصص خود دست یابند.</w:t>
      </w:r>
    </w:p>
    <w:p>
      <w:pPr>
        <w:spacing w:after="28" w:line="216" w:lineRule="auto"/>
        <w:ind w:left="259"/>
        <w:jc w:val="left"/>
      </w:pPr>
      <w:r>
        <w:rPr>
          <w:rFonts w:ascii="Arial" w:hAnsi="Arial"/>
          <w:color w:val="525252"/>
          <w:sz w:val="13"/>
        </w:rPr>
        <w:t>The USAF on-the-job training (OJT) provides personnel the opportunity to attain knowledge and skill qualifications required to perform duties in their specialty.</w:t>
      </w:r>
    </w:p>
    <w:p>
      <w:pPr>
        <w:spacing w:after="20" w:line="223" w:lineRule="auto"/>
        <w:jc w:val="right"/>
        <w:bidi/>
      </w:pPr>
      <w:r>
        <w:rPr>
          <w:rFonts w:ascii="Arial" w:hAnsi="Arial"/>
          <w:sz w:val="16"/>
        </w:rPr>
        <w:t>120.16  آموزش مؤثر، دانش، مهارت و تجربه بخش جدایی ناپذیر مأموریت یک یگان است که در نهایت منجر به یک حرفه موفق و کمک به دفاع ملی می‌شود.</w:t>
      </w:r>
    </w:p>
    <w:p>
      <w:pPr>
        <w:spacing w:after="28" w:line="216" w:lineRule="auto"/>
        <w:ind w:left="259"/>
        <w:jc w:val="left"/>
      </w:pPr>
      <w:r>
        <w:rPr>
          <w:rFonts w:ascii="Arial" w:hAnsi="Arial"/>
          <w:color w:val="525252"/>
          <w:sz w:val="13"/>
        </w:rPr>
        <w:t>Effective training, knowledge, proficiency, and experience are integral parts of a unit’s mission that will ultimately lead to a successful career and contribute to a solid national defense.</w:t>
      </w:r>
    </w:p>
    <w:p>
      <w:pPr>
        <w:spacing w:after="20" w:line="223" w:lineRule="auto"/>
        <w:jc w:val="right"/>
        <w:bidi/>
      </w:pPr>
      <w:r>
        <w:rPr>
          <w:rFonts w:ascii="Arial" w:hAnsi="Arial"/>
          <w:sz w:val="16"/>
        </w:rPr>
        <w:t>120.17  یک برنامه مؤثر OJT مستلزم دخالت فرمانده و نظارت در همه سطوح است.</w:t>
      </w:r>
    </w:p>
    <w:p>
      <w:pPr>
        <w:spacing w:after="28" w:line="216" w:lineRule="auto"/>
        <w:ind w:left="259"/>
        <w:jc w:val="left"/>
      </w:pPr>
      <w:r>
        <w:rPr>
          <w:rFonts w:ascii="Arial" w:hAnsi="Arial"/>
          <w:color w:val="525252"/>
          <w:sz w:val="13"/>
        </w:rPr>
        <w:t>An effective OJT program requires commander and supervisory involvement at all levels.</w:t>
      </w:r>
    </w:p>
    <w:p>
      <w:pPr>
        <w:spacing w:after="20" w:line="223" w:lineRule="auto"/>
        <w:jc w:val="right"/>
        <w:bidi/>
      </w:pPr>
      <w:r>
        <w:rPr>
          <w:rFonts w:ascii="Arial" w:hAnsi="Arial"/>
          <w:sz w:val="16"/>
        </w:rPr>
        <w:t>120.18  در حالی که مسئولیت اصلی ناظر برنامه‌ریزی OJT است که اهداف کوتاه‌مدت و مرتبط با مأموریت را برای کارآموز مشخص می‌کند، موفقیت کلی به توانایی سرپرست برای مشاوره و کمک فعالانه به هوانوردان در دستیابی به اهداف شغلی بلندمدت بستگی دارد.</w:t>
      </w:r>
    </w:p>
    <w:p>
      <w:pPr>
        <w:spacing w:after="28" w:line="216" w:lineRule="auto"/>
        <w:ind w:left="259"/>
        <w:jc w:val="left"/>
      </w:pPr>
      <w:r>
        <w:rPr>
          <w:rFonts w:ascii="Arial" w:hAnsi="Arial"/>
          <w:color w:val="525252"/>
          <w:sz w:val="13"/>
        </w:rPr>
        <w:t>While the supervisor’s primary responsibility is to plan OJT that outlines specific short-term, mission-related goals for the trainee, overall success depends on the supervisor’s ability to advise and actively assist Airmen in reaching their long-range career objectives.</w:t>
      </w:r>
    </w:p>
    <w:p>
      <w:pPr>
        <w:spacing w:after="20" w:line="223" w:lineRule="auto"/>
        <w:jc w:val="right"/>
        <w:bidi/>
      </w:pPr>
      <w:r>
        <w:rPr>
          <w:rFonts w:ascii="Arial" w:hAnsi="Arial"/>
          <w:sz w:val="16"/>
        </w:rPr>
        <w:t>120.19  برنامه OJT USAF از سه جزء تشکیل شده است: دانش شغلی، مهارت شغلی، و تجربه شغلی.</w:t>
      </w:r>
    </w:p>
    <w:p>
      <w:pPr>
        <w:spacing w:after="28" w:line="216" w:lineRule="auto"/>
        <w:ind w:left="259"/>
        <w:jc w:val="left"/>
      </w:pPr>
      <w:r>
        <w:rPr>
          <w:rFonts w:ascii="Arial" w:hAnsi="Arial"/>
          <w:color w:val="525252"/>
          <w:sz w:val="13"/>
        </w:rPr>
        <w:t>The USAF OJT program consists of three components: job knowledge, job proficiency, and job experience.</w:t>
      </w:r>
    </w:p>
    <w:p>
      <w:pPr>
        <w:spacing w:after="20" w:line="223" w:lineRule="auto"/>
        <w:jc w:val="right"/>
        <w:bidi/>
      </w:pPr>
      <w:r>
        <w:rPr>
          <w:rFonts w:ascii="Arial" w:hAnsi="Arial"/>
          <w:sz w:val="16"/>
        </w:rPr>
        <w:t>120.20  دانش شغلی.</w:t>
      </w:r>
    </w:p>
    <w:p>
      <w:pPr>
        <w:spacing w:after="28" w:line="216" w:lineRule="auto"/>
        <w:ind w:left="259"/>
        <w:jc w:val="left"/>
      </w:pPr>
      <w:r>
        <w:rPr>
          <w:rFonts w:ascii="Arial" w:hAnsi="Arial"/>
          <w:color w:val="525252"/>
          <w:sz w:val="13"/>
        </w:rPr>
        <w:t>Job Knowledge.</w:t>
      </w:r>
    </w:p>
    <w:p>
      <w:pPr>
        <w:spacing w:after="20" w:line="223" w:lineRule="auto"/>
        <w:jc w:val="right"/>
        <w:bidi/>
      </w:pPr>
      <w:r>
        <w:rPr>
          <w:rFonts w:ascii="Arial" w:hAnsi="Arial"/>
          <w:sz w:val="16"/>
        </w:rPr>
        <w:t>120.21  دانش شغلی از طریق یک برنامه مطالعاتی برنامه‌ریزی‌شده شامل دوره‌های توسعه شغلی (CDC) یا مراجع فنی فهرست‌شده در برنامه آموزش و آموزش در رستهٔ شغلی (CFETP) یا شناسایی شده توسط سرپرست، ارضا می‌شود.</w:t>
      </w:r>
    </w:p>
    <w:p>
      <w:pPr>
        <w:spacing w:after="28" w:line="216" w:lineRule="auto"/>
        <w:ind w:left="259"/>
        <w:jc w:val="left"/>
      </w:pPr>
      <w:r>
        <w:rPr>
          <w:rFonts w:ascii="Arial" w:hAnsi="Arial"/>
          <w:color w:val="525252"/>
          <w:sz w:val="13"/>
        </w:rPr>
        <w:t>Job knowledge is satisfied through a planned program of study involving Career Development Courses (CDC) or technical references listed in the Career Field Education and Training Plan (CFETP) or identified by the supervisor.</w:t>
      </w:r>
    </w:p>
    <w:p>
      <w:pPr>
        <w:spacing w:after="20" w:line="223" w:lineRule="auto"/>
        <w:jc w:val="right"/>
        <w:bidi/>
      </w:pPr>
      <w:r>
        <w:rPr>
          <w:rFonts w:ascii="Arial" w:hAnsi="Arial"/>
          <w:sz w:val="16"/>
        </w:rPr>
        <w:t>120.22  مهارت شغلی.</w:t>
      </w:r>
    </w:p>
    <w:p>
      <w:pPr>
        <w:spacing w:after="28" w:line="216" w:lineRule="auto"/>
        <w:ind w:left="259"/>
        <w:jc w:val="left"/>
      </w:pPr>
      <w:r>
        <w:rPr>
          <w:rFonts w:ascii="Arial" w:hAnsi="Arial"/>
          <w:color w:val="525252"/>
          <w:sz w:val="13"/>
        </w:rPr>
        <w:t>Job Proficiency.</w:t>
      </w:r>
    </w:p>
    <w:p>
      <w:pPr>
        <w:spacing w:after="20" w:line="223" w:lineRule="auto"/>
        <w:jc w:val="right"/>
        <w:bidi/>
      </w:pPr>
      <w:r>
        <w:rPr>
          <w:rFonts w:ascii="Arial" w:hAnsi="Arial"/>
          <w:sz w:val="16"/>
        </w:rPr>
        <w:t>120.23  مهارت شغلی آموزش عملی است که در حین کار ارائه می‌شود و به‌کارآموز اجازه می‌دهد در وظایفی که در مرکز کار انجام می‌شود مهارت کسب کند.</w:t>
      </w:r>
    </w:p>
    <w:p>
      <w:pPr>
        <w:spacing w:after="28" w:line="216" w:lineRule="auto"/>
        <w:ind w:left="259"/>
        <w:jc w:val="left"/>
      </w:pPr>
      <w:r>
        <w:rPr>
          <w:rFonts w:ascii="Arial" w:hAnsi="Arial"/>
          <w:color w:val="525252"/>
          <w:sz w:val="13"/>
        </w:rPr>
        <w:t>Job proficiency is hands-on training provided on the job, allowing the trainee to gain proficiency in tasks performed in the work center.</w:t>
      </w:r>
    </w:p>
    <w:p>
      <w:pPr>
        <w:spacing w:after="20" w:line="223" w:lineRule="auto"/>
        <w:jc w:val="right"/>
        <w:bidi/>
      </w:pPr>
      <w:r>
        <w:rPr>
          <w:rFonts w:ascii="Arial" w:hAnsi="Arial"/>
          <w:sz w:val="16"/>
        </w:rPr>
        <w:t>120.24  سابقه کار.</w:t>
      </w:r>
    </w:p>
    <w:p>
      <w:pPr>
        <w:spacing w:after="28" w:line="216" w:lineRule="auto"/>
        <w:ind w:left="259"/>
        <w:jc w:val="left"/>
      </w:pPr>
      <w:r>
        <w:rPr>
          <w:rFonts w:ascii="Arial" w:hAnsi="Arial"/>
          <w:color w:val="525252"/>
          <w:sz w:val="13"/>
        </w:rPr>
        <w:t>Job Experience.</w:t>
      </w:r>
    </w:p>
    <w:p>
      <w:pPr>
        <w:spacing w:after="20" w:line="223" w:lineRule="auto"/>
        <w:jc w:val="right"/>
        <w:bidi/>
      </w:pPr>
      <w:r>
        <w:rPr>
          <w:rFonts w:ascii="Arial" w:hAnsi="Arial"/>
          <w:sz w:val="16"/>
        </w:rPr>
        <w:t>120.25  تجربه شغلی در طول و بعد از آموزش ارتقاء برای ایجاد اعتماد به نفس و شایستگی به دست می‌آید.</w:t>
      </w:r>
    </w:p>
    <w:p>
      <w:pPr>
        <w:spacing w:after="28" w:line="216" w:lineRule="auto"/>
        <w:ind w:left="259"/>
        <w:jc w:val="left"/>
      </w:pPr>
      <w:r>
        <w:rPr>
          <w:rFonts w:ascii="Arial" w:hAnsi="Arial"/>
          <w:color w:val="525252"/>
          <w:sz w:val="13"/>
        </w:rPr>
        <w:t>Job experience is gained during and after upgrade training to build confidence and competence.</w:t>
      </w:r>
    </w:p>
    <w:p>
      <w:pPr>
        <w:spacing w:before="60" w:after="28"/>
        <w:jc w:val="right"/>
        <w:bidi/>
      </w:pPr>
      <w:r>
        <w:rPr>
          <w:b/>
          <w:color w:val="1F4D78"/>
          <w:sz w:val="18"/>
        </w:rPr>
        <w:t>7.15. ارتقاء آموزش</w:t>
      </w:r>
    </w:p>
    <w:p>
      <w:pPr>
        <w:spacing w:after="20"/>
        <w:ind w:left="259"/>
        <w:jc w:val="left"/>
      </w:pPr>
      <w:r>
        <w:rPr>
          <w:color w:val="555555"/>
          <w:sz w:val="12"/>
        </w:rPr>
        <w:t>7.15. Upgrade Training</w:t>
      </w:r>
    </w:p>
    <w:p>
      <w:pPr>
        <w:spacing w:after="20" w:line="223" w:lineRule="auto"/>
        <w:jc w:val="right"/>
        <w:bidi/>
      </w:pPr>
      <w:r>
        <w:rPr>
          <w:rFonts w:ascii="Arial" w:hAnsi="Arial"/>
          <w:sz w:val="16"/>
        </w:rPr>
        <w:t>120.27  آموزش ارتقاء منجر به اعطای سطوح بالاتر مهارت می‌شود و برای افزایش مهارت‌ها و توانایی‌ها طراحی شده است.</w:t>
      </w:r>
    </w:p>
    <w:p>
      <w:pPr>
        <w:spacing w:after="28" w:line="216" w:lineRule="auto"/>
        <w:ind w:left="259"/>
        <w:jc w:val="left"/>
      </w:pPr>
      <w:r>
        <w:rPr>
          <w:rFonts w:ascii="Arial" w:hAnsi="Arial"/>
          <w:color w:val="525252"/>
          <w:sz w:val="13"/>
        </w:rPr>
        <w:t>Upgrade training leads to award of higher skill levels and is designed to increase skills and abilities.</w:t>
      </w:r>
    </w:p>
    <w:p>
      <w:pPr>
        <w:spacing w:after="20" w:line="223" w:lineRule="auto"/>
        <w:jc w:val="right"/>
        <w:bidi/>
      </w:pPr>
      <w:r>
        <w:rPr>
          <w:rFonts w:ascii="Arial" w:hAnsi="Arial"/>
          <w:sz w:val="16"/>
        </w:rPr>
        <w:t>120.28  الزامات آموزشی ارتقاء AFSC برای اعطای سطوح مهارت ۳، ۵، ۷، و ۹ به AFMAN ۳۶-۲۱۰۰، استفاده نظامی و طبقه بندی، DAFMAN ۳۶-۲۶۸۹، برنامه آموزشی، و</w:t>
      </w:r>
    </w:p>
    <w:p>
      <w:pPr>
        <w:spacing w:after="28" w:line="216" w:lineRule="auto"/>
        <w:ind w:left="259"/>
        <w:jc w:val="left"/>
      </w:pPr>
      <w:r>
        <w:rPr>
          <w:rFonts w:ascii="Arial" w:hAnsi="Arial"/>
          <w:color w:val="525252"/>
          <w:sz w:val="13"/>
        </w:rPr>
        <w:t>AFSC upgrade training requirements for award of 3-, 5-, 7-, and 9-skill levels are outlined AFMAN 36-2100, Military Utilization and Classification, DAFMAN 36-2689, Training Program, and the</w:t>
      </w:r>
    </w:p>
    <w:p>
      <w:r>
        <w:br w:type="page"/>
      </w:r>
    </w:p>
    <w:p>
      <w:pPr>
        <w:spacing w:after="60"/>
        <w:jc w:val="right"/>
        <w:bidi/>
      </w:pPr>
      <w:r>
        <w:rPr>
          <w:rFonts w:ascii="Arial" w:hAnsi="Arial"/>
          <w:b/>
          <w:color w:val="1F4D78"/>
          <w:sz w:val="19"/>
        </w:rPr>
        <w:t>هفتهٔ 121  |  صفحهٔ منبع: 137</w:t>
      </w:r>
    </w:p>
    <w:p>
      <w:pPr>
        <w:spacing w:after="20" w:line="223" w:lineRule="auto"/>
        <w:jc w:val="right"/>
        <w:bidi/>
      </w:pPr>
      <w:r>
        <w:rPr>
          <w:rFonts w:ascii="Arial" w:hAnsi="Arial"/>
          <w:sz w:val="16"/>
        </w:rPr>
        <w:t>121.01  CFETP قابل اجرا.</w:t>
      </w:r>
    </w:p>
    <w:p>
      <w:pPr>
        <w:spacing w:after="28" w:line="216" w:lineRule="auto"/>
        <w:ind w:left="259"/>
        <w:jc w:val="left"/>
      </w:pPr>
      <w:r>
        <w:rPr>
          <w:rFonts w:ascii="Arial" w:hAnsi="Arial"/>
          <w:color w:val="525252"/>
          <w:sz w:val="13"/>
        </w:rPr>
        <w:t>applicable CFETP.</w:t>
      </w:r>
    </w:p>
    <w:p>
      <w:pPr>
        <w:spacing w:after="20" w:line="223" w:lineRule="auto"/>
        <w:jc w:val="right"/>
        <w:bidi/>
      </w:pPr>
      <w:r>
        <w:rPr>
          <w:rFonts w:ascii="Arial" w:hAnsi="Arial"/>
          <w:sz w:val="16"/>
        </w:rPr>
        <w:t>121.02  شاگرد.</w:t>
      </w:r>
    </w:p>
    <w:p>
      <w:pPr>
        <w:spacing w:after="28" w:line="216" w:lineRule="auto"/>
        <w:ind w:left="259"/>
        <w:jc w:val="left"/>
      </w:pPr>
      <w:r>
        <w:rPr>
          <w:rFonts w:ascii="Arial" w:hAnsi="Arial"/>
          <w:color w:val="525252"/>
          <w:sz w:val="13"/>
        </w:rPr>
        <w:t>Apprentice.</w:t>
      </w:r>
    </w:p>
    <w:p>
      <w:pPr>
        <w:spacing w:after="20" w:line="223" w:lineRule="auto"/>
        <w:jc w:val="right"/>
        <w:bidi/>
      </w:pPr>
      <w:r>
        <w:rPr>
          <w:rFonts w:ascii="Arial" w:hAnsi="Arial"/>
          <w:sz w:val="16"/>
        </w:rPr>
        <w:t>121.03  هوانوردان باید یک دوره مهارت‌های اولیه را برای اعطای سطح ۳ مهارت بگذرانند.</w:t>
      </w:r>
    </w:p>
    <w:p>
      <w:pPr>
        <w:spacing w:after="28" w:line="216" w:lineRule="auto"/>
        <w:ind w:left="259"/>
        <w:jc w:val="left"/>
      </w:pPr>
      <w:r>
        <w:rPr>
          <w:rFonts w:ascii="Arial" w:hAnsi="Arial"/>
          <w:color w:val="525252"/>
          <w:sz w:val="13"/>
        </w:rPr>
        <w:t>Airmen must complete an initial skills course for award of the 3-skill level.</w:t>
      </w:r>
    </w:p>
    <w:p>
      <w:pPr>
        <w:spacing w:after="20" w:line="223" w:lineRule="auto"/>
        <w:jc w:val="right"/>
        <w:bidi/>
      </w:pPr>
      <w:r>
        <w:rPr>
          <w:rFonts w:ascii="Arial" w:hAnsi="Arial"/>
          <w:sz w:val="16"/>
        </w:rPr>
        <w:t>121.04  بازآموزی در یک AFSC ممکن است تنها از طریق آموزش OJT انجام شود، تنها زمانی که در دستورالعمل‌های بازآموزی مشخص شده باشد و توسط مدیر حوزه شغلی یا مدیر عملکردی حوزه شغلی (جزء ذخیره هوایی) تأیید شده باشد.</w:t>
      </w:r>
    </w:p>
    <w:p>
      <w:pPr>
        <w:spacing w:after="28" w:line="216" w:lineRule="auto"/>
        <w:ind w:left="259"/>
        <w:jc w:val="left"/>
      </w:pPr>
      <w:r>
        <w:rPr>
          <w:rFonts w:ascii="Arial" w:hAnsi="Arial"/>
          <w:color w:val="525252"/>
          <w:sz w:val="13"/>
        </w:rPr>
        <w:t>Retraining into an AFSC may be accomplished via OJT training alone, only when specified in the retraining instructions and as approved by the career field manager or the career field functional manager (Air Reserve Component).</w:t>
      </w:r>
    </w:p>
    <w:p>
      <w:pPr>
        <w:spacing w:after="20" w:line="223" w:lineRule="auto"/>
        <w:jc w:val="right"/>
        <w:bidi/>
      </w:pPr>
      <w:r>
        <w:rPr>
          <w:rFonts w:ascii="Arial" w:hAnsi="Arial"/>
          <w:sz w:val="16"/>
        </w:rPr>
        <w:t>121.05  آموزش مجدد پرسنل از طریق OJT ممکن است با تکمیل آموزش دانش در مورد تمام وظایف آموزش داده شده در دوره مهارت‌های اولیه و سایر وظایف و الزامات اجباری، یک سطح ۳ مهارتی دریافت کند.</w:t>
      </w:r>
    </w:p>
    <w:p>
      <w:pPr>
        <w:spacing w:after="28" w:line="216" w:lineRule="auto"/>
        <w:ind w:left="259"/>
        <w:jc w:val="left"/>
      </w:pPr>
      <w:r>
        <w:rPr>
          <w:rFonts w:ascii="Arial" w:hAnsi="Arial"/>
          <w:color w:val="525252"/>
          <w:sz w:val="13"/>
        </w:rPr>
        <w:t>Personnel retraining via OJT may be awarded a 3-skill level when they complete knowledge training on all tasks taught in the initial skills course and other tasks and mandatory requirements.</w:t>
      </w:r>
    </w:p>
    <w:p>
      <w:pPr>
        <w:spacing w:after="20" w:line="223" w:lineRule="auto"/>
        <w:jc w:val="right"/>
        <w:bidi/>
      </w:pPr>
      <w:r>
        <w:rPr>
          <w:rFonts w:ascii="Arial" w:hAnsi="Arial"/>
          <w:sz w:val="16"/>
        </w:rPr>
        <w:t>121.06  مسافر.</w:t>
      </w:r>
    </w:p>
    <w:p>
      <w:pPr>
        <w:spacing w:after="28" w:line="216" w:lineRule="auto"/>
        <w:ind w:left="259"/>
        <w:jc w:val="left"/>
      </w:pPr>
      <w:r>
        <w:rPr>
          <w:rFonts w:ascii="Arial" w:hAnsi="Arial"/>
          <w:color w:val="525252"/>
          <w:sz w:val="13"/>
        </w:rPr>
        <w:t>Journeyman.</w:t>
      </w:r>
    </w:p>
    <w:p>
      <w:pPr>
        <w:spacing w:after="20" w:line="223" w:lineRule="auto"/>
        <w:jc w:val="right"/>
        <w:bidi/>
      </w:pPr>
      <w:r>
        <w:rPr>
          <w:rFonts w:ascii="Arial" w:hAnsi="Arial"/>
          <w:sz w:val="16"/>
        </w:rPr>
        <w:t>121.07  هوانوردان باید CDCهای اجباری را، در صورت وجود، و وظایف اصلی اجباری قابل اجرا مشخص شده در CFETP را تکمیل کنند.</w:t>
      </w:r>
    </w:p>
    <w:p>
      <w:pPr>
        <w:spacing w:after="28" w:line="216" w:lineRule="auto"/>
        <w:ind w:left="259"/>
        <w:jc w:val="left"/>
      </w:pPr>
      <w:r>
        <w:rPr>
          <w:rFonts w:ascii="Arial" w:hAnsi="Arial"/>
          <w:color w:val="525252"/>
          <w:sz w:val="13"/>
        </w:rPr>
        <w:t>Airmen must complete mandatory CDCs, if available, and applicable mandatory core tasks identified in the CFETP.</w:t>
      </w:r>
    </w:p>
    <w:p>
      <w:pPr>
        <w:spacing w:after="20" w:line="223" w:lineRule="auto"/>
        <w:jc w:val="right"/>
        <w:bidi/>
      </w:pPr>
      <w:r>
        <w:rPr>
          <w:rFonts w:ascii="Arial" w:hAnsi="Arial"/>
          <w:sz w:val="16"/>
        </w:rPr>
        <w:t>121.08  جایزه سطح ۵ مهارتی همچنین مستلزم تکمیل تمام الزامات اجباری فهرست شده در فهرست فهرست‌بندی نیروی هوایی (AFECD) است.</w:t>
      </w:r>
    </w:p>
    <w:p>
      <w:pPr>
        <w:spacing w:after="28" w:line="216" w:lineRule="auto"/>
        <w:ind w:left="259"/>
        <w:jc w:val="left"/>
      </w:pPr>
      <w:r>
        <w:rPr>
          <w:rFonts w:ascii="Arial" w:hAnsi="Arial"/>
          <w:color w:val="525252"/>
          <w:sz w:val="13"/>
        </w:rPr>
        <w:t>Award of the 5-skill level also requires completion of all mandatory requirements listed in the Air Force Enlisted Classification Directory (AFECD).</w:t>
      </w:r>
    </w:p>
    <w:p>
      <w:pPr>
        <w:spacing w:after="20" w:line="223" w:lineRule="auto"/>
        <w:jc w:val="right"/>
        <w:bidi/>
      </w:pPr>
      <w:r>
        <w:rPr>
          <w:rFonts w:ascii="Arial" w:hAnsi="Arial"/>
          <w:sz w:val="16"/>
        </w:rPr>
        <w:t>121.09  علاوه بر این، عضو باید توسط سرپرست پیشنهاد و توسط فرمانده تأیید شود.</w:t>
      </w:r>
    </w:p>
    <w:p>
      <w:pPr>
        <w:spacing w:after="28" w:line="216" w:lineRule="auto"/>
        <w:ind w:left="259"/>
        <w:jc w:val="left"/>
      </w:pPr>
      <w:r>
        <w:rPr>
          <w:rFonts w:ascii="Arial" w:hAnsi="Arial"/>
          <w:color w:val="525252"/>
          <w:sz w:val="13"/>
        </w:rPr>
        <w:t>Additionally, the member must be recommended by the supervisor and approved by the commander.</w:t>
      </w:r>
    </w:p>
    <w:p>
      <w:pPr>
        <w:spacing w:after="20" w:line="223" w:lineRule="auto"/>
        <w:jc w:val="right"/>
        <w:bidi/>
      </w:pPr>
      <w:r>
        <w:rPr>
          <w:rFonts w:ascii="Arial" w:hAnsi="Arial"/>
          <w:sz w:val="16"/>
        </w:rPr>
        <w:t>121.10  افراد در وضعیت بازآموزی (کد وضعیت آموزش ف) مشمول همان شرایط آموزشی هستند.</w:t>
      </w:r>
    </w:p>
    <w:p>
      <w:pPr>
        <w:spacing w:after="28" w:line="216" w:lineRule="auto"/>
        <w:ind w:left="259"/>
        <w:jc w:val="left"/>
      </w:pPr>
      <w:r>
        <w:rPr>
          <w:rFonts w:ascii="Arial" w:hAnsi="Arial"/>
          <w:color w:val="525252"/>
          <w:sz w:val="13"/>
        </w:rPr>
        <w:t>Individuals in retraining status (Training Status Code F) are subject to the same training requirements.</w:t>
      </w:r>
    </w:p>
    <w:p>
      <w:pPr>
        <w:spacing w:after="20" w:line="223" w:lineRule="auto"/>
        <w:jc w:val="right"/>
        <w:bidi/>
      </w:pPr>
      <w:r>
        <w:rPr>
          <w:rFonts w:ascii="Arial" w:hAnsi="Arial"/>
          <w:sz w:val="16"/>
        </w:rPr>
        <w:t>121.11  صنعتگر.</w:t>
      </w:r>
    </w:p>
    <w:p>
      <w:pPr>
        <w:spacing w:after="28" w:line="216" w:lineRule="auto"/>
        <w:ind w:left="259"/>
        <w:jc w:val="left"/>
      </w:pPr>
      <w:r>
        <w:rPr>
          <w:rFonts w:ascii="Arial" w:hAnsi="Arial"/>
          <w:color w:val="525252"/>
          <w:sz w:val="13"/>
        </w:rPr>
        <w:t>Craftsman.</w:t>
      </w:r>
    </w:p>
    <w:p>
      <w:pPr>
        <w:spacing w:after="20" w:line="223" w:lineRule="auto"/>
        <w:jc w:val="right"/>
        <w:bidi/>
      </w:pPr>
      <w:r>
        <w:rPr>
          <w:rFonts w:ascii="Arial" w:hAnsi="Arial"/>
          <w:sz w:val="16"/>
        </w:rPr>
        <w:t>121.12  برای اینکه یک صنعتگر باشد، عضو باید حداقل یک گروهبان منتخب کارکنان باشد. CDCهای اجباری را در صورت موجود بودن کامل کنید و وظایف اصلی اجباری قابل اجرا شناسایی شده در CFETP را تکمیل کنید.</w:t>
      </w:r>
    </w:p>
    <w:p>
      <w:pPr>
        <w:spacing w:after="28" w:line="216" w:lineRule="auto"/>
        <w:ind w:left="259"/>
        <w:jc w:val="left"/>
      </w:pPr>
      <w:r>
        <w:rPr>
          <w:rFonts w:ascii="Arial" w:hAnsi="Arial"/>
          <w:color w:val="525252"/>
          <w:sz w:val="13"/>
        </w:rPr>
        <w:t>To be a craftsman, the member must be at least a Staff Sergeant Select; complete mandatory CDCs, if available, and complete applicable mandatory core tasks identified in the CFETP.</w:t>
      </w:r>
    </w:p>
    <w:p>
      <w:pPr>
        <w:spacing w:after="20" w:line="223" w:lineRule="auto"/>
        <w:jc w:val="right"/>
        <w:bidi/>
      </w:pPr>
      <w:r>
        <w:rPr>
          <w:rFonts w:ascii="Arial" w:hAnsi="Arial"/>
          <w:sz w:val="16"/>
        </w:rPr>
        <w:t>121.13  اعطای سطح ۷ مهارتی همچنین مستلزم گذراندن دوره ۷ مهارتی صنعتگر (در صورت نیاز رشته شغلی) و الزامات اجباری مندرج در AFECD است.</w:t>
      </w:r>
    </w:p>
    <w:p>
      <w:pPr>
        <w:spacing w:after="28" w:line="216" w:lineRule="auto"/>
        <w:ind w:left="259"/>
        <w:jc w:val="left"/>
      </w:pPr>
      <w:r>
        <w:rPr>
          <w:rFonts w:ascii="Arial" w:hAnsi="Arial"/>
          <w:color w:val="525252"/>
          <w:sz w:val="13"/>
        </w:rPr>
        <w:t>Award of the 7-skill level also requires completion of a 7-skill level craftsman course (if career field requires it) and mandatory requirements listed in the AFECD.</w:t>
      </w:r>
    </w:p>
    <w:p>
      <w:pPr>
        <w:spacing w:after="20" w:line="223" w:lineRule="auto"/>
        <w:jc w:val="right"/>
        <w:bidi/>
      </w:pPr>
      <w:r>
        <w:rPr>
          <w:rFonts w:ascii="Arial" w:hAnsi="Arial"/>
          <w:sz w:val="16"/>
        </w:rPr>
        <w:t>121.14  علاوه بر این، عضو باید توسط سرپرست پیشنهاد و توسط فرمانده تأیید شود.</w:t>
      </w:r>
    </w:p>
    <w:p>
      <w:pPr>
        <w:spacing w:after="28" w:line="216" w:lineRule="auto"/>
        <w:ind w:left="259"/>
        <w:jc w:val="left"/>
      </w:pPr>
      <w:r>
        <w:rPr>
          <w:rFonts w:ascii="Arial" w:hAnsi="Arial"/>
          <w:color w:val="525252"/>
          <w:sz w:val="13"/>
        </w:rPr>
        <w:t>Additionally, the member must be recommended by the supervisor and approved by the commander.</w:t>
      </w:r>
    </w:p>
    <w:p>
      <w:pPr>
        <w:spacing w:after="20" w:line="223" w:lineRule="auto"/>
        <w:jc w:val="right"/>
        <w:bidi/>
      </w:pPr>
      <w:r>
        <w:rPr>
          <w:rFonts w:ascii="Arial" w:hAnsi="Arial"/>
          <w:sz w:val="16"/>
        </w:rPr>
        <w:t>121.15  افراد در وضعیت بازآموزی (کد وضعیت آموزش گ) مشمول همان شرایط آموزشی هستند.</w:t>
      </w:r>
    </w:p>
    <w:p>
      <w:pPr>
        <w:spacing w:after="28" w:line="216" w:lineRule="auto"/>
        <w:ind w:left="259"/>
        <w:jc w:val="left"/>
      </w:pPr>
      <w:r>
        <w:rPr>
          <w:rFonts w:ascii="Arial" w:hAnsi="Arial"/>
          <w:color w:val="525252"/>
          <w:sz w:val="13"/>
        </w:rPr>
        <w:t>Individuals in retraining status (Training Status Code G) are subject to the same training requirements.</w:t>
      </w:r>
    </w:p>
    <w:p>
      <w:pPr>
        <w:spacing w:after="20" w:line="223" w:lineRule="auto"/>
        <w:jc w:val="right"/>
        <w:bidi/>
      </w:pPr>
      <w:r>
        <w:rPr>
          <w:rFonts w:ascii="Arial" w:hAnsi="Arial"/>
          <w:sz w:val="16"/>
        </w:rPr>
        <w:t>121.16  سرپرست.</w:t>
      </w:r>
    </w:p>
    <w:p>
      <w:pPr>
        <w:spacing w:after="28" w:line="216" w:lineRule="auto"/>
        <w:ind w:left="259"/>
        <w:jc w:val="left"/>
      </w:pPr>
      <w:r>
        <w:rPr>
          <w:rFonts w:ascii="Arial" w:hAnsi="Arial"/>
          <w:color w:val="525252"/>
          <w:sz w:val="13"/>
        </w:rPr>
        <w:t>Superintendent.</w:t>
      </w:r>
    </w:p>
    <w:p>
      <w:pPr>
        <w:spacing w:after="20" w:line="223" w:lineRule="auto"/>
        <w:jc w:val="right"/>
        <w:bidi/>
      </w:pPr>
      <w:r>
        <w:rPr>
          <w:rFonts w:ascii="Arial" w:hAnsi="Arial"/>
          <w:sz w:val="16"/>
        </w:rPr>
        <w:t>121.17  برای اعطای سطح ۹ مهارتی، عضو باید حداقل یک گروهبان ارشد باشد، الزامات اجباری مندرج در AFECD را برآورده کند، توسط سرپرست توصیه شود، و توسط فرمانده تأیید شود.</w:t>
      </w:r>
    </w:p>
    <w:p>
      <w:pPr>
        <w:spacing w:after="28" w:line="216" w:lineRule="auto"/>
        <w:ind w:left="259"/>
        <w:jc w:val="left"/>
      </w:pPr>
      <w:r>
        <w:rPr>
          <w:rFonts w:ascii="Arial" w:hAnsi="Arial"/>
          <w:color w:val="525252"/>
          <w:sz w:val="13"/>
        </w:rPr>
        <w:t>For award of the 9-skill level, the member must be at least a Senior Master Sergeant, meet mandatory requirements listed in the AFECD, be recommended by the supervisor, and be approved by the commander.</w:t>
      </w:r>
    </w:p>
    <w:p>
      <w:pPr>
        <w:spacing w:before="60" w:after="28"/>
        <w:jc w:val="right"/>
        <w:bidi/>
      </w:pPr>
      <w:r>
        <w:rPr>
          <w:b/>
          <w:color w:val="1F4D78"/>
          <w:sz w:val="18"/>
        </w:rPr>
        <w:t>7.16. مدیریت آموزش واحد</w:t>
      </w:r>
    </w:p>
    <w:p>
      <w:pPr>
        <w:spacing w:after="20"/>
        <w:ind w:left="259"/>
        <w:jc w:val="left"/>
      </w:pPr>
      <w:r>
        <w:rPr>
          <w:color w:val="555555"/>
          <w:sz w:val="12"/>
        </w:rPr>
        <w:t>7.16. Unit Training Management</w:t>
      </w:r>
    </w:p>
    <w:p>
      <w:pPr>
        <w:spacing w:after="20" w:line="223" w:lineRule="auto"/>
        <w:jc w:val="right"/>
        <w:bidi/>
      </w:pPr>
      <w:r>
        <w:rPr>
          <w:rFonts w:ascii="Arial" w:hAnsi="Arial"/>
          <w:sz w:val="16"/>
        </w:rPr>
        <w:t>121.19  برنامه آموزشی واحد برای اطمینان از دریافت آموزش با کیفیت، استاندارد و جامع همه هوانوردان طراحی شده است.</w:t>
      </w:r>
    </w:p>
    <w:p>
      <w:pPr>
        <w:spacing w:after="28" w:line="216" w:lineRule="auto"/>
        <w:ind w:left="259"/>
        <w:jc w:val="left"/>
      </w:pPr>
      <w:r>
        <w:rPr>
          <w:rFonts w:ascii="Arial" w:hAnsi="Arial"/>
          <w:color w:val="525252"/>
          <w:sz w:val="13"/>
        </w:rPr>
        <w:t>The unit training program is designed to ensure all Airmen receive quality, standardized, comprehensive training.</w:t>
      </w:r>
    </w:p>
    <w:p>
      <w:pPr>
        <w:spacing w:after="20" w:line="223" w:lineRule="auto"/>
        <w:jc w:val="right"/>
        <w:bidi/>
      </w:pPr>
      <w:r>
        <w:rPr>
          <w:rFonts w:ascii="Arial" w:hAnsi="Arial"/>
          <w:sz w:val="16"/>
        </w:rPr>
        <w:t>121.20  کارآموز نقطه کانونی برنامه آموزشی است، در حالی که در خط مقدم، مدیران و سرپرستان آموزش واحد با هم برای برنامه‌ریزی، اجرا و ارزیابی تلاش‌های کارآموزان برای کسب صلاحیت برای انجام تخصص USAF کار می‌کنند.</w:t>
      </w:r>
    </w:p>
    <w:p>
      <w:pPr>
        <w:spacing w:after="28" w:line="216" w:lineRule="auto"/>
        <w:ind w:left="259"/>
        <w:jc w:val="left"/>
      </w:pPr>
      <w:r>
        <w:rPr>
          <w:rFonts w:ascii="Arial" w:hAnsi="Arial"/>
          <w:color w:val="525252"/>
          <w:sz w:val="13"/>
        </w:rPr>
        <w:t>The trainee is the focal point of the training program, while at the forefront, unit training managers and supervisors work together to plan, conduct, and evaluate the trainees’ efforts to become qualified to perform in their USAF specialty.</w:t>
      </w:r>
    </w:p>
    <w:p>
      <w:pPr>
        <w:spacing w:after="20" w:line="223" w:lineRule="auto"/>
        <w:jc w:val="right"/>
        <w:bidi/>
      </w:pPr>
      <w:r>
        <w:rPr>
          <w:rFonts w:ascii="Arial" w:hAnsi="Arial"/>
          <w:sz w:val="16"/>
        </w:rPr>
        <w:t>121.21  موفقیت و کیفیت آموزش تا حد زیادی به مشارکت فعال و درک کارآموز از برنامه آموزشی و همچنین ارتباط بین سرپرست، مربی و کارآموز بستگی دارد.</w:t>
      </w:r>
    </w:p>
    <w:p>
      <w:pPr>
        <w:spacing w:after="28" w:line="216" w:lineRule="auto"/>
        <w:ind w:left="259"/>
        <w:jc w:val="left"/>
      </w:pPr>
      <w:r>
        <w:rPr>
          <w:rFonts w:ascii="Arial" w:hAnsi="Arial"/>
          <w:color w:val="525252"/>
          <w:sz w:val="13"/>
        </w:rPr>
        <w:t>The success and quality of training greatly depends on the trainee’s active participation and understanding of the training program, as well as the relationship between the supervisor, trainer, and trainee.</w:t>
      </w:r>
    </w:p>
    <w:p>
      <w:pPr>
        <w:spacing w:after="20" w:line="223" w:lineRule="auto"/>
        <w:jc w:val="right"/>
        <w:bidi/>
      </w:pPr>
      <w:r>
        <w:rPr>
          <w:rFonts w:ascii="Arial" w:hAnsi="Arial"/>
          <w:sz w:val="16"/>
        </w:rPr>
        <w:t>121.22  الزامات اساسی برنامه آموزشی واحد بیان می‌کند که پرسنل تازه منصوب شده ظرف ۳۰ روز (۶۰ روز برای جزء رزرو هوا) برای تعیین وضعیت آموزشی و صدور CDC پس از تأیید در سیستم ثبت مدیریت دانشجویی توسعه دوره مصاحبه خواهند شد.</w:t>
      </w:r>
    </w:p>
    <w:p>
      <w:pPr>
        <w:spacing w:after="28" w:line="216" w:lineRule="auto"/>
        <w:ind w:left="259"/>
        <w:jc w:val="left"/>
      </w:pPr>
      <w:r>
        <w:rPr>
          <w:rFonts w:ascii="Arial" w:hAnsi="Arial"/>
          <w:color w:val="525252"/>
          <w:sz w:val="13"/>
        </w:rPr>
        <w:t>Basic requirements of the unit training program state that newly assigned personnel will be interviewed within 30 days (60 days for Air Reserve Component) to determine training status and issue CDCs upon confirmation within the Course Development Student Administration Record System.</w:t>
      </w:r>
    </w:p>
    <w:p>
      <w:pPr>
        <w:spacing w:after="20" w:line="223" w:lineRule="auto"/>
        <w:jc w:val="right"/>
        <w:bidi/>
      </w:pPr>
      <w:r>
        <w:rPr>
          <w:rFonts w:ascii="Arial" w:hAnsi="Arial"/>
          <w:sz w:val="16"/>
        </w:rPr>
        <w:t>121.23  جهت گیری آموزش مرکز کار ظرف ۶۰ روز پس از تعیین تکلیف (۱۲۰ روز برای مؤلفه رزرو هوایی) انجام خواهد شد. یک جهت گیری جامع کارآموزی برای کارآموزانی که در ابتدا وارد آموزش ارتقاء می‌شوند، ظرف ۶۰ روز پس از تعیین تکلیف (۹۰ روز برای مؤلفه رزرو هوایی) انجام خواهد شد. و بررسی پیشرفت آموزش با مدیر آموزش واحد، سرپرست و کارآموز در بیست و چهارمین ماه آموزش ارتقاء (ماه سی و ششم برای ANG) و حداقل هر ۹۰ روز پس از آن تا زمانی که کارآموز ارتقا یابد یا از آموزش خارج شود، انجام خواهد شد.</w:t>
      </w:r>
    </w:p>
    <w:p>
      <w:pPr>
        <w:spacing w:after="28" w:line="216" w:lineRule="auto"/>
        <w:ind w:left="259"/>
        <w:jc w:val="left"/>
      </w:pPr>
      <w:r>
        <w:rPr>
          <w:rFonts w:ascii="Arial" w:hAnsi="Arial"/>
          <w:color w:val="525252"/>
          <w:sz w:val="13"/>
        </w:rPr>
        <w:t>Work center training orientation will be conducted within 60 days of assignment (120 days for Air Reserve Component); a comprehensive trainee orientation will be conducted for trainees initially entering upgrade training within 60 days of assignment (90 days for Air Reserve Component); and a training progress review will be conducted with the unit training manager, supervisor, and trainee at the 24th month of upgrade training (36th month for ANG) and at least every 90 days thereafter until the trainee is upgraded or withdrawn from training.</w:t>
      </w:r>
    </w:p>
    <w:p>
      <w:pPr>
        <w:spacing w:after="20" w:line="223" w:lineRule="auto"/>
        <w:jc w:val="right"/>
        <w:bidi/>
      </w:pPr>
      <w:r>
        <w:rPr>
          <w:rFonts w:ascii="Arial" w:hAnsi="Arial"/>
          <w:sz w:val="16"/>
        </w:rPr>
        <w:t>121.24  قبل از ارسال برای ارتقاء، کارآموز باید تمام الزامات اجباری تعریف شده در CFETP، AFECD و استاندارد صلاحیت شغلی نیروی هوایی (AFJQS) را برآورده کند.</w:t>
      </w:r>
    </w:p>
    <w:p>
      <w:pPr>
        <w:spacing w:after="28" w:line="216" w:lineRule="auto"/>
        <w:ind w:left="259"/>
        <w:jc w:val="left"/>
      </w:pPr>
      <w:r>
        <w:rPr>
          <w:rFonts w:ascii="Arial" w:hAnsi="Arial"/>
          <w:color w:val="525252"/>
          <w:sz w:val="13"/>
        </w:rPr>
        <w:t>Before being submitted for upgrade, the trainee must meet all mandatory requirements as defined in the CFETP, AFECD, and the Air Force Job Qualification Standard (AFJQS).</w:t>
      </w:r>
    </w:p>
    <w:p>
      <w:pPr>
        <w:spacing w:after="20" w:line="223" w:lineRule="auto"/>
        <w:jc w:val="right"/>
        <w:bidi/>
      </w:pPr>
      <w:r>
        <w:rPr>
          <w:rFonts w:ascii="Arial" w:hAnsi="Arial"/>
          <w:sz w:val="16"/>
        </w:rPr>
        <w:t>121.25  مدیران آموزش واحد.</w:t>
      </w:r>
    </w:p>
    <w:p>
      <w:pPr>
        <w:spacing w:after="28" w:line="216" w:lineRule="auto"/>
        <w:ind w:left="259"/>
        <w:jc w:val="left"/>
      </w:pPr>
      <w:r>
        <w:rPr>
          <w:rFonts w:ascii="Arial" w:hAnsi="Arial"/>
          <w:color w:val="525252"/>
          <w:sz w:val="13"/>
        </w:rPr>
        <w:t>Unit Training Managers.</w:t>
      </w:r>
    </w:p>
    <w:p>
      <w:pPr>
        <w:spacing w:after="20" w:line="223" w:lineRule="auto"/>
        <w:jc w:val="right"/>
        <w:bidi/>
      </w:pPr>
      <w:r>
        <w:rPr>
          <w:rFonts w:ascii="Arial" w:hAnsi="Arial"/>
          <w:sz w:val="16"/>
        </w:rPr>
        <w:t>121.26  مدیران آموزشی واحد، اعضای اصلی ستاد فرماندهی هستند که مسئول مدیریت کلی برنامه آموزشی هستند.</w:t>
      </w:r>
    </w:p>
    <w:p>
      <w:pPr>
        <w:spacing w:after="28" w:line="216" w:lineRule="auto"/>
        <w:ind w:left="259"/>
        <w:jc w:val="left"/>
      </w:pPr>
      <w:r>
        <w:rPr>
          <w:rFonts w:ascii="Arial" w:hAnsi="Arial"/>
          <w:color w:val="525252"/>
          <w:sz w:val="13"/>
        </w:rPr>
        <w:t>Unit training managers are the commander’s key staff members responsible for overall management of the training program.</w:t>
      </w:r>
    </w:p>
    <w:p>
      <w:pPr>
        <w:spacing w:after="20" w:line="223" w:lineRule="auto"/>
        <w:jc w:val="right"/>
        <w:bidi/>
      </w:pPr>
      <w:r>
        <w:rPr>
          <w:rFonts w:ascii="Arial" w:hAnsi="Arial"/>
          <w:sz w:val="16"/>
        </w:rPr>
        <w:t>121.27  مدیران آموزش به‌عنوان مشاوران آموزشی برای همه اعضای واحد خدمت می‌کنند و تعیین می‌کنند که آیا برنامه‌های آموزشی با کیفیت در همه بخش‌ها اجرا می‌شوند یا خیر.</w:t>
      </w:r>
    </w:p>
    <w:p>
      <w:pPr>
        <w:spacing w:after="28" w:line="216" w:lineRule="auto"/>
        <w:ind w:left="259"/>
        <w:jc w:val="left"/>
      </w:pPr>
      <w:r>
        <w:rPr>
          <w:rFonts w:ascii="Arial" w:hAnsi="Arial"/>
          <w:color w:val="525252"/>
          <w:sz w:val="13"/>
        </w:rPr>
        <w:t>Training managers serve as training consultants to all unit members and determine if quality training programs are in effect within all sections.</w:t>
      </w:r>
    </w:p>
    <w:p>
      <w:pPr>
        <w:spacing w:after="20" w:line="223" w:lineRule="auto"/>
        <w:jc w:val="right"/>
        <w:bidi/>
      </w:pPr>
      <w:r>
        <w:rPr>
          <w:rFonts w:ascii="Arial" w:hAnsi="Arial"/>
          <w:sz w:val="16"/>
        </w:rPr>
        <w:t>121.28  مدیران آموزشی برای پشتیبانی از الزامات مأموریت درون پادگان و اعزامی، آموزش‌هایی را توسعه، مدیریت و اجرا می‌کنند. مشاوره و کمک به فرماندهان و پرسنل واحد در اجرا</w:t>
      </w:r>
    </w:p>
    <w:p>
      <w:pPr>
        <w:spacing w:after="28" w:line="216" w:lineRule="auto"/>
        <w:ind w:left="259"/>
        <w:jc w:val="left"/>
      </w:pPr>
      <w:r>
        <w:rPr>
          <w:rFonts w:ascii="Arial" w:hAnsi="Arial"/>
          <w:color w:val="525252"/>
          <w:sz w:val="13"/>
        </w:rPr>
        <w:t>Training managers develop, manage, and conduct training in support of in-garrison and expeditionary mission requirements; advise and assist commanders and unit personnel in executing</w:t>
      </w:r>
    </w:p>
    <w:p>
      <w:r>
        <w:br w:type="page"/>
      </w:r>
    </w:p>
    <w:p>
      <w:pPr>
        <w:spacing w:after="60"/>
        <w:jc w:val="right"/>
        <w:bidi/>
      </w:pPr>
      <w:r>
        <w:rPr>
          <w:rFonts w:ascii="Arial" w:hAnsi="Arial"/>
          <w:b/>
          <w:color w:val="1F4D78"/>
          <w:sz w:val="19"/>
        </w:rPr>
        <w:t>هفتهٔ 122  |  صفحهٔ منبع: 138</w:t>
      </w:r>
    </w:p>
    <w:p>
      <w:pPr>
        <w:spacing w:after="20" w:line="223" w:lineRule="auto"/>
        <w:jc w:val="right"/>
        <w:bidi/>
      </w:pPr>
      <w:r>
        <w:rPr>
          <w:rFonts w:ascii="Arial" w:hAnsi="Arial"/>
          <w:sz w:val="16"/>
        </w:rPr>
        <w:t>122.01  مسئولیت‌های آموزشی آنها؛ و در صورت درخواست فرمانده یگان، هر دو سال یکبار (سه سال ARC) یا زودتر از برنامه آموزشی واحد بازدید کمک کارکنان از برنامه آموزشی واحد را انجام دهید تا شامل واحدهای جدا شده از نظر جغرافیایی باشد.</w:t>
      </w:r>
    </w:p>
    <w:p>
      <w:pPr>
        <w:spacing w:after="28" w:line="216" w:lineRule="auto"/>
        <w:ind w:left="259"/>
        <w:jc w:val="left"/>
      </w:pPr>
      <w:r>
        <w:rPr>
          <w:rFonts w:ascii="Arial" w:hAnsi="Arial"/>
          <w:color w:val="525252"/>
          <w:sz w:val="13"/>
        </w:rPr>
        <w:t>their training responsibilities; and conduct a staff assistance visit of the unit’s training program to include geographically separated units, every two years (ARC three years), or sooner if requested by the unit commander.</w:t>
      </w:r>
    </w:p>
    <w:p>
      <w:pPr>
        <w:spacing w:after="20" w:line="223" w:lineRule="auto"/>
        <w:jc w:val="right"/>
        <w:bidi/>
      </w:pPr>
      <w:r>
        <w:rPr>
          <w:rFonts w:ascii="Arial" w:hAnsi="Arial"/>
          <w:sz w:val="16"/>
        </w:rPr>
        <w:t>122.02  سرپرستان.</w:t>
      </w:r>
    </w:p>
    <w:p>
      <w:pPr>
        <w:spacing w:after="28" w:line="216" w:lineRule="auto"/>
        <w:ind w:left="259"/>
        <w:jc w:val="left"/>
      </w:pPr>
      <w:r>
        <w:rPr>
          <w:rFonts w:ascii="Arial" w:hAnsi="Arial"/>
          <w:color w:val="525252"/>
          <w:sz w:val="13"/>
        </w:rPr>
        <w:t>Supervisors.</w:t>
      </w:r>
    </w:p>
    <w:p>
      <w:pPr>
        <w:spacing w:after="20" w:line="223" w:lineRule="auto"/>
        <w:jc w:val="right"/>
        <w:bidi/>
      </w:pPr>
      <w:r>
        <w:rPr>
          <w:rFonts w:ascii="Arial" w:hAnsi="Arial"/>
          <w:sz w:val="16"/>
        </w:rPr>
        <w:t>122.03  علاوه بر مدیران آموزشی واحدها، سرپرستان بیشترین تأثیر را در انجام مأموریت با توجه به آموزش دارند.</w:t>
      </w:r>
    </w:p>
    <w:p>
      <w:pPr>
        <w:spacing w:after="28" w:line="216" w:lineRule="auto"/>
        <w:ind w:left="259"/>
        <w:jc w:val="left"/>
      </w:pPr>
      <w:r>
        <w:rPr>
          <w:rFonts w:ascii="Arial" w:hAnsi="Arial"/>
          <w:color w:val="525252"/>
          <w:sz w:val="13"/>
        </w:rPr>
        <w:t>In addition to unit training managers, supervisors have the single greatest impact on mission accomplishment with regard to training.</w:t>
      </w:r>
    </w:p>
    <w:p>
      <w:pPr>
        <w:spacing w:after="20" w:line="223" w:lineRule="auto"/>
        <w:jc w:val="right"/>
        <w:bidi/>
      </w:pPr>
      <w:r>
        <w:rPr>
          <w:rFonts w:ascii="Arial" w:hAnsi="Arial"/>
          <w:sz w:val="16"/>
        </w:rPr>
        <w:t>122.04  آنها باید تجربیات و تخصص خود را با کارآموزان به اشتراک بگذارند تا الزامات مأموریت را برآورده کنند و از ارائه یک برنامه آموزشی با کیفیت اطمینان حاصل کنند.</w:t>
      </w:r>
    </w:p>
    <w:p>
      <w:pPr>
        <w:spacing w:after="28" w:line="216" w:lineRule="auto"/>
        <w:ind w:left="259"/>
        <w:jc w:val="left"/>
      </w:pPr>
      <w:r>
        <w:rPr>
          <w:rFonts w:ascii="Arial" w:hAnsi="Arial"/>
          <w:color w:val="525252"/>
          <w:sz w:val="13"/>
        </w:rPr>
        <w:t>They must share their experiences and expertise with trainees to meet mission requirements and ensure a quality training program is provided.</w:t>
      </w:r>
    </w:p>
    <w:p>
      <w:pPr>
        <w:spacing w:after="20" w:line="223" w:lineRule="auto"/>
        <w:jc w:val="right"/>
        <w:bidi/>
      </w:pPr>
      <w:r>
        <w:rPr>
          <w:rFonts w:ascii="Arial" w:hAnsi="Arial"/>
          <w:sz w:val="16"/>
        </w:rPr>
        <w:t>122.05  سرپرستان یک لیست اصلی وظایف مرکز کار (MTL) را ایجاد می‌کنند که تکمیل تمام الزامات موقعیت وظیفه (یعنی ۱۰۰ درصد پوشش وظایف) را تضمین می‌کند و سالانه یک بازبینی انجام می‌دهد.</w:t>
      </w:r>
    </w:p>
    <w:p>
      <w:pPr>
        <w:spacing w:after="28" w:line="216" w:lineRule="auto"/>
        <w:ind w:left="259"/>
        <w:jc w:val="left"/>
      </w:pPr>
      <w:r>
        <w:rPr>
          <w:rFonts w:ascii="Arial" w:hAnsi="Arial"/>
          <w:color w:val="525252"/>
          <w:sz w:val="13"/>
        </w:rPr>
        <w:t>Supervisors develop one work center master task list (MTL) that ensures completion of all duty position requirements (i.e., 100 percent task coverage) and conduct a review annually.</w:t>
      </w:r>
    </w:p>
    <w:p>
      <w:pPr>
        <w:spacing w:after="20" w:line="223" w:lineRule="auto"/>
        <w:jc w:val="right"/>
        <w:bidi/>
      </w:pPr>
      <w:r>
        <w:rPr>
          <w:rFonts w:ascii="Arial" w:hAnsi="Arial"/>
          <w:sz w:val="16"/>
        </w:rPr>
        <w:t>122.06  سرپرست همچنین باید آموزش را با عملیات روزانه مرکز کار ادغام کند و در دسترس بودن مربی و تجهیزات، فرصت‌های آموزشی و برنامه‌ها را در نظر بگیرد.</w:t>
      </w:r>
    </w:p>
    <w:p>
      <w:pPr>
        <w:spacing w:after="28" w:line="216" w:lineRule="auto"/>
        <w:ind w:left="259"/>
        <w:jc w:val="left"/>
      </w:pPr>
      <w:r>
        <w:rPr>
          <w:rFonts w:ascii="Arial" w:hAnsi="Arial"/>
          <w:color w:val="525252"/>
          <w:sz w:val="13"/>
        </w:rPr>
        <w:t>The supervisor must also integrate training with day-to-day work center operations and consider trainer and equipment availability, training opportunities, and schedules.</w:t>
      </w:r>
    </w:p>
    <w:p>
      <w:pPr>
        <w:spacing w:after="20" w:line="223" w:lineRule="auto"/>
        <w:jc w:val="right"/>
        <w:bidi/>
      </w:pPr>
      <w:r>
        <w:rPr>
          <w:rFonts w:ascii="Arial" w:hAnsi="Arial"/>
          <w:sz w:val="16"/>
        </w:rPr>
        <w:t>122.07  مربیان.</w:t>
      </w:r>
    </w:p>
    <w:p>
      <w:pPr>
        <w:spacing w:after="28" w:line="216" w:lineRule="auto"/>
        <w:ind w:left="259"/>
        <w:jc w:val="left"/>
      </w:pPr>
      <w:r>
        <w:rPr>
          <w:rFonts w:ascii="Arial" w:hAnsi="Arial"/>
          <w:color w:val="525252"/>
          <w:sz w:val="13"/>
        </w:rPr>
        <w:t>Trainers.</w:t>
      </w:r>
    </w:p>
    <w:p>
      <w:pPr>
        <w:spacing w:after="20" w:line="223" w:lineRule="auto"/>
        <w:jc w:val="right"/>
        <w:bidi/>
      </w:pPr>
      <w:r>
        <w:rPr>
          <w:rFonts w:ascii="Arial" w:hAnsi="Arial"/>
          <w:sz w:val="16"/>
        </w:rPr>
        <w:t>122.08  مربی (اغلب ناظر کارآموز) بر اساس تجربه و توانایی او در ارائه آموزش به‌کارآموز انتخاب می‌شود.</w:t>
      </w:r>
    </w:p>
    <w:p>
      <w:pPr>
        <w:spacing w:after="28" w:line="216" w:lineRule="auto"/>
        <w:ind w:left="259"/>
        <w:jc w:val="left"/>
      </w:pPr>
      <w:r>
        <w:rPr>
          <w:rFonts w:ascii="Arial" w:hAnsi="Arial"/>
          <w:color w:val="525252"/>
          <w:sz w:val="13"/>
        </w:rPr>
        <w:t>The trainer (often the trainee’s supervisor) is selected based on their experience and their ability to provide instruction to the trainee.</w:t>
      </w:r>
    </w:p>
    <w:p>
      <w:pPr>
        <w:spacing w:after="20" w:line="223" w:lineRule="auto"/>
        <w:jc w:val="right"/>
        <w:bidi/>
      </w:pPr>
      <w:r>
        <w:rPr>
          <w:rFonts w:ascii="Arial" w:hAnsi="Arial"/>
          <w:sz w:val="16"/>
        </w:rPr>
        <w:t>122.09  علاوه بر این، آنها باید صلاحیت وظیفه را حفظ کنند و دوره آموزشی USAF را تکمیل کنند.</w:t>
      </w:r>
    </w:p>
    <w:p>
      <w:pPr>
        <w:spacing w:after="28" w:line="216" w:lineRule="auto"/>
        <w:ind w:left="259"/>
        <w:jc w:val="left"/>
      </w:pPr>
      <w:r>
        <w:rPr>
          <w:rFonts w:ascii="Arial" w:hAnsi="Arial"/>
          <w:color w:val="525252"/>
          <w:sz w:val="13"/>
        </w:rPr>
        <w:t>Additionally, they must maintain task qualification and complete the USAF training course.</w:t>
      </w:r>
    </w:p>
    <w:p>
      <w:pPr>
        <w:spacing w:after="20" w:line="223" w:lineRule="auto"/>
        <w:jc w:val="right"/>
        <w:bidi/>
      </w:pPr>
      <w:r>
        <w:rPr>
          <w:rFonts w:ascii="Arial" w:hAnsi="Arial"/>
          <w:sz w:val="16"/>
        </w:rPr>
        <w:t>122.10  مسئولیت‌های مربی شامل برنامه‌ریزی، اجرا و مستندسازی آموزش است. تهیه و استفاده از طرح‌های آموزشی یا تفکیک وظایف؛ توسعه ابزارهای ارزیابی؛ و اطلاع رسانی به‌کارآموز و سرپرست در مورد نتایج ارزیابی آموزشی.</w:t>
      </w:r>
    </w:p>
    <w:p>
      <w:pPr>
        <w:spacing w:after="28" w:line="216" w:lineRule="auto"/>
        <w:ind w:left="259"/>
        <w:jc w:val="left"/>
      </w:pPr>
      <w:r>
        <w:rPr>
          <w:rFonts w:ascii="Arial" w:hAnsi="Arial"/>
          <w:color w:val="525252"/>
          <w:sz w:val="13"/>
        </w:rPr>
        <w:t>Trainer responsibilities include planning, conducting, and documenting training; preparing and using teaching outlines or task breakdowns; developing evaluation tools; and briefing the trainee and supervisor on the training evaluation results.</w:t>
      </w:r>
    </w:p>
    <w:p>
      <w:pPr>
        <w:spacing w:after="20" w:line="223" w:lineRule="auto"/>
        <w:jc w:val="right"/>
        <w:bidi/>
      </w:pPr>
      <w:r>
        <w:rPr>
          <w:rFonts w:ascii="Arial" w:hAnsi="Arial"/>
          <w:sz w:val="16"/>
        </w:rPr>
        <w:t>122.11  گواهی‌دهندگان وظیفه.</w:t>
      </w:r>
    </w:p>
    <w:p>
      <w:pPr>
        <w:spacing w:after="28" w:line="216" w:lineRule="auto"/>
        <w:ind w:left="259"/>
        <w:jc w:val="left"/>
      </w:pPr>
      <w:r>
        <w:rPr>
          <w:rFonts w:ascii="Arial" w:hAnsi="Arial"/>
          <w:color w:val="525252"/>
          <w:sz w:val="13"/>
        </w:rPr>
        <w:t>Task Certifiers.</w:t>
      </w:r>
    </w:p>
    <w:p>
      <w:pPr>
        <w:spacing w:after="20" w:line="223" w:lineRule="auto"/>
        <w:jc w:val="right"/>
        <w:bidi/>
      </w:pPr>
      <w:r>
        <w:rPr>
          <w:rFonts w:ascii="Arial" w:hAnsi="Arial"/>
          <w:sz w:val="16"/>
        </w:rPr>
        <w:t>122.12  گواهی‌دهندگان وظیفه گواهینامه شخص ثالث و ارزیابی پیشرفت در برنامه آموزشی را ارائه می‌دهند.</w:t>
      </w:r>
    </w:p>
    <w:p>
      <w:pPr>
        <w:spacing w:after="28" w:line="216" w:lineRule="auto"/>
        <w:ind w:left="259"/>
        <w:jc w:val="left"/>
      </w:pPr>
      <w:r>
        <w:rPr>
          <w:rFonts w:ascii="Arial" w:hAnsi="Arial"/>
          <w:color w:val="525252"/>
          <w:sz w:val="13"/>
        </w:rPr>
        <w:t>Task certifiers provide third-party certification and evaluation of progress in the training program.</w:t>
      </w:r>
    </w:p>
    <w:p>
      <w:pPr>
        <w:spacing w:after="20" w:line="223" w:lineRule="auto"/>
        <w:jc w:val="right"/>
        <w:bidi/>
      </w:pPr>
      <w:r>
        <w:rPr>
          <w:rFonts w:ascii="Arial" w:hAnsi="Arial"/>
          <w:sz w:val="16"/>
        </w:rPr>
        <w:t>122.13  گواهی‌دهنده‌ها باید حداقل یک گروهبان کارکنان با سطح مهارت ۵ یا معادل غیرنظامی باشند، دوره آموزشی USAF را کامل کرده و قادر به ارزیابی وظیفه مورد تأیید باشند.</w:t>
      </w:r>
    </w:p>
    <w:p>
      <w:pPr>
        <w:spacing w:after="28" w:line="216" w:lineRule="auto"/>
        <w:ind w:left="259"/>
        <w:jc w:val="left"/>
      </w:pPr>
      <w:r>
        <w:rPr>
          <w:rFonts w:ascii="Arial" w:hAnsi="Arial"/>
          <w:color w:val="525252"/>
          <w:sz w:val="13"/>
        </w:rPr>
        <w:t>Certifiers must be at least a Staff Sergeant with a 5-skill level or civilian equivalent, complete the USAF training course, and be capable of evaluating the task being certified.</w:t>
      </w:r>
    </w:p>
    <w:p>
      <w:pPr>
        <w:spacing w:after="20" w:line="223" w:lineRule="auto"/>
        <w:jc w:val="right"/>
        <w:bidi/>
      </w:pPr>
      <w:r>
        <w:rPr>
          <w:rFonts w:ascii="Arial" w:hAnsi="Arial"/>
          <w:sz w:val="16"/>
        </w:rPr>
        <w:t>122.14  گواهی‌دهنده‌ها ابزارهای ارزیابی را توسعه می‌دهند یا از روش‌های ارزیابی آموزشی تعیین‌شده برای تعیین توانایی‌های کارآموز و اثربخشی برنامه آموزشی استفاده می‌کنند و کارآموز، سرپرست و مربی را در مورد نتایج ارزیابی توضیح می‌دهند.</w:t>
      </w:r>
    </w:p>
    <w:p>
      <w:pPr>
        <w:spacing w:after="28" w:line="216" w:lineRule="auto"/>
        <w:ind w:left="259"/>
        <w:jc w:val="left"/>
      </w:pPr>
      <w:r>
        <w:rPr>
          <w:rFonts w:ascii="Arial" w:hAnsi="Arial"/>
          <w:color w:val="525252"/>
          <w:sz w:val="13"/>
        </w:rPr>
        <w:t>Certifiers will develop evaluation tools or use established training evaluation methods to determine the trainee’s abilities and training program effectiveness, and will brief the trainee, supervisor, and trainer on evaluation results.</w:t>
      </w:r>
    </w:p>
    <w:p>
      <w:pPr>
        <w:spacing w:before="60" w:after="28"/>
        <w:jc w:val="right"/>
        <w:bidi/>
      </w:pPr>
      <w:r>
        <w:rPr>
          <w:b/>
          <w:color w:val="1F4D78"/>
          <w:sz w:val="18"/>
        </w:rPr>
        <w:t>7.17. فرم ها و مستندات آموزشی</w:t>
      </w:r>
    </w:p>
    <w:p>
      <w:pPr>
        <w:spacing w:after="20"/>
        <w:ind w:left="259"/>
        <w:jc w:val="left"/>
      </w:pPr>
      <w:r>
        <w:rPr>
          <w:color w:val="555555"/>
          <w:sz w:val="12"/>
        </w:rPr>
        <w:t>7.17. Training Forms and Documentation</w:t>
      </w:r>
    </w:p>
    <w:p>
      <w:pPr>
        <w:spacing w:after="20" w:line="223" w:lineRule="auto"/>
        <w:jc w:val="right"/>
        <w:bidi/>
      </w:pPr>
      <w:r>
        <w:rPr>
          <w:rFonts w:ascii="Arial" w:hAnsi="Arial"/>
          <w:sz w:val="16"/>
        </w:rPr>
        <w:t>122.16  مستندات آموزشی برای پرسنل در تمام سطوح مهم است زیرا وضعیت آموزش و صلاحیت وظیفه را تأیید می‌کند.</w:t>
      </w:r>
    </w:p>
    <w:p>
      <w:pPr>
        <w:spacing w:after="28" w:line="216" w:lineRule="auto"/>
        <w:ind w:left="259"/>
        <w:jc w:val="left"/>
      </w:pPr>
      <w:r>
        <w:rPr>
          <w:rFonts w:ascii="Arial" w:hAnsi="Arial"/>
          <w:color w:val="525252"/>
          <w:sz w:val="13"/>
        </w:rPr>
        <w:t>Training documentation is important to personnel at all levels because it validates the status of training and task qualification.</w:t>
      </w:r>
    </w:p>
    <w:p>
      <w:pPr>
        <w:spacing w:after="20" w:line="223" w:lineRule="auto"/>
        <w:jc w:val="right"/>
        <w:bidi/>
      </w:pPr>
      <w:r>
        <w:rPr>
          <w:rFonts w:ascii="Arial" w:hAnsi="Arial"/>
          <w:sz w:val="16"/>
        </w:rPr>
        <w:t>122.17  مستندات همچنین به مدیران کمک می‌کند توانایی و آمادگی مأموریت را ارزیابی کنند و الزامات پیشرفت شغلی فردی را تعریف می‌کند.</w:t>
      </w:r>
    </w:p>
    <w:p>
      <w:pPr>
        <w:spacing w:after="28" w:line="216" w:lineRule="auto"/>
        <w:ind w:left="259"/>
        <w:jc w:val="left"/>
      </w:pPr>
      <w:r>
        <w:rPr>
          <w:rFonts w:ascii="Arial" w:hAnsi="Arial"/>
          <w:color w:val="525252"/>
          <w:sz w:val="13"/>
        </w:rPr>
        <w:t>Documentation also helps managers assess mission capability and readiness, and it defines requirements for individual career progression.</w:t>
      </w:r>
    </w:p>
    <w:p>
      <w:pPr>
        <w:spacing w:after="20" w:line="223" w:lineRule="auto"/>
        <w:jc w:val="right"/>
        <w:bidi/>
      </w:pPr>
      <w:r>
        <w:rPr>
          <w:rFonts w:ascii="Arial" w:hAnsi="Arial"/>
          <w:sz w:val="16"/>
        </w:rPr>
        <w:t>122.18  فرم ۶۲۳ وزارت نیروی هوایی، سوابق آموزشی فردی.</w:t>
      </w:r>
    </w:p>
    <w:p>
      <w:pPr>
        <w:spacing w:after="28" w:line="216" w:lineRule="auto"/>
        <w:ind w:left="259"/>
        <w:jc w:val="left"/>
      </w:pPr>
      <w:r>
        <w:rPr>
          <w:rFonts w:ascii="Arial" w:hAnsi="Arial"/>
          <w:color w:val="525252"/>
          <w:sz w:val="13"/>
        </w:rPr>
        <w:t>Department of the Air Force Form 623, Individual Training Record.</w:t>
      </w:r>
    </w:p>
    <w:p>
      <w:pPr>
        <w:spacing w:after="20" w:line="223" w:lineRule="auto"/>
        <w:jc w:val="right"/>
        <w:bidi/>
      </w:pPr>
      <w:r>
        <w:rPr>
          <w:rFonts w:ascii="Arial" w:hAnsi="Arial"/>
          <w:sz w:val="16"/>
        </w:rPr>
        <w:t>122.19  DAF فورم ۶۲۳، پوشه سوابق آموزشی فردی، پوشه شش قسمتی (در صورت نیاز مدیر رستهٔ شغلی)، یا معادل الکترونیکی تأیید شده، برای همه کارآموزانی که برای اولین بار وارد آموزش ارتقاء می‌شوند، تولید می‌شود.</w:t>
      </w:r>
    </w:p>
    <w:p>
      <w:pPr>
        <w:spacing w:after="28" w:line="216" w:lineRule="auto"/>
        <w:ind w:left="259"/>
        <w:jc w:val="left"/>
      </w:pPr>
      <w:r>
        <w:rPr>
          <w:rFonts w:ascii="Arial" w:hAnsi="Arial"/>
          <w:color w:val="525252"/>
          <w:sz w:val="13"/>
        </w:rPr>
        <w:t>The DAF Form 623, Individual Training Record Folder, six-part folder (when required by the career field manager), or approved electronic equivalent, is generated for all trainees entering upgrade training for the first time.</w:t>
      </w:r>
    </w:p>
    <w:p>
      <w:pPr>
        <w:spacing w:after="20" w:line="223" w:lineRule="auto"/>
        <w:jc w:val="right"/>
        <w:bidi/>
      </w:pPr>
      <w:r>
        <w:rPr>
          <w:rFonts w:ascii="Arial" w:hAnsi="Arial"/>
          <w:sz w:val="16"/>
        </w:rPr>
        <w:t>122.20  سوابق آموزشی منعکس کننده صلاحیت‌های گذشته و فعلی است و برای تعیین الزامات آموزشی استفاده می‌شود.</w:t>
      </w:r>
    </w:p>
    <w:p>
      <w:pPr>
        <w:spacing w:after="28" w:line="216" w:lineRule="auto"/>
        <w:ind w:left="259"/>
        <w:jc w:val="left"/>
      </w:pPr>
      <w:r>
        <w:rPr>
          <w:rFonts w:ascii="Arial" w:hAnsi="Arial"/>
          <w:color w:val="525252"/>
          <w:sz w:val="13"/>
        </w:rPr>
        <w:t>The training record reflects past and current qualifications and is used to determine training requirements.</w:t>
      </w:r>
    </w:p>
    <w:p>
      <w:pPr>
        <w:spacing w:after="20" w:line="223" w:lineRule="auto"/>
        <w:jc w:val="right"/>
        <w:bidi/>
      </w:pPr>
      <w:r>
        <w:rPr>
          <w:rFonts w:ascii="Arial" w:hAnsi="Arial"/>
          <w:sz w:val="16"/>
        </w:rPr>
        <w:t>122.21  سرپرستان سوابق آموزشی را حفظ می‌کنند و اطمینان حاصل می‌کنند که در صورت درخواست برای پرسنل مربوطه در زنجیره فرماندهی، از جمله مدیر آموزش واحد، در دسترس است.</w:t>
      </w:r>
    </w:p>
    <w:p>
      <w:pPr>
        <w:spacing w:after="28" w:line="216" w:lineRule="auto"/>
        <w:ind w:left="259"/>
        <w:jc w:val="left"/>
      </w:pPr>
      <w:r>
        <w:rPr>
          <w:rFonts w:ascii="Arial" w:hAnsi="Arial"/>
          <w:color w:val="525252"/>
          <w:sz w:val="13"/>
        </w:rPr>
        <w:t>Supervisors maintain the training record, and ensure it is available to applicable personnel in the chain of command, including the unit training manager, upon request.</w:t>
      </w:r>
    </w:p>
    <w:p>
      <w:pPr>
        <w:spacing w:after="20" w:line="223" w:lineRule="auto"/>
        <w:jc w:val="right"/>
        <w:bidi/>
      </w:pPr>
      <w:r>
        <w:rPr>
          <w:rFonts w:ascii="Arial" w:hAnsi="Arial"/>
          <w:sz w:val="16"/>
        </w:rPr>
        <w:t>122.22  مگر اینکه طبقه بندی شده باشد، سوابق آموزشی پس از جدایی، بازنشستگی، راه‌اندازی، ارتقاء به استاد گروهبان، یا طبق دستور دیگری توسط مدیر حوزه شغلی به عضو بازگردانده می‌شود.</w:t>
      </w:r>
    </w:p>
    <w:p>
      <w:pPr>
        <w:spacing w:after="28" w:line="216" w:lineRule="auto"/>
        <w:ind w:left="259"/>
        <w:jc w:val="left"/>
      </w:pPr>
      <w:r>
        <w:rPr>
          <w:rFonts w:ascii="Arial" w:hAnsi="Arial"/>
          <w:color w:val="525252"/>
          <w:sz w:val="13"/>
        </w:rPr>
        <w:t>Unless classified, the training record is returned to the member upon separation, retirement, commissioning, promotion to Master Sergeant, or as otherwise directed by the career field manager.</w:t>
      </w:r>
    </w:p>
    <w:p>
      <w:pPr>
        <w:spacing w:after="20" w:line="223" w:lineRule="auto"/>
        <w:jc w:val="right"/>
        <w:bidi/>
      </w:pPr>
      <w:r>
        <w:rPr>
          <w:rFonts w:ascii="Arial" w:hAnsi="Arial"/>
          <w:sz w:val="16"/>
        </w:rPr>
        <w:t>122.23  فرم ۶۲۳ا بخش نیروی هوایی، برگه ادامه کارآموزی در حین کار.</w:t>
      </w:r>
    </w:p>
    <w:p>
      <w:pPr>
        <w:spacing w:after="28" w:line="216" w:lineRule="auto"/>
        <w:ind w:left="259"/>
        <w:jc w:val="left"/>
      </w:pPr>
      <w:r>
        <w:rPr>
          <w:rFonts w:ascii="Arial" w:hAnsi="Arial"/>
          <w:color w:val="525252"/>
          <w:sz w:val="13"/>
        </w:rPr>
        <w:t>Department of the Air Force Form 623A, On-the-Job Training Record Continuation Sheet.</w:t>
      </w:r>
    </w:p>
    <w:p>
      <w:pPr>
        <w:spacing w:after="20" w:line="223" w:lineRule="auto"/>
        <w:jc w:val="right"/>
        <w:bidi/>
      </w:pPr>
      <w:r>
        <w:rPr>
          <w:rFonts w:ascii="Arial" w:hAnsi="Arial"/>
          <w:sz w:val="16"/>
        </w:rPr>
        <w:t>122.24  از فرم ۶۲۳ا DAF، برگه ادامه سوابق آموزش در حین کار، یا نسخه خودکار، برای مستندسازی پیشرفت آموزشی فرد استفاده کنید.</w:t>
      </w:r>
    </w:p>
    <w:p>
      <w:pPr>
        <w:spacing w:after="28" w:line="216" w:lineRule="auto"/>
        <w:ind w:left="259"/>
        <w:jc w:val="left"/>
      </w:pPr>
      <w:r>
        <w:rPr>
          <w:rFonts w:ascii="Arial" w:hAnsi="Arial"/>
          <w:color w:val="525252"/>
          <w:sz w:val="13"/>
        </w:rPr>
        <w:t>Use DAF Form 623A, On-the-Job Training Record Continuation Sheet, or automated version, to document an individual’s training progress.</w:t>
      </w:r>
    </w:p>
    <w:p>
      <w:pPr>
        <w:spacing w:after="20" w:line="223" w:lineRule="auto"/>
        <w:jc w:val="right"/>
        <w:bidi/>
      </w:pPr>
      <w:r>
        <w:rPr>
          <w:rFonts w:ascii="Arial" w:hAnsi="Arial"/>
          <w:sz w:val="16"/>
        </w:rPr>
        <w:t>122.25  فرم منعکس کننده وضعیت، مشاوره و وقفه‌های آموزشی است.</w:t>
      </w:r>
    </w:p>
    <w:p>
      <w:pPr>
        <w:spacing w:after="28" w:line="216" w:lineRule="auto"/>
        <w:ind w:left="259"/>
        <w:jc w:val="left"/>
      </w:pPr>
      <w:r>
        <w:rPr>
          <w:rFonts w:ascii="Arial" w:hAnsi="Arial"/>
          <w:color w:val="525252"/>
          <w:sz w:val="13"/>
        </w:rPr>
        <w:t>The form reflects status, counseling, and breaks in training.</w:t>
      </w:r>
    </w:p>
    <w:p>
      <w:pPr>
        <w:spacing w:after="20" w:line="223" w:lineRule="auto"/>
        <w:jc w:val="right"/>
        <w:bidi/>
      </w:pPr>
      <w:r>
        <w:rPr>
          <w:rFonts w:ascii="Arial" w:hAnsi="Arial"/>
          <w:sz w:val="16"/>
        </w:rPr>
        <w:t>122.26  طرح آموزش و آموزش حوزه شغلی.</w:t>
      </w:r>
    </w:p>
    <w:p>
      <w:pPr>
        <w:spacing w:after="28" w:line="216" w:lineRule="auto"/>
        <w:ind w:left="259"/>
        <w:jc w:val="left"/>
      </w:pPr>
      <w:r>
        <w:rPr>
          <w:rFonts w:ascii="Arial" w:hAnsi="Arial"/>
          <w:color w:val="525252"/>
          <w:sz w:val="13"/>
        </w:rPr>
        <w:t>Career Field Education and Training Plan.</w:t>
      </w:r>
    </w:p>
    <w:p>
      <w:pPr>
        <w:spacing w:after="20" w:line="223" w:lineRule="auto"/>
        <w:jc w:val="right"/>
        <w:bidi/>
      </w:pPr>
      <w:r>
        <w:rPr>
          <w:rFonts w:ascii="Arial" w:hAnsi="Arial"/>
          <w:sz w:val="16"/>
        </w:rPr>
        <w:t>122.27  CFETP یک سند اصلی جامع است که الزامات آموزشی و آموزشی چرخه زندگی، منابع پشتیبانی آموزشی، آموزش ایستگاه اصلی و اصلی، و الزامات وظیفه کد نوع استقرار/واحد را برای تخصص‌های USAF شناسایی می‌کند.</w:t>
      </w:r>
    </w:p>
    <w:p>
      <w:pPr>
        <w:spacing w:after="28" w:line="216" w:lineRule="auto"/>
        <w:ind w:left="259"/>
        <w:jc w:val="left"/>
      </w:pPr>
      <w:r>
        <w:rPr>
          <w:rFonts w:ascii="Arial" w:hAnsi="Arial"/>
          <w:color w:val="525252"/>
          <w:sz w:val="13"/>
        </w:rPr>
        <w:t>The CFETP is a comprehensive core document identifying life-cycle education and training requirements, training support resources, core and home station training, and deployment/unit type code task requirements for USAF specialties.</w:t>
      </w:r>
    </w:p>
    <w:p>
      <w:pPr>
        <w:spacing w:after="20" w:line="223" w:lineRule="auto"/>
        <w:jc w:val="right"/>
        <w:bidi/>
      </w:pPr>
      <w:r>
        <w:rPr>
          <w:rFonts w:ascii="Arial" w:hAnsi="Arial"/>
          <w:sz w:val="16"/>
        </w:rPr>
        <w:t>122.28  سرپرستان از CFETP برای برنامه‌ریزی، اولویت‌بندی، مدیریت و اجرای آموزش در حوزه شغلی و شناسایی و تأیید کلیه مدارک گذشته و فعلی استفاده می‌کنند.</w:t>
      </w:r>
    </w:p>
    <w:p>
      <w:pPr>
        <w:spacing w:after="28" w:line="216" w:lineRule="auto"/>
        <w:ind w:left="259"/>
        <w:jc w:val="left"/>
      </w:pPr>
      <w:r>
        <w:rPr>
          <w:rFonts w:ascii="Arial" w:hAnsi="Arial"/>
          <w:color w:val="525252"/>
          <w:sz w:val="13"/>
        </w:rPr>
        <w:t>Supervisors use the CFETP to plan, prioritize, manage, and execute training within the career field and to identify and certify all past and current qualifications.</w:t>
      </w:r>
    </w:p>
    <w:p>
      <w:pPr>
        <w:spacing w:after="20" w:line="223" w:lineRule="auto"/>
        <w:jc w:val="right"/>
        <w:bidi/>
      </w:pPr>
      <w:r>
        <w:rPr>
          <w:rFonts w:ascii="Arial" w:hAnsi="Arial"/>
          <w:sz w:val="16"/>
        </w:rPr>
        <w:t>122.29  CFETP قسمت اول اطلاعات لازم برای مدیریت کلی تخصص را فراهم می‌کند و به‌عنوان بخشی از مرکز کار نگهداری می‌شود.</w:t>
      </w:r>
    </w:p>
    <w:p>
      <w:pPr>
        <w:spacing w:after="28" w:line="216" w:lineRule="auto"/>
        <w:ind w:left="259"/>
        <w:jc w:val="left"/>
      </w:pPr>
      <w:r>
        <w:rPr>
          <w:rFonts w:ascii="Arial" w:hAnsi="Arial"/>
          <w:color w:val="525252"/>
          <w:sz w:val="13"/>
        </w:rPr>
        <w:t>CFETP Part I provides information necessary for overall management of the specialty and is maintained as part of the work center</w:t>
      </w:r>
    </w:p>
    <w:p>
      <w:r>
        <w:br w:type="page"/>
      </w:r>
    </w:p>
    <w:p>
      <w:pPr>
        <w:spacing w:after="60"/>
        <w:jc w:val="right"/>
        <w:bidi/>
      </w:pPr>
      <w:r>
        <w:rPr>
          <w:rFonts w:ascii="Arial" w:hAnsi="Arial"/>
          <w:b/>
          <w:color w:val="1F4D78"/>
          <w:sz w:val="19"/>
        </w:rPr>
        <w:t>هفتهٔ 123  |  صفحهٔ منبع: 139</w:t>
      </w:r>
    </w:p>
    <w:p>
      <w:pPr>
        <w:spacing w:after="20" w:line="223" w:lineRule="auto"/>
        <w:jc w:val="right"/>
        <w:bidi/>
      </w:pPr>
      <w:r>
        <w:rPr>
          <w:rFonts w:ascii="Arial" w:hAnsi="Arial"/>
          <w:sz w:val="16"/>
        </w:rPr>
        <w:t>123.01  طرح آموزشی اصلی.</w:t>
      </w:r>
    </w:p>
    <w:p>
      <w:pPr>
        <w:spacing w:after="28" w:line="216" w:lineRule="auto"/>
        <w:ind w:left="259"/>
        <w:jc w:val="left"/>
      </w:pPr>
      <w:r>
        <w:rPr>
          <w:rFonts w:ascii="Arial" w:hAnsi="Arial"/>
          <w:color w:val="525252"/>
          <w:sz w:val="13"/>
        </w:rPr>
        <w:t>master training plan.</w:t>
      </w:r>
    </w:p>
    <w:p>
      <w:pPr>
        <w:spacing w:after="20" w:line="223" w:lineRule="auto"/>
        <w:jc w:val="right"/>
        <w:bidi/>
      </w:pPr>
      <w:r>
        <w:rPr>
          <w:rFonts w:ascii="Arial" w:hAnsi="Arial"/>
          <w:sz w:val="16"/>
        </w:rPr>
        <w:t>123.02  CFETP قسمت دوم شامل استاندارد آموزش تخصصی است که وظایف، وظایف و مراجع فنی برای پشتیبانی از آموزش، وظایف آموزشی ایستگاه اصلی و اصلی، وظایف کد نوع استقرار/واحد، و الزامات CDC را شناسایی می‌کند.</w:t>
      </w:r>
    </w:p>
    <w:p>
      <w:pPr>
        <w:spacing w:after="28" w:line="216" w:lineRule="auto"/>
        <w:ind w:left="259"/>
        <w:jc w:val="left"/>
      </w:pPr>
      <w:r>
        <w:rPr>
          <w:rFonts w:ascii="Arial" w:hAnsi="Arial"/>
          <w:color w:val="525252"/>
          <w:sz w:val="13"/>
        </w:rPr>
        <w:t>CFETP Part II contains the specialty training standard identifying the duties, tasks, and technical references to support training, core and home station training tasks, deployment/unit type code tasks, and CDC requirements.</w:t>
      </w:r>
    </w:p>
    <w:p>
      <w:pPr>
        <w:spacing w:after="20" w:line="223" w:lineRule="auto"/>
        <w:jc w:val="right"/>
        <w:bidi/>
      </w:pPr>
      <w:r>
        <w:rPr>
          <w:rFonts w:ascii="Arial" w:hAnsi="Arial"/>
          <w:sz w:val="16"/>
        </w:rPr>
        <w:t>123.03  حداقل یک کپی از کل CFETP (قسمت اول و دوم)، باید برای دسترسی عمومی در مرکز کار نگهداری شود.</w:t>
      </w:r>
    </w:p>
    <w:p>
      <w:pPr>
        <w:spacing w:after="28" w:line="216" w:lineRule="auto"/>
        <w:ind w:left="259"/>
        <w:jc w:val="left"/>
      </w:pPr>
      <w:r>
        <w:rPr>
          <w:rFonts w:ascii="Arial" w:hAnsi="Arial"/>
          <w:color w:val="525252"/>
          <w:sz w:val="13"/>
        </w:rPr>
        <w:t>At least one copy of the entire CFETP (Part I and II), should be kept in the work center for general access.</w:t>
      </w:r>
    </w:p>
    <w:p>
      <w:pPr>
        <w:spacing w:after="20" w:line="223" w:lineRule="auto"/>
        <w:jc w:val="right"/>
        <w:bidi/>
      </w:pPr>
      <w:r>
        <w:rPr>
          <w:rFonts w:ascii="Arial" w:hAnsi="Arial"/>
          <w:sz w:val="16"/>
        </w:rPr>
        <w:t>123.04  اگر CFETP در سیستم خودکار باشد، کپی الکترونیکی مجاز است.</w:t>
      </w:r>
    </w:p>
    <w:p>
      <w:pPr>
        <w:spacing w:after="28" w:line="216" w:lineRule="auto"/>
        <w:ind w:left="259"/>
        <w:jc w:val="left"/>
      </w:pPr>
      <w:r>
        <w:rPr>
          <w:rFonts w:ascii="Arial" w:hAnsi="Arial"/>
          <w:color w:val="525252"/>
          <w:sz w:val="13"/>
        </w:rPr>
        <w:t>Electronic copy is authorized if CFETP is in automated system.</w:t>
      </w:r>
    </w:p>
    <w:p>
      <w:pPr>
        <w:spacing w:after="20" w:line="223" w:lineRule="auto"/>
        <w:jc w:val="right"/>
        <w:bidi/>
      </w:pPr>
      <w:r>
        <w:rPr>
          <w:rFonts w:ascii="Arial" w:hAnsi="Arial"/>
          <w:sz w:val="16"/>
        </w:rPr>
        <w:t>123.05  AFCFMها مسئول هستند تا اطمینان حاصل کنند که CFETP مربوطه خود تجسم عضو نیروی هواییشیپ است و شایستگی‌های زیر را که با شایستگی‌های اساسی نیروی هوایی همراستا هستند شامل می‌شوند: ارتباطات، مسئولیت‌پذیری، کار تیمی، تفکر تحلیلی و مدیریت منابع.</w:t>
      </w:r>
    </w:p>
    <w:p>
      <w:pPr>
        <w:spacing w:after="28" w:line="216" w:lineRule="auto"/>
        <w:ind w:left="259"/>
        <w:jc w:val="left"/>
      </w:pPr>
      <w:r>
        <w:rPr>
          <w:rFonts w:ascii="Arial" w:hAnsi="Arial"/>
          <w:color w:val="525252"/>
          <w:sz w:val="13"/>
        </w:rPr>
        <w:t>AFCFMs are responsible to ensure their respective CFETP embodies Airmanship and incorporates the following competencies that align with the Air Force foundational competencies: communication, accountability, teamwork, analytical thinking, and resource management.</w:t>
      </w:r>
    </w:p>
    <w:p>
      <w:pPr>
        <w:spacing w:after="20" w:line="223" w:lineRule="auto"/>
        <w:jc w:val="right"/>
        <w:bidi/>
      </w:pPr>
      <w:r>
        <w:rPr>
          <w:rFonts w:ascii="Arial" w:hAnsi="Arial"/>
          <w:sz w:val="16"/>
        </w:rPr>
        <w:t>123.06  استاندارد صلاحیت شغلی نیروی هوایی.</w:t>
      </w:r>
    </w:p>
    <w:p>
      <w:pPr>
        <w:spacing w:after="28" w:line="216" w:lineRule="auto"/>
        <w:ind w:left="259"/>
        <w:jc w:val="left"/>
      </w:pPr>
      <w:r>
        <w:rPr>
          <w:rFonts w:ascii="Arial" w:hAnsi="Arial"/>
          <w:color w:val="525252"/>
          <w:sz w:val="13"/>
        </w:rPr>
        <w:t>Air Force Job Qualification Standard.</w:t>
      </w:r>
    </w:p>
    <w:p>
      <w:pPr>
        <w:spacing w:after="20" w:line="223" w:lineRule="auto"/>
        <w:jc w:val="right"/>
        <w:bidi/>
      </w:pPr>
      <w:r>
        <w:rPr>
          <w:rFonts w:ascii="Arial" w:hAnsi="Arial"/>
          <w:sz w:val="16"/>
        </w:rPr>
        <w:t>123.07  AFJQS یک سند آموزشی است که توسط مدیر رستهٔ شغلی برای یک نوع شغل یا موقعیت وظیفه خاص در یک تخصص USAF تأیید شده است.</w:t>
      </w:r>
    </w:p>
    <w:p>
      <w:pPr>
        <w:spacing w:after="28" w:line="216" w:lineRule="auto"/>
        <w:ind w:left="259"/>
        <w:jc w:val="left"/>
      </w:pPr>
      <w:r>
        <w:rPr>
          <w:rFonts w:ascii="Arial" w:hAnsi="Arial"/>
          <w:color w:val="525252"/>
          <w:sz w:val="13"/>
        </w:rPr>
        <w:t>The AFJQS is a training document approved by the career field manager for a particular job type or duty position within a USAF specialty.</w:t>
      </w:r>
    </w:p>
    <w:p>
      <w:pPr>
        <w:spacing w:after="20" w:line="223" w:lineRule="auto"/>
        <w:jc w:val="right"/>
        <w:bidi/>
      </w:pPr>
      <w:r>
        <w:rPr>
          <w:rFonts w:ascii="Arial" w:hAnsi="Arial"/>
          <w:sz w:val="16"/>
        </w:rPr>
        <w:t>123.08  فرم ۸۰۳ وزارت نیروی هوایی، گزارش ارزیابی وظایف.</w:t>
      </w:r>
    </w:p>
    <w:p>
      <w:pPr>
        <w:spacing w:after="28" w:line="216" w:lineRule="auto"/>
        <w:ind w:left="259"/>
        <w:jc w:val="left"/>
      </w:pPr>
      <w:r>
        <w:rPr>
          <w:rFonts w:ascii="Arial" w:hAnsi="Arial"/>
          <w:color w:val="525252"/>
          <w:sz w:val="13"/>
        </w:rPr>
        <w:t>Department of the Air Force Form 803, Report of Task Evaluations.</w:t>
      </w:r>
    </w:p>
    <w:p>
      <w:pPr>
        <w:spacing w:after="20" w:line="223" w:lineRule="auto"/>
        <w:jc w:val="right"/>
        <w:bidi/>
      </w:pPr>
      <w:r>
        <w:rPr>
          <w:rFonts w:ascii="Arial" w:hAnsi="Arial"/>
          <w:sz w:val="16"/>
        </w:rPr>
        <w:t>123.09  ارزیابان از فرم ۸۰۳ DAF، گزارش ارزیابی‌های وظیفه، برای انجام و مستندسازی تکمیل ارزیابی‌های کار در طول بازدیدهای کمکی کارکنان آموزشی، زمانی که توسط فرمانده هدایت می‌شود، یا زمانی که صدور گواهینامه وظیفه نیاز به اعتبارسنجی دارد، استفاده می‌کنند.</w:t>
      </w:r>
    </w:p>
    <w:p>
      <w:pPr>
        <w:spacing w:after="28" w:line="216" w:lineRule="auto"/>
        <w:ind w:left="259"/>
        <w:jc w:val="left"/>
      </w:pPr>
      <w:r>
        <w:rPr>
          <w:rFonts w:ascii="Arial" w:hAnsi="Arial"/>
          <w:color w:val="525252"/>
          <w:sz w:val="13"/>
        </w:rPr>
        <w:t>Evaluators use the DAF Form 803, Report of Task Evaluations, to conduct and document completion of task evaluations during training staff assistance visits, when directed by the commander, or when task certification requires validation.</w:t>
      </w:r>
    </w:p>
    <w:p>
      <w:pPr>
        <w:spacing w:after="20" w:line="223" w:lineRule="auto"/>
        <w:jc w:val="right"/>
        <w:bidi/>
      </w:pPr>
      <w:r>
        <w:rPr>
          <w:rFonts w:ascii="Arial" w:hAnsi="Arial"/>
          <w:sz w:val="16"/>
        </w:rPr>
        <w:t>123.10  ارزیابی‌های تکمیل‌شده بر روی یک کارآموز توسط سرپرست/مربی یا گواهی‌دهنده وظیفه در فرم ۶۲۳ DAF، سوابق آموزشی فردی، تا زمانی که ارتقا داده شود یا دیگر قابل اجرا نباشد، ثبت می‌شود.</w:t>
      </w:r>
    </w:p>
    <w:p>
      <w:pPr>
        <w:spacing w:after="28" w:line="216" w:lineRule="auto"/>
        <w:ind w:left="259"/>
        <w:jc w:val="left"/>
      </w:pPr>
      <w:r>
        <w:rPr>
          <w:rFonts w:ascii="Arial" w:hAnsi="Arial"/>
          <w:color w:val="525252"/>
          <w:sz w:val="13"/>
        </w:rPr>
        <w:t>Completed evaluations conducted on a single trainee by the supervisor/trainer or task certifier are filed in DAF Form 623, Individual Training Record, until upgraded or no longer applicable.</w:t>
      </w:r>
    </w:p>
    <w:p>
      <w:pPr>
        <w:spacing w:after="20" w:line="223" w:lineRule="auto"/>
        <w:jc w:val="right"/>
        <w:bidi/>
      </w:pPr>
      <w:r>
        <w:rPr>
          <w:rFonts w:ascii="Arial" w:hAnsi="Arial"/>
          <w:sz w:val="16"/>
        </w:rPr>
        <w:t>123.11  مدیران آموزش واحد ارزیابی‌های وظایف انجام شده در طول SAV را با گزارش تکمیل شده حفظ می‌کنند.</w:t>
      </w:r>
    </w:p>
    <w:p>
      <w:pPr>
        <w:spacing w:after="28" w:line="216" w:lineRule="auto"/>
        <w:ind w:left="259"/>
        <w:jc w:val="left"/>
      </w:pPr>
      <w:r>
        <w:rPr>
          <w:rFonts w:ascii="Arial" w:hAnsi="Arial"/>
          <w:color w:val="525252"/>
          <w:sz w:val="13"/>
        </w:rPr>
        <w:t>Unit training managers maintain task evaluations performed during SAVs with the completed report.</w:t>
      </w:r>
    </w:p>
    <w:p>
      <w:pPr>
        <w:spacing w:after="20" w:line="223" w:lineRule="auto"/>
        <w:jc w:val="right"/>
        <w:bidi/>
      </w:pPr>
      <w:r>
        <w:rPr>
          <w:rFonts w:ascii="Arial" w:hAnsi="Arial"/>
          <w:sz w:val="16"/>
        </w:rPr>
        <w:t>123.12  فرم ۷۹۷ وزارت نیروی هوایی، ادامه استاندارد صلاحیت شغلی/فرمان JQS.</w:t>
      </w:r>
    </w:p>
    <w:p>
      <w:pPr>
        <w:spacing w:after="28" w:line="216" w:lineRule="auto"/>
        <w:ind w:left="259"/>
        <w:jc w:val="left"/>
      </w:pPr>
      <w:r>
        <w:rPr>
          <w:rFonts w:ascii="Arial" w:hAnsi="Arial"/>
          <w:color w:val="525252"/>
          <w:sz w:val="13"/>
        </w:rPr>
        <w:t>Department of the Air Force Form 797, Job Qualification Standard Continuation/Command JQS.</w:t>
      </w:r>
    </w:p>
    <w:p>
      <w:pPr>
        <w:spacing w:after="20" w:line="223" w:lineRule="auto"/>
        <w:jc w:val="right"/>
        <w:bidi/>
      </w:pPr>
      <w:r>
        <w:rPr>
          <w:rFonts w:ascii="Arial" w:hAnsi="Arial"/>
          <w:sz w:val="16"/>
        </w:rPr>
        <w:t>123.13  DAF فورم ۷۹۷، جوب قوالیفیکاتیون ستاندارد کونتینواتیون/کومماند JQS، ادامه CFETP پارت II یا AFJQS است.</w:t>
      </w:r>
    </w:p>
    <w:p>
      <w:pPr>
        <w:spacing w:after="28" w:line="216" w:lineRule="auto"/>
        <w:ind w:left="259"/>
        <w:jc w:val="left"/>
      </w:pPr>
      <w:r>
        <w:rPr>
          <w:rFonts w:ascii="Arial" w:hAnsi="Arial"/>
          <w:color w:val="525252"/>
          <w:sz w:val="13"/>
        </w:rPr>
        <w:t>DAF Form 797, Job Qualification Standard Continuation/Command JQS, is a continuation of the CFETP Part II, or AFJQS.</w:t>
      </w:r>
    </w:p>
    <w:p>
      <w:pPr>
        <w:spacing w:after="20" w:line="223" w:lineRule="auto"/>
        <w:jc w:val="right"/>
        <w:bidi/>
      </w:pPr>
      <w:r>
        <w:rPr>
          <w:rFonts w:ascii="Arial" w:hAnsi="Arial"/>
          <w:sz w:val="16"/>
        </w:rPr>
        <w:t>123.14  این فرم موقعیت وظیفه اختصاص داده شده به صورت محلی، آموزش ایستگاه خانگی، و الزامات کد نوع استقرار/واحد را که در CFETP، قسمت II گنجانده نشده است، تعریف می‌کند.</w:t>
      </w:r>
    </w:p>
    <w:p>
      <w:pPr>
        <w:spacing w:after="28" w:line="216" w:lineRule="auto"/>
        <w:ind w:left="259"/>
        <w:jc w:val="left"/>
      </w:pPr>
      <w:r>
        <w:rPr>
          <w:rFonts w:ascii="Arial" w:hAnsi="Arial"/>
          <w:color w:val="525252"/>
          <w:sz w:val="13"/>
        </w:rPr>
        <w:t>This form defines locally assigned duty position, home station training, and deployment/unit type code requirements not included in the CFETP, Part II.</w:t>
      </w:r>
    </w:p>
    <w:p>
      <w:pPr>
        <w:spacing w:after="20" w:line="223" w:lineRule="auto"/>
        <w:jc w:val="right"/>
        <w:bidi/>
      </w:pPr>
      <w:r>
        <w:rPr>
          <w:rFonts w:ascii="Arial" w:hAnsi="Arial"/>
          <w:sz w:val="16"/>
        </w:rPr>
        <w:t>123.15  فرم ۱۰۹۸ وزارت نیروی هوایی، صدور گواهینامه وظایف ویژه و آموزش مکرر.</w:t>
      </w:r>
    </w:p>
    <w:p>
      <w:pPr>
        <w:spacing w:after="28" w:line="216" w:lineRule="auto"/>
        <w:ind w:left="259"/>
        <w:jc w:val="left"/>
      </w:pPr>
      <w:r>
        <w:rPr>
          <w:rFonts w:ascii="Arial" w:hAnsi="Arial"/>
          <w:color w:val="525252"/>
          <w:sz w:val="13"/>
        </w:rPr>
        <w:t>Department of the Air Force Form 1098, Special Task Certification and Recurring Training.</w:t>
      </w:r>
    </w:p>
    <w:p>
      <w:pPr>
        <w:spacing w:after="20" w:line="223" w:lineRule="auto"/>
        <w:jc w:val="right"/>
        <w:bidi/>
      </w:pPr>
      <w:r>
        <w:rPr>
          <w:rFonts w:ascii="Arial" w:hAnsi="Arial"/>
          <w:sz w:val="16"/>
        </w:rPr>
        <w:t>123.16  ناظران از فرم ۱۰۹۸ DAF، گواهی وظایف ویژه و آموزش مکرر، برای مستندسازی وظایف انتخابی که نیاز به آموزش یا ارزیابی مکرر دارند، استفاده می‌کنند.</w:t>
      </w:r>
    </w:p>
    <w:p>
      <w:pPr>
        <w:spacing w:after="28" w:line="216" w:lineRule="auto"/>
        <w:ind w:left="259"/>
        <w:jc w:val="left"/>
      </w:pPr>
      <w:r>
        <w:rPr>
          <w:rFonts w:ascii="Arial" w:hAnsi="Arial"/>
          <w:color w:val="525252"/>
          <w:sz w:val="13"/>
        </w:rPr>
        <w:t>Supervisors use the DAF Form 1098, Special Task Certification and Recurring Training, to document selected tasks requiring recurring training or evaluation.</w:t>
      </w:r>
    </w:p>
    <w:p>
      <w:pPr>
        <w:spacing w:after="20" w:line="223" w:lineRule="auto"/>
        <w:jc w:val="right"/>
        <w:bidi/>
      </w:pPr>
      <w:r>
        <w:rPr>
          <w:rFonts w:ascii="Arial" w:hAnsi="Arial"/>
          <w:sz w:val="16"/>
        </w:rPr>
        <w:t>123.17  USAF و دستورات فرماندهی اصلی ممکن است وظایف موجود در CFETP را که نیاز به گواهینامه خاص دارند و همچنین آموزش یا ارزیابی‌های مکرر را مشخص کنند.</w:t>
      </w:r>
    </w:p>
    <w:p>
      <w:pPr>
        <w:spacing w:after="28" w:line="216" w:lineRule="auto"/>
        <w:ind w:left="259"/>
        <w:jc w:val="left"/>
      </w:pPr>
      <w:r>
        <w:rPr>
          <w:rFonts w:ascii="Arial" w:hAnsi="Arial"/>
          <w:color w:val="525252"/>
          <w:sz w:val="13"/>
        </w:rPr>
        <w:t>USAF and major command directives may identify tasks contained in the CFETP that require special certification, as well as recurring training or evaluations.</w:t>
      </w:r>
    </w:p>
    <w:p>
      <w:pPr>
        <w:spacing w:before="60" w:after="28"/>
        <w:jc w:val="right"/>
        <w:bidi/>
      </w:pPr>
      <w:r>
        <w:rPr>
          <w:b/>
          <w:color w:val="1F4D78"/>
          <w:sz w:val="18"/>
        </w:rPr>
        <w:t>7.18. برنامه بازآموزی</w:t>
      </w:r>
    </w:p>
    <w:p>
      <w:pPr>
        <w:spacing w:after="20"/>
        <w:ind w:left="259"/>
        <w:jc w:val="left"/>
      </w:pPr>
      <w:r>
        <w:rPr>
          <w:color w:val="555555"/>
          <w:sz w:val="12"/>
        </w:rPr>
        <w:t>7.18. Retraining Program</w:t>
      </w:r>
    </w:p>
    <w:p>
      <w:pPr>
        <w:spacing w:after="20" w:line="223" w:lineRule="auto"/>
        <w:jc w:val="right"/>
        <w:bidi/>
      </w:pPr>
      <w:r>
        <w:rPr>
          <w:rFonts w:ascii="Arial" w:hAnsi="Arial"/>
          <w:sz w:val="16"/>
        </w:rPr>
        <w:t>123.19  برنامه بازآموزی برای متعادل کردن تعداد پرسنل در درجات و گروه‌های سال خاص یک تخصص USAF طراحی شده است.</w:t>
      </w:r>
    </w:p>
    <w:p>
      <w:pPr>
        <w:spacing w:after="28" w:line="216" w:lineRule="auto"/>
        <w:ind w:left="259"/>
        <w:jc w:val="left"/>
      </w:pPr>
      <w:r>
        <w:rPr>
          <w:rFonts w:ascii="Arial" w:hAnsi="Arial"/>
          <w:color w:val="525252"/>
          <w:sz w:val="13"/>
        </w:rPr>
        <w:t>The retraining program is designed to balance the number of personnel in specific grades and year groups of a USAF specialty.</w:t>
      </w:r>
    </w:p>
    <w:p>
      <w:pPr>
        <w:spacing w:after="20" w:line="223" w:lineRule="auto"/>
        <w:jc w:val="right"/>
        <w:bidi/>
      </w:pPr>
      <w:r>
        <w:rPr>
          <w:rFonts w:ascii="Arial" w:hAnsi="Arial"/>
          <w:sz w:val="16"/>
        </w:rPr>
        <w:t>123.20  پس از تأیید بازآموزی و تعیین وظیفه عضو نیروی هوایی در تخصص جدید، آموزش ارتقاء آغاز می‌شود.</w:t>
      </w:r>
    </w:p>
    <w:p>
      <w:pPr>
        <w:spacing w:after="28" w:line="216" w:lineRule="auto"/>
        <w:ind w:left="259"/>
        <w:jc w:val="left"/>
      </w:pPr>
      <w:r>
        <w:rPr>
          <w:rFonts w:ascii="Arial" w:hAnsi="Arial"/>
          <w:color w:val="525252"/>
          <w:sz w:val="13"/>
        </w:rPr>
        <w:t>Once retraining is approved and the Airman has been assigned duty in the new specialty, upgrade training begins.</w:t>
      </w:r>
    </w:p>
    <w:p>
      <w:pPr>
        <w:spacing w:after="20" w:line="223" w:lineRule="auto"/>
        <w:jc w:val="right"/>
        <w:bidi/>
      </w:pPr>
      <w:r>
        <w:rPr>
          <w:rFonts w:ascii="Arial" w:hAnsi="Arial"/>
          <w:sz w:val="16"/>
        </w:rPr>
        <w:t>123.21  با استثناهای جزئی، الزامات آموزشی برای بازآموزان و کارآموزان ارتقاء استاندارد یکسان است.</w:t>
      </w:r>
    </w:p>
    <w:p>
      <w:pPr>
        <w:spacing w:after="28" w:line="216" w:lineRule="auto"/>
        <w:ind w:left="259"/>
        <w:jc w:val="left"/>
      </w:pPr>
      <w:r>
        <w:rPr>
          <w:rFonts w:ascii="Arial" w:hAnsi="Arial"/>
          <w:color w:val="525252"/>
          <w:sz w:val="13"/>
        </w:rPr>
        <w:t>With minor exceptions, training requirements are identical for retrainees and standard upgrade trainees.</w:t>
      </w:r>
    </w:p>
    <w:p>
      <w:pPr>
        <w:spacing w:after="20" w:line="223" w:lineRule="auto"/>
        <w:jc w:val="right"/>
        <w:bidi/>
      </w:pPr>
      <w:r>
        <w:rPr>
          <w:rFonts w:ascii="Arial" w:hAnsi="Arial"/>
          <w:sz w:val="16"/>
        </w:rPr>
        <w:t>123.22  برای جزئیات بیشتر به AFMAN ۳۶-۲۱۰۰، کاربرد نظامی و طبقه بندی مراجعه کنید.</w:t>
      </w:r>
    </w:p>
    <w:p>
      <w:pPr>
        <w:spacing w:after="28" w:line="216" w:lineRule="auto"/>
        <w:ind w:left="259"/>
        <w:jc w:val="left"/>
      </w:pPr>
      <w:r>
        <w:rPr>
          <w:rFonts w:ascii="Arial" w:hAnsi="Arial"/>
          <w:color w:val="525252"/>
          <w:sz w:val="13"/>
        </w:rPr>
        <w:t>Refer to AFMAN 36-2100, Military Utilization and Classification, for additional details.</w:t>
      </w:r>
    </w:p>
    <w:p>
      <w:pPr>
        <w:spacing w:before="60" w:after="28"/>
        <w:jc w:val="right"/>
        <w:bidi/>
      </w:pPr>
      <w:r>
        <w:rPr>
          <w:b/>
          <w:color w:val="1F4D78"/>
          <w:sz w:val="18"/>
        </w:rPr>
        <w:t>7.19. برنامه Airman با زبان فعال</w:t>
      </w:r>
    </w:p>
    <w:p>
      <w:pPr>
        <w:spacing w:after="20"/>
        <w:ind w:left="259"/>
        <w:jc w:val="left"/>
      </w:pPr>
      <w:r>
        <w:rPr>
          <w:color w:val="555555"/>
          <w:sz w:val="12"/>
        </w:rPr>
        <w:t>7.19. Language Enabled Airman Program</w:t>
      </w:r>
    </w:p>
    <w:p>
      <w:pPr>
        <w:spacing w:after="20" w:line="223" w:lineRule="auto"/>
        <w:jc w:val="right"/>
        <w:bidi/>
      </w:pPr>
      <w:r>
        <w:rPr>
          <w:rFonts w:ascii="Arial" w:hAnsi="Arial"/>
          <w:sz w:val="16"/>
        </w:rPr>
        <w:t>123.24  برنامه نیروی هوایی با قابلیت زبان (LEAP) (https://www.airuniversity.af.edu/AFCLC/)، که توسط مرکز فرهنگ و زبان USAF در دانشگاه هوایی، پایگاه نیروی هوایی ماکسول، آلاباما طراحی و مدیریت می‌شود، فرصت‌هایی را برای افسران و هوانوردان درجه‌دار در نیروی هدف عمومی (GPF) فراهم می‌کند که دارای برخی سوابق و مهارت‌های زبان خارجی هستند. آزمون مهارت زبان دفاعی (DLPT) یا مصاحبه مهارت شفاهی (OPI).</w:t>
      </w:r>
    </w:p>
    <w:p>
      <w:pPr>
        <w:spacing w:after="28" w:line="216" w:lineRule="auto"/>
        <w:ind w:left="259"/>
        <w:jc w:val="left"/>
      </w:pPr>
      <w:r>
        <w:rPr>
          <w:rFonts w:ascii="Arial" w:hAnsi="Arial"/>
          <w:color w:val="525252"/>
          <w:sz w:val="13"/>
        </w:rPr>
        <w:t>The Language Enabled Airman Program (LEAP) (https://www.airuniversity.af.edu/AFCLC/), designed and managed by the USAF Culture and Language Center at Air University, Maxwell Air Force Base, Alabama, provides opportunities for officers and enlisted Airmen in the general purpose force (GPF) who have outstanding service records and possess some level of skill in a foreign language, as measured by the Defense Language Proficiency Test (DLPT) or Oral Proficiency Interview (OPI).</w:t>
      </w:r>
    </w:p>
    <w:p>
      <w:pPr>
        <w:spacing w:after="20" w:line="223" w:lineRule="auto"/>
        <w:jc w:val="right"/>
        <w:bidi/>
      </w:pPr>
      <w:r>
        <w:rPr>
          <w:rFonts w:ascii="Arial" w:hAnsi="Arial"/>
          <w:sz w:val="16"/>
        </w:rPr>
        <w:t>123.25  LEAP یک برنامه بسیار رقابتی و منتخب توسط هیئت مدیره است که USAF را قادر می‌سازد تا هوانوردان را برای استفاده در موقعیت‌های تعیین‌شده زبان، استقرار و سایر الزامات CCMD حفظ کند، عمدا توسعه دهد و در وضعیت قرار دهد.</w:t>
      </w:r>
    </w:p>
    <w:p>
      <w:pPr>
        <w:spacing w:after="28" w:line="216" w:lineRule="auto"/>
        <w:ind w:left="259"/>
        <w:jc w:val="left"/>
      </w:pPr>
      <w:r>
        <w:rPr>
          <w:rFonts w:ascii="Arial" w:hAnsi="Arial"/>
          <w:color w:val="525252"/>
          <w:sz w:val="13"/>
        </w:rPr>
        <w:t>LEAP is a highly competitive, board-selected program that enables the USAF to sustain, deliberately develop, and posture Airmen for utilization in language designated positions, deployments, and other CCMD requirements.</w:t>
      </w:r>
    </w:p>
    <w:p>
      <w:pPr>
        <w:spacing w:after="20" w:line="223" w:lineRule="auto"/>
        <w:jc w:val="right"/>
        <w:bidi/>
      </w:pPr>
      <w:r>
        <w:rPr>
          <w:rFonts w:ascii="Arial" w:hAnsi="Arial"/>
          <w:sz w:val="16"/>
        </w:rPr>
        <w:t>123.26  اعضای منتخب مهارت‌های خود را از طریق یک پلت فرم آنلاین همزمان به نام "منتور" و از طریق غوطه وری دوره‌ای زبان در خارج از کشور توسعه و حرفه‌ای می‌کنند.</w:t>
      </w:r>
    </w:p>
    <w:p>
      <w:pPr>
        <w:spacing w:after="28" w:line="216" w:lineRule="auto"/>
        <w:ind w:left="259"/>
        <w:jc w:val="left"/>
      </w:pPr>
      <w:r>
        <w:rPr>
          <w:rFonts w:ascii="Arial" w:hAnsi="Arial"/>
          <w:color w:val="525252"/>
          <w:sz w:val="13"/>
        </w:rPr>
        <w:t>Selected members develop and professionalize their skills through an online synchronous platform called “eMentor” and through periodic overseas language immersions.</w:t>
      </w:r>
    </w:p>
    <w:p>
      <w:r>
        <w:br w:type="page"/>
      </w:r>
    </w:p>
    <w:p>
      <w:pPr>
        <w:spacing w:after="60"/>
        <w:jc w:val="right"/>
        <w:bidi/>
      </w:pPr>
      <w:r>
        <w:rPr>
          <w:rFonts w:ascii="Arial" w:hAnsi="Arial"/>
          <w:b/>
          <w:color w:val="1F4D78"/>
          <w:sz w:val="19"/>
        </w:rPr>
        <w:t>هفتهٔ 124  |  صفحهٔ منبع: 140</w:t>
      </w:r>
    </w:p>
    <w:p>
      <w:pPr>
        <w:spacing w:before="60" w:after="28"/>
        <w:jc w:val="right"/>
        <w:bidi/>
      </w:pPr>
      <w:r>
        <w:rPr>
          <w:b/>
          <w:color w:val="1F4D78"/>
          <w:sz w:val="18"/>
        </w:rPr>
        <w:t>بخش 7F - آموزش نظامی حرفه ای</w:t>
      </w:r>
    </w:p>
    <w:p>
      <w:pPr>
        <w:spacing w:after="20"/>
        <w:ind w:left="259"/>
        <w:jc w:val="left"/>
      </w:pPr>
      <w:r>
        <w:rPr>
          <w:color w:val="555555"/>
          <w:sz w:val="12"/>
        </w:rPr>
        <w:t>Section 7F—Professional Military Education</w:t>
      </w:r>
    </w:p>
    <w:p>
      <w:pPr>
        <w:spacing w:before="60" w:after="28"/>
        <w:jc w:val="right"/>
        <w:bidi/>
      </w:pPr>
      <w:r>
        <w:rPr>
          <w:b/>
          <w:color w:val="1F4D78"/>
          <w:sz w:val="18"/>
        </w:rPr>
        <w:t>7.20. فرصت های آموزشی</w:t>
      </w:r>
    </w:p>
    <w:p>
      <w:pPr>
        <w:spacing w:after="20"/>
        <w:ind w:left="259"/>
        <w:jc w:val="left"/>
      </w:pPr>
      <w:r>
        <w:rPr>
          <w:color w:val="555555"/>
          <w:sz w:val="12"/>
        </w:rPr>
        <w:t>7.20. Education Opportunities</w:t>
      </w:r>
    </w:p>
    <w:p>
      <w:pPr>
        <w:spacing w:after="20" w:line="223" w:lineRule="auto"/>
        <w:jc w:val="right"/>
        <w:bidi/>
      </w:pPr>
      <w:r>
        <w:rPr>
          <w:rFonts w:ascii="Arial" w:hAnsi="Arial"/>
          <w:sz w:val="16"/>
        </w:rPr>
        <w:t>124.03  فرصت‌های آموزشی در طول دوران حرفه‌ای یک عضو نیروی هوایی وجود دارد که به توسعه کلی فردی کمک می‌کند.</w:t>
      </w:r>
    </w:p>
    <w:p>
      <w:pPr>
        <w:spacing w:after="28" w:line="216" w:lineRule="auto"/>
        <w:ind w:left="259"/>
        <w:jc w:val="left"/>
      </w:pPr>
      <w:r>
        <w:rPr>
          <w:rFonts w:ascii="Arial" w:hAnsi="Arial"/>
          <w:color w:val="525252"/>
          <w:sz w:val="13"/>
        </w:rPr>
        <w:t>Educational opportunities exist throughout an Airman’s career which contribute to individual overall development.</w:t>
      </w:r>
    </w:p>
    <w:p>
      <w:pPr>
        <w:spacing w:after="20" w:line="223" w:lineRule="auto"/>
        <w:jc w:val="right"/>
        <w:bidi/>
      </w:pPr>
      <w:r>
        <w:rPr>
          <w:rFonts w:ascii="Arial" w:hAnsi="Arial"/>
          <w:sz w:val="16"/>
        </w:rPr>
        <w:t>124.04  آموزش نظامی حرفه‌ای (PME) عملکرد را در هر مرحله از توسعه حرفه‌ای افزایش می‌دهد و بر اساس توانایی‌های رهبری که در مراحل اولیه شغل فرد ایجاد شده است، استوار می‌شود.</w:t>
      </w:r>
    </w:p>
    <w:p>
      <w:pPr>
        <w:spacing w:after="28" w:line="216" w:lineRule="auto"/>
        <w:ind w:left="259"/>
        <w:jc w:val="left"/>
      </w:pPr>
      <w:r>
        <w:rPr>
          <w:rFonts w:ascii="Arial" w:hAnsi="Arial"/>
          <w:color w:val="525252"/>
          <w:sz w:val="13"/>
        </w:rPr>
        <w:t>Professional Military Education (PME) enhances performance in each phase of professional development and builds upon the foundation of leadership abilities developed during the earlier stages of an individual’s career.</w:t>
      </w:r>
    </w:p>
    <w:p>
      <w:pPr>
        <w:spacing w:after="20" w:line="223" w:lineRule="auto"/>
        <w:jc w:val="right"/>
        <w:bidi/>
      </w:pPr>
      <w:r>
        <w:rPr>
          <w:rFonts w:ascii="Arial" w:hAnsi="Arial"/>
          <w:sz w:val="16"/>
        </w:rPr>
        <w:t>124.05  PME مکمل آموزش، تجربه و سایر برنامه‌های آموزشی است تا از طریق دوره‌های مترقی که بر توسعه رهبری، مهارت‌های هوایی، و حرفه‌ای بودن نظامی متمرکز است، به رهبران استخدام شده پیوسته یادگیری ارائه کند. دوره‌های PME</w:t>
      </w:r>
    </w:p>
    <w:p>
      <w:pPr>
        <w:spacing w:after="28" w:line="216" w:lineRule="auto"/>
        <w:ind w:left="259"/>
        <w:jc w:val="left"/>
      </w:pPr>
      <w:r>
        <w:rPr>
          <w:rFonts w:ascii="Arial" w:hAnsi="Arial"/>
          <w:color w:val="525252"/>
          <w:sz w:val="13"/>
        </w:rPr>
        <w:t>PME complements training, experience, and other educational programs to provide enlisted leaders a continuum of learning via progressive courses concentrated on developing leadership, Airmanship, and military professionalism.</w:t>
      </w:r>
    </w:p>
    <w:p>
      <w:pPr>
        <w:spacing w:after="20" w:line="223" w:lineRule="auto"/>
        <w:jc w:val="right"/>
        <w:bidi/>
      </w:pPr>
      <w:r>
        <w:rPr>
          <w:rFonts w:ascii="Arial" w:hAnsi="Arial"/>
          <w:sz w:val="16"/>
        </w:rPr>
        <w:t>124.06  آموزش حرفه‌ای را برای هوانوردان سرباز ارائه می‌دهد تا از توسعه شایستگی‌ها و شایستگی‌های فرعی سازمانی USAF برای دانش و مهارت‌های مورد نیاز برای تفکر انتقادی، تصمیم‌گیری صحیح و طرز فکر استراتژیک اطمینان حاصل شود.</w:t>
      </w:r>
    </w:p>
    <w:p>
      <w:pPr>
        <w:spacing w:after="28" w:line="216" w:lineRule="auto"/>
        <w:ind w:left="259"/>
        <w:jc w:val="left"/>
      </w:pPr>
      <w:r>
        <w:rPr>
          <w:rFonts w:ascii="Arial" w:hAnsi="Arial"/>
          <w:color w:val="525252"/>
          <w:sz w:val="13"/>
        </w:rPr>
        <w:t>PME courses provide professional education to enlisted Airmen to ensure development of USAF institutional competencies and subcompetencies vital to the knowledge and skills required for critical thinking, sound decision-making, and a strategic mindset.</w:t>
      </w:r>
    </w:p>
    <w:p>
      <w:pPr>
        <w:spacing w:after="20" w:line="223" w:lineRule="auto"/>
        <w:jc w:val="right"/>
        <w:bidi/>
      </w:pPr>
      <w:r>
        <w:rPr>
          <w:rFonts w:ascii="Arial" w:hAnsi="Arial"/>
          <w:sz w:val="16"/>
        </w:rPr>
        <w:t>124.07  برای اطلاعات بیشتر در مورد برنامه‌ها و سیاست‌های USAF PME، به DAFI ۳۶-۲۶۷۰ مراجعه کنید.</w:t>
      </w:r>
    </w:p>
    <w:p>
      <w:pPr>
        <w:spacing w:after="28" w:line="216" w:lineRule="auto"/>
        <w:ind w:left="259"/>
        <w:jc w:val="left"/>
      </w:pPr>
      <w:r>
        <w:rPr>
          <w:rFonts w:ascii="Arial" w:hAnsi="Arial"/>
          <w:color w:val="525252"/>
          <w:sz w:val="13"/>
        </w:rPr>
        <w:t>For additional information about USAF PME programs and policies, refer to DAFI 36-2670.</w:t>
      </w:r>
    </w:p>
    <w:p>
      <w:pPr>
        <w:spacing w:before="60" w:after="28"/>
        <w:jc w:val="right"/>
        <w:bidi/>
      </w:pPr>
      <w:r>
        <w:rPr>
          <w:b/>
          <w:color w:val="1F4D78"/>
          <w:sz w:val="18"/>
        </w:rPr>
        <w:t>7.21. آموزش نظامی حرفه ای ثبت نام شده</w:t>
      </w:r>
    </w:p>
    <w:p>
      <w:pPr>
        <w:spacing w:after="20"/>
        <w:ind w:left="259"/>
        <w:jc w:val="left"/>
      </w:pPr>
      <w:r>
        <w:rPr>
          <w:color w:val="555555"/>
          <w:sz w:val="12"/>
        </w:rPr>
        <w:t>7.21. Enlisted Professional Military Education</w:t>
      </w:r>
    </w:p>
    <w:p>
      <w:pPr>
        <w:spacing w:after="20" w:line="223" w:lineRule="auto"/>
        <w:jc w:val="right"/>
        <w:bidi/>
      </w:pPr>
      <w:r>
        <w:rPr>
          <w:rFonts w:ascii="Arial" w:hAnsi="Arial"/>
          <w:sz w:val="16"/>
        </w:rPr>
        <w:t>124.09  در سال ۱۹۵۵، مدارس PME ثبت‌نام شده در سرتاسر USAF تأسیس شد تا آموزش رهبری و مدیریت افسران غیر مأمور را که برای بر عهده گرفتن مسئولیت‌های اجرای مأموریت روزانه لازم است، ارائه دهند.</w:t>
      </w:r>
    </w:p>
    <w:p>
      <w:pPr>
        <w:spacing w:after="28" w:line="216" w:lineRule="auto"/>
        <w:ind w:left="259"/>
        <w:jc w:val="left"/>
      </w:pPr>
      <w:r>
        <w:rPr>
          <w:rFonts w:ascii="Arial" w:hAnsi="Arial"/>
          <w:color w:val="525252"/>
          <w:sz w:val="13"/>
        </w:rPr>
        <w:t>In 1955, enlisted PME schools were established across the USAF to provide non-commissioned officers leadership and management training required to assume day-to-day mission execution responsibilities.</w:t>
      </w:r>
    </w:p>
    <w:p>
      <w:pPr>
        <w:spacing w:after="20" w:line="223" w:lineRule="auto"/>
        <w:jc w:val="right"/>
        <w:bidi/>
      </w:pPr>
      <w:r>
        <w:rPr>
          <w:rFonts w:ascii="Arial" w:hAnsi="Arial"/>
          <w:sz w:val="16"/>
        </w:rPr>
        <w:t>124.10  برپایی این مدارس همزمان با انتشار اولین ساختار رسمی نیروی ثبت‌نام شده بود که نقش‌های رهبری و مسئولیت‌های هوانوردان را در هر کلاس تعیین کرد.</w:t>
      </w:r>
    </w:p>
    <w:p>
      <w:pPr>
        <w:spacing w:after="28" w:line="216" w:lineRule="auto"/>
        <w:ind w:left="259"/>
        <w:jc w:val="left"/>
      </w:pPr>
      <w:r>
        <w:rPr>
          <w:rFonts w:ascii="Arial" w:hAnsi="Arial"/>
          <w:color w:val="525252"/>
          <w:sz w:val="13"/>
        </w:rPr>
        <w:t>The stand-up of these schools coincided with the release of the first official enlisted force structure which established the leadership roles and responsibilities of enlisted Airmen at each grade.</w:t>
      </w:r>
    </w:p>
    <w:p>
      <w:pPr>
        <w:spacing w:after="20" w:line="223" w:lineRule="auto"/>
        <w:jc w:val="right"/>
        <w:bidi/>
      </w:pPr>
      <w:r>
        <w:rPr>
          <w:rFonts w:ascii="Arial" w:hAnsi="Arial"/>
          <w:sz w:val="16"/>
        </w:rPr>
        <w:t>124.11  کنترل عملیاتی مدارس PME ثبت‌نام شده در ایالت به فرماندهی آموزش و آموزش هوایی در مرکز آموزش سربازی توماس ان. بارنز، واقع در پایگاه نیروی هوایی ماکسول- انکس گانتر، آلاباما است.</w:t>
      </w:r>
    </w:p>
    <w:p>
      <w:pPr>
        <w:spacing w:after="28" w:line="216" w:lineRule="auto"/>
        <w:ind w:left="259"/>
        <w:jc w:val="left"/>
      </w:pPr>
      <w:r>
        <w:rPr>
          <w:rFonts w:ascii="Arial" w:hAnsi="Arial"/>
          <w:color w:val="525252"/>
          <w:sz w:val="13"/>
        </w:rPr>
        <w:t>Operational control of stateside enlisted PME schools lies with Air Education and Training Command at the Thomas N. Barnes Center for Enlisted Education, located at Maxwell Air Force Base-Gunter Annex, Alabama.</w:t>
      </w:r>
    </w:p>
    <w:p>
      <w:pPr>
        <w:spacing w:after="20" w:line="223" w:lineRule="auto"/>
        <w:jc w:val="right"/>
        <w:bidi/>
      </w:pPr>
      <w:r>
        <w:rPr>
          <w:rFonts w:ascii="Arial" w:hAnsi="Arial"/>
          <w:sz w:val="16"/>
        </w:rPr>
        <w:t>124.12  مرکز بارنز، امور آکادمیک مسئول توسعه و ارائه توسعه برنامه PME، توسعه دانشکده و مدیریت برنامه عملیاتی است.</w:t>
      </w:r>
    </w:p>
    <w:p>
      <w:pPr>
        <w:spacing w:after="28" w:line="216" w:lineRule="auto"/>
        <w:ind w:left="259"/>
        <w:jc w:val="left"/>
      </w:pPr>
      <w:r>
        <w:rPr>
          <w:rFonts w:ascii="Arial" w:hAnsi="Arial"/>
          <w:color w:val="525252"/>
          <w:sz w:val="13"/>
        </w:rPr>
        <w:t>The Barnes Center, Academic Affairs is responsible for developing and providing enlisted PME program development, faculty development, and operational program management.</w:t>
      </w:r>
    </w:p>
    <w:p>
      <w:pPr>
        <w:spacing w:after="20" w:line="223" w:lineRule="auto"/>
        <w:jc w:val="right"/>
        <w:bidi/>
      </w:pPr>
      <w:r>
        <w:rPr>
          <w:rFonts w:ascii="Arial" w:hAnsi="Arial"/>
          <w:sz w:val="16"/>
        </w:rPr>
        <w:t>124.13  برنامه‌های مرکز بارنز شامل دوره‌های آکادمیک است که از ارزیابی عملکرد و آزمون‌های عینی برای تعیین میزان موفقیت دانش‌آموزان به اهداف آموزشی استفاده می‌کند.</w:t>
      </w:r>
    </w:p>
    <w:p>
      <w:pPr>
        <w:spacing w:after="28" w:line="216" w:lineRule="auto"/>
        <w:ind w:left="259"/>
        <w:jc w:val="left"/>
      </w:pPr>
      <w:r>
        <w:rPr>
          <w:rFonts w:ascii="Arial" w:hAnsi="Arial"/>
          <w:color w:val="525252"/>
          <w:sz w:val="13"/>
        </w:rPr>
        <w:t>Barnes Center programs consist of academic courses that use performance evaluations and objective examinations to determine how well students achieve instructional objectives.</w:t>
      </w:r>
    </w:p>
    <w:p>
      <w:pPr>
        <w:spacing w:after="20" w:line="223" w:lineRule="auto"/>
        <w:jc w:val="right"/>
        <w:bidi/>
      </w:pPr>
      <w:r>
        <w:rPr>
          <w:rFonts w:ascii="Arial" w:hAnsi="Arial"/>
          <w:sz w:val="16"/>
        </w:rPr>
        <w:t>124.14  دوره‌ها با روش‌های آموزشی اصولی، فعالیت‌های تجربی، آزمایشگاه‌های رهبری مشکل‌محور، تأمل شخصی، بحث هدایت‌شده، تحلیل مطالعه موردی و تکالیف نوشتاری طراحی شده‌اند.</w:t>
      </w:r>
    </w:p>
    <w:p>
      <w:pPr>
        <w:spacing w:after="28" w:line="216" w:lineRule="auto"/>
        <w:ind w:left="259"/>
        <w:jc w:val="left"/>
      </w:pPr>
      <w:r>
        <w:rPr>
          <w:rFonts w:ascii="Arial" w:hAnsi="Arial"/>
          <w:color w:val="525252"/>
          <w:sz w:val="13"/>
        </w:rPr>
        <w:t>Courses are designed with principle instructional methods, experiential activities, problem-centered leadership laboratories, personal reflection, guided discussion, case study analysis, and writing assignments.</w:t>
      </w:r>
    </w:p>
    <w:p>
      <w:pPr>
        <w:spacing w:after="20" w:line="223" w:lineRule="auto"/>
        <w:jc w:val="right"/>
        <w:bidi/>
      </w:pPr>
      <w:r>
        <w:rPr>
          <w:rFonts w:ascii="Arial" w:hAnsi="Arial"/>
          <w:sz w:val="16"/>
        </w:rPr>
        <w:t>124.15  توجه: به استثنای دوره رهبری ارشد، به هوانوردان اعتبار علمی دانشگاهی برای تکمیل دوره‌های PME ثبت‌نام شده از طریق کالج جامعه نیروی هوایی، که از طریق دانشگاه هوایی توسط انجمن جنوبی کالج‌ها و کمیسیون مدارس در کالج‌ها تأیید شده است، اعطا می‌شود.</w:t>
      </w:r>
    </w:p>
    <w:p>
      <w:pPr>
        <w:spacing w:after="28" w:line="216" w:lineRule="auto"/>
        <w:ind w:left="259"/>
        <w:jc w:val="left"/>
      </w:pPr>
      <w:r>
        <w:rPr>
          <w:rFonts w:ascii="Arial" w:hAnsi="Arial"/>
          <w:color w:val="525252"/>
          <w:sz w:val="13"/>
        </w:rPr>
        <w:t>Note: With the exception of the Chief Leadership Course, Airmen are awarded collegiate academic credit for completing enlisted PME courses through the Community College of the Air Force, which is accredited through Air University by the Southern Association of Colleges and Schools Commission on Colleges.</w:t>
      </w:r>
    </w:p>
    <w:p>
      <w:pPr>
        <w:spacing w:after="20" w:line="223" w:lineRule="auto"/>
        <w:jc w:val="right"/>
        <w:bidi/>
      </w:pPr>
      <w:r>
        <w:rPr>
          <w:rFonts w:ascii="Arial" w:hAnsi="Arial"/>
          <w:sz w:val="16"/>
        </w:rPr>
        <w:t>124.16  آموزش از راه دور مدرسه رهبری ایرمن.</w:t>
      </w:r>
    </w:p>
    <w:p>
      <w:pPr>
        <w:spacing w:after="28" w:line="216" w:lineRule="auto"/>
        <w:ind w:left="259"/>
        <w:jc w:val="left"/>
      </w:pPr>
      <w:r>
        <w:rPr>
          <w:rFonts w:ascii="Arial" w:hAnsi="Arial"/>
          <w:color w:val="525252"/>
          <w:sz w:val="13"/>
        </w:rPr>
        <w:t>Airman Leadership School Distance Learning.</w:t>
      </w:r>
    </w:p>
    <w:p>
      <w:pPr>
        <w:spacing w:after="20" w:line="223" w:lineRule="auto"/>
        <w:jc w:val="right"/>
        <w:bidi/>
      </w:pPr>
      <w:r>
        <w:rPr>
          <w:rFonts w:ascii="Arial" w:hAnsi="Arial"/>
          <w:sz w:val="16"/>
        </w:rPr>
        <w:t>124.17  دوره آموزش از راه دور مدرسه رهبری عضو نیروی هوایی لادرشیپ سچول (ALS-DL) PME را برای آماده‌سازی هوانوردان ارشد برای نظارت و تقویت تعهد به حرفه نظامی فراهم می‌کند.</w:t>
      </w:r>
    </w:p>
    <w:p>
      <w:pPr>
        <w:spacing w:after="28" w:line="216" w:lineRule="auto"/>
        <w:ind w:left="259"/>
        <w:jc w:val="left"/>
      </w:pPr>
      <w:r>
        <w:rPr>
          <w:rFonts w:ascii="Arial" w:hAnsi="Arial"/>
          <w:color w:val="525252"/>
          <w:sz w:val="13"/>
        </w:rPr>
        <w:t>The Airman Leadership School Distance Learning (ALS-DL) Course provides PME to prepare Senior Airmen to supervise and foster a commitment to the military profession.</w:t>
      </w:r>
    </w:p>
    <w:p>
      <w:pPr>
        <w:spacing w:after="20" w:line="223" w:lineRule="auto"/>
        <w:jc w:val="right"/>
        <w:bidi/>
      </w:pPr>
      <w:r>
        <w:rPr>
          <w:rFonts w:ascii="Arial" w:hAnsi="Arial"/>
          <w:sz w:val="16"/>
        </w:rPr>
        <w:t>124.18  برنامه درسی ALS-DL برای ایجاد یک طرز فکر و مهارت‌های مرتبط با توجه به چهار ویژگی اصلی طراحی شده است: (۱) هوانورد حرفه‌ای، (۲) هواپیمای اعزامی، (۳) سرپرست هوانوردان، و (۴) ارتباط نظارتی.</w:t>
      </w:r>
    </w:p>
    <w:p>
      <w:pPr>
        <w:spacing w:after="28" w:line="216" w:lineRule="auto"/>
        <w:ind w:left="259"/>
        <w:jc w:val="left"/>
      </w:pPr>
      <w:r>
        <w:rPr>
          <w:rFonts w:ascii="Arial" w:hAnsi="Arial"/>
          <w:color w:val="525252"/>
          <w:sz w:val="13"/>
        </w:rPr>
        <w:t>The ALS-DL curriculum is designed to develop a mindset and associated skills with respect to four core attributes: (1) professional Airmen, (2) expeditionary Airmen, (3) supervisor of Airmen, and (4) supervisory communicator.</w:t>
      </w:r>
    </w:p>
    <w:p>
      <w:pPr>
        <w:spacing w:after="20" w:line="223" w:lineRule="auto"/>
        <w:jc w:val="right"/>
        <w:bidi/>
      </w:pPr>
      <w:r>
        <w:rPr>
          <w:rFonts w:ascii="Arial" w:hAnsi="Arial"/>
          <w:sz w:val="16"/>
        </w:rPr>
        <w:t>124.19  دوره ALS-DL برای هوانوردان ارشد و گروهبانان گارد ملی هوایی و رزرو USAF آزاد است.</w:t>
      </w:r>
    </w:p>
    <w:p>
      <w:pPr>
        <w:spacing w:after="28" w:line="216" w:lineRule="auto"/>
        <w:ind w:left="259"/>
        <w:jc w:val="left"/>
      </w:pPr>
      <w:r>
        <w:rPr>
          <w:rFonts w:ascii="Arial" w:hAnsi="Arial"/>
          <w:color w:val="525252"/>
          <w:sz w:val="13"/>
        </w:rPr>
        <w:t>The ALS-DL course is open to Air National Guard and USAF Reserve Senior Airmen and Staff Sergeants.</w:t>
      </w:r>
    </w:p>
    <w:p>
      <w:pPr>
        <w:spacing w:after="20" w:line="223" w:lineRule="auto"/>
        <w:jc w:val="right"/>
        <w:bidi/>
      </w:pPr>
      <w:r>
        <w:rPr>
          <w:rFonts w:ascii="Arial" w:hAnsi="Arial"/>
          <w:sz w:val="16"/>
        </w:rPr>
        <w:t>124.20  دوره برای پرسنل رگاف در دسترس نیست.</w:t>
      </w:r>
    </w:p>
    <w:p>
      <w:pPr>
        <w:spacing w:after="28" w:line="216" w:lineRule="auto"/>
        <w:ind w:left="259"/>
        <w:jc w:val="left"/>
      </w:pPr>
      <w:r>
        <w:rPr>
          <w:rFonts w:ascii="Arial" w:hAnsi="Arial"/>
          <w:color w:val="525252"/>
          <w:sz w:val="13"/>
        </w:rPr>
        <w:t>The course is not available for RegAF personnel.</w:t>
      </w:r>
    </w:p>
    <w:p>
      <w:pPr>
        <w:spacing w:after="20" w:line="223" w:lineRule="auto"/>
        <w:jc w:val="right"/>
        <w:bidi/>
      </w:pPr>
      <w:r>
        <w:rPr>
          <w:rFonts w:ascii="Arial" w:hAnsi="Arial"/>
          <w:sz w:val="16"/>
        </w:rPr>
        <w:t>124.21  دانش‌آموزان باید با کسب حداقل نمره قبولی در هر امتحان دو امتحان دوره را بگذرانند.</w:t>
      </w:r>
    </w:p>
    <w:p>
      <w:pPr>
        <w:spacing w:after="28" w:line="216" w:lineRule="auto"/>
        <w:ind w:left="259"/>
        <w:jc w:val="left"/>
      </w:pPr>
      <w:r>
        <w:rPr>
          <w:rFonts w:ascii="Arial" w:hAnsi="Arial"/>
          <w:color w:val="525252"/>
          <w:sz w:val="13"/>
        </w:rPr>
        <w:t>Students must pass two course exams by attaining the minimum passing score on each exam.</w:t>
      </w:r>
    </w:p>
    <w:p>
      <w:pPr>
        <w:spacing w:after="20" w:line="223" w:lineRule="auto"/>
        <w:jc w:val="right"/>
        <w:bidi/>
      </w:pPr>
      <w:r>
        <w:rPr>
          <w:rFonts w:ascii="Arial" w:hAnsi="Arial"/>
          <w:sz w:val="16"/>
        </w:rPr>
        <w:t>124.22  آموزش ترکیبی مدرسه رهبری عضو نیروی هوایی.</w:t>
      </w:r>
    </w:p>
    <w:p>
      <w:pPr>
        <w:spacing w:after="28" w:line="216" w:lineRule="auto"/>
        <w:ind w:left="259"/>
        <w:jc w:val="left"/>
      </w:pPr>
      <w:r>
        <w:rPr>
          <w:rFonts w:ascii="Arial" w:hAnsi="Arial"/>
          <w:color w:val="525252"/>
          <w:sz w:val="13"/>
        </w:rPr>
        <w:t>Airman Leadership School Blended Learning.</w:t>
      </w:r>
    </w:p>
    <w:p>
      <w:pPr>
        <w:spacing w:after="20" w:line="223" w:lineRule="auto"/>
        <w:jc w:val="right"/>
        <w:bidi/>
      </w:pPr>
      <w:r>
        <w:rPr>
          <w:rFonts w:ascii="Arial" w:hAnsi="Arial"/>
          <w:sz w:val="16"/>
        </w:rPr>
        <w:t>124.23  در اکتبر ۲۰۱۶، مدرسه رهبری عضو نیروی هوایی دوره آموزشی ترکیبی (ALS-BLC) را راه‌اندازی کرد که اصول یادگیری از راه دور را با یادگیری کلاسی سنتی ترکیب می‌کند.</w:t>
      </w:r>
    </w:p>
    <w:p>
      <w:pPr>
        <w:spacing w:after="28" w:line="216" w:lineRule="auto"/>
        <w:ind w:left="259"/>
        <w:jc w:val="left"/>
      </w:pPr>
      <w:r>
        <w:rPr>
          <w:rFonts w:ascii="Arial" w:hAnsi="Arial"/>
          <w:color w:val="525252"/>
          <w:sz w:val="13"/>
        </w:rPr>
        <w:t>In October 2016, the Airman Leadership School launched the Blended Learning Course (ALS-BLC), which combines distance learning principles with traditional classroom learning.</w:t>
      </w:r>
    </w:p>
    <w:p>
      <w:pPr>
        <w:spacing w:after="20" w:line="223" w:lineRule="auto"/>
        <w:jc w:val="right"/>
        <w:bidi/>
      </w:pPr>
      <w:r>
        <w:rPr>
          <w:rFonts w:ascii="Arial" w:hAnsi="Arial"/>
          <w:sz w:val="16"/>
        </w:rPr>
        <w:t>124.24  ALS-BLC به دو فاز تقسیم می‌شود.</w:t>
      </w:r>
    </w:p>
    <w:p>
      <w:pPr>
        <w:spacing w:after="28" w:line="216" w:lineRule="auto"/>
        <w:ind w:left="259"/>
        <w:jc w:val="left"/>
      </w:pPr>
      <w:r>
        <w:rPr>
          <w:rFonts w:ascii="Arial" w:hAnsi="Arial"/>
          <w:color w:val="525252"/>
          <w:sz w:val="13"/>
        </w:rPr>
        <w:t>ALS-BLC is divided into two phases.</w:t>
      </w:r>
    </w:p>
    <w:p>
      <w:pPr>
        <w:spacing w:after="20" w:line="223" w:lineRule="auto"/>
        <w:jc w:val="right"/>
        <w:bidi/>
      </w:pPr>
      <w:r>
        <w:rPr>
          <w:rFonts w:ascii="Arial" w:hAnsi="Arial"/>
          <w:sz w:val="16"/>
        </w:rPr>
        <w:t>124.25  فاز اول هشت هفته است و با استفاده از سیستم مدیریت یادگیری آنلاین تحویل داده می‌شود.</w:t>
      </w:r>
    </w:p>
    <w:p>
      <w:pPr>
        <w:spacing w:after="28" w:line="216" w:lineRule="auto"/>
        <w:ind w:left="259"/>
        <w:jc w:val="left"/>
      </w:pPr>
      <w:r>
        <w:rPr>
          <w:rFonts w:ascii="Arial" w:hAnsi="Arial"/>
          <w:color w:val="525252"/>
          <w:sz w:val="13"/>
        </w:rPr>
        <w:t>Phase I is eight weeks long and delivered by utilizing an online learning management system.</w:t>
      </w:r>
    </w:p>
    <w:p>
      <w:pPr>
        <w:spacing w:after="20" w:line="223" w:lineRule="auto"/>
        <w:jc w:val="right"/>
        <w:bidi/>
      </w:pPr>
      <w:r>
        <w:rPr>
          <w:rFonts w:ascii="Arial" w:hAnsi="Arial"/>
          <w:sz w:val="16"/>
        </w:rPr>
        <w:t>124.26  دانش‌آموزان هسته کامل</w:t>
      </w:r>
    </w:p>
    <w:p>
      <w:pPr>
        <w:spacing w:after="28" w:line="216" w:lineRule="auto"/>
        <w:ind w:left="259"/>
        <w:jc w:val="left"/>
      </w:pPr>
      <w:r>
        <w:rPr>
          <w:rFonts w:ascii="Arial" w:hAnsi="Arial"/>
          <w:color w:val="525252"/>
          <w:sz w:val="13"/>
        </w:rPr>
        <w:t>Students complete core</w:t>
      </w:r>
    </w:p>
    <w:p>
      <w:r>
        <w:br w:type="page"/>
      </w:r>
    </w:p>
    <w:p>
      <w:pPr>
        <w:spacing w:after="60"/>
        <w:jc w:val="right"/>
        <w:bidi/>
      </w:pPr>
      <w:r>
        <w:rPr>
          <w:rFonts w:ascii="Arial" w:hAnsi="Arial"/>
          <w:b/>
          <w:color w:val="1F4D78"/>
          <w:sz w:val="19"/>
        </w:rPr>
        <w:t>هفتهٔ 125  |  صفحهٔ منبع: 141</w:t>
      </w:r>
    </w:p>
    <w:p>
      <w:pPr>
        <w:spacing w:after="20" w:line="223" w:lineRule="auto"/>
        <w:jc w:val="right"/>
        <w:bidi/>
      </w:pPr>
      <w:r>
        <w:rPr>
          <w:rFonts w:ascii="Arial" w:hAnsi="Arial"/>
          <w:sz w:val="16"/>
        </w:rPr>
        <w:t>125.01  کار آکادمیک در یک محیط ناهمزمان.</w:t>
      </w:r>
    </w:p>
    <w:p>
      <w:pPr>
        <w:spacing w:after="28" w:line="216" w:lineRule="auto"/>
        <w:ind w:left="259"/>
        <w:jc w:val="left"/>
      </w:pPr>
      <w:r>
        <w:rPr>
          <w:rFonts w:ascii="Arial" w:hAnsi="Arial"/>
          <w:color w:val="525252"/>
          <w:sz w:val="13"/>
        </w:rPr>
        <w:t>academic work in an asynchronous environment.</w:t>
      </w:r>
    </w:p>
    <w:p>
      <w:pPr>
        <w:spacing w:after="20" w:line="223" w:lineRule="auto"/>
        <w:jc w:val="right"/>
        <w:bidi/>
      </w:pPr>
      <w:r>
        <w:rPr>
          <w:rFonts w:ascii="Arial" w:hAnsi="Arial"/>
          <w:sz w:val="16"/>
        </w:rPr>
        <w:t>125.02  فاز دوم دو هفته است و در مرکز PME پل اچ. لنکفورد واقع در پایگاه گارد ملی هوایی مک گی تایسون، تنسی انجام می‌شود.</w:t>
      </w:r>
    </w:p>
    <w:p>
      <w:pPr>
        <w:spacing w:after="28" w:line="216" w:lineRule="auto"/>
        <w:ind w:left="259"/>
        <w:jc w:val="left"/>
      </w:pPr>
      <w:r>
        <w:rPr>
          <w:rFonts w:ascii="Arial" w:hAnsi="Arial"/>
          <w:color w:val="525252"/>
          <w:sz w:val="13"/>
        </w:rPr>
        <w:t>Phase II is two weeks long and conducted at the Paul H. Lankford PME Center located on McGhee Tyson Air National Guard Base, Tennessee.</w:t>
      </w:r>
    </w:p>
    <w:p>
      <w:pPr>
        <w:spacing w:after="20" w:line="223" w:lineRule="auto"/>
        <w:jc w:val="right"/>
        <w:bidi/>
      </w:pPr>
      <w:r>
        <w:rPr>
          <w:rFonts w:ascii="Arial" w:hAnsi="Arial"/>
          <w:sz w:val="16"/>
        </w:rPr>
        <w:t>125.03  برنامه درسی ALS-BLC برای توسعه یک طرز فکر و مهارت‌های مرتبط با توجه به چهار ویژگی اصلی طراحی شده است: (۱) هوانورد حرفه‌ای، (۲) هواپیمای اعزامی، (۳) سرپرست هوانوردان، و (۴) ارتباط نظارتی.</w:t>
      </w:r>
    </w:p>
    <w:p>
      <w:pPr>
        <w:spacing w:after="28" w:line="216" w:lineRule="auto"/>
        <w:ind w:left="259"/>
        <w:jc w:val="left"/>
      </w:pPr>
      <w:r>
        <w:rPr>
          <w:rFonts w:ascii="Arial" w:hAnsi="Arial"/>
          <w:color w:val="525252"/>
          <w:sz w:val="13"/>
        </w:rPr>
        <w:t>The ALS-BLC curriculum is designed to develop a mindset and associated skills with respect to four core attributes: (1) professional Airmen, (2) expeditionary Airmen, (3) supervisor of Airmen, and (4) supervisory communicator.</w:t>
      </w:r>
    </w:p>
    <w:p>
      <w:pPr>
        <w:spacing w:after="20" w:line="223" w:lineRule="auto"/>
        <w:jc w:val="right"/>
        <w:bidi/>
      </w:pPr>
      <w:r>
        <w:rPr>
          <w:rFonts w:ascii="Arial" w:hAnsi="Arial"/>
          <w:sz w:val="16"/>
        </w:rPr>
        <w:t>125.04  مدرسه رهبری هوانوردی.</w:t>
      </w:r>
    </w:p>
    <w:p>
      <w:pPr>
        <w:spacing w:after="28" w:line="216" w:lineRule="auto"/>
        <w:ind w:left="259"/>
        <w:jc w:val="left"/>
      </w:pPr>
      <w:r>
        <w:rPr>
          <w:rFonts w:ascii="Arial" w:hAnsi="Arial"/>
          <w:color w:val="525252"/>
          <w:sz w:val="13"/>
        </w:rPr>
        <w:t>Airman Leadership School.</w:t>
      </w:r>
    </w:p>
    <w:p>
      <w:pPr>
        <w:spacing w:after="20" w:line="223" w:lineRule="auto"/>
        <w:jc w:val="right"/>
        <w:bidi/>
      </w:pPr>
      <w:r>
        <w:rPr>
          <w:rFonts w:ascii="Arial" w:hAnsi="Arial"/>
          <w:sz w:val="16"/>
        </w:rPr>
        <w:t>125.05  مدرسه رهبری هوانوردی (ALS) اولین سطح از PME ثبت‌نام شده است که هوانوردان با پیشرفت در حرفه خود در USAF تکمیل می‌کنند.</w:t>
      </w:r>
    </w:p>
    <w:p>
      <w:pPr>
        <w:spacing w:after="28" w:line="216" w:lineRule="auto"/>
        <w:ind w:left="259"/>
        <w:jc w:val="left"/>
      </w:pPr>
      <w:r>
        <w:rPr>
          <w:rFonts w:ascii="Arial" w:hAnsi="Arial"/>
          <w:color w:val="525252"/>
          <w:sz w:val="13"/>
        </w:rPr>
        <w:t>Airman Leadership School (ALS) is the first level of enlisted PME that Airmen complete as they progress through their USAF careers.</w:t>
      </w:r>
    </w:p>
    <w:p>
      <w:pPr>
        <w:spacing w:after="20" w:line="223" w:lineRule="auto"/>
        <w:jc w:val="right"/>
        <w:bidi/>
      </w:pPr>
      <w:r>
        <w:rPr>
          <w:rFonts w:ascii="Arial" w:hAnsi="Arial"/>
          <w:sz w:val="16"/>
        </w:rPr>
        <w:t>125.06  ALS تقریبا در هر تاسیساتی در سرتاسر USAF ارائه می‌شود و برای آماده‌سازی هوانوردان ارشد برای هوانوردان جنگی حرفه‌ای طراحی شده است که قادر به نظارت و رهبری تیم‌های USAF برای حمایت از استفاده از نیروی هوایی و فضای سایبری هستند.</w:t>
      </w:r>
    </w:p>
    <w:p>
      <w:pPr>
        <w:spacing w:after="28" w:line="216" w:lineRule="auto"/>
        <w:ind w:left="259"/>
        <w:jc w:val="left"/>
      </w:pPr>
      <w:r>
        <w:rPr>
          <w:rFonts w:ascii="Arial" w:hAnsi="Arial"/>
          <w:color w:val="525252"/>
          <w:sz w:val="13"/>
        </w:rPr>
        <w:t>ALS is offered at almost every installation across the USAF and is designed to prepare Senior Airmen to be professional warfighting Airmen, able to supervise and lead USAF teams to support the employment of air and cyberspace power.</w:t>
      </w:r>
    </w:p>
    <w:p>
      <w:pPr>
        <w:spacing w:after="20" w:line="223" w:lineRule="auto"/>
        <w:jc w:val="right"/>
        <w:bidi/>
      </w:pPr>
      <w:r>
        <w:rPr>
          <w:rFonts w:ascii="Arial" w:hAnsi="Arial"/>
          <w:sz w:val="16"/>
        </w:rPr>
        <w:t>125.07  اولین سطح ALS دوره آموزش از راه دور (ALS-DL) است.</w:t>
      </w:r>
    </w:p>
    <w:p>
      <w:pPr>
        <w:spacing w:after="28" w:line="216" w:lineRule="auto"/>
        <w:ind w:left="259"/>
        <w:jc w:val="left"/>
      </w:pPr>
      <w:r>
        <w:rPr>
          <w:rFonts w:ascii="Arial" w:hAnsi="Arial"/>
          <w:color w:val="525252"/>
          <w:sz w:val="13"/>
        </w:rPr>
        <w:t>The first level of ALS is the distance learning course (ALS-DL).</w:t>
      </w:r>
    </w:p>
    <w:p>
      <w:pPr>
        <w:spacing w:after="20" w:line="223" w:lineRule="auto"/>
        <w:jc w:val="right"/>
        <w:bidi/>
      </w:pPr>
      <w:r>
        <w:rPr>
          <w:rFonts w:ascii="Arial" w:hAnsi="Arial"/>
          <w:sz w:val="16"/>
        </w:rPr>
        <w:t>125.08  ALS-DL شامل: (۱) هوانوردان حرفه‌ای، (۲) هوانوردان اعزامی، (۳) سرپرست هوانوردان، و (۴) ارتباط دهنده نظارتی است.</w:t>
      </w:r>
    </w:p>
    <w:p>
      <w:pPr>
        <w:spacing w:after="28" w:line="216" w:lineRule="auto"/>
        <w:ind w:left="259"/>
        <w:jc w:val="left"/>
      </w:pPr>
      <w:r>
        <w:rPr>
          <w:rFonts w:ascii="Arial" w:hAnsi="Arial"/>
          <w:color w:val="525252"/>
          <w:sz w:val="13"/>
        </w:rPr>
        <w:t>ALS-DL includes: (1) professional Airmen, (2) expeditionary Airmen, (3) supervisor of Airmen, and (4) supervisory communicator.</w:t>
      </w:r>
    </w:p>
    <w:p>
      <w:pPr>
        <w:spacing w:after="20" w:line="223" w:lineRule="auto"/>
        <w:jc w:val="right"/>
        <w:bidi/>
      </w:pPr>
      <w:r>
        <w:rPr>
          <w:rFonts w:ascii="Arial" w:hAnsi="Arial"/>
          <w:sz w:val="16"/>
        </w:rPr>
        <w:t>125.09  برنامه درسی ALS شامل: (۱) مأموریت، (۲) رهبری، (۳) حل مسئله، و (۴) فرهنگ USAF است.</w:t>
      </w:r>
    </w:p>
    <w:p>
      <w:pPr>
        <w:spacing w:after="28" w:line="216" w:lineRule="auto"/>
        <w:ind w:left="259"/>
        <w:jc w:val="left"/>
      </w:pPr>
      <w:r>
        <w:rPr>
          <w:rFonts w:ascii="Arial" w:hAnsi="Arial"/>
          <w:color w:val="525252"/>
          <w:sz w:val="13"/>
        </w:rPr>
        <w:t>The ALS curriculum includes: (1) mission, (2) leadership, (3) problem solving, and (4) USAF culture.</w:t>
      </w:r>
    </w:p>
    <w:p>
      <w:pPr>
        <w:spacing w:after="20" w:line="223" w:lineRule="auto"/>
        <w:jc w:val="right"/>
        <w:bidi/>
      </w:pPr>
      <w:r>
        <w:rPr>
          <w:rFonts w:ascii="Arial" w:hAnsi="Arial"/>
          <w:sz w:val="16"/>
        </w:rPr>
        <w:t>125.10  آموزش از راه دور افسر غیر مأمور.</w:t>
      </w:r>
    </w:p>
    <w:p>
      <w:pPr>
        <w:spacing w:after="28" w:line="216" w:lineRule="auto"/>
        <w:ind w:left="259"/>
        <w:jc w:val="left"/>
      </w:pPr>
      <w:r>
        <w:rPr>
          <w:rFonts w:ascii="Arial" w:hAnsi="Arial"/>
          <w:color w:val="525252"/>
          <w:sz w:val="13"/>
        </w:rPr>
        <w:t>Noncommissioned Officer Distance Learning.</w:t>
      </w:r>
    </w:p>
    <w:p>
      <w:pPr>
        <w:spacing w:after="20" w:line="223" w:lineRule="auto"/>
        <w:jc w:val="right"/>
        <w:bidi/>
      </w:pPr>
      <w:r>
        <w:rPr>
          <w:rFonts w:ascii="Arial" w:hAnsi="Arial"/>
          <w:sz w:val="16"/>
        </w:rPr>
        <w:t>125.11  دوره آموزش از راه دور افسران غیرمجاز (NCO-DL) برای هوانوردان ایر رسرو کومپوننت باز است.</w:t>
      </w:r>
    </w:p>
    <w:p>
      <w:pPr>
        <w:spacing w:after="28" w:line="216" w:lineRule="auto"/>
        <w:ind w:left="259"/>
        <w:jc w:val="left"/>
      </w:pPr>
      <w:r>
        <w:rPr>
          <w:rFonts w:ascii="Arial" w:hAnsi="Arial"/>
          <w:color w:val="525252"/>
          <w:sz w:val="13"/>
        </w:rPr>
        <w:t>The Noncommissioned Officer Distance Learning (NCO-DL) course is open to Air Reserve Component Airmen.</w:t>
      </w:r>
    </w:p>
    <w:p>
      <w:pPr>
        <w:spacing w:after="20" w:line="223" w:lineRule="auto"/>
        <w:jc w:val="right"/>
        <w:bidi/>
      </w:pPr>
      <w:r>
        <w:rPr>
          <w:rFonts w:ascii="Arial" w:hAnsi="Arial"/>
          <w:sz w:val="16"/>
        </w:rPr>
        <w:t>125.12  دوره NCO-DL PME را برای توسعه صلاحیت‌های سازمانی اولیه NCO ارائه می‌دهد که لازم است رهبران سربازگیری را آماده کنند تا هوانوردان و نگهبانان حرفه‌ای جنگجو باشند که می‌توانند واحدهای USAF را در استفاده از نیروی هوایی و فضایی رهبری و مدیریت کنند.</w:t>
      </w:r>
    </w:p>
    <w:p>
      <w:pPr>
        <w:spacing w:after="28" w:line="216" w:lineRule="auto"/>
        <w:ind w:left="259"/>
        <w:jc w:val="left"/>
      </w:pPr>
      <w:r>
        <w:rPr>
          <w:rFonts w:ascii="Arial" w:hAnsi="Arial"/>
          <w:color w:val="525252"/>
          <w:sz w:val="13"/>
        </w:rPr>
        <w:t>The NCO-DL Course provides PME for basic NCO institutional competency development required to prepare enlisted leaders to be professional, warfighting Airmen and Guardians who can lead and manage USAF units in the employment of air and space power.</w:t>
      </w:r>
    </w:p>
    <w:p>
      <w:pPr>
        <w:spacing w:after="20" w:line="223" w:lineRule="auto"/>
        <w:jc w:val="right"/>
        <w:bidi/>
      </w:pPr>
      <w:r>
        <w:rPr>
          <w:rFonts w:ascii="Arial" w:hAnsi="Arial"/>
          <w:sz w:val="16"/>
        </w:rPr>
        <w:t>125.13  دوره NCO-DL از سه ماژول دوره تشکیل شده است: (۱) پایه دوره، (۲) رهبری و مدیریت، و (۳) عضو نیروی هوایی عملیاتی.</w:t>
      </w:r>
    </w:p>
    <w:p>
      <w:pPr>
        <w:spacing w:after="28" w:line="216" w:lineRule="auto"/>
        <w:ind w:left="259"/>
        <w:jc w:val="left"/>
      </w:pPr>
      <w:r>
        <w:rPr>
          <w:rFonts w:ascii="Arial" w:hAnsi="Arial"/>
          <w:color w:val="525252"/>
          <w:sz w:val="13"/>
        </w:rPr>
        <w:t>The NCO-DL course consists of three course modules: (1) course foundation, (2) leadership and management, and (3) operational Airman.</w:t>
      </w:r>
    </w:p>
    <w:p>
      <w:pPr>
        <w:spacing w:after="20" w:line="223" w:lineRule="auto"/>
        <w:jc w:val="right"/>
        <w:bidi/>
      </w:pPr>
      <w:r>
        <w:rPr>
          <w:rFonts w:ascii="Arial" w:hAnsi="Arial"/>
          <w:sz w:val="16"/>
        </w:rPr>
        <w:t>125.14  دوره NCO-DL برای هوانوردان ایر رسرو کومپوننت باز است.</w:t>
      </w:r>
    </w:p>
    <w:p>
      <w:pPr>
        <w:spacing w:after="28" w:line="216" w:lineRule="auto"/>
        <w:ind w:left="259"/>
        <w:jc w:val="left"/>
      </w:pPr>
      <w:r>
        <w:rPr>
          <w:rFonts w:ascii="Arial" w:hAnsi="Arial"/>
          <w:color w:val="525252"/>
          <w:sz w:val="13"/>
        </w:rPr>
        <w:t>The NCO-DL course is open to Air Reserve Component Airmen.</w:t>
      </w:r>
    </w:p>
    <w:p>
      <w:pPr>
        <w:spacing w:after="20" w:line="223" w:lineRule="auto"/>
        <w:jc w:val="right"/>
        <w:bidi/>
      </w:pPr>
      <w:r>
        <w:rPr>
          <w:rFonts w:ascii="Arial" w:hAnsi="Arial"/>
          <w:sz w:val="16"/>
        </w:rPr>
        <w:t>125.15  برای تکمیل موفقیت آمیز این دوره، دانش‌آموزان ملزم به گذراندن سه امتحان درسی هستند که با کسب حداقل نمره قبولی در هر امتحان، تسلط بر برنامه درسی را نشان دهند.</w:t>
      </w:r>
    </w:p>
    <w:p>
      <w:pPr>
        <w:spacing w:after="28" w:line="216" w:lineRule="auto"/>
        <w:ind w:left="259"/>
        <w:jc w:val="left"/>
      </w:pPr>
      <w:r>
        <w:rPr>
          <w:rFonts w:ascii="Arial" w:hAnsi="Arial"/>
          <w:color w:val="525252"/>
          <w:sz w:val="13"/>
        </w:rPr>
        <w:t>To successfully complete this course, students are required to pass three course exams, demonstrating curriculum mastery by attaining the minimum passing score on each exam.</w:t>
      </w:r>
    </w:p>
    <w:p>
      <w:pPr>
        <w:spacing w:after="20" w:line="223" w:lineRule="auto"/>
        <w:jc w:val="right"/>
        <w:bidi/>
      </w:pPr>
      <w:r>
        <w:rPr>
          <w:rFonts w:ascii="Arial" w:hAnsi="Arial"/>
          <w:sz w:val="16"/>
        </w:rPr>
        <w:t>125.16  علاوه بر این، تکمیل دوره‌های آموزش از راه دور EPME (DLC) دیگر پیش نیازی برای حضور مقیم نیست که از ۲۶ آوریل ۲۰۱۸ اجرایی می‌شود.</w:t>
      </w:r>
    </w:p>
    <w:p>
      <w:pPr>
        <w:spacing w:after="28" w:line="216" w:lineRule="auto"/>
        <w:ind w:left="259"/>
        <w:jc w:val="left"/>
      </w:pPr>
      <w:r>
        <w:rPr>
          <w:rFonts w:ascii="Arial" w:hAnsi="Arial"/>
          <w:color w:val="525252"/>
          <w:sz w:val="13"/>
        </w:rPr>
        <w:t>Furthermore, EPME Distance Learning Courses (DLC) completion is no longer a prerequisite for resident attendance effective 26 April 2018.</w:t>
      </w:r>
    </w:p>
    <w:p>
      <w:pPr>
        <w:spacing w:after="20" w:line="223" w:lineRule="auto"/>
        <w:jc w:val="right"/>
        <w:bidi/>
      </w:pPr>
      <w:r>
        <w:rPr>
          <w:rFonts w:ascii="Arial" w:hAnsi="Arial"/>
          <w:sz w:val="16"/>
        </w:rPr>
        <w:t>125.17  علاوه بر این، دانشگاه هوایی دیگر اجازه ثبت‌نام جدید برای نیروهای هوایی‌های فعال را نخواهد داد.</w:t>
      </w:r>
    </w:p>
    <w:p>
      <w:pPr>
        <w:spacing w:after="28" w:line="216" w:lineRule="auto"/>
        <w:ind w:left="259"/>
        <w:jc w:val="left"/>
      </w:pPr>
      <w:r>
        <w:rPr>
          <w:rFonts w:ascii="Arial" w:hAnsi="Arial"/>
          <w:color w:val="525252"/>
          <w:sz w:val="13"/>
        </w:rPr>
        <w:t>Additionally, Air University will no longer allow new enrollments for active component Airmen.</w:t>
      </w:r>
    </w:p>
    <w:p>
      <w:pPr>
        <w:spacing w:after="20" w:line="223" w:lineRule="auto"/>
        <w:jc w:val="right"/>
        <w:bidi/>
      </w:pPr>
      <w:r>
        <w:rPr>
          <w:rFonts w:ascii="Arial" w:hAnsi="Arial"/>
          <w:sz w:val="16"/>
        </w:rPr>
        <w:t>125.18  هوانوردان فقط از طریق سیستم اطلاعات دانشجویی دانشگاه هوایی (AUSIS) می‌توانند به DLC EPME برای مقاصد مرجع دسترسی داشته باشند.</w:t>
      </w:r>
    </w:p>
    <w:p>
      <w:pPr>
        <w:spacing w:after="28" w:line="216" w:lineRule="auto"/>
        <w:ind w:left="259"/>
        <w:jc w:val="left"/>
      </w:pPr>
      <w:r>
        <w:rPr>
          <w:rFonts w:ascii="Arial" w:hAnsi="Arial"/>
          <w:color w:val="525252"/>
          <w:sz w:val="13"/>
        </w:rPr>
        <w:t>Airmen may access EPME DLC for reference purposes only through the Air University Student Information System (AUSIS).</w:t>
      </w:r>
    </w:p>
    <w:p>
      <w:pPr>
        <w:spacing w:after="20" w:line="223" w:lineRule="auto"/>
        <w:jc w:val="right"/>
        <w:bidi/>
      </w:pPr>
      <w:r>
        <w:rPr>
          <w:rFonts w:ascii="Arial" w:hAnsi="Arial"/>
          <w:sz w:val="16"/>
        </w:rPr>
        <w:t>125.19  آکادمی افسران غیر مأمور.</w:t>
      </w:r>
    </w:p>
    <w:p>
      <w:pPr>
        <w:spacing w:after="28" w:line="216" w:lineRule="auto"/>
        <w:ind w:left="259"/>
        <w:jc w:val="left"/>
      </w:pPr>
      <w:r>
        <w:rPr>
          <w:rFonts w:ascii="Arial" w:hAnsi="Arial"/>
          <w:color w:val="525252"/>
          <w:sz w:val="13"/>
        </w:rPr>
        <w:t>Noncommissioned Officer Academy.</w:t>
      </w:r>
    </w:p>
    <w:p>
      <w:pPr>
        <w:spacing w:after="20" w:line="223" w:lineRule="auto"/>
        <w:jc w:val="right"/>
        <w:bidi/>
      </w:pPr>
      <w:r>
        <w:rPr>
          <w:rFonts w:ascii="Arial" w:hAnsi="Arial"/>
          <w:sz w:val="16"/>
        </w:rPr>
        <w:t>125.20  مأموریت آکادمی NCO (NCOA) آماده کردن رهبران استخدام شده برای فرصت‌های مدیریتی و رهبری فعلی و آینده برای عملکرد (فکر و عمل) انتقادی در محیط‌های پیچیده و مبهم است.</w:t>
      </w:r>
    </w:p>
    <w:p>
      <w:pPr>
        <w:spacing w:after="28" w:line="216" w:lineRule="auto"/>
        <w:ind w:left="259"/>
        <w:jc w:val="left"/>
      </w:pPr>
      <w:r>
        <w:rPr>
          <w:rFonts w:ascii="Arial" w:hAnsi="Arial"/>
          <w:color w:val="525252"/>
          <w:sz w:val="13"/>
        </w:rPr>
        <w:t>The NCO Academy (NCOA) mission is to prepare enlisted leaders for current and future leadership and management opportunities to operate (think and act) critically in complex and ambiguous environments.</w:t>
      </w:r>
    </w:p>
    <w:p>
      <w:pPr>
        <w:spacing w:after="20" w:line="223" w:lineRule="auto"/>
        <w:jc w:val="right"/>
        <w:bidi/>
      </w:pPr>
      <w:r>
        <w:rPr>
          <w:rFonts w:ascii="Arial" w:hAnsi="Arial"/>
          <w:sz w:val="16"/>
        </w:rPr>
        <w:t>125.21  برنامه NCOA شامل تجربه رهبری میانی است که شامل بحث‌های هدایت‌شده، تمرین‌های تجربی، تجزیه و تحلیل مطالعه موردی، و آزمایشگاه‌های توسعه رهبری فراگیر است که برای بهبود شایستگی، اعتماد به نفس و اراده یک NCO برای اعمال مسئولیت‌های رهبری تعیین‌شده طراحی شده‌اند.</w:t>
      </w:r>
    </w:p>
    <w:p>
      <w:pPr>
        <w:spacing w:after="28" w:line="216" w:lineRule="auto"/>
        <w:ind w:left="259"/>
        <w:jc w:val="left"/>
      </w:pPr>
      <w:r>
        <w:rPr>
          <w:rFonts w:ascii="Arial" w:hAnsi="Arial"/>
          <w:color w:val="525252"/>
          <w:sz w:val="13"/>
        </w:rPr>
        <w:t>The NCOA program encompasses the intermediate leadership experience, which includes guided discussions, experiential exercises, case study analysis, and immersive leadership development laboratories designed to improve an NCO’s competence, confidence, and will to exercise assigned leadership responsibilities.</w:t>
      </w:r>
    </w:p>
    <w:p>
      <w:pPr>
        <w:spacing w:after="20" w:line="223" w:lineRule="auto"/>
        <w:jc w:val="right"/>
        <w:bidi/>
      </w:pPr>
      <w:r>
        <w:rPr>
          <w:rFonts w:ascii="Arial" w:hAnsi="Arial"/>
          <w:sz w:val="16"/>
        </w:rPr>
        <w:t>125.22  افسر ارشد آموزش از راه دور.</w:t>
      </w:r>
    </w:p>
    <w:p>
      <w:pPr>
        <w:spacing w:after="28" w:line="216" w:lineRule="auto"/>
        <w:ind w:left="259"/>
        <w:jc w:val="left"/>
      </w:pPr>
      <w:r>
        <w:rPr>
          <w:rFonts w:ascii="Arial" w:hAnsi="Arial"/>
          <w:color w:val="525252"/>
          <w:sz w:val="13"/>
        </w:rPr>
        <w:t>Senior Noncommissioned Officer Distance Learning.</w:t>
      </w:r>
    </w:p>
    <w:p>
      <w:pPr>
        <w:spacing w:after="20" w:line="223" w:lineRule="auto"/>
        <w:jc w:val="right"/>
        <w:bidi/>
      </w:pPr>
      <w:r>
        <w:rPr>
          <w:rFonts w:ascii="Arial" w:hAnsi="Arial"/>
          <w:sz w:val="16"/>
        </w:rPr>
        <w:t>125.23  این دوره برای هوانوردان ایر رسرو کومپوننت باز است.</w:t>
      </w:r>
    </w:p>
    <w:p>
      <w:pPr>
        <w:spacing w:after="28" w:line="216" w:lineRule="auto"/>
        <w:ind w:left="259"/>
        <w:jc w:val="left"/>
      </w:pPr>
      <w:r>
        <w:rPr>
          <w:rFonts w:ascii="Arial" w:hAnsi="Arial"/>
          <w:color w:val="525252"/>
          <w:sz w:val="13"/>
        </w:rPr>
        <w:t>This course is open to Air Reserve Component Airmen.</w:t>
      </w:r>
    </w:p>
    <w:p>
      <w:pPr>
        <w:spacing w:after="20" w:line="223" w:lineRule="auto"/>
        <w:jc w:val="right"/>
        <w:bidi/>
      </w:pPr>
      <w:r>
        <w:rPr>
          <w:rFonts w:ascii="Arial" w:hAnsi="Arial"/>
          <w:sz w:val="16"/>
        </w:rPr>
        <w:t>125.24  دوره آموزش از راه دور درجه‌داران ارشد (SNCO-DL) توسعه شایستگی‌های سازمانی مورد نیاز برای آماده‌سازی SNCO ها را برای رهبری نیروی اعزامی در سطوح تاکتیکی و عملیاتی فراهم می‌کند.</w:t>
      </w:r>
    </w:p>
    <w:p>
      <w:pPr>
        <w:spacing w:after="28" w:line="216" w:lineRule="auto"/>
        <w:ind w:left="259"/>
        <w:jc w:val="left"/>
      </w:pPr>
      <w:r>
        <w:rPr>
          <w:rFonts w:ascii="Arial" w:hAnsi="Arial"/>
          <w:color w:val="525252"/>
          <w:sz w:val="13"/>
        </w:rPr>
        <w:t>The Senior Noncommissioned Officer Distance Learning (SNCO-DL) Course provides institutional competency development required to prepare SNCOs to lead the enlisted force at the tactical and operational levels.</w:t>
      </w:r>
    </w:p>
    <w:p>
      <w:pPr>
        <w:spacing w:after="20" w:line="223" w:lineRule="auto"/>
        <w:jc w:val="right"/>
        <w:bidi/>
      </w:pPr>
      <w:r>
        <w:rPr>
          <w:rFonts w:ascii="Arial" w:hAnsi="Arial"/>
          <w:sz w:val="16"/>
        </w:rPr>
        <w:t>125.25  طراحی برنامه درسی قدردانی و درک دانش‌آموزان را از سه ویژگی افزایش می‌دهد: (۱) خودآگاهی، (۲) رهبری و مدیریت، و (۳) جنگجوی مشترک.</w:t>
      </w:r>
    </w:p>
    <w:p>
      <w:pPr>
        <w:spacing w:after="28" w:line="216" w:lineRule="auto"/>
        <w:ind w:left="259"/>
        <w:jc w:val="left"/>
      </w:pPr>
      <w:r>
        <w:rPr>
          <w:rFonts w:ascii="Arial" w:hAnsi="Arial"/>
          <w:color w:val="525252"/>
          <w:sz w:val="13"/>
        </w:rPr>
        <w:t>The curriculum’s design heightens students’ appreciation and understanding of three attributes: (1) self-awareness, (2) leadership and management, and (3) joint warfighter.</w:t>
      </w:r>
    </w:p>
    <w:p>
      <w:pPr>
        <w:spacing w:after="20" w:line="223" w:lineRule="auto"/>
        <w:jc w:val="right"/>
        <w:bidi/>
      </w:pPr>
      <w:r>
        <w:rPr>
          <w:rFonts w:ascii="Arial" w:hAnsi="Arial"/>
          <w:sz w:val="16"/>
        </w:rPr>
        <w:t>125.26  این دوره برای هوانوردان ایر رسرو کومپوننت باز است.</w:t>
      </w:r>
    </w:p>
    <w:p>
      <w:pPr>
        <w:spacing w:after="28" w:line="216" w:lineRule="auto"/>
        <w:ind w:left="259"/>
        <w:jc w:val="left"/>
      </w:pPr>
      <w:r>
        <w:rPr>
          <w:rFonts w:ascii="Arial" w:hAnsi="Arial"/>
          <w:color w:val="525252"/>
          <w:sz w:val="13"/>
        </w:rPr>
        <w:t>This course is open to Air Reserve Component Airmen.</w:t>
      </w:r>
    </w:p>
    <w:p>
      <w:pPr>
        <w:spacing w:after="20" w:line="223" w:lineRule="auto"/>
        <w:jc w:val="right"/>
        <w:bidi/>
      </w:pPr>
      <w:r>
        <w:rPr>
          <w:rFonts w:ascii="Arial" w:hAnsi="Arial"/>
          <w:sz w:val="16"/>
        </w:rPr>
        <w:t>125.27  برای تکمیل موفقیت آمیز دوره، دانش‌آموزان باید با کسب حداقل نمره قبولی در هر یک از سه امتحان پودمان، تسلط بر برنامه درسی را نشان دهند.</w:t>
      </w:r>
    </w:p>
    <w:p>
      <w:pPr>
        <w:spacing w:after="28" w:line="216" w:lineRule="auto"/>
        <w:ind w:left="259"/>
        <w:jc w:val="left"/>
      </w:pPr>
      <w:r>
        <w:rPr>
          <w:rFonts w:ascii="Arial" w:hAnsi="Arial"/>
          <w:color w:val="525252"/>
          <w:sz w:val="13"/>
        </w:rPr>
        <w:t>To successfully complete the course, students are required to demonstrate curriculum mastery by attaining the minimum passing score on each of three module exams.</w:t>
      </w:r>
    </w:p>
    <w:p>
      <w:pPr>
        <w:spacing w:after="20" w:line="223" w:lineRule="auto"/>
        <w:jc w:val="right"/>
        <w:bidi/>
      </w:pPr>
      <w:r>
        <w:rPr>
          <w:rFonts w:ascii="Arial" w:hAnsi="Arial"/>
          <w:sz w:val="16"/>
        </w:rPr>
        <w:t>125.28  آکادمی درجه‌داران ارشد.</w:t>
      </w:r>
    </w:p>
    <w:p>
      <w:pPr>
        <w:spacing w:after="28" w:line="216" w:lineRule="auto"/>
        <w:ind w:left="259"/>
        <w:jc w:val="left"/>
      </w:pPr>
      <w:r>
        <w:rPr>
          <w:rFonts w:ascii="Arial" w:hAnsi="Arial"/>
          <w:color w:val="525252"/>
          <w:sz w:val="13"/>
        </w:rPr>
        <w:t>Senior Noncommissioned Officer Academy.</w:t>
      </w:r>
    </w:p>
    <w:p>
      <w:pPr>
        <w:spacing w:after="20" w:line="223" w:lineRule="auto"/>
        <w:jc w:val="right"/>
        <w:bidi/>
      </w:pPr>
      <w:r>
        <w:rPr>
          <w:rFonts w:ascii="Arial" w:hAnsi="Arial"/>
          <w:sz w:val="16"/>
        </w:rPr>
        <w:t>125.29  آکادمی SNCO (SNCOA) سالانه تا ۲۲۵۰ USAF، نیروی دریایی، گارد ساحلی، تفنگداران دریایی و SNCO بین‌المللی را آموزش می‌دهد.</w:t>
      </w:r>
    </w:p>
    <w:p>
      <w:pPr>
        <w:spacing w:after="28" w:line="216" w:lineRule="auto"/>
        <w:ind w:left="259"/>
        <w:jc w:val="left"/>
      </w:pPr>
      <w:r>
        <w:rPr>
          <w:rFonts w:ascii="Arial" w:hAnsi="Arial"/>
          <w:color w:val="525252"/>
          <w:sz w:val="13"/>
        </w:rPr>
        <w:t>The SNCO Academy (SNCOA) trains up to 2,250 USAF, Navy, Coast Guard, Marine, and international SNCOs, annually.</w:t>
      </w:r>
    </w:p>
    <w:p>
      <w:pPr>
        <w:spacing w:after="20" w:line="223" w:lineRule="auto"/>
        <w:jc w:val="right"/>
        <w:bidi/>
      </w:pPr>
      <w:r>
        <w:rPr>
          <w:rFonts w:ascii="Arial" w:hAnsi="Arial"/>
          <w:sz w:val="16"/>
        </w:rPr>
        <w:t>125.30  مأموریت SNCOA توسعه رهبران ارشد مشترک و ائتلافی برای تأثیرگذاری بر موفقیت مأموریت در محیط‌های خدمات پویا است.</w:t>
      </w:r>
    </w:p>
    <w:p>
      <w:pPr>
        <w:spacing w:after="28" w:line="216" w:lineRule="auto"/>
        <w:ind w:left="259"/>
        <w:jc w:val="left"/>
      </w:pPr>
      <w:r>
        <w:rPr>
          <w:rFonts w:ascii="Arial" w:hAnsi="Arial"/>
          <w:color w:val="525252"/>
          <w:sz w:val="13"/>
        </w:rPr>
        <w:t>The SNCOA mission is to develop joint and coalition senior enlisted leaders to influence mission success in dynamic service environments.</w:t>
      </w:r>
    </w:p>
    <w:p>
      <w:pPr>
        <w:spacing w:after="20" w:line="223" w:lineRule="auto"/>
        <w:jc w:val="right"/>
        <w:bidi/>
      </w:pPr>
      <w:r>
        <w:rPr>
          <w:rFonts w:ascii="Arial" w:hAnsi="Arial"/>
          <w:sz w:val="16"/>
        </w:rPr>
        <w:t>125.31  برنامه SNCOA شامل تجربه رهبری پیشرفته است که نشان دهنده توسعه شایستگی سازمانی جامع است.</w:t>
      </w:r>
    </w:p>
    <w:p>
      <w:pPr>
        <w:spacing w:after="28" w:line="216" w:lineRule="auto"/>
        <w:ind w:left="259"/>
        <w:jc w:val="left"/>
      </w:pPr>
      <w:r>
        <w:rPr>
          <w:rFonts w:ascii="Arial" w:hAnsi="Arial"/>
          <w:color w:val="525252"/>
          <w:sz w:val="13"/>
        </w:rPr>
        <w:t>The SNCOA program encompasses the advanced leadership experience, representing comprehensive institutional competency development.</w:t>
      </w:r>
    </w:p>
    <w:p>
      <w:pPr>
        <w:spacing w:after="20" w:line="223" w:lineRule="auto"/>
        <w:jc w:val="right"/>
        <w:bidi/>
      </w:pPr>
      <w:r>
        <w:rPr>
          <w:rFonts w:ascii="Arial" w:hAnsi="Arial"/>
          <w:sz w:val="16"/>
        </w:rPr>
        <w:t>125.32  SNCOA برای تقویت مهارت‌های رهبر ارشد استخدام‌شده با آموزش طراحی شده است که به آماده‌سازی آنها برای ادامه و افزایش مسئولیت‌های مرتبط در محیط‌های مشترک، ترکیبی، بین سازمانی و استراتژیک کمک می‌کند.</w:t>
      </w:r>
    </w:p>
    <w:p>
      <w:pPr>
        <w:spacing w:after="28" w:line="216" w:lineRule="auto"/>
        <w:ind w:left="259"/>
        <w:jc w:val="left"/>
      </w:pPr>
      <w:r>
        <w:rPr>
          <w:rFonts w:ascii="Arial" w:hAnsi="Arial"/>
          <w:color w:val="525252"/>
          <w:sz w:val="13"/>
        </w:rPr>
        <w:t>The SNCOA is designed to sharpen senior enlisted leader skills with education that helps prepare them for continued and increased relevant responsibilities in joint, combined, interagency, and strategic environments.</w:t>
      </w:r>
    </w:p>
    <w:p>
      <w:r>
        <w:br w:type="page"/>
      </w:r>
    </w:p>
    <w:p>
      <w:pPr>
        <w:spacing w:after="60"/>
        <w:jc w:val="right"/>
        <w:bidi/>
      </w:pPr>
      <w:r>
        <w:rPr>
          <w:rFonts w:ascii="Arial" w:hAnsi="Arial"/>
          <w:b/>
          <w:color w:val="1F4D78"/>
          <w:sz w:val="19"/>
        </w:rPr>
        <w:t>هفتهٔ 126  |  صفحهٔ منبع: 142</w:t>
      </w:r>
    </w:p>
    <w:p>
      <w:pPr>
        <w:spacing w:after="20" w:line="223" w:lineRule="auto"/>
        <w:jc w:val="right"/>
        <w:bidi/>
      </w:pPr>
      <w:r>
        <w:rPr>
          <w:rFonts w:ascii="Arial" w:hAnsi="Arial"/>
          <w:sz w:val="16"/>
        </w:rPr>
        <w:t>126.01  دوره رهبری ارشد.</w:t>
      </w:r>
    </w:p>
    <w:p>
      <w:pPr>
        <w:spacing w:after="28" w:line="216" w:lineRule="auto"/>
        <w:ind w:left="259"/>
        <w:jc w:val="left"/>
      </w:pPr>
      <w:r>
        <w:rPr>
          <w:rFonts w:ascii="Arial" w:hAnsi="Arial"/>
          <w:color w:val="525252"/>
          <w:sz w:val="13"/>
        </w:rPr>
        <w:t>Chief Leadership Course.</w:t>
      </w:r>
    </w:p>
    <w:p>
      <w:pPr>
        <w:spacing w:after="20" w:line="223" w:lineRule="auto"/>
        <w:jc w:val="right"/>
        <w:bidi/>
      </w:pPr>
      <w:r>
        <w:rPr>
          <w:rFonts w:ascii="Arial" w:hAnsi="Arial"/>
          <w:sz w:val="16"/>
        </w:rPr>
        <w:t>126.02  دوره رهبری ارشد (CLC) نقطه عطف و اوج PME ثبت‌نام شده است.</w:t>
      </w:r>
    </w:p>
    <w:p>
      <w:pPr>
        <w:spacing w:after="28" w:line="216" w:lineRule="auto"/>
        <w:ind w:left="259"/>
        <w:jc w:val="left"/>
      </w:pPr>
      <w:r>
        <w:rPr>
          <w:rFonts w:ascii="Arial" w:hAnsi="Arial"/>
          <w:color w:val="525252"/>
          <w:sz w:val="13"/>
        </w:rPr>
        <w:t>The Chief Leadership Course (CLC) is the capstone and pinnacle level of enlisted PME.</w:t>
      </w:r>
    </w:p>
    <w:p>
      <w:pPr>
        <w:spacing w:after="20" w:line="223" w:lineRule="auto"/>
        <w:jc w:val="right"/>
        <w:bidi/>
      </w:pPr>
      <w:r>
        <w:rPr>
          <w:rFonts w:ascii="Arial" w:hAnsi="Arial"/>
          <w:sz w:val="16"/>
        </w:rPr>
        <w:t>126.03  در حال حاضر، CLC به سرگروهبان‌های تازه منتخب، شایستگی‌های رهبری در سطح استراتژیک را ارائه می‌دهد.</w:t>
      </w:r>
    </w:p>
    <w:p>
      <w:pPr>
        <w:spacing w:after="28" w:line="216" w:lineRule="auto"/>
        <w:ind w:left="259"/>
        <w:jc w:val="left"/>
      </w:pPr>
      <w:r>
        <w:rPr>
          <w:rFonts w:ascii="Arial" w:hAnsi="Arial"/>
          <w:color w:val="525252"/>
          <w:sz w:val="13"/>
        </w:rPr>
        <w:t>Currently, the CLC provides newly selected Chief Master Sergeants with foundational, strategic-level leadership competencies.</w:t>
      </w:r>
    </w:p>
    <w:p>
      <w:pPr>
        <w:spacing w:after="20" w:line="223" w:lineRule="auto"/>
        <w:jc w:val="right"/>
        <w:bidi/>
      </w:pPr>
      <w:r>
        <w:rPr>
          <w:rFonts w:ascii="Arial" w:hAnsi="Arial"/>
          <w:sz w:val="16"/>
        </w:rPr>
        <w:t>126.04  CLC هفت کلاس در سال برگزار می‌کند که سالانه ۷۵۰ گروهبان ارشد کل نیرو و سرگروهبان ارشد را آموزش می‌دهند.</w:t>
      </w:r>
    </w:p>
    <w:p>
      <w:pPr>
        <w:spacing w:after="28" w:line="216" w:lineRule="auto"/>
        <w:ind w:left="259"/>
        <w:jc w:val="left"/>
      </w:pPr>
      <w:r>
        <w:rPr>
          <w:rFonts w:ascii="Arial" w:hAnsi="Arial"/>
          <w:color w:val="525252"/>
          <w:sz w:val="13"/>
        </w:rPr>
        <w:t>The CLC conducts seven classes per year, educating 750 Total Force Chief Master Sergeants and Chief Master Sergeant-selects annually.</w:t>
      </w:r>
    </w:p>
    <w:p>
      <w:pPr>
        <w:spacing w:after="20" w:line="223" w:lineRule="auto"/>
        <w:jc w:val="right"/>
        <w:bidi/>
      </w:pPr>
      <w:r>
        <w:rPr>
          <w:rFonts w:ascii="Arial" w:hAnsi="Arial"/>
          <w:sz w:val="16"/>
        </w:rPr>
        <w:t>126.05  مأموریت CLC ارائه آموزش به روسای برای پل زدن دیدگاه‌های عملیاتی به استراتژیک نیروی هوایی است.</w:t>
      </w:r>
    </w:p>
    <w:p>
      <w:pPr>
        <w:spacing w:after="28" w:line="216" w:lineRule="auto"/>
        <w:ind w:left="259"/>
        <w:jc w:val="left"/>
      </w:pPr>
      <w:r>
        <w:rPr>
          <w:rFonts w:ascii="Arial" w:hAnsi="Arial"/>
          <w:color w:val="525252"/>
          <w:sz w:val="13"/>
        </w:rPr>
        <w:t>The CLC mission is to provide chiefs the education to bridge operational-to-strategic perspectives of the Air Force.</w:t>
      </w:r>
    </w:p>
    <w:p>
      <w:pPr>
        <w:spacing w:after="20" w:line="223" w:lineRule="auto"/>
        <w:jc w:val="right"/>
        <w:bidi/>
      </w:pPr>
      <w:r>
        <w:rPr>
          <w:rFonts w:ascii="Arial" w:hAnsi="Arial"/>
          <w:sz w:val="16"/>
        </w:rPr>
        <w:t>126.06  چشم انداز CLC این است که روسا را ​​به رهبران سطح استراتژیک تبدیل کند و الهام بخش آنها برای رهبری، مدیریت و راهنمایی مؤثر هوانوردان امروزی باشد.</w:t>
      </w:r>
    </w:p>
    <w:p>
      <w:pPr>
        <w:spacing w:after="28" w:line="216" w:lineRule="auto"/>
        <w:ind w:left="259"/>
        <w:jc w:val="left"/>
      </w:pPr>
      <w:r>
        <w:rPr>
          <w:rFonts w:ascii="Arial" w:hAnsi="Arial"/>
          <w:color w:val="525252"/>
          <w:sz w:val="13"/>
        </w:rPr>
        <w:t>The CLC vision is to develop chiefs into strategic level leaders and to inspire them to effectively lead, manage, and mentor today's Airmen.</w:t>
      </w:r>
    </w:p>
    <w:p>
      <w:pPr>
        <w:spacing w:after="20" w:line="223" w:lineRule="auto"/>
        <w:jc w:val="right"/>
        <w:bidi/>
      </w:pPr>
      <w:r>
        <w:rPr>
          <w:rFonts w:ascii="Arial" w:hAnsi="Arial"/>
          <w:sz w:val="16"/>
        </w:rPr>
        <w:t>126.07  CLC نیازمند مطالعه گسترده خود، تفکر خلاق انتقادی، ارتباط و مهارت‌های بین فردی است.</w:t>
      </w:r>
    </w:p>
    <w:p>
      <w:pPr>
        <w:spacing w:after="28" w:line="216" w:lineRule="auto"/>
        <w:ind w:left="259"/>
        <w:jc w:val="left"/>
      </w:pPr>
      <w:r>
        <w:rPr>
          <w:rFonts w:ascii="Arial" w:hAnsi="Arial"/>
          <w:color w:val="525252"/>
          <w:sz w:val="13"/>
        </w:rPr>
        <w:t>The CLC demands extensive self- study, critical creative thinking, communication, and interpersonal skills.</w:t>
      </w:r>
    </w:p>
    <w:p>
      <w:pPr>
        <w:spacing w:before="60" w:after="28"/>
        <w:jc w:val="right"/>
        <w:bidi/>
      </w:pPr>
      <w:r>
        <w:rPr>
          <w:b/>
          <w:color w:val="1F4D78"/>
          <w:sz w:val="18"/>
        </w:rPr>
        <w:t>7.22. آموزش نظامی مشترک حرفه ای</w:t>
      </w:r>
    </w:p>
    <w:p>
      <w:pPr>
        <w:spacing w:after="20"/>
        <w:ind w:left="259"/>
        <w:jc w:val="left"/>
      </w:pPr>
      <w:r>
        <w:rPr>
          <w:color w:val="555555"/>
          <w:sz w:val="12"/>
        </w:rPr>
        <w:t>7.22. Enlisted Joint Professional Military Education</w:t>
      </w:r>
    </w:p>
    <w:p>
      <w:pPr>
        <w:spacing w:after="20" w:line="223" w:lineRule="auto"/>
        <w:jc w:val="right"/>
        <w:bidi/>
      </w:pPr>
      <w:r>
        <w:rPr>
          <w:rFonts w:ascii="Arial" w:hAnsi="Arial"/>
          <w:sz w:val="16"/>
        </w:rPr>
        <w:t>126.09  علاوه بر دوره‌های ثبت‌نام PME، رئیس دستورالعمل ستاد مشترک (CJCSI) ۱۸۰۵.۰۱ب، خط‌مشی آموزش حرفه‌ای نظامی سربازگیری، از همه پرسنل ثبت‌نام شده‌ای که در سازمان‌های مشترک، بین سازمانی، چند ملیتی و ائتلافی فعالیت می‌کنند، می‌خواهد مفاهیم جنگ مشترک را بیاموزند.</w:t>
      </w:r>
    </w:p>
    <w:p>
      <w:pPr>
        <w:spacing w:after="28" w:line="216" w:lineRule="auto"/>
        <w:ind w:left="259"/>
        <w:jc w:val="left"/>
      </w:pPr>
      <w:r>
        <w:rPr>
          <w:rFonts w:ascii="Arial" w:hAnsi="Arial"/>
          <w:color w:val="525252"/>
          <w:sz w:val="13"/>
        </w:rPr>
        <w:t>In addition to enlisted PME courses, the Chairman of the Joint Chiefs of Staff Instruction (CJCSI) 1805.01B, Enlisted Professional Military Education Policy, requires all enlisted personnel operating in joint, interagency, multinational, and coalition warfighting organizations to learn joint concepts.</w:t>
      </w:r>
    </w:p>
    <w:p>
      <w:pPr>
        <w:spacing w:after="20" w:line="223" w:lineRule="auto"/>
        <w:jc w:val="right"/>
        <w:bidi/>
      </w:pPr>
      <w:r>
        <w:rPr>
          <w:rFonts w:ascii="Arial" w:hAnsi="Arial"/>
          <w:sz w:val="16"/>
        </w:rPr>
        <w:t>126.10  آموزش نظامی حرفه‌ای مشترک سربازگیری شده (EJPME) به SNCO ها آموزش مشترک جامعی ارائه می‌دهد تا آنها را برای تکالیف در بیلت‌های مشترک در سطح رهبر ارشد سربازی یا فرماندهی فرماندهی ارشد آماده کند.</w:t>
      </w:r>
    </w:p>
    <w:p>
      <w:pPr>
        <w:spacing w:after="28" w:line="216" w:lineRule="auto"/>
        <w:ind w:left="259"/>
        <w:jc w:val="left"/>
      </w:pPr>
      <w:r>
        <w:rPr>
          <w:rFonts w:ascii="Arial" w:hAnsi="Arial"/>
          <w:color w:val="525252"/>
          <w:sz w:val="13"/>
        </w:rPr>
        <w:t>Enlisted Joint Professional Military Education (EJPME) provides SNCOs a comprehensive joint education to prepare them for assignments to joint billets at the senior enlisted leader or command senior enlisted leader level.</w:t>
      </w:r>
    </w:p>
    <w:p>
      <w:pPr>
        <w:spacing w:after="20" w:line="223" w:lineRule="auto"/>
        <w:jc w:val="right"/>
        <w:bidi/>
      </w:pPr>
      <w:r>
        <w:rPr>
          <w:rFonts w:ascii="Arial" w:hAnsi="Arial"/>
          <w:sz w:val="16"/>
        </w:rPr>
        <w:t>126.11  EJPME مبتنی بر وب است و به گونه‌ای طراحی شده است که پرسنل استخدام شده را در معرض آموزش مشترک قرار دهد، آنها را برای موفقیت از طریق بهبود توانایی آنها برای عملکرد مؤثر و نظارت بر چندین عضو نیروهای مسلح آماده کند. دوره‌های</w:t>
      </w:r>
    </w:p>
    <w:p>
      <w:pPr>
        <w:spacing w:after="28" w:line="216" w:lineRule="auto"/>
        <w:ind w:left="259"/>
        <w:jc w:val="left"/>
      </w:pPr>
      <w:r>
        <w:rPr>
          <w:rFonts w:ascii="Arial" w:hAnsi="Arial"/>
          <w:color w:val="525252"/>
          <w:sz w:val="13"/>
        </w:rPr>
        <w:t>EJPME is web-based and is designed to expose enlisted personnel to joint education, prepare them to succeed by improving their ability to operate effectively and supervise multiple service members.</w:t>
      </w:r>
    </w:p>
    <w:p>
      <w:pPr>
        <w:spacing w:after="20" w:line="223" w:lineRule="auto"/>
        <w:jc w:val="right"/>
        <w:bidi/>
      </w:pPr>
      <w:r>
        <w:rPr>
          <w:rFonts w:ascii="Arial" w:hAnsi="Arial"/>
          <w:sz w:val="16"/>
        </w:rPr>
        <w:t>126.12  EJPME به صورت آنلاین ارائه می‌شوند و از هر کجا و در هر زمان در دسترس هستند.</w:t>
      </w:r>
    </w:p>
    <w:p>
      <w:pPr>
        <w:spacing w:after="28" w:line="216" w:lineRule="auto"/>
        <w:ind w:left="259"/>
        <w:jc w:val="left"/>
      </w:pPr>
      <w:r>
        <w:rPr>
          <w:rFonts w:ascii="Arial" w:hAnsi="Arial"/>
          <w:color w:val="525252"/>
          <w:sz w:val="13"/>
        </w:rPr>
        <w:t>EJPME courses are offered online and are accessible from anywhere at any time.</w:t>
      </w:r>
    </w:p>
    <w:p>
      <w:pPr>
        <w:spacing w:after="20" w:line="223" w:lineRule="auto"/>
        <w:jc w:val="right"/>
        <w:bidi/>
      </w:pPr>
      <w:r>
        <w:rPr>
          <w:rFonts w:ascii="Arial" w:hAnsi="Arial"/>
          <w:sz w:val="16"/>
        </w:rPr>
        <w:t>126.13  EJPME شامل دو دوره آموزشی است که به آنها EJPME ی و II گفته می‌شود.</w:t>
      </w:r>
    </w:p>
    <w:p>
      <w:pPr>
        <w:spacing w:after="28" w:line="216" w:lineRule="auto"/>
        <w:ind w:left="259"/>
        <w:jc w:val="left"/>
      </w:pPr>
      <w:r>
        <w:rPr>
          <w:rFonts w:ascii="Arial" w:hAnsi="Arial"/>
          <w:color w:val="525252"/>
          <w:sz w:val="13"/>
        </w:rPr>
        <w:t>EJPME consists of two courses of instruction referred to as EJPME I and II.</w:t>
      </w:r>
    </w:p>
    <w:p>
      <w:pPr>
        <w:spacing w:after="20" w:line="223" w:lineRule="auto"/>
        <w:jc w:val="right"/>
        <w:bidi/>
      </w:pPr>
      <w:r>
        <w:rPr>
          <w:rFonts w:ascii="Arial" w:hAnsi="Arial"/>
          <w:sz w:val="16"/>
        </w:rPr>
        <w:t>126.14  EJPME ی بر برنامه درسی متناسب با مسئولیت‌های مشترک -۵/-۷ تاکید دارد.</w:t>
      </w:r>
    </w:p>
    <w:p>
      <w:pPr>
        <w:spacing w:after="28" w:line="216" w:lineRule="auto"/>
        <w:ind w:left="259"/>
        <w:jc w:val="left"/>
      </w:pPr>
      <w:r>
        <w:rPr>
          <w:rFonts w:ascii="Arial" w:hAnsi="Arial"/>
          <w:color w:val="525252"/>
          <w:sz w:val="13"/>
        </w:rPr>
        <w:t>EJPME I emphasizes curriculum commensurate with E-5/E-7 joint assignment responsibilities.</w:t>
      </w:r>
    </w:p>
    <w:p>
      <w:pPr>
        <w:spacing w:after="20" w:line="223" w:lineRule="auto"/>
        <w:jc w:val="right"/>
        <w:bidi/>
      </w:pPr>
      <w:r>
        <w:rPr>
          <w:rFonts w:ascii="Arial" w:hAnsi="Arial"/>
          <w:sz w:val="16"/>
        </w:rPr>
        <w:t>126.15  EJPME II بر آماده‌سازی اعضای ثبت‌نام شده -۷/-۹ برای نقش‌های رهبری ارشد خود در وظایف مشترک متمرکز است.</w:t>
      </w:r>
    </w:p>
    <w:p>
      <w:pPr>
        <w:spacing w:after="28" w:line="216" w:lineRule="auto"/>
        <w:ind w:left="259"/>
        <w:jc w:val="left"/>
      </w:pPr>
      <w:r>
        <w:rPr>
          <w:rFonts w:ascii="Arial" w:hAnsi="Arial"/>
          <w:color w:val="525252"/>
          <w:sz w:val="13"/>
        </w:rPr>
        <w:t>EJPME II is focused on preparing E-7/E-9 enlisted members for their senior leadership roles in joint assignments.</w:t>
      </w:r>
    </w:p>
    <w:p>
      <w:pPr>
        <w:spacing w:after="20" w:line="223" w:lineRule="auto"/>
        <w:jc w:val="right"/>
        <w:bidi/>
      </w:pPr>
      <w:r>
        <w:rPr>
          <w:rFonts w:ascii="Arial" w:hAnsi="Arial"/>
          <w:sz w:val="16"/>
        </w:rPr>
        <w:t>126.16  EJPME ی و II دارای زمینه‌ها و اهداف یادگیری در موارد زیر هستند: (۱) مرور استراتژیک ملی. (۲) قابلیت‌های مشترک بین سازمانی، بین دولتی و چند ملیتی. (۳) پایه‌های عملیات مشترک. و (۴) رهبری نیروی مشترک.</w:t>
      </w:r>
    </w:p>
    <w:p>
      <w:pPr>
        <w:spacing w:after="28" w:line="216" w:lineRule="auto"/>
        <w:ind w:left="259"/>
        <w:jc w:val="left"/>
      </w:pPr>
      <w:r>
        <w:rPr>
          <w:rFonts w:ascii="Arial" w:hAnsi="Arial"/>
          <w:color w:val="525252"/>
          <w:sz w:val="13"/>
        </w:rPr>
        <w:t>EJPME I and II have learning areas and objectives in: (1) national strategic overview; (2) joint interagency, intergovernmental, and multinational capabilities; (3) foundations of joint operations; and (4) Joint Force leadership.</w:t>
      </w:r>
    </w:p>
    <w:p>
      <w:pPr>
        <w:spacing w:after="20" w:line="223" w:lineRule="auto"/>
        <w:jc w:val="right"/>
        <w:bidi/>
      </w:pPr>
      <w:r>
        <w:rPr>
          <w:rFonts w:ascii="Arial" w:hAnsi="Arial"/>
          <w:sz w:val="16"/>
        </w:rPr>
        <w:t>126.17  توجه: دانش‌آموزان باید قبل از ثبت‌نام در EJPME، خدمات مورد نیاز رتبه‌بندی شده PME را تکمیل کنند.</w:t>
      </w:r>
    </w:p>
    <w:p>
      <w:pPr>
        <w:spacing w:after="28" w:line="216" w:lineRule="auto"/>
        <w:ind w:left="259"/>
        <w:jc w:val="left"/>
      </w:pPr>
      <w:r>
        <w:rPr>
          <w:rFonts w:ascii="Arial" w:hAnsi="Arial"/>
          <w:color w:val="525252"/>
          <w:sz w:val="13"/>
        </w:rPr>
        <w:t>Note: Students must complete rank-required service enlisted PME before enrolling in EJPME.</w:t>
      </w:r>
    </w:p>
    <w:p>
      <w:pPr>
        <w:spacing w:before="60" w:after="28"/>
        <w:jc w:val="right"/>
        <w:bidi/>
      </w:pPr>
      <w:r>
        <w:rPr>
          <w:b/>
          <w:color w:val="1F4D78"/>
          <w:sz w:val="18"/>
        </w:rPr>
        <w:t>7.23. آموزش نظامی حرفه ای بین المللی</w:t>
      </w:r>
    </w:p>
    <w:p>
      <w:pPr>
        <w:spacing w:after="20"/>
        <w:ind w:left="259"/>
        <w:jc w:val="left"/>
      </w:pPr>
      <w:r>
        <w:rPr>
          <w:color w:val="555555"/>
          <w:sz w:val="12"/>
        </w:rPr>
        <w:t>7.23. International Professional Military Education</w:t>
      </w:r>
    </w:p>
    <w:p>
      <w:pPr>
        <w:spacing w:after="20" w:line="223" w:lineRule="auto"/>
        <w:jc w:val="right"/>
        <w:bidi/>
      </w:pPr>
      <w:r>
        <w:rPr>
          <w:rFonts w:ascii="Arial" w:hAnsi="Arial"/>
          <w:sz w:val="16"/>
        </w:rPr>
        <w:t>126.19  آژانس همکاری امنیتی دفاعی.</w:t>
      </w:r>
    </w:p>
    <w:p>
      <w:pPr>
        <w:spacing w:after="28" w:line="216" w:lineRule="auto"/>
        <w:ind w:left="259"/>
        <w:jc w:val="left"/>
      </w:pPr>
      <w:r>
        <w:rPr>
          <w:rFonts w:ascii="Arial" w:hAnsi="Arial"/>
          <w:color w:val="525252"/>
          <w:sz w:val="13"/>
        </w:rPr>
        <w:t>Defense Security Cooperation Agency.</w:t>
      </w:r>
    </w:p>
    <w:p>
      <w:pPr>
        <w:spacing w:after="20" w:line="223" w:lineRule="auto"/>
        <w:jc w:val="right"/>
        <w:bidi/>
      </w:pPr>
      <w:r>
        <w:rPr>
          <w:rFonts w:ascii="Arial" w:hAnsi="Arial"/>
          <w:sz w:val="16"/>
        </w:rPr>
        <w:t>126.20  همکاری امنیتی، تحت هدایت وزارت دفاع، تلاش‌های هدفمند امنیت ملی را برای آموزش، آموزش، مشاوره و تجهیز شرکای خارجی رهبری می‌کند. سیاست وزارت دفاع</w:t>
      </w:r>
    </w:p>
    <w:p>
      <w:pPr>
        <w:spacing w:after="28" w:line="216" w:lineRule="auto"/>
        <w:ind w:left="259"/>
        <w:jc w:val="left"/>
      </w:pPr>
      <w:r>
        <w:rPr>
          <w:rFonts w:ascii="Arial" w:hAnsi="Arial"/>
          <w:color w:val="525252"/>
          <w:sz w:val="13"/>
        </w:rPr>
        <w:t>Security cooperation, under the Department of Defense guidance, leads national security objective efforts to train, educate, advise, and equip foreign partners.</w:t>
      </w:r>
    </w:p>
    <w:p>
      <w:pPr>
        <w:spacing w:after="20" w:line="223" w:lineRule="auto"/>
        <w:jc w:val="right"/>
        <w:bidi/>
      </w:pPr>
      <w:r>
        <w:rPr>
          <w:rFonts w:ascii="Arial" w:hAnsi="Arial"/>
          <w:sz w:val="16"/>
        </w:rPr>
        <w:t>126.21  بیان می‌کند که همکاری‌های امنیتی به‌عنوان ابزار مهم امنیت ملی و سیاست خارجی باید با همان درجه توجه و کارایی بالا برنامه‌ریزی، برنامه‌ریزی، بودجه‌بندی و اجرا شود که سایر فعالیت‌های یکپارچه وزارت دفاع.</w:t>
      </w:r>
    </w:p>
    <w:p>
      <w:pPr>
        <w:spacing w:after="28" w:line="216" w:lineRule="auto"/>
        <w:ind w:left="259"/>
        <w:jc w:val="left"/>
      </w:pPr>
      <w:r>
        <w:rPr>
          <w:rFonts w:ascii="Arial" w:hAnsi="Arial"/>
          <w:color w:val="525252"/>
          <w:sz w:val="13"/>
        </w:rPr>
        <w:t>Department of Defense policy states that security cooperation, as an important tool of national security and foreign policy, shall be planned, programmed, budgeted, and executed with the same high degree of attention and efficiency as other integral Department of Defense activities.</w:t>
      </w:r>
    </w:p>
    <w:p>
      <w:pPr>
        <w:spacing w:after="20" w:line="223" w:lineRule="auto"/>
        <w:jc w:val="right"/>
        <w:bidi/>
      </w:pPr>
      <w:r>
        <w:rPr>
          <w:rFonts w:ascii="Arial" w:hAnsi="Arial"/>
          <w:sz w:val="16"/>
        </w:rPr>
        <w:t>126.22  آکادمی نیروهای هوایی بین آمریکایی.</w:t>
      </w:r>
    </w:p>
    <w:p>
      <w:pPr>
        <w:spacing w:after="28" w:line="216" w:lineRule="auto"/>
        <w:ind w:left="259"/>
        <w:jc w:val="left"/>
      </w:pPr>
      <w:r>
        <w:rPr>
          <w:rFonts w:ascii="Arial" w:hAnsi="Arial"/>
          <w:color w:val="525252"/>
          <w:sz w:val="13"/>
        </w:rPr>
        <w:t>Inter-American Air Forces Academy.</w:t>
      </w:r>
    </w:p>
    <w:p>
      <w:pPr>
        <w:spacing w:after="20" w:line="223" w:lineRule="auto"/>
        <w:jc w:val="right"/>
        <w:bidi/>
      </w:pPr>
      <w:r>
        <w:rPr>
          <w:rFonts w:ascii="Arial" w:hAnsi="Arial"/>
          <w:sz w:val="16"/>
        </w:rPr>
        <w:t>126.23  علاوه بر PME سربازگیری شده و مشترک، فرماندهی آموزش و آموزش هوایی میزبان آکادمی نیروهای هوایی بین آمریکایی (IAAFA) است، سازمانی که برای تمرکز بر آموزش، آموزش و همکاری امنیتی طراحی شده است.</w:t>
      </w:r>
    </w:p>
    <w:p>
      <w:pPr>
        <w:spacing w:after="28" w:line="216" w:lineRule="auto"/>
        <w:ind w:left="259"/>
        <w:jc w:val="left"/>
      </w:pPr>
      <w:r>
        <w:rPr>
          <w:rFonts w:ascii="Arial" w:hAnsi="Arial"/>
          <w:color w:val="525252"/>
          <w:sz w:val="13"/>
        </w:rPr>
        <w:t>In addition to enlisted and joint PME, Air Education and Training Command hosts the Inter-American Air Forces Academy (IAAFA), an organization designed to focus on education, training, and security cooperation.</w:t>
      </w:r>
    </w:p>
    <w:p>
      <w:pPr>
        <w:spacing w:after="20" w:line="223" w:lineRule="auto"/>
        <w:jc w:val="right"/>
        <w:bidi/>
      </w:pPr>
      <w:r>
        <w:rPr>
          <w:rFonts w:ascii="Arial" w:hAnsi="Arial"/>
          <w:sz w:val="16"/>
        </w:rPr>
        <w:t>126.24  IAAFA در ابتدا به‌عنوان یک برنامه آموزشی در ۱۵ مارس ۱۹۴۳ به درخواست وزیر هوانوردی پرو، ژنرال فرناندو ملگار تأسیس شد.</w:t>
      </w:r>
    </w:p>
    <w:p>
      <w:pPr>
        <w:spacing w:after="28" w:line="216" w:lineRule="auto"/>
        <w:ind w:left="259"/>
        <w:jc w:val="left"/>
      </w:pPr>
      <w:r>
        <w:rPr>
          <w:rFonts w:ascii="Arial" w:hAnsi="Arial"/>
          <w:color w:val="525252"/>
          <w:sz w:val="13"/>
        </w:rPr>
        <w:t>IAAFA was initially established as a training program on 15 March 1943, at the request of Peru's Minister of Aeronautics, General Fernando Melgar.</w:t>
      </w:r>
    </w:p>
    <w:p>
      <w:pPr>
        <w:spacing w:after="20" w:line="223" w:lineRule="auto"/>
        <w:jc w:val="right"/>
        <w:bidi/>
      </w:pPr>
      <w:r>
        <w:rPr>
          <w:rFonts w:ascii="Arial" w:hAnsi="Arial"/>
          <w:sz w:val="16"/>
        </w:rPr>
        <w:t>126.25  آکادمی ۱۱ دانش‌آموز پرو را در حمایت از اتحاد متفقین در نیمکره غربی در ایستگاه نیروی هوایی آلبروک، منطقه کانال پاناما، آموزش داد، که نشان دهنده اولین آموزش هوانوردی ایالات متحده در آمریکای لاتین است.</w:t>
      </w:r>
    </w:p>
    <w:p>
      <w:pPr>
        <w:spacing w:after="28" w:line="216" w:lineRule="auto"/>
        <w:ind w:left="259"/>
        <w:jc w:val="left"/>
      </w:pPr>
      <w:r>
        <w:rPr>
          <w:rFonts w:ascii="Arial" w:hAnsi="Arial"/>
          <w:color w:val="525252"/>
          <w:sz w:val="13"/>
        </w:rPr>
        <w:t>The Academy trained 11 Peruvian students in support of Allied unity in the western hemisphere at Albrook Air Force Station, Panama Canal Zone, marking the first United States aeronautics training in Latin America.</w:t>
      </w:r>
    </w:p>
    <w:p>
      <w:pPr>
        <w:spacing w:after="20" w:line="223" w:lineRule="auto"/>
        <w:jc w:val="right"/>
        <w:bidi/>
      </w:pPr>
      <w:r>
        <w:rPr>
          <w:rFonts w:ascii="Arial" w:hAnsi="Arial"/>
          <w:sz w:val="16"/>
        </w:rPr>
        <w:t>126.26  امروز، به‌عنوان یک عنصر از برنامه کمک امنیتی ایالات متحده، و به‌طور خاص برنامه آموزش و آموزش نظامی بین المللی، IAAFA کمک‌های قابل توجهی برای ارتقای ثبات منطقه‌ای، تشویق رشد دموکراسی، جلوگیری از درگیری‌های با شدت کم، و مقابله با مداخله خارجی در آمریکای مرکزی ارائه کرده است.</w:t>
      </w:r>
    </w:p>
    <w:p>
      <w:pPr>
        <w:spacing w:after="28" w:line="216" w:lineRule="auto"/>
        <w:ind w:left="259"/>
        <w:jc w:val="left"/>
      </w:pPr>
      <w:r>
        <w:rPr>
          <w:rFonts w:ascii="Arial" w:hAnsi="Arial"/>
          <w:color w:val="525252"/>
          <w:sz w:val="13"/>
        </w:rPr>
        <w:t>Today, as an element of the U.S. Security Assistance Program, and more specifically the International Military Education and Training Program, IAAFA has provided significant contributions to promote regional stability, encourage the growth of democracy, prevent low intensity conflicts, and counter foreign intervention in Central America.</w:t>
      </w:r>
    </w:p>
    <w:p>
      <w:pPr>
        <w:spacing w:after="20" w:line="223" w:lineRule="auto"/>
        <w:jc w:val="right"/>
        <w:bidi/>
      </w:pPr>
      <w:r>
        <w:rPr>
          <w:rFonts w:ascii="Arial" w:hAnsi="Arial"/>
          <w:sz w:val="16"/>
        </w:rPr>
        <w:t>126.27  از زمان تأسیس، IAAFA به‌عنوان یک مرکز آموزش نظامی برای نیروهای هوایی آمریکای لاتین با آموزش نیروهای نظامی، خدمات پلیس ملی و پرسنل غیرنظامی از بیش از ۲۵ کشور در مناطق مختلف از PME برای افسران و پرسنل سربازگیری، آموزش نیروهای امنیتی، اصول لجستیک، تعمیر و نگهداری هواپیما، و آموزش خلبانی خدمت کرده است.</w:t>
      </w:r>
    </w:p>
    <w:p>
      <w:pPr>
        <w:spacing w:after="28" w:line="216" w:lineRule="auto"/>
        <w:ind w:left="259"/>
        <w:jc w:val="left"/>
      </w:pPr>
      <w:r>
        <w:rPr>
          <w:rFonts w:ascii="Arial" w:hAnsi="Arial"/>
          <w:color w:val="525252"/>
          <w:sz w:val="13"/>
        </w:rPr>
        <w:t>Since its inception, IAAFA has served as a military training center for Latin American Air Forces by training military forces, national police services, and civilian personnel from over 25 nations in areas ranging from PME for officers and enlisted personnel, security forces training, principles of logistics, aircraft maintenance, and pilot aviation training.</w:t>
      </w:r>
    </w:p>
    <w:p>
      <w:pPr>
        <w:spacing w:after="20" w:line="223" w:lineRule="auto"/>
        <w:jc w:val="right"/>
        <w:bidi/>
      </w:pPr>
      <w:r>
        <w:rPr>
          <w:rFonts w:ascii="Arial" w:hAnsi="Arial"/>
          <w:sz w:val="16"/>
        </w:rPr>
        <w:t>126.28  IAAFA به منافع ملی مختلفی در منطقه آمریکای لاتین خدمت کرده است، از حمایت از تلاش‌های ایالات متحده و متحدان در</w:t>
      </w:r>
    </w:p>
    <w:p>
      <w:pPr>
        <w:spacing w:after="28" w:line="216" w:lineRule="auto"/>
        <w:ind w:left="259"/>
        <w:jc w:val="left"/>
      </w:pPr>
      <w:r>
        <w:rPr>
          <w:rFonts w:ascii="Arial" w:hAnsi="Arial"/>
          <w:color w:val="525252"/>
          <w:sz w:val="13"/>
        </w:rPr>
        <w:t>IAAFA has served a variety of national interests in the Latin America region, ranging from support of United States-Allied efforts in</w:t>
      </w:r>
    </w:p>
    <w:p>
      <w:r>
        <w:br w:type="page"/>
      </w:r>
    </w:p>
    <w:p>
      <w:pPr>
        <w:spacing w:after="60"/>
        <w:jc w:val="right"/>
        <w:bidi/>
      </w:pPr>
      <w:r>
        <w:rPr>
          <w:rFonts w:ascii="Arial" w:hAnsi="Arial"/>
          <w:b/>
          <w:color w:val="1F4D78"/>
          <w:sz w:val="19"/>
        </w:rPr>
        <w:t>هفتهٔ 127  |  صفحهٔ منبع: 143</w:t>
      </w:r>
    </w:p>
    <w:p>
      <w:pPr>
        <w:spacing w:after="20" w:line="223" w:lineRule="auto"/>
        <w:jc w:val="right"/>
        <w:bidi/>
      </w:pPr>
      <w:r>
        <w:rPr>
          <w:rFonts w:ascii="Arial" w:hAnsi="Arial"/>
          <w:sz w:val="16"/>
        </w:rPr>
        <w:t>127.01  جنگ جهانی دوم، به اقدامات ضد شورش/اقدام مدنی در دوران اتحاد برای پیشرفت، تا سیاست‌های ملی و امنیتی فعلی در حمایت از دموکراسی، آزادی‌های فردی و حقوق بشر.</w:t>
      </w:r>
    </w:p>
    <w:p>
      <w:pPr>
        <w:spacing w:after="28" w:line="216" w:lineRule="auto"/>
        <w:ind w:left="259"/>
        <w:jc w:val="left"/>
      </w:pPr>
      <w:r>
        <w:rPr>
          <w:rFonts w:ascii="Arial" w:hAnsi="Arial"/>
          <w:color w:val="525252"/>
          <w:sz w:val="13"/>
        </w:rPr>
        <w:t>World War II, to Counterinsurgency/Civic Action actions during the Alliance for Progress era, to current national and security policies in support of democracy, individual freedoms, and human rights.</w:t>
      </w:r>
    </w:p>
    <w:p>
      <w:pPr>
        <w:spacing w:after="20" w:line="223" w:lineRule="auto"/>
        <w:jc w:val="right"/>
        <w:bidi/>
      </w:pPr>
      <w:r>
        <w:rPr>
          <w:rFonts w:ascii="Arial" w:hAnsi="Arial"/>
          <w:sz w:val="16"/>
        </w:rPr>
        <w:t>127.02  مأموریت IAAFA ارائه آموزش و آموزش نظامی به پرسنل نظامی قاره آمریکا و سایر کشورهای شریک واجد شرایط است و چشم‌انداز آن تقویت مشارکت‌هایی است که منافع مشترک را پیش می‌برد و کشورهای شریک را قادر می‌سازد تا در حمایت از اهداف استراتژیک همسو عمل کنند.</w:t>
      </w:r>
    </w:p>
    <w:p>
      <w:pPr>
        <w:spacing w:after="28" w:line="216" w:lineRule="auto"/>
        <w:ind w:left="259"/>
        <w:jc w:val="left"/>
      </w:pPr>
      <w:r>
        <w:rPr>
          <w:rFonts w:ascii="Arial" w:hAnsi="Arial"/>
          <w:color w:val="525252"/>
          <w:sz w:val="13"/>
        </w:rPr>
        <w:t>IAAFA’s mission is to provide military education and training to military personnel of the Americas and other eligible partner nations and its vision is to strengthen partnerships that advance shared interests and enable partner nations to act in support of aligned strategic objectives.</w:t>
      </w:r>
    </w:p>
    <w:p>
      <w:pPr>
        <w:spacing w:after="20" w:line="223" w:lineRule="auto"/>
        <w:jc w:val="right"/>
        <w:bidi/>
      </w:pPr>
      <w:r>
        <w:rPr>
          <w:rFonts w:ascii="Arial" w:hAnsi="Arial"/>
          <w:sz w:val="16"/>
        </w:rPr>
        <w:t>127.03  آکادمی USAF و مربیان مهمان از کشورهای مختلف شریک را به‌عنوان توانمندسازهای حیاتی برای ارائه بالاترین کیفیت آموزش در محل اقامت، آموزش تلفن همراه و یک محیط یادگیری مجازی برای حمایت از شرکای آمریکای لاتین ما از کشورهای آمریکای مرکزی، جنوبی و کارائیب ادغام می‌کند.</w:t>
      </w:r>
    </w:p>
    <w:p>
      <w:pPr>
        <w:spacing w:after="28" w:line="216" w:lineRule="auto"/>
        <w:ind w:left="259"/>
        <w:jc w:val="left"/>
      </w:pPr>
      <w:r>
        <w:rPr>
          <w:rFonts w:ascii="Arial" w:hAnsi="Arial"/>
          <w:color w:val="525252"/>
          <w:sz w:val="13"/>
        </w:rPr>
        <w:t>The Academy integrates USAF and guest instructors from different partner nations as critical enablers to provide the highest quality of in-residence training, mobile training, and a virtual learning environment to support of our Latin American partners from Central, South America, and Caribbean nations.</w:t>
      </w:r>
    </w:p>
    <w:p>
      <w:pPr>
        <w:spacing w:after="20" w:line="223" w:lineRule="auto"/>
        <w:jc w:val="right"/>
        <w:bidi/>
      </w:pPr>
      <w:r>
        <w:rPr>
          <w:rFonts w:ascii="Arial" w:hAnsi="Arial"/>
          <w:sz w:val="16"/>
        </w:rPr>
        <w:t>127.04  که در حال حاضر در پایگاه مشترک سن آنتونیو-لاکلند، تگزاس واقع شده است، IAAFA به‌طور متوسط سالانه ۹۰۰ دانشجو فارغ‌التحصیل می‌کند، بیش از ۳۵۰۰۰ دانش‌آموز را در تاریخ ۷۵ ساله خود فارغ‌التحصیل کرده است، و تنها مرکز PME را در USAF با قابلیت ارائه سه سطح آموزش نام نویسی شده، یک آکادمی نظامی حرفه‌ای اختصاص داده است. آکادمی درجه‌داران ارشد).</w:t>
      </w:r>
    </w:p>
    <w:p>
      <w:pPr>
        <w:spacing w:after="28" w:line="216" w:lineRule="auto"/>
        <w:ind w:left="259"/>
        <w:jc w:val="left"/>
      </w:pPr>
      <w:r>
        <w:rPr>
          <w:rFonts w:ascii="Arial" w:hAnsi="Arial"/>
          <w:color w:val="525252"/>
          <w:sz w:val="13"/>
        </w:rPr>
        <w:t>Currently located at Joint Base San Antonio-Lackland, Texas, IAAFA graduates an average of 900 students annually, it has graduated over 35,000 students in its 75-year history, and it allocates the only PME center in the USAF with the capability of offering the three enlisted tiers of professional military education (Airman Leadership School, Noncommissioned Officer Academy and Senior Noncommissioned Officer Academy).</w:t>
      </w:r>
    </w:p>
    <w:p>
      <w:pPr>
        <w:spacing w:after="20" w:line="223" w:lineRule="auto"/>
        <w:jc w:val="right"/>
        <w:bidi/>
      </w:pPr>
      <w:r>
        <w:rPr>
          <w:rFonts w:ascii="Arial" w:hAnsi="Arial"/>
          <w:sz w:val="16"/>
        </w:rPr>
        <w:t>127.05  آکادمی نیروهای هوایی بین اروپایی.</w:t>
      </w:r>
    </w:p>
    <w:p>
      <w:pPr>
        <w:spacing w:after="28" w:line="216" w:lineRule="auto"/>
        <w:ind w:left="259"/>
        <w:jc w:val="left"/>
      </w:pPr>
      <w:r>
        <w:rPr>
          <w:rFonts w:ascii="Arial" w:hAnsi="Arial"/>
          <w:color w:val="525252"/>
          <w:sz w:val="13"/>
        </w:rPr>
        <w:t>Inter-European Air Forces Academy.</w:t>
      </w:r>
    </w:p>
    <w:p>
      <w:pPr>
        <w:spacing w:after="20" w:line="223" w:lineRule="auto"/>
        <w:jc w:val="right"/>
        <w:bidi/>
      </w:pPr>
      <w:r>
        <w:rPr>
          <w:rFonts w:ascii="Arial" w:hAnsi="Arial"/>
          <w:sz w:val="16"/>
        </w:rPr>
        <w:t>127.06  آکادمی نیروهای هوایی بین اروپایی (IEAFA) در قانون عمومی ۱۰۶-۲۹۱، بخش ۱۲۶۸، قانون مجوز دفاع ملی کارل لوین و هوارد پی "باک" مک کئون برای سال مالی ۲۰۱۵، ۱۹ دسامبر ۲۰۱، به قانون ایالات متحده تصویب شد.</w:t>
      </w:r>
    </w:p>
    <w:p>
      <w:pPr>
        <w:spacing w:after="28" w:line="216" w:lineRule="auto"/>
        <w:ind w:left="259"/>
        <w:jc w:val="left"/>
      </w:pPr>
      <w:r>
        <w:rPr>
          <w:rFonts w:ascii="Arial" w:hAnsi="Arial"/>
          <w:color w:val="525252"/>
          <w:sz w:val="13"/>
        </w:rPr>
        <w:t>The Inter-European Air Forces Academy (IEAFA) was passed into U.S. law in the Public Law 106-291, Section 1268, Carl Levin and Howard P. “Buck” McKeon National Defense Authorization Act for Fiscal Year 2015, 19 December 2014.</w:t>
      </w:r>
    </w:p>
    <w:p>
      <w:pPr>
        <w:spacing w:after="20" w:line="223" w:lineRule="auto"/>
        <w:jc w:val="right"/>
        <w:bidi/>
      </w:pPr>
      <w:r>
        <w:rPr>
          <w:rFonts w:ascii="Arial" w:hAnsi="Arial"/>
          <w:sz w:val="16"/>
        </w:rPr>
        <w:t>127.07  در سال ۲۰۱۷، IEAFA به‌عنوان یک مرجع دائمی برای آموزش و آموزش کشورهای همکار تدوین شد.</w:t>
      </w:r>
    </w:p>
    <w:p>
      <w:pPr>
        <w:spacing w:after="28" w:line="216" w:lineRule="auto"/>
        <w:ind w:left="259"/>
        <w:jc w:val="left"/>
      </w:pPr>
      <w:r>
        <w:rPr>
          <w:rFonts w:ascii="Arial" w:hAnsi="Arial"/>
          <w:color w:val="525252"/>
          <w:sz w:val="13"/>
        </w:rPr>
        <w:t>In 2017, IEAFA was codified as a permanent authority to train and educate partner nations.</w:t>
      </w:r>
    </w:p>
    <w:p>
      <w:pPr>
        <w:spacing w:after="20" w:line="223" w:lineRule="auto"/>
        <w:jc w:val="right"/>
        <w:bidi/>
      </w:pPr>
      <w:r>
        <w:rPr>
          <w:rFonts w:ascii="Arial" w:hAnsi="Arial"/>
          <w:sz w:val="16"/>
        </w:rPr>
        <w:t>127.08  هدف IEAFA ارائه آموزش و آموزش نظامی به پرسنل نظامی کشورهای عضو سازمان پیمان آتلانتیک شمالی (ناتو) یا امضاکنندگان اسناد چارچوب مشارکت برای صلح (پفپ) است.</w:t>
      </w:r>
    </w:p>
    <w:p>
      <w:pPr>
        <w:spacing w:after="28" w:line="216" w:lineRule="auto"/>
        <w:ind w:left="259"/>
        <w:jc w:val="left"/>
      </w:pPr>
      <w:r>
        <w:rPr>
          <w:rFonts w:ascii="Arial" w:hAnsi="Arial"/>
          <w:color w:val="525252"/>
          <w:sz w:val="13"/>
        </w:rPr>
        <w:t>The purpose of IEAFA is to provide military education and training to military personnel of countries that are members of the North Atlantic Treaty Organization (NATO) or signatories to the Partnership for Peace (PfP) Framework Documents.</w:t>
      </w:r>
    </w:p>
    <w:p>
      <w:pPr>
        <w:spacing w:after="20" w:line="223" w:lineRule="auto"/>
        <w:jc w:val="right"/>
        <w:bidi/>
      </w:pPr>
      <w:r>
        <w:rPr>
          <w:rFonts w:ascii="Arial" w:hAnsi="Arial"/>
          <w:sz w:val="16"/>
        </w:rPr>
        <w:t>127.09  مأموریت IEAFA فعال کردن عملیات هوایی مشترک و ترکیبی از طریق تقویت قابلیت‌ها و قابلیت‌های نیروی هوایی ناتو و پفپ از طریق آموزش و آموزش نظامی هدفمند است.</w:t>
      </w:r>
    </w:p>
    <w:p>
      <w:pPr>
        <w:spacing w:after="28" w:line="216" w:lineRule="auto"/>
        <w:ind w:left="259"/>
        <w:jc w:val="left"/>
      </w:pPr>
      <w:r>
        <w:rPr>
          <w:rFonts w:ascii="Arial" w:hAnsi="Arial"/>
          <w:color w:val="525252"/>
          <w:sz w:val="13"/>
        </w:rPr>
        <w:t>IEAFA's mission is to enable combined, joint air operations by strengthening NATO and PfP air force capabilities and interoperability through targeted military education and training.</w:t>
      </w:r>
    </w:p>
    <w:p>
      <w:pPr>
        <w:spacing w:after="20" w:line="223" w:lineRule="auto"/>
        <w:jc w:val="right"/>
        <w:bidi/>
      </w:pPr>
      <w:r>
        <w:rPr>
          <w:rFonts w:ascii="Arial" w:hAnsi="Arial"/>
          <w:sz w:val="16"/>
        </w:rPr>
        <w:t>127.10  آکادمی رسما در ۲۳ مارس ۲۰۱۶ فعال شد و تابع ستاد فرماندهی، نیروی هوایی ایالات متحده در اروپا و نیروی هوایی آفریقا (USAFE-AFAFRICA) و مرکز آمادگی رزمندگان واقع در ایستگاه هوایی ینسیدلرهوف، آلمان است.</w:t>
      </w:r>
    </w:p>
    <w:p>
      <w:pPr>
        <w:spacing w:after="28" w:line="216" w:lineRule="auto"/>
        <w:ind w:left="259"/>
        <w:jc w:val="left"/>
      </w:pPr>
      <w:r>
        <w:rPr>
          <w:rFonts w:ascii="Arial" w:hAnsi="Arial"/>
          <w:color w:val="525252"/>
          <w:sz w:val="13"/>
        </w:rPr>
        <w:t>The Academy was officially activated on 23 March 2016, and is subordinate to Headquarters, United States Air Forces in Europe &amp; Air Forces Africa (USAFE-AFAFRICA), and the Warrior Preparation Center located at Einsiedlerhof Air Station, Germany.</w:t>
      </w:r>
    </w:p>
    <w:p>
      <w:pPr>
        <w:spacing w:after="20" w:line="223" w:lineRule="auto"/>
        <w:jc w:val="right"/>
        <w:bidi/>
      </w:pPr>
      <w:r>
        <w:rPr>
          <w:rFonts w:ascii="Arial" w:hAnsi="Arial"/>
          <w:sz w:val="16"/>
        </w:rPr>
        <w:t>127.11  از زمان تأسیس، IEAFA بیش از ۵۰۰ دانشجو از ۳۲ کشور را آموزش داده و آموزش داده است.</w:t>
      </w:r>
    </w:p>
    <w:p>
      <w:pPr>
        <w:spacing w:after="28" w:line="216" w:lineRule="auto"/>
        <w:ind w:left="259"/>
        <w:jc w:val="left"/>
      </w:pPr>
      <w:r>
        <w:rPr>
          <w:rFonts w:ascii="Arial" w:hAnsi="Arial"/>
          <w:color w:val="525252"/>
          <w:sz w:val="13"/>
        </w:rPr>
        <w:t>Since its establishment, IEAFA has educated and trained more than 500 students from 32 countries.</w:t>
      </w:r>
    </w:p>
    <w:p>
      <w:pPr>
        <w:spacing w:after="20" w:line="223" w:lineRule="auto"/>
        <w:jc w:val="right"/>
        <w:bidi/>
      </w:pPr>
      <w:r>
        <w:rPr>
          <w:rFonts w:ascii="Arial" w:hAnsi="Arial"/>
          <w:sz w:val="16"/>
        </w:rPr>
        <w:t>127.12  با PME به‌عنوان تمرکز اصلی آکادمی، رویکرد منحصربه‌فرد IEAFA افسران و افسران افسران را در یک محیط آموزشی ترکیبی توسعه می‌دهد، تجربه یادگیری را بین رده‌ها ادغام می‌کند، بنابراین مزایای یک رابطه کاری حرفه‌ای و چگونگی موفقیت در مأموریت را نشان می‌دهد.</w:t>
      </w:r>
    </w:p>
    <w:p>
      <w:pPr>
        <w:spacing w:after="28" w:line="216" w:lineRule="auto"/>
        <w:ind w:left="259"/>
        <w:jc w:val="left"/>
      </w:pPr>
      <w:r>
        <w:rPr>
          <w:rFonts w:ascii="Arial" w:hAnsi="Arial"/>
          <w:color w:val="525252"/>
          <w:sz w:val="13"/>
        </w:rPr>
        <w:t>With PME as the Academy's primary focus, IEAFA's unique approach develops officers and NCOs in a combined learning environment, integrating the learning experience between the ranks, thus showcasing the benefit of a professional working relationship and how it drives mission success.</w:t>
      </w:r>
    </w:p>
    <w:p>
      <w:pPr>
        <w:spacing w:after="20" w:line="223" w:lineRule="auto"/>
        <w:jc w:val="right"/>
        <w:bidi/>
      </w:pPr>
      <w:r>
        <w:rPr>
          <w:rFonts w:ascii="Arial" w:hAnsi="Arial"/>
          <w:sz w:val="16"/>
        </w:rPr>
        <w:t>127.13  علاوه بر این، IEAFA در حال گسترش دوره‌های آموزشی فنی خود برای تقویت ظرفیت مشارکت در تئاتر اروپا برای رشته‌های خاص است که به نوبه خود ناتو را تقویت کرده و عملیات هوایی ترکیبی موفقیت‌آمیز را ممکن می‌سازد.</w:t>
      </w:r>
    </w:p>
    <w:p>
      <w:pPr>
        <w:spacing w:after="28" w:line="216" w:lineRule="auto"/>
        <w:ind w:left="259"/>
        <w:jc w:val="left"/>
      </w:pPr>
      <w:r>
        <w:rPr>
          <w:rFonts w:ascii="Arial" w:hAnsi="Arial"/>
          <w:color w:val="525252"/>
          <w:sz w:val="13"/>
        </w:rPr>
        <w:t>Additionally, IEAFA is expanding its technical training course offerings to boost partnership capacity in the European theater for specific disciplines, which in-turn strengthens NATO and enables successful combined air operations.</w:t>
      </w:r>
    </w:p>
    <w:p>
      <w:r>
        <w:br w:type="page"/>
      </w:r>
    </w:p>
    <w:p>
      <w:pPr>
        <w:spacing w:after="60"/>
        <w:jc w:val="right"/>
        <w:bidi/>
      </w:pPr>
      <w:r>
        <w:rPr>
          <w:rFonts w:ascii="Arial" w:hAnsi="Arial"/>
          <w:b/>
          <w:color w:val="1F4D78"/>
          <w:sz w:val="19"/>
        </w:rPr>
        <w:t>هفتهٔ 128  |  صفحهٔ منبع: 144</w:t>
      </w:r>
    </w:p>
    <w:p>
      <w:pPr>
        <w:spacing w:before="60" w:after="28"/>
        <w:jc w:val="right"/>
        <w:bidi/>
      </w:pPr>
      <w:r>
        <w:rPr>
          <w:b/>
          <w:color w:val="1F4D78"/>
          <w:sz w:val="18"/>
        </w:rPr>
        <w:t>بخش 7G - کالج جامعه نیروی هوایی</w:t>
      </w:r>
    </w:p>
    <w:p>
      <w:pPr>
        <w:spacing w:after="20"/>
        <w:ind w:left="259"/>
        <w:jc w:val="left"/>
      </w:pPr>
      <w:r>
        <w:rPr>
          <w:color w:val="555555"/>
          <w:sz w:val="12"/>
        </w:rPr>
        <w:t>Section 7G—Community College of the Air Force</w:t>
      </w:r>
    </w:p>
    <w:p>
      <w:pPr>
        <w:spacing w:before="60" w:after="28"/>
        <w:jc w:val="right"/>
        <w:bidi/>
      </w:pPr>
      <w:r>
        <w:rPr>
          <w:b/>
          <w:color w:val="1F4D78"/>
          <w:sz w:val="18"/>
        </w:rPr>
        <w:t>7.24. دانشکده اجتماعی برنامه نیروی هوایی</w:t>
      </w:r>
    </w:p>
    <w:p>
      <w:pPr>
        <w:spacing w:after="20"/>
        <w:ind w:left="259"/>
        <w:jc w:val="left"/>
      </w:pPr>
      <w:r>
        <w:rPr>
          <w:color w:val="555555"/>
          <w:sz w:val="12"/>
        </w:rPr>
        <w:t>7.24. Community College of the Air Force Program</w:t>
      </w:r>
    </w:p>
    <w:p>
      <w:pPr>
        <w:spacing w:after="20" w:line="223" w:lineRule="auto"/>
        <w:jc w:val="right"/>
        <w:bidi/>
      </w:pPr>
      <w:r>
        <w:rPr>
          <w:rFonts w:ascii="Arial" w:hAnsi="Arial"/>
          <w:sz w:val="16"/>
        </w:rPr>
        <w:t>128.03  USAF همیشه تأثیرات مثبت آموزش را بر پرسنل USAF تشخیص داده است و به‌طور مستمر برنامه‌های مختلفی را برای رفع نیازهای USAF، هوانوردان درجه‌دار آن و جامعه به‌عنوان یک کل ایجاد کرده است.</w:t>
      </w:r>
    </w:p>
    <w:p>
      <w:pPr>
        <w:spacing w:after="28" w:line="216" w:lineRule="auto"/>
        <w:ind w:left="259"/>
        <w:jc w:val="left"/>
      </w:pPr>
      <w:r>
        <w:rPr>
          <w:rFonts w:ascii="Arial" w:hAnsi="Arial"/>
          <w:color w:val="525252"/>
          <w:sz w:val="13"/>
        </w:rPr>
        <w:t>The USAF has always recognized the positive effects of education on USAF personnel and continually established various programs to meet the needs of the USAF, its enlisted Airmen, and society as a whole.</w:t>
      </w:r>
    </w:p>
    <w:p>
      <w:pPr>
        <w:spacing w:after="20" w:line="223" w:lineRule="auto"/>
        <w:jc w:val="right"/>
        <w:bidi/>
      </w:pPr>
      <w:r>
        <w:rPr>
          <w:rFonts w:ascii="Arial" w:hAnsi="Arial"/>
          <w:sz w:val="16"/>
        </w:rPr>
        <w:t>128.04  یکی از قابل توجه‌ترین برنامه ها، دانشکده اجتماعی نیروی هوایی (CCAF)، https://www.airuniversity.af.edu/Barnes/CCAF/ است.</w:t>
      </w:r>
    </w:p>
    <w:p>
      <w:pPr>
        <w:spacing w:after="28" w:line="216" w:lineRule="auto"/>
        <w:ind w:left="259"/>
        <w:jc w:val="left"/>
      </w:pPr>
      <w:r>
        <w:rPr>
          <w:rFonts w:ascii="Arial" w:hAnsi="Arial"/>
          <w:color w:val="525252"/>
          <w:sz w:val="13"/>
        </w:rPr>
        <w:t>One of the most notable programs is the Community College of the Air Force (CCAF), https://www.airuniversity.af.edu/Barnes/CCAF/.</w:t>
      </w:r>
    </w:p>
    <w:p>
      <w:pPr>
        <w:spacing w:after="20" w:line="223" w:lineRule="auto"/>
        <w:jc w:val="right"/>
        <w:bidi/>
      </w:pPr>
      <w:r>
        <w:rPr>
          <w:rFonts w:ascii="Arial" w:hAnsi="Arial"/>
          <w:sz w:val="16"/>
        </w:rPr>
        <w:t>128.05  میراث.</w:t>
      </w:r>
    </w:p>
    <w:p>
      <w:pPr>
        <w:spacing w:after="28" w:line="216" w:lineRule="auto"/>
        <w:ind w:left="259"/>
        <w:jc w:val="left"/>
      </w:pPr>
      <w:r>
        <w:rPr>
          <w:rFonts w:ascii="Arial" w:hAnsi="Arial"/>
          <w:color w:val="525252"/>
          <w:sz w:val="13"/>
        </w:rPr>
        <w:t>Legacy.</w:t>
      </w:r>
    </w:p>
    <w:p>
      <w:pPr>
        <w:spacing w:after="20" w:line="223" w:lineRule="auto"/>
        <w:jc w:val="right"/>
        <w:bidi/>
      </w:pPr>
      <w:r>
        <w:rPr>
          <w:rFonts w:ascii="Arial" w:hAnsi="Arial"/>
          <w:sz w:val="16"/>
        </w:rPr>
        <w:t>128.06  CCAF در سال ۱۹۷۲ برای به دست آوردن شناخت آکادمیک برای آموزش فنی رسمی که توسط مدارس USAF انجام شد، فعال شد.</w:t>
      </w:r>
    </w:p>
    <w:p>
      <w:pPr>
        <w:spacing w:after="28" w:line="216" w:lineRule="auto"/>
        <w:ind w:left="259"/>
        <w:jc w:val="left"/>
      </w:pPr>
      <w:r>
        <w:rPr>
          <w:rFonts w:ascii="Arial" w:hAnsi="Arial"/>
          <w:color w:val="525252"/>
          <w:sz w:val="13"/>
        </w:rPr>
        <w:t>The CCAF was activated in 1972 to gain academic recognition for formal technical training conducted by USAF schools.</w:t>
      </w:r>
    </w:p>
    <w:p>
      <w:pPr>
        <w:spacing w:after="20" w:line="223" w:lineRule="auto"/>
        <w:jc w:val="right"/>
        <w:bidi/>
      </w:pPr>
      <w:r>
        <w:rPr>
          <w:rFonts w:ascii="Arial" w:hAnsi="Arial"/>
          <w:sz w:val="16"/>
        </w:rPr>
        <w:t>128.07  در اواسط دهه ۱۹۷۰، بسیاری از مشاوران غیرنظامی گزارش دادند که استانداردهای CCAF از حداقل الزامات برنامه‌های مدرک کاردانی کالج جامعه غیرنظامی فراتر رفته است و USAF به دنبال مجوز اعطای مدرک از کنگره بود.</w:t>
      </w:r>
    </w:p>
    <w:p>
      <w:pPr>
        <w:spacing w:after="28" w:line="216" w:lineRule="auto"/>
        <w:ind w:left="259"/>
        <w:jc w:val="left"/>
      </w:pPr>
      <w:r>
        <w:rPr>
          <w:rFonts w:ascii="Arial" w:hAnsi="Arial"/>
          <w:color w:val="525252"/>
          <w:sz w:val="13"/>
        </w:rPr>
        <w:t>By the mid-1970s, many civilian consultants reported that CCAF standards exceeded the minimum requirements of civilian community college associate degree programs and the USAF sought degree-granting authority from Congress.</w:t>
      </w:r>
    </w:p>
    <w:p>
      <w:pPr>
        <w:spacing w:after="20" w:line="223" w:lineRule="auto"/>
        <w:jc w:val="right"/>
        <w:bidi/>
      </w:pPr>
      <w:r>
        <w:rPr>
          <w:rFonts w:ascii="Arial" w:hAnsi="Arial"/>
          <w:sz w:val="16"/>
        </w:rPr>
        <w:t>128.08  رئیس جمهور جرالد آر. فورد قانون عمومی ۹۴-۳۶۱، کنگره ۹۴، قانون را در ۱۴ ژوئیه ۱۹۷۶ امضا کرد که به فرماندهی آموزش هوایی (فرماندهی آموزش و پرورش و آموزش هوایی فعلی) اجازه داد تا مدرک دانشیار را اعطا کند.</w:t>
      </w:r>
    </w:p>
    <w:p>
      <w:pPr>
        <w:spacing w:after="28" w:line="216" w:lineRule="auto"/>
        <w:ind w:left="259"/>
        <w:jc w:val="left"/>
      </w:pPr>
      <w:r>
        <w:rPr>
          <w:rFonts w:ascii="Arial" w:hAnsi="Arial"/>
          <w:color w:val="525252"/>
          <w:sz w:val="13"/>
        </w:rPr>
        <w:t>President Gerald R. Ford signed Public Law 94-361, 94th Congress, An Act, on 14 July 1976 authorizing the Commander of Air Training Command (currently Air Education and Training Command) to confer the associate of applied science degree.</w:t>
      </w:r>
    </w:p>
    <w:p>
      <w:pPr>
        <w:spacing w:after="20" w:line="223" w:lineRule="auto"/>
        <w:jc w:val="right"/>
        <w:bidi/>
      </w:pPr>
      <w:r>
        <w:rPr>
          <w:rFonts w:ascii="Arial" w:hAnsi="Arial"/>
          <w:sz w:val="16"/>
        </w:rPr>
        <w:t>128.09  فرمانده فرماندهی آموزش و آموزش هوایی تا ۲۸ اکتبر ۲۰۰۴ مرجع اعطای مدرک CCAF باقی ماند.</w:t>
      </w:r>
    </w:p>
    <w:p>
      <w:pPr>
        <w:spacing w:after="28" w:line="216" w:lineRule="auto"/>
        <w:ind w:left="259"/>
        <w:jc w:val="left"/>
      </w:pPr>
      <w:r>
        <w:rPr>
          <w:rFonts w:ascii="Arial" w:hAnsi="Arial"/>
          <w:color w:val="525252"/>
          <w:sz w:val="13"/>
        </w:rPr>
        <w:t>The Commander of Air Education and Training Command remained CCAF’s degree-granting authority until 28 October 2004.</w:t>
      </w:r>
    </w:p>
    <w:p>
      <w:pPr>
        <w:spacing w:after="20" w:line="223" w:lineRule="auto"/>
        <w:jc w:val="right"/>
        <w:bidi/>
      </w:pPr>
      <w:r>
        <w:rPr>
          <w:rFonts w:ascii="Arial" w:hAnsi="Arial"/>
          <w:sz w:val="16"/>
        </w:rPr>
        <w:t>128.10  در آن تاریخ، زمانی که رئیس جمهور جورج دبلیو بوش قانون مجوز دفاع ملی سال مالی ۲۰۰۵، قانون عمومی ۱۰۸-۳۷۵ را امضا کرد، اختیار اعطای مدرک به فرمانده دانشگاه هوایی تغییر کرد.</w:t>
      </w:r>
    </w:p>
    <w:p>
      <w:pPr>
        <w:spacing w:after="28" w:line="216" w:lineRule="auto"/>
        <w:ind w:left="259"/>
        <w:jc w:val="left"/>
      </w:pPr>
      <w:r>
        <w:rPr>
          <w:rFonts w:ascii="Arial" w:hAnsi="Arial"/>
          <w:color w:val="525252"/>
          <w:sz w:val="13"/>
        </w:rPr>
        <w:t>On that date, degree-granting authority changed to the Commander of Air University when President George W. Bush signed the Public Law 108-375, Fiscal Year 2005 National Defense Authorization Act.</w:t>
      </w:r>
    </w:p>
    <w:p>
      <w:pPr>
        <w:spacing w:after="20" w:line="223" w:lineRule="auto"/>
        <w:jc w:val="right"/>
        <w:bidi/>
      </w:pPr>
      <w:r>
        <w:rPr>
          <w:rFonts w:ascii="Arial" w:hAnsi="Arial"/>
          <w:sz w:val="16"/>
        </w:rPr>
        <w:t>128.11  مرکز اداری CCAF در پایگاه نیروی هوایی ماکسولل-گونتر اننکس، آلاباما واقع شده است.</w:t>
      </w:r>
    </w:p>
    <w:p>
      <w:pPr>
        <w:spacing w:after="28" w:line="216" w:lineRule="auto"/>
        <w:ind w:left="259"/>
        <w:jc w:val="left"/>
      </w:pPr>
      <w:r>
        <w:rPr>
          <w:rFonts w:ascii="Arial" w:hAnsi="Arial"/>
          <w:color w:val="525252"/>
          <w:sz w:val="13"/>
        </w:rPr>
        <w:t>The CCAF administrative center is located at Maxwell Air Force Base-Gunter Annex, Alabama.</w:t>
      </w:r>
    </w:p>
    <w:p>
      <w:pPr>
        <w:spacing w:after="20" w:line="223" w:lineRule="auto"/>
        <w:jc w:val="right"/>
        <w:bidi/>
      </w:pPr>
      <w:r>
        <w:rPr>
          <w:rFonts w:ascii="Arial" w:hAnsi="Arial"/>
          <w:sz w:val="16"/>
        </w:rPr>
        <w:t>128.12  یکی از چندین موسسه اعطای مدرک فدرال است. با این حال، این تنها سیستم کالج محلی در وزارت دفاع و موسسه دو ساله است که به‌طور انحصاری به پرسنل سرباز خدمت می‌کند.</w:t>
      </w:r>
    </w:p>
    <w:p>
      <w:pPr>
        <w:spacing w:after="28" w:line="216" w:lineRule="auto"/>
        <w:ind w:left="259"/>
        <w:jc w:val="left"/>
      </w:pPr>
      <w:r>
        <w:rPr>
          <w:rFonts w:ascii="Arial" w:hAnsi="Arial"/>
          <w:color w:val="525252"/>
          <w:sz w:val="13"/>
        </w:rPr>
        <w:t>It is one of several federally chartered degree-granting institutions; however, it is the only community college system within the Department of Defense and two-year institution exclusively serving enlisted personnel.</w:t>
      </w:r>
    </w:p>
    <w:p>
      <w:pPr>
        <w:spacing w:after="20" w:line="223" w:lineRule="auto"/>
        <w:jc w:val="right"/>
        <w:bidi/>
      </w:pPr>
      <w:r>
        <w:rPr>
          <w:rFonts w:ascii="Arial" w:hAnsi="Arial"/>
          <w:sz w:val="16"/>
        </w:rPr>
        <w:t>128.13  در طول سال‌ها، کالج هم از نظر تعداد و هم به‌عنوان بزرگ‌ترین سیستم کالج جامعه چند پردیسی در جهان شناخته شده است.</w:t>
      </w:r>
    </w:p>
    <w:p>
      <w:pPr>
        <w:spacing w:after="28" w:line="216" w:lineRule="auto"/>
        <w:ind w:left="259"/>
        <w:jc w:val="left"/>
      </w:pPr>
      <w:r>
        <w:rPr>
          <w:rFonts w:ascii="Arial" w:hAnsi="Arial"/>
          <w:color w:val="525252"/>
          <w:sz w:val="13"/>
        </w:rPr>
        <w:t>Over the years the College has grown both in numbers and recognition as the largest multi-campus community college system in the world.</w:t>
      </w:r>
    </w:p>
    <w:p>
      <w:pPr>
        <w:spacing w:after="20" w:line="223" w:lineRule="auto"/>
        <w:jc w:val="right"/>
        <w:bidi/>
      </w:pPr>
      <w:r>
        <w:rPr>
          <w:rFonts w:ascii="Arial" w:hAnsi="Arial"/>
          <w:sz w:val="16"/>
        </w:rPr>
        <w:t>128.14  امروز، بیش از ۶۵۰۰ هیئت علمی CCAF بیش از ۲۰۰۰ دوره اعطای اعتبار را در بیش از ۱۰۰ پردیس آموزشی وابسته در سراسر جهان به بیش از ۲۷۰۰۰۰ دانش‌آموز ارائه می‌دهند.</w:t>
      </w:r>
    </w:p>
    <w:p>
      <w:pPr>
        <w:spacing w:after="28" w:line="216" w:lineRule="auto"/>
        <w:ind w:left="259"/>
        <w:jc w:val="left"/>
      </w:pPr>
      <w:r>
        <w:rPr>
          <w:rFonts w:ascii="Arial" w:hAnsi="Arial"/>
          <w:color w:val="525252"/>
          <w:sz w:val="13"/>
        </w:rPr>
        <w:t>Today, more than 6,500 CCAF faculty deliver more than 2,000 credit-awarding courses at more than 100 affiliated school campuses worldwide to more than 270,000 students.</w:t>
      </w:r>
    </w:p>
    <w:p>
      <w:pPr>
        <w:spacing w:after="20" w:line="223" w:lineRule="auto"/>
        <w:jc w:val="right"/>
        <w:bidi/>
      </w:pPr>
      <w:r>
        <w:rPr>
          <w:rFonts w:ascii="Arial" w:hAnsi="Arial"/>
          <w:sz w:val="16"/>
        </w:rPr>
        <w:t>128.15  هر سال بیش از ۱.۶ میلیون ساعت ترم اعتبار دانشگاهی در کلاس‌های درس CCAF به دست می‌آید.</w:t>
      </w:r>
    </w:p>
    <w:p>
      <w:pPr>
        <w:spacing w:after="28" w:line="216" w:lineRule="auto"/>
        <w:ind w:left="259"/>
        <w:jc w:val="left"/>
      </w:pPr>
      <w:r>
        <w:rPr>
          <w:rFonts w:ascii="Arial" w:hAnsi="Arial"/>
          <w:color w:val="525252"/>
          <w:sz w:val="13"/>
        </w:rPr>
        <w:t>Each year more than 1.6 million semester hours of collegiate credit are earned in CCAF classrooms.</w:t>
      </w:r>
    </w:p>
    <w:p>
      <w:pPr>
        <w:spacing w:after="20" w:line="223" w:lineRule="auto"/>
        <w:jc w:val="right"/>
        <w:bidi/>
      </w:pPr>
      <w:r>
        <w:rPr>
          <w:rFonts w:ascii="Arial" w:hAnsi="Arial"/>
          <w:sz w:val="16"/>
        </w:rPr>
        <w:t>128.16  در ۱۰ سال گذشته بیش از یک میلیون رونوشت رسمی صادر شده است.</w:t>
      </w:r>
    </w:p>
    <w:p>
      <w:pPr>
        <w:spacing w:after="28" w:line="216" w:lineRule="auto"/>
        <w:ind w:left="259"/>
        <w:jc w:val="left"/>
      </w:pPr>
      <w:r>
        <w:rPr>
          <w:rFonts w:ascii="Arial" w:hAnsi="Arial"/>
          <w:color w:val="525252"/>
          <w:sz w:val="13"/>
        </w:rPr>
        <w:t>More than one million official transcripts have been issued in the last 10 years.</w:t>
      </w:r>
    </w:p>
    <w:p>
      <w:pPr>
        <w:spacing w:after="20" w:line="223" w:lineRule="auto"/>
        <w:jc w:val="right"/>
        <w:bidi/>
      </w:pPr>
      <w:r>
        <w:rPr>
          <w:rFonts w:ascii="Arial" w:hAnsi="Arial"/>
          <w:sz w:val="16"/>
        </w:rPr>
        <w:t>128.17  از اولین مدرک آن در سال ۱۹۷۷، بیش از ۵۸۰۰۰۰ مدرک کاردانی علوم کاربردی CCAF اعطا شده است.</w:t>
      </w:r>
    </w:p>
    <w:p>
      <w:pPr>
        <w:spacing w:after="28" w:line="216" w:lineRule="auto"/>
        <w:ind w:left="259"/>
        <w:jc w:val="left"/>
      </w:pPr>
      <w:r>
        <w:rPr>
          <w:rFonts w:ascii="Arial" w:hAnsi="Arial"/>
          <w:color w:val="525252"/>
          <w:sz w:val="13"/>
        </w:rPr>
        <w:t>Since its first degree in 1977, more than 580,000 CCAF associate of applied science degrees have been awarded.</w:t>
      </w:r>
    </w:p>
    <w:p>
      <w:pPr>
        <w:spacing w:after="20" w:line="223" w:lineRule="auto"/>
        <w:jc w:val="right"/>
        <w:bidi/>
      </w:pPr>
      <w:r>
        <w:rPr>
          <w:rFonts w:ascii="Arial" w:hAnsi="Arial"/>
          <w:sz w:val="16"/>
        </w:rPr>
        <w:t>128.18  مأموریت.</w:t>
      </w:r>
    </w:p>
    <w:p>
      <w:pPr>
        <w:spacing w:after="28" w:line="216" w:lineRule="auto"/>
        <w:ind w:left="259"/>
        <w:jc w:val="left"/>
      </w:pPr>
      <w:r>
        <w:rPr>
          <w:rFonts w:ascii="Arial" w:hAnsi="Arial"/>
          <w:color w:val="525252"/>
          <w:sz w:val="13"/>
        </w:rPr>
        <w:t>Mission.</w:t>
      </w:r>
    </w:p>
    <w:p>
      <w:pPr>
        <w:spacing w:after="20" w:line="223" w:lineRule="auto"/>
        <w:jc w:val="right"/>
        <w:bidi/>
      </w:pPr>
      <w:r>
        <w:rPr>
          <w:rFonts w:ascii="Arial" w:hAnsi="Arial"/>
          <w:sz w:val="16"/>
        </w:rPr>
        <w:t>128.19  از طریق آموزش، آموزش، و تجربه نظامی، مسیرهای دریافت مدرک و مدارک را برای افراد حرفه‌ای فراهم کنید.</w:t>
      </w:r>
    </w:p>
    <w:p>
      <w:pPr>
        <w:spacing w:after="28" w:line="216" w:lineRule="auto"/>
        <w:ind w:left="259"/>
        <w:jc w:val="left"/>
      </w:pPr>
      <w:r>
        <w:rPr>
          <w:rFonts w:ascii="Arial" w:hAnsi="Arial"/>
          <w:color w:val="525252"/>
          <w:sz w:val="13"/>
        </w:rPr>
        <w:t>Provide enlisted professionals pathways to degrees and credentials through military education, training, and experience.</w:t>
      </w:r>
    </w:p>
    <w:p>
      <w:pPr>
        <w:spacing w:after="20" w:line="223" w:lineRule="auto"/>
        <w:jc w:val="right"/>
        <w:bidi/>
      </w:pPr>
      <w:r>
        <w:rPr>
          <w:rFonts w:ascii="Arial" w:hAnsi="Arial"/>
          <w:sz w:val="16"/>
        </w:rPr>
        <w:t>128.20  CCAF مدرک کاردانی علوم کاربردی را به کل نیروی هوایی ارتش اعطا می‌کند.</w:t>
      </w:r>
    </w:p>
    <w:p>
      <w:pPr>
        <w:spacing w:after="28" w:line="216" w:lineRule="auto"/>
        <w:ind w:left="259"/>
        <w:jc w:val="left"/>
      </w:pPr>
      <w:r>
        <w:rPr>
          <w:rFonts w:ascii="Arial" w:hAnsi="Arial"/>
          <w:color w:val="525252"/>
          <w:sz w:val="13"/>
        </w:rPr>
        <w:t>CCAF awards the associate of applied science degree to total force enlisted Airmen.</w:t>
      </w:r>
    </w:p>
    <w:p>
      <w:pPr>
        <w:spacing w:after="20" w:line="223" w:lineRule="auto"/>
        <w:jc w:val="right"/>
        <w:bidi/>
      </w:pPr>
      <w:r>
        <w:rPr>
          <w:rFonts w:ascii="Arial" w:hAnsi="Arial"/>
          <w:sz w:val="16"/>
        </w:rPr>
        <w:t>128.21  کالج برنامه‌های مدرک علمی کاربردی را در چهار گروه شغلی گسترده ارائه می‌دهد: (۱) عملیات، (۲) تدارکات، (۳) پزشکی، و (۴) پشتیبانی.</w:t>
      </w:r>
    </w:p>
    <w:p>
      <w:pPr>
        <w:spacing w:after="28" w:line="216" w:lineRule="auto"/>
        <w:ind w:left="259"/>
        <w:jc w:val="left"/>
      </w:pPr>
      <w:r>
        <w:rPr>
          <w:rFonts w:ascii="Arial" w:hAnsi="Arial"/>
          <w:color w:val="525252"/>
          <w:sz w:val="13"/>
        </w:rPr>
        <w:t>The college offers associate of applied science degree programs in four broad career groups: (1) operations, (2) logistics, (3) medical, and (4) support.</w:t>
      </w:r>
    </w:p>
    <w:p>
      <w:pPr>
        <w:spacing w:after="20" w:line="223" w:lineRule="auto"/>
        <w:jc w:val="right"/>
        <w:bidi/>
      </w:pPr>
      <w:r>
        <w:rPr>
          <w:rFonts w:ascii="Arial" w:hAnsi="Arial"/>
          <w:sz w:val="16"/>
        </w:rPr>
        <w:t>128.22  اعتبار سنجی.</w:t>
      </w:r>
    </w:p>
    <w:p>
      <w:pPr>
        <w:spacing w:after="28" w:line="216" w:lineRule="auto"/>
        <w:ind w:left="259"/>
        <w:jc w:val="left"/>
      </w:pPr>
      <w:r>
        <w:rPr>
          <w:rFonts w:ascii="Arial" w:hAnsi="Arial"/>
          <w:color w:val="525252"/>
          <w:sz w:val="13"/>
        </w:rPr>
        <w:t>Accreditation.</w:t>
      </w:r>
    </w:p>
    <w:p>
      <w:pPr>
        <w:spacing w:after="20" w:line="223" w:lineRule="auto"/>
        <w:jc w:val="right"/>
        <w:bidi/>
      </w:pPr>
      <w:r>
        <w:rPr>
          <w:rFonts w:ascii="Arial" w:hAnsi="Arial"/>
          <w:sz w:val="16"/>
        </w:rPr>
        <w:t>128.23  وزارت آموزش اعتبار را اینگونه تعریف می‌کند: «تشخیص اینکه یک مؤسسه استانداردهای لازم را برای فارغ‌التحصیلان خود برای پذیرش در سایر مؤسسات معتبر آموزش عالی یا کسب اعتبار برای فعالیت حرفه‌ای حفظ می‌کند». هدف از اعتباربخشی این است که اطمینان حاصل شود که آموزش ارائه شده توسط مؤسسات آموزش عالی با استانداردهای قابل قبول مطابقت دارد.</w:t>
      </w:r>
    </w:p>
    <w:p>
      <w:pPr>
        <w:spacing w:after="28" w:line="216" w:lineRule="auto"/>
        <w:ind w:left="259"/>
        <w:jc w:val="left"/>
      </w:pPr>
      <w:r>
        <w:rPr>
          <w:rFonts w:ascii="Arial" w:hAnsi="Arial"/>
          <w:color w:val="525252"/>
          <w:sz w:val="13"/>
        </w:rPr>
        <w:t>The Department of Education defines accreditation as, “the recognition that an institution maintains standards requisite for its graduates to gain admission to other reputable institutions of higher learning or to achieve credentials for professional practice.” The goal of accreditation is to ensure that education provided by institutions of higher learning meets acceptable standards.</w:t>
      </w:r>
    </w:p>
    <w:p>
      <w:pPr>
        <w:spacing w:after="20" w:line="223" w:lineRule="auto"/>
        <w:jc w:val="right"/>
        <w:bidi/>
      </w:pPr>
      <w:r>
        <w:rPr>
          <w:rFonts w:ascii="Arial" w:hAnsi="Arial"/>
          <w:sz w:val="16"/>
        </w:rPr>
        <w:t>128.24  در ایالات متحده، اعتبار یک مؤسسه روش اصلی برای دانش‌آموزان، مقامات دولتی، کارفرمایان و مؤسسات دانشگاهی است تا بدانند یک مؤسسه آموزش با کیفیتی ارائه می‌کند.</w:t>
      </w:r>
    </w:p>
    <w:p>
      <w:pPr>
        <w:spacing w:after="28" w:line="216" w:lineRule="auto"/>
        <w:ind w:left="259"/>
        <w:jc w:val="left"/>
      </w:pPr>
      <w:r>
        <w:rPr>
          <w:rFonts w:ascii="Arial" w:hAnsi="Arial"/>
          <w:color w:val="525252"/>
          <w:sz w:val="13"/>
        </w:rPr>
        <w:t>In the United States, an institution’s accreditation is a major method for students, government officials, employers, and academic institutions to know that an institution provides quality education.</w:t>
      </w:r>
    </w:p>
    <w:p>
      <w:pPr>
        <w:spacing w:after="20" w:line="223" w:lineRule="auto"/>
        <w:jc w:val="right"/>
        <w:bidi/>
      </w:pPr>
      <w:r>
        <w:rPr>
          <w:rFonts w:ascii="Arial" w:hAnsi="Arial"/>
          <w:sz w:val="16"/>
        </w:rPr>
        <w:t>128.25  CCAF بخشی از دانشگاه هوایی است.</w:t>
      </w:r>
    </w:p>
    <w:p>
      <w:pPr>
        <w:spacing w:after="28" w:line="216" w:lineRule="auto"/>
        <w:ind w:left="259"/>
        <w:jc w:val="left"/>
      </w:pPr>
      <w:r>
        <w:rPr>
          <w:rFonts w:ascii="Arial" w:hAnsi="Arial"/>
          <w:color w:val="525252"/>
          <w:sz w:val="13"/>
        </w:rPr>
        <w:t>CCAF is a part of Air University.</w:t>
      </w:r>
    </w:p>
    <w:p>
      <w:pPr>
        <w:spacing w:after="20" w:line="223" w:lineRule="auto"/>
        <w:jc w:val="right"/>
        <w:bidi/>
      </w:pPr>
      <w:r>
        <w:rPr>
          <w:rFonts w:ascii="Arial" w:hAnsi="Arial"/>
          <w:sz w:val="16"/>
        </w:rPr>
        <w:t>128.26  دانشگاه هوایی توسط کمیسیون جنوب کالج‌ها و مدارس در کالج‌ها برای اعطای مدارک کاردانی، کارشناسی ارشد و دکترا معتبر است.</w:t>
      </w:r>
    </w:p>
    <w:p>
      <w:pPr>
        <w:spacing w:after="28" w:line="216" w:lineRule="auto"/>
        <w:ind w:left="259"/>
        <w:jc w:val="left"/>
      </w:pPr>
      <w:r>
        <w:rPr>
          <w:rFonts w:ascii="Arial" w:hAnsi="Arial"/>
          <w:color w:val="525252"/>
          <w:sz w:val="13"/>
        </w:rPr>
        <w:t>Air University is accredited by the Southern Association of Colleges and Schools Commission on Colleges to award the associate, master’s, and doctoral degrees.</w:t>
      </w:r>
    </w:p>
    <w:p>
      <w:pPr>
        <w:spacing w:after="20" w:line="223" w:lineRule="auto"/>
        <w:jc w:val="right"/>
        <w:bidi/>
      </w:pPr>
      <w:r>
        <w:rPr>
          <w:rFonts w:ascii="Arial" w:hAnsi="Arial"/>
          <w:sz w:val="16"/>
        </w:rPr>
        <w:t>128.27  مدرک کاردانی از CCAF تحت اختیارات دانشگاه هوایی اعطا می‌شود.</w:t>
      </w:r>
    </w:p>
    <w:p>
      <w:pPr>
        <w:spacing w:after="28" w:line="216" w:lineRule="auto"/>
        <w:ind w:left="259"/>
        <w:jc w:val="left"/>
      </w:pPr>
      <w:r>
        <w:rPr>
          <w:rFonts w:ascii="Arial" w:hAnsi="Arial"/>
          <w:color w:val="525252"/>
          <w:sz w:val="13"/>
        </w:rPr>
        <w:t>The associate degree from CCAF is awarded under the authority of Air University.</w:t>
      </w:r>
    </w:p>
    <w:p>
      <w:pPr>
        <w:spacing w:after="20" w:line="223" w:lineRule="auto"/>
        <w:jc w:val="right"/>
        <w:bidi/>
      </w:pPr>
      <w:r>
        <w:rPr>
          <w:rFonts w:ascii="Arial" w:hAnsi="Arial"/>
          <w:sz w:val="16"/>
        </w:rPr>
        <w:t>128.28  کاردانی علمی کاربردی.</w:t>
      </w:r>
    </w:p>
    <w:p>
      <w:pPr>
        <w:spacing w:after="28" w:line="216" w:lineRule="auto"/>
        <w:ind w:left="259"/>
        <w:jc w:val="left"/>
      </w:pPr>
      <w:r>
        <w:rPr>
          <w:rFonts w:ascii="Arial" w:hAnsi="Arial"/>
          <w:color w:val="525252"/>
          <w:sz w:val="13"/>
        </w:rPr>
        <w:t>Associate of Applied Science Degree.</w:t>
      </w:r>
    </w:p>
    <w:p>
      <w:pPr>
        <w:spacing w:after="20" w:line="223" w:lineRule="auto"/>
        <w:jc w:val="right"/>
        <w:bidi/>
      </w:pPr>
      <w:r>
        <w:rPr>
          <w:rFonts w:ascii="Arial" w:hAnsi="Arial"/>
          <w:sz w:val="16"/>
        </w:rPr>
        <w:t>128.29  مدارک کاردانی به دست آمده در برنامه‌های حرفه‌ای، فنی یا پایانه معمولا مدرک کاردانی علوم کاربردی نامیده می‌شود.</w:t>
      </w:r>
    </w:p>
    <w:p>
      <w:pPr>
        <w:spacing w:after="28" w:line="216" w:lineRule="auto"/>
        <w:ind w:left="259"/>
        <w:jc w:val="left"/>
      </w:pPr>
      <w:r>
        <w:rPr>
          <w:rFonts w:ascii="Arial" w:hAnsi="Arial"/>
          <w:color w:val="525252"/>
          <w:sz w:val="13"/>
        </w:rPr>
        <w:t>Associate degrees earned in professional, technical, or terminal programs are frequently called associate of applied science degrees.</w:t>
      </w:r>
    </w:p>
    <w:p>
      <w:pPr>
        <w:spacing w:after="20" w:line="223" w:lineRule="auto"/>
        <w:jc w:val="right"/>
        <w:bidi/>
      </w:pPr>
      <w:r>
        <w:rPr>
          <w:rFonts w:ascii="Arial" w:hAnsi="Arial"/>
          <w:sz w:val="16"/>
        </w:rPr>
        <w:t>128.30  آموزشی</w:t>
      </w:r>
    </w:p>
    <w:p>
      <w:pPr>
        <w:spacing w:after="28" w:line="216" w:lineRule="auto"/>
        <w:ind w:left="259"/>
        <w:jc w:val="left"/>
      </w:pPr>
      <w:r>
        <w:rPr>
          <w:rFonts w:ascii="Arial" w:hAnsi="Arial"/>
          <w:color w:val="525252"/>
          <w:sz w:val="13"/>
        </w:rPr>
        <w:t>The educational</w:t>
      </w:r>
    </w:p>
    <w:p>
      <w:r>
        <w:br w:type="page"/>
      </w:r>
    </w:p>
    <w:p>
      <w:pPr>
        <w:spacing w:after="60"/>
        <w:jc w:val="right"/>
        <w:bidi/>
      </w:pPr>
      <w:r>
        <w:rPr>
          <w:rFonts w:ascii="Arial" w:hAnsi="Arial"/>
          <w:b/>
          <w:color w:val="1F4D78"/>
          <w:sz w:val="19"/>
        </w:rPr>
        <w:t>هفتهٔ 129  |  صفحهٔ منبع: 145</w:t>
      </w:r>
    </w:p>
    <w:p>
      <w:pPr>
        <w:spacing w:after="20" w:line="223" w:lineRule="auto"/>
        <w:jc w:val="right"/>
        <w:bidi/>
      </w:pPr>
      <w:r>
        <w:rPr>
          <w:rFonts w:ascii="Arial" w:hAnsi="Arial"/>
          <w:sz w:val="16"/>
        </w:rPr>
        <w:t>129.01  برای مدرک کاردانی علمی کاربردی برای دانشجویانی طراحی شده است که قصد دارند بر اساس شایستگی‌ها و مهارت‌های کسب شده از طریق این برنامه‌ها به دنبال استخدام باشند و دانش و مهارت‌های علمی، فنی و حرفه‌ای مورد نیاز برای کسب، حفظ و ارتقاء شغل را ارائه دهند.</w:t>
      </w:r>
    </w:p>
    <w:p>
      <w:pPr>
        <w:spacing w:after="28" w:line="216" w:lineRule="auto"/>
        <w:ind w:left="259"/>
        <w:jc w:val="left"/>
      </w:pPr>
      <w:r>
        <w:rPr>
          <w:rFonts w:ascii="Arial" w:hAnsi="Arial"/>
          <w:color w:val="525252"/>
          <w:sz w:val="13"/>
        </w:rPr>
        <w:t>standard for the associate of applied science degree is designed for students who plan to seek employment based upon the competencies and skills attained through these programs and to offer the academic, technical, and professional knowledge and skills required for job acquisition, retention, and advancement.</w:t>
      </w:r>
    </w:p>
    <w:p>
      <w:pPr>
        <w:spacing w:after="20" w:line="223" w:lineRule="auto"/>
        <w:jc w:val="right"/>
        <w:bidi/>
      </w:pPr>
      <w:r>
        <w:rPr>
          <w:rFonts w:ascii="Arial" w:hAnsi="Arial"/>
          <w:sz w:val="16"/>
        </w:rPr>
        <w:t>129.02  اگرچه برای پاسخگویی به نیازهای دانشجویانی که به یک موسسه چهار ساله منتقل می‌شوند طراحی نشده است، بخش‌هایی از این برنامه‌ها اغلب این کار را انجام می‌دهند. ۳۰۰۳</w:t>
      </w:r>
    </w:p>
    <w:p>
      <w:pPr>
        <w:spacing w:after="28" w:line="216" w:lineRule="auto"/>
        <w:ind w:left="259"/>
        <w:jc w:val="left"/>
      </w:pPr>
      <w:r>
        <w:rPr>
          <w:rFonts w:ascii="Arial" w:hAnsi="Arial"/>
          <w:color w:val="525252"/>
          <w:sz w:val="13"/>
        </w:rPr>
        <w:t>While not designed to meet the needs of students who transfer to a four-year institution, portions of these programs often do so.</w:t>
      </w:r>
    </w:p>
    <w:p>
      <w:pPr>
        <w:spacing w:after="20" w:line="223" w:lineRule="auto"/>
        <w:jc w:val="right"/>
        <w:bidi/>
      </w:pPr>
      <w:r>
        <w:rPr>
          <w:rFonts w:ascii="Arial" w:hAnsi="Arial"/>
          <w:sz w:val="16"/>
        </w:rPr>
        <w:t>129.03  CCAF مدرک کاردانی علمی کاربردی را از طریق ترکیبی از اعتبارات دانشگاهی که از طریق دوره‌های آموزش فنی رسمی تکمیل شده ارائه شده در مدارس وابسته به CCAF و دوره‌های تکمیل شده در کالج‌های غیرنظامی معتبر یا اعتبار با آزمون به دست می‌آید، ارائه می‌دهد و اعطا می‌کند.</w:t>
      </w:r>
    </w:p>
    <w:p>
      <w:pPr>
        <w:spacing w:after="28" w:line="216" w:lineRule="auto"/>
        <w:ind w:left="259"/>
        <w:jc w:val="left"/>
      </w:pPr>
      <w:r>
        <w:rPr>
          <w:rFonts w:ascii="Arial" w:hAnsi="Arial"/>
          <w:color w:val="525252"/>
          <w:sz w:val="13"/>
        </w:rPr>
        <w:t>The CCAF offers and awards the associate of applied science degree through a combination of collegiate credit earned through completed formal technical training courses delivered at CCAF affiliated schools and courses completed at accredited civilian colleges or credit by examination.</w:t>
      </w:r>
    </w:p>
    <w:p>
      <w:pPr>
        <w:spacing w:after="20" w:line="223" w:lineRule="auto"/>
        <w:jc w:val="right"/>
        <w:bidi/>
      </w:pPr>
      <w:r>
        <w:rPr>
          <w:rFonts w:ascii="Arial" w:hAnsi="Arial"/>
          <w:sz w:val="16"/>
        </w:rPr>
        <w:t>129.04  از آنجایی که هوانوردان درجه‌دار دائما در حال جابجایی در انجام وظایف خود هستند، CCAF ابزاری را برای تکمیل مدارک مورد نیاز بدون توجه به محل مأموریت فراهم می‌کند.</w:t>
      </w:r>
    </w:p>
    <w:p>
      <w:pPr>
        <w:spacing w:after="28" w:line="216" w:lineRule="auto"/>
        <w:ind w:left="259"/>
        <w:jc w:val="left"/>
      </w:pPr>
      <w:r>
        <w:rPr>
          <w:rFonts w:ascii="Arial" w:hAnsi="Arial"/>
          <w:color w:val="525252"/>
          <w:sz w:val="13"/>
        </w:rPr>
        <w:t>Since enlisted Airmen are constantly relocating in performance of their duties, the CCAF provides a means of completing degree requirements regardless of location of assignment.</w:t>
      </w:r>
    </w:p>
    <w:p>
      <w:pPr>
        <w:spacing w:after="20" w:line="223" w:lineRule="auto"/>
        <w:jc w:val="right"/>
        <w:bidi/>
      </w:pPr>
      <w:r>
        <w:rPr>
          <w:rFonts w:ascii="Arial" w:hAnsi="Arial"/>
          <w:sz w:val="16"/>
        </w:rPr>
        <w:t>129.05  هوانوردان درجه‌دار به‌طور خودکار در CCAF مرتبط با برنامه درجه علمی کاربردی که برای تخصص USAF آنها در نزدیکی اتمام آموزش نظامی اولیه طراحی شده است، ثبت‌نام می‌شوند.</w:t>
      </w:r>
    </w:p>
    <w:p>
      <w:pPr>
        <w:spacing w:after="28" w:line="216" w:lineRule="auto"/>
        <w:ind w:left="259"/>
        <w:jc w:val="left"/>
      </w:pPr>
      <w:r>
        <w:rPr>
          <w:rFonts w:ascii="Arial" w:hAnsi="Arial"/>
          <w:color w:val="525252"/>
          <w:sz w:val="13"/>
        </w:rPr>
        <w:t>Enlisted Airmen are automatically registered in the CCAF associated of applied science degree program designed for their USAF specialty near their completion of basic military training.</w:t>
      </w:r>
    </w:p>
    <w:p>
      <w:pPr>
        <w:spacing w:after="20" w:line="223" w:lineRule="auto"/>
        <w:jc w:val="right"/>
        <w:bidi/>
      </w:pPr>
      <w:r>
        <w:rPr>
          <w:rFonts w:ascii="Arial" w:hAnsi="Arial"/>
          <w:sz w:val="16"/>
        </w:rPr>
        <w:t>129.06  از کاتالوگ عمومی CCAF ۲۰۲۲-۲۰۲۴، فارغ‌التحصیلان مدرک باید شرایط تحصیلی ۶۰ ساعت ترم تحصیلی را تکمیل کنند، حداقل سطح مهارت ۵ جوورنیمان یا معادل آن را داشته باشند، حداقل ۹ ساعت ترم از اعتبار موسسه CCAF در مدرک تحصیلی کاربردی-تکنولوژی و فنی کاربردی داشته باشند. حداقل ۱۵ ساعت ترم اعتبار سازمانی CCAF به‌طور کلی اعمال می‌شود.</w:t>
      </w:r>
    </w:p>
    <w:p>
      <w:pPr>
        <w:spacing w:after="28" w:line="216" w:lineRule="auto"/>
        <w:ind w:left="259"/>
        <w:jc w:val="left"/>
      </w:pPr>
      <w:r>
        <w:rPr>
          <w:rFonts w:ascii="Arial" w:hAnsi="Arial"/>
          <w:color w:val="525252"/>
          <w:sz w:val="13"/>
        </w:rPr>
        <w:t>Effective with the 2022-2024 CCAF General Catalog, degree graduates must complete the 60 semester-hour academic requirements, hold at least the Journeyman 5-skill level or equivalent, have a minimum of 9 semester hours of CCAF institutional credit in degree-applicable Technical Education (non-Military Technology and Applied Sciences Management), and have a minimum of 15 semester hours of CCAF institutional credit applied overall.</w:t>
      </w:r>
    </w:p>
    <w:p>
      <w:pPr>
        <w:spacing w:after="20" w:line="223" w:lineRule="auto"/>
        <w:jc w:val="right"/>
        <w:bidi/>
      </w:pPr>
      <w:r>
        <w:rPr>
          <w:rFonts w:ascii="Arial" w:hAnsi="Arial"/>
          <w:sz w:val="16"/>
        </w:rPr>
        <w:t>129.07  که معمولا به‌عنوان "اقامت" شناخته می‌شود، اعتبار سازمانی اعتباری است که از دوره‌های اعطای اعتبار CCAF به دست می‌آید.</w:t>
      </w:r>
    </w:p>
    <w:p>
      <w:pPr>
        <w:spacing w:after="28" w:line="216" w:lineRule="auto"/>
        <w:ind w:left="259"/>
        <w:jc w:val="left"/>
      </w:pPr>
      <w:r>
        <w:rPr>
          <w:rFonts w:ascii="Arial" w:hAnsi="Arial"/>
          <w:color w:val="525252"/>
          <w:sz w:val="13"/>
        </w:rPr>
        <w:t>Commonly known as “Residency”, institutional credit is credit earned from CCAF credit-awarding courses.</w:t>
      </w:r>
    </w:p>
    <w:p>
      <w:pPr>
        <w:spacing w:before="60" w:after="28"/>
        <w:jc w:val="right"/>
        <w:bidi/>
      </w:pPr>
      <w:r>
        <w:rPr>
          <w:b/>
          <w:color w:val="1F4D78"/>
          <w:sz w:val="18"/>
        </w:rPr>
        <w:t>جدول 7.1. الزامات آموزشی برای کاردانی معمولی CCAF در مقطع علمی کاربردی و الزامات ترم-ساعت در هر حوزه موضوعی را مشخص می کند.</w:t>
      </w:r>
    </w:p>
    <w:p>
      <w:pPr>
        <w:spacing w:after="20"/>
        <w:ind w:left="259"/>
        <w:jc w:val="left"/>
      </w:pPr>
      <w:r>
        <w:rPr>
          <w:color w:val="555555"/>
          <w:sz w:val="12"/>
        </w:rPr>
        <w:t>Table 7.1. specifies the educational requirements for the typical CCAF associate of applied science degree and the semester-hour requirements in each subject area.</w:t>
      </w:r>
    </w:p>
    <w:p>
      <w:pPr>
        <w:spacing w:after="20" w:line="223" w:lineRule="auto"/>
        <w:jc w:val="right"/>
        <w:bidi/>
      </w:pPr>
      <w:r>
        <w:rPr>
          <w:rFonts w:ascii="Arial" w:hAnsi="Arial"/>
          <w:sz w:val="16"/>
        </w:rPr>
        <w:t>129.09  ساعات ترم مورد نیاز مدرک تحصیلی آموزش فنی ۲۴ مطالعات رهبری، مدیریت و نظامی ۶ رشته انتخابی برنامه ۱۵ الزامات آموزش عمومی ارتباطات کتبی (ترکیب انگلیسی) ۳ ارتباطات شفاهی (گفتار) ۳ علوم اجتماعی ۳۰ کل ریاضی ۳</w:t>
      </w:r>
    </w:p>
    <w:p>
      <w:pPr>
        <w:spacing w:after="28" w:line="216" w:lineRule="auto"/>
        <w:ind w:left="259"/>
        <w:jc w:val="left"/>
      </w:pPr>
      <w:r>
        <w:rPr>
          <w:rFonts w:ascii="Arial" w:hAnsi="Arial"/>
          <w:color w:val="525252"/>
          <w:sz w:val="13"/>
        </w:rPr>
        <w:t>Semester Hours Degree Requirements Needed Technical Education 24 Leadership, Management, and Military Studies 6 Program Electives 15 General Education Requirements Written Communication (English Composition) 3 Oral Communication (Speech) 3 Mathematics 3 Social Science 3 Humanities 3 Total: 60</w:t>
      </w:r>
    </w:p>
    <w:p>
      <w:pPr>
        <w:spacing w:before="60" w:after="28"/>
        <w:jc w:val="right"/>
        <w:bidi/>
      </w:pPr>
      <w:r>
        <w:rPr>
          <w:b/>
          <w:color w:val="1F4D78"/>
          <w:sz w:val="18"/>
        </w:rPr>
        <w:t>جدول 7.1. ساختار برنامه مدرک دانشیار علوم کاربردی CCAF</w:t>
      </w:r>
    </w:p>
    <w:p>
      <w:pPr>
        <w:spacing w:after="20"/>
        <w:ind w:left="259"/>
        <w:jc w:val="left"/>
      </w:pPr>
      <w:r>
        <w:rPr>
          <w:color w:val="555555"/>
          <w:sz w:val="12"/>
        </w:rPr>
        <w:t>Table 7.1. CCAF Associate of Applied Science Degree Program Structure</w:t>
      </w:r>
    </w:p>
    <w:p>
      <w:pPr>
        <w:spacing w:after="20" w:line="223" w:lineRule="auto"/>
        <w:jc w:val="right"/>
        <w:bidi/>
      </w:pPr>
      <w:r>
        <w:rPr>
          <w:rFonts w:ascii="Arial" w:hAnsi="Arial"/>
          <w:sz w:val="16"/>
        </w:rPr>
        <w:t>129.11  اعتبار دانشگاهی.</w:t>
      </w:r>
    </w:p>
    <w:p>
      <w:pPr>
        <w:spacing w:after="28" w:line="216" w:lineRule="auto"/>
        <w:ind w:left="259"/>
        <w:jc w:val="left"/>
      </w:pPr>
      <w:r>
        <w:rPr>
          <w:rFonts w:ascii="Arial" w:hAnsi="Arial"/>
          <w:color w:val="525252"/>
          <w:sz w:val="13"/>
        </w:rPr>
        <w:t>Collegiate Credit.</w:t>
      </w:r>
    </w:p>
    <w:p>
      <w:pPr>
        <w:spacing w:after="20" w:line="223" w:lineRule="auto"/>
        <w:jc w:val="right"/>
        <w:bidi/>
      </w:pPr>
      <w:r>
        <w:rPr>
          <w:rFonts w:ascii="Arial" w:hAnsi="Arial"/>
          <w:sz w:val="16"/>
        </w:rPr>
        <w:t>129.12  CCAF اعتبار علمی دانشگاهی را برای دوره‌های تحصیلی قابل اجرا در مدارس نظامی وابسته اعطا می‌کند.</w:t>
      </w:r>
    </w:p>
    <w:p>
      <w:pPr>
        <w:spacing w:after="28" w:line="216" w:lineRule="auto"/>
        <w:ind w:left="259"/>
        <w:jc w:val="left"/>
      </w:pPr>
      <w:r>
        <w:rPr>
          <w:rFonts w:ascii="Arial" w:hAnsi="Arial"/>
          <w:color w:val="525252"/>
          <w:sz w:val="13"/>
        </w:rPr>
        <w:t>The CCAF awards collegiate academic credit for degree-applicable courses delivered at affiliated military schools.</w:t>
      </w:r>
    </w:p>
    <w:p>
      <w:pPr>
        <w:spacing w:after="20" w:line="223" w:lineRule="auto"/>
        <w:jc w:val="right"/>
        <w:bidi/>
      </w:pPr>
      <w:r>
        <w:rPr>
          <w:rFonts w:ascii="Arial" w:hAnsi="Arial"/>
          <w:sz w:val="16"/>
        </w:rPr>
        <w:t>129.13  کالج انتقال اعتبار از سایر کالج‌های معتبر را می‌پذیرد تا برای الزامات برنامه مدرک خاص اعمال شود.</w:t>
      </w:r>
    </w:p>
    <w:p>
      <w:pPr>
        <w:spacing w:after="28" w:line="216" w:lineRule="auto"/>
        <w:ind w:left="259"/>
        <w:jc w:val="left"/>
      </w:pPr>
      <w:r>
        <w:rPr>
          <w:rFonts w:ascii="Arial" w:hAnsi="Arial"/>
          <w:color w:val="525252"/>
          <w:sz w:val="13"/>
        </w:rPr>
        <w:t>The College does accept credit in-transfer from other accredited colleges to be applied toward specific degree program requirements.</w:t>
      </w:r>
    </w:p>
    <w:p>
      <w:pPr>
        <w:spacing w:after="20" w:line="223" w:lineRule="auto"/>
        <w:jc w:val="right"/>
        <w:bidi/>
      </w:pPr>
      <w:r>
        <w:rPr>
          <w:rFonts w:ascii="Arial" w:hAnsi="Arial"/>
          <w:sz w:val="16"/>
        </w:rPr>
        <w:t>129.14  دوره‌های آموزش عمومی که در حین انتقال پذیرفته می‌شوند، باید با استانداردهای انجمن کالج‌ها و دانشکده‌های جنوبی در مورد استانداردهای کالج‌ها، و دانشگاه هوایی و سیاست‌های انتقالی CCAF مطابقت داشته باشند.</w:t>
      </w:r>
    </w:p>
    <w:p>
      <w:pPr>
        <w:spacing w:after="28" w:line="216" w:lineRule="auto"/>
        <w:ind w:left="259"/>
        <w:jc w:val="left"/>
      </w:pPr>
      <w:r>
        <w:rPr>
          <w:rFonts w:ascii="Arial" w:hAnsi="Arial"/>
          <w:color w:val="525252"/>
          <w:sz w:val="13"/>
        </w:rPr>
        <w:t>General education courses accepted in-transfer must meet Southern Association of Colleges and School Commission on Colleges standards, and Air University and CCAF in-transfer policy.</w:t>
      </w:r>
    </w:p>
    <w:p>
      <w:pPr>
        <w:spacing w:after="20" w:line="223" w:lineRule="auto"/>
        <w:jc w:val="right"/>
        <w:bidi/>
      </w:pPr>
      <w:r>
        <w:rPr>
          <w:rFonts w:ascii="Arial" w:hAnsi="Arial"/>
          <w:sz w:val="16"/>
        </w:rPr>
        <w:t>129.15  دانش‌آموزان همچنین می‌توانند اعتبار دانشگاهی CCAF را برای اعتبارنامه‌های حرفه‌ای ملی خاص (مجوز یا گواهینامه) که توسط کالج تأیید شده است برای ارضای آموزش فنی برنامه درجه قابل اجرا و</w:t>
      </w:r>
    </w:p>
    <w:p>
      <w:pPr>
        <w:spacing w:after="28" w:line="216" w:lineRule="auto"/>
        <w:ind w:left="259"/>
        <w:jc w:val="left"/>
      </w:pPr>
      <w:r>
        <w:rPr>
          <w:rFonts w:ascii="Arial" w:hAnsi="Arial"/>
          <w:color w:val="525252"/>
          <w:sz w:val="13"/>
        </w:rPr>
        <w:t>Students may also earn CCAF collegiate credit for specific national professional credentials (licensure or certification) that are approved by the College to satisfy applicable degree program technical education and</w:t>
      </w:r>
    </w:p>
    <w:p>
      <w:r>
        <w:br w:type="page"/>
      </w:r>
    </w:p>
    <w:p>
      <w:pPr>
        <w:spacing w:after="60"/>
        <w:jc w:val="right"/>
        <w:bidi/>
      </w:pPr>
      <w:r>
        <w:rPr>
          <w:rFonts w:ascii="Arial" w:hAnsi="Arial"/>
          <w:b/>
          <w:color w:val="1F4D78"/>
          <w:sz w:val="19"/>
        </w:rPr>
        <w:t>هفتهٔ 130  |  صفحهٔ منبع: 146</w:t>
      </w:r>
    </w:p>
    <w:p>
      <w:pPr>
        <w:spacing w:after="20" w:line="223" w:lineRule="auto"/>
        <w:jc w:val="right"/>
        <w:bidi/>
      </w:pPr>
      <w:r>
        <w:rPr>
          <w:rFonts w:ascii="Arial" w:hAnsi="Arial"/>
          <w:sz w:val="16"/>
        </w:rPr>
        <w:t>130.01  .</w:t>
      </w:r>
    </w:p>
    <w:p>
      <w:pPr>
        <w:spacing w:after="28" w:line="216" w:lineRule="auto"/>
        <w:ind w:left="259"/>
        <w:jc w:val="left"/>
      </w:pPr>
      <w:r>
        <w:rPr>
          <w:rFonts w:ascii="Arial" w:hAnsi="Arial"/>
          <w:color w:val="525252"/>
          <w:sz w:val="13"/>
        </w:rPr>
        <w:t>program elective requirements.</w:t>
      </w:r>
    </w:p>
    <w:p>
      <w:pPr>
        <w:spacing w:after="20" w:line="223" w:lineRule="auto"/>
        <w:jc w:val="right"/>
        <w:bidi/>
      </w:pPr>
      <w:r>
        <w:rPr>
          <w:rFonts w:ascii="Arial" w:hAnsi="Arial"/>
          <w:sz w:val="16"/>
        </w:rPr>
        <w:t>130.02  دوره‌هایی که در مدارس غیروابسته به CCAF یا توسط اساتید غیر CCAF ارائه می‌شوند، توسط CCAF تأیید نشده‌اند و اعتبار علمی CCAF به آنها تعلق نمی‌گیرد.</w:t>
      </w:r>
    </w:p>
    <w:p>
      <w:pPr>
        <w:spacing w:after="28" w:line="216" w:lineRule="auto"/>
        <w:ind w:left="259"/>
        <w:jc w:val="left"/>
      </w:pPr>
      <w:r>
        <w:rPr>
          <w:rFonts w:ascii="Arial" w:hAnsi="Arial"/>
          <w:color w:val="525252"/>
          <w:sz w:val="13"/>
        </w:rPr>
        <w:t>Courses that are delivered at schools not affiliated with CCAF or by non-CCAF faculty are not certified by CCAF and are not awarded CCAF academic credit.</w:t>
      </w:r>
    </w:p>
    <w:p>
      <w:pPr>
        <w:spacing w:after="20" w:line="223" w:lineRule="auto"/>
        <w:jc w:val="right"/>
        <w:bidi/>
      </w:pPr>
      <w:r>
        <w:rPr>
          <w:rFonts w:ascii="Arial" w:hAnsi="Arial"/>
          <w:sz w:val="16"/>
        </w:rPr>
        <w:t>130.03  کاتالوگ عمومی CCAF (https://www.airuniversity.af.edu/Portals/10/CCAF/documents/2022- ۲۰۲۴_CCAF_گنرال_کاتالوگ-چانگ۱.پدف) اطلاعات خط‌مشی مربوط به پذیرش دوره‌های اعتباری دوره‌ای را برای برنامه‌های تحصیلی معتبر حرفه‌ای و سایر برنامه‌های مدرک معتبر حرفه‌ای ارائه می‌کند.</w:t>
      </w:r>
    </w:p>
    <w:p>
      <w:pPr>
        <w:spacing w:after="28" w:line="216" w:lineRule="auto"/>
        <w:ind w:left="259"/>
        <w:jc w:val="left"/>
      </w:pPr>
      <w:r>
        <w:rPr>
          <w:rFonts w:ascii="Arial" w:hAnsi="Arial"/>
          <w:color w:val="525252"/>
          <w:sz w:val="13"/>
        </w:rPr>
        <w:t>The CCAF General Catalog (https://www.airuniversity.af.edu/Portals/10/CCAF/documents/2022- 2024_CCAF_General_Catalog-Change1.pdf) provides policy information concerning acceptance of course credit in- transfer from other accredited colleges and professional credentialing credit for application toward specific degree programs.</w:t>
      </w:r>
    </w:p>
    <w:p>
      <w:pPr>
        <w:spacing w:after="20" w:line="223" w:lineRule="auto"/>
        <w:jc w:val="right"/>
        <w:bidi/>
      </w:pPr>
      <w:r>
        <w:rPr>
          <w:rFonts w:ascii="Arial" w:hAnsi="Arial"/>
          <w:sz w:val="16"/>
        </w:rPr>
        <w:t>130.04  سیستم اطلاعات دانشجویان دانشگاه هوایی (AUSIS).</w:t>
      </w:r>
    </w:p>
    <w:p>
      <w:pPr>
        <w:spacing w:after="28" w:line="216" w:lineRule="auto"/>
        <w:ind w:left="259"/>
        <w:jc w:val="left"/>
      </w:pPr>
      <w:r>
        <w:rPr>
          <w:rFonts w:ascii="Arial" w:hAnsi="Arial"/>
          <w:color w:val="525252"/>
          <w:sz w:val="13"/>
        </w:rPr>
        <w:t>Air University Student Information System (AUSIS).</w:t>
      </w:r>
    </w:p>
    <w:p>
      <w:pPr>
        <w:spacing w:after="20" w:line="223" w:lineRule="auto"/>
        <w:jc w:val="right"/>
        <w:bidi/>
      </w:pPr>
      <w:r>
        <w:rPr>
          <w:rFonts w:ascii="Arial" w:hAnsi="Arial"/>
          <w:sz w:val="16"/>
        </w:rPr>
        <w:t>130.05  AUSIS اطلاعات آکادمیک به موقع و دقیقی را درباره پیشرفت برنامه CCAF اسسوکیات وف اپپلید سکینک در اختیار دانش‌آموزان قرار می‌دهد.</w:t>
      </w:r>
    </w:p>
    <w:p>
      <w:pPr>
        <w:spacing w:after="28" w:line="216" w:lineRule="auto"/>
        <w:ind w:left="259"/>
        <w:jc w:val="left"/>
      </w:pPr>
      <w:r>
        <w:rPr>
          <w:rFonts w:ascii="Arial" w:hAnsi="Arial"/>
          <w:color w:val="525252"/>
          <w:sz w:val="13"/>
        </w:rPr>
        <w:t>The AUSIS provides students with timely and accurate academic information pertaining to CCAF Associate of Applied Science degree program progression.</w:t>
      </w:r>
    </w:p>
    <w:p>
      <w:pPr>
        <w:spacing w:after="20" w:line="223" w:lineRule="auto"/>
        <w:jc w:val="right"/>
        <w:bidi/>
      </w:pPr>
      <w:r>
        <w:rPr>
          <w:rFonts w:ascii="Arial" w:hAnsi="Arial"/>
          <w:sz w:val="16"/>
        </w:rPr>
        <w:t>130.06  این منبع مبتنی بر وب از طریق پیوند وب یا از مرکز آموزش مجازی نیروی هوایی (AFVEC) قابل دسترسی است و به دانش‌آموزان امکان می‌دهد ممیزی مدرک CCAF خود را که به‌عنوان گزارش پیشرفت دانش‌آموز نیز شناخته می‌شود، مشاهده کنند.</w:t>
      </w:r>
    </w:p>
    <w:p>
      <w:pPr>
        <w:spacing w:after="28" w:line="216" w:lineRule="auto"/>
        <w:ind w:left="259"/>
        <w:jc w:val="left"/>
      </w:pPr>
      <w:r>
        <w:rPr>
          <w:rFonts w:ascii="Arial" w:hAnsi="Arial"/>
          <w:color w:val="525252"/>
          <w:sz w:val="13"/>
        </w:rPr>
        <w:t>This web-based resource is accessible via weblink or from the Air Force Virtual Education Center (AFVEC), enabling students to view their CCAF degree audit, also known as the student progress report.</w:t>
      </w:r>
    </w:p>
    <w:p>
      <w:pPr>
        <w:spacing w:after="20" w:line="223" w:lineRule="auto"/>
        <w:jc w:val="right"/>
        <w:bidi/>
      </w:pPr>
      <w:r>
        <w:rPr>
          <w:rFonts w:ascii="Arial" w:hAnsi="Arial"/>
          <w:sz w:val="16"/>
        </w:rPr>
        <w:t>130.07  برنامه تعاونی کاردانی به‌کارشناسی دانشگاه هوایی.</w:t>
      </w:r>
    </w:p>
    <w:p>
      <w:pPr>
        <w:spacing w:after="28" w:line="216" w:lineRule="auto"/>
        <w:ind w:left="259"/>
        <w:jc w:val="left"/>
      </w:pPr>
      <w:r>
        <w:rPr>
          <w:rFonts w:ascii="Arial" w:hAnsi="Arial"/>
          <w:color w:val="525252"/>
          <w:sz w:val="13"/>
        </w:rPr>
        <w:t>Air University Associate-to-Baccalaureate Cooperative Program.</w:t>
      </w:r>
    </w:p>
    <w:p>
      <w:pPr>
        <w:spacing w:after="20" w:line="223" w:lineRule="auto"/>
        <w:jc w:val="right"/>
        <w:bidi/>
      </w:pPr>
      <w:r>
        <w:rPr>
          <w:rFonts w:ascii="Arial" w:hAnsi="Arial"/>
          <w:sz w:val="16"/>
        </w:rPr>
        <w:t>130.08  برنامه تعاونی دانشگاه هوایی اسسوکیات-تو-باککالاورات (AU-ABC) (https://afvec.us.af.mil/afvec/au-) دانشیار برنامه‌های مدرک علمی کاربردی CCAF را به کالج‌ها و دانشگاه‌های معتبر چهار ساله که فرصت هایی برای فارغ‌التحصیلان لیسانس آنلاین ارائه می‌دهند، مرتبط می‌کند.</w:t>
      </w:r>
    </w:p>
    <w:p>
      <w:pPr>
        <w:spacing w:after="28" w:line="216" w:lineRule="auto"/>
        <w:ind w:left="259"/>
        <w:jc w:val="left"/>
      </w:pPr>
      <w:r>
        <w:rPr>
          <w:rFonts w:ascii="Arial" w:hAnsi="Arial"/>
          <w:color w:val="525252"/>
          <w:sz w:val="13"/>
        </w:rPr>
        <w:t>The Air University Associate-to-Baccalaureate Cooperative (AU-ABC) program (https://afvec.us.af.mil/afvec/au- abc/welcome) links CCAF associate of applied science degree programs to accredited four-year colleges and universities that provide online bachelor degree opportunities to CCAF graduates.</w:t>
      </w:r>
    </w:p>
    <w:p>
      <w:pPr>
        <w:spacing w:after="20" w:line="223" w:lineRule="auto"/>
        <w:jc w:val="right"/>
        <w:bidi/>
      </w:pPr>
      <w:r>
        <w:rPr>
          <w:rFonts w:ascii="Arial" w:hAnsi="Arial"/>
          <w:sz w:val="16"/>
        </w:rPr>
        <w:t>130.09  هر برنامه مدرک AU-ABC به یک یا چند دانشیار CCAF در رشته‌های علمی کاربردی مرتبط است.</w:t>
      </w:r>
    </w:p>
    <w:p>
      <w:pPr>
        <w:spacing w:after="28" w:line="216" w:lineRule="auto"/>
        <w:ind w:left="259"/>
        <w:jc w:val="left"/>
      </w:pPr>
      <w:r>
        <w:rPr>
          <w:rFonts w:ascii="Arial" w:hAnsi="Arial"/>
          <w:color w:val="525252"/>
          <w:sz w:val="13"/>
        </w:rPr>
        <w:t>Each AU-ABC degree program is linked to one or more CCAF associate of applied science degrees.</w:t>
      </w:r>
    </w:p>
    <w:p>
      <w:pPr>
        <w:spacing w:after="20" w:line="223" w:lineRule="auto"/>
        <w:jc w:val="right"/>
        <w:bidi/>
      </w:pPr>
      <w:r>
        <w:rPr>
          <w:rFonts w:ascii="Arial" w:hAnsi="Arial"/>
          <w:sz w:val="16"/>
        </w:rPr>
        <w:t>130.10  برای شرکت در برنامه AU-ABC، هوانوردان ثبت‌نام شده باید در حال حاضر در رگاف، رزرو نیروی هوایی، یا گارد ملی هوایی خدمت کنند.</w:t>
      </w:r>
    </w:p>
    <w:p>
      <w:pPr>
        <w:spacing w:after="28" w:line="216" w:lineRule="auto"/>
        <w:ind w:left="259"/>
        <w:jc w:val="left"/>
      </w:pPr>
      <w:r>
        <w:rPr>
          <w:rFonts w:ascii="Arial" w:hAnsi="Arial"/>
          <w:color w:val="525252"/>
          <w:sz w:val="13"/>
        </w:rPr>
        <w:t>To participate in the AU-ABC Program, enlisted Airmen must be currently serving in the RegAF, Air Force Reserves, or Air National Guard.</w:t>
      </w:r>
    </w:p>
    <w:p>
      <w:pPr>
        <w:spacing w:after="20" w:line="223" w:lineRule="auto"/>
        <w:jc w:val="right"/>
        <w:bidi/>
      </w:pPr>
      <w:r>
        <w:rPr>
          <w:rFonts w:ascii="Arial" w:hAnsi="Arial"/>
          <w:sz w:val="16"/>
        </w:rPr>
        <w:t>130.11  پس از ثبت‌نام، دانشجو می‌تواند شرایط تکمیل مدرک را پس از بازنشستگی یا جدایی ادامه دهد.</w:t>
      </w:r>
    </w:p>
    <w:p>
      <w:pPr>
        <w:spacing w:after="28" w:line="216" w:lineRule="auto"/>
        <w:ind w:left="259"/>
        <w:jc w:val="left"/>
      </w:pPr>
      <w:r>
        <w:rPr>
          <w:rFonts w:ascii="Arial" w:hAnsi="Arial"/>
          <w:color w:val="525252"/>
          <w:sz w:val="13"/>
        </w:rPr>
        <w:t>Once enrolled, the student may continue degree completion requirements after retirement or separation.</w:t>
      </w:r>
    </w:p>
    <w:p>
      <w:pPr>
        <w:spacing w:after="20" w:line="223" w:lineRule="auto"/>
        <w:jc w:val="right"/>
        <w:bidi/>
      </w:pPr>
      <w:r>
        <w:rPr>
          <w:rFonts w:ascii="Arial" w:hAnsi="Arial"/>
          <w:sz w:val="16"/>
        </w:rPr>
        <w:t>130.12  موبایل آموزش عمومی (GEM).</w:t>
      </w:r>
    </w:p>
    <w:p>
      <w:pPr>
        <w:spacing w:after="28" w:line="216" w:lineRule="auto"/>
        <w:ind w:left="259"/>
        <w:jc w:val="left"/>
      </w:pPr>
      <w:r>
        <w:rPr>
          <w:rFonts w:ascii="Arial" w:hAnsi="Arial"/>
          <w:color w:val="525252"/>
          <w:sz w:val="13"/>
        </w:rPr>
        <w:t>General Education Mobile (GEM).</w:t>
      </w:r>
    </w:p>
    <w:p>
      <w:pPr>
        <w:spacing w:after="20" w:line="223" w:lineRule="auto"/>
        <w:jc w:val="right"/>
        <w:bidi/>
      </w:pPr>
      <w:r>
        <w:rPr>
          <w:rFonts w:ascii="Arial" w:hAnsi="Arial"/>
          <w:sz w:val="16"/>
        </w:rPr>
        <w:t>130.13  موبایل آموزش عمومی (GEM) (https://afvec.us.af.mil/afvec/gem/welcome) دانش‌آموزان CCAF را به کالج‌ها و دانشگاه‌های معتبری که دوره‌های آنلاین در سطح دانش‌آموزان سال اول و دوم را برای برآوردن الزامات آموزش عمومی CCAF ارائه می‌دهند، پیوند می‌دهد.</w:t>
      </w:r>
    </w:p>
    <w:p>
      <w:pPr>
        <w:spacing w:after="28" w:line="216" w:lineRule="auto"/>
        <w:ind w:left="259"/>
        <w:jc w:val="left"/>
      </w:pPr>
      <w:r>
        <w:rPr>
          <w:rFonts w:ascii="Arial" w:hAnsi="Arial"/>
          <w:color w:val="525252"/>
          <w:sz w:val="13"/>
        </w:rPr>
        <w:t>The General Education Mobile (GEM) (https://afvec.us.af.mil/afvec/gem/welcome) links CCAF students to accredited colleges and universities offering online freshman-and-sophomore-level courses to satisfy CCAF general education requirements.</w:t>
      </w:r>
    </w:p>
    <w:p>
      <w:pPr>
        <w:spacing w:after="20" w:line="223" w:lineRule="auto"/>
        <w:jc w:val="right"/>
        <w:bidi/>
      </w:pPr>
      <w:r>
        <w:rPr>
          <w:rFonts w:ascii="Arial" w:hAnsi="Arial"/>
          <w:sz w:val="16"/>
        </w:rPr>
        <w:t>130.14  برنامه‌های اعتبارسنجی حرفه‌ای.</w:t>
      </w:r>
    </w:p>
    <w:p>
      <w:pPr>
        <w:spacing w:after="28" w:line="216" w:lineRule="auto"/>
        <w:ind w:left="259"/>
        <w:jc w:val="left"/>
      </w:pPr>
      <w:r>
        <w:rPr>
          <w:rFonts w:ascii="Arial" w:hAnsi="Arial"/>
          <w:color w:val="525252"/>
          <w:sz w:val="13"/>
        </w:rPr>
        <w:t>Professional Credentialing Programs.</w:t>
      </w:r>
    </w:p>
    <w:p>
      <w:pPr>
        <w:spacing w:after="20" w:line="223" w:lineRule="auto"/>
        <w:jc w:val="right"/>
        <w:bidi/>
      </w:pPr>
      <w:r>
        <w:rPr>
          <w:rFonts w:ascii="Arial" w:hAnsi="Arial"/>
          <w:sz w:val="16"/>
        </w:rPr>
        <w:t>130.15  درست مانند آموزش عالی، اعتبارنامه حرفه‌ای یک عنصر مهم در توسعه نیرو است زیرا اعتبارنامه‌های به‌روز شناخته شده صنعت را برای مشاغل USAF ارائه می‌کند.</w:t>
      </w:r>
    </w:p>
    <w:p>
      <w:pPr>
        <w:spacing w:after="28" w:line="216" w:lineRule="auto"/>
        <w:ind w:left="259"/>
        <w:jc w:val="left"/>
      </w:pPr>
      <w:r>
        <w:rPr>
          <w:rFonts w:ascii="Arial" w:hAnsi="Arial"/>
          <w:color w:val="525252"/>
          <w:sz w:val="13"/>
        </w:rPr>
        <w:t>Just like higher-education, professional credentialing is an important element of force development as it provides up-to-date industry-recognized credentials applicable to USAF occupations.</w:t>
      </w:r>
    </w:p>
    <w:p>
      <w:pPr>
        <w:spacing w:after="20" w:line="223" w:lineRule="auto"/>
        <w:jc w:val="right"/>
        <w:bidi/>
      </w:pPr>
      <w:r>
        <w:rPr>
          <w:rFonts w:ascii="Arial" w:hAnsi="Arial"/>
          <w:sz w:val="16"/>
        </w:rPr>
        <w:t>130.16  CCAF برنامه‌های تأیید صلاحیت را برای کمک به هوانوردان در گسترش توسعه حرفه‌ای خود ارائه می‌دهد.</w:t>
      </w:r>
    </w:p>
    <w:p>
      <w:pPr>
        <w:spacing w:after="28" w:line="216" w:lineRule="auto"/>
        <w:ind w:left="259"/>
        <w:jc w:val="left"/>
      </w:pPr>
      <w:r>
        <w:rPr>
          <w:rFonts w:ascii="Arial" w:hAnsi="Arial"/>
          <w:color w:val="525252"/>
          <w:sz w:val="13"/>
        </w:rPr>
        <w:t>CCAF offers credentialing programs to assist enlisted Airmen in broadening their professional development.</w:t>
      </w:r>
    </w:p>
    <w:p>
      <w:pPr>
        <w:spacing w:after="20" w:line="223" w:lineRule="auto"/>
        <w:jc w:val="right"/>
        <w:bidi/>
      </w:pPr>
      <w:r>
        <w:rPr>
          <w:rFonts w:ascii="Arial" w:hAnsi="Arial"/>
          <w:sz w:val="16"/>
        </w:rPr>
        <w:t>130.17  اعتبارنامه مستقیما از مأموریت CCAF پشتیبانی می‌کند، زیرا اعطای اعتبارنامه به هوانوردان درجه‌دار، آمادگی رزمی را افزایش می‌دهد، به استخدام و حفظ آنها کمک می‌کند، و از انتقال شغلی پشتیبانی می‌کند.</w:t>
      </w:r>
    </w:p>
    <w:p>
      <w:pPr>
        <w:spacing w:after="28" w:line="216" w:lineRule="auto"/>
        <w:ind w:left="259"/>
        <w:jc w:val="left"/>
      </w:pPr>
      <w:r>
        <w:rPr>
          <w:rFonts w:ascii="Arial" w:hAnsi="Arial"/>
          <w:color w:val="525252"/>
          <w:sz w:val="13"/>
        </w:rPr>
        <w:t>Credentialing directly supports the mission of the CCAF in that credentialing of enlisted Airmen enhances combat readiness, contributes to recruiting and retention, and supports career transitions.</w:t>
      </w:r>
    </w:p>
    <w:p>
      <w:pPr>
        <w:spacing w:after="20" w:line="223" w:lineRule="auto"/>
        <w:jc w:val="right"/>
        <w:bidi/>
      </w:pPr>
      <w:r>
        <w:rPr>
          <w:rFonts w:ascii="Arial" w:hAnsi="Arial"/>
          <w:sz w:val="16"/>
        </w:rPr>
        <w:t>130.18  برای حمایت از شواهد مستند از آموزش، مهارت‌ها و تجربه عملی، هوانوردان به شدت تشویق می‌شوند که سوابق تمام تحصیلات، آموزش‌ها و مدارک قبلی و فعلی را حفظ کنند.</w:t>
      </w:r>
    </w:p>
    <w:p>
      <w:pPr>
        <w:spacing w:after="28" w:line="216" w:lineRule="auto"/>
        <w:ind w:left="259"/>
        <w:jc w:val="left"/>
      </w:pPr>
      <w:r>
        <w:rPr>
          <w:rFonts w:ascii="Arial" w:hAnsi="Arial"/>
          <w:color w:val="525252"/>
          <w:sz w:val="13"/>
        </w:rPr>
        <w:t>To support documentary evidence of training, skills, and practical experience, Airmen are highly encouraged to maintain records of all previous and current education, training, and qualifications.</w:t>
      </w:r>
    </w:p>
    <w:p>
      <w:pPr>
        <w:spacing w:after="20" w:line="223" w:lineRule="auto"/>
        <w:jc w:val="right"/>
        <w:bidi/>
      </w:pPr>
      <w:r>
        <w:rPr>
          <w:rFonts w:ascii="Arial" w:hAnsi="Arial"/>
          <w:sz w:val="16"/>
        </w:rPr>
        <w:t>130.19  شورای صدور گواهینامه تکنسین تعمیر و نگهداری هوانوردی خدمات مشترک (JSAMTCC).</w:t>
      </w:r>
    </w:p>
    <w:p>
      <w:pPr>
        <w:spacing w:after="28" w:line="216" w:lineRule="auto"/>
        <w:ind w:left="259"/>
        <w:jc w:val="left"/>
      </w:pPr>
      <w:r>
        <w:rPr>
          <w:rFonts w:ascii="Arial" w:hAnsi="Arial"/>
          <w:color w:val="525252"/>
          <w:sz w:val="13"/>
        </w:rPr>
        <w:t>Joint Service Aviation Maintenance Technician Certification Council (JSAMTCC).</w:t>
      </w:r>
    </w:p>
    <w:p>
      <w:pPr>
        <w:spacing w:after="20" w:line="223" w:lineRule="auto"/>
        <w:jc w:val="right"/>
        <w:bidi/>
      </w:pPr>
      <w:r>
        <w:rPr>
          <w:rFonts w:ascii="Arial" w:hAnsi="Arial"/>
          <w:sz w:val="16"/>
        </w:rPr>
        <w:t>130.20  CCAF برنامه JSAMTCC ایرفرام &amp; پوورپلانت (ا&amp;پ) را به تکنسین‌های تعمیر و نگهداری هوانوردی (AMT) در طبقه‌بندی‌های شغلی نظامی خاص (MOC) در سراسر وزارت دفاع و USCG ارائه می‌کند، که اداره هوانوردی فدرال (FAA) را که دارای پروسه AOC یا MOC هستند، ساده می‌کند.</w:t>
      </w:r>
    </w:p>
    <w:p>
      <w:pPr>
        <w:spacing w:after="28" w:line="216" w:lineRule="auto"/>
        <w:ind w:left="259"/>
        <w:jc w:val="left"/>
      </w:pPr>
      <w:r>
        <w:rPr>
          <w:rFonts w:ascii="Arial" w:hAnsi="Arial"/>
          <w:color w:val="525252"/>
          <w:sz w:val="13"/>
        </w:rPr>
        <w:t>The CCAF offers the JSAMTCC Airframe &amp; Powerplant (A&amp;P) program to Aviation Maintenance Technicians (AMT) in specific Military Occupational Classifications (MOC) across the DoD and the USCG, which streamlines the Federal Aviation Administration’s (FAA) A&amp;P certification process for military members who hold or have held those MOCs.</w:t>
      </w:r>
    </w:p>
    <w:p>
      <w:pPr>
        <w:spacing w:after="20" w:line="223" w:lineRule="auto"/>
        <w:jc w:val="right"/>
        <w:bidi/>
      </w:pPr>
      <w:r>
        <w:rPr>
          <w:rFonts w:ascii="Arial" w:hAnsi="Arial"/>
          <w:sz w:val="16"/>
        </w:rPr>
        <w:t>130.21  این برنامه برای پر کردن شکاف‌ها بین آموزش فنی رسمی، آموزش ارتقاء و تجربه AMT نظامی و الزامات واجد شرایط بودن گواهینامه FAA طراحی شده است.</w:t>
      </w:r>
    </w:p>
    <w:p>
      <w:pPr>
        <w:spacing w:after="28" w:line="216" w:lineRule="auto"/>
        <w:ind w:left="259"/>
        <w:jc w:val="left"/>
      </w:pPr>
      <w:r>
        <w:rPr>
          <w:rFonts w:ascii="Arial" w:hAnsi="Arial"/>
          <w:color w:val="525252"/>
          <w:sz w:val="13"/>
        </w:rPr>
        <w:t>The program is designed to bridge gaps between military AMT’s formal technical training, upgrade training, and experience and FAA certification eligibility requirements.</w:t>
      </w:r>
    </w:p>
    <w:p>
      <w:pPr>
        <w:spacing w:after="20" w:line="223" w:lineRule="auto"/>
        <w:jc w:val="right"/>
        <w:bidi/>
      </w:pPr>
      <w:r>
        <w:rPr>
          <w:rFonts w:ascii="Arial" w:hAnsi="Arial"/>
          <w:sz w:val="16"/>
        </w:rPr>
        <w:t>130.22  پس از تکمیل موفقیت آمیز برنامه، CCAF مدارک لازم را برای برآورده کردن شرایط FAA ارائه می‌کند و مجوز شرکت در آزمون‌های ا&amp;پ را فراهم می‌کند، و فرآیند پیش‌اجازه‌گذاری دفتر استانداردهای پرواز FAA را حذف می‌کند.</w:t>
      </w:r>
    </w:p>
    <w:p>
      <w:pPr>
        <w:spacing w:after="28" w:line="216" w:lineRule="auto"/>
        <w:ind w:left="259"/>
        <w:jc w:val="left"/>
      </w:pPr>
      <w:r>
        <w:rPr>
          <w:rFonts w:ascii="Arial" w:hAnsi="Arial"/>
          <w:color w:val="525252"/>
          <w:sz w:val="13"/>
        </w:rPr>
        <w:t>Upon successful completion of the program, the CCAF provides the necessary documents to meet FAA eligibility and provides authorization to take the A&amp;P exams, eliminating the FAA Flight Standards District Office preauthorization process.</w:t>
      </w:r>
    </w:p>
    <w:p>
      <w:pPr>
        <w:spacing w:after="20" w:line="223" w:lineRule="auto"/>
        <w:jc w:val="right"/>
        <w:bidi/>
      </w:pPr>
      <w:r>
        <w:rPr>
          <w:rFonts w:ascii="Arial" w:hAnsi="Arial"/>
          <w:sz w:val="16"/>
        </w:rPr>
        <w:t>130.23  این برنامه با گسترش مهارت‌ها و توسعه حرفه‌ای AMT‌های نظامی، تولید یک متخصص تعمیر و نگهداری هواپیما جامع‌تر و متنوع‌تر، به نیروی مشترک سود می‌رساند.</w:t>
      </w:r>
    </w:p>
    <w:p>
      <w:pPr>
        <w:spacing w:after="28" w:line="216" w:lineRule="auto"/>
        <w:ind w:left="259"/>
        <w:jc w:val="left"/>
      </w:pPr>
      <w:r>
        <w:rPr>
          <w:rFonts w:ascii="Arial" w:hAnsi="Arial"/>
          <w:color w:val="525252"/>
          <w:sz w:val="13"/>
        </w:rPr>
        <w:t>The program benefits the joint force by broadening the skillsets and professional development of military AMTs, producing a more well-rounded and diverse aircraft maintenance professional.</w:t>
      </w:r>
    </w:p>
    <w:p>
      <w:pPr>
        <w:spacing w:after="20" w:line="223" w:lineRule="auto"/>
        <w:jc w:val="right"/>
        <w:bidi/>
      </w:pPr>
      <w:r>
        <w:rPr>
          <w:rFonts w:ascii="Arial" w:hAnsi="Arial"/>
          <w:sz w:val="16"/>
        </w:rPr>
        <w:t>130.24  توافقنامه با FAA به سایت‌های آزمایش نظامی اجازه می‌دهد آزمون‌های دانش گواهینامه FAA را به صورت رایگان برای همه واجدین شرایط برگزار کنند.</w:t>
      </w:r>
    </w:p>
    <w:p>
      <w:pPr>
        <w:spacing w:after="28" w:line="216" w:lineRule="auto"/>
        <w:ind w:left="259"/>
        <w:jc w:val="left"/>
      </w:pPr>
      <w:r>
        <w:rPr>
          <w:rFonts w:ascii="Arial" w:hAnsi="Arial"/>
          <w:color w:val="525252"/>
          <w:sz w:val="13"/>
        </w:rPr>
        <w:t>Agreements with the FAA allow military testing sites to administer FAA certification knowledge exams free of charge to all who are eligible.</w:t>
      </w:r>
    </w:p>
    <w:p>
      <w:r>
        <w:br w:type="page"/>
      </w:r>
    </w:p>
    <w:p>
      <w:pPr>
        <w:spacing w:after="60"/>
        <w:jc w:val="right"/>
        <w:bidi/>
      </w:pPr>
      <w:r>
        <w:rPr>
          <w:rFonts w:ascii="Arial" w:hAnsi="Arial"/>
          <w:b/>
          <w:color w:val="1F4D78"/>
          <w:sz w:val="19"/>
        </w:rPr>
        <w:t>هفتهٔ 131  |  صفحهٔ منبع: 147</w:t>
      </w:r>
    </w:p>
    <w:p>
      <w:pPr>
        <w:spacing w:after="20" w:line="223" w:lineRule="auto"/>
        <w:jc w:val="right"/>
        <w:bidi/>
      </w:pPr>
      <w:r>
        <w:rPr>
          <w:rFonts w:ascii="Arial" w:hAnsi="Arial"/>
          <w:sz w:val="16"/>
        </w:rPr>
        <w:t>131.01  برنامه گواهی توسعه سیستم‌های آموزشی (ISD) CCAF. ۳۰۰۲</w:t>
      </w:r>
    </w:p>
    <w:p>
      <w:pPr>
        <w:spacing w:after="28" w:line="216" w:lineRule="auto"/>
        <w:ind w:left="259"/>
        <w:jc w:val="left"/>
      </w:pPr>
      <w:r>
        <w:rPr>
          <w:rFonts w:ascii="Arial" w:hAnsi="Arial"/>
          <w:color w:val="525252"/>
          <w:sz w:val="13"/>
        </w:rPr>
        <w:t>CCAF Instructional Systems Development (ISD) Certificate Program.</w:t>
      </w:r>
    </w:p>
    <w:p>
      <w:pPr>
        <w:spacing w:after="20" w:line="223" w:lineRule="auto"/>
        <w:jc w:val="right"/>
        <w:bidi/>
      </w:pPr>
      <w:r>
        <w:rPr>
          <w:rFonts w:ascii="Arial" w:hAnsi="Arial"/>
          <w:sz w:val="16"/>
        </w:rPr>
        <w:t>131.02  CCAF برنامه گواهی توسعه سیستم‌های آموزشی را برای نویسندگان برنامه درسی واجد شرایط و مدیرانی که به‌طور رسمی به مدارس وابسته به CCAF اختصاص داده شده‌اند، برای توسعه و مدیریت دوره‌های کاربردی درجه CCAF ارائه می‌دهد.</w:t>
      </w:r>
    </w:p>
    <w:p>
      <w:pPr>
        <w:spacing w:after="28" w:line="216" w:lineRule="auto"/>
        <w:ind w:left="259"/>
        <w:jc w:val="left"/>
      </w:pPr>
      <w:r>
        <w:rPr>
          <w:rFonts w:ascii="Arial" w:hAnsi="Arial"/>
          <w:color w:val="525252"/>
          <w:sz w:val="13"/>
        </w:rPr>
        <w:t>CCAF offers the Instructional Systems Development Certificate Program for qualified curriculum writers and managers formally assigned to CCAF affiliated schools to develop and manage CCAF degree- applicable courses.</w:t>
      </w:r>
    </w:p>
    <w:p>
      <w:pPr>
        <w:spacing w:after="20" w:line="223" w:lineRule="auto"/>
        <w:jc w:val="right"/>
        <w:bidi/>
      </w:pPr>
      <w:r>
        <w:rPr>
          <w:rFonts w:ascii="Arial" w:hAnsi="Arial"/>
          <w:sz w:val="16"/>
        </w:rPr>
        <w:t>131.03  این برنامه گواهینامه یک اعتبار حرفه‌ای ارائه می‌کند که آموزش و آموزش مورد نیاز برای توسعه و مدیریت دوره‌های دانشگاهی CCAF و تجربه عملی به‌دست‌آمده در برنامه‌ریزی، توسعه، اجرا و مدیریت سیستم‌های آموزشی را تأیید می‌کند.</w:t>
      </w:r>
    </w:p>
    <w:p>
      <w:pPr>
        <w:spacing w:after="28" w:line="216" w:lineRule="auto"/>
        <w:ind w:left="259"/>
        <w:jc w:val="left"/>
      </w:pPr>
      <w:r>
        <w:rPr>
          <w:rFonts w:ascii="Arial" w:hAnsi="Arial"/>
          <w:color w:val="525252"/>
          <w:sz w:val="13"/>
        </w:rPr>
        <w:t>This certificate program provides a professional credential that validates the education and training required to develop and manage CCAF collegiate-level courses and the practical experience gained in planning, developing, implementing, and managing instructional systems.</w:t>
      </w:r>
    </w:p>
    <w:p>
      <w:pPr>
        <w:spacing w:after="20" w:line="223" w:lineRule="auto"/>
        <w:jc w:val="right"/>
        <w:bidi/>
      </w:pPr>
      <w:r>
        <w:rPr>
          <w:rFonts w:ascii="Arial" w:hAnsi="Arial"/>
          <w:sz w:val="16"/>
        </w:rPr>
        <w:t>131.04  برنامه گواهینامه مدرس CCAF.</w:t>
      </w:r>
    </w:p>
    <w:p>
      <w:pPr>
        <w:spacing w:after="28" w:line="216" w:lineRule="auto"/>
        <w:ind w:left="259"/>
        <w:jc w:val="left"/>
      </w:pPr>
      <w:r>
        <w:rPr>
          <w:rFonts w:ascii="Arial" w:hAnsi="Arial"/>
          <w:color w:val="525252"/>
          <w:sz w:val="13"/>
        </w:rPr>
        <w:t>CCAF Instructor Certification Program.</w:t>
      </w:r>
    </w:p>
    <w:p>
      <w:pPr>
        <w:spacing w:after="20" w:line="223" w:lineRule="auto"/>
        <w:jc w:val="right"/>
        <w:bidi/>
      </w:pPr>
      <w:r>
        <w:rPr>
          <w:rFonts w:ascii="Arial" w:hAnsi="Arial"/>
          <w:sz w:val="16"/>
        </w:rPr>
        <w:t>131.05  CCAF برنامه گواهینامه مربی CCAF را به مربیان واجد شرایطی که به مدارس وابسته اختصاص داده شده‌اند برای آموزش دوره‌های مربوط به مدرک CCAF ارائه می‌دهد.</w:t>
      </w:r>
    </w:p>
    <w:p>
      <w:pPr>
        <w:spacing w:after="28" w:line="216" w:lineRule="auto"/>
        <w:ind w:left="259"/>
        <w:jc w:val="left"/>
      </w:pPr>
      <w:r>
        <w:rPr>
          <w:rFonts w:ascii="Arial" w:hAnsi="Arial"/>
          <w:color w:val="525252"/>
          <w:sz w:val="13"/>
        </w:rPr>
        <w:t>CCAF offers the CCAF Instructor Certificate Program to qualified instructors assigned to affiliated schools to teach CCAF degree-applicable courses.</w:t>
      </w:r>
    </w:p>
    <w:p>
      <w:pPr>
        <w:spacing w:after="20" w:line="223" w:lineRule="auto"/>
        <w:jc w:val="right"/>
        <w:bidi/>
      </w:pPr>
      <w:r>
        <w:rPr>
          <w:rFonts w:ascii="Arial" w:hAnsi="Arial"/>
          <w:sz w:val="16"/>
        </w:rPr>
        <w:t>131.06  این برنامه گواهینامه یک اعتبار حرفه‌ای ارائه می‌کند که آموزش گسترده استاد، آموزش، صلاحیت و تجربه تدریس عملی مورد نیاز برای تدریس یک دوره دانشگاهی CCAF را تأیید می‌کند.</w:t>
      </w:r>
    </w:p>
    <w:p>
      <w:pPr>
        <w:spacing w:after="28" w:line="216" w:lineRule="auto"/>
        <w:ind w:left="259"/>
        <w:jc w:val="left"/>
      </w:pPr>
      <w:r>
        <w:rPr>
          <w:rFonts w:ascii="Arial" w:hAnsi="Arial"/>
          <w:color w:val="525252"/>
          <w:sz w:val="13"/>
        </w:rPr>
        <w:t>This certificate program provides a professional credential that validates the instructor’s extensive faculty development training, education, qualification, and practical teaching experience required to teach a CCAF collegiate-level course.</w:t>
      </w:r>
    </w:p>
    <w:p>
      <w:pPr>
        <w:spacing w:after="20" w:line="223" w:lineRule="auto"/>
        <w:jc w:val="right"/>
        <w:bidi/>
      </w:pPr>
      <w:r>
        <w:rPr>
          <w:rFonts w:ascii="Arial" w:hAnsi="Arial"/>
          <w:sz w:val="16"/>
        </w:rPr>
        <w:t>131.07  این برنامه شامل سه سطح خاص از موفقیت است و به افسران واجد شرایط، نیروهای درجه‌دار، غیرنظامی و سایر مربیان خدمات ارائه می‌شود.</w:t>
      </w:r>
    </w:p>
    <w:p>
      <w:pPr>
        <w:spacing w:after="28" w:line="216" w:lineRule="auto"/>
        <w:ind w:left="259"/>
        <w:jc w:val="left"/>
      </w:pPr>
      <w:r>
        <w:rPr>
          <w:rFonts w:ascii="Arial" w:hAnsi="Arial"/>
          <w:color w:val="525252"/>
          <w:sz w:val="13"/>
        </w:rPr>
        <w:t>The program consists of three specific levels of achievement, and is offered to qualified officer, enlisted, civilian, and other service instructors.</w:t>
      </w:r>
    </w:p>
    <w:p>
      <w:pPr>
        <w:spacing w:after="20" w:line="223" w:lineRule="auto"/>
        <w:jc w:val="right"/>
        <w:bidi/>
      </w:pPr>
      <w:r>
        <w:rPr>
          <w:rFonts w:ascii="Arial" w:hAnsi="Arial"/>
          <w:sz w:val="16"/>
        </w:rPr>
        <w:t>131.08  برنامه فرصت‌های اعتبارسنجی آنلاین نیروی هوایی.</w:t>
      </w:r>
    </w:p>
    <w:p>
      <w:pPr>
        <w:spacing w:after="28" w:line="216" w:lineRule="auto"/>
        <w:ind w:left="259"/>
        <w:jc w:val="left"/>
      </w:pPr>
      <w:r>
        <w:rPr>
          <w:rFonts w:ascii="Arial" w:hAnsi="Arial"/>
          <w:color w:val="525252"/>
          <w:sz w:val="13"/>
        </w:rPr>
        <w:t>Air Force Credentialing Opportunities On-Line Program.</w:t>
      </w:r>
    </w:p>
    <w:p>
      <w:pPr>
        <w:spacing w:after="20" w:line="223" w:lineRule="auto"/>
        <w:jc w:val="right"/>
        <w:bidi/>
      </w:pPr>
      <w:r>
        <w:rPr>
          <w:rFonts w:ascii="Arial" w:hAnsi="Arial"/>
          <w:sz w:val="16"/>
        </w:rPr>
        <w:t>131.09  برنامه فرصت‌های اعتبارسنجی آنلاین نیروی هوایی.</w:t>
      </w:r>
    </w:p>
    <w:p>
      <w:pPr>
        <w:spacing w:after="28" w:line="216" w:lineRule="auto"/>
        <w:ind w:left="259"/>
        <w:jc w:val="left"/>
      </w:pPr>
      <w:r>
        <w:rPr>
          <w:rFonts w:ascii="Arial" w:hAnsi="Arial"/>
          <w:color w:val="525252"/>
          <w:sz w:val="13"/>
        </w:rPr>
        <w:t>Air Force Credentialing Opportunities On-Line Program.</w:t>
      </w:r>
    </w:p>
    <w:p>
      <w:pPr>
        <w:spacing w:after="20" w:line="223" w:lineRule="auto"/>
        <w:jc w:val="right"/>
        <w:bidi/>
      </w:pPr>
      <w:r>
        <w:rPr>
          <w:rFonts w:ascii="Arial" w:hAnsi="Arial"/>
          <w:sz w:val="16"/>
        </w:rPr>
        <w:t>131.10  برنامه فرصت‌های اعتبارسنجی آنلاین نیروی هوایی (AFCOOL) (https://afvec.us.af.mil/afvec/af-cool/welcome) بودجه اعتبارنامه‌های مربوط به تخصص DAF USAF را به اعضای نیروهای هوایی در عنوان ۱۰ یا تیتل.</w:t>
      </w:r>
    </w:p>
    <w:p>
      <w:pPr>
        <w:spacing w:after="28" w:line="216" w:lineRule="auto"/>
        <w:ind w:left="259"/>
        <w:jc w:val="left"/>
      </w:pPr>
      <w:r>
        <w:rPr>
          <w:rFonts w:ascii="Arial" w:hAnsi="Arial"/>
          <w:color w:val="525252"/>
          <w:sz w:val="13"/>
        </w:rPr>
        <w:t>The Air Force Credentialing Opportunities On-Line (AFCOOL) program (https://afvec.us.af.mil/afvec/af-cool/welcome) provides funding for USAF DAF specialty-applicable credentials to enlisted Airmen members on Title 10 or Title 32 (502)f RegAF orders.</w:t>
      </w:r>
    </w:p>
    <w:p>
      <w:pPr>
        <w:spacing w:after="20" w:line="223" w:lineRule="auto"/>
        <w:jc w:val="right"/>
        <w:bidi/>
      </w:pPr>
      <w:r>
        <w:rPr>
          <w:rFonts w:ascii="Arial" w:hAnsi="Arial"/>
          <w:sz w:val="16"/>
        </w:rPr>
        <w:t>131.11  این برنامه حداکثر ۴۵۰۰ دلار را در طول حرفه عضو نیروی هوایی تأمین می‌کند که برای امتحانات، دوره‌های آمادگی، کتاب‌ها، مواد آموزشی، هزینه‌های اداری و هزینه‌های صدور گواهینامه لازم برای حفظ اعتبار می‌پردازد.</w:t>
      </w:r>
    </w:p>
    <w:p>
      <w:pPr>
        <w:spacing w:after="28" w:line="216" w:lineRule="auto"/>
        <w:ind w:left="259"/>
        <w:jc w:val="left"/>
      </w:pPr>
      <w:r>
        <w:rPr>
          <w:rFonts w:ascii="Arial" w:hAnsi="Arial"/>
          <w:color w:val="525252"/>
          <w:sz w:val="13"/>
        </w:rPr>
        <w:t>The program funds a maximum of $4,500 during the Airman’s career, which pays for the exams, preparation courses, books, study materials, administrative fees, and recertification fees necessary to maintain the credential.</w:t>
      </w:r>
    </w:p>
    <w:p>
      <w:pPr>
        <w:spacing w:after="20" w:line="223" w:lineRule="auto"/>
        <w:jc w:val="right"/>
        <w:bidi/>
      </w:pPr>
      <w:r>
        <w:rPr>
          <w:rFonts w:ascii="Arial" w:hAnsi="Arial"/>
          <w:sz w:val="16"/>
        </w:rPr>
        <w:t>131.12  CCAF برنامه AFCOOL را مدیریت می‌کند، که تخصص‌های USAF DAF را با اعتبارنامه‌های حرفه‌ای شناخته‌شده صنعت غیرنظامی (گواهینامه و مجوز) هماهنگ می‌کند.</w:t>
      </w:r>
    </w:p>
    <w:p>
      <w:pPr>
        <w:spacing w:after="28" w:line="216" w:lineRule="auto"/>
        <w:ind w:left="259"/>
        <w:jc w:val="left"/>
      </w:pPr>
      <w:r>
        <w:rPr>
          <w:rFonts w:ascii="Arial" w:hAnsi="Arial"/>
          <w:color w:val="525252"/>
          <w:sz w:val="13"/>
        </w:rPr>
        <w:t>CCAF manages the AFCOOL program, which aligns USAF DAF specialties with civilian industry professionally recognized credentials (certification and licensure).</w:t>
      </w:r>
    </w:p>
    <w:p>
      <w:pPr>
        <w:spacing w:after="20" w:line="223" w:lineRule="auto"/>
        <w:jc w:val="right"/>
        <w:bidi/>
      </w:pPr>
      <w:r>
        <w:rPr>
          <w:rFonts w:ascii="Arial" w:hAnsi="Arial"/>
          <w:sz w:val="16"/>
        </w:rPr>
        <w:t>131.13  همسویی بر اساس ارزیابی و تجزیه و تحلیل آموزش فنی رسمی مرتبط با تخصص و مهارت‌های شغلی در جوورنیمان (سطح ۵ مهارت)، با در نظر گرفتن اعتبار و الزامات صنعت است.</w:t>
      </w:r>
    </w:p>
    <w:p>
      <w:pPr>
        <w:spacing w:after="28" w:line="216" w:lineRule="auto"/>
        <w:ind w:left="259"/>
        <w:jc w:val="left"/>
      </w:pPr>
      <w:r>
        <w:rPr>
          <w:rFonts w:ascii="Arial" w:hAnsi="Arial"/>
          <w:color w:val="525252"/>
          <w:sz w:val="13"/>
        </w:rPr>
        <w:t>Alignment is based on evaluation and analysis of formal specialty-related technical training and occupational skills at the Journeyman (5-skill-level), taking into consideration industry credentials and requirements.</w:t>
      </w:r>
    </w:p>
    <w:p>
      <w:pPr>
        <w:spacing w:after="20" w:line="223" w:lineRule="auto"/>
        <w:jc w:val="right"/>
        <w:bidi/>
      </w:pPr>
      <w:r>
        <w:rPr>
          <w:rFonts w:ascii="Arial" w:hAnsi="Arial"/>
          <w:sz w:val="16"/>
        </w:rPr>
        <w:t>131.14  از وب‌سایت AFCOOL برای تعیین صلاحیت برای تأیید بودجه بازدید کنید.</w:t>
      </w:r>
    </w:p>
    <w:p>
      <w:pPr>
        <w:spacing w:after="28" w:line="216" w:lineRule="auto"/>
        <w:ind w:left="259"/>
        <w:jc w:val="left"/>
      </w:pPr>
      <w:r>
        <w:rPr>
          <w:rFonts w:ascii="Arial" w:hAnsi="Arial"/>
          <w:color w:val="525252"/>
          <w:sz w:val="13"/>
        </w:rPr>
        <w:t>Visit the AFCOOL website to determine eligibility for funding approval.</w:t>
      </w:r>
    </w:p>
    <w:p>
      <w:pPr>
        <w:spacing w:after="20" w:line="223" w:lineRule="auto"/>
        <w:jc w:val="right"/>
        <w:bidi/>
      </w:pPr>
      <w:r>
        <w:rPr>
          <w:rFonts w:ascii="Arial" w:hAnsi="Arial"/>
          <w:sz w:val="16"/>
        </w:rPr>
        <w:t>131.15  وب‌سایت برنامه AFCOOL همچنین حاوی اطلاعات اضافی در مورد اعتبارنامه صنعت غیرنظامی است. الزامات واجد شرایط بودن و منابع برای آماده شدن برای امتحانات؛ مدارک مربوط به تخصص‌های USAF DAF؛ پر کردن شکاف‌های بین آموزش فنی، تجربیات و الزامات اعتبار DAF USAF. دریافت بودجه AFCOOL برای پرداخت برای امتحانات اعتبار سنجی، دوره‌های آمادگی، مواد آموزشی، هزینه‌های مربوطه، و صدور گواهینامه. و معادل‌های شغلی غیرنظامی و فرصت‌های شغلی.</w:t>
      </w:r>
    </w:p>
    <w:p>
      <w:pPr>
        <w:spacing w:after="28" w:line="216" w:lineRule="auto"/>
        <w:ind w:left="259"/>
        <w:jc w:val="left"/>
      </w:pPr>
      <w:r>
        <w:rPr>
          <w:rFonts w:ascii="Arial" w:hAnsi="Arial"/>
          <w:color w:val="525252"/>
          <w:sz w:val="13"/>
        </w:rPr>
        <w:t>The AFCOOL program website also contains additional information about civilian industry credentialing; eligibility requirements and resources to prepare for the exams; credentials relevant to USAF DAF specialties; filling gaps between USAF DAF technical training, experiences, and credentialing requirements; obtaining AFCOOL funding to pay for credentialing exams, preparatory courses, study materials, associated fees, and recertification; and civilian occupational equivalencies and job opportunities.</w:t>
      </w:r>
    </w:p>
    <w:p>
      <w:r>
        <w:br w:type="page"/>
      </w:r>
    </w:p>
    <w:p>
      <w:pPr>
        <w:spacing w:after="60"/>
        <w:jc w:val="right"/>
        <w:bidi/>
      </w:pPr>
      <w:r>
        <w:rPr>
          <w:rFonts w:ascii="Arial" w:hAnsi="Arial"/>
          <w:b/>
          <w:color w:val="1F4D78"/>
          <w:sz w:val="19"/>
        </w:rPr>
        <w:t>هفتهٔ 132  |  صفحهٔ منبع: 148</w:t>
      </w:r>
    </w:p>
    <w:p>
      <w:pPr>
        <w:spacing w:before="60" w:after="28"/>
        <w:jc w:val="right"/>
        <w:bidi/>
      </w:pPr>
      <w:r>
        <w:rPr>
          <w:b/>
          <w:color w:val="1F4D78"/>
          <w:sz w:val="18"/>
        </w:rPr>
        <w:t>بخش 7H - آموزش مداوم</w:t>
      </w:r>
    </w:p>
    <w:p>
      <w:pPr>
        <w:spacing w:after="20"/>
        <w:ind w:left="259"/>
        <w:jc w:val="left"/>
      </w:pPr>
      <w:r>
        <w:rPr>
          <w:color w:val="555555"/>
          <w:sz w:val="12"/>
        </w:rPr>
        <w:t>Section 7H—Continuing Education</w:t>
      </w:r>
    </w:p>
    <w:p>
      <w:pPr>
        <w:spacing w:before="60" w:after="28"/>
        <w:jc w:val="right"/>
        <w:bidi/>
      </w:pPr>
      <w:r>
        <w:rPr>
          <w:b/>
          <w:color w:val="1F4D78"/>
          <w:sz w:val="18"/>
        </w:rPr>
        <w:t>7.25. فرصت های آموزشی پیشرفته</w:t>
      </w:r>
    </w:p>
    <w:p>
      <w:pPr>
        <w:spacing w:after="20"/>
        <w:ind w:left="259"/>
        <w:jc w:val="left"/>
      </w:pPr>
      <w:r>
        <w:rPr>
          <w:color w:val="555555"/>
          <w:sz w:val="12"/>
        </w:rPr>
        <w:t>7.25. Enhanced Education Opportunities</w:t>
      </w:r>
    </w:p>
    <w:p>
      <w:pPr>
        <w:spacing w:after="20" w:line="223" w:lineRule="auto"/>
        <w:jc w:val="right"/>
        <w:bidi/>
      </w:pPr>
      <w:r>
        <w:rPr>
          <w:rFonts w:ascii="Arial" w:hAnsi="Arial"/>
          <w:sz w:val="16"/>
        </w:rPr>
        <w:t>132.03  گواهینامه‌ها و مدارک تحصیلی پس از متوسطه، از جمله مقاطع کاردانی، کارشناسی، کارشناسی ارشد، یا سایر مدارک تحصیلی پیشرفته، برای پیشرفت حرفه‌ای مهم هستند تا جایی که باعث ارتقای شغل و صلاحیت‌های حرفه‌ای دارنده مدرک شوند.</w:t>
      </w:r>
    </w:p>
    <w:p>
      <w:pPr>
        <w:spacing w:after="28" w:line="216" w:lineRule="auto"/>
        <w:ind w:left="259"/>
        <w:jc w:val="left"/>
      </w:pPr>
      <w:r>
        <w:rPr>
          <w:rFonts w:ascii="Arial" w:hAnsi="Arial"/>
          <w:color w:val="525252"/>
          <w:sz w:val="13"/>
        </w:rPr>
        <w:t>Certifications and post-secondary degrees, to include associate’s, bachelor’s, master’s, or other advanced academic degrees, are important for professional development to the extent that they enhance the degree holder’s job and professional qualifications.</w:t>
      </w:r>
    </w:p>
    <w:p>
      <w:pPr>
        <w:spacing w:after="20" w:line="223" w:lineRule="auto"/>
        <w:jc w:val="right"/>
        <w:bidi/>
      </w:pPr>
      <w:r>
        <w:rPr>
          <w:rFonts w:ascii="Arial" w:hAnsi="Arial"/>
          <w:sz w:val="16"/>
        </w:rPr>
        <w:t>132.04  اعضا باید بر افزایش صلاحیت حرفه‌ای و در عین حال گسترش استفاده عملیاتی خود از دانش هوا و فضای سایبری تمرکز کنند.</w:t>
      </w:r>
    </w:p>
    <w:p>
      <w:pPr>
        <w:spacing w:after="28" w:line="216" w:lineRule="auto"/>
        <w:ind w:left="259"/>
        <w:jc w:val="left"/>
      </w:pPr>
      <w:r>
        <w:rPr>
          <w:rFonts w:ascii="Arial" w:hAnsi="Arial"/>
          <w:color w:val="525252"/>
          <w:sz w:val="13"/>
        </w:rPr>
        <w:t>Members should focus on enhancing professional competence while expanding their operational employment of air and cyberspace knowledge.</w:t>
      </w:r>
    </w:p>
    <w:p>
      <w:pPr>
        <w:spacing w:after="20" w:line="223" w:lineRule="auto"/>
        <w:jc w:val="right"/>
        <w:bidi/>
      </w:pPr>
      <w:r>
        <w:rPr>
          <w:rFonts w:ascii="Arial" w:hAnsi="Arial"/>
          <w:sz w:val="16"/>
        </w:rPr>
        <w:t>132.05  گواهینامه‌ها و مدارک که مستقیما به حوزه تخصصی اولیه یا سری شغلی فرد مرتبط است به عمق دانش شغلی می‌افزاید.</w:t>
      </w:r>
    </w:p>
    <w:p>
      <w:pPr>
        <w:spacing w:after="28" w:line="216" w:lineRule="auto"/>
        <w:ind w:left="259"/>
        <w:jc w:val="left"/>
      </w:pPr>
      <w:r>
        <w:rPr>
          <w:rFonts w:ascii="Arial" w:hAnsi="Arial"/>
          <w:color w:val="525252"/>
          <w:sz w:val="13"/>
        </w:rPr>
        <w:t>Certifications and degrees directly related to an individual’s primary specialty area or occupational series adds to the depth of job knowledge.</w:t>
      </w:r>
    </w:p>
    <w:p>
      <w:pPr>
        <w:spacing w:after="20" w:line="223" w:lineRule="auto"/>
        <w:jc w:val="right"/>
        <w:bidi/>
      </w:pPr>
      <w:r>
        <w:rPr>
          <w:rFonts w:ascii="Arial" w:hAnsi="Arial"/>
          <w:sz w:val="16"/>
        </w:rPr>
        <w:t>132.06  درجات پیشرفته‌تر همچنین عملکرد شغلی را برای پرسنلی که به بالاترین سطوح می‌رسند افزایش می‌دهد، جایی که وظایف ممکن است به مهارت‌های مدیریتی گسترده‌تری نیاز داشته باشد.</w:t>
      </w:r>
    </w:p>
    <w:p>
      <w:pPr>
        <w:spacing w:after="28" w:line="216" w:lineRule="auto"/>
        <w:ind w:left="259"/>
        <w:jc w:val="left"/>
      </w:pPr>
      <w:r>
        <w:rPr>
          <w:rFonts w:ascii="Arial" w:hAnsi="Arial"/>
          <w:color w:val="525252"/>
          <w:sz w:val="13"/>
        </w:rPr>
        <w:t>More advanced degrees also enhance job performance for personnel reaching the highest grade levels where duties may require broader managerial skills.</w:t>
      </w:r>
    </w:p>
    <w:p>
      <w:pPr>
        <w:spacing w:after="20" w:line="223" w:lineRule="auto"/>
        <w:jc w:val="right"/>
        <w:bidi/>
      </w:pPr>
      <w:r>
        <w:rPr>
          <w:rFonts w:ascii="Arial" w:hAnsi="Arial"/>
          <w:sz w:val="16"/>
        </w:rPr>
        <w:t>132.07  برنامه موسسه فناوری نیروی هوایی خدمت سربازی.</w:t>
      </w:r>
    </w:p>
    <w:p>
      <w:pPr>
        <w:spacing w:after="28" w:line="216" w:lineRule="auto"/>
        <w:ind w:left="259"/>
        <w:jc w:val="left"/>
      </w:pPr>
      <w:r>
        <w:rPr>
          <w:rFonts w:ascii="Arial" w:hAnsi="Arial"/>
          <w:color w:val="525252"/>
          <w:sz w:val="13"/>
        </w:rPr>
        <w:t>Enlisted-to-Air Force Institute of Technology Program.</w:t>
      </w:r>
    </w:p>
    <w:p>
      <w:pPr>
        <w:spacing w:after="20" w:line="223" w:lineRule="auto"/>
        <w:jc w:val="right"/>
        <w:bidi/>
      </w:pPr>
      <w:r>
        <w:rPr>
          <w:rFonts w:ascii="Arial" w:hAnsi="Arial"/>
          <w:sz w:val="16"/>
        </w:rPr>
        <w:t>132.08  برنامه مؤسسه فناوری نیروی هوایی (AFIT) (https://www.afit.edu/) یک عنصر منحصربه‌فرد از توسعه نیروی اعزامی است که نیروی کل آینده را تقویت می‌کند.</w:t>
      </w:r>
    </w:p>
    <w:p>
      <w:pPr>
        <w:spacing w:after="28" w:line="216" w:lineRule="auto"/>
        <w:ind w:left="259"/>
        <w:jc w:val="left"/>
      </w:pPr>
      <w:r>
        <w:rPr>
          <w:rFonts w:ascii="Arial" w:hAnsi="Arial"/>
          <w:color w:val="525252"/>
          <w:sz w:val="13"/>
        </w:rPr>
        <w:t>The Enlisted-to-Air Force Institute of Technology (AFIT) program (https://www.afit.edu/) is a unique element of enlisted force development that enhances the future Total Force.</w:t>
      </w:r>
    </w:p>
    <w:p>
      <w:pPr>
        <w:spacing w:after="20" w:line="223" w:lineRule="auto"/>
        <w:jc w:val="right"/>
        <w:bidi/>
      </w:pPr>
      <w:r>
        <w:rPr>
          <w:rFonts w:ascii="Arial" w:hAnsi="Arial"/>
          <w:sz w:val="16"/>
        </w:rPr>
        <w:t>132.09  در ارتباط با سایر برنامه‌های آموزشی و آموزشی حرفه‌ای، مدارک تحصیلات تکمیلی علوم، مهندسی و مدیریت AFIT، مهارت‌های فنی و مدیریتی را بیشتر توسعه می‌دهند، توانایی رزمی را از طریق افزایش شایستگی‌های اصلی حوزه حرفه‌ای افزایش می‌دهند و افسران بسیار ماهر را در اختیار USAF قرار می‌دهند.</w:t>
      </w:r>
    </w:p>
    <w:p>
      <w:pPr>
        <w:spacing w:after="28" w:line="216" w:lineRule="auto"/>
        <w:ind w:left="259"/>
        <w:jc w:val="left"/>
      </w:pPr>
      <w:r>
        <w:rPr>
          <w:rFonts w:ascii="Arial" w:hAnsi="Arial"/>
          <w:color w:val="525252"/>
          <w:sz w:val="13"/>
        </w:rPr>
        <w:t>In conjunction with other professional education and training programs, AFIT science, engineering, and management graduate degrees further develop technical and managerial skills, enhance combat capability through career field core competency augmentation, and provide the USAF with highly proficient NCOs.</w:t>
      </w:r>
    </w:p>
    <w:p>
      <w:pPr>
        <w:spacing w:after="20" w:line="223" w:lineRule="auto"/>
        <w:jc w:val="right"/>
        <w:bidi/>
      </w:pPr>
      <w:r>
        <w:rPr>
          <w:rFonts w:ascii="Arial" w:hAnsi="Arial"/>
          <w:sz w:val="16"/>
        </w:rPr>
        <w:t>132.10  مدارک ثبت‌نام شده در AFIT از ۱۸ تا ۲۴ ماه بسته به مدرک لیسانس دانشجو و کار دوره پیش نیاز متغیر است و محدود به برنامه‌های کارشناسی ارشد ارائه شده در پردیس مقیم، پایگاه نیروی هوایی رایت-پترسون، اوهایو است.</w:t>
      </w:r>
    </w:p>
    <w:p>
      <w:pPr>
        <w:spacing w:after="28" w:line="216" w:lineRule="auto"/>
        <w:ind w:left="259"/>
        <w:jc w:val="left"/>
      </w:pPr>
      <w:r>
        <w:rPr>
          <w:rFonts w:ascii="Arial" w:hAnsi="Arial"/>
          <w:color w:val="525252"/>
          <w:sz w:val="13"/>
        </w:rPr>
        <w:t>Enlisted-to-AFIT degrees range from 18 to 24 months, depending upon a student’s undergraduate degree and prerequisite course work, and are limited to master’s degree programs offered at the resident campus, Wright-Patterson Air Force Base, Ohio.</w:t>
      </w:r>
    </w:p>
    <w:p>
      <w:pPr>
        <w:spacing w:after="20" w:line="223" w:lineRule="auto"/>
        <w:jc w:val="right"/>
        <w:bidi/>
      </w:pPr>
      <w:r>
        <w:rPr>
          <w:rFonts w:ascii="Arial" w:hAnsi="Arial"/>
          <w:sz w:val="16"/>
        </w:rPr>
        <w:t>132.11  برای نامزد شدن برای این برنامه، یک عضو باید یک گروهبان ستاد رگاف (یا گروهبان منتخب ستاد) یا بالاتر با حداقل پنج سال سابقه خدمت نظامی فدرال کامل باشد.</w:t>
      </w:r>
    </w:p>
    <w:p>
      <w:pPr>
        <w:spacing w:after="28" w:line="216" w:lineRule="auto"/>
        <w:ind w:left="259"/>
        <w:jc w:val="left"/>
      </w:pPr>
      <w:r>
        <w:rPr>
          <w:rFonts w:ascii="Arial" w:hAnsi="Arial"/>
          <w:color w:val="525252"/>
          <w:sz w:val="13"/>
        </w:rPr>
        <w:t>To be nominated for this program, a member must be a RegAF Staff Sergeant (or Staff Sergeant- select) or above with a minimum of five years of Total Active Federal Military Service.</w:t>
      </w:r>
    </w:p>
    <w:p>
      <w:pPr>
        <w:spacing w:after="20" w:line="223" w:lineRule="auto"/>
        <w:jc w:val="right"/>
        <w:bidi/>
      </w:pPr>
      <w:r>
        <w:rPr>
          <w:rFonts w:ascii="Arial" w:hAnsi="Arial"/>
          <w:sz w:val="16"/>
        </w:rPr>
        <w:t>132.12  نامزد باید ارتقاء سطح ۷ مهارتی، کالج اجتماعی نیروی هوایی (CCAF) مرتبط با مدرک علمی کاربردی، و مدرک لیسانس از یک موسسه معتبر منطقه‌ای را تکمیل کرده باشد.</w:t>
      </w:r>
    </w:p>
    <w:p>
      <w:pPr>
        <w:spacing w:after="28" w:line="216" w:lineRule="auto"/>
        <w:ind w:left="259"/>
        <w:jc w:val="left"/>
      </w:pPr>
      <w:r>
        <w:rPr>
          <w:rFonts w:ascii="Arial" w:hAnsi="Arial"/>
          <w:color w:val="525252"/>
          <w:sz w:val="13"/>
        </w:rPr>
        <w:t>The nominee must have completed a 7-skill level upgrade, a Community College of the Air Force (CCAF) associated of applied science degree, and a bachelor’s degree from a regionally accredited institution.</w:t>
      </w:r>
    </w:p>
    <w:p>
      <w:pPr>
        <w:spacing w:before="60" w:after="28"/>
        <w:jc w:val="right"/>
        <w:bidi/>
      </w:pPr>
      <w:r>
        <w:rPr>
          <w:b/>
          <w:color w:val="1F4D78"/>
          <w:sz w:val="18"/>
        </w:rPr>
        <w:t>7.26. مرکز آموزش مجازی نیروی هوایی</w:t>
      </w:r>
    </w:p>
    <w:p>
      <w:pPr>
        <w:spacing w:after="20"/>
        <w:ind w:left="259"/>
        <w:jc w:val="left"/>
      </w:pPr>
      <w:r>
        <w:rPr>
          <w:color w:val="555555"/>
          <w:sz w:val="12"/>
        </w:rPr>
        <w:t>7.26. Air Force Virtual Education Center</w:t>
      </w:r>
    </w:p>
    <w:p>
      <w:pPr>
        <w:spacing w:after="20" w:line="223" w:lineRule="auto"/>
        <w:jc w:val="right"/>
        <w:bidi/>
      </w:pPr>
      <w:r>
        <w:rPr>
          <w:rFonts w:ascii="Arial" w:hAnsi="Arial"/>
          <w:sz w:val="16"/>
        </w:rPr>
        <w:t>132.14  مرکز آموزش مجازی نیروی هوایی (AFVEC) (https://afvec.us.af.mil/afvec/public/welcome) وب‌سایت USAF برای کلیه نیازهای آموزش عالی و گواهینامه است.</w:t>
      </w:r>
    </w:p>
    <w:p>
      <w:pPr>
        <w:spacing w:after="28" w:line="216" w:lineRule="auto"/>
        <w:ind w:left="259"/>
        <w:jc w:val="left"/>
      </w:pPr>
      <w:r>
        <w:rPr>
          <w:rFonts w:ascii="Arial" w:hAnsi="Arial"/>
          <w:color w:val="525252"/>
          <w:sz w:val="13"/>
        </w:rPr>
        <w:t>The Air Force Virtual Education Center (AFVEC) (https://afvec.us.af.mil/afvec/public/welcome) is the USAF’s website for all higher education and credentialing needs.</w:t>
      </w:r>
    </w:p>
    <w:p>
      <w:pPr>
        <w:spacing w:after="20" w:line="223" w:lineRule="auto"/>
        <w:jc w:val="right"/>
        <w:bidi/>
      </w:pPr>
      <w:r>
        <w:rPr>
          <w:rFonts w:ascii="Arial" w:hAnsi="Arial"/>
          <w:sz w:val="16"/>
        </w:rPr>
        <w:t>132.15  هوانوردان ممکن است حساب AFVEC خود را ایجاد کنند و به ابزارهای آنلاین خدمات مشتری دسترسی پیدا کنند.</w:t>
      </w:r>
    </w:p>
    <w:p>
      <w:pPr>
        <w:spacing w:after="28" w:line="216" w:lineRule="auto"/>
        <w:ind w:left="259"/>
        <w:jc w:val="left"/>
      </w:pPr>
      <w:r>
        <w:rPr>
          <w:rFonts w:ascii="Arial" w:hAnsi="Arial"/>
          <w:color w:val="525252"/>
          <w:sz w:val="13"/>
        </w:rPr>
        <w:t>Airmen may create their own AFVEC account and gain access to online customer service tools.</w:t>
      </w:r>
    </w:p>
    <w:p>
      <w:pPr>
        <w:spacing w:after="20" w:line="223" w:lineRule="auto"/>
        <w:jc w:val="right"/>
        <w:bidi/>
      </w:pPr>
      <w:r>
        <w:rPr>
          <w:rFonts w:ascii="Arial" w:hAnsi="Arial"/>
          <w:sz w:val="16"/>
        </w:rPr>
        <w:t>132.16  هوانوردان همچنین می‌توانند اطلاعاتی درباره مزایای تحصیلی و سوابق تحصیلی شخصی، که شامل دوره‌های گذرانده شده، سقف شهریه، و برنامه‌های مدرک می‌شود را مشاهده کنند.</w:t>
      </w:r>
    </w:p>
    <w:p>
      <w:pPr>
        <w:spacing w:after="28" w:line="216" w:lineRule="auto"/>
        <w:ind w:left="259"/>
        <w:jc w:val="left"/>
      </w:pPr>
      <w:r>
        <w:rPr>
          <w:rFonts w:ascii="Arial" w:hAnsi="Arial"/>
          <w:color w:val="525252"/>
          <w:sz w:val="13"/>
        </w:rPr>
        <w:t>Airmen can also view information about education benefits and personal education records, which include courses taken, tuition caps, and degree plans.</w:t>
      </w:r>
    </w:p>
    <w:p>
      <w:pPr>
        <w:spacing w:after="20" w:line="223" w:lineRule="auto"/>
        <w:jc w:val="right"/>
        <w:bidi/>
      </w:pPr>
      <w:r>
        <w:rPr>
          <w:rFonts w:ascii="Arial" w:hAnsi="Arial"/>
          <w:sz w:val="16"/>
        </w:rPr>
        <w:t>132.17  این سایتی است که هوانوردان می‌توانند به‌طور آنلاین برای کمک هزینه تحصیلی نظامی برای دوره‌های کالج غیرنظامی و بودجه فرصت‌های اعتبارسنجی آنلاین (AF COOL) USAF برای اعتبارنامه‌های مرتبط با تخصص و رهبری/مدیریت درخواست دهند.</w:t>
      </w:r>
    </w:p>
    <w:p>
      <w:pPr>
        <w:spacing w:after="28" w:line="216" w:lineRule="auto"/>
        <w:ind w:left="259"/>
        <w:jc w:val="left"/>
      </w:pPr>
      <w:r>
        <w:rPr>
          <w:rFonts w:ascii="Arial" w:hAnsi="Arial"/>
          <w:color w:val="525252"/>
          <w:sz w:val="13"/>
        </w:rPr>
        <w:t>This is the site for Airmen to apply online for military tuition assistance for civilian college courses and USAF Credentialing Opportunities On-line (AF COOL) funding for specialty-related and leadership/management credentials.</w:t>
      </w:r>
    </w:p>
    <w:p>
      <w:pPr>
        <w:spacing w:after="20" w:line="223" w:lineRule="auto"/>
        <w:jc w:val="right"/>
        <w:bidi/>
      </w:pPr>
      <w:r>
        <w:rPr>
          <w:rFonts w:ascii="Arial" w:hAnsi="Arial"/>
          <w:sz w:val="16"/>
        </w:rPr>
        <w:t>132.18  کمک مالی آموزشی.</w:t>
      </w:r>
    </w:p>
    <w:p>
      <w:pPr>
        <w:spacing w:after="28" w:line="216" w:lineRule="auto"/>
        <w:ind w:left="259"/>
        <w:jc w:val="left"/>
      </w:pPr>
      <w:r>
        <w:rPr>
          <w:rFonts w:ascii="Arial" w:hAnsi="Arial"/>
          <w:color w:val="525252"/>
          <w:sz w:val="13"/>
        </w:rPr>
        <w:t>Educational Financial Assistance.</w:t>
      </w:r>
    </w:p>
    <w:p>
      <w:pPr>
        <w:spacing w:after="20" w:line="223" w:lineRule="auto"/>
        <w:jc w:val="right"/>
        <w:bidi/>
      </w:pPr>
      <w:r>
        <w:rPr>
          <w:rFonts w:ascii="Arial" w:hAnsi="Arial"/>
          <w:sz w:val="16"/>
        </w:rPr>
        <w:t>132.19  برنامه آموزش داوطلبانه از اهداف بلندمدت USAF برای حفظ نیروی با کیفیت بالا و افزایش توسعه حرفه‌ای و شخصی، استخدام، حفظ و آمادگی پشتیبانی می‌کند.</w:t>
      </w:r>
    </w:p>
    <w:p>
      <w:pPr>
        <w:spacing w:after="28" w:line="216" w:lineRule="auto"/>
        <w:ind w:left="259"/>
        <w:jc w:val="left"/>
      </w:pPr>
      <w:r>
        <w:rPr>
          <w:rFonts w:ascii="Arial" w:hAnsi="Arial"/>
          <w:color w:val="525252"/>
          <w:sz w:val="13"/>
        </w:rPr>
        <w:t>The Voluntary Education Program supports long-range USAF goals for maintaining a high-quality force and enhancing professional and personal development, recruitment, retention, and readiness.</w:t>
      </w:r>
    </w:p>
    <w:p>
      <w:pPr>
        <w:spacing w:after="20" w:line="223" w:lineRule="auto"/>
        <w:jc w:val="right"/>
        <w:bidi/>
      </w:pPr>
      <w:r>
        <w:rPr>
          <w:rFonts w:ascii="Arial" w:hAnsi="Arial"/>
          <w:sz w:val="16"/>
        </w:rPr>
        <w:t>132.20  USAF سه برنامه را برای پرسنل سرباز ارائه می‌دهد تا به پرداخت هزینه تحصیل خارج از وظیفه کمک کند: کمک شهریه نظامی، لایحه GI مونتگومری، و لایحه GI بعد از ۹/۱۱.</w:t>
      </w:r>
    </w:p>
    <w:p>
      <w:pPr>
        <w:spacing w:after="28" w:line="216" w:lineRule="auto"/>
        <w:ind w:left="259"/>
        <w:jc w:val="left"/>
      </w:pPr>
      <w:r>
        <w:rPr>
          <w:rFonts w:ascii="Arial" w:hAnsi="Arial"/>
          <w:color w:val="525252"/>
          <w:sz w:val="13"/>
        </w:rPr>
        <w:t>The USAF offers three programs for enlisted personnel to help defray the cost of obtaining off-duty education: Military Tuition Assistance, Montgomery GI Bill, and Post-9/11 GI Bill.</w:t>
      </w:r>
    </w:p>
    <w:p>
      <w:pPr>
        <w:spacing w:after="20" w:line="223" w:lineRule="auto"/>
        <w:jc w:val="right"/>
        <w:bidi/>
      </w:pPr>
      <w:r>
        <w:rPr>
          <w:rFonts w:ascii="Arial" w:hAnsi="Arial"/>
          <w:sz w:val="16"/>
        </w:rPr>
        <w:t>132.21  کمک شهریه سربازی.</w:t>
      </w:r>
    </w:p>
    <w:p>
      <w:pPr>
        <w:spacing w:after="28" w:line="216" w:lineRule="auto"/>
        <w:ind w:left="259"/>
        <w:jc w:val="left"/>
      </w:pPr>
      <w:r>
        <w:rPr>
          <w:rFonts w:ascii="Arial" w:hAnsi="Arial"/>
          <w:color w:val="525252"/>
          <w:sz w:val="13"/>
        </w:rPr>
        <w:t>Military Tuition Assistance.</w:t>
      </w:r>
    </w:p>
    <w:p>
      <w:pPr>
        <w:spacing w:after="20" w:line="223" w:lineRule="auto"/>
        <w:jc w:val="right"/>
        <w:bidi/>
      </w:pPr>
      <w:r>
        <w:rPr>
          <w:rFonts w:ascii="Arial" w:hAnsi="Arial"/>
          <w:sz w:val="16"/>
        </w:rPr>
        <w:t>132.22  برای کمک به افراد در ادامه تحصیل، USAF یک برنامه کمک شهریه (با برخی محدودیت‌ها) را برای همه اعضای واجد شرایط USAF ارائه می‌دهد.</w:t>
      </w:r>
    </w:p>
    <w:p>
      <w:pPr>
        <w:spacing w:after="28" w:line="216" w:lineRule="auto"/>
        <w:ind w:left="259"/>
        <w:jc w:val="left"/>
      </w:pPr>
      <w:r>
        <w:rPr>
          <w:rFonts w:ascii="Arial" w:hAnsi="Arial"/>
          <w:color w:val="525252"/>
          <w:sz w:val="13"/>
        </w:rPr>
        <w:t>To assist individuals in furthering their education, the USAF provides a tuition assistance program (with some restrictions) to all eligible USAF members.</w:t>
      </w:r>
    </w:p>
    <w:p>
      <w:pPr>
        <w:spacing w:after="20" w:line="223" w:lineRule="auto"/>
        <w:jc w:val="right"/>
        <w:bidi/>
      </w:pPr>
      <w:r>
        <w:rPr>
          <w:rFonts w:ascii="Arial" w:hAnsi="Arial"/>
          <w:sz w:val="16"/>
        </w:rPr>
        <w:t>132.23  USAF هزینه شهریه را در موسسات معتبر منطقه‌ای و ملی می‌پردازد که از سقف ساعتی و سالانه تعیین شده توسط دستورالعمل وزارت دفاع (دودی) ۱۳۲۲.۲۵، آموزش داوطلبانه تجاوز نکند.</w:t>
      </w:r>
    </w:p>
    <w:p>
      <w:pPr>
        <w:spacing w:after="28" w:line="216" w:lineRule="auto"/>
        <w:ind w:left="259"/>
        <w:jc w:val="left"/>
      </w:pPr>
      <w:r>
        <w:rPr>
          <w:rFonts w:ascii="Arial" w:hAnsi="Arial"/>
          <w:color w:val="525252"/>
          <w:sz w:val="13"/>
        </w:rPr>
        <w:t>The USAF pays the cost of tuition at regionally and nationally accredited institutions, not to exceed the hourly and annual caps established by DoD Instruction (DoDI) 1322.25, Voluntary Education</w:t>
      </w:r>
    </w:p>
    <w:p>
      <w:r>
        <w:br w:type="page"/>
      </w:r>
    </w:p>
    <w:p>
      <w:pPr>
        <w:spacing w:after="60"/>
        <w:jc w:val="right"/>
        <w:bidi/>
      </w:pPr>
      <w:r>
        <w:rPr>
          <w:rFonts w:ascii="Arial" w:hAnsi="Arial"/>
          <w:b/>
          <w:color w:val="1F4D78"/>
          <w:sz w:val="19"/>
        </w:rPr>
        <w:t>هفتهٔ 133  |  صفحهٔ منبع: 149</w:t>
      </w:r>
    </w:p>
    <w:p>
      <w:pPr>
        <w:spacing w:after="20" w:line="223" w:lineRule="auto"/>
        <w:jc w:val="right"/>
        <w:bidi/>
      </w:pPr>
      <w:r>
        <w:rPr>
          <w:rFonts w:ascii="Arial" w:hAnsi="Arial"/>
          <w:sz w:val="16"/>
        </w:rPr>
        <w:t>133.01  برنامه، و DAFI ۳۶-۲۶۷۰، توسعه کل نیرو.</w:t>
      </w:r>
    </w:p>
    <w:p>
      <w:pPr>
        <w:spacing w:after="28" w:line="216" w:lineRule="auto"/>
        <w:ind w:left="259"/>
        <w:jc w:val="left"/>
      </w:pPr>
      <w:r>
        <w:rPr>
          <w:rFonts w:ascii="Arial" w:hAnsi="Arial"/>
          <w:color w:val="525252"/>
          <w:sz w:val="13"/>
        </w:rPr>
        <w:t>Program, and DAFI 36-2670, Total Force Development.</w:t>
      </w:r>
    </w:p>
    <w:p>
      <w:pPr>
        <w:spacing w:after="20" w:line="223" w:lineRule="auto"/>
        <w:jc w:val="right"/>
        <w:bidi/>
      </w:pPr>
      <w:r>
        <w:rPr>
          <w:rFonts w:ascii="Arial" w:hAnsi="Arial"/>
          <w:sz w:val="16"/>
        </w:rPr>
        <w:t>133.02  اعضای USAF نمی‌توانند از کمک شهریه برای خرید کتاب‌های درسی، کتاب‌های الکترونیکی، منابع مرجع/آموزشی، تجهیزات/لوازم الکترونیکی، آزمون‌های گواهینامه/مجوز، یا هزینه‌ها، صرف‌نظر از کاربرد در ثبت‌نام دوره یا سیاست بازپرداخت سازمانی استفاده کنند.</w:t>
      </w:r>
    </w:p>
    <w:p>
      <w:pPr>
        <w:spacing w:after="28" w:line="216" w:lineRule="auto"/>
        <w:ind w:left="259"/>
        <w:jc w:val="left"/>
      </w:pPr>
      <w:r>
        <w:rPr>
          <w:rFonts w:ascii="Arial" w:hAnsi="Arial"/>
          <w:color w:val="525252"/>
          <w:sz w:val="13"/>
        </w:rPr>
        <w:t>USAF members cannot use tuition assistance to purchase textbooks, e-books, reference/instructional materials, electronic equipment/supplies, certificate/license examinations, or fees, regardless of applicability to course enrollment or institutional reimbursement policy.</w:t>
      </w:r>
    </w:p>
    <w:p>
      <w:pPr>
        <w:spacing w:after="20" w:line="223" w:lineRule="auto"/>
        <w:jc w:val="right"/>
        <w:bidi/>
      </w:pPr>
      <w:r>
        <w:rPr>
          <w:rFonts w:ascii="Arial" w:hAnsi="Arial"/>
          <w:sz w:val="16"/>
        </w:rPr>
        <w:t>133.03  دانشجویانی که از کمک شهریه نظامی استفاده می‌کنند و شهریه آنها بیش از سقف ساعت نیمسال تحصیلی است، می‌توانند از مزایای اضافه در صورت‌حساب GI مونتگومری یا صورت‌حساب GI پوست-۹/۱۱ خود برای پوشش بخش باقی‌مانده استفاده کنند.</w:t>
      </w:r>
    </w:p>
    <w:p>
      <w:pPr>
        <w:spacing w:after="28" w:line="216" w:lineRule="auto"/>
        <w:ind w:left="259"/>
        <w:jc w:val="left"/>
      </w:pPr>
      <w:r>
        <w:rPr>
          <w:rFonts w:ascii="Arial" w:hAnsi="Arial"/>
          <w:color w:val="525252"/>
          <w:sz w:val="13"/>
        </w:rPr>
        <w:t>Students using military tuition assistance whose tuition exceeds the semester hour cap may use the top-up benefit in their Montgomery GI Bill or Post-9/11 GI Bill to cover the remaining portion.</w:t>
      </w:r>
    </w:p>
    <w:p>
      <w:pPr>
        <w:spacing w:after="20" w:line="223" w:lineRule="auto"/>
        <w:jc w:val="right"/>
        <w:bidi/>
      </w:pPr>
      <w:r>
        <w:rPr>
          <w:rFonts w:ascii="Arial" w:hAnsi="Arial"/>
          <w:sz w:val="16"/>
        </w:rPr>
        <w:t>133.04  مونتگومری جی آی بیل.</w:t>
      </w:r>
    </w:p>
    <w:p>
      <w:pPr>
        <w:spacing w:after="28" w:line="216" w:lineRule="auto"/>
        <w:ind w:left="259"/>
        <w:jc w:val="left"/>
      </w:pPr>
      <w:r>
        <w:rPr>
          <w:rFonts w:ascii="Arial" w:hAnsi="Arial"/>
          <w:color w:val="525252"/>
          <w:sz w:val="13"/>
        </w:rPr>
        <w:t>Montgomery GI Bill.</w:t>
      </w:r>
    </w:p>
    <w:p>
      <w:pPr>
        <w:spacing w:after="20" w:line="223" w:lineRule="auto"/>
        <w:jc w:val="right"/>
        <w:bidi/>
      </w:pPr>
      <w:r>
        <w:rPr>
          <w:rFonts w:ascii="Arial" w:hAnsi="Arial"/>
          <w:sz w:val="16"/>
        </w:rPr>
        <w:t>133.05  افراد واجد شرایطی که برای اولین بار در تاریخ ۱ ژوئیه ۱۹۸۵ یا پس از آن برای اولین بار وارد خدمات شدند، در لایحه GI مونتگومری ثبت‌نام می‌کنند.</w:t>
      </w:r>
    </w:p>
    <w:p>
      <w:pPr>
        <w:spacing w:after="28" w:line="216" w:lineRule="auto"/>
        <w:ind w:left="259"/>
        <w:jc w:val="left"/>
      </w:pPr>
      <w:r>
        <w:rPr>
          <w:rFonts w:ascii="Arial" w:hAnsi="Arial"/>
          <w:color w:val="525252"/>
          <w:sz w:val="13"/>
        </w:rPr>
        <w:t>Eligible individuals who entered the service for the first time on or after 1 July 1985 are enrolled in the Montgomery GI Bill.</w:t>
      </w:r>
    </w:p>
    <w:p>
      <w:pPr>
        <w:spacing w:after="20" w:line="223" w:lineRule="auto"/>
        <w:jc w:val="right"/>
        <w:bidi/>
      </w:pPr>
      <w:r>
        <w:rPr>
          <w:rFonts w:ascii="Arial" w:hAnsi="Arial"/>
          <w:sz w:val="16"/>
        </w:rPr>
        <w:t>133.06  اعضای شرکت کننده حقوقشان به مدت ۱۲ ماه پس از پنجره انتخابات ۱۰۰ دلار در ماه کاهش می‌یابد.</w:t>
      </w:r>
    </w:p>
    <w:p>
      <w:pPr>
        <w:spacing w:after="28" w:line="216" w:lineRule="auto"/>
        <w:ind w:left="259"/>
        <w:jc w:val="left"/>
      </w:pPr>
      <w:r>
        <w:rPr>
          <w:rFonts w:ascii="Arial" w:hAnsi="Arial"/>
          <w:color w:val="525252"/>
          <w:sz w:val="13"/>
        </w:rPr>
        <w:t>Members who participate have their pay reduced by $100 a month for the 12 months following the election window.</w:t>
      </w:r>
    </w:p>
    <w:p>
      <w:pPr>
        <w:spacing w:after="20" w:line="223" w:lineRule="auto"/>
        <w:jc w:val="right"/>
        <w:bidi/>
      </w:pPr>
      <w:r>
        <w:rPr>
          <w:rFonts w:ascii="Arial" w:hAnsi="Arial"/>
          <w:sz w:val="16"/>
        </w:rPr>
        <w:t>133.07  شرکت‌کنندگان همچنین می‌توانند ۶۰۰ دلار اضافی کمک کنند، که حداکثر ۵۴۰۰ دلار به کل بسته مزایا اضافه می‌کند.</w:t>
      </w:r>
    </w:p>
    <w:p>
      <w:pPr>
        <w:spacing w:after="28" w:line="216" w:lineRule="auto"/>
        <w:ind w:left="259"/>
        <w:jc w:val="left"/>
      </w:pPr>
      <w:r>
        <w:rPr>
          <w:rFonts w:ascii="Arial" w:hAnsi="Arial"/>
          <w:color w:val="525252"/>
          <w:sz w:val="13"/>
        </w:rPr>
        <w:t>Participants may also elect to contribute an additional $600, which adds a maximum of $5,400 to the total benefit package.</w:t>
      </w:r>
    </w:p>
    <w:p>
      <w:pPr>
        <w:spacing w:after="20" w:line="223" w:lineRule="auto"/>
        <w:jc w:val="right"/>
        <w:bidi/>
      </w:pPr>
      <w:r>
        <w:rPr>
          <w:rFonts w:ascii="Arial" w:hAnsi="Arial"/>
          <w:sz w:val="16"/>
        </w:rPr>
        <w:t>133.08  استفاده در حین خدمت از صورتحساب GI مونتگومری پس از دو سال وضعیت مداوم رگاف مجاز است.</w:t>
      </w:r>
    </w:p>
    <w:p>
      <w:pPr>
        <w:spacing w:after="28" w:line="216" w:lineRule="auto"/>
        <w:ind w:left="259"/>
        <w:jc w:val="left"/>
      </w:pPr>
      <w:r>
        <w:rPr>
          <w:rFonts w:ascii="Arial" w:hAnsi="Arial"/>
          <w:color w:val="525252"/>
          <w:sz w:val="13"/>
        </w:rPr>
        <w:t>In-service use of the Montgomery GI Bill is permitted after two years of continuous RegAF status.</w:t>
      </w:r>
    </w:p>
    <w:p>
      <w:pPr>
        <w:spacing w:after="20" w:line="223" w:lineRule="auto"/>
        <w:jc w:val="right"/>
        <w:bidi/>
      </w:pPr>
      <w:r>
        <w:rPr>
          <w:rFonts w:ascii="Arial" w:hAnsi="Arial"/>
          <w:sz w:val="16"/>
        </w:rPr>
        <w:t>133.09  مزایای ۱۰ سال پس از جدایی یا بازنشستگی منقضی می‌شود.</w:t>
      </w:r>
    </w:p>
    <w:p>
      <w:pPr>
        <w:spacing w:after="28" w:line="216" w:lineRule="auto"/>
        <w:ind w:left="259"/>
        <w:jc w:val="left"/>
      </w:pPr>
      <w:r>
        <w:rPr>
          <w:rFonts w:ascii="Arial" w:hAnsi="Arial"/>
          <w:color w:val="525252"/>
          <w:sz w:val="13"/>
        </w:rPr>
        <w:t>Benefits expire 10 years after separation or retirement.</w:t>
      </w:r>
    </w:p>
    <w:p>
      <w:pPr>
        <w:spacing w:after="20" w:line="223" w:lineRule="auto"/>
        <w:jc w:val="right"/>
        <w:bidi/>
      </w:pPr>
      <w:r>
        <w:rPr>
          <w:rFonts w:ascii="Arial" w:hAnsi="Arial"/>
          <w:sz w:val="16"/>
        </w:rPr>
        <w:t>133.10  میزان سود کل هر سال نسبت به شاخص هزینه زندگی تعدیل می‌شود.</w:t>
      </w:r>
    </w:p>
    <w:p>
      <w:pPr>
        <w:spacing w:after="28" w:line="216" w:lineRule="auto"/>
        <w:ind w:left="259"/>
        <w:jc w:val="left"/>
      </w:pPr>
      <w:r>
        <w:rPr>
          <w:rFonts w:ascii="Arial" w:hAnsi="Arial"/>
          <w:color w:val="525252"/>
          <w:sz w:val="13"/>
        </w:rPr>
        <w:t>The amount of the total benefit is adjusted each year in relation to the cost of living index.</w:t>
      </w:r>
    </w:p>
    <w:p>
      <w:pPr>
        <w:spacing w:after="20" w:line="223" w:lineRule="auto"/>
        <w:jc w:val="right"/>
        <w:bidi/>
      </w:pPr>
      <w:r>
        <w:rPr>
          <w:rFonts w:ascii="Arial" w:hAnsi="Arial"/>
          <w:sz w:val="16"/>
        </w:rPr>
        <w:t>133.11  لایحه GI پس از ۹/۱۱.</w:t>
      </w:r>
    </w:p>
    <w:p>
      <w:pPr>
        <w:spacing w:after="28" w:line="216" w:lineRule="auto"/>
        <w:ind w:left="259"/>
        <w:jc w:val="left"/>
      </w:pPr>
      <w:r>
        <w:rPr>
          <w:rFonts w:ascii="Arial" w:hAnsi="Arial"/>
          <w:color w:val="525252"/>
          <w:sz w:val="13"/>
        </w:rPr>
        <w:t>Post-9/11 GI Bill.</w:t>
      </w:r>
    </w:p>
    <w:p>
      <w:pPr>
        <w:spacing w:after="20" w:line="223" w:lineRule="auto"/>
        <w:jc w:val="right"/>
        <w:bidi/>
      </w:pPr>
      <w:r>
        <w:rPr>
          <w:rFonts w:ascii="Arial" w:hAnsi="Arial"/>
          <w:sz w:val="16"/>
        </w:rPr>
        <w:t>133.12  افراد واجد شرایطی که در ۱۱ سپتامبر ۲۰۰۱ یا پس از آن در وضعیت رگاف بودند، می‌توانند در لایحه GI پوست-۹/۱۱ ثبت‌نام کنند.</w:t>
      </w:r>
    </w:p>
    <w:p>
      <w:pPr>
        <w:spacing w:after="28" w:line="216" w:lineRule="auto"/>
        <w:ind w:left="259"/>
        <w:jc w:val="left"/>
      </w:pPr>
      <w:r>
        <w:rPr>
          <w:rFonts w:ascii="Arial" w:hAnsi="Arial"/>
          <w:color w:val="525252"/>
          <w:sz w:val="13"/>
        </w:rPr>
        <w:t>Eligible individuals who were on RegAF status on or after 11 September 2001 may choose to enroll in the Post-9/11 GI Bill.</w:t>
      </w:r>
    </w:p>
    <w:p>
      <w:pPr>
        <w:spacing w:after="20" w:line="223" w:lineRule="auto"/>
        <w:jc w:val="right"/>
        <w:bidi/>
      </w:pPr>
      <w:r>
        <w:rPr>
          <w:rFonts w:ascii="Arial" w:hAnsi="Arial"/>
          <w:sz w:val="16"/>
        </w:rPr>
        <w:t>133.13  این برنامه به نیروهای هوایی اجازه می‌دهد در صورت داشتن قابلیت نگهداری کافی، مزایای قبض GI را به وابستگان منتقل کنند.</w:t>
      </w:r>
    </w:p>
    <w:p>
      <w:pPr>
        <w:spacing w:after="28" w:line="216" w:lineRule="auto"/>
        <w:ind w:left="259"/>
        <w:jc w:val="left"/>
      </w:pPr>
      <w:r>
        <w:rPr>
          <w:rFonts w:ascii="Arial" w:hAnsi="Arial"/>
          <w:color w:val="525252"/>
          <w:sz w:val="13"/>
        </w:rPr>
        <w:t>This program allows Airmen to transfer GI Bill benefits to dependents if they have sufficient retainability.</w:t>
      </w:r>
    </w:p>
    <w:p>
      <w:pPr>
        <w:spacing w:after="20" w:line="223" w:lineRule="auto"/>
        <w:jc w:val="right"/>
        <w:bidi/>
      </w:pPr>
      <w:r>
        <w:rPr>
          <w:rFonts w:ascii="Arial" w:hAnsi="Arial"/>
          <w:sz w:val="16"/>
        </w:rPr>
        <w:t>133.14  جزئیات و مزایای لایحه GI پس از ۱۱ سپتامبر با لایحه GI مونتگومری متفاوت است.</w:t>
      </w:r>
    </w:p>
    <w:p>
      <w:pPr>
        <w:spacing w:after="28" w:line="216" w:lineRule="auto"/>
        <w:ind w:left="259"/>
        <w:jc w:val="left"/>
      </w:pPr>
      <w:r>
        <w:rPr>
          <w:rFonts w:ascii="Arial" w:hAnsi="Arial"/>
          <w:color w:val="525252"/>
          <w:sz w:val="13"/>
        </w:rPr>
        <w:t>The details and benefits of the Post- 9/11 GI Bill are different from the Montgomery GI Bill.</w:t>
      </w:r>
    </w:p>
    <w:p>
      <w:pPr>
        <w:spacing w:after="20" w:line="223" w:lineRule="auto"/>
        <w:jc w:val="right"/>
        <w:bidi/>
      </w:pPr>
      <w:r>
        <w:rPr>
          <w:rFonts w:ascii="Arial" w:hAnsi="Arial"/>
          <w:sz w:val="16"/>
        </w:rPr>
        <w:t>133.15  تصمیم برای انتقال به این برنامه غیرقابل برگشت است، بنابراین به هوانوردان توصیه می‌شود قبل از تبدیل، اطلاعات کامل را از اداره کهنه‌سربازان (https://www.va.gov/) دریافت کنند.</w:t>
      </w:r>
    </w:p>
    <w:p>
      <w:pPr>
        <w:spacing w:after="28" w:line="216" w:lineRule="auto"/>
        <w:ind w:left="259"/>
        <w:jc w:val="left"/>
      </w:pPr>
      <w:r>
        <w:rPr>
          <w:rFonts w:ascii="Arial" w:hAnsi="Arial"/>
          <w:color w:val="525252"/>
          <w:sz w:val="13"/>
        </w:rPr>
        <w:t>The decision to move to this program is irrevocable, so Airmen are recommended to get full details from the Veteran Administration (https://www.va.gov/) prior to converting.</w:t>
      </w:r>
    </w:p>
    <w:p>
      <w:pPr>
        <w:spacing w:before="60" w:after="28"/>
        <w:jc w:val="right"/>
        <w:bidi/>
      </w:pPr>
      <w:r>
        <w:rPr>
          <w:b/>
          <w:color w:val="1F4D78"/>
          <w:sz w:val="18"/>
        </w:rPr>
        <w:t>7.27. اعتبار کالج با آزمون</w:t>
      </w:r>
    </w:p>
    <w:p>
      <w:pPr>
        <w:spacing w:after="20"/>
        <w:ind w:left="259"/>
        <w:jc w:val="left"/>
      </w:pPr>
      <w:r>
        <w:rPr>
          <w:color w:val="555555"/>
          <w:sz w:val="12"/>
        </w:rPr>
        <w:t>7.27. College Credit by Examination</w:t>
      </w:r>
    </w:p>
    <w:p>
      <w:pPr>
        <w:spacing w:after="20" w:line="223" w:lineRule="auto"/>
        <w:jc w:val="right"/>
        <w:bidi/>
      </w:pPr>
      <w:r>
        <w:rPr>
          <w:rFonts w:ascii="Arial" w:hAnsi="Arial"/>
          <w:sz w:val="16"/>
        </w:rPr>
        <w:t>133.17  برنامه کردیت-بی-کسامیناتیون به اعضای نیروهای مسلح کمک می‌کند تا برای دانشی که از طریق تجربه قبلی به دست آورده‌اند، اعتبار کالج کسب کنند.</w:t>
      </w:r>
    </w:p>
    <w:p>
      <w:pPr>
        <w:spacing w:after="28" w:line="216" w:lineRule="auto"/>
        <w:ind w:left="259"/>
        <w:jc w:val="left"/>
      </w:pPr>
      <w:r>
        <w:rPr>
          <w:rFonts w:ascii="Arial" w:hAnsi="Arial"/>
          <w:color w:val="525252"/>
          <w:sz w:val="13"/>
        </w:rPr>
        <w:t>The Credit-by-Examination program helps service members earn college credit for knowledge gained through previous experience.</w:t>
      </w:r>
    </w:p>
    <w:p>
      <w:pPr>
        <w:spacing w:after="20" w:line="223" w:lineRule="auto"/>
        <w:jc w:val="right"/>
        <w:bidi/>
      </w:pPr>
      <w:r>
        <w:rPr>
          <w:rFonts w:ascii="Arial" w:hAnsi="Arial"/>
          <w:sz w:val="16"/>
        </w:rPr>
        <w:t>133.18  این برنامه با کاهش زمان تکمیل دوره، اجتناب از هزینه‌های کمک شهریه نظامی، و ثبت نمرات در رونوشت خدمات مشترک (JST) و رونوشت دانشکده اجتماعی نیروی هوایی (CCAF) مستقیما به نفع اعضای نیروهای مسلح است.</w:t>
      </w:r>
    </w:p>
    <w:p>
      <w:pPr>
        <w:spacing w:after="28" w:line="216" w:lineRule="auto"/>
        <w:ind w:left="259"/>
        <w:jc w:val="left"/>
      </w:pPr>
      <w:r>
        <w:rPr>
          <w:rFonts w:ascii="Arial" w:hAnsi="Arial"/>
          <w:color w:val="525252"/>
          <w:sz w:val="13"/>
        </w:rPr>
        <w:t>The program directly benefits service members by reducing course completion time, avoiding Military Tuition Assistance costs, and documenting scores on the Joint Services Transcript (JST) and Community College of the Air Force (CCAF) transcript.</w:t>
      </w:r>
    </w:p>
    <w:p>
      <w:pPr>
        <w:spacing w:after="20" w:line="223" w:lineRule="auto"/>
        <w:jc w:val="right"/>
        <w:bidi/>
      </w:pPr>
      <w:r>
        <w:rPr>
          <w:rFonts w:ascii="Arial" w:hAnsi="Arial"/>
          <w:sz w:val="16"/>
        </w:rPr>
        <w:t>133.19  این برنامه بدون هزینه توسط «فعالیت دفاعی برای حمایت از آموزش غیرسنتی» (DANTES) مدیریت می‌شود.</w:t>
      </w:r>
    </w:p>
    <w:p>
      <w:pPr>
        <w:spacing w:after="28" w:line="216" w:lineRule="auto"/>
        <w:ind w:left="259"/>
        <w:jc w:val="left"/>
      </w:pPr>
      <w:r>
        <w:rPr>
          <w:rFonts w:ascii="Arial" w:hAnsi="Arial"/>
          <w:color w:val="525252"/>
          <w:sz w:val="13"/>
        </w:rPr>
        <w:t>This no-cost program is managed by the Defense Activity for Nontraditional Education Support (DANTES).</w:t>
      </w:r>
    </w:p>
    <w:p>
      <w:pPr>
        <w:spacing w:after="20" w:line="223" w:lineRule="auto"/>
        <w:jc w:val="right"/>
        <w:bidi/>
      </w:pPr>
      <w:r>
        <w:rPr>
          <w:rFonts w:ascii="Arial" w:hAnsi="Arial"/>
          <w:sz w:val="16"/>
        </w:rPr>
        <w:t>133.20  اعضای سرویس می‌توانند بین آزمون‌های برنامه امتحانی سطح کالج (CLEP) و آزمون استاندارد موضوع دانتس (DSST) یکی را انتخاب کنند.</w:t>
      </w:r>
    </w:p>
    <w:p>
      <w:pPr>
        <w:spacing w:after="28" w:line="216" w:lineRule="auto"/>
        <w:ind w:left="259"/>
        <w:jc w:val="left"/>
      </w:pPr>
      <w:r>
        <w:rPr>
          <w:rFonts w:ascii="Arial" w:hAnsi="Arial"/>
          <w:color w:val="525252"/>
          <w:sz w:val="13"/>
        </w:rPr>
        <w:t>Service members can choose between the College-Level Examination Program (CLEP) and the Dantes Subject Standardized Test (DSST) exams.</w:t>
      </w:r>
    </w:p>
    <w:p>
      <w:pPr>
        <w:spacing w:after="20" w:line="223" w:lineRule="auto"/>
        <w:jc w:val="right"/>
        <w:bidi/>
      </w:pPr>
      <w:r>
        <w:rPr>
          <w:rFonts w:ascii="Arial" w:hAnsi="Arial"/>
          <w:sz w:val="16"/>
        </w:rPr>
        <w:t>133.21  با بیش از ۷۰ عنوان امتحان، این برنامه گزینه هایی را برای اکثر اعضای نیروهای مسلح ارائه می‌دهد.</w:t>
      </w:r>
    </w:p>
    <w:p>
      <w:pPr>
        <w:spacing w:after="28" w:line="216" w:lineRule="auto"/>
        <w:ind w:left="259"/>
        <w:jc w:val="left"/>
      </w:pPr>
      <w:r>
        <w:rPr>
          <w:rFonts w:ascii="Arial" w:hAnsi="Arial"/>
          <w:color w:val="525252"/>
          <w:sz w:val="13"/>
        </w:rPr>
        <w:t>With more than 70 exam titles, the program provides options to suit most service members.</w:t>
      </w:r>
    </w:p>
    <w:p>
      <w:pPr>
        <w:spacing w:after="20" w:line="223" w:lineRule="auto"/>
        <w:jc w:val="right"/>
        <w:bidi/>
      </w:pPr>
      <w:r>
        <w:rPr>
          <w:rFonts w:ascii="Arial" w:hAnsi="Arial"/>
          <w:sz w:val="16"/>
        </w:rPr>
        <w:t>133.22  افراد ممکن است با قبولی در امتحانات، اعتبارات پیشنهادی کالج را کسب کنند.</w:t>
      </w:r>
    </w:p>
    <w:p>
      <w:pPr>
        <w:spacing w:after="28" w:line="216" w:lineRule="auto"/>
        <w:ind w:left="259"/>
        <w:jc w:val="left"/>
      </w:pPr>
      <w:r>
        <w:rPr>
          <w:rFonts w:ascii="Arial" w:hAnsi="Arial"/>
          <w:color w:val="525252"/>
          <w:sz w:val="13"/>
        </w:rPr>
        <w:t>Individuals may earn recommended college credits by passing the examinations.</w:t>
      </w:r>
    </w:p>
    <w:p>
      <w:pPr>
        <w:spacing w:after="20" w:line="223" w:lineRule="auto"/>
        <w:jc w:val="right"/>
        <w:bidi/>
      </w:pPr>
      <w:r>
        <w:rPr>
          <w:rFonts w:ascii="Arial" w:hAnsi="Arial"/>
          <w:sz w:val="16"/>
        </w:rPr>
        <w:t>133.23  با این حال، میزان اعتبارات اعمال شده به سیاست‌های موسسه دانشگاهی پذیرنده بستگی دارد.</w:t>
      </w:r>
    </w:p>
    <w:p>
      <w:pPr>
        <w:spacing w:after="28" w:line="216" w:lineRule="auto"/>
        <w:ind w:left="259"/>
        <w:jc w:val="left"/>
      </w:pPr>
      <w:r>
        <w:rPr>
          <w:rFonts w:ascii="Arial" w:hAnsi="Arial"/>
          <w:color w:val="525252"/>
          <w:sz w:val="13"/>
        </w:rPr>
        <w:t>However, the amount of credits applied is dependent upon the policies of the accepting academic institution.</w:t>
      </w:r>
    </w:p>
    <w:p>
      <w:pPr>
        <w:spacing w:after="20" w:line="223" w:lineRule="auto"/>
        <w:jc w:val="right"/>
        <w:bidi/>
      </w:pPr>
      <w:r>
        <w:rPr>
          <w:rFonts w:ascii="Arial" w:hAnsi="Arial"/>
          <w:sz w:val="16"/>
        </w:rPr>
        <w:t>133.24  برنامه DSST.</w:t>
      </w:r>
    </w:p>
    <w:p>
      <w:pPr>
        <w:spacing w:after="28" w:line="216" w:lineRule="auto"/>
        <w:ind w:left="259"/>
        <w:jc w:val="left"/>
      </w:pPr>
      <w:r>
        <w:rPr>
          <w:rFonts w:ascii="Arial" w:hAnsi="Arial"/>
          <w:color w:val="525252"/>
          <w:sz w:val="13"/>
        </w:rPr>
        <w:t>DSST Program.</w:t>
      </w:r>
    </w:p>
    <w:p>
      <w:pPr>
        <w:spacing w:after="20" w:line="223" w:lineRule="auto"/>
        <w:jc w:val="right"/>
        <w:bidi/>
      </w:pPr>
      <w:r>
        <w:rPr>
          <w:rFonts w:ascii="Arial" w:hAnsi="Arial"/>
          <w:sz w:val="16"/>
        </w:rPr>
        <w:t>133.25  آزمون‌های DSST، آزمون‌های موضوعی دانشگاهی است که اعضای نیروهای مسلح می‌توانند برای کسب اعتبار کالج برای دانشی که خارج از یک کلاس درس سنتی کسب کرده‌اند، شرکت کنند.</w:t>
      </w:r>
    </w:p>
    <w:p>
      <w:pPr>
        <w:spacing w:after="28" w:line="216" w:lineRule="auto"/>
        <w:ind w:left="259"/>
        <w:jc w:val="left"/>
      </w:pPr>
      <w:r>
        <w:rPr>
          <w:rFonts w:ascii="Arial" w:hAnsi="Arial"/>
          <w:color w:val="525252"/>
          <w:sz w:val="13"/>
        </w:rPr>
        <w:t>The DSST exams are college subject tests service members can take to earn college credit for knowledge acquired outside of a traditional classroom.</w:t>
      </w:r>
    </w:p>
    <w:p>
      <w:pPr>
        <w:spacing w:after="20" w:line="223" w:lineRule="auto"/>
        <w:jc w:val="right"/>
        <w:bidi/>
      </w:pPr>
      <w:r>
        <w:rPr>
          <w:rFonts w:ascii="Arial" w:hAnsi="Arial"/>
          <w:sz w:val="16"/>
        </w:rPr>
        <w:t>133.26  ۳۸ آزمون موضوعی وجود دارد که از میان آنها می‌توان در رشته هایی مانند بازرگانی، علوم انسانی، ریاضیات، علوم فیزیک و غیره انتخاب کرد.</w:t>
      </w:r>
    </w:p>
    <w:p>
      <w:pPr>
        <w:spacing w:after="28" w:line="216" w:lineRule="auto"/>
        <w:ind w:left="259"/>
        <w:jc w:val="left"/>
      </w:pPr>
      <w:r>
        <w:rPr>
          <w:rFonts w:ascii="Arial" w:hAnsi="Arial"/>
          <w:color w:val="525252"/>
          <w:sz w:val="13"/>
        </w:rPr>
        <w:t>There are 38 subject exams from which to select in disciplines such as Business, Humanities, Mathematics, Physical Science, and more.</w:t>
      </w:r>
    </w:p>
    <w:p>
      <w:pPr>
        <w:spacing w:after="20" w:line="223" w:lineRule="auto"/>
        <w:jc w:val="right"/>
        <w:bidi/>
      </w:pPr>
      <w:r>
        <w:rPr>
          <w:rFonts w:ascii="Arial" w:hAnsi="Arial"/>
          <w:sz w:val="16"/>
        </w:rPr>
        <w:t>133.27  هر امتحان DSST بر اساس چندین کتاب درسی است که معمولا برای دوره‌ای با عنوان مشابه یا مشابه استفاده می‌شود، و مواد آماده‌سازی آزمون بدون هزینه در وب‌سایت DANTES (https://www.dantes.mil/) فهرست شده است.</w:t>
      </w:r>
    </w:p>
    <w:p>
      <w:pPr>
        <w:spacing w:after="28" w:line="216" w:lineRule="auto"/>
        <w:ind w:left="259"/>
        <w:jc w:val="left"/>
      </w:pPr>
      <w:r>
        <w:rPr>
          <w:rFonts w:ascii="Arial" w:hAnsi="Arial"/>
          <w:color w:val="525252"/>
          <w:sz w:val="13"/>
        </w:rPr>
        <w:t>Each DSST exam is based on several textbooks commonly used for a course of the same or similar title, and no-cost test preparation materials are listed on the DANTES (https://www.dantes.mil/) website.</w:t>
      </w:r>
    </w:p>
    <w:p>
      <w:pPr>
        <w:spacing w:after="20" w:line="223" w:lineRule="auto"/>
        <w:jc w:val="right"/>
        <w:bidi/>
      </w:pPr>
      <w:r>
        <w:rPr>
          <w:rFonts w:ascii="Arial" w:hAnsi="Arial"/>
          <w:sz w:val="16"/>
        </w:rPr>
        <w:t>133.28  برنامه CLEP.</w:t>
      </w:r>
    </w:p>
    <w:p>
      <w:pPr>
        <w:spacing w:after="28" w:line="216" w:lineRule="auto"/>
        <w:ind w:left="259"/>
        <w:jc w:val="left"/>
      </w:pPr>
      <w:r>
        <w:rPr>
          <w:rFonts w:ascii="Arial" w:hAnsi="Arial"/>
          <w:color w:val="525252"/>
          <w:sz w:val="13"/>
        </w:rPr>
        <w:t>The CLEP Program.</w:t>
      </w:r>
    </w:p>
    <w:p>
      <w:pPr>
        <w:spacing w:after="20" w:line="223" w:lineRule="auto"/>
        <w:jc w:val="right"/>
        <w:bidi/>
      </w:pPr>
      <w:r>
        <w:rPr>
          <w:rFonts w:ascii="Arial" w:hAnsi="Arial"/>
          <w:sz w:val="16"/>
        </w:rPr>
        <w:t>133.29  آزمون‌های CLEP آزمون‌های موضوعی دانشگاهی است که اعضای نیروهای مسلح می‌توانند برای کسب اعتبار کالج برای آنچه پیش‌تر می‌دانند شرکت کنند.</w:t>
      </w:r>
    </w:p>
    <w:p>
      <w:pPr>
        <w:spacing w:after="28" w:line="216" w:lineRule="auto"/>
        <w:ind w:left="259"/>
        <w:jc w:val="left"/>
      </w:pPr>
      <w:r>
        <w:rPr>
          <w:rFonts w:ascii="Arial" w:hAnsi="Arial"/>
          <w:color w:val="525252"/>
          <w:sz w:val="13"/>
        </w:rPr>
        <w:t>The CLEP exams are college subject tests service members can take to earn college credit for what they already know.</w:t>
      </w:r>
    </w:p>
    <w:p>
      <w:pPr>
        <w:spacing w:after="20" w:line="223" w:lineRule="auto"/>
        <w:jc w:val="right"/>
        <w:bidi/>
      </w:pPr>
      <w:r>
        <w:rPr>
          <w:rFonts w:ascii="Arial" w:hAnsi="Arial"/>
          <w:sz w:val="16"/>
        </w:rPr>
        <w:t>133.30  ۳۴ امتحان کالج وجود دارد که حوزه‌های موضوعی مانند آهنگسازی و ادبیات، زبان‌های جهان، تاریخ و علوم اجتماعی، علوم و ریاضیات، و تجارت را پوشش می‌دهد.</w:t>
      </w:r>
    </w:p>
    <w:p>
      <w:pPr>
        <w:spacing w:after="28" w:line="216" w:lineRule="auto"/>
        <w:ind w:left="259"/>
        <w:jc w:val="left"/>
      </w:pPr>
      <w:r>
        <w:rPr>
          <w:rFonts w:ascii="Arial" w:hAnsi="Arial"/>
          <w:color w:val="525252"/>
          <w:sz w:val="13"/>
        </w:rPr>
        <w:t>There are 34 college exams, covering subject areas such as Composition and Literature, World Languages, History and Social Sciences, Science and Mathematics, and Business.</w:t>
      </w:r>
    </w:p>
    <w:p>
      <w:pPr>
        <w:spacing w:after="20" w:line="223" w:lineRule="auto"/>
        <w:jc w:val="right"/>
        <w:bidi/>
      </w:pPr>
      <w:r>
        <w:rPr>
          <w:rFonts w:ascii="Arial" w:hAnsi="Arial"/>
          <w:sz w:val="16"/>
        </w:rPr>
        <w:t>133.31  شرکت کنندگان در آزمونی که در این امتحانات موفق می‌شوند، ۳ تا ۱۲ اعتبار توصیه شده در سطح پایین کالج، بر اساس آزمونی که گرفته شده است، کسب می‌کنند.</w:t>
      </w:r>
    </w:p>
    <w:p>
      <w:pPr>
        <w:spacing w:after="28" w:line="216" w:lineRule="auto"/>
        <w:ind w:left="259"/>
        <w:jc w:val="left"/>
      </w:pPr>
      <w:r>
        <w:rPr>
          <w:rFonts w:ascii="Arial" w:hAnsi="Arial"/>
          <w:color w:val="525252"/>
          <w:sz w:val="13"/>
        </w:rPr>
        <w:t>Test takers who pass these exams earn 3-12 recommended lower-level college credits, based on the exam taken.</w:t>
      </w:r>
    </w:p>
    <w:p>
      <w:pPr>
        <w:spacing w:after="20" w:line="223" w:lineRule="auto"/>
        <w:jc w:val="right"/>
        <w:bidi/>
      </w:pPr>
      <w:r>
        <w:rPr>
          <w:rFonts w:ascii="Arial" w:hAnsi="Arial"/>
          <w:sz w:val="16"/>
        </w:rPr>
        <w:t>133.32  محتوای آماده‌سازی آزمون بدون هزینه در وب‌سایت DANTES (https://www.dantes.mil/) مشخص شده است.</w:t>
      </w:r>
    </w:p>
    <w:p>
      <w:pPr>
        <w:spacing w:after="28" w:line="216" w:lineRule="auto"/>
        <w:ind w:left="259"/>
        <w:jc w:val="left"/>
      </w:pPr>
      <w:r>
        <w:rPr>
          <w:rFonts w:ascii="Arial" w:hAnsi="Arial"/>
          <w:color w:val="525252"/>
          <w:sz w:val="13"/>
        </w:rPr>
        <w:t>No-cost test preparation content is outlined on the DANTES (https://www.dantes.mil/) website.</w:t>
      </w:r>
    </w:p>
    <w:p>
      <w:pPr>
        <w:spacing w:before="60" w:after="28"/>
        <w:jc w:val="right"/>
        <w:bidi/>
      </w:pPr>
      <w:r>
        <w:rPr>
          <w:b/>
          <w:color w:val="1F4D78"/>
          <w:sz w:val="18"/>
        </w:rPr>
        <w:t>7.28. برنامه های راه اندازی</w:t>
      </w:r>
    </w:p>
    <w:p>
      <w:pPr>
        <w:spacing w:after="20"/>
        <w:ind w:left="259"/>
        <w:jc w:val="left"/>
      </w:pPr>
      <w:r>
        <w:rPr>
          <w:color w:val="555555"/>
          <w:sz w:val="12"/>
        </w:rPr>
        <w:t>7.28. Commissioning Programs</w:t>
      </w:r>
    </w:p>
    <w:p>
      <w:pPr>
        <w:spacing w:after="20" w:line="223" w:lineRule="auto"/>
        <w:jc w:val="right"/>
        <w:bidi/>
      </w:pPr>
      <w:r>
        <w:rPr>
          <w:rFonts w:ascii="Arial" w:hAnsi="Arial"/>
          <w:sz w:val="16"/>
        </w:rPr>
        <w:t>133.34  اعضای ثبت‌نام می‌توانند هنگام حضور در وضعیت رگاف از طریق یکی از برنامه‌های مختلف راه‌اندازی کمیسیون دریافت کنند.</w:t>
      </w:r>
    </w:p>
    <w:p>
      <w:pPr>
        <w:spacing w:after="28" w:line="216" w:lineRule="auto"/>
        <w:ind w:left="259"/>
        <w:jc w:val="left"/>
      </w:pPr>
      <w:r>
        <w:rPr>
          <w:rFonts w:ascii="Arial" w:hAnsi="Arial"/>
          <w:color w:val="525252"/>
          <w:sz w:val="13"/>
        </w:rPr>
        <w:t>Enlisted members can obtain a commission while on RegAF status through one of the various commissioning programs.</w:t>
      </w:r>
    </w:p>
    <w:p>
      <w:r>
        <w:br w:type="page"/>
      </w:r>
    </w:p>
    <w:p>
      <w:pPr>
        <w:spacing w:after="60"/>
        <w:jc w:val="right"/>
        <w:bidi/>
      </w:pPr>
      <w:r>
        <w:rPr>
          <w:rFonts w:ascii="Arial" w:hAnsi="Arial"/>
          <w:b/>
          <w:color w:val="1F4D78"/>
          <w:sz w:val="19"/>
        </w:rPr>
        <w:t>هفتهٔ 134  |  صفحهٔ منبع: 150</w:t>
      </w:r>
    </w:p>
    <w:p>
      <w:pPr>
        <w:spacing w:after="20" w:line="223" w:lineRule="auto"/>
        <w:jc w:val="right"/>
        <w:bidi/>
      </w:pPr>
      <w:r>
        <w:rPr>
          <w:rFonts w:ascii="Arial" w:hAnsi="Arial"/>
          <w:sz w:val="16"/>
        </w:rPr>
        <w:t>134.01  آموزشگاه افسری.</w:t>
      </w:r>
    </w:p>
    <w:p>
      <w:pPr>
        <w:spacing w:after="28" w:line="216" w:lineRule="auto"/>
        <w:ind w:left="259"/>
        <w:jc w:val="left"/>
      </w:pPr>
      <w:r>
        <w:rPr>
          <w:rFonts w:ascii="Arial" w:hAnsi="Arial"/>
          <w:color w:val="525252"/>
          <w:sz w:val="13"/>
        </w:rPr>
        <w:t>Officer Training School.</w:t>
      </w:r>
    </w:p>
    <w:p>
      <w:pPr>
        <w:spacing w:after="20" w:line="223" w:lineRule="auto"/>
        <w:jc w:val="right"/>
        <w:bidi/>
      </w:pPr>
      <w:r>
        <w:rPr>
          <w:rFonts w:ascii="Arial" w:hAnsi="Arial"/>
          <w:sz w:val="16"/>
        </w:rPr>
        <w:t>134.02  واجد شرایط بودن برای کمیسیون از طریق مدرسه آموزش افسری، اعضای ارتش باید دارای مدرک لیسانس یا بالاتر از یک کالج یا دانشگاه معتبر باشند.</w:t>
      </w:r>
    </w:p>
    <w:p>
      <w:pPr>
        <w:spacing w:after="28" w:line="216" w:lineRule="auto"/>
        <w:ind w:left="259"/>
        <w:jc w:val="left"/>
      </w:pPr>
      <w:r>
        <w:rPr>
          <w:rFonts w:ascii="Arial" w:hAnsi="Arial"/>
          <w:color w:val="525252"/>
          <w:sz w:val="13"/>
        </w:rPr>
        <w:t>Eligibility for a commission through Officer Training School requires military members to possess a baccalaureate or higher degree from an accredited college or university.</w:t>
      </w:r>
    </w:p>
    <w:p>
      <w:pPr>
        <w:spacing w:after="20" w:line="223" w:lineRule="auto"/>
        <w:jc w:val="right"/>
        <w:bidi/>
      </w:pPr>
      <w:r>
        <w:rPr>
          <w:rFonts w:ascii="Arial" w:hAnsi="Arial"/>
          <w:sz w:val="16"/>
        </w:rPr>
        <w:t>134.03  DAFMAN ۳۶-۲۰۳۲، سربازگیری و الحاقات نظامی، حاوی راهنمایی خاصی است.</w:t>
      </w:r>
    </w:p>
    <w:p>
      <w:pPr>
        <w:spacing w:after="28" w:line="216" w:lineRule="auto"/>
        <w:ind w:left="259"/>
        <w:jc w:val="left"/>
      </w:pPr>
      <w:r>
        <w:rPr>
          <w:rFonts w:ascii="Arial" w:hAnsi="Arial"/>
          <w:color w:val="525252"/>
          <w:sz w:val="13"/>
        </w:rPr>
        <w:t>DAFMAN 36-2032, Military Recruiting and Accessions, contains specific guidance.</w:t>
      </w:r>
    </w:p>
    <w:p>
      <w:pPr>
        <w:spacing w:after="20" w:line="223" w:lineRule="auto"/>
        <w:jc w:val="right"/>
        <w:bidi/>
      </w:pPr>
      <w:r>
        <w:rPr>
          <w:rFonts w:ascii="Arial" w:hAnsi="Arial"/>
          <w:sz w:val="16"/>
        </w:rPr>
        <w:t>134.04  علاوه بر این، دفتر خدمات آموزش پایه اطلاعاتی دارد و می‌تواند کمک کند.</w:t>
      </w:r>
    </w:p>
    <w:p>
      <w:pPr>
        <w:spacing w:after="28" w:line="216" w:lineRule="auto"/>
        <w:ind w:left="259"/>
        <w:jc w:val="left"/>
      </w:pPr>
      <w:r>
        <w:rPr>
          <w:rFonts w:ascii="Arial" w:hAnsi="Arial"/>
          <w:color w:val="525252"/>
          <w:sz w:val="13"/>
        </w:rPr>
        <w:t>Additionally, the base education services office has information and can provide assistance.</w:t>
      </w:r>
    </w:p>
    <w:p>
      <w:pPr>
        <w:spacing w:after="20" w:line="223" w:lineRule="auto"/>
        <w:jc w:val="right"/>
        <w:bidi/>
      </w:pPr>
      <w:r>
        <w:rPr>
          <w:rFonts w:ascii="Arial" w:hAnsi="Arial"/>
          <w:sz w:val="16"/>
        </w:rPr>
        <w:t>134.05  رهبران توسعه هوانوردان را تشویق می‌کنند.</w:t>
      </w:r>
    </w:p>
    <w:p>
      <w:pPr>
        <w:spacing w:after="28" w:line="216" w:lineRule="auto"/>
        <w:ind w:left="259"/>
        <w:jc w:val="left"/>
      </w:pPr>
      <w:r>
        <w:rPr>
          <w:rFonts w:ascii="Arial" w:hAnsi="Arial"/>
          <w:color w:val="525252"/>
          <w:sz w:val="13"/>
        </w:rPr>
        <w:t>Leaders Encouraging Airmen Development.</w:t>
      </w:r>
    </w:p>
    <w:p>
      <w:pPr>
        <w:spacing w:after="20" w:line="223" w:lineRule="auto"/>
        <w:jc w:val="right"/>
        <w:bidi/>
      </w:pPr>
      <w:r>
        <w:rPr>
          <w:rFonts w:ascii="Arial" w:hAnsi="Arial"/>
          <w:sz w:val="16"/>
        </w:rPr>
        <w:t>134.06  رهبران برنامه توسعه هوانوردان را تشویق می‌کنند، اختیاراتی را به فرماندهان واحد و جناح تفویض می‌کند تا از طریق حضور در آکادمی USAF، افراد واجد شرایط را برای افسران USAF معرفی کنند.</w:t>
      </w:r>
    </w:p>
    <w:p>
      <w:pPr>
        <w:spacing w:after="28" w:line="216" w:lineRule="auto"/>
        <w:ind w:left="259"/>
        <w:jc w:val="left"/>
      </w:pPr>
      <w:r>
        <w:rPr>
          <w:rFonts w:ascii="Arial" w:hAnsi="Arial"/>
          <w:color w:val="525252"/>
          <w:sz w:val="13"/>
        </w:rPr>
        <w:t>The Leaders Encouraging Airmen Development Program delegates authority to unit and wing commanders to nominate highly qualified Airmen to become USAF officers through USAF Academy attendance.</w:t>
      </w:r>
    </w:p>
    <w:p>
      <w:pPr>
        <w:spacing w:after="20" w:line="223" w:lineRule="auto"/>
        <w:jc w:val="right"/>
        <w:bidi/>
      </w:pPr>
      <w:r>
        <w:rPr>
          <w:rFonts w:ascii="Arial" w:hAnsi="Arial"/>
          <w:sz w:val="16"/>
        </w:rPr>
        <w:t>134.07  بسته به سطح صلاحیت، نامزدی ممکن است منجر به ورود مستقیم به آکادمی USAF، ورود به مدرسه مقدماتی آکادمی USAF، یا ارجاع به برنامه‌های دیگر شود.</w:t>
      </w:r>
    </w:p>
    <w:p>
      <w:pPr>
        <w:spacing w:after="28" w:line="216" w:lineRule="auto"/>
        <w:ind w:left="259"/>
        <w:jc w:val="left"/>
      </w:pPr>
      <w:r>
        <w:rPr>
          <w:rFonts w:ascii="Arial" w:hAnsi="Arial"/>
          <w:color w:val="525252"/>
          <w:sz w:val="13"/>
        </w:rPr>
        <w:t>Depending on level of qualifications, nominations may lead to direct entry to USAF Academy, entry to the USAF Academy Preparatory School, or referral to other programs.</w:t>
      </w:r>
    </w:p>
    <w:p>
      <w:pPr>
        <w:spacing w:after="20" w:line="223" w:lineRule="auto"/>
        <w:jc w:val="right"/>
        <w:bidi/>
      </w:pPr>
      <w:r>
        <w:rPr>
          <w:rFonts w:ascii="Arial" w:hAnsi="Arial"/>
          <w:sz w:val="16"/>
        </w:rPr>
        <w:t>134.08  بورسیه تحصیلی برای هوانوردان برجسته تا سپاه آموزش افسران رزرو.</w:t>
      </w:r>
    </w:p>
    <w:p>
      <w:pPr>
        <w:spacing w:after="28" w:line="216" w:lineRule="auto"/>
        <w:ind w:left="259"/>
        <w:jc w:val="left"/>
      </w:pPr>
      <w:r>
        <w:rPr>
          <w:rFonts w:ascii="Arial" w:hAnsi="Arial"/>
          <w:color w:val="525252"/>
          <w:sz w:val="13"/>
        </w:rPr>
        <w:t>Scholarships for Outstanding Airmen to Reserve Officer Training Corps.</w:t>
      </w:r>
    </w:p>
    <w:p>
      <w:pPr>
        <w:spacing w:after="20" w:line="223" w:lineRule="auto"/>
        <w:jc w:val="right"/>
        <w:bidi/>
      </w:pPr>
      <w:r>
        <w:rPr>
          <w:rFonts w:ascii="Arial" w:hAnsi="Arial"/>
          <w:sz w:val="16"/>
        </w:rPr>
        <w:t>134.09  برنامه بورسیه‌های تحصیلی برای هوانوردان برجسته تا سپاه آموزش افسران رزرو (ROTC) سهمیه‌های بورسیه را برای هوانوردان برجسته اختصاص می‌دهد.</w:t>
      </w:r>
    </w:p>
    <w:p>
      <w:pPr>
        <w:spacing w:after="28" w:line="216" w:lineRule="auto"/>
        <w:ind w:left="259"/>
        <w:jc w:val="left"/>
      </w:pPr>
      <w:r>
        <w:rPr>
          <w:rFonts w:ascii="Arial" w:hAnsi="Arial"/>
          <w:color w:val="525252"/>
          <w:sz w:val="13"/>
        </w:rPr>
        <w:t>The Scholarships for Outstanding Airmen to Reserve Officer Training Corps (ROTC) Program allocates scholarship quotas for outstanding Airmen.</w:t>
      </w:r>
    </w:p>
    <w:p>
      <w:pPr>
        <w:spacing w:after="20" w:line="223" w:lineRule="auto"/>
        <w:jc w:val="right"/>
        <w:bidi/>
      </w:pPr>
      <w:r>
        <w:rPr>
          <w:rFonts w:ascii="Arial" w:hAnsi="Arial"/>
          <w:sz w:val="16"/>
        </w:rPr>
        <w:t>134.10  در صورت واجد شرایط بودن و انتخاب شدن توسط هیئت مدیره USAF ROTC، نیروهای هوایی از رگاف جدا شده و به یک گروه USAF ROTC ملحق می‌شوند تا دانشجویان تمام وقت کالج شوند.</w:t>
      </w:r>
    </w:p>
    <w:p>
      <w:pPr>
        <w:spacing w:after="28" w:line="216" w:lineRule="auto"/>
        <w:ind w:left="259"/>
        <w:jc w:val="left"/>
      </w:pPr>
      <w:r>
        <w:rPr>
          <w:rFonts w:ascii="Arial" w:hAnsi="Arial"/>
          <w:color w:val="525252"/>
          <w:sz w:val="13"/>
        </w:rPr>
        <w:t>If qualified and selected by the USAF ROTC board, Airmen separate from the RegAF and join a USAF ROTC detachment to become full-time college students.</w:t>
      </w:r>
    </w:p>
    <w:p>
      <w:pPr>
        <w:spacing w:after="20" w:line="223" w:lineRule="auto"/>
        <w:jc w:val="right"/>
        <w:bidi/>
      </w:pPr>
      <w:r>
        <w:rPr>
          <w:rFonts w:ascii="Arial" w:hAnsi="Arial"/>
          <w:sz w:val="16"/>
        </w:rPr>
        <w:t>134.11  USAF کمک هزینه تحصیلی و هزینه تحصیلی تا سقف ۱۸۰۰۰ دلار در سال، کمک هزینه سالانه کتاب درسی و کمک هزینه ماهانه غیر قابل مالیات را ارائه می‌دهد.</w:t>
      </w:r>
    </w:p>
    <w:p>
      <w:pPr>
        <w:spacing w:after="28" w:line="216" w:lineRule="auto"/>
        <w:ind w:left="259"/>
        <w:jc w:val="left"/>
      </w:pPr>
      <w:r>
        <w:rPr>
          <w:rFonts w:ascii="Arial" w:hAnsi="Arial"/>
          <w:color w:val="525252"/>
          <w:sz w:val="13"/>
        </w:rPr>
        <w:t>The USAF provides a tuition and fees scholarship of up to $18,000 per year, an annual textbook allowance, and a monthly nontaxable stipend.</w:t>
      </w:r>
    </w:p>
    <w:p>
      <w:pPr>
        <w:spacing w:after="20" w:line="223" w:lineRule="auto"/>
        <w:jc w:val="right"/>
        <w:bidi/>
      </w:pPr>
      <w:r>
        <w:rPr>
          <w:rFonts w:ascii="Arial" w:hAnsi="Arial"/>
          <w:sz w:val="16"/>
        </w:rPr>
        <w:t>134.12  اعطای این بورسیه برای دو تا چهار سال بسته به اینکه چند سال در برنامه تحصیلی دانشجو باقی مانده است، است.</w:t>
      </w:r>
    </w:p>
    <w:p>
      <w:pPr>
        <w:spacing w:after="28" w:line="216" w:lineRule="auto"/>
        <w:ind w:left="259"/>
        <w:jc w:val="left"/>
      </w:pPr>
      <w:r>
        <w:rPr>
          <w:rFonts w:ascii="Arial" w:hAnsi="Arial"/>
          <w:color w:val="525252"/>
          <w:sz w:val="13"/>
        </w:rPr>
        <w:t>Award of this scholarship is for two to four years, depending on how many years remain in the student’s degree program.</w:t>
      </w:r>
    </w:p>
    <w:p>
      <w:pPr>
        <w:spacing w:after="20" w:line="223" w:lineRule="auto"/>
        <w:jc w:val="right"/>
        <w:bidi/>
      </w:pPr>
      <w:r>
        <w:rPr>
          <w:rFonts w:ascii="Arial" w:hAnsi="Arial"/>
          <w:sz w:val="16"/>
        </w:rPr>
        <w:t>134.13  پس از فارغ‌التحصیلی و تکمیل برنامه، دانش‌آموزان به‌عنوان ستوان دوم مأموریت داده می‌شوند و به وضعیت رگاف (معمولا ظرف ۶۰ روز پس از راه‌اندازی) برای حداقل چهار سال باز می‌گردند.</w:t>
      </w:r>
    </w:p>
    <w:p>
      <w:pPr>
        <w:spacing w:after="28" w:line="216" w:lineRule="auto"/>
        <w:ind w:left="259"/>
        <w:jc w:val="left"/>
      </w:pPr>
      <w:r>
        <w:rPr>
          <w:rFonts w:ascii="Arial" w:hAnsi="Arial"/>
          <w:color w:val="525252"/>
          <w:sz w:val="13"/>
        </w:rPr>
        <w:t>Upon graduation and completion of the program, students are commissioned as Second Lieutenants and returned to RegAF status (typically within 60 days of commissioning) for at least four years.</w:t>
      </w:r>
    </w:p>
    <w:p>
      <w:pPr>
        <w:spacing w:after="20" w:line="223" w:lineRule="auto"/>
        <w:jc w:val="right"/>
        <w:bidi/>
      </w:pPr>
      <w:r>
        <w:rPr>
          <w:rFonts w:ascii="Arial" w:hAnsi="Arial"/>
          <w:sz w:val="16"/>
        </w:rPr>
        <w:t>134.14  بورسیه و راه‌اندازی نیروی هوایی آموزش افسران رزرو نیروی هوایی ارتش.</w:t>
      </w:r>
    </w:p>
    <w:p>
      <w:pPr>
        <w:spacing w:after="28" w:line="216" w:lineRule="auto"/>
        <w:ind w:left="259"/>
        <w:jc w:val="left"/>
      </w:pPr>
      <w:r>
        <w:rPr>
          <w:rFonts w:ascii="Arial" w:hAnsi="Arial"/>
          <w:color w:val="525252"/>
          <w:sz w:val="13"/>
        </w:rPr>
        <w:t>USAF Reserve Officer Training Corps Airman Scholarship and Commissioning.</w:t>
      </w:r>
    </w:p>
    <w:p>
      <w:pPr>
        <w:spacing w:after="20" w:line="223" w:lineRule="auto"/>
        <w:jc w:val="right"/>
        <w:bidi/>
      </w:pPr>
      <w:r>
        <w:rPr>
          <w:rFonts w:ascii="Arial" w:hAnsi="Arial"/>
          <w:sz w:val="16"/>
        </w:rPr>
        <w:t>134.15  برنامه کمک هزینه تحصیلی و راه‌اندازی نیروی هوایی USAF ROTC به اعضای نظامی اجازه می‌دهد بورسیه تحصیلی USAF ROTC برای حضور در کالج یا دانشگاه مورد نظر خود دریافت کنند، مشروط بر اینکه کالج یا دانشگاه برنامه ROTC USAF را ارائه دهد.</w:t>
      </w:r>
    </w:p>
    <w:p>
      <w:pPr>
        <w:spacing w:after="28" w:line="216" w:lineRule="auto"/>
        <w:ind w:left="259"/>
        <w:jc w:val="left"/>
      </w:pPr>
      <w:r>
        <w:rPr>
          <w:rFonts w:ascii="Arial" w:hAnsi="Arial"/>
          <w:color w:val="525252"/>
          <w:sz w:val="13"/>
        </w:rPr>
        <w:t>The USAF ROTC Airman Scholarship and Commissioning Program allows military members to receive a USAF ROTC scholarship to attend a college or university of their choice, provided the college or university offers a USAF ROTC Program.</w:t>
      </w:r>
    </w:p>
    <w:p>
      <w:pPr>
        <w:spacing w:after="20" w:line="223" w:lineRule="auto"/>
        <w:jc w:val="right"/>
        <w:bidi/>
      </w:pPr>
      <w:r>
        <w:rPr>
          <w:rFonts w:ascii="Arial" w:hAnsi="Arial"/>
          <w:sz w:val="16"/>
        </w:rPr>
        <w:t>134.16  کسانی که از رگاف جدا می‌شوند، به یک گروه ROTC USAF می‌پیوندند و دانشجوی تمام وقت کالج می‌شوند.</w:t>
      </w:r>
    </w:p>
    <w:p>
      <w:pPr>
        <w:spacing w:after="28" w:line="216" w:lineRule="auto"/>
        <w:ind w:left="259"/>
        <w:jc w:val="left"/>
      </w:pPr>
      <w:r>
        <w:rPr>
          <w:rFonts w:ascii="Arial" w:hAnsi="Arial"/>
          <w:color w:val="525252"/>
          <w:sz w:val="13"/>
        </w:rPr>
        <w:t>Those selected separate from the RegAF, join a USAF ROTC detachment, and become a full-time college student.</w:t>
      </w:r>
    </w:p>
    <w:p>
      <w:pPr>
        <w:spacing w:after="20" w:line="223" w:lineRule="auto"/>
        <w:jc w:val="right"/>
        <w:bidi/>
      </w:pPr>
      <w:r>
        <w:rPr>
          <w:rFonts w:ascii="Arial" w:hAnsi="Arial"/>
          <w:sz w:val="16"/>
        </w:rPr>
        <w:t>134.17  USAF کمک هزینه تحصیلی تا ۱۸۰۰۰ دلار در سال و کمک هزینه سالانه کتاب درسی و کمک هزینه ماهیانه غیر قابل مالیات را ارائه می‌دهد.</w:t>
      </w:r>
    </w:p>
    <w:p>
      <w:pPr>
        <w:spacing w:after="28" w:line="216" w:lineRule="auto"/>
        <w:ind w:left="259"/>
        <w:jc w:val="left"/>
      </w:pPr>
      <w:r>
        <w:rPr>
          <w:rFonts w:ascii="Arial" w:hAnsi="Arial"/>
          <w:color w:val="525252"/>
          <w:sz w:val="13"/>
        </w:rPr>
        <w:t>The USAF provides a tuition/fees scholarship of up to $18,000 per year, and annual textbook allowance, and a monthly nontaxable stipend.</w:t>
      </w:r>
    </w:p>
    <w:p>
      <w:pPr>
        <w:spacing w:after="20" w:line="223" w:lineRule="auto"/>
        <w:jc w:val="right"/>
        <w:bidi/>
      </w:pPr>
      <w:r>
        <w:rPr>
          <w:rFonts w:ascii="Arial" w:hAnsi="Arial"/>
          <w:sz w:val="16"/>
        </w:rPr>
        <w:t>134.18  این بورسیه برای دو تا چهار سال، بسته به اینکه چند سال در برنامه لیسانس دانشجو باقی بماند، اعطا خواهد شد.</w:t>
      </w:r>
    </w:p>
    <w:p>
      <w:pPr>
        <w:spacing w:after="28" w:line="216" w:lineRule="auto"/>
        <w:ind w:left="259"/>
        <w:jc w:val="left"/>
      </w:pPr>
      <w:r>
        <w:rPr>
          <w:rFonts w:ascii="Arial" w:hAnsi="Arial"/>
          <w:color w:val="525252"/>
          <w:sz w:val="13"/>
        </w:rPr>
        <w:t>This scholarship will be awarded for two to four years, depending on how many years remain in the student’s bachelor’s degree program.</w:t>
      </w:r>
    </w:p>
    <w:p>
      <w:pPr>
        <w:spacing w:after="20" w:line="223" w:lineRule="auto"/>
        <w:jc w:val="right"/>
        <w:bidi/>
      </w:pPr>
      <w:r>
        <w:rPr>
          <w:rFonts w:ascii="Arial" w:hAnsi="Arial"/>
          <w:sz w:val="16"/>
        </w:rPr>
        <w:t>134.19  پس از فارغ‌التحصیلی و تکمیل برنامه، دانش‌آموزان به‌عنوان ستوان دوم مامور می‌شوند و با تعهد نظامی چهار سال در بخش فعال و چهار سال در ذخیره آماده به وضعیت رگاف باز می‌گردند.</w:t>
      </w:r>
    </w:p>
    <w:p>
      <w:pPr>
        <w:spacing w:after="28" w:line="216" w:lineRule="auto"/>
        <w:ind w:left="259"/>
        <w:jc w:val="left"/>
      </w:pPr>
      <w:r>
        <w:rPr>
          <w:rFonts w:ascii="Arial" w:hAnsi="Arial"/>
          <w:color w:val="525252"/>
          <w:sz w:val="13"/>
        </w:rPr>
        <w:t>Upon graduation and completion of the program, students are commissioned as Second Lieutenant and returned to RegAF status with a military obligation of four years in the active component and four years in the ready reserve.</w:t>
      </w:r>
    </w:p>
    <w:p>
      <w:pPr>
        <w:spacing w:after="20" w:line="223" w:lineRule="auto"/>
        <w:jc w:val="right"/>
        <w:bidi/>
      </w:pPr>
      <w:r>
        <w:rPr>
          <w:rFonts w:ascii="Arial" w:hAnsi="Arial"/>
          <w:sz w:val="16"/>
        </w:rPr>
        <w:t>134.20  پس از فارغ‌التحصیلی و راه‌اندازی به‌عنوان ستوان دوم جدید، ممکن است تا ۳۶۵ روز برای ورود به رگاف منتظر بمانید.</w:t>
      </w:r>
    </w:p>
    <w:p>
      <w:pPr>
        <w:spacing w:after="28" w:line="216" w:lineRule="auto"/>
        <w:ind w:left="259"/>
        <w:jc w:val="left"/>
      </w:pPr>
      <w:r>
        <w:rPr>
          <w:rFonts w:ascii="Arial" w:hAnsi="Arial"/>
          <w:color w:val="525252"/>
          <w:sz w:val="13"/>
        </w:rPr>
        <w:t>After graduation and commissioning as a new Second Lieutenant, there may be a wait of up to 365 days to enter RegAF.</w:t>
      </w:r>
    </w:p>
    <w:p>
      <w:pPr>
        <w:spacing w:after="20" w:line="223" w:lineRule="auto"/>
        <w:jc w:val="right"/>
        <w:bidi/>
      </w:pPr>
      <w:r>
        <w:rPr>
          <w:rFonts w:ascii="Arial" w:hAnsi="Arial"/>
          <w:sz w:val="16"/>
        </w:rPr>
        <w:t>134.21  راه‌اندازی خدمت پرستار.</w:t>
      </w:r>
    </w:p>
    <w:p>
      <w:pPr>
        <w:spacing w:after="28" w:line="216" w:lineRule="auto"/>
        <w:ind w:left="259"/>
        <w:jc w:val="left"/>
      </w:pPr>
      <w:r>
        <w:rPr>
          <w:rFonts w:ascii="Arial" w:hAnsi="Arial"/>
          <w:color w:val="525252"/>
          <w:sz w:val="13"/>
        </w:rPr>
        <w:t>Nurse Enlisted Commissioning.</w:t>
      </w:r>
    </w:p>
    <w:p>
      <w:pPr>
        <w:spacing w:after="20" w:line="223" w:lineRule="auto"/>
        <w:jc w:val="right"/>
        <w:bidi/>
      </w:pPr>
      <w:r>
        <w:rPr>
          <w:rFonts w:ascii="Arial" w:hAnsi="Arial"/>
          <w:sz w:val="16"/>
        </w:rPr>
        <w:t>134.22  برنامه راه‌اندازی استخدام پرستار از اعضایی حمایت می‌کند تا برنامه درسی بخش بالایی را برای دریافت مدرک لیسانس پرستاری تکمیل کنند.</w:t>
      </w:r>
    </w:p>
    <w:p>
      <w:pPr>
        <w:spacing w:after="28" w:line="216" w:lineRule="auto"/>
        <w:ind w:left="259"/>
        <w:jc w:val="left"/>
      </w:pPr>
      <w:r>
        <w:rPr>
          <w:rFonts w:ascii="Arial" w:hAnsi="Arial"/>
          <w:color w:val="525252"/>
          <w:sz w:val="13"/>
        </w:rPr>
        <w:t>The Nurse Enlisted Commissioning Program sponsors enlisted members to complete the upper division curriculum toward a baccalaureate degree in nursing.</w:t>
      </w:r>
    </w:p>
    <w:p>
      <w:pPr>
        <w:spacing w:after="20" w:line="223" w:lineRule="auto"/>
        <w:jc w:val="right"/>
        <w:bidi/>
      </w:pPr>
      <w:r>
        <w:rPr>
          <w:rFonts w:ascii="Arial" w:hAnsi="Arial"/>
          <w:sz w:val="16"/>
        </w:rPr>
        <w:t>134.23  حداکثر مشارکت در برنامه نباید از ۲۴ ماه تجاوز کند.</w:t>
      </w:r>
    </w:p>
    <w:p>
      <w:pPr>
        <w:spacing w:after="28" w:line="216" w:lineRule="auto"/>
        <w:ind w:left="259"/>
        <w:jc w:val="left"/>
      </w:pPr>
      <w:r>
        <w:rPr>
          <w:rFonts w:ascii="Arial" w:hAnsi="Arial"/>
          <w:color w:val="525252"/>
          <w:sz w:val="13"/>
        </w:rPr>
        <w:t>Maximum program participation may not exceed 24 months.</w:t>
      </w:r>
    </w:p>
    <w:p>
      <w:pPr>
        <w:spacing w:after="20" w:line="223" w:lineRule="auto"/>
        <w:jc w:val="right"/>
        <w:bidi/>
      </w:pPr>
      <w:r>
        <w:rPr>
          <w:rFonts w:ascii="Arial" w:hAnsi="Arial"/>
          <w:sz w:val="16"/>
        </w:rPr>
        <w:t>134.24  شرکت‌کنندگان در حین تکمیل مدرک خود از نظر اداری به یک بخش ROTC USAF اختصاص داده می‌شوند.</w:t>
      </w:r>
    </w:p>
    <w:p>
      <w:pPr>
        <w:spacing w:after="28" w:line="216" w:lineRule="auto"/>
        <w:ind w:left="259"/>
        <w:jc w:val="left"/>
      </w:pPr>
      <w:r>
        <w:rPr>
          <w:rFonts w:ascii="Arial" w:hAnsi="Arial"/>
          <w:color w:val="525252"/>
          <w:sz w:val="13"/>
        </w:rPr>
        <w:t>Participants are administratively assigned to a USAF ROTC detachment while completing their degree.</w:t>
      </w:r>
    </w:p>
    <w:p>
      <w:pPr>
        <w:spacing w:after="20" w:line="223" w:lineRule="auto"/>
        <w:jc w:val="right"/>
        <w:bidi/>
      </w:pPr>
      <w:r>
        <w:rPr>
          <w:rFonts w:ascii="Arial" w:hAnsi="Arial"/>
          <w:sz w:val="16"/>
        </w:rPr>
        <w:t>134.25  پس از فارغ‌التحصیلی، عضو باید قبل از حضور در مدرسه افسری، آزمون مجوز شورای ملی برای پرستاران ثبت‌نام شده را با موفقیت پشت سر بگذارد.</w:t>
      </w:r>
    </w:p>
    <w:p>
      <w:pPr>
        <w:spacing w:after="28" w:line="216" w:lineRule="auto"/>
        <w:ind w:left="259"/>
        <w:jc w:val="left"/>
      </w:pPr>
      <w:r>
        <w:rPr>
          <w:rFonts w:ascii="Arial" w:hAnsi="Arial"/>
          <w:color w:val="525252"/>
          <w:sz w:val="13"/>
        </w:rPr>
        <w:t>After graduation, the member must successfully pass the National Council Licensure Examination for Registered Nurses before attending Officer Training School.</w:t>
      </w:r>
    </w:p>
    <w:p>
      <w:pPr>
        <w:spacing w:after="20" w:line="223" w:lineRule="auto"/>
        <w:jc w:val="right"/>
        <w:bidi/>
      </w:pPr>
      <w:r>
        <w:rPr>
          <w:rFonts w:ascii="Arial" w:hAnsi="Arial"/>
          <w:sz w:val="16"/>
        </w:rPr>
        <w:t>134.26  ثبت‌نام در مدرک پزشکی.</w:t>
      </w:r>
    </w:p>
    <w:p>
      <w:pPr>
        <w:spacing w:after="28" w:line="216" w:lineRule="auto"/>
        <w:ind w:left="259"/>
        <w:jc w:val="left"/>
      </w:pPr>
      <w:r>
        <w:rPr>
          <w:rFonts w:ascii="Arial" w:hAnsi="Arial"/>
          <w:color w:val="525252"/>
          <w:sz w:val="13"/>
        </w:rPr>
        <w:t>Enlisted to Medical Degree.</w:t>
      </w:r>
    </w:p>
    <w:p>
      <w:pPr>
        <w:spacing w:after="20" w:line="223" w:lineRule="auto"/>
        <w:jc w:val="right"/>
        <w:bidi/>
      </w:pPr>
      <w:r>
        <w:rPr>
          <w:rFonts w:ascii="Arial" w:hAnsi="Arial"/>
          <w:sz w:val="16"/>
        </w:rPr>
        <w:t>134.27  برنامه مقدماتی ثبت‌نام در رشته پزشکی به پرسنل استخدام شده این فرصت را می‌دهد که دوره‌های مقدماتی برای پذیرش در دانشکده پزشکی را با حفظ وضعیت رگاف تکمیل کنند.</w:t>
      </w:r>
    </w:p>
    <w:p>
      <w:pPr>
        <w:spacing w:after="28" w:line="216" w:lineRule="auto"/>
        <w:ind w:left="259"/>
        <w:jc w:val="left"/>
      </w:pPr>
      <w:r>
        <w:rPr>
          <w:rFonts w:ascii="Arial" w:hAnsi="Arial"/>
          <w:color w:val="525252"/>
          <w:sz w:val="13"/>
        </w:rPr>
        <w:t>The Enlisted to Medical Degree Preparatory Program offers enlisted personnel the opportunity to complete the preparatory coursework for admission to medical school while maintaining RegAF status.</w:t>
      </w:r>
    </w:p>
    <w:p>
      <w:pPr>
        <w:spacing w:after="20" w:line="223" w:lineRule="auto"/>
        <w:jc w:val="right"/>
        <w:bidi/>
      </w:pPr>
      <w:r>
        <w:rPr>
          <w:rFonts w:ascii="Arial" w:hAnsi="Arial"/>
          <w:sz w:val="16"/>
        </w:rPr>
        <w:t>134.28  این یک برنامه ۲۴ ماهه است که از طریق دانشگاه خدمات یکنواخت خدمات بهداشتی در بتسدا، مریلند به نامزدهایی که صداقت نشان می‌دهند و برای تبدیل شدن به پزشکان، رهبران و دانش پژوهان نیروی پزشکی کشور در آینده ارائه می‌شود.</w:t>
      </w:r>
    </w:p>
    <w:p>
      <w:pPr>
        <w:spacing w:after="28" w:line="216" w:lineRule="auto"/>
        <w:ind w:left="259"/>
        <w:jc w:val="left"/>
      </w:pPr>
      <w:r>
        <w:rPr>
          <w:rFonts w:ascii="Arial" w:hAnsi="Arial"/>
          <w:color w:val="525252"/>
          <w:sz w:val="13"/>
        </w:rPr>
        <w:t>This is a 24-month program offered through Uniformed Services University of the Health Services in Bethesda, Maryland to candidates who demonstrate integrity and are dedicated to becoming future physicians, leaders, and scholars of the nation’s medical force.</w:t>
      </w:r>
    </w:p>
    <w:p>
      <w:pPr>
        <w:spacing w:after="20" w:line="223" w:lineRule="auto"/>
        <w:jc w:val="right"/>
        <w:bidi/>
      </w:pPr>
      <w:r>
        <w:rPr>
          <w:rFonts w:ascii="Arial" w:hAnsi="Arial"/>
          <w:sz w:val="16"/>
        </w:rPr>
        <w:t>134.29  دستیار پزشک بین خدماتی.</w:t>
      </w:r>
    </w:p>
    <w:p>
      <w:pPr>
        <w:spacing w:after="28" w:line="216" w:lineRule="auto"/>
        <w:ind w:left="259"/>
        <w:jc w:val="left"/>
      </w:pPr>
      <w:r>
        <w:rPr>
          <w:rFonts w:ascii="Arial" w:hAnsi="Arial"/>
          <w:color w:val="525252"/>
          <w:sz w:val="13"/>
        </w:rPr>
        <w:t>Interservice Physician Assistant.</w:t>
      </w:r>
    </w:p>
    <w:p>
      <w:pPr>
        <w:spacing w:after="20" w:line="223" w:lineRule="auto"/>
        <w:jc w:val="right"/>
        <w:bidi/>
      </w:pPr>
      <w:r>
        <w:rPr>
          <w:rFonts w:ascii="Arial" w:hAnsi="Arial"/>
          <w:sz w:val="16"/>
        </w:rPr>
        <w:t>134.30  برنامه ۲۹ ماهه دستیار پزشک بین‌سرویس به پرسنل استخدام شده فرصتی را برای تکمیل شرایط لازم برای دریافت مدرک کارشناسی ارشد از مرکز پزشکی دانشگاه نبراسکا و دریافت کمیسیون به‌عنوان دستیار پزشک در سپاه علوم زیست‌پزشکی با حفظ وضعیت رگاف ارائه می‌دهد.</w:t>
      </w:r>
    </w:p>
    <w:p>
      <w:pPr>
        <w:spacing w:after="28" w:line="216" w:lineRule="auto"/>
        <w:ind w:left="259"/>
        <w:jc w:val="left"/>
      </w:pPr>
      <w:r>
        <w:rPr>
          <w:rFonts w:ascii="Arial" w:hAnsi="Arial"/>
          <w:color w:val="525252"/>
          <w:sz w:val="13"/>
        </w:rPr>
        <w:t>The 29-month Interservice Physician Assistant Program offers enlisted personnel the opportunity to complete requirements to earn a master’s degree from the University of Nebraska Medical Center and receive a commission as a Physician Assistant in the Biomedical Sciences Corps while maintaining RegAF status.</w:t>
      </w:r>
    </w:p>
    <w:p>
      <w:pPr>
        <w:spacing w:after="20" w:line="223" w:lineRule="auto"/>
        <w:jc w:val="right"/>
        <w:bidi/>
      </w:pPr>
      <w:r>
        <w:rPr>
          <w:rFonts w:ascii="Arial" w:hAnsi="Arial"/>
          <w:sz w:val="16"/>
        </w:rPr>
        <w:t>134.31  فارغ‌التحصیلان باید پزشک را بگذرانند</w:t>
      </w:r>
    </w:p>
    <w:p>
      <w:pPr>
        <w:spacing w:after="28" w:line="216" w:lineRule="auto"/>
        <w:ind w:left="259"/>
        <w:jc w:val="left"/>
      </w:pPr>
      <w:r>
        <w:rPr>
          <w:rFonts w:ascii="Arial" w:hAnsi="Arial"/>
          <w:color w:val="525252"/>
          <w:sz w:val="13"/>
        </w:rPr>
        <w:t>Graduates must pass the Physician</w:t>
      </w:r>
    </w:p>
    <w:p>
      <w:r>
        <w:br w:type="page"/>
      </w:r>
    </w:p>
    <w:p>
      <w:pPr>
        <w:spacing w:after="60"/>
        <w:jc w:val="right"/>
        <w:bidi/>
      </w:pPr>
      <w:r>
        <w:rPr>
          <w:rFonts w:ascii="Arial" w:hAnsi="Arial"/>
          <w:b/>
          <w:color w:val="1F4D78"/>
          <w:sz w:val="19"/>
        </w:rPr>
        <w:t>هفتهٔ 135  |  صفحهٔ منبع: 151</w:t>
      </w:r>
    </w:p>
    <w:p>
      <w:pPr>
        <w:spacing w:after="20" w:line="223" w:lineRule="auto"/>
        <w:jc w:val="right"/>
        <w:bidi/>
      </w:pPr>
      <w:r>
        <w:rPr>
          <w:rFonts w:ascii="Arial" w:hAnsi="Arial"/>
          <w:sz w:val="16"/>
        </w:rPr>
        <w:t>135.01  آزمون صدور گواهینامه دستیار قبل از اینکه آنها بتوانند مراقبت‌های بهداشتی در سطح جهانی را برای هوانوردان ما و خانواده هایشان ارائه دهند.</w:t>
      </w:r>
    </w:p>
    <w:p>
      <w:pPr>
        <w:spacing w:after="28" w:line="216" w:lineRule="auto"/>
        <w:ind w:left="259"/>
        <w:jc w:val="left"/>
      </w:pPr>
      <w:r>
        <w:rPr>
          <w:rFonts w:ascii="Arial" w:hAnsi="Arial"/>
          <w:color w:val="525252"/>
          <w:sz w:val="13"/>
        </w:rPr>
        <w:t>Assistant National Certifying Exam before they may provide world-class healthcare to our Airmen and their families.</w:t>
      </w:r>
    </w:p>
    <w:p>
      <w:pPr>
        <w:spacing w:after="20" w:line="223" w:lineRule="auto"/>
        <w:jc w:val="right"/>
        <w:bidi/>
      </w:pPr>
      <w:r>
        <w:rPr>
          <w:rFonts w:ascii="Arial" w:hAnsi="Arial"/>
          <w:sz w:val="16"/>
        </w:rPr>
        <w:t>135.02  پیش نیازها، رویه‌ها و گزینش دانش‌آموزان توسط شعبه آموزش سپاه علوم زیست پزشکی مرکز پرسنل نیروی هوایی انجام می‌شود.</w:t>
      </w:r>
    </w:p>
    <w:p>
      <w:pPr>
        <w:spacing w:after="28" w:line="216" w:lineRule="auto"/>
        <w:ind w:left="259"/>
        <w:jc w:val="left"/>
      </w:pPr>
      <w:r>
        <w:rPr>
          <w:rFonts w:ascii="Arial" w:hAnsi="Arial"/>
          <w:color w:val="525252"/>
          <w:sz w:val="13"/>
        </w:rPr>
        <w:t>Prerequisites, procedures, and student selections are conducted by the Air Force Personnel Center Biomedical Sciences Corps Education Branch.</w:t>
      </w:r>
    </w:p>
    <w:p>
      <w:r>
        <w:br w:type="page"/>
      </w:r>
    </w:p>
    <w:p>
      <w:pPr>
        <w:spacing w:after="60"/>
        <w:jc w:val="right"/>
        <w:bidi/>
      </w:pPr>
      <w:r>
        <w:rPr>
          <w:rFonts w:ascii="Arial" w:hAnsi="Arial"/>
          <w:b/>
          <w:color w:val="1F4D78"/>
          <w:sz w:val="19"/>
        </w:rPr>
        <w:t>هفتهٔ 136  |  صفحهٔ منبع: 152</w:t>
      </w:r>
    </w:p>
    <w:p>
      <w:pPr>
        <w:spacing w:before="60" w:after="28"/>
        <w:jc w:val="right"/>
        <w:bidi/>
      </w:pPr>
      <w:r>
        <w:rPr>
          <w:b/>
          <w:color w:val="1F4D78"/>
          <w:sz w:val="18"/>
        </w:rPr>
        <w:t>فصل 8</w:t>
      </w:r>
    </w:p>
    <w:p>
      <w:pPr>
        <w:spacing w:after="20"/>
        <w:ind w:left="259"/>
        <w:jc w:val="left"/>
      </w:pPr>
      <w:r>
        <w:rPr>
          <w:color w:val="555555"/>
          <w:sz w:val="12"/>
        </w:rPr>
        <w:t>Chapter 8</w:t>
      </w:r>
    </w:p>
    <w:p>
      <w:pPr>
        <w:spacing w:before="60" w:after="28"/>
        <w:jc w:val="right"/>
        <w:bidi/>
      </w:pPr>
      <w:r>
        <w:rPr>
          <w:b/>
          <w:color w:val="1F4D78"/>
          <w:sz w:val="18"/>
        </w:rPr>
        <w:t>ارزیابی و شناخت</w:t>
      </w:r>
    </w:p>
    <w:p>
      <w:pPr>
        <w:spacing w:after="20"/>
        <w:ind w:left="259"/>
        <w:jc w:val="left"/>
      </w:pPr>
      <w:r>
        <w:rPr>
          <w:color w:val="555555"/>
          <w:sz w:val="12"/>
        </w:rPr>
        <w:t>ASSESSMENTS AND RECOGNITION</w:t>
      </w:r>
    </w:p>
    <w:p>
      <w:pPr>
        <w:spacing w:before="60" w:after="28"/>
        <w:jc w:val="right"/>
        <w:bidi/>
      </w:pPr>
      <w:r>
        <w:rPr>
          <w:b/>
          <w:color w:val="1F4D78"/>
          <w:sz w:val="18"/>
        </w:rPr>
        <w:t>بخش 8A-ارزیابی جامع Airman</w:t>
      </w:r>
    </w:p>
    <w:p>
      <w:pPr>
        <w:spacing w:after="20"/>
        <w:ind w:left="259"/>
        <w:jc w:val="left"/>
      </w:pPr>
      <w:r>
        <w:rPr>
          <w:color w:val="555555"/>
          <w:sz w:val="12"/>
        </w:rPr>
        <w:t>Section 8A—Airman Comprehensive Assessment</w:t>
      </w:r>
    </w:p>
    <w:p>
      <w:pPr>
        <w:spacing w:before="60" w:after="28"/>
        <w:jc w:val="right"/>
        <w:bidi/>
      </w:pPr>
      <w:r>
        <w:rPr>
          <w:b/>
          <w:color w:val="1F4D78"/>
          <w:sz w:val="18"/>
        </w:rPr>
        <w:t>8.1. ارزیابی بازخورد عملکرد</w:t>
      </w:r>
    </w:p>
    <w:p>
      <w:pPr>
        <w:spacing w:after="20"/>
        <w:ind w:left="259"/>
        <w:jc w:val="left"/>
      </w:pPr>
      <w:r>
        <w:rPr>
          <w:color w:val="555555"/>
          <w:sz w:val="12"/>
        </w:rPr>
        <w:t>8.1. Performance Feedback Assessment</w:t>
      </w:r>
    </w:p>
    <w:p>
      <w:pPr>
        <w:spacing w:after="20" w:line="223" w:lineRule="auto"/>
        <w:jc w:val="right"/>
        <w:bidi/>
      </w:pPr>
      <w:r>
        <w:rPr>
          <w:rFonts w:ascii="Arial" w:hAnsi="Arial"/>
          <w:sz w:val="16"/>
        </w:rPr>
        <w:t>136.05  ارزیابی بازخورد عملکرد یک ارتباط رسمی دو طرفه بین رتبه‌دهنده و نرخ‌دهنده برای بحث در مورد استانداردها، مسئولیت‌ها، انتظارات و اهداف است.</w:t>
      </w:r>
    </w:p>
    <w:p>
      <w:pPr>
        <w:spacing w:after="28" w:line="216" w:lineRule="auto"/>
        <w:ind w:left="259"/>
        <w:jc w:val="left"/>
      </w:pPr>
      <w:r>
        <w:rPr>
          <w:rFonts w:ascii="Arial" w:hAnsi="Arial"/>
          <w:color w:val="525252"/>
          <w:sz w:val="13"/>
        </w:rPr>
        <w:t>The performance feedback assessment is a formal two-way communication between a rater and ratee to discuss standards, responsibilities, expectations, and goals.</w:t>
      </w:r>
    </w:p>
    <w:p>
      <w:pPr>
        <w:spacing w:after="20" w:line="223" w:lineRule="auto"/>
        <w:jc w:val="right"/>
        <w:bidi/>
      </w:pPr>
      <w:r>
        <w:rPr>
          <w:rFonts w:ascii="Arial" w:hAnsi="Arial"/>
          <w:sz w:val="16"/>
        </w:rPr>
        <w:t>136.06  ارزیاب‌ها جلسه بازخورد را برای ارزیابی یا بحث در مورد اهداف، استانداردها، رفتار و عملکرد با نرخ‌دهنده مستند می‌کنند.</w:t>
      </w:r>
    </w:p>
    <w:p>
      <w:pPr>
        <w:spacing w:after="28" w:line="216" w:lineRule="auto"/>
        <w:ind w:left="259"/>
        <w:jc w:val="left"/>
      </w:pPr>
      <w:r>
        <w:rPr>
          <w:rFonts w:ascii="Arial" w:hAnsi="Arial"/>
          <w:color w:val="525252"/>
          <w:sz w:val="13"/>
        </w:rPr>
        <w:t>Raters document the feedback session to assess or discuss the objectives, standards, behavior, and performance with the ratee.</w:t>
      </w:r>
    </w:p>
    <w:p>
      <w:pPr>
        <w:spacing w:after="20" w:line="223" w:lineRule="auto"/>
        <w:jc w:val="right"/>
        <w:bidi/>
      </w:pPr>
      <w:r>
        <w:rPr>
          <w:rFonts w:ascii="Arial" w:hAnsi="Arial"/>
          <w:sz w:val="16"/>
        </w:rPr>
        <w:t>136.07  همچنین، در طول جلسات بازخورد، ارزیاب‌ها با ارجاع به وب‌سایت میایرفورکبنفیتس (https://www.myairforcebenefits.us.af.mil) اطلاعات نرخ را در مورد مزایای نیروی هوایی ارائه می‌دهند.</w:t>
      </w:r>
    </w:p>
    <w:p>
      <w:pPr>
        <w:spacing w:after="28" w:line="216" w:lineRule="auto"/>
        <w:ind w:left="259"/>
        <w:jc w:val="left"/>
      </w:pPr>
      <w:r>
        <w:rPr>
          <w:rFonts w:ascii="Arial" w:hAnsi="Arial"/>
          <w:color w:val="525252"/>
          <w:sz w:val="13"/>
        </w:rPr>
        <w:t>Also, during feedback sessions, raters will provide the ratee information on Air Force benefits by referring them to MyAirForceBenefits website (https://www.myairforcebenefits.us.af.mil).</w:t>
      </w:r>
    </w:p>
    <w:p>
      <w:pPr>
        <w:spacing w:after="20" w:line="223" w:lineRule="auto"/>
        <w:jc w:val="right"/>
        <w:bidi/>
      </w:pPr>
      <w:r>
        <w:rPr>
          <w:rFonts w:ascii="Arial" w:hAnsi="Arial"/>
          <w:sz w:val="16"/>
        </w:rPr>
        <w:t>136.08  ارزیابی بازخورد عملکرد برای افزایش تعامل و پشتیبانی هوانوردان در همه سطوح طراحی شده است، فرصتی را برای نیروهای هوایی فراهم می‌کند تا در مورد اهداف شخصی و حرفه‌ای بحث کنند و به نیروهای هوایی در دستیابی به آن اهداف کمک می‌کند.</w:t>
      </w:r>
    </w:p>
    <w:p>
      <w:pPr>
        <w:spacing w:after="28" w:line="216" w:lineRule="auto"/>
        <w:ind w:left="259"/>
        <w:jc w:val="left"/>
      </w:pPr>
      <w:r>
        <w:rPr>
          <w:rFonts w:ascii="Arial" w:hAnsi="Arial"/>
          <w:color w:val="525252"/>
          <w:sz w:val="13"/>
        </w:rPr>
        <w:t>The performance feedback assessment is designed to increase Airmen interaction and support at all levels, provide Airmen an opportunity to discuss personal and professional goals, and assist Airmen in achieving those goals.</w:t>
      </w:r>
    </w:p>
    <w:p>
      <w:pPr>
        <w:spacing w:after="20" w:line="223" w:lineRule="auto"/>
        <w:jc w:val="right"/>
        <w:bidi/>
      </w:pPr>
      <w:r>
        <w:rPr>
          <w:rFonts w:ascii="Arial" w:hAnsi="Arial"/>
          <w:sz w:val="16"/>
        </w:rPr>
        <w:t>136.09  هنگامی که ارزیابی بازخورد عملکرد تکمیل شد، ارزیاب‌ها کاربرگ اصلی، تکمیل‌شده و امضا شده را به نرخ‌دهنده می‌دهند و کپی‌هایی از تمام ارزیابی‌های بازخورد عملکرد تکمیل‌شده و همه اعلامیه‌های ارزیابی بازخورد عملکرد امضا شده یا اظهارات مناسب (فقط رگاف) را حفظ می‌کنند.</w:t>
      </w:r>
    </w:p>
    <w:p>
      <w:pPr>
        <w:spacing w:after="28" w:line="216" w:lineRule="auto"/>
        <w:ind w:left="259"/>
        <w:jc w:val="left"/>
      </w:pPr>
      <w:r>
        <w:rPr>
          <w:rFonts w:ascii="Arial" w:hAnsi="Arial"/>
          <w:color w:val="525252"/>
          <w:sz w:val="13"/>
        </w:rPr>
        <w:t>Once the performance feedback assessment has been completed, raters will give the original, completed, and signed worksheet to the ratee, and maintain copies of all completed performance feedback assessments and all signed performance feedback assessment notices, or appropriate statements (RegAF only).</w:t>
      </w:r>
    </w:p>
    <w:p>
      <w:pPr>
        <w:spacing w:after="20" w:line="223" w:lineRule="auto"/>
        <w:jc w:val="right"/>
        <w:bidi/>
      </w:pPr>
      <w:r>
        <w:rPr>
          <w:rFonts w:ascii="Arial" w:hAnsi="Arial"/>
          <w:sz w:val="16"/>
        </w:rPr>
        <w:t>136.10  فرماندهان واحد مسئول توسعه مکانیزم ردیابی برای ارزیابی بازخورد عملکرد و اطمینان از انجام صحیح آنها هستند.</w:t>
      </w:r>
    </w:p>
    <w:p>
      <w:pPr>
        <w:spacing w:after="28" w:line="216" w:lineRule="auto"/>
        <w:ind w:left="259"/>
        <w:jc w:val="left"/>
      </w:pPr>
      <w:r>
        <w:rPr>
          <w:rFonts w:ascii="Arial" w:hAnsi="Arial"/>
          <w:color w:val="525252"/>
          <w:sz w:val="13"/>
        </w:rPr>
        <w:t>Unit commanders are responsible for developing a tracking mechanism for performance feedback assessments and ensuring they are conducted properly.</w:t>
      </w:r>
    </w:p>
    <w:p>
      <w:pPr>
        <w:spacing w:after="20" w:line="223" w:lineRule="auto"/>
        <w:jc w:val="right"/>
        <w:bidi/>
      </w:pPr>
      <w:r>
        <w:rPr>
          <w:rFonts w:ascii="Arial" w:hAnsi="Arial"/>
          <w:sz w:val="16"/>
        </w:rPr>
        <w:t>136.11  ارزیاب‌ها/مقامات بازبینی ارزیابی‌های بین رتبه‌دهنده و توزیع‌کننده اجباری/بازبینان سطح بالاتر (HLR) پرسنل را برای اطمینان از انجام ارزیابی‌های بازخورد عملکرد، در صورت لزوم، زیر نظر خواهند داشت.</w:t>
      </w:r>
    </w:p>
    <w:p>
      <w:pPr>
        <w:spacing w:after="28" w:line="216" w:lineRule="auto"/>
        <w:ind w:left="259"/>
        <w:jc w:val="left"/>
      </w:pPr>
      <w:r>
        <w:rPr>
          <w:rFonts w:ascii="Arial" w:hAnsi="Arial"/>
          <w:color w:val="525252"/>
          <w:sz w:val="13"/>
        </w:rPr>
        <w:t>Raters’ raters/reviewing officials of evaluations between the rater and the forced distributor/higher level reviewers (HLR) will monitor personnel to ensure performance feedback assessments are conducted, as required.</w:t>
      </w:r>
    </w:p>
    <w:p>
      <w:pPr>
        <w:spacing w:after="20" w:line="223" w:lineRule="auto"/>
        <w:jc w:val="right"/>
        <w:bidi/>
      </w:pPr>
      <w:r>
        <w:rPr>
          <w:rFonts w:ascii="Arial" w:hAnsi="Arial"/>
          <w:sz w:val="16"/>
        </w:rPr>
        <w:t>136.12  زمانی که به دلیل شرایط غیرعادی یک رتبه‌دهنده سطح پایین‌تر در دسترس نباشد، یا زمانی که به‌طور رسمی مسئولیت‌های رتبه‌دهنده زیردست را بر عهده می‌گیرد، رتبه‌دهنده جلسات ارزیابی بازخورد عملکرد را به‌جای رتبه‌دهنده انجام می‌دهد.</w:t>
      </w:r>
    </w:p>
    <w:p>
      <w:pPr>
        <w:spacing w:after="28" w:line="216" w:lineRule="auto"/>
        <w:ind w:left="259"/>
        <w:jc w:val="left"/>
      </w:pPr>
      <w:r>
        <w:rPr>
          <w:rFonts w:ascii="Arial" w:hAnsi="Arial"/>
          <w:color w:val="525252"/>
          <w:sz w:val="13"/>
        </w:rPr>
        <w:t>When a lower- level rater is not available due to unusual circumstances, or when officially assuming the subordinate rater’s responsibilities, the raters’ rater will conduct performance feedback assessment sessions in place of the rater.</w:t>
      </w:r>
    </w:p>
    <w:p>
      <w:pPr>
        <w:spacing w:after="20" w:line="223" w:lineRule="auto"/>
        <w:jc w:val="right"/>
        <w:bidi/>
      </w:pPr>
      <w:r>
        <w:rPr>
          <w:rFonts w:ascii="Arial" w:hAnsi="Arial"/>
          <w:sz w:val="16"/>
        </w:rPr>
        <w:t>136.13  نرخ‌ها مسئول دانستن زمان برگزاری جلسات ارزیابی بازخورد عملکردشان هستند.</w:t>
      </w:r>
    </w:p>
    <w:p>
      <w:pPr>
        <w:spacing w:after="28" w:line="216" w:lineRule="auto"/>
        <w:ind w:left="259"/>
        <w:jc w:val="left"/>
      </w:pPr>
      <w:r>
        <w:rPr>
          <w:rFonts w:ascii="Arial" w:hAnsi="Arial"/>
          <w:color w:val="525252"/>
          <w:sz w:val="13"/>
        </w:rPr>
        <w:t>Ratees are responsible for knowing when their performance feedback assessment sessions are due.</w:t>
      </w:r>
    </w:p>
    <w:p>
      <w:pPr>
        <w:spacing w:after="20" w:line="223" w:lineRule="auto"/>
        <w:jc w:val="right"/>
        <w:bidi/>
      </w:pPr>
      <w:r>
        <w:rPr>
          <w:rFonts w:ascii="Arial" w:hAnsi="Arial"/>
          <w:sz w:val="16"/>
        </w:rPr>
        <w:t>136.14  هنگامی که ارزیابی بازخورد عملکرد مورد نیاز یا درخواستی انجام نمی‌شود، نرخ‌ها به ارزیابی‌کننده و در صورت لزوم به ارزیاب‌دهنده اطلاع می‌دهند.</w:t>
      </w:r>
    </w:p>
    <w:p>
      <w:pPr>
        <w:spacing w:after="28" w:line="216" w:lineRule="auto"/>
        <w:ind w:left="259"/>
        <w:jc w:val="left"/>
      </w:pPr>
      <w:r>
        <w:rPr>
          <w:rFonts w:ascii="Arial" w:hAnsi="Arial"/>
          <w:color w:val="525252"/>
          <w:sz w:val="13"/>
        </w:rPr>
        <w:t>When a required or requested performance feedback assessment does not take place, ratees will notify the rater and, if necessary, the raters’ rater.</w:t>
      </w:r>
    </w:p>
    <w:p>
      <w:pPr>
        <w:spacing w:after="20" w:line="223" w:lineRule="auto"/>
        <w:jc w:val="right"/>
        <w:bidi/>
      </w:pPr>
      <w:r>
        <w:rPr>
          <w:rFonts w:ascii="Arial" w:hAnsi="Arial"/>
          <w:sz w:val="16"/>
        </w:rPr>
        <w:t>136.15  ارزیابی بازخورد عملکرد برای افسران تا درجه سرهنگ و برای همه پرسنل رگاف و ایر رسرو کومپوننت الزامی است.</w:t>
      </w:r>
    </w:p>
    <w:p>
      <w:pPr>
        <w:spacing w:after="28" w:line="216" w:lineRule="auto"/>
        <w:ind w:left="259"/>
        <w:jc w:val="left"/>
      </w:pPr>
      <w:r>
        <w:rPr>
          <w:rFonts w:ascii="Arial" w:hAnsi="Arial"/>
          <w:color w:val="525252"/>
          <w:sz w:val="13"/>
        </w:rPr>
        <w:t>Performance feedback assessments are mandatory for officers up through the grade of Colonel, and for all enlisted RegAF and Air Reserve Component personnel.</w:t>
      </w:r>
    </w:p>
    <w:p>
      <w:pPr>
        <w:spacing w:after="20" w:line="223" w:lineRule="auto"/>
        <w:jc w:val="right"/>
        <w:bidi/>
      </w:pPr>
      <w:r>
        <w:rPr>
          <w:rFonts w:ascii="Arial" w:hAnsi="Arial"/>
          <w:sz w:val="16"/>
        </w:rPr>
        <w:t>136.16  برای افسران دانش‌آموزی که فرم ۴۷۵ DAF، گزارش آموزش/آموزش را دریافت می‌کنند، یا برای پرسنل استخدام‌شده در آموزش مهارت‌های اولیه یا پیشرفته، ارزیابی بازخورد عملکرد مورد نیاز نیست، اما ممکن است بنا به صلاحدید رهبری مدرسه انجام شود.</w:t>
      </w:r>
    </w:p>
    <w:p>
      <w:pPr>
        <w:spacing w:after="28" w:line="216" w:lineRule="auto"/>
        <w:ind w:left="259"/>
        <w:jc w:val="left"/>
      </w:pPr>
      <w:r>
        <w:rPr>
          <w:rFonts w:ascii="Arial" w:hAnsi="Arial"/>
          <w:color w:val="525252"/>
          <w:sz w:val="13"/>
        </w:rPr>
        <w:t>For student officers receiving DAF Form 475, Education/Training Report, or for enlisted personnel in initial or advanced skills training, a performance feedback assessment is not required, but may be given at the discretion of school leadership.</w:t>
      </w:r>
    </w:p>
    <w:p>
      <w:pPr>
        <w:spacing w:after="20" w:line="223" w:lineRule="auto"/>
        <w:jc w:val="right"/>
        <w:bidi/>
      </w:pPr>
      <w:r>
        <w:rPr>
          <w:rFonts w:ascii="Arial" w:hAnsi="Arial"/>
          <w:sz w:val="16"/>
        </w:rPr>
        <w:t>136.17  برای ارزیابی‌های عملکردی که بر روی دانش‌آموزان آموزش مهارت‌های اولیه یا پیشرفته رتبه‌بندی نشده انجام می‌شود، گزارش‌های پیشرفت تحصیلی مستند، مانند فرم AETC ۱۵۶، گزارش آموزش دانش‌آموز، به‌جای ارزیابی بازخورد عملکرد میان‌ترم اجباری ارائه می‌شود.</w:t>
      </w:r>
    </w:p>
    <w:p>
      <w:pPr>
        <w:spacing w:after="28" w:line="216" w:lineRule="auto"/>
        <w:ind w:left="259"/>
        <w:jc w:val="left"/>
      </w:pPr>
      <w:r>
        <w:rPr>
          <w:rFonts w:ascii="Arial" w:hAnsi="Arial"/>
          <w:color w:val="525252"/>
          <w:sz w:val="13"/>
        </w:rPr>
        <w:t>For performance evaluations completed on non-rated initial or advanced skills training students, documented academic progress reports, such as the AETC Form 156, Student Training Report, will serve in-lieu of the mandatory mid-term performance feedback assessment.</w:t>
      </w:r>
    </w:p>
    <w:p>
      <w:pPr>
        <w:spacing w:after="20" w:line="223" w:lineRule="auto"/>
        <w:jc w:val="right"/>
        <w:bidi/>
      </w:pPr>
      <w:r>
        <w:rPr>
          <w:rFonts w:ascii="Arial" w:hAnsi="Arial"/>
          <w:sz w:val="16"/>
        </w:rPr>
        <w:t>136.18  ارزیابی بازخورد عملکرد میان‌مدت یک سند پشتیبان اجباری است که همراه با ارزیابی عملکرد هدایت می‌شود، اما به‌عنوان یک سوابق رسمی ثبت نخواهد شد.</w:t>
      </w:r>
    </w:p>
    <w:p>
      <w:pPr>
        <w:spacing w:after="28" w:line="216" w:lineRule="auto"/>
        <w:ind w:left="259"/>
        <w:jc w:val="left"/>
      </w:pPr>
      <w:r>
        <w:rPr>
          <w:rFonts w:ascii="Arial" w:hAnsi="Arial"/>
          <w:color w:val="525252"/>
          <w:sz w:val="13"/>
        </w:rPr>
        <w:t>The mid-term performance feedback assessment is a mandatory supporting document to be routed with the performance evaluation but will not be made a matter of official record.</w:t>
      </w:r>
    </w:p>
    <w:p>
      <w:pPr>
        <w:spacing w:before="60" w:after="28"/>
        <w:jc w:val="right"/>
        <w:bidi/>
      </w:pPr>
      <w:r>
        <w:rPr>
          <w:b/>
          <w:color w:val="1F4D78"/>
          <w:sz w:val="18"/>
        </w:rPr>
        <w:t>8.2. راهنمای برگزاری جلسات ارزیابی بازخورد عملکرد</w:t>
      </w:r>
    </w:p>
    <w:p>
      <w:pPr>
        <w:spacing w:after="20"/>
        <w:ind w:left="259"/>
        <w:jc w:val="left"/>
      </w:pPr>
      <w:r>
        <w:rPr>
          <w:color w:val="555555"/>
          <w:sz w:val="12"/>
        </w:rPr>
        <w:t>8.2. Guidance for Conducting Performance Feedback Assessment Sessions</w:t>
      </w:r>
    </w:p>
    <w:p>
      <w:pPr>
        <w:spacing w:after="20" w:line="223" w:lineRule="auto"/>
        <w:jc w:val="right"/>
        <w:bidi/>
      </w:pPr>
      <w:r>
        <w:rPr>
          <w:rFonts w:ascii="Arial" w:hAnsi="Arial"/>
          <w:sz w:val="16"/>
        </w:rPr>
        <w:t>136.20  ارزیابی‌کنندگان باید بی‌طرف باشند و (ممکن است شامل ویدئو کنفرانس باشد) بازخورد صادقانه و واقع‌بینانه ارائه دهند.</w:t>
      </w:r>
    </w:p>
    <w:p>
      <w:pPr>
        <w:spacing w:after="28" w:line="216" w:lineRule="auto"/>
        <w:ind w:left="259"/>
        <w:jc w:val="left"/>
      </w:pPr>
      <w:r>
        <w:rPr>
          <w:rFonts w:ascii="Arial" w:hAnsi="Arial"/>
          <w:color w:val="525252"/>
          <w:sz w:val="13"/>
        </w:rPr>
        <w:t>Raters should be impartial and (may include video conferencing) provide honest, realistic feedback.</w:t>
      </w:r>
    </w:p>
    <w:p>
      <w:pPr>
        <w:spacing w:after="20" w:line="223" w:lineRule="auto"/>
        <w:jc w:val="right"/>
        <w:bidi/>
      </w:pPr>
      <w:r>
        <w:rPr>
          <w:rFonts w:ascii="Arial" w:hAnsi="Arial"/>
          <w:sz w:val="16"/>
        </w:rPr>
        <w:t>136.21  جلسه بازخورد خصوصی و چهره به چهره فرصتی است برای اطلاع دادن به افراد در مورد جایی که نیاز به بهبود دارد، تعیین اینکه آیا فرد به اطلاعات بیشتری نیاز دارد یا خیر، و انتظارات آینده را تعیین کنید.</w:t>
      </w:r>
    </w:p>
    <w:p>
      <w:pPr>
        <w:spacing w:after="28" w:line="216" w:lineRule="auto"/>
        <w:ind w:left="259"/>
        <w:jc w:val="left"/>
      </w:pPr>
      <w:r>
        <w:rPr>
          <w:rFonts w:ascii="Arial" w:hAnsi="Arial"/>
          <w:color w:val="525252"/>
          <w:sz w:val="13"/>
        </w:rPr>
        <w:t>The private, face-to-face feedback session is an opportunity to inform an individual of where they need improvement, determine if an individual needs more information, and set future expectations.</w:t>
      </w:r>
    </w:p>
    <w:p>
      <w:pPr>
        <w:spacing w:after="20" w:line="223" w:lineRule="auto"/>
        <w:jc w:val="right"/>
        <w:bidi/>
      </w:pPr>
      <w:r>
        <w:rPr>
          <w:rFonts w:ascii="Arial" w:hAnsi="Arial"/>
          <w:sz w:val="16"/>
        </w:rPr>
        <w:t>136.22  همچنین به نرخ‌گذار اطلاع می‌دهد که قبل از موعد گزارش عملکرد ارزیابی چه کاری باید انجام شود.</w:t>
      </w:r>
    </w:p>
    <w:p>
      <w:pPr>
        <w:spacing w:after="28" w:line="216" w:lineRule="auto"/>
        <w:ind w:left="259"/>
        <w:jc w:val="left"/>
      </w:pPr>
      <w:r>
        <w:rPr>
          <w:rFonts w:ascii="Arial" w:hAnsi="Arial"/>
          <w:color w:val="525252"/>
          <w:sz w:val="13"/>
        </w:rPr>
        <w:t>It also lets the ratee know what needs to be done before the evaluation performance report is due.</w:t>
      </w:r>
    </w:p>
    <w:p>
      <w:pPr>
        <w:spacing w:after="20" w:line="223" w:lineRule="auto"/>
        <w:jc w:val="right"/>
        <w:bidi/>
      </w:pPr>
      <w:r>
        <w:rPr>
          <w:rFonts w:ascii="Arial" w:hAnsi="Arial"/>
          <w:sz w:val="16"/>
        </w:rPr>
        <w:t>136.23  بازخورد، چه مثبت یا منفی، باید خاص باشد.</w:t>
      </w:r>
    </w:p>
    <w:p>
      <w:pPr>
        <w:spacing w:after="28" w:line="216" w:lineRule="auto"/>
        <w:ind w:left="259"/>
        <w:jc w:val="left"/>
      </w:pPr>
      <w:r>
        <w:rPr>
          <w:rFonts w:ascii="Arial" w:hAnsi="Arial"/>
          <w:color w:val="525252"/>
          <w:sz w:val="13"/>
        </w:rPr>
        <w:t>Feedback, whether positive or negative, needs to be specific.</w:t>
      </w:r>
    </w:p>
    <w:p>
      <w:pPr>
        <w:spacing w:after="20" w:line="223" w:lineRule="auto"/>
        <w:jc w:val="right"/>
        <w:bidi/>
      </w:pPr>
      <w:r>
        <w:rPr>
          <w:rFonts w:ascii="Arial" w:hAnsi="Arial"/>
          <w:sz w:val="16"/>
        </w:rPr>
        <w:t>136.24  نظرات مثبت خاص رفتار را تقویت می‌کند و نظرات منفی خاص توجه را در جایی که نرخ نیاز به بهبود دارد متمرکز می‌کند.</w:t>
      </w:r>
    </w:p>
    <w:p>
      <w:pPr>
        <w:spacing w:after="28" w:line="216" w:lineRule="auto"/>
        <w:ind w:left="259"/>
        <w:jc w:val="left"/>
      </w:pPr>
      <w:r>
        <w:rPr>
          <w:rFonts w:ascii="Arial" w:hAnsi="Arial"/>
          <w:color w:val="525252"/>
          <w:sz w:val="13"/>
        </w:rPr>
        <w:t>Specific positive comments reinforce the behavior, and specific negative comments focus the attention where the ratee needs improvement.</w:t>
      </w:r>
    </w:p>
    <w:p>
      <w:pPr>
        <w:spacing w:after="20" w:line="223" w:lineRule="auto"/>
        <w:jc w:val="right"/>
        <w:bidi/>
      </w:pPr>
      <w:r>
        <w:rPr>
          <w:rFonts w:ascii="Arial" w:hAnsi="Arial"/>
          <w:sz w:val="16"/>
        </w:rPr>
        <w:t>136.25  ارزیاب‌ها می‌توانند فقط در موارد غیرعادی جلسات را از طریق تلفن برگزار کنند</w:t>
      </w:r>
    </w:p>
    <w:p>
      <w:pPr>
        <w:spacing w:after="28" w:line="216" w:lineRule="auto"/>
        <w:ind w:left="259"/>
        <w:jc w:val="left"/>
      </w:pPr>
      <w:r>
        <w:rPr>
          <w:rFonts w:ascii="Arial" w:hAnsi="Arial"/>
          <w:color w:val="525252"/>
          <w:sz w:val="13"/>
        </w:rPr>
        <w:t>Raters may only conduct sessions by telephone in unusual</w:t>
      </w:r>
    </w:p>
    <w:p>
      <w:r>
        <w:br w:type="page"/>
      </w:r>
    </w:p>
    <w:p>
      <w:pPr>
        <w:spacing w:after="60"/>
        <w:jc w:val="right"/>
        <w:bidi/>
      </w:pPr>
      <w:r>
        <w:rPr>
          <w:rFonts w:ascii="Arial" w:hAnsi="Arial"/>
          <w:b/>
          <w:color w:val="1F4D78"/>
          <w:sz w:val="19"/>
        </w:rPr>
        <w:t>هفتهٔ 137  |  صفحهٔ منبع: 153</w:t>
      </w:r>
    </w:p>
    <w:p>
      <w:pPr>
        <w:spacing w:after="20" w:line="223" w:lineRule="auto"/>
        <w:jc w:val="right"/>
        <w:bidi/>
      </w:pPr>
      <w:r>
        <w:rPr>
          <w:rFonts w:ascii="Arial" w:hAnsi="Arial"/>
          <w:sz w:val="16"/>
        </w:rPr>
        <w:t>137.01  شرایطی که جلسات حضوری غیرعملی است.</w:t>
      </w:r>
    </w:p>
    <w:p>
      <w:pPr>
        <w:spacing w:after="28" w:line="216" w:lineRule="auto"/>
        <w:ind w:left="259"/>
        <w:jc w:val="left"/>
      </w:pPr>
      <w:r>
        <w:rPr>
          <w:rFonts w:ascii="Arial" w:hAnsi="Arial"/>
          <w:color w:val="525252"/>
          <w:sz w:val="13"/>
        </w:rPr>
        <w:t>circumstances where face-to-face sessions are impractical.</w:t>
      </w:r>
    </w:p>
    <w:p>
      <w:pPr>
        <w:spacing w:before="60" w:after="28"/>
        <w:jc w:val="right"/>
        <w:bidi/>
      </w:pPr>
      <w:r>
        <w:rPr>
          <w:b/>
          <w:color w:val="1F4D78"/>
          <w:sz w:val="18"/>
        </w:rPr>
        <w:t>8.3. کاربرگ ارزیابی بازخورد عملکرد</w:t>
      </w:r>
    </w:p>
    <w:p>
      <w:pPr>
        <w:spacing w:after="20"/>
        <w:ind w:left="259"/>
        <w:jc w:val="left"/>
      </w:pPr>
      <w:r>
        <w:rPr>
          <w:color w:val="555555"/>
          <w:sz w:val="12"/>
        </w:rPr>
        <w:t>8.3. Performance Feedback Assessment Worksheet</w:t>
      </w:r>
    </w:p>
    <w:p>
      <w:pPr>
        <w:spacing w:after="20" w:line="223" w:lineRule="auto"/>
        <w:jc w:val="right"/>
        <w:bidi/>
      </w:pPr>
      <w:r>
        <w:rPr>
          <w:rFonts w:ascii="Arial" w:hAnsi="Arial"/>
          <w:sz w:val="16"/>
        </w:rPr>
        <w:t>137.03  کاربرگ‌های ارزیابی بازخورد عملکرد برای مستندسازی ارتباطات رسمی بین ارزیاب‌ها و نرخ‌ها استفاده می‌شوند و ممکن است در ارزیابی نرخ‌دهنده استفاده شوند.</w:t>
      </w:r>
    </w:p>
    <w:p>
      <w:pPr>
        <w:spacing w:after="28" w:line="216" w:lineRule="auto"/>
        <w:ind w:left="259"/>
        <w:jc w:val="left"/>
      </w:pPr>
      <w:r>
        <w:rPr>
          <w:rFonts w:ascii="Arial" w:hAnsi="Arial"/>
          <w:color w:val="525252"/>
          <w:sz w:val="13"/>
        </w:rPr>
        <w:t>Performance feedback assessment worksheets are used to document formal communication between raters and ratees and may be used on the ratee’s evaluation.</w:t>
      </w:r>
    </w:p>
    <w:p>
      <w:pPr>
        <w:spacing w:after="20" w:line="223" w:lineRule="auto"/>
        <w:jc w:val="right"/>
        <w:bidi/>
      </w:pPr>
      <w:r>
        <w:rPr>
          <w:rFonts w:ascii="Arial" w:hAnsi="Arial"/>
          <w:sz w:val="16"/>
        </w:rPr>
        <w:t>137.04  هر بخش از فرم باید در حد توان و توانایی رتبه‌دهنده و رتبه‌دهنده پر شود.</w:t>
      </w:r>
    </w:p>
    <w:p>
      <w:pPr>
        <w:spacing w:after="28" w:line="216" w:lineRule="auto"/>
        <w:ind w:left="259"/>
        <w:jc w:val="left"/>
      </w:pPr>
      <w:r>
        <w:rPr>
          <w:rFonts w:ascii="Arial" w:hAnsi="Arial"/>
          <w:color w:val="525252"/>
          <w:sz w:val="13"/>
        </w:rPr>
        <w:t>Each section of the form should be filled out to the best of the ratee’s and rater’s ability.</w:t>
      </w:r>
    </w:p>
    <w:p>
      <w:pPr>
        <w:spacing w:after="20" w:line="223" w:lineRule="auto"/>
        <w:jc w:val="right"/>
        <w:bidi/>
      </w:pPr>
      <w:r>
        <w:rPr>
          <w:rFonts w:ascii="Arial" w:hAnsi="Arial"/>
          <w:sz w:val="16"/>
        </w:rPr>
        <w:t>137.05  امتیاز گیرنده بخش III را به تنهایی تکمیل می‌کند و قبل از جلسه بازخورد بخش IX (AB تا گروهبان فنی) یا VIII (استاد گروهبان تا سرگروهبان) را بررسی می‌کند.</w:t>
      </w:r>
    </w:p>
    <w:p>
      <w:pPr>
        <w:spacing w:after="28" w:line="216" w:lineRule="auto"/>
        <w:ind w:left="259"/>
        <w:jc w:val="left"/>
      </w:pPr>
      <w:r>
        <w:rPr>
          <w:rFonts w:ascii="Arial" w:hAnsi="Arial"/>
          <w:color w:val="525252"/>
          <w:sz w:val="13"/>
        </w:rPr>
        <w:t>The ratee completes Section III on their own and reviews Section IX (AB thru Technical Sergeant) or VIII (Master Sergeant thru Chief Master Sergeant) prior to the feedback session.</w:t>
      </w:r>
    </w:p>
    <w:p>
      <w:pPr>
        <w:spacing w:after="20" w:line="223" w:lineRule="auto"/>
        <w:jc w:val="right"/>
        <w:bidi/>
      </w:pPr>
      <w:r>
        <w:rPr>
          <w:rFonts w:ascii="Arial" w:hAnsi="Arial"/>
          <w:sz w:val="16"/>
        </w:rPr>
        <w:t>137.06  نواحی زیر بخش III توسط ارزیاب تکمیل می‌شود.</w:t>
      </w:r>
    </w:p>
    <w:p>
      <w:pPr>
        <w:spacing w:after="28" w:line="216" w:lineRule="auto"/>
        <w:ind w:left="259"/>
        <w:jc w:val="left"/>
      </w:pPr>
      <w:r>
        <w:rPr>
          <w:rFonts w:ascii="Arial" w:hAnsi="Arial"/>
          <w:color w:val="525252"/>
          <w:sz w:val="13"/>
        </w:rPr>
        <w:t>The areas following Section III are completed by the rater.</w:t>
      </w:r>
    </w:p>
    <w:p>
      <w:pPr>
        <w:spacing w:after="20" w:line="223" w:lineRule="auto"/>
        <w:jc w:val="right"/>
        <w:bidi/>
      </w:pPr>
      <w:r>
        <w:rPr>
          <w:rFonts w:ascii="Arial" w:hAnsi="Arial"/>
          <w:sz w:val="16"/>
        </w:rPr>
        <w:t>137.07  بخش‌ها به دسته‌های مختلفی تقسیم می‌شوند تا به ارزیاب‌ها اجازه دهد به‌طور عینی سطح عملکرد نرخ را در هر منطقه نشان دهند.</w:t>
      </w:r>
    </w:p>
    <w:p>
      <w:pPr>
        <w:spacing w:after="28" w:line="216" w:lineRule="auto"/>
        <w:ind w:left="259"/>
        <w:jc w:val="left"/>
      </w:pPr>
      <w:r>
        <w:rPr>
          <w:rFonts w:ascii="Arial" w:hAnsi="Arial"/>
          <w:color w:val="525252"/>
          <w:sz w:val="13"/>
        </w:rPr>
        <w:t>Sections are broken into various categories to allow raters to objectively indicate the ratee’s level of performance in each area.</w:t>
      </w:r>
    </w:p>
    <w:p>
      <w:pPr>
        <w:spacing w:after="20" w:line="223" w:lineRule="auto"/>
        <w:jc w:val="right"/>
        <w:bidi/>
      </w:pPr>
      <w:r>
        <w:rPr>
          <w:rFonts w:ascii="Arial" w:hAnsi="Arial"/>
          <w:sz w:val="16"/>
        </w:rPr>
        <w:t>137.08  سه کاربرگ مختلف ارزیابی بازخورد عملکرد وجود دارد که برای استفاده بر اساس درجه نرخ تعیین شده است.</w:t>
      </w:r>
    </w:p>
    <w:p>
      <w:pPr>
        <w:spacing w:after="28" w:line="216" w:lineRule="auto"/>
        <w:ind w:left="259"/>
        <w:jc w:val="left"/>
      </w:pPr>
      <w:r>
        <w:rPr>
          <w:rFonts w:ascii="Arial" w:hAnsi="Arial"/>
          <w:color w:val="525252"/>
          <w:sz w:val="13"/>
        </w:rPr>
        <w:t>There are three different performance feedback assessment worksheets, designated for use based on the ratee’s grade.</w:t>
      </w:r>
    </w:p>
    <w:p>
      <w:pPr>
        <w:spacing w:after="20" w:line="223" w:lineRule="auto"/>
        <w:jc w:val="right"/>
        <w:bidi/>
      </w:pPr>
      <w:r>
        <w:rPr>
          <w:rFonts w:ascii="Arial" w:hAnsi="Arial"/>
          <w:sz w:val="16"/>
        </w:rPr>
        <w:t>137.09  AF فورم ۷۲۴، کاربرگ ارزیابی جامع عضو نیروی هوایی (۲لت ترو کول) AF فورم ۹۳۱، کاربرگ ارزیابی جامع عضو نیروی هوایی (AB ترو TSgt) AF فورم ۹۳۲، عضو نیروی هوایی کومپرهنسیو اسسسسمنت فورم ۹۳۱. ۷۲۴، ارزیابان ملزم به استفاده از فرم AF ۷۲۴-ا، ضمیمه ارزیابی جامع عضو نیروی هوایی، برای افسران هستند.</w:t>
      </w:r>
    </w:p>
    <w:p>
      <w:pPr>
        <w:spacing w:after="28" w:line="216" w:lineRule="auto"/>
        <w:ind w:left="259"/>
        <w:jc w:val="left"/>
      </w:pPr>
      <w:r>
        <w:rPr>
          <w:rFonts w:ascii="Arial" w:hAnsi="Arial"/>
          <w:color w:val="525252"/>
          <w:sz w:val="13"/>
        </w:rPr>
        <w:t>AF Form 724, Airman Comprehensive Assessment Worksheet (2Lt thru Col) AF Form 931, Airman Comprehensive Assessment Worksheet (AB thru TSgt) AF Form 932, Airman Comprehensive Assessment Worksheet (MSgt thru CMSgt) In addition to the AF Form 724, raters are required to use the AF Form 724-A, Airman Comprehensive Assessment Addendum, for officers.</w:t>
      </w:r>
    </w:p>
    <w:p>
      <w:pPr>
        <w:spacing w:after="20" w:line="223" w:lineRule="auto"/>
        <w:jc w:val="right"/>
        <w:bidi/>
      </w:pPr>
      <w:r>
        <w:rPr>
          <w:rFonts w:ascii="Arial" w:hAnsi="Arial"/>
          <w:sz w:val="16"/>
        </w:rPr>
        <w:t>137.10  برای ارزیاب‌ها اختیاری است که از AF فورم ۷۲۴-ا برای SNCOها به‌عنوان یک سند راهنمای غیررسمی برای تکمیل بازخورد عملکرد استفاده کنند.</w:t>
      </w:r>
    </w:p>
    <w:p>
      <w:pPr>
        <w:spacing w:after="28" w:line="216" w:lineRule="auto"/>
        <w:ind w:left="259"/>
        <w:jc w:val="left"/>
      </w:pPr>
      <w:r>
        <w:rPr>
          <w:rFonts w:ascii="Arial" w:hAnsi="Arial"/>
          <w:color w:val="525252"/>
          <w:sz w:val="13"/>
        </w:rPr>
        <w:t>It is optional for raters use the AF Form 724- A for SNCOs as an informal guiding document to supplement the performance feedback.</w:t>
      </w:r>
    </w:p>
    <w:p>
      <w:pPr>
        <w:spacing w:before="60" w:after="28"/>
        <w:jc w:val="right"/>
        <w:bidi/>
      </w:pPr>
      <w:r>
        <w:rPr>
          <w:b/>
          <w:color w:val="1F4D78"/>
          <w:sz w:val="18"/>
        </w:rPr>
        <w:t>8.4. زمان انجام ارزیابی جامع Airman</w:t>
      </w:r>
    </w:p>
    <w:p>
      <w:pPr>
        <w:spacing w:after="20"/>
        <w:ind w:left="259"/>
        <w:jc w:val="left"/>
      </w:pPr>
      <w:r>
        <w:rPr>
          <w:color w:val="555555"/>
          <w:sz w:val="12"/>
        </w:rPr>
        <w:t>8.4. When to Conduct the Airman Comprehensive Assessment</w:t>
      </w:r>
    </w:p>
    <w:p>
      <w:pPr>
        <w:spacing w:after="20" w:line="223" w:lineRule="auto"/>
        <w:jc w:val="right"/>
        <w:bidi/>
      </w:pPr>
      <w:r>
        <w:rPr>
          <w:rFonts w:ascii="Arial" w:hAnsi="Arial"/>
          <w:sz w:val="16"/>
        </w:rPr>
        <w:t>137.12  در بیشتر موارد، پرواز پرسنل نظامی یک اخطار ارزیابی بازخورد عملکرد تولید شده توسط کامپیوتر را در عرض ۳۰ روز پس از شروع نظارت (تشخیص جلسات ارزیابی بازخورد عملکرد اولیه یا بعدی، در صورت لزوم)، و دوباره در نیمه راه بین زمان شروع نظارت و تاریخ پایان گزارش عملکرد پیش بینی شده (تشخیص عملکرد مورد نیاز جلسه ارزیابی میان مدت) توسط کامپیوتر ارائه می‌کند.</w:t>
      </w:r>
    </w:p>
    <w:p>
      <w:pPr>
        <w:spacing w:after="28" w:line="216" w:lineRule="auto"/>
        <w:ind w:left="259"/>
        <w:jc w:val="left"/>
      </w:pPr>
      <w:r>
        <w:rPr>
          <w:rFonts w:ascii="Arial" w:hAnsi="Arial"/>
          <w:color w:val="525252"/>
          <w:sz w:val="13"/>
        </w:rPr>
        <w:t>In most cases, the military personnel flight will provide a computer-generated performance feedback assessment notice to raters and ratees within 30 days of when supervision begins (identifying initial or follow-up performance feedback assessment sessions, as required), and again halfway between the time supervision began and the projected performance report close- out date (identifying mid-term performance feedback assessment session requirements).</w:t>
      </w:r>
    </w:p>
    <w:p>
      <w:pPr>
        <w:spacing w:after="20" w:line="223" w:lineRule="auto"/>
        <w:jc w:val="right"/>
        <w:bidi/>
      </w:pPr>
      <w:r>
        <w:rPr>
          <w:rFonts w:ascii="Arial" w:hAnsi="Arial"/>
          <w:sz w:val="16"/>
        </w:rPr>
        <w:t>137.13  این اطلاعیه برای یادآوری به ارزیاب‌ها است که قرار است جلسه ارزیابی بازخورد عملکرد برگزار شود. با این حال، عدم دریافت اعلامیه ارزیابی بازخورد عملکرد، عدم برگزاری جلسه مورد نیاز را توجیه نمی‌کند.</w:t>
      </w:r>
    </w:p>
    <w:p>
      <w:pPr>
        <w:spacing w:after="28" w:line="216" w:lineRule="auto"/>
        <w:ind w:left="259"/>
        <w:jc w:val="left"/>
      </w:pPr>
      <w:r>
        <w:rPr>
          <w:rFonts w:ascii="Arial" w:hAnsi="Arial"/>
          <w:color w:val="525252"/>
          <w:sz w:val="13"/>
        </w:rPr>
        <w:t>The notice serves to remind raters that a performance feedback assessment session is due; however, failure to receive a performance feedback assessment notice does not justify failing to hold a required session.</w:t>
      </w:r>
    </w:p>
    <w:p>
      <w:pPr>
        <w:spacing w:after="20" w:line="223" w:lineRule="auto"/>
        <w:jc w:val="right"/>
        <w:bidi/>
      </w:pPr>
      <w:r>
        <w:rPr>
          <w:rFonts w:ascii="Arial" w:hAnsi="Arial"/>
          <w:sz w:val="16"/>
        </w:rPr>
        <w:t>137.14  گارد ملی هوایی در حال حاضر فرآیند خودکاری برای اعلامیه‌های ارزیابی بازخورد عملکرد ندارد و ممکن است از شکل دیگری از ارتباط برای اطلاع دادن به رتبه‌دهندگان و نرخ‌های برنامه‌های ارزیابی بازخورد عملکرد استفاده کند.</w:t>
      </w:r>
    </w:p>
    <w:p>
      <w:pPr>
        <w:spacing w:after="28" w:line="216" w:lineRule="auto"/>
        <w:ind w:left="259"/>
        <w:jc w:val="left"/>
      </w:pPr>
      <w:r>
        <w:rPr>
          <w:rFonts w:ascii="Arial" w:hAnsi="Arial"/>
          <w:color w:val="525252"/>
          <w:sz w:val="13"/>
        </w:rPr>
        <w:t>The Air National Guard does not currently have an automated process for performance feedback assessment notices and may use an alternate form of communication to notify raters and ratees of performance feedback assessment schedules.</w:t>
      </w:r>
    </w:p>
    <w:p>
      <w:pPr>
        <w:spacing w:after="20" w:line="223" w:lineRule="auto"/>
        <w:jc w:val="right"/>
        <w:bidi/>
      </w:pPr>
      <w:r>
        <w:rPr>
          <w:rFonts w:ascii="Arial" w:hAnsi="Arial"/>
          <w:sz w:val="16"/>
        </w:rPr>
        <w:t>137.15  تمام جلسات ارزیابی اولیه بازخورد عملکرد باید در ۶۰ روز اول از شروع نظارت انجام شود.</w:t>
      </w:r>
    </w:p>
    <w:p>
      <w:pPr>
        <w:spacing w:after="28" w:line="216" w:lineRule="auto"/>
        <w:ind w:left="259"/>
        <w:jc w:val="left"/>
      </w:pPr>
      <w:r>
        <w:rPr>
          <w:rFonts w:ascii="Arial" w:hAnsi="Arial"/>
          <w:color w:val="525252"/>
          <w:sz w:val="13"/>
        </w:rPr>
        <w:t>All initial performance feedback assessment sessions must be conducted within the first 60 days of when supervision begins.</w:t>
      </w:r>
    </w:p>
    <w:p>
      <w:pPr>
        <w:spacing w:after="20" w:line="223" w:lineRule="auto"/>
        <w:jc w:val="right"/>
        <w:bidi/>
      </w:pPr>
      <w:r>
        <w:rPr>
          <w:rFonts w:ascii="Arial" w:hAnsi="Arial"/>
          <w:sz w:val="16"/>
        </w:rPr>
        <w:t>137.16  این تنها بازخورد اولیه نرخ خواهد بود تا زمانی که مسئول گزارش‌دهنده تغییر کند.</w:t>
      </w:r>
    </w:p>
    <w:p>
      <w:pPr>
        <w:spacing w:after="28" w:line="216" w:lineRule="auto"/>
        <w:ind w:left="259"/>
        <w:jc w:val="left"/>
      </w:pPr>
      <w:r>
        <w:rPr>
          <w:rFonts w:ascii="Arial" w:hAnsi="Arial"/>
          <w:color w:val="525252"/>
          <w:sz w:val="13"/>
        </w:rPr>
        <w:t>This will be the ratee’s only initial feedback until there is a change of reporting official.</w:t>
      </w:r>
    </w:p>
    <w:p>
      <w:pPr>
        <w:spacing w:after="20" w:line="223" w:lineRule="auto"/>
        <w:jc w:val="right"/>
        <w:bidi/>
      </w:pPr>
      <w:r>
        <w:rPr>
          <w:rFonts w:ascii="Arial" w:hAnsi="Arial"/>
          <w:sz w:val="16"/>
        </w:rPr>
        <w:t>137.17  رتبه‌دهنده باید یک جلسه ارزیابی بازخورد عملکرد میان‌مدت در میانه‌ی تاریخ شروع نظارت و تاریخ پایانی پیش‌بینی‌شده ارزیابی بعدی انجام دهد.</w:t>
      </w:r>
    </w:p>
    <w:p>
      <w:pPr>
        <w:spacing w:after="28" w:line="216" w:lineRule="auto"/>
        <w:ind w:left="259"/>
        <w:jc w:val="left"/>
      </w:pPr>
      <w:r>
        <w:rPr>
          <w:rFonts w:ascii="Arial" w:hAnsi="Arial"/>
          <w:color w:val="525252"/>
          <w:sz w:val="13"/>
        </w:rPr>
        <w:t>The rater must conduct a mid-term performance feedback assessment session midway between the date supervision begins and the next evaluation projected close-out date.</w:t>
      </w:r>
    </w:p>
    <w:p>
      <w:pPr>
        <w:spacing w:after="20" w:line="223" w:lineRule="auto"/>
        <w:jc w:val="right"/>
        <w:bidi/>
      </w:pPr>
      <w:r>
        <w:rPr>
          <w:rFonts w:ascii="Arial" w:hAnsi="Arial"/>
          <w:sz w:val="16"/>
        </w:rPr>
        <w:t>137.18  برای دوره پایان گزارش، ارزیاب جلسه ارزیابی بازخورد عملکرد را ظرف ۶۰ روز پس از انجام ارزیابی انجام می‌دهد.</w:t>
      </w:r>
    </w:p>
    <w:p>
      <w:pPr>
        <w:spacing w:after="28" w:line="216" w:lineRule="auto"/>
        <w:ind w:left="259"/>
        <w:jc w:val="left"/>
      </w:pPr>
      <w:r>
        <w:rPr>
          <w:rFonts w:ascii="Arial" w:hAnsi="Arial"/>
          <w:color w:val="525252"/>
          <w:sz w:val="13"/>
        </w:rPr>
        <w:t>For the end-of-reporting period, the rater conducts the performance feedback assessment session within 60 days after the evaluation has been accomplished.</w:t>
      </w:r>
    </w:p>
    <w:p>
      <w:pPr>
        <w:spacing w:after="20" w:line="223" w:lineRule="auto"/>
        <w:jc w:val="right"/>
        <w:bidi/>
      </w:pPr>
      <w:r>
        <w:rPr>
          <w:rFonts w:ascii="Arial" w:hAnsi="Arial"/>
          <w:sz w:val="16"/>
        </w:rPr>
        <w:t>137.19  توجه: تا زمانی که ۶۰ روز از آخرین جلسه گذشته باشد، نرخ‌ها می‌توانند بازخورد درخواست کنند.</w:t>
      </w:r>
    </w:p>
    <w:p>
      <w:pPr>
        <w:spacing w:after="28" w:line="216" w:lineRule="auto"/>
        <w:ind w:left="259"/>
        <w:jc w:val="left"/>
      </w:pPr>
      <w:r>
        <w:rPr>
          <w:rFonts w:ascii="Arial" w:hAnsi="Arial"/>
          <w:color w:val="525252"/>
          <w:sz w:val="13"/>
        </w:rPr>
        <w:t>Note: Ratees may request feedback as long as 60 days have passed since the last session.</w:t>
      </w:r>
    </w:p>
    <w:p>
      <w:pPr>
        <w:spacing w:after="20" w:line="223" w:lineRule="auto"/>
        <w:jc w:val="right"/>
        <w:bidi/>
      </w:pPr>
      <w:r>
        <w:rPr>
          <w:rFonts w:ascii="Arial" w:hAnsi="Arial"/>
          <w:sz w:val="16"/>
        </w:rPr>
        <w:t>137.20  برای فرماندهان ارشد و سرهنگ‌ها، ارزیابی اولیه بازخورد عملکرد تنها بازخورد مورد نیاز است.</w:t>
      </w:r>
    </w:p>
    <w:p>
      <w:pPr>
        <w:spacing w:after="28" w:line="216" w:lineRule="auto"/>
        <w:ind w:left="259"/>
        <w:jc w:val="left"/>
      </w:pPr>
      <w:r>
        <w:rPr>
          <w:rFonts w:ascii="Arial" w:hAnsi="Arial"/>
          <w:color w:val="525252"/>
          <w:sz w:val="13"/>
        </w:rPr>
        <w:t>For Chief Master Sergeants and colonels, the initial performance feedback assessment is the only feedback required.</w:t>
      </w:r>
    </w:p>
    <w:p>
      <w:pPr>
        <w:spacing w:after="20" w:line="223" w:lineRule="auto"/>
        <w:jc w:val="right"/>
        <w:bidi/>
      </w:pPr>
      <w:r>
        <w:rPr>
          <w:rFonts w:ascii="Arial" w:hAnsi="Arial"/>
          <w:sz w:val="16"/>
        </w:rPr>
        <w:t>137.21  اگر نرخ به یک ارزیابی سالانه واریز شود و دوره نظارت کمتر از ۱۵۰ روز باشد، ارزیاب ارزیابی بازخورد عملکرد را تقریبا ۶۰ روز قبل از تاریخ پایان ارزیابی پیش بینی شده انجام می‌دهد.</w:t>
      </w:r>
    </w:p>
    <w:p>
      <w:pPr>
        <w:spacing w:after="28" w:line="216" w:lineRule="auto"/>
        <w:ind w:left="259"/>
        <w:jc w:val="left"/>
      </w:pPr>
      <w:r>
        <w:rPr>
          <w:rFonts w:ascii="Arial" w:hAnsi="Arial"/>
          <w:color w:val="525252"/>
          <w:sz w:val="13"/>
        </w:rPr>
        <w:t>If the ratee is due an annual evaluation and the period of supervision is less than 150 days, the rater conducts the performance feedback assessment approximately 60 days before the projected evaluation close- out date.</w:t>
      </w:r>
    </w:p>
    <w:p>
      <w:pPr>
        <w:spacing w:after="20" w:line="223" w:lineRule="auto"/>
        <w:jc w:val="right"/>
        <w:bidi/>
      </w:pPr>
      <w:r>
        <w:rPr>
          <w:rFonts w:ascii="Arial" w:hAnsi="Arial"/>
          <w:sz w:val="16"/>
        </w:rPr>
        <w:t>137.22  فقط برای ستوان از طریق کاپیتان، اگر ارزیابی به دلیل تغییر مقام گزارشگر باشد، ارزیاب جدید بازخورد اولیه را انجام خواهد داد.</w:t>
      </w:r>
    </w:p>
    <w:p>
      <w:pPr>
        <w:spacing w:after="28" w:line="216" w:lineRule="auto"/>
        <w:ind w:left="259"/>
        <w:jc w:val="left"/>
      </w:pPr>
      <w:r>
        <w:rPr>
          <w:rFonts w:ascii="Arial" w:hAnsi="Arial"/>
          <w:color w:val="525252"/>
          <w:sz w:val="13"/>
        </w:rPr>
        <w:t>For Lieutenant through Captain only, if an evaluation is due to a change of reporting official, the new rater will do initial feedback.</w:t>
      </w:r>
    </w:p>
    <w:p>
      <w:pPr>
        <w:spacing w:after="20" w:line="223" w:lineRule="auto"/>
        <w:jc w:val="right"/>
        <w:bidi/>
      </w:pPr>
      <w:r>
        <w:rPr>
          <w:rFonts w:ascii="Arial" w:hAnsi="Arial"/>
          <w:sz w:val="16"/>
        </w:rPr>
        <w:t>137.23  این بازخورد ممکن است با استفاده از کاربرگ ارزیابی بازخورد عملکرد انجام شود، اما مستندات لازم نیست.</w:t>
      </w:r>
    </w:p>
    <w:p>
      <w:pPr>
        <w:spacing w:after="28" w:line="216" w:lineRule="auto"/>
        <w:ind w:left="259"/>
        <w:jc w:val="left"/>
      </w:pPr>
      <w:r>
        <w:rPr>
          <w:rFonts w:ascii="Arial" w:hAnsi="Arial"/>
          <w:color w:val="525252"/>
          <w:sz w:val="13"/>
        </w:rPr>
        <w:t>This feedback may be accomplished using the performance feedback assessment worksheet, but documentation is not required.</w:t>
      </w:r>
    </w:p>
    <w:p>
      <w:pPr>
        <w:spacing w:after="20" w:line="223" w:lineRule="auto"/>
        <w:jc w:val="right"/>
        <w:bidi/>
      </w:pPr>
      <w:r>
        <w:rPr>
          <w:rFonts w:ascii="Arial" w:hAnsi="Arial"/>
          <w:sz w:val="16"/>
        </w:rPr>
        <w:t>137.24  برای عضو نیروی هوایی باسیک، عضو نیروی هوایی، یا عضو نیروی هوایی فیرست کلاسس (با کمتر از ۲۰ ماه خدمات نظامی فدرال کل فعال)، پس از بازخورد اولیه، هر ۱۸۰ روز یک جلسه ارزیابی بازخورد عملکرد میان مدت انجام می‌شود تا زمانی که رتبه‌دهنده گزارش عملکردی بنویسد یا مقام گزارش‌دهنده تغییر کند.</w:t>
      </w:r>
    </w:p>
    <w:p>
      <w:pPr>
        <w:spacing w:after="28" w:line="216" w:lineRule="auto"/>
        <w:ind w:left="259"/>
        <w:jc w:val="left"/>
      </w:pPr>
      <w:r>
        <w:rPr>
          <w:rFonts w:ascii="Arial" w:hAnsi="Arial"/>
          <w:color w:val="525252"/>
          <w:sz w:val="13"/>
        </w:rPr>
        <w:t>For Airman Basic, Airman, or Airman First Class (with less than 20 months of Total Active Federal Military Service), after the initial feedback, a mid-term performance feedback assessment session is conducted every 180 days until the rater writes a performance report or a change of reporting official occurs.</w:t>
      </w:r>
    </w:p>
    <w:p>
      <w:r>
        <w:br w:type="page"/>
      </w:r>
    </w:p>
    <w:p>
      <w:pPr>
        <w:spacing w:after="60"/>
        <w:jc w:val="right"/>
        <w:bidi/>
      </w:pPr>
      <w:r>
        <w:rPr>
          <w:rFonts w:ascii="Arial" w:hAnsi="Arial"/>
          <w:b/>
          <w:color w:val="1F4D78"/>
          <w:sz w:val="19"/>
        </w:rPr>
        <w:t>هفتهٔ 138  |  صفحهٔ منبع: 154</w:t>
      </w:r>
    </w:p>
    <w:p>
      <w:pPr>
        <w:spacing w:before="60" w:after="28"/>
        <w:jc w:val="right"/>
        <w:bidi/>
      </w:pPr>
      <w:r>
        <w:rPr>
          <w:b/>
          <w:color w:val="1F4D78"/>
          <w:sz w:val="18"/>
        </w:rPr>
        <w:t>بخش 8B - ارزیابی عملکرد</w:t>
      </w:r>
    </w:p>
    <w:p>
      <w:pPr>
        <w:spacing w:after="20"/>
        <w:ind w:left="259"/>
        <w:jc w:val="left"/>
      </w:pPr>
      <w:r>
        <w:rPr>
          <w:color w:val="555555"/>
          <w:sz w:val="12"/>
        </w:rPr>
        <w:t>Section 8B—Performance Evaluations</w:t>
      </w:r>
    </w:p>
    <w:p>
      <w:pPr>
        <w:spacing w:before="60" w:after="28"/>
        <w:jc w:val="right"/>
        <w:bidi/>
      </w:pPr>
      <w:r>
        <w:rPr>
          <w:b/>
          <w:color w:val="1F4D78"/>
          <w:sz w:val="18"/>
        </w:rPr>
        <w:t>8.5. اداره ارزیابی عملکرد</w:t>
      </w:r>
    </w:p>
    <w:p>
      <w:pPr>
        <w:spacing w:after="20"/>
        <w:ind w:left="259"/>
        <w:jc w:val="left"/>
      </w:pPr>
      <w:r>
        <w:rPr>
          <w:color w:val="555555"/>
          <w:sz w:val="12"/>
        </w:rPr>
        <w:t>8.5. Performance Evaluation Administration</w:t>
      </w:r>
    </w:p>
    <w:p>
      <w:pPr>
        <w:spacing w:after="20" w:line="223" w:lineRule="auto"/>
        <w:jc w:val="right"/>
        <w:bidi/>
      </w:pPr>
      <w:r>
        <w:rPr>
          <w:rFonts w:ascii="Arial" w:hAnsi="Arial"/>
          <w:sz w:val="16"/>
        </w:rPr>
        <w:t>138.03  سیستم ارزیابی عملکرد به گونه‌ای طراحی شده است که یک رکورد قابل اعتماد، بلندمدت و تجمعی از عملکرد و پتانسیل ارائه دهد.</w:t>
      </w:r>
    </w:p>
    <w:p>
      <w:pPr>
        <w:spacing w:after="28" w:line="216" w:lineRule="auto"/>
        <w:ind w:left="259"/>
        <w:jc w:val="left"/>
      </w:pPr>
      <w:r>
        <w:rPr>
          <w:rFonts w:ascii="Arial" w:hAnsi="Arial"/>
          <w:color w:val="525252"/>
          <w:sz w:val="13"/>
        </w:rPr>
        <w:t>The performance evaluation system is designed to provide a reliable, long-term, cumulative record of performance and potential.</w:t>
      </w:r>
    </w:p>
    <w:p>
      <w:pPr>
        <w:spacing w:after="20" w:line="223" w:lineRule="auto"/>
        <w:jc w:val="right"/>
        <w:bidi/>
      </w:pPr>
      <w:r>
        <w:rPr>
          <w:rFonts w:ascii="Arial" w:hAnsi="Arial"/>
          <w:sz w:val="16"/>
        </w:rPr>
        <w:t>138.04  جنبه‌های کلیدی مرتبط با سیستم ارزیابی این است که فرد چقدر کار خود را به خوبی انجام می‌دهد.</w:t>
      </w:r>
    </w:p>
    <w:p>
      <w:pPr>
        <w:spacing w:after="28" w:line="216" w:lineRule="auto"/>
        <w:ind w:left="259"/>
        <w:jc w:val="left"/>
      </w:pPr>
      <w:r>
        <w:rPr>
          <w:rFonts w:ascii="Arial" w:hAnsi="Arial"/>
          <w:color w:val="525252"/>
          <w:sz w:val="13"/>
        </w:rPr>
        <w:t>The key aspects associated with the evaluation system are how well the individual does his or her job.</w:t>
      </w:r>
    </w:p>
    <w:p>
      <w:pPr>
        <w:spacing w:after="20" w:line="223" w:lineRule="auto"/>
        <w:jc w:val="right"/>
        <w:bidi/>
      </w:pPr>
      <w:r>
        <w:rPr>
          <w:rFonts w:ascii="Arial" w:hAnsi="Arial"/>
          <w:sz w:val="16"/>
        </w:rPr>
        <w:t>138.05  برای سرپرستان مهم است که به زیردستان کمک کنند تا نقاط قوت و ضعف خود را درک کنند و اینکه چگونه تلاش‌های آنها به مأموریت کمک می‌کند.</w:t>
      </w:r>
    </w:p>
    <w:p>
      <w:pPr>
        <w:spacing w:after="28" w:line="216" w:lineRule="auto"/>
        <w:ind w:left="259"/>
        <w:jc w:val="left"/>
      </w:pPr>
      <w:r>
        <w:rPr>
          <w:rFonts w:ascii="Arial" w:hAnsi="Arial"/>
          <w:color w:val="525252"/>
          <w:sz w:val="13"/>
        </w:rPr>
        <w:t>It is important for supervisors to help subordinates understand their strengths and weaknesses and how their efforts contribute to the mission.</w:t>
      </w:r>
    </w:p>
    <w:p>
      <w:pPr>
        <w:spacing w:after="20" w:line="223" w:lineRule="auto"/>
        <w:jc w:val="right"/>
        <w:bidi/>
      </w:pPr>
      <w:r>
        <w:rPr>
          <w:rFonts w:ascii="Arial" w:hAnsi="Arial"/>
          <w:sz w:val="16"/>
        </w:rPr>
        <w:t>138.06  ناظران باید نحوه و زمان به‌کارگیری افسر و سیستم‌های ارزیابی ثبت‌نام شده و برنامه عملکرد غیرنظامی را بدانند.</w:t>
      </w:r>
    </w:p>
    <w:p>
      <w:pPr>
        <w:spacing w:after="28" w:line="216" w:lineRule="auto"/>
        <w:ind w:left="259"/>
        <w:jc w:val="left"/>
      </w:pPr>
      <w:r>
        <w:rPr>
          <w:rFonts w:ascii="Arial" w:hAnsi="Arial"/>
          <w:color w:val="525252"/>
          <w:sz w:val="13"/>
        </w:rPr>
        <w:t>Supervisors must understand how and when to employ the officer and enlisted evaluation systems and the civilian performance program.</w:t>
      </w:r>
    </w:p>
    <w:p>
      <w:pPr>
        <w:spacing w:after="20" w:line="223" w:lineRule="auto"/>
        <w:jc w:val="right"/>
        <w:bidi/>
      </w:pPr>
      <w:r>
        <w:rPr>
          <w:rFonts w:ascii="Arial" w:hAnsi="Arial"/>
          <w:sz w:val="16"/>
        </w:rPr>
        <w:t>138.07  دسترسی به ارزیابی‌ها.</w:t>
      </w:r>
    </w:p>
    <w:p>
      <w:pPr>
        <w:spacing w:after="28" w:line="216" w:lineRule="auto"/>
        <w:ind w:left="259"/>
        <w:jc w:val="left"/>
      </w:pPr>
      <w:r>
        <w:rPr>
          <w:rFonts w:ascii="Arial" w:hAnsi="Arial"/>
          <w:color w:val="525252"/>
          <w:sz w:val="13"/>
        </w:rPr>
        <w:t>Access to Evaluations.</w:t>
      </w:r>
    </w:p>
    <w:p>
      <w:pPr>
        <w:spacing w:after="20" w:line="223" w:lineRule="auto"/>
        <w:jc w:val="right"/>
        <w:bidi/>
      </w:pPr>
      <w:r>
        <w:rPr>
          <w:rFonts w:ascii="Arial" w:hAnsi="Arial"/>
          <w:sz w:val="16"/>
        </w:rPr>
        <w:t>138.08  ارزیابی‌ها فرم‌های «اطلاعات طبقه‌بندی‌نشده کنترل‌شده» هستند و باید بر این اساس علامت‌گذاری شوند، محافظت شوند و به آن‌ها دسترسی داشته باشید.</w:t>
      </w:r>
    </w:p>
    <w:p>
      <w:pPr>
        <w:spacing w:after="28" w:line="216" w:lineRule="auto"/>
        <w:ind w:left="259"/>
        <w:jc w:val="left"/>
      </w:pPr>
      <w:r>
        <w:rPr>
          <w:rFonts w:ascii="Arial" w:hAnsi="Arial"/>
          <w:color w:val="525252"/>
          <w:sz w:val="13"/>
        </w:rPr>
        <w:t>Evaluations are “Controlled Unclassified Information” forms and must be marked, protected, and accessed accordingly.</w:t>
      </w:r>
    </w:p>
    <w:p>
      <w:pPr>
        <w:spacing w:after="20" w:line="223" w:lineRule="auto"/>
        <w:jc w:val="right"/>
        <w:bidi/>
      </w:pPr>
      <w:r>
        <w:rPr>
          <w:rFonts w:ascii="Arial" w:hAnsi="Arial"/>
          <w:sz w:val="16"/>
        </w:rPr>
        <w:t>138.09  دفتر با مسئولیت نگهداری مسئول تشخیص اینکه آیا وظایف رسمی درخواست کننده نیاز به دسترسی دارد یا خیر.</w:t>
      </w:r>
    </w:p>
    <w:p>
      <w:pPr>
        <w:spacing w:after="28" w:line="216" w:lineRule="auto"/>
        <w:ind w:left="259"/>
        <w:jc w:val="left"/>
      </w:pPr>
      <w:r>
        <w:rPr>
          <w:rFonts w:ascii="Arial" w:hAnsi="Arial"/>
          <w:color w:val="525252"/>
          <w:sz w:val="13"/>
        </w:rPr>
        <w:t>The office with custodial responsibility is responsible for determining if a requestor’s official duties require access.</w:t>
      </w:r>
    </w:p>
    <w:p>
      <w:pPr>
        <w:spacing w:after="20" w:line="223" w:lineRule="auto"/>
        <w:jc w:val="right"/>
        <w:bidi/>
      </w:pPr>
      <w:r>
        <w:rPr>
          <w:rFonts w:ascii="Arial" w:hAnsi="Arial"/>
          <w:sz w:val="16"/>
        </w:rPr>
        <w:t>138.10  اطلاعات طبقه بندی شده و طبقه بندی امنیتی.</w:t>
      </w:r>
    </w:p>
    <w:p>
      <w:pPr>
        <w:spacing w:after="28" w:line="216" w:lineRule="auto"/>
        <w:ind w:left="259"/>
        <w:jc w:val="left"/>
      </w:pPr>
      <w:r>
        <w:rPr>
          <w:rFonts w:ascii="Arial" w:hAnsi="Arial"/>
          <w:color w:val="525252"/>
          <w:sz w:val="13"/>
        </w:rPr>
        <w:t>Classified Information and Security Classification.</w:t>
      </w:r>
    </w:p>
    <w:p>
      <w:pPr>
        <w:spacing w:after="20" w:line="223" w:lineRule="auto"/>
        <w:jc w:val="right"/>
        <w:bidi/>
      </w:pPr>
      <w:r>
        <w:rPr>
          <w:rFonts w:ascii="Arial" w:hAnsi="Arial"/>
          <w:sz w:val="16"/>
        </w:rPr>
        <w:t>138.11  اطلاعات طبقه بندی شده را در هیچ کدام وارد نکنید</w:t>
      </w:r>
    </w:p>
    <w:p>
      <w:pPr>
        <w:spacing w:after="28" w:line="216" w:lineRule="auto"/>
        <w:ind w:left="259"/>
        <w:jc w:val="left"/>
      </w:pPr>
      <w:r>
        <w:rPr>
          <w:rFonts w:ascii="Arial" w:hAnsi="Arial"/>
          <w:color w:val="525252"/>
          <w:sz w:val="13"/>
        </w:rPr>
        <w:t>Do not enter classified information in any</w:t>
      </w:r>
    </w:p>
    <w:p>
      <w:pPr>
        <w:spacing w:before="60" w:after="28"/>
        <w:jc w:val="right"/>
        <w:bidi/>
      </w:pPr>
      <w:r>
        <w:rPr>
          <w:b/>
          <w:color w:val="1F4D78"/>
          <w:sz w:val="18"/>
        </w:rPr>
        <w:t>بخش ارزیابی؛ این شامل پیوست‌های ارزیابی‌ها، اسناد ارجاع و</w:t>
      </w:r>
    </w:p>
    <w:p>
      <w:pPr>
        <w:spacing w:after="20"/>
        <w:ind w:left="259"/>
        <w:jc w:val="left"/>
      </w:pPr>
      <w:r>
        <w:rPr>
          <w:color w:val="555555"/>
          <w:sz w:val="12"/>
        </w:rPr>
        <w:t>section of the evaluation; this includes attachments to evaluations, referral documents, and</w:t>
      </w:r>
    </w:p>
    <w:p>
      <w:pPr>
        <w:spacing w:after="20" w:line="223" w:lineRule="auto"/>
        <w:jc w:val="right"/>
        <w:bidi/>
      </w:pPr>
      <w:r>
        <w:rPr>
          <w:rFonts w:ascii="Arial" w:hAnsi="Arial"/>
          <w:sz w:val="16"/>
        </w:rPr>
        <w:t>138.13  تأییدیه اسناد ارجاعی.</w:t>
      </w:r>
    </w:p>
    <w:p>
      <w:pPr>
        <w:spacing w:after="28" w:line="216" w:lineRule="auto"/>
        <w:ind w:left="259"/>
        <w:jc w:val="left"/>
      </w:pPr>
      <w:r>
        <w:rPr>
          <w:rFonts w:ascii="Arial" w:hAnsi="Arial"/>
          <w:color w:val="525252"/>
          <w:sz w:val="13"/>
        </w:rPr>
        <w:t>endorsements to referral documents.</w:t>
      </w:r>
    </w:p>
    <w:p>
      <w:pPr>
        <w:spacing w:after="20" w:line="223" w:lineRule="auto"/>
        <w:jc w:val="right"/>
        <w:bidi/>
      </w:pPr>
      <w:r>
        <w:rPr>
          <w:rFonts w:ascii="Arial" w:hAnsi="Arial"/>
          <w:sz w:val="16"/>
        </w:rPr>
        <w:t>138.14  اگر ورودی منجر به انتشار اطلاعات طبقه بندی شده شود، از کلمه "داتا ماسکد" به جای آن ورودی استفاده کنید.</w:t>
      </w:r>
    </w:p>
    <w:p>
      <w:pPr>
        <w:spacing w:after="28" w:line="216" w:lineRule="auto"/>
        <w:ind w:left="259"/>
        <w:jc w:val="left"/>
      </w:pPr>
      <w:r>
        <w:rPr>
          <w:rFonts w:ascii="Arial" w:hAnsi="Arial"/>
          <w:color w:val="525252"/>
          <w:sz w:val="13"/>
        </w:rPr>
        <w:t>If an entry would result in the release of classified information, use the word “Data Masked” in place of that entry.</w:t>
      </w:r>
    </w:p>
    <w:p>
      <w:pPr>
        <w:spacing w:after="20" w:line="223" w:lineRule="auto"/>
        <w:jc w:val="right"/>
        <w:bidi/>
      </w:pPr>
      <w:r>
        <w:rPr>
          <w:rFonts w:ascii="Arial" w:hAnsi="Arial"/>
          <w:sz w:val="16"/>
        </w:rPr>
        <w:t>138.15  در مواردی که ارزیاب به یک سازمان یا مکان طبقه‌بندی‌شده منصوب می‌شود، برای نام‌گذاری سازمان، «داتا ماسکد» را وارد کنید و نه بیشتر.</w:t>
      </w:r>
    </w:p>
    <w:p>
      <w:pPr>
        <w:spacing w:after="28" w:line="216" w:lineRule="auto"/>
        <w:ind w:left="259"/>
        <w:jc w:val="left"/>
      </w:pPr>
      <w:r>
        <w:rPr>
          <w:rFonts w:ascii="Arial" w:hAnsi="Arial"/>
          <w:color w:val="525252"/>
          <w:sz w:val="13"/>
        </w:rPr>
        <w:t>In cases where the evaluator is assigned to a classified organization or location, enter “Data Masked” for organization nomenclature and nothing more.</w:t>
      </w:r>
    </w:p>
    <w:p>
      <w:pPr>
        <w:spacing w:after="20" w:line="223" w:lineRule="auto"/>
        <w:jc w:val="right"/>
        <w:bidi/>
      </w:pPr>
      <w:r>
        <w:rPr>
          <w:rFonts w:ascii="Arial" w:hAnsi="Arial"/>
          <w:sz w:val="16"/>
        </w:rPr>
        <w:t>138.16  دستورالعمل‌های خاص برای تکمیل ارزیابی‌ها، با ارجاع به قالب‌بندی مناسب، ارزیابی‌کنندگان/ارزش‌دهنده‌های مناسب، HLR و رتبه‌دهنده‌های ارشد، محتوا، استفاده از مخفف، اطلاعات طبقه‌بندی‌شده، و جزئیات دیگر، در AFI ۳۶-۲۴۰۶، افسران و سیستم‌های ارزیابی ثبت‌نام یافت می‌شوند.</w:t>
      </w:r>
    </w:p>
    <w:p>
      <w:pPr>
        <w:spacing w:after="28" w:line="216" w:lineRule="auto"/>
        <w:ind w:left="259"/>
        <w:jc w:val="left"/>
      </w:pPr>
      <w:r>
        <w:rPr>
          <w:rFonts w:ascii="Arial" w:hAnsi="Arial"/>
          <w:color w:val="525252"/>
          <w:sz w:val="13"/>
        </w:rPr>
        <w:t>Specific instructions for completing evaluations, with reference to proper formatting, appropriate raters/evaluators, HLR and Senior Raters, content, acronym use, classified information, and other details, are found in AFI 36-2406, Officer and Enlisted Evaluation Systems.</w:t>
      </w:r>
    </w:p>
    <w:p>
      <w:pPr>
        <w:spacing w:before="60" w:after="28"/>
        <w:jc w:val="right"/>
        <w:bidi/>
      </w:pPr>
      <w:r>
        <w:rPr>
          <w:b/>
          <w:color w:val="1F4D78"/>
          <w:sz w:val="18"/>
        </w:rPr>
        <w:t>8.6. کاربردهای ارزیابی عملکرد</w:t>
      </w:r>
    </w:p>
    <w:p>
      <w:pPr>
        <w:spacing w:after="20"/>
        <w:ind w:left="259"/>
        <w:jc w:val="left"/>
      </w:pPr>
      <w:r>
        <w:rPr>
          <w:color w:val="555555"/>
          <w:sz w:val="12"/>
        </w:rPr>
        <w:t>8.6. Performance Evaluation Uses</w:t>
      </w:r>
    </w:p>
    <w:p>
      <w:pPr>
        <w:spacing w:after="20" w:line="223" w:lineRule="auto"/>
        <w:jc w:val="right"/>
        <w:bidi/>
      </w:pPr>
      <w:r>
        <w:rPr>
          <w:rFonts w:ascii="Arial" w:hAnsi="Arial"/>
          <w:sz w:val="16"/>
        </w:rPr>
        <w:t>138.18  افسران و سیستم‌های ارزیابی ثبت‌نام شده باید با در نظر گرفتن اهداف زیر مورد استفاده قرار گیرند: ارتباط مؤثر با استانداردها و انتظارات عملکرد و ارائه بازخورد معنی‌دار در مورد نحوه اجرای آن استانداردها و انتظارات.</w:t>
      </w:r>
    </w:p>
    <w:p>
      <w:pPr>
        <w:spacing w:after="28" w:line="216" w:lineRule="auto"/>
        <w:ind w:left="259"/>
        <w:jc w:val="left"/>
      </w:pPr>
      <w:r>
        <w:rPr>
          <w:rFonts w:ascii="Arial" w:hAnsi="Arial"/>
          <w:color w:val="525252"/>
          <w:sz w:val="13"/>
        </w:rPr>
        <w:t>The officer and enlisted evaluation systems should be used with the following objectives in mind: Effectively communicate performance standards and expectations and provide meaningful feedback on how those standards and expectations are being upheld.</w:t>
      </w:r>
    </w:p>
    <w:p>
      <w:pPr>
        <w:spacing w:after="20" w:line="223" w:lineRule="auto"/>
        <w:jc w:val="right"/>
        <w:bidi/>
      </w:pPr>
      <w:r>
        <w:rPr>
          <w:rFonts w:ascii="Arial" w:hAnsi="Arial"/>
          <w:sz w:val="16"/>
        </w:rPr>
        <w:t>138.19  یک سابقه قابل اعتماد، بلندمدت و تجمعی از عملکرد و پتانسیل ارتقا بر اساس آن عملکرد ارائه دهید.</w:t>
      </w:r>
    </w:p>
    <w:p>
      <w:pPr>
        <w:spacing w:after="28" w:line="216" w:lineRule="auto"/>
        <w:ind w:left="259"/>
        <w:jc w:val="left"/>
      </w:pPr>
      <w:r>
        <w:rPr>
          <w:rFonts w:ascii="Arial" w:hAnsi="Arial"/>
          <w:color w:val="525252"/>
          <w:sz w:val="13"/>
        </w:rPr>
        <w:t>Provide a reliable, long-term, cumulative record of performance and promotion potential based on that performance.</w:t>
      </w:r>
    </w:p>
    <w:p>
      <w:pPr>
        <w:spacing w:after="20" w:line="223" w:lineRule="auto"/>
        <w:jc w:val="right"/>
        <w:bidi/>
      </w:pPr>
      <w:r>
        <w:rPr>
          <w:rFonts w:ascii="Arial" w:hAnsi="Arial"/>
          <w:sz w:val="16"/>
        </w:rPr>
        <w:t>138.20  ارائه اطلاعات صحیح برای کمک به تصمیم‌گیری در مورد مدیریت استعداد.</w:t>
      </w:r>
    </w:p>
    <w:p>
      <w:pPr>
        <w:spacing w:after="28" w:line="216" w:lineRule="auto"/>
        <w:ind w:left="259"/>
        <w:jc w:val="left"/>
      </w:pPr>
      <w:r>
        <w:rPr>
          <w:rFonts w:ascii="Arial" w:hAnsi="Arial"/>
          <w:color w:val="525252"/>
          <w:sz w:val="13"/>
        </w:rPr>
        <w:t>Provide sound information to assist in making talent management decisions.</w:t>
      </w:r>
    </w:p>
    <w:p>
      <w:pPr>
        <w:spacing w:after="20" w:line="223" w:lineRule="auto"/>
        <w:jc w:val="right"/>
        <w:bidi/>
      </w:pPr>
      <w:r>
        <w:rPr>
          <w:rFonts w:ascii="Arial" w:hAnsi="Arial"/>
          <w:sz w:val="16"/>
        </w:rPr>
        <w:t>138.21  هرگونه ادعای مستدل در مورد جرم مرتبط با جنسی علیه یک هواپیمای بدون درج درجه را که منجر به محکومیت از طریق دادگاه نظامی، مجازات غیرقضایی یا سایر اقدامات اداری نامطلوب می‌شود، در پرونده دائمی ثبت کنید.</w:t>
      </w:r>
    </w:p>
    <w:p>
      <w:pPr>
        <w:spacing w:after="28" w:line="216" w:lineRule="auto"/>
        <w:ind w:left="259"/>
        <w:jc w:val="left"/>
      </w:pPr>
      <w:r>
        <w:rPr>
          <w:rFonts w:ascii="Arial" w:hAnsi="Arial"/>
          <w:color w:val="525252"/>
          <w:sz w:val="13"/>
        </w:rPr>
        <w:t>Document in the permanent record any substantiated allegation of a sex-related offense against an Airman, regardless of grade, that results in conviction by court-martial, non- judicial punishment, or other adverse administrative action.</w:t>
      </w:r>
    </w:p>
    <w:p>
      <w:pPr>
        <w:spacing w:before="60" w:after="28"/>
        <w:jc w:val="right"/>
        <w:bidi/>
      </w:pPr>
      <w:r>
        <w:rPr>
          <w:b/>
          <w:color w:val="1F4D78"/>
          <w:sz w:val="18"/>
        </w:rPr>
        <w:t>8.7. فرم ها و مستندات ارزیابی عملکرد</w:t>
      </w:r>
    </w:p>
    <w:p>
      <w:pPr>
        <w:spacing w:after="20"/>
        <w:ind w:left="259"/>
        <w:jc w:val="left"/>
      </w:pPr>
      <w:r>
        <w:rPr>
          <w:color w:val="555555"/>
          <w:sz w:val="12"/>
        </w:rPr>
        <w:t>8.7. Performance Evaluation Forms and Documentation</w:t>
      </w:r>
    </w:p>
    <w:p>
      <w:pPr>
        <w:spacing w:after="20" w:line="223" w:lineRule="auto"/>
        <w:jc w:val="right"/>
        <w:bidi/>
      </w:pPr>
      <w:r>
        <w:rPr>
          <w:rFonts w:ascii="Arial" w:hAnsi="Arial"/>
          <w:sz w:val="16"/>
        </w:rPr>
        <w:t>138.23  تعدادی از فرم‌ها / خلاصه‌ها، همانطور که در زیر ذکر شده است، وجود دارد که برای مستندسازی عملکرد و پتانسیل در طول دوره حرفه‌ای نرخ‌گذار استفاده می‌شوند.</w:t>
      </w:r>
    </w:p>
    <w:p>
      <w:pPr>
        <w:spacing w:after="28" w:line="216" w:lineRule="auto"/>
        <w:ind w:left="259"/>
        <w:jc w:val="left"/>
      </w:pPr>
      <w:r>
        <w:rPr>
          <w:rFonts w:ascii="Arial" w:hAnsi="Arial"/>
          <w:color w:val="525252"/>
          <w:sz w:val="13"/>
        </w:rPr>
        <w:t>There are a number of forms/briefs, as listed below, used to document performance and potential over the course of a ratee’s career.</w:t>
      </w:r>
    </w:p>
    <w:p>
      <w:pPr>
        <w:spacing w:after="20" w:line="223" w:lineRule="auto"/>
        <w:jc w:val="right"/>
        <w:bidi/>
      </w:pPr>
      <w:r>
        <w:rPr>
          <w:rFonts w:ascii="Arial" w:hAnsi="Arial"/>
          <w:sz w:val="16"/>
        </w:rPr>
        <w:t>138.24  این فرم‌ها هنگام انجام توصیه‌های ترفیع، انتخاب یا اقدامات مناسب، ادامه انتخابی، جدایی ناخواسته، بازنشستگی زودهنگام انتخابی، تکالیف، نامزدی و انتخاب مدرسه و سایر تصمیمات مدیریتی در نظر گرفته می‌شوند.</w:t>
      </w:r>
    </w:p>
    <w:p>
      <w:pPr>
        <w:spacing w:after="28" w:line="216" w:lineRule="auto"/>
        <w:ind w:left="259"/>
        <w:jc w:val="left"/>
      </w:pPr>
      <w:r>
        <w:rPr>
          <w:rFonts w:ascii="Arial" w:hAnsi="Arial"/>
          <w:color w:val="525252"/>
          <w:sz w:val="13"/>
        </w:rPr>
        <w:t>These forms are considered when making promotion recommendations, selections or propriety actions, selective continuations, involuntary separations, selective early retirements, assignments, school nominations and selections, and other management decisions.</w:t>
      </w:r>
    </w:p>
    <w:p>
      <w:pPr>
        <w:spacing w:after="20" w:line="223" w:lineRule="auto"/>
        <w:jc w:val="right"/>
        <w:bidi/>
      </w:pPr>
      <w:r>
        <w:rPr>
          <w:rFonts w:ascii="Arial" w:hAnsi="Arial"/>
          <w:sz w:val="16"/>
        </w:rPr>
        <w:t>138.25  توجه: از درجه نرخ یا درجه پیش بینی شده در تاریخ بسته شدن ثابت برای تعیین فرم گزارش عملکرد مناسب استفاده می‌شود.</w:t>
      </w:r>
    </w:p>
    <w:p>
      <w:pPr>
        <w:spacing w:after="28" w:line="216" w:lineRule="auto"/>
        <w:ind w:left="259"/>
        <w:jc w:val="left"/>
      </w:pPr>
      <w:r>
        <w:rPr>
          <w:rFonts w:ascii="Arial" w:hAnsi="Arial"/>
          <w:color w:val="525252"/>
          <w:sz w:val="13"/>
        </w:rPr>
        <w:t>Note: The ratee’s grade or projected grade on the static close-out date is used to determine the appropriate performance report form.</w:t>
      </w:r>
    </w:p>
    <w:p>
      <w:pPr>
        <w:spacing w:after="20" w:line="223" w:lineRule="auto"/>
        <w:jc w:val="right"/>
        <w:bidi/>
      </w:pPr>
      <w:r>
        <w:rPr>
          <w:rFonts w:ascii="Arial" w:hAnsi="Arial"/>
          <w:sz w:val="16"/>
        </w:rPr>
        <w:t>138.26  DAF فرم ۷۷، نامه ارزیابی (LOE)</w:t>
      </w:r>
    </w:p>
    <w:p>
      <w:pPr>
        <w:spacing w:after="28" w:line="216" w:lineRule="auto"/>
        <w:ind w:left="259"/>
        <w:jc w:val="left"/>
      </w:pPr>
      <w:r>
        <w:rPr>
          <w:rFonts w:ascii="Arial" w:hAnsi="Arial"/>
          <w:color w:val="525252"/>
          <w:sz w:val="13"/>
        </w:rPr>
        <w:t>DAF Form 77, Letter of Evaluation (LOE)</w:t>
      </w:r>
    </w:p>
    <w:p>
      <w:r>
        <w:br w:type="page"/>
      </w:r>
    </w:p>
    <w:p>
      <w:pPr>
        <w:spacing w:after="60"/>
        <w:jc w:val="right"/>
        <w:bidi/>
      </w:pPr>
      <w:r>
        <w:rPr>
          <w:rFonts w:ascii="Arial" w:hAnsi="Arial"/>
          <w:b/>
          <w:color w:val="1F4D78"/>
          <w:sz w:val="19"/>
        </w:rPr>
        <w:t>هفتهٔ 139  |  صفحهٔ منبع: 155</w:t>
      </w:r>
    </w:p>
    <w:p>
      <w:pPr>
        <w:spacing w:after="20" w:line="223" w:lineRule="auto"/>
        <w:jc w:val="right"/>
        <w:bidi/>
      </w:pPr>
      <w:r>
        <w:rPr>
          <w:rFonts w:ascii="Arial" w:hAnsi="Arial"/>
          <w:sz w:val="16"/>
        </w:rPr>
        <w:t>139.01  فرم ۷۸ DAF، توصیه ارتقای افسران کل نیروی هوایی (GO PRF) فرم ۴۷۵ DAF، گزارش آموزش/آموزش (TR) DAF فرم ۷۰۹، افسر توصیه ارتقای کیفیت رهبری هوانورد (ALQ) ارزیابی در میواللیستف. - فرم مختصر عملکرد AF ۷۱۵، مختصر عملکرد افسر (نسخه آفلاین - استثنا در خط‌مشی (ETP) برای استفاده از این فرم لازم است) فرم AF ۷۱۶، خلاصه عملکرد ثبت‌نام (نسخه آفلاین - ETP برای استفاده از این فرم لازم است) فرم AF ۷۲۴، عضو نیروی هوایی کومپرهنسیو اسسسسمنت وورکشیت (۲LL عضو نیروی هوایی، AF۴م۷) ضمیمه ارزیابی جامع فرم ۹۳۱ AF، کاربرگ ارزیابی جامع عضو نیروی هوایی (AB تا TSgt) فرم AF ۹۳۲، کاربرگ ارزیابی جامع عضو نیروی هوایی (MSgt تا CMSgt) DAF فرم ۹۴۸، درخواست گزارش اصلاح/تجدید ارزیابی</w:t>
      </w:r>
    </w:p>
    <w:p>
      <w:pPr>
        <w:spacing w:after="28" w:line="216" w:lineRule="auto"/>
        <w:ind w:left="259"/>
        <w:jc w:val="left"/>
      </w:pPr>
      <w:r>
        <w:rPr>
          <w:rFonts w:ascii="Arial" w:hAnsi="Arial"/>
          <w:color w:val="525252"/>
          <w:sz w:val="13"/>
        </w:rPr>
        <w:t>DAF Form 78, Department of the Air Force General Officer Promotion Recommendation (GO PRF) DAF Form 475, Education/Training Report (TR) DAF Form 709, Promotion Recommendation Officer Airman Leadership Qualities (ALQ) Evaluation in myEval - Officer Performance Brief Enlisted ALQ Evaluation in myEval - Enlisted Performance Brief AF Form 715, Officer Performance Brief (offline version - Exception to Policy (ETP) required to use this form) AF Form 716, Enlisted Performance Brief (offline version - ETP required to use this form) AF Form 724, Airman Comprehensive Assessment Worksheet (2Lt thru Col) AF Form 724-A, Airman Comprehensive Assessment Addendum AF Form 931, Airman Comprehensive Assessment Worksheet (AB thru TSgt) AF Form 932, Airman Comprehensive Assessment Worksheet (MSgt thru CMSgt) DAF Form 948, Application for Correction/Removal of Evaluation Reports</w:t>
      </w:r>
    </w:p>
    <w:p>
      <w:pPr>
        <w:spacing w:before="60" w:after="28"/>
        <w:jc w:val="right"/>
        <w:bidi/>
      </w:pPr>
      <w:r>
        <w:rPr>
          <w:b/>
          <w:color w:val="1F4D78"/>
          <w:sz w:val="18"/>
        </w:rPr>
        <w:t>8.8. مسئولیت های ارزیابی عملکرد</w:t>
      </w:r>
    </w:p>
    <w:p>
      <w:pPr>
        <w:spacing w:after="20"/>
        <w:ind w:left="259"/>
        <w:jc w:val="left"/>
      </w:pPr>
      <w:r>
        <w:rPr>
          <w:color w:val="555555"/>
          <w:sz w:val="12"/>
        </w:rPr>
        <w:t>8.8. Performance Evaluation Responsibilities</w:t>
      </w:r>
    </w:p>
    <w:p>
      <w:pPr>
        <w:spacing w:after="20" w:line="223" w:lineRule="auto"/>
        <w:jc w:val="right"/>
        <w:bidi/>
      </w:pPr>
      <w:r>
        <w:rPr>
          <w:rFonts w:ascii="Arial" w:hAnsi="Arial"/>
          <w:sz w:val="16"/>
        </w:rPr>
        <w:t>139.03  فرماندهان واحد اطمینان حاصل خواهند کرد که سرپرستان در مورد نحوه نوشتن ارزیابی عملکرد به درستی آموزش دیده و آموزش دیده‌اند.</w:t>
      </w:r>
    </w:p>
    <w:p>
      <w:pPr>
        <w:spacing w:after="28" w:line="216" w:lineRule="auto"/>
        <w:ind w:left="259"/>
        <w:jc w:val="left"/>
      </w:pPr>
      <w:r>
        <w:rPr>
          <w:rFonts w:ascii="Arial" w:hAnsi="Arial"/>
          <w:color w:val="525252"/>
          <w:sz w:val="13"/>
        </w:rPr>
        <w:t>Unit commanders will ensure supervisors are properly trained and educated on how to write a performance evaluation.</w:t>
      </w:r>
    </w:p>
    <w:p>
      <w:pPr>
        <w:spacing w:after="20" w:line="223" w:lineRule="auto"/>
        <w:jc w:val="right"/>
        <w:bidi/>
      </w:pPr>
      <w:r>
        <w:rPr>
          <w:rFonts w:ascii="Arial" w:hAnsi="Arial"/>
          <w:sz w:val="16"/>
        </w:rPr>
        <w:t>139.04  فرماندهان یگان باید یک بررسی سوابق را از تمامی پرسنل منصوب و/یا منتقل شده به فرماندهی وی انجام دهند تا اطمینان حاصل شود که از اطلاعات و آشنایی با سابقه جرایم جنسی مربوط به نیروی هوایی که منجر به محکومیت توسط دادگاه‌های نظامی، مجازات غیرقضایی یا سایر اقدامات اداری نامطلوب شده است.</w:t>
      </w:r>
    </w:p>
    <w:p>
      <w:pPr>
        <w:spacing w:after="28" w:line="216" w:lineRule="auto"/>
        <w:ind w:left="259"/>
        <w:jc w:val="left"/>
      </w:pPr>
      <w:r>
        <w:rPr>
          <w:rFonts w:ascii="Arial" w:hAnsi="Arial"/>
          <w:color w:val="525252"/>
          <w:sz w:val="13"/>
        </w:rPr>
        <w:t>Unit commanders must conduct a record review of all personnel assigned to and/or transferred into his or her command to ensure knowledge of and familiarization with the Airman’s history of sex-related offenses resulting in conviction by courts-martial, non-judicial punishment, or other adverse administrative action.</w:t>
      </w:r>
    </w:p>
    <w:p>
      <w:pPr>
        <w:spacing w:after="20" w:line="223" w:lineRule="auto"/>
        <w:jc w:val="right"/>
        <w:bidi/>
      </w:pPr>
      <w:r>
        <w:rPr>
          <w:rFonts w:ascii="Arial" w:hAnsi="Arial"/>
          <w:sz w:val="16"/>
        </w:rPr>
        <w:t>139.05  این امر برای کاهش احتمال اینکه حملات تکراری از توجه فرماندهان فعلی، بعدی یا سطوح بالاتر دور بماند، انجام می‌شود.</w:t>
      </w:r>
    </w:p>
    <w:p>
      <w:pPr>
        <w:spacing w:after="28" w:line="216" w:lineRule="auto"/>
        <w:ind w:left="259"/>
        <w:jc w:val="left"/>
      </w:pPr>
      <w:r>
        <w:rPr>
          <w:rFonts w:ascii="Arial" w:hAnsi="Arial"/>
          <w:color w:val="525252"/>
          <w:sz w:val="13"/>
        </w:rPr>
        <w:t>This is accomplished to reduce the likelihood that repeat offenses will escape the notice of current, subsequent, or higher-level commanders.</w:t>
      </w:r>
    </w:p>
    <w:p>
      <w:pPr>
        <w:spacing w:after="20" w:line="223" w:lineRule="auto"/>
        <w:jc w:val="right"/>
        <w:bidi/>
      </w:pPr>
      <w:r>
        <w:rPr>
          <w:rFonts w:ascii="Arial" w:hAnsi="Arial"/>
          <w:sz w:val="16"/>
        </w:rPr>
        <w:t>139.06  بررسی رکورد توسط فرمانده فوری هوانیروز در پایین‌ترین سطح واحد انجام خواهد شد.</w:t>
      </w:r>
    </w:p>
    <w:p>
      <w:pPr>
        <w:spacing w:after="28" w:line="216" w:lineRule="auto"/>
        <w:ind w:left="259"/>
        <w:jc w:val="left"/>
      </w:pPr>
      <w:r>
        <w:rPr>
          <w:rFonts w:ascii="Arial" w:hAnsi="Arial"/>
          <w:color w:val="525252"/>
          <w:sz w:val="13"/>
        </w:rPr>
        <w:t>Review of the record will be conducted by the immediate commander of the Airman at the lowest unit level.</w:t>
      </w:r>
    </w:p>
    <w:p>
      <w:pPr>
        <w:spacing w:after="20" w:line="223" w:lineRule="auto"/>
        <w:jc w:val="right"/>
        <w:bidi/>
      </w:pPr>
      <w:r>
        <w:rPr>
          <w:rFonts w:ascii="Arial" w:hAnsi="Arial"/>
          <w:sz w:val="16"/>
        </w:rPr>
        <w:t>139.07  این مسئولیت‌ها تفویض نخواهد شد.</w:t>
      </w:r>
    </w:p>
    <w:p>
      <w:pPr>
        <w:spacing w:after="28" w:line="216" w:lineRule="auto"/>
        <w:ind w:left="259"/>
        <w:jc w:val="left"/>
      </w:pPr>
      <w:r>
        <w:rPr>
          <w:rFonts w:ascii="Arial" w:hAnsi="Arial"/>
          <w:color w:val="525252"/>
          <w:sz w:val="13"/>
        </w:rPr>
        <w:t>These responsibilities will not be delegated.</w:t>
      </w:r>
    </w:p>
    <w:p>
      <w:pPr>
        <w:spacing w:after="20" w:line="223" w:lineRule="auto"/>
        <w:jc w:val="right"/>
        <w:bidi/>
      </w:pPr>
      <w:r>
        <w:rPr>
          <w:rFonts w:ascii="Arial" w:hAnsi="Arial"/>
          <w:sz w:val="16"/>
        </w:rPr>
        <w:t>139.08  ارزیاب‌ها، بازبین‌ها، رتبه‌دهنده ارشد و HLR باید هنگام تهیه ارزیابی عملکرد، محتوای فایل‌های اطلاعات نامطلوب یا فایل‌های اطلاعات شخصی را در نظر بگیرند.</w:t>
      </w:r>
    </w:p>
    <w:p>
      <w:pPr>
        <w:spacing w:after="28" w:line="216" w:lineRule="auto"/>
        <w:ind w:left="259"/>
        <w:jc w:val="left"/>
      </w:pPr>
      <w:r>
        <w:rPr>
          <w:rFonts w:ascii="Arial" w:hAnsi="Arial"/>
          <w:color w:val="525252"/>
          <w:sz w:val="13"/>
        </w:rPr>
        <w:t>Raters, reviewers, Senior Rater, and HLRs must consider the contents of Unfavorable Information Files or Personal Information Files when preparing a performance evaluation.</w:t>
      </w:r>
    </w:p>
    <w:p>
      <w:pPr>
        <w:spacing w:after="20" w:line="223" w:lineRule="auto"/>
        <w:jc w:val="right"/>
        <w:bidi/>
      </w:pPr>
      <w:r>
        <w:rPr>
          <w:rFonts w:ascii="Arial" w:hAnsi="Arial"/>
          <w:sz w:val="16"/>
        </w:rPr>
        <w:t>139.09  آن‌ها باید عملکرد نرخ‌گذار، آنچه را که نرخ‌گذار انجام داده، چقدر خوب آن را انجام داده و پتانسیل نرخ‌دهنده را بر اساس آن عملکرد در طول دوره رتبه‌بندی ارزیابی کنند.</w:t>
      </w:r>
    </w:p>
    <w:p>
      <w:pPr>
        <w:spacing w:after="28" w:line="216" w:lineRule="auto"/>
        <w:ind w:left="259"/>
        <w:jc w:val="left"/>
      </w:pPr>
      <w:r>
        <w:rPr>
          <w:rFonts w:ascii="Arial" w:hAnsi="Arial"/>
          <w:color w:val="525252"/>
          <w:sz w:val="13"/>
        </w:rPr>
        <w:t>They must assess the ratee’s performance, what the ratee did, how well he or she did it, and the ratee’s potential based on that performance throughout the rating period.</w:t>
      </w:r>
    </w:p>
    <w:p>
      <w:pPr>
        <w:spacing w:after="20" w:line="223" w:lineRule="auto"/>
        <w:jc w:val="right"/>
        <w:bidi/>
      </w:pPr>
      <w:r>
        <w:rPr>
          <w:rFonts w:ascii="Arial" w:hAnsi="Arial"/>
          <w:sz w:val="16"/>
        </w:rPr>
        <w:t>139.10  نرخ‌ها باید ارزیابی‌ها را قبل از تبدیل شدن به یک موضوع ثبت بررسی کنند.</w:t>
      </w:r>
    </w:p>
    <w:p>
      <w:pPr>
        <w:spacing w:after="28" w:line="216" w:lineRule="auto"/>
        <w:ind w:left="259"/>
        <w:jc w:val="left"/>
      </w:pPr>
      <w:r>
        <w:rPr>
          <w:rFonts w:ascii="Arial" w:hAnsi="Arial"/>
          <w:color w:val="525252"/>
          <w:sz w:val="13"/>
        </w:rPr>
        <w:t>Ratees must review evaluations prior to them becoming a matter of record.</w:t>
      </w:r>
    </w:p>
    <w:p>
      <w:pPr>
        <w:spacing w:after="20" w:line="223" w:lineRule="auto"/>
        <w:jc w:val="right"/>
        <w:bidi/>
      </w:pPr>
      <w:r>
        <w:rPr>
          <w:rFonts w:ascii="Arial" w:hAnsi="Arial"/>
          <w:sz w:val="16"/>
        </w:rPr>
        <w:t>139.11  اکنون زمان آن است که اشتباهات املایی، غلط‌های املایی و داده‌های نادرست را مورد توجه ارزیابی‌کننده قرار دهید.</w:t>
      </w:r>
    </w:p>
    <w:p>
      <w:pPr>
        <w:spacing w:after="28" w:line="216" w:lineRule="auto"/>
        <w:ind w:left="259"/>
        <w:jc w:val="left"/>
      </w:pPr>
      <w:r>
        <w:rPr>
          <w:rFonts w:ascii="Arial" w:hAnsi="Arial"/>
          <w:color w:val="525252"/>
          <w:sz w:val="13"/>
        </w:rPr>
        <w:t>This is the time to bring typos, spelling errors, and inaccurate data to the attention of the rater.</w:t>
      </w:r>
    </w:p>
    <w:p>
      <w:pPr>
        <w:spacing w:after="20" w:line="223" w:lineRule="auto"/>
        <w:jc w:val="right"/>
        <w:bidi/>
      </w:pPr>
      <w:r>
        <w:rPr>
          <w:rFonts w:ascii="Arial" w:hAnsi="Arial"/>
          <w:sz w:val="16"/>
        </w:rPr>
        <w:t>139.12  هنگامی که نرخ‌گذار ارزیابی را امضا می‌کند، او با محتوا موافق نیست، بلکه دریافت ارزیابی تکمیل‌شده را تأیید می‌کند و تأیید می‌کند که ارزیابی را از نظر اشتباهات اداری بررسی کرده‌اند.</w:t>
      </w:r>
    </w:p>
    <w:p>
      <w:pPr>
        <w:spacing w:after="28" w:line="216" w:lineRule="auto"/>
        <w:ind w:left="259"/>
        <w:jc w:val="left"/>
      </w:pPr>
      <w:r>
        <w:rPr>
          <w:rFonts w:ascii="Arial" w:hAnsi="Arial"/>
          <w:color w:val="525252"/>
          <w:sz w:val="13"/>
        </w:rPr>
        <w:t>When the ratee signs the evaluation, he or she is not concurring with the content, but rather acknowledging receipt of the completed evaluation, and certifying they have reviewed the evaluation for administrative errors.</w:t>
      </w:r>
    </w:p>
    <w:p>
      <w:pPr>
        <w:spacing w:after="20" w:line="223" w:lineRule="auto"/>
        <w:jc w:val="right"/>
        <w:bidi/>
      </w:pPr>
      <w:r>
        <w:rPr>
          <w:rFonts w:ascii="Arial" w:hAnsi="Arial"/>
          <w:sz w:val="16"/>
        </w:rPr>
        <w:t>139.13  اگر نرخ‌دهنده با هر نظر و/یا رتبه‌بندی در مورد گزارش مخالف باشد، پس از اینکه ارزیابی به‌عنوان موضوعی ثبت شد، امتیازدهنده می‌تواند درخواست تجدیدنظر کند.</w:t>
      </w:r>
    </w:p>
    <w:p>
      <w:pPr>
        <w:spacing w:after="28" w:line="216" w:lineRule="auto"/>
        <w:ind w:left="259"/>
        <w:jc w:val="left"/>
      </w:pPr>
      <w:r>
        <w:rPr>
          <w:rFonts w:ascii="Arial" w:hAnsi="Arial"/>
          <w:color w:val="525252"/>
          <w:sz w:val="13"/>
        </w:rPr>
        <w:t>If the ratee disagrees with any comments and/or ratings on the report, the ratee may file an appeal after the evaluation becomes a matter of record.</w:t>
      </w:r>
    </w:p>
    <w:p>
      <w:pPr>
        <w:spacing w:before="60" w:after="28"/>
        <w:jc w:val="right"/>
        <w:bidi/>
      </w:pPr>
      <w:r>
        <w:rPr>
          <w:b/>
          <w:color w:val="1F4D78"/>
          <w:sz w:val="18"/>
        </w:rPr>
        <w:t>8.9. مستندسازی عملکرد</w:t>
      </w:r>
    </w:p>
    <w:p>
      <w:pPr>
        <w:spacing w:after="20"/>
        <w:ind w:left="259"/>
        <w:jc w:val="left"/>
      </w:pPr>
      <w:r>
        <w:rPr>
          <w:color w:val="555555"/>
          <w:sz w:val="12"/>
        </w:rPr>
        <w:t>8.9. Documenting Performance</w:t>
      </w:r>
    </w:p>
    <w:p>
      <w:pPr>
        <w:spacing w:after="20" w:line="223" w:lineRule="auto"/>
        <w:jc w:val="right"/>
        <w:bidi/>
      </w:pPr>
      <w:r>
        <w:rPr>
          <w:rFonts w:ascii="Arial" w:hAnsi="Arial"/>
          <w:sz w:val="16"/>
        </w:rPr>
        <w:t>139.15  حداقل یک بیانیه عملکرد را در هر بخش از ارزیابی در حال انجام بگنجانید.</w:t>
      </w:r>
    </w:p>
    <w:p>
      <w:pPr>
        <w:spacing w:after="28" w:line="216" w:lineRule="auto"/>
        <w:ind w:left="259"/>
        <w:jc w:val="left"/>
      </w:pPr>
      <w:r>
        <w:rPr>
          <w:rFonts w:ascii="Arial" w:hAnsi="Arial"/>
          <w:color w:val="525252"/>
          <w:sz w:val="13"/>
        </w:rPr>
        <w:t>Include at least one performance statement in each section of the evaluation being accomplished.</w:t>
      </w:r>
    </w:p>
    <w:p>
      <w:pPr>
        <w:spacing w:after="20" w:line="223" w:lineRule="auto"/>
        <w:jc w:val="right"/>
        <w:bidi/>
      </w:pPr>
      <w:r>
        <w:rPr>
          <w:rFonts w:ascii="Arial" w:hAnsi="Arial"/>
          <w:sz w:val="16"/>
        </w:rPr>
        <w:t>139.16  بیانیه عملکرد یک جمله مستقل است که باید شامل دو عنصر باشد: ۱) رفتار یا اقدام انجام شده توسط یک هواپیمای. و ۲) تأثیر، نتایج یا نتیجه آن رفتار یا عمل.</w:t>
      </w:r>
    </w:p>
    <w:p>
      <w:pPr>
        <w:spacing w:after="28" w:line="216" w:lineRule="auto"/>
        <w:ind w:left="259"/>
        <w:jc w:val="left"/>
      </w:pPr>
      <w:r>
        <w:rPr>
          <w:rFonts w:ascii="Arial" w:hAnsi="Arial"/>
          <w:color w:val="525252"/>
          <w:sz w:val="13"/>
        </w:rPr>
        <w:t>A performance statement is a standalone sentence that must include two elements: 1) the behavior or action taken by an Airman; and 2) the impact, results, or outcome of that behavior or action.</w:t>
      </w:r>
    </w:p>
    <w:p>
      <w:pPr>
        <w:spacing w:after="20" w:line="223" w:lineRule="auto"/>
        <w:jc w:val="right"/>
        <w:bidi/>
      </w:pPr>
      <w:r>
        <w:rPr>
          <w:rFonts w:ascii="Arial" w:hAnsi="Arial"/>
          <w:sz w:val="16"/>
        </w:rPr>
        <w:t>139.17  اطلاعات نامطلوب.</w:t>
      </w:r>
    </w:p>
    <w:p>
      <w:pPr>
        <w:spacing w:after="28" w:line="216" w:lineRule="auto"/>
        <w:ind w:left="259"/>
        <w:jc w:val="left"/>
      </w:pPr>
      <w:r>
        <w:rPr>
          <w:rFonts w:ascii="Arial" w:hAnsi="Arial"/>
          <w:color w:val="525252"/>
          <w:sz w:val="13"/>
        </w:rPr>
        <w:t>Adverse Information.</w:t>
      </w:r>
    </w:p>
    <w:p>
      <w:pPr>
        <w:spacing w:after="20" w:line="223" w:lineRule="auto"/>
        <w:jc w:val="right"/>
        <w:bidi/>
      </w:pPr>
      <w:r>
        <w:rPr>
          <w:rFonts w:ascii="Arial" w:hAnsi="Arial"/>
          <w:sz w:val="16"/>
        </w:rPr>
        <w:t>139.18  انتظار برای ارزیابی عملکرد، رفتار منصفانه و برابر با همه و اعمال رفتار یکسان در زیردستان است.</w:t>
      </w:r>
    </w:p>
    <w:p>
      <w:pPr>
        <w:spacing w:after="28" w:line="216" w:lineRule="auto"/>
        <w:ind w:left="259"/>
        <w:jc w:val="left"/>
      </w:pPr>
      <w:r>
        <w:rPr>
          <w:rFonts w:ascii="Arial" w:hAnsi="Arial"/>
          <w:color w:val="525252"/>
          <w:sz w:val="13"/>
        </w:rPr>
        <w:t>The expectation for performance evaluations is fair and equal treatment of all, and enforcement of the same behavior in subordinates.</w:t>
      </w:r>
    </w:p>
    <w:p>
      <w:pPr>
        <w:spacing w:after="20" w:line="223" w:lineRule="auto"/>
        <w:jc w:val="right"/>
        <w:bidi/>
      </w:pPr>
      <w:r>
        <w:rPr>
          <w:rFonts w:ascii="Arial" w:hAnsi="Arial"/>
          <w:sz w:val="16"/>
        </w:rPr>
        <w:t>139.19  هدف ارزیابی‌های منصفانه و دقیق است تا اطمینان حاصل شود که بهترین اعضای واجد شرایط برای موقعیت‌های بالاتر شناسایی می‌شوند.</w:t>
      </w:r>
    </w:p>
    <w:p>
      <w:pPr>
        <w:spacing w:after="28" w:line="216" w:lineRule="auto"/>
        <w:ind w:left="259"/>
        <w:jc w:val="left"/>
      </w:pPr>
      <w:r>
        <w:rPr>
          <w:rFonts w:ascii="Arial" w:hAnsi="Arial"/>
          <w:color w:val="525252"/>
          <w:sz w:val="13"/>
        </w:rPr>
        <w:t>The goal is for fair and accurate evaluations to help ensure the best qualified members are identified for positions of higher</w:t>
      </w:r>
    </w:p>
    <w:p>
      <w:r>
        <w:br w:type="page"/>
      </w:r>
    </w:p>
    <w:p>
      <w:pPr>
        <w:spacing w:after="60"/>
        <w:jc w:val="right"/>
        <w:bidi/>
      </w:pPr>
      <w:r>
        <w:rPr>
          <w:rFonts w:ascii="Arial" w:hAnsi="Arial"/>
          <w:b/>
          <w:color w:val="1F4D78"/>
          <w:sz w:val="19"/>
        </w:rPr>
        <w:t>هفتهٔ 140  |  صفحهٔ منبع: 156</w:t>
      </w:r>
    </w:p>
    <w:p>
      <w:pPr>
        <w:spacing w:after="20" w:line="223" w:lineRule="auto"/>
        <w:jc w:val="right"/>
        <w:bidi/>
      </w:pPr>
      <w:r>
        <w:rPr>
          <w:rFonts w:ascii="Arial" w:hAnsi="Arial"/>
          <w:sz w:val="16"/>
        </w:rPr>
        <w:t>140.01  مسئولیت.</w:t>
      </w:r>
    </w:p>
    <w:p>
      <w:pPr>
        <w:spacing w:after="28" w:line="216" w:lineRule="auto"/>
        <w:ind w:left="259"/>
        <w:jc w:val="left"/>
      </w:pPr>
      <w:r>
        <w:rPr>
          <w:rFonts w:ascii="Arial" w:hAnsi="Arial"/>
          <w:color w:val="525252"/>
          <w:sz w:val="13"/>
        </w:rPr>
        <w:t>responsibility.</w:t>
      </w:r>
    </w:p>
    <w:p>
      <w:pPr>
        <w:spacing w:after="20" w:line="223" w:lineRule="auto"/>
        <w:jc w:val="right"/>
        <w:bidi/>
      </w:pPr>
      <w:r>
        <w:rPr>
          <w:rFonts w:ascii="Arial" w:hAnsi="Arial"/>
          <w:sz w:val="16"/>
        </w:rPr>
        <w:t>140.02  عدم مستندسازی رفتار نادرست که از ارزش‌های اصلی USAF منحرف می‌شود، برای همه هوانیروزانی که با افتخار و تمایز خدمت می‌کنند، ضرر می‌کند.</w:t>
      </w:r>
    </w:p>
    <w:p>
      <w:pPr>
        <w:spacing w:after="28" w:line="216" w:lineRule="auto"/>
        <w:ind w:left="259"/>
        <w:jc w:val="left"/>
      </w:pPr>
      <w:r>
        <w:rPr>
          <w:rFonts w:ascii="Arial" w:hAnsi="Arial"/>
          <w:color w:val="525252"/>
          <w:sz w:val="13"/>
        </w:rPr>
        <w:t>Failure to document misconduct that deviates from the core values of the USAF is a disservice to all Airmen who serve with honor and distinction.</w:t>
      </w:r>
    </w:p>
    <w:p>
      <w:pPr>
        <w:spacing w:after="20" w:line="223" w:lineRule="auto"/>
        <w:jc w:val="right"/>
        <w:bidi/>
      </w:pPr>
      <w:r>
        <w:rPr>
          <w:rFonts w:ascii="Arial" w:hAnsi="Arial"/>
          <w:sz w:val="16"/>
        </w:rPr>
        <w:t>140.03  شرایطی که شامل محکومیت یا نقض قوانین جزایی است باید به‌طور مناسب و مطابق با زمان‌بندی و رویه‌های مورد نیاز رسیدگی شود.</w:t>
      </w:r>
    </w:p>
    <w:p>
      <w:pPr>
        <w:spacing w:after="28" w:line="216" w:lineRule="auto"/>
        <w:ind w:left="259"/>
        <w:jc w:val="left"/>
      </w:pPr>
      <w:r>
        <w:rPr>
          <w:rFonts w:ascii="Arial" w:hAnsi="Arial"/>
          <w:color w:val="525252"/>
          <w:sz w:val="13"/>
        </w:rPr>
        <w:t>Situations involving convictions or violations of criminal law must be handled appropriately and in accordance with required timelines and procedures.</w:t>
      </w:r>
    </w:p>
    <w:p>
      <w:pPr>
        <w:spacing w:after="20" w:line="223" w:lineRule="auto"/>
        <w:jc w:val="right"/>
        <w:bidi/>
      </w:pPr>
      <w:r>
        <w:rPr>
          <w:rFonts w:ascii="Arial" w:hAnsi="Arial"/>
          <w:sz w:val="16"/>
        </w:rPr>
        <w:t>140.04  در همه موارد، هنگامی که نظرات در ارزیابی عملکرد گنجانده می‌شود، باید مشخص باشد، رویداد و هرگونه اقدام اصلاحی انجام شده را مشخص کند.</w:t>
      </w:r>
    </w:p>
    <w:p>
      <w:pPr>
        <w:spacing w:after="28" w:line="216" w:lineRule="auto"/>
        <w:ind w:left="259"/>
        <w:jc w:val="left"/>
      </w:pPr>
      <w:r>
        <w:rPr>
          <w:rFonts w:ascii="Arial" w:hAnsi="Arial"/>
          <w:color w:val="525252"/>
          <w:sz w:val="13"/>
        </w:rPr>
        <w:t>In all cases, when comments are included in performance evaluations, they must be specific, outlining the event and any corrective action taken.</w:t>
      </w:r>
    </w:p>
    <w:p>
      <w:pPr>
        <w:spacing w:after="20" w:line="223" w:lineRule="auto"/>
        <w:jc w:val="right"/>
        <w:bidi/>
      </w:pPr>
      <w:r>
        <w:rPr>
          <w:rFonts w:ascii="Arial" w:hAnsi="Arial"/>
          <w:sz w:val="16"/>
        </w:rPr>
        <w:t>140.05  نظراتی مانند "رفتار نامناسب..." یا "اشتباه در قضاوت منجر به حادثه خارج از وظیفه..." بسیار مبهم هستند.</w:t>
      </w:r>
    </w:p>
    <w:p>
      <w:pPr>
        <w:spacing w:after="28" w:line="216" w:lineRule="auto"/>
        <w:ind w:left="259"/>
        <w:jc w:val="left"/>
      </w:pPr>
      <w:r>
        <w:rPr>
          <w:rFonts w:ascii="Arial" w:hAnsi="Arial"/>
          <w:color w:val="525252"/>
          <w:sz w:val="13"/>
        </w:rPr>
        <w:t>Comments, such as “conduct unbecoming…” or “an error in judgment led to an off-duty incident…,” are too vague.</w:t>
      </w:r>
    </w:p>
    <w:p>
      <w:pPr>
        <w:spacing w:after="20" w:line="223" w:lineRule="auto"/>
        <w:jc w:val="right"/>
        <w:bidi/>
      </w:pPr>
      <w:r>
        <w:rPr>
          <w:rFonts w:ascii="Arial" w:hAnsi="Arial"/>
          <w:sz w:val="16"/>
        </w:rPr>
        <w:t>140.06  نمونه‌هایی از نظرات معتبر عبارتند از: «استاد گروهبان اسمیت در حالت مستی رانندگی می‌کرد، که به خاطر آن ماده ۱۵ دریافت کرد» و «کاپیتان جونز نظرات نامناسب جنسی و آزاردهنده‌ای را به یکی از اعضای اسکادران ارائه کرد که به خاطر آن نامه توبیخ دریافت کرد». برخی از جنبه‌های عملکردی که ممکن است لازم باشد هنگام تهیه ارزیابی دقیق رفتار در نظر گرفته شوند عبارتند از: تأثیر سوء رفتار بر USAF به‌عنوان یک مؤسسه (آیا باعث بی اعتباری USAF شد؟).</w:t>
      </w:r>
    </w:p>
    <w:p>
      <w:pPr>
        <w:spacing w:after="28" w:line="216" w:lineRule="auto"/>
        <w:ind w:left="259"/>
        <w:jc w:val="left"/>
      </w:pPr>
      <w:r>
        <w:rPr>
          <w:rFonts w:ascii="Arial" w:hAnsi="Arial"/>
          <w:color w:val="525252"/>
          <w:sz w:val="13"/>
        </w:rPr>
        <w:t>Examples of valid comments are “Master Sergeant Smith drove while intoxicated, for which he received an Article 15” and “Captain Jones made improper sexually suggestive and harassing comments to a squadron member, for which he received a Letter of Reprimand.” Some aspects of performance that may need to be considered when preparing an accurate assessment of behavior include: Impact of the misconduct on the USAF as an institution (Did it bring discredit on the USAF?).</w:t>
      </w:r>
    </w:p>
    <w:p>
      <w:pPr>
        <w:spacing w:after="20" w:line="223" w:lineRule="auto"/>
        <w:jc w:val="right"/>
        <w:bidi/>
      </w:pPr>
      <w:r>
        <w:rPr>
          <w:rFonts w:ascii="Arial" w:hAnsi="Arial"/>
          <w:sz w:val="16"/>
        </w:rPr>
        <w:t>140.07  تأثیر سوء رفتار بر و رابطه آن با وظایف نرخ‌گذار (آیا بر توانایی نرخ‌گیرنده در انجام وظایف محوله تأثیر گذاشته است؟).</w:t>
      </w:r>
    </w:p>
    <w:p>
      <w:pPr>
        <w:spacing w:after="28" w:line="216" w:lineRule="auto"/>
        <w:ind w:left="259"/>
        <w:jc w:val="left"/>
      </w:pPr>
      <w:r>
        <w:rPr>
          <w:rFonts w:ascii="Arial" w:hAnsi="Arial"/>
          <w:color w:val="525252"/>
          <w:sz w:val="13"/>
        </w:rPr>
        <w:t>Impact of the misconduct on, and its relationship to, the ratee’s duties (Did it affect the ratee’s ability to fulfill assigned duties?).</w:t>
      </w:r>
    </w:p>
    <w:p>
      <w:pPr>
        <w:spacing w:after="20" w:line="223" w:lineRule="auto"/>
        <w:jc w:val="right"/>
        <w:bidi/>
      </w:pPr>
      <w:r>
        <w:rPr>
          <w:rFonts w:ascii="Arial" w:hAnsi="Arial"/>
          <w:sz w:val="16"/>
        </w:rPr>
        <w:t>140.08  تأثیر سوء رفتار بر مأموریت USAF (آیا این مأموریت به هیچ وجه آسیب دیده است؟</w:t>
      </w:r>
    </w:p>
    <w:p>
      <w:pPr>
        <w:spacing w:after="28" w:line="216" w:lineRule="auto"/>
        <w:ind w:left="259"/>
        <w:jc w:val="left"/>
      </w:pPr>
      <w:r>
        <w:rPr>
          <w:rFonts w:ascii="Arial" w:hAnsi="Arial"/>
          <w:color w:val="525252"/>
          <w:sz w:val="13"/>
        </w:rPr>
        <w:t>Impact of the misconduct on the USAF mission (Did the mission suffer in any way?</w:t>
      </w:r>
    </w:p>
    <w:p>
      <w:pPr>
        <w:spacing w:after="20" w:line="223" w:lineRule="auto"/>
        <w:jc w:val="right"/>
        <w:bidi/>
      </w:pPr>
      <w:r>
        <w:rPr>
          <w:rFonts w:ascii="Arial" w:hAnsi="Arial"/>
          <w:sz w:val="16"/>
        </w:rPr>
        <w:t>140.09  آیا روحیه واحد تحت تأثیر قرار گرفت؟).</w:t>
      </w:r>
    </w:p>
    <w:p>
      <w:pPr>
        <w:spacing w:after="28" w:line="216" w:lineRule="auto"/>
        <w:ind w:left="259"/>
        <w:jc w:val="left"/>
      </w:pPr>
      <w:r>
        <w:rPr>
          <w:rFonts w:ascii="Arial" w:hAnsi="Arial"/>
          <w:color w:val="525252"/>
          <w:sz w:val="13"/>
        </w:rPr>
        <w:t>Was unit morale affected?).</w:t>
      </w:r>
    </w:p>
    <w:p>
      <w:pPr>
        <w:spacing w:after="20" w:line="223" w:lineRule="auto"/>
        <w:jc w:val="right"/>
        <w:bidi/>
      </w:pPr>
      <w:r>
        <w:rPr>
          <w:rFonts w:ascii="Arial" w:hAnsi="Arial"/>
          <w:sz w:val="16"/>
        </w:rPr>
        <w:t>140.10  درجه، تکلیف و تجربه نرخ (آیا امتیاز در شغل حساسی است؟</w:t>
      </w:r>
    </w:p>
    <w:p>
      <w:pPr>
        <w:spacing w:after="28" w:line="216" w:lineRule="auto"/>
        <w:ind w:left="259"/>
        <w:jc w:val="left"/>
      </w:pPr>
      <w:r>
        <w:rPr>
          <w:rFonts w:ascii="Arial" w:hAnsi="Arial"/>
          <w:color w:val="525252"/>
          <w:sz w:val="13"/>
        </w:rPr>
        <w:t>Grade, assignment, and experience of the ratee (Is the ratee in a sensitive job?</w:t>
      </w:r>
    </w:p>
    <w:p>
      <w:pPr>
        <w:spacing w:after="20" w:line="223" w:lineRule="auto"/>
        <w:jc w:val="right"/>
        <w:bidi/>
      </w:pPr>
      <w:r>
        <w:rPr>
          <w:rFonts w:ascii="Arial" w:hAnsi="Arial"/>
          <w:sz w:val="16"/>
        </w:rPr>
        <w:t>140.11  آیا نرخ‌گذار بهتر می‌دانست؟).</w:t>
      </w:r>
    </w:p>
    <w:p>
      <w:pPr>
        <w:spacing w:after="28" w:line="216" w:lineRule="auto"/>
        <w:ind w:left="259"/>
        <w:jc w:val="left"/>
      </w:pPr>
      <w:r>
        <w:rPr>
          <w:rFonts w:ascii="Arial" w:hAnsi="Arial"/>
          <w:color w:val="525252"/>
          <w:sz w:val="13"/>
        </w:rPr>
        <w:t>Did the ratee know better?).</w:t>
      </w:r>
    </w:p>
    <w:p>
      <w:pPr>
        <w:spacing w:after="20" w:line="223" w:lineRule="auto"/>
        <w:jc w:val="right"/>
        <w:bidi/>
      </w:pPr>
      <w:r>
        <w:rPr>
          <w:rFonts w:ascii="Arial" w:hAnsi="Arial"/>
          <w:sz w:val="16"/>
        </w:rPr>
        <w:t>140.12  تعداد تخلفات جداگانه و دفعات تخلف (آیا این یک حادثه منفرد است یا مکرر؟).</w:t>
      </w:r>
    </w:p>
    <w:p>
      <w:pPr>
        <w:spacing w:after="28" w:line="216" w:lineRule="auto"/>
        <w:ind w:left="259"/>
        <w:jc w:val="left"/>
      </w:pPr>
      <w:r>
        <w:rPr>
          <w:rFonts w:ascii="Arial" w:hAnsi="Arial"/>
          <w:color w:val="525252"/>
          <w:sz w:val="13"/>
        </w:rPr>
        <w:t>Number of separate violations and frequency of the misconduct (Is this an isolated or repeated incident?).</w:t>
      </w:r>
    </w:p>
    <w:p>
      <w:pPr>
        <w:spacing w:after="20" w:line="223" w:lineRule="auto"/>
        <w:jc w:val="right"/>
        <w:bidi/>
      </w:pPr>
      <w:r>
        <w:rPr>
          <w:rFonts w:ascii="Arial" w:hAnsi="Arial"/>
          <w:sz w:val="16"/>
        </w:rPr>
        <w:t>140.13  عواقب سوء رفتار (آیا منجر به مرگ، جراحت یا از دست دادن/آسیب رساندن به اموال نظامی یا غیرنظامی شده است؟).</w:t>
      </w:r>
    </w:p>
    <w:p>
      <w:pPr>
        <w:spacing w:after="28" w:line="216" w:lineRule="auto"/>
        <w:ind w:left="259"/>
        <w:jc w:val="left"/>
      </w:pPr>
      <w:r>
        <w:rPr>
          <w:rFonts w:ascii="Arial" w:hAnsi="Arial"/>
          <w:color w:val="525252"/>
          <w:sz w:val="13"/>
        </w:rPr>
        <w:t>Consequences of the misconduct (Did it result in death, injury, or loss of/damage to military or civilian property?).</w:t>
      </w:r>
    </w:p>
    <w:p>
      <w:pPr>
        <w:spacing w:after="20" w:line="223" w:lineRule="auto"/>
        <w:jc w:val="right"/>
        <w:bidi/>
      </w:pPr>
      <w:r>
        <w:rPr>
          <w:rFonts w:ascii="Arial" w:hAnsi="Arial"/>
          <w:sz w:val="16"/>
        </w:rPr>
        <w:t>140.14  سایر اعمال خلاف مشابه در طول دوره گزارش (آیا نرخ بهره الگوی سوء رفتار را ایجاد می‌کند؟).</w:t>
      </w:r>
    </w:p>
    <w:p>
      <w:pPr>
        <w:spacing w:after="28" w:line="216" w:lineRule="auto"/>
        <w:ind w:left="259"/>
        <w:jc w:val="left"/>
      </w:pPr>
      <w:r>
        <w:rPr>
          <w:rFonts w:ascii="Arial" w:hAnsi="Arial"/>
          <w:color w:val="525252"/>
          <w:sz w:val="13"/>
        </w:rPr>
        <w:t>Other dissimilar acts of misconduct during the reporting period (Is the ratee establishing a pattern of misconduct?).</w:t>
      </w:r>
    </w:p>
    <w:p>
      <w:pPr>
        <w:spacing w:after="20" w:line="223" w:lineRule="auto"/>
        <w:jc w:val="right"/>
        <w:bidi/>
      </w:pPr>
      <w:r>
        <w:rPr>
          <w:rFonts w:ascii="Arial" w:hAnsi="Arial"/>
          <w:sz w:val="16"/>
        </w:rPr>
        <w:t>140.15  وجود شرایط منحصربفرد، غیرعادی یا تخفیف‌دهنده (آیا سوء رفتار عمدی و غیرقابل تحریک بوده یا عوامل یا رویدادهای تشدیدکننده‌ای وجود داشته است؟).</w:t>
      </w:r>
    </w:p>
    <w:p>
      <w:pPr>
        <w:spacing w:after="28" w:line="216" w:lineRule="auto"/>
        <w:ind w:left="259"/>
        <w:jc w:val="left"/>
      </w:pPr>
      <w:r>
        <w:rPr>
          <w:rFonts w:ascii="Arial" w:hAnsi="Arial"/>
          <w:color w:val="525252"/>
          <w:sz w:val="13"/>
        </w:rPr>
        <w:t>Existence of unique, unusual, or extenuating circumstances (Was the misconduct willful and unprovoked or were there aggravating factors or events?).</w:t>
      </w:r>
    </w:p>
    <w:p>
      <w:pPr>
        <w:spacing w:after="20" w:line="223" w:lineRule="auto"/>
        <w:jc w:val="right"/>
        <w:bidi/>
      </w:pPr>
      <w:r>
        <w:rPr>
          <w:rFonts w:ascii="Arial" w:hAnsi="Arial"/>
          <w:sz w:val="16"/>
        </w:rPr>
        <w:t>140.16  اقدامات نامطلوب.</w:t>
      </w:r>
    </w:p>
    <w:p>
      <w:pPr>
        <w:spacing w:after="28" w:line="216" w:lineRule="auto"/>
        <w:ind w:left="259"/>
        <w:jc w:val="left"/>
      </w:pPr>
      <w:r>
        <w:rPr>
          <w:rFonts w:ascii="Arial" w:hAnsi="Arial"/>
          <w:color w:val="525252"/>
          <w:sz w:val="13"/>
        </w:rPr>
        <w:t>Adverse Actions.</w:t>
      </w:r>
    </w:p>
    <w:p>
      <w:pPr>
        <w:spacing w:after="20" w:line="223" w:lineRule="auto"/>
        <w:jc w:val="right"/>
        <w:bidi/>
      </w:pPr>
      <w:r>
        <w:rPr>
          <w:rFonts w:ascii="Arial" w:hAnsi="Arial"/>
          <w:sz w:val="16"/>
        </w:rPr>
        <w:t>140.17  برای هدف این سیاست، اقدام نامطلوب شامل جرایم غیرنظامی یا محکومیت‌های قابل گزارش می‌شود، به غیر از محکومیت‌های تخلفات وسایل نقلیه موتوری که نیازی به حضور در دادگاه ندارند.</w:t>
      </w:r>
    </w:p>
    <w:p>
      <w:pPr>
        <w:spacing w:after="28" w:line="216" w:lineRule="auto"/>
        <w:ind w:left="259"/>
        <w:jc w:val="left"/>
      </w:pPr>
      <w:r>
        <w:rPr>
          <w:rFonts w:ascii="Arial" w:hAnsi="Arial"/>
          <w:color w:val="525252"/>
          <w:sz w:val="13"/>
        </w:rPr>
        <w:t>For the purpose of this policy, an adverse action includes reportable civilian offenses or convictions, other than convictions for motor vehicle violations that do not require a court appearance.</w:t>
      </w:r>
    </w:p>
    <w:p>
      <w:pPr>
        <w:spacing w:after="20" w:line="223" w:lineRule="auto"/>
        <w:jc w:val="right"/>
        <w:bidi/>
      </w:pPr>
      <w:r>
        <w:rPr>
          <w:rFonts w:ascii="Arial" w:hAnsi="Arial"/>
          <w:sz w:val="16"/>
        </w:rPr>
        <w:t>140.18  به‌طور خاص، محکومیت‌هایی که باید گزارش شوند عبارتند از: ۱) هرگونه احراز گناه؛ ۲) هرگونه اقرار به گناه؛ ۳) هرگونه ادعای عدم رقابت یا نولو مدعی. ۴) هرگونه اعتراف به گناه در ازای تعویق تعقیب قضایی یا برنامه انحراف. یا ۵) سایر موارد مشابه در مورد اتهامات جنایی غیرنظامی.</w:t>
      </w:r>
    </w:p>
    <w:p>
      <w:pPr>
        <w:spacing w:after="28" w:line="216" w:lineRule="auto"/>
        <w:ind w:left="259"/>
        <w:jc w:val="left"/>
      </w:pPr>
      <w:r>
        <w:rPr>
          <w:rFonts w:ascii="Arial" w:hAnsi="Arial"/>
          <w:color w:val="525252"/>
          <w:sz w:val="13"/>
        </w:rPr>
        <w:t>Specifically, convictions required to be reported include: 1) any finding of guilt; 2) any plea of guilty; 3) any plea of no contest or nolo contendere; 4) any plea of guilty in exchange for a deferred prosecution or diversion program; or 5) any other similar disposition of civilian criminal charges.</w:t>
      </w:r>
    </w:p>
    <w:p>
      <w:pPr>
        <w:spacing w:after="20" w:line="223" w:lineRule="auto"/>
        <w:jc w:val="right"/>
        <w:bidi/>
      </w:pPr>
      <w:r>
        <w:rPr>
          <w:rFonts w:ascii="Arial" w:hAnsi="Arial"/>
          <w:sz w:val="16"/>
        </w:rPr>
        <w:t>140.19  در صورتی که یک فرمانده یا مقام مجری قانون نظامی اطلاعاتی دریافت کند که یکی از اعضای USAF تحت صلاحیت اداره نظامی دیگر مشمول محکومیتی شده است که در این بخش گزارشی برای آن لازم است، فرمانده یا مقام انتظامی نظامی که چنین اطلاعاتی را دریافت می‌کند باید آن را به فرمانده فوری آن عضو ارسال کند.</w:t>
      </w:r>
    </w:p>
    <w:p>
      <w:pPr>
        <w:spacing w:after="28" w:line="216" w:lineRule="auto"/>
        <w:ind w:left="259"/>
        <w:jc w:val="left"/>
      </w:pPr>
      <w:r>
        <w:rPr>
          <w:rFonts w:ascii="Arial" w:hAnsi="Arial"/>
          <w:color w:val="525252"/>
          <w:sz w:val="13"/>
        </w:rPr>
        <w:t>In the event a commander or military law-enforcement official receives information that a member of the USAF, under the jurisdiction of another military department, has become subject to a conviction for which a report is required by this section, the commander or military law- enforcement official receiving such information shall forward it to the member’s immediate commander.</w:t>
      </w:r>
    </w:p>
    <w:p>
      <w:pPr>
        <w:spacing w:after="20" w:line="223" w:lineRule="auto"/>
        <w:jc w:val="right"/>
        <w:bidi/>
      </w:pPr>
      <w:r>
        <w:rPr>
          <w:rFonts w:ascii="Arial" w:hAnsi="Arial"/>
          <w:sz w:val="16"/>
        </w:rPr>
        <w:t>140.20  شکایات مربوط به جرایم جنسی علیه یک عضو، بدون در نظر گرفتن درجه، که منجر به محکومیت دادگاه نظامی، مجازات غیرقضایی، یا اقدام اداری نامطلوب می‌شود، مستلزم ذکر اجباری در گزارش عملکرد بعدی عضو یا گزارش آموزشی و فرم توصیه ارتقاء است (اگر پیش‌تر در ارزیابی یا سابقه دادگاه نظامی در انتخاب ثبت نشده باشد).</w:t>
      </w:r>
    </w:p>
    <w:p>
      <w:pPr>
        <w:spacing w:after="28" w:line="216" w:lineRule="auto"/>
        <w:ind w:left="259"/>
        <w:jc w:val="left"/>
      </w:pPr>
      <w:r>
        <w:rPr>
          <w:rFonts w:ascii="Arial" w:hAnsi="Arial"/>
          <w:color w:val="525252"/>
          <w:sz w:val="13"/>
        </w:rPr>
        <w:t>Complaints of sex-related offenses against a member, regardless of grade, resulting in conviction by court-martial, non-judicial punishment, or adverse administrative action, require a mandatory notation on the member’s next performance report or training report and promotion recommendation form (if not already documented on an evaluation or court-martial in the selection record).</w:t>
      </w:r>
    </w:p>
    <w:p>
      <w:pPr>
        <w:spacing w:after="20" w:line="223" w:lineRule="auto"/>
        <w:jc w:val="right"/>
        <w:bidi/>
      </w:pPr>
      <w:r>
        <w:rPr>
          <w:rFonts w:ascii="Arial" w:hAnsi="Arial"/>
          <w:sz w:val="16"/>
        </w:rPr>
        <w:t>140.21  جرائم مربوط به جنس شامل نقض قانون یکسان عدالت نظامی یا تلاش برای ارتکاب جرایم مرتبط است.</w:t>
      </w:r>
    </w:p>
    <w:p>
      <w:pPr>
        <w:spacing w:after="28" w:line="216" w:lineRule="auto"/>
        <w:ind w:left="259"/>
        <w:jc w:val="left"/>
      </w:pPr>
      <w:r>
        <w:rPr>
          <w:rFonts w:ascii="Arial" w:hAnsi="Arial"/>
          <w:color w:val="525252"/>
          <w:sz w:val="13"/>
        </w:rPr>
        <w:t>Sex-related offenses include violations of the Uniform Code of Military Justice or attempts to commit related offenses.</w:t>
      </w:r>
    </w:p>
    <w:p>
      <w:r>
        <w:br w:type="page"/>
      </w:r>
    </w:p>
    <w:p>
      <w:pPr>
        <w:spacing w:after="60"/>
        <w:jc w:val="right"/>
        <w:bidi/>
      </w:pPr>
      <w:r>
        <w:rPr>
          <w:rFonts w:ascii="Arial" w:hAnsi="Arial"/>
          <w:b/>
          <w:color w:val="1F4D78"/>
          <w:sz w:val="19"/>
        </w:rPr>
        <w:t>هفتهٔ 141  |  صفحهٔ منبع: 157</w:t>
      </w:r>
    </w:p>
    <w:p>
      <w:pPr>
        <w:spacing w:after="20" w:line="223" w:lineRule="auto"/>
        <w:jc w:val="right"/>
        <w:bidi/>
      </w:pPr>
      <w:r>
        <w:rPr>
          <w:rFonts w:ascii="Arial" w:hAnsi="Arial"/>
          <w:sz w:val="16"/>
        </w:rPr>
        <w:t>141.01  اگر عضوی توسط دادگاه نظامی محکوم شده باشد یا اگر رتبه‌دهنده ارشد تصمیم به ثبت هرگونه اطلاعات نامطلوب در سوابق انتخابی یک هوانورد داشته باشد، نظرات مربوط به رفتار نرخ‌گذار در گزارش عملکرد بعدی یا آموزش و فرم توصیه ارتقای امتیازدهنده الزامی است (اگر پیش‌تر در ارزیابی یا سابقه انتخاب در دادگاه نظامی مستند نشده باشد).</w:t>
      </w:r>
    </w:p>
    <w:p>
      <w:pPr>
        <w:spacing w:after="28" w:line="216" w:lineRule="auto"/>
        <w:ind w:left="259"/>
        <w:jc w:val="left"/>
      </w:pPr>
      <w:r>
        <w:rPr>
          <w:rFonts w:ascii="Arial" w:hAnsi="Arial"/>
          <w:color w:val="525252"/>
          <w:sz w:val="13"/>
        </w:rPr>
        <w:t>If a member has been convicted by a court-martial or if the senior rater decides to file any adverse information in an Airman’s selection record, comments relating to the ratee’s behavior are mandatory on the ratee’s next performance or training report and promotion recommendation form (if not already documented on an evaluation or court-martial in the selection record).</w:t>
      </w:r>
    </w:p>
    <w:p>
      <w:pPr>
        <w:spacing w:after="20" w:line="223" w:lineRule="auto"/>
        <w:jc w:val="right"/>
        <w:bidi/>
      </w:pPr>
      <w:r>
        <w:rPr>
          <w:rFonts w:ascii="Arial" w:hAnsi="Arial"/>
          <w:sz w:val="16"/>
        </w:rPr>
        <w:t>141.02  ارزیابی به یک ارجاع برای گزارش عملکرد یا گزارش آموزشی تبدیل می‌شود.</w:t>
      </w:r>
    </w:p>
    <w:p>
      <w:pPr>
        <w:spacing w:after="28" w:line="216" w:lineRule="auto"/>
        <w:ind w:left="259"/>
        <w:jc w:val="left"/>
      </w:pPr>
      <w:r>
        <w:rPr>
          <w:rFonts w:ascii="Arial" w:hAnsi="Arial"/>
          <w:color w:val="525252"/>
          <w:sz w:val="13"/>
        </w:rPr>
        <w:t>The evaluation becomes a referral for the performance report or training report.</w:t>
      </w:r>
    </w:p>
    <w:p>
      <w:pPr>
        <w:spacing w:after="20" w:line="223" w:lineRule="auto"/>
        <w:jc w:val="right"/>
        <w:bidi/>
      </w:pPr>
      <w:r>
        <w:rPr>
          <w:rFonts w:ascii="Arial" w:hAnsi="Arial"/>
          <w:sz w:val="16"/>
        </w:rPr>
        <w:t>141.03  موارد فوق‌العاده.</w:t>
      </w:r>
    </w:p>
    <w:p>
      <w:pPr>
        <w:spacing w:after="28" w:line="216" w:lineRule="auto"/>
        <w:ind w:left="259"/>
        <w:jc w:val="left"/>
      </w:pPr>
      <w:r>
        <w:rPr>
          <w:rFonts w:ascii="Arial" w:hAnsi="Arial"/>
          <w:color w:val="525252"/>
          <w:sz w:val="13"/>
        </w:rPr>
        <w:t>Extraordinary Cases.</w:t>
      </w:r>
    </w:p>
    <w:p>
      <w:pPr>
        <w:spacing w:after="20" w:line="223" w:lineRule="auto"/>
        <w:jc w:val="right"/>
        <w:bidi/>
      </w:pPr>
      <w:r>
        <w:rPr>
          <w:rFonts w:ascii="Arial" w:hAnsi="Arial"/>
          <w:sz w:val="16"/>
        </w:rPr>
        <w:t>141.04  ارزیاب‌ها می‌توانند تقاضای چشم پوشی از الزام اجباری مستندسازی محکومیت‌های غیرنظامی به دلایل خوب را داشته باشند.</w:t>
      </w:r>
    </w:p>
    <w:p>
      <w:pPr>
        <w:spacing w:after="28" w:line="216" w:lineRule="auto"/>
        <w:ind w:left="259"/>
        <w:jc w:val="left"/>
      </w:pPr>
      <w:r>
        <w:rPr>
          <w:rFonts w:ascii="Arial" w:hAnsi="Arial"/>
          <w:color w:val="525252"/>
          <w:sz w:val="13"/>
        </w:rPr>
        <w:t>Raters may request a waiver of the mandatory requirement to document civilian convictions for good cause.</w:t>
      </w:r>
    </w:p>
    <w:p>
      <w:pPr>
        <w:spacing w:after="20" w:line="223" w:lineRule="auto"/>
        <w:jc w:val="right"/>
        <w:bidi/>
      </w:pPr>
      <w:r>
        <w:rPr>
          <w:rFonts w:ascii="Arial" w:hAnsi="Arial"/>
          <w:sz w:val="16"/>
        </w:rPr>
        <w:t>141.05  درخواست معافیت از رتبه‌دهنده، از طریق هر رتبه‌دهنده اضافی مورد نیاز و فرمانده امتیازدهنده، به رتبه‌دهنده ارشد نرخ‌دهنده هدایت می‌شود، و در صورت تأیید، به فرمانده اصلی یا مرجع تأیید نهایی مجاز ارسال می‌شود.</w:t>
      </w:r>
    </w:p>
    <w:p>
      <w:pPr>
        <w:spacing w:after="28" w:line="216" w:lineRule="auto"/>
        <w:ind w:left="259"/>
        <w:jc w:val="left"/>
      </w:pPr>
      <w:r>
        <w:rPr>
          <w:rFonts w:ascii="Arial" w:hAnsi="Arial"/>
          <w:color w:val="525252"/>
          <w:sz w:val="13"/>
        </w:rPr>
        <w:t>The waiver request will route from the rater, through any required additional rater and the ratee’s commander, to the ratee’s senior rater, and, if endorsed, be forwarded to the major command commander, or authorized final approval authority.</w:t>
      </w:r>
    </w:p>
    <w:p>
      <w:r>
        <w:br w:type="page"/>
      </w:r>
    </w:p>
    <w:p>
      <w:pPr>
        <w:spacing w:after="60"/>
        <w:jc w:val="right"/>
        <w:bidi/>
      </w:pPr>
      <w:r>
        <w:rPr>
          <w:rFonts w:ascii="Arial" w:hAnsi="Arial"/>
          <w:b/>
          <w:color w:val="1F4D78"/>
          <w:sz w:val="19"/>
        </w:rPr>
        <w:t>هفتهٔ 142  |  صفحهٔ منبع: 158</w:t>
      </w:r>
    </w:p>
    <w:p>
      <w:pPr>
        <w:spacing w:before="60" w:after="28"/>
        <w:jc w:val="right"/>
        <w:bidi/>
      </w:pPr>
      <w:r>
        <w:rPr>
          <w:b/>
          <w:color w:val="1F4D78"/>
          <w:sz w:val="18"/>
        </w:rPr>
        <w:t>بخش 8C - ثبت نام مجدد و ادامه</w:t>
      </w:r>
    </w:p>
    <w:p>
      <w:pPr>
        <w:spacing w:after="20"/>
        <w:ind w:left="259"/>
        <w:jc w:val="left"/>
      </w:pPr>
      <w:r>
        <w:rPr>
          <w:color w:val="555555"/>
          <w:sz w:val="12"/>
        </w:rPr>
        <w:t>Section 8C—Reenlistments and Continuation</w:t>
      </w:r>
    </w:p>
    <w:p>
      <w:pPr>
        <w:spacing w:before="60" w:after="28"/>
        <w:jc w:val="right"/>
        <w:bidi/>
      </w:pPr>
      <w:r>
        <w:rPr>
          <w:b/>
          <w:color w:val="1F4D78"/>
          <w:sz w:val="18"/>
        </w:rPr>
        <w:t>8.10. برنامه استخدام مجدد انتخابی</w:t>
      </w:r>
    </w:p>
    <w:p>
      <w:pPr>
        <w:spacing w:after="20"/>
        <w:ind w:left="259"/>
        <w:jc w:val="left"/>
      </w:pPr>
      <w:r>
        <w:rPr>
          <w:color w:val="555555"/>
          <w:sz w:val="12"/>
        </w:rPr>
        <w:t>8.10. Selective Reenlistment Program</w:t>
      </w:r>
    </w:p>
    <w:p>
      <w:pPr>
        <w:spacing w:after="20" w:line="223" w:lineRule="auto"/>
        <w:jc w:val="right"/>
        <w:bidi/>
      </w:pPr>
      <w:r>
        <w:rPr>
          <w:rFonts w:ascii="Arial" w:hAnsi="Arial"/>
          <w:sz w:val="16"/>
        </w:rPr>
        <w:t>142.03  برنامه سربازگیری مجدد انتخابی برای همه پرسنل ثبت‌نام شده اعمال می‌شود که توسط آن فرماندهان/غیر نظامیان، مدیران و سرپرستان هوانوردان دوره اول، دوره دوم و شغلی را ارزیابی می‌کنند تا اطمینان حاصل شود که USAF کسانی را که به‌طور مداوم توانایی و تمایل به حفظ استانداردهای حرفه‌ای بالا را نشان می‌دهند، حفظ می‌کند.</w:t>
      </w:r>
    </w:p>
    <w:p>
      <w:pPr>
        <w:spacing w:after="28" w:line="216" w:lineRule="auto"/>
        <w:ind w:left="259"/>
        <w:jc w:val="left"/>
      </w:pPr>
      <w:r>
        <w:rPr>
          <w:rFonts w:ascii="Arial" w:hAnsi="Arial"/>
          <w:color w:val="525252"/>
          <w:sz w:val="13"/>
        </w:rPr>
        <w:t>The Selective Reenlistment Program applies to all enlisted personnel by which commanders/civilians, directors, and supervisors evaluate first-term, second-term, and career Airmen to ensure the USAF retains those who consistently demonstrate the capability and willingness of maintaining high professional standards.</w:t>
      </w:r>
    </w:p>
    <w:p>
      <w:pPr>
        <w:spacing w:after="20" w:line="223" w:lineRule="auto"/>
        <w:jc w:val="right"/>
        <w:bidi/>
      </w:pPr>
      <w:r>
        <w:rPr>
          <w:rFonts w:ascii="Arial" w:hAnsi="Arial"/>
          <w:sz w:val="16"/>
        </w:rPr>
        <w:t>142.04  هوانوردان ترم اول زمانی که ظرف ۱۵ ماه از انقضای مدت خدمت خود بگذرند، در نظر گرفتن استخدام مجدد انتخابی دریافت می‌کنند.</w:t>
      </w:r>
    </w:p>
    <w:p>
      <w:pPr>
        <w:spacing w:after="28" w:line="216" w:lineRule="auto"/>
        <w:ind w:left="259"/>
        <w:jc w:val="left"/>
      </w:pPr>
      <w:r>
        <w:rPr>
          <w:rFonts w:ascii="Arial" w:hAnsi="Arial"/>
          <w:color w:val="525252"/>
          <w:sz w:val="13"/>
        </w:rPr>
        <w:t>First-term Airmen receive selective reenlistment consideration when they are within 15 months of their expiration of term of service.</w:t>
      </w:r>
    </w:p>
    <w:p>
      <w:pPr>
        <w:spacing w:after="20" w:line="223" w:lineRule="auto"/>
        <w:jc w:val="right"/>
        <w:bidi/>
      </w:pPr>
      <w:r>
        <w:rPr>
          <w:rFonts w:ascii="Arial" w:hAnsi="Arial"/>
          <w:sz w:val="16"/>
        </w:rPr>
        <w:t>142.05  هوانوردان ترم دوم و شغلی با کمتر از ۱۹ سال کل خدمت نظامی فدرال فعال، ظرف ۱۳ ماه از انقضای اصلی مدت خدمت در نظر گرفته می‌شوند.</w:t>
      </w:r>
    </w:p>
    <w:p>
      <w:pPr>
        <w:spacing w:after="28" w:line="216" w:lineRule="auto"/>
        <w:ind w:left="259"/>
        <w:jc w:val="left"/>
      </w:pPr>
      <w:r>
        <w:rPr>
          <w:rFonts w:ascii="Arial" w:hAnsi="Arial"/>
          <w:color w:val="525252"/>
          <w:sz w:val="13"/>
        </w:rPr>
        <w:t>Second-term and career Airmen with less than 19 years of total active federal military service are considered within 13 months of the original expiration of term of service.</w:t>
      </w:r>
    </w:p>
    <w:p>
      <w:pPr>
        <w:spacing w:after="20" w:line="223" w:lineRule="auto"/>
        <w:jc w:val="right"/>
        <w:bidi/>
      </w:pPr>
      <w:r>
        <w:rPr>
          <w:rFonts w:ascii="Arial" w:hAnsi="Arial"/>
          <w:sz w:val="16"/>
        </w:rPr>
        <w:t>142.06  هوانوردان شغلی در عرض ۱۳ ماه پس از تکمیل ۲۰ سال خدمت نظامی فعال فدرال، به استخدام مجدد انتخابی در نظر گرفته می‌شوند.</w:t>
      </w:r>
    </w:p>
    <w:p>
      <w:pPr>
        <w:spacing w:after="28" w:line="216" w:lineRule="auto"/>
        <w:ind w:left="259"/>
        <w:jc w:val="left"/>
      </w:pPr>
      <w:r>
        <w:rPr>
          <w:rFonts w:ascii="Arial" w:hAnsi="Arial"/>
          <w:color w:val="525252"/>
          <w:sz w:val="13"/>
        </w:rPr>
        <w:t>Career Airmen receive selective reenlistment consideration within 13 months of completing 20 years of total active federal military service.</w:t>
      </w:r>
    </w:p>
    <w:p>
      <w:pPr>
        <w:spacing w:after="20" w:line="223" w:lineRule="auto"/>
        <w:jc w:val="right"/>
        <w:bidi/>
      </w:pPr>
      <w:r>
        <w:rPr>
          <w:rFonts w:ascii="Arial" w:hAnsi="Arial"/>
          <w:sz w:val="16"/>
        </w:rPr>
        <w:t>142.07  هوانوردان شغلی که بیش از ۲۰ سال از کل خدمت فعال ارتش فدرال خدمت کرده‌اند، هر بار که ظرف ۱۳ ماه از انقضای دوره اصلی خدمت خود می‌گذرند، در نظر گرفته می‌شوند.</w:t>
      </w:r>
    </w:p>
    <w:p>
      <w:pPr>
        <w:spacing w:after="28" w:line="216" w:lineRule="auto"/>
        <w:ind w:left="259"/>
        <w:jc w:val="left"/>
      </w:pPr>
      <w:r>
        <w:rPr>
          <w:rFonts w:ascii="Arial" w:hAnsi="Arial"/>
          <w:color w:val="525252"/>
          <w:sz w:val="13"/>
        </w:rPr>
        <w:t>Career Airmen who have served beyond 20 years of total active federal military service receive selective reenlistment consideration each time they are within 13 months of their original expiration of term of service.</w:t>
      </w:r>
    </w:p>
    <w:p>
      <w:pPr>
        <w:spacing w:before="60" w:after="28"/>
        <w:jc w:val="right"/>
        <w:bidi/>
      </w:pPr>
      <w:r>
        <w:rPr>
          <w:b/>
          <w:color w:val="1F4D78"/>
          <w:sz w:val="18"/>
        </w:rPr>
        <w:t>8.11. ملاحظات برنامه استخدام مجدد انتخابی</w:t>
      </w:r>
    </w:p>
    <w:p>
      <w:pPr>
        <w:spacing w:after="20"/>
        <w:ind w:left="259"/>
        <w:jc w:val="left"/>
      </w:pPr>
      <w:r>
        <w:rPr>
          <w:color w:val="555555"/>
          <w:sz w:val="12"/>
        </w:rPr>
        <w:t>8.11. Selective Reenlistment Program Considerations</w:t>
      </w:r>
    </w:p>
    <w:p>
      <w:pPr>
        <w:spacing w:after="20" w:line="223" w:lineRule="auto"/>
        <w:jc w:val="right"/>
        <w:bidi/>
      </w:pPr>
      <w:r>
        <w:rPr>
          <w:rFonts w:ascii="Arial" w:hAnsi="Arial"/>
          <w:sz w:val="16"/>
        </w:rPr>
        <w:t>142.09  فرماندهان و مدیران غیرنظامی رتبه‌بندی‌های گزارش عملکرد ثبت‌شده، اطلاعات نامطلوب از هر منبع مستدل، تمایل هوانورد برای مطابقت با استانداردهای USAF و توانایی فرمانده (یا عدم وجود آن) برای برآورده کردن سطوح آموزشی مورد نیاز و عملکرد وظیفه را هنگام تعیین اینکه آیا عضوی می‌تواند مجددا عضو شود را در نظر می‌گیرند.</w:t>
      </w:r>
    </w:p>
    <w:p>
      <w:pPr>
        <w:spacing w:after="28" w:line="216" w:lineRule="auto"/>
        <w:ind w:left="259"/>
        <w:jc w:val="left"/>
      </w:pPr>
      <w:r>
        <w:rPr>
          <w:rFonts w:ascii="Arial" w:hAnsi="Arial"/>
          <w:color w:val="525252"/>
          <w:sz w:val="13"/>
        </w:rPr>
        <w:t>Commanders and civilian directors consider enlisted performance report ratings, unfavorable information from any substantiated source, the Airman’s willingness to comply with USAF standards, and the Airman’s ability (or lack thereof) to meet required training and duty performance levels when determining if a member may reenlist.</w:t>
      </w:r>
    </w:p>
    <w:p>
      <w:pPr>
        <w:spacing w:after="20" w:line="223" w:lineRule="auto"/>
        <w:jc w:val="right"/>
        <w:bidi/>
      </w:pPr>
      <w:r>
        <w:rPr>
          <w:rFonts w:ascii="Arial" w:hAnsi="Arial"/>
          <w:sz w:val="16"/>
        </w:rPr>
        <w:t>142.10  سرپرستان باید قبل از ارائه توصیه‌ای به فرماندهان واحد و مدیران غیرنظامی در مورد پتانسیل شغلی خلبان، عملکرد وظیفه‌ی خلبان را به‌دقت ارزیابی کنند و سوابق پرسنل او را بررسی کنند، تا فرم ۱۱۳۷ DAF، خلاصه فایل اطلاعات نامطلوب را، در صورت وجود، درج کنند.</w:t>
      </w:r>
    </w:p>
    <w:p>
      <w:pPr>
        <w:spacing w:after="28" w:line="216" w:lineRule="auto"/>
        <w:ind w:left="259"/>
        <w:jc w:val="left"/>
      </w:pPr>
      <w:r>
        <w:rPr>
          <w:rFonts w:ascii="Arial" w:hAnsi="Arial"/>
          <w:color w:val="525252"/>
          <w:sz w:val="13"/>
        </w:rPr>
        <w:t>Supervisors should carefully evaluate the Airman’s duty performance and review the Airman’s personnel records, to include the DAF Form 1137, Unfavorable Information File Summary, if applicable, before making a recommendation to unit commanders and civilian directors concerning the Airman’s career potential.</w:t>
      </w:r>
    </w:p>
    <w:p>
      <w:pPr>
        <w:spacing w:after="20" w:line="223" w:lineRule="auto"/>
        <w:jc w:val="right"/>
        <w:bidi/>
      </w:pPr>
      <w:r>
        <w:rPr>
          <w:rFonts w:ascii="Arial" w:hAnsi="Arial"/>
          <w:sz w:val="16"/>
        </w:rPr>
        <w:t>142.11  غیر منتخب.</w:t>
      </w:r>
    </w:p>
    <w:p>
      <w:pPr>
        <w:spacing w:after="28" w:line="216" w:lineRule="auto"/>
        <w:ind w:left="259"/>
        <w:jc w:val="left"/>
      </w:pPr>
      <w:r>
        <w:rPr>
          <w:rFonts w:ascii="Arial" w:hAnsi="Arial"/>
          <w:color w:val="525252"/>
          <w:sz w:val="13"/>
        </w:rPr>
        <w:t>Non-Selectee.</w:t>
      </w:r>
    </w:p>
    <w:p>
      <w:pPr>
        <w:spacing w:after="20" w:line="223" w:lineRule="auto"/>
        <w:jc w:val="right"/>
        <w:bidi/>
      </w:pPr>
      <w:r>
        <w:rPr>
          <w:rFonts w:ascii="Arial" w:hAnsi="Arial"/>
          <w:sz w:val="16"/>
        </w:rPr>
        <w:t>142.12  اگر هواپیمایی برای ثبت‌نام مجدد انتخاب نشده باشد، فرم ۴۱۸ DAF، بررسی / انکار ادامه خدمت برای هوانوردان، برنامه DAF مجددا (SRP) تکمیل می‌شود و هواپیمایی از تصمیم مطلع می‌شود.</w:t>
      </w:r>
    </w:p>
    <w:p>
      <w:pPr>
        <w:spacing w:after="28" w:line="216" w:lineRule="auto"/>
        <w:ind w:left="259"/>
        <w:jc w:val="left"/>
      </w:pPr>
      <w:r>
        <w:rPr>
          <w:rFonts w:ascii="Arial" w:hAnsi="Arial"/>
          <w:color w:val="525252"/>
          <w:sz w:val="13"/>
        </w:rPr>
        <w:t>If an Airman is not selected for reenlistment, an DAF Form 418, Selective Reenlistment Program (SRP) Consideration/Denial of Continued Service for Airmen, is completed, and the Airman is informed of the decision.</w:t>
      </w:r>
    </w:p>
    <w:p>
      <w:pPr>
        <w:spacing w:after="20" w:line="223" w:lineRule="auto"/>
        <w:jc w:val="right"/>
        <w:bidi/>
      </w:pPr>
      <w:r>
        <w:rPr>
          <w:rFonts w:ascii="Arial" w:hAnsi="Arial"/>
          <w:sz w:val="16"/>
        </w:rPr>
        <w:t>142.13  فرمانده پس از امضای ایرمن و پاراف بلوک‌های مربوطه، فرم تکمیل شده را به پرواز پرسنل نظامی ارسال می‌کند.</w:t>
      </w:r>
    </w:p>
    <w:p>
      <w:pPr>
        <w:spacing w:after="28" w:line="216" w:lineRule="auto"/>
        <w:ind w:left="259"/>
        <w:jc w:val="left"/>
      </w:pPr>
      <w:r>
        <w:rPr>
          <w:rFonts w:ascii="Arial" w:hAnsi="Arial"/>
          <w:color w:val="525252"/>
          <w:sz w:val="13"/>
        </w:rPr>
        <w:t>The commander sends the completed form to the military personnel flight after the Airman signs and initials the appropriate blocks.</w:t>
      </w:r>
    </w:p>
    <w:p>
      <w:pPr>
        <w:spacing w:after="20" w:line="223" w:lineRule="auto"/>
        <w:jc w:val="right"/>
        <w:bidi/>
      </w:pPr>
      <w:r>
        <w:rPr>
          <w:rFonts w:ascii="Arial" w:hAnsi="Arial"/>
          <w:sz w:val="16"/>
        </w:rPr>
        <w:t>142.14  فرمانده باید مطمئن شود که هوانورد حق اعتراض به تصمیم را درک کرده است.</w:t>
      </w:r>
    </w:p>
    <w:p>
      <w:pPr>
        <w:spacing w:after="28" w:line="216" w:lineRule="auto"/>
        <w:ind w:left="259"/>
        <w:jc w:val="left"/>
      </w:pPr>
      <w:r>
        <w:rPr>
          <w:rFonts w:ascii="Arial" w:hAnsi="Arial"/>
          <w:color w:val="525252"/>
          <w:sz w:val="13"/>
        </w:rPr>
        <w:t>The commander must make sure the Airman understands the right to appeal the decision.</w:t>
      </w:r>
    </w:p>
    <w:p>
      <w:pPr>
        <w:spacing w:after="20" w:line="223" w:lineRule="auto"/>
        <w:jc w:val="right"/>
        <w:bidi/>
      </w:pPr>
      <w:r>
        <w:rPr>
          <w:rFonts w:ascii="Arial" w:hAnsi="Arial"/>
          <w:sz w:val="16"/>
        </w:rPr>
        <w:t>142.15  هوانورد حداکثر تا سه روز تقویمی فرصت دارد تا قصد تجدید نظر را ارائه کند.</w:t>
      </w:r>
    </w:p>
    <w:p>
      <w:pPr>
        <w:spacing w:after="28" w:line="216" w:lineRule="auto"/>
        <w:ind w:left="259"/>
        <w:jc w:val="left"/>
      </w:pPr>
      <w:r>
        <w:rPr>
          <w:rFonts w:ascii="Arial" w:hAnsi="Arial"/>
          <w:color w:val="525252"/>
          <w:sz w:val="13"/>
        </w:rPr>
        <w:t>The Airman has up to three calendar days to render an appeal intent.</w:t>
      </w:r>
    </w:p>
    <w:p>
      <w:pPr>
        <w:spacing w:after="20" w:line="223" w:lineRule="auto"/>
        <w:jc w:val="right"/>
        <w:bidi/>
      </w:pPr>
      <w:r>
        <w:rPr>
          <w:rFonts w:ascii="Arial" w:hAnsi="Arial"/>
          <w:sz w:val="16"/>
        </w:rPr>
        <w:t>142.16  هوانورد باید ظرف ۱۰ روز تقویمی از تاریخی که درخواست تجدید نظر را در فرم ارائه می‌کند، درخواست تجدید نظر را به پرواز پرسنل نظامی ارسال کند.</w:t>
      </w:r>
    </w:p>
    <w:p>
      <w:pPr>
        <w:spacing w:after="28" w:line="216" w:lineRule="auto"/>
        <w:ind w:left="259"/>
        <w:jc w:val="left"/>
      </w:pPr>
      <w:r>
        <w:rPr>
          <w:rFonts w:ascii="Arial" w:hAnsi="Arial"/>
          <w:color w:val="525252"/>
          <w:sz w:val="13"/>
        </w:rPr>
        <w:t>The Airman must submit the appeal to the military personnel flight within 10 calendar days of the date he or she renders the appeal intent on the form.</w:t>
      </w:r>
    </w:p>
    <w:p>
      <w:pPr>
        <w:spacing w:after="20" w:line="223" w:lineRule="auto"/>
        <w:jc w:val="right"/>
        <w:bidi/>
      </w:pPr>
      <w:r>
        <w:rPr>
          <w:rFonts w:ascii="Arial" w:hAnsi="Arial"/>
          <w:sz w:val="16"/>
        </w:rPr>
        <w:t>142.17  مرجع تجدیدنظر.</w:t>
      </w:r>
    </w:p>
    <w:p>
      <w:pPr>
        <w:spacing w:after="28" w:line="216" w:lineRule="auto"/>
        <w:ind w:left="259"/>
        <w:jc w:val="left"/>
      </w:pPr>
      <w:r>
        <w:rPr>
          <w:rFonts w:ascii="Arial" w:hAnsi="Arial"/>
          <w:color w:val="525252"/>
          <w:sz w:val="13"/>
        </w:rPr>
        <w:t>Appeal Authority.</w:t>
      </w:r>
    </w:p>
    <w:p>
      <w:pPr>
        <w:spacing w:after="20" w:line="223" w:lineRule="auto"/>
        <w:jc w:val="right"/>
        <w:bidi/>
      </w:pPr>
      <w:r>
        <w:rPr>
          <w:rFonts w:ascii="Arial" w:hAnsi="Arial"/>
          <w:sz w:val="16"/>
        </w:rPr>
        <w:t>142.18  مرجع تجدیدنظر خاص بر اساس کل خدمات نظامی فدرال فعال یک هواپیمای هوایی است.</w:t>
      </w:r>
    </w:p>
    <w:p>
      <w:pPr>
        <w:spacing w:after="28" w:line="216" w:lineRule="auto"/>
        <w:ind w:left="259"/>
        <w:jc w:val="left"/>
      </w:pPr>
      <w:r>
        <w:rPr>
          <w:rFonts w:ascii="Arial" w:hAnsi="Arial"/>
          <w:color w:val="525252"/>
          <w:sz w:val="13"/>
        </w:rPr>
        <w:t>The specific appeal authority is based on an Airman’s total active federal military service.</w:t>
      </w:r>
    </w:p>
    <w:p>
      <w:pPr>
        <w:spacing w:after="20" w:line="223" w:lineRule="auto"/>
        <w:jc w:val="right"/>
        <w:bidi/>
      </w:pPr>
      <w:r>
        <w:rPr>
          <w:rFonts w:ascii="Arial" w:hAnsi="Arial"/>
          <w:sz w:val="16"/>
        </w:rPr>
        <w:t>142.19  مرجع تجدیدنظر برای هوانوردان دوره اول و هوانوردان حرفه‌ای که حداقل ۲۰ سال از کل خدمت نظامی فعال فدرال را در انقضای دوره خدمت درخواست تجدیدنظر در برنامه ثبت‌نام مجدد انتخابی خود به پایان می‌رسانند، فرمانده گروه مربوطه است.</w:t>
      </w:r>
    </w:p>
    <w:p>
      <w:pPr>
        <w:spacing w:after="28" w:line="216" w:lineRule="auto"/>
        <w:ind w:left="259"/>
        <w:jc w:val="left"/>
      </w:pPr>
      <w:r>
        <w:rPr>
          <w:rFonts w:ascii="Arial" w:hAnsi="Arial"/>
          <w:color w:val="525252"/>
          <w:sz w:val="13"/>
        </w:rPr>
        <w:t>The appeal authority for first-term Airmen and career Airmen who will complete at least 20 years of total active federal military service on their current expiration of term of service appeal selective reenlistment program non-selection is the respective group commander.</w:t>
      </w:r>
    </w:p>
    <w:p>
      <w:pPr>
        <w:spacing w:after="20" w:line="223" w:lineRule="auto"/>
        <w:jc w:val="right"/>
        <w:bidi/>
      </w:pPr>
      <w:r>
        <w:rPr>
          <w:rFonts w:ascii="Arial" w:hAnsi="Arial"/>
          <w:sz w:val="16"/>
        </w:rPr>
        <w:t>142.20  مرجع تجدیدنظر برای هوانوردان دوره دوم و شغلی که کمتر از ۱۶ سال از کل خدمت فعال نظامی فدرال را در انقضای دوره خدمت فعلی خود خواهند گذراند، فرمانده بال مربوطه است.</w:t>
      </w:r>
    </w:p>
    <w:p>
      <w:pPr>
        <w:spacing w:after="28" w:line="216" w:lineRule="auto"/>
        <w:ind w:left="259"/>
        <w:jc w:val="left"/>
      </w:pPr>
      <w:r>
        <w:rPr>
          <w:rFonts w:ascii="Arial" w:hAnsi="Arial"/>
          <w:color w:val="525252"/>
          <w:sz w:val="13"/>
        </w:rPr>
        <w:t>The appeal authority for second-term and career Airmen who will complete fewer than 16 years of total active federal military service on their current expiration of term of service is the respective wing commander.</w:t>
      </w:r>
    </w:p>
    <w:p>
      <w:pPr>
        <w:spacing w:after="20" w:line="223" w:lineRule="auto"/>
        <w:jc w:val="right"/>
        <w:bidi/>
      </w:pPr>
      <w:r>
        <w:rPr>
          <w:rFonts w:ascii="Arial" w:hAnsi="Arial"/>
          <w:sz w:val="16"/>
        </w:rPr>
        <w:t>142.21  مرجع تجدیدنظر برای هوانوردان دوره دوم و شغلی که حداقل ۱۶ سال از کل خدمت فعال ارتش فدرال را سپری می‌کنند اما در انقضای مدت خدمت فعلی آنها کمتر از ۲۰ سال از کل خدمت فعال نظامی فدرال را تکمیل می‌کنند، وزیر نیروی هوایی است.</w:t>
      </w:r>
    </w:p>
    <w:p>
      <w:pPr>
        <w:spacing w:after="28" w:line="216" w:lineRule="auto"/>
        <w:ind w:left="259"/>
        <w:jc w:val="left"/>
      </w:pPr>
      <w:r>
        <w:rPr>
          <w:rFonts w:ascii="Arial" w:hAnsi="Arial"/>
          <w:color w:val="525252"/>
          <w:sz w:val="13"/>
        </w:rPr>
        <w:t>The appeal authority for second-term and career Airmen who will complete at least 16 years of total active federal military service but fewer than 20 years of total active federal military service on their current expiration of term of service, is the Secretary of the Air Force.</w:t>
      </w:r>
    </w:p>
    <w:p>
      <w:pPr>
        <w:spacing w:after="20" w:line="223" w:lineRule="auto"/>
        <w:jc w:val="right"/>
        <w:bidi/>
      </w:pPr>
      <w:r>
        <w:rPr>
          <w:rFonts w:ascii="Arial" w:hAnsi="Arial"/>
          <w:sz w:val="16"/>
        </w:rPr>
        <w:t>142.22  رای مرجع تجدیدنظر قطعی است.</w:t>
      </w:r>
    </w:p>
    <w:p>
      <w:pPr>
        <w:spacing w:after="28" w:line="216" w:lineRule="auto"/>
        <w:ind w:left="259"/>
        <w:jc w:val="left"/>
      </w:pPr>
      <w:r>
        <w:rPr>
          <w:rFonts w:ascii="Arial" w:hAnsi="Arial"/>
          <w:color w:val="525252"/>
          <w:sz w:val="13"/>
        </w:rPr>
        <w:t>The decision of the appeal authority is final.</w:t>
      </w:r>
    </w:p>
    <w:p>
      <w:pPr>
        <w:spacing w:after="20" w:line="223" w:lineRule="auto"/>
        <w:jc w:val="right"/>
        <w:bidi/>
      </w:pPr>
      <w:r>
        <w:rPr>
          <w:rFonts w:ascii="Arial" w:hAnsi="Arial"/>
          <w:sz w:val="16"/>
        </w:rPr>
        <w:t>142.23  تصمیم مرجع تجدیدنظر مستند است و به هوانورد از نتیجه اطلاع داده می‌شود.</w:t>
      </w:r>
    </w:p>
    <w:p>
      <w:pPr>
        <w:spacing w:after="28" w:line="216" w:lineRule="auto"/>
        <w:ind w:left="259"/>
        <w:jc w:val="left"/>
      </w:pPr>
      <w:r>
        <w:rPr>
          <w:rFonts w:ascii="Arial" w:hAnsi="Arial"/>
          <w:color w:val="525252"/>
          <w:sz w:val="13"/>
        </w:rPr>
        <w:t>The appeal authority’s decision is documented, and the Airman is advised of the outcome.</w:t>
      </w:r>
    </w:p>
    <w:p>
      <w:pPr>
        <w:spacing w:after="20" w:line="223" w:lineRule="auto"/>
        <w:jc w:val="right"/>
        <w:bidi/>
      </w:pPr>
      <w:r>
        <w:rPr>
          <w:rFonts w:ascii="Arial" w:hAnsi="Arial"/>
          <w:sz w:val="16"/>
        </w:rPr>
        <w:t>142.24  فرماندهان همچنین می‌توانند در هر زمان خارج از پنجره استاندارد، بررسی ثبت‌نام مجدد انتخابی را انجام دهند.</w:t>
      </w:r>
    </w:p>
    <w:p>
      <w:pPr>
        <w:spacing w:after="28" w:line="216" w:lineRule="auto"/>
        <w:ind w:left="259"/>
        <w:jc w:val="left"/>
      </w:pPr>
      <w:r>
        <w:rPr>
          <w:rFonts w:ascii="Arial" w:hAnsi="Arial"/>
          <w:color w:val="525252"/>
          <w:sz w:val="13"/>
        </w:rPr>
        <w:t>Commanders may also conduct selective reenlistment consideration at any time outside the standardized window.</w:t>
      </w:r>
    </w:p>
    <w:p>
      <w:r>
        <w:br w:type="page"/>
      </w:r>
    </w:p>
    <w:p>
      <w:pPr>
        <w:spacing w:after="60"/>
        <w:jc w:val="right"/>
        <w:bidi/>
      </w:pPr>
      <w:r>
        <w:rPr>
          <w:rFonts w:ascii="Arial" w:hAnsi="Arial"/>
          <w:b/>
          <w:color w:val="1F4D78"/>
          <w:sz w:val="19"/>
        </w:rPr>
        <w:t>هفتهٔ 143  |  صفحهٔ منبع: 159</w:t>
      </w:r>
    </w:p>
    <w:p>
      <w:pPr>
        <w:spacing w:before="60" w:after="28"/>
        <w:jc w:val="right"/>
        <w:bidi/>
      </w:pPr>
      <w:r>
        <w:rPr>
          <w:b/>
          <w:color w:val="1F4D78"/>
          <w:sz w:val="18"/>
        </w:rPr>
        <w:t>8.12. برنامه وضعیت شغلی افسر غیر مأمور</w:t>
      </w:r>
    </w:p>
    <w:p>
      <w:pPr>
        <w:spacing w:after="20"/>
        <w:ind w:left="259"/>
        <w:jc w:val="left"/>
      </w:pPr>
      <w:r>
        <w:rPr>
          <w:color w:val="555555"/>
          <w:sz w:val="12"/>
        </w:rPr>
        <w:t>8.12. Noncommissioned Officer Career Status Program</w:t>
      </w:r>
    </w:p>
    <w:p>
      <w:pPr>
        <w:spacing w:after="20" w:line="223" w:lineRule="auto"/>
        <w:jc w:val="right"/>
        <w:bidi/>
      </w:pPr>
      <w:r>
        <w:rPr>
          <w:rFonts w:ascii="Arial" w:hAnsi="Arial"/>
          <w:sz w:val="16"/>
        </w:rPr>
        <w:t>143.02  برنامه وضعیت شغلی درجه‌دار مدت زمان ثبت‌نام مجدد را برای هوانوردان رگاف افزایش می‌دهد.</w:t>
      </w:r>
    </w:p>
    <w:p>
      <w:pPr>
        <w:spacing w:after="28" w:line="216" w:lineRule="auto"/>
        <w:ind w:left="259"/>
        <w:jc w:val="left"/>
      </w:pPr>
      <w:r>
        <w:rPr>
          <w:rFonts w:ascii="Arial" w:hAnsi="Arial"/>
          <w:color w:val="525252"/>
          <w:sz w:val="13"/>
        </w:rPr>
        <w:t>The Noncommissioned Officer Career Status Program extends the length of reenlistments for RegAF Airmen.</w:t>
      </w:r>
    </w:p>
    <w:p>
      <w:pPr>
        <w:spacing w:after="20" w:line="223" w:lineRule="auto"/>
        <w:jc w:val="right"/>
        <w:bidi/>
      </w:pPr>
      <w:r>
        <w:rPr>
          <w:rFonts w:ascii="Arial" w:hAnsi="Arial"/>
          <w:sz w:val="16"/>
        </w:rPr>
        <w:t>143.03  همه هوانوردانی که توسط فرمانده/مدیر غیرنظامی خود برای ادامه خدمت انتخاب شده‌اند (از جمله کسانی که معافیت‌های تأیید شده دارند) و در تاریخ ترخیص (روز قبل از ثبت‌نام مجدد) حداقل ۱۲ سال از خدمت سربازی فعال فدرال داشته‌اند، برای مدت نامشخصی مجددا ثبت‌نام می‌شوند.</w:t>
      </w:r>
    </w:p>
    <w:p>
      <w:pPr>
        <w:spacing w:after="28" w:line="216" w:lineRule="auto"/>
        <w:ind w:left="259"/>
        <w:jc w:val="left"/>
      </w:pPr>
      <w:r>
        <w:rPr>
          <w:rFonts w:ascii="Arial" w:hAnsi="Arial"/>
          <w:color w:val="525252"/>
          <w:sz w:val="13"/>
        </w:rPr>
        <w:t>All Airmen who have been selected for continued service by their commander/civilian director (to include those with approved waivers), and who have at least 12 years total active federal military service on date of discharge (day prior to reenlistment) will be reenlisted for an unspecified period.</w:t>
      </w:r>
    </w:p>
    <w:p>
      <w:pPr>
        <w:spacing w:after="20" w:line="223" w:lineRule="auto"/>
        <w:jc w:val="right"/>
        <w:bidi/>
      </w:pPr>
      <w:r>
        <w:rPr>
          <w:rFonts w:ascii="Arial" w:hAnsi="Arial"/>
          <w:sz w:val="16"/>
        </w:rPr>
        <w:t>143.04  این هوانوردان بر اساس درجه فعلی، یا در صورت ارتقاء، درجه پیش‌بینی شده، تا سال بالای خدمت خود خدمت خواهند کرد، مگر اینکه زودتر توسط خط‌مشی یا قانون USAF تحت برنامه وضعیت شغلی افسران پلیس تفکیک شوند.</w:t>
      </w:r>
    </w:p>
    <w:p>
      <w:pPr>
        <w:spacing w:after="28" w:line="216" w:lineRule="auto"/>
        <w:ind w:left="259"/>
        <w:jc w:val="left"/>
      </w:pPr>
      <w:r>
        <w:rPr>
          <w:rFonts w:ascii="Arial" w:hAnsi="Arial"/>
          <w:color w:val="525252"/>
          <w:sz w:val="13"/>
        </w:rPr>
        <w:t>These Airmen will serve up to their High Year of Tenure based on current grade, or if promoted, projected grade unless sooner separated by USAF policy or law under the NCO Career Status Program.</w:t>
      </w:r>
    </w:p>
    <w:p>
      <w:pPr>
        <w:spacing w:after="20" w:line="223" w:lineRule="auto"/>
        <w:jc w:val="right"/>
        <w:bidi/>
      </w:pPr>
      <w:r>
        <w:rPr>
          <w:rFonts w:ascii="Arial" w:hAnsi="Arial"/>
          <w:sz w:val="16"/>
        </w:rPr>
        <w:t>143.05  هوانوردانی که ۲۰ سال یا بیشتر از کل خدمت نظامی فعال فدرال را سپری می‌کنند، در صورت واجد شرایط بودن، می‌توانند حداکثر تا اولین روز ماه بعد از سال عالی تصدی، بازنشسته شوند.</w:t>
      </w:r>
    </w:p>
    <w:p>
      <w:pPr>
        <w:spacing w:after="28" w:line="216" w:lineRule="auto"/>
        <w:ind w:left="259"/>
        <w:jc w:val="left"/>
      </w:pPr>
      <w:r>
        <w:rPr>
          <w:rFonts w:ascii="Arial" w:hAnsi="Arial"/>
          <w:color w:val="525252"/>
          <w:sz w:val="13"/>
        </w:rPr>
        <w:t>Airmen who serve 20 or more years of total active federal military service may retire, if otherwise eligible, no later than the first day of the month following High Year of Tenure.</w:t>
      </w:r>
    </w:p>
    <w:p>
      <w:pPr>
        <w:spacing w:after="20" w:line="223" w:lineRule="auto"/>
        <w:jc w:val="right"/>
        <w:bidi/>
      </w:pPr>
      <w:r>
        <w:rPr>
          <w:rFonts w:ascii="Arial" w:hAnsi="Arial"/>
          <w:sz w:val="16"/>
        </w:rPr>
        <w:t>143.06  این برنامه روند ثبت‌نام مجدد و تمدید را ساده می‌کند و اقدامات اداری غیر ضروری را برای هوانوردان، زنجیره‌های سرپرست و پروازهای پرسنل نظامی کاهش می‌دهد.</w:t>
      </w:r>
    </w:p>
    <w:p>
      <w:pPr>
        <w:spacing w:after="28" w:line="216" w:lineRule="auto"/>
        <w:ind w:left="259"/>
        <w:jc w:val="left"/>
      </w:pPr>
      <w:r>
        <w:rPr>
          <w:rFonts w:ascii="Arial" w:hAnsi="Arial"/>
          <w:color w:val="525252"/>
          <w:sz w:val="13"/>
        </w:rPr>
        <w:t>This program streamlines the reenlistment and extension process and alleviates unnecessary administrative actions for Airmen, supervisor chains, and military personnel flights.</w:t>
      </w:r>
    </w:p>
    <w:p>
      <w:pPr>
        <w:spacing w:before="60" w:after="28"/>
        <w:jc w:val="right"/>
        <w:bidi/>
      </w:pPr>
      <w:r>
        <w:rPr>
          <w:b/>
          <w:color w:val="1F4D78"/>
          <w:sz w:val="18"/>
        </w:rPr>
        <w:t>8.13. برنامه رزرو شغل شغلی</w:t>
      </w:r>
    </w:p>
    <w:p>
      <w:pPr>
        <w:spacing w:after="20"/>
        <w:ind w:left="259"/>
        <w:jc w:val="left"/>
      </w:pPr>
      <w:r>
        <w:rPr>
          <w:color w:val="555555"/>
          <w:sz w:val="12"/>
        </w:rPr>
        <w:t>8.13. Career Job Reservation Program</w:t>
      </w:r>
    </w:p>
    <w:p>
      <w:pPr>
        <w:spacing w:after="20" w:line="223" w:lineRule="auto"/>
        <w:jc w:val="right"/>
        <w:bidi/>
      </w:pPr>
      <w:r>
        <w:rPr>
          <w:rFonts w:ascii="Arial" w:hAnsi="Arial"/>
          <w:sz w:val="16"/>
        </w:rPr>
        <w:t>143.08  به دلیل محدودیت‌های اندازه و ترکیب نیروی حرفه‌ای مختلف، مواقعی وجود دارد که USAF باید محدودیتی برای تعداد هوانوردان مجاز برای اولین بار که ممکن است دوباره ثبت‌نام کنند، تعیین کند.</w:t>
      </w:r>
    </w:p>
    <w:p>
      <w:pPr>
        <w:spacing w:after="28" w:line="216" w:lineRule="auto"/>
        <w:ind w:left="259"/>
        <w:jc w:val="left"/>
      </w:pPr>
      <w:r>
        <w:rPr>
          <w:rFonts w:ascii="Arial" w:hAnsi="Arial"/>
          <w:color w:val="525252"/>
          <w:sz w:val="13"/>
        </w:rPr>
        <w:t>Because of various career force size and composition restrictions, there are times when the USAF must place a limit on the number of authorized first-term Airmen who may reenlist.</w:t>
      </w:r>
    </w:p>
    <w:p>
      <w:pPr>
        <w:spacing w:after="20" w:line="223" w:lineRule="auto"/>
        <w:jc w:val="right"/>
        <w:bidi/>
      </w:pPr>
      <w:r>
        <w:rPr>
          <w:rFonts w:ascii="Arial" w:hAnsi="Arial"/>
          <w:sz w:val="16"/>
        </w:rPr>
        <w:t>143.09  برنامه رزرو شغل شغلی (CJR) برای کمک به مدیریت استخدام مجدد هوانوردان دوره اول توسط AFSC برای جلوگیری از مازاد و کمبود وجود دارد.</w:t>
      </w:r>
    </w:p>
    <w:p>
      <w:pPr>
        <w:spacing w:after="28" w:line="216" w:lineRule="auto"/>
        <w:ind w:left="259"/>
        <w:jc w:val="left"/>
      </w:pPr>
      <w:r>
        <w:rPr>
          <w:rFonts w:ascii="Arial" w:hAnsi="Arial"/>
          <w:color w:val="525252"/>
          <w:sz w:val="13"/>
        </w:rPr>
        <w:t>The Career Job Reservation (CJR) Program exists to assist in the management of first-term Airmen reenlistments by AFSC prevent surpluses and shortages.</w:t>
      </w:r>
    </w:p>
    <w:p>
      <w:pPr>
        <w:spacing w:after="20" w:line="223" w:lineRule="auto"/>
        <w:jc w:val="right"/>
        <w:bidi/>
      </w:pPr>
      <w:r>
        <w:rPr>
          <w:rFonts w:ascii="Arial" w:hAnsi="Arial"/>
          <w:sz w:val="16"/>
        </w:rPr>
        <w:t>143.10  همه هوانوردان دوره اول واجد شرایط باید CJR تأیید شده برای ثبت‌نام مجدد داشته باشند.</w:t>
      </w:r>
    </w:p>
    <w:p>
      <w:pPr>
        <w:spacing w:after="28" w:line="216" w:lineRule="auto"/>
        <w:ind w:left="259"/>
        <w:jc w:val="left"/>
      </w:pPr>
      <w:r>
        <w:rPr>
          <w:rFonts w:ascii="Arial" w:hAnsi="Arial"/>
          <w:color w:val="525252"/>
          <w:sz w:val="13"/>
        </w:rPr>
        <w:t>All eligible first-term Airmen must have an approved CJR to reenlist.</w:t>
      </w:r>
    </w:p>
    <w:p>
      <w:pPr>
        <w:spacing w:after="20" w:line="223" w:lineRule="auto"/>
        <w:jc w:val="right"/>
        <w:bidi/>
      </w:pPr>
      <w:r>
        <w:rPr>
          <w:rFonts w:ascii="Arial" w:hAnsi="Arial"/>
          <w:sz w:val="16"/>
        </w:rPr>
        <w:t>143.11  هوانوردان به‌طور خودکار در لیست متقاضیان شغل شغلی در اولین روز وظیفه ماه قرار می‌گیرند که طی آن ۳۵ ماه از سربازی فعلی خود را سپری می‌کنند (۵۹ ماه برای سربازان شش ساله)، اما حداکثر تا آخرین روز وظیفه ماه که طی آن ۴۳ ماه از خدمت فعلی خود را سپری می‌کنند (۶۷ ماه برای سربازان شش ساله).</w:t>
      </w:r>
    </w:p>
    <w:p>
      <w:pPr>
        <w:spacing w:after="28" w:line="216" w:lineRule="auto"/>
        <w:ind w:left="259"/>
        <w:jc w:val="left"/>
      </w:pPr>
      <w:r>
        <w:rPr>
          <w:rFonts w:ascii="Arial" w:hAnsi="Arial"/>
          <w:color w:val="525252"/>
          <w:sz w:val="13"/>
        </w:rPr>
        <w:t>Airmen are automatically placed on the career job applicant list on the first duty day of the month during which they complete 35 months on their current enlistment (59 months for six-year enlistees), but no later than the last duty day of the month during which they complete 43 months on their current enlistment (67 months for six- year enlistees).</w:t>
      </w:r>
    </w:p>
    <w:p>
      <w:pPr>
        <w:spacing w:after="20" w:line="223" w:lineRule="auto"/>
        <w:jc w:val="right"/>
        <w:bidi/>
      </w:pPr>
      <w:r>
        <w:rPr>
          <w:rFonts w:ascii="Arial" w:hAnsi="Arial"/>
          <w:sz w:val="16"/>
        </w:rPr>
        <w:t>143.12  برای حفظ CJR تأیید شده خود، نیروهای هوایی باید در تاریخ انقضای CJR یا قبل از آن دوباره ثبت‌نام کند.</w:t>
      </w:r>
    </w:p>
    <w:p>
      <w:pPr>
        <w:spacing w:after="28" w:line="216" w:lineRule="auto"/>
        <w:ind w:left="259"/>
        <w:jc w:val="left"/>
      </w:pPr>
      <w:r>
        <w:rPr>
          <w:rFonts w:ascii="Arial" w:hAnsi="Arial"/>
          <w:color w:val="525252"/>
          <w:sz w:val="13"/>
        </w:rPr>
        <w:t>To keep their approved CJR, Airmen must reenlist on or before the CJR expiration date.</w:t>
      </w:r>
    </w:p>
    <w:p>
      <w:pPr>
        <w:spacing w:after="20" w:line="223" w:lineRule="auto"/>
        <w:jc w:val="right"/>
        <w:bidi/>
      </w:pPr>
      <w:r>
        <w:rPr>
          <w:rFonts w:ascii="Arial" w:hAnsi="Arial"/>
          <w:sz w:val="16"/>
        </w:rPr>
        <w:t>143.13  CJR ها ممکن است سهمیه‌های محدود (محدود) یا سهمیه‌های نامحدود (نامحدود) باشند.</w:t>
      </w:r>
    </w:p>
    <w:p>
      <w:pPr>
        <w:spacing w:after="28" w:line="216" w:lineRule="auto"/>
        <w:ind w:left="259"/>
        <w:jc w:val="left"/>
      </w:pPr>
      <w:r>
        <w:rPr>
          <w:rFonts w:ascii="Arial" w:hAnsi="Arial"/>
          <w:color w:val="525252"/>
          <w:sz w:val="13"/>
        </w:rPr>
        <w:t>CJRs may be constrained (limited) quotas or unconstrained (unlimited) quotas.</w:t>
      </w:r>
    </w:p>
    <w:p>
      <w:pPr>
        <w:spacing w:after="20" w:line="223" w:lineRule="auto"/>
        <w:jc w:val="right"/>
        <w:bidi/>
      </w:pPr>
      <w:r>
        <w:rPr>
          <w:rFonts w:ascii="Arial" w:hAnsi="Arial"/>
          <w:sz w:val="16"/>
        </w:rPr>
        <w:t>143.14  محدود: هوانوردان دوره اول در AFSCهای محدود، در صورت وجود، سهمیه‌های محدودی دارند و برای CJR رقابت می‌کنند.</w:t>
      </w:r>
    </w:p>
    <w:p>
      <w:pPr>
        <w:spacing w:after="28" w:line="216" w:lineRule="auto"/>
        <w:ind w:left="259"/>
        <w:jc w:val="left"/>
      </w:pPr>
      <w:r>
        <w:rPr>
          <w:rFonts w:ascii="Arial" w:hAnsi="Arial"/>
          <w:color w:val="525252"/>
          <w:sz w:val="13"/>
        </w:rPr>
        <w:t>Constrained: First-term Airmen in constrained AFSCs have limited quotas, when available and compete for a CJR.</w:t>
      </w:r>
    </w:p>
    <w:p>
      <w:pPr>
        <w:spacing w:after="20" w:line="223" w:lineRule="auto"/>
        <w:jc w:val="right"/>
        <w:bidi/>
      </w:pPr>
      <w:r>
        <w:rPr>
          <w:rFonts w:ascii="Arial" w:hAnsi="Arial"/>
          <w:sz w:val="16"/>
        </w:rPr>
        <w:t>143.15  فرماندهان یا مدیران غیرنظامی اعطای CJR را به هوانوردان در AFSCهای محدود که در آن تخصیص اعطا شده است، توصیه می‌کنند.</w:t>
      </w:r>
    </w:p>
    <w:p>
      <w:pPr>
        <w:spacing w:after="28" w:line="216" w:lineRule="auto"/>
        <w:ind w:left="259"/>
        <w:jc w:val="left"/>
      </w:pPr>
      <w:r>
        <w:rPr>
          <w:rFonts w:ascii="Arial" w:hAnsi="Arial"/>
          <w:color w:val="525252"/>
          <w:sz w:val="13"/>
        </w:rPr>
        <w:t>Commanders or civilian directors recommend award of CJRs to Airmen in constrained AFSCs where an allocation has been awarded.</w:t>
      </w:r>
    </w:p>
    <w:p>
      <w:pPr>
        <w:spacing w:after="20" w:line="223" w:lineRule="auto"/>
        <w:jc w:val="right"/>
        <w:bidi/>
      </w:pPr>
      <w:r>
        <w:rPr>
          <w:rFonts w:ascii="Arial" w:hAnsi="Arial"/>
          <w:sz w:val="16"/>
        </w:rPr>
        <w:t>143.16  تأیید CJR ها در سطح فرمانده گروه یا معادل آن انجام می‌شود.</w:t>
      </w:r>
    </w:p>
    <w:p>
      <w:pPr>
        <w:spacing w:after="28" w:line="216" w:lineRule="auto"/>
        <w:ind w:left="259"/>
        <w:jc w:val="left"/>
      </w:pPr>
      <w:r>
        <w:rPr>
          <w:rFonts w:ascii="Arial" w:hAnsi="Arial"/>
          <w:color w:val="525252"/>
          <w:sz w:val="13"/>
        </w:rPr>
        <w:t>Approval of CJRs are made at the group commander level or equivalent.</w:t>
      </w:r>
    </w:p>
    <w:p>
      <w:pPr>
        <w:spacing w:after="20" w:line="223" w:lineRule="auto"/>
        <w:jc w:val="right"/>
        <w:bidi/>
      </w:pPr>
      <w:r>
        <w:rPr>
          <w:rFonts w:ascii="Arial" w:hAnsi="Arial"/>
          <w:sz w:val="16"/>
        </w:rPr>
        <w:t>143.17  فرماندهان یا مدیران غیرنظامی ممکن است در هر زمان در طول پنجره عضو نیروی هوایی’س CJR، به هوانوردان دوره اول برای اعطای CJR توصیه کنند.</w:t>
      </w:r>
    </w:p>
    <w:p>
      <w:pPr>
        <w:spacing w:after="28" w:line="216" w:lineRule="auto"/>
        <w:ind w:left="259"/>
        <w:jc w:val="left"/>
      </w:pPr>
      <w:r>
        <w:rPr>
          <w:rFonts w:ascii="Arial" w:hAnsi="Arial"/>
          <w:color w:val="525252"/>
          <w:sz w:val="13"/>
        </w:rPr>
        <w:t>Commanders or civilian directors may recommend First Term Airmen for award of a CJR anytime during the Airman’s CJR window.</w:t>
      </w:r>
    </w:p>
    <w:p>
      <w:pPr>
        <w:spacing w:after="20" w:line="223" w:lineRule="auto"/>
        <w:jc w:val="right"/>
        <w:bidi/>
      </w:pPr>
      <w:r>
        <w:rPr>
          <w:rFonts w:ascii="Arial" w:hAnsi="Arial"/>
          <w:sz w:val="16"/>
        </w:rPr>
        <w:t>143.18  هوانوردان خارج از پنجره CJR خود واجد شرایط دریافت CJR نیستند.</w:t>
      </w:r>
    </w:p>
    <w:p>
      <w:pPr>
        <w:spacing w:after="28" w:line="216" w:lineRule="auto"/>
        <w:ind w:left="259"/>
        <w:jc w:val="left"/>
      </w:pPr>
      <w:r>
        <w:rPr>
          <w:rFonts w:ascii="Arial" w:hAnsi="Arial"/>
          <w:color w:val="525252"/>
          <w:sz w:val="13"/>
        </w:rPr>
        <w:t>Airmen outside their CJR window are not eligible for award of a CJR.</w:t>
      </w:r>
    </w:p>
    <w:p>
      <w:pPr>
        <w:spacing w:after="20" w:line="223" w:lineRule="auto"/>
        <w:jc w:val="right"/>
        <w:bidi/>
      </w:pPr>
      <w:r>
        <w:rPr>
          <w:rFonts w:ascii="Arial" w:hAnsi="Arial"/>
          <w:sz w:val="16"/>
        </w:rPr>
        <w:t>143.19  ارزیابی‌های هوانوردان باید منعکس کننده این باشد که عضو حداقل انتظارات را برآورده کرده است و پرونده اطلاعات نامطلوب، زمان از دست رفته یا سابقه مجازات فعال غیرقانونی در دوران سربازی خود نداشته باشد تا بتواند برای CJR در نظر گرفته شود.</w:t>
      </w:r>
    </w:p>
    <w:p>
      <w:pPr>
        <w:spacing w:after="28" w:line="216" w:lineRule="auto"/>
        <w:ind w:left="259"/>
        <w:jc w:val="left"/>
      </w:pPr>
      <w:r>
        <w:rPr>
          <w:rFonts w:ascii="Arial" w:hAnsi="Arial"/>
          <w:color w:val="525252"/>
          <w:sz w:val="13"/>
        </w:rPr>
        <w:t>Airmen’s evaluations must reflect that the member has met the minimum expectation and not have an unfavorable information file, lost time, or record of active nonjudicial punishment on their current enlistment in order to be considered for a CJR.</w:t>
      </w:r>
    </w:p>
    <w:p>
      <w:pPr>
        <w:spacing w:after="20" w:line="223" w:lineRule="auto"/>
        <w:jc w:val="right"/>
        <w:bidi/>
      </w:pPr>
      <w:r>
        <w:rPr>
          <w:rFonts w:ascii="Arial" w:hAnsi="Arial"/>
          <w:sz w:val="16"/>
        </w:rPr>
        <w:t>143.20  عملکرد شغلی عضو نیروی هوایی، رهبری نشان‌داده شده، اینکه چگونه نیروهای هوایی ارزش‌های اصلی USAF را نشان می‌دهد و توانایی موفقیت در AFSC نیز باید در نظر گرفته شود.</w:t>
      </w:r>
    </w:p>
    <w:p>
      <w:pPr>
        <w:spacing w:after="28" w:line="216" w:lineRule="auto"/>
        <w:ind w:left="259"/>
        <w:jc w:val="left"/>
      </w:pPr>
      <w:r>
        <w:rPr>
          <w:rFonts w:ascii="Arial" w:hAnsi="Arial"/>
          <w:color w:val="525252"/>
          <w:sz w:val="13"/>
        </w:rPr>
        <w:t>The Airman’s job performance, demonstrated leadership, how the Airmen exemplifies USAF core values, and ability to succeed in the AFSC should also be considered.</w:t>
      </w:r>
    </w:p>
    <w:p>
      <w:pPr>
        <w:spacing w:after="20" w:line="223" w:lineRule="auto"/>
        <w:jc w:val="right"/>
        <w:bidi/>
      </w:pPr>
      <w:r>
        <w:rPr>
          <w:rFonts w:ascii="Arial" w:hAnsi="Arial"/>
          <w:sz w:val="16"/>
        </w:rPr>
        <w:t>143.21  هنگامی که هوانوردان وارد پنجره CJR خود می‌شوند، فرماندهان یا مدیران غیرنظامی تشویق می‌شوند تا در مورد پتانسیل خود برای CJR به هوانوردان توصیه کنند و در صورت لزوم، آموزش مجدد را تشویق کنند.</w:t>
      </w:r>
    </w:p>
    <w:p>
      <w:pPr>
        <w:spacing w:after="28" w:line="216" w:lineRule="auto"/>
        <w:ind w:left="259"/>
        <w:jc w:val="left"/>
      </w:pPr>
      <w:r>
        <w:rPr>
          <w:rFonts w:ascii="Arial" w:hAnsi="Arial"/>
          <w:color w:val="525252"/>
          <w:sz w:val="13"/>
        </w:rPr>
        <w:t>Upon Airmen entering their CJR window, commanders or civilian directors are encouraged to advise Airmen on their potential for a CJR and when appropriate, encourage retraining.</w:t>
      </w:r>
    </w:p>
    <w:p>
      <w:pPr>
        <w:spacing w:after="20" w:line="223" w:lineRule="auto"/>
        <w:jc w:val="right"/>
        <w:bidi/>
      </w:pPr>
      <w:r>
        <w:rPr>
          <w:rFonts w:ascii="Arial" w:hAnsi="Arial"/>
          <w:sz w:val="16"/>
        </w:rPr>
        <w:t>143.22  هنگامی که AFSC های محدود اجرا می‌شوند، مرکز پرسنل نیروی هوایی سهمیه‌های CJR را بر اساس سال مالی صادر می‌کند و مقامات انتخاب ممکن است نیروهای هوایی را بر اساس هیئت مدیره، بسته‌های نامزدی و غیره در نظر بگیرند.</w:t>
      </w:r>
    </w:p>
    <w:p>
      <w:pPr>
        <w:spacing w:after="28" w:line="216" w:lineRule="auto"/>
        <w:ind w:left="259"/>
        <w:jc w:val="left"/>
      </w:pPr>
      <w:r>
        <w:rPr>
          <w:rFonts w:ascii="Arial" w:hAnsi="Arial"/>
          <w:color w:val="525252"/>
          <w:sz w:val="13"/>
        </w:rPr>
        <w:t>When constrained AFSCs are implemented, Air Force Personnel Center issues CJR quotas on a fiscal year basis and selection authorities may consider Airmen by board, nomination packages, etc.</w:t>
      </w:r>
    </w:p>
    <w:p>
      <w:pPr>
        <w:spacing w:after="20" w:line="223" w:lineRule="auto"/>
        <w:jc w:val="right"/>
        <w:bidi/>
      </w:pPr>
      <w:r>
        <w:rPr>
          <w:rFonts w:ascii="Arial" w:hAnsi="Arial"/>
          <w:sz w:val="16"/>
        </w:rPr>
        <w:t>143.23  هوانوردانی که در لیست انتظار CJR هستند و AFSC آنها از لیست محدود حذف شده است، CJR دریافت خواهند کرد.</w:t>
      </w:r>
    </w:p>
    <w:p>
      <w:pPr>
        <w:spacing w:after="28" w:line="216" w:lineRule="auto"/>
        <w:ind w:left="259"/>
        <w:jc w:val="left"/>
      </w:pPr>
      <w:r>
        <w:rPr>
          <w:rFonts w:ascii="Arial" w:hAnsi="Arial"/>
          <w:color w:val="525252"/>
          <w:sz w:val="13"/>
        </w:rPr>
        <w:t>Airmen who are on the CJR waiting list and whose AFSC is removed from the constrained list will receive a CJR.</w:t>
      </w:r>
    </w:p>
    <w:p>
      <w:pPr>
        <w:spacing w:after="20" w:line="223" w:lineRule="auto"/>
        <w:jc w:val="right"/>
        <w:bidi/>
      </w:pPr>
      <w:r>
        <w:rPr>
          <w:rFonts w:ascii="Arial" w:hAnsi="Arial"/>
          <w:sz w:val="16"/>
        </w:rPr>
        <w:t>143.24  هوانوردانی که قبل از حذف AFSC از لیست انتظار حذف می‌شوند، رسیدگی تکمیلی دریافت نخواهند کرد.</w:t>
      </w:r>
    </w:p>
    <w:p>
      <w:pPr>
        <w:spacing w:after="28" w:line="216" w:lineRule="auto"/>
        <w:ind w:left="259"/>
        <w:jc w:val="left"/>
      </w:pPr>
      <w:r>
        <w:rPr>
          <w:rFonts w:ascii="Arial" w:hAnsi="Arial"/>
          <w:color w:val="525252"/>
          <w:sz w:val="13"/>
        </w:rPr>
        <w:t>Airmen who are removed from the waiting list prior to the AFSC being removed, will not receive supplemental consideration.</w:t>
      </w:r>
    </w:p>
    <w:p>
      <w:pPr>
        <w:spacing w:after="20" w:line="223" w:lineRule="auto"/>
        <w:jc w:val="right"/>
        <w:bidi/>
      </w:pPr>
      <w:r>
        <w:rPr>
          <w:rFonts w:ascii="Arial" w:hAnsi="Arial"/>
          <w:sz w:val="16"/>
        </w:rPr>
        <w:t>143.25  در صورت واجد شرایط بودن، نیروهای هوایی واجد شرایط دریافت CJR در صورت وجود تخصیص است، و عضو نیروی هوایی در پنجره واجد شرایط بودن CJR خود است.</w:t>
      </w:r>
    </w:p>
    <w:p>
      <w:pPr>
        <w:spacing w:after="28" w:line="216" w:lineRule="auto"/>
        <w:ind w:left="259"/>
        <w:jc w:val="left"/>
      </w:pPr>
      <w:r>
        <w:rPr>
          <w:rFonts w:ascii="Arial" w:hAnsi="Arial"/>
          <w:color w:val="525252"/>
          <w:sz w:val="13"/>
        </w:rPr>
        <w:t>If eligible, Airmen qualify for award of a CJR when an allocation exists, and the Airman is in their CJR eligibility window.</w:t>
      </w:r>
    </w:p>
    <w:p>
      <w:pPr>
        <w:spacing w:after="20" w:line="223" w:lineRule="auto"/>
        <w:jc w:val="right"/>
        <w:bidi/>
      </w:pPr>
      <w:r>
        <w:rPr>
          <w:rFonts w:ascii="Arial" w:hAnsi="Arial"/>
          <w:sz w:val="16"/>
        </w:rPr>
        <w:t>143.26  هنگامی که فرمانده گروه (یا معادل آن) یک عضو نیروی هوایی را برای اعطای یک CJR تأیید می‌کند، مرکز پرسنل نیروی هوایی وجود یک تخصیص را تأیید می‌کند و بر این اساس تعداد CJR های باقی مانده را کاهش می‌دهد.</w:t>
      </w:r>
    </w:p>
    <w:p>
      <w:pPr>
        <w:spacing w:after="28" w:line="216" w:lineRule="auto"/>
        <w:ind w:left="259"/>
        <w:jc w:val="left"/>
      </w:pPr>
      <w:r>
        <w:rPr>
          <w:rFonts w:ascii="Arial" w:hAnsi="Arial"/>
          <w:color w:val="525252"/>
          <w:sz w:val="13"/>
        </w:rPr>
        <w:t>When the group commander (or equivalent) approves an Airman for award of a CJR, Air Force Personnel Center will verify an allocation exists and will reduce the number of remaining CJRs accordingly.</w:t>
      </w:r>
    </w:p>
    <w:p>
      <w:pPr>
        <w:spacing w:after="20" w:line="223" w:lineRule="auto"/>
        <w:jc w:val="right"/>
        <w:bidi/>
      </w:pPr>
      <w:r>
        <w:rPr>
          <w:rFonts w:ascii="Arial" w:hAnsi="Arial"/>
          <w:sz w:val="16"/>
        </w:rPr>
        <w:t>143.27  توجه: CJR های تأیید شده تا تاریخ جدایی عضو نیروی هوایی منقضی نمی‌شوند.</w:t>
      </w:r>
    </w:p>
    <w:p>
      <w:pPr>
        <w:spacing w:after="28" w:line="216" w:lineRule="auto"/>
        <w:ind w:left="259"/>
        <w:jc w:val="left"/>
      </w:pPr>
      <w:r>
        <w:rPr>
          <w:rFonts w:ascii="Arial" w:hAnsi="Arial"/>
          <w:color w:val="525252"/>
          <w:sz w:val="13"/>
        </w:rPr>
        <w:t>Note: Approved CJRs do not expire until the Airman’s date of separation.</w:t>
      </w:r>
    </w:p>
    <w:p>
      <w:pPr>
        <w:spacing w:after="20" w:line="223" w:lineRule="auto"/>
        <w:jc w:val="right"/>
        <w:bidi/>
      </w:pPr>
      <w:r>
        <w:rPr>
          <w:rFonts w:ascii="Arial" w:hAnsi="Arial"/>
          <w:sz w:val="16"/>
        </w:rPr>
        <w:t>143.28  بدون محدودیت: هوانوردان در AFSCهای بدون محدودیت برای CJR رقابت نمی‌کنند.</w:t>
      </w:r>
    </w:p>
    <w:p>
      <w:pPr>
        <w:spacing w:after="28" w:line="216" w:lineRule="auto"/>
        <w:ind w:left="259"/>
        <w:jc w:val="left"/>
      </w:pPr>
      <w:r>
        <w:rPr>
          <w:rFonts w:ascii="Arial" w:hAnsi="Arial"/>
          <w:color w:val="525252"/>
          <w:sz w:val="13"/>
        </w:rPr>
        <w:t>Unconstrained: Airmen in unconstrained AFSCs do not compete for a CJR.</w:t>
      </w:r>
    </w:p>
    <w:p>
      <w:pPr>
        <w:spacing w:after="20" w:line="223" w:lineRule="auto"/>
        <w:jc w:val="right"/>
        <w:bidi/>
      </w:pPr>
      <w:r>
        <w:rPr>
          <w:rFonts w:ascii="Arial" w:hAnsi="Arial"/>
          <w:sz w:val="16"/>
        </w:rPr>
        <w:t>143.29  به هوانوردان به‌طور خودکار CJR در اولین روز وظیفه از ماه که در طی آن ۳۵ خدمت انجام می‌دهند، اعطا می‌شود.</w:t>
      </w:r>
    </w:p>
    <w:p>
      <w:pPr>
        <w:spacing w:after="28" w:line="216" w:lineRule="auto"/>
        <w:ind w:left="259"/>
        <w:jc w:val="left"/>
      </w:pPr>
      <w:r>
        <w:rPr>
          <w:rFonts w:ascii="Arial" w:hAnsi="Arial"/>
          <w:color w:val="525252"/>
          <w:sz w:val="13"/>
        </w:rPr>
        <w:t>Airmen are automatically awarded the CJR on the first duty day of the month during which they complete 35</w:t>
      </w:r>
    </w:p>
    <w:p>
      <w:r>
        <w:br w:type="page"/>
      </w:r>
    </w:p>
    <w:p>
      <w:pPr>
        <w:spacing w:after="60"/>
        <w:jc w:val="right"/>
        <w:bidi/>
      </w:pPr>
      <w:r>
        <w:rPr>
          <w:rFonts w:ascii="Arial" w:hAnsi="Arial"/>
          <w:b/>
          <w:color w:val="1F4D78"/>
          <w:sz w:val="19"/>
        </w:rPr>
        <w:t>هفتهٔ 144  |  صفحهٔ منبع: 160</w:t>
      </w:r>
    </w:p>
    <w:p>
      <w:pPr>
        <w:spacing w:after="20" w:line="223" w:lineRule="auto"/>
        <w:jc w:val="right"/>
        <w:bidi/>
      </w:pPr>
      <w:r>
        <w:rPr>
          <w:rFonts w:ascii="Arial" w:hAnsi="Arial"/>
          <w:sz w:val="16"/>
        </w:rPr>
        <w:t>144.01  ماه در دوران سربازی فعلی خود (۵۹ ماه برای سربازان شش ساله)، اما حداکثر تا آخرین روز خدمت در ماه که در طی آن ۴۳ ماه سربازی فعلی خود را سپری می‌کنند (۶۷ ماه برای سربازان شش ساله)، مشروط بر اینکه توسط فرمانده/مدیر غیرنظامی تحت برنامه سربازگیری مجدد انتخابی برای ادامه خدمت انتخاب شده باشند.</w:t>
      </w:r>
    </w:p>
    <w:p>
      <w:pPr>
        <w:spacing w:after="28" w:line="216" w:lineRule="auto"/>
        <w:ind w:left="259"/>
        <w:jc w:val="left"/>
      </w:pPr>
      <w:r>
        <w:rPr>
          <w:rFonts w:ascii="Arial" w:hAnsi="Arial"/>
          <w:color w:val="525252"/>
          <w:sz w:val="13"/>
        </w:rPr>
        <w:t>months on their current enlistment (59 months for six-year enlistees), but no later than the last duty day of the month during which they complete 43 months on their current enlistment (67 months for six-year enlistees), provided they have been selected for continued service by their commander/civilian director under the selective reenlistment program.</w:t>
      </w:r>
    </w:p>
    <w:p>
      <w:pPr>
        <w:spacing w:before="60" w:after="28"/>
        <w:jc w:val="right"/>
        <w:bidi/>
      </w:pPr>
      <w:r>
        <w:rPr>
          <w:b/>
          <w:color w:val="1F4D78"/>
          <w:sz w:val="18"/>
        </w:rPr>
        <w:t>8.14. برنامه های افزودنی نام نویسی</w:t>
      </w:r>
    </w:p>
    <w:p>
      <w:pPr>
        <w:spacing w:after="20"/>
        <w:ind w:left="259"/>
        <w:jc w:val="left"/>
      </w:pPr>
      <w:r>
        <w:rPr>
          <w:color w:val="555555"/>
          <w:sz w:val="12"/>
        </w:rPr>
        <w:t>8.14. Enlistment Extensions</w:t>
      </w:r>
    </w:p>
    <w:p>
      <w:pPr>
        <w:spacing w:after="20" w:line="223" w:lineRule="auto"/>
        <w:jc w:val="right"/>
        <w:bidi/>
      </w:pPr>
      <w:r>
        <w:rPr>
          <w:rFonts w:ascii="Arial" w:hAnsi="Arial"/>
          <w:sz w:val="16"/>
        </w:rPr>
        <w:t>144.03  هوانوردانی که در یک سربازی فعال خدمت می‌کنند، در صورتی می‌توانند درخواست تمدید سربازی کنند، در صورتی که دلیل ماندگاری مبتنی بر خدمات داشته باشند و این تمدید به نفع USAF باشد.</w:t>
      </w:r>
    </w:p>
    <w:p>
      <w:pPr>
        <w:spacing w:after="28" w:line="216" w:lineRule="auto"/>
        <w:ind w:left="259"/>
        <w:jc w:val="left"/>
      </w:pPr>
      <w:r>
        <w:rPr>
          <w:rFonts w:ascii="Arial" w:hAnsi="Arial"/>
          <w:color w:val="525252"/>
          <w:sz w:val="13"/>
        </w:rPr>
        <w:t>Airmen serving on an active enlistment may request an enlistment extension if he or she has a service-directed retainability reason and the extension is in the best interest of the USAF.</w:t>
      </w:r>
    </w:p>
    <w:p>
      <w:pPr>
        <w:spacing w:after="20" w:line="223" w:lineRule="auto"/>
        <w:jc w:val="right"/>
        <w:bidi/>
      </w:pPr>
      <w:r>
        <w:rPr>
          <w:rFonts w:ascii="Arial" w:hAnsi="Arial"/>
          <w:sz w:val="16"/>
        </w:rPr>
        <w:t>144.04  تمدیدها به صورت افزایشی تمام ماه اعطا می‌شود.</w:t>
      </w:r>
    </w:p>
    <w:p>
      <w:pPr>
        <w:spacing w:after="28" w:line="216" w:lineRule="auto"/>
        <w:ind w:left="259"/>
        <w:jc w:val="left"/>
      </w:pPr>
      <w:r>
        <w:rPr>
          <w:rFonts w:ascii="Arial" w:hAnsi="Arial"/>
          <w:color w:val="525252"/>
          <w:sz w:val="13"/>
        </w:rPr>
        <w:t>Extensions are granted in whole-month increments.</w:t>
      </w:r>
    </w:p>
    <w:p>
      <w:pPr>
        <w:spacing w:after="20" w:line="223" w:lineRule="auto"/>
        <w:jc w:val="right"/>
        <w:bidi/>
      </w:pPr>
      <w:r>
        <w:rPr>
          <w:rFonts w:ascii="Arial" w:hAnsi="Arial"/>
          <w:sz w:val="16"/>
        </w:rPr>
        <w:t>144.05  به‌عنوان مثال، اگر فرد برای یک تکلیف به ۱۵ ماه و نیم نگهداری نیاز دارد، فرد باید درخواست تمدید کامل ۱۶ ماهه کند.</w:t>
      </w:r>
    </w:p>
    <w:p>
      <w:pPr>
        <w:spacing w:after="28" w:line="216" w:lineRule="auto"/>
        <w:ind w:left="259"/>
        <w:jc w:val="left"/>
      </w:pPr>
      <w:r>
        <w:rPr>
          <w:rFonts w:ascii="Arial" w:hAnsi="Arial"/>
          <w:color w:val="525252"/>
          <w:sz w:val="13"/>
        </w:rPr>
        <w:t>For example, if the individual needs 15½ months of retainability for an assignment, the individual must request a full 16-month extension.</w:t>
      </w:r>
    </w:p>
    <w:p>
      <w:pPr>
        <w:spacing w:after="20" w:line="223" w:lineRule="auto"/>
        <w:jc w:val="right"/>
        <w:bidi/>
      </w:pPr>
      <w:r>
        <w:rPr>
          <w:rFonts w:ascii="Arial" w:hAnsi="Arial"/>
          <w:sz w:val="16"/>
        </w:rPr>
        <w:t>144.06  تمدید داوطلبانه برای همه هوانوردان به حداکثر ۴۸ ماه در هر سربازی محدود می‌شود.</w:t>
      </w:r>
    </w:p>
    <w:p>
      <w:pPr>
        <w:spacing w:after="28" w:line="216" w:lineRule="auto"/>
        <w:ind w:left="259"/>
        <w:jc w:val="left"/>
      </w:pPr>
      <w:r>
        <w:rPr>
          <w:rFonts w:ascii="Arial" w:hAnsi="Arial"/>
          <w:color w:val="525252"/>
          <w:sz w:val="13"/>
        </w:rPr>
        <w:t>Voluntary extensions for all Airmen are limited to a maximum of 48 months per enlistment.</w:t>
      </w:r>
    </w:p>
    <w:p>
      <w:pPr>
        <w:spacing w:after="20" w:line="223" w:lineRule="auto"/>
        <w:jc w:val="right"/>
        <w:bidi/>
      </w:pPr>
      <w:r>
        <w:rPr>
          <w:rFonts w:ascii="Arial" w:hAnsi="Arial"/>
          <w:sz w:val="16"/>
        </w:rPr>
        <w:t>144.07  در صورتی که تخصص‌های USAF محدود شود، ستاد هوایی ممکن است تمدید هواداران دوره اول را به یک دوره مشخص محدود کند.</w:t>
      </w:r>
    </w:p>
    <w:p>
      <w:pPr>
        <w:spacing w:after="28" w:line="216" w:lineRule="auto"/>
        <w:ind w:left="259"/>
        <w:jc w:val="left"/>
      </w:pPr>
      <w:r>
        <w:rPr>
          <w:rFonts w:ascii="Arial" w:hAnsi="Arial"/>
          <w:color w:val="525252"/>
          <w:sz w:val="13"/>
        </w:rPr>
        <w:t>In the event that USAF specialties are constrained, the Air Staff may limit first-term Airmen extensions to a specified period.</w:t>
      </w:r>
    </w:p>
    <w:p>
      <w:pPr>
        <w:spacing w:after="20" w:line="223" w:lineRule="auto"/>
        <w:jc w:val="right"/>
        <w:bidi/>
      </w:pPr>
      <w:r>
        <w:rPr>
          <w:rFonts w:ascii="Arial" w:hAnsi="Arial"/>
          <w:sz w:val="16"/>
        </w:rPr>
        <w:t>144.08  برخی شرایط (مانند شهروندی در حال تعلیق) ممکن است مستثنی از این سیاست باشد.</w:t>
      </w:r>
    </w:p>
    <w:p>
      <w:pPr>
        <w:spacing w:after="28" w:line="216" w:lineRule="auto"/>
        <w:ind w:left="259"/>
        <w:jc w:val="left"/>
      </w:pPr>
      <w:r>
        <w:rPr>
          <w:rFonts w:ascii="Arial" w:hAnsi="Arial"/>
          <w:color w:val="525252"/>
          <w:sz w:val="13"/>
        </w:rPr>
        <w:t>Certain situations (such as citizenship pending) may warrant exceptions to policy.</w:t>
      </w:r>
    </w:p>
    <w:p>
      <w:pPr>
        <w:spacing w:after="20" w:line="223" w:lineRule="auto"/>
        <w:jc w:val="right"/>
        <w:bidi/>
      </w:pPr>
      <w:r>
        <w:rPr>
          <w:rFonts w:ascii="Arial" w:hAnsi="Arial"/>
          <w:sz w:val="16"/>
        </w:rPr>
        <w:t>144.09  هوانوردان ممکن است واجد شرایط درخواست تمدید سربازی برای تعیین تاریخ جدایی در سال بالای تصدی برای جدایی یا بازنشستگی باشند.</w:t>
      </w:r>
    </w:p>
    <w:p>
      <w:pPr>
        <w:spacing w:after="28" w:line="216" w:lineRule="auto"/>
        <w:ind w:left="259"/>
        <w:jc w:val="left"/>
      </w:pPr>
      <w:r>
        <w:rPr>
          <w:rFonts w:ascii="Arial" w:hAnsi="Arial"/>
          <w:color w:val="525252"/>
          <w:sz w:val="13"/>
        </w:rPr>
        <w:t>Airmen may be eligible to request an extension of enlistment to establish a date of separation at high year of tenure to separate or retire.</w:t>
      </w:r>
    </w:p>
    <w:p>
      <w:pPr>
        <w:spacing w:after="20" w:line="223" w:lineRule="auto"/>
        <w:jc w:val="right"/>
        <w:bidi/>
      </w:pPr>
      <w:r>
        <w:rPr>
          <w:rFonts w:ascii="Arial" w:hAnsi="Arial"/>
          <w:sz w:val="16"/>
        </w:rPr>
        <w:t>144.10  به‌طور معمول، هوانوردان قبل از اینکه بتوانند تمدید کنند، باید در عرض دو سال از سال بالای تصدی خود باشند.</w:t>
      </w:r>
    </w:p>
    <w:p>
      <w:pPr>
        <w:spacing w:after="28" w:line="216" w:lineRule="auto"/>
        <w:ind w:left="259"/>
        <w:jc w:val="left"/>
      </w:pPr>
      <w:r>
        <w:rPr>
          <w:rFonts w:ascii="Arial" w:hAnsi="Arial"/>
          <w:color w:val="525252"/>
          <w:sz w:val="13"/>
        </w:rPr>
        <w:t>Normally, Airmen must be within two years of their high year of tenure before they can extend.</w:t>
      </w:r>
    </w:p>
    <w:p>
      <w:pPr>
        <w:spacing w:after="20" w:line="223" w:lineRule="auto"/>
        <w:jc w:val="right"/>
        <w:bidi/>
      </w:pPr>
      <w:r>
        <w:rPr>
          <w:rFonts w:ascii="Arial" w:hAnsi="Arial"/>
          <w:sz w:val="16"/>
        </w:rPr>
        <w:t>144.11  توجه: پس از تأیید، تمدید با تمدید دوره خدمت اجباری هواپیمایی، اثر حقوقی قرارداد سربازی را دارد.</w:t>
      </w:r>
    </w:p>
    <w:p>
      <w:pPr>
        <w:spacing w:after="28" w:line="216" w:lineRule="auto"/>
        <w:ind w:left="259"/>
        <w:jc w:val="left"/>
      </w:pPr>
      <w:r>
        <w:rPr>
          <w:rFonts w:ascii="Arial" w:hAnsi="Arial"/>
          <w:color w:val="525252"/>
          <w:sz w:val="13"/>
        </w:rPr>
        <w:t>Note: Once approved, an extension has the legal effect of the enlistment agreement by extending the Airman’s period of obligated service.</w:t>
      </w:r>
    </w:p>
    <w:p>
      <w:pPr>
        <w:spacing w:after="20" w:line="223" w:lineRule="auto"/>
        <w:jc w:val="right"/>
        <w:bidi/>
      </w:pPr>
      <w:r>
        <w:rPr>
          <w:rFonts w:ascii="Arial" w:hAnsi="Arial"/>
          <w:sz w:val="16"/>
        </w:rPr>
        <w:t>144.12  تمدیدهای ثبت‌نام فقط زمانی می‌توانند لغو شوند که دلیل تمدید دیگر وجود نداشته باشد، تا زمانی که عضو نیروی هوایی پیش‌تر وارد تمدید نشده باشد.</w:t>
      </w:r>
    </w:p>
    <w:p>
      <w:pPr>
        <w:spacing w:after="28" w:line="216" w:lineRule="auto"/>
        <w:ind w:left="259"/>
        <w:jc w:val="left"/>
      </w:pPr>
      <w:r>
        <w:rPr>
          <w:rFonts w:ascii="Arial" w:hAnsi="Arial"/>
          <w:color w:val="525252"/>
          <w:sz w:val="13"/>
        </w:rPr>
        <w:t>Enlistment extensions can only be canceled when the reason for the extension no longer exists, as long as the Airman has not already entered into the extension.</w:t>
      </w:r>
    </w:p>
    <w:p>
      <w:pPr>
        <w:spacing w:before="60" w:after="28"/>
        <w:jc w:val="right"/>
        <w:bidi/>
      </w:pPr>
      <w:r>
        <w:rPr>
          <w:b/>
          <w:color w:val="1F4D78"/>
          <w:sz w:val="18"/>
        </w:rPr>
        <w:t>8.15. پاداش حفظ انتخابی</w:t>
      </w:r>
    </w:p>
    <w:p>
      <w:pPr>
        <w:spacing w:after="20"/>
        <w:ind w:left="259"/>
        <w:jc w:val="left"/>
      </w:pPr>
      <w:r>
        <w:rPr>
          <w:color w:val="555555"/>
          <w:sz w:val="12"/>
        </w:rPr>
        <w:t>8.15. Selective Retention Bonus</w:t>
      </w:r>
    </w:p>
    <w:p>
      <w:pPr>
        <w:spacing w:after="20" w:line="223" w:lineRule="auto"/>
        <w:jc w:val="right"/>
        <w:bidi/>
      </w:pPr>
      <w:r>
        <w:rPr>
          <w:rFonts w:ascii="Arial" w:hAnsi="Arial"/>
          <w:sz w:val="16"/>
        </w:rPr>
        <w:t>144.14  برنامه پاداش حفظ انتخابی (SRB) یک انگیزه پولی است که به هوانوردانی پرداخت می‌شود که در برخی مهارت‌های نظامی حیاتی انتخاب شده خدمت می‌کنند و دوباره برای خدمات الزامی اضافی ثبت‌نام می‌کنند.</w:t>
      </w:r>
    </w:p>
    <w:p>
      <w:pPr>
        <w:spacing w:after="28" w:line="216" w:lineRule="auto"/>
        <w:ind w:left="259"/>
        <w:jc w:val="left"/>
      </w:pPr>
      <w:r>
        <w:rPr>
          <w:rFonts w:ascii="Arial" w:hAnsi="Arial"/>
          <w:color w:val="525252"/>
          <w:sz w:val="13"/>
        </w:rPr>
        <w:t>The Selective Retention Bonus (SRB) Program is a monetary incentive paid to Airmen serving in certain selected critical military skills who reenlist for additional obligated service.</w:t>
      </w:r>
    </w:p>
    <w:p>
      <w:pPr>
        <w:spacing w:after="20" w:line="223" w:lineRule="auto"/>
        <w:jc w:val="right"/>
        <w:bidi/>
      </w:pPr>
      <w:r>
        <w:rPr>
          <w:rFonts w:ascii="Arial" w:hAnsi="Arial"/>
          <w:sz w:val="16"/>
        </w:rPr>
        <w:t>144.15  این جایزه برای تشویق به ثبت‌نام مجدد تعداد کافی از پرسنل واجد شرایط در مهارت‌های نظامی با کمبودهای ثابت نگهداری یا هزینه‌های آموزشی بالا است.</w:t>
      </w:r>
    </w:p>
    <w:p>
      <w:pPr>
        <w:spacing w:after="28" w:line="216" w:lineRule="auto"/>
        <w:ind w:left="259"/>
        <w:jc w:val="left"/>
      </w:pPr>
      <w:r>
        <w:rPr>
          <w:rFonts w:ascii="Arial" w:hAnsi="Arial"/>
          <w:color w:val="525252"/>
          <w:sz w:val="13"/>
        </w:rPr>
        <w:t>The bonus is intended to encourage the reenlistment of sufficient numbers of qualified enlisted personnel in military skills with either demonstrated retention shortfalls or high training costs.</w:t>
      </w:r>
    </w:p>
    <w:p>
      <w:pPr>
        <w:spacing w:after="20" w:line="223" w:lineRule="auto"/>
        <w:jc w:val="right"/>
        <w:bidi/>
      </w:pPr>
      <w:r>
        <w:rPr>
          <w:rFonts w:ascii="Arial" w:hAnsi="Arial"/>
          <w:sz w:val="16"/>
        </w:rPr>
        <w:t>144.16  هوانوردان دارای مهارت‌های SRB که مجددا نام نویسی می‌کنند یا دوره سربازی خود را برای حداقل سه سال تمدید می‌کنند، مشروط بر اینکه تمام معیارهای ذکر شده در DAFI ۳۶-۲۶۰۶، ثبت‌نام مجدد و تمدید نام نویسی در نیروی هوایی ایالات متحده را داشته باشند، واجد شرایط SRB هستند.</w:t>
      </w:r>
    </w:p>
    <w:p>
      <w:pPr>
        <w:spacing w:after="28" w:line="216" w:lineRule="auto"/>
        <w:ind w:left="259"/>
        <w:jc w:val="left"/>
      </w:pPr>
      <w:r>
        <w:rPr>
          <w:rFonts w:ascii="Arial" w:hAnsi="Arial"/>
          <w:color w:val="525252"/>
          <w:sz w:val="13"/>
        </w:rPr>
        <w:t>Airmen in SRB skills who reenlist or extend their enlistment in the active duty for at least three years are eligible for an SRB provided they meet all criteria listed in DAFI 36-2606, Reenlistment and Extension of Enlistment in the United States Air Force.</w:t>
      </w:r>
    </w:p>
    <w:p>
      <w:pPr>
        <w:spacing w:after="20" w:line="223" w:lineRule="auto"/>
        <w:jc w:val="right"/>
        <w:bidi/>
      </w:pPr>
      <w:r>
        <w:rPr>
          <w:rFonts w:ascii="Arial" w:hAnsi="Arial"/>
          <w:sz w:val="16"/>
        </w:rPr>
        <w:t>144.17  هوانوردان می‌توانند انتظار داشته باشند که در تخصص SRB برای کل دوره خدمتی که پاداش برای آن پرداخت شده است، خدمت کنند.</w:t>
      </w:r>
    </w:p>
    <w:p>
      <w:pPr>
        <w:spacing w:after="28" w:line="216" w:lineRule="auto"/>
        <w:ind w:left="259"/>
        <w:jc w:val="left"/>
      </w:pPr>
      <w:r>
        <w:rPr>
          <w:rFonts w:ascii="Arial" w:hAnsi="Arial"/>
          <w:color w:val="525252"/>
          <w:sz w:val="13"/>
        </w:rPr>
        <w:t>Airmen can expect to serve in the SRB specialty for the entire enlistment for which the bonus was paid.</w:t>
      </w:r>
    </w:p>
    <w:p>
      <w:pPr>
        <w:spacing w:after="20" w:line="223" w:lineRule="auto"/>
        <w:jc w:val="right"/>
        <w:bidi/>
      </w:pPr>
      <w:r>
        <w:rPr>
          <w:rFonts w:ascii="Arial" w:hAnsi="Arial"/>
          <w:sz w:val="16"/>
        </w:rPr>
        <w:t>144.18  تعیین‌های SRB بر اساس مناطقی تعیین می‌شوند که توسط کل خدمات نظامی فدرال فعال هوانوردان در زمان ثبت‌نام مجدد یا تاریخی که آنها وارد تمدید می‌شوند تعیین می‌شوند.</w:t>
      </w:r>
    </w:p>
    <w:p>
      <w:pPr>
        <w:spacing w:after="28" w:line="216" w:lineRule="auto"/>
        <w:ind w:left="259"/>
        <w:jc w:val="left"/>
      </w:pPr>
      <w:r>
        <w:rPr>
          <w:rFonts w:ascii="Arial" w:hAnsi="Arial"/>
          <w:color w:val="525252"/>
          <w:sz w:val="13"/>
        </w:rPr>
        <w:t>SRB designations are established by zones, which are determined by the total active federal military service of Airmen at the time of reenlistment or the date they enter the extension.</w:t>
      </w:r>
    </w:p>
    <w:p>
      <w:pPr>
        <w:spacing w:after="20" w:line="223" w:lineRule="auto"/>
        <w:jc w:val="right"/>
        <w:bidi/>
      </w:pPr>
      <w:r>
        <w:rPr>
          <w:rFonts w:ascii="Arial" w:hAnsi="Arial"/>
          <w:sz w:val="16"/>
        </w:rPr>
        <w:t>144.19  هوانوردان واجد شرایط ممکن است SRB در هر منطقه (ا، ب، ک یا ) دریافت کنند، اما فقط یک SRB در هر منطقه.</w:t>
      </w:r>
    </w:p>
    <w:p>
      <w:pPr>
        <w:spacing w:after="28" w:line="216" w:lineRule="auto"/>
        <w:ind w:left="259"/>
        <w:jc w:val="left"/>
      </w:pPr>
      <w:r>
        <w:rPr>
          <w:rFonts w:ascii="Arial" w:hAnsi="Arial"/>
          <w:color w:val="525252"/>
          <w:sz w:val="13"/>
        </w:rPr>
        <w:t>Eligible Airmen may receive an SRB in each zone (A, B, C or E), but only one SRB per zone.</w:t>
      </w:r>
    </w:p>
    <w:p>
      <w:pPr>
        <w:spacing w:after="20" w:line="223" w:lineRule="auto"/>
        <w:jc w:val="right"/>
        <w:bidi/>
      </w:pPr>
      <w:r>
        <w:rPr>
          <w:rFonts w:ascii="Arial" w:hAnsi="Arial"/>
          <w:sz w:val="16"/>
        </w:rPr>
        <w:t>144.20  منطقه ا برای مسافران هوایی که بین ۱۷ ماه تا ۶ سال دوباره ثبت‌نام می‌کنند اعمال می‌شود.</w:t>
      </w:r>
    </w:p>
    <w:p>
      <w:pPr>
        <w:spacing w:after="28" w:line="216" w:lineRule="auto"/>
        <w:ind w:left="259"/>
        <w:jc w:val="left"/>
      </w:pPr>
      <w:r>
        <w:rPr>
          <w:rFonts w:ascii="Arial" w:hAnsi="Arial"/>
          <w:color w:val="525252"/>
          <w:sz w:val="13"/>
        </w:rPr>
        <w:t>Zone A applies to Airmen reenlisting between 17 months and 6 years.</w:t>
      </w:r>
    </w:p>
    <w:p>
      <w:pPr>
        <w:spacing w:after="20" w:line="223" w:lineRule="auto"/>
        <w:jc w:val="right"/>
        <w:bidi/>
      </w:pPr>
      <w:r>
        <w:rPr>
          <w:rFonts w:ascii="Arial" w:hAnsi="Arial"/>
          <w:sz w:val="16"/>
        </w:rPr>
        <w:t>144.21  منطقه ب برای مسافران هوایی که بین ۶ تا ۱۰ سال دوباره ثبت‌نام می‌کنند اعمال می‌شود.</w:t>
      </w:r>
    </w:p>
    <w:p>
      <w:pPr>
        <w:spacing w:after="28" w:line="216" w:lineRule="auto"/>
        <w:ind w:left="259"/>
        <w:jc w:val="left"/>
      </w:pPr>
      <w:r>
        <w:rPr>
          <w:rFonts w:ascii="Arial" w:hAnsi="Arial"/>
          <w:color w:val="525252"/>
          <w:sz w:val="13"/>
        </w:rPr>
        <w:t>Zone B applies to Airmen reenlisting between 6 and 10 years.</w:t>
      </w:r>
    </w:p>
    <w:p>
      <w:pPr>
        <w:spacing w:after="20" w:line="223" w:lineRule="auto"/>
        <w:jc w:val="right"/>
        <w:bidi/>
      </w:pPr>
      <w:r>
        <w:rPr>
          <w:rFonts w:ascii="Arial" w:hAnsi="Arial"/>
          <w:sz w:val="16"/>
        </w:rPr>
        <w:t>144.22  منطقه ک برای هوانوردان بین ۱۰ تا ۱۴ سال اعمال می‌شود.</w:t>
      </w:r>
    </w:p>
    <w:p>
      <w:pPr>
        <w:spacing w:after="28" w:line="216" w:lineRule="auto"/>
        <w:ind w:left="259"/>
        <w:jc w:val="left"/>
      </w:pPr>
      <w:r>
        <w:rPr>
          <w:rFonts w:ascii="Arial" w:hAnsi="Arial"/>
          <w:color w:val="525252"/>
          <w:sz w:val="13"/>
        </w:rPr>
        <w:t>Zone C applies to Airmen reenlisting between 10 and 14 years.</w:t>
      </w:r>
    </w:p>
    <w:p>
      <w:pPr>
        <w:spacing w:after="20" w:line="223" w:lineRule="auto"/>
        <w:jc w:val="right"/>
        <w:bidi/>
      </w:pPr>
      <w:r>
        <w:rPr>
          <w:rFonts w:ascii="Arial" w:hAnsi="Arial"/>
          <w:sz w:val="16"/>
        </w:rPr>
        <w:t>144.23  منطقه برای هوانوردانی که بین ۱۸ تا ۲۰ سال مجددا ثبت‌نام می‌کنند اعمال می‌شود.</w:t>
      </w:r>
    </w:p>
    <w:p>
      <w:pPr>
        <w:spacing w:after="28" w:line="216" w:lineRule="auto"/>
        <w:ind w:left="259"/>
        <w:jc w:val="left"/>
      </w:pPr>
      <w:r>
        <w:rPr>
          <w:rFonts w:ascii="Arial" w:hAnsi="Arial"/>
          <w:color w:val="525252"/>
          <w:sz w:val="13"/>
        </w:rPr>
        <w:t>Zone E applies to Airmen reenlisting between 18 and 20 years.</w:t>
      </w:r>
    </w:p>
    <w:p>
      <w:pPr>
        <w:spacing w:after="20" w:line="223" w:lineRule="auto"/>
        <w:jc w:val="right"/>
        <w:bidi/>
      </w:pPr>
      <w:r>
        <w:rPr>
          <w:rFonts w:ascii="Arial" w:hAnsi="Arial"/>
          <w:sz w:val="16"/>
        </w:rPr>
        <w:t>144.24  SRB با استفاده از حقوق پایه یک ماهه، ضرب در تعداد سالهای ثبت‌نام مجدد یا تمدید، ضرب در مضرب SRB همانطور که در فهرست SRB مجاز ذکر شده است، محاسبه می‌شود.</w:t>
      </w:r>
    </w:p>
    <w:p>
      <w:pPr>
        <w:spacing w:after="28" w:line="216" w:lineRule="auto"/>
        <w:ind w:left="259"/>
        <w:jc w:val="left"/>
      </w:pPr>
      <w:r>
        <w:rPr>
          <w:rFonts w:ascii="Arial" w:hAnsi="Arial"/>
          <w:color w:val="525252"/>
          <w:sz w:val="13"/>
        </w:rPr>
        <w:t>SRBs are calculated using one month's base pay, multiplied by the number of years reenlisting or extending, multiplied by the SRB multiple as listed on the authorized SRB listing.</w:t>
      </w:r>
    </w:p>
    <w:p>
      <w:pPr>
        <w:spacing w:after="20" w:line="223" w:lineRule="auto"/>
        <w:jc w:val="right"/>
        <w:bidi/>
      </w:pPr>
      <w:r>
        <w:rPr>
          <w:rFonts w:ascii="Arial" w:hAnsi="Arial"/>
          <w:sz w:val="16"/>
        </w:rPr>
        <w:t>144.25  حداکثر SRB در هر منطقه ۱۰۰۰۰۰ دلار است.</w:t>
      </w:r>
    </w:p>
    <w:p>
      <w:pPr>
        <w:spacing w:after="28" w:line="216" w:lineRule="auto"/>
        <w:ind w:left="259"/>
        <w:jc w:val="left"/>
      </w:pPr>
      <w:r>
        <w:rPr>
          <w:rFonts w:ascii="Arial" w:hAnsi="Arial"/>
          <w:color w:val="525252"/>
          <w:sz w:val="13"/>
        </w:rPr>
        <w:t>The maximum SRB per zone is $100,000.</w:t>
      </w:r>
    </w:p>
    <w:p>
      <w:pPr>
        <w:spacing w:after="20" w:line="223" w:lineRule="auto"/>
        <w:jc w:val="right"/>
        <w:bidi/>
      </w:pPr>
      <w:r>
        <w:rPr>
          <w:rFonts w:ascii="Arial" w:hAnsi="Arial"/>
          <w:sz w:val="16"/>
        </w:rPr>
        <w:t>144.26  توجه: پرداخت پایه عضو نیروی هوایی در تاریخ ترخیص برای محاسبه SRB استفاده می‌شود.</w:t>
      </w:r>
    </w:p>
    <w:p>
      <w:pPr>
        <w:spacing w:after="28" w:line="216" w:lineRule="auto"/>
        <w:ind w:left="259"/>
        <w:jc w:val="left"/>
      </w:pPr>
      <w:r>
        <w:rPr>
          <w:rFonts w:ascii="Arial" w:hAnsi="Arial"/>
          <w:color w:val="525252"/>
          <w:sz w:val="13"/>
        </w:rPr>
        <w:t>Note: The Airman's base pay on the date of discharge is used to calculate the SRB.</w:t>
      </w:r>
    </w:p>
    <w:p>
      <w:pPr>
        <w:spacing w:after="20" w:line="223" w:lineRule="auto"/>
        <w:jc w:val="right"/>
        <w:bidi/>
      </w:pPr>
      <w:r>
        <w:rPr>
          <w:rFonts w:ascii="Arial" w:hAnsi="Arial"/>
          <w:sz w:val="16"/>
        </w:rPr>
        <w:t>144.27  بنابراین، اگر یک نیروی هوایی در ۱ مه به گروهبان ستاد ارتقاء یابد و در ۱ مه مجددا استخدام شود، SRB بر اساس حقوق پایه روز قبل از ثبت‌نام مجدد به‌عنوان فرمانده ارشد هوایی محاسبه می‌شود.</w:t>
      </w:r>
    </w:p>
    <w:p>
      <w:pPr>
        <w:spacing w:after="28" w:line="216" w:lineRule="auto"/>
        <w:ind w:left="259"/>
        <w:jc w:val="left"/>
      </w:pPr>
      <w:r>
        <w:rPr>
          <w:rFonts w:ascii="Arial" w:hAnsi="Arial"/>
          <w:color w:val="525252"/>
          <w:sz w:val="13"/>
        </w:rPr>
        <w:t>Therefore, if an Airman was promoted to Staff Sergeant on 1 May and reenlisted on 1 May, the SRB would be calculated on the base pay of the day prior to the reenlistment as Senior Airman.</w:t>
      </w:r>
    </w:p>
    <w:p>
      <w:pPr>
        <w:spacing w:before="60" w:after="28"/>
        <w:jc w:val="right"/>
        <w:bidi/>
      </w:pPr>
      <w:r>
        <w:rPr>
          <w:b/>
          <w:color w:val="1F4D78"/>
          <w:sz w:val="18"/>
        </w:rPr>
        <w:t>8.16. برنامه بازآموزی USAF</w:t>
      </w:r>
    </w:p>
    <w:p>
      <w:pPr>
        <w:spacing w:after="20"/>
        <w:ind w:left="259"/>
        <w:jc w:val="left"/>
      </w:pPr>
      <w:r>
        <w:rPr>
          <w:color w:val="555555"/>
          <w:sz w:val="12"/>
        </w:rPr>
        <w:t>8.16. USAF Retraining Program</w:t>
      </w:r>
    </w:p>
    <w:p>
      <w:pPr>
        <w:spacing w:after="20" w:line="223" w:lineRule="auto"/>
        <w:jc w:val="right"/>
        <w:bidi/>
      </w:pPr>
      <w:r>
        <w:rPr>
          <w:rFonts w:ascii="Arial" w:hAnsi="Arial"/>
          <w:sz w:val="16"/>
        </w:rPr>
        <w:t>144.29  بازآموزی یک ابزار مدیریت نیرو است که عمدتا برای ایجاد تعادل بین رشته‌های شغلی (افسر و سرباز) در تمام AFSCها و اطمینان از پایداری رسته‌های شغلی استفاده می‌شود.</w:t>
      </w:r>
    </w:p>
    <w:p>
      <w:pPr>
        <w:spacing w:after="28" w:line="216" w:lineRule="auto"/>
        <w:ind w:left="259"/>
        <w:jc w:val="left"/>
      </w:pPr>
      <w:r>
        <w:rPr>
          <w:rFonts w:ascii="Arial" w:hAnsi="Arial"/>
          <w:color w:val="525252"/>
          <w:sz w:val="13"/>
        </w:rPr>
        <w:t>Retraining is a force management tool used primarily to balance career fields (officer and enlisted) across all AFSCs, and to ensure sustainability of career fields.</w:t>
      </w:r>
    </w:p>
    <w:p>
      <w:pPr>
        <w:spacing w:after="20" w:line="223" w:lineRule="auto"/>
        <w:jc w:val="right"/>
        <w:bidi/>
      </w:pPr>
      <w:r>
        <w:rPr>
          <w:rFonts w:ascii="Arial" w:hAnsi="Arial"/>
          <w:sz w:val="16"/>
        </w:rPr>
        <w:t>144.30  بازآموزی نیز وسیله‌ای برای</w:t>
      </w:r>
    </w:p>
    <w:p>
      <w:pPr>
        <w:spacing w:after="28" w:line="216" w:lineRule="auto"/>
        <w:ind w:left="259"/>
        <w:jc w:val="left"/>
      </w:pPr>
      <w:r>
        <w:rPr>
          <w:rFonts w:ascii="Arial" w:hAnsi="Arial"/>
          <w:color w:val="525252"/>
          <w:sz w:val="13"/>
        </w:rPr>
        <w:t>Retraining also provides a means to</w:t>
      </w:r>
    </w:p>
    <w:p>
      <w:r>
        <w:br w:type="page"/>
      </w:r>
    </w:p>
    <w:p>
      <w:pPr>
        <w:spacing w:after="60"/>
        <w:jc w:val="right"/>
        <w:bidi/>
      </w:pPr>
      <w:r>
        <w:rPr>
          <w:rFonts w:ascii="Arial" w:hAnsi="Arial"/>
          <w:b/>
          <w:color w:val="1F4D78"/>
          <w:sz w:val="19"/>
        </w:rPr>
        <w:t>هفتهٔ 145  |  صفحهٔ منبع: 161</w:t>
      </w:r>
    </w:p>
    <w:p>
      <w:pPr>
        <w:spacing w:after="20" w:line="223" w:lineRule="auto"/>
        <w:jc w:val="right"/>
        <w:bidi/>
      </w:pPr>
      <w:r>
        <w:rPr>
          <w:rFonts w:ascii="Arial" w:hAnsi="Arial"/>
          <w:sz w:val="16"/>
        </w:rPr>
        <w:t>145.01  هوانوردان رد صلاحیت شده را به وضعیت تولیدی بازگردانید.</w:t>
      </w:r>
    </w:p>
    <w:p>
      <w:pPr>
        <w:spacing w:after="28" w:line="216" w:lineRule="auto"/>
        <w:ind w:left="259"/>
        <w:jc w:val="left"/>
      </w:pPr>
      <w:r>
        <w:rPr>
          <w:rFonts w:ascii="Arial" w:hAnsi="Arial"/>
          <w:color w:val="525252"/>
          <w:sz w:val="13"/>
        </w:rPr>
        <w:t>return disqualified Airmen to a productive status.</w:t>
      </w:r>
    </w:p>
    <w:p>
      <w:pPr>
        <w:spacing w:after="20" w:line="223" w:lineRule="auto"/>
        <w:jc w:val="right"/>
        <w:bidi/>
      </w:pPr>
      <w:r>
        <w:rPr>
          <w:rFonts w:ascii="Arial" w:hAnsi="Arial"/>
          <w:sz w:val="16"/>
        </w:rPr>
        <w:t>145.02  اگرچه ممکن است هوانوردان بر اساس نیازهای USAF برای بازآموزی غیرارادی انتخاب شوند، برنامه بازآموزی به تعداد محدودی از هوانوردان این فرصت را می‌دهد تا مسیرهای شغلی دیگری را در USAF دنبال کنند.</w:t>
      </w:r>
    </w:p>
    <w:p>
      <w:pPr>
        <w:spacing w:after="28" w:line="216" w:lineRule="auto"/>
        <w:ind w:left="259"/>
        <w:jc w:val="left"/>
      </w:pPr>
      <w:r>
        <w:rPr>
          <w:rFonts w:ascii="Arial" w:hAnsi="Arial"/>
          <w:color w:val="525252"/>
          <w:sz w:val="13"/>
        </w:rPr>
        <w:t>Although Airmen may be selected for involuntary retraining based on USAF needs, the retraining program allows a limited number of Airmen the opportunity to pursue other career paths in the USAF.</w:t>
      </w:r>
    </w:p>
    <w:p>
      <w:pPr>
        <w:spacing w:after="20" w:line="223" w:lineRule="auto"/>
        <w:jc w:val="right"/>
        <w:bidi/>
      </w:pPr>
      <w:r>
        <w:rPr>
          <w:rFonts w:ascii="Arial" w:hAnsi="Arial"/>
          <w:sz w:val="16"/>
        </w:rPr>
        <w:t>145.03  مشاوره بازآموزی آنلاین یک سند زنده موجود در میفسس است که توسط مرکز پرسنل نیروی هوایی به‌عنوان ابزاری کلیدی برای مشاوره دادن به اعضا در مورد فرصت‌های بازآموزی نگهداری می‌شود.</w:t>
      </w:r>
    </w:p>
    <w:p>
      <w:pPr>
        <w:spacing w:after="28" w:line="216" w:lineRule="auto"/>
        <w:ind w:left="259"/>
        <w:jc w:val="left"/>
      </w:pPr>
      <w:r>
        <w:rPr>
          <w:rFonts w:ascii="Arial" w:hAnsi="Arial"/>
          <w:color w:val="525252"/>
          <w:sz w:val="13"/>
        </w:rPr>
        <w:t>The Online Retraining Advisory is a living document found on myFSS, maintained by the Air Force Personnel Center as a key tool used to advise members of retraining opportunities.</w:t>
      </w:r>
    </w:p>
    <w:p>
      <w:pPr>
        <w:spacing w:after="20" w:line="223" w:lineRule="auto"/>
        <w:jc w:val="right"/>
        <w:bidi/>
      </w:pPr>
      <w:r>
        <w:rPr>
          <w:rFonts w:ascii="Arial" w:hAnsi="Arial"/>
          <w:sz w:val="16"/>
        </w:rPr>
        <w:t>145.04  برای اطلاعات بیشتر در مورد واجد شرایط بودن بازآموزی و مراحل درخواست، به: AFMAN ۳۶-۲۱۰۰ مراجعه کنید.</w:t>
      </w:r>
    </w:p>
    <w:p>
      <w:pPr>
        <w:spacing w:after="28" w:line="216" w:lineRule="auto"/>
        <w:ind w:left="259"/>
        <w:jc w:val="left"/>
      </w:pPr>
      <w:r>
        <w:rPr>
          <w:rFonts w:ascii="Arial" w:hAnsi="Arial"/>
          <w:color w:val="525252"/>
          <w:sz w:val="13"/>
        </w:rPr>
        <w:t>For additional information on retraining eligibility and application procedures, refer to: AFMAN 36-2100.</w:t>
      </w:r>
    </w:p>
    <w:p>
      <w:pPr>
        <w:spacing w:after="20" w:line="223" w:lineRule="auto"/>
        <w:jc w:val="right"/>
        <w:bidi/>
      </w:pPr>
      <w:r>
        <w:rPr>
          <w:rFonts w:ascii="Arial" w:hAnsi="Arial"/>
          <w:sz w:val="16"/>
        </w:rPr>
        <w:t>145.05  برنامه دوره اول بازآموزی هوانوردان.</w:t>
      </w:r>
    </w:p>
    <w:p>
      <w:pPr>
        <w:spacing w:after="28" w:line="216" w:lineRule="auto"/>
        <w:ind w:left="259"/>
        <w:jc w:val="left"/>
      </w:pPr>
      <w:r>
        <w:rPr>
          <w:rFonts w:ascii="Arial" w:hAnsi="Arial"/>
          <w:color w:val="525252"/>
          <w:sz w:val="13"/>
        </w:rPr>
        <w:t>First-Term Airmen Retraining Program.</w:t>
      </w:r>
    </w:p>
    <w:p>
      <w:pPr>
        <w:spacing w:after="20" w:line="223" w:lineRule="auto"/>
        <w:jc w:val="right"/>
        <w:bidi/>
      </w:pPr>
      <w:r>
        <w:rPr>
          <w:rFonts w:ascii="Arial" w:hAnsi="Arial"/>
          <w:sz w:val="16"/>
        </w:rPr>
        <w:t>145.06  هوانوردان دوره اول که به قاره ایالات متحده منصوب می‌شوند، می‌توانند نه زودتر از اولین روز خدمت در ماه که طی آن ۳۵ ماه از سربازی فعلی خود را سپری می‌کنند (۵۹ ماه برای سربازان شش ساله)، اما نه دیرتر از آخرین روز وظیفه از چهل و سومین ماه خدمت فعلی خود (۶۷ ماه برای سربازان شش ساله).</w:t>
      </w:r>
    </w:p>
    <w:p>
      <w:pPr>
        <w:spacing w:after="28" w:line="216" w:lineRule="auto"/>
        <w:ind w:left="259"/>
        <w:jc w:val="left"/>
      </w:pPr>
      <w:r>
        <w:rPr>
          <w:rFonts w:ascii="Arial" w:hAnsi="Arial"/>
          <w:color w:val="525252"/>
          <w:sz w:val="13"/>
        </w:rPr>
        <w:t>First-term Airmen assigned to the Continental United States may apply not earlier than the first duty day of the month during which they complete 35 months of their current enlistment (59 months for six-year enlistees), but not later than the last duty day of the 43rd month of their current enlistment (67 months for six-year enlistees).</w:t>
      </w:r>
    </w:p>
    <w:p>
      <w:pPr>
        <w:spacing w:after="20" w:line="223" w:lineRule="auto"/>
        <w:jc w:val="right"/>
        <w:bidi/>
      </w:pPr>
      <w:r>
        <w:rPr>
          <w:rFonts w:ascii="Arial" w:hAnsi="Arial"/>
          <w:sz w:val="16"/>
        </w:rPr>
        <w:t>145.07  هوانوردان ترم اول که در خارج از قاره ایالات متحده منصوب شده‌اند، می‌توانند برای بازآموزی ۹ تا ۱۵ ماه قبل از تاریخی که واجد شرایط بازگشت از خارج از کشور هستند، در صورتی که در دوره عادی دوره اول خود خدمت کنند (۳۵ ماه برای سربازان چهار ساله یا ماه ۵۹ برای سربازان شش ساله).</w:t>
      </w:r>
    </w:p>
    <w:p>
      <w:pPr>
        <w:spacing w:after="28" w:line="216" w:lineRule="auto"/>
        <w:ind w:left="259"/>
        <w:jc w:val="left"/>
      </w:pPr>
      <w:r>
        <w:rPr>
          <w:rFonts w:ascii="Arial" w:hAnsi="Arial"/>
          <w:color w:val="525252"/>
          <w:sz w:val="13"/>
        </w:rPr>
        <w:t>First-term Airmen assigned outside the Continental United States may apply for retraining nine to 15 months prior to the date they are eligible to return from overseas if serving within their normal first-term window (35th month for four-year enlistees or 59th month for six-year enlistees).</w:t>
      </w:r>
    </w:p>
    <w:p>
      <w:pPr>
        <w:spacing w:after="20" w:line="223" w:lineRule="auto"/>
        <w:jc w:val="right"/>
        <w:bidi/>
      </w:pPr>
      <w:r>
        <w:rPr>
          <w:rFonts w:ascii="Arial" w:hAnsi="Arial"/>
          <w:sz w:val="16"/>
        </w:rPr>
        <w:t>145.08  هوانوردان با تاریخ بازگشت نامحدود از خارج از کشور باید قبل از عزیمت برای آموزش مجدد، طول اصلی تور را تکمیل کنند.</w:t>
      </w:r>
    </w:p>
    <w:p>
      <w:pPr>
        <w:spacing w:after="28" w:line="216" w:lineRule="auto"/>
        <w:ind w:left="259"/>
        <w:jc w:val="left"/>
      </w:pPr>
      <w:r>
        <w:rPr>
          <w:rFonts w:ascii="Arial" w:hAnsi="Arial"/>
          <w:color w:val="525252"/>
          <w:sz w:val="13"/>
        </w:rPr>
        <w:t>Airmen with an indefinite return from overseas date must complete the original tour length before departing for retraining.</w:t>
      </w:r>
    </w:p>
    <w:p>
      <w:pPr>
        <w:spacing w:after="20" w:line="223" w:lineRule="auto"/>
        <w:jc w:val="right"/>
        <w:bidi/>
      </w:pPr>
      <w:r>
        <w:rPr>
          <w:rFonts w:ascii="Arial" w:hAnsi="Arial"/>
          <w:sz w:val="16"/>
        </w:rPr>
        <w:t>145.09  در آخرین روز وظیفه هر ماه، مرکز پرسنل نیروی هوایی واجد شرایط‌ترین هوانوردان را برای بازآموزی بر اساس شاخص‌های کیفی آخرین رتبه گزارش عملکرد، درجه فعلی، درجه پیش بینی شده، رتبه بندی دو گزارش عملکرد قبلی، تاریخ رتبه، کل تاریخ خدمت سربازی فعال فدرال، امتیاز آزمون صلاحیت صلاحیت استعداد (الکتریکی، مدیر عمومی، مکانیکال، نیروی هوایی، عمومی، جزئی) انتخاب می‌کند. و تنظیمات AFSC را درخواست کرد.</w:t>
      </w:r>
    </w:p>
    <w:p>
      <w:pPr>
        <w:spacing w:after="28" w:line="216" w:lineRule="auto"/>
        <w:ind w:left="259"/>
        <w:jc w:val="left"/>
      </w:pPr>
      <w:r>
        <w:rPr>
          <w:rFonts w:ascii="Arial" w:hAnsi="Arial"/>
          <w:color w:val="525252"/>
          <w:sz w:val="13"/>
        </w:rPr>
        <w:t>On the last duty day of each month, the Air Force Personnel Center selects the most eligible Airmen for retraining based on quality indicators of most recent performance report rating, current grade, projected grade, previous two performance report ratings, date of rank, total active federal military service date, aptitude qualification examination score (electrical, mechanical, administrative, general), Air Force Enlisted Classification Directory, Part II, and requested AFSC preferences.</w:t>
      </w:r>
    </w:p>
    <w:p>
      <w:pPr>
        <w:spacing w:after="20" w:line="223" w:lineRule="auto"/>
        <w:jc w:val="right"/>
        <w:bidi/>
      </w:pPr>
      <w:r>
        <w:rPr>
          <w:rFonts w:ascii="Arial" w:hAnsi="Arial"/>
          <w:sz w:val="16"/>
        </w:rPr>
        <w:t>145.10  برنامه بازآموزی افسران غیر مأمور.</w:t>
      </w:r>
    </w:p>
    <w:p>
      <w:pPr>
        <w:spacing w:after="28" w:line="216" w:lineRule="auto"/>
        <w:ind w:left="259"/>
        <w:jc w:val="left"/>
      </w:pPr>
      <w:r>
        <w:rPr>
          <w:rFonts w:ascii="Arial" w:hAnsi="Arial"/>
          <w:color w:val="525252"/>
          <w:sz w:val="13"/>
        </w:rPr>
        <w:t>Noncommissioned Officer Retraining Program.</w:t>
      </w:r>
    </w:p>
    <w:p>
      <w:pPr>
        <w:spacing w:after="20" w:line="223" w:lineRule="auto"/>
        <w:jc w:val="right"/>
        <w:bidi/>
      </w:pPr>
      <w:r>
        <w:rPr>
          <w:rFonts w:ascii="Arial" w:hAnsi="Arial"/>
          <w:sz w:val="16"/>
        </w:rPr>
        <w:t>145.11  برنامه بازآموزی NCO برای بازآموزی هوانوردان دوره دوم و حرفه‌ای از تخصص‌های بیش از حد USAF به تخصص‌های کمبود برای بهینه‌سازی نیروی اعزام‌شده و برای برآوردن بهترین نیازهای مأموریت فعلی و آینده طراحی شده است.</w:t>
      </w:r>
    </w:p>
    <w:p>
      <w:pPr>
        <w:spacing w:after="28" w:line="216" w:lineRule="auto"/>
        <w:ind w:left="259"/>
        <w:jc w:val="left"/>
      </w:pPr>
      <w:r>
        <w:rPr>
          <w:rFonts w:ascii="Arial" w:hAnsi="Arial"/>
          <w:color w:val="525252"/>
          <w:sz w:val="13"/>
        </w:rPr>
        <w:t>The NCO retraining program is designed to retrain second-term and career Airmen from overage USAF specialties into shortage specialties to optimize the enlisted force and to best meet current and future mission needs.</w:t>
      </w:r>
    </w:p>
    <w:p>
      <w:pPr>
        <w:spacing w:after="20" w:line="223" w:lineRule="auto"/>
        <w:jc w:val="right"/>
        <w:bidi/>
      </w:pPr>
      <w:r>
        <w:rPr>
          <w:rFonts w:ascii="Arial" w:hAnsi="Arial"/>
          <w:sz w:val="16"/>
        </w:rPr>
        <w:t>145.12  هوانوردانی که دارای یک AFSC ثانویه یا اضافی در مهارت کمبود هستند، در صورتی که به نفع USAF باشد، ممکن است به مهارت کمبود بازگردانده شوند.</w:t>
      </w:r>
    </w:p>
    <w:p>
      <w:pPr>
        <w:spacing w:after="28" w:line="216" w:lineRule="auto"/>
        <w:ind w:left="259"/>
        <w:jc w:val="left"/>
      </w:pPr>
      <w:r>
        <w:rPr>
          <w:rFonts w:ascii="Arial" w:hAnsi="Arial"/>
          <w:color w:val="525252"/>
          <w:sz w:val="13"/>
        </w:rPr>
        <w:t>Airmen possessing a secondary or additional AFSC in a shortage skill may be returned to the shortage skill if in the best interest of the USAF.</w:t>
      </w:r>
    </w:p>
    <w:p>
      <w:pPr>
        <w:spacing w:after="20" w:line="223" w:lineRule="auto"/>
        <w:jc w:val="right"/>
        <w:bidi/>
      </w:pPr>
      <w:r>
        <w:rPr>
          <w:rFonts w:ascii="Arial" w:hAnsi="Arial"/>
          <w:sz w:val="16"/>
        </w:rPr>
        <w:t>145.13  فازهای ی و II.</w:t>
      </w:r>
    </w:p>
    <w:p>
      <w:pPr>
        <w:spacing w:after="28" w:line="216" w:lineRule="auto"/>
        <w:ind w:left="259"/>
        <w:jc w:val="left"/>
      </w:pPr>
      <w:r>
        <w:rPr>
          <w:rFonts w:ascii="Arial" w:hAnsi="Arial"/>
          <w:color w:val="525252"/>
          <w:sz w:val="13"/>
        </w:rPr>
        <w:t>Phases I and II.</w:t>
      </w:r>
    </w:p>
    <w:p>
      <w:pPr>
        <w:spacing w:after="20" w:line="223" w:lineRule="auto"/>
        <w:jc w:val="right"/>
        <w:bidi/>
      </w:pPr>
      <w:r>
        <w:rPr>
          <w:rFonts w:ascii="Arial" w:hAnsi="Arial"/>
          <w:sz w:val="16"/>
        </w:rPr>
        <w:t>145.14  برنامه بازآموزی افسر پلیس شامل دو مرحله است.</w:t>
      </w:r>
    </w:p>
    <w:p>
      <w:pPr>
        <w:spacing w:after="28" w:line="216" w:lineRule="auto"/>
        <w:ind w:left="259"/>
        <w:jc w:val="left"/>
      </w:pPr>
      <w:r>
        <w:rPr>
          <w:rFonts w:ascii="Arial" w:hAnsi="Arial"/>
          <w:color w:val="525252"/>
          <w:sz w:val="13"/>
        </w:rPr>
        <w:t>The NCO retraining program consists of two phases.</w:t>
      </w:r>
    </w:p>
    <w:p>
      <w:pPr>
        <w:spacing w:after="20" w:line="223" w:lineRule="auto"/>
        <w:jc w:val="right"/>
        <w:bidi/>
      </w:pPr>
      <w:r>
        <w:rPr>
          <w:rFonts w:ascii="Arial" w:hAnsi="Arial"/>
          <w:sz w:val="16"/>
        </w:rPr>
        <w:t>145.15  هدف فاز ی، به دست آوردن متقاضیان داوطلب از AFSCهای بیش از حد شناسایی شده برای تکمیل الزامات کدهای تخصصی کمبود است.</w:t>
      </w:r>
    </w:p>
    <w:p>
      <w:pPr>
        <w:spacing w:after="28" w:line="216" w:lineRule="auto"/>
        <w:ind w:left="259"/>
        <w:jc w:val="left"/>
      </w:pPr>
      <w:r>
        <w:rPr>
          <w:rFonts w:ascii="Arial" w:hAnsi="Arial"/>
          <w:color w:val="525252"/>
          <w:sz w:val="13"/>
        </w:rPr>
        <w:t>The objective of Phase I is to obtain volunteer applicants from identified overage AFSCs to fill requirements in shortage specialty codes.</w:t>
      </w:r>
    </w:p>
    <w:p>
      <w:pPr>
        <w:spacing w:after="20" w:line="223" w:lineRule="auto"/>
        <w:jc w:val="right"/>
        <w:bidi/>
      </w:pPr>
      <w:r>
        <w:rPr>
          <w:rFonts w:ascii="Arial" w:hAnsi="Arial"/>
          <w:sz w:val="16"/>
        </w:rPr>
        <w:t>145.16  همه هوانوردان با اهداف بازآموزی «خارج» می‌توانند برای هر کد تخصصی موجود با اهداف «در» بازآموزی که واجد شرایط هستند درخواست دهند.</w:t>
      </w:r>
    </w:p>
    <w:p>
      <w:pPr>
        <w:spacing w:after="28" w:line="216" w:lineRule="auto"/>
        <w:ind w:left="259"/>
        <w:jc w:val="left"/>
      </w:pPr>
      <w:r>
        <w:rPr>
          <w:rFonts w:ascii="Arial" w:hAnsi="Arial"/>
          <w:color w:val="525252"/>
          <w:sz w:val="13"/>
        </w:rPr>
        <w:t>All Airmen with retraining ‘out’ objectives may apply for any available specialty codes with retraining ‘in’ objectives for which they qualify.</w:t>
      </w:r>
    </w:p>
    <w:p>
      <w:pPr>
        <w:spacing w:after="20" w:line="223" w:lineRule="auto"/>
        <w:jc w:val="right"/>
        <w:bidi/>
      </w:pPr>
      <w:r>
        <w:rPr>
          <w:rFonts w:ascii="Arial" w:hAnsi="Arial"/>
          <w:sz w:val="16"/>
        </w:rPr>
        <w:t>145.17  در مرحله اول، در صورت عدم دریافت درخواست کافی و برآورده نشدن اهداف بازآموزی برای سال مالی، اجرای فاز دوم ضروری است.</w:t>
      </w:r>
    </w:p>
    <w:p>
      <w:pPr>
        <w:spacing w:after="28" w:line="216" w:lineRule="auto"/>
        <w:ind w:left="259"/>
        <w:jc w:val="left"/>
      </w:pPr>
      <w:r>
        <w:rPr>
          <w:rFonts w:ascii="Arial" w:hAnsi="Arial"/>
          <w:color w:val="525252"/>
          <w:sz w:val="13"/>
        </w:rPr>
        <w:t>During Phase I, if sufficient applications are not received and retraining objectives for the fiscal year are not met, implementation of Phase II is necessary.</w:t>
      </w:r>
    </w:p>
    <w:p>
      <w:pPr>
        <w:spacing w:after="20" w:line="223" w:lineRule="auto"/>
        <w:jc w:val="right"/>
        <w:bidi/>
      </w:pPr>
      <w:r>
        <w:rPr>
          <w:rFonts w:ascii="Arial" w:hAnsi="Arial"/>
          <w:sz w:val="16"/>
        </w:rPr>
        <w:t>145.18  در فاز دوم، هوانوردان برای بازآموزی اجباری بر اساس نیازهای USAF برای تعادل نیرو انتخاب خواهند شد.</w:t>
      </w:r>
    </w:p>
    <w:p>
      <w:pPr>
        <w:spacing w:after="28" w:line="216" w:lineRule="auto"/>
        <w:ind w:left="259"/>
        <w:jc w:val="left"/>
      </w:pPr>
      <w:r>
        <w:rPr>
          <w:rFonts w:ascii="Arial" w:hAnsi="Arial"/>
          <w:color w:val="525252"/>
          <w:sz w:val="13"/>
        </w:rPr>
        <w:t>In Phase II, Airmen will be selected for mandatory retraining based on USAF needs to balance the force.</w:t>
      </w:r>
    </w:p>
    <w:p>
      <w:pPr>
        <w:spacing w:after="20" w:line="223" w:lineRule="auto"/>
        <w:jc w:val="right"/>
        <w:bidi/>
      </w:pPr>
      <w:r>
        <w:rPr>
          <w:rFonts w:ascii="Arial" w:hAnsi="Arial"/>
          <w:sz w:val="16"/>
        </w:rPr>
        <w:t>145.19  فهرست اصلی آسیب‌پذیری برای انتخاب نیروهای هوایی برای بازآموزی اجباری استفاده می‌شود.</w:t>
      </w:r>
    </w:p>
    <w:p>
      <w:pPr>
        <w:spacing w:after="28" w:line="216" w:lineRule="auto"/>
        <w:ind w:left="259"/>
        <w:jc w:val="left"/>
      </w:pPr>
      <w:r>
        <w:rPr>
          <w:rFonts w:ascii="Arial" w:hAnsi="Arial"/>
          <w:color w:val="525252"/>
          <w:sz w:val="13"/>
        </w:rPr>
        <w:t>The master vulnerability list is used to select Airmen for mandatory retraining.</w:t>
      </w:r>
    </w:p>
    <w:p>
      <w:pPr>
        <w:spacing w:before="60" w:after="28"/>
        <w:jc w:val="right"/>
        <w:bidi/>
      </w:pPr>
      <w:r>
        <w:rPr>
          <w:b/>
          <w:color w:val="1F4D78"/>
          <w:sz w:val="18"/>
        </w:rPr>
        <w:t>8.17. افسر جریان متقاطع و برنامه های طبقه بندی مجدد</w:t>
      </w:r>
    </w:p>
    <w:p>
      <w:pPr>
        <w:spacing w:after="20"/>
        <w:ind w:left="259"/>
        <w:jc w:val="left"/>
      </w:pPr>
      <w:r>
        <w:rPr>
          <w:color w:val="555555"/>
          <w:sz w:val="12"/>
        </w:rPr>
        <w:t>8.17. Officer Crossflow and Reclassification Programs</w:t>
      </w:r>
    </w:p>
    <w:p>
      <w:pPr>
        <w:spacing w:after="20" w:line="223" w:lineRule="auto"/>
        <w:jc w:val="right"/>
        <w:bidi/>
      </w:pPr>
      <w:r>
        <w:rPr>
          <w:rFonts w:ascii="Arial" w:hAnsi="Arial"/>
          <w:sz w:val="16"/>
        </w:rPr>
        <w:t>145.21  ابزارها و رویه‌ها برای رسیدگی به عدم تعادل نیروی انسانی در حوزه شغلی و شکل دادن به نیروی افسر در حد توان نهایی مجاز و تأمین‌شده در دسترس هستند.</w:t>
      </w:r>
    </w:p>
    <w:p>
      <w:pPr>
        <w:spacing w:after="28" w:line="216" w:lineRule="auto"/>
        <w:ind w:left="259"/>
        <w:jc w:val="left"/>
      </w:pPr>
      <w:r>
        <w:rPr>
          <w:rFonts w:ascii="Arial" w:hAnsi="Arial"/>
          <w:color w:val="525252"/>
          <w:sz w:val="13"/>
        </w:rPr>
        <w:t>Tools and procedures are available to address career field manning imbalances and shape the officer force within authorized, funded end-strength.</w:t>
      </w:r>
    </w:p>
    <w:p>
      <w:pPr>
        <w:spacing w:after="20" w:line="223" w:lineRule="auto"/>
        <w:jc w:val="right"/>
        <w:bidi/>
      </w:pPr>
      <w:r>
        <w:rPr>
          <w:rFonts w:ascii="Arial" w:hAnsi="Arial"/>
          <w:sz w:val="16"/>
        </w:rPr>
        <w:t>145.22  برنامه نونراتد لین کروسسفلوو به کمبود نیروی انسانی و اضافه کاری با انجام یک پانل جریان متقاطع در صورت نیاز برای انتخاب بهترین افسران واجد شرایط برای پر کردن جای خالی مورد نیاز رسیدگی می‌کند.</w:t>
      </w:r>
    </w:p>
    <w:p>
      <w:pPr>
        <w:spacing w:after="28" w:line="216" w:lineRule="auto"/>
        <w:ind w:left="259"/>
        <w:jc w:val="left"/>
      </w:pPr>
      <w:r>
        <w:rPr>
          <w:rFonts w:ascii="Arial" w:hAnsi="Arial"/>
          <w:color w:val="525252"/>
          <w:sz w:val="13"/>
        </w:rPr>
        <w:t>The Nonrated Line Crossflow Program addresses manning shortages and overages by conducting a crossflow panel when needed to select the best qualified officers to fill the required vacancies.</w:t>
      </w:r>
    </w:p>
    <w:p>
      <w:pPr>
        <w:spacing w:after="20" w:line="223" w:lineRule="auto"/>
        <w:jc w:val="right"/>
        <w:bidi/>
      </w:pPr>
      <w:r>
        <w:rPr>
          <w:rFonts w:ascii="Arial" w:hAnsi="Arial"/>
          <w:sz w:val="16"/>
        </w:rPr>
        <w:t>145.23  برنامه موشک‌های متقاطع فرآیندی است که تضمین می‌کند تخصص نیروی هوایی در عملیات‌های هسته‌ای و موشکی (۱۳ن) برای پایداری با جریان متقابل افسران اضافی در مرحله چهار ساله بازگشت به حوزه‌های شغلی اهداکنندگان، متعادل باقی می‌ماند.</w:t>
      </w:r>
    </w:p>
    <w:p>
      <w:pPr>
        <w:spacing w:after="28" w:line="216" w:lineRule="auto"/>
        <w:ind w:left="259"/>
        <w:jc w:val="left"/>
      </w:pPr>
      <w:r>
        <w:rPr>
          <w:rFonts w:ascii="Arial" w:hAnsi="Arial"/>
          <w:color w:val="525252"/>
          <w:sz w:val="13"/>
        </w:rPr>
        <w:t>The Missileer Crossflow Program is a process ensuring the Nuclear and Missile Operations (13N) Air Force specialty remains balanced for sustainment by crossflowing excess officers at the four-year point back to donor career fields.</w:t>
      </w:r>
    </w:p>
    <w:p>
      <w:pPr>
        <w:spacing w:after="20" w:line="223" w:lineRule="auto"/>
        <w:jc w:val="right"/>
        <w:bidi/>
      </w:pPr>
      <w:r>
        <w:rPr>
          <w:rFonts w:ascii="Arial" w:hAnsi="Arial"/>
          <w:sz w:val="16"/>
        </w:rPr>
        <w:t>145.24  درخواست‌های جریان متقاطع خارج از چرخه، و همچنین طبقه‌بندی مجدد مهارت‌های اولیه، برنامه‌های اضافی برای اطمینان از تعادل رشته‌های شغلی افسر هستند.</w:t>
      </w:r>
    </w:p>
    <w:p>
      <w:pPr>
        <w:spacing w:after="28" w:line="216" w:lineRule="auto"/>
        <w:ind w:left="259"/>
        <w:jc w:val="left"/>
      </w:pPr>
      <w:r>
        <w:rPr>
          <w:rFonts w:ascii="Arial" w:hAnsi="Arial"/>
          <w:color w:val="525252"/>
          <w:sz w:val="13"/>
        </w:rPr>
        <w:t>Out-of-cycle crossflow requests, as well as initial skills training reclassification, are additional programs to ensure the balance of officer career fields.</w:t>
      </w:r>
    </w:p>
    <w:p>
      <w:r>
        <w:br w:type="page"/>
      </w:r>
    </w:p>
    <w:p>
      <w:pPr>
        <w:spacing w:after="60"/>
        <w:jc w:val="right"/>
        <w:bidi/>
      </w:pPr>
      <w:r>
        <w:rPr>
          <w:rFonts w:ascii="Arial" w:hAnsi="Arial"/>
          <w:b/>
          <w:color w:val="1F4D78"/>
          <w:sz w:val="19"/>
        </w:rPr>
        <w:t>هفتهٔ 146  |  صفحهٔ منبع: 162</w:t>
      </w:r>
    </w:p>
    <w:p>
      <w:pPr>
        <w:spacing w:before="60" w:after="28"/>
        <w:jc w:val="right"/>
        <w:bidi/>
      </w:pPr>
      <w:r>
        <w:rPr>
          <w:b/>
          <w:color w:val="1F4D78"/>
          <w:sz w:val="18"/>
        </w:rPr>
        <w:t>بخش 8D - جوایز و تزیینات</w:t>
      </w:r>
    </w:p>
    <w:p>
      <w:pPr>
        <w:spacing w:after="20"/>
        <w:ind w:left="259"/>
        <w:jc w:val="left"/>
      </w:pPr>
      <w:r>
        <w:rPr>
          <w:color w:val="555555"/>
          <w:sz w:val="12"/>
        </w:rPr>
        <w:t>Section 8D—Awards and Decorations</w:t>
      </w:r>
    </w:p>
    <w:p>
      <w:pPr>
        <w:spacing w:before="60" w:after="28"/>
        <w:jc w:val="right"/>
        <w:bidi/>
      </w:pPr>
      <w:r>
        <w:rPr>
          <w:b/>
          <w:color w:val="1F4D78"/>
          <w:sz w:val="18"/>
        </w:rPr>
        <w:t>8.18. برنامه جوایز و تزیینات</w:t>
      </w:r>
    </w:p>
    <w:p>
      <w:pPr>
        <w:spacing w:after="20"/>
        <w:ind w:left="259"/>
        <w:jc w:val="left"/>
      </w:pPr>
      <w:r>
        <w:rPr>
          <w:color w:val="555555"/>
          <w:sz w:val="12"/>
        </w:rPr>
        <w:t>8.18. Awards and Decorations Program</w:t>
      </w:r>
    </w:p>
    <w:p>
      <w:pPr>
        <w:spacing w:after="20" w:line="223" w:lineRule="auto"/>
        <w:jc w:val="right"/>
        <w:bidi/>
      </w:pPr>
      <w:r>
        <w:rPr>
          <w:rFonts w:ascii="Arial" w:hAnsi="Arial"/>
          <w:sz w:val="16"/>
        </w:rPr>
        <w:t>146.03  اعضای USAF فداکاری‌های شخصی و حرفه‌ای زیادی انجام می‌دهند تا اطمینان حاصل کنند که USAF مأموریت خود را انجام می‌دهد.</w:t>
      </w:r>
    </w:p>
    <w:p>
      <w:pPr>
        <w:spacing w:after="28" w:line="216" w:lineRule="auto"/>
        <w:ind w:left="259"/>
        <w:jc w:val="left"/>
      </w:pPr>
      <w:r>
        <w:rPr>
          <w:rFonts w:ascii="Arial" w:hAnsi="Arial"/>
          <w:color w:val="525252"/>
          <w:sz w:val="13"/>
        </w:rPr>
        <w:t>USAF members make many personal and professional sacrifices to ensure the USAF accomplishes its mission.</w:t>
      </w:r>
    </w:p>
    <w:p>
      <w:pPr>
        <w:spacing w:after="20" w:line="223" w:lineRule="auto"/>
        <w:jc w:val="right"/>
        <w:bidi/>
      </w:pPr>
      <w:r>
        <w:rPr>
          <w:rFonts w:ascii="Arial" w:hAnsi="Arial"/>
          <w:sz w:val="16"/>
        </w:rPr>
        <w:t>146.04  اقدامات دلاورانه، قهرمانی، خدمات استثنایی، و دستاوردهای برجسته، شایسته تقدیر ویژه هستند.</w:t>
      </w:r>
    </w:p>
    <w:p>
      <w:pPr>
        <w:spacing w:after="28" w:line="216" w:lineRule="auto"/>
        <w:ind w:left="259"/>
        <w:jc w:val="left"/>
      </w:pPr>
      <w:r>
        <w:rPr>
          <w:rFonts w:ascii="Arial" w:hAnsi="Arial"/>
          <w:color w:val="525252"/>
          <w:sz w:val="13"/>
        </w:rPr>
        <w:t>Acts of valor, heroism, exceptional service, and outstanding achievement deserve special recognition.</w:t>
      </w:r>
    </w:p>
    <w:p>
      <w:pPr>
        <w:spacing w:after="20" w:line="223" w:lineRule="auto"/>
        <w:jc w:val="right"/>
        <w:bidi/>
      </w:pPr>
      <w:r>
        <w:rPr>
          <w:rFonts w:ascii="Arial" w:hAnsi="Arial"/>
          <w:sz w:val="16"/>
        </w:rPr>
        <w:t>146.05  دپارتمان برنامه جوایز و تزیینات نظامی نیروی هوایی، همانطور که در DAFMAN ۳۶-۲۸۰۶، جوایز نظامی: معیارها و رویه‌ها مشخص شده است، برای شناسایی واحدها، سازمان‌ها و افراد، و تقویت روحیه، ایجاد انگیزه و القای روحیه در سپاه طراحی شده است.</w:t>
      </w:r>
    </w:p>
    <w:p>
      <w:pPr>
        <w:spacing w:after="28" w:line="216" w:lineRule="auto"/>
        <w:ind w:left="259"/>
        <w:jc w:val="left"/>
      </w:pPr>
      <w:r>
        <w:rPr>
          <w:rFonts w:ascii="Arial" w:hAnsi="Arial"/>
          <w:color w:val="525252"/>
          <w:sz w:val="13"/>
        </w:rPr>
        <w:t>The Department of the Air Force Military Awards and Decorations Program, as outlined in DAFMAN 36-2806, Military Awards: Criteria and Procedures, is designed to recognize units, organizations, and individuals, and to foster morale, provide incentive, and instill esprit de corps.</w:t>
      </w:r>
    </w:p>
    <w:p>
      <w:pPr>
        <w:spacing w:after="20" w:line="223" w:lineRule="auto"/>
        <w:jc w:val="right"/>
        <w:bidi/>
      </w:pPr>
      <w:r>
        <w:rPr>
          <w:rFonts w:ascii="Arial" w:hAnsi="Arial"/>
          <w:sz w:val="16"/>
        </w:rPr>
        <w:t>146.06  افراد یا واحدهایی که تحت این برنامه برای جوایز و تزیینات در نظر گرفته شده‌اند باید به وضوح عملکرد پایدار و برتر را نشان دهند.</w:t>
      </w:r>
    </w:p>
    <w:p>
      <w:pPr>
        <w:spacing w:after="28" w:line="216" w:lineRule="auto"/>
        <w:ind w:left="259"/>
        <w:jc w:val="left"/>
      </w:pPr>
      <w:r>
        <w:rPr>
          <w:rFonts w:ascii="Arial" w:hAnsi="Arial"/>
          <w:color w:val="525252"/>
          <w:sz w:val="13"/>
        </w:rPr>
        <w:t>Individuals or units considered for awards and decorations under this program must clearly demonstrate sustained and superior performance.</w:t>
      </w:r>
    </w:p>
    <w:p>
      <w:pPr>
        <w:spacing w:before="60" w:after="28"/>
        <w:jc w:val="right"/>
        <w:bidi/>
      </w:pPr>
      <w:r>
        <w:rPr>
          <w:b/>
          <w:color w:val="1F4D78"/>
          <w:sz w:val="18"/>
        </w:rPr>
        <w:t>8.19. جوایز کمپین، اعزامی و خدمات وزارت دفاع</w:t>
      </w:r>
    </w:p>
    <w:p>
      <w:pPr>
        <w:spacing w:after="20"/>
        <w:ind w:left="259"/>
        <w:jc w:val="left"/>
      </w:pPr>
      <w:r>
        <w:rPr>
          <w:color w:val="555555"/>
          <w:sz w:val="12"/>
        </w:rPr>
        <w:t>8.19. DoD Campaign, Expeditionary, and Service Awards</w:t>
      </w:r>
    </w:p>
    <w:p>
      <w:pPr>
        <w:spacing w:after="20" w:line="223" w:lineRule="auto"/>
        <w:jc w:val="right"/>
        <w:bidi/>
      </w:pPr>
      <w:r>
        <w:rPr>
          <w:rFonts w:ascii="Arial" w:hAnsi="Arial"/>
          <w:sz w:val="16"/>
        </w:rPr>
        <w:t>146.08  کمپین وزارت دفاع، جوایز اعزامی و خدماتی، شرکت در کمپین‌ها و اکتشافات نظامی، عملیات نظامی مهم، خدمت شخصی نظامی یا دستیابی به یک نیاز را به رسمیت می‌شناسد.</w:t>
      </w:r>
    </w:p>
    <w:p>
      <w:pPr>
        <w:spacing w:after="28" w:line="216" w:lineRule="auto"/>
        <w:ind w:left="259"/>
        <w:jc w:val="left"/>
      </w:pPr>
      <w:r>
        <w:rPr>
          <w:rFonts w:ascii="Arial" w:hAnsi="Arial"/>
          <w:color w:val="525252"/>
          <w:sz w:val="13"/>
        </w:rPr>
        <w:t>DoD campaign, expeditionary, and service awards recognize participation in military campaigns and expeditions, significant military operations, personal military service, or attainment of a requirement.</w:t>
      </w:r>
    </w:p>
    <w:p>
      <w:pPr>
        <w:spacing w:after="20" w:line="223" w:lineRule="auto"/>
        <w:jc w:val="right"/>
        <w:bidi/>
      </w:pPr>
      <w:r>
        <w:rPr>
          <w:rFonts w:ascii="Arial" w:hAnsi="Arial"/>
          <w:sz w:val="16"/>
        </w:rPr>
        <w:t>146.09  اعضای نظامی باید کپی‌هایی از دستورات سفر و کوپن‌های سفر خود را به‌عنوان مدرک مستندی مبنی بر استحقاق خدمت و جوایز کمپین نگه دارند.</w:t>
      </w:r>
    </w:p>
    <w:p>
      <w:pPr>
        <w:spacing w:after="28" w:line="216" w:lineRule="auto"/>
        <w:ind w:left="259"/>
        <w:jc w:val="left"/>
      </w:pPr>
      <w:r>
        <w:rPr>
          <w:rFonts w:ascii="Arial" w:hAnsi="Arial"/>
          <w:color w:val="525252"/>
          <w:sz w:val="13"/>
        </w:rPr>
        <w:t>Military members should keep copies of their travel orders and their travel vouchers as documented proof of entitlement to service and campaign awards.</w:t>
      </w:r>
    </w:p>
    <w:p>
      <w:pPr>
        <w:spacing w:after="20" w:line="223" w:lineRule="auto"/>
        <w:jc w:val="right"/>
        <w:bidi/>
      </w:pPr>
      <w:r>
        <w:rPr>
          <w:rFonts w:ascii="Arial" w:hAnsi="Arial"/>
          <w:sz w:val="16"/>
        </w:rPr>
        <w:t>146.10  چندین جایزه خدمات و کمپین در اینجا به اختصار توضیح داده شده است.</w:t>
      </w:r>
    </w:p>
    <w:p>
      <w:pPr>
        <w:spacing w:after="28" w:line="216" w:lineRule="auto"/>
        <w:ind w:left="259"/>
        <w:jc w:val="left"/>
      </w:pPr>
      <w:r>
        <w:rPr>
          <w:rFonts w:ascii="Arial" w:hAnsi="Arial"/>
          <w:color w:val="525252"/>
          <w:sz w:val="13"/>
        </w:rPr>
        <w:t>Several service and campaign awards are briefly described here.</w:t>
      </w:r>
    </w:p>
    <w:p>
      <w:pPr>
        <w:spacing w:after="20" w:line="223" w:lineRule="auto"/>
        <w:jc w:val="right"/>
        <w:bidi/>
      </w:pPr>
      <w:r>
        <w:rPr>
          <w:rFonts w:ascii="Arial" w:hAnsi="Arial"/>
          <w:sz w:val="16"/>
        </w:rPr>
        <w:t>146.11  اطلاعات بیشتر در مورد جوایز کمپین، اعزامی، و خدمات را می‌توان در DAFMAN ۳۶-۲۸۰۶ یا در دودم ۱۳۴۸.۳۳ وول.</w:t>
      </w:r>
    </w:p>
    <w:p>
      <w:pPr>
        <w:spacing w:after="28" w:line="216" w:lineRule="auto"/>
        <w:ind w:left="259"/>
        <w:jc w:val="left"/>
      </w:pPr>
      <w:r>
        <w:rPr>
          <w:rFonts w:ascii="Arial" w:hAnsi="Arial"/>
          <w:color w:val="525252"/>
          <w:sz w:val="13"/>
        </w:rPr>
        <w:t>Additional information on campaign, expeditionary, and service awards can be found in DAFMAN 36-2806 or in DoDM 1348.33 Vol.</w:t>
      </w:r>
    </w:p>
    <w:p>
      <w:pPr>
        <w:spacing w:after="20" w:line="223" w:lineRule="auto"/>
        <w:jc w:val="right"/>
        <w:bidi/>
      </w:pPr>
      <w:r>
        <w:rPr>
          <w:rFonts w:ascii="Arial" w:hAnsi="Arial"/>
          <w:sz w:val="16"/>
        </w:rPr>
        <w:t>146.12  ۲، تزیینات و جوایز نظامی وزارت دفاع: جوایز خدمات وزارت دفاع - مدال‌های کمپین، اعزامی، و خدمات.</w:t>
      </w:r>
    </w:p>
    <w:p>
      <w:pPr>
        <w:spacing w:after="28" w:line="216" w:lineRule="auto"/>
        <w:ind w:left="259"/>
        <w:jc w:val="left"/>
      </w:pPr>
      <w:r>
        <w:rPr>
          <w:rFonts w:ascii="Arial" w:hAnsi="Arial"/>
          <w:color w:val="525252"/>
          <w:sz w:val="13"/>
        </w:rPr>
        <w:t>2, DoD Military Decorations and Awards: DoD Service Awards - Campaign, Expeditionary, and Service Medals.</w:t>
      </w:r>
    </w:p>
    <w:p>
      <w:pPr>
        <w:spacing w:after="20" w:line="223" w:lineRule="auto"/>
        <w:jc w:val="right"/>
        <w:bidi/>
      </w:pPr>
      <w:r>
        <w:rPr>
          <w:rFonts w:ascii="Arial" w:hAnsi="Arial"/>
          <w:sz w:val="16"/>
        </w:rPr>
        <w:t>146.13  به پیوست ۷، دستگاه‌ها مراجعه کنید.</w:t>
      </w:r>
    </w:p>
    <w:p>
      <w:pPr>
        <w:spacing w:after="28" w:line="216" w:lineRule="auto"/>
        <w:ind w:left="259"/>
        <w:jc w:val="left"/>
      </w:pPr>
      <w:r>
        <w:rPr>
          <w:rFonts w:ascii="Arial" w:hAnsi="Arial"/>
          <w:color w:val="525252"/>
          <w:sz w:val="13"/>
        </w:rPr>
        <w:t>See Attachment 7, Devices.</w:t>
      </w:r>
    </w:p>
    <w:p>
      <w:pPr>
        <w:spacing w:after="20" w:line="223" w:lineRule="auto"/>
        <w:jc w:val="right"/>
        <w:bidi/>
      </w:pPr>
      <w:r>
        <w:rPr>
          <w:rFonts w:ascii="Arial" w:hAnsi="Arial"/>
          <w:sz w:val="16"/>
        </w:rPr>
        <w:t>146.14  مدال زندانی جنگ.</w:t>
      </w:r>
    </w:p>
    <w:p>
      <w:pPr>
        <w:spacing w:after="28" w:line="216" w:lineRule="auto"/>
        <w:ind w:left="259"/>
        <w:jc w:val="left"/>
      </w:pPr>
      <w:r>
        <w:rPr>
          <w:rFonts w:ascii="Arial" w:hAnsi="Arial"/>
          <w:color w:val="525252"/>
          <w:sz w:val="13"/>
        </w:rPr>
        <w:t>Prisoner of War Medal.</w:t>
      </w:r>
    </w:p>
    <w:p>
      <w:pPr>
        <w:spacing w:after="20" w:line="223" w:lineRule="auto"/>
        <w:jc w:val="right"/>
        <w:bidi/>
      </w:pPr>
      <w:r>
        <w:rPr>
          <w:rFonts w:ascii="Arial" w:hAnsi="Arial"/>
          <w:sz w:val="16"/>
        </w:rPr>
        <w:t>146.15  مدال زندانی جنگی به هر شخصی اعطا می‌شود که در حین خدمت به هر عنوان در نیروهای مسلح ایالات متحده، در حین انجام عملیات علیه دشمن ایالات متحده، درگیر در عملیات نظامی شامل درگیری با یک نیروی خارجی مخالف، یا خدمت با نیروهای متخاصم در برابر نیروهای مسلح غیر مسلح که درگیر درگیری با نیروهای مسلح ایالات متحده بود، به اسارت گرفته شده و به اسارت در آمده باشد. حزب متخاصم</w:t>
      </w:r>
    </w:p>
    <w:p>
      <w:pPr>
        <w:spacing w:after="28" w:line="216" w:lineRule="auto"/>
        <w:ind w:left="259"/>
        <w:jc w:val="left"/>
      </w:pPr>
      <w:r>
        <w:rPr>
          <w:rFonts w:ascii="Arial" w:hAnsi="Arial"/>
          <w:color w:val="525252"/>
          <w:sz w:val="13"/>
        </w:rPr>
        <w:t>The Prisoner of War Medal is awarded to any person who, while serving in any capacity with the U.S. Armed Forces, was taken prisoner and held captive while engaged in an action against an enemy of the U.S., engaged in military operations involving conflict with an opposing foreign force, or served with friendly forces engaged in an armed conflict against an opposing armed force in which the U.S. was not a belligerent party.</w:t>
      </w:r>
    </w:p>
    <w:p>
      <w:pPr>
        <w:spacing w:after="20" w:line="223" w:lineRule="auto"/>
        <w:jc w:val="right"/>
        <w:bidi/>
      </w:pPr>
      <w:r>
        <w:rPr>
          <w:rFonts w:ascii="Arial" w:hAnsi="Arial"/>
          <w:sz w:val="16"/>
        </w:rPr>
        <w:t>146.16  مدال خدمات دفاع ملی.</w:t>
      </w:r>
    </w:p>
    <w:p>
      <w:pPr>
        <w:spacing w:after="28" w:line="216" w:lineRule="auto"/>
        <w:ind w:left="259"/>
        <w:jc w:val="left"/>
      </w:pPr>
      <w:r>
        <w:rPr>
          <w:rFonts w:ascii="Arial" w:hAnsi="Arial"/>
          <w:color w:val="525252"/>
          <w:sz w:val="13"/>
        </w:rPr>
        <w:t>National Defense Service Medal.</w:t>
      </w:r>
    </w:p>
    <w:p>
      <w:pPr>
        <w:spacing w:after="20" w:line="223" w:lineRule="auto"/>
        <w:jc w:val="right"/>
        <w:bidi/>
      </w:pPr>
      <w:r>
        <w:rPr>
          <w:rFonts w:ascii="Arial" w:hAnsi="Arial"/>
          <w:sz w:val="16"/>
        </w:rPr>
        <w:t>146.17  مدال خدمات دفاع ملی خدمت سربازی فعال فعال (شامل اعضای ذخیره منتخب با وضعیت خوب، اعضای غیر از ذخیره منتخب که به وظیفه فعال فراخوانده شده‌اند، دانشجویان دانشجو در آکادمی نیروی هوایی، و اعضای DAF که آموزش‌های پایه را گذرانده‌اند) در طول دوره‌های درگیری یا بحران ملی، که توسط سکدف تعیین شده است را به رسمیت می‌شناسد.</w:t>
      </w:r>
    </w:p>
    <w:p>
      <w:pPr>
        <w:spacing w:after="28" w:line="216" w:lineRule="auto"/>
        <w:ind w:left="259"/>
        <w:jc w:val="left"/>
      </w:pPr>
      <w:r>
        <w:rPr>
          <w:rFonts w:ascii="Arial" w:hAnsi="Arial"/>
          <w:color w:val="525252"/>
          <w:sz w:val="13"/>
        </w:rPr>
        <w:t>The National Defense Service Medal recognizes honorable active military service (to include members of the Selected Reserve in good standing, members of other than the Selected Reserve called to active duty, cadets in the Air Force Academy, and DAF members who have completed Basic Training) during periods of conflict or national crisis, as designated by SecDef.</w:t>
      </w:r>
    </w:p>
    <w:p>
      <w:pPr>
        <w:spacing w:after="20" w:line="223" w:lineRule="auto"/>
        <w:jc w:val="right"/>
        <w:bidi/>
      </w:pPr>
      <w:r>
        <w:rPr>
          <w:rFonts w:ascii="Arial" w:hAnsi="Arial"/>
          <w:sz w:val="16"/>
        </w:rPr>
        <w:t>146.18  مدال خدمات قطب جنوب.</w:t>
      </w:r>
    </w:p>
    <w:p>
      <w:pPr>
        <w:spacing w:after="28" w:line="216" w:lineRule="auto"/>
        <w:ind w:left="259"/>
        <w:jc w:val="left"/>
      </w:pPr>
      <w:r>
        <w:rPr>
          <w:rFonts w:ascii="Arial" w:hAnsi="Arial"/>
          <w:color w:val="525252"/>
          <w:sz w:val="13"/>
        </w:rPr>
        <w:t>Antarctica Service Medal.</w:t>
      </w:r>
    </w:p>
    <w:p>
      <w:pPr>
        <w:spacing w:after="20" w:line="223" w:lineRule="auto"/>
        <w:jc w:val="right"/>
        <w:bidi/>
      </w:pPr>
      <w:r>
        <w:rPr>
          <w:rFonts w:ascii="Arial" w:hAnsi="Arial"/>
          <w:sz w:val="16"/>
        </w:rPr>
        <w:t>146.19  مدال خدمات قطب جنوب به هر شخصی که عضو یک اکسپدیشن قطب جنوب، عضو ایستگاه دائمی قطب جنوب، یا برای خدمت در آبهای همجوار بوده مجاز است.</w:t>
      </w:r>
    </w:p>
    <w:p>
      <w:pPr>
        <w:spacing w:after="28" w:line="216" w:lineRule="auto"/>
        <w:ind w:left="259"/>
        <w:jc w:val="left"/>
      </w:pPr>
      <w:r>
        <w:rPr>
          <w:rFonts w:ascii="Arial" w:hAnsi="Arial"/>
          <w:color w:val="525252"/>
          <w:sz w:val="13"/>
        </w:rPr>
        <w:t>The Antarctica Service Medal is authorized to any person who was a member of an Antarctic expedition, a member of a permanent Antarctica station, or for service in contiguous waters.</w:t>
      </w:r>
    </w:p>
    <w:p>
      <w:pPr>
        <w:spacing w:after="20" w:line="223" w:lineRule="auto"/>
        <w:jc w:val="right"/>
        <w:bidi/>
      </w:pPr>
      <w:r>
        <w:rPr>
          <w:rFonts w:ascii="Arial" w:hAnsi="Arial"/>
          <w:sz w:val="16"/>
        </w:rPr>
        <w:t>146.20  مدال اعزامی نیروهای مسلح.</w:t>
      </w:r>
    </w:p>
    <w:p>
      <w:pPr>
        <w:spacing w:after="28" w:line="216" w:lineRule="auto"/>
        <w:ind w:left="259"/>
        <w:jc w:val="left"/>
      </w:pPr>
      <w:r>
        <w:rPr>
          <w:rFonts w:ascii="Arial" w:hAnsi="Arial"/>
          <w:color w:val="525252"/>
          <w:sz w:val="13"/>
        </w:rPr>
        <w:t>Armed Forces Expeditionary Medal.</w:t>
      </w:r>
    </w:p>
    <w:p>
      <w:pPr>
        <w:spacing w:after="20" w:line="223" w:lineRule="auto"/>
        <w:jc w:val="right"/>
        <w:bidi/>
      </w:pPr>
      <w:r>
        <w:rPr>
          <w:rFonts w:ascii="Arial" w:hAnsi="Arial"/>
          <w:sz w:val="16"/>
        </w:rPr>
        <w:t>146.21  مدال اعزامی نیروهای مسلح به اعضای نیروهای مسلح ایالات متحده اعطا می‌شود که در عملیات نظامی ایالات متحده، عملیات در حمایت مستقیم از سازمان ملل، یا عملیات کمک به کشورهای خارجی دوست شرکت کرده‌اند.</w:t>
      </w:r>
    </w:p>
    <w:p>
      <w:pPr>
        <w:spacing w:after="28" w:line="216" w:lineRule="auto"/>
        <w:ind w:left="259"/>
        <w:jc w:val="left"/>
      </w:pPr>
      <w:r>
        <w:rPr>
          <w:rFonts w:ascii="Arial" w:hAnsi="Arial"/>
          <w:color w:val="525252"/>
          <w:sz w:val="13"/>
        </w:rPr>
        <w:t>The Armed Forces Expeditionary Medal is awarded to members of the U.S. Armed Forces who participated in United States military operations, operations in direct support of the United Nations, or operations of assistance for friendly foreign nations.</w:t>
      </w:r>
    </w:p>
    <w:p>
      <w:pPr>
        <w:spacing w:after="20" w:line="223" w:lineRule="auto"/>
        <w:jc w:val="right"/>
        <w:bidi/>
      </w:pPr>
      <w:r>
        <w:rPr>
          <w:rFonts w:ascii="Arial" w:hAnsi="Arial"/>
          <w:sz w:val="16"/>
        </w:rPr>
        <w:t>146.22  اعضای نیروهای مسلحی که ممکن است واجد شرایط باشند، کسانی هستند که به مدت ۳۰ روز متوالی در منطقه عملیات (یا دوره کامل عملیات) یا برای ۶۰ روز غیر متوالی در هنگام جنگ واقعی یا وظیفه به همان اندازه خطرناک با یک مخالف مسلح، در صورت مجروح شدن یا مجروح شدن از ناحیه پزشکی یا زخمی شدن، در صورت نیاز به زخمی شدن یا زخمی شدن از ناحیه پزشکی، در یک عملیات شرکت کردند یا در حمایت مستقیم از آن شرکت کردند. ۱۵ روز خدمت به‌عنوان خدمه اختصاص داده شده یک هواپیما در حال پرواز در منطقه برای پشتیبانی مستقیم از عملیات نظامی.</w:t>
      </w:r>
    </w:p>
    <w:p>
      <w:pPr>
        <w:spacing w:after="28" w:line="216" w:lineRule="auto"/>
        <w:ind w:left="259"/>
        <w:jc w:val="left"/>
      </w:pPr>
      <w:r>
        <w:rPr>
          <w:rFonts w:ascii="Arial" w:hAnsi="Arial"/>
          <w:color w:val="525252"/>
          <w:sz w:val="13"/>
        </w:rPr>
        <w:t>Service members who may be eligible are those who participated in or engaged in direct support of an operation for 30 consecutive days in the area of operations (or the full period of operations) or for 60 non-consecutive days when engaged in actual combat or equally hazardous duty with an armed opposition, when wounded or injured and required medical evacuation from the area, or when accumulating 15 days of service as an assigned crewmember of an aircraft flying sorties in the area in direct support of the military operation.</w:t>
      </w:r>
    </w:p>
    <w:p>
      <w:pPr>
        <w:spacing w:after="20" w:line="223" w:lineRule="auto"/>
        <w:jc w:val="right"/>
        <w:bidi/>
      </w:pPr>
      <w:r>
        <w:rPr>
          <w:rFonts w:ascii="Arial" w:hAnsi="Arial"/>
          <w:sz w:val="16"/>
        </w:rPr>
        <w:t>146.23  به اعضای نیروهای مسلح بیش از یک مدال اعزامی برای خدمات در یک دوره خاص یا انجام وظایف حین عملیات تعلق نخواهد گرفت.</w:t>
      </w:r>
    </w:p>
    <w:p>
      <w:pPr>
        <w:spacing w:after="28" w:line="216" w:lineRule="auto"/>
        <w:ind w:left="259"/>
        <w:jc w:val="left"/>
      </w:pPr>
      <w:r>
        <w:rPr>
          <w:rFonts w:ascii="Arial" w:hAnsi="Arial"/>
          <w:color w:val="525252"/>
          <w:sz w:val="13"/>
        </w:rPr>
        <w:t>Service members will not be awarded more than one expeditionary medal for services during a specific period or duties during an operation.</w:t>
      </w:r>
    </w:p>
    <w:p>
      <w:r>
        <w:br w:type="page"/>
      </w:r>
    </w:p>
    <w:p>
      <w:pPr>
        <w:spacing w:after="60"/>
        <w:jc w:val="right"/>
        <w:bidi/>
      </w:pPr>
      <w:r>
        <w:rPr>
          <w:rFonts w:ascii="Arial" w:hAnsi="Arial"/>
          <w:b/>
          <w:color w:val="1F4D78"/>
          <w:sz w:val="19"/>
        </w:rPr>
        <w:t>هفتهٔ 147  |  صفحهٔ منبع: 163</w:t>
      </w:r>
    </w:p>
    <w:p>
      <w:pPr>
        <w:spacing w:after="20" w:line="223" w:lineRule="auto"/>
        <w:jc w:val="right"/>
        <w:bidi/>
      </w:pPr>
      <w:r>
        <w:rPr>
          <w:rFonts w:ascii="Arial" w:hAnsi="Arial"/>
          <w:sz w:val="16"/>
        </w:rPr>
        <w:t>147.01  مدال اعزامی جنگ جهانی علیه تروریسم.</w:t>
      </w:r>
    </w:p>
    <w:p>
      <w:pPr>
        <w:spacing w:after="28" w:line="216" w:lineRule="auto"/>
        <w:ind w:left="259"/>
        <w:jc w:val="left"/>
      </w:pPr>
      <w:r>
        <w:rPr>
          <w:rFonts w:ascii="Arial" w:hAnsi="Arial"/>
          <w:color w:val="525252"/>
          <w:sz w:val="13"/>
        </w:rPr>
        <w:t>Global War on Terrorism Expeditionary Medal.</w:t>
      </w:r>
    </w:p>
    <w:p>
      <w:pPr>
        <w:spacing w:after="20" w:line="223" w:lineRule="auto"/>
        <w:jc w:val="right"/>
        <w:bidi/>
      </w:pPr>
      <w:r>
        <w:rPr>
          <w:rFonts w:ascii="Arial" w:hAnsi="Arial"/>
          <w:sz w:val="16"/>
        </w:rPr>
        <w:t>147.02  مدال اعزامی جنگ جهانی علیه تروریسم در ۱۲ مارس ۲۰۰۳ تأسیس شد.</w:t>
      </w:r>
    </w:p>
    <w:p>
      <w:pPr>
        <w:spacing w:after="28" w:line="216" w:lineRule="auto"/>
        <w:ind w:left="259"/>
        <w:jc w:val="left"/>
      </w:pPr>
      <w:r>
        <w:rPr>
          <w:rFonts w:ascii="Arial" w:hAnsi="Arial"/>
          <w:color w:val="525252"/>
          <w:sz w:val="13"/>
        </w:rPr>
        <w:t>The Global War on Terrorism Expeditionary Medal was established on 12 March 2003.</w:t>
      </w:r>
    </w:p>
    <w:p>
      <w:pPr>
        <w:spacing w:after="20" w:line="223" w:lineRule="auto"/>
        <w:jc w:val="right"/>
        <w:bidi/>
      </w:pPr>
      <w:r>
        <w:rPr>
          <w:rFonts w:ascii="Arial" w:hAnsi="Arial"/>
          <w:sz w:val="16"/>
        </w:rPr>
        <w:t>147.03  مدال اعزامی جنگ جهانی علیه تروریسم به اعضایی اعطا می‌شود که در یا پس از ۱۱ سپتامبر ۲۰۰۱ اعزام شده‌اند.</w:t>
      </w:r>
    </w:p>
    <w:p>
      <w:pPr>
        <w:spacing w:after="28" w:line="216" w:lineRule="auto"/>
        <w:ind w:left="259"/>
        <w:jc w:val="left"/>
      </w:pPr>
      <w:r>
        <w:rPr>
          <w:rFonts w:ascii="Arial" w:hAnsi="Arial"/>
          <w:color w:val="525252"/>
          <w:sz w:val="13"/>
        </w:rPr>
        <w:t>The Global War on Terrorism Expeditionary Medal is awarded to members who deployed on or after 11 September 2001.</w:t>
      </w:r>
    </w:p>
    <w:p>
      <w:pPr>
        <w:spacing w:after="20" w:line="223" w:lineRule="auto"/>
        <w:jc w:val="right"/>
        <w:bidi/>
      </w:pPr>
      <w:r>
        <w:rPr>
          <w:rFonts w:ascii="Arial" w:hAnsi="Arial"/>
          <w:sz w:val="16"/>
        </w:rPr>
        <w:t>147.04  منطقه واجد شرایط بودن و عملیات تعیین شده را می‌توان در DAFMAN۳۶-۲۸۰۶ یافت.</w:t>
      </w:r>
    </w:p>
    <w:p>
      <w:pPr>
        <w:spacing w:after="28" w:line="216" w:lineRule="auto"/>
        <w:ind w:left="259"/>
        <w:jc w:val="left"/>
      </w:pPr>
      <w:r>
        <w:rPr>
          <w:rFonts w:ascii="Arial" w:hAnsi="Arial"/>
          <w:color w:val="525252"/>
          <w:sz w:val="13"/>
        </w:rPr>
        <w:t>The area of eligibility and designated operations can be found in DAFMAN36-2806.</w:t>
      </w:r>
    </w:p>
    <w:p>
      <w:pPr>
        <w:spacing w:after="20" w:line="223" w:lineRule="auto"/>
        <w:jc w:val="right"/>
        <w:bidi/>
      </w:pPr>
      <w:r>
        <w:rPr>
          <w:rFonts w:ascii="Arial" w:hAnsi="Arial"/>
          <w:sz w:val="16"/>
        </w:rPr>
        <w:t>147.05  مدال خدمات جنگ جهانی علیه تروریسم.</w:t>
      </w:r>
    </w:p>
    <w:p>
      <w:pPr>
        <w:spacing w:after="28" w:line="216" w:lineRule="auto"/>
        <w:ind w:left="259"/>
        <w:jc w:val="left"/>
      </w:pPr>
      <w:r>
        <w:rPr>
          <w:rFonts w:ascii="Arial" w:hAnsi="Arial"/>
          <w:color w:val="525252"/>
          <w:sz w:val="13"/>
        </w:rPr>
        <w:t>Global War on Terrorism Service Medal.</w:t>
      </w:r>
    </w:p>
    <w:p>
      <w:pPr>
        <w:spacing w:after="20" w:line="223" w:lineRule="auto"/>
        <w:jc w:val="right"/>
        <w:bidi/>
      </w:pPr>
      <w:r>
        <w:rPr>
          <w:rFonts w:ascii="Arial" w:hAnsi="Arial"/>
          <w:sz w:val="16"/>
        </w:rPr>
        <w:t>147.06  مدال خدمات جهانی جنگ علیه تروریسم در ۱۲ مارس ۲۰۰۳ تأسیس شد.</w:t>
      </w:r>
    </w:p>
    <w:p>
      <w:pPr>
        <w:spacing w:after="28" w:line="216" w:lineRule="auto"/>
        <w:ind w:left="259"/>
        <w:jc w:val="left"/>
      </w:pPr>
      <w:r>
        <w:rPr>
          <w:rFonts w:ascii="Arial" w:hAnsi="Arial"/>
          <w:color w:val="525252"/>
          <w:sz w:val="13"/>
        </w:rPr>
        <w:t>The Global War on Terrorism Service Medal was established on 12 March 2003.</w:t>
      </w:r>
    </w:p>
    <w:p>
      <w:pPr>
        <w:spacing w:after="20" w:line="223" w:lineRule="auto"/>
        <w:jc w:val="right"/>
        <w:bidi/>
      </w:pPr>
      <w:r>
        <w:rPr>
          <w:rFonts w:ascii="Arial" w:hAnsi="Arial"/>
          <w:sz w:val="16"/>
        </w:rPr>
        <w:t>147.07  مدال خدمات جنگ جهانی علیه تروریسم به اعضایی اعطا می‌شود که در یا پس از ۱۱ سپتامبر ۲۰۰۱ در عملیات‌های جنگ جهانی علیه تروریسم شرکت کرده‌اند تا تاریخ آینده مشخص شود.</w:t>
      </w:r>
    </w:p>
    <w:p>
      <w:pPr>
        <w:spacing w:after="28" w:line="216" w:lineRule="auto"/>
        <w:ind w:left="259"/>
        <w:jc w:val="left"/>
      </w:pPr>
      <w:r>
        <w:rPr>
          <w:rFonts w:ascii="Arial" w:hAnsi="Arial"/>
          <w:color w:val="525252"/>
          <w:sz w:val="13"/>
        </w:rPr>
        <w:t>The Global War on Terrorism Service Medal is awarded to members who participated in the Global War on Terrorism operations on or after 11 September 2001 until a future date to be determined.</w:t>
      </w:r>
    </w:p>
    <w:p>
      <w:pPr>
        <w:spacing w:after="20" w:line="223" w:lineRule="auto"/>
        <w:jc w:val="right"/>
        <w:bidi/>
      </w:pPr>
      <w:r>
        <w:rPr>
          <w:rFonts w:ascii="Arial" w:hAnsi="Arial"/>
          <w:sz w:val="16"/>
        </w:rPr>
        <w:t>147.08  عملیات تعیین شده را می‌توان در DAFMAN۳۶- ۲۸۰۶ یافت.</w:t>
      </w:r>
    </w:p>
    <w:p>
      <w:pPr>
        <w:spacing w:after="28" w:line="216" w:lineRule="auto"/>
        <w:ind w:left="259"/>
        <w:jc w:val="left"/>
      </w:pPr>
      <w:r>
        <w:rPr>
          <w:rFonts w:ascii="Arial" w:hAnsi="Arial"/>
          <w:color w:val="525252"/>
          <w:sz w:val="13"/>
        </w:rPr>
        <w:t>The designated operations can be found in DAFMAN36- 2806.</w:t>
      </w:r>
    </w:p>
    <w:p>
      <w:pPr>
        <w:spacing w:after="20" w:line="223" w:lineRule="auto"/>
        <w:jc w:val="right"/>
        <w:bidi/>
      </w:pPr>
      <w:r>
        <w:rPr>
          <w:rFonts w:ascii="Arial" w:hAnsi="Arial"/>
          <w:sz w:val="16"/>
        </w:rPr>
        <w:t>147.09  مدال کمپین افغانستان.</w:t>
      </w:r>
    </w:p>
    <w:p>
      <w:pPr>
        <w:spacing w:after="28" w:line="216" w:lineRule="auto"/>
        <w:ind w:left="259"/>
        <w:jc w:val="left"/>
      </w:pPr>
      <w:r>
        <w:rPr>
          <w:rFonts w:ascii="Arial" w:hAnsi="Arial"/>
          <w:color w:val="525252"/>
          <w:sz w:val="13"/>
        </w:rPr>
        <w:t>Afghanistan Campaign Medal.</w:t>
      </w:r>
    </w:p>
    <w:p>
      <w:pPr>
        <w:spacing w:after="20" w:line="223" w:lineRule="auto"/>
        <w:jc w:val="right"/>
        <w:bidi/>
      </w:pPr>
      <w:r>
        <w:rPr>
          <w:rFonts w:ascii="Arial" w:hAnsi="Arial"/>
          <w:sz w:val="16"/>
        </w:rPr>
        <w:t>147.10  مدال کمپین افغانستان در ۲۹ نوامبر ۲۰۰۴ تأسیس شد و از اعضای نیروهای مسلحی که از ۱۱ سپتامبر ۲۰۰۱ تا ۳۱ اوت ۲۰۲۱ در حمایت از عملیات تعیین شده در افغانستان خدمت کرده یا خدمت کرده‌اند، قدردانی می‌کند.</w:t>
      </w:r>
    </w:p>
    <w:p>
      <w:pPr>
        <w:spacing w:after="28" w:line="216" w:lineRule="auto"/>
        <w:ind w:left="259"/>
        <w:jc w:val="left"/>
      </w:pPr>
      <w:r>
        <w:rPr>
          <w:rFonts w:ascii="Arial" w:hAnsi="Arial"/>
          <w:color w:val="525252"/>
          <w:sz w:val="13"/>
        </w:rPr>
        <w:t>The Afghanistan Campaign Medal was established on 29 November 2004 and recognizes service members who serve, or have served, in support of designated Afghanistan operations from 11 September 2001 to 31 August 2021.</w:t>
      </w:r>
    </w:p>
    <w:p>
      <w:pPr>
        <w:spacing w:after="20" w:line="223" w:lineRule="auto"/>
        <w:jc w:val="right"/>
        <w:bidi/>
      </w:pPr>
      <w:r>
        <w:rPr>
          <w:rFonts w:ascii="Arial" w:hAnsi="Arial"/>
          <w:sz w:val="16"/>
        </w:rPr>
        <w:t>147.11  از ۱ می‌۲۰۰۵، اعضای اعزام شده به افغانستان به جای مدال اعزامی جنگ جهانی علیه تروریسم، مدال کمپین مربوطه را دریافت کردند.</w:t>
      </w:r>
    </w:p>
    <w:p>
      <w:pPr>
        <w:spacing w:after="28" w:line="216" w:lineRule="auto"/>
        <w:ind w:left="259"/>
        <w:jc w:val="left"/>
      </w:pPr>
      <w:r>
        <w:rPr>
          <w:rFonts w:ascii="Arial" w:hAnsi="Arial"/>
          <w:color w:val="525252"/>
          <w:sz w:val="13"/>
        </w:rPr>
        <w:t>Effective 1 May 2005, members deployed to Afghanistan receive the respective campaign medal in lieu of the Global War on Terrorism Expeditionary Medal.</w:t>
      </w:r>
    </w:p>
    <w:p>
      <w:pPr>
        <w:spacing w:after="20" w:line="223" w:lineRule="auto"/>
        <w:jc w:val="right"/>
        <w:bidi/>
      </w:pPr>
      <w:r>
        <w:rPr>
          <w:rFonts w:ascii="Arial" w:hAnsi="Arial"/>
          <w:sz w:val="16"/>
        </w:rPr>
        <w:t>147.12  عملیات‌ها و کمپین‌های تعیین شده را می‌توان در DAFMAN۳۶-۲۸۰۶ یافت.</w:t>
      </w:r>
    </w:p>
    <w:p>
      <w:pPr>
        <w:spacing w:after="28" w:line="216" w:lineRule="auto"/>
        <w:ind w:left="259"/>
        <w:jc w:val="left"/>
      </w:pPr>
      <w:r>
        <w:rPr>
          <w:rFonts w:ascii="Arial" w:hAnsi="Arial"/>
          <w:color w:val="525252"/>
          <w:sz w:val="13"/>
        </w:rPr>
        <w:t>The designated operations and campaigns can be found in DAFMAN36-2806.</w:t>
      </w:r>
    </w:p>
    <w:p>
      <w:pPr>
        <w:spacing w:after="20" w:line="223" w:lineRule="auto"/>
        <w:jc w:val="right"/>
        <w:bidi/>
      </w:pPr>
      <w:r>
        <w:rPr>
          <w:rFonts w:ascii="Arial" w:hAnsi="Arial"/>
          <w:sz w:val="16"/>
        </w:rPr>
        <w:t>147.13  مدال مبارزات انتخاباتی عراق.</w:t>
      </w:r>
    </w:p>
    <w:p>
      <w:pPr>
        <w:spacing w:after="28" w:line="216" w:lineRule="auto"/>
        <w:ind w:left="259"/>
        <w:jc w:val="left"/>
      </w:pPr>
      <w:r>
        <w:rPr>
          <w:rFonts w:ascii="Arial" w:hAnsi="Arial"/>
          <w:color w:val="525252"/>
          <w:sz w:val="13"/>
        </w:rPr>
        <w:t>Iraq Campaign Medal.</w:t>
      </w:r>
    </w:p>
    <w:p>
      <w:pPr>
        <w:spacing w:after="20" w:line="223" w:lineRule="auto"/>
        <w:jc w:val="right"/>
        <w:bidi/>
      </w:pPr>
      <w:r>
        <w:rPr>
          <w:rFonts w:ascii="Arial" w:hAnsi="Arial"/>
          <w:sz w:val="16"/>
        </w:rPr>
        <w:t>147.14  مدال کمپین عراق در ۲۹ نوامبر ۲۰۰۴ تأسیس شد و اعضای نیروهای مسلحی را که از ۹ مارس ۲۰۰۳ تا ۳۱ دسامبر ۲۰۱۱ در حمایت از عملیات تعیین شده عراق خدمت کرده یا خدمت کرده‌اند، قدردانی می‌کند.</w:t>
      </w:r>
    </w:p>
    <w:p>
      <w:pPr>
        <w:spacing w:after="28" w:line="216" w:lineRule="auto"/>
        <w:ind w:left="259"/>
        <w:jc w:val="left"/>
      </w:pPr>
      <w:r>
        <w:rPr>
          <w:rFonts w:ascii="Arial" w:hAnsi="Arial"/>
          <w:color w:val="525252"/>
          <w:sz w:val="13"/>
        </w:rPr>
        <w:t>The Iraq Campaign Medal was established on 29 November 2004 and recognizes service members who serve, or have served, in support of designated Iraq operations from 9 March 2003 to 31 December 2011.</w:t>
      </w:r>
    </w:p>
    <w:p>
      <w:pPr>
        <w:spacing w:after="20" w:line="223" w:lineRule="auto"/>
        <w:jc w:val="right"/>
        <w:bidi/>
      </w:pPr>
      <w:r>
        <w:rPr>
          <w:rFonts w:ascii="Arial" w:hAnsi="Arial"/>
          <w:sz w:val="16"/>
        </w:rPr>
        <w:t>147.15  از ۱ می‌۲۰۰۵، اعضای اعزام شده به عراق مدال مبارزاتی مربوطه را به جای مدال اعزامی جنگ جهانی علیه تروریسم دریافت کردند.</w:t>
      </w:r>
    </w:p>
    <w:p>
      <w:pPr>
        <w:spacing w:after="28" w:line="216" w:lineRule="auto"/>
        <w:ind w:left="259"/>
        <w:jc w:val="left"/>
      </w:pPr>
      <w:r>
        <w:rPr>
          <w:rFonts w:ascii="Arial" w:hAnsi="Arial"/>
          <w:color w:val="525252"/>
          <w:sz w:val="13"/>
        </w:rPr>
        <w:t>Effective 1 May 2005, members deployed to Iraq receive the respective campaign medal in lieu of the Global War on Terrorism Expeditionary Medal.</w:t>
      </w:r>
    </w:p>
    <w:p>
      <w:pPr>
        <w:spacing w:after="20" w:line="223" w:lineRule="auto"/>
        <w:jc w:val="right"/>
        <w:bidi/>
      </w:pPr>
      <w:r>
        <w:rPr>
          <w:rFonts w:ascii="Arial" w:hAnsi="Arial"/>
          <w:sz w:val="16"/>
        </w:rPr>
        <w:t>147.16  عملیات‌ها و کمپین‌های تعیین شده را می‌توان در DAFMAN۳۶-۲۸۰۶ یافت.</w:t>
      </w:r>
    </w:p>
    <w:p>
      <w:pPr>
        <w:spacing w:after="28" w:line="216" w:lineRule="auto"/>
        <w:ind w:left="259"/>
        <w:jc w:val="left"/>
      </w:pPr>
      <w:r>
        <w:rPr>
          <w:rFonts w:ascii="Arial" w:hAnsi="Arial"/>
          <w:color w:val="525252"/>
          <w:sz w:val="13"/>
        </w:rPr>
        <w:t>The designated operations and campaigns can be found in DAFMAN36-2806.</w:t>
      </w:r>
    </w:p>
    <w:p>
      <w:pPr>
        <w:spacing w:after="20" w:line="223" w:lineRule="auto"/>
        <w:jc w:val="right"/>
        <w:bidi/>
      </w:pPr>
      <w:r>
        <w:rPr>
          <w:rFonts w:ascii="Arial" w:hAnsi="Arial"/>
          <w:sz w:val="16"/>
        </w:rPr>
        <w:t>147.17  مدال کمپین ینهرنت رسولو.</w:t>
      </w:r>
    </w:p>
    <w:p>
      <w:pPr>
        <w:spacing w:after="28" w:line="216" w:lineRule="auto"/>
        <w:ind w:left="259"/>
        <w:jc w:val="left"/>
      </w:pPr>
      <w:r>
        <w:rPr>
          <w:rFonts w:ascii="Arial" w:hAnsi="Arial"/>
          <w:color w:val="525252"/>
          <w:sz w:val="13"/>
        </w:rPr>
        <w:t>Inherent Resolve Campaign Medal.</w:t>
      </w:r>
    </w:p>
    <w:p>
      <w:pPr>
        <w:spacing w:after="20" w:line="223" w:lineRule="auto"/>
        <w:jc w:val="right"/>
        <w:bidi/>
      </w:pPr>
      <w:r>
        <w:rPr>
          <w:rFonts w:ascii="Arial" w:hAnsi="Arial"/>
          <w:sz w:val="16"/>
        </w:rPr>
        <w:t>147.18  مدال کمپین عزم ذاتی، اعضای نیروهای مسلح را برای خدمات واجد شرایط در تاریخ ۱۵ ژوئن ۲۰۱۴ یا بعد از آن شناسایی می‌کند.</w:t>
      </w:r>
    </w:p>
    <w:p>
      <w:pPr>
        <w:spacing w:after="28" w:line="216" w:lineRule="auto"/>
        <w:ind w:left="259"/>
        <w:jc w:val="left"/>
      </w:pPr>
      <w:r>
        <w:rPr>
          <w:rFonts w:ascii="Arial" w:hAnsi="Arial"/>
          <w:color w:val="525252"/>
          <w:sz w:val="13"/>
        </w:rPr>
        <w:t>The Inherent Resolve Campaign Medal recognize service members for qualifying service on or after 15 June 2014.</w:t>
      </w:r>
    </w:p>
    <w:p>
      <w:pPr>
        <w:spacing w:after="20" w:line="223" w:lineRule="auto"/>
        <w:jc w:val="right"/>
        <w:bidi/>
      </w:pPr>
      <w:r>
        <w:rPr>
          <w:rFonts w:ascii="Arial" w:hAnsi="Arial"/>
          <w:sz w:val="16"/>
        </w:rPr>
        <w:t>147.19  حوزه واجد شرایط بودن و کمپین‌های تعیین شده را می‌توان در DAFMAN۳۶-۲۸۰۶ یافت.</w:t>
      </w:r>
    </w:p>
    <w:p>
      <w:pPr>
        <w:spacing w:after="28" w:line="216" w:lineRule="auto"/>
        <w:ind w:left="259"/>
        <w:jc w:val="left"/>
      </w:pPr>
      <w:r>
        <w:rPr>
          <w:rFonts w:ascii="Arial" w:hAnsi="Arial"/>
          <w:color w:val="525252"/>
          <w:sz w:val="13"/>
        </w:rPr>
        <w:t>The area of eligibility and designated campaigns can be found in DAFMAN36-2806.</w:t>
      </w:r>
    </w:p>
    <w:p>
      <w:pPr>
        <w:spacing w:after="20" w:line="223" w:lineRule="auto"/>
        <w:jc w:val="right"/>
        <w:bidi/>
      </w:pPr>
      <w:r>
        <w:rPr>
          <w:rFonts w:ascii="Arial" w:hAnsi="Arial"/>
          <w:sz w:val="16"/>
        </w:rPr>
        <w:t>147.20  مدال خدمات دفاعی کره.</w:t>
      </w:r>
    </w:p>
    <w:p>
      <w:pPr>
        <w:spacing w:after="28" w:line="216" w:lineRule="auto"/>
        <w:ind w:left="259"/>
        <w:jc w:val="left"/>
      </w:pPr>
      <w:r>
        <w:rPr>
          <w:rFonts w:ascii="Arial" w:hAnsi="Arial"/>
          <w:color w:val="525252"/>
          <w:sz w:val="13"/>
        </w:rPr>
        <w:t>Korean Defense Service Medal.</w:t>
      </w:r>
    </w:p>
    <w:p>
      <w:pPr>
        <w:spacing w:after="20" w:line="223" w:lineRule="auto"/>
        <w:jc w:val="right"/>
        <w:bidi/>
      </w:pPr>
      <w:r>
        <w:rPr>
          <w:rFonts w:ascii="Arial" w:hAnsi="Arial"/>
          <w:sz w:val="16"/>
        </w:rPr>
        <w:t>147.21  در فوریه ۲۰۰۴، وزارت دفاع مدال خدمات دفاعی کره را برای پرسنل رگاف، ذخیره نیروی هوایی، و پرسنل گارد ملی هوایی به‌عنوان قدردانی برای خدمت سربازی در جمهوری کره و آبهای اطراف آن پس از ۲۸ ژوئیه ۱۹۵۴ تا تاریخ آینده که مشخص خواهد شد، تصویب کرد.</w:t>
      </w:r>
    </w:p>
    <w:p>
      <w:pPr>
        <w:spacing w:after="28" w:line="216" w:lineRule="auto"/>
        <w:ind w:left="259"/>
        <w:jc w:val="left"/>
      </w:pPr>
      <w:r>
        <w:rPr>
          <w:rFonts w:ascii="Arial" w:hAnsi="Arial"/>
          <w:color w:val="525252"/>
          <w:sz w:val="13"/>
        </w:rPr>
        <w:t>In February 2004, Department of Defense approved the Korean Defense Service Medal for RegAF, Air Force Reserve, and Air National Guard personnel as recognition for military service in the Republic of Korea and the surrounding waters after 28 July 1954 until a future date to be determined.</w:t>
      </w:r>
    </w:p>
    <w:p>
      <w:pPr>
        <w:spacing w:after="20" w:line="223" w:lineRule="auto"/>
        <w:jc w:val="right"/>
        <w:bidi/>
      </w:pPr>
      <w:r>
        <w:rPr>
          <w:rFonts w:ascii="Arial" w:hAnsi="Arial"/>
          <w:sz w:val="16"/>
        </w:rPr>
        <w:t>147.22  مدال کمپین کوزوو.</w:t>
      </w:r>
    </w:p>
    <w:p>
      <w:pPr>
        <w:spacing w:after="28" w:line="216" w:lineRule="auto"/>
        <w:ind w:left="259"/>
        <w:jc w:val="left"/>
      </w:pPr>
      <w:r>
        <w:rPr>
          <w:rFonts w:ascii="Arial" w:hAnsi="Arial"/>
          <w:color w:val="525252"/>
          <w:sz w:val="13"/>
        </w:rPr>
        <w:t>Kosovo Campaign Medal.</w:t>
      </w:r>
    </w:p>
    <w:p>
      <w:pPr>
        <w:spacing w:after="20" w:line="223" w:lineRule="auto"/>
        <w:jc w:val="right"/>
        <w:bidi/>
      </w:pPr>
      <w:r>
        <w:rPr>
          <w:rFonts w:ascii="Arial" w:hAnsi="Arial"/>
          <w:sz w:val="16"/>
        </w:rPr>
        <w:t>147.23  مدال کمپین کوزوو در ۳ مه ۲۰۰۰ تأسیس شد و اعضای نیروهای مسلح واجد شرایط را برای خدمت در کوزوو طی دوره ۲۴ مارس ۱۹۹۹ تا ۳۱ دسامبر ۲۰۱۳ به رسمیت می‌شناسد.</w:t>
      </w:r>
    </w:p>
    <w:p>
      <w:pPr>
        <w:spacing w:after="28" w:line="216" w:lineRule="auto"/>
        <w:ind w:left="259"/>
        <w:jc w:val="left"/>
      </w:pPr>
      <w:r>
        <w:rPr>
          <w:rFonts w:ascii="Arial" w:hAnsi="Arial"/>
          <w:color w:val="525252"/>
          <w:sz w:val="13"/>
        </w:rPr>
        <w:t>The Kosovo Campaign Medal was established on 3 May 2000 and recognize qualifying service members for service in Kosovo during the period of 24 March 1999 to 31 December 2013.</w:t>
      </w:r>
    </w:p>
    <w:p>
      <w:pPr>
        <w:spacing w:after="20" w:line="223" w:lineRule="auto"/>
        <w:jc w:val="right"/>
        <w:bidi/>
      </w:pPr>
      <w:r>
        <w:rPr>
          <w:rFonts w:ascii="Arial" w:hAnsi="Arial"/>
          <w:sz w:val="16"/>
        </w:rPr>
        <w:t>147.24  عملیات‌ها و کمپین‌های تعیین شده را می‌توان در DAFMAN۳۶-۲۸۰۶ یافت.</w:t>
      </w:r>
    </w:p>
    <w:p>
      <w:pPr>
        <w:spacing w:after="28" w:line="216" w:lineRule="auto"/>
        <w:ind w:left="259"/>
        <w:jc w:val="left"/>
      </w:pPr>
      <w:r>
        <w:rPr>
          <w:rFonts w:ascii="Arial" w:hAnsi="Arial"/>
          <w:color w:val="525252"/>
          <w:sz w:val="13"/>
        </w:rPr>
        <w:t>The designated operations and campaigns can be found in DAFMAN36-2806.</w:t>
      </w:r>
    </w:p>
    <w:p>
      <w:pPr>
        <w:spacing w:after="20" w:line="223" w:lineRule="auto"/>
        <w:jc w:val="right"/>
        <w:bidi/>
      </w:pPr>
      <w:r>
        <w:rPr>
          <w:rFonts w:ascii="Arial" w:hAnsi="Arial"/>
          <w:sz w:val="16"/>
        </w:rPr>
        <w:t>147.25  مدال خدمت نیروهای مسلح.</w:t>
      </w:r>
    </w:p>
    <w:p>
      <w:pPr>
        <w:spacing w:after="28" w:line="216" w:lineRule="auto"/>
        <w:ind w:left="259"/>
        <w:jc w:val="left"/>
      </w:pPr>
      <w:r>
        <w:rPr>
          <w:rFonts w:ascii="Arial" w:hAnsi="Arial"/>
          <w:color w:val="525252"/>
          <w:sz w:val="13"/>
        </w:rPr>
        <w:t>Armed Forces Service Medal.</w:t>
      </w:r>
    </w:p>
    <w:p>
      <w:pPr>
        <w:spacing w:after="20" w:line="223" w:lineRule="auto"/>
        <w:jc w:val="right"/>
        <w:bidi/>
      </w:pPr>
      <w:r>
        <w:rPr>
          <w:rFonts w:ascii="Arial" w:hAnsi="Arial"/>
          <w:sz w:val="16"/>
        </w:rPr>
        <w:t>147.26  مدال خدمات نیروهای مسلح به اعضای نیروهای مسلح ایالات متحده اعطا می‌شود که به‌عنوان اعضای نظامی در یک عملیات نظامی که توسط رئیس ستاد مشترک فعالیت مهمی تلقی می‌شود و با مخالفت مسلح خارجی یا تهدید قریب الوقوع اقدام خصمانه مواجه نشده‌اند، شرکت کرده‌اند.</w:t>
      </w:r>
    </w:p>
    <w:p>
      <w:pPr>
        <w:spacing w:after="28" w:line="216" w:lineRule="auto"/>
        <w:ind w:left="259"/>
        <w:jc w:val="left"/>
      </w:pPr>
      <w:r>
        <w:rPr>
          <w:rFonts w:ascii="Arial" w:hAnsi="Arial"/>
          <w:color w:val="525252"/>
          <w:sz w:val="13"/>
        </w:rPr>
        <w:t>The Armed Forces Service Medal is awarded to members of the U.S. Armed Forces who participated as military members in a military operation that is deemed to be a significant activity by the Joint Chiefs of Staff and encountered no foreign armed opposition or imminent threat of hostile action.</w:t>
      </w:r>
    </w:p>
    <w:p>
      <w:pPr>
        <w:spacing w:after="20" w:line="223" w:lineRule="auto"/>
        <w:jc w:val="right"/>
        <w:bidi/>
      </w:pPr>
      <w:r>
        <w:rPr>
          <w:rFonts w:ascii="Arial" w:hAnsi="Arial"/>
          <w:sz w:val="16"/>
        </w:rPr>
        <w:t>147.27  عملیات تعیین شده را می‌توان در DAFMAN۳۶-۲۸۰۶ یافت.</w:t>
      </w:r>
    </w:p>
    <w:p>
      <w:pPr>
        <w:spacing w:after="28" w:line="216" w:lineRule="auto"/>
        <w:ind w:left="259"/>
        <w:jc w:val="left"/>
      </w:pPr>
      <w:r>
        <w:rPr>
          <w:rFonts w:ascii="Arial" w:hAnsi="Arial"/>
          <w:color w:val="525252"/>
          <w:sz w:val="13"/>
        </w:rPr>
        <w:t>The designated operations can be found in DAFMAN36-2806.</w:t>
      </w:r>
    </w:p>
    <w:p>
      <w:pPr>
        <w:spacing w:after="20" w:line="223" w:lineRule="auto"/>
        <w:jc w:val="right"/>
        <w:bidi/>
      </w:pPr>
      <w:r>
        <w:rPr>
          <w:rFonts w:ascii="Arial" w:hAnsi="Arial"/>
          <w:sz w:val="16"/>
        </w:rPr>
        <w:t>147.28  مدال خدمات بشردوستانه.</w:t>
      </w:r>
    </w:p>
    <w:p>
      <w:pPr>
        <w:spacing w:after="28" w:line="216" w:lineRule="auto"/>
        <w:ind w:left="259"/>
        <w:jc w:val="left"/>
      </w:pPr>
      <w:r>
        <w:rPr>
          <w:rFonts w:ascii="Arial" w:hAnsi="Arial"/>
          <w:color w:val="525252"/>
          <w:sz w:val="13"/>
        </w:rPr>
        <w:t>Humanitarian Service Medal.</w:t>
      </w:r>
    </w:p>
    <w:p>
      <w:pPr>
        <w:spacing w:after="20" w:line="223" w:lineRule="auto"/>
        <w:jc w:val="right"/>
        <w:bidi/>
      </w:pPr>
      <w:r>
        <w:rPr>
          <w:rFonts w:ascii="Arial" w:hAnsi="Arial"/>
          <w:sz w:val="16"/>
        </w:rPr>
        <w:t>147.29  مدال خدمات بشردوستانه به اعضای نیروهای مسلح ایالات متحده و اجزای ذخیره آنها اعطا می‌شود که خود را به‌عنوان افراد یا اعضای واحدهای نظامی یا کشتی‌ها با مشارکت مستقیم شایسته در یک اقدام نظامی مهم یا عملیات با ماهیت بشردوستانه متمایز می‌کنند.</w:t>
      </w:r>
    </w:p>
    <w:p>
      <w:pPr>
        <w:spacing w:after="28" w:line="216" w:lineRule="auto"/>
        <w:ind w:left="259"/>
        <w:jc w:val="left"/>
      </w:pPr>
      <w:r>
        <w:rPr>
          <w:rFonts w:ascii="Arial" w:hAnsi="Arial"/>
          <w:color w:val="525252"/>
          <w:sz w:val="13"/>
        </w:rPr>
        <w:t>The Humanitarian Service Medal is awarded to members of the U.S. Armed Forces and their Reserve Components who distinguished themselves as individuals or members of military units or ships by meritorious direct participation in a significant military act or operation of humanitarian nature.</w:t>
      </w:r>
    </w:p>
    <w:p>
      <w:pPr>
        <w:spacing w:after="20" w:line="223" w:lineRule="auto"/>
        <w:jc w:val="right"/>
        <w:bidi/>
      </w:pPr>
      <w:r>
        <w:rPr>
          <w:rFonts w:ascii="Arial" w:hAnsi="Arial"/>
          <w:sz w:val="16"/>
        </w:rPr>
        <w:t>147.30  مشارکت مستقیم به هر عضوی اطلاق می‌شود که مستقیما به عملیات بشردوستانه منصوب شده و مشارکت عملی را انجام دهد.</w:t>
      </w:r>
    </w:p>
    <w:p>
      <w:pPr>
        <w:spacing w:after="28" w:line="216" w:lineRule="auto"/>
        <w:ind w:left="259"/>
        <w:jc w:val="left"/>
      </w:pPr>
      <w:r>
        <w:rPr>
          <w:rFonts w:ascii="Arial" w:hAnsi="Arial"/>
          <w:color w:val="525252"/>
          <w:sz w:val="13"/>
        </w:rPr>
        <w:t>Direct participation refers to any member assigned directly to the humanitarian operation providing hands-on participation.</w:t>
      </w:r>
    </w:p>
    <w:p>
      <w:pPr>
        <w:spacing w:after="20" w:line="223" w:lineRule="auto"/>
        <w:jc w:val="right"/>
        <w:bidi/>
      </w:pPr>
      <w:r>
        <w:rPr>
          <w:rFonts w:ascii="Arial" w:hAnsi="Arial"/>
          <w:sz w:val="16"/>
        </w:rPr>
        <w:t>147.31  عملیات تعیین شده را می‌توان در DAFMAN۳۶-۲۸۰۶ یافت.</w:t>
      </w:r>
    </w:p>
    <w:p>
      <w:pPr>
        <w:spacing w:after="28" w:line="216" w:lineRule="auto"/>
        <w:ind w:left="259"/>
        <w:jc w:val="left"/>
      </w:pPr>
      <w:r>
        <w:rPr>
          <w:rFonts w:ascii="Arial" w:hAnsi="Arial"/>
          <w:color w:val="525252"/>
          <w:sz w:val="13"/>
        </w:rPr>
        <w:t>The designated operations can be found in DAFMAN36-2806.</w:t>
      </w:r>
    </w:p>
    <w:p>
      <w:pPr>
        <w:spacing w:after="20" w:line="223" w:lineRule="auto"/>
        <w:jc w:val="right"/>
        <w:bidi/>
      </w:pPr>
      <w:r>
        <w:rPr>
          <w:rFonts w:ascii="Arial" w:hAnsi="Arial"/>
          <w:sz w:val="16"/>
        </w:rPr>
        <w:t>147.32  مدال خدمات داوطلبانه برجسته نظامی.</w:t>
      </w:r>
    </w:p>
    <w:p>
      <w:pPr>
        <w:spacing w:after="28" w:line="216" w:lineRule="auto"/>
        <w:ind w:left="259"/>
        <w:jc w:val="left"/>
      </w:pPr>
      <w:r>
        <w:rPr>
          <w:rFonts w:ascii="Arial" w:hAnsi="Arial"/>
          <w:color w:val="525252"/>
          <w:sz w:val="13"/>
        </w:rPr>
        <w:t>Military Outstanding Volunteer Service Medal.</w:t>
      </w:r>
    </w:p>
    <w:p>
      <w:pPr>
        <w:spacing w:after="20" w:line="223" w:lineRule="auto"/>
        <w:jc w:val="right"/>
        <w:bidi/>
      </w:pPr>
      <w:r>
        <w:rPr>
          <w:rFonts w:ascii="Arial" w:hAnsi="Arial"/>
          <w:sz w:val="16"/>
        </w:rPr>
        <w:t>147.33  مدال خدمات داوطلبانه برجسته نظامی در ۹ ژانویه ۱۹۹۳ برای قدردانی از اعضای نیروهای مسلح ایالات متحده ایجاد شد که خدمات داوطلبانه برجسته‌ای را با ماهیت پایدار، مستقیم و پیامد انجام می‌دهند.</w:t>
      </w:r>
    </w:p>
    <w:p>
      <w:pPr>
        <w:spacing w:after="28" w:line="216" w:lineRule="auto"/>
        <w:ind w:left="259"/>
        <w:jc w:val="left"/>
      </w:pPr>
      <w:r>
        <w:rPr>
          <w:rFonts w:ascii="Arial" w:hAnsi="Arial"/>
          <w:color w:val="525252"/>
          <w:sz w:val="13"/>
        </w:rPr>
        <w:t>The Military Outstanding Volunteer Service Medal was established on 9 January 1993 to recognize members of the U.S. Armed Forces who perform outstanding volunteer community service of a sustained, direct, and consequential nature.</w:t>
      </w:r>
    </w:p>
    <w:p>
      <w:pPr>
        <w:spacing w:after="20" w:line="223" w:lineRule="auto"/>
        <w:jc w:val="right"/>
        <w:bidi/>
      </w:pPr>
      <w:r>
        <w:rPr>
          <w:rFonts w:ascii="Arial" w:hAnsi="Arial"/>
          <w:sz w:val="16"/>
        </w:rPr>
        <w:t>147.34  مدال ذخیره نیروهای مسلح.</w:t>
      </w:r>
    </w:p>
    <w:p>
      <w:pPr>
        <w:spacing w:after="28" w:line="216" w:lineRule="auto"/>
        <w:ind w:left="259"/>
        <w:jc w:val="left"/>
      </w:pPr>
      <w:r>
        <w:rPr>
          <w:rFonts w:ascii="Arial" w:hAnsi="Arial"/>
          <w:color w:val="525252"/>
          <w:sz w:val="13"/>
        </w:rPr>
        <w:t>Armed Forces Reserve Medal.</w:t>
      </w:r>
    </w:p>
    <w:p>
      <w:pPr>
        <w:spacing w:after="20" w:line="223" w:lineRule="auto"/>
        <w:jc w:val="right"/>
        <w:bidi/>
      </w:pPr>
      <w:r>
        <w:rPr>
          <w:rFonts w:ascii="Arial" w:hAnsi="Arial"/>
          <w:sz w:val="16"/>
        </w:rPr>
        <w:t>147.35  مدال ذخیره نیروهای مسلح به اعضای جزء ذخیره نیروهای مسلح ایالات متحده یا اعضای سابق که مجموعا ۱۰ سال خدمت را در مدت ۱۲ سال متوالی یا پس از بسیج یا نظامی اضطراری تکمیل کرده‌اند اعطا می‌شود.</w:t>
      </w:r>
    </w:p>
    <w:p>
      <w:pPr>
        <w:spacing w:after="28" w:line="216" w:lineRule="auto"/>
        <w:ind w:left="259"/>
        <w:jc w:val="left"/>
      </w:pPr>
      <w:r>
        <w:rPr>
          <w:rFonts w:ascii="Arial" w:hAnsi="Arial"/>
          <w:color w:val="525252"/>
          <w:sz w:val="13"/>
        </w:rPr>
        <w:t>The Armed Forces Reserve Medal is awarded to U.S. Armed Forces Reserve Component members or former members who have completed a total of 10 years of service within a period of 12 consecutive years, or upon mobilization or contingency military</w:t>
      </w:r>
    </w:p>
    <w:p>
      <w:r>
        <w:br w:type="page"/>
      </w:r>
    </w:p>
    <w:p>
      <w:pPr>
        <w:spacing w:after="60"/>
        <w:jc w:val="right"/>
        <w:bidi/>
      </w:pPr>
      <w:r>
        <w:rPr>
          <w:rFonts w:ascii="Arial" w:hAnsi="Arial"/>
          <w:b/>
          <w:color w:val="1F4D78"/>
          <w:sz w:val="19"/>
        </w:rPr>
        <w:t>هفتهٔ 148  |  صفحهٔ منبع: 164</w:t>
      </w:r>
    </w:p>
    <w:p>
      <w:pPr>
        <w:spacing w:after="20" w:line="223" w:lineRule="auto"/>
        <w:jc w:val="right"/>
        <w:bidi/>
      </w:pPr>
      <w:r>
        <w:rPr>
          <w:rFonts w:ascii="Arial" w:hAnsi="Arial"/>
          <w:sz w:val="16"/>
        </w:rPr>
        <w:t>148.01  دستور تخصیص پرسنل به رگاف.</w:t>
      </w:r>
    </w:p>
    <w:p>
      <w:pPr>
        <w:spacing w:after="28" w:line="216" w:lineRule="auto"/>
        <w:ind w:left="259"/>
        <w:jc w:val="left"/>
      </w:pPr>
      <w:r>
        <w:rPr>
          <w:rFonts w:ascii="Arial" w:hAnsi="Arial"/>
          <w:color w:val="525252"/>
          <w:sz w:val="13"/>
        </w:rPr>
        <w:t>personnel appropriation order to RegAF.</w:t>
      </w:r>
    </w:p>
    <w:p>
      <w:pPr>
        <w:spacing w:before="60" w:after="28"/>
        <w:jc w:val="right"/>
        <w:bidi/>
      </w:pPr>
      <w:r>
        <w:rPr>
          <w:b/>
          <w:color w:val="1F4D78"/>
          <w:sz w:val="18"/>
        </w:rPr>
        <w:t>8.20. جوایز واحد</w:t>
      </w:r>
    </w:p>
    <w:p>
      <w:pPr>
        <w:spacing w:after="20"/>
        <w:ind w:left="259"/>
        <w:jc w:val="left"/>
      </w:pPr>
      <w:r>
        <w:rPr>
          <w:color w:val="555555"/>
          <w:sz w:val="12"/>
        </w:rPr>
        <w:t>8.20. Unit Awards</w:t>
      </w:r>
    </w:p>
    <w:p>
      <w:pPr>
        <w:spacing w:after="20" w:line="223" w:lineRule="auto"/>
        <w:jc w:val="right"/>
        <w:bidi/>
      </w:pPr>
      <w:r>
        <w:rPr>
          <w:rFonts w:ascii="Arial" w:hAnsi="Arial"/>
          <w:sz w:val="16"/>
        </w:rPr>
        <w:t>148.03  این جوایز به واحدهای نظامی که خود را در زمان صلح یا در اقدام علیه نیروهای متخاصم یا دشمن مسلح ایالات متحده متمایز می‌کنند، اهدا می‌شود.</w:t>
      </w:r>
    </w:p>
    <w:p>
      <w:pPr>
        <w:spacing w:after="28" w:line="216" w:lineRule="auto"/>
        <w:ind w:left="259"/>
        <w:jc w:val="left"/>
      </w:pPr>
      <w:r>
        <w:rPr>
          <w:rFonts w:ascii="Arial" w:hAnsi="Arial"/>
          <w:color w:val="525252"/>
          <w:sz w:val="13"/>
        </w:rPr>
        <w:t>These awards are presented to military units that distinguish themselves during peacetime or in action against hostile forces or an armed enemy of the United States.</w:t>
      </w:r>
    </w:p>
    <w:p>
      <w:pPr>
        <w:spacing w:after="20" w:line="223" w:lineRule="auto"/>
        <w:jc w:val="right"/>
        <w:bidi/>
      </w:pPr>
      <w:r>
        <w:rPr>
          <w:rFonts w:ascii="Arial" w:hAnsi="Arial"/>
          <w:sz w:val="16"/>
        </w:rPr>
        <w:t>148.04  برای حفظ یکپارچگی جوایز واحد، آنها فقط برای شناسایی اعمال یا خدمات به وضوح و مشخصا برجسته از نظر ماهیت و بزرگی تأیید می‌شوند.</w:t>
      </w:r>
    </w:p>
    <w:p>
      <w:pPr>
        <w:spacing w:after="28" w:line="216" w:lineRule="auto"/>
        <w:ind w:left="259"/>
        <w:jc w:val="left"/>
      </w:pPr>
      <w:r>
        <w:rPr>
          <w:rFonts w:ascii="Arial" w:hAnsi="Arial"/>
          <w:color w:val="525252"/>
          <w:sz w:val="13"/>
        </w:rPr>
        <w:t>To preserve the integrity of unit awards, they are approved only to recognize acts or services clearly and distinctly outstanding by nature and magnitude.</w:t>
      </w:r>
    </w:p>
    <w:p>
      <w:pPr>
        <w:spacing w:after="20" w:line="223" w:lineRule="auto"/>
        <w:jc w:val="right"/>
        <w:bidi/>
      </w:pPr>
      <w:r>
        <w:rPr>
          <w:rFonts w:ascii="Arial" w:hAnsi="Arial"/>
          <w:sz w:val="16"/>
        </w:rPr>
        <w:t>148.05  اقدامات یا خدمات شناسایی شده باید عملکرد واحد را بالاتر از سایر واحدهای مشابه از نظر ترکیب و مأموریت قرار دهد و از چنان اهمیتی برخوردار باشد که به هیچ وجه قابل تشخیص نباشد.</w:t>
      </w:r>
    </w:p>
    <w:p>
      <w:pPr>
        <w:spacing w:after="28" w:line="216" w:lineRule="auto"/>
        <w:ind w:left="259"/>
        <w:jc w:val="left"/>
      </w:pPr>
      <w:r>
        <w:rPr>
          <w:rFonts w:ascii="Arial" w:hAnsi="Arial"/>
          <w:color w:val="525252"/>
          <w:sz w:val="13"/>
        </w:rPr>
        <w:t>The acts or services recognized must place the unit’s performance above that of other units similar in composition and mission and be of such importance that they cannot be appropriately recognized in any other way.</w:t>
      </w:r>
    </w:p>
    <w:p>
      <w:pPr>
        <w:spacing w:after="20" w:line="223" w:lineRule="auto"/>
        <w:jc w:val="right"/>
        <w:bidi/>
      </w:pPr>
      <w:r>
        <w:rPr>
          <w:rFonts w:ascii="Arial" w:hAnsi="Arial"/>
          <w:sz w:val="16"/>
        </w:rPr>
        <w:t>148.06  فقط یک واحد جایزه برای همان دستاورد یا خدمت اعطا می‌شود.</w:t>
      </w:r>
    </w:p>
    <w:p>
      <w:pPr>
        <w:spacing w:after="28" w:line="216" w:lineRule="auto"/>
        <w:ind w:left="259"/>
        <w:jc w:val="left"/>
      </w:pPr>
      <w:r>
        <w:rPr>
          <w:rFonts w:ascii="Arial" w:hAnsi="Arial"/>
          <w:color w:val="525252"/>
          <w:sz w:val="13"/>
        </w:rPr>
        <w:t>Only one unit award is awarded for the same achievement or service.</w:t>
      </w:r>
    </w:p>
    <w:p>
      <w:pPr>
        <w:spacing w:after="20" w:line="223" w:lineRule="auto"/>
        <w:jc w:val="right"/>
        <w:bidi/>
      </w:pPr>
      <w:r>
        <w:rPr>
          <w:rFonts w:ascii="Arial" w:hAnsi="Arial"/>
          <w:sz w:val="16"/>
        </w:rPr>
        <w:t>148.07  کل خدمات واحد باید در حین عمل ممتاز محترم بوده باشد.</w:t>
      </w:r>
    </w:p>
    <w:p>
      <w:pPr>
        <w:spacing w:after="28" w:line="216" w:lineRule="auto"/>
        <w:ind w:left="259"/>
        <w:jc w:val="left"/>
      </w:pPr>
      <w:r>
        <w:rPr>
          <w:rFonts w:ascii="Arial" w:hAnsi="Arial"/>
          <w:color w:val="525252"/>
          <w:sz w:val="13"/>
        </w:rPr>
        <w:t>The unit’s entire service must have been honorable during the distinguished act.</w:t>
      </w:r>
    </w:p>
    <w:p>
      <w:pPr>
        <w:spacing w:after="20" w:line="223" w:lineRule="auto"/>
        <w:jc w:val="right"/>
        <w:bidi/>
      </w:pPr>
      <w:r>
        <w:rPr>
          <w:rFonts w:ascii="Arial" w:hAnsi="Arial"/>
          <w:sz w:val="16"/>
        </w:rPr>
        <w:t>148.08  یک سازمان ممکن است عناصر جایزه یک جایزه واحد را نمایش دهد.</w:t>
      </w:r>
    </w:p>
    <w:p>
      <w:pPr>
        <w:spacing w:after="28" w:line="216" w:lineRule="auto"/>
        <w:ind w:left="259"/>
        <w:jc w:val="left"/>
      </w:pPr>
      <w:r>
        <w:rPr>
          <w:rFonts w:ascii="Arial" w:hAnsi="Arial"/>
          <w:color w:val="525252"/>
          <w:sz w:val="13"/>
        </w:rPr>
        <w:t>An organization may display the award elements of a unit award.</w:t>
      </w:r>
    </w:p>
    <w:p>
      <w:pPr>
        <w:spacing w:after="20" w:line="223" w:lineRule="auto"/>
        <w:jc w:val="right"/>
        <w:bidi/>
      </w:pPr>
      <w:r>
        <w:rPr>
          <w:rFonts w:ascii="Arial" w:hAnsi="Arial"/>
          <w:sz w:val="16"/>
        </w:rPr>
        <w:t>148.09  واحدهای تابعه تعیین شده سازمان (به استثنای واحدهای خارجی) نیز ممکن است در جایزه سهیم باشند. با این حال، سازمان‌های بالاتر ممکن است این کار را نکنند.</w:t>
      </w:r>
    </w:p>
    <w:p>
      <w:pPr>
        <w:spacing w:after="28" w:line="216" w:lineRule="auto"/>
        <w:ind w:left="259"/>
        <w:jc w:val="left"/>
      </w:pPr>
      <w:r>
        <w:rPr>
          <w:rFonts w:ascii="Arial" w:hAnsi="Arial"/>
          <w:color w:val="525252"/>
          <w:sz w:val="13"/>
        </w:rPr>
        <w:t>Designated subordinate units of the organization (except foreign units) may also share in the award; however, higher organizations may not.</w:t>
      </w:r>
    </w:p>
    <w:p>
      <w:pPr>
        <w:spacing w:after="20" w:line="223" w:lineRule="auto"/>
        <w:jc w:val="right"/>
        <w:bidi/>
      </w:pPr>
      <w:r>
        <w:rPr>
          <w:rFonts w:ascii="Arial" w:hAnsi="Arial"/>
          <w:sz w:val="16"/>
        </w:rPr>
        <w:t>148.10  همه افراد منتصب یا پیوستی که در دوره‌ای که جایزه واحدی برای آن اعطا شده بود در یک واحد خدمت می‌کردند، در صورتی که مستقیما در مأموریت و دستاوردهای واحد مشارکت داشته باشند، مجاز به دریافت نوار مناسب هستند.</w:t>
      </w:r>
    </w:p>
    <w:p>
      <w:pPr>
        <w:spacing w:after="28" w:line="216" w:lineRule="auto"/>
        <w:ind w:left="259"/>
        <w:jc w:val="left"/>
      </w:pPr>
      <w:r>
        <w:rPr>
          <w:rFonts w:ascii="Arial" w:hAnsi="Arial"/>
          <w:color w:val="525252"/>
          <w:sz w:val="13"/>
        </w:rPr>
        <w:t>All assigned or attached people who served with a unit during a period for which a unit award was awarded are authorized the appropriate ribbon if they directly contributed to the mission and accomplishments of the unit.</w:t>
      </w:r>
    </w:p>
    <w:p>
      <w:pPr>
        <w:spacing w:after="20" w:line="223" w:lineRule="auto"/>
        <w:jc w:val="right"/>
        <w:bidi/>
      </w:pPr>
      <w:r>
        <w:rPr>
          <w:rFonts w:ascii="Arial" w:hAnsi="Arial"/>
          <w:sz w:val="16"/>
        </w:rPr>
        <w:t>148.11  پنج جایزه رایج واحد که امروزه توسط اعضای USAF پوشیده می‌شود عبارتند از: جایزه واحد شایستگی مشترک، استناد واحد گالانت، جایزه واحد شایسته، جایزه واحد برجسته نیروی هوایی، و جایزه تعالی سازمانی نیروی هوایی.</w:t>
      </w:r>
    </w:p>
    <w:p>
      <w:pPr>
        <w:spacing w:after="28" w:line="216" w:lineRule="auto"/>
        <w:ind w:left="259"/>
        <w:jc w:val="left"/>
      </w:pPr>
      <w:r>
        <w:rPr>
          <w:rFonts w:ascii="Arial" w:hAnsi="Arial"/>
          <w:color w:val="525252"/>
          <w:sz w:val="13"/>
        </w:rPr>
        <w:t>The five most common unit awards worn by USAF members today are the Joint Meritorious Unit Award, the Gallant Unit Citation, the Meritorious Unit Award, the Air Force Outstanding Unit Award, and the Air Force Organizational Excellence Award.</w:t>
      </w:r>
    </w:p>
    <w:p>
      <w:pPr>
        <w:spacing w:after="20" w:line="223" w:lineRule="auto"/>
        <w:jc w:val="right"/>
        <w:bidi/>
      </w:pPr>
      <w:r>
        <w:rPr>
          <w:rFonts w:ascii="Arial" w:hAnsi="Arial"/>
          <w:sz w:val="16"/>
        </w:rPr>
        <w:t>148.12  استناد واحد ریاست جمهوری.</w:t>
      </w:r>
    </w:p>
    <w:p>
      <w:pPr>
        <w:spacing w:after="28" w:line="216" w:lineRule="auto"/>
        <w:ind w:left="259"/>
        <w:jc w:val="left"/>
      </w:pPr>
      <w:r>
        <w:rPr>
          <w:rFonts w:ascii="Arial" w:hAnsi="Arial"/>
          <w:color w:val="525252"/>
          <w:sz w:val="13"/>
        </w:rPr>
        <w:t>Presidential Unit Citation.</w:t>
      </w:r>
    </w:p>
    <w:p>
      <w:pPr>
        <w:spacing w:after="20" w:line="223" w:lineRule="auto"/>
        <w:jc w:val="right"/>
        <w:bidi/>
      </w:pPr>
      <w:r>
        <w:rPr>
          <w:rFonts w:ascii="Arial" w:hAnsi="Arial"/>
          <w:sz w:val="16"/>
        </w:rPr>
        <w:t>148.13  استناد واحد ریاست جمهوری بالاترین جایزه واحد کشور است.</w:t>
      </w:r>
    </w:p>
    <w:p>
      <w:pPr>
        <w:spacing w:after="28" w:line="216" w:lineRule="auto"/>
        <w:ind w:left="259"/>
        <w:jc w:val="left"/>
      </w:pPr>
      <w:r>
        <w:rPr>
          <w:rFonts w:ascii="Arial" w:hAnsi="Arial"/>
          <w:color w:val="525252"/>
          <w:sz w:val="13"/>
        </w:rPr>
        <w:t>The Presidential Unit Citation is the nation’s highest unit award.</w:t>
      </w:r>
    </w:p>
    <w:p>
      <w:pPr>
        <w:spacing w:after="20" w:line="223" w:lineRule="auto"/>
        <w:jc w:val="right"/>
        <w:bidi/>
      </w:pPr>
      <w:r>
        <w:rPr>
          <w:rFonts w:ascii="Arial" w:hAnsi="Arial"/>
          <w:sz w:val="16"/>
        </w:rPr>
        <w:t>148.14  به یگان‌های نیروهای مسلح ایالات متحده و کشورهای متخاصم، برای قهرمانی فوق‌العاده در اقدام علیه دشمن مسلح در ۷ دسامبر ۱۹۴۱ یا بعد از آن، اعطا می‌شود.</w:t>
      </w:r>
    </w:p>
    <w:p>
      <w:pPr>
        <w:spacing w:after="28" w:line="216" w:lineRule="auto"/>
        <w:ind w:left="259"/>
        <w:jc w:val="left"/>
      </w:pPr>
      <w:r>
        <w:rPr>
          <w:rFonts w:ascii="Arial" w:hAnsi="Arial"/>
          <w:color w:val="525252"/>
          <w:sz w:val="13"/>
        </w:rPr>
        <w:t>It is awarded to units of the U.S. Armed Forces and cobelligerent nations, for extraordinary heroism in action against an armed enemy on or after 7 December 1941.</w:t>
      </w:r>
    </w:p>
    <w:p>
      <w:pPr>
        <w:spacing w:after="20" w:line="223" w:lineRule="auto"/>
        <w:jc w:val="right"/>
        <w:bidi/>
      </w:pPr>
      <w:r>
        <w:rPr>
          <w:rFonts w:ascii="Arial" w:hAnsi="Arial"/>
          <w:sz w:val="16"/>
        </w:rPr>
        <w:t>148.15  یگان باید در انجام مأموریت خود در شرایط بسیار دشوار و خطرناک آنچنان شجاعت، عزم و روحیه از خود نشان داده باشد که آن را از سایر واحدهای شرکت کننده در همان کمپین متمایز کند.</w:t>
      </w:r>
    </w:p>
    <w:p>
      <w:pPr>
        <w:spacing w:after="28" w:line="216" w:lineRule="auto"/>
        <w:ind w:left="259"/>
        <w:jc w:val="left"/>
      </w:pPr>
      <w:r>
        <w:rPr>
          <w:rFonts w:ascii="Arial" w:hAnsi="Arial"/>
          <w:color w:val="525252"/>
          <w:sz w:val="13"/>
        </w:rPr>
        <w:t>The unit must have displayed such gallantry, determination, and esprit de corps in accomplishing its mission under extremely difficult and hazardous conditions to have set it apart and above other units participating in the same campaign.</w:t>
      </w:r>
    </w:p>
    <w:p>
      <w:pPr>
        <w:spacing w:after="20" w:line="223" w:lineRule="auto"/>
        <w:jc w:val="right"/>
        <w:bidi/>
      </w:pPr>
      <w:r>
        <w:rPr>
          <w:rFonts w:ascii="Arial" w:hAnsi="Arial"/>
          <w:sz w:val="16"/>
        </w:rPr>
        <w:t>148.16  درجه قهرمانی مورد نیاز همان است که از یک نیروی هوایی ک برای یک فرد لازم است.</w:t>
      </w:r>
    </w:p>
    <w:p>
      <w:pPr>
        <w:spacing w:after="28" w:line="216" w:lineRule="auto"/>
        <w:ind w:left="259"/>
        <w:jc w:val="left"/>
      </w:pPr>
      <w:r>
        <w:rPr>
          <w:rFonts w:ascii="Arial" w:hAnsi="Arial"/>
          <w:color w:val="525252"/>
          <w:sz w:val="13"/>
        </w:rPr>
        <w:t>The degree of heroism required is the same as that which would be required of an Air Force C to an individual.</w:t>
      </w:r>
    </w:p>
    <w:p>
      <w:pPr>
        <w:spacing w:after="20" w:line="223" w:lineRule="auto"/>
        <w:jc w:val="right"/>
        <w:bidi/>
      </w:pPr>
      <w:r>
        <w:rPr>
          <w:rFonts w:ascii="Arial" w:hAnsi="Arial"/>
          <w:sz w:val="16"/>
        </w:rPr>
        <w:t>148.17  جایزه واحد شایستگی مشترک.</w:t>
      </w:r>
    </w:p>
    <w:p>
      <w:pPr>
        <w:spacing w:after="28" w:line="216" w:lineRule="auto"/>
        <w:ind w:left="259"/>
        <w:jc w:val="left"/>
      </w:pPr>
      <w:r>
        <w:rPr>
          <w:rFonts w:ascii="Arial" w:hAnsi="Arial"/>
          <w:color w:val="525252"/>
          <w:sz w:val="13"/>
        </w:rPr>
        <w:t>Joint Meritorious Unit Award.</w:t>
      </w:r>
    </w:p>
    <w:p>
      <w:pPr>
        <w:spacing w:after="20" w:line="223" w:lineRule="auto"/>
        <w:jc w:val="right"/>
        <w:bidi/>
      </w:pPr>
      <w:r>
        <w:rPr>
          <w:rFonts w:ascii="Arial" w:hAnsi="Arial"/>
          <w:sz w:val="16"/>
        </w:rPr>
        <w:t>148.18  جایزه واحد شایستگی مشترک، واحدها و فعالیت‌های مشترک، مانند یک کارگروه مشترک برای دستاوردهای شایسته یا خدماتی برتر از آنچه که معمولا انتظار می‌رود، به رسمیت می‌شناسد.</w:t>
      </w:r>
    </w:p>
    <w:p>
      <w:pPr>
        <w:spacing w:after="28" w:line="216" w:lineRule="auto"/>
        <w:ind w:left="259"/>
        <w:jc w:val="left"/>
      </w:pPr>
      <w:r>
        <w:rPr>
          <w:rFonts w:ascii="Arial" w:hAnsi="Arial"/>
          <w:color w:val="525252"/>
          <w:sz w:val="13"/>
        </w:rPr>
        <w:t>The Joint Meritorious Unit Award recognizes joint units and activities, such as a joint task force for meritorious achievement or service superior to that normally expected.</w:t>
      </w:r>
    </w:p>
    <w:p>
      <w:pPr>
        <w:spacing w:after="20" w:line="223" w:lineRule="auto"/>
        <w:jc w:val="right"/>
        <w:bidi/>
      </w:pPr>
      <w:r>
        <w:rPr>
          <w:rFonts w:ascii="Arial" w:hAnsi="Arial"/>
          <w:sz w:val="16"/>
        </w:rPr>
        <w:t>148.19  اعضای USAF که به یگان مشترک یا گروه ضربت مشترک منصوب یا ملحق شده‌اند که جایزه واحد شایستگی مشترک را دریافت کرده‌اند، ممکن است واجد شرایط استفاده از روبان جایزه واحد شایستگی مشترک باشند.</w:t>
      </w:r>
    </w:p>
    <w:p>
      <w:pPr>
        <w:spacing w:after="28" w:line="216" w:lineRule="auto"/>
        <w:ind w:left="259"/>
        <w:jc w:val="left"/>
      </w:pPr>
      <w:r>
        <w:rPr>
          <w:rFonts w:ascii="Arial" w:hAnsi="Arial"/>
          <w:color w:val="525252"/>
          <w:sz w:val="13"/>
        </w:rPr>
        <w:t>USAF members assigned or attached to the joint unit or joint task force awarded a Joint Meritorious Unit Award may be eligible to wear the Joint Meritorious Unit Award ribbon.</w:t>
      </w:r>
    </w:p>
    <w:p>
      <w:pPr>
        <w:spacing w:after="20" w:line="223" w:lineRule="auto"/>
        <w:jc w:val="right"/>
        <w:bidi/>
      </w:pPr>
      <w:r>
        <w:rPr>
          <w:rFonts w:ascii="Arial" w:hAnsi="Arial"/>
          <w:sz w:val="16"/>
        </w:rPr>
        <w:t>148.20  استناد واحد گالانت.</w:t>
      </w:r>
    </w:p>
    <w:p>
      <w:pPr>
        <w:spacing w:after="28" w:line="216" w:lineRule="auto"/>
        <w:ind w:left="259"/>
        <w:jc w:val="left"/>
      </w:pPr>
      <w:r>
        <w:rPr>
          <w:rFonts w:ascii="Arial" w:hAnsi="Arial"/>
          <w:color w:val="525252"/>
          <w:sz w:val="13"/>
        </w:rPr>
        <w:t>Gallant Unit Citation.</w:t>
      </w:r>
    </w:p>
    <w:p>
      <w:pPr>
        <w:spacing w:after="20" w:line="223" w:lineRule="auto"/>
        <w:jc w:val="right"/>
        <w:bidi/>
      </w:pPr>
      <w:r>
        <w:rPr>
          <w:rFonts w:ascii="Arial" w:hAnsi="Arial"/>
          <w:sz w:val="16"/>
        </w:rPr>
        <w:t>148.21  استناد واحد گالانت در مارس ۲۰۰۴ توسط وزیر نیروی هوایی تأیید شد و به یگان‌های USAF برای قهرمانی فوق‌العاده در اقدام علیه دشمن مسلح ایالات متحده در حالی که درگیر عملیات نظامی شامل درگیری با یک نیروی خارجی مخالف در یا پس از ۱۱ سپتامبر ۲۰۰۱ بودند، اعطا شد.</w:t>
      </w:r>
    </w:p>
    <w:p>
      <w:pPr>
        <w:spacing w:after="28" w:line="216" w:lineRule="auto"/>
        <w:ind w:left="259"/>
        <w:jc w:val="left"/>
      </w:pPr>
      <w:r>
        <w:rPr>
          <w:rFonts w:ascii="Arial" w:hAnsi="Arial"/>
          <w:color w:val="525252"/>
          <w:sz w:val="13"/>
        </w:rPr>
        <w:t>The Gallant Unit Citation was approved by the Secretary of the Air Force in March 2004 and is awarded to USAF units for extraordinary heroism in action against an armed enemy of the United States while engaged in military operations involving conflict with an opposing foreign force on or after 11 September 2001.</w:t>
      </w:r>
    </w:p>
    <w:p>
      <w:pPr>
        <w:spacing w:after="20" w:line="223" w:lineRule="auto"/>
        <w:jc w:val="right"/>
        <w:bidi/>
      </w:pPr>
      <w:r>
        <w:rPr>
          <w:rFonts w:ascii="Arial" w:hAnsi="Arial"/>
          <w:sz w:val="16"/>
        </w:rPr>
        <w:t>148.22  یگان باید با تمایز مشخص در شرایط سخت و خطرناک در انجام مأموریت خود عمل کرده باشد تا آن را از سایر واحدهای شرکت کننده در همان درگیری متمایز و بالاتر از آن قرار دهد.</w:t>
      </w:r>
    </w:p>
    <w:p>
      <w:pPr>
        <w:spacing w:after="28" w:line="216" w:lineRule="auto"/>
        <w:ind w:left="259"/>
        <w:jc w:val="left"/>
      </w:pPr>
      <w:r>
        <w:rPr>
          <w:rFonts w:ascii="Arial" w:hAnsi="Arial"/>
          <w:color w:val="525252"/>
          <w:sz w:val="13"/>
        </w:rPr>
        <w:t>The unit must have performed with marked distinction under difficult and hazardous conditions in accomplishing its mission so as to set it apart from and above other units participating in the same conflict.</w:t>
      </w:r>
    </w:p>
    <w:p>
      <w:pPr>
        <w:spacing w:after="20" w:line="223" w:lineRule="auto"/>
        <w:jc w:val="right"/>
        <w:bidi/>
      </w:pPr>
      <w:r>
        <w:rPr>
          <w:rFonts w:ascii="Arial" w:hAnsi="Arial"/>
          <w:sz w:val="16"/>
        </w:rPr>
        <w:t>148.23  استناد واحد گالانت معمولا توسط واحدهایی به دست می‌آید که در اقدامات منفرد یا متوالی که بازه‌های زمانی نسبتا کوتاهی را پوشش می‌دهند، شرکت کرده‌اند.</w:t>
      </w:r>
    </w:p>
    <w:p>
      <w:pPr>
        <w:spacing w:after="28" w:line="216" w:lineRule="auto"/>
        <w:ind w:left="259"/>
        <w:jc w:val="left"/>
      </w:pPr>
      <w:r>
        <w:rPr>
          <w:rFonts w:ascii="Arial" w:hAnsi="Arial"/>
          <w:color w:val="525252"/>
          <w:sz w:val="13"/>
        </w:rPr>
        <w:t>The Gallant Unit Citation will normally be earned by units that have participated in single or successive actions covering relatively brief time spans.</w:t>
      </w:r>
    </w:p>
    <w:p>
      <w:pPr>
        <w:spacing w:after="20" w:line="223" w:lineRule="auto"/>
        <w:jc w:val="right"/>
        <w:bidi/>
      </w:pPr>
      <w:r>
        <w:rPr>
          <w:rFonts w:ascii="Arial" w:hAnsi="Arial"/>
          <w:sz w:val="16"/>
        </w:rPr>
        <w:t>148.24  جایزه واحد شایسته.</w:t>
      </w:r>
    </w:p>
    <w:p>
      <w:pPr>
        <w:spacing w:after="28" w:line="216" w:lineRule="auto"/>
        <w:ind w:left="259"/>
        <w:jc w:val="left"/>
      </w:pPr>
      <w:r>
        <w:rPr>
          <w:rFonts w:ascii="Arial" w:hAnsi="Arial"/>
          <w:color w:val="525252"/>
          <w:sz w:val="13"/>
        </w:rPr>
        <w:t>Meritorious Unit Award.</w:t>
      </w:r>
    </w:p>
    <w:p>
      <w:pPr>
        <w:spacing w:after="20" w:line="223" w:lineRule="auto"/>
        <w:jc w:val="right"/>
        <w:bidi/>
      </w:pPr>
      <w:r>
        <w:rPr>
          <w:rFonts w:ascii="Arial" w:hAnsi="Arial"/>
          <w:sz w:val="16"/>
        </w:rPr>
        <w:t>148.25  جایزه واحد شایسته توسط وزیر نیروی هوایی در مارس ۲۰۰۴ تصویب شد و به یگان‌های USAF برای رفتار استثنایی شایسته در انجام دستاوردهای برجسته یا خدمات در پشتیبانی مستقیم از عملیات‌های رزمی برای حداقل ۹۰ روز مداوم در طول دوره عملیات نظامی علیه یک دشمن مسلح ایالات متحده در سپتامبر ۲۰۱۱ پس از ۲۰ سپتامبر اعطا می‌شود.</w:t>
      </w:r>
    </w:p>
    <w:p>
      <w:pPr>
        <w:spacing w:after="28" w:line="216" w:lineRule="auto"/>
        <w:ind w:left="259"/>
        <w:jc w:val="left"/>
      </w:pPr>
      <w:r>
        <w:rPr>
          <w:rFonts w:ascii="Arial" w:hAnsi="Arial"/>
          <w:color w:val="525252"/>
          <w:sz w:val="13"/>
        </w:rPr>
        <w:t>The Meritorious Unit Award was approved by the Secretary of the Air Force in March 2004 and is awarded to USAF units for exceptionally meritorious conduct in performance of outstanding achievement or service in direct support of combat operations for at least 90 continuous days during the period of military operations against an armed enemy of the United States on or after 11 September 2001.</w:t>
      </w:r>
    </w:p>
    <w:p>
      <w:pPr>
        <w:spacing w:after="20" w:line="223" w:lineRule="auto"/>
        <w:jc w:val="right"/>
        <w:bidi/>
      </w:pPr>
      <w:r>
        <w:rPr>
          <w:rFonts w:ascii="Arial" w:hAnsi="Arial"/>
          <w:sz w:val="16"/>
        </w:rPr>
        <w:t>148.26  انجام برتر مأموریت‌های عادی به تنهایی اعطای جایزه واحد شایسته را توجیه نمی‌کند.</w:t>
      </w:r>
    </w:p>
    <w:p>
      <w:pPr>
        <w:spacing w:after="28" w:line="216" w:lineRule="auto"/>
        <w:ind w:left="259"/>
        <w:jc w:val="left"/>
      </w:pPr>
      <w:r>
        <w:rPr>
          <w:rFonts w:ascii="Arial" w:hAnsi="Arial"/>
          <w:color w:val="525252"/>
          <w:sz w:val="13"/>
        </w:rPr>
        <w:t>Superior performance of normal missions alone will not justify award of the Meritorious Unit Award.</w:t>
      </w:r>
    </w:p>
    <w:p>
      <w:pPr>
        <w:spacing w:after="20" w:line="223" w:lineRule="auto"/>
        <w:jc w:val="right"/>
        <w:bidi/>
      </w:pPr>
      <w:r>
        <w:rPr>
          <w:rFonts w:ascii="Arial" w:hAnsi="Arial"/>
          <w:sz w:val="16"/>
        </w:rPr>
        <w:t>148.27  خدمت در یک منطقه رزمی مورد نیاز نیست، اما خدمت باید مستقیما با تلاش رزمی مرتبط باشد.</w:t>
      </w:r>
    </w:p>
    <w:p>
      <w:pPr>
        <w:spacing w:after="28" w:line="216" w:lineRule="auto"/>
        <w:ind w:left="259"/>
        <w:jc w:val="left"/>
      </w:pPr>
      <w:r>
        <w:rPr>
          <w:rFonts w:ascii="Arial" w:hAnsi="Arial"/>
          <w:color w:val="525252"/>
          <w:sz w:val="13"/>
        </w:rPr>
        <w:t>Service in a combat zone is not required, but service must be directly related to the combat effort.</w:t>
      </w:r>
    </w:p>
    <w:p>
      <w:pPr>
        <w:spacing w:after="20" w:line="223" w:lineRule="auto"/>
        <w:jc w:val="right"/>
        <w:bidi/>
      </w:pPr>
      <w:r>
        <w:rPr>
          <w:rFonts w:ascii="Arial" w:hAnsi="Arial"/>
          <w:sz w:val="16"/>
        </w:rPr>
        <w:t>148.28  جایزه واحد شایسته به هیچ واحد یا مؤلفه‌ای که پیش‌تر جایزه واحد برجسته نیروی هوایی، جایزه تعالی سازمانی نیروی هوایی، یا جوایز واحد از سایر مؤلفه‌های خدماتی برای همان عمل، دستاورد یا خدمت اعطا شده باشد، تعلق نمی‌گیرد.</w:t>
      </w:r>
    </w:p>
    <w:p>
      <w:pPr>
        <w:spacing w:after="28" w:line="216" w:lineRule="auto"/>
        <w:ind w:left="259"/>
        <w:jc w:val="left"/>
      </w:pPr>
      <w:r>
        <w:rPr>
          <w:rFonts w:ascii="Arial" w:hAnsi="Arial"/>
          <w:color w:val="525252"/>
          <w:sz w:val="13"/>
        </w:rPr>
        <w:t>The Meritorious Unit Award is not awarded to any unit or component previously awarded the Air Force Outstanding Unit Award, Air Force Organizational Excellence Award, or unit awards from other service components for the same act, achievement, or service.</w:t>
      </w:r>
    </w:p>
    <w:p>
      <w:r>
        <w:br w:type="page"/>
      </w:r>
    </w:p>
    <w:p>
      <w:pPr>
        <w:spacing w:after="60"/>
        <w:jc w:val="right"/>
        <w:bidi/>
      </w:pPr>
      <w:r>
        <w:rPr>
          <w:rFonts w:ascii="Arial" w:hAnsi="Arial"/>
          <w:b/>
          <w:color w:val="1F4D78"/>
          <w:sz w:val="19"/>
        </w:rPr>
        <w:t>هفتهٔ 149  |  صفحهٔ منبع: 165</w:t>
      </w:r>
    </w:p>
    <w:p>
      <w:pPr>
        <w:spacing w:after="20" w:line="223" w:lineRule="auto"/>
        <w:jc w:val="right"/>
        <w:bidi/>
      </w:pPr>
      <w:r>
        <w:rPr>
          <w:rFonts w:ascii="Arial" w:hAnsi="Arial"/>
          <w:sz w:val="16"/>
        </w:rPr>
        <w:t>149.01  جایزه یگان برجسته نیروی هوایی.</w:t>
      </w:r>
    </w:p>
    <w:p>
      <w:pPr>
        <w:spacing w:after="28" w:line="216" w:lineRule="auto"/>
        <w:ind w:left="259"/>
        <w:jc w:val="left"/>
      </w:pPr>
      <w:r>
        <w:rPr>
          <w:rFonts w:ascii="Arial" w:hAnsi="Arial"/>
          <w:color w:val="525252"/>
          <w:sz w:val="13"/>
        </w:rPr>
        <w:t>Air Force Outstanding Unit Award.</w:t>
      </w:r>
    </w:p>
    <w:p>
      <w:pPr>
        <w:spacing w:after="20" w:line="223" w:lineRule="auto"/>
        <w:jc w:val="right"/>
        <w:bidi/>
      </w:pPr>
      <w:r>
        <w:rPr>
          <w:rFonts w:ascii="Arial" w:hAnsi="Arial"/>
          <w:sz w:val="16"/>
        </w:rPr>
        <w:t>149.02  جایزه واحد برجسته نیروی هوایی در ۶ ژانویه ۱۹۵۴ به نام وزیر نیروی هوایی تأسیس و اعطا شد.</w:t>
      </w:r>
    </w:p>
    <w:p>
      <w:pPr>
        <w:spacing w:after="28" w:line="216" w:lineRule="auto"/>
        <w:ind w:left="259"/>
        <w:jc w:val="left"/>
      </w:pPr>
      <w:r>
        <w:rPr>
          <w:rFonts w:ascii="Arial" w:hAnsi="Arial"/>
          <w:color w:val="525252"/>
          <w:sz w:val="13"/>
        </w:rPr>
        <w:t>The Air Force Outstanding Unit Award was established and awarded in the name of the Secretary of the Air Force on 6 January 1954.</w:t>
      </w:r>
    </w:p>
    <w:p>
      <w:pPr>
        <w:spacing w:after="20" w:line="223" w:lineRule="auto"/>
        <w:jc w:val="right"/>
        <w:bidi/>
      </w:pPr>
      <w:r>
        <w:rPr>
          <w:rFonts w:ascii="Arial" w:hAnsi="Arial"/>
          <w:sz w:val="16"/>
        </w:rPr>
        <w:t>149.03  جایزه یگان برجسته نیروی هوایی فقط به واحدهای شماره دار یا نیروی هوایی شماره دار، بخش هوایی، بال، گروه و اسکادران اعطا می‌شود.</w:t>
      </w:r>
    </w:p>
    <w:p>
      <w:pPr>
        <w:spacing w:after="28" w:line="216" w:lineRule="auto"/>
        <w:ind w:left="259"/>
        <w:jc w:val="left"/>
      </w:pPr>
      <w:r>
        <w:rPr>
          <w:rFonts w:ascii="Arial" w:hAnsi="Arial"/>
          <w:color w:val="525252"/>
          <w:sz w:val="13"/>
        </w:rPr>
        <w:t>The Air Force Outstanding Unit Award is awarded only to numbered units or Numbered Air Forces, air divisions, wings, groups, and squadrons.</w:t>
      </w:r>
    </w:p>
    <w:p>
      <w:pPr>
        <w:spacing w:after="20" w:line="223" w:lineRule="auto"/>
        <w:jc w:val="right"/>
        <w:bidi/>
      </w:pPr>
      <w:r>
        <w:rPr>
          <w:rFonts w:ascii="Arial" w:hAnsi="Arial"/>
          <w:sz w:val="16"/>
        </w:rPr>
        <w:t>149.04  برای اعطای جایزه واحد برجسته نیروی هوایی، سازمانی باید خدمات شایسته یا دستاوردهای برجسته‌ای را انجام داده باشد که به وضوح واحد فوق و از واحدهای مشابه جدا باشد.</w:t>
      </w:r>
    </w:p>
    <w:p>
      <w:pPr>
        <w:spacing w:after="28" w:line="216" w:lineRule="auto"/>
        <w:ind w:left="259"/>
        <w:jc w:val="left"/>
      </w:pPr>
      <w:r>
        <w:rPr>
          <w:rFonts w:ascii="Arial" w:hAnsi="Arial"/>
          <w:color w:val="525252"/>
          <w:sz w:val="13"/>
        </w:rPr>
        <w:t>To be awarded the Air Force Outstanding Unit Award, an organization must have performed meritorious service or outstanding achievements that clearly set the unit above and apart from similar units.</w:t>
      </w:r>
    </w:p>
    <w:p>
      <w:pPr>
        <w:spacing w:after="20" w:line="223" w:lineRule="auto"/>
        <w:jc w:val="right"/>
        <w:bidi/>
      </w:pPr>
      <w:r>
        <w:rPr>
          <w:rFonts w:ascii="Arial" w:hAnsi="Arial"/>
          <w:sz w:val="16"/>
        </w:rPr>
        <w:t>149.05  فرماندهان باید سالانه دستاوردهای واحدهای تابعه واجد شرایط خود را بررسی کنند و تنها واحدهایی را توصیه کنند که واقعا استثنایی هستند.</w:t>
      </w:r>
    </w:p>
    <w:p>
      <w:pPr>
        <w:spacing w:after="28" w:line="216" w:lineRule="auto"/>
        <w:ind w:left="259"/>
        <w:jc w:val="left"/>
      </w:pPr>
      <w:r>
        <w:rPr>
          <w:rFonts w:ascii="Arial" w:hAnsi="Arial"/>
          <w:color w:val="525252"/>
          <w:sz w:val="13"/>
        </w:rPr>
        <w:t>Commanders must annually review the accomplishments of their eligible subordinate units and recommend only those units that are truly exceptional.</w:t>
      </w:r>
    </w:p>
    <w:p>
      <w:pPr>
        <w:spacing w:after="20" w:line="223" w:lineRule="auto"/>
        <w:jc w:val="right"/>
        <w:bidi/>
      </w:pPr>
      <w:r>
        <w:rPr>
          <w:rFonts w:ascii="Arial" w:hAnsi="Arial"/>
          <w:sz w:val="16"/>
        </w:rPr>
        <w:t>149.06  فرماندهان توصیه‌های جایزه یگان برجسته نیروی هوایی را برای بررسی به فرماندهان اصلی خود ارسال می‌کنند.</w:t>
      </w:r>
    </w:p>
    <w:p>
      <w:pPr>
        <w:spacing w:after="28" w:line="216" w:lineRule="auto"/>
        <w:ind w:left="259"/>
        <w:jc w:val="left"/>
      </w:pPr>
      <w:r>
        <w:rPr>
          <w:rFonts w:ascii="Arial" w:hAnsi="Arial"/>
          <w:color w:val="525252"/>
          <w:sz w:val="13"/>
        </w:rPr>
        <w:t>Commanders send Air Force Outstanding Unit Award recommendations to their major commands for consideration.</w:t>
      </w:r>
    </w:p>
    <w:p>
      <w:pPr>
        <w:spacing w:after="20" w:line="223" w:lineRule="auto"/>
        <w:jc w:val="right"/>
        <w:bidi/>
      </w:pPr>
      <w:r>
        <w:rPr>
          <w:rFonts w:ascii="Arial" w:hAnsi="Arial"/>
          <w:sz w:val="16"/>
        </w:rPr>
        <w:t>149.07  برخی توصیه‌ها برای جایزه واحد برجسته نیروی هوایی از ارائه سالانه معاف هستند، مانند توصیه‌هایی برای دستاوردهای خاص، عملیات رزمی یا درگیری با نیروهای متخاصم.</w:t>
      </w:r>
    </w:p>
    <w:p>
      <w:pPr>
        <w:spacing w:after="28" w:line="216" w:lineRule="auto"/>
        <w:ind w:left="259"/>
        <w:jc w:val="left"/>
      </w:pPr>
      <w:r>
        <w:rPr>
          <w:rFonts w:ascii="Arial" w:hAnsi="Arial"/>
          <w:color w:val="525252"/>
          <w:sz w:val="13"/>
        </w:rPr>
        <w:t>Certain recommendations for the Air Force Outstanding Unit Award are exempt from annual submission, such as recommendations for specific achievements, combat operations, or conflict with hostile forces.</w:t>
      </w:r>
    </w:p>
    <w:p>
      <w:pPr>
        <w:spacing w:after="20" w:line="223" w:lineRule="auto"/>
        <w:jc w:val="right"/>
        <w:bidi/>
      </w:pPr>
      <w:r>
        <w:rPr>
          <w:rFonts w:ascii="Arial" w:hAnsi="Arial"/>
          <w:sz w:val="16"/>
        </w:rPr>
        <w:t>149.08  سالانه تنها ۱۰ درصد از واحدهای مشابه که به یک فرمان اختصاص داده شده‌اند توصیه می‌شود.</w:t>
      </w:r>
    </w:p>
    <w:p>
      <w:pPr>
        <w:spacing w:after="28" w:line="216" w:lineRule="auto"/>
        <w:ind w:left="259"/>
        <w:jc w:val="left"/>
      </w:pPr>
      <w:r>
        <w:rPr>
          <w:rFonts w:ascii="Arial" w:hAnsi="Arial"/>
          <w:color w:val="525252"/>
          <w:sz w:val="13"/>
        </w:rPr>
        <w:t>Only 10 percent of similar units assigned to a command are recommended annually.</w:t>
      </w:r>
    </w:p>
    <w:p>
      <w:pPr>
        <w:spacing w:after="20" w:line="223" w:lineRule="auto"/>
        <w:jc w:val="right"/>
        <w:bidi/>
      </w:pPr>
      <w:r>
        <w:rPr>
          <w:rFonts w:ascii="Arial" w:hAnsi="Arial"/>
          <w:sz w:val="16"/>
        </w:rPr>
        <w:t>149.09  جایزه تعالی سازمانی نیروی هوایی.</w:t>
      </w:r>
    </w:p>
    <w:p>
      <w:pPr>
        <w:spacing w:after="28" w:line="216" w:lineRule="auto"/>
        <w:ind w:left="259"/>
        <w:jc w:val="left"/>
      </w:pPr>
      <w:r>
        <w:rPr>
          <w:rFonts w:ascii="Arial" w:hAnsi="Arial"/>
          <w:color w:val="525252"/>
          <w:sz w:val="13"/>
        </w:rPr>
        <w:t>Air Force Organizational Excellence Award.</w:t>
      </w:r>
    </w:p>
    <w:p>
      <w:pPr>
        <w:spacing w:after="20" w:line="223" w:lineRule="auto"/>
        <w:jc w:val="right"/>
        <w:bidi/>
      </w:pPr>
      <w:r>
        <w:rPr>
          <w:rFonts w:ascii="Arial" w:hAnsi="Arial"/>
          <w:sz w:val="16"/>
        </w:rPr>
        <w:t>149.10  جایزه تعالی سازمانی نیروی هوایی به نام وزیر نیروی هوایی در ۶ ژانویه ۱۹۵۴ تأسیس و اعطا شد.</w:t>
      </w:r>
    </w:p>
    <w:p>
      <w:pPr>
        <w:spacing w:after="28" w:line="216" w:lineRule="auto"/>
        <w:ind w:left="259"/>
        <w:jc w:val="left"/>
      </w:pPr>
      <w:r>
        <w:rPr>
          <w:rFonts w:ascii="Arial" w:hAnsi="Arial"/>
          <w:color w:val="525252"/>
          <w:sz w:val="13"/>
        </w:rPr>
        <w:t>The Air Force Organizational Excellence Award was established and awarded in the name of the Secretary of the Air Force on 6 January 1954.</w:t>
      </w:r>
    </w:p>
    <w:p>
      <w:pPr>
        <w:spacing w:after="20" w:line="223" w:lineRule="auto"/>
        <w:jc w:val="right"/>
        <w:bidi/>
      </w:pPr>
      <w:r>
        <w:rPr>
          <w:rFonts w:ascii="Arial" w:hAnsi="Arial"/>
          <w:sz w:val="16"/>
        </w:rPr>
        <w:t>149.11  جایزه تعالی سازمانی نیروی هوایی دارای دستورالعمل‌ها و مجوزهای مشابه با جایزه واحد برجسته نیروی هوایی است.</w:t>
      </w:r>
    </w:p>
    <w:p>
      <w:pPr>
        <w:spacing w:after="28" w:line="216" w:lineRule="auto"/>
        <w:ind w:left="259"/>
        <w:jc w:val="left"/>
      </w:pPr>
      <w:r>
        <w:rPr>
          <w:rFonts w:ascii="Arial" w:hAnsi="Arial"/>
          <w:color w:val="525252"/>
          <w:sz w:val="13"/>
        </w:rPr>
        <w:t>The Air Force Organizational Excellence Award has the same guidelines and approval authority as the Air Force Outstanding Unit Award.</w:t>
      </w:r>
    </w:p>
    <w:p>
      <w:pPr>
        <w:spacing w:after="20" w:line="223" w:lineRule="auto"/>
        <w:jc w:val="right"/>
        <w:bidi/>
      </w:pPr>
      <w:r>
        <w:rPr>
          <w:rFonts w:ascii="Arial" w:hAnsi="Arial"/>
          <w:sz w:val="16"/>
        </w:rPr>
        <w:t>149.12  جایزه تعالی سازمانی نیروی هوایی به سازمان‌های بی‌شماری مانند یک فرماندهی اصلی، یک آژانس عملیات میدانی، یک واحد گزارش‌دهی مستقیم، دفتر رئیس ستاد، سایر ستادهای هوایی، و معاون دستیار رئیس ستاد اعطا می‌شود.</w:t>
      </w:r>
    </w:p>
    <w:p>
      <w:pPr>
        <w:spacing w:after="28" w:line="216" w:lineRule="auto"/>
        <w:ind w:left="259"/>
        <w:jc w:val="left"/>
      </w:pPr>
      <w:r>
        <w:rPr>
          <w:rFonts w:ascii="Arial" w:hAnsi="Arial"/>
          <w:color w:val="525252"/>
          <w:sz w:val="13"/>
        </w:rPr>
        <w:t>The Air Force Organizational Excellence Award is awarded to unnumbered organizations, such as a major command, a field operating agency, a direct reporting unit, the Office of the Chief of Staff, other Air Staff, and deputy assistant chief of staff agencies.</w:t>
      </w:r>
    </w:p>
    <w:p>
      <w:pPr>
        <w:spacing w:after="20" w:line="223" w:lineRule="auto"/>
        <w:jc w:val="right"/>
        <w:bidi/>
      </w:pPr>
      <w:r>
        <w:rPr>
          <w:rFonts w:ascii="Arial" w:hAnsi="Arial"/>
          <w:sz w:val="16"/>
        </w:rPr>
        <w:t>149.13  سالانه تنها ۱۰ درصد از واحدهای مشابه که به یک فرمان اختصاص داده شده‌اند توصیه می‌شود.</w:t>
      </w:r>
    </w:p>
    <w:p>
      <w:pPr>
        <w:spacing w:after="28" w:line="216" w:lineRule="auto"/>
        <w:ind w:left="259"/>
        <w:jc w:val="left"/>
      </w:pPr>
      <w:r>
        <w:rPr>
          <w:rFonts w:ascii="Arial" w:hAnsi="Arial"/>
          <w:color w:val="525252"/>
          <w:sz w:val="13"/>
        </w:rPr>
        <w:t>Only 10 percent of similar units assigned to a command are recommended annually.</w:t>
      </w:r>
    </w:p>
    <w:p>
      <w:pPr>
        <w:spacing w:before="60" w:after="28"/>
        <w:jc w:val="right"/>
        <w:bidi/>
      </w:pPr>
      <w:r>
        <w:rPr>
          <w:b/>
          <w:color w:val="1F4D78"/>
          <w:sz w:val="18"/>
        </w:rPr>
        <w:t>8.21. جوایز کمپین، اعزامی و خدمات وزارت دفاع DAF</w:t>
      </w:r>
    </w:p>
    <w:p>
      <w:pPr>
        <w:spacing w:after="20"/>
        <w:ind w:left="259"/>
        <w:jc w:val="left"/>
      </w:pPr>
      <w:r>
        <w:rPr>
          <w:color w:val="555555"/>
          <w:sz w:val="12"/>
        </w:rPr>
        <w:t>8.21. DAF DoD Campaign, Expeditionary, and Service Awards</w:t>
      </w:r>
    </w:p>
    <w:p>
      <w:pPr>
        <w:spacing w:after="20" w:line="223" w:lineRule="auto"/>
        <w:jc w:val="right"/>
        <w:bidi/>
      </w:pPr>
      <w:r>
        <w:rPr>
          <w:rFonts w:ascii="Arial" w:hAnsi="Arial"/>
          <w:sz w:val="16"/>
        </w:rPr>
        <w:t>149.15  کمپین وزارت دفاع، جوایز اعزامی و خدمات، مشارکت در کمپین‌ها و اکتشافات نظامی، عملیات نظامی مهم، خدمت شخصی نظامی یا دستیابی به یک نیاز را به رسمیت می‌شناسد. غیرنظامیان ایالات متحده، اتباع خارجی و پرسنل نظامی خارجی واجد شرایط دریافت جوایز مبارزاتی، اعزامی یا خدماتی نیستند، مگر اینکه در معیارهای جایزه مشخص شده باشد.</w:t>
      </w:r>
    </w:p>
    <w:p>
      <w:pPr>
        <w:spacing w:after="28" w:line="216" w:lineRule="auto"/>
        <w:ind w:left="259"/>
        <w:jc w:val="left"/>
      </w:pPr>
      <w:r>
        <w:rPr>
          <w:rFonts w:ascii="Arial" w:hAnsi="Arial"/>
          <w:color w:val="525252"/>
          <w:sz w:val="13"/>
        </w:rPr>
        <w:t>DoD campaign, expeditionary, and service awards recognize participation in military campaigns and expeditions, significant military operations, personal military service, or attainment of a requirement. U.S. civilians, foreign nationals, and foreign military personnel are not eligible for campaign, expeditionary, or service awards, unless specified in the award criteria.</w:t>
      </w:r>
    </w:p>
    <w:p>
      <w:pPr>
        <w:spacing w:after="20" w:line="223" w:lineRule="auto"/>
        <w:jc w:val="right"/>
        <w:bidi/>
      </w:pPr>
      <w:r>
        <w:rPr>
          <w:rFonts w:ascii="Arial" w:hAnsi="Arial"/>
          <w:sz w:val="16"/>
        </w:rPr>
        <w:t>149.16  نامزدها در فرم AF ۱۰۴، تأیید جایزه مدال خدمات، تأیید شده توسط فرمانده، و به پرواز پرسنل نظامی ارائه می‌شوند.</w:t>
      </w:r>
    </w:p>
    <w:p>
      <w:pPr>
        <w:spacing w:after="28" w:line="216" w:lineRule="auto"/>
        <w:ind w:left="259"/>
        <w:jc w:val="left"/>
      </w:pPr>
      <w:r>
        <w:rPr>
          <w:rFonts w:ascii="Arial" w:hAnsi="Arial"/>
          <w:color w:val="525252"/>
          <w:sz w:val="13"/>
        </w:rPr>
        <w:t>Nominations are submitted on the AF Form 104, Service Medal Award Verification, approved by the commander, and submitted to the servicing military personnel flight.</w:t>
      </w:r>
    </w:p>
    <w:p>
      <w:pPr>
        <w:spacing w:after="20" w:line="223" w:lineRule="auto"/>
        <w:jc w:val="right"/>
        <w:bidi/>
      </w:pPr>
      <w:r>
        <w:rPr>
          <w:rFonts w:ascii="Arial" w:hAnsi="Arial"/>
          <w:sz w:val="16"/>
        </w:rPr>
        <w:t>149.17  پرواز پرسنل نظامی کلیه مدال‌ها و روبان‌های دستاوردهای اولیه را تهیه و تهیه می‌کند.</w:t>
      </w:r>
    </w:p>
    <w:p>
      <w:pPr>
        <w:spacing w:after="28" w:line="216" w:lineRule="auto"/>
        <w:ind w:left="259"/>
        <w:jc w:val="left"/>
      </w:pPr>
      <w:r>
        <w:rPr>
          <w:rFonts w:ascii="Arial" w:hAnsi="Arial"/>
          <w:color w:val="525252"/>
          <w:sz w:val="13"/>
        </w:rPr>
        <w:t>The military personnel flight procures and provides the initial issue of all achievement medals and ribbons.</w:t>
      </w:r>
    </w:p>
    <w:p>
      <w:pPr>
        <w:spacing w:after="20" w:line="223" w:lineRule="auto"/>
        <w:jc w:val="right"/>
        <w:bidi/>
      </w:pPr>
      <w:r>
        <w:rPr>
          <w:rFonts w:ascii="Arial" w:hAnsi="Arial"/>
          <w:sz w:val="16"/>
        </w:rPr>
        <w:t>149.18  به پیوست ۶، روبان‌ها و مدال‌های DAF، و</w:t>
      </w:r>
    </w:p>
    <w:p>
      <w:pPr>
        <w:spacing w:after="28" w:line="216" w:lineRule="auto"/>
        <w:ind w:left="259"/>
        <w:jc w:val="left"/>
      </w:pPr>
      <w:r>
        <w:rPr>
          <w:rFonts w:ascii="Arial" w:hAnsi="Arial"/>
          <w:color w:val="525252"/>
          <w:sz w:val="13"/>
        </w:rPr>
        <w:t>See Attachment 6, DAF Ribbons and Medals, and</w:t>
      </w:r>
    </w:p>
    <w:p>
      <w:pPr>
        <w:spacing w:before="60" w:after="28"/>
        <w:jc w:val="right"/>
        <w:bidi/>
      </w:pPr>
      <w:r>
        <w:rPr>
          <w:b/>
          <w:color w:val="1F4D78"/>
          <w:sz w:val="18"/>
        </w:rPr>
        <w:t>پیوست 7، دستگاه ها.</w:t>
      </w:r>
    </w:p>
    <w:p>
      <w:pPr>
        <w:spacing w:after="20"/>
        <w:ind w:left="259"/>
        <w:jc w:val="left"/>
      </w:pPr>
      <w:r>
        <w:rPr>
          <w:color w:val="555555"/>
          <w:sz w:val="12"/>
        </w:rPr>
        <w:t>Attachment 7, Devices.</w:t>
      </w:r>
    </w:p>
    <w:p>
      <w:pPr>
        <w:spacing w:after="20" w:line="223" w:lineRule="auto"/>
        <w:jc w:val="right"/>
        <w:bidi/>
      </w:pPr>
      <w:r>
        <w:rPr>
          <w:rFonts w:ascii="Arial" w:hAnsi="Arial"/>
          <w:sz w:val="16"/>
        </w:rPr>
        <w:t>149.20  مدال اکشن رزمی.</w:t>
      </w:r>
    </w:p>
    <w:p>
      <w:pPr>
        <w:spacing w:after="28" w:line="216" w:lineRule="auto"/>
        <w:ind w:left="259"/>
        <w:jc w:val="left"/>
      </w:pPr>
      <w:r>
        <w:rPr>
          <w:rFonts w:ascii="Arial" w:hAnsi="Arial"/>
          <w:color w:val="525252"/>
          <w:sz w:val="13"/>
        </w:rPr>
        <w:t>Combat Action Medal.</w:t>
      </w:r>
    </w:p>
    <w:p>
      <w:pPr>
        <w:spacing w:after="20" w:line="223" w:lineRule="auto"/>
        <w:jc w:val="right"/>
        <w:bidi/>
      </w:pPr>
      <w:r>
        <w:rPr>
          <w:rFonts w:ascii="Arial" w:hAnsi="Arial"/>
          <w:sz w:val="16"/>
        </w:rPr>
        <w:t>149.21  مدال اقدام رزمی به اعضای نظامی (درجات -۱ تا و-۶) اعطا می‌شود که فعالانه در نبردهای زمینی یا هوایی در یا پس از ۱۱ سپتامبر ۲۰۰۱ شرکت کردند.</w:t>
      </w:r>
    </w:p>
    <w:p>
      <w:pPr>
        <w:spacing w:after="28" w:line="216" w:lineRule="auto"/>
        <w:ind w:left="259"/>
        <w:jc w:val="left"/>
      </w:pPr>
      <w:r>
        <w:rPr>
          <w:rFonts w:ascii="Arial" w:hAnsi="Arial"/>
          <w:color w:val="525252"/>
          <w:sz w:val="13"/>
        </w:rPr>
        <w:t>The Combat Action Medal is awarded to military members (grades E-1 through O-6) who actively participated in ground or air combat on or after 11 September 2001.</w:t>
      </w:r>
    </w:p>
    <w:p>
      <w:pPr>
        <w:spacing w:after="20" w:line="223" w:lineRule="auto"/>
        <w:jc w:val="right"/>
        <w:bidi/>
      </w:pPr>
      <w:r>
        <w:rPr>
          <w:rFonts w:ascii="Arial" w:hAnsi="Arial"/>
          <w:sz w:val="16"/>
        </w:rPr>
        <w:t>149.22  اقدامات واجد شرایط شامل رفتن عمدی به قلمرو دشمن یا دفاع از پایگاه در حین انجام وظایف رسمی و تجربه آتش دشمن با سلاح‌های مرگبار یا شلیک به دشمن در معرض خطر جدی است.</w:t>
      </w:r>
    </w:p>
    <w:p>
      <w:pPr>
        <w:spacing w:after="28" w:line="216" w:lineRule="auto"/>
        <w:ind w:left="259"/>
        <w:jc w:val="left"/>
      </w:pPr>
      <w:r>
        <w:rPr>
          <w:rFonts w:ascii="Arial" w:hAnsi="Arial"/>
          <w:color w:val="525252"/>
          <w:sz w:val="13"/>
        </w:rPr>
        <w:t>Actions eligible include deliberately going into an enemy’s domain or defending the base while conducting official duties and having experienced enemy fire by lethal weapons or having fired upon the enemy at the risk of grave danger.</w:t>
      </w:r>
    </w:p>
    <w:p>
      <w:pPr>
        <w:spacing w:after="20" w:line="223" w:lineRule="auto"/>
        <w:jc w:val="right"/>
        <w:bidi/>
      </w:pPr>
      <w:r>
        <w:rPr>
          <w:rFonts w:ascii="Arial" w:hAnsi="Arial"/>
          <w:sz w:val="16"/>
        </w:rPr>
        <w:t>149.23  مدال آمادگی رزمی.</w:t>
      </w:r>
    </w:p>
    <w:p>
      <w:pPr>
        <w:spacing w:after="28" w:line="216" w:lineRule="auto"/>
        <w:ind w:left="259"/>
        <w:jc w:val="left"/>
      </w:pPr>
      <w:r>
        <w:rPr>
          <w:rFonts w:ascii="Arial" w:hAnsi="Arial"/>
          <w:color w:val="525252"/>
          <w:sz w:val="13"/>
        </w:rPr>
        <w:t>Combat Readiness Medal.</w:t>
      </w:r>
    </w:p>
    <w:p>
      <w:pPr>
        <w:spacing w:after="20" w:line="223" w:lineRule="auto"/>
        <w:jc w:val="right"/>
        <w:bidi/>
      </w:pPr>
      <w:r>
        <w:rPr>
          <w:rFonts w:ascii="Arial" w:hAnsi="Arial"/>
          <w:sz w:val="16"/>
        </w:rPr>
        <w:t>149.24  مدال آمادگی رزمی برای نبرد انفرادی پایدار یا آمادگی مأموریت یا آمادگی برای به‌کارگیری مستقیم سیستم تسلیحاتی، مشروط به گزارش آمادگی رزمی، به‌طور انفرادی به‌عنوان آمادگی رزمی و/یا مأموریت، مشروط به یک برنامه ارزیابی موقعیت فردی مستمر، و پس از اتمام ۲۴ ماه رزمایش پایدار یا رزمی پایدار، اعطا می‌شود.</w:t>
      </w:r>
    </w:p>
    <w:p>
      <w:pPr>
        <w:spacing w:after="28" w:line="216" w:lineRule="auto"/>
        <w:ind w:left="259"/>
        <w:jc w:val="left"/>
      </w:pPr>
      <w:r>
        <w:rPr>
          <w:rFonts w:ascii="Arial" w:hAnsi="Arial"/>
          <w:color w:val="525252"/>
          <w:sz w:val="13"/>
        </w:rPr>
        <w:t>The Combat Readiness Medal is awarded for sustained individual combat or mission readiness or preparedness for direct weapon-system employment, subject to combat readiness reporting, individually certified as combat and/or mission ready, subject to a continuous individual positional evaluation program, and upon completion of 24 months of sustained combat or mission readiness.</w:t>
      </w:r>
    </w:p>
    <w:p>
      <w:pPr>
        <w:spacing w:after="20" w:line="223" w:lineRule="auto"/>
        <w:jc w:val="right"/>
        <w:bidi/>
      </w:pPr>
      <w:r>
        <w:rPr>
          <w:rFonts w:ascii="Arial" w:hAnsi="Arial"/>
          <w:sz w:val="16"/>
        </w:rPr>
        <w:t>149.25  مدال رفتار خوب نیروی هوایی.</w:t>
      </w:r>
    </w:p>
    <w:p>
      <w:pPr>
        <w:spacing w:after="28" w:line="216" w:lineRule="auto"/>
        <w:ind w:left="259"/>
        <w:jc w:val="left"/>
      </w:pPr>
      <w:r>
        <w:rPr>
          <w:rFonts w:ascii="Arial" w:hAnsi="Arial"/>
          <w:color w:val="525252"/>
          <w:sz w:val="13"/>
        </w:rPr>
        <w:t>Air Force Good Conduct Medal.</w:t>
      </w:r>
    </w:p>
    <w:p>
      <w:pPr>
        <w:spacing w:after="20" w:line="223" w:lineRule="auto"/>
        <w:jc w:val="right"/>
        <w:bidi/>
      </w:pPr>
      <w:r>
        <w:rPr>
          <w:rFonts w:ascii="Arial" w:hAnsi="Arial"/>
          <w:sz w:val="16"/>
        </w:rPr>
        <w:t>149.26  مدال رفتار خوب نیروی هوایی به پرسنل استخدام شده برای رفتار نمونه در حین خدمت سربازی اعطا می‌شود.</w:t>
      </w:r>
    </w:p>
    <w:p>
      <w:pPr>
        <w:spacing w:after="28" w:line="216" w:lineRule="auto"/>
        <w:ind w:left="259"/>
        <w:jc w:val="left"/>
      </w:pPr>
      <w:r>
        <w:rPr>
          <w:rFonts w:ascii="Arial" w:hAnsi="Arial"/>
          <w:color w:val="525252"/>
          <w:sz w:val="13"/>
        </w:rPr>
        <w:t>The Air Force Good Conduct Medal is awarded to enlisted personnel for exemplary conduct while on active military service.</w:t>
      </w:r>
    </w:p>
    <w:p>
      <w:pPr>
        <w:spacing w:after="20" w:line="223" w:lineRule="auto"/>
        <w:jc w:val="right"/>
        <w:bidi/>
      </w:pPr>
      <w:r>
        <w:rPr>
          <w:rFonts w:ascii="Arial" w:hAnsi="Arial"/>
          <w:sz w:val="16"/>
        </w:rPr>
        <w:t>149.27  اعطای مدال رفتار خوب نیروی هوایی به صورت خودکار انجام می‌شود، مگر اینکه فرمانده یگان به دلایلی کمتر از رفتار نمونه آن را رد کند.</w:t>
      </w:r>
    </w:p>
    <w:p>
      <w:pPr>
        <w:spacing w:after="28" w:line="216" w:lineRule="auto"/>
        <w:ind w:left="259"/>
        <w:jc w:val="left"/>
      </w:pPr>
      <w:r>
        <w:rPr>
          <w:rFonts w:ascii="Arial" w:hAnsi="Arial"/>
          <w:color w:val="525252"/>
          <w:sz w:val="13"/>
        </w:rPr>
        <w:t>Award of the Air Force Good Conduct Medal is automatic unless denied by the unit commander for reasons of less than exemplary conduct.</w:t>
      </w:r>
    </w:p>
    <w:p>
      <w:pPr>
        <w:spacing w:after="20" w:line="223" w:lineRule="auto"/>
        <w:jc w:val="right"/>
        <w:bidi/>
      </w:pPr>
      <w:r>
        <w:rPr>
          <w:rFonts w:ascii="Arial" w:hAnsi="Arial"/>
          <w:sz w:val="16"/>
        </w:rPr>
        <w:t>149.28  نشان خدمات شایستگی نیروهای ذخیره هوایی.</w:t>
      </w:r>
    </w:p>
    <w:p>
      <w:pPr>
        <w:spacing w:after="28" w:line="216" w:lineRule="auto"/>
        <w:ind w:left="259"/>
        <w:jc w:val="left"/>
      </w:pPr>
      <w:r>
        <w:rPr>
          <w:rFonts w:ascii="Arial" w:hAnsi="Arial"/>
          <w:color w:val="525252"/>
          <w:sz w:val="13"/>
        </w:rPr>
        <w:t>Air Reserve Forces Meritorious Service Medal.</w:t>
      </w:r>
    </w:p>
    <w:p>
      <w:pPr>
        <w:spacing w:after="20" w:line="223" w:lineRule="auto"/>
        <w:jc w:val="right"/>
        <w:bidi/>
      </w:pPr>
      <w:r>
        <w:rPr>
          <w:rFonts w:ascii="Arial" w:hAnsi="Arial"/>
          <w:sz w:val="16"/>
        </w:rPr>
        <w:t>149.29  مدال خدمات شایستگی نیروهای ذخیره هوایی در یا بعد از ۱ آوریل ۱۹۶۵، برای ۴ سال خدمت مستمر، یا در یا پس از ۱ ژوئیه اعطا می‌شود.</w:t>
      </w:r>
    </w:p>
    <w:p>
      <w:pPr>
        <w:spacing w:after="28" w:line="216" w:lineRule="auto"/>
        <w:ind w:left="259"/>
        <w:jc w:val="left"/>
      </w:pPr>
      <w:r>
        <w:rPr>
          <w:rFonts w:ascii="Arial" w:hAnsi="Arial"/>
          <w:color w:val="525252"/>
          <w:sz w:val="13"/>
        </w:rPr>
        <w:t>The Air Reserve Forces Meritorious Service Medal is awarded on or after 1 April 1965, for 4 continuous years of service, or on or after 1 July</w:t>
      </w:r>
    </w:p>
    <w:p>
      <w:r>
        <w:br w:type="page"/>
      </w:r>
    </w:p>
    <w:p>
      <w:pPr>
        <w:spacing w:after="60"/>
        <w:jc w:val="right"/>
        <w:bidi/>
      </w:pPr>
      <w:r>
        <w:rPr>
          <w:rFonts w:ascii="Arial" w:hAnsi="Arial"/>
          <w:b/>
          <w:color w:val="1F4D78"/>
          <w:sz w:val="19"/>
        </w:rPr>
        <w:t>هفتهٔ 150  |  صفحهٔ منبع: 166</w:t>
      </w:r>
    </w:p>
    <w:p>
      <w:pPr>
        <w:spacing w:after="20" w:line="223" w:lineRule="auto"/>
        <w:jc w:val="right"/>
        <w:bidi/>
      </w:pPr>
      <w:r>
        <w:rPr>
          <w:rFonts w:ascii="Arial" w:hAnsi="Arial"/>
          <w:sz w:val="16"/>
        </w:rPr>
        <w:t>150.01  ۱۹۷۵، به مدت ۳ سال خدمت مستمر، برای تشخیص رفتار، کارایی و وفاداری مثال زدنی در وضعیت سربازی در گارد ملی هوایی و ذخیره نیروی هوایی.</w:t>
      </w:r>
    </w:p>
    <w:p>
      <w:pPr>
        <w:spacing w:after="28" w:line="216" w:lineRule="auto"/>
        <w:ind w:left="259"/>
        <w:jc w:val="left"/>
      </w:pPr>
      <w:r>
        <w:rPr>
          <w:rFonts w:ascii="Arial" w:hAnsi="Arial"/>
          <w:color w:val="525252"/>
          <w:sz w:val="13"/>
        </w:rPr>
        <w:t>1975, for 3 continuous years of service, to recognize exemplary behavior, efficiency, and fidelity in an enlisted status in the Air National Guard and Air Force Reserve.</w:t>
      </w:r>
    </w:p>
    <w:p>
      <w:pPr>
        <w:spacing w:after="20" w:line="223" w:lineRule="auto"/>
        <w:jc w:val="right"/>
        <w:bidi/>
      </w:pPr>
      <w:r>
        <w:rPr>
          <w:rFonts w:ascii="Arial" w:hAnsi="Arial"/>
          <w:sz w:val="16"/>
        </w:rPr>
        <w:t>150.02  خدمات اعتباری زمانی که به وظیفه فعال فراخوانده می‌شود پایان می‌یابد.</w:t>
      </w:r>
    </w:p>
    <w:p>
      <w:pPr>
        <w:spacing w:after="28" w:line="216" w:lineRule="auto"/>
        <w:ind w:left="259"/>
        <w:jc w:val="left"/>
      </w:pPr>
      <w:r>
        <w:rPr>
          <w:rFonts w:ascii="Arial" w:hAnsi="Arial"/>
          <w:color w:val="525252"/>
          <w:sz w:val="13"/>
        </w:rPr>
        <w:t>Creditable service ends when called to active duty.</w:t>
      </w:r>
    </w:p>
    <w:p>
      <w:pPr>
        <w:spacing w:after="20" w:line="223" w:lineRule="auto"/>
        <w:jc w:val="right"/>
        <w:bidi/>
      </w:pPr>
      <w:r>
        <w:rPr>
          <w:rFonts w:ascii="Arial" w:hAnsi="Arial"/>
          <w:sz w:val="16"/>
        </w:rPr>
        <w:t>150.03  روبان بهترین هواپیمای سال.</w:t>
      </w:r>
    </w:p>
    <w:p>
      <w:pPr>
        <w:spacing w:after="28" w:line="216" w:lineRule="auto"/>
        <w:ind w:left="259"/>
        <w:jc w:val="left"/>
      </w:pPr>
      <w:r>
        <w:rPr>
          <w:rFonts w:ascii="Arial" w:hAnsi="Arial"/>
          <w:color w:val="525252"/>
          <w:sz w:val="13"/>
        </w:rPr>
        <w:t>Outstanding Airman of the Year Ribbon.</w:t>
      </w:r>
    </w:p>
    <w:p>
      <w:pPr>
        <w:spacing w:after="20" w:line="223" w:lineRule="auto"/>
        <w:jc w:val="right"/>
        <w:bidi/>
      </w:pPr>
      <w:r>
        <w:rPr>
          <w:rFonts w:ascii="Arial" w:hAnsi="Arial"/>
          <w:sz w:val="16"/>
        </w:rPr>
        <w:t>150.04  روبان برترین هواپیمای سال رقبای خاص و برندگان جوایز برنامه دوازده هواپیمای برجسته سال را شناسایی می‌کند.</w:t>
      </w:r>
    </w:p>
    <w:p>
      <w:pPr>
        <w:spacing w:after="28" w:line="216" w:lineRule="auto"/>
        <w:ind w:left="259"/>
        <w:jc w:val="left"/>
      </w:pPr>
      <w:r>
        <w:rPr>
          <w:rFonts w:ascii="Arial" w:hAnsi="Arial"/>
          <w:color w:val="525252"/>
          <w:sz w:val="13"/>
        </w:rPr>
        <w:t>The Outstanding Airman of the Year Ribbon recognize certain competitors and awardees of the Twelve Outstanding Airmen of the Year Program.</w:t>
      </w:r>
    </w:p>
    <w:p>
      <w:pPr>
        <w:spacing w:after="20" w:line="223" w:lineRule="auto"/>
        <w:jc w:val="right"/>
        <w:bidi/>
      </w:pPr>
      <w:r>
        <w:rPr>
          <w:rFonts w:ascii="Arial" w:hAnsi="Arial"/>
          <w:sz w:val="16"/>
        </w:rPr>
        <w:t>150.05  روبان تشخیص هوا و فضا.</w:t>
      </w:r>
    </w:p>
    <w:p>
      <w:pPr>
        <w:spacing w:after="28" w:line="216" w:lineRule="auto"/>
        <w:ind w:left="259"/>
        <w:jc w:val="left"/>
      </w:pPr>
      <w:r>
        <w:rPr>
          <w:rFonts w:ascii="Arial" w:hAnsi="Arial"/>
          <w:color w:val="525252"/>
          <w:sz w:val="13"/>
        </w:rPr>
        <w:t>Air and Space Recognition Ribbon.</w:t>
      </w:r>
    </w:p>
    <w:p>
      <w:pPr>
        <w:spacing w:after="20" w:line="223" w:lineRule="auto"/>
        <w:jc w:val="right"/>
        <w:bidi/>
      </w:pPr>
      <w:r>
        <w:rPr>
          <w:rFonts w:ascii="Arial" w:hAnsi="Arial"/>
          <w:sz w:val="16"/>
        </w:rPr>
        <w:t>150.06  روبان تشخیص هوا و فضا به افراد و اعضای تیم‌های کوچکی تعلق می‌گیرد که به‌عنوان برندگان کلی جایزه نیروی هوایی ستاد یا جامعه عملکردی انتخاب شده‌اند، مگر اینکه در معیارهای جایزه منع شده باشد.</w:t>
      </w:r>
    </w:p>
    <w:p>
      <w:pPr>
        <w:spacing w:after="28" w:line="216" w:lineRule="auto"/>
        <w:ind w:left="259"/>
        <w:jc w:val="left"/>
      </w:pPr>
      <w:r>
        <w:rPr>
          <w:rFonts w:ascii="Arial" w:hAnsi="Arial"/>
          <w:color w:val="525252"/>
          <w:sz w:val="13"/>
        </w:rPr>
        <w:t>The Air and Space Recognition Ribbon is awarded to individuals and members of small teams selected as overall winners of a Headquarters Air Force or functional community award, unless prohibited in the award criteria.</w:t>
      </w:r>
    </w:p>
    <w:p>
      <w:pPr>
        <w:spacing w:after="20" w:line="223" w:lineRule="auto"/>
        <w:jc w:val="right"/>
        <w:bidi/>
      </w:pPr>
      <w:r>
        <w:rPr>
          <w:rFonts w:ascii="Arial" w:hAnsi="Arial"/>
          <w:sz w:val="16"/>
        </w:rPr>
        <w:t>150.07  مدال کمپین افکت‌های مبارزه از راه دور.</w:t>
      </w:r>
    </w:p>
    <w:p>
      <w:pPr>
        <w:spacing w:after="28" w:line="216" w:lineRule="auto"/>
        <w:ind w:left="259"/>
        <w:jc w:val="left"/>
      </w:pPr>
      <w:r>
        <w:rPr>
          <w:rFonts w:ascii="Arial" w:hAnsi="Arial"/>
          <w:color w:val="525252"/>
          <w:sz w:val="13"/>
        </w:rPr>
        <w:t>Remote Combat Effects Campaign Medal.</w:t>
      </w:r>
    </w:p>
    <w:p>
      <w:pPr>
        <w:spacing w:after="20" w:line="223" w:lineRule="auto"/>
        <w:jc w:val="right"/>
        <w:bidi/>
      </w:pPr>
      <w:r>
        <w:rPr>
          <w:rFonts w:ascii="Arial" w:hAnsi="Arial"/>
          <w:sz w:val="16"/>
        </w:rPr>
        <w:t>150.08  مدال کمپین اثرات مبارزه از راه دور، اعضای نظامی DAF را که در یا پس از ۱۱ سپتامبر ۲۰۰۱، با مشارکت مستقیم در یک عملیات رزمی وزارت دفاع متمایز شدند، به رسمیت می‌شناسد.</w:t>
      </w:r>
    </w:p>
    <w:p>
      <w:pPr>
        <w:spacing w:after="28" w:line="216" w:lineRule="auto"/>
        <w:ind w:left="259"/>
        <w:jc w:val="left"/>
      </w:pPr>
      <w:r>
        <w:rPr>
          <w:rFonts w:ascii="Arial" w:hAnsi="Arial"/>
          <w:color w:val="525252"/>
          <w:sz w:val="13"/>
        </w:rPr>
        <w:t>The Remote Combat Effects Campaign Medal recognize DAF military members who, on or after 11 September 2001, distinguished themselves by direct participation in a DoD combat operation.</w:t>
      </w:r>
    </w:p>
    <w:p>
      <w:pPr>
        <w:spacing w:after="20" w:line="223" w:lineRule="auto"/>
        <w:jc w:val="right"/>
        <w:bidi/>
      </w:pPr>
      <w:r>
        <w:rPr>
          <w:rFonts w:ascii="Arial" w:hAnsi="Arial"/>
          <w:sz w:val="16"/>
        </w:rPr>
        <w:t>150.09  برای واجد شرایط بودن، عضو باید به واحدی که مستقیما از عملیات رزمی وزارت دفاع پشتیبانی می‌کند، منصوب یا متصل شده باشد. در رستهٔ شغلی خلبانی از راه دور هواپیما، سایبری، فضا، یا اطلاعات، نظارت و شناسایی خدمت کرده است. شخصا یک سیستم تسلیحاتی را که تأثیر مستقیم و فوری بر عملیات جنگی داشت، به صورت عملی ارائه کرد. و از نظر فیزیکی در معرض اقدامات خصمانه یا در معرض خطر قرار گرفتن در معرض اقدامات خصمانه قرار نگرفت.</w:t>
      </w:r>
    </w:p>
    <w:p>
      <w:pPr>
        <w:spacing w:after="28" w:line="216" w:lineRule="auto"/>
        <w:ind w:left="259"/>
        <w:jc w:val="left"/>
      </w:pPr>
      <w:r>
        <w:rPr>
          <w:rFonts w:ascii="Arial" w:hAnsi="Arial"/>
          <w:color w:val="525252"/>
          <w:sz w:val="13"/>
        </w:rPr>
        <w:t>To qualify, the member must have been assigned or attached to a unit directly supporting a DoD combat operation; served in a remotely piloted aircraft, cyber, space, or intelligence, surveillance, and reconnaissance career field; personally provided hands-on employment of a weapon system that had direct and immediate impact on a combat operation; and was not physically exposed to hostile actions or at risk of exposure to hostile action.</w:t>
      </w:r>
    </w:p>
    <w:p>
      <w:pPr>
        <w:spacing w:after="20" w:line="223" w:lineRule="auto"/>
        <w:jc w:val="right"/>
        <w:bidi/>
      </w:pPr>
      <w:r>
        <w:rPr>
          <w:rFonts w:ascii="Arial" w:hAnsi="Arial"/>
          <w:sz w:val="16"/>
        </w:rPr>
        <w:t>150.10  عملیات تعیین شده را می‌توان در DAFMAN۳۶-۲۸۰۶ یافت.</w:t>
      </w:r>
    </w:p>
    <w:p>
      <w:pPr>
        <w:spacing w:after="28" w:line="216" w:lineRule="auto"/>
        <w:ind w:left="259"/>
        <w:jc w:val="left"/>
      </w:pPr>
      <w:r>
        <w:rPr>
          <w:rFonts w:ascii="Arial" w:hAnsi="Arial"/>
          <w:color w:val="525252"/>
          <w:sz w:val="13"/>
        </w:rPr>
        <w:t>The designated operations can be found in DAFMAN36-2806.</w:t>
      </w:r>
    </w:p>
    <w:p>
      <w:pPr>
        <w:spacing w:after="20" w:line="223" w:lineRule="auto"/>
        <w:jc w:val="right"/>
        <w:bidi/>
      </w:pPr>
      <w:r>
        <w:rPr>
          <w:rFonts w:ascii="Arial" w:hAnsi="Arial"/>
          <w:sz w:val="16"/>
        </w:rPr>
        <w:t>150.11  مدال کمپین هوایی و فضایی.</w:t>
      </w:r>
    </w:p>
    <w:p>
      <w:pPr>
        <w:spacing w:after="28" w:line="216" w:lineRule="auto"/>
        <w:ind w:left="259"/>
        <w:jc w:val="left"/>
      </w:pPr>
      <w:r>
        <w:rPr>
          <w:rFonts w:ascii="Arial" w:hAnsi="Arial"/>
          <w:color w:val="525252"/>
          <w:sz w:val="13"/>
        </w:rPr>
        <w:t>Air and Space Campaign Medal.</w:t>
      </w:r>
    </w:p>
    <w:p>
      <w:pPr>
        <w:spacing w:after="20" w:line="223" w:lineRule="auto"/>
        <w:jc w:val="right"/>
        <w:bidi/>
      </w:pPr>
      <w:r>
        <w:rPr>
          <w:rFonts w:ascii="Arial" w:hAnsi="Arial"/>
          <w:sz w:val="16"/>
        </w:rPr>
        <w:t>150.12  مدال کمپین هوایی و فضایی به اعضای USAF اعطا می‌شود که پس از ۲۴ مارس ۱۹۹۹ از یک عملیات نظامی مهمی که توسط رئیس ستاد نیروی هوایی تعیین شده بود برای شناسایی پرسنلی که از عملیات‌های رزمی در ایستگاه داخلی یا خارج از منطقه جغرافیایی جنگی یا سایر وزارتخانه‌های دفاعی در کوزوو واجد شرایط بودند، حمایت کردند. مدال‌های کمپین</w:t>
      </w:r>
    </w:p>
    <w:p>
      <w:pPr>
        <w:spacing w:after="28" w:line="216" w:lineRule="auto"/>
        <w:ind w:left="259"/>
        <w:jc w:val="left"/>
      </w:pPr>
      <w:r>
        <w:rPr>
          <w:rFonts w:ascii="Arial" w:hAnsi="Arial"/>
          <w:color w:val="525252"/>
          <w:sz w:val="13"/>
        </w:rPr>
        <w:t>The Air and Space Campaign Medal is awarded to members of the USAF who, after 24 March 1999, supported a significant military operation designated by the Chief of Staff of the Air Force to recognize personnel who provided support of combat operations at home station or from outside the geographic area of combat, and were not eligible for the Kosovo Campaign Medal or other Operation Allied Force Department of Defense Campaign Medals.</w:t>
      </w:r>
    </w:p>
    <w:p>
      <w:pPr>
        <w:spacing w:after="20" w:line="223" w:lineRule="auto"/>
        <w:jc w:val="right"/>
        <w:bidi/>
      </w:pPr>
      <w:r>
        <w:rPr>
          <w:rFonts w:ascii="Arial" w:hAnsi="Arial"/>
          <w:sz w:val="16"/>
        </w:rPr>
        <w:t>150.13  عملیات تعیین شده را می‌توان در DAFMAN۳۶-۲۸۰۶ یافت.</w:t>
      </w:r>
    </w:p>
    <w:p>
      <w:pPr>
        <w:spacing w:after="28" w:line="216" w:lineRule="auto"/>
        <w:ind w:left="259"/>
        <w:jc w:val="left"/>
      </w:pPr>
      <w:r>
        <w:rPr>
          <w:rFonts w:ascii="Arial" w:hAnsi="Arial"/>
          <w:color w:val="525252"/>
          <w:sz w:val="13"/>
        </w:rPr>
        <w:t>The designated operations can be found in DAFMAN36-2806.</w:t>
      </w:r>
    </w:p>
    <w:p>
      <w:pPr>
        <w:spacing w:after="20" w:line="223" w:lineRule="auto"/>
        <w:jc w:val="right"/>
        <w:bidi/>
      </w:pPr>
      <w:r>
        <w:rPr>
          <w:rFonts w:ascii="Arial" w:hAnsi="Arial"/>
          <w:sz w:val="16"/>
        </w:rPr>
        <w:t>150.14  مدال خدمات عملیات بازدارندگی هسته‌ای.</w:t>
      </w:r>
    </w:p>
    <w:p>
      <w:pPr>
        <w:spacing w:after="28" w:line="216" w:lineRule="auto"/>
        <w:ind w:left="259"/>
        <w:jc w:val="left"/>
      </w:pPr>
      <w:r>
        <w:rPr>
          <w:rFonts w:ascii="Arial" w:hAnsi="Arial"/>
          <w:color w:val="525252"/>
          <w:sz w:val="13"/>
        </w:rPr>
        <w:t>Nuclear Deterrence Operations Service Medal.</w:t>
      </w:r>
    </w:p>
    <w:p>
      <w:pPr>
        <w:spacing w:after="20" w:line="223" w:lineRule="auto"/>
        <w:jc w:val="right"/>
        <w:bidi/>
      </w:pPr>
      <w:r>
        <w:rPr>
          <w:rFonts w:ascii="Arial" w:hAnsi="Arial"/>
          <w:sz w:val="16"/>
        </w:rPr>
        <w:t>150.15  مدال خدمات عملیات بازدارندگی هسته‌ای اعضای DAF را که مستقیما از عملیات بازدارندگی هسته‌ای در ۲۷ دسامبر ۱۹۹۱ یا پس از آن حمایت کردند، قدردانی می‌کند.</w:t>
      </w:r>
    </w:p>
    <w:p>
      <w:pPr>
        <w:spacing w:after="28" w:line="216" w:lineRule="auto"/>
        <w:ind w:left="259"/>
        <w:jc w:val="left"/>
      </w:pPr>
      <w:r>
        <w:rPr>
          <w:rFonts w:ascii="Arial" w:hAnsi="Arial"/>
          <w:color w:val="525252"/>
          <w:sz w:val="13"/>
        </w:rPr>
        <w:t>The Nuclear Deterrence Operations Service Medal recognizes DAF members who directly supported nuclear deterrence operations on or after 27 December 1991.</w:t>
      </w:r>
    </w:p>
    <w:p>
      <w:pPr>
        <w:spacing w:after="20" w:line="223" w:lineRule="auto"/>
        <w:jc w:val="right"/>
        <w:bidi/>
      </w:pPr>
      <w:r>
        <w:rPr>
          <w:rFonts w:ascii="Arial" w:hAnsi="Arial"/>
          <w:sz w:val="16"/>
        </w:rPr>
        <w:t>150.16  مدارک اضافی را می‌توانید در DAFMAN۳۶-۲۸۰۶ پیدا کنید.</w:t>
      </w:r>
    </w:p>
    <w:p>
      <w:pPr>
        <w:spacing w:after="28" w:line="216" w:lineRule="auto"/>
        <w:ind w:left="259"/>
        <w:jc w:val="left"/>
      </w:pPr>
      <w:r>
        <w:rPr>
          <w:rFonts w:ascii="Arial" w:hAnsi="Arial"/>
          <w:color w:val="525252"/>
          <w:sz w:val="13"/>
        </w:rPr>
        <w:t>Additional qualifications can be found in DAFMAN36-2806.</w:t>
      </w:r>
    </w:p>
    <w:p>
      <w:pPr>
        <w:spacing w:after="20" w:line="223" w:lineRule="auto"/>
        <w:jc w:val="right"/>
        <w:bidi/>
      </w:pPr>
      <w:r>
        <w:rPr>
          <w:rFonts w:ascii="Arial" w:hAnsi="Arial"/>
          <w:sz w:val="16"/>
        </w:rPr>
        <w:t>150.17  روبان هوا و فضای خارج از کشور.</w:t>
      </w:r>
    </w:p>
    <w:p>
      <w:pPr>
        <w:spacing w:after="28" w:line="216" w:lineRule="auto"/>
        <w:ind w:left="259"/>
        <w:jc w:val="left"/>
      </w:pPr>
      <w:r>
        <w:rPr>
          <w:rFonts w:ascii="Arial" w:hAnsi="Arial"/>
          <w:color w:val="525252"/>
          <w:sz w:val="13"/>
        </w:rPr>
        <w:t>Air and Space Overseas Ribbon.</w:t>
      </w:r>
    </w:p>
    <w:p>
      <w:pPr>
        <w:spacing w:after="20" w:line="223" w:lineRule="auto"/>
        <w:jc w:val="right"/>
        <w:bidi/>
      </w:pPr>
      <w:r>
        <w:rPr>
          <w:rFonts w:ascii="Arial" w:hAnsi="Arial"/>
          <w:sz w:val="16"/>
        </w:rPr>
        <w:t>150.18  روبان هوایی و فضایی خارج از کشور، تکمیل یک تور کوتاه یا طولانی برون مرزی را به رسمیت می‌شناسد.</w:t>
      </w:r>
    </w:p>
    <w:p>
      <w:pPr>
        <w:spacing w:after="28" w:line="216" w:lineRule="auto"/>
        <w:ind w:left="259"/>
        <w:jc w:val="left"/>
      </w:pPr>
      <w:r>
        <w:rPr>
          <w:rFonts w:ascii="Arial" w:hAnsi="Arial"/>
          <w:color w:val="525252"/>
          <w:sz w:val="13"/>
        </w:rPr>
        <w:t>The Air and Space Overseas Ribbon recognize completion of an overseas short or long tour.</w:t>
      </w:r>
    </w:p>
    <w:p>
      <w:pPr>
        <w:spacing w:after="20" w:line="223" w:lineRule="auto"/>
        <w:jc w:val="right"/>
        <w:bidi/>
      </w:pPr>
      <w:r>
        <w:rPr>
          <w:rFonts w:ascii="Arial" w:hAnsi="Arial"/>
          <w:sz w:val="16"/>
        </w:rPr>
        <w:t>150.19  روبان خدمات اعزامی هوایی و فضایی.</w:t>
      </w:r>
    </w:p>
    <w:p>
      <w:pPr>
        <w:spacing w:after="28" w:line="216" w:lineRule="auto"/>
        <w:ind w:left="259"/>
        <w:jc w:val="left"/>
      </w:pPr>
      <w:r>
        <w:rPr>
          <w:rFonts w:ascii="Arial" w:hAnsi="Arial"/>
          <w:color w:val="525252"/>
          <w:sz w:val="13"/>
        </w:rPr>
        <w:t>Air and Space Expeditionary Service Ribbon.</w:t>
      </w:r>
    </w:p>
    <w:p>
      <w:pPr>
        <w:spacing w:after="20" w:line="223" w:lineRule="auto"/>
        <w:jc w:val="right"/>
        <w:bidi/>
      </w:pPr>
      <w:r>
        <w:rPr>
          <w:rFonts w:ascii="Arial" w:hAnsi="Arial"/>
          <w:sz w:val="16"/>
        </w:rPr>
        <w:t>150.20  روبان خدمات اعزامی نیروی هوایی به‌عنوان قدردانی از وضعیت اعزام نیروی اعزامی هوایی اعطا می‌شود.</w:t>
      </w:r>
    </w:p>
    <w:p>
      <w:pPr>
        <w:spacing w:after="28" w:line="216" w:lineRule="auto"/>
        <w:ind w:left="259"/>
        <w:jc w:val="left"/>
      </w:pPr>
      <w:r>
        <w:rPr>
          <w:rFonts w:ascii="Arial" w:hAnsi="Arial"/>
          <w:color w:val="525252"/>
          <w:sz w:val="13"/>
        </w:rPr>
        <w:t>The Air Force Expeditionary Service Ribbon is awarded in recognition for Air Expeditionary Force deployed status.</w:t>
      </w:r>
    </w:p>
    <w:p>
      <w:pPr>
        <w:spacing w:after="20" w:line="223" w:lineRule="auto"/>
        <w:jc w:val="right"/>
        <w:bidi/>
      </w:pPr>
      <w:r>
        <w:rPr>
          <w:rFonts w:ascii="Arial" w:hAnsi="Arial"/>
          <w:sz w:val="16"/>
        </w:rPr>
        <w:t>150.21  وضعیت استقرار به صورت ۴۵ روز متوالی یا ۹۰ روز غیر متوالی در وضعیت مستقر تعریف می‌شود.</w:t>
      </w:r>
    </w:p>
    <w:p>
      <w:pPr>
        <w:spacing w:after="28" w:line="216" w:lineRule="auto"/>
        <w:ind w:left="259"/>
        <w:jc w:val="left"/>
      </w:pPr>
      <w:r>
        <w:rPr>
          <w:rFonts w:ascii="Arial" w:hAnsi="Arial"/>
          <w:color w:val="525252"/>
          <w:sz w:val="13"/>
        </w:rPr>
        <w:t>Deployment status is defined as either 45 consecutive days or 90 non-consecutive days in deployed status.</w:t>
      </w:r>
    </w:p>
    <w:p>
      <w:pPr>
        <w:spacing w:after="20" w:line="223" w:lineRule="auto"/>
        <w:jc w:val="right"/>
        <w:bidi/>
      </w:pPr>
      <w:r>
        <w:rPr>
          <w:rFonts w:ascii="Arial" w:hAnsi="Arial"/>
          <w:sz w:val="16"/>
        </w:rPr>
        <w:t>150.22  جایزه خدمات طول عمر هوا و فضا.</w:t>
      </w:r>
    </w:p>
    <w:p>
      <w:pPr>
        <w:spacing w:after="28" w:line="216" w:lineRule="auto"/>
        <w:ind w:left="259"/>
        <w:jc w:val="left"/>
      </w:pPr>
      <w:r>
        <w:rPr>
          <w:rFonts w:ascii="Arial" w:hAnsi="Arial"/>
          <w:color w:val="525252"/>
          <w:sz w:val="13"/>
        </w:rPr>
        <w:t>Air and Space Longevity Service Award.</w:t>
      </w:r>
    </w:p>
    <w:p>
      <w:pPr>
        <w:spacing w:after="20" w:line="223" w:lineRule="auto"/>
        <w:jc w:val="right"/>
        <w:bidi/>
      </w:pPr>
      <w:r>
        <w:rPr>
          <w:rFonts w:ascii="Arial" w:hAnsi="Arial"/>
          <w:sz w:val="16"/>
        </w:rPr>
        <w:t>150.23  جایزه خدمات طول عمر هوا و فضا برای پرسنل فعال بر اساس مجموع ۴ سال خدمت افتخاری فعال ارتش فدرال با هر شاخه‌ای از نیروهای مسلح ایالات متحده یا اجزای ذخیره مجاز است.</w:t>
      </w:r>
    </w:p>
    <w:p>
      <w:pPr>
        <w:spacing w:after="28" w:line="216" w:lineRule="auto"/>
        <w:ind w:left="259"/>
        <w:jc w:val="left"/>
      </w:pPr>
      <w:r>
        <w:rPr>
          <w:rFonts w:ascii="Arial" w:hAnsi="Arial"/>
          <w:color w:val="525252"/>
          <w:sz w:val="13"/>
        </w:rPr>
        <w:t>The Air and Space Longevity Service Award is authorized for active-duty personnel based on an aggregate of 4 years of honorable active federal military service with any branch of the U.S. Armed Forces or Reserve components.</w:t>
      </w:r>
    </w:p>
    <w:p>
      <w:pPr>
        <w:spacing w:after="20" w:line="223" w:lineRule="auto"/>
        <w:jc w:val="right"/>
        <w:bidi/>
      </w:pPr>
      <w:r>
        <w:rPr>
          <w:rFonts w:ascii="Arial" w:hAnsi="Arial"/>
          <w:sz w:val="16"/>
        </w:rPr>
        <w:t>150.24  اعضای جزء ذخیره به ازای هر ۴ سال خدمت رضایت‌بخش سربازی که به یک سرباز ذخیره برای بازنشستگی قابل اعتبار است، جایزه تعلق می‌گیرد.</w:t>
      </w:r>
    </w:p>
    <w:p>
      <w:pPr>
        <w:spacing w:after="28" w:line="216" w:lineRule="auto"/>
        <w:ind w:left="259"/>
        <w:jc w:val="left"/>
      </w:pPr>
      <w:r>
        <w:rPr>
          <w:rFonts w:ascii="Arial" w:hAnsi="Arial"/>
          <w:color w:val="525252"/>
          <w:sz w:val="13"/>
        </w:rPr>
        <w:t>Reserve Component members are credited with the award for each 4 years of satisfactory military service creditable to a reservist for retirement.</w:t>
      </w:r>
    </w:p>
    <w:p>
      <w:pPr>
        <w:spacing w:after="20" w:line="223" w:lineRule="auto"/>
        <w:jc w:val="right"/>
        <w:bidi/>
      </w:pPr>
      <w:r>
        <w:rPr>
          <w:rFonts w:ascii="Arial" w:hAnsi="Arial"/>
          <w:sz w:val="16"/>
        </w:rPr>
        <w:t>150.25  روبان وظیفه ویژه توسعه.</w:t>
      </w:r>
    </w:p>
    <w:p>
      <w:pPr>
        <w:spacing w:after="28" w:line="216" w:lineRule="auto"/>
        <w:ind w:left="259"/>
        <w:jc w:val="left"/>
      </w:pPr>
      <w:r>
        <w:rPr>
          <w:rFonts w:ascii="Arial" w:hAnsi="Arial"/>
          <w:color w:val="525252"/>
          <w:sz w:val="13"/>
        </w:rPr>
        <w:t>Developmental Special Duty Ribbon.</w:t>
      </w:r>
    </w:p>
    <w:p>
      <w:pPr>
        <w:spacing w:after="20" w:line="223" w:lineRule="auto"/>
        <w:jc w:val="right"/>
        <w:bidi/>
      </w:pPr>
      <w:r>
        <w:rPr>
          <w:rFonts w:ascii="Arial" w:hAnsi="Arial"/>
          <w:sz w:val="16"/>
        </w:rPr>
        <w:t>150.26  روبان وظیفه ویژه توسعه برای اعضایی مجاز است که کد تخصص وظیفه ویژه توسعه DAF یا شناسه وظیفه ویژه اعطا شده و تکلیف وظیفه ویژه توسعه را با موفقیت انجام داده‌اند (شامل تکالیف متوالی).</w:t>
      </w:r>
    </w:p>
    <w:p>
      <w:pPr>
        <w:spacing w:after="28" w:line="216" w:lineRule="auto"/>
        <w:ind w:left="259"/>
        <w:jc w:val="left"/>
      </w:pPr>
      <w:r>
        <w:rPr>
          <w:rFonts w:ascii="Arial" w:hAnsi="Arial"/>
          <w:color w:val="525252"/>
          <w:sz w:val="13"/>
        </w:rPr>
        <w:t>The Developmental Special Duty Ribbon is authorized for members who are awarded a DAF developmental special duty specialty code or a special duty identifier, and successfully completed the developmental special duty assignment (includes consecutive assignments).</w:t>
      </w:r>
    </w:p>
    <w:p>
      <w:pPr>
        <w:spacing w:after="20" w:line="223" w:lineRule="auto"/>
        <w:jc w:val="right"/>
        <w:bidi/>
      </w:pPr>
      <w:r>
        <w:rPr>
          <w:rFonts w:ascii="Arial" w:hAnsi="Arial"/>
          <w:sz w:val="16"/>
        </w:rPr>
        <w:t>150.27  روبان فارغ‌التحصیلان آموزش نظامی حرفه‌ای نیروی هوایی.</w:t>
      </w:r>
    </w:p>
    <w:p>
      <w:pPr>
        <w:spacing w:after="28" w:line="216" w:lineRule="auto"/>
        <w:ind w:left="259"/>
        <w:jc w:val="left"/>
      </w:pPr>
      <w:r>
        <w:rPr>
          <w:rFonts w:ascii="Arial" w:hAnsi="Arial"/>
          <w:color w:val="525252"/>
          <w:sz w:val="13"/>
        </w:rPr>
        <w:t>Air Force Enlisted Professional Military Education Graduate Ribbon.</w:t>
      </w:r>
    </w:p>
    <w:p>
      <w:pPr>
        <w:spacing w:after="20" w:line="223" w:lineRule="auto"/>
        <w:jc w:val="right"/>
        <w:bidi/>
      </w:pPr>
      <w:r>
        <w:rPr>
          <w:rFonts w:ascii="Arial" w:hAnsi="Arial"/>
          <w:sz w:val="16"/>
        </w:rPr>
        <w:t>150.28  روبان فارغ‌التحصیلی آموزش نظامی حرفه‌ای نیروی هوایی، فارغ‌التحصیلان داخلی مدارس آموزش نظامی حرفه‌ای افسران درجه دار تأیید شده را می‌شناسد.</w:t>
      </w:r>
    </w:p>
    <w:p>
      <w:pPr>
        <w:spacing w:after="28" w:line="216" w:lineRule="auto"/>
        <w:ind w:left="259"/>
        <w:jc w:val="left"/>
      </w:pPr>
      <w:r>
        <w:rPr>
          <w:rFonts w:ascii="Arial" w:hAnsi="Arial"/>
          <w:color w:val="525252"/>
          <w:sz w:val="13"/>
        </w:rPr>
        <w:t>The Air Force Enlisted Professional Military Education Graduate Ribbon recognize in-residence graduates of certified noncommissioned officer professional military education schools.</w:t>
      </w:r>
    </w:p>
    <w:p>
      <w:pPr>
        <w:spacing w:after="20" w:line="223" w:lineRule="auto"/>
        <w:jc w:val="right"/>
        <w:bidi/>
      </w:pPr>
      <w:r>
        <w:rPr>
          <w:rFonts w:ascii="Arial" w:hAnsi="Arial"/>
          <w:sz w:val="16"/>
        </w:rPr>
        <w:t>150.29  روبان فارغ‌التحصیلی افتخار آموزش نظامی پایه.</w:t>
      </w:r>
    </w:p>
    <w:p>
      <w:pPr>
        <w:spacing w:after="28" w:line="216" w:lineRule="auto"/>
        <w:ind w:left="259"/>
        <w:jc w:val="left"/>
      </w:pPr>
      <w:r>
        <w:rPr>
          <w:rFonts w:ascii="Arial" w:hAnsi="Arial"/>
          <w:color w:val="525252"/>
          <w:sz w:val="13"/>
        </w:rPr>
        <w:t>Basic Military Training Honor Graduate Ribbon.</w:t>
      </w:r>
    </w:p>
    <w:p>
      <w:pPr>
        <w:spacing w:after="20" w:line="223" w:lineRule="auto"/>
        <w:jc w:val="right"/>
        <w:bidi/>
      </w:pPr>
      <w:r>
        <w:rPr>
          <w:rFonts w:ascii="Arial" w:hAnsi="Arial"/>
          <w:sz w:val="16"/>
        </w:rPr>
        <w:t>150.30  فارغ‌التحصیل افتخار آموزش پایه نظامی</w:t>
      </w:r>
    </w:p>
    <w:p>
      <w:pPr>
        <w:spacing w:after="28" w:line="216" w:lineRule="auto"/>
        <w:ind w:left="259"/>
        <w:jc w:val="left"/>
      </w:pPr>
      <w:r>
        <w:rPr>
          <w:rFonts w:ascii="Arial" w:hAnsi="Arial"/>
          <w:color w:val="525252"/>
          <w:sz w:val="13"/>
        </w:rPr>
        <w:t>The Basic Military Training Honor Graduate</w:t>
      </w:r>
    </w:p>
    <w:p>
      <w:r>
        <w:br w:type="page"/>
      </w:r>
    </w:p>
    <w:p>
      <w:pPr>
        <w:spacing w:after="60"/>
        <w:jc w:val="right"/>
        <w:bidi/>
      </w:pPr>
      <w:r>
        <w:rPr>
          <w:rFonts w:ascii="Arial" w:hAnsi="Arial"/>
          <w:b/>
          <w:color w:val="1F4D78"/>
          <w:sz w:val="19"/>
        </w:rPr>
        <w:t>هفتهٔ 151  |  صفحهٔ منبع: 167</w:t>
      </w:r>
    </w:p>
    <w:p>
      <w:pPr>
        <w:spacing w:after="20" w:line="223" w:lineRule="auto"/>
        <w:jc w:val="right"/>
        <w:bidi/>
      </w:pPr>
      <w:r>
        <w:rPr>
          <w:rFonts w:ascii="Arial" w:hAnsi="Arial"/>
          <w:sz w:val="16"/>
        </w:rPr>
        <w:t>151.01  روبان به فارغ‌التحصیلان افتخاری آموزش نظامی پایه تعلق می‌گیرد که در تمام مراحل آموزشی و آموزشی نظامی برتری نشان داده‌اند.</w:t>
      </w:r>
    </w:p>
    <w:p>
      <w:pPr>
        <w:spacing w:after="28" w:line="216" w:lineRule="auto"/>
        <w:ind w:left="259"/>
        <w:jc w:val="left"/>
      </w:pPr>
      <w:r>
        <w:rPr>
          <w:rFonts w:ascii="Arial" w:hAnsi="Arial"/>
          <w:color w:val="525252"/>
          <w:sz w:val="13"/>
        </w:rPr>
        <w:t>Ribbon is awarded to basic military training honor graduates who have demonstrated excellence in all academic and military training phases.</w:t>
      </w:r>
    </w:p>
    <w:p>
      <w:pPr>
        <w:spacing w:after="20" w:line="223" w:lineRule="auto"/>
        <w:jc w:val="right"/>
        <w:bidi/>
      </w:pPr>
      <w:r>
        <w:rPr>
          <w:rFonts w:ascii="Arial" w:hAnsi="Arial"/>
          <w:sz w:val="16"/>
        </w:rPr>
        <w:t>151.02  روبان تیراندازی متخصص اسلحه‌های کوچک.</w:t>
      </w:r>
    </w:p>
    <w:p>
      <w:pPr>
        <w:spacing w:after="28" w:line="216" w:lineRule="auto"/>
        <w:ind w:left="259"/>
        <w:jc w:val="left"/>
      </w:pPr>
      <w:r>
        <w:rPr>
          <w:rFonts w:ascii="Arial" w:hAnsi="Arial"/>
          <w:color w:val="525252"/>
          <w:sz w:val="13"/>
        </w:rPr>
        <w:t>Small Arms Expert Marksmanship Ribbon.</w:t>
      </w:r>
    </w:p>
    <w:p>
      <w:pPr>
        <w:spacing w:after="20" w:line="223" w:lineRule="auto"/>
        <w:jc w:val="right"/>
        <w:bidi/>
      </w:pPr>
      <w:r>
        <w:rPr>
          <w:rFonts w:ascii="Arial" w:hAnsi="Arial"/>
          <w:sz w:val="16"/>
        </w:rPr>
        <w:t>151.03  روبان تیراندازی متخصص اسلحه‌های کوچک به اعضای عادی نیروی هوایی، گارد ملی هوایی، و نیروهای ذخیره نیروی هوایی که واجد شرایط به‌عنوان "متخصص" با تفنگ م-۱۶ (شامل م-۴ و GAU-۵) یا یک تفنگ دستی صادر شده در دوره آموزشی مقدماتی نیروی هوایی، و سایر دوره‌های آموزشی مربوط به نیروی هوایی، اعطا می‌شود. دوره صلاحیت دپارتمان‌های نظامی یا کسانی که برنامه تفنگ رزمی را به‌طور رضایت بخشی کامل کرده‌اند.</w:t>
      </w:r>
    </w:p>
    <w:p>
      <w:pPr>
        <w:spacing w:after="28" w:line="216" w:lineRule="auto"/>
        <w:ind w:left="259"/>
        <w:jc w:val="left"/>
      </w:pPr>
      <w:r>
        <w:rPr>
          <w:rFonts w:ascii="Arial" w:hAnsi="Arial"/>
          <w:color w:val="525252"/>
          <w:sz w:val="13"/>
        </w:rPr>
        <w:t>The Small Arms Expert Marksmanship Ribbon is awarded to regular Air Force, Air National Guard, and Air Force Reserve members who qualify as “Expert” with either the M-16 rifle (to include the M-4 and GAU-5) or an issued handgun on the Air Force qualification course, an appropriate orientation course prescribed in other Air Force Instructions, other Military Departments’ qualification course, or who satisfactorily complete the Combat Rifle Program.</w:t>
      </w:r>
    </w:p>
    <w:p>
      <w:pPr>
        <w:spacing w:after="20" w:line="223" w:lineRule="auto"/>
        <w:jc w:val="right"/>
        <w:bidi/>
      </w:pPr>
      <w:r>
        <w:rPr>
          <w:rFonts w:ascii="Arial" w:hAnsi="Arial"/>
          <w:sz w:val="16"/>
        </w:rPr>
        <w:t>151.04  روبان آموزش هوا و فضا.</w:t>
      </w:r>
    </w:p>
    <w:p>
      <w:pPr>
        <w:spacing w:after="28" w:line="216" w:lineRule="auto"/>
        <w:ind w:left="259"/>
        <w:jc w:val="left"/>
      </w:pPr>
      <w:r>
        <w:rPr>
          <w:rFonts w:ascii="Arial" w:hAnsi="Arial"/>
          <w:color w:val="525252"/>
          <w:sz w:val="13"/>
        </w:rPr>
        <w:t>Air and Space Training Ribbon.</w:t>
      </w:r>
    </w:p>
    <w:p>
      <w:pPr>
        <w:spacing w:after="20" w:line="223" w:lineRule="auto"/>
        <w:jc w:val="right"/>
        <w:bidi/>
      </w:pPr>
      <w:r>
        <w:rPr>
          <w:rFonts w:ascii="Arial" w:hAnsi="Arial"/>
          <w:sz w:val="16"/>
        </w:rPr>
        <w:t>151.05  روبان آموزش هوایی و فضایی پس از تکمیل آموزش الحاق اولیه (آموزش نظامی پایه، مدرسه آموزش افسران، سپاه آموزش افسران ذخیره و غیره) پس از ۱۴ اوت ۱۹۷۴ به اعضای USAF اعطا می‌شود.</w:t>
      </w:r>
    </w:p>
    <w:p>
      <w:pPr>
        <w:spacing w:after="28" w:line="216" w:lineRule="auto"/>
        <w:ind w:left="259"/>
        <w:jc w:val="left"/>
      </w:pPr>
      <w:r>
        <w:rPr>
          <w:rFonts w:ascii="Arial" w:hAnsi="Arial"/>
          <w:color w:val="525252"/>
          <w:sz w:val="13"/>
        </w:rPr>
        <w:t>The Air and Space Training Ribbon is awarded to USAF members upon completion of initial accession training (basic military training, officer training school, reserve officers training corps, etc.) after 14 August 1974.</w:t>
      </w:r>
    </w:p>
    <w:p>
      <w:pPr>
        <w:spacing w:after="20" w:line="223" w:lineRule="auto"/>
        <w:jc w:val="right"/>
        <w:bidi/>
      </w:pPr>
      <w:r>
        <w:rPr>
          <w:rFonts w:ascii="Arial" w:hAnsi="Arial"/>
          <w:sz w:val="16"/>
        </w:rPr>
        <w:t>151.06  در ۲۰ دسامبر ۲۰۱۹ یا پس از آن، روبان ممکن است به اعضای USSF اهدا شود.</w:t>
      </w:r>
    </w:p>
    <w:p>
      <w:pPr>
        <w:spacing w:after="28" w:line="216" w:lineRule="auto"/>
        <w:ind w:left="259"/>
        <w:jc w:val="left"/>
      </w:pPr>
      <w:r>
        <w:rPr>
          <w:rFonts w:ascii="Arial" w:hAnsi="Arial"/>
          <w:color w:val="525252"/>
          <w:sz w:val="13"/>
        </w:rPr>
        <w:t>On or after 20 December 2019, the ribbon may be awarded to USSF members.</w:t>
      </w:r>
    </w:p>
    <w:p>
      <w:pPr>
        <w:spacing w:before="60" w:after="28"/>
        <w:jc w:val="right"/>
        <w:bidi/>
      </w:pPr>
      <w:r>
        <w:rPr>
          <w:b/>
          <w:color w:val="1F4D78"/>
          <w:sz w:val="18"/>
        </w:rPr>
        <w:t>8.22. تزئینات</w:t>
      </w:r>
    </w:p>
    <w:p>
      <w:pPr>
        <w:spacing w:after="20"/>
        <w:ind w:left="259"/>
        <w:jc w:val="left"/>
      </w:pPr>
      <w:r>
        <w:rPr>
          <w:color w:val="555555"/>
          <w:sz w:val="12"/>
        </w:rPr>
        <w:t>8.22. Decorations</w:t>
      </w:r>
    </w:p>
    <w:p>
      <w:pPr>
        <w:spacing w:after="20" w:line="223" w:lineRule="auto"/>
        <w:jc w:val="right"/>
        <w:bidi/>
      </w:pPr>
      <w:r>
        <w:rPr>
          <w:rFonts w:ascii="Arial" w:hAnsi="Arial"/>
          <w:sz w:val="16"/>
        </w:rPr>
        <w:t>151.08  تزیین به رسمیت شناختن برتری شخصی است که به نامزدی فردی و تأییدیه وزارت دفاع یا USAF نیاز دارد.</w:t>
      </w:r>
    </w:p>
    <w:p>
      <w:pPr>
        <w:spacing w:after="28" w:line="216" w:lineRule="auto"/>
        <w:ind w:left="259"/>
        <w:jc w:val="left"/>
      </w:pPr>
      <w:r>
        <w:rPr>
          <w:rFonts w:ascii="Arial" w:hAnsi="Arial"/>
          <w:color w:val="525252"/>
          <w:sz w:val="13"/>
        </w:rPr>
        <w:t>A decoration is the formal recognition for personal excellence that requires individual nomination and USAF or Department of Defense approval.</w:t>
      </w:r>
    </w:p>
    <w:p>
      <w:pPr>
        <w:spacing w:after="20" w:line="223" w:lineRule="auto"/>
        <w:jc w:val="right"/>
        <w:bidi/>
      </w:pPr>
      <w:r>
        <w:rPr>
          <w:rFonts w:ascii="Arial" w:hAnsi="Arial"/>
          <w:sz w:val="16"/>
        </w:rPr>
        <w:t>151.09  جوایز برای قدردانی از اقدامات دلاورانه، قهرمانی، شجاعت، خدمات استثنایی، خدمات شایسته، یا دستاوردهای برجسته که به وضوح اعضا را بالاتر از همتایان خود قرار می‌دهد و از چنان اهمیتی برخوردار است که فرد نمی‌تواند به هیچ وجه به رسمیت شناخته شود، اعطا می‌شود.</w:t>
      </w:r>
    </w:p>
    <w:p>
      <w:pPr>
        <w:spacing w:after="28" w:line="216" w:lineRule="auto"/>
        <w:ind w:left="259"/>
        <w:jc w:val="left"/>
      </w:pPr>
      <w:r>
        <w:rPr>
          <w:rFonts w:ascii="Arial" w:hAnsi="Arial"/>
          <w:color w:val="525252"/>
          <w:sz w:val="13"/>
        </w:rPr>
        <w:t>Decorations are awarded in recognition for acts of valor, heroism, courage, exceptional service, meritorious service, or outstanding achievement that clearly place members above their peers and of such importance that the person cannot receive proper recognition in any other way.</w:t>
      </w:r>
    </w:p>
    <w:p>
      <w:pPr>
        <w:spacing w:after="20" w:line="223" w:lineRule="auto"/>
        <w:jc w:val="right"/>
        <w:bidi/>
      </w:pPr>
      <w:r>
        <w:rPr>
          <w:rFonts w:ascii="Arial" w:hAnsi="Arial"/>
          <w:sz w:val="16"/>
        </w:rPr>
        <w:t>151.10  هنگامی که برای یک دکوراسیون در نظر گرفته می‌شود، عوامل تعیین‌کننده شامل سطح مسئولیت، دستاوردها، دستاوردها، نحوه عملکرد، و تأثیر موفقیت عضو است.</w:t>
      </w:r>
    </w:p>
    <w:p>
      <w:pPr>
        <w:spacing w:after="28" w:line="216" w:lineRule="auto"/>
        <w:ind w:left="259"/>
        <w:jc w:val="left"/>
      </w:pPr>
      <w:r>
        <w:rPr>
          <w:rFonts w:ascii="Arial" w:hAnsi="Arial"/>
          <w:color w:val="525252"/>
          <w:sz w:val="13"/>
        </w:rPr>
        <w:t>When being considered for a decoration, the determining factors involve the member’s level of responsibility, achievements, accomplishments, manner of performance, and the impact of the accomplishment.</w:t>
      </w:r>
    </w:p>
    <w:p>
      <w:pPr>
        <w:spacing w:after="20" w:line="223" w:lineRule="auto"/>
        <w:jc w:val="right"/>
        <w:bidi/>
      </w:pPr>
      <w:r>
        <w:rPr>
          <w:rFonts w:ascii="Arial" w:hAnsi="Arial"/>
          <w:sz w:val="16"/>
        </w:rPr>
        <w:t>151.11  هر دکوراسیون الزامات عملکرد خاصی برای جایزه دارد و یک فرد ممکن است برای هر عمل، دستاورد یا دوره خدمت فقط یک دکوراسیون دریافت کند.</w:t>
      </w:r>
    </w:p>
    <w:p>
      <w:pPr>
        <w:spacing w:after="28" w:line="216" w:lineRule="auto"/>
        <w:ind w:left="259"/>
        <w:jc w:val="left"/>
      </w:pPr>
      <w:r>
        <w:rPr>
          <w:rFonts w:ascii="Arial" w:hAnsi="Arial"/>
          <w:color w:val="525252"/>
          <w:sz w:val="13"/>
        </w:rPr>
        <w:t>Each decoration has specific performance requirements for award, and an individual may receive only one decoration for any act, achievement, or period of service.</w:t>
      </w:r>
    </w:p>
    <w:p>
      <w:pPr>
        <w:spacing w:after="20" w:line="223" w:lineRule="auto"/>
        <w:jc w:val="right"/>
        <w:bidi/>
      </w:pPr>
      <w:r>
        <w:rPr>
          <w:rFonts w:ascii="Arial" w:hAnsi="Arial"/>
          <w:sz w:val="16"/>
        </w:rPr>
        <w:t>151.12  تهیه یک توصیه دکوراسیون.</w:t>
      </w:r>
    </w:p>
    <w:p>
      <w:pPr>
        <w:spacing w:after="28" w:line="216" w:lineRule="auto"/>
        <w:ind w:left="259"/>
        <w:jc w:val="left"/>
      </w:pPr>
      <w:r>
        <w:rPr>
          <w:rFonts w:ascii="Arial" w:hAnsi="Arial"/>
          <w:color w:val="525252"/>
          <w:sz w:val="13"/>
        </w:rPr>
        <w:t>Preparing a Decoration Recommendation.</w:t>
      </w:r>
    </w:p>
    <w:p>
      <w:pPr>
        <w:spacing w:after="20" w:line="223" w:lineRule="auto"/>
        <w:jc w:val="right"/>
        <w:bidi/>
      </w:pPr>
      <w:r>
        <w:rPr>
          <w:rFonts w:ascii="Arial" w:hAnsi="Arial"/>
          <w:sz w:val="16"/>
        </w:rPr>
        <w:t>151.13  اگرچه مسئولیت ارائه توصیه‌های دکوراسیون عمدتا بر عهده ناظر فوری است، هر شخصی، غیر از فردی که توصیه می‌شود، با آگاهی مستقیم از عمل، دستاورد یا خدمات، ممکن است با ارائه شواهد یا اظهاراتی از طریق ناظر و زنجیره فرماندهی عضوی که توصیه می‌شود، توصیه دکوراسیون را توصیه کند یا در آن مشارکت داشته باشد.</w:t>
      </w:r>
    </w:p>
    <w:p>
      <w:pPr>
        <w:spacing w:after="28" w:line="216" w:lineRule="auto"/>
        <w:ind w:left="259"/>
        <w:jc w:val="left"/>
      </w:pPr>
      <w:r>
        <w:rPr>
          <w:rFonts w:ascii="Arial" w:hAnsi="Arial"/>
          <w:color w:val="525252"/>
          <w:sz w:val="13"/>
        </w:rPr>
        <w:t>Although responsibility for submitting decoration recommendations primarily falls on the immediate supervisor, any person, other than the individual being recommended, having firsthand knowledge of the act, achievement, or service, may recommend or contribute to a decoration recommendation by providing evidence or statements through the supervisor and chain of command of the member being recommended.</w:t>
      </w:r>
    </w:p>
    <w:p>
      <w:pPr>
        <w:spacing w:after="20" w:line="223" w:lineRule="auto"/>
        <w:jc w:val="right"/>
        <w:bidi/>
      </w:pPr>
      <w:r>
        <w:rPr>
          <w:rFonts w:ascii="Arial" w:hAnsi="Arial"/>
          <w:sz w:val="16"/>
        </w:rPr>
        <w:t>151.14  هیچ گونه اطلاعات طبقه بندی نشده کنترل شده (CUI)، طبقه بندی شده، بسیار حساس، یا اطلاعات دسته بندی خاصی که نیاز به رویه‌های رسیدگی ویژه دارند را در توصیه‌های دکوراسیون منظم لحاظ نکنید.</w:t>
      </w:r>
    </w:p>
    <w:p>
      <w:pPr>
        <w:spacing w:after="28" w:line="216" w:lineRule="auto"/>
        <w:ind w:left="259"/>
        <w:jc w:val="left"/>
      </w:pPr>
      <w:r>
        <w:rPr>
          <w:rFonts w:ascii="Arial" w:hAnsi="Arial"/>
          <w:color w:val="525252"/>
          <w:sz w:val="13"/>
        </w:rPr>
        <w:t>Do not include any, Controlled Unclassified Information (CUI), classified, highly sensitive, or special category information requiring special handling procedures in regular decoration recommendations.</w:t>
      </w:r>
    </w:p>
    <w:p>
      <w:pPr>
        <w:spacing w:after="20" w:line="223" w:lineRule="auto"/>
        <w:jc w:val="right"/>
        <w:bidi/>
      </w:pPr>
      <w:r>
        <w:rPr>
          <w:rFonts w:ascii="Arial" w:hAnsi="Arial"/>
          <w:sz w:val="16"/>
        </w:rPr>
        <w:t>151.15  یک یادداشت یا توجیه نامه ممکن است همراه با توصیه دکوراسیون باشد تا شامل نمونه‌های ملموسی باشد که عمل انجام شده را توصیف می‌کند.</w:t>
      </w:r>
    </w:p>
    <w:p>
      <w:pPr>
        <w:spacing w:after="28" w:line="216" w:lineRule="auto"/>
        <w:ind w:left="259"/>
        <w:jc w:val="left"/>
      </w:pPr>
      <w:r>
        <w:rPr>
          <w:rFonts w:ascii="Arial" w:hAnsi="Arial"/>
          <w:color w:val="525252"/>
          <w:sz w:val="13"/>
        </w:rPr>
        <w:t>A memorandum or letter of justification may accompany the decoration recommendation to include concrete examples describing the action that was performed.</w:t>
      </w:r>
    </w:p>
    <w:p>
      <w:pPr>
        <w:spacing w:after="20" w:line="223" w:lineRule="auto"/>
        <w:jc w:val="right"/>
        <w:bidi/>
      </w:pPr>
      <w:r>
        <w:rPr>
          <w:rFonts w:ascii="Arial" w:hAnsi="Arial"/>
          <w:sz w:val="16"/>
        </w:rPr>
        <w:t>151.16  هنگامی که برای سربازان خارجی، جدا شده یا بازنشسته، یا برای اعضای شاخه دیگری از خدمت، توصیه دکوراسیون ارائه می‌شود، باید یادداشت یا نامه‌ای ارائه شود.</w:t>
      </w:r>
    </w:p>
    <w:p>
      <w:pPr>
        <w:spacing w:after="28" w:line="216" w:lineRule="auto"/>
        <w:ind w:left="259"/>
        <w:jc w:val="left"/>
      </w:pPr>
      <w:r>
        <w:rPr>
          <w:rFonts w:ascii="Arial" w:hAnsi="Arial"/>
          <w:color w:val="525252"/>
          <w:sz w:val="13"/>
        </w:rPr>
        <w:t>When a decoration recommendation is being submitted for foreign military, separated, or retired veterans, or for members of another branch of service, a memorandum or letter must be provided.</w:t>
      </w:r>
    </w:p>
    <w:p>
      <w:pPr>
        <w:spacing w:after="20" w:line="223" w:lineRule="auto"/>
        <w:jc w:val="right"/>
        <w:bidi/>
      </w:pPr>
      <w:r>
        <w:rPr>
          <w:rFonts w:ascii="Arial" w:hAnsi="Arial"/>
          <w:sz w:val="16"/>
        </w:rPr>
        <w:t>151.17  تزیینات برتر USAF.</w:t>
      </w:r>
    </w:p>
    <w:p>
      <w:pPr>
        <w:spacing w:after="28" w:line="216" w:lineRule="auto"/>
        <w:ind w:left="259"/>
        <w:jc w:val="left"/>
      </w:pPr>
      <w:r>
        <w:rPr>
          <w:rFonts w:ascii="Arial" w:hAnsi="Arial"/>
          <w:color w:val="525252"/>
          <w:sz w:val="13"/>
        </w:rPr>
        <w:t>Top USAF Decorations.</w:t>
      </w:r>
    </w:p>
    <w:p>
      <w:pPr>
        <w:spacing w:after="20" w:line="223" w:lineRule="auto"/>
        <w:jc w:val="right"/>
        <w:bidi/>
      </w:pPr>
      <w:r>
        <w:rPr>
          <w:rFonts w:ascii="Arial" w:hAnsi="Arial"/>
          <w:sz w:val="16"/>
        </w:rPr>
        <w:t>151.18  تزئینات بالای USAF، همانطور که در شکل ۸.۱ نشان داده شده است، در اینجا به اختصار توضیح داده شده است.</w:t>
      </w:r>
    </w:p>
    <w:p>
      <w:pPr>
        <w:spacing w:after="28" w:line="216" w:lineRule="auto"/>
        <w:ind w:left="259"/>
        <w:jc w:val="left"/>
      </w:pPr>
      <w:r>
        <w:rPr>
          <w:rFonts w:ascii="Arial" w:hAnsi="Arial"/>
          <w:color w:val="525252"/>
          <w:sz w:val="13"/>
        </w:rPr>
        <w:t>The top USAF decorations, as shown in Figure 8.1., are briefly described here.</w:t>
      </w:r>
    </w:p>
    <w:p>
      <w:pPr>
        <w:spacing w:before="60" w:after="28"/>
        <w:jc w:val="right"/>
        <w:bidi/>
      </w:pPr>
      <w:r>
        <w:rPr>
          <w:b/>
          <w:color w:val="1F4D78"/>
          <w:sz w:val="18"/>
        </w:rPr>
        <w:t>شکل 8.1. تزئینات نیروی هوایی</w:t>
      </w:r>
    </w:p>
    <w:p>
      <w:pPr>
        <w:spacing w:after="20"/>
        <w:ind w:left="259"/>
        <w:jc w:val="left"/>
      </w:pPr>
      <w:r>
        <w:rPr>
          <w:color w:val="555555"/>
          <w:sz w:val="12"/>
        </w:rPr>
        <w:t>Figure 8.1. Air Force Decorations</w:t>
      </w:r>
    </w:p>
    <w:p>
      <w:r>
        <w:br w:type="page"/>
      </w:r>
    </w:p>
    <w:p>
      <w:pPr>
        <w:spacing w:after="60"/>
        <w:jc w:val="right"/>
        <w:bidi/>
      </w:pPr>
      <w:r>
        <w:rPr>
          <w:rFonts w:ascii="Arial" w:hAnsi="Arial"/>
          <w:b/>
          <w:color w:val="1F4D78"/>
          <w:sz w:val="19"/>
        </w:rPr>
        <w:t>هفتهٔ 152  |  صفحهٔ منبع: 168</w:t>
      </w:r>
    </w:p>
    <w:p>
      <w:pPr>
        <w:spacing w:after="20" w:line="223" w:lineRule="auto"/>
        <w:jc w:val="right"/>
        <w:bidi/>
      </w:pPr>
      <w:r>
        <w:rPr>
          <w:rFonts w:ascii="Arial" w:hAnsi="Arial"/>
          <w:sz w:val="16"/>
        </w:rPr>
        <w:t>152.01  مدال افتخار.</w:t>
      </w:r>
    </w:p>
    <w:p>
      <w:pPr>
        <w:spacing w:after="28" w:line="216" w:lineRule="auto"/>
        <w:ind w:left="259"/>
        <w:jc w:val="left"/>
      </w:pPr>
      <w:r>
        <w:rPr>
          <w:rFonts w:ascii="Arial" w:hAnsi="Arial"/>
          <w:color w:val="525252"/>
          <w:sz w:val="13"/>
        </w:rPr>
        <w:t>Medal of Honor.</w:t>
      </w:r>
    </w:p>
    <w:p>
      <w:pPr>
        <w:spacing w:after="20" w:line="223" w:lineRule="auto"/>
        <w:jc w:val="right"/>
        <w:bidi/>
      </w:pPr>
      <w:r>
        <w:rPr>
          <w:rFonts w:ascii="Arial" w:hAnsi="Arial"/>
          <w:sz w:val="16"/>
        </w:rPr>
        <w:t>152.02  مدال افتخار بالاترین نشان قهرمانی در اقدام نظامی است که می‌توان به یکی از اعضای نیروهای مسلح ایالات متحده اعطا کرد.</w:t>
      </w:r>
    </w:p>
    <w:p>
      <w:pPr>
        <w:spacing w:after="28" w:line="216" w:lineRule="auto"/>
        <w:ind w:left="259"/>
        <w:jc w:val="left"/>
      </w:pPr>
      <w:r>
        <w:rPr>
          <w:rFonts w:ascii="Arial" w:hAnsi="Arial"/>
          <w:color w:val="525252"/>
          <w:sz w:val="13"/>
        </w:rPr>
        <w:t>The Medal of Honor is the highest decoration for heroism in military action that can be awarded to a member of the U.S. Armed Forces.</w:t>
      </w:r>
    </w:p>
    <w:p>
      <w:pPr>
        <w:spacing w:after="20" w:line="223" w:lineRule="auto"/>
        <w:jc w:val="right"/>
        <w:bidi/>
      </w:pPr>
      <w:r>
        <w:rPr>
          <w:rFonts w:ascii="Arial" w:hAnsi="Arial"/>
          <w:sz w:val="16"/>
        </w:rPr>
        <w:t>152.03  مدال افتخار برای شجاعت و شهوت آشکار در معرض خطر جانی بالاتر و فراتر از ندای وظیفه در هنگام انجام عملیات علیه دشمن ایالات متحده، درگیر عملیات نظامی شامل درگیری با یک نیروی خارجی مخالف، یا در حین خدمت با نیروهای خارجی دوستی که ایالات متحده درگیر درگیری مسلحانه است، اعطا می‌شود.</w:t>
      </w:r>
    </w:p>
    <w:p>
      <w:pPr>
        <w:spacing w:after="28" w:line="216" w:lineRule="auto"/>
        <w:ind w:left="259"/>
        <w:jc w:val="left"/>
      </w:pPr>
      <w:r>
        <w:rPr>
          <w:rFonts w:ascii="Arial" w:hAnsi="Arial"/>
          <w:color w:val="525252"/>
          <w:sz w:val="13"/>
        </w:rPr>
        <w:t>The Medal of Honor is awarded for conspicuous gallantry and intrepidity at the risk of life above and beyond the call of duty while engaged in action against an enemy of the United States, while engaged in military operations involving conflict with an opposing foreign force, or while serving with friendly foreign forces engaged in an armed conflict against an opposing armed force in which the United States is not a belligerent party.</w:t>
      </w:r>
    </w:p>
    <w:p>
      <w:pPr>
        <w:spacing w:after="20" w:line="223" w:lineRule="auto"/>
        <w:jc w:val="right"/>
        <w:bidi/>
      </w:pPr>
      <w:r>
        <w:rPr>
          <w:rFonts w:ascii="Arial" w:hAnsi="Arial"/>
          <w:sz w:val="16"/>
        </w:rPr>
        <w:t>152.04  مدال افتخار معمولا توسط رئیس جمهور ایالات متحده به دریافت کننده یا نزدیکان اصلی دریافت کننده اهدا می‌شود.</w:t>
      </w:r>
    </w:p>
    <w:p>
      <w:pPr>
        <w:spacing w:after="28" w:line="216" w:lineRule="auto"/>
        <w:ind w:left="259"/>
        <w:jc w:val="left"/>
      </w:pPr>
      <w:r>
        <w:rPr>
          <w:rFonts w:ascii="Arial" w:hAnsi="Arial"/>
          <w:color w:val="525252"/>
          <w:sz w:val="13"/>
        </w:rPr>
        <w:t>The Medal of Honor is generally presented by the U.S. President to the recipient or the recipient’s primary next of kin.</w:t>
      </w:r>
    </w:p>
    <w:p>
      <w:pPr>
        <w:spacing w:after="20" w:line="223" w:lineRule="auto"/>
        <w:jc w:val="right"/>
        <w:bidi/>
      </w:pPr>
      <w:r>
        <w:rPr>
          <w:rFonts w:ascii="Arial" w:hAnsi="Arial"/>
          <w:sz w:val="16"/>
        </w:rPr>
        <w:t>152.05  همراه با اعتبار اعطای مدال افتخار برای اعمال برجسته شجاعت، دریافت کنندگان طبق قانون، از مزایای ویژه تحت وزارت امور کهنه‌سربازان ایالات متحده، امتیازات و حقوق اضافی نیز برخوردار می‌شوند.</w:t>
      </w:r>
    </w:p>
    <w:p>
      <w:pPr>
        <w:spacing w:after="28" w:line="216" w:lineRule="auto"/>
        <w:ind w:left="259"/>
        <w:jc w:val="left"/>
      </w:pPr>
      <w:r>
        <w:rPr>
          <w:rFonts w:ascii="Arial" w:hAnsi="Arial"/>
          <w:color w:val="525252"/>
          <w:sz w:val="13"/>
        </w:rPr>
        <w:t>Along with the prestige of being awarded the Medal of Honor for distinguished acts of valor, recipients, by law, also receive special benefits under the U.S. Department of Veterans Affairs, additional privileges, and entitlements.</w:t>
      </w:r>
    </w:p>
    <w:p>
      <w:pPr>
        <w:spacing w:after="20" w:line="223" w:lineRule="auto"/>
        <w:jc w:val="right"/>
        <w:bidi/>
      </w:pPr>
      <w:r>
        <w:rPr>
          <w:rFonts w:ascii="Arial" w:hAnsi="Arial"/>
          <w:sz w:val="16"/>
        </w:rPr>
        <w:t>152.06  یک مثال، اگرچه طبق قانون یا مقررات نظامی الزامی نیست، این است که اعضای سرویس‌های یونیفورم‌پوش تشویق می‌شوند به احترام و ادب به دریافت‌کنندگان مدال افتخار، خواه یونیفورم باشند یا نباشند، و صرف نظر از رتبه یا مقام، ادای احترام کنند.</w:t>
      </w:r>
    </w:p>
    <w:p>
      <w:pPr>
        <w:spacing w:after="28" w:line="216" w:lineRule="auto"/>
        <w:ind w:left="259"/>
        <w:jc w:val="left"/>
      </w:pPr>
      <w:r>
        <w:rPr>
          <w:rFonts w:ascii="Arial" w:hAnsi="Arial"/>
          <w:color w:val="525252"/>
          <w:sz w:val="13"/>
        </w:rPr>
        <w:t>One example, although not required by law or military regulation, is that members of the uniformed services are encouraged to render salutes to recipients of the Medal of Honor as a matter of respect and courtesy, whether or not they are in uniform, and regardless of rank or status.</w:t>
      </w:r>
    </w:p>
    <w:p>
      <w:pPr>
        <w:spacing w:after="20" w:line="223" w:lineRule="auto"/>
        <w:jc w:val="right"/>
        <w:bidi/>
      </w:pPr>
      <w:r>
        <w:rPr>
          <w:rFonts w:ascii="Arial" w:hAnsi="Arial"/>
          <w:sz w:val="16"/>
        </w:rPr>
        <w:t>152.07  به پیوست ۷، دریافت کنندگان مدال افتخار USAF (و سوابق رسمی محل تولد و تاریخ مرگ) مراجعه کنید.</w:t>
      </w:r>
    </w:p>
    <w:p>
      <w:pPr>
        <w:spacing w:after="28" w:line="216" w:lineRule="auto"/>
        <w:ind w:left="259"/>
        <w:jc w:val="left"/>
      </w:pPr>
      <w:r>
        <w:rPr>
          <w:rFonts w:ascii="Arial" w:hAnsi="Arial"/>
          <w:color w:val="525252"/>
          <w:sz w:val="13"/>
        </w:rPr>
        <w:t>See Attachment 7, USAF Medal of Honor Recipients (and official record of location of birth, and date of death).</w:t>
      </w:r>
    </w:p>
    <w:p>
      <w:pPr>
        <w:spacing w:after="20" w:line="223" w:lineRule="auto"/>
        <w:jc w:val="right"/>
        <w:bidi/>
      </w:pPr>
      <w:r>
        <w:rPr>
          <w:rFonts w:ascii="Arial" w:hAnsi="Arial"/>
          <w:sz w:val="16"/>
        </w:rPr>
        <w:t>152.08  توجه: طبق انجمن تاریخی مدال افتخار ایالات متحده، اولین دریافت کننده مدال افتخار توسط پرزیدنت لیندون بی. جانسون در ۱۹ ژانویه ۱۹۶۷ به سرگرد برنارد اف. فیشر برای اقدام در ویتنام جنوبی اهدا شد.</w:t>
      </w:r>
    </w:p>
    <w:p>
      <w:pPr>
        <w:spacing w:after="28" w:line="216" w:lineRule="auto"/>
        <w:ind w:left="259"/>
        <w:jc w:val="left"/>
      </w:pPr>
      <w:r>
        <w:rPr>
          <w:rFonts w:ascii="Arial" w:hAnsi="Arial"/>
          <w:color w:val="525252"/>
          <w:sz w:val="13"/>
        </w:rPr>
        <w:t>Note: According to the U.S. Medal of Honor Historical Society, the first USAF recipient of the Medal of Honor was presented by President Lyndon B. Johnson on January 19, 1967, to Major Bernard F. Fisher for action in South Vietnam.</w:t>
      </w:r>
    </w:p>
    <w:p>
      <w:pPr>
        <w:spacing w:after="20" w:line="223" w:lineRule="auto"/>
        <w:jc w:val="right"/>
        <w:bidi/>
      </w:pPr>
      <w:r>
        <w:rPr>
          <w:rFonts w:ascii="Arial" w:hAnsi="Arial"/>
          <w:sz w:val="16"/>
        </w:rPr>
        <w:t>152.09  سه نسخه از مدال افتخار وجود دارد، یکی برای هر یک از بخش‌های نظامی وزارت دفاع: وزارت ارتش، وزارت نیروی دریایی، و وزارت نیروی هوایی، با تغییرات جزئی در طراحی.</w:t>
      </w:r>
    </w:p>
    <w:p>
      <w:pPr>
        <w:spacing w:after="28" w:line="216" w:lineRule="auto"/>
        <w:ind w:left="259"/>
        <w:jc w:val="left"/>
      </w:pPr>
      <w:r>
        <w:rPr>
          <w:rFonts w:ascii="Arial" w:hAnsi="Arial"/>
          <w:color w:val="525252"/>
          <w:sz w:val="13"/>
        </w:rPr>
        <w:t>There are three versions of the Medal of Honor, one for each of the military departments of the Department of Defense: Department of the Army, Department of the Navy, and Department of the Air Force, with slight variations in design.</w:t>
      </w:r>
    </w:p>
    <w:p>
      <w:pPr>
        <w:spacing w:after="20" w:line="223" w:lineRule="auto"/>
        <w:jc w:val="right"/>
        <w:bidi/>
      </w:pPr>
      <w:r>
        <w:rPr>
          <w:rFonts w:ascii="Arial" w:hAnsi="Arial"/>
          <w:sz w:val="16"/>
        </w:rPr>
        <w:t>152.10  اعضای سپاه تفنگداران دریایی و گارد ساحلی واجد شرایط دریافت نسخه وزارت نیروی دریایی و اعضای نیروی فضایی واجد شرایط دریافت نسخه وزارت نیروی هوایی هستند.</w:t>
      </w:r>
    </w:p>
    <w:p>
      <w:pPr>
        <w:spacing w:after="28" w:line="216" w:lineRule="auto"/>
        <w:ind w:left="259"/>
        <w:jc w:val="left"/>
      </w:pPr>
      <w:r>
        <w:rPr>
          <w:rFonts w:ascii="Arial" w:hAnsi="Arial"/>
          <w:color w:val="525252"/>
          <w:sz w:val="13"/>
        </w:rPr>
        <w:t>Members of the Marine Corps and Coast Guard are eligible to receive the Department of the Navy version and members of the Space Force are eligible to receive the Department of the Air Force version.</w:t>
      </w:r>
    </w:p>
    <w:p>
      <w:pPr>
        <w:spacing w:after="20" w:line="223" w:lineRule="auto"/>
        <w:jc w:val="right"/>
        <w:bidi/>
      </w:pPr>
      <w:r>
        <w:rPr>
          <w:rFonts w:ascii="Arial" w:hAnsi="Arial"/>
          <w:sz w:val="16"/>
        </w:rPr>
        <w:t>152.11  صلیب نیروی هوایی.</w:t>
      </w:r>
    </w:p>
    <w:p>
      <w:pPr>
        <w:spacing w:after="28" w:line="216" w:lineRule="auto"/>
        <w:ind w:left="259"/>
        <w:jc w:val="left"/>
      </w:pPr>
      <w:r>
        <w:rPr>
          <w:rFonts w:ascii="Arial" w:hAnsi="Arial"/>
          <w:color w:val="525252"/>
          <w:sz w:val="13"/>
        </w:rPr>
        <w:t>Air Force Cross.</w:t>
      </w:r>
    </w:p>
    <w:p>
      <w:pPr>
        <w:spacing w:after="20" w:line="223" w:lineRule="auto"/>
        <w:jc w:val="right"/>
        <w:bidi/>
      </w:pPr>
      <w:r>
        <w:rPr>
          <w:rFonts w:ascii="Arial" w:hAnsi="Arial"/>
          <w:sz w:val="16"/>
        </w:rPr>
        <w:t>152.12  صلیب نیروی هوایی دومین نشان عالی است که می‌توان به یکی از نیروهای مسلح ایالات متحده اعطا کرد.</w:t>
      </w:r>
    </w:p>
    <w:p>
      <w:pPr>
        <w:spacing w:after="28" w:line="216" w:lineRule="auto"/>
        <w:ind w:left="259"/>
        <w:jc w:val="left"/>
      </w:pPr>
      <w:r>
        <w:rPr>
          <w:rFonts w:ascii="Arial" w:hAnsi="Arial"/>
          <w:color w:val="525252"/>
          <w:sz w:val="13"/>
        </w:rPr>
        <w:t>The Air Force Cross is the second highest decoration that can be awarded to a member of the U.S. Armed Forces.</w:t>
      </w:r>
    </w:p>
    <w:p>
      <w:pPr>
        <w:spacing w:after="20" w:line="223" w:lineRule="auto"/>
        <w:jc w:val="right"/>
        <w:bidi/>
      </w:pPr>
      <w:r>
        <w:rPr>
          <w:rFonts w:ascii="Arial" w:hAnsi="Arial"/>
          <w:sz w:val="16"/>
        </w:rPr>
        <w:t>152.13  صلیب نیروی هوایی برای قهرمانی فوق‌العاده در هنگام انجام عملیات علیه دشمن ایالات متحده، درگیر عملیات نظامی شامل درگیری با یک نیروی خارجی مخالف، یا در هنگام خدمت با نیروهای خارجی دوست که درگیر درگیری مسلحانه علیه نیروهای مسلح مخالفی هستند که ایالات متحده در آن طرف متخاصم نیست، اعطا می‌شود.</w:t>
      </w:r>
    </w:p>
    <w:p>
      <w:pPr>
        <w:spacing w:after="28" w:line="216" w:lineRule="auto"/>
        <w:ind w:left="259"/>
        <w:jc w:val="left"/>
      </w:pPr>
      <w:r>
        <w:rPr>
          <w:rFonts w:ascii="Arial" w:hAnsi="Arial"/>
          <w:color w:val="525252"/>
          <w:sz w:val="13"/>
        </w:rPr>
        <w:t>The Air Force Cross is awarded for extraordinary heroism while engaged in action against an enemy of the United States, while engaged in military operations involving conflict with an opposing foreign force, or while serving with friendly foreign forces engaged in an armed conflict against an opposing armed force in which the United States is not a belligerent party.</w:t>
      </w:r>
    </w:p>
    <w:p>
      <w:pPr>
        <w:spacing w:after="20" w:line="223" w:lineRule="auto"/>
        <w:jc w:val="right"/>
        <w:bidi/>
      </w:pPr>
      <w:r>
        <w:rPr>
          <w:rFonts w:ascii="Arial" w:hAnsi="Arial"/>
          <w:sz w:val="16"/>
        </w:rPr>
        <w:t>152.14  اقداماتی که مستحق اعطای صلیب نیروی هوایی هستند باید به حدی باشد که بالاتر از موارد لازم برای سایر نشان‌های رزمی باشد، اما مستحق دریافت مدال افتخار نباشد.</w:t>
      </w:r>
    </w:p>
    <w:p>
      <w:pPr>
        <w:spacing w:after="28" w:line="216" w:lineRule="auto"/>
        <w:ind w:left="259"/>
        <w:jc w:val="left"/>
      </w:pPr>
      <w:r>
        <w:rPr>
          <w:rFonts w:ascii="Arial" w:hAnsi="Arial"/>
          <w:color w:val="525252"/>
          <w:sz w:val="13"/>
        </w:rPr>
        <w:t>Actions that merit award of the Air Force Cross must be of such a high degree that they are above those required for all other combat decorations, but do not merit award of the Medal of Honor.</w:t>
      </w:r>
    </w:p>
    <w:p>
      <w:pPr>
        <w:spacing w:after="20" w:line="223" w:lineRule="auto"/>
        <w:jc w:val="right"/>
        <w:bidi/>
      </w:pPr>
      <w:r>
        <w:rPr>
          <w:rFonts w:ascii="Arial" w:hAnsi="Arial"/>
          <w:sz w:val="16"/>
        </w:rPr>
        <w:t>152.15  مدال خدمات ممتاز.</w:t>
      </w:r>
    </w:p>
    <w:p>
      <w:pPr>
        <w:spacing w:after="28" w:line="216" w:lineRule="auto"/>
        <w:ind w:left="259"/>
        <w:jc w:val="left"/>
      </w:pPr>
      <w:r>
        <w:rPr>
          <w:rFonts w:ascii="Arial" w:hAnsi="Arial"/>
          <w:color w:val="525252"/>
          <w:sz w:val="13"/>
        </w:rPr>
        <w:t>Distinguished Service Medal.</w:t>
      </w:r>
    </w:p>
    <w:p>
      <w:pPr>
        <w:spacing w:after="20" w:line="223" w:lineRule="auto"/>
        <w:jc w:val="right"/>
        <w:bidi/>
      </w:pPr>
      <w:r>
        <w:rPr>
          <w:rFonts w:ascii="Arial" w:hAnsi="Arial"/>
          <w:sz w:val="16"/>
        </w:rPr>
        <w:t>152.16  مدال خدمات ممتاز برای خدمات استثنایی شایسته به ملت در یک وظیفه با مسئولیت بزرگ اعطا می‌شود.</w:t>
      </w:r>
    </w:p>
    <w:p>
      <w:pPr>
        <w:spacing w:after="28" w:line="216" w:lineRule="auto"/>
        <w:ind w:left="259"/>
        <w:jc w:val="left"/>
      </w:pPr>
      <w:r>
        <w:rPr>
          <w:rFonts w:ascii="Arial" w:hAnsi="Arial"/>
          <w:color w:val="525252"/>
          <w:sz w:val="13"/>
        </w:rPr>
        <w:t>The Distinguished Service Medal is awarded for exceptionally meritorious service to the nation in a duty of great responsibility.</w:t>
      </w:r>
    </w:p>
    <w:p>
      <w:pPr>
        <w:spacing w:after="20" w:line="223" w:lineRule="auto"/>
        <w:jc w:val="right"/>
        <w:bidi/>
      </w:pPr>
      <w:r>
        <w:rPr>
          <w:rFonts w:ascii="Arial" w:hAnsi="Arial"/>
          <w:sz w:val="16"/>
        </w:rPr>
        <w:t>152.17  در زمان جنگ، وظیفه بزرگ مسئولیتی است که شامل اعمال اقتدار یا قضاوت در اموری است که عملکرد موفقیت آمیز یک فرماندهی، فعالیت، نصب یا برنامه اصلی را تعیین می‌کند.</w:t>
      </w:r>
    </w:p>
    <w:p>
      <w:pPr>
        <w:spacing w:after="28" w:line="216" w:lineRule="auto"/>
        <w:ind w:left="259"/>
        <w:jc w:val="left"/>
      </w:pPr>
      <w:r>
        <w:rPr>
          <w:rFonts w:ascii="Arial" w:hAnsi="Arial"/>
          <w:color w:val="525252"/>
          <w:sz w:val="13"/>
        </w:rPr>
        <w:t>In wartime, a duty of great responsibility is one that involves the exercise of authority or judgment in matters that decide the successful operation of a major command, activity, installation, or major program.</w:t>
      </w:r>
    </w:p>
    <w:p>
      <w:pPr>
        <w:spacing w:after="20" w:line="223" w:lineRule="auto"/>
        <w:jc w:val="right"/>
        <w:bidi/>
      </w:pPr>
      <w:r>
        <w:rPr>
          <w:rFonts w:ascii="Arial" w:hAnsi="Arial"/>
          <w:sz w:val="16"/>
        </w:rPr>
        <w:t>152.18  انجام چنین وظیفه‌ای باید مستلزم پذیرش و انجام تعهد باشد تا به نفع منافع ایالات متحده باشد.</w:t>
      </w:r>
    </w:p>
    <w:p>
      <w:pPr>
        <w:spacing w:after="28" w:line="216" w:lineRule="auto"/>
        <w:ind w:left="259"/>
        <w:jc w:val="left"/>
      </w:pPr>
      <w:r>
        <w:rPr>
          <w:rFonts w:ascii="Arial" w:hAnsi="Arial"/>
          <w:color w:val="525252"/>
          <w:sz w:val="13"/>
        </w:rPr>
        <w:t>The discharge of such duty must involve the acceptance and fulfillment of the obligation so as to greatly benefit the interests of the United States.</w:t>
      </w:r>
    </w:p>
    <w:p>
      <w:pPr>
        <w:spacing w:after="20" w:line="223" w:lineRule="auto"/>
        <w:jc w:val="right"/>
        <w:bidi/>
      </w:pPr>
      <w:r>
        <w:rPr>
          <w:rFonts w:ascii="Arial" w:hAnsi="Arial"/>
          <w:sz w:val="16"/>
        </w:rPr>
        <w:t>152.19  ستاره نقره‌ای.</w:t>
      </w:r>
    </w:p>
    <w:p>
      <w:pPr>
        <w:spacing w:after="28" w:line="216" w:lineRule="auto"/>
        <w:ind w:left="259"/>
        <w:jc w:val="left"/>
      </w:pPr>
      <w:r>
        <w:rPr>
          <w:rFonts w:ascii="Arial" w:hAnsi="Arial"/>
          <w:color w:val="525252"/>
          <w:sz w:val="13"/>
        </w:rPr>
        <w:t>Silver Star.</w:t>
      </w:r>
    </w:p>
    <w:p>
      <w:pPr>
        <w:spacing w:after="20" w:line="223" w:lineRule="auto"/>
        <w:jc w:val="right"/>
        <w:bidi/>
      </w:pPr>
      <w:r>
        <w:rPr>
          <w:rFonts w:ascii="Arial" w:hAnsi="Arial"/>
          <w:sz w:val="16"/>
        </w:rPr>
        <w:t>152.20  ستاره نقره‌ای سومین نشان رزمی نظامی است که می‌تواند به یکی از اعضای نیروهای مسلح ایالات متحده اعطا شود.</w:t>
      </w:r>
    </w:p>
    <w:p>
      <w:pPr>
        <w:spacing w:after="28" w:line="216" w:lineRule="auto"/>
        <w:ind w:left="259"/>
        <w:jc w:val="left"/>
      </w:pPr>
      <w:r>
        <w:rPr>
          <w:rFonts w:ascii="Arial" w:hAnsi="Arial"/>
          <w:color w:val="525252"/>
          <w:sz w:val="13"/>
        </w:rPr>
        <w:t>The Silver Star is the third-highest military combat decoration that can be awarded to a member of the U.S. Armed Forces.</w:t>
      </w:r>
    </w:p>
    <w:p>
      <w:pPr>
        <w:spacing w:after="20" w:line="223" w:lineRule="auto"/>
        <w:jc w:val="right"/>
        <w:bidi/>
      </w:pPr>
      <w:r>
        <w:rPr>
          <w:rFonts w:ascii="Arial" w:hAnsi="Arial"/>
          <w:sz w:val="16"/>
        </w:rPr>
        <w:t>152.21  این جایزه برای شجاعت در عمل در هنگام انجام عملیات علیه دشمن ایالات متحده، درگیر عملیات نظامی شامل درگیری با یک نیروی خارجی مخالف، یا هنگام خدمت با نیروهای خارجی دوست که درگیر درگیری مسلحانه علیه نیروهای مسلح مخالفی هستند که ایالات متحده در آن طرف متخاصم نیست، اعطا می‌شود.</w:t>
      </w:r>
    </w:p>
    <w:p>
      <w:pPr>
        <w:spacing w:after="28" w:line="216" w:lineRule="auto"/>
        <w:ind w:left="259"/>
        <w:jc w:val="left"/>
      </w:pPr>
      <w:r>
        <w:rPr>
          <w:rFonts w:ascii="Arial" w:hAnsi="Arial"/>
          <w:color w:val="525252"/>
          <w:sz w:val="13"/>
        </w:rPr>
        <w:t>It is awarded for gallantry in action while engaged in action against an enemy of the United States, while engaged in military operations involving conflict with an opposing foreign force, or while serving with friendly foreign forces engaged in an armed conflict against an opposing armed force in which the United States is not a belligerent party.</w:t>
      </w:r>
    </w:p>
    <w:p>
      <w:pPr>
        <w:spacing w:after="20" w:line="223" w:lineRule="auto"/>
        <w:jc w:val="right"/>
        <w:bidi/>
      </w:pPr>
      <w:r>
        <w:rPr>
          <w:rFonts w:ascii="Arial" w:hAnsi="Arial"/>
          <w:sz w:val="16"/>
        </w:rPr>
        <w:t>152.22  اقداماتی که شایستگی ستاره نقره‌ای را دارند باید به حدی باشد که بالاتر از آنچه برای سایر تزیینات رزمی لازم است باشد، اما مستحق اعطای مدال افتخار یا صلیب نیروی هوایی نباشد.</w:t>
      </w:r>
    </w:p>
    <w:p>
      <w:pPr>
        <w:spacing w:after="28" w:line="216" w:lineRule="auto"/>
        <w:ind w:left="259"/>
        <w:jc w:val="left"/>
      </w:pPr>
      <w:r>
        <w:rPr>
          <w:rFonts w:ascii="Arial" w:hAnsi="Arial"/>
          <w:color w:val="525252"/>
          <w:sz w:val="13"/>
        </w:rPr>
        <w:t>Actions that merit the Silver Star must be of such a high degree that they are above those required for all other combat decorations, but do not merit award of the Medal of Honor or an Air Force Cross.</w:t>
      </w:r>
    </w:p>
    <w:p>
      <w:pPr>
        <w:spacing w:after="20" w:line="223" w:lineRule="auto"/>
        <w:jc w:val="right"/>
        <w:bidi/>
      </w:pPr>
      <w:r>
        <w:rPr>
          <w:rFonts w:ascii="Arial" w:hAnsi="Arial"/>
          <w:sz w:val="16"/>
        </w:rPr>
        <w:t>152.23  لگیون وف مریت.</w:t>
      </w:r>
    </w:p>
    <w:p>
      <w:pPr>
        <w:spacing w:after="28" w:line="216" w:lineRule="auto"/>
        <w:ind w:left="259"/>
        <w:jc w:val="left"/>
      </w:pPr>
      <w:r>
        <w:rPr>
          <w:rFonts w:ascii="Arial" w:hAnsi="Arial"/>
          <w:color w:val="525252"/>
          <w:sz w:val="13"/>
        </w:rPr>
        <w:t>Legion of Merit.</w:t>
      </w:r>
    </w:p>
    <w:p>
      <w:pPr>
        <w:spacing w:after="20" w:line="223" w:lineRule="auto"/>
        <w:jc w:val="right"/>
        <w:bidi/>
      </w:pPr>
      <w:r>
        <w:rPr>
          <w:rFonts w:ascii="Arial" w:hAnsi="Arial"/>
          <w:sz w:val="16"/>
        </w:rPr>
        <w:t>152.24  لگیون وف مریت به پرسنل نیروهای مسلح ایالات متحده به دلیل رفتار فوق‌العاده شایسته در انجام وظایف برجسته اعطا می‌شود.</w:t>
      </w:r>
    </w:p>
    <w:p>
      <w:pPr>
        <w:spacing w:after="28" w:line="216" w:lineRule="auto"/>
        <w:ind w:left="259"/>
        <w:jc w:val="left"/>
      </w:pPr>
      <w:r>
        <w:rPr>
          <w:rFonts w:ascii="Arial" w:hAnsi="Arial"/>
          <w:color w:val="525252"/>
          <w:sz w:val="13"/>
        </w:rPr>
        <w:t>The Legion of Merit is awarded to U.S. Armed Forces personnel for exceptionally meritorious conduct in performance of outstanding duties.</w:t>
      </w:r>
    </w:p>
    <w:p>
      <w:pPr>
        <w:spacing w:after="20" w:line="223" w:lineRule="auto"/>
        <w:jc w:val="right"/>
        <w:bidi/>
      </w:pPr>
      <w:r>
        <w:rPr>
          <w:rFonts w:ascii="Arial" w:hAnsi="Arial"/>
          <w:sz w:val="16"/>
        </w:rPr>
        <w:t>152.25  وظایف باید بوده باشد</w:t>
      </w:r>
    </w:p>
    <w:p>
      <w:pPr>
        <w:spacing w:after="28" w:line="216" w:lineRule="auto"/>
        <w:ind w:left="259"/>
        <w:jc w:val="left"/>
      </w:pPr>
      <w:r>
        <w:rPr>
          <w:rFonts w:ascii="Arial" w:hAnsi="Arial"/>
          <w:color w:val="525252"/>
          <w:sz w:val="13"/>
        </w:rPr>
        <w:t>Duties must have been</w:t>
      </w:r>
    </w:p>
    <w:p>
      <w:r>
        <w:br w:type="page"/>
      </w:r>
    </w:p>
    <w:p>
      <w:pPr>
        <w:spacing w:after="60"/>
        <w:jc w:val="right"/>
        <w:bidi/>
      </w:pPr>
      <w:r>
        <w:rPr>
          <w:rFonts w:ascii="Arial" w:hAnsi="Arial"/>
          <w:b/>
          <w:color w:val="1F4D78"/>
          <w:sz w:val="19"/>
        </w:rPr>
        <w:t>هفتهٔ 153  |  صفحهٔ منبع: 169</w:t>
      </w:r>
    </w:p>
    <w:p>
      <w:pPr>
        <w:spacing w:after="20" w:line="223" w:lineRule="auto"/>
        <w:jc w:val="right"/>
        <w:bidi/>
      </w:pPr>
      <w:r>
        <w:rPr>
          <w:rFonts w:ascii="Arial" w:hAnsi="Arial"/>
          <w:sz w:val="16"/>
        </w:rPr>
        <w:t>153.01  به روشی کاملا استثنایی انجام شد.</w:t>
      </w:r>
    </w:p>
    <w:p>
      <w:pPr>
        <w:spacing w:after="28" w:line="216" w:lineRule="auto"/>
        <w:ind w:left="259"/>
        <w:jc w:val="left"/>
      </w:pPr>
      <w:r>
        <w:rPr>
          <w:rFonts w:ascii="Arial" w:hAnsi="Arial"/>
          <w:color w:val="525252"/>
          <w:sz w:val="13"/>
        </w:rPr>
        <w:t>performed in a clearly exceptional manner.</w:t>
      </w:r>
    </w:p>
    <w:p>
      <w:pPr>
        <w:spacing w:after="20" w:line="223" w:lineRule="auto"/>
        <w:jc w:val="right"/>
        <w:bidi/>
      </w:pPr>
      <w:r>
        <w:rPr>
          <w:rFonts w:ascii="Arial" w:hAnsi="Arial"/>
          <w:sz w:val="16"/>
        </w:rPr>
        <w:t>153.02  به پرسنل نظامی خارجی ممکن است به دلیل رفتار فوق‌العاده شایسته در انجام خدمات برجسته به ایالات متحده، نشان لگیون وف مریت اعطا شود.</w:t>
      </w:r>
    </w:p>
    <w:p>
      <w:pPr>
        <w:spacing w:after="28" w:line="216" w:lineRule="auto"/>
        <w:ind w:left="259"/>
        <w:jc w:val="left"/>
      </w:pPr>
      <w:r>
        <w:rPr>
          <w:rFonts w:ascii="Arial" w:hAnsi="Arial"/>
          <w:color w:val="525252"/>
          <w:sz w:val="13"/>
        </w:rPr>
        <w:t>Foreign military personnel may be awarded the Legion of Merit for exceptionally meritorious conduct in the performance of outstanding services to the United States.</w:t>
      </w:r>
    </w:p>
    <w:p>
      <w:pPr>
        <w:spacing w:after="20" w:line="223" w:lineRule="auto"/>
        <w:jc w:val="right"/>
        <w:bidi/>
      </w:pPr>
      <w:r>
        <w:rPr>
          <w:rFonts w:ascii="Arial" w:hAnsi="Arial"/>
          <w:sz w:val="16"/>
        </w:rPr>
        <w:t>153.03  صلیب پرنده ممتاز.</w:t>
      </w:r>
    </w:p>
    <w:p>
      <w:pPr>
        <w:spacing w:after="28" w:line="216" w:lineRule="auto"/>
        <w:ind w:left="259"/>
        <w:jc w:val="left"/>
      </w:pPr>
      <w:r>
        <w:rPr>
          <w:rFonts w:ascii="Arial" w:hAnsi="Arial"/>
          <w:color w:val="525252"/>
          <w:sz w:val="13"/>
        </w:rPr>
        <w:t>Distinguished Flying Cross.</w:t>
      </w:r>
    </w:p>
    <w:p>
      <w:pPr>
        <w:spacing w:after="20" w:line="223" w:lineRule="auto"/>
        <w:jc w:val="right"/>
        <w:bidi/>
      </w:pPr>
      <w:r>
        <w:rPr>
          <w:rFonts w:ascii="Arial" w:hAnsi="Arial"/>
          <w:sz w:val="16"/>
        </w:rPr>
        <w:t>153.04  صلیب پرنده ممتاز برای قهرمانی یا موفقیت خارق‌العاده در حین شرکت در پرواز هوایی برای اقداماتی که کاملا متمایز هستند و شامل عملیات‌هایی که معمول نیستند اعطا می‌شود.</w:t>
      </w:r>
    </w:p>
    <w:p>
      <w:pPr>
        <w:spacing w:after="28" w:line="216" w:lineRule="auto"/>
        <w:ind w:left="259"/>
        <w:jc w:val="left"/>
      </w:pPr>
      <w:r>
        <w:rPr>
          <w:rFonts w:ascii="Arial" w:hAnsi="Arial"/>
          <w:color w:val="525252"/>
          <w:sz w:val="13"/>
        </w:rPr>
        <w:t>The Distinguished Flying Cross is awarded for heroism or extraordinary achievement while participating in aerial flight for actions that are entirely distinctive, involving operations that are not routine.</w:t>
      </w:r>
    </w:p>
    <w:p>
      <w:pPr>
        <w:spacing w:after="20" w:line="223" w:lineRule="auto"/>
        <w:jc w:val="right"/>
        <w:bidi/>
      </w:pPr>
      <w:r>
        <w:rPr>
          <w:rFonts w:ascii="Arial" w:hAnsi="Arial"/>
          <w:sz w:val="16"/>
        </w:rPr>
        <w:t>153.05  مدال هواپیمای.</w:t>
      </w:r>
    </w:p>
    <w:p>
      <w:pPr>
        <w:spacing w:after="28" w:line="216" w:lineRule="auto"/>
        <w:ind w:left="259"/>
        <w:jc w:val="left"/>
      </w:pPr>
      <w:r>
        <w:rPr>
          <w:rFonts w:ascii="Arial" w:hAnsi="Arial"/>
          <w:color w:val="525252"/>
          <w:sz w:val="13"/>
        </w:rPr>
        <w:t>Airman’s Medal.</w:t>
      </w:r>
    </w:p>
    <w:p>
      <w:pPr>
        <w:spacing w:after="20" w:line="223" w:lineRule="auto"/>
        <w:jc w:val="right"/>
        <w:bidi/>
      </w:pPr>
      <w:r>
        <w:rPr>
          <w:rFonts w:ascii="Arial" w:hAnsi="Arial"/>
          <w:sz w:val="16"/>
        </w:rPr>
        <w:t>153.06  مدال هوانورد برای قهرمانی شامل خطر داوطلبانه جان در شرایطی غیر از درگیری با دشمن مسلح ایالات متحده اعطا می‌شود.</w:t>
      </w:r>
    </w:p>
    <w:p>
      <w:pPr>
        <w:spacing w:after="28" w:line="216" w:lineRule="auto"/>
        <w:ind w:left="259"/>
        <w:jc w:val="left"/>
      </w:pPr>
      <w:r>
        <w:rPr>
          <w:rFonts w:ascii="Arial" w:hAnsi="Arial"/>
          <w:color w:val="525252"/>
          <w:sz w:val="13"/>
        </w:rPr>
        <w:t>The Airman’s Medal is awarded for heroism involving voluntary risk of life under conditions other than those of conflict with an armed enemy of the United States.</w:t>
      </w:r>
    </w:p>
    <w:p>
      <w:pPr>
        <w:spacing w:after="20" w:line="223" w:lineRule="auto"/>
        <w:jc w:val="right"/>
        <w:bidi/>
      </w:pPr>
      <w:r>
        <w:rPr>
          <w:rFonts w:ascii="Arial" w:hAnsi="Arial"/>
          <w:sz w:val="16"/>
        </w:rPr>
        <w:t>153.07  مدال ستاره برنز.</w:t>
      </w:r>
    </w:p>
    <w:p>
      <w:pPr>
        <w:spacing w:after="28" w:line="216" w:lineRule="auto"/>
        <w:ind w:left="259"/>
        <w:jc w:val="left"/>
      </w:pPr>
      <w:r>
        <w:rPr>
          <w:rFonts w:ascii="Arial" w:hAnsi="Arial"/>
          <w:color w:val="525252"/>
          <w:sz w:val="13"/>
        </w:rPr>
        <w:t>Bronze Star Medal.</w:t>
      </w:r>
    </w:p>
    <w:p>
      <w:pPr>
        <w:spacing w:after="20" w:line="223" w:lineRule="auto"/>
        <w:jc w:val="right"/>
        <w:bidi/>
      </w:pPr>
      <w:r>
        <w:rPr>
          <w:rFonts w:ascii="Arial" w:hAnsi="Arial"/>
          <w:sz w:val="16"/>
        </w:rPr>
        <w:t>153.08  مدال ستاره برنز برای قهرمانی، شجاعت، یا دستاورد یا خدمت شایستگی (غیر از شرکت در پرواز هوایی) در حین انجام عملیات علیه دشمن ایالات متحده، در حال شرکت در عملیات نظامی شامل درگیری با نیروی خارجی مخالف، یا در حین خدمت با نیروهای خارجی متخاصم که درگیر درگیری با نیروهای خارجی متخاصم هستند، اعطا می‌شود. مهمانی</w:t>
      </w:r>
    </w:p>
    <w:p>
      <w:pPr>
        <w:spacing w:after="28" w:line="216" w:lineRule="auto"/>
        <w:ind w:left="259"/>
        <w:jc w:val="left"/>
      </w:pPr>
      <w:r>
        <w:rPr>
          <w:rFonts w:ascii="Arial" w:hAnsi="Arial"/>
          <w:color w:val="525252"/>
          <w:sz w:val="13"/>
        </w:rPr>
        <w:t>The Bronze Star Medal is awarded for heroism, valor, or meritorious achievement or service (not involving participation in aerial flight) while engaged in an action against an enemy of the United States, while engaged in military operations involving conflict with an opposing foreign force, or while serving with friendly foreign forces engaged in an armed conflict against an opposing armed force in which the United States is not a belligerent party.</w:t>
      </w:r>
    </w:p>
    <w:p>
      <w:pPr>
        <w:spacing w:after="20" w:line="223" w:lineRule="auto"/>
        <w:jc w:val="right"/>
        <w:bidi/>
      </w:pPr>
      <w:r>
        <w:rPr>
          <w:rFonts w:ascii="Arial" w:hAnsi="Arial"/>
          <w:sz w:val="16"/>
        </w:rPr>
        <w:t>153.09  مدال ستاره برنز برای شجاعت در مبارزه با درجه کمتری نسبت به اعطای ستاره نقره‌ای یا لژیون لیاقت اعطا می‌شود.</w:t>
      </w:r>
    </w:p>
    <w:p>
      <w:pPr>
        <w:spacing w:after="28" w:line="216" w:lineRule="auto"/>
        <w:ind w:left="259"/>
        <w:jc w:val="left"/>
      </w:pPr>
      <w:r>
        <w:rPr>
          <w:rFonts w:ascii="Arial" w:hAnsi="Arial"/>
          <w:color w:val="525252"/>
          <w:sz w:val="13"/>
        </w:rPr>
        <w:t>The Bronze Star Medal is awarded for valor in combat to a lesser degree than required for award of the Silver Star or the Legion of Merit.</w:t>
      </w:r>
    </w:p>
    <w:p>
      <w:pPr>
        <w:spacing w:after="20" w:line="223" w:lineRule="auto"/>
        <w:jc w:val="right"/>
        <w:bidi/>
      </w:pPr>
      <w:r>
        <w:rPr>
          <w:rFonts w:ascii="Arial" w:hAnsi="Arial"/>
          <w:sz w:val="16"/>
        </w:rPr>
        <w:t>153.10  قلب بنفش.</w:t>
      </w:r>
    </w:p>
    <w:p>
      <w:pPr>
        <w:spacing w:after="28" w:line="216" w:lineRule="auto"/>
        <w:ind w:left="259"/>
        <w:jc w:val="left"/>
      </w:pPr>
      <w:r>
        <w:rPr>
          <w:rFonts w:ascii="Arial" w:hAnsi="Arial"/>
          <w:color w:val="525252"/>
          <w:sz w:val="13"/>
        </w:rPr>
        <w:t>Purple Heart.</w:t>
      </w:r>
    </w:p>
    <w:p>
      <w:pPr>
        <w:spacing w:after="20" w:line="223" w:lineRule="auto"/>
        <w:jc w:val="right"/>
        <w:bidi/>
      </w:pPr>
      <w:r>
        <w:rPr>
          <w:rFonts w:ascii="Arial" w:hAnsi="Arial"/>
          <w:sz w:val="16"/>
        </w:rPr>
        <w:t>153.11  قلب بنفش، همانطور که در شکل ۸.۲ نشان داده شده است، برای جراحات دریافتی یا مرگ پس از مجروح شدن در هر اقدامی علیه دشمن ایالات متحده، در هر اقدامی با نیروی مخالف یک کشور خارجی که نیروهای مسلح ایالات متحده در آن درگیر هستند یا بوده‌اند، در حالی که با نیروهای خارجی متخاصم در حال خدمت در برابر نیروهای خارجی متخاصم در مقابل نیروهای مسلح خارجی درگیر در یک درگیری مسلح هستند، تعلق می‌گیرد. طرف متخاصم، در نتیجه اقدام هر دشمن یا نیروی مسلح مخالف، یا در نتیجه اقدام هر نیروی خارجی متخاصم.</w:t>
      </w:r>
    </w:p>
    <w:p>
      <w:pPr>
        <w:spacing w:after="28" w:line="216" w:lineRule="auto"/>
        <w:ind w:left="259"/>
        <w:jc w:val="left"/>
      </w:pPr>
      <w:r>
        <w:rPr>
          <w:rFonts w:ascii="Arial" w:hAnsi="Arial"/>
          <w:color w:val="525252"/>
          <w:sz w:val="13"/>
        </w:rPr>
        <w:t>The Purple Heart, as shown in Figure 8.2., is awarded for wounds received or death after being wounded in any action against an enemy of the United States, in any action with an opposing force of a foreign country in which the U.S. Armed Forces are or have been engaged, while serving with friendly foreign forces engaged in an armed conflict against an opposing armed force in which the United States is not a belligerent party, as a result of an act of any such enemy or opposing armed force, or as a result of an act of any hostile foreign force.</w:t>
      </w:r>
    </w:p>
    <w:p>
      <w:pPr>
        <w:spacing w:after="20" w:line="223" w:lineRule="auto"/>
        <w:jc w:val="right"/>
        <w:bidi/>
      </w:pPr>
      <w:r>
        <w:rPr>
          <w:rFonts w:ascii="Arial" w:hAnsi="Arial"/>
          <w:sz w:val="16"/>
        </w:rPr>
        <w:t>153.12  قلب بنفش تزیینی است که یک عضو به جای اینکه از طریق توصیه اعطا شود، حق دریافت آن را به دست می‌آورد.</w:t>
      </w:r>
    </w:p>
    <w:p>
      <w:pPr>
        <w:spacing w:after="28" w:line="216" w:lineRule="auto"/>
        <w:ind w:left="259"/>
        <w:jc w:val="left"/>
      </w:pPr>
      <w:r>
        <w:rPr>
          <w:rFonts w:ascii="Arial" w:hAnsi="Arial"/>
          <w:color w:val="525252"/>
          <w:sz w:val="13"/>
        </w:rPr>
        <w:t>The Purple Heart is a decoration that a member earns entitlement to rather than being awarded through recommendation.</w:t>
      </w:r>
    </w:p>
    <w:p>
      <w:pPr>
        <w:spacing w:after="20" w:line="223" w:lineRule="auto"/>
        <w:jc w:val="right"/>
        <w:bidi/>
      </w:pPr>
      <w:r>
        <w:rPr>
          <w:rFonts w:ascii="Arial" w:hAnsi="Arial"/>
          <w:sz w:val="16"/>
        </w:rPr>
        <w:t>153.13  توجه: از ۱۱ سپتامبر ۲۰۰۱، قلب بنفش ممکن است به عضوی از خدمات در حال انجام وظیفه اعطا شود که توسط یک سازمان تروریستی خارجی مورد حمله قرار می‌گیرد که یکی از اعضای نیروهای مسلح ایالات متحده را هدف قرار داده است.</w:t>
      </w:r>
    </w:p>
    <w:p>
      <w:pPr>
        <w:spacing w:after="28" w:line="216" w:lineRule="auto"/>
        <w:ind w:left="259"/>
        <w:jc w:val="left"/>
      </w:pPr>
      <w:r>
        <w:rPr>
          <w:rFonts w:ascii="Arial" w:hAnsi="Arial"/>
          <w:color w:val="525252"/>
          <w:sz w:val="13"/>
        </w:rPr>
        <w:t>Note: Since 11 September 2001, the Purple Heart may be awarded to a service member on active duty who is attacked by a foreign terrorist organization that targeted a member of the U.S. Armed Forces due to such member’s status as</w:t>
      </w:r>
    </w:p>
    <w:p>
      <w:pPr>
        <w:spacing w:before="60" w:after="28"/>
        <w:jc w:val="right"/>
        <w:bidi/>
      </w:pPr>
      <w:r>
        <w:rPr>
          <w:b/>
          <w:color w:val="1F4D78"/>
          <w:sz w:val="18"/>
        </w:rPr>
        <w:t>شکل 8.2.</w:t>
      </w:r>
    </w:p>
    <w:p>
      <w:pPr>
        <w:spacing w:after="20"/>
        <w:ind w:left="259"/>
        <w:jc w:val="left"/>
      </w:pPr>
      <w:r>
        <w:rPr>
          <w:color w:val="555555"/>
          <w:sz w:val="12"/>
        </w:rPr>
        <w:t>Figure 8.2.</w:t>
      </w:r>
    </w:p>
    <w:p>
      <w:pPr>
        <w:spacing w:after="20" w:line="223" w:lineRule="auto"/>
        <w:jc w:val="right"/>
        <w:bidi/>
      </w:pPr>
      <w:r>
        <w:rPr>
          <w:rFonts w:ascii="Arial" w:hAnsi="Arial"/>
          <w:sz w:val="16"/>
        </w:rPr>
        <w:t>153.15  یکی از اعضای نیروهای مسلح، مگر اینکه زخم ناشی از رفتار نادرست قلب ارغوانی عمدی عضو باشد، ممکن است قلب بنفش را دریافت کند.</w:t>
      </w:r>
    </w:p>
    <w:p>
      <w:pPr>
        <w:spacing w:after="28" w:line="216" w:lineRule="auto"/>
        <w:ind w:left="259"/>
        <w:jc w:val="left"/>
      </w:pPr>
      <w:r>
        <w:rPr>
          <w:rFonts w:ascii="Arial" w:hAnsi="Arial"/>
          <w:color w:val="525252"/>
          <w:sz w:val="13"/>
        </w:rPr>
        <w:t>a member of the Armed Forces, unless the wound is the result of willful Purple Heart misconduct of the member, may be awarded the Purple Heart.</w:t>
      </w:r>
    </w:p>
    <w:p>
      <w:pPr>
        <w:spacing w:after="20" w:line="223" w:lineRule="auto"/>
        <w:jc w:val="right"/>
        <w:bidi/>
      </w:pPr>
      <w:r>
        <w:rPr>
          <w:rFonts w:ascii="Arial" w:hAnsi="Arial"/>
          <w:sz w:val="16"/>
        </w:rPr>
        <w:t>153.16  حمله یک فرد یا نهاد در صورتی حمله سازمان تروریستی خارجی تلقی می‌شود که فرد یا نهاد قبل از حمله با سازمان تروریستی خارجی در ارتباط بوده و حمله با الهام یا انگیزه سازمان تروریستی خارجی صورت گرفته باشد.</w:t>
      </w:r>
    </w:p>
    <w:p>
      <w:pPr>
        <w:spacing w:after="28" w:line="216" w:lineRule="auto"/>
        <w:ind w:left="259"/>
        <w:jc w:val="left"/>
      </w:pPr>
      <w:r>
        <w:rPr>
          <w:rFonts w:ascii="Arial" w:hAnsi="Arial"/>
          <w:color w:val="525252"/>
          <w:sz w:val="13"/>
        </w:rPr>
        <w:t>An attack by an individual or entity shall be considered to be a foreign terrorist organization attack if the individual or entity was in communication with the foreign terrorist organization before the attack, and the attack was inspired or motivated by the foreign terrorist organization.</w:t>
      </w:r>
    </w:p>
    <w:p>
      <w:pPr>
        <w:spacing w:after="20" w:line="223" w:lineRule="auto"/>
        <w:jc w:val="right"/>
        <w:bidi/>
      </w:pPr>
      <w:r>
        <w:rPr>
          <w:rFonts w:ascii="Arial" w:hAnsi="Arial"/>
          <w:sz w:val="16"/>
        </w:rPr>
        <w:t>153.17  مدال هوایی.</w:t>
      </w:r>
    </w:p>
    <w:p>
      <w:pPr>
        <w:spacing w:after="28" w:line="216" w:lineRule="auto"/>
        <w:ind w:left="259"/>
        <w:jc w:val="left"/>
      </w:pPr>
      <w:r>
        <w:rPr>
          <w:rFonts w:ascii="Arial" w:hAnsi="Arial"/>
          <w:color w:val="525252"/>
          <w:sz w:val="13"/>
        </w:rPr>
        <w:t>Air Medal.</w:t>
      </w:r>
    </w:p>
    <w:p>
      <w:pPr>
        <w:spacing w:after="20" w:line="223" w:lineRule="auto"/>
        <w:jc w:val="right"/>
        <w:bidi/>
      </w:pPr>
      <w:r>
        <w:rPr>
          <w:rFonts w:ascii="Arial" w:hAnsi="Arial"/>
          <w:sz w:val="16"/>
        </w:rPr>
        <w:t>153.18  مدال هوایی برای قهرمانی یا موفقیت شایستگی هنگام شرکت در پرواز هوایی اعطا می‌شود.</w:t>
      </w:r>
    </w:p>
    <w:p>
      <w:pPr>
        <w:spacing w:after="28" w:line="216" w:lineRule="auto"/>
        <w:ind w:left="259"/>
        <w:jc w:val="left"/>
      </w:pPr>
      <w:r>
        <w:rPr>
          <w:rFonts w:ascii="Arial" w:hAnsi="Arial"/>
          <w:color w:val="525252"/>
          <w:sz w:val="13"/>
        </w:rPr>
        <w:t>The Air Medal is awarded for heroism or meritorious achievement while participating in aerial flight.</w:t>
      </w:r>
    </w:p>
    <w:p>
      <w:pPr>
        <w:spacing w:after="20" w:line="223" w:lineRule="auto"/>
        <w:jc w:val="right"/>
        <w:bidi/>
      </w:pPr>
      <w:r>
        <w:rPr>
          <w:rFonts w:ascii="Arial" w:hAnsi="Arial"/>
          <w:sz w:val="16"/>
        </w:rPr>
        <w:t>153.19  مدال هوایی به اقداماتی اعطا می‌شود که با تمایز بالاتر و فراتر از آنچه از هوانوردان حرفه‌ای انتظار می‌رود انجام شده باشند، اما نه از آن جایزه تضمین‌کننده صلیب پرنده ممتاز.</w:t>
      </w:r>
    </w:p>
    <w:p>
      <w:pPr>
        <w:spacing w:after="28" w:line="216" w:lineRule="auto"/>
        <w:ind w:left="259"/>
        <w:jc w:val="left"/>
      </w:pPr>
      <w:r>
        <w:rPr>
          <w:rFonts w:ascii="Arial" w:hAnsi="Arial"/>
          <w:color w:val="525252"/>
          <w:sz w:val="13"/>
        </w:rPr>
        <w:t>The Air Medal is awarded to acts accomplished with distinction above and beyond that expected of professional Airmen, but not of that warranting award of the Distinguished Flying Cross.</w:t>
      </w:r>
    </w:p>
    <w:p>
      <w:pPr>
        <w:spacing w:after="20" w:line="223" w:lineRule="auto"/>
        <w:jc w:val="right"/>
        <w:bidi/>
      </w:pPr>
      <w:r>
        <w:rPr>
          <w:rFonts w:ascii="Arial" w:hAnsi="Arial"/>
          <w:sz w:val="16"/>
        </w:rPr>
        <w:t>153.20  مدال دستاورد هوایی.</w:t>
      </w:r>
    </w:p>
    <w:p>
      <w:pPr>
        <w:spacing w:after="28" w:line="216" w:lineRule="auto"/>
        <w:ind w:left="259"/>
        <w:jc w:val="left"/>
      </w:pPr>
      <w:r>
        <w:rPr>
          <w:rFonts w:ascii="Arial" w:hAnsi="Arial"/>
          <w:color w:val="525252"/>
          <w:sz w:val="13"/>
        </w:rPr>
        <w:t>Aerial Achievement Medal.</w:t>
      </w:r>
    </w:p>
    <w:p>
      <w:pPr>
        <w:spacing w:after="20" w:line="223" w:lineRule="auto"/>
        <w:jc w:val="right"/>
        <w:bidi/>
      </w:pPr>
      <w:r>
        <w:rPr>
          <w:rFonts w:ascii="Arial" w:hAnsi="Arial"/>
          <w:sz w:val="16"/>
        </w:rPr>
        <w:t>153.21  مدال دستاورد هوایی برای دستاوردهای شایسته پایدار در حین شرکت در پرواز هوایی اعطا می‌شود.</w:t>
      </w:r>
    </w:p>
    <w:p>
      <w:pPr>
        <w:spacing w:after="28" w:line="216" w:lineRule="auto"/>
        <w:ind w:left="259"/>
        <w:jc w:val="left"/>
      </w:pPr>
      <w:r>
        <w:rPr>
          <w:rFonts w:ascii="Arial" w:hAnsi="Arial"/>
          <w:color w:val="525252"/>
          <w:sz w:val="13"/>
        </w:rPr>
        <w:t>The Aerial Achievement Medal is awarded for sustained meritorious achievement while participating in aerial flight.</w:t>
      </w:r>
    </w:p>
    <w:p>
      <w:pPr>
        <w:spacing w:after="20" w:line="223" w:lineRule="auto"/>
        <w:jc w:val="right"/>
        <w:bidi/>
      </w:pPr>
      <w:r>
        <w:rPr>
          <w:rFonts w:ascii="Arial" w:hAnsi="Arial"/>
          <w:sz w:val="16"/>
        </w:rPr>
        <w:t>153.22  مدال خدمات شایسته.</w:t>
      </w:r>
    </w:p>
    <w:p>
      <w:pPr>
        <w:spacing w:after="28" w:line="216" w:lineRule="auto"/>
        <w:ind w:left="259"/>
        <w:jc w:val="left"/>
      </w:pPr>
      <w:r>
        <w:rPr>
          <w:rFonts w:ascii="Arial" w:hAnsi="Arial"/>
          <w:color w:val="525252"/>
          <w:sz w:val="13"/>
        </w:rPr>
        <w:t>Meritorious Service Medal.</w:t>
      </w:r>
    </w:p>
    <w:p>
      <w:pPr>
        <w:spacing w:after="20" w:line="223" w:lineRule="auto"/>
        <w:jc w:val="right"/>
        <w:bidi/>
      </w:pPr>
      <w:r>
        <w:rPr>
          <w:rFonts w:ascii="Arial" w:hAnsi="Arial"/>
          <w:sz w:val="16"/>
        </w:rPr>
        <w:t>153.23  مدال خدمات شایستگی برای دستاوردهای شایسته برجسته اعطا می‌شود.</w:t>
      </w:r>
    </w:p>
    <w:p>
      <w:pPr>
        <w:spacing w:after="28" w:line="216" w:lineRule="auto"/>
        <w:ind w:left="259"/>
        <w:jc w:val="left"/>
      </w:pPr>
      <w:r>
        <w:rPr>
          <w:rFonts w:ascii="Arial" w:hAnsi="Arial"/>
          <w:color w:val="525252"/>
          <w:sz w:val="13"/>
        </w:rPr>
        <w:t>The Meritorious Service Medal is awarded for outstanding meritorious achievement.</w:t>
      </w:r>
    </w:p>
    <w:p>
      <w:pPr>
        <w:spacing w:after="20" w:line="223" w:lineRule="auto"/>
        <w:jc w:val="right"/>
        <w:bidi/>
      </w:pPr>
      <w:r>
        <w:rPr>
          <w:rFonts w:ascii="Arial" w:hAnsi="Arial"/>
          <w:sz w:val="16"/>
        </w:rPr>
        <w:t>153.24  مدال تقدیر هوا و فضا.</w:t>
      </w:r>
    </w:p>
    <w:p>
      <w:pPr>
        <w:spacing w:after="28" w:line="216" w:lineRule="auto"/>
        <w:ind w:left="259"/>
        <w:jc w:val="left"/>
      </w:pPr>
      <w:r>
        <w:rPr>
          <w:rFonts w:ascii="Arial" w:hAnsi="Arial"/>
          <w:color w:val="525252"/>
          <w:sz w:val="13"/>
        </w:rPr>
        <w:t>Air and Space Commendation Medal.</w:t>
      </w:r>
    </w:p>
    <w:p>
      <w:pPr>
        <w:spacing w:after="20" w:line="223" w:lineRule="auto"/>
        <w:jc w:val="right"/>
        <w:bidi/>
      </w:pPr>
      <w:r>
        <w:rPr>
          <w:rFonts w:ascii="Arial" w:hAnsi="Arial"/>
          <w:sz w:val="16"/>
        </w:rPr>
        <w:t>153.25  مدال تقدیر از هوا و فضا برای دستاوردها و خدمات شایستگی متمایز اعطا می‌شود.</w:t>
      </w:r>
    </w:p>
    <w:p>
      <w:pPr>
        <w:spacing w:after="28" w:line="216" w:lineRule="auto"/>
        <w:ind w:left="259"/>
        <w:jc w:val="left"/>
      </w:pPr>
      <w:r>
        <w:rPr>
          <w:rFonts w:ascii="Arial" w:hAnsi="Arial"/>
          <w:color w:val="525252"/>
          <w:sz w:val="13"/>
        </w:rPr>
        <w:t>The Air and Space Commendation medal is awarded for distinctive meritorious achievement and service.</w:t>
      </w:r>
    </w:p>
    <w:p>
      <w:pPr>
        <w:spacing w:after="20" w:line="223" w:lineRule="auto"/>
        <w:jc w:val="right"/>
        <w:bidi/>
      </w:pPr>
      <w:r>
        <w:rPr>
          <w:rFonts w:ascii="Arial" w:hAnsi="Arial"/>
          <w:sz w:val="16"/>
        </w:rPr>
        <w:t>153.26  مدال دستاورد هوا و فضا.</w:t>
      </w:r>
    </w:p>
    <w:p>
      <w:pPr>
        <w:spacing w:after="28" w:line="216" w:lineRule="auto"/>
        <w:ind w:left="259"/>
        <w:jc w:val="left"/>
      </w:pPr>
      <w:r>
        <w:rPr>
          <w:rFonts w:ascii="Arial" w:hAnsi="Arial"/>
          <w:color w:val="525252"/>
          <w:sz w:val="13"/>
        </w:rPr>
        <w:t>Air and Space Achievement Medal.</w:t>
      </w:r>
    </w:p>
    <w:p>
      <w:pPr>
        <w:spacing w:after="20" w:line="223" w:lineRule="auto"/>
        <w:jc w:val="right"/>
        <w:bidi/>
      </w:pPr>
      <w:r>
        <w:rPr>
          <w:rFonts w:ascii="Arial" w:hAnsi="Arial"/>
          <w:sz w:val="16"/>
        </w:rPr>
        <w:t>153.27  مدال دستاورد هوا و فضا برای دستاورد برجسته یا خدمات شایسته اعطا می‌شود.</w:t>
      </w:r>
    </w:p>
    <w:p>
      <w:pPr>
        <w:spacing w:after="28" w:line="216" w:lineRule="auto"/>
        <w:ind w:left="259"/>
        <w:jc w:val="left"/>
      </w:pPr>
      <w:r>
        <w:rPr>
          <w:rFonts w:ascii="Arial" w:hAnsi="Arial"/>
          <w:color w:val="525252"/>
          <w:sz w:val="13"/>
        </w:rPr>
        <w:t>The Air and Space Achievement Medal is awarded for outstanding achievement or meritorious service.</w:t>
      </w:r>
    </w:p>
    <w:p>
      <w:r>
        <w:br w:type="page"/>
      </w:r>
    </w:p>
    <w:p>
      <w:pPr>
        <w:spacing w:after="60"/>
        <w:jc w:val="right"/>
        <w:bidi/>
      </w:pPr>
      <w:r>
        <w:rPr>
          <w:rFonts w:ascii="Arial" w:hAnsi="Arial"/>
          <w:b/>
          <w:color w:val="1F4D78"/>
          <w:sz w:val="19"/>
        </w:rPr>
        <w:t>هفتهٔ 154  |  صفحهٔ منبع: 170</w:t>
      </w:r>
    </w:p>
    <w:p>
      <w:pPr>
        <w:spacing w:before="60" w:after="28"/>
        <w:jc w:val="right"/>
        <w:bidi/>
      </w:pPr>
      <w:r>
        <w:rPr>
          <w:b/>
          <w:color w:val="1F4D78"/>
          <w:sz w:val="18"/>
        </w:rPr>
        <w:t>8.23. جوایز و جوایز ویژه</w:t>
      </w:r>
    </w:p>
    <w:p>
      <w:pPr>
        <w:spacing w:after="20"/>
        <w:ind w:left="259"/>
        <w:jc w:val="left"/>
      </w:pPr>
      <w:r>
        <w:rPr>
          <w:color w:val="555555"/>
          <w:sz w:val="12"/>
        </w:rPr>
        <w:t>8.23. Special Trophies and Awards</w:t>
      </w:r>
    </w:p>
    <w:p>
      <w:pPr>
        <w:spacing w:after="20" w:line="223" w:lineRule="auto"/>
        <w:jc w:val="right"/>
        <w:bidi/>
      </w:pPr>
      <w:r>
        <w:rPr>
          <w:rFonts w:ascii="Arial" w:hAnsi="Arial"/>
          <w:sz w:val="16"/>
        </w:rPr>
        <w:t>154.02  USAF از جوایز و برنامه‌های مختلف ویژه حمایت می‌کند.</w:t>
      </w:r>
    </w:p>
    <w:p>
      <w:pPr>
        <w:spacing w:after="28" w:line="216" w:lineRule="auto"/>
        <w:ind w:left="259"/>
        <w:jc w:val="left"/>
      </w:pPr>
      <w:r>
        <w:rPr>
          <w:rFonts w:ascii="Arial" w:hAnsi="Arial"/>
          <w:color w:val="525252"/>
          <w:sz w:val="13"/>
        </w:rPr>
        <w:t>The USAF sponsors various special trophies and awards programs.</w:t>
      </w:r>
    </w:p>
    <w:p>
      <w:pPr>
        <w:spacing w:after="20" w:line="223" w:lineRule="auto"/>
        <w:jc w:val="right"/>
        <w:bidi/>
      </w:pPr>
      <w:r>
        <w:rPr>
          <w:rFonts w:ascii="Arial" w:hAnsi="Arial"/>
          <w:sz w:val="16"/>
        </w:rPr>
        <w:t>154.03  غنائم و جوایز ویژه از این نظر منحصر به فرد هستند که فرماندهان فرماندهان اصلی، آژانس‌های عملیات میدانی و واحدهای گزارش‌دهی مستقیم باید افرادی را برای رقابت برای این جوایز معرفی کنند.</w:t>
      </w:r>
    </w:p>
    <w:p>
      <w:pPr>
        <w:spacing w:after="28" w:line="216" w:lineRule="auto"/>
        <w:ind w:left="259"/>
        <w:jc w:val="left"/>
      </w:pPr>
      <w:r>
        <w:rPr>
          <w:rFonts w:ascii="Arial" w:hAnsi="Arial"/>
          <w:color w:val="525252"/>
          <w:sz w:val="13"/>
        </w:rPr>
        <w:t>Special trophies and awards are unique in that the commanders of major commands, field operating agencies, and direct reporting units must nominate individuals to compete for these awards.</w:t>
      </w:r>
    </w:p>
    <w:p>
      <w:pPr>
        <w:spacing w:after="20" w:line="223" w:lineRule="auto"/>
        <w:jc w:val="right"/>
        <w:bidi/>
      </w:pPr>
      <w:r>
        <w:rPr>
          <w:rFonts w:ascii="Arial" w:hAnsi="Arial"/>
          <w:sz w:val="16"/>
        </w:rPr>
        <w:t>154.04  در بیشتر موارد، فرماندهان سالانه نامزدهای خود را ارسال می‌کنند.</w:t>
      </w:r>
    </w:p>
    <w:p>
      <w:pPr>
        <w:spacing w:after="28" w:line="216" w:lineRule="auto"/>
        <w:ind w:left="259"/>
        <w:jc w:val="left"/>
      </w:pPr>
      <w:r>
        <w:rPr>
          <w:rFonts w:ascii="Arial" w:hAnsi="Arial"/>
          <w:color w:val="525252"/>
          <w:sz w:val="13"/>
        </w:rPr>
        <w:t>In most cases, commanders submit nominations annually.</w:t>
      </w:r>
    </w:p>
    <w:p>
      <w:pPr>
        <w:spacing w:after="20" w:line="223" w:lineRule="auto"/>
        <w:jc w:val="right"/>
        <w:bidi/>
      </w:pPr>
      <w:r>
        <w:rPr>
          <w:rFonts w:ascii="Arial" w:hAnsi="Arial"/>
          <w:sz w:val="16"/>
        </w:rPr>
        <w:t>154.05  رقابت بین نامزدها شدید است.</w:t>
      </w:r>
    </w:p>
    <w:p>
      <w:pPr>
        <w:spacing w:after="28" w:line="216" w:lineRule="auto"/>
        <w:ind w:left="259"/>
        <w:jc w:val="left"/>
      </w:pPr>
      <w:r>
        <w:rPr>
          <w:rFonts w:ascii="Arial" w:hAnsi="Arial"/>
          <w:color w:val="525252"/>
          <w:sz w:val="13"/>
        </w:rPr>
        <w:t>The competition among the nominees is keen.</w:t>
      </w:r>
    </w:p>
    <w:p>
      <w:pPr>
        <w:spacing w:after="20" w:line="223" w:lineRule="auto"/>
        <w:jc w:val="right"/>
        <w:bidi/>
      </w:pPr>
      <w:r>
        <w:rPr>
          <w:rFonts w:ascii="Arial" w:hAnsi="Arial"/>
          <w:sz w:val="16"/>
        </w:rPr>
        <w:t>154.06  نامزدی فرمانده به تنهایی به‌عنوان یک شناخت معنادار عمل می‌کند زیرا نامزدی فرد را در رقابت با بهترین‌ها در USAF یا کشور قرار می‌دهد.</w:t>
      </w:r>
    </w:p>
    <w:p>
      <w:pPr>
        <w:spacing w:after="28" w:line="216" w:lineRule="auto"/>
        <w:ind w:left="259"/>
        <w:jc w:val="left"/>
      </w:pPr>
      <w:r>
        <w:rPr>
          <w:rFonts w:ascii="Arial" w:hAnsi="Arial"/>
          <w:color w:val="525252"/>
          <w:sz w:val="13"/>
        </w:rPr>
        <w:t>The commander’s nomination alone serves as a meaningful recognition because nomination places the individual in competition with the best in the USAF or the nation.</w:t>
      </w:r>
    </w:p>
    <w:p>
      <w:pPr>
        <w:spacing w:after="20" w:line="223" w:lineRule="auto"/>
        <w:jc w:val="right"/>
        <w:bidi/>
      </w:pPr>
      <w:r>
        <w:rPr>
          <w:rFonts w:ascii="Arial" w:hAnsi="Arial"/>
          <w:sz w:val="16"/>
        </w:rPr>
        <w:t>154.07  دو نمونه از جوایز و جوایز ویژه عبارتند از: جایزه ۱۲ هوانورد برجسته سال و جایزه لانک پ. سیجان.</w:t>
      </w:r>
    </w:p>
    <w:p>
      <w:pPr>
        <w:spacing w:after="28" w:line="216" w:lineRule="auto"/>
        <w:ind w:left="259"/>
        <w:jc w:val="left"/>
      </w:pPr>
      <w:r>
        <w:rPr>
          <w:rFonts w:ascii="Arial" w:hAnsi="Arial"/>
          <w:color w:val="525252"/>
          <w:sz w:val="13"/>
        </w:rPr>
        <w:t>Two examples of special trophies and awards are the 12 Outstanding Airmen of the Year Award and the Lance P. Sijan Award.</w:t>
      </w:r>
    </w:p>
    <w:p>
      <w:pPr>
        <w:spacing w:after="20" w:line="223" w:lineRule="auto"/>
        <w:jc w:val="right"/>
        <w:bidi/>
      </w:pPr>
      <w:r>
        <w:rPr>
          <w:rFonts w:ascii="Arial" w:hAnsi="Arial"/>
          <w:sz w:val="16"/>
        </w:rPr>
        <w:t>154.08  DAFMAN ۳۶- ۲۸۰۶، جوایز مختلف و برنامه‌های جوایز ویژه را فهرست می‌کند.</w:t>
      </w:r>
    </w:p>
    <w:p>
      <w:pPr>
        <w:spacing w:after="28" w:line="216" w:lineRule="auto"/>
        <w:ind w:left="259"/>
        <w:jc w:val="left"/>
      </w:pPr>
      <w:r>
        <w:rPr>
          <w:rFonts w:ascii="Arial" w:hAnsi="Arial"/>
          <w:color w:val="525252"/>
          <w:sz w:val="13"/>
        </w:rPr>
        <w:t>DAFMAN 36- 2806, lists various special trophies and awards programs.</w:t>
      </w:r>
    </w:p>
    <w:p>
      <w:pPr>
        <w:spacing w:before="60" w:after="28"/>
        <w:jc w:val="right"/>
        <w:bidi/>
      </w:pPr>
      <w:r>
        <w:rPr>
          <w:b/>
          <w:color w:val="1F4D78"/>
          <w:sz w:val="18"/>
        </w:rPr>
        <w:t>8.24. تزئینات خارجی، جوایز واحد، و جوایز خدمات و کمپین</w:t>
      </w:r>
    </w:p>
    <w:p>
      <w:pPr>
        <w:spacing w:after="20"/>
        <w:ind w:left="259"/>
        <w:jc w:val="left"/>
      </w:pPr>
      <w:r>
        <w:rPr>
          <w:color w:val="555555"/>
          <w:sz w:val="12"/>
        </w:rPr>
        <w:t>8.24. Foreign Decorations, Unit Awards, and Service and Campaign Awards</w:t>
      </w:r>
    </w:p>
    <w:p>
      <w:pPr>
        <w:spacing w:after="20" w:line="223" w:lineRule="auto"/>
        <w:jc w:val="right"/>
        <w:bidi/>
      </w:pPr>
      <w:r>
        <w:rPr>
          <w:rFonts w:ascii="Arial" w:hAnsi="Arial"/>
          <w:sz w:val="16"/>
        </w:rPr>
        <w:t>154.10  DAF گواهی، مدال، روبان، نشان، دستگاه و نشان اعطایی توسط دولت‌های خارجی صادر نمی‌کند.</w:t>
      </w:r>
    </w:p>
    <w:p>
      <w:pPr>
        <w:spacing w:after="28" w:line="216" w:lineRule="auto"/>
        <w:ind w:left="259"/>
        <w:jc w:val="left"/>
      </w:pPr>
      <w:r>
        <w:rPr>
          <w:rFonts w:ascii="Arial" w:hAnsi="Arial"/>
          <w:color w:val="525252"/>
          <w:sz w:val="13"/>
        </w:rPr>
        <w:t>The DAF does not issue certificates, medals, ribbons, emblems, devices, and badges awarded by foreign governments.</w:t>
      </w:r>
    </w:p>
    <w:p>
      <w:pPr>
        <w:spacing w:after="20" w:line="223" w:lineRule="auto"/>
        <w:jc w:val="right"/>
        <w:bidi/>
      </w:pPr>
      <w:r>
        <w:rPr>
          <w:rFonts w:ascii="Arial" w:hAnsi="Arial"/>
          <w:sz w:val="16"/>
        </w:rPr>
        <w:t>154.11  این موارد ممکن است با هزینه شخص به صورت تجاری در دسترس باشند.</w:t>
      </w:r>
    </w:p>
    <w:p>
      <w:pPr>
        <w:spacing w:after="28" w:line="216" w:lineRule="auto"/>
        <w:ind w:left="259"/>
        <w:jc w:val="left"/>
      </w:pPr>
      <w:r>
        <w:rPr>
          <w:rFonts w:ascii="Arial" w:hAnsi="Arial"/>
          <w:color w:val="525252"/>
          <w:sz w:val="13"/>
        </w:rPr>
        <w:t>These items may be available commercially at the individual’s expense.</w:t>
      </w:r>
    </w:p>
    <w:p>
      <w:pPr>
        <w:spacing w:after="20" w:line="223" w:lineRule="auto"/>
        <w:jc w:val="right"/>
        <w:bidi/>
      </w:pPr>
      <w:r>
        <w:rPr>
          <w:rFonts w:ascii="Arial" w:hAnsi="Arial"/>
          <w:sz w:val="16"/>
        </w:rPr>
        <w:t>154.12  DAFMAN ۳۶-۲۸۰۶ راهنمایی‌های بیشتری را برای پذیرش تزئینات خارجی، جوایز واحد، و جوایز خدمات و کمپین ارائه می‌دهد.</w:t>
      </w:r>
    </w:p>
    <w:p>
      <w:pPr>
        <w:spacing w:after="28" w:line="216" w:lineRule="auto"/>
        <w:ind w:left="259"/>
        <w:jc w:val="left"/>
      </w:pPr>
      <w:r>
        <w:rPr>
          <w:rFonts w:ascii="Arial" w:hAnsi="Arial"/>
          <w:color w:val="525252"/>
          <w:sz w:val="13"/>
        </w:rPr>
        <w:t>DAFMAN 36-2806 provides additional guidance for accepting foreign decorations, unit awards, and service and campaign awards.</w:t>
      </w:r>
    </w:p>
    <w:p>
      <w:pPr>
        <w:spacing w:after="20" w:line="223" w:lineRule="auto"/>
        <w:jc w:val="right"/>
        <w:bidi/>
      </w:pPr>
      <w:r>
        <w:rPr>
          <w:rFonts w:ascii="Arial" w:hAnsi="Arial"/>
          <w:sz w:val="16"/>
        </w:rPr>
        <w:t>154.13  تزیینات خارجی.</w:t>
      </w:r>
    </w:p>
    <w:p>
      <w:pPr>
        <w:spacing w:after="28" w:line="216" w:lineRule="auto"/>
        <w:ind w:left="259"/>
        <w:jc w:val="left"/>
      </w:pPr>
      <w:r>
        <w:rPr>
          <w:rFonts w:ascii="Arial" w:hAnsi="Arial"/>
          <w:color w:val="525252"/>
          <w:sz w:val="13"/>
        </w:rPr>
        <w:t>Foreign Decorations.</w:t>
      </w:r>
    </w:p>
    <w:p>
      <w:pPr>
        <w:spacing w:after="20" w:line="223" w:lineRule="auto"/>
        <w:jc w:val="right"/>
        <w:bidi/>
      </w:pPr>
      <w:r>
        <w:rPr>
          <w:rFonts w:ascii="Arial" w:hAnsi="Arial"/>
          <w:sz w:val="16"/>
        </w:rPr>
        <w:t>154.14  اهدای جوایز از سوی دولت‌های خارجی فقط به‌خاطر قدردانی از خدمات رزمی یا عملکرد برجسته یا غیرعادی شایسته پذیرفته می‌شود.</w:t>
      </w:r>
    </w:p>
    <w:p>
      <w:pPr>
        <w:spacing w:after="28" w:line="216" w:lineRule="auto"/>
        <w:ind w:left="259"/>
        <w:jc w:val="left"/>
      </w:pPr>
      <w:r>
        <w:rPr>
          <w:rFonts w:ascii="Arial" w:hAnsi="Arial"/>
          <w:color w:val="525252"/>
          <w:sz w:val="13"/>
        </w:rPr>
        <w:t>Decorations from foreign governments may be accepted only in recognition of combat service or for outstanding or unusually meritorious performance.</w:t>
      </w:r>
    </w:p>
    <w:p>
      <w:pPr>
        <w:spacing w:after="20" w:line="223" w:lineRule="auto"/>
        <w:jc w:val="right"/>
        <w:bidi/>
      </w:pPr>
      <w:r>
        <w:rPr>
          <w:rFonts w:ascii="Arial" w:hAnsi="Arial"/>
          <w:sz w:val="16"/>
        </w:rPr>
        <w:t>154.15  جوایز واحد خارجی.</w:t>
      </w:r>
    </w:p>
    <w:p>
      <w:pPr>
        <w:spacing w:after="28" w:line="216" w:lineRule="auto"/>
        <w:ind w:left="259"/>
        <w:jc w:val="left"/>
      </w:pPr>
      <w:r>
        <w:rPr>
          <w:rFonts w:ascii="Arial" w:hAnsi="Arial"/>
          <w:color w:val="525252"/>
          <w:sz w:val="13"/>
        </w:rPr>
        <w:t>Foreign Unit Awards.</w:t>
      </w:r>
    </w:p>
    <w:p>
      <w:pPr>
        <w:spacing w:after="20" w:line="223" w:lineRule="auto"/>
        <w:jc w:val="right"/>
        <w:bidi/>
      </w:pPr>
      <w:r>
        <w:rPr>
          <w:rFonts w:ascii="Arial" w:hAnsi="Arial"/>
          <w:sz w:val="16"/>
        </w:rPr>
        <w:t>154.16  جوایز واحد خارجی تنها پس از پذیرش رسمی جایزه توسط وزارت دفاع مجاز است.</w:t>
      </w:r>
    </w:p>
    <w:p>
      <w:pPr>
        <w:spacing w:after="28" w:line="216" w:lineRule="auto"/>
        <w:ind w:left="259"/>
        <w:jc w:val="left"/>
      </w:pPr>
      <w:r>
        <w:rPr>
          <w:rFonts w:ascii="Arial" w:hAnsi="Arial"/>
          <w:color w:val="525252"/>
          <w:sz w:val="13"/>
        </w:rPr>
        <w:t>Foreign unit awards are only authorized after the award has been officially accepted by Department of Defense.</w:t>
      </w:r>
    </w:p>
    <w:p>
      <w:pPr>
        <w:spacing w:after="20" w:line="223" w:lineRule="auto"/>
        <w:jc w:val="right"/>
        <w:bidi/>
      </w:pPr>
      <w:r>
        <w:rPr>
          <w:rFonts w:ascii="Arial" w:hAnsi="Arial"/>
          <w:sz w:val="16"/>
        </w:rPr>
        <w:t>154.17  جوایز خدمات خارجی و کمپین.</w:t>
      </w:r>
    </w:p>
    <w:p>
      <w:pPr>
        <w:spacing w:after="28" w:line="216" w:lineRule="auto"/>
        <w:ind w:left="259"/>
        <w:jc w:val="left"/>
      </w:pPr>
      <w:r>
        <w:rPr>
          <w:rFonts w:ascii="Arial" w:hAnsi="Arial"/>
          <w:color w:val="525252"/>
          <w:sz w:val="13"/>
        </w:rPr>
        <w:t>Foreign Service and Campaign Awards.</w:t>
      </w:r>
    </w:p>
    <w:p>
      <w:pPr>
        <w:spacing w:after="20" w:line="223" w:lineRule="auto"/>
        <w:jc w:val="right"/>
        <w:bidi/>
      </w:pPr>
      <w:r>
        <w:rPr>
          <w:rFonts w:ascii="Arial" w:hAnsi="Arial"/>
          <w:sz w:val="16"/>
        </w:rPr>
        <w:t>154.18  چندین جایزه کمپین و خدمات خارجی، از جمله جوایز سازمان پیمان آتلانتیک شمالی، به‌عنوان قدردانی از یک مقام دولتی خارجی برای خدمات رزمی فعال یا عملکرد برجسته یا غیرعادی شایسته وجود دارد.</w:t>
      </w:r>
    </w:p>
    <w:p>
      <w:pPr>
        <w:spacing w:after="28" w:line="216" w:lineRule="auto"/>
        <w:ind w:left="259"/>
        <w:jc w:val="left"/>
      </w:pPr>
      <w:r>
        <w:rPr>
          <w:rFonts w:ascii="Arial" w:hAnsi="Arial"/>
          <w:color w:val="525252"/>
          <w:sz w:val="13"/>
        </w:rPr>
        <w:t>Several foreign campaign and service awards, to include North Atlantic Treaty Organization awards, exist as recognition from a foreign governmental authority for active combat service or outstanding or unusually meritorious performance.</w:t>
      </w:r>
    </w:p>
    <w:p>
      <w:pPr>
        <w:spacing w:after="20" w:line="223" w:lineRule="auto"/>
        <w:jc w:val="right"/>
        <w:bidi/>
      </w:pPr>
      <w:r>
        <w:rPr>
          <w:rFonts w:ascii="Arial" w:hAnsi="Arial"/>
          <w:sz w:val="16"/>
        </w:rPr>
        <w:t>154.19  جوایز کمپین و خدمات خارجی فقط پس از پذیرش رسمی جایزه توسط وزارت دفاع مجاز است.</w:t>
      </w:r>
    </w:p>
    <w:p>
      <w:pPr>
        <w:spacing w:after="28" w:line="216" w:lineRule="auto"/>
        <w:ind w:left="259"/>
        <w:jc w:val="left"/>
      </w:pPr>
      <w:r>
        <w:rPr>
          <w:rFonts w:ascii="Arial" w:hAnsi="Arial"/>
          <w:color w:val="525252"/>
          <w:sz w:val="13"/>
        </w:rPr>
        <w:t>Foreign campaign and service awards are only authorized after the award has been officially accepted by Department of Defense.</w:t>
      </w:r>
    </w:p>
    <w:p>
      <w:pPr>
        <w:spacing w:before="60" w:after="28"/>
        <w:jc w:val="right"/>
        <w:bidi/>
      </w:pPr>
      <w:r>
        <w:rPr>
          <w:b/>
          <w:color w:val="1F4D78"/>
          <w:sz w:val="18"/>
        </w:rPr>
        <w:t>8.25. جوایز غیر نظامی</w:t>
      </w:r>
    </w:p>
    <w:p>
      <w:pPr>
        <w:spacing w:after="20"/>
        <w:ind w:left="259"/>
        <w:jc w:val="left"/>
      </w:pPr>
      <w:r>
        <w:rPr>
          <w:color w:val="555555"/>
          <w:sz w:val="12"/>
        </w:rPr>
        <w:t>8.25. Non-Military Awards</w:t>
      </w:r>
    </w:p>
    <w:p>
      <w:pPr>
        <w:spacing w:after="20" w:line="223" w:lineRule="auto"/>
        <w:jc w:val="right"/>
        <w:bidi/>
      </w:pPr>
      <w:r>
        <w:rPr>
          <w:rFonts w:ascii="Arial" w:hAnsi="Arial"/>
          <w:sz w:val="16"/>
        </w:rPr>
        <w:t>154.21  جوایز غیرنظامی ممکن است شامل گواهی، نشان، یا جایزه برای قدردانی از مرگ، جراحت، عملکرد استثنایی، یا خدمات عمومی شایسته اعطا شده توسط یک نهاد غیرفدرال باشد.</w:t>
      </w:r>
    </w:p>
    <w:p>
      <w:pPr>
        <w:spacing w:after="28" w:line="216" w:lineRule="auto"/>
        <w:ind w:left="259"/>
        <w:jc w:val="left"/>
      </w:pPr>
      <w:r>
        <w:rPr>
          <w:rFonts w:ascii="Arial" w:hAnsi="Arial"/>
          <w:color w:val="525252"/>
          <w:sz w:val="13"/>
        </w:rPr>
        <w:t>Non-military awards may consist of a certificate, decoration, or award in recognition of death, injury, exceptional performance, or meritorious public service awarded by a non-Federal entity.</w:t>
      </w:r>
    </w:p>
    <w:p>
      <w:pPr>
        <w:spacing w:after="20" w:line="223" w:lineRule="auto"/>
        <w:jc w:val="right"/>
        <w:bidi/>
      </w:pPr>
      <w:r>
        <w:rPr>
          <w:rFonts w:ascii="Arial" w:hAnsi="Arial"/>
          <w:sz w:val="16"/>
        </w:rPr>
        <w:t>154.22  جوایز و تزیینات غیرنظامی فقط پس از دریافت تأییدیه از یک مقام تأیید رسمی قابل پذیرش است.</w:t>
      </w:r>
    </w:p>
    <w:p>
      <w:pPr>
        <w:spacing w:after="28" w:line="216" w:lineRule="auto"/>
        <w:ind w:left="259"/>
        <w:jc w:val="left"/>
      </w:pPr>
      <w:r>
        <w:rPr>
          <w:rFonts w:ascii="Arial" w:hAnsi="Arial"/>
          <w:color w:val="525252"/>
          <w:sz w:val="13"/>
        </w:rPr>
        <w:t>Non-military awards and decorations may only be accepted after receiving approval from an official approval authority.</w:t>
      </w:r>
    </w:p>
    <w:p>
      <w:r>
        <w:br w:type="page"/>
      </w:r>
    </w:p>
    <w:p>
      <w:pPr>
        <w:spacing w:after="60"/>
        <w:jc w:val="right"/>
        <w:bidi/>
      </w:pPr>
      <w:r>
        <w:rPr>
          <w:rFonts w:ascii="Arial" w:hAnsi="Arial"/>
          <w:b/>
          <w:color w:val="1F4D78"/>
          <w:sz w:val="19"/>
        </w:rPr>
        <w:t>هفتهٔ 155  |  صفحهٔ منبع: 171</w:t>
      </w:r>
    </w:p>
    <w:p>
      <w:pPr>
        <w:spacing w:before="60" w:after="28"/>
        <w:jc w:val="right"/>
        <w:bidi/>
      </w:pPr>
      <w:r>
        <w:rPr>
          <w:b/>
          <w:color w:val="1F4D78"/>
          <w:sz w:val="18"/>
        </w:rPr>
        <w:t>فصل 9</w:t>
      </w:r>
    </w:p>
    <w:p>
      <w:pPr>
        <w:spacing w:after="20"/>
        <w:ind w:left="259"/>
        <w:jc w:val="left"/>
      </w:pPr>
      <w:r>
        <w:rPr>
          <w:color w:val="555555"/>
          <w:sz w:val="12"/>
        </w:rPr>
        <w:t>Chapter 9</w:t>
      </w:r>
    </w:p>
    <w:p>
      <w:pPr>
        <w:spacing w:before="60" w:after="28"/>
        <w:jc w:val="right"/>
        <w:bidi/>
      </w:pPr>
      <w:r>
        <w:rPr>
          <w:b/>
          <w:color w:val="1F4D78"/>
          <w:sz w:val="18"/>
        </w:rPr>
        <w:t>تبلیغات ثبت نام شده</w:t>
      </w:r>
    </w:p>
    <w:p>
      <w:pPr>
        <w:spacing w:after="20"/>
        <w:ind w:left="259"/>
        <w:jc w:val="left"/>
      </w:pPr>
      <w:r>
        <w:rPr>
          <w:color w:val="555555"/>
          <w:sz w:val="12"/>
        </w:rPr>
        <w:t>ENLISTED PROMOTIONS</w:t>
      </w:r>
    </w:p>
    <w:p>
      <w:pPr>
        <w:spacing w:before="60" w:after="28"/>
        <w:jc w:val="right"/>
        <w:bidi/>
      </w:pPr>
      <w:r>
        <w:rPr>
          <w:b/>
          <w:color w:val="1F4D78"/>
          <w:sz w:val="18"/>
        </w:rPr>
        <w:t>بخش 9A - سیستم‌ها و برنامه‌های ارتقاء</w:t>
      </w:r>
    </w:p>
    <w:p>
      <w:pPr>
        <w:spacing w:after="20"/>
        <w:ind w:left="259"/>
        <w:jc w:val="left"/>
      </w:pPr>
      <w:r>
        <w:rPr>
          <w:color w:val="555555"/>
          <w:sz w:val="12"/>
        </w:rPr>
        <w:t>Section 9A—Promotion Systems and Programs</w:t>
      </w:r>
    </w:p>
    <w:p>
      <w:pPr>
        <w:spacing w:before="60" w:after="28"/>
        <w:jc w:val="right"/>
        <w:bidi/>
      </w:pPr>
      <w:r>
        <w:rPr>
          <w:b/>
          <w:color w:val="1F4D78"/>
          <w:sz w:val="18"/>
        </w:rPr>
        <w:t>9.1. سیستم های تبلیغاتی ثبت شده</w:t>
      </w:r>
    </w:p>
    <w:p>
      <w:pPr>
        <w:spacing w:after="20"/>
        <w:ind w:left="259"/>
        <w:jc w:val="left"/>
      </w:pPr>
      <w:r>
        <w:rPr>
          <w:color w:val="555555"/>
          <w:sz w:val="12"/>
        </w:rPr>
        <w:t>9.1. Enlisted Promotion Systems</w:t>
      </w:r>
    </w:p>
    <w:p>
      <w:pPr>
        <w:spacing w:after="20" w:line="223" w:lineRule="auto"/>
        <w:jc w:val="right"/>
        <w:bidi/>
      </w:pPr>
      <w:r>
        <w:rPr>
          <w:rFonts w:ascii="Arial" w:hAnsi="Arial"/>
          <w:sz w:val="16"/>
        </w:rPr>
        <w:t>155.05  سیستم ترفیع ثبت‌نام شده از دستورالعمل وزارت دفاع ۱۳۰۴.۲۰، سیستم مدیریت پرسنل استخدام شده (EPMS)، با ارائه فرصت‌های پیشرفت شغلی قابل مشاهده و نسبتا پایدار پشتیبانی می‌کند. جذب، حفظ و ایجاد انگیزه در افراد مورد نیاز ارتش؛ و تضمین اجرای یکنواخت اصل دستمزد برابر برای کار برابر در میان خدمات.</w:t>
      </w:r>
    </w:p>
    <w:p>
      <w:pPr>
        <w:spacing w:after="28" w:line="216" w:lineRule="auto"/>
        <w:ind w:left="259"/>
        <w:jc w:val="left"/>
      </w:pPr>
      <w:r>
        <w:rPr>
          <w:rFonts w:ascii="Arial" w:hAnsi="Arial"/>
          <w:color w:val="525252"/>
          <w:sz w:val="13"/>
        </w:rPr>
        <w:t>The enlisted promotion system supports DoD Directive 1304.20, Enlisted Personnel Management System (EPMS), by providing visible, relatively stable career progression opportunities; attracting, retaining, and motivating the people the military needs; and ensuring a uniform application of the principle of equal pay for equal work among the services.</w:t>
      </w:r>
    </w:p>
    <w:p>
      <w:pPr>
        <w:spacing w:after="20" w:line="223" w:lineRule="auto"/>
        <w:jc w:val="right"/>
        <w:bidi/>
      </w:pPr>
      <w:r>
        <w:rPr>
          <w:rFonts w:ascii="Arial" w:hAnsi="Arial"/>
          <w:sz w:val="16"/>
        </w:rPr>
        <w:t>155.06  در حالی که در سال‌های اخیر تغییرات قابل‌توجهی با سیستم‌های ترفیع ثبت‌نام شده رخ داده است، برخی جنبه‌های استاندارد و ثابت وجود دارد که هوانوردان آن‌ها را می‌شناسند و برای در نظر گرفتن منصفانه و دقیق برای ارتقا به آنها تکیه می‌کنند.</w:t>
      </w:r>
    </w:p>
    <w:p>
      <w:pPr>
        <w:spacing w:after="28" w:line="216" w:lineRule="auto"/>
        <w:ind w:left="259"/>
        <w:jc w:val="left"/>
      </w:pPr>
      <w:r>
        <w:rPr>
          <w:rFonts w:ascii="Arial" w:hAnsi="Arial"/>
          <w:color w:val="525252"/>
          <w:sz w:val="13"/>
        </w:rPr>
        <w:t>While many significant changes have taken place with the enlisted promotion systems in recent years, there are some standardized, consistent aspects that Airmen recognize and rely on for fair and accurate consideration for promotion.</w:t>
      </w:r>
    </w:p>
    <w:p>
      <w:pPr>
        <w:spacing w:after="20" w:line="223" w:lineRule="auto"/>
        <w:jc w:val="right"/>
        <w:bidi/>
      </w:pPr>
      <w:r>
        <w:rPr>
          <w:rFonts w:ascii="Arial" w:hAnsi="Arial"/>
          <w:sz w:val="16"/>
        </w:rPr>
        <w:t>155.07  AFI ۳۶-۲۵۰۲، برنامه‌های ارتقاء و تنزل نیروی هوایی سرباز، اطلاعات دقیقی را در مورد سیستم‌های ترفیع ثبت‌نام شده ارائه می‌دهد.</w:t>
      </w:r>
    </w:p>
    <w:p>
      <w:pPr>
        <w:spacing w:after="28" w:line="216" w:lineRule="auto"/>
        <w:ind w:left="259"/>
        <w:jc w:val="left"/>
      </w:pPr>
      <w:r>
        <w:rPr>
          <w:rFonts w:ascii="Arial" w:hAnsi="Arial"/>
          <w:color w:val="525252"/>
          <w:sz w:val="13"/>
        </w:rPr>
        <w:t>AFI 36-2502, Enlisted Airman Promotion and Demotion Programs, provides detailed information regarding enlisted promotion systems.</w:t>
      </w:r>
    </w:p>
    <w:p>
      <w:pPr>
        <w:spacing w:after="20" w:line="223" w:lineRule="auto"/>
        <w:jc w:val="right"/>
        <w:bidi/>
      </w:pPr>
      <w:r>
        <w:rPr>
          <w:rFonts w:ascii="Arial" w:hAnsi="Arial"/>
          <w:sz w:val="16"/>
        </w:rPr>
        <w:t>155.08  توجه: این فصل برای تبلیغات ثبت‌نام شده رگاف اعمال می‌شود.</w:t>
      </w:r>
    </w:p>
    <w:p>
      <w:pPr>
        <w:spacing w:after="28" w:line="216" w:lineRule="auto"/>
        <w:ind w:left="259"/>
        <w:jc w:val="left"/>
      </w:pPr>
      <w:r>
        <w:rPr>
          <w:rFonts w:ascii="Arial" w:hAnsi="Arial"/>
          <w:color w:val="525252"/>
          <w:sz w:val="13"/>
        </w:rPr>
        <w:t>Note: This chapter applies to RegAF enlisted promotions.</w:t>
      </w:r>
    </w:p>
    <w:p>
      <w:pPr>
        <w:spacing w:before="60" w:after="28"/>
        <w:jc w:val="right"/>
        <w:bidi/>
      </w:pPr>
      <w:r>
        <w:rPr>
          <w:b/>
          <w:color w:val="1F4D78"/>
          <w:sz w:val="18"/>
        </w:rPr>
        <w:t>9.2. سهمیه های ارتقاء</w:t>
      </w:r>
    </w:p>
    <w:p>
      <w:pPr>
        <w:spacing w:after="20"/>
        <w:ind w:left="259"/>
        <w:jc w:val="left"/>
      </w:pPr>
      <w:r>
        <w:rPr>
          <w:color w:val="555555"/>
          <w:sz w:val="12"/>
        </w:rPr>
        <w:t>9.2. Promotion Quotas</w:t>
      </w:r>
    </w:p>
    <w:p>
      <w:pPr>
        <w:spacing w:after="20" w:line="223" w:lineRule="auto"/>
        <w:jc w:val="right"/>
        <w:bidi/>
      </w:pPr>
      <w:r>
        <w:rPr>
          <w:rFonts w:ascii="Arial" w:hAnsi="Arial"/>
          <w:sz w:val="16"/>
        </w:rPr>
        <w:t>155.10  وزارت دفاع تعداد نیروهای هوایی را که رگاف ممکن است در پنج درجه برتر ثبت‌نام داشته باشد محدود می‌کند.</w:t>
      </w:r>
    </w:p>
    <w:p>
      <w:pPr>
        <w:spacing w:after="28" w:line="216" w:lineRule="auto"/>
        <w:ind w:left="259"/>
        <w:jc w:val="left"/>
      </w:pPr>
      <w:r>
        <w:rPr>
          <w:rFonts w:ascii="Arial" w:hAnsi="Arial"/>
          <w:color w:val="525252"/>
          <w:sz w:val="13"/>
        </w:rPr>
        <w:t>The Department of Defense limits the number of Airmen the RegAF may have in the top five enlisted grades.</w:t>
      </w:r>
    </w:p>
    <w:p>
      <w:pPr>
        <w:spacing w:after="20" w:line="223" w:lineRule="auto"/>
        <w:jc w:val="right"/>
        <w:bidi/>
      </w:pPr>
      <w:r>
        <w:rPr>
          <w:rFonts w:ascii="Arial" w:hAnsi="Arial"/>
          <w:sz w:val="16"/>
        </w:rPr>
        <w:t>155.11  سهمیه‌های ترفیع برای گروهبان کارکنان از طریق سرگروهبان با قدرت پایان سال مالی مرتبط است و تحت تأثیر محدودیت‌های بودجه، محدودیت‌های نظارتی و تعداد پست‌های خالی پیش‌بینی‌شده در درجات خاص قرار دارد.</w:t>
      </w:r>
    </w:p>
    <w:p>
      <w:pPr>
        <w:spacing w:after="28" w:line="216" w:lineRule="auto"/>
        <w:ind w:left="259"/>
        <w:jc w:val="left"/>
      </w:pPr>
      <w:r>
        <w:rPr>
          <w:rFonts w:ascii="Arial" w:hAnsi="Arial"/>
          <w:color w:val="525252"/>
          <w:sz w:val="13"/>
        </w:rPr>
        <w:t>Promotion quotas for Staff Sergeant through Chief Master Sergeant are tied to fiscal year-end strength and are affected by funding limits, regulatory limits, and the number of projected vacancies in specific grades.</w:t>
      </w:r>
    </w:p>
    <w:p>
      <w:pPr>
        <w:spacing w:after="20" w:line="223" w:lineRule="auto"/>
        <w:jc w:val="right"/>
        <w:bidi/>
      </w:pPr>
      <w:r>
        <w:rPr>
          <w:rFonts w:ascii="Arial" w:hAnsi="Arial"/>
          <w:sz w:val="16"/>
        </w:rPr>
        <w:t>155.12  حقوق عمومی، همانطور که در عنوان ۱۰، و.س.ک.، نیروهای مسلح ذکر شده است،</w:t>
      </w:r>
    </w:p>
    <w:p>
      <w:pPr>
        <w:spacing w:after="28" w:line="216" w:lineRule="auto"/>
        <w:ind w:left="259"/>
        <w:jc w:val="left"/>
      </w:pPr>
      <w:r>
        <w:rPr>
          <w:rFonts w:ascii="Arial" w:hAnsi="Arial"/>
          <w:color w:val="525252"/>
          <w:sz w:val="13"/>
        </w:rPr>
        <w:t>Public law, as outlined in Title 10, U.S.C., Armed Forces,</w:t>
      </w:r>
    </w:p>
    <w:p>
      <w:pPr>
        <w:spacing w:before="60" w:after="28"/>
        <w:jc w:val="right"/>
        <w:bidi/>
      </w:pPr>
      <w:r>
        <w:rPr>
          <w:b/>
          <w:color w:val="1F4D78"/>
          <w:sz w:val="18"/>
        </w:rPr>
        <w:t>فصل 36 ترفیع، جدایی و بازنشستگی غیر ارادی افسران وظیفه</w:t>
      </w:r>
    </w:p>
    <w:p>
      <w:pPr>
        <w:spacing w:after="20"/>
        <w:ind w:left="259"/>
        <w:jc w:val="left"/>
      </w:pPr>
      <w:r>
        <w:rPr>
          <w:color w:val="555555"/>
          <w:sz w:val="12"/>
        </w:rPr>
        <w:t>Chapter 36, Promotion, Separation, and Involuntary Retirement of Officers on the Active Duty</w:t>
      </w:r>
    </w:p>
    <w:p>
      <w:pPr>
        <w:spacing w:after="20" w:line="223" w:lineRule="auto"/>
        <w:jc w:val="right"/>
        <w:bidi/>
      </w:pPr>
      <w:r>
        <w:rPr>
          <w:rFonts w:ascii="Arial" w:hAnsi="Arial"/>
          <w:sz w:val="16"/>
        </w:rPr>
        <w:t>155.14  فهرست، تعداد هوانوردانی را که ممکن است در رگاف در دو درجه برتر ثبت‌نام شده خدمت کنند، محدود می‌کند.</w:t>
      </w:r>
    </w:p>
    <w:p>
      <w:pPr>
        <w:spacing w:after="28" w:line="216" w:lineRule="auto"/>
        <w:ind w:left="259"/>
        <w:jc w:val="left"/>
      </w:pPr>
      <w:r>
        <w:rPr>
          <w:rFonts w:ascii="Arial" w:hAnsi="Arial"/>
          <w:color w:val="525252"/>
          <w:sz w:val="13"/>
        </w:rPr>
        <w:t>List, limits the number of Airmen who may serve in the RegAF in the top two enlisted grades.</w:t>
      </w:r>
    </w:p>
    <w:p>
      <w:pPr>
        <w:spacing w:after="20" w:line="223" w:lineRule="auto"/>
        <w:jc w:val="right"/>
        <w:bidi/>
      </w:pPr>
      <w:r>
        <w:rPr>
          <w:rFonts w:ascii="Arial" w:hAnsi="Arial"/>
          <w:sz w:val="16"/>
        </w:rPr>
        <w:t>155.15  میانگین مجاز اعضای ثبت‌نام شده در وضعیت رگاف (غیر از آموزش) در نمرات حقوق -۸ و -۹ در یک سال مالی نباید به ترتیب بیش از ۲.۵ درصد و ۱.۲۵ درصد باشد.</w:t>
      </w:r>
    </w:p>
    <w:p>
      <w:pPr>
        <w:spacing w:after="28" w:line="216" w:lineRule="auto"/>
        <w:ind w:left="259"/>
        <w:jc w:val="left"/>
      </w:pPr>
      <w:r>
        <w:rPr>
          <w:rFonts w:ascii="Arial" w:hAnsi="Arial"/>
          <w:color w:val="525252"/>
          <w:sz w:val="13"/>
        </w:rPr>
        <w:t>The authorized average of enlisted members on RegAF status (other than for training) in pay grades E- 8 and E-9 in a fiscal year may not be more than 2.5 percent and 1.25 percent, respectively.</w:t>
      </w:r>
    </w:p>
    <w:p>
      <w:pPr>
        <w:spacing w:before="60" w:after="28"/>
        <w:jc w:val="right"/>
        <w:bidi/>
      </w:pPr>
      <w:r>
        <w:rPr>
          <w:b/>
          <w:color w:val="1F4D78"/>
          <w:sz w:val="18"/>
        </w:rPr>
        <w:t>9.3. فرصت های تبلیغاتی ثبت شده</w:t>
      </w:r>
    </w:p>
    <w:p>
      <w:pPr>
        <w:spacing w:after="20"/>
        <w:ind w:left="259"/>
        <w:jc w:val="left"/>
      </w:pPr>
      <w:r>
        <w:rPr>
          <w:color w:val="555555"/>
          <w:sz w:val="12"/>
        </w:rPr>
        <w:t>9.3. Enlisted Promotion Opportunities</w:t>
      </w:r>
    </w:p>
    <w:p>
      <w:pPr>
        <w:spacing w:after="20" w:line="223" w:lineRule="auto"/>
        <w:jc w:val="right"/>
        <w:bidi/>
      </w:pPr>
      <w:r>
        <w:rPr>
          <w:rFonts w:ascii="Arial" w:hAnsi="Arial"/>
          <w:sz w:val="16"/>
        </w:rPr>
        <w:t>155.17  در حالی که سیستم ارتقای USAF برای ارتقاء هوانوردان واجد شرایط توصیه شده توسط فرمانده آنها به صورت غیررقابتی طراحی شده است، فرصت‌ها و عوامل دیگری برای هوانوردان وجود دارد که در مورد ترفیعات در نظر بگیرند.</w:t>
      </w:r>
    </w:p>
    <w:p>
      <w:pPr>
        <w:spacing w:after="28" w:line="216" w:lineRule="auto"/>
        <w:ind w:left="259"/>
        <w:jc w:val="left"/>
      </w:pPr>
      <w:r>
        <w:rPr>
          <w:rFonts w:ascii="Arial" w:hAnsi="Arial"/>
          <w:color w:val="525252"/>
          <w:sz w:val="13"/>
        </w:rPr>
        <w:t>While the USAF promotion system is designed to promote eligible Airmen recommended by their commander on a noncompetitive basis, there are additional opportunities and factors for Airmen to consider regarding promotions.</w:t>
      </w:r>
    </w:p>
    <w:p>
      <w:pPr>
        <w:spacing w:after="20" w:line="223" w:lineRule="auto"/>
        <w:jc w:val="right"/>
        <w:bidi/>
      </w:pPr>
      <w:r>
        <w:rPr>
          <w:rFonts w:ascii="Arial" w:hAnsi="Arial"/>
          <w:sz w:val="16"/>
        </w:rPr>
        <w:t>155.18  برنامه ارتقاء هواپیمای ارشد زیر منطقه.</w:t>
      </w:r>
    </w:p>
    <w:p>
      <w:pPr>
        <w:spacing w:after="28" w:line="216" w:lineRule="auto"/>
        <w:ind w:left="259"/>
        <w:jc w:val="left"/>
      </w:pPr>
      <w:r>
        <w:rPr>
          <w:rFonts w:ascii="Arial" w:hAnsi="Arial"/>
          <w:color w:val="525252"/>
          <w:sz w:val="13"/>
        </w:rPr>
        <w:t>Senior Airman Below-the-Zone Promotion Program.</w:t>
      </w:r>
    </w:p>
    <w:p>
      <w:pPr>
        <w:spacing w:after="20" w:line="223" w:lineRule="auto"/>
        <w:jc w:val="right"/>
        <w:bidi/>
      </w:pPr>
      <w:r>
        <w:rPr>
          <w:rFonts w:ascii="Arial" w:hAnsi="Arial"/>
          <w:sz w:val="16"/>
        </w:rPr>
        <w:t>155.19  بر اساس برنامه نیروی هوایی ارشد زیر منطقه، در صورتی که حداقل معیارهای واجد شرایط بودن را داشته باشند، مسافران درجه یک هواپیمای درجه یک ممکن است یک بار برای پیشرفت زودهنگام به هواپیمای ارشد در نظر گرفته شوند.</w:t>
      </w:r>
    </w:p>
    <w:p>
      <w:pPr>
        <w:spacing w:after="28" w:line="216" w:lineRule="auto"/>
        <w:ind w:left="259"/>
        <w:jc w:val="left"/>
      </w:pPr>
      <w:r>
        <w:rPr>
          <w:rFonts w:ascii="Arial" w:hAnsi="Arial"/>
          <w:color w:val="525252"/>
          <w:sz w:val="13"/>
        </w:rPr>
        <w:t>Under the Senior Airman Below-the- Zone Program, Airmen in the grade of Airman First Class may be considered one time for early advancement to Senior Airman if they meet the minimum eligibility criteria.</w:t>
      </w:r>
    </w:p>
    <w:p>
      <w:pPr>
        <w:spacing w:after="20" w:line="223" w:lineRule="auto"/>
        <w:jc w:val="right"/>
        <w:bidi/>
      </w:pPr>
      <w:r>
        <w:rPr>
          <w:rFonts w:ascii="Arial" w:hAnsi="Arial"/>
          <w:sz w:val="16"/>
        </w:rPr>
        <w:t>155.20  در صورت ارتقاء به فرمانده ارشد هوایی در زیر منطقه، تاریخ اجرایی شدن ارتقاء شش ماه قبل از تاریخ کاملا واجد شرایط آنها است.</w:t>
      </w:r>
    </w:p>
    <w:p>
      <w:pPr>
        <w:spacing w:after="28" w:line="216" w:lineRule="auto"/>
        <w:ind w:left="259"/>
        <w:jc w:val="left"/>
      </w:pPr>
      <w:r>
        <w:rPr>
          <w:rFonts w:ascii="Arial" w:hAnsi="Arial"/>
          <w:color w:val="525252"/>
          <w:sz w:val="13"/>
        </w:rPr>
        <w:t>If promoted to Senior Airman below-the-zone, the promotion effective date is six months before their fully qualified date.</w:t>
      </w:r>
    </w:p>
    <w:p>
      <w:pPr>
        <w:spacing w:after="20" w:line="223" w:lineRule="auto"/>
        <w:jc w:val="right"/>
        <w:bidi/>
      </w:pPr>
      <w:r>
        <w:rPr>
          <w:rFonts w:ascii="Arial" w:hAnsi="Arial"/>
          <w:sz w:val="16"/>
        </w:rPr>
        <w:t>155.21  هوانوردان برای ترفیع زیر منطقه در ماه (دسامبر، مارس، ژوئن یا سپتامبر) قبل از سه ماهه (ژانویه - مارس، آوریل - ژوئن، جولای - سپتامبر، یا اکتبر - دسامبر) که واجد شرایط هستند، در نظر گرفته می‌شوند.</w:t>
      </w:r>
    </w:p>
    <w:p>
      <w:pPr>
        <w:spacing w:after="28" w:line="216" w:lineRule="auto"/>
        <w:ind w:left="259"/>
        <w:jc w:val="left"/>
      </w:pPr>
      <w:r>
        <w:rPr>
          <w:rFonts w:ascii="Arial" w:hAnsi="Arial"/>
          <w:color w:val="525252"/>
          <w:sz w:val="13"/>
        </w:rPr>
        <w:t>Airmen are considered for below-the-zone promotion in the month (December, March, June, or September) before the quarter (January - March, April - June, July - September, or October - December) that they are eligible.</w:t>
      </w:r>
    </w:p>
    <w:p>
      <w:pPr>
        <w:spacing w:after="20" w:line="223" w:lineRule="auto"/>
        <w:jc w:val="right"/>
        <w:bidi/>
      </w:pPr>
      <w:r>
        <w:rPr>
          <w:rFonts w:ascii="Arial" w:hAnsi="Arial"/>
          <w:sz w:val="16"/>
        </w:rPr>
        <w:t>155.22  برنامه ستریپس فور کسکپتیونال پرفورمرس.</w:t>
      </w:r>
    </w:p>
    <w:p>
      <w:pPr>
        <w:spacing w:after="28" w:line="216" w:lineRule="auto"/>
        <w:ind w:left="259"/>
        <w:jc w:val="left"/>
      </w:pPr>
      <w:r>
        <w:rPr>
          <w:rFonts w:ascii="Arial" w:hAnsi="Arial"/>
          <w:color w:val="525252"/>
          <w:sz w:val="13"/>
        </w:rPr>
        <w:t>Stripes for Exceptional Performers Program.</w:t>
      </w:r>
    </w:p>
    <w:p>
      <w:pPr>
        <w:spacing w:after="20" w:line="223" w:lineRule="auto"/>
        <w:jc w:val="right"/>
        <w:bidi/>
      </w:pPr>
      <w:r>
        <w:rPr>
          <w:rFonts w:ascii="Arial" w:hAnsi="Arial"/>
          <w:sz w:val="16"/>
        </w:rPr>
        <w:t>155.23  برنامه ستریپس فور کسکپتیونال پرفورمرس (STEP) برای پاسخگویی به شرایط منحصر به فردی طراحی شده است که به تشخیص فرمانده، به وضوح ارتقاء را تضمین می‌کند.</w:t>
      </w:r>
    </w:p>
    <w:p>
      <w:pPr>
        <w:spacing w:after="28" w:line="216" w:lineRule="auto"/>
        <w:ind w:left="259"/>
        <w:jc w:val="left"/>
      </w:pPr>
      <w:r>
        <w:rPr>
          <w:rFonts w:ascii="Arial" w:hAnsi="Arial"/>
          <w:color w:val="525252"/>
          <w:sz w:val="13"/>
        </w:rPr>
        <w:t>The Stripes for Exceptional Performers (STEP) Program is designed to meet those unique circumstances that, in a commander’s judgment, clearly warrant promotion.</w:t>
      </w:r>
    </w:p>
    <w:p>
      <w:pPr>
        <w:spacing w:after="20" w:line="223" w:lineRule="auto"/>
        <w:jc w:val="right"/>
        <w:bidi/>
      </w:pPr>
      <w:r>
        <w:rPr>
          <w:rFonts w:ascii="Arial" w:hAnsi="Arial"/>
          <w:sz w:val="16"/>
        </w:rPr>
        <w:t>155.24  برنامه STEP برای ارتقای هوانوردان به دلایل قانع کننده، هرچند شاید غیرقابل سنجش، در نظر گرفته شده است.</w:t>
      </w:r>
    </w:p>
    <w:p>
      <w:pPr>
        <w:spacing w:after="28" w:line="216" w:lineRule="auto"/>
        <w:ind w:left="259"/>
        <w:jc w:val="left"/>
      </w:pPr>
      <w:r>
        <w:rPr>
          <w:rFonts w:ascii="Arial" w:hAnsi="Arial"/>
          <w:color w:val="525252"/>
          <w:sz w:val="13"/>
        </w:rPr>
        <w:t>The STEP Program is intended to promote Airmen for compelling, although perhaps not quantifiable, reasons.</w:t>
      </w:r>
    </w:p>
    <w:p>
      <w:pPr>
        <w:spacing w:after="20" w:line="223" w:lineRule="auto"/>
        <w:jc w:val="right"/>
        <w:bidi/>
      </w:pPr>
      <w:r>
        <w:rPr>
          <w:rFonts w:ascii="Arial" w:hAnsi="Arial"/>
          <w:sz w:val="16"/>
        </w:rPr>
        <w:t>155.25  اعمال مجزا یا دستاوردهای خاص نباید تنها مبنای ارتقاء تحت این برنامه باشد.</w:t>
      </w:r>
    </w:p>
    <w:p>
      <w:pPr>
        <w:spacing w:after="28" w:line="216" w:lineRule="auto"/>
        <w:ind w:left="259"/>
        <w:jc w:val="left"/>
      </w:pPr>
      <w:r>
        <w:rPr>
          <w:rFonts w:ascii="Arial" w:hAnsi="Arial"/>
          <w:color w:val="525252"/>
          <w:sz w:val="13"/>
        </w:rPr>
        <w:t>Isolated acts or specific achievements should not be the sole basis for promotion under this program.</w:t>
      </w:r>
    </w:p>
    <w:p>
      <w:pPr>
        <w:spacing w:after="20" w:line="223" w:lineRule="auto"/>
        <w:jc w:val="right"/>
        <w:bidi/>
      </w:pPr>
      <w:r>
        <w:rPr>
          <w:rFonts w:ascii="Arial" w:hAnsi="Arial"/>
          <w:sz w:val="16"/>
        </w:rPr>
        <w:t>155.26  تحت برنامه STEP، فرماندهان در سطوح مختلف سازمانی ممکن است تعداد محدودی از هوانوردان نمونه با پتانسیل استثنایی را به درجات گروهبان و گروهبان فنی ارتقا دهند.</w:t>
      </w:r>
    </w:p>
    <w:p>
      <w:pPr>
        <w:spacing w:after="28" w:line="216" w:lineRule="auto"/>
        <w:ind w:left="259"/>
        <w:jc w:val="left"/>
      </w:pPr>
      <w:r>
        <w:rPr>
          <w:rFonts w:ascii="Arial" w:hAnsi="Arial"/>
          <w:color w:val="525252"/>
          <w:sz w:val="13"/>
        </w:rPr>
        <w:t>Under the STEP Program, commanders at various organizational levels may promote a limited number of exemplary performing Airmen with exceptional potential to the ranks of Staff Sergeant and Technical Sergeant.</w:t>
      </w:r>
    </w:p>
    <w:p>
      <w:pPr>
        <w:spacing w:after="20" w:line="223" w:lineRule="auto"/>
        <w:jc w:val="right"/>
        <w:bidi/>
      </w:pPr>
      <w:r>
        <w:rPr>
          <w:rFonts w:ascii="Arial" w:hAnsi="Arial"/>
          <w:sz w:val="16"/>
        </w:rPr>
        <w:t>155.27  یک فرد نمی‌تواند بیش از یک ترفیع دریافت کند</w:t>
      </w:r>
    </w:p>
    <w:p>
      <w:pPr>
        <w:spacing w:after="28" w:line="216" w:lineRule="auto"/>
        <w:ind w:left="259"/>
        <w:jc w:val="left"/>
      </w:pPr>
      <w:r>
        <w:rPr>
          <w:rFonts w:ascii="Arial" w:hAnsi="Arial"/>
          <w:color w:val="525252"/>
          <w:sz w:val="13"/>
        </w:rPr>
        <w:t>An individual may not receive more than one promotion under any</w:t>
      </w:r>
    </w:p>
    <w:p>
      <w:r>
        <w:br w:type="page"/>
      </w:r>
    </w:p>
    <w:p>
      <w:pPr>
        <w:spacing w:after="60"/>
        <w:jc w:val="right"/>
        <w:bidi/>
      </w:pPr>
      <w:r>
        <w:rPr>
          <w:rFonts w:ascii="Arial" w:hAnsi="Arial"/>
          <w:b/>
          <w:color w:val="1F4D78"/>
          <w:sz w:val="19"/>
        </w:rPr>
        <w:t>هفتهٔ 156  |  صفحهٔ منبع: 172</w:t>
      </w:r>
    </w:p>
    <w:p>
      <w:pPr>
        <w:spacing w:after="20" w:line="223" w:lineRule="auto"/>
        <w:jc w:val="right"/>
        <w:bidi/>
      </w:pPr>
      <w:r>
        <w:rPr>
          <w:rFonts w:ascii="Arial" w:hAnsi="Arial"/>
          <w:sz w:val="16"/>
        </w:rPr>
        <w:t>156.01  ترکیبی از برنامه‌های ارتقاء در یک دوره ۱۲ ماهه.</w:t>
      </w:r>
    </w:p>
    <w:p>
      <w:pPr>
        <w:spacing w:after="28" w:line="216" w:lineRule="auto"/>
        <w:ind w:left="259"/>
        <w:jc w:val="left"/>
      </w:pPr>
      <w:r>
        <w:rPr>
          <w:rFonts w:ascii="Arial" w:hAnsi="Arial"/>
          <w:color w:val="525252"/>
          <w:sz w:val="13"/>
        </w:rPr>
        <w:t>combination of promotion programs within a 12-month period.</w:t>
      </w:r>
    </w:p>
    <w:p>
      <w:pPr>
        <w:spacing w:after="20" w:line="223" w:lineRule="auto"/>
        <w:jc w:val="right"/>
        <w:bidi/>
      </w:pPr>
      <w:r>
        <w:rPr>
          <w:rFonts w:ascii="Arial" w:hAnsi="Arial"/>
          <w:sz w:val="16"/>
        </w:rPr>
        <w:t>156.02  یک استثنا این است که هوانوردان ارشد باید قبل از ارتقاء به گروهبان، شش ماه در درجه خدمت کنند.</w:t>
      </w:r>
    </w:p>
    <w:p>
      <w:pPr>
        <w:spacing w:after="28" w:line="216" w:lineRule="auto"/>
        <w:ind w:left="259"/>
        <w:jc w:val="left"/>
      </w:pPr>
      <w:r>
        <w:rPr>
          <w:rFonts w:ascii="Arial" w:hAnsi="Arial"/>
          <w:color w:val="525252"/>
          <w:sz w:val="13"/>
        </w:rPr>
        <w:t>One exception is that Senior Airmen must serve six months of time in grade before being promoted to Staff Sergeant.</w:t>
      </w:r>
    </w:p>
    <w:p>
      <w:pPr>
        <w:spacing w:after="20" w:line="223" w:lineRule="auto"/>
        <w:jc w:val="right"/>
        <w:bidi/>
      </w:pPr>
      <w:r>
        <w:rPr>
          <w:rFonts w:ascii="Arial" w:hAnsi="Arial"/>
          <w:sz w:val="16"/>
        </w:rPr>
        <w:t>156.03  فرماندهان باید اطمینان حاصل کنند که پرسنلی که ترفیع می‌شوند شرایط واجد شرایط بودن را دارند.</w:t>
      </w:r>
    </w:p>
    <w:p>
      <w:pPr>
        <w:spacing w:after="28" w:line="216" w:lineRule="auto"/>
        <w:ind w:left="259"/>
        <w:jc w:val="left"/>
      </w:pPr>
      <w:r>
        <w:rPr>
          <w:rFonts w:ascii="Arial" w:hAnsi="Arial"/>
          <w:color w:val="525252"/>
          <w:sz w:val="13"/>
        </w:rPr>
        <w:t>Commanders must ensure personnel who are promoted meet eligibility requirements.</w:t>
      </w:r>
    </w:p>
    <w:p>
      <w:pPr>
        <w:spacing w:after="20" w:line="223" w:lineRule="auto"/>
        <w:jc w:val="right"/>
        <w:bidi/>
      </w:pPr>
      <w:r>
        <w:rPr>
          <w:rFonts w:ascii="Arial" w:hAnsi="Arial"/>
          <w:sz w:val="16"/>
        </w:rPr>
        <w:t>156.04  سیستم ارتقاء هوانورد وزنی.</w:t>
      </w:r>
    </w:p>
    <w:p>
      <w:pPr>
        <w:spacing w:after="28" w:line="216" w:lineRule="auto"/>
        <w:ind w:left="259"/>
        <w:jc w:val="left"/>
      </w:pPr>
      <w:r>
        <w:rPr>
          <w:rFonts w:ascii="Arial" w:hAnsi="Arial"/>
          <w:color w:val="525252"/>
          <w:sz w:val="13"/>
        </w:rPr>
        <w:t>Weighted Airman Promotion System.</w:t>
      </w:r>
    </w:p>
    <w:p>
      <w:pPr>
        <w:spacing w:after="20" w:line="223" w:lineRule="auto"/>
        <w:jc w:val="right"/>
        <w:bidi/>
      </w:pPr>
      <w:r>
        <w:rPr>
          <w:rFonts w:ascii="Arial" w:hAnsi="Arial"/>
          <w:sz w:val="16"/>
        </w:rPr>
        <w:t>156.05  درجه افسران و SNCOها برای ارتقاء و آزمایش تحت سیستم ارتقاء هوانورد وزنی (WAPS) در کد تخصصی کنترل نیروی هوایی (CAFSC) که در تاریخ قطع صلاحیت ارتقاء برگزار می‌شود، رقابت می‌کنند.</w:t>
      </w:r>
    </w:p>
    <w:p>
      <w:pPr>
        <w:spacing w:after="28" w:line="216" w:lineRule="auto"/>
        <w:ind w:left="259"/>
        <w:jc w:val="left"/>
      </w:pPr>
      <w:r>
        <w:rPr>
          <w:rFonts w:ascii="Arial" w:hAnsi="Arial"/>
          <w:color w:val="525252"/>
          <w:sz w:val="13"/>
        </w:rPr>
        <w:t>NCOs and SNCOs compete for promotion and test under the Weighted Airman Promotion System (WAPS) in the control Air Force Specialty Code (CAFSC) held on the promotion eligibility cutoff date.</w:t>
      </w:r>
    </w:p>
    <w:p>
      <w:pPr>
        <w:spacing w:after="20" w:line="223" w:lineRule="auto"/>
        <w:jc w:val="right"/>
        <w:bidi/>
      </w:pPr>
      <w:r>
        <w:rPr>
          <w:rFonts w:ascii="Arial" w:hAnsi="Arial"/>
          <w:sz w:val="16"/>
        </w:rPr>
        <w:t>156.06  عوامل کمک کننده بر اساس اهمیت نسبت به ارتقاء، «وزن‌دهی» یا امتیازی هستند.</w:t>
      </w:r>
    </w:p>
    <w:p>
      <w:pPr>
        <w:spacing w:after="28" w:line="216" w:lineRule="auto"/>
        <w:ind w:left="259"/>
        <w:jc w:val="left"/>
      </w:pPr>
      <w:r>
        <w:rPr>
          <w:rFonts w:ascii="Arial" w:hAnsi="Arial"/>
          <w:color w:val="525252"/>
          <w:sz w:val="13"/>
        </w:rPr>
        <w:t>Contributing factors are “weighted” or assigned points based on the importance relative to promotion.</w:t>
      </w:r>
    </w:p>
    <w:p>
      <w:pPr>
        <w:spacing w:after="20" w:line="223" w:lineRule="auto"/>
        <w:jc w:val="right"/>
        <w:bidi/>
      </w:pPr>
      <w:r>
        <w:rPr>
          <w:rFonts w:ascii="Arial" w:hAnsi="Arial"/>
          <w:sz w:val="16"/>
        </w:rPr>
        <w:t>156.07  آزمون ارتقاء تناسب اندام (PFE) شامل طیف گسترده‌ای از دانش USAF است، در حالی که آزمون دانش تخصصی (SKT) دانش فنی گسترده AFSC را پوشش می‌دهد.</w:t>
      </w:r>
    </w:p>
    <w:p>
      <w:pPr>
        <w:spacing w:after="28" w:line="216" w:lineRule="auto"/>
        <w:ind w:left="259"/>
        <w:jc w:val="left"/>
      </w:pPr>
      <w:r>
        <w:rPr>
          <w:rFonts w:ascii="Arial" w:hAnsi="Arial"/>
          <w:color w:val="525252"/>
          <w:sz w:val="13"/>
        </w:rPr>
        <w:t>The Promotion Fitness Exam (PFE) contains a wide range of USAF knowledge, while the Specialty Knowledge Test (SKT) covers AFSC broad technical knowledge.</w:t>
      </w:r>
    </w:p>
    <w:p>
      <w:pPr>
        <w:spacing w:after="20" w:line="223" w:lineRule="auto"/>
        <w:jc w:val="right"/>
        <w:bidi/>
      </w:pPr>
      <w:r>
        <w:rPr>
          <w:rFonts w:ascii="Arial" w:hAnsi="Arial"/>
          <w:sz w:val="16"/>
        </w:rPr>
        <w:t>156.08  USAF انتخاب‌های تبلیغاتی را تحت WAPS در هر AFSC انجام می‌دهد، نه در همه AFSC ها.</w:t>
      </w:r>
    </w:p>
    <w:p>
      <w:pPr>
        <w:spacing w:after="28" w:line="216" w:lineRule="auto"/>
        <w:ind w:left="259"/>
        <w:jc w:val="left"/>
      </w:pPr>
      <w:r>
        <w:rPr>
          <w:rFonts w:ascii="Arial" w:hAnsi="Arial"/>
          <w:color w:val="525252"/>
          <w:sz w:val="13"/>
        </w:rPr>
        <w:t>The USAF makes promotion selections under the WAPS within each AFSC, not across all AFSCs.</w:t>
      </w:r>
    </w:p>
    <w:p>
      <w:pPr>
        <w:spacing w:after="20" w:line="223" w:lineRule="auto"/>
        <w:jc w:val="right"/>
        <w:bidi/>
      </w:pPr>
      <w:r>
        <w:rPr>
          <w:rFonts w:ascii="Arial" w:hAnsi="Arial"/>
          <w:sz w:val="16"/>
        </w:rPr>
        <w:t>156.09  این بدان معناست که افرادی که واجد شرایط هستند برای ارتقاء با افرادی که در حال حاضر در AFSC آنها کار می‌کنند رقابت خواهند کرد.</w:t>
      </w:r>
    </w:p>
    <w:p>
      <w:pPr>
        <w:spacing w:after="28" w:line="216" w:lineRule="auto"/>
        <w:ind w:left="259"/>
        <w:jc w:val="left"/>
      </w:pPr>
      <w:r>
        <w:rPr>
          <w:rFonts w:ascii="Arial" w:hAnsi="Arial"/>
          <w:color w:val="525252"/>
          <w:sz w:val="13"/>
        </w:rPr>
        <w:t>This means those who are eligible will compete for promotion with those individuals currently working in their AFSC.</w:t>
      </w:r>
    </w:p>
    <w:p>
      <w:pPr>
        <w:spacing w:after="20" w:line="223" w:lineRule="auto"/>
        <w:jc w:val="right"/>
        <w:bidi/>
      </w:pPr>
      <w:r>
        <w:rPr>
          <w:rFonts w:ascii="Arial" w:hAnsi="Arial"/>
          <w:sz w:val="16"/>
        </w:rPr>
        <w:t>156.10  برگزیدگان افرادی هستند که بالاترین امتیاز را در هر AFSC، در محدوده محدودیت‌های سهمیه، دارند.</w:t>
      </w:r>
    </w:p>
    <w:p>
      <w:pPr>
        <w:spacing w:after="28" w:line="216" w:lineRule="auto"/>
        <w:ind w:left="259"/>
        <w:jc w:val="left"/>
      </w:pPr>
      <w:r>
        <w:rPr>
          <w:rFonts w:ascii="Arial" w:hAnsi="Arial"/>
          <w:color w:val="525252"/>
          <w:sz w:val="13"/>
        </w:rPr>
        <w:t>Selectees are individuals with the highest scores in each AFSC, within the quota limitations.</w:t>
      </w:r>
    </w:p>
    <w:p>
      <w:pPr>
        <w:spacing w:after="20" w:line="223" w:lineRule="auto"/>
        <w:jc w:val="right"/>
        <w:bidi/>
      </w:pPr>
      <w:r>
        <w:rPr>
          <w:rFonts w:ascii="Arial" w:hAnsi="Arial"/>
          <w:sz w:val="16"/>
        </w:rPr>
        <w:t>156.11  اگر بیش از یک نفر امتیاز کل یکسان را در نقطه برش داشته باشند، USAF هرکسی را که آن امتیاز را داشته باشد ارتقا می‌دهد.</w:t>
      </w:r>
    </w:p>
    <w:p>
      <w:pPr>
        <w:spacing w:after="28" w:line="216" w:lineRule="auto"/>
        <w:ind w:left="259"/>
        <w:jc w:val="left"/>
      </w:pPr>
      <w:r>
        <w:rPr>
          <w:rFonts w:ascii="Arial" w:hAnsi="Arial"/>
          <w:color w:val="525252"/>
          <w:sz w:val="13"/>
        </w:rPr>
        <w:t>If more than one individual has the same total score at the cutoff point, the USAF promotes everyone with that score.</w:t>
      </w:r>
    </w:p>
    <w:p>
      <w:pPr>
        <w:spacing w:after="20" w:line="223" w:lineRule="auto"/>
        <w:jc w:val="right"/>
        <w:bidi/>
      </w:pPr>
      <w:r>
        <w:rPr>
          <w:rFonts w:ascii="Arial" w:hAnsi="Arial"/>
          <w:sz w:val="16"/>
        </w:rPr>
        <w:t>156.12  ترفیع درجه‌داران ارشد.</w:t>
      </w:r>
    </w:p>
    <w:p>
      <w:pPr>
        <w:spacing w:after="28" w:line="216" w:lineRule="auto"/>
        <w:ind w:left="259"/>
        <w:jc w:val="left"/>
      </w:pPr>
      <w:r>
        <w:rPr>
          <w:rFonts w:ascii="Arial" w:hAnsi="Arial"/>
          <w:color w:val="525252"/>
          <w:sz w:val="13"/>
        </w:rPr>
        <w:t>Senior Noncommissioned Officer Promotions.</w:t>
      </w:r>
    </w:p>
    <w:p>
      <w:pPr>
        <w:spacing w:after="20" w:line="223" w:lineRule="auto"/>
        <w:jc w:val="right"/>
        <w:bidi/>
      </w:pPr>
      <w:r>
        <w:rPr>
          <w:rFonts w:ascii="Arial" w:hAnsi="Arial"/>
          <w:sz w:val="16"/>
        </w:rPr>
        <w:t>156.13  هوانوردان برای ارتقاء به‌عنوان MSgt در کد تخصص AF کنترلی خود، به SMSgt در سطح سرپرست کد تخصصی کنترل AF خود، و به CMSgt در کد مدیر ارشد ثبت‌نام شده کد تخصصی AF کنترلی خود در تاریخ پایان واجد شرایط بودن ارتقاء انتخاب می‌شوند.</w:t>
      </w:r>
    </w:p>
    <w:p>
      <w:pPr>
        <w:spacing w:after="28" w:line="216" w:lineRule="auto"/>
        <w:ind w:left="259"/>
        <w:jc w:val="left"/>
      </w:pPr>
      <w:r>
        <w:rPr>
          <w:rFonts w:ascii="Arial" w:hAnsi="Arial"/>
          <w:color w:val="525252"/>
          <w:sz w:val="13"/>
        </w:rPr>
        <w:t>Airmen compete, and are selected for promotion, to MSgt in their control AF specialty code, to SMSgt in the superintendent level of their control AF specialty code, and to CMSgt in the chief enlisted manager code of their control AF specialty code as of promotion eligibility cutoff date.</w:t>
      </w:r>
    </w:p>
    <w:p>
      <w:pPr>
        <w:spacing w:after="20" w:line="223" w:lineRule="auto"/>
        <w:jc w:val="right"/>
        <w:bidi/>
      </w:pPr>
      <w:r>
        <w:rPr>
          <w:rFonts w:ascii="Arial" w:hAnsi="Arial"/>
          <w:sz w:val="16"/>
        </w:rPr>
        <w:t>156.14  افرادی که دارای نشانگر گزارش‌دهی یا نشانگر وظیفه ویژه هستند که به‌عنوان کد تخصصی AF کنترلی آنها در تاریخ قطع صلاحیت ارتقاء تعیین شده است، در آن شاخص گزارش‌دهی یا نشانگر وظیفه ویژه رقابت خواهند کرد.</w:t>
      </w:r>
    </w:p>
    <w:p>
      <w:pPr>
        <w:spacing w:after="28" w:line="216" w:lineRule="auto"/>
        <w:ind w:left="259"/>
        <w:jc w:val="left"/>
      </w:pPr>
      <w:r>
        <w:rPr>
          <w:rFonts w:ascii="Arial" w:hAnsi="Arial"/>
          <w:color w:val="525252"/>
          <w:sz w:val="13"/>
        </w:rPr>
        <w:t>Individuals with a reporting indicator or special duty indicator designated as their control AF specialty code on the promotion eligibility cutoff date will compete within that reporting indicator or special duty indicator.</w:t>
      </w:r>
    </w:p>
    <w:p>
      <w:pPr>
        <w:spacing w:after="20" w:line="223" w:lineRule="auto"/>
        <w:jc w:val="right"/>
        <w:bidi/>
      </w:pPr>
      <w:r>
        <w:rPr>
          <w:rFonts w:ascii="Arial" w:hAnsi="Arial"/>
          <w:sz w:val="16"/>
        </w:rPr>
        <w:t>156.15  تبلیغات SNCO از طریق یک هیئت مرکزی انجام می‌شود.</w:t>
      </w:r>
    </w:p>
    <w:p>
      <w:pPr>
        <w:spacing w:after="28" w:line="216" w:lineRule="auto"/>
        <w:ind w:left="259"/>
        <w:jc w:val="left"/>
      </w:pPr>
      <w:r>
        <w:rPr>
          <w:rFonts w:ascii="Arial" w:hAnsi="Arial"/>
          <w:color w:val="525252"/>
          <w:sz w:val="13"/>
        </w:rPr>
        <w:t>SNCO promotions are accomplished via a central board.</w:t>
      </w:r>
    </w:p>
    <w:p>
      <w:pPr>
        <w:spacing w:after="20" w:line="223" w:lineRule="auto"/>
        <w:jc w:val="right"/>
        <w:bidi/>
      </w:pPr>
      <w:r>
        <w:rPr>
          <w:rFonts w:ascii="Arial" w:hAnsi="Arial"/>
          <w:sz w:val="16"/>
        </w:rPr>
        <w:t>156.16  فرآیند ارتقاء تکمیلی درون سیستم.</w:t>
      </w:r>
    </w:p>
    <w:p>
      <w:pPr>
        <w:spacing w:after="28" w:line="216" w:lineRule="auto"/>
        <w:ind w:left="259"/>
        <w:jc w:val="left"/>
      </w:pPr>
      <w:r>
        <w:rPr>
          <w:rFonts w:ascii="Arial" w:hAnsi="Arial"/>
          <w:color w:val="525252"/>
          <w:sz w:val="13"/>
        </w:rPr>
        <w:t>In-System Supplemental Promotion Process.</w:t>
      </w:r>
    </w:p>
    <w:p>
      <w:pPr>
        <w:spacing w:after="20" w:line="223" w:lineRule="auto"/>
        <w:jc w:val="right"/>
        <w:bidi/>
      </w:pPr>
      <w:r>
        <w:rPr>
          <w:rFonts w:ascii="Arial" w:hAnsi="Arial"/>
          <w:sz w:val="16"/>
        </w:rPr>
        <w:t>156.17  اقدام تکمیلی درون سیستم معمولا به صورت ماهانه پردازش می‌شود.</w:t>
      </w:r>
    </w:p>
    <w:p>
      <w:pPr>
        <w:spacing w:after="28" w:line="216" w:lineRule="auto"/>
        <w:ind w:left="259"/>
        <w:jc w:val="left"/>
      </w:pPr>
      <w:r>
        <w:rPr>
          <w:rFonts w:ascii="Arial" w:hAnsi="Arial"/>
          <w:color w:val="525252"/>
          <w:sz w:val="13"/>
        </w:rPr>
        <w:t>The in-system supplemental action is typically processed on a monthly basis.</w:t>
      </w:r>
    </w:p>
    <w:p>
      <w:pPr>
        <w:spacing w:after="20" w:line="223" w:lineRule="auto"/>
        <w:jc w:val="right"/>
        <w:bidi/>
      </w:pPr>
      <w:r>
        <w:rPr>
          <w:rFonts w:ascii="Arial" w:hAnsi="Arial"/>
          <w:sz w:val="16"/>
        </w:rPr>
        <w:t>156.18  گروهبانان واجد شرایط کارکنان از طریق گروهبانان ارشد که تغییرات داده‌های قابل سنجش در پرونده ارتقای آنها، ماهانه برای بررسی ترفیع با یکدیگر رقابت می‌کنند.</w:t>
      </w:r>
    </w:p>
    <w:p>
      <w:pPr>
        <w:spacing w:after="28" w:line="216" w:lineRule="auto"/>
        <w:ind w:left="259"/>
        <w:jc w:val="left"/>
      </w:pPr>
      <w:r>
        <w:rPr>
          <w:rFonts w:ascii="Arial" w:hAnsi="Arial"/>
          <w:color w:val="525252"/>
          <w:sz w:val="13"/>
        </w:rPr>
        <w:t>Eligible Staff Sergeants through Senior Master Sergeants whose weighable data changes in their promotion file compete monthly for promotion consideration.</w:t>
      </w:r>
    </w:p>
    <w:p>
      <w:pPr>
        <w:spacing w:after="20" w:line="223" w:lineRule="auto"/>
        <w:jc w:val="right"/>
        <w:bidi/>
      </w:pPr>
      <w:r>
        <w:rPr>
          <w:rFonts w:ascii="Arial" w:hAnsi="Arial"/>
          <w:sz w:val="16"/>
        </w:rPr>
        <w:t>156.19  در نظر گرفتن تکمیلی درون سیستمی همچنین برای افرادی که پس از انتخاب اولیه آزمایش می‌کنند، مانند نیروهای هوایی مستقر، یا هر کسی که قادر به آزمایش در طول پنجره آزمایشی معمولی خود نبوده، اعمال می‌شود.</w:t>
      </w:r>
    </w:p>
    <w:p>
      <w:pPr>
        <w:spacing w:after="28" w:line="216" w:lineRule="auto"/>
        <w:ind w:left="259"/>
        <w:jc w:val="left"/>
      </w:pPr>
      <w:r>
        <w:rPr>
          <w:rFonts w:ascii="Arial" w:hAnsi="Arial"/>
          <w:color w:val="525252"/>
          <w:sz w:val="13"/>
        </w:rPr>
        <w:t>In- system supplemental consideration also applies to Airmen who test after initial selects have been made, such as deployed Airmen, or anyone who was unable to test during their normal testing window.</w:t>
      </w:r>
    </w:p>
    <w:p>
      <w:pPr>
        <w:spacing w:after="20" w:line="223" w:lineRule="auto"/>
        <w:jc w:val="right"/>
        <w:bidi/>
      </w:pPr>
      <w:r>
        <w:rPr>
          <w:rFonts w:ascii="Arial" w:hAnsi="Arial"/>
          <w:sz w:val="16"/>
        </w:rPr>
        <w:t>156.20  فرآیند ارتقاء تکمیلی درجه‌دار.</w:t>
      </w:r>
    </w:p>
    <w:p>
      <w:pPr>
        <w:spacing w:after="28" w:line="216" w:lineRule="auto"/>
        <w:ind w:left="259"/>
        <w:jc w:val="left"/>
      </w:pPr>
      <w:r>
        <w:rPr>
          <w:rFonts w:ascii="Arial" w:hAnsi="Arial"/>
          <w:color w:val="525252"/>
          <w:sz w:val="13"/>
        </w:rPr>
        <w:t>Senior Noncommissioned Officer Supplemental Promotion Process.</w:t>
      </w:r>
    </w:p>
    <w:p>
      <w:pPr>
        <w:spacing w:after="20" w:line="223" w:lineRule="auto"/>
        <w:jc w:val="right"/>
        <w:bidi/>
      </w:pPr>
      <w:r>
        <w:rPr>
          <w:rFonts w:ascii="Arial" w:hAnsi="Arial"/>
          <w:sz w:val="16"/>
        </w:rPr>
        <w:t>156.21  هیئت الحاقی SNCO برای آن دسته از اعضایی است که واجد شرایط ارتقاء به سرگروهبان، سرگروهبان ارشد، یا سرگروهبان ارشد هستند.</w:t>
      </w:r>
    </w:p>
    <w:p>
      <w:pPr>
        <w:spacing w:after="28" w:line="216" w:lineRule="auto"/>
        <w:ind w:left="259"/>
        <w:jc w:val="left"/>
      </w:pPr>
      <w:r>
        <w:rPr>
          <w:rFonts w:ascii="Arial" w:hAnsi="Arial"/>
          <w:color w:val="525252"/>
          <w:sz w:val="13"/>
        </w:rPr>
        <w:t>The SNCO supplemental board is for those members promotion-eligible to Master Sergeant, Senior Master Sergeant, or Chief Master Sergeant.</w:t>
      </w:r>
    </w:p>
    <w:p>
      <w:pPr>
        <w:spacing w:after="20" w:line="223" w:lineRule="auto"/>
        <w:jc w:val="right"/>
        <w:bidi/>
      </w:pPr>
      <w:r>
        <w:rPr>
          <w:rFonts w:ascii="Arial" w:hAnsi="Arial"/>
          <w:sz w:val="16"/>
        </w:rPr>
        <w:t>156.22  هیئت‌های ارزیابی تکمیلی به صورت شش ماهه انجام می‌شود.</w:t>
      </w:r>
    </w:p>
    <w:p>
      <w:pPr>
        <w:spacing w:after="28" w:line="216" w:lineRule="auto"/>
        <w:ind w:left="259"/>
        <w:jc w:val="left"/>
      </w:pPr>
      <w:r>
        <w:rPr>
          <w:rFonts w:ascii="Arial" w:hAnsi="Arial"/>
          <w:color w:val="525252"/>
          <w:sz w:val="13"/>
        </w:rPr>
        <w:t>Supplemental evaluation boards are conducted on a semiannual basis.</w:t>
      </w:r>
    </w:p>
    <w:p>
      <w:pPr>
        <w:spacing w:after="20" w:line="223" w:lineRule="auto"/>
        <w:jc w:val="right"/>
        <w:bidi/>
      </w:pPr>
      <w:r>
        <w:rPr>
          <w:rFonts w:ascii="Arial" w:hAnsi="Arial"/>
          <w:sz w:val="16"/>
        </w:rPr>
        <w:t>156.23  SNCO ها در صورتی که معتقدند درخواست معتبری دارند، می‌توانند درخواست ملاقات با هیئت تکمیلی را داشته باشند.</w:t>
      </w:r>
    </w:p>
    <w:p>
      <w:pPr>
        <w:spacing w:after="28" w:line="216" w:lineRule="auto"/>
        <w:ind w:left="259"/>
        <w:jc w:val="left"/>
      </w:pPr>
      <w:r>
        <w:rPr>
          <w:rFonts w:ascii="Arial" w:hAnsi="Arial"/>
          <w:color w:val="525252"/>
          <w:sz w:val="13"/>
        </w:rPr>
        <w:t>SNCOs may request to meet the supplemental board if they believe they have a valid request.</w:t>
      </w:r>
    </w:p>
    <w:p>
      <w:pPr>
        <w:spacing w:after="20" w:line="223" w:lineRule="auto"/>
        <w:jc w:val="right"/>
        <w:bidi/>
      </w:pPr>
      <w:r>
        <w:rPr>
          <w:rFonts w:ascii="Arial" w:hAnsi="Arial"/>
          <w:sz w:val="16"/>
        </w:rPr>
        <w:t>156.24  به استثنای ارزیابی تاریخ بسته بندی ایستا از دست رفته، زمانی که یک رکورد با هیئت مدیره قبلی که واجد شرایط آن بودند، مطابقت نداشته باشد، هیچ تأییدیه خودکاری برای بررسی هیئت تکمیلی وجود ندارد.</w:t>
      </w:r>
    </w:p>
    <w:p>
      <w:pPr>
        <w:spacing w:after="28" w:line="216" w:lineRule="auto"/>
        <w:ind w:left="259"/>
        <w:jc w:val="left"/>
      </w:pPr>
      <w:r>
        <w:rPr>
          <w:rFonts w:ascii="Arial" w:hAnsi="Arial"/>
          <w:color w:val="525252"/>
          <w:sz w:val="13"/>
        </w:rPr>
        <w:t>With the exception of a missing static closeout date evaluation, there are no automatic approvals for supplemental board consideration when a record did not meet a previous board for which they were eligible.</w:t>
      </w:r>
    </w:p>
    <w:p>
      <w:pPr>
        <w:spacing w:after="20" w:line="223" w:lineRule="auto"/>
        <w:jc w:val="right"/>
        <w:bidi/>
      </w:pPr>
      <w:r>
        <w:rPr>
          <w:rFonts w:ascii="Arial" w:hAnsi="Arial"/>
          <w:sz w:val="16"/>
        </w:rPr>
        <w:t>156.25  اگر خطا یا حذفی در پرونده تأیید داده‌ها یا در پرونده انتخاب SNCO واقع در برنامه نمایش سوابق پرسنل ظاهر شده باشد و فرد اقدامات لازم را برای تصحیح خطا قبل از انتخاب ارتقا یا قبل از هیئت ارزیابی انجام نداده باشد، ممکن است بررسی ارتقاء تکمیلی اعطا نشود.</w:t>
      </w:r>
    </w:p>
    <w:p>
      <w:pPr>
        <w:spacing w:after="28" w:line="216" w:lineRule="auto"/>
        <w:ind w:left="259"/>
        <w:jc w:val="left"/>
      </w:pPr>
      <w:r>
        <w:rPr>
          <w:rFonts w:ascii="Arial" w:hAnsi="Arial"/>
          <w:color w:val="525252"/>
          <w:sz w:val="13"/>
        </w:rPr>
        <w:t>Supplemental promotion consideration may not be granted if an error or omission appeared on the data verification record or in the SNCO selection record located in the personnel records display application, and the individual did not take the necessary steps to correct the error prior to promotion selection or prior to the evaluation board.</w:t>
      </w:r>
    </w:p>
    <w:p>
      <w:pPr>
        <w:spacing w:after="20" w:line="223" w:lineRule="auto"/>
        <w:jc w:val="right"/>
        <w:bidi/>
      </w:pPr>
      <w:r>
        <w:rPr>
          <w:rFonts w:ascii="Arial" w:hAnsi="Arial"/>
          <w:sz w:val="16"/>
        </w:rPr>
        <w:t>156.26  درخواست‌های بررسی تکمیلی کاملا مستند، شامل اثبات اقدامات اصلاحی یا پیگیری انجام شده توسط فرد برای اصلاح خطا، با توصیه فرمانده یگان فرد به صورت کتبی به پرواز پرسنل نظامی ارائه می‌شود.</w:t>
      </w:r>
    </w:p>
    <w:p>
      <w:pPr>
        <w:spacing w:after="28" w:line="216" w:lineRule="auto"/>
        <w:ind w:left="259"/>
        <w:jc w:val="left"/>
      </w:pPr>
      <w:r>
        <w:rPr>
          <w:rFonts w:ascii="Arial" w:hAnsi="Arial"/>
          <w:color w:val="525252"/>
          <w:sz w:val="13"/>
        </w:rPr>
        <w:t>Fully documented supplemental consideration requests, to include proof of corrective or follow-up actions taken by the individual to correct the error, are submitted to the military personnel flight in writing with the recommendation of the individual’s unit commander.</w:t>
      </w:r>
    </w:p>
    <w:p>
      <w:pPr>
        <w:spacing w:after="20" w:line="223" w:lineRule="auto"/>
        <w:jc w:val="right"/>
        <w:bidi/>
      </w:pPr>
      <w:r>
        <w:rPr>
          <w:rFonts w:ascii="Arial" w:hAnsi="Arial"/>
          <w:sz w:val="16"/>
        </w:rPr>
        <w:t>156.27  پرواز پرسنل نظامی درخواست را برای تأیید نهایی به مرکز پرسنل نیروی هوایی ارسال می‌کند.</w:t>
      </w:r>
    </w:p>
    <w:p>
      <w:pPr>
        <w:spacing w:after="28" w:line="216" w:lineRule="auto"/>
        <w:ind w:left="259"/>
        <w:jc w:val="left"/>
      </w:pPr>
      <w:r>
        <w:rPr>
          <w:rFonts w:ascii="Arial" w:hAnsi="Arial"/>
          <w:color w:val="525252"/>
          <w:sz w:val="13"/>
        </w:rPr>
        <w:t>The military personnel flight forwards the request to Air Force Personnel Center for final approval.</w:t>
      </w:r>
    </w:p>
    <w:p>
      <w:r>
        <w:br w:type="page"/>
      </w:r>
    </w:p>
    <w:p>
      <w:pPr>
        <w:spacing w:after="60"/>
        <w:jc w:val="right"/>
        <w:bidi/>
      </w:pPr>
      <w:r>
        <w:rPr>
          <w:rFonts w:ascii="Arial" w:hAnsi="Arial"/>
          <w:b/>
          <w:color w:val="1F4D78"/>
          <w:sz w:val="19"/>
        </w:rPr>
        <w:t>هفتهٔ 157  |  صفحهٔ منبع: 173</w:t>
      </w:r>
    </w:p>
    <w:p>
      <w:pPr>
        <w:spacing w:before="60" w:after="28"/>
        <w:jc w:val="right"/>
        <w:bidi/>
      </w:pPr>
      <w:r>
        <w:rPr>
          <w:b/>
          <w:color w:val="1F4D78"/>
          <w:sz w:val="18"/>
        </w:rPr>
        <w:t>بخش 9B — چرخه های ارتقا</w:t>
      </w:r>
    </w:p>
    <w:p>
      <w:pPr>
        <w:spacing w:after="20"/>
        <w:ind w:left="259"/>
        <w:jc w:val="left"/>
      </w:pPr>
      <w:r>
        <w:rPr>
          <w:color w:val="555555"/>
          <w:sz w:val="12"/>
        </w:rPr>
        <w:t>Section 9B—Promotion Cycles</w:t>
      </w:r>
    </w:p>
    <w:p>
      <w:pPr>
        <w:spacing w:before="60" w:after="28"/>
        <w:jc w:val="right"/>
        <w:bidi/>
      </w:pPr>
      <w:r>
        <w:rPr>
          <w:b/>
          <w:color w:val="1F4D78"/>
          <w:sz w:val="18"/>
        </w:rPr>
        <w:t>9.4. چرخه های ترفیع و واجد شرایط بودن</w:t>
      </w:r>
    </w:p>
    <w:p>
      <w:pPr>
        <w:spacing w:after="20"/>
        <w:ind w:left="259"/>
        <w:jc w:val="left"/>
      </w:pPr>
      <w:r>
        <w:rPr>
          <w:color w:val="555555"/>
          <w:sz w:val="12"/>
        </w:rPr>
        <w:t>9.4. Promotion Cycles and Eligibility</w:t>
      </w:r>
    </w:p>
    <w:p>
      <w:pPr>
        <w:spacing w:after="20" w:line="223" w:lineRule="auto"/>
        <w:jc w:val="right"/>
        <w:bidi/>
      </w:pPr>
      <w:r>
        <w:rPr>
          <w:rFonts w:ascii="Arial" w:hAnsi="Arial"/>
          <w:sz w:val="16"/>
        </w:rPr>
        <w:t>157.03  USAF چرخه‌های ارتقاء را ایجاد می‌کند تا از تبلیغات دوره‌ای به موقع اطمینان حاصل کند و امکان پیش بینی دقیق مشاغل خالی را فراهم کند.</w:t>
      </w:r>
    </w:p>
    <w:p>
      <w:pPr>
        <w:spacing w:after="28" w:line="216" w:lineRule="auto"/>
        <w:ind w:left="259"/>
        <w:jc w:val="left"/>
      </w:pPr>
      <w:r>
        <w:rPr>
          <w:rFonts w:ascii="Arial" w:hAnsi="Arial"/>
          <w:color w:val="525252"/>
          <w:sz w:val="13"/>
        </w:rPr>
        <w:t>The USAF establishes promotion cycles to ensure timely periodic promotions and to permit accurate forecasting of vacancies.</w:t>
      </w:r>
    </w:p>
    <w:p>
      <w:pPr>
        <w:spacing w:after="20" w:line="223" w:lineRule="auto"/>
        <w:jc w:val="right"/>
        <w:bidi/>
      </w:pPr>
      <w:r>
        <w:rPr>
          <w:rFonts w:ascii="Arial" w:hAnsi="Arial"/>
          <w:sz w:val="16"/>
        </w:rPr>
        <w:t>157.04  چرخه‌های ارتقاء همچنین بار کاری اداری ارتقاء را متعادل می‌کنند و تاریخ‌های پایان واجد شرایط بودن ارتقا (PECD) را ارائه می‌دهند.</w:t>
      </w:r>
    </w:p>
    <w:p>
      <w:pPr>
        <w:spacing w:after="28" w:line="216" w:lineRule="auto"/>
        <w:ind w:left="259"/>
        <w:jc w:val="left"/>
      </w:pPr>
      <w:r>
        <w:rPr>
          <w:rFonts w:ascii="Arial" w:hAnsi="Arial"/>
          <w:color w:val="525252"/>
          <w:sz w:val="13"/>
        </w:rPr>
        <w:t>Promotion cycles also balance the promotion administrative workload and provide promotion eligibility cutoff dates (PECD).</w:t>
      </w:r>
    </w:p>
    <w:p>
      <w:pPr>
        <w:spacing w:after="20" w:line="223" w:lineRule="auto"/>
        <w:jc w:val="right"/>
        <w:bidi/>
      </w:pPr>
      <w:r>
        <w:rPr>
          <w:rFonts w:ascii="Arial" w:hAnsi="Arial"/>
          <w:sz w:val="16"/>
        </w:rPr>
        <w:t>157.05  عوامل واجد شرایط بودن ترفیع ممکن است شامل سطح مهارت مناسب، زمان کافی در درجه، زمان کافی در خدمت، توصیه فرمانده، تکمیل تحصیلات نظامی حرفه‌ای (PME)، تکمیل مدرک دانشگاهی، سال‌های انباشته خدمت سربازی، و سال بالای تصدی باشد.</w:t>
      </w:r>
    </w:p>
    <w:p>
      <w:pPr>
        <w:spacing w:after="28" w:line="216" w:lineRule="auto"/>
        <w:ind w:left="259"/>
        <w:jc w:val="left"/>
      </w:pPr>
      <w:r>
        <w:rPr>
          <w:rFonts w:ascii="Arial" w:hAnsi="Arial"/>
          <w:color w:val="525252"/>
          <w:sz w:val="13"/>
        </w:rPr>
        <w:t>Factors for promotion eligibility may include proper skill level, sufficient time in grade, sufficient time in service, commander recommendation, completion of enlisted professional military education (PME), completion of a college degree, cumulative years of enlisted service, and high year of tenure.</w:t>
      </w:r>
    </w:p>
    <w:p>
      <w:pPr>
        <w:spacing w:after="20" w:line="223" w:lineRule="auto"/>
        <w:jc w:val="right"/>
        <w:bidi/>
      </w:pPr>
      <w:r>
        <w:rPr>
          <w:rFonts w:ascii="Arial" w:hAnsi="Arial"/>
          <w:sz w:val="16"/>
        </w:rPr>
        <w:t>157.06  توجه: ارتقای اجزای رزرو هوایی بر اساس ترکیبی از موقعیت خالی، زمان در کلاس، زمان در خدمت، تناسب اندام و تکمیل آموزش نظامی حرفه‌ای مناسب است.</w:t>
      </w:r>
    </w:p>
    <w:p>
      <w:pPr>
        <w:spacing w:after="28" w:line="216" w:lineRule="auto"/>
        <w:ind w:left="259"/>
        <w:jc w:val="left"/>
      </w:pPr>
      <w:r>
        <w:rPr>
          <w:rFonts w:ascii="Arial" w:hAnsi="Arial"/>
          <w:color w:val="525252"/>
          <w:sz w:val="13"/>
        </w:rPr>
        <w:t>Note: Air Reserve Components promotions are based on a combination of position vacancy, time-in-grade, time-in- service, fitness, and completion of appropriate professional military education.</w:t>
      </w:r>
    </w:p>
    <w:p>
      <w:pPr>
        <w:spacing w:before="60" w:after="28"/>
        <w:jc w:val="right"/>
        <w:bidi/>
      </w:pPr>
      <w:r>
        <w:rPr>
          <w:b/>
          <w:color w:val="1F4D78"/>
          <w:sz w:val="18"/>
        </w:rPr>
        <w:t>9.5. دستورالعمل های تبلیغاتی اولیه</w:t>
      </w:r>
    </w:p>
    <w:p>
      <w:pPr>
        <w:spacing w:after="20"/>
        <w:ind w:left="259"/>
        <w:jc w:val="left"/>
      </w:pPr>
      <w:r>
        <w:rPr>
          <w:color w:val="555555"/>
          <w:sz w:val="12"/>
        </w:rPr>
        <w:t>9.5. Basic Promotion Guidelines</w:t>
      </w:r>
    </w:p>
    <w:p>
      <w:pPr>
        <w:spacing w:after="20" w:line="223" w:lineRule="auto"/>
        <w:jc w:val="right"/>
        <w:bidi/>
      </w:pPr>
      <w:r>
        <w:rPr>
          <w:rFonts w:ascii="Arial" w:hAnsi="Arial"/>
          <w:sz w:val="16"/>
        </w:rPr>
        <w:t>157.08  دستورالعمل‌های ارتقای اولیه برای اعضای ثبت‌نام شده در اینجا ارائه شده است.</w:t>
      </w:r>
    </w:p>
    <w:p>
      <w:pPr>
        <w:spacing w:after="28" w:line="216" w:lineRule="auto"/>
        <w:ind w:left="259"/>
        <w:jc w:val="left"/>
      </w:pPr>
      <w:r>
        <w:rPr>
          <w:rFonts w:ascii="Arial" w:hAnsi="Arial"/>
          <w:color w:val="525252"/>
          <w:sz w:val="13"/>
        </w:rPr>
        <w:t>The basic promotion guidelines for enlisted members are provided here.</w:t>
      </w:r>
    </w:p>
    <w:p>
      <w:pPr>
        <w:spacing w:after="20" w:line="223" w:lineRule="auto"/>
        <w:jc w:val="right"/>
        <w:bidi/>
      </w:pPr>
      <w:r>
        <w:rPr>
          <w:rFonts w:ascii="Arial" w:hAnsi="Arial"/>
          <w:sz w:val="16"/>
        </w:rPr>
        <w:t>157.09  ارتقاء به عضو نیروی هوایی.</w:t>
      </w:r>
    </w:p>
    <w:p>
      <w:pPr>
        <w:spacing w:after="28" w:line="216" w:lineRule="auto"/>
        <w:ind w:left="259"/>
        <w:jc w:val="left"/>
      </w:pPr>
      <w:r>
        <w:rPr>
          <w:rFonts w:ascii="Arial" w:hAnsi="Arial"/>
          <w:color w:val="525252"/>
          <w:sz w:val="13"/>
        </w:rPr>
        <w:t>Promotion to Airman.</w:t>
      </w:r>
    </w:p>
    <w:p>
      <w:pPr>
        <w:spacing w:after="20" w:line="223" w:lineRule="auto"/>
        <w:jc w:val="right"/>
        <w:bidi/>
      </w:pPr>
      <w:r>
        <w:rPr>
          <w:rFonts w:ascii="Arial" w:hAnsi="Arial"/>
          <w:sz w:val="16"/>
        </w:rPr>
        <w:t>157.10  عضو نیروی هوایی باسیک ممکن است واجد شرایط ارتقاء به عضو نیروی هوایی در مدت شش ماه در درجه باشد.</w:t>
      </w:r>
    </w:p>
    <w:p>
      <w:pPr>
        <w:spacing w:after="28" w:line="216" w:lineRule="auto"/>
        <w:ind w:left="259"/>
        <w:jc w:val="left"/>
      </w:pPr>
      <w:r>
        <w:rPr>
          <w:rFonts w:ascii="Arial" w:hAnsi="Arial"/>
          <w:color w:val="525252"/>
          <w:sz w:val="13"/>
        </w:rPr>
        <w:t>Airman Basic may be promotion eligible to Airman at six months of time in grade.</w:t>
      </w:r>
    </w:p>
    <w:p>
      <w:pPr>
        <w:spacing w:after="20" w:line="223" w:lineRule="auto"/>
        <w:jc w:val="right"/>
        <w:bidi/>
      </w:pPr>
      <w:r>
        <w:rPr>
          <w:rFonts w:ascii="Arial" w:hAnsi="Arial"/>
          <w:sz w:val="16"/>
        </w:rPr>
        <w:t>157.11  ارتقاء به عضو نیروی هوایی فیرست کلاسس.</w:t>
      </w:r>
    </w:p>
    <w:p>
      <w:pPr>
        <w:spacing w:after="28" w:line="216" w:lineRule="auto"/>
        <w:ind w:left="259"/>
        <w:jc w:val="left"/>
      </w:pPr>
      <w:r>
        <w:rPr>
          <w:rFonts w:ascii="Arial" w:hAnsi="Arial"/>
          <w:color w:val="525252"/>
          <w:sz w:val="13"/>
        </w:rPr>
        <w:t>Promotion to Airman First Class.</w:t>
      </w:r>
    </w:p>
    <w:p>
      <w:pPr>
        <w:spacing w:after="20" w:line="223" w:lineRule="auto"/>
        <w:jc w:val="right"/>
        <w:bidi/>
      </w:pPr>
      <w:r>
        <w:rPr>
          <w:rFonts w:ascii="Arial" w:hAnsi="Arial"/>
          <w:sz w:val="16"/>
        </w:rPr>
        <w:t>157.12  عضو نیروی هوایی ممکن است واجد شرایط ارتقاء درجه یک عضو نیروی هوایی در ۱۰ ماه در درجه باشد.</w:t>
      </w:r>
    </w:p>
    <w:p>
      <w:pPr>
        <w:spacing w:after="28" w:line="216" w:lineRule="auto"/>
        <w:ind w:left="259"/>
        <w:jc w:val="left"/>
      </w:pPr>
      <w:r>
        <w:rPr>
          <w:rFonts w:ascii="Arial" w:hAnsi="Arial"/>
          <w:color w:val="525252"/>
          <w:sz w:val="13"/>
        </w:rPr>
        <w:t>Airman may be promotion eligible to Airman First Class at 10 months of time in grade.</w:t>
      </w:r>
    </w:p>
    <w:p>
      <w:pPr>
        <w:spacing w:after="20" w:line="223" w:lineRule="auto"/>
        <w:jc w:val="right"/>
        <w:bidi/>
      </w:pPr>
      <w:r>
        <w:rPr>
          <w:rFonts w:ascii="Arial" w:hAnsi="Arial"/>
          <w:sz w:val="16"/>
        </w:rPr>
        <w:t>157.13  هوانوردانی که در ابتدا برای یک دوره شش ساله ثبت‌نام می‌کنند، پس از اتمام آموزش فنی یا ۲۰ هفته آموزش فنی پس از فارغ‌التحصیلی از آموزش نظامی اولیه (هر کدام که اول اتفاق بیفتد) از عضو نیروی هوایی باسیک به عضو نیروی هوایی فیرست کلاسس ارتقا می‌یابند.</w:t>
      </w:r>
    </w:p>
    <w:p>
      <w:pPr>
        <w:spacing w:after="28" w:line="216" w:lineRule="auto"/>
        <w:ind w:left="259"/>
        <w:jc w:val="left"/>
      </w:pPr>
      <w:r>
        <w:rPr>
          <w:rFonts w:ascii="Arial" w:hAnsi="Arial"/>
          <w:color w:val="525252"/>
          <w:sz w:val="13"/>
        </w:rPr>
        <w:t>Airmen initially enlisting for a period of six years are promoted from Airman Basic to Airman First Class upon completion of either technical training or 20 weeks of technical training after graduation from basic military training (whichever occurs first).</w:t>
      </w:r>
    </w:p>
    <w:p>
      <w:pPr>
        <w:spacing w:after="20" w:line="223" w:lineRule="auto"/>
        <w:jc w:val="right"/>
        <w:bidi/>
      </w:pPr>
      <w:r>
        <w:rPr>
          <w:rFonts w:ascii="Arial" w:hAnsi="Arial"/>
          <w:sz w:val="16"/>
        </w:rPr>
        <w:t>157.14  تاریخ رتبه برای عضو نیروی هوایی فیرست کلاسس پس از آن با تاریخ امضا کننده در گواهی آموزش نظامی پایه، بدون حقوق معوقه و کمک هزینه تنظیم می‌شود.</w:t>
      </w:r>
    </w:p>
    <w:p>
      <w:pPr>
        <w:spacing w:after="28" w:line="216" w:lineRule="auto"/>
        <w:ind w:left="259"/>
        <w:jc w:val="left"/>
      </w:pPr>
      <w:r>
        <w:rPr>
          <w:rFonts w:ascii="Arial" w:hAnsi="Arial"/>
          <w:color w:val="525252"/>
          <w:sz w:val="13"/>
        </w:rPr>
        <w:t>The date of rank for Airman First Class is then adjusted to the signatory date on the basic military training certificate, without back pay and allowances.</w:t>
      </w:r>
    </w:p>
    <w:p>
      <w:pPr>
        <w:spacing w:after="20" w:line="223" w:lineRule="auto"/>
        <w:jc w:val="right"/>
        <w:bidi/>
      </w:pPr>
      <w:r>
        <w:rPr>
          <w:rFonts w:ascii="Arial" w:hAnsi="Arial"/>
          <w:sz w:val="16"/>
        </w:rPr>
        <w:t>157.15  ارتقاء به فرمانده ارشد.</w:t>
      </w:r>
    </w:p>
    <w:p>
      <w:pPr>
        <w:spacing w:after="28" w:line="216" w:lineRule="auto"/>
        <w:ind w:left="259"/>
        <w:jc w:val="left"/>
      </w:pPr>
      <w:r>
        <w:rPr>
          <w:rFonts w:ascii="Arial" w:hAnsi="Arial"/>
          <w:color w:val="525252"/>
          <w:sz w:val="13"/>
        </w:rPr>
        <w:t>Promotion to Senior Airman.</w:t>
      </w:r>
    </w:p>
    <w:p>
      <w:pPr>
        <w:spacing w:after="20" w:line="223" w:lineRule="auto"/>
        <w:jc w:val="right"/>
        <w:bidi/>
      </w:pPr>
      <w:r>
        <w:rPr>
          <w:rFonts w:ascii="Arial" w:hAnsi="Arial"/>
          <w:sz w:val="16"/>
        </w:rPr>
        <w:t>157.16  هوانوردان ممکن است پس از اتمام ۳۶ ماه خدمت و ۲۰ ماه در درجه یا ۲۸ ماه در درجه (هر کدام که اول اتفاق بیفتد) واجد شرایط ترفیع به هوانورد ارشد باشند.</w:t>
      </w:r>
    </w:p>
    <w:p>
      <w:pPr>
        <w:spacing w:after="28" w:line="216" w:lineRule="auto"/>
        <w:ind w:left="259"/>
        <w:jc w:val="left"/>
      </w:pPr>
      <w:r>
        <w:rPr>
          <w:rFonts w:ascii="Arial" w:hAnsi="Arial"/>
          <w:color w:val="525252"/>
          <w:sz w:val="13"/>
        </w:rPr>
        <w:t>Airmen may be promotion eligible to Senior Airman upon completion of 36 months of time in service and 20 months of time in grade or 28 months of time in grade (whichever occurs first).</w:t>
      </w:r>
    </w:p>
    <w:p>
      <w:pPr>
        <w:spacing w:after="20" w:line="223" w:lineRule="auto"/>
        <w:jc w:val="right"/>
        <w:bidi/>
      </w:pPr>
      <w:r>
        <w:rPr>
          <w:rFonts w:ascii="Arial" w:hAnsi="Arial"/>
          <w:sz w:val="16"/>
        </w:rPr>
        <w:t>157.17  سطح مهارت مورد نیاز در AFSC اولیه ۳ سطح است.</w:t>
      </w:r>
    </w:p>
    <w:p>
      <w:pPr>
        <w:spacing w:after="28" w:line="216" w:lineRule="auto"/>
        <w:ind w:left="259"/>
        <w:jc w:val="left"/>
      </w:pPr>
      <w:r>
        <w:rPr>
          <w:rFonts w:ascii="Arial" w:hAnsi="Arial"/>
          <w:color w:val="525252"/>
          <w:sz w:val="13"/>
        </w:rPr>
        <w:t>Required skill level in primary AFSC is 3-level.</w:t>
      </w:r>
    </w:p>
    <w:p>
      <w:pPr>
        <w:spacing w:after="20" w:line="223" w:lineRule="auto"/>
        <w:jc w:val="right"/>
        <w:bidi/>
      </w:pPr>
      <w:r>
        <w:rPr>
          <w:rFonts w:ascii="Arial" w:hAnsi="Arial"/>
          <w:sz w:val="16"/>
        </w:rPr>
        <w:t>157.18  هواپیمای ارشد در زیر منطقه یک بررسی ارتقای یک بار برای ارتقاء به سنیور عضو نیروی هوایی شش ماه زودتر از جدول زمانی اولیه ارتقاء به سنیور عضو نیروی هوایی است.</w:t>
      </w:r>
    </w:p>
    <w:p>
      <w:pPr>
        <w:spacing w:after="28" w:line="216" w:lineRule="auto"/>
        <w:ind w:left="259"/>
        <w:jc w:val="left"/>
      </w:pPr>
      <w:r>
        <w:rPr>
          <w:rFonts w:ascii="Arial" w:hAnsi="Arial"/>
          <w:color w:val="525252"/>
          <w:sz w:val="13"/>
        </w:rPr>
        <w:t>Senior Airman below-the-zone is a one-time promotion consideration to advance to Senior Airman six months earlier than basic promotion timelines to Senior Airman.</w:t>
      </w:r>
    </w:p>
    <w:p>
      <w:pPr>
        <w:spacing w:after="20" w:line="223" w:lineRule="auto"/>
        <w:jc w:val="right"/>
        <w:bidi/>
      </w:pPr>
      <w:r>
        <w:rPr>
          <w:rFonts w:ascii="Arial" w:hAnsi="Arial"/>
          <w:sz w:val="16"/>
        </w:rPr>
        <w:t>157.19  ارتقاء به گروهبان ستاد.</w:t>
      </w:r>
    </w:p>
    <w:p>
      <w:pPr>
        <w:spacing w:after="28" w:line="216" w:lineRule="auto"/>
        <w:ind w:left="259"/>
        <w:jc w:val="left"/>
      </w:pPr>
      <w:r>
        <w:rPr>
          <w:rFonts w:ascii="Arial" w:hAnsi="Arial"/>
          <w:color w:val="525252"/>
          <w:sz w:val="13"/>
        </w:rPr>
        <w:t>Promotion to Staff Sergeant.</w:t>
      </w:r>
    </w:p>
    <w:p>
      <w:pPr>
        <w:spacing w:after="20" w:line="223" w:lineRule="auto"/>
        <w:jc w:val="right"/>
        <w:bidi/>
      </w:pPr>
      <w:r>
        <w:rPr>
          <w:rFonts w:ascii="Arial" w:hAnsi="Arial"/>
          <w:sz w:val="16"/>
        </w:rPr>
        <w:t>157.20  هوانوردان ارشد ممکن است پس از اتمام سه سال خدمت و شش ماه در درجه، واجد شرایط ارتقاء به گروهبان کارکنان شوند.</w:t>
      </w:r>
    </w:p>
    <w:p>
      <w:pPr>
        <w:spacing w:after="28" w:line="216" w:lineRule="auto"/>
        <w:ind w:left="259"/>
        <w:jc w:val="left"/>
      </w:pPr>
      <w:r>
        <w:rPr>
          <w:rFonts w:ascii="Arial" w:hAnsi="Arial"/>
          <w:color w:val="525252"/>
          <w:sz w:val="13"/>
        </w:rPr>
        <w:t>Senior Airmen may be promotion eligible to Staff Sergeant upon completion of three years of time in service and six months of time in grade.</w:t>
      </w:r>
    </w:p>
    <w:p>
      <w:pPr>
        <w:spacing w:after="20" w:line="223" w:lineRule="auto"/>
        <w:jc w:val="right"/>
        <w:bidi/>
      </w:pPr>
      <w:r>
        <w:rPr>
          <w:rFonts w:ascii="Arial" w:hAnsi="Arial"/>
          <w:sz w:val="16"/>
        </w:rPr>
        <w:t>157.21  PECD برای ارتقاء به گروهبان ستادی ۳۱ مارس است.</w:t>
      </w:r>
    </w:p>
    <w:p>
      <w:pPr>
        <w:spacing w:after="28" w:line="216" w:lineRule="auto"/>
        <w:ind w:left="259"/>
        <w:jc w:val="left"/>
      </w:pPr>
      <w:r>
        <w:rPr>
          <w:rFonts w:ascii="Arial" w:hAnsi="Arial"/>
          <w:color w:val="525252"/>
          <w:sz w:val="13"/>
        </w:rPr>
        <w:t>The PECD for promotion to Staff Sergeant is 31 March.</w:t>
      </w:r>
    </w:p>
    <w:p>
      <w:pPr>
        <w:spacing w:after="20" w:line="223" w:lineRule="auto"/>
        <w:jc w:val="right"/>
        <w:bidi/>
      </w:pPr>
      <w:r>
        <w:rPr>
          <w:rFonts w:ascii="Arial" w:hAnsi="Arial"/>
          <w:sz w:val="16"/>
        </w:rPr>
        <w:t>157.22  چرخه آزمون اردیبهشت تا ژوئن است.</w:t>
      </w:r>
    </w:p>
    <w:p>
      <w:pPr>
        <w:spacing w:after="28" w:line="216" w:lineRule="auto"/>
        <w:ind w:left="259"/>
        <w:jc w:val="left"/>
      </w:pPr>
      <w:r>
        <w:rPr>
          <w:rFonts w:ascii="Arial" w:hAnsi="Arial"/>
          <w:color w:val="525252"/>
          <w:sz w:val="13"/>
        </w:rPr>
        <w:t>The test cycle is May - June.</w:t>
      </w:r>
    </w:p>
    <w:p>
      <w:pPr>
        <w:spacing w:after="20" w:line="223" w:lineRule="auto"/>
        <w:jc w:val="right"/>
        <w:bidi/>
      </w:pPr>
      <w:r>
        <w:rPr>
          <w:rFonts w:ascii="Arial" w:hAnsi="Arial"/>
          <w:sz w:val="16"/>
        </w:rPr>
        <w:t>157.23  سطح مهارت مورد نیاز در AFSC اولیه ۵ سطح است.</w:t>
      </w:r>
    </w:p>
    <w:p>
      <w:pPr>
        <w:spacing w:after="28" w:line="216" w:lineRule="auto"/>
        <w:ind w:left="259"/>
        <w:jc w:val="left"/>
      </w:pPr>
      <w:r>
        <w:rPr>
          <w:rFonts w:ascii="Arial" w:hAnsi="Arial"/>
          <w:color w:val="525252"/>
          <w:sz w:val="13"/>
        </w:rPr>
        <w:t>Required skill level in primary AFSC is 5-level.</w:t>
      </w:r>
    </w:p>
    <w:p>
      <w:pPr>
        <w:spacing w:after="20" w:line="223" w:lineRule="auto"/>
        <w:jc w:val="right"/>
        <w:bidi/>
      </w:pPr>
      <w:r>
        <w:rPr>
          <w:rFonts w:ascii="Arial" w:hAnsi="Arial"/>
          <w:sz w:val="16"/>
        </w:rPr>
        <w:t>157.24  ارتقاء به گروهبان فنی.</w:t>
      </w:r>
    </w:p>
    <w:p>
      <w:pPr>
        <w:spacing w:after="28" w:line="216" w:lineRule="auto"/>
        <w:ind w:left="259"/>
        <w:jc w:val="left"/>
      </w:pPr>
      <w:r>
        <w:rPr>
          <w:rFonts w:ascii="Arial" w:hAnsi="Arial"/>
          <w:color w:val="525252"/>
          <w:sz w:val="13"/>
        </w:rPr>
        <w:t>Promotion to Technical Sergeant.</w:t>
      </w:r>
    </w:p>
    <w:p>
      <w:pPr>
        <w:spacing w:after="20" w:line="223" w:lineRule="auto"/>
        <w:jc w:val="right"/>
        <w:bidi/>
      </w:pPr>
      <w:r>
        <w:rPr>
          <w:rFonts w:ascii="Arial" w:hAnsi="Arial"/>
          <w:sz w:val="16"/>
        </w:rPr>
        <w:t>157.25  گروهبانان کارکنان ممکن است پس از اتمام پنج سال خدمت و ۲۳ ماه در درجه، واجد شرایط ارتقاء به گروهبان فنی شوند.</w:t>
      </w:r>
    </w:p>
    <w:p>
      <w:pPr>
        <w:spacing w:after="28" w:line="216" w:lineRule="auto"/>
        <w:ind w:left="259"/>
        <w:jc w:val="left"/>
      </w:pPr>
      <w:r>
        <w:rPr>
          <w:rFonts w:ascii="Arial" w:hAnsi="Arial"/>
          <w:color w:val="525252"/>
          <w:sz w:val="13"/>
        </w:rPr>
        <w:t>Staff Sergeants may be promotion eligible to Technical Sergeant upon completion of five years of time in service and 23 months of time in grade.</w:t>
      </w:r>
    </w:p>
    <w:p>
      <w:pPr>
        <w:spacing w:after="20" w:line="223" w:lineRule="auto"/>
        <w:jc w:val="right"/>
        <w:bidi/>
      </w:pPr>
      <w:r>
        <w:rPr>
          <w:rFonts w:ascii="Arial" w:hAnsi="Arial"/>
          <w:sz w:val="16"/>
        </w:rPr>
        <w:t>157.26  PECD برای ارتقاء به گروهبان فنی ۳۱ ژانویه است.</w:t>
      </w:r>
    </w:p>
    <w:p>
      <w:pPr>
        <w:spacing w:after="28" w:line="216" w:lineRule="auto"/>
        <w:ind w:left="259"/>
        <w:jc w:val="left"/>
      </w:pPr>
      <w:r>
        <w:rPr>
          <w:rFonts w:ascii="Arial" w:hAnsi="Arial"/>
          <w:color w:val="525252"/>
          <w:sz w:val="13"/>
        </w:rPr>
        <w:t>The PECD for promotion to Technical Sergeant is 31 January.</w:t>
      </w:r>
    </w:p>
    <w:p>
      <w:pPr>
        <w:spacing w:after="20" w:line="223" w:lineRule="auto"/>
        <w:jc w:val="right"/>
        <w:bidi/>
      </w:pPr>
      <w:r>
        <w:rPr>
          <w:rFonts w:ascii="Arial" w:hAnsi="Arial"/>
          <w:sz w:val="16"/>
        </w:rPr>
        <w:t>157.27  چرخه آزمون فوریه تا مارس است.</w:t>
      </w:r>
    </w:p>
    <w:p>
      <w:pPr>
        <w:spacing w:after="28" w:line="216" w:lineRule="auto"/>
        <w:ind w:left="259"/>
        <w:jc w:val="left"/>
      </w:pPr>
      <w:r>
        <w:rPr>
          <w:rFonts w:ascii="Arial" w:hAnsi="Arial"/>
          <w:color w:val="525252"/>
          <w:sz w:val="13"/>
        </w:rPr>
        <w:t>The test cycle is February - March.</w:t>
      </w:r>
    </w:p>
    <w:p>
      <w:pPr>
        <w:spacing w:after="20" w:line="223" w:lineRule="auto"/>
        <w:jc w:val="right"/>
        <w:bidi/>
      </w:pPr>
      <w:r>
        <w:rPr>
          <w:rFonts w:ascii="Arial" w:hAnsi="Arial"/>
          <w:sz w:val="16"/>
        </w:rPr>
        <w:t>157.28  سطح مهارت مورد نیاز در AFSC اولیه ۷ سطح است.</w:t>
      </w:r>
    </w:p>
    <w:p>
      <w:pPr>
        <w:spacing w:after="28" w:line="216" w:lineRule="auto"/>
        <w:ind w:left="259"/>
        <w:jc w:val="left"/>
      </w:pPr>
      <w:r>
        <w:rPr>
          <w:rFonts w:ascii="Arial" w:hAnsi="Arial"/>
          <w:color w:val="525252"/>
          <w:sz w:val="13"/>
        </w:rPr>
        <w:t>Required skill level in primary AFSC is 7-level.</w:t>
      </w:r>
    </w:p>
    <w:p>
      <w:pPr>
        <w:spacing w:after="20" w:line="223" w:lineRule="auto"/>
        <w:jc w:val="right"/>
        <w:bidi/>
      </w:pPr>
      <w:r>
        <w:rPr>
          <w:rFonts w:ascii="Arial" w:hAnsi="Arial"/>
          <w:sz w:val="16"/>
        </w:rPr>
        <w:t>157.29  ارتقاء به استاد گروهبان.</w:t>
      </w:r>
    </w:p>
    <w:p>
      <w:pPr>
        <w:spacing w:after="28" w:line="216" w:lineRule="auto"/>
        <w:ind w:left="259"/>
        <w:jc w:val="left"/>
      </w:pPr>
      <w:r>
        <w:rPr>
          <w:rFonts w:ascii="Arial" w:hAnsi="Arial"/>
          <w:color w:val="525252"/>
          <w:sz w:val="13"/>
        </w:rPr>
        <w:t>Promotion to Master Sergeant.</w:t>
      </w:r>
    </w:p>
    <w:p>
      <w:pPr>
        <w:spacing w:after="20" w:line="223" w:lineRule="auto"/>
        <w:jc w:val="right"/>
        <w:bidi/>
      </w:pPr>
      <w:r>
        <w:rPr>
          <w:rFonts w:ascii="Arial" w:hAnsi="Arial"/>
          <w:sz w:val="16"/>
        </w:rPr>
        <w:t>157.30  گروهبان فنی ممکن است پس از اتمام هشت سال خدمت و ۲۴ ماه در کلاس، واجد شرایط ارتقاء به سرگروهبان باشند.</w:t>
      </w:r>
    </w:p>
    <w:p>
      <w:pPr>
        <w:spacing w:after="28" w:line="216" w:lineRule="auto"/>
        <w:ind w:left="259"/>
        <w:jc w:val="left"/>
      </w:pPr>
      <w:r>
        <w:rPr>
          <w:rFonts w:ascii="Arial" w:hAnsi="Arial"/>
          <w:color w:val="525252"/>
          <w:sz w:val="13"/>
        </w:rPr>
        <w:t>Technical Sergeants may be promotion eligible to Master Sergeant upon completion of eight years of time in service and 24 months of time in grade.</w:t>
      </w:r>
    </w:p>
    <w:p>
      <w:pPr>
        <w:spacing w:after="20" w:line="223" w:lineRule="auto"/>
        <w:jc w:val="right"/>
        <w:bidi/>
      </w:pPr>
      <w:r>
        <w:rPr>
          <w:rFonts w:ascii="Arial" w:hAnsi="Arial"/>
          <w:sz w:val="16"/>
        </w:rPr>
        <w:t>157.31  PECD برای ارتقاء به استاد گروهبان ۳۰ نوامبر است.</w:t>
      </w:r>
    </w:p>
    <w:p>
      <w:pPr>
        <w:spacing w:after="28" w:line="216" w:lineRule="auto"/>
        <w:ind w:left="259"/>
        <w:jc w:val="left"/>
      </w:pPr>
      <w:r>
        <w:rPr>
          <w:rFonts w:ascii="Arial" w:hAnsi="Arial"/>
          <w:color w:val="525252"/>
          <w:sz w:val="13"/>
        </w:rPr>
        <w:t>The PECD for promotion to Master Sergeant is 30 November.</w:t>
      </w:r>
    </w:p>
    <w:p>
      <w:pPr>
        <w:spacing w:after="20" w:line="223" w:lineRule="auto"/>
        <w:jc w:val="right"/>
        <w:bidi/>
      </w:pPr>
      <w:r>
        <w:rPr>
          <w:rFonts w:ascii="Arial" w:hAnsi="Arial"/>
          <w:sz w:val="16"/>
        </w:rPr>
        <w:t>157.32  سطح مهارت مورد نیاز در AFSC اولیه ۷ سطح است.</w:t>
      </w:r>
    </w:p>
    <w:p>
      <w:pPr>
        <w:spacing w:after="28" w:line="216" w:lineRule="auto"/>
        <w:ind w:left="259"/>
        <w:jc w:val="left"/>
      </w:pPr>
      <w:r>
        <w:rPr>
          <w:rFonts w:ascii="Arial" w:hAnsi="Arial"/>
          <w:color w:val="525252"/>
          <w:sz w:val="13"/>
        </w:rPr>
        <w:t>Required skill level in primary AFSC is 7-level.</w:t>
      </w:r>
    </w:p>
    <w:p>
      <w:pPr>
        <w:spacing w:after="20" w:line="223" w:lineRule="auto"/>
        <w:jc w:val="right"/>
        <w:bidi/>
      </w:pPr>
      <w:r>
        <w:rPr>
          <w:rFonts w:ascii="Arial" w:hAnsi="Arial"/>
          <w:sz w:val="16"/>
        </w:rPr>
        <w:t>157.33  ارتقاء به سرگروهبان ارشد.</w:t>
      </w:r>
    </w:p>
    <w:p>
      <w:pPr>
        <w:spacing w:after="28" w:line="216" w:lineRule="auto"/>
        <w:ind w:left="259"/>
        <w:jc w:val="left"/>
      </w:pPr>
      <w:r>
        <w:rPr>
          <w:rFonts w:ascii="Arial" w:hAnsi="Arial"/>
          <w:color w:val="525252"/>
          <w:sz w:val="13"/>
        </w:rPr>
        <w:t>Promotion to Senior Master Sergeant.</w:t>
      </w:r>
    </w:p>
    <w:p>
      <w:pPr>
        <w:spacing w:after="20" w:line="223" w:lineRule="auto"/>
        <w:jc w:val="right"/>
        <w:bidi/>
      </w:pPr>
      <w:r>
        <w:rPr>
          <w:rFonts w:ascii="Arial" w:hAnsi="Arial"/>
          <w:sz w:val="16"/>
        </w:rPr>
        <w:t>157.34  استاد گروهبان ممکن است پس از اتمام ۱۱ سال خدمت و ۲۰ ماه در کلاس، واجد شرایط ارتقاء به سرگروهبان ارشد شوند.</w:t>
      </w:r>
    </w:p>
    <w:p>
      <w:pPr>
        <w:spacing w:after="28" w:line="216" w:lineRule="auto"/>
        <w:ind w:left="259"/>
        <w:jc w:val="left"/>
      </w:pPr>
      <w:r>
        <w:rPr>
          <w:rFonts w:ascii="Arial" w:hAnsi="Arial"/>
          <w:color w:val="525252"/>
          <w:sz w:val="13"/>
        </w:rPr>
        <w:t>Master Sergeants may be promotion eligible to Senior Master Sergeant upon completion of 11 years of time in service and 20 months of time in grade.</w:t>
      </w:r>
    </w:p>
    <w:p>
      <w:pPr>
        <w:spacing w:after="20" w:line="223" w:lineRule="auto"/>
        <w:jc w:val="right"/>
        <w:bidi/>
      </w:pPr>
      <w:r>
        <w:rPr>
          <w:rFonts w:ascii="Arial" w:hAnsi="Arial"/>
          <w:sz w:val="16"/>
        </w:rPr>
        <w:t>157.35  PECD برای ارتقاء به سرگروهبان ارشد ۳۰ سپتامبر است.</w:t>
      </w:r>
    </w:p>
    <w:p>
      <w:pPr>
        <w:spacing w:after="28" w:line="216" w:lineRule="auto"/>
        <w:ind w:left="259"/>
        <w:jc w:val="left"/>
      </w:pPr>
      <w:r>
        <w:rPr>
          <w:rFonts w:ascii="Arial" w:hAnsi="Arial"/>
          <w:color w:val="525252"/>
          <w:sz w:val="13"/>
        </w:rPr>
        <w:t>The PECD for promotion to Senior Master Sergeant is 30 September.</w:t>
      </w:r>
    </w:p>
    <w:p>
      <w:pPr>
        <w:spacing w:after="20" w:line="223" w:lineRule="auto"/>
        <w:jc w:val="right"/>
        <w:bidi/>
      </w:pPr>
      <w:r>
        <w:rPr>
          <w:rFonts w:ascii="Arial" w:hAnsi="Arial"/>
          <w:sz w:val="16"/>
        </w:rPr>
        <w:t>157.36  سطح مهارت مورد نیاز در AFSC اولیه ۷ سطح است.</w:t>
      </w:r>
    </w:p>
    <w:p>
      <w:pPr>
        <w:spacing w:after="28" w:line="216" w:lineRule="auto"/>
        <w:ind w:left="259"/>
        <w:jc w:val="left"/>
      </w:pPr>
      <w:r>
        <w:rPr>
          <w:rFonts w:ascii="Arial" w:hAnsi="Arial"/>
          <w:color w:val="525252"/>
          <w:sz w:val="13"/>
        </w:rPr>
        <w:t>Required skill level in primary AFSC is 7-level.</w:t>
      </w:r>
    </w:p>
    <w:p>
      <w:r>
        <w:br w:type="page"/>
      </w:r>
    </w:p>
    <w:p>
      <w:pPr>
        <w:spacing w:after="60"/>
        <w:jc w:val="right"/>
        <w:bidi/>
      </w:pPr>
      <w:r>
        <w:rPr>
          <w:rFonts w:ascii="Arial" w:hAnsi="Arial"/>
          <w:b/>
          <w:color w:val="1F4D78"/>
          <w:sz w:val="19"/>
        </w:rPr>
        <w:t>هفتهٔ 158  |  صفحهٔ منبع: 174</w:t>
      </w:r>
    </w:p>
    <w:p>
      <w:pPr>
        <w:spacing w:after="20" w:line="223" w:lineRule="auto"/>
        <w:jc w:val="right"/>
        <w:bidi/>
      </w:pPr>
      <w:r>
        <w:rPr>
          <w:rFonts w:ascii="Arial" w:hAnsi="Arial"/>
          <w:sz w:val="16"/>
        </w:rPr>
        <w:t>158.01  ارتقاء به سرگروهبان.</w:t>
      </w:r>
    </w:p>
    <w:p>
      <w:pPr>
        <w:spacing w:after="28" w:line="216" w:lineRule="auto"/>
        <w:ind w:left="259"/>
        <w:jc w:val="left"/>
      </w:pPr>
      <w:r>
        <w:rPr>
          <w:rFonts w:ascii="Arial" w:hAnsi="Arial"/>
          <w:color w:val="525252"/>
          <w:sz w:val="13"/>
        </w:rPr>
        <w:t>Promotion to Chief Master Sergeant.</w:t>
      </w:r>
    </w:p>
    <w:p>
      <w:pPr>
        <w:spacing w:after="20" w:line="223" w:lineRule="auto"/>
        <w:jc w:val="right"/>
        <w:bidi/>
      </w:pPr>
      <w:r>
        <w:rPr>
          <w:rFonts w:ascii="Arial" w:hAnsi="Arial"/>
          <w:sz w:val="16"/>
        </w:rPr>
        <w:t>158.02  گروهبان ارشد ممکن است پس از اتمام ۱۴ سال خدمت و ۲۱ ماه در کلاس، واجد شرایط ارتقاء به سرگروهبان ارشد شوند.</w:t>
      </w:r>
    </w:p>
    <w:p>
      <w:pPr>
        <w:spacing w:after="28" w:line="216" w:lineRule="auto"/>
        <w:ind w:left="259"/>
        <w:jc w:val="left"/>
      </w:pPr>
      <w:r>
        <w:rPr>
          <w:rFonts w:ascii="Arial" w:hAnsi="Arial"/>
          <w:color w:val="525252"/>
          <w:sz w:val="13"/>
        </w:rPr>
        <w:t>Senior Master Sergeants may be promotion eligible to Chief Master Sergeant upon completion of 14 years of time in service and 21 months of time in grade.</w:t>
      </w:r>
    </w:p>
    <w:p>
      <w:pPr>
        <w:spacing w:after="20" w:line="223" w:lineRule="auto"/>
        <w:jc w:val="right"/>
        <w:bidi/>
      </w:pPr>
      <w:r>
        <w:rPr>
          <w:rFonts w:ascii="Arial" w:hAnsi="Arial"/>
          <w:sz w:val="16"/>
        </w:rPr>
        <w:t>158.03  PECD برای ارتقاء به سرگروهبان ۳۱ جولای است.</w:t>
      </w:r>
    </w:p>
    <w:p>
      <w:pPr>
        <w:spacing w:after="28" w:line="216" w:lineRule="auto"/>
        <w:ind w:left="259"/>
        <w:jc w:val="left"/>
      </w:pPr>
      <w:r>
        <w:rPr>
          <w:rFonts w:ascii="Arial" w:hAnsi="Arial"/>
          <w:color w:val="525252"/>
          <w:sz w:val="13"/>
        </w:rPr>
        <w:t>The PECD for promotion to Chief Master Sergeant is 31 July.</w:t>
      </w:r>
    </w:p>
    <w:p>
      <w:pPr>
        <w:spacing w:after="20" w:line="223" w:lineRule="auto"/>
        <w:jc w:val="right"/>
        <w:bidi/>
      </w:pPr>
      <w:r>
        <w:rPr>
          <w:rFonts w:ascii="Arial" w:hAnsi="Arial"/>
          <w:sz w:val="16"/>
        </w:rPr>
        <w:t>158.04  سطح مهارت مورد نیاز در AFSC اولیه ۹ سطح است.</w:t>
      </w:r>
    </w:p>
    <w:p>
      <w:pPr>
        <w:spacing w:after="28" w:line="216" w:lineRule="auto"/>
        <w:ind w:left="259"/>
        <w:jc w:val="left"/>
      </w:pPr>
      <w:r>
        <w:rPr>
          <w:rFonts w:ascii="Arial" w:hAnsi="Arial"/>
          <w:color w:val="525252"/>
          <w:sz w:val="13"/>
        </w:rPr>
        <w:t>Required skill level in primary AFSC is 9-level.</w:t>
      </w:r>
    </w:p>
    <w:p>
      <w:pPr>
        <w:spacing w:before="60" w:after="28"/>
        <w:jc w:val="right"/>
        <w:bidi/>
      </w:pPr>
      <w:r>
        <w:rPr>
          <w:b/>
          <w:color w:val="1F4D78"/>
          <w:sz w:val="18"/>
        </w:rPr>
        <w:t>9.6. پذیرش ارتقاء</w:t>
      </w:r>
    </w:p>
    <w:p>
      <w:pPr>
        <w:spacing w:after="20"/>
        <w:ind w:left="259"/>
        <w:jc w:val="left"/>
      </w:pPr>
      <w:r>
        <w:rPr>
          <w:color w:val="555555"/>
          <w:sz w:val="12"/>
        </w:rPr>
        <w:t>9.6. Accepting Promotion</w:t>
      </w:r>
    </w:p>
    <w:p>
      <w:pPr>
        <w:spacing w:after="20" w:line="223" w:lineRule="auto"/>
        <w:jc w:val="right"/>
        <w:bidi/>
      </w:pPr>
      <w:r>
        <w:rPr>
          <w:rFonts w:ascii="Arial" w:hAnsi="Arial"/>
          <w:sz w:val="16"/>
        </w:rPr>
        <w:t>158.06  برگزیدگان به درجه استاد گروهبان و گروهبان ارشد با بیش از ۱۸ سال خدمات نظامی فدرال فعال فدرال (TAFMS) تا تاریخ اجرایی شدن ترفیع، طی ۱۰ روز پس از تأیید انتخاب، بیانیه تفاهم ارتقاء را امضا خواهند کرد.</w:t>
      </w:r>
    </w:p>
    <w:p>
      <w:pPr>
        <w:spacing w:after="28" w:line="216" w:lineRule="auto"/>
        <w:ind w:left="259"/>
        <w:jc w:val="left"/>
      </w:pPr>
      <w:r>
        <w:rPr>
          <w:rFonts w:ascii="Arial" w:hAnsi="Arial"/>
          <w:color w:val="525252"/>
          <w:sz w:val="13"/>
        </w:rPr>
        <w:t>Selects to the grade of Master Sergeant and Senior Master Sergeant with more than 18 years Total Active Federal Military Service (TAFMS) by effective date of promotion will sign a Promotion Statement of Understanding within 10 duty days after selections are confirmed.</w:t>
      </w:r>
    </w:p>
    <w:p>
      <w:pPr>
        <w:spacing w:after="20" w:line="223" w:lineRule="auto"/>
        <w:jc w:val="right"/>
        <w:bidi/>
      </w:pPr>
      <w:r>
        <w:rPr>
          <w:rFonts w:ascii="Arial" w:hAnsi="Arial"/>
          <w:sz w:val="16"/>
        </w:rPr>
        <w:t>158.07  به‌علاوه، تمام گروهبانان ارشد منتخب، بدون در نظر گرفتن TAFMS، ظرف ۱۰ روز پس از تأیید انتخاب‌ها، بیانیه ارتقای تفاهم را امضا خواهند کرد.</w:t>
      </w:r>
    </w:p>
    <w:p>
      <w:pPr>
        <w:spacing w:after="28" w:line="216" w:lineRule="auto"/>
        <w:ind w:left="259"/>
        <w:jc w:val="left"/>
      </w:pPr>
      <w:r>
        <w:rPr>
          <w:rFonts w:ascii="Arial" w:hAnsi="Arial"/>
          <w:color w:val="525252"/>
          <w:sz w:val="13"/>
        </w:rPr>
        <w:t>In addition, all Chief Master Sergeant-selects, regardless of TAFMS, will sign a Promotion Statement of Understanding within 10 duty days after selections are confirmed.</w:t>
      </w:r>
    </w:p>
    <w:p>
      <w:pPr>
        <w:spacing w:after="20" w:line="223" w:lineRule="auto"/>
        <w:jc w:val="right"/>
        <w:bidi/>
      </w:pPr>
      <w:r>
        <w:rPr>
          <w:rFonts w:ascii="Arial" w:hAnsi="Arial"/>
          <w:sz w:val="16"/>
        </w:rPr>
        <w:t>158.08  فرم تصدیق می‌کند که گروهبان‌های منتخب و گروهبان‌های ارشد باید دو سال سابقه خدمت داشته باشند و از تاریخ مؤثر ترفیع، دو سال تعهد خدمت وظیفه فعال (ADSC) داشته باشند.</w:t>
      </w:r>
    </w:p>
    <w:p>
      <w:pPr>
        <w:spacing w:after="28" w:line="216" w:lineRule="auto"/>
        <w:ind w:left="259"/>
        <w:jc w:val="left"/>
      </w:pPr>
      <w:r>
        <w:rPr>
          <w:rFonts w:ascii="Arial" w:hAnsi="Arial"/>
          <w:color w:val="525252"/>
          <w:sz w:val="13"/>
        </w:rPr>
        <w:t>The form will acknowledge that Master Sergeant-selects and Senior Master Sergeant-selects must obtain two years of service retainability and incur a two-year active duty service commitment (ADSC) from the effective date of promotion.</w:t>
      </w:r>
    </w:p>
    <w:p>
      <w:pPr>
        <w:spacing w:after="20" w:line="223" w:lineRule="auto"/>
        <w:jc w:val="right"/>
        <w:bidi/>
      </w:pPr>
      <w:r>
        <w:rPr>
          <w:rFonts w:ascii="Arial" w:hAnsi="Arial"/>
          <w:sz w:val="16"/>
        </w:rPr>
        <w:t>158.09  سرگروهبان‌های منتخب باید تأیید کنند و سه سال خدمت خود را حفظ کنند و از تاریخ لازم‌الاجرا شدن ارتقاء، یک ADSC سه ساله متحمل شوند.</w:t>
      </w:r>
    </w:p>
    <w:p>
      <w:pPr>
        <w:spacing w:after="28" w:line="216" w:lineRule="auto"/>
        <w:ind w:left="259"/>
        <w:jc w:val="left"/>
      </w:pPr>
      <w:r>
        <w:rPr>
          <w:rFonts w:ascii="Arial" w:hAnsi="Arial"/>
          <w:color w:val="525252"/>
          <w:sz w:val="13"/>
        </w:rPr>
        <w:t>Chief Master Sergeant-selects must acknowledge and obtain three years of service retainability and incur a three-year ADSC from the effective date of promotion.</w:t>
      </w:r>
    </w:p>
    <w:p>
      <w:pPr>
        <w:spacing w:after="20" w:line="223" w:lineRule="auto"/>
        <w:jc w:val="right"/>
        <w:bidi/>
      </w:pPr>
      <w:r>
        <w:rPr>
          <w:rFonts w:ascii="Arial" w:hAnsi="Arial"/>
          <w:sz w:val="16"/>
        </w:rPr>
        <w:t>158.10  عدم پس گرفتن درخواست بازنشستگی موجود (تأیید شده یا در حال انتظار) ظرف ۱۰ روز وظیفه پس از ارائه بیانیه تفاهم ارتقاء منجر به حذف از لیست انتخاب می‌شود.</w:t>
      </w:r>
    </w:p>
    <w:p>
      <w:pPr>
        <w:spacing w:after="28" w:line="216" w:lineRule="auto"/>
        <w:ind w:left="259"/>
        <w:jc w:val="left"/>
      </w:pPr>
      <w:r>
        <w:rPr>
          <w:rFonts w:ascii="Arial" w:hAnsi="Arial"/>
          <w:color w:val="525252"/>
          <w:sz w:val="13"/>
        </w:rPr>
        <w:t>Failure to withdraw an existing retirement application (approved or pending) within 10 duty days from presentation of the Promotion Statement of Understanding will result in removal from the selection list.</w:t>
      </w:r>
    </w:p>
    <w:p>
      <w:pPr>
        <w:spacing w:before="60" w:after="28"/>
        <w:jc w:val="right"/>
        <w:bidi/>
      </w:pPr>
      <w:r>
        <w:rPr>
          <w:b/>
          <w:color w:val="1F4D78"/>
          <w:sz w:val="18"/>
        </w:rPr>
        <w:t>9.7. شماره های دنباله ارتقاء</w:t>
      </w:r>
    </w:p>
    <w:p>
      <w:pPr>
        <w:spacing w:after="20"/>
        <w:ind w:left="259"/>
        <w:jc w:val="left"/>
      </w:pPr>
      <w:r>
        <w:rPr>
          <w:color w:val="555555"/>
          <w:sz w:val="12"/>
        </w:rPr>
        <w:t>9.7. Promotion Sequence Numbers</w:t>
      </w:r>
    </w:p>
    <w:p>
      <w:pPr>
        <w:spacing w:after="20" w:line="223" w:lineRule="auto"/>
        <w:jc w:val="right"/>
        <w:bidi/>
      </w:pPr>
      <w:r>
        <w:rPr>
          <w:rFonts w:ascii="Arial" w:hAnsi="Arial"/>
          <w:sz w:val="16"/>
        </w:rPr>
        <w:t>158.12  مرکز پرسنل نیروی هوایی بر اساس تاریخ درجه، TAFMS و تاریخ تولد، شماره‌های ترتیب ترفیع را به پروازکنندگانی که برای ارتقاء به گروهبان ستاد از طریق سرگروهبان انتخاب می‌شوند، اختصاص می‌دهد.</w:t>
      </w:r>
    </w:p>
    <w:p>
      <w:pPr>
        <w:spacing w:after="28" w:line="216" w:lineRule="auto"/>
        <w:ind w:left="259"/>
        <w:jc w:val="left"/>
      </w:pPr>
      <w:r>
        <w:rPr>
          <w:rFonts w:ascii="Arial" w:hAnsi="Arial"/>
          <w:color w:val="525252"/>
          <w:sz w:val="13"/>
        </w:rPr>
        <w:t>The Air Force Personnel Center assigns promotion sequence numbers to Airmen selected for promotion to Staff Sergeant through Chief Master Sergeant based on date of rank, TAFMS, and date of birth.</w:t>
      </w:r>
    </w:p>
    <w:p>
      <w:pPr>
        <w:spacing w:after="20" w:line="223" w:lineRule="auto"/>
        <w:jc w:val="right"/>
        <w:bidi/>
      </w:pPr>
      <w:r>
        <w:rPr>
          <w:rFonts w:ascii="Arial" w:hAnsi="Arial"/>
          <w:sz w:val="16"/>
        </w:rPr>
        <w:t>158.13  به برگزیدگان تکمیلی اعداد دنباله ارتقاء ۰.۹ (افزایش پیش‌تر اعلام شده) یا ۰.۵ (افزایش اعلام نشده آینده) اختصاص داده می‌شود.</w:t>
      </w:r>
    </w:p>
    <w:p>
      <w:pPr>
        <w:spacing w:after="28" w:line="216" w:lineRule="auto"/>
        <w:ind w:left="259"/>
        <w:jc w:val="left"/>
      </w:pPr>
      <w:r>
        <w:rPr>
          <w:rFonts w:ascii="Arial" w:hAnsi="Arial"/>
          <w:color w:val="525252"/>
          <w:sz w:val="13"/>
        </w:rPr>
        <w:t>Supplemental selectees are assigned promotion sequence numbers of .9 (increment previously announced) or .5 (unannounced future increment).</w:t>
      </w:r>
    </w:p>
    <w:p>
      <w:pPr>
        <w:spacing w:before="60" w:after="28"/>
        <w:jc w:val="right"/>
        <w:bidi/>
      </w:pPr>
      <w:r>
        <w:rPr>
          <w:b/>
          <w:color w:val="1F4D78"/>
          <w:sz w:val="18"/>
        </w:rPr>
        <w:t>9.8. کاهش تبلیغات</w:t>
      </w:r>
    </w:p>
    <w:p>
      <w:pPr>
        <w:spacing w:after="20"/>
        <w:ind w:left="259"/>
        <w:jc w:val="left"/>
      </w:pPr>
      <w:r>
        <w:rPr>
          <w:color w:val="555555"/>
          <w:sz w:val="12"/>
        </w:rPr>
        <w:t>9.8. Declining Promotion</w:t>
      </w:r>
    </w:p>
    <w:p>
      <w:pPr>
        <w:spacing w:after="20" w:line="223" w:lineRule="auto"/>
        <w:jc w:val="right"/>
        <w:bidi/>
      </w:pPr>
      <w:r>
        <w:rPr>
          <w:rFonts w:ascii="Arial" w:hAnsi="Arial"/>
          <w:sz w:val="16"/>
        </w:rPr>
        <w:t>158.15  هوانوردان ممکن است با ارسال نامه‌ای به پرواز پرسنل نظامی (MPF) از ترفیع کتبی خودداری کنند.</w:t>
      </w:r>
    </w:p>
    <w:p>
      <w:pPr>
        <w:spacing w:after="28" w:line="216" w:lineRule="auto"/>
        <w:ind w:left="259"/>
        <w:jc w:val="left"/>
      </w:pPr>
      <w:r>
        <w:rPr>
          <w:rFonts w:ascii="Arial" w:hAnsi="Arial"/>
          <w:color w:val="525252"/>
          <w:sz w:val="13"/>
        </w:rPr>
        <w:t>Airmen may decline a promotion in writing by submitting a letter to the military personnel flight (MPF).</w:t>
      </w:r>
    </w:p>
    <w:p>
      <w:pPr>
        <w:spacing w:after="20" w:line="223" w:lineRule="auto"/>
        <w:jc w:val="right"/>
        <w:bidi/>
      </w:pPr>
      <w:r>
        <w:rPr>
          <w:rFonts w:ascii="Arial" w:hAnsi="Arial"/>
          <w:sz w:val="16"/>
        </w:rPr>
        <w:t>158.16  این ممکن است هر زمانی قبل از تاریخ اجرایی شدن تبلیغات انجام شود.</w:t>
      </w:r>
    </w:p>
    <w:p>
      <w:pPr>
        <w:spacing w:after="28" w:line="216" w:lineRule="auto"/>
        <w:ind w:left="259"/>
        <w:jc w:val="left"/>
      </w:pPr>
      <w:r>
        <w:rPr>
          <w:rFonts w:ascii="Arial" w:hAnsi="Arial"/>
          <w:color w:val="525252"/>
          <w:sz w:val="13"/>
        </w:rPr>
        <w:t>This may be accomplished any time prior to the promotion effective date.</w:t>
      </w:r>
    </w:p>
    <w:p>
      <w:pPr>
        <w:spacing w:after="20" w:line="223" w:lineRule="auto"/>
        <w:jc w:val="right"/>
        <w:bidi/>
      </w:pPr>
      <w:r>
        <w:rPr>
          <w:rFonts w:ascii="Arial" w:hAnsi="Arial"/>
          <w:sz w:val="16"/>
        </w:rPr>
        <w:t>158.17  نامه انصراف باید شامل نام، شماره تأمین اجتماعی، چرخه ترفیع، شماره ترتیب ترفیع در صورتی که پیش‌تر انتخاب شده باشد، و بیانیه‌ای مبنی بر عدم مجاز بودن بازگرداندن به خدمت باشد.</w:t>
      </w:r>
    </w:p>
    <w:p>
      <w:pPr>
        <w:spacing w:after="28" w:line="216" w:lineRule="auto"/>
        <w:ind w:left="259"/>
        <w:jc w:val="left"/>
      </w:pPr>
      <w:r>
        <w:rPr>
          <w:rFonts w:ascii="Arial" w:hAnsi="Arial"/>
          <w:color w:val="525252"/>
          <w:sz w:val="13"/>
        </w:rPr>
        <w:t>The declination letter must include name, social security number, promotion cycle, promotion sequence number if already selected, and a statement of understanding that reinstatement will not be authorized.</w:t>
      </w:r>
    </w:p>
    <w:p>
      <w:pPr>
        <w:spacing w:after="20" w:line="223" w:lineRule="auto"/>
        <w:jc w:val="right"/>
        <w:bidi/>
      </w:pPr>
      <w:r>
        <w:rPr>
          <w:rFonts w:ascii="Arial" w:hAnsi="Arial"/>
          <w:sz w:val="16"/>
        </w:rPr>
        <w:t>158.18  MPF اطمینان حاصل می‌کند که سیستم داده‌های پرسنل نظامی (میلپدس) به‌روز شده است و یک کپی از نامه تمایل به AFPC را برای ثبت در سیستم مدیریت سوابق خودکار اعضا ارسال می‌کند.</w:t>
      </w:r>
    </w:p>
    <w:p>
      <w:pPr>
        <w:spacing w:after="28" w:line="216" w:lineRule="auto"/>
        <w:ind w:left="259"/>
        <w:jc w:val="left"/>
      </w:pPr>
      <w:r>
        <w:rPr>
          <w:rFonts w:ascii="Arial" w:hAnsi="Arial"/>
          <w:color w:val="525252"/>
          <w:sz w:val="13"/>
        </w:rPr>
        <w:t>MPF will ensure Military Personnel Data System (MilPDS) is updated and forwards a copy of the declination letter to AFPC to be filed in the member’s Automated Records Management System</w:t>
      </w:r>
    </w:p>
    <w:p>
      <w:pPr>
        <w:spacing w:before="60" w:after="28"/>
        <w:jc w:val="right"/>
        <w:bidi/>
      </w:pPr>
      <w:r>
        <w:rPr>
          <w:b/>
          <w:color w:val="1F4D78"/>
          <w:sz w:val="18"/>
        </w:rPr>
        <w:t>(ARMS).</w:t>
      </w:r>
    </w:p>
    <w:p>
      <w:pPr>
        <w:spacing w:after="20"/>
        <w:ind w:left="259"/>
        <w:jc w:val="left"/>
      </w:pPr>
      <w:r>
        <w:rPr>
          <w:color w:val="555555"/>
          <w:sz w:val="12"/>
        </w:rPr>
        <w:t>(ARMS).</w:t>
      </w:r>
    </w:p>
    <w:p>
      <w:pPr>
        <w:spacing w:before="60" w:after="28"/>
        <w:jc w:val="right"/>
        <w:bidi/>
      </w:pPr>
      <w:r>
        <w:rPr>
          <w:b/>
          <w:color w:val="1F4D78"/>
          <w:sz w:val="18"/>
        </w:rPr>
        <w:t>9.9. عدم صلاحیت ارتقاء</w:t>
      </w:r>
    </w:p>
    <w:p>
      <w:pPr>
        <w:spacing w:after="20"/>
        <w:ind w:left="259"/>
        <w:jc w:val="left"/>
      </w:pPr>
      <w:r>
        <w:rPr>
          <w:color w:val="555555"/>
          <w:sz w:val="12"/>
        </w:rPr>
        <w:t>9.9. Promotion Ineligibility</w:t>
      </w:r>
    </w:p>
    <w:p>
      <w:pPr>
        <w:spacing w:after="20" w:line="223" w:lineRule="auto"/>
        <w:jc w:val="right"/>
        <w:bidi/>
      </w:pPr>
      <w:r>
        <w:rPr>
          <w:rFonts w:ascii="Arial" w:hAnsi="Arial"/>
          <w:sz w:val="16"/>
        </w:rPr>
        <w:t>158.21  دلایل زیادی وجود دارد که باعث می‌شود یک عضو نیروی هوایی واجد شرایط ترفیع نباشد، مانند بازنشستگی تأیید شده، امتناع برای تمدید یا ثبت‌نام مجدد، محکومیت دادگاه نظامی، اقدام در فهرست کنترل، عدم توصیه فرمانده، عدم حضور در آزمون برنامه‌ریزی شده بدون دلیل موجه و غیبت بدون مرخصی.</w:t>
      </w:r>
    </w:p>
    <w:p>
      <w:pPr>
        <w:spacing w:after="28" w:line="216" w:lineRule="auto"/>
        <w:ind w:left="259"/>
        <w:jc w:val="left"/>
      </w:pPr>
      <w:r>
        <w:rPr>
          <w:rFonts w:ascii="Arial" w:hAnsi="Arial"/>
          <w:color w:val="525252"/>
          <w:sz w:val="13"/>
        </w:rPr>
        <w:t>There are many reasons why an Airman may be considered ineligible for promotion, such as approved retirement, declination for extension or reenlistment, court-martial conviction, control roster action, no commander recommendation, failure to appear for scheduled testing without a valid reason and absent without leave.</w:t>
      </w:r>
    </w:p>
    <w:p>
      <w:pPr>
        <w:spacing w:after="20" w:line="223" w:lineRule="auto"/>
        <w:jc w:val="right"/>
        <w:bidi/>
      </w:pPr>
      <w:r>
        <w:rPr>
          <w:rFonts w:ascii="Arial" w:hAnsi="Arial"/>
          <w:sz w:val="16"/>
        </w:rPr>
        <w:t>158.22  هنگامی که افراد واجد شرایط ارتقا نیستند، نمی‌توانند آزمایش کنند، اگر پیش‌تر آزمایش شده باشند نمی‌توانند در نظر گرفته شوند و تبلیغات پیش‌بینی‌شده، اگر پیش‌تر انتخاب شده باشد، لغو خواهد شد.</w:t>
      </w:r>
    </w:p>
    <w:p>
      <w:pPr>
        <w:spacing w:after="28" w:line="216" w:lineRule="auto"/>
        <w:ind w:left="259"/>
        <w:jc w:val="left"/>
      </w:pPr>
      <w:r>
        <w:rPr>
          <w:rFonts w:ascii="Arial" w:hAnsi="Arial"/>
          <w:color w:val="525252"/>
          <w:sz w:val="13"/>
        </w:rPr>
        <w:t>When individuals are ineligible for promotion, they cannot test, cannot be considered if already tested, and the projected promotion, if already selected, will be canceled.</w:t>
      </w:r>
    </w:p>
    <w:p>
      <w:r>
        <w:br w:type="page"/>
      </w:r>
    </w:p>
    <w:p>
      <w:pPr>
        <w:spacing w:after="60"/>
        <w:jc w:val="right"/>
        <w:bidi/>
      </w:pPr>
      <w:r>
        <w:rPr>
          <w:rFonts w:ascii="Arial" w:hAnsi="Arial"/>
          <w:b/>
          <w:color w:val="1F4D78"/>
          <w:sz w:val="19"/>
        </w:rPr>
        <w:t>هفتهٔ 159  |  صفحهٔ منبع: 175</w:t>
      </w:r>
    </w:p>
    <w:p>
      <w:pPr>
        <w:spacing w:before="60" w:after="28"/>
        <w:jc w:val="right"/>
        <w:bidi/>
      </w:pPr>
      <w:r>
        <w:rPr>
          <w:b/>
          <w:color w:val="1F4D78"/>
          <w:sz w:val="18"/>
        </w:rPr>
        <w:t>بخش 9C - آماده سازی و مسئولیت ها</w:t>
      </w:r>
    </w:p>
    <w:p>
      <w:pPr>
        <w:spacing w:after="20"/>
        <w:ind w:left="259"/>
        <w:jc w:val="left"/>
      </w:pPr>
      <w:r>
        <w:rPr>
          <w:color w:val="555555"/>
          <w:sz w:val="12"/>
        </w:rPr>
        <w:t>Section 9C—Preparation and Responsibilities</w:t>
      </w:r>
    </w:p>
    <w:p>
      <w:pPr>
        <w:spacing w:before="60" w:after="28"/>
        <w:jc w:val="right"/>
        <w:bidi/>
      </w:pPr>
      <w:r>
        <w:rPr>
          <w:b/>
          <w:color w:val="1F4D78"/>
          <w:sz w:val="18"/>
        </w:rPr>
        <w:t>9.10. مسئولیت های فردی</w:t>
      </w:r>
    </w:p>
    <w:p>
      <w:pPr>
        <w:spacing w:after="20"/>
        <w:ind w:left="259"/>
        <w:jc w:val="left"/>
      </w:pPr>
      <w:r>
        <w:rPr>
          <w:color w:val="555555"/>
          <w:sz w:val="12"/>
        </w:rPr>
        <w:t>9.10. Individual Responsibilities</w:t>
      </w:r>
    </w:p>
    <w:p>
      <w:pPr>
        <w:spacing w:after="20" w:line="223" w:lineRule="auto"/>
        <w:jc w:val="right"/>
        <w:bidi/>
      </w:pPr>
      <w:r>
        <w:rPr>
          <w:rFonts w:ascii="Arial" w:hAnsi="Arial"/>
          <w:sz w:val="16"/>
        </w:rPr>
        <w:t>159.03  آماده شدن برای تست ارتقاء یک مسئولیت فردی است.</w:t>
      </w:r>
    </w:p>
    <w:p>
      <w:pPr>
        <w:spacing w:after="28" w:line="216" w:lineRule="auto"/>
        <w:ind w:left="259"/>
        <w:jc w:val="left"/>
      </w:pPr>
      <w:r>
        <w:rPr>
          <w:rFonts w:ascii="Arial" w:hAnsi="Arial"/>
          <w:color w:val="525252"/>
          <w:sz w:val="13"/>
        </w:rPr>
        <w:t>Preparing for promotion testing is an individual responsibility.</w:t>
      </w:r>
    </w:p>
    <w:p>
      <w:pPr>
        <w:spacing w:after="20" w:line="223" w:lineRule="auto"/>
        <w:jc w:val="right"/>
        <w:bidi/>
      </w:pPr>
      <w:r>
        <w:rPr>
          <w:rFonts w:ascii="Arial" w:hAnsi="Arial"/>
          <w:sz w:val="16"/>
        </w:rPr>
        <w:t>159.04  همه افراد واجد شرایط ترفیع باید وضعیت واجد شرایط بودن خود را بدانند، مدارک تخصصی و نظامی را حفظ کنند، یک طرح خودآموزی را آغاز کنند، تمام مراجع مطالعه قابل اجرا را همانطور که در فهرست منابع و الزامات تبلیغات ثبت‌نام شده (EPRRC) مشخص شده است، به دست آورند، مطمئن شوند که پوشه انتخابی آنها دقیق است، در صورت آماده شدن پوشه انتخابی آنها در صورتی که در پنجره مرکزی آزمون بازبینی شود.</w:t>
      </w:r>
    </w:p>
    <w:p>
      <w:pPr>
        <w:spacing w:after="28" w:line="216" w:lineRule="auto"/>
        <w:ind w:left="259"/>
        <w:jc w:val="left"/>
      </w:pPr>
      <w:r>
        <w:rPr>
          <w:rFonts w:ascii="Arial" w:hAnsi="Arial"/>
          <w:color w:val="525252"/>
          <w:sz w:val="13"/>
        </w:rPr>
        <w:t>All promotion eligible individuals must know their eligibility status, maintain specialty and military qualifications, initiate a self- study plan, obtain all applicable study references as outlined in the Enlisted Promotions References and Requirements Catalog (EPRRC), ensure their selection folder is accurate if it will be reviewed by the central evaluation board, and be prepared to test on the beginning of the testing window.</w:t>
      </w:r>
    </w:p>
    <w:p>
      <w:pPr>
        <w:spacing w:after="20" w:line="223" w:lineRule="auto"/>
        <w:jc w:val="right"/>
        <w:bidi/>
      </w:pPr>
      <w:r>
        <w:rPr>
          <w:rFonts w:ascii="Arial" w:hAnsi="Arial"/>
          <w:sz w:val="16"/>
        </w:rPr>
        <w:t>159.05  نمی‌توان بر اهمیت مسئولیت فردی بیش از حد تاکید کرد.</w:t>
      </w:r>
    </w:p>
    <w:p>
      <w:pPr>
        <w:spacing w:after="28" w:line="216" w:lineRule="auto"/>
        <w:ind w:left="259"/>
        <w:jc w:val="left"/>
      </w:pPr>
      <w:r>
        <w:rPr>
          <w:rFonts w:ascii="Arial" w:hAnsi="Arial"/>
          <w:color w:val="525252"/>
          <w:sz w:val="13"/>
        </w:rPr>
        <w:t>The importance of individual responsibility cannot be overemphasized.</w:t>
      </w:r>
    </w:p>
    <w:p>
      <w:pPr>
        <w:spacing w:after="20" w:line="223" w:lineRule="auto"/>
        <w:jc w:val="right"/>
        <w:bidi/>
      </w:pPr>
      <w:r>
        <w:rPr>
          <w:rFonts w:ascii="Arial" w:hAnsi="Arial"/>
          <w:sz w:val="16"/>
        </w:rPr>
        <w:t>159.06  اعضایی که در طول کل چرخه آزمایش در دسترس نیستند، باید قبل از عزیمت خود برای آزمایش آماده باشند، حتی اگر قبل از اولین روز چرخه آزمایش باشد.</w:t>
      </w:r>
    </w:p>
    <w:p>
      <w:pPr>
        <w:spacing w:after="28" w:line="216" w:lineRule="auto"/>
        <w:ind w:left="259"/>
        <w:jc w:val="left"/>
      </w:pPr>
      <w:r>
        <w:rPr>
          <w:rFonts w:ascii="Arial" w:hAnsi="Arial"/>
          <w:color w:val="525252"/>
          <w:sz w:val="13"/>
        </w:rPr>
        <w:t>Members who will be unavailable during the entire testing cycle must be prepared to test prior to their departure, even if that is before the first day of the testing cycle.</w:t>
      </w:r>
    </w:p>
    <w:p>
      <w:pPr>
        <w:spacing w:after="20" w:line="223" w:lineRule="auto"/>
        <w:jc w:val="right"/>
        <w:bidi/>
      </w:pPr>
      <w:r>
        <w:rPr>
          <w:rFonts w:ascii="Arial" w:hAnsi="Arial"/>
          <w:sz w:val="16"/>
        </w:rPr>
        <w:t>159.07  هوانوردان ممکن است به شرط در دسترس بودن دفترچه‌های آزمون صحیح، آزمایش زودهنگام را انتخاب کنند.</w:t>
      </w:r>
    </w:p>
    <w:p>
      <w:pPr>
        <w:spacing w:after="28" w:line="216" w:lineRule="auto"/>
        <w:ind w:left="259"/>
        <w:jc w:val="left"/>
      </w:pPr>
      <w:r>
        <w:rPr>
          <w:rFonts w:ascii="Arial" w:hAnsi="Arial"/>
          <w:color w:val="525252"/>
          <w:sz w:val="13"/>
        </w:rPr>
        <w:t>Airmen may opt to test early provided the correct test booklets are available.</w:t>
      </w:r>
    </w:p>
    <w:p>
      <w:pPr>
        <w:spacing w:before="60" w:after="28"/>
        <w:jc w:val="right"/>
        <w:bidi/>
      </w:pPr>
      <w:r>
        <w:rPr>
          <w:b/>
          <w:color w:val="1F4D78"/>
          <w:sz w:val="18"/>
        </w:rPr>
        <w:t>9.11. سازش آزمون ارتقاء ثبت نام شده</w:t>
      </w:r>
    </w:p>
    <w:p>
      <w:pPr>
        <w:spacing w:after="20"/>
        <w:ind w:left="259"/>
        <w:jc w:val="left"/>
      </w:pPr>
      <w:r>
        <w:rPr>
          <w:color w:val="555555"/>
          <w:sz w:val="12"/>
        </w:rPr>
        <w:t>9.11. Enlisted Promotion Test Compromise</w:t>
      </w:r>
    </w:p>
    <w:p>
      <w:pPr>
        <w:spacing w:after="20" w:line="223" w:lineRule="auto"/>
        <w:jc w:val="right"/>
        <w:bidi/>
      </w:pPr>
      <w:r>
        <w:rPr>
          <w:rFonts w:ascii="Arial" w:hAnsi="Arial"/>
          <w:sz w:val="16"/>
        </w:rPr>
        <w:t>159.09  هوانوردان باید از یک برنامه مطالعاتی و تلاش فردی تحت سیستم ارتقاء هوانورد وزنی (WAPS) استفاده کنند.</w:t>
      </w:r>
    </w:p>
    <w:p>
      <w:pPr>
        <w:spacing w:after="28" w:line="216" w:lineRule="auto"/>
        <w:ind w:left="259"/>
        <w:jc w:val="left"/>
      </w:pPr>
      <w:r>
        <w:rPr>
          <w:rFonts w:ascii="Arial" w:hAnsi="Arial"/>
          <w:color w:val="525252"/>
          <w:sz w:val="13"/>
        </w:rPr>
        <w:t>Airmen must use a self-initiated program of individual study and effort under the Weighted Airman Promotion System (WAPS).</w:t>
      </w:r>
    </w:p>
    <w:p>
      <w:pPr>
        <w:spacing w:after="20" w:line="223" w:lineRule="auto"/>
        <w:jc w:val="right"/>
        <w:bidi/>
      </w:pPr>
      <w:r>
        <w:rPr>
          <w:rFonts w:ascii="Arial" w:hAnsi="Arial"/>
          <w:sz w:val="16"/>
        </w:rPr>
        <w:t>159.10  مطالعه گروهی (دو یا چند نفر) برای اهداف تست ارتقاء خدمت سربازی اکیدا ممنوع است.</w:t>
      </w:r>
    </w:p>
    <w:p>
      <w:pPr>
        <w:spacing w:after="28" w:line="216" w:lineRule="auto"/>
        <w:ind w:left="259"/>
        <w:jc w:val="left"/>
      </w:pPr>
      <w:r>
        <w:rPr>
          <w:rFonts w:ascii="Arial" w:hAnsi="Arial"/>
          <w:color w:val="525252"/>
          <w:sz w:val="13"/>
        </w:rPr>
        <w:t>Group study (two or more people) for the purposes of enlisted promotion testing is strictly prohibited.</w:t>
      </w:r>
    </w:p>
    <w:p>
      <w:pPr>
        <w:spacing w:after="20" w:line="223" w:lineRule="auto"/>
        <w:jc w:val="right"/>
        <w:bidi/>
      </w:pPr>
      <w:r>
        <w:rPr>
          <w:rFonts w:ascii="Arial" w:hAnsi="Arial"/>
          <w:sz w:val="16"/>
        </w:rPr>
        <w:t>159.11  این ممنوعیت با حصول اطمینان از اینکه نمرات آزمون ارتقاء بازتابی از دانش فردی هر عضو است، از یکپارچگی برنامه تست ارتقاء محافظت می‌کند.</w:t>
      </w:r>
    </w:p>
    <w:p>
      <w:pPr>
        <w:spacing w:after="28" w:line="216" w:lineRule="auto"/>
        <w:ind w:left="259"/>
        <w:jc w:val="left"/>
      </w:pPr>
      <w:r>
        <w:rPr>
          <w:rFonts w:ascii="Arial" w:hAnsi="Arial"/>
          <w:color w:val="525252"/>
          <w:sz w:val="13"/>
        </w:rPr>
        <w:t>This prohibition protects the integrity of the promotion testing program by ensuring promotion test scores are a reflection of each member’s individual knowledge.</w:t>
      </w:r>
    </w:p>
    <w:p>
      <w:pPr>
        <w:spacing w:after="20" w:line="223" w:lineRule="auto"/>
        <w:jc w:val="right"/>
        <w:bidi/>
      </w:pPr>
      <w:r>
        <w:rPr>
          <w:rFonts w:ascii="Arial" w:hAnsi="Arial"/>
          <w:sz w:val="16"/>
        </w:rPr>
        <w:t>159.12  پرسنل مشمولی که این ممنوعیت‌ها را زیر پا بگذارند به دلیل تخلف از مقررات عمومی قانونی مشمول تعقیب قانونی بر اساس ماده ۹۲ قانون یکپارچه عدالت نظامی هستند.</w:t>
      </w:r>
    </w:p>
    <w:p>
      <w:pPr>
        <w:spacing w:after="28" w:line="216" w:lineRule="auto"/>
        <w:ind w:left="259"/>
        <w:jc w:val="left"/>
      </w:pPr>
      <w:r>
        <w:rPr>
          <w:rFonts w:ascii="Arial" w:hAnsi="Arial"/>
          <w:color w:val="525252"/>
          <w:sz w:val="13"/>
        </w:rPr>
        <w:t>Enlisted personnel who violate these prohibitions are subject to prosecution under Article 92 of the Uniform Code of Military Justice for violating a lawful general regulation.</w:t>
      </w:r>
    </w:p>
    <w:p>
      <w:pPr>
        <w:spacing w:after="20" w:line="223" w:lineRule="auto"/>
        <w:jc w:val="right"/>
        <w:bidi/>
      </w:pPr>
      <w:r>
        <w:rPr>
          <w:rFonts w:ascii="Arial" w:hAnsi="Arial"/>
          <w:sz w:val="16"/>
        </w:rPr>
        <w:t>159.13  محکومیت می‌تواند منجر به اخراج غیر شرافتمندانه، محرومیت از کلیه حقوق و مزایای پرداختی و حبس تا دو سال شود.</w:t>
      </w:r>
    </w:p>
    <w:p>
      <w:pPr>
        <w:spacing w:after="28" w:line="216" w:lineRule="auto"/>
        <w:ind w:left="259"/>
        <w:jc w:val="left"/>
      </w:pPr>
      <w:r>
        <w:rPr>
          <w:rFonts w:ascii="Arial" w:hAnsi="Arial"/>
          <w:color w:val="525252"/>
          <w:sz w:val="13"/>
        </w:rPr>
        <w:t>Conviction can result in a dishonorable discharge, forfeiture of all pay and allowances, and confinement for up to two years.</w:t>
      </w:r>
    </w:p>
    <w:p>
      <w:pPr>
        <w:spacing w:after="20" w:line="223" w:lineRule="auto"/>
        <w:jc w:val="right"/>
        <w:bidi/>
      </w:pPr>
      <w:r>
        <w:rPr>
          <w:rFonts w:ascii="Arial" w:hAnsi="Arial"/>
          <w:sz w:val="16"/>
        </w:rPr>
        <w:t>159.14  اطلاعات مربوط به سازش آزمون ارتقای ثبت‌نام شده در DAFMAN ۳۶-۲۶۶۴ موجود است.</w:t>
      </w:r>
    </w:p>
    <w:p>
      <w:pPr>
        <w:spacing w:after="28" w:line="216" w:lineRule="auto"/>
        <w:ind w:left="259"/>
        <w:jc w:val="left"/>
      </w:pPr>
      <w:r>
        <w:rPr>
          <w:rFonts w:ascii="Arial" w:hAnsi="Arial"/>
          <w:color w:val="525252"/>
          <w:sz w:val="13"/>
        </w:rPr>
        <w:t>Information concerning enlisted promotion test compromise is contained in DAFMAN 36-2664.</w:t>
      </w:r>
    </w:p>
    <w:p>
      <w:pPr>
        <w:spacing w:after="20" w:line="223" w:lineRule="auto"/>
        <w:jc w:val="right"/>
        <w:bidi/>
      </w:pPr>
      <w:r>
        <w:rPr>
          <w:rFonts w:ascii="Arial" w:hAnsi="Arial"/>
          <w:sz w:val="16"/>
        </w:rPr>
        <w:t>159.15  توجه: آموزش طراحی شده برای ارتقای دانش عمومی نظامی، تا زمانی که هدف از آموزش، مطالعه برای آزمون‌های ارتقاء نباشد، به منزله مطالعه گروهی نیست.</w:t>
      </w:r>
    </w:p>
    <w:p>
      <w:pPr>
        <w:spacing w:after="28" w:line="216" w:lineRule="auto"/>
        <w:ind w:left="259"/>
        <w:jc w:val="left"/>
      </w:pPr>
      <w:r>
        <w:rPr>
          <w:rFonts w:ascii="Arial" w:hAnsi="Arial"/>
          <w:color w:val="525252"/>
          <w:sz w:val="13"/>
        </w:rPr>
        <w:t>Note: Training designed to improve general military knowledge does not constitute group study as long as the intent of the training is not to study for promotion tests.</w:t>
      </w:r>
    </w:p>
    <w:p>
      <w:pPr>
        <w:spacing w:after="20" w:line="223" w:lineRule="auto"/>
        <w:jc w:val="right"/>
        <w:bidi/>
      </w:pPr>
      <w:r>
        <w:rPr>
          <w:rFonts w:ascii="Arial" w:hAnsi="Arial"/>
          <w:sz w:val="16"/>
        </w:rPr>
        <w:t>159.16  به همین ترتیب، آموزش برای بهبود عادات مطالعه عمومی یا مهارت‌های تست زنی در صورتی که آموزش بر آمادگی برای آزمون‌های ترفیع متمرکز نباشد، مجاز است.</w:t>
      </w:r>
    </w:p>
    <w:p>
      <w:pPr>
        <w:spacing w:after="28" w:line="216" w:lineRule="auto"/>
        <w:ind w:left="259"/>
        <w:jc w:val="left"/>
      </w:pPr>
      <w:r>
        <w:rPr>
          <w:rFonts w:ascii="Arial" w:hAnsi="Arial"/>
          <w:color w:val="525252"/>
          <w:sz w:val="13"/>
        </w:rPr>
        <w:t>Likewise, training to improve general study habits or test-taking skills is permissible if the training does not focus on preparing for promotion tests.</w:t>
      </w:r>
    </w:p>
    <w:p>
      <w:pPr>
        <w:spacing w:after="20" w:line="223" w:lineRule="auto"/>
        <w:jc w:val="right"/>
        <w:bidi/>
      </w:pPr>
      <w:r>
        <w:rPr>
          <w:rFonts w:ascii="Arial" w:hAnsi="Arial"/>
          <w:sz w:val="16"/>
        </w:rPr>
        <w:t>159.17  محدودیت در مطالعه گروهی.</w:t>
      </w:r>
    </w:p>
    <w:p>
      <w:pPr>
        <w:spacing w:after="28" w:line="216" w:lineRule="auto"/>
        <w:ind w:left="259"/>
        <w:jc w:val="left"/>
      </w:pPr>
      <w:r>
        <w:rPr>
          <w:rFonts w:ascii="Arial" w:hAnsi="Arial"/>
          <w:color w:val="525252"/>
          <w:sz w:val="13"/>
        </w:rPr>
        <w:t>Restrictions on Group Study.</w:t>
      </w:r>
    </w:p>
    <w:p>
      <w:pPr>
        <w:spacing w:after="20" w:line="223" w:lineRule="auto"/>
        <w:jc w:val="right"/>
        <w:bidi/>
      </w:pPr>
      <w:r>
        <w:rPr>
          <w:rFonts w:ascii="Arial" w:hAnsi="Arial"/>
          <w:sz w:val="16"/>
        </w:rPr>
        <w:t>159.18  محدودیت‌های مطالعه گروهی و موقعیت‌های سازش آزمون خاص اضافی در مورد آزمون‌های ارتقاء به‌طور خلاصه در اینجا پوشش داده شده است.</w:t>
      </w:r>
    </w:p>
    <w:p>
      <w:pPr>
        <w:spacing w:after="28" w:line="216" w:lineRule="auto"/>
        <w:ind w:left="259"/>
        <w:jc w:val="left"/>
      </w:pPr>
      <w:r>
        <w:rPr>
          <w:rFonts w:ascii="Arial" w:hAnsi="Arial"/>
          <w:color w:val="525252"/>
          <w:sz w:val="13"/>
        </w:rPr>
        <w:t>Restrictions on group study and additional specific test compromise situations regarding promotion tests are briefly covered here.</w:t>
      </w:r>
    </w:p>
    <w:p>
      <w:pPr>
        <w:spacing w:after="20" w:line="223" w:lineRule="auto"/>
        <w:jc w:val="right"/>
        <w:bidi/>
      </w:pPr>
      <w:r>
        <w:rPr>
          <w:rFonts w:ascii="Arial" w:hAnsi="Arial"/>
          <w:sz w:val="16"/>
        </w:rPr>
        <w:t>159.19  بحث در مورد محتوای تست ارتقاء با افراد دیگری غیر از افسر کنترل آزمون یا ممتحن آزمون ممنوع است.</w:t>
      </w:r>
    </w:p>
    <w:p>
      <w:pPr>
        <w:spacing w:after="28" w:line="216" w:lineRule="auto"/>
        <w:ind w:left="259"/>
        <w:jc w:val="left"/>
      </w:pPr>
      <w:r>
        <w:rPr>
          <w:rFonts w:ascii="Arial" w:hAnsi="Arial"/>
          <w:color w:val="525252"/>
          <w:sz w:val="13"/>
        </w:rPr>
        <w:t>Discussing promotion test content with anyone other than the test control officer or test examiner is prohibited.</w:t>
      </w:r>
    </w:p>
    <w:p>
      <w:pPr>
        <w:spacing w:after="20" w:line="223" w:lineRule="auto"/>
        <w:jc w:val="right"/>
        <w:bidi/>
      </w:pPr>
      <w:r>
        <w:rPr>
          <w:rFonts w:ascii="Arial" w:hAnsi="Arial"/>
          <w:sz w:val="16"/>
        </w:rPr>
        <w:t>159.20  سوالات یا شکایات کتبی در مورد یک آزمون توسط افسر کنترل آزمون رسیدگی می‌شود.</w:t>
      </w:r>
    </w:p>
    <w:p>
      <w:pPr>
        <w:spacing w:after="28" w:line="216" w:lineRule="auto"/>
        <w:ind w:left="259"/>
        <w:jc w:val="left"/>
      </w:pPr>
      <w:r>
        <w:rPr>
          <w:rFonts w:ascii="Arial" w:hAnsi="Arial"/>
          <w:color w:val="525252"/>
          <w:sz w:val="13"/>
        </w:rPr>
        <w:t>Written inquiries or complaints about a test are handled by the test control officer.</w:t>
      </w:r>
    </w:p>
    <w:p>
      <w:pPr>
        <w:spacing w:after="20" w:line="223" w:lineRule="auto"/>
        <w:jc w:val="right"/>
        <w:bidi/>
      </w:pPr>
      <w:r>
        <w:rPr>
          <w:rFonts w:ascii="Arial" w:hAnsi="Arial"/>
          <w:sz w:val="16"/>
        </w:rPr>
        <w:t>159.21  اشتراک‌گذاری پیش‌آزمون‌ها یا فهرست‌هایی از سوالات آزمونی که از آزمون ارتقای فعلی یا قبلی فراخوانی شده‌اند. مواد مطالعه شخصی؛ مطالب مرجع مطالعه خط دار یا برجسته شده؛ و راهنمای مطالعه تجاری با افراد دیگر ممنوع است.</w:t>
      </w:r>
    </w:p>
    <w:p>
      <w:pPr>
        <w:spacing w:after="28" w:line="216" w:lineRule="auto"/>
        <w:ind w:left="259"/>
        <w:jc w:val="left"/>
      </w:pPr>
      <w:r>
        <w:rPr>
          <w:rFonts w:ascii="Arial" w:hAnsi="Arial"/>
          <w:color w:val="525252"/>
          <w:sz w:val="13"/>
        </w:rPr>
        <w:t>Sharing pretests or lists of test questions recalled from a current or previous promotion test; personal study materials; underlined or highlighted study reference material; and commercial study guides with other individuals is prohibited.</w:t>
      </w:r>
    </w:p>
    <w:p>
      <w:pPr>
        <w:spacing w:after="20" w:line="223" w:lineRule="auto"/>
        <w:jc w:val="right"/>
        <w:bidi/>
      </w:pPr>
      <w:r>
        <w:rPr>
          <w:rFonts w:ascii="Arial" w:hAnsi="Arial"/>
          <w:sz w:val="16"/>
        </w:rPr>
        <w:t>159.22  قرار دادن نرم افزار راهنمای مطالعات تجاری بر روی کامپیوترهای دولتی ممنوع است.</w:t>
      </w:r>
    </w:p>
    <w:p>
      <w:pPr>
        <w:spacing w:after="28" w:line="216" w:lineRule="auto"/>
        <w:ind w:left="259"/>
        <w:jc w:val="left"/>
      </w:pPr>
      <w:r>
        <w:rPr>
          <w:rFonts w:ascii="Arial" w:hAnsi="Arial"/>
          <w:color w:val="525252"/>
          <w:sz w:val="13"/>
        </w:rPr>
        <w:t>Placing commercial study guide software on government computers is prohibited.</w:t>
      </w:r>
    </w:p>
    <w:p>
      <w:pPr>
        <w:spacing w:after="20" w:line="223" w:lineRule="auto"/>
        <w:jc w:val="right"/>
        <w:bidi/>
      </w:pPr>
      <w:r>
        <w:rPr>
          <w:rFonts w:ascii="Arial" w:hAnsi="Arial"/>
          <w:sz w:val="16"/>
        </w:rPr>
        <w:t>159.23  در حالی که هوانوردان ممکن است از مواد مطالعه تجاری برای آماده شدن برای تست ارتقاء استفاده کنند، USAF راهنمای مطالعه تجاری را توصیه، تأیید یا پشتیبانی نمی‌کند.</w:t>
      </w:r>
    </w:p>
    <w:p>
      <w:pPr>
        <w:spacing w:after="28" w:line="216" w:lineRule="auto"/>
        <w:ind w:left="259"/>
        <w:jc w:val="left"/>
      </w:pPr>
      <w:r>
        <w:rPr>
          <w:rFonts w:ascii="Arial" w:hAnsi="Arial"/>
          <w:color w:val="525252"/>
          <w:sz w:val="13"/>
        </w:rPr>
        <w:t>While Airmen may use commercial study materials in preparation for promotion testing, the USAF does not recommend, endorse, or support commercial study guides.</w:t>
      </w:r>
    </w:p>
    <w:p>
      <w:pPr>
        <w:spacing w:after="20" w:line="223" w:lineRule="auto"/>
        <w:jc w:val="right"/>
        <w:bidi/>
      </w:pPr>
      <w:r>
        <w:rPr>
          <w:rFonts w:ascii="Arial" w:hAnsi="Arial"/>
          <w:sz w:val="16"/>
        </w:rPr>
        <w:t>159.24  ایجاد، ذخیره یا انتقال یادداشت‌های مطالعه شخصی در رایانه‌های دولتی ممنوع است.</w:t>
      </w:r>
    </w:p>
    <w:p>
      <w:pPr>
        <w:spacing w:after="28" w:line="216" w:lineRule="auto"/>
        <w:ind w:left="259"/>
        <w:jc w:val="left"/>
      </w:pPr>
      <w:r>
        <w:rPr>
          <w:rFonts w:ascii="Arial" w:hAnsi="Arial"/>
          <w:color w:val="525252"/>
          <w:sz w:val="13"/>
        </w:rPr>
        <w:t>Creating, storing, or transferring personal study notes on government computers is prohibited.</w:t>
      </w:r>
    </w:p>
    <w:p>
      <w:pPr>
        <w:spacing w:after="20" w:line="223" w:lineRule="auto"/>
        <w:jc w:val="right"/>
        <w:bidi/>
      </w:pPr>
      <w:r>
        <w:rPr>
          <w:rFonts w:ascii="Arial" w:hAnsi="Arial"/>
          <w:sz w:val="16"/>
        </w:rPr>
        <w:t>159.25  از رایانه‌های دولتی فقط می‌توان برای مشاهده نسخه‌های الکترونیکی مراجع رسمی مطالعه استفاده کرد.</w:t>
      </w:r>
    </w:p>
    <w:p>
      <w:pPr>
        <w:spacing w:after="28" w:line="216" w:lineRule="auto"/>
        <w:ind w:left="259"/>
        <w:jc w:val="left"/>
      </w:pPr>
      <w:r>
        <w:rPr>
          <w:rFonts w:ascii="Arial" w:hAnsi="Arial"/>
          <w:color w:val="525252"/>
          <w:sz w:val="13"/>
        </w:rPr>
        <w:t>Government computers may only be used to view electronic versions of official study references.</w:t>
      </w:r>
    </w:p>
    <w:p>
      <w:r>
        <w:br w:type="page"/>
      </w:r>
    </w:p>
    <w:p>
      <w:pPr>
        <w:spacing w:after="60"/>
        <w:jc w:val="right"/>
        <w:bidi/>
      </w:pPr>
      <w:r>
        <w:rPr>
          <w:rFonts w:ascii="Arial" w:hAnsi="Arial"/>
          <w:b/>
          <w:color w:val="1F4D78"/>
          <w:sz w:val="19"/>
        </w:rPr>
        <w:t>هفتهٔ 160  |  صفحهٔ منبع: 176</w:t>
      </w:r>
    </w:p>
    <w:p>
      <w:pPr>
        <w:spacing w:before="60" w:after="28"/>
        <w:jc w:val="right"/>
        <w:bidi/>
      </w:pPr>
      <w:r>
        <w:rPr>
          <w:b/>
          <w:color w:val="1F4D78"/>
          <w:sz w:val="18"/>
        </w:rPr>
        <w:t>9.12. توزیع مراجع مطالعه آزمون ارتقای استخدامی</w:t>
      </w:r>
    </w:p>
    <w:p>
      <w:pPr>
        <w:spacing w:after="20"/>
        <w:ind w:left="259"/>
        <w:jc w:val="left"/>
      </w:pPr>
      <w:r>
        <w:rPr>
          <w:color w:val="555555"/>
          <w:sz w:val="12"/>
        </w:rPr>
        <w:t>9.12. Distribution of Enlisted Promotion Test Study References</w:t>
      </w:r>
    </w:p>
    <w:p>
      <w:pPr>
        <w:spacing w:after="20" w:line="223" w:lineRule="auto"/>
        <w:jc w:val="right"/>
        <w:bidi/>
      </w:pPr>
      <w:r>
        <w:rPr>
          <w:rFonts w:ascii="Arial" w:hAnsi="Arial"/>
          <w:sz w:val="16"/>
        </w:rPr>
        <w:t>160.02  مرکز بارنز برای آموزش سربازی، آکادمی توسعه شغلی نیروی هوایی مسئول فراهم کردن دسترسی اعضای واجد شرایط ارتقاء به دوره‌های توسعه شغلی WAPS است.</w:t>
      </w:r>
    </w:p>
    <w:p>
      <w:pPr>
        <w:spacing w:after="28" w:line="216" w:lineRule="auto"/>
        <w:ind w:left="259"/>
        <w:jc w:val="left"/>
      </w:pPr>
      <w:r>
        <w:rPr>
          <w:rFonts w:ascii="Arial" w:hAnsi="Arial"/>
          <w:color w:val="525252"/>
          <w:sz w:val="13"/>
        </w:rPr>
        <w:t>The Barnes Center for Enlisted Education, Air Force Career Development Academy is responsible for providing promotion eligible members access to WAPS Career Development Courses.</w:t>
      </w:r>
    </w:p>
    <w:p>
      <w:pPr>
        <w:spacing w:after="20" w:line="223" w:lineRule="auto"/>
        <w:jc w:val="right"/>
        <w:bidi/>
      </w:pPr>
      <w:r>
        <w:rPr>
          <w:rFonts w:ascii="Arial" w:hAnsi="Arial"/>
          <w:sz w:val="16"/>
        </w:rPr>
        <w:t>160.03  آنها به صورت آنلاین در وب‌سایت راهنمای مطالعه ارتقاء خدمت سربازی USAF (https://www.studyguides.af.mil/) در دسترس هستند.</w:t>
      </w:r>
    </w:p>
    <w:p>
      <w:pPr>
        <w:spacing w:after="28" w:line="216" w:lineRule="auto"/>
        <w:ind w:left="259"/>
        <w:jc w:val="left"/>
      </w:pPr>
      <w:r>
        <w:rPr>
          <w:rFonts w:ascii="Arial" w:hAnsi="Arial"/>
          <w:color w:val="525252"/>
          <w:sz w:val="13"/>
        </w:rPr>
        <w:t>They are available on-line at the USAF Enlisted Promotion Study Guides website (https://www.studyguides.af.mil/).</w:t>
      </w:r>
    </w:p>
    <w:p>
      <w:pPr>
        <w:spacing w:after="20" w:line="223" w:lineRule="auto"/>
        <w:jc w:val="right"/>
        <w:bidi/>
      </w:pPr>
      <w:r>
        <w:rPr>
          <w:rFonts w:ascii="Arial" w:hAnsi="Arial"/>
          <w:sz w:val="16"/>
        </w:rPr>
        <w:t>160.04  سایت همزمان با انتشار EPRRC به‌روز می‌شود.</w:t>
      </w:r>
    </w:p>
    <w:p>
      <w:pPr>
        <w:spacing w:after="28" w:line="216" w:lineRule="auto"/>
        <w:ind w:left="259"/>
        <w:jc w:val="left"/>
      </w:pPr>
      <w:r>
        <w:rPr>
          <w:rFonts w:ascii="Arial" w:hAnsi="Arial"/>
          <w:color w:val="525252"/>
          <w:sz w:val="13"/>
        </w:rPr>
        <w:t>The site is updated to coincide with release of the EPRRC.</w:t>
      </w:r>
    </w:p>
    <w:p>
      <w:pPr>
        <w:spacing w:after="20" w:line="223" w:lineRule="auto"/>
        <w:jc w:val="right"/>
        <w:bidi/>
      </w:pPr>
      <w:r>
        <w:rPr>
          <w:rFonts w:ascii="Arial" w:hAnsi="Arial"/>
          <w:sz w:val="16"/>
        </w:rPr>
        <w:t>160.05  مواد مطالعه، مانند دستورالعمل‌ها، راهنماها، یا سفارش‌های فنی، به‌صورت آنلاین در وب‌سایت دفتر انتشارات دپارتمان نیروی هوایی (https://www.e-publishing.af.mil/) یا سایر مخازن تأیید شده در دسترس هستند.</w:t>
      </w:r>
    </w:p>
    <w:p>
      <w:pPr>
        <w:spacing w:after="28" w:line="216" w:lineRule="auto"/>
        <w:ind w:left="259"/>
        <w:jc w:val="left"/>
      </w:pPr>
      <w:r>
        <w:rPr>
          <w:rFonts w:ascii="Arial" w:hAnsi="Arial"/>
          <w:color w:val="525252"/>
          <w:sz w:val="13"/>
        </w:rPr>
        <w:t>Study materials, such as instructions, manuals, or technical orders, are made available online at the Air Force Departmental Publishing Office website (https://www.e-publishing.af.mil/) or other approved repositories.</w:t>
      </w:r>
    </w:p>
    <w:p>
      <w:pPr>
        <w:spacing w:after="20" w:line="223" w:lineRule="auto"/>
        <w:jc w:val="right"/>
        <w:bidi/>
      </w:pPr>
      <w:r>
        <w:rPr>
          <w:rFonts w:ascii="Arial" w:hAnsi="Arial"/>
          <w:sz w:val="16"/>
        </w:rPr>
        <w:t>160.06  افراد ممکن است از مانیتورهای واحد WAPS بخواهند که مواد مرجع مطالعه فهرست شده در کاتالوگ را که به صورت محلی در دسترس نیست سفارش دهند.</w:t>
      </w:r>
    </w:p>
    <w:p>
      <w:pPr>
        <w:spacing w:after="28" w:line="216" w:lineRule="auto"/>
        <w:ind w:left="259"/>
        <w:jc w:val="left"/>
      </w:pPr>
      <w:r>
        <w:rPr>
          <w:rFonts w:ascii="Arial" w:hAnsi="Arial"/>
          <w:color w:val="525252"/>
          <w:sz w:val="13"/>
        </w:rPr>
        <w:t>Individuals may ask unit WAPS monitors to order study reference material listed in the catalog that is not locally available.</w:t>
      </w:r>
    </w:p>
    <w:p>
      <w:pPr>
        <w:spacing w:after="20" w:line="223" w:lineRule="auto"/>
        <w:jc w:val="right"/>
        <w:bidi/>
      </w:pPr>
      <w:r>
        <w:rPr>
          <w:rFonts w:ascii="Arial" w:hAnsi="Arial"/>
          <w:sz w:val="16"/>
        </w:rPr>
        <w:t>160.07  طبق DAFMAN ۳۶-۲۶۶۴، هوانوردان واجد شرایط ارتقاء باید حداقل ۶۰ روز قبل از تاریخ آزمون برنامه‌ریزی شده به مواد مرجع دسترسی داشته باشند.</w:t>
      </w:r>
    </w:p>
    <w:p>
      <w:pPr>
        <w:spacing w:after="28" w:line="216" w:lineRule="auto"/>
        <w:ind w:left="259"/>
        <w:jc w:val="left"/>
      </w:pPr>
      <w:r>
        <w:rPr>
          <w:rFonts w:ascii="Arial" w:hAnsi="Arial"/>
          <w:color w:val="525252"/>
          <w:sz w:val="13"/>
        </w:rPr>
        <w:t>According to DAFMAN 36-2664, promotion eligible Airmen must have access to reference materials at least 60 days before the scheduled test date.</w:t>
      </w:r>
    </w:p>
    <w:p>
      <w:pPr>
        <w:spacing w:after="20" w:line="223" w:lineRule="auto"/>
        <w:jc w:val="right"/>
        <w:bidi/>
      </w:pPr>
      <w:r>
        <w:rPr>
          <w:rFonts w:ascii="Arial" w:hAnsi="Arial"/>
          <w:sz w:val="16"/>
        </w:rPr>
        <w:t>160.08  در غیر این صورت، عضو نیروی هوایی ممکن است درخواست تاخیر در آزمایش کند.</w:t>
      </w:r>
    </w:p>
    <w:p>
      <w:pPr>
        <w:spacing w:after="28" w:line="216" w:lineRule="auto"/>
        <w:ind w:left="259"/>
        <w:jc w:val="left"/>
      </w:pPr>
      <w:r>
        <w:rPr>
          <w:rFonts w:ascii="Arial" w:hAnsi="Arial"/>
          <w:color w:val="525252"/>
          <w:sz w:val="13"/>
        </w:rPr>
        <w:t>If not, the Airman may request a delay in testing.</w:t>
      </w:r>
    </w:p>
    <w:p>
      <w:pPr>
        <w:spacing w:before="60" w:after="28"/>
        <w:jc w:val="right"/>
        <w:bidi/>
      </w:pPr>
      <w:r>
        <w:rPr>
          <w:b/>
          <w:color w:val="1F4D78"/>
          <w:sz w:val="18"/>
        </w:rPr>
        <w:t>9.13. تاریخ قطع صلاحیت ارتقاء</w:t>
      </w:r>
    </w:p>
    <w:p>
      <w:pPr>
        <w:spacing w:after="20"/>
        <w:ind w:left="259"/>
        <w:jc w:val="left"/>
      </w:pPr>
      <w:r>
        <w:rPr>
          <w:color w:val="555555"/>
          <w:sz w:val="12"/>
        </w:rPr>
        <w:t>9.13. Promotion Eligibility Cutoff Date</w:t>
      </w:r>
    </w:p>
    <w:p>
      <w:pPr>
        <w:spacing w:after="20" w:line="223" w:lineRule="auto"/>
        <w:jc w:val="right"/>
        <w:bidi/>
      </w:pPr>
      <w:r>
        <w:rPr>
          <w:rFonts w:ascii="Arial" w:hAnsi="Arial"/>
          <w:sz w:val="16"/>
        </w:rPr>
        <w:t>160.10  تاریخ قطع صلاحیت ارتقاء (PECD) برای تعیین صلاحیت ارتقای عضو نیروی هوایی و همچنین تاریخ قطعی استفاده می‌شود که تعیین می‌کند محتوای پوشه انتخاب و اطلاعات مربوط به خلاصه‌های ارزیابی ارتقاء باید به‌روزرسانی و کامل شوند.</w:t>
      </w:r>
    </w:p>
    <w:p>
      <w:pPr>
        <w:spacing w:after="28" w:line="216" w:lineRule="auto"/>
        <w:ind w:left="259"/>
        <w:jc w:val="left"/>
      </w:pPr>
      <w:r>
        <w:rPr>
          <w:rFonts w:ascii="Arial" w:hAnsi="Arial"/>
          <w:color w:val="525252"/>
          <w:sz w:val="13"/>
        </w:rPr>
        <w:t>The promotion eligibility cutoff date (PECD) is used to determine Airman promotion eligibility as well as the cutoff date that will determine when contents of the selection folder and information on promotion evaluation briefs must be updated and complete.</w:t>
      </w:r>
    </w:p>
    <w:p>
      <w:pPr>
        <w:spacing w:after="20" w:line="223" w:lineRule="auto"/>
        <w:jc w:val="right"/>
        <w:bidi/>
      </w:pPr>
      <w:r>
        <w:rPr>
          <w:rFonts w:ascii="Arial" w:hAnsi="Arial"/>
          <w:sz w:val="16"/>
        </w:rPr>
        <w:t>160.11  PECD تاریخی است که معیارهای ارتقاء برای ارتقاء در نظر گرفته می‌شوند، مانند داده‌های ارائه شده در خلاصه تأیید صحت داده‌ها، که برای بررسی ارزیابی هیئت ارتقاء استفاده می‌شود.</w:t>
      </w:r>
    </w:p>
    <w:p>
      <w:pPr>
        <w:spacing w:after="28" w:line="216" w:lineRule="auto"/>
        <w:ind w:left="259"/>
        <w:jc w:val="left"/>
      </w:pPr>
      <w:r>
        <w:rPr>
          <w:rFonts w:ascii="Arial" w:hAnsi="Arial"/>
          <w:color w:val="525252"/>
          <w:sz w:val="13"/>
        </w:rPr>
        <w:t>The PECD is the date that promotion criteria are considered for promotion, such as the data provided on the Data Verification Brief, that is used for promotion board evaluation consideration.</w:t>
      </w:r>
    </w:p>
    <w:p>
      <w:pPr>
        <w:spacing w:after="20" w:line="223" w:lineRule="auto"/>
        <w:jc w:val="right"/>
        <w:bidi/>
      </w:pPr>
      <w:r>
        <w:rPr>
          <w:rFonts w:ascii="Arial" w:hAnsi="Arial"/>
          <w:sz w:val="16"/>
        </w:rPr>
        <w:t>160.12  برای SNCO ها، این اطلاعات سپس برای ارسال خلاصه ارزیابی SNCO که در پوشه انتخاب SNCO تشکیل شده است، استفاده می‌شود.</w:t>
      </w:r>
    </w:p>
    <w:p>
      <w:pPr>
        <w:spacing w:after="28" w:line="216" w:lineRule="auto"/>
        <w:ind w:left="259"/>
        <w:jc w:val="left"/>
      </w:pPr>
      <w:r>
        <w:rPr>
          <w:rFonts w:ascii="Arial" w:hAnsi="Arial"/>
          <w:color w:val="525252"/>
          <w:sz w:val="13"/>
        </w:rPr>
        <w:t>For SNCOs, this information is then used to post the SNCO evaluation brief filed in the SNCO selection folder.</w:t>
      </w:r>
    </w:p>
    <w:p>
      <w:pPr>
        <w:spacing w:after="20" w:line="223" w:lineRule="auto"/>
        <w:jc w:val="right"/>
        <w:bidi/>
      </w:pPr>
      <w:r>
        <w:rPr>
          <w:rFonts w:ascii="Arial" w:hAnsi="Arial"/>
          <w:sz w:val="16"/>
        </w:rPr>
        <w:t>160.13  معیارهای ارتقاء.</w:t>
      </w:r>
    </w:p>
    <w:p>
      <w:pPr>
        <w:spacing w:after="28" w:line="216" w:lineRule="auto"/>
        <w:ind w:left="259"/>
        <w:jc w:val="left"/>
      </w:pPr>
      <w:r>
        <w:rPr>
          <w:rFonts w:ascii="Arial" w:hAnsi="Arial"/>
          <w:color w:val="525252"/>
          <w:sz w:val="13"/>
        </w:rPr>
        <w:t>Promotion Criteria.</w:t>
      </w:r>
    </w:p>
    <w:p>
      <w:pPr>
        <w:spacing w:after="20" w:line="223" w:lineRule="auto"/>
        <w:jc w:val="right"/>
        <w:bidi/>
      </w:pPr>
      <w:r>
        <w:rPr>
          <w:rFonts w:ascii="Arial" w:hAnsi="Arial"/>
          <w:sz w:val="16"/>
        </w:rPr>
        <w:t>160.14  از آنجایی که USAF به ارائه فرصت‌هایی برای گسترش شغل و وظایف ویژه ادامه می‌دهد، ذکر این نکته مهم است که افراد دارای شناسه گزارش‌دهی یا شناسه وظیفه ویژه، که به‌عنوان AFSC کنترل آنها در PECD تعیین شده است، در آن شناسه گزارش‌دهی یا شناسه وظیفه ویژه رقابت خواهند کرد.</w:t>
      </w:r>
    </w:p>
    <w:p>
      <w:pPr>
        <w:spacing w:after="28" w:line="216" w:lineRule="auto"/>
        <w:ind w:left="259"/>
        <w:jc w:val="left"/>
      </w:pPr>
      <w:r>
        <w:rPr>
          <w:rFonts w:ascii="Arial" w:hAnsi="Arial"/>
          <w:color w:val="525252"/>
          <w:sz w:val="13"/>
        </w:rPr>
        <w:t>As the USAF continues to offer opportunities for career broadening and special duty assignments, it is important to mention that individuals with a reporting identifier or special duty identifier, designated as their control AFSC on the PECD, will compete within that reporting identifier or special duty identifier.</w:t>
      </w:r>
    </w:p>
    <w:p>
      <w:pPr>
        <w:spacing w:after="20" w:line="223" w:lineRule="auto"/>
        <w:jc w:val="right"/>
        <w:bidi/>
      </w:pPr>
      <w:r>
        <w:rPr>
          <w:rFonts w:ascii="Arial" w:hAnsi="Arial"/>
          <w:sz w:val="16"/>
        </w:rPr>
        <w:t>160.15  در غیر این صورت، گروهبان‌های ارشدی که برای ارتقاء به سرگروهبان ارشد در نظر گرفته می‌شوند، برای ارتقاء در سطح سرپرست AFSC کنترلی که از PECD داشتند، رقابت خواهند کرد.</w:t>
      </w:r>
    </w:p>
    <w:p>
      <w:pPr>
        <w:spacing w:after="28" w:line="216" w:lineRule="auto"/>
        <w:ind w:left="259"/>
        <w:jc w:val="left"/>
      </w:pPr>
      <w:r>
        <w:rPr>
          <w:rFonts w:ascii="Arial" w:hAnsi="Arial"/>
          <w:color w:val="525252"/>
          <w:sz w:val="13"/>
        </w:rPr>
        <w:t>Otherwise, Master Sergeants being considered for promotion to Senior Master Sergeant will compete for promotion in the superintendent level of the control AFSC they held as of the PECD.</w:t>
      </w:r>
    </w:p>
    <w:p>
      <w:pPr>
        <w:spacing w:after="20" w:line="223" w:lineRule="auto"/>
        <w:jc w:val="right"/>
        <w:bidi/>
      </w:pPr>
      <w:r>
        <w:rPr>
          <w:rFonts w:ascii="Arial" w:hAnsi="Arial"/>
          <w:sz w:val="16"/>
        </w:rPr>
        <w:t>160.16  به همین ترتیب، گروهبان‌های ارشدی که برای ارتقاء به سرگروهبان در نظر گرفته می‌شوند، برای ارتقاء در کد مدیر ارشد AFSC کنترلی که از PECD داشتند، رقابت خواهند کرد.</w:t>
      </w:r>
    </w:p>
    <w:p>
      <w:pPr>
        <w:spacing w:after="28" w:line="216" w:lineRule="auto"/>
        <w:ind w:left="259"/>
        <w:jc w:val="left"/>
      </w:pPr>
      <w:r>
        <w:rPr>
          <w:rFonts w:ascii="Arial" w:hAnsi="Arial"/>
          <w:color w:val="525252"/>
          <w:sz w:val="13"/>
        </w:rPr>
        <w:t>Likewise, Senior Master Sergeants being considered for promotion to Chief Master Sergeant will compete for promotion in the chief enlisted manager code of the control AFSC they held as of the PECD.</w:t>
      </w:r>
    </w:p>
    <w:p>
      <w:pPr>
        <w:spacing w:before="60" w:after="28"/>
        <w:jc w:val="right"/>
        <w:bidi/>
      </w:pPr>
      <w:r>
        <w:rPr>
          <w:b/>
          <w:color w:val="1F4D78"/>
          <w:sz w:val="18"/>
        </w:rPr>
        <w:t>9.14. رکورد تایید داده ها</w:t>
      </w:r>
    </w:p>
    <w:p>
      <w:pPr>
        <w:spacing w:after="20"/>
        <w:ind w:left="259"/>
        <w:jc w:val="left"/>
      </w:pPr>
      <w:r>
        <w:rPr>
          <w:color w:val="555555"/>
          <w:sz w:val="12"/>
        </w:rPr>
        <w:t>9.14. Data Verification Record</w:t>
      </w:r>
    </w:p>
    <w:p>
      <w:pPr>
        <w:spacing w:after="20" w:line="223" w:lineRule="auto"/>
        <w:jc w:val="right"/>
        <w:bidi/>
      </w:pPr>
      <w:r>
        <w:rPr>
          <w:rFonts w:ascii="Arial" w:hAnsi="Arial"/>
          <w:sz w:val="16"/>
        </w:rPr>
        <w:t>160.18  سابقه تأیید داده (DVR) سندی است که برای بررسی تبلیغات استفاده می‌شود و مهم‌ترین ابزار برای بررسی برای اطمینان از کامل بودن اطلاعات یک سابقه تبلیغاتی است.</w:t>
      </w:r>
    </w:p>
    <w:p>
      <w:pPr>
        <w:spacing w:after="28" w:line="216" w:lineRule="auto"/>
        <w:ind w:left="259"/>
        <w:jc w:val="left"/>
      </w:pPr>
      <w:r>
        <w:rPr>
          <w:rFonts w:ascii="Arial" w:hAnsi="Arial"/>
          <w:color w:val="525252"/>
          <w:sz w:val="13"/>
        </w:rPr>
        <w:t>The Data Verification Record (DVR) is the document utilized for promotion consideration and is the most important tool to review to ensure information on a promotion record is complete.</w:t>
      </w:r>
    </w:p>
    <w:p>
      <w:pPr>
        <w:spacing w:after="20" w:line="223" w:lineRule="auto"/>
        <w:jc w:val="right"/>
        <w:bidi/>
      </w:pPr>
      <w:r>
        <w:rPr>
          <w:rFonts w:ascii="Arial" w:hAnsi="Arial"/>
          <w:sz w:val="16"/>
        </w:rPr>
        <w:t>160.19  همه هوانوردان واجد شرایط باید DVR خود را در سیستم مدیریت سوابق خودکار/برنامه نمایش سوابق پرسنل (ARMS/PRDA) بررسی کنند.</w:t>
      </w:r>
    </w:p>
    <w:p>
      <w:pPr>
        <w:spacing w:after="28" w:line="216" w:lineRule="auto"/>
        <w:ind w:left="259"/>
        <w:jc w:val="left"/>
      </w:pPr>
      <w:r>
        <w:rPr>
          <w:rFonts w:ascii="Arial" w:hAnsi="Arial"/>
          <w:color w:val="525252"/>
          <w:sz w:val="13"/>
        </w:rPr>
        <w:t>All eligible Airmen must review their DVR in the Automated Records Management System/Personnel Records Display Application (ARMS/PRDA).</w:t>
      </w:r>
    </w:p>
    <w:p>
      <w:pPr>
        <w:spacing w:after="20" w:line="223" w:lineRule="auto"/>
        <w:jc w:val="right"/>
        <w:bidi/>
      </w:pPr>
      <w:r>
        <w:rPr>
          <w:rFonts w:ascii="Arial" w:hAnsi="Arial"/>
          <w:sz w:val="16"/>
        </w:rPr>
        <w:t>160.20  در صورت مشاهده خطا یا کوتاهی، هوانورد باید فورا برای کمک با پرواز پرسنل نظامی خود تماس بگیرد.</w:t>
      </w:r>
    </w:p>
    <w:p>
      <w:pPr>
        <w:spacing w:after="28" w:line="216" w:lineRule="auto"/>
        <w:ind w:left="259"/>
        <w:jc w:val="left"/>
      </w:pPr>
      <w:r>
        <w:rPr>
          <w:rFonts w:ascii="Arial" w:hAnsi="Arial"/>
          <w:color w:val="525252"/>
          <w:sz w:val="13"/>
        </w:rPr>
        <w:t>If an error or omission is noted, the Airman must immediately contact his or her military personnel flight for assistance.</w:t>
      </w:r>
    </w:p>
    <w:p>
      <w:pPr>
        <w:spacing w:after="20" w:line="223" w:lineRule="auto"/>
        <w:jc w:val="right"/>
        <w:bidi/>
      </w:pPr>
      <w:r>
        <w:rPr>
          <w:rFonts w:ascii="Arial" w:hAnsi="Arial"/>
          <w:sz w:val="16"/>
        </w:rPr>
        <w:t>160.21  پرواز پرسنل نظامی سیستم اطلاعات پرسنل نظامی را با داده‌های صحیح به‌روز می‌کند و DVR را در پرواز پرسنل نظامی مجازی به‌روز می‌کند.</w:t>
      </w:r>
    </w:p>
    <w:p>
      <w:pPr>
        <w:spacing w:after="28" w:line="216" w:lineRule="auto"/>
        <w:ind w:left="259"/>
        <w:jc w:val="left"/>
      </w:pPr>
      <w:r>
        <w:rPr>
          <w:rFonts w:ascii="Arial" w:hAnsi="Arial"/>
          <w:color w:val="525252"/>
          <w:sz w:val="13"/>
        </w:rPr>
        <w:t>The military personnel flight will update the Military Personnel Data System with the correct data and update the DVR on virtual military personnel flight.</w:t>
      </w:r>
    </w:p>
    <w:p>
      <w:pPr>
        <w:spacing w:after="20" w:line="223" w:lineRule="auto"/>
        <w:jc w:val="right"/>
        <w:bidi/>
      </w:pPr>
      <w:r>
        <w:rPr>
          <w:rFonts w:ascii="Arial" w:hAnsi="Arial"/>
          <w:sz w:val="16"/>
        </w:rPr>
        <w:t>160.22  هوانوردان باید رکورد به‌روز شده را بررسی کنند تا تأیید کنند که تغییرات به‌طور دقیق انجام شده است.</w:t>
      </w:r>
    </w:p>
    <w:p>
      <w:pPr>
        <w:spacing w:after="28" w:line="216" w:lineRule="auto"/>
        <w:ind w:left="259"/>
        <w:jc w:val="left"/>
      </w:pPr>
      <w:r>
        <w:rPr>
          <w:rFonts w:ascii="Arial" w:hAnsi="Arial"/>
          <w:color w:val="525252"/>
          <w:sz w:val="13"/>
        </w:rPr>
        <w:t>Airmen should review the updated record to verify changes have been completed accurately.</w:t>
      </w:r>
    </w:p>
    <w:p>
      <w:pPr>
        <w:spacing w:after="20" w:line="223" w:lineRule="auto"/>
        <w:jc w:val="right"/>
        <w:bidi/>
      </w:pPr>
      <w:r>
        <w:rPr>
          <w:rFonts w:ascii="Arial" w:hAnsi="Arial"/>
          <w:sz w:val="16"/>
        </w:rPr>
        <w:t>160.23  داده‌های منعکس‌شده در DVR نباید با خلاصه تأیید صحت داده یا قالب بازیابی واحدی که معمولا به‌عنوان SURF شناخته می‌شود، اشتباه گرفته شود.</w:t>
      </w:r>
    </w:p>
    <w:p>
      <w:pPr>
        <w:spacing w:after="28" w:line="216" w:lineRule="auto"/>
        <w:ind w:left="259"/>
        <w:jc w:val="left"/>
      </w:pPr>
      <w:r>
        <w:rPr>
          <w:rFonts w:ascii="Arial" w:hAnsi="Arial"/>
          <w:color w:val="525252"/>
          <w:sz w:val="13"/>
        </w:rPr>
        <w:t>Data reflected on the DVR should not be confused with the Data Verification Brief or a Single Unit Retrieval Format, commonly referred to as SURF.</w:t>
      </w:r>
    </w:p>
    <w:p>
      <w:pPr>
        <w:spacing w:after="20" w:line="223" w:lineRule="auto"/>
        <w:jc w:val="right"/>
        <w:bidi/>
      </w:pPr>
      <w:r>
        <w:rPr>
          <w:rFonts w:ascii="Arial" w:hAnsi="Arial"/>
          <w:sz w:val="16"/>
        </w:rPr>
        <w:t>160.24  مراحل بازبینی سوابق تأیید داده‌ها: دسترسی به پورتال USAF PRDA را در بخش‌های من انتخاب کنید، PRDA را انتخاب کنید.</w:t>
      </w:r>
    </w:p>
    <w:p>
      <w:pPr>
        <w:spacing w:after="28" w:line="216" w:lineRule="auto"/>
        <w:ind w:left="259"/>
        <w:jc w:val="left"/>
      </w:pPr>
      <w:r>
        <w:rPr>
          <w:rFonts w:ascii="Arial" w:hAnsi="Arial"/>
          <w:color w:val="525252"/>
          <w:sz w:val="13"/>
        </w:rPr>
        <w:t>Data Verification Record Review Steps: Access the USAF Portal Access PRDA Under My Sections, select PRDA The Selection Folder category within PRDA is the “As Is” record The Board category within PRDA is the “As Met” record</w:t>
      </w:r>
    </w:p>
    <w:p>
      <w:r>
        <w:br w:type="page"/>
      </w:r>
    </w:p>
    <w:p>
      <w:pPr>
        <w:spacing w:after="60"/>
        <w:jc w:val="right"/>
        <w:bidi/>
      </w:pPr>
      <w:r>
        <w:rPr>
          <w:rFonts w:ascii="Arial" w:hAnsi="Arial"/>
          <w:b/>
          <w:color w:val="1F4D78"/>
          <w:sz w:val="19"/>
        </w:rPr>
        <w:t>هفتهٔ 161  |  صفحهٔ منبع: 177</w:t>
      </w:r>
    </w:p>
    <w:p>
      <w:pPr>
        <w:spacing w:before="60" w:after="28"/>
        <w:jc w:val="right"/>
        <w:bidi/>
      </w:pPr>
      <w:r>
        <w:rPr>
          <w:b/>
          <w:color w:val="1F4D78"/>
          <w:sz w:val="18"/>
        </w:rPr>
        <w:t>بخش 9D - تست ارتقاء</w:t>
      </w:r>
    </w:p>
    <w:p>
      <w:pPr>
        <w:spacing w:after="20"/>
        <w:ind w:left="259"/>
        <w:jc w:val="left"/>
      </w:pPr>
      <w:r>
        <w:rPr>
          <w:color w:val="555555"/>
          <w:sz w:val="12"/>
        </w:rPr>
        <w:t>Section 9D—Promotion Testing</w:t>
      </w:r>
    </w:p>
    <w:p>
      <w:pPr>
        <w:spacing w:before="60" w:after="28"/>
        <w:jc w:val="right"/>
        <w:bidi/>
      </w:pPr>
      <w:r>
        <w:rPr>
          <w:b/>
          <w:color w:val="1F4D78"/>
          <w:sz w:val="18"/>
        </w:rPr>
        <w:t>9.15. توسعه تست ارتقاء</w:t>
      </w:r>
    </w:p>
    <w:p>
      <w:pPr>
        <w:spacing w:after="20"/>
        <w:ind w:left="259"/>
        <w:jc w:val="left"/>
      </w:pPr>
      <w:r>
        <w:rPr>
          <w:color w:val="555555"/>
          <w:sz w:val="12"/>
        </w:rPr>
        <w:t>9.15. Promotion Test Development</w:t>
      </w:r>
    </w:p>
    <w:p>
      <w:pPr>
        <w:spacing w:after="20" w:line="223" w:lineRule="auto"/>
        <w:jc w:val="right"/>
        <w:bidi/>
      </w:pPr>
      <w:r>
        <w:rPr>
          <w:rFonts w:ascii="Arial" w:hAnsi="Arial"/>
          <w:sz w:val="16"/>
        </w:rPr>
        <w:t>161.03  فرماندهی آموزش و آموزش هوایی، اسکادران مطالعات و تجزیه و تحلیل، پیشروی نیروی هوایی</w:t>
      </w:r>
    </w:p>
    <w:p>
      <w:pPr>
        <w:spacing w:after="28" w:line="216" w:lineRule="auto"/>
        <w:ind w:left="259"/>
        <w:jc w:val="left"/>
      </w:pPr>
      <w:r>
        <w:rPr>
          <w:rFonts w:ascii="Arial" w:hAnsi="Arial"/>
          <w:color w:val="525252"/>
          <w:sz w:val="13"/>
        </w:rPr>
        <w:t>Air Education and Training Command, Studies and Analysis Squadron, Airman Advancement</w:t>
      </w:r>
    </w:p>
    <w:p>
      <w:pPr>
        <w:spacing w:before="60" w:after="28"/>
        <w:jc w:val="right"/>
        <w:bidi/>
      </w:pPr>
      <w:r>
        <w:rPr>
          <w:b/>
          <w:color w:val="1F4D78"/>
          <w:sz w:val="18"/>
        </w:rPr>
        <w:t>بخش، پایگاه مشترک سن آنتونیو راندولف، تگزاس، تمام تست‌های ارتقای ثبت‌نام شده USAF را تولید می‌کند.</w:t>
      </w:r>
    </w:p>
    <w:p>
      <w:pPr>
        <w:spacing w:after="20"/>
        <w:ind w:left="259"/>
        <w:jc w:val="left"/>
      </w:pPr>
      <w:r>
        <w:rPr>
          <w:color w:val="555555"/>
          <w:sz w:val="12"/>
        </w:rPr>
        <w:t>Section, Joint Base San Antonio-Randolph, Texas, produces all USAF enlisted promotion tests,</w:t>
      </w:r>
    </w:p>
    <w:p>
      <w:pPr>
        <w:spacing w:after="20" w:line="223" w:lineRule="auto"/>
        <w:jc w:val="right"/>
        <w:bidi/>
      </w:pPr>
      <w:r>
        <w:rPr>
          <w:rFonts w:ascii="Arial" w:hAnsi="Arial"/>
          <w:sz w:val="16"/>
        </w:rPr>
        <w:t>161.05  که توسط نیروهای هوایی برای نیروهای هوایی نوشته شده است.</w:t>
      </w:r>
    </w:p>
    <w:p>
      <w:pPr>
        <w:spacing w:after="28" w:line="216" w:lineRule="auto"/>
        <w:ind w:left="259"/>
        <w:jc w:val="left"/>
      </w:pPr>
      <w:r>
        <w:rPr>
          <w:rFonts w:ascii="Arial" w:hAnsi="Arial"/>
          <w:color w:val="525252"/>
          <w:sz w:val="13"/>
        </w:rPr>
        <w:t>which are written by Airmen for Airmen.</w:t>
      </w:r>
    </w:p>
    <w:p>
      <w:pPr>
        <w:spacing w:after="20" w:line="223" w:lineRule="auto"/>
        <w:jc w:val="right"/>
        <w:bidi/>
      </w:pPr>
      <w:r>
        <w:rPr>
          <w:rFonts w:ascii="Arial" w:hAnsi="Arial"/>
          <w:sz w:val="16"/>
        </w:rPr>
        <w:t>161.06  تیم‌های SNCO برای کار در داخل با متخصصان توسعه آزمون سفر می‌کنند و دانش و تخصص خود را برای ایجاد سوالات آزمون فعلی، مرتبط و دقیق برای تست ارتقای ثبت‌نامی به کار می‌گیرند.</w:t>
      </w:r>
    </w:p>
    <w:p>
      <w:pPr>
        <w:spacing w:after="28" w:line="216" w:lineRule="auto"/>
        <w:ind w:left="259"/>
        <w:jc w:val="left"/>
      </w:pPr>
      <w:r>
        <w:rPr>
          <w:rFonts w:ascii="Arial" w:hAnsi="Arial"/>
          <w:color w:val="525252"/>
          <w:sz w:val="13"/>
        </w:rPr>
        <w:t>Teams of SNCOs travel to work in-house with test development specialists and apply their knowledge and expertise to develop current, relevant, and accurate test questions for enlisted promotion testing.</w:t>
      </w:r>
    </w:p>
    <w:p>
      <w:pPr>
        <w:spacing w:after="20" w:line="223" w:lineRule="auto"/>
        <w:jc w:val="right"/>
        <w:bidi/>
      </w:pPr>
      <w:r>
        <w:rPr>
          <w:rFonts w:ascii="Arial" w:hAnsi="Arial"/>
          <w:sz w:val="16"/>
        </w:rPr>
        <w:t>161.07  در ابتدای پروژه توسعه تست، جدیدترین تست‌ها برای تیم‌های توسعه تست انجام می‌شود.</w:t>
      </w:r>
    </w:p>
    <w:p>
      <w:pPr>
        <w:spacing w:after="28" w:line="216" w:lineRule="auto"/>
        <w:ind w:left="259"/>
        <w:jc w:val="left"/>
      </w:pPr>
      <w:r>
        <w:rPr>
          <w:rFonts w:ascii="Arial" w:hAnsi="Arial"/>
          <w:color w:val="525252"/>
          <w:sz w:val="13"/>
        </w:rPr>
        <w:t>At the beginning of a test development project, the most current tests are administered to the test development teams.</w:t>
      </w:r>
    </w:p>
    <w:p>
      <w:pPr>
        <w:spacing w:after="20" w:line="223" w:lineRule="auto"/>
        <w:jc w:val="right"/>
        <w:bidi/>
      </w:pPr>
      <w:r>
        <w:rPr>
          <w:rFonts w:ascii="Arial" w:hAnsi="Arial"/>
          <w:sz w:val="16"/>
        </w:rPr>
        <w:t>161.08  این به نویسندگان آزمون دیدگاه شرکت کنندگان در آزمون را می‌دهد و به آنها کمک می‌کند تا چگونگی ارتباط محتوای آزمون با عملکرد در تخصص‌های خود را ارزیابی کنند.</w:t>
      </w:r>
    </w:p>
    <w:p>
      <w:pPr>
        <w:spacing w:after="28" w:line="216" w:lineRule="auto"/>
        <w:ind w:left="259"/>
        <w:jc w:val="left"/>
      </w:pPr>
      <w:r>
        <w:rPr>
          <w:rFonts w:ascii="Arial" w:hAnsi="Arial"/>
          <w:color w:val="525252"/>
          <w:sz w:val="13"/>
        </w:rPr>
        <w:t>This gives test writers the point of view of the test takers and helps them evaluate how the test content relates to performance in their specialties.</w:t>
      </w:r>
    </w:p>
    <w:p>
      <w:pPr>
        <w:spacing w:after="20" w:line="223" w:lineRule="auto"/>
        <w:jc w:val="right"/>
        <w:bidi/>
      </w:pPr>
      <w:r>
        <w:rPr>
          <w:rFonts w:ascii="Arial" w:hAnsi="Arial"/>
          <w:sz w:val="16"/>
        </w:rPr>
        <w:t>161.09  تیم‌ها همچنین منابع هر سوال را برای ارز و دقت بررسی می‌کنند.</w:t>
      </w:r>
    </w:p>
    <w:p>
      <w:pPr>
        <w:spacing w:after="28" w:line="216" w:lineRule="auto"/>
        <w:ind w:left="259"/>
        <w:jc w:val="left"/>
      </w:pPr>
      <w:r>
        <w:rPr>
          <w:rFonts w:ascii="Arial" w:hAnsi="Arial"/>
          <w:color w:val="525252"/>
          <w:sz w:val="13"/>
        </w:rPr>
        <w:t>Teams will also carefully check the references of each question for currency and accuracy.</w:t>
      </w:r>
    </w:p>
    <w:p>
      <w:pPr>
        <w:spacing w:after="20" w:line="223" w:lineRule="auto"/>
        <w:jc w:val="right"/>
        <w:bidi/>
      </w:pPr>
      <w:r>
        <w:rPr>
          <w:rFonts w:ascii="Arial" w:hAnsi="Arial"/>
          <w:sz w:val="16"/>
        </w:rPr>
        <w:t>161.10  تنها پس از انجام این امر، تیم‌ها شروع به ایجاد سؤالات آزمون جدید می‌کنند.</w:t>
      </w:r>
    </w:p>
    <w:p>
      <w:pPr>
        <w:spacing w:after="28" w:line="216" w:lineRule="auto"/>
        <w:ind w:left="259"/>
        <w:jc w:val="left"/>
      </w:pPr>
      <w:r>
        <w:rPr>
          <w:rFonts w:ascii="Arial" w:hAnsi="Arial"/>
          <w:color w:val="525252"/>
          <w:sz w:val="13"/>
        </w:rPr>
        <w:t>Only after this is accomplished do the teams begin developing new test questions.</w:t>
      </w:r>
    </w:p>
    <w:p>
      <w:pPr>
        <w:spacing w:after="20" w:line="223" w:lineRule="auto"/>
        <w:jc w:val="right"/>
        <w:bidi/>
      </w:pPr>
      <w:r>
        <w:rPr>
          <w:rFonts w:ascii="Arial" w:hAnsi="Arial"/>
          <w:sz w:val="16"/>
        </w:rPr>
        <w:t>161.11  در طول توسعه آزمون، متخصصان توسعه آزمون، تخصص روان‌سنجی و رشدی لازم را برای اطمینان از معتبر، معتبر و منصفانه بودن آزمون‌ها برای همه آزمون‌شوندگان ارائه می‌کنند.</w:t>
      </w:r>
    </w:p>
    <w:p>
      <w:pPr>
        <w:spacing w:after="28" w:line="216" w:lineRule="auto"/>
        <w:ind w:left="259"/>
        <w:jc w:val="left"/>
      </w:pPr>
      <w:r>
        <w:rPr>
          <w:rFonts w:ascii="Arial" w:hAnsi="Arial"/>
          <w:color w:val="525252"/>
          <w:sz w:val="13"/>
        </w:rPr>
        <w:t>During test development, test development specialists provide psychometric and developmental expertise required to ensure the tests are credible, valid, and fair to all examinees.</w:t>
      </w:r>
    </w:p>
    <w:p>
      <w:pPr>
        <w:spacing w:after="20" w:line="223" w:lineRule="auto"/>
        <w:jc w:val="right"/>
        <w:bidi/>
      </w:pPr>
      <w:r>
        <w:rPr>
          <w:rFonts w:ascii="Arial" w:hAnsi="Arial"/>
          <w:sz w:val="16"/>
        </w:rPr>
        <w:t>161.12  آزمون ارتقاء تناسب اندام.</w:t>
      </w:r>
    </w:p>
    <w:p>
      <w:pPr>
        <w:spacing w:after="28" w:line="216" w:lineRule="auto"/>
        <w:ind w:left="259"/>
        <w:jc w:val="left"/>
      </w:pPr>
      <w:r>
        <w:rPr>
          <w:rFonts w:ascii="Arial" w:hAnsi="Arial"/>
          <w:color w:val="525252"/>
          <w:sz w:val="13"/>
        </w:rPr>
        <w:t>Promotion Fitness Examination.</w:t>
      </w:r>
    </w:p>
    <w:p>
      <w:pPr>
        <w:spacing w:after="20" w:line="223" w:lineRule="auto"/>
        <w:jc w:val="right"/>
        <w:bidi/>
      </w:pPr>
      <w:r>
        <w:rPr>
          <w:rFonts w:ascii="Arial" w:hAnsi="Arial"/>
          <w:sz w:val="16"/>
        </w:rPr>
        <w:t>161.13  آزمون‌های تناسب اندام ارتقاء (PFE) دانش نظامی و نظارتی مورد نیاز گروهبانان و گروهبان‌های فنی را اندازه گیری می‌کند.</w:t>
      </w:r>
    </w:p>
    <w:p>
      <w:pPr>
        <w:spacing w:after="28" w:line="216" w:lineRule="auto"/>
        <w:ind w:left="259"/>
        <w:jc w:val="left"/>
      </w:pPr>
      <w:r>
        <w:rPr>
          <w:rFonts w:ascii="Arial" w:hAnsi="Arial"/>
          <w:color w:val="525252"/>
          <w:sz w:val="13"/>
        </w:rPr>
        <w:t>The Promotion Fitness Examinations (PFE) measure military and supervisory knowledge required of Staff Sergeants and Technical Sergeants.</w:t>
      </w:r>
    </w:p>
    <w:p>
      <w:pPr>
        <w:spacing w:after="20" w:line="223" w:lineRule="auto"/>
        <w:jc w:val="right"/>
        <w:bidi/>
      </w:pPr>
      <w:r>
        <w:rPr>
          <w:rFonts w:ascii="Arial" w:hAnsi="Arial"/>
          <w:sz w:val="16"/>
        </w:rPr>
        <w:t>161.14  برای PFE، متخصصان توسعه آزمون، فرماندهان ارشد گروهبان را بر اساس تجربه گسترده و نمایندگی فرماندهی اصلی برای توسعه و اعتبارسنجی سوالات انتخاب می‌کنند.</w:t>
      </w:r>
    </w:p>
    <w:p>
      <w:pPr>
        <w:spacing w:after="28" w:line="216" w:lineRule="auto"/>
        <w:ind w:left="259"/>
        <w:jc w:val="left"/>
      </w:pPr>
      <w:r>
        <w:rPr>
          <w:rFonts w:ascii="Arial" w:hAnsi="Arial"/>
          <w:color w:val="525252"/>
          <w:sz w:val="13"/>
        </w:rPr>
        <w:t>For the PFE, test development specialists select Chief Master Sergeants based on their extensive experience and major command representation to develop and validate questions.</w:t>
      </w:r>
    </w:p>
    <w:p>
      <w:pPr>
        <w:spacing w:after="20" w:line="223" w:lineRule="auto"/>
        <w:jc w:val="right"/>
        <w:bidi/>
      </w:pPr>
      <w:r>
        <w:rPr>
          <w:rFonts w:ascii="Arial" w:hAnsi="Arial"/>
          <w:sz w:val="16"/>
        </w:rPr>
        <w:t>161.15  تست‌های دانش تخصصی.</w:t>
      </w:r>
    </w:p>
    <w:p>
      <w:pPr>
        <w:spacing w:after="28" w:line="216" w:lineRule="auto"/>
        <w:ind w:left="259"/>
        <w:jc w:val="left"/>
      </w:pPr>
      <w:r>
        <w:rPr>
          <w:rFonts w:ascii="Arial" w:hAnsi="Arial"/>
          <w:color w:val="525252"/>
          <w:sz w:val="13"/>
        </w:rPr>
        <w:t>Specialty Knowledge Tests.</w:t>
      </w:r>
    </w:p>
    <w:p>
      <w:pPr>
        <w:spacing w:after="20" w:line="223" w:lineRule="auto"/>
        <w:jc w:val="right"/>
        <w:bidi/>
      </w:pPr>
      <w:r>
        <w:rPr>
          <w:rFonts w:ascii="Arial" w:hAnsi="Arial"/>
          <w:sz w:val="16"/>
        </w:rPr>
        <w:t>161.16  آزمون‌های دانش تخصصی (SKT) دانش شغلی مهم مورد نیاز در یک تخصص خاص را اندازه گیری می‌کند.</w:t>
      </w:r>
    </w:p>
    <w:p>
      <w:pPr>
        <w:spacing w:after="28" w:line="216" w:lineRule="auto"/>
        <w:ind w:left="259"/>
        <w:jc w:val="left"/>
      </w:pPr>
      <w:r>
        <w:rPr>
          <w:rFonts w:ascii="Arial" w:hAnsi="Arial"/>
          <w:color w:val="525252"/>
          <w:sz w:val="13"/>
        </w:rPr>
        <w:t>Specialty Knowledge Tests (SKT) measure important job knowledge required in a particular specialty.</w:t>
      </w:r>
    </w:p>
    <w:p>
      <w:pPr>
        <w:spacing w:after="20" w:line="223" w:lineRule="auto"/>
        <w:jc w:val="right"/>
        <w:bidi/>
      </w:pPr>
      <w:r>
        <w:rPr>
          <w:rFonts w:ascii="Arial" w:hAnsi="Arial"/>
          <w:sz w:val="16"/>
        </w:rPr>
        <w:t>161.17  برای SKTها، متخصصان توسعه آزمون از نزدیک با مدیران حوزه شغلی USAF همکاری می‌کنند تا در جریان تغییراتی که بر رسته‌های شغلی تأثیر می‌گذارند که ممکن است بر پیشرفت آزمون ارتقاء تأثیر بگذارد، بمانند.</w:t>
      </w:r>
    </w:p>
    <w:p>
      <w:pPr>
        <w:spacing w:after="28" w:line="216" w:lineRule="auto"/>
        <w:ind w:left="259"/>
        <w:jc w:val="left"/>
      </w:pPr>
      <w:r>
        <w:rPr>
          <w:rFonts w:ascii="Arial" w:hAnsi="Arial"/>
          <w:color w:val="525252"/>
          <w:sz w:val="13"/>
        </w:rPr>
        <w:t>For SKTs, test development specialists work closely with USAF career field managers to stay abreast of changes affecting career fields which may impact promotion test development.</w:t>
      </w:r>
    </w:p>
    <w:p>
      <w:pPr>
        <w:spacing w:after="20" w:line="223" w:lineRule="auto"/>
        <w:jc w:val="right"/>
        <w:bidi/>
      </w:pPr>
      <w:r>
        <w:rPr>
          <w:rFonts w:ascii="Arial" w:hAnsi="Arial"/>
          <w:sz w:val="16"/>
        </w:rPr>
        <w:t>161.18  SNCO ها بر اساس تخصص و تجارب شغلی خود، برای توسعه و اعتبارسنجی سوالات SKT انتخاب می‌شوند.</w:t>
      </w:r>
    </w:p>
    <w:p>
      <w:pPr>
        <w:spacing w:after="28" w:line="216" w:lineRule="auto"/>
        <w:ind w:left="259"/>
        <w:jc w:val="left"/>
      </w:pPr>
      <w:r>
        <w:rPr>
          <w:rFonts w:ascii="Arial" w:hAnsi="Arial"/>
          <w:color w:val="525252"/>
          <w:sz w:val="13"/>
        </w:rPr>
        <w:t>SNCOs, based on their specialties and job experiences, are selected to develop, and validate SKT questions.</w:t>
      </w:r>
    </w:p>
    <w:p>
      <w:pPr>
        <w:spacing w:after="20" w:line="223" w:lineRule="auto"/>
        <w:jc w:val="right"/>
        <w:bidi/>
      </w:pPr>
      <w:r>
        <w:rPr>
          <w:rFonts w:ascii="Arial" w:hAnsi="Arial"/>
          <w:sz w:val="16"/>
        </w:rPr>
        <w:t>161.19  منابع مورد استفاده برای توسعه SKT شامل برنامه‌های آموزشی و آموزشی در رستهٔ شغلی، داده‌های تجزیه و تحلیل شغلی، و تجارب برای اطمینان از ارتباط محتوای آزمون با وظایف مهم انجام شده در تخصص است.</w:t>
      </w:r>
    </w:p>
    <w:p>
      <w:pPr>
        <w:spacing w:after="28" w:line="216" w:lineRule="auto"/>
        <w:ind w:left="259"/>
        <w:jc w:val="left"/>
      </w:pPr>
      <w:r>
        <w:rPr>
          <w:rFonts w:ascii="Arial" w:hAnsi="Arial"/>
          <w:color w:val="525252"/>
          <w:sz w:val="13"/>
        </w:rPr>
        <w:t>Resources used to develop SKTs include Career Field Education and Training Plans, occupational analysis data, and experiences to ensure test content is related to important tasks performed in the specialty.</w:t>
      </w:r>
    </w:p>
    <w:p>
      <w:pPr>
        <w:spacing w:before="60" w:after="28"/>
        <w:jc w:val="right"/>
        <w:bidi/>
      </w:pPr>
      <w:r>
        <w:rPr>
          <w:b/>
          <w:color w:val="1F4D78"/>
          <w:sz w:val="18"/>
        </w:rPr>
        <w:t>9.16. فهرست منابع و الزامات تبلیغات ثبت شده</w:t>
      </w:r>
    </w:p>
    <w:p>
      <w:pPr>
        <w:spacing w:after="20"/>
        <w:ind w:left="259"/>
        <w:jc w:val="left"/>
      </w:pPr>
      <w:r>
        <w:rPr>
          <w:color w:val="555555"/>
          <w:sz w:val="12"/>
        </w:rPr>
        <w:t>9.16. Enlisted Promotions References and Requirements Catalog</w:t>
      </w:r>
    </w:p>
    <w:p>
      <w:pPr>
        <w:spacing w:after="20" w:line="223" w:lineRule="auto"/>
        <w:jc w:val="right"/>
        <w:bidi/>
      </w:pPr>
      <w:r>
        <w:rPr>
          <w:rFonts w:ascii="Arial" w:hAnsi="Arial"/>
          <w:sz w:val="16"/>
        </w:rPr>
        <w:t>161.21  که سالانه در ۱ اکتبر منتشر می‌شود، فهرست منابع و الزامات تبلیغات ثبت‌نام شده (EPRRC)، همه آزمون‌های ارتقای ثبت‌شده مجاز برای اجرا و مراجع مطالعه مرتبط با این آزمون‌ها را فهرست می‌کند.</w:t>
      </w:r>
    </w:p>
    <w:p>
      <w:pPr>
        <w:spacing w:after="28" w:line="216" w:lineRule="auto"/>
        <w:ind w:left="259"/>
        <w:jc w:val="left"/>
      </w:pPr>
      <w:r>
        <w:rPr>
          <w:rFonts w:ascii="Arial" w:hAnsi="Arial"/>
          <w:color w:val="525252"/>
          <w:sz w:val="13"/>
        </w:rPr>
        <w:t>Published annually on 1 October, the Enlisted Promotions References and Requirements Catalog (EPRRC), lists all enlisted promotion tests authorized for administration and the study references associated with these tests.</w:t>
      </w:r>
    </w:p>
    <w:p>
      <w:pPr>
        <w:spacing w:after="20" w:line="223" w:lineRule="auto"/>
        <w:jc w:val="right"/>
        <w:bidi/>
      </w:pPr>
      <w:r>
        <w:rPr>
          <w:rFonts w:ascii="Arial" w:hAnsi="Arial"/>
          <w:sz w:val="16"/>
        </w:rPr>
        <w:t>161.22  هر سوال در آزمون ارتقاء از یکی از نشریات فهرست شده در EPRRC می‌آید، و تنها نشریاتی که برای پشتیبانی از سوالات در آزمون ارتقای معین استفاده می‌شوند، فهرست شده‌اند.</w:t>
      </w:r>
    </w:p>
    <w:p>
      <w:pPr>
        <w:spacing w:after="28" w:line="216" w:lineRule="auto"/>
        <w:ind w:left="259"/>
        <w:jc w:val="left"/>
      </w:pPr>
      <w:r>
        <w:rPr>
          <w:rFonts w:ascii="Arial" w:hAnsi="Arial"/>
          <w:color w:val="525252"/>
          <w:sz w:val="13"/>
        </w:rPr>
        <w:t>Every question on a promotion test comes from one of the publications listed in the EPRRC, and only publications used to support questions on a given promotion test are listed.</w:t>
      </w:r>
    </w:p>
    <w:p>
      <w:pPr>
        <w:spacing w:after="20" w:line="223" w:lineRule="auto"/>
        <w:jc w:val="right"/>
        <w:bidi/>
      </w:pPr>
      <w:r>
        <w:rPr>
          <w:rFonts w:ascii="Arial" w:hAnsi="Arial"/>
          <w:sz w:val="16"/>
        </w:rPr>
        <w:t>161.23  مراجع مطالعه برای PFE، راهنماهای مطالعه ارتقای استخدامی ویژه کلاس هستند که از AFH ۱ مشتق شده‌اند.</w:t>
      </w:r>
    </w:p>
    <w:p>
      <w:pPr>
        <w:spacing w:after="28" w:line="216" w:lineRule="auto"/>
        <w:ind w:left="259"/>
        <w:jc w:val="left"/>
      </w:pPr>
      <w:r>
        <w:rPr>
          <w:rFonts w:ascii="Arial" w:hAnsi="Arial"/>
          <w:color w:val="525252"/>
          <w:sz w:val="13"/>
        </w:rPr>
        <w:t>The study references for the PFE are the grade-specific Enlisted Promotion Study Guides derived from AFH 1.</w:t>
      </w:r>
    </w:p>
    <w:p>
      <w:pPr>
        <w:spacing w:after="20" w:line="223" w:lineRule="auto"/>
        <w:jc w:val="right"/>
        <w:bidi/>
      </w:pPr>
      <w:r>
        <w:rPr>
          <w:rFonts w:ascii="Arial" w:hAnsi="Arial"/>
          <w:sz w:val="16"/>
        </w:rPr>
        <w:t>161.24  مراجع مطالعه برای SKT ها اغلب ترکیبی از دوره‌های توسعه شغلی و مراجع فنی هستند.</w:t>
      </w:r>
    </w:p>
    <w:p>
      <w:pPr>
        <w:spacing w:after="28" w:line="216" w:lineRule="auto"/>
        <w:ind w:left="259"/>
        <w:jc w:val="left"/>
      </w:pPr>
      <w:r>
        <w:rPr>
          <w:rFonts w:ascii="Arial" w:hAnsi="Arial"/>
          <w:color w:val="525252"/>
          <w:sz w:val="13"/>
        </w:rPr>
        <w:t>The study references for SKTs are often a combination of Career Development Courses and technical references.</w:t>
      </w:r>
    </w:p>
    <w:p>
      <w:pPr>
        <w:spacing w:after="20" w:line="223" w:lineRule="auto"/>
        <w:jc w:val="right"/>
        <w:bidi/>
      </w:pPr>
      <w:r>
        <w:rPr>
          <w:rFonts w:ascii="Arial" w:hAnsi="Arial"/>
          <w:sz w:val="16"/>
        </w:rPr>
        <w:t>161.25  دوره‌های توسعه شغلی که به‌عنوان مرجع مطالعه استفاده می‌شوند ممکن است با دوره‌هایی که برای آموزش ارتقاء صادر می‌شوند متفاوت باشد.</w:t>
      </w:r>
    </w:p>
    <w:p>
      <w:pPr>
        <w:spacing w:after="28" w:line="216" w:lineRule="auto"/>
        <w:ind w:left="259"/>
        <w:jc w:val="left"/>
      </w:pPr>
      <w:r>
        <w:rPr>
          <w:rFonts w:ascii="Arial" w:hAnsi="Arial"/>
          <w:color w:val="525252"/>
          <w:sz w:val="13"/>
        </w:rPr>
        <w:t>Career Development Courses used as study references may be different from those issued for upgrade training.</w:t>
      </w:r>
    </w:p>
    <w:p>
      <w:pPr>
        <w:spacing w:after="20" w:line="223" w:lineRule="auto"/>
        <w:jc w:val="right"/>
        <w:bidi/>
      </w:pPr>
      <w:r>
        <w:rPr>
          <w:rFonts w:ascii="Arial" w:hAnsi="Arial"/>
          <w:sz w:val="16"/>
        </w:rPr>
        <w:t>161.26  همچنین کاتالوگ حاوی دستورالعمل‌های اداری و ویژه برای افسران کنترل تست است.</w:t>
      </w:r>
    </w:p>
    <w:p>
      <w:pPr>
        <w:spacing w:after="28" w:line="216" w:lineRule="auto"/>
        <w:ind w:left="259"/>
        <w:jc w:val="left"/>
      </w:pPr>
      <w:r>
        <w:rPr>
          <w:rFonts w:ascii="Arial" w:hAnsi="Arial"/>
          <w:color w:val="525252"/>
          <w:sz w:val="13"/>
        </w:rPr>
        <w:t>The catalog also contains administrative and special instructions for test control officers.</w:t>
      </w:r>
    </w:p>
    <w:p>
      <w:pPr>
        <w:spacing w:after="20" w:line="223" w:lineRule="auto"/>
        <w:jc w:val="right"/>
        <w:bidi/>
      </w:pPr>
      <w:r>
        <w:rPr>
          <w:rFonts w:ascii="Arial" w:hAnsi="Arial"/>
          <w:sz w:val="16"/>
        </w:rPr>
        <w:t>161.27  EPRRC در وب‌سایت راهنمای مطالعه ارتقاء خدمت سربازی USAF (https://www.studyguides.af.mil/) موجود است.</w:t>
      </w:r>
    </w:p>
    <w:p>
      <w:pPr>
        <w:spacing w:after="28" w:line="216" w:lineRule="auto"/>
        <w:ind w:left="259"/>
        <w:jc w:val="left"/>
      </w:pPr>
      <w:r>
        <w:rPr>
          <w:rFonts w:ascii="Arial" w:hAnsi="Arial"/>
          <w:color w:val="525252"/>
          <w:sz w:val="13"/>
        </w:rPr>
        <w:t>The EPRRC is available at the USAF Enlisted Promotion Study Guides website (https://www.studyguides.af.mil/).</w:t>
      </w:r>
    </w:p>
    <w:p>
      <w:pPr>
        <w:spacing w:before="60" w:after="28"/>
        <w:jc w:val="right"/>
        <w:bidi/>
      </w:pPr>
      <w:r>
        <w:rPr>
          <w:b/>
          <w:color w:val="1F4D78"/>
          <w:sz w:val="18"/>
        </w:rPr>
        <w:t>9.17. برگزاری آزمون ارتقاء و امتیازدهی</w:t>
      </w:r>
    </w:p>
    <w:p>
      <w:pPr>
        <w:spacing w:after="20"/>
        <w:ind w:left="259"/>
        <w:jc w:val="left"/>
      </w:pPr>
      <w:r>
        <w:rPr>
          <w:color w:val="555555"/>
          <w:sz w:val="12"/>
        </w:rPr>
        <w:t>9.17. Promotion Test Administration and Scoring</w:t>
      </w:r>
    </w:p>
    <w:p>
      <w:pPr>
        <w:spacing w:after="20" w:line="223" w:lineRule="auto"/>
        <w:jc w:val="right"/>
        <w:bidi/>
      </w:pPr>
      <w:r>
        <w:rPr>
          <w:rFonts w:ascii="Arial" w:hAnsi="Arial"/>
          <w:sz w:val="16"/>
        </w:rPr>
        <w:t>161.29  آزمون‌های ارتقاء به صورت الکترونیکی برای همه هوانوردانی که برای ارتقای درجه گروهبان کارکنان از طریق گروهبان فنی رقابت می‌کنند، انجام می‌شود.</w:t>
      </w:r>
    </w:p>
    <w:p>
      <w:pPr>
        <w:spacing w:after="28" w:line="216" w:lineRule="auto"/>
        <w:ind w:left="259"/>
        <w:jc w:val="left"/>
      </w:pPr>
      <w:r>
        <w:rPr>
          <w:rFonts w:ascii="Arial" w:hAnsi="Arial"/>
          <w:color w:val="525252"/>
          <w:sz w:val="13"/>
        </w:rPr>
        <w:t>Promotion tests are administered electronically to all Airmen competing for promotion to the grades of Staff Sergeant through Technical Sergeant.</w:t>
      </w:r>
    </w:p>
    <w:p>
      <w:pPr>
        <w:spacing w:after="20" w:line="223" w:lineRule="auto"/>
        <w:jc w:val="right"/>
        <w:bidi/>
      </w:pPr>
      <w:r>
        <w:rPr>
          <w:rFonts w:ascii="Arial" w:hAnsi="Arial"/>
          <w:sz w:val="16"/>
        </w:rPr>
        <w:t>161.30  رویه‌های اجرای آزمون برای اطمینان از عدالت برای همه اعضایی که برای ارتقاء رقابت می‌کنند، استاندارد شده است.</w:t>
      </w:r>
    </w:p>
    <w:p>
      <w:pPr>
        <w:spacing w:after="28" w:line="216" w:lineRule="auto"/>
        <w:ind w:left="259"/>
        <w:jc w:val="left"/>
      </w:pPr>
      <w:r>
        <w:rPr>
          <w:rFonts w:ascii="Arial" w:hAnsi="Arial"/>
          <w:color w:val="525252"/>
          <w:sz w:val="13"/>
        </w:rPr>
        <w:t>Test administration procedures are standardized to ensure fairness for all members competing for promotion.</w:t>
      </w:r>
    </w:p>
    <w:p>
      <w:pPr>
        <w:spacing w:after="20" w:line="223" w:lineRule="auto"/>
        <w:jc w:val="right"/>
        <w:bidi/>
      </w:pPr>
      <w:r>
        <w:rPr>
          <w:rFonts w:ascii="Arial" w:hAnsi="Arial"/>
          <w:sz w:val="16"/>
        </w:rPr>
        <w:t>161.31  تمام تست‌های ارتقاء به صورت الکترونیکی در HQ AETC SAS به دنبال مراحل کنترل کیفیت کامل برای اطمینان از ثبت نتایج دقیق آزمون برای هر عضو امتیازدهی می‌شوند.</w:t>
      </w:r>
    </w:p>
    <w:p>
      <w:pPr>
        <w:spacing w:after="28" w:line="216" w:lineRule="auto"/>
        <w:ind w:left="259"/>
        <w:jc w:val="left"/>
      </w:pPr>
      <w:r>
        <w:rPr>
          <w:rFonts w:ascii="Arial" w:hAnsi="Arial"/>
          <w:color w:val="525252"/>
          <w:sz w:val="13"/>
        </w:rPr>
        <w:t>All promotion tests are electronically scored at HQ AETC SAS following thorough quality control steps to ensure accurate test results are recorded for each member.</w:t>
      </w:r>
    </w:p>
    <w:p>
      <w:pPr>
        <w:spacing w:after="20" w:line="223" w:lineRule="auto"/>
        <w:jc w:val="right"/>
        <w:bidi/>
      </w:pPr>
      <w:r>
        <w:rPr>
          <w:rFonts w:ascii="Arial" w:hAnsi="Arial"/>
          <w:sz w:val="16"/>
        </w:rPr>
        <w:t>161.32  در برخی موارد که یک نسخه کاغذی از آزمون‌ها انجام می‌شود، از روش‌های سختگیرانه‌ای برای دست زدن، ذخیره سازی و ارسال تست کپی کاغذی استفاده می‌شود.</w:t>
      </w:r>
    </w:p>
    <w:p>
      <w:pPr>
        <w:spacing w:after="28" w:line="216" w:lineRule="auto"/>
        <w:ind w:left="259"/>
        <w:jc w:val="left"/>
      </w:pPr>
      <w:r>
        <w:rPr>
          <w:rFonts w:ascii="Arial" w:hAnsi="Arial"/>
          <w:color w:val="525252"/>
          <w:sz w:val="13"/>
        </w:rPr>
        <w:t>In some cases when a paper copy of the tests is administered, strict procedures are used for handling, storing, and transmitting paper copy test</w:t>
      </w:r>
    </w:p>
    <w:p>
      <w:r>
        <w:br w:type="page"/>
      </w:r>
    </w:p>
    <w:p>
      <w:pPr>
        <w:spacing w:after="60"/>
        <w:jc w:val="right"/>
        <w:bidi/>
      </w:pPr>
      <w:r>
        <w:rPr>
          <w:rFonts w:ascii="Arial" w:hAnsi="Arial"/>
          <w:b/>
          <w:color w:val="1F4D78"/>
          <w:sz w:val="19"/>
        </w:rPr>
        <w:t>هفتهٔ 162  |  صفحهٔ منبع: 178</w:t>
      </w:r>
    </w:p>
    <w:p>
      <w:pPr>
        <w:spacing w:after="20" w:line="223" w:lineRule="auto"/>
        <w:jc w:val="right"/>
        <w:bidi/>
      </w:pPr>
      <w:r>
        <w:rPr>
          <w:rFonts w:ascii="Arial" w:hAnsi="Arial"/>
          <w:sz w:val="16"/>
        </w:rPr>
        <w:t>162.01  جزوات و پاسخنامه همیشه.</w:t>
      </w:r>
    </w:p>
    <w:p>
      <w:pPr>
        <w:spacing w:after="28" w:line="216" w:lineRule="auto"/>
        <w:ind w:left="259"/>
        <w:jc w:val="left"/>
      </w:pPr>
      <w:r>
        <w:rPr>
          <w:rFonts w:ascii="Arial" w:hAnsi="Arial"/>
          <w:color w:val="525252"/>
          <w:sz w:val="13"/>
        </w:rPr>
        <w:t>booklets and answer sheets at all times.</w:t>
      </w:r>
    </w:p>
    <w:p>
      <w:pPr>
        <w:spacing w:after="20" w:line="223" w:lineRule="auto"/>
        <w:jc w:val="right"/>
        <w:bidi/>
      </w:pPr>
      <w:r>
        <w:rPr>
          <w:rFonts w:ascii="Arial" w:hAnsi="Arial"/>
          <w:sz w:val="16"/>
        </w:rPr>
        <w:t>162.02  این موارد استثنا برای برگزاری آزمون الکترونیکی هستند و باید توسط مرکز پرسنل نیروی هوایی تأیید شوند.</w:t>
      </w:r>
    </w:p>
    <w:p>
      <w:pPr>
        <w:spacing w:after="28" w:line="216" w:lineRule="auto"/>
        <w:ind w:left="259"/>
        <w:jc w:val="left"/>
      </w:pPr>
      <w:r>
        <w:rPr>
          <w:rFonts w:ascii="Arial" w:hAnsi="Arial"/>
          <w:color w:val="525252"/>
          <w:sz w:val="13"/>
        </w:rPr>
        <w:t>These instances are the exception to electronic test administration and must be approved by the Air Force Personnel Center.</w:t>
      </w:r>
    </w:p>
    <w:p>
      <w:pPr>
        <w:spacing w:after="20" w:line="223" w:lineRule="auto"/>
        <w:jc w:val="right"/>
        <w:bidi/>
      </w:pPr>
      <w:r>
        <w:rPr>
          <w:rFonts w:ascii="Arial" w:hAnsi="Arial"/>
          <w:sz w:val="16"/>
        </w:rPr>
        <w:t>162.03  برای این آزمایش‌ها، فرآیند اسکن و امتیازدهی شامل موارد حفاظتی بسیاری برای تأیید صحت است که در مرکز پرسنل نیروی هوایی انجام می‌شود.</w:t>
      </w:r>
    </w:p>
    <w:p>
      <w:pPr>
        <w:spacing w:after="28" w:line="216" w:lineRule="auto"/>
        <w:ind w:left="259"/>
        <w:jc w:val="left"/>
      </w:pPr>
      <w:r>
        <w:rPr>
          <w:rFonts w:ascii="Arial" w:hAnsi="Arial"/>
          <w:color w:val="525252"/>
          <w:sz w:val="13"/>
        </w:rPr>
        <w:t>For these tests, scanning and scoring process contains many safeguards to verify accuracy which is conducted at the Air Force Personnel Center.</w:t>
      </w:r>
    </w:p>
    <w:p>
      <w:pPr>
        <w:spacing w:after="20" w:line="223" w:lineRule="auto"/>
        <w:jc w:val="right"/>
        <w:bidi/>
      </w:pPr>
      <w:r>
        <w:rPr>
          <w:rFonts w:ascii="Arial" w:hAnsi="Arial"/>
          <w:sz w:val="16"/>
        </w:rPr>
        <w:t>162.04  نمرات آزمون.</w:t>
      </w:r>
    </w:p>
    <w:p>
      <w:pPr>
        <w:spacing w:after="28" w:line="216" w:lineRule="auto"/>
        <w:ind w:left="259"/>
        <w:jc w:val="left"/>
      </w:pPr>
      <w:r>
        <w:rPr>
          <w:rFonts w:ascii="Arial" w:hAnsi="Arial"/>
          <w:color w:val="525252"/>
          <w:sz w:val="13"/>
        </w:rPr>
        <w:t>Test Scores.</w:t>
      </w:r>
    </w:p>
    <w:p>
      <w:pPr>
        <w:spacing w:after="20" w:line="223" w:lineRule="auto"/>
        <w:jc w:val="right"/>
        <w:bidi/>
      </w:pPr>
      <w:r>
        <w:rPr>
          <w:rFonts w:ascii="Arial" w:hAnsi="Arial"/>
          <w:sz w:val="16"/>
        </w:rPr>
        <w:t>162.05  حداقل امتیاز ۴۰ در PFE مورد نیاز است.</w:t>
      </w:r>
    </w:p>
    <w:p>
      <w:pPr>
        <w:spacing w:after="28" w:line="216" w:lineRule="auto"/>
        <w:ind w:left="259"/>
        <w:jc w:val="left"/>
      </w:pPr>
      <w:r>
        <w:rPr>
          <w:rFonts w:ascii="Arial" w:hAnsi="Arial"/>
          <w:color w:val="525252"/>
          <w:sz w:val="13"/>
        </w:rPr>
        <w:t>A minimum score of 40 points is required on a PFE.</w:t>
      </w:r>
    </w:p>
    <w:p>
      <w:pPr>
        <w:spacing w:after="20" w:line="223" w:lineRule="auto"/>
        <w:jc w:val="right"/>
        <w:bidi/>
      </w:pPr>
      <w:r>
        <w:rPr>
          <w:rFonts w:ascii="Arial" w:hAnsi="Arial"/>
          <w:sz w:val="16"/>
        </w:rPr>
        <w:t>162.06  حداقل امتیاز ۴۰ در SKT مورد نیاز است.</w:t>
      </w:r>
    </w:p>
    <w:p>
      <w:pPr>
        <w:spacing w:after="28" w:line="216" w:lineRule="auto"/>
        <w:ind w:left="259"/>
        <w:jc w:val="left"/>
      </w:pPr>
      <w:r>
        <w:rPr>
          <w:rFonts w:ascii="Arial" w:hAnsi="Arial"/>
          <w:color w:val="525252"/>
          <w:sz w:val="13"/>
        </w:rPr>
        <w:t>A minimum score of 40 points is required on a SKT.</w:t>
      </w:r>
    </w:p>
    <w:p>
      <w:pPr>
        <w:spacing w:after="20" w:line="223" w:lineRule="auto"/>
        <w:jc w:val="right"/>
        <w:bidi/>
      </w:pPr>
      <w:r>
        <w:rPr>
          <w:rFonts w:ascii="Arial" w:hAnsi="Arial"/>
          <w:sz w:val="16"/>
        </w:rPr>
        <w:t>162.07  امتیاز ترکیبی ۹۰ مورد نیاز است.</w:t>
      </w:r>
    </w:p>
    <w:p>
      <w:pPr>
        <w:spacing w:after="28" w:line="216" w:lineRule="auto"/>
        <w:ind w:left="259"/>
        <w:jc w:val="left"/>
      </w:pPr>
      <w:r>
        <w:rPr>
          <w:rFonts w:ascii="Arial" w:hAnsi="Arial"/>
          <w:color w:val="525252"/>
          <w:sz w:val="13"/>
        </w:rPr>
        <w:t>A combined score of 90 points is required.</w:t>
      </w:r>
    </w:p>
    <w:p>
      <w:pPr>
        <w:spacing w:after="20" w:line="223" w:lineRule="auto"/>
        <w:jc w:val="right"/>
        <w:bidi/>
      </w:pPr>
      <w:r>
        <w:rPr>
          <w:rFonts w:ascii="Arial" w:hAnsi="Arial"/>
          <w:sz w:val="16"/>
        </w:rPr>
        <w:t>162.08  هوانوردانی که در هر آزمون حداقل ۴۰ امتیاز را کسب می‌کنند (هنگام شرکت در هر دو امتحان) باید حداقل ۵۰ امتیاز را در آزمون دیگر کسب کنند تا حداقل امتیاز ترکیبی ۹۰ را کسب کنند.</w:t>
      </w:r>
    </w:p>
    <w:p>
      <w:pPr>
        <w:spacing w:after="28" w:line="216" w:lineRule="auto"/>
        <w:ind w:left="259"/>
        <w:jc w:val="left"/>
      </w:pPr>
      <w:r>
        <w:rPr>
          <w:rFonts w:ascii="Arial" w:hAnsi="Arial"/>
          <w:color w:val="525252"/>
          <w:sz w:val="13"/>
        </w:rPr>
        <w:t>Airmen who score the minimum 40 points on either exam (when taking both examinations) must score a minimum 50 on the other one to meet the minimum combined score of 90.</w:t>
      </w:r>
    </w:p>
    <w:p>
      <w:pPr>
        <w:spacing w:after="20" w:line="223" w:lineRule="auto"/>
        <w:jc w:val="right"/>
        <w:bidi/>
      </w:pPr>
      <w:r>
        <w:rPr>
          <w:rFonts w:ascii="Arial" w:hAnsi="Arial"/>
          <w:sz w:val="16"/>
        </w:rPr>
        <w:t>162.09  فقط برای کسانی که PFE را آزمایش می‌کنند، حداقل امتیاز ۴۵ مورد نیاز است (نمره ترکیبی ۹۰ در صورت دو برابر شدن).</w:t>
      </w:r>
    </w:p>
    <w:p>
      <w:pPr>
        <w:spacing w:after="28" w:line="216" w:lineRule="auto"/>
        <w:ind w:left="259"/>
        <w:jc w:val="left"/>
      </w:pPr>
      <w:r>
        <w:rPr>
          <w:rFonts w:ascii="Arial" w:hAnsi="Arial"/>
          <w:color w:val="525252"/>
          <w:sz w:val="13"/>
        </w:rPr>
        <w:t>For those testing PFE only, a minimum score of 45 is required (combined score of 90 when doubled).</w:t>
      </w:r>
    </w:p>
    <w:p>
      <w:pPr>
        <w:spacing w:before="60" w:after="28"/>
        <w:jc w:val="right"/>
        <w:bidi/>
      </w:pPr>
      <w:r>
        <w:rPr>
          <w:b/>
          <w:color w:val="1F4D78"/>
          <w:sz w:val="18"/>
        </w:rPr>
        <w:t>9.18. امتیازهای تبلیغاتی</w:t>
      </w:r>
    </w:p>
    <w:p>
      <w:pPr>
        <w:spacing w:after="20"/>
        <w:ind w:left="259"/>
        <w:jc w:val="left"/>
      </w:pPr>
      <w:r>
        <w:rPr>
          <w:color w:val="555555"/>
          <w:sz w:val="12"/>
        </w:rPr>
        <w:t>9.18. Promotion Points</w:t>
      </w:r>
    </w:p>
    <w:p>
      <w:pPr>
        <w:spacing w:after="20" w:line="223" w:lineRule="auto"/>
        <w:jc w:val="right"/>
        <w:bidi/>
      </w:pPr>
      <w:r>
        <w:rPr>
          <w:rFonts w:ascii="Arial" w:hAnsi="Arial"/>
          <w:sz w:val="16"/>
        </w:rPr>
        <w:t>162.11  محاسبه امتیاز برای ارتقاء می‌تواند تا حدودی پیچیده باشد، اما فرآیند پیچیده‌ای نیست.</w:t>
      </w:r>
    </w:p>
    <w:p>
      <w:pPr>
        <w:spacing w:after="28" w:line="216" w:lineRule="auto"/>
        <w:ind w:left="259"/>
        <w:jc w:val="left"/>
      </w:pPr>
      <w:r>
        <w:rPr>
          <w:rFonts w:ascii="Arial" w:hAnsi="Arial"/>
          <w:color w:val="525252"/>
          <w:sz w:val="13"/>
        </w:rPr>
        <w:t>Calculating points for promotion can be a somewhat complex, but not complicated process.</w:t>
      </w:r>
    </w:p>
    <w:p>
      <w:pPr>
        <w:spacing w:after="20" w:line="223" w:lineRule="auto"/>
        <w:jc w:val="right"/>
        <w:bidi/>
      </w:pPr>
      <w:r>
        <w:rPr>
          <w:rFonts w:ascii="Arial" w:hAnsi="Arial"/>
          <w:sz w:val="16"/>
        </w:rPr>
        <w:t>162.12  نمودارهای کامل، شامل استثنائات و یادداشت هایی برای محاسبه امتیازات و عوامل ارتقاء، در AFI ۳۶-۲۵۰۲ گنجانده شده است.</w:t>
      </w:r>
    </w:p>
    <w:p>
      <w:pPr>
        <w:spacing w:after="28" w:line="216" w:lineRule="auto"/>
        <w:ind w:left="259"/>
        <w:jc w:val="left"/>
      </w:pPr>
      <w:r>
        <w:rPr>
          <w:rFonts w:ascii="Arial" w:hAnsi="Arial"/>
          <w:color w:val="525252"/>
          <w:sz w:val="13"/>
        </w:rPr>
        <w:t>The complete charts, to include exceptions and notes for calculating points and factors for promotion, are included in AFI 36-2502.</w:t>
      </w:r>
    </w:p>
    <w:p>
      <w:r>
        <w:br w:type="page"/>
      </w:r>
    </w:p>
    <w:p>
      <w:pPr>
        <w:spacing w:after="60"/>
        <w:jc w:val="right"/>
        <w:bidi/>
      </w:pPr>
      <w:r>
        <w:rPr>
          <w:rFonts w:ascii="Arial" w:hAnsi="Arial"/>
          <w:b/>
          <w:color w:val="1F4D78"/>
          <w:sz w:val="19"/>
        </w:rPr>
        <w:t>هفتهٔ 163  |  صفحهٔ منبع: 179</w:t>
      </w:r>
    </w:p>
    <w:p>
      <w:pPr>
        <w:spacing w:before="60" w:after="28"/>
        <w:jc w:val="right"/>
        <w:bidi/>
      </w:pPr>
      <w:r>
        <w:rPr>
          <w:b/>
          <w:color w:val="1F4D78"/>
          <w:sz w:val="18"/>
        </w:rPr>
        <w:t>بخش 9E-هیئت های ارزیابی</w:t>
      </w:r>
    </w:p>
    <w:p>
      <w:pPr>
        <w:spacing w:after="20"/>
        <w:ind w:left="259"/>
        <w:jc w:val="left"/>
      </w:pPr>
      <w:r>
        <w:rPr>
          <w:color w:val="555555"/>
          <w:sz w:val="12"/>
        </w:rPr>
        <w:t>Section 9E—Evaluation Boards</w:t>
      </w:r>
    </w:p>
    <w:p>
      <w:pPr>
        <w:spacing w:before="60" w:after="28"/>
        <w:jc w:val="right"/>
        <w:bidi/>
      </w:pPr>
      <w:r>
        <w:rPr>
          <w:b/>
          <w:color w:val="1F4D78"/>
          <w:sz w:val="18"/>
        </w:rPr>
        <w:t>9.19. هیئت های ارزیابی ارتقاء</w:t>
      </w:r>
    </w:p>
    <w:p>
      <w:pPr>
        <w:spacing w:after="20"/>
        <w:ind w:left="259"/>
        <w:jc w:val="left"/>
      </w:pPr>
      <w:r>
        <w:rPr>
          <w:color w:val="555555"/>
          <w:sz w:val="12"/>
        </w:rPr>
        <w:t>9.19. Promotion Evaluation Boards</w:t>
      </w:r>
    </w:p>
    <w:p>
      <w:pPr>
        <w:spacing w:after="20" w:line="223" w:lineRule="auto"/>
        <w:jc w:val="right"/>
        <w:bidi/>
      </w:pPr>
      <w:r>
        <w:rPr>
          <w:rFonts w:ascii="Arial" w:hAnsi="Arial"/>
          <w:sz w:val="16"/>
        </w:rPr>
        <w:t>163.03  هیئت ارزیابی ارتقاء بسیار مهم است زیرا بیش از نیمی از کل امتیازات ارتقاء را به خود اختصاص می‌دهد.</w:t>
      </w:r>
    </w:p>
    <w:p>
      <w:pPr>
        <w:spacing w:after="28" w:line="216" w:lineRule="auto"/>
        <w:ind w:left="259"/>
        <w:jc w:val="left"/>
      </w:pPr>
      <w:r>
        <w:rPr>
          <w:rFonts w:ascii="Arial" w:hAnsi="Arial"/>
          <w:color w:val="525252"/>
          <w:sz w:val="13"/>
        </w:rPr>
        <w:t>The promotion evaluation board is very important because it accounts for over half the total promotion score points.</w:t>
      </w:r>
    </w:p>
    <w:p>
      <w:pPr>
        <w:spacing w:after="20" w:line="223" w:lineRule="auto"/>
        <w:jc w:val="right"/>
        <w:bidi/>
      </w:pPr>
      <w:r>
        <w:rPr>
          <w:rFonts w:ascii="Arial" w:hAnsi="Arial"/>
          <w:sz w:val="16"/>
        </w:rPr>
        <w:t>163.04  درک نحوه انتخاب اعضای هیات مدیره، فرآیند هیات ارزیابی، و حوزه هایی که توسط اعضای هیات مدیره در نظر گرفته شده است، می‌تواند بینش ارزشمندی را در مورد آنچه برای ارتقاء لازم است ارائه دهد.</w:t>
      </w:r>
    </w:p>
    <w:p>
      <w:pPr>
        <w:spacing w:after="28" w:line="216" w:lineRule="auto"/>
        <w:ind w:left="259"/>
        <w:jc w:val="left"/>
      </w:pPr>
      <w:r>
        <w:rPr>
          <w:rFonts w:ascii="Arial" w:hAnsi="Arial"/>
          <w:color w:val="525252"/>
          <w:sz w:val="13"/>
        </w:rPr>
        <w:t>Understanding how board members are selected, the evaluation board process, and those areas considered by board members, can provide valuable insight into what is required to get promoted.</w:t>
      </w:r>
    </w:p>
    <w:p>
      <w:pPr>
        <w:spacing w:after="20" w:line="223" w:lineRule="auto"/>
        <w:jc w:val="right"/>
        <w:bidi/>
      </w:pPr>
      <w:r>
        <w:rPr>
          <w:rFonts w:ascii="Arial" w:hAnsi="Arial"/>
          <w:sz w:val="16"/>
        </w:rPr>
        <w:t>163.05  انتخاب اعضای هیئت مدیره.</w:t>
      </w:r>
    </w:p>
    <w:p>
      <w:pPr>
        <w:spacing w:after="28" w:line="216" w:lineRule="auto"/>
        <w:ind w:left="259"/>
        <w:jc w:val="left"/>
      </w:pPr>
      <w:r>
        <w:rPr>
          <w:rFonts w:ascii="Arial" w:hAnsi="Arial"/>
          <w:color w:val="525252"/>
          <w:sz w:val="13"/>
        </w:rPr>
        <w:t>Selection of Board Members.</w:t>
      </w:r>
    </w:p>
    <w:p>
      <w:pPr>
        <w:spacing w:after="20" w:line="223" w:lineRule="auto"/>
        <w:jc w:val="right"/>
        <w:bidi/>
      </w:pPr>
      <w:r>
        <w:rPr>
          <w:rFonts w:ascii="Arial" w:hAnsi="Arial"/>
          <w:sz w:val="16"/>
        </w:rPr>
        <w:t>163.06  تعداد پرسنل واجد شرایط ترفیع، که توسط فرماندهان اصلی و کدهای تخصصی نیروی هوایی (AFSC) مشخص شده است، پیشینه شغلی اعضای هیئت مدیره را تعیین می‌کند.</w:t>
      </w:r>
    </w:p>
    <w:p>
      <w:pPr>
        <w:spacing w:after="28" w:line="216" w:lineRule="auto"/>
        <w:ind w:left="259"/>
        <w:jc w:val="left"/>
      </w:pPr>
      <w:r>
        <w:rPr>
          <w:rFonts w:ascii="Arial" w:hAnsi="Arial"/>
          <w:color w:val="525252"/>
          <w:sz w:val="13"/>
        </w:rPr>
        <w:t>The number of promotion eligible personnel, identified by major commands and Air Force Specialty Codes (AFSC), determines the career field backgrounds of board members.</w:t>
      </w:r>
    </w:p>
    <w:p>
      <w:pPr>
        <w:spacing w:after="20" w:line="223" w:lineRule="auto"/>
        <w:jc w:val="right"/>
        <w:bidi/>
      </w:pPr>
      <w:r>
        <w:rPr>
          <w:rFonts w:ascii="Arial" w:hAnsi="Arial"/>
          <w:sz w:val="16"/>
        </w:rPr>
        <w:t>163.07  اعضای هیئت مدیره به پانل‌هایی تقسیم می‌شوند که هر کدام متشکل از یک سرهنگ و دو سرگروهبان است.</w:t>
      </w:r>
    </w:p>
    <w:p>
      <w:pPr>
        <w:spacing w:after="28" w:line="216" w:lineRule="auto"/>
        <w:ind w:left="259"/>
        <w:jc w:val="left"/>
      </w:pPr>
      <w:r>
        <w:rPr>
          <w:rFonts w:ascii="Arial" w:hAnsi="Arial"/>
          <w:color w:val="525252"/>
          <w:sz w:val="13"/>
        </w:rPr>
        <w:t>Board members are divided into panels, each consisting of one Colonel and two Chief Master Sergeants.</w:t>
      </w:r>
    </w:p>
    <w:p>
      <w:pPr>
        <w:spacing w:after="20" w:line="223" w:lineRule="auto"/>
        <w:jc w:val="right"/>
        <w:bidi/>
      </w:pPr>
      <w:r>
        <w:rPr>
          <w:rFonts w:ascii="Arial" w:hAnsi="Arial"/>
          <w:sz w:val="16"/>
        </w:rPr>
        <w:t>163.08  رئیس هیئت مدیره همیشه یک افسر عمومی است.</w:t>
      </w:r>
    </w:p>
    <w:p>
      <w:pPr>
        <w:spacing w:after="28" w:line="216" w:lineRule="auto"/>
        <w:ind w:left="259"/>
        <w:jc w:val="left"/>
      </w:pPr>
      <w:r>
        <w:rPr>
          <w:rFonts w:ascii="Arial" w:hAnsi="Arial"/>
          <w:color w:val="525252"/>
          <w:sz w:val="13"/>
        </w:rPr>
        <w:t>The board president is always a General Officer.</w:t>
      </w:r>
    </w:p>
    <w:p>
      <w:pPr>
        <w:spacing w:after="20" w:line="223" w:lineRule="auto"/>
        <w:jc w:val="right"/>
        <w:bidi/>
      </w:pPr>
      <w:r>
        <w:rPr>
          <w:rFonts w:ascii="Arial" w:hAnsi="Arial"/>
          <w:sz w:val="16"/>
        </w:rPr>
        <w:t>163.09  قبل از ارزیابی سوابق، اعضای هیئت مدیره گزارش داده می‌شوند و سوگند یاد می‌کنند که وظایف هیئت مدیره را بی طرفانه انجام دهند.</w:t>
      </w:r>
    </w:p>
    <w:p>
      <w:pPr>
        <w:spacing w:after="28" w:line="216" w:lineRule="auto"/>
        <w:ind w:left="259"/>
        <w:jc w:val="left"/>
      </w:pPr>
      <w:r>
        <w:rPr>
          <w:rFonts w:ascii="Arial" w:hAnsi="Arial"/>
          <w:color w:val="525252"/>
          <w:sz w:val="13"/>
        </w:rPr>
        <w:t>Before evaluating records, board members are briefed and sworn to complete the board’s task impartially.</w:t>
      </w:r>
    </w:p>
    <w:p>
      <w:pPr>
        <w:spacing w:after="20" w:line="223" w:lineRule="auto"/>
        <w:jc w:val="right"/>
        <w:bidi/>
      </w:pPr>
      <w:r>
        <w:rPr>
          <w:rFonts w:ascii="Arial" w:hAnsi="Arial"/>
          <w:sz w:val="16"/>
        </w:rPr>
        <w:t>163.10  آنها همچنین در یک فرآیند آزمایشی گسترده شرکت می‌کنند تا قبل از ارزیابی هر رکورد "زنده" از ثبات امتیازدهی اطمینان حاصل کنند.</w:t>
      </w:r>
    </w:p>
    <w:p>
      <w:pPr>
        <w:spacing w:after="28" w:line="216" w:lineRule="auto"/>
        <w:ind w:left="259"/>
        <w:jc w:val="left"/>
      </w:pPr>
      <w:r>
        <w:rPr>
          <w:rFonts w:ascii="Arial" w:hAnsi="Arial"/>
          <w:color w:val="525252"/>
          <w:sz w:val="13"/>
        </w:rPr>
        <w:t>They also participate in an extensive trial-run process to ensure scoring consistency before evaluating any “live” records.</w:t>
      </w:r>
    </w:p>
    <w:p>
      <w:pPr>
        <w:spacing w:before="60" w:after="28"/>
        <w:jc w:val="right"/>
        <w:bidi/>
      </w:pPr>
      <w:r>
        <w:rPr>
          <w:b/>
          <w:color w:val="1F4D78"/>
          <w:sz w:val="18"/>
        </w:rPr>
        <w:t>9.20. فرآیند هیئت ارزیابی</w:t>
      </w:r>
    </w:p>
    <w:p>
      <w:pPr>
        <w:spacing w:after="20"/>
        <w:ind w:left="259"/>
        <w:jc w:val="left"/>
      </w:pPr>
      <w:r>
        <w:rPr>
          <w:color w:val="555555"/>
          <w:sz w:val="12"/>
        </w:rPr>
        <w:t>9.20. Evaluation Board Process</w:t>
      </w:r>
    </w:p>
    <w:p>
      <w:pPr>
        <w:spacing w:after="20" w:line="223" w:lineRule="auto"/>
        <w:jc w:val="right"/>
        <w:bidi/>
      </w:pPr>
      <w:r>
        <w:rPr>
          <w:rFonts w:ascii="Arial" w:hAnsi="Arial"/>
          <w:sz w:val="16"/>
        </w:rPr>
        <w:t>163.12  هیئت ارزیابی به حوزه‌های مختلفی درباره شغل یک هوانورد نگاه می‌کند، که ممکن است شامل عملکرد، تحصیلات، وسعت تجربه، مسئولیت شغلی، شایستگی حرفه‌ای، دستاوردهای خاص و رهبری باشد.</w:t>
      </w:r>
    </w:p>
    <w:p>
      <w:pPr>
        <w:spacing w:after="28" w:line="216" w:lineRule="auto"/>
        <w:ind w:left="259"/>
        <w:jc w:val="left"/>
      </w:pPr>
      <w:r>
        <w:rPr>
          <w:rFonts w:ascii="Arial" w:hAnsi="Arial"/>
          <w:color w:val="525252"/>
          <w:sz w:val="13"/>
        </w:rPr>
        <w:t>The evaluation board looks at several areas regarding an Airman’s career, which may include performance, education, breadth of experience, job responsibility, professional competence, specific achievements, and leadership.</w:t>
      </w:r>
    </w:p>
    <w:p>
      <w:pPr>
        <w:spacing w:after="20" w:line="223" w:lineRule="auto"/>
        <w:jc w:val="right"/>
        <w:bidi/>
      </w:pPr>
      <w:r>
        <w:rPr>
          <w:rFonts w:ascii="Arial" w:hAnsi="Arial"/>
          <w:sz w:val="16"/>
        </w:rPr>
        <w:t>163.13  تعدادی از عوامل سال به سال بر نمرات هیئت مدیره تأثیر می‌گذارند - اعضای جدید پانل با فرآیندهای فکری متفاوت، سوابق تغییر یافته یا بهبود یافته و مجموعه‌ای از واجدین شرایط جدید.</w:t>
      </w:r>
    </w:p>
    <w:p>
      <w:pPr>
        <w:spacing w:after="28" w:line="216" w:lineRule="auto"/>
        <w:ind w:left="259"/>
        <w:jc w:val="left"/>
      </w:pPr>
      <w:r>
        <w:rPr>
          <w:rFonts w:ascii="Arial" w:hAnsi="Arial"/>
          <w:color w:val="525252"/>
          <w:sz w:val="13"/>
        </w:rPr>
        <w:t>A number of factors affect board scores from year to year— new panel members with different thought processes, changed or improved records, and a pool of new eligibles.</w:t>
      </w:r>
    </w:p>
    <w:p>
      <w:pPr>
        <w:spacing w:after="20" w:line="223" w:lineRule="auto"/>
        <w:jc w:val="right"/>
        <w:bidi/>
      </w:pPr>
      <w:r>
        <w:rPr>
          <w:rFonts w:ascii="Arial" w:hAnsi="Arial"/>
          <w:sz w:val="16"/>
        </w:rPr>
        <w:t>163.14  در نتیجه، امتیازات هیئت مدیره از یک تابلو به تابلوی دیگر (اغلب به‌طور قابل توجهی) متفاوت است.</w:t>
      </w:r>
    </w:p>
    <w:p>
      <w:pPr>
        <w:spacing w:after="28" w:line="216" w:lineRule="auto"/>
        <w:ind w:left="259"/>
        <w:jc w:val="left"/>
      </w:pPr>
      <w:r>
        <w:rPr>
          <w:rFonts w:ascii="Arial" w:hAnsi="Arial"/>
          <w:color w:val="525252"/>
          <w:sz w:val="13"/>
        </w:rPr>
        <w:t>As a result, board scores do vary (often significantly) from one board to the next.</w:t>
      </w:r>
    </w:p>
    <w:p>
      <w:pPr>
        <w:spacing w:after="20" w:line="223" w:lineRule="auto"/>
        <w:jc w:val="right"/>
        <w:bidi/>
      </w:pPr>
      <w:r>
        <w:rPr>
          <w:rFonts w:ascii="Arial" w:hAnsi="Arial"/>
          <w:sz w:val="16"/>
        </w:rPr>
        <w:t>163.15  در حالی که امتیازات بین پانل‌ها متفاوت است، همه رکوردها در کد مدیر ارشد (CEM) یا AFSC تحت یک استاندارد ارزیابی می‌شوند.</w:t>
      </w:r>
    </w:p>
    <w:p>
      <w:pPr>
        <w:spacing w:after="28" w:line="216" w:lineRule="auto"/>
        <w:ind w:left="259"/>
        <w:jc w:val="left"/>
      </w:pPr>
      <w:r>
        <w:rPr>
          <w:rFonts w:ascii="Arial" w:hAnsi="Arial"/>
          <w:color w:val="525252"/>
          <w:sz w:val="13"/>
        </w:rPr>
        <w:t>While scores will vary between panels, all records within a Chief Enlisted Manager (CEM) Code or AFSC are evaluated under the same standard.</w:t>
      </w:r>
    </w:p>
    <w:p>
      <w:pPr>
        <w:spacing w:after="20" w:line="223" w:lineRule="auto"/>
        <w:jc w:val="right"/>
        <w:bidi/>
      </w:pPr>
      <w:r>
        <w:rPr>
          <w:rFonts w:ascii="Arial" w:hAnsi="Arial"/>
          <w:sz w:val="16"/>
        </w:rPr>
        <w:t>163.16  جنبه مهم نمره نهایی هیئت مدیره این است که یک واجد شرایط چگونه با همتایان خود در رتبه نهایی شایستگی مقایسه می‌شود.</w:t>
      </w:r>
    </w:p>
    <w:p>
      <w:pPr>
        <w:spacing w:after="28" w:line="216" w:lineRule="auto"/>
        <w:ind w:left="259"/>
        <w:jc w:val="left"/>
      </w:pPr>
      <w:r>
        <w:rPr>
          <w:rFonts w:ascii="Arial" w:hAnsi="Arial"/>
          <w:color w:val="525252"/>
          <w:sz w:val="13"/>
        </w:rPr>
        <w:t>The important aspect of a final board score is how one eligible compares to his or her peers in the final order of merit.</w:t>
      </w:r>
    </w:p>
    <w:p>
      <w:pPr>
        <w:spacing w:after="20" w:line="223" w:lineRule="auto"/>
        <w:jc w:val="right"/>
        <w:bidi/>
      </w:pPr>
      <w:r>
        <w:rPr>
          <w:rFonts w:ascii="Arial" w:hAnsi="Arial"/>
          <w:sz w:val="16"/>
        </w:rPr>
        <w:t>163.17  اعضای هیئت مدیره به امتیازهای وزنی افرادی که برای ارتقاء رقابت می‌کنند دسترسی ندارند.</w:t>
      </w:r>
    </w:p>
    <w:p>
      <w:pPr>
        <w:spacing w:after="28" w:line="216" w:lineRule="auto"/>
        <w:ind w:left="259"/>
        <w:jc w:val="left"/>
      </w:pPr>
      <w:r>
        <w:rPr>
          <w:rFonts w:ascii="Arial" w:hAnsi="Arial"/>
          <w:color w:val="525252"/>
          <w:sz w:val="13"/>
        </w:rPr>
        <w:t>Board members do not have access to the weighted scores of individuals competing for promotion.</w:t>
      </w:r>
    </w:p>
    <w:p>
      <w:pPr>
        <w:spacing w:after="20" w:line="223" w:lineRule="auto"/>
        <w:jc w:val="right"/>
        <w:bidi/>
      </w:pPr>
      <w:r>
        <w:rPr>
          <w:rFonts w:ascii="Arial" w:hAnsi="Arial"/>
          <w:sz w:val="16"/>
        </w:rPr>
        <w:t>163.18  وقتی اعضای هیئت مدیره منحل می‌شوند، نمی‌دانند چه کسی انتخاب شده است.</w:t>
      </w:r>
    </w:p>
    <w:p>
      <w:pPr>
        <w:spacing w:after="28" w:line="216" w:lineRule="auto"/>
        <w:ind w:left="259"/>
        <w:jc w:val="left"/>
      </w:pPr>
      <w:r>
        <w:rPr>
          <w:rFonts w:ascii="Arial" w:hAnsi="Arial"/>
          <w:color w:val="525252"/>
          <w:sz w:val="13"/>
        </w:rPr>
        <w:t>When board members disband, they do not know who was selected.</w:t>
      </w:r>
    </w:p>
    <w:p>
      <w:pPr>
        <w:spacing w:after="20" w:line="223" w:lineRule="auto"/>
        <w:jc w:val="right"/>
        <w:bidi/>
      </w:pPr>
      <w:r>
        <w:rPr>
          <w:rFonts w:ascii="Arial" w:hAnsi="Arial"/>
          <w:sz w:val="16"/>
        </w:rPr>
        <w:t>163.19  اجرای آزمایشی.</w:t>
      </w:r>
    </w:p>
    <w:p>
      <w:pPr>
        <w:spacing w:after="28" w:line="216" w:lineRule="auto"/>
        <w:ind w:left="259"/>
        <w:jc w:val="left"/>
      </w:pPr>
      <w:r>
        <w:rPr>
          <w:rFonts w:ascii="Arial" w:hAnsi="Arial"/>
          <w:color w:val="525252"/>
          <w:sz w:val="13"/>
        </w:rPr>
        <w:t>Trial Run.</w:t>
      </w:r>
    </w:p>
    <w:p>
      <w:pPr>
        <w:spacing w:after="20" w:line="223" w:lineRule="auto"/>
        <w:jc w:val="right"/>
        <w:bidi/>
      </w:pPr>
      <w:r>
        <w:rPr>
          <w:rFonts w:ascii="Arial" w:hAnsi="Arial"/>
          <w:sz w:val="16"/>
        </w:rPr>
        <w:t>163.20  به اعضای هیئت مدیره دو مجموعه سوابق انتخابی داده می‌شود تا به‌عنوان تمرین تمرینی با استفاده از رای گیری مخفی قبل از شروع فرآیند امتیازدهی واقعی هیئت مدیره امتیاز بگیرند.</w:t>
      </w:r>
    </w:p>
    <w:p>
      <w:pPr>
        <w:spacing w:after="28" w:line="216" w:lineRule="auto"/>
        <w:ind w:left="259"/>
        <w:jc w:val="left"/>
      </w:pPr>
      <w:r>
        <w:rPr>
          <w:rFonts w:ascii="Arial" w:hAnsi="Arial"/>
          <w:color w:val="525252"/>
          <w:sz w:val="13"/>
        </w:rPr>
        <w:t>Board members are given two selected sets of records to score as a practice exercise using secret ballots before the actual board scoring process begins.</w:t>
      </w:r>
    </w:p>
    <w:p>
      <w:pPr>
        <w:spacing w:after="20" w:line="223" w:lineRule="auto"/>
        <w:jc w:val="right"/>
        <w:bidi/>
      </w:pPr>
      <w:r>
        <w:rPr>
          <w:rFonts w:ascii="Arial" w:hAnsi="Arial"/>
          <w:sz w:val="16"/>
        </w:rPr>
        <w:t>163.21  این اجرای آزمایشی به ایجاد یک استاندارد امتیازدهی کمک می‌کند که می‌تواند به‌طور مداوم در سراسر صفحه اعمال شود.</w:t>
      </w:r>
    </w:p>
    <w:p>
      <w:pPr>
        <w:spacing w:after="28" w:line="216" w:lineRule="auto"/>
        <w:ind w:left="259"/>
        <w:jc w:val="left"/>
      </w:pPr>
      <w:r>
        <w:rPr>
          <w:rFonts w:ascii="Arial" w:hAnsi="Arial"/>
          <w:color w:val="525252"/>
          <w:sz w:val="13"/>
        </w:rPr>
        <w:t>This trial run helps establish a scoring standard that can be applied consistently across the board.</w:t>
      </w:r>
    </w:p>
    <w:p>
      <w:pPr>
        <w:spacing w:after="20" w:line="223" w:lineRule="auto"/>
        <w:jc w:val="right"/>
        <w:bidi/>
      </w:pPr>
      <w:r>
        <w:rPr>
          <w:rFonts w:ascii="Arial" w:hAnsi="Arial"/>
          <w:sz w:val="16"/>
        </w:rPr>
        <w:t>163.22  هر تخته به استاندارد امتیازدهی خود می‌رسد.</w:t>
      </w:r>
    </w:p>
    <w:p>
      <w:pPr>
        <w:spacing w:after="28" w:line="216" w:lineRule="auto"/>
        <w:ind w:left="259"/>
        <w:jc w:val="left"/>
      </w:pPr>
      <w:r>
        <w:rPr>
          <w:rFonts w:ascii="Arial" w:hAnsi="Arial"/>
          <w:color w:val="525252"/>
          <w:sz w:val="13"/>
        </w:rPr>
        <w:t>Each board arrives at their own scoring standard.</w:t>
      </w:r>
    </w:p>
    <w:p>
      <w:pPr>
        <w:spacing w:after="20" w:line="223" w:lineRule="auto"/>
        <w:jc w:val="right"/>
        <w:bidi/>
      </w:pPr>
      <w:r>
        <w:rPr>
          <w:rFonts w:ascii="Arial" w:hAnsi="Arial"/>
          <w:sz w:val="16"/>
        </w:rPr>
        <w:t>163.23  همه افرادی که در یک کد CEM یا AFSC رقابت می‌کنند، تحت یک استاندارد مورد بررسی قرار می‌گیرند تا اطمینان حاصل شود که ملاحظات منصفانه و عادلانه اعمال می‌شود.</w:t>
      </w:r>
    </w:p>
    <w:p>
      <w:pPr>
        <w:spacing w:after="28" w:line="216" w:lineRule="auto"/>
        <w:ind w:left="259"/>
        <w:jc w:val="left"/>
      </w:pPr>
      <w:r>
        <w:rPr>
          <w:rFonts w:ascii="Arial" w:hAnsi="Arial"/>
          <w:color w:val="525252"/>
          <w:sz w:val="13"/>
        </w:rPr>
        <w:t>Everyone competing in a CEM Code or AFSC is looked at under the same standard to ensure fair and equitable consideration is applied.</w:t>
      </w:r>
    </w:p>
    <w:p>
      <w:pPr>
        <w:spacing w:after="20" w:line="223" w:lineRule="auto"/>
        <w:jc w:val="right"/>
        <w:bidi/>
      </w:pPr>
      <w:r>
        <w:rPr>
          <w:rFonts w:ascii="Arial" w:hAnsi="Arial"/>
          <w:sz w:val="16"/>
        </w:rPr>
        <w:t>163.24  امتیاز.</w:t>
      </w:r>
    </w:p>
    <w:p>
      <w:pPr>
        <w:spacing w:after="28" w:line="216" w:lineRule="auto"/>
        <w:ind w:left="259"/>
        <w:jc w:val="left"/>
      </w:pPr>
      <w:r>
        <w:rPr>
          <w:rFonts w:ascii="Arial" w:hAnsi="Arial"/>
          <w:color w:val="525252"/>
          <w:sz w:val="13"/>
        </w:rPr>
        <w:t>Scoring.</w:t>
      </w:r>
    </w:p>
    <w:p>
      <w:pPr>
        <w:spacing w:after="20" w:line="223" w:lineRule="auto"/>
        <w:jc w:val="right"/>
        <w:bidi/>
      </w:pPr>
      <w:r>
        <w:rPr>
          <w:rFonts w:ascii="Arial" w:hAnsi="Arial"/>
          <w:sz w:val="16"/>
        </w:rPr>
        <w:t>163.25  پس از اتمام اجرای آزمایشی و بحث، پانل‌ها امتیازدهی واقعی رکوردهای زنده را آغاز می‌کنند.</w:t>
      </w:r>
    </w:p>
    <w:p>
      <w:pPr>
        <w:spacing w:after="28" w:line="216" w:lineRule="auto"/>
        <w:ind w:left="259"/>
        <w:jc w:val="left"/>
      </w:pPr>
      <w:r>
        <w:rPr>
          <w:rFonts w:ascii="Arial" w:hAnsi="Arial"/>
          <w:color w:val="525252"/>
          <w:sz w:val="13"/>
        </w:rPr>
        <w:t>After the trial run is completed and discussed, panels begin the actual scoring of live records.</w:t>
      </w:r>
    </w:p>
    <w:p>
      <w:pPr>
        <w:spacing w:after="20" w:line="223" w:lineRule="auto"/>
        <w:jc w:val="right"/>
        <w:bidi/>
      </w:pPr>
      <w:r>
        <w:rPr>
          <w:rFonts w:ascii="Arial" w:hAnsi="Arial"/>
          <w:sz w:val="16"/>
        </w:rPr>
        <w:t>163.26  همین پانل همه واجدین شرایط را که در یک کد CEM یا AFSC رقابت می‌کنند، ارزیابی می‌کند.</w:t>
      </w:r>
    </w:p>
    <w:p>
      <w:pPr>
        <w:spacing w:after="28" w:line="216" w:lineRule="auto"/>
        <w:ind w:left="259"/>
        <w:jc w:val="left"/>
      </w:pPr>
      <w:r>
        <w:rPr>
          <w:rFonts w:ascii="Arial" w:hAnsi="Arial"/>
          <w:color w:val="525252"/>
          <w:sz w:val="13"/>
        </w:rPr>
        <w:t>The same panel evaluates all eligibles competing in a CEM Code or AFSC.</w:t>
      </w:r>
    </w:p>
    <w:p>
      <w:pPr>
        <w:spacing w:after="20" w:line="223" w:lineRule="auto"/>
        <w:jc w:val="right"/>
        <w:bidi/>
      </w:pPr>
      <w:r>
        <w:rPr>
          <w:rFonts w:ascii="Arial" w:hAnsi="Arial"/>
          <w:sz w:val="16"/>
        </w:rPr>
        <w:t>163.27  هر عضو پانل با استفاده از مقیاس ۶ تا ۱۰ امتیازی و افزایش نیم امتیازی، به هر رکورد امتیاز می‌دهد.</w:t>
      </w:r>
    </w:p>
    <w:p>
      <w:pPr>
        <w:spacing w:after="28" w:line="216" w:lineRule="auto"/>
        <w:ind w:left="259"/>
        <w:jc w:val="left"/>
      </w:pPr>
      <w:r>
        <w:rPr>
          <w:rFonts w:ascii="Arial" w:hAnsi="Arial"/>
          <w:color w:val="525252"/>
          <w:sz w:val="13"/>
        </w:rPr>
        <w:t>Each panel member scores each record, using a 6- to 10-point scale and half-point increments.</w:t>
      </w:r>
    </w:p>
    <w:p>
      <w:pPr>
        <w:spacing w:after="20" w:line="223" w:lineRule="auto"/>
        <w:jc w:val="right"/>
        <w:bidi/>
      </w:pPr>
      <w:r>
        <w:rPr>
          <w:rFonts w:ascii="Arial" w:hAnsi="Arial"/>
          <w:sz w:val="16"/>
        </w:rPr>
        <w:t>163.28  رکورد یک فرد ممکن است یک امتیاز ترکیبی پانل (سه عضو) از حداقل ۱۸ (۶-۶-۶) تا حداکثر ۳۰ (۱۰-۱۰-۱۰) امتیاز دریافت کند.</w:t>
      </w:r>
    </w:p>
    <w:p>
      <w:pPr>
        <w:spacing w:after="28" w:line="216" w:lineRule="auto"/>
        <w:ind w:left="259"/>
        <w:jc w:val="left"/>
      </w:pPr>
      <w:r>
        <w:rPr>
          <w:rFonts w:ascii="Arial" w:hAnsi="Arial"/>
          <w:color w:val="525252"/>
          <w:sz w:val="13"/>
        </w:rPr>
        <w:t>An individual’s record may receive a panel composite score (three members) from a minimum of 18 (6-6-6) to a maximum of 30 (10-10-10) points.</w:t>
      </w:r>
    </w:p>
    <w:p>
      <w:pPr>
        <w:spacing w:after="20" w:line="223" w:lineRule="auto"/>
        <w:jc w:val="right"/>
        <w:bidi/>
      </w:pPr>
      <w:r>
        <w:rPr>
          <w:rFonts w:ascii="Arial" w:hAnsi="Arial"/>
          <w:sz w:val="16"/>
        </w:rPr>
        <w:t>163.29  امتیاز ترکیبی (۱۸ تا ۳۰ امتیاز) بعدا در ضریب ۱۵ ضرب می‌شود که منجر به یک امتیاز کلی هیئت مدیره می‌شود (۲۷۰ تا ۴۵۰).</w:t>
      </w:r>
    </w:p>
    <w:p>
      <w:pPr>
        <w:spacing w:after="28" w:line="216" w:lineRule="auto"/>
        <w:ind w:left="259"/>
        <w:jc w:val="left"/>
      </w:pPr>
      <w:r>
        <w:rPr>
          <w:rFonts w:ascii="Arial" w:hAnsi="Arial"/>
          <w:color w:val="525252"/>
          <w:sz w:val="13"/>
        </w:rPr>
        <w:t>The composite score (18 to 30 points) is later multiplied by a factor of 15, resulting in a total board score (270 to 450).</w:t>
      </w:r>
    </w:p>
    <w:p>
      <w:pPr>
        <w:spacing w:after="20" w:line="223" w:lineRule="auto"/>
        <w:jc w:val="right"/>
        <w:bidi/>
      </w:pPr>
      <w:r>
        <w:rPr>
          <w:rFonts w:ascii="Arial" w:hAnsi="Arial"/>
          <w:sz w:val="16"/>
        </w:rPr>
        <w:t>163.30  با استفاده از رای گیری مخفی، اعضای پانل رکورد را به صورت انفرادی و بدون بحث به دست می‌آورند.</w:t>
      </w:r>
    </w:p>
    <w:p>
      <w:pPr>
        <w:spacing w:after="28" w:line="216" w:lineRule="auto"/>
        <w:ind w:left="259"/>
        <w:jc w:val="left"/>
      </w:pPr>
      <w:r>
        <w:rPr>
          <w:rFonts w:ascii="Arial" w:hAnsi="Arial"/>
          <w:color w:val="525252"/>
          <w:sz w:val="13"/>
        </w:rPr>
        <w:t>Using a secret ballot, panel members score the record individually with no discussion.</w:t>
      </w:r>
    </w:p>
    <w:p>
      <w:pPr>
        <w:spacing w:after="20" w:line="223" w:lineRule="auto"/>
        <w:jc w:val="right"/>
        <w:bidi/>
      </w:pPr>
      <w:r>
        <w:rPr>
          <w:rFonts w:ascii="Arial" w:hAnsi="Arial"/>
          <w:sz w:val="16"/>
        </w:rPr>
        <w:t>163.31  سوابق به هر یک از اعضای هیئت داده می‌شود و پس از امتیازدهی، برگه‌های رای مستقیما به یک ضبط کننده داده می‌شود.</w:t>
      </w:r>
    </w:p>
    <w:p>
      <w:pPr>
        <w:spacing w:after="28" w:line="216" w:lineRule="auto"/>
        <w:ind w:left="259"/>
        <w:jc w:val="left"/>
      </w:pPr>
      <w:r>
        <w:rPr>
          <w:rFonts w:ascii="Arial" w:hAnsi="Arial"/>
          <w:color w:val="525252"/>
          <w:sz w:val="13"/>
        </w:rPr>
        <w:t>Records are given to each panel member, and after they are scored, the ballots are given directly to a recorder.</w:t>
      </w:r>
    </w:p>
    <w:p>
      <w:pPr>
        <w:spacing w:after="20" w:line="223" w:lineRule="auto"/>
        <w:jc w:val="right"/>
        <w:bidi/>
      </w:pPr>
      <w:r>
        <w:rPr>
          <w:rFonts w:ascii="Arial" w:hAnsi="Arial"/>
          <w:sz w:val="16"/>
        </w:rPr>
        <w:t>163.32  این تضمین می‌کند که هر عضو پانل هر رکورد را به‌طور مستقل امتیاز داده است.</w:t>
      </w:r>
    </w:p>
    <w:p>
      <w:pPr>
        <w:spacing w:after="28" w:line="216" w:lineRule="auto"/>
        <w:ind w:left="259"/>
        <w:jc w:val="left"/>
      </w:pPr>
      <w:r>
        <w:rPr>
          <w:rFonts w:ascii="Arial" w:hAnsi="Arial"/>
          <w:color w:val="525252"/>
          <w:sz w:val="13"/>
        </w:rPr>
        <w:t>This ensures each panel member has scored each record independently.</w:t>
      </w:r>
    </w:p>
    <w:p>
      <w:pPr>
        <w:spacing w:after="20" w:line="223" w:lineRule="auto"/>
        <w:jc w:val="right"/>
        <w:bidi/>
      </w:pPr>
      <w:r>
        <w:rPr>
          <w:rFonts w:ascii="Arial" w:hAnsi="Arial"/>
          <w:sz w:val="16"/>
        </w:rPr>
        <w:t>163.33  وضوح امتیاز.</w:t>
      </w:r>
    </w:p>
    <w:p>
      <w:pPr>
        <w:spacing w:after="28" w:line="216" w:lineRule="auto"/>
        <w:ind w:left="259"/>
        <w:jc w:val="left"/>
      </w:pPr>
      <w:r>
        <w:rPr>
          <w:rFonts w:ascii="Arial" w:hAnsi="Arial"/>
          <w:color w:val="525252"/>
          <w:sz w:val="13"/>
        </w:rPr>
        <w:t>Scoring Resolution.</w:t>
      </w:r>
    </w:p>
    <w:p>
      <w:pPr>
        <w:spacing w:after="20" w:line="223" w:lineRule="auto"/>
        <w:jc w:val="right"/>
        <w:bidi/>
      </w:pPr>
      <w:r>
        <w:rPr>
          <w:rFonts w:ascii="Arial" w:hAnsi="Arial"/>
          <w:sz w:val="16"/>
        </w:rPr>
        <w:t>163.34  رکوردی که با اختلاف بیش از یک امتیاز بین هر یک از اعضای پانل (مثلا ۸.۵، ۸.۰، و ۷.۰) به دست می‌آید، رای تقسیم شده نامیده می‌شود و برای حل و فصل به پانل بازگردانده می‌شود.</w:t>
      </w:r>
    </w:p>
    <w:p>
      <w:pPr>
        <w:spacing w:after="28" w:line="216" w:lineRule="auto"/>
        <w:ind w:left="259"/>
        <w:jc w:val="left"/>
      </w:pPr>
      <w:r>
        <w:rPr>
          <w:rFonts w:ascii="Arial" w:hAnsi="Arial"/>
          <w:color w:val="525252"/>
          <w:sz w:val="13"/>
        </w:rPr>
        <w:t>A record scored with a difference of more than one point between any of the panel members (for example, 8.5, 8.0, and 7.0) is termed a split vote and is returned to the panel for resolution.</w:t>
      </w:r>
    </w:p>
    <w:p>
      <w:pPr>
        <w:spacing w:after="20" w:line="223" w:lineRule="auto"/>
        <w:jc w:val="right"/>
        <w:bidi/>
      </w:pPr>
      <w:r>
        <w:rPr>
          <w:rFonts w:ascii="Arial" w:hAnsi="Arial"/>
          <w:sz w:val="16"/>
        </w:rPr>
        <w:t>163.35  در این زمان، همه اعضای پانل ممکن است در مورد رکورد به‌طور آشکار بین خود بحث کنند.</w:t>
      </w:r>
    </w:p>
    <w:p>
      <w:pPr>
        <w:spacing w:after="28" w:line="216" w:lineRule="auto"/>
        <w:ind w:left="259"/>
        <w:jc w:val="left"/>
      </w:pPr>
      <w:r>
        <w:rPr>
          <w:rFonts w:ascii="Arial" w:hAnsi="Arial"/>
          <w:color w:val="525252"/>
          <w:sz w:val="13"/>
        </w:rPr>
        <w:t>At this time, all panel members may discuss the record openly among themselves.</w:t>
      </w:r>
    </w:p>
    <w:p>
      <w:pPr>
        <w:spacing w:after="20" w:line="223" w:lineRule="auto"/>
        <w:jc w:val="right"/>
        <w:bidi/>
      </w:pPr>
      <w:r>
        <w:rPr>
          <w:rFonts w:ascii="Arial" w:hAnsi="Arial"/>
          <w:sz w:val="16"/>
        </w:rPr>
        <w:t>163.36  این به آن‌ها اجازه می‌دهد بگویند چرا رکورد را همانطور که انجام داده‌اند به ثمر رسانده‌اند.</w:t>
      </w:r>
    </w:p>
    <w:p>
      <w:pPr>
        <w:spacing w:after="28" w:line="216" w:lineRule="auto"/>
        <w:ind w:left="259"/>
        <w:jc w:val="left"/>
      </w:pPr>
      <w:r>
        <w:rPr>
          <w:rFonts w:ascii="Arial" w:hAnsi="Arial"/>
          <w:color w:val="525252"/>
          <w:sz w:val="13"/>
        </w:rPr>
        <w:t>This allows them to state why they scored the record as they did.</w:t>
      </w:r>
    </w:p>
    <w:p>
      <w:pPr>
        <w:spacing w:after="20" w:line="223" w:lineRule="auto"/>
        <w:jc w:val="right"/>
        <w:bidi/>
      </w:pPr>
      <w:r>
        <w:rPr>
          <w:rFonts w:ascii="Arial" w:hAnsi="Arial"/>
          <w:sz w:val="16"/>
        </w:rPr>
        <w:t>163.37  فقط آن اعضای پنل</w:t>
      </w:r>
    </w:p>
    <w:p>
      <w:pPr>
        <w:spacing w:after="28" w:line="216" w:lineRule="auto"/>
        <w:ind w:left="259"/>
        <w:jc w:val="left"/>
      </w:pPr>
      <w:r>
        <w:rPr>
          <w:rFonts w:ascii="Arial" w:hAnsi="Arial"/>
          <w:color w:val="525252"/>
          <w:sz w:val="13"/>
        </w:rPr>
        <w:t>Only those panel members</w:t>
      </w:r>
    </w:p>
    <w:p>
      <w:r>
        <w:br w:type="page"/>
      </w:r>
    </w:p>
    <w:p>
      <w:pPr>
        <w:spacing w:after="60"/>
        <w:jc w:val="right"/>
        <w:bidi/>
      </w:pPr>
      <w:r>
        <w:rPr>
          <w:rFonts w:ascii="Arial" w:hAnsi="Arial"/>
          <w:b/>
          <w:color w:val="1F4D78"/>
          <w:sz w:val="19"/>
        </w:rPr>
        <w:t>هفتهٔ 164  |  صفحهٔ منبع: 180</w:t>
      </w:r>
    </w:p>
    <w:p>
      <w:pPr>
        <w:spacing w:after="20" w:line="223" w:lineRule="auto"/>
        <w:jc w:val="right"/>
        <w:bidi/>
      </w:pPr>
      <w:r>
        <w:rPr>
          <w:rFonts w:ascii="Arial" w:hAnsi="Arial"/>
          <w:sz w:val="16"/>
        </w:rPr>
        <w:t>164.01  مستقیما درگیر در تقسیم ممکن است امتیازات خود را تغییر دهد.</w:t>
      </w:r>
    </w:p>
    <w:p>
      <w:pPr>
        <w:spacing w:after="28" w:line="216" w:lineRule="auto"/>
        <w:ind w:left="259"/>
        <w:jc w:val="left"/>
      </w:pPr>
      <w:r>
        <w:rPr>
          <w:rFonts w:ascii="Arial" w:hAnsi="Arial"/>
          <w:color w:val="525252"/>
          <w:sz w:val="13"/>
        </w:rPr>
        <w:t>directly involved in the split may change their scores.</w:t>
      </w:r>
    </w:p>
    <w:p>
      <w:pPr>
        <w:spacing w:after="20" w:line="223" w:lineRule="auto"/>
        <w:jc w:val="right"/>
        <w:bidi/>
      </w:pPr>
      <w:r>
        <w:rPr>
          <w:rFonts w:ascii="Arial" w:hAnsi="Arial"/>
          <w:sz w:val="16"/>
        </w:rPr>
        <w:t>164.02  اگر اعضای هیئت نتوانند در مورد تقسیم رای به توافق برسند، سوابق را برای حل و فصل به رئیس هیئت مدیره می‌دهند.</w:t>
      </w:r>
    </w:p>
    <w:p>
      <w:pPr>
        <w:spacing w:after="28" w:line="216" w:lineRule="auto"/>
        <w:ind w:left="259"/>
        <w:jc w:val="left"/>
      </w:pPr>
      <w:r>
        <w:rPr>
          <w:rFonts w:ascii="Arial" w:hAnsi="Arial"/>
          <w:color w:val="525252"/>
          <w:sz w:val="13"/>
        </w:rPr>
        <w:t>If panel members cannot come to an agreement on the split vote, they give the record to the board president for resolution.</w:t>
      </w:r>
    </w:p>
    <w:p>
      <w:pPr>
        <w:spacing w:after="20" w:line="223" w:lineRule="auto"/>
        <w:jc w:val="right"/>
        <w:bidi/>
      </w:pPr>
      <w:r>
        <w:rPr>
          <w:rFonts w:ascii="Arial" w:hAnsi="Arial"/>
          <w:sz w:val="16"/>
        </w:rPr>
        <w:t>164.03  این امر ثبات امتیازدهی را تضمین می‌کند و این احتمال را که یکی از اعضای پانل تأثیر عمده (مثبت یا منفی) بر امتیاز هیئت مدیره فرد داشته باشد را از بین می‌برد.</w:t>
      </w:r>
    </w:p>
    <w:p>
      <w:pPr>
        <w:spacing w:after="28" w:line="216" w:lineRule="auto"/>
        <w:ind w:left="259"/>
        <w:jc w:val="left"/>
      </w:pPr>
      <w:r>
        <w:rPr>
          <w:rFonts w:ascii="Arial" w:hAnsi="Arial"/>
          <w:color w:val="525252"/>
          <w:sz w:val="13"/>
        </w:rPr>
        <w:t>This ensures consistency of scoring and eliminates the possibility that one panel member will have a major impact (positive or negative) on an individual’s board score.</w:t>
      </w:r>
    </w:p>
    <w:p>
      <w:pPr>
        <w:spacing w:after="20" w:line="223" w:lineRule="auto"/>
        <w:jc w:val="right"/>
        <w:bidi/>
      </w:pPr>
      <w:r>
        <w:rPr>
          <w:rFonts w:ascii="Arial" w:hAnsi="Arial"/>
          <w:sz w:val="16"/>
        </w:rPr>
        <w:t>164.04  پردازش پس از هیئت مدیره.</w:t>
      </w:r>
    </w:p>
    <w:p>
      <w:pPr>
        <w:spacing w:after="28" w:line="216" w:lineRule="auto"/>
        <w:ind w:left="259"/>
        <w:jc w:val="left"/>
      </w:pPr>
      <w:r>
        <w:rPr>
          <w:rFonts w:ascii="Arial" w:hAnsi="Arial"/>
          <w:color w:val="525252"/>
          <w:sz w:val="13"/>
        </w:rPr>
        <w:t>Post-Board Processing.</w:t>
      </w:r>
    </w:p>
    <w:p>
      <w:pPr>
        <w:spacing w:after="20" w:line="223" w:lineRule="auto"/>
        <w:jc w:val="right"/>
        <w:bidi/>
      </w:pPr>
      <w:r>
        <w:rPr>
          <w:rFonts w:ascii="Arial" w:hAnsi="Arial"/>
          <w:sz w:val="16"/>
        </w:rPr>
        <w:t>164.05  پس از اتمام تابلو، نمرات عامل وزنی با امتیازات تابلو ترکیب می‌شوند.</w:t>
      </w:r>
    </w:p>
    <w:p>
      <w:pPr>
        <w:spacing w:after="28" w:line="216" w:lineRule="auto"/>
        <w:ind w:left="259"/>
        <w:jc w:val="left"/>
      </w:pPr>
      <w:r>
        <w:rPr>
          <w:rFonts w:ascii="Arial" w:hAnsi="Arial"/>
          <w:color w:val="525252"/>
          <w:sz w:val="13"/>
        </w:rPr>
        <w:t>After the board is finished, the weighted factor scores are combined with the board scores.</w:t>
      </w:r>
    </w:p>
    <w:p>
      <w:pPr>
        <w:spacing w:after="20" w:line="223" w:lineRule="auto"/>
        <w:jc w:val="right"/>
        <w:bidi/>
      </w:pPr>
      <w:r>
        <w:rPr>
          <w:rFonts w:ascii="Arial" w:hAnsi="Arial"/>
          <w:sz w:val="16"/>
        </w:rPr>
        <w:t>164.06  این عملیات کاملا الکترونیکی، ترتیب فهرست شایستگی را بر اساس امتیاز کل در هر کد CEM یا AFSC ایجاد می‌کند و سپس سهمیه کلی ارتقاء برای هر فهرست اعمال می‌شود.</w:t>
      </w:r>
    </w:p>
    <w:p>
      <w:pPr>
        <w:spacing w:after="28" w:line="216" w:lineRule="auto"/>
        <w:ind w:left="259"/>
        <w:jc w:val="left"/>
      </w:pPr>
      <w:r>
        <w:rPr>
          <w:rFonts w:ascii="Arial" w:hAnsi="Arial"/>
          <w:color w:val="525252"/>
          <w:sz w:val="13"/>
        </w:rPr>
        <w:t>This completely electronic operation builds an order of merit listing by total score within each CEM Code or AFSC, and the overall promotion quota is then applied to each list.</w:t>
      </w:r>
    </w:p>
    <w:p>
      <w:pPr>
        <w:spacing w:after="20" w:line="223" w:lineRule="auto"/>
        <w:jc w:val="right"/>
        <w:bidi/>
      </w:pPr>
      <w:r>
        <w:rPr>
          <w:rFonts w:ascii="Arial" w:hAnsi="Arial"/>
          <w:sz w:val="16"/>
        </w:rPr>
        <w:t>164.07  پس از تأیید نتایج گزینش، داده‌ها به بخش پرسنل نظامی منتقل می‌شود.</w:t>
      </w:r>
    </w:p>
    <w:p>
      <w:pPr>
        <w:spacing w:after="28" w:line="216" w:lineRule="auto"/>
        <w:ind w:left="259"/>
        <w:jc w:val="left"/>
      </w:pPr>
      <w:r>
        <w:rPr>
          <w:rFonts w:ascii="Arial" w:hAnsi="Arial"/>
          <w:color w:val="525252"/>
          <w:sz w:val="13"/>
        </w:rPr>
        <w:t>After the selection results are approved, the data is transmitted to the military personnel section.</w:t>
      </w:r>
    </w:p>
    <w:p>
      <w:pPr>
        <w:spacing w:before="60" w:after="28"/>
        <w:jc w:val="right"/>
        <w:bidi/>
      </w:pPr>
      <w:r>
        <w:rPr>
          <w:b/>
          <w:color w:val="1F4D78"/>
          <w:sz w:val="18"/>
        </w:rPr>
        <w:t>9.21. اطلاعیه های امتیاز ارتقاء</w:t>
      </w:r>
    </w:p>
    <w:p>
      <w:pPr>
        <w:spacing w:after="20"/>
        <w:ind w:left="259"/>
        <w:jc w:val="left"/>
      </w:pPr>
      <w:r>
        <w:rPr>
          <w:color w:val="555555"/>
          <w:sz w:val="12"/>
        </w:rPr>
        <w:t>9.21. Promotion Score Notices</w:t>
      </w:r>
    </w:p>
    <w:p>
      <w:pPr>
        <w:spacing w:after="20" w:line="223" w:lineRule="auto"/>
        <w:jc w:val="right"/>
        <w:bidi/>
      </w:pPr>
      <w:r>
        <w:rPr>
          <w:rFonts w:ascii="Arial" w:hAnsi="Arial"/>
          <w:sz w:val="16"/>
        </w:rPr>
        <w:t>164.09  اعلامیه‌های امتیاز ارتقاء وسیله‌ای برای ارائه گزارشی از وضعیت نسبی آنها در فرآیند بررسی ترفیع است و هرگز نباید در اختیار کسی غیر از فرد و فرمانده او قرار گیرد یا از آن استفاده شود.</w:t>
      </w:r>
    </w:p>
    <w:p>
      <w:pPr>
        <w:spacing w:after="28" w:line="216" w:lineRule="auto"/>
        <w:ind w:left="259"/>
        <w:jc w:val="left"/>
      </w:pPr>
      <w:r>
        <w:rPr>
          <w:rFonts w:ascii="Arial" w:hAnsi="Arial"/>
          <w:color w:val="525252"/>
          <w:sz w:val="13"/>
        </w:rPr>
        <w:t>Promotion score notices are a means to give Airmen a report of their relative standing in the promotion consideration process and should never be provided to or used by anyone other than the individual and his or her commander.</w:t>
      </w:r>
    </w:p>
    <w:p>
      <w:pPr>
        <w:spacing w:after="20" w:line="223" w:lineRule="auto"/>
        <w:jc w:val="right"/>
        <w:bidi/>
      </w:pPr>
      <w:r>
        <w:rPr>
          <w:rFonts w:ascii="Arial" w:hAnsi="Arial"/>
          <w:sz w:val="16"/>
        </w:rPr>
        <w:t>164.10  نمرات یک عضو نیروی هوایی بدون رضایت کتبی عضو نیروی هوایی قابل افشا نیست.</w:t>
      </w:r>
    </w:p>
    <w:p>
      <w:pPr>
        <w:spacing w:after="28" w:line="216" w:lineRule="auto"/>
        <w:ind w:left="259"/>
        <w:jc w:val="left"/>
      </w:pPr>
      <w:r>
        <w:rPr>
          <w:rFonts w:ascii="Arial" w:hAnsi="Arial"/>
          <w:color w:val="525252"/>
          <w:sz w:val="13"/>
        </w:rPr>
        <w:t>An Airman’s scores cannot be disclosed without the Airman’s written consent.</w:t>
      </w:r>
    </w:p>
    <w:p>
      <w:pPr>
        <w:spacing w:after="20" w:line="223" w:lineRule="auto"/>
        <w:jc w:val="right"/>
        <w:bidi/>
      </w:pPr>
      <w:r>
        <w:rPr>
          <w:rFonts w:ascii="Arial" w:hAnsi="Arial"/>
          <w:sz w:val="16"/>
        </w:rPr>
        <w:t>164.11  کارکنان پشتیبانی فرمانده، گروهبانان یکم، سرپرستان و غیره مجاز به دسترسی به امتیازات ترفیع نیستند.</w:t>
      </w:r>
    </w:p>
    <w:p>
      <w:pPr>
        <w:spacing w:after="28" w:line="216" w:lineRule="auto"/>
        <w:ind w:left="259"/>
        <w:jc w:val="left"/>
      </w:pPr>
      <w:r>
        <w:rPr>
          <w:rFonts w:ascii="Arial" w:hAnsi="Arial"/>
          <w:color w:val="525252"/>
          <w:sz w:val="13"/>
        </w:rPr>
        <w:t>Commander’s support staffs, first sergeants, supervisors, etc., are not authorized access to promotion scores.</w:t>
      </w:r>
    </w:p>
    <w:p>
      <w:pPr>
        <w:spacing w:after="20" w:line="223" w:lineRule="auto"/>
        <w:jc w:val="right"/>
        <w:bidi/>
      </w:pPr>
      <w:r>
        <w:rPr>
          <w:rFonts w:ascii="Arial" w:hAnsi="Arial"/>
          <w:sz w:val="16"/>
        </w:rPr>
        <w:t>164.12  فرمانده وظیفه مشخصی دارد که هواداران را از نتایج انتخاب ارتقا یا عدم انتخاب مطلع کند و ممکن است برای تعیین وضعیت لازم باشد اعلان امتیازات آنها را بررسی کند.</w:t>
      </w:r>
    </w:p>
    <w:p>
      <w:pPr>
        <w:spacing w:after="28" w:line="216" w:lineRule="auto"/>
        <w:ind w:left="259"/>
        <w:jc w:val="left"/>
      </w:pPr>
      <w:r>
        <w:rPr>
          <w:rFonts w:ascii="Arial" w:hAnsi="Arial"/>
          <w:color w:val="525252"/>
          <w:sz w:val="13"/>
        </w:rPr>
        <w:t>The commander has the specific duty to notify Airmen of promotion selection or non-selection results and may need to review their score notices to determine status.</w:t>
      </w:r>
    </w:p>
    <w:p>
      <w:pPr>
        <w:spacing w:after="20" w:line="223" w:lineRule="auto"/>
        <w:jc w:val="right"/>
        <w:bidi/>
      </w:pPr>
      <w:r>
        <w:rPr>
          <w:rFonts w:ascii="Arial" w:hAnsi="Arial"/>
          <w:sz w:val="16"/>
        </w:rPr>
        <w:t>164.13  فرماندهان باید استفاده خود از امتیازات را به اطلاع رسانی و مشاوره مشاوره از طرف هوانیروز محدود کنند و نباید اجازه انتشار بیشتر امتیازات را بدهند.</w:t>
      </w:r>
    </w:p>
    <w:p>
      <w:pPr>
        <w:spacing w:after="28" w:line="216" w:lineRule="auto"/>
        <w:ind w:left="259"/>
        <w:jc w:val="left"/>
      </w:pPr>
      <w:r>
        <w:rPr>
          <w:rFonts w:ascii="Arial" w:hAnsi="Arial"/>
          <w:color w:val="525252"/>
          <w:sz w:val="13"/>
        </w:rPr>
        <w:t>Commanders must restrict their use of the scores to notification and advisory counseling on behalf of the Airmen and must not allow further dissemination of scores.</w:t>
      </w:r>
    </w:p>
    <w:p>
      <w:pPr>
        <w:spacing w:after="20" w:line="223" w:lineRule="auto"/>
        <w:jc w:val="right"/>
        <w:bidi/>
      </w:pPr>
      <w:r>
        <w:rPr>
          <w:rFonts w:ascii="Arial" w:hAnsi="Arial"/>
          <w:sz w:val="16"/>
        </w:rPr>
        <w:t>164.14  افراد می‌توانند پس از انتخاب اولیه ترفیع برای چرخه فعلی، یک کپی از اعلامیه امتیاز خود را در پرواز مجازی پرسنل نظامی بازیابی کنند.</w:t>
      </w:r>
    </w:p>
    <w:p>
      <w:pPr>
        <w:spacing w:after="28" w:line="216" w:lineRule="auto"/>
        <w:ind w:left="259"/>
        <w:jc w:val="left"/>
      </w:pPr>
      <w:r>
        <w:rPr>
          <w:rFonts w:ascii="Arial" w:hAnsi="Arial"/>
          <w:color w:val="525252"/>
          <w:sz w:val="13"/>
        </w:rPr>
        <w:t>Individuals may retrieve a copy of their score notice on the virtual military personnel flight after the initial promotion selection for the current cycle.</w:t>
      </w:r>
    </w:p>
    <w:p>
      <w:pPr>
        <w:spacing w:after="20" w:line="223" w:lineRule="auto"/>
        <w:jc w:val="right"/>
        <w:bidi/>
      </w:pPr>
      <w:r>
        <w:rPr>
          <w:rFonts w:ascii="Arial" w:hAnsi="Arial"/>
          <w:sz w:val="16"/>
        </w:rPr>
        <w:t>164.15  افراد همچنین می‌توانند امتیازات خود را با آمار ارتقای موجود در پرواز پرسنل نظامی یا ارسال شده در پرواز مجازی پرسنل نظامی از طریق مرکز پرسنل نیروی هوایی (https://www.afpc.af.mil/Promotion/Enlisted-Promotions/) مقایسه کنند.</w:t>
      </w:r>
    </w:p>
    <w:p>
      <w:pPr>
        <w:spacing w:after="28" w:line="216" w:lineRule="auto"/>
        <w:ind w:left="259"/>
        <w:jc w:val="left"/>
      </w:pPr>
      <w:r>
        <w:rPr>
          <w:rFonts w:ascii="Arial" w:hAnsi="Arial"/>
          <w:color w:val="525252"/>
          <w:sz w:val="13"/>
        </w:rPr>
        <w:t>Individuals can also compare their scores with the promotion statistics available in the military personnel flight or posted on the virtual military personnel flight through the Air Force Personnel Center (https://www.afpc.af.mil/Promotion/Enlisted-Promotions/).</w:t>
      </w:r>
    </w:p>
    <w:p>
      <w:r>
        <w:br w:type="page"/>
      </w:r>
    </w:p>
    <w:p>
      <w:pPr>
        <w:spacing w:after="60"/>
        <w:jc w:val="right"/>
        <w:bidi/>
      </w:pPr>
      <w:r>
        <w:rPr>
          <w:rFonts w:ascii="Arial" w:hAnsi="Arial"/>
          <w:b/>
          <w:color w:val="1F4D78"/>
          <w:sz w:val="19"/>
        </w:rPr>
        <w:t>هفتهٔ 165  |  صفحهٔ منبع: 181</w:t>
      </w:r>
    </w:p>
    <w:p>
      <w:pPr>
        <w:spacing w:before="60" w:after="28"/>
        <w:jc w:val="right"/>
        <w:bidi/>
      </w:pPr>
      <w:r>
        <w:rPr>
          <w:b/>
          <w:color w:val="1F4D78"/>
          <w:sz w:val="18"/>
        </w:rPr>
        <w:t>فصل 10</w:t>
      </w:r>
    </w:p>
    <w:p>
      <w:pPr>
        <w:spacing w:after="20"/>
        <w:ind w:left="259"/>
        <w:jc w:val="left"/>
      </w:pPr>
      <w:r>
        <w:rPr>
          <w:color w:val="555555"/>
          <w:sz w:val="12"/>
        </w:rPr>
        <w:t>Chapter 10</w:t>
      </w:r>
    </w:p>
    <w:p>
      <w:pPr>
        <w:spacing w:before="60" w:after="28"/>
        <w:jc w:val="right"/>
        <w:bidi/>
      </w:pPr>
      <w:r>
        <w:rPr>
          <w:b/>
          <w:color w:val="1F4D78"/>
          <w:sz w:val="18"/>
        </w:rPr>
        <w:t>تکالیف و کدهای شغلی</w:t>
      </w:r>
    </w:p>
    <w:p>
      <w:pPr>
        <w:spacing w:after="20"/>
        <w:ind w:left="259"/>
        <w:jc w:val="left"/>
      </w:pPr>
      <w:r>
        <w:rPr>
          <w:color w:val="555555"/>
          <w:sz w:val="12"/>
        </w:rPr>
        <w:t>ASSIGNMENTS AND OCCUPATIONAL CODES</w:t>
      </w:r>
    </w:p>
    <w:p>
      <w:pPr>
        <w:spacing w:before="60" w:after="28"/>
        <w:jc w:val="right"/>
        <w:bidi/>
      </w:pPr>
      <w:r>
        <w:rPr>
          <w:b/>
          <w:color w:val="1F4D78"/>
          <w:sz w:val="18"/>
        </w:rPr>
        <w:t>بخش 10A - واجد شرایط بودن و محدودیت‌ها</w:t>
      </w:r>
    </w:p>
    <w:p>
      <w:pPr>
        <w:spacing w:after="20"/>
        <w:ind w:left="259"/>
        <w:jc w:val="left"/>
      </w:pPr>
      <w:r>
        <w:rPr>
          <w:color w:val="555555"/>
          <w:sz w:val="12"/>
        </w:rPr>
        <w:t>Section 10A—Eligibility and Restrictions</w:t>
      </w:r>
    </w:p>
    <w:p>
      <w:pPr>
        <w:spacing w:before="60" w:after="28"/>
        <w:jc w:val="right"/>
        <w:bidi/>
      </w:pPr>
      <w:r>
        <w:rPr>
          <w:b/>
          <w:color w:val="1F4D78"/>
          <w:sz w:val="18"/>
        </w:rPr>
        <w:t>10.1. واجد شرایط بودن تکلیف و محدودیت ها</w:t>
      </w:r>
    </w:p>
    <w:p>
      <w:pPr>
        <w:spacing w:after="20"/>
        <w:ind w:left="259"/>
        <w:jc w:val="left"/>
      </w:pPr>
      <w:r>
        <w:rPr>
          <w:color w:val="555555"/>
          <w:sz w:val="12"/>
        </w:rPr>
        <w:t>10.1. Assignment Eligibility and Restrictions</w:t>
      </w:r>
    </w:p>
    <w:p>
      <w:pPr>
        <w:spacing w:after="20" w:line="223" w:lineRule="auto"/>
        <w:jc w:val="right"/>
        <w:bidi/>
      </w:pPr>
      <w:r>
        <w:rPr>
          <w:rFonts w:ascii="Arial" w:hAnsi="Arial"/>
          <w:sz w:val="16"/>
        </w:rPr>
        <w:t>165.05  USAF هوانوردان را در سرتاسر جهان طبقه بندی و منصوب می‌کند تا از آمادگی بالایی برای انجام مأموریت اطمینان حاصل شود.</w:t>
      </w:r>
    </w:p>
    <w:p>
      <w:pPr>
        <w:spacing w:after="28" w:line="216" w:lineRule="auto"/>
        <w:ind w:left="259"/>
        <w:jc w:val="left"/>
      </w:pPr>
      <w:r>
        <w:rPr>
          <w:rFonts w:ascii="Arial" w:hAnsi="Arial"/>
          <w:color w:val="525252"/>
          <w:sz w:val="13"/>
        </w:rPr>
        <w:t>The USAF classifies and assigns Airmen worldwide to ensure a high state of readiness to accomplish the mission.</w:t>
      </w:r>
    </w:p>
    <w:p>
      <w:pPr>
        <w:spacing w:after="20" w:line="223" w:lineRule="auto"/>
        <w:jc w:val="right"/>
        <w:bidi/>
      </w:pPr>
      <w:r>
        <w:rPr>
          <w:rFonts w:ascii="Arial" w:hAnsi="Arial"/>
          <w:sz w:val="16"/>
        </w:rPr>
        <w:t>165.06  نیروی هوایی از یک سیستم طبقه‌بندی منسجم و منطقی برای شناسایی نیازمندی‌های معتبر نیروی انسانی، شناسایی و توصیف هر تخصص شغلی USAF، برای اطمینان از تعیین حداقل استانداردهای پیش‌نیاز برای هر تخصص، و اطمینان از قرار گرفتن هوانوردان واجد شرایط در هر تخصص استفاده می‌کند.</w:t>
      </w:r>
    </w:p>
    <w:p>
      <w:pPr>
        <w:spacing w:after="28" w:line="216" w:lineRule="auto"/>
        <w:ind w:left="259"/>
        <w:jc w:val="left"/>
      </w:pPr>
      <w:r>
        <w:rPr>
          <w:rFonts w:ascii="Arial" w:hAnsi="Arial"/>
          <w:color w:val="525252"/>
          <w:sz w:val="13"/>
        </w:rPr>
        <w:t>The Air Force uses a coherent and logical classification system to identify valid manpower requirements, to identify and describe each USAF occupational specialty, to ensure minimum prerequisite standards are set for each specialty, and to ensure qualified Airmen are placed into each specialty.</w:t>
      </w:r>
    </w:p>
    <w:p>
      <w:pPr>
        <w:spacing w:after="20" w:line="223" w:lineRule="auto"/>
        <w:jc w:val="right"/>
        <w:bidi/>
      </w:pPr>
      <w:r>
        <w:rPr>
          <w:rFonts w:ascii="Arial" w:hAnsi="Arial"/>
          <w:sz w:val="16"/>
        </w:rPr>
        <w:t>165.07  نیروی هوایی همچنین اهمیت ملاحظات انتساب ویژه برای هوانوردان با نیازهای استثنایی را تشخیص می‌دهد.</w:t>
      </w:r>
    </w:p>
    <w:p>
      <w:pPr>
        <w:spacing w:after="28" w:line="216" w:lineRule="auto"/>
        <w:ind w:left="259"/>
        <w:jc w:val="left"/>
      </w:pPr>
      <w:r>
        <w:rPr>
          <w:rFonts w:ascii="Arial" w:hAnsi="Arial"/>
          <w:color w:val="525252"/>
          <w:sz w:val="13"/>
        </w:rPr>
        <w:t>The Air Force also recognizes the importance of special assignment considerations for Airmen with exceptional needs.</w:t>
      </w:r>
    </w:p>
    <w:p>
      <w:pPr>
        <w:spacing w:after="20" w:line="223" w:lineRule="auto"/>
        <w:jc w:val="right"/>
        <w:bidi/>
      </w:pPr>
      <w:r>
        <w:rPr>
          <w:rFonts w:ascii="Arial" w:hAnsi="Arial"/>
          <w:sz w:val="16"/>
        </w:rPr>
        <w:t>165.08  تا حد امکان، USAF تغییر دائمی ایستگاه (PCS) را به نیروهای هوایی به صورت داوطلبانه اختصاص می‌دهد.</w:t>
      </w:r>
    </w:p>
    <w:p>
      <w:pPr>
        <w:spacing w:after="28" w:line="216" w:lineRule="auto"/>
        <w:ind w:left="259"/>
        <w:jc w:val="left"/>
      </w:pPr>
      <w:r>
        <w:rPr>
          <w:rFonts w:ascii="Arial" w:hAnsi="Arial"/>
          <w:color w:val="525252"/>
          <w:sz w:val="13"/>
        </w:rPr>
        <w:t>To the maximum extent possible, the USAF assigns a permanent change of station (PCS) to Airmen on a voluntary basis.</w:t>
      </w:r>
    </w:p>
    <w:p>
      <w:pPr>
        <w:spacing w:after="20" w:line="223" w:lineRule="auto"/>
        <w:jc w:val="right"/>
        <w:bidi/>
      </w:pPr>
      <w:r>
        <w:rPr>
          <w:rFonts w:ascii="Arial" w:hAnsi="Arial"/>
          <w:sz w:val="16"/>
        </w:rPr>
        <w:t>165.09  در صورت لزوم، USAF تکالیف غیرارادی را بین هوانوردان واجد شرایط مشابه توزیع می‌کند تا جدایی خانواده را به حداقل برساند یا به هوانوردان اجازه دهد تا به مسئولیت‌های ضروری نظامی و شخصی تمایل داشته باشند.</w:t>
      </w:r>
    </w:p>
    <w:p>
      <w:pPr>
        <w:spacing w:after="28" w:line="216" w:lineRule="auto"/>
        <w:ind w:left="259"/>
        <w:jc w:val="left"/>
      </w:pPr>
      <w:r>
        <w:rPr>
          <w:rFonts w:ascii="Arial" w:hAnsi="Arial"/>
          <w:color w:val="525252"/>
          <w:sz w:val="13"/>
        </w:rPr>
        <w:t>When required, the USAF distributes involuntary assignments among similarly qualified Airmen to minimize family separation or allow Airmen to tend to essential military and personal responsibilities.</w:t>
      </w:r>
    </w:p>
    <w:p>
      <w:pPr>
        <w:spacing w:after="20" w:line="223" w:lineRule="auto"/>
        <w:jc w:val="right"/>
        <w:bidi/>
      </w:pPr>
      <w:r>
        <w:rPr>
          <w:rFonts w:ascii="Arial" w:hAnsi="Arial"/>
          <w:sz w:val="16"/>
        </w:rPr>
        <w:t>165.10  مأموریت ذخیره نیروی هوایی ممکن است تمام وقت یا پاره وقت باشد و همه داوطلبانه هستند، بنابراین مأموریت‌های جدید باید درخواست شود، به‌ویژه در هنگام پیگیری فرصت‌های ترفیع.</w:t>
      </w:r>
    </w:p>
    <w:p>
      <w:pPr>
        <w:spacing w:after="28" w:line="216" w:lineRule="auto"/>
        <w:ind w:left="259"/>
        <w:jc w:val="left"/>
      </w:pPr>
      <w:r>
        <w:rPr>
          <w:rFonts w:ascii="Arial" w:hAnsi="Arial"/>
          <w:color w:val="525252"/>
          <w:sz w:val="13"/>
        </w:rPr>
        <w:t>Air Force Reserve assignment may be full-time or part-time, and are all voluntary, thus new assignments must be applied for, particularly when pursuing promotion opportunities.</w:t>
      </w:r>
    </w:p>
    <w:p>
      <w:pPr>
        <w:spacing w:before="60" w:after="28"/>
        <w:jc w:val="right"/>
        <w:bidi/>
      </w:pPr>
      <w:r>
        <w:rPr>
          <w:b/>
          <w:color w:val="1F4D78"/>
          <w:sz w:val="18"/>
        </w:rPr>
        <w:t>10.2. مرجع واگذاری</w:t>
      </w:r>
    </w:p>
    <w:p>
      <w:pPr>
        <w:spacing w:after="20"/>
        <w:ind w:left="259"/>
        <w:jc w:val="left"/>
      </w:pPr>
      <w:r>
        <w:rPr>
          <w:color w:val="555555"/>
          <w:sz w:val="12"/>
        </w:rPr>
        <w:t>10.2. Assignment Authority</w:t>
      </w:r>
    </w:p>
    <w:p>
      <w:pPr>
        <w:spacing w:after="20" w:line="223" w:lineRule="auto"/>
        <w:jc w:val="right"/>
        <w:bidi/>
      </w:pPr>
      <w:r>
        <w:rPr>
          <w:rFonts w:ascii="Arial" w:hAnsi="Arial"/>
          <w:sz w:val="16"/>
        </w:rPr>
        <w:t>165.12  تکالیف هوانوردی برای برآوردن نیازهای کلی USAF طبق قانون، وزارت دفاع و راهنمایی آموزشی تکمیل می‌شود.</w:t>
      </w:r>
    </w:p>
    <w:p>
      <w:pPr>
        <w:spacing w:after="28" w:line="216" w:lineRule="auto"/>
        <w:ind w:left="259"/>
        <w:jc w:val="left"/>
      </w:pPr>
      <w:r>
        <w:rPr>
          <w:rFonts w:ascii="Arial" w:hAnsi="Arial"/>
          <w:color w:val="525252"/>
          <w:sz w:val="13"/>
        </w:rPr>
        <w:t>Airmen assignments are filled to meet the overall needs of the USAF according to law, Department of Defense, and instructional guidance.</w:t>
      </w:r>
    </w:p>
    <w:p>
      <w:pPr>
        <w:spacing w:after="20" w:line="223" w:lineRule="auto"/>
        <w:jc w:val="right"/>
        <w:bidi/>
      </w:pPr>
      <w:r>
        <w:rPr>
          <w:rFonts w:ascii="Arial" w:hAnsi="Arial"/>
          <w:sz w:val="16"/>
        </w:rPr>
        <w:t>165.13  وزارت دفاع بودجه تخصیص می‌دهد، اختیارات را تفویض می‌کند، و سیاست‌هایی را برای تکالیف PCS هوانوردان برای برآوردن الزامات امنیت ملی هدایت می‌کند.</w:t>
      </w:r>
    </w:p>
    <w:p>
      <w:pPr>
        <w:spacing w:after="28" w:line="216" w:lineRule="auto"/>
        <w:ind w:left="259"/>
        <w:jc w:val="left"/>
      </w:pPr>
      <w:r>
        <w:rPr>
          <w:rFonts w:ascii="Arial" w:hAnsi="Arial"/>
          <w:color w:val="525252"/>
          <w:sz w:val="13"/>
        </w:rPr>
        <w:t>The Department of Defense allocates funds, delegates authority, and directs policies for the PCS assignments of Airmen to satisfy national security requirements.</w:t>
      </w:r>
    </w:p>
    <w:p>
      <w:pPr>
        <w:spacing w:after="20" w:line="223" w:lineRule="auto"/>
        <w:jc w:val="right"/>
        <w:bidi/>
      </w:pPr>
      <w:r>
        <w:rPr>
          <w:rFonts w:ascii="Arial" w:hAnsi="Arial"/>
          <w:sz w:val="16"/>
        </w:rPr>
        <w:t>165.14  مدیر تکالیف (یا معادل آن)، با هماهنگی فرماندهان اصلی، آژانس‌های عملیاتی میدانی و واحدهای گزارش‌دهی مستقیم، مجاز است مأموریت‌هایی را برای نیروهای هوایی برای تکمیل مجوزهای نیروی انسانی خالی معتبر آغاز کند.</w:t>
      </w:r>
    </w:p>
    <w:p>
      <w:pPr>
        <w:spacing w:after="28" w:line="216" w:lineRule="auto"/>
        <w:ind w:left="259"/>
        <w:jc w:val="left"/>
      </w:pPr>
      <w:r>
        <w:rPr>
          <w:rFonts w:ascii="Arial" w:hAnsi="Arial"/>
          <w:color w:val="525252"/>
          <w:sz w:val="13"/>
        </w:rPr>
        <w:t>The director of assignments (or equivalent), in coordination with major commands, field operating agencies, and direct reporting units, is authorized to initiate assignments for Airmen to fill valid vacant manpower authorizations.</w:t>
      </w:r>
    </w:p>
    <w:p>
      <w:pPr>
        <w:spacing w:after="20" w:line="223" w:lineRule="auto"/>
        <w:jc w:val="right"/>
        <w:bidi/>
      </w:pPr>
      <w:r>
        <w:rPr>
          <w:rFonts w:ascii="Arial" w:hAnsi="Arial"/>
          <w:sz w:val="16"/>
        </w:rPr>
        <w:t>165.15  مرکز پرسنل نیروی هوایی مرجع تأیید نهایی تکالیف در درجه‌های سرگروهبان ارشد و پایین‌تر است.</w:t>
      </w:r>
    </w:p>
    <w:p>
      <w:pPr>
        <w:spacing w:after="28" w:line="216" w:lineRule="auto"/>
        <w:ind w:left="259"/>
        <w:jc w:val="left"/>
      </w:pPr>
      <w:r>
        <w:rPr>
          <w:rFonts w:ascii="Arial" w:hAnsi="Arial"/>
          <w:color w:val="525252"/>
          <w:sz w:val="13"/>
        </w:rPr>
        <w:t>The Air Force Personnel Center is the final approval authority for assignments in the grades of Senior Master Sergeant and below.</w:t>
      </w:r>
    </w:p>
    <w:p>
      <w:pPr>
        <w:spacing w:after="20" w:line="223" w:lineRule="auto"/>
        <w:jc w:val="right"/>
        <w:bidi/>
      </w:pPr>
      <w:r>
        <w:rPr>
          <w:rFonts w:ascii="Arial" w:hAnsi="Arial"/>
          <w:sz w:val="16"/>
        </w:rPr>
        <w:t>165.16  دفتر مدیریت استعدادهای اجرایی نیروی هوایی، مرجع تأیید نهایی برای مأموریت‌های منتخب سرگروهبان و فرمانده ارشد است.</w:t>
      </w:r>
    </w:p>
    <w:p>
      <w:pPr>
        <w:spacing w:after="28" w:line="216" w:lineRule="auto"/>
        <w:ind w:left="259"/>
        <w:jc w:val="left"/>
      </w:pPr>
      <w:r>
        <w:rPr>
          <w:rFonts w:ascii="Arial" w:hAnsi="Arial"/>
          <w:color w:val="525252"/>
          <w:sz w:val="13"/>
        </w:rPr>
        <w:t>The Air Force Executive Talent Management Office is the final approval authority for Chief Master Sergeant and Chief Master Sergeant-select assignments.</w:t>
      </w:r>
    </w:p>
    <w:p>
      <w:pPr>
        <w:spacing w:after="20" w:line="223" w:lineRule="auto"/>
        <w:jc w:val="right"/>
        <w:bidi/>
      </w:pPr>
      <w:r>
        <w:rPr>
          <w:rFonts w:ascii="Arial" w:hAnsi="Arial"/>
          <w:sz w:val="16"/>
        </w:rPr>
        <w:t>165.17  DAFI ۳۶-۲۱۱۰، مجموع انتساب نیرو، دستورالعمل حاکم برای تکالیف عملیاتی (شامل چرخشی)، آموزشی (شامل آموزش رسمی و آموزش نظامی حرفه‌ای)، و تکالیف ساختار نیرو است.</w:t>
      </w:r>
    </w:p>
    <w:p>
      <w:pPr>
        <w:spacing w:after="28" w:line="216" w:lineRule="auto"/>
        <w:ind w:left="259"/>
        <w:jc w:val="left"/>
      </w:pPr>
      <w:r>
        <w:rPr>
          <w:rFonts w:ascii="Arial" w:hAnsi="Arial"/>
          <w:color w:val="525252"/>
          <w:sz w:val="13"/>
        </w:rPr>
        <w:t>DAFI 36-2110, Total Force Assignments, is the governing instruction for operational (including rotational), training (including formal education and professional military education), and force structure assignments.</w:t>
      </w:r>
    </w:p>
    <w:p>
      <w:pPr>
        <w:spacing w:before="60" w:after="28"/>
        <w:jc w:val="right"/>
        <w:bidi/>
      </w:pPr>
      <w:r>
        <w:rPr>
          <w:b/>
          <w:color w:val="1F4D78"/>
          <w:sz w:val="18"/>
        </w:rPr>
        <w:t>10.3. لغو تکالیف</w:t>
      </w:r>
    </w:p>
    <w:p>
      <w:pPr>
        <w:spacing w:after="20"/>
        <w:ind w:left="259"/>
        <w:jc w:val="left"/>
      </w:pPr>
      <w:r>
        <w:rPr>
          <w:color w:val="555555"/>
          <w:sz w:val="12"/>
        </w:rPr>
        <w:t>10.3. Assignment Cancellations</w:t>
      </w:r>
    </w:p>
    <w:p>
      <w:pPr>
        <w:spacing w:after="20" w:line="223" w:lineRule="auto"/>
        <w:jc w:val="right"/>
        <w:bidi/>
      </w:pPr>
      <w:r>
        <w:rPr>
          <w:rFonts w:ascii="Arial" w:hAnsi="Arial"/>
          <w:sz w:val="16"/>
        </w:rPr>
        <w:t>165.19  هنگامی که یک عضو نیروی هوایی برای PCS انتخاب می‌شود و سفارش‌ها منتشر می‌شوند، تکالیف معمولا ظرف ۶۰ روز از تاریخ حرکت پیش‌بینی‌شده لغو نمی‌شوند، مگر اینکه عضو نیروی هوایی نتواند به‌طور مؤثر در مکان پیش‌بینی‌شده استفاده شود.</w:t>
      </w:r>
    </w:p>
    <w:p>
      <w:pPr>
        <w:spacing w:after="28" w:line="216" w:lineRule="auto"/>
        <w:ind w:left="259"/>
        <w:jc w:val="left"/>
      </w:pPr>
      <w:r>
        <w:rPr>
          <w:rFonts w:ascii="Arial" w:hAnsi="Arial"/>
          <w:color w:val="525252"/>
          <w:sz w:val="13"/>
        </w:rPr>
        <w:t>Once an Airman is selected for a PCS and orders are published, assignments are not normally cancelled within 60 days of the projected departure date unless the Airman cannot be effectively used at the projected location.</w:t>
      </w:r>
    </w:p>
    <w:p>
      <w:pPr>
        <w:spacing w:after="20" w:line="223" w:lineRule="auto"/>
        <w:jc w:val="right"/>
        <w:bidi/>
      </w:pPr>
      <w:r>
        <w:rPr>
          <w:rFonts w:ascii="Arial" w:hAnsi="Arial"/>
          <w:sz w:val="16"/>
        </w:rPr>
        <w:t>165.20  اگر هوانیروز نشان دهد که لغو مأموریت باعث ایجاد مشکل می‌شود، از فرمانده هوانوردی خواسته می‌شود که یک بیانیه کتبی تهیه کند تا از طریق فرمانده یگان با بخش پرسنل نظامی هماهنگ شود.</w:t>
      </w:r>
    </w:p>
    <w:p>
      <w:pPr>
        <w:spacing w:after="28" w:line="216" w:lineRule="auto"/>
        <w:ind w:left="259"/>
        <w:jc w:val="left"/>
      </w:pPr>
      <w:r>
        <w:rPr>
          <w:rFonts w:ascii="Arial" w:hAnsi="Arial"/>
          <w:color w:val="525252"/>
          <w:sz w:val="13"/>
        </w:rPr>
        <w:t>If the Airman indicates an assignment cancellation will cause hardship, the Airman will be asked to prepare a written statement to be coordinated through the unit commander to the military personnel section.</w:t>
      </w:r>
    </w:p>
    <w:p>
      <w:pPr>
        <w:spacing w:after="20" w:line="223" w:lineRule="auto"/>
        <w:jc w:val="right"/>
        <w:bidi/>
      </w:pPr>
      <w:r>
        <w:rPr>
          <w:rFonts w:ascii="Arial" w:hAnsi="Arial"/>
          <w:sz w:val="16"/>
        </w:rPr>
        <w:t>165.21  پس از دریافت، بخش پرسنل نظامی به دفتر مأموریت مسئولیت اصلی توصیه می‌کند که یا بازگرداندن مأموریت اصلی را در نظر بگیرد، یا یک مأموریت جایگزین ارائه دهد، یا با دلایلی که باعث می‌شود هواپیمای هوایی در پایگاه فعلی بماند، لغو را تأیید کند.</w:t>
      </w:r>
    </w:p>
    <w:p>
      <w:pPr>
        <w:spacing w:after="28" w:line="216" w:lineRule="auto"/>
        <w:ind w:left="259"/>
        <w:jc w:val="left"/>
      </w:pPr>
      <w:r>
        <w:rPr>
          <w:rFonts w:ascii="Arial" w:hAnsi="Arial"/>
          <w:color w:val="525252"/>
          <w:sz w:val="13"/>
        </w:rPr>
        <w:t>Upon receipt, the military personnel section advises the assignment office of primary responsibility to either consider reinstatement of the original assignment, provide an alternate assignment, or confirm cancellation with reasons why the Airman is required to remain at the present base.</w:t>
      </w:r>
    </w:p>
    <w:p>
      <w:pPr>
        <w:spacing w:before="60" w:after="28"/>
        <w:jc w:val="right"/>
        <w:bidi/>
      </w:pPr>
      <w:r>
        <w:rPr>
          <w:b/>
          <w:color w:val="1F4D78"/>
          <w:sz w:val="18"/>
        </w:rPr>
        <w:t>10.4. عوامل توزیع پرسنل</w:t>
      </w:r>
    </w:p>
    <w:p>
      <w:pPr>
        <w:spacing w:after="20"/>
        <w:ind w:left="259"/>
        <w:jc w:val="left"/>
      </w:pPr>
      <w:r>
        <w:rPr>
          <w:color w:val="555555"/>
          <w:sz w:val="12"/>
        </w:rPr>
        <w:t>10.4. Factors for Distribution of Personnel</w:t>
      </w:r>
    </w:p>
    <w:p>
      <w:pPr>
        <w:spacing w:after="20" w:line="223" w:lineRule="auto"/>
        <w:jc w:val="right"/>
        <w:bidi/>
      </w:pPr>
      <w:r>
        <w:rPr>
          <w:rFonts w:ascii="Arial" w:hAnsi="Arial"/>
          <w:sz w:val="16"/>
        </w:rPr>
        <w:t>165.23  در حالی که عامل اصلی در انتخاب نیروهای هوایی برای PCS، صلاحیت‌های عضو نیروی هوایی برای تکمیل یک نیاز نیروی انسانی معتبر و عملکرد مؤثر در موقعیت است، بسیاری از جنبه‌های اضافی ممکن است برای معیارهای واجد شرایط بودن نیز در نظر گرفته شود.</w:t>
      </w:r>
    </w:p>
    <w:p>
      <w:pPr>
        <w:spacing w:after="28" w:line="216" w:lineRule="auto"/>
        <w:ind w:left="259"/>
        <w:jc w:val="left"/>
      </w:pPr>
      <w:r>
        <w:rPr>
          <w:rFonts w:ascii="Arial" w:hAnsi="Arial"/>
          <w:color w:val="525252"/>
          <w:sz w:val="13"/>
        </w:rPr>
        <w:t>While the primary factor in selecting Airmen for a PCS is the Airman’s qualifications to fill a valid manpower requirement and perform productively in the position, many additional aspects may be considered for eligibility criteria as well.</w:t>
      </w:r>
    </w:p>
    <w:p>
      <w:r>
        <w:br w:type="page"/>
      </w:r>
    </w:p>
    <w:p>
      <w:pPr>
        <w:spacing w:after="60"/>
        <w:jc w:val="right"/>
        <w:bidi/>
      </w:pPr>
      <w:r>
        <w:rPr>
          <w:rFonts w:ascii="Arial" w:hAnsi="Arial"/>
          <w:b/>
          <w:color w:val="1F4D78"/>
          <w:sz w:val="19"/>
        </w:rPr>
        <w:t>هفتهٔ 166  |  صفحهٔ منبع: 182</w:t>
      </w:r>
    </w:p>
    <w:p>
      <w:pPr>
        <w:spacing w:after="20" w:line="223" w:lineRule="auto"/>
        <w:jc w:val="right"/>
        <w:bidi/>
      </w:pPr>
      <w:r>
        <w:rPr>
          <w:rFonts w:ascii="Arial" w:hAnsi="Arial"/>
          <w:sz w:val="16"/>
        </w:rPr>
        <w:t>166.01  شناسه تجربه ویژه.</w:t>
      </w:r>
    </w:p>
    <w:p>
      <w:pPr>
        <w:spacing w:after="28" w:line="216" w:lineRule="auto"/>
        <w:ind w:left="259"/>
        <w:jc w:val="left"/>
      </w:pPr>
      <w:r>
        <w:rPr>
          <w:rFonts w:ascii="Arial" w:hAnsi="Arial"/>
          <w:color w:val="525252"/>
          <w:sz w:val="13"/>
        </w:rPr>
        <w:t>Special Experience Identifier.</w:t>
      </w:r>
    </w:p>
    <w:p>
      <w:pPr>
        <w:spacing w:after="20" w:line="223" w:lineRule="auto"/>
        <w:jc w:val="right"/>
        <w:bidi/>
      </w:pPr>
      <w:r>
        <w:rPr>
          <w:rFonts w:ascii="Arial" w:hAnsi="Arial"/>
          <w:sz w:val="16"/>
        </w:rPr>
        <w:t>166.02  سیستم شناسه تجربه ویژه تکمیل کننده فرآیند تخصیص است و همراه با پیشوندها و پسوندهای درجه، AFSC و AFSC استفاده می‌شود تا نیروهای هوایی واجد شرایط منحصربه‌فرد را با مشاغل با شرایط خاص مطابقت دهد.</w:t>
      </w:r>
    </w:p>
    <w:p>
      <w:pPr>
        <w:spacing w:after="28" w:line="216" w:lineRule="auto"/>
        <w:ind w:left="259"/>
        <w:jc w:val="left"/>
      </w:pPr>
      <w:r>
        <w:rPr>
          <w:rFonts w:ascii="Arial" w:hAnsi="Arial"/>
          <w:color w:val="525252"/>
          <w:sz w:val="13"/>
        </w:rPr>
        <w:t>The special experience identifier system complements the assignment process and is used in conjunction with grade, AFSC, and AFSC prefixes and suffixes, to match uniquely qualified Airmen to jobs with special requirements.</w:t>
      </w:r>
    </w:p>
    <w:p>
      <w:pPr>
        <w:spacing w:after="20" w:line="223" w:lineRule="auto"/>
        <w:jc w:val="right"/>
        <w:bidi/>
      </w:pPr>
      <w:r>
        <w:rPr>
          <w:rFonts w:ascii="Arial" w:hAnsi="Arial"/>
          <w:sz w:val="16"/>
        </w:rPr>
        <w:t>166.03  زمانی که تجربه یا آموزش خاصی حیاتی است و هیچ وسیله دیگری مناسب یا در دسترس نیست، ممکن است از شناسه‌های تجربه ویژه استفاده شود.</w:t>
      </w:r>
    </w:p>
    <w:p>
      <w:pPr>
        <w:spacing w:after="28" w:line="216" w:lineRule="auto"/>
        <w:ind w:left="259"/>
        <w:jc w:val="left"/>
      </w:pPr>
      <w:r>
        <w:rPr>
          <w:rFonts w:ascii="Arial" w:hAnsi="Arial"/>
          <w:color w:val="525252"/>
          <w:sz w:val="13"/>
        </w:rPr>
        <w:t>Special experience identifiers may be used when specific experience or training is critical, and no other means is appropriate or available.</w:t>
      </w:r>
    </w:p>
    <w:p>
      <w:pPr>
        <w:spacing w:after="20" w:line="223" w:lineRule="auto"/>
        <w:jc w:val="right"/>
        <w:bidi/>
      </w:pPr>
      <w:r>
        <w:rPr>
          <w:rFonts w:ascii="Arial" w:hAnsi="Arial"/>
          <w:sz w:val="16"/>
        </w:rPr>
        <w:t>166.04  موقعیت‌های نیروی انسانی با یک شناسه تجربه ویژه کدگذاری می‌شوند تا موقعیت‌هایی را شناسایی کنند که به تجربیات یا صلاحیت‌های منحصربه‌فرد نیاز دارند یا ارائه می‌کنند.</w:t>
      </w:r>
    </w:p>
    <w:p>
      <w:pPr>
        <w:spacing w:after="28" w:line="216" w:lineRule="auto"/>
        <w:ind w:left="259"/>
        <w:jc w:val="left"/>
      </w:pPr>
      <w:r>
        <w:rPr>
          <w:rFonts w:ascii="Arial" w:hAnsi="Arial"/>
          <w:color w:val="525252"/>
          <w:sz w:val="13"/>
        </w:rPr>
        <w:t>Manpower positions are coded with a special experience identifier to identify positions that require or provide unique experiences or qualifications.</w:t>
      </w:r>
    </w:p>
    <w:p>
      <w:pPr>
        <w:spacing w:after="20" w:line="223" w:lineRule="auto"/>
        <w:jc w:val="right"/>
        <w:bidi/>
      </w:pPr>
      <w:r>
        <w:rPr>
          <w:rFonts w:ascii="Arial" w:hAnsi="Arial"/>
          <w:sz w:val="16"/>
        </w:rPr>
        <w:t>166.05  سوابق پرسنلی برای هوانوردانی که شناسه تجربه ویژه کسب می‌کنند، به‌طور مشابه برای شناسایی سریع هوانوردان برای برآورده کردن شرایط منحصر به فرد، الزامات اضطراری، یا سایر نیازهای حیاتی کدگذاری می‌شوند.</w:t>
      </w:r>
    </w:p>
    <w:p>
      <w:pPr>
        <w:spacing w:after="28" w:line="216" w:lineRule="auto"/>
        <w:ind w:left="259"/>
        <w:jc w:val="left"/>
      </w:pPr>
      <w:r>
        <w:rPr>
          <w:rFonts w:ascii="Arial" w:hAnsi="Arial"/>
          <w:color w:val="525252"/>
          <w:sz w:val="13"/>
        </w:rPr>
        <w:t>The personnel records for Airmen who earn a special experience identifier are similarly coded to rapidly identify Airmen to meet unique circumstances, contingency requirements, or other critical needs.</w:t>
      </w:r>
    </w:p>
    <w:p>
      <w:pPr>
        <w:spacing w:after="20" w:line="223" w:lineRule="auto"/>
        <w:jc w:val="right"/>
        <w:bidi/>
      </w:pPr>
      <w:r>
        <w:rPr>
          <w:rFonts w:ascii="Arial" w:hAnsi="Arial"/>
          <w:sz w:val="16"/>
        </w:rPr>
        <w:t>166.06  الزامات دسترسی به امنیت.</w:t>
      </w:r>
    </w:p>
    <w:p>
      <w:pPr>
        <w:spacing w:after="28" w:line="216" w:lineRule="auto"/>
        <w:ind w:left="259"/>
        <w:jc w:val="left"/>
      </w:pPr>
      <w:r>
        <w:rPr>
          <w:rFonts w:ascii="Arial" w:hAnsi="Arial"/>
          <w:color w:val="525252"/>
          <w:sz w:val="13"/>
        </w:rPr>
        <w:t>Security Access Requirement.</w:t>
      </w:r>
    </w:p>
    <w:p>
      <w:pPr>
        <w:spacing w:after="20" w:line="223" w:lineRule="auto"/>
        <w:jc w:val="right"/>
        <w:bidi/>
      </w:pPr>
      <w:r>
        <w:rPr>
          <w:rFonts w:ascii="Arial" w:hAnsi="Arial"/>
          <w:sz w:val="16"/>
        </w:rPr>
        <w:t>166.07  برخی از موقعیت‌ها نیاز به دسترسی نیروهای هوایی به سطح مشخصی از اطلاعات طبقه‌بندی شده دارند.</w:t>
      </w:r>
    </w:p>
    <w:p>
      <w:pPr>
        <w:spacing w:after="28" w:line="216" w:lineRule="auto"/>
        <w:ind w:left="259"/>
        <w:jc w:val="left"/>
      </w:pPr>
      <w:r>
        <w:rPr>
          <w:rFonts w:ascii="Arial" w:hAnsi="Arial"/>
          <w:color w:val="525252"/>
          <w:sz w:val="13"/>
        </w:rPr>
        <w:t>Some positions require Airmen to have access to a specified level of classified information.</w:t>
      </w:r>
    </w:p>
    <w:p>
      <w:pPr>
        <w:spacing w:after="20" w:line="223" w:lineRule="auto"/>
        <w:jc w:val="right"/>
        <w:bidi/>
      </w:pPr>
      <w:r>
        <w:rPr>
          <w:rFonts w:ascii="Arial" w:hAnsi="Arial"/>
          <w:sz w:val="16"/>
        </w:rPr>
        <w:t>166.08  با این حال، گاهی اوقات فوریت برای پر کردن یک موقعیت، امکان انتخاب هوانوردان را با استفاده از معیارهای واجد شرایط بودن PCS، پردازش بعدی، یا تحقیقات برای دسترسی در سطح مشخص نمی‌دهد.</w:t>
      </w:r>
    </w:p>
    <w:p>
      <w:pPr>
        <w:spacing w:after="28" w:line="216" w:lineRule="auto"/>
        <w:ind w:left="259"/>
        <w:jc w:val="left"/>
      </w:pPr>
      <w:r>
        <w:rPr>
          <w:rFonts w:ascii="Arial" w:hAnsi="Arial"/>
          <w:color w:val="525252"/>
          <w:sz w:val="13"/>
        </w:rPr>
        <w:t>However, sometimes the urgency to fill a position does not allow selection of Airmen using PCS eligibility criteria, subsequent processing, or investigation for access at the specified level.</w:t>
      </w:r>
    </w:p>
    <w:p>
      <w:pPr>
        <w:spacing w:after="20" w:line="223" w:lineRule="auto"/>
        <w:jc w:val="right"/>
        <w:bidi/>
      </w:pPr>
      <w:r>
        <w:rPr>
          <w:rFonts w:ascii="Arial" w:hAnsi="Arial"/>
          <w:sz w:val="16"/>
        </w:rPr>
        <w:t>166.09  تحت این شرایط، ممکن است از میان هوانوردانی که در حال حاضر دسترسی دارند یا می‌توان فورا به آنها اجازه دسترسی داد، انتخاب شود.</w:t>
      </w:r>
    </w:p>
    <w:p>
      <w:pPr>
        <w:spacing w:after="28" w:line="216" w:lineRule="auto"/>
        <w:ind w:left="259"/>
        <w:jc w:val="left"/>
      </w:pPr>
      <w:r>
        <w:rPr>
          <w:rFonts w:ascii="Arial" w:hAnsi="Arial"/>
          <w:color w:val="525252"/>
          <w:sz w:val="13"/>
        </w:rPr>
        <w:t>Under these circumstances, selection may be necessary from among Airmen who currently have access or can be granted access immediately.</w:t>
      </w:r>
    </w:p>
    <w:p>
      <w:pPr>
        <w:spacing w:after="20" w:line="223" w:lineRule="auto"/>
        <w:jc w:val="right"/>
        <w:bidi/>
      </w:pPr>
      <w:r>
        <w:rPr>
          <w:rFonts w:ascii="Arial" w:hAnsi="Arial"/>
          <w:sz w:val="16"/>
        </w:rPr>
        <w:t>166.10  درجه، کد تخصص نیروی هوایی، و رابطه در سطح مهارت برای تکلیف.</w:t>
      </w:r>
    </w:p>
    <w:p>
      <w:pPr>
        <w:spacing w:after="28" w:line="216" w:lineRule="auto"/>
        <w:ind w:left="259"/>
        <w:jc w:val="left"/>
      </w:pPr>
      <w:r>
        <w:rPr>
          <w:rFonts w:ascii="Arial" w:hAnsi="Arial"/>
          <w:color w:val="525252"/>
          <w:sz w:val="13"/>
        </w:rPr>
        <w:t>Grade, Air Force Specialty Code, and Skill-Level Relationship for Assignment.</w:t>
      </w:r>
    </w:p>
    <w:p>
      <w:pPr>
        <w:spacing w:after="20" w:line="223" w:lineRule="auto"/>
        <w:jc w:val="right"/>
        <w:bidi/>
      </w:pPr>
      <w:r>
        <w:rPr>
          <w:rFonts w:ascii="Arial" w:hAnsi="Arial"/>
          <w:sz w:val="16"/>
        </w:rPr>
        <w:t>166.11  به‌طور معمول، هوانوردان در درجه سرگروهبان ارشد و پایین‌تر بر اساس درجه و سطح مهارت خود برای انتساب در AFSC کنترل خود انتخاب می‌شوند.</w:t>
      </w:r>
    </w:p>
    <w:p>
      <w:pPr>
        <w:spacing w:after="28" w:line="216" w:lineRule="auto"/>
        <w:ind w:left="259"/>
        <w:jc w:val="left"/>
      </w:pPr>
      <w:r>
        <w:rPr>
          <w:rFonts w:ascii="Arial" w:hAnsi="Arial"/>
          <w:color w:val="525252"/>
          <w:sz w:val="13"/>
        </w:rPr>
        <w:t>Normally, Airmen in the grade of Senior Master Sergeant and below are selected for assignment in their control AFSC based on their grade and skill level.</w:t>
      </w:r>
    </w:p>
    <w:p>
      <w:pPr>
        <w:spacing w:after="20" w:line="223" w:lineRule="auto"/>
        <w:jc w:val="right"/>
        <w:bidi/>
      </w:pPr>
      <w:r>
        <w:rPr>
          <w:rFonts w:ascii="Arial" w:hAnsi="Arial"/>
          <w:sz w:val="16"/>
        </w:rPr>
        <w:t>166.12  هوانوردان با درجه ناسازگار و سطح مهارت AFSC کنترل به دلیل بازآموزی یا طبقه‌بندی مجدد، بدون در نظر گرفتن سطح مهارت AFSC کنترلی، برای تعیین تکلیف انتخاب می‌شوند و بر اساس نیازهای متناسب با درجه آنها تخصیص می‌یابند.</w:t>
      </w:r>
    </w:p>
    <w:p>
      <w:pPr>
        <w:spacing w:after="28" w:line="216" w:lineRule="auto"/>
        <w:ind w:left="259"/>
        <w:jc w:val="left"/>
      </w:pPr>
      <w:r>
        <w:rPr>
          <w:rFonts w:ascii="Arial" w:hAnsi="Arial"/>
          <w:color w:val="525252"/>
          <w:sz w:val="13"/>
        </w:rPr>
        <w:t>Airmen with an incompatible grade and control AFSC skill level due to retraining or reclassification are selected for assignment and allocated against requirements commensurate with their grade, regardless of their control AFSC skill level.</w:t>
      </w:r>
    </w:p>
    <w:p>
      <w:pPr>
        <w:spacing w:after="20" w:line="223" w:lineRule="auto"/>
        <w:jc w:val="right"/>
        <w:bidi/>
      </w:pPr>
      <w:r>
        <w:rPr>
          <w:rFonts w:ascii="Arial" w:hAnsi="Arial"/>
          <w:sz w:val="16"/>
        </w:rPr>
        <w:t>166.13  سرگروهبان‌های ارشد و گروهبان‌های ارشد می‌توانند در هر کد AFSC یا مدیر ارشد ثبت‌نامی که دارند یا واجد شرایط دریافت جایزه هستند، تخصیص داده شوند.</w:t>
      </w:r>
    </w:p>
    <w:p>
      <w:pPr>
        <w:spacing w:after="28" w:line="216" w:lineRule="auto"/>
        <w:ind w:left="259"/>
        <w:jc w:val="left"/>
      </w:pPr>
      <w:r>
        <w:rPr>
          <w:rFonts w:ascii="Arial" w:hAnsi="Arial"/>
          <w:color w:val="525252"/>
          <w:sz w:val="13"/>
        </w:rPr>
        <w:t>Chief Master Sergeants and Chief Master Sergeant-selects may be assigned in any AFSC or chief enlisted manager code they possess or are qualified to be awarded.</w:t>
      </w:r>
    </w:p>
    <w:p>
      <w:pPr>
        <w:spacing w:after="20" w:line="223" w:lineRule="auto"/>
        <w:jc w:val="right"/>
        <w:bidi/>
      </w:pPr>
      <w:r>
        <w:rPr>
          <w:rFonts w:ascii="Arial" w:hAnsi="Arial"/>
          <w:sz w:val="16"/>
        </w:rPr>
        <w:t>166.14  در درجه اول، فرماندهان ارشد، پست‌های کد مدیر ارشد را پر می‌کنند. گروهبان‌های ارشد ارشد، موقعیت‌های سطح ۹ مهارتی را پر می‌کنند. گروهبان‌های ارشد و گروهبان‌های فنی موقعیت‌های سطح ۷ مهارتی را پر می‌کنند. گروهبان‌های ستادی و نیروی هوایی ارشد پست‌های سطح ۵ مهارتی را پر می‌کنند. و عضو نیروی هوایی فیرست کلاسس، عضو نیروی هوایی و عضو نیروی هوایی باسیک موقعیت‌های سطح ۳ مهارتی را پر می‌کنند.</w:t>
      </w:r>
    </w:p>
    <w:p>
      <w:pPr>
        <w:spacing w:after="28" w:line="216" w:lineRule="auto"/>
        <w:ind w:left="259"/>
        <w:jc w:val="left"/>
      </w:pPr>
      <w:r>
        <w:rPr>
          <w:rFonts w:ascii="Arial" w:hAnsi="Arial"/>
          <w:color w:val="525252"/>
          <w:sz w:val="13"/>
        </w:rPr>
        <w:t>Primarily, Chief Master Sergeants fill chief enlisted manager code positions; Senior Master Sergeants fill 9-skill level positions; Master Sergeants and Technical Sergeants fill 7-skill level positions; Staff Sergeants and Senior Airmen fill 5-skill level positions; and Airman First Class, Airman, and Airman Basic fill 3-skill level positions.</w:t>
      </w:r>
    </w:p>
    <w:p>
      <w:pPr>
        <w:spacing w:after="20" w:line="223" w:lineRule="auto"/>
        <w:jc w:val="right"/>
        <w:bidi/>
      </w:pPr>
      <w:r>
        <w:rPr>
          <w:rFonts w:ascii="Arial" w:hAnsi="Arial"/>
          <w:sz w:val="16"/>
        </w:rPr>
        <w:t>166.15  وضعیت داوطلب و واجد شرایط بودن تکلیف.</w:t>
      </w:r>
    </w:p>
    <w:p>
      <w:pPr>
        <w:spacing w:after="28" w:line="216" w:lineRule="auto"/>
        <w:ind w:left="259"/>
        <w:jc w:val="left"/>
      </w:pPr>
      <w:r>
        <w:rPr>
          <w:rFonts w:ascii="Arial" w:hAnsi="Arial"/>
          <w:color w:val="525252"/>
          <w:sz w:val="13"/>
        </w:rPr>
        <w:t>Volunteer Status and Assignment Eligibility.</w:t>
      </w:r>
    </w:p>
    <w:p>
      <w:pPr>
        <w:spacing w:after="20" w:line="223" w:lineRule="auto"/>
        <w:jc w:val="right"/>
        <w:bidi/>
      </w:pPr>
      <w:r>
        <w:rPr>
          <w:rFonts w:ascii="Arial" w:hAnsi="Arial"/>
          <w:sz w:val="16"/>
        </w:rPr>
        <w:t>166.16  برای تمامی تکالیف باید داوطلبان واجد شرایط در نظر گرفته شوند.</w:t>
      </w:r>
    </w:p>
    <w:p>
      <w:pPr>
        <w:spacing w:after="28" w:line="216" w:lineRule="auto"/>
        <w:ind w:left="259"/>
        <w:jc w:val="left"/>
      </w:pPr>
      <w:r>
        <w:rPr>
          <w:rFonts w:ascii="Arial" w:hAnsi="Arial"/>
          <w:color w:val="525252"/>
          <w:sz w:val="13"/>
        </w:rPr>
        <w:t>Qualified volunteers should be considered for all assignments.</w:t>
      </w:r>
    </w:p>
    <w:p>
      <w:pPr>
        <w:spacing w:after="20" w:line="223" w:lineRule="auto"/>
        <w:jc w:val="right"/>
        <w:bidi/>
      </w:pPr>
      <w:r>
        <w:rPr>
          <w:rFonts w:ascii="Arial" w:hAnsi="Arial"/>
          <w:sz w:val="16"/>
        </w:rPr>
        <w:t>166.17  داوطلبانی که زمان مورد نیاز ایستگاه را برآورده نکرده‌اند، ممکن است قبل از غیرداوطلبان واجد شرایطی که زمان مورد نیاز ایستگاه را برآورده کرده‌اند در نظر گرفته شوند، اما چنین داوطلب واجد شرایطی نیاز به معافیت زمانی در ایستگاه دارد.</w:t>
      </w:r>
    </w:p>
    <w:p>
      <w:pPr>
        <w:spacing w:after="28" w:line="216" w:lineRule="auto"/>
        <w:ind w:left="259"/>
        <w:jc w:val="left"/>
      </w:pPr>
      <w:r>
        <w:rPr>
          <w:rFonts w:ascii="Arial" w:hAnsi="Arial"/>
          <w:color w:val="525252"/>
          <w:sz w:val="13"/>
        </w:rPr>
        <w:t>Volunteers who have not met time on station requirements may be considered before qualified non-volunteers who have met time on station requirements, but such a qualified volunteer requires a time on station waiver.</w:t>
      </w:r>
    </w:p>
    <w:p>
      <w:pPr>
        <w:spacing w:after="20" w:line="223" w:lineRule="auto"/>
        <w:jc w:val="right"/>
        <w:bidi/>
      </w:pPr>
      <w:r>
        <w:rPr>
          <w:rFonts w:ascii="Arial" w:hAnsi="Arial"/>
          <w:sz w:val="16"/>
        </w:rPr>
        <w:t>166.18  یک داوطلب واجد شرایط که حداقل زمان مورد نیاز در ایستگاه را برآورده می‌کند، ابتدا بر اساس ترتیب طولانی‌ترین زمان در ایستگاه در نظر گرفته می‌شود.</w:t>
      </w:r>
    </w:p>
    <w:p>
      <w:pPr>
        <w:spacing w:after="28" w:line="216" w:lineRule="auto"/>
        <w:ind w:left="259"/>
        <w:jc w:val="left"/>
      </w:pPr>
      <w:r>
        <w:rPr>
          <w:rFonts w:ascii="Arial" w:hAnsi="Arial"/>
          <w:color w:val="525252"/>
          <w:sz w:val="13"/>
        </w:rPr>
        <w:t>A qualified volunteer who meets the minimum time on station requirement is considered first, based on the order of longest on station.</w:t>
      </w:r>
    </w:p>
    <w:p>
      <w:pPr>
        <w:spacing w:after="20" w:line="223" w:lineRule="auto"/>
        <w:jc w:val="right"/>
        <w:bidi/>
      </w:pPr>
      <w:r>
        <w:rPr>
          <w:rFonts w:ascii="Arial" w:hAnsi="Arial"/>
          <w:sz w:val="16"/>
        </w:rPr>
        <w:t>166.19  توجه: به هوانوردان ترم اولی که سربازی اولیه چهار سال یا بیشتر را انجام می‌دهند، نمی‌توانند بیش از دو مأموریت در مکان‌های مختلف پس از آموزش‌های اولیه اولیه و مهارتی در طول چهار سال اول خدمتشان، صرف‌نظر از طول تور، داده شوند.</w:t>
      </w:r>
    </w:p>
    <w:p>
      <w:pPr>
        <w:spacing w:after="28" w:line="216" w:lineRule="auto"/>
        <w:ind w:left="259"/>
        <w:jc w:val="left"/>
      </w:pPr>
      <w:r>
        <w:rPr>
          <w:rFonts w:ascii="Arial" w:hAnsi="Arial"/>
          <w:color w:val="525252"/>
          <w:sz w:val="13"/>
        </w:rPr>
        <w:t>Note: First- term Airmen serving an initial enlistment of four or more years may not be given more than two assignments in different locations following initial basic and skill training during their first four years of service, regardless of tour length.</w:t>
      </w:r>
    </w:p>
    <w:p>
      <w:pPr>
        <w:spacing w:after="20" w:line="223" w:lineRule="auto"/>
        <w:jc w:val="right"/>
        <w:bidi/>
      </w:pPr>
      <w:r>
        <w:rPr>
          <w:rFonts w:ascii="Arial" w:hAnsi="Arial"/>
          <w:sz w:val="16"/>
        </w:rPr>
        <w:t>166.20  هوانوردان دوره اول که دو حرکت PCS انجام می‌دهند، اجازه دارند یک PCS اضافی همراه با یک جابجایی بشردوستانه تأیید شده، یک عضویت همسر، به‌عنوان داوطلب یا زمانی که PCS یک حرکت اجباری است، دریافت کنند.</w:t>
      </w:r>
    </w:p>
    <w:p>
      <w:pPr>
        <w:spacing w:after="28" w:line="216" w:lineRule="auto"/>
        <w:ind w:left="259"/>
        <w:jc w:val="left"/>
      </w:pPr>
      <w:r>
        <w:rPr>
          <w:rFonts w:ascii="Arial" w:hAnsi="Arial"/>
          <w:color w:val="525252"/>
          <w:sz w:val="13"/>
        </w:rPr>
        <w:t>First-term Airmen who make two PCS moves are permitted an additional PCS in conjunction with an approved humanitarian reassignment, a join spouse assignment, as a volunteer, or when the PCS is a mandatory move.</w:t>
      </w:r>
    </w:p>
    <w:p>
      <w:pPr>
        <w:spacing w:after="20" w:line="223" w:lineRule="auto"/>
        <w:jc w:val="right"/>
        <w:bidi/>
      </w:pPr>
      <w:r>
        <w:rPr>
          <w:rFonts w:ascii="Arial" w:hAnsi="Arial"/>
          <w:sz w:val="16"/>
        </w:rPr>
        <w:t>166.21  حرکات کم هزینه از شمارش دو حرکت مستثنی هستند.</w:t>
      </w:r>
    </w:p>
    <w:p>
      <w:pPr>
        <w:spacing w:after="28" w:line="216" w:lineRule="auto"/>
        <w:ind w:left="259"/>
        <w:jc w:val="left"/>
      </w:pPr>
      <w:r>
        <w:rPr>
          <w:rFonts w:ascii="Arial" w:hAnsi="Arial"/>
          <w:color w:val="525252"/>
          <w:sz w:val="13"/>
        </w:rPr>
        <w:t>Low-cost moves are excluded from the two-move count.</w:t>
      </w:r>
    </w:p>
    <w:p>
      <w:pPr>
        <w:spacing w:after="20" w:line="223" w:lineRule="auto"/>
        <w:jc w:val="right"/>
        <w:bidi/>
      </w:pPr>
      <w:r>
        <w:rPr>
          <w:rFonts w:ascii="Arial" w:hAnsi="Arial"/>
          <w:sz w:val="16"/>
        </w:rPr>
        <w:t>166.22  پایه اولویت (فقط ثبت‌نام شده).</w:t>
      </w:r>
    </w:p>
    <w:p>
      <w:pPr>
        <w:spacing w:after="28" w:line="216" w:lineRule="auto"/>
        <w:ind w:left="259"/>
        <w:jc w:val="left"/>
      </w:pPr>
      <w:r>
        <w:rPr>
          <w:rFonts w:ascii="Arial" w:hAnsi="Arial"/>
          <w:color w:val="525252"/>
          <w:sz w:val="13"/>
        </w:rPr>
        <w:t>Base of Preference (Enlisted Only).</w:t>
      </w:r>
    </w:p>
    <w:p>
      <w:pPr>
        <w:spacing w:after="20" w:line="223" w:lineRule="auto"/>
        <w:jc w:val="right"/>
        <w:bidi/>
      </w:pPr>
      <w:r>
        <w:rPr>
          <w:rFonts w:ascii="Arial" w:hAnsi="Arial"/>
          <w:sz w:val="16"/>
        </w:rPr>
        <w:t>166.23  هوانوردان ترم اول و هوانوردان شغلی ممکن است به‌عنوان انگیزه برای ادامه خدمت USAF، یک پایگاه ترجیحی را درخواست کنند.</w:t>
      </w:r>
    </w:p>
    <w:p>
      <w:pPr>
        <w:spacing w:after="28" w:line="216" w:lineRule="auto"/>
        <w:ind w:left="259"/>
        <w:jc w:val="left"/>
      </w:pPr>
      <w:r>
        <w:rPr>
          <w:rFonts w:ascii="Arial" w:hAnsi="Arial"/>
          <w:color w:val="525252"/>
          <w:sz w:val="13"/>
        </w:rPr>
        <w:t>The first-term Airmen and career Airmen may request a base of preference assignment as an incentive for continued USAF service.</w:t>
      </w:r>
    </w:p>
    <w:p>
      <w:pPr>
        <w:spacing w:after="20" w:line="223" w:lineRule="auto"/>
        <w:jc w:val="right"/>
        <w:bidi/>
      </w:pPr>
      <w:r>
        <w:rPr>
          <w:rFonts w:ascii="Arial" w:hAnsi="Arial"/>
          <w:sz w:val="16"/>
        </w:rPr>
        <w:t>166.24  هوانوردان دوره اول، همراه با سربازگیری مجدد یا آموزش مجدد، ممکن است یک PCS از ایالات متحده قاره‌ای (CONUS) به CONUS یا PCS از خارج از کشور به CONUS درخواست کنند.</w:t>
      </w:r>
    </w:p>
    <w:p>
      <w:pPr>
        <w:spacing w:after="28" w:line="216" w:lineRule="auto"/>
        <w:ind w:left="259"/>
        <w:jc w:val="left"/>
      </w:pPr>
      <w:r>
        <w:rPr>
          <w:rFonts w:ascii="Arial" w:hAnsi="Arial"/>
          <w:color w:val="525252"/>
          <w:sz w:val="13"/>
        </w:rPr>
        <w:t>First-term Airmen, in conjunction with reenlistment or retraining, may request a PCS from Continental United States (CONUS) to CONUS or PCS from overseas to CONUS.</w:t>
      </w:r>
    </w:p>
    <w:p>
      <w:pPr>
        <w:spacing w:after="20" w:line="223" w:lineRule="auto"/>
        <w:jc w:val="right"/>
        <w:bidi/>
      </w:pPr>
      <w:r>
        <w:rPr>
          <w:rFonts w:ascii="Arial" w:hAnsi="Arial"/>
          <w:sz w:val="16"/>
        </w:rPr>
        <w:t>166.25  همچنین، هوانوردان دوره اول در CONUS ممکن است یک پایگاه ترجیحی برای باقی ماندن در محل درخواست کنند.</w:t>
      </w:r>
    </w:p>
    <w:p>
      <w:pPr>
        <w:spacing w:after="28" w:line="216" w:lineRule="auto"/>
        <w:ind w:left="259"/>
        <w:jc w:val="left"/>
      </w:pPr>
      <w:r>
        <w:rPr>
          <w:rFonts w:ascii="Arial" w:hAnsi="Arial"/>
          <w:color w:val="525252"/>
          <w:sz w:val="13"/>
        </w:rPr>
        <w:t>Also, first-term Airmen in CONUS may request a base of preference to remain in place.</w:t>
      </w:r>
    </w:p>
    <w:p>
      <w:pPr>
        <w:spacing w:after="20" w:line="223" w:lineRule="auto"/>
        <w:jc w:val="right"/>
        <w:bidi/>
      </w:pPr>
      <w:r>
        <w:rPr>
          <w:rFonts w:ascii="Arial" w:hAnsi="Arial"/>
          <w:sz w:val="16"/>
        </w:rPr>
        <w:t>166.26  یک پایگاه ترجیحی PCS از CONUS به خارج از کشور یا خارج از کشور به خارج از کشور مجاز نیست.</w:t>
      </w:r>
    </w:p>
    <w:p>
      <w:pPr>
        <w:spacing w:after="28" w:line="216" w:lineRule="auto"/>
        <w:ind w:left="259"/>
        <w:jc w:val="left"/>
      </w:pPr>
      <w:r>
        <w:rPr>
          <w:rFonts w:ascii="Arial" w:hAnsi="Arial"/>
          <w:color w:val="525252"/>
          <w:sz w:val="13"/>
        </w:rPr>
        <w:t>A PCS base of preference is not authorized from CONUS to overseas or overseas to overseas.</w:t>
      </w:r>
    </w:p>
    <w:p>
      <w:pPr>
        <w:spacing w:after="20" w:line="223" w:lineRule="auto"/>
        <w:jc w:val="right"/>
        <w:bidi/>
      </w:pPr>
      <w:r>
        <w:rPr>
          <w:rFonts w:ascii="Arial" w:hAnsi="Arial"/>
          <w:sz w:val="16"/>
        </w:rPr>
        <w:t>166.27  یک پایگاه ترجیحی در محل برای هوانوردان منصوب در خارج از کشور مجاز نیست.</w:t>
      </w:r>
    </w:p>
    <w:p>
      <w:pPr>
        <w:spacing w:after="28" w:line="216" w:lineRule="auto"/>
        <w:ind w:left="259"/>
        <w:jc w:val="left"/>
      </w:pPr>
      <w:r>
        <w:rPr>
          <w:rFonts w:ascii="Arial" w:hAnsi="Arial"/>
          <w:color w:val="525252"/>
          <w:sz w:val="13"/>
        </w:rPr>
        <w:t>An in-place base of preference is not authorized for Airmen assigned overseas.</w:t>
      </w:r>
    </w:p>
    <w:p>
      <w:pPr>
        <w:spacing w:after="20" w:line="223" w:lineRule="auto"/>
        <w:jc w:val="right"/>
        <w:bidi/>
      </w:pPr>
      <w:r>
        <w:rPr>
          <w:rFonts w:ascii="Arial" w:hAnsi="Arial"/>
          <w:sz w:val="16"/>
        </w:rPr>
        <w:t>166.28  واگذاری زوج‌های نظامی (همسر بپیوندید).</w:t>
      </w:r>
    </w:p>
    <w:p>
      <w:pPr>
        <w:spacing w:after="28" w:line="216" w:lineRule="auto"/>
        <w:ind w:left="259"/>
        <w:jc w:val="left"/>
      </w:pPr>
      <w:r>
        <w:rPr>
          <w:rFonts w:ascii="Arial" w:hAnsi="Arial"/>
          <w:color w:val="525252"/>
          <w:sz w:val="13"/>
        </w:rPr>
        <w:t>Assignment of Military Couples (Join Spouse).</w:t>
      </w:r>
    </w:p>
    <w:p>
      <w:pPr>
        <w:spacing w:after="20" w:line="223" w:lineRule="auto"/>
        <w:jc w:val="right"/>
        <w:bidi/>
      </w:pPr>
      <w:r>
        <w:rPr>
          <w:rFonts w:ascii="Arial" w:hAnsi="Arial"/>
          <w:sz w:val="16"/>
        </w:rPr>
        <w:t>166.29  هر یک از هواداران یک زوج نظامی به تنهایی خدمت می‌کند.</w:t>
      </w:r>
    </w:p>
    <w:p>
      <w:pPr>
        <w:spacing w:after="28" w:line="216" w:lineRule="auto"/>
        <w:ind w:left="259"/>
        <w:jc w:val="left"/>
      </w:pPr>
      <w:r>
        <w:rPr>
          <w:rFonts w:ascii="Arial" w:hAnsi="Arial"/>
          <w:color w:val="525252"/>
          <w:sz w:val="13"/>
        </w:rPr>
        <w:t>Each Airman of a military couple serves in his or her own right.</w:t>
      </w:r>
    </w:p>
    <w:p>
      <w:pPr>
        <w:spacing w:after="20" w:line="223" w:lineRule="auto"/>
        <w:jc w:val="right"/>
        <w:bidi/>
      </w:pPr>
      <w:r>
        <w:rPr>
          <w:rFonts w:ascii="Arial" w:hAnsi="Arial"/>
          <w:sz w:val="16"/>
        </w:rPr>
        <w:t>166.30  زوج‌های نظامی باید تعهدات ذاتی همه هوانوردان را انجام دهند.</w:t>
      </w:r>
    </w:p>
    <w:p>
      <w:pPr>
        <w:spacing w:after="28" w:line="216" w:lineRule="auto"/>
        <w:ind w:left="259"/>
        <w:jc w:val="left"/>
      </w:pPr>
      <w:r>
        <w:rPr>
          <w:rFonts w:ascii="Arial" w:hAnsi="Arial"/>
          <w:color w:val="525252"/>
          <w:sz w:val="13"/>
        </w:rPr>
        <w:t>Military couples must fulfill the obligations inherent to all Airmen.</w:t>
      </w:r>
    </w:p>
    <w:p>
      <w:pPr>
        <w:spacing w:after="20" w:line="223" w:lineRule="auto"/>
        <w:jc w:val="right"/>
        <w:bidi/>
      </w:pPr>
      <w:r>
        <w:rPr>
          <w:rFonts w:ascii="Arial" w:hAnsi="Arial"/>
          <w:sz w:val="16"/>
        </w:rPr>
        <w:t>166.31  آنها برای تکالیفی در نظر گرفته می‌شوند تا الزامات نیروی انسانی معتبر را تکمیل کنند و باید وظایفی را انجام دهند که به مهارت‌هایی که در آن آموزش دیده‌اند نیاز دارد.</w:t>
      </w:r>
    </w:p>
    <w:p>
      <w:pPr>
        <w:spacing w:after="28" w:line="216" w:lineRule="auto"/>
        <w:ind w:left="259"/>
        <w:jc w:val="left"/>
      </w:pPr>
      <w:r>
        <w:rPr>
          <w:rFonts w:ascii="Arial" w:hAnsi="Arial"/>
          <w:color w:val="525252"/>
          <w:sz w:val="13"/>
        </w:rPr>
        <w:t>They are considered for assignments to fill valid manning requirements and must perform duties that require the skills in which they are trained.</w:t>
      </w:r>
    </w:p>
    <w:p>
      <w:pPr>
        <w:spacing w:after="20" w:line="223" w:lineRule="auto"/>
        <w:jc w:val="right"/>
        <w:bidi/>
      </w:pPr>
      <w:r>
        <w:rPr>
          <w:rFonts w:ascii="Arial" w:hAnsi="Arial"/>
          <w:sz w:val="16"/>
        </w:rPr>
        <w:t>166.32  مشروط بر رعایت این معیارها، زوج‌های نظامی ممکن است برای مأموریت‌هایی در نظر گرفته شوند که بتوانند اقامتگاه مشترک خود را حفظ کنند.</w:t>
      </w:r>
    </w:p>
    <w:p>
      <w:pPr>
        <w:spacing w:after="28" w:line="216" w:lineRule="auto"/>
        <w:ind w:left="259"/>
        <w:jc w:val="left"/>
      </w:pPr>
      <w:r>
        <w:rPr>
          <w:rFonts w:ascii="Arial" w:hAnsi="Arial"/>
          <w:color w:val="525252"/>
          <w:sz w:val="13"/>
        </w:rPr>
        <w:t>Provided these criteria are met, military couples may be considered for assignments where they can maintain a joint residence.</w:t>
      </w:r>
    </w:p>
    <w:p>
      <w:pPr>
        <w:spacing w:after="20" w:line="223" w:lineRule="auto"/>
        <w:jc w:val="right"/>
        <w:bidi/>
      </w:pPr>
      <w:r>
        <w:rPr>
          <w:rFonts w:ascii="Arial" w:hAnsi="Arial"/>
          <w:sz w:val="16"/>
        </w:rPr>
        <w:t>166.33  زوج‌های نظامی نباید</w:t>
      </w:r>
    </w:p>
    <w:p>
      <w:pPr>
        <w:spacing w:after="28" w:line="216" w:lineRule="auto"/>
        <w:ind w:left="259"/>
        <w:jc w:val="left"/>
      </w:pPr>
      <w:r>
        <w:rPr>
          <w:rFonts w:ascii="Arial" w:hAnsi="Arial"/>
          <w:color w:val="525252"/>
          <w:sz w:val="13"/>
        </w:rPr>
        <w:t>Military couples should not</w:t>
      </w:r>
    </w:p>
    <w:p>
      <w:r>
        <w:br w:type="page"/>
      </w:r>
    </w:p>
    <w:p>
      <w:pPr>
        <w:spacing w:after="60"/>
        <w:jc w:val="right"/>
        <w:bidi/>
      </w:pPr>
      <w:r>
        <w:rPr>
          <w:rFonts w:ascii="Arial" w:hAnsi="Arial"/>
          <w:b/>
          <w:color w:val="1F4D78"/>
          <w:sz w:val="19"/>
        </w:rPr>
        <w:t>هفتهٔ 167  |  صفحهٔ منبع: 183</w:t>
      </w:r>
    </w:p>
    <w:p>
      <w:pPr>
        <w:spacing w:after="20" w:line="223" w:lineRule="auto"/>
        <w:jc w:val="right"/>
        <w:bidi/>
      </w:pPr>
      <w:r>
        <w:rPr>
          <w:rFonts w:ascii="Arial" w:hAnsi="Arial"/>
          <w:sz w:val="16"/>
        </w:rPr>
        <w:t>167.01  در مورد خدمات آینده، توسعه شغلی یا برنامه‌ریزی خانواده بر اساس این فرض که آنها همیشه در یک مکان منصوب می‌شوند یا اینکه تخصیص همسر تضمین شده است، تصمیم بگیرید.</w:t>
      </w:r>
    </w:p>
    <w:p>
      <w:pPr>
        <w:spacing w:after="28" w:line="216" w:lineRule="auto"/>
        <w:ind w:left="259"/>
        <w:jc w:val="left"/>
      </w:pPr>
      <w:r>
        <w:rPr>
          <w:rFonts w:ascii="Arial" w:hAnsi="Arial"/>
          <w:color w:val="525252"/>
          <w:sz w:val="13"/>
        </w:rPr>
        <w:t>make decisions on future service, career development, or family planning based on the assumption they will always be assigned to the same location or that join spouse assignment is guaranteed.</w:t>
      </w:r>
    </w:p>
    <w:p>
      <w:pPr>
        <w:spacing w:after="20" w:line="223" w:lineRule="auto"/>
        <w:jc w:val="right"/>
        <w:bidi/>
      </w:pPr>
      <w:r>
        <w:rPr>
          <w:rFonts w:ascii="Arial" w:hAnsi="Arial"/>
          <w:sz w:val="16"/>
        </w:rPr>
        <w:t>167.02  برنامه‌های تکلیف خانه محور و پیگیری.</w:t>
      </w:r>
    </w:p>
    <w:p>
      <w:pPr>
        <w:spacing w:after="28" w:line="216" w:lineRule="auto"/>
        <w:ind w:left="259"/>
        <w:jc w:val="left"/>
      </w:pPr>
      <w:r>
        <w:rPr>
          <w:rFonts w:ascii="Arial" w:hAnsi="Arial"/>
          <w:color w:val="525252"/>
          <w:sz w:val="13"/>
        </w:rPr>
        <w:t>Home-Basing and Follow-On Assignment Programs.</w:t>
      </w:r>
    </w:p>
    <w:p>
      <w:pPr>
        <w:spacing w:after="20" w:line="223" w:lineRule="auto"/>
        <w:jc w:val="right"/>
        <w:bidi/>
      </w:pPr>
      <w:r>
        <w:rPr>
          <w:rFonts w:ascii="Arial" w:hAnsi="Arial"/>
          <w:sz w:val="16"/>
        </w:rPr>
        <w:t>167.03  هدف از برنامه‌های تکلیف مستقر در خانه و پیگیری، کاهش هزینه‌های PCS، کاهش آشفتگی PCS، و افزایش ثبات برای نیروهای هوایی و خانواده‌های آنها با در نظر گرفتن تعیین تکلیف قبلی است.</w:t>
      </w:r>
    </w:p>
    <w:p>
      <w:pPr>
        <w:spacing w:after="28" w:line="216" w:lineRule="auto"/>
        <w:ind w:left="259"/>
        <w:jc w:val="left"/>
      </w:pPr>
      <w:r>
        <w:rPr>
          <w:rFonts w:ascii="Arial" w:hAnsi="Arial"/>
          <w:color w:val="525252"/>
          <w:sz w:val="13"/>
        </w:rPr>
        <w:t>The purpose of the home-basing and follow-on assignment programs is to reduce PCS costs, reduce PCS turbulence, and increase stability for Airmen and their families by providing advance assignment consideration.</w:t>
      </w:r>
    </w:p>
    <w:p>
      <w:pPr>
        <w:spacing w:after="20" w:line="223" w:lineRule="auto"/>
        <w:jc w:val="right"/>
        <w:bidi/>
      </w:pPr>
      <w:r>
        <w:rPr>
          <w:rFonts w:ascii="Arial" w:hAnsi="Arial"/>
          <w:sz w:val="16"/>
        </w:rPr>
        <w:t>167.04  بخش پرسنل نظامی خدمت رسانی باید همه هوانوردان واجد شرایط را که برای یک تور خارج از کشور بدون همراه ۱۵ ماه یا کمتر انتخاب می‌شوند، در این برنامه‌ها توضیح دهد.</w:t>
      </w:r>
    </w:p>
    <w:p>
      <w:pPr>
        <w:spacing w:after="28" w:line="216" w:lineRule="auto"/>
        <w:ind w:left="259"/>
        <w:jc w:val="left"/>
      </w:pPr>
      <w:r>
        <w:rPr>
          <w:rFonts w:ascii="Arial" w:hAnsi="Arial"/>
          <w:color w:val="525252"/>
          <w:sz w:val="13"/>
        </w:rPr>
        <w:t>The servicing military personnel section must brief all eligible Airmen selected for or electing to serve an unaccompanied overseas tour of 15 months or less on these programs.</w:t>
      </w:r>
    </w:p>
    <w:p>
      <w:pPr>
        <w:spacing w:after="20" w:line="223" w:lineRule="auto"/>
        <w:jc w:val="right"/>
        <w:bidi/>
      </w:pPr>
      <w:r>
        <w:rPr>
          <w:rFonts w:ascii="Arial" w:hAnsi="Arial"/>
          <w:sz w:val="16"/>
        </w:rPr>
        <w:t>167.05  هوانوردان باید درخواست کتبی برای این برنامه‌ها را بدهند یا رد کنند.</w:t>
      </w:r>
    </w:p>
    <w:p>
      <w:pPr>
        <w:spacing w:after="28" w:line="216" w:lineRule="auto"/>
        <w:ind w:left="259"/>
        <w:jc w:val="left"/>
      </w:pPr>
      <w:r>
        <w:rPr>
          <w:rFonts w:ascii="Arial" w:hAnsi="Arial"/>
          <w:color w:val="525252"/>
          <w:sz w:val="13"/>
        </w:rPr>
        <w:t>Airmen must either apply or decline to apply for these programs in writing.</w:t>
      </w:r>
    </w:p>
    <w:p>
      <w:pPr>
        <w:spacing w:after="20" w:line="223" w:lineRule="auto"/>
        <w:jc w:val="right"/>
        <w:bidi/>
      </w:pPr>
      <w:r>
        <w:rPr>
          <w:rFonts w:ascii="Arial" w:hAnsi="Arial"/>
          <w:sz w:val="16"/>
        </w:rPr>
        <w:t>167.06  واگذاری اعضای خانواده.</w:t>
      </w:r>
    </w:p>
    <w:p>
      <w:pPr>
        <w:spacing w:after="28" w:line="216" w:lineRule="auto"/>
        <w:ind w:left="259"/>
        <w:jc w:val="left"/>
      </w:pPr>
      <w:r>
        <w:rPr>
          <w:rFonts w:ascii="Arial" w:hAnsi="Arial"/>
          <w:color w:val="525252"/>
          <w:sz w:val="13"/>
        </w:rPr>
        <w:t>Assignment of Family Members.</w:t>
      </w:r>
    </w:p>
    <w:p>
      <w:pPr>
        <w:spacing w:after="20" w:line="223" w:lineRule="auto"/>
        <w:jc w:val="right"/>
        <w:bidi/>
      </w:pPr>
      <w:r>
        <w:rPr>
          <w:rFonts w:ascii="Arial" w:hAnsi="Arial"/>
          <w:sz w:val="16"/>
        </w:rPr>
        <w:t>167.07  انتساب اعضای خانواده به همان محل یا واحد وظیفه بلامانع است. با این حال، اعضای خانواده در جایی که یکی از اعضای خانواده یک مقام فرماندهی یا نظارتی بر یکی دیگر از اعضای خانواده داشته باشد یا ممکن است داشته باشد، منصوب نمی‌شوند.</w:t>
      </w:r>
    </w:p>
    <w:p>
      <w:pPr>
        <w:spacing w:after="28" w:line="216" w:lineRule="auto"/>
        <w:ind w:left="259"/>
        <w:jc w:val="left"/>
      </w:pPr>
      <w:r>
        <w:rPr>
          <w:rFonts w:ascii="Arial" w:hAnsi="Arial"/>
          <w:color w:val="525252"/>
          <w:sz w:val="13"/>
        </w:rPr>
        <w:t>Assignment of family members to the same duty location or unit is not prohibited; however, family members will not be assigned where one family member will or may hold a command or supervisory position over another family member.</w:t>
      </w:r>
    </w:p>
    <w:p>
      <w:pPr>
        <w:spacing w:after="20" w:line="223" w:lineRule="auto"/>
        <w:jc w:val="right"/>
        <w:bidi/>
      </w:pPr>
      <w:r>
        <w:rPr>
          <w:rFonts w:ascii="Arial" w:hAnsi="Arial"/>
          <w:sz w:val="16"/>
        </w:rPr>
        <w:t>167.08  چنین تکالیفی منجر به رفتار ترجیحی یا از دست دادن بی‌طرفی می‌شود، یا ممکن است تصوری از آن ایجاد کند، در نتیجه یکپارچگی عملکردهای فرماندهی و نظارتی را به خطر می‌اندازد.</w:t>
      </w:r>
    </w:p>
    <w:p>
      <w:pPr>
        <w:spacing w:after="28" w:line="216" w:lineRule="auto"/>
        <w:ind w:left="259"/>
        <w:jc w:val="left"/>
      </w:pPr>
      <w:r>
        <w:rPr>
          <w:rFonts w:ascii="Arial" w:hAnsi="Arial"/>
          <w:color w:val="525252"/>
          <w:sz w:val="13"/>
        </w:rPr>
        <w:t>Such assignments result in, or may create a perception of, preferential treatment or loss of impartiality, thereby compromising the integrity of command and supervisory functions.</w:t>
      </w:r>
    </w:p>
    <w:p>
      <w:pPr>
        <w:spacing w:after="20" w:line="223" w:lineRule="auto"/>
        <w:jc w:val="right"/>
        <w:bidi/>
      </w:pPr>
      <w:r>
        <w:rPr>
          <w:rFonts w:ascii="Arial" w:hAnsi="Arial"/>
          <w:sz w:val="16"/>
        </w:rPr>
        <w:t>167.09  برنامه تخصیص پایه تثبیت شده داوطلبانه (فقط ثبت‌نام شده).</w:t>
      </w:r>
    </w:p>
    <w:p>
      <w:pPr>
        <w:spacing w:after="28" w:line="216" w:lineRule="auto"/>
        <w:ind w:left="259"/>
        <w:jc w:val="left"/>
      </w:pPr>
      <w:r>
        <w:rPr>
          <w:rFonts w:ascii="Arial" w:hAnsi="Arial"/>
          <w:color w:val="525252"/>
          <w:sz w:val="13"/>
        </w:rPr>
        <w:t>Voluntary Stabilized Base Assignment Program (Enlisted Only).</w:t>
      </w:r>
    </w:p>
    <w:p>
      <w:pPr>
        <w:spacing w:after="20" w:line="223" w:lineRule="auto"/>
        <w:jc w:val="right"/>
        <w:bidi/>
      </w:pPr>
      <w:r>
        <w:rPr>
          <w:rFonts w:ascii="Arial" w:hAnsi="Arial"/>
          <w:sz w:val="16"/>
        </w:rPr>
        <w:t>167.10  برنامه تثبیت شده داوطلبانه پایگاه تثبیت شده، یک تور تثبیت شده برای نیروهای هوایی در ازای داوطلب شدن برای انجام مأموریت به یک مکان تاریخی که پر کردن آن دشوار است، فراهم می‌کند.</w:t>
      </w:r>
    </w:p>
    <w:p>
      <w:pPr>
        <w:spacing w:after="28" w:line="216" w:lineRule="auto"/>
        <w:ind w:left="259"/>
        <w:jc w:val="left"/>
      </w:pPr>
      <w:r>
        <w:rPr>
          <w:rFonts w:ascii="Arial" w:hAnsi="Arial"/>
          <w:color w:val="525252"/>
          <w:sz w:val="13"/>
        </w:rPr>
        <w:t>The voluntary stabilized base assignment program provides Airmen a stabilized tour in exchange for volunteering for an assignment to a historically hard-to-fill location.</w:t>
      </w:r>
    </w:p>
    <w:p>
      <w:pPr>
        <w:spacing w:after="20" w:line="223" w:lineRule="auto"/>
        <w:jc w:val="right"/>
        <w:bidi/>
      </w:pPr>
      <w:r>
        <w:rPr>
          <w:rFonts w:ascii="Arial" w:hAnsi="Arial"/>
          <w:sz w:val="16"/>
        </w:rPr>
        <w:t>167.11  طول تور طولانی مدت در خارج از کشور.</w:t>
      </w:r>
    </w:p>
    <w:p>
      <w:pPr>
        <w:spacing w:after="28" w:line="216" w:lineRule="auto"/>
        <w:ind w:left="259"/>
        <w:jc w:val="left"/>
      </w:pPr>
      <w:r>
        <w:rPr>
          <w:rFonts w:ascii="Arial" w:hAnsi="Arial"/>
          <w:color w:val="525252"/>
          <w:sz w:val="13"/>
        </w:rPr>
        <w:t>Extended Long Overseas Tour Length.</w:t>
      </w:r>
    </w:p>
    <w:p>
      <w:pPr>
        <w:spacing w:after="20" w:line="223" w:lineRule="auto"/>
        <w:jc w:val="right"/>
        <w:bidi/>
      </w:pPr>
      <w:r>
        <w:rPr>
          <w:rFonts w:ascii="Arial" w:hAnsi="Arial"/>
          <w:sz w:val="16"/>
        </w:rPr>
        <w:t>167.12  برنامه داوطلبانه تورهای طولانی مدت خارج از کشور برای هوانوردانی اعمال می‌شود که برای PCS در خارج از کشور به یک مکان تور طولانی داوطلب می‌شوند (طول تور همراه ۲۴ ماه یا بیشتر و طول تور بدون همراه بیش از ۱۵ ماه است).</w:t>
      </w:r>
    </w:p>
    <w:p>
      <w:pPr>
        <w:spacing w:after="28" w:line="216" w:lineRule="auto"/>
        <w:ind w:left="259"/>
        <w:jc w:val="left"/>
      </w:pPr>
      <w:r>
        <w:rPr>
          <w:rFonts w:ascii="Arial" w:hAnsi="Arial"/>
          <w:color w:val="525252"/>
          <w:sz w:val="13"/>
        </w:rPr>
        <w:t>The extended long overseas tour volunteer program applies to Airmen who volunteer for a PCS overseas to a long-tour location (accompanied tour length is 24 months or more and unaccompanied tour length is more than 15 months).</w:t>
      </w:r>
    </w:p>
    <w:p>
      <w:pPr>
        <w:spacing w:after="20" w:line="223" w:lineRule="auto"/>
        <w:jc w:val="right"/>
        <w:bidi/>
      </w:pPr>
      <w:r>
        <w:rPr>
          <w:rFonts w:ascii="Arial" w:hAnsi="Arial"/>
          <w:sz w:val="16"/>
        </w:rPr>
        <w:t>167.13  هوانوردانی که برای یک تور طولانی مدت خارج از کشور داوطلب می‌شوند، موافقت می‌کنند که طول استاندارد تور را به اضافه ۱۲ ماه دیگر انجام دهند.</w:t>
      </w:r>
    </w:p>
    <w:p>
      <w:pPr>
        <w:spacing w:after="28" w:line="216" w:lineRule="auto"/>
        <w:ind w:left="259"/>
        <w:jc w:val="left"/>
      </w:pPr>
      <w:r>
        <w:rPr>
          <w:rFonts w:ascii="Arial" w:hAnsi="Arial"/>
          <w:color w:val="525252"/>
          <w:sz w:val="13"/>
        </w:rPr>
        <w:t>Airmen who volunteer for an extended long overseas tour agree to serve the standard tour length plus an additional 12 months.</w:t>
      </w:r>
    </w:p>
    <w:p>
      <w:pPr>
        <w:spacing w:after="20" w:line="223" w:lineRule="auto"/>
        <w:jc w:val="right"/>
        <w:bidi/>
      </w:pPr>
      <w:r>
        <w:rPr>
          <w:rFonts w:ascii="Arial" w:hAnsi="Arial"/>
          <w:sz w:val="16"/>
        </w:rPr>
        <w:t>167.14  مدت تور ۱۲ ماهه تمدید شده علاوه بر طول تور طولانی عادی (همراه یا بدون همراه) است.</w:t>
      </w:r>
    </w:p>
    <w:p>
      <w:pPr>
        <w:spacing w:after="28" w:line="216" w:lineRule="auto"/>
        <w:ind w:left="259"/>
        <w:jc w:val="left"/>
      </w:pPr>
      <w:r>
        <w:rPr>
          <w:rFonts w:ascii="Arial" w:hAnsi="Arial"/>
          <w:color w:val="525252"/>
          <w:sz w:val="13"/>
        </w:rPr>
        <w:t>The 12-month extended tour period is in addition to the normal (accompanied or unaccompanied) long tour length.</w:t>
      </w:r>
    </w:p>
    <w:p>
      <w:pPr>
        <w:spacing w:after="20" w:line="223" w:lineRule="auto"/>
        <w:jc w:val="right"/>
        <w:bidi/>
      </w:pPr>
      <w:r>
        <w:rPr>
          <w:rFonts w:ascii="Arial" w:hAnsi="Arial"/>
          <w:sz w:val="16"/>
        </w:rPr>
        <w:t>167.15  تغییر در وضعیت بر قابلیت نگهداری خدماتی که باید به دست آید و مدت توری که عضو نیروی هوایی ملزم به خدمت است تأثیر می‌گذارد.</w:t>
      </w:r>
    </w:p>
    <w:p>
      <w:pPr>
        <w:spacing w:after="28" w:line="216" w:lineRule="auto"/>
        <w:ind w:left="259"/>
        <w:jc w:val="left"/>
      </w:pPr>
      <w:r>
        <w:rPr>
          <w:rFonts w:ascii="Arial" w:hAnsi="Arial"/>
          <w:color w:val="525252"/>
          <w:sz w:val="13"/>
        </w:rPr>
        <w:t>A change in status affects the service retainability that must be obtained and the tour length the Airman will be required to serve.</w:t>
      </w:r>
    </w:p>
    <w:p>
      <w:pPr>
        <w:spacing w:after="20" w:line="223" w:lineRule="auto"/>
        <w:jc w:val="right"/>
        <w:bidi/>
      </w:pPr>
      <w:r>
        <w:rPr>
          <w:rFonts w:ascii="Arial" w:hAnsi="Arial"/>
          <w:sz w:val="16"/>
        </w:rPr>
        <w:t>167.16  الزام برای حفظ خدمات اضافی ممکن است یک عضو نیروی هوایی را مجبور به تمدید یا ثبت‌نام مجدد کند و می‌تواند بر محاسبه پاداش حفظ انتخابی تأثیر بگذارد.</w:t>
      </w:r>
    </w:p>
    <w:p>
      <w:pPr>
        <w:spacing w:after="28" w:line="216" w:lineRule="auto"/>
        <w:ind w:left="259"/>
        <w:jc w:val="left"/>
      </w:pPr>
      <w:r>
        <w:rPr>
          <w:rFonts w:ascii="Arial" w:hAnsi="Arial"/>
          <w:color w:val="525252"/>
          <w:sz w:val="13"/>
        </w:rPr>
        <w:t>The requirement for additional service retainability may force an Airman to extend or reenlist and could affect selective retention bonus calculation.</w:t>
      </w:r>
    </w:p>
    <w:p>
      <w:pPr>
        <w:spacing w:after="20" w:line="223" w:lineRule="auto"/>
        <w:jc w:val="right"/>
        <w:bidi/>
      </w:pPr>
      <w:r>
        <w:rPr>
          <w:rFonts w:ascii="Arial" w:hAnsi="Arial"/>
          <w:sz w:val="16"/>
        </w:rPr>
        <w:t>167.17  داوطلبان تورهای خارجی طولانی مدت بر اساس اولویت‌های تعیین‌شده USAF، بالاتر از داوطلبان استاندارد تورهای خارج از کشور در نظر گرفته می‌شوند.</w:t>
      </w:r>
    </w:p>
    <w:p>
      <w:pPr>
        <w:spacing w:after="28" w:line="216" w:lineRule="auto"/>
        <w:ind w:left="259"/>
        <w:jc w:val="left"/>
      </w:pPr>
      <w:r>
        <w:rPr>
          <w:rFonts w:ascii="Arial" w:hAnsi="Arial"/>
          <w:color w:val="525252"/>
          <w:sz w:val="13"/>
        </w:rPr>
        <w:t>Extended long overseas tour volunteers are considered ahead of standard overseas tour volunteers according to established USAF priorities.</w:t>
      </w:r>
    </w:p>
    <w:p>
      <w:pPr>
        <w:spacing w:after="20" w:line="223" w:lineRule="auto"/>
        <w:jc w:val="right"/>
        <w:bidi/>
      </w:pPr>
      <w:r>
        <w:rPr>
          <w:rFonts w:ascii="Arial" w:hAnsi="Arial"/>
          <w:sz w:val="16"/>
        </w:rPr>
        <w:t>167.18  وظیفه موقت.</w:t>
      </w:r>
    </w:p>
    <w:p>
      <w:pPr>
        <w:spacing w:after="28" w:line="216" w:lineRule="auto"/>
        <w:ind w:left="259"/>
        <w:jc w:val="left"/>
      </w:pPr>
      <w:r>
        <w:rPr>
          <w:rFonts w:ascii="Arial" w:hAnsi="Arial"/>
          <w:color w:val="525252"/>
          <w:sz w:val="13"/>
        </w:rPr>
        <w:t>Temporary Duty.</w:t>
      </w:r>
    </w:p>
    <w:p>
      <w:pPr>
        <w:spacing w:after="20" w:line="223" w:lineRule="auto"/>
        <w:jc w:val="right"/>
        <w:bidi/>
      </w:pPr>
      <w:r>
        <w:rPr>
          <w:rFonts w:ascii="Arial" w:hAnsi="Arial"/>
          <w:sz w:val="16"/>
        </w:rPr>
        <w:t>167.19  حداکثر دوره وظیفه موقت در هر مکان در یک دوره ۱۲ ماهه ۱۸۰ روز است مگر اینکه وزیر نیروی هوایی معافیت اعطا کند.</w:t>
      </w:r>
    </w:p>
    <w:p>
      <w:pPr>
        <w:spacing w:after="28" w:line="216" w:lineRule="auto"/>
        <w:ind w:left="259"/>
        <w:jc w:val="left"/>
      </w:pPr>
      <w:r>
        <w:rPr>
          <w:rFonts w:ascii="Arial" w:hAnsi="Arial"/>
          <w:color w:val="525252"/>
          <w:sz w:val="13"/>
        </w:rPr>
        <w:t>The maximum temporary duty period at any one location in a 12-month period is 180 days unless the Secretary of the Air Force grants a waiver.</w:t>
      </w:r>
    </w:p>
    <w:p>
      <w:pPr>
        <w:spacing w:after="20" w:line="223" w:lineRule="auto"/>
        <w:jc w:val="right"/>
        <w:bidi/>
      </w:pPr>
      <w:r>
        <w:rPr>
          <w:rFonts w:ascii="Arial" w:hAnsi="Arial"/>
          <w:sz w:val="16"/>
        </w:rPr>
        <w:t>167.20  تا حد ممکن، هوانوردان برای مأموریت غیرارادی خارج از کشور در حین انجام انواع خاصی از وظایف موقت انتخاب نمی‌شوند.</w:t>
      </w:r>
    </w:p>
    <w:p>
      <w:pPr>
        <w:spacing w:after="28" w:line="216" w:lineRule="auto"/>
        <w:ind w:left="259"/>
        <w:jc w:val="left"/>
      </w:pPr>
      <w:r>
        <w:rPr>
          <w:rFonts w:ascii="Arial" w:hAnsi="Arial"/>
          <w:color w:val="525252"/>
          <w:sz w:val="13"/>
        </w:rPr>
        <w:t>To the degree possible, Airmen are not selected for involuntary overseas assignment while performing certain kinds of temporary duty.</w:t>
      </w:r>
    </w:p>
    <w:p>
      <w:pPr>
        <w:spacing w:after="20" w:line="223" w:lineRule="auto"/>
        <w:jc w:val="right"/>
        <w:bidi/>
      </w:pPr>
      <w:r>
        <w:rPr>
          <w:rFonts w:ascii="Arial" w:hAnsi="Arial"/>
          <w:sz w:val="16"/>
        </w:rPr>
        <w:t>167.21  در صورت انتخاب، گزارش حداکثر تا تاریخ ۱۲۰ روز از تاریخ تکمیل وظیفه موقت نخواهد بود.</w:t>
      </w:r>
    </w:p>
    <w:p>
      <w:pPr>
        <w:spacing w:after="28" w:line="216" w:lineRule="auto"/>
        <w:ind w:left="259"/>
        <w:jc w:val="left"/>
      </w:pPr>
      <w:r>
        <w:rPr>
          <w:rFonts w:ascii="Arial" w:hAnsi="Arial"/>
          <w:color w:val="525252"/>
          <w:sz w:val="13"/>
        </w:rPr>
        <w:t>If selected, the report no later than date will not be within 120 days of the temporary duty completion date.</w:t>
      </w:r>
    </w:p>
    <w:p>
      <w:pPr>
        <w:spacing w:before="60" w:after="28"/>
        <w:jc w:val="right"/>
        <w:bidi/>
      </w:pPr>
      <w:r>
        <w:rPr>
          <w:b/>
          <w:color w:val="1F4D78"/>
          <w:sz w:val="18"/>
        </w:rPr>
        <w:t>10.5. قابلیت نگهداری خدمات</w:t>
      </w:r>
    </w:p>
    <w:p>
      <w:pPr>
        <w:spacing w:after="20"/>
        <w:ind w:left="259"/>
        <w:jc w:val="left"/>
      </w:pPr>
      <w:r>
        <w:rPr>
          <w:color w:val="555555"/>
          <w:sz w:val="12"/>
        </w:rPr>
        <w:t>10.5. Service Retainability</w:t>
      </w:r>
    </w:p>
    <w:p>
      <w:pPr>
        <w:spacing w:after="20" w:line="223" w:lineRule="auto"/>
        <w:jc w:val="right"/>
        <w:bidi/>
      </w:pPr>
      <w:r>
        <w:rPr>
          <w:rFonts w:ascii="Arial" w:hAnsi="Arial"/>
          <w:sz w:val="16"/>
        </w:rPr>
        <w:t>167.23  پس از انتخاب برای انتساب، یک عضو نیروی هوایی باید بسته به نوع جابجایی PCS حداقل دوره‌های معینی از خدمات اجباری را داشته باشد یا بتواند به دست آورد.</w:t>
      </w:r>
    </w:p>
    <w:p>
      <w:pPr>
        <w:spacing w:after="28" w:line="216" w:lineRule="auto"/>
        <w:ind w:left="259"/>
        <w:jc w:val="left"/>
      </w:pPr>
      <w:r>
        <w:rPr>
          <w:rFonts w:ascii="Arial" w:hAnsi="Arial"/>
          <w:color w:val="525252"/>
          <w:sz w:val="13"/>
        </w:rPr>
        <w:t>Upon selection for assignment, an Airman must have or be able to obtain certain minimum periods of obligated service depending on the type of PCS move.</w:t>
      </w:r>
    </w:p>
    <w:p>
      <w:pPr>
        <w:spacing w:after="20" w:line="223" w:lineRule="auto"/>
        <w:jc w:val="right"/>
        <w:bidi/>
      </w:pPr>
      <w:r>
        <w:rPr>
          <w:rFonts w:ascii="Arial" w:hAnsi="Arial"/>
          <w:sz w:val="16"/>
        </w:rPr>
        <w:t>167.24  این قابلیت حفظ خدمات متعهد تضمین می‌کند که یک عضو نیروی هوایی یک دوره از وضعیت رگاف به اندازه کافی طولانی باقی می‌ماند تا هزینه‌های مربوط به PCS را جبران کند.</w:t>
      </w:r>
    </w:p>
    <w:p>
      <w:pPr>
        <w:spacing w:after="28" w:line="216" w:lineRule="auto"/>
        <w:ind w:left="259"/>
        <w:jc w:val="left"/>
      </w:pPr>
      <w:r>
        <w:rPr>
          <w:rFonts w:ascii="Arial" w:hAnsi="Arial"/>
          <w:color w:val="525252"/>
          <w:sz w:val="13"/>
        </w:rPr>
        <w:t>This committed service retainability ensures an Airman has a period of RegAF status remaining long enough to offset the costs associated with a PCS.</w:t>
      </w:r>
    </w:p>
    <w:p>
      <w:pPr>
        <w:spacing w:after="20" w:line="223" w:lineRule="auto"/>
        <w:jc w:val="right"/>
        <w:bidi/>
      </w:pPr>
      <w:r>
        <w:rPr>
          <w:rFonts w:ascii="Arial" w:hAnsi="Arial"/>
          <w:sz w:val="16"/>
        </w:rPr>
        <w:t>167.25  هوانوردانی که قابلیت ماندگاری ندارند ممکن است از کسب قابلیت ماندگاری خودداری کنند یا در صورت واجد شرایط بودن، ممکن است به جای پذیرش PCS بازنشسته شوند.</w:t>
      </w:r>
    </w:p>
    <w:p>
      <w:pPr>
        <w:spacing w:after="28" w:line="216" w:lineRule="auto"/>
        <w:ind w:left="259"/>
        <w:jc w:val="left"/>
      </w:pPr>
      <w:r>
        <w:rPr>
          <w:rFonts w:ascii="Arial" w:hAnsi="Arial"/>
          <w:color w:val="525252"/>
          <w:sz w:val="13"/>
        </w:rPr>
        <w:t>Airmen who do not have retainability may decline to obtain retainability or, if eligible, may retire instead of accepting a PCS.</w:t>
      </w:r>
    </w:p>
    <w:p>
      <w:pPr>
        <w:spacing w:after="20" w:line="223" w:lineRule="auto"/>
        <w:jc w:val="right"/>
        <w:bidi/>
      </w:pPr>
      <w:r>
        <w:rPr>
          <w:rFonts w:ascii="Arial" w:hAnsi="Arial"/>
          <w:sz w:val="16"/>
        </w:rPr>
        <w:t>167.26  امتناع از به دست آوردن قابلیت ماندگاری بر یک هوانورد شغلی تأثیر می‌گذارد و او را برای ترفیع و ثبت‌نام مجدد واجد شرایط نمی‌کند.</w:t>
      </w:r>
    </w:p>
    <w:p>
      <w:pPr>
        <w:spacing w:after="28" w:line="216" w:lineRule="auto"/>
        <w:ind w:left="259"/>
        <w:jc w:val="left"/>
      </w:pPr>
      <w:r>
        <w:rPr>
          <w:rFonts w:ascii="Arial" w:hAnsi="Arial"/>
          <w:color w:val="525252"/>
          <w:sz w:val="13"/>
        </w:rPr>
        <w:t>Declining to obtain retainability will affect a career Airman by making him or her ineligible for promotion and reenlistment.</w:t>
      </w:r>
    </w:p>
    <w:p>
      <w:pPr>
        <w:spacing w:after="20" w:line="223" w:lineRule="auto"/>
        <w:jc w:val="right"/>
        <w:bidi/>
      </w:pPr>
      <w:r>
        <w:rPr>
          <w:rFonts w:ascii="Arial" w:hAnsi="Arial"/>
          <w:sz w:val="16"/>
        </w:rPr>
        <w:t>167.27  تور خارج از کشور متوالی.</w:t>
      </w:r>
    </w:p>
    <w:p>
      <w:pPr>
        <w:spacing w:after="28" w:line="216" w:lineRule="auto"/>
        <w:ind w:left="259"/>
        <w:jc w:val="left"/>
      </w:pPr>
      <w:r>
        <w:rPr>
          <w:rFonts w:ascii="Arial" w:hAnsi="Arial"/>
          <w:color w:val="525252"/>
          <w:sz w:val="13"/>
        </w:rPr>
        <w:t>Consecutive Overseas Tour.</w:t>
      </w:r>
    </w:p>
    <w:p>
      <w:pPr>
        <w:spacing w:after="20" w:line="223" w:lineRule="auto"/>
        <w:jc w:val="right"/>
        <w:bidi/>
      </w:pPr>
      <w:r>
        <w:rPr>
          <w:rFonts w:ascii="Arial" w:hAnsi="Arial"/>
          <w:sz w:val="16"/>
        </w:rPr>
        <w:t>167.28  اگر یک ایرمن در خارج از کشور خدمت می‌کند و برای یک تور خارجی متوالی یا تور خارجی متوالی در محل داوطلب است، هواپیمای مسافر باید تور کامل تجویز شده را در مکان فعلی و تور کامل تجویز شده خارج از کشور را در مکان جدید یا یک تور کامل دیگر در محل انجام دهد.</w:t>
      </w:r>
    </w:p>
    <w:p>
      <w:pPr>
        <w:spacing w:after="28" w:line="216" w:lineRule="auto"/>
        <w:ind w:left="259"/>
        <w:jc w:val="left"/>
      </w:pPr>
      <w:r>
        <w:rPr>
          <w:rFonts w:ascii="Arial" w:hAnsi="Arial"/>
          <w:color w:val="525252"/>
          <w:sz w:val="13"/>
        </w:rPr>
        <w:t>If an Airman is serving overseas and is a volunteer for a consecutive overseas tour or in-place consecutive overseas tour, the Airman must complete the full-prescribed tour at the current location and the full-prescribed overseas tour at the new location or another full tour in place.</w:t>
      </w:r>
    </w:p>
    <w:p>
      <w:pPr>
        <w:spacing w:after="20" w:line="223" w:lineRule="auto"/>
        <w:jc w:val="right"/>
        <w:bidi/>
      </w:pPr>
      <w:r>
        <w:rPr>
          <w:rFonts w:ascii="Arial" w:hAnsi="Arial"/>
          <w:sz w:val="16"/>
        </w:rPr>
        <w:t>167.29  وابسته به خارج از کشور.</w:t>
      </w:r>
    </w:p>
    <w:p>
      <w:pPr>
        <w:spacing w:after="28" w:line="216" w:lineRule="auto"/>
        <w:ind w:left="259"/>
        <w:jc w:val="left"/>
      </w:pPr>
      <w:r>
        <w:rPr>
          <w:rFonts w:ascii="Arial" w:hAnsi="Arial"/>
          <w:color w:val="525252"/>
          <w:sz w:val="13"/>
        </w:rPr>
        <w:t>Dependent Accompanied Overseas.</w:t>
      </w:r>
    </w:p>
    <w:p>
      <w:pPr>
        <w:spacing w:after="20" w:line="223" w:lineRule="auto"/>
        <w:jc w:val="right"/>
        <w:bidi/>
      </w:pPr>
      <w:r>
        <w:rPr>
          <w:rFonts w:ascii="Arial" w:hAnsi="Arial"/>
          <w:sz w:val="16"/>
        </w:rPr>
        <w:t>167.30  مسافرانی که واجد شرایط هستند و مایلند افراد تحت تکفل آنها با هزینه دولت در طول تورهای خارج از کشور آنها را همراهی کنند، باید طول تور خارج از کشور "همراه با افراد تحت تکفل" را انجام دهند.</w:t>
      </w:r>
    </w:p>
    <w:p>
      <w:pPr>
        <w:spacing w:after="28" w:line="216" w:lineRule="auto"/>
        <w:ind w:left="259"/>
        <w:jc w:val="left"/>
      </w:pPr>
      <w:r>
        <w:rPr>
          <w:rFonts w:ascii="Arial" w:hAnsi="Arial"/>
          <w:color w:val="525252"/>
          <w:sz w:val="13"/>
        </w:rPr>
        <w:t>Airmen who are eligible and desire that their dependents accompany them at government expense during overseas tours, must serve the “accompanied by dependents” overseas tour length.</w:t>
      </w:r>
    </w:p>
    <w:p>
      <w:pPr>
        <w:spacing w:after="20" w:line="223" w:lineRule="auto"/>
        <w:jc w:val="right"/>
        <w:bidi/>
      </w:pPr>
      <w:r>
        <w:rPr>
          <w:rFonts w:ascii="Arial" w:hAnsi="Arial"/>
          <w:sz w:val="16"/>
        </w:rPr>
        <w:t>167.31  این تور معمولا طولانی‌تر از تور بدون همراه است.</w:t>
      </w:r>
    </w:p>
    <w:p>
      <w:pPr>
        <w:spacing w:after="28" w:line="216" w:lineRule="auto"/>
        <w:ind w:left="259"/>
        <w:jc w:val="left"/>
      </w:pPr>
      <w:r>
        <w:rPr>
          <w:rFonts w:ascii="Arial" w:hAnsi="Arial"/>
          <w:color w:val="525252"/>
          <w:sz w:val="13"/>
        </w:rPr>
        <w:t>This tour is normally longer than the unaccompanied tour.</w:t>
      </w:r>
    </w:p>
    <w:p>
      <w:r>
        <w:br w:type="page"/>
      </w:r>
    </w:p>
    <w:p>
      <w:pPr>
        <w:spacing w:after="60"/>
        <w:jc w:val="right"/>
        <w:bidi/>
      </w:pPr>
      <w:r>
        <w:rPr>
          <w:rFonts w:ascii="Arial" w:hAnsi="Arial"/>
          <w:b/>
          <w:color w:val="1F4D78"/>
          <w:sz w:val="19"/>
        </w:rPr>
        <w:t>هفتهٔ 168  |  صفحهٔ منبع: 184</w:t>
      </w:r>
    </w:p>
    <w:p>
      <w:pPr>
        <w:spacing w:after="20" w:line="223" w:lineRule="auto"/>
        <w:jc w:val="right"/>
        <w:bidi/>
      </w:pPr>
      <w:r>
        <w:rPr>
          <w:rFonts w:ascii="Arial" w:hAnsi="Arial"/>
          <w:sz w:val="16"/>
        </w:rPr>
        <w:t>168.01  انتخاب برای ارائه تور همراه طولانی‌تر، مستلزم آن است که هواپیمای مسافر، قابلیت نگهداری خدمات اجباری را برای تور طولانی‌تر به دست آورد.</w:t>
      </w:r>
    </w:p>
    <w:p>
      <w:pPr>
        <w:spacing w:after="28" w:line="216" w:lineRule="auto"/>
        <w:ind w:left="259"/>
        <w:jc w:val="left"/>
      </w:pPr>
      <w:r>
        <w:rPr>
          <w:rFonts w:ascii="Arial" w:hAnsi="Arial"/>
          <w:color w:val="525252"/>
          <w:sz w:val="13"/>
        </w:rPr>
        <w:t>Electing to serve the longer accompanied tour requires the Airman to obtain the obligated service retainability for the longer tour.</w:t>
      </w:r>
    </w:p>
    <w:p>
      <w:pPr>
        <w:spacing w:after="20" w:line="223" w:lineRule="auto"/>
        <w:jc w:val="right"/>
        <w:bidi/>
      </w:pPr>
      <w:r>
        <w:rPr>
          <w:rFonts w:ascii="Arial" w:hAnsi="Arial"/>
          <w:sz w:val="16"/>
        </w:rPr>
        <w:t>168.02  هوانوردانی که واجد شرایط نیستند یا از دریافت خدمات ماندگاری برای طول تور همراه خودداری می‌کنند، مجوز سفر وابسته به هزینه دولت یا حمایت فرماندهی را دریافت نخواهند کرد.</w:t>
      </w:r>
    </w:p>
    <w:p>
      <w:pPr>
        <w:spacing w:after="28" w:line="216" w:lineRule="auto"/>
        <w:ind w:left="259"/>
        <w:jc w:val="left"/>
      </w:pPr>
      <w:r>
        <w:rPr>
          <w:rFonts w:ascii="Arial" w:hAnsi="Arial"/>
          <w:color w:val="525252"/>
          <w:sz w:val="13"/>
        </w:rPr>
        <w:t>Airmen who are either ineligible or decline to obtain the service retainability for the accompanied tour length will not receive approval for dependent travel at the government’s expense or command sponsorship.</w:t>
      </w:r>
    </w:p>
    <w:p>
      <w:pPr>
        <w:spacing w:after="20" w:line="223" w:lineRule="auto"/>
        <w:jc w:val="right"/>
        <w:bidi/>
      </w:pPr>
      <w:r>
        <w:rPr>
          <w:rFonts w:ascii="Arial" w:hAnsi="Arial"/>
          <w:sz w:val="16"/>
        </w:rPr>
        <w:t>168.03  خارج از کشور به قاره ایالات متحده.</w:t>
      </w:r>
    </w:p>
    <w:p>
      <w:pPr>
        <w:spacing w:after="28" w:line="216" w:lineRule="auto"/>
        <w:ind w:left="259"/>
        <w:jc w:val="left"/>
      </w:pPr>
      <w:r>
        <w:rPr>
          <w:rFonts w:ascii="Arial" w:hAnsi="Arial"/>
          <w:color w:val="525252"/>
          <w:sz w:val="13"/>
        </w:rPr>
        <w:t>Overseas to Continental United States.</w:t>
      </w:r>
    </w:p>
    <w:p>
      <w:pPr>
        <w:spacing w:after="20" w:line="223" w:lineRule="auto"/>
        <w:jc w:val="right"/>
        <w:bidi/>
      </w:pPr>
      <w:r>
        <w:rPr>
          <w:rFonts w:ascii="Arial" w:hAnsi="Arial"/>
          <w:sz w:val="16"/>
        </w:rPr>
        <w:t>168.04  تغییر انتساب از خارج از کشور به CONUS مستلزم این است که یک عضو نیروی هوایی در بیشتر موارد حداقل ۱۲ ماه قابلیت حفظ خدمات اجباری داشته باشد یا به دست آورد.</w:t>
      </w:r>
    </w:p>
    <w:p>
      <w:pPr>
        <w:spacing w:after="28" w:line="216" w:lineRule="auto"/>
        <w:ind w:left="259"/>
        <w:jc w:val="left"/>
      </w:pPr>
      <w:r>
        <w:rPr>
          <w:rFonts w:ascii="Arial" w:hAnsi="Arial"/>
          <w:color w:val="525252"/>
          <w:sz w:val="13"/>
        </w:rPr>
        <w:t>Reassignment from overseas to CONUS requires an Airman, in most cases, to have or obtain at least 12 months of obligated service retainability.</w:t>
      </w:r>
    </w:p>
    <w:p>
      <w:pPr>
        <w:spacing w:after="20" w:line="223" w:lineRule="auto"/>
        <w:jc w:val="right"/>
        <w:bidi/>
      </w:pPr>
      <w:r>
        <w:rPr>
          <w:rFonts w:ascii="Arial" w:hAnsi="Arial"/>
          <w:sz w:val="16"/>
        </w:rPr>
        <w:t>168.05  آن دسته از هوانوردانی که در خارج از کشور خدمت می‌کنند و نتوانند ماندگاری لازم را برای انتساب مجدد به CONUS بدست آورند تا تاریخ جدایی خود در منطقه خارج از کشور باقی خواهند ماند.</w:t>
      </w:r>
    </w:p>
    <w:p>
      <w:pPr>
        <w:spacing w:after="28" w:line="216" w:lineRule="auto"/>
        <w:ind w:left="259"/>
        <w:jc w:val="left"/>
      </w:pPr>
      <w:r>
        <w:rPr>
          <w:rFonts w:ascii="Arial" w:hAnsi="Arial"/>
          <w:color w:val="525252"/>
          <w:sz w:val="13"/>
        </w:rPr>
        <w:t>Those Airmen serving overseas who fail to obtain the necessary retainability for reassignment to the CONUS will be retained in the overseas area until their date of separation.</w:t>
      </w:r>
    </w:p>
    <w:p>
      <w:pPr>
        <w:spacing w:after="20" w:line="223" w:lineRule="auto"/>
        <w:jc w:val="right"/>
        <w:bidi/>
      </w:pPr>
      <w:r>
        <w:rPr>
          <w:rFonts w:ascii="Arial" w:hAnsi="Arial"/>
          <w:sz w:val="16"/>
        </w:rPr>
        <w:t>168.06  ایالات متحده قاره‌ای به ایالات متحده قاره‌ای.</w:t>
      </w:r>
    </w:p>
    <w:p>
      <w:pPr>
        <w:spacing w:after="28" w:line="216" w:lineRule="auto"/>
        <w:ind w:left="259"/>
        <w:jc w:val="left"/>
      </w:pPr>
      <w:r>
        <w:rPr>
          <w:rFonts w:ascii="Arial" w:hAnsi="Arial"/>
          <w:color w:val="525252"/>
          <w:sz w:val="13"/>
        </w:rPr>
        <w:t>Continental United States to Continental United States.</w:t>
      </w:r>
    </w:p>
    <w:p>
      <w:pPr>
        <w:spacing w:after="20" w:line="223" w:lineRule="auto"/>
        <w:jc w:val="right"/>
        <w:bidi/>
      </w:pPr>
      <w:r>
        <w:rPr>
          <w:rFonts w:ascii="Arial" w:hAnsi="Arial"/>
          <w:sz w:val="16"/>
        </w:rPr>
        <w:t>168.07  شرط ماندگاری سرویس برای CONUS به CONUS PCS بدون توجه به وضعیت شغلی ۲۴ ماه است.</w:t>
      </w:r>
    </w:p>
    <w:p>
      <w:pPr>
        <w:spacing w:after="28" w:line="216" w:lineRule="auto"/>
        <w:ind w:left="259"/>
        <w:jc w:val="left"/>
      </w:pPr>
      <w:r>
        <w:rPr>
          <w:rFonts w:ascii="Arial" w:hAnsi="Arial"/>
          <w:color w:val="525252"/>
          <w:sz w:val="13"/>
        </w:rPr>
        <w:t>The service retainability requirement for a CONUS to CONUS PCS is 24 months regardless of career status.</w:t>
      </w:r>
    </w:p>
    <w:p>
      <w:pPr>
        <w:spacing w:before="60" w:after="28"/>
        <w:jc w:val="right"/>
        <w:bidi/>
      </w:pPr>
      <w:r>
        <w:rPr>
          <w:b/>
          <w:color w:val="1F4D78"/>
          <w:sz w:val="18"/>
        </w:rPr>
        <w:t>10.6. زمان در ایستگاه مورد نیاز</w:t>
      </w:r>
    </w:p>
    <w:p>
      <w:pPr>
        <w:spacing w:after="20"/>
        <w:ind w:left="259"/>
        <w:jc w:val="left"/>
      </w:pPr>
      <w:r>
        <w:rPr>
          <w:color w:val="555555"/>
          <w:sz w:val="12"/>
        </w:rPr>
        <w:t>10.6. Time on Station Requirements</w:t>
      </w:r>
    </w:p>
    <w:p>
      <w:pPr>
        <w:spacing w:after="20" w:line="223" w:lineRule="auto"/>
        <w:jc w:val="right"/>
        <w:bidi/>
      </w:pPr>
      <w:r>
        <w:rPr>
          <w:rFonts w:ascii="Arial" w:hAnsi="Arial"/>
          <w:sz w:val="16"/>
        </w:rPr>
        <w:t>168.09  حداقل زمان مورد نیاز در ایستگاه وجود دارد تا تداوم یک سازمان و دوره‌های معقول زندگی خانوادگی پایدار را برای هوانوردان فراهم کند.</w:t>
      </w:r>
    </w:p>
    <w:p>
      <w:pPr>
        <w:spacing w:after="28" w:line="216" w:lineRule="auto"/>
        <w:ind w:left="259"/>
        <w:jc w:val="left"/>
      </w:pPr>
      <w:r>
        <w:rPr>
          <w:rFonts w:ascii="Arial" w:hAnsi="Arial"/>
          <w:color w:val="525252"/>
          <w:sz w:val="13"/>
        </w:rPr>
        <w:t>Minimum time on station requirements exist to provide continuity to an organization and reasonable periods of stable family life for Airmen.</w:t>
      </w:r>
    </w:p>
    <w:p>
      <w:pPr>
        <w:spacing w:after="20" w:line="223" w:lineRule="auto"/>
        <w:jc w:val="right"/>
        <w:bidi/>
      </w:pPr>
      <w:r>
        <w:rPr>
          <w:rFonts w:ascii="Arial" w:hAnsi="Arial"/>
          <w:sz w:val="16"/>
        </w:rPr>
        <w:t>168.10  برای اکثر جابجایی‌های PCS در CONUS، هوانوردان ترم اول و هوانوردان حرفه‌ای باید حداقل ۴۸ ماه در ایستگاه حضور داشته باشند، به استثنای هوانوردان دوره اول واجد شرایطی که برای اولین دوره برنامه ترجیحی پایگاه هوایی نیروهای هوایی درخواست می‌کنند.</w:t>
      </w:r>
    </w:p>
    <w:p>
      <w:pPr>
        <w:spacing w:after="28" w:line="216" w:lineRule="auto"/>
        <w:ind w:left="259"/>
        <w:jc w:val="left"/>
      </w:pPr>
      <w:r>
        <w:rPr>
          <w:rFonts w:ascii="Arial" w:hAnsi="Arial"/>
          <w:color w:val="525252"/>
          <w:sz w:val="13"/>
        </w:rPr>
        <w:t>For most PCS moves within the CONUS, first- term Airmen and career Airmen must have at least 48 months of time on station, with the exception of eligible first-term Airmen applying for the first-term Airmen base of preference program.</w:t>
      </w:r>
    </w:p>
    <w:p>
      <w:pPr>
        <w:spacing w:after="20" w:line="223" w:lineRule="auto"/>
        <w:jc w:val="right"/>
        <w:bidi/>
      </w:pPr>
      <w:r>
        <w:rPr>
          <w:rFonts w:ascii="Arial" w:hAnsi="Arial"/>
          <w:sz w:val="16"/>
        </w:rPr>
        <w:t>168.11  هوانوردان دوره اول باید حداقل ۱۲ ماه در ایستگاه حضور داشته باشند تا از CONUS به خارج از کشور بروند.</w:t>
      </w:r>
    </w:p>
    <w:p>
      <w:pPr>
        <w:spacing w:after="28" w:line="216" w:lineRule="auto"/>
        <w:ind w:left="259"/>
        <w:jc w:val="left"/>
      </w:pPr>
      <w:r>
        <w:rPr>
          <w:rFonts w:ascii="Arial" w:hAnsi="Arial"/>
          <w:color w:val="525252"/>
          <w:sz w:val="13"/>
        </w:rPr>
        <w:t>First- term Airmen must have at least 12 months of time on station to go from CONUS to overseas.</w:t>
      </w:r>
    </w:p>
    <w:p>
      <w:pPr>
        <w:spacing w:after="20" w:line="223" w:lineRule="auto"/>
        <w:jc w:val="right"/>
        <w:bidi/>
      </w:pPr>
      <w:r>
        <w:rPr>
          <w:rFonts w:ascii="Arial" w:hAnsi="Arial"/>
          <w:sz w:val="16"/>
        </w:rPr>
        <w:t>168.12  هوانوردان شغلی به ۲۴ ماه زمان در ایستگاه قبل از PCS در خارج از کشور نیاز دارند.</w:t>
      </w:r>
    </w:p>
    <w:p>
      <w:pPr>
        <w:spacing w:after="28" w:line="216" w:lineRule="auto"/>
        <w:ind w:left="259"/>
        <w:jc w:val="left"/>
      </w:pPr>
      <w:r>
        <w:rPr>
          <w:rFonts w:ascii="Arial" w:hAnsi="Arial"/>
          <w:color w:val="525252"/>
          <w:sz w:val="13"/>
        </w:rPr>
        <w:t>Career Airmen require 24 months of time on station before an overseas PCS.</w:t>
      </w:r>
    </w:p>
    <w:p>
      <w:pPr>
        <w:spacing w:before="60" w:after="28"/>
        <w:jc w:val="right"/>
        <w:bidi/>
      </w:pPr>
      <w:r>
        <w:rPr>
          <w:b/>
          <w:color w:val="1F4D78"/>
          <w:sz w:val="18"/>
        </w:rPr>
        <w:t>10.7. فهرست تکالیف سه ماهه ثبت نام شده</w:t>
      </w:r>
    </w:p>
    <w:p>
      <w:pPr>
        <w:spacing w:after="20"/>
        <w:ind w:left="259"/>
        <w:jc w:val="left"/>
      </w:pPr>
      <w:r>
        <w:rPr>
          <w:color w:val="555555"/>
          <w:sz w:val="12"/>
        </w:rPr>
        <w:t>10.7. Enlisted Quarterly Assignments Listing</w:t>
      </w:r>
    </w:p>
    <w:p>
      <w:pPr>
        <w:spacing w:after="20" w:line="223" w:lineRule="auto"/>
        <w:jc w:val="right"/>
        <w:bidi/>
      </w:pPr>
      <w:r>
        <w:rPr>
          <w:rFonts w:ascii="Arial" w:hAnsi="Arial"/>
          <w:sz w:val="16"/>
        </w:rPr>
        <w:t>168.14  فهرست تکالیف سه ماهه ثبت‌نام (EQUAL) فهرستی از الزامات تکالیف موجود برای چرخه‌های تکلیف آتی را در اختیار هوانوردان قرار می‌دهد و به آنها این فرصت را می‌دهد تا ترجیحات شخصی را با نیازهای واقعی USAF هماهنگ کنند.</w:t>
      </w:r>
    </w:p>
    <w:p>
      <w:pPr>
        <w:spacing w:after="28" w:line="216" w:lineRule="auto"/>
        <w:ind w:left="259"/>
        <w:jc w:val="left"/>
      </w:pPr>
      <w:r>
        <w:rPr>
          <w:rFonts w:ascii="Arial" w:hAnsi="Arial"/>
          <w:color w:val="525252"/>
          <w:sz w:val="13"/>
        </w:rPr>
        <w:t>The Enlisted Quarterly Assignment Listing (EQUAL) provides Airmen a listing of the assignment requirements available for upcoming assignment cycles and allows them the opportunity to align personal preferences to actual USAF needs.</w:t>
      </w:r>
    </w:p>
    <w:p>
      <w:pPr>
        <w:spacing w:after="20" w:line="223" w:lineRule="auto"/>
        <w:jc w:val="right"/>
        <w:bidi/>
      </w:pPr>
      <w:r>
        <w:rPr>
          <w:rFonts w:ascii="Arial" w:hAnsi="Arial"/>
          <w:sz w:val="16"/>
        </w:rPr>
        <w:t>168.15  فهرست مشخص می‌کند که چه تکالیفی، بر اساس AFSC و درجه، در مکان‌های خاص در دسترس هستند.</w:t>
      </w:r>
    </w:p>
    <w:p>
      <w:pPr>
        <w:spacing w:after="28" w:line="216" w:lineRule="auto"/>
        <w:ind w:left="259"/>
        <w:jc w:val="left"/>
      </w:pPr>
      <w:r>
        <w:rPr>
          <w:rFonts w:ascii="Arial" w:hAnsi="Arial"/>
          <w:color w:val="525252"/>
          <w:sz w:val="13"/>
        </w:rPr>
        <w:t>The listing identifies what assignments, by AFSC and grade, are available at particular locations.</w:t>
      </w:r>
    </w:p>
    <w:p>
      <w:pPr>
        <w:spacing w:after="20" w:line="223" w:lineRule="auto"/>
        <w:jc w:val="right"/>
        <w:bidi/>
      </w:pPr>
      <w:r>
        <w:rPr>
          <w:rFonts w:ascii="Arial" w:hAnsi="Arial"/>
          <w:sz w:val="16"/>
        </w:rPr>
        <w:t>168.16  EQUAL-پلوس برای تبلیغ الزامات مربوط به وظایف ویژه، مشترک و دپارتمان، در خارج از کشور با اطلاعیه کوتاه، و همه مأموریت‌های سرگروهبان استفاده می‌شود.</w:t>
      </w:r>
    </w:p>
    <w:p>
      <w:pPr>
        <w:spacing w:after="28" w:line="216" w:lineRule="auto"/>
        <w:ind w:left="259"/>
        <w:jc w:val="left"/>
      </w:pPr>
      <w:r>
        <w:rPr>
          <w:rFonts w:ascii="Arial" w:hAnsi="Arial"/>
          <w:color w:val="525252"/>
          <w:sz w:val="13"/>
        </w:rPr>
        <w:t>EQUAL-Plus is used to advertise requirements for special duty, joint and departmental, short-notice overseas, and all Chief Master Sergeant assignments.</w:t>
      </w:r>
    </w:p>
    <w:p>
      <w:pPr>
        <w:spacing w:after="20" w:line="223" w:lineRule="auto"/>
        <w:jc w:val="right"/>
        <w:bidi/>
      </w:pPr>
      <w:r>
        <w:rPr>
          <w:rFonts w:ascii="Arial" w:hAnsi="Arial"/>
          <w:sz w:val="16"/>
        </w:rPr>
        <w:t>168.17  EQUAL-پلوس الزامات آتی، شرایط ویژه مورد نیاز، مکان‌های موجود، دستورالعمل‌های گزارش‌دهی و نقاط تماس را برای اطلاعات بیشتر نشان می‌دهد.</w:t>
      </w:r>
    </w:p>
    <w:p>
      <w:pPr>
        <w:spacing w:after="28" w:line="216" w:lineRule="auto"/>
        <w:ind w:left="259"/>
        <w:jc w:val="left"/>
      </w:pPr>
      <w:r>
        <w:rPr>
          <w:rFonts w:ascii="Arial" w:hAnsi="Arial"/>
          <w:color w:val="525252"/>
          <w:sz w:val="13"/>
        </w:rPr>
        <w:t>EQUAL-Plus shows upcoming requirements, special qualifications needed, available locations, reporting instructions, and points of contact for additional information.</w:t>
      </w:r>
    </w:p>
    <w:p>
      <w:pPr>
        <w:spacing w:after="20" w:line="223" w:lineRule="auto"/>
        <w:jc w:val="right"/>
        <w:bidi/>
      </w:pPr>
      <w:r>
        <w:rPr>
          <w:rFonts w:ascii="Arial" w:hAnsi="Arial"/>
          <w:sz w:val="16"/>
        </w:rPr>
        <w:t>168.18  توجه: هر عضو نیروی هوایی به‌طور جداگانه مسئول ارز و دقت اولویت‌های انتساب است.</w:t>
      </w:r>
    </w:p>
    <w:p>
      <w:pPr>
        <w:spacing w:after="28" w:line="216" w:lineRule="auto"/>
        <w:ind w:left="259"/>
        <w:jc w:val="left"/>
      </w:pPr>
      <w:r>
        <w:rPr>
          <w:rFonts w:ascii="Arial" w:hAnsi="Arial"/>
          <w:color w:val="525252"/>
          <w:sz w:val="13"/>
        </w:rPr>
        <w:t>Note: Each Airman is individually responsible for the currency and accuracy of assignment preferences.</w:t>
      </w:r>
    </w:p>
    <w:p>
      <w:pPr>
        <w:spacing w:after="20" w:line="223" w:lineRule="auto"/>
        <w:jc w:val="right"/>
        <w:bidi/>
      </w:pPr>
      <w:r>
        <w:rPr>
          <w:rFonts w:ascii="Arial" w:hAnsi="Arial"/>
          <w:sz w:val="16"/>
        </w:rPr>
        <w:t>168.19  وقتی تغییری در اولویت یا وضعیت، پیشرفت شغلی یا ازدواج رخ می‌دهد، اولویت‌های تکلیف هوانوردی باید بر این اساس به‌روزرسانی شود.</w:t>
      </w:r>
    </w:p>
    <w:p>
      <w:pPr>
        <w:spacing w:after="28" w:line="216" w:lineRule="auto"/>
        <w:ind w:left="259"/>
        <w:jc w:val="left"/>
      </w:pPr>
      <w:r>
        <w:rPr>
          <w:rFonts w:ascii="Arial" w:hAnsi="Arial"/>
          <w:color w:val="525252"/>
          <w:sz w:val="13"/>
        </w:rPr>
        <w:t>When a change in preference or status occurs, career progression or marriage, Airmen assignment preferences should be updated accordingly.</w:t>
      </w:r>
    </w:p>
    <w:p>
      <w:pPr>
        <w:spacing w:before="60" w:after="28"/>
        <w:jc w:val="right"/>
        <w:bidi/>
      </w:pPr>
      <w:r>
        <w:rPr>
          <w:b/>
          <w:color w:val="1F4D78"/>
          <w:sz w:val="18"/>
        </w:rPr>
        <w:t>10.8. رئیس گروهبان توسعه</w:t>
      </w:r>
    </w:p>
    <w:p>
      <w:pPr>
        <w:spacing w:after="20"/>
        <w:ind w:left="259"/>
        <w:jc w:val="left"/>
      </w:pPr>
      <w:r>
        <w:rPr>
          <w:color w:val="555555"/>
          <w:sz w:val="12"/>
        </w:rPr>
        <w:t>10.8. Chief Master Sergeant Development</w:t>
      </w:r>
    </w:p>
    <w:p>
      <w:pPr>
        <w:spacing w:after="20" w:line="223" w:lineRule="auto"/>
        <w:jc w:val="right"/>
        <w:bidi/>
      </w:pPr>
      <w:r>
        <w:rPr>
          <w:rFonts w:ascii="Arial" w:hAnsi="Arial"/>
          <w:sz w:val="16"/>
        </w:rPr>
        <w:t>168.21  گروه روسا از خط‌مشی‌های تعیین تکلیف سرگروهبان ارشد برای حمایت از توسعه مستمر فرماندهان ارشد استفاده می‌کند.</w:t>
      </w:r>
    </w:p>
    <w:p>
      <w:pPr>
        <w:spacing w:after="28" w:line="216" w:lineRule="auto"/>
        <w:ind w:left="259"/>
        <w:jc w:val="left"/>
      </w:pPr>
      <w:r>
        <w:rPr>
          <w:rFonts w:ascii="Arial" w:hAnsi="Arial"/>
          <w:color w:val="525252"/>
          <w:sz w:val="13"/>
        </w:rPr>
        <w:t>The Chiefs’ Group uses Chief Master Sergeant assignment policies to support the continued development of Chief Master Sergeants.</w:t>
      </w:r>
    </w:p>
    <w:p>
      <w:pPr>
        <w:spacing w:after="20" w:line="223" w:lineRule="auto"/>
        <w:jc w:val="right"/>
        <w:bidi/>
      </w:pPr>
      <w:r>
        <w:rPr>
          <w:rFonts w:ascii="Arial" w:hAnsi="Arial"/>
          <w:sz w:val="16"/>
        </w:rPr>
        <w:t>168.22  اگرچه این خط‌مشی‌های تخصیص با سایر تکالیف رهبر ارشد و روش‌های توسعه قابل مقایسه است، اما آنها متفاوت از سایر درجات ثبت‌نام شده مدیریت می‌شوند.</w:t>
      </w:r>
    </w:p>
    <w:p>
      <w:pPr>
        <w:spacing w:after="28" w:line="216" w:lineRule="auto"/>
        <w:ind w:left="259"/>
        <w:jc w:val="left"/>
      </w:pPr>
      <w:r>
        <w:rPr>
          <w:rFonts w:ascii="Arial" w:hAnsi="Arial"/>
          <w:color w:val="525252"/>
          <w:sz w:val="13"/>
        </w:rPr>
        <w:t>Although these assignment policies are comparable with other senior leader assignments and development methods, they are managed differently than other enlisted grades.</w:t>
      </w:r>
    </w:p>
    <w:p>
      <w:pPr>
        <w:spacing w:after="20" w:line="223" w:lineRule="auto"/>
        <w:jc w:val="right"/>
        <w:bidi/>
      </w:pPr>
      <w:r>
        <w:rPr>
          <w:rFonts w:ascii="Arial" w:hAnsi="Arial"/>
          <w:sz w:val="16"/>
        </w:rPr>
        <w:t>168.23  اطلاعات بیشتر را می‌توانید در پورتال USAF، راهنمای سیستم مدیریت شغلی رهبر ارشد و کتاب راهنمای اطلاعات فرمانده ارشد گروهبان بیابید.</w:t>
      </w:r>
    </w:p>
    <w:p>
      <w:pPr>
        <w:spacing w:after="28" w:line="216" w:lineRule="auto"/>
        <w:ind w:left="259"/>
        <w:jc w:val="left"/>
      </w:pPr>
      <w:r>
        <w:rPr>
          <w:rFonts w:ascii="Arial" w:hAnsi="Arial"/>
          <w:color w:val="525252"/>
          <w:sz w:val="13"/>
        </w:rPr>
        <w:t>Additional information can be found on the USAF Portal, the Senior Leader Career Management System Guide, and the Chief Master Sergeant Information Handbook.</w:t>
      </w:r>
    </w:p>
    <w:p>
      <w:pPr>
        <w:spacing w:before="60" w:after="28"/>
        <w:jc w:val="right"/>
        <w:bidi/>
      </w:pPr>
      <w:r>
        <w:rPr>
          <w:b/>
          <w:color w:val="1F4D78"/>
          <w:sz w:val="18"/>
        </w:rPr>
        <w:t>10.9. تعویق ها</w:t>
      </w:r>
    </w:p>
    <w:p>
      <w:pPr>
        <w:spacing w:after="20"/>
        <w:ind w:left="259"/>
        <w:jc w:val="left"/>
      </w:pPr>
      <w:r>
        <w:rPr>
          <w:color w:val="555555"/>
          <w:sz w:val="12"/>
        </w:rPr>
        <w:t>10.9. Deferments</w:t>
      </w:r>
    </w:p>
    <w:p>
      <w:pPr>
        <w:spacing w:after="20" w:line="223" w:lineRule="auto"/>
        <w:jc w:val="right"/>
        <w:bidi/>
      </w:pPr>
      <w:r>
        <w:rPr>
          <w:rFonts w:ascii="Arial" w:hAnsi="Arial"/>
          <w:sz w:val="16"/>
        </w:rPr>
        <w:t>168.25  ممکن است در اکثر درجه‌ها و AFSCها برای حفظ یک سیستم تخصیص عادلانه و همچنین حمایت از نیاز به ثبات در سازمان‌ها یا عملکردهای خاص، تعویق‌ها مجاز باشد.</w:t>
      </w:r>
    </w:p>
    <w:p>
      <w:pPr>
        <w:spacing w:after="28" w:line="216" w:lineRule="auto"/>
        <w:ind w:left="259"/>
        <w:jc w:val="left"/>
      </w:pPr>
      <w:r>
        <w:rPr>
          <w:rFonts w:ascii="Arial" w:hAnsi="Arial"/>
          <w:color w:val="525252"/>
          <w:sz w:val="13"/>
        </w:rPr>
        <w:t>Deferments may be authorized in most grades and AFSCs to maintain an equitable assignment system and also support the need for stability in certain organizations or functions.</w:t>
      </w:r>
    </w:p>
    <w:p>
      <w:pPr>
        <w:spacing w:after="20" w:line="223" w:lineRule="auto"/>
        <w:jc w:val="right"/>
        <w:bidi/>
      </w:pPr>
      <w:r>
        <w:rPr>
          <w:rFonts w:ascii="Arial" w:hAnsi="Arial"/>
          <w:sz w:val="16"/>
        </w:rPr>
        <w:t>168.26  معمولا برای جلوگیری از PCS یک عضو نیروی هوایی تأیید می‌شود، در حالی که مناسب بودن برای ماندن در وضعیت رگاف یا در طول دوره‌ای از مشاهده یا توانبخشی ارزیابی می‌شود.</w:t>
      </w:r>
    </w:p>
    <w:p>
      <w:pPr>
        <w:spacing w:after="28" w:line="216" w:lineRule="auto"/>
        <w:ind w:left="259"/>
        <w:jc w:val="left"/>
      </w:pPr>
      <w:r>
        <w:rPr>
          <w:rFonts w:ascii="Arial" w:hAnsi="Arial"/>
          <w:color w:val="525252"/>
          <w:sz w:val="13"/>
        </w:rPr>
        <w:t>Deferments are normally approved to preclude an Airman’s PCS while suitability to remain on RegAF status is evaluated or during a period of observation or rehabilitation.</w:t>
      </w:r>
    </w:p>
    <w:p>
      <w:pPr>
        <w:spacing w:after="20" w:line="223" w:lineRule="auto"/>
        <w:jc w:val="right"/>
        <w:bidi/>
      </w:pPr>
      <w:r>
        <w:rPr>
          <w:rFonts w:ascii="Arial" w:hAnsi="Arial"/>
          <w:sz w:val="16"/>
        </w:rPr>
        <w:t>168.27  همچنین برای مواردی مانند اتمام برنامه یا مدرک تحصیلی، شاهد دادگاه نظامی، متهم در دادگاه نظامی، فهرست کنترل، مجازات ماده ۱۵، برنامه ترجیحی، بازآموزی یا دلایل بشردوستانه نیز تعویق وجود دارد.</w:t>
      </w:r>
    </w:p>
    <w:p>
      <w:pPr>
        <w:spacing w:after="28" w:line="216" w:lineRule="auto"/>
        <w:ind w:left="259"/>
        <w:jc w:val="left"/>
      </w:pPr>
      <w:r>
        <w:rPr>
          <w:rFonts w:ascii="Arial" w:hAnsi="Arial"/>
          <w:color w:val="525252"/>
          <w:sz w:val="13"/>
        </w:rPr>
        <w:t>Deferments also exist for such things as completion of an educational program or degree, witness for a court-martial, accused in a court- martial, control roster, Article 15 punishment, base of preference program, retraining, or humanitarian reasons.</w:t>
      </w:r>
    </w:p>
    <w:p>
      <w:pPr>
        <w:spacing w:after="20" w:line="223" w:lineRule="auto"/>
        <w:jc w:val="right"/>
        <w:bidi/>
      </w:pPr>
      <w:r>
        <w:rPr>
          <w:rFonts w:ascii="Arial" w:hAnsi="Arial"/>
          <w:sz w:val="16"/>
        </w:rPr>
        <w:t>168.28  تغییر یا تعویق بشردوستانه.</w:t>
      </w:r>
    </w:p>
    <w:p>
      <w:pPr>
        <w:spacing w:after="28" w:line="216" w:lineRule="auto"/>
        <w:ind w:left="259"/>
        <w:jc w:val="left"/>
      </w:pPr>
      <w:r>
        <w:rPr>
          <w:rFonts w:ascii="Arial" w:hAnsi="Arial"/>
          <w:color w:val="525252"/>
          <w:sz w:val="13"/>
        </w:rPr>
        <w:t>Humanitarian Reassignment or Deferment.</w:t>
      </w:r>
    </w:p>
    <w:p>
      <w:pPr>
        <w:spacing w:after="20" w:line="223" w:lineRule="auto"/>
        <w:jc w:val="right"/>
        <w:bidi/>
      </w:pPr>
      <w:r>
        <w:rPr>
          <w:rFonts w:ascii="Arial" w:hAnsi="Arial"/>
          <w:sz w:val="16"/>
        </w:rPr>
        <w:t>168.29  تغییر انتساب یا تعویق بشردوستانه به هوانوردان کمک می‌کند تا مشکلات شدید کوتاه مدت مربوط به یکی از اعضای خانواده را حل کنند.</w:t>
      </w:r>
    </w:p>
    <w:p>
      <w:pPr>
        <w:spacing w:after="28" w:line="216" w:lineRule="auto"/>
        <w:ind w:left="259"/>
        <w:jc w:val="left"/>
      </w:pPr>
      <w:r>
        <w:rPr>
          <w:rFonts w:ascii="Arial" w:hAnsi="Arial"/>
          <w:color w:val="525252"/>
          <w:sz w:val="13"/>
        </w:rPr>
        <w:t>Humanitarian reassignments or deferments help Airmen resolve severe short-term problems involving a family member.</w:t>
      </w:r>
    </w:p>
    <w:p>
      <w:pPr>
        <w:spacing w:after="20" w:line="223" w:lineRule="auto"/>
        <w:jc w:val="right"/>
        <w:bidi/>
      </w:pPr>
      <w:r>
        <w:rPr>
          <w:rFonts w:ascii="Arial" w:hAnsi="Arial"/>
          <w:sz w:val="16"/>
        </w:rPr>
        <w:t>168.30  مشکل باید باشه</w:t>
      </w:r>
    </w:p>
    <w:p>
      <w:pPr>
        <w:spacing w:after="28" w:line="216" w:lineRule="auto"/>
        <w:ind w:left="259"/>
        <w:jc w:val="left"/>
      </w:pPr>
      <w:r>
        <w:rPr>
          <w:rFonts w:ascii="Arial" w:hAnsi="Arial"/>
          <w:color w:val="525252"/>
          <w:sz w:val="13"/>
        </w:rPr>
        <w:t>The problem must be</w:t>
      </w:r>
    </w:p>
    <w:p>
      <w:r>
        <w:br w:type="page"/>
      </w:r>
    </w:p>
    <w:p>
      <w:pPr>
        <w:spacing w:after="60"/>
        <w:jc w:val="right"/>
        <w:bidi/>
      </w:pPr>
      <w:r>
        <w:rPr>
          <w:rFonts w:ascii="Arial" w:hAnsi="Arial"/>
          <w:b/>
          <w:color w:val="1F4D78"/>
          <w:sz w:val="19"/>
        </w:rPr>
        <w:t>هفتهٔ 169  |  صفحهٔ منبع: 185</w:t>
      </w:r>
    </w:p>
    <w:p>
      <w:pPr>
        <w:spacing w:after="20" w:line="223" w:lineRule="auto"/>
        <w:jc w:val="right"/>
        <w:bidi/>
      </w:pPr>
      <w:r>
        <w:rPr>
          <w:rFonts w:ascii="Arial" w:hAnsi="Arial"/>
          <w:sz w:val="16"/>
        </w:rPr>
        <w:t>169.01  قابل حل در یک دوره زمانی معقول (معمولا ۱۲ ماه)؛ حضور هوانورد باید برای حل مشکل کاملا ضروری تلقی شود. و هوانورد باید به‌طور مؤثر در AFSC کنترل خود در مأموریت جدید استفاده شود.</w:t>
      </w:r>
    </w:p>
    <w:p>
      <w:pPr>
        <w:spacing w:after="28" w:line="216" w:lineRule="auto"/>
        <w:ind w:left="259"/>
        <w:jc w:val="left"/>
      </w:pPr>
      <w:r>
        <w:rPr>
          <w:rFonts w:ascii="Arial" w:hAnsi="Arial"/>
          <w:color w:val="525252"/>
          <w:sz w:val="13"/>
        </w:rPr>
        <w:t>resolvable within a reasonable period of time (normally 12 months); the Airman’s presence must be considered absolutely essential to resolve the problem; and the Airman must be effectively utilized in his or her control AFSC at the new assignment.</w:t>
      </w:r>
    </w:p>
    <w:p>
      <w:pPr>
        <w:spacing w:after="20" w:line="223" w:lineRule="auto"/>
        <w:jc w:val="right"/>
        <w:bidi/>
      </w:pPr>
      <w:r>
        <w:rPr>
          <w:rFonts w:ascii="Arial" w:hAnsi="Arial"/>
          <w:sz w:val="16"/>
        </w:rPr>
        <w:t>169.02  اعضای خانواده تحت برنامه بشردوستانه محدود به همسر، فرزندان، والدین، والدین شوهر و افرادی هستند که "در محل والدین" خدمت کرده‌اند. شخص "ین لوکو پارنتیس" به شخصی اطلاق می‌شود که حداقل پنج سال قبل از تولد ۲۱ سالگی هواپیمای یا همسر یا قبل از ورود او به رگاف، هر کدام که زودتر باشد، حقوق و مسئولیت‌های والدینی را به جای والدین طبیعی انجام داده است.</w:t>
      </w:r>
    </w:p>
    <w:p>
      <w:pPr>
        <w:spacing w:after="28" w:line="216" w:lineRule="auto"/>
        <w:ind w:left="259"/>
        <w:jc w:val="left"/>
      </w:pPr>
      <w:r>
        <w:rPr>
          <w:rFonts w:ascii="Arial" w:hAnsi="Arial"/>
          <w:color w:val="525252"/>
          <w:sz w:val="13"/>
        </w:rPr>
        <w:t>Family members under the humanitarian program are limited to spouse, children, parents, parents-in-law, and those people who have served “in loco parentis.” A person “in loco parentis” refers to someone who has exercised parental rights and responsibilities in place of a natural parent for at least five years before the Airman’s or spouse’s 21st birthday, or before the Airman’s entry to the RegAF, whichever is earlier.</w:t>
      </w:r>
    </w:p>
    <w:p>
      <w:pPr>
        <w:spacing w:after="20" w:line="223" w:lineRule="auto"/>
        <w:jc w:val="right"/>
        <w:bidi/>
      </w:pPr>
      <w:r>
        <w:rPr>
          <w:rFonts w:ascii="Arial" w:hAnsi="Arial"/>
          <w:sz w:val="16"/>
        </w:rPr>
        <w:t>169.03  در حالی که برادران و خواهران در تعریف عضو خانواده برای ملاحظات بشردوستانه گنجانده نشده‌اند، درخواستی که مربوط به بیماری لاعلاج یک برادر یا خواهر باشد به‌عنوان یک استثنا از سیاست در نظر گرفته می‌شود.</w:t>
      </w:r>
    </w:p>
    <w:p>
      <w:pPr>
        <w:spacing w:after="28" w:line="216" w:lineRule="auto"/>
        <w:ind w:left="259"/>
        <w:jc w:val="left"/>
      </w:pPr>
      <w:r>
        <w:rPr>
          <w:rFonts w:ascii="Arial" w:hAnsi="Arial"/>
          <w:color w:val="525252"/>
          <w:sz w:val="13"/>
        </w:rPr>
        <w:t>While brothers and sisters are not included in the definition of family member for humanitarian consideration, a request involving a brother’s or sister’s terminal illness will be considered as an exception to policy.</w:t>
      </w:r>
    </w:p>
    <w:p>
      <w:pPr>
        <w:spacing w:after="20" w:line="223" w:lineRule="auto"/>
        <w:jc w:val="right"/>
        <w:bidi/>
      </w:pPr>
      <w:r>
        <w:rPr>
          <w:rFonts w:ascii="Arial" w:hAnsi="Arial"/>
          <w:sz w:val="16"/>
        </w:rPr>
        <w:t>169.04  تغییر یا تعویق برنامه استثنایی اعضای خانواده.</w:t>
      </w:r>
    </w:p>
    <w:p>
      <w:pPr>
        <w:spacing w:after="28" w:line="216" w:lineRule="auto"/>
        <w:ind w:left="259"/>
        <w:jc w:val="left"/>
      </w:pPr>
      <w:r>
        <w:rPr>
          <w:rFonts w:ascii="Arial" w:hAnsi="Arial"/>
          <w:color w:val="525252"/>
          <w:sz w:val="13"/>
        </w:rPr>
        <w:t>Exceptional Family Member Program Reassignment or Deferment.</w:t>
      </w:r>
    </w:p>
    <w:p>
      <w:pPr>
        <w:spacing w:after="20" w:line="223" w:lineRule="auto"/>
        <w:jc w:val="right"/>
        <w:bidi/>
      </w:pPr>
      <w:r>
        <w:rPr>
          <w:rFonts w:ascii="Arial" w:hAnsi="Arial"/>
          <w:sz w:val="16"/>
        </w:rPr>
        <w:t>169.05  برنامه اعضای استثنایی خانواده (EFMP) بر اساس نیاز یک ایرمن به مراقبت‌های پزشکی یا آموزشی ویژه برای همسر یا فرزند است که به مدت طولانی یا دائمی نیاز است.</w:t>
      </w:r>
    </w:p>
    <w:p>
      <w:pPr>
        <w:spacing w:after="28" w:line="216" w:lineRule="auto"/>
        <w:ind w:left="259"/>
        <w:jc w:val="left"/>
      </w:pPr>
      <w:r>
        <w:rPr>
          <w:rFonts w:ascii="Arial" w:hAnsi="Arial"/>
          <w:color w:val="525252"/>
          <w:sz w:val="13"/>
        </w:rPr>
        <w:t>The Exceptional Family Member Program (EFMP) is based on an Airman’s need for special medical or educational care for a spouse or child that is required long-term or permanent.</w:t>
      </w:r>
    </w:p>
    <w:p>
      <w:pPr>
        <w:spacing w:after="20" w:line="223" w:lineRule="auto"/>
        <w:jc w:val="right"/>
        <w:bidi/>
      </w:pPr>
      <w:r>
        <w:rPr>
          <w:rFonts w:ascii="Arial" w:hAnsi="Arial"/>
          <w:sz w:val="16"/>
        </w:rPr>
        <w:t>169.06  این برنامه یک برنامه انتخابی نیست.</w:t>
      </w:r>
    </w:p>
    <w:p>
      <w:pPr>
        <w:spacing w:after="28" w:line="216" w:lineRule="auto"/>
        <w:ind w:left="259"/>
        <w:jc w:val="left"/>
      </w:pPr>
      <w:r>
        <w:rPr>
          <w:rFonts w:ascii="Arial" w:hAnsi="Arial"/>
          <w:color w:val="525252"/>
          <w:sz w:val="13"/>
        </w:rPr>
        <w:t>This program is not a base-of-choice program.</w:t>
      </w:r>
    </w:p>
    <w:p>
      <w:pPr>
        <w:spacing w:after="20" w:line="223" w:lineRule="auto"/>
        <w:jc w:val="right"/>
        <w:bidi/>
      </w:pPr>
      <w:r>
        <w:rPr>
          <w:rFonts w:ascii="Arial" w:hAnsi="Arial"/>
          <w:sz w:val="16"/>
        </w:rPr>
        <w:t>169.07  تصمیمات انتساب بر اساس نیازهای نیروی انسانی USAF در مکان هایی است که نیازهای پزشکی یا آموزشی ویژه همسر یا فرزند می‌تواند برآورده شود.</w:t>
      </w:r>
    </w:p>
    <w:p>
      <w:pPr>
        <w:spacing w:after="28" w:line="216" w:lineRule="auto"/>
        <w:ind w:left="259"/>
        <w:jc w:val="left"/>
      </w:pPr>
      <w:r>
        <w:rPr>
          <w:rFonts w:ascii="Arial" w:hAnsi="Arial"/>
          <w:color w:val="525252"/>
          <w:sz w:val="13"/>
        </w:rPr>
        <w:t>Assignment decisions are based on manning needs of the USAF at locations where the special medical or educational needs for a spouse or child can be met.</w:t>
      </w:r>
    </w:p>
    <w:p>
      <w:pPr>
        <w:spacing w:after="20" w:line="223" w:lineRule="auto"/>
        <w:jc w:val="right"/>
        <w:bidi/>
      </w:pPr>
      <w:r>
        <w:rPr>
          <w:rFonts w:ascii="Arial" w:hAnsi="Arial"/>
          <w:sz w:val="16"/>
        </w:rPr>
        <w:t>169.08  تعهد و مسئولیت‌های USAF تحت EFMP مستلزم ثبت‌نام اجباری و شناسایی اعضای استثنایی خانواده است.</w:t>
      </w:r>
    </w:p>
    <w:p>
      <w:pPr>
        <w:spacing w:after="28" w:line="216" w:lineRule="auto"/>
        <w:ind w:left="259"/>
        <w:jc w:val="left"/>
      </w:pPr>
      <w:r>
        <w:rPr>
          <w:rFonts w:ascii="Arial" w:hAnsi="Arial"/>
          <w:color w:val="525252"/>
          <w:sz w:val="13"/>
        </w:rPr>
        <w:t>The USAF’s commitment and responsibilities under the EFMP requires mandatory enrollment and identification of exceptional family members.</w:t>
      </w:r>
    </w:p>
    <w:p>
      <w:pPr>
        <w:spacing w:after="20" w:line="223" w:lineRule="auto"/>
        <w:jc w:val="right"/>
        <w:bidi/>
      </w:pPr>
      <w:r>
        <w:rPr>
          <w:rFonts w:ascii="Arial" w:hAnsi="Arial"/>
          <w:sz w:val="16"/>
        </w:rPr>
        <w:t>169.09  بر اساس EFMP، یک عضو نیروی هوایی ممکن است در صورت نیاز به مراقبت‌های تخصصی که در جایی که در حال حاضر اختصاص داده شده است، برآورده نمی‌شود، یک جابجایی مجدد دریافت کند.</w:t>
      </w:r>
    </w:p>
    <w:p>
      <w:pPr>
        <w:spacing w:after="28" w:line="216" w:lineRule="auto"/>
        <w:ind w:left="259"/>
        <w:jc w:val="left"/>
      </w:pPr>
      <w:r>
        <w:rPr>
          <w:rFonts w:ascii="Arial" w:hAnsi="Arial"/>
          <w:color w:val="525252"/>
          <w:sz w:val="13"/>
        </w:rPr>
        <w:t>Under the EFMP, an Airman may receive a reassignment if a need arises for specialized care that cannot be met where currently assigned.</w:t>
      </w:r>
    </w:p>
    <w:p>
      <w:pPr>
        <w:spacing w:after="20" w:line="223" w:lineRule="auto"/>
        <w:jc w:val="right"/>
        <w:bidi/>
      </w:pPr>
      <w:r>
        <w:rPr>
          <w:rFonts w:ascii="Arial" w:hAnsi="Arial"/>
          <w:sz w:val="16"/>
        </w:rPr>
        <w:t>169.10  در صورتی که حضور خلبان ضروری تلقی شود، ممکن است برای شرایطی که به تازگی شناسایی شده است، تعویق از یک مأموریت ارائه شود.</w:t>
      </w:r>
    </w:p>
    <w:p>
      <w:pPr>
        <w:spacing w:after="28" w:line="216" w:lineRule="auto"/>
        <w:ind w:left="259"/>
        <w:jc w:val="left"/>
      </w:pPr>
      <w:r>
        <w:rPr>
          <w:rFonts w:ascii="Arial" w:hAnsi="Arial"/>
          <w:color w:val="525252"/>
          <w:sz w:val="13"/>
        </w:rPr>
        <w:t>A deferment from an assignment may be provided for a newly identified condition if the Airman’s presence is considered essential.</w:t>
      </w:r>
    </w:p>
    <w:p>
      <w:pPr>
        <w:spacing w:after="20" w:line="223" w:lineRule="auto"/>
        <w:jc w:val="right"/>
        <w:bidi/>
      </w:pPr>
      <w:r>
        <w:rPr>
          <w:rFonts w:ascii="Arial" w:hAnsi="Arial"/>
          <w:sz w:val="16"/>
        </w:rPr>
        <w:t>169.11  هدف از چنین تعویق این است که به عضو نیروی هوایی فرصت داده شود تا یک برنامه درمانی خاص پزشکی یا برنامه آموزشی برای عضو استثنایی خانواده ایجاد کند.</w:t>
      </w:r>
    </w:p>
    <w:p>
      <w:pPr>
        <w:spacing w:after="28" w:line="216" w:lineRule="auto"/>
        <w:ind w:left="259"/>
        <w:jc w:val="left"/>
      </w:pPr>
      <w:r>
        <w:rPr>
          <w:rFonts w:ascii="Arial" w:hAnsi="Arial"/>
          <w:color w:val="525252"/>
          <w:sz w:val="13"/>
        </w:rPr>
        <w:t>The purpose of such a deferment is to allow the Airman time to establish a special medical treatment program or educational program for the exceptional family member.</w:t>
      </w:r>
    </w:p>
    <w:p>
      <w:pPr>
        <w:spacing w:after="20" w:line="223" w:lineRule="auto"/>
        <w:jc w:val="right"/>
        <w:bidi/>
      </w:pPr>
      <w:r>
        <w:rPr>
          <w:rFonts w:ascii="Arial" w:hAnsi="Arial"/>
          <w:sz w:val="16"/>
        </w:rPr>
        <w:t>169.12  در صورت اعطا، دوره اولیه تعویق معمولا ۱۲ ماه است، پس از آن ممکن است یک عضو نیروی هوایی برای PCS تجدید نظر شود، در صورتی که واجد شرایط باشد.</w:t>
      </w:r>
    </w:p>
    <w:p>
      <w:pPr>
        <w:spacing w:after="28" w:line="216" w:lineRule="auto"/>
        <w:ind w:left="259"/>
        <w:jc w:val="left"/>
      </w:pPr>
      <w:r>
        <w:rPr>
          <w:rFonts w:ascii="Arial" w:hAnsi="Arial"/>
          <w:color w:val="525252"/>
          <w:sz w:val="13"/>
        </w:rPr>
        <w:t>When granted, the initial period of deferment is usually 12 months, after which an Airman may be reconsidered for a PCS, if otherwise eligible.</w:t>
      </w:r>
    </w:p>
    <w:p>
      <w:pPr>
        <w:spacing w:after="20" w:line="223" w:lineRule="auto"/>
        <w:jc w:val="right"/>
        <w:bidi/>
      </w:pPr>
      <w:r>
        <w:rPr>
          <w:rFonts w:ascii="Arial" w:hAnsi="Arial"/>
          <w:sz w:val="16"/>
        </w:rPr>
        <w:t>169.13  تعویق تحصیلی.</w:t>
      </w:r>
    </w:p>
    <w:p>
      <w:pPr>
        <w:spacing w:after="28" w:line="216" w:lineRule="auto"/>
        <w:ind w:left="259"/>
        <w:jc w:val="left"/>
      </w:pPr>
      <w:r>
        <w:rPr>
          <w:rFonts w:ascii="Arial" w:hAnsi="Arial"/>
          <w:color w:val="525252"/>
          <w:sz w:val="13"/>
        </w:rPr>
        <w:t>Educational Deferment.</w:t>
      </w:r>
    </w:p>
    <w:p>
      <w:pPr>
        <w:spacing w:after="20" w:line="223" w:lineRule="auto"/>
        <w:jc w:val="right"/>
        <w:bidi/>
      </w:pPr>
      <w:r>
        <w:rPr>
          <w:rFonts w:ascii="Arial" w:hAnsi="Arial"/>
          <w:sz w:val="16"/>
        </w:rPr>
        <w:t>169.14  هوانوردانی که هنوز برای PCS انتخاب نشده‌اند، زمانی که تقریبا یک برنامه حرفه‌ای یا مدرک دانشگاهی را تکمیل کرده‌اند، می‌توانند درخواست تعویق از انتخاب تکلیف کنند.</w:t>
      </w:r>
    </w:p>
    <w:p>
      <w:pPr>
        <w:spacing w:after="28" w:line="216" w:lineRule="auto"/>
        <w:ind w:left="259"/>
        <w:jc w:val="left"/>
      </w:pPr>
      <w:r>
        <w:rPr>
          <w:rFonts w:ascii="Arial" w:hAnsi="Arial"/>
          <w:color w:val="525252"/>
          <w:sz w:val="13"/>
        </w:rPr>
        <w:t>Airmen who have not yet been selected for a PCS may request deferment from assignment selection when they have nearly completed a vocational program or college degree requirements.</w:t>
      </w:r>
    </w:p>
    <w:p>
      <w:pPr>
        <w:spacing w:after="20" w:line="223" w:lineRule="auto"/>
        <w:jc w:val="right"/>
        <w:bidi/>
      </w:pPr>
      <w:r>
        <w:rPr>
          <w:rFonts w:ascii="Arial" w:hAnsi="Arial"/>
          <w:sz w:val="16"/>
        </w:rPr>
        <w:t>169.15  برنامه تعویق تکلیف ارشد دبیرستان.</w:t>
      </w:r>
    </w:p>
    <w:p>
      <w:pPr>
        <w:spacing w:after="28" w:line="216" w:lineRule="auto"/>
        <w:ind w:left="259"/>
        <w:jc w:val="left"/>
      </w:pPr>
      <w:r>
        <w:rPr>
          <w:rFonts w:ascii="Arial" w:hAnsi="Arial"/>
          <w:color w:val="525252"/>
          <w:sz w:val="13"/>
        </w:rPr>
        <w:t>High School Senior Assignment Deferment Program.</w:t>
      </w:r>
    </w:p>
    <w:p>
      <w:pPr>
        <w:spacing w:after="20" w:line="223" w:lineRule="auto"/>
        <w:jc w:val="right"/>
        <w:bidi/>
      </w:pPr>
      <w:r>
        <w:rPr>
          <w:rFonts w:ascii="Arial" w:hAnsi="Arial"/>
          <w:sz w:val="16"/>
        </w:rPr>
        <w:t>169.16  فرماندهان ارشد گروهبان و پایین‌تر، و افسران از طریق سرهنگ ستوان، می‌توانند برای یک سال تعویق مأموریت برای پذیرش فارغ‌التحصیلان وابسته از دبیرستان درخواست دهند.</w:t>
      </w:r>
    </w:p>
    <w:p>
      <w:pPr>
        <w:spacing w:after="28" w:line="216" w:lineRule="auto"/>
        <w:ind w:left="259"/>
        <w:jc w:val="left"/>
      </w:pPr>
      <w:r>
        <w:rPr>
          <w:rFonts w:ascii="Arial" w:hAnsi="Arial"/>
          <w:color w:val="525252"/>
          <w:sz w:val="13"/>
        </w:rPr>
        <w:t>Senior Master Sergeants and below, and officers up through Lieutenant Colonel, may apply for a one-year assignment deferment to accommodate dependent graduations from high school.</w:t>
      </w:r>
    </w:p>
    <w:p>
      <w:pPr>
        <w:spacing w:after="20" w:line="223" w:lineRule="auto"/>
        <w:jc w:val="right"/>
        <w:bidi/>
      </w:pPr>
      <w:r>
        <w:rPr>
          <w:rFonts w:ascii="Arial" w:hAnsi="Arial"/>
          <w:sz w:val="16"/>
        </w:rPr>
        <w:t>169.17  ممکن است تعویق پشت سر هم امکان پذیر باشد و ممکن است سربازی که با همسران نظامی ازدواج کرده‌اند نیز اعمال شود.</w:t>
      </w:r>
    </w:p>
    <w:p>
      <w:pPr>
        <w:spacing w:after="28" w:line="216" w:lineRule="auto"/>
        <w:ind w:left="259"/>
        <w:jc w:val="left"/>
      </w:pPr>
      <w:r>
        <w:rPr>
          <w:rFonts w:ascii="Arial" w:hAnsi="Arial"/>
          <w:color w:val="525252"/>
          <w:sz w:val="13"/>
        </w:rPr>
        <w:t>Back to back deferments may be possible, and military married to military spouses may also apply.</w:t>
      </w:r>
    </w:p>
    <w:p>
      <w:pPr>
        <w:spacing w:after="20" w:line="223" w:lineRule="auto"/>
        <w:jc w:val="right"/>
        <w:bidi/>
      </w:pPr>
      <w:r>
        <w:rPr>
          <w:rFonts w:ascii="Arial" w:hAnsi="Arial"/>
          <w:sz w:val="16"/>
        </w:rPr>
        <w:t>169.18  مانند همه شرایط، با این حال، نیازهای USAF در اولویت قرار دارند و عامل تعیین کننده در اعطای تعویق خواهند بود.</w:t>
      </w:r>
    </w:p>
    <w:p>
      <w:pPr>
        <w:spacing w:after="28" w:line="216" w:lineRule="auto"/>
        <w:ind w:left="259"/>
        <w:jc w:val="left"/>
      </w:pPr>
      <w:r>
        <w:rPr>
          <w:rFonts w:ascii="Arial" w:hAnsi="Arial"/>
          <w:color w:val="525252"/>
          <w:sz w:val="13"/>
        </w:rPr>
        <w:t>As in all situations, however, the needs of the USAF will come first and will be the determining factor in granting deferments.</w:t>
      </w:r>
    </w:p>
    <w:p>
      <w:pPr>
        <w:spacing w:after="20" w:line="223" w:lineRule="auto"/>
        <w:jc w:val="right"/>
        <w:bidi/>
      </w:pPr>
      <w:r>
        <w:rPr>
          <w:rFonts w:ascii="Arial" w:hAnsi="Arial"/>
          <w:sz w:val="16"/>
        </w:rPr>
        <w:t>169.19  درخواست‌ها به صورت موردی بررسی می‌شود و در صورت امکان، تعویق‌ها تأیید می‌شود.</w:t>
      </w:r>
    </w:p>
    <w:p>
      <w:pPr>
        <w:spacing w:after="28" w:line="216" w:lineRule="auto"/>
        <w:ind w:left="259"/>
        <w:jc w:val="left"/>
      </w:pPr>
      <w:r>
        <w:rPr>
          <w:rFonts w:ascii="Arial" w:hAnsi="Arial"/>
          <w:color w:val="525252"/>
          <w:sz w:val="13"/>
        </w:rPr>
        <w:t>Requests will be considered on a case-by-case basis, and deferments will be approved where possible.</w:t>
      </w:r>
    </w:p>
    <w:p>
      <w:pPr>
        <w:spacing w:after="20" w:line="223" w:lineRule="auto"/>
        <w:jc w:val="right"/>
        <w:bidi/>
      </w:pPr>
      <w:r>
        <w:rPr>
          <w:rFonts w:ascii="Arial" w:hAnsi="Arial"/>
          <w:sz w:val="16"/>
        </w:rPr>
        <w:t>169.20  تعویق مراقبت و فرزندخواندگی وابسته.</w:t>
      </w:r>
    </w:p>
    <w:p>
      <w:pPr>
        <w:spacing w:after="28" w:line="216" w:lineRule="auto"/>
        <w:ind w:left="259"/>
        <w:jc w:val="left"/>
      </w:pPr>
      <w:r>
        <w:rPr>
          <w:rFonts w:ascii="Arial" w:hAnsi="Arial"/>
          <w:color w:val="525252"/>
          <w:sz w:val="13"/>
        </w:rPr>
        <w:t>Dependent Care and Adoption Deferment.</w:t>
      </w:r>
    </w:p>
    <w:p>
      <w:pPr>
        <w:spacing w:after="20" w:line="223" w:lineRule="auto"/>
        <w:jc w:val="right"/>
        <w:bidi/>
      </w:pPr>
      <w:r>
        <w:rPr>
          <w:rFonts w:ascii="Arial" w:hAnsi="Arial"/>
          <w:sz w:val="16"/>
        </w:rPr>
        <w:t>169.21  همه هوانوردان اطمینان حاصل می‌کنند که در صورت انجام وظیفه موقت یا PCS، ترتیبات مراقبت وابسته انجام می‌شود.</w:t>
      </w:r>
    </w:p>
    <w:p>
      <w:pPr>
        <w:spacing w:after="28" w:line="216" w:lineRule="auto"/>
        <w:ind w:left="259"/>
        <w:jc w:val="left"/>
      </w:pPr>
      <w:r>
        <w:rPr>
          <w:rFonts w:ascii="Arial" w:hAnsi="Arial"/>
          <w:color w:val="525252"/>
          <w:sz w:val="13"/>
        </w:rPr>
        <w:t>All Airmen ensure dependent care arrangements are made in the event of temporary duty or PCS.</w:t>
      </w:r>
    </w:p>
    <w:p>
      <w:pPr>
        <w:spacing w:after="20" w:line="223" w:lineRule="auto"/>
        <w:jc w:val="right"/>
        <w:bidi/>
      </w:pPr>
      <w:r>
        <w:rPr>
          <w:rFonts w:ascii="Arial" w:hAnsi="Arial"/>
          <w:sz w:val="16"/>
        </w:rPr>
        <w:t>169.22  از زوج‌های نظامی با افراد تحت تکفل و حامیان مجرد هوانورد انتظار می‌رود که وظایف نظامی خود را همانند سایر هوانوردان انجام دهند.</w:t>
      </w:r>
    </w:p>
    <w:p>
      <w:pPr>
        <w:spacing w:after="28" w:line="216" w:lineRule="auto"/>
        <w:ind w:left="259"/>
        <w:jc w:val="left"/>
      </w:pPr>
      <w:r>
        <w:rPr>
          <w:rFonts w:ascii="Arial" w:hAnsi="Arial"/>
          <w:color w:val="525252"/>
          <w:sz w:val="13"/>
        </w:rPr>
        <w:t>Military couples with dependents and single Airmen sponsors are expected to fulfill their military obligations on the same basis as other Airmen.</w:t>
      </w:r>
    </w:p>
    <w:p>
      <w:pPr>
        <w:spacing w:after="20" w:line="223" w:lineRule="auto"/>
        <w:jc w:val="right"/>
        <w:bidi/>
      </w:pPr>
      <w:r>
        <w:rPr>
          <w:rFonts w:ascii="Arial" w:hAnsi="Arial"/>
          <w:sz w:val="16"/>
        </w:rPr>
        <w:t>169.23  آنها واجد شرایط انجام وظیفه در سراسر جهان و تمام وظایفی هستند که واجد شرایط هستند.</w:t>
      </w:r>
    </w:p>
    <w:p>
      <w:pPr>
        <w:spacing w:after="28" w:line="216" w:lineRule="auto"/>
        <w:ind w:left="259"/>
        <w:jc w:val="left"/>
      </w:pPr>
      <w:r>
        <w:rPr>
          <w:rFonts w:ascii="Arial" w:hAnsi="Arial"/>
          <w:color w:val="525252"/>
          <w:sz w:val="13"/>
        </w:rPr>
        <w:t>They are eligible for worldwide duty and all assignments for which they qualify.</w:t>
      </w:r>
    </w:p>
    <w:p>
      <w:pPr>
        <w:spacing w:after="20" w:line="223" w:lineRule="auto"/>
        <w:jc w:val="right"/>
        <w:bidi/>
      </w:pPr>
      <w:r>
        <w:rPr>
          <w:rFonts w:ascii="Arial" w:hAnsi="Arial"/>
          <w:sz w:val="16"/>
        </w:rPr>
        <w:t>169.24  برای اطمینان از اینکه همه هوانوردان برای انجام وظیفه در سراسر جهان در دسترس هستند، آنها باید برنامه‌های قابل اجرا برای ارائه مراقبت‌های والدین مانند برای افراد تحت تکفل خود داشته باشند، همانطور که در دودی۱۳۴۲.۱۹_DAFI۳۶-۲۹۰۸، برنامه‌های مراقبت از خانواده ذکر شده است.</w:t>
      </w:r>
    </w:p>
    <w:p>
      <w:pPr>
        <w:spacing w:after="28" w:line="216" w:lineRule="auto"/>
        <w:ind w:left="259"/>
        <w:jc w:val="left"/>
      </w:pPr>
      <w:r>
        <w:rPr>
          <w:rFonts w:ascii="Arial" w:hAnsi="Arial"/>
          <w:color w:val="525252"/>
          <w:sz w:val="13"/>
        </w:rPr>
        <w:t>To ensure all Airmen remain available for worldwide duty, they must have workable plans to provide parent-like care for their dependents as outlined in DoDI1342.19_DAFI36-2908, Family Care Plans.</w:t>
      </w:r>
    </w:p>
    <w:p>
      <w:pPr>
        <w:spacing w:after="20" w:line="223" w:lineRule="auto"/>
        <w:jc w:val="right"/>
        <w:bidi/>
      </w:pPr>
      <w:r>
        <w:rPr>
          <w:rFonts w:ascii="Arial" w:hAnsi="Arial"/>
          <w:sz w:val="16"/>
        </w:rPr>
        <w:t>169.25  هواپیماییانی که به دلیل نیاز خانوادگی نتوانند یا نتوانند به تعهدات نظامی عمل کنند، ترخیص در نظر گرفته می‌شوند.</w:t>
      </w:r>
    </w:p>
    <w:p>
      <w:pPr>
        <w:spacing w:after="28" w:line="216" w:lineRule="auto"/>
        <w:ind w:left="259"/>
        <w:jc w:val="left"/>
      </w:pPr>
      <w:r>
        <w:rPr>
          <w:rFonts w:ascii="Arial" w:hAnsi="Arial"/>
          <w:color w:val="525252"/>
          <w:sz w:val="13"/>
        </w:rPr>
        <w:t>Airmen who cannot or will not meet military commitments due to family needs will be considered for discharge.</w:t>
      </w:r>
    </w:p>
    <w:p>
      <w:pPr>
        <w:spacing w:after="20" w:line="223" w:lineRule="auto"/>
        <w:jc w:val="right"/>
        <w:bidi/>
      </w:pPr>
      <w:r>
        <w:rPr>
          <w:rFonts w:ascii="Arial" w:hAnsi="Arial"/>
          <w:sz w:val="16"/>
        </w:rPr>
        <w:t>169.26  به مسافرانی که کودکان را به فرزندخواندگی می‌پذیرند، زمان محدودی برای تکمیل فرآیند رسمی فرزندخواندگی و تسهیل پیوند داده می‌شود.</w:t>
      </w:r>
    </w:p>
    <w:p>
      <w:pPr>
        <w:spacing w:after="28" w:line="216" w:lineRule="auto"/>
        <w:ind w:left="259"/>
        <w:jc w:val="left"/>
      </w:pPr>
      <w:r>
        <w:rPr>
          <w:rFonts w:ascii="Arial" w:hAnsi="Arial"/>
          <w:color w:val="525252"/>
          <w:sz w:val="13"/>
        </w:rPr>
        <w:t>Airmen adopting children are given a limited time to complete the official adoption process and facilitate bonding.</w:t>
      </w:r>
    </w:p>
    <w:p>
      <w:pPr>
        <w:spacing w:after="20" w:line="223" w:lineRule="auto"/>
        <w:jc w:val="right"/>
        <w:bidi/>
      </w:pPr>
      <w:r>
        <w:rPr>
          <w:rFonts w:ascii="Arial" w:hAnsi="Arial"/>
          <w:sz w:val="16"/>
        </w:rPr>
        <w:t>169.27  ممکن است به هوانوردان اجازه تعویق در دوره شش ماهه پس از تاریخی که کودک رسما در خانه هواپیما قرار می‌گیرد، باشد.</w:t>
      </w:r>
    </w:p>
    <w:p>
      <w:pPr>
        <w:spacing w:after="28" w:line="216" w:lineRule="auto"/>
        <w:ind w:left="259"/>
        <w:jc w:val="left"/>
      </w:pPr>
      <w:r>
        <w:rPr>
          <w:rFonts w:ascii="Arial" w:hAnsi="Arial"/>
          <w:color w:val="525252"/>
          <w:sz w:val="13"/>
        </w:rPr>
        <w:t>Airmen may be authorized deferment during the six-month period following the date a child is officially placed in the Airmen’s home.</w:t>
      </w:r>
    </w:p>
    <w:p>
      <w:pPr>
        <w:spacing w:after="20" w:line="223" w:lineRule="auto"/>
        <w:jc w:val="right"/>
        <w:bidi/>
      </w:pPr>
      <w:r>
        <w:rPr>
          <w:rFonts w:ascii="Arial" w:hAnsi="Arial"/>
          <w:sz w:val="16"/>
        </w:rPr>
        <w:t>169.28  همچنین ممکن است به هوانوردان اجازه داده شود تا حداکثر ۲۱ روز از انجام وظیفه موقت مجاز همراه با مرخصی عادی استفاده کنند.</w:t>
      </w:r>
    </w:p>
    <w:p>
      <w:pPr>
        <w:spacing w:after="28" w:line="216" w:lineRule="auto"/>
        <w:ind w:left="259"/>
        <w:jc w:val="left"/>
      </w:pPr>
      <w:r>
        <w:rPr>
          <w:rFonts w:ascii="Arial" w:hAnsi="Arial"/>
          <w:color w:val="525252"/>
          <w:sz w:val="13"/>
        </w:rPr>
        <w:t>Airmen may also be authorized up to 21 days of permissive temporary duty to be used in conjunction with ordinary leave.</w:t>
      </w:r>
    </w:p>
    <w:p>
      <w:pPr>
        <w:spacing w:before="60" w:after="28"/>
        <w:jc w:val="right"/>
        <w:bidi/>
      </w:pPr>
      <w:r>
        <w:rPr>
          <w:b/>
          <w:color w:val="1F4D78"/>
          <w:sz w:val="18"/>
        </w:rPr>
        <w:t>10.10. نقل و انتقالات تسریع شده</w:t>
      </w:r>
    </w:p>
    <w:p>
      <w:pPr>
        <w:spacing w:after="20"/>
        <w:ind w:left="259"/>
        <w:jc w:val="left"/>
      </w:pPr>
      <w:r>
        <w:rPr>
          <w:color w:val="555555"/>
          <w:sz w:val="12"/>
        </w:rPr>
        <w:t>10.10. Expedited Transfers</w:t>
      </w:r>
    </w:p>
    <w:p>
      <w:pPr>
        <w:spacing w:after="20" w:line="223" w:lineRule="auto"/>
        <w:jc w:val="right"/>
        <w:bidi/>
      </w:pPr>
      <w:r>
        <w:rPr>
          <w:rFonts w:ascii="Arial" w:hAnsi="Arial"/>
          <w:sz w:val="16"/>
        </w:rPr>
        <w:t>169.30  نیروی هوایی به مسافران واجد شرایطی که گزارش نامحدودی را برای تجاوز جنسی، تعقیب یا سایر رفتارهای نادرست جنسی (مانند تماشای ناشایست، ضبط بصری یا غیرقانونی) ارسال می‌کنند، انتقال سریع ارائه می‌کند.</w:t>
      </w:r>
    </w:p>
    <w:p>
      <w:pPr>
        <w:spacing w:after="28" w:line="216" w:lineRule="auto"/>
        <w:ind w:left="259"/>
        <w:jc w:val="left"/>
      </w:pPr>
      <w:r>
        <w:rPr>
          <w:rFonts w:ascii="Arial" w:hAnsi="Arial"/>
          <w:color w:val="525252"/>
          <w:sz w:val="13"/>
        </w:rPr>
        <w:t>The Air Force offers expedited transfers to eligible Airmen who file an unrestricted report for sexual assault, stalking, or other sexual misconduct (i.e., indecent viewing, visual recording, or</w:t>
      </w:r>
    </w:p>
    <w:p>
      <w:r>
        <w:br w:type="page"/>
      </w:r>
    </w:p>
    <w:p>
      <w:pPr>
        <w:spacing w:after="60"/>
        <w:jc w:val="right"/>
        <w:bidi/>
      </w:pPr>
      <w:r>
        <w:rPr>
          <w:rFonts w:ascii="Arial" w:hAnsi="Arial"/>
          <w:b/>
          <w:color w:val="1F4D78"/>
          <w:sz w:val="19"/>
        </w:rPr>
        <w:t>هفتهٔ 170  |  صفحهٔ منبع: 186</w:t>
      </w:r>
    </w:p>
    <w:p>
      <w:pPr>
        <w:spacing w:after="20" w:line="223" w:lineRule="auto"/>
        <w:jc w:val="right"/>
        <w:bidi/>
      </w:pPr>
      <w:r>
        <w:rPr>
          <w:rFonts w:ascii="Arial" w:hAnsi="Arial"/>
          <w:sz w:val="16"/>
        </w:rPr>
        <w:t>170.01  پخش؛ سرکوب اجباری؛ قرار گرفتن در معرض ناشایست) با کمک اداره پیشگیری و پاسخ به تجاوز جنسی، دفتر برنامه حمایت از خانواده، برنامه کمک به قربانیان و شاهدان در دفتر حقوقی تاسیسات، یا فرمانده آنها.</w:t>
      </w:r>
    </w:p>
    <w:p>
      <w:pPr>
        <w:spacing w:after="28" w:line="216" w:lineRule="auto"/>
        <w:ind w:left="259"/>
        <w:jc w:val="left"/>
      </w:pPr>
      <w:r>
        <w:rPr>
          <w:rFonts w:ascii="Arial" w:hAnsi="Arial"/>
          <w:color w:val="525252"/>
          <w:sz w:val="13"/>
        </w:rPr>
        <w:t>broadcasting; forcible pandering; indecent exposure) with assistance from the Sexual Assault Prevention and Response Office, the Family Advocacy Program Office, the Victim and Witness Assistance Program in the installation’s Legal Office, or their commander.</w:t>
      </w:r>
    </w:p>
    <w:p>
      <w:pPr>
        <w:spacing w:after="20" w:line="223" w:lineRule="auto"/>
        <w:jc w:val="right"/>
        <w:bidi/>
      </w:pPr>
      <w:r>
        <w:rPr>
          <w:rFonts w:ascii="Arial" w:hAnsi="Arial"/>
          <w:sz w:val="16"/>
        </w:rPr>
        <w:t>170.02  اگر قربانی گزارش نامحدودی را ارائه کرده باشد و مجرم تجاوز جنسی ادعایی یکی از اعضای نیروهای مسلح باشد یا اگر همه مجرمان مظنون به تجاوز جنسی به‌عنوان یک عضو نظامی باشند، یا اگر قربانی تجاوز جنسی به‌عنوان یکی از اعضای ارتش باشد، نیروی هوایی نقل و انتقالات سریع را به هوانیروز ارائه می‌کند که وابسته نظامی بزرگسالشان با اداره پیشگیری و پاسخ به تجاوز جنسی، ادعای تجاوز جنسی غیر خانگی را ارائه می‌کند. وابسته به ارتش، به‌عنوان یک کارمند غیرنظامی برای وزارت دفاع کار می‌کند (کارمندان صندوق اختصاصی و غیرتخصیصی، یا یک پیمانکار دولتی است))، یا ادعای تجاوز جنسی در تأسیسات یا تأسیسات وزارت دفاع رخ داده است.</w:t>
      </w:r>
    </w:p>
    <w:p>
      <w:pPr>
        <w:spacing w:after="28" w:line="216" w:lineRule="auto"/>
        <w:ind w:left="259"/>
        <w:jc w:val="left"/>
      </w:pPr>
      <w:r>
        <w:rPr>
          <w:rFonts w:ascii="Arial" w:hAnsi="Arial"/>
          <w:color w:val="525252"/>
          <w:sz w:val="13"/>
        </w:rPr>
        <w:t>The Air Force offers expedited transfers to Airmen whose adult military dependent makes an allegation of non-domestic abuse sexual assault with the Sexual Assault Prevention and Response Office if the victim has filed an unrestricted report and the alleged sexual assault offender is a service member or if the alleged offender or alleged sexual assault has a military nexus (e.g., adult military dependent, works for DoD as a civilian employee (appropriated and non-appropriated fund employees, or is a government contractor)), or the alleged sexual assault occurred on a DoD installation or facility.</w:t>
      </w:r>
    </w:p>
    <w:p>
      <w:pPr>
        <w:spacing w:after="20" w:line="223" w:lineRule="auto"/>
        <w:jc w:val="right"/>
        <w:bidi/>
      </w:pPr>
      <w:r>
        <w:rPr>
          <w:rFonts w:ascii="Arial" w:hAnsi="Arial"/>
          <w:sz w:val="16"/>
        </w:rPr>
        <w:t>170.03  نیروی هوایی همچنین به مسافران واجد شرایطی که قربانی خشونت خانگی فیزیکی توسط همسر یا شریک صمیمی قربانی هستند، انتقال سریع ارائه می‌کند.</w:t>
      </w:r>
    </w:p>
    <w:p>
      <w:pPr>
        <w:spacing w:after="28" w:line="216" w:lineRule="auto"/>
        <w:ind w:left="259"/>
        <w:jc w:val="left"/>
      </w:pPr>
      <w:r>
        <w:rPr>
          <w:rFonts w:ascii="Arial" w:hAnsi="Arial"/>
          <w:color w:val="525252"/>
          <w:sz w:val="13"/>
        </w:rPr>
        <w:t>The Air Force also offers expedited transfers to eligible Airmen who are victims of physical domestic violence committed by the spouse or intimate partner of the victim.</w:t>
      </w:r>
    </w:p>
    <w:p>
      <w:pPr>
        <w:spacing w:after="20" w:line="223" w:lineRule="auto"/>
        <w:jc w:val="right"/>
        <w:bidi/>
      </w:pPr>
      <w:r>
        <w:rPr>
          <w:rFonts w:ascii="Arial" w:hAnsi="Arial"/>
          <w:sz w:val="16"/>
        </w:rPr>
        <w:t>170.04  هوانوردان می‌توانند با کمک دفتر برنامه حمایت از خانواده، دفتر پیشگیری و پاسخ به تجاوز جنسی، برنامه کمک به قربانیان و شاهدان در دفتر حقوقی تاسیسات، یا فرمانده آنها، درخواست انتقال سریع کنند.</w:t>
      </w:r>
    </w:p>
    <w:p>
      <w:pPr>
        <w:spacing w:after="28" w:line="216" w:lineRule="auto"/>
        <w:ind w:left="259"/>
        <w:jc w:val="left"/>
      </w:pPr>
      <w:r>
        <w:rPr>
          <w:rFonts w:ascii="Arial" w:hAnsi="Arial"/>
          <w:color w:val="525252"/>
          <w:sz w:val="13"/>
        </w:rPr>
        <w:t>Airmen may request an expedited transfer with assistance from the installation Family Advocacy Program Office, Sexual Assault Prevention and Response Office, the Victim and Witness Assistance Program in the installation’s Legal Office, or their commander.</w:t>
      </w:r>
    </w:p>
    <w:p>
      <w:pPr>
        <w:spacing w:after="20" w:line="223" w:lineRule="auto"/>
        <w:jc w:val="right"/>
        <w:bidi/>
      </w:pPr>
      <w:r>
        <w:rPr>
          <w:rFonts w:ascii="Arial" w:hAnsi="Arial"/>
          <w:sz w:val="16"/>
        </w:rPr>
        <w:t>170.05  برای افزایش حفاظت از قربانی تجاوز جنسی، جابجایی احتمالی مجرم ادعا شده باید توسط معاون فرمانده (یا معادل آن) در نظر گرفته شود و بین منافع قربانی تجاوز جنسی و مجرم ادعایی تعادل برقرار کند.</w:t>
      </w:r>
    </w:p>
    <w:p>
      <w:pPr>
        <w:spacing w:after="28" w:line="216" w:lineRule="auto"/>
        <w:ind w:left="259"/>
        <w:jc w:val="left"/>
      </w:pPr>
      <w:r>
        <w:rPr>
          <w:rFonts w:ascii="Arial" w:hAnsi="Arial"/>
          <w:color w:val="525252"/>
          <w:sz w:val="13"/>
        </w:rPr>
        <w:t>To enhance protection for the sexual assault victim, potential reassignment of the alleged offender shall be considered by the vice wing commander (or equivalent), balancing interests of the sexual assault victim and the alleged offender.</w:t>
      </w:r>
    </w:p>
    <w:p>
      <w:pPr>
        <w:spacing w:after="20" w:line="223" w:lineRule="auto"/>
        <w:jc w:val="right"/>
        <w:bidi/>
      </w:pPr>
      <w:r>
        <w:rPr>
          <w:rFonts w:ascii="Arial" w:hAnsi="Arial"/>
          <w:sz w:val="16"/>
        </w:rPr>
        <w:t>170.06  یک عضو نیروی هوایی (قربانی یا مظنون به مجرم) معمولا تنها زمانی از عزیمت به PCS به تعویق می‌افتد که برای تکمیل تحقیقات یا اقدام جنایی یا انضباطی که در آن موضوع انجام می‌شود، بمانند.</w:t>
      </w:r>
    </w:p>
    <w:p>
      <w:pPr>
        <w:spacing w:after="28" w:line="216" w:lineRule="auto"/>
        <w:ind w:left="259"/>
        <w:jc w:val="left"/>
      </w:pPr>
      <w:r>
        <w:rPr>
          <w:rFonts w:ascii="Arial" w:hAnsi="Arial"/>
          <w:color w:val="525252"/>
          <w:sz w:val="13"/>
        </w:rPr>
        <w:t>An Airman (victim or alleged offender) will generally only be delayed from departing for a PCS when they are required to remain for completion of a criminal or disciplinary investigation or action in which they are the subject.</w:t>
      </w:r>
    </w:p>
    <w:p>
      <w:pPr>
        <w:spacing w:after="20" w:line="223" w:lineRule="auto"/>
        <w:jc w:val="right"/>
        <w:bidi/>
      </w:pPr>
      <w:r>
        <w:rPr>
          <w:rFonts w:ascii="Arial" w:hAnsi="Arial"/>
          <w:sz w:val="16"/>
        </w:rPr>
        <w:t>170.07  همه کدهای اقدام انتساب باید از فایل پرسنل عضو نیروی هوایی حذف شوند تا واجد شرایط بودن PCS تسهیل شود.</w:t>
      </w:r>
    </w:p>
    <w:p>
      <w:pPr>
        <w:spacing w:after="28" w:line="216" w:lineRule="auto"/>
        <w:ind w:left="259"/>
        <w:jc w:val="left"/>
      </w:pPr>
      <w:r>
        <w:rPr>
          <w:rFonts w:ascii="Arial" w:hAnsi="Arial"/>
          <w:color w:val="525252"/>
          <w:sz w:val="13"/>
        </w:rPr>
        <w:t>All assignment action codes must be removed from the Airman’s personnel file to facilitate PCS eligibility.</w:t>
      </w:r>
    </w:p>
    <w:p>
      <w:pPr>
        <w:spacing w:after="20" w:line="223" w:lineRule="auto"/>
        <w:jc w:val="right"/>
        <w:bidi/>
      </w:pPr>
      <w:r>
        <w:rPr>
          <w:rFonts w:ascii="Arial" w:hAnsi="Arial"/>
          <w:sz w:val="16"/>
        </w:rPr>
        <w:t>170.08  بازآموزی یا اقدامات جریان متقابل تحت این برنامه به صورت موردی در نظر گرفته می‌شود، زیرا هدف از انتقال عضو نیروی هوایی، پردازش یک تغییر به موقع با حداقل اختلال در حرفه و خانواده یک عضو نیروی هوایی است.</w:t>
      </w:r>
    </w:p>
    <w:p>
      <w:pPr>
        <w:spacing w:after="28" w:line="216" w:lineRule="auto"/>
        <w:ind w:left="259"/>
        <w:jc w:val="left"/>
      </w:pPr>
      <w:r>
        <w:rPr>
          <w:rFonts w:ascii="Arial" w:hAnsi="Arial"/>
          <w:color w:val="525252"/>
          <w:sz w:val="13"/>
        </w:rPr>
        <w:t>Retraining or cross- flow actions will be considered under this program on a case-by-case basis as the goal for transferring the Airman is to process a timely reassignment with minimal disruption to an Airman’s career and family.</w:t>
      </w:r>
    </w:p>
    <w:p>
      <w:r>
        <w:br w:type="page"/>
      </w:r>
    </w:p>
    <w:p>
      <w:pPr>
        <w:spacing w:after="60"/>
        <w:jc w:val="right"/>
        <w:bidi/>
      </w:pPr>
      <w:r>
        <w:rPr>
          <w:rFonts w:ascii="Arial" w:hAnsi="Arial"/>
          <w:b/>
          <w:color w:val="1F4D78"/>
          <w:sz w:val="19"/>
        </w:rPr>
        <w:t>هفتهٔ 171  |  صفحهٔ منبع: 187</w:t>
      </w:r>
    </w:p>
    <w:p>
      <w:pPr>
        <w:spacing w:before="60" w:after="28"/>
        <w:jc w:val="right"/>
        <w:bidi/>
      </w:pPr>
      <w:r>
        <w:rPr>
          <w:b/>
          <w:color w:val="1F4D78"/>
          <w:sz w:val="18"/>
        </w:rPr>
        <w:t>بخش 10B — کدهای شغلی</w:t>
      </w:r>
    </w:p>
    <w:p>
      <w:pPr>
        <w:spacing w:after="20"/>
        <w:ind w:left="259"/>
        <w:jc w:val="left"/>
      </w:pPr>
      <w:r>
        <w:rPr>
          <w:color w:val="555555"/>
          <w:sz w:val="12"/>
        </w:rPr>
        <w:t>Section 10B—Occupational Codes</w:t>
      </w:r>
    </w:p>
    <w:p>
      <w:pPr>
        <w:spacing w:before="60" w:after="28"/>
        <w:jc w:val="right"/>
        <w:bidi/>
      </w:pPr>
      <w:r>
        <w:rPr>
          <w:b/>
          <w:color w:val="1F4D78"/>
          <w:sz w:val="18"/>
        </w:rPr>
        <w:t>10.11. کدهای شغلی رشته شغلی</w:t>
      </w:r>
    </w:p>
    <w:p>
      <w:pPr>
        <w:spacing w:after="20"/>
        <w:ind w:left="259"/>
        <w:jc w:val="left"/>
      </w:pPr>
      <w:r>
        <w:rPr>
          <w:color w:val="555555"/>
          <w:sz w:val="12"/>
        </w:rPr>
        <w:t>10.11. Career Field Occupational Codes</w:t>
      </w:r>
    </w:p>
    <w:p>
      <w:pPr>
        <w:spacing w:after="20" w:line="223" w:lineRule="auto"/>
        <w:jc w:val="right"/>
        <w:bidi/>
      </w:pPr>
      <w:r>
        <w:rPr>
          <w:rFonts w:ascii="Arial" w:hAnsi="Arial"/>
          <w:sz w:val="16"/>
        </w:rPr>
        <w:t>171.03  سیستم طبقه‌بندی پرسنل نظامی برای مطابقت با صلاحیت‌های پرسنل با الزامات شغلی/حرفه‌ای طراحی شده است.</w:t>
      </w:r>
    </w:p>
    <w:p>
      <w:pPr>
        <w:spacing w:after="28" w:line="216" w:lineRule="auto"/>
        <w:ind w:left="259"/>
        <w:jc w:val="left"/>
      </w:pPr>
      <w:r>
        <w:rPr>
          <w:rFonts w:ascii="Arial" w:hAnsi="Arial"/>
          <w:color w:val="525252"/>
          <w:sz w:val="13"/>
        </w:rPr>
        <w:t>The military personnel classification system is designed to match personnel qualifications with job/career field requirements.</w:t>
      </w:r>
    </w:p>
    <w:p>
      <w:pPr>
        <w:spacing w:after="20" w:line="223" w:lineRule="auto"/>
        <w:jc w:val="right"/>
        <w:bidi/>
      </w:pPr>
      <w:r>
        <w:rPr>
          <w:rFonts w:ascii="Arial" w:hAnsi="Arial"/>
          <w:sz w:val="16"/>
        </w:rPr>
        <w:t>171.04  AFMAN ۳۶-۲۱۰۰ مثال‌ها و یادداشت‌هایی در مورد کدهای تخصصی نیروی هوایی افسران و سربازگیری شده (AFSC) ارائه می‌کند.</w:t>
      </w:r>
    </w:p>
    <w:p>
      <w:pPr>
        <w:spacing w:after="28" w:line="216" w:lineRule="auto"/>
        <w:ind w:left="259"/>
        <w:jc w:val="left"/>
      </w:pPr>
      <w:r>
        <w:rPr>
          <w:rFonts w:ascii="Arial" w:hAnsi="Arial"/>
          <w:color w:val="525252"/>
          <w:sz w:val="13"/>
        </w:rPr>
        <w:t>AFMAN 36-2100 provides examples and notes regarding officer and enlisted Air Force Specialty Codes (AFSC).</w:t>
      </w:r>
    </w:p>
    <w:p>
      <w:pPr>
        <w:spacing w:after="20" w:line="223" w:lineRule="auto"/>
        <w:jc w:val="right"/>
        <w:bidi/>
      </w:pPr>
      <w:r>
        <w:rPr>
          <w:rFonts w:ascii="Arial" w:hAnsi="Arial"/>
          <w:sz w:val="16"/>
        </w:rPr>
        <w:t>171.05  AFSC با چهار رقم (افسر) و پنج (درجه‌دار) رقم/نویسه ساخته شده است که نشان دهنده شناسه‌های خاص در ساختار طبقه بندی نظامی است، همانطور که در جدول ۱۰.۱ نشان داده شده است.</w:t>
      </w:r>
    </w:p>
    <w:p>
      <w:pPr>
        <w:spacing w:after="28" w:line="216" w:lineRule="auto"/>
        <w:ind w:left="259"/>
        <w:jc w:val="left"/>
      </w:pPr>
      <w:r>
        <w:rPr>
          <w:rFonts w:ascii="Arial" w:hAnsi="Arial"/>
          <w:color w:val="525252"/>
          <w:sz w:val="13"/>
        </w:rPr>
        <w:t>AFSC are structured with four (officer) and five (enlisted) digits/characters that indicate specific identifiers within the military classification structure, as shown in Table 10.1.</w:t>
      </w:r>
    </w:p>
    <w:p>
      <w:pPr>
        <w:spacing w:before="60" w:after="28"/>
        <w:jc w:val="right"/>
        <w:bidi/>
      </w:pPr>
      <w:r>
        <w:rPr>
          <w:b/>
          <w:color w:val="1F4D78"/>
          <w:sz w:val="18"/>
        </w:rPr>
        <w:t>DIGIT OFFICER AFSC ENLISTED AFSC</w:t>
      </w:r>
    </w:p>
    <w:p>
      <w:pPr>
        <w:spacing w:after="20"/>
        <w:ind w:left="259"/>
        <w:jc w:val="left"/>
      </w:pPr>
      <w:r>
        <w:rPr>
          <w:color w:val="555555"/>
          <w:sz w:val="12"/>
        </w:rPr>
        <w:t>DIGIT OFFICER AFSC ENLISTED AFSC</w:t>
      </w:r>
    </w:p>
    <w:p>
      <w:pPr>
        <w:spacing w:after="20" w:line="223" w:lineRule="auto"/>
        <w:jc w:val="right"/>
        <w:bidi/>
      </w:pPr>
      <w:r>
        <w:rPr>
          <w:rFonts w:ascii="Arial" w:hAnsi="Arial"/>
          <w:sz w:val="16"/>
        </w:rPr>
        <w:t>171.07  گروه شغلی ۱-عملیات؛ ۲-لجستیک؛ ۳-پشتیبانی ۴-پزشکی یا دندانپزشکی؛ ۵- امور حقوقی یا مذهبی. اول ۶-اکتساب یا مالی؛ ۷-تحقیقات ویژه؛ ۸-شناسه وظیفه ویژه؛ ۹-فیلد شغلی استفاده از شناسه گزارشی مثال دوم: ۱۱ - عملیات، مثال خلبانی: ۲ت - لجستیک، حمل و نقل و مدیریت خودرو منطقه عملکردی زیربخش حوزه شغلی مثال سوم: ۱۱ب - عملیات، خلبان، نمونه بمب افکن، حمل و نقل، پیلوتس، و۲ سطح صلاحیت مدیریت خودرو سطح مهارت ۱ - ورودی (هر AFSC) ۱ - کمک ۷ - صنعتگر ۲ - متوسط (فقط برای AFSCها است بنابراین ۳ - شاگرد ۹ - سرپرست تعیین شده در AFOCD) ۵ - مسافر ۰ - مدیر ارشد استخدام شده - چهارمین AFSC (EMSC) (سطح کارکنان فقط به عملکردی مربوط می‌شود مثال: ۲ت۳۷ - تدارکات، حمل و نقل و مسئولیت در موقعیت‌های بالاتر از سطح بال.) مدیریت وسیله نقلیه، مثال مدیریت خودرو: ۱۱ب۴ - عملیات، خلبان، هواپیمای بمب افکن خلبان، واجد شرایط و خدمت در یک موقعیت کارکنان بالاتر از سطح بال ن/ا، سپکیفیک۲FSC و وهیکل ماناگمنت، وهیکل ماناگمنت کرافتسمان، وهیکل ماینتنانک ویژه توانایی، مهارت، صلاحیت خاص یا تعیین کننده سیستم که به یک AFSC محدود نمی‌شود.</w:t>
      </w:r>
    </w:p>
    <w:p>
      <w:pPr>
        <w:spacing w:after="28" w:line="216" w:lineRule="auto"/>
        <w:ind w:left="259"/>
        <w:jc w:val="left"/>
      </w:pPr>
      <w:r>
        <w:rPr>
          <w:rFonts w:ascii="Arial" w:hAnsi="Arial"/>
          <w:color w:val="525252"/>
          <w:sz w:val="13"/>
        </w:rPr>
        <w:t>Career Group 1-Operations; 2-Logistics; 3-Support; 4-Medical or Dental; 5-Legal or Religious Affairs; First 6-Acquisition or Finance; 7-Special Investigations; 8-Special Duty Identifier; 9-Reporting Identifier Utilization Field Career Field Second Example: 11 - Operations, Pilot Example: 2T - Logistics, Transportation and Vehicle Management Functional Area Career Field Subdivision Third Example: 11B - Operations, Pilot, Bomber Example: 2T3 - Logistics, Transportation and Pilot Vehicle Management, Vehicle Management Qualification Level Skill Level 1 - Entry (any AFSC) 1 - Helper 7 - Craftsman 2 - Intermediate (is only for AFSCs so 3 - Apprentice 9 - Superintendent designated in the AFOCD) 5 - Journeyman 0 - Chief Enlisted Manager Fourth 3 - Qualified (any AFSC) (CEM) 4 - Staff (Staff level relates only to functional Example: 2T37 - Logistics, Transportation and responsibility in positions above wing level.) Vehicle Management, Vehicle Management Example: 11B4 - Operations, Pilot, Bomber Craftsman Pilot, qualified and serving in a staff position above wing level N/A Specific AFSC Example: 2T372 - Logistics, Transportation Fifth and Vehicle Management, Vehicle Management Craftsman, Special Vehicle Maintenance An ability, skill, special qualification, or system designator not restricted to a single AFSC.</w:t>
      </w:r>
    </w:p>
    <w:p>
      <w:pPr>
        <w:spacing w:after="20" w:line="223" w:lineRule="auto"/>
        <w:jc w:val="right"/>
        <w:bidi/>
      </w:pPr>
      <w:r>
        <w:rPr>
          <w:rFonts w:ascii="Arial" w:hAnsi="Arial"/>
          <w:sz w:val="16"/>
        </w:rPr>
        <w:t>171.08  مثال پیشوند آلفا: موقعیت‌های پسوند آلفای مربی مرتبط با تجهیزات یا عملکردهای خاص در یک تخصص واحد. (قطع کردن)</w:t>
      </w:r>
    </w:p>
    <w:p>
      <w:pPr>
        <w:spacing w:after="28" w:line="216" w:lineRule="auto"/>
        <w:ind w:left="259"/>
        <w:jc w:val="left"/>
      </w:pPr>
      <w:r>
        <w:rPr>
          <w:rFonts w:ascii="Arial" w:hAnsi="Arial"/>
          <w:color w:val="525252"/>
          <w:sz w:val="13"/>
        </w:rPr>
        <w:t>Alpha Prefix Example: Instructor Alpha Suffix Positions associated with particular equipment or functions within a single specialty. (shred out)</w:t>
      </w:r>
    </w:p>
    <w:p>
      <w:pPr>
        <w:spacing w:before="60" w:after="28"/>
        <w:jc w:val="right"/>
        <w:bidi/>
      </w:pPr>
      <w:r>
        <w:rPr>
          <w:b/>
          <w:color w:val="1F4D78"/>
          <w:sz w:val="18"/>
        </w:rPr>
        <w:t>جدول 10.1. سیستم طبقه بندی کد تخصصی نیروی هوایی.</w:t>
      </w:r>
    </w:p>
    <w:p>
      <w:pPr>
        <w:spacing w:after="20"/>
        <w:ind w:left="259"/>
        <w:jc w:val="left"/>
      </w:pPr>
      <w:r>
        <w:rPr>
          <w:color w:val="555555"/>
          <w:sz w:val="12"/>
        </w:rPr>
        <w:t>Table 10.1. Air Force Specialty Code Classification System.</w:t>
      </w:r>
    </w:p>
    <w:p>
      <w:pPr>
        <w:spacing w:before="60" w:after="28"/>
        <w:jc w:val="right"/>
        <w:bidi/>
      </w:pPr>
      <w:r>
        <w:rPr>
          <w:b/>
          <w:color w:val="1F4D78"/>
          <w:sz w:val="18"/>
        </w:rPr>
        <w:t>10.12. فهرست رده‌بندی نیروی هوایی (AFECD)</w:t>
      </w:r>
    </w:p>
    <w:p>
      <w:pPr>
        <w:spacing w:after="20"/>
        <w:ind w:left="259"/>
        <w:jc w:val="left"/>
      </w:pPr>
      <w:r>
        <w:rPr>
          <w:color w:val="555555"/>
          <w:sz w:val="12"/>
        </w:rPr>
        <w:t>10.12. Air Force Enlisted Classification Directory (AFECD)</w:t>
      </w:r>
    </w:p>
    <w:p>
      <w:pPr>
        <w:spacing w:after="20" w:line="223" w:lineRule="auto"/>
        <w:jc w:val="right"/>
        <w:bidi/>
      </w:pPr>
      <w:r>
        <w:rPr>
          <w:rFonts w:ascii="Arial" w:hAnsi="Arial"/>
          <w:sz w:val="16"/>
        </w:rPr>
        <w:t>171.11  AFECD راهنمای رسمی کدهای طبقه‌بندی ثبت‌شده USAF است و فهرست رده‌بندی افسران نیروی هوایی (AFOCD) راهنمای رسمی کدهای طبقه‌بندی افسران USAF است.</w:t>
      </w:r>
    </w:p>
    <w:p>
      <w:pPr>
        <w:spacing w:after="28" w:line="216" w:lineRule="auto"/>
        <w:ind w:left="259"/>
        <w:jc w:val="left"/>
      </w:pPr>
      <w:r>
        <w:rPr>
          <w:rFonts w:ascii="Arial" w:hAnsi="Arial"/>
          <w:color w:val="525252"/>
          <w:sz w:val="13"/>
        </w:rPr>
        <w:t>The AFECD is the official guide to the USAF enlisted classification codes, and the Air Force Officer Classification Directory (AFOCD) is the official guide to the USAF officer classification codes.</w:t>
      </w:r>
    </w:p>
    <w:p>
      <w:pPr>
        <w:spacing w:after="20" w:line="223" w:lineRule="auto"/>
        <w:jc w:val="right"/>
        <w:bidi/>
      </w:pPr>
      <w:r>
        <w:rPr>
          <w:rFonts w:ascii="Arial" w:hAnsi="Arial"/>
          <w:sz w:val="16"/>
        </w:rPr>
        <w:t>171.12  هر دو دایرکتوری اهداف بسیار مشابهی دارند.</w:t>
      </w:r>
    </w:p>
    <w:p>
      <w:pPr>
        <w:spacing w:after="28" w:line="216" w:lineRule="auto"/>
        <w:ind w:left="259"/>
        <w:jc w:val="left"/>
      </w:pPr>
      <w:r>
        <w:rPr>
          <w:rFonts w:ascii="Arial" w:hAnsi="Arial"/>
          <w:color w:val="525252"/>
          <w:sz w:val="13"/>
        </w:rPr>
        <w:t>Both directories serve very similar purposes.</w:t>
      </w:r>
    </w:p>
    <w:p>
      <w:pPr>
        <w:spacing w:after="20" w:line="223" w:lineRule="auto"/>
        <w:jc w:val="right"/>
        <w:bidi/>
      </w:pPr>
      <w:r>
        <w:rPr>
          <w:rFonts w:ascii="Arial" w:hAnsi="Arial"/>
          <w:sz w:val="16"/>
        </w:rPr>
        <w:t>171.13  AFECD ساختار شغلی نیروی ثبت‌نام شده را ایجاد می‌کند، در درجه اول برای استفاده توسط مقامات پرسنل و آژانس‌های درگیر در</w:t>
      </w:r>
    </w:p>
    <w:p>
      <w:pPr>
        <w:spacing w:after="28" w:line="216" w:lineRule="auto"/>
        <w:ind w:left="259"/>
        <w:jc w:val="left"/>
      </w:pPr>
      <w:r>
        <w:rPr>
          <w:rFonts w:ascii="Arial" w:hAnsi="Arial"/>
          <w:color w:val="525252"/>
          <w:sz w:val="13"/>
        </w:rPr>
        <w:t>The AFECD establishes the occupational structure of the enlisted force, primarily for use by personnel officials and agencies engaged in</w:t>
      </w:r>
    </w:p>
    <w:p>
      <w:r>
        <w:br w:type="page"/>
      </w:r>
    </w:p>
    <w:p>
      <w:pPr>
        <w:spacing w:after="60"/>
        <w:jc w:val="right"/>
        <w:bidi/>
      </w:pPr>
      <w:r>
        <w:rPr>
          <w:rFonts w:ascii="Arial" w:hAnsi="Arial"/>
          <w:b/>
          <w:color w:val="1F4D78"/>
          <w:sz w:val="19"/>
        </w:rPr>
        <w:t>هفتهٔ 172  |  صفحهٔ منبع: 188</w:t>
      </w:r>
    </w:p>
    <w:p>
      <w:pPr>
        <w:spacing w:after="20" w:line="223" w:lineRule="auto"/>
        <w:jc w:val="right"/>
        <w:bidi/>
      </w:pPr>
      <w:r>
        <w:rPr>
          <w:rFonts w:ascii="Arial" w:hAnsi="Arial"/>
          <w:sz w:val="16"/>
        </w:rPr>
        <w:t>172.01  تدارکات، طبقه بندی و آموزش اعضای USAF به نحوی که به پرسنل استخدام شده اجازه می‌دهد تخصص و مهارت‌ها و توانایی‌های خود را توسعه دهند و در عین حال به USAF اجازه می‌دهد شرایط تغییر مأموریت را برآورده کند.</w:t>
      </w:r>
    </w:p>
    <w:p>
      <w:pPr>
        <w:spacing w:after="28" w:line="216" w:lineRule="auto"/>
        <w:ind w:left="259"/>
        <w:jc w:val="left"/>
      </w:pPr>
      <w:r>
        <w:rPr>
          <w:rFonts w:ascii="Arial" w:hAnsi="Arial"/>
          <w:color w:val="525252"/>
          <w:sz w:val="13"/>
        </w:rPr>
        <w:t>procurement, classification, and training of USAF members in a manner that permits enlisted personnel to specialize and develop their skills and abilities while allowing the USAF to meet changing mission requirements.</w:t>
      </w:r>
    </w:p>
    <w:p>
      <w:pPr>
        <w:spacing w:after="20" w:line="223" w:lineRule="auto"/>
        <w:jc w:val="right"/>
        <w:bidi/>
      </w:pPr>
      <w:r>
        <w:rPr>
          <w:rFonts w:ascii="Arial" w:hAnsi="Arial"/>
          <w:sz w:val="16"/>
        </w:rPr>
        <w:t>172.02  AFECD به ترتیب عددی/الفبایی بر اساس رشته شغلی و AFSC سازماندهی شده است.</w:t>
      </w:r>
    </w:p>
    <w:p>
      <w:pPr>
        <w:spacing w:after="28" w:line="216" w:lineRule="auto"/>
        <w:ind w:left="259"/>
        <w:jc w:val="left"/>
      </w:pPr>
      <w:r>
        <w:rPr>
          <w:rFonts w:ascii="Arial" w:hAnsi="Arial"/>
          <w:color w:val="525252"/>
          <w:sz w:val="13"/>
        </w:rPr>
        <w:t>The AFECD is organized in numerical/alphabetical order according to career field and AFSC.</w:t>
      </w:r>
    </w:p>
    <w:p>
      <w:pPr>
        <w:spacing w:after="20" w:line="223" w:lineRule="auto"/>
        <w:jc w:val="right"/>
        <w:bidi/>
      </w:pPr>
      <w:r>
        <w:rPr>
          <w:rFonts w:ascii="Arial" w:hAnsi="Arial"/>
          <w:sz w:val="16"/>
        </w:rPr>
        <w:t>172.03  هر رشته شغلی در AFECD توضیح داده شده است و به دنبال آن هر AFSC در آن رستهٔ شغلی تجزیه و تحلیل می‌شود.</w:t>
      </w:r>
    </w:p>
    <w:p>
      <w:pPr>
        <w:spacing w:after="28" w:line="216" w:lineRule="auto"/>
        <w:ind w:left="259"/>
        <w:jc w:val="left"/>
      </w:pPr>
      <w:r>
        <w:rPr>
          <w:rFonts w:ascii="Arial" w:hAnsi="Arial"/>
          <w:color w:val="525252"/>
          <w:sz w:val="13"/>
        </w:rPr>
        <w:t>Each career field is described in the AFECD, followed by a breakdown of each AFSC within that career field.</w:t>
      </w:r>
    </w:p>
    <w:p>
      <w:pPr>
        <w:spacing w:after="20" w:line="223" w:lineRule="auto"/>
        <w:jc w:val="right"/>
        <w:bidi/>
      </w:pPr>
      <w:r>
        <w:rPr>
          <w:rFonts w:ascii="Arial" w:hAnsi="Arial"/>
          <w:sz w:val="16"/>
        </w:rPr>
        <w:t>172.04  رشته‌های شغلی به روش زیر طبقه‌بندی می‌شوند: عملیات (۱کس)، لجستیک (۲کس)، پشتیبانی (۳کس)، پزشکی (۴کس)، امور حقوقی و مذهبی (۵کس)، قراردادی و مالی (۶کس)، تحقیقات ویژه (۷کس)، شناسه‌های وظیفه ویژه (۸کسفی)، و گزارش‌دهی ی۹کسدن.</w:t>
      </w:r>
    </w:p>
    <w:p>
      <w:pPr>
        <w:spacing w:after="28" w:line="216" w:lineRule="auto"/>
        <w:ind w:left="259"/>
        <w:jc w:val="left"/>
      </w:pPr>
      <w:r>
        <w:rPr>
          <w:rFonts w:ascii="Arial" w:hAnsi="Arial"/>
          <w:color w:val="525252"/>
          <w:sz w:val="13"/>
        </w:rPr>
        <w:t>Career fields are classified in the following manner: Operations (1X), Logistics (2X), Support (3X), Medical (4X), Paralegal and Religious Affairs (5X), Contracting and Financial (6X), Special Investigations (7X), Special Duty Identifiers (8X), and Reporting Identifiers (9X).</w:t>
      </w:r>
    </w:p>
    <w:p>
      <w:pPr>
        <w:spacing w:after="20" w:line="223" w:lineRule="auto"/>
        <w:jc w:val="right"/>
        <w:bidi/>
      </w:pPr>
      <w:r>
        <w:rPr>
          <w:rFonts w:ascii="Arial" w:hAnsi="Arial"/>
          <w:sz w:val="16"/>
        </w:rPr>
        <w:t>172.05  توجه: شناسه‌های گزارش‌دهی (۹کس) مجوزها و هوانوردان ثبت‌نام شده فردی را که در ساختار طبقه بندی قابل شناسایی نیستند و شرح تخصص برای آنها نوشته نشده است را مشخص می‌کند، همانطور که در AFECD ارائه شده است.</w:t>
      </w:r>
    </w:p>
    <w:p>
      <w:pPr>
        <w:spacing w:after="28" w:line="216" w:lineRule="auto"/>
        <w:ind w:left="259"/>
        <w:jc w:val="left"/>
      </w:pPr>
      <w:r>
        <w:rPr>
          <w:rFonts w:ascii="Arial" w:hAnsi="Arial"/>
          <w:color w:val="525252"/>
          <w:sz w:val="13"/>
        </w:rPr>
        <w:t>Note: Reporting Identifiers (9X) identify authorizations and individual enlisted Airmen who are not identifiable in the classification structure and for whom specialty descriptions are not written, as provided in the AFECD.</w:t>
      </w:r>
    </w:p>
    <w:p>
      <w:pPr>
        <w:spacing w:after="20" w:line="223" w:lineRule="auto"/>
        <w:jc w:val="right"/>
        <w:bidi/>
      </w:pPr>
      <w:r>
        <w:rPr>
          <w:rFonts w:ascii="Arial" w:hAnsi="Arial"/>
          <w:sz w:val="16"/>
        </w:rPr>
        <w:t>172.06  رشته شغلی عملیات خدمه هوایی (۱ا).</w:t>
      </w:r>
    </w:p>
    <w:p>
      <w:pPr>
        <w:spacing w:after="28" w:line="216" w:lineRule="auto"/>
        <w:ind w:left="259"/>
        <w:jc w:val="left"/>
      </w:pPr>
      <w:r>
        <w:rPr>
          <w:rFonts w:ascii="Arial" w:hAnsi="Arial"/>
          <w:color w:val="525252"/>
          <w:sz w:val="13"/>
        </w:rPr>
        <w:t>Aircrew Operations Career Field (1A).</w:t>
      </w:r>
    </w:p>
    <w:p>
      <w:pPr>
        <w:spacing w:after="20" w:line="223" w:lineRule="auto"/>
        <w:jc w:val="right"/>
        <w:bidi/>
      </w:pPr>
      <w:r>
        <w:rPr>
          <w:rFonts w:ascii="Arial" w:hAnsi="Arial"/>
          <w:sz w:val="16"/>
        </w:rPr>
        <w:t>172.07  حوزه شغلی عملیات خدمه هوایی شامل وظایف قبل از پرواز، حین پرواز و پس از پرواز بازرسی، آموزش، هدایت، و انجام عملیات رزمی، تحرک، و عملیات ویژه مربوط به فعالیت‌های اولیه خدمه هوایی است.</w:t>
      </w:r>
    </w:p>
    <w:p>
      <w:pPr>
        <w:spacing w:after="28" w:line="216" w:lineRule="auto"/>
        <w:ind w:left="259"/>
        <w:jc w:val="left"/>
      </w:pPr>
      <w:r>
        <w:rPr>
          <w:rFonts w:ascii="Arial" w:hAnsi="Arial"/>
          <w:color w:val="525252"/>
          <w:sz w:val="13"/>
        </w:rPr>
        <w:t>The aircrew operations career field encompasses the pre- flight, in-flight, and post-flight duties of inspecting, training, directing, and performing combat, mobility, and special operations pertinent to enlisted primary aircrew activities.</w:t>
      </w:r>
    </w:p>
    <w:p>
      <w:pPr>
        <w:spacing w:after="20" w:line="223" w:lineRule="auto"/>
        <w:jc w:val="right"/>
        <w:bidi/>
      </w:pPr>
      <w:r>
        <w:rPr>
          <w:rFonts w:ascii="Arial" w:hAnsi="Arial"/>
          <w:sz w:val="16"/>
        </w:rPr>
        <w:t>172.08  این رشته شغلی شامل مسئولیت‌های متعددی است، مانند انجام مسئولیت‌های سوخت‌گیری هوایی در پرواز؛ سیستم‌های عملیاتی هواپیما؛ دریافت و جاگذاری بار و مسافر؛ محاسبه وزن و تعادل هواپیما؛ عملیات ارتباطات هوابرد؛ مدیریت سیستم‌های اطلاعات اطلاعاتی سیگنال‌های هوابرد؛ و انجام شناسایی، اکتساب، ضبط، ترجمه، تجزیه و تحلیل و گزارش ارتباطات صوتی اختصاص داده شده.</w:t>
      </w:r>
    </w:p>
    <w:p>
      <w:pPr>
        <w:spacing w:after="28" w:line="216" w:lineRule="auto"/>
        <w:ind w:left="259"/>
        <w:jc w:val="left"/>
      </w:pPr>
      <w:r>
        <w:rPr>
          <w:rFonts w:ascii="Arial" w:hAnsi="Arial"/>
          <w:color w:val="525252"/>
          <w:sz w:val="13"/>
        </w:rPr>
        <w:t>This career field includes numerous responsibilities, such as performing in-flight air refueling responsibilities; operating aircraft systems; receiving and placement of cargo and passengers; computing aircraft weight and balance; operating airborne communications; managing airborne signals intelligence information systems; and performing identification, acquisition, recording, translating, analyzing, and reporting of assigned voice communications.</w:t>
      </w:r>
    </w:p>
    <w:p>
      <w:pPr>
        <w:spacing w:after="20" w:line="223" w:lineRule="auto"/>
        <w:jc w:val="right"/>
        <w:bidi/>
      </w:pPr>
      <w:r>
        <w:rPr>
          <w:rFonts w:ascii="Arial" w:hAnsi="Arial"/>
          <w:sz w:val="16"/>
        </w:rPr>
        <w:t>172.09  رشته شغلی جنگ سایبری (۱ب).</w:t>
      </w:r>
    </w:p>
    <w:p>
      <w:pPr>
        <w:spacing w:after="28" w:line="216" w:lineRule="auto"/>
        <w:ind w:left="259"/>
        <w:jc w:val="left"/>
      </w:pPr>
      <w:r>
        <w:rPr>
          <w:rFonts w:ascii="Arial" w:hAnsi="Arial"/>
          <w:color w:val="525252"/>
          <w:sz w:val="13"/>
        </w:rPr>
        <w:t>Cyber Warfare Career Field (1B).</w:t>
      </w:r>
    </w:p>
    <w:p>
      <w:pPr>
        <w:spacing w:after="20" w:line="223" w:lineRule="auto"/>
        <w:jc w:val="right"/>
        <w:bidi/>
      </w:pPr>
      <w:r>
        <w:rPr>
          <w:rFonts w:ascii="Arial" w:hAnsi="Arial"/>
          <w:sz w:val="16"/>
        </w:rPr>
        <w:t>172.10  حوزه شغلی جنگ سایبری شامل کارکردهایی برای توسعه، حفظ و ارتقای قابلیت‌های فضای سایبری برای دفاع از منافع ملی در برابر حمله و ایجاد اثرات در حوزه فضای سایبری برای دستیابی به اهداف ملی است.</w:t>
      </w:r>
    </w:p>
    <w:p>
      <w:pPr>
        <w:spacing w:after="28" w:line="216" w:lineRule="auto"/>
        <w:ind w:left="259"/>
        <w:jc w:val="left"/>
      </w:pPr>
      <w:r>
        <w:rPr>
          <w:rFonts w:ascii="Arial" w:hAnsi="Arial"/>
          <w:color w:val="525252"/>
          <w:sz w:val="13"/>
        </w:rPr>
        <w:t>The cyber warfare career field encompasses functions to develop, sustain, and enhance cyberspace capabilities to defend national interests from attack and to create effects in the cyberspace domain to achieve national objectives.</w:t>
      </w:r>
    </w:p>
    <w:p>
      <w:pPr>
        <w:spacing w:after="20" w:line="223" w:lineRule="auto"/>
        <w:jc w:val="right"/>
        <w:bidi/>
      </w:pPr>
      <w:r>
        <w:rPr>
          <w:rFonts w:ascii="Arial" w:hAnsi="Arial"/>
          <w:sz w:val="16"/>
        </w:rPr>
        <w:t>172.11  عملیات را با استفاده از تاکتیک‌ها، تکنیک‌ها و رویه‌های تعیین‌شده برای دستیابی به اهداف خدمات، CCMD و ملی انجام می‌دهد.</w:t>
      </w:r>
    </w:p>
    <w:p>
      <w:pPr>
        <w:spacing w:after="28" w:line="216" w:lineRule="auto"/>
        <w:ind w:left="259"/>
        <w:jc w:val="left"/>
      </w:pPr>
      <w:r>
        <w:rPr>
          <w:rFonts w:ascii="Arial" w:hAnsi="Arial"/>
          <w:color w:val="525252"/>
          <w:sz w:val="13"/>
        </w:rPr>
        <w:t>Conducts operations using established tactics, techniques, and procedures to achieve service, CCMD, and national objectives.</w:t>
      </w:r>
    </w:p>
    <w:p>
      <w:pPr>
        <w:spacing w:after="20" w:line="223" w:lineRule="auto"/>
        <w:jc w:val="right"/>
        <w:bidi/>
      </w:pPr>
      <w:r>
        <w:rPr>
          <w:rFonts w:ascii="Arial" w:hAnsi="Arial"/>
          <w:sz w:val="16"/>
        </w:rPr>
        <w:t>172.12  حوزه شغلی عملیات سیستم‌های فرماندهی و کنترل (۱ک).</w:t>
      </w:r>
    </w:p>
    <w:p>
      <w:pPr>
        <w:spacing w:after="28" w:line="216" w:lineRule="auto"/>
        <w:ind w:left="259"/>
        <w:jc w:val="left"/>
      </w:pPr>
      <w:r>
        <w:rPr>
          <w:rFonts w:ascii="Arial" w:hAnsi="Arial"/>
          <w:color w:val="525252"/>
          <w:sz w:val="13"/>
        </w:rPr>
        <w:t>Command and Control Systems Operations Career Field (1C).</w:t>
      </w:r>
    </w:p>
    <w:p>
      <w:pPr>
        <w:spacing w:after="20" w:line="223" w:lineRule="auto"/>
        <w:jc w:val="right"/>
        <w:bidi/>
      </w:pPr>
      <w:r>
        <w:rPr>
          <w:rFonts w:ascii="Arial" w:hAnsi="Arial"/>
          <w:sz w:val="16"/>
        </w:rPr>
        <w:t>172.13  حوزه حرفه‌ای عملیات سیستم‌های فرماندهی و کنترل شامل عملکردهای درگیر در نظارت هوافضا و شناسایی وسایل نقلیه هوافضا، از جمله سیستم‌های هشدار موشک، کنترل، و نقشه برداری است.</w:t>
      </w:r>
    </w:p>
    <w:p>
      <w:pPr>
        <w:spacing w:after="28" w:line="216" w:lineRule="auto"/>
        <w:ind w:left="259"/>
        <w:jc w:val="left"/>
      </w:pPr>
      <w:r>
        <w:rPr>
          <w:rFonts w:ascii="Arial" w:hAnsi="Arial"/>
          <w:color w:val="525252"/>
          <w:sz w:val="13"/>
        </w:rPr>
        <w:t>The command and control systems operations career field encompasses the functions involved in aerospace surveillance and aerospace vehicle detection, including missile warning systems, controlling, and plotting.</w:t>
      </w:r>
    </w:p>
    <w:p>
      <w:pPr>
        <w:spacing w:after="20" w:line="223" w:lineRule="auto"/>
        <w:jc w:val="right"/>
        <w:bidi/>
      </w:pPr>
      <w:r>
        <w:rPr>
          <w:rFonts w:ascii="Arial" w:hAnsi="Arial"/>
          <w:sz w:val="16"/>
        </w:rPr>
        <w:t>172.14  این رشته شغلی شامل برج کنترل، فرودگاه و مدیریت راه‌های هوایی است. رویه‌های رویکرد کنترل شده زمینی؛ بهره‌برداری و نگهداری رادار زمینی و تجهیزات مربوطه؛ مدیریت سیستم‌های عملیاتی؛ توابع فرماندهی و کنترل؛ اقدامات متقابل جنگ الکترونیک؛ پشتیبانی هوایی نزدیک، شناسایی هوایی تاکتیکی، و درخواست مأموریت حمل و نقل هوایی؛ کمک به کنترل کننده‌های هوای جلو در مأموریت‌های هوایی تاکتیکی؛ و ارائه کنترل ضربات ترمینال موقت برای کنترل کننده‌های هوای جلو.</w:t>
      </w:r>
    </w:p>
    <w:p>
      <w:pPr>
        <w:spacing w:after="28" w:line="216" w:lineRule="auto"/>
        <w:ind w:left="259"/>
        <w:jc w:val="left"/>
      </w:pPr>
      <w:r>
        <w:rPr>
          <w:rFonts w:ascii="Arial" w:hAnsi="Arial"/>
          <w:color w:val="525252"/>
          <w:sz w:val="13"/>
        </w:rPr>
        <w:t>This career field includes control tower, airfield, and airways management; ground-controlled approach procedures; operation and maintenance of ground radar and related equipment; operations systems management; command and control functions; electronic warfare countermeasures; close air support, tactical air reconnaissance, and airlift mission requests; assisting forward air controllers in tactical air missions; and providing interim terminal strike control for forward air controllers.</w:t>
      </w:r>
    </w:p>
    <w:p>
      <w:pPr>
        <w:spacing w:after="20" w:line="223" w:lineRule="auto"/>
        <w:jc w:val="right"/>
        <w:bidi/>
      </w:pPr>
      <w:r>
        <w:rPr>
          <w:rFonts w:ascii="Arial" w:hAnsi="Arial"/>
          <w:sz w:val="16"/>
        </w:rPr>
        <w:t>172.15  میدان شغلی عملیات دفاع سایبری (۱د).</w:t>
      </w:r>
    </w:p>
    <w:p>
      <w:pPr>
        <w:spacing w:after="28" w:line="216" w:lineRule="auto"/>
        <w:ind w:left="259"/>
        <w:jc w:val="left"/>
      </w:pPr>
      <w:r>
        <w:rPr>
          <w:rFonts w:ascii="Arial" w:hAnsi="Arial"/>
          <w:color w:val="525252"/>
          <w:sz w:val="13"/>
        </w:rPr>
        <w:t>Cyber Defense Operations Career Field (1D).</w:t>
      </w:r>
    </w:p>
    <w:p>
      <w:pPr>
        <w:spacing w:after="20" w:line="223" w:lineRule="auto"/>
        <w:jc w:val="right"/>
        <w:bidi/>
      </w:pPr>
      <w:r>
        <w:rPr>
          <w:rFonts w:ascii="Arial" w:hAnsi="Arial"/>
          <w:sz w:val="16"/>
        </w:rPr>
        <w:t>172.16  حوزه حرفه‌ای عملیات دفاع سایبری، عملیات سایبری دفاعی و توابع سایبری (عملیات دودین) را در پادگان و در محیط‌های مستقر مدیریت و انجام می‌دهد.</w:t>
      </w:r>
    </w:p>
    <w:p>
      <w:pPr>
        <w:spacing w:after="28" w:line="216" w:lineRule="auto"/>
        <w:ind w:left="259"/>
        <w:jc w:val="left"/>
      </w:pPr>
      <w:r>
        <w:rPr>
          <w:rFonts w:ascii="Arial" w:hAnsi="Arial"/>
          <w:color w:val="525252"/>
          <w:sz w:val="13"/>
        </w:rPr>
        <w:t>The cyber defense operations career field manages and performs Defensive Cyber Operations and cyber functions (DoDIN operations) in garrison and in deployed environments.</w:t>
      </w:r>
    </w:p>
    <w:p>
      <w:pPr>
        <w:spacing w:after="20" w:line="223" w:lineRule="auto"/>
        <w:jc w:val="right"/>
        <w:bidi/>
      </w:pPr>
      <w:r>
        <w:rPr>
          <w:rFonts w:ascii="Arial" w:hAnsi="Arial"/>
          <w:sz w:val="16"/>
        </w:rPr>
        <w:t>172.17  داده‌ها، شبکه‌ها، قابلیت‌های شبکه محور و سایر سیستم‌های تعیین‌شده را بررسی، ایمن، محافظت، دفاع، حفظ، طراحی، ساخت، بهره‌برداری و گسترش می‌دهد.</w:t>
      </w:r>
    </w:p>
    <w:p>
      <w:pPr>
        <w:spacing w:after="28" w:line="216" w:lineRule="auto"/>
        <w:ind w:left="259"/>
        <w:jc w:val="left"/>
      </w:pPr>
      <w:r>
        <w:rPr>
          <w:rFonts w:ascii="Arial" w:hAnsi="Arial"/>
          <w:color w:val="525252"/>
          <w:sz w:val="13"/>
        </w:rPr>
        <w:t>Surveys, secures, protects, defends, preserves, designs, builds, operates, and extends data, networks, net-centric capabilities, and other designated systems.</w:t>
      </w:r>
    </w:p>
    <w:p>
      <w:pPr>
        <w:spacing w:after="20" w:line="223" w:lineRule="auto"/>
        <w:jc w:val="right"/>
        <w:bidi/>
      </w:pPr>
      <w:r>
        <w:rPr>
          <w:rFonts w:ascii="Arial" w:hAnsi="Arial"/>
          <w:sz w:val="16"/>
        </w:rPr>
        <w:t>172.18  مدیریت استعداد را با حصول اطمینان از اینکه هوانوردان مناسب در زمان مناسب به مأموریت مناسب اختصاص داده شده‌اند، در بر می‌گیرد.</w:t>
      </w:r>
    </w:p>
    <w:p>
      <w:pPr>
        <w:spacing w:after="28" w:line="216" w:lineRule="auto"/>
        <w:ind w:left="259"/>
        <w:jc w:val="left"/>
      </w:pPr>
      <w:r>
        <w:rPr>
          <w:rFonts w:ascii="Arial" w:hAnsi="Arial"/>
          <w:color w:val="525252"/>
          <w:sz w:val="13"/>
        </w:rPr>
        <w:t>Incorporates talent management by ensuring the right Airmen are assigned to the right assignment at the right time.</w:t>
      </w:r>
    </w:p>
    <w:p>
      <w:pPr>
        <w:spacing w:after="20" w:line="223" w:lineRule="auto"/>
        <w:jc w:val="right"/>
        <w:bidi/>
      </w:pPr>
      <w:r>
        <w:rPr>
          <w:rFonts w:ascii="Arial" w:hAnsi="Arial"/>
          <w:sz w:val="16"/>
        </w:rPr>
        <w:t>172.19  قابلیت‌های سایبری، ارتباطات و فناوری اطلاعات به‌طور حیاتی زیربنای تمام مأموریت‌های اصلی نیروی هوایی و فضایی است.</w:t>
      </w:r>
    </w:p>
    <w:p>
      <w:pPr>
        <w:spacing w:after="28" w:line="216" w:lineRule="auto"/>
        <w:ind w:left="259"/>
        <w:jc w:val="left"/>
      </w:pPr>
      <w:r>
        <w:rPr>
          <w:rFonts w:ascii="Arial" w:hAnsi="Arial"/>
          <w:color w:val="525252"/>
          <w:sz w:val="13"/>
        </w:rPr>
        <w:t>Cyber, communications and Information Technology capabilities critically underpin all Air and Space Force core missions.</w:t>
      </w:r>
    </w:p>
    <w:p>
      <w:pPr>
        <w:spacing w:after="20" w:line="223" w:lineRule="auto"/>
        <w:jc w:val="right"/>
        <w:bidi/>
      </w:pPr>
      <w:r>
        <w:rPr>
          <w:rFonts w:ascii="Arial" w:hAnsi="Arial"/>
          <w:sz w:val="16"/>
        </w:rPr>
        <w:t>172.20  ارائه حکمرانی و سرمایه‌گذاری متمرکز بر عملیات برای ایجاد پایداری و قابلیت اطمینان برای این حوزه، یک ضرورت جنگی است.</w:t>
      </w:r>
    </w:p>
    <w:p>
      <w:pPr>
        <w:spacing w:after="28" w:line="216" w:lineRule="auto"/>
        <w:ind w:left="259"/>
        <w:jc w:val="left"/>
      </w:pPr>
      <w:r>
        <w:rPr>
          <w:rFonts w:ascii="Arial" w:hAnsi="Arial"/>
          <w:color w:val="525252"/>
          <w:sz w:val="13"/>
        </w:rPr>
        <w:t>The delivery of operationally focused governance and investment to drive sustainability and reliability for this domain is a warfighting necessity.</w:t>
      </w:r>
    </w:p>
    <w:p>
      <w:pPr>
        <w:spacing w:after="20" w:line="223" w:lineRule="auto"/>
        <w:jc w:val="right"/>
        <w:bidi/>
      </w:pPr>
      <w:r>
        <w:rPr>
          <w:rFonts w:ascii="Arial" w:hAnsi="Arial"/>
          <w:sz w:val="16"/>
        </w:rPr>
        <w:t>172.21  این امر وزارت نیروی هوایی را با اقدامات واقعی به جلو سوق می‌دهد که نوسازی و دستیابی به موقعیت سایبری مورد نیاز برای مقابله با چالش‌های سرعت را امکان‌پذیر می‌سازد.</w:t>
      </w:r>
    </w:p>
    <w:p>
      <w:pPr>
        <w:spacing w:after="28" w:line="216" w:lineRule="auto"/>
        <w:ind w:left="259"/>
        <w:jc w:val="left"/>
      </w:pPr>
      <w:r>
        <w:rPr>
          <w:rFonts w:ascii="Arial" w:hAnsi="Arial"/>
          <w:color w:val="525252"/>
          <w:sz w:val="13"/>
        </w:rPr>
        <w:t>This drives the Department of the Air Force forward with real actions which enables modernizing and achieving the cyber posture required to meet pacing challenges.</w:t>
      </w:r>
    </w:p>
    <w:p>
      <w:pPr>
        <w:spacing w:after="20" w:line="223" w:lineRule="auto"/>
        <w:jc w:val="right"/>
        <w:bidi/>
      </w:pPr>
      <w:r>
        <w:rPr>
          <w:rFonts w:ascii="Arial" w:hAnsi="Arial"/>
          <w:sz w:val="16"/>
        </w:rPr>
        <w:t>172.22  این مدل کاملا دارای مأموریت، نیروهای هوایی را توسعه می‌دهد که می‌توانند نقش‌های کاری متعدد را تکمیل کنند و با استفاده از سطوح صلاحیت پیشرفته از طریق مدل شایستگی شغلی که در CFETP موجود در میخانه‌های الکترونیکی موجود است، متخصصان فنی بسازند.</w:t>
      </w:r>
    </w:p>
    <w:p>
      <w:pPr>
        <w:spacing w:after="28" w:line="216" w:lineRule="auto"/>
        <w:ind w:left="259"/>
        <w:jc w:val="left"/>
      </w:pPr>
      <w:r>
        <w:rPr>
          <w:rFonts w:ascii="Arial" w:hAnsi="Arial"/>
          <w:color w:val="525252"/>
          <w:sz w:val="13"/>
        </w:rPr>
        <w:t>This fully mission capable model develops Airmen that can complement multiple work roles and build technical experts by using the advanced competency levels through the Occupational Competency Model referenced in the CFETP available on e-pubs.</w:t>
      </w:r>
    </w:p>
    <w:p>
      <w:pPr>
        <w:spacing w:after="20" w:line="223" w:lineRule="auto"/>
        <w:jc w:val="right"/>
        <w:bidi/>
      </w:pPr>
      <w:r>
        <w:rPr>
          <w:rFonts w:ascii="Arial" w:hAnsi="Arial"/>
          <w:sz w:val="16"/>
        </w:rPr>
        <w:t>172.23  رشته شغلی فیزیولوژی هوافضا (۱ه).</w:t>
      </w:r>
    </w:p>
    <w:p>
      <w:pPr>
        <w:spacing w:after="28" w:line="216" w:lineRule="auto"/>
        <w:ind w:left="259"/>
        <w:jc w:val="left"/>
      </w:pPr>
      <w:r>
        <w:rPr>
          <w:rFonts w:ascii="Arial" w:hAnsi="Arial"/>
          <w:color w:val="525252"/>
          <w:sz w:val="13"/>
        </w:rPr>
        <w:t>Aerospace Physiology Career Field (1H).</w:t>
      </w:r>
    </w:p>
    <w:p>
      <w:pPr>
        <w:spacing w:after="20" w:line="223" w:lineRule="auto"/>
        <w:jc w:val="right"/>
        <w:bidi/>
      </w:pPr>
      <w:r>
        <w:rPr>
          <w:rFonts w:ascii="Arial" w:hAnsi="Arial"/>
          <w:sz w:val="16"/>
        </w:rPr>
        <w:t>172.24  رشته شغلی فیزیولوژی هوافضا، عملکردها و فعالیت‌های فیزیولوژیکی را مدیریت می‌کند.</w:t>
      </w:r>
    </w:p>
    <w:p>
      <w:pPr>
        <w:spacing w:after="28" w:line="216" w:lineRule="auto"/>
        <w:ind w:left="259"/>
        <w:jc w:val="left"/>
      </w:pPr>
      <w:r>
        <w:rPr>
          <w:rFonts w:ascii="Arial" w:hAnsi="Arial"/>
          <w:color w:val="525252"/>
          <w:sz w:val="13"/>
        </w:rPr>
        <w:t>The aerospace physiology career field manages physiological functions and activities.</w:t>
      </w:r>
    </w:p>
    <w:p>
      <w:pPr>
        <w:spacing w:after="20" w:line="223" w:lineRule="auto"/>
        <w:jc w:val="right"/>
        <w:bidi/>
      </w:pPr>
      <w:r>
        <w:rPr>
          <w:rFonts w:ascii="Arial" w:hAnsi="Arial"/>
          <w:sz w:val="16"/>
        </w:rPr>
        <w:t>172.25  وظایف حین پرواز را به‌عنوان یک هوانورد غیر حرفه‌ای (غیر CEA) انجام می‌دهد.</w:t>
      </w:r>
    </w:p>
    <w:p>
      <w:pPr>
        <w:spacing w:after="28" w:line="216" w:lineRule="auto"/>
        <w:ind w:left="259"/>
        <w:jc w:val="left"/>
      </w:pPr>
      <w:r>
        <w:rPr>
          <w:rFonts w:ascii="Arial" w:hAnsi="Arial"/>
          <w:color w:val="525252"/>
          <w:sz w:val="13"/>
        </w:rPr>
        <w:t>Performs in-flight duties as a Non-Career Enlisted Aviator (non-CEA).</w:t>
      </w:r>
    </w:p>
    <w:p>
      <w:pPr>
        <w:spacing w:after="20" w:line="223" w:lineRule="auto"/>
        <w:jc w:val="right"/>
        <w:bidi/>
      </w:pPr>
      <w:r>
        <w:rPr>
          <w:rFonts w:ascii="Arial" w:hAnsi="Arial"/>
          <w:sz w:val="16"/>
        </w:rPr>
        <w:t>172.26  انجام وظایف خدمه هوایی و سایر وظایف صلاحیت ویژه مأموریت در حین پرواز</w:t>
      </w:r>
    </w:p>
    <w:p>
      <w:pPr>
        <w:spacing w:after="28" w:line="216" w:lineRule="auto"/>
        <w:ind w:left="259"/>
        <w:jc w:val="left"/>
      </w:pPr>
      <w:r>
        <w:rPr>
          <w:rFonts w:ascii="Arial" w:hAnsi="Arial"/>
          <w:color w:val="525252"/>
          <w:sz w:val="13"/>
        </w:rPr>
        <w:t>Performs aircrew functions and other mission specific qualification in-flight duties</w:t>
      </w:r>
    </w:p>
    <w:p>
      <w:r>
        <w:br w:type="page"/>
      </w:r>
    </w:p>
    <w:p>
      <w:pPr>
        <w:spacing w:after="60"/>
        <w:jc w:val="right"/>
        <w:bidi/>
      </w:pPr>
      <w:r>
        <w:rPr>
          <w:rFonts w:ascii="Arial" w:hAnsi="Arial"/>
          <w:b/>
          <w:color w:val="1F4D78"/>
          <w:sz w:val="19"/>
        </w:rPr>
        <w:t>هفتهٔ 173  |  صفحهٔ منبع: 189</w:t>
      </w:r>
    </w:p>
    <w:p>
      <w:pPr>
        <w:spacing w:after="20" w:line="223" w:lineRule="auto"/>
        <w:jc w:val="right"/>
        <w:bidi/>
      </w:pPr>
      <w:r>
        <w:rPr>
          <w:rFonts w:ascii="Arial" w:hAnsi="Arial"/>
          <w:sz w:val="16"/>
        </w:rPr>
        <w:t>173.01  شامل رهاسازی پرسنل و تجهیزات/محموله.</w:t>
      </w:r>
    </w:p>
    <w:p>
      <w:pPr>
        <w:spacing w:after="28" w:line="216" w:lineRule="auto"/>
        <w:ind w:left="259"/>
        <w:jc w:val="left"/>
      </w:pPr>
      <w:r>
        <w:rPr>
          <w:rFonts w:ascii="Arial" w:hAnsi="Arial"/>
          <w:color w:val="525252"/>
          <w:sz w:val="13"/>
        </w:rPr>
        <w:t>to include the airdrop of personnel and equipment/cargo.</w:t>
      </w:r>
    </w:p>
    <w:p>
      <w:pPr>
        <w:spacing w:after="20" w:line="223" w:lineRule="auto"/>
        <w:jc w:val="right"/>
        <w:bidi/>
      </w:pPr>
      <w:r>
        <w:rPr>
          <w:rFonts w:ascii="Arial" w:hAnsi="Arial"/>
          <w:sz w:val="16"/>
        </w:rPr>
        <w:t>173.02  تنفس خدمه هوا و سیستم‌های اکسیژن پرسنل را اداره و نظارت می‌کند.</w:t>
      </w:r>
    </w:p>
    <w:p>
      <w:pPr>
        <w:spacing w:after="28" w:line="216" w:lineRule="auto"/>
        <w:ind w:left="259"/>
        <w:jc w:val="left"/>
      </w:pPr>
      <w:r>
        <w:rPr>
          <w:rFonts w:ascii="Arial" w:hAnsi="Arial"/>
          <w:color w:val="525252"/>
          <w:sz w:val="13"/>
        </w:rPr>
        <w:t>Operates and monitors aircrew breathing and personnel oxygen systems.</w:t>
      </w:r>
    </w:p>
    <w:p>
      <w:pPr>
        <w:spacing w:after="20" w:line="223" w:lineRule="auto"/>
        <w:jc w:val="right"/>
        <w:bidi/>
      </w:pPr>
      <w:r>
        <w:rPr>
          <w:rFonts w:ascii="Arial" w:hAnsi="Arial"/>
          <w:sz w:val="16"/>
        </w:rPr>
        <w:t>173.03  درک کاملی از اصول و مبانی عوامل انسانی، روش‌ها و تکنیک‌های تحلیلی، فرآیندهای عملکرد، طراحی سیستم، احساس و ادراک، و روان‌شناسی شناختی ایجاد می‌کند.</w:t>
      </w:r>
    </w:p>
    <w:p>
      <w:pPr>
        <w:spacing w:after="28" w:line="216" w:lineRule="auto"/>
        <w:ind w:left="259"/>
        <w:jc w:val="left"/>
      </w:pPr>
      <w:r>
        <w:rPr>
          <w:rFonts w:ascii="Arial" w:hAnsi="Arial"/>
          <w:color w:val="525252"/>
          <w:sz w:val="13"/>
        </w:rPr>
        <w:t>Develops a thorough understanding of Human Factors principles and fundamentals, analytic methods and techniques, performance processes, system design, sensation and perception, and cognitive psychology.</w:t>
      </w:r>
    </w:p>
    <w:p>
      <w:pPr>
        <w:spacing w:after="20" w:line="223" w:lineRule="auto"/>
        <w:jc w:val="right"/>
        <w:bidi/>
      </w:pPr>
      <w:r>
        <w:rPr>
          <w:rFonts w:ascii="Arial" w:hAnsi="Arial"/>
          <w:sz w:val="16"/>
        </w:rPr>
        <w:t>173.04  دستگاه‌های آموزشی فیزیولوژی هوافضا شامل اما نه محدود به اتاق‌های ارتفاع، مربی‌های عدم جهت‌گیری فضایی، دستگاه‌های تنفس اکسیژن کاهش‌یافته (ROBD)، سانتریفیوژ، مربی‌های دید در شب بدون کمک، مربیان آشنایی با هیپوکسی، و چتربازان فامیلیاریزاتیون تراینرس، و چات وپراتیونس فامیل هیپوکسیا را اجرا و نگهداری می‌کند.</w:t>
      </w:r>
    </w:p>
    <w:p>
      <w:pPr>
        <w:spacing w:after="28" w:line="216" w:lineRule="auto"/>
        <w:ind w:left="259"/>
        <w:jc w:val="left"/>
      </w:pPr>
      <w:r>
        <w:rPr>
          <w:rFonts w:ascii="Arial" w:hAnsi="Arial"/>
          <w:color w:val="525252"/>
          <w:sz w:val="13"/>
        </w:rPr>
        <w:t>Operates and maintains aerospace physiology training devices included but not limited to altitude chambers, spatial disorientation trainers, reduced oxygen breathing devices (ROBD), centrifuge, unaided night vision trainers, Hypoxia Familiarization Trainers, and Parachute Operations Hypoxia Familiarization Trainers.</w:t>
      </w:r>
    </w:p>
    <w:p>
      <w:pPr>
        <w:spacing w:after="20" w:line="223" w:lineRule="auto"/>
        <w:jc w:val="right"/>
        <w:bidi/>
      </w:pPr>
      <w:r>
        <w:rPr>
          <w:rFonts w:ascii="Arial" w:hAnsi="Arial"/>
          <w:sz w:val="16"/>
        </w:rPr>
        <w:t>173.05  به پرسنل علائم فیزیولوژیکی در پروازهای شبیه سازی شده به ارتفاع را راهنمایی و مشاهده می‌کند.</w:t>
      </w:r>
    </w:p>
    <w:p>
      <w:pPr>
        <w:spacing w:after="28" w:line="216" w:lineRule="auto"/>
        <w:ind w:left="259"/>
        <w:jc w:val="left"/>
      </w:pPr>
      <w:r>
        <w:rPr>
          <w:rFonts w:ascii="Arial" w:hAnsi="Arial"/>
          <w:color w:val="525252"/>
          <w:sz w:val="13"/>
        </w:rPr>
        <w:t>Instructs and observes personnel for physiological symptoms on simulated flights to altitude.</w:t>
      </w:r>
    </w:p>
    <w:p>
      <w:pPr>
        <w:spacing w:after="20" w:line="223" w:lineRule="auto"/>
        <w:jc w:val="right"/>
        <w:bidi/>
      </w:pPr>
      <w:r>
        <w:rPr>
          <w:rFonts w:ascii="Arial" w:hAnsi="Arial"/>
          <w:sz w:val="16"/>
        </w:rPr>
        <w:t>173.06  در کلاس درس آموزش می‌دهد و دارایی‌های فیزیولوژی هوافضا را مدیریت می‌کند.</w:t>
      </w:r>
    </w:p>
    <w:p>
      <w:pPr>
        <w:spacing w:after="28" w:line="216" w:lineRule="auto"/>
        <w:ind w:left="259"/>
        <w:jc w:val="left"/>
      </w:pPr>
      <w:r>
        <w:rPr>
          <w:rFonts w:ascii="Arial" w:hAnsi="Arial"/>
          <w:color w:val="525252"/>
          <w:sz w:val="13"/>
        </w:rPr>
        <w:t>Instructs in a classroom and manages Aerospace Physiology assets.</w:t>
      </w:r>
    </w:p>
    <w:p>
      <w:pPr>
        <w:spacing w:after="20" w:line="223" w:lineRule="auto"/>
        <w:jc w:val="right"/>
        <w:bidi/>
      </w:pPr>
      <w:r>
        <w:rPr>
          <w:rFonts w:ascii="Arial" w:hAnsi="Arial"/>
          <w:sz w:val="16"/>
        </w:rPr>
        <w:t>173.07  هوانوردان و چتربازان را در موضوعات مرتبط با فیزیولوژی، عوامل انسانی و ایمنی هوانوردی آموزش می‌دهد.</w:t>
      </w:r>
    </w:p>
    <w:p>
      <w:pPr>
        <w:spacing w:after="28" w:line="216" w:lineRule="auto"/>
        <w:ind w:left="259"/>
        <w:jc w:val="left"/>
      </w:pPr>
      <w:r>
        <w:rPr>
          <w:rFonts w:ascii="Arial" w:hAnsi="Arial"/>
          <w:color w:val="525252"/>
          <w:sz w:val="13"/>
        </w:rPr>
        <w:t>Trains aviators and parachutists in subjects related to physiology, to human factors, and aviation safety.</w:t>
      </w:r>
    </w:p>
    <w:p>
      <w:pPr>
        <w:spacing w:after="20" w:line="223" w:lineRule="auto"/>
        <w:jc w:val="right"/>
        <w:bidi/>
      </w:pPr>
      <w:r>
        <w:rPr>
          <w:rFonts w:ascii="Arial" w:hAnsi="Arial"/>
          <w:sz w:val="16"/>
        </w:rPr>
        <w:t>173.08  سایر زمینه‌های مسئولیت شامل مشارکت در برنامه چتر نجات شخصی، آموزش تیم فیزیولوژی هوافضا، برنامه پشتیبانی شناسایی و نظارت اطلاعات در ارتفاع بالا (HAISR) و آموزش شتاب گیری خدمه هواپیمای جنگنده است.</w:t>
      </w:r>
    </w:p>
    <w:p>
      <w:pPr>
        <w:spacing w:after="28" w:line="216" w:lineRule="auto"/>
        <w:ind w:left="259"/>
        <w:jc w:val="left"/>
      </w:pPr>
      <w:r>
        <w:rPr>
          <w:rFonts w:ascii="Arial" w:hAnsi="Arial"/>
          <w:color w:val="525252"/>
          <w:sz w:val="13"/>
        </w:rPr>
        <w:t>Other areas of responsibility include personal parachute program participation, Aerospace Physiology team training, High Altitude Intelligence Reconnaissance and Surveillance (HAISR) support program, and fighter aircrew acceleration Training.</w:t>
      </w:r>
    </w:p>
    <w:p>
      <w:pPr>
        <w:spacing w:after="20" w:line="223" w:lineRule="auto"/>
        <w:jc w:val="right"/>
        <w:bidi/>
      </w:pPr>
      <w:r>
        <w:rPr>
          <w:rFonts w:ascii="Arial" w:hAnsi="Arial"/>
          <w:sz w:val="16"/>
        </w:rPr>
        <w:t>173.09  خطرات ارتفاع بالا و مأموریت و محیط آموزشی پویا مستلزم درجه بالایی از توجه، تمرکز، حرفه‌ای بودن، دانش، مهارت، نظم، هماهنگی و مدیریت استرس برای انجام وظایف مرتبط با موفقیت و ایمن است.</w:t>
      </w:r>
    </w:p>
    <w:p>
      <w:pPr>
        <w:spacing w:after="28" w:line="216" w:lineRule="auto"/>
        <w:ind w:left="259"/>
        <w:jc w:val="left"/>
      </w:pPr>
      <w:r>
        <w:rPr>
          <w:rFonts w:ascii="Arial" w:hAnsi="Arial"/>
          <w:color w:val="525252"/>
          <w:sz w:val="13"/>
        </w:rPr>
        <w:t>The hazards of high altitude and the dynamic mission and training environment demand a high degree of attention, focus, professionalism, knowledge, skill, discipline, coordination, and stress management to carry out related duties successfully and safely.</w:t>
      </w:r>
    </w:p>
    <w:p>
      <w:pPr>
        <w:spacing w:after="20" w:line="223" w:lineRule="auto"/>
        <w:jc w:val="right"/>
        <w:bidi/>
      </w:pPr>
      <w:r>
        <w:rPr>
          <w:rFonts w:ascii="Arial" w:hAnsi="Arial"/>
          <w:sz w:val="16"/>
        </w:rPr>
        <w:t>173.10  حوزه شغلی اطلاعاتی (۱ن).</w:t>
      </w:r>
    </w:p>
    <w:p>
      <w:pPr>
        <w:spacing w:after="28" w:line="216" w:lineRule="auto"/>
        <w:ind w:left="259"/>
        <w:jc w:val="left"/>
      </w:pPr>
      <w:r>
        <w:rPr>
          <w:rFonts w:ascii="Arial" w:hAnsi="Arial"/>
          <w:color w:val="525252"/>
          <w:sz w:val="13"/>
        </w:rPr>
        <w:t>Intelligence Career Field (1N).</w:t>
      </w:r>
    </w:p>
    <w:p>
      <w:pPr>
        <w:spacing w:after="20" w:line="223" w:lineRule="auto"/>
        <w:jc w:val="right"/>
        <w:bidi/>
      </w:pPr>
      <w:r>
        <w:rPr>
          <w:rFonts w:ascii="Arial" w:hAnsi="Arial"/>
          <w:sz w:val="16"/>
        </w:rPr>
        <w:t>173.11  حوزه شغلی اطلاعاتی شامل کارکردهایی است که در جمع‌آوری، تولید و توزیع داده‌هایی که ارزش استراتژیک، تاکتیکی یا فنی از دیدگاه اطلاعاتی دارند، درگیر می‌شود.</w:t>
      </w:r>
    </w:p>
    <w:p>
      <w:pPr>
        <w:spacing w:after="28" w:line="216" w:lineRule="auto"/>
        <w:ind w:left="259"/>
        <w:jc w:val="left"/>
      </w:pPr>
      <w:r>
        <w:rPr>
          <w:rFonts w:ascii="Arial" w:hAnsi="Arial"/>
          <w:color w:val="525252"/>
          <w:sz w:val="13"/>
        </w:rPr>
        <w:t>The intelligence career field encompasses functions involved in collecting, producing, and distributing data that have strategic, tactical, or technical value from an intelligence viewpoint.</w:t>
      </w:r>
    </w:p>
    <w:p>
      <w:pPr>
        <w:spacing w:after="20" w:line="223" w:lineRule="auto"/>
        <w:jc w:val="right"/>
        <w:bidi/>
      </w:pPr>
      <w:r>
        <w:rPr>
          <w:rFonts w:ascii="Arial" w:hAnsi="Arial"/>
          <w:sz w:val="16"/>
        </w:rPr>
        <w:t>173.12  این قسمت شامل توابع لازم برای حفظ امنیت اطلاعات و ترجمه و تفسیر زبان است.</w:t>
      </w:r>
    </w:p>
    <w:p>
      <w:pPr>
        <w:spacing w:after="28" w:line="216" w:lineRule="auto"/>
        <w:ind w:left="259"/>
        <w:jc w:val="left"/>
      </w:pPr>
      <w:r>
        <w:rPr>
          <w:rFonts w:ascii="Arial" w:hAnsi="Arial"/>
          <w:color w:val="525252"/>
          <w:sz w:val="13"/>
        </w:rPr>
        <w:t>This field includes functions necessary to maintain information security and language translation and interpretation.</w:t>
      </w:r>
    </w:p>
    <w:p>
      <w:pPr>
        <w:spacing w:after="20" w:line="223" w:lineRule="auto"/>
        <w:jc w:val="right"/>
        <w:bidi/>
      </w:pPr>
      <w:r>
        <w:rPr>
          <w:rFonts w:ascii="Arial" w:hAnsi="Arial"/>
          <w:sz w:val="16"/>
        </w:rPr>
        <w:t>173.13  توجه: از این رشته شغلی مستثنی شده‌اند، جمع‌آوری، گردآوری، تفسیر و توزیع اطلاعات عمومی مورد توجه اولیه در سایر رسته‌های شغلی.</w:t>
      </w:r>
    </w:p>
    <w:p>
      <w:pPr>
        <w:spacing w:after="28" w:line="216" w:lineRule="auto"/>
        <w:ind w:left="259"/>
        <w:jc w:val="left"/>
      </w:pPr>
      <w:r>
        <w:rPr>
          <w:rFonts w:ascii="Arial" w:hAnsi="Arial"/>
          <w:color w:val="525252"/>
          <w:sz w:val="13"/>
        </w:rPr>
        <w:t>Note: Excluded from this career field are collecting, collating, interpreting, and distributing general information of primary concern to other career fields.</w:t>
      </w:r>
    </w:p>
    <w:p>
      <w:pPr>
        <w:spacing w:after="20" w:line="223" w:lineRule="auto"/>
        <w:jc w:val="right"/>
        <w:bidi/>
      </w:pPr>
      <w:r>
        <w:rPr>
          <w:rFonts w:ascii="Arial" w:hAnsi="Arial"/>
          <w:sz w:val="16"/>
        </w:rPr>
        <w:t>173.14  رشته شغلی تجهیزات پرواز خدمه هواپیما (۱پ).</w:t>
      </w:r>
    </w:p>
    <w:p>
      <w:pPr>
        <w:spacing w:after="28" w:line="216" w:lineRule="auto"/>
        <w:ind w:left="259"/>
        <w:jc w:val="left"/>
      </w:pPr>
      <w:r>
        <w:rPr>
          <w:rFonts w:ascii="Arial" w:hAnsi="Arial"/>
          <w:color w:val="525252"/>
          <w:sz w:val="13"/>
        </w:rPr>
        <w:t>Aircrew Flight Equipment Career Field (1P).</w:t>
      </w:r>
    </w:p>
    <w:p>
      <w:pPr>
        <w:spacing w:after="20" w:line="223" w:lineRule="auto"/>
        <w:jc w:val="right"/>
        <w:bidi/>
      </w:pPr>
      <w:r>
        <w:rPr>
          <w:rFonts w:ascii="Arial" w:hAnsi="Arial"/>
          <w:sz w:val="16"/>
        </w:rPr>
        <w:t>173.15  حوزه شغلی تجهیزات پرواز خدمه هواپیما شامل عملکردهایی است که عملکرد خدمه هواپیما را از طریق ادغام تجهیزات مناسب انسان و هواپیما افزایش می‌دهد.</w:t>
      </w:r>
    </w:p>
    <w:p>
      <w:pPr>
        <w:spacing w:after="28" w:line="216" w:lineRule="auto"/>
        <w:ind w:left="259"/>
        <w:jc w:val="left"/>
      </w:pPr>
      <w:r>
        <w:rPr>
          <w:rFonts w:ascii="Arial" w:hAnsi="Arial"/>
          <w:color w:val="525252"/>
          <w:sz w:val="13"/>
        </w:rPr>
        <w:t>The aircrew flight equipment career field encompasses functions that enhance aircrew performance through the proper equipment integration of the human and the aircraft.</w:t>
      </w:r>
    </w:p>
    <w:p>
      <w:pPr>
        <w:spacing w:after="20" w:line="223" w:lineRule="auto"/>
        <w:jc w:val="right"/>
        <w:bidi/>
      </w:pPr>
      <w:r>
        <w:rPr>
          <w:rFonts w:ascii="Arial" w:hAnsi="Arial"/>
          <w:sz w:val="16"/>
        </w:rPr>
        <w:t>173.16  پرسنل تجهیزات پروازی خدمه هواپیما، تجهیزات پروازی سمت انسان را تنظیم، تعمیر و نگهداری می‌کنند. به خدمه هواپیما در مورد استفاده و مراقبت صحیح از تجهیزات پروازی خدمه هواپیما در عملیات‌های عادی، اضطراری و اضطراری یا با تهدید بالا آموزش دهید. و حفظ و راه‌اندازی مناطق کنترل آلودگی خدمه هواپیما و پردازش خدمه هواپیما از طریق مناطق کنترل.</w:t>
      </w:r>
    </w:p>
    <w:p>
      <w:pPr>
        <w:spacing w:after="28" w:line="216" w:lineRule="auto"/>
        <w:ind w:left="259"/>
        <w:jc w:val="left"/>
      </w:pPr>
      <w:r>
        <w:rPr>
          <w:rFonts w:ascii="Arial" w:hAnsi="Arial"/>
          <w:color w:val="525252"/>
          <w:sz w:val="13"/>
        </w:rPr>
        <w:t>Aircrew flight equipment personnel issue, fit, repair, and maintain human-side flight equipment; instruct aircrew on the proper use and care of aircrew flight equipment under normal, contingency, and emergency or high threat operations; and maintain and sets up aircrew contamination control areas and processes aircrew through the control areas.</w:t>
      </w:r>
    </w:p>
    <w:p>
      <w:pPr>
        <w:spacing w:after="20" w:line="223" w:lineRule="auto"/>
        <w:jc w:val="right"/>
        <w:bidi/>
      </w:pPr>
      <w:r>
        <w:rPr>
          <w:rFonts w:ascii="Arial" w:hAnsi="Arial"/>
          <w:sz w:val="16"/>
        </w:rPr>
        <w:t>173.17  حوزه شغلی ایمنی (۱س).</w:t>
      </w:r>
    </w:p>
    <w:p>
      <w:pPr>
        <w:spacing w:after="28" w:line="216" w:lineRule="auto"/>
        <w:ind w:left="259"/>
        <w:jc w:val="left"/>
      </w:pPr>
      <w:r>
        <w:rPr>
          <w:rFonts w:ascii="Arial" w:hAnsi="Arial"/>
          <w:color w:val="525252"/>
          <w:sz w:val="13"/>
        </w:rPr>
        <w:t>Safety Career Field (1S).</w:t>
      </w:r>
    </w:p>
    <w:p>
      <w:pPr>
        <w:spacing w:after="20" w:line="223" w:lineRule="auto"/>
        <w:jc w:val="right"/>
        <w:bidi/>
      </w:pPr>
      <w:r>
        <w:rPr>
          <w:rFonts w:ascii="Arial" w:hAnsi="Arial"/>
          <w:sz w:val="16"/>
        </w:rPr>
        <w:t>173.18  رستهٔ شغلی ایمنی شامل کارکردهای مربوط به آموزش ایمنی و مهندسی است. ایمنی پیمانکار و ساخت و ساز؛ بررسی اشتباه و تجزیه و تحلیل و محاسبات روند. ارزیابی، بازرسی و بررسی عملیات و امکانات؛ ارزیابی ریسک؛ مشاوره با فرماندهان، مدیران عملیاتی، سرپرستان و کارکنان؛ و آموزش ایمنی و ارتقاء آگاهی در تمام سطوح.</w:t>
      </w:r>
    </w:p>
    <w:p>
      <w:pPr>
        <w:spacing w:after="28" w:line="216" w:lineRule="auto"/>
        <w:ind w:left="259"/>
        <w:jc w:val="left"/>
      </w:pPr>
      <w:r>
        <w:rPr>
          <w:rFonts w:ascii="Arial" w:hAnsi="Arial"/>
          <w:color w:val="525252"/>
          <w:sz w:val="13"/>
        </w:rPr>
        <w:t>The safety career field encompasses functions relating to safety education and engineering; contractor and construction safety; mishap investigation and analysis and trends computations; operations and facilities evaluation, inspection, and survey; risk assessment; consultation with commanders, functional managers, supervisors, and employees; and safety education and awareness promotion at all levels.</w:t>
      </w:r>
    </w:p>
    <w:p>
      <w:pPr>
        <w:spacing w:after="20" w:line="223" w:lineRule="auto"/>
        <w:jc w:val="right"/>
        <w:bidi/>
      </w:pPr>
      <w:r>
        <w:rPr>
          <w:rFonts w:ascii="Arial" w:hAnsi="Arial"/>
          <w:sz w:val="16"/>
        </w:rPr>
        <w:t>173.19  رشته شغلی حفاظت از خدمه هوایی (۱ت).</w:t>
      </w:r>
    </w:p>
    <w:p>
      <w:pPr>
        <w:spacing w:after="28" w:line="216" w:lineRule="auto"/>
        <w:ind w:left="259"/>
        <w:jc w:val="left"/>
      </w:pPr>
      <w:r>
        <w:rPr>
          <w:rFonts w:ascii="Arial" w:hAnsi="Arial"/>
          <w:color w:val="525252"/>
          <w:sz w:val="13"/>
        </w:rPr>
        <w:t>Aircrew Protection Career Field (1T).</w:t>
      </w:r>
    </w:p>
    <w:p>
      <w:pPr>
        <w:spacing w:after="20" w:line="223" w:lineRule="auto"/>
        <w:jc w:val="right"/>
        <w:bidi/>
      </w:pPr>
      <w:r>
        <w:rPr>
          <w:rFonts w:ascii="Arial" w:hAnsi="Arial"/>
          <w:sz w:val="16"/>
        </w:rPr>
        <w:t>173.20  حوزه حرفه‌ای حفاظت از خدمه هوایی شامل وظایفی است که در آموزش به خدمه هواپیما و سایر پرسنل تعیین شده در مورد اصول، رویه‌ها و تکنیک‌های بقای جهانی درگیر است. مکان یابی و نفوذ به مناطق حادثه برای ارائه درمان فوری پزشکی، بقا و تخلیه بازماندگان؛ پرداختن به عوامل دخیل در تأثیر تجهیزات حمایت از زندگی مربوط به بقا و بهبودی و در مورد بازیابی، فرار، اسارت، مقاومت در برابر استثمار و فرار؛ آموزش به خدمه هواپیما در مورد فیزیولوژی محیط و استفاده و مراقبت از تجهیزات پشتیبانی از زندگی خدمه هواپیما. و صدور، نصب، بازرسی و تعمیرات جزئی تجهیزات پشتیبانی حیات خدمه هواپیما.</w:t>
      </w:r>
    </w:p>
    <w:p>
      <w:pPr>
        <w:spacing w:after="28" w:line="216" w:lineRule="auto"/>
        <w:ind w:left="259"/>
        <w:jc w:val="left"/>
      </w:pPr>
      <w:r>
        <w:rPr>
          <w:rFonts w:ascii="Arial" w:hAnsi="Arial"/>
          <w:color w:val="525252"/>
          <w:sz w:val="13"/>
        </w:rPr>
        <w:t>The aircrew protection career field encompasses the functions involved in instructing aircrew and other designated personnel on the principles, procedures, and techniques of global survival; locating and penetrating incident areas to provide emergency medical treatment, survival, and evacuation of survivors; addressing factors involved with the impact of survival and recovery related life support equipment and regarding recovery, evasion, captivity, resistance to exploitation, and escape; instructing aircrew on environmental physiology and use and care of aircrew life support equipment; and issuing, fitting, inspecting, and minor repairing of aircrew life support equipment.</w:t>
      </w:r>
    </w:p>
    <w:p>
      <w:pPr>
        <w:spacing w:after="20" w:line="223" w:lineRule="auto"/>
        <w:jc w:val="right"/>
        <w:bidi/>
      </w:pPr>
      <w:r>
        <w:rPr>
          <w:rFonts w:ascii="Arial" w:hAnsi="Arial"/>
          <w:sz w:val="16"/>
        </w:rPr>
        <w:t>173.21  میدان شغلی اپراتور سنسور هواپیمای خلبانی از راه دور (۱و).</w:t>
      </w:r>
    </w:p>
    <w:p>
      <w:pPr>
        <w:spacing w:after="28" w:line="216" w:lineRule="auto"/>
        <w:ind w:left="259"/>
        <w:jc w:val="left"/>
      </w:pPr>
      <w:r>
        <w:rPr>
          <w:rFonts w:ascii="Arial" w:hAnsi="Arial"/>
          <w:color w:val="525252"/>
          <w:sz w:val="13"/>
        </w:rPr>
        <w:t>Remotely Piloted Aircraft Sensor Operator Career Field (1U).</w:t>
      </w:r>
    </w:p>
    <w:p>
      <w:pPr>
        <w:spacing w:after="20" w:line="223" w:lineRule="auto"/>
        <w:jc w:val="right"/>
        <w:bidi/>
      </w:pPr>
      <w:r>
        <w:rPr>
          <w:rFonts w:ascii="Arial" w:hAnsi="Arial"/>
          <w:sz w:val="16"/>
        </w:rPr>
        <w:t>173.22  حوزه شغلی اپراتور حسگر هواپیمای خلبانی از راه دور (RPA) شامل وظایفی است که در تدوین برنامه، برنامه‌ریزی خط‌مشی، بازرسی، آموزش، و هدایت، و انجام نبرد و عملیات مربوط به فعالیت‌های موقعیت خدمه، عملیات مجموعه حسگرها و عملکرد واحد دخیل هستند.</w:t>
      </w:r>
    </w:p>
    <w:p>
      <w:pPr>
        <w:spacing w:after="28" w:line="216" w:lineRule="auto"/>
        <w:ind w:left="259"/>
        <w:jc w:val="left"/>
      </w:pPr>
      <w:r>
        <w:rPr>
          <w:rFonts w:ascii="Arial" w:hAnsi="Arial"/>
          <w:color w:val="525252"/>
          <w:sz w:val="13"/>
        </w:rPr>
        <w:t>The remotely piloted aircraft (RPA) sensor operator career field encompasses functions involved in program formulating, policy planning, inspecting, training, and directing, and performing combat and operations related to crew position activities, sensor suite operations, and unit functionality.</w:t>
      </w:r>
    </w:p>
    <w:p>
      <w:pPr>
        <w:spacing w:after="20" w:line="223" w:lineRule="auto"/>
        <w:jc w:val="right"/>
        <w:bidi/>
      </w:pPr>
      <w:r>
        <w:rPr>
          <w:rFonts w:ascii="Arial" w:hAnsi="Arial"/>
          <w:sz w:val="16"/>
        </w:rPr>
        <w:t>173.23  این رشته شغلی شامل بکارگیری سیستم‌های حسگر مبتنی بر هوا برای به دست آوردن، ردیابی و نظارت بر اجسام هوابرد، دریایی و زمینی است.</w:t>
      </w:r>
    </w:p>
    <w:p>
      <w:pPr>
        <w:spacing w:after="28" w:line="216" w:lineRule="auto"/>
        <w:ind w:left="259"/>
        <w:jc w:val="left"/>
      </w:pPr>
      <w:r>
        <w:rPr>
          <w:rFonts w:ascii="Arial" w:hAnsi="Arial"/>
          <w:color w:val="525252"/>
          <w:sz w:val="13"/>
        </w:rPr>
        <w:t>This career field includes employing airborne-based sensor systems to acquire, track, and monitor airborne, maritime, and ground objects.</w:t>
      </w:r>
    </w:p>
    <w:p>
      <w:pPr>
        <w:spacing w:after="20" w:line="223" w:lineRule="auto"/>
        <w:jc w:val="right"/>
        <w:bidi/>
      </w:pPr>
      <w:r>
        <w:rPr>
          <w:rFonts w:ascii="Arial" w:hAnsi="Arial"/>
          <w:sz w:val="16"/>
        </w:rPr>
        <w:t>173.24  اپراتورهای واجد شرایط رویه‌های عملیاتی را مطابق با تمام موارد خاص انجام می‌دهند</w:t>
      </w:r>
    </w:p>
    <w:p>
      <w:pPr>
        <w:spacing w:after="28" w:line="216" w:lineRule="auto"/>
        <w:ind w:left="259"/>
        <w:jc w:val="left"/>
      </w:pPr>
      <w:r>
        <w:rPr>
          <w:rFonts w:ascii="Arial" w:hAnsi="Arial"/>
          <w:color w:val="525252"/>
          <w:sz w:val="13"/>
        </w:rPr>
        <w:t>Qualified operators perform operational procedures in accordance with all special</w:t>
      </w:r>
    </w:p>
    <w:p>
      <w:r>
        <w:br w:type="page"/>
      </w:r>
    </w:p>
    <w:p>
      <w:pPr>
        <w:spacing w:after="60"/>
        <w:jc w:val="right"/>
        <w:bidi/>
      </w:pPr>
      <w:r>
        <w:rPr>
          <w:rFonts w:ascii="Arial" w:hAnsi="Arial"/>
          <w:b/>
          <w:color w:val="1F4D78"/>
          <w:sz w:val="19"/>
        </w:rPr>
        <w:t>هفتهٔ 174  |  صفحهٔ منبع: 190</w:t>
      </w:r>
    </w:p>
    <w:p>
      <w:pPr>
        <w:spacing w:after="20" w:line="223" w:lineRule="auto"/>
        <w:jc w:val="right"/>
        <w:bidi/>
      </w:pPr>
      <w:r>
        <w:rPr>
          <w:rFonts w:ascii="Arial" w:hAnsi="Arial"/>
          <w:sz w:val="16"/>
        </w:rPr>
        <w:t>174.01  و دستور یکپارچه عملیات هوایی رزمنده.</w:t>
      </w:r>
    </w:p>
    <w:p>
      <w:pPr>
        <w:spacing w:after="28" w:line="216" w:lineRule="auto"/>
        <w:ind w:left="259"/>
        <w:jc w:val="left"/>
      </w:pPr>
      <w:r>
        <w:rPr>
          <w:rFonts w:ascii="Arial" w:hAnsi="Arial"/>
          <w:color w:val="525252"/>
          <w:sz w:val="13"/>
        </w:rPr>
        <w:t>instructions and the unified combatant air tasking order.</w:t>
      </w:r>
    </w:p>
    <w:p>
      <w:pPr>
        <w:spacing w:after="20" w:line="223" w:lineRule="auto"/>
        <w:jc w:val="right"/>
        <w:bidi/>
      </w:pPr>
      <w:r>
        <w:rPr>
          <w:rFonts w:ascii="Arial" w:hAnsi="Arial"/>
          <w:sz w:val="16"/>
        </w:rPr>
        <w:t>174.02  به‌عنوان یک خدمه، اپراتور حسگر به خلبانان هواپیما برای استخدام هواپیما کمک می‌کند و نظارت مستمر بر وضعیت سلاح و پرواز هواپیما انجام می‌دهد.</w:t>
      </w:r>
    </w:p>
    <w:p>
      <w:pPr>
        <w:spacing w:after="28" w:line="216" w:lineRule="auto"/>
        <w:ind w:left="259"/>
        <w:jc w:val="left"/>
      </w:pPr>
      <w:r>
        <w:rPr>
          <w:rFonts w:ascii="Arial" w:hAnsi="Arial"/>
          <w:color w:val="525252"/>
          <w:sz w:val="13"/>
        </w:rPr>
        <w:t>As a crewmember, the sensor operator provides assistance to aircraft pilots for aircraft employment and conducts continuous monitoring of aircraft weapon and flight status.</w:t>
      </w:r>
    </w:p>
    <w:p>
      <w:pPr>
        <w:spacing w:after="20" w:line="223" w:lineRule="auto"/>
        <w:jc w:val="right"/>
        <w:bidi/>
      </w:pPr>
      <w:r>
        <w:rPr>
          <w:rFonts w:ascii="Arial" w:hAnsi="Arial"/>
          <w:sz w:val="16"/>
        </w:rPr>
        <w:t>174.03  رشته شغلی خلبانی هواپیمای خلبان از راه دور (۱و۱).</w:t>
      </w:r>
    </w:p>
    <w:p>
      <w:pPr>
        <w:spacing w:after="28" w:line="216" w:lineRule="auto"/>
        <w:ind w:left="259"/>
        <w:jc w:val="left"/>
      </w:pPr>
      <w:r>
        <w:rPr>
          <w:rFonts w:ascii="Arial" w:hAnsi="Arial"/>
          <w:color w:val="525252"/>
          <w:sz w:val="13"/>
        </w:rPr>
        <w:t>Remotely Piloted Aircraft Pilot Career Field (1U1).</w:t>
      </w:r>
    </w:p>
    <w:p>
      <w:pPr>
        <w:spacing w:after="20" w:line="223" w:lineRule="auto"/>
        <w:jc w:val="right"/>
        <w:bidi/>
      </w:pPr>
      <w:r>
        <w:rPr>
          <w:rFonts w:ascii="Arial" w:hAnsi="Arial"/>
          <w:sz w:val="16"/>
        </w:rPr>
        <w:t>174.04  رشته شغلی خلبانی هواپیمای خلبان از راه دور (RPA) شامل تمام وظایفی است که توسط خلبان RPA برای عملیات پروازی RPA انجام می‌شود، از جمله اطلاعات، مراقبت و شناسایی. پشتیبانی رزمی؛ و مأموریت‌های آموزشی</w:t>
      </w:r>
    </w:p>
    <w:p>
      <w:pPr>
        <w:spacing w:after="28" w:line="216" w:lineRule="auto"/>
        <w:ind w:left="259"/>
        <w:jc w:val="left"/>
      </w:pPr>
      <w:r>
        <w:rPr>
          <w:rFonts w:ascii="Arial" w:hAnsi="Arial"/>
          <w:color w:val="525252"/>
          <w:sz w:val="13"/>
        </w:rPr>
        <w:t>The remotely piloted aircraft (RPA) pilot career field encompasses all functions performed by the RPA pilot for RPA flying operations, including intelligence, surveillance, and reconnaissance; combat support; and training missions.</w:t>
      </w:r>
    </w:p>
    <w:p>
      <w:pPr>
        <w:spacing w:after="20" w:line="223" w:lineRule="auto"/>
        <w:jc w:val="right"/>
        <w:bidi/>
      </w:pPr>
      <w:r>
        <w:rPr>
          <w:rFonts w:ascii="Arial" w:hAnsi="Arial"/>
          <w:sz w:val="16"/>
        </w:rPr>
        <w:t>174.05  حوزه شغلی شامل کارکردهایی است که در تدوین برنامه، برنامه‌ریزی خط‌مشی، بازرسی، آموزش، هدایت، و انجام نبرد و عملیات مربوط به فعالیت‌های موقعیت خدمه و عملکرد واحد، شامل ارائه کمک به خلبانان هواپیما برای استخدام هواپیما و انجام نظارت مستمر بر وضعیت سلاح و پرواز هواپیما است.</w:t>
      </w:r>
    </w:p>
    <w:p>
      <w:pPr>
        <w:spacing w:after="28" w:line="216" w:lineRule="auto"/>
        <w:ind w:left="259"/>
        <w:jc w:val="left"/>
      </w:pPr>
      <w:r>
        <w:rPr>
          <w:rFonts w:ascii="Arial" w:hAnsi="Arial"/>
          <w:color w:val="525252"/>
          <w:sz w:val="13"/>
        </w:rPr>
        <w:t>The career field encompasses functions involved in program formulating, policy planning, inspecting, training, directing, and performing combat and operations related to crew position activities and unit functionality, to include providing assistance to aircraft pilots for aircraft employment and conducting continuous monitoring of aircraft weapon and flight status.</w:t>
      </w:r>
    </w:p>
    <w:p>
      <w:pPr>
        <w:spacing w:after="20" w:line="223" w:lineRule="auto"/>
        <w:jc w:val="right"/>
        <w:bidi/>
      </w:pPr>
      <w:r>
        <w:rPr>
          <w:rFonts w:ascii="Arial" w:hAnsi="Arial"/>
          <w:sz w:val="16"/>
        </w:rPr>
        <w:t>174.06  رشته شغلی آب و هوا (۱و).</w:t>
      </w:r>
    </w:p>
    <w:p>
      <w:pPr>
        <w:spacing w:after="28" w:line="216" w:lineRule="auto"/>
        <w:ind w:left="259"/>
        <w:jc w:val="left"/>
      </w:pPr>
      <w:r>
        <w:rPr>
          <w:rFonts w:ascii="Arial" w:hAnsi="Arial"/>
          <w:color w:val="525252"/>
          <w:sz w:val="13"/>
        </w:rPr>
        <w:t>Weather Career Field (1W).</w:t>
      </w:r>
    </w:p>
    <w:p>
      <w:pPr>
        <w:spacing w:after="20" w:line="223" w:lineRule="auto"/>
        <w:jc w:val="right"/>
        <w:bidi/>
      </w:pPr>
      <w:r>
        <w:rPr>
          <w:rFonts w:ascii="Arial" w:hAnsi="Arial"/>
          <w:sz w:val="16"/>
        </w:rPr>
        <w:t>174.07  افراد در رستهٔ شغلی آب و هوا، اطلاعات محیطی آب و هوا و فضا، از جمله پیش‌بینی شرایط را جمع‌آوری، تجزیه و تحلیل، پیش‌بینی، طراحی و ادغام می‌کنند تا اطلاعات با کیفیت تصمیم‌گیری در مورد اثرات زیست‌محیطی به عملیات‌های خدماتی، مشترک و ائتلاف ارائه کنند.</w:t>
      </w:r>
    </w:p>
    <w:p>
      <w:pPr>
        <w:spacing w:after="28" w:line="216" w:lineRule="auto"/>
        <w:ind w:left="259"/>
        <w:jc w:val="left"/>
      </w:pPr>
      <w:r>
        <w:rPr>
          <w:rFonts w:ascii="Arial" w:hAnsi="Arial"/>
          <w:color w:val="525252"/>
          <w:sz w:val="13"/>
        </w:rPr>
        <w:t>Individuals in the weather career field collect, analyze, predict, tailor, and integrate weather and space environmental information, including forecasts of conditions, to provide decision-quality information on environmental impacts to service, joint, and coalition operations.</w:t>
      </w:r>
    </w:p>
    <w:p>
      <w:pPr>
        <w:spacing w:after="20" w:line="223" w:lineRule="auto"/>
        <w:jc w:val="right"/>
        <w:bidi/>
      </w:pPr>
      <w:r>
        <w:rPr>
          <w:rFonts w:ascii="Arial" w:hAnsi="Arial"/>
          <w:sz w:val="16"/>
        </w:rPr>
        <w:t>174.08  آنها تجهیزات هواشناسی را کار می‌کنند. از ایستگاه‌های کاری کامپیوتری برای بازجویی از شرایط جوی و جوی فضا بر اساس مشاهدات، ابزار سنجش زمینی و فضایی، رادارهای آب و هوا، داده‌ها و تصاویر ماهواره‌های مداری زمینی و قطبی استفاده کنید. و داده‌های پیش بینی ارائه شده توسط مراکز آب و هوایی نظامی، ملی و بین المللی.</w:t>
      </w:r>
    </w:p>
    <w:p>
      <w:pPr>
        <w:spacing w:after="28" w:line="216" w:lineRule="auto"/>
        <w:ind w:left="259"/>
        <w:jc w:val="left"/>
      </w:pPr>
      <w:r>
        <w:rPr>
          <w:rFonts w:ascii="Arial" w:hAnsi="Arial"/>
          <w:color w:val="525252"/>
          <w:sz w:val="13"/>
        </w:rPr>
        <w:t>They operate meteorological equipment; employ computer workstations to interrogate atmospheric and space weather conditions based on observations, terrestrial and space sensing instruments, weather radars, data, and imagery from geostationary and polar orbiting satellites; and forecast data provided by military, national, and international weather centers.</w:t>
      </w:r>
    </w:p>
    <w:p>
      <w:pPr>
        <w:spacing w:after="20" w:line="223" w:lineRule="auto"/>
        <w:jc w:val="right"/>
        <w:bidi/>
      </w:pPr>
      <w:r>
        <w:rPr>
          <w:rFonts w:ascii="Arial" w:hAnsi="Arial"/>
          <w:sz w:val="16"/>
        </w:rPr>
        <w:t>174.09  پرسنل هواشناسی USAF به خدمات، عملیات مشترک یا ائتلاف متعارف و ویژه در پادگان و مکان‌های اعزامی در سرتاسر جهان متصل یا منصوب می‌شوند.</w:t>
      </w:r>
    </w:p>
    <w:p>
      <w:pPr>
        <w:spacing w:after="28" w:line="216" w:lineRule="auto"/>
        <w:ind w:left="259"/>
        <w:jc w:val="left"/>
      </w:pPr>
      <w:r>
        <w:rPr>
          <w:rFonts w:ascii="Arial" w:hAnsi="Arial"/>
          <w:color w:val="525252"/>
          <w:sz w:val="13"/>
        </w:rPr>
        <w:t>USAF weather personnel are attached or assigned to service, joint, or coalition conventional and special operations at garrison and expeditionary locations worldwide.</w:t>
      </w:r>
    </w:p>
    <w:p>
      <w:pPr>
        <w:spacing w:after="20" w:line="223" w:lineRule="auto"/>
        <w:jc w:val="right"/>
        <w:bidi/>
      </w:pPr>
      <w:r>
        <w:rPr>
          <w:rFonts w:ascii="Arial" w:hAnsi="Arial"/>
          <w:sz w:val="16"/>
        </w:rPr>
        <w:t>174.10  میدان شغلی جنگ ویژه (۱ز).</w:t>
      </w:r>
    </w:p>
    <w:p>
      <w:pPr>
        <w:spacing w:after="28" w:line="216" w:lineRule="auto"/>
        <w:ind w:left="259"/>
        <w:jc w:val="left"/>
      </w:pPr>
      <w:r>
        <w:rPr>
          <w:rFonts w:ascii="Arial" w:hAnsi="Arial"/>
          <w:color w:val="525252"/>
          <w:sz w:val="13"/>
        </w:rPr>
        <w:t>Special Warfare Career Field (1Z).</w:t>
      </w:r>
    </w:p>
    <w:p>
      <w:pPr>
        <w:spacing w:after="20" w:line="223" w:lineRule="auto"/>
        <w:jc w:val="right"/>
        <w:bidi/>
      </w:pPr>
      <w:r>
        <w:rPr>
          <w:rFonts w:ascii="Arial" w:hAnsi="Arial"/>
          <w:sz w:val="16"/>
        </w:rPr>
        <w:t>174.11  تخصص‌های رشته حرفه‌ای جنگ ویژه موجود در میدان شغلی جنگ ویژه، عنصر برتر مانور زمینی نیروی هوایی را تشکیل می‌دهند.</w:t>
      </w:r>
    </w:p>
    <w:p>
      <w:pPr>
        <w:spacing w:after="28" w:line="216" w:lineRule="auto"/>
        <w:ind w:left="259"/>
        <w:jc w:val="left"/>
      </w:pPr>
      <w:r>
        <w:rPr>
          <w:rFonts w:ascii="Arial" w:hAnsi="Arial"/>
          <w:color w:val="525252"/>
          <w:sz w:val="13"/>
        </w:rPr>
        <w:t>The special warfare career field specialties included in the Special Warfare Career Field form the Air Force’s premier ground maneuver element.</w:t>
      </w:r>
    </w:p>
    <w:p>
      <w:pPr>
        <w:spacing w:after="20" w:line="223" w:lineRule="auto"/>
        <w:jc w:val="right"/>
        <w:bidi/>
      </w:pPr>
      <w:r>
        <w:rPr>
          <w:rFonts w:ascii="Arial" w:hAnsi="Arial"/>
          <w:sz w:val="16"/>
        </w:rPr>
        <w:t>174.12  هوانوردان جنگ ویژه در سراسر طیف درگیری به کار گرفته می‌شوند تا نیروی هوایی نیروی هوایی را گسترش داده و کشندگی آن را افزایش دهند.</w:t>
      </w:r>
    </w:p>
    <w:p>
      <w:pPr>
        <w:spacing w:after="28" w:line="216" w:lineRule="auto"/>
        <w:ind w:left="259"/>
        <w:jc w:val="left"/>
      </w:pPr>
      <w:r>
        <w:rPr>
          <w:rFonts w:ascii="Arial" w:hAnsi="Arial"/>
          <w:color w:val="525252"/>
          <w:sz w:val="13"/>
        </w:rPr>
        <w:t>The Airmen of Special Warfare are employed across the spectrum of conflict to extend Air Force air power and enhance its lethality.</w:t>
      </w:r>
    </w:p>
    <w:p>
      <w:pPr>
        <w:spacing w:after="20" w:line="223" w:lineRule="auto"/>
        <w:jc w:val="right"/>
        <w:bidi/>
      </w:pPr>
      <w:r>
        <w:rPr>
          <w:rFonts w:ascii="Arial" w:hAnsi="Arial"/>
          <w:sz w:val="16"/>
        </w:rPr>
        <w:t>174.13  آنها در داخل نیروهای مشترک و ترکیبی برای ایجاد مشارکت، توسعه مزایای نامتقارن و درگیری با دشمن در داخل منطقه خود عمل می‌کنند.</w:t>
      </w:r>
    </w:p>
    <w:p>
      <w:pPr>
        <w:spacing w:after="28" w:line="216" w:lineRule="auto"/>
        <w:ind w:left="259"/>
        <w:jc w:val="left"/>
      </w:pPr>
      <w:r>
        <w:rPr>
          <w:rFonts w:ascii="Arial" w:hAnsi="Arial"/>
          <w:color w:val="525252"/>
          <w:sz w:val="13"/>
        </w:rPr>
        <w:t>They operate within the Joint and Combined Force to build partnerships, develop asymmetric advantages, and engage the enemy inside its own region.</w:t>
      </w:r>
    </w:p>
    <w:p>
      <w:pPr>
        <w:spacing w:after="20" w:line="223" w:lineRule="auto"/>
        <w:jc w:val="right"/>
        <w:bidi/>
      </w:pPr>
      <w:r>
        <w:rPr>
          <w:rFonts w:ascii="Arial" w:hAnsi="Arial"/>
          <w:sz w:val="16"/>
        </w:rPr>
        <w:t>174.14  آنها بافت همبند مورد نیاز برای اتصال دامنه‌های متعدد را فراهم می‌کنند. تمرکز بر ادغام مسائل هوا، فضا، سایبری و زمین از منظر قدرت هوایی از زمین به بالا و ارائه قابلیت و تخصص متمایز در هر محیط عملیاتی با مرگ‌باری، دقت، پاسخگویی، انعطاف‌پذیری و پایداری بی‌نظیر.</w:t>
      </w:r>
    </w:p>
    <w:p>
      <w:pPr>
        <w:spacing w:after="28" w:line="216" w:lineRule="auto"/>
        <w:ind w:left="259"/>
        <w:jc w:val="left"/>
      </w:pPr>
      <w:r>
        <w:rPr>
          <w:rFonts w:ascii="Arial" w:hAnsi="Arial"/>
          <w:color w:val="525252"/>
          <w:sz w:val="13"/>
        </w:rPr>
        <w:t>They provide the connective tissue required to bind multiple domains; focusing the integration of air, space, cyber and land issues through the lens of airpower from the ground up and delivering distinctive capability and expertise in any operating environment with unequaled lethality, accuracy, responsiveness, flexibility, and persistence.</w:t>
      </w:r>
    </w:p>
    <w:p>
      <w:pPr>
        <w:spacing w:after="20" w:line="223" w:lineRule="auto"/>
        <w:jc w:val="right"/>
        <w:bidi/>
      </w:pPr>
      <w:r>
        <w:rPr>
          <w:rFonts w:ascii="Arial" w:hAnsi="Arial"/>
          <w:sz w:val="16"/>
        </w:rPr>
        <w:t>174.15  این رشته شغلی شامل عملکردها و فعالیت‌های دسترسی جهانی، حمله دقیق و بازیابی پرسنل است.</w:t>
      </w:r>
    </w:p>
    <w:p>
      <w:pPr>
        <w:spacing w:after="28" w:line="216" w:lineRule="auto"/>
        <w:ind w:left="259"/>
        <w:jc w:val="left"/>
      </w:pPr>
      <w:r>
        <w:rPr>
          <w:rFonts w:ascii="Arial" w:hAnsi="Arial"/>
          <w:color w:val="525252"/>
          <w:sz w:val="13"/>
        </w:rPr>
        <w:t>This career field includes the functions and activities of global access, precision strike and personnel recovery.</w:t>
      </w:r>
    </w:p>
    <w:p>
      <w:pPr>
        <w:spacing w:after="20" w:line="223" w:lineRule="auto"/>
        <w:jc w:val="right"/>
        <w:bidi/>
      </w:pPr>
      <w:r>
        <w:rPr>
          <w:rFonts w:ascii="Arial" w:hAnsi="Arial"/>
          <w:sz w:val="16"/>
        </w:rPr>
        <w:t>174.16  رشته شغلی نگهداری هوافضا (۲ا).</w:t>
      </w:r>
    </w:p>
    <w:p>
      <w:pPr>
        <w:spacing w:after="28" w:line="216" w:lineRule="auto"/>
        <w:ind w:left="259"/>
        <w:jc w:val="left"/>
      </w:pPr>
      <w:r>
        <w:rPr>
          <w:rFonts w:ascii="Arial" w:hAnsi="Arial"/>
          <w:color w:val="525252"/>
          <w:sz w:val="13"/>
        </w:rPr>
        <w:t>Aerospace Maintenance Career Field (2A).</w:t>
      </w:r>
    </w:p>
    <w:p>
      <w:pPr>
        <w:spacing w:after="20" w:line="223" w:lineRule="auto"/>
        <w:jc w:val="right"/>
        <w:bidi/>
      </w:pPr>
      <w:r>
        <w:rPr>
          <w:rFonts w:ascii="Arial" w:hAnsi="Arial"/>
          <w:sz w:val="16"/>
        </w:rPr>
        <w:t>174.17  زمینه حرفه تعمیر و نگهداری هوافضا شامل چندین مسئولیت است، از جمله نصب، نگهداری، کالیبراسیون و تعمیر تجهیزات اویونیک، سیستم‌های هدایت و کنترل اویونیک. سیستم‌های ارتباطی و ناوبری؛ ارتباطات هوابرد، رادار هشدار اولیه و تجهیزات جنگ الکترونیک. و تجهیزات پشتیبانی اویونیک.</w:t>
      </w:r>
    </w:p>
    <w:p>
      <w:pPr>
        <w:spacing w:after="28" w:line="216" w:lineRule="auto"/>
        <w:ind w:left="259"/>
        <w:jc w:val="left"/>
      </w:pPr>
      <w:r>
        <w:rPr>
          <w:rFonts w:ascii="Arial" w:hAnsi="Arial"/>
          <w:color w:val="525252"/>
          <w:sz w:val="13"/>
        </w:rPr>
        <w:t>The aerospace maintenance career field involves several responsibilities, to include installing, maintaining, calibrating, and repairing avionics equipment, avionics guidance and control systems; communication and navigation systems; airborne communications, early warning radar, and electronic warfare equipment; and avionics support equipment.</w:t>
      </w:r>
    </w:p>
    <w:p>
      <w:pPr>
        <w:spacing w:after="20" w:line="223" w:lineRule="auto"/>
        <w:jc w:val="right"/>
        <w:bidi/>
      </w:pPr>
      <w:r>
        <w:rPr>
          <w:rFonts w:ascii="Arial" w:hAnsi="Arial"/>
          <w:sz w:val="16"/>
        </w:rPr>
        <w:t>174.18  حوزه شغلی مسئول خروج خدمه هوایی، سوخت، سیستم‌های پنودراولیک، تجهیزات زمینی هوافضا، چترهای حمل و نقل هوایی، قطعات مواد هوافضا، و سیستم‌های تحت فشار است.</w:t>
      </w:r>
    </w:p>
    <w:p>
      <w:pPr>
        <w:spacing w:after="28" w:line="216" w:lineRule="auto"/>
        <w:ind w:left="259"/>
        <w:jc w:val="left"/>
      </w:pPr>
      <w:r>
        <w:rPr>
          <w:rFonts w:ascii="Arial" w:hAnsi="Arial"/>
          <w:color w:val="525252"/>
          <w:sz w:val="13"/>
        </w:rPr>
        <w:t>The career field is responsible for aircrew egress, fuel, pneudraulic systems, aerospace ground equipment, aerial delivery parachutes, and aerospace material parts, and pressurized systems.</w:t>
      </w:r>
    </w:p>
    <w:p>
      <w:pPr>
        <w:spacing w:after="20" w:line="223" w:lineRule="auto"/>
        <w:jc w:val="right"/>
        <w:bidi/>
      </w:pPr>
      <w:r>
        <w:rPr>
          <w:rFonts w:ascii="Arial" w:hAnsi="Arial"/>
          <w:sz w:val="16"/>
        </w:rPr>
        <w:t>174.19  مسئولیت‌های حوزه شغلی شامل هلیکوپتر، هواپیمای توربوپراپ، هواپیمای ملخی و هواپیمای جت است.</w:t>
      </w:r>
    </w:p>
    <w:p>
      <w:pPr>
        <w:spacing w:after="28" w:line="216" w:lineRule="auto"/>
        <w:ind w:left="259"/>
        <w:jc w:val="left"/>
      </w:pPr>
      <w:r>
        <w:rPr>
          <w:rFonts w:ascii="Arial" w:hAnsi="Arial"/>
          <w:color w:val="525252"/>
          <w:sz w:val="13"/>
        </w:rPr>
        <w:t>The career field’s responsibilities include helicopters, turboprop aircraft, propeller aircraft, and jet aircraft.</w:t>
      </w:r>
    </w:p>
    <w:p>
      <w:pPr>
        <w:spacing w:after="20" w:line="223" w:lineRule="auto"/>
        <w:jc w:val="right"/>
        <w:bidi/>
      </w:pPr>
      <w:r>
        <w:rPr>
          <w:rFonts w:ascii="Arial" w:hAnsi="Arial"/>
          <w:sz w:val="16"/>
        </w:rPr>
        <w:t>174.20  رستهٔ شغلی همچنین مسئول ساخت، قالب‌گیری، شکل‌دهی، برش و اتصال فلزات است. تشکیل اقلام پلاستیکی؛ نگهداری و تعمیر سطوح کنترل هواپیما با پوشش فایبر شیشه؛ بازرسی و حفظ قطعات و مواد هواپیما؛ و درگیر شدن در کنترل خوردگی برای موشک‌ها، هواپیماها و سیستم‌های پشتیبانی.</w:t>
      </w:r>
    </w:p>
    <w:p>
      <w:pPr>
        <w:spacing w:after="28" w:line="216" w:lineRule="auto"/>
        <w:ind w:left="259"/>
        <w:jc w:val="left"/>
      </w:pPr>
      <w:r>
        <w:rPr>
          <w:rFonts w:ascii="Arial" w:hAnsi="Arial"/>
          <w:color w:val="525252"/>
          <w:sz w:val="13"/>
        </w:rPr>
        <w:t>The career field is also responsible for fabricating, molding, shaping, cutting, and joining metals; forming plastic articles; maintaining and repairing fiber-glass- covered aircraft control surfaces; inspecting and preserving aircraft parts and materials; and engaging in corrosion control for missile, aircraft, and support systems.</w:t>
      </w:r>
    </w:p>
    <w:p>
      <w:pPr>
        <w:spacing w:after="20" w:line="223" w:lineRule="auto"/>
        <w:jc w:val="right"/>
        <w:bidi/>
      </w:pPr>
      <w:r>
        <w:rPr>
          <w:rFonts w:ascii="Arial" w:hAnsi="Arial"/>
          <w:sz w:val="16"/>
        </w:rPr>
        <w:t>174.21  توجه: از این رشته شغلی مستثنی شده است، کنترل خوردگی و عملکردهای ورق فلزی مرتبط با حوزه‌های مسئولیت مهندس عمران.</w:t>
      </w:r>
    </w:p>
    <w:p>
      <w:pPr>
        <w:spacing w:after="28" w:line="216" w:lineRule="auto"/>
        <w:ind w:left="259"/>
        <w:jc w:val="left"/>
      </w:pPr>
      <w:r>
        <w:rPr>
          <w:rFonts w:ascii="Arial" w:hAnsi="Arial"/>
          <w:color w:val="525252"/>
          <w:sz w:val="13"/>
        </w:rPr>
        <w:t>Note: Excluded from this career field are the corrosion control and sheet metal functions associated with civil engineer areas of responsibility.</w:t>
      </w:r>
    </w:p>
    <w:p>
      <w:pPr>
        <w:spacing w:after="20" w:line="223" w:lineRule="auto"/>
        <w:jc w:val="right"/>
        <w:bidi/>
      </w:pPr>
      <w:r>
        <w:rPr>
          <w:rFonts w:ascii="Arial" w:hAnsi="Arial"/>
          <w:sz w:val="16"/>
        </w:rPr>
        <w:t>174.22  همچنین، از این رستهٔ شغلی، آن دسته از عملکردهای مرتبط با نگهداری ظروف ذخیره‌سازی برودتی نصب شده روی لغزش حذف می‌شوند.</w:t>
      </w:r>
    </w:p>
    <w:p>
      <w:pPr>
        <w:spacing w:after="28" w:line="216" w:lineRule="auto"/>
        <w:ind w:left="259"/>
        <w:jc w:val="left"/>
      </w:pPr>
      <w:r>
        <w:rPr>
          <w:rFonts w:ascii="Arial" w:hAnsi="Arial"/>
          <w:color w:val="525252"/>
          <w:sz w:val="13"/>
        </w:rPr>
        <w:t>Also, excluded from this career field are those functions associated with maintaining skid-mounted cryogenic storage containers.</w:t>
      </w:r>
    </w:p>
    <w:p>
      <w:pPr>
        <w:spacing w:after="20" w:line="223" w:lineRule="auto"/>
        <w:jc w:val="right"/>
        <w:bidi/>
      </w:pPr>
      <w:r>
        <w:rPr>
          <w:rFonts w:ascii="Arial" w:hAnsi="Arial"/>
          <w:sz w:val="16"/>
        </w:rPr>
        <w:t>174.23  رستهٔ شغلی سوخت (۲ف).</w:t>
      </w:r>
    </w:p>
    <w:p>
      <w:pPr>
        <w:spacing w:after="28" w:line="216" w:lineRule="auto"/>
        <w:ind w:left="259"/>
        <w:jc w:val="left"/>
      </w:pPr>
      <w:r>
        <w:rPr>
          <w:rFonts w:ascii="Arial" w:hAnsi="Arial"/>
          <w:color w:val="525252"/>
          <w:sz w:val="13"/>
        </w:rPr>
        <w:t>Fuels Career Field (2F).</w:t>
      </w:r>
    </w:p>
    <w:p>
      <w:pPr>
        <w:spacing w:after="20" w:line="223" w:lineRule="auto"/>
        <w:jc w:val="right"/>
        <w:bidi/>
      </w:pPr>
      <w:r>
        <w:rPr>
          <w:rFonts w:ascii="Arial" w:hAnsi="Arial"/>
          <w:sz w:val="16"/>
        </w:rPr>
        <w:t>174.24  حوزه شغلی سوخت شامل عملیات، نگهداری و مدیریت سیستم‌ها و فعالیت‌های سوخت نفتی از جمله کل طیف درخواست، حسابداری، دریافت، ذخیره‌سازی، توزیع و آزمایش سوخت‌های هوایی و زمینی، برودتی، پیشرانه‌های موشکی و سوخت‌های جایگزین می‌شود.</w:t>
      </w:r>
    </w:p>
    <w:p>
      <w:pPr>
        <w:spacing w:after="28" w:line="216" w:lineRule="auto"/>
        <w:ind w:left="259"/>
        <w:jc w:val="left"/>
      </w:pPr>
      <w:r>
        <w:rPr>
          <w:rFonts w:ascii="Arial" w:hAnsi="Arial"/>
          <w:color w:val="525252"/>
          <w:sz w:val="13"/>
        </w:rPr>
        <w:t>The fuels career field encompasses operating, maintaining, and managing petroleum fuel systems and activities including the entire spectrum of requisitioning, accounting, receiving, storing, dispensing, and testing of aviation and ground fuels, cryogenics, missile propellants, and alternative fuels.</w:t>
      </w:r>
    </w:p>
    <w:p>
      <w:pPr>
        <w:spacing w:after="20" w:line="223" w:lineRule="auto"/>
        <w:jc w:val="right"/>
        <w:bidi/>
      </w:pPr>
      <w:r>
        <w:rPr>
          <w:rFonts w:ascii="Arial" w:hAnsi="Arial"/>
          <w:sz w:val="16"/>
        </w:rPr>
        <w:t>174.25  وسایل نقلیه یا تجهیزات سوخت رسان سیار همراه با</w:t>
      </w:r>
    </w:p>
    <w:p>
      <w:pPr>
        <w:spacing w:after="28" w:line="216" w:lineRule="auto"/>
        <w:ind w:left="259"/>
        <w:jc w:val="left"/>
      </w:pPr>
      <w:r>
        <w:rPr>
          <w:rFonts w:ascii="Arial" w:hAnsi="Arial"/>
          <w:color w:val="525252"/>
          <w:sz w:val="13"/>
        </w:rPr>
        <w:t>Mobile refueling vehicles or equipment along with</w:t>
      </w:r>
    </w:p>
    <w:p>
      <w:r>
        <w:br w:type="page"/>
      </w:r>
    </w:p>
    <w:p>
      <w:pPr>
        <w:spacing w:after="60"/>
        <w:jc w:val="right"/>
        <w:bidi/>
      </w:pPr>
      <w:r>
        <w:rPr>
          <w:rFonts w:ascii="Arial" w:hAnsi="Arial"/>
          <w:b/>
          <w:color w:val="1F4D78"/>
          <w:sz w:val="19"/>
        </w:rPr>
        <w:t>هفتهٔ 175  |  صفحهٔ منبع: 191</w:t>
      </w:r>
    </w:p>
    <w:p>
      <w:pPr>
        <w:spacing w:after="20" w:line="223" w:lineRule="auto"/>
        <w:jc w:val="right"/>
        <w:bidi/>
      </w:pPr>
      <w:r>
        <w:rPr>
          <w:rFonts w:ascii="Arial" w:hAnsi="Arial"/>
          <w:sz w:val="16"/>
        </w:rPr>
        <w:t>175.01  سیستم‌های سوخت مکانیکی نصب شده برای دریافت یا توزیع سوخت‌های هوایی و زمینی استفاده می‌شود.</w:t>
      </w:r>
    </w:p>
    <w:p>
      <w:pPr>
        <w:spacing w:after="28" w:line="216" w:lineRule="auto"/>
        <w:ind w:left="259"/>
        <w:jc w:val="left"/>
      </w:pPr>
      <w:r>
        <w:rPr>
          <w:rFonts w:ascii="Arial" w:hAnsi="Arial"/>
          <w:color w:val="525252"/>
          <w:sz w:val="13"/>
        </w:rPr>
        <w:t>installed mechanical fuel systems are used to receive or distribute aviation and ground fuels.</w:t>
      </w:r>
    </w:p>
    <w:p>
      <w:pPr>
        <w:spacing w:after="20" w:line="223" w:lineRule="auto"/>
        <w:jc w:val="right"/>
        <w:bidi/>
      </w:pPr>
      <w:r>
        <w:rPr>
          <w:rFonts w:ascii="Arial" w:hAnsi="Arial"/>
          <w:sz w:val="16"/>
        </w:rPr>
        <w:t>175.02  همه عملیات شامل حفاظت از محیط زیست و اقدامات حفاظت از انرژی است.</w:t>
      </w:r>
    </w:p>
    <w:p>
      <w:pPr>
        <w:spacing w:after="28" w:line="216" w:lineRule="auto"/>
        <w:ind w:left="259"/>
        <w:jc w:val="left"/>
      </w:pPr>
      <w:r>
        <w:rPr>
          <w:rFonts w:ascii="Arial" w:hAnsi="Arial"/>
          <w:color w:val="525252"/>
          <w:sz w:val="13"/>
        </w:rPr>
        <w:t>All operations encompass environmental protection and energy conservation practices.</w:t>
      </w:r>
    </w:p>
    <w:p>
      <w:pPr>
        <w:spacing w:after="20" w:line="223" w:lineRule="auto"/>
        <w:jc w:val="right"/>
        <w:bidi/>
      </w:pPr>
      <w:r>
        <w:rPr>
          <w:rFonts w:ascii="Arial" w:hAnsi="Arial"/>
          <w:sz w:val="16"/>
        </w:rPr>
        <w:t>175.03  رستهٔ شغلی برنامه‌های لجستیک (۲گ).</w:t>
      </w:r>
    </w:p>
    <w:p>
      <w:pPr>
        <w:spacing w:after="28" w:line="216" w:lineRule="auto"/>
        <w:ind w:left="259"/>
        <w:jc w:val="left"/>
      </w:pPr>
      <w:r>
        <w:rPr>
          <w:rFonts w:ascii="Arial" w:hAnsi="Arial"/>
          <w:color w:val="525252"/>
          <w:sz w:val="13"/>
        </w:rPr>
        <w:t>Logistics Plans Career Field (2G).</w:t>
      </w:r>
    </w:p>
    <w:p>
      <w:pPr>
        <w:spacing w:after="20" w:line="223" w:lineRule="auto"/>
        <w:jc w:val="right"/>
        <w:bidi/>
      </w:pPr>
      <w:r>
        <w:rPr>
          <w:rFonts w:ascii="Arial" w:hAnsi="Arial"/>
          <w:sz w:val="16"/>
        </w:rPr>
        <w:t>175.04  رستهٔ شغلی برنامه‌های لجستیک شامل مدیریت، اداره و عملیاتی کردن سیستم‌ها و فعالیت‌های برنامه‌ریزی لجستیک است که از اصول پشتیبانی رزمی اعزامی برای آماده‌سازی فضای نبرد و همچنین آماده‌سازی، موقعیت‌یابی، بکارگیری، حفظ و بازیابی نیرو پشتیبانی می‌کنند.</w:t>
      </w:r>
    </w:p>
    <w:p>
      <w:pPr>
        <w:spacing w:after="28" w:line="216" w:lineRule="auto"/>
        <w:ind w:left="259"/>
        <w:jc w:val="left"/>
      </w:pPr>
      <w:r>
        <w:rPr>
          <w:rFonts w:ascii="Arial" w:hAnsi="Arial"/>
          <w:color w:val="525252"/>
          <w:sz w:val="13"/>
        </w:rPr>
        <w:t>The logistics plans career field encompasses managing, administering, and operating logistics planning systems and activities supporting the expeditionary combat support principles of preparing the battle space, as well as readying, positioning, employing, sustaining, and recovering the force.</w:t>
      </w:r>
    </w:p>
    <w:p>
      <w:pPr>
        <w:spacing w:after="20" w:line="223" w:lineRule="auto"/>
        <w:jc w:val="right"/>
        <w:bidi/>
      </w:pPr>
      <w:r>
        <w:rPr>
          <w:rFonts w:ascii="Arial" w:hAnsi="Arial"/>
          <w:sz w:val="16"/>
        </w:rPr>
        <w:t>175.05  در این رستهٔ شغلی شامل تدوین، توسعه، ارزیابی و نظارت بر سیستم‌های برنامه‌های لجستیک برای برنامه‌ریزی، سیاست‌ها و برنامه‌ها برای اجرای مأموریت‌های USAF یا خدمات مشترک است.</w:t>
      </w:r>
    </w:p>
    <w:p>
      <w:pPr>
        <w:spacing w:after="28" w:line="216" w:lineRule="auto"/>
        <w:ind w:left="259"/>
        <w:jc w:val="left"/>
      </w:pPr>
      <w:r>
        <w:rPr>
          <w:rFonts w:ascii="Arial" w:hAnsi="Arial"/>
          <w:color w:val="525252"/>
          <w:sz w:val="13"/>
        </w:rPr>
        <w:t>Included in this career field are formulating, developing, evaluating, and monitoring logistics plans systems for planning, policies, and programs for executing USAF or joint service missions.</w:t>
      </w:r>
    </w:p>
    <w:p>
      <w:pPr>
        <w:spacing w:after="20" w:line="223" w:lineRule="auto"/>
        <w:jc w:val="right"/>
        <w:bidi/>
      </w:pPr>
      <w:r>
        <w:rPr>
          <w:rFonts w:ascii="Arial" w:hAnsi="Arial"/>
          <w:sz w:val="16"/>
        </w:rPr>
        <w:t>175.06  رهنمودها و رویه‌ها برای تفسیر و اجرای طرح‌ها، سیاست‌ها و برنامه‌های جاری، میان‌برد و بلندمدت استفاده می‌شوند.</w:t>
      </w:r>
    </w:p>
    <w:p>
      <w:pPr>
        <w:spacing w:after="28" w:line="216" w:lineRule="auto"/>
        <w:ind w:left="259"/>
        <w:jc w:val="left"/>
      </w:pPr>
      <w:r>
        <w:rPr>
          <w:rFonts w:ascii="Arial" w:hAnsi="Arial"/>
          <w:color w:val="525252"/>
          <w:sz w:val="13"/>
        </w:rPr>
        <w:t>Guidance and procedures are used for interpreting and implementing current, intermediate, and long-range plans, policies, and programs.</w:t>
      </w:r>
    </w:p>
    <w:p>
      <w:pPr>
        <w:spacing w:after="20" w:line="223" w:lineRule="auto"/>
        <w:jc w:val="right"/>
        <w:bidi/>
      </w:pPr>
      <w:r>
        <w:rPr>
          <w:rFonts w:ascii="Arial" w:hAnsi="Arial"/>
          <w:sz w:val="16"/>
        </w:rPr>
        <w:t>175.07  رشته شغلی تعمیر و نگهداری موشک و سیستم‌های فضایی (۲م).</w:t>
      </w:r>
    </w:p>
    <w:p>
      <w:pPr>
        <w:spacing w:after="28" w:line="216" w:lineRule="auto"/>
        <w:ind w:left="259"/>
        <w:jc w:val="left"/>
      </w:pPr>
      <w:r>
        <w:rPr>
          <w:rFonts w:ascii="Arial" w:hAnsi="Arial"/>
          <w:color w:val="525252"/>
          <w:sz w:val="13"/>
        </w:rPr>
        <w:t>Missile and Space Systems Maintenance Career Field (2M).</w:t>
      </w:r>
    </w:p>
    <w:p>
      <w:pPr>
        <w:spacing w:after="20" w:line="223" w:lineRule="auto"/>
        <w:jc w:val="right"/>
        <w:bidi/>
      </w:pPr>
      <w:r>
        <w:rPr>
          <w:rFonts w:ascii="Arial" w:hAnsi="Arial"/>
          <w:sz w:val="16"/>
        </w:rPr>
        <w:t>175.08  حوزه حرفه‌ای تعمیر و نگهداری موشک و سیستم‌های فضایی شامل مهارت‌ها، عملکردها و تکنیک‌های مورد استفاده برای بدست آوردن، فعال سازی، مونتاژ، حمل و نقل، نصب و نگهداری موشک‌ها و زیرسیستم‌ها می‌شود. به دست آوردن، فعال کردن و نظارت بر مونتاژ، حمل و نقل، نگهداری، بازرسی، اصلاح و پرتاب تقویت کننده‌های بالابر فضایی، ماهواره‌ها و زیرسیستم‌ها؛ مونتاژ، بهره‌برداری، ساخت، نصب، آزمایش و عیب یابی سیستم‌ها و زیرسیستم‌های تخصصی تحقیق و توسعه؛ و همچنین به دست آوردن، فعال کردن، بازرسی، نگهداری، تعمیر، کالیبره کردن، اصلاح و مدیریت این اقدامات بر روی موشک‌های مرتبط، تقویت کننده بالابر فضایی، ماهواره، و تاسیسات، سیستم‌های پشتیبانی، تجهیزات آزمایشی و زیرسیستم‌ها.</w:t>
      </w:r>
    </w:p>
    <w:p>
      <w:pPr>
        <w:spacing w:after="28" w:line="216" w:lineRule="auto"/>
        <w:ind w:left="259"/>
        <w:jc w:val="left"/>
      </w:pPr>
      <w:r>
        <w:rPr>
          <w:rFonts w:ascii="Arial" w:hAnsi="Arial"/>
          <w:color w:val="525252"/>
          <w:sz w:val="13"/>
        </w:rPr>
        <w:t>The missile and space systems maintenance career field encompasses the skills, functions, and techniques used to acquire, activate, assemble, transport, install, and maintain missiles and subsystems; acquire, activate, and supervise assembly, transportation, maintenance, inspection, modification, and launch processing of space lift boosters, satellites, and subsystems; assemble, operate, fabricate, install, test, and troubleshoot specialized research and development systems and subsystems; as well as acquire, activate, inspect, maintain, repair, calibrate, modify, and manage these actions on related missile, space lift booster, satellite, and facilities, support systems, test equipment, and subsystems.</w:t>
      </w:r>
    </w:p>
    <w:p>
      <w:pPr>
        <w:spacing w:after="20" w:line="223" w:lineRule="auto"/>
        <w:jc w:val="right"/>
        <w:bidi/>
      </w:pPr>
      <w:r>
        <w:rPr>
          <w:rFonts w:ascii="Arial" w:hAnsi="Arial"/>
          <w:sz w:val="16"/>
        </w:rPr>
        <w:t>175.09  رشته شغلی آزمایشگاه تجهیزات اندازه گیری دقیق (۲پ).</w:t>
      </w:r>
    </w:p>
    <w:p>
      <w:pPr>
        <w:spacing w:after="28" w:line="216" w:lineRule="auto"/>
        <w:ind w:left="259"/>
        <w:jc w:val="left"/>
      </w:pPr>
      <w:r>
        <w:rPr>
          <w:rFonts w:ascii="Arial" w:hAnsi="Arial"/>
          <w:color w:val="525252"/>
          <w:sz w:val="13"/>
        </w:rPr>
        <w:t>Precision Measurement Equipment Laboratory Career Field (2P).</w:t>
      </w:r>
    </w:p>
    <w:p>
      <w:pPr>
        <w:spacing w:after="20" w:line="223" w:lineRule="auto"/>
        <w:jc w:val="right"/>
        <w:bidi/>
      </w:pPr>
      <w:r>
        <w:rPr>
          <w:rFonts w:ascii="Arial" w:hAnsi="Arial"/>
          <w:sz w:val="16"/>
        </w:rPr>
        <w:t>175.10  حوزه شغلی آزمایشگاه تجهیزات اندازه‌گیری دقیق، تعمیر و نگهداری، اصلاح، تعمیر، کالیبراسیون و گواهی‌نامه را برای تجهیزات تست، اندازه‌گیری و تشخیص ارائه می‌کند.</w:t>
      </w:r>
    </w:p>
    <w:p>
      <w:pPr>
        <w:spacing w:after="28" w:line="216" w:lineRule="auto"/>
        <w:ind w:left="259"/>
        <w:jc w:val="left"/>
      </w:pPr>
      <w:r>
        <w:rPr>
          <w:rFonts w:ascii="Arial" w:hAnsi="Arial"/>
          <w:color w:val="525252"/>
          <w:sz w:val="13"/>
        </w:rPr>
        <w:t>The precision measurement equipment laboratory career field provides maintenance, modification, repair, calibration, and certification for test, measurement, and diagnostic equipment.</w:t>
      </w:r>
    </w:p>
    <w:p>
      <w:pPr>
        <w:spacing w:after="20" w:line="223" w:lineRule="auto"/>
        <w:jc w:val="right"/>
        <w:bidi/>
      </w:pPr>
      <w:r>
        <w:rPr>
          <w:rFonts w:ascii="Arial" w:hAnsi="Arial"/>
          <w:sz w:val="16"/>
        </w:rPr>
        <w:t>175.11  همچنین روش‌ها و روش‌هایی را برای مدیریت برنامه اندازه‌شناسی و کالیبراسیون USAF (AFMETCAL) که توسط DAFMAN ۲۱-۱۱۳، مدیریت برنامه اندازه‌گیری و کالیبراسیون نیروی هوایی راه‌اندازی و هدایت شده است، اجرا می‌کند.</w:t>
      </w:r>
    </w:p>
    <w:p>
      <w:pPr>
        <w:spacing w:after="28" w:line="216" w:lineRule="auto"/>
        <w:ind w:left="259"/>
        <w:jc w:val="left"/>
      </w:pPr>
      <w:r>
        <w:rPr>
          <w:rFonts w:ascii="Arial" w:hAnsi="Arial"/>
          <w:color w:val="525252"/>
          <w:sz w:val="13"/>
        </w:rPr>
        <w:t>It also implements methods and procedures for managing the USAF Metrology and Calibration (AFMETCAL) Program as established and directed by DAFMAN 21-113, Air Force Metrology and Calibration Program Management.</w:t>
      </w:r>
    </w:p>
    <w:p>
      <w:pPr>
        <w:spacing w:after="20" w:line="223" w:lineRule="auto"/>
        <w:jc w:val="right"/>
        <w:bidi/>
      </w:pPr>
      <w:r>
        <w:rPr>
          <w:rFonts w:ascii="Arial" w:hAnsi="Arial"/>
          <w:sz w:val="16"/>
        </w:rPr>
        <w:t>175.12  AFMETCAL ترکیبی از استانداردها و تجهیزات اندازه‌گیری، کاربران، داده‌های کالیبراسیون و برنامه‌ریزی یکپارچه برای ارائه یک برنامه منظم برای اطمینان از قابلیت اطمینان، دقت و قابلیت ردیابی سیستم‌ها، زیرسیستم‌ها و تجهیزات است.</w:t>
      </w:r>
    </w:p>
    <w:p>
      <w:pPr>
        <w:spacing w:after="28" w:line="216" w:lineRule="auto"/>
        <w:ind w:left="259"/>
        <w:jc w:val="left"/>
      </w:pPr>
      <w:r>
        <w:rPr>
          <w:rFonts w:ascii="Arial" w:hAnsi="Arial"/>
          <w:color w:val="525252"/>
          <w:sz w:val="13"/>
        </w:rPr>
        <w:t>AFMETCAL is a composite of measurement standards and equipment, users, calibration data, and integrated planning to provide a disciplined program to ensure reliability, accuracy, and traceability of systems, subsystems, and equipment.</w:t>
      </w:r>
    </w:p>
    <w:p>
      <w:pPr>
        <w:spacing w:after="20" w:line="223" w:lineRule="auto"/>
        <w:jc w:val="right"/>
        <w:bidi/>
      </w:pPr>
      <w:r>
        <w:rPr>
          <w:rFonts w:ascii="Arial" w:hAnsi="Arial"/>
          <w:sz w:val="16"/>
        </w:rPr>
        <w:t>175.13  رشته شغلی مدیریت نگهداری (۲ر).</w:t>
      </w:r>
    </w:p>
    <w:p>
      <w:pPr>
        <w:spacing w:after="28" w:line="216" w:lineRule="auto"/>
        <w:ind w:left="259"/>
        <w:jc w:val="left"/>
      </w:pPr>
      <w:r>
        <w:rPr>
          <w:rFonts w:ascii="Arial" w:hAnsi="Arial"/>
          <w:color w:val="525252"/>
          <w:sz w:val="13"/>
        </w:rPr>
        <w:t>Maintenance Management Career Field (2R).</w:t>
      </w:r>
    </w:p>
    <w:p>
      <w:pPr>
        <w:spacing w:after="20" w:line="223" w:lineRule="auto"/>
        <w:jc w:val="right"/>
        <w:bidi/>
      </w:pPr>
      <w:r>
        <w:rPr>
          <w:rFonts w:ascii="Arial" w:hAnsi="Arial"/>
          <w:sz w:val="16"/>
        </w:rPr>
        <w:t>175.14  رشته حرفه‌ای سیستم‌های مدیریت تعمیر و نگهداری شامل برنامه‌ریزی و برنامه‌ریزی هواپیما، موشک و تجهیزات مرتبط است. راه‌اندازی و نگهداری سیستم اطلاعات مدیریت؛ و جمع‌آوری، تجزیه و تحلیل و ارائه داده‌های نگهداری در سازمان‌های تعمیر و نگهداری.</w:t>
      </w:r>
    </w:p>
    <w:p>
      <w:pPr>
        <w:spacing w:after="28" w:line="216" w:lineRule="auto"/>
        <w:ind w:left="259"/>
        <w:jc w:val="left"/>
      </w:pPr>
      <w:r>
        <w:rPr>
          <w:rFonts w:ascii="Arial" w:hAnsi="Arial"/>
          <w:color w:val="525252"/>
          <w:sz w:val="13"/>
        </w:rPr>
        <w:t>The maintenance management systems career field includes planning and scheduling aircraft, missiles, and associated equipment; operating and maintaining the management information system; and collecting, analyzing, and presenting maintenance data in maintenance organizations.</w:t>
      </w:r>
    </w:p>
    <w:p>
      <w:pPr>
        <w:spacing w:after="20" w:line="223" w:lineRule="auto"/>
        <w:jc w:val="right"/>
        <w:bidi/>
      </w:pPr>
      <w:r>
        <w:rPr>
          <w:rFonts w:ascii="Arial" w:hAnsi="Arial"/>
          <w:sz w:val="16"/>
        </w:rPr>
        <w:t>175.15  چنین سازمان هایی شامل تعمیر و نگهداری هواپیما، موشک، هواپیما، ارتباطات، الکترونیک و مهمات است.</w:t>
      </w:r>
    </w:p>
    <w:p>
      <w:pPr>
        <w:spacing w:after="28" w:line="216" w:lineRule="auto"/>
        <w:ind w:left="259"/>
        <w:jc w:val="left"/>
      </w:pPr>
      <w:r>
        <w:rPr>
          <w:rFonts w:ascii="Arial" w:hAnsi="Arial"/>
          <w:color w:val="525252"/>
          <w:sz w:val="13"/>
        </w:rPr>
        <w:t>Such organizations include aircraft, missile, avionics, communications, electronics, and munitions maintenance.</w:t>
      </w:r>
    </w:p>
    <w:p>
      <w:pPr>
        <w:spacing w:after="20" w:line="223" w:lineRule="auto"/>
        <w:jc w:val="right"/>
        <w:bidi/>
      </w:pPr>
      <w:r>
        <w:rPr>
          <w:rFonts w:ascii="Arial" w:hAnsi="Arial"/>
          <w:sz w:val="16"/>
        </w:rPr>
        <w:t>175.16  رشته شغلی مدیریت مواد (۲س).</w:t>
      </w:r>
    </w:p>
    <w:p>
      <w:pPr>
        <w:spacing w:after="28" w:line="216" w:lineRule="auto"/>
        <w:ind w:left="259"/>
        <w:jc w:val="left"/>
      </w:pPr>
      <w:r>
        <w:rPr>
          <w:rFonts w:ascii="Arial" w:hAnsi="Arial"/>
          <w:color w:val="525252"/>
          <w:sz w:val="13"/>
        </w:rPr>
        <w:t>Materiel Management Career Field (2S).</w:t>
      </w:r>
    </w:p>
    <w:p>
      <w:pPr>
        <w:spacing w:after="20" w:line="223" w:lineRule="auto"/>
        <w:jc w:val="right"/>
        <w:bidi/>
      </w:pPr>
      <w:r>
        <w:rPr>
          <w:rFonts w:ascii="Arial" w:hAnsi="Arial"/>
          <w:sz w:val="16"/>
        </w:rPr>
        <w:t>175.17  حوزه شغلی مدیریت مواد شامل مدیریت، کنترل و عملیاتی کردن سیستم‌های مدیریت مواد مرتبط با کلاس‌های مشخصی از عرضه است.</w:t>
      </w:r>
    </w:p>
    <w:p>
      <w:pPr>
        <w:spacing w:after="28" w:line="216" w:lineRule="auto"/>
        <w:ind w:left="259"/>
        <w:jc w:val="left"/>
      </w:pPr>
      <w:r>
        <w:rPr>
          <w:rFonts w:ascii="Arial" w:hAnsi="Arial"/>
          <w:color w:val="525252"/>
          <w:sz w:val="13"/>
        </w:rPr>
        <w:t>The materiel management career field encompasses managing, controlling, and operating materiel management systems associated with specified classes of supply.</w:t>
      </w:r>
    </w:p>
    <w:p>
      <w:pPr>
        <w:spacing w:after="20" w:line="223" w:lineRule="auto"/>
        <w:jc w:val="right"/>
        <w:bidi/>
      </w:pPr>
      <w:r>
        <w:rPr>
          <w:rFonts w:ascii="Arial" w:hAnsi="Arial"/>
          <w:sz w:val="16"/>
        </w:rPr>
        <w:t>175.18  این زمینه شامل توابع طراحی، توسعه، تجزیه و تحلیل، و عملیات سیستم‌های مدیریت مواد است. تعیین و محاسبه الزامات؛ بهره‌برداری و مدیریت انبارهای ذخیره سازی مواد؛ بررسی و اعتبار سنجی تجهیزات؛ نگهداری سوابق؛ کنترل موجودی و توزیع؛ بازرسی و شناسایی اموال؛ و کمک به فرماندهان در حفظ پاسخگویی در مورد لوازم یدکی و تجهیزات آمادگی اختصاص داده شده.</w:t>
      </w:r>
    </w:p>
    <w:p>
      <w:pPr>
        <w:spacing w:after="28" w:line="216" w:lineRule="auto"/>
        <w:ind w:left="259"/>
        <w:jc w:val="left"/>
      </w:pPr>
      <w:r>
        <w:rPr>
          <w:rFonts w:ascii="Arial" w:hAnsi="Arial"/>
          <w:color w:val="525252"/>
          <w:sz w:val="13"/>
        </w:rPr>
        <w:t>This field includes functions of designing, developing, analyzing, and operating materiel management systems; requirements determination and computation; operating and managing materiel storage warehouses; equipment review and validation; records maintenance; inventory and distribution control; inspection and identification of property; and assisting commanders in maintaining accountability of assigned readiness spares and equipment.</w:t>
      </w:r>
    </w:p>
    <w:p>
      <w:pPr>
        <w:spacing w:after="20" w:line="223" w:lineRule="auto"/>
        <w:jc w:val="right"/>
        <w:bidi/>
      </w:pPr>
      <w:r>
        <w:rPr>
          <w:rFonts w:ascii="Arial" w:hAnsi="Arial"/>
          <w:sz w:val="16"/>
        </w:rPr>
        <w:t>175.19  تبصره: مدیریت دفاتر استفاده مجدد و بازاریابی دفاعی و بهره‌برداری و نگهداری از سازمانی، تخت ابزار، مسئولیت نگهداری تجهیزات و سایر وظایفی که صرفا به ارائه قابلیت مدیریت مواد مربوط نمی‌شود، از این حوزه مستثنی هستند.</w:t>
      </w:r>
    </w:p>
    <w:p>
      <w:pPr>
        <w:spacing w:after="28" w:line="216" w:lineRule="auto"/>
        <w:ind w:left="259"/>
        <w:jc w:val="left"/>
      </w:pPr>
      <w:r>
        <w:rPr>
          <w:rFonts w:ascii="Arial" w:hAnsi="Arial"/>
          <w:color w:val="525252"/>
          <w:sz w:val="13"/>
        </w:rPr>
        <w:t>Note: Excluded from this field are managing defense reutilization and marketing offices, and operation and maintenance of organizational, tool cribs, equipment custodial responsibilities, and other duties not related solely to providing materiel management capability.</w:t>
      </w:r>
    </w:p>
    <w:p>
      <w:pPr>
        <w:spacing w:after="20" w:line="223" w:lineRule="auto"/>
        <w:jc w:val="right"/>
        <w:bidi/>
      </w:pPr>
      <w:r>
        <w:rPr>
          <w:rFonts w:ascii="Arial" w:hAnsi="Arial"/>
          <w:sz w:val="16"/>
        </w:rPr>
        <w:t>175.20  رشته شغلی مدیریت حمل و نقل و خودرو (۲ت).</w:t>
      </w:r>
    </w:p>
    <w:p>
      <w:pPr>
        <w:spacing w:after="28" w:line="216" w:lineRule="auto"/>
        <w:ind w:left="259"/>
        <w:jc w:val="left"/>
      </w:pPr>
      <w:r>
        <w:rPr>
          <w:rFonts w:ascii="Arial" w:hAnsi="Arial"/>
          <w:color w:val="525252"/>
          <w:sz w:val="13"/>
        </w:rPr>
        <w:t>Transportation and Vehicle Management Career Field (2T).</w:t>
      </w:r>
    </w:p>
    <w:p>
      <w:pPr>
        <w:spacing w:after="20" w:line="223" w:lineRule="auto"/>
        <w:jc w:val="right"/>
        <w:bidi/>
      </w:pPr>
      <w:r>
        <w:rPr>
          <w:rFonts w:ascii="Arial" w:hAnsi="Arial"/>
          <w:sz w:val="16"/>
        </w:rPr>
        <w:t>175.21  حوزه شغلی مدیریت حمل و نقل و وسیله نقلیه شامل کارکردهای حمل و نقل شامل مدیریت ترافیک، حمل و نقل هوایی، حمل و نقل زمینی و مدیریت وسیله نقلیه است.</w:t>
      </w:r>
    </w:p>
    <w:p>
      <w:pPr>
        <w:spacing w:after="28" w:line="216" w:lineRule="auto"/>
        <w:ind w:left="259"/>
        <w:jc w:val="left"/>
      </w:pPr>
      <w:r>
        <w:rPr>
          <w:rFonts w:ascii="Arial" w:hAnsi="Arial"/>
          <w:color w:val="525252"/>
          <w:sz w:val="13"/>
        </w:rPr>
        <w:t>The transportation and vehicle management career field encompasses transportation functions involving traffic management, air transportation, ground transportation, and vehicle management.</w:t>
      </w:r>
    </w:p>
    <w:p>
      <w:pPr>
        <w:spacing w:after="20" w:line="223" w:lineRule="auto"/>
        <w:jc w:val="right"/>
        <w:bidi/>
      </w:pPr>
      <w:r>
        <w:rPr>
          <w:rFonts w:ascii="Arial" w:hAnsi="Arial"/>
          <w:sz w:val="16"/>
        </w:rPr>
        <w:t>175.22  توابع مدیریت ترافیک، حمل و نقل هوایی و زمینی در جابجایی پرسنل، مواد و کالاهای خانگی توسط فعالیت‌های حمل و نقل نظامی و تجاری شرکت می‌کنند.</w:t>
      </w:r>
    </w:p>
    <w:p>
      <w:pPr>
        <w:spacing w:after="28" w:line="216" w:lineRule="auto"/>
        <w:ind w:left="259"/>
        <w:jc w:val="left"/>
      </w:pPr>
      <w:r>
        <w:rPr>
          <w:rFonts w:ascii="Arial" w:hAnsi="Arial"/>
          <w:color w:val="525252"/>
          <w:sz w:val="13"/>
        </w:rPr>
        <w:t>Traffic management, air, and ground transportation functions take part in moving personnel, materiel, and household goods by military and commercial transportation activities.</w:t>
      </w:r>
    </w:p>
    <w:p>
      <w:pPr>
        <w:spacing w:after="20" w:line="223" w:lineRule="auto"/>
        <w:jc w:val="right"/>
        <w:bidi/>
      </w:pPr>
      <w:r>
        <w:rPr>
          <w:rFonts w:ascii="Arial" w:hAnsi="Arial"/>
          <w:sz w:val="16"/>
        </w:rPr>
        <w:t>175.23  شامل بار و چمدان هواپیماها و وسایل نقلیه نظامی است. برنامه‌ریزی حمل و نقل پرسنل و مواد؛ توجیه و مراقبت از</w:t>
      </w:r>
    </w:p>
    <w:p>
      <w:pPr>
        <w:spacing w:after="28" w:line="216" w:lineRule="auto"/>
        <w:ind w:left="259"/>
        <w:jc w:val="left"/>
      </w:pPr>
      <w:r>
        <w:rPr>
          <w:rFonts w:ascii="Arial" w:hAnsi="Arial"/>
          <w:color w:val="525252"/>
          <w:sz w:val="13"/>
        </w:rPr>
        <w:t>Included are freight and baggage on military aircraft and vehicles; scheduling transportation of personnel and materiel; briefing and caring for</w:t>
      </w:r>
    </w:p>
    <w:p>
      <w:r>
        <w:br w:type="page"/>
      </w:r>
    </w:p>
    <w:p>
      <w:pPr>
        <w:spacing w:after="60"/>
        <w:jc w:val="right"/>
        <w:bidi/>
      </w:pPr>
      <w:r>
        <w:rPr>
          <w:rFonts w:ascii="Arial" w:hAnsi="Arial"/>
          <w:b/>
          <w:color w:val="1F4D78"/>
          <w:sz w:val="19"/>
        </w:rPr>
        <w:t>هفتهٔ 176  |  صفحهٔ منبع: 192</w:t>
      </w:r>
    </w:p>
    <w:p>
      <w:pPr>
        <w:spacing w:after="20" w:line="223" w:lineRule="auto"/>
        <w:jc w:val="right"/>
        <w:bidi/>
      </w:pPr>
      <w:r>
        <w:rPr>
          <w:rFonts w:ascii="Arial" w:hAnsi="Arial"/>
          <w:sz w:val="16"/>
        </w:rPr>
        <w:t>176.01  مسافر هواپیماهای نظامی؛ ترتیب حمل و نقل تجاری پرسنل، مواد و کالاهای خانگی؛ سرویس و بازرسی خودرو؛ حمایت از بازدیدکنندگان برجسته، واکنش اضطراری و بحران؛ حمل و نقل رویداد ویژه؛ اجرای برنامه استفاده رسمی وزارت دفاع؛ و نصب برنامه‌های صلاحیت و مجوز راننده.</w:t>
      </w:r>
    </w:p>
    <w:p>
      <w:pPr>
        <w:spacing w:after="28" w:line="216" w:lineRule="auto"/>
        <w:ind w:left="259"/>
        <w:jc w:val="left"/>
      </w:pPr>
      <w:r>
        <w:rPr>
          <w:rFonts w:ascii="Arial" w:hAnsi="Arial"/>
          <w:color w:val="525252"/>
          <w:sz w:val="13"/>
        </w:rPr>
        <w:t>passengers on military aircraft; arranging for commercial transportation of personnel, materiel, and household goods; vehicle servicing and inspections; supporting distinguished visitors, contingency and crisis response; special event transportation; administering the Department of Defense official use program; and installation driver qualification and licensing programs.</w:t>
      </w:r>
    </w:p>
    <w:p>
      <w:pPr>
        <w:spacing w:after="20" w:line="223" w:lineRule="auto"/>
        <w:jc w:val="right"/>
        <w:bidi/>
      </w:pPr>
      <w:r>
        <w:rPr>
          <w:rFonts w:ascii="Arial" w:hAnsi="Arial"/>
          <w:sz w:val="16"/>
        </w:rPr>
        <w:t>176.02  عملکردهای مدیریت خودرو مستلزم مدیریت ناوگان وسایل نقلیه اختصاص یافته، از جمله بازرسی، تعمیر و نگهداری وسایل نقلیه و تجهیزات خودرو است. تعمیر و نگهداری، تعمیر و تکمیل بدنه خودرو؛ تعمیر و نگهداری خودرو و تجزیه و تحلیل مدیریت ناوگان؛ و توابع مرتبط</w:t>
      </w:r>
    </w:p>
    <w:p>
      <w:pPr>
        <w:spacing w:after="28" w:line="216" w:lineRule="auto"/>
        <w:ind w:left="259"/>
        <w:jc w:val="left"/>
      </w:pPr>
      <w:r>
        <w:rPr>
          <w:rFonts w:ascii="Arial" w:hAnsi="Arial"/>
          <w:color w:val="525252"/>
          <w:sz w:val="13"/>
        </w:rPr>
        <w:t>Vehicle management functions entail management of assigned vehicle fleets, including inspecting, repairing, and maintaining vehicles and vehicular equipment; vehicle body maintenance, repair, and refinishing; vehicle maintenance and fleet management analysis; and related functions.</w:t>
      </w:r>
    </w:p>
    <w:p>
      <w:pPr>
        <w:spacing w:after="20" w:line="223" w:lineRule="auto"/>
        <w:jc w:val="right"/>
        <w:bidi/>
      </w:pPr>
      <w:r>
        <w:rPr>
          <w:rFonts w:ascii="Arial" w:hAnsi="Arial"/>
          <w:sz w:val="16"/>
        </w:rPr>
        <w:t>176.03  توجه: از این رشته شغلی مستثنی شده است، نگهداری تجهیزات زمینی هوافضا مورد استفاده در پشتیبانی مستقیم هواپیما و موشک و نگهداری تجهیزات تولید برق ثابت.</w:t>
      </w:r>
    </w:p>
    <w:p>
      <w:pPr>
        <w:spacing w:after="28" w:line="216" w:lineRule="auto"/>
        <w:ind w:left="259"/>
        <w:jc w:val="left"/>
      </w:pPr>
      <w:r>
        <w:rPr>
          <w:rFonts w:ascii="Arial" w:hAnsi="Arial"/>
          <w:color w:val="525252"/>
          <w:sz w:val="13"/>
        </w:rPr>
        <w:t>Note: Excluded from this career field are maintaining aerospace ground equipment used in direct support of aircraft and missiles and maintaining fixed power production equipment.</w:t>
      </w:r>
    </w:p>
    <w:p>
      <w:pPr>
        <w:spacing w:after="20" w:line="223" w:lineRule="auto"/>
        <w:jc w:val="right"/>
        <w:bidi/>
      </w:pPr>
      <w:r>
        <w:rPr>
          <w:rFonts w:ascii="Arial" w:hAnsi="Arial"/>
          <w:sz w:val="16"/>
        </w:rPr>
        <w:t>176.04  همچنین وظایف برنامه‌ریزی، پاکسازی، و اعزام هواپیما مستثنی شده است.</w:t>
      </w:r>
    </w:p>
    <w:p>
      <w:pPr>
        <w:spacing w:after="28" w:line="216" w:lineRule="auto"/>
        <w:ind w:left="259"/>
        <w:jc w:val="left"/>
      </w:pPr>
      <w:r>
        <w:rPr>
          <w:rFonts w:ascii="Arial" w:hAnsi="Arial"/>
          <w:color w:val="525252"/>
          <w:sz w:val="13"/>
        </w:rPr>
        <w:t>Also excluded are functions of scheduling, clearing, and dispatching aircraft.</w:t>
      </w:r>
    </w:p>
    <w:p>
      <w:pPr>
        <w:spacing w:after="20" w:line="223" w:lineRule="auto"/>
        <w:jc w:val="right"/>
        <w:bidi/>
      </w:pPr>
      <w:r>
        <w:rPr>
          <w:rFonts w:ascii="Arial" w:hAnsi="Arial"/>
          <w:sz w:val="16"/>
        </w:rPr>
        <w:t>176.05  مهمات و تسلیحات حرفه‌ای (۲و).</w:t>
      </w:r>
    </w:p>
    <w:p>
      <w:pPr>
        <w:spacing w:after="28" w:line="216" w:lineRule="auto"/>
        <w:ind w:left="259"/>
        <w:jc w:val="left"/>
      </w:pPr>
      <w:r>
        <w:rPr>
          <w:rFonts w:ascii="Arial" w:hAnsi="Arial"/>
          <w:color w:val="525252"/>
          <w:sz w:val="13"/>
        </w:rPr>
        <w:t>Munitions and Weapons Career Field (2W).</w:t>
      </w:r>
    </w:p>
    <w:p>
      <w:pPr>
        <w:spacing w:after="20" w:line="223" w:lineRule="auto"/>
        <w:jc w:val="right"/>
        <w:bidi/>
      </w:pPr>
      <w:r>
        <w:rPr>
          <w:rFonts w:ascii="Arial" w:hAnsi="Arial"/>
          <w:sz w:val="16"/>
        </w:rPr>
        <w:t>176.06  زمینه مهمات و سلاح شامل مدیریت موجودی، بارگیری مهمات غیرهسته‌ای و پیشران جامد است. و جابجایی و بارگیری مهمات هسته‌ای و موشک‌ها و راکت‌های هواپیمای هدایت شونده.</w:t>
      </w:r>
    </w:p>
    <w:p>
      <w:pPr>
        <w:spacing w:after="28" w:line="216" w:lineRule="auto"/>
        <w:ind w:left="259"/>
        <w:jc w:val="left"/>
      </w:pPr>
      <w:r>
        <w:rPr>
          <w:rFonts w:ascii="Arial" w:hAnsi="Arial"/>
          <w:color w:val="525252"/>
          <w:sz w:val="13"/>
        </w:rPr>
        <w:t>The munitions and weapons career field includes inventory management, loading nonnuclear munitions and solid propellants; and handling and loading nuclear munitions and guided aircraft missiles and rockets.</w:t>
      </w:r>
    </w:p>
    <w:p>
      <w:pPr>
        <w:spacing w:after="20" w:line="223" w:lineRule="auto"/>
        <w:jc w:val="right"/>
        <w:bidi/>
      </w:pPr>
      <w:r>
        <w:rPr>
          <w:rFonts w:ascii="Arial" w:hAnsi="Arial"/>
          <w:sz w:val="16"/>
        </w:rPr>
        <w:t>176.07  شامل نصب، نگهداری و تعمیر سیستم‌های رهاسازی و نظارت بر مهمات هواپیما، قفسه‌های بمب، غلاف، مسلسل‌های هواپیما و توپ می‌شود. و مونتاژ اجزای مکانیکی موشک‌ها و راکت‌های هواپیمای هدایت شونده.</w:t>
      </w:r>
    </w:p>
    <w:p>
      <w:pPr>
        <w:spacing w:after="28" w:line="216" w:lineRule="auto"/>
        <w:ind w:left="259"/>
        <w:jc w:val="left"/>
      </w:pPr>
      <w:r>
        <w:rPr>
          <w:rFonts w:ascii="Arial" w:hAnsi="Arial"/>
          <w:color w:val="525252"/>
          <w:sz w:val="13"/>
        </w:rPr>
        <w:t>It includes installing, maintaining, and repairing aircraft munitions release and monitor systems, bomb racks, shackles, aircraft machine guns, and cannons; and assembling mechanical components of guided aircraft missiles and rockets.</w:t>
      </w:r>
    </w:p>
    <w:p>
      <w:pPr>
        <w:spacing w:after="20" w:line="223" w:lineRule="auto"/>
        <w:jc w:val="right"/>
        <w:bidi/>
      </w:pPr>
      <w:r>
        <w:rPr>
          <w:rFonts w:ascii="Arial" w:hAnsi="Arial"/>
          <w:sz w:val="16"/>
        </w:rPr>
        <w:t>176.08  همچنین شامل اجزای مکانیکی، الکتریکی، الکترونیکی و انفجاری قوی سلاح‌های هسته‌ای و کلاهک‌های هسته‌ای، موشک‌های پرتاب شده از هوا، وسایل نقلیه ورود مجدد، تجهیزات آزمایش مرتبط، و ابزارهای بررسی رادیولوژیکی است.</w:t>
      </w:r>
    </w:p>
    <w:p>
      <w:pPr>
        <w:spacing w:after="28" w:line="216" w:lineRule="auto"/>
        <w:ind w:left="259"/>
        <w:jc w:val="left"/>
      </w:pPr>
      <w:r>
        <w:rPr>
          <w:rFonts w:ascii="Arial" w:hAnsi="Arial"/>
          <w:color w:val="525252"/>
          <w:sz w:val="13"/>
        </w:rPr>
        <w:t>It also includes mechanical, electrical, electronic, and high explosive components of nuclear weapons and warheads, air launched missiles, reentry vehicles, associated test equipment, and radiological survey instruments.</w:t>
      </w:r>
    </w:p>
    <w:p>
      <w:pPr>
        <w:spacing w:after="20" w:line="223" w:lineRule="auto"/>
        <w:jc w:val="right"/>
        <w:bidi/>
      </w:pPr>
      <w:r>
        <w:rPr>
          <w:rFonts w:ascii="Arial" w:hAnsi="Arial"/>
          <w:sz w:val="16"/>
        </w:rPr>
        <w:t>176.09  در این زمینه توابع تست قطعات مکانیکی، الکتریکی و الکترونیکی برای پذیرش گنجانده شده است. نصب، بازرسی عملیاتی و تعمیر تسلیحات، کلاهک‌های جنگی، موشک‌های پرتاب شده از هوا، موتورهای توربوجت موشک، و اجزای خودروی ورود مجدد؛ بررسی و ترسیم خطرات تشعشعات؛ استفاده و نگهداری از ابزارهای تخصصی رادیاک؛ فعالیت‌های خنثی سازی مهمات؛ اطمینان از رعایت دستورالعمل‌های زیست محیطی؛ و عملکردهای اسکورت فنی مرتبط با مهمات شیمیایی.</w:t>
      </w:r>
    </w:p>
    <w:p>
      <w:pPr>
        <w:spacing w:after="28" w:line="216" w:lineRule="auto"/>
        <w:ind w:left="259"/>
        <w:jc w:val="left"/>
      </w:pPr>
      <w:r>
        <w:rPr>
          <w:rFonts w:ascii="Arial" w:hAnsi="Arial"/>
          <w:color w:val="525252"/>
          <w:sz w:val="13"/>
        </w:rPr>
        <w:t>Included in this field are functions of testing mechanical, electrical, and electronic components for acceptance; installing, operational checking, and repairing weapons, warheads, air launched missiles, missile turbojet engines, and reentry vehicle components; surveying and plotting radiation hazards; using and maintaining specialized radiac instruments; munitions disposal activities; ensure compliance with environmental directives; and technical escort functions associated with chemical munitions.</w:t>
      </w:r>
    </w:p>
    <w:p>
      <w:pPr>
        <w:spacing w:after="20" w:line="223" w:lineRule="auto"/>
        <w:jc w:val="right"/>
        <w:bidi/>
      </w:pPr>
      <w:r>
        <w:rPr>
          <w:rFonts w:ascii="Arial" w:hAnsi="Arial"/>
          <w:sz w:val="16"/>
        </w:rPr>
        <w:t>176.10  حوزه شغلی پشتیبانی فضای مجازی (سه بعدی).</w:t>
      </w:r>
    </w:p>
    <w:p>
      <w:pPr>
        <w:spacing w:after="28" w:line="216" w:lineRule="auto"/>
        <w:ind w:left="259"/>
        <w:jc w:val="left"/>
      </w:pPr>
      <w:r>
        <w:rPr>
          <w:rFonts w:ascii="Arial" w:hAnsi="Arial"/>
          <w:color w:val="525252"/>
          <w:sz w:val="13"/>
        </w:rPr>
        <w:t>Cyberspace Support Career Field (3D).</w:t>
      </w:r>
    </w:p>
    <w:p>
      <w:pPr>
        <w:spacing w:after="20" w:line="223" w:lineRule="auto"/>
        <w:jc w:val="right"/>
        <w:bidi/>
      </w:pPr>
      <w:r>
        <w:rPr>
          <w:rFonts w:ascii="Arial" w:hAnsi="Arial"/>
          <w:sz w:val="16"/>
        </w:rPr>
        <w:t>176.11  تخصص عملیات فضای سایبری (۳د۰) شامل مدیریت عملیات دانش، عملیات سیستم‌های سایبری، تضمین سایبری و برنامه‌نویسی سیستم‌های کامپیوتری است.</w:t>
      </w:r>
    </w:p>
    <w:p>
      <w:pPr>
        <w:spacing w:after="28" w:line="216" w:lineRule="auto"/>
        <w:ind w:left="259"/>
        <w:jc w:val="left"/>
      </w:pPr>
      <w:r>
        <w:rPr>
          <w:rFonts w:ascii="Arial" w:hAnsi="Arial"/>
          <w:color w:val="525252"/>
          <w:sz w:val="13"/>
        </w:rPr>
        <w:t>The cyberspace operations specialty (3D0) encompasses knowledge operations management, cyber systems operations, cyber surety, and computer systems programming.</w:t>
      </w:r>
    </w:p>
    <w:p>
      <w:pPr>
        <w:spacing w:after="20" w:line="223" w:lineRule="auto"/>
        <w:jc w:val="right"/>
        <w:bidi/>
      </w:pPr>
      <w:r>
        <w:rPr>
          <w:rFonts w:ascii="Arial" w:hAnsi="Arial"/>
          <w:sz w:val="16"/>
        </w:rPr>
        <w:t>176.12  مسئولیت‌ها شامل داده‌ها و دارایی‌های اطلاعاتی و فناوری‌ها می‌شود. سیستم‌ها و برنامه‌های کاربردی شبکه سایبری؛ فناوری اطلاعات و منابع مخابراتی و حفاظت از مشتریان، شبکه‌ها، سیستم‌های داده/صدا و پایگاه‌های اطلاعاتی در برابر فعالیت‌های غیرمجاز؛ سیستم‌های نرم افزار کاربردی و سیستم‌های پایگاه داده رابطه‌ای که برای قابلیت‌های جنگی حیاتی هستند.</w:t>
      </w:r>
    </w:p>
    <w:p>
      <w:pPr>
        <w:spacing w:after="28" w:line="216" w:lineRule="auto"/>
        <w:ind w:left="259"/>
        <w:jc w:val="left"/>
      </w:pPr>
      <w:r>
        <w:rPr>
          <w:rFonts w:ascii="Arial" w:hAnsi="Arial"/>
          <w:color w:val="525252"/>
          <w:sz w:val="13"/>
        </w:rPr>
        <w:t>Responsibilities include data and information assets and technologies; cyber networked systems and applications; information technology and telecommunications resources, and protection of clients, networks, data/voice systems and databases from unauthorized activity; application software systems, and relational database systems critical to warfighting capabilities.</w:t>
      </w:r>
    </w:p>
    <w:p>
      <w:pPr>
        <w:spacing w:after="20" w:line="223" w:lineRule="auto"/>
        <w:jc w:val="right"/>
        <w:bidi/>
      </w:pPr>
      <w:r>
        <w:rPr>
          <w:rFonts w:ascii="Arial" w:hAnsi="Arial"/>
          <w:sz w:val="16"/>
        </w:rPr>
        <w:t>176.13  تخصص سیستم‌های فضای سایبری (۳د۱) شامل سیستم‌های مشتری، حمل و نقل سایبری، سیستم‌های انتقال فرکانس رادیویی، عملیات طیف، و سیستم‌های کابلی و آنتن می‌شود.</w:t>
      </w:r>
    </w:p>
    <w:p>
      <w:pPr>
        <w:spacing w:after="28" w:line="216" w:lineRule="auto"/>
        <w:ind w:left="259"/>
        <w:jc w:val="left"/>
      </w:pPr>
      <w:r>
        <w:rPr>
          <w:rFonts w:ascii="Arial" w:hAnsi="Arial"/>
          <w:color w:val="525252"/>
          <w:sz w:val="13"/>
        </w:rPr>
        <w:t>The cyberspace systems specialty (3D1) encompasses client systems, cyber transport, radio frequency transmission systems, spectrum operations, and cable and antenna systems.</w:t>
      </w:r>
    </w:p>
    <w:p>
      <w:pPr>
        <w:spacing w:after="20" w:line="223" w:lineRule="auto"/>
        <w:jc w:val="right"/>
        <w:bidi/>
      </w:pPr>
      <w:r>
        <w:rPr>
          <w:rFonts w:ascii="Arial" w:hAnsi="Arial"/>
          <w:sz w:val="16"/>
        </w:rPr>
        <w:t>176.14  مسئولیت‌ها شامل شبکه و دستگاه‌های سرویس گیرنده رمزنگاری است. دستگاه‌های انتقال؛ نیازهای طیف الکترومغناطیسی؛ ماهواره، ارتباطات باند پهن، تله متری، سیستم‌های ابزار دقیق، و قابلیت‌های فرماندهی و کنترل (ک۲) در پشتیبانی از عملیات تاکتیکی و استراتژیک.</w:t>
      </w:r>
    </w:p>
    <w:p>
      <w:pPr>
        <w:spacing w:after="28" w:line="216" w:lineRule="auto"/>
        <w:ind w:left="259"/>
        <w:jc w:val="left"/>
      </w:pPr>
      <w:r>
        <w:rPr>
          <w:rFonts w:ascii="Arial" w:hAnsi="Arial"/>
          <w:color w:val="525252"/>
          <w:sz w:val="13"/>
        </w:rPr>
        <w:t>Responsibilities include network and cryptographic client devices; transmission devices; electromagnetic spectrum requirements; satellite, wideband communications, telemetry, instrumentation systems, and command and control (C2) capabilities in support of tactical and strategic operations.</w:t>
      </w:r>
    </w:p>
    <w:p>
      <w:pPr>
        <w:spacing w:after="20" w:line="223" w:lineRule="auto"/>
        <w:jc w:val="right"/>
        <w:bidi/>
      </w:pPr>
      <w:r>
        <w:rPr>
          <w:rFonts w:ascii="Arial" w:hAnsi="Arial"/>
          <w:sz w:val="16"/>
        </w:rPr>
        <w:t>176.15  رشته شغلی مهندس عمران (۳).</w:t>
      </w:r>
    </w:p>
    <w:p>
      <w:pPr>
        <w:spacing w:after="28" w:line="216" w:lineRule="auto"/>
        <w:ind w:left="259"/>
        <w:jc w:val="left"/>
      </w:pPr>
      <w:r>
        <w:rPr>
          <w:rFonts w:ascii="Arial" w:hAnsi="Arial"/>
          <w:color w:val="525252"/>
          <w:sz w:val="13"/>
        </w:rPr>
        <w:t>Civil Engineer Career Field (3E).</w:t>
      </w:r>
    </w:p>
    <w:p>
      <w:pPr>
        <w:spacing w:after="20" w:line="223" w:lineRule="auto"/>
        <w:jc w:val="right"/>
        <w:bidi/>
      </w:pPr>
      <w:r>
        <w:rPr>
          <w:rFonts w:ascii="Arial" w:hAnsi="Arial"/>
          <w:sz w:val="16"/>
        </w:rPr>
        <w:t>176.16  رشته شغلی مهندس عمران شامل فعالیت‌های مکانیکی و الکتریکی برای نصب، راه‌اندازی، نگهداری و تعمیر سیستم‌ها و تجهیزات پشتیبانی مستقیم پایه، تأسیسات الکتریکی، تولید و توزیع نیروی برق، گرمایش و تهویه، تهویه مطبوع و همچنین سیستم‌های برودتی، تجهیزات و کنترل‌های آنها می‌شود.</w:t>
      </w:r>
    </w:p>
    <w:p>
      <w:pPr>
        <w:spacing w:after="28" w:line="216" w:lineRule="auto"/>
        <w:ind w:left="259"/>
        <w:jc w:val="left"/>
      </w:pPr>
      <w:r>
        <w:rPr>
          <w:rFonts w:ascii="Arial" w:hAnsi="Arial"/>
          <w:color w:val="525252"/>
          <w:sz w:val="13"/>
        </w:rPr>
        <w:t>The civil engineer career field encompasses mechanical and electrical activities to install, operate, maintain, and repair base direct support systems and equipment, electrical facilities, electrical power generation and distribution, heating and ventilation, air conditioning, as well as refrigeration systems, equipment, and their controls.</w:t>
      </w:r>
    </w:p>
    <w:p>
      <w:pPr>
        <w:spacing w:after="20" w:line="223" w:lineRule="auto"/>
        <w:jc w:val="right"/>
        <w:bidi/>
      </w:pPr>
      <w:r>
        <w:rPr>
          <w:rFonts w:ascii="Arial" w:hAnsi="Arial"/>
          <w:sz w:val="16"/>
        </w:rPr>
        <w:t>176.17  مسئولیت‌ها شامل تاسیسات سازه‌ای، مناطق روسازی، راه آهن، پایه‌های خاک، کنترل فرسایش، تجهیزات سنگین و عملکردهای عملیاتی است.</w:t>
      </w:r>
    </w:p>
    <w:p>
      <w:pPr>
        <w:spacing w:after="28" w:line="216" w:lineRule="auto"/>
        <w:ind w:left="259"/>
        <w:jc w:val="left"/>
      </w:pPr>
      <w:r>
        <w:rPr>
          <w:rFonts w:ascii="Arial" w:hAnsi="Arial"/>
          <w:color w:val="525252"/>
          <w:sz w:val="13"/>
        </w:rPr>
        <w:t>Responsibilities include structural facilities, pavement areas, railroads, soil bases, erosion control, heavy equipment, and operations functions.</w:t>
      </w:r>
    </w:p>
    <w:p>
      <w:pPr>
        <w:spacing w:after="20" w:line="223" w:lineRule="auto"/>
        <w:jc w:val="right"/>
        <w:bidi/>
      </w:pPr>
      <w:r>
        <w:rPr>
          <w:rFonts w:ascii="Arial" w:hAnsi="Arial"/>
          <w:sz w:val="16"/>
        </w:rPr>
        <w:t>176.18  مسئولیت‌های اضافی شامل سیستم‌های تاسیساتی، حفاظت از آتش، خنثی کردن مهمات منفجره، فعالیت‌های آمادگی، و عملیات‌های روزانه است که نیاز به ایجاد، آموزش و تجهیز نیروی واکنش در بلایا دارد.</w:t>
      </w:r>
    </w:p>
    <w:p>
      <w:pPr>
        <w:spacing w:after="28" w:line="216" w:lineRule="auto"/>
        <w:ind w:left="259"/>
        <w:jc w:val="left"/>
      </w:pPr>
      <w:r>
        <w:rPr>
          <w:rFonts w:ascii="Arial" w:hAnsi="Arial"/>
          <w:color w:val="525252"/>
          <w:sz w:val="13"/>
        </w:rPr>
        <w:t>Additional responsibilities include utilities systems, fire protection, explosive ordnance disposal, readiness activities, and day-to-day operations requiring establishing, training, and equipping a disaster response force.</w:t>
      </w:r>
    </w:p>
    <w:p>
      <w:pPr>
        <w:spacing w:after="20" w:line="223" w:lineRule="auto"/>
        <w:jc w:val="right"/>
        <w:bidi/>
      </w:pPr>
      <w:r>
        <w:rPr>
          <w:rFonts w:ascii="Arial" w:hAnsi="Arial"/>
          <w:sz w:val="16"/>
        </w:rPr>
        <w:t>176.19  رشته شغلی مهندس عمران یک رشته شغلی مرتبط با حوادث احتمالی است.</w:t>
      </w:r>
    </w:p>
    <w:p>
      <w:pPr>
        <w:spacing w:after="28" w:line="216" w:lineRule="auto"/>
        <w:ind w:left="259"/>
        <w:jc w:val="left"/>
      </w:pPr>
      <w:r>
        <w:rPr>
          <w:rFonts w:ascii="Arial" w:hAnsi="Arial"/>
          <w:color w:val="525252"/>
          <w:sz w:val="13"/>
        </w:rPr>
        <w:t>The civil engineer career field is a contingency related career field.</w:t>
      </w:r>
    </w:p>
    <w:p>
      <w:pPr>
        <w:spacing w:after="20" w:line="223" w:lineRule="auto"/>
        <w:jc w:val="right"/>
        <w:bidi/>
      </w:pPr>
      <w:r>
        <w:rPr>
          <w:rFonts w:ascii="Arial" w:hAnsi="Arial"/>
          <w:sz w:val="16"/>
        </w:rPr>
        <w:t>176.20  پرسنلی که در این رستهٔ شغلی خدمت می‌کنند ممکن است در عملیات بازیابی در نتیجه بلایای طبیعی و انسانی شرکت کنند یا در معرض استقرار و استخدام در محیط‌های متخاصم ایجاد شده توسط تروریسم، خرابکاری، یا جنگ شیمیایی، بیولوژیکی یا متعارف قرار گیرند.</w:t>
      </w:r>
    </w:p>
    <w:p>
      <w:pPr>
        <w:spacing w:after="28" w:line="216" w:lineRule="auto"/>
        <w:ind w:left="259"/>
        <w:jc w:val="left"/>
      </w:pPr>
      <w:r>
        <w:rPr>
          <w:rFonts w:ascii="Arial" w:hAnsi="Arial"/>
          <w:color w:val="525252"/>
          <w:sz w:val="13"/>
        </w:rPr>
        <w:t>Personnel serving in this career field may participate in recovery operations as a result of natural and manmade disasters or be subject to deployment and employment in hostile environments created by terrorism, sabotage, or chemical, biological, or conventional warfare.</w:t>
      </w:r>
    </w:p>
    <w:p>
      <w:pPr>
        <w:spacing w:after="20" w:line="223" w:lineRule="auto"/>
        <w:jc w:val="right"/>
        <w:bidi/>
      </w:pPr>
      <w:r>
        <w:rPr>
          <w:rFonts w:ascii="Arial" w:hAnsi="Arial"/>
          <w:sz w:val="16"/>
        </w:rPr>
        <w:t>176.21  افراد باید از مهارت‌های احتمالی، مانند روش‌های کمک‌های اولیه، بهداشت و بهداشت میدانی، امنیت در محل کار، تعمیر و روش‌های ساخت و ساز، آگاهی داشته باشند.</w:t>
      </w:r>
    </w:p>
    <w:p>
      <w:pPr>
        <w:spacing w:after="28" w:line="216" w:lineRule="auto"/>
        <w:ind w:left="259"/>
        <w:jc w:val="left"/>
      </w:pPr>
      <w:r>
        <w:rPr>
          <w:rFonts w:ascii="Arial" w:hAnsi="Arial"/>
          <w:color w:val="525252"/>
          <w:sz w:val="13"/>
        </w:rPr>
        <w:t>Individuals should have knowledge of contingency skills, such as first aid procedures, field sanitation and hygiene, work party security, repair, and construction methods,</w:t>
      </w:r>
    </w:p>
    <w:p>
      <w:r>
        <w:br w:type="page"/>
      </w:r>
    </w:p>
    <w:p>
      <w:pPr>
        <w:spacing w:after="60"/>
        <w:jc w:val="right"/>
        <w:bidi/>
      </w:pPr>
      <w:r>
        <w:rPr>
          <w:rFonts w:ascii="Arial" w:hAnsi="Arial"/>
          <w:b/>
          <w:color w:val="1F4D78"/>
          <w:sz w:val="19"/>
        </w:rPr>
        <w:t>هفتهٔ 177  |  صفحهٔ منبع: 193</w:t>
      </w:r>
    </w:p>
    <w:p>
      <w:pPr>
        <w:spacing w:after="20" w:line="223" w:lineRule="auto"/>
        <w:jc w:val="right"/>
        <w:bidi/>
      </w:pPr>
      <w:r>
        <w:rPr>
          <w:rFonts w:ascii="Arial" w:hAnsi="Arial"/>
          <w:sz w:val="16"/>
        </w:rPr>
        <w:t>177.01  رویه‌های خوابیدن، سلاح‌های شخصی، دفاع از جنگ شیمیایی و شناسایی مهمات انفجاری.</w:t>
      </w:r>
    </w:p>
    <w:p>
      <w:pPr>
        <w:spacing w:after="28" w:line="216" w:lineRule="auto"/>
        <w:ind w:left="259"/>
        <w:jc w:val="left"/>
      </w:pPr>
      <w:r>
        <w:rPr>
          <w:rFonts w:ascii="Arial" w:hAnsi="Arial"/>
          <w:color w:val="525252"/>
          <w:sz w:val="13"/>
        </w:rPr>
        <w:t>beddown procedures, personal weapons, chemical warfare defense, and explosive ordnance reconnaissance.</w:t>
      </w:r>
    </w:p>
    <w:p>
      <w:pPr>
        <w:spacing w:after="20" w:line="223" w:lineRule="auto"/>
        <w:jc w:val="right"/>
        <w:bidi/>
      </w:pPr>
      <w:r>
        <w:rPr>
          <w:rFonts w:ascii="Arial" w:hAnsi="Arial"/>
          <w:sz w:val="16"/>
        </w:rPr>
        <w:t>177.02  نکته: از این رشته شغلی مستثنی شده است، کارکردهای نگهداری و تعمیر تجهیزات پشتیبانی زمینی که در حوزه شغلی تعمیر و نگهداری هوافضا (۲ا) و مراقبت‌های پزشکی پرسنل آسیب دیده (غیر از کمک‌های اولیه اضطراری) که در حوزه حرفه پزشکی (۴کس) گنجانده شده است.</w:t>
      </w:r>
    </w:p>
    <w:p>
      <w:pPr>
        <w:spacing w:after="28" w:line="216" w:lineRule="auto"/>
        <w:ind w:left="259"/>
        <w:jc w:val="left"/>
      </w:pPr>
      <w:r>
        <w:rPr>
          <w:rFonts w:ascii="Arial" w:hAnsi="Arial"/>
          <w:color w:val="525252"/>
          <w:sz w:val="13"/>
        </w:rPr>
        <w:t>Note: Excluded from this career field are functions of maintenance and repair of ground support equipment that are included in the aerospace maintenance career field (2A) and medical care of injured personnel (other than emergency first aid) which is included in the medical career field (4X).</w:t>
      </w:r>
    </w:p>
    <w:p>
      <w:pPr>
        <w:spacing w:after="20" w:line="223" w:lineRule="auto"/>
        <w:jc w:val="right"/>
        <w:bidi/>
      </w:pPr>
      <w:r>
        <w:rPr>
          <w:rFonts w:ascii="Arial" w:hAnsi="Arial"/>
          <w:sz w:val="16"/>
        </w:rPr>
        <w:t>177.03  رستهٔ شغلی پشتیبانی نیرو (۳ف).</w:t>
      </w:r>
    </w:p>
    <w:p>
      <w:pPr>
        <w:spacing w:after="28" w:line="216" w:lineRule="auto"/>
        <w:ind w:left="259"/>
        <w:jc w:val="left"/>
      </w:pPr>
      <w:r>
        <w:rPr>
          <w:rFonts w:ascii="Arial" w:hAnsi="Arial"/>
          <w:color w:val="525252"/>
          <w:sz w:val="13"/>
        </w:rPr>
        <w:t>Force Support Career Field (3F).</w:t>
      </w:r>
    </w:p>
    <w:p>
      <w:pPr>
        <w:spacing w:after="20" w:line="223" w:lineRule="auto"/>
        <w:jc w:val="right"/>
        <w:bidi/>
      </w:pPr>
      <w:r>
        <w:rPr>
          <w:rFonts w:ascii="Arial" w:hAnsi="Arial"/>
          <w:sz w:val="16"/>
        </w:rPr>
        <w:t>177.04  رستهٔ شغلی پشتیبانی نیرو، هوانوردان آماده و انعطاف پذیر را با طیف گسترده‌ای از پشتیبانی نصب در پرسنل، فرصت‌های برابر نظامی، آموزش و پرورش، نیروی انسانی، و عملکردها و فعالیت‌های خدماتی حفظ و ایجاد می‌کند.</w:t>
      </w:r>
    </w:p>
    <w:p>
      <w:pPr>
        <w:spacing w:after="28" w:line="216" w:lineRule="auto"/>
        <w:ind w:left="259"/>
        <w:jc w:val="left"/>
      </w:pPr>
      <w:r>
        <w:rPr>
          <w:rFonts w:ascii="Arial" w:hAnsi="Arial"/>
          <w:color w:val="525252"/>
          <w:sz w:val="13"/>
        </w:rPr>
        <w:t>The force support career field sustains and builds ready and resilient Airmen with a wide array of installation support in personnel, military equal opportunity, education and training, manpower, and services functions and activities.</w:t>
      </w:r>
    </w:p>
    <w:p>
      <w:pPr>
        <w:spacing w:after="20" w:line="223" w:lineRule="auto"/>
        <w:jc w:val="right"/>
        <w:bidi/>
      </w:pPr>
      <w:r>
        <w:rPr>
          <w:rFonts w:ascii="Arial" w:hAnsi="Arial"/>
          <w:sz w:val="16"/>
        </w:rPr>
        <w:t>177.05  مسئولیت‌های پشتیبانی نیرو شامل وظایف پرسنلی، مدیریت برنامه، وظایف فرصت‌های برابر نظامی، فعالیت‌های آموزشی و آموزشی، و کارکردهای نیروی انسانی و سازمانی است.</w:t>
      </w:r>
    </w:p>
    <w:p>
      <w:pPr>
        <w:spacing w:after="28" w:line="216" w:lineRule="auto"/>
        <w:ind w:left="259"/>
        <w:jc w:val="left"/>
      </w:pPr>
      <w:r>
        <w:rPr>
          <w:rFonts w:ascii="Arial" w:hAnsi="Arial"/>
          <w:color w:val="525252"/>
          <w:sz w:val="13"/>
        </w:rPr>
        <w:t>Force support responsibilities include personnel functions, program management, military equal opportunity functions, education and training activities, and manpower and organization functions.</w:t>
      </w:r>
    </w:p>
    <w:p>
      <w:pPr>
        <w:spacing w:after="20" w:line="223" w:lineRule="auto"/>
        <w:jc w:val="right"/>
        <w:bidi/>
      </w:pPr>
      <w:r>
        <w:rPr>
          <w:rFonts w:ascii="Arial" w:hAnsi="Arial"/>
          <w:sz w:val="16"/>
        </w:rPr>
        <w:t>177.06  حوزه شغلی خدمات همچنین هوانوردان آماده و انعطاف‌پذیر را با طیف گسترده‌ای از عملکردهای پشتیبانی نصب و راه‌اندازی پشتیبانی می‌کند و شامل فعالیت‌های روحیه، رفاه، تفریح و خدمات پایدار، امکانات غذاخوری، امکانات اقامتی، برنامه‌های تناسب اندام و تفریح، مدیریت تسهیلات، امور سردخانه، مدیریت برنامه‌های آموزشی تناسب اندام و ارزیابی تناسب اندام، مدیریت برنامه‌های آموزشی تناسب اندام و بهبودی است. رهبران آموزشی، برنامه‌های آموزشی بهبود تناسب اندام، وظایف نماینده افسر قرارداد، سیستم‌های مدیریت اطلاعات، و برنامه‌های مشترک و تفریحی جامعه.</w:t>
      </w:r>
    </w:p>
    <w:p>
      <w:pPr>
        <w:spacing w:after="28" w:line="216" w:lineRule="auto"/>
        <w:ind w:left="259"/>
        <w:jc w:val="left"/>
      </w:pPr>
      <w:r>
        <w:rPr>
          <w:rFonts w:ascii="Arial" w:hAnsi="Arial"/>
          <w:color w:val="525252"/>
          <w:sz w:val="13"/>
        </w:rPr>
        <w:t>The services career field also sustains and builds ready and resilient Airmen with a wide array of installation support functions, to include morale, welfare, recreation, and sustainment services activities, dining facilities, lodging facilities, fitness and recreation programs, facility management, mortuary affairs administration, installation search and recovery teams, fitness evaluations, training and advising for unit fitness program managers and physical training leaders, fitness improvement training programs, contract officer representative functions, information management systems, and community commons and recreational programming.</w:t>
      </w:r>
    </w:p>
    <w:p>
      <w:pPr>
        <w:spacing w:after="20" w:line="223" w:lineRule="auto"/>
        <w:jc w:val="right"/>
        <w:bidi/>
      </w:pPr>
      <w:r>
        <w:rPr>
          <w:rFonts w:ascii="Arial" w:hAnsi="Arial"/>
          <w:sz w:val="16"/>
        </w:rPr>
        <w:t>177.07  توجه: فقط برای اهداف تعیین تکلیف، گارد ملی هوایی و هوانوردان رزرو از ۳ف۱، ۳ف۲، ۳ف۳، AFSC به AFSC وظیفه ۳ف۰۰۰ در پشتیبانی نیرو وارد خواهند شد.</w:t>
      </w:r>
    </w:p>
    <w:p>
      <w:pPr>
        <w:spacing w:after="28" w:line="216" w:lineRule="auto"/>
        <w:ind w:left="259"/>
        <w:jc w:val="left"/>
      </w:pPr>
      <w:r>
        <w:rPr>
          <w:rFonts w:ascii="Arial" w:hAnsi="Arial"/>
          <w:color w:val="525252"/>
          <w:sz w:val="13"/>
        </w:rPr>
        <w:t>Note: For assignment purposes only, Air National Guard and Reserve Airmen from the 3F1, 3F2, 3F3, AFSC will feed into the 3F000 duty AFSC within force support.</w:t>
      </w:r>
    </w:p>
    <w:p>
      <w:pPr>
        <w:spacing w:after="20" w:line="223" w:lineRule="auto"/>
        <w:jc w:val="right"/>
        <w:bidi/>
      </w:pPr>
      <w:r>
        <w:rPr>
          <w:rFonts w:ascii="Arial" w:hAnsi="Arial"/>
          <w:sz w:val="16"/>
        </w:rPr>
        <w:t>177.08  رشته شغلی استعدادیابی (۳گ).</w:t>
      </w:r>
    </w:p>
    <w:p>
      <w:pPr>
        <w:spacing w:after="28" w:line="216" w:lineRule="auto"/>
        <w:ind w:left="259"/>
        <w:jc w:val="left"/>
      </w:pPr>
      <w:r>
        <w:rPr>
          <w:rFonts w:ascii="Arial" w:hAnsi="Arial"/>
          <w:color w:val="525252"/>
          <w:sz w:val="13"/>
        </w:rPr>
        <w:t>Talent Acquisition Career Field (3G).</w:t>
      </w:r>
    </w:p>
    <w:p>
      <w:pPr>
        <w:spacing w:after="20" w:line="223" w:lineRule="auto"/>
        <w:jc w:val="right"/>
        <w:bidi/>
      </w:pPr>
      <w:r>
        <w:rPr>
          <w:rFonts w:ascii="Arial" w:hAnsi="Arial"/>
          <w:sz w:val="16"/>
        </w:rPr>
        <w:t>177.09  برنامه هایی را برای استخدام پرسنل کافی برای برآوردن نیازهای نیروی هوایی ایالات متحده سازماندهی و اجرا می‌کند.</w:t>
      </w:r>
    </w:p>
    <w:p>
      <w:pPr>
        <w:spacing w:after="28" w:line="216" w:lineRule="auto"/>
        <w:ind w:left="259"/>
        <w:jc w:val="left"/>
      </w:pPr>
      <w:r>
        <w:rPr>
          <w:rFonts w:ascii="Arial" w:hAnsi="Arial"/>
          <w:color w:val="525252"/>
          <w:sz w:val="13"/>
        </w:rPr>
        <w:t>Organizes and conducts programs to recruit sufficient personnel to satisfy the requirements of the United States Air Force.</w:t>
      </w:r>
    </w:p>
    <w:p>
      <w:pPr>
        <w:spacing w:after="20" w:line="223" w:lineRule="auto"/>
        <w:jc w:val="right"/>
        <w:bidi/>
      </w:pPr>
      <w:r>
        <w:rPr>
          <w:rFonts w:ascii="Arial" w:hAnsi="Arial"/>
          <w:sz w:val="16"/>
        </w:rPr>
        <w:t>177.10  رشته شغلی مورخ (۳ه).</w:t>
      </w:r>
    </w:p>
    <w:p>
      <w:pPr>
        <w:spacing w:after="28" w:line="216" w:lineRule="auto"/>
        <w:ind w:left="259"/>
        <w:jc w:val="left"/>
      </w:pPr>
      <w:r>
        <w:rPr>
          <w:rFonts w:ascii="Arial" w:hAnsi="Arial"/>
          <w:color w:val="525252"/>
          <w:sz w:val="13"/>
        </w:rPr>
        <w:t>Historian Career Field (3H).</w:t>
      </w:r>
    </w:p>
    <w:p>
      <w:pPr>
        <w:spacing w:after="20" w:line="223" w:lineRule="auto"/>
        <w:jc w:val="right"/>
        <w:bidi/>
      </w:pPr>
      <w:r>
        <w:rPr>
          <w:rFonts w:ascii="Arial" w:hAnsi="Arial"/>
          <w:sz w:val="16"/>
        </w:rPr>
        <w:t>177.11  رستهٔ شغلی مورخ شامل فعالیت‌هایی برای مستندسازی سوابق رسمی فعالیت‌ها و عملیات USAF است.</w:t>
      </w:r>
    </w:p>
    <w:p>
      <w:pPr>
        <w:spacing w:after="28" w:line="216" w:lineRule="auto"/>
        <w:ind w:left="259"/>
        <w:jc w:val="left"/>
      </w:pPr>
      <w:r>
        <w:rPr>
          <w:rFonts w:ascii="Arial" w:hAnsi="Arial"/>
          <w:color w:val="525252"/>
          <w:sz w:val="13"/>
        </w:rPr>
        <w:t>The historian career field encompasses activities to document the official record of USAF activities and operations.</w:t>
      </w:r>
    </w:p>
    <w:p>
      <w:pPr>
        <w:spacing w:after="20" w:line="223" w:lineRule="auto"/>
        <w:jc w:val="right"/>
        <w:bidi/>
      </w:pPr>
      <w:r>
        <w:rPr>
          <w:rFonts w:ascii="Arial" w:hAnsi="Arial"/>
          <w:sz w:val="16"/>
        </w:rPr>
        <w:t>177.12  پرسنل مورخ در تحقیق، نگارش، ویرایش و سازماندهی داده‌های تاریخی مشارکت دارند. نگهداری پرونده‌ها و مخازن تاریخی؛ انجام مصاحبه؛ مطالعات تاریخی؛ مستندسازی مذاکرات و تصمیمات مهم؛ و استقرار برای برآورده ساختن شرایط اضطراری عملیاتی و زمان جنگ برای مستندسازی رویدادهای مهم و ارائه گزارش‌های تاریخی.</w:t>
      </w:r>
    </w:p>
    <w:p>
      <w:pPr>
        <w:spacing w:after="28" w:line="216" w:lineRule="auto"/>
        <w:ind w:left="259"/>
        <w:jc w:val="left"/>
      </w:pPr>
      <w:r>
        <w:rPr>
          <w:rFonts w:ascii="Arial" w:hAnsi="Arial"/>
          <w:color w:val="525252"/>
          <w:sz w:val="13"/>
        </w:rPr>
        <w:t>Historian personnel are involved in researching, writing, editing, and organizing historical data; maintaining historical files and repositories; conducting interviews; historical studies; documenting important deliberations and decisions; and deploying to meet operational contingency and wartime requirements to document significant events and submit historical reports.</w:t>
      </w:r>
    </w:p>
    <w:p>
      <w:pPr>
        <w:spacing w:after="20" w:line="223" w:lineRule="auto"/>
        <w:jc w:val="right"/>
        <w:bidi/>
      </w:pPr>
      <w:r>
        <w:rPr>
          <w:rFonts w:ascii="Arial" w:hAnsi="Arial"/>
          <w:sz w:val="16"/>
        </w:rPr>
        <w:t>177.13  رشته شغلی امور عمومی (۳ن).</w:t>
      </w:r>
    </w:p>
    <w:p>
      <w:pPr>
        <w:spacing w:after="28" w:line="216" w:lineRule="auto"/>
        <w:ind w:left="259"/>
        <w:jc w:val="left"/>
      </w:pPr>
      <w:r>
        <w:rPr>
          <w:rFonts w:ascii="Arial" w:hAnsi="Arial"/>
          <w:color w:val="525252"/>
          <w:sz w:val="13"/>
        </w:rPr>
        <w:t>Public Affairs Career Field (3N).</w:t>
      </w:r>
    </w:p>
    <w:p>
      <w:pPr>
        <w:spacing w:after="20" w:line="223" w:lineRule="auto"/>
        <w:jc w:val="right"/>
        <w:bidi/>
      </w:pPr>
      <w:r>
        <w:rPr>
          <w:rFonts w:ascii="Arial" w:hAnsi="Arial"/>
          <w:sz w:val="16"/>
        </w:rPr>
        <w:t>177.14  حوزه شغلی امور عمومی، متخصصان ارتباطی حرفه‌ای و آموزش دیده را برای پشتیبانی از رهبران و مدیران USAF برای برنامه‌ریزی، آموزش، اجرا و گزارش ارائه می‌کند.</w:t>
      </w:r>
    </w:p>
    <w:p>
      <w:pPr>
        <w:spacing w:after="28" w:line="216" w:lineRule="auto"/>
        <w:ind w:left="259"/>
        <w:jc w:val="left"/>
      </w:pPr>
      <w:r>
        <w:rPr>
          <w:rFonts w:ascii="Arial" w:hAnsi="Arial"/>
          <w:color w:val="525252"/>
          <w:sz w:val="13"/>
        </w:rPr>
        <w:t>The public affairs career field provides professional, trained communication practitioners to support USAF leaders and managers for planning, training, executing, and reporting.</w:t>
      </w:r>
    </w:p>
    <w:p>
      <w:pPr>
        <w:spacing w:after="20" w:line="223" w:lineRule="auto"/>
        <w:jc w:val="right"/>
        <w:bidi/>
      </w:pPr>
      <w:r>
        <w:rPr>
          <w:rFonts w:ascii="Arial" w:hAnsi="Arial"/>
          <w:sz w:val="16"/>
        </w:rPr>
        <w:t>177.15  این طیف کل فعالیت‌های ارتباطی انسانی USAF، از جمله عکاسی خبرنگار، پخش‌کننده، و رسته‌های شغلی گروه را در بر می‌گیرد.</w:t>
      </w:r>
    </w:p>
    <w:p>
      <w:pPr>
        <w:spacing w:after="28" w:line="216" w:lineRule="auto"/>
        <w:ind w:left="259"/>
        <w:jc w:val="left"/>
      </w:pPr>
      <w:r>
        <w:rPr>
          <w:rFonts w:ascii="Arial" w:hAnsi="Arial"/>
          <w:color w:val="525252"/>
          <w:sz w:val="13"/>
        </w:rPr>
        <w:t>It encompasses the total spectrum of USAF human communication activities, including the photojournalist, broadcaster, and band career fields.</w:t>
      </w:r>
    </w:p>
    <w:p>
      <w:pPr>
        <w:spacing w:after="20" w:line="223" w:lineRule="auto"/>
        <w:jc w:val="right"/>
        <w:bidi/>
      </w:pPr>
      <w:r>
        <w:rPr>
          <w:rFonts w:ascii="Arial" w:hAnsi="Arial"/>
          <w:sz w:val="16"/>
        </w:rPr>
        <w:t>177.16  از تمامی رسانه‌های ارتباطی چاپی و الکترونیکی همراه با فنون ارتباط بین فردی استفاده می‌شود.</w:t>
      </w:r>
    </w:p>
    <w:p>
      <w:pPr>
        <w:spacing w:after="28" w:line="216" w:lineRule="auto"/>
        <w:ind w:left="259"/>
        <w:jc w:val="left"/>
      </w:pPr>
      <w:r>
        <w:rPr>
          <w:rFonts w:ascii="Arial" w:hAnsi="Arial"/>
          <w:color w:val="525252"/>
          <w:sz w:val="13"/>
        </w:rPr>
        <w:t>All print and electronic communication media are used along with interpersonal communication techniques.</w:t>
      </w:r>
    </w:p>
    <w:p>
      <w:pPr>
        <w:spacing w:after="20" w:line="223" w:lineRule="auto"/>
        <w:jc w:val="right"/>
        <w:bidi/>
      </w:pPr>
      <w:r>
        <w:rPr>
          <w:rFonts w:ascii="Arial" w:hAnsi="Arial"/>
          <w:sz w:val="16"/>
        </w:rPr>
        <w:t>177.17  عملکردها شامل عکس، چاپ، رادیو، تلویزیون، ویدئو، موسیقی، مشارکت اجتماعی و عملیات رسانه‌ای است.</w:t>
      </w:r>
    </w:p>
    <w:p>
      <w:pPr>
        <w:spacing w:after="28" w:line="216" w:lineRule="auto"/>
        <w:ind w:left="259"/>
        <w:jc w:val="left"/>
      </w:pPr>
      <w:r>
        <w:rPr>
          <w:rFonts w:ascii="Arial" w:hAnsi="Arial"/>
          <w:color w:val="525252"/>
          <w:sz w:val="13"/>
        </w:rPr>
        <w:t>The functions involve photo, print, radio, television, video, music, community engagement, and media operations.</w:t>
      </w:r>
    </w:p>
    <w:p>
      <w:pPr>
        <w:spacing w:after="20" w:line="223" w:lineRule="auto"/>
        <w:jc w:val="right"/>
        <w:bidi/>
      </w:pPr>
      <w:r>
        <w:rPr>
          <w:rFonts w:ascii="Arial" w:hAnsi="Arial"/>
          <w:sz w:val="16"/>
        </w:rPr>
        <w:t>177.18  آنها برای تسهیل جریان ارتباط بین USAF و عموم مردم و همچنین اعضای رگاف و خانواده‌های آنها، اجزای رزرو و کارمندان غیرنظامی طراحی شده‌اند.</w:t>
      </w:r>
    </w:p>
    <w:p>
      <w:pPr>
        <w:spacing w:after="28" w:line="216" w:lineRule="auto"/>
        <w:ind w:left="259"/>
        <w:jc w:val="left"/>
      </w:pPr>
      <w:r>
        <w:rPr>
          <w:rFonts w:ascii="Arial" w:hAnsi="Arial"/>
          <w:color w:val="525252"/>
          <w:sz w:val="13"/>
        </w:rPr>
        <w:t>They are designed to facilitate communication flow between the USAF and the general public, as well as RegAF members and their families, Reserve Components, and civilian employees.</w:t>
      </w:r>
    </w:p>
    <w:p>
      <w:pPr>
        <w:spacing w:after="20" w:line="223" w:lineRule="auto"/>
        <w:jc w:val="right"/>
        <w:bidi/>
      </w:pPr>
      <w:r>
        <w:rPr>
          <w:rFonts w:ascii="Arial" w:hAnsi="Arial"/>
          <w:sz w:val="16"/>
        </w:rPr>
        <w:t>177.19  رشته شغلی نیروهای امنیتی (۳پ).</w:t>
      </w:r>
    </w:p>
    <w:p>
      <w:pPr>
        <w:spacing w:after="28" w:line="216" w:lineRule="auto"/>
        <w:ind w:left="259"/>
        <w:jc w:val="left"/>
      </w:pPr>
      <w:r>
        <w:rPr>
          <w:rFonts w:ascii="Arial" w:hAnsi="Arial"/>
          <w:color w:val="525252"/>
          <w:sz w:val="13"/>
        </w:rPr>
        <w:t>Security Forces Career Field (3P).</w:t>
      </w:r>
    </w:p>
    <w:p>
      <w:pPr>
        <w:spacing w:after="20" w:line="223" w:lineRule="auto"/>
        <w:jc w:val="right"/>
        <w:bidi/>
      </w:pPr>
      <w:r>
        <w:rPr>
          <w:rFonts w:ascii="Arial" w:hAnsi="Arial"/>
          <w:sz w:val="16"/>
        </w:rPr>
        <w:t>177.20  حوزه شغلی نیروهای امنیتی وظایف حفاظت از نیرو را انجام می‌دهد.</w:t>
      </w:r>
    </w:p>
    <w:p>
      <w:pPr>
        <w:spacing w:after="28" w:line="216" w:lineRule="auto"/>
        <w:ind w:left="259"/>
        <w:jc w:val="left"/>
      </w:pPr>
      <w:r>
        <w:rPr>
          <w:rFonts w:ascii="Arial" w:hAnsi="Arial"/>
          <w:color w:val="525252"/>
          <w:sz w:val="13"/>
        </w:rPr>
        <w:t>The security forces career field performs force protection duties.</w:t>
      </w:r>
    </w:p>
    <w:p>
      <w:pPr>
        <w:spacing w:after="20" w:line="223" w:lineRule="auto"/>
        <w:jc w:val="right"/>
        <w:bidi/>
      </w:pPr>
      <w:r>
        <w:rPr>
          <w:rFonts w:ascii="Arial" w:hAnsi="Arial"/>
          <w:sz w:val="16"/>
        </w:rPr>
        <w:t>177.21  وظایف نیروهای امنیتی مستلزم استفاده از زور، تا و از جمله استفاده از نیروی مرگبار است.</w:t>
      </w:r>
    </w:p>
    <w:p>
      <w:pPr>
        <w:spacing w:after="28" w:line="216" w:lineRule="auto"/>
        <w:ind w:left="259"/>
        <w:jc w:val="left"/>
      </w:pPr>
      <w:r>
        <w:rPr>
          <w:rFonts w:ascii="Arial" w:hAnsi="Arial"/>
          <w:color w:val="525252"/>
          <w:sz w:val="13"/>
        </w:rPr>
        <w:t>Security forces duties require the use of force, up to and including the use of deadly force.</w:t>
      </w:r>
    </w:p>
    <w:p>
      <w:pPr>
        <w:spacing w:after="20" w:line="223" w:lineRule="auto"/>
        <w:jc w:val="right"/>
        <w:bidi/>
      </w:pPr>
      <w:r>
        <w:rPr>
          <w:rFonts w:ascii="Arial" w:hAnsi="Arial"/>
          <w:sz w:val="16"/>
        </w:rPr>
        <w:t>177.22  وظایف نیروهای امنیتی توانایی رزمی را از طریق عملکردهای امنیت تاسیسات، سیستم‌های تسلیحات هسته‌ای و متعارف و امنیت منابع، دفاع پایگاه هوایی، اجرای قانون، امنیت اطلاعات، فعالیت‌های سگ‌های کار نظامی، و آموزش و نگهداری سلاح‌های رزمی تضمین می‌کنند.</w:t>
      </w:r>
    </w:p>
    <w:p>
      <w:pPr>
        <w:spacing w:after="28" w:line="216" w:lineRule="auto"/>
        <w:ind w:left="259"/>
        <w:jc w:val="left"/>
      </w:pPr>
      <w:r>
        <w:rPr>
          <w:rFonts w:ascii="Arial" w:hAnsi="Arial"/>
          <w:color w:val="525252"/>
          <w:sz w:val="13"/>
        </w:rPr>
        <w:t>Security forces duties ensure combat capability through the functions of installation security, nuclear and conventional weapon systems and resources security, air base defense, law enforcement, information security, military working dog activities, and combat arms training and maintenance.</w:t>
      </w:r>
    </w:p>
    <w:p>
      <w:pPr>
        <w:spacing w:after="20" w:line="223" w:lineRule="auto"/>
        <w:jc w:val="right"/>
        <w:bidi/>
      </w:pPr>
      <w:r>
        <w:rPr>
          <w:rFonts w:ascii="Arial" w:hAnsi="Arial"/>
          <w:sz w:val="16"/>
        </w:rPr>
        <w:t>177.23  پرسنل در این رستهٔ شغلی در محیط‌های حساس یا متخاصم ایجاد شده توسط تروریسم، خرابکاری، هسته‌ای، شیمیایی، بیولوژیکی یا جنگ متعارف مستقر و استخدام خواهند شد.</w:t>
      </w:r>
    </w:p>
    <w:p>
      <w:pPr>
        <w:spacing w:after="28" w:line="216" w:lineRule="auto"/>
        <w:ind w:left="259"/>
        <w:jc w:val="left"/>
      </w:pPr>
      <w:r>
        <w:rPr>
          <w:rFonts w:ascii="Arial" w:hAnsi="Arial"/>
          <w:color w:val="525252"/>
          <w:sz w:val="13"/>
        </w:rPr>
        <w:t>Personnel in this career field will be deployed and employed in sensitive or hostile environments created by terrorism, sabotage, nuclear, chemical, biological, or conventional warfare.</w:t>
      </w:r>
    </w:p>
    <w:p>
      <w:pPr>
        <w:spacing w:after="20" w:line="223" w:lineRule="auto"/>
        <w:jc w:val="right"/>
        <w:bidi/>
      </w:pPr>
      <w:r>
        <w:rPr>
          <w:rFonts w:ascii="Arial" w:hAnsi="Arial"/>
          <w:sz w:val="16"/>
        </w:rPr>
        <w:t>177.24  اعضای نیروی امنیتی وظیفه پلیس نظامی را در داخل USAF انجام می‌دهند.</w:t>
      </w:r>
    </w:p>
    <w:p>
      <w:pPr>
        <w:spacing w:after="28" w:line="216" w:lineRule="auto"/>
        <w:ind w:left="259"/>
        <w:jc w:val="left"/>
      </w:pPr>
      <w:r>
        <w:rPr>
          <w:rFonts w:ascii="Arial" w:hAnsi="Arial"/>
          <w:color w:val="525252"/>
          <w:sz w:val="13"/>
        </w:rPr>
        <w:t>Security force members perform the military police function within the USAF.</w:t>
      </w:r>
    </w:p>
    <w:p>
      <w:pPr>
        <w:spacing w:after="20" w:line="223" w:lineRule="auto"/>
        <w:jc w:val="right"/>
        <w:bidi/>
      </w:pPr>
      <w:r>
        <w:rPr>
          <w:rFonts w:ascii="Arial" w:hAnsi="Arial"/>
          <w:sz w:val="16"/>
        </w:rPr>
        <w:t>177.25  رشته شغلی پزشکی (۴کس).</w:t>
      </w:r>
    </w:p>
    <w:p>
      <w:pPr>
        <w:spacing w:after="28" w:line="216" w:lineRule="auto"/>
        <w:ind w:left="259"/>
        <w:jc w:val="left"/>
      </w:pPr>
      <w:r>
        <w:rPr>
          <w:rFonts w:ascii="Arial" w:hAnsi="Arial"/>
          <w:color w:val="525252"/>
          <w:sz w:val="13"/>
        </w:rPr>
        <w:t>Medical Career Field (4X).</w:t>
      </w:r>
    </w:p>
    <w:p>
      <w:pPr>
        <w:spacing w:after="20" w:line="223" w:lineRule="auto"/>
        <w:jc w:val="right"/>
        <w:bidi/>
      </w:pPr>
      <w:r>
        <w:rPr>
          <w:rFonts w:ascii="Arial" w:hAnsi="Arial"/>
          <w:sz w:val="16"/>
        </w:rPr>
        <w:t>177.26  حوزه حرفه پزشکی شامل وظایفی است که در کارکردن امکانات پزشکی ثابت و تاکتیکی و مراقبت و درمان افراد مجاز به صورت حرفه‌ای</w:t>
      </w:r>
    </w:p>
    <w:p>
      <w:pPr>
        <w:spacing w:after="28" w:line="216" w:lineRule="auto"/>
        <w:ind w:left="259"/>
        <w:jc w:val="left"/>
      </w:pPr>
      <w:r>
        <w:rPr>
          <w:rFonts w:ascii="Arial" w:hAnsi="Arial"/>
          <w:color w:val="525252"/>
          <w:sz w:val="13"/>
        </w:rPr>
        <w:t>The medical career field encompasses functions involved in operating both fixed and tactical medical facilities and sub-professionally caring for and treating authorized</w:t>
      </w:r>
    </w:p>
    <w:p>
      <w:r>
        <w:br w:type="page"/>
      </w:r>
    </w:p>
    <w:p>
      <w:pPr>
        <w:spacing w:after="60"/>
        <w:jc w:val="right"/>
        <w:bidi/>
      </w:pPr>
      <w:r>
        <w:rPr>
          <w:rFonts w:ascii="Arial" w:hAnsi="Arial"/>
          <w:b/>
          <w:color w:val="1F4D78"/>
          <w:sz w:val="19"/>
        </w:rPr>
        <w:t>هفتهٔ 178  |  صفحهٔ منبع: 194</w:t>
      </w:r>
    </w:p>
    <w:p>
      <w:pPr>
        <w:spacing w:after="20" w:line="223" w:lineRule="auto"/>
        <w:jc w:val="right"/>
        <w:bidi/>
      </w:pPr>
      <w:r>
        <w:rPr>
          <w:rFonts w:ascii="Arial" w:hAnsi="Arial"/>
          <w:sz w:val="16"/>
        </w:rPr>
        <w:t>178.01  پرسنل.</w:t>
      </w:r>
    </w:p>
    <w:p>
      <w:pPr>
        <w:spacing w:after="28" w:line="216" w:lineRule="auto"/>
        <w:ind w:left="259"/>
        <w:jc w:val="left"/>
      </w:pPr>
      <w:r>
        <w:rPr>
          <w:rFonts w:ascii="Arial" w:hAnsi="Arial"/>
          <w:color w:val="525252"/>
          <w:sz w:val="13"/>
        </w:rPr>
        <w:t>personnel.</w:t>
      </w:r>
    </w:p>
    <w:p>
      <w:pPr>
        <w:spacing w:after="20" w:line="223" w:lineRule="auto"/>
        <w:jc w:val="right"/>
        <w:bidi/>
      </w:pPr>
      <w:r>
        <w:rPr>
          <w:rFonts w:ascii="Arial" w:hAnsi="Arial"/>
          <w:sz w:val="16"/>
        </w:rPr>
        <w:t>178.02  این رشته شغلی شامل فعالیت‌های هواپزشکی، فیزیولوژی هوافضا، و خدمات پزشکی تخصصی از جمله چشم پزشکی، گوش و حلق و بینی، ارتوپدی، اورولوژی، آلرژی و ایمونولوژی، بینایی‌سنجی، پزشکی هسته‌ای و تکنیک‌های قلبی-ریوی، مطالعات الکتروانسفالوگرافی، فیزیوتراپی، خدمات رادیوتراپی، خدمات سلامت روانی، وکچورتیکس آزمایشگاه، هیستوپاتولوژی، سیتوتکنولوژی، داروسازی، رژیم درمانی، مدیریت پزشکی، مواد پزشکی، مهندسی زیست محیطی، و پزشکی محیط زیست.</w:t>
      </w:r>
    </w:p>
    <w:p>
      <w:pPr>
        <w:spacing w:after="28" w:line="216" w:lineRule="auto"/>
        <w:ind w:left="259"/>
        <w:jc w:val="left"/>
      </w:pPr>
      <w:r>
        <w:rPr>
          <w:rFonts w:ascii="Arial" w:hAnsi="Arial"/>
          <w:color w:val="525252"/>
          <w:sz w:val="13"/>
        </w:rPr>
        <w:t>This career field includes aeromedical activities, aerospace physiology, and specialized medical services including ophthalmology, otorhinolaryngology, orthopedics, urology, allergy and immunology, optometry, nuclear medicine and cardiopulmonary techniques, electroencephalographic studies, physical therapy, occupational therapy, orthotics, operating room, mental health services, radiology, medical laboratory, histopathology, cytotechnology, pharmacy, diet therapy, medical administration, medical materiel, bioenvironmental engineering, and environmental medicine.</w:t>
      </w:r>
    </w:p>
    <w:p>
      <w:pPr>
        <w:spacing w:after="20" w:line="223" w:lineRule="auto"/>
        <w:jc w:val="right"/>
        <w:bidi/>
      </w:pPr>
      <w:r>
        <w:rPr>
          <w:rFonts w:ascii="Arial" w:hAnsi="Arial"/>
          <w:sz w:val="16"/>
        </w:rPr>
        <w:t>178.03  کلیه پرسنل خدمات پزشکی USAF باید از رویه‌های بهداشتی و کمک‌های اولیه نظامی آگاه و مسلط باشند، در عملیات و تعمیر و نگهداری رده اول کلیه تجهیزات مورد استفاده توسط تخصص مربوطه USAF مهارت داشته باشند و باید با روش‌های بداهه سازی و تبدیل انواع ثابت تجهیزات پزشکی برای استفاده تاکتیکی آشنا باشند.</w:t>
      </w:r>
    </w:p>
    <w:p>
      <w:pPr>
        <w:spacing w:after="28" w:line="216" w:lineRule="auto"/>
        <w:ind w:left="259"/>
        <w:jc w:val="left"/>
      </w:pPr>
      <w:r>
        <w:rPr>
          <w:rFonts w:ascii="Arial" w:hAnsi="Arial"/>
          <w:color w:val="525252"/>
          <w:sz w:val="13"/>
        </w:rPr>
        <w:t>All personnel of the USAF medical service must have knowledge of and be proficient in military sanitation and first aid procedures, be proficient in operation and first echelon maintenance of all equipment used by the respective USAF specialty and must be familiar with improvisation and conversion methods of fixed types of medical equipment for tactical use.</w:t>
      </w:r>
    </w:p>
    <w:p>
      <w:pPr>
        <w:spacing w:after="20" w:line="223" w:lineRule="auto"/>
        <w:jc w:val="right"/>
        <w:bidi/>
      </w:pPr>
      <w:r>
        <w:rPr>
          <w:rFonts w:ascii="Arial" w:hAnsi="Arial"/>
          <w:sz w:val="16"/>
        </w:rPr>
        <w:t>178.04  توجه: از این رشته شغلی، دندانپزشکی و کارکردهای نجات و بقا مستثنی هستند.</w:t>
      </w:r>
    </w:p>
    <w:p>
      <w:pPr>
        <w:spacing w:after="28" w:line="216" w:lineRule="auto"/>
        <w:ind w:left="259"/>
        <w:jc w:val="left"/>
      </w:pPr>
      <w:r>
        <w:rPr>
          <w:rFonts w:ascii="Arial" w:hAnsi="Arial"/>
          <w:color w:val="525252"/>
          <w:sz w:val="13"/>
        </w:rPr>
        <w:t>Note: Excluded from this career field are dental and rescue and survival functions.</w:t>
      </w:r>
    </w:p>
    <w:p>
      <w:pPr>
        <w:spacing w:after="20" w:line="223" w:lineRule="auto"/>
        <w:jc w:val="right"/>
        <w:bidi/>
      </w:pPr>
      <w:r>
        <w:rPr>
          <w:rFonts w:ascii="Arial" w:hAnsi="Arial"/>
          <w:sz w:val="16"/>
        </w:rPr>
        <w:t>178.05  این توابع در رستهٔ شغلی دندانپزشکی و رستهٔ شغلی حفاظتی گنجانده شده است.</w:t>
      </w:r>
    </w:p>
    <w:p>
      <w:pPr>
        <w:spacing w:after="28" w:line="216" w:lineRule="auto"/>
        <w:ind w:left="259"/>
        <w:jc w:val="left"/>
      </w:pPr>
      <w:r>
        <w:rPr>
          <w:rFonts w:ascii="Arial" w:hAnsi="Arial"/>
          <w:color w:val="525252"/>
          <w:sz w:val="13"/>
        </w:rPr>
        <w:t>These functions are included in the dental career field and protection career field.</w:t>
      </w:r>
    </w:p>
    <w:p>
      <w:pPr>
        <w:spacing w:after="20" w:line="223" w:lineRule="auto"/>
        <w:jc w:val="right"/>
        <w:bidi/>
      </w:pPr>
      <w:r>
        <w:rPr>
          <w:rFonts w:ascii="Arial" w:hAnsi="Arial"/>
          <w:sz w:val="16"/>
        </w:rPr>
        <w:t>178.06  رشته شغلی دندانپزشکی (۴ی).</w:t>
      </w:r>
    </w:p>
    <w:p>
      <w:pPr>
        <w:spacing w:after="28" w:line="216" w:lineRule="auto"/>
        <w:ind w:left="259"/>
        <w:jc w:val="left"/>
      </w:pPr>
      <w:r>
        <w:rPr>
          <w:rFonts w:ascii="Arial" w:hAnsi="Arial"/>
          <w:color w:val="525252"/>
          <w:sz w:val="13"/>
        </w:rPr>
        <w:t>Dental Career Field (4Y).</w:t>
      </w:r>
    </w:p>
    <w:p>
      <w:pPr>
        <w:spacing w:after="20" w:line="223" w:lineRule="auto"/>
        <w:jc w:val="right"/>
        <w:bidi/>
      </w:pPr>
      <w:r>
        <w:rPr>
          <w:rFonts w:ascii="Arial" w:hAnsi="Arial"/>
          <w:sz w:val="16"/>
        </w:rPr>
        <w:t>178.07  حوزه شغلی دندانپزشکی پشتیبانی فراحرفه‌ای را در ارائه مراقبت‌های بهداشتی دندانپزشکی به ذینفعان مجاز هم در پادگان و هم در محیط مستقر ارائه می‌دهد.</w:t>
      </w:r>
    </w:p>
    <w:p>
      <w:pPr>
        <w:spacing w:after="28" w:line="216" w:lineRule="auto"/>
        <w:ind w:left="259"/>
        <w:jc w:val="left"/>
      </w:pPr>
      <w:r>
        <w:rPr>
          <w:rFonts w:ascii="Arial" w:hAnsi="Arial"/>
          <w:color w:val="525252"/>
          <w:sz w:val="13"/>
        </w:rPr>
        <w:t>The dental career field provides paraprofessional support in the delivery of dental health care to authorized beneficiaries both in-garrison and in a deployed environment.</w:t>
      </w:r>
    </w:p>
    <w:p>
      <w:pPr>
        <w:spacing w:after="20" w:line="223" w:lineRule="auto"/>
        <w:jc w:val="right"/>
        <w:bidi/>
      </w:pPr>
      <w:r>
        <w:rPr>
          <w:rFonts w:ascii="Arial" w:hAnsi="Arial"/>
          <w:sz w:val="16"/>
        </w:rPr>
        <w:t>178.08  این شامل کمک به دندانپزشکی عمومی، جراحی دهان و فک و صورت، پروتزهای دندانی، اندودنتیکس، پریودنتیکس، ارتودنسی و دندانپزشکی کودکان است.</w:t>
      </w:r>
    </w:p>
    <w:p>
      <w:pPr>
        <w:spacing w:after="28" w:line="216" w:lineRule="auto"/>
        <w:ind w:left="259"/>
        <w:jc w:val="left"/>
      </w:pPr>
      <w:r>
        <w:rPr>
          <w:rFonts w:ascii="Arial" w:hAnsi="Arial"/>
          <w:color w:val="525252"/>
          <w:sz w:val="13"/>
        </w:rPr>
        <w:t>This includes assisting in general dentistry, oral, and maxillofacial surgery, prosthodontics, endodontics, periodontics, orthodontics, and pediatric dentistry.</w:t>
      </w:r>
    </w:p>
    <w:p>
      <w:pPr>
        <w:spacing w:after="20" w:line="223" w:lineRule="auto"/>
        <w:jc w:val="right"/>
        <w:bidi/>
      </w:pPr>
      <w:r>
        <w:rPr>
          <w:rFonts w:ascii="Arial" w:hAnsi="Arial"/>
          <w:sz w:val="16"/>
        </w:rPr>
        <w:t>178.09  علاوه بر این، خدمات در رادیولوژی دندان، دندانپزشکی پیشگیرانه، آزمایشگاه دندانپزشکی و مدیریت اداری/مطب انجام می‌شود.</w:t>
      </w:r>
    </w:p>
    <w:p>
      <w:pPr>
        <w:spacing w:after="28" w:line="216" w:lineRule="auto"/>
        <w:ind w:left="259"/>
        <w:jc w:val="left"/>
      </w:pPr>
      <w:r>
        <w:rPr>
          <w:rFonts w:ascii="Arial" w:hAnsi="Arial"/>
          <w:color w:val="525252"/>
          <w:sz w:val="13"/>
        </w:rPr>
        <w:t>In addition, services are provided in dental radiology, preventative dentistry, dental laboratory, and office administration/practice management.</w:t>
      </w:r>
    </w:p>
    <w:p>
      <w:pPr>
        <w:spacing w:after="20" w:line="223" w:lineRule="auto"/>
        <w:jc w:val="right"/>
        <w:bidi/>
      </w:pPr>
      <w:r>
        <w:rPr>
          <w:rFonts w:ascii="Arial" w:hAnsi="Arial"/>
          <w:sz w:val="16"/>
        </w:rPr>
        <w:t>178.10  رشته شغلی حقوقی (۵ج).</w:t>
      </w:r>
    </w:p>
    <w:p>
      <w:pPr>
        <w:spacing w:after="28" w:line="216" w:lineRule="auto"/>
        <w:ind w:left="259"/>
        <w:jc w:val="left"/>
      </w:pPr>
      <w:r>
        <w:rPr>
          <w:rFonts w:ascii="Arial" w:hAnsi="Arial"/>
          <w:color w:val="525252"/>
          <w:sz w:val="13"/>
        </w:rPr>
        <w:t>Paralegal Career Field (5J).</w:t>
      </w:r>
    </w:p>
    <w:p>
      <w:pPr>
        <w:spacing w:after="20" w:line="223" w:lineRule="auto"/>
        <w:jc w:val="right"/>
        <w:bidi/>
      </w:pPr>
      <w:r>
        <w:rPr>
          <w:rFonts w:ascii="Arial" w:hAnsi="Arial"/>
          <w:sz w:val="16"/>
        </w:rPr>
        <w:t>178.11  وکلا تحت نظارت یک وکیل با رعایت استانداردهای کانون وکلای آمریکا و قوانین رفتار حرفه‌ای نیروی هوایی، پشتیبانی حقوقی کامل را ارائه می‌کنند.</w:t>
      </w:r>
    </w:p>
    <w:p>
      <w:pPr>
        <w:spacing w:after="28" w:line="216" w:lineRule="auto"/>
        <w:ind w:left="259"/>
        <w:jc w:val="left"/>
      </w:pPr>
      <w:r>
        <w:rPr>
          <w:rFonts w:ascii="Arial" w:hAnsi="Arial"/>
          <w:color w:val="525252"/>
          <w:sz w:val="13"/>
        </w:rPr>
        <w:t>Paralegals provide full-spectrum legal support under the supervision of an attorney in compliance with American Bar Association Standards and the Air Force Rules of Professional Conduct.</w:t>
      </w:r>
    </w:p>
    <w:p>
      <w:pPr>
        <w:spacing w:after="20" w:line="223" w:lineRule="auto"/>
        <w:jc w:val="right"/>
        <w:bidi/>
      </w:pPr>
      <w:r>
        <w:rPr>
          <w:rFonts w:ascii="Arial" w:hAnsi="Arial"/>
          <w:sz w:val="16"/>
        </w:rPr>
        <w:t>178.12  پارالقانون خدمات حقوقی را به فرماندهان، اعضای نیروهای مسلح و سایر ذینفعان واجد شرایط طبق مجوز کنگره ارائه می‌کنند. تهیه، بررسی، اجرا و نگهداری اسناد قانونی، از جمله وکالتنامه، وصیت نامه و دفاتر اسناد رسمی، اما نه محدود به آن. بررسی ادعاهای مطرح شده برای و علیه نیروی هوایی؛ انجام تحقیقات حقوقی و پیش نویس بررسی‌های حقوقی در حوزه‌های عدالت نظامی، قانون مدنی، عملیاتی و حقوق بین الملل؛ ارائه کمک‌های تحقیقاتی برای دولت، دفاع یا قربانیان در طول دادگاه‌های نظامی-نظامی، هیئت‌ها یا سایر انجمن‌ها طبق دستور.</w:t>
      </w:r>
    </w:p>
    <w:p>
      <w:pPr>
        <w:spacing w:after="28" w:line="216" w:lineRule="auto"/>
        <w:ind w:left="259"/>
        <w:jc w:val="left"/>
      </w:pPr>
      <w:r>
        <w:rPr>
          <w:rFonts w:ascii="Arial" w:hAnsi="Arial"/>
          <w:color w:val="525252"/>
          <w:sz w:val="13"/>
        </w:rPr>
        <w:t>Paralegals provide legal services to commanders, service members and other eligible beneficiaries as authorized by Congress; prepare, review, execute, and maintain legal documents, including but not limited to powers-of-attorney, wills and notaries; investigate claims filed for and against the Air Force; conduct legal research and draft legal reviews in the military justice, civil law, operational and international law domains; provide investigative assistance for the government, defense or victim(s) during military courts-martial, boards or other forums as directed.</w:t>
      </w:r>
    </w:p>
    <w:p>
      <w:pPr>
        <w:spacing w:after="20" w:line="223" w:lineRule="auto"/>
        <w:jc w:val="right"/>
        <w:bidi/>
      </w:pPr>
      <w:r>
        <w:rPr>
          <w:rFonts w:ascii="Arial" w:hAnsi="Arial"/>
          <w:sz w:val="16"/>
        </w:rPr>
        <w:t>178.13  به‌عنوان رهبران نیروی هوایی، انتظار می‌رود که حقوقدانان تجزیه و تحلیل انتقادی و حل مشکل در مورد مجموعه‌ای از مسائل قانونی را ارائه دهند تا اطمینان حاصل شود که فرماندهان از پشتیبانی قانونی مأموریت محور برخوردار هستند که عملیات موفقیت‌آمیز را ممکن می‌سازد.</w:t>
      </w:r>
    </w:p>
    <w:p>
      <w:pPr>
        <w:spacing w:after="28" w:line="216" w:lineRule="auto"/>
        <w:ind w:left="259"/>
        <w:jc w:val="left"/>
      </w:pPr>
      <w:r>
        <w:rPr>
          <w:rFonts w:ascii="Arial" w:hAnsi="Arial"/>
          <w:color w:val="525252"/>
          <w:sz w:val="13"/>
        </w:rPr>
        <w:t>As Air Force leaders, paralegals are expected to provide critical analysis and problem solving on an array of legal issues to ensure commanders have mission-driven legal support that enables successful operations.</w:t>
      </w:r>
    </w:p>
    <w:p>
      <w:pPr>
        <w:spacing w:after="20" w:line="223" w:lineRule="auto"/>
        <w:jc w:val="right"/>
        <w:bidi/>
      </w:pPr>
      <w:r>
        <w:rPr>
          <w:rFonts w:ascii="Arial" w:hAnsi="Arial"/>
          <w:sz w:val="16"/>
        </w:rPr>
        <w:t>178.14  رشته شغلی امور مذهبی (۵ر).</w:t>
      </w:r>
    </w:p>
    <w:p>
      <w:pPr>
        <w:spacing w:after="28" w:line="216" w:lineRule="auto"/>
        <w:ind w:left="259"/>
        <w:jc w:val="left"/>
      </w:pPr>
      <w:r>
        <w:rPr>
          <w:rFonts w:ascii="Arial" w:hAnsi="Arial"/>
          <w:color w:val="525252"/>
          <w:sz w:val="13"/>
        </w:rPr>
        <w:t>Religious Affairs Career Field (5R).</w:t>
      </w:r>
    </w:p>
    <w:p>
      <w:pPr>
        <w:spacing w:after="20" w:line="223" w:lineRule="auto"/>
        <w:jc w:val="right"/>
        <w:bidi/>
      </w:pPr>
      <w:r>
        <w:rPr>
          <w:rFonts w:ascii="Arial" w:hAnsi="Arial"/>
          <w:sz w:val="16"/>
        </w:rPr>
        <w:t>178.15  حوزه شغلی امور مذهبی، فرهنگ مراقبت معنوی را ایجاد می‌کند و اجرای رایگان دین را برای اعضای USAF، خانواده‌های آنها و سایر پرسنل مجاز تسهیل می‌کند.</w:t>
      </w:r>
    </w:p>
    <w:p>
      <w:pPr>
        <w:spacing w:after="28" w:line="216" w:lineRule="auto"/>
        <w:ind w:left="259"/>
        <w:jc w:val="left"/>
      </w:pPr>
      <w:r>
        <w:rPr>
          <w:rFonts w:ascii="Arial" w:hAnsi="Arial"/>
          <w:color w:val="525252"/>
          <w:sz w:val="13"/>
        </w:rPr>
        <w:t>The religious affairs career field builds a culture of spiritual care and facilitates the free exercise of religion for USAF members, their families, and other authorized personnel.</w:t>
      </w:r>
    </w:p>
    <w:p>
      <w:pPr>
        <w:spacing w:after="20" w:line="223" w:lineRule="auto"/>
        <w:jc w:val="right"/>
        <w:bidi/>
      </w:pPr>
      <w:r>
        <w:rPr>
          <w:rFonts w:ascii="Arial" w:hAnsi="Arial"/>
          <w:sz w:val="16"/>
        </w:rPr>
        <w:t>178.16  به‌عنوان متخصص در اصول دین، محل اقامت، الزامات گروه‌های اعتقادی اصلی، ارتباطات ممتاز و مدیریت برنامه‌های مذهبی، امور دینی به رهبران در همه سطوح در زمینه سازگاری مذهبی، مسائل اخلاقی، اخلاقی و اخلاقی مشاوره می‌دهد.</w:t>
      </w:r>
    </w:p>
    <w:p>
      <w:pPr>
        <w:spacing w:after="28" w:line="216" w:lineRule="auto"/>
        <w:ind w:left="259"/>
        <w:jc w:val="left"/>
      </w:pPr>
      <w:r>
        <w:rPr>
          <w:rFonts w:ascii="Arial" w:hAnsi="Arial"/>
          <w:color w:val="525252"/>
          <w:sz w:val="13"/>
        </w:rPr>
        <w:t>As experts in principles of religion, accommodation, major faith group requisites, privileged communication, and religious program management, religious affairs advises leaders at all levels on religious accommodation, ethical, moral, and morale issues.</w:t>
      </w:r>
    </w:p>
    <w:p>
      <w:pPr>
        <w:spacing w:after="20" w:line="223" w:lineRule="auto"/>
        <w:jc w:val="right"/>
        <w:bidi/>
      </w:pPr>
      <w:r>
        <w:rPr>
          <w:rFonts w:ascii="Arial" w:hAnsi="Arial"/>
          <w:sz w:val="16"/>
        </w:rPr>
        <w:t>178.17  به‌عنوان جزء ثبت‌نام شده تیم‌های حمایت مذهبی، پرسنل امور مذهبی به‌طور منحصر به فردی در مداخله در بحران آموزش دیده‌اند که شامل مشاوره مداخله در لحظات بحران، پاسخ به بحران‌ها و پیشگیری/ مداخله از خودکشی می‌شود.</w:t>
      </w:r>
    </w:p>
    <w:p>
      <w:pPr>
        <w:spacing w:after="28" w:line="216" w:lineRule="auto"/>
        <w:ind w:left="259"/>
        <w:jc w:val="left"/>
      </w:pPr>
      <w:r>
        <w:rPr>
          <w:rFonts w:ascii="Arial" w:hAnsi="Arial"/>
          <w:color w:val="525252"/>
          <w:sz w:val="13"/>
        </w:rPr>
        <w:t>As the enlisted component of religious support teams, religious affairs personnel are uniquely trained in crisis intervention to include intervention counseling in moments of crisis, response to crises, and suicide prevention/intervention.</w:t>
      </w:r>
    </w:p>
    <w:p>
      <w:pPr>
        <w:spacing w:after="20" w:line="223" w:lineRule="auto"/>
        <w:jc w:val="right"/>
        <w:bidi/>
      </w:pPr>
      <w:r>
        <w:rPr>
          <w:rFonts w:ascii="Arial" w:hAnsi="Arial"/>
          <w:sz w:val="16"/>
        </w:rPr>
        <w:t>178.18  علاوه بر این، آنها به‌طور فعال درگیر و عمدا در برنامه‌های درگیری واحد ادغام می‌شوند تا شامل جلسات واحد، تماس‌های فرمانده، آموزش با واحد و سایر فعالیت‌های واحد باشد.</w:t>
      </w:r>
    </w:p>
    <w:p>
      <w:pPr>
        <w:spacing w:after="28" w:line="216" w:lineRule="auto"/>
        <w:ind w:left="259"/>
        <w:jc w:val="left"/>
      </w:pPr>
      <w:r>
        <w:rPr>
          <w:rFonts w:ascii="Arial" w:hAnsi="Arial"/>
          <w:color w:val="525252"/>
          <w:sz w:val="13"/>
        </w:rPr>
        <w:t>In addition, they are actively engaged and intentionally integrated into unit engagement plans to include unit meetings, commander’s calls, training with the unit, and other unit activities.</w:t>
      </w:r>
    </w:p>
    <w:p>
      <w:pPr>
        <w:spacing w:after="20" w:line="223" w:lineRule="auto"/>
        <w:jc w:val="right"/>
        <w:bidi/>
      </w:pPr>
      <w:r>
        <w:rPr>
          <w:rFonts w:ascii="Arial" w:hAnsi="Arial"/>
          <w:sz w:val="16"/>
        </w:rPr>
        <w:t>178.19  همچنین در زمینه حمایت مذهبی از بیمارستان‌ها و سردخانه‌ها آموزش دیده‌اند.</w:t>
      </w:r>
    </w:p>
    <w:p>
      <w:pPr>
        <w:spacing w:after="28" w:line="216" w:lineRule="auto"/>
        <w:ind w:left="259"/>
        <w:jc w:val="left"/>
      </w:pPr>
      <w:r>
        <w:rPr>
          <w:rFonts w:ascii="Arial" w:hAnsi="Arial"/>
          <w:color w:val="525252"/>
          <w:sz w:val="13"/>
        </w:rPr>
        <w:t>They are also trained in religious support to hospitals and mortuaries.</w:t>
      </w:r>
    </w:p>
    <w:p>
      <w:pPr>
        <w:spacing w:after="20" w:line="223" w:lineRule="auto"/>
        <w:jc w:val="right"/>
        <w:bidi/>
      </w:pPr>
      <w:r>
        <w:rPr>
          <w:rFonts w:ascii="Arial" w:hAnsi="Arial"/>
          <w:sz w:val="16"/>
        </w:rPr>
        <w:t>178.20  امور دینی با مدیریت برنامه‌های مذهبی و پشتیبانی اداری، مالی و تسهیلاتی، نیازهای جوامع نظامی را برطرف می‌کند.</w:t>
      </w:r>
    </w:p>
    <w:p>
      <w:pPr>
        <w:spacing w:after="28" w:line="216" w:lineRule="auto"/>
        <w:ind w:left="259"/>
        <w:jc w:val="left"/>
      </w:pPr>
      <w:r>
        <w:rPr>
          <w:rFonts w:ascii="Arial" w:hAnsi="Arial"/>
          <w:color w:val="525252"/>
          <w:sz w:val="13"/>
        </w:rPr>
        <w:t>Religious affairs meets the needs of military communities by managing religious programs and providing administrative, financial, and facility support.</w:t>
      </w:r>
    </w:p>
    <w:p>
      <w:pPr>
        <w:spacing w:after="20" w:line="223" w:lineRule="auto"/>
        <w:jc w:val="right"/>
        <w:bidi/>
      </w:pPr>
      <w:r>
        <w:rPr>
          <w:rFonts w:ascii="Arial" w:hAnsi="Arial"/>
          <w:sz w:val="16"/>
        </w:rPr>
        <w:t>178.21  آنها داوطلبان را برای وزارتخانه‌های مذهبی خاص جذب، آموزش و سازماندهی می‌کنند.</w:t>
      </w:r>
    </w:p>
    <w:p>
      <w:pPr>
        <w:spacing w:after="28" w:line="216" w:lineRule="auto"/>
        <w:ind w:left="259"/>
        <w:jc w:val="left"/>
      </w:pPr>
      <w:r>
        <w:rPr>
          <w:rFonts w:ascii="Arial" w:hAnsi="Arial"/>
          <w:color w:val="525252"/>
          <w:sz w:val="13"/>
        </w:rPr>
        <w:t>They recruit, train, and organize volunteers for specific religious ministries.</w:t>
      </w:r>
    </w:p>
    <w:p>
      <w:pPr>
        <w:spacing w:after="20" w:line="223" w:lineRule="auto"/>
        <w:jc w:val="right"/>
        <w:bidi/>
      </w:pPr>
      <w:r>
        <w:rPr>
          <w:rFonts w:ascii="Arial" w:hAnsi="Arial"/>
          <w:sz w:val="16"/>
        </w:rPr>
        <w:t>178.22  امور مذهبی اعتبار، غرور و تمایز شرافتمندانه‌ای را برای USAF و سپاه روحانی آن به ارمغان می‌آورد.</w:t>
      </w:r>
    </w:p>
    <w:p>
      <w:pPr>
        <w:spacing w:after="28" w:line="216" w:lineRule="auto"/>
        <w:ind w:left="259"/>
        <w:jc w:val="left"/>
      </w:pPr>
      <w:r>
        <w:rPr>
          <w:rFonts w:ascii="Arial" w:hAnsi="Arial"/>
          <w:color w:val="525252"/>
          <w:sz w:val="13"/>
        </w:rPr>
        <w:t>Religious affairs brings credit, pride, and honorable distinction to the USAF and its chaplain corps.</w:t>
      </w:r>
    </w:p>
    <w:p>
      <w:pPr>
        <w:spacing w:after="20" w:line="223" w:lineRule="auto"/>
        <w:jc w:val="right"/>
        <w:bidi/>
      </w:pPr>
      <w:r>
        <w:rPr>
          <w:rFonts w:ascii="Arial" w:hAnsi="Arial"/>
          <w:sz w:val="16"/>
        </w:rPr>
        <w:t>178.23  رشته شغلی قراردادی (۶ک).</w:t>
      </w:r>
    </w:p>
    <w:p>
      <w:pPr>
        <w:spacing w:after="28" w:line="216" w:lineRule="auto"/>
        <w:ind w:left="259"/>
        <w:jc w:val="left"/>
      </w:pPr>
      <w:r>
        <w:rPr>
          <w:rFonts w:ascii="Arial" w:hAnsi="Arial"/>
          <w:color w:val="525252"/>
          <w:sz w:val="13"/>
        </w:rPr>
        <w:t>Contracting Career Field (6C).</w:t>
      </w:r>
    </w:p>
    <w:p>
      <w:pPr>
        <w:spacing w:after="20" w:line="223" w:lineRule="auto"/>
        <w:jc w:val="right"/>
        <w:bidi/>
      </w:pPr>
      <w:r>
        <w:rPr>
          <w:rFonts w:ascii="Arial" w:hAnsi="Arial"/>
          <w:sz w:val="16"/>
        </w:rPr>
        <w:t>178.24  رستهٔ شغلی پیمانکاری شامل خرید تجهیزات، لوازم، خدمات و ساخت و ساز از طریق مذاکره و روش‌های تبلیغات رسمی است.</w:t>
      </w:r>
    </w:p>
    <w:p>
      <w:pPr>
        <w:spacing w:after="28" w:line="216" w:lineRule="auto"/>
        <w:ind w:left="259"/>
        <w:jc w:val="left"/>
      </w:pPr>
      <w:r>
        <w:rPr>
          <w:rFonts w:ascii="Arial" w:hAnsi="Arial"/>
          <w:color w:val="525252"/>
          <w:sz w:val="13"/>
        </w:rPr>
        <w:t>The contracting career field encompasses the purchasing of equipment, supplies, services, and construction through negotiation and formal advertising methods.</w:t>
      </w:r>
    </w:p>
    <w:p>
      <w:pPr>
        <w:spacing w:after="20" w:line="223" w:lineRule="auto"/>
        <w:jc w:val="right"/>
        <w:bidi/>
      </w:pPr>
      <w:r>
        <w:rPr>
          <w:rFonts w:ascii="Arial" w:hAnsi="Arial"/>
          <w:sz w:val="16"/>
        </w:rPr>
        <w:t>178.25  این زمینه شامل درخواست مناقصه است. تهیه، پردازش، اعطای و مدیریت اسناد قراردادی؛ نگهداری سوابق تعهدات، سپرده‌های پیشنهادی و موارد متفرقه</w:t>
      </w:r>
    </w:p>
    <w:p>
      <w:pPr>
        <w:spacing w:after="28" w:line="216" w:lineRule="auto"/>
        <w:ind w:left="259"/>
        <w:jc w:val="left"/>
      </w:pPr>
      <w:r>
        <w:rPr>
          <w:rFonts w:ascii="Arial" w:hAnsi="Arial"/>
          <w:color w:val="525252"/>
          <w:sz w:val="13"/>
        </w:rPr>
        <w:t>This field involves soliciting bids; preparing, processing, awarding, and administering contractual documents; maintaining records of obligations, bid deposits, and miscellaneous</w:t>
      </w:r>
    </w:p>
    <w:p>
      <w:r>
        <w:br w:type="page"/>
      </w:r>
    </w:p>
    <w:p>
      <w:pPr>
        <w:spacing w:after="60"/>
        <w:jc w:val="right"/>
        <w:bidi/>
      </w:pPr>
      <w:r>
        <w:rPr>
          <w:rFonts w:ascii="Arial" w:hAnsi="Arial"/>
          <w:b/>
          <w:color w:val="1F4D78"/>
          <w:sz w:val="19"/>
        </w:rPr>
        <w:t>هفتهٔ 179  |  صفحهٔ منبع: 195</w:t>
      </w:r>
    </w:p>
    <w:p>
      <w:pPr>
        <w:spacing w:after="20" w:line="223" w:lineRule="auto"/>
        <w:jc w:val="right"/>
        <w:bidi/>
      </w:pPr>
      <w:r>
        <w:rPr>
          <w:rFonts w:ascii="Arial" w:hAnsi="Arial"/>
          <w:sz w:val="16"/>
        </w:rPr>
        <w:t>179.01  معاملات خرید؛ و ارائه خدمات تعمیرات قراردادی.</w:t>
      </w:r>
    </w:p>
    <w:p>
      <w:pPr>
        <w:spacing w:after="28" w:line="216" w:lineRule="auto"/>
        <w:ind w:left="259"/>
        <w:jc w:val="left"/>
      </w:pPr>
      <w:r>
        <w:rPr>
          <w:rFonts w:ascii="Arial" w:hAnsi="Arial"/>
          <w:color w:val="525252"/>
          <w:sz w:val="13"/>
        </w:rPr>
        <w:t>purchasing transactions; and providing for contract repair services.</w:t>
      </w:r>
    </w:p>
    <w:p>
      <w:pPr>
        <w:spacing w:after="20" w:line="223" w:lineRule="auto"/>
        <w:jc w:val="right"/>
        <w:bidi/>
      </w:pPr>
      <w:r>
        <w:rPr>
          <w:rFonts w:ascii="Arial" w:hAnsi="Arial"/>
          <w:sz w:val="16"/>
        </w:rPr>
        <w:t>179.02  وظایف قراردادی نیز شامل شناسایی، کدگذاری، تفسیر و استفاده از محصولات خودکار است. ارائه ورودی و تجزیه و تحلیل خروجی تولید شده توسط سیستم اتوماسیون پیمانکاری پایه؛ و بازرسی و ارزیابی فعالیت‌های پیمانکاری.</w:t>
      </w:r>
    </w:p>
    <w:p>
      <w:pPr>
        <w:spacing w:after="28" w:line="216" w:lineRule="auto"/>
        <w:ind w:left="259"/>
        <w:jc w:val="left"/>
      </w:pPr>
      <w:r>
        <w:rPr>
          <w:rFonts w:ascii="Arial" w:hAnsi="Arial"/>
          <w:color w:val="525252"/>
          <w:sz w:val="13"/>
        </w:rPr>
        <w:t>Contracting tasks also include recognizing, coding, interpreting, and using automated products; providing input and making analysis of output generated by the base contracting automation system; and inspecting and evaluating contracting activities.</w:t>
      </w:r>
    </w:p>
    <w:p>
      <w:pPr>
        <w:spacing w:after="20" w:line="223" w:lineRule="auto"/>
        <w:jc w:val="right"/>
        <w:bidi/>
      </w:pPr>
      <w:r>
        <w:rPr>
          <w:rFonts w:ascii="Arial" w:hAnsi="Arial"/>
          <w:sz w:val="16"/>
        </w:rPr>
        <w:t>179.03  رشته شغلی مالی (۶ف).</w:t>
      </w:r>
    </w:p>
    <w:p>
      <w:pPr>
        <w:spacing w:after="28" w:line="216" w:lineRule="auto"/>
        <w:ind w:left="259"/>
        <w:jc w:val="left"/>
      </w:pPr>
      <w:r>
        <w:rPr>
          <w:rFonts w:ascii="Arial" w:hAnsi="Arial"/>
          <w:color w:val="525252"/>
          <w:sz w:val="13"/>
        </w:rPr>
        <w:t>Financial Career Field (6F).</w:t>
      </w:r>
    </w:p>
    <w:p>
      <w:pPr>
        <w:spacing w:after="20" w:line="223" w:lineRule="auto"/>
        <w:jc w:val="right"/>
        <w:bidi/>
      </w:pPr>
      <w:r>
        <w:rPr>
          <w:rFonts w:ascii="Arial" w:hAnsi="Arial"/>
          <w:sz w:val="16"/>
        </w:rPr>
        <w:t>179.04  رستهٔ شغلی مالی شامل دریافت، پرداخت و حسابداری وجوه عمومی است. تخصیص و هزینه، سرمایه در گردش، و حسابداری اموال غیرمنقول، از جمله گزارش، و تجزیه و تحلیل هزینه‌های برنامه‌ها و عملیات؛ تدوین، اجرا و تجزیه و تحلیل برنامه‌های مالی؛ و بررسی و تأیید کلیه عملیات مالی و مدیریتی USAF.</w:t>
      </w:r>
    </w:p>
    <w:p>
      <w:pPr>
        <w:spacing w:after="28" w:line="216" w:lineRule="auto"/>
        <w:ind w:left="259"/>
        <w:jc w:val="left"/>
      </w:pPr>
      <w:r>
        <w:rPr>
          <w:rFonts w:ascii="Arial" w:hAnsi="Arial"/>
          <w:color w:val="525252"/>
          <w:sz w:val="13"/>
        </w:rPr>
        <w:t>The financial career field involves receiving, disbursing, and accounting for public funds; appropriation and expense, working capital, and real property accounting, including reporting, and analyzing costs of programs and operations; formulating, executing, and analyzing financial programs; and examining and verifying all USAF financial and management operations.</w:t>
      </w:r>
    </w:p>
    <w:p>
      <w:pPr>
        <w:spacing w:after="20" w:line="223" w:lineRule="auto"/>
        <w:jc w:val="right"/>
        <w:bidi/>
      </w:pPr>
      <w:r>
        <w:rPr>
          <w:rFonts w:ascii="Arial" w:hAnsi="Arial"/>
          <w:sz w:val="16"/>
        </w:rPr>
        <w:t>179.05  وظایف شامل جمع‌آوری، پردازش، ثبت، کنترل، تجزیه و تحلیل و تفسیر گزارش‌های خاص و مکرر، داده‌های آماری و سایر اطلاعات مربوط به پرسنل، آموزش، تأمین، هواپیما، هزینه‌ها، عملیات، تجهیزات، امکانات، تعمیر و نگهداری، سازماندهی، برنامه‌ها، پیشرفت، و موضوعات مرتبط تحت شرایطی از عملیات معمولی درگیری تا عملی می‌شود.</w:t>
      </w:r>
    </w:p>
    <w:p>
      <w:pPr>
        <w:spacing w:after="28" w:line="216" w:lineRule="auto"/>
        <w:ind w:left="259"/>
        <w:jc w:val="left"/>
      </w:pPr>
      <w:r>
        <w:rPr>
          <w:rFonts w:ascii="Arial" w:hAnsi="Arial"/>
          <w:color w:val="525252"/>
          <w:sz w:val="13"/>
        </w:rPr>
        <w:t>Tasks include collecting, processing, recording, controlling, analyzing, and interpreting special and recurring reports, statistical data, and other information pertaining to personnel, training, supply, aircraft, costs, operations, equipment, facilities, maintenance, organization, programs, progress, and related subjects under conditions ranging from normal operations to actual conflict.</w:t>
      </w:r>
    </w:p>
    <w:p>
      <w:pPr>
        <w:spacing w:after="20" w:line="223" w:lineRule="auto"/>
        <w:jc w:val="right"/>
        <w:bidi/>
      </w:pPr>
      <w:r>
        <w:rPr>
          <w:rFonts w:ascii="Arial" w:hAnsi="Arial"/>
          <w:sz w:val="16"/>
        </w:rPr>
        <w:t>179.06  همچنین استفاده از تکنیک‌های پشتیبانی تصمیم مدیریت مالی، انجام تحلیل مقایسه‌ای، و تهیه خلاصه‌های تحلیلی برای استفاده در مدیریت منابع فرماندهی، از جمله پرسنل، مواد، زمان و پول را پوشش می‌دهد.</w:t>
      </w:r>
    </w:p>
    <w:p>
      <w:pPr>
        <w:spacing w:after="28" w:line="216" w:lineRule="auto"/>
        <w:ind w:left="259"/>
        <w:jc w:val="left"/>
      </w:pPr>
      <w:r>
        <w:rPr>
          <w:rFonts w:ascii="Arial" w:hAnsi="Arial"/>
          <w:color w:val="525252"/>
          <w:sz w:val="13"/>
        </w:rPr>
        <w:t>It also covers utilizing financial management decision support techniques, conducting comparative analysis, and preparing analytical summaries for use in managing command resources, including personnel, materiel, time, and money.</w:t>
      </w:r>
    </w:p>
    <w:p>
      <w:pPr>
        <w:spacing w:after="20" w:line="223" w:lineRule="auto"/>
        <w:jc w:val="right"/>
        <w:bidi/>
      </w:pPr>
      <w:r>
        <w:rPr>
          <w:rFonts w:ascii="Arial" w:hAnsi="Arial"/>
          <w:sz w:val="16"/>
        </w:rPr>
        <w:t>179.07  توجه: از این رشته شغلی مستثنی شده است، وظایف مربوط به نگهداری سوابق عرضه و حسابداری برای درخواست، دریافت و صدور تجهیزات و لوازم USAF.</w:t>
      </w:r>
    </w:p>
    <w:p>
      <w:pPr>
        <w:spacing w:after="28" w:line="216" w:lineRule="auto"/>
        <w:ind w:left="259"/>
        <w:jc w:val="left"/>
      </w:pPr>
      <w:r>
        <w:rPr>
          <w:rFonts w:ascii="Arial" w:hAnsi="Arial"/>
          <w:color w:val="525252"/>
          <w:sz w:val="13"/>
        </w:rPr>
        <w:t>Note: Excluded from this career field are the functions involved in maintaining supply records and accounting for requesting, receiving, and issuing USAF equipment and supplies.</w:t>
      </w:r>
    </w:p>
    <w:p>
      <w:pPr>
        <w:spacing w:after="20" w:line="223" w:lineRule="auto"/>
        <w:jc w:val="right"/>
        <w:bidi/>
      </w:pPr>
      <w:r>
        <w:rPr>
          <w:rFonts w:ascii="Arial" w:hAnsi="Arial"/>
          <w:sz w:val="16"/>
        </w:rPr>
        <w:t>179.08  حوزه شغلی تحقیقات ویژه (۷س).</w:t>
      </w:r>
    </w:p>
    <w:p>
      <w:pPr>
        <w:spacing w:after="28" w:line="216" w:lineRule="auto"/>
        <w:ind w:left="259"/>
        <w:jc w:val="left"/>
      </w:pPr>
      <w:r>
        <w:rPr>
          <w:rFonts w:ascii="Arial" w:hAnsi="Arial"/>
          <w:color w:val="525252"/>
          <w:sz w:val="13"/>
        </w:rPr>
        <w:t>Special Investigations Career Field (7S).</w:t>
      </w:r>
    </w:p>
    <w:p>
      <w:pPr>
        <w:spacing w:after="20" w:line="223" w:lineRule="auto"/>
        <w:jc w:val="right"/>
        <w:bidi/>
      </w:pPr>
      <w:r>
        <w:rPr>
          <w:rFonts w:ascii="Arial" w:hAnsi="Arial"/>
          <w:sz w:val="16"/>
        </w:rPr>
        <w:t>179.09  حوزه شغلی تحقیقات ویژه شامل وظایفی است که در انجام جنایات، جنایات اقتصادی، جرایم محیطی، جرایم رایانه‌ای، ضد جاسوسی، مقابله با تهدید، حفاظت از نیرو، و مأموریت تحقیقاتی تناسب پرسنل، و همچنین انجام خدمات فنی و مأموریت تحقیقات ویژه در داخل USAF نقش دارند.</w:t>
      </w:r>
    </w:p>
    <w:p>
      <w:pPr>
        <w:spacing w:after="28" w:line="216" w:lineRule="auto"/>
        <w:ind w:left="259"/>
        <w:jc w:val="left"/>
      </w:pPr>
      <w:r>
        <w:rPr>
          <w:rFonts w:ascii="Arial" w:hAnsi="Arial"/>
          <w:color w:val="525252"/>
          <w:sz w:val="13"/>
        </w:rPr>
        <w:t>The special investigations career field encompasses functions involved in performing the criminal, economic crime, environmental crime, computer crime, counterintelligence, counter threat, force protection, and personnel suitability investigative mission, as well as the conduct of the technical services and special inquiries mission within the USAF.</w:t>
      </w:r>
    </w:p>
    <w:p>
      <w:pPr>
        <w:spacing w:after="20" w:line="223" w:lineRule="auto"/>
        <w:jc w:val="right"/>
        <w:bidi/>
      </w:pPr>
      <w:r>
        <w:rPr>
          <w:rFonts w:ascii="Arial" w:hAnsi="Arial"/>
          <w:sz w:val="16"/>
        </w:rPr>
        <w:t>179.10  شامل انجام تحقیقات در مورد نقض عمده جنایی قانون یکسان عدالت نظامی و سایر قوانین فدرال، ایالتی، محلی و بین المللی است.</w:t>
      </w:r>
    </w:p>
    <w:p>
      <w:pPr>
        <w:spacing w:after="28" w:line="216" w:lineRule="auto"/>
        <w:ind w:left="259"/>
        <w:jc w:val="left"/>
      </w:pPr>
      <w:r>
        <w:rPr>
          <w:rFonts w:ascii="Arial" w:hAnsi="Arial"/>
          <w:color w:val="525252"/>
          <w:sz w:val="13"/>
        </w:rPr>
        <w:t>It includes the conduct of investigations of major criminal violations of the Uniform Code of Military Justice and other federal, state, local, and international laws.</w:t>
      </w:r>
    </w:p>
    <w:p>
      <w:pPr>
        <w:spacing w:after="20" w:line="223" w:lineRule="auto"/>
        <w:jc w:val="right"/>
        <w:bidi/>
      </w:pPr>
      <w:r>
        <w:rPr>
          <w:rFonts w:ascii="Arial" w:hAnsi="Arial"/>
          <w:sz w:val="16"/>
        </w:rPr>
        <w:t>179.11  اینها شامل جرایم جدی علیه افراد، جرایم اقتصادی و کلاهبرداری (با تاکید بر تهیه و دفع اموال دولتی)، جرایم رایانه‌ای (دخالت و هک)، جرایم محیطی، جاسوسی، خرابکاری، تروریسم و ​​براندازی است.</w:t>
      </w:r>
    </w:p>
    <w:p>
      <w:pPr>
        <w:spacing w:after="28" w:line="216" w:lineRule="auto"/>
        <w:ind w:left="259"/>
        <w:jc w:val="left"/>
      </w:pPr>
      <w:r>
        <w:rPr>
          <w:rFonts w:ascii="Arial" w:hAnsi="Arial"/>
          <w:color w:val="525252"/>
          <w:sz w:val="13"/>
        </w:rPr>
        <w:t>These include serious crimes against persons, economic crime, and fraud (with emphasis on the procurement and disposal of government property), computer crime (intrusions and hacking), environmental crime, espionage, sabotage, terrorism, and subversion.</w:t>
      </w:r>
    </w:p>
    <w:p>
      <w:pPr>
        <w:spacing w:after="20" w:line="223" w:lineRule="auto"/>
        <w:jc w:val="right"/>
        <w:bidi/>
      </w:pPr>
      <w:r>
        <w:rPr>
          <w:rFonts w:ascii="Arial" w:hAnsi="Arial"/>
          <w:sz w:val="16"/>
        </w:rPr>
        <w:t>179.12  علاوه بر این، ماموران تحقیقاتی ویژه عملیات خدمات حفاظتی را انجام می‌دهند، آزمایش‌های تشخیص فریب (پلی‌گراف) روانی را انجام می‌دهند، صحنه‌های جرم را پردازش می‌کنند، عملیات‌های مقابله با تهدید خارج از سیم را انجام می‌دهند، و ممکن است از آنها خواسته شود تا موارد دیگری را که به‌عنوان تحقیقات ویژه تلقی می‌شوند، بررسی کنند.</w:t>
      </w:r>
    </w:p>
    <w:p>
      <w:pPr>
        <w:spacing w:after="28" w:line="216" w:lineRule="auto"/>
        <w:ind w:left="259"/>
        <w:jc w:val="left"/>
      </w:pPr>
      <w:r>
        <w:rPr>
          <w:rFonts w:ascii="Arial" w:hAnsi="Arial"/>
          <w:color w:val="525252"/>
          <w:sz w:val="13"/>
        </w:rPr>
        <w:t>Additionally, special investigation agents perform protective service operations, conduct psychophysiological detection of deception (polygraph) examinations, process crime scenes, conduct deployed outside-the-wire counter threat operations, and may be called upon to investigate other matters deemed as special inquiries.</w:t>
      </w:r>
    </w:p>
    <w:p>
      <w:pPr>
        <w:spacing w:after="20" w:line="223" w:lineRule="auto"/>
        <w:jc w:val="right"/>
        <w:bidi/>
      </w:pPr>
      <w:r>
        <w:rPr>
          <w:rFonts w:ascii="Arial" w:hAnsi="Arial"/>
          <w:sz w:val="16"/>
        </w:rPr>
        <w:t>179.13  توجه: از این رشته شغلی، توابع اطلاعات هوایی برای جلوگیری از غافلگیری استراتژیک، تاکتیکی یا تکنولوژیکی و حمایت از برنامه‌ریزی و اجرای عملیات هوایی مستثنی هستند.</w:t>
      </w:r>
    </w:p>
    <w:p>
      <w:pPr>
        <w:spacing w:after="28" w:line="216" w:lineRule="auto"/>
        <w:ind w:left="259"/>
        <w:jc w:val="left"/>
      </w:pPr>
      <w:r>
        <w:rPr>
          <w:rFonts w:ascii="Arial" w:hAnsi="Arial"/>
          <w:color w:val="525252"/>
          <w:sz w:val="13"/>
        </w:rPr>
        <w:t>Note: Excluded from this career field are functions of air intelligence to prevent strategic, tactical, or technological surprise and to support planning and conducting air operations.</w:t>
      </w:r>
    </w:p>
    <w:p>
      <w:pPr>
        <w:spacing w:after="20" w:line="223" w:lineRule="auto"/>
        <w:jc w:val="right"/>
        <w:bidi/>
      </w:pPr>
      <w:r>
        <w:rPr>
          <w:rFonts w:ascii="Arial" w:hAnsi="Arial"/>
          <w:sz w:val="16"/>
        </w:rPr>
        <w:t>179.14  این توابع در رستهٔ شغلی هوش گنجانده شده است.</w:t>
      </w:r>
    </w:p>
    <w:p>
      <w:pPr>
        <w:spacing w:after="28" w:line="216" w:lineRule="auto"/>
        <w:ind w:left="259"/>
        <w:jc w:val="left"/>
      </w:pPr>
      <w:r>
        <w:rPr>
          <w:rFonts w:ascii="Arial" w:hAnsi="Arial"/>
          <w:color w:val="525252"/>
          <w:sz w:val="13"/>
        </w:rPr>
        <w:t>These functions are included in the intelligence career field.</w:t>
      </w:r>
    </w:p>
    <w:p>
      <w:pPr>
        <w:spacing w:before="60" w:after="28"/>
        <w:jc w:val="right"/>
        <w:bidi/>
      </w:pPr>
      <w:r>
        <w:rPr>
          <w:b/>
          <w:color w:val="1F4D78"/>
          <w:sz w:val="18"/>
        </w:rPr>
        <w:t>10.13. مدیریت قدرت گارد ملی هوایی (ANG).</w:t>
      </w:r>
    </w:p>
    <w:p>
      <w:pPr>
        <w:spacing w:after="20"/>
        <w:ind w:left="259"/>
        <w:jc w:val="left"/>
      </w:pPr>
      <w:r>
        <w:rPr>
          <w:color w:val="555555"/>
          <w:sz w:val="12"/>
        </w:rPr>
        <w:t>10.13. Air National Guard (ANG) Strength Management</w:t>
      </w:r>
    </w:p>
    <w:p>
      <w:pPr>
        <w:spacing w:after="20" w:line="223" w:lineRule="auto"/>
        <w:jc w:val="right"/>
        <w:bidi/>
      </w:pPr>
      <w:r>
        <w:rPr>
          <w:rFonts w:ascii="Arial" w:hAnsi="Arial"/>
          <w:sz w:val="16"/>
        </w:rPr>
        <w:t>179.16  مدیریت قدرت ANG برنامه‌هایی را برای جذب و حفظ پرسنل کافی برای برآوردن نیازهای ANG سازماندهی و اجرا می‌کند.</w:t>
      </w:r>
    </w:p>
    <w:p>
      <w:pPr>
        <w:spacing w:after="28" w:line="216" w:lineRule="auto"/>
        <w:ind w:left="259"/>
        <w:jc w:val="left"/>
      </w:pPr>
      <w:r>
        <w:rPr>
          <w:rFonts w:ascii="Arial" w:hAnsi="Arial"/>
          <w:color w:val="525252"/>
          <w:sz w:val="13"/>
        </w:rPr>
        <w:t>ANG strength management organizes and conducts programs to recruit and retain sufficient personnel to satisfy the requirements of the ANG.</w:t>
      </w:r>
    </w:p>
    <w:p>
      <w:pPr>
        <w:spacing w:after="20" w:line="223" w:lineRule="auto"/>
        <w:jc w:val="right"/>
        <w:bidi/>
      </w:pPr>
      <w:r>
        <w:rPr>
          <w:rFonts w:ascii="Arial" w:hAnsi="Arial"/>
          <w:sz w:val="16"/>
        </w:rPr>
        <w:t>179.17  مسئولیت‌های تحت پوشش در این بخش برای رگاف یا ذخیره نیروی هوایی قابل اعمال نیست.</w:t>
      </w:r>
    </w:p>
    <w:p>
      <w:pPr>
        <w:spacing w:after="28" w:line="216" w:lineRule="auto"/>
        <w:ind w:left="259"/>
        <w:jc w:val="left"/>
      </w:pPr>
      <w:r>
        <w:rPr>
          <w:rFonts w:ascii="Arial" w:hAnsi="Arial"/>
          <w:color w:val="525252"/>
          <w:sz w:val="13"/>
        </w:rPr>
        <w:t>Responsibilities covered in this section are not applicable to the RegAF or Air Force Reserve.</w:t>
      </w:r>
    </w:p>
    <w:p>
      <w:pPr>
        <w:spacing w:after="20" w:line="223" w:lineRule="auto"/>
        <w:jc w:val="right"/>
        <w:bidi/>
      </w:pPr>
      <w:r>
        <w:rPr>
          <w:rFonts w:ascii="Arial" w:hAnsi="Arial"/>
          <w:sz w:val="16"/>
        </w:rPr>
        <w:t>179.18  نگهدارنده استخدام کننده تولید.</w:t>
      </w:r>
    </w:p>
    <w:p>
      <w:pPr>
        <w:spacing w:after="28" w:line="216" w:lineRule="auto"/>
        <w:ind w:left="259"/>
        <w:jc w:val="left"/>
      </w:pPr>
      <w:r>
        <w:rPr>
          <w:rFonts w:ascii="Arial" w:hAnsi="Arial"/>
          <w:color w:val="525252"/>
          <w:sz w:val="13"/>
        </w:rPr>
        <w:t>Production Recruiter Retainer.</w:t>
      </w:r>
    </w:p>
    <w:p>
      <w:pPr>
        <w:spacing w:after="20" w:line="223" w:lineRule="auto"/>
        <w:jc w:val="right"/>
        <w:bidi/>
      </w:pPr>
      <w:r>
        <w:rPr>
          <w:rFonts w:ascii="Arial" w:hAnsi="Arial"/>
          <w:sz w:val="16"/>
        </w:rPr>
        <w:t>179.19  نگهدارنده استخدام کننده تولید (PRR) برنامه‌های جذب و حفظ ANG را تحت ساختار تیم مدیریت قدرت انجام می‌دهد.</w:t>
      </w:r>
    </w:p>
    <w:p>
      <w:pPr>
        <w:spacing w:after="28" w:line="216" w:lineRule="auto"/>
        <w:ind w:left="259"/>
        <w:jc w:val="left"/>
      </w:pPr>
      <w:r>
        <w:rPr>
          <w:rFonts w:ascii="Arial" w:hAnsi="Arial"/>
          <w:color w:val="525252"/>
          <w:sz w:val="13"/>
        </w:rPr>
        <w:t>The production recruiter retainer (PRR) conducts ANG recruiting and retention programs under the strength management team structure.</w:t>
      </w:r>
    </w:p>
    <w:p>
      <w:pPr>
        <w:spacing w:after="20" w:line="223" w:lineRule="auto"/>
        <w:jc w:val="right"/>
        <w:bidi/>
      </w:pPr>
      <w:r>
        <w:rPr>
          <w:rFonts w:ascii="Arial" w:hAnsi="Arial"/>
          <w:sz w:val="16"/>
        </w:rPr>
        <w:t>179.20  PRRها برنامه‌هایی را برای استخدام/انتصاب و حفظ پرسنل با کیفیت برای برآوردن نیازهای قدرت بال و ایالت سازماندهی و اجرا می‌کنند.</w:t>
      </w:r>
    </w:p>
    <w:p>
      <w:pPr>
        <w:spacing w:after="28" w:line="216" w:lineRule="auto"/>
        <w:ind w:left="259"/>
        <w:jc w:val="left"/>
      </w:pPr>
      <w:r>
        <w:rPr>
          <w:rFonts w:ascii="Arial" w:hAnsi="Arial"/>
          <w:color w:val="525252"/>
          <w:sz w:val="13"/>
        </w:rPr>
        <w:t>PRRs organize and execute programs to enlist/appoint and retain quality personnel to satisfy strength requirements of the wing and state.</w:t>
      </w:r>
    </w:p>
    <w:p>
      <w:pPr>
        <w:spacing w:after="20" w:line="223" w:lineRule="auto"/>
        <w:jc w:val="right"/>
        <w:bidi/>
      </w:pPr>
      <w:r>
        <w:rPr>
          <w:rFonts w:ascii="Arial" w:hAnsi="Arial"/>
          <w:sz w:val="16"/>
        </w:rPr>
        <w:t>179.21  PRR فاکتورهای واجد شرایط بودن را بررسی می‌کند و به متقاضیان برای استخدام مستقیم در واحدهای ANG مشاوره می‌دهد.</w:t>
      </w:r>
    </w:p>
    <w:p>
      <w:pPr>
        <w:spacing w:after="28" w:line="216" w:lineRule="auto"/>
        <w:ind w:left="259"/>
        <w:jc w:val="left"/>
      </w:pPr>
      <w:r>
        <w:rPr>
          <w:rFonts w:ascii="Arial" w:hAnsi="Arial"/>
          <w:color w:val="525252"/>
          <w:sz w:val="13"/>
        </w:rPr>
        <w:t>PRRs review eligibility factors and counsel applicants for direct job placement into ANG units.</w:t>
      </w:r>
    </w:p>
    <w:p>
      <w:pPr>
        <w:spacing w:after="20" w:line="223" w:lineRule="auto"/>
        <w:jc w:val="right"/>
        <w:bidi/>
      </w:pPr>
      <w:r>
        <w:rPr>
          <w:rFonts w:ascii="Arial" w:hAnsi="Arial"/>
          <w:sz w:val="16"/>
        </w:rPr>
        <w:t>179.22  آنها مسئول مصاحبه، غربالگری، آزمایش، و ارزیابی متقاضیان از همه منابع برای دستیابی به اهداف استخدام و توسعه منابع اطلاعاتی منطقه استخدام اختصاص داده شده در ایمن سازی نام افراد بالقوه بالقوه هستند.</w:t>
      </w:r>
    </w:p>
    <w:p>
      <w:pPr>
        <w:spacing w:after="28" w:line="216" w:lineRule="auto"/>
        <w:ind w:left="259"/>
        <w:jc w:val="left"/>
      </w:pPr>
      <w:r>
        <w:rPr>
          <w:rFonts w:ascii="Arial" w:hAnsi="Arial"/>
          <w:color w:val="525252"/>
          <w:sz w:val="13"/>
        </w:rPr>
        <w:t>They are responsible for interviewing, screening, testing, and evaluating applicants from all sources to achieve recruiting goals and developing assigned recruiting zone information sources in securing names of potential enlistment prospects.</w:t>
      </w:r>
    </w:p>
    <w:p>
      <w:pPr>
        <w:spacing w:after="20" w:line="223" w:lineRule="auto"/>
        <w:jc w:val="right"/>
        <w:bidi/>
      </w:pPr>
      <w:r>
        <w:rPr>
          <w:rFonts w:ascii="Arial" w:hAnsi="Arial"/>
          <w:sz w:val="16"/>
        </w:rPr>
        <w:t>179.23  PRRها به به‌روز رسانی گزارش‌های جای خالی واحد کمک می‌کنند و در عین حال با استخدام‌کنندگان ضمن خدمت برای به حداکثر رساندن برنامه‌های تعقیب و گریز قصر رگاف، ارائه به دانش‌آموزان، حفظ سوابق و تهیه پرونده‌های مربوط به نام نویسی در مورد سربازان ANG کمک می‌کنند.</w:t>
      </w:r>
    </w:p>
    <w:p>
      <w:pPr>
        <w:spacing w:after="28" w:line="216" w:lineRule="auto"/>
        <w:ind w:left="259"/>
        <w:jc w:val="left"/>
      </w:pPr>
      <w:r>
        <w:rPr>
          <w:rFonts w:ascii="Arial" w:hAnsi="Arial"/>
          <w:color w:val="525252"/>
          <w:sz w:val="13"/>
        </w:rPr>
        <w:t>PRRs assist with updating unit vacancy reports while coordinating with in-service recruiters to maximize RegAF Palace Front/Palace Chase Programs, make presentations to students, maintain records, and prepare enlistment case files on ANG enlistees.</w:t>
      </w:r>
    </w:p>
    <w:p>
      <w:pPr>
        <w:spacing w:after="20" w:line="223" w:lineRule="auto"/>
        <w:jc w:val="right"/>
        <w:bidi/>
      </w:pPr>
      <w:r>
        <w:rPr>
          <w:rFonts w:ascii="Arial" w:hAnsi="Arial"/>
          <w:sz w:val="16"/>
        </w:rPr>
        <w:t>179.24  PRR به افراد علاقه مند در مورد تعهدات نظامی، ساختار شغلی هوانوردی، فرصت‌های آموزشی و آموزشی و سایر نظامیان اطلاع می‌دهد.</w:t>
      </w:r>
    </w:p>
    <w:p>
      <w:pPr>
        <w:spacing w:after="28" w:line="216" w:lineRule="auto"/>
        <w:ind w:left="259"/>
        <w:jc w:val="left"/>
      </w:pPr>
      <w:r>
        <w:rPr>
          <w:rFonts w:ascii="Arial" w:hAnsi="Arial"/>
          <w:color w:val="525252"/>
          <w:sz w:val="13"/>
        </w:rPr>
        <w:t>PRRs inform interested persons of military obligations, Airman career structure, education and training opportunities, and other military</w:t>
      </w:r>
    </w:p>
    <w:p>
      <w:r>
        <w:br w:type="page"/>
      </w:r>
    </w:p>
    <w:p>
      <w:pPr>
        <w:spacing w:after="60"/>
        <w:jc w:val="right"/>
        <w:bidi/>
      </w:pPr>
      <w:r>
        <w:rPr>
          <w:rFonts w:ascii="Arial" w:hAnsi="Arial"/>
          <w:b/>
          <w:color w:val="1F4D78"/>
          <w:sz w:val="19"/>
        </w:rPr>
        <w:t>هفتهٔ 180  |  صفحهٔ منبع: 196</w:t>
      </w:r>
    </w:p>
    <w:p>
      <w:pPr>
        <w:spacing w:after="20" w:line="223" w:lineRule="auto"/>
        <w:jc w:val="right"/>
        <w:bidi/>
      </w:pPr>
      <w:r>
        <w:rPr>
          <w:rFonts w:ascii="Arial" w:hAnsi="Arial"/>
          <w:sz w:val="16"/>
        </w:rPr>
        <w:t>180.01  مزایا و حقوق.</w:t>
      </w:r>
    </w:p>
    <w:p>
      <w:pPr>
        <w:spacing w:after="28" w:line="216" w:lineRule="auto"/>
        <w:ind w:left="259"/>
        <w:jc w:val="left"/>
      </w:pPr>
      <w:r>
        <w:rPr>
          <w:rFonts w:ascii="Arial" w:hAnsi="Arial"/>
          <w:color w:val="525252"/>
          <w:sz w:val="13"/>
        </w:rPr>
        <w:t>benefits and entitlements.</w:t>
      </w:r>
    </w:p>
    <w:p>
      <w:pPr>
        <w:spacing w:after="20" w:line="223" w:lineRule="auto"/>
        <w:jc w:val="right"/>
        <w:bidi/>
      </w:pPr>
      <w:r>
        <w:rPr>
          <w:rFonts w:ascii="Arial" w:hAnsi="Arial"/>
          <w:sz w:val="16"/>
        </w:rPr>
        <w:t>180.02  PRRها برنامه‌های راهبردی را برای منطقه اختصاص‌یافته مطابق با دستورالعمل‌های اداره گارد ملی (NGB) آغاز می‌کنند و به‌طور دوره‌ای برای اجرای مؤثرتر بررسی می‌کنند. کمک به مدیر جذب و نگهداری؛ فعالانه با اعضای واحد کار کنید تا اطمینان حاصل شود که تلاش‌های حفظ به درستی اجرا می‌شوند. اجرای برنامه‌های تبلیغاتی برای مناطق استخدامی اختصاص یافته؛ و برنامه‌ریزی و هماهنگی پروژه‌های تبلیغاتی فروش با استفاده از رسانه‌های موجود شامل ارائه مطبوعات، رادیو و تلویزیون.</w:t>
      </w:r>
    </w:p>
    <w:p>
      <w:pPr>
        <w:spacing w:after="28" w:line="216" w:lineRule="auto"/>
        <w:ind w:left="259"/>
        <w:jc w:val="left"/>
      </w:pPr>
      <w:r>
        <w:rPr>
          <w:rFonts w:ascii="Arial" w:hAnsi="Arial"/>
          <w:color w:val="525252"/>
          <w:sz w:val="13"/>
        </w:rPr>
        <w:t>PRRs initiate strategic plans for assigned zone in accordance with National Guard Bureau (NGB) guidance and periodically review for most effective implementation; assist the recruiting and retention manager; proactively work with unit members to ensure retention efforts are properly executed; implement publicity programs for assigned recruiting zones; and plan and coordinate sales promotional projects using available media to include press, radio, and television presentations.</w:t>
      </w:r>
    </w:p>
    <w:p>
      <w:pPr>
        <w:spacing w:after="20" w:line="223" w:lineRule="auto"/>
        <w:jc w:val="right"/>
        <w:bidi/>
      </w:pPr>
      <w:r>
        <w:rPr>
          <w:rFonts w:ascii="Arial" w:hAnsi="Arial"/>
          <w:sz w:val="16"/>
        </w:rPr>
        <w:t>180.03  PRR ها جهت گیری‌های ANG را به سازمان‌های مدنی، اجتماعی، آموزشی و دانشجویی ارائه می‌کنند. توزیع مطالب تبلیغاتی و تبلیغی در مکان هایی که افراد در سن نظامی تردد می‌کنند. ارائه و توضیح ادبیات برای افراد در سن نظامی برای تحریک علاقه به ANG. و اجرای برنامه‌های روابط اجتماعی برای مناطق استخدامی تعیین شده.</w:t>
      </w:r>
    </w:p>
    <w:p>
      <w:pPr>
        <w:spacing w:after="28" w:line="216" w:lineRule="auto"/>
        <w:ind w:left="259"/>
        <w:jc w:val="left"/>
      </w:pPr>
      <w:r>
        <w:rPr>
          <w:rFonts w:ascii="Arial" w:hAnsi="Arial"/>
          <w:color w:val="525252"/>
          <w:sz w:val="13"/>
        </w:rPr>
        <w:t>PRRs present ANG orientations to civic, social, educational, and student organizations; distribute advertising and publicity materials to places frequented by persons of military age; provide and explain literature to persons of military age to stimulate interest in the ANG; and conduct community relations programs for assigned recruiting zones.</w:t>
      </w:r>
    </w:p>
    <w:p>
      <w:pPr>
        <w:spacing w:after="20" w:line="223" w:lineRule="auto"/>
        <w:jc w:val="right"/>
        <w:bidi/>
      </w:pPr>
      <w:r>
        <w:rPr>
          <w:rFonts w:ascii="Arial" w:hAnsi="Arial"/>
          <w:sz w:val="16"/>
        </w:rPr>
        <w:t>180.04  PRRها رویدادهای مرکز نفوذ را مطابق با راهنمایی NGB هماهنگ می‌کنند و در رویدادهای ویژه، مانند مراسم دولتی و شهرداری، نمایشگاه‌ها، نمایشگاه‌ها، رژه‌ها و رویدادهای ورزشی کمک می‌کنند و در آن شرکت می‌کنند.</w:t>
      </w:r>
    </w:p>
    <w:p>
      <w:pPr>
        <w:spacing w:after="28" w:line="216" w:lineRule="auto"/>
        <w:ind w:left="259"/>
        <w:jc w:val="left"/>
      </w:pPr>
      <w:r>
        <w:rPr>
          <w:rFonts w:ascii="Arial" w:hAnsi="Arial"/>
          <w:color w:val="525252"/>
          <w:sz w:val="13"/>
        </w:rPr>
        <w:t>PRRs coordinate center of influence events in accordance with NGB guidance and assist and participate in special events, such as state and municipal ceremonies, exhibits, fairs, parades, and sporting events.</w:t>
      </w:r>
    </w:p>
    <w:p>
      <w:pPr>
        <w:spacing w:after="20" w:line="223" w:lineRule="auto"/>
        <w:jc w:val="right"/>
        <w:bidi/>
      </w:pPr>
      <w:r>
        <w:rPr>
          <w:rFonts w:ascii="Arial" w:hAnsi="Arial"/>
          <w:sz w:val="16"/>
        </w:rPr>
        <w:t>180.05  PRRها برای گروه‌ها در تورهای تاسیسات ANG برنامه‌ریزی می‌کنند و آنها را همراهی می‌کنند و با مقامات دبیرستان، کالج، کسب‌وکار و صنعت ارتباط برقرار کرده و حفظ می‌کنند تا اعتبار ANG را در جامعه افزایش دهند.</w:t>
      </w:r>
    </w:p>
    <w:p>
      <w:pPr>
        <w:spacing w:after="28" w:line="216" w:lineRule="auto"/>
        <w:ind w:left="259"/>
        <w:jc w:val="left"/>
      </w:pPr>
      <w:r>
        <w:rPr>
          <w:rFonts w:ascii="Arial" w:hAnsi="Arial"/>
          <w:color w:val="525252"/>
          <w:sz w:val="13"/>
        </w:rPr>
        <w:t>PRRs plan for and accompany groups on tours of ANG installations and establish and maintain contact with high school, college, business, and industry officials to enhance the prestige of the ANG in the community.</w:t>
      </w:r>
    </w:p>
    <w:p>
      <w:pPr>
        <w:spacing w:after="20" w:line="223" w:lineRule="auto"/>
        <w:jc w:val="right"/>
        <w:bidi/>
      </w:pPr>
      <w:r>
        <w:rPr>
          <w:rFonts w:ascii="Arial" w:hAnsi="Arial"/>
          <w:sz w:val="16"/>
        </w:rPr>
        <w:t>180.06  استخدام مدیر حفظ (RRM).</w:t>
      </w:r>
    </w:p>
    <w:p>
      <w:pPr>
        <w:spacing w:after="28" w:line="216" w:lineRule="auto"/>
        <w:ind w:left="259"/>
        <w:jc w:val="left"/>
      </w:pPr>
      <w:r>
        <w:rPr>
          <w:rFonts w:ascii="Arial" w:hAnsi="Arial"/>
          <w:color w:val="525252"/>
          <w:sz w:val="13"/>
        </w:rPr>
        <w:t>Recruiting Retention Manager (RRM).</w:t>
      </w:r>
    </w:p>
    <w:p>
      <w:pPr>
        <w:spacing w:after="20" w:line="223" w:lineRule="auto"/>
        <w:jc w:val="right"/>
        <w:bidi/>
      </w:pPr>
      <w:r>
        <w:rPr>
          <w:rFonts w:ascii="Arial" w:hAnsi="Arial"/>
          <w:sz w:val="16"/>
        </w:rPr>
        <w:t>180.07  مدیر حفظ استخدام (RRM) برنامه‌های سالانه استخدام واحد را توسعه می‌دهد تا اهداف و مقاصد، فعالیت‌های استخدام، طرح‌های تبلیغاتی و برنامه‌ریزی مالی را تحت ساختار تیم مدیریت قدرت به ازای راهنمایی NGB در بر گیرد.</w:t>
      </w:r>
    </w:p>
    <w:p>
      <w:pPr>
        <w:spacing w:after="28" w:line="216" w:lineRule="auto"/>
        <w:ind w:left="259"/>
        <w:jc w:val="left"/>
      </w:pPr>
      <w:r>
        <w:rPr>
          <w:rFonts w:ascii="Arial" w:hAnsi="Arial"/>
          <w:color w:val="525252"/>
          <w:sz w:val="13"/>
        </w:rPr>
        <w:t>The recruiting retention manager (RRM) develops annual unit recruiting plans, to include goals and objectives, recruiting activities, advertising initiatives, and financial planning under the strength management team structure per NGB guidance.</w:t>
      </w:r>
    </w:p>
    <w:p>
      <w:pPr>
        <w:spacing w:after="20" w:line="223" w:lineRule="auto"/>
        <w:jc w:val="right"/>
        <w:bidi/>
      </w:pPr>
      <w:r>
        <w:rPr>
          <w:rFonts w:ascii="Arial" w:hAnsi="Arial"/>
          <w:sz w:val="16"/>
        </w:rPr>
        <w:t>180.08  RRMها به‌عنوان مربی اولیه استخدام و حفظ در محل کار برای PRR ها عمل می‌کنند. حفظ سوابق آموزشی، انجام آموزش برای همه PRR های اختصاص داده شده؛ نظارت بر همه PRR های بال. و مربی PRRها را به آنها اختصاص داد.</w:t>
      </w:r>
    </w:p>
    <w:p>
      <w:pPr>
        <w:spacing w:after="28" w:line="216" w:lineRule="auto"/>
        <w:ind w:left="259"/>
        <w:jc w:val="left"/>
      </w:pPr>
      <w:r>
        <w:rPr>
          <w:rFonts w:ascii="Arial" w:hAnsi="Arial"/>
          <w:color w:val="525252"/>
          <w:sz w:val="13"/>
        </w:rPr>
        <w:t>RRMs serve as the primary recruiting and retention on-the-job trainer for PRRs; maintain training records, conduct training for all assigned PRRs; supervise all wing PRRs; and coach assigned PRRs.</w:t>
      </w:r>
    </w:p>
    <w:p>
      <w:pPr>
        <w:spacing w:after="20" w:line="223" w:lineRule="auto"/>
        <w:jc w:val="right"/>
        <w:bidi/>
      </w:pPr>
      <w:r>
        <w:rPr>
          <w:rFonts w:ascii="Arial" w:hAnsi="Arial"/>
          <w:sz w:val="16"/>
        </w:rPr>
        <w:t>180.09  RRMها همه اقدامات فرآیند الحاق PRR را از نظر دقت بررسی می‌کنند، اطمینان حاصل می‌کنند که PRRها نحوه بررسی صحیح فاکتورهای واجد شرایط بودن متقاضی را درک می‌کنند و بر پردازش متقاضی نظارت می‌کنند تا از قرار دادن مناسب متقاضیان خدمات قبلی و غیرقبلی در بال/واحد اطمینان حاصل کنند.</w:t>
      </w:r>
    </w:p>
    <w:p>
      <w:pPr>
        <w:spacing w:after="28" w:line="216" w:lineRule="auto"/>
        <w:ind w:left="259"/>
        <w:jc w:val="left"/>
      </w:pPr>
      <w:r>
        <w:rPr>
          <w:rFonts w:ascii="Arial" w:hAnsi="Arial"/>
          <w:color w:val="525252"/>
          <w:sz w:val="13"/>
        </w:rPr>
        <w:t>RRMs review all PRR accession process actions for accuracy, ensure PRRs understand how to properly review applicant eligibility factors, and oversee applicant processing to ensure proper placement of prior and non- prior service applicants into the wing/unit.</w:t>
      </w:r>
    </w:p>
    <w:p>
      <w:pPr>
        <w:spacing w:after="20" w:line="223" w:lineRule="auto"/>
        <w:jc w:val="right"/>
        <w:bidi/>
      </w:pPr>
      <w:r>
        <w:rPr>
          <w:rFonts w:ascii="Arial" w:hAnsi="Arial"/>
          <w:sz w:val="16"/>
        </w:rPr>
        <w:t>180.10  RRMها به سرپرستان استخدام و نگهداری ایالتی (RRS) در ایجاد استانداردهای تولید محلی استخدام و نگهداری بر اساس الزامات قدرت واحد کمک می‌کنند.</w:t>
      </w:r>
    </w:p>
    <w:p>
      <w:pPr>
        <w:spacing w:after="28" w:line="216" w:lineRule="auto"/>
        <w:ind w:left="259"/>
        <w:jc w:val="left"/>
      </w:pPr>
      <w:r>
        <w:rPr>
          <w:rFonts w:ascii="Arial" w:hAnsi="Arial"/>
          <w:color w:val="525252"/>
          <w:sz w:val="13"/>
        </w:rPr>
        <w:t>RRMs assist state recruiting and retention superintendents (RRS) in establishing local recruiting and retention production standards based on unit strength requirements.</w:t>
      </w:r>
    </w:p>
    <w:p>
      <w:pPr>
        <w:spacing w:after="20" w:line="223" w:lineRule="auto"/>
        <w:jc w:val="right"/>
        <w:bidi/>
      </w:pPr>
      <w:r>
        <w:rPr>
          <w:rFonts w:ascii="Arial" w:hAnsi="Arial"/>
          <w:sz w:val="16"/>
        </w:rPr>
        <w:t>180.11  RRMها به‌عنوان مشاور منبع اصلی یا جایگزین برای وجوه عملیات و تعمیر و نگهداری عمل می‌کنند و ورودی را برای اجرای بودجه برنامه تبلیغات محلی ارائه می‌کنند. اطمینان حاصل شود که سیستم پشتیبانی اطلاعات استخدام‌کنندگان نیروی هوایی- کل نیروی (AFRISS-TF)، مرکز داده نیروی انسانی دفاعی (DMDC) و سیستم داده‌های پرسنل نظامی (میلپدس) با تمام قابلیت‌های خود توسط همه پرسنل استخدام و نگهداری استفاده می‌شوند. مدیریت اداره اداری به‌عنوان نقطه تماس برای تمام فعالیت‌های استخدام و نگهداری بال؛ هماهنگی ماهانه با RRMهای همکار و نظارت بر اسناد نیروی انسانی واحد برای شناسایی موقعیت‌های خالی فعلی و پیش بینی شده. ارائه آمار و تجزیه و تحلیل‌های مربوط به استخدام و نگهداری به فرمانده بال به صورت ماهانه یا فصلی (در صورت لزوم) با هماهنگی RRS؛ RRS را از مسائل و نگرانی‌های مربوط به استخدام و مدیریت نیروی پرسنل مطلع کنید و همه مسائلی را که نیاز به مشارکت NGB دارند از طریق RRS هدایت کنید. ایجاد مناطق استخدام برای PRRها برای اهداف پاسخگویی و ردیابی بر اساس راهنمایی NGB. اطمینان حاصل شود که اهداف استخدام و حفظ RRS و NGB ایالتی برآورده می‌شوند. اختصاص اهداف تولید به PRR ها؛ و اطمینان حاصل شود که تلاش‌های استخدام منعکس کننده ابتکارات NGB است.</w:t>
      </w:r>
    </w:p>
    <w:p>
      <w:pPr>
        <w:spacing w:after="28" w:line="216" w:lineRule="auto"/>
        <w:ind w:left="259"/>
        <w:jc w:val="left"/>
      </w:pPr>
      <w:r>
        <w:rPr>
          <w:rFonts w:ascii="Arial" w:hAnsi="Arial"/>
          <w:color w:val="525252"/>
          <w:sz w:val="13"/>
        </w:rPr>
        <w:t>RRMs serve as the primary or alternate resource advisor for the operations and maintenance wing funds and provide input for execution of local advertising program funds; ensure Air Force Recruiter Information Support System-Total Force (AFRISS-TF), Defense Manpower Data Center (DMDC), and Military Personnel Data System (MilPDS) are utilized to their full capabilities by all recruiting and retention personnel; manage office administration as the point of contact for all wing recruiting and retention activities; coordinate monthly with co-located RRMs and the unit manpower document monitor to identify current and projected vacancies; provide recruiting and retention statistics and analyses to the wing commander monthly or quarterly (as appropriate) in coordination with the RRS; inform RRS of recruiting and personnel force management issues and concerns and route all issues requiring NGB involvement through the RRS; establish recruiting zones for PRRs for accountability purposes and tracking per NGB guidance; ensure state RRS and NGB recruiting and retention goals are met; assign production goals to PRRs; and ensure recruiting efforts reflect NGB initiatives.</w:t>
      </w:r>
    </w:p>
    <w:p>
      <w:pPr>
        <w:spacing w:after="20" w:line="223" w:lineRule="auto"/>
        <w:jc w:val="right"/>
        <w:bidi/>
      </w:pPr>
      <w:r>
        <w:rPr>
          <w:rFonts w:ascii="Arial" w:hAnsi="Arial"/>
          <w:sz w:val="16"/>
        </w:rPr>
        <w:t>180.12  RRMها در صورت لزوم مسئول ورودی‌ها و به‌روزرسانی‌های وب‌سایت مدیریت استخدام و نگهداری هستند. با استفاده از پشتیبانی تبلیغاتی استخدام محلی، برنامه‌های تبلیغاتی آگاهی محلی را با استفاده از رسانه‌ها مانند پست مستقیم، مطبوعات، رادیو، و ارائه‌های تلویزیونی توسعه دهید. مدیریت رویدادهای مرکز نفوذ مطابق با راهنمایی NGB؛ ارائه پشتیبانی بازاریابی به استخدام کنندگان تعیین شده؛ و توسعه منابع اطلاعات بازاریابی.</w:t>
      </w:r>
    </w:p>
    <w:p>
      <w:pPr>
        <w:spacing w:after="28" w:line="216" w:lineRule="auto"/>
        <w:ind w:left="259"/>
        <w:jc w:val="left"/>
      </w:pPr>
      <w:r>
        <w:rPr>
          <w:rFonts w:ascii="Arial" w:hAnsi="Arial"/>
          <w:color w:val="525252"/>
          <w:sz w:val="13"/>
        </w:rPr>
        <w:t>RRMs are responsible for inputs and updates to the recruiting and retention admin website, as required; utilizing local recruiting advertising support, develop local awareness publicity programs using media, such as direct mail, press, radio, and television presentations; managing center of influence events in accordance with NGB guidance; providing marketing support to assigned recruiters; and developing marketing information sources.</w:t>
      </w:r>
    </w:p>
    <w:p>
      <w:pPr>
        <w:spacing w:after="20" w:line="223" w:lineRule="auto"/>
        <w:jc w:val="right"/>
        <w:bidi/>
      </w:pPr>
      <w:r>
        <w:rPr>
          <w:rFonts w:ascii="Arial" w:hAnsi="Arial"/>
          <w:sz w:val="16"/>
        </w:rPr>
        <w:t>180.13  RRM ها آموزش بازاریابی استخدام کننده را برنامه‌ریزی و اجرا می‌کنند. انجام آموزش و ارزیابی ارائه‌های شفاهی و فیلمی PRR ها. به‌عنوان رابط بین فرماندهان واحدها و مقامات نظامی دولتی خدمت می‌کند. و به RRS ایالتی در مدیریت و اجرای بودجه دولتی پشتیبانی تبلیغات استخدامی محلی کمک کند.</w:t>
      </w:r>
    </w:p>
    <w:p>
      <w:pPr>
        <w:spacing w:after="28" w:line="216" w:lineRule="auto"/>
        <w:ind w:left="259"/>
        <w:jc w:val="left"/>
      </w:pPr>
      <w:r>
        <w:rPr>
          <w:rFonts w:ascii="Arial" w:hAnsi="Arial"/>
          <w:color w:val="525252"/>
          <w:sz w:val="13"/>
        </w:rPr>
        <w:t>RRMs plan and conduct recruiter marketing training; conduct training and evaluate PRRs oral and film presentations; serve as the liaison between unit commanders and state military officials; and assist the state RRS in the management and implementation of the local recruiting advertising support state budget.</w:t>
      </w:r>
    </w:p>
    <w:p>
      <w:pPr>
        <w:spacing w:after="20" w:line="223" w:lineRule="auto"/>
        <w:jc w:val="right"/>
        <w:bidi/>
      </w:pPr>
      <w:r>
        <w:rPr>
          <w:rFonts w:ascii="Arial" w:hAnsi="Arial"/>
          <w:sz w:val="16"/>
        </w:rPr>
        <w:t>180.14  استخدام سرپرست نگهداری (RRS).</w:t>
      </w:r>
    </w:p>
    <w:p>
      <w:pPr>
        <w:spacing w:after="28" w:line="216" w:lineRule="auto"/>
        <w:ind w:left="259"/>
        <w:jc w:val="left"/>
      </w:pPr>
      <w:r>
        <w:rPr>
          <w:rFonts w:ascii="Arial" w:hAnsi="Arial"/>
          <w:color w:val="525252"/>
          <w:sz w:val="13"/>
        </w:rPr>
        <w:t>Recruiting Retention Superintendent (RRS).</w:t>
      </w:r>
    </w:p>
    <w:p>
      <w:pPr>
        <w:spacing w:after="20" w:line="223" w:lineRule="auto"/>
        <w:jc w:val="right"/>
        <w:bidi/>
      </w:pPr>
      <w:r>
        <w:rPr>
          <w:rFonts w:ascii="Arial" w:hAnsi="Arial"/>
          <w:sz w:val="16"/>
        </w:rPr>
        <w:t>180.15  سرپرست حفظ استخدام (RRS) مسئول نظارت مدیریتی بر تمام برنامه‌های تیم مدیریت قدرت حفظ و استخدام ANG ایالتی است. به‌کارکنان فرماندهی ایالتی در مورد همه مسائل مربوط به استخدام و نگهداری مشاوره می‌دهد، فراهم می‌کند</w:t>
      </w:r>
    </w:p>
    <w:p>
      <w:pPr>
        <w:spacing w:after="28" w:line="216" w:lineRule="auto"/>
        <w:ind w:left="259"/>
        <w:jc w:val="left"/>
      </w:pPr>
      <w:r>
        <w:rPr>
          <w:rFonts w:ascii="Arial" w:hAnsi="Arial"/>
          <w:color w:val="525252"/>
          <w:sz w:val="13"/>
        </w:rPr>
        <w:t>The recruiting retention superintendent (RRS) is responsible for managerial oversight of all state ANG recruiting and retention strength management team programs; advises state command staff on all recruiting and retention issues, provides</w:t>
      </w:r>
    </w:p>
    <w:p>
      <w:r>
        <w:br w:type="page"/>
      </w:r>
    </w:p>
    <w:p>
      <w:pPr>
        <w:spacing w:after="60"/>
        <w:jc w:val="right"/>
        <w:bidi/>
      </w:pPr>
      <w:r>
        <w:rPr>
          <w:rFonts w:ascii="Arial" w:hAnsi="Arial"/>
          <w:b/>
          <w:color w:val="1F4D78"/>
          <w:sz w:val="19"/>
        </w:rPr>
        <w:t>هفتهٔ 181  |  صفحهٔ منبع: 197</w:t>
      </w:r>
    </w:p>
    <w:p>
      <w:pPr>
        <w:spacing w:after="20" w:line="223" w:lineRule="auto"/>
        <w:jc w:val="right"/>
        <w:bidi/>
      </w:pPr>
      <w:r>
        <w:rPr>
          <w:rFonts w:ascii="Arial" w:hAnsi="Arial"/>
          <w:sz w:val="16"/>
        </w:rPr>
        <w:t>181.01  به‌روزرسانی‌های دوره‌ای در مورد وضعیت همه برنامه‌ها و ارائه توصیه‌هایی در مورد نگرانی‌های مربوط به استخدام و حفظ نیروی مربوط به مدیریت؛ برنامه‌های استخدام و حفظ استراتژیک ایالتی را بر اساس دستورالعمل‌های دفتر گارد ملی (NGB) آغاز می‌کند، پیگیری و مدیریت می‌کند و به‌طور دوره‌ای بررسی می‌کند. و نیروی انسانی تیم استخدام و نگهداری ایالت را برای برآورده کردن الزامات مأموریت مدیریت می‌کند.</w:t>
      </w:r>
    </w:p>
    <w:p>
      <w:pPr>
        <w:spacing w:after="28" w:line="216" w:lineRule="auto"/>
        <w:ind w:left="259"/>
        <w:jc w:val="left"/>
      </w:pPr>
      <w:r>
        <w:rPr>
          <w:rFonts w:ascii="Arial" w:hAnsi="Arial"/>
          <w:color w:val="525252"/>
          <w:sz w:val="13"/>
        </w:rPr>
        <w:t>periodic updates on the status of all programs and offers recommendations concerning recruiting and retention related force management concerns; initiates, tracks, and manages state strategic recruiting and retention plans in accordance with National Guard Bureau (NGB) directives and reviews periodically; and manages state recruiting and retention team manpower to meet mission requirements.</w:t>
      </w:r>
    </w:p>
    <w:p>
      <w:pPr>
        <w:spacing w:after="20" w:line="223" w:lineRule="auto"/>
        <w:jc w:val="right"/>
        <w:bidi/>
      </w:pPr>
      <w:r>
        <w:rPr>
          <w:rFonts w:ascii="Arial" w:hAnsi="Arial"/>
          <w:sz w:val="16"/>
        </w:rPr>
        <w:t>181.02  RRSها همه درخواست‌های نیروی انسانی را به NGB/ا۱ی و مدیر عملکردی حوزه شغلی ارائه می‌کنند. در فرآیند استخدام همه پرسنل استخدام و نگهداری شرکت کنید و مطمئن شوید که متقاضیان تمام معیارهای واجد شرایط بودن فهرست شده در AFECD را رعایت می‌کنند. نظارت بر تمامی برنامه‌های آموزشی استخدام و نگهداری برای ایالت را حفظ کند. نظارت و مدیریت تبلیغات و پشتیبانی بازاریابی ارائه شده به استخدام کنندگان؛ برنامه‌ریزی و انجام آموزش تبلیغات و بازاریابی استخدام کننده؛ انجام آموزش برای استخدام؛ و به RRMهای واحد/بال در مدیریت تبلیغات و بودجه کمک کند.</w:t>
      </w:r>
    </w:p>
    <w:p>
      <w:pPr>
        <w:spacing w:after="28" w:line="216" w:lineRule="auto"/>
        <w:ind w:left="259"/>
        <w:jc w:val="left"/>
      </w:pPr>
      <w:r>
        <w:rPr>
          <w:rFonts w:ascii="Arial" w:hAnsi="Arial"/>
          <w:color w:val="525252"/>
          <w:sz w:val="13"/>
        </w:rPr>
        <w:t>RRSs provide all manpower requests to NGB/A1Y and the career field functional manager; participate in the hiring process of all recruiting and retention personnel, and ensure applicants meet all mandatory eligibility criteria listed in the AFECD; maintain oversight of all recruiting and retention training programs for the state; oversee and manage advertising and marketing support provided to recruiters; plan and conduct recruiter advertising and marketing training; conduct training for recruitment; and assist the unit/wing RRMs in the management of the advertising and budget.</w:t>
      </w:r>
    </w:p>
    <w:p>
      <w:pPr>
        <w:spacing w:after="20" w:line="223" w:lineRule="auto"/>
        <w:jc w:val="right"/>
        <w:bidi/>
      </w:pPr>
      <w:r>
        <w:rPr>
          <w:rFonts w:ascii="Arial" w:hAnsi="Arial"/>
          <w:sz w:val="16"/>
        </w:rPr>
        <w:t>181.03  RRSها برنامه‌های استخدام گارد ملی هوایی را رهبری می‌کنند، با واحد RRM و NGB ارتباط برقرار می‌کنند تا از ارتباط مؤثر، آموزش و خدمات مشتری اطمینان حاصل کنند. ارزیابی کلی برنامه‌های حفظ ایالت؛ گزارش‌ها و داده‌های AFRISS-TF و DMDC را بررسی کنید. اطمینان از هماهنگی مناسب بین رابط USAF و فرماندهان ایستگاه پردازش ورودی نظامی و پردازش مناسب متقاضیان ANG انجام می‌شود. بررسی جریان و روند داده‌های متقاضیان ANG؛ نظارت بر امور عملیاتی جذب و حفظ و تفسیر دستورالعمل‌های استخدام برای واحدهای واگذار شده؛ نظارت بر شیوه‌های جذب و نگهداری، تولید و آموزش پرسنل استخدام و نگهداری زیردستان؛ توسعه و نگهداری داده‌های بازار و تخصیص اهداف جذب و نگهداری؛ جمع‌آوری و نظارت بر گزارش‌های تولید از فعالیت‌های استخدام و نگهداری؛ اجرای طرح‌ها و رویه‌ها برای ثبت جریان تولید و گزارش‌دهی؛ اطمینان از توزیع و استفاده مناسب از مطالب تبلیغاتی و تبلیغاتی؛ و کمک به توسعه سیاست و اجرای به موقع.</w:t>
      </w:r>
    </w:p>
    <w:p>
      <w:pPr>
        <w:spacing w:after="28" w:line="216" w:lineRule="auto"/>
        <w:ind w:left="259"/>
        <w:jc w:val="left"/>
      </w:pPr>
      <w:r>
        <w:rPr>
          <w:rFonts w:ascii="Arial" w:hAnsi="Arial"/>
          <w:color w:val="525252"/>
          <w:sz w:val="13"/>
        </w:rPr>
        <w:t>RRSs lead the Air National Guard recruiting programs, maintain contact with unit RRMs and NGB to ensure effective communication, education, and customer service; evaluate overall state retention programs; review AFRISS-TF and DMDC reports and data; ensure proper coordination between the USAF liaison and military entrance processing station commanders and proper processing of ANG applicants is accomplished; review flow and trend data of ANG applicants; oversee recruiting and retention operational matters and interpret recruiting directives for assigned units; oversee the recruiting and retention practices, production and training of subordinate recruiting and retention personnel; develop and maintain market data and allocate recruiting and retention goals; collect and monitor production reports of recruiting and retention activities; implement plans and procedures to record production flow and reporting; ensure proper distribution and use of advertising and publicity materials; and assist in policy development and timely implementation.</w:t>
      </w:r>
    </w:p>
    <w:p>
      <w:pPr>
        <w:spacing w:after="20" w:line="223" w:lineRule="auto"/>
        <w:jc w:val="right"/>
        <w:bidi/>
      </w:pPr>
      <w:r>
        <w:rPr>
          <w:rFonts w:ascii="Arial" w:hAnsi="Arial"/>
          <w:sz w:val="16"/>
        </w:rPr>
        <w:t>181.04  کارکنان ا۱ی دفتر گارد ملی.</w:t>
      </w:r>
    </w:p>
    <w:p>
      <w:pPr>
        <w:spacing w:after="28" w:line="216" w:lineRule="auto"/>
        <w:ind w:left="259"/>
        <w:jc w:val="left"/>
      </w:pPr>
      <w:r>
        <w:rPr>
          <w:rFonts w:ascii="Arial" w:hAnsi="Arial"/>
          <w:color w:val="525252"/>
          <w:sz w:val="13"/>
        </w:rPr>
        <w:t>National Guard Bureau A1Y Staff.</w:t>
      </w:r>
    </w:p>
    <w:p>
      <w:pPr>
        <w:spacing w:after="20" w:line="223" w:lineRule="auto"/>
        <w:jc w:val="right"/>
        <w:bidi/>
      </w:pPr>
      <w:r>
        <w:rPr>
          <w:rFonts w:ascii="Arial" w:hAnsi="Arial"/>
          <w:sz w:val="16"/>
        </w:rPr>
        <w:t>181.05  کارکنان ا۱ی دفتر گارد ملی (NGB) متشکل از افسران، سرپرستان و مدیران ANG هستند که به‌عنوان کارشناسان موضوع در هر یک از برنامه‌های مورد استفاده توسط سرپرستان ایالتی، RRMها و PRRها خدمت می‌کنند.</w:t>
      </w:r>
    </w:p>
    <w:p>
      <w:pPr>
        <w:spacing w:after="28" w:line="216" w:lineRule="auto"/>
        <w:ind w:left="259"/>
        <w:jc w:val="left"/>
      </w:pPr>
      <w:r>
        <w:rPr>
          <w:rFonts w:ascii="Arial" w:hAnsi="Arial"/>
          <w:color w:val="525252"/>
          <w:sz w:val="13"/>
        </w:rPr>
        <w:t>The National Guard Bureau (NGB) A1Y staff consists of ANG NCOs, superintendents, and managers who serve as subject matter experts in each of the programs used by state superintendents, RRMs, and PRRs.</w:t>
      </w:r>
    </w:p>
    <w:p>
      <w:pPr>
        <w:spacing w:after="20" w:line="223" w:lineRule="auto"/>
        <w:jc w:val="right"/>
        <w:bidi/>
      </w:pPr>
      <w:r>
        <w:rPr>
          <w:rFonts w:ascii="Arial" w:hAnsi="Arial"/>
          <w:sz w:val="16"/>
        </w:rPr>
        <w:t>181.06  آنها در تمام موارد مورد نیاز برنامه‌ریزی، اجرا، ارزیابی و آموزش می‌دهند. خط‌مشی و دستورالعمل مربوط به همه زمینه‌های استخدام و حفظ را بنویسید. و تمام نیروی انسانی درگیر را تعیین تکلیف کند.</w:t>
      </w:r>
    </w:p>
    <w:p>
      <w:pPr>
        <w:spacing w:after="28" w:line="216" w:lineRule="auto"/>
        <w:ind w:left="259"/>
        <w:jc w:val="left"/>
      </w:pPr>
      <w:r>
        <w:rPr>
          <w:rFonts w:ascii="Arial" w:hAnsi="Arial"/>
          <w:color w:val="525252"/>
          <w:sz w:val="13"/>
        </w:rPr>
        <w:t>They plan, execute, evaluate, and train in all matters required; write policy and instruction pertaining to all areas of recruiting and retention; and assign all manpower involved.</w:t>
      </w:r>
    </w:p>
    <w:p>
      <w:pPr>
        <w:spacing w:after="20" w:line="223" w:lineRule="auto"/>
        <w:jc w:val="right"/>
        <w:bidi/>
      </w:pPr>
      <w:r>
        <w:rPr>
          <w:rFonts w:ascii="Arial" w:hAnsi="Arial"/>
          <w:sz w:val="16"/>
        </w:rPr>
        <w:t>181.07  استخدام‌کنندگان ضمن خدمت ANG اعضای واجد شرایط رگاف را که مایل به پیوستن به ANG از طریق برنامه‌های پالاک چاس/پالاک فرونت هستند، جستجو می‌کنند و با هماهنگی تیم مدیریت قدرت واحد، آنها را در طول فرآیند راهنمایی می‌کنند.</w:t>
      </w:r>
    </w:p>
    <w:p>
      <w:pPr>
        <w:spacing w:after="28" w:line="216" w:lineRule="auto"/>
        <w:ind w:left="259"/>
        <w:jc w:val="left"/>
      </w:pPr>
      <w:r>
        <w:rPr>
          <w:rFonts w:ascii="Arial" w:hAnsi="Arial"/>
          <w:color w:val="525252"/>
          <w:sz w:val="13"/>
        </w:rPr>
        <w:t>ANG in-service recruiters seek out qualified RegAF members who wish to join the ANG via the Palace Chase/Palace Front Programs and guide them through the process in coordination with the unit strength management team.</w:t>
      </w:r>
    </w:p>
    <w:p>
      <w:r>
        <w:br w:type="page"/>
      </w:r>
    </w:p>
    <w:p>
      <w:pPr>
        <w:spacing w:after="60"/>
        <w:jc w:val="right"/>
        <w:bidi/>
      </w:pPr>
      <w:r>
        <w:rPr>
          <w:rFonts w:ascii="Arial" w:hAnsi="Arial"/>
          <w:b/>
          <w:color w:val="1F4D78"/>
          <w:sz w:val="19"/>
        </w:rPr>
        <w:t>هفتهٔ 182  |  صفحهٔ منبع: 198</w:t>
      </w:r>
    </w:p>
    <w:p>
      <w:pPr>
        <w:spacing w:before="60" w:after="28"/>
        <w:jc w:val="right"/>
        <w:bidi/>
      </w:pPr>
      <w:r>
        <w:rPr>
          <w:b/>
          <w:color w:val="1F4D78"/>
          <w:sz w:val="18"/>
        </w:rPr>
        <w:t>بخش 10C-وظایف ویژه</w:t>
      </w:r>
    </w:p>
    <w:p>
      <w:pPr>
        <w:spacing w:after="20"/>
        <w:ind w:left="259"/>
        <w:jc w:val="left"/>
      </w:pPr>
      <w:r>
        <w:rPr>
          <w:color w:val="555555"/>
          <w:sz w:val="12"/>
        </w:rPr>
        <w:t>Section 10C—Special Duties</w:t>
      </w:r>
    </w:p>
    <w:p>
      <w:pPr>
        <w:spacing w:before="60" w:after="28"/>
        <w:jc w:val="right"/>
        <w:bidi/>
      </w:pPr>
      <w:r>
        <w:rPr>
          <w:b/>
          <w:color w:val="1F4D78"/>
          <w:sz w:val="18"/>
        </w:rPr>
        <w:t>10.14. وظایف ویژه ثبت نام کرد</w:t>
      </w:r>
    </w:p>
    <w:p>
      <w:pPr>
        <w:spacing w:after="20"/>
        <w:ind w:left="259"/>
        <w:jc w:val="left"/>
      </w:pPr>
      <w:r>
        <w:rPr>
          <w:color w:val="555555"/>
          <w:sz w:val="12"/>
        </w:rPr>
        <w:t>10.14. Enlisted Special Duties</w:t>
      </w:r>
    </w:p>
    <w:p>
      <w:pPr>
        <w:spacing w:after="20" w:line="223" w:lineRule="auto"/>
        <w:jc w:val="right"/>
        <w:bidi/>
      </w:pPr>
      <w:r>
        <w:rPr>
          <w:rFonts w:ascii="Arial" w:hAnsi="Arial"/>
          <w:sz w:val="16"/>
        </w:rPr>
        <w:t>182.03  هوانوردان درجه‌دار در رده‌های گروهبان ستادی از طریق استاد گروهبان ممکن است فرصت خدمت در یک موقعیت وظیفه ویژه توسعه‌ای را داشته باشند.</w:t>
      </w:r>
    </w:p>
    <w:p>
      <w:pPr>
        <w:spacing w:after="28" w:line="216" w:lineRule="auto"/>
        <w:ind w:left="259"/>
        <w:jc w:val="left"/>
      </w:pPr>
      <w:r>
        <w:rPr>
          <w:rFonts w:ascii="Arial" w:hAnsi="Arial"/>
          <w:color w:val="525252"/>
          <w:sz w:val="13"/>
        </w:rPr>
        <w:t>Enlisted Airmen in the ranks of Staff Sergeant through Master Sergeant may have the opportunity to serve a developmental special duty position.</w:t>
      </w:r>
    </w:p>
    <w:p>
      <w:pPr>
        <w:spacing w:after="20" w:line="223" w:lineRule="auto"/>
        <w:jc w:val="right"/>
        <w:bidi/>
      </w:pPr>
      <w:r>
        <w:rPr>
          <w:rFonts w:ascii="Arial" w:hAnsi="Arial"/>
          <w:sz w:val="16"/>
        </w:rPr>
        <w:t>182.04  وظایف ویژه رشدی به دلیل نقش‌های رهبری منحصر به فرد آنها و مسئولیت هوانوردی در مربیگری و شکل دادن به رهبران آینده به این صورت مشخص می‌شوند.</w:t>
      </w:r>
    </w:p>
    <w:p>
      <w:pPr>
        <w:spacing w:after="28" w:line="216" w:lineRule="auto"/>
        <w:ind w:left="259"/>
        <w:jc w:val="left"/>
      </w:pPr>
      <w:r>
        <w:rPr>
          <w:rFonts w:ascii="Arial" w:hAnsi="Arial"/>
          <w:color w:val="525252"/>
          <w:sz w:val="13"/>
        </w:rPr>
        <w:t>Developmental special duties are identified as such due to their unique leadership roles and the Airman’s responsibility to mentor and mold future leaders.</w:t>
      </w:r>
    </w:p>
    <w:p>
      <w:pPr>
        <w:spacing w:after="20" w:line="223" w:lineRule="auto"/>
        <w:jc w:val="right"/>
        <w:bidi/>
      </w:pPr>
      <w:r>
        <w:rPr>
          <w:rFonts w:ascii="Arial" w:hAnsi="Arial"/>
          <w:sz w:val="16"/>
        </w:rPr>
        <w:t>182.05  برای حصول اطمینان از تخصیص بالاترین کیفیت هوانوردان به این سمت‌ها، USAF یک فرآیند نامزدی را اجرا کرده است.</w:t>
      </w:r>
    </w:p>
    <w:p>
      <w:pPr>
        <w:spacing w:after="28" w:line="216" w:lineRule="auto"/>
        <w:ind w:left="259"/>
        <w:jc w:val="left"/>
      </w:pPr>
      <w:r>
        <w:rPr>
          <w:rFonts w:ascii="Arial" w:hAnsi="Arial"/>
          <w:color w:val="525252"/>
          <w:sz w:val="13"/>
        </w:rPr>
        <w:t>To ensure the highest quality Airmen are assigned to these positions, the USAF has implemented a nomination process.</w:t>
      </w:r>
    </w:p>
    <w:p>
      <w:pPr>
        <w:spacing w:after="20" w:line="223" w:lineRule="auto"/>
        <w:jc w:val="right"/>
        <w:bidi/>
      </w:pPr>
      <w:r>
        <w:rPr>
          <w:rFonts w:ascii="Arial" w:hAnsi="Arial"/>
          <w:sz w:val="16"/>
        </w:rPr>
        <w:t>182.06  فرآیند نامزدی به فرماندهان، از طریق فرماندهی اصلی مربوطه، فرصتی را برای انتخاب بهترین نیروی هوایی خود برای پر کردن این موقعیت‌های حیاتی و در عین حال فراهم کردن مسیر شغلی توسعه‌یافته، فراهم می‌کند.</w:t>
      </w:r>
    </w:p>
    <w:p>
      <w:pPr>
        <w:spacing w:after="28" w:line="216" w:lineRule="auto"/>
        <w:ind w:left="259"/>
        <w:jc w:val="left"/>
      </w:pPr>
      <w:r>
        <w:rPr>
          <w:rFonts w:ascii="Arial" w:hAnsi="Arial"/>
          <w:color w:val="525252"/>
          <w:sz w:val="13"/>
        </w:rPr>
        <w:t>The nomination process provides commanders, through their respective major command, an opportunity to nominate their best Airmen to fill these critical positions while providing a developmental career path.</w:t>
      </w:r>
    </w:p>
    <w:p>
      <w:pPr>
        <w:spacing w:after="20" w:line="223" w:lineRule="auto"/>
        <w:jc w:val="right"/>
        <w:bidi/>
      </w:pPr>
      <w:r>
        <w:rPr>
          <w:rFonts w:ascii="Arial" w:hAnsi="Arial"/>
          <w:sz w:val="16"/>
        </w:rPr>
        <w:t>182.07  هوانوردان نامزد شده برای یک موقعیت وظیفه ویژه توسعه‌ای باید بهترین در USAF باشند و باید سفیر و الگوی ارزش‌های اصلی و نظم و انضباط USAF باشند.</w:t>
      </w:r>
    </w:p>
    <w:p>
      <w:pPr>
        <w:spacing w:after="28" w:line="216" w:lineRule="auto"/>
        <w:ind w:left="259"/>
        <w:jc w:val="left"/>
      </w:pPr>
      <w:r>
        <w:rPr>
          <w:rFonts w:ascii="Arial" w:hAnsi="Arial"/>
          <w:color w:val="525252"/>
          <w:sz w:val="13"/>
        </w:rPr>
        <w:t>Airmen nominated for a developmental special duty position must be the best in the USAF and must be an ambassador and role model for USAF core values and discipline.</w:t>
      </w:r>
    </w:p>
    <w:p>
      <w:pPr>
        <w:spacing w:after="20" w:line="223" w:lineRule="auto"/>
        <w:jc w:val="right"/>
        <w:bidi/>
      </w:pPr>
      <w:r>
        <w:rPr>
          <w:rFonts w:ascii="Arial" w:hAnsi="Arial"/>
          <w:sz w:val="16"/>
        </w:rPr>
        <w:t>182.08  شناسه‌های وظیفه ویژه برای مجوزهای هوانوردان درجه‌دار که به گروهی واقعی از وظایف به صورت نیمه دائمی یا دائمی منصوب شده و انجام می‌دهند، اعمال می‌شود.</w:t>
      </w:r>
    </w:p>
    <w:p>
      <w:pPr>
        <w:spacing w:after="28" w:line="216" w:lineRule="auto"/>
        <w:ind w:left="259"/>
        <w:jc w:val="left"/>
      </w:pPr>
      <w:r>
        <w:rPr>
          <w:rFonts w:ascii="Arial" w:hAnsi="Arial"/>
          <w:color w:val="525252"/>
          <w:sz w:val="13"/>
        </w:rPr>
        <w:t>Special duty identifiers apply to authorizations for enlisted Airmen assigned to and performing an actual group of tasks on a semi-permanent or permanent duty basis.</w:t>
      </w:r>
    </w:p>
    <w:p>
      <w:pPr>
        <w:spacing w:after="20" w:line="223" w:lineRule="auto"/>
        <w:jc w:val="right"/>
        <w:bidi/>
      </w:pPr>
      <w:r>
        <w:rPr>
          <w:rFonts w:ascii="Arial" w:hAnsi="Arial"/>
          <w:sz w:val="16"/>
        </w:rPr>
        <w:t>182.09  مشاور کمک شغلی (SDI ۸ا۱۰۰).</w:t>
      </w:r>
    </w:p>
    <w:p>
      <w:pPr>
        <w:spacing w:after="28" w:line="216" w:lineRule="auto"/>
        <w:ind w:left="259"/>
        <w:jc w:val="left"/>
      </w:pPr>
      <w:r>
        <w:rPr>
          <w:rFonts w:ascii="Arial" w:hAnsi="Arial"/>
          <w:color w:val="525252"/>
          <w:sz w:val="13"/>
        </w:rPr>
        <w:t>Career Assistance Advisor (SDI 8A100).</w:t>
      </w:r>
    </w:p>
    <w:p>
      <w:pPr>
        <w:spacing w:after="20" w:line="223" w:lineRule="auto"/>
        <w:jc w:val="right"/>
        <w:bidi/>
      </w:pPr>
      <w:r>
        <w:rPr>
          <w:rFonts w:ascii="Arial" w:hAnsi="Arial"/>
          <w:sz w:val="16"/>
        </w:rPr>
        <w:t>182.10  مشاوران کمک شغلی به‌عنوان مشاوران اصلی فرماندهان و سرپرستان در مدیریت نیرو و ارتقاء حرفه‌ای خدمت می‌کنند. کمک به فرماندهان و سرپرستان در مشاوره شغلی؛ مشاوره به هوانوردان در مورد پیشرفت و برنامه‌ریزی شغلی، نظارت بر برنامه‌های توجیهی حقوق و مزایا اجباری. و اجرای برنامه‌های تبلیغاتی و تبلیغاتی.</w:t>
      </w:r>
    </w:p>
    <w:p>
      <w:pPr>
        <w:spacing w:after="28" w:line="216" w:lineRule="auto"/>
        <w:ind w:left="259"/>
        <w:jc w:val="left"/>
      </w:pPr>
      <w:r>
        <w:rPr>
          <w:rFonts w:ascii="Arial" w:hAnsi="Arial"/>
          <w:color w:val="525252"/>
          <w:sz w:val="13"/>
        </w:rPr>
        <w:t>Career assistance advisors serve as principal advisors to commanders and supervisors on force management and professional enhancement; assist commanders and supervisors in career counseling; advise Airmen on career progression and planning, monitor mandatory pay and benefits briefing programs; and conduct advertising and publicity programs.</w:t>
      </w:r>
    </w:p>
    <w:p>
      <w:pPr>
        <w:spacing w:after="20" w:line="223" w:lineRule="auto"/>
        <w:jc w:val="right"/>
        <w:bidi/>
      </w:pPr>
      <w:r>
        <w:rPr>
          <w:rFonts w:ascii="Arial" w:hAnsi="Arial"/>
          <w:sz w:val="16"/>
        </w:rPr>
        <w:t>182.11  مشاوران کمک شغلی جلسات توجیهی را در سمینارهای تصمیم‌گیری آگاهانه، دوره‌های ارتقای حرفه‌ای، جلسات مشاوره شغلی فردی، و مراکز ترم اول هوانوردی برگزار می‌کنند.</w:t>
      </w:r>
    </w:p>
    <w:p>
      <w:pPr>
        <w:spacing w:after="28" w:line="216" w:lineRule="auto"/>
        <w:ind w:left="259"/>
        <w:jc w:val="left"/>
      </w:pPr>
      <w:r>
        <w:rPr>
          <w:rFonts w:ascii="Arial" w:hAnsi="Arial"/>
          <w:color w:val="525252"/>
          <w:sz w:val="13"/>
        </w:rPr>
        <w:t>Career assistance advisors conduct briefings at informed decision seminars, professional enhancement courses, individual career counseling sessions, and First Term Airmen Centers.</w:t>
      </w:r>
    </w:p>
    <w:p>
      <w:pPr>
        <w:spacing w:after="20" w:line="223" w:lineRule="auto"/>
        <w:jc w:val="right"/>
        <w:bidi/>
      </w:pPr>
      <w:r>
        <w:rPr>
          <w:rFonts w:ascii="Arial" w:hAnsi="Arial"/>
          <w:sz w:val="16"/>
        </w:rPr>
        <w:t>182.12  دستیار سرباز (SDI ۸ا۲۰۰).</w:t>
      </w:r>
    </w:p>
    <w:p>
      <w:pPr>
        <w:spacing w:after="28" w:line="216" w:lineRule="auto"/>
        <w:ind w:left="259"/>
        <w:jc w:val="left"/>
      </w:pPr>
      <w:r>
        <w:rPr>
          <w:rFonts w:ascii="Arial" w:hAnsi="Arial"/>
          <w:color w:val="525252"/>
          <w:sz w:val="13"/>
        </w:rPr>
        <w:t>Enlisted Aide (SDI 8A200).</w:t>
      </w:r>
    </w:p>
    <w:p>
      <w:pPr>
        <w:spacing w:after="20" w:line="223" w:lineRule="auto"/>
        <w:jc w:val="right"/>
        <w:bidi/>
      </w:pPr>
      <w:r>
        <w:rPr>
          <w:rFonts w:ascii="Arial" w:hAnsi="Arial"/>
          <w:sz w:val="16"/>
        </w:rPr>
        <w:t>182.13  دستیاران استخدام شده وظایف و جزئیاتی را انجام می‌دهند که اگر توسط افسران ژنرال یا پرچم انجام شود، به هزینه وظایف اولیه نظامی و رسمی افسر خواهد بود.</w:t>
      </w:r>
    </w:p>
    <w:p>
      <w:pPr>
        <w:spacing w:after="28" w:line="216" w:lineRule="auto"/>
        <w:ind w:left="259"/>
        <w:jc w:val="left"/>
      </w:pPr>
      <w:r>
        <w:rPr>
          <w:rFonts w:ascii="Arial" w:hAnsi="Arial"/>
          <w:color w:val="525252"/>
          <w:sz w:val="13"/>
        </w:rPr>
        <w:t>Enlisted aides perform tasks and details that, if performed by General or Flag Officers, would be at the expense of the officer’s primary military and official duties.</w:t>
      </w:r>
    </w:p>
    <w:p>
      <w:pPr>
        <w:spacing w:after="20" w:line="223" w:lineRule="auto"/>
        <w:jc w:val="right"/>
        <w:bidi/>
      </w:pPr>
      <w:r>
        <w:rPr>
          <w:rFonts w:ascii="Arial" w:hAnsi="Arial"/>
          <w:sz w:val="16"/>
        </w:rPr>
        <w:t>182.14  وظایف مربوط به حمایت از مسئولیت‌های نظامی و رسمی ژنرال یا افسر پرچم است و شامل کمک به آنها در انجام مسئولیت‌های اجتماعی رسمی وزارت دفاع در سمت تعیین شده است.</w:t>
      </w:r>
    </w:p>
    <w:p>
      <w:pPr>
        <w:spacing w:after="28" w:line="216" w:lineRule="auto"/>
        <w:ind w:left="259"/>
        <w:jc w:val="left"/>
      </w:pPr>
      <w:r>
        <w:rPr>
          <w:rFonts w:ascii="Arial" w:hAnsi="Arial"/>
          <w:color w:val="525252"/>
          <w:sz w:val="13"/>
        </w:rPr>
        <w:t>Duties relate to the support of military and official responsibilities of the General or Flag Officer and include assisting them in discharging their official Department of Defense social responsibilities in their assigned position.</w:t>
      </w:r>
    </w:p>
    <w:p>
      <w:pPr>
        <w:spacing w:after="20" w:line="223" w:lineRule="auto"/>
        <w:jc w:val="right"/>
        <w:bidi/>
      </w:pPr>
      <w:r>
        <w:rPr>
          <w:rFonts w:ascii="Arial" w:hAnsi="Arial"/>
          <w:sz w:val="16"/>
        </w:rPr>
        <w:t>182.15  صلاحیت چنین وظایفی به جای ماهیت وظایف، بر اساس هدف رسمی که آنها در خدمت آن هستند، کنترل می‌شود.</w:t>
      </w:r>
    </w:p>
    <w:p>
      <w:pPr>
        <w:spacing w:after="28" w:line="216" w:lineRule="auto"/>
        <w:ind w:left="259"/>
        <w:jc w:val="left"/>
      </w:pPr>
      <w:r>
        <w:rPr>
          <w:rFonts w:ascii="Arial" w:hAnsi="Arial"/>
          <w:color w:val="525252"/>
          <w:sz w:val="13"/>
        </w:rPr>
        <w:t>The propriety of such duties is governed by the official purpose that they serve, rather than the nature of the duties.</w:t>
      </w:r>
    </w:p>
    <w:p>
      <w:pPr>
        <w:spacing w:after="20" w:line="223" w:lineRule="auto"/>
        <w:jc w:val="right"/>
        <w:bidi/>
      </w:pPr>
      <w:r>
        <w:rPr>
          <w:rFonts w:ascii="Arial" w:hAnsi="Arial"/>
          <w:sz w:val="16"/>
        </w:rPr>
        <w:t>182.16  وظایف خاص دستیار استخدام شده صرفا بر اساس نیازهای افسر ژنرال یا پرچم است و بر اساس نیازهای حمایت از خانواده تنظیم شده است. پروتکل</w:t>
      </w:r>
    </w:p>
    <w:p>
      <w:pPr>
        <w:spacing w:after="28" w:line="216" w:lineRule="auto"/>
        <w:ind w:left="259"/>
        <w:jc w:val="left"/>
      </w:pPr>
      <w:r>
        <w:rPr>
          <w:rFonts w:ascii="Arial" w:hAnsi="Arial"/>
          <w:color w:val="525252"/>
          <w:sz w:val="13"/>
        </w:rPr>
        <w:t>Specific duties of the enlisted aide rest solely on the needs of the General or Flag Officer and are tailored to the requirements of supporting the household.</w:t>
      </w:r>
    </w:p>
    <w:p>
      <w:pPr>
        <w:spacing w:after="20" w:line="223" w:lineRule="auto"/>
        <w:jc w:val="right"/>
        <w:bidi/>
      </w:pPr>
      <w:r>
        <w:rPr>
          <w:rFonts w:ascii="Arial" w:hAnsi="Arial"/>
          <w:sz w:val="16"/>
        </w:rPr>
        <w:t>182.17  (SDI ۸ا۳۰۰).</w:t>
      </w:r>
    </w:p>
    <w:p>
      <w:pPr>
        <w:spacing w:after="28" w:line="216" w:lineRule="auto"/>
        <w:ind w:left="259"/>
        <w:jc w:val="left"/>
      </w:pPr>
      <w:r>
        <w:rPr>
          <w:rFonts w:ascii="Arial" w:hAnsi="Arial"/>
          <w:color w:val="525252"/>
          <w:sz w:val="13"/>
        </w:rPr>
        <w:t>Protocol (SDI 8A300).</w:t>
      </w:r>
    </w:p>
    <w:p>
      <w:pPr>
        <w:spacing w:after="20" w:line="223" w:lineRule="auto"/>
        <w:jc w:val="right"/>
        <w:bidi/>
      </w:pPr>
      <w:r>
        <w:rPr>
          <w:rFonts w:ascii="Arial" w:hAnsi="Arial"/>
          <w:sz w:val="16"/>
        </w:rPr>
        <w:t>182.18  هدف اولیه از موقعیت پروتکل، عملکرد به‌عنوان یک متخصص پروتکل و ارائه تخصص و پشتیبانی برای همه موارد پروتکل است. پروتکل</w:t>
      </w:r>
    </w:p>
    <w:p>
      <w:pPr>
        <w:spacing w:after="28" w:line="216" w:lineRule="auto"/>
        <w:ind w:left="259"/>
        <w:jc w:val="left"/>
      </w:pPr>
      <w:r>
        <w:rPr>
          <w:rFonts w:ascii="Arial" w:hAnsi="Arial"/>
          <w:color w:val="525252"/>
          <w:sz w:val="13"/>
        </w:rPr>
        <w:t>The primary purpose of the protocol position is to function as a protocol specialist and to provide expertise and support for all protocol matters.</w:t>
      </w:r>
    </w:p>
    <w:p>
      <w:pPr>
        <w:spacing w:after="20" w:line="223" w:lineRule="auto"/>
        <w:jc w:val="right"/>
        <w:bidi/>
      </w:pPr>
      <w:r>
        <w:rPr>
          <w:rFonts w:ascii="Arial" w:hAnsi="Arial"/>
          <w:sz w:val="16"/>
        </w:rPr>
        <w:t>182.19  وظایف و مسئولیت‌های پروتکل را در سطوح نصب، بال، نیروی هوایی شماره‌دار، فرماندهی اصلی و HAF انجام، مدیریت و هدایت می‌کند. پروتکل</w:t>
      </w:r>
    </w:p>
    <w:p>
      <w:pPr>
        <w:spacing w:after="28" w:line="216" w:lineRule="auto"/>
        <w:ind w:left="259"/>
        <w:jc w:val="left"/>
      </w:pPr>
      <w:r>
        <w:rPr>
          <w:rFonts w:ascii="Arial" w:hAnsi="Arial"/>
          <w:color w:val="525252"/>
          <w:sz w:val="13"/>
        </w:rPr>
        <w:t>Protocol performs, manages, and directs protocol duties and responsibilities at assigned installation, wing, Numbered Air Force, major command, and HAF levels.</w:t>
      </w:r>
    </w:p>
    <w:p>
      <w:pPr>
        <w:spacing w:after="20" w:line="223" w:lineRule="auto"/>
        <w:jc w:val="right"/>
        <w:bidi/>
      </w:pPr>
      <w:r>
        <w:rPr>
          <w:rFonts w:ascii="Arial" w:hAnsi="Arial"/>
          <w:sz w:val="16"/>
        </w:rPr>
        <w:t>182.20  از بازدیدکنندگان برجسته در همه سطوح، از جمله نظامی، غیرنظامی، مشابه خارجی و گذرا پشتیبانی می‌کند. انجام وظایف اسکورت؛ برنامه‌ریزی و اجرای برنامه‌های بازدید، مراسم رسمی و رویدادهای ویژه؛ و به فرماندهان و رهبران ارشد USAF در تمام سطوح در مورد شیوه‌های پروتکل قابل قبول برای رویدادهای مختلف مشاوره می‌دهد.</w:t>
      </w:r>
    </w:p>
    <w:p>
      <w:pPr>
        <w:spacing w:after="28" w:line="216" w:lineRule="auto"/>
        <w:ind w:left="259"/>
        <w:jc w:val="left"/>
      </w:pPr>
      <w:r>
        <w:rPr>
          <w:rFonts w:ascii="Arial" w:hAnsi="Arial"/>
          <w:color w:val="525252"/>
          <w:sz w:val="13"/>
        </w:rPr>
        <w:t>Protocol provides support for distinguished visitors at all levels, including military, civilian, foreign equivalents, and transients; performs escort duties; plans and executes program itinerary visits, official ceremonies, and special events; and advises commanders and USAF senior leaders at all levels on acceptable protocol practices for a variety of events.</w:t>
      </w:r>
    </w:p>
    <w:p>
      <w:pPr>
        <w:spacing w:after="20" w:line="223" w:lineRule="auto"/>
        <w:jc w:val="right"/>
        <w:bidi/>
      </w:pPr>
      <w:r>
        <w:rPr>
          <w:rFonts w:ascii="Arial" w:hAnsi="Arial"/>
          <w:sz w:val="16"/>
        </w:rPr>
        <w:t>182.21  مربی آموزش نظامی (SDI ۸ب۰۰۰).</w:t>
      </w:r>
    </w:p>
    <w:p>
      <w:pPr>
        <w:spacing w:after="28" w:line="216" w:lineRule="auto"/>
        <w:ind w:left="259"/>
        <w:jc w:val="left"/>
      </w:pPr>
      <w:r>
        <w:rPr>
          <w:rFonts w:ascii="Arial" w:hAnsi="Arial"/>
          <w:color w:val="525252"/>
          <w:sz w:val="13"/>
        </w:rPr>
        <w:t>Military Training Instructor (SDI 8B000).</w:t>
      </w:r>
    </w:p>
    <w:p>
      <w:pPr>
        <w:spacing w:after="20" w:line="223" w:lineRule="auto"/>
        <w:jc w:val="right"/>
        <w:bidi/>
      </w:pPr>
      <w:r>
        <w:rPr>
          <w:rFonts w:ascii="Arial" w:hAnsi="Arial"/>
          <w:sz w:val="16"/>
        </w:rPr>
        <w:t>182.22  مربیان آموزش نظامی، آموزش‌های نظامی اولیه را برای هوانوردان غیرقابل خدمت، از جمله نیروهای ذخیره هوایی و آموزش نظامی اولیه برای کادت‌ها، انجام می‌دهند.</w:t>
      </w:r>
    </w:p>
    <w:p>
      <w:pPr>
        <w:spacing w:after="28" w:line="216" w:lineRule="auto"/>
        <w:ind w:left="259"/>
        <w:jc w:val="left"/>
      </w:pPr>
      <w:r>
        <w:rPr>
          <w:rFonts w:ascii="Arial" w:hAnsi="Arial"/>
          <w:color w:val="525252"/>
          <w:sz w:val="13"/>
        </w:rPr>
        <w:t>Military training instructors conduct basic military training for non-prior service Airmen, including those of the Air Reserve Forces and initial military training for cadets.</w:t>
      </w:r>
    </w:p>
    <w:p>
      <w:pPr>
        <w:spacing w:after="20" w:line="223" w:lineRule="auto"/>
        <w:jc w:val="right"/>
        <w:bidi/>
      </w:pPr>
      <w:r>
        <w:rPr>
          <w:rFonts w:ascii="Arial" w:hAnsi="Arial"/>
          <w:sz w:val="16"/>
        </w:rPr>
        <w:t>182.23  رهبر آموزش نظامی (SDI ۸ب۱۰۰).</w:t>
      </w:r>
    </w:p>
    <w:p>
      <w:pPr>
        <w:spacing w:after="28" w:line="216" w:lineRule="auto"/>
        <w:ind w:left="259"/>
        <w:jc w:val="left"/>
      </w:pPr>
      <w:r>
        <w:rPr>
          <w:rFonts w:ascii="Arial" w:hAnsi="Arial"/>
          <w:color w:val="525252"/>
          <w:sz w:val="13"/>
        </w:rPr>
        <w:t>Military Training Leader (SDI 8B100).</w:t>
      </w:r>
    </w:p>
    <w:p>
      <w:pPr>
        <w:spacing w:after="20" w:line="223" w:lineRule="auto"/>
        <w:jc w:val="right"/>
        <w:bidi/>
      </w:pPr>
      <w:r>
        <w:rPr>
          <w:rFonts w:ascii="Arial" w:hAnsi="Arial"/>
          <w:sz w:val="16"/>
        </w:rPr>
        <w:t>182.24  رهبران آموزش نظامی بر همه هوانوردان خدماتی در طول آموزش فنی نظارت می‌کنند.</w:t>
      </w:r>
    </w:p>
    <w:p>
      <w:pPr>
        <w:spacing w:after="28" w:line="216" w:lineRule="auto"/>
        <w:ind w:left="259"/>
        <w:jc w:val="left"/>
      </w:pPr>
      <w:r>
        <w:rPr>
          <w:rFonts w:ascii="Arial" w:hAnsi="Arial"/>
          <w:color w:val="525252"/>
          <w:sz w:val="13"/>
        </w:rPr>
        <w:t>Military training leaders supervise all assigned service Airmen during technical training.</w:t>
      </w:r>
    </w:p>
    <w:p>
      <w:pPr>
        <w:spacing w:after="20" w:line="223" w:lineRule="auto"/>
        <w:jc w:val="right"/>
        <w:bidi/>
      </w:pPr>
      <w:r>
        <w:rPr>
          <w:rFonts w:ascii="Arial" w:hAnsi="Arial"/>
          <w:sz w:val="16"/>
        </w:rPr>
        <w:t>182.25  این SDI شامل رابطان گارد ملی هوایی و ذخیره نیروی هوایی است که به مکان‌های آموزشی اولیه نظامی و فنی اختصاص داده شده‌اند.</w:t>
      </w:r>
    </w:p>
    <w:p>
      <w:pPr>
        <w:spacing w:after="28" w:line="216" w:lineRule="auto"/>
        <w:ind w:left="259"/>
        <w:jc w:val="left"/>
      </w:pPr>
      <w:r>
        <w:rPr>
          <w:rFonts w:ascii="Arial" w:hAnsi="Arial"/>
          <w:color w:val="525252"/>
          <w:sz w:val="13"/>
        </w:rPr>
        <w:t>This SDI includes Air National Guard and Air Force Reserve liaisons assigned to basic military and technical training locations.</w:t>
      </w:r>
    </w:p>
    <w:p>
      <w:pPr>
        <w:spacing w:after="20" w:line="223" w:lineRule="auto"/>
        <w:jc w:val="right"/>
        <w:bidi/>
      </w:pPr>
      <w:r>
        <w:rPr>
          <w:rFonts w:ascii="Arial" w:hAnsi="Arial"/>
          <w:sz w:val="16"/>
        </w:rPr>
        <w:t>182.26  رهبران آموزش نظامی</w:t>
      </w:r>
    </w:p>
    <w:p>
      <w:pPr>
        <w:spacing w:after="28" w:line="216" w:lineRule="auto"/>
        <w:ind w:left="259"/>
        <w:jc w:val="left"/>
      </w:pPr>
      <w:r>
        <w:rPr>
          <w:rFonts w:ascii="Arial" w:hAnsi="Arial"/>
          <w:color w:val="525252"/>
          <w:sz w:val="13"/>
        </w:rPr>
        <w:t>Military training leaders</w:t>
      </w:r>
    </w:p>
    <w:p>
      <w:r>
        <w:br w:type="page"/>
      </w:r>
    </w:p>
    <w:p>
      <w:pPr>
        <w:spacing w:after="60"/>
        <w:jc w:val="right"/>
        <w:bidi/>
      </w:pPr>
      <w:r>
        <w:rPr>
          <w:rFonts w:ascii="Arial" w:hAnsi="Arial"/>
          <w:b/>
          <w:color w:val="1F4D78"/>
          <w:sz w:val="19"/>
        </w:rPr>
        <w:t>هفتهٔ 183  |  صفحهٔ منبع: 199</w:t>
      </w:r>
    </w:p>
    <w:p>
      <w:pPr>
        <w:spacing w:after="20" w:line="223" w:lineRule="auto"/>
        <w:jc w:val="right"/>
        <w:bidi/>
      </w:pPr>
      <w:r>
        <w:rPr>
          <w:rFonts w:ascii="Arial" w:hAnsi="Arial"/>
          <w:sz w:val="16"/>
        </w:rPr>
        <w:t>183.01  ارزیابی عملکرد، تحمل نظامی، و نظم و انضباط در هنگام برنامه‌ریزی و اجرای عملکردهای آموزشی نظامی.</w:t>
      </w:r>
    </w:p>
    <w:p>
      <w:pPr>
        <w:spacing w:after="28" w:line="216" w:lineRule="auto"/>
        <w:ind w:left="259"/>
        <w:jc w:val="left"/>
      </w:pPr>
      <w:r>
        <w:rPr>
          <w:rFonts w:ascii="Arial" w:hAnsi="Arial"/>
          <w:color w:val="525252"/>
          <w:sz w:val="13"/>
        </w:rPr>
        <w:t>evaluate performance, military bearing, and discipline while scheduling and conducting military training functions.</w:t>
      </w:r>
    </w:p>
    <w:p>
      <w:pPr>
        <w:spacing w:after="20" w:line="223" w:lineRule="auto"/>
        <w:jc w:val="right"/>
        <w:bidi/>
      </w:pPr>
      <w:r>
        <w:rPr>
          <w:rFonts w:ascii="Arial" w:hAnsi="Arial"/>
          <w:sz w:val="16"/>
        </w:rPr>
        <w:t>183.02  افسران آموزش نظامی آکادمی (SDI ۸ب۲۰۰).</w:t>
      </w:r>
    </w:p>
    <w:p>
      <w:pPr>
        <w:spacing w:after="28" w:line="216" w:lineRule="auto"/>
        <w:ind w:left="259"/>
        <w:jc w:val="left"/>
      </w:pPr>
      <w:r>
        <w:rPr>
          <w:rFonts w:ascii="Arial" w:hAnsi="Arial"/>
          <w:color w:val="525252"/>
          <w:sz w:val="13"/>
        </w:rPr>
        <w:t>Academy Military Training NCO (SDI 8B200).</w:t>
      </w:r>
    </w:p>
    <w:p>
      <w:pPr>
        <w:spacing w:after="20" w:line="223" w:lineRule="auto"/>
        <w:jc w:val="right"/>
        <w:bidi/>
      </w:pPr>
      <w:r>
        <w:rPr>
          <w:rFonts w:ascii="Arial" w:hAnsi="Arial"/>
          <w:sz w:val="16"/>
        </w:rPr>
        <w:t>183.03  افسران آموزش نظامی آکادمی، دانشجویان آکادمی USAF را رهبری، راهنمایی، توسعه و نظارت می‌کنند.</w:t>
      </w:r>
    </w:p>
    <w:p>
      <w:pPr>
        <w:spacing w:after="28" w:line="216" w:lineRule="auto"/>
        <w:ind w:left="259"/>
        <w:jc w:val="left"/>
      </w:pPr>
      <w:r>
        <w:rPr>
          <w:rFonts w:ascii="Arial" w:hAnsi="Arial"/>
          <w:color w:val="525252"/>
          <w:sz w:val="13"/>
        </w:rPr>
        <w:t>Academy military training NCOs lead, mentor, develop, and supervise USAF Academy cadets.</w:t>
      </w:r>
    </w:p>
    <w:p>
      <w:pPr>
        <w:spacing w:after="20" w:line="223" w:lineRule="auto"/>
        <w:jc w:val="right"/>
        <w:bidi/>
      </w:pPr>
      <w:r>
        <w:rPr>
          <w:rFonts w:ascii="Arial" w:hAnsi="Arial"/>
          <w:sz w:val="16"/>
        </w:rPr>
        <w:t>183.04  آنها به‌عنوان مشاوران اصلی رهبری اسکادران کادت در مورد همه مسائل مربوط به کادت‌ها، اعمال نظارت عمومی بر دانشجویان تعیین شده، و ارائه آموزش نظامی خدمت می‌کنند.</w:t>
      </w:r>
    </w:p>
    <w:p>
      <w:pPr>
        <w:spacing w:after="28" w:line="216" w:lineRule="auto"/>
        <w:ind w:left="259"/>
        <w:jc w:val="left"/>
      </w:pPr>
      <w:r>
        <w:rPr>
          <w:rFonts w:ascii="Arial" w:hAnsi="Arial"/>
          <w:color w:val="525252"/>
          <w:sz w:val="13"/>
        </w:rPr>
        <w:t>They serve as principal advisors to cadet squadron leadership on all issues relating to cadets, exercise general supervision over assigned cadets, and provide military training.</w:t>
      </w:r>
    </w:p>
    <w:p>
      <w:pPr>
        <w:spacing w:after="20" w:line="223" w:lineRule="auto"/>
        <w:jc w:val="right"/>
        <w:bidi/>
      </w:pPr>
      <w:r>
        <w:rPr>
          <w:rFonts w:ascii="Arial" w:hAnsi="Arial"/>
          <w:sz w:val="16"/>
        </w:rPr>
        <w:t>183.05  NCO مرکز آمادگی نظامی و خانواده (SDI ۸ک۰۰۰).</w:t>
      </w:r>
    </w:p>
    <w:p>
      <w:pPr>
        <w:spacing w:after="28" w:line="216" w:lineRule="auto"/>
        <w:ind w:left="259"/>
        <w:jc w:val="left"/>
      </w:pPr>
      <w:r>
        <w:rPr>
          <w:rFonts w:ascii="Arial" w:hAnsi="Arial"/>
          <w:color w:val="525252"/>
          <w:sz w:val="13"/>
        </w:rPr>
        <w:t>Military and Family Readiness Center Readiness NCO (SDI 8C000).</w:t>
      </w:r>
    </w:p>
    <w:p>
      <w:pPr>
        <w:spacing w:after="20" w:line="223" w:lineRule="auto"/>
        <w:jc w:val="right"/>
        <w:bidi/>
      </w:pPr>
      <w:r>
        <w:rPr>
          <w:rFonts w:ascii="Arial" w:hAnsi="Arial"/>
          <w:sz w:val="16"/>
        </w:rPr>
        <w:t>183.06  افسران آمادگی از مأموریت عملکردی کلی مرکز آمادگی نظامی و خانواده حمایت می‌کنند تا اطمینان حاصل شود که برنامه‌ها و خدمات به نیازهای اعضای نیروهای مسلح، غیرنظامیان وزارت دفاع و خانواده‌های آنها پاسخ می‌دهند. توسعه و ارائه خدمات آمادگی شخصی و خانوادگی مربوط به قبل از استقرار، استقرار/تقویت، استقرار مجدد/ادغام مجدد، و آموزش و مشاوره پس از اعزام به نیروی هوایی، نگهبانان و خانواده‌های آنها. و توسعه، تمرین و اجرای طرح‌های پشتیبانی واکنش در بلایا.</w:t>
      </w:r>
    </w:p>
    <w:p>
      <w:pPr>
        <w:spacing w:after="28" w:line="216" w:lineRule="auto"/>
        <w:ind w:left="259"/>
        <w:jc w:val="left"/>
      </w:pPr>
      <w:r>
        <w:rPr>
          <w:rFonts w:ascii="Arial" w:hAnsi="Arial"/>
          <w:color w:val="525252"/>
          <w:sz w:val="13"/>
        </w:rPr>
        <w:t>Readiness NCOs support the Military and Family Readiness Center overall functional mission to ensure programs and services are responsive to the needs of service members, Department of Defense civilians, and their families; develop and provide personal and family readiness services related to pre- deployment, deployment/sustainment, redeployment/reintegration, and post deployment education and consultation to Total Force Airmen, Guardians, and their families; and develop, exercise, and implement disaster response support plans.</w:t>
      </w:r>
    </w:p>
    <w:p>
      <w:pPr>
        <w:spacing w:after="20" w:line="223" w:lineRule="auto"/>
        <w:jc w:val="right"/>
        <w:bidi/>
      </w:pPr>
      <w:r>
        <w:rPr>
          <w:rFonts w:ascii="Arial" w:hAnsi="Arial"/>
          <w:sz w:val="16"/>
        </w:rPr>
        <w:t>183.07  مشاور زبان و فرهنگ (SDI ۸د۱۰۰).</w:t>
      </w:r>
    </w:p>
    <w:p>
      <w:pPr>
        <w:spacing w:after="28" w:line="216" w:lineRule="auto"/>
        <w:ind w:left="259"/>
        <w:jc w:val="left"/>
      </w:pPr>
      <w:r>
        <w:rPr>
          <w:rFonts w:ascii="Arial" w:hAnsi="Arial"/>
          <w:color w:val="525252"/>
          <w:sz w:val="13"/>
        </w:rPr>
        <w:t>Language and Culture Advisor (SDI 8D100).</w:t>
      </w:r>
    </w:p>
    <w:p>
      <w:pPr>
        <w:spacing w:after="20" w:line="223" w:lineRule="auto"/>
        <w:jc w:val="right"/>
        <w:bidi/>
      </w:pPr>
      <w:r>
        <w:rPr>
          <w:rFonts w:ascii="Arial" w:hAnsi="Arial"/>
          <w:sz w:val="16"/>
        </w:rPr>
        <w:t>183.08  مشاوران زبان و فرهنگ به‌عنوان مشاوران و مشاوران کلیدی فرماندهان و سرپرستان در مورد مسائل مربوط به زبان خارجی و فرهنگ منطقه‌ای خدمت می‌کنند.</w:t>
      </w:r>
    </w:p>
    <w:p>
      <w:pPr>
        <w:spacing w:after="28" w:line="216" w:lineRule="auto"/>
        <w:ind w:left="259"/>
        <w:jc w:val="left"/>
      </w:pPr>
      <w:r>
        <w:rPr>
          <w:rFonts w:ascii="Arial" w:hAnsi="Arial"/>
          <w:color w:val="525252"/>
          <w:sz w:val="13"/>
        </w:rPr>
        <w:t>Language and culture advisors serve as key advisors and consultants to commanders and supervisors on issues pertaining to foreign language and regional culture.</w:t>
      </w:r>
    </w:p>
    <w:p>
      <w:pPr>
        <w:spacing w:after="20" w:line="223" w:lineRule="auto"/>
        <w:jc w:val="right"/>
        <w:bidi/>
      </w:pPr>
      <w:r>
        <w:rPr>
          <w:rFonts w:ascii="Arial" w:hAnsi="Arial"/>
          <w:sz w:val="16"/>
        </w:rPr>
        <w:t>183.09  آنها در صورت لزوم به‌عنوان مترجم یا مترجم عمل می‌کنند.</w:t>
      </w:r>
    </w:p>
    <w:p>
      <w:pPr>
        <w:spacing w:after="28" w:line="216" w:lineRule="auto"/>
        <w:ind w:left="259"/>
        <w:jc w:val="left"/>
      </w:pPr>
      <w:r>
        <w:rPr>
          <w:rFonts w:ascii="Arial" w:hAnsi="Arial"/>
          <w:color w:val="525252"/>
          <w:sz w:val="13"/>
        </w:rPr>
        <w:t>They function as interpreter or translator, as required.</w:t>
      </w:r>
    </w:p>
    <w:p>
      <w:pPr>
        <w:spacing w:after="20" w:line="223" w:lineRule="auto"/>
        <w:jc w:val="right"/>
        <w:bidi/>
      </w:pPr>
      <w:r>
        <w:rPr>
          <w:rFonts w:ascii="Arial" w:hAnsi="Arial"/>
          <w:sz w:val="16"/>
        </w:rPr>
        <w:t>183.10  گروهبان یکم (SDI ۸ف۰۰۰).</w:t>
      </w:r>
    </w:p>
    <w:p>
      <w:pPr>
        <w:spacing w:after="28" w:line="216" w:lineRule="auto"/>
        <w:ind w:left="259"/>
        <w:jc w:val="left"/>
      </w:pPr>
      <w:r>
        <w:rPr>
          <w:rFonts w:ascii="Arial" w:hAnsi="Arial"/>
          <w:color w:val="525252"/>
          <w:sz w:val="13"/>
        </w:rPr>
        <w:t>First Sergeant (SDI 8F000).</w:t>
      </w:r>
    </w:p>
    <w:p>
      <w:pPr>
        <w:spacing w:after="20" w:line="223" w:lineRule="auto"/>
        <w:jc w:val="right"/>
        <w:bidi/>
      </w:pPr>
      <w:r>
        <w:rPr>
          <w:rFonts w:ascii="Arial" w:hAnsi="Arial"/>
          <w:sz w:val="16"/>
        </w:rPr>
        <w:t>183.11  گروهبانان یکم به‌عنوان مشاور فرمانده و حلقه حیاتی برای مسائل مربوط به هوانوردان خدمت می‌کنند.</w:t>
      </w:r>
    </w:p>
    <w:p>
      <w:pPr>
        <w:spacing w:after="28" w:line="216" w:lineRule="auto"/>
        <w:ind w:left="259"/>
        <w:jc w:val="left"/>
      </w:pPr>
      <w:r>
        <w:rPr>
          <w:rFonts w:ascii="Arial" w:hAnsi="Arial"/>
          <w:color w:val="525252"/>
          <w:sz w:val="13"/>
        </w:rPr>
        <w:t>First sergeants serve as the commander’s advisor and critical link for matters concerning Airmen.</w:t>
      </w:r>
    </w:p>
    <w:p>
      <w:pPr>
        <w:spacing w:after="20" w:line="223" w:lineRule="auto"/>
        <w:jc w:val="right"/>
        <w:bidi/>
      </w:pPr>
      <w:r>
        <w:rPr>
          <w:rFonts w:ascii="Arial" w:hAnsi="Arial"/>
          <w:sz w:val="16"/>
        </w:rPr>
        <w:t>183.12  آنها از طریق تعامل، پشتیبانی و مدیریت هوانوردان و خانواده‌ها از مأموریت پشتیبانی می‌کنند.</w:t>
      </w:r>
    </w:p>
    <w:p>
      <w:pPr>
        <w:spacing w:after="28" w:line="216" w:lineRule="auto"/>
        <w:ind w:left="259"/>
        <w:jc w:val="left"/>
      </w:pPr>
      <w:r>
        <w:rPr>
          <w:rFonts w:ascii="Arial" w:hAnsi="Arial"/>
          <w:color w:val="525252"/>
          <w:sz w:val="13"/>
        </w:rPr>
        <w:t>They support the mission through interaction, support, and management of Airmen and families.</w:t>
      </w:r>
    </w:p>
    <w:p>
      <w:pPr>
        <w:spacing w:after="20" w:line="223" w:lineRule="auto"/>
        <w:jc w:val="right"/>
        <w:bidi/>
      </w:pPr>
      <w:r>
        <w:rPr>
          <w:rFonts w:ascii="Arial" w:hAnsi="Arial"/>
          <w:sz w:val="16"/>
        </w:rPr>
        <w:t>183.13  گارد افتخاری نیروی هوایی ایالات متحده (SDI ۸گ۰۰۰).</w:t>
      </w:r>
    </w:p>
    <w:p>
      <w:pPr>
        <w:spacing w:after="28" w:line="216" w:lineRule="auto"/>
        <w:ind w:left="259"/>
        <w:jc w:val="left"/>
      </w:pPr>
      <w:r>
        <w:rPr>
          <w:rFonts w:ascii="Arial" w:hAnsi="Arial"/>
          <w:color w:val="525252"/>
          <w:sz w:val="13"/>
        </w:rPr>
        <w:t>The United States Air Force Honor Guard (SDI 8G000).</w:t>
      </w:r>
    </w:p>
    <w:p>
      <w:pPr>
        <w:spacing w:after="20" w:line="223" w:lineRule="auto"/>
        <w:jc w:val="right"/>
        <w:bidi/>
      </w:pPr>
      <w:r>
        <w:rPr>
          <w:rFonts w:ascii="Arial" w:hAnsi="Arial"/>
          <w:sz w:val="16"/>
        </w:rPr>
        <w:t>183.14  شرح وظیفه ویژه گارد افتخاری USAF گارد افتخاری USAF واقع در پایگاه مشترک اناکوستیا-بوللینگ، واشنگتن دی سی را پوشش می‌دهد.</w:t>
      </w:r>
    </w:p>
    <w:p>
      <w:pPr>
        <w:spacing w:after="28" w:line="216" w:lineRule="auto"/>
        <w:ind w:left="259"/>
        <w:jc w:val="left"/>
      </w:pPr>
      <w:r>
        <w:rPr>
          <w:rFonts w:ascii="Arial" w:hAnsi="Arial"/>
          <w:color w:val="525252"/>
          <w:sz w:val="13"/>
        </w:rPr>
        <w:t>The USAF honor guard special duty description covers the USAF Honor Guard, located at Joint Base Anacostia-Bolling, Washington D.C. The Honor Guard represents the USAF at ceremonies where protocol or customs dictate using an honor guard or military escort of this degree.</w:t>
      </w:r>
    </w:p>
    <w:p>
      <w:pPr>
        <w:spacing w:after="20" w:line="223" w:lineRule="auto"/>
        <w:jc w:val="right"/>
        <w:bidi/>
      </w:pPr>
      <w:r>
        <w:rPr>
          <w:rFonts w:ascii="Arial" w:hAnsi="Arial"/>
          <w:sz w:val="16"/>
        </w:rPr>
        <w:t>183.15  مدیر برنامه هونور گوارد ینستاللاتیون USAF (SDI ۸گ۱۰۰).</w:t>
      </w:r>
    </w:p>
    <w:p>
      <w:pPr>
        <w:spacing w:after="28" w:line="216" w:lineRule="auto"/>
        <w:ind w:left="259"/>
        <w:jc w:val="left"/>
      </w:pPr>
      <w:r>
        <w:rPr>
          <w:rFonts w:ascii="Arial" w:hAnsi="Arial"/>
          <w:color w:val="525252"/>
          <w:sz w:val="13"/>
        </w:rPr>
        <w:t>USAF Installation Honor Guard Program Manager (SDI 8G100).</w:t>
      </w:r>
    </w:p>
    <w:p>
      <w:pPr>
        <w:spacing w:after="20" w:line="223" w:lineRule="auto"/>
        <w:jc w:val="right"/>
        <w:bidi/>
      </w:pPr>
      <w:r>
        <w:rPr>
          <w:rFonts w:ascii="Arial" w:hAnsi="Arial"/>
          <w:sz w:val="16"/>
        </w:rPr>
        <w:t>183.16  این شرح وظیفه ویژه موقعیت مدیر برنامه گارد افتخاری نصب را پوشش می‌دهد، که در هر تاسیسات USAF که نیاز به گارد افتخاری محلی دارد، واقع شده است.</w:t>
      </w:r>
    </w:p>
    <w:p>
      <w:pPr>
        <w:spacing w:after="28" w:line="216" w:lineRule="auto"/>
        <w:ind w:left="259"/>
        <w:jc w:val="left"/>
      </w:pPr>
      <w:r>
        <w:rPr>
          <w:rFonts w:ascii="Arial" w:hAnsi="Arial"/>
          <w:color w:val="525252"/>
          <w:sz w:val="13"/>
        </w:rPr>
        <w:t>This special duty description covers the installation honor guard program manager position, located at any USAF installation that has a local honor guard requirement.</w:t>
      </w:r>
    </w:p>
    <w:p>
      <w:pPr>
        <w:spacing w:after="20" w:line="223" w:lineRule="auto"/>
        <w:jc w:val="right"/>
        <w:bidi/>
      </w:pPr>
      <w:r>
        <w:rPr>
          <w:rFonts w:ascii="Arial" w:hAnsi="Arial"/>
          <w:sz w:val="16"/>
        </w:rPr>
        <w:t>183.17  گارد افتخار نماینده نیروی هوایی در مراسمی است که پروتکل‌ها یا آداب و رسوم با استفاده از گارد افتخاری یا اسکورت نظامی حکم می‌کنند.</w:t>
      </w:r>
    </w:p>
    <w:p>
      <w:pPr>
        <w:spacing w:after="28" w:line="216" w:lineRule="auto"/>
        <w:ind w:left="259"/>
        <w:jc w:val="left"/>
      </w:pPr>
      <w:r>
        <w:rPr>
          <w:rFonts w:ascii="Arial" w:hAnsi="Arial"/>
          <w:color w:val="525252"/>
          <w:sz w:val="13"/>
        </w:rPr>
        <w:t>The honor guard represents the Air Force at ceremonies where protocols or customs dictate using an honor guard or military escort.</w:t>
      </w:r>
    </w:p>
    <w:p>
      <w:pPr>
        <w:spacing w:after="20" w:line="223" w:lineRule="auto"/>
        <w:jc w:val="right"/>
        <w:bidi/>
      </w:pPr>
      <w:r>
        <w:rPr>
          <w:rFonts w:ascii="Arial" w:hAnsi="Arial"/>
          <w:sz w:val="16"/>
        </w:rPr>
        <w:t>183.18  رهبر خوابگاه هوایی (SDI ۸ه۰۰۰).</w:t>
      </w:r>
    </w:p>
    <w:p>
      <w:pPr>
        <w:spacing w:after="28" w:line="216" w:lineRule="auto"/>
        <w:ind w:left="259"/>
        <w:jc w:val="left"/>
      </w:pPr>
      <w:r>
        <w:rPr>
          <w:rFonts w:ascii="Arial" w:hAnsi="Arial"/>
          <w:color w:val="525252"/>
          <w:sz w:val="13"/>
        </w:rPr>
        <w:t>Airmen Dorm Leader (SDI 8H000).</w:t>
      </w:r>
    </w:p>
    <w:p>
      <w:pPr>
        <w:spacing w:after="20" w:line="223" w:lineRule="auto"/>
        <w:jc w:val="right"/>
        <w:bidi/>
      </w:pPr>
      <w:r>
        <w:rPr>
          <w:rFonts w:ascii="Arial" w:hAnsi="Arial"/>
          <w:sz w:val="16"/>
        </w:rPr>
        <w:t>183.19  از این شناسه برای گزارش کدهای تخصصی کنترل، اعطا و وظیفه افرادی که به‌عنوان مدیر تسهیلات مسکن بدون همراه USAF کار تمام وقت دارند، استفاده کنید.</w:t>
      </w:r>
    </w:p>
    <w:p>
      <w:pPr>
        <w:spacing w:after="28" w:line="216" w:lineRule="auto"/>
        <w:ind w:left="259"/>
        <w:jc w:val="left"/>
      </w:pPr>
      <w:r>
        <w:rPr>
          <w:rFonts w:ascii="Arial" w:hAnsi="Arial"/>
          <w:color w:val="525252"/>
          <w:sz w:val="13"/>
        </w:rPr>
        <w:t>Use this identifier to report the control, awarded, and duty specialty codes of individuals performing full time as a manager of USAF unaccompanied housing facilities.</w:t>
      </w:r>
    </w:p>
    <w:p>
      <w:pPr>
        <w:spacing w:after="20" w:line="223" w:lineRule="auto"/>
        <w:jc w:val="right"/>
        <w:bidi/>
      </w:pPr>
      <w:r>
        <w:rPr>
          <w:rFonts w:ascii="Arial" w:hAnsi="Arial"/>
          <w:sz w:val="16"/>
        </w:rPr>
        <w:t>183.20  رهبر خوابگاه نیروهای هوایی مسئول عملیات روزانه مسکن بدون همراه است. راهنمایی ساکنان و کمک به آنها در سازگاری با زندگی نظامی؛ حصول اطمینان از انطباق با دستورالعمل‌ها و استانداردهای زندگی نظامی؛ ارزیابی نظم و انضباط خوب؛ اعمال نظارت عمومی بر ساکنین؛ مدیریت امکانات و محوطه دانشگاه؛ مدیریت بودجه، برنامه و شناسایی و اجرای پروژه؛ مدیریت کمک هزینه پایه برای معاملات مسکن؛ و نگهداری لوازم و تجهیزات تجهیز برای امکانات با کیفیت.</w:t>
      </w:r>
    </w:p>
    <w:p>
      <w:pPr>
        <w:spacing w:after="28" w:line="216" w:lineRule="auto"/>
        <w:ind w:left="259"/>
        <w:jc w:val="left"/>
      </w:pPr>
      <w:r>
        <w:rPr>
          <w:rFonts w:ascii="Arial" w:hAnsi="Arial"/>
          <w:color w:val="525252"/>
          <w:sz w:val="13"/>
        </w:rPr>
        <w:t>The Airmen dorm leader is responsible for daily unaccompanied housing operations; mentoring residents and assisting them in their adjustment to military life; ensuring compliance with directives and military living standards; assessing good order and discipline; exercising general supervision over residents; managing facilities and campus areas; managing budget, program, and project identification and execution; managing basic allowance for housing transactions; and maintaining supplies and furnishing equipment for quality facilities.</w:t>
      </w:r>
    </w:p>
    <w:p>
      <w:pPr>
        <w:spacing w:after="20" w:line="223" w:lineRule="auto"/>
        <w:jc w:val="right"/>
        <w:bidi/>
      </w:pPr>
      <w:r>
        <w:rPr>
          <w:rFonts w:ascii="Arial" w:hAnsi="Arial"/>
          <w:sz w:val="16"/>
        </w:rPr>
        <w:t>183.21  سرپرست، بازرسی کل (SDI ۸ی۰۰۰).</w:t>
      </w:r>
    </w:p>
    <w:p>
      <w:pPr>
        <w:spacing w:after="28" w:line="216" w:lineRule="auto"/>
        <w:ind w:left="259"/>
        <w:jc w:val="left"/>
      </w:pPr>
      <w:r>
        <w:rPr>
          <w:rFonts w:ascii="Arial" w:hAnsi="Arial"/>
          <w:color w:val="525252"/>
          <w:sz w:val="13"/>
        </w:rPr>
        <w:t>Superintendent, Inspection General (SDI 8I000).</w:t>
      </w:r>
    </w:p>
    <w:p>
      <w:pPr>
        <w:spacing w:after="20" w:line="223" w:lineRule="auto"/>
        <w:jc w:val="right"/>
        <w:bidi/>
      </w:pPr>
      <w:r>
        <w:rPr>
          <w:rFonts w:ascii="Arial" w:hAnsi="Arial"/>
          <w:sz w:val="16"/>
        </w:rPr>
        <w:t>183.22  سرپرست، بازرس کل (IG) به بازرس کل در FOA/DRU، بال‌ها و معادل‌های بال، MAJCOM و ستاد نیروی هوایی در مورد اجرای سیستم بازرسی نیروی هوایی (AFIS)، حل شکایات، و برنامه بازرسی فرماندهی (CCIP) مشاوره می‌دهد.</w:t>
      </w:r>
    </w:p>
    <w:p>
      <w:pPr>
        <w:spacing w:after="28" w:line="216" w:lineRule="auto"/>
        <w:ind w:left="259"/>
        <w:jc w:val="left"/>
      </w:pPr>
      <w:r>
        <w:rPr>
          <w:rFonts w:ascii="Arial" w:hAnsi="Arial"/>
          <w:color w:val="525252"/>
          <w:sz w:val="13"/>
        </w:rPr>
        <w:t>The Superintendent, Inspector General (IG) advises the Inspector General at FOA/DRUs, wings and wing equivalents, MAJCOMs, and Headquarters Air Force on implementing the Air Force Inspection System (AFIS), Complaints Resolution, and the Commander’s Inspection program (CCIP).</w:t>
      </w:r>
    </w:p>
    <w:p>
      <w:pPr>
        <w:spacing w:after="20" w:line="223" w:lineRule="auto"/>
        <w:jc w:val="right"/>
        <w:bidi/>
      </w:pPr>
      <w:r>
        <w:rPr>
          <w:rFonts w:ascii="Arial" w:hAnsi="Arial"/>
          <w:sz w:val="16"/>
        </w:rPr>
        <w:t>183.23  آنها روش‌ها و رویه‌هایی را برای اجرای سیاست‌ها و برنامه‌های IG توسعه می‌دهند، ایجاد و کنترل می‌کنند و در عین حال نظارت و راهنمایی خط‌مشی در مورد برنامه‌های IG، طرح‌ها، الزامات، مدیریت، آموزش و ابتکارات آگاهی ارائه می‌کنند.</w:t>
      </w:r>
    </w:p>
    <w:p>
      <w:pPr>
        <w:spacing w:after="28" w:line="216" w:lineRule="auto"/>
        <w:ind w:left="259"/>
        <w:jc w:val="left"/>
      </w:pPr>
      <w:r>
        <w:rPr>
          <w:rFonts w:ascii="Arial" w:hAnsi="Arial"/>
          <w:color w:val="525252"/>
          <w:sz w:val="13"/>
        </w:rPr>
        <w:t>They develop, establish and control methods and procedures to implement IG policies and program while providing oversight and policy guidance concerning IG programs, plans, requirements, management, education, and awareness initiatives.</w:t>
      </w:r>
    </w:p>
    <w:p>
      <w:pPr>
        <w:spacing w:after="20" w:line="223" w:lineRule="auto"/>
        <w:jc w:val="right"/>
        <w:bidi/>
      </w:pPr>
      <w:r>
        <w:rPr>
          <w:rFonts w:ascii="Arial" w:hAnsi="Arial"/>
          <w:sz w:val="16"/>
        </w:rPr>
        <w:t>183.24  هماهنگ کننده بازرسی (SDI ۸ی۱۰۰).</w:t>
      </w:r>
    </w:p>
    <w:p>
      <w:pPr>
        <w:spacing w:after="28" w:line="216" w:lineRule="auto"/>
        <w:ind w:left="259"/>
        <w:jc w:val="left"/>
      </w:pPr>
      <w:r>
        <w:rPr>
          <w:rFonts w:ascii="Arial" w:hAnsi="Arial"/>
          <w:color w:val="525252"/>
          <w:sz w:val="13"/>
        </w:rPr>
        <w:t>Inspections Coordinator (SDI 8I100).</w:t>
      </w:r>
    </w:p>
    <w:p>
      <w:pPr>
        <w:spacing w:after="20" w:line="223" w:lineRule="auto"/>
        <w:jc w:val="right"/>
        <w:bidi/>
      </w:pPr>
      <w:r>
        <w:rPr>
          <w:rFonts w:ascii="Arial" w:hAnsi="Arial"/>
          <w:sz w:val="16"/>
        </w:rPr>
        <w:t>183.25  هماهنگ کننده بازرسی در سطوح بال، مرکز، FOA، DRU، NAF و MAJCOM با هماهنگی اقدامات بازرسی برای کلیه فعالیت‌های مربوط به سیستم بازرسی نیروی هوایی (AFIS) عمل می‌کند.</w:t>
      </w:r>
    </w:p>
    <w:p>
      <w:pPr>
        <w:spacing w:after="28" w:line="216" w:lineRule="auto"/>
        <w:ind w:left="259"/>
        <w:jc w:val="left"/>
      </w:pPr>
      <w:r>
        <w:rPr>
          <w:rFonts w:ascii="Arial" w:hAnsi="Arial"/>
          <w:color w:val="525252"/>
          <w:sz w:val="13"/>
        </w:rPr>
        <w:t>The inspections coordinator operates at the wing, center, FOA, DRU, NAF and MAJCOM levels by coordinating inspection actions for all activities related to the Air Force Inspection System (AFIS).</w:t>
      </w:r>
    </w:p>
    <w:p>
      <w:pPr>
        <w:spacing w:after="20" w:line="223" w:lineRule="auto"/>
        <w:jc w:val="right"/>
        <w:bidi/>
      </w:pPr>
      <w:r>
        <w:rPr>
          <w:rFonts w:ascii="Arial" w:hAnsi="Arial"/>
          <w:sz w:val="16"/>
        </w:rPr>
        <w:t>183.26  در سطح وینگ/کنتر/FOA/DRU/NAF، آنها هستند</w:t>
      </w:r>
    </w:p>
    <w:p>
      <w:pPr>
        <w:spacing w:after="28" w:line="216" w:lineRule="auto"/>
        <w:ind w:left="259"/>
        <w:jc w:val="left"/>
      </w:pPr>
      <w:r>
        <w:rPr>
          <w:rFonts w:ascii="Arial" w:hAnsi="Arial"/>
          <w:color w:val="525252"/>
          <w:sz w:val="13"/>
        </w:rPr>
        <w:t>At the Wing/Center/FOA/DRU/NAF level, they are</w:t>
      </w:r>
    </w:p>
    <w:p>
      <w:r>
        <w:br w:type="page"/>
      </w:r>
    </w:p>
    <w:p>
      <w:pPr>
        <w:spacing w:after="60"/>
        <w:jc w:val="right"/>
        <w:bidi/>
      </w:pPr>
      <w:r>
        <w:rPr>
          <w:rFonts w:ascii="Arial" w:hAnsi="Arial"/>
          <w:b/>
          <w:color w:val="1F4D78"/>
          <w:sz w:val="19"/>
        </w:rPr>
        <w:t>هفتهٔ 184  |  صفحهٔ منبع: 200</w:t>
      </w:r>
    </w:p>
    <w:p>
      <w:pPr>
        <w:spacing w:after="20" w:line="223" w:lineRule="auto"/>
        <w:jc w:val="right"/>
        <w:bidi/>
      </w:pPr>
      <w:r>
        <w:rPr>
          <w:rFonts w:ascii="Arial" w:hAnsi="Arial"/>
          <w:sz w:val="16"/>
        </w:rPr>
        <w:t>184.01  در برنامه‌ریزی، سازماندهی و اجرای طیف گسترده‌ای از فعالیت‌های پیچیده برای برنامه بازرسی فرمانده بال/مرکز (CCIP) و برنامه تمرین و ارزیابی مشارکت دارد.</w:t>
      </w:r>
    </w:p>
    <w:p>
      <w:pPr>
        <w:spacing w:after="28" w:line="216" w:lineRule="auto"/>
        <w:ind w:left="259"/>
        <w:jc w:val="left"/>
      </w:pPr>
      <w:r>
        <w:rPr>
          <w:rFonts w:ascii="Arial" w:hAnsi="Arial"/>
          <w:color w:val="525252"/>
          <w:sz w:val="13"/>
        </w:rPr>
        <w:t>involved in planning, organizing, and executing a wide range of complex activities for the wing/center Commander’s Inspection Program (CCIP), and the Exercise and Evaluation Program.</w:t>
      </w:r>
    </w:p>
    <w:p>
      <w:pPr>
        <w:spacing w:after="20" w:line="223" w:lineRule="auto"/>
        <w:jc w:val="right"/>
        <w:bidi/>
      </w:pPr>
      <w:r>
        <w:rPr>
          <w:rFonts w:ascii="Arial" w:hAnsi="Arial"/>
          <w:sz w:val="16"/>
        </w:rPr>
        <w:t>184.02  در سطح MAJCOM، آنها در برنامه‌ریزی، سازماندهی و اجرای بازرسی‌های اثربخشی واحد (UEI)، ارزیابی‌های آمادگی و بازدیدهای در محل مشارکت دارند.</w:t>
      </w:r>
    </w:p>
    <w:p>
      <w:pPr>
        <w:spacing w:after="28" w:line="216" w:lineRule="auto"/>
        <w:ind w:left="259"/>
        <w:jc w:val="left"/>
      </w:pPr>
      <w:r>
        <w:rPr>
          <w:rFonts w:ascii="Arial" w:hAnsi="Arial"/>
          <w:color w:val="525252"/>
          <w:sz w:val="13"/>
        </w:rPr>
        <w:t>At the MAJCOM level, they are involved in planning, organizing, and executing Unit Effectiveness Inspections (UEI), readiness assessments, and on-site visits.</w:t>
      </w:r>
    </w:p>
    <w:p>
      <w:pPr>
        <w:spacing w:after="20" w:line="223" w:lineRule="auto"/>
        <w:jc w:val="right"/>
        <w:bidi/>
      </w:pPr>
      <w:r>
        <w:rPr>
          <w:rFonts w:ascii="Arial" w:hAnsi="Arial"/>
          <w:sz w:val="16"/>
        </w:rPr>
        <w:t>184.03  سرپرست، شکایات و تصمیمات (SDI ۸ی۲۰۰).</w:t>
      </w:r>
    </w:p>
    <w:p>
      <w:pPr>
        <w:spacing w:after="28" w:line="216" w:lineRule="auto"/>
        <w:ind w:left="259"/>
        <w:jc w:val="left"/>
      </w:pPr>
      <w:r>
        <w:rPr>
          <w:rFonts w:ascii="Arial" w:hAnsi="Arial"/>
          <w:color w:val="525252"/>
          <w:sz w:val="13"/>
        </w:rPr>
        <w:t>Superintendent, Complaints &amp; Resolutions (SDI 8I200).</w:t>
      </w:r>
    </w:p>
    <w:p>
      <w:pPr>
        <w:spacing w:after="20" w:line="223" w:lineRule="auto"/>
        <w:jc w:val="right"/>
        <w:bidi/>
      </w:pPr>
      <w:r>
        <w:rPr>
          <w:rFonts w:ascii="Arial" w:hAnsi="Arial"/>
          <w:sz w:val="16"/>
        </w:rPr>
        <w:t>184.04  ناظر شکایات و قطعنامه‌ها به IG و فرمانده در مورد کلیه فعالیت‌های مربوط به برنامه حل و فصل شکایات مشاوره می‌دهد.</w:t>
      </w:r>
    </w:p>
    <w:p>
      <w:pPr>
        <w:spacing w:after="28" w:line="216" w:lineRule="auto"/>
        <w:ind w:left="259"/>
        <w:jc w:val="left"/>
      </w:pPr>
      <w:r>
        <w:rPr>
          <w:rFonts w:ascii="Arial" w:hAnsi="Arial"/>
          <w:color w:val="525252"/>
          <w:sz w:val="13"/>
        </w:rPr>
        <w:t>The superintendent of complaints and resolutions advises the IG and commander on all activities related to the Complaints Resolution Program.</w:t>
      </w:r>
    </w:p>
    <w:p>
      <w:pPr>
        <w:spacing w:after="20" w:line="223" w:lineRule="auto"/>
        <w:jc w:val="right"/>
        <w:bidi/>
      </w:pPr>
      <w:r>
        <w:rPr>
          <w:rFonts w:ascii="Arial" w:hAnsi="Arial"/>
          <w:sz w:val="16"/>
        </w:rPr>
        <w:t>184.05  سرپرست شکایات و تصمیم‌گیری‌ها همچنین بازخورد، پشتیبانی و کمک به IG ارائه می‌کند.</w:t>
      </w:r>
    </w:p>
    <w:p>
      <w:pPr>
        <w:spacing w:after="28" w:line="216" w:lineRule="auto"/>
        <w:ind w:left="259"/>
        <w:jc w:val="left"/>
      </w:pPr>
      <w:r>
        <w:rPr>
          <w:rFonts w:ascii="Arial" w:hAnsi="Arial"/>
          <w:color w:val="525252"/>
          <w:sz w:val="13"/>
        </w:rPr>
        <w:t>The superintendent of complaints and resolutions also provides feedback, support, and assistance to the IG.</w:t>
      </w:r>
    </w:p>
    <w:p>
      <w:pPr>
        <w:spacing w:after="20" w:line="223" w:lineRule="auto"/>
        <w:jc w:val="right"/>
        <w:bidi/>
      </w:pPr>
      <w:r>
        <w:rPr>
          <w:rFonts w:ascii="Arial" w:hAnsi="Arial"/>
          <w:sz w:val="16"/>
        </w:rPr>
        <w:t>184.06  پیک (SDI ۸پ۰۰۰).</w:t>
      </w:r>
    </w:p>
    <w:p>
      <w:pPr>
        <w:spacing w:after="28" w:line="216" w:lineRule="auto"/>
        <w:ind w:left="259"/>
        <w:jc w:val="left"/>
      </w:pPr>
      <w:r>
        <w:rPr>
          <w:rFonts w:ascii="Arial" w:hAnsi="Arial"/>
          <w:color w:val="525252"/>
          <w:sz w:val="13"/>
        </w:rPr>
        <w:t>Courier (SDI 8P000).</w:t>
      </w:r>
    </w:p>
    <w:p>
      <w:pPr>
        <w:spacing w:after="20" w:line="223" w:lineRule="auto"/>
        <w:jc w:val="right"/>
        <w:bidi/>
      </w:pPr>
      <w:r>
        <w:rPr>
          <w:rFonts w:ascii="Arial" w:hAnsi="Arial"/>
          <w:sz w:val="16"/>
        </w:rPr>
        <w:t>184.07  پیک‌ها به‌عنوان نگهبان برای محافظت از مواد پیک نیروهای مسلح ایالات متحده عمل می‌کنند.</w:t>
      </w:r>
    </w:p>
    <w:p>
      <w:pPr>
        <w:spacing w:after="28" w:line="216" w:lineRule="auto"/>
        <w:ind w:left="259"/>
        <w:jc w:val="left"/>
      </w:pPr>
      <w:r>
        <w:rPr>
          <w:rFonts w:ascii="Arial" w:hAnsi="Arial"/>
          <w:color w:val="525252"/>
          <w:sz w:val="13"/>
        </w:rPr>
        <w:t>Couriers perform as custodians to safeguard U.S. Armed Forces courier material.</w:t>
      </w:r>
    </w:p>
    <w:p>
      <w:pPr>
        <w:spacing w:after="20" w:line="223" w:lineRule="auto"/>
        <w:jc w:val="right"/>
        <w:bidi/>
      </w:pPr>
      <w:r>
        <w:rPr>
          <w:rFonts w:ascii="Arial" w:hAnsi="Arial"/>
          <w:sz w:val="16"/>
        </w:rPr>
        <w:t>184.08  وابسته دفاعی (SDI ۸پ۱۰۰).</w:t>
      </w:r>
    </w:p>
    <w:p>
      <w:pPr>
        <w:spacing w:after="28" w:line="216" w:lineRule="auto"/>
        <w:ind w:left="259"/>
        <w:jc w:val="left"/>
      </w:pPr>
      <w:r>
        <w:rPr>
          <w:rFonts w:ascii="Arial" w:hAnsi="Arial"/>
          <w:color w:val="525252"/>
          <w:sz w:val="13"/>
        </w:rPr>
        <w:t>Defense Attaché (SDI 8P100).</w:t>
      </w:r>
    </w:p>
    <w:p>
      <w:pPr>
        <w:spacing w:after="20" w:line="223" w:lineRule="auto"/>
        <w:jc w:val="right"/>
        <w:bidi/>
      </w:pPr>
      <w:r>
        <w:rPr>
          <w:rFonts w:ascii="Arial" w:hAnsi="Arial"/>
          <w:sz w:val="16"/>
        </w:rPr>
        <w:t>184.09  وابسته‌های دفاعی، بودجه دفتر وابسته دفاعی و فایل‌های داده‌ها و اطلاعات مالی را مدیریت و نگهداری می‌کنند، بازدیدهای کشتی‌های نیروی دریایی ایالات متحده و مجوزهای پرواز و فرود هواپیماهای نظامی را با مقامات کشور میزبان هماهنگ می‌کنند، الزامات پشتیبانی دفتر را با مقامات سفارت هماهنگ می‌کنند، و وظایف اداری و پشتیبانی دفتر را مطابق با استانداردهای آژانس اطلاعات دفاعی انجام می‌دهند.</w:t>
      </w:r>
    </w:p>
    <w:p>
      <w:pPr>
        <w:spacing w:after="28" w:line="216" w:lineRule="auto"/>
        <w:ind w:left="259"/>
        <w:jc w:val="left"/>
      </w:pPr>
      <w:r>
        <w:rPr>
          <w:rFonts w:ascii="Arial" w:hAnsi="Arial"/>
          <w:color w:val="525252"/>
          <w:sz w:val="13"/>
        </w:rPr>
        <w:t>Defense attachés manage and maintain defense attaché office budget and fiscal data and information files, coordinate U.S. Naval ship visits and military aircraft over-flight and landing clearances with host country officials, coordinate office support requirements with embassy officials, and perform office administrative and support duties according to Defense Intelligence Agency standards.</w:t>
      </w:r>
    </w:p>
    <w:p>
      <w:pPr>
        <w:spacing w:after="20" w:line="223" w:lineRule="auto"/>
        <w:jc w:val="right"/>
        <w:bidi/>
      </w:pPr>
      <w:r>
        <w:rPr>
          <w:rFonts w:ascii="Arial" w:hAnsi="Arial"/>
          <w:sz w:val="16"/>
        </w:rPr>
        <w:t>184.10  استخدام کننده الحاقیه (SDI ۸ر۰۰۰).</w:t>
      </w:r>
    </w:p>
    <w:p>
      <w:pPr>
        <w:spacing w:after="28" w:line="216" w:lineRule="auto"/>
        <w:ind w:left="259"/>
        <w:jc w:val="left"/>
      </w:pPr>
      <w:r>
        <w:rPr>
          <w:rFonts w:ascii="Arial" w:hAnsi="Arial"/>
          <w:color w:val="525252"/>
          <w:sz w:val="13"/>
        </w:rPr>
        <w:t>Enlisted Accessions Recruiter (SDI 8R000).</w:t>
      </w:r>
    </w:p>
    <w:p>
      <w:pPr>
        <w:spacing w:after="20" w:line="223" w:lineRule="auto"/>
        <w:jc w:val="right"/>
        <w:bidi/>
      </w:pPr>
      <w:r>
        <w:rPr>
          <w:rFonts w:ascii="Arial" w:hAnsi="Arial"/>
          <w:sz w:val="16"/>
        </w:rPr>
        <w:t>184.11  استخدام کنندگان الحاقی ثبت‌نام شده برنامه هایی را برای استخدام پرسنل کافی برای برآوردن الزامات USAF سازماندهی و اجرا می‌کنند.</w:t>
      </w:r>
    </w:p>
    <w:p>
      <w:pPr>
        <w:spacing w:after="28" w:line="216" w:lineRule="auto"/>
        <w:ind w:left="259"/>
        <w:jc w:val="left"/>
      </w:pPr>
      <w:r>
        <w:rPr>
          <w:rFonts w:ascii="Arial" w:hAnsi="Arial"/>
          <w:color w:val="525252"/>
          <w:sz w:val="13"/>
        </w:rPr>
        <w:t>Enlisted accessions recruiters organize and conduct programs to recruit sufficient personnel to satisfy the requirements of the USAF.</w:t>
      </w:r>
    </w:p>
    <w:p>
      <w:pPr>
        <w:spacing w:after="20" w:line="223" w:lineRule="auto"/>
        <w:jc w:val="right"/>
        <w:bidi/>
      </w:pPr>
      <w:r>
        <w:rPr>
          <w:rFonts w:ascii="Arial" w:hAnsi="Arial"/>
          <w:sz w:val="16"/>
        </w:rPr>
        <w:t>184.12  این اعضا مسئول مصاحبه، غربالگری، آزمایش و ارزیابی متقاضیان از منابع مختلف برای دستیابی به اهداف استخدام هستند.</w:t>
      </w:r>
    </w:p>
    <w:p>
      <w:pPr>
        <w:spacing w:after="28" w:line="216" w:lineRule="auto"/>
        <w:ind w:left="259"/>
        <w:jc w:val="left"/>
      </w:pPr>
      <w:r>
        <w:rPr>
          <w:rFonts w:ascii="Arial" w:hAnsi="Arial"/>
          <w:color w:val="525252"/>
          <w:sz w:val="13"/>
        </w:rPr>
        <w:t>These members are responsible for interviewing, screening, testing, and evaluating applicants from various sources to achieve recruiting goals.</w:t>
      </w:r>
    </w:p>
    <w:p>
      <w:pPr>
        <w:spacing w:after="20" w:line="223" w:lineRule="auto"/>
        <w:jc w:val="right"/>
        <w:bidi/>
      </w:pPr>
      <w:r>
        <w:rPr>
          <w:rFonts w:ascii="Arial" w:hAnsi="Arial"/>
          <w:sz w:val="16"/>
        </w:rPr>
        <w:t>184.13  استخدام کننده ردیف دوم (SDI ۸ر۲۰۰).</w:t>
      </w:r>
    </w:p>
    <w:p>
      <w:pPr>
        <w:spacing w:after="28" w:line="216" w:lineRule="auto"/>
        <w:ind w:left="259"/>
        <w:jc w:val="left"/>
      </w:pPr>
      <w:r>
        <w:rPr>
          <w:rFonts w:ascii="Arial" w:hAnsi="Arial"/>
          <w:color w:val="525252"/>
          <w:sz w:val="13"/>
        </w:rPr>
        <w:t>Second-Tier Recruiter (SDI 8R200).</w:t>
      </w:r>
    </w:p>
    <w:p>
      <w:pPr>
        <w:spacing w:after="20" w:line="223" w:lineRule="auto"/>
        <w:jc w:val="right"/>
        <w:bidi/>
      </w:pPr>
      <w:r>
        <w:rPr>
          <w:rFonts w:ascii="Arial" w:hAnsi="Arial"/>
          <w:sz w:val="16"/>
        </w:rPr>
        <w:t>184.14  استخدام‌کنندگان ردیف دوم برنامه‌هایی را برای استخدام پرسنل کافی برای برآورده کردن الزامات USAF سازماندهی و اجرا می‌کنند.</w:t>
      </w:r>
    </w:p>
    <w:p>
      <w:pPr>
        <w:spacing w:after="28" w:line="216" w:lineRule="auto"/>
        <w:ind w:left="259"/>
        <w:jc w:val="left"/>
      </w:pPr>
      <w:r>
        <w:rPr>
          <w:rFonts w:ascii="Arial" w:hAnsi="Arial"/>
          <w:color w:val="525252"/>
          <w:sz w:val="13"/>
        </w:rPr>
        <w:t>Second-tier recruiters organize and conduct programs to recruit sufficient personnel to satisfy the requirements of the USAF.</w:t>
      </w:r>
    </w:p>
    <w:p>
      <w:pPr>
        <w:spacing w:after="20" w:line="223" w:lineRule="auto"/>
        <w:jc w:val="right"/>
        <w:bidi/>
      </w:pPr>
      <w:r>
        <w:rPr>
          <w:rFonts w:ascii="Arial" w:hAnsi="Arial"/>
          <w:sz w:val="16"/>
        </w:rPr>
        <w:t>184.15  برای رگاف، وظایف مرتبط شامل استخدام حرفه‌های بهداشتی، استخدام افسر خط، افسر خط، مامور رابط ایستگاه پردازش ورودی نظامی (MEPS)، آموزش‌دهنده اسکادران، مامور عملیات اسکادران، استخدام‌کننده جنگ‌های ویژه، استخدام‌کننده خدمات رابط MEPS (افسر استخدام AFRS) کارکنان و مربی مدرسه استخدام نیروی هوایی.</w:t>
      </w:r>
    </w:p>
    <w:p>
      <w:pPr>
        <w:spacing w:after="28" w:line="216" w:lineRule="auto"/>
        <w:ind w:left="259"/>
        <w:jc w:val="left"/>
      </w:pPr>
      <w:r>
        <w:rPr>
          <w:rFonts w:ascii="Arial" w:hAnsi="Arial"/>
          <w:color w:val="525252"/>
          <w:sz w:val="13"/>
        </w:rPr>
        <w:t>For RegAF, related duties include Health Professions Recruiter, Line Officer Accessions Recruiter, Military Entrance Processing Station (MEPS) Liaison NCO, Squadron Trainer, Squadron Operation NCO, Special Warfare Recruiter, MEPS Liaison Supervisor, HQ AF Recruiting Service (AFRS) and Recruiting Group staff and Air Force Recruiting School Schoolhouse Instructor.</w:t>
      </w:r>
    </w:p>
    <w:p>
      <w:pPr>
        <w:spacing w:after="20" w:line="223" w:lineRule="auto"/>
        <w:jc w:val="right"/>
        <w:bidi/>
      </w:pPr>
      <w:r>
        <w:rPr>
          <w:rFonts w:ascii="Arial" w:hAnsi="Arial"/>
          <w:sz w:val="16"/>
        </w:rPr>
        <w:t>184.16  برای نیروهای ذخیره AF، وظایف مرتبط شامل استخدام کنندگان در خدمت (شامل استخدام کنندگان در خدمت/خط)، استخدام کنندگان حرفه‌های بهداشتی، استخدام کنندگان عضویت افسران، استخدام کنندگان مهارت‌های حیاتی، و موقعیت‌های کارکنان با درجه‌بندی -۷ است.</w:t>
      </w:r>
    </w:p>
    <w:p>
      <w:pPr>
        <w:spacing w:after="28" w:line="216" w:lineRule="auto"/>
        <w:ind w:left="259"/>
        <w:jc w:val="left"/>
      </w:pPr>
      <w:r>
        <w:rPr>
          <w:rFonts w:ascii="Arial" w:hAnsi="Arial"/>
          <w:color w:val="525252"/>
          <w:sz w:val="13"/>
        </w:rPr>
        <w:t>For AF Reserves, related duties include In-Service Recruiters (to include In-Service/Line Recruiters), Health Professions Recruiters, Officer Accessions Recruiters, Critical Skills Recruiters, and staff positions graded at E-7.</w:t>
      </w:r>
    </w:p>
    <w:p>
      <w:pPr>
        <w:spacing w:after="20" w:line="223" w:lineRule="auto"/>
        <w:jc w:val="right"/>
        <w:bidi/>
      </w:pPr>
      <w:r>
        <w:rPr>
          <w:rFonts w:ascii="Arial" w:hAnsi="Arial"/>
          <w:sz w:val="16"/>
        </w:rPr>
        <w:t>184.17  برای ANG، وظایف مرتبط شامل ادوانکد رکرویتینگ است.</w:t>
      </w:r>
    </w:p>
    <w:p>
      <w:pPr>
        <w:spacing w:after="28" w:line="216" w:lineRule="auto"/>
        <w:ind w:left="259"/>
        <w:jc w:val="left"/>
      </w:pPr>
      <w:r>
        <w:rPr>
          <w:rFonts w:ascii="Arial" w:hAnsi="Arial"/>
          <w:color w:val="525252"/>
          <w:sz w:val="13"/>
        </w:rPr>
        <w:t>For ANG, related duties include Advanced Recruiting.</w:t>
      </w:r>
    </w:p>
    <w:p>
      <w:pPr>
        <w:spacing w:after="20" w:line="223" w:lineRule="auto"/>
        <w:jc w:val="right"/>
        <w:bidi/>
      </w:pPr>
      <w:r>
        <w:rPr>
          <w:rFonts w:ascii="Arial" w:hAnsi="Arial"/>
          <w:sz w:val="16"/>
        </w:rPr>
        <w:t>184.18  برای ورود به این SDI، صلاحیت قبلی در SDI ۸ر۰۰۰ با حداقل ۳۶ ماه تجربه.</w:t>
      </w:r>
    </w:p>
    <w:p>
      <w:pPr>
        <w:spacing w:after="28" w:line="216" w:lineRule="auto"/>
        <w:ind w:left="259"/>
        <w:jc w:val="left"/>
      </w:pPr>
      <w:r>
        <w:rPr>
          <w:rFonts w:ascii="Arial" w:hAnsi="Arial"/>
          <w:color w:val="525252"/>
          <w:sz w:val="13"/>
        </w:rPr>
        <w:t>For entry into this SDI, prior qualification in SDI 8R000 with a minimum of 36 months of experience.</w:t>
      </w:r>
    </w:p>
    <w:p>
      <w:pPr>
        <w:spacing w:after="20" w:line="223" w:lineRule="auto"/>
        <w:jc w:val="right"/>
        <w:bidi/>
      </w:pPr>
      <w:r>
        <w:rPr>
          <w:rFonts w:ascii="Arial" w:hAnsi="Arial"/>
          <w:sz w:val="16"/>
        </w:rPr>
        <w:t>184.19  ۲۴ ماه تجربه فقط برای ANG.</w:t>
      </w:r>
    </w:p>
    <w:p>
      <w:pPr>
        <w:spacing w:after="28" w:line="216" w:lineRule="auto"/>
        <w:ind w:left="259"/>
        <w:jc w:val="left"/>
      </w:pPr>
      <w:r>
        <w:rPr>
          <w:rFonts w:ascii="Arial" w:hAnsi="Arial"/>
          <w:color w:val="525252"/>
          <w:sz w:val="13"/>
        </w:rPr>
        <w:t>24 months experience for ANG only.</w:t>
      </w:r>
    </w:p>
    <w:p>
      <w:pPr>
        <w:spacing w:after="20" w:line="223" w:lineRule="auto"/>
        <w:jc w:val="right"/>
        <w:bidi/>
      </w:pPr>
      <w:r>
        <w:rPr>
          <w:rFonts w:ascii="Arial" w:hAnsi="Arial"/>
          <w:sz w:val="16"/>
        </w:rPr>
        <w:t>184.20  استخدام کننده ردیف سوم (SDI ۸ر۳۰۰).</w:t>
      </w:r>
    </w:p>
    <w:p>
      <w:pPr>
        <w:spacing w:after="28" w:line="216" w:lineRule="auto"/>
        <w:ind w:left="259"/>
        <w:jc w:val="left"/>
      </w:pPr>
      <w:r>
        <w:rPr>
          <w:rFonts w:ascii="Arial" w:hAnsi="Arial"/>
          <w:color w:val="525252"/>
          <w:sz w:val="13"/>
        </w:rPr>
        <w:t>Third-Tier Recruiter (SDI 8R300).</w:t>
      </w:r>
    </w:p>
    <w:p>
      <w:pPr>
        <w:spacing w:after="20" w:line="223" w:lineRule="auto"/>
        <w:jc w:val="right"/>
        <w:bidi/>
      </w:pPr>
      <w:r>
        <w:rPr>
          <w:rFonts w:ascii="Arial" w:hAnsi="Arial"/>
          <w:sz w:val="16"/>
        </w:rPr>
        <w:t>184.21  استخدام کنندگان ردیف سوم برنامه‌ها را برای استخدام پرسنل کافی برای برآوردن نیازهای USAF مدیریت و نظارت می‌کنند.</w:t>
      </w:r>
    </w:p>
    <w:p>
      <w:pPr>
        <w:spacing w:after="28" w:line="216" w:lineRule="auto"/>
        <w:ind w:left="259"/>
        <w:jc w:val="left"/>
      </w:pPr>
      <w:r>
        <w:rPr>
          <w:rFonts w:ascii="Arial" w:hAnsi="Arial"/>
          <w:color w:val="525252"/>
          <w:sz w:val="13"/>
        </w:rPr>
        <w:t>Third-tier recruiters manage and supervise programs to recruit sufficient personnel to satisfy the requirements of the USAF.</w:t>
      </w:r>
    </w:p>
    <w:p>
      <w:pPr>
        <w:spacing w:after="20" w:line="223" w:lineRule="auto"/>
        <w:jc w:val="right"/>
        <w:bidi/>
      </w:pPr>
      <w:r>
        <w:rPr>
          <w:rFonts w:ascii="Arial" w:hAnsi="Arial"/>
          <w:sz w:val="16"/>
        </w:rPr>
        <w:t>184.22  برای رگاف، وظایف مرتبط شامل مرکز پرسنل AF (AFPC) / ناظر خط‌مشی الحاقات اعزامی، رئیس، خط‌مشی الحاقات نام نویسی/مدیر میدان شغلی، رئیس پرواز عضویت استخدام شده کارکنان هوایی، رئیس پرواز حرفه‌های بهداشتی افسر، ناظر عملیات، هقیت تراینرافرس و سرپرست ارشد، هقیت تراینافرس و بازرس کل، تیم غربالگری استخدام‌کننده ستاد فرماندهی AFRS، طبقه‌بندی، سرپرست اسکادران، سرپرست گروه، ناظر ستاد فرماندهی AFRS، ناظر بازرس کل AFRS، فرمانده مدرسه استخدام نیروی هوایی، و ناظر الحاقیه AFPC.</w:t>
      </w:r>
    </w:p>
    <w:p>
      <w:pPr>
        <w:spacing w:after="28" w:line="216" w:lineRule="auto"/>
        <w:ind w:left="259"/>
        <w:jc w:val="left"/>
      </w:pPr>
      <w:r>
        <w:rPr>
          <w:rFonts w:ascii="Arial" w:hAnsi="Arial"/>
          <w:color w:val="525252"/>
          <w:sz w:val="13"/>
        </w:rPr>
        <w:t>For RegAF, related duties include AF Personnel Center (AFPC) / Superintendent Enlisted Accessions Policy, Chief, Enlisted Accessions Policy/Career Field Manger, Air Staff Enlisted Accession Flight Chief, Officer Health Professions Flight Chief, Operation Supervisor, Senior Trainer, HQ AFRS and Recruiting Group Trainer, AFRS Inspector General, HQ AFRS Recruiter Screening Team, Classification, Squadron Superintendent, Group Superintendent, HQ AFRS Superintendent, AFRS Inspector General Superintendent, Air Force Recruiting School Schoolhouse Commandant, and AFPC Accessions Superintendent.</w:t>
      </w:r>
    </w:p>
    <w:p>
      <w:pPr>
        <w:spacing w:after="20" w:line="223" w:lineRule="auto"/>
        <w:jc w:val="right"/>
        <w:bidi/>
      </w:pPr>
      <w:r>
        <w:rPr>
          <w:rFonts w:ascii="Arial" w:hAnsi="Arial"/>
          <w:sz w:val="16"/>
        </w:rPr>
        <w:t>184.23  برای ذخیره AF، وظایف مربوطه شامل رئیس پرواز، استخدام ارشد، مربیان ارشد اسکادران، سرپرستان اسکادران، و موقعیت‌های کارکنان با درجه -۸ یا -۹ است.</w:t>
      </w:r>
    </w:p>
    <w:p>
      <w:pPr>
        <w:spacing w:after="28" w:line="216" w:lineRule="auto"/>
        <w:ind w:left="259"/>
        <w:jc w:val="left"/>
      </w:pPr>
      <w:r>
        <w:rPr>
          <w:rFonts w:ascii="Arial" w:hAnsi="Arial"/>
          <w:color w:val="525252"/>
          <w:sz w:val="13"/>
        </w:rPr>
        <w:t>For AF Reserves, related duties include Flight Chief, Senior Recruiter, Senior Squadron Trainers, Squadron Superintendents, and staff positions graded at E-8 or E-9.</w:t>
      </w:r>
    </w:p>
    <w:p>
      <w:pPr>
        <w:spacing w:after="20" w:line="223" w:lineRule="auto"/>
        <w:jc w:val="right"/>
        <w:bidi/>
      </w:pPr>
      <w:r>
        <w:rPr>
          <w:rFonts w:ascii="Arial" w:hAnsi="Arial"/>
          <w:sz w:val="16"/>
        </w:rPr>
        <w:t>184.24  برای ANG، وظایف مرتبط شامل استخدام‌کنندگان پیشرفته واحد جغرافیایی جداگانه (GSU) با درجه‌بندی -۷، رئیس پرواز، مدیر دفتر نگهداری، کارکنان NGB و مربی مدرسه استخدام، استخدام‌کنندگان در خدمت، سرپرستان تولیدات دولتی، و موقعیت‌های تور قانونی NGB.</w:t>
      </w:r>
    </w:p>
    <w:p>
      <w:pPr>
        <w:spacing w:after="28" w:line="216" w:lineRule="auto"/>
        <w:ind w:left="259"/>
        <w:jc w:val="left"/>
      </w:pPr>
      <w:r>
        <w:rPr>
          <w:rFonts w:ascii="Arial" w:hAnsi="Arial"/>
          <w:color w:val="525252"/>
          <w:sz w:val="13"/>
        </w:rPr>
        <w:t>For ANG, related duties include Geographically Separate Unit (GSU) Advanced Recruiters graded at E-7, Flight Chief, Retention Office Manager, NGB staff and Recruiting School Schoolhouse Instructor, In-Service Recruiters, State Productions Superintendents, and NGB Statutory Tour positions.</w:t>
      </w:r>
    </w:p>
    <w:p>
      <w:pPr>
        <w:spacing w:after="20" w:line="223" w:lineRule="auto"/>
        <w:jc w:val="right"/>
        <w:bidi/>
      </w:pPr>
      <w:r>
        <w:rPr>
          <w:rFonts w:ascii="Arial" w:hAnsi="Arial"/>
          <w:sz w:val="16"/>
        </w:rPr>
        <w:t>184.25  مدیر تاسیسات هشدار موشکی (SDI ۸س۰۰۰).</w:t>
      </w:r>
    </w:p>
    <w:p>
      <w:pPr>
        <w:spacing w:after="28" w:line="216" w:lineRule="auto"/>
        <w:ind w:left="259"/>
        <w:jc w:val="left"/>
      </w:pPr>
      <w:r>
        <w:rPr>
          <w:rFonts w:ascii="Arial" w:hAnsi="Arial"/>
          <w:color w:val="525252"/>
          <w:sz w:val="13"/>
        </w:rPr>
        <w:t>Missile Alert Facility Manager (SDI 8S000).</w:t>
      </w:r>
    </w:p>
    <w:p>
      <w:pPr>
        <w:spacing w:after="20" w:line="223" w:lineRule="auto"/>
        <w:jc w:val="right"/>
        <w:bidi/>
      </w:pPr>
      <w:r>
        <w:rPr>
          <w:rFonts w:ascii="Arial" w:hAnsi="Arial"/>
          <w:sz w:val="16"/>
        </w:rPr>
        <w:t>184.26  مدیران تاسیسات موشکی بازرسی‌های معمول تجهیزات و روش‌های عملیاتی اضطراری را انجام می‌دهند، به اقدامات هدایت شده توسط خدمه رزمی موشک در مرکز هشدار موشکی پاسخ می‌دهند و بر فعالیت‌های روزانه در تاسیسات نظارت می‌کنند.</w:t>
      </w:r>
    </w:p>
    <w:p>
      <w:pPr>
        <w:spacing w:after="28" w:line="216" w:lineRule="auto"/>
        <w:ind w:left="259"/>
        <w:jc w:val="left"/>
      </w:pPr>
      <w:r>
        <w:rPr>
          <w:rFonts w:ascii="Arial" w:hAnsi="Arial"/>
          <w:color w:val="525252"/>
          <w:sz w:val="13"/>
        </w:rPr>
        <w:t>Missile facility managers perform routine equipment inspections and emergency operating procedures, respond to actions directed by the missile combat crew at the missile alert facility, and supervise daily activities at the facility.</w:t>
      </w:r>
    </w:p>
    <w:p>
      <w:r>
        <w:br w:type="page"/>
      </w:r>
    </w:p>
    <w:p>
      <w:pPr>
        <w:spacing w:after="60"/>
        <w:jc w:val="right"/>
        <w:bidi/>
      </w:pPr>
      <w:r>
        <w:rPr>
          <w:rFonts w:ascii="Arial" w:hAnsi="Arial"/>
          <w:b/>
          <w:color w:val="1F4D78"/>
          <w:sz w:val="19"/>
        </w:rPr>
        <w:t>هفتهٔ 185  |  صفحهٔ منبع: 201</w:t>
      </w:r>
    </w:p>
    <w:p>
      <w:pPr>
        <w:spacing w:after="20" w:line="223" w:lineRule="auto"/>
        <w:jc w:val="right"/>
        <w:bidi/>
      </w:pPr>
      <w:r>
        <w:rPr>
          <w:rFonts w:ascii="Arial" w:hAnsi="Arial"/>
          <w:sz w:val="16"/>
        </w:rPr>
        <w:t>185.01  مربی آموزش نظامی حرفه‌ای (SDI ۸ت۰۰۰).</w:t>
      </w:r>
    </w:p>
    <w:p>
      <w:pPr>
        <w:spacing w:after="28" w:line="216" w:lineRule="auto"/>
        <w:ind w:left="259"/>
        <w:jc w:val="left"/>
      </w:pPr>
      <w:r>
        <w:rPr>
          <w:rFonts w:ascii="Arial" w:hAnsi="Arial"/>
          <w:color w:val="525252"/>
          <w:sz w:val="13"/>
        </w:rPr>
        <w:t>Professional Military Education Instructor (SDI 8T000).</w:t>
      </w:r>
    </w:p>
    <w:p>
      <w:pPr>
        <w:spacing w:after="20" w:line="223" w:lineRule="auto"/>
        <w:jc w:val="right"/>
        <w:bidi/>
      </w:pPr>
      <w:r>
        <w:rPr>
          <w:rFonts w:ascii="Arial" w:hAnsi="Arial"/>
          <w:sz w:val="16"/>
        </w:rPr>
        <w:t>185.02  مربیان آموزش حرفه‌ای نظامی (PME) برنامه‌های PME را برای هوانوردان، افسران، و SNCO‌ها توسعه داده و اجرا می‌کنند.</w:t>
      </w:r>
    </w:p>
    <w:p>
      <w:pPr>
        <w:spacing w:after="28" w:line="216" w:lineRule="auto"/>
        <w:ind w:left="259"/>
        <w:jc w:val="left"/>
      </w:pPr>
      <w:r>
        <w:rPr>
          <w:rFonts w:ascii="Arial" w:hAnsi="Arial"/>
          <w:color w:val="525252"/>
          <w:sz w:val="13"/>
        </w:rPr>
        <w:t>Professional military education (PME) instructors develop and conduct PME programs for Airmen, NCOs, and SNCOs.</w:t>
      </w:r>
    </w:p>
    <w:p>
      <w:pPr>
        <w:spacing w:after="20" w:line="223" w:lineRule="auto"/>
        <w:jc w:val="right"/>
        <w:bidi/>
      </w:pPr>
      <w:r>
        <w:rPr>
          <w:rFonts w:ascii="Arial" w:hAnsi="Arial"/>
          <w:sz w:val="16"/>
        </w:rPr>
        <w:t>185.03  طراح سیستم آموزشی آموزش حرفه‌ای نظامی (SDI ۸ت۱۰۰).</w:t>
      </w:r>
    </w:p>
    <w:p>
      <w:pPr>
        <w:spacing w:after="28" w:line="216" w:lineRule="auto"/>
        <w:ind w:left="259"/>
        <w:jc w:val="left"/>
      </w:pPr>
      <w:r>
        <w:rPr>
          <w:rFonts w:ascii="Arial" w:hAnsi="Arial"/>
          <w:color w:val="525252"/>
          <w:sz w:val="13"/>
        </w:rPr>
        <w:t>Enlisted Professional Military Education Instructional System Designer (SDI 8T100).</w:t>
      </w:r>
    </w:p>
    <w:p>
      <w:pPr>
        <w:spacing w:after="20" w:line="223" w:lineRule="auto"/>
        <w:jc w:val="right"/>
        <w:bidi/>
      </w:pPr>
      <w:r>
        <w:rPr>
          <w:rFonts w:ascii="Arial" w:hAnsi="Arial"/>
          <w:sz w:val="16"/>
        </w:rPr>
        <w:t>185.04  طراحان سیستم آموزشی آموزش حرفه‌ای نظامی (PME) برنامه‌های PME را برای نیروهای هوایی، NCO و SNCO توسعه داده و اجرا می‌کنند.</w:t>
      </w:r>
    </w:p>
    <w:p>
      <w:pPr>
        <w:spacing w:after="28" w:line="216" w:lineRule="auto"/>
        <w:ind w:left="259"/>
        <w:jc w:val="left"/>
      </w:pPr>
      <w:r>
        <w:rPr>
          <w:rFonts w:ascii="Arial" w:hAnsi="Arial"/>
          <w:color w:val="525252"/>
          <w:sz w:val="13"/>
        </w:rPr>
        <w:t>Enlisted professional military education (PME) instructional system designers develop and conduct PME programs for Airmen, NCO, and SNCOs.</w:t>
      </w:r>
    </w:p>
    <w:p>
      <w:pPr>
        <w:spacing w:after="20" w:line="223" w:lineRule="auto"/>
        <w:jc w:val="right"/>
        <w:bidi/>
      </w:pPr>
      <w:r>
        <w:rPr>
          <w:rFonts w:ascii="Arial" w:hAnsi="Arial"/>
          <w:sz w:val="16"/>
        </w:rPr>
        <w:t>185.05  مدیر استقرار واحد (SDI ۸و۰۰۰).</w:t>
      </w:r>
    </w:p>
    <w:p>
      <w:pPr>
        <w:spacing w:after="28" w:line="216" w:lineRule="auto"/>
        <w:ind w:left="259"/>
        <w:jc w:val="left"/>
      </w:pPr>
      <w:r>
        <w:rPr>
          <w:rFonts w:ascii="Arial" w:hAnsi="Arial"/>
          <w:color w:val="525252"/>
          <w:sz w:val="13"/>
        </w:rPr>
        <w:t>Unit Deployment Manager (SDI 8U000).</w:t>
      </w:r>
    </w:p>
    <w:p>
      <w:pPr>
        <w:spacing w:after="20" w:line="223" w:lineRule="auto"/>
        <w:jc w:val="right"/>
        <w:bidi/>
      </w:pPr>
      <w:r>
        <w:rPr>
          <w:rFonts w:ascii="Arial" w:hAnsi="Arial"/>
          <w:sz w:val="16"/>
        </w:rPr>
        <w:t>185.06  مدیران استقرار یگان مشاوران اصلی فرمانده سازمان در کلیه مسائل مربوط به آمادگی استقرار و اجرا هستند.</w:t>
      </w:r>
    </w:p>
    <w:p>
      <w:pPr>
        <w:spacing w:after="28" w:line="216" w:lineRule="auto"/>
        <w:ind w:left="259"/>
        <w:jc w:val="left"/>
      </w:pPr>
      <w:r>
        <w:rPr>
          <w:rFonts w:ascii="Arial" w:hAnsi="Arial"/>
          <w:color w:val="525252"/>
          <w:sz w:val="13"/>
        </w:rPr>
        <w:t>Unit deployment managers are principal advisors to the organization commander on all issues related to deployment readiness and execution.</w:t>
      </w:r>
    </w:p>
    <w:p>
      <w:pPr>
        <w:spacing w:after="20" w:line="223" w:lineRule="auto"/>
        <w:jc w:val="right"/>
        <w:bidi/>
      </w:pPr>
      <w:r>
        <w:rPr>
          <w:rFonts w:ascii="Arial" w:hAnsi="Arial"/>
          <w:sz w:val="16"/>
        </w:rPr>
        <w:t>185.07  آنها اقدامات استقرار فرماندهی را برای پرسنل و محموله اختصاص داده شده اجرا و اجرا می‌کنند. نظارت و حفظ آمار آمادگی استقرار واحد؛ و دستورات فرماندهی، فرماندهی اصلی و آمادگی استقرار USAF را اجرا کنید.</w:t>
      </w:r>
    </w:p>
    <w:p>
      <w:pPr>
        <w:spacing w:after="28" w:line="216" w:lineRule="auto"/>
        <w:ind w:left="259"/>
        <w:jc w:val="left"/>
      </w:pPr>
      <w:r>
        <w:rPr>
          <w:rFonts w:ascii="Arial" w:hAnsi="Arial"/>
          <w:color w:val="525252"/>
          <w:sz w:val="13"/>
        </w:rPr>
        <w:t>They implement and execute commander-directed deployment actions for assigned personnel and cargo; monitor and maintain unit deployment readiness statistics; and implement commander, major command, and USAF deployment readiness guidance.</w:t>
      </w:r>
    </w:p>
    <w:p>
      <w:pPr>
        <w:spacing w:after="20" w:line="223" w:lineRule="auto"/>
        <w:jc w:val="right"/>
        <w:bidi/>
      </w:pPr>
      <w:r>
        <w:rPr>
          <w:rFonts w:ascii="Arial" w:hAnsi="Arial"/>
          <w:sz w:val="16"/>
        </w:rPr>
        <w:t>185.08  مدیران استقرار یگان نظارت کلی بر پرسنل اسکادران تعیین شده در کلیه امور مربوط به آمادگی اعزام و اجرا دارند.</w:t>
      </w:r>
    </w:p>
    <w:p>
      <w:pPr>
        <w:spacing w:after="28" w:line="216" w:lineRule="auto"/>
        <w:ind w:left="259"/>
        <w:jc w:val="left"/>
      </w:pPr>
      <w:r>
        <w:rPr>
          <w:rFonts w:ascii="Arial" w:hAnsi="Arial"/>
          <w:color w:val="525252"/>
          <w:sz w:val="13"/>
        </w:rPr>
        <w:t>Unit deployment managers exercise general supervision over assigned squadron personnel in all matters related to deployment readiness and execution.</w:t>
      </w:r>
    </w:p>
    <w:p>
      <w:r>
        <w:br w:type="page"/>
      </w:r>
    </w:p>
    <w:p>
      <w:pPr>
        <w:spacing w:after="60"/>
        <w:jc w:val="right"/>
        <w:bidi/>
      </w:pPr>
      <w:r>
        <w:rPr>
          <w:rFonts w:ascii="Arial" w:hAnsi="Arial"/>
          <w:b/>
          <w:color w:val="1F4D78"/>
          <w:sz w:val="19"/>
        </w:rPr>
        <w:t>هفتهٔ 186  |  صفحهٔ منبع: 202</w:t>
      </w:r>
    </w:p>
    <w:p>
      <w:pPr>
        <w:spacing w:before="60" w:after="28"/>
        <w:jc w:val="right"/>
        <w:bidi/>
      </w:pPr>
      <w:r>
        <w:rPr>
          <w:b/>
          <w:color w:val="1F4D78"/>
          <w:sz w:val="18"/>
        </w:rPr>
        <w:t>فصل 11</w:t>
      </w:r>
    </w:p>
    <w:p>
      <w:pPr>
        <w:spacing w:after="20"/>
        <w:ind w:left="259"/>
        <w:jc w:val="left"/>
      </w:pPr>
      <w:r>
        <w:rPr>
          <w:color w:val="555555"/>
          <w:sz w:val="12"/>
        </w:rPr>
        <w:t>Chapter 11</w:t>
      </w:r>
    </w:p>
    <w:p>
      <w:pPr>
        <w:spacing w:before="60" w:after="28"/>
        <w:jc w:val="right"/>
        <w:bidi/>
      </w:pPr>
      <w:r>
        <w:rPr>
          <w:b/>
          <w:color w:val="1F4D78"/>
          <w:sz w:val="18"/>
        </w:rPr>
        <w:t>برنامه ها و مزایای پرسنل</w:t>
      </w:r>
    </w:p>
    <w:p>
      <w:pPr>
        <w:spacing w:after="20"/>
        <w:ind w:left="259"/>
        <w:jc w:val="left"/>
      </w:pPr>
      <w:r>
        <w:rPr>
          <w:color w:val="555555"/>
          <w:sz w:val="12"/>
        </w:rPr>
        <w:t>PERSONNEL PROGRAMS AND BENEFITS</w:t>
      </w:r>
    </w:p>
    <w:p>
      <w:pPr>
        <w:spacing w:before="60" w:after="28"/>
        <w:jc w:val="right"/>
        <w:bidi/>
      </w:pPr>
      <w:r>
        <w:rPr>
          <w:b/>
          <w:color w:val="1F4D78"/>
          <w:sz w:val="18"/>
        </w:rPr>
        <w:t>بخش 11A - مزایا و خدمات</w:t>
      </w:r>
    </w:p>
    <w:p>
      <w:pPr>
        <w:spacing w:after="20"/>
        <w:ind w:left="259"/>
        <w:jc w:val="left"/>
      </w:pPr>
      <w:r>
        <w:rPr>
          <w:color w:val="555555"/>
          <w:sz w:val="12"/>
        </w:rPr>
        <w:t>Section 11A—Benefits and Services</w:t>
      </w:r>
    </w:p>
    <w:p>
      <w:pPr>
        <w:spacing w:before="60" w:after="28"/>
        <w:jc w:val="right"/>
        <w:bidi/>
      </w:pPr>
      <w:r>
        <w:rPr>
          <w:b/>
          <w:color w:val="1F4D78"/>
          <w:sz w:val="18"/>
        </w:rPr>
        <w:t>11.1. برنامه ها، مزایا و خدمات</w:t>
      </w:r>
    </w:p>
    <w:p>
      <w:pPr>
        <w:spacing w:after="20"/>
        <w:ind w:left="259"/>
        <w:jc w:val="left"/>
      </w:pPr>
      <w:r>
        <w:rPr>
          <w:color w:val="555555"/>
          <w:sz w:val="12"/>
        </w:rPr>
        <w:t>11.1. Programs, Benefits, and Services</w:t>
      </w:r>
    </w:p>
    <w:p>
      <w:pPr>
        <w:spacing w:after="20" w:line="223" w:lineRule="auto"/>
        <w:jc w:val="right"/>
        <w:bidi/>
      </w:pPr>
      <w:r>
        <w:rPr>
          <w:rFonts w:ascii="Arial" w:hAnsi="Arial"/>
          <w:sz w:val="16"/>
        </w:rPr>
        <w:t>186.05  USAF از اعضای نظامی می‌خواهد که همیشه برای خدمت و پشتیبانی از مأموریت آماده باشند.</w:t>
      </w:r>
    </w:p>
    <w:p>
      <w:pPr>
        <w:spacing w:after="28" w:line="216" w:lineRule="auto"/>
        <w:ind w:left="259"/>
        <w:jc w:val="left"/>
      </w:pPr>
      <w:r>
        <w:rPr>
          <w:rFonts w:ascii="Arial" w:hAnsi="Arial"/>
          <w:color w:val="525252"/>
          <w:sz w:val="13"/>
        </w:rPr>
        <w:t>The USAF requires military members to be prepared to serve and support the mission at all times.</w:t>
      </w:r>
    </w:p>
    <w:p>
      <w:pPr>
        <w:spacing w:after="20" w:line="223" w:lineRule="auto"/>
        <w:jc w:val="right"/>
        <w:bidi/>
      </w:pPr>
      <w:r>
        <w:rPr>
          <w:rFonts w:ascii="Arial" w:hAnsi="Arial"/>
          <w:sz w:val="16"/>
        </w:rPr>
        <w:t>186.06  برای انجام این کار، طیف گسترده‌ای از مزایا و خدمات برای اطمینان از مراقبت از اعضای ارتش و خانواده‌ها وجود دارد، چه از طریق فرآیندهای پرداخت و حقوق، برنامه‌های حمایت از خانواده، یا سوابق نظامی امن.</w:t>
      </w:r>
    </w:p>
    <w:p>
      <w:pPr>
        <w:spacing w:after="28" w:line="216" w:lineRule="auto"/>
        <w:ind w:left="259"/>
        <w:jc w:val="left"/>
      </w:pPr>
      <w:r>
        <w:rPr>
          <w:rFonts w:ascii="Arial" w:hAnsi="Arial"/>
          <w:color w:val="525252"/>
          <w:sz w:val="13"/>
        </w:rPr>
        <w:t>To do this, there are a wide range of benefits and services to ensure military members and families are cared for, whether through pay and entitlements processes, family support programs, or secured military records.</w:t>
      </w:r>
    </w:p>
    <w:p>
      <w:pPr>
        <w:spacing w:after="20" w:line="223" w:lineRule="auto"/>
        <w:jc w:val="right"/>
        <w:bidi/>
      </w:pPr>
      <w:r>
        <w:rPr>
          <w:rFonts w:ascii="Arial" w:hAnsi="Arial"/>
          <w:sz w:val="16"/>
        </w:rPr>
        <w:t>186.07  در طول حرفه خود، ما به‌عنوان هوانورد نیاز داریم که مزایا و خدمات قابل استفاده برای خود و همچنین زیردستان، همتایان و رهبران زنجیره فرماندهی خود را درک کنیم.</w:t>
      </w:r>
    </w:p>
    <w:p>
      <w:pPr>
        <w:spacing w:after="28" w:line="216" w:lineRule="auto"/>
        <w:ind w:left="259"/>
        <w:jc w:val="left"/>
      </w:pPr>
      <w:r>
        <w:rPr>
          <w:rFonts w:ascii="Arial" w:hAnsi="Arial"/>
          <w:color w:val="525252"/>
          <w:sz w:val="13"/>
        </w:rPr>
        <w:t>Throughout our careers, we as Airmen need to understand the benefits and services applicable to ourselves, as well as to subordinates, peers, and leaders in our chain of command.</w:t>
      </w:r>
    </w:p>
    <w:p>
      <w:pPr>
        <w:spacing w:after="20" w:line="223" w:lineRule="auto"/>
        <w:jc w:val="right"/>
        <w:bidi/>
      </w:pPr>
      <w:r>
        <w:rPr>
          <w:rFonts w:ascii="Arial" w:hAnsi="Arial"/>
          <w:sz w:val="16"/>
        </w:rPr>
        <w:t>186.08  ما باید مسئولیت خود را بر عهده بگیریم و به‌عنوان جناحان خوب برای دیگران خدمت کنیم.</w:t>
      </w:r>
    </w:p>
    <w:p>
      <w:pPr>
        <w:spacing w:after="28" w:line="216" w:lineRule="auto"/>
        <w:ind w:left="259"/>
        <w:jc w:val="left"/>
      </w:pPr>
      <w:r>
        <w:rPr>
          <w:rFonts w:ascii="Arial" w:hAnsi="Arial"/>
          <w:color w:val="525252"/>
          <w:sz w:val="13"/>
        </w:rPr>
        <w:t>We need to take responsibility for ourselves and serve as good wingmen for others.</w:t>
      </w:r>
    </w:p>
    <w:p>
      <w:pPr>
        <w:spacing w:before="60" w:after="28"/>
        <w:jc w:val="right"/>
        <w:bidi/>
      </w:pPr>
      <w:r>
        <w:rPr>
          <w:b/>
          <w:color w:val="1F4D78"/>
          <w:sz w:val="18"/>
        </w:rPr>
        <w:t>11.2. دسترسی به اطلاعات</w:t>
      </w:r>
    </w:p>
    <w:p>
      <w:pPr>
        <w:spacing w:after="20"/>
        <w:ind w:left="259"/>
        <w:jc w:val="left"/>
      </w:pPr>
      <w:r>
        <w:rPr>
          <w:color w:val="555555"/>
          <w:sz w:val="12"/>
        </w:rPr>
        <w:t>11.2. Information Accessibility</w:t>
      </w:r>
    </w:p>
    <w:p>
      <w:pPr>
        <w:spacing w:after="20" w:line="223" w:lineRule="auto"/>
        <w:jc w:val="right"/>
        <w:bidi/>
      </w:pPr>
      <w:r>
        <w:rPr>
          <w:rFonts w:ascii="Arial" w:hAnsi="Arial"/>
          <w:sz w:val="16"/>
        </w:rPr>
        <w:t>186.10  در سال ۲۰۰۰، USAF پورتال نیروی هوایی را راه‌اندازی کرد تا راه دسترسی هواداران به اطلاعات را ساده‌تر کند و روش انجام تجارت ما را بهبود بخشد.</w:t>
      </w:r>
    </w:p>
    <w:p>
      <w:pPr>
        <w:spacing w:after="28" w:line="216" w:lineRule="auto"/>
        <w:ind w:left="259"/>
        <w:jc w:val="left"/>
      </w:pPr>
      <w:r>
        <w:rPr>
          <w:rFonts w:ascii="Arial" w:hAnsi="Arial"/>
          <w:color w:val="525252"/>
          <w:sz w:val="13"/>
        </w:rPr>
        <w:t>In 2000, the USAF launched the Air Force Portal to simplify the way Airmen access information and improve the way we do business.</w:t>
      </w:r>
    </w:p>
    <w:p>
      <w:pPr>
        <w:spacing w:after="20" w:line="223" w:lineRule="auto"/>
        <w:jc w:val="right"/>
        <w:bidi/>
      </w:pPr>
      <w:r>
        <w:rPr>
          <w:rFonts w:ascii="Arial" w:hAnsi="Arial"/>
          <w:sz w:val="16"/>
        </w:rPr>
        <w:t>186.11  این پورتال یک نقطه ورود به اطلاعات مبتنی بر وب، برنامه‌های کاربردی سلف سرویس، ابزارهای همکاری و شبکه، و سیستم‌های پشتیبانی رزمی را فراهم می‌کند که بسیاری از آنها بدون نیاز به شناسه کاربری و رمز عبور جداگانه هستند.</w:t>
      </w:r>
    </w:p>
    <w:p>
      <w:pPr>
        <w:spacing w:after="28" w:line="216" w:lineRule="auto"/>
        <w:ind w:left="259"/>
        <w:jc w:val="left"/>
      </w:pPr>
      <w:r>
        <w:rPr>
          <w:rFonts w:ascii="Arial" w:hAnsi="Arial"/>
          <w:color w:val="525252"/>
          <w:sz w:val="13"/>
        </w:rPr>
        <w:t>The portal provides a single point of entry to web-based information, self-service applications, collaboration and networking tools, and combat support systems, many without requiring a separate user identification and password.</w:t>
      </w:r>
    </w:p>
    <w:p>
      <w:pPr>
        <w:spacing w:after="20" w:line="223" w:lineRule="auto"/>
        <w:jc w:val="right"/>
        <w:bidi/>
      </w:pPr>
      <w:r>
        <w:rPr>
          <w:rFonts w:ascii="Arial" w:hAnsi="Arial"/>
          <w:sz w:val="16"/>
        </w:rPr>
        <w:t>186.12  دسترسی به پورتال از هر رایانه متصل به اینترنت با گواهی زیرساخت کلید عمومی معتبر وزارت دفاع، مانند کارت دسترسی مشترک، در دسترس است.</w:t>
      </w:r>
    </w:p>
    <w:p>
      <w:pPr>
        <w:spacing w:after="28" w:line="216" w:lineRule="auto"/>
        <w:ind w:left="259"/>
        <w:jc w:val="left"/>
      </w:pPr>
      <w:r>
        <w:rPr>
          <w:rFonts w:ascii="Arial" w:hAnsi="Arial"/>
          <w:color w:val="525252"/>
          <w:sz w:val="13"/>
        </w:rPr>
        <w:t>Access to the portal is available from any internet-connected computer with a valid Department of Defense public key infrastructure certificate, such as a common access card.</w:t>
      </w:r>
    </w:p>
    <w:p>
      <w:pPr>
        <w:spacing w:after="20" w:line="223" w:lineRule="auto"/>
        <w:jc w:val="right"/>
        <w:bidi/>
      </w:pPr>
      <w:r>
        <w:rPr>
          <w:rFonts w:ascii="Arial" w:hAnsi="Arial"/>
          <w:sz w:val="16"/>
        </w:rPr>
        <w:t>186.13  از طریق پورتال، کاربران به میپای، مرکز آموزش مجازی نیروی هوایی، میفیتنسس، پرواز پرسنل نظامی مجازی، لاووب، سیستم مدیریت واگذاری و وب‌سایت انتشارات الکترونیکی نیروی هوایی دسترسی دارند.</w:t>
      </w:r>
    </w:p>
    <w:p>
      <w:pPr>
        <w:spacing w:after="28" w:line="216" w:lineRule="auto"/>
        <w:ind w:left="259"/>
        <w:jc w:val="left"/>
      </w:pPr>
      <w:r>
        <w:rPr>
          <w:rFonts w:ascii="Arial" w:hAnsi="Arial"/>
          <w:color w:val="525252"/>
          <w:sz w:val="13"/>
        </w:rPr>
        <w:t>Through the portal, users have access to myPay, Air Force Virtual Education Center, MyFitness, Virtual Military Personnel Flight, LeaveWeb, Assignment Management System, and the Air Force E-Publishing Website.</w:t>
      </w:r>
    </w:p>
    <w:p>
      <w:pPr>
        <w:spacing w:after="20" w:line="223" w:lineRule="auto"/>
        <w:jc w:val="right"/>
        <w:bidi/>
      </w:pPr>
      <w:r>
        <w:rPr>
          <w:rFonts w:ascii="Arial" w:hAnsi="Arial"/>
          <w:sz w:val="16"/>
        </w:rPr>
        <w:t>186.14  در پیوند کتابخانه و منابع، کاربران می‌توانند به نشریات آنلاین، اطلاعات پژوهشی و یافتن مطالب آموزشی و آموزشی ارزشمند دسترسی داشته باشند.</w:t>
      </w:r>
    </w:p>
    <w:p>
      <w:pPr>
        <w:spacing w:after="28" w:line="216" w:lineRule="auto"/>
        <w:ind w:left="259"/>
        <w:jc w:val="left"/>
      </w:pPr>
      <w:r>
        <w:rPr>
          <w:rFonts w:ascii="Arial" w:hAnsi="Arial"/>
          <w:color w:val="525252"/>
          <w:sz w:val="13"/>
        </w:rPr>
        <w:t>On the Library and Resources link, users can access online periodicals, research information, and find valuable education and training materials.</w:t>
      </w:r>
    </w:p>
    <w:p>
      <w:pPr>
        <w:spacing w:before="60" w:after="28"/>
        <w:jc w:val="right"/>
        <w:bidi/>
      </w:pPr>
      <w:r>
        <w:rPr>
          <w:b/>
          <w:color w:val="1F4D78"/>
          <w:sz w:val="18"/>
        </w:rPr>
        <w:t>11.3. مرکز آمادگی نظامی و خانواده</w:t>
      </w:r>
    </w:p>
    <w:p>
      <w:pPr>
        <w:spacing w:after="20"/>
        <w:ind w:left="259"/>
        <w:jc w:val="left"/>
      </w:pPr>
      <w:r>
        <w:rPr>
          <w:color w:val="555555"/>
          <w:sz w:val="12"/>
        </w:rPr>
        <w:t>11.3. Military and Family Readiness Center</w:t>
      </w:r>
    </w:p>
    <w:p>
      <w:pPr>
        <w:spacing w:after="20" w:line="223" w:lineRule="auto"/>
        <w:jc w:val="right"/>
        <w:bidi/>
      </w:pPr>
      <w:r>
        <w:rPr>
          <w:rFonts w:ascii="Arial" w:hAnsi="Arial"/>
          <w:sz w:val="16"/>
        </w:rPr>
        <w:t>186.16  خدمات پشتیبانی مرکز آمادگی نظامی و خانواده (م&amp;FRC) برای کمک به فرماندهان در ارزیابی و حمایت از رفاه ارتش و ایجاد حس قوی از جامعه و حمایت در داخل USAF طراحی شده است.</w:t>
      </w:r>
    </w:p>
    <w:p>
      <w:pPr>
        <w:spacing w:after="28" w:line="216" w:lineRule="auto"/>
        <w:ind w:left="259"/>
        <w:jc w:val="left"/>
      </w:pPr>
      <w:r>
        <w:rPr>
          <w:rFonts w:ascii="Arial" w:hAnsi="Arial"/>
          <w:color w:val="525252"/>
          <w:sz w:val="13"/>
        </w:rPr>
        <w:t>Military and Family Readiness Center (M&amp;FRC) support services are designed to assist commanders in assessing and supporting the welfare of the military and building a strong sense of community and support within the USAF.</w:t>
      </w:r>
    </w:p>
    <w:p>
      <w:pPr>
        <w:spacing w:after="20" w:line="223" w:lineRule="auto"/>
        <w:jc w:val="right"/>
        <w:bidi/>
      </w:pPr>
      <w:r>
        <w:rPr>
          <w:rFonts w:ascii="Arial" w:hAnsi="Arial"/>
          <w:sz w:val="16"/>
        </w:rPr>
        <w:t>186.17  م&amp;FRC با کمک به هوانوردان و خانواده‌هایشان با چالش‌ها و خواسته‌های عملیات اعزامی و سبک زندگی نظامی، از آمادگی مأموریت پشتیبانی می‌کند.</w:t>
      </w:r>
    </w:p>
    <w:p>
      <w:pPr>
        <w:spacing w:after="28" w:line="216" w:lineRule="auto"/>
        <w:ind w:left="259"/>
        <w:jc w:val="left"/>
      </w:pPr>
      <w:r>
        <w:rPr>
          <w:rFonts w:ascii="Arial" w:hAnsi="Arial"/>
          <w:color w:val="525252"/>
          <w:sz w:val="13"/>
        </w:rPr>
        <w:t>The M&amp;FRC supports mission readiness by helping Airmen and their families adapt to the challenges and demands of expeditionary operations and the military lifestyle.</w:t>
      </w:r>
    </w:p>
    <w:p>
      <w:pPr>
        <w:spacing w:after="20" w:line="223" w:lineRule="auto"/>
        <w:jc w:val="right"/>
        <w:bidi/>
      </w:pPr>
      <w:r>
        <w:rPr>
          <w:rFonts w:ascii="Arial" w:hAnsi="Arial"/>
          <w:sz w:val="16"/>
        </w:rPr>
        <w:t>186.18  م&amp;FRCها با رهبری واحد هماهنگ می‌شوند تا نقاط قوت، منابع و نگرانی‌های واحد را ارزیابی کنند تا با همکاری با طیف وسیعی از سازمان‌های غیرنظامی و نظامی، مسائل و روندهایی را که بر آمادگی جامعه و آمادگی شخصی تأثیر می‌گذارند، شناسایی کنند.</w:t>
      </w:r>
    </w:p>
    <w:p>
      <w:pPr>
        <w:spacing w:after="28" w:line="216" w:lineRule="auto"/>
        <w:ind w:left="259"/>
        <w:jc w:val="left"/>
      </w:pPr>
      <w:r>
        <w:rPr>
          <w:rFonts w:ascii="Arial" w:hAnsi="Arial"/>
          <w:color w:val="525252"/>
          <w:sz w:val="13"/>
        </w:rPr>
        <w:t>M&amp;FRCs coordinate with unit leadership to assess unit strengths, resources, and concerns to help identify issues and trends that affect community readiness and personal preparedness by working with a wide range of civilian and military agencies.</w:t>
      </w:r>
    </w:p>
    <w:p>
      <w:pPr>
        <w:spacing w:after="20" w:line="223" w:lineRule="auto"/>
        <w:jc w:val="right"/>
        <w:bidi/>
      </w:pPr>
      <w:r>
        <w:rPr>
          <w:rFonts w:ascii="Arial" w:hAnsi="Arial"/>
          <w:sz w:val="16"/>
        </w:rPr>
        <w:t>186.19  م&amp;FRC ها از مسائل کار/زندگی پشتیبانی می‌کنند و آمادگی، انعطاف پذیری و آمادگی شخصی جامعه را تسهیل می‌کنند.</w:t>
      </w:r>
    </w:p>
    <w:p>
      <w:pPr>
        <w:spacing w:after="28" w:line="216" w:lineRule="auto"/>
        <w:ind w:left="259"/>
        <w:jc w:val="left"/>
      </w:pPr>
      <w:r>
        <w:rPr>
          <w:rFonts w:ascii="Arial" w:hAnsi="Arial"/>
          <w:color w:val="525252"/>
          <w:sz w:val="13"/>
        </w:rPr>
        <w:t>M&amp;FRCs provide support for work/life issues and facilitate community readiness, resilience, and personal preparedness.</w:t>
      </w:r>
    </w:p>
    <w:p>
      <w:pPr>
        <w:spacing w:after="20" w:line="223" w:lineRule="auto"/>
        <w:jc w:val="right"/>
        <w:bidi/>
      </w:pPr>
      <w:r>
        <w:rPr>
          <w:rFonts w:ascii="Arial" w:hAnsi="Arial"/>
          <w:sz w:val="16"/>
        </w:rPr>
        <w:t>186.20  خدمات ارائه شده توسط م&amp;FRC در اینجا به اختصار توضیح داده شده است.</w:t>
      </w:r>
    </w:p>
    <w:p>
      <w:pPr>
        <w:spacing w:after="28" w:line="216" w:lineRule="auto"/>
        <w:ind w:left="259"/>
        <w:jc w:val="left"/>
      </w:pPr>
      <w:r>
        <w:rPr>
          <w:rFonts w:ascii="Arial" w:hAnsi="Arial"/>
          <w:color w:val="525252"/>
          <w:sz w:val="13"/>
        </w:rPr>
        <w:t>Services offered by the M&amp;FRC are briefly described here.</w:t>
      </w:r>
    </w:p>
    <w:p>
      <w:pPr>
        <w:spacing w:after="20" w:line="223" w:lineRule="auto"/>
        <w:jc w:val="right"/>
        <w:bidi/>
      </w:pPr>
      <w:r>
        <w:rPr>
          <w:rFonts w:ascii="Arial" w:hAnsi="Arial"/>
          <w:sz w:val="16"/>
        </w:rPr>
        <w:t>186.21  برنامه زندگی شخصی و کاری.</w:t>
      </w:r>
    </w:p>
    <w:p>
      <w:pPr>
        <w:spacing w:after="28" w:line="216" w:lineRule="auto"/>
        <w:ind w:left="259"/>
        <w:jc w:val="left"/>
      </w:pPr>
      <w:r>
        <w:rPr>
          <w:rFonts w:ascii="Arial" w:hAnsi="Arial"/>
          <w:color w:val="525252"/>
          <w:sz w:val="13"/>
        </w:rPr>
        <w:t>Personal and Work Life Program.</w:t>
      </w:r>
    </w:p>
    <w:p>
      <w:pPr>
        <w:spacing w:after="20" w:line="223" w:lineRule="auto"/>
        <w:jc w:val="right"/>
        <w:bidi/>
      </w:pPr>
      <w:r>
        <w:rPr>
          <w:rFonts w:ascii="Arial" w:hAnsi="Arial"/>
          <w:sz w:val="16"/>
        </w:rPr>
        <w:t>186.22  برنامه زندگی شخصی و کاری سلامت جامعه را ارتقا می‌دهد و به آمادگی و انعطاف‌پذیری نیرو کمک می‌کند.</w:t>
      </w:r>
    </w:p>
    <w:p>
      <w:pPr>
        <w:spacing w:after="28" w:line="216" w:lineRule="auto"/>
        <w:ind w:left="259"/>
        <w:jc w:val="left"/>
      </w:pPr>
      <w:r>
        <w:rPr>
          <w:rFonts w:ascii="Arial" w:hAnsi="Arial"/>
          <w:color w:val="525252"/>
          <w:sz w:val="13"/>
        </w:rPr>
        <w:t>The Personal and Work Life Program promotes community wellness and assists with the readiness and resiliency of the force.</w:t>
      </w:r>
    </w:p>
    <w:p>
      <w:pPr>
        <w:spacing w:after="20" w:line="223" w:lineRule="auto"/>
        <w:jc w:val="right"/>
        <w:bidi/>
      </w:pPr>
      <w:r>
        <w:rPr>
          <w:rFonts w:ascii="Arial" w:hAnsi="Arial"/>
          <w:sz w:val="16"/>
        </w:rPr>
        <w:t>186.23  خدمات شامل مداخله، مشاوره پیشگیری/ غنی‌سازی، و آموزش مهارت‌سازی است که برای ارتقای شایستگی‌های زندگی کاری برای افراد، زوج‌ها و خانواده‌ها طراحی شده است.</w:t>
      </w:r>
    </w:p>
    <w:p>
      <w:pPr>
        <w:spacing w:after="28" w:line="216" w:lineRule="auto"/>
        <w:ind w:left="259"/>
        <w:jc w:val="left"/>
      </w:pPr>
      <w:r>
        <w:rPr>
          <w:rFonts w:ascii="Arial" w:hAnsi="Arial"/>
          <w:color w:val="525252"/>
          <w:sz w:val="13"/>
        </w:rPr>
        <w:t>Services include intervention, prevention/enrichment consultation, and skill building education designed to enhance work-life competencies for individuals, couples, and families.</w:t>
      </w:r>
    </w:p>
    <w:p>
      <w:pPr>
        <w:spacing w:after="20" w:line="223" w:lineRule="auto"/>
        <w:jc w:val="right"/>
        <w:bidi/>
      </w:pPr>
      <w:r>
        <w:rPr>
          <w:rFonts w:ascii="Arial" w:hAnsi="Arial"/>
          <w:sz w:val="16"/>
        </w:rPr>
        <w:t>186.24  تمرکز بر ارتقاء، غنی سازی و بهبود تعادل بین کار و خانه برای افزایش کیفیت زندگی و انعطاف پذیری است.</w:t>
      </w:r>
    </w:p>
    <w:p>
      <w:pPr>
        <w:spacing w:after="28" w:line="216" w:lineRule="auto"/>
        <w:ind w:left="259"/>
        <w:jc w:val="left"/>
      </w:pPr>
      <w:r>
        <w:rPr>
          <w:rFonts w:ascii="Arial" w:hAnsi="Arial"/>
          <w:color w:val="525252"/>
          <w:sz w:val="13"/>
        </w:rPr>
        <w:t>Focus is on promotion, enrichment, and improvement of the balance between work and home to increase quality of life and resilience.</w:t>
      </w:r>
    </w:p>
    <w:p>
      <w:pPr>
        <w:spacing w:after="20" w:line="223" w:lineRule="auto"/>
        <w:jc w:val="right"/>
        <w:bidi/>
      </w:pPr>
      <w:r>
        <w:rPr>
          <w:rFonts w:ascii="Arial" w:hAnsi="Arial"/>
          <w:sz w:val="16"/>
        </w:rPr>
        <w:t>186.25  برنامه پشتیبانی کلید فرمانده (CKSP).</w:t>
      </w:r>
    </w:p>
    <w:p>
      <w:pPr>
        <w:spacing w:after="28" w:line="216" w:lineRule="auto"/>
        <w:ind w:left="259"/>
        <w:jc w:val="left"/>
      </w:pPr>
      <w:r>
        <w:rPr>
          <w:rFonts w:ascii="Arial" w:hAnsi="Arial"/>
          <w:color w:val="525252"/>
          <w:sz w:val="13"/>
        </w:rPr>
        <w:t>Commander’s Key Support Program (CKSP).</w:t>
      </w:r>
    </w:p>
    <w:p>
      <w:pPr>
        <w:spacing w:after="20" w:line="223" w:lineRule="auto"/>
        <w:jc w:val="right"/>
        <w:bidi/>
      </w:pPr>
      <w:r>
        <w:rPr>
          <w:rFonts w:ascii="Arial" w:hAnsi="Arial"/>
          <w:sz w:val="16"/>
        </w:rPr>
        <w:t>186.26  CKSP یک برنامه رسمی آمادگی خانواده است که برای افزایش آمادگی و ایجاد حس اجتماعی طراحی شده است.</w:t>
      </w:r>
    </w:p>
    <w:p>
      <w:pPr>
        <w:spacing w:after="28" w:line="216" w:lineRule="auto"/>
        <w:ind w:left="259"/>
        <w:jc w:val="left"/>
      </w:pPr>
      <w:r>
        <w:rPr>
          <w:rFonts w:ascii="Arial" w:hAnsi="Arial"/>
          <w:color w:val="525252"/>
          <w:sz w:val="13"/>
        </w:rPr>
        <w:t>The CKSP is an official unit family readiness program designed to enhance readiness and establish a sense of community.</w:t>
      </w:r>
    </w:p>
    <w:p>
      <w:pPr>
        <w:spacing w:after="20" w:line="223" w:lineRule="auto"/>
        <w:jc w:val="right"/>
        <w:bidi/>
      </w:pPr>
      <w:r>
        <w:rPr>
          <w:rFonts w:ascii="Arial" w:hAnsi="Arial"/>
          <w:sz w:val="16"/>
        </w:rPr>
        <w:t>186.27  این برنامه فرمانده مشارکت با واحد، م&amp;FRC و آژانس‌های اجتماعی را ارتقا می‌دهد.</w:t>
      </w:r>
    </w:p>
    <w:p>
      <w:pPr>
        <w:spacing w:after="28" w:line="216" w:lineRule="auto"/>
        <w:ind w:left="259"/>
        <w:jc w:val="left"/>
      </w:pPr>
      <w:r>
        <w:rPr>
          <w:rFonts w:ascii="Arial" w:hAnsi="Arial"/>
          <w:color w:val="525252"/>
          <w:sz w:val="13"/>
        </w:rPr>
        <w:t>This Commander’s program promotes partnerships with the unit, the M&amp;FRC, and community agencies.</w:t>
      </w:r>
    </w:p>
    <w:p>
      <w:r>
        <w:br w:type="page"/>
      </w:r>
    </w:p>
    <w:p>
      <w:pPr>
        <w:spacing w:after="60"/>
        <w:jc w:val="right"/>
        <w:bidi/>
      </w:pPr>
      <w:r>
        <w:rPr>
          <w:rFonts w:ascii="Arial" w:hAnsi="Arial"/>
          <w:b/>
          <w:color w:val="1F4D78"/>
          <w:sz w:val="19"/>
        </w:rPr>
        <w:t>هفتهٔ 187  |  صفحهٔ منبع: 203</w:t>
      </w:r>
    </w:p>
    <w:p>
      <w:pPr>
        <w:spacing w:after="20" w:line="223" w:lineRule="auto"/>
        <w:jc w:val="right"/>
        <w:bidi/>
      </w:pPr>
      <w:r>
        <w:rPr>
          <w:rFonts w:ascii="Arial" w:hAnsi="Arial"/>
          <w:sz w:val="16"/>
        </w:rPr>
        <w:t>187.01  مراکز آمادگی نظامی و خانواده (م&amp;FRC)—برنامه کمک انتقال.</w:t>
      </w:r>
    </w:p>
    <w:p>
      <w:pPr>
        <w:spacing w:after="28" w:line="216" w:lineRule="auto"/>
        <w:ind w:left="259"/>
        <w:jc w:val="left"/>
      </w:pPr>
      <w:r>
        <w:rPr>
          <w:rFonts w:ascii="Arial" w:hAnsi="Arial"/>
          <w:color w:val="525252"/>
          <w:sz w:val="13"/>
        </w:rPr>
        <w:t>Military and Family Readiness Centers (M&amp;FRC)—Transition Assistance Program.</w:t>
      </w:r>
    </w:p>
    <w:p>
      <w:pPr>
        <w:spacing w:after="20" w:line="223" w:lineRule="auto"/>
        <w:jc w:val="right"/>
        <w:bidi/>
      </w:pPr>
      <w:r>
        <w:rPr>
          <w:rFonts w:ascii="Arial" w:hAnsi="Arial"/>
          <w:sz w:val="16"/>
        </w:rPr>
        <w:t>187.02  برنامه کمک انتقال (TAP) توسط م&amp;FRC در کنگره موظف و اجرا می‌شود تا به اعضای نیروهای مسلح دانش و مهارت‌هایی برای تصمیم‌گیری آگاهانه، رقابت در یک نیروی کار جهانی و مشارکت مثبت در جامعه خود را در حین انتقال و ادغام مجدد در زندگی غیرنظامی ارائه دهد.</w:t>
      </w:r>
    </w:p>
    <w:p>
      <w:pPr>
        <w:spacing w:after="28" w:line="216" w:lineRule="auto"/>
        <w:ind w:left="259"/>
        <w:jc w:val="left"/>
      </w:pPr>
      <w:r>
        <w:rPr>
          <w:rFonts w:ascii="Arial" w:hAnsi="Arial"/>
          <w:color w:val="525252"/>
          <w:sz w:val="13"/>
        </w:rPr>
        <w:t>The Transition Assistance Program (TAP) is congressionally mandated and executed by the M&amp;FRC to provide Service members with the knowledge and skills to make informed decisions, be competitive in a global workforce, and be positive contributors to their community as they transition and reintegrate into civilian life.</w:t>
      </w:r>
    </w:p>
    <w:p>
      <w:pPr>
        <w:spacing w:after="20" w:line="223" w:lineRule="auto"/>
        <w:jc w:val="right"/>
        <w:bidi/>
      </w:pPr>
      <w:r>
        <w:rPr>
          <w:rFonts w:ascii="Arial" w:hAnsi="Arial"/>
          <w:sz w:val="16"/>
        </w:rPr>
        <w:t>187.03  TAP دارای اجزای متعددی است که باید قبل از جدایی، بازنشستگی یا رهایی از وظیفه تکمیل شوند: مشاوره اولیه فردی، مشاوره قبل از جدایی که هر دو لازم است حداکثر تا (NLT) ۳۶۵ روز قبل از جدایی، بازنشستگی یا آزادی از خدمت تکمیل شوند.</w:t>
      </w:r>
    </w:p>
    <w:p>
      <w:pPr>
        <w:spacing w:after="28" w:line="216" w:lineRule="auto"/>
        <w:ind w:left="259"/>
        <w:jc w:val="left"/>
      </w:pPr>
      <w:r>
        <w:rPr>
          <w:rFonts w:ascii="Arial" w:hAnsi="Arial"/>
          <w:color w:val="525252"/>
          <w:sz w:val="13"/>
        </w:rPr>
        <w:t>TAP has multiple components which must be completed prior to separation, retirement, or release from active duty: Individualized Initial Counseling, Pre-separation Counseling both required to be completed No Later Than (NLT) 365 days prior to separation, retirement, or release from active duty.</w:t>
      </w:r>
    </w:p>
    <w:p>
      <w:pPr>
        <w:spacing w:after="20" w:line="223" w:lineRule="auto"/>
        <w:jc w:val="right"/>
        <w:bidi/>
      </w:pPr>
      <w:r>
        <w:rPr>
          <w:rFonts w:ascii="Arial" w:hAnsi="Arial"/>
          <w:sz w:val="16"/>
        </w:rPr>
        <w:t>187.04  برنامه درسی اصلی که شامل کارگاه‌های آموزشی روز وزارت کار، مبانی استخدامی وزارت کار و مزایا و خدمات امور جانبازان، حداقل یک مسیر ۲ روزه از گزینه‌های زیر است: استخدام، آموزش، حرفه‌ای یا کارآفرینی و بازنشستگی کاپستون ان. طرح انتقال و قابل اجرا مورد نیاز استاندارد آمادگی شغلی.</w:t>
      </w:r>
    </w:p>
    <w:p>
      <w:pPr>
        <w:spacing w:after="28" w:line="216" w:lineRule="auto"/>
        <w:ind w:left="259"/>
        <w:jc w:val="left"/>
      </w:pPr>
      <w:r>
        <w:rPr>
          <w:rFonts w:ascii="Arial" w:hAnsi="Arial"/>
          <w:color w:val="525252"/>
          <w:sz w:val="13"/>
        </w:rPr>
        <w:t>Core Curriculum which includes DoD Day, Department of Labor Employment Fundamentals of Career Training and Veterans Affairs Benefits and Services workshops, at least one 2-day track from the following options: Employment, Education, Vocational, or Entrepreneurship and Capstone NLT 90 days prior to separation, retirement, or release from active duty which includes verification of transition plan and applicable required Career Readiness Standard deliverables.</w:t>
      </w:r>
    </w:p>
    <w:p>
      <w:pPr>
        <w:spacing w:after="20" w:line="223" w:lineRule="auto"/>
        <w:jc w:val="right"/>
        <w:bidi/>
      </w:pPr>
      <w:r>
        <w:rPr>
          <w:rFonts w:ascii="Arial" w:hAnsi="Arial"/>
          <w:sz w:val="16"/>
        </w:rPr>
        <w:t>187.05  منابع داوطلب.</w:t>
      </w:r>
    </w:p>
    <w:p>
      <w:pPr>
        <w:spacing w:after="28" w:line="216" w:lineRule="auto"/>
        <w:ind w:left="259"/>
        <w:jc w:val="left"/>
      </w:pPr>
      <w:r>
        <w:rPr>
          <w:rFonts w:ascii="Arial" w:hAnsi="Arial"/>
          <w:color w:val="525252"/>
          <w:sz w:val="13"/>
        </w:rPr>
        <w:t>Volunteer Resources.</w:t>
      </w:r>
    </w:p>
    <w:p>
      <w:pPr>
        <w:spacing w:after="20" w:line="223" w:lineRule="auto"/>
        <w:jc w:val="right"/>
        <w:bidi/>
      </w:pPr>
      <w:r>
        <w:rPr>
          <w:rFonts w:ascii="Arial" w:hAnsi="Arial"/>
          <w:sz w:val="16"/>
        </w:rPr>
        <w:t>187.06  برنامه منابع داوطلب با سایر آژانس‌های پایه برای ارجاع هوانوردان، نگهبانان، همسران و سایر اعضای خانواده برای فرصت‌های داوطلبانه همکاری می‌کند.</w:t>
      </w:r>
    </w:p>
    <w:p>
      <w:pPr>
        <w:spacing w:after="28" w:line="216" w:lineRule="auto"/>
        <w:ind w:left="259"/>
        <w:jc w:val="left"/>
      </w:pPr>
      <w:r>
        <w:rPr>
          <w:rFonts w:ascii="Arial" w:hAnsi="Arial"/>
          <w:color w:val="525252"/>
          <w:sz w:val="13"/>
        </w:rPr>
        <w:t>The Volunteer Resources Program collaborates with other base agencies for the purpose of referring Airmen, Guardians, spouses, and other family members for volunteer opportunities.</w:t>
      </w:r>
    </w:p>
    <w:p>
      <w:pPr>
        <w:spacing w:after="20" w:line="223" w:lineRule="auto"/>
        <w:jc w:val="right"/>
        <w:bidi/>
      </w:pPr>
      <w:r>
        <w:rPr>
          <w:rFonts w:ascii="Arial" w:hAnsi="Arial"/>
          <w:sz w:val="16"/>
        </w:rPr>
        <w:t>187.07  از طریق این برنامه، داوطلبان ممکن است توسط جایزه تعالی داوطلب نیروی هوایی (VEA)، یک جایزه سطح رئیس ستاد نیروی هوایی (CSAF) شناخته شوند.</w:t>
      </w:r>
    </w:p>
    <w:p>
      <w:pPr>
        <w:spacing w:after="28" w:line="216" w:lineRule="auto"/>
        <w:ind w:left="259"/>
        <w:jc w:val="left"/>
      </w:pPr>
      <w:r>
        <w:rPr>
          <w:rFonts w:ascii="Arial" w:hAnsi="Arial"/>
          <w:color w:val="525252"/>
          <w:sz w:val="13"/>
        </w:rPr>
        <w:t>Through this program, volunteers may be recognized by the Air Force Volunteer Excellence Award (VEA), a Chief of Staff of the Air Force (CSAF) level award.</w:t>
      </w:r>
    </w:p>
    <w:p>
      <w:pPr>
        <w:spacing w:after="20" w:line="223" w:lineRule="auto"/>
        <w:jc w:val="right"/>
        <w:bidi/>
      </w:pPr>
      <w:r>
        <w:rPr>
          <w:rFonts w:ascii="Arial" w:hAnsi="Arial"/>
          <w:sz w:val="16"/>
        </w:rPr>
        <w:t>187.08  VEA یک برنامه فرماندهی برای شناسایی مشارکت‌های داوطلبانه در جامعه غیرنظامی محلی یا جامعه خانوادگی نظامی است.</w:t>
      </w:r>
    </w:p>
    <w:p>
      <w:pPr>
        <w:spacing w:after="28" w:line="216" w:lineRule="auto"/>
        <w:ind w:left="259"/>
        <w:jc w:val="left"/>
      </w:pPr>
      <w:r>
        <w:rPr>
          <w:rFonts w:ascii="Arial" w:hAnsi="Arial"/>
          <w:color w:val="525252"/>
          <w:sz w:val="13"/>
        </w:rPr>
        <w:t>The VEA is a commander’s program to recognize volunteer contributions in the local civilian community or military family community.</w:t>
      </w:r>
    </w:p>
    <w:p>
      <w:pPr>
        <w:spacing w:after="20" w:line="223" w:lineRule="auto"/>
        <w:jc w:val="right"/>
        <w:bidi/>
      </w:pPr>
      <w:r>
        <w:rPr>
          <w:rFonts w:ascii="Arial" w:hAnsi="Arial"/>
          <w:sz w:val="16"/>
        </w:rPr>
        <w:t>187.09  مشاوران زندگی خانواده نظامی.</w:t>
      </w:r>
    </w:p>
    <w:p>
      <w:pPr>
        <w:spacing w:after="28" w:line="216" w:lineRule="auto"/>
        <w:ind w:left="259"/>
        <w:jc w:val="left"/>
      </w:pPr>
      <w:r>
        <w:rPr>
          <w:rFonts w:ascii="Arial" w:hAnsi="Arial"/>
          <w:color w:val="525252"/>
          <w:sz w:val="13"/>
        </w:rPr>
        <w:t>Military Family Life Counselors.</w:t>
      </w:r>
    </w:p>
    <w:p>
      <w:pPr>
        <w:spacing w:after="20" w:line="223" w:lineRule="auto"/>
        <w:jc w:val="right"/>
        <w:bidi/>
      </w:pPr>
      <w:r>
        <w:rPr>
          <w:rFonts w:ascii="Arial" w:hAnsi="Arial"/>
          <w:sz w:val="16"/>
        </w:rPr>
        <w:t>187.10  برنامه مشاور زندگی خانوادگی نظامی قراردادی با وزارت دفاع به هوانوردان و وابستگان آنها برای مشاوره غیرپزشکی، کوتاه مدت و متمرکز بر راه حل و جلسات توجیهی کمک محرمانه ارائه می‌دهد که خدمات مشاوره ارائه شده توسط سایر آژانس‌ها را افزایش می‌دهد.</w:t>
      </w:r>
    </w:p>
    <w:p>
      <w:pPr>
        <w:spacing w:after="28" w:line="216" w:lineRule="auto"/>
        <w:ind w:left="259"/>
        <w:jc w:val="left"/>
      </w:pPr>
      <w:r>
        <w:rPr>
          <w:rFonts w:ascii="Arial" w:hAnsi="Arial"/>
          <w:color w:val="525252"/>
          <w:sz w:val="13"/>
        </w:rPr>
        <w:t>The Department of Defense-contracted Military Family Life Counselor Program provides Airmen and their dependents with confidential assistance for non- medical, short-term, solution focused counseling and briefings that augment counseling services provided by other agencies.</w:t>
      </w:r>
    </w:p>
    <w:p>
      <w:pPr>
        <w:spacing w:after="20" w:line="223" w:lineRule="auto"/>
        <w:jc w:val="right"/>
        <w:bidi/>
      </w:pPr>
      <w:r>
        <w:rPr>
          <w:rFonts w:ascii="Arial" w:hAnsi="Arial"/>
          <w:sz w:val="16"/>
        </w:rPr>
        <w:t>187.11  برنامه استثنایی اعضای خانواده.</w:t>
      </w:r>
    </w:p>
    <w:p>
      <w:pPr>
        <w:spacing w:after="28" w:line="216" w:lineRule="auto"/>
        <w:ind w:left="259"/>
        <w:jc w:val="left"/>
      </w:pPr>
      <w:r>
        <w:rPr>
          <w:rFonts w:ascii="Arial" w:hAnsi="Arial"/>
          <w:color w:val="525252"/>
          <w:sz w:val="13"/>
        </w:rPr>
        <w:t>Exceptional Family Member Program.</w:t>
      </w:r>
    </w:p>
    <w:p>
      <w:pPr>
        <w:spacing w:after="20" w:line="223" w:lineRule="auto"/>
        <w:jc w:val="right"/>
        <w:bidi/>
      </w:pPr>
      <w:r>
        <w:rPr>
          <w:rFonts w:ascii="Arial" w:hAnsi="Arial"/>
          <w:sz w:val="16"/>
        </w:rPr>
        <w:t>187.12  برنامه اعضای استثنایی خانواده هماهنگی خدمات حمایتی خانواده را در داخل و خارج از نصب به اعضای استثنایی خانواده که دارای ناتوانی یا ناتوانی جسمی، رشدی، عاطفی یا فکری هستند، ارائه می‌کند.</w:t>
      </w:r>
    </w:p>
    <w:p>
      <w:pPr>
        <w:spacing w:after="28" w:line="216" w:lineRule="auto"/>
        <w:ind w:left="259"/>
        <w:jc w:val="left"/>
      </w:pPr>
      <w:r>
        <w:rPr>
          <w:rFonts w:ascii="Arial" w:hAnsi="Arial"/>
          <w:color w:val="525252"/>
          <w:sz w:val="13"/>
        </w:rPr>
        <w:t>The Exceptional Family Member Program provides coordination of family support services on and off the installation to exceptional family members who have physical, developmental, emotional, or intellectual impairments or disabilities.</w:t>
      </w:r>
    </w:p>
    <w:p>
      <w:pPr>
        <w:spacing w:after="20" w:line="223" w:lineRule="auto"/>
        <w:jc w:val="right"/>
        <w:bidi/>
      </w:pPr>
      <w:r>
        <w:rPr>
          <w:rFonts w:ascii="Arial" w:hAnsi="Arial"/>
          <w:sz w:val="16"/>
        </w:rPr>
        <w:t>187.13  سه جزء حمایت پزشکی، تکالیف و خانواده است.</w:t>
      </w:r>
    </w:p>
    <w:p>
      <w:pPr>
        <w:spacing w:after="28" w:line="216" w:lineRule="auto"/>
        <w:ind w:left="259"/>
        <w:jc w:val="left"/>
      </w:pPr>
      <w:r>
        <w:rPr>
          <w:rFonts w:ascii="Arial" w:hAnsi="Arial"/>
          <w:color w:val="525252"/>
          <w:sz w:val="13"/>
        </w:rPr>
        <w:t>Three components of support are medical, assignments, and family.</w:t>
      </w:r>
    </w:p>
    <w:p>
      <w:pPr>
        <w:spacing w:after="20" w:line="223" w:lineRule="auto"/>
        <w:jc w:val="right"/>
        <w:bidi/>
      </w:pPr>
      <w:r>
        <w:rPr>
          <w:rFonts w:ascii="Arial" w:hAnsi="Arial"/>
          <w:sz w:val="16"/>
        </w:rPr>
        <w:t>187.14  خانواده‌های نیروی هوایی برای همیشه.</w:t>
      </w:r>
    </w:p>
    <w:p>
      <w:pPr>
        <w:spacing w:after="28" w:line="216" w:lineRule="auto"/>
        <w:ind w:left="259"/>
        <w:jc w:val="left"/>
      </w:pPr>
      <w:r>
        <w:rPr>
          <w:rFonts w:ascii="Arial" w:hAnsi="Arial"/>
          <w:color w:val="525252"/>
          <w:sz w:val="13"/>
        </w:rPr>
        <w:t>Air Force Families Forever.</w:t>
      </w:r>
    </w:p>
    <w:p>
      <w:pPr>
        <w:spacing w:after="20" w:line="223" w:lineRule="auto"/>
        <w:jc w:val="right"/>
        <w:bidi/>
      </w:pPr>
      <w:r>
        <w:rPr>
          <w:rFonts w:ascii="Arial" w:hAnsi="Arial"/>
          <w:sz w:val="16"/>
        </w:rPr>
        <w:t>187.15  خانواده‌های نیروی هوایی فورور رویه‌های طولانی‌مدت مدیریت پرونده را تسهیل می‌کند و برای اعضای خانواده‌های متوفی نیروی هوایی عادی، نیروی فضایی ایالات متحده، و مؤسسه ذخیره هوایی، هوانوردان و نگهبانانی که در یک وظیفه فعال، وظیفه غیرفعال برای آموزش/پیش‌نامه‌ای که درباره نیروی هوایی درگذشته بودند، یا پیش‌تر به‌عنوان نیروی هوایی درگذشته‌اند، پشتیبانی می‌کند. مرگ</w:t>
      </w:r>
    </w:p>
    <w:p>
      <w:pPr>
        <w:spacing w:after="28" w:line="216" w:lineRule="auto"/>
        <w:ind w:left="259"/>
        <w:jc w:val="left"/>
      </w:pPr>
      <w:r>
        <w:rPr>
          <w:rFonts w:ascii="Arial" w:hAnsi="Arial"/>
          <w:color w:val="525252"/>
          <w:sz w:val="13"/>
        </w:rPr>
        <w:t>Air Force Families Forever facilitates long-term case management procedures and provides support for surviving family members of deceased Regular Air Force, U.S. Space Force, and Air Reserve Component, Airmen, and Guardians who died in an Active Duty, Inactive Duty for Training, or Annual Training status and whose relationship was established prior to the Airman/Guardian’s death.</w:t>
      </w:r>
    </w:p>
    <w:p>
      <w:pPr>
        <w:spacing w:after="20" w:line="223" w:lineRule="auto"/>
        <w:jc w:val="right"/>
        <w:bidi/>
      </w:pPr>
      <w:r>
        <w:rPr>
          <w:rFonts w:ascii="Arial" w:hAnsi="Arial"/>
          <w:sz w:val="16"/>
        </w:rPr>
        <w:t>187.16  برنامه کمک به رای.</w:t>
      </w:r>
    </w:p>
    <w:p>
      <w:pPr>
        <w:spacing w:after="28" w:line="216" w:lineRule="auto"/>
        <w:ind w:left="259"/>
        <w:jc w:val="left"/>
      </w:pPr>
      <w:r>
        <w:rPr>
          <w:rFonts w:ascii="Arial" w:hAnsi="Arial"/>
          <w:color w:val="525252"/>
          <w:sz w:val="13"/>
        </w:rPr>
        <w:t>Voting Assistance Program.</w:t>
      </w:r>
    </w:p>
    <w:p>
      <w:pPr>
        <w:spacing w:after="20" w:line="223" w:lineRule="auto"/>
        <w:jc w:val="right"/>
        <w:bidi/>
      </w:pPr>
      <w:r>
        <w:rPr>
          <w:rFonts w:ascii="Arial" w:hAnsi="Arial"/>
          <w:sz w:val="16"/>
        </w:rPr>
        <w:t>187.17  برنامه کمک در رای دادن تضمین می‌کند که اعضای نیروهای مسلح و خانواده‌هایشان حق رای خود را از طریق برگه رای غیابی درک می‌کنند.</w:t>
      </w:r>
    </w:p>
    <w:p>
      <w:pPr>
        <w:spacing w:after="28" w:line="216" w:lineRule="auto"/>
        <w:ind w:left="259"/>
        <w:jc w:val="left"/>
      </w:pPr>
      <w:r>
        <w:rPr>
          <w:rFonts w:ascii="Arial" w:hAnsi="Arial"/>
          <w:color w:val="525252"/>
          <w:sz w:val="13"/>
        </w:rPr>
        <w:t>The Voting Assistance Program ensures service members and their families understand their right to vote via absentee ballot.</w:t>
      </w:r>
    </w:p>
    <w:p>
      <w:pPr>
        <w:spacing w:after="20" w:line="223" w:lineRule="auto"/>
        <w:jc w:val="right"/>
        <w:bidi/>
      </w:pPr>
      <w:r>
        <w:rPr>
          <w:rFonts w:ascii="Arial" w:hAnsi="Arial"/>
          <w:sz w:val="16"/>
        </w:rPr>
        <w:t>187.18  کارکنان م&amp;FRC دفتر کمک به رای دهندگان نصبی را اداره می‌کنند و به‌عنوان افسران کمک در رای گیری، مسئول ارائه اطلاعات و کمک‌های دقیق رای گیری غیرحزبی هستند.</w:t>
      </w:r>
    </w:p>
    <w:p>
      <w:pPr>
        <w:spacing w:after="28" w:line="216" w:lineRule="auto"/>
        <w:ind w:left="259"/>
        <w:jc w:val="left"/>
      </w:pPr>
      <w:r>
        <w:rPr>
          <w:rFonts w:ascii="Arial" w:hAnsi="Arial"/>
          <w:color w:val="525252"/>
          <w:sz w:val="13"/>
        </w:rPr>
        <w:t>M&amp;FRC staff operate the Installation Voter Assistance Office and serve as Voting Assistance Officers, responsible for providing accurate nonpartisan voting information and assistance.</w:t>
      </w:r>
    </w:p>
    <w:p>
      <w:pPr>
        <w:spacing w:after="20" w:line="223" w:lineRule="auto"/>
        <w:jc w:val="right"/>
        <w:bidi/>
      </w:pPr>
      <w:r>
        <w:rPr>
          <w:rFonts w:ascii="Arial" w:hAnsi="Arial"/>
          <w:sz w:val="16"/>
        </w:rPr>
        <w:t>187.19  اطلاعات بیشتر درباره برنامه کمک به رای دادن را می‌توانید در DAFI ۳۶-۳۱۰۷، برنامه کمک رای‌گیری پیدا کنید.</w:t>
      </w:r>
    </w:p>
    <w:p>
      <w:pPr>
        <w:spacing w:after="28" w:line="216" w:lineRule="auto"/>
        <w:ind w:left="259"/>
        <w:jc w:val="left"/>
      </w:pPr>
      <w:r>
        <w:rPr>
          <w:rFonts w:ascii="Arial" w:hAnsi="Arial"/>
          <w:color w:val="525252"/>
          <w:sz w:val="13"/>
        </w:rPr>
        <w:t>More information about the Voting Assistance Program can be found in DAFI 36-3107, Voting Assistance Program.</w:t>
      </w:r>
    </w:p>
    <w:p>
      <w:pPr>
        <w:spacing w:after="20" w:line="223" w:lineRule="auto"/>
        <w:jc w:val="right"/>
        <w:bidi/>
      </w:pPr>
      <w:r>
        <w:rPr>
          <w:rFonts w:ascii="Arial" w:hAnsi="Arial"/>
          <w:sz w:val="16"/>
        </w:rPr>
        <w:t>187.20  جلسات توجیهی استقرار.</w:t>
      </w:r>
    </w:p>
    <w:p>
      <w:pPr>
        <w:spacing w:after="28" w:line="216" w:lineRule="auto"/>
        <w:ind w:left="259"/>
        <w:jc w:val="left"/>
      </w:pPr>
      <w:r>
        <w:rPr>
          <w:rFonts w:ascii="Arial" w:hAnsi="Arial"/>
          <w:color w:val="525252"/>
          <w:sz w:val="13"/>
        </w:rPr>
        <w:t>Deployment Briefings.</w:t>
      </w:r>
    </w:p>
    <w:p>
      <w:pPr>
        <w:spacing w:after="20" w:line="223" w:lineRule="auto"/>
        <w:jc w:val="right"/>
        <w:bidi/>
      </w:pPr>
      <w:r>
        <w:rPr>
          <w:rFonts w:ascii="Arial" w:hAnsi="Arial"/>
          <w:sz w:val="16"/>
        </w:rPr>
        <w:t>187.21  جلسات توجیهی آمادگی پرسنل و خانواده قبل از اعزام برای افرادی با مأموریت استقرار ثابت ۳۰ روز یا بیشتر الزامی است.</w:t>
      </w:r>
    </w:p>
    <w:p>
      <w:pPr>
        <w:spacing w:after="28" w:line="216" w:lineRule="auto"/>
        <w:ind w:left="259"/>
        <w:jc w:val="left"/>
      </w:pPr>
      <w:r>
        <w:rPr>
          <w:rFonts w:ascii="Arial" w:hAnsi="Arial"/>
          <w:color w:val="525252"/>
          <w:sz w:val="13"/>
        </w:rPr>
        <w:t>Personnel and family readiness pre-deployment briefings are mandatory for individuals with a firm deployment tasking of 30 or more days.</w:t>
      </w:r>
    </w:p>
    <w:p>
      <w:pPr>
        <w:spacing w:after="20" w:line="223" w:lineRule="auto"/>
        <w:jc w:val="right"/>
        <w:bidi/>
      </w:pPr>
      <w:r>
        <w:rPr>
          <w:rFonts w:ascii="Arial" w:hAnsi="Arial"/>
          <w:sz w:val="16"/>
        </w:rPr>
        <w:t>187.22  جلسات توجیهی به هوانوردان، نگهبانان و خانواده‌های آنها در مورد تمام مراحل استقرار و جنبه‌های حیاتی اتحاد مجدد و ادغام مجدد آموزش می‌دهند.</w:t>
      </w:r>
    </w:p>
    <w:p>
      <w:pPr>
        <w:spacing w:after="28" w:line="216" w:lineRule="auto"/>
        <w:ind w:left="259"/>
        <w:jc w:val="left"/>
      </w:pPr>
      <w:r>
        <w:rPr>
          <w:rFonts w:ascii="Arial" w:hAnsi="Arial"/>
          <w:color w:val="525252"/>
          <w:sz w:val="13"/>
        </w:rPr>
        <w:t>The briefings educate Airmen, Guardians, and their families on all phases of deployment and critical aspects of reunion and reintegration.</w:t>
      </w:r>
    </w:p>
    <w:p>
      <w:pPr>
        <w:spacing w:after="20" w:line="223" w:lineRule="auto"/>
        <w:jc w:val="right"/>
        <w:bidi/>
      </w:pPr>
      <w:r>
        <w:rPr>
          <w:rFonts w:ascii="Arial" w:hAnsi="Arial"/>
          <w:sz w:val="16"/>
        </w:rPr>
        <w:t>187.23  از همسران دعوت می‌شود که در این مراسم شرکت کنند.</w:t>
      </w:r>
    </w:p>
    <w:p>
      <w:pPr>
        <w:spacing w:after="28" w:line="216" w:lineRule="auto"/>
        <w:ind w:left="259"/>
        <w:jc w:val="left"/>
      </w:pPr>
      <w:r>
        <w:rPr>
          <w:rFonts w:ascii="Arial" w:hAnsi="Arial"/>
          <w:color w:val="525252"/>
          <w:sz w:val="13"/>
        </w:rPr>
        <w:t>Spouses are welcome and encouraged to attend.</w:t>
      </w:r>
    </w:p>
    <w:p>
      <w:pPr>
        <w:spacing w:after="20" w:line="223" w:lineRule="auto"/>
        <w:jc w:val="right"/>
        <w:bidi/>
      </w:pPr>
      <w:r>
        <w:rPr>
          <w:rFonts w:ascii="Arial" w:hAnsi="Arial"/>
          <w:sz w:val="16"/>
        </w:rPr>
        <w:t>187.24  جلسات توجیهی شامل اطلاعاتی در مورد آمادگی برای استقرار است. حمایت، حمایت و خدمات برای اعضای خانواده از جمله خانواده گسترده؛ و جلسات توجیهی ادغام مجدد اجباری و خدمات مستمری که به هوانوردان و نگهبانان کمک می‌کند تا برای اتحاد مجدد با خانواده‌ها، دوستان و جوامع خود و برای مدیریت عوامل استرس زای جنگی آماده شوند.</w:t>
      </w:r>
    </w:p>
    <w:p>
      <w:pPr>
        <w:spacing w:after="28" w:line="216" w:lineRule="auto"/>
        <w:ind w:left="259"/>
        <w:jc w:val="left"/>
      </w:pPr>
      <w:r>
        <w:rPr>
          <w:rFonts w:ascii="Arial" w:hAnsi="Arial"/>
          <w:color w:val="525252"/>
          <w:sz w:val="13"/>
        </w:rPr>
        <w:t>The briefings include information on preparing for deployment; sustainment, support, and services for family members including extended family; and mandatory reintegration briefings and continuing services that help Airmen and Guardians prepare for reuniting with their families, friends, and communities, and for handling combat stressors.</w:t>
      </w:r>
    </w:p>
    <w:p>
      <w:pPr>
        <w:spacing w:after="20" w:line="223" w:lineRule="auto"/>
        <w:jc w:val="right"/>
        <w:bidi/>
      </w:pPr>
      <w:r>
        <w:rPr>
          <w:rFonts w:ascii="Arial" w:hAnsi="Arial"/>
          <w:sz w:val="16"/>
        </w:rPr>
        <w:t>187.25  کمک کار.</w:t>
      </w:r>
    </w:p>
    <w:p>
      <w:pPr>
        <w:spacing w:after="28" w:line="216" w:lineRule="auto"/>
        <w:ind w:left="259"/>
        <w:jc w:val="left"/>
      </w:pPr>
      <w:r>
        <w:rPr>
          <w:rFonts w:ascii="Arial" w:hAnsi="Arial"/>
          <w:color w:val="525252"/>
          <w:sz w:val="13"/>
        </w:rPr>
        <w:t>Employment Assistance.</w:t>
      </w:r>
    </w:p>
    <w:p>
      <w:pPr>
        <w:spacing w:after="20" w:line="223" w:lineRule="auto"/>
        <w:jc w:val="right"/>
        <w:bidi/>
      </w:pPr>
      <w:r>
        <w:rPr>
          <w:rFonts w:ascii="Arial" w:hAnsi="Arial"/>
          <w:sz w:val="16"/>
        </w:rPr>
        <w:t>187.26  کمک‌های شغلی از هوانوردان و خانواده‌های آنها در دستیابی به این هدف حمایت می‌کند</w:t>
      </w:r>
    </w:p>
    <w:p>
      <w:pPr>
        <w:spacing w:after="28" w:line="216" w:lineRule="auto"/>
        <w:ind w:left="259"/>
        <w:jc w:val="left"/>
      </w:pPr>
      <w:r>
        <w:rPr>
          <w:rFonts w:ascii="Arial" w:hAnsi="Arial"/>
          <w:color w:val="525252"/>
          <w:sz w:val="13"/>
        </w:rPr>
        <w:t>Employment assistance supports Airmen and their families in achieving</w:t>
      </w:r>
    </w:p>
    <w:p>
      <w:r>
        <w:br w:type="page"/>
      </w:r>
    </w:p>
    <w:p>
      <w:pPr>
        <w:spacing w:after="60"/>
        <w:jc w:val="right"/>
        <w:bidi/>
      </w:pPr>
      <w:r>
        <w:rPr>
          <w:rFonts w:ascii="Arial" w:hAnsi="Arial"/>
          <w:b/>
          <w:color w:val="1F4D78"/>
          <w:sz w:val="19"/>
        </w:rPr>
        <w:t>هفتهٔ 188  |  صفحهٔ منبع: 204</w:t>
      </w:r>
    </w:p>
    <w:p>
      <w:pPr>
        <w:spacing w:after="20" w:line="223" w:lineRule="auto"/>
        <w:jc w:val="right"/>
        <w:bidi/>
      </w:pPr>
      <w:r>
        <w:rPr>
          <w:rFonts w:ascii="Arial" w:hAnsi="Arial"/>
          <w:sz w:val="16"/>
        </w:rPr>
        <w:t>188.01  اشتغال کوتاه مدت و بلندمدت، ارجاع به تحصیل و آموزش و توسعه اهداف شغلی از طریق مشاوره مهارت‌های شغلی و کارگاه‌های توسعه مهارت برای آماده‌سازی مشتریان برای مشاغل در بخش خصوصی و دولتی.</w:t>
      </w:r>
    </w:p>
    <w:p>
      <w:pPr>
        <w:spacing w:after="28" w:line="216" w:lineRule="auto"/>
        <w:ind w:left="259"/>
        <w:jc w:val="left"/>
      </w:pPr>
      <w:r>
        <w:rPr>
          <w:rFonts w:ascii="Arial" w:hAnsi="Arial"/>
          <w:color w:val="525252"/>
          <w:sz w:val="13"/>
        </w:rPr>
        <w:t>short- and long-term employment, referral for education and training, and development of career goals through employment skills counseling and skills development workshops to prepare customers for careers in the private and public sectors.</w:t>
      </w:r>
    </w:p>
    <w:p>
      <w:pPr>
        <w:spacing w:after="20" w:line="223" w:lineRule="auto"/>
        <w:jc w:val="right"/>
        <w:bidi/>
      </w:pPr>
      <w:r>
        <w:rPr>
          <w:rFonts w:ascii="Arial" w:hAnsi="Arial"/>
          <w:sz w:val="16"/>
        </w:rPr>
        <w:t>188.02  آنها همچنین منابعی را برای خوداشتغالی، اطلاعات در مورد مشاغل کوچک و فرصت‌های کارآفرینی، و پیوندهایی به جایگزین‌های شغلی با حقوق، مانند داوطلبی و آموزش، ارائه می‌کنند.</w:t>
      </w:r>
    </w:p>
    <w:p>
      <w:pPr>
        <w:spacing w:after="28" w:line="216" w:lineRule="auto"/>
        <w:ind w:left="259"/>
        <w:jc w:val="left"/>
      </w:pPr>
      <w:r>
        <w:rPr>
          <w:rFonts w:ascii="Arial" w:hAnsi="Arial"/>
          <w:color w:val="525252"/>
          <w:sz w:val="13"/>
        </w:rPr>
        <w:t>They also offer resources for self- employment, information on small business and entrepreneurial opportunities, and links to alternatives to paid employment, such as volunteerism and education.</w:t>
      </w:r>
    </w:p>
    <w:p>
      <w:pPr>
        <w:spacing w:after="20" w:line="223" w:lineRule="auto"/>
        <w:jc w:val="right"/>
        <w:bidi/>
      </w:pPr>
      <w:r>
        <w:rPr>
          <w:rFonts w:ascii="Arial" w:hAnsi="Arial"/>
          <w:sz w:val="16"/>
        </w:rPr>
        <w:t>188.03  خدمات آمادگی مالی شخصی.</w:t>
      </w:r>
    </w:p>
    <w:p>
      <w:pPr>
        <w:spacing w:after="28" w:line="216" w:lineRule="auto"/>
        <w:ind w:left="259"/>
        <w:jc w:val="left"/>
      </w:pPr>
      <w:r>
        <w:rPr>
          <w:rFonts w:ascii="Arial" w:hAnsi="Arial"/>
          <w:color w:val="525252"/>
          <w:sz w:val="13"/>
        </w:rPr>
        <w:t>Personal Financial Readiness Services.</w:t>
      </w:r>
    </w:p>
    <w:p>
      <w:pPr>
        <w:spacing w:after="20" w:line="223" w:lineRule="auto"/>
        <w:jc w:val="right"/>
        <w:bidi/>
      </w:pPr>
      <w:r>
        <w:rPr>
          <w:rFonts w:ascii="Arial" w:hAnsi="Arial"/>
          <w:sz w:val="16"/>
        </w:rPr>
        <w:t>188.04  آمادگی مالی شخصی یک برنامه م&amp;FRC است که اطلاعات، آموزش و مشاوره مالی شخصی را برای کمک به افراد و خانواده‌ها برای حفظ ثبات مالی و رسیدن به اهداف مالی خود ارائه می‌دهد.</w:t>
      </w:r>
    </w:p>
    <w:p>
      <w:pPr>
        <w:spacing w:after="28" w:line="216" w:lineRule="auto"/>
        <w:ind w:left="259"/>
        <w:jc w:val="left"/>
      </w:pPr>
      <w:r>
        <w:rPr>
          <w:rFonts w:ascii="Arial" w:hAnsi="Arial"/>
          <w:color w:val="525252"/>
          <w:sz w:val="13"/>
        </w:rPr>
        <w:t>Personal financial readiness is an M&amp;FRC program that offers information, education, and personal financial counseling to help individuals and families maintain financial stability and reach their financial goals.</w:t>
      </w:r>
    </w:p>
    <w:p>
      <w:pPr>
        <w:spacing w:after="20" w:line="223" w:lineRule="auto"/>
        <w:jc w:val="right"/>
        <w:bidi/>
      </w:pPr>
      <w:r>
        <w:rPr>
          <w:rFonts w:ascii="Arial" w:hAnsi="Arial"/>
          <w:sz w:val="16"/>
        </w:rPr>
        <w:t>188.05  این برنامه برای همه پرسنل در طول چرخه زندگی نظامی آموزش می‌دهد.</w:t>
      </w:r>
    </w:p>
    <w:p>
      <w:pPr>
        <w:spacing w:after="28" w:line="216" w:lineRule="auto"/>
        <w:ind w:left="259"/>
        <w:jc w:val="left"/>
      </w:pPr>
      <w:r>
        <w:rPr>
          <w:rFonts w:ascii="Arial" w:hAnsi="Arial"/>
          <w:color w:val="525252"/>
          <w:sz w:val="13"/>
        </w:rPr>
        <w:t>The program provides education to all personnel throughout the entire military life cycle.</w:t>
      </w:r>
    </w:p>
    <w:p>
      <w:pPr>
        <w:spacing w:after="20" w:line="223" w:lineRule="auto"/>
        <w:jc w:val="right"/>
        <w:bidi/>
      </w:pPr>
      <w:r>
        <w:rPr>
          <w:rFonts w:ascii="Arial" w:hAnsi="Arial"/>
          <w:sz w:val="16"/>
        </w:rPr>
        <w:t>188.06  آموزش آمادگی مالی اجباری از طریق م&amp;FRC توسط مشاوران مالی معتبر ارائه می‌شود.</w:t>
      </w:r>
    </w:p>
    <w:p>
      <w:pPr>
        <w:spacing w:after="28" w:line="216" w:lineRule="auto"/>
        <w:ind w:left="259"/>
        <w:jc w:val="left"/>
      </w:pPr>
      <w:r>
        <w:rPr>
          <w:rFonts w:ascii="Arial" w:hAnsi="Arial"/>
          <w:color w:val="525252"/>
          <w:sz w:val="13"/>
        </w:rPr>
        <w:t>Mandatory financial readiness training is offered through the M&amp;FRC by certified financial counselors.</w:t>
      </w:r>
    </w:p>
    <w:p>
      <w:pPr>
        <w:spacing w:after="20" w:line="223" w:lineRule="auto"/>
        <w:jc w:val="right"/>
        <w:bidi/>
      </w:pPr>
      <w:r>
        <w:rPr>
          <w:rFonts w:ascii="Arial" w:hAnsi="Arial"/>
          <w:sz w:val="16"/>
        </w:rPr>
        <w:t>188.07  علاوه بر آموزش اجباری، هوانوردان و نگهبانان و خانواده‌هایشان می‌توانند اصول مالی مانند بودجه، اعتبار، خریدهای بزرگ، قوانین مسئولیت ایالتی یا کشوری، و شیوه‌های تجاری تقلبی محلی را بیاموزند.</w:t>
      </w:r>
    </w:p>
    <w:p>
      <w:pPr>
        <w:spacing w:after="28" w:line="216" w:lineRule="auto"/>
        <w:ind w:left="259"/>
        <w:jc w:val="left"/>
      </w:pPr>
      <w:r>
        <w:rPr>
          <w:rFonts w:ascii="Arial" w:hAnsi="Arial"/>
          <w:color w:val="525252"/>
          <w:sz w:val="13"/>
        </w:rPr>
        <w:t>In addition to the mandatory training, Airmen and Guardians and their families can also learn financial basics such as budgeting, credit, large purchases, state or country liability laws, and local fraudulent business practices.</w:t>
      </w:r>
    </w:p>
    <w:p>
      <w:pPr>
        <w:spacing w:after="20" w:line="223" w:lineRule="auto"/>
        <w:jc w:val="right"/>
        <w:bidi/>
      </w:pPr>
      <w:r>
        <w:rPr>
          <w:rFonts w:ascii="Arial" w:hAnsi="Arial"/>
          <w:sz w:val="16"/>
        </w:rPr>
        <w:t>188.08  خدمات آمادگی مالی شخصی رایگان است.</w:t>
      </w:r>
    </w:p>
    <w:p>
      <w:pPr>
        <w:spacing w:after="28" w:line="216" w:lineRule="auto"/>
        <w:ind w:left="259"/>
        <w:jc w:val="left"/>
      </w:pPr>
      <w:r>
        <w:rPr>
          <w:rFonts w:ascii="Arial" w:hAnsi="Arial"/>
          <w:color w:val="525252"/>
          <w:sz w:val="13"/>
        </w:rPr>
        <w:t>Personal financial readiness services are free.</w:t>
      </w:r>
    </w:p>
    <w:p>
      <w:pPr>
        <w:spacing w:after="20" w:line="223" w:lineRule="auto"/>
        <w:jc w:val="right"/>
        <w:bidi/>
      </w:pPr>
      <w:r>
        <w:rPr>
          <w:rFonts w:ascii="Arial" w:hAnsi="Arial"/>
          <w:sz w:val="16"/>
        </w:rPr>
        <w:t>188.09  آموزش کودکان نظامی.</w:t>
      </w:r>
    </w:p>
    <w:p>
      <w:pPr>
        <w:spacing w:after="28" w:line="216" w:lineRule="auto"/>
        <w:ind w:left="259"/>
        <w:jc w:val="left"/>
      </w:pPr>
      <w:r>
        <w:rPr>
          <w:rFonts w:ascii="Arial" w:hAnsi="Arial"/>
          <w:color w:val="525252"/>
          <w:sz w:val="13"/>
        </w:rPr>
        <w:t>Military Child Education.</w:t>
      </w:r>
    </w:p>
    <w:p>
      <w:pPr>
        <w:spacing w:after="20" w:line="223" w:lineRule="auto"/>
        <w:jc w:val="right"/>
        <w:bidi/>
      </w:pPr>
      <w:r>
        <w:rPr>
          <w:rFonts w:ascii="Arial" w:hAnsi="Arial"/>
          <w:sz w:val="16"/>
        </w:rPr>
        <w:t>188.10  افسران رابط مدارس غیرنظامی و نظامی برای ارائه اطلاعات، ارجاع، منابع، و حمایت از نیازهای آموزشی دانش‌آموزان مرتبط با ارتش با کمک به هوانوردان و خانواده‌ها درباره مناطق مدارس محلی و سایر گزینه‌های آموزشی، و همچنین آموزش پرسنل مدرسه در مورد مسائل منحصر به فرد مؤثر بر کودکان نظامی، شریک می‌شوند.</w:t>
      </w:r>
    </w:p>
    <w:p>
      <w:pPr>
        <w:spacing w:after="28" w:line="216" w:lineRule="auto"/>
        <w:ind w:left="259"/>
        <w:jc w:val="left"/>
      </w:pPr>
      <w:r>
        <w:rPr>
          <w:rFonts w:ascii="Arial" w:hAnsi="Arial"/>
          <w:color w:val="525252"/>
          <w:sz w:val="13"/>
        </w:rPr>
        <w:t>Civilian and military school liaison officers partner to provide information, referrals, resources, and advocacy for the educational needs of military-connected students by assisting Airmen and families regarding local school districts and other educational options, as well as educating school personnel on the unique issues impacting military children.</w:t>
      </w:r>
    </w:p>
    <w:p>
      <w:pPr>
        <w:spacing w:after="20" w:line="223" w:lineRule="auto"/>
        <w:jc w:val="right"/>
        <w:bidi/>
      </w:pPr>
      <w:r>
        <w:rPr>
          <w:rFonts w:ascii="Arial" w:hAnsi="Arial"/>
          <w:sz w:val="16"/>
        </w:rPr>
        <w:t>188.11  کمک جابجایی.</w:t>
      </w:r>
    </w:p>
    <w:p>
      <w:pPr>
        <w:spacing w:after="28" w:line="216" w:lineRule="auto"/>
        <w:ind w:left="259"/>
        <w:jc w:val="left"/>
      </w:pPr>
      <w:r>
        <w:rPr>
          <w:rFonts w:ascii="Arial" w:hAnsi="Arial"/>
          <w:color w:val="525252"/>
          <w:sz w:val="13"/>
        </w:rPr>
        <w:t>Relocation Assistance.</w:t>
      </w:r>
    </w:p>
    <w:p>
      <w:pPr>
        <w:spacing w:after="20" w:line="223" w:lineRule="auto"/>
        <w:jc w:val="right"/>
        <w:bidi/>
      </w:pPr>
      <w:r>
        <w:rPr>
          <w:rFonts w:ascii="Arial" w:hAnsi="Arial"/>
          <w:sz w:val="16"/>
        </w:rPr>
        <w:t>188.12  کمک جابجایی خدمات قبل و بعد از ورود را فراهم می‌کند و به اعضا امکان می‌دهد تا تصمیمات آگاهانه و آمادگی برای حرکت خود را بگیرند.</w:t>
      </w:r>
    </w:p>
    <w:p>
      <w:pPr>
        <w:spacing w:after="28" w:line="216" w:lineRule="auto"/>
        <w:ind w:left="259"/>
        <w:jc w:val="left"/>
      </w:pPr>
      <w:r>
        <w:rPr>
          <w:rFonts w:ascii="Arial" w:hAnsi="Arial"/>
          <w:color w:val="525252"/>
          <w:sz w:val="13"/>
        </w:rPr>
        <w:t>Relocation assistance provides pre-departure and post-arrival services, allowing members to make informed decisions and preparations for their moves.</w:t>
      </w:r>
    </w:p>
    <w:p>
      <w:pPr>
        <w:spacing w:after="20" w:line="223" w:lineRule="auto"/>
        <w:jc w:val="right"/>
        <w:bidi/>
      </w:pPr>
      <w:r>
        <w:rPr>
          <w:rFonts w:ascii="Arial" w:hAnsi="Arial"/>
          <w:sz w:val="16"/>
        </w:rPr>
        <w:t>188.13  ارجاعات شامل خدمات مسکن موقت، خدمات یافتن خانه‌های دولتی یا خصوصی، مراقبت از کودک، خدمات پزشکی، کمک به همسر، جهت گیری فرهنگی و اجتماعی، تحصیل، کمک حقوقی، ارسال اموال شخصی، و اطلاعات در مورد فرصت‌های آموزشی و داوطلبانه خواهد بود، اما محدود به آنها نیست.</w:t>
      </w:r>
    </w:p>
    <w:p>
      <w:pPr>
        <w:spacing w:after="28" w:line="216" w:lineRule="auto"/>
        <w:ind w:left="259"/>
        <w:jc w:val="left"/>
      </w:pPr>
      <w:r>
        <w:rPr>
          <w:rFonts w:ascii="Arial" w:hAnsi="Arial"/>
          <w:color w:val="525252"/>
          <w:sz w:val="13"/>
        </w:rPr>
        <w:t>Referrals will include, but are not limited to temporary housing services, government or private home finding services, child care, medically-related services, spouse employment assistance, cultural and community orientation, schooling, legal assistance, personal property shipment, and information on educational and volunteer opportunities.</w:t>
      </w:r>
    </w:p>
    <w:p>
      <w:pPr>
        <w:spacing w:after="20" w:line="223" w:lineRule="auto"/>
        <w:jc w:val="right"/>
        <w:bidi/>
      </w:pPr>
      <w:r>
        <w:rPr>
          <w:rFonts w:ascii="Arial" w:hAnsi="Arial"/>
          <w:sz w:val="16"/>
        </w:rPr>
        <w:t>188.14  پشتیبانی بحران.</w:t>
      </w:r>
    </w:p>
    <w:p>
      <w:pPr>
        <w:spacing w:after="28" w:line="216" w:lineRule="auto"/>
        <w:ind w:left="259"/>
        <w:jc w:val="left"/>
      </w:pPr>
      <w:r>
        <w:rPr>
          <w:rFonts w:ascii="Arial" w:hAnsi="Arial"/>
          <w:color w:val="525252"/>
          <w:sz w:val="13"/>
        </w:rPr>
        <w:t>Crisis Support.</w:t>
      </w:r>
    </w:p>
    <w:p>
      <w:pPr>
        <w:spacing w:after="20" w:line="223" w:lineRule="auto"/>
        <w:jc w:val="right"/>
        <w:bidi/>
      </w:pPr>
      <w:r>
        <w:rPr>
          <w:rFonts w:ascii="Arial" w:hAnsi="Arial"/>
          <w:sz w:val="16"/>
        </w:rPr>
        <w:t>188.15  پشتیبانی بحران اطلاعات فوری و کوتاه مدت و ارجاع به آژانس‌ها یا خدمات مناسب را برای کمک به افراد و خانواده هایی که با موقعیت‌های بحرانی روبرو هستند با حمایت از جامعه قبل، حین و بعد از بلایا، بحران، و یا موقعیت‌های تخلیه فراهم می‌کند.</w:t>
      </w:r>
    </w:p>
    <w:p>
      <w:pPr>
        <w:spacing w:after="28" w:line="216" w:lineRule="auto"/>
        <w:ind w:left="259"/>
        <w:jc w:val="left"/>
      </w:pPr>
      <w:r>
        <w:rPr>
          <w:rFonts w:ascii="Arial" w:hAnsi="Arial"/>
          <w:color w:val="525252"/>
          <w:sz w:val="13"/>
        </w:rPr>
        <w:t>Crisis support provides immediate, short-term information and referral to appropriate agencies or services to assist individuals and families facing crisis situations with support to the community before, during and after disaster, crisis, and or evacuation situations.</w:t>
      </w:r>
    </w:p>
    <w:p>
      <w:pPr>
        <w:spacing w:after="20" w:line="223" w:lineRule="auto"/>
        <w:jc w:val="right"/>
        <w:bidi/>
      </w:pPr>
      <w:r>
        <w:rPr>
          <w:rFonts w:ascii="Arial" w:hAnsi="Arial"/>
          <w:sz w:val="16"/>
        </w:rPr>
        <w:t>188.16  کمک به مصدومان.</w:t>
      </w:r>
    </w:p>
    <w:p>
      <w:pPr>
        <w:spacing w:after="28" w:line="216" w:lineRule="auto"/>
        <w:ind w:left="259"/>
        <w:jc w:val="left"/>
      </w:pPr>
      <w:r>
        <w:rPr>
          <w:rFonts w:ascii="Arial" w:hAnsi="Arial"/>
          <w:color w:val="525252"/>
          <w:sz w:val="13"/>
        </w:rPr>
        <w:t>Casualty Assistance.</w:t>
      </w:r>
    </w:p>
    <w:p>
      <w:pPr>
        <w:spacing w:after="20" w:line="223" w:lineRule="auto"/>
        <w:jc w:val="right"/>
        <w:bidi/>
      </w:pPr>
      <w:r>
        <w:rPr>
          <w:rFonts w:ascii="Arial" w:hAnsi="Arial"/>
          <w:sz w:val="16"/>
        </w:rPr>
        <w:t>188.17  نمایندگان کمک به قربانیان (CAR) و مشاوران طرح مزایای بازماندگان کمک و مشاوره در مورد مزایای ارائه شده توسط برنامه‌های متنوعی از وزارت نیروی هوایی، وزارت امور کهنه‌سربازان، اداره تأمین اجتماعی، خدمات درآمد داخلی، وزارت بهداشت و خدمات انسانی، و همچنین سازمان‌های محلی ارائه می‌کنند.</w:t>
      </w:r>
    </w:p>
    <w:p>
      <w:pPr>
        <w:spacing w:after="28" w:line="216" w:lineRule="auto"/>
        <w:ind w:left="259"/>
        <w:jc w:val="left"/>
      </w:pPr>
      <w:r>
        <w:rPr>
          <w:rFonts w:ascii="Arial" w:hAnsi="Arial"/>
          <w:color w:val="525252"/>
          <w:sz w:val="13"/>
        </w:rPr>
        <w:t>Casualty Assistance Representatives (CAR) and survivor benefit plan counselors provide assistance and counseling on benefits offered by a wide variety of programs from the Department of the Air Force, Department of Veterans Affairs, Social Security Administration, Internal Revenue Service, Department of Health and Human Services, as well as state and local agencies.</w:t>
      </w:r>
    </w:p>
    <w:p>
      <w:pPr>
        <w:spacing w:after="20" w:line="223" w:lineRule="auto"/>
        <w:jc w:val="right"/>
        <w:bidi/>
      </w:pPr>
      <w:r>
        <w:rPr>
          <w:rFonts w:ascii="Arial" w:hAnsi="Arial"/>
          <w:sz w:val="16"/>
        </w:rPr>
        <w:t>188.18  هنگامی که یک تلفات رخ می‌دهد، USAF به سرعت به خانواده بعدی اولیه (PNOK) و سایر ذینفعان نام برده بر اساس وضعیت تلفات یک عضو، به شیوه‌ای محترمانه، حرفه‌ای و به موقع اطلاع می‌دهد.</w:t>
      </w:r>
    </w:p>
    <w:p>
      <w:pPr>
        <w:spacing w:after="28" w:line="216" w:lineRule="auto"/>
        <w:ind w:left="259"/>
        <w:jc w:val="left"/>
      </w:pPr>
      <w:r>
        <w:rPr>
          <w:rFonts w:ascii="Arial" w:hAnsi="Arial"/>
          <w:color w:val="525252"/>
          <w:sz w:val="13"/>
        </w:rPr>
        <w:t>When a casualty occurs, the USAF will promptly notify the Primary Next of Kin (PNOK) and other named beneficiaries as appropriate based on a member’s casualty status, in a dignified, professional, and timely manner.</w:t>
      </w:r>
    </w:p>
    <w:p>
      <w:pPr>
        <w:spacing w:after="20" w:line="223" w:lineRule="auto"/>
        <w:jc w:val="right"/>
        <w:bidi/>
      </w:pPr>
      <w:r>
        <w:rPr>
          <w:rFonts w:ascii="Arial" w:hAnsi="Arial"/>
          <w:sz w:val="16"/>
        </w:rPr>
        <w:t>188.19  به‌علاوه، در مواردی که عضو نظامی متوفی، وضعیت وظیفه نامشخص (DUSTWUN) یا مفقود اعلام شود، USAF یک CAR را برای مشاوره و کمک به PNOK و ذینفعانی که شما شناسایی کرده‌اید منصوب می‌کند.</w:t>
      </w:r>
    </w:p>
    <w:p>
      <w:pPr>
        <w:spacing w:after="28" w:line="216" w:lineRule="auto"/>
        <w:ind w:left="259"/>
        <w:jc w:val="left"/>
      </w:pPr>
      <w:r>
        <w:rPr>
          <w:rFonts w:ascii="Arial" w:hAnsi="Arial"/>
          <w:color w:val="525252"/>
          <w:sz w:val="13"/>
        </w:rPr>
        <w:t>Additionally, in cases where the military member is declared deceased, Duty Status Whereabouts Unknown (DUSTWUN), or missing, the USAF appoints a CAR to advise and assist the PNOK and beneficiaries you have identified.</w:t>
      </w:r>
    </w:p>
    <w:p>
      <w:pPr>
        <w:spacing w:after="20" w:line="223" w:lineRule="auto"/>
        <w:jc w:val="right"/>
        <w:bidi/>
      </w:pPr>
      <w:r>
        <w:rPr>
          <w:rFonts w:ascii="Arial" w:hAnsi="Arial"/>
          <w:sz w:val="16"/>
        </w:rPr>
        <w:t>188.20  CAR کمک می‌کند تا به زمان‌بندی‌های بسیار مهمی مانند ارسال اعلان‌ها در عرض ۱۲ ساعت پس از یک مصدوم دست یابد.</w:t>
      </w:r>
    </w:p>
    <w:p>
      <w:pPr>
        <w:spacing w:after="28" w:line="216" w:lineRule="auto"/>
        <w:ind w:left="259"/>
        <w:jc w:val="left"/>
      </w:pPr>
      <w:r>
        <w:rPr>
          <w:rFonts w:ascii="Arial" w:hAnsi="Arial"/>
          <w:color w:val="525252"/>
          <w:sz w:val="13"/>
        </w:rPr>
        <w:t>The CAR assists to meet very important timelines, such as delivering notifications within 12 hours of a casualty.</w:t>
      </w:r>
    </w:p>
    <w:p>
      <w:pPr>
        <w:spacing w:after="20" w:line="223" w:lineRule="auto"/>
        <w:jc w:val="right"/>
        <w:bidi/>
      </w:pPr>
      <w:r>
        <w:rPr>
          <w:rFonts w:ascii="Arial" w:hAnsi="Arial"/>
          <w:sz w:val="16"/>
        </w:rPr>
        <w:t>188.21  بنابراین، زمانی که رکورد داده‌های اضطراری (RED) یک عضو نیروی هوایی'س رکورد وف مرگنکی داتا (RED) جاری باشد و اطلاعات به‌روز داشته باشد، NOK و ذینفعان اعلان‌های به موقع دریافت می‌کنند.</w:t>
      </w:r>
    </w:p>
    <w:p>
      <w:pPr>
        <w:spacing w:after="28" w:line="216" w:lineRule="auto"/>
        <w:ind w:left="259"/>
        <w:jc w:val="left"/>
      </w:pPr>
      <w:r>
        <w:rPr>
          <w:rFonts w:ascii="Arial" w:hAnsi="Arial"/>
          <w:color w:val="525252"/>
          <w:sz w:val="13"/>
        </w:rPr>
        <w:t>Therefore, when an Airman’s Record of Emergency Data (RED) is current and has up- to-date information, NOK and beneficiaries receive timely notifications.</w:t>
      </w:r>
    </w:p>
    <w:p>
      <w:pPr>
        <w:spacing w:after="20" w:line="223" w:lineRule="auto"/>
        <w:jc w:val="right"/>
        <w:bidi/>
      </w:pPr>
      <w:r>
        <w:rPr>
          <w:rFonts w:ascii="Arial" w:hAnsi="Arial"/>
          <w:sz w:val="16"/>
        </w:rPr>
        <w:t>188.22  در نتیجه، RED و سیستم انتخابات آنلاین کارکنان (SOES) که در زیر ذکر شده است برای هر هواگرد بسیار مهم است که بتواند حداقل سالی یک بار یا زمانی که اطلاعات ذینفع تغییر می‌کند، به‌روز باشد، بررسی کند، تأیید کند و تأیید کند.</w:t>
      </w:r>
    </w:p>
    <w:p>
      <w:pPr>
        <w:spacing w:after="28" w:line="216" w:lineRule="auto"/>
        <w:ind w:left="259"/>
        <w:jc w:val="left"/>
      </w:pPr>
      <w:r>
        <w:rPr>
          <w:rFonts w:ascii="Arial" w:hAnsi="Arial"/>
          <w:color w:val="525252"/>
          <w:sz w:val="13"/>
        </w:rPr>
        <w:t>As a result, the RED and the Servicemembers’ Online Election System (SOES) mentioned below are critically important for each Airman to understand, review, verify, and certify that they are up-to-date at least once a year or when a beneficiary’s information changes.</w:t>
      </w:r>
    </w:p>
    <w:p>
      <w:pPr>
        <w:spacing w:after="20" w:line="223" w:lineRule="auto"/>
        <w:jc w:val="right"/>
        <w:bidi/>
      </w:pPr>
      <w:r>
        <w:rPr>
          <w:rFonts w:ascii="Arial" w:hAnsi="Arial"/>
          <w:sz w:val="16"/>
        </w:rPr>
        <w:t>188.23  داده‌های اضطراری (فرم DD ۹۳).</w:t>
      </w:r>
    </w:p>
    <w:p>
      <w:pPr>
        <w:spacing w:after="28" w:line="216" w:lineRule="auto"/>
        <w:ind w:left="259"/>
        <w:jc w:val="left"/>
      </w:pPr>
      <w:r>
        <w:rPr>
          <w:rFonts w:ascii="Arial" w:hAnsi="Arial"/>
          <w:color w:val="525252"/>
          <w:sz w:val="13"/>
        </w:rPr>
        <w:t>Emergency Data (DD Form 93).</w:t>
      </w:r>
    </w:p>
    <w:p>
      <w:pPr>
        <w:spacing w:after="20" w:line="223" w:lineRule="auto"/>
        <w:jc w:val="right"/>
        <w:bidi/>
      </w:pPr>
      <w:r>
        <w:rPr>
          <w:rFonts w:ascii="Arial" w:hAnsi="Arial"/>
          <w:sz w:val="16"/>
        </w:rPr>
        <w:t>188.24  رکورد داده‌های اضطراری (RED) که ابتدا در فرم DD ۹۳ نگهداری می‌شود و در نهایت وارد رکورد مجازی داده‌های اضطراری (ورد) از طریق ومپف می‌شود، به هوانوردان این امکان را می‌دهد تا فهرستی از افرادی را که می‌خواهند در صورت مریض شدن، مجروح شدن، زخمی شدن، مفقود شدن یا فوت شدن، مطلع شوند، فهرست کنند.</w:t>
      </w:r>
    </w:p>
    <w:p>
      <w:pPr>
        <w:spacing w:after="28" w:line="216" w:lineRule="auto"/>
        <w:ind w:left="259"/>
        <w:jc w:val="left"/>
      </w:pPr>
      <w:r>
        <w:rPr>
          <w:rFonts w:ascii="Arial" w:hAnsi="Arial"/>
          <w:color w:val="525252"/>
          <w:sz w:val="13"/>
        </w:rPr>
        <w:t>Record of emergency data (RED) maintained initially on the DD Form 93 and ultimately input into the virtual record of emergency data (vRED) via vMPF enables Airmen to list those they wish to be notified should they become ill, injured, wounded, missing or deceased.</w:t>
      </w:r>
    </w:p>
    <w:p>
      <w:pPr>
        <w:spacing w:after="20" w:line="223" w:lineRule="auto"/>
        <w:jc w:val="right"/>
        <w:bidi/>
      </w:pPr>
      <w:r>
        <w:rPr>
          <w:rFonts w:ascii="Arial" w:hAnsi="Arial"/>
          <w:sz w:val="16"/>
        </w:rPr>
        <w:t>188.25  به‌علاوه، هوانوردان ذینفعان انعام مرگ، حقوق معوقه را تعیین می‌کنند و فرد مجاز برای دفع مستقیم (PADD) بقایای آنها را تعیین می‌کنند.</w:t>
      </w:r>
    </w:p>
    <w:p>
      <w:pPr>
        <w:spacing w:after="28" w:line="216" w:lineRule="auto"/>
        <w:ind w:left="259"/>
        <w:jc w:val="left"/>
      </w:pPr>
      <w:r>
        <w:rPr>
          <w:rFonts w:ascii="Arial" w:hAnsi="Arial"/>
          <w:color w:val="525252"/>
          <w:sz w:val="13"/>
        </w:rPr>
        <w:t>Additionally, Airmen determine beneficiaries of Death Gratuity, Arrears of Pay, and designate the Person Authorized to Direct Disposition (PADD) of their remains.</w:t>
      </w:r>
    </w:p>
    <w:p>
      <w:pPr>
        <w:spacing w:after="20" w:line="223" w:lineRule="auto"/>
        <w:jc w:val="right"/>
        <w:bidi/>
      </w:pPr>
      <w:r>
        <w:rPr>
          <w:rFonts w:ascii="Arial" w:hAnsi="Arial"/>
          <w:sz w:val="16"/>
        </w:rPr>
        <w:t>188.26  به</w:t>
      </w:r>
    </w:p>
    <w:p>
      <w:pPr>
        <w:spacing w:after="28" w:line="216" w:lineRule="auto"/>
        <w:ind w:left="259"/>
        <w:jc w:val="left"/>
      </w:pPr>
      <w:r>
        <w:rPr>
          <w:rFonts w:ascii="Arial" w:hAnsi="Arial"/>
          <w:color w:val="525252"/>
          <w:sz w:val="13"/>
        </w:rPr>
        <w:t>To</w:t>
      </w:r>
    </w:p>
    <w:p>
      <w:r>
        <w:br w:type="page"/>
      </w:r>
    </w:p>
    <w:p>
      <w:pPr>
        <w:spacing w:after="60"/>
        <w:jc w:val="right"/>
        <w:bidi/>
      </w:pPr>
      <w:r>
        <w:rPr>
          <w:rFonts w:ascii="Arial" w:hAnsi="Arial"/>
          <w:b/>
          <w:color w:val="1F4D78"/>
          <w:sz w:val="19"/>
        </w:rPr>
        <w:t>هفتهٔ 189  |  صفحهٔ منبع: 205</w:t>
      </w:r>
    </w:p>
    <w:p>
      <w:pPr>
        <w:spacing w:after="20" w:line="223" w:lineRule="auto"/>
        <w:jc w:val="right"/>
        <w:bidi/>
      </w:pPr>
      <w:r>
        <w:rPr>
          <w:rFonts w:ascii="Arial" w:hAnsi="Arial"/>
          <w:sz w:val="16"/>
        </w:rPr>
        <w:t>189.01  ورد خود را به‌روزرسانی کنید، وارد ومپف شوید: «پرسونال داتا» را انتخاب کنید و سپس «رکورد وف مرگنکی داتا» را انتخاب کنید. اعضای سرویس مسئول وارد کردن اطلاعات، بررسی/ارائه سالیانه یا به‌روزرسانی ورد خود در صورت وقوع رویدادهای تغییردهنده زندگی مانند ازدواج، طلاق، تولد، قبل از اعزام، PCS۳۰، TS۳۰ هستند.</w:t>
      </w:r>
    </w:p>
    <w:p>
      <w:pPr>
        <w:spacing w:after="28" w:line="216" w:lineRule="auto"/>
        <w:ind w:left="259"/>
        <w:jc w:val="left"/>
      </w:pPr>
      <w:r>
        <w:rPr>
          <w:rFonts w:ascii="Arial" w:hAnsi="Arial"/>
          <w:color w:val="525252"/>
          <w:sz w:val="13"/>
        </w:rPr>
        <w:t>update your vRED, log into vMPF: Select ‘Personal Data’ and then select ‘Record of Emergency Data.’ Service members are responsible for entering information, reviewing/submitting annually, or updating their vRED when there are life-changing events such as marriage, divorce, births, before deployments, TDYs more than 30 days, and PCS.</w:t>
      </w:r>
    </w:p>
    <w:p>
      <w:pPr>
        <w:spacing w:after="20" w:line="223" w:lineRule="auto"/>
        <w:jc w:val="right"/>
        <w:bidi/>
      </w:pPr>
      <w:r>
        <w:rPr>
          <w:rFonts w:ascii="Arial" w:hAnsi="Arial"/>
          <w:sz w:val="16"/>
        </w:rPr>
        <w:t>189.02  برای اطلاعات بیشتر به میفسس بروید و "رکورد وف مرگنکی داتا اسسوکیاتد بنفیتس" را جستجو کنید. توجه: هیچ الزامی برای ارتباط PADD با متوفی وجود ندارد، با این حال، فردی که به‌عنوان PADD انتخاب می‌کنید باید از خواسته‌های شما آگاه باشد و آن شخص باید درک کند که از او خواسته می‌شود در مورد اینکه پس از مرگ با جسد شما چه کار کند (مومیایی کردن، مراسم تشییع جنازه، سوزاندن، دفن و غیره) تصمیم‌گیری کند.</w:t>
      </w:r>
    </w:p>
    <w:p>
      <w:pPr>
        <w:spacing w:after="28" w:line="216" w:lineRule="auto"/>
        <w:ind w:left="259"/>
        <w:jc w:val="left"/>
      </w:pPr>
      <w:r>
        <w:rPr>
          <w:rFonts w:ascii="Arial" w:hAnsi="Arial"/>
          <w:color w:val="525252"/>
          <w:sz w:val="13"/>
        </w:rPr>
        <w:t>For more information go to myFSS and search, “Record of Emergency Data Associated Benefits.” Note: There is no requirement for the PADD to be related to the deceased, however, the person you select to be the PADD should be aware of your wishes and that person should understand that they will be required to make decisions about what to do with your remains after death (embalming, funeral services, cremation, burial, etc.).</w:t>
      </w:r>
    </w:p>
    <w:p>
      <w:pPr>
        <w:spacing w:after="20" w:line="223" w:lineRule="auto"/>
        <w:jc w:val="right"/>
        <w:bidi/>
      </w:pPr>
      <w:r>
        <w:rPr>
          <w:rFonts w:ascii="Arial" w:hAnsi="Arial"/>
          <w:sz w:val="16"/>
        </w:rPr>
        <w:t>189.03  سیستم ثبت‌نام آنلاین بیمه عمر گروهی خدمات (SOES).</w:t>
      </w:r>
    </w:p>
    <w:p>
      <w:pPr>
        <w:spacing w:after="28" w:line="216" w:lineRule="auto"/>
        <w:ind w:left="259"/>
        <w:jc w:val="left"/>
      </w:pPr>
      <w:r>
        <w:rPr>
          <w:rFonts w:ascii="Arial" w:hAnsi="Arial"/>
          <w:color w:val="525252"/>
          <w:sz w:val="13"/>
        </w:rPr>
        <w:t>Servicemembers’ Group Life Insurance Online Enrollment System (SOES).</w:t>
      </w:r>
    </w:p>
    <w:p>
      <w:pPr>
        <w:spacing w:after="20" w:line="223" w:lineRule="auto"/>
        <w:jc w:val="right"/>
        <w:bidi/>
      </w:pPr>
      <w:r>
        <w:rPr>
          <w:rFonts w:ascii="Arial" w:hAnsi="Arial"/>
          <w:sz w:val="16"/>
        </w:rPr>
        <w:t>189.04  SOES یک راه حل سازمانی است که توسط وزارت دفاع (دود) و اداره مزایای جانبازان توسعه یافته است.</w:t>
      </w:r>
    </w:p>
    <w:p>
      <w:pPr>
        <w:spacing w:after="28" w:line="216" w:lineRule="auto"/>
        <w:ind w:left="259"/>
        <w:jc w:val="left"/>
      </w:pPr>
      <w:r>
        <w:rPr>
          <w:rFonts w:ascii="Arial" w:hAnsi="Arial"/>
          <w:color w:val="525252"/>
          <w:sz w:val="13"/>
        </w:rPr>
        <w:t>SOES is an enterprise solution developed by the Department of Defense (DoD) and the Veteran Benefits Administration.</w:t>
      </w:r>
    </w:p>
    <w:p>
      <w:pPr>
        <w:spacing w:after="20" w:line="223" w:lineRule="auto"/>
        <w:jc w:val="right"/>
        <w:bidi/>
      </w:pPr>
      <w:r>
        <w:rPr>
          <w:rFonts w:ascii="Arial" w:hAnsi="Arial"/>
          <w:sz w:val="16"/>
        </w:rPr>
        <w:t>189.05  SOES یک سیستم داده مبتنی بر سلف سرویس است که اطلاعات بیمه عمر گروهی سرویکممبرس (SGLI) و بیمه عمر گروهی فامیلی سرویکممبرس (FSGLI) را در یک سیستم معتبر که قادر به ارائه اطلاعات ثابت به‌کاربران مجاز است متمرکز می‌کند.</w:t>
      </w:r>
    </w:p>
    <w:p>
      <w:pPr>
        <w:spacing w:after="28" w:line="216" w:lineRule="auto"/>
        <w:ind w:left="259"/>
        <w:jc w:val="left"/>
      </w:pPr>
      <w:r>
        <w:rPr>
          <w:rFonts w:ascii="Arial" w:hAnsi="Arial"/>
          <w:color w:val="525252"/>
          <w:sz w:val="13"/>
        </w:rPr>
        <w:t>SOES is a self-service based data system that centralizes Servicemembers’ Group Life Insurance (SGLI) and Family Servicemembers’ Group Life Insurance (FSGLI) information into one authoritative system capable of providing consistent information to authorized users.</w:t>
      </w:r>
    </w:p>
    <w:p>
      <w:pPr>
        <w:spacing w:after="20" w:line="223" w:lineRule="auto"/>
        <w:jc w:val="right"/>
        <w:bidi/>
      </w:pPr>
      <w:r>
        <w:rPr>
          <w:rFonts w:ascii="Arial" w:hAnsi="Arial"/>
          <w:sz w:val="16"/>
        </w:rPr>
        <w:t>189.06  SGLI تا سقف ۵۰۰۰۰۰ دلار پوشش بیمه عمر ارائه می‌کند. FSGLI تا سقف ۱۰۰۰۰۰ دلار برای همسر و ۱۰۰۰۰ دلار برای فرزندان تحت تکفل پوشش می‌دهد.</w:t>
      </w:r>
    </w:p>
    <w:p>
      <w:pPr>
        <w:spacing w:after="28" w:line="216" w:lineRule="auto"/>
        <w:ind w:left="259"/>
        <w:jc w:val="left"/>
      </w:pPr>
      <w:r>
        <w:rPr>
          <w:rFonts w:ascii="Arial" w:hAnsi="Arial"/>
          <w:color w:val="525252"/>
          <w:sz w:val="13"/>
        </w:rPr>
        <w:t>SGLI provides up to $500,000 in life insurance coverage; FSGLI provides up to $100,000 in coverage for the spouse and $10,000 for dependent children.</w:t>
      </w:r>
    </w:p>
    <w:p>
      <w:pPr>
        <w:spacing w:after="20" w:line="223" w:lineRule="auto"/>
        <w:jc w:val="right"/>
        <w:bidi/>
      </w:pPr>
      <w:r>
        <w:rPr>
          <w:rFonts w:ascii="Arial" w:hAnsi="Arial"/>
          <w:sz w:val="16"/>
        </w:rPr>
        <w:t>189.07  اعضای سرویس می‌توانند از سیستم برای تغییر میزان پوشش SGLI یا FSGLI استفاده کنند.</w:t>
      </w:r>
    </w:p>
    <w:p>
      <w:pPr>
        <w:spacing w:after="28" w:line="216" w:lineRule="auto"/>
        <w:ind w:left="259"/>
        <w:jc w:val="left"/>
      </w:pPr>
      <w:r>
        <w:rPr>
          <w:rFonts w:ascii="Arial" w:hAnsi="Arial"/>
          <w:color w:val="525252"/>
          <w:sz w:val="13"/>
        </w:rPr>
        <w:t>Service members can use the system to change the amount of SGLI or FSGLI coverage.</w:t>
      </w:r>
    </w:p>
    <w:p>
      <w:pPr>
        <w:spacing w:after="20" w:line="223" w:lineRule="auto"/>
        <w:jc w:val="right"/>
        <w:bidi/>
      </w:pPr>
      <w:r>
        <w:rPr>
          <w:rFonts w:ascii="Arial" w:hAnsi="Arial"/>
          <w:sz w:val="16"/>
        </w:rPr>
        <w:t>189.08  می‌توانید گواهی پوشش SGLI را مشاهده، ذخیره، چاپ یا ایمیل کنید.</w:t>
      </w:r>
    </w:p>
    <w:p>
      <w:pPr>
        <w:spacing w:after="28" w:line="216" w:lineRule="auto"/>
        <w:ind w:left="259"/>
        <w:jc w:val="left"/>
      </w:pPr>
      <w:r>
        <w:rPr>
          <w:rFonts w:ascii="Arial" w:hAnsi="Arial"/>
          <w:color w:val="525252"/>
          <w:sz w:val="13"/>
        </w:rPr>
        <w:t>You can view, save, print, or email a SGLI coverage certificate.</w:t>
      </w:r>
    </w:p>
    <w:p>
      <w:pPr>
        <w:spacing w:after="20" w:line="223" w:lineRule="auto"/>
        <w:jc w:val="right"/>
        <w:bidi/>
      </w:pPr>
      <w:r>
        <w:rPr>
          <w:rFonts w:ascii="Arial" w:hAnsi="Arial"/>
          <w:sz w:val="16"/>
        </w:rPr>
        <w:t>189.09  SOES به نیروهای هوایی این امکان را می‌دهد تا پوشش خودکار SGLI و FSGLI را در انتخابات ذینفع ۲۴/۷/۳۶۵ انجام دهند.</w:t>
      </w:r>
    </w:p>
    <w:p>
      <w:pPr>
        <w:spacing w:after="28" w:line="216" w:lineRule="auto"/>
        <w:ind w:left="259"/>
        <w:jc w:val="left"/>
      </w:pPr>
      <w:r>
        <w:rPr>
          <w:rFonts w:ascii="Arial" w:hAnsi="Arial"/>
          <w:color w:val="525252"/>
          <w:sz w:val="13"/>
        </w:rPr>
        <w:t>SOES Enables Airmen to make automated SGLI and FSGLI coverage/beneficiary elections 24/7/365.</w:t>
      </w:r>
    </w:p>
    <w:p>
      <w:pPr>
        <w:spacing w:after="20" w:line="223" w:lineRule="auto"/>
        <w:jc w:val="right"/>
        <w:bidi/>
      </w:pPr>
      <w:r>
        <w:rPr>
          <w:rFonts w:ascii="Arial" w:hAnsi="Arial"/>
          <w:sz w:val="16"/>
        </w:rPr>
        <w:t>189.10  توجه: هوانوردان متاهل با سایر هوانوردان (نظامی به نظامی) که DEERS را با اطلاعات همسر خود به‌روز نکرده‌اند، نمی‌توانند سوابق SOES خود را به درستی تأیید کنند.</w:t>
      </w:r>
    </w:p>
    <w:p>
      <w:pPr>
        <w:spacing w:after="28" w:line="216" w:lineRule="auto"/>
        <w:ind w:left="259"/>
        <w:jc w:val="left"/>
      </w:pPr>
      <w:r>
        <w:rPr>
          <w:rFonts w:ascii="Arial" w:hAnsi="Arial"/>
          <w:color w:val="525252"/>
          <w:sz w:val="13"/>
        </w:rPr>
        <w:t>Note: Airmen married to other Airmen (military-to- military) who have not updated DEERS with their spouse’s information will not be able to properly certify their SOES Record.</w:t>
      </w:r>
    </w:p>
    <w:p>
      <w:pPr>
        <w:spacing w:after="20" w:line="223" w:lineRule="auto"/>
        <w:jc w:val="right"/>
        <w:bidi/>
      </w:pPr>
      <w:r>
        <w:rPr>
          <w:rFonts w:ascii="Arial" w:hAnsi="Arial"/>
          <w:sz w:val="16"/>
        </w:rPr>
        <w:t>189.11  هوانوردانی که این معیارها را دارند باید به بخش خدمات مشتری MPF یا نزدیکترین ایستگاه RAPIDS مراجعه کنند تا همسر خود را به‌عنوان وابسته اضافه کنند.</w:t>
      </w:r>
    </w:p>
    <w:p>
      <w:pPr>
        <w:spacing w:after="28" w:line="216" w:lineRule="auto"/>
        <w:ind w:left="259"/>
        <w:jc w:val="left"/>
      </w:pPr>
      <w:r>
        <w:rPr>
          <w:rFonts w:ascii="Arial" w:hAnsi="Arial"/>
          <w:color w:val="525252"/>
          <w:sz w:val="13"/>
        </w:rPr>
        <w:t>Airmen meeting this criteria must go to their MPF’s Customer Service Element or the nearest RAPIDS station to add their spouse as a dependent.</w:t>
      </w:r>
    </w:p>
    <w:p>
      <w:pPr>
        <w:spacing w:after="20" w:line="223" w:lineRule="auto"/>
        <w:jc w:val="right"/>
        <w:bidi/>
      </w:pPr>
      <w:r>
        <w:rPr>
          <w:rFonts w:ascii="Arial" w:hAnsi="Arial"/>
          <w:sz w:val="16"/>
        </w:rPr>
        <w:t>189.12  لطفا توجه داشته باشید که کپی چاپی (فرم SGLV ۸۲۸۶، انتخابات و گواهی بیمه عمر گروهی اعضای خدمات) معتبر باقی می‌ماند تا زمانی که انتخابات SOES جایگزین آن نشود.</w:t>
      </w:r>
    </w:p>
    <w:p>
      <w:pPr>
        <w:spacing w:after="28" w:line="216" w:lineRule="auto"/>
        <w:ind w:left="259"/>
        <w:jc w:val="left"/>
      </w:pPr>
      <w:r>
        <w:rPr>
          <w:rFonts w:ascii="Arial" w:hAnsi="Arial"/>
          <w:color w:val="525252"/>
          <w:sz w:val="13"/>
        </w:rPr>
        <w:t>Please note hard copy (SGLV Form 8286, Servicemembers’ Group Life Insurance Election and Certificate) SGLI elections remain valid until superseded by a SOES election.</w:t>
      </w:r>
    </w:p>
    <w:p>
      <w:pPr>
        <w:spacing w:after="20" w:line="223" w:lineRule="auto"/>
        <w:jc w:val="right"/>
        <w:bidi/>
      </w:pPr>
      <w:r>
        <w:rPr>
          <w:rFonts w:ascii="Arial" w:hAnsi="Arial"/>
          <w:sz w:val="16"/>
        </w:rPr>
        <w:t>189.13  برای اطلاعات بیشتر به مقاله دانش میفسس بروید و بیمه عمر گروهی سرویکممبر'س گرووپ لیف ینسورانک، وترانس' گرووپ لیف ینسورانک را جستجو کنید یا به سادگی از طریق میلکوننکت وارد SOES شوید.</w:t>
      </w:r>
    </w:p>
    <w:p>
      <w:pPr>
        <w:spacing w:after="28" w:line="216" w:lineRule="auto"/>
        <w:ind w:left="259"/>
        <w:jc w:val="left"/>
      </w:pPr>
      <w:r>
        <w:rPr>
          <w:rFonts w:ascii="Arial" w:hAnsi="Arial"/>
          <w:color w:val="525252"/>
          <w:sz w:val="13"/>
        </w:rPr>
        <w:t>For more information go to myFSS Knowledge Article and search Servicemember’s Group Life Insurance, Veterans’ Group Life Insurance or simply log into SOES via milConnect.</w:t>
      </w:r>
    </w:p>
    <w:p>
      <w:pPr>
        <w:spacing w:after="20" w:line="223" w:lineRule="auto"/>
        <w:jc w:val="right"/>
        <w:bidi/>
      </w:pPr>
      <w:r>
        <w:rPr>
          <w:rFonts w:ascii="Arial" w:hAnsi="Arial"/>
          <w:sz w:val="16"/>
        </w:rPr>
        <w:t>189.14  کمک‌های اضطراری.</w:t>
      </w:r>
    </w:p>
    <w:p>
      <w:pPr>
        <w:spacing w:after="28" w:line="216" w:lineRule="auto"/>
        <w:ind w:left="259"/>
        <w:jc w:val="left"/>
      </w:pPr>
      <w:r>
        <w:rPr>
          <w:rFonts w:ascii="Arial" w:hAnsi="Arial"/>
          <w:color w:val="525252"/>
          <w:sz w:val="13"/>
        </w:rPr>
        <w:t>Emergency Assistance.</w:t>
      </w:r>
    </w:p>
    <w:p>
      <w:pPr>
        <w:spacing w:after="20" w:line="223" w:lineRule="auto"/>
        <w:jc w:val="right"/>
        <w:bidi/>
      </w:pPr>
      <w:r>
        <w:rPr>
          <w:rFonts w:ascii="Arial" w:hAnsi="Arial"/>
          <w:sz w:val="16"/>
        </w:rPr>
        <w:t>189.15  در صورت هدایت فرمانده نصب، کمک‌های اضطراری از طریق مرکز کمک اضطراری خانواده ارائه می‌شود.</w:t>
      </w:r>
    </w:p>
    <w:p>
      <w:pPr>
        <w:spacing w:after="28" w:line="216" w:lineRule="auto"/>
        <w:ind w:left="259"/>
        <w:jc w:val="left"/>
      </w:pPr>
      <w:r>
        <w:rPr>
          <w:rFonts w:ascii="Arial" w:hAnsi="Arial"/>
          <w:color w:val="525252"/>
          <w:sz w:val="13"/>
        </w:rPr>
        <w:t>When directed by the installation commander, emergency assistance will be provided through the Emergency Family Assistance Center.</w:t>
      </w:r>
    </w:p>
    <w:p>
      <w:pPr>
        <w:spacing w:after="20" w:line="223" w:lineRule="auto"/>
        <w:jc w:val="right"/>
        <w:bidi/>
      </w:pPr>
      <w:r>
        <w:rPr>
          <w:rFonts w:ascii="Arial" w:hAnsi="Arial"/>
          <w:sz w:val="16"/>
        </w:rPr>
        <w:t>189.16  کمک‌های اضطراری کمک‌ها و خدمات مستمر، مقتدرانه، خانوادگی را برای اعضای خدمات، خانواده‌ها، ارائه‌دهندگان خدمات، رهبری و سایر ذینفعان فراهم می‌کند که به نیازهای عملی و عاطفی خانواده‌های ناشی از حادثه رسیدگی می‌کند.، خدمات حقوقی.</w:t>
      </w:r>
    </w:p>
    <w:p>
      <w:pPr>
        <w:spacing w:after="28" w:line="216" w:lineRule="auto"/>
        <w:ind w:left="259"/>
        <w:jc w:val="left"/>
      </w:pPr>
      <w:r>
        <w:rPr>
          <w:rFonts w:ascii="Arial" w:hAnsi="Arial"/>
          <w:color w:val="525252"/>
          <w:sz w:val="13"/>
        </w:rPr>
        <w:t>Emergency assistance provides continuous, authoritative, family assistance and services for servicemembers, families, service providers, leadership, and other stakeholders, which address the practical and emotional needs of families arising from the incident., Legal Services.</w:t>
      </w:r>
    </w:p>
    <w:p>
      <w:pPr>
        <w:spacing w:after="20" w:line="223" w:lineRule="auto"/>
        <w:jc w:val="right"/>
        <w:bidi/>
      </w:pPr>
      <w:r>
        <w:rPr>
          <w:rFonts w:ascii="Arial" w:hAnsi="Arial"/>
          <w:sz w:val="16"/>
        </w:rPr>
        <w:t>189.17  دفاتر حقوقی در ارتباط با مسائل حقوقی مدنی شخصی برای حمایت و حفظ اثربخشی و آمادگی فرماندهی کمک حقوقی ارائه می‌کنند.</w:t>
      </w:r>
    </w:p>
    <w:p>
      <w:pPr>
        <w:spacing w:after="28" w:line="216" w:lineRule="auto"/>
        <w:ind w:left="259"/>
        <w:jc w:val="left"/>
      </w:pPr>
      <w:r>
        <w:rPr>
          <w:rFonts w:ascii="Arial" w:hAnsi="Arial"/>
          <w:color w:val="525252"/>
          <w:sz w:val="13"/>
        </w:rPr>
        <w:t>Legal offices provide legal assistance in connection with personal civil legal matters to support and sustain command effectiveness and readiness.</w:t>
      </w:r>
    </w:p>
    <w:p>
      <w:pPr>
        <w:spacing w:after="20" w:line="223" w:lineRule="auto"/>
        <w:jc w:val="right"/>
        <w:bidi/>
      </w:pPr>
      <w:r>
        <w:rPr>
          <w:rFonts w:ascii="Arial" w:hAnsi="Arial"/>
          <w:sz w:val="16"/>
        </w:rPr>
        <w:t>189.18  توانایی ارائه کمک‌های حقوقی و خدمات حقوقی به گروه‌های واجد شرایط کارکنان منوط به در دسترس بودن منابع و مقررات کارکنان حقوقی است که ممکن است توسط وزیر نیروی هوایی تجویز شود.</w:t>
      </w:r>
    </w:p>
    <w:p>
      <w:pPr>
        <w:spacing w:after="28" w:line="216" w:lineRule="auto"/>
        <w:ind w:left="259"/>
        <w:jc w:val="left"/>
      </w:pPr>
      <w:r>
        <w:rPr>
          <w:rFonts w:ascii="Arial" w:hAnsi="Arial"/>
          <w:color w:val="525252"/>
          <w:sz w:val="13"/>
        </w:rPr>
        <w:t>The ability to offer legal assistance and legal services to the eligible categories of personnel is contingent upon the availability of legal staff resources and regulations as may be prescribed by the Secretary of the Air Force.</w:t>
      </w:r>
    </w:p>
    <w:p>
      <w:pPr>
        <w:spacing w:after="20" w:line="223" w:lineRule="auto"/>
        <w:jc w:val="right"/>
        <w:bidi/>
      </w:pPr>
      <w:r>
        <w:rPr>
          <w:rFonts w:ascii="Arial" w:hAnsi="Arial"/>
          <w:sz w:val="16"/>
        </w:rPr>
        <w:t>189.19  خدمات حقوقی توسط یا درون م&amp;FRC ها انجام نمی‌شود، این کار توسط دفتر وکیل دادگستری کارکنان در هنگام نصب انجام می‌شود.</w:t>
      </w:r>
    </w:p>
    <w:p>
      <w:pPr>
        <w:spacing w:after="28" w:line="216" w:lineRule="auto"/>
        <w:ind w:left="259"/>
        <w:jc w:val="left"/>
      </w:pPr>
      <w:r>
        <w:rPr>
          <w:rFonts w:ascii="Arial" w:hAnsi="Arial"/>
          <w:color w:val="525252"/>
          <w:sz w:val="13"/>
        </w:rPr>
        <w:t>Legal services are not performed by or within M&amp;FRCs, this is performed by Office of the Staff Judge Advocate on the installation.</w:t>
      </w:r>
    </w:p>
    <w:p>
      <w:pPr>
        <w:spacing w:before="60" w:after="28"/>
        <w:jc w:val="right"/>
        <w:bidi/>
      </w:pPr>
      <w:r>
        <w:rPr>
          <w:b/>
          <w:color w:val="1F4D78"/>
          <w:sz w:val="18"/>
        </w:rPr>
        <w:t>11.4. سلامتی جنگجو</w:t>
      </w:r>
    </w:p>
    <w:p>
      <w:pPr>
        <w:spacing w:after="20"/>
        <w:ind w:left="259"/>
        <w:jc w:val="left"/>
      </w:pPr>
      <w:r>
        <w:rPr>
          <w:color w:val="555555"/>
          <w:sz w:val="12"/>
        </w:rPr>
        <w:t>11.4. Warrior Wellness</w:t>
      </w:r>
    </w:p>
    <w:p>
      <w:pPr>
        <w:spacing w:after="20" w:line="223" w:lineRule="auto"/>
        <w:jc w:val="right"/>
        <w:bidi/>
      </w:pPr>
      <w:r>
        <w:rPr>
          <w:rFonts w:ascii="Arial" w:hAnsi="Arial"/>
          <w:sz w:val="16"/>
        </w:rPr>
        <w:t>189.21  برنامه رزمندگان مجروح نیروی هوایی.</w:t>
      </w:r>
    </w:p>
    <w:p>
      <w:pPr>
        <w:spacing w:after="28" w:line="216" w:lineRule="auto"/>
        <w:ind w:left="259"/>
        <w:jc w:val="left"/>
      </w:pPr>
      <w:r>
        <w:rPr>
          <w:rFonts w:ascii="Arial" w:hAnsi="Arial"/>
          <w:color w:val="525252"/>
          <w:sz w:val="13"/>
        </w:rPr>
        <w:t>Air Force Wounded Warrior Program.</w:t>
      </w:r>
    </w:p>
    <w:p>
      <w:pPr>
        <w:spacing w:after="20" w:line="223" w:lineRule="auto"/>
        <w:jc w:val="right"/>
        <w:bidi/>
      </w:pPr>
      <w:r>
        <w:rPr>
          <w:rFonts w:ascii="Arial" w:hAnsi="Arial"/>
          <w:sz w:val="16"/>
        </w:rPr>
        <w:t>189.22  برنامه جنگجوی مجروح نیروی هوایی (AFW۲) (https://www.woundedwarrior.af.mil/) یک برنامه مصوب کنگره و با بودجه فدرال است که مراقبت، خدمات و حمایت شخصی را برای مجروحان جدی یا بسیار جدی، بیمار یا مجروح شده، اعضای کل نیروی هوایی/نگهبانان، خانواده و اعضای مراقبت از آنها ارائه می‌دهد.</w:t>
      </w:r>
    </w:p>
    <w:p>
      <w:pPr>
        <w:spacing w:after="28" w:line="216" w:lineRule="auto"/>
        <w:ind w:left="259"/>
        <w:jc w:val="left"/>
      </w:pPr>
      <w:r>
        <w:rPr>
          <w:rFonts w:ascii="Arial" w:hAnsi="Arial"/>
          <w:color w:val="525252"/>
          <w:sz w:val="13"/>
        </w:rPr>
        <w:t>The Air Force Wounded Warrior (AFW2) program (https://www.woundedwarrior.af.mil/) is a congressionally mandated, federally funded program that provides personalized care, services, and advocacy to seriously or very seriously wounded, ill, or injured Total Force Airmen/Guardians, their caregivers, and family members.</w:t>
      </w:r>
    </w:p>
    <w:p>
      <w:pPr>
        <w:spacing w:after="20" w:line="223" w:lineRule="auto"/>
        <w:jc w:val="right"/>
        <w:bidi/>
      </w:pPr>
      <w:r>
        <w:rPr>
          <w:rFonts w:ascii="Arial" w:hAnsi="Arial"/>
          <w:sz w:val="16"/>
        </w:rPr>
        <w:t>189.23  AFW۲ همچنین فعالیت‌های حمایتی زیر را ارائه می‌کند: سفر اعضای خانواده اضطراری، برنامه افسر رابط خانواده، برنامه حمایت مراقبین، برنامه‌های ورزشی و انعطاف‌پذیری تطبیقی، غرامت ویژه برای کمک به فعالیت‌های زندگی روزانه، برنامه مربیگری خلبان بازیابی، توانمندسازی برای استخدام، برنامه‌های جامعه.</w:t>
      </w:r>
    </w:p>
    <w:p>
      <w:pPr>
        <w:spacing w:after="28" w:line="216" w:lineRule="auto"/>
        <w:ind w:left="259"/>
        <w:jc w:val="left"/>
      </w:pPr>
      <w:r>
        <w:rPr>
          <w:rFonts w:ascii="Arial" w:hAnsi="Arial"/>
          <w:color w:val="525252"/>
          <w:sz w:val="13"/>
        </w:rPr>
        <w:t>AFW2 also provides the following support activities: Emergency Family Member Travel, Family Liaison Officer Program, Caregiver Support Program, Adaptive Sports &amp; Resiliency Programs, Special Compensation for Assistance with Activities of Daily Living, Recovering Airman Mentorship Program, Empowerment to Employment, Community Programs, and the Ambassador Program.</w:t>
      </w:r>
    </w:p>
    <w:p>
      <w:pPr>
        <w:spacing w:after="20" w:line="223" w:lineRule="auto"/>
        <w:jc w:val="right"/>
        <w:bidi/>
      </w:pPr>
      <w:r>
        <w:rPr>
          <w:rFonts w:ascii="Arial" w:hAnsi="Arial"/>
          <w:sz w:val="16"/>
        </w:rPr>
        <w:t>189.24  هرکسی می‌تواند با کلیک کردن بر روی "ارجاع یک هواپیمای هوایی یا نگهبان" به برنامه AFW۲ ارجاع دهد.</w:t>
      </w:r>
    </w:p>
    <w:p>
      <w:pPr>
        <w:spacing w:after="28" w:line="216" w:lineRule="auto"/>
        <w:ind w:left="259"/>
        <w:jc w:val="left"/>
      </w:pPr>
      <w:r>
        <w:rPr>
          <w:rFonts w:ascii="Arial" w:hAnsi="Arial"/>
          <w:color w:val="525252"/>
          <w:sz w:val="13"/>
        </w:rPr>
        <w:t>Anyone may refer an Airman or Guardian to the AFW2 Program by clicking the “Refer an</w:t>
      </w:r>
    </w:p>
    <w:p>
      <w:r>
        <w:br w:type="page"/>
      </w:r>
    </w:p>
    <w:p>
      <w:pPr>
        <w:spacing w:after="60"/>
        <w:jc w:val="right"/>
        <w:bidi/>
      </w:pPr>
      <w:r>
        <w:rPr>
          <w:rFonts w:ascii="Arial" w:hAnsi="Arial"/>
          <w:b/>
          <w:color w:val="1F4D78"/>
          <w:sz w:val="19"/>
        </w:rPr>
        <w:t>هفتهٔ 190  |  صفحهٔ منبع: 206</w:t>
      </w:r>
    </w:p>
    <w:p>
      <w:pPr>
        <w:spacing w:after="20" w:line="223" w:lineRule="auto"/>
        <w:jc w:val="right"/>
        <w:bidi/>
      </w:pPr>
      <w:r>
        <w:rPr>
          <w:rFonts w:ascii="Arial" w:hAnsi="Arial"/>
          <w:sz w:val="16"/>
        </w:rPr>
        <w:t>190.01  عضو نیروی هوایی/گواردیان" در بالای صفحه افتتاحیه وب‌سایت برنامه.</w:t>
      </w:r>
    </w:p>
    <w:p>
      <w:pPr>
        <w:spacing w:after="28" w:line="216" w:lineRule="auto"/>
        <w:ind w:left="259"/>
        <w:jc w:val="left"/>
      </w:pPr>
      <w:r>
        <w:rPr>
          <w:rFonts w:ascii="Arial" w:hAnsi="Arial"/>
          <w:color w:val="525252"/>
          <w:sz w:val="13"/>
        </w:rPr>
        <w:t>Airman/Guardian” at the top of the program’s website opening page.</w:t>
      </w:r>
    </w:p>
    <w:p>
      <w:pPr>
        <w:spacing w:before="60" w:after="28"/>
        <w:jc w:val="right"/>
        <w:bidi/>
      </w:pPr>
      <w:r>
        <w:rPr>
          <w:b/>
          <w:color w:val="1F4D78"/>
          <w:sz w:val="18"/>
        </w:rPr>
        <w:t>11.5. برنامه های مراقبت از خانواده</w:t>
      </w:r>
    </w:p>
    <w:p>
      <w:pPr>
        <w:spacing w:after="20"/>
        <w:ind w:left="259"/>
        <w:jc w:val="left"/>
      </w:pPr>
      <w:r>
        <w:rPr>
          <w:color w:val="555555"/>
          <w:sz w:val="12"/>
        </w:rPr>
        <w:t>11.5. Family Care Plans</w:t>
      </w:r>
    </w:p>
    <w:p>
      <w:pPr>
        <w:spacing w:after="20" w:line="223" w:lineRule="auto"/>
        <w:jc w:val="right"/>
        <w:bidi/>
      </w:pPr>
      <w:r>
        <w:rPr>
          <w:rFonts w:ascii="Arial" w:hAnsi="Arial"/>
          <w:sz w:val="16"/>
        </w:rPr>
        <w:t>190.03  بر اساس AFI ۱-۱، USAF باید افرادی را در مکان مناسب در زمان مناسب داشته باشد و آماده انجام کارهایی باشد که برای آنها آموزش دیده‌اند.</w:t>
      </w:r>
    </w:p>
    <w:p>
      <w:pPr>
        <w:spacing w:after="28" w:line="216" w:lineRule="auto"/>
        <w:ind w:left="259"/>
        <w:jc w:val="left"/>
      </w:pPr>
      <w:r>
        <w:rPr>
          <w:rFonts w:ascii="Arial" w:hAnsi="Arial"/>
          <w:color w:val="525252"/>
          <w:sz w:val="13"/>
        </w:rPr>
        <w:t>According to AFI 1-1, the USAF must have people in the right place at the right time, ready to perform the jobs for which they have been trained.</w:t>
      </w:r>
    </w:p>
    <w:p>
      <w:pPr>
        <w:spacing w:after="20" w:line="223" w:lineRule="auto"/>
        <w:jc w:val="right"/>
        <w:bidi/>
      </w:pPr>
      <w:r>
        <w:rPr>
          <w:rFonts w:ascii="Arial" w:hAnsi="Arial"/>
          <w:sz w:val="16"/>
        </w:rPr>
        <w:t>190.04  مگر در مواردی که بطور مشخص به تعویق افتاده یا معاف شده باشند، همه اعضای USAF باید برای انجام وظایف و تکالیف نظامی، از جمله تغییر دائمی ایستگاه یا مأموریت، تورهای بدون همراه، وظیفه موقت، اعزام‌ها، هشدارها، فراخوان‌ها، ساعات طولانی‌تر یا کار شیفتی در دسترس باشند.</w:t>
      </w:r>
    </w:p>
    <w:p>
      <w:pPr>
        <w:spacing w:after="28" w:line="216" w:lineRule="auto"/>
        <w:ind w:left="259"/>
        <w:jc w:val="left"/>
      </w:pPr>
      <w:r>
        <w:rPr>
          <w:rFonts w:ascii="Arial" w:hAnsi="Arial"/>
          <w:color w:val="525252"/>
          <w:sz w:val="13"/>
        </w:rPr>
        <w:t>Unless specifically deferred or exempted, all USAF members must be available to perform military duties and assignments, including but not limited to, permanent change of station or assignment, unaccompanied tours, temporary duty, deployments, alerts, recalls, extended hours, or shift work.</w:t>
      </w:r>
    </w:p>
    <w:p>
      <w:pPr>
        <w:spacing w:after="20" w:line="223" w:lineRule="auto"/>
        <w:jc w:val="right"/>
        <w:bidi/>
      </w:pPr>
      <w:r>
        <w:rPr>
          <w:rFonts w:ascii="Arial" w:hAnsi="Arial"/>
          <w:sz w:val="16"/>
        </w:rPr>
        <w:t>190.05  والدین مجرد با حضانت فرزندانی که مسئولیت انفرادی یا مشترک را بر عهده دارند و زوج‌های نظامی با افراد تحت تکفل باید دارای برنامه مراقبت از خانواده باشند.</w:t>
      </w:r>
    </w:p>
    <w:p>
      <w:pPr>
        <w:spacing w:after="28" w:line="216" w:lineRule="auto"/>
        <w:ind w:left="259"/>
        <w:jc w:val="left"/>
      </w:pPr>
      <w:r>
        <w:rPr>
          <w:rFonts w:ascii="Arial" w:hAnsi="Arial"/>
          <w:color w:val="525252"/>
          <w:sz w:val="13"/>
        </w:rPr>
        <w:t>Single-member parents with custody of children who bear sole or joint responsibility, and military couples with dependents, must have a family care plan.</w:t>
      </w:r>
    </w:p>
    <w:p>
      <w:pPr>
        <w:spacing w:after="20" w:line="223" w:lineRule="auto"/>
        <w:jc w:val="right"/>
        <w:bidi/>
      </w:pPr>
      <w:r>
        <w:rPr>
          <w:rFonts w:ascii="Arial" w:hAnsi="Arial"/>
          <w:sz w:val="16"/>
        </w:rPr>
        <w:t>190.06  اعضایی که به تنهایی مسئول مراقبت از همسر، عضو مسن خانواده، یا عضو بزرگسال معلول خانواده هستند که برای حمایت مالی، پزشکی یا تدارکاتی به عضو وابسته است، باید برنامه مراقبت خانواده نیز داشته باشند.</w:t>
      </w:r>
    </w:p>
    <w:p>
      <w:pPr>
        <w:spacing w:after="28" w:line="216" w:lineRule="auto"/>
        <w:ind w:left="259"/>
        <w:jc w:val="left"/>
      </w:pPr>
      <w:r>
        <w:rPr>
          <w:rFonts w:ascii="Arial" w:hAnsi="Arial"/>
          <w:color w:val="525252"/>
          <w:sz w:val="13"/>
        </w:rPr>
        <w:t>Members who are solely responsible for the care of a spouse, elderly family member, or adult family member with disabilities who is dependent on the member for financial, medical, or logistical support, must also have a family care plan.</w:t>
      </w:r>
    </w:p>
    <w:p>
      <w:pPr>
        <w:spacing w:after="20" w:line="223" w:lineRule="auto"/>
        <w:jc w:val="right"/>
        <w:bidi/>
      </w:pPr>
      <w:r>
        <w:rPr>
          <w:rFonts w:ascii="Arial" w:hAnsi="Arial"/>
          <w:sz w:val="16"/>
        </w:rPr>
        <w:t>190.07  این شامل اعضای خانواده می‌شود که تسلط محدودی به زبان انگلیسی دارند، نمی‌توانند رانندگی کنند، یا نمی‌توانند به امکانات اولیه حیاتی دسترسی داشته باشند.</w:t>
      </w:r>
    </w:p>
    <w:p>
      <w:pPr>
        <w:spacing w:after="28" w:line="216" w:lineRule="auto"/>
        <w:ind w:left="259"/>
        <w:jc w:val="left"/>
      </w:pPr>
      <w:r>
        <w:rPr>
          <w:rFonts w:ascii="Arial" w:hAnsi="Arial"/>
          <w:color w:val="525252"/>
          <w:sz w:val="13"/>
        </w:rPr>
        <w:t>This includes family members who have limited command of the English language, are unable to drive, or unable to gain access to basic life-sustaining facilities.</w:t>
      </w:r>
    </w:p>
    <w:p>
      <w:pPr>
        <w:spacing w:after="20" w:line="223" w:lineRule="auto"/>
        <w:jc w:val="right"/>
        <w:bidi/>
      </w:pPr>
      <w:r>
        <w:rPr>
          <w:rFonts w:ascii="Arial" w:hAnsi="Arial"/>
          <w:sz w:val="16"/>
        </w:rPr>
        <w:t>190.08  باید از قبل ترتیبات مناسبی برای یک عضو غیرنظامی برنامه‌ریزی شود تا حضانت افراد تحت تکفل را به عهده بگیرد، در صورتی که عضو نظامی به دلیل تعهدات نظامی در دسترس نباشد.</w:t>
      </w:r>
    </w:p>
    <w:p>
      <w:pPr>
        <w:spacing w:after="28" w:line="216" w:lineRule="auto"/>
        <w:ind w:left="259"/>
        <w:jc w:val="left"/>
      </w:pPr>
      <w:r>
        <w:rPr>
          <w:rFonts w:ascii="Arial" w:hAnsi="Arial"/>
          <w:color w:val="525252"/>
          <w:sz w:val="13"/>
        </w:rPr>
        <w:t>Suitable arrangements must be planned in advance for a nonmilitary member to assume custody of dependents in the event the military member is unavailable to provide dependent care due to military obligations.</w:t>
      </w:r>
    </w:p>
    <w:p>
      <w:pPr>
        <w:spacing w:after="20" w:line="223" w:lineRule="auto"/>
        <w:jc w:val="right"/>
        <w:bidi/>
      </w:pPr>
      <w:r>
        <w:rPr>
          <w:rFonts w:ascii="Arial" w:hAnsi="Arial"/>
          <w:sz w:val="16"/>
        </w:rPr>
        <w:t>190.09  ترتیبات مراقبت از خانواده.</w:t>
      </w:r>
    </w:p>
    <w:p>
      <w:pPr>
        <w:spacing w:after="28" w:line="216" w:lineRule="auto"/>
        <w:ind w:left="259"/>
        <w:jc w:val="left"/>
      </w:pPr>
      <w:r>
        <w:rPr>
          <w:rFonts w:ascii="Arial" w:hAnsi="Arial"/>
          <w:color w:val="525252"/>
          <w:sz w:val="13"/>
        </w:rPr>
        <w:t>Family Care Arrangements.</w:t>
      </w:r>
    </w:p>
    <w:p>
      <w:pPr>
        <w:spacing w:after="20" w:line="223" w:lineRule="auto"/>
        <w:jc w:val="right"/>
        <w:bidi/>
      </w:pPr>
      <w:r>
        <w:rPr>
          <w:rFonts w:ascii="Arial" w:hAnsi="Arial"/>
          <w:sz w:val="16"/>
        </w:rPr>
        <w:t>190.10  هر یک از اعضای USAF باید ترتیبات مراقبت وابسته را ایجاد و حفظ کند که به عضو اجازه می‌دهد همیشه در سراسر جهان قابل استقرار باشد.</w:t>
      </w:r>
    </w:p>
    <w:p>
      <w:pPr>
        <w:spacing w:after="28" w:line="216" w:lineRule="auto"/>
        <w:ind w:left="259"/>
        <w:jc w:val="left"/>
      </w:pPr>
      <w:r>
        <w:rPr>
          <w:rFonts w:ascii="Arial" w:hAnsi="Arial"/>
          <w:color w:val="525252"/>
          <w:sz w:val="13"/>
        </w:rPr>
        <w:t>Each USAF member must make and maintain dependent care arrangements that will allow the member to be world-wide deployable at all times.</w:t>
      </w:r>
    </w:p>
    <w:p>
      <w:pPr>
        <w:spacing w:after="20" w:line="223" w:lineRule="auto"/>
        <w:jc w:val="right"/>
        <w:bidi/>
      </w:pPr>
      <w:r>
        <w:rPr>
          <w:rFonts w:ascii="Arial" w:hAnsi="Arial"/>
          <w:sz w:val="16"/>
        </w:rPr>
        <w:t>190.11  برنامه‌ریزی از قبل کلید ترتیبات مراقبت وابسته است.</w:t>
      </w:r>
    </w:p>
    <w:p>
      <w:pPr>
        <w:spacing w:after="28" w:line="216" w:lineRule="auto"/>
        <w:ind w:left="259"/>
        <w:jc w:val="left"/>
      </w:pPr>
      <w:r>
        <w:rPr>
          <w:rFonts w:ascii="Arial" w:hAnsi="Arial"/>
          <w:color w:val="525252"/>
          <w:sz w:val="13"/>
        </w:rPr>
        <w:t>Advance planning is the key to dependent care arrangements.</w:t>
      </w:r>
    </w:p>
    <w:p>
      <w:pPr>
        <w:spacing w:after="20" w:line="223" w:lineRule="auto"/>
        <w:jc w:val="right"/>
        <w:bidi/>
      </w:pPr>
      <w:r>
        <w:rPr>
          <w:rFonts w:ascii="Arial" w:hAnsi="Arial"/>
          <w:sz w:val="16"/>
        </w:rPr>
        <w:t>190.12  هر عضو USAF با افراد تحت تکفل باید ابتکار عمل را برای استفاده از همه منابع نظامی و غیرنظامی موجود، از جمله غیر از اعضای اصلی خانواده، به کار گیرد تا اطمینان حاصل شود که وابستگان از مراقبت، حمایت و نظارت کافی که با وظایف نظامی اعضا سازگار است، دریافت می‌کنند.</w:t>
      </w:r>
    </w:p>
    <w:p>
      <w:pPr>
        <w:spacing w:after="28" w:line="216" w:lineRule="auto"/>
        <w:ind w:left="259"/>
        <w:jc w:val="left"/>
      </w:pPr>
      <w:r>
        <w:rPr>
          <w:rFonts w:ascii="Arial" w:hAnsi="Arial"/>
          <w:color w:val="525252"/>
          <w:sz w:val="13"/>
        </w:rPr>
        <w:t>Every USAF member with dependents must take the initiative to use all available military and civilian resources, including other-than- immediate family members, to ensure dependents receive adequate care, support, and supervision that is compatible with the member’s military duties.</w:t>
      </w:r>
    </w:p>
    <w:p>
      <w:pPr>
        <w:spacing w:after="20" w:line="223" w:lineRule="auto"/>
        <w:jc w:val="right"/>
        <w:bidi/>
      </w:pPr>
      <w:r>
        <w:rPr>
          <w:rFonts w:ascii="Arial" w:hAnsi="Arial"/>
          <w:sz w:val="16"/>
        </w:rPr>
        <w:t>190.13  برنامه‌های مراقبت وابسته باید همه موقعیت‌های ممکن را در کوتاه‌مدت و بلندمدت پوشش دهند و باید به اندازه کافی دقیق و منظم باشند تا در زمان غیبت حامی نظامی، مسئولیت‌ها به فرد دیگری منتقل شود.</w:t>
      </w:r>
    </w:p>
    <w:p>
      <w:pPr>
        <w:spacing w:after="28" w:line="216" w:lineRule="auto"/>
        <w:ind w:left="259"/>
        <w:jc w:val="left"/>
      </w:pPr>
      <w:r>
        <w:rPr>
          <w:rFonts w:ascii="Arial" w:hAnsi="Arial"/>
          <w:color w:val="525252"/>
          <w:sz w:val="13"/>
        </w:rPr>
        <w:t>Dependent care plans must cover all possible situations in the short- and long-term and must be sufficiently detailed and systematic for a smooth, rapid transfer of responsibilities to another individual during the absence of the military sponsor.</w:t>
      </w:r>
    </w:p>
    <w:p>
      <w:pPr>
        <w:spacing w:after="20" w:line="223" w:lineRule="auto"/>
        <w:jc w:val="right"/>
        <w:bidi/>
      </w:pPr>
      <w:r>
        <w:rPr>
          <w:rFonts w:ascii="Arial" w:hAnsi="Arial"/>
          <w:sz w:val="16"/>
        </w:rPr>
        <w:t>190.14  گواهی مراقبت از خانواده.</w:t>
      </w:r>
    </w:p>
    <w:p>
      <w:pPr>
        <w:spacing w:after="28" w:line="216" w:lineRule="auto"/>
        <w:ind w:left="259"/>
        <w:jc w:val="left"/>
      </w:pPr>
      <w:r>
        <w:rPr>
          <w:rFonts w:ascii="Arial" w:hAnsi="Arial"/>
          <w:color w:val="525252"/>
          <w:sz w:val="13"/>
        </w:rPr>
        <w:t>Family Care Certification.</w:t>
      </w:r>
    </w:p>
    <w:p>
      <w:pPr>
        <w:spacing w:after="20" w:line="223" w:lineRule="auto"/>
        <w:jc w:val="right"/>
        <w:bidi/>
      </w:pPr>
      <w:r>
        <w:rPr>
          <w:rFonts w:ascii="Arial" w:hAnsi="Arial"/>
          <w:sz w:val="16"/>
        </w:rPr>
        <w:t>190.15  فرماندهان یا گروهبان‌های یکم به همه هوانوردان با اعضای خانواده در دودی۱۳۴۲.۱۹_DAFI۳۶-۲۹۰۸ در حین پردازش مشاوره می‌دهند.</w:t>
      </w:r>
    </w:p>
    <w:p>
      <w:pPr>
        <w:spacing w:after="28" w:line="216" w:lineRule="auto"/>
        <w:ind w:left="259"/>
        <w:jc w:val="left"/>
      </w:pPr>
      <w:r>
        <w:rPr>
          <w:rFonts w:ascii="Arial" w:hAnsi="Arial"/>
          <w:color w:val="525252"/>
          <w:sz w:val="13"/>
        </w:rPr>
        <w:t>Commanders or first sergeants counsel all Airmen with family members on DoDI1342.19_DAFI36-2908, during inprocessing.</w:t>
      </w:r>
    </w:p>
    <w:p>
      <w:pPr>
        <w:spacing w:after="20" w:line="223" w:lineRule="auto"/>
        <w:jc w:val="right"/>
        <w:bidi/>
      </w:pPr>
      <w:r>
        <w:rPr>
          <w:rFonts w:ascii="Arial" w:hAnsi="Arial"/>
          <w:sz w:val="16"/>
        </w:rPr>
        <w:t>190.16  در طول این مشاوره، فرماندهان یا گروهبانان اول باید با تکمیل فرم ۳۵۷ DAF، گواهی مراقبت از خانواده، بر اهمیت گواهی مراقبت از خانواده تاکید کرده و نیاز به تأیید آن را تأیید کنند.</w:t>
      </w:r>
    </w:p>
    <w:p>
      <w:pPr>
        <w:spacing w:after="28" w:line="216" w:lineRule="auto"/>
        <w:ind w:left="259"/>
        <w:jc w:val="left"/>
      </w:pPr>
      <w:r>
        <w:rPr>
          <w:rFonts w:ascii="Arial" w:hAnsi="Arial"/>
          <w:color w:val="525252"/>
          <w:sz w:val="13"/>
        </w:rPr>
        <w:t>During this counseling, commanders or first sergeants must stress the importance of, and confirm the need for, family care certification by completing DAF Form 357, Family Care Certification.</w:t>
      </w:r>
    </w:p>
    <w:p>
      <w:pPr>
        <w:spacing w:after="20" w:line="223" w:lineRule="auto"/>
        <w:jc w:val="right"/>
        <w:bidi/>
      </w:pPr>
      <w:r>
        <w:rPr>
          <w:rFonts w:ascii="Arial" w:hAnsi="Arial"/>
          <w:sz w:val="16"/>
        </w:rPr>
        <w:t>190.17  همچنین، فرماندهان یا گروهبانان موظفند سالانه همه اعضای نظامی را که مسئولیت مراقبت از خانواده را دارند، به صورت جداگانه توضیح دهند.</w:t>
      </w:r>
    </w:p>
    <w:p>
      <w:pPr>
        <w:spacing w:after="28" w:line="216" w:lineRule="auto"/>
        <w:ind w:left="259"/>
        <w:jc w:val="left"/>
      </w:pPr>
      <w:r>
        <w:rPr>
          <w:rFonts w:ascii="Arial" w:hAnsi="Arial"/>
          <w:color w:val="525252"/>
          <w:sz w:val="13"/>
        </w:rPr>
        <w:t>Also, commanders or first sergeants are required to annually brief all military members with family care responsibilities, individually.</w:t>
      </w:r>
    </w:p>
    <w:p>
      <w:pPr>
        <w:spacing w:after="20" w:line="223" w:lineRule="auto"/>
        <w:jc w:val="right"/>
        <w:bidi/>
      </w:pPr>
      <w:r>
        <w:rPr>
          <w:rFonts w:ascii="Arial" w:hAnsi="Arial"/>
          <w:sz w:val="16"/>
        </w:rPr>
        <w:t>190.18  در طول این جلسه توجیهی، فرمانده یا گروهبان اول هر بار که طرح بررسی و تأیید می‌شود، فرم AF ۳۵۷ را امضا می‌کند و کارایی واقعی طرح مراقبت از خانواده را مشخص می‌کند.</w:t>
      </w:r>
    </w:p>
    <w:p>
      <w:pPr>
        <w:spacing w:after="28" w:line="216" w:lineRule="auto"/>
        <w:ind w:left="259"/>
        <w:jc w:val="left"/>
      </w:pPr>
      <w:r>
        <w:rPr>
          <w:rFonts w:ascii="Arial" w:hAnsi="Arial"/>
          <w:color w:val="525252"/>
          <w:sz w:val="13"/>
        </w:rPr>
        <w:t>During this briefing, the commander or first sergeant signs the AF Form 357 each time the plan is reviewed and certified, determining the actual workability of the family care plan.</w:t>
      </w:r>
    </w:p>
    <w:p>
      <w:pPr>
        <w:spacing w:after="20" w:line="223" w:lineRule="auto"/>
        <w:jc w:val="right"/>
        <w:bidi/>
      </w:pPr>
      <w:r>
        <w:rPr>
          <w:rFonts w:ascii="Arial" w:hAnsi="Arial"/>
          <w:sz w:val="16"/>
        </w:rPr>
        <w:t>190.19  عضو فرم ۳۵۷ DAF را امضا کرده و تاریخ گذاری می‌کند تا مستندی باشد که جلسه توجیهی تکمیل شده است.</w:t>
      </w:r>
    </w:p>
    <w:p>
      <w:pPr>
        <w:spacing w:after="28" w:line="216" w:lineRule="auto"/>
        <w:ind w:left="259"/>
        <w:jc w:val="left"/>
      </w:pPr>
      <w:r>
        <w:rPr>
          <w:rFonts w:ascii="Arial" w:hAnsi="Arial"/>
          <w:color w:val="525252"/>
          <w:sz w:val="13"/>
        </w:rPr>
        <w:t>The member signs and dates the DAF Form 357 to document that the briefing was completed.</w:t>
      </w:r>
    </w:p>
    <w:p>
      <w:pPr>
        <w:spacing w:after="20" w:line="223" w:lineRule="auto"/>
        <w:jc w:val="right"/>
        <w:bidi/>
      </w:pPr>
      <w:r>
        <w:rPr>
          <w:rFonts w:ascii="Arial" w:hAnsi="Arial"/>
          <w:sz w:val="16"/>
        </w:rPr>
        <w:t>190.20  در صورت جدایی جغرافیایی، فرماندهان می‌توانند مسئولیت را به صورت کتبی به روسای بخش و محل عملیات تفویض کنند تا به اعضا مشاوره داده و فرم را تأیید کنند.</w:t>
      </w:r>
    </w:p>
    <w:p>
      <w:pPr>
        <w:spacing w:after="28" w:line="216" w:lineRule="auto"/>
        <w:ind w:left="259"/>
        <w:jc w:val="left"/>
      </w:pPr>
      <w:r>
        <w:rPr>
          <w:rFonts w:ascii="Arial" w:hAnsi="Arial"/>
          <w:color w:val="525252"/>
          <w:sz w:val="13"/>
        </w:rPr>
        <w:t>In the event of geographical separation, commanders may delegate responsibility, in writing, to detachment and operating location chiefs to counsel members and certify the form.</w:t>
      </w:r>
    </w:p>
    <w:p>
      <w:pPr>
        <w:spacing w:after="20" w:line="223" w:lineRule="auto"/>
        <w:jc w:val="right"/>
        <w:bidi/>
      </w:pPr>
      <w:r>
        <w:rPr>
          <w:rFonts w:ascii="Arial" w:hAnsi="Arial"/>
          <w:sz w:val="16"/>
        </w:rPr>
        <w:t>190.21  فرم ۳۵۷ DAF امضا شده اصلی در دفتر اداری اعضا بایگانی می‌شود و یک نسخه برای بررسی و تشکیل پرونده به فرمانده ارسال می‌شود.</w:t>
      </w:r>
    </w:p>
    <w:p>
      <w:pPr>
        <w:spacing w:after="28" w:line="216" w:lineRule="auto"/>
        <w:ind w:left="259"/>
        <w:jc w:val="left"/>
      </w:pPr>
      <w:r>
        <w:rPr>
          <w:rFonts w:ascii="Arial" w:hAnsi="Arial"/>
          <w:color w:val="525252"/>
          <w:sz w:val="13"/>
        </w:rPr>
        <w:t>The original signed DAF Form 357 will be filed with the member’s administrative office and a copy will be sent to the commander for review and filing.</w:t>
      </w:r>
    </w:p>
    <w:p>
      <w:pPr>
        <w:spacing w:after="20" w:line="223" w:lineRule="auto"/>
        <w:jc w:val="right"/>
        <w:bidi/>
      </w:pPr>
      <w:r>
        <w:rPr>
          <w:rFonts w:ascii="Arial" w:hAnsi="Arial"/>
          <w:sz w:val="16"/>
        </w:rPr>
        <w:t>190.22  تغییرات طرح مراقبت خانواده.</w:t>
      </w:r>
    </w:p>
    <w:p>
      <w:pPr>
        <w:spacing w:after="28" w:line="216" w:lineRule="auto"/>
        <w:ind w:left="259"/>
        <w:jc w:val="left"/>
      </w:pPr>
      <w:r>
        <w:rPr>
          <w:rFonts w:ascii="Arial" w:hAnsi="Arial"/>
          <w:color w:val="525252"/>
          <w:sz w:val="13"/>
        </w:rPr>
        <w:t>Family Care Plan Changes.</w:t>
      </w:r>
    </w:p>
    <w:p>
      <w:pPr>
        <w:spacing w:after="20" w:line="223" w:lineRule="auto"/>
        <w:jc w:val="right"/>
        <w:bidi/>
      </w:pPr>
      <w:r>
        <w:rPr>
          <w:rFonts w:ascii="Arial" w:hAnsi="Arial"/>
          <w:sz w:val="16"/>
        </w:rPr>
        <w:t>190.23  اعضا باید فورا به فرمانده یا گروهبان اول خود اطلاع دهند یا در ظرف ۳۰ روز (۶۰ روز برای رزرو انتخابی) اگر تغییر در وضعیت شخصی یا شرایط خانوادگی نیاز به تکمیل فرم ۳۵۷ DAF دارد.</w:t>
      </w:r>
    </w:p>
    <w:p>
      <w:pPr>
        <w:spacing w:after="28" w:line="216" w:lineRule="auto"/>
        <w:ind w:left="259"/>
        <w:jc w:val="left"/>
      </w:pPr>
      <w:r>
        <w:rPr>
          <w:rFonts w:ascii="Arial" w:hAnsi="Arial"/>
          <w:color w:val="525252"/>
          <w:sz w:val="13"/>
        </w:rPr>
        <w:t>Members must notify their commander or first sergeant immediately, or within 30 days (60 days for Selected Reserve) if changes in personal status or family circumstances require completion of an DAF Form 357.</w:t>
      </w:r>
    </w:p>
    <w:p>
      <w:pPr>
        <w:spacing w:after="20" w:line="223" w:lineRule="auto"/>
        <w:jc w:val="right"/>
        <w:bidi/>
      </w:pPr>
      <w:r>
        <w:rPr>
          <w:rFonts w:ascii="Arial" w:hAnsi="Arial"/>
          <w:sz w:val="16"/>
        </w:rPr>
        <w:t>190.24  شرایط خاصی که ممکن است ایجاد یک طرح مراقبت خانواده را تضمین کند در دودی۱۳۴۲.۱۹_DAFI۳۶-۲۹۰۸ ارائه شده است.</w:t>
      </w:r>
    </w:p>
    <w:p>
      <w:pPr>
        <w:spacing w:after="28" w:line="216" w:lineRule="auto"/>
        <w:ind w:left="259"/>
        <w:jc w:val="left"/>
      </w:pPr>
      <w:r>
        <w:rPr>
          <w:rFonts w:ascii="Arial" w:hAnsi="Arial"/>
          <w:color w:val="525252"/>
          <w:sz w:val="13"/>
        </w:rPr>
        <w:t>Specific circumstances that may warrant development of a family care plan are provided in DoDI1342.19_DAFI36-2908.</w:t>
      </w:r>
    </w:p>
    <w:p>
      <w:pPr>
        <w:spacing w:after="20" w:line="223" w:lineRule="auto"/>
        <w:jc w:val="right"/>
        <w:bidi/>
      </w:pPr>
      <w:r>
        <w:rPr>
          <w:rFonts w:ascii="Arial" w:hAnsi="Arial"/>
          <w:sz w:val="16"/>
        </w:rPr>
        <w:t>190.25  توجه: عدم ارائه طرح مراقبت از خانواده ظرف ۶۰ روز پس از گفتگو با فرمانده، سرپرست یا نماینده تعیین شده فرمانده، ممکن است منجر به برخورد انضباطی یا جدایی اداری شود.</w:t>
      </w:r>
    </w:p>
    <w:p>
      <w:pPr>
        <w:spacing w:after="28" w:line="216" w:lineRule="auto"/>
        <w:ind w:left="259"/>
        <w:jc w:val="left"/>
      </w:pPr>
      <w:r>
        <w:rPr>
          <w:rFonts w:ascii="Arial" w:hAnsi="Arial"/>
          <w:color w:val="525252"/>
          <w:sz w:val="13"/>
        </w:rPr>
        <w:t>Note: Failure to produce a family care plan within 60 days of the discussion with the commander, supervisor, or commander’s designated representative may result in disciplinary action or administrative separation.</w:t>
      </w:r>
    </w:p>
    <w:p>
      <w:pPr>
        <w:spacing w:after="20" w:line="223" w:lineRule="auto"/>
        <w:jc w:val="right"/>
        <w:bidi/>
      </w:pPr>
      <w:r>
        <w:rPr>
          <w:rFonts w:ascii="Arial" w:hAnsi="Arial"/>
          <w:sz w:val="16"/>
        </w:rPr>
        <w:t>190.26  تعویق وظیفه، عمدتا برای یک دوره چهار ماهه، در صورت لزوم، برای کمک به اعضای ارتش USAF در توسعه برنامه‌های مراقبت از خانواده و ایجاد الگوی مراقبت از کودکان ارائه می‌شود.</w:t>
      </w:r>
    </w:p>
    <w:p>
      <w:pPr>
        <w:spacing w:after="28" w:line="216" w:lineRule="auto"/>
        <w:ind w:left="259"/>
        <w:jc w:val="left"/>
      </w:pPr>
      <w:r>
        <w:rPr>
          <w:rFonts w:ascii="Arial" w:hAnsi="Arial"/>
          <w:color w:val="525252"/>
          <w:sz w:val="13"/>
        </w:rPr>
        <w:t>Duty deferments, primarily for a four-month period, when applicable, are offered to assist USAF military members in developing family care plans and establishing a pattern of childcare.</w:t>
      </w:r>
    </w:p>
    <w:p>
      <w:pPr>
        <w:spacing w:after="20" w:line="223" w:lineRule="auto"/>
        <w:jc w:val="right"/>
        <w:bidi/>
      </w:pPr>
      <w:r>
        <w:rPr>
          <w:rFonts w:ascii="Arial" w:hAnsi="Arial"/>
          <w:sz w:val="16"/>
        </w:rPr>
        <w:t>190.27  دودی۱۳۴۲.۱۹_DAFI۳۶-۲۹۰۸ اطلاعات دقیق تری در مورد تعویق وظیفه و افرادی که ممکن است درخواست کنند ارائه می‌دهد.</w:t>
      </w:r>
    </w:p>
    <w:p>
      <w:pPr>
        <w:spacing w:after="28" w:line="216" w:lineRule="auto"/>
        <w:ind w:left="259"/>
        <w:jc w:val="left"/>
      </w:pPr>
      <w:r>
        <w:rPr>
          <w:rFonts w:ascii="Arial" w:hAnsi="Arial"/>
          <w:color w:val="525252"/>
          <w:sz w:val="13"/>
        </w:rPr>
        <w:t>DoDI1342.19_DAFI36-2908 provides more detailed information regarding duty deferments and to whom they may apply.</w:t>
      </w:r>
    </w:p>
    <w:p>
      <w:r>
        <w:br w:type="page"/>
      </w:r>
    </w:p>
    <w:p>
      <w:pPr>
        <w:spacing w:after="60"/>
        <w:jc w:val="right"/>
        <w:bidi/>
      </w:pPr>
      <w:r>
        <w:rPr>
          <w:rFonts w:ascii="Arial" w:hAnsi="Arial"/>
          <w:b/>
          <w:color w:val="1F4D78"/>
          <w:sz w:val="19"/>
        </w:rPr>
        <w:t>هفتهٔ 191  |  صفحهٔ منبع: 207</w:t>
      </w:r>
    </w:p>
    <w:p>
      <w:pPr>
        <w:spacing w:before="60" w:after="28"/>
        <w:jc w:val="right"/>
        <w:bidi/>
      </w:pPr>
      <w:r>
        <w:rPr>
          <w:b/>
          <w:color w:val="1F4D78"/>
          <w:sz w:val="18"/>
        </w:rPr>
        <w:t>11.6. مزایای امور جانبازان</w:t>
      </w:r>
    </w:p>
    <w:p>
      <w:pPr>
        <w:spacing w:after="20"/>
        <w:ind w:left="259"/>
        <w:jc w:val="left"/>
      </w:pPr>
      <w:r>
        <w:rPr>
          <w:color w:val="555555"/>
          <w:sz w:val="12"/>
        </w:rPr>
        <w:t>11.6. Veterans Affairs Benefits</w:t>
      </w:r>
    </w:p>
    <w:p>
      <w:pPr>
        <w:spacing w:after="20" w:line="223" w:lineRule="auto"/>
        <w:jc w:val="right"/>
        <w:bidi/>
      </w:pPr>
      <w:r>
        <w:rPr>
          <w:rFonts w:ascii="Arial" w:hAnsi="Arial"/>
          <w:sz w:val="16"/>
        </w:rPr>
        <w:t>191.02  وزارت امور کهنه‌سربازان (VA) طیف گسترده‌ای از مزایا را به کهنه‌سربازان کشور، اعضای نیروهای مسلح و خانواده‌های آنها ارائه می‌دهد.</w:t>
      </w:r>
    </w:p>
    <w:p>
      <w:pPr>
        <w:spacing w:after="28" w:line="216" w:lineRule="auto"/>
        <w:ind w:left="259"/>
        <w:jc w:val="left"/>
      </w:pPr>
      <w:r>
        <w:rPr>
          <w:rFonts w:ascii="Arial" w:hAnsi="Arial"/>
          <w:color w:val="525252"/>
          <w:sz w:val="13"/>
        </w:rPr>
        <w:t>The Department of Veterans Affairs (VA) offers a wide range of benefits to the nation’s veterans, service members, and their families.</w:t>
      </w:r>
    </w:p>
    <w:p>
      <w:pPr>
        <w:spacing w:after="20" w:line="223" w:lineRule="auto"/>
        <w:jc w:val="right"/>
        <w:bidi/>
      </w:pPr>
      <w:r>
        <w:rPr>
          <w:rFonts w:ascii="Arial" w:hAnsi="Arial"/>
          <w:sz w:val="16"/>
        </w:rPr>
        <w:t>191.03  مزایا و خدمات VA در دسته‌های عمده مزایای ناتوانی، مزایای تحصیلی، توانبخشی حرفه‌ای و اشتغال، وام مسکن، مزایای کفن و دفن، مزایای افراد تحت تکفل و بازماندگان، بیمه عمر و مراقبت‌های بهداشتی قرار می‌گیرند.</w:t>
      </w:r>
    </w:p>
    <w:p>
      <w:pPr>
        <w:spacing w:after="28" w:line="216" w:lineRule="auto"/>
        <w:ind w:left="259"/>
        <w:jc w:val="left"/>
      </w:pPr>
      <w:r>
        <w:rPr>
          <w:rFonts w:ascii="Arial" w:hAnsi="Arial"/>
          <w:color w:val="525252"/>
          <w:sz w:val="13"/>
        </w:rPr>
        <w:t>VA benefits and services fall into the major categories of disability benefits, education benefits, vocational rehabilitation and employment, home loans, burial benefits, dependents’ and survivors’ benefits, life insurance, and health care.</w:t>
      </w:r>
    </w:p>
    <w:p>
      <w:pPr>
        <w:spacing w:after="20" w:line="223" w:lineRule="auto"/>
        <w:jc w:val="right"/>
        <w:bidi/>
      </w:pPr>
      <w:r>
        <w:rPr>
          <w:rFonts w:ascii="Arial" w:hAnsi="Arial"/>
          <w:sz w:val="16"/>
        </w:rPr>
        <w:t>191.04  هوانوردانی که به اطلاعات خاصی در مورد مزایای VA خود نیاز دارند، می‌توانند اطلاعات را در: ووو.وا.گوو بازیابی کنند یا برای شرایط واجد شرایط بودن با نزدیکترین بخش VA تماس بگیرند.</w:t>
      </w:r>
    </w:p>
    <w:p>
      <w:pPr>
        <w:spacing w:after="28" w:line="216" w:lineRule="auto"/>
        <w:ind w:left="259"/>
        <w:jc w:val="left"/>
      </w:pPr>
      <w:r>
        <w:rPr>
          <w:rFonts w:ascii="Arial" w:hAnsi="Arial"/>
          <w:color w:val="525252"/>
          <w:sz w:val="13"/>
        </w:rPr>
        <w:t>Airmen requiring specific information on their VA benefits can retrieve information at: www.va.gov or contact the closest VA department for eligibility requirements.</w:t>
      </w:r>
    </w:p>
    <w:p>
      <w:pPr>
        <w:spacing w:after="20" w:line="223" w:lineRule="auto"/>
        <w:jc w:val="right"/>
        <w:bidi/>
      </w:pPr>
      <w:r>
        <w:rPr>
          <w:rFonts w:ascii="Arial" w:hAnsi="Arial"/>
          <w:sz w:val="16"/>
        </w:rPr>
        <w:t>191.05  غرامت از کار افتادگی.</w:t>
      </w:r>
    </w:p>
    <w:p>
      <w:pPr>
        <w:spacing w:after="28" w:line="216" w:lineRule="auto"/>
        <w:ind w:left="259"/>
        <w:jc w:val="left"/>
      </w:pPr>
      <w:r>
        <w:rPr>
          <w:rFonts w:ascii="Arial" w:hAnsi="Arial"/>
          <w:color w:val="525252"/>
          <w:sz w:val="13"/>
        </w:rPr>
        <w:t>Disability Compensation.</w:t>
      </w:r>
    </w:p>
    <w:p>
      <w:pPr>
        <w:spacing w:after="20" w:line="223" w:lineRule="auto"/>
        <w:jc w:val="right"/>
        <w:bidi/>
      </w:pPr>
      <w:r>
        <w:rPr>
          <w:rFonts w:ascii="Arial" w:hAnsi="Arial"/>
          <w:sz w:val="16"/>
        </w:rPr>
        <w:t>191.06  غرامت از کار افتادگی یک مزیت پولی معاف از مالیات است که به جانبازان معلولی که در نتیجه بیماری یا جراحتی که در طول خدمت سربازی رگاف متحمل شده یا تشدید شده است پرداخت می‌شود.</w:t>
      </w:r>
    </w:p>
    <w:p>
      <w:pPr>
        <w:spacing w:after="28" w:line="216" w:lineRule="auto"/>
        <w:ind w:left="259"/>
        <w:jc w:val="left"/>
      </w:pPr>
      <w:r>
        <w:rPr>
          <w:rFonts w:ascii="Arial" w:hAnsi="Arial"/>
          <w:color w:val="525252"/>
          <w:sz w:val="13"/>
        </w:rPr>
        <w:t>Disability compensation is a tax-free monetary benefit paid to veterans with disabilities that are the result of a disease or injury incurred or aggravated during RegAF military service.</w:t>
      </w:r>
    </w:p>
    <w:p>
      <w:pPr>
        <w:spacing w:after="20" w:line="223" w:lineRule="auto"/>
        <w:jc w:val="right"/>
        <w:bidi/>
      </w:pPr>
      <w:r>
        <w:rPr>
          <w:rFonts w:ascii="Arial" w:hAnsi="Arial"/>
          <w:sz w:val="16"/>
        </w:rPr>
        <w:t>191.07  برای معلولیت‌های پس از خدمت که مرتبط یا ثانویه با معلولیت‌های ناشی از خدمت در نظر گرفته می‌شوند و برای معلولیت‌هایی که فرض می‌شود مربوط به شرایط خدمت سربازی است، ممکن است غرامت پرداخت شود، حتی اگر ممکن است پس از خدمت ایجاد شود.</w:t>
      </w:r>
    </w:p>
    <w:p>
      <w:pPr>
        <w:spacing w:after="28" w:line="216" w:lineRule="auto"/>
        <w:ind w:left="259"/>
        <w:jc w:val="left"/>
      </w:pPr>
      <w:r>
        <w:rPr>
          <w:rFonts w:ascii="Arial" w:hAnsi="Arial"/>
          <w:color w:val="525252"/>
          <w:sz w:val="13"/>
        </w:rPr>
        <w:t>Compensation may be paid for post-service disabilities that are considered related or secondary to disabilities occurring in service and for disabilities presumed to be related to circumstances of military service, even though they may arise after service.</w:t>
      </w:r>
    </w:p>
    <w:p>
      <w:pPr>
        <w:spacing w:after="20" w:line="223" w:lineRule="auto"/>
        <w:jc w:val="right"/>
        <w:bidi/>
      </w:pPr>
      <w:r>
        <w:rPr>
          <w:rFonts w:ascii="Arial" w:hAnsi="Arial"/>
          <w:sz w:val="16"/>
        </w:rPr>
        <w:t>191.08  درجه ناتوانی برای جبران از دست دادن قابل توجه زمان کار ناشی از تشدید یا بیماری طراحی شده است.</w:t>
      </w:r>
    </w:p>
    <w:p>
      <w:pPr>
        <w:spacing w:after="28" w:line="216" w:lineRule="auto"/>
        <w:ind w:left="259"/>
        <w:jc w:val="left"/>
      </w:pPr>
      <w:r>
        <w:rPr>
          <w:rFonts w:ascii="Arial" w:hAnsi="Arial"/>
          <w:color w:val="525252"/>
          <w:sz w:val="13"/>
        </w:rPr>
        <w:t>The degree of disability is designed to compensate for considerable loss of working time from exacerbations or illnesses.</w:t>
      </w:r>
    </w:p>
    <w:p>
      <w:pPr>
        <w:spacing w:after="20" w:line="223" w:lineRule="auto"/>
        <w:jc w:val="right"/>
        <w:bidi/>
      </w:pPr>
      <w:r>
        <w:rPr>
          <w:rFonts w:ascii="Arial" w:hAnsi="Arial"/>
          <w:sz w:val="16"/>
        </w:rPr>
        <w:t>191.09  مبلغ مزایا با توجه به درجه از کارافتادگی جانباز در مقیاس ۱۰ درصد تا ۱۰۰ درصد (با افزایش ۱۰ درصدی) درجه‌بندی می‌شود.</w:t>
      </w:r>
    </w:p>
    <w:p>
      <w:pPr>
        <w:spacing w:after="28" w:line="216" w:lineRule="auto"/>
        <w:ind w:left="259"/>
        <w:jc w:val="left"/>
      </w:pPr>
      <w:r>
        <w:rPr>
          <w:rFonts w:ascii="Arial" w:hAnsi="Arial"/>
          <w:color w:val="525252"/>
          <w:sz w:val="13"/>
        </w:rPr>
        <w:t>The benefit amount is graduated according to the degree of the veteran's disability on a scale from 10 percent to 100 percent (in increments of 10 percent).</w:t>
      </w:r>
    </w:p>
    <w:p>
      <w:pPr>
        <w:spacing w:after="20" w:line="223" w:lineRule="auto"/>
        <w:jc w:val="right"/>
        <w:bidi/>
      </w:pPr>
      <w:r>
        <w:rPr>
          <w:rFonts w:ascii="Arial" w:hAnsi="Arial"/>
          <w:sz w:val="16"/>
        </w:rPr>
        <w:t>191.10  اگر افراد تحت تکفل دارید، اگر ناتوانی ترکیبی شما ۳۰ درصد یا بیشتر باشد، ممکن است کمک هزینه اضافی اضافه شود.</w:t>
      </w:r>
    </w:p>
    <w:p>
      <w:pPr>
        <w:spacing w:after="28" w:line="216" w:lineRule="auto"/>
        <w:ind w:left="259"/>
        <w:jc w:val="left"/>
      </w:pPr>
      <w:r>
        <w:rPr>
          <w:rFonts w:ascii="Arial" w:hAnsi="Arial"/>
          <w:color w:val="525252"/>
          <w:sz w:val="13"/>
        </w:rPr>
        <w:t>If you have dependents, an additional allowance may be added if your combined disability is rated 30 percent or greater.</w:t>
      </w:r>
    </w:p>
    <w:p>
      <w:pPr>
        <w:spacing w:after="20" w:line="223" w:lineRule="auto"/>
        <w:jc w:val="right"/>
        <w:bidi/>
      </w:pPr>
      <w:r>
        <w:rPr>
          <w:rFonts w:ascii="Arial" w:hAnsi="Arial"/>
          <w:sz w:val="16"/>
        </w:rPr>
        <w:t>191.11  در صورت دریافت حقوق بازنشستگی نظامی، حقوق بازنشستگی از کارافتادگی، یا پرداخت‌های تشویقی جدایی، ممکن است غرامت جبران شود.</w:t>
      </w:r>
    </w:p>
    <w:p>
      <w:pPr>
        <w:spacing w:after="28" w:line="216" w:lineRule="auto"/>
        <w:ind w:left="259"/>
        <w:jc w:val="left"/>
      </w:pPr>
      <w:r>
        <w:rPr>
          <w:rFonts w:ascii="Arial" w:hAnsi="Arial"/>
          <w:color w:val="525252"/>
          <w:sz w:val="13"/>
        </w:rPr>
        <w:t>Compensation may be offset if you receive military retirement pay, disability severance pay, or separation incentive payments.</w:t>
      </w:r>
    </w:p>
    <w:p>
      <w:pPr>
        <w:spacing w:after="20" w:line="223" w:lineRule="auto"/>
        <w:jc w:val="right"/>
        <w:bidi/>
      </w:pPr>
      <w:r>
        <w:rPr>
          <w:rFonts w:ascii="Arial" w:hAnsi="Arial"/>
          <w:sz w:val="16"/>
        </w:rPr>
        <w:t>191.12  مزایای آموزشی.</w:t>
      </w:r>
    </w:p>
    <w:p>
      <w:pPr>
        <w:spacing w:after="28" w:line="216" w:lineRule="auto"/>
        <w:ind w:left="259"/>
        <w:jc w:val="left"/>
      </w:pPr>
      <w:r>
        <w:rPr>
          <w:rFonts w:ascii="Arial" w:hAnsi="Arial"/>
          <w:color w:val="525252"/>
          <w:sz w:val="13"/>
        </w:rPr>
        <w:t>Educational Benefits.</w:t>
      </w:r>
    </w:p>
    <w:p>
      <w:pPr>
        <w:spacing w:after="20" w:line="223" w:lineRule="auto"/>
        <w:jc w:val="right"/>
        <w:bidi/>
      </w:pPr>
      <w:r>
        <w:rPr>
          <w:rFonts w:ascii="Arial" w:hAnsi="Arial"/>
          <w:sz w:val="16"/>
        </w:rPr>
        <w:t>191.13  VA مزایای آموزشی متنوعی را به اعضای نیروهای مسلح و جانبازان ارائه می‌دهد تا تحصیلات عالی را در حین یا پس از خدمت خود دنبال کنند.</w:t>
      </w:r>
    </w:p>
    <w:p>
      <w:pPr>
        <w:spacing w:after="28" w:line="216" w:lineRule="auto"/>
        <w:ind w:left="259"/>
        <w:jc w:val="left"/>
      </w:pPr>
      <w:r>
        <w:rPr>
          <w:rFonts w:ascii="Arial" w:hAnsi="Arial"/>
          <w:color w:val="525252"/>
          <w:sz w:val="13"/>
        </w:rPr>
        <w:t>The VA offers a variety of educational benefits to service members and veterans to pursue a higher education during or following their service.</w:t>
      </w:r>
    </w:p>
    <w:p>
      <w:pPr>
        <w:spacing w:after="20" w:line="223" w:lineRule="auto"/>
        <w:jc w:val="right"/>
        <w:bidi/>
      </w:pPr>
      <w:r>
        <w:rPr>
          <w:rFonts w:ascii="Arial" w:hAnsi="Arial"/>
          <w:sz w:val="16"/>
        </w:rPr>
        <w:t>191.14  برنامه‌های مزایا شامل لایحه GI پس از ۱۱ سپتامبر، لایحه GI مونتگومری، برنامه کمک آموزشی رزرو، و کمک آموزشی بازماندگان و افراد وابسته است.</w:t>
      </w:r>
    </w:p>
    <w:p>
      <w:pPr>
        <w:spacing w:after="28" w:line="216" w:lineRule="auto"/>
        <w:ind w:left="259"/>
        <w:jc w:val="left"/>
      </w:pPr>
      <w:r>
        <w:rPr>
          <w:rFonts w:ascii="Arial" w:hAnsi="Arial"/>
          <w:color w:val="525252"/>
          <w:sz w:val="13"/>
        </w:rPr>
        <w:t>Benefit programs include the Post-9/11 GI Bill, Montgomery GI Bill, Reserve Educational Assistance Program, and Survivors’ and Dependents’ Educational Assistance.</w:t>
      </w:r>
    </w:p>
    <w:p>
      <w:pPr>
        <w:spacing w:after="20" w:line="223" w:lineRule="auto"/>
        <w:jc w:val="right"/>
        <w:bidi/>
      </w:pPr>
      <w:r>
        <w:rPr>
          <w:rFonts w:ascii="Arial" w:hAnsi="Arial"/>
          <w:sz w:val="16"/>
        </w:rPr>
        <w:t>191.15  برنامه افزایش آموزش GI روبان زرد یک ماده از قانون عمومی ۱۱۰-۲۵۲، قانون کمک آموزشی جانبازان پس از ۱۱ سپتامبر ۲۰۰۸ است.</w:t>
      </w:r>
    </w:p>
    <w:p>
      <w:pPr>
        <w:spacing w:after="28" w:line="216" w:lineRule="auto"/>
        <w:ind w:left="259"/>
        <w:jc w:val="left"/>
      </w:pPr>
      <w:r>
        <w:rPr>
          <w:rFonts w:ascii="Arial" w:hAnsi="Arial"/>
          <w:color w:val="525252"/>
          <w:sz w:val="13"/>
        </w:rPr>
        <w:t>The Yellow Ribbon GI Education Enhancement Program is a provision of the Public Law 110-252, Post-9/11 Veterans Educational Assistance Act of 2008.</w:t>
      </w:r>
    </w:p>
    <w:p>
      <w:pPr>
        <w:spacing w:after="20" w:line="223" w:lineRule="auto"/>
        <w:jc w:val="right"/>
        <w:bidi/>
      </w:pPr>
      <w:r>
        <w:rPr>
          <w:rFonts w:ascii="Arial" w:hAnsi="Arial"/>
          <w:sz w:val="16"/>
        </w:rPr>
        <w:t>191.16  توانبخشی و اشتغال.</w:t>
      </w:r>
    </w:p>
    <w:p>
      <w:pPr>
        <w:spacing w:after="28" w:line="216" w:lineRule="auto"/>
        <w:ind w:left="259"/>
        <w:jc w:val="left"/>
      </w:pPr>
      <w:r>
        <w:rPr>
          <w:rFonts w:ascii="Arial" w:hAnsi="Arial"/>
          <w:color w:val="525252"/>
          <w:sz w:val="13"/>
        </w:rPr>
        <w:t>Vocational Rehabilitation and Employment.</w:t>
      </w:r>
    </w:p>
    <w:p>
      <w:pPr>
        <w:spacing w:after="20" w:line="223" w:lineRule="auto"/>
        <w:jc w:val="right"/>
        <w:bidi/>
      </w:pPr>
      <w:r>
        <w:rPr>
          <w:rFonts w:ascii="Arial" w:hAnsi="Arial"/>
          <w:sz w:val="16"/>
        </w:rPr>
        <w:t>191.17  هوانوردان ممکن است خدماتی را برای کمک به آموزش شغلی، تسهیلات شغلی، توسعه رزومه، و مربیگری مهارت‌های جستجوی شغل از طریق برنامه توانبخشی و اشتغال VA دریافت کنند.</w:t>
      </w:r>
    </w:p>
    <w:p>
      <w:pPr>
        <w:spacing w:after="28" w:line="216" w:lineRule="auto"/>
        <w:ind w:left="259"/>
        <w:jc w:val="left"/>
      </w:pPr>
      <w:r>
        <w:rPr>
          <w:rFonts w:ascii="Arial" w:hAnsi="Arial"/>
          <w:color w:val="525252"/>
          <w:sz w:val="13"/>
        </w:rPr>
        <w:t>Airmen may receive services to help with job training, employment accommodations, resume development, and job seeking skills coaching through the VA Vocational Rehabilitation and Employment Program.</w:t>
      </w:r>
    </w:p>
    <w:p>
      <w:pPr>
        <w:spacing w:after="20" w:line="223" w:lineRule="auto"/>
        <w:jc w:val="right"/>
        <w:bidi/>
      </w:pPr>
      <w:r>
        <w:rPr>
          <w:rFonts w:ascii="Arial" w:hAnsi="Arial"/>
          <w:sz w:val="16"/>
        </w:rPr>
        <w:t>191.18  ممکن است برای کمک به جانبازان در راه‌اندازی کسب و کار خود یا خدمات زندگی مستقل برای کسانی که به شدت ناتوان هستند و قادر به کار در مشاغل سنتی نیستند، خدمات اضافی ارائه شود.</w:t>
      </w:r>
    </w:p>
    <w:p>
      <w:pPr>
        <w:spacing w:after="28" w:line="216" w:lineRule="auto"/>
        <w:ind w:left="259"/>
        <w:jc w:val="left"/>
      </w:pPr>
      <w:r>
        <w:rPr>
          <w:rFonts w:ascii="Arial" w:hAnsi="Arial"/>
          <w:color w:val="525252"/>
          <w:sz w:val="13"/>
        </w:rPr>
        <w:t>Additional services may be provided to assist veterans in starting their own businesses or independent living services for those who are severely disabled and unable to work in traditional employment.</w:t>
      </w:r>
    </w:p>
    <w:p>
      <w:pPr>
        <w:spacing w:after="20" w:line="223" w:lineRule="auto"/>
        <w:jc w:val="right"/>
        <w:bidi/>
      </w:pPr>
      <w:r>
        <w:rPr>
          <w:rFonts w:ascii="Arial" w:hAnsi="Arial"/>
          <w:sz w:val="16"/>
        </w:rPr>
        <w:t>191.19  وام مسکن.</w:t>
      </w:r>
    </w:p>
    <w:p>
      <w:pPr>
        <w:spacing w:after="28" w:line="216" w:lineRule="auto"/>
        <w:ind w:left="259"/>
        <w:jc w:val="left"/>
      </w:pPr>
      <w:r>
        <w:rPr>
          <w:rFonts w:ascii="Arial" w:hAnsi="Arial"/>
          <w:color w:val="525252"/>
          <w:sz w:val="13"/>
        </w:rPr>
        <w:t>Home Loans.</w:t>
      </w:r>
    </w:p>
    <w:p>
      <w:pPr>
        <w:spacing w:after="20" w:line="223" w:lineRule="auto"/>
        <w:jc w:val="right"/>
        <w:bidi/>
      </w:pPr>
      <w:r>
        <w:rPr>
          <w:rFonts w:ascii="Arial" w:hAnsi="Arial"/>
          <w:sz w:val="16"/>
        </w:rPr>
        <w:t>191.20  VA به اعضای نیروهای مسلح، جانبازان و همسران بازمانده واجد شرایط کمک می‌کند تا با ارائه مزایای ضمانت وام مسکن و سایر برنامه‌های مربوط به مسکن برای کمک به نیروهای هوایی در خرید، ساخت، تعمیر، نگهداری یا تطبیق خانه برای سکونت شخصی خود، صاحب خانه شوند.</w:t>
      </w:r>
    </w:p>
    <w:p>
      <w:pPr>
        <w:spacing w:after="28" w:line="216" w:lineRule="auto"/>
        <w:ind w:left="259"/>
        <w:jc w:val="left"/>
      </w:pPr>
      <w:r>
        <w:rPr>
          <w:rFonts w:ascii="Arial" w:hAnsi="Arial"/>
          <w:color w:val="525252"/>
          <w:sz w:val="13"/>
        </w:rPr>
        <w:t>The VA helps service members, veterans, and eligible surviving spouses become homeowners by providing a home loan guaranty benefit and other housing-related programs to help Airmen buy, build, repair, retain, or adapt a home for their own personal occupancy.</w:t>
      </w:r>
    </w:p>
    <w:p>
      <w:pPr>
        <w:spacing w:after="20" w:line="223" w:lineRule="auto"/>
        <w:jc w:val="right"/>
        <w:bidi/>
      </w:pPr>
      <w:r>
        <w:rPr>
          <w:rFonts w:ascii="Arial" w:hAnsi="Arial"/>
          <w:sz w:val="16"/>
        </w:rPr>
        <w:t>191.21  وام مسکن VA توسط وام دهندگان خصوصی مانند بانک‌ها و شرکت‌های وام مسکن ارائه می‌شود.</w:t>
      </w:r>
    </w:p>
    <w:p>
      <w:pPr>
        <w:spacing w:after="28" w:line="216" w:lineRule="auto"/>
        <w:ind w:left="259"/>
        <w:jc w:val="left"/>
      </w:pPr>
      <w:r>
        <w:rPr>
          <w:rFonts w:ascii="Arial" w:hAnsi="Arial"/>
          <w:color w:val="525252"/>
          <w:sz w:val="13"/>
        </w:rPr>
        <w:t>VA home loans are provided by private lenders, such as banks and mortgage companies.</w:t>
      </w:r>
    </w:p>
    <w:p>
      <w:pPr>
        <w:spacing w:after="20" w:line="223" w:lineRule="auto"/>
        <w:jc w:val="right"/>
        <w:bidi/>
      </w:pPr>
      <w:r>
        <w:rPr>
          <w:rFonts w:ascii="Arial" w:hAnsi="Arial"/>
          <w:sz w:val="16"/>
        </w:rPr>
        <w:t>191.22  VA بخشی از وام را تضمین می‌کند و وام‌دهنده را قادر می‌سازد تا شرایط مطلوب‌تری را برای شما فراهم کند.</w:t>
      </w:r>
    </w:p>
    <w:p>
      <w:pPr>
        <w:spacing w:after="28" w:line="216" w:lineRule="auto"/>
        <w:ind w:left="259"/>
        <w:jc w:val="left"/>
      </w:pPr>
      <w:r>
        <w:rPr>
          <w:rFonts w:ascii="Arial" w:hAnsi="Arial"/>
          <w:color w:val="525252"/>
          <w:sz w:val="13"/>
        </w:rPr>
        <w:t>VA guarantees a portion of the loan, enabling the lender to provide you with more favorable terms.</w:t>
      </w:r>
    </w:p>
    <w:p>
      <w:pPr>
        <w:spacing w:after="20" w:line="223" w:lineRule="auto"/>
        <w:jc w:val="right"/>
        <w:bidi/>
      </w:pPr>
      <w:r>
        <w:rPr>
          <w:rFonts w:ascii="Arial" w:hAnsi="Arial"/>
          <w:sz w:val="16"/>
        </w:rPr>
        <w:t>191.23  مزایای دفن.</w:t>
      </w:r>
    </w:p>
    <w:p>
      <w:pPr>
        <w:spacing w:after="28" w:line="216" w:lineRule="auto"/>
        <w:ind w:left="259"/>
        <w:jc w:val="left"/>
      </w:pPr>
      <w:r>
        <w:rPr>
          <w:rFonts w:ascii="Arial" w:hAnsi="Arial"/>
          <w:color w:val="525252"/>
          <w:sz w:val="13"/>
        </w:rPr>
        <w:t>Burial Benefits.</w:t>
      </w:r>
    </w:p>
    <w:p>
      <w:pPr>
        <w:spacing w:after="20" w:line="223" w:lineRule="auto"/>
        <w:jc w:val="right"/>
        <w:bidi/>
      </w:pPr>
      <w:r>
        <w:rPr>
          <w:rFonts w:ascii="Arial" w:hAnsi="Arial"/>
          <w:sz w:val="16"/>
        </w:rPr>
        <w:t>191.24  اداره گورستان ملی VA ۱۵۵ گورستان ملی را اداره می‌کند که فضای دفن را برای واجدین شرایط، بازنشستگان، جانبازان و وابستگان واجد شرایط فراهم می‌کند.</w:t>
      </w:r>
    </w:p>
    <w:p>
      <w:pPr>
        <w:spacing w:after="28" w:line="216" w:lineRule="auto"/>
        <w:ind w:left="259"/>
        <w:jc w:val="left"/>
      </w:pPr>
      <w:r>
        <w:rPr>
          <w:rFonts w:ascii="Arial" w:hAnsi="Arial"/>
          <w:color w:val="525252"/>
          <w:sz w:val="13"/>
        </w:rPr>
        <w:t>The VA National Cemetery Administration operates 155 national cemeteries providing burial space for eligible Active-Duty, Retirees, Veterans, and eligible dependents.</w:t>
      </w:r>
    </w:p>
    <w:p>
      <w:pPr>
        <w:spacing w:after="20" w:line="223" w:lineRule="auto"/>
        <w:jc w:val="right"/>
        <w:bidi/>
      </w:pPr>
      <w:r>
        <w:rPr>
          <w:rFonts w:ascii="Arial" w:hAnsi="Arial"/>
          <w:sz w:val="16"/>
        </w:rPr>
        <w:t>191.25  مزایای دفن شامل قبر، باز و بسته شدن قبر، مراقبت دائمی، سنگ قبر یا نشان دولتی بدون هیچ هزینه یا تعهدی برای خانواده است.</w:t>
      </w:r>
    </w:p>
    <w:p>
      <w:pPr>
        <w:spacing w:after="28" w:line="216" w:lineRule="auto"/>
        <w:ind w:left="259"/>
        <w:jc w:val="left"/>
      </w:pPr>
      <w:r>
        <w:rPr>
          <w:rFonts w:ascii="Arial" w:hAnsi="Arial"/>
          <w:color w:val="525252"/>
          <w:sz w:val="13"/>
        </w:rPr>
        <w:t>Burial benefits include gravesite, opening and closing of grave, perpetual care, and a government headstone or marker at no cost or obligation to the family.</w:t>
      </w:r>
    </w:p>
    <w:p>
      <w:pPr>
        <w:spacing w:after="20" w:line="223" w:lineRule="auto"/>
        <w:jc w:val="right"/>
        <w:bidi/>
      </w:pPr>
      <w:r>
        <w:rPr>
          <w:rFonts w:ascii="Arial" w:hAnsi="Arial"/>
          <w:sz w:val="16"/>
        </w:rPr>
        <w:t>191.26  علاوه بر این، پرچم دفن و گواهی یادبود ریاست جمهوری ممکن است پس از ارسال درخواست تکمیل شده به VA بدون هیچ هزینه یا تعهدی داده شود.</w:t>
      </w:r>
    </w:p>
    <w:p>
      <w:pPr>
        <w:spacing w:after="28" w:line="216" w:lineRule="auto"/>
        <w:ind w:left="259"/>
        <w:jc w:val="left"/>
      </w:pPr>
      <w:r>
        <w:rPr>
          <w:rFonts w:ascii="Arial" w:hAnsi="Arial"/>
          <w:color w:val="525252"/>
          <w:sz w:val="13"/>
        </w:rPr>
        <w:t>In addition, a burial flag and presidential memorial certificate may be given at no cost or obligation after submitting a completed application to the VA.</w:t>
      </w:r>
    </w:p>
    <w:p>
      <w:pPr>
        <w:spacing w:after="20" w:line="223" w:lineRule="auto"/>
        <w:jc w:val="right"/>
        <w:bidi/>
      </w:pPr>
      <w:r>
        <w:rPr>
          <w:rFonts w:ascii="Arial" w:hAnsi="Arial"/>
          <w:sz w:val="16"/>
        </w:rPr>
        <w:t>191.27  غرامت وابستگی و غرامت.</w:t>
      </w:r>
    </w:p>
    <w:p>
      <w:pPr>
        <w:spacing w:after="28" w:line="216" w:lineRule="auto"/>
        <w:ind w:left="259"/>
        <w:jc w:val="left"/>
      </w:pPr>
      <w:r>
        <w:rPr>
          <w:rFonts w:ascii="Arial" w:hAnsi="Arial"/>
          <w:color w:val="525252"/>
          <w:sz w:val="13"/>
        </w:rPr>
        <w:t>Dependency and Indemnity Compensation.</w:t>
      </w:r>
    </w:p>
    <w:p>
      <w:pPr>
        <w:spacing w:after="20" w:line="223" w:lineRule="auto"/>
        <w:jc w:val="right"/>
        <w:bidi/>
      </w:pPr>
      <w:r>
        <w:rPr>
          <w:rFonts w:ascii="Arial" w:hAnsi="Arial"/>
          <w:sz w:val="16"/>
        </w:rPr>
        <w:t>191.28  غرامت وابستگی و غرامت یک مزیت پولی معاف از مالیات است که عموما به همسر، فرزند، یا والدین بازماندگان خدمات یا بازماندگان جانبازانی که به دلیل ناتوانی‌های مرتبط با خدمات خود فوت کرده‌اند قابل پرداخت است.</w:t>
      </w:r>
    </w:p>
    <w:p>
      <w:pPr>
        <w:spacing w:after="28" w:line="216" w:lineRule="auto"/>
        <w:ind w:left="259"/>
        <w:jc w:val="left"/>
      </w:pPr>
      <w:r>
        <w:rPr>
          <w:rFonts w:ascii="Arial" w:hAnsi="Arial"/>
          <w:color w:val="525252"/>
          <w:sz w:val="13"/>
        </w:rPr>
        <w:t>Dependency and indemnity compensation is a tax- free monetary benefit generally payable to a surviving spouse, child, or parent of service members, or to survivors of veterans who died from their service-connected disabilities.</w:t>
      </w:r>
    </w:p>
    <w:p>
      <w:pPr>
        <w:spacing w:after="20" w:line="223" w:lineRule="auto"/>
        <w:jc w:val="right"/>
        <w:bidi/>
      </w:pPr>
      <w:r>
        <w:rPr>
          <w:rFonts w:ascii="Arial" w:hAnsi="Arial"/>
          <w:sz w:val="16"/>
        </w:rPr>
        <w:t>191.29  غرامت وابستگی و غرامت یک مزیت مبتنی بر درآمد برای والدینی است که از نظر مالی به یکی از اعضای خدمت یا جانبازی وابسته بودند که به علت خدماتی فوت کرده است.</w:t>
      </w:r>
    </w:p>
    <w:p>
      <w:pPr>
        <w:spacing w:after="28" w:line="216" w:lineRule="auto"/>
        <w:ind w:left="259"/>
        <w:jc w:val="left"/>
      </w:pPr>
      <w:r>
        <w:rPr>
          <w:rFonts w:ascii="Arial" w:hAnsi="Arial"/>
          <w:color w:val="525252"/>
          <w:sz w:val="13"/>
        </w:rPr>
        <w:t>Dependency and indemnity compensation is an income-based benefit for parents who were financially dependent on a service member or veteran who died from a service-related cause.</w:t>
      </w:r>
    </w:p>
    <w:p>
      <w:r>
        <w:br w:type="page"/>
      </w:r>
    </w:p>
    <w:p>
      <w:pPr>
        <w:spacing w:after="60"/>
        <w:jc w:val="right"/>
        <w:bidi/>
      </w:pPr>
      <w:r>
        <w:rPr>
          <w:rFonts w:ascii="Arial" w:hAnsi="Arial"/>
          <w:b/>
          <w:color w:val="1F4D78"/>
          <w:sz w:val="19"/>
        </w:rPr>
        <w:t>هفتهٔ 192  |  صفحهٔ منبع: 208</w:t>
      </w:r>
    </w:p>
    <w:p>
      <w:pPr>
        <w:spacing w:after="20" w:line="223" w:lineRule="auto"/>
        <w:jc w:val="right"/>
        <w:bidi/>
      </w:pPr>
      <w:r>
        <w:rPr>
          <w:rFonts w:ascii="Arial" w:hAnsi="Arial"/>
          <w:sz w:val="16"/>
        </w:rPr>
        <w:t>192.01  بیمه عمر.</w:t>
      </w:r>
    </w:p>
    <w:p>
      <w:pPr>
        <w:spacing w:after="28" w:line="216" w:lineRule="auto"/>
        <w:ind w:left="259"/>
        <w:jc w:val="left"/>
      </w:pPr>
      <w:r>
        <w:rPr>
          <w:rFonts w:ascii="Arial" w:hAnsi="Arial"/>
          <w:color w:val="525252"/>
          <w:sz w:val="13"/>
        </w:rPr>
        <w:t>Life Insurance.</w:t>
      </w:r>
    </w:p>
    <w:p>
      <w:pPr>
        <w:spacing w:after="20" w:line="223" w:lineRule="auto"/>
        <w:jc w:val="right"/>
        <w:bidi/>
      </w:pPr>
      <w:r>
        <w:rPr>
          <w:rFonts w:ascii="Arial" w:hAnsi="Arial"/>
          <w:sz w:val="16"/>
        </w:rPr>
        <w:t>192.02  VA مزایای ارزشمند بیمه عمر را فراهم می‌کند تا به اعضای نیروهای مسلح و جانبازان آرامش خاطری بدهد که با دانستن محافظت از خانواده‌شان حاصل می‌شود.</w:t>
      </w:r>
    </w:p>
    <w:p>
      <w:pPr>
        <w:spacing w:after="28" w:line="216" w:lineRule="auto"/>
        <w:ind w:left="259"/>
        <w:jc w:val="left"/>
      </w:pPr>
      <w:r>
        <w:rPr>
          <w:rFonts w:ascii="Arial" w:hAnsi="Arial"/>
          <w:color w:val="525252"/>
          <w:sz w:val="13"/>
        </w:rPr>
        <w:t>The VA provides valuable life insurance benefits to give service members and veterans the peace of mind that comes with knowing their family is protected.</w:t>
      </w:r>
    </w:p>
    <w:p>
      <w:pPr>
        <w:spacing w:after="20" w:line="223" w:lineRule="auto"/>
        <w:jc w:val="right"/>
        <w:bidi/>
      </w:pPr>
      <w:r>
        <w:rPr>
          <w:rFonts w:ascii="Arial" w:hAnsi="Arial"/>
          <w:sz w:val="16"/>
        </w:rPr>
        <w:t>192.03  برنامه‌های بیمه عمر VA برای تأمین امنیت مالی برای خانواده‌های عضو خدمت با توجه به خطرات فوق‌العاده‌ای که در خدمت سربازی وجود دارد، ایجاد شد.</w:t>
      </w:r>
    </w:p>
    <w:p>
      <w:pPr>
        <w:spacing w:after="28" w:line="216" w:lineRule="auto"/>
        <w:ind w:left="259"/>
        <w:jc w:val="left"/>
      </w:pPr>
      <w:r>
        <w:rPr>
          <w:rFonts w:ascii="Arial" w:hAnsi="Arial"/>
          <w:color w:val="525252"/>
          <w:sz w:val="13"/>
        </w:rPr>
        <w:t>The VA life insurance programs were developed to provide financial security for service member families given the extraordinary risks involved in military service.</w:t>
      </w:r>
    </w:p>
    <w:p>
      <w:pPr>
        <w:spacing w:before="60" w:after="28"/>
        <w:jc w:val="right"/>
        <w:bidi/>
      </w:pPr>
      <w:r>
        <w:rPr>
          <w:b/>
          <w:color w:val="1F4D78"/>
          <w:sz w:val="18"/>
        </w:rPr>
        <w:t>11.7. اداره بهداشت جانبازان</w:t>
      </w:r>
    </w:p>
    <w:p>
      <w:pPr>
        <w:spacing w:after="20"/>
        <w:ind w:left="259"/>
        <w:jc w:val="left"/>
      </w:pPr>
      <w:r>
        <w:rPr>
          <w:color w:val="555555"/>
          <w:sz w:val="12"/>
        </w:rPr>
        <w:t>11.7. Veterans’ Health Administration</w:t>
      </w:r>
    </w:p>
    <w:p>
      <w:pPr>
        <w:spacing w:after="20" w:line="223" w:lineRule="auto"/>
        <w:jc w:val="right"/>
        <w:bidi/>
      </w:pPr>
      <w:r>
        <w:rPr>
          <w:rFonts w:ascii="Arial" w:hAnsi="Arial"/>
          <w:sz w:val="16"/>
        </w:rPr>
        <w:t>192.05  انتقال از دریافت مراقبت در سیستم مراقبت‌های بهداشتی نظامی به اداره بهداشت جانبازان می‌تواند چالش برانگیز و گاهی گیج کننده باشد.</w:t>
      </w:r>
    </w:p>
    <w:p>
      <w:pPr>
        <w:spacing w:after="28" w:line="216" w:lineRule="auto"/>
        <w:ind w:left="259"/>
        <w:jc w:val="left"/>
      </w:pPr>
      <w:r>
        <w:rPr>
          <w:rFonts w:ascii="Arial" w:hAnsi="Arial"/>
          <w:color w:val="525252"/>
          <w:sz w:val="13"/>
        </w:rPr>
        <w:t>The transition from receiving care within the military healthcare system into the Veterans Health Administration can be challenging and sometimes confusing.</w:t>
      </w:r>
    </w:p>
    <w:p>
      <w:pPr>
        <w:spacing w:after="20" w:line="223" w:lineRule="auto"/>
        <w:jc w:val="right"/>
        <w:bidi/>
      </w:pPr>
      <w:r>
        <w:rPr>
          <w:rFonts w:ascii="Arial" w:hAnsi="Arial"/>
          <w:sz w:val="16"/>
        </w:rPr>
        <w:t>192.06  مراقبت‌های بهداشتی نظامی، معروف به TRICARE، از طریق وزارت دفاع انجام می‌شود و مراقبت‌های پزشکی را برای اعضای نیروهای مسلح و افراد وابسته به آنها ارائه می‌دهد.</w:t>
      </w:r>
    </w:p>
    <w:p>
      <w:pPr>
        <w:spacing w:after="28" w:line="216" w:lineRule="auto"/>
        <w:ind w:left="259"/>
        <w:jc w:val="left"/>
      </w:pPr>
      <w:r>
        <w:rPr>
          <w:rFonts w:ascii="Arial" w:hAnsi="Arial"/>
          <w:color w:val="525252"/>
          <w:sz w:val="13"/>
        </w:rPr>
        <w:t>Military health care, known as TRICARE, is operated through the Department of Defense and provides medical care for service members and their dependents.</w:t>
      </w:r>
    </w:p>
    <w:p>
      <w:pPr>
        <w:spacing w:after="20" w:line="223" w:lineRule="auto"/>
        <w:jc w:val="right"/>
        <w:bidi/>
      </w:pPr>
      <w:r>
        <w:rPr>
          <w:rFonts w:ascii="Arial" w:hAnsi="Arial"/>
          <w:sz w:val="16"/>
        </w:rPr>
        <w:t>192.07  اداره بهداشت جانبازان مراقبت‌های بهداشتی را برای جانبازان ثبت‌نام شده و اعضای خانواده واجد شرایط آنها از طریق شبکه‌ای از بیمارستان‌ها و کلینیک‌ها در سراسر کشور فراهم می‌کند.</w:t>
      </w:r>
    </w:p>
    <w:p>
      <w:pPr>
        <w:spacing w:after="28" w:line="216" w:lineRule="auto"/>
        <w:ind w:left="259"/>
        <w:jc w:val="left"/>
      </w:pPr>
      <w:r>
        <w:rPr>
          <w:rFonts w:ascii="Arial" w:hAnsi="Arial"/>
          <w:color w:val="525252"/>
          <w:sz w:val="13"/>
        </w:rPr>
        <w:t>The Veterans Health Administration provides health care for enrolled veterans and their eligible family members through a network of hospitals and clinics across the country.</w:t>
      </w:r>
    </w:p>
    <w:p>
      <w:pPr>
        <w:spacing w:after="20" w:line="223" w:lineRule="auto"/>
        <w:jc w:val="right"/>
        <w:bidi/>
      </w:pPr>
      <w:r>
        <w:rPr>
          <w:rFonts w:ascii="Arial" w:hAnsi="Arial"/>
          <w:sz w:val="16"/>
        </w:rPr>
        <w:t>192.08  TRICARE و اداره بهداشت جانبازان با هم کار می‌کنند، اما معیارهای واجد شرایط بودن، مزایای سلامتی و هزینه‌های متفاوتی دارند.</w:t>
      </w:r>
    </w:p>
    <w:p>
      <w:pPr>
        <w:spacing w:after="28" w:line="216" w:lineRule="auto"/>
        <w:ind w:left="259"/>
        <w:jc w:val="left"/>
      </w:pPr>
      <w:r>
        <w:rPr>
          <w:rFonts w:ascii="Arial" w:hAnsi="Arial"/>
          <w:color w:val="525252"/>
          <w:sz w:val="13"/>
        </w:rPr>
        <w:t>TRICARE and the Veterans Health Administration work together, but have different eligibility criteria, health benefits, and costs.</w:t>
      </w:r>
    </w:p>
    <w:p>
      <w:pPr>
        <w:spacing w:after="20" w:line="223" w:lineRule="auto"/>
        <w:jc w:val="right"/>
        <w:bidi/>
      </w:pPr>
      <w:r>
        <w:rPr>
          <w:rFonts w:ascii="Arial" w:hAnsi="Arial"/>
          <w:sz w:val="16"/>
        </w:rPr>
        <w:t>192.09  برنامه TRICARE.</w:t>
      </w:r>
    </w:p>
    <w:p>
      <w:pPr>
        <w:spacing w:after="28" w:line="216" w:lineRule="auto"/>
        <w:ind w:left="259"/>
        <w:jc w:val="left"/>
      </w:pPr>
      <w:r>
        <w:rPr>
          <w:rFonts w:ascii="Arial" w:hAnsi="Arial"/>
          <w:color w:val="525252"/>
          <w:sz w:val="13"/>
        </w:rPr>
        <w:t>TRICARE Program.</w:t>
      </w:r>
    </w:p>
    <w:p>
      <w:pPr>
        <w:spacing w:after="20" w:line="223" w:lineRule="auto"/>
        <w:jc w:val="right"/>
        <w:bidi/>
      </w:pPr>
      <w:r>
        <w:rPr>
          <w:rFonts w:ascii="Arial" w:hAnsi="Arial"/>
          <w:sz w:val="16"/>
        </w:rPr>
        <w:t>192.10  TRICARE برنامه مراقبت‌های بهداشتی جهانی است که به اعضای نیروهای مسلح لباس پوش و بازنشستگان، اعضای خانواده آنها، بازماندگان و برخی از همسران سابق که از مزایای TRICARE برخوردار هستند خدمات می‌دهد.</w:t>
      </w:r>
    </w:p>
    <w:p>
      <w:pPr>
        <w:spacing w:after="28" w:line="216" w:lineRule="auto"/>
        <w:ind w:left="259"/>
        <w:jc w:val="left"/>
      </w:pPr>
      <w:r>
        <w:rPr>
          <w:rFonts w:ascii="Arial" w:hAnsi="Arial"/>
          <w:color w:val="525252"/>
          <w:sz w:val="13"/>
        </w:rPr>
        <w:t>TRICARE is the worldwide health care program serving uniformed service members and retirees, their family members, survivors, and some former spouses entitled to TRICARE benefits.</w:t>
      </w:r>
    </w:p>
    <w:p>
      <w:pPr>
        <w:spacing w:after="20" w:line="223" w:lineRule="auto"/>
        <w:jc w:val="right"/>
        <w:bidi/>
      </w:pPr>
      <w:r>
        <w:rPr>
          <w:rFonts w:ascii="Arial" w:hAnsi="Arial"/>
          <w:sz w:val="16"/>
        </w:rPr>
        <w:t>192.11  برنامه‌های TRICARE برای اعضای ایر رسرو کومپوننت و خانواده‌هایشان نیز در دسترس است.</w:t>
      </w:r>
    </w:p>
    <w:p>
      <w:pPr>
        <w:spacing w:after="28" w:line="216" w:lineRule="auto"/>
        <w:ind w:left="259"/>
        <w:jc w:val="left"/>
      </w:pPr>
      <w:r>
        <w:rPr>
          <w:rFonts w:ascii="Arial" w:hAnsi="Arial"/>
          <w:color w:val="525252"/>
          <w:sz w:val="13"/>
        </w:rPr>
        <w:t>TRICARE programs are also available to Air Reserve Component members and their families.</w:t>
      </w:r>
    </w:p>
    <w:p>
      <w:pPr>
        <w:spacing w:after="20" w:line="223" w:lineRule="auto"/>
        <w:jc w:val="right"/>
        <w:bidi/>
      </w:pPr>
      <w:r>
        <w:rPr>
          <w:rFonts w:ascii="Arial" w:hAnsi="Arial"/>
          <w:sz w:val="16"/>
        </w:rPr>
        <w:t>192.12  TRICARE یک ضرب کننده نیرو برای سیستم بهداشت نظامی است که شکاف‌های مراقبت‌های بهداشتی نظامی را با استفاده از شبکه‌های متخصصان مراقبت‌های بهداشتی غیرنظامی، امکانات، داروخانه‌ها و تأمین کنندگان پر می‌کند.</w:t>
      </w:r>
    </w:p>
    <w:p>
      <w:pPr>
        <w:spacing w:after="28" w:line="216" w:lineRule="auto"/>
        <w:ind w:left="259"/>
        <w:jc w:val="left"/>
      </w:pPr>
      <w:r>
        <w:rPr>
          <w:rFonts w:ascii="Arial" w:hAnsi="Arial"/>
          <w:color w:val="525252"/>
          <w:sz w:val="13"/>
        </w:rPr>
        <w:t>TRICARE is a force multiplier for the military health system that fills gaps in military health care using networks of civilian health care professionals, facilities, pharmacies, and suppliers.</w:t>
      </w:r>
    </w:p>
    <w:p>
      <w:pPr>
        <w:spacing w:after="20" w:line="223" w:lineRule="auto"/>
        <w:jc w:val="right"/>
        <w:bidi/>
      </w:pPr>
      <w:r>
        <w:rPr>
          <w:rFonts w:ascii="Arial" w:hAnsi="Arial"/>
          <w:sz w:val="16"/>
        </w:rPr>
        <w:t>192.13  این شبکه‌های غیرنظامی به وزارت دفاع کمک می‌کنند تا به ذینفعان دسترسی به خدمات مراقبت بهداشتی با کیفیت بالا را حتی در زمانی که پزشکان یونیفرم پوش در خارج از کشور در عملیات‌های اضطراری خدمت می‌کنند، فراهم کند.</w:t>
      </w:r>
    </w:p>
    <w:p>
      <w:pPr>
        <w:spacing w:after="28" w:line="216" w:lineRule="auto"/>
        <w:ind w:left="259"/>
        <w:jc w:val="left"/>
      </w:pPr>
      <w:r>
        <w:rPr>
          <w:rFonts w:ascii="Arial" w:hAnsi="Arial"/>
          <w:color w:val="525252"/>
          <w:sz w:val="13"/>
        </w:rPr>
        <w:t>These civilian networks help enable the Department of Defense to provide beneficiaries with access to high-quality health care services even while uniformed medics are serving abroad in contingency operations.</w:t>
      </w:r>
    </w:p>
    <w:p>
      <w:pPr>
        <w:spacing w:after="20" w:line="223" w:lineRule="auto"/>
        <w:jc w:val="right"/>
        <w:bidi/>
      </w:pPr>
      <w:r>
        <w:rPr>
          <w:rFonts w:ascii="Arial" w:hAnsi="Arial"/>
          <w:sz w:val="16"/>
        </w:rPr>
        <w:t>192.14  TRICARE در ایالات متحده و خارج از کشور موجود است.</w:t>
      </w:r>
    </w:p>
    <w:p>
      <w:pPr>
        <w:spacing w:after="28" w:line="216" w:lineRule="auto"/>
        <w:ind w:left="259"/>
        <w:jc w:val="left"/>
      </w:pPr>
      <w:r>
        <w:rPr>
          <w:rFonts w:ascii="Arial" w:hAnsi="Arial"/>
          <w:color w:val="525252"/>
          <w:sz w:val="13"/>
        </w:rPr>
        <w:t>TRICARE is available in the United States and overseas.</w:t>
      </w:r>
    </w:p>
    <w:p>
      <w:pPr>
        <w:spacing w:after="20" w:line="223" w:lineRule="auto"/>
        <w:jc w:val="right"/>
        <w:bidi/>
      </w:pPr>
      <w:r>
        <w:rPr>
          <w:rFonts w:ascii="Arial" w:hAnsi="Arial"/>
          <w:sz w:val="16"/>
        </w:rPr>
        <w:t>192.15  هر منطقه TRICARE دارای یک پیمانکار پشتیبانی مراقبت مدیریت شده است که خدمات مراقبت‌های بهداشتی را با بیمارستان‌ها و ارائه دهندگان غیرنظامی شبکه و غیر شبکه‌ای مدیریت و هماهنگ می‌کند.</w:t>
      </w:r>
    </w:p>
    <w:p>
      <w:pPr>
        <w:spacing w:after="28" w:line="216" w:lineRule="auto"/>
        <w:ind w:left="259"/>
        <w:jc w:val="left"/>
      </w:pPr>
      <w:r>
        <w:rPr>
          <w:rFonts w:ascii="Arial" w:hAnsi="Arial"/>
          <w:color w:val="525252"/>
          <w:sz w:val="13"/>
        </w:rPr>
        <w:t>Each TRICARE region has a managed care support contractor that administers and coordinates health care services with network and non-network civilian hospitals and providers.</w:t>
      </w:r>
    </w:p>
    <w:p>
      <w:pPr>
        <w:spacing w:after="20" w:line="223" w:lineRule="auto"/>
        <w:jc w:val="right"/>
        <w:bidi/>
      </w:pPr>
      <w:r>
        <w:rPr>
          <w:rFonts w:ascii="Arial" w:hAnsi="Arial"/>
          <w:sz w:val="16"/>
        </w:rPr>
        <w:t>192.16  اطلاعات جامع و جاری در مورد طرح‌ها و برنامه‌های TRICARE را می‌توانید در وب‌سایت TRICARE (https://www.tricare.mil/) بیابید.</w:t>
      </w:r>
    </w:p>
    <w:p>
      <w:pPr>
        <w:spacing w:after="28" w:line="216" w:lineRule="auto"/>
        <w:ind w:left="259"/>
        <w:jc w:val="left"/>
      </w:pPr>
      <w:r>
        <w:rPr>
          <w:rFonts w:ascii="Arial" w:hAnsi="Arial"/>
          <w:color w:val="525252"/>
          <w:sz w:val="13"/>
        </w:rPr>
        <w:t>Comprehensive, current information on TRICARE plans and programs can be found at the TRICARE website (https://www.tricare.mil/).</w:t>
      </w:r>
    </w:p>
    <w:p>
      <w:pPr>
        <w:spacing w:after="20" w:line="223" w:lineRule="auto"/>
        <w:jc w:val="right"/>
        <w:bidi/>
      </w:pPr>
      <w:r>
        <w:rPr>
          <w:rFonts w:ascii="Arial" w:hAnsi="Arial"/>
          <w:sz w:val="16"/>
        </w:rPr>
        <w:t>192.17  طرح‌های TRICARE.</w:t>
      </w:r>
    </w:p>
    <w:p>
      <w:pPr>
        <w:spacing w:after="28" w:line="216" w:lineRule="auto"/>
        <w:ind w:left="259"/>
        <w:jc w:val="left"/>
      </w:pPr>
      <w:r>
        <w:rPr>
          <w:rFonts w:ascii="Arial" w:hAnsi="Arial"/>
          <w:color w:val="525252"/>
          <w:sz w:val="13"/>
        </w:rPr>
        <w:t>TRICARE Plans.</w:t>
      </w:r>
    </w:p>
    <w:p>
      <w:pPr>
        <w:spacing w:after="20" w:line="223" w:lineRule="auto"/>
        <w:jc w:val="right"/>
        <w:bidi/>
      </w:pPr>
      <w:r>
        <w:rPr>
          <w:rFonts w:ascii="Arial" w:hAnsi="Arial"/>
          <w:sz w:val="16"/>
        </w:rPr>
        <w:t>192.18  چندین گزینه طرح سلامت TRICARE برای ذینفعان واجد شرایط در دسترس است.</w:t>
      </w:r>
    </w:p>
    <w:p>
      <w:pPr>
        <w:spacing w:after="28" w:line="216" w:lineRule="auto"/>
        <w:ind w:left="259"/>
        <w:jc w:val="left"/>
      </w:pPr>
      <w:r>
        <w:rPr>
          <w:rFonts w:ascii="Arial" w:hAnsi="Arial"/>
          <w:color w:val="525252"/>
          <w:sz w:val="13"/>
        </w:rPr>
        <w:t>Several TRICARE health plan options are available to eligible beneficiaries.</w:t>
      </w:r>
    </w:p>
    <w:p>
      <w:pPr>
        <w:spacing w:after="20" w:line="223" w:lineRule="auto"/>
        <w:jc w:val="right"/>
        <w:bidi/>
      </w:pPr>
      <w:r>
        <w:rPr>
          <w:rFonts w:ascii="Arial" w:hAnsi="Arial"/>
          <w:sz w:val="16"/>
        </w:rPr>
        <w:t>192.19  گزینه‌های مراقبت‌های بهداشتی اولیه ارائه شده به ذینفعان واجد شرایط عبارتند از TRICARE پریم و TRICARE سلکت.</w:t>
      </w:r>
    </w:p>
    <w:p>
      <w:pPr>
        <w:spacing w:after="28" w:line="216" w:lineRule="auto"/>
        <w:ind w:left="259"/>
        <w:jc w:val="left"/>
      </w:pPr>
      <w:r>
        <w:rPr>
          <w:rFonts w:ascii="Arial" w:hAnsi="Arial"/>
          <w:color w:val="525252"/>
          <w:sz w:val="13"/>
        </w:rPr>
        <w:t>The primary health care options offered to eligible beneficiaries are TRICARE Prime and TRICARE Select.</w:t>
      </w:r>
    </w:p>
    <w:p>
      <w:pPr>
        <w:spacing w:after="20" w:line="223" w:lineRule="auto"/>
        <w:jc w:val="right"/>
        <w:bidi/>
      </w:pPr>
      <w:r>
        <w:rPr>
          <w:rFonts w:ascii="Arial" w:hAnsi="Arial"/>
          <w:sz w:val="16"/>
        </w:rPr>
        <w:t>192.20  در دسترس بودن طرح‌ها به وضعیت نظامی و محل اقامت اسپانسر بستگی دارد.</w:t>
      </w:r>
    </w:p>
    <w:p>
      <w:pPr>
        <w:spacing w:after="28" w:line="216" w:lineRule="auto"/>
        <w:ind w:left="259"/>
        <w:jc w:val="left"/>
      </w:pPr>
      <w:r>
        <w:rPr>
          <w:rFonts w:ascii="Arial" w:hAnsi="Arial"/>
          <w:color w:val="525252"/>
          <w:sz w:val="13"/>
        </w:rPr>
        <w:t>Availability of the plans depends on the sponsor’s military status and residence.</w:t>
      </w:r>
    </w:p>
    <w:p>
      <w:pPr>
        <w:spacing w:after="20" w:line="223" w:lineRule="auto"/>
        <w:jc w:val="right"/>
        <w:bidi/>
      </w:pPr>
      <w:r>
        <w:rPr>
          <w:rFonts w:ascii="Arial" w:hAnsi="Arial"/>
          <w:sz w:val="16"/>
        </w:rPr>
        <w:t>192.21  انواع TRICARE پریم موجود است، مانند TRICARE پریم رموت، TRICARE پریم وورساس، و TRICARE پریم رموت وورساس.</w:t>
      </w:r>
    </w:p>
    <w:p>
      <w:pPr>
        <w:spacing w:after="28" w:line="216" w:lineRule="auto"/>
        <w:ind w:left="259"/>
        <w:jc w:val="left"/>
      </w:pPr>
      <w:r>
        <w:rPr>
          <w:rFonts w:ascii="Arial" w:hAnsi="Arial"/>
          <w:color w:val="525252"/>
          <w:sz w:val="13"/>
        </w:rPr>
        <w:t>Variations of TRICARE Prime are available, such as TRICARE Prime Remote, TRICARE Prime Overseas, and TRICARE Prime Remote Overseas.</w:t>
      </w:r>
    </w:p>
    <w:p>
      <w:pPr>
        <w:spacing w:after="20" w:line="223" w:lineRule="auto"/>
        <w:jc w:val="right"/>
        <w:bidi/>
      </w:pPr>
      <w:r>
        <w:rPr>
          <w:rFonts w:ascii="Arial" w:hAnsi="Arial"/>
          <w:sz w:val="16"/>
        </w:rPr>
        <w:t>192.22  انواع TRICARE سلکت موجود است، مانند TRICARE سلکت و TRICARE سلکت وورساس.</w:t>
      </w:r>
    </w:p>
    <w:p>
      <w:pPr>
        <w:spacing w:after="28" w:line="216" w:lineRule="auto"/>
        <w:ind w:left="259"/>
        <w:jc w:val="left"/>
      </w:pPr>
      <w:r>
        <w:rPr>
          <w:rFonts w:ascii="Arial" w:hAnsi="Arial"/>
          <w:color w:val="525252"/>
          <w:sz w:val="13"/>
        </w:rPr>
        <w:t>Variations of TRICARE Select are available, such as TRICARE Select and TRICARE Select Overseas.</w:t>
      </w:r>
    </w:p>
    <w:p>
      <w:pPr>
        <w:spacing w:after="20" w:line="223" w:lineRule="auto"/>
        <w:jc w:val="right"/>
        <w:bidi/>
      </w:pPr>
      <w:r>
        <w:rPr>
          <w:rFonts w:ascii="Arial" w:hAnsi="Arial"/>
          <w:sz w:val="16"/>
        </w:rPr>
        <w:t>192.23  طرح‌های اضافی موجود عبارتند از TRICARE فور لیف، TRICARE رسرو سلکت، TRICARE رتیرد رسرو، TRICARE یوونگ ادولت، و و.س. فامیلی هالت پلان.</w:t>
      </w:r>
    </w:p>
    <w:p>
      <w:pPr>
        <w:spacing w:after="28" w:line="216" w:lineRule="auto"/>
        <w:ind w:left="259"/>
        <w:jc w:val="left"/>
      </w:pPr>
      <w:r>
        <w:rPr>
          <w:rFonts w:ascii="Arial" w:hAnsi="Arial"/>
          <w:color w:val="525252"/>
          <w:sz w:val="13"/>
        </w:rPr>
        <w:t>Additional plans available include TRICARE For Life, TRICARE Reserve Select, TRICARE Retired Reserve, TRICARE Young Adult, and U.S. Family Health Plan.</w:t>
      </w:r>
    </w:p>
    <w:p>
      <w:pPr>
        <w:spacing w:after="20" w:line="223" w:lineRule="auto"/>
        <w:jc w:val="right"/>
        <w:bidi/>
      </w:pPr>
      <w:r>
        <w:rPr>
          <w:rFonts w:ascii="Arial" w:hAnsi="Arial"/>
          <w:sz w:val="16"/>
        </w:rPr>
        <w:t>192.24  از برنامه یاب TRICARE می‌توان برای تعیین بهترین طرح موجود استفاده کرد (https://www.tricare.mil/Plans/PlanFinder).</w:t>
      </w:r>
    </w:p>
    <w:p>
      <w:pPr>
        <w:spacing w:after="28" w:line="216" w:lineRule="auto"/>
        <w:ind w:left="259"/>
        <w:jc w:val="left"/>
      </w:pPr>
      <w:r>
        <w:rPr>
          <w:rFonts w:ascii="Arial" w:hAnsi="Arial"/>
          <w:color w:val="525252"/>
          <w:sz w:val="13"/>
        </w:rPr>
        <w:t>The TRICARE plan finder can be used to determine the best plan available (https://www.tricare.mil/Plans/PlanFinder).</w:t>
      </w:r>
    </w:p>
    <w:p>
      <w:pPr>
        <w:spacing w:after="20" w:line="223" w:lineRule="auto"/>
        <w:jc w:val="right"/>
        <w:bidi/>
      </w:pPr>
      <w:r>
        <w:rPr>
          <w:rFonts w:ascii="Arial" w:hAnsi="Arial"/>
          <w:sz w:val="16"/>
        </w:rPr>
        <w:t>192.25  طرح‌های دندانپزشکی TRICARE.</w:t>
      </w:r>
    </w:p>
    <w:p>
      <w:pPr>
        <w:spacing w:after="28" w:line="216" w:lineRule="auto"/>
        <w:ind w:left="259"/>
        <w:jc w:val="left"/>
      </w:pPr>
      <w:r>
        <w:rPr>
          <w:rFonts w:ascii="Arial" w:hAnsi="Arial"/>
          <w:color w:val="525252"/>
          <w:sz w:val="13"/>
        </w:rPr>
        <w:t>TRICARE Dental Plans.</w:t>
      </w:r>
    </w:p>
    <w:p>
      <w:pPr>
        <w:spacing w:after="20" w:line="223" w:lineRule="auto"/>
        <w:jc w:val="right"/>
        <w:bidi/>
      </w:pPr>
      <w:r>
        <w:rPr>
          <w:rFonts w:ascii="Arial" w:hAnsi="Arial"/>
          <w:sz w:val="16"/>
        </w:rPr>
        <w:t>192.26  TRICARE سه طرح دندانپزشکی را ارائه می‌دهد که هر کدام پیمانکار دندانپزشکی خود را دارد.</w:t>
      </w:r>
    </w:p>
    <w:p>
      <w:pPr>
        <w:spacing w:after="28" w:line="216" w:lineRule="auto"/>
        <w:ind w:left="259"/>
        <w:jc w:val="left"/>
      </w:pPr>
      <w:r>
        <w:rPr>
          <w:rFonts w:ascii="Arial" w:hAnsi="Arial"/>
          <w:color w:val="525252"/>
          <w:sz w:val="13"/>
        </w:rPr>
        <w:t>TRICARE offers three dental plans, each with its own dental contractor.</w:t>
      </w:r>
    </w:p>
    <w:p>
      <w:pPr>
        <w:spacing w:after="20" w:line="223" w:lineRule="auto"/>
        <w:jc w:val="right"/>
        <w:bidi/>
      </w:pPr>
      <w:r>
        <w:rPr>
          <w:rFonts w:ascii="Arial" w:hAnsi="Arial"/>
          <w:sz w:val="16"/>
        </w:rPr>
        <w:t>192.27  این سه طرح شامل برنامه دندانپزشکی فعال، برنامه دندانپزشکی TRICARE و برنامه دندانپزشکی بازنشستگان TRICARE است.</w:t>
      </w:r>
    </w:p>
    <w:p>
      <w:pPr>
        <w:spacing w:after="28" w:line="216" w:lineRule="auto"/>
        <w:ind w:left="259"/>
        <w:jc w:val="left"/>
      </w:pPr>
      <w:r>
        <w:rPr>
          <w:rFonts w:ascii="Arial" w:hAnsi="Arial"/>
          <w:color w:val="525252"/>
          <w:sz w:val="13"/>
        </w:rPr>
        <w:t>The three plans include the active duty dental program, the TRICARE dental program, and the TRICARE retiree dental program.</w:t>
      </w:r>
    </w:p>
    <w:p>
      <w:pPr>
        <w:spacing w:before="60" w:after="28"/>
        <w:jc w:val="right"/>
        <w:bidi/>
      </w:pPr>
      <w:r>
        <w:rPr>
          <w:b/>
          <w:color w:val="1F4D78"/>
          <w:sz w:val="18"/>
        </w:rPr>
        <w:t>11.8. مزایای بازنشستگی</w:t>
      </w:r>
    </w:p>
    <w:p>
      <w:pPr>
        <w:spacing w:after="20"/>
        <w:ind w:left="259"/>
        <w:jc w:val="left"/>
      </w:pPr>
      <w:r>
        <w:rPr>
          <w:color w:val="555555"/>
          <w:sz w:val="12"/>
        </w:rPr>
        <w:t>11.8. Retirement Benefits</w:t>
      </w:r>
    </w:p>
    <w:p>
      <w:pPr>
        <w:spacing w:after="20" w:line="223" w:lineRule="auto"/>
        <w:jc w:val="right"/>
        <w:bidi/>
      </w:pPr>
      <w:r>
        <w:rPr>
          <w:rFonts w:ascii="Arial" w:hAnsi="Arial"/>
          <w:sz w:val="16"/>
        </w:rPr>
        <w:t>192.29  اعضای ثبت‌نام شده در صورتی واجد شرایط بازنشستگی هستند که ۲۰ سال از خدمات نظامی فدرال کل فعال (TAFMS) داشته باشند و هیچ محدودیتی بر اساس DAFI ۳۶-۳۲۰۳، بازنشستگی خدمات وجود نداشته باشد.</w:t>
      </w:r>
    </w:p>
    <w:p>
      <w:pPr>
        <w:spacing w:after="28" w:line="216" w:lineRule="auto"/>
        <w:ind w:left="259"/>
        <w:jc w:val="left"/>
      </w:pPr>
      <w:r>
        <w:rPr>
          <w:rFonts w:ascii="Arial" w:hAnsi="Arial"/>
          <w:color w:val="525252"/>
          <w:sz w:val="13"/>
        </w:rPr>
        <w:t>Enlisted members are eligible to retire if they have 20 years of Total Active Federal Military Service (TAFMS) and there are no restrictions per DAFI 36-3203, Service Retirements.</w:t>
      </w:r>
    </w:p>
    <w:p>
      <w:pPr>
        <w:spacing w:after="20" w:line="223" w:lineRule="auto"/>
        <w:jc w:val="right"/>
        <w:bidi/>
      </w:pPr>
      <w:r>
        <w:rPr>
          <w:rFonts w:ascii="Arial" w:hAnsi="Arial"/>
          <w:sz w:val="16"/>
        </w:rPr>
        <w:t>192.30  اعضای ثبت‌نام شده باید برای بازنشستگی اقدام کنند، در غیر این صورت در تاریخ جدایی خود از هم جدا می‌شوند.</w:t>
      </w:r>
    </w:p>
    <w:p>
      <w:pPr>
        <w:spacing w:after="28" w:line="216" w:lineRule="auto"/>
        <w:ind w:left="259"/>
        <w:jc w:val="left"/>
      </w:pPr>
      <w:r>
        <w:rPr>
          <w:rFonts w:ascii="Arial" w:hAnsi="Arial"/>
          <w:color w:val="525252"/>
          <w:sz w:val="13"/>
        </w:rPr>
        <w:t>Enlisted members must apply for retirement, otherwise they will separate on their date of separation.</w:t>
      </w:r>
    </w:p>
    <w:p>
      <w:pPr>
        <w:spacing w:after="20" w:line="223" w:lineRule="auto"/>
        <w:jc w:val="right"/>
        <w:bidi/>
      </w:pPr>
      <w:r>
        <w:rPr>
          <w:rFonts w:ascii="Arial" w:hAnsi="Arial"/>
          <w:sz w:val="16"/>
        </w:rPr>
        <w:t>192.31  افسران باید ۲۰ سال TAFMS و ۱۰ سال کل خدمت فدرال فعال داشته باشند تا واجد شرایط بازنشستگی باشند.</w:t>
      </w:r>
    </w:p>
    <w:p>
      <w:pPr>
        <w:spacing w:after="28" w:line="216" w:lineRule="auto"/>
        <w:ind w:left="259"/>
        <w:jc w:val="left"/>
      </w:pPr>
      <w:r>
        <w:rPr>
          <w:rFonts w:ascii="Arial" w:hAnsi="Arial"/>
          <w:color w:val="525252"/>
          <w:sz w:val="13"/>
        </w:rPr>
        <w:t>Officers must have 20 years of TAFMS and 10 years of total active federal commissioned service to be eligible to retire.</w:t>
      </w:r>
    </w:p>
    <w:p>
      <w:pPr>
        <w:spacing w:after="20" w:line="223" w:lineRule="auto"/>
        <w:jc w:val="right"/>
        <w:bidi/>
      </w:pPr>
      <w:r>
        <w:rPr>
          <w:rFonts w:ascii="Arial" w:hAnsi="Arial"/>
          <w:sz w:val="16"/>
        </w:rPr>
        <w:t>192.32  معافیت از بازنشستگی.</w:t>
      </w:r>
    </w:p>
    <w:p>
      <w:pPr>
        <w:spacing w:after="28" w:line="216" w:lineRule="auto"/>
        <w:ind w:left="259"/>
        <w:jc w:val="left"/>
      </w:pPr>
      <w:r>
        <w:rPr>
          <w:rFonts w:ascii="Arial" w:hAnsi="Arial"/>
          <w:color w:val="525252"/>
          <w:sz w:val="13"/>
        </w:rPr>
        <w:t>Waivers to Retire.</w:t>
      </w:r>
    </w:p>
    <w:p>
      <w:pPr>
        <w:spacing w:after="20" w:line="223" w:lineRule="auto"/>
        <w:jc w:val="right"/>
        <w:bidi/>
      </w:pPr>
      <w:r>
        <w:rPr>
          <w:rFonts w:ascii="Arial" w:hAnsi="Arial"/>
          <w:sz w:val="16"/>
        </w:rPr>
        <w:t>192.33  DAFI ۳۶-۳۲۰۳، جداول ۳.۱ و ۳.۲، محدودیت‌های بازنشستگی را مشخص می‌کند.</w:t>
      </w:r>
    </w:p>
    <w:p>
      <w:pPr>
        <w:spacing w:after="28" w:line="216" w:lineRule="auto"/>
        <w:ind w:left="259"/>
        <w:jc w:val="left"/>
      </w:pPr>
      <w:r>
        <w:rPr>
          <w:rFonts w:ascii="Arial" w:hAnsi="Arial"/>
          <w:color w:val="525252"/>
          <w:sz w:val="13"/>
        </w:rPr>
        <w:t>DAFI 36-3203, Tables 3.1 and 3.2, identify restrictions to retirement.</w:t>
      </w:r>
    </w:p>
    <w:p>
      <w:pPr>
        <w:spacing w:after="20" w:line="223" w:lineRule="auto"/>
        <w:jc w:val="right"/>
        <w:bidi/>
      </w:pPr>
      <w:r>
        <w:rPr>
          <w:rFonts w:ascii="Arial" w:hAnsi="Arial"/>
          <w:sz w:val="16"/>
        </w:rPr>
        <w:t>192.34  برخی از محدودیت‌ها، مانند عدم تکمیل تعهد خدمت وظیفه فعال، ممکن است در صورتی که عضو بتواند توجیه کافی برای نشان دادن این معافیت به نفع USAF ارائه دهد، لغو شود.</w:t>
      </w:r>
    </w:p>
    <w:p>
      <w:pPr>
        <w:spacing w:after="28" w:line="216" w:lineRule="auto"/>
        <w:ind w:left="259"/>
        <w:jc w:val="left"/>
      </w:pPr>
      <w:r>
        <w:rPr>
          <w:rFonts w:ascii="Arial" w:hAnsi="Arial"/>
          <w:color w:val="525252"/>
          <w:sz w:val="13"/>
        </w:rPr>
        <w:t>Some restrictions, such as not completing an active duty service commitment, may be waived if the member can provide sufficient justification to show the waiver is in the best interest of the USAF</w:t>
      </w:r>
    </w:p>
    <w:p>
      <w:r>
        <w:br w:type="page"/>
      </w:r>
    </w:p>
    <w:p>
      <w:pPr>
        <w:spacing w:after="60"/>
        <w:jc w:val="right"/>
        <w:bidi/>
      </w:pPr>
      <w:r>
        <w:rPr>
          <w:rFonts w:ascii="Arial" w:hAnsi="Arial"/>
          <w:b/>
          <w:color w:val="1F4D78"/>
          <w:sz w:val="19"/>
        </w:rPr>
        <w:t>هفتهٔ 193  |  صفحهٔ منبع: 209</w:t>
      </w:r>
    </w:p>
    <w:p>
      <w:pPr>
        <w:spacing w:after="20" w:line="223" w:lineRule="auto"/>
        <w:jc w:val="right"/>
        <w:bidi/>
      </w:pPr>
      <w:r>
        <w:rPr>
          <w:rFonts w:ascii="Arial" w:hAnsi="Arial"/>
          <w:sz w:val="16"/>
        </w:rPr>
        <w:t>193.01  یا اینکه عضو در حال تجربه سختی شخصی شدیدی است که برای سایر اعضای نظامی غیرمعمول است.</w:t>
      </w:r>
    </w:p>
    <w:p>
      <w:pPr>
        <w:spacing w:after="28" w:line="216" w:lineRule="auto"/>
        <w:ind w:left="259"/>
        <w:jc w:val="left"/>
      </w:pPr>
      <w:r>
        <w:rPr>
          <w:rFonts w:ascii="Arial" w:hAnsi="Arial"/>
          <w:color w:val="525252"/>
          <w:sz w:val="13"/>
        </w:rPr>
        <w:t>or that the member is experiencing an extreme personal hardship uncommon to other military members.</w:t>
      </w:r>
    </w:p>
    <w:p>
      <w:pPr>
        <w:spacing w:after="20" w:line="223" w:lineRule="auto"/>
        <w:jc w:val="right"/>
        <w:bidi/>
      </w:pPr>
      <w:r>
        <w:rPr>
          <w:rFonts w:ascii="Arial" w:hAnsi="Arial"/>
          <w:sz w:val="16"/>
        </w:rPr>
        <w:t>193.02  همه معافیت‌ها تأیید نمی‌شوند، بنابراین متقاضیان باید شواهد دقیقی برای حمایت از درخواست‌های خود داشته باشند.</w:t>
      </w:r>
    </w:p>
    <w:p>
      <w:pPr>
        <w:spacing w:after="28" w:line="216" w:lineRule="auto"/>
        <w:ind w:left="259"/>
        <w:jc w:val="left"/>
      </w:pPr>
      <w:r>
        <w:rPr>
          <w:rFonts w:ascii="Arial" w:hAnsi="Arial"/>
          <w:color w:val="525252"/>
          <w:sz w:val="13"/>
        </w:rPr>
        <w:t>Not all waivers are approved, so applicants should include detailed evidence to support their requests.</w:t>
      </w:r>
    </w:p>
    <w:p>
      <w:pPr>
        <w:spacing w:after="20" w:line="223" w:lineRule="auto"/>
        <w:jc w:val="right"/>
        <w:bidi/>
      </w:pPr>
      <w:r>
        <w:rPr>
          <w:rFonts w:ascii="Arial" w:hAnsi="Arial"/>
          <w:sz w:val="16"/>
        </w:rPr>
        <w:t>193.03  ارسال درخواست.</w:t>
      </w:r>
    </w:p>
    <w:p>
      <w:pPr>
        <w:spacing w:after="28" w:line="216" w:lineRule="auto"/>
        <w:ind w:left="259"/>
        <w:jc w:val="left"/>
      </w:pPr>
      <w:r>
        <w:rPr>
          <w:rFonts w:ascii="Arial" w:hAnsi="Arial"/>
          <w:color w:val="525252"/>
          <w:sz w:val="13"/>
        </w:rPr>
        <w:t>Application Submission.</w:t>
      </w:r>
    </w:p>
    <w:p>
      <w:pPr>
        <w:spacing w:after="20" w:line="223" w:lineRule="auto"/>
        <w:jc w:val="right"/>
        <w:bidi/>
      </w:pPr>
      <w:r>
        <w:rPr>
          <w:rFonts w:ascii="Arial" w:hAnsi="Arial"/>
          <w:sz w:val="16"/>
        </w:rPr>
        <w:t>193.04  معمولا می‌توان درخواست بازنشستگی را تا ۱۲ ماه از طریق وب‌سایت میفسس ارسال کرد، اما حداقل ۴ ماه قبل از تاریخ بازنشستگی مورد نظر.</w:t>
      </w:r>
    </w:p>
    <w:p>
      <w:pPr>
        <w:spacing w:after="28" w:line="216" w:lineRule="auto"/>
        <w:ind w:left="259"/>
        <w:jc w:val="left"/>
      </w:pPr>
      <w:r>
        <w:rPr>
          <w:rFonts w:ascii="Arial" w:hAnsi="Arial"/>
          <w:color w:val="525252"/>
          <w:sz w:val="13"/>
        </w:rPr>
        <w:t>A retirement application can typically be submitted through the myFSS website up to 12 months, but no less than 4 months before the desired retirement date.</w:t>
      </w:r>
    </w:p>
    <w:p>
      <w:pPr>
        <w:spacing w:after="20" w:line="223" w:lineRule="auto"/>
        <w:jc w:val="right"/>
        <w:bidi/>
      </w:pPr>
      <w:r>
        <w:rPr>
          <w:rFonts w:ascii="Arial" w:hAnsi="Arial"/>
          <w:sz w:val="16"/>
        </w:rPr>
        <w:t>193.05  هوانوردانی که برای بازنشستگی تحت برنامه گزینه ۷ روزه یا ۳ روزه درخواست می‌کنند، ممکن است بتوانند بیش از ۱۲ ماه قبل درخواست ارسال کنند.</w:t>
      </w:r>
    </w:p>
    <w:p>
      <w:pPr>
        <w:spacing w:after="28" w:line="216" w:lineRule="auto"/>
        <w:ind w:left="259"/>
        <w:jc w:val="left"/>
      </w:pPr>
      <w:r>
        <w:rPr>
          <w:rFonts w:ascii="Arial" w:hAnsi="Arial"/>
          <w:color w:val="525252"/>
          <w:sz w:val="13"/>
        </w:rPr>
        <w:t>Airmen applying for retirement under the 7-day or 3-day option program may be able to submit an application more than 12 months in advance.</w:t>
      </w:r>
    </w:p>
    <w:p>
      <w:pPr>
        <w:spacing w:after="20" w:line="223" w:lineRule="auto"/>
        <w:jc w:val="right"/>
        <w:bidi/>
      </w:pPr>
      <w:r>
        <w:rPr>
          <w:rFonts w:ascii="Arial" w:hAnsi="Arial"/>
          <w:sz w:val="16"/>
        </w:rPr>
        <w:t>193.06  DAFI ۳۶-۲۱۱۰، فصول ۵ و ۷، اطلاعات کلی در مورد آن برنامه‌ها و استثنائات قابل اعمال را بیان می‌کند.</w:t>
      </w:r>
    </w:p>
    <w:p>
      <w:pPr>
        <w:spacing w:after="28" w:line="216" w:lineRule="auto"/>
        <w:ind w:left="259"/>
        <w:jc w:val="left"/>
      </w:pPr>
      <w:r>
        <w:rPr>
          <w:rFonts w:ascii="Arial" w:hAnsi="Arial"/>
          <w:color w:val="525252"/>
          <w:sz w:val="13"/>
        </w:rPr>
        <w:t>DAFI 36-2110, Chapters 5 and 7, outline information on those programs and the applicable exceptions.</w:t>
      </w:r>
    </w:p>
    <w:p>
      <w:pPr>
        <w:spacing w:after="20" w:line="223" w:lineRule="auto"/>
        <w:jc w:val="right"/>
        <w:bidi/>
      </w:pPr>
      <w:r>
        <w:rPr>
          <w:rFonts w:ascii="Arial" w:hAnsi="Arial"/>
          <w:sz w:val="16"/>
        </w:rPr>
        <w:t>193.07  قبل از ارسال هر درخواستی، عضو باید از طریق وب‌سایت میفسس درخواست بررسی واجد شرایط بودن کند.</w:t>
      </w:r>
    </w:p>
    <w:p>
      <w:pPr>
        <w:spacing w:after="28" w:line="216" w:lineRule="auto"/>
        <w:ind w:left="259"/>
        <w:jc w:val="left"/>
      </w:pPr>
      <w:r>
        <w:rPr>
          <w:rFonts w:ascii="Arial" w:hAnsi="Arial"/>
          <w:color w:val="525252"/>
          <w:sz w:val="13"/>
        </w:rPr>
        <w:t>Before submitting any application, the member must request an eligibility review through the myFSS website.</w:t>
      </w:r>
    </w:p>
    <w:p>
      <w:pPr>
        <w:spacing w:after="20" w:line="223" w:lineRule="auto"/>
        <w:jc w:val="right"/>
        <w:bidi/>
      </w:pPr>
      <w:r>
        <w:rPr>
          <w:rFonts w:ascii="Arial" w:hAnsi="Arial"/>
          <w:sz w:val="16"/>
        </w:rPr>
        <w:t>193.08  سیستم پاسخی خودکار از وضعیت واجد شرایط بودن بازنشستگی اعضا ارائه می‌دهد و هرگونه محدودیت یا شرایط قابل چشم پوشی را در زمان ارسال شناسایی می‌کند.</w:t>
      </w:r>
    </w:p>
    <w:p>
      <w:pPr>
        <w:spacing w:after="28" w:line="216" w:lineRule="auto"/>
        <w:ind w:left="259"/>
        <w:jc w:val="left"/>
      </w:pPr>
      <w:r>
        <w:rPr>
          <w:rFonts w:ascii="Arial" w:hAnsi="Arial"/>
          <w:color w:val="525252"/>
          <w:sz w:val="13"/>
        </w:rPr>
        <w:t>The system will provide an automated response of the member’s retirement eligibility status and identify any restrictions or waiverable conditions at the time of submission.</w:t>
      </w:r>
    </w:p>
    <w:p>
      <w:pPr>
        <w:spacing w:after="20" w:line="223" w:lineRule="auto"/>
        <w:jc w:val="right"/>
        <w:bidi/>
      </w:pPr>
      <w:r>
        <w:rPr>
          <w:rFonts w:ascii="Arial" w:hAnsi="Arial"/>
          <w:sz w:val="16"/>
        </w:rPr>
        <w:t>193.09  پس از دریافت نتایج واجد شرایط بودن، عضو می‌تواند درخواست خود را از طریق فرآیند ارسال آنلاین در میفسس ارسال کند.</w:t>
      </w:r>
    </w:p>
    <w:p>
      <w:pPr>
        <w:spacing w:after="28" w:line="216" w:lineRule="auto"/>
        <w:ind w:left="259"/>
        <w:jc w:val="left"/>
      </w:pPr>
      <w:r>
        <w:rPr>
          <w:rFonts w:ascii="Arial" w:hAnsi="Arial"/>
          <w:color w:val="525252"/>
          <w:sz w:val="13"/>
        </w:rPr>
        <w:t>After receiving the eligibility results, the member may submit their application through the on-line submission process in myFSS.</w:t>
      </w:r>
    </w:p>
    <w:p>
      <w:pPr>
        <w:spacing w:after="20" w:line="223" w:lineRule="auto"/>
        <w:jc w:val="right"/>
        <w:bidi/>
      </w:pPr>
      <w:r>
        <w:rPr>
          <w:rFonts w:ascii="Arial" w:hAnsi="Arial"/>
          <w:sz w:val="16"/>
        </w:rPr>
        <w:t>193.10  محل بازنشستگی.</w:t>
      </w:r>
    </w:p>
    <w:p>
      <w:pPr>
        <w:spacing w:after="28" w:line="216" w:lineRule="auto"/>
        <w:ind w:left="259"/>
        <w:jc w:val="left"/>
      </w:pPr>
      <w:r>
        <w:rPr>
          <w:rFonts w:ascii="Arial" w:hAnsi="Arial"/>
          <w:color w:val="525252"/>
          <w:sz w:val="13"/>
        </w:rPr>
        <w:t>Place of Retirement.</w:t>
      </w:r>
    </w:p>
    <w:p>
      <w:pPr>
        <w:spacing w:after="20" w:line="223" w:lineRule="auto"/>
        <w:jc w:val="right"/>
        <w:bidi/>
      </w:pPr>
      <w:r>
        <w:rPr>
          <w:rFonts w:ascii="Arial" w:hAnsi="Arial"/>
          <w:sz w:val="16"/>
        </w:rPr>
        <w:t>193.11  به‌طور کلی، یک عضو در ایستگاه وظیفه فعلی بازنشسته می‌شود و ممکن است به خانه انتخابی در هر نقطه از ایالات متحده سفر کند.</w:t>
      </w:r>
    </w:p>
    <w:p>
      <w:pPr>
        <w:spacing w:after="28" w:line="216" w:lineRule="auto"/>
        <w:ind w:left="259"/>
        <w:jc w:val="left"/>
      </w:pPr>
      <w:r>
        <w:rPr>
          <w:rFonts w:ascii="Arial" w:hAnsi="Arial"/>
          <w:color w:val="525252"/>
          <w:sz w:val="13"/>
        </w:rPr>
        <w:t>In general, a member retires at the current duty station and may travel to a home of selection anywhere in the United States.</w:t>
      </w:r>
    </w:p>
    <w:p>
      <w:pPr>
        <w:spacing w:after="20" w:line="223" w:lineRule="auto"/>
        <w:jc w:val="right"/>
        <w:bidi/>
      </w:pPr>
      <w:r>
        <w:rPr>
          <w:rFonts w:ascii="Arial" w:hAnsi="Arial"/>
          <w:sz w:val="16"/>
        </w:rPr>
        <w:t>193.12  اگر عضو خارج از کشور باشد، با وجود امکانات پردازش خارج از آن، عضو در آن مکان بازنشسته می‌شود و عضو و خانواده به خانه نهایی انتخاب می‌شوند.</w:t>
      </w:r>
    </w:p>
    <w:p>
      <w:pPr>
        <w:spacing w:after="28" w:line="216" w:lineRule="auto"/>
        <w:ind w:left="259"/>
        <w:jc w:val="left"/>
      </w:pPr>
      <w:r>
        <w:rPr>
          <w:rFonts w:ascii="Arial" w:hAnsi="Arial"/>
          <w:color w:val="525252"/>
          <w:sz w:val="13"/>
        </w:rPr>
        <w:t>If the member is overseas, the member retires at that location when outprocessing facilities exist, and the member and family proceed to the final home of selection.</w:t>
      </w:r>
    </w:p>
    <w:p>
      <w:pPr>
        <w:spacing w:after="20" w:line="223" w:lineRule="auto"/>
        <w:jc w:val="right"/>
        <w:bidi/>
      </w:pPr>
      <w:r>
        <w:rPr>
          <w:rFonts w:ascii="Arial" w:hAnsi="Arial"/>
          <w:sz w:val="16"/>
        </w:rPr>
        <w:t>193.13  هنگامی که امکانات پردازش برون‌پردازی در مکان خارج از کشور وجود ندارد، عضو ممکن است درخواست سفر به پایگاه پردازش جداسازی در ایالات متحده کند.</w:t>
      </w:r>
    </w:p>
    <w:p>
      <w:pPr>
        <w:spacing w:after="28" w:line="216" w:lineRule="auto"/>
        <w:ind w:left="259"/>
        <w:jc w:val="left"/>
      </w:pPr>
      <w:r>
        <w:rPr>
          <w:rFonts w:ascii="Arial" w:hAnsi="Arial"/>
          <w:color w:val="525252"/>
          <w:sz w:val="13"/>
        </w:rPr>
        <w:t>When outprocessing facilities do not exist at the overseas location, the member may request travel to a separation processing base in the United States.</w:t>
      </w:r>
    </w:p>
    <w:p>
      <w:pPr>
        <w:spacing w:after="20" w:line="223" w:lineRule="auto"/>
        <w:jc w:val="right"/>
        <w:bidi/>
      </w:pPr>
      <w:r>
        <w:rPr>
          <w:rFonts w:ascii="Arial" w:hAnsi="Arial"/>
          <w:sz w:val="16"/>
        </w:rPr>
        <w:t>193.14  اگر عضوی تصمیم بگیرد که در خارج از کشور بازنشسته شود و به‌طور دائم در آن کشور زندگی کند، باید قبل از تاریخ بازنشستگی از قوانین فرماندهی و اقامت دولت میزبان تبعیت کند.</w:t>
      </w:r>
    </w:p>
    <w:p>
      <w:pPr>
        <w:spacing w:after="28" w:line="216" w:lineRule="auto"/>
        <w:ind w:left="259"/>
        <w:jc w:val="left"/>
      </w:pPr>
      <w:r>
        <w:rPr>
          <w:rFonts w:ascii="Arial" w:hAnsi="Arial"/>
          <w:color w:val="525252"/>
          <w:sz w:val="13"/>
        </w:rPr>
        <w:t>If the member elects to retire overseas and live permanently in that country, he or she must comply with command and host government residency rules before the date of retirement.</w:t>
      </w:r>
    </w:p>
    <w:p>
      <w:pPr>
        <w:spacing w:after="20" w:line="223" w:lineRule="auto"/>
        <w:jc w:val="right"/>
        <w:bidi/>
      </w:pPr>
      <w:r>
        <w:rPr>
          <w:rFonts w:ascii="Arial" w:hAnsi="Arial"/>
          <w:sz w:val="16"/>
        </w:rPr>
        <w:t>193.15  طرح‌های پرداخت بازنشستگی.</w:t>
      </w:r>
    </w:p>
    <w:p>
      <w:pPr>
        <w:spacing w:after="28" w:line="216" w:lineRule="auto"/>
        <w:ind w:left="259"/>
        <w:jc w:val="left"/>
      </w:pPr>
      <w:r>
        <w:rPr>
          <w:rFonts w:ascii="Arial" w:hAnsi="Arial"/>
          <w:color w:val="525252"/>
          <w:sz w:val="13"/>
        </w:rPr>
        <w:t>Retirement Pay Plans.</w:t>
      </w:r>
    </w:p>
    <w:p>
      <w:pPr>
        <w:spacing w:after="20" w:line="223" w:lineRule="auto"/>
        <w:jc w:val="right"/>
        <w:bidi/>
      </w:pPr>
      <w:r>
        <w:rPr>
          <w:rFonts w:ascii="Arial" w:hAnsi="Arial"/>
          <w:sz w:val="16"/>
        </w:rPr>
        <w:t>193.16  تاریخ ورود اولیه به سرویس لباس متحدالشکل (DIEUS) معمولا تعیین می‌کند که کدام برنامه پرداخت بازنشستگی برای یک عضو اعمال می‌شود.</w:t>
      </w:r>
    </w:p>
    <w:p>
      <w:pPr>
        <w:spacing w:after="28" w:line="216" w:lineRule="auto"/>
        <w:ind w:left="259"/>
        <w:jc w:val="left"/>
      </w:pPr>
      <w:r>
        <w:rPr>
          <w:rFonts w:ascii="Arial" w:hAnsi="Arial"/>
          <w:color w:val="525252"/>
          <w:sz w:val="13"/>
        </w:rPr>
        <w:t>The Date Initially Entered Uniformed Service (DIEUS) normally determines which retirement pay plan applies to a member.</w:t>
      </w:r>
    </w:p>
    <w:p>
      <w:pPr>
        <w:spacing w:after="20" w:line="223" w:lineRule="auto"/>
        <w:jc w:val="right"/>
        <w:bidi/>
      </w:pPr>
      <w:r>
        <w:rPr>
          <w:rFonts w:ascii="Arial" w:hAnsi="Arial"/>
          <w:sz w:val="16"/>
        </w:rPr>
        <w:t>193.17  DIEUS تاریخی است که یک فرد در ابتدا به‌عنوان افسر مأمور، افسر ضمانت‌نامه یا عضویت عضویت در یک جزء معمولی یا رزرو یک سرویس متحدالشکل ثبت‌نام، عضویت، یا منصوب شد.</w:t>
      </w:r>
    </w:p>
    <w:p>
      <w:pPr>
        <w:spacing w:after="28" w:line="216" w:lineRule="auto"/>
        <w:ind w:left="259"/>
        <w:jc w:val="left"/>
      </w:pPr>
      <w:r>
        <w:rPr>
          <w:rFonts w:ascii="Arial" w:hAnsi="Arial"/>
          <w:color w:val="525252"/>
          <w:sz w:val="13"/>
        </w:rPr>
        <w:t>DIEUS is the date an individual was initially enlisted, inducted, or appointed in a Regular or Reserve Component of a uniformed service as a commissioned officer, warrant officer, or enlisted member.</w:t>
      </w:r>
    </w:p>
    <w:p>
      <w:pPr>
        <w:spacing w:after="20" w:line="223" w:lineRule="auto"/>
        <w:jc w:val="right"/>
        <w:bidi/>
      </w:pPr>
      <w:r>
        <w:rPr>
          <w:rFonts w:ascii="Arial" w:hAnsi="Arial"/>
          <w:sz w:val="16"/>
        </w:rPr>
        <w:t>193.18  DIEUS یک تاریخ ثابت است که به دلیل وقفه در سرویس قابل تنظیم نیست.</w:t>
      </w:r>
    </w:p>
    <w:p>
      <w:pPr>
        <w:spacing w:after="28" w:line="216" w:lineRule="auto"/>
        <w:ind w:left="259"/>
        <w:jc w:val="left"/>
      </w:pPr>
      <w:r>
        <w:rPr>
          <w:rFonts w:ascii="Arial" w:hAnsi="Arial"/>
          <w:color w:val="525252"/>
          <w:sz w:val="13"/>
        </w:rPr>
        <w:t>The DIEUS is a fixed date that is not subject to adjustment because of a break in service.</w:t>
      </w:r>
    </w:p>
    <w:p>
      <w:pPr>
        <w:spacing w:after="20" w:line="223" w:lineRule="auto"/>
        <w:jc w:val="right"/>
        <w:bidi/>
      </w:pPr>
      <w:r>
        <w:rPr>
          <w:rFonts w:ascii="Arial" w:hAnsi="Arial"/>
          <w:sz w:val="16"/>
        </w:rPr>
        <w:t>193.19  پرسنل فعلی رگاف تحت یکی از برنامه‌های بازنشستگی شرح داده شده در جدول ۱۱.۱ قرار می‌گیرند.</w:t>
      </w:r>
    </w:p>
    <w:p>
      <w:pPr>
        <w:spacing w:after="28" w:line="216" w:lineRule="auto"/>
        <w:ind w:left="259"/>
        <w:jc w:val="left"/>
      </w:pPr>
      <w:r>
        <w:rPr>
          <w:rFonts w:ascii="Arial" w:hAnsi="Arial"/>
          <w:color w:val="525252"/>
          <w:sz w:val="13"/>
        </w:rPr>
        <w:t>Current RegAF personnel will fall under one of the retirement plans described in Table 11.1.</w:t>
      </w:r>
    </w:p>
    <w:p>
      <w:pPr>
        <w:spacing w:after="20" w:line="223" w:lineRule="auto"/>
        <w:jc w:val="right"/>
        <w:bidi/>
      </w:pPr>
      <w:r>
        <w:rPr>
          <w:rFonts w:ascii="Arial" w:hAnsi="Arial"/>
          <w:sz w:val="16"/>
        </w:rPr>
        <w:t>193.20  برنامه بازنشستگی واجد شرایط (یادداشت ۱) فرمول پرداخت (یادداشت ۲، هزینه زندگی ۳، و ۴) پرداخت پایه نهایی وارد شده به خدمات قبل از ۲.۵٪ برابر سالهای حمایت تورم کامل بر اساس ۸ سپتامبر ۱۹۸۰ خدمات ضربدر پرداخت پایه شاخص قیمت مصرف کننده. (نگاه کنید به تبصره ۵) خدمات هیگه-۳ نترد ۲.۵% برابر سالهای بین ۸ سپتامبر، برابر میانگین ۱۹۸۰ و ۳۱ ژوئیه ۱۹۸۶ بالاترین ۳۶ ماه حقوق پایه (نگاه کنید به یادداشت‌های ۶، ۷ و ۸)</w:t>
      </w:r>
    </w:p>
    <w:p>
      <w:pPr>
        <w:spacing w:after="28" w:line="216" w:lineRule="auto"/>
        <w:ind w:left="259"/>
        <w:jc w:val="left"/>
      </w:pPr>
      <w:r>
        <w:rPr>
          <w:rFonts w:ascii="Arial" w:hAnsi="Arial"/>
          <w:color w:val="525252"/>
          <w:sz w:val="13"/>
        </w:rPr>
        <w:t>Retirement Plan Eligible (Note 1) Pay Formula (Notes 2, Cost of Living 3, and 4) Final Basic Pay Entered Service prior to 2.5% times the years of Full inflation protection based on 8 September 1980 service times basic pay Consumer Price Index. (see Note 5) High-3 Entered service 2.5% times the years of between 8 September service times the 1980 and 31 July 1986 average of the highest 36 months of base pay (see Notes 6, 7 and 8)</w:t>
      </w:r>
    </w:p>
    <w:p>
      <w:r>
        <w:br w:type="page"/>
      </w:r>
    </w:p>
    <w:p>
      <w:pPr>
        <w:spacing w:after="60"/>
        <w:jc w:val="right"/>
        <w:bidi/>
      </w:pPr>
      <w:r>
        <w:rPr>
          <w:rFonts w:ascii="Arial" w:hAnsi="Arial"/>
          <w:b/>
          <w:color w:val="1F4D78"/>
          <w:sz w:val="19"/>
        </w:rPr>
        <w:t>هفتهٔ 194  |  صفحهٔ منبع: 210</w:t>
      </w:r>
    </w:p>
    <w:p>
      <w:pPr>
        <w:spacing w:after="20" w:line="223" w:lineRule="auto"/>
        <w:jc w:val="right"/>
        <w:bidi/>
      </w:pPr>
      <w:r>
        <w:rPr>
          <w:rFonts w:ascii="Arial" w:hAnsi="Arial"/>
          <w:sz w:val="16"/>
        </w:rPr>
        <w:t>194.01  هیگه-۳ وارد سرویس هیگه-۳ شد: ۲.۵% برابر هیگه-۳: حفاظت کامل از تورم بین ۱ اوت ۱۹۸۶ سالهای خدمات بر اساس شاخص قیمت مصرف کننده. یا و ۳۱ دسامبر ۲۰۱۷ میانگین بالاترین ۳۶ ماه حقوق پایه. وضعیت شغلی ۳۰ هزار دلاری CSB یا REDUX CSB یا گزینه REDUX: پاداش سالانه (CSB) یا گزینه: هر یک از تعدیل‌های هزینه زندگی REDUX در ۲۰ سال اول خدمت، شاخص قیمت مصرف کننده منهای ۱٪ به جای بازنشستگی، ۲٪ ارزش دارد که بر اساس چند برابر بازنشستگی زیر ۳، داده می‌شود.</w:t>
      </w:r>
    </w:p>
    <w:p>
      <w:pPr>
        <w:spacing w:after="28" w:line="216" w:lineRule="auto"/>
        <w:ind w:left="259"/>
        <w:jc w:val="left"/>
      </w:pPr>
      <w:r>
        <w:rPr>
          <w:rFonts w:ascii="Arial" w:hAnsi="Arial"/>
          <w:color w:val="525252"/>
          <w:sz w:val="13"/>
        </w:rPr>
        <w:t>High-3 Entered the service High-3: 2.5% times the High-3: Full inflation protection between 1 August 1986 years of service times based on Consumer Price Index. or and 31 December 2017 the average of the highest 36 months of base pay. $30K Career Status CSB or REDUX CSB or REDUX option: Annual Bonus (CSB) or option: Each of the cost of living adjustments of REDUX first 20 years of service Consumer Price Index minus 1% Instead of retiring is worth 2% toward the are given based upon the under High-3, these retirement multiplier.</w:t>
      </w:r>
    </w:p>
    <w:p>
      <w:pPr>
        <w:spacing w:after="20" w:line="223" w:lineRule="auto"/>
        <w:jc w:val="right"/>
        <w:bidi/>
      </w:pPr>
      <w:r>
        <w:rPr>
          <w:rFonts w:ascii="Arial" w:hAnsi="Arial"/>
          <w:sz w:val="16"/>
        </w:rPr>
        <w:t>194.02  شاخص قیمت مصرف کننده اعضای بالا هر سال بعد از ۲۰ ۳ انتخاب کردند.</w:t>
      </w:r>
    </w:p>
    <w:p>
      <w:pPr>
        <w:spacing w:after="28" w:line="216" w:lineRule="auto"/>
        <w:ind w:left="259"/>
        <w:jc w:val="left"/>
      </w:pPr>
      <w:r>
        <w:rPr>
          <w:rFonts w:ascii="Arial" w:hAnsi="Arial"/>
          <w:color w:val="525252"/>
          <w:sz w:val="13"/>
        </w:rPr>
        <w:t>Consumer Price Index of the High- members chose to Each year after the 20th 3.</w:t>
      </w:r>
    </w:p>
    <w:p>
      <w:pPr>
        <w:spacing w:after="20" w:line="223" w:lineRule="auto"/>
        <w:jc w:val="right"/>
        <w:bidi/>
      </w:pPr>
      <w:r>
        <w:rPr>
          <w:rFonts w:ascii="Arial" w:hAnsi="Arial"/>
          <w:sz w:val="16"/>
        </w:rPr>
        <w:t>194.03  حقوق بازنشستگان با دریافت خدمات ۳۰ هزار دلاری به ارزش ۳.۵% مجددا محاسبه می‌شود.</w:t>
      </w:r>
    </w:p>
    <w:p>
      <w:pPr>
        <w:spacing w:after="28" w:line="216" w:lineRule="auto"/>
        <w:ind w:left="259"/>
        <w:jc w:val="left"/>
      </w:pPr>
      <w:r>
        <w:rPr>
          <w:rFonts w:ascii="Arial" w:hAnsi="Arial"/>
          <w:color w:val="525252"/>
          <w:sz w:val="13"/>
        </w:rPr>
        <w:t>Retired pay is recomputed at receive a $30K Service is worth 3.5%.</w:t>
      </w:r>
    </w:p>
    <w:p>
      <w:pPr>
        <w:spacing w:after="20" w:line="223" w:lineRule="auto"/>
        <w:jc w:val="right"/>
        <w:bidi/>
      </w:pPr>
      <w:r>
        <w:rPr>
          <w:rFonts w:ascii="Arial" w:hAnsi="Arial"/>
          <w:sz w:val="16"/>
        </w:rPr>
        <w:t>194.04  یک سن ۳۰ ساله ۶۲ ساله به طوری که REDUX و پاداش بالا ۳ در ۱۵ سال شغلی محاسبه می‌شود، حقوق بازنشستگی برابر است اما خدمات در ازای ۲٪ برابر ۲۰ سال REDUX تعدیل هزینه زندگی با موافقت به خدمت به اضافه ۳.۵٪ برای ۱۰ سال بیشتر از حداقل ۲۰ سال دیگر، ادامه خواهد یافت. ۱ درصد پنج سال و سپس منجر به حداکثر بازنشستگی کمتر از ۷۵٪.</w:t>
      </w:r>
    </w:p>
    <w:p>
      <w:pPr>
        <w:spacing w:after="28" w:line="216" w:lineRule="auto"/>
        <w:ind w:left="259"/>
        <w:jc w:val="left"/>
      </w:pPr>
      <w:r>
        <w:rPr>
          <w:rFonts w:ascii="Arial" w:hAnsi="Arial"/>
          <w:color w:val="525252"/>
          <w:sz w:val="13"/>
        </w:rPr>
        <w:t>A 30- age 62 so that REDUX and High-3 Bonus at 15 years of year career is computed retirement salaries are equal but service in exchange for by 2% times 20 years REDUX cost of living adjustments agreeing to serve a plus 3.5% for the 10 for later years will continue to be minimum of another years beyond 20, Consumer Price Index minus 1%. five years and then resulting in a maximum retiring under the less of 75%.</w:t>
      </w:r>
    </w:p>
    <w:p>
      <w:pPr>
        <w:spacing w:after="20" w:line="223" w:lineRule="auto"/>
        <w:jc w:val="right"/>
        <w:bidi/>
      </w:pPr>
      <w:r>
        <w:rPr>
          <w:rFonts w:ascii="Arial" w:hAnsi="Arial"/>
          <w:sz w:val="16"/>
        </w:rPr>
        <w:t>194.05  طرح سخاوتمندانه چند برابری REDUX برای میانگین بالاترین ۳۶ ماه حقوق پایه اعضا اعمال می‌شود (نگاه کنید به یادداشت‌های ۶، ۷ و ۸) بازنشستگی ترکیبی ۲.۰% برابر سال‌های حفاظت تورمی کامل بر اساس سیستم (BRS) یا پس از ۱ ژانویه ۱ برابر کونسومر.</w:t>
      </w:r>
    </w:p>
    <w:p>
      <w:pPr>
        <w:spacing w:after="28" w:line="216" w:lineRule="auto"/>
        <w:ind w:left="259"/>
        <w:jc w:val="left"/>
      </w:pPr>
      <w:r>
        <w:rPr>
          <w:rFonts w:ascii="Arial" w:hAnsi="Arial"/>
          <w:color w:val="525252"/>
          <w:sz w:val="13"/>
        </w:rPr>
        <w:t>The multiplier generous REDUX plan is applied to the average of the member’s highest 36 months of basic pay (see Notes 6, 7 and 8) Blended Retirement Entered the service on 2.0% times the years of Full inflation protection based on System (BRS) or after 1 January 2018 service times the Consumer Price Index.</w:t>
      </w:r>
    </w:p>
    <w:p>
      <w:pPr>
        <w:spacing w:after="20" w:line="223" w:lineRule="auto"/>
        <w:jc w:val="right"/>
        <w:bidi/>
      </w:pPr>
      <w:r>
        <w:rPr>
          <w:rFonts w:ascii="Arial" w:hAnsi="Arial"/>
          <w:sz w:val="16"/>
        </w:rPr>
        <w:t>194.06  (به یادداشت‌های ۹، ۱۰، ۱۱، میانگین بالاترین ۱۲ و ۱۳ مراجعه کنید) ۳۶ ماه حقوق پایه (به یادداشت‌های ۶، ۷، و ۸ مراجعه کنید) یادداشت‌ها: ۱.</w:t>
      </w:r>
    </w:p>
    <w:p>
      <w:pPr>
        <w:spacing w:after="28" w:line="216" w:lineRule="auto"/>
        <w:ind w:left="259"/>
        <w:jc w:val="left"/>
      </w:pPr>
      <w:r>
        <w:rPr>
          <w:rFonts w:ascii="Arial" w:hAnsi="Arial"/>
          <w:color w:val="525252"/>
          <w:sz w:val="13"/>
        </w:rPr>
        <w:t>(See Notes 9, 10, 11, average of the highest 12, and 13) 36 months of base pay (see Notes 6, 7, and 8) Notes: 1.</w:t>
      </w:r>
    </w:p>
    <w:p>
      <w:pPr>
        <w:spacing w:after="20" w:line="223" w:lineRule="auto"/>
        <w:jc w:val="right"/>
        <w:bidi/>
      </w:pPr>
      <w:r>
        <w:rPr>
          <w:rFonts w:ascii="Arial" w:hAnsi="Arial"/>
          <w:sz w:val="16"/>
        </w:rPr>
        <w:t>194.07  "تاریخ ورود به خدمت" به معنای تاریخی است که فرد در نیروهای مسلح ثبت‌نام، استخدام یا منصوب شده است.</w:t>
      </w:r>
    </w:p>
    <w:p>
      <w:pPr>
        <w:spacing w:after="28" w:line="216" w:lineRule="auto"/>
        <w:ind w:left="259"/>
        <w:jc w:val="left"/>
      </w:pPr>
      <w:r>
        <w:rPr>
          <w:rFonts w:ascii="Arial" w:hAnsi="Arial"/>
          <w:color w:val="525252"/>
          <w:sz w:val="13"/>
        </w:rPr>
        <w:t>“Date entered service” means the date the person is enlisted, inducted, or appointed with the Armed Forces.</w:t>
      </w:r>
    </w:p>
    <w:p>
      <w:pPr>
        <w:spacing w:after="20" w:line="223" w:lineRule="auto"/>
        <w:jc w:val="right"/>
        <w:bidi/>
      </w:pPr>
      <w:r>
        <w:rPr>
          <w:rFonts w:ascii="Arial" w:hAnsi="Arial"/>
          <w:sz w:val="16"/>
        </w:rPr>
        <w:t>194.08  این شامل افراد در برنامه ورود تاخیری، دانشجویان در آکادمی‌های خدمات، نامزدهای افسری در مدرسه آموزش افسری، دانشجویان ثبت‌نام شده در ARC در برنامه‌های ارشد آموزش افسران ذخیره سپاه یا سایر برنامه‌های کمک مالی، دانشجویان در دانشگاه خدمات متحدالشکل در برنامه‌های بهداشت و درمان حرفه‌ای ارتش و افراد متخصص می‌شود.</w:t>
      </w:r>
    </w:p>
    <w:p>
      <w:pPr>
        <w:spacing w:after="28" w:line="216" w:lineRule="auto"/>
        <w:ind w:left="259"/>
        <w:jc w:val="left"/>
      </w:pPr>
      <w:r>
        <w:rPr>
          <w:rFonts w:ascii="Arial" w:hAnsi="Arial"/>
          <w:color w:val="525252"/>
          <w:sz w:val="13"/>
        </w:rPr>
        <w:t>This includes persons in the Delayed Entry Program, cadets at Service Academies, officer candidates in Officer Training School, students enrolled in an ARC in senior Reserve Officer Training Corps programs or other financial assistance programs, students in the Uniformed Services University of the Health Sciences, and persons in the Armed Forces Health Professions Scholarship program.</w:t>
      </w:r>
    </w:p>
    <w:p>
      <w:pPr>
        <w:spacing w:after="20" w:line="223" w:lineRule="auto"/>
        <w:jc w:val="right"/>
        <w:bidi/>
      </w:pPr>
      <w:r>
        <w:rPr>
          <w:rFonts w:ascii="Arial" w:hAnsi="Arial"/>
          <w:sz w:val="16"/>
        </w:rPr>
        <w:t>194.09  با استفاده از "تاریخ ورود به سرویس"، اعضای اکتیو کومپوننت تحت طرحی که در زمانی که عضو در ابتدا وارد سرویس شد، "بزرگ" شده‌اند.</w:t>
      </w:r>
    </w:p>
    <w:p>
      <w:pPr>
        <w:spacing w:after="28" w:line="216" w:lineRule="auto"/>
        <w:ind w:left="259"/>
        <w:jc w:val="left"/>
      </w:pPr>
      <w:r>
        <w:rPr>
          <w:rFonts w:ascii="Arial" w:hAnsi="Arial"/>
          <w:color w:val="525252"/>
          <w:sz w:val="13"/>
        </w:rPr>
        <w:t>By using “date entered service,” Active Component members have been “grandfathered” under the plan in effect at the time when the member initially entered the service.</w:t>
      </w:r>
    </w:p>
    <w:p>
      <w:pPr>
        <w:spacing w:after="20" w:line="223" w:lineRule="auto"/>
        <w:jc w:val="right"/>
        <w:bidi/>
      </w:pPr>
      <w:r>
        <w:rPr>
          <w:rFonts w:ascii="Arial" w:hAnsi="Arial"/>
          <w:sz w:val="16"/>
        </w:rPr>
        <w:t>194.10  حداکثر ضریب برای ۳۰ سال TAFMS ۷۵٪ برابر پایه حقوق بازنشستگان است. با این حال، اعضایی که بیش از ۳۰ سال خدمت می‌کنند، ۲.۵٪ اضافی در هر سال اضافی دریافت می‌کنند و می‌توانند حداکثر ۱۰۰٪ باشند.</w:t>
      </w:r>
    </w:p>
    <w:p>
      <w:pPr>
        <w:spacing w:after="28" w:line="216" w:lineRule="auto"/>
        <w:ind w:left="259"/>
        <w:jc w:val="left"/>
      </w:pPr>
      <w:r>
        <w:rPr>
          <w:rFonts w:ascii="Arial" w:hAnsi="Arial"/>
          <w:color w:val="525252"/>
          <w:sz w:val="13"/>
        </w:rPr>
        <w:t>The maximum multiplier for 30 years TAFMS is 75% times the retired pay base; however, members who serve beyond 30 years earn an additional 2.5% each additional year and can max out at 100%.</w:t>
      </w:r>
    </w:p>
    <w:p>
      <w:pPr>
        <w:spacing w:after="20" w:line="223" w:lineRule="auto"/>
        <w:jc w:val="right"/>
        <w:bidi/>
      </w:pPr>
      <w:r>
        <w:rPr>
          <w:rFonts w:ascii="Arial" w:hAnsi="Arial"/>
          <w:sz w:val="16"/>
        </w:rPr>
        <w:t>194.11  قانون حمایت از همسران سابق خدمات متحدالشکل به دادگاه‌های ایالتی اجازه می‌دهد حقوق بازنشستگی را به‌عنوان دارایی قابل تقسیم در حل و فصل طلاق در نظر بگیرند.</w:t>
      </w:r>
    </w:p>
    <w:p>
      <w:pPr>
        <w:spacing w:after="28" w:line="216" w:lineRule="auto"/>
        <w:ind w:left="259"/>
        <w:jc w:val="left"/>
      </w:pPr>
      <w:r>
        <w:rPr>
          <w:rFonts w:ascii="Arial" w:hAnsi="Arial"/>
          <w:color w:val="525252"/>
          <w:sz w:val="13"/>
        </w:rPr>
        <w:t>The Uniformed Services Former Spouses Protection Act allows state courts to consider retired pay as divisible property in divorce settlements.</w:t>
      </w:r>
    </w:p>
    <w:p>
      <w:pPr>
        <w:spacing w:after="20" w:line="223" w:lineRule="auto"/>
        <w:jc w:val="right"/>
        <w:bidi/>
      </w:pPr>
      <w:r>
        <w:rPr>
          <w:rFonts w:ascii="Arial" w:hAnsi="Arial"/>
          <w:sz w:val="16"/>
        </w:rPr>
        <w:t>194.12  قانون به دادگاه‌های ایالتی دستور نمی‌دهد که حقوق بازنشستگان را تقسیم کنند. به سادگی به آنها اجازه می‌دهد این کار را انجام دهند.</w:t>
      </w:r>
    </w:p>
    <w:p>
      <w:pPr>
        <w:spacing w:after="28" w:line="216" w:lineRule="auto"/>
        <w:ind w:left="259"/>
        <w:jc w:val="left"/>
      </w:pPr>
      <w:r>
        <w:rPr>
          <w:rFonts w:ascii="Arial" w:hAnsi="Arial"/>
          <w:color w:val="525252"/>
          <w:sz w:val="13"/>
        </w:rPr>
        <w:t>The law does not direct state courts to divide retired pay; it simply permits them to do so.</w:t>
      </w:r>
    </w:p>
    <w:p>
      <w:pPr>
        <w:spacing w:after="20" w:line="223" w:lineRule="auto"/>
        <w:jc w:val="right"/>
        <w:bidi/>
      </w:pPr>
      <w:r>
        <w:rPr>
          <w:rFonts w:ascii="Arial" w:hAnsi="Arial"/>
          <w:sz w:val="16"/>
        </w:rPr>
        <w:t>194.13  حقوق بازنشستگان با فوت بازنشسته متوقف می‌شود.</w:t>
      </w:r>
    </w:p>
    <w:p>
      <w:pPr>
        <w:spacing w:after="28" w:line="216" w:lineRule="auto"/>
        <w:ind w:left="259"/>
        <w:jc w:val="left"/>
      </w:pPr>
      <w:r>
        <w:rPr>
          <w:rFonts w:ascii="Arial" w:hAnsi="Arial"/>
          <w:color w:val="525252"/>
          <w:sz w:val="13"/>
        </w:rPr>
        <w:t>Retired pay stops upon the death of the retiree.</w:t>
      </w:r>
    </w:p>
    <w:p>
      <w:pPr>
        <w:spacing w:after="20" w:line="223" w:lineRule="auto"/>
        <w:jc w:val="right"/>
        <w:bidi/>
      </w:pPr>
      <w:r>
        <w:rPr>
          <w:rFonts w:ascii="Arial" w:hAnsi="Arial"/>
          <w:sz w:val="16"/>
        </w:rPr>
        <w:t>194.14  افسرانی که بازنشسته می‌شوند و شرایط لازم برای بازنشستگی در بالاترین درجه افسر را ندارند (عنوان ۱۰ USC بخش ۱۳۷۰) براساس درجه بازنشستگی (عنوان ۱۰ USC بخش ۱۴۰۷ف) پرداخت می‌شود.</w:t>
      </w:r>
    </w:p>
    <w:p>
      <w:pPr>
        <w:spacing w:after="28" w:line="216" w:lineRule="auto"/>
        <w:ind w:left="259"/>
        <w:jc w:val="left"/>
      </w:pPr>
      <w:r>
        <w:rPr>
          <w:rFonts w:ascii="Arial" w:hAnsi="Arial"/>
          <w:color w:val="525252"/>
          <w:sz w:val="13"/>
        </w:rPr>
        <w:t>Officers who retire and do not meet the requirements to retire in the officer’s highest grade (Title 10 USC Section 1370) will be paid based on the retired grade (Title 10 USC Section 1407f).</w:t>
      </w:r>
    </w:p>
    <w:p>
      <w:pPr>
        <w:spacing w:after="20" w:line="223" w:lineRule="auto"/>
        <w:jc w:val="right"/>
        <w:bidi/>
      </w:pPr>
      <w:r>
        <w:rPr>
          <w:rFonts w:ascii="Arial" w:hAnsi="Arial"/>
          <w:sz w:val="16"/>
        </w:rPr>
        <w:t>194.15  افسران بازنشسته در یک درجه ثبت‌نامی، حقوق اعضا را همانطور که توسط سرویس حسابداری مالی دفاعی (DFAS) تعیین می‌شود، محاسبه می‌کنند.</w:t>
      </w:r>
    </w:p>
    <w:p>
      <w:pPr>
        <w:spacing w:after="28" w:line="216" w:lineRule="auto"/>
        <w:ind w:left="259"/>
        <w:jc w:val="left"/>
      </w:pPr>
      <w:r>
        <w:rPr>
          <w:rFonts w:ascii="Arial" w:hAnsi="Arial"/>
          <w:color w:val="525252"/>
          <w:sz w:val="13"/>
        </w:rPr>
        <w:t>Officers retiring in an enlisted grade will have the member’s pay calculated as determined by Defense Finance Accounting Service (DFAS).</w:t>
      </w:r>
    </w:p>
    <w:p>
      <w:pPr>
        <w:spacing w:after="20" w:line="223" w:lineRule="auto"/>
        <w:jc w:val="right"/>
        <w:bidi/>
      </w:pPr>
      <w:r>
        <w:rPr>
          <w:rFonts w:ascii="Arial" w:hAnsi="Arial"/>
          <w:sz w:val="16"/>
        </w:rPr>
        <w:t>194.16  افسرانی که بازنشسته می‌شوند و شرایط بازنشستگی در بالاترین درجه افسری را ندارند (عنوان ۱۰ USC بخش ۱۳۷۰) بر اساس میانگین ۳۶ ماهه آخر زمان خدمت در درجه بالاتر و زمان خدمت در درجه پایین پرداخت می‌شود.</w:t>
      </w:r>
    </w:p>
    <w:p>
      <w:pPr>
        <w:spacing w:after="28" w:line="216" w:lineRule="auto"/>
        <w:ind w:left="259"/>
        <w:jc w:val="left"/>
      </w:pPr>
      <w:r>
        <w:rPr>
          <w:rFonts w:ascii="Arial" w:hAnsi="Arial"/>
          <w:color w:val="525252"/>
          <w:sz w:val="13"/>
        </w:rPr>
        <w:t>Officers who retire and do not meet the requirements to retire in the officer's highest grade (Title 10 USC Section 1370) will be paid based on the last 36-month average of the time served in the higher grade and the time served in the lower grade.</w:t>
      </w:r>
    </w:p>
    <w:p>
      <w:pPr>
        <w:spacing w:after="20" w:line="223" w:lineRule="auto"/>
        <w:jc w:val="right"/>
        <w:bidi/>
      </w:pPr>
      <w:r>
        <w:rPr>
          <w:rFonts w:ascii="Arial" w:hAnsi="Arial"/>
          <w:sz w:val="16"/>
        </w:rPr>
        <w:t>194.17  استثنا: شامل افسرانی نمی‌شود که در بالاترین درجه به‌طور رضایت‌بخش خدمت نکرده‌اند و چنین تشخیصی نتیجه رفتاری است که پس از ۳۰ اکتبر ۲۰۰۰ رخ داده است (به تبصره ۵ مراجعه کنید).</w:t>
      </w:r>
    </w:p>
    <w:p>
      <w:pPr>
        <w:spacing w:after="28" w:line="216" w:lineRule="auto"/>
        <w:ind w:left="259"/>
        <w:jc w:val="left"/>
      </w:pPr>
      <w:r>
        <w:rPr>
          <w:rFonts w:ascii="Arial" w:hAnsi="Arial"/>
          <w:color w:val="525252"/>
          <w:sz w:val="13"/>
        </w:rPr>
        <w:t>Exception: Does not apply to officers who did not serve satisfactorily in the highest grade and such determination is the result of conduct occurring after 30 October 2000 (See Note 5).</w:t>
      </w:r>
    </w:p>
    <w:p>
      <w:pPr>
        <w:spacing w:after="20" w:line="223" w:lineRule="auto"/>
        <w:jc w:val="right"/>
        <w:bidi/>
      </w:pPr>
      <w:r>
        <w:rPr>
          <w:rFonts w:ascii="Arial" w:hAnsi="Arial"/>
          <w:sz w:val="16"/>
        </w:rPr>
        <w:t>194.18  به اعضای مشمولی که در مدت سه سال به درجه پایین‌تر تنزل یافته و در آن درجه بازنشسته شده‌اند، بر اساس میانگین بالای ۳۶ ماه در مقاطع بالاتر حقوقی دریافت نمی‌شود.</w:t>
      </w:r>
    </w:p>
    <w:p>
      <w:pPr>
        <w:spacing w:after="28" w:line="216" w:lineRule="auto"/>
        <w:ind w:left="259"/>
        <w:jc w:val="left"/>
      </w:pPr>
      <w:r>
        <w:rPr>
          <w:rFonts w:ascii="Arial" w:hAnsi="Arial"/>
          <w:color w:val="525252"/>
          <w:sz w:val="13"/>
        </w:rPr>
        <w:t>Enlisted members demoted to a lower grade within three years and retired in that grade will not be paid based on the high 36-month average in the higher grades.</w:t>
      </w:r>
    </w:p>
    <w:p>
      <w:pPr>
        <w:spacing w:after="20" w:line="223" w:lineRule="auto"/>
        <w:jc w:val="right"/>
        <w:bidi/>
      </w:pPr>
      <w:r>
        <w:rPr>
          <w:rFonts w:ascii="Arial" w:hAnsi="Arial"/>
          <w:sz w:val="16"/>
        </w:rPr>
        <w:t>194.19  حقوق بازنشستگی اعضا با استفاده از درصد ضریب تعیین شده توسط برنامه بازنشستگی قابل اجرا (هیگه-۳، REDUX یا BRS) محاسبه خواهد شد و پایه حقوق بازنشستگی خواهد بود.</w:t>
      </w:r>
    </w:p>
    <w:p>
      <w:pPr>
        <w:spacing w:after="28" w:line="216" w:lineRule="auto"/>
        <w:ind w:left="259"/>
        <w:jc w:val="left"/>
      </w:pPr>
      <w:r>
        <w:rPr>
          <w:rFonts w:ascii="Arial" w:hAnsi="Arial"/>
          <w:color w:val="525252"/>
          <w:sz w:val="13"/>
        </w:rPr>
        <w:t>The member’s retired pay will be calculated using the multiplier percentage determined by the applicable retirement plan (High-3, REDUX or BRS) and the retirement pay base will</w:t>
      </w:r>
    </w:p>
    <w:p>
      <w:r>
        <w:br w:type="page"/>
      </w:r>
    </w:p>
    <w:p>
      <w:pPr>
        <w:spacing w:after="60"/>
        <w:jc w:val="right"/>
        <w:bidi/>
      </w:pPr>
      <w:r>
        <w:rPr>
          <w:rFonts w:ascii="Arial" w:hAnsi="Arial"/>
          <w:b/>
          <w:color w:val="1F4D78"/>
          <w:sz w:val="19"/>
        </w:rPr>
        <w:t>هفتهٔ 195  |  صفحهٔ منبع: 211</w:t>
      </w:r>
    </w:p>
    <w:p>
      <w:pPr>
        <w:spacing w:after="20" w:line="223" w:lineRule="auto"/>
        <w:jc w:val="right"/>
        <w:bidi/>
      </w:pPr>
      <w:r>
        <w:rPr>
          <w:rFonts w:ascii="Arial" w:hAnsi="Arial"/>
          <w:sz w:val="16"/>
        </w:rPr>
        <w:t>195.01  تحت نرخ دستمزد پایه نهایی برای درجه پایین محاسبه می‌شود.</w:t>
      </w:r>
    </w:p>
    <w:p>
      <w:pPr>
        <w:spacing w:after="28" w:line="216" w:lineRule="auto"/>
        <w:ind w:left="259"/>
        <w:jc w:val="left"/>
      </w:pPr>
      <w:r>
        <w:rPr>
          <w:rFonts w:ascii="Arial" w:hAnsi="Arial"/>
          <w:color w:val="525252"/>
          <w:sz w:val="13"/>
        </w:rPr>
        <w:t>be calculated under final basic pay rate for the lower grade.</w:t>
      </w:r>
    </w:p>
    <w:p>
      <w:pPr>
        <w:spacing w:after="20" w:line="223" w:lineRule="auto"/>
        <w:jc w:val="right"/>
        <w:bidi/>
      </w:pPr>
      <w:r>
        <w:rPr>
          <w:rFonts w:ascii="Arial" w:hAnsi="Arial"/>
          <w:sz w:val="16"/>
        </w:rPr>
        <w:t>195.02  هنگامی که خدمت فعال یک عضو ثبت‌نام شده به خدمات فهرست بازنشستگان اضافه می‌شود، مجموعا ۳۰ سال می‌شود، ممکن است عضو (در فهرست بازنشستگان) پیشرفت کند و حقوق بازنشستگی را در بالاترین درجه رضایت‌بخش در AD دریافت کند، همانطور که توسط سکاف یا منصوب تعیین شده است (عنوان ۱۰ USC بخش ۹۳۴۴).</w:t>
      </w:r>
    </w:p>
    <w:p>
      <w:pPr>
        <w:spacing w:after="28" w:line="216" w:lineRule="auto"/>
        <w:ind w:left="259"/>
        <w:jc w:val="left"/>
      </w:pPr>
      <w:r>
        <w:rPr>
          <w:rFonts w:ascii="Arial" w:hAnsi="Arial"/>
          <w:color w:val="525252"/>
          <w:sz w:val="13"/>
        </w:rPr>
        <w:t>When an enlisted member’s active service added to retired list service totals 30 years, the member may be advanced (on the retired list) and receive retired pay in the highest grade satisfactorily held on AD, as determined by the SecAF or designee (Title 10 USC Section 9344).</w:t>
      </w:r>
    </w:p>
    <w:p>
      <w:pPr>
        <w:spacing w:after="20" w:line="223" w:lineRule="auto"/>
        <w:jc w:val="right"/>
        <w:bidi/>
      </w:pPr>
      <w:r>
        <w:rPr>
          <w:rFonts w:ascii="Arial" w:hAnsi="Arial"/>
          <w:sz w:val="16"/>
        </w:rPr>
        <w:t>195.03  افسرانی که از کمیسیون‌های افسری استعفا می‌دهند و در وضعیت سربازی بازنشسته می‌شوند، حقوق بازنشستگی مطابق با عنوان ۱۰ USC بخش ۱۴۰۷ محاسبه شده است.</w:t>
      </w:r>
    </w:p>
    <w:p>
      <w:pPr>
        <w:spacing w:after="28" w:line="216" w:lineRule="auto"/>
        <w:ind w:left="259"/>
        <w:jc w:val="left"/>
      </w:pPr>
      <w:r>
        <w:rPr>
          <w:rFonts w:ascii="Arial" w:hAnsi="Arial"/>
          <w:color w:val="525252"/>
          <w:sz w:val="13"/>
        </w:rPr>
        <w:t>Officers who resign officer commissions and retire in enlisted status will have retired pay calculated in accordance with Title 10 USC Section 1407e.</w:t>
      </w:r>
    </w:p>
    <w:p>
      <w:pPr>
        <w:spacing w:after="20" w:line="223" w:lineRule="auto"/>
        <w:jc w:val="right"/>
        <w:bidi/>
      </w:pPr>
      <w:r>
        <w:rPr>
          <w:rFonts w:ascii="Arial" w:hAnsi="Arial"/>
          <w:sz w:val="16"/>
        </w:rPr>
        <w:t>195.04  DFAS برای محاسبه میانگین بالای ۳۶ ماهه مورد نیاز است، گویی که عضو در ۳۶ ماه گذشته خدمت فعال دارای نمره بازنشسته بوده است.</w:t>
      </w:r>
    </w:p>
    <w:p>
      <w:pPr>
        <w:spacing w:after="28" w:line="216" w:lineRule="auto"/>
        <w:ind w:left="259"/>
        <w:jc w:val="left"/>
      </w:pPr>
      <w:r>
        <w:rPr>
          <w:rFonts w:ascii="Arial" w:hAnsi="Arial"/>
          <w:color w:val="525252"/>
          <w:sz w:val="13"/>
        </w:rPr>
        <w:t>DFAS is required to calculate the high-36 month average as if the member held the retired grade for the last 36 months of active service.</w:t>
      </w:r>
    </w:p>
    <w:p>
      <w:pPr>
        <w:spacing w:after="20" w:line="223" w:lineRule="auto"/>
        <w:jc w:val="right"/>
        <w:bidi/>
      </w:pPr>
      <w:r>
        <w:rPr>
          <w:rFonts w:ascii="Arial" w:hAnsi="Arial"/>
          <w:sz w:val="16"/>
        </w:rPr>
        <w:t>195.05  اعضایی که قبل از ۱ ژانویه ۲۰۱۸ وارد خدمت می‌شوند و کمتر از ۱۲ سال سابقه خدمت (محاسبه از تاریخ پرداخت) یا کمتر از ۴۳۲۰ امتیاز بازنشستگی (برای اعضای ARC) تا ۳۱ دسامبر ۲۰۱۷ دارند، می‌توانند در BRS ثبت‌نام کنند.</w:t>
      </w:r>
    </w:p>
    <w:p>
      <w:pPr>
        <w:spacing w:after="28" w:line="216" w:lineRule="auto"/>
        <w:ind w:left="259"/>
        <w:jc w:val="left"/>
      </w:pPr>
      <w:r>
        <w:rPr>
          <w:rFonts w:ascii="Arial" w:hAnsi="Arial"/>
          <w:color w:val="525252"/>
          <w:sz w:val="13"/>
        </w:rPr>
        <w:t>Members entering the service prior to 1 January 2018, who have less than 12 years of service (calculated from the pay date) or less than 4,320 retirement points (for ARC members) as of 31 December 2017, may enroll in the BRS.</w:t>
      </w:r>
    </w:p>
    <w:p>
      <w:pPr>
        <w:spacing w:after="20" w:line="223" w:lineRule="auto"/>
        <w:jc w:val="right"/>
        <w:bidi/>
      </w:pPr>
      <w:r>
        <w:rPr>
          <w:rFonts w:ascii="Arial" w:hAnsi="Arial"/>
          <w:sz w:val="16"/>
        </w:rPr>
        <w:t>195.06  ۱۰.</w:t>
      </w:r>
    </w:p>
    <w:p>
      <w:pPr>
        <w:spacing w:after="28" w:line="216" w:lineRule="auto"/>
        <w:ind w:left="259"/>
        <w:jc w:val="left"/>
      </w:pPr>
      <w:r>
        <w:rPr>
          <w:rFonts w:ascii="Arial" w:hAnsi="Arial"/>
          <w:color w:val="525252"/>
          <w:sz w:val="13"/>
        </w:rPr>
        <w:t>10.</w:t>
      </w:r>
    </w:p>
    <w:p>
      <w:pPr>
        <w:spacing w:after="20" w:line="223" w:lineRule="auto"/>
        <w:jc w:val="right"/>
        <w:bidi/>
      </w:pPr>
      <w:r>
        <w:rPr>
          <w:rFonts w:ascii="Arial" w:hAnsi="Arial"/>
          <w:sz w:val="16"/>
        </w:rPr>
        <w:t>195.07  اعضای برنامه ورود تاخیری، دانشجویان در آکادمی‌های خدمات، نامزدهای افسری در مدرسه آموزش افسری، دانش‌آموزانی که در ARC در برنامه‌های ارشد آموزش افسران ذخیره ثبت‌نام کرده اند، که قبل از ۱ ژانویه ۲۰۱۸ وارد خدمت می‌شوند، می‌توانند در BRS پس از راه‌اندازی/اککسس ثبت‌نام کنند.</w:t>
      </w:r>
    </w:p>
    <w:p>
      <w:pPr>
        <w:spacing w:after="28" w:line="216" w:lineRule="auto"/>
        <w:ind w:left="259"/>
        <w:jc w:val="left"/>
      </w:pPr>
      <w:r>
        <w:rPr>
          <w:rFonts w:ascii="Arial" w:hAnsi="Arial"/>
          <w:color w:val="525252"/>
          <w:sz w:val="13"/>
        </w:rPr>
        <w:t>Members in the Delayed Entry Program, cadets at Service Academies, officer candidates in Officer Training School, students enrolled in an ARC in senior Reserve Officer Training Corps programs, entering the service prior to 1 January 2018, may enroll in the BRS following commissioning/accession into AD.</w:t>
      </w:r>
    </w:p>
    <w:p>
      <w:pPr>
        <w:spacing w:after="20" w:line="223" w:lineRule="auto"/>
        <w:jc w:val="right"/>
        <w:bidi/>
      </w:pPr>
      <w:r>
        <w:rPr>
          <w:rFonts w:ascii="Arial" w:hAnsi="Arial"/>
          <w:sz w:val="16"/>
        </w:rPr>
        <w:t>195.08  اعضایی که پس از ۲ دسامبر ۲۰۱۸ به AD راه‌اندازی شده‌اند یا به آنها دسترسی پیدا کرده‌اند ۳۰ روز از زمان راه‌اندازی/ورود به AD فرصت دارند تا در BRS ثبت‌نام کنند.</w:t>
      </w:r>
    </w:p>
    <w:p>
      <w:pPr>
        <w:spacing w:after="28" w:line="216" w:lineRule="auto"/>
        <w:ind w:left="259"/>
        <w:jc w:val="left"/>
      </w:pPr>
      <w:r>
        <w:rPr>
          <w:rFonts w:ascii="Arial" w:hAnsi="Arial"/>
          <w:color w:val="525252"/>
          <w:sz w:val="13"/>
        </w:rPr>
        <w:t>Members commissioned or accessed AD after 2 December 2018 have 30 days from commissioning/entry into AD to enroll in the BRS.</w:t>
      </w:r>
    </w:p>
    <w:p>
      <w:pPr>
        <w:spacing w:after="20" w:line="223" w:lineRule="auto"/>
        <w:jc w:val="right"/>
        <w:bidi/>
      </w:pPr>
      <w:r>
        <w:rPr>
          <w:rFonts w:ascii="Arial" w:hAnsi="Arial"/>
          <w:sz w:val="16"/>
        </w:rPr>
        <w:t>195.09  ۱۱.</w:t>
      </w:r>
    </w:p>
    <w:p>
      <w:pPr>
        <w:spacing w:after="28" w:line="216" w:lineRule="auto"/>
        <w:ind w:left="259"/>
        <w:jc w:val="left"/>
      </w:pPr>
      <w:r>
        <w:rPr>
          <w:rFonts w:ascii="Arial" w:hAnsi="Arial"/>
          <w:color w:val="525252"/>
          <w:sz w:val="13"/>
        </w:rPr>
        <w:t>11.</w:t>
      </w:r>
    </w:p>
    <w:p>
      <w:pPr>
        <w:spacing w:after="20" w:line="223" w:lineRule="auto"/>
        <w:jc w:val="right"/>
        <w:bidi/>
      </w:pPr>
      <w:r>
        <w:rPr>
          <w:rFonts w:ascii="Arial" w:hAnsi="Arial"/>
          <w:sz w:val="16"/>
        </w:rPr>
        <w:t>195.10  اعضای دارای وقفه در خدمت با ورود مجدد به AD یا ذخیره انتخابی در یا بعد از ۱ ژانویه ۲۰۱۹، که در ابتدا قبل از ۱ ژانویه ۲۰۱۸ وارد خدمت شده‌اند و کمتر از ۱۲ سال سابقه خدمت (محاسبه‌شده از تاریخ پرداخت) یا کمتر از ۴۳۲۰ امتیاز بازنشستگی برای اعضای ARC در ۳۰ روز پس از ثبت‌نام مجدد دارند.</w:t>
      </w:r>
    </w:p>
    <w:p>
      <w:pPr>
        <w:spacing w:after="28" w:line="216" w:lineRule="auto"/>
        <w:ind w:left="259"/>
        <w:jc w:val="left"/>
      </w:pPr>
      <w:r>
        <w:rPr>
          <w:rFonts w:ascii="Arial" w:hAnsi="Arial"/>
          <w:color w:val="525252"/>
          <w:sz w:val="13"/>
        </w:rPr>
        <w:t>Members with breaks in service reentering AD or the selected reserve on or after 1 January 2019, who originally entered the service prior to 1 January 2018, and have less than 12 years of service (calculated from the pay date) or less than 4,320 retirement points for ARC members as of reentry, may enroll in the BRS within 30 days of reentry.</w:t>
      </w:r>
    </w:p>
    <w:p>
      <w:pPr>
        <w:spacing w:after="20" w:line="223" w:lineRule="auto"/>
        <w:jc w:val="right"/>
        <w:bidi/>
      </w:pPr>
      <w:r>
        <w:rPr>
          <w:rFonts w:ascii="Arial" w:hAnsi="Arial"/>
          <w:sz w:val="16"/>
        </w:rPr>
        <w:t>195.11  ۱۲.</w:t>
      </w:r>
    </w:p>
    <w:p>
      <w:pPr>
        <w:spacing w:after="28" w:line="216" w:lineRule="auto"/>
        <w:ind w:left="259"/>
        <w:jc w:val="left"/>
      </w:pPr>
      <w:r>
        <w:rPr>
          <w:rFonts w:ascii="Arial" w:hAnsi="Arial"/>
          <w:color w:val="525252"/>
          <w:sz w:val="13"/>
        </w:rPr>
        <w:t>12.</w:t>
      </w:r>
    </w:p>
    <w:p>
      <w:pPr>
        <w:spacing w:after="20" w:line="223" w:lineRule="auto"/>
        <w:jc w:val="right"/>
        <w:bidi/>
      </w:pPr>
      <w:r>
        <w:rPr>
          <w:rFonts w:ascii="Arial" w:hAnsi="Arial"/>
          <w:sz w:val="16"/>
        </w:rPr>
        <w:t>195.12  اعضای ثبت‌نام شده در BRS یک طرح پس انداز صرفه جویی ایجاد خواهند کرد که شامل کمک‌های دولتی خودکار و منطبق است.</w:t>
      </w:r>
    </w:p>
    <w:p>
      <w:pPr>
        <w:spacing w:after="28" w:line="216" w:lineRule="auto"/>
        <w:ind w:left="259"/>
        <w:jc w:val="left"/>
      </w:pPr>
      <w:r>
        <w:rPr>
          <w:rFonts w:ascii="Arial" w:hAnsi="Arial"/>
          <w:color w:val="525252"/>
          <w:sz w:val="13"/>
        </w:rPr>
        <w:t>Members enrolled in the BRS will have a Thrift Savings Plan established that includes automatic and matching government contributions.</w:t>
      </w:r>
    </w:p>
    <w:p>
      <w:pPr>
        <w:spacing w:after="20" w:line="223" w:lineRule="auto"/>
        <w:jc w:val="right"/>
        <w:bidi/>
      </w:pPr>
      <w:r>
        <w:rPr>
          <w:rFonts w:ascii="Arial" w:hAnsi="Arial"/>
          <w:sz w:val="16"/>
        </w:rPr>
        <w:t>195.13  وزارت دفاع یک درصد از پرداخت پایه را پس از ۶۰ روز خدمت (محاسبه از تاریخ پرداخت) به صورت خودکار شروع می‌کند.</w:t>
      </w:r>
    </w:p>
    <w:p>
      <w:pPr>
        <w:spacing w:after="28" w:line="216" w:lineRule="auto"/>
        <w:ind w:left="259"/>
        <w:jc w:val="left"/>
      </w:pPr>
      <w:r>
        <w:rPr>
          <w:rFonts w:ascii="Arial" w:hAnsi="Arial"/>
          <w:color w:val="525252"/>
          <w:sz w:val="13"/>
        </w:rPr>
        <w:t>DoD begins an automatic contribution of one percent of base pay after 60 days of service (calculated from pay date).</w:t>
      </w:r>
    </w:p>
    <w:p>
      <w:pPr>
        <w:spacing w:after="20" w:line="223" w:lineRule="auto"/>
        <w:jc w:val="right"/>
        <w:bidi/>
      </w:pPr>
      <w:r>
        <w:rPr>
          <w:rFonts w:ascii="Arial" w:hAnsi="Arial"/>
          <w:sz w:val="16"/>
        </w:rPr>
        <w:t>195.14  وزارت دفاع شروع به تطبیق مشارکت‌ها تا چهار درصد اضافی از دستمزد پایه پس از ۲ سال خدمت (محاسبه از تاریخ پرداخت) می‌کند.</w:t>
      </w:r>
    </w:p>
    <w:p>
      <w:pPr>
        <w:spacing w:after="28" w:line="216" w:lineRule="auto"/>
        <w:ind w:left="259"/>
        <w:jc w:val="left"/>
      </w:pPr>
      <w:r>
        <w:rPr>
          <w:rFonts w:ascii="Arial" w:hAnsi="Arial"/>
          <w:color w:val="525252"/>
          <w:sz w:val="13"/>
        </w:rPr>
        <w:t>DoD begins matching contributions up to an additional four percent of base pay after 2 years of service (calculated from pay date).</w:t>
      </w:r>
    </w:p>
    <w:p>
      <w:pPr>
        <w:spacing w:after="20" w:line="223" w:lineRule="auto"/>
        <w:jc w:val="right"/>
        <w:bidi/>
      </w:pPr>
      <w:r>
        <w:rPr>
          <w:rFonts w:ascii="Arial" w:hAnsi="Arial"/>
          <w:sz w:val="16"/>
        </w:rPr>
        <w:t>195.15  مشارکت خودکار و منطبق تا زمانی که عضو جدا شود، بازنشسته شود یا ۲۶ سال خدمت را تکمیل کند (محاسبه از تاریخ پرداخت) ادامه دارد.</w:t>
      </w:r>
    </w:p>
    <w:p>
      <w:pPr>
        <w:spacing w:after="28" w:line="216" w:lineRule="auto"/>
        <w:ind w:left="259"/>
        <w:jc w:val="left"/>
      </w:pPr>
      <w:r>
        <w:rPr>
          <w:rFonts w:ascii="Arial" w:hAnsi="Arial"/>
          <w:color w:val="525252"/>
          <w:sz w:val="13"/>
        </w:rPr>
        <w:t>Automatic and matching contributions continue until the member separates, retires, or completes 26 years of service (calculated from pay date).</w:t>
      </w:r>
    </w:p>
    <w:p>
      <w:pPr>
        <w:spacing w:after="20" w:line="223" w:lineRule="auto"/>
        <w:jc w:val="right"/>
        <w:bidi/>
      </w:pPr>
      <w:r>
        <w:rPr>
          <w:rFonts w:ascii="Arial" w:hAnsi="Arial"/>
          <w:sz w:val="16"/>
        </w:rPr>
        <w:t>195.16  برای اعضای ثبت‌نام در BRS همانطور که در یادداشت‌های ۹ تا ۱۱ ذکر شده است، کمک‌های دولتی دوره پرداخت پس از ثبت‌نام را آغاز می‌کند.</w:t>
      </w:r>
    </w:p>
    <w:p>
      <w:pPr>
        <w:spacing w:after="28" w:line="216" w:lineRule="auto"/>
        <w:ind w:left="259"/>
        <w:jc w:val="left"/>
      </w:pPr>
      <w:r>
        <w:rPr>
          <w:rFonts w:ascii="Arial" w:hAnsi="Arial"/>
          <w:color w:val="525252"/>
          <w:sz w:val="13"/>
        </w:rPr>
        <w:t>For members enrolling in BRS as outlined in Notes 9 through 11, government contributions begin the pay period following enrollment.</w:t>
      </w:r>
    </w:p>
    <w:p>
      <w:pPr>
        <w:spacing w:after="20" w:line="223" w:lineRule="auto"/>
        <w:jc w:val="right"/>
        <w:bidi/>
      </w:pPr>
      <w:r>
        <w:rPr>
          <w:rFonts w:ascii="Arial" w:hAnsi="Arial"/>
          <w:sz w:val="16"/>
        </w:rPr>
        <w:t>195.17  ۱۳.</w:t>
      </w:r>
    </w:p>
    <w:p>
      <w:pPr>
        <w:spacing w:after="28" w:line="216" w:lineRule="auto"/>
        <w:ind w:left="259"/>
        <w:jc w:val="left"/>
      </w:pPr>
      <w:r>
        <w:rPr>
          <w:rFonts w:ascii="Arial" w:hAnsi="Arial"/>
          <w:color w:val="525252"/>
          <w:sz w:val="13"/>
        </w:rPr>
        <w:t>13.</w:t>
      </w:r>
    </w:p>
    <w:p>
      <w:pPr>
        <w:spacing w:after="20" w:line="223" w:lineRule="auto"/>
        <w:jc w:val="right"/>
        <w:bidi/>
      </w:pPr>
      <w:r>
        <w:rPr>
          <w:rFonts w:ascii="Arial" w:hAnsi="Arial"/>
          <w:sz w:val="16"/>
        </w:rPr>
        <w:t>195.18  هوانوردانی که تحت قوانین BRS بازنشسته می‌شوند، واجد شرایط پرداخت مبلغ یکجا برای بخشی از حقوق بازنشستگی هواپیمای هوایی هستند.</w:t>
      </w:r>
    </w:p>
    <w:p>
      <w:pPr>
        <w:spacing w:after="28" w:line="216" w:lineRule="auto"/>
        <w:ind w:left="259"/>
        <w:jc w:val="left"/>
      </w:pPr>
      <w:r>
        <w:rPr>
          <w:rFonts w:ascii="Arial" w:hAnsi="Arial"/>
          <w:color w:val="525252"/>
          <w:sz w:val="13"/>
        </w:rPr>
        <w:t>Airmen retiring under the BRS are eligible to elect a lump sum payment of a portion of the Airman’s retirement pay.</w:t>
      </w:r>
    </w:p>
    <w:p>
      <w:pPr>
        <w:spacing w:after="20" w:line="223" w:lineRule="auto"/>
        <w:jc w:val="right"/>
        <w:bidi/>
      </w:pPr>
      <w:r>
        <w:rPr>
          <w:rFonts w:ascii="Arial" w:hAnsi="Arial"/>
          <w:sz w:val="16"/>
        </w:rPr>
        <w:t>195.19  درخواست‌ها برای انتخاب مبلغ یکجا در فرم DD ۲۶۵۶، داده‌های پرداخت پرسنل بازنشسته ثبت شده‌اند، و باید حداکثر تا ۹۰ روز قبل از تاریخ بازنشستگی هواپیمایی برای بازنشستگی عادی یا تاریخی که هواپیمای مشمول اولین بازنشستگی غیرقانونی است، به مرجع تأیید بازنشستگی ارسال شود. برنامه</w:t>
      </w:r>
    </w:p>
    <w:p>
      <w:pPr>
        <w:spacing w:after="28" w:line="216" w:lineRule="auto"/>
        <w:ind w:left="259"/>
        <w:jc w:val="left"/>
      </w:pPr>
      <w:r>
        <w:rPr>
          <w:rFonts w:ascii="Arial" w:hAnsi="Arial"/>
          <w:color w:val="525252"/>
          <w:sz w:val="13"/>
        </w:rPr>
        <w:t>Requests for the lump sum election are documented on the DD Form 2656, Data for Payment of Retired Personnel, and must be submitted to the retirement approval authority no later than 90 days prior to the Airman’s retirement effective date for regular retirement or the date upon which the Airman first becomes eligible to receive retired pay under the non-regular retirement program.</w:t>
      </w:r>
    </w:p>
    <w:p>
      <w:pPr>
        <w:spacing w:after="20" w:line="223" w:lineRule="auto"/>
        <w:jc w:val="right"/>
        <w:bidi/>
      </w:pPr>
      <w:r>
        <w:rPr>
          <w:rFonts w:ascii="Arial" w:hAnsi="Arial"/>
          <w:sz w:val="16"/>
        </w:rPr>
        <w:t>195.20  مرجع تأیید بازنشستگی در زمان درخواست بازنشستگی یا ۹۰ روز قبل از واجد شرایط بودن هوانیروز برای دریافت حقوق بازنشستگی، انتخاب مقطوع را به پروازدار اطلاع می‌دهد.</w:t>
      </w:r>
    </w:p>
    <w:p>
      <w:pPr>
        <w:spacing w:after="28" w:line="216" w:lineRule="auto"/>
        <w:ind w:left="259"/>
        <w:jc w:val="left"/>
      </w:pPr>
      <w:r>
        <w:rPr>
          <w:rFonts w:ascii="Arial" w:hAnsi="Arial"/>
          <w:color w:val="525252"/>
          <w:sz w:val="13"/>
        </w:rPr>
        <w:t>The retirement approval authority will notify the Airman of the lump sum election at the time of retirement application or 90 days prior to the Airman’s eligibility to receive retired pay.</w:t>
      </w:r>
    </w:p>
    <w:p>
      <w:pPr>
        <w:spacing w:after="20" w:line="223" w:lineRule="auto"/>
        <w:jc w:val="right"/>
        <w:bidi/>
      </w:pPr>
      <w:r>
        <w:rPr>
          <w:rFonts w:ascii="Arial" w:hAnsi="Arial"/>
          <w:sz w:val="16"/>
        </w:rPr>
        <w:t>195.21  مسافران این امکان را دارند که مبلغ یکجا را تا چهار قسط سالانه دریافت کنند.</w:t>
      </w:r>
    </w:p>
    <w:p>
      <w:pPr>
        <w:spacing w:after="28" w:line="216" w:lineRule="auto"/>
        <w:ind w:left="259"/>
        <w:jc w:val="left"/>
      </w:pPr>
      <w:r>
        <w:rPr>
          <w:rFonts w:ascii="Arial" w:hAnsi="Arial"/>
          <w:color w:val="525252"/>
          <w:sz w:val="13"/>
        </w:rPr>
        <w:t>Airmen have the option of receiving the lump sum payment in up to four annual installments.</w:t>
      </w:r>
    </w:p>
    <w:p>
      <w:pPr>
        <w:spacing w:after="20" w:line="223" w:lineRule="auto"/>
        <w:jc w:val="right"/>
        <w:bidi/>
      </w:pPr>
      <w:r>
        <w:rPr>
          <w:rFonts w:ascii="Arial" w:hAnsi="Arial"/>
          <w:sz w:val="16"/>
        </w:rPr>
        <w:t>195.22  پذیرش پرداخت مبلغ یکجا بر واجد شرایط بودن هوانورد برای انتخاب طرح مزایای بازمانده (SBP) تأثیری ندارد. با این حال، ممکن است جبران‌های لازم یا سایر ملاحظات مربوط به حقوق از کارافتادگی و سایر مزایای وزارت امور جانبازان وجود داشته باشد.</w:t>
      </w:r>
    </w:p>
    <w:p>
      <w:pPr>
        <w:spacing w:after="28" w:line="216" w:lineRule="auto"/>
        <w:ind w:left="259"/>
        <w:jc w:val="left"/>
      </w:pPr>
      <w:r>
        <w:rPr>
          <w:rFonts w:ascii="Arial" w:hAnsi="Arial"/>
          <w:color w:val="525252"/>
          <w:sz w:val="13"/>
        </w:rPr>
        <w:t>Acceptance of the lump sum payment does not impact an Airman’s eligibility to elect Survivor Benefit Plan (SBP); however, there may be required offsets or other considerations related to disability pay and other benefits from the Department of Veterans’ Affairs.</w:t>
      </w:r>
    </w:p>
    <w:p>
      <w:pPr>
        <w:spacing w:after="20" w:line="223" w:lineRule="auto"/>
        <w:jc w:val="right"/>
        <w:bidi/>
      </w:pPr>
      <w:r>
        <w:rPr>
          <w:rFonts w:ascii="Arial" w:hAnsi="Arial"/>
          <w:sz w:val="16"/>
        </w:rPr>
        <w:t>195.23  هوانوردان باید قبل از انتخابات از مرکز آمادگی نظامی و خانواده (م&amp;FRC) مشاوره بگیرند.</w:t>
      </w:r>
    </w:p>
    <w:p>
      <w:pPr>
        <w:spacing w:after="28" w:line="216" w:lineRule="auto"/>
        <w:ind w:left="259"/>
        <w:jc w:val="left"/>
      </w:pPr>
      <w:r>
        <w:rPr>
          <w:rFonts w:ascii="Arial" w:hAnsi="Arial"/>
          <w:color w:val="525252"/>
          <w:sz w:val="13"/>
        </w:rPr>
        <w:t>Airmen should seek counseling from the Military and Family Readiness Center (M&amp;FRC) prior to election.</w:t>
      </w:r>
    </w:p>
    <w:p>
      <w:pPr>
        <w:spacing w:before="60" w:after="28"/>
        <w:jc w:val="right"/>
        <w:bidi/>
      </w:pPr>
      <w:r>
        <w:rPr>
          <w:b/>
          <w:color w:val="1F4D78"/>
          <w:sz w:val="18"/>
        </w:rPr>
        <w:t>جدول 11.1. طرح های پرداخت بازنشستگی</w:t>
      </w:r>
    </w:p>
    <w:p>
      <w:pPr>
        <w:spacing w:after="20"/>
        <w:ind w:left="259"/>
        <w:jc w:val="left"/>
      </w:pPr>
      <w:r>
        <w:rPr>
          <w:color w:val="555555"/>
          <w:sz w:val="12"/>
        </w:rPr>
        <w:t>Table 11.1. Retirement Pay Plans.</w:t>
      </w:r>
    </w:p>
    <w:p>
      <w:pPr>
        <w:spacing w:before="60" w:after="28"/>
        <w:jc w:val="right"/>
        <w:bidi/>
      </w:pPr>
      <w:r>
        <w:rPr>
          <w:b/>
          <w:color w:val="1F4D78"/>
          <w:sz w:val="18"/>
        </w:rPr>
        <w:t>11.9. طرح مزایای بازماندگان</w:t>
      </w:r>
    </w:p>
    <w:p>
      <w:pPr>
        <w:spacing w:after="20"/>
        <w:ind w:left="259"/>
        <w:jc w:val="left"/>
      </w:pPr>
      <w:r>
        <w:rPr>
          <w:color w:val="555555"/>
          <w:sz w:val="12"/>
        </w:rPr>
        <w:t>11.9. Survivor Benefit Plan</w:t>
      </w:r>
    </w:p>
    <w:p>
      <w:pPr>
        <w:spacing w:after="20" w:line="223" w:lineRule="auto"/>
        <w:jc w:val="right"/>
        <w:bidi/>
      </w:pPr>
      <w:r>
        <w:rPr>
          <w:rFonts w:ascii="Arial" w:hAnsi="Arial"/>
          <w:sz w:val="16"/>
        </w:rPr>
        <w:t>195.26  حقوق نظامی با فوت یکی از اعضا متوقف می‌شود.</w:t>
      </w:r>
    </w:p>
    <w:p>
      <w:pPr>
        <w:spacing w:after="28" w:line="216" w:lineRule="auto"/>
        <w:ind w:left="259"/>
        <w:jc w:val="left"/>
      </w:pPr>
      <w:r>
        <w:rPr>
          <w:rFonts w:ascii="Arial" w:hAnsi="Arial"/>
          <w:color w:val="525252"/>
          <w:sz w:val="13"/>
        </w:rPr>
        <w:t>Military pay stops when a member dies.</w:t>
      </w:r>
    </w:p>
    <w:p>
      <w:pPr>
        <w:spacing w:after="20" w:line="223" w:lineRule="auto"/>
        <w:jc w:val="right"/>
        <w:bidi/>
      </w:pPr>
      <w:r>
        <w:rPr>
          <w:rFonts w:ascii="Arial" w:hAnsi="Arial"/>
          <w:sz w:val="16"/>
        </w:rPr>
        <w:t>195.27  طرح مزایای بازمانده درآمد ماهانه برای بازماندگان پرسنل نظامی بازنشسته پس از مرگ عضو فراهم می‌کند.</w:t>
      </w:r>
    </w:p>
    <w:p>
      <w:pPr>
        <w:spacing w:after="28" w:line="216" w:lineRule="auto"/>
        <w:ind w:left="259"/>
        <w:jc w:val="left"/>
      </w:pPr>
      <w:r>
        <w:rPr>
          <w:rFonts w:ascii="Arial" w:hAnsi="Arial"/>
          <w:color w:val="525252"/>
          <w:sz w:val="13"/>
        </w:rPr>
        <w:t>The survivor benefit plan provides a monthly income to survivors of retired military personnel upon the member’s death.</w:t>
      </w:r>
    </w:p>
    <w:p>
      <w:pPr>
        <w:spacing w:after="20" w:line="223" w:lineRule="auto"/>
        <w:jc w:val="right"/>
        <w:bidi/>
      </w:pPr>
      <w:r>
        <w:rPr>
          <w:rFonts w:ascii="Arial" w:hAnsi="Arial"/>
          <w:sz w:val="16"/>
        </w:rPr>
        <w:t>195.28  طرح مزایای بازمانده یک برنامه دولتی برای اعضای بازنشسته است تا اطمینان حاصل شود که بازماندگان واجد شرایط آنها بخشی از حقوق بازنشستگی نظامی خود را به‌عنوان مستمری ماهانه پس از مرگ دریافت می‌کنند.</w:t>
      </w:r>
    </w:p>
    <w:p>
      <w:pPr>
        <w:spacing w:after="28" w:line="216" w:lineRule="auto"/>
        <w:ind w:left="259"/>
        <w:jc w:val="left"/>
      </w:pPr>
      <w:r>
        <w:rPr>
          <w:rFonts w:ascii="Arial" w:hAnsi="Arial"/>
          <w:color w:val="525252"/>
          <w:sz w:val="13"/>
        </w:rPr>
        <w:t>The survivor benefit plan is a government program for retiring members to ensure their eligible survivors receive a portion of their military retired pay as a monthly annuity after their death.</w:t>
      </w:r>
    </w:p>
    <w:p>
      <w:pPr>
        <w:spacing w:after="20" w:line="223" w:lineRule="auto"/>
        <w:jc w:val="right"/>
        <w:bidi/>
      </w:pPr>
      <w:r>
        <w:rPr>
          <w:rFonts w:ascii="Arial" w:hAnsi="Arial"/>
          <w:sz w:val="16"/>
        </w:rPr>
        <w:t>195.29  این طرح به گونه‌ای طراحی شده بود که یک همسر بازمانده نتواند بیش از سالیانه عمر کند، و تعدیل‌های هزینه زندگی برای جبران تورم لحاظ می‌شوند.</w:t>
      </w:r>
    </w:p>
    <w:p>
      <w:pPr>
        <w:spacing w:after="28" w:line="216" w:lineRule="auto"/>
        <w:ind w:left="259"/>
        <w:jc w:val="left"/>
      </w:pPr>
      <w:r>
        <w:rPr>
          <w:rFonts w:ascii="Arial" w:hAnsi="Arial"/>
          <w:color w:val="525252"/>
          <w:sz w:val="13"/>
        </w:rPr>
        <w:t>The plan was structured so a surviving spouse cannot outlive the annuity, and cost-of-living adjustments are incorporated to offset inflation.</w:t>
      </w:r>
    </w:p>
    <w:p>
      <w:pPr>
        <w:spacing w:after="20" w:line="223" w:lineRule="auto"/>
        <w:jc w:val="right"/>
        <w:bidi/>
      </w:pPr>
      <w:r>
        <w:rPr>
          <w:rFonts w:ascii="Arial" w:hAnsi="Arial"/>
          <w:sz w:val="16"/>
        </w:rPr>
        <w:t>195.30  اعضای رگاف با همسر یا فرزندان تحت تکفل، تا زمانی که در وضعیت رگاف باقی می‌مانند، به‌طور خودکار تحت پوشش طرح مزایای بازماندگان قرار می‌گیرند.</w:t>
      </w:r>
    </w:p>
    <w:p>
      <w:pPr>
        <w:spacing w:after="28" w:line="216" w:lineRule="auto"/>
        <w:ind w:left="259"/>
        <w:jc w:val="left"/>
      </w:pPr>
      <w:r>
        <w:rPr>
          <w:rFonts w:ascii="Arial" w:hAnsi="Arial"/>
          <w:color w:val="525252"/>
          <w:sz w:val="13"/>
        </w:rPr>
        <w:t>RegAF members with a spouse or dependent children are automatically covered by the survivor benefit plan at no cost while they remain on RegAF status.</w:t>
      </w:r>
    </w:p>
    <w:p>
      <w:pPr>
        <w:spacing w:after="20" w:line="223" w:lineRule="auto"/>
        <w:jc w:val="right"/>
        <w:bidi/>
      </w:pPr>
      <w:r>
        <w:rPr>
          <w:rFonts w:ascii="Arial" w:hAnsi="Arial"/>
          <w:sz w:val="16"/>
        </w:rPr>
        <w:t>195.31  اگر عضو هنوز واجد شرایط بازنشستگی نباشد (۲۰ سال از وضعیت رگاف جمع‌آوری نکرده است) در تاریخ مرگ، باید در «حرکت وظیفه»، یک مستمری قابل پرداخت باشد.</w:t>
      </w:r>
    </w:p>
    <w:p>
      <w:pPr>
        <w:spacing w:after="28" w:line="216" w:lineRule="auto"/>
        <w:ind w:left="259"/>
        <w:jc w:val="left"/>
      </w:pPr>
      <w:r>
        <w:rPr>
          <w:rFonts w:ascii="Arial" w:hAnsi="Arial"/>
          <w:color w:val="525252"/>
          <w:sz w:val="13"/>
        </w:rPr>
        <w:t>The member’s death must be classified in ‘line of duty’ for an annuity to be payable if the member is not yet retirement eligible (has not accrued 20 years of RegAF status) on the date of death.</w:t>
      </w:r>
    </w:p>
    <w:p>
      <w:pPr>
        <w:spacing w:after="20" w:line="223" w:lineRule="auto"/>
        <w:jc w:val="right"/>
        <w:bidi/>
      </w:pPr>
      <w:r>
        <w:rPr>
          <w:rFonts w:ascii="Arial" w:hAnsi="Arial"/>
          <w:sz w:val="16"/>
        </w:rPr>
        <w:t>195.32  سالیانه قابل پرداخت ۵۵ درصد حقوق بازنشستگی است که در صورت بازنشستگی با درجه از کارافتادگی کلی در تاریخ فوت، عضوی مستحق دریافت آن بود.</w:t>
      </w:r>
    </w:p>
    <w:p>
      <w:pPr>
        <w:spacing w:after="28" w:line="216" w:lineRule="auto"/>
        <w:ind w:left="259"/>
        <w:jc w:val="left"/>
      </w:pPr>
      <w:r>
        <w:rPr>
          <w:rFonts w:ascii="Arial" w:hAnsi="Arial"/>
          <w:color w:val="525252"/>
          <w:sz w:val="13"/>
        </w:rPr>
        <w:t>The annuity payable is 55 percent of the retired pay the member would have been entitled to receive if retired with a total disability rating on the date of death.</w:t>
      </w:r>
    </w:p>
    <w:p>
      <w:pPr>
        <w:spacing w:after="20" w:line="223" w:lineRule="auto"/>
        <w:jc w:val="right"/>
        <w:bidi/>
      </w:pPr>
      <w:r>
        <w:rPr>
          <w:rFonts w:ascii="Arial" w:hAnsi="Arial"/>
          <w:sz w:val="16"/>
        </w:rPr>
        <w:t>195.33  همچنین ممکن است در صورتی که مرگ عضو "غیر در راستای انجام وظیفه" طبقه بندی شود، تا زمانی که عضو واجد شرایط بازنشستگی در تاریخ فوت بوده است، مستمری قابل پرداخت است.</w:t>
      </w:r>
    </w:p>
    <w:p>
      <w:pPr>
        <w:spacing w:after="28" w:line="216" w:lineRule="auto"/>
        <w:ind w:left="259"/>
        <w:jc w:val="left"/>
      </w:pPr>
      <w:r>
        <w:rPr>
          <w:rFonts w:ascii="Arial" w:hAnsi="Arial"/>
          <w:color w:val="525252"/>
          <w:sz w:val="13"/>
        </w:rPr>
        <w:t>An annuity may also be payable if the member’s death is classified ‘not in line of duty’ as long as the member was retirement eligible on the date of death.</w:t>
      </w:r>
    </w:p>
    <w:p>
      <w:pPr>
        <w:spacing w:after="20" w:line="223" w:lineRule="auto"/>
        <w:jc w:val="right"/>
        <w:bidi/>
      </w:pPr>
      <w:r>
        <w:rPr>
          <w:rFonts w:ascii="Arial" w:hAnsi="Arial"/>
          <w:sz w:val="16"/>
        </w:rPr>
        <w:t>195.34  در این مورد، سالانه قابل پرداخت ۵۵ درصد از حقوق بازنشستگان است</w:t>
      </w:r>
    </w:p>
    <w:p>
      <w:pPr>
        <w:spacing w:after="28" w:line="216" w:lineRule="auto"/>
        <w:ind w:left="259"/>
        <w:jc w:val="left"/>
      </w:pPr>
      <w:r>
        <w:rPr>
          <w:rFonts w:ascii="Arial" w:hAnsi="Arial"/>
          <w:color w:val="525252"/>
          <w:sz w:val="13"/>
        </w:rPr>
        <w:t>In this case, annuity payable is 55 percent of the retired pay the member would</w:t>
      </w:r>
    </w:p>
    <w:p>
      <w:r>
        <w:br w:type="page"/>
      </w:r>
    </w:p>
    <w:p>
      <w:pPr>
        <w:spacing w:after="60"/>
        <w:jc w:val="right"/>
        <w:bidi/>
      </w:pPr>
      <w:r>
        <w:rPr>
          <w:rFonts w:ascii="Arial" w:hAnsi="Arial"/>
          <w:b/>
          <w:color w:val="1F4D78"/>
          <w:sz w:val="19"/>
        </w:rPr>
        <w:t>هفتهٔ 196  |  صفحهٔ منبع: 212</w:t>
      </w:r>
    </w:p>
    <w:p>
      <w:pPr>
        <w:spacing w:after="20" w:line="223" w:lineRule="auto"/>
        <w:jc w:val="right"/>
        <w:bidi/>
      </w:pPr>
      <w:r>
        <w:rPr>
          <w:rFonts w:ascii="Arial" w:hAnsi="Arial"/>
          <w:sz w:val="16"/>
        </w:rPr>
        <w:t>196.01  در صورت بازنشستگی سالهای خدمت در تاریخ فوت، مستحق دریافت هستند.</w:t>
      </w:r>
    </w:p>
    <w:p>
      <w:pPr>
        <w:spacing w:after="28" w:line="216" w:lineRule="auto"/>
        <w:ind w:left="259"/>
        <w:jc w:val="left"/>
      </w:pPr>
      <w:r>
        <w:rPr>
          <w:rFonts w:ascii="Arial" w:hAnsi="Arial"/>
          <w:color w:val="525252"/>
          <w:sz w:val="13"/>
        </w:rPr>
        <w:t>have been entitled to receive if retired for years of service on the date of death.</w:t>
      </w:r>
    </w:p>
    <w:p>
      <w:pPr>
        <w:spacing w:after="20" w:line="223" w:lineRule="auto"/>
        <w:jc w:val="right"/>
        <w:bidi/>
      </w:pPr>
      <w:r>
        <w:rPr>
          <w:rFonts w:ascii="Arial" w:hAnsi="Arial"/>
          <w:sz w:val="16"/>
        </w:rPr>
        <w:t>196.02  همسر بازمانده عضوی که در حین انجام وظیفه فوت می‌کند در حالی که در وضعیت رگاف است، می‌تواند درخواست کند که طرح مزایای بازماندگان فقط به فرزندان آن عضو پرداخت شود، با اجتناب از کاهش ناشی از دریافت غرامت وابستگی و غرامت از سوی همسر، مزایای بازمانده‌ای که توسط VA پرداخت می‌شود، زمانی که یک عضو در نتیجه خدمات پرداخت می‌شود.</w:t>
      </w:r>
    </w:p>
    <w:p>
      <w:pPr>
        <w:spacing w:after="28" w:line="216" w:lineRule="auto"/>
        <w:ind w:left="259"/>
        <w:jc w:val="left"/>
      </w:pPr>
      <w:r>
        <w:rPr>
          <w:rFonts w:ascii="Arial" w:hAnsi="Arial"/>
          <w:color w:val="525252"/>
          <w:sz w:val="13"/>
        </w:rPr>
        <w:t>The surviving spouse of a member who dies in the line of duty while on RegAF status may request the survivor benefit plan be paid only to the member’s children, avoiding the reduction caused by a spouse’s receipt of dependency and indemnity compensation, the survivor benefits paid by the VA when a member’s death is determined to have resulted from a service-connected cause.</w:t>
      </w:r>
    </w:p>
    <w:p>
      <w:pPr>
        <w:spacing w:after="20" w:line="223" w:lineRule="auto"/>
        <w:jc w:val="right"/>
        <w:bidi/>
      </w:pPr>
      <w:r>
        <w:rPr>
          <w:rFonts w:ascii="Arial" w:hAnsi="Arial"/>
          <w:sz w:val="16"/>
        </w:rPr>
        <w:t>196.03  طرح مزایای بازماندگان تنها برنامه‌ای است که امکان پرداخت بخشی از حقوق بازنشستگان نظامی را به بازماندگان یکی از اعضا فراهم می‌کند.</w:t>
      </w:r>
    </w:p>
    <w:p>
      <w:pPr>
        <w:spacing w:after="28" w:line="216" w:lineRule="auto"/>
        <w:ind w:left="259"/>
        <w:jc w:val="left"/>
      </w:pPr>
      <w:r>
        <w:rPr>
          <w:rFonts w:ascii="Arial" w:hAnsi="Arial"/>
          <w:color w:val="525252"/>
          <w:sz w:val="13"/>
        </w:rPr>
        <w:t>The survivor benefit plan is the only program that enables a portion of military retired pay to be paid to a member’s survivors.</w:t>
      </w:r>
    </w:p>
    <w:p>
      <w:pPr>
        <w:spacing w:after="20" w:line="223" w:lineRule="auto"/>
        <w:jc w:val="right"/>
        <w:bidi/>
      </w:pPr>
      <w:r>
        <w:rPr>
          <w:rFonts w:ascii="Arial" w:hAnsi="Arial"/>
          <w:sz w:val="16"/>
        </w:rPr>
        <w:t>196.04  قبل از بازنشستگی، هر عضو باید تصمیم بگیرد که آیا پوشش طرح مزایای بازماندگان را تا زمان بازنشستگی ادامه دهد یا خیر.</w:t>
      </w:r>
    </w:p>
    <w:p>
      <w:pPr>
        <w:spacing w:after="28" w:line="216" w:lineRule="auto"/>
        <w:ind w:left="259"/>
        <w:jc w:val="left"/>
      </w:pPr>
      <w:r>
        <w:rPr>
          <w:rFonts w:ascii="Arial" w:hAnsi="Arial"/>
          <w:color w:val="525252"/>
          <w:sz w:val="13"/>
        </w:rPr>
        <w:t>Prior to retiring, each member must decide whether to continue survivor benefit plan coverage into retirement.</w:t>
      </w:r>
    </w:p>
    <w:p>
      <w:pPr>
        <w:spacing w:after="20" w:line="223" w:lineRule="auto"/>
        <w:jc w:val="right"/>
        <w:bidi/>
      </w:pPr>
      <w:r>
        <w:rPr>
          <w:rFonts w:ascii="Arial" w:hAnsi="Arial"/>
          <w:sz w:val="16"/>
        </w:rPr>
        <w:t>196.05  در صورت انتخاب پوشش، حق بیمه طرح مزایای بازماندگان ارزیابی شده و به‌طور خودکار از حقوق بازنشستگی ماهانه اعضا کسر می‌شود.</w:t>
      </w:r>
    </w:p>
    <w:p>
      <w:pPr>
        <w:spacing w:after="28" w:line="216" w:lineRule="auto"/>
        <w:ind w:left="259"/>
        <w:jc w:val="left"/>
      </w:pPr>
      <w:r>
        <w:rPr>
          <w:rFonts w:ascii="Arial" w:hAnsi="Arial"/>
          <w:color w:val="525252"/>
          <w:sz w:val="13"/>
        </w:rPr>
        <w:t>If electing coverage, survivor benefit plan premiums are assessed and automatically deducted from the member’s monthly retired pay.</w:t>
      </w:r>
    </w:p>
    <w:p>
      <w:pPr>
        <w:spacing w:after="20" w:line="223" w:lineRule="auto"/>
        <w:jc w:val="right"/>
        <w:bidi/>
      </w:pPr>
      <w:r>
        <w:rPr>
          <w:rFonts w:ascii="Arial" w:hAnsi="Arial"/>
          <w:sz w:val="16"/>
        </w:rPr>
        <w:t>196.06  حق بیمه‌ها توسط دولت یارانه می‌شود و از حقوق بازنشسته اعضای شرکت کننده قبل از مالیات کسر می‌شود.</w:t>
      </w:r>
    </w:p>
    <w:p>
      <w:pPr>
        <w:spacing w:after="28" w:line="216" w:lineRule="auto"/>
        <w:ind w:left="259"/>
        <w:jc w:val="left"/>
      </w:pPr>
      <w:r>
        <w:rPr>
          <w:rFonts w:ascii="Arial" w:hAnsi="Arial"/>
          <w:color w:val="525252"/>
          <w:sz w:val="13"/>
        </w:rPr>
        <w:t>Premiums are government-subsidized and deducted from a participating member’s retired pay before taxes.</w:t>
      </w:r>
    </w:p>
    <w:p>
      <w:pPr>
        <w:spacing w:after="20" w:line="223" w:lineRule="auto"/>
        <w:jc w:val="right"/>
        <w:bidi/>
      </w:pPr>
      <w:r>
        <w:rPr>
          <w:rFonts w:ascii="Arial" w:hAnsi="Arial"/>
          <w:sz w:val="16"/>
        </w:rPr>
        <w:t>196.07  حق بیمه طرح مزایای بازماندگان و پرداخت‌های مستمری ذینفع به آنچه "مبلغ پایه" نامیده می‌شود بستگی دارد که به‌عنوان مبنای پوشش انتخاب شده است.</w:t>
      </w:r>
    </w:p>
    <w:p>
      <w:pPr>
        <w:spacing w:after="28" w:line="216" w:lineRule="auto"/>
        <w:ind w:left="259"/>
        <w:jc w:val="left"/>
      </w:pPr>
      <w:r>
        <w:rPr>
          <w:rFonts w:ascii="Arial" w:hAnsi="Arial"/>
          <w:color w:val="525252"/>
          <w:sz w:val="13"/>
        </w:rPr>
        <w:t>Survivor benefit plan premiums and beneficiary annuity payments depend on what is called the “base amount” elected as the basis of coverage.</w:t>
      </w:r>
    </w:p>
    <w:p>
      <w:pPr>
        <w:spacing w:after="20" w:line="223" w:lineRule="auto"/>
        <w:jc w:val="right"/>
        <w:bidi/>
      </w:pPr>
      <w:r>
        <w:rPr>
          <w:rFonts w:ascii="Arial" w:hAnsi="Arial"/>
          <w:sz w:val="16"/>
        </w:rPr>
        <w:t>196.08  مبلغ پایه یک عضو نیروهای مسلح می‌تواند حقوق کامل ماهانه بازنشستگی یا بخشی از حقوق بازنشستگان، تا ۳۰۰ دلار باشد.</w:t>
      </w:r>
    </w:p>
    <w:p>
      <w:pPr>
        <w:spacing w:after="28" w:line="216" w:lineRule="auto"/>
        <w:ind w:left="259"/>
        <w:jc w:val="left"/>
      </w:pPr>
      <w:r>
        <w:rPr>
          <w:rFonts w:ascii="Arial" w:hAnsi="Arial"/>
          <w:color w:val="525252"/>
          <w:sz w:val="13"/>
        </w:rPr>
        <w:t>A service member’s base amount can be the full monthly retired pay or a portion of retired pay, down to $300.</w:t>
      </w:r>
    </w:p>
    <w:p>
      <w:pPr>
        <w:spacing w:after="20" w:line="223" w:lineRule="auto"/>
        <w:jc w:val="right"/>
        <w:bidi/>
      </w:pPr>
      <w:r>
        <w:rPr>
          <w:rFonts w:ascii="Arial" w:hAnsi="Arial"/>
          <w:sz w:val="16"/>
        </w:rPr>
        <w:t>196.09  پوشش کامل به این معنی است که حقوق بازنشستگی کامل به‌عنوان مبلغ پایه انتخاب می‌شود.</w:t>
      </w:r>
    </w:p>
    <w:p>
      <w:pPr>
        <w:spacing w:after="28" w:line="216" w:lineRule="auto"/>
        <w:ind w:left="259"/>
        <w:jc w:val="left"/>
      </w:pPr>
      <w:r>
        <w:rPr>
          <w:rFonts w:ascii="Arial" w:hAnsi="Arial"/>
          <w:color w:val="525252"/>
          <w:sz w:val="13"/>
        </w:rPr>
        <w:t>Full coverage means full retired pay is elected as the base amount.</w:t>
      </w:r>
    </w:p>
    <w:p>
      <w:pPr>
        <w:spacing w:after="20" w:line="223" w:lineRule="auto"/>
        <w:jc w:val="right"/>
        <w:bidi/>
      </w:pPr>
      <w:r>
        <w:rPr>
          <w:rFonts w:ascii="Arial" w:hAnsi="Arial"/>
          <w:sz w:val="16"/>
        </w:rPr>
        <w:t>196.10  مبلغ پایه به دستمزد بازنشستگان یک عضو وابسته است. بنابراین، زمانی که حقوق بازنشستگان تعدیل هزینه‌های زندگی را دریافت می‌کند، مبلغ پایه نیز تغییر می‌کند، و در نتیجه، حق بیمه و پرداخت سنوات نیز انجام می‌شود.</w:t>
      </w:r>
    </w:p>
    <w:p>
      <w:pPr>
        <w:spacing w:after="28" w:line="216" w:lineRule="auto"/>
        <w:ind w:left="259"/>
        <w:jc w:val="left"/>
      </w:pPr>
      <w:r>
        <w:rPr>
          <w:rFonts w:ascii="Arial" w:hAnsi="Arial"/>
          <w:color w:val="525252"/>
          <w:sz w:val="13"/>
        </w:rPr>
        <w:t>The base amount is tied to a member’s retired pay; therefore, when retired pay receives cost-of-living adjustments, so does the base amount, and as a result, so do premiums and annuity payments.</w:t>
      </w:r>
    </w:p>
    <w:p>
      <w:pPr>
        <w:spacing w:after="20" w:line="223" w:lineRule="auto"/>
        <w:jc w:val="right"/>
        <w:bidi/>
      </w:pPr>
      <w:r>
        <w:rPr>
          <w:rFonts w:ascii="Arial" w:hAnsi="Arial"/>
          <w:sz w:val="16"/>
        </w:rPr>
        <w:t>196.11  تحت شرایط محدود، نیروهای هوایی ممکن است از طرح مزایای بازماندگان خارج شود یا پوشش را تغییر دهد.</w:t>
      </w:r>
    </w:p>
    <w:p>
      <w:pPr>
        <w:spacing w:after="28" w:line="216" w:lineRule="auto"/>
        <w:ind w:left="259"/>
        <w:jc w:val="left"/>
      </w:pPr>
      <w:r>
        <w:rPr>
          <w:rFonts w:ascii="Arial" w:hAnsi="Arial"/>
          <w:color w:val="525252"/>
          <w:sz w:val="13"/>
        </w:rPr>
        <w:t>Under limited circumstances, Airmen may withdraw from the survivor benefit plan or change coverage.</w:t>
      </w:r>
    </w:p>
    <w:p>
      <w:pPr>
        <w:spacing w:after="20" w:line="223" w:lineRule="auto"/>
        <w:jc w:val="right"/>
        <w:bidi/>
      </w:pPr>
      <w:r>
        <w:rPr>
          <w:rFonts w:ascii="Arial" w:hAnsi="Arial"/>
          <w:sz w:val="16"/>
        </w:rPr>
        <w:t>196.12  به‌عنوان یک شرکت کننده در طرح مزایای بازماندگان، افراد فرصت یک ساله دارند تا پوشش طرح مزایای بازماندگان را بین دومین و سومین سالگرد پس از تاریخ شروع دریافت حقوق بازنشستگی خاتمه دهند.</w:t>
      </w:r>
    </w:p>
    <w:p>
      <w:pPr>
        <w:spacing w:after="28" w:line="216" w:lineRule="auto"/>
        <w:ind w:left="259"/>
        <w:jc w:val="left"/>
      </w:pPr>
      <w:r>
        <w:rPr>
          <w:rFonts w:ascii="Arial" w:hAnsi="Arial"/>
          <w:color w:val="525252"/>
          <w:sz w:val="13"/>
        </w:rPr>
        <w:t>As a survivor benefit plan participant, individuals have a one-year window to terminate survivor benefit plan coverage between the second and third anniversary following the date beginning receipt of retired pay.</w:t>
      </w:r>
    </w:p>
    <w:p>
      <w:pPr>
        <w:spacing w:after="20" w:line="223" w:lineRule="auto"/>
        <w:jc w:val="right"/>
        <w:bidi/>
      </w:pPr>
      <w:r>
        <w:rPr>
          <w:rFonts w:ascii="Arial" w:hAnsi="Arial"/>
          <w:sz w:val="16"/>
        </w:rPr>
        <w:t>196.13  حق بیمه پرداختی مسترد نخواهد شد و مستمری پس از فوت قابل پرداخت نخواهد بود.</w:t>
      </w:r>
    </w:p>
    <w:p>
      <w:pPr>
        <w:spacing w:after="28" w:line="216" w:lineRule="auto"/>
        <w:ind w:left="259"/>
        <w:jc w:val="left"/>
      </w:pPr>
      <w:r>
        <w:rPr>
          <w:rFonts w:ascii="Arial" w:hAnsi="Arial"/>
          <w:color w:val="525252"/>
          <w:sz w:val="13"/>
        </w:rPr>
        <w:t>The premiums paid will not be refunded, and an annuity will not be payable upon death.</w:t>
      </w:r>
    </w:p>
    <w:p>
      <w:pPr>
        <w:spacing w:after="20" w:line="223" w:lineRule="auto"/>
        <w:jc w:val="right"/>
        <w:bidi/>
      </w:pPr>
      <w:r>
        <w:rPr>
          <w:rFonts w:ascii="Arial" w:hAnsi="Arial"/>
          <w:sz w:val="16"/>
        </w:rPr>
        <w:t>196.14  همسر تحت پوشش یا همسر سابق باید با انصراف موافقت کند.</w:t>
      </w:r>
    </w:p>
    <w:p>
      <w:pPr>
        <w:spacing w:after="28" w:line="216" w:lineRule="auto"/>
        <w:ind w:left="259"/>
        <w:jc w:val="left"/>
      </w:pPr>
      <w:r>
        <w:rPr>
          <w:rFonts w:ascii="Arial" w:hAnsi="Arial"/>
          <w:color w:val="525252"/>
          <w:sz w:val="13"/>
        </w:rPr>
        <w:t>The covered spouse or former spouse must consent to the withdrawal.</w:t>
      </w:r>
    </w:p>
    <w:p>
      <w:pPr>
        <w:spacing w:after="20" w:line="223" w:lineRule="auto"/>
        <w:jc w:val="right"/>
        <w:bidi/>
      </w:pPr>
      <w:r>
        <w:rPr>
          <w:rFonts w:ascii="Arial" w:hAnsi="Arial"/>
          <w:sz w:val="16"/>
        </w:rPr>
        <w:t>196.15  فسخ دائمی است، و شرکت تحت هیچ شرایطی به جز ثبت‌نام در آینده، از سر گرفته نمی‌شود.</w:t>
      </w:r>
    </w:p>
    <w:p>
      <w:pPr>
        <w:spacing w:after="28" w:line="216" w:lineRule="auto"/>
        <w:ind w:left="259"/>
        <w:jc w:val="left"/>
      </w:pPr>
      <w:r>
        <w:rPr>
          <w:rFonts w:ascii="Arial" w:hAnsi="Arial"/>
          <w:color w:val="525252"/>
          <w:sz w:val="13"/>
        </w:rPr>
        <w:t>Termination is permanent, and participation may not be resumed under any circumstance barring future enrollment.</w:t>
      </w:r>
    </w:p>
    <w:p>
      <w:pPr>
        <w:spacing w:after="20" w:line="223" w:lineRule="auto"/>
        <w:jc w:val="right"/>
        <w:bidi/>
      </w:pPr>
      <w:r>
        <w:rPr>
          <w:rFonts w:ascii="Arial" w:hAnsi="Arial"/>
          <w:sz w:val="16"/>
        </w:rPr>
        <w:t>196.16  طرح مزایای بازماندگان همچنین دارای ویژگی "پرداخت" است که به اعضایی که به سن ۷۰ سالگی رسیده‌اند و به مدت ۳۶۰ ماه حق بیمه طرح مزایای بازماندگان را پرداخت کرده‌اند، اجازه می‌دهد پرداخت حق بیمه را متوقف کنند اما در این طرح مشارکت فعال داشته باشند.</w:t>
      </w:r>
    </w:p>
    <w:p>
      <w:pPr>
        <w:spacing w:after="28" w:line="216" w:lineRule="auto"/>
        <w:ind w:left="259"/>
        <w:jc w:val="left"/>
      </w:pPr>
      <w:r>
        <w:rPr>
          <w:rFonts w:ascii="Arial" w:hAnsi="Arial"/>
          <w:color w:val="525252"/>
          <w:sz w:val="13"/>
        </w:rPr>
        <w:t>The survivor benefit plan also has a “paid-up” feature that permits members who have attained age 70, and who have paid survivor benefit plan premiums for 360 months, to stop paying premiums but remain active participants in the plan.</w:t>
      </w:r>
    </w:p>
    <w:p>
      <w:pPr>
        <w:spacing w:before="60" w:after="28"/>
        <w:jc w:val="right"/>
        <w:bidi/>
      </w:pPr>
      <w:r>
        <w:rPr>
          <w:b/>
          <w:color w:val="1F4D78"/>
          <w:sz w:val="18"/>
        </w:rPr>
        <w:t>11.10. صلیب سرخ آمریکا</w:t>
      </w:r>
    </w:p>
    <w:p>
      <w:pPr>
        <w:spacing w:after="20"/>
        <w:ind w:left="259"/>
        <w:jc w:val="left"/>
      </w:pPr>
      <w:r>
        <w:rPr>
          <w:color w:val="555555"/>
          <w:sz w:val="12"/>
        </w:rPr>
        <w:t>11.10. American Red Cross</w:t>
      </w:r>
    </w:p>
    <w:p>
      <w:pPr>
        <w:spacing w:after="20" w:line="223" w:lineRule="auto"/>
        <w:jc w:val="right"/>
        <w:bidi/>
      </w:pPr>
      <w:r>
        <w:rPr>
          <w:rFonts w:ascii="Arial" w:hAnsi="Arial"/>
          <w:sz w:val="16"/>
        </w:rPr>
        <w:t>196.18  صلیب سرخ آمریکا (https://www.redcross.org/) تعهدی تزلزل ناپذیر، رایگان، ۳۶۵ روز در سال، ۲۴ ساعت شبانه روز، به اعضای نیروهای مسلح ایالات متحده، کهنه‌سربازان و خانواده‌های آنها ارائه می‌دهد که شامل: رگاف، گارد ملی، نیروهای ذخیره، افسران نیروی ذخیره، افسران نیروی تسلیحاتی ایالات متحده، نیروی ذخیره ارتش ایالات متحده است. گارد ساحلی و خدمات بهداشت عمومی ایالات متحده</w:t>
      </w:r>
    </w:p>
    <w:p>
      <w:pPr>
        <w:spacing w:after="28" w:line="216" w:lineRule="auto"/>
        <w:ind w:left="259"/>
        <w:jc w:val="left"/>
      </w:pPr>
      <w:r>
        <w:rPr>
          <w:rFonts w:ascii="Arial" w:hAnsi="Arial"/>
          <w:color w:val="525252"/>
          <w:sz w:val="13"/>
        </w:rPr>
        <w:t>The American Red Cross (https://www.redcross.org/) offers unwavering commitment, free of charge, 365 days a year, 24 hours a day, to members of the U.S. Armed Forces, veterans, and their families, to include: RegAF, National Guard, Reservists, Reserve Officer Training Corps, U.S. Army Corps of Engineers, U.S. Coast Guard, and U.S. Public Health Service.</w:t>
      </w:r>
    </w:p>
    <w:p>
      <w:pPr>
        <w:spacing w:after="20" w:line="223" w:lineRule="auto"/>
        <w:jc w:val="right"/>
        <w:bidi/>
      </w:pPr>
      <w:r>
        <w:rPr>
          <w:rFonts w:ascii="Arial" w:hAnsi="Arial"/>
          <w:sz w:val="16"/>
        </w:rPr>
        <w:t>196.19  حمایت صلیب سرخ با پیوند دادن خانواده‌های نظامی در مواقع اضطراری، پیوند خانواده‌ها با منابع جامعه محلی، ارائه آموزش تاب‌آوری، و حمایت از رزمندگان مجروح و بیمارستان‌های نظامی، برنامه، خدمات یا جایزه غیرفدرال، روحیه را تقویت می‌کند و به افزایش قابلیت عملیاتی کمک می‌کند.</w:t>
      </w:r>
    </w:p>
    <w:p>
      <w:pPr>
        <w:spacing w:after="28" w:line="216" w:lineRule="auto"/>
        <w:ind w:left="259"/>
        <w:jc w:val="left"/>
      </w:pPr>
      <w:r>
        <w:rPr>
          <w:rFonts w:ascii="Arial" w:hAnsi="Arial"/>
          <w:color w:val="525252"/>
          <w:sz w:val="13"/>
        </w:rPr>
        <w:t>Red Cross support enhances morale and contributes to increased operational capability by linking military families during an emergency, connecting families with local community resources, providing resiliency training, and supporting wounded warriors and military hospitals, non-Federal entity program, service, or award.</w:t>
      </w:r>
    </w:p>
    <w:p>
      <w:pPr>
        <w:spacing w:after="20" w:line="223" w:lineRule="auto"/>
        <w:jc w:val="right"/>
        <w:bidi/>
      </w:pPr>
      <w:r>
        <w:rPr>
          <w:rFonts w:ascii="Arial" w:hAnsi="Arial"/>
          <w:sz w:val="16"/>
        </w:rPr>
        <w:t>196.20  شماره تلفن رایگان صلیب سرخ برای اعضای نیروهای مسلح و خانواده‌ها در ایالات متحده: ۱-۸۰۰-۷۳۳-۲۷۶۷ است.</w:t>
      </w:r>
    </w:p>
    <w:p>
      <w:pPr>
        <w:spacing w:after="28" w:line="216" w:lineRule="auto"/>
        <w:ind w:left="259"/>
        <w:jc w:val="left"/>
      </w:pPr>
      <w:r>
        <w:rPr>
          <w:rFonts w:ascii="Arial" w:hAnsi="Arial"/>
          <w:color w:val="525252"/>
          <w:sz w:val="13"/>
        </w:rPr>
        <w:t>The Red Cross toll free number for service members and families in the United States is: 1-800-733-2767.</w:t>
      </w:r>
    </w:p>
    <w:p>
      <w:pPr>
        <w:spacing w:after="20" w:line="223" w:lineRule="auto"/>
        <w:jc w:val="right"/>
        <w:bidi/>
      </w:pPr>
      <w:r>
        <w:rPr>
          <w:rFonts w:ascii="Arial" w:hAnsi="Arial"/>
          <w:sz w:val="16"/>
        </w:rPr>
        <w:t>196.21  اعضای نظامی و اعضای خانواده در خارج از کشور می‌توانند با اپراتورهای پایگاه یا نصب یا دفتر صلیب سرخ آمریکا در محل خارج از کشور تماس بگیرند.</w:t>
      </w:r>
    </w:p>
    <w:p>
      <w:pPr>
        <w:spacing w:after="28" w:line="216" w:lineRule="auto"/>
        <w:ind w:left="259"/>
        <w:jc w:val="left"/>
      </w:pPr>
      <w:r>
        <w:rPr>
          <w:rFonts w:ascii="Arial" w:hAnsi="Arial"/>
          <w:color w:val="525252"/>
          <w:sz w:val="13"/>
        </w:rPr>
        <w:t>Military members and family members overseas may call base or installation operators or the American Red Cross office at the overseas location.</w:t>
      </w:r>
    </w:p>
    <w:p>
      <w:pPr>
        <w:spacing w:after="20" w:line="223" w:lineRule="auto"/>
        <w:jc w:val="right"/>
        <w:bidi/>
      </w:pPr>
      <w:r>
        <w:rPr>
          <w:rFonts w:ascii="Arial" w:hAnsi="Arial"/>
          <w:sz w:val="16"/>
        </w:rPr>
        <w:t>196.22  توجه: برای اینکه صلیب سرخ آمریکا خدمات مناسب ارائه دهد، تا حد امکان اطلاعات زیر را در دسترس قرار دهید: نام کامل، رتبه/رتبه، شاخه خدمت، شماره تأمین اجتماعی یا تاریخ تولد، آدرس نظامی، و اطلاعات مربوط به واحد مستقر و واحد پایگاه خانگی (فقط برای اعضای نیروهای مسلح مستقر).</w:t>
      </w:r>
    </w:p>
    <w:p>
      <w:pPr>
        <w:spacing w:after="28" w:line="216" w:lineRule="auto"/>
        <w:ind w:left="259"/>
        <w:jc w:val="left"/>
      </w:pPr>
      <w:r>
        <w:rPr>
          <w:rFonts w:ascii="Arial" w:hAnsi="Arial"/>
          <w:color w:val="525252"/>
          <w:sz w:val="13"/>
        </w:rPr>
        <w:t>Note: For the American Red Cross to provide expedient service, provide as much of the following information available as possible: full name, rank/rating, branch of service, social security number or date of birth, military address, and information about the deployed unit and home base unit (for deployed service members only).</w:t>
      </w:r>
    </w:p>
    <w:p>
      <w:pPr>
        <w:spacing w:after="20" w:line="223" w:lineRule="auto"/>
        <w:jc w:val="right"/>
        <w:bidi/>
      </w:pPr>
      <w:r>
        <w:rPr>
          <w:rFonts w:ascii="Arial" w:hAnsi="Arial"/>
          <w:sz w:val="16"/>
        </w:rPr>
        <w:t>196.23  خدمات ارتباطی اضطراری.</w:t>
      </w:r>
    </w:p>
    <w:p>
      <w:pPr>
        <w:spacing w:after="28" w:line="216" w:lineRule="auto"/>
        <w:ind w:left="259"/>
        <w:jc w:val="left"/>
      </w:pPr>
      <w:r>
        <w:rPr>
          <w:rFonts w:ascii="Arial" w:hAnsi="Arial"/>
          <w:color w:val="525252"/>
          <w:sz w:val="13"/>
        </w:rPr>
        <w:t>Emergency Communication Services.</w:t>
      </w:r>
    </w:p>
    <w:p>
      <w:pPr>
        <w:spacing w:after="20" w:line="223" w:lineRule="auto"/>
        <w:jc w:val="right"/>
        <w:bidi/>
      </w:pPr>
      <w:r>
        <w:rPr>
          <w:rFonts w:ascii="Arial" w:hAnsi="Arial"/>
          <w:sz w:val="16"/>
        </w:rPr>
        <w:t>196.24  هنگامی که یک خانواده نظامی دچار بحران می‌شود، صلیب سرخ آمریکا با ارائه ارتباطات اضطراری به شما کمک می‌کند.</w:t>
      </w:r>
    </w:p>
    <w:p>
      <w:pPr>
        <w:spacing w:after="28" w:line="216" w:lineRule="auto"/>
        <w:ind w:left="259"/>
        <w:jc w:val="left"/>
      </w:pPr>
      <w:r>
        <w:rPr>
          <w:rFonts w:ascii="Arial" w:hAnsi="Arial"/>
          <w:color w:val="525252"/>
          <w:sz w:val="13"/>
        </w:rPr>
        <w:t>When a military family experiences a crisis, the American Red Cross is there to assist by providing emergency communications.</w:t>
      </w:r>
    </w:p>
    <w:p>
      <w:pPr>
        <w:spacing w:after="20" w:line="223" w:lineRule="auto"/>
        <w:jc w:val="right"/>
        <w:bidi/>
      </w:pPr>
      <w:r>
        <w:rPr>
          <w:rFonts w:ascii="Arial" w:hAnsi="Arial"/>
          <w:sz w:val="16"/>
        </w:rPr>
        <w:t>196.25  صلیب سرخ پیام‌های فوری حاوی توضیحات دقیق، واقعی، کامل و تأیید شده اضطراری را به اعضای نیروهای مسلح مستقر در هر نقطه از جهان، از جمله کشتی‌ها در دریا، سفارت‌ها، و مکان‌های دورافتاده ارسال می‌کند.</w:t>
      </w:r>
    </w:p>
    <w:p>
      <w:pPr>
        <w:spacing w:after="28" w:line="216" w:lineRule="auto"/>
        <w:ind w:left="259"/>
        <w:jc w:val="left"/>
      </w:pPr>
      <w:r>
        <w:rPr>
          <w:rFonts w:ascii="Arial" w:hAnsi="Arial"/>
          <w:color w:val="525252"/>
          <w:sz w:val="13"/>
        </w:rPr>
        <w:t>The Red Cross relays urgent messages containing accurate, factual, complete, and verified descriptions of the emergency to service members stationed anywhere in the world, including ships at sea, embassies, and remote locations.</w:t>
      </w:r>
    </w:p>
    <w:p>
      <w:pPr>
        <w:spacing w:after="20" w:line="223" w:lineRule="auto"/>
        <w:jc w:val="right"/>
        <w:bidi/>
      </w:pPr>
      <w:r>
        <w:rPr>
          <w:rFonts w:ascii="Arial" w:hAnsi="Arial"/>
          <w:sz w:val="16"/>
        </w:rPr>
        <w:t>196.26  اطلاعات تأیید شده توسط صلیب سرخ به فرماندهان در تصمیم‌گیری در مورد کمک می‌کند</w:t>
      </w:r>
    </w:p>
    <w:p>
      <w:pPr>
        <w:spacing w:after="28" w:line="216" w:lineRule="auto"/>
        <w:ind w:left="259"/>
        <w:jc w:val="left"/>
      </w:pPr>
      <w:r>
        <w:rPr>
          <w:rFonts w:ascii="Arial" w:hAnsi="Arial"/>
          <w:color w:val="525252"/>
          <w:sz w:val="13"/>
        </w:rPr>
        <w:t>Red Cross-verified information assists commanders in making decisions regarding</w:t>
      </w:r>
    </w:p>
    <w:p>
      <w:r>
        <w:br w:type="page"/>
      </w:r>
    </w:p>
    <w:p>
      <w:pPr>
        <w:spacing w:after="60"/>
        <w:jc w:val="right"/>
        <w:bidi/>
      </w:pPr>
      <w:r>
        <w:rPr>
          <w:rFonts w:ascii="Arial" w:hAnsi="Arial"/>
          <w:b/>
          <w:color w:val="1F4D78"/>
          <w:sz w:val="19"/>
        </w:rPr>
        <w:t>هفتهٔ 197  |  صفحهٔ منبع: 213</w:t>
      </w:r>
    </w:p>
    <w:p>
      <w:pPr>
        <w:spacing w:after="20" w:line="223" w:lineRule="auto"/>
        <w:jc w:val="right"/>
        <w:bidi/>
      </w:pPr>
      <w:r>
        <w:rPr>
          <w:rFonts w:ascii="Arial" w:hAnsi="Arial"/>
          <w:sz w:val="16"/>
        </w:rPr>
        <w:t>197.01  مرخصی اضطراری.</w:t>
      </w:r>
    </w:p>
    <w:p>
      <w:pPr>
        <w:spacing w:after="28" w:line="216" w:lineRule="auto"/>
        <w:ind w:left="259"/>
        <w:jc w:val="left"/>
      </w:pPr>
      <w:r>
        <w:rPr>
          <w:rFonts w:ascii="Arial" w:hAnsi="Arial"/>
          <w:color w:val="525252"/>
          <w:sz w:val="13"/>
        </w:rPr>
        <w:t>emergency leave.</w:t>
      </w:r>
    </w:p>
    <w:p>
      <w:pPr>
        <w:spacing w:after="20" w:line="223" w:lineRule="auto"/>
        <w:jc w:val="right"/>
        <w:bidi/>
      </w:pPr>
      <w:r>
        <w:rPr>
          <w:rFonts w:ascii="Arial" w:hAnsi="Arial"/>
          <w:sz w:val="16"/>
        </w:rPr>
        <w:t>197.02  کمک مالی.</w:t>
      </w:r>
    </w:p>
    <w:p>
      <w:pPr>
        <w:spacing w:after="28" w:line="216" w:lineRule="auto"/>
        <w:ind w:left="259"/>
        <w:jc w:val="left"/>
      </w:pPr>
      <w:r>
        <w:rPr>
          <w:rFonts w:ascii="Arial" w:hAnsi="Arial"/>
          <w:color w:val="525252"/>
          <w:sz w:val="13"/>
        </w:rPr>
        <w:t>Financial Assistance.</w:t>
      </w:r>
    </w:p>
    <w:p>
      <w:pPr>
        <w:spacing w:after="20" w:line="223" w:lineRule="auto"/>
        <w:jc w:val="right"/>
        <w:bidi/>
      </w:pPr>
      <w:r>
        <w:rPr>
          <w:rFonts w:ascii="Arial" w:hAnsi="Arial"/>
          <w:sz w:val="16"/>
        </w:rPr>
        <w:t>197.03  صلیب سرخ آمریکا تحت قراردادهای مشارکتی با انجمن کمک نیروی هوایی، امداد اضطراری ارتش، کمک متقابل گارد ساحلی، و انجمن امداد نیروی دریایی و تفنگداران دریایی برای ارائه کمک‌های مالی با کیفیت و قابل اعتماد به متقاضیان واجد شرایط کار می‌کند.</w:t>
      </w:r>
    </w:p>
    <w:p>
      <w:pPr>
        <w:spacing w:after="28" w:line="216" w:lineRule="auto"/>
        <w:ind w:left="259"/>
        <w:jc w:val="left"/>
      </w:pPr>
      <w:r>
        <w:rPr>
          <w:rFonts w:ascii="Arial" w:hAnsi="Arial"/>
          <w:color w:val="525252"/>
          <w:sz w:val="13"/>
        </w:rPr>
        <w:t>The American Red Cross works under partnership agreements with the Air Force Aid Society, Army Emergency Relief, Coast Guard Mutual Assistance, and Navy-Marine Corps Relief Society to provide quality, reliable financial assistance to eligible applicants.</w:t>
      </w:r>
    </w:p>
    <w:p>
      <w:pPr>
        <w:spacing w:after="20" w:line="223" w:lineRule="auto"/>
        <w:jc w:val="right"/>
        <w:bidi/>
      </w:pPr>
      <w:r>
        <w:rPr>
          <w:rFonts w:ascii="Arial" w:hAnsi="Arial"/>
          <w:sz w:val="16"/>
        </w:rPr>
        <w:t>197.04  انواع کمک عبارتند از کمک مالی برای سفرهای اضطراری، دفن یکی از عزیزان و کمک برای جلوگیری از محرومیت یا سختی.</w:t>
      </w:r>
    </w:p>
    <w:p>
      <w:pPr>
        <w:spacing w:after="28" w:line="216" w:lineRule="auto"/>
        <w:ind w:left="259"/>
        <w:jc w:val="left"/>
      </w:pPr>
      <w:r>
        <w:rPr>
          <w:rFonts w:ascii="Arial" w:hAnsi="Arial"/>
          <w:color w:val="525252"/>
          <w:sz w:val="13"/>
        </w:rPr>
        <w:t>Types of assistance include financial assistance for emergency travel, burial of a loved one, and assistance to avoid privation or hardship.</w:t>
      </w:r>
    </w:p>
    <w:p>
      <w:pPr>
        <w:spacing w:after="20" w:line="223" w:lineRule="auto"/>
        <w:jc w:val="right"/>
        <w:bidi/>
      </w:pPr>
      <w:r>
        <w:rPr>
          <w:rFonts w:ascii="Arial" w:hAnsi="Arial"/>
          <w:sz w:val="16"/>
        </w:rPr>
        <w:t>197.05  مقابله با استقرارها.</w:t>
      </w:r>
    </w:p>
    <w:p>
      <w:pPr>
        <w:spacing w:after="28" w:line="216" w:lineRule="auto"/>
        <w:ind w:left="259"/>
        <w:jc w:val="left"/>
      </w:pPr>
      <w:r>
        <w:rPr>
          <w:rFonts w:ascii="Arial" w:hAnsi="Arial"/>
          <w:color w:val="525252"/>
          <w:sz w:val="13"/>
        </w:rPr>
        <w:t>Coping with Deployments.</w:t>
      </w:r>
    </w:p>
    <w:p>
      <w:pPr>
        <w:spacing w:after="20" w:line="223" w:lineRule="auto"/>
        <w:jc w:val="right"/>
        <w:bidi/>
      </w:pPr>
      <w:r>
        <w:rPr>
          <w:rFonts w:ascii="Arial" w:hAnsi="Arial"/>
          <w:sz w:val="16"/>
        </w:rPr>
        <w:t>197.06  دوره کمک‌های اولیه روانشناختی به‌طور خاص برای همسران، والدین، خواهران و برادران و سایر اعضای مهم خدمات طراحی شده است.</w:t>
      </w:r>
    </w:p>
    <w:p>
      <w:pPr>
        <w:spacing w:after="28" w:line="216" w:lineRule="auto"/>
        <w:ind w:left="259"/>
        <w:jc w:val="left"/>
      </w:pPr>
      <w:r>
        <w:rPr>
          <w:rFonts w:ascii="Arial" w:hAnsi="Arial"/>
          <w:color w:val="525252"/>
          <w:sz w:val="13"/>
        </w:rPr>
        <w:t>The psychological first aid course was designed specifically for spouses, parents, siblings, and significant others of service members.</w:t>
      </w:r>
    </w:p>
    <w:p>
      <w:pPr>
        <w:spacing w:after="20" w:line="223" w:lineRule="auto"/>
        <w:jc w:val="right"/>
        <w:bidi/>
      </w:pPr>
      <w:r>
        <w:rPr>
          <w:rFonts w:ascii="Arial" w:hAnsi="Arial"/>
          <w:sz w:val="16"/>
        </w:rPr>
        <w:t>197.07  این سرویس صلیب سرخ اطلاعات مفیدی در مورد چگونگی تقویت توانایی پاسخگویی موفقیت آمیز به چالش هایی که اعضای خانواده نظامی ممکن است در طول چرخه استقرار با آنها مواجه شوند، ارائه می‌دهد.</w:t>
      </w:r>
    </w:p>
    <w:p>
      <w:pPr>
        <w:spacing w:after="28" w:line="216" w:lineRule="auto"/>
        <w:ind w:left="259"/>
        <w:jc w:val="left"/>
      </w:pPr>
      <w:r>
        <w:rPr>
          <w:rFonts w:ascii="Arial" w:hAnsi="Arial"/>
          <w:color w:val="525252"/>
          <w:sz w:val="13"/>
        </w:rPr>
        <w:t>This Red Cross service provides useful information on how to strengthen the ability to successfully respond to challenges that military family members may encounter throughout the deployment cycle.</w:t>
      </w:r>
    </w:p>
    <w:p>
      <w:pPr>
        <w:spacing w:after="20" w:line="223" w:lineRule="auto"/>
        <w:jc w:val="right"/>
        <w:bidi/>
      </w:pPr>
      <w:r>
        <w:rPr>
          <w:rFonts w:ascii="Arial" w:hAnsi="Arial"/>
          <w:sz w:val="16"/>
        </w:rPr>
        <w:t>197.08  این دوره همچنین نحوه ارائه کمک‌های اولیه روانشناختی به دیگرانی که احساسات یا رویدادهای استرس زا را تجربه می‌کنند را توضیح می‌دهد.</w:t>
      </w:r>
    </w:p>
    <w:p>
      <w:pPr>
        <w:spacing w:after="28" w:line="216" w:lineRule="auto"/>
        <w:ind w:left="259"/>
        <w:jc w:val="left"/>
      </w:pPr>
      <w:r>
        <w:rPr>
          <w:rFonts w:ascii="Arial" w:hAnsi="Arial"/>
          <w:color w:val="525252"/>
          <w:sz w:val="13"/>
        </w:rPr>
        <w:t>The course also explains how to provide psychological first aid to others experiencing stressful feelings or events.</w:t>
      </w:r>
    </w:p>
    <w:p>
      <w:pPr>
        <w:spacing w:after="20" w:line="223" w:lineRule="auto"/>
        <w:jc w:val="right"/>
        <w:bidi/>
      </w:pPr>
      <w:r>
        <w:rPr>
          <w:rFonts w:ascii="Arial" w:hAnsi="Arial"/>
          <w:sz w:val="16"/>
        </w:rPr>
        <w:t>197.09  کارگاه‌های اتصال مجدد.</w:t>
      </w:r>
    </w:p>
    <w:p>
      <w:pPr>
        <w:spacing w:after="28" w:line="216" w:lineRule="auto"/>
        <w:ind w:left="259"/>
        <w:jc w:val="left"/>
      </w:pPr>
      <w:r>
        <w:rPr>
          <w:rFonts w:ascii="Arial" w:hAnsi="Arial"/>
          <w:color w:val="525252"/>
          <w:sz w:val="13"/>
        </w:rPr>
        <w:t>Reconnection Workshops.</w:t>
      </w:r>
    </w:p>
    <w:p>
      <w:pPr>
        <w:spacing w:after="20" w:line="223" w:lineRule="auto"/>
        <w:jc w:val="right"/>
        <w:bidi/>
      </w:pPr>
      <w:r>
        <w:rPr>
          <w:rFonts w:ascii="Arial" w:hAnsi="Arial"/>
          <w:sz w:val="16"/>
        </w:rPr>
        <w:t>197.10  کارگاه‌های اتصال مجدد برای حمایت از ادغام مجدد برای کار از طریق خشم، برقراری ارتباط واضح، کاوش استرس و آسیب، ارتباط با کودکان و شناسایی افسردگی طراحی شده‌اند.</w:t>
      </w:r>
    </w:p>
    <w:p>
      <w:pPr>
        <w:spacing w:after="28" w:line="216" w:lineRule="auto"/>
        <w:ind w:left="259"/>
        <w:jc w:val="left"/>
      </w:pPr>
      <w:r>
        <w:rPr>
          <w:rFonts w:ascii="Arial" w:hAnsi="Arial"/>
          <w:color w:val="525252"/>
          <w:sz w:val="13"/>
        </w:rPr>
        <w:t>The reconnection workshops are designed for reintegration support for working through anger, communicating clearly, exploring stress and trauma, relating to children, and identifying depression.</w:t>
      </w:r>
    </w:p>
    <w:p>
      <w:pPr>
        <w:spacing w:after="20" w:line="223" w:lineRule="auto"/>
        <w:jc w:val="right"/>
        <w:bidi/>
      </w:pPr>
      <w:r>
        <w:rPr>
          <w:rFonts w:ascii="Arial" w:hAnsi="Arial"/>
          <w:sz w:val="16"/>
        </w:rPr>
        <w:t>197.11  کارگاه‌ها بر افراد و گروه‌های کوچک تمرکز می‌کنند تا به اعضای خانواده کمک کنند تا دوباره به هم متصل شوند و به اعضای نیروهای مسلح کمک کنند تا با موفقیت دوباره ادغام شوند.</w:t>
      </w:r>
    </w:p>
    <w:p>
      <w:pPr>
        <w:spacing w:after="28" w:line="216" w:lineRule="auto"/>
        <w:ind w:left="259"/>
        <w:jc w:val="left"/>
      </w:pPr>
      <w:r>
        <w:rPr>
          <w:rFonts w:ascii="Arial" w:hAnsi="Arial"/>
          <w:color w:val="525252"/>
          <w:sz w:val="13"/>
        </w:rPr>
        <w:t>The workshops focus on individuals and small groups to help family members reconnect and help service members reintegrate successfully.</w:t>
      </w:r>
    </w:p>
    <w:p>
      <w:pPr>
        <w:spacing w:after="20" w:line="223" w:lineRule="auto"/>
        <w:jc w:val="right"/>
        <w:bidi/>
      </w:pPr>
      <w:r>
        <w:rPr>
          <w:rFonts w:ascii="Arial" w:hAnsi="Arial"/>
          <w:sz w:val="16"/>
        </w:rPr>
        <w:t>197.12  تحت رهبری کارکنان بهداشت روانی دارای مجوز و به‌طور خاص آموزش دیده صلیب سرخ، هر جلسه به موضوعی می‌پردازد که خانواده نظامی مربوط به تنظیم اتحاد مجدد را پیدا کرده است.</w:t>
      </w:r>
    </w:p>
    <w:p>
      <w:pPr>
        <w:spacing w:after="28" w:line="216" w:lineRule="auto"/>
        <w:ind w:left="259"/>
        <w:jc w:val="left"/>
      </w:pPr>
      <w:r>
        <w:rPr>
          <w:rFonts w:ascii="Arial" w:hAnsi="Arial"/>
          <w:color w:val="525252"/>
          <w:sz w:val="13"/>
        </w:rPr>
        <w:t>Led by licensed, specifically trained Red Cross mental health workers, each session addresses a topic military family have found relevant to the reunion adjustment.</w:t>
      </w:r>
    </w:p>
    <w:p>
      <w:pPr>
        <w:spacing w:after="20" w:line="223" w:lineRule="auto"/>
        <w:jc w:val="right"/>
        <w:bidi/>
      </w:pPr>
      <w:r>
        <w:rPr>
          <w:rFonts w:ascii="Arial" w:hAnsi="Arial"/>
          <w:sz w:val="16"/>
        </w:rPr>
        <w:t>197.13  مطالبات جانبازان برای مزایا.</w:t>
      </w:r>
    </w:p>
    <w:p>
      <w:pPr>
        <w:spacing w:after="28" w:line="216" w:lineRule="auto"/>
        <w:ind w:left="259"/>
        <w:jc w:val="left"/>
      </w:pPr>
      <w:r>
        <w:rPr>
          <w:rFonts w:ascii="Arial" w:hAnsi="Arial"/>
          <w:color w:val="525252"/>
          <w:sz w:val="13"/>
        </w:rPr>
        <w:t>Veterans Claims for Benefits.</w:t>
      </w:r>
    </w:p>
    <w:p>
      <w:pPr>
        <w:spacing w:after="20" w:line="223" w:lineRule="auto"/>
        <w:jc w:val="right"/>
        <w:bidi/>
      </w:pPr>
      <w:r>
        <w:rPr>
          <w:rFonts w:ascii="Arial" w:hAnsi="Arial"/>
          <w:sz w:val="16"/>
        </w:rPr>
        <w:t>197.14  صلیب سرخ آمریکا در تهیه، توسعه، و به دست آوردن شواهد کافی برای حمایت از ادعاهای متقاضیان برای مزایای جانبازان کمک و اطلاعات ارائه می‌کند، و همچنین به مدعیانی که می‌خواهند به هیئت استیناف کهنه‌سربازان شکایت کنند، کمک می‌کند.</w:t>
      </w:r>
    </w:p>
    <w:p>
      <w:pPr>
        <w:spacing w:after="28" w:line="216" w:lineRule="auto"/>
        <w:ind w:left="259"/>
        <w:jc w:val="left"/>
      </w:pPr>
      <w:r>
        <w:rPr>
          <w:rFonts w:ascii="Arial" w:hAnsi="Arial"/>
          <w:color w:val="525252"/>
          <w:sz w:val="13"/>
        </w:rPr>
        <w:t>The American Red Cross provides assistance and information in preparing, developing, and obtaining sufficient evidence to support applicants’ claims for veterans’ benefits, and also assists claimants who seek to appeal to the Board of Veterans’ Appeals.</w:t>
      </w:r>
    </w:p>
    <w:p>
      <w:pPr>
        <w:spacing w:after="20" w:line="223" w:lineRule="auto"/>
        <w:jc w:val="right"/>
        <w:bidi/>
      </w:pPr>
      <w:r>
        <w:rPr>
          <w:rFonts w:ascii="Arial" w:hAnsi="Arial"/>
          <w:sz w:val="16"/>
        </w:rPr>
        <w:t>197.15  اطلاعات و خدمات ارجاع.</w:t>
      </w:r>
    </w:p>
    <w:p>
      <w:pPr>
        <w:spacing w:after="28" w:line="216" w:lineRule="auto"/>
        <w:ind w:left="259"/>
        <w:jc w:val="left"/>
      </w:pPr>
      <w:r>
        <w:rPr>
          <w:rFonts w:ascii="Arial" w:hAnsi="Arial"/>
          <w:color w:val="525252"/>
          <w:sz w:val="13"/>
        </w:rPr>
        <w:t>Information and Referral Services.</w:t>
      </w:r>
    </w:p>
    <w:p>
      <w:pPr>
        <w:spacing w:after="20" w:line="223" w:lineRule="auto"/>
        <w:jc w:val="right"/>
        <w:bidi/>
      </w:pPr>
      <w:r>
        <w:rPr>
          <w:rFonts w:ascii="Arial" w:hAnsi="Arial"/>
          <w:sz w:val="16"/>
        </w:rPr>
        <w:t>197.16  صلیب سرخ آمریکا خدمات محرمانه‌ای را به همه پرسنل نظامی و خانواده‌های آنها ارائه می‌دهد.</w:t>
      </w:r>
    </w:p>
    <w:p>
      <w:pPr>
        <w:spacing w:after="28" w:line="216" w:lineRule="auto"/>
        <w:ind w:left="259"/>
        <w:jc w:val="left"/>
      </w:pPr>
      <w:r>
        <w:rPr>
          <w:rFonts w:ascii="Arial" w:hAnsi="Arial"/>
          <w:color w:val="525252"/>
          <w:sz w:val="13"/>
        </w:rPr>
        <w:t>The American Red Cross offers confidential services to all military personnel and their families.</w:t>
      </w:r>
    </w:p>
    <w:p>
      <w:pPr>
        <w:spacing w:after="20" w:line="223" w:lineRule="auto"/>
        <w:jc w:val="right"/>
        <w:bidi/>
      </w:pPr>
      <w:r>
        <w:rPr>
          <w:rFonts w:ascii="Arial" w:hAnsi="Arial"/>
          <w:sz w:val="16"/>
        </w:rPr>
        <w:t>197.17  مشاوره، راهنمایی، اطلاعات، ارجاع، و سایر خدمات اجتماعی از طریق شبکه جهانی فصول و دفاتر تاسیسات نظامی در دسترس است.</w:t>
      </w:r>
    </w:p>
    <w:p>
      <w:pPr>
        <w:spacing w:after="28" w:line="216" w:lineRule="auto"/>
        <w:ind w:left="259"/>
        <w:jc w:val="left"/>
      </w:pPr>
      <w:r>
        <w:rPr>
          <w:rFonts w:ascii="Arial" w:hAnsi="Arial"/>
          <w:color w:val="525252"/>
          <w:sz w:val="13"/>
        </w:rPr>
        <w:t>Counseling, guidance, information, referrals, and other social services are available through the worldwide network of chapters and offices on military installations.</w:t>
      </w:r>
    </w:p>
    <w:p>
      <w:pPr>
        <w:spacing w:after="20" w:line="223" w:lineRule="auto"/>
        <w:jc w:val="right"/>
        <w:bidi/>
      </w:pPr>
      <w:r>
        <w:rPr>
          <w:rFonts w:ascii="Arial" w:hAnsi="Arial"/>
          <w:sz w:val="16"/>
        </w:rPr>
        <w:t>197.18  از آنجایی که تعداد بیشتری از واحدهای گارد ملی و ذخیره به وضعیت وظیفه تمام وقت فراخوانده می‌شوند، مشاوره برای آماده‌سازی اعضای نظامی مستقر در غیرنظامی و خانواده‌های آنها برای دوره فعال‌سازی اهمیت فزاینده‌ای پیدا کرده است.</w:t>
      </w:r>
    </w:p>
    <w:p>
      <w:pPr>
        <w:spacing w:after="28" w:line="216" w:lineRule="auto"/>
        <w:ind w:left="259"/>
        <w:jc w:val="left"/>
      </w:pPr>
      <w:r>
        <w:rPr>
          <w:rFonts w:ascii="Arial" w:hAnsi="Arial"/>
          <w:color w:val="525252"/>
          <w:sz w:val="13"/>
        </w:rPr>
        <w:t>As more and more National Guard and Reserve units are called to full-time duty status, counseling has become increasingly important to prepare the civilian-based military members and their families for the period of activation.</w:t>
      </w:r>
    </w:p>
    <w:p>
      <w:pPr>
        <w:spacing w:before="60" w:after="28"/>
        <w:jc w:val="right"/>
        <w:bidi/>
      </w:pPr>
      <w:r>
        <w:rPr>
          <w:b/>
          <w:color w:val="1F4D78"/>
          <w:sz w:val="18"/>
        </w:rPr>
        <w:t>11.11. برنامه های استخدام</w:t>
      </w:r>
    </w:p>
    <w:p>
      <w:pPr>
        <w:spacing w:after="20"/>
        <w:ind w:left="259"/>
        <w:jc w:val="left"/>
      </w:pPr>
      <w:r>
        <w:rPr>
          <w:color w:val="555555"/>
          <w:sz w:val="12"/>
        </w:rPr>
        <w:t>11.11. Recruiting Programs</w:t>
      </w:r>
    </w:p>
    <w:p>
      <w:pPr>
        <w:spacing w:after="20" w:line="223" w:lineRule="auto"/>
        <w:jc w:val="right"/>
        <w:bidi/>
      </w:pPr>
      <w:r>
        <w:rPr>
          <w:rFonts w:ascii="Arial" w:hAnsi="Arial"/>
          <w:sz w:val="16"/>
        </w:rPr>
        <w:t>197.20  هوانوردان در همه رده‌ها می‌توانند تأثیر مثبتی بر استخدام داشته باشند و به استخدام‌کنندگان در برقراری تماس‌ها و ایجاد سرنخ کمک کنند.</w:t>
      </w:r>
    </w:p>
    <w:p>
      <w:pPr>
        <w:spacing w:after="28" w:line="216" w:lineRule="auto"/>
        <w:ind w:left="259"/>
        <w:jc w:val="left"/>
      </w:pPr>
      <w:r>
        <w:rPr>
          <w:rFonts w:ascii="Arial" w:hAnsi="Arial"/>
          <w:color w:val="525252"/>
          <w:sz w:val="13"/>
        </w:rPr>
        <w:t>Airmen of all ranks can have a positive impact on recruiting and help recruiters make contacts and develop leads.</w:t>
      </w:r>
    </w:p>
    <w:p>
      <w:pPr>
        <w:spacing w:after="20" w:line="223" w:lineRule="auto"/>
        <w:jc w:val="right"/>
        <w:bidi/>
      </w:pPr>
      <w:r>
        <w:rPr>
          <w:rFonts w:ascii="Arial" w:hAnsi="Arial"/>
          <w:sz w:val="16"/>
        </w:rPr>
        <w:t>197.21  برنامه‌های کمک به استخدام.</w:t>
      </w:r>
    </w:p>
    <w:p>
      <w:pPr>
        <w:spacing w:after="28" w:line="216" w:lineRule="auto"/>
        <w:ind w:left="259"/>
        <w:jc w:val="left"/>
      </w:pPr>
      <w:r>
        <w:rPr>
          <w:rFonts w:ascii="Arial" w:hAnsi="Arial"/>
          <w:color w:val="525252"/>
          <w:sz w:val="13"/>
        </w:rPr>
        <w:t>Recruiter Assistance Programs.</w:t>
      </w:r>
    </w:p>
    <w:p>
      <w:pPr>
        <w:spacing w:after="20" w:line="223" w:lineRule="auto"/>
        <w:jc w:val="right"/>
        <w:bidi/>
      </w:pPr>
      <w:r>
        <w:rPr>
          <w:rFonts w:ascii="Arial" w:hAnsi="Arial"/>
          <w:sz w:val="16"/>
        </w:rPr>
        <w:t>197.22  برنامه کمک به استخدام (RAP) (هتتپ://ووو.رکرویتینگ.اف.میل/) یک برنامه مرخصی رگاف است که توسط سرویس استخدام نیروی هوایی اجرا می‌شود، جایی که یک نیروی هوایی یا نگهبان مستقیما از یک استخدام‌کننده USAF یا USSF پشتیبانی می‌کند.</w:t>
      </w:r>
    </w:p>
    <w:p>
      <w:pPr>
        <w:spacing w:after="28" w:line="216" w:lineRule="auto"/>
        <w:ind w:left="259"/>
        <w:jc w:val="left"/>
      </w:pPr>
      <w:r>
        <w:rPr>
          <w:rFonts w:ascii="Arial" w:hAnsi="Arial"/>
          <w:color w:val="525252"/>
          <w:sz w:val="13"/>
        </w:rPr>
        <w:t>The Recruiter Assistance Program (RAP) (http://www.recruiting.af.mil/) is a RegAF leave program, run by the Air Force Recruiting Service, where an Airman or Guardian directly supports a USAF or USSF recruiter.</w:t>
      </w:r>
    </w:p>
    <w:p>
      <w:pPr>
        <w:spacing w:after="20" w:line="223" w:lineRule="auto"/>
        <w:jc w:val="right"/>
        <w:bidi/>
      </w:pPr>
      <w:r>
        <w:rPr>
          <w:rFonts w:ascii="Arial" w:hAnsi="Arial"/>
          <w:sz w:val="16"/>
        </w:rPr>
        <w:t>197.23  اعضا می‌توانند مطابق با DAFI ۳۶-۳۰۰۳، برنامه مرخصی نظامی درخواست مرخصی غیر قابل پرداخت کنند.</w:t>
      </w:r>
    </w:p>
    <w:p>
      <w:pPr>
        <w:spacing w:after="28" w:line="216" w:lineRule="auto"/>
        <w:ind w:left="259"/>
        <w:jc w:val="left"/>
      </w:pPr>
      <w:r>
        <w:rPr>
          <w:rFonts w:ascii="Arial" w:hAnsi="Arial"/>
          <w:color w:val="525252"/>
          <w:sz w:val="13"/>
        </w:rPr>
        <w:t>Members may request non-chargeable leave in accordance with DAFI 36-3003, Military Leave Program.</w:t>
      </w:r>
    </w:p>
    <w:p>
      <w:pPr>
        <w:spacing w:after="20" w:line="223" w:lineRule="auto"/>
        <w:jc w:val="right"/>
        <w:bidi/>
      </w:pPr>
      <w:r>
        <w:rPr>
          <w:rFonts w:ascii="Arial" w:hAnsi="Arial"/>
          <w:sz w:val="16"/>
        </w:rPr>
        <w:t>197.24  RAP برای DAF و برای شرکت‌کنندگان مفید است، زیرا هوانوردان و نگهبانان می‌توانند تأثیرات عمده‌ای در اشتراک‌گذاری داستان USAF یا USSF در زادگاه یا محل اقامت قبلی خود داشته باشند.</w:t>
      </w:r>
    </w:p>
    <w:p>
      <w:pPr>
        <w:spacing w:after="28" w:line="216" w:lineRule="auto"/>
        <w:ind w:left="259"/>
        <w:jc w:val="left"/>
      </w:pPr>
      <w:r>
        <w:rPr>
          <w:rFonts w:ascii="Arial" w:hAnsi="Arial"/>
          <w:color w:val="525252"/>
          <w:sz w:val="13"/>
        </w:rPr>
        <w:t>RAP is beneficial to the DAF and to participants as Airmen and Guardians can be major influences in sharing the USAF or USSF story to their hometown or place of previous residence.</w:t>
      </w:r>
    </w:p>
    <w:p>
      <w:pPr>
        <w:spacing w:after="20" w:line="223" w:lineRule="auto"/>
        <w:jc w:val="right"/>
        <w:bidi/>
      </w:pPr>
      <w:r>
        <w:rPr>
          <w:rFonts w:ascii="Arial" w:hAnsi="Arial"/>
          <w:sz w:val="16"/>
        </w:rPr>
        <w:t>197.25  وظایف RAP ممکن است شامل جلسات پرسش و پاسخ، ارائه ارائه، یا ارائه تجربیات USAF یا USSF خود به دانش‌آموزان دبیرستانی و کالج باشد.</w:t>
      </w:r>
    </w:p>
    <w:p>
      <w:pPr>
        <w:spacing w:after="28" w:line="216" w:lineRule="auto"/>
        <w:ind w:left="259"/>
        <w:jc w:val="left"/>
      </w:pPr>
      <w:r>
        <w:rPr>
          <w:rFonts w:ascii="Arial" w:hAnsi="Arial"/>
          <w:color w:val="525252"/>
          <w:sz w:val="13"/>
        </w:rPr>
        <w:t>RAP duties may include question-and-answer sessions, making presentations, or providing testimonials of their USAF or USSF experiences to high school and college students.</w:t>
      </w:r>
    </w:p>
    <w:p>
      <w:pPr>
        <w:spacing w:after="20" w:line="223" w:lineRule="auto"/>
        <w:jc w:val="right"/>
        <w:bidi/>
      </w:pPr>
      <w:r>
        <w:rPr>
          <w:rFonts w:ascii="Arial" w:hAnsi="Arial"/>
          <w:sz w:val="16"/>
        </w:rPr>
        <w:t>197.26  ما همه استخدام کننده هستیم.</w:t>
      </w:r>
    </w:p>
    <w:p>
      <w:pPr>
        <w:spacing w:after="28" w:line="216" w:lineRule="auto"/>
        <w:ind w:left="259"/>
        <w:jc w:val="left"/>
      </w:pPr>
      <w:r>
        <w:rPr>
          <w:rFonts w:ascii="Arial" w:hAnsi="Arial"/>
          <w:color w:val="525252"/>
          <w:sz w:val="13"/>
        </w:rPr>
        <w:t>We Are All Recruiters.</w:t>
      </w:r>
    </w:p>
    <w:p>
      <w:pPr>
        <w:spacing w:after="20" w:line="223" w:lineRule="auto"/>
        <w:jc w:val="right"/>
        <w:bidi/>
      </w:pPr>
      <w:r>
        <w:rPr>
          <w:rFonts w:ascii="Arial" w:hAnsi="Arial"/>
          <w:sz w:val="16"/>
        </w:rPr>
        <w:t>197.27  برنامه و ار الل رکرویترس (WEAR) (https://www.recruiting.af.mil/) ممکن است در صورتی که در رویدادی شرکت کنند که مستقیما مأموریت استخدام را افزایش می‌دهد به نیروهای هوایی یا گواردیانس وضعیت وظیفه موقت اجازه دهد.</w:t>
      </w:r>
    </w:p>
    <w:p>
      <w:pPr>
        <w:spacing w:after="28" w:line="216" w:lineRule="auto"/>
        <w:ind w:left="259"/>
        <w:jc w:val="left"/>
      </w:pPr>
      <w:r>
        <w:rPr>
          <w:rFonts w:ascii="Arial" w:hAnsi="Arial"/>
          <w:color w:val="525252"/>
          <w:sz w:val="13"/>
        </w:rPr>
        <w:t>The We Are All Recruiters (WEAR) program (https://www.recruiting.af.mil/) may grant Airmen or Guardians permissive temporary duty status if they participate in an event that directly enhances the recruiting mission.</w:t>
      </w:r>
    </w:p>
    <w:p>
      <w:pPr>
        <w:spacing w:after="20" w:line="223" w:lineRule="auto"/>
        <w:jc w:val="right"/>
        <w:bidi/>
      </w:pPr>
      <w:r>
        <w:rPr>
          <w:rFonts w:ascii="Arial" w:hAnsi="Arial"/>
          <w:sz w:val="16"/>
        </w:rPr>
        <w:t>197.28  همه هوانوردان و نگهبانان، صرف نظر از تخصص USAF یا USSF خود، استخدام‌کننده هستند.</w:t>
      </w:r>
    </w:p>
    <w:p>
      <w:pPr>
        <w:spacing w:after="28" w:line="216" w:lineRule="auto"/>
        <w:ind w:left="259"/>
        <w:jc w:val="left"/>
      </w:pPr>
      <w:r>
        <w:rPr>
          <w:rFonts w:ascii="Arial" w:hAnsi="Arial"/>
          <w:color w:val="525252"/>
          <w:sz w:val="13"/>
        </w:rPr>
        <w:t>All Airmen and Guardians, regardless of their USAF or USSF specialty, are recruiters.</w:t>
      </w:r>
    </w:p>
    <w:p>
      <w:pPr>
        <w:spacing w:after="20" w:line="223" w:lineRule="auto"/>
        <w:jc w:val="right"/>
        <w:bidi/>
      </w:pPr>
      <w:r>
        <w:rPr>
          <w:rFonts w:ascii="Arial" w:hAnsi="Arial"/>
          <w:sz w:val="16"/>
        </w:rPr>
        <w:t>197.29  رویداد WEAR رویدادی است که در آن تعامل پرسنل USAF یا USSF باعث آموزش و افزایش آگاهی عمومی از DAF می‌شود و به‌طور بالقوه می‌تواند علاقه‌مندی به نیروهای جدید ایجاد کند.</w:t>
      </w:r>
    </w:p>
    <w:p>
      <w:pPr>
        <w:spacing w:after="28" w:line="216" w:lineRule="auto"/>
        <w:ind w:left="259"/>
        <w:jc w:val="left"/>
      </w:pPr>
      <w:r>
        <w:rPr>
          <w:rFonts w:ascii="Arial" w:hAnsi="Arial"/>
          <w:color w:val="525252"/>
          <w:sz w:val="13"/>
        </w:rPr>
        <w:t>A WEAR event is an event where the interaction of USAF or USSF personnel educates and increases public awareness of the DAF and could potentially generate interest in new recruits.</w:t>
      </w:r>
    </w:p>
    <w:p>
      <w:r>
        <w:br w:type="page"/>
      </w:r>
    </w:p>
    <w:p>
      <w:pPr>
        <w:spacing w:after="60"/>
        <w:jc w:val="right"/>
        <w:bidi/>
      </w:pPr>
      <w:r>
        <w:rPr>
          <w:rFonts w:ascii="Arial" w:hAnsi="Arial"/>
          <w:b/>
          <w:color w:val="1F4D78"/>
          <w:sz w:val="19"/>
        </w:rPr>
        <w:t>هفتهٔ 198  |  صفحهٔ منبع: 214</w:t>
      </w:r>
    </w:p>
    <w:p>
      <w:pPr>
        <w:spacing w:after="20" w:line="223" w:lineRule="auto"/>
        <w:jc w:val="right"/>
        <w:bidi/>
      </w:pPr>
      <w:r>
        <w:rPr>
          <w:rFonts w:ascii="Arial" w:hAnsi="Arial"/>
          <w:sz w:val="16"/>
        </w:rPr>
        <w:t>198.01  تأیید WEAR محدود به رویدادهایی است که در آن هوانوردان و نگهبانان مستقیما با متقاضیان یا تأثیرگذاران احتمالی درباره فرصت‌های USAF یا USSF صحبت می‌کنند.</w:t>
      </w:r>
    </w:p>
    <w:p>
      <w:pPr>
        <w:spacing w:after="28" w:line="216" w:lineRule="auto"/>
        <w:ind w:left="259"/>
        <w:jc w:val="left"/>
      </w:pPr>
      <w:r>
        <w:rPr>
          <w:rFonts w:ascii="Arial" w:hAnsi="Arial"/>
          <w:color w:val="525252"/>
          <w:sz w:val="13"/>
        </w:rPr>
        <w:t>Approval for WEAR is limited to those events where Airmen and Guardians are directly speaking to potential applicants or influencers about USAF or USSF opportunities.</w:t>
      </w:r>
    </w:p>
    <w:p>
      <w:pPr>
        <w:spacing w:after="20" w:line="223" w:lineRule="auto"/>
        <w:jc w:val="right"/>
        <w:bidi/>
      </w:pPr>
      <w:r>
        <w:rPr>
          <w:rFonts w:ascii="Arial" w:hAnsi="Arial"/>
          <w:sz w:val="16"/>
        </w:rPr>
        <w:t>198.02  متقاضیان به‌عنوان افراد در محدوده سنی ۱۷ تا ۳۹ تعریف می‌شوند.</w:t>
      </w:r>
    </w:p>
    <w:p>
      <w:pPr>
        <w:spacing w:after="28" w:line="216" w:lineRule="auto"/>
        <w:ind w:left="259"/>
        <w:jc w:val="left"/>
      </w:pPr>
      <w:r>
        <w:rPr>
          <w:rFonts w:ascii="Arial" w:hAnsi="Arial"/>
          <w:color w:val="525252"/>
          <w:sz w:val="13"/>
        </w:rPr>
        <w:t>Applicants are defined as individuals within the age range of 17 to 39.</w:t>
      </w:r>
    </w:p>
    <w:p>
      <w:pPr>
        <w:spacing w:after="20" w:line="223" w:lineRule="auto"/>
        <w:jc w:val="right"/>
        <w:bidi/>
      </w:pPr>
      <w:r>
        <w:rPr>
          <w:rFonts w:ascii="Arial" w:hAnsi="Arial"/>
          <w:sz w:val="16"/>
        </w:rPr>
        <w:t>198.03  اینفلوئنسرها به‌عنوان والدین، رهبران جامعه، معلمان، مشاوران یا مربیان تعریف می‌شوند.</w:t>
      </w:r>
    </w:p>
    <w:p>
      <w:pPr>
        <w:spacing w:after="28" w:line="216" w:lineRule="auto"/>
        <w:ind w:left="259"/>
        <w:jc w:val="left"/>
      </w:pPr>
      <w:r>
        <w:rPr>
          <w:rFonts w:ascii="Arial" w:hAnsi="Arial"/>
          <w:color w:val="525252"/>
          <w:sz w:val="13"/>
        </w:rPr>
        <w:t>Influencers are defined as parents, community leaders, teachers, counselors, or coaches.</w:t>
      </w:r>
    </w:p>
    <w:p>
      <w:pPr>
        <w:spacing w:after="20" w:line="223" w:lineRule="auto"/>
        <w:jc w:val="right"/>
        <w:bidi/>
      </w:pPr>
      <w:r>
        <w:rPr>
          <w:rFonts w:ascii="Arial" w:hAnsi="Arial"/>
          <w:sz w:val="16"/>
        </w:rPr>
        <w:t>198.04  برای رویدادهایی که چندین هوانورد در آن حضور دارند، هر شرکت کننده باید بسته‌ای را برای تأیید ارسال کند.</w:t>
      </w:r>
    </w:p>
    <w:p>
      <w:pPr>
        <w:spacing w:after="28" w:line="216" w:lineRule="auto"/>
        <w:ind w:left="259"/>
        <w:jc w:val="left"/>
      </w:pPr>
      <w:r>
        <w:rPr>
          <w:rFonts w:ascii="Arial" w:hAnsi="Arial"/>
          <w:color w:val="525252"/>
          <w:sz w:val="13"/>
        </w:rPr>
        <w:t>For events where multiple Airmen are attending, each attendee must submit a package for approval.</w:t>
      </w:r>
    </w:p>
    <w:p>
      <w:pPr>
        <w:spacing w:after="20" w:line="223" w:lineRule="auto"/>
        <w:jc w:val="right"/>
        <w:bidi/>
      </w:pPr>
      <w:r>
        <w:rPr>
          <w:rFonts w:ascii="Arial" w:hAnsi="Arial"/>
          <w:sz w:val="16"/>
        </w:rPr>
        <w:t>198.05  درخواست‌های WEAR باید ابتدا توسط فرمانده فرد مطابق با DAFI ۳۶-۳۰۰۳ تأیید شود.</w:t>
      </w:r>
    </w:p>
    <w:p>
      <w:pPr>
        <w:spacing w:after="28" w:line="216" w:lineRule="auto"/>
        <w:ind w:left="259"/>
        <w:jc w:val="left"/>
      </w:pPr>
      <w:r>
        <w:rPr>
          <w:rFonts w:ascii="Arial" w:hAnsi="Arial"/>
          <w:color w:val="525252"/>
          <w:sz w:val="13"/>
        </w:rPr>
        <w:t>WEAR requests must be first approved by the individual’s commander in accordance with DAFI 36-3003.</w:t>
      </w:r>
    </w:p>
    <w:p>
      <w:pPr>
        <w:spacing w:after="20" w:line="223" w:lineRule="auto"/>
        <w:jc w:val="right"/>
        <w:bidi/>
      </w:pPr>
      <w:r>
        <w:rPr>
          <w:rFonts w:ascii="Arial" w:hAnsi="Arial"/>
          <w:sz w:val="16"/>
        </w:rPr>
        <w:t>198.06  درخواست‌ها سپس از طریق پست الکترونیکی: افرشقپا@وس.اف.میل به دفتر امور عمومی خدمات استخدام نیروی هوایی ارسال می‌شوند.</w:t>
      </w:r>
    </w:p>
    <w:p>
      <w:pPr>
        <w:spacing w:after="28" w:line="216" w:lineRule="auto"/>
        <w:ind w:left="259"/>
        <w:jc w:val="left"/>
      </w:pPr>
      <w:r>
        <w:rPr>
          <w:rFonts w:ascii="Arial" w:hAnsi="Arial"/>
          <w:color w:val="525252"/>
          <w:sz w:val="13"/>
        </w:rPr>
        <w:t>Requests are then routed to the Air Force Recruiting Service Public Affairs office via e-mail: afrshqpa@us.af.mil.</w:t>
      </w:r>
    </w:p>
    <w:p>
      <w:pPr>
        <w:spacing w:after="20" w:line="223" w:lineRule="auto"/>
        <w:jc w:val="right"/>
        <w:bidi/>
      </w:pPr>
      <w:r>
        <w:rPr>
          <w:rFonts w:ascii="Arial" w:hAnsi="Arial"/>
          <w:sz w:val="16"/>
        </w:rPr>
        <w:t>198.07  اعضا ممکن است برای شرکت در یک رویداد WEAR درخواست موقت موقت کنند.</w:t>
      </w:r>
    </w:p>
    <w:p>
      <w:pPr>
        <w:spacing w:after="28" w:line="216" w:lineRule="auto"/>
        <w:ind w:left="259"/>
        <w:jc w:val="left"/>
      </w:pPr>
      <w:r>
        <w:rPr>
          <w:rFonts w:ascii="Arial" w:hAnsi="Arial"/>
          <w:color w:val="525252"/>
          <w:sz w:val="13"/>
        </w:rPr>
        <w:t>Members may request permissive temporary duty to attend a WEAR event.</w:t>
      </w:r>
    </w:p>
    <w:p>
      <w:pPr>
        <w:spacing w:after="20" w:line="223" w:lineRule="auto"/>
        <w:jc w:val="right"/>
        <w:bidi/>
      </w:pPr>
      <w:r>
        <w:rPr>
          <w:rFonts w:ascii="Arial" w:hAnsi="Arial"/>
          <w:sz w:val="16"/>
        </w:rPr>
        <w:t>198.08  از وب‌سایت خدمات استخدام AF (https://www.recruiting.af.mil/) دیدن کنید تا برگه اطلاعات WEAR را مرور کنید و فرم WEAR، فرم ۱۰ AFRS را دانلود کنید.</w:t>
      </w:r>
    </w:p>
    <w:p>
      <w:pPr>
        <w:spacing w:after="28" w:line="216" w:lineRule="auto"/>
        <w:ind w:left="259"/>
        <w:jc w:val="left"/>
      </w:pPr>
      <w:r>
        <w:rPr>
          <w:rFonts w:ascii="Arial" w:hAnsi="Arial"/>
          <w:color w:val="525252"/>
          <w:sz w:val="13"/>
        </w:rPr>
        <w:t>Visit the AF Recruiting Service website (https://www.recruiting.af.mil/) to review the WEAR Fact Sheet, and download the WEAR form, AFRS Form 10.</w:t>
      </w:r>
    </w:p>
    <w:p>
      <w:r>
        <w:br w:type="page"/>
      </w:r>
    </w:p>
    <w:p>
      <w:pPr>
        <w:spacing w:after="60"/>
        <w:jc w:val="right"/>
        <w:bidi/>
      </w:pPr>
      <w:r>
        <w:rPr>
          <w:rFonts w:ascii="Arial" w:hAnsi="Arial"/>
          <w:b/>
          <w:color w:val="1F4D78"/>
          <w:sz w:val="19"/>
        </w:rPr>
        <w:t>هفتهٔ 199  |  صفحهٔ منبع: 215</w:t>
      </w:r>
    </w:p>
    <w:p>
      <w:pPr>
        <w:spacing w:before="60" w:after="28"/>
        <w:jc w:val="right"/>
        <w:bidi/>
      </w:pPr>
      <w:r>
        <w:rPr>
          <w:b/>
          <w:color w:val="1F4D78"/>
          <w:sz w:val="18"/>
        </w:rPr>
        <w:t>بخش 11B - مرخصی و غیبت های مجاز</w:t>
      </w:r>
    </w:p>
    <w:p>
      <w:pPr>
        <w:spacing w:after="20"/>
        <w:ind w:left="259"/>
        <w:jc w:val="left"/>
      </w:pPr>
      <w:r>
        <w:rPr>
          <w:color w:val="555555"/>
          <w:sz w:val="12"/>
        </w:rPr>
        <w:t>Section 11B—Leave and Authorized Absences</w:t>
      </w:r>
    </w:p>
    <w:p>
      <w:pPr>
        <w:spacing w:before="60" w:after="28"/>
        <w:jc w:val="right"/>
        <w:bidi/>
      </w:pPr>
      <w:r>
        <w:rPr>
          <w:b/>
          <w:color w:val="1F4D78"/>
          <w:sz w:val="18"/>
        </w:rPr>
        <w:t>11.12. مدیریت را ترک کنید</w:t>
      </w:r>
    </w:p>
    <w:p>
      <w:pPr>
        <w:spacing w:after="20"/>
        <w:ind w:left="259"/>
        <w:jc w:val="left"/>
      </w:pPr>
      <w:r>
        <w:rPr>
          <w:color w:val="555555"/>
          <w:sz w:val="12"/>
        </w:rPr>
        <w:t>11.12. Leave Management</w:t>
      </w:r>
    </w:p>
    <w:p>
      <w:pPr>
        <w:spacing w:after="20" w:line="223" w:lineRule="auto"/>
        <w:jc w:val="right"/>
        <w:bidi/>
      </w:pPr>
      <w:r>
        <w:rPr>
          <w:rFonts w:ascii="Arial" w:hAnsi="Arial"/>
          <w:sz w:val="16"/>
        </w:rPr>
        <w:t>199.03  برنامه‌ها/برنامه‌های مرخصی سالانه به اعضا این فرصت را می‌دهد که در چارچوب محدودیت‌های الزامات عملیاتی مرخصی بگیرند.</w:t>
      </w:r>
    </w:p>
    <w:p>
      <w:pPr>
        <w:spacing w:after="28" w:line="216" w:lineRule="auto"/>
        <w:ind w:left="259"/>
        <w:jc w:val="left"/>
      </w:pPr>
      <w:r>
        <w:rPr>
          <w:rFonts w:ascii="Arial" w:hAnsi="Arial"/>
          <w:color w:val="525252"/>
          <w:sz w:val="13"/>
        </w:rPr>
        <w:t>Annual leave programs/plans give members the opportunity to take leave within the constraints of operational requirements.</w:t>
      </w:r>
    </w:p>
    <w:p>
      <w:pPr>
        <w:spacing w:after="20" w:line="223" w:lineRule="auto"/>
        <w:jc w:val="right"/>
        <w:bidi/>
      </w:pPr>
      <w:r>
        <w:rPr>
          <w:rFonts w:ascii="Arial" w:hAnsi="Arial"/>
          <w:sz w:val="16"/>
        </w:rPr>
        <w:t>199.04  فرماندهان یگان برنامه‌های مرخصی و طرح‌هایی را برای تشویق استفاده از مرخصی برای حداکثر منافع عضو ایجاد می‌کنند.</w:t>
      </w:r>
    </w:p>
    <w:p>
      <w:pPr>
        <w:spacing w:after="28" w:line="216" w:lineRule="auto"/>
        <w:ind w:left="259"/>
        <w:jc w:val="left"/>
      </w:pPr>
      <w:r>
        <w:rPr>
          <w:rFonts w:ascii="Arial" w:hAnsi="Arial"/>
          <w:color w:val="525252"/>
          <w:sz w:val="13"/>
        </w:rPr>
        <w:t>Unit commanders establish leave programs and plans to encourage the use of leave for the maximum benefit of the member.</w:t>
      </w:r>
    </w:p>
    <w:p>
      <w:pPr>
        <w:spacing w:after="20" w:line="223" w:lineRule="auto"/>
        <w:jc w:val="right"/>
        <w:bidi/>
      </w:pPr>
      <w:r>
        <w:rPr>
          <w:rFonts w:ascii="Arial" w:hAnsi="Arial"/>
          <w:sz w:val="16"/>
        </w:rPr>
        <w:t>199.05  مهلت‌های طولانی مدت از محیط کار تأثیر مفیدی بر وضعیت روانی و جسمی فرد دارد.</w:t>
      </w:r>
    </w:p>
    <w:p>
      <w:pPr>
        <w:spacing w:after="28" w:line="216" w:lineRule="auto"/>
        <w:ind w:left="259"/>
        <w:jc w:val="left"/>
      </w:pPr>
      <w:r>
        <w:rPr>
          <w:rFonts w:ascii="Arial" w:hAnsi="Arial"/>
          <w:color w:val="525252"/>
          <w:sz w:val="13"/>
        </w:rPr>
        <w:t>Lengthy respites from the work environment tend to have a beneficial effect on an individual’s psychological and physical status.</w:t>
      </w:r>
    </w:p>
    <w:p>
      <w:pPr>
        <w:spacing w:after="20" w:line="223" w:lineRule="auto"/>
        <w:jc w:val="right"/>
        <w:bidi/>
      </w:pPr>
      <w:r>
        <w:rPr>
          <w:rFonts w:ascii="Arial" w:hAnsi="Arial"/>
          <w:sz w:val="16"/>
        </w:rPr>
        <w:t>199.06  بنابراین، برنامه مرخصی مؤثر یک نیاز ضروری نظامی است.</w:t>
      </w:r>
    </w:p>
    <w:p>
      <w:pPr>
        <w:spacing w:after="28" w:line="216" w:lineRule="auto"/>
        <w:ind w:left="259"/>
        <w:jc w:val="left"/>
      </w:pPr>
      <w:r>
        <w:rPr>
          <w:rFonts w:ascii="Arial" w:hAnsi="Arial"/>
          <w:color w:val="525252"/>
          <w:sz w:val="13"/>
        </w:rPr>
        <w:t>Therefore, an effective leave program is an essential military requirement.</w:t>
      </w:r>
    </w:p>
    <w:p>
      <w:pPr>
        <w:spacing w:after="20" w:line="223" w:lineRule="auto"/>
        <w:jc w:val="right"/>
        <w:bidi/>
      </w:pPr>
      <w:r>
        <w:rPr>
          <w:rFonts w:ascii="Arial" w:hAnsi="Arial"/>
          <w:sz w:val="16"/>
        </w:rPr>
        <w:t>199.07  پردازش درخواست‌های مرخصی.</w:t>
      </w:r>
    </w:p>
    <w:p>
      <w:pPr>
        <w:spacing w:after="28" w:line="216" w:lineRule="auto"/>
        <w:ind w:left="259"/>
        <w:jc w:val="left"/>
      </w:pPr>
      <w:r>
        <w:rPr>
          <w:rFonts w:ascii="Arial" w:hAnsi="Arial"/>
          <w:color w:val="525252"/>
          <w:sz w:val="13"/>
        </w:rPr>
        <w:t>Processing Leave Requests.</w:t>
      </w:r>
    </w:p>
    <w:p>
      <w:pPr>
        <w:spacing w:after="20" w:line="223" w:lineRule="auto"/>
        <w:jc w:val="right"/>
        <w:bidi/>
      </w:pPr>
      <w:r>
        <w:rPr>
          <w:rFonts w:ascii="Arial" w:hAnsi="Arial"/>
          <w:sz w:val="16"/>
        </w:rPr>
        <w:t>199.08  لاووب یک روش خودکار برای درخواست و پردازش مرخصی است.</w:t>
      </w:r>
    </w:p>
    <w:p>
      <w:pPr>
        <w:spacing w:after="28" w:line="216" w:lineRule="auto"/>
        <w:ind w:left="259"/>
        <w:jc w:val="left"/>
      </w:pPr>
      <w:r>
        <w:rPr>
          <w:rFonts w:ascii="Arial" w:hAnsi="Arial"/>
          <w:color w:val="525252"/>
          <w:sz w:val="13"/>
        </w:rPr>
        <w:t>LeaveWeb is an automated method of requesting and processing leave.</w:t>
      </w:r>
    </w:p>
    <w:p>
      <w:pPr>
        <w:spacing w:after="20" w:line="223" w:lineRule="auto"/>
        <w:jc w:val="right"/>
        <w:bidi/>
      </w:pPr>
      <w:r>
        <w:rPr>
          <w:rFonts w:ascii="Arial" w:hAnsi="Arial"/>
          <w:sz w:val="16"/>
        </w:rPr>
        <w:t>199.09  تحت لاووب، عضو درخواست مرخصی می‌کند که طبق تعیین فرمانده عضو، یک ایمیل به مرجع تأیید مرخصی ارسال می‌کند.</w:t>
      </w:r>
    </w:p>
    <w:p>
      <w:pPr>
        <w:spacing w:after="28" w:line="216" w:lineRule="auto"/>
        <w:ind w:left="259"/>
        <w:jc w:val="left"/>
      </w:pPr>
      <w:r>
        <w:rPr>
          <w:rFonts w:ascii="Arial" w:hAnsi="Arial"/>
          <w:color w:val="525252"/>
          <w:sz w:val="13"/>
        </w:rPr>
        <w:t>Under LeaveWeb, the member requests leave which generates an e-mail to the leave approval authority, as determined by the member’s commander.</w:t>
      </w:r>
    </w:p>
    <w:p>
      <w:pPr>
        <w:spacing w:after="20" w:line="223" w:lineRule="auto"/>
        <w:jc w:val="right"/>
        <w:bidi/>
      </w:pPr>
      <w:r>
        <w:rPr>
          <w:rFonts w:ascii="Arial" w:hAnsi="Arial"/>
          <w:sz w:val="16"/>
        </w:rPr>
        <w:t>199.10  در حالی که فرماندهان دارای اختیار تأیید نهایی هستند، می‌توانند این اختیار را با توجه به نیازهای سازمان تفویض کنند که معمولا کمتر از ناظر خط اول نیست.</w:t>
      </w:r>
    </w:p>
    <w:p>
      <w:pPr>
        <w:spacing w:after="28" w:line="216" w:lineRule="auto"/>
        <w:ind w:left="259"/>
        <w:jc w:val="left"/>
      </w:pPr>
      <w:r>
        <w:rPr>
          <w:rFonts w:ascii="Arial" w:hAnsi="Arial"/>
          <w:color w:val="525252"/>
          <w:sz w:val="13"/>
        </w:rPr>
        <w:t>While commanders have final approval authority, they may delegate this authority according to the needs of the organization, normally no lower than the first-line supervisor.</w:t>
      </w:r>
    </w:p>
    <w:p>
      <w:pPr>
        <w:spacing w:after="20" w:line="223" w:lineRule="auto"/>
        <w:jc w:val="right"/>
        <w:bidi/>
      </w:pPr>
      <w:r>
        <w:rPr>
          <w:rFonts w:ascii="Arial" w:hAnsi="Arial"/>
          <w:sz w:val="16"/>
        </w:rPr>
        <w:t>199.11  مرجع تأیید مرخصی مرخصی را تأیید یا رد می‌کند و در صورت تأیید، لاووب درخواست را برای تأیید اعتبار به نظارت بر مرخصی واحد ارسال می‌کند.</w:t>
      </w:r>
    </w:p>
    <w:p>
      <w:pPr>
        <w:spacing w:after="28" w:line="216" w:lineRule="auto"/>
        <w:ind w:left="259"/>
        <w:jc w:val="left"/>
      </w:pPr>
      <w:r>
        <w:rPr>
          <w:rFonts w:ascii="Arial" w:hAnsi="Arial"/>
          <w:color w:val="525252"/>
          <w:sz w:val="13"/>
        </w:rPr>
        <w:t>The leave approval authority approves or disapproves the leave and, if approved, LeaveWeb sends the request to the unit leave monitor for validation.</w:t>
      </w:r>
    </w:p>
    <w:p>
      <w:pPr>
        <w:spacing w:after="20" w:line="223" w:lineRule="auto"/>
        <w:jc w:val="right"/>
        <w:bidi/>
      </w:pPr>
      <w:r>
        <w:rPr>
          <w:rFonts w:ascii="Arial" w:hAnsi="Arial"/>
          <w:sz w:val="16"/>
        </w:rPr>
        <w:t>199.12  پس از تأیید، درخواست مرخصی به صورت الکترونیکی برای امور مالی ارسال می‌شود.</w:t>
      </w:r>
    </w:p>
    <w:p>
      <w:pPr>
        <w:spacing w:after="28" w:line="216" w:lineRule="auto"/>
        <w:ind w:left="259"/>
        <w:jc w:val="left"/>
      </w:pPr>
      <w:r>
        <w:rPr>
          <w:rFonts w:ascii="Arial" w:hAnsi="Arial"/>
          <w:color w:val="525252"/>
          <w:sz w:val="13"/>
        </w:rPr>
        <w:t>Once validated, the leave request is sent electronically to finance.</w:t>
      </w:r>
    </w:p>
    <w:p>
      <w:pPr>
        <w:spacing w:after="20" w:line="223" w:lineRule="auto"/>
        <w:jc w:val="right"/>
        <w:bidi/>
      </w:pPr>
      <w:r>
        <w:rPr>
          <w:rFonts w:ascii="Arial" w:hAnsi="Arial"/>
          <w:sz w:val="16"/>
        </w:rPr>
        <w:t>199.13  عضو یک کپی از فرم مرخصی تأیید شده را برای حمل دستی در طول مرخصی چاپ می‌کند.</w:t>
      </w:r>
    </w:p>
    <w:p>
      <w:pPr>
        <w:spacing w:after="28" w:line="216" w:lineRule="auto"/>
        <w:ind w:left="259"/>
        <w:jc w:val="left"/>
      </w:pPr>
      <w:r>
        <w:rPr>
          <w:rFonts w:ascii="Arial" w:hAnsi="Arial"/>
          <w:color w:val="525252"/>
          <w:sz w:val="13"/>
        </w:rPr>
        <w:t>The member prints a copy of the approved leave form to hand-carry during leave.</w:t>
      </w:r>
    </w:p>
    <w:p>
      <w:pPr>
        <w:spacing w:after="20" w:line="223" w:lineRule="auto"/>
        <w:jc w:val="right"/>
        <w:bidi/>
      </w:pPr>
      <w:r>
        <w:rPr>
          <w:rFonts w:ascii="Arial" w:hAnsi="Arial"/>
          <w:sz w:val="16"/>
        </w:rPr>
        <w:t>199.14  پس از بازگشت از مرخصی، عضو به‌روزرسانی‌های لازم را در لاووب تکمیل می‌کند و ایمیل را برای تأیید به مرجع تأیید مرخصی ارسال می‌کند.</w:t>
      </w:r>
    </w:p>
    <w:p>
      <w:pPr>
        <w:spacing w:after="28" w:line="216" w:lineRule="auto"/>
        <w:ind w:left="259"/>
        <w:jc w:val="left"/>
      </w:pPr>
      <w:r>
        <w:rPr>
          <w:rFonts w:ascii="Arial" w:hAnsi="Arial"/>
          <w:color w:val="525252"/>
          <w:sz w:val="13"/>
        </w:rPr>
        <w:t>Upon returning from leave, the member completes the necessary updates in LeaveWeb and forwards the e-mail to the leave approval authority for endorsement.</w:t>
      </w:r>
    </w:p>
    <w:p>
      <w:pPr>
        <w:spacing w:after="20" w:line="223" w:lineRule="auto"/>
        <w:jc w:val="right"/>
        <w:bidi/>
      </w:pPr>
      <w:r>
        <w:rPr>
          <w:rFonts w:ascii="Arial" w:hAnsi="Arial"/>
          <w:sz w:val="16"/>
        </w:rPr>
        <w:t>199.15  در صورتی که لاووب در دسترس نباشد، رویه‌های مناسب ممکن است نیاز به استفاده از فرم ۹۸۸ DAF، درخواست/مجوز ترک داشته باشد.</w:t>
      </w:r>
    </w:p>
    <w:p>
      <w:pPr>
        <w:spacing w:after="28" w:line="216" w:lineRule="auto"/>
        <w:ind w:left="259"/>
        <w:jc w:val="left"/>
      </w:pPr>
      <w:r>
        <w:rPr>
          <w:rFonts w:ascii="Arial" w:hAnsi="Arial"/>
          <w:color w:val="525252"/>
          <w:sz w:val="13"/>
        </w:rPr>
        <w:t>In the event LeaveWeb is unavailable, appropriate procedures may require use of the DAF Form 988, Leave Request/Authorization.</w:t>
      </w:r>
    </w:p>
    <w:p>
      <w:pPr>
        <w:spacing w:before="60" w:after="28"/>
        <w:jc w:val="right"/>
        <w:bidi/>
      </w:pPr>
      <w:r>
        <w:rPr>
          <w:b/>
          <w:color w:val="1F4D78"/>
          <w:sz w:val="18"/>
        </w:rPr>
        <w:t>11.13. مرخصی شروع و پایان</w:t>
      </w:r>
    </w:p>
    <w:p>
      <w:pPr>
        <w:spacing w:after="20"/>
        <w:ind w:left="259"/>
        <w:jc w:val="left"/>
      </w:pPr>
      <w:r>
        <w:rPr>
          <w:color w:val="555555"/>
          <w:sz w:val="12"/>
        </w:rPr>
        <w:t>11.13. Beginning and Ending Leave</w:t>
      </w:r>
    </w:p>
    <w:p>
      <w:pPr>
        <w:spacing w:after="20" w:line="223" w:lineRule="auto"/>
        <w:jc w:val="right"/>
        <w:bidi/>
      </w:pPr>
      <w:r>
        <w:rPr>
          <w:rFonts w:ascii="Arial" w:hAnsi="Arial"/>
          <w:sz w:val="16"/>
        </w:rPr>
        <w:t>199.17  مرخصی باید در منطقه محلی شروع و پایان یابد.</w:t>
      </w:r>
    </w:p>
    <w:p>
      <w:pPr>
        <w:spacing w:after="28" w:line="216" w:lineRule="auto"/>
        <w:ind w:left="259"/>
        <w:jc w:val="left"/>
      </w:pPr>
      <w:r>
        <w:rPr>
          <w:rFonts w:ascii="Arial" w:hAnsi="Arial"/>
          <w:color w:val="525252"/>
          <w:sz w:val="13"/>
        </w:rPr>
        <w:t>Leave must begin and end in the local area.</w:t>
      </w:r>
    </w:p>
    <w:p>
      <w:pPr>
        <w:spacing w:after="20" w:line="223" w:lineRule="auto"/>
        <w:jc w:val="right"/>
        <w:bidi/>
      </w:pPr>
      <w:r>
        <w:rPr>
          <w:rFonts w:ascii="Arial" w:hAnsi="Arial"/>
          <w:sz w:val="16"/>
        </w:rPr>
        <w:t>199.18  اصطلاح "منطقه محلی" به معنای محل سکونتی است که عضو به‌طور روزانه از آنجا به ایستگاه وظیفه رفت و آمد می‌کند.</w:t>
      </w:r>
    </w:p>
    <w:p>
      <w:pPr>
        <w:spacing w:after="28" w:line="216" w:lineRule="auto"/>
        <w:ind w:left="259"/>
        <w:jc w:val="left"/>
      </w:pPr>
      <w:r>
        <w:rPr>
          <w:rFonts w:ascii="Arial" w:hAnsi="Arial"/>
          <w:color w:val="525252"/>
          <w:sz w:val="13"/>
        </w:rPr>
        <w:t>The term “local area” means the place of residence from which the member commutes to the duty station on a daily basis.</w:t>
      </w:r>
    </w:p>
    <w:p>
      <w:pPr>
        <w:spacing w:after="20" w:line="223" w:lineRule="auto"/>
        <w:jc w:val="right"/>
        <w:bidi/>
      </w:pPr>
      <w:r>
        <w:rPr>
          <w:rFonts w:ascii="Arial" w:hAnsi="Arial"/>
          <w:sz w:val="16"/>
        </w:rPr>
        <w:t>199.19  این همچنین برای ترک مسیر به تغییر دائم ایستگاه یا وظیفه موقت (TDY) اعمال می‌شود.</w:t>
      </w:r>
    </w:p>
    <w:p>
      <w:pPr>
        <w:spacing w:after="28" w:line="216" w:lineRule="auto"/>
        <w:ind w:left="259"/>
        <w:jc w:val="left"/>
      </w:pPr>
      <w:r>
        <w:rPr>
          <w:rFonts w:ascii="Arial" w:hAnsi="Arial"/>
          <w:color w:val="525252"/>
          <w:sz w:val="13"/>
        </w:rPr>
        <w:t>This also applies to leave enroute to a permanent change of station or temporary duty (TDY) assignment.</w:t>
      </w:r>
    </w:p>
    <w:p>
      <w:pPr>
        <w:spacing w:after="20" w:line="223" w:lineRule="auto"/>
        <w:jc w:val="right"/>
        <w:bidi/>
      </w:pPr>
      <w:r>
        <w:rPr>
          <w:rFonts w:ascii="Arial" w:hAnsi="Arial"/>
          <w:sz w:val="16"/>
        </w:rPr>
        <w:t>199.20  قرارگاه دائمی قدیم برای شروع مرخصی و پاسگاه دائمی جدید برای پایان مرخصی است.</w:t>
      </w:r>
    </w:p>
    <w:p>
      <w:pPr>
        <w:spacing w:after="28" w:line="216" w:lineRule="auto"/>
        <w:ind w:left="259"/>
        <w:jc w:val="left"/>
      </w:pPr>
      <w:r>
        <w:rPr>
          <w:rFonts w:ascii="Arial" w:hAnsi="Arial"/>
          <w:color w:val="525252"/>
          <w:sz w:val="13"/>
        </w:rPr>
        <w:t>The old permanent duty station is for beginning leave and the new permanent duty station is for ending leave.</w:t>
      </w:r>
    </w:p>
    <w:p>
      <w:pPr>
        <w:spacing w:after="20" w:line="223" w:lineRule="auto"/>
        <w:jc w:val="right"/>
        <w:bidi/>
      </w:pPr>
      <w:r>
        <w:rPr>
          <w:rFonts w:ascii="Arial" w:hAnsi="Arial"/>
          <w:sz w:val="16"/>
        </w:rPr>
        <w:t>199.21  وقتی اعضا با تغییر دائم ایستگاه یا سفر TDY در مسیر مرخصی می‌روند، دفتر خدمات مالی از کوپن سفر برای تعیین سفر مجاز و مرخصی قابل پرداخت استفاده می‌کند.</w:t>
      </w:r>
    </w:p>
    <w:p>
      <w:pPr>
        <w:spacing w:after="28" w:line="216" w:lineRule="auto"/>
        <w:ind w:left="259"/>
        <w:jc w:val="left"/>
      </w:pPr>
      <w:r>
        <w:rPr>
          <w:rFonts w:ascii="Arial" w:hAnsi="Arial"/>
          <w:color w:val="525252"/>
          <w:sz w:val="13"/>
        </w:rPr>
        <w:t>When members take leave enroute with permanent change of station or TDY travel, the financial service office uses the travel voucher to determine authorized travel and chargeable leave.</w:t>
      </w:r>
    </w:p>
    <w:p>
      <w:pPr>
        <w:spacing w:after="20" w:line="223" w:lineRule="auto"/>
        <w:jc w:val="right"/>
        <w:bidi/>
      </w:pPr>
      <w:r>
        <w:rPr>
          <w:rFonts w:ascii="Arial" w:hAnsi="Arial"/>
          <w:sz w:val="16"/>
        </w:rPr>
        <w:t>199.22  روزهای غیر وظیفه و تعطیلات در صورتی که در طول دوره مجاز مرخصی رخ دهند، روزهای مرخصی قابل پرداخت هستند.</w:t>
      </w:r>
    </w:p>
    <w:p>
      <w:pPr>
        <w:spacing w:after="28" w:line="216" w:lineRule="auto"/>
        <w:ind w:left="259"/>
        <w:jc w:val="left"/>
      </w:pPr>
      <w:r>
        <w:rPr>
          <w:rFonts w:ascii="Arial" w:hAnsi="Arial"/>
          <w:color w:val="525252"/>
          <w:sz w:val="13"/>
        </w:rPr>
        <w:t>Nonduty days and holidays are chargeable leave days if they occur during an authorized period of leave.</w:t>
      </w:r>
    </w:p>
    <w:p>
      <w:pPr>
        <w:spacing w:after="20" w:line="223" w:lineRule="auto"/>
        <w:jc w:val="right"/>
        <w:bidi/>
      </w:pPr>
      <w:r>
        <w:rPr>
          <w:rFonts w:ascii="Arial" w:hAnsi="Arial"/>
          <w:sz w:val="16"/>
        </w:rPr>
        <w:t>199.23  اگر مرخصی شامل تعطیلات آخر هفته باشد، عضو نمی‌تواند روز جمعه مرخصی را پایان دهد و روز دوشنبه دوباره مرخصی را آغاز کند.</w:t>
      </w:r>
    </w:p>
    <w:p>
      <w:pPr>
        <w:spacing w:after="28" w:line="216" w:lineRule="auto"/>
        <w:ind w:left="259"/>
        <w:jc w:val="left"/>
      </w:pPr>
      <w:r>
        <w:rPr>
          <w:rFonts w:ascii="Arial" w:hAnsi="Arial"/>
          <w:color w:val="525252"/>
          <w:sz w:val="13"/>
        </w:rPr>
        <w:t>If leave includes a weekend, a member cannot end leave on a Friday and begin leave again on Monday.</w:t>
      </w:r>
    </w:p>
    <w:p>
      <w:pPr>
        <w:spacing w:after="20" w:line="223" w:lineRule="auto"/>
        <w:jc w:val="right"/>
        <w:bidi/>
      </w:pPr>
      <w:r>
        <w:rPr>
          <w:rFonts w:ascii="Arial" w:hAnsi="Arial"/>
          <w:sz w:val="16"/>
        </w:rPr>
        <w:t>199.24  به‌علاوه، فرماندهان واحد مرخصی‌های متوالی از دوشنبه تا جمعه (یا دوره‌های مرخصی مربوط به سایر روزهای غیر وظیفه) را به جز در شرایط اضطراری یا غیرعادی که توسط فرمانده واحد تعیین می‌شود، تأیید نمی‌کنند.</w:t>
      </w:r>
    </w:p>
    <w:p>
      <w:pPr>
        <w:spacing w:after="28" w:line="216" w:lineRule="auto"/>
        <w:ind w:left="259"/>
        <w:jc w:val="left"/>
      </w:pPr>
      <w:r>
        <w:rPr>
          <w:rFonts w:ascii="Arial" w:hAnsi="Arial"/>
          <w:color w:val="525252"/>
          <w:sz w:val="13"/>
        </w:rPr>
        <w:t>Further, unit commanders will not approve successive Monday through Friday leaves (or periods of leave surrounding other nonduty days) except under emergency or unusual circumstances, as determined by the unit commander.</w:t>
      </w:r>
    </w:p>
    <w:p>
      <w:pPr>
        <w:spacing w:after="20" w:line="223" w:lineRule="auto"/>
        <w:jc w:val="right"/>
        <w:bidi/>
      </w:pPr>
      <w:r>
        <w:rPr>
          <w:rFonts w:ascii="Arial" w:hAnsi="Arial"/>
          <w:sz w:val="16"/>
        </w:rPr>
        <w:t>199.25  برنامه‌های افزودنی و فراخوان.</w:t>
      </w:r>
    </w:p>
    <w:p>
      <w:pPr>
        <w:spacing w:after="28" w:line="216" w:lineRule="auto"/>
        <w:ind w:left="259"/>
        <w:jc w:val="left"/>
      </w:pPr>
      <w:r>
        <w:rPr>
          <w:rFonts w:ascii="Arial" w:hAnsi="Arial"/>
          <w:color w:val="525252"/>
          <w:sz w:val="13"/>
        </w:rPr>
        <w:t>Extensions and Recalls.</w:t>
      </w:r>
    </w:p>
    <w:p>
      <w:pPr>
        <w:spacing w:after="20" w:line="223" w:lineRule="auto"/>
        <w:jc w:val="right"/>
        <w:bidi/>
      </w:pPr>
      <w:r>
        <w:rPr>
          <w:rFonts w:ascii="Arial" w:hAnsi="Arial"/>
          <w:sz w:val="16"/>
        </w:rPr>
        <w:t>199.26  هنگامی که تمدید مرخصی مورد نظر است، عضو باید شفاهی یا کتبی درخواست تمدید مرخصی را داشته باشد.</w:t>
      </w:r>
    </w:p>
    <w:p>
      <w:pPr>
        <w:spacing w:after="28" w:line="216" w:lineRule="auto"/>
        <w:ind w:left="259"/>
        <w:jc w:val="left"/>
      </w:pPr>
      <w:r>
        <w:rPr>
          <w:rFonts w:ascii="Arial" w:hAnsi="Arial"/>
          <w:color w:val="525252"/>
          <w:sz w:val="13"/>
        </w:rPr>
        <w:t>When an extension of leave is desired, the member must ask, orally or in writing, for an extension of leave.</w:t>
      </w:r>
    </w:p>
    <w:p>
      <w:pPr>
        <w:spacing w:after="20" w:line="223" w:lineRule="auto"/>
        <w:jc w:val="right"/>
        <w:bidi/>
      </w:pPr>
      <w:r>
        <w:rPr>
          <w:rFonts w:ascii="Arial" w:hAnsi="Arial"/>
          <w:sz w:val="16"/>
        </w:rPr>
        <w:t>199.27  تمدید باید به اندازه کافی قبل از انقضای مرخصی درخواست شود تا به عضو اجازه داده شود در زمان مناسب به کار خود بازگردد در صورتی که مرجع تأیید تمدید را تأیید نکرد.</w:t>
      </w:r>
    </w:p>
    <w:p>
      <w:pPr>
        <w:spacing w:after="28" w:line="216" w:lineRule="auto"/>
        <w:ind w:left="259"/>
        <w:jc w:val="left"/>
      </w:pPr>
      <w:r>
        <w:rPr>
          <w:rFonts w:ascii="Arial" w:hAnsi="Arial"/>
          <w:color w:val="525252"/>
          <w:sz w:val="13"/>
        </w:rPr>
        <w:t>The extension must be requested sufficiently in advance of expiration of leave authorized to permit the member to return to duty at the proper time if the approval authority disapproves the extension.</w:t>
      </w:r>
    </w:p>
    <w:p>
      <w:pPr>
        <w:spacing w:after="20" w:line="223" w:lineRule="auto"/>
        <w:jc w:val="right"/>
        <w:bidi/>
      </w:pPr>
      <w:r>
        <w:rPr>
          <w:rFonts w:ascii="Arial" w:hAnsi="Arial"/>
          <w:sz w:val="16"/>
        </w:rPr>
        <w:t>199.28  فرماندهان واحد ممکن است اعضا را از مرخصی برای ضرورت نظامی یا به نفع USAF فرا بخوانند.</w:t>
      </w:r>
    </w:p>
    <w:p>
      <w:pPr>
        <w:spacing w:after="28" w:line="216" w:lineRule="auto"/>
        <w:ind w:left="259"/>
        <w:jc w:val="left"/>
      </w:pPr>
      <w:r>
        <w:rPr>
          <w:rFonts w:ascii="Arial" w:hAnsi="Arial"/>
          <w:color w:val="525252"/>
          <w:sz w:val="13"/>
        </w:rPr>
        <w:t>Unit commanders may recall members from leave for military necessity or in the best interest of the USAF.</w:t>
      </w:r>
    </w:p>
    <w:p>
      <w:pPr>
        <w:spacing w:after="20" w:line="223" w:lineRule="auto"/>
        <w:jc w:val="right"/>
        <w:bidi/>
      </w:pPr>
      <w:r>
        <w:rPr>
          <w:rFonts w:ascii="Arial" w:hAnsi="Arial"/>
          <w:sz w:val="16"/>
        </w:rPr>
        <w:t>199.29  برای تعیین اینکه آیا کمک هزینه سفر و حمل و نقل اعمال می‌شود به آیین نامه مشترک سفر مراجعه کنید.</w:t>
      </w:r>
    </w:p>
    <w:p>
      <w:pPr>
        <w:spacing w:after="28" w:line="216" w:lineRule="auto"/>
        <w:ind w:left="259"/>
        <w:jc w:val="left"/>
      </w:pPr>
      <w:r>
        <w:rPr>
          <w:rFonts w:ascii="Arial" w:hAnsi="Arial"/>
          <w:color w:val="525252"/>
          <w:sz w:val="13"/>
        </w:rPr>
        <w:t>Refer to the Joint Travel Regulation to determine if travel and transportation allowances apply.</w:t>
      </w:r>
    </w:p>
    <w:p>
      <w:pPr>
        <w:spacing w:after="20" w:line="223" w:lineRule="auto"/>
        <w:jc w:val="right"/>
        <w:bidi/>
      </w:pPr>
      <w:r>
        <w:rPr>
          <w:rFonts w:ascii="Arial" w:hAnsi="Arial"/>
          <w:sz w:val="16"/>
        </w:rPr>
        <w:t>199.30  اگر فرمانده واحد به عضو اجازه دهد که مرخصی را پس از انجام وظیفه که منجر به فراخوانی شده است از سر بگیرد، باید فرم ۹۸۸ یا دستورات DAF جدید تهیه شود.</w:t>
      </w:r>
    </w:p>
    <w:p>
      <w:pPr>
        <w:spacing w:after="28" w:line="216" w:lineRule="auto"/>
        <w:ind w:left="259"/>
        <w:jc w:val="left"/>
      </w:pPr>
      <w:r>
        <w:rPr>
          <w:rFonts w:ascii="Arial" w:hAnsi="Arial"/>
          <w:color w:val="525252"/>
          <w:sz w:val="13"/>
        </w:rPr>
        <w:t>If the unit commander authorizes the member to resume leave after the member completes the duty that resulted in recall, a new DAF Form 988 or orders must be prepared.</w:t>
      </w:r>
    </w:p>
    <w:p>
      <w:pPr>
        <w:spacing w:before="60" w:after="28"/>
        <w:jc w:val="right"/>
        <w:bidi/>
      </w:pPr>
      <w:r>
        <w:rPr>
          <w:b/>
          <w:color w:val="1F4D78"/>
          <w:sz w:val="18"/>
        </w:rPr>
        <w:t>11.14. انباشت مرخصی</w:t>
      </w:r>
    </w:p>
    <w:p>
      <w:pPr>
        <w:spacing w:after="20"/>
        <w:ind w:left="259"/>
        <w:jc w:val="left"/>
      </w:pPr>
      <w:r>
        <w:rPr>
          <w:color w:val="555555"/>
          <w:sz w:val="12"/>
        </w:rPr>
        <w:t>11.14. Accruing Leave</w:t>
      </w:r>
    </w:p>
    <w:p>
      <w:pPr>
        <w:spacing w:after="20" w:line="223" w:lineRule="auto"/>
        <w:jc w:val="right"/>
        <w:bidi/>
      </w:pPr>
      <w:r>
        <w:rPr>
          <w:rFonts w:ascii="Arial" w:hAnsi="Arial"/>
          <w:sz w:val="16"/>
        </w:rPr>
        <w:t>199.32  اعضا برای هر ماه وضعیت رگاف ۲.۵ روز مرخصی دارند.</w:t>
      </w:r>
    </w:p>
    <w:p>
      <w:pPr>
        <w:spacing w:after="28" w:line="216" w:lineRule="auto"/>
        <w:ind w:left="259"/>
        <w:jc w:val="left"/>
      </w:pPr>
      <w:r>
        <w:rPr>
          <w:rFonts w:ascii="Arial" w:hAnsi="Arial"/>
          <w:color w:val="525252"/>
          <w:sz w:val="13"/>
        </w:rPr>
        <w:t>Members accrue 2.5 days leave for each month of RegAF status.</w:t>
      </w:r>
    </w:p>
    <w:p>
      <w:pPr>
        <w:spacing w:after="20" w:line="223" w:lineRule="auto"/>
        <w:jc w:val="right"/>
        <w:bidi/>
      </w:pPr>
      <w:r>
        <w:rPr>
          <w:rFonts w:ascii="Arial" w:hAnsi="Arial"/>
          <w:sz w:val="16"/>
        </w:rPr>
        <w:t>199.33  اعضا در صورت غیبت بدون مرخصی رسمی، در وضعیت مرخصی غیرمجاز، در حبس به دلیل حکم دادگاه نظامی، در وضعیت مرخصی مازاد بر مرخصی یا در مرخصی استیناف، مرخصی دریافت نمی‌کنند.</w:t>
      </w:r>
    </w:p>
    <w:p>
      <w:pPr>
        <w:spacing w:after="28" w:line="216" w:lineRule="auto"/>
        <w:ind w:left="259"/>
        <w:jc w:val="left"/>
      </w:pPr>
      <w:r>
        <w:rPr>
          <w:rFonts w:ascii="Arial" w:hAnsi="Arial"/>
          <w:color w:val="525252"/>
          <w:sz w:val="13"/>
        </w:rPr>
        <w:t>Members do not earn leave when they are absent without official leave, in an unauthorized leave status, in confinement as a result of a court-martial sentence, in an excess leave status, or on appellate leave.</w:t>
      </w:r>
    </w:p>
    <w:p>
      <w:pPr>
        <w:spacing w:after="20" w:line="223" w:lineRule="auto"/>
        <w:jc w:val="right"/>
        <w:bidi/>
      </w:pPr>
      <w:r>
        <w:rPr>
          <w:rFonts w:ascii="Arial" w:hAnsi="Arial"/>
          <w:sz w:val="16"/>
        </w:rPr>
        <w:t>199.34  اعضا ممکن است</w:t>
      </w:r>
    </w:p>
    <w:p>
      <w:pPr>
        <w:spacing w:after="28" w:line="216" w:lineRule="auto"/>
        <w:ind w:left="259"/>
        <w:jc w:val="left"/>
      </w:pPr>
      <w:r>
        <w:rPr>
          <w:rFonts w:ascii="Arial" w:hAnsi="Arial"/>
          <w:color w:val="525252"/>
          <w:sz w:val="13"/>
        </w:rPr>
        <w:t>Members may</w:t>
      </w:r>
    </w:p>
    <w:p>
      <w:r>
        <w:br w:type="page"/>
      </w:r>
    </w:p>
    <w:p>
      <w:pPr>
        <w:spacing w:after="60"/>
        <w:jc w:val="right"/>
        <w:bidi/>
      </w:pPr>
      <w:r>
        <w:rPr>
          <w:rFonts w:ascii="Arial" w:hAnsi="Arial"/>
          <w:b/>
          <w:color w:val="1F4D78"/>
          <w:sz w:val="19"/>
        </w:rPr>
        <w:t>هفتهٔ 200  |  صفحهٔ منبع: 216</w:t>
      </w:r>
    </w:p>
    <w:p>
      <w:pPr>
        <w:spacing w:after="20" w:line="223" w:lineRule="auto"/>
        <w:jc w:val="right"/>
        <w:bidi/>
      </w:pPr>
      <w:r>
        <w:rPr>
          <w:rFonts w:ascii="Arial" w:hAnsi="Arial"/>
          <w:sz w:val="16"/>
        </w:rPr>
        <w:t>200.01  حداکثر ۶۰ روز تا پایان یک سال مالی جمع‌آوری شود.</w:t>
      </w:r>
    </w:p>
    <w:p>
      <w:pPr>
        <w:spacing w:after="28" w:line="216" w:lineRule="auto"/>
        <w:ind w:left="259"/>
        <w:jc w:val="left"/>
      </w:pPr>
      <w:r>
        <w:rPr>
          <w:rFonts w:ascii="Arial" w:hAnsi="Arial"/>
          <w:color w:val="525252"/>
          <w:sz w:val="13"/>
        </w:rPr>
        <w:t>accumulate a maximum of 60 days by the end of a fiscal year.</w:t>
      </w:r>
    </w:p>
    <w:p>
      <w:pPr>
        <w:spacing w:after="20" w:line="223" w:lineRule="auto"/>
        <w:jc w:val="right"/>
        <w:bidi/>
      </w:pPr>
      <w:r>
        <w:rPr>
          <w:rFonts w:ascii="Arial" w:hAnsi="Arial"/>
          <w:sz w:val="16"/>
        </w:rPr>
        <w:t>200.02  شرایط خاصی وجود دارد که تراز مرخصی بیش از ۶۰ روز ممکن است به سال مالی جدید منتقل شود، اما فقط زمانی که به‌طور خاص مجاز باشد.</w:t>
      </w:r>
    </w:p>
    <w:p>
      <w:pPr>
        <w:spacing w:after="28" w:line="216" w:lineRule="auto"/>
        <w:ind w:left="259"/>
        <w:jc w:val="left"/>
      </w:pPr>
      <w:r>
        <w:rPr>
          <w:rFonts w:ascii="Arial" w:hAnsi="Arial"/>
          <w:color w:val="525252"/>
          <w:sz w:val="13"/>
        </w:rPr>
        <w:t>There are certain circumstances when a leave balance of more than 60 days may be carried forward into a new fiscal year, but only when specifically authorized.</w:t>
      </w:r>
    </w:p>
    <w:p>
      <w:pPr>
        <w:spacing w:after="20" w:line="223" w:lineRule="auto"/>
        <w:jc w:val="right"/>
        <w:bidi/>
      </w:pPr>
      <w:r>
        <w:rPr>
          <w:rFonts w:ascii="Arial" w:hAnsi="Arial"/>
          <w:sz w:val="16"/>
        </w:rPr>
        <w:t>200.03  طبق قانون، اعضا می‌توانند حداکثر تا ۶۰ روز در مقاطع خاصی از شغل خود، مانند ثبت‌نام مجدد، بازنشستگی، جدایی تحت شرایط شرافتمندانه یا فوت، مرخصی انباشته دریافت کنند.</w:t>
      </w:r>
    </w:p>
    <w:p>
      <w:pPr>
        <w:spacing w:after="28" w:line="216" w:lineRule="auto"/>
        <w:ind w:left="259"/>
        <w:jc w:val="left"/>
      </w:pPr>
      <w:r>
        <w:rPr>
          <w:rFonts w:ascii="Arial" w:hAnsi="Arial"/>
          <w:color w:val="525252"/>
          <w:sz w:val="13"/>
        </w:rPr>
        <w:t>By law, members may receive accrued leave payment up to a maximum of 60 days at certain points in their careers, such as reenlistment, retirement, separation under honorable conditions, or death.</w:t>
      </w:r>
    </w:p>
    <w:p>
      <w:pPr>
        <w:spacing w:after="20" w:line="223" w:lineRule="auto"/>
        <w:jc w:val="right"/>
        <w:bidi/>
      </w:pPr>
      <w:r>
        <w:rPr>
          <w:rFonts w:ascii="Arial" w:hAnsi="Arial"/>
          <w:sz w:val="16"/>
        </w:rPr>
        <w:t>200.04  سیاست وزارت دفاع، اعضا را تشویق می‌کند تا از مرخصی برای رهایی از فشارهای وظایف استفاده کنند و نه به‌عنوان روشی برای جبران خسارت.</w:t>
      </w:r>
    </w:p>
    <w:p>
      <w:pPr>
        <w:spacing w:after="28" w:line="216" w:lineRule="auto"/>
        <w:ind w:left="259"/>
        <w:jc w:val="left"/>
      </w:pPr>
      <w:r>
        <w:rPr>
          <w:rFonts w:ascii="Arial" w:hAnsi="Arial"/>
          <w:color w:val="525252"/>
          <w:sz w:val="13"/>
        </w:rPr>
        <w:t>Department of Defense policy encourage members to use leave to relax from the pressures of duties and not as a method of compensation.</w:t>
      </w:r>
    </w:p>
    <w:p>
      <w:pPr>
        <w:spacing w:before="60" w:after="28"/>
        <w:jc w:val="right"/>
        <w:bidi/>
      </w:pPr>
      <w:r>
        <w:rPr>
          <w:b/>
          <w:color w:val="1F4D78"/>
          <w:sz w:val="18"/>
        </w:rPr>
        <w:t>11.15. انواع مرخصی</w:t>
      </w:r>
    </w:p>
    <w:p>
      <w:pPr>
        <w:spacing w:after="20"/>
        <w:ind w:left="259"/>
        <w:jc w:val="left"/>
      </w:pPr>
      <w:r>
        <w:rPr>
          <w:color w:val="555555"/>
          <w:sz w:val="12"/>
        </w:rPr>
        <w:t>11.15. Types of Leave</w:t>
      </w:r>
    </w:p>
    <w:p>
      <w:pPr>
        <w:spacing w:after="20" w:line="223" w:lineRule="auto"/>
        <w:jc w:val="right"/>
        <w:bidi/>
      </w:pPr>
      <w:r>
        <w:rPr>
          <w:rFonts w:ascii="Arial" w:hAnsi="Arial"/>
          <w:sz w:val="16"/>
        </w:rPr>
        <w:t>200.06  DAFI ۳۶-۳۰۰۳، بسیاری از انواع مرخصی را که در اینجا به اختصار توضیح داده شده است، تشریح می‌کند.</w:t>
      </w:r>
    </w:p>
    <w:p>
      <w:pPr>
        <w:spacing w:after="28" w:line="216" w:lineRule="auto"/>
        <w:ind w:left="259"/>
        <w:jc w:val="left"/>
      </w:pPr>
      <w:r>
        <w:rPr>
          <w:rFonts w:ascii="Arial" w:hAnsi="Arial"/>
          <w:color w:val="525252"/>
          <w:sz w:val="13"/>
        </w:rPr>
        <w:t>DAFI 36-3003, outlines many types of leave, as briefly described here.</w:t>
      </w:r>
    </w:p>
    <w:p>
      <w:pPr>
        <w:spacing w:after="20" w:line="223" w:lineRule="auto"/>
        <w:jc w:val="right"/>
        <w:bidi/>
      </w:pPr>
      <w:r>
        <w:rPr>
          <w:rFonts w:ascii="Arial" w:hAnsi="Arial"/>
          <w:sz w:val="16"/>
        </w:rPr>
        <w:t>200.07  مرخصی سالانه.</w:t>
      </w:r>
    </w:p>
    <w:p>
      <w:pPr>
        <w:spacing w:after="28" w:line="216" w:lineRule="auto"/>
        <w:ind w:left="259"/>
        <w:jc w:val="left"/>
      </w:pPr>
      <w:r>
        <w:rPr>
          <w:rFonts w:ascii="Arial" w:hAnsi="Arial"/>
          <w:color w:val="525252"/>
          <w:sz w:val="13"/>
        </w:rPr>
        <w:t>Annual Leave.</w:t>
      </w:r>
    </w:p>
    <w:p>
      <w:pPr>
        <w:spacing w:after="20" w:line="223" w:lineRule="auto"/>
        <w:jc w:val="right"/>
        <w:bidi/>
      </w:pPr>
      <w:r>
        <w:rPr>
          <w:rFonts w:ascii="Arial" w:hAnsi="Arial"/>
          <w:sz w:val="16"/>
        </w:rPr>
        <w:t>200.08  نام دیگر مرخصی معمولی مرخصی سالانه است.</w:t>
      </w:r>
    </w:p>
    <w:p>
      <w:pPr>
        <w:spacing w:after="28" w:line="216" w:lineRule="auto"/>
        <w:ind w:left="259"/>
        <w:jc w:val="left"/>
      </w:pPr>
      <w:r>
        <w:rPr>
          <w:rFonts w:ascii="Arial" w:hAnsi="Arial"/>
          <w:color w:val="525252"/>
          <w:sz w:val="13"/>
        </w:rPr>
        <w:t>Another name for “ordinary” leave is annual leave.</w:t>
      </w:r>
    </w:p>
    <w:p>
      <w:pPr>
        <w:spacing w:after="20" w:line="223" w:lineRule="auto"/>
        <w:jc w:val="right"/>
        <w:bidi/>
      </w:pPr>
      <w:r>
        <w:rPr>
          <w:rFonts w:ascii="Arial" w:hAnsi="Arial"/>
          <w:sz w:val="16"/>
        </w:rPr>
        <w:t>200.09  به‌طور معمول، اعضا از مرخصی سالانه برای گرفتن مرخصی، رسیدگی به نیازهای خانواده، جشن گرفتن تعطیلات سنتی، شرکت در رویدادهای مهم، یا به‌عنوان مرخصی پایانی با بازنشستگی یا جدایی از وضعیت رگاف استفاده می‌کنند.</w:t>
      </w:r>
    </w:p>
    <w:p>
      <w:pPr>
        <w:spacing w:after="28" w:line="216" w:lineRule="auto"/>
        <w:ind w:left="259"/>
        <w:jc w:val="left"/>
      </w:pPr>
      <w:r>
        <w:rPr>
          <w:rFonts w:ascii="Arial" w:hAnsi="Arial"/>
          <w:color w:val="525252"/>
          <w:sz w:val="13"/>
        </w:rPr>
        <w:t>Normally, members use annual leave to take vacations, attend to family needs, celebrate traditional holidays, attend significant events, or as terminal leave with retirement or separation from RegAF status.</w:t>
      </w:r>
    </w:p>
    <w:p>
      <w:pPr>
        <w:spacing w:after="20" w:line="223" w:lineRule="auto"/>
        <w:jc w:val="right"/>
        <w:bidi/>
      </w:pPr>
      <w:r>
        <w:rPr>
          <w:rFonts w:ascii="Arial" w:hAnsi="Arial"/>
          <w:sz w:val="16"/>
        </w:rPr>
        <w:t>200.10  مرخصی پیش پرداخت.</w:t>
      </w:r>
    </w:p>
    <w:p>
      <w:pPr>
        <w:spacing w:after="28" w:line="216" w:lineRule="auto"/>
        <w:ind w:left="259"/>
        <w:jc w:val="left"/>
      </w:pPr>
      <w:r>
        <w:rPr>
          <w:rFonts w:ascii="Arial" w:hAnsi="Arial"/>
          <w:color w:val="525252"/>
          <w:sz w:val="13"/>
        </w:rPr>
        <w:t>Advance Leave.</w:t>
      </w:r>
    </w:p>
    <w:p>
      <w:pPr>
        <w:spacing w:after="20" w:line="223" w:lineRule="auto"/>
        <w:jc w:val="right"/>
        <w:bidi/>
      </w:pPr>
      <w:r>
        <w:rPr>
          <w:rFonts w:ascii="Arial" w:hAnsi="Arial"/>
          <w:sz w:val="16"/>
        </w:rPr>
        <w:t>200.11  مرخصی پیش‌رو بر اساس انتظار منطقی اعطا می‌شود که یک عضو حداقل مقدار مرخصی درخواستی را در طول دوره باقی‌مانده از وضعیت رگاف دریافت کند.</w:t>
      </w:r>
    </w:p>
    <w:p>
      <w:pPr>
        <w:spacing w:after="28" w:line="216" w:lineRule="auto"/>
        <w:ind w:left="259"/>
        <w:jc w:val="left"/>
      </w:pPr>
      <w:r>
        <w:rPr>
          <w:rFonts w:ascii="Arial" w:hAnsi="Arial"/>
          <w:color w:val="525252"/>
          <w:sz w:val="13"/>
        </w:rPr>
        <w:t>Advance leave is granted based on a reasonable expectation that a member will accrue at least the amount of leave being requested during the remaining period of RegAF status.</w:t>
      </w:r>
    </w:p>
    <w:p>
      <w:pPr>
        <w:spacing w:after="20" w:line="223" w:lineRule="auto"/>
        <w:jc w:val="right"/>
        <w:bidi/>
      </w:pPr>
      <w:r>
        <w:rPr>
          <w:rFonts w:ascii="Arial" w:hAnsi="Arial"/>
          <w:sz w:val="16"/>
        </w:rPr>
        <w:t>200.12  هدف از مرخصی پیشاپیش این است که اعضا را قادر به حل و فصل شرایط اضطراری یا فوری در زمانی که مرخصی محدود دارند یا فاقد مرخصی هستند، است.</w:t>
      </w:r>
    </w:p>
    <w:p>
      <w:pPr>
        <w:spacing w:after="28" w:line="216" w:lineRule="auto"/>
        <w:ind w:left="259"/>
        <w:jc w:val="left"/>
      </w:pPr>
      <w:r>
        <w:rPr>
          <w:rFonts w:ascii="Arial" w:hAnsi="Arial"/>
          <w:color w:val="525252"/>
          <w:sz w:val="13"/>
        </w:rPr>
        <w:t>The purpose of advance leave is to enable members to resolve emergencies or urgent situations when they have limited or no accrued leave.</w:t>
      </w:r>
    </w:p>
    <w:p>
      <w:pPr>
        <w:spacing w:after="20" w:line="223" w:lineRule="auto"/>
        <w:jc w:val="right"/>
        <w:bidi/>
      </w:pPr>
      <w:r>
        <w:rPr>
          <w:rFonts w:ascii="Arial" w:hAnsi="Arial"/>
          <w:sz w:val="16"/>
        </w:rPr>
        <w:t>200.13  هنگامی که یک عضو از تمام مرخصی‌های قبلی که نشان‌دهنده آن چیزی است که در طول دوره باقی‌مانده از خدمت رگاف به دست می‌آورد، گرفته باشد، فرماندهان وضعیت مرخصی عضو را از پیش‌پرداخت به مرخصی اضافی تغییر می‌دهند.</w:t>
      </w:r>
    </w:p>
    <w:p>
      <w:pPr>
        <w:spacing w:after="28" w:line="216" w:lineRule="auto"/>
        <w:ind w:left="259"/>
        <w:jc w:val="left"/>
      </w:pPr>
      <w:r>
        <w:rPr>
          <w:rFonts w:ascii="Arial" w:hAnsi="Arial"/>
          <w:color w:val="525252"/>
          <w:sz w:val="13"/>
        </w:rPr>
        <w:t>When a member has taken all the advance leave that represents what he or she will accrue during the remaining period of RegAF service, commanders change the member’s leave status from advance to excess leave.</w:t>
      </w:r>
    </w:p>
    <w:p>
      <w:pPr>
        <w:spacing w:after="20" w:line="223" w:lineRule="auto"/>
        <w:jc w:val="right"/>
        <w:bidi/>
      </w:pPr>
      <w:r>
        <w:rPr>
          <w:rFonts w:ascii="Arial" w:hAnsi="Arial"/>
          <w:sz w:val="16"/>
        </w:rPr>
        <w:t>200.14  مرخصی سوگ.</w:t>
      </w:r>
    </w:p>
    <w:p>
      <w:pPr>
        <w:spacing w:after="28" w:line="216" w:lineRule="auto"/>
        <w:ind w:left="259"/>
        <w:jc w:val="left"/>
      </w:pPr>
      <w:r>
        <w:rPr>
          <w:rFonts w:ascii="Arial" w:hAnsi="Arial"/>
          <w:color w:val="525252"/>
          <w:sz w:val="13"/>
        </w:rPr>
        <w:t>Bereavement Leave.</w:t>
      </w:r>
    </w:p>
    <w:p>
      <w:pPr>
        <w:spacing w:after="20" w:line="223" w:lineRule="auto"/>
        <w:jc w:val="right"/>
        <w:bidi/>
      </w:pPr>
      <w:r>
        <w:rPr>
          <w:rFonts w:ascii="Arial" w:hAnsi="Arial"/>
          <w:sz w:val="16"/>
        </w:rPr>
        <w:t>200.15  مرخصی سوگ، دوره‌ای از مرخصی استحقاقی غیر قابل پرداخت برای ایجاد هماهنگی‌های لازم در اثر فوت همسر یا فرزند یکی از اعضا و شرکت در مراسم تشییع جنازه، تدفین، یا مراسم یادبود همسر یا فرزند است.</w:t>
      </w:r>
    </w:p>
    <w:p>
      <w:pPr>
        <w:spacing w:after="28" w:line="216" w:lineRule="auto"/>
        <w:ind w:left="259"/>
        <w:jc w:val="left"/>
      </w:pPr>
      <w:r>
        <w:rPr>
          <w:rFonts w:ascii="Arial" w:hAnsi="Arial"/>
          <w:color w:val="525252"/>
          <w:sz w:val="13"/>
        </w:rPr>
        <w:t>Bereavement Leave is a period of non-chargeable paid leave to make arrangements required by the death of a member’s spouse or child and to attend the funeral, burial, or memorial service of the spouse or child.</w:t>
      </w:r>
    </w:p>
    <w:p>
      <w:pPr>
        <w:spacing w:after="20" w:line="223" w:lineRule="auto"/>
        <w:jc w:val="right"/>
        <w:bidi/>
      </w:pPr>
      <w:r>
        <w:rPr>
          <w:rFonts w:ascii="Arial" w:hAnsi="Arial"/>
          <w:sz w:val="16"/>
        </w:rPr>
        <w:t>200.16  عضوی که چنین فقدانی را تجربه کند تا ۱۴ روز اجازه استفاده از مرخصی درباره فوت را خواهد داشت.</w:t>
      </w:r>
    </w:p>
    <w:p>
      <w:pPr>
        <w:spacing w:after="28" w:line="216" w:lineRule="auto"/>
        <w:ind w:left="259"/>
        <w:jc w:val="left"/>
      </w:pPr>
      <w:r>
        <w:rPr>
          <w:rFonts w:ascii="Arial" w:hAnsi="Arial"/>
          <w:color w:val="525252"/>
          <w:sz w:val="13"/>
        </w:rPr>
        <w:t>A member who experiences such a loss will be allowed up to 14 days of leave to be used in connection with the death.</w:t>
      </w:r>
    </w:p>
    <w:p>
      <w:pPr>
        <w:spacing w:after="20" w:line="223" w:lineRule="auto"/>
        <w:jc w:val="right"/>
        <w:bidi/>
      </w:pPr>
      <w:r>
        <w:rPr>
          <w:rFonts w:ascii="Arial" w:hAnsi="Arial"/>
          <w:sz w:val="16"/>
        </w:rPr>
        <w:t>200.17  عضو باید کمتر از ۳۰ روز مرخصی معمولی در تاریخ چنین فوتی داشته باشد تا واجد شرایط مرخصی سوگ باشد.</w:t>
      </w:r>
    </w:p>
    <w:p>
      <w:pPr>
        <w:spacing w:after="28" w:line="216" w:lineRule="auto"/>
        <w:ind w:left="259"/>
        <w:jc w:val="left"/>
      </w:pPr>
      <w:r>
        <w:rPr>
          <w:rFonts w:ascii="Arial" w:hAnsi="Arial"/>
          <w:color w:val="525252"/>
          <w:sz w:val="13"/>
        </w:rPr>
        <w:t>The member must have less than 30 days of accrued ordinary leave on the date of such death to be eligible for bereavement leave.</w:t>
      </w:r>
    </w:p>
    <w:p>
      <w:pPr>
        <w:spacing w:after="20" w:line="223" w:lineRule="auto"/>
        <w:jc w:val="right"/>
        <w:bidi/>
      </w:pPr>
      <w:r>
        <w:rPr>
          <w:rFonts w:ascii="Arial" w:hAnsi="Arial"/>
          <w:sz w:val="16"/>
        </w:rPr>
        <w:t>200.18  مرخصی مازاد.</w:t>
      </w:r>
    </w:p>
    <w:p>
      <w:pPr>
        <w:spacing w:after="28" w:line="216" w:lineRule="auto"/>
        <w:ind w:left="259"/>
        <w:jc w:val="left"/>
      </w:pPr>
      <w:r>
        <w:rPr>
          <w:rFonts w:ascii="Arial" w:hAnsi="Arial"/>
          <w:color w:val="525252"/>
          <w:sz w:val="13"/>
        </w:rPr>
        <w:t>Excess Leave.</w:t>
      </w:r>
    </w:p>
    <w:p>
      <w:pPr>
        <w:spacing w:after="20" w:line="223" w:lineRule="auto"/>
        <w:jc w:val="right"/>
        <w:bidi/>
      </w:pPr>
      <w:r>
        <w:rPr>
          <w:rFonts w:ascii="Arial" w:hAnsi="Arial"/>
          <w:sz w:val="16"/>
        </w:rPr>
        <w:t>200.19  مرخصی مازاد معمولا برای موقعیت‌های اضطراری شخصی یا خانوادگی استفاده می‌شود، زمانی که اعضا نمی‌توانند درخواست مرخصی اولیه کنند.</w:t>
      </w:r>
    </w:p>
    <w:p>
      <w:pPr>
        <w:spacing w:after="28" w:line="216" w:lineRule="auto"/>
        <w:ind w:left="259"/>
        <w:jc w:val="left"/>
      </w:pPr>
      <w:r>
        <w:rPr>
          <w:rFonts w:ascii="Arial" w:hAnsi="Arial"/>
          <w:color w:val="525252"/>
          <w:sz w:val="13"/>
        </w:rPr>
        <w:t>Excess leave is normally used for personal or family emergency situations when members cannot request advance leave.</w:t>
      </w:r>
    </w:p>
    <w:p>
      <w:pPr>
        <w:spacing w:after="20" w:line="223" w:lineRule="auto"/>
        <w:jc w:val="right"/>
        <w:bidi/>
      </w:pPr>
      <w:r>
        <w:rPr>
          <w:rFonts w:ascii="Arial" w:hAnsi="Arial"/>
          <w:sz w:val="16"/>
        </w:rPr>
        <w:t>200.20  مرخصی مازاد بر وضعیت بدون حقوق است. بنابراین، استحقاق دریافت حقوق و کمک هزینه و مرخصی تعهدی در اولین روز مرخصی اضافی عضو متوقف می‌شود.</w:t>
      </w:r>
    </w:p>
    <w:p>
      <w:pPr>
        <w:spacing w:after="28" w:line="216" w:lineRule="auto"/>
        <w:ind w:left="259"/>
        <w:jc w:val="left"/>
      </w:pPr>
      <w:r>
        <w:rPr>
          <w:rFonts w:ascii="Arial" w:hAnsi="Arial"/>
          <w:color w:val="525252"/>
          <w:sz w:val="13"/>
        </w:rPr>
        <w:t>Excess leave is a no-pay status; therefore, entitlement to pay and allowances and leave accrual stops on the member’s first day of excess leave.</w:t>
      </w:r>
    </w:p>
    <w:p>
      <w:pPr>
        <w:spacing w:after="20" w:line="223" w:lineRule="auto"/>
        <w:jc w:val="right"/>
        <w:bidi/>
      </w:pPr>
      <w:r>
        <w:rPr>
          <w:rFonts w:ascii="Arial" w:hAnsi="Arial"/>
          <w:sz w:val="16"/>
        </w:rPr>
        <w:t>200.21  در صورت مجروح شدن، عضوی برای مدتی که در مرخصی مازاد سپری کرده است، حقوق از کارافتادگی دریافت نخواهد کرد.</w:t>
      </w:r>
    </w:p>
    <w:p>
      <w:pPr>
        <w:spacing w:after="28" w:line="216" w:lineRule="auto"/>
        <w:ind w:left="259"/>
        <w:jc w:val="left"/>
      </w:pPr>
      <w:r>
        <w:rPr>
          <w:rFonts w:ascii="Arial" w:hAnsi="Arial"/>
          <w:color w:val="525252"/>
          <w:sz w:val="13"/>
        </w:rPr>
        <w:t>If injured, a member will not receive disability pay for time spent on excess leave.</w:t>
      </w:r>
    </w:p>
    <w:p>
      <w:pPr>
        <w:spacing w:after="20" w:line="223" w:lineRule="auto"/>
        <w:jc w:val="right"/>
        <w:bidi/>
      </w:pPr>
      <w:r>
        <w:rPr>
          <w:rFonts w:ascii="Arial" w:hAnsi="Arial"/>
          <w:sz w:val="16"/>
        </w:rPr>
        <w:t>200.22  مدت مرخصی مازاد در انجام تعهد خدمت وظیفه رگاف محاسبه نخواهد شد.</w:t>
      </w:r>
    </w:p>
    <w:p>
      <w:pPr>
        <w:spacing w:after="28" w:line="216" w:lineRule="auto"/>
        <w:ind w:left="259"/>
        <w:jc w:val="left"/>
      </w:pPr>
      <w:r>
        <w:rPr>
          <w:rFonts w:ascii="Arial" w:hAnsi="Arial"/>
          <w:color w:val="525252"/>
          <w:sz w:val="13"/>
        </w:rPr>
        <w:t>The period of excess leave will not count toward fulfillment of RegAF duty service commitment.</w:t>
      </w:r>
    </w:p>
    <w:p>
      <w:pPr>
        <w:spacing w:after="20" w:line="223" w:lineRule="auto"/>
        <w:jc w:val="right"/>
        <w:bidi/>
      </w:pPr>
      <w:r>
        <w:rPr>
          <w:rFonts w:ascii="Arial" w:hAnsi="Arial"/>
          <w:sz w:val="16"/>
        </w:rPr>
        <w:t>200.23  به ازای هر روز استفاده از مرخصی مازاد و نیم روز اضافی برای هر ۶ روز مرخصی منفی از عضو هزینه دریافت می‌شود.</w:t>
      </w:r>
    </w:p>
    <w:p>
      <w:pPr>
        <w:spacing w:after="28" w:line="216" w:lineRule="auto"/>
        <w:ind w:left="259"/>
        <w:jc w:val="left"/>
      </w:pPr>
      <w:r>
        <w:rPr>
          <w:rFonts w:ascii="Arial" w:hAnsi="Arial"/>
          <w:color w:val="525252"/>
          <w:sz w:val="13"/>
        </w:rPr>
        <w:t>The member will be charged for each day of excess leave used and an additional half day for every 6 days of negative leave.</w:t>
      </w:r>
    </w:p>
    <w:p>
      <w:pPr>
        <w:spacing w:after="20" w:line="223" w:lineRule="auto"/>
        <w:jc w:val="right"/>
        <w:bidi/>
      </w:pPr>
      <w:r>
        <w:rPr>
          <w:rFonts w:ascii="Arial" w:hAnsi="Arial"/>
          <w:sz w:val="16"/>
        </w:rPr>
        <w:t>200.24  مرخصی نقاهت.</w:t>
      </w:r>
    </w:p>
    <w:p>
      <w:pPr>
        <w:spacing w:after="28" w:line="216" w:lineRule="auto"/>
        <w:ind w:left="259"/>
        <w:jc w:val="left"/>
      </w:pPr>
      <w:r>
        <w:rPr>
          <w:rFonts w:ascii="Arial" w:hAnsi="Arial"/>
          <w:color w:val="525252"/>
          <w:sz w:val="13"/>
        </w:rPr>
        <w:t>Convalescent Leave.</w:t>
      </w:r>
    </w:p>
    <w:p>
      <w:pPr>
        <w:spacing w:after="20" w:line="223" w:lineRule="auto"/>
        <w:jc w:val="right"/>
        <w:bidi/>
      </w:pPr>
      <w:r>
        <w:rPr>
          <w:rFonts w:ascii="Arial" w:hAnsi="Arial"/>
          <w:sz w:val="16"/>
        </w:rPr>
        <w:t>200.25  مرخصی نقاهت یک غیبت مجاز است که معمولا برای حداقل زمان لازم برای رفع نیازهای پزشکی برای بهبودی لازم است.</w:t>
      </w:r>
    </w:p>
    <w:p>
      <w:pPr>
        <w:spacing w:after="28" w:line="216" w:lineRule="auto"/>
        <w:ind w:left="259"/>
        <w:jc w:val="left"/>
      </w:pPr>
      <w:r>
        <w:rPr>
          <w:rFonts w:ascii="Arial" w:hAnsi="Arial"/>
          <w:color w:val="525252"/>
          <w:sz w:val="13"/>
        </w:rPr>
        <w:t>Convalescent leave is an authorized absence normally for the minimal time needed to meet the medical needs for recuperation.</w:t>
      </w:r>
    </w:p>
    <w:p>
      <w:pPr>
        <w:spacing w:after="20" w:line="223" w:lineRule="auto"/>
        <w:jc w:val="right"/>
        <w:bidi/>
      </w:pPr>
      <w:r>
        <w:rPr>
          <w:rFonts w:ascii="Arial" w:hAnsi="Arial"/>
          <w:sz w:val="16"/>
        </w:rPr>
        <w:t>200.26  عضوی از نیروهای مسلح که تشخیص بیماری دارد، در صورتی مجاز به مرخصی نقاهت است که مراقب سلامت رفتاری یا درمانی آن عضو تشخیص دهد که عضو در نتیجه آن وضعیت هنوز برای انجام وظیفه مناسب نیست و چنین مرخصی را به عضو توصیه کند تا نقاهت عضو از آن وضعیت را فراهم کند.</w:t>
      </w:r>
    </w:p>
    <w:p>
      <w:pPr>
        <w:spacing w:after="28" w:line="216" w:lineRule="auto"/>
        <w:ind w:left="259"/>
        <w:jc w:val="left"/>
      </w:pPr>
      <w:r>
        <w:rPr>
          <w:rFonts w:ascii="Arial" w:hAnsi="Arial"/>
          <w:color w:val="525252"/>
          <w:sz w:val="13"/>
        </w:rPr>
        <w:t>A member of the armed forces diagnosed with a medical condition is allowed convalescent leave if the medical or behavioral health provider of the member determines that the member is not yet fit for duty as a result of that condition and recommends such leave for the member to provide for the convalescence of the member from that condition.</w:t>
      </w:r>
    </w:p>
    <w:p>
      <w:pPr>
        <w:spacing w:after="20" w:line="223" w:lineRule="auto"/>
        <w:jc w:val="right"/>
        <w:bidi/>
      </w:pPr>
      <w:r>
        <w:rPr>
          <w:rFonts w:ascii="Arial" w:hAnsi="Arial"/>
          <w:sz w:val="16"/>
        </w:rPr>
        <w:t>200.27  این ممکن است شامل دوره نقاهت برای فعال کردن مکانیسم‌های مقابله‌ای سالم پس از رویدادهای آسیب‌زا مانند از دست دادن کودک به دلیل مرده‌زایی یا سقط جنین باشد که در آن انواع دیگر مرخصی‌های غیرمجاز مجاز نیستند.</w:t>
      </w:r>
    </w:p>
    <w:p>
      <w:pPr>
        <w:spacing w:after="28" w:line="216" w:lineRule="auto"/>
        <w:ind w:left="259"/>
        <w:jc w:val="left"/>
      </w:pPr>
      <w:r>
        <w:rPr>
          <w:rFonts w:ascii="Arial" w:hAnsi="Arial"/>
          <w:color w:val="525252"/>
          <w:sz w:val="13"/>
        </w:rPr>
        <w:t>This may include convalescence to enable healthy coping mechanisms following traumatic events such as loss of a child due to stillbirth or miscarriage where other types of non- chargeable leave are not authorized.</w:t>
      </w:r>
    </w:p>
    <w:p>
      <w:pPr>
        <w:spacing w:after="20" w:line="223" w:lineRule="auto"/>
        <w:jc w:val="right"/>
        <w:bidi/>
      </w:pPr>
      <w:r>
        <w:rPr>
          <w:rFonts w:ascii="Arial" w:hAnsi="Arial"/>
          <w:sz w:val="16"/>
        </w:rPr>
        <w:t>200.28  جراح کل نیروی هوایی (AF/SG) بر برنامه مرخصی نقاهت مطابق با AFMAN ۴۱-۲۱۰، عملیات تریکار و اداره بیمار نظارت می‌کند.</w:t>
      </w:r>
    </w:p>
    <w:p>
      <w:pPr>
        <w:spacing w:after="28" w:line="216" w:lineRule="auto"/>
        <w:ind w:left="259"/>
        <w:jc w:val="left"/>
      </w:pPr>
      <w:r>
        <w:rPr>
          <w:rFonts w:ascii="Arial" w:hAnsi="Arial"/>
          <w:color w:val="525252"/>
          <w:sz w:val="13"/>
        </w:rPr>
        <w:t>The Air Force Surgeon General (AF/SG) oversees the convalescent leave program in accordance with AFMAN 41-210, Tricare Operations and Patient Administration.</w:t>
      </w:r>
    </w:p>
    <w:p>
      <w:pPr>
        <w:spacing w:after="20" w:line="223" w:lineRule="auto"/>
        <w:jc w:val="right"/>
        <w:bidi/>
      </w:pPr>
      <w:r>
        <w:rPr>
          <w:rFonts w:ascii="Arial" w:hAnsi="Arial"/>
          <w:sz w:val="16"/>
        </w:rPr>
        <w:t>200.29  مرخصی اضطراری.</w:t>
      </w:r>
    </w:p>
    <w:p>
      <w:pPr>
        <w:spacing w:after="28" w:line="216" w:lineRule="auto"/>
        <w:ind w:left="259"/>
        <w:jc w:val="left"/>
      </w:pPr>
      <w:r>
        <w:rPr>
          <w:rFonts w:ascii="Arial" w:hAnsi="Arial"/>
          <w:color w:val="525252"/>
          <w:sz w:val="13"/>
        </w:rPr>
        <w:t>Emergency Leave.</w:t>
      </w:r>
    </w:p>
    <w:p>
      <w:pPr>
        <w:spacing w:after="20" w:line="223" w:lineRule="auto"/>
        <w:jc w:val="right"/>
        <w:bidi/>
      </w:pPr>
      <w:r>
        <w:rPr>
          <w:rFonts w:ascii="Arial" w:hAnsi="Arial"/>
          <w:sz w:val="16"/>
        </w:rPr>
        <w:t>200.30  مرخصی اضطراری مرخصی قابل پرداختی است که برای موارد اضطراری مربوط به اعضای نزدیک خانواده اعطا می‌شود.</w:t>
      </w:r>
    </w:p>
    <w:p>
      <w:pPr>
        <w:spacing w:after="28" w:line="216" w:lineRule="auto"/>
        <w:ind w:left="259"/>
        <w:jc w:val="left"/>
      </w:pPr>
      <w:r>
        <w:rPr>
          <w:rFonts w:ascii="Arial" w:hAnsi="Arial"/>
          <w:color w:val="525252"/>
          <w:sz w:val="13"/>
        </w:rPr>
        <w:t>Emergency leave is chargeable leave granted for emergencies involving members of the immediate family.</w:t>
      </w:r>
    </w:p>
    <w:p>
      <w:pPr>
        <w:spacing w:after="20" w:line="223" w:lineRule="auto"/>
        <w:jc w:val="right"/>
        <w:bidi/>
      </w:pPr>
      <w:r>
        <w:rPr>
          <w:rFonts w:ascii="Arial" w:hAnsi="Arial"/>
          <w:sz w:val="16"/>
        </w:rPr>
        <w:t>200.31  فرماندهان یگان مرخصی اضطراری را تأیید می‌کنند و می‌توانند مجوز مرخصی را به کمتر از گروهبان یکم برای پرسنل سربازگیری واگذار کنند.</w:t>
      </w:r>
    </w:p>
    <w:p>
      <w:pPr>
        <w:spacing w:after="28" w:line="216" w:lineRule="auto"/>
        <w:ind w:left="259"/>
        <w:jc w:val="left"/>
      </w:pPr>
      <w:r>
        <w:rPr>
          <w:rFonts w:ascii="Arial" w:hAnsi="Arial"/>
          <w:color w:val="525252"/>
          <w:sz w:val="13"/>
        </w:rPr>
        <w:t>Unit commanders approve emergency leave and can delegate leave approval to no lower than the first sergeant for enlisted personnel.</w:t>
      </w:r>
    </w:p>
    <w:p>
      <w:pPr>
        <w:spacing w:after="20" w:line="223" w:lineRule="auto"/>
        <w:jc w:val="right"/>
        <w:bidi/>
      </w:pPr>
      <w:r>
        <w:rPr>
          <w:rFonts w:ascii="Arial" w:hAnsi="Arial"/>
          <w:sz w:val="16"/>
        </w:rPr>
        <w:t>200.32  رسمی اعطا کننده مرخصی ممکن است از فعالیت خدمت سربازی نزدیک به محل اضطراری یا در صورت لزوم از صلیب سرخ آمریکا درخواست کمک کند.</w:t>
      </w:r>
    </w:p>
    <w:p>
      <w:pPr>
        <w:spacing w:after="28" w:line="216" w:lineRule="auto"/>
        <w:ind w:left="259"/>
        <w:jc w:val="left"/>
      </w:pPr>
      <w:r>
        <w:rPr>
          <w:rFonts w:ascii="Arial" w:hAnsi="Arial"/>
          <w:color w:val="525252"/>
          <w:sz w:val="13"/>
        </w:rPr>
        <w:t>The official granting leave may request assistance from the military service activity nearest the location of the emergency or, when necessary, from the American Red Cross.</w:t>
      </w:r>
    </w:p>
    <w:p>
      <w:pPr>
        <w:spacing w:after="20" w:line="223" w:lineRule="auto"/>
        <w:jc w:val="right"/>
        <w:bidi/>
      </w:pPr>
      <w:r>
        <w:rPr>
          <w:rFonts w:ascii="Arial" w:hAnsi="Arial"/>
          <w:sz w:val="16"/>
        </w:rPr>
        <w:t>200.33  دوره اولیه مرخصی اضطراری معمولا بیش از ۳۰ روز با تمدید ۳۰ روزه با تأیید فرمانده یگان یا</w:t>
      </w:r>
    </w:p>
    <w:p>
      <w:pPr>
        <w:spacing w:after="28" w:line="216" w:lineRule="auto"/>
        <w:ind w:left="259"/>
        <w:jc w:val="left"/>
      </w:pPr>
      <w:r>
        <w:rPr>
          <w:rFonts w:ascii="Arial" w:hAnsi="Arial"/>
          <w:color w:val="525252"/>
          <w:sz w:val="13"/>
        </w:rPr>
        <w:t>The initial period of emergency leave is usually no more than 30 days with a possible 30-day extension with approval from the unit commander or</w:t>
      </w:r>
    </w:p>
    <w:p>
      <w:r>
        <w:br w:type="page"/>
      </w:r>
    </w:p>
    <w:p>
      <w:pPr>
        <w:spacing w:after="60"/>
        <w:jc w:val="right"/>
        <w:bidi/>
      </w:pPr>
      <w:r>
        <w:rPr>
          <w:rFonts w:ascii="Arial" w:hAnsi="Arial"/>
          <w:b/>
          <w:color w:val="1F4D78"/>
          <w:sz w:val="19"/>
        </w:rPr>
        <w:t>هفتهٔ 201  |  صفحهٔ منبع: 217</w:t>
      </w:r>
    </w:p>
    <w:p>
      <w:pPr>
        <w:spacing w:after="20" w:line="223" w:lineRule="auto"/>
        <w:jc w:val="right"/>
        <w:bidi/>
      </w:pPr>
      <w:r>
        <w:rPr>
          <w:rFonts w:ascii="Arial" w:hAnsi="Arial"/>
          <w:sz w:val="16"/>
        </w:rPr>
        <w:t>201.01  گروهبان اول.</w:t>
      </w:r>
    </w:p>
    <w:p>
      <w:pPr>
        <w:spacing w:after="28" w:line="216" w:lineRule="auto"/>
        <w:ind w:left="259"/>
        <w:jc w:val="left"/>
      </w:pPr>
      <w:r>
        <w:rPr>
          <w:rFonts w:ascii="Arial" w:hAnsi="Arial"/>
          <w:color w:val="525252"/>
          <w:sz w:val="13"/>
        </w:rPr>
        <w:t>first sergeant.</w:t>
      </w:r>
    </w:p>
    <w:p>
      <w:pPr>
        <w:spacing w:after="20" w:line="223" w:lineRule="auto"/>
        <w:jc w:val="right"/>
        <w:bidi/>
      </w:pPr>
      <w:r>
        <w:rPr>
          <w:rFonts w:ascii="Arial" w:hAnsi="Arial"/>
          <w:sz w:val="16"/>
        </w:rPr>
        <w:t>201.02  فرماندهان یگان باید به اعضا توصیه کنند که در صورتی که مدت مرخصی بیش از ۶۰ روز است، برای تغییر انتساب یا ترخیص با شرایط غیرمعمول یا استثنایی اعضای خانواده درخواست دهند.</w:t>
      </w:r>
    </w:p>
    <w:p>
      <w:pPr>
        <w:spacing w:after="28" w:line="216" w:lineRule="auto"/>
        <w:ind w:left="259"/>
        <w:jc w:val="left"/>
      </w:pPr>
      <w:r>
        <w:rPr>
          <w:rFonts w:ascii="Arial" w:hAnsi="Arial"/>
          <w:color w:val="525252"/>
          <w:sz w:val="13"/>
        </w:rPr>
        <w:t>Unit commanders should advise members to apply for a humanitarian or exceptional family member reassignment or hardship discharge if the leave period is more than 60 days.</w:t>
      </w:r>
    </w:p>
    <w:p>
      <w:pPr>
        <w:spacing w:after="20" w:line="223" w:lineRule="auto"/>
        <w:jc w:val="right"/>
        <w:bidi/>
      </w:pPr>
      <w:r>
        <w:rPr>
          <w:rFonts w:ascii="Arial" w:hAnsi="Arial"/>
          <w:sz w:val="16"/>
        </w:rPr>
        <w:t>201.03  مرخصی اضطراری (مرخصی غیر قابل شارژ).</w:t>
      </w:r>
    </w:p>
    <w:p>
      <w:pPr>
        <w:spacing w:after="28" w:line="216" w:lineRule="auto"/>
        <w:ind w:left="259"/>
        <w:jc w:val="left"/>
      </w:pPr>
      <w:r>
        <w:rPr>
          <w:rFonts w:ascii="Arial" w:hAnsi="Arial"/>
          <w:color w:val="525252"/>
          <w:sz w:val="13"/>
        </w:rPr>
        <w:t>Emergency Leave of Absence (Non-Chargeable Leave).</w:t>
      </w:r>
    </w:p>
    <w:p>
      <w:pPr>
        <w:spacing w:after="20" w:line="223" w:lineRule="auto"/>
        <w:jc w:val="right"/>
        <w:bidi/>
      </w:pPr>
      <w:r>
        <w:rPr>
          <w:rFonts w:ascii="Arial" w:hAnsi="Arial"/>
          <w:sz w:val="16"/>
        </w:rPr>
        <w:t>201.04  مرخصی اضطراری غیبت به فرماندهان یا مدیران غیرنظامی اجازه می‌دهد حداکثر ۱۴ روز مرخصی غیرمجاز را برای شرایط اضطراری واجد شرایط مانند وضعیت پزشکی جدی یکی از اعضای اصلی خانواده عضو خدمت، مرگ یکی از اعضای اصلی خانواده همانطور که در DAFI ۳۶-۳۰۰۳.۳.۳.۳.۳.۳، بند ۱۳، یا هر دستور سخت دیگری تعیین می‌کنند، اعطا کنند.</w:t>
      </w:r>
    </w:p>
    <w:p>
      <w:pPr>
        <w:spacing w:after="28" w:line="216" w:lineRule="auto"/>
        <w:ind w:left="259"/>
        <w:jc w:val="left"/>
      </w:pPr>
      <w:r>
        <w:rPr>
          <w:rFonts w:ascii="Arial" w:hAnsi="Arial"/>
          <w:color w:val="525252"/>
          <w:sz w:val="13"/>
        </w:rPr>
        <w:t>Emergency Leave of Absence allows commanders or civilian directors to grant up to 14 days of non-chargeable leave for a qualifying emergency such as a serious medical condition of an immediate family member of the service member, death of an immediate family member as defined in DAFI 36-3003, paragraph 3.1.3.1, or any other hardship the commander or director determines appropriate.</w:t>
      </w:r>
    </w:p>
    <w:p>
      <w:pPr>
        <w:spacing w:after="20" w:line="223" w:lineRule="auto"/>
        <w:jc w:val="right"/>
        <w:bidi/>
      </w:pPr>
      <w:r>
        <w:rPr>
          <w:rFonts w:ascii="Arial" w:hAnsi="Arial"/>
          <w:sz w:val="16"/>
        </w:rPr>
        <w:t>201.05  این مرخصی یک بار در طول یک دوره حرفه‌ای اعطا می‌شود و فقط برای جلوگیری از ورود عضو خدمت به وضعیت مرخصی پیشرفته یا اضافی استفاده می‌شود.</w:t>
      </w:r>
    </w:p>
    <w:p>
      <w:pPr>
        <w:spacing w:after="28" w:line="216" w:lineRule="auto"/>
        <w:ind w:left="259"/>
        <w:jc w:val="left"/>
      </w:pPr>
      <w:r>
        <w:rPr>
          <w:rFonts w:ascii="Arial" w:hAnsi="Arial"/>
          <w:color w:val="525252"/>
          <w:sz w:val="13"/>
        </w:rPr>
        <w:t>The leave is granted once during an entire career and is only used to prevent the service member from entering an advanced or excess leave status.</w:t>
      </w:r>
    </w:p>
    <w:p>
      <w:pPr>
        <w:spacing w:after="20" w:line="223" w:lineRule="auto"/>
        <w:jc w:val="right"/>
        <w:bidi/>
      </w:pPr>
      <w:r>
        <w:rPr>
          <w:rFonts w:ascii="Arial" w:hAnsi="Arial"/>
          <w:sz w:val="16"/>
        </w:rPr>
        <w:t>201.06  مرخصی در مسیر.</w:t>
      </w:r>
    </w:p>
    <w:p>
      <w:pPr>
        <w:spacing w:after="28" w:line="216" w:lineRule="auto"/>
        <w:ind w:left="259"/>
        <w:jc w:val="left"/>
      </w:pPr>
      <w:r>
        <w:rPr>
          <w:rFonts w:ascii="Arial" w:hAnsi="Arial"/>
          <w:color w:val="525252"/>
          <w:sz w:val="13"/>
        </w:rPr>
        <w:t>Enroute Leave.</w:t>
      </w:r>
    </w:p>
    <w:p>
      <w:pPr>
        <w:spacing w:after="20" w:line="223" w:lineRule="auto"/>
        <w:jc w:val="right"/>
        <w:bidi/>
      </w:pPr>
      <w:r>
        <w:rPr>
          <w:rFonts w:ascii="Arial" w:hAnsi="Arial"/>
          <w:sz w:val="16"/>
        </w:rPr>
        <w:t>201.07  مرخصی مسیر مرخصی معمولی است که در هنگام تغییر دائم ایستگاه استفاده می‌شود.</w:t>
      </w:r>
    </w:p>
    <w:p>
      <w:pPr>
        <w:spacing w:after="28" w:line="216" w:lineRule="auto"/>
        <w:ind w:left="259"/>
        <w:jc w:val="left"/>
      </w:pPr>
      <w:r>
        <w:rPr>
          <w:rFonts w:ascii="Arial" w:hAnsi="Arial"/>
          <w:color w:val="525252"/>
          <w:sz w:val="13"/>
        </w:rPr>
        <w:t>Enroute leave is ordinary leave used during a permanent change of station.</w:t>
      </w:r>
    </w:p>
    <w:p>
      <w:pPr>
        <w:spacing w:after="20" w:line="223" w:lineRule="auto"/>
        <w:jc w:val="right"/>
        <w:bidi/>
      </w:pPr>
      <w:r>
        <w:rPr>
          <w:rFonts w:ascii="Arial" w:hAnsi="Arial"/>
          <w:sz w:val="16"/>
        </w:rPr>
        <w:t>201.08  به‌طور معمول، فرمانده واحد بازنده حداکثر ۳۰ روز مرخصی در مسیر را با هر گونه تغییر ایستگاه در صورتی که با تاریخ گزارش مأموریت جدید تداخل نداشته باشد، تأیید می‌کند.</w:t>
      </w:r>
    </w:p>
    <w:p>
      <w:pPr>
        <w:spacing w:after="28" w:line="216" w:lineRule="auto"/>
        <w:ind w:left="259"/>
        <w:jc w:val="left"/>
      </w:pPr>
      <w:r>
        <w:rPr>
          <w:rFonts w:ascii="Arial" w:hAnsi="Arial"/>
          <w:color w:val="525252"/>
          <w:sz w:val="13"/>
        </w:rPr>
        <w:t>Normally, the losing unit commander approves up to 30 days enroute leave with any change of station move if it does not interfere with the reporting date of the new assignment.</w:t>
      </w:r>
    </w:p>
    <w:p>
      <w:pPr>
        <w:spacing w:after="20" w:line="223" w:lineRule="auto"/>
        <w:jc w:val="right"/>
        <w:bidi/>
      </w:pPr>
      <w:r>
        <w:rPr>
          <w:rFonts w:ascii="Arial" w:hAnsi="Arial"/>
          <w:sz w:val="16"/>
        </w:rPr>
        <w:t>201.09  اعضایی که آموزش پایه یا فنی را گذرانده‌اند، می‌توانند ۱۰ روز مرخصی در مسیر را درخواست کنند، اگر اولین ایستگاه کاری آنها در قاره ایالات متحده باشد، یا ۱۴ روز برای یک مأموریت خارج از کشور.</w:t>
      </w:r>
    </w:p>
    <w:p>
      <w:pPr>
        <w:spacing w:after="28" w:line="216" w:lineRule="auto"/>
        <w:ind w:left="259"/>
        <w:jc w:val="left"/>
      </w:pPr>
      <w:r>
        <w:rPr>
          <w:rFonts w:ascii="Arial" w:hAnsi="Arial"/>
          <w:color w:val="525252"/>
          <w:sz w:val="13"/>
        </w:rPr>
        <w:t>Members who complete basic or technical training may request 10 days of leave enroute if their first duty station is in the Continental United States, or 14 days for an overseas assignment.</w:t>
      </w:r>
    </w:p>
    <w:p>
      <w:pPr>
        <w:spacing w:after="20" w:line="223" w:lineRule="auto"/>
        <w:jc w:val="right"/>
        <w:bidi/>
      </w:pPr>
      <w:r>
        <w:rPr>
          <w:rFonts w:ascii="Arial" w:hAnsi="Arial"/>
          <w:sz w:val="16"/>
        </w:rPr>
        <w:t>201.10  اعضا می‌توانند زمانی که مرخصی کافی برای مرخصی در مسیر ندارند درخواست مرخصی قبلی کنند.</w:t>
      </w:r>
    </w:p>
    <w:p>
      <w:pPr>
        <w:spacing w:after="28" w:line="216" w:lineRule="auto"/>
        <w:ind w:left="259"/>
        <w:jc w:val="left"/>
      </w:pPr>
      <w:r>
        <w:rPr>
          <w:rFonts w:ascii="Arial" w:hAnsi="Arial"/>
          <w:color w:val="525252"/>
          <w:sz w:val="13"/>
        </w:rPr>
        <w:t>Members may request advance leave when they do not have enough leave accrued for enroute leave.</w:t>
      </w:r>
    </w:p>
    <w:p>
      <w:pPr>
        <w:spacing w:after="20" w:line="223" w:lineRule="auto"/>
        <w:jc w:val="right"/>
        <w:bidi/>
      </w:pPr>
      <w:r>
        <w:rPr>
          <w:rFonts w:ascii="Arial" w:hAnsi="Arial"/>
          <w:sz w:val="16"/>
        </w:rPr>
        <w:t>201.11  مرخصی پایانه.</w:t>
      </w:r>
    </w:p>
    <w:p>
      <w:pPr>
        <w:spacing w:after="28" w:line="216" w:lineRule="auto"/>
        <w:ind w:left="259"/>
        <w:jc w:val="left"/>
      </w:pPr>
      <w:r>
        <w:rPr>
          <w:rFonts w:ascii="Arial" w:hAnsi="Arial"/>
          <w:color w:val="525252"/>
          <w:sz w:val="13"/>
        </w:rPr>
        <w:t>Terminal Leave.</w:t>
      </w:r>
    </w:p>
    <w:p>
      <w:pPr>
        <w:spacing w:after="20" w:line="223" w:lineRule="auto"/>
        <w:jc w:val="right"/>
        <w:bidi/>
      </w:pPr>
      <w:r>
        <w:rPr>
          <w:rFonts w:ascii="Arial" w:hAnsi="Arial"/>
          <w:sz w:val="16"/>
        </w:rPr>
        <w:t>201.12  مرخصی پایانی مرخصی قابل پرداختی است که همراه با بازنشستگی یا جدایی از وضعیت رگاف گرفته می‌شود.</w:t>
      </w:r>
    </w:p>
    <w:p>
      <w:pPr>
        <w:spacing w:after="28" w:line="216" w:lineRule="auto"/>
        <w:ind w:left="259"/>
        <w:jc w:val="left"/>
      </w:pPr>
      <w:r>
        <w:rPr>
          <w:rFonts w:ascii="Arial" w:hAnsi="Arial"/>
          <w:color w:val="525252"/>
          <w:sz w:val="13"/>
        </w:rPr>
        <w:t>Terminal leave is chargeable leave taken in conjunction with retirement or separation from RegAF status.</w:t>
      </w:r>
    </w:p>
    <w:p>
      <w:pPr>
        <w:spacing w:after="20" w:line="223" w:lineRule="auto"/>
        <w:jc w:val="right"/>
        <w:bidi/>
      </w:pPr>
      <w:r>
        <w:rPr>
          <w:rFonts w:ascii="Arial" w:hAnsi="Arial"/>
          <w:sz w:val="16"/>
        </w:rPr>
        <w:t>201.13  آخرین روز مرخصی اعضا با آخرین روز وضعیت رگاف مصادف است.</w:t>
      </w:r>
    </w:p>
    <w:p>
      <w:pPr>
        <w:spacing w:after="28" w:line="216" w:lineRule="auto"/>
        <w:ind w:left="259"/>
        <w:jc w:val="left"/>
      </w:pPr>
      <w:r>
        <w:rPr>
          <w:rFonts w:ascii="Arial" w:hAnsi="Arial"/>
          <w:color w:val="525252"/>
          <w:sz w:val="13"/>
        </w:rPr>
        <w:t>The member’s last day of leave coincides with the last day of RegAF status.</w:t>
      </w:r>
    </w:p>
    <w:p>
      <w:pPr>
        <w:spacing w:after="20" w:line="223" w:lineRule="auto"/>
        <w:jc w:val="right"/>
        <w:bidi/>
      </w:pPr>
      <w:r>
        <w:rPr>
          <w:rFonts w:ascii="Arial" w:hAnsi="Arial"/>
          <w:sz w:val="16"/>
        </w:rPr>
        <w:t>201.14  به‌طور معمول، پس از شروع مرخصی ترمینال، یک عضو به وظیفه خود باز نمی‌گردد.</w:t>
      </w:r>
    </w:p>
    <w:p>
      <w:pPr>
        <w:spacing w:after="28" w:line="216" w:lineRule="auto"/>
        <w:ind w:left="259"/>
        <w:jc w:val="left"/>
      </w:pPr>
      <w:r>
        <w:rPr>
          <w:rFonts w:ascii="Arial" w:hAnsi="Arial"/>
          <w:color w:val="525252"/>
          <w:sz w:val="13"/>
        </w:rPr>
        <w:t>Normally, a member does not return to duty after terminal leave begins.</w:t>
      </w:r>
    </w:p>
    <w:p>
      <w:pPr>
        <w:spacing w:after="20" w:line="223" w:lineRule="auto"/>
        <w:jc w:val="right"/>
        <w:bidi/>
      </w:pPr>
      <w:r>
        <w:rPr>
          <w:rFonts w:ascii="Arial" w:hAnsi="Arial"/>
          <w:sz w:val="16"/>
        </w:rPr>
        <w:t>201.15  میزان مرخصی گرفته شده نمی‌تواند از مانده مرخصی در تاریخ جدایی بیشتر باشد.</w:t>
      </w:r>
    </w:p>
    <w:p>
      <w:pPr>
        <w:spacing w:after="28" w:line="216" w:lineRule="auto"/>
        <w:ind w:left="259"/>
        <w:jc w:val="left"/>
      </w:pPr>
      <w:r>
        <w:rPr>
          <w:rFonts w:ascii="Arial" w:hAnsi="Arial"/>
          <w:color w:val="525252"/>
          <w:sz w:val="13"/>
        </w:rPr>
        <w:t>The amount of leave taken cannot exceed the leave balance at the date of separation.</w:t>
      </w:r>
    </w:p>
    <w:p>
      <w:pPr>
        <w:spacing w:after="20" w:line="223" w:lineRule="auto"/>
        <w:jc w:val="right"/>
        <w:bidi/>
      </w:pPr>
      <w:r>
        <w:rPr>
          <w:rFonts w:ascii="Arial" w:hAnsi="Arial"/>
          <w:sz w:val="16"/>
        </w:rPr>
        <w:t>201.16  مرخصی محیطی و اخلاقی.</w:t>
      </w:r>
    </w:p>
    <w:p>
      <w:pPr>
        <w:spacing w:after="28" w:line="216" w:lineRule="auto"/>
        <w:ind w:left="259"/>
        <w:jc w:val="left"/>
      </w:pPr>
      <w:r>
        <w:rPr>
          <w:rFonts w:ascii="Arial" w:hAnsi="Arial"/>
          <w:color w:val="525252"/>
          <w:sz w:val="13"/>
        </w:rPr>
        <w:t>Environmental and Morale Leave.</w:t>
      </w:r>
    </w:p>
    <w:p>
      <w:pPr>
        <w:spacing w:after="20" w:line="223" w:lineRule="auto"/>
        <w:jc w:val="right"/>
        <w:bidi/>
      </w:pPr>
      <w:r>
        <w:rPr>
          <w:rFonts w:ascii="Arial" w:hAnsi="Arial"/>
          <w:sz w:val="16"/>
        </w:rPr>
        <w:t>201.17  مرخصی محیطی و روحی در خارج از کشور مجاز است که در آن شرایط نامساعد محیطی مستلزم تمهیدات خاصی برای مرخصی در مکان‌های مطلوب در فواصل زمانی دوره‌ای باشد.</w:t>
      </w:r>
    </w:p>
    <w:p>
      <w:pPr>
        <w:spacing w:after="28" w:line="216" w:lineRule="auto"/>
        <w:ind w:left="259"/>
        <w:jc w:val="left"/>
      </w:pPr>
      <w:r>
        <w:rPr>
          <w:rFonts w:ascii="Arial" w:hAnsi="Arial"/>
          <w:color w:val="525252"/>
          <w:sz w:val="13"/>
        </w:rPr>
        <w:t>Environmental and morale leave is authorized overseas where adverse environmental conditions require special arrangements for leave in desirable places at periodic intervals.</w:t>
      </w:r>
    </w:p>
    <w:p>
      <w:pPr>
        <w:spacing w:after="20" w:line="223" w:lineRule="auto"/>
        <w:jc w:val="right"/>
        <w:bidi/>
      </w:pPr>
      <w:r>
        <w:rPr>
          <w:rFonts w:ascii="Arial" w:hAnsi="Arial"/>
          <w:sz w:val="16"/>
        </w:rPr>
        <w:t>201.18  هزینه مرخصی محیطی و روحی به‌عنوان مرخصی عادی محاسبه می‌شود و اعضا مجاز به حمل و نقل نظامی هستند (زمان سفر به‌عنوان مرخصی محاسبه نمی‌شود).</w:t>
      </w:r>
    </w:p>
    <w:p>
      <w:pPr>
        <w:spacing w:after="28" w:line="216" w:lineRule="auto"/>
        <w:ind w:left="259"/>
        <w:jc w:val="left"/>
      </w:pPr>
      <w:r>
        <w:rPr>
          <w:rFonts w:ascii="Arial" w:hAnsi="Arial"/>
          <w:color w:val="525252"/>
          <w:sz w:val="13"/>
        </w:rPr>
        <w:t>Funded environmental and morale leave is charged as ordinary leave and members are authorized military transportation (travel time is not charged as leave).</w:t>
      </w:r>
    </w:p>
    <w:p>
      <w:pPr>
        <w:spacing w:after="20" w:line="223" w:lineRule="auto"/>
        <w:jc w:val="right"/>
        <w:bidi/>
      </w:pPr>
      <w:r>
        <w:rPr>
          <w:rFonts w:ascii="Arial" w:hAnsi="Arial"/>
          <w:sz w:val="16"/>
        </w:rPr>
        <w:t>201.19  مرخصی زیست محیطی و روحی بدون بودجه به‌عنوان مرخصی عادی محاسبه می‌شود و اعضا مجاز به حمل و نقل هوایی در فضای موجود به و از مکان‌های وظیفه هستند (زمان سفر به‌عنوان مرخصی محاسبه می‌شود).</w:t>
      </w:r>
    </w:p>
    <w:p>
      <w:pPr>
        <w:spacing w:after="28" w:line="216" w:lineRule="auto"/>
        <w:ind w:left="259"/>
        <w:jc w:val="left"/>
      </w:pPr>
      <w:r>
        <w:rPr>
          <w:rFonts w:ascii="Arial" w:hAnsi="Arial"/>
          <w:color w:val="525252"/>
          <w:sz w:val="13"/>
        </w:rPr>
        <w:t>Unfunded environmental and morale leave is charged as ordinary leave and members are authorized space- available air transportation to and from the duty locations (travel time is charged as leave).</w:t>
      </w:r>
    </w:p>
    <w:p>
      <w:pPr>
        <w:spacing w:after="20" w:line="223" w:lineRule="auto"/>
        <w:jc w:val="right"/>
        <w:bidi/>
      </w:pPr>
      <w:r>
        <w:rPr>
          <w:rFonts w:ascii="Arial" w:hAnsi="Arial"/>
          <w:sz w:val="16"/>
        </w:rPr>
        <w:t>201.20  برنامه مرخصی والدین نظامی.</w:t>
      </w:r>
    </w:p>
    <w:p>
      <w:pPr>
        <w:spacing w:after="28" w:line="216" w:lineRule="auto"/>
        <w:ind w:left="259"/>
        <w:jc w:val="left"/>
      </w:pPr>
      <w:r>
        <w:rPr>
          <w:rFonts w:ascii="Arial" w:hAnsi="Arial"/>
          <w:color w:val="525252"/>
          <w:sz w:val="13"/>
        </w:rPr>
        <w:t>Military Parental Leave Program.</w:t>
      </w:r>
    </w:p>
    <w:p>
      <w:pPr>
        <w:spacing w:after="20" w:line="223" w:lineRule="auto"/>
        <w:jc w:val="right"/>
        <w:bidi/>
      </w:pPr>
      <w:r>
        <w:rPr>
          <w:rFonts w:ascii="Arial" w:hAnsi="Arial"/>
          <w:sz w:val="16"/>
        </w:rPr>
        <w:t>201.21  برنامه مرخصی والدین نظامی، ۱۲ هفته مرخصی غیرمجاز را به اعضای نیروهای مسلح تحت پوشش پس از یک رویداد تولد واجد شرایط، به فرزندخواندگی کودک خردسال یا افرادی که فرزند خردسالی برای فرزندخواندگی یا نگهداری طولانی مدت برای مراقبت از کودک دارند، مجاز می‌سازد.</w:t>
      </w:r>
    </w:p>
    <w:p>
      <w:pPr>
        <w:spacing w:after="28" w:line="216" w:lineRule="auto"/>
        <w:ind w:left="259"/>
        <w:jc w:val="left"/>
      </w:pPr>
      <w:r>
        <w:rPr>
          <w:rFonts w:ascii="Arial" w:hAnsi="Arial"/>
          <w:color w:val="525252"/>
          <w:sz w:val="13"/>
        </w:rPr>
        <w:t>Military Parental Leave Program authorizes 12 weeks of non-chargeable leave to covered service members after a qualifying birth event, adoption of a minor child or who have a minor child placed for adoption or long-term foster care with them to care for the child.</w:t>
      </w:r>
    </w:p>
    <w:p>
      <w:pPr>
        <w:spacing w:before="60" w:after="28"/>
        <w:jc w:val="right"/>
        <w:bidi/>
      </w:pPr>
      <w:r>
        <w:rPr>
          <w:b/>
          <w:color w:val="1F4D78"/>
          <w:sz w:val="18"/>
        </w:rPr>
        <w:t>11.16. وظیفه موقت مجاز</w:t>
      </w:r>
    </w:p>
    <w:p>
      <w:pPr>
        <w:spacing w:after="20"/>
        <w:ind w:left="259"/>
        <w:jc w:val="left"/>
      </w:pPr>
      <w:r>
        <w:rPr>
          <w:color w:val="555555"/>
          <w:sz w:val="12"/>
        </w:rPr>
        <w:t>11.16. Permissive Temporary Duty</w:t>
      </w:r>
    </w:p>
    <w:p>
      <w:pPr>
        <w:spacing w:after="20" w:line="223" w:lineRule="auto"/>
        <w:jc w:val="right"/>
        <w:bidi/>
      </w:pPr>
      <w:r>
        <w:rPr>
          <w:rFonts w:ascii="Arial" w:hAnsi="Arial"/>
          <w:sz w:val="16"/>
        </w:rPr>
        <w:t>201.23  TDY مجاز یک غیبت اداری است که TDY تأمین شده برای آن مناسب نیست.</w:t>
      </w:r>
    </w:p>
    <w:p>
      <w:pPr>
        <w:spacing w:after="28" w:line="216" w:lineRule="auto"/>
        <w:ind w:left="259"/>
        <w:jc w:val="left"/>
      </w:pPr>
      <w:r>
        <w:rPr>
          <w:rFonts w:ascii="Arial" w:hAnsi="Arial"/>
          <w:color w:val="525252"/>
          <w:sz w:val="13"/>
        </w:rPr>
        <w:t>Permissive TDY is an administrative absence for which funded TDY is not appropriate.</w:t>
      </w:r>
    </w:p>
    <w:p>
      <w:pPr>
        <w:spacing w:after="20" w:line="223" w:lineRule="auto"/>
        <w:jc w:val="right"/>
        <w:bidi/>
      </w:pPr>
      <w:r>
        <w:rPr>
          <w:rFonts w:ascii="Arial" w:hAnsi="Arial"/>
          <w:sz w:val="16"/>
        </w:rPr>
        <w:t>201.24  فرماندهان نمی‌توانند TDY مجاز را به جای مرخصی یا پاس ویژه یا همراه با پاس‌های ویژه مجاز کنند.</w:t>
      </w:r>
    </w:p>
    <w:p>
      <w:pPr>
        <w:spacing w:after="28" w:line="216" w:lineRule="auto"/>
        <w:ind w:left="259"/>
        <w:jc w:val="left"/>
      </w:pPr>
      <w:r>
        <w:rPr>
          <w:rFonts w:ascii="Arial" w:hAnsi="Arial"/>
          <w:color w:val="525252"/>
          <w:sz w:val="13"/>
        </w:rPr>
        <w:t>Commanders may not authorize permissive TDY in place of leave or a special pass or in conjunction with special passes.</w:t>
      </w:r>
    </w:p>
    <w:p>
      <w:pPr>
        <w:spacing w:after="20" w:line="223" w:lineRule="auto"/>
        <w:jc w:val="right"/>
        <w:bidi/>
      </w:pPr>
      <w:r>
        <w:rPr>
          <w:rFonts w:ascii="Arial" w:hAnsi="Arial"/>
          <w:sz w:val="16"/>
        </w:rPr>
        <w:t>201.25  TDY مجاز، در صورت مجاز، ممکن است شامل سفر به یا در مجاورت یک ایستگاه وظیفه دائمی جدید برای ایمن کردن مسکن خارج از پایگاه، همراهی یک بیمار نظامی یا وابسته به یک مرکز درمانی تعیین‌شده در منطقه محلی، شرکت در سمینار کمکی تحت حمایت وزارت دفاع تحت برنامه خدمات کمک‌های انتقال ملی یا شرکت در نشست خدمات ملی میزبانی کمک‌های انتقالی، یا شرکت در جلسه کمک‌رسانی ملی باشد.</w:t>
      </w:r>
    </w:p>
    <w:p>
      <w:pPr>
        <w:spacing w:after="28" w:line="216" w:lineRule="auto"/>
        <w:ind w:left="259"/>
        <w:jc w:val="left"/>
      </w:pPr>
      <w:r>
        <w:rPr>
          <w:rFonts w:ascii="Arial" w:hAnsi="Arial"/>
          <w:color w:val="525252"/>
          <w:sz w:val="13"/>
        </w:rPr>
        <w:t>Permissive TDY, if authorized, may include traveling to or in the vicinity of a new permanent duty station to secure off-base housing, accompanying a military or dependent patient to a designated medical treatment facility not in the local area, attending a Department of Defense sponsored assistance seminar under the Transition Assistance Program, or attending national conventions or meetings hosted by service-connected organizations.</w:t>
      </w:r>
    </w:p>
    <w:p>
      <w:pPr>
        <w:spacing w:before="60" w:after="28"/>
        <w:jc w:val="right"/>
        <w:bidi/>
      </w:pPr>
      <w:r>
        <w:rPr>
          <w:b/>
          <w:color w:val="1F4D78"/>
          <w:sz w:val="18"/>
        </w:rPr>
        <w:t>11.17. گذرنامه های معمولی و ویژه</w:t>
      </w:r>
    </w:p>
    <w:p>
      <w:pPr>
        <w:spacing w:after="20"/>
        <w:ind w:left="259"/>
        <w:jc w:val="left"/>
      </w:pPr>
      <w:r>
        <w:rPr>
          <w:color w:val="555555"/>
          <w:sz w:val="12"/>
        </w:rPr>
        <w:t>11.17. Regular and Special Passes</w:t>
      </w:r>
    </w:p>
    <w:p>
      <w:pPr>
        <w:spacing w:after="20" w:line="223" w:lineRule="auto"/>
        <w:jc w:val="right"/>
        <w:bidi/>
      </w:pPr>
      <w:r>
        <w:rPr>
          <w:rFonts w:ascii="Arial" w:hAnsi="Arial"/>
          <w:sz w:val="16"/>
        </w:rPr>
        <w:t>201.27  دوره قبولی غیبت مجاز از انجام وظیفه برای مدت نسبتا کوتاهی است.</w:t>
      </w:r>
    </w:p>
    <w:p>
      <w:pPr>
        <w:spacing w:after="28" w:line="216" w:lineRule="auto"/>
        <w:ind w:left="259"/>
        <w:jc w:val="left"/>
      </w:pPr>
      <w:r>
        <w:rPr>
          <w:rFonts w:ascii="Arial" w:hAnsi="Arial"/>
          <w:color w:val="525252"/>
          <w:sz w:val="13"/>
        </w:rPr>
        <w:t>A pass period is an authorized absence from duty for a relatively short amount of time.</w:t>
      </w:r>
    </w:p>
    <w:p>
      <w:pPr>
        <w:spacing w:after="20" w:line="223" w:lineRule="auto"/>
        <w:jc w:val="right"/>
        <w:bidi/>
      </w:pPr>
      <w:r>
        <w:rPr>
          <w:rFonts w:ascii="Arial" w:hAnsi="Arial"/>
          <w:sz w:val="16"/>
        </w:rPr>
        <w:t>201.28  هیچ محدودیت مسافت پیموده شده وجود ندارد. با این حال، ممکن است انتظار می‌رود که اعضا به دلیل یک الزام مأموریت عملیاتی، مانند فراخوان، هشدار واحد، یا اضطراری واحد، در یک زمان معقول به وظیفه خود بازگردند.</w:t>
      </w:r>
    </w:p>
    <w:p>
      <w:pPr>
        <w:spacing w:after="28" w:line="216" w:lineRule="auto"/>
        <w:ind w:left="259"/>
        <w:jc w:val="left"/>
      </w:pPr>
      <w:r>
        <w:rPr>
          <w:rFonts w:ascii="Arial" w:hAnsi="Arial"/>
          <w:color w:val="525252"/>
          <w:sz w:val="13"/>
        </w:rPr>
        <w:t>There are no mileage restrictions; however, members may be expected to return to duty within a reasonable time due to an operational mission requirement, such as a recall, unit alert, or unit emergency.</w:t>
      </w:r>
    </w:p>
    <w:p>
      <w:pPr>
        <w:spacing w:after="20" w:line="223" w:lineRule="auto"/>
        <w:jc w:val="right"/>
        <w:bidi/>
      </w:pPr>
      <w:r>
        <w:rPr>
          <w:rFonts w:ascii="Arial" w:hAnsi="Arial"/>
          <w:sz w:val="16"/>
        </w:rPr>
        <w:t>201.29  گذرنامه معمولی.</w:t>
      </w:r>
    </w:p>
    <w:p>
      <w:pPr>
        <w:spacing w:after="28" w:line="216" w:lineRule="auto"/>
        <w:ind w:left="259"/>
        <w:jc w:val="left"/>
      </w:pPr>
      <w:r>
        <w:rPr>
          <w:rFonts w:ascii="Arial" w:hAnsi="Arial"/>
          <w:color w:val="525252"/>
          <w:sz w:val="13"/>
        </w:rPr>
        <w:t>Regular Pass.</w:t>
      </w:r>
    </w:p>
    <w:p>
      <w:pPr>
        <w:spacing w:after="20" w:line="223" w:lineRule="auto"/>
        <w:jc w:val="right"/>
        <w:bidi/>
      </w:pPr>
      <w:r>
        <w:rPr>
          <w:rFonts w:ascii="Arial" w:hAnsi="Arial"/>
          <w:sz w:val="16"/>
        </w:rPr>
        <w:t>201.30  گذرنامه معمولی معمولا در پایان ساعات کاری بعدازظهر جمعه شروع می‌شود و تا شروع ساعات کاری عادی در دوشنبه بعد که روزهای غیر وظیفه شنبه و یکشنبه است ادامه می‌یابد.</w:t>
      </w:r>
    </w:p>
    <w:p>
      <w:pPr>
        <w:spacing w:after="28" w:line="216" w:lineRule="auto"/>
        <w:ind w:left="259"/>
        <w:jc w:val="left"/>
      </w:pPr>
      <w:r>
        <w:rPr>
          <w:rFonts w:ascii="Arial" w:hAnsi="Arial"/>
          <w:color w:val="525252"/>
          <w:sz w:val="13"/>
        </w:rPr>
        <w:t>A regular pass normally begins at the end of work hours on Friday afternoon and continues until the beginning of normal work hours on the following Monday when non-duty days are Saturday and Sunday.</w:t>
      </w:r>
    </w:p>
    <w:p>
      <w:pPr>
        <w:spacing w:after="20" w:line="223" w:lineRule="auto"/>
        <w:jc w:val="right"/>
        <w:bidi/>
      </w:pPr>
      <w:r>
        <w:rPr>
          <w:rFonts w:ascii="Arial" w:hAnsi="Arial"/>
          <w:sz w:val="16"/>
        </w:rPr>
        <w:t>201.31  یک دوره گذراندن منظم در برنامه‌های کاری غیر سنتی (جایگزین یا</w:t>
      </w:r>
    </w:p>
    <w:p>
      <w:pPr>
        <w:spacing w:after="28" w:line="216" w:lineRule="auto"/>
        <w:ind w:left="259"/>
        <w:jc w:val="left"/>
      </w:pPr>
      <w:r>
        <w:rPr>
          <w:rFonts w:ascii="Arial" w:hAnsi="Arial"/>
          <w:color w:val="525252"/>
          <w:sz w:val="13"/>
        </w:rPr>
        <w:t>A regular pass period on non-traditional work schedules (alternate or</w:t>
      </w:r>
    </w:p>
    <w:p>
      <w:r>
        <w:br w:type="page"/>
      </w:r>
    </w:p>
    <w:p>
      <w:pPr>
        <w:spacing w:after="60"/>
        <w:jc w:val="right"/>
        <w:bidi/>
      </w:pPr>
      <w:r>
        <w:rPr>
          <w:rFonts w:ascii="Arial" w:hAnsi="Arial"/>
          <w:b/>
          <w:color w:val="1F4D78"/>
          <w:sz w:val="19"/>
        </w:rPr>
        <w:t>هفتهٔ 202  |  صفحهٔ منبع: 218</w:t>
      </w:r>
    </w:p>
    <w:p>
      <w:pPr>
        <w:spacing w:after="20" w:line="223" w:lineRule="auto"/>
        <w:jc w:val="right"/>
        <w:bidi/>
      </w:pPr>
      <w:r>
        <w:rPr>
          <w:rFonts w:ascii="Arial" w:hAnsi="Arial"/>
          <w:sz w:val="16"/>
        </w:rPr>
        <w:t>202.01  برنامه‌های فشرده) نباید از حد مجاز عبور ویژه چهار روزه تجاوز کند.</w:t>
      </w:r>
    </w:p>
    <w:p>
      <w:pPr>
        <w:spacing w:after="28" w:line="216" w:lineRule="auto"/>
        <w:ind w:left="259"/>
        <w:jc w:val="left"/>
      </w:pPr>
      <w:r>
        <w:rPr>
          <w:rFonts w:ascii="Arial" w:hAnsi="Arial"/>
          <w:color w:val="525252"/>
          <w:sz w:val="13"/>
        </w:rPr>
        <w:t>compressed schedules) may not exceed the four-day special pass limit.</w:t>
      </w:r>
    </w:p>
    <w:p>
      <w:pPr>
        <w:spacing w:after="20" w:line="223" w:lineRule="auto"/>
        <w:jc w:val="right"/>
        <w:bidi/>
      </w:pPr>
      <w:r>
        <w:rPr>
          <w:rFonts w:ascii="Arial" w:hAnsi="Arial"/>
          <w:sz w:val="16"/>
        </w:rPr>
        <w:t>202.02  ترکیب روزهای غیر وظیفه و تعطیلات رسمی نمی‌تواند از حد مجاز چهار روزه بیشتر باشد.</w:t>
      </w:r>
    </w:p>
    <w:p>
      <w:pPr>
        <w:spacing w:after="28" w:line="216" w:lineRule="auto"/>
        <w:ind w:left="259"/>
        <w:jc w:val="left"/>
      </w:pPr>
      <w:r>
        <w:rPr>
          <w:rFonts w:ascii="Arial" w:hAnsi="Arial"/>
          <w:color w:val="525252"/>
          <w:sz w:val="13"/>
        </w:rPr>
        <w:t>The combination of non- duty days and a public holiday may not exceed the four-day special pass limit.</w:t>
      </w:r>
    </w:p>
    <w:p>
      <w:pPr>
        <w:spacing w:after="20" w:line="223" w:lineRule="auto"/>
        <w:jc w:val="right"/>
        <w:bidi/>
      </w:pPr>
      <w:r>
        <w:rPr>
          <w:rFonts w:ascii="Arial" w:hAnsi="Arial"/>
          <w:sz w:val="16"/>
        </w:rPr>
        <w:t>202.03  ترکیبی از سه روز غیر وظیفه و یک تعطیلات رسمی در طول یک برنامه کاری فشرده، یک دوره معمولی است.</w:t>
      </w:r>
    </w:p>
    <w:p>
      <w:pPr>
        <w:spacing w:after="28" w:line="216" w:lineRule="auto"/>
        <w:ind w:left="259"/>
        <w:jc w:val="left"/>
      </w:pPr>
      <w:r>
        <w:rPr>
          <w:rFonts w:ascii="Arial" w:hAnsi="Arial"/>
          <w:color w:val="525252"/>
          <w:sz w:val="13"/>
        </w:rPr>
        <w:t>The combination of three non-duty days and a public holiday during a compressed work schedule is a regular pass period.</w:t>
      </w:r>
    </w:p>
    <w:p>
      <w:pPr>
        <w:spacing w:after="20" w:line="223" w:lineRule="auto"/>
        <w:jc w:val="right"/>
        <w:bidi/>
      </w:pPr>
      <w:r>
        <w:rPr>
          <w:rFonts w:ascii="Arial" w:hAnsi="Arial"/>
          <w:sz w:val="16"/>
        </w:rPr>
        <w:t>202.04  وزارت دفاع یا مدیریت بالاتر ممکن است تعیین کند که دوشنبه یا جمعه زمانی که تعطیلات در سه‌شنبه یا پنج‌شنبه برگزار می‌شود، مرخصی جبرانی (کامپیوتری) است، در این صورت یک مجوز معمولی ممکن است شامل یک تعطیلات آخر هفته، یک روز مرخصی و یک تعطیلات عمومی باشد.</w:t>
      </w:r>
    </w:p>
    <w:p>
      <w:pPr>
        <w:spacing w:after="28" w:line="216" w:lineRule="auto"/>
        <w:ind w:left="259"/>
        <w:jc w:val="left"/>
      </w:pPr>
      <w:r>
        <w:rPr>
          <w:rFonts w:ascii="Arial" w:hAnsi="Arial"/>
          <w:color w:val="525252"/>
          <w:sz w:val="13"/>
        </w:rPr>
        <w:t>Department of Defense or higher management may determine that a Monday or Friday is compensatory (comp) time off when a holiday is observed on a Tuesday or Thursday, in which case a regular pass may consist of a weekend, a comp day off, and a public holiday.</w:t>
      </w:r>
    </w:p>
    <w:p>
      <w:pPr>
        <w:spacing w:after="20" w:line="223" w:lineRule="auto"/>
        <w:jc w:val="right"/>
        <w:bidi/>
      </w:pPr>
      <w:r>
        <w:rPr>
          <w:rFonts w:ascii="Arial" w:hAnsi="Arial"/>
          <w:sz w:val="16"/>
        </w:rPr>
        <w:t>202.05  گذرنامه ویژه.</w:t>
      </w:r>
    </w:p>
    <w:p>
      <w:pPr>
        <w:spacing w:after="28" w:line="216" w:lineRule="auto"/>
        <w:ind w:left="259"/>
        <w:jc w:val="left"/>
      </w:pPr>
      <w:r>
        <w:rPr>
          <w:rFonts w:ascii="Arial" w:hAnsi="Arial"/>
          <w:color w:val="525252"/>
          <w:sz w:val="13"/>
        </w:rPr>
        <w:t>Special Pass.</w:t>
      </w:r>
    </w:p>
    <w:p>
      <w:pPr>
        <w:spacing w:after="20" w:line="223" w:lineRule="auto"/>
        <w:jc w:val="right"/>
        <w:bidi/>
      </w:pPr>
      <w:r>
        <w:rPr>
          <w:rFonts w:ascii="Arial" w:hAnsi="Arial"/>
          <w:sz w:val="16"/>
        </w:rPr>
        <w:t>202.06  فرماندهان واحد ممکن است برای موقعیت‌های خاص، شرایط، شناسایی خاص یا مرخصی جبرانی، مجوزهای ویژه سه یا چهار روزه اعطا کنند.</w:t>
      </w:r>
    </w:p>
    <w:p>
      <w:pPr>
        <w:spacing w:after="28" w:line="216" w:lineRule="auto"/>
        <w:ind w:left="259"/>
        <w:jc w:val="left"/>
      </w:pPr>
      <w:r>
        <w:rPr>
          <w:rFonts w:ascii="Arial" w:hAnsi="Arial"/>
          <w:color w:val="525252"/>
          <w:sz w:val="13"/>
        </w:rPr>
        <w:t>Unit commanders may award three- or four-day special passes for special occasions, circumstances, special recognition, or compensatory time off.</w:t>
      </w:r>
    </w:p>
    <w:p>
      <w:pPr>
        <w:spacing w:after="20" w:line="223" w:lineRule="auto"/>
        <w:jc w:val="right"/>
        <w:bidi/>
      </w:pPr>
      <w:r>
        <w:rPr>
          <w:rFonts w:ascii="Arial" w:hAnsi="Arial"/>
          <w:sz w:val="16"/>
        </w:rPr>
        <w:t>202.07  فرماندهان می‌توانند تأییدیه را به سطحی که کمتر از فرمانده بخش اسکادران، معاونان یا افراد مشابه نباشد تفویض کنند.</w:t>
      </w:r>
    </w:p>
    <w:p>
      <w:pPr>
        <w:spacing w:after="28" w:line="216" w:lineRule="auto"/>
        <w:ind w:left="259"/>
        <w:jc w:val="left"/>
      </w:pPr>
      <w:r>
        <w:rPr>
          <w:rFonts w:ascii="Arial" w:hAnsi="Arial"/>
          <w:color w:val="525252"/>
          <w:sz w:val="13"/>
        </w:rPr>
        <w:t>Commanders may delegate approval to a level no lower than squadron section commander, deputies, or equivalents.</w:t>
      </w:r>
    </w:p>
    <w:p>
      <w:pPr>
        <w:spacing w:after="20" w:line="223" w:lineRule="auto"/>
        <w:jc w:val="right"/>
        <w:bidi/>
      </w:pPr>
      <w:r>
        <w:rPr>
          <w:rFonts w:ascii="Arial" w:hAnsi="Arial"/>
          <w:sz w:val="16"/>
        </w:rPr>
        <w:t>202.08  مجوزهای ویژه پس از ساعات کاری عادی در یک روز مشخص شروع می‌شود.</w:t>
      </w:r>
    </w:p>
    <w:p>
      <w:pPr>
        <w:spacing w:after="28" w:line="216" w:lineRule="auto"/>
        <w:ind w:left="259"/>
        <w:jc w:val="left"/>
      </w:pPr>
      <w:r>
        <w:rPr>
          <w:rFonts w:ascii="Arial" w:hAnsi="Arial"/>
          <w:color w:val="525252"/>
          <w:sz w:val="13"/>
        </w:rPr>
        <w:t>Special passes start after normal work hours on a given day.</w:t>
      </w:r>
    </w:p>
    <w:p>
      <w:pPr>
        <w:spacing w:after="20" w:line="223" w:lineRule="auto"/>
        <w:jc w:val="right"/>
        <w:bidi/>
      </w:pPr>
      <w:r>
        <w:rPr>
          <w:rFonts w:ascii="Arial" w:hAnsi="Arial"/>
          <w:sz w:val="16"/>
        </w:rPr>
        <w:t>202.09  آنها در شروع ساعات کار عادی یا در روز چهارم برای یک مجوز ویژه سه روزه یا روز پنجم برای یک مجوز ویژه چهار روزه متوقف می‌شوند.</w:t>
      </w:r>
    </w:p>
    <w:p>
      <w:pPr>
        <w:spacing w:after="28" w:line="216" w:lineRule="auto"/>
        <w:ind w:left="259"/>
        <w:jc w:val="left"/>
      </w:pPr>
      <w:r>
        <w:rPr>
          <w:rFonts w:ascii="Arial" w:hAnsi="Arial"/>
          <w:color w:val="525252"/>
          <w:sz w:val="13"/>
        </w:rPr>
        <w:t>They stop at the beginning of normal work hours on either the fourth day for a three-day special pass or the fifth day for a four-day special pass.</w:t>
      </w:r>
    </w:p>
    <w:p>
      <w:r>
        <w:br w:type="page"/>
      </w:r>
    </w:p>
    <w:p>
      <w:pPr>
        <w:spacing w:after="60"/>
        <w:jc w:val="right"/>
        <w:bidi/>
      </w:pPr>
      <w:r>
        <w:rPr>
          <w:rFonts w:ascii="Arial" w:hAnsi="Arial"/>
          <w:b/>
          <w:color w:val="1F4D78"/>
          <w:sz w:val="19"/>
        </w:rPr>
        <w:t>هفتهٔ 203  |  صفحهٔ منبع: 219</w:t>
      </w:r>
    </w:p>
    <w:p>
      <w:pPr>
        <w:spacing w:before="60" w:after="28"/>
        <w:jc w:val="right"/>
        <w:bidi/>
      </w:pPr>
      <w:r>
        <w:rPr>
          <w:b/>
          <w:color w:val="1F4D78"/>
          <w:sz w:val="18"/>
        </w:rPr>
        <w:t>بخش 11C - انجمن های نظامی</w:t>
      </w:r>
    </w:p>
    <w:p>
      <w:pPr>
        <w:spacing w:after="20"/>
        <w:ind w:left="259"/>
        <w:jc w:val="left"/>
      </w:pPr>
      <w:r>
        <w:rPr>
          <w:color w:val="555555"/>
          <w:sz w:val="12"/>
        </w:rPr>
        <w:t>Section 11C—Military Associations</w:t>
      </w:r>
    </w:p>
    <w:p>
      <w:pPr>
        <w:spacing w:before="60" w:after="28"/>
        <w:jc w:val="right"/>
        <w:bidi/>
      </w:pPr>
      <w:r>
        <w:rPr>
          <w:b/>
          <w:color w:val="1F4D78"/>
          <w:sz w:val="18"/>
        </w:rPr>
        <w:t>11.18. انجمن های نظامی و اجتماعی</w:t>
      </w:r>
    </w:p>
    <w:p>
      <w:pPr>
        <w:spacing w:after="20"/>
        <w:ind w:left="259"/>
        <w:jc w:val="left"/>
      </w:pPr>
      <w:r>
        <w:rPr>
          <w:color w:val="555555"/>
          <w:sz w:val="12"/>
        </w:rPr>
        <w:t>11.18. Military and Community Associations</w:t>
      </w:r>
    </w:p>
    <w:p>
      <w:pPr>
        <w:spacing w:after="20" w:line="223" w:lineRule="auto"/>
        <w:jc w:val="right"/>
        <w:bidi/>
      </w:pPr>
      <w:r>
        <w:rPr>
          <w:rFonts w:ascii="Arial" w:hAnsi="Arial"/>
          <w:sz w:val="16"/>
        </w:rPr>
        <w:t>203.03  عضویت در نیروهای مسلح ایالات متحده به معنای عضویت در یکی از بزرگترین جوامع در جهان است.</w:t>
      </w:r>
    </w:p>
    <w:p>
      <w:pPr>
        <w:spacing w:after="28" w:line="216" w:lineRule="auto"/>
        <w:ind w:left="259"/>
        <w:jc w:val="left"/>
      </w:pPr>
      <w:r>
        <w:rPr>
          <w:rFonts w:ascii="Arial" w:hAnsi="Arial"/>
          <w:color w:val="525252"/>
          <w:sz w:val="13"/>
        </w:rPr>
        <w:t>Being a member of the U.S. Armed Forces means being a part of one of the biggest communities in the world.</w:t>
      </w:r>
    </w:p>
    <w:p>
      <w:pPr>
        <w:spacing w:after="20" w:line="223" w:lineRule="auto"/>
        <w:jc w:val="right"/>
        <w:bidi/>
      </w:pPr>
      <w:r>
        <w:rPr>
          <w:rFonts w:ascii="Arial" w:hAnsi="Arial"/>
          <w:sz w:val="16"/>
        </w:rPr>
        <w:t>203.04  جامعه نظامی بزرگتر شامل رگاف، گارد ملی و ذخیره، بازنشستگان و کهنه‌سربازان و همچنین همسران و اعضای خانواده است.</w:t>
      </w:r>
    </w:p>
    <w:p>
      <w:pPr>
        <w:spacing w:after="28" w:line="216" w:lineRule="auto"/>
        <w:ind w:left="259"/>
        <w:jc w:val="left"/>
      </w:pPr>
      <w:r>
        <w:rPr>
          <w:rFonts w:ascii="Arial" w:hAnsi="Arial"/>
          <w:color w:val="525252"/>
          <w:sz w:val="13"/>
        </w:rPr>
        <w:t>The greater military community includes RegAF, National Guard and Reserve, retirees, and veterans, as well as spouses and family members.</w:t>
      </w:r>
    </w:p>
    <w:p>
      <w:pPr>
        <w:spacing w:after="20" w:line="223" w:lineRule="auto"/>
        <w:jc w:val="right"/>
        <w:bidi/>
      </w:pPr>
      <w:r>
        <w:rPr>
          <w:rFonts w:ascii="Arial" w:hAnsi="Arial"/>
          <w:sz w:val="16"/>
        </w:rPr>
        <w:t>203.05  تعداد زیادی انجمن نظامی وجود دارد که به بخش‌های مختلف جامعه برای تلاش‌های لابی‌گری، برادری و حمایت اختصاص داده شده‌اند.</w:t>
      </w:r>
    </w:p>
    <w:p>
      <w:pPr>
        <w:spacing w:after="28" w:line="216" w:lineRule="auto"/>
        <w:ind w:left="259"/>
        <w:jc w:val="left"/>
      </w:pPr>
      <w:r>
        <w:rPr>
          <w:rFonts w:ascii="Arial" w:hAnsi="Arial"/>
          <w:color w:val="525252"/>
          <w:sz w:val="13"/>
        </w:rPr>
        <w:t>There are a large number of military associations devoted to serving different segments of the community for lobbying efforts, fraternity, and support.</w:t>
      </w:r>
    </w:p>
    <w:p>
      <w:pPr>
        <w:spacing w:after="20" w:line="223" w:lineRule="auto"/>
        <w:jc w:val="right"/>
        <w:bidi/>
      </w:pPr>
      <w:r>
        <w:rPr>
          <w:rFonts w:ascii="Arial" w:hAnsi="Arial"/>
          <w:sz w:val="16"/>
        </w:rPr>
        <w:t>203.06  USAF و پرسنل آن می‌توانند فعالیت‌های زیر را براساس مقررات اخلاقی مشترک (JER)، بخش ۳-۲۱۰، فعالیت‌ها با نهادهای غیرفدرال تأیید کنند: جمع‌آوری کمک مالی و انگیزه‌های عضویت: ۱.</w:t>
      </w:r>
    </w:p>
    <w:p>
      <w:pPr>
        <w:spacing w:after="28" w:line="216" w:lineRule="auto"/>
        <w:ind w:left="259"/>
        <w:jc w:val="left"/>
      </w:pPr>
      <w:r>
        <w:rPr>
          <w:rFonts w:ascii="Arial" w:hAnsi="Arial"/>
          <w:color w:val="525252"/>
          <w:sz w:val="13"/>
        </w:rPr>
        <w:t>The USAF and its personnel can endorse the following activities per Joint Ethics Regulation (JER), Section 3-210, Activities with Non-Federal Entities: Fundraising and Membership Drives: 1.</w:t>
      </w:r>
    </w:p>
    <w:p>
      <w:pPr>
        <w:spacing w:after="20" w:line="223" w:lineRule="auto"/>
        <w:jc w:val="right"/>
        <w:bidi/>
      </w:pPr>
      <w:r>
        <w:rPr>
          <w:rFonts w:ascii="Arial" w:hAnsi="Arial"/>
          <w:sz w:val="16"/>
        </w:rPr>
        <w:t>203.07  کمپین ترکیبی فدرال.</w:t>
      </w:r>
    </w:p>
    <w:p>
      <w:pPr>
        <w:spacing w:after="28" w:line="216" w:lineRule="auto"/>
        <w:ind w:left="259"/>
        <w:jc w:val="left"/>
      </w:pPr>
      <w:r>
        <w:rPr>
          <w:rFonts w:ascii="Arial" w:hAnsi="Arial"/>
          <w:color w:val="525252"/>
          <w:sz w:val="13"/>
        </w:rPr>
        <w:t>The Combined Federal Campaign.</w:t>
      </w:r>
    </w:p>
    <w:p>
      <w:pPr>
        <w:spacing w:after="20" w:line="223" w:lineRule="auto"/>
        <w:jc w:val="right"/>
        <w:bidi/>
      </w:pPr>
      <w:r>
        <w:rPr>
          <w:rFonts w:ascii="Arial" w:hAnsi="Arial"/>
          <w:sz w:val="16"/>
        </w:rPr>
        <w:t>203.08  درخواست تجدیدنظر اضطراری و بلایا تأیید شده توسط دفتر مدیریت پرسنل (OPM).</w:t>
      </w:r>
    </w:p>
    <w:p>
      <w:pPr>
        <w:spacing w:after="28" w:line="216" w:lineRule="auto"/>
        <w:ind w:left="259"/>
        <w:jc w:val="left"/>
      </w:pPr>
      <w:r>
        <w:rPr>
          <w:rFonts w:ascii="Arial" w:hAnsi="Arial"/>
          <w:color w:val="525252"/>
          <w:sz w:val="13"/>
        </w:rPr>
        <w:t>Emergency and disaster appeals approved by the Office of Personnel Management (OPM).</w:t>
      </w:r>
    </w:p>
    <w:p>
      <w:pPr>
        <w:spacing w:after="20" w:line="223" w:lineRule="auto"/>
        <w:jc w:val="right"/>
        <w:bidi/>
      </w:pPr>
      <w:r>
        <w:rPr>
          <w:rFonts w:ascii="Arial" w:hAnsi="Arial"/>
          <w:sz w:val="16"/>
        </w:rPr>
        <w:t>203.09  صندوق کمک نیروی هوایی شامل: دهکده سرباز نیروی هوایی؛ انجمن امداد نیروی هوایی؛ و ژنرال و خانم کورتیس . لمای بنیاد.</w:t>
      </w:r>
    </w:p>
    <w:p>
      <w:pPr>
        <w:spacing w:after="28" w:line="216" w:lineRule="auto"/>
        <w:ind w:left="259"/>
        <w:jc w:val="left"/>
      </w:pPr>
      <w:r>
        <w:rPr>
          <w:rFonts w:ascii="Arial" w:hAnsi="Arial"/>
          <w:color w:val="525252"/>
          <w:sz w:val="13"/>
        </w:rPr>
        <w:t>The Air Force Assistance Fund to include: Air Force Enlisted Village; Air Force Aid Society; and General and Mrs. Curtis E. LeMay Foundation.</w:t>
      </w:r>
    </w:p>
    <w:p>
      <w:pPr>
        <w:spacing w:after="20" w:line="223" w:lineRule="auto"/>
        <w:jc w:val="right"/>
        <w:bidi/>
      </w:pPr>
      <w:r>
        <w:rPr>
          <w:rFonts w:ascii="Arial" w:hAnsi="Arial"/>
          <w:sz w:val="16"/>
        </w:rPr>
        <w:t>203.10  سازمان‌های دیگر که عمدتا از کارمندان وزارت دفاع یا افراد تحت تکفل آنها تشکیل می‌شوند، هنگام جمع‌آوری کمک مالی بین اعضای خود به نفع صندوق رفاه برای اعضای خود یا افراد تحت تکفل آن‌ها در صورت تأیید رئیس بخش یا سازمان وزارت دفاع پس از مشورت با مسئول اخلاق آژانس تعیین‌شده.</w:t>
      </w:r>
    </w:p>
    <w:p>
      <w:pPr>
        <w:spacing w:after="28" w:line="216" w:lineRule="auto"/>
        <w:ind w:left="259"/>
        <w:jc w:val="left"/>
      </w:pPr>
      <w:r>
        <w:rPr>
          <w:rFonts w:ascii="Arial" w:hAnsi="Arial"/>
          <w:color w:val="525252"/>
          <w:sz w:val="13"/>
        </w:rPr>
        <w:t>Other organizations composed primarily of DoD employees or their dependents when fundraising among their own members for the benefit of welfare funds for their own members or their dependents when approved by the head of the DoD Component command or organization after consultation with the Designated Agency Ethics Official.</w:t>
      </w:r>
    </w:p>
    <w:p>
      <w:pPr>
        <w:spacing w:after="20" w:line="223" w:lineRule="auto"/>
        <w:jc w:val="right"/>
        <w:bidi/>
      </w:pPr>
      <w:r>
        <w:rPr>
          <w:rFonts w:ascii="Arial" w:hAnsi="Arial"/>
          <w:sz w:val="16"/>
        </w:rPr>
        <w:t>203.11  سازمانهای خدمات جانبازان (به رسمیت شناخته شده توسط VA).</w:t>
      </w:r>
    </w:p>
    <w:p>
      <w:pPr>
        <w:spacing w:after="28" w:line="216" w:lineRule="auto"/>
        <w:ind w:left="259"/>
        <w:jc w:val="left"/>
      </w:pPr>
      <w:r>
        <w:rPr>
          <w:rFonts w:ascii="Arial" w:hAnsi="Arial"/>
          <w:color w:val="525252"/>
          <w:sz w:val="13"/>
        </w:rPr>
        <w:t>Veterans Service Organizations (recognized by VA).</w:t>
      </w:r>
    </w:p>
    <w:p>
      <w:pPr>
        <w:spacing w:after="20" w:line="223" w:lineRule="auto"/>
        <w:jc w:val="right"/>
        <w:bidi/>
      </w:pPr>
      <w:r>
        <w:rPr>
          <w:rFonts w:ascii="Arial" w:hAnsi="Arial"/>
          <w:sz w:val="16"/>
        </w:rPr>
        <w:t>203.12  سازمان‌های خصوصی شناسایی شده از طریق نصب (بر اساس AFI ۳۴-۲۲۳، برنامه سازمان‌های خصوصی).</w:t>
      </w:r>
    </w:p>
    <w:p>
      <w:pPr>
        <w:spacing w:after="28" w:line="216" w:lineRule="auto"/>
        <w:ind w:left="259"/>
        <w:jc w:val="left"/>
      </w:pPr>
      <w:r>
        <w:rPr>
          <w:rFonts w:ascii="Arial" w:hAnsi="Arial"/>
          <w:color w:val="525252"/>
          <w:sz w:val="13"/>
        </w:rPr>
        <w:t>Installation-recognized Private Organizations (per AFI 34-223, Private Organizations Program).</w:t>
      </w:r>
    </w:p>
    <w:p>
      <w:r>
        <w:br w:type="page"/>
      </w:r>
    </w:p>
    <w:p>
      <w:pPr>
        <w:spacing w:after="60"/>
        <w:jc w:val="right"/>
        <w:bidi/>
      </w:pPr>
      <w:r>
        <w:rPr>
          <w:rFonts w:ascii="Arial" w:hAnsi="Arial"/>
          <w:b/>
          <w:color w:val="1F4D78"/>
          <w:sz w:val="19"/>
        </w:rPr>
        <w:t>هفتهٔ 204  |  صفحهٔ منبع: 220</w:t>
      </w:r>
    </w:p>
    <w:p>
      <w:pPr>
        <w:spacing w:before="60" w:after="28"/>
        <w:jc w:val="right"/>
        <w:bidi/>
      </w:pPr>
      <w:r>
        <w:rPr>
          <w:b/>
          <w:color w:val="1F4D78"/>
          <w:sz w:val="18"/>
        </w:rPr>
        <w:t>بخش 11D-برنامه های غیرنظامی</w:t>
      </w:r>
    </w:p>
    <w:p>
      <w:pPr>
        <w:spacing w:after="20"/>
        <w:ind w:left="259"/>
        <w:jc w:val="left"/>
      </w:pPr>
      <w:r>
        <w:rPr>
          <w:color w:val="555555"/>
          <w:sz w:val="12"/>
        </w:rPr>
        <w:t>Section 11D—Civilian Programs</w:t>
      </w:r>
    </w:p>
    <w:p>
      <w:pPr>
        <w:spacing w:before="60" w:after="28"/>
        <w:jc w:val="right"/>
        <w:bidi/>
      </w:pPr>
      <w:r>
        <w:rPr>
          <w:b/>
          <w:color w:val="1F4D78"/>
          <w:sz w:val="18"/>
        </w:rPr>
        <w:t>11.19. برنامه های پرسنل غیرنظامی</w:t>
      </w:r>
    </w:p>
    <w:p>
      <w:pPr>
        <w:spacing w:after="20"/>
        <w:ind w:left="259"/>
        <w:jc w:val="left"/>
      </w:pPr>
      <w:r>
        <w:rPr>
          <w:color w:val="555555"/>
          <w:sz w:val="12"/>
        </w:rPr>
        <w:t>11.19. Civilian Personnel Programs</w:t>
      </w:r>
    </w:p>
    <w:p>
      <w:pPr>
        <w:spacing w:after="20" w:line="223" w:lineRule="auto"/>
        <w:jc w:val="right"/>
        <w:bidi/>
      </w:pPr>
      <w:r>
        <w:rPr>
          <w:rFonts w:ascii="Arial" w:hAnsi="Arial"/>
          <w:sz w:val="16"/>
        </w:rPr>
        <w:t>204.03  USAF خدمات پرسنل غیرنظامی را از طریق نصب پروازهای پرسنل غیرنظامی (معمولا در اسکادران پشتیبانی نیرو قرار دارد) و مرکز پرسنل نیروی هوایی ارائه می‌کند.</w:t>
      </w:r>
    </w:p>
    <w:p>
      <w:pPr>
        <w:spacing w:after="28" w:line="216" w:lineRule="auto"/>
        <w:ind w:left="259"/>
        <w:jc w:val="left"/>
      </w:pPr>
      <w:r>
        <w:rPr>
          <w:rFonts w:ascii="Arial" w:hAnsi="Arial"/>
          <w:color w:val="525252"/>
          <w:sz w:val="13"/>
        </w:rPr>
        <w:t>The USAF provides civilian personnel services through installation civilian personnel flights (usually located in the force support squadron) and Air Force Personnel Center.</w:t>
      </w:r>
    </w:p>
    <w:p>
      <w:pPr>
        <w:spacing w:after="20" w:line="223" w:lineRule="auto"/>
        <w:jc w:val="right"/>
        <w:bidi/>
      </w:pPr>
      <w:r>
        <w:rPr>
          <w:rFonts w:ascii="Arial" w:hAnsi="Arial"/>
          <w:sz w:val="16"/>
        </w:rPr>
        <w:t>204.04  بخش‌های پرسنل غیرنظامی باید به همه کارمندان غیرنظامی خدمات ارائه دهند تا اطمینان حاصل شود که در برنامه پرسنل غیرنظامی USAF گنجانده شده‌اند، مگر اینکه از طریق HAF تأیید شود.</w:t>
      </w:r>
    </w:p>
    <w:p>
      <w:pPr>
        <w:spacing w:after="28" w:line="216" w:lineRule="auto"/>
        <w:ind w:left="259"/>
        <w:jc w:val="left"/>
      </w:pPr>
      <w:r>
        <w:rPr>
          <w:rFonts w:ascii="Arial" w:hAnsi="Arial"/>
          <w:color w:val="525252"/>
          <w:sz w:val="13"/>
        </w:rPr>
        <w:t>Civilian personnel sections must provide service to all civilian employees to ensure they are included in the USAF civilian personnel program unless otherwise approved through HAF.</w:t>
      </w:r>
    </w:p>
    <w:p>
      <w:pPr>
        <w:spacing w:before="60" w:after="28"/>
        <w:jc w:val="right"/>
        <w:bidi/>
      </w:pPr>
      <w:r>
        <w:rPr>
          <w:b/>
          <w:color w:val="1F4D78"/>
          <w:sz w:val="18"/>
        </w:rPr>
        <w:t>11.20. توضیحات موقعیت</w:t>
      </w:r>
    </w:p>
    <w:p>
      <w:pPr>
        <w:spacing w:after="20"/>
        <w:ind w:left="259"/>
        <w:jc w:val="left"/>
      </w:pPr>
      <w:r>
        <w:rPr>
          <w:color w:val="555555"/>
          <w:sz w:val="12"/>
        </w:rPr>
        <w:t>11.20. Position Descriptions</w:t>
      </w:r>
    </w:p>
    <w:p>
      <w:pPr>
        <w:spacing w:after="20" w:line="223" w:lineRule="auto"/>
        <w:jc w:val="right"/>
        <w:bidi/>
      </w:pPr>
      <w:r>
        <w:rPr>
          <w:rFonts w:ascii="Arial" w:hAnsi="Arial"/>
          <w:sz w:val="16"/>
        </w:rPr>
        <w:t>204.06  کارمندان غیرنظامی دارای رتبه نیستند.</w:t>
      </w:r>
    </w:p>
    <w:p>
      <w:pPr>
        <w:spacing w:after="28" w:line="216" w:lineRule="auto"/>
        <w:ind w:left="259"/>
        <w:jc w:val="left"/>
      </w:pPr>
      <w:r>
        <w:rPr>
          <w:rFonts w:ascii="Arial" w:hAnsi="Arial"/>
          <w:color w:val="525252"/>
          <w:sz w:val="13"/>
        </w:rPr>
        <w:t>Civilian employees do not have a rank.</w:t>
      </w:r>
    </w:p>
    <w:p>
      <w:pPr>
        <w:spacing w:after="20" w:line="223" w:lineRule="auto"/>
        <w:jc w:val="right"/>
        <w:bidi/>
      </w:pPr>
      <w:r>
        <w:rPr>
          <w:rFonts w:ascii="Arial" w:hAnsi="Arial"/>
          <w:sz w:val="16"/>
        </w:rPr>
        <w:t>204.07  در عوض، موقعیت‌هایی که آنها اشغال می‌کنند، معمولا بر اساس جدول کلی، بر اساس شرح وظایف مکتوب دقیق که مبنای تعیین دستمزد، الزامات صلاحیت، انتظارات عملکرد، و رتبه‌بندی‌های ارزیابی مرتبط با موقعیت است، درجه‌بندی می‌شوند.</w:t>
      </w:r>
    </w:p>
    <w:p>
      <w:pPr>
        <w:spacing w:after="28" w:line="216" w:lineRule="auto"/>
        <w:ind w:left="259"/>
        <w:jc w:val="left"/>
      </w:pPr>
      <w:r>
        <w:rPr>
          <w:rFonts w:ascii="Arial" w:hAnsi="Arial"/>
          <w:color w:val="525252"/>
          <w:sz w:val="13"/>
        </w:rPr>
        <w:t>Instead, the positions they occupy are graded, typically under the General Schedule, based upon detailed written job descriptions that are the basis for determining the pay, qualification requirements, performance expectations, and appraisal ratings associated with the position.</w:t>
      </w:r>
    </w:p>
    <w:p>
      <w:pPr>
        <w:spacing w:after="20" w:line="223" w:lineRule="auto"/>
        <w:jc w:val="right"/>
        <w:bidi/>
      </w:pPr>
      <w:r>
        <w:rPr>
          <w:rFonts w:ascii="Arial" w:hAnsi="Arial"/>
          <w:sz w:val="16"/>
        </w:rPr>
        <w:t>204.08  شرح موقعیت از نظر تاریخی دارای وظایف، مسئولیت‌ها و کنترل‌های نظارتی است.</w:t>
      </w:r>
    </w:p>
    <w:p>
      <w:pPr>
        <w:spacing w:after="28" w:line="216" w:lineRule="auto"/>
        <w:ind w:left="259"/>
        <w:jc w:val="left"/>
      </w:pPr>
      <w:r>
        <w:rPr>
          <w:rFonts w:ascii="Arial" w:hAnsi="Arial"/>
          <w:color w:val="525252"/>
          <w:sz w:val="13"/>
        </w:rPr>
        <w:t>Position descriptions historically have covered duties, responsibilities, and supervisory controls.</w:t>
      </w:r>
    </w:p>
    <w:p>
      <w:pPr>
        <w:spacing w:after="20" w:line="223" w:lineRule="auto"/>
        <w:jc w:val="right"/>
        <w:bidi/>
      </w:pPr>
      <w:r>
        <w:rPr>
          <w:rFonts w:ascii="Arial" w:hAnsi="Arial"/>
          <w:sz w:val="16"/>
        </w:rPr>
        <w:t>204.09  USAF دامنه اسناد اصلی پرسنل را گسترش داده است تا شامل صلاحیت‌های لازم برای استخدام و الزامات آموزشی برای کارکنان جدید شود.</w:t>
      </w:r>
    </w:p>
    <w:p>
      <w:pPr>
        <w:spacing w:after="28" w:line="216" w:lineRule="auto"/>
        <w:ind w:left="259"/>
        <w:jc w:val="left"/>
      </w:pPr>
      <w:r>
        <w:rPr>
          <w:rFonts w:ascii="Arial" w:hAnsi="Arial"/>
          <w:color w:val="525252"/>
          <w:sz w:val="13"/>
        </w:rPr>
        <w:t>The USAF has expanded the scope of core personnel documents to include qualifications required for recruitment and training requirements for new employees.</w:t>
      </w:r>
    </w:p>
    <w:p>
      <w:pPr>
        <w:spacing w:after="20" w:line="223" w:lineRule="auto"/>
        <w:jc w:val="right"/>
        <w:bidi/>
      </w:pPr>
      <w:r>
        <w:rPr>
          <w:rFonts w:ascii="Arial" w:hAnsi="Arial"/>
          <w:sz w:val="16"/>
        </w:rPr>
        <w:t>204.10  سرپرستان مسئول صحت اسناد پرسنل اصلی و اجرای اسناد استاندارد پرسنل اصلی هستند.</w:t>
      </w:r>
    </w:p>
    <w:p>
      <w:pPr>
        <w:spacing w:after="28" w:line="216" w:lineRule="auto"/>
        <w:ind w:left="259"/>
        <w:jc w:val="left"/>
      </w:pPr>
      <w:r>
        <w:rPr>
          <w:rFonts w:ascii="Arial" w:hAnsi="Arial"/>
          <w:color w:val="525252"/>
          <w:sz w:val="13"/>
        </w:rPr>
        <w:t>Supervisors are responsible for core personnel document accuracy and implementation of standard core personnel documents.</w:t>
      </w:r>
    </w:p>
    <w:p>
      <w:pPr>
        <w:spacing w:after="20" w:line="223" w:lineRule="auto"/>
        <w:jc w:val="right"/>
        <w:bidi/>
      </w:pPr>
      <w:r>
        <w:rPr>
          <w:rFonts w:ascii="Arial" w:hAnsi="Arial"/>
          <w:sz w:val="16"/>
        </w:rPr>
        <w:t>204.11  با انتخاب اسناد اصلی پرسنل استاندارد، سرپرستان در زمان خود و متخصصان طبقه بندی که باید با مدیر در نوشتن وظایف و تعیین برنامه حقوق و سری شغلی صحیح همکاری کنند، صرفه جویی می‌کنند.</w:t>
      </w:r>
    </w:p>
    <w:p>
      <w:pPr>
        <w:spacing w:after="28" w:line="216" w:lineRule="auto"/>
        <w:ind w:left="259"/>
        <w:jc w:val="left"/>
      </w:pPr>
      <w:r>
        <w:rPr>
          <w:rFonts w:ascii="Arial" w:hAnsi="Arial"/>
          <w:color w:val="525252"/>
          <w:sz w:val="13"/>
        </w:rPr>
        <w:t>By selecting standard core personnel documents, supervisors save time for themselves and classification specialists who would need to work with the manager on writing the duties and determining the correct pay plan and occupational series.</w:t>
      </w:r>
    </w:p>
    <w:p>
      <w:pPr>
        <w:spacing w:after="20" w:line="223" w:lineRule="auto"/>
        <w:jc w:val="right"/>
        <w:bidi/>
      </w:pPr>
      <w:r>
        <w:rPr>
          <w:rFonts w:ascii="Arial" w:hAnsi="Arial"/>
          <w:sz w:val="16"/>
        </w:rPr>
        <w:t>204.12  اسناد پرسنل اصلی استاندارد را می‌توان به‌عنوان الگویی برای اسناد پرسنل اصلی منحصر به فرد که نیاز به تجزیه و تحلیل طبقه بندی جدید دارد استفاده کرد.</w:t>
      </w:r>
    </w:p>
    <w:p>
      <w:pPr>
        <w:spacing w:after="28" w:line="216" w:lineRule="auto"/>
        <w:ind w:left="259"/>
        <w:jc w:val="left"/>
      </w:pPr>
      <w:r>
        <w:rPr>
          <w:rFonts w:ascii="Arial" w:hAnsi="Arial"/>
          <w:color w:val="525252"/>
          <w:sz w:val="13"/>
        </w:rPr>
        <w:t>Standard core personnel documents can be used as templates for unique core personnel documents requiring new classification analysis.</w:t>
      </w:r>
    </w:p>
    <w:p>
      <w:pPr>
        <w:spacing w:before="60" w:after="28"/>
        <w:jc w:val="right"/>
        <w:bidi/>
      </w:pPr>
      <w:r>
        <w:rPr>
          <w:b/>
          <w:color w:val="1F4D78"/>
          <w:sz w:val="18"/>
        </w:rPr>
        <w:t>11.21. پر کردن مشاغل</w:t>
      </w:r>
    </w:p>
    <w:p>
      <w:pPr>
        <w:spacing w:after="20"/>
        <w:ind w:left="259"/>
        <w:jc w:val="left"/>
      </w:pPr>
      <w:r>
        <w:rPr>
          <w:color w:val="555555"/>
          <w:sz w:val="12"/>
        </w:rPr>
        <w:t>11.21. Filling Jobs</w:t>
      </w:r>
    </w:p>
    <w:p>
      <w:pPr>
        <w:spacing w:after="20" w:line="223" w:lineRule="auto"/>
        <w:jc w:val="right"/>
        <w:bidi/>
      </w:pPr>
      <w:r>
        <w:rPr>
          <w:rFonts w:ascii="Arial" w:hAnsi="Arial"/>
          <w:sz w:val="16"/>
        </w:rPr>
        <w:t>204.14  پست‌های غیرنظامی خالی بر اساس نیازهای سازمان با استفاده از منابع مختلف استخدام و مقامات انتصاب مطابق با قوانین، مقررات، دستورالعمل‌ها و سیاست‌های قابل اجرا، همانطور که توسط دفتر مدیریت پرسنل ایالات متحده (OPM)، وزارت دفاع، و USAF ایجاد شده است، پر می‌شوند.</w:t>
      </w:r>
    </w:p>
    <w:p>
      <w:pPr>
        <w:spacing w:after="28" w:line="216" w:lineRule="auto"/>
        <w:ind w:left="259"/>
        <w:jc w:val="left"/>
      </w:pPr>
      <w:r>
        <w:rPr>
          <w:rFonts w:ascii="Arial" w:hAnsi="Arial"/>
          <w:color w:val="525252"/>
          <w:sz w:val="13"/>
        </w:rPr>
        <w:t>Vacant civilian positions are filled based on an organization’s needs using a variety of recruitment sources and appointing authorities consistent with applicable laws, regulations, directives, and policies, as established by the U.S. Office of Personnel Management (OPM), Department of Defense, and the USAF.</w:t>
      </w:r>
    </w:p>
    <w:p>
      <w:pPr>
        <w:spacing w:after="20" w:line="223" w:lineRule="auto"/>
        <w:jc w:val="right"/>
        <w:bidi/>
      </w:pPr>
      <w:r>
        <w:rPr>
          <w:rFonts w:ascii="Arial" w:hAnsi="Arial"/>
          <w:sz w:val="16"/>
        </w:rPr>
        <w:t>204.15  هنگام تکمیل موقعیت‌های خدمات رقابتی، اولویت‌های مراجعه و انتخاب باید رعایت شود.</w:t>
      </w:r>
    </w:p>
    <w:p>
      <w:pPr>
        <w:spacing w:after="28" w:line="216" w:lineRule="auto"/>
        <w:ind w:left="259"/>
        <w:jc w:val="left"/>
      </w:pPr>
      <w:r>
        <w:rPr>
          <w:rFonts w:ascii="Arial" w:hAnsi="Arial"/>
          <w:color w:val="525252"/>
          <w:sz w:val="13"/>
        </w:rPr>
        <w:t>Referral and selection priorities must be observed when filling competitive service positions.</w:t>
      </w:r>
    </w:p>
    <w:p>
      <w:pPr>
        <w:spacing w:after="20" w:line="223" w:lineRule="auto"/>
        <w:jc w:val="right"/>
        <w:bidi/>
      </w:pPr>
      <w:r>
        <w:rPr>
          <w:rFonts w:ascii="Arial" w:hAnsi="Arial"/>
          <w:sz w:val="16"/>
        </w:rPr>
        <w:t>204.16  کارکنان دارای حق انتخاب اجباری یا حق ارجاع معمولا شامل کسانی هستند که از کاهش نیرو، جدایی غیرارادی، تنزل رتبه، انتقال انحراف وظایف یا انتقال کار به خارج از منطقه رفت‌وآمد، عودت‌کنندگان خارج از کشور و همسران پرسنل نظامی آسیب می‌بینند.</w:t>
      </w:r>
    </w:p>
    <w:p>
      <w:pPr>
        <w:spacing w:after="28" w:line="216" w:lineRule="auto"/>
        <w:ind w:left="259"/>
        <w:jc w:val="left"/>
      </w:pPr>
      <w:r>
        <w:rPr>
          <w:rFonts w:ascii="Arial" w:hAnsi="Arial"/>
          <w:color w:val="525252"/>
          <w:sz w:val="13"/>
        </w:rPr>
        <w:t>Employees with mandatory selection or priority referral rights normally include those adversely affected by reduction-in-force, involuntary separation, demotion, transfer of function declinations or transfer of work outside the commuting area, overseas returnees, and the spouses of military personnel.</w:t>
      </w:r>
    </w:p>
    <w:p>
      <w:pPr>
        <w:spacing w:after="20" w:line="223" w:lineRule="auto"/>
        <w:jc w:val="right"/>
        <w:bidi/>
      </w:pPr>
      <w:r>
        <w:rPr>
          <w:rFonts w:ascii="Arial" w:hAnsi="Arial"/>
          <w:sz w:val="16"/>
        </w:rPr>
        <w:t>204.17  سرپرستان برای تعیین منابع استخدام مناسب با متخصص منابع انسانی خدمتگزار خود در بخش‌های پرسنل غیرنظامی یا مرکز پرسنل نیروی هوایی همکاری می‌کنند.</w:t>
      </w:r>
    </w:p>
    <w:p>
      <w:pPr>
        <w:spacing w:after="28" w:line="216" w:lineRule="auto"/>
        <w:ind w:left="259"/>
        <w:jc w:val="left"/>
      </w:pPr>
      <w:r>
        <w:rPr>
          <w:rFonts w:ascii="Arial" w:hAnsi="Arial"/>
          <w:color w:val="525252"/>
          <w:sz w:val="13"/>
        </w:rPr>
        <w:t>Supervisors work in concert with their servicing human resource specialist in the civilian personnel sections or Air Force Personnel Center to determine appropriate recruitment sources.</w:t>
      </w:r>
    </w:p>
    <w:p>
      <w:pPr>
        <w:spacing w:after="20" w:line="223" w:lineRule="auto"/>
        <w:jc w:val="right"/>
        <w:bidi/>
      </w:pPr>
      <w:r>
        <w:rPr>
          <w:rFonts w:ascii="Arial" w:hAnsi="Arial"/>
          <w:sz w:val="16"/>
        </w:rPr>
        <w:t>204.18  با اعلام ظرفیت خالی برای اقدامات تکمیلی رقابتی، نامزدها توسط مرکز پرسنل نیروی هوایی غربالگری می‌شوند و یک یا چند لیست از کاندیداها به سرپرست معرفی می‌شوند.</w:t>
      </w:r>
    </w:p>
    <w:p>
      <w:pPr>
        <w:spacing w:after="28" w:line="216" w:lineRule="auto"/>
        <w:ind w:left="259"/>
        <w:jc w:val="left"/>
      </w:pPr>
      <w:r>
        <w:rPr>
          <w:rFonts w:ascii="Arial" w:hAnsi="Arial"/>
          <w:color w:val="525252"/>
          <w:sz w:val="13"/>
        </w:rPr>
        <w:t>As a vacancy for competitive fill actions is announced, candidates are screened by Air Force Personnel Center and one or more lists of candidates are referred to the supervisor.</w:t>
      </w:r>
    </w:p>
    <w:p>
      <w:pPr>
        <w:spacing w:after="20" w:line="223" w:lineRule="auto"/>
        <w:jc w:val="right"/>
        <w:bidi/>
      </w:pPr>
      <w:r>
        <w:rPr>
          <w:rFonts w:ascii="Arial" w:hAnsi="Arial"/>
          <w:sz w:val="16"/>
        </w:rPr>
        <w:t>204.19  بر اساس تجربه واجد شرایط و/یا تحصیلات، غیرنظامیان می‌توانند در سطوح مختلف دستمزد وارد خدمات ملکی شوند.</w:t>
      </w:r>
    </w:p>
    <w:p>
      <w:pPr>
        <w:spacing w:after="28" w:line="216" w:lineRule="auto"/>
        <w:ind w:left="259"/>
        <w:jc w:val="left"/>
      </w:pPr>
      <w:r>
        <w:rPr>
          <w:rFonts w:ascii="Arial" w:hAnsi="Arial"/>
          <w:color w:val="525252"/>
          <w:sz w:val="13"/>
        </w:rPr>
        <w:t>Based on qualifying experience and/or education, civilians can enter civil service at different pay grade levels.</w:t>
      </w:r>
    </w:p>
    <w:p>
      <w:pPr>
        <w:spacing w:after="20" w:line="223" w:lineRule="auto"/>
        <w:jc w:val="right"/>
        <w:bidi/>
      </w:pPr>
      <w:r>
        <w:rPr>
          <w:rFonts w:ascii="Arial" w:hAnsi="Arial"/>
          <w:sz w:val="16"/>
        </w:rPr>
        <w:t>204.20  فرآیند رقابتی کارکنان که توسط USAF و سایر آژانس‌های فدرال استفاده می‌شود، صلاحیت نسبی نامزدها را تعیین می‌کند و بهترین واجد شرایط را برای انتخاب معرفی می‌کند.</w:t>
      </w:r>
    </w:p>
    <w:p>
      <w:pPr>
        <w:spacing w:after="28" w:line="216" w:lineRule="auto"/>
        <w:ind w:left="259"/>
        <w:jc w:val="left"/>
      </w:pPr>
      <w:r>
        <w:rPr>
          <w:rFonts w:ascii="Arial" w:hAnsi="Arial"/>
          <w:color w:val="525252"/>
          <w:sz w:val="13"/>
        </w:rPr>
        <w:t>The competitive staffing process used by the USAF and other federal agencies determines the relative qualifications of the candidates and refers the best qualified for selection.</w:t>
      </w:r>
    </w:p>
    <w:p>
      <w:pPr>
        <w:spacing w:after="20" w:line="223" w:lineRule="auto"/>
        <w:jc w:val="right"/>
        <w:bidi/>
      </w:pPr>
      <w:r>
        <w:rPr>
          <w:rFonts w:ascii="Arial" w:hAnsi="Arial"/>
          <w:sz w:val="16"/>
        </w:rPr>
        <w:t>204.21  OPM ایالات متحده استانداردهای صلاحیتی را که به‌طور گسترده برای کاربردهای دولتی نوشته شده است به آژانس‌ها ارائه می‌دهد.</w:t>
      </w:r>
    </w:p>
    <w:p>
      <w:pPr>
        <w:spacing w:after="28" w:line="216" w:lineRule="auto"/>
        <w:ind w:left="259"/>
        <w:jc w:val="left"/>
      </w:pPr>
      <w:r>
        <w:rPr>
          <w:rFonts w:ascii="Arial" w:hAnsi="Arial"/>
          <w:color w:val="525252"/>
          <w:sz w:val="13"/>
        </w:rPr>
        <w:t>The U.S. OPM provides agencies with qualification standards written broadly for government- wide application.</w:t>
      </w:r>
    </w:p>
    <w:p>
      <w:pPr>
        <w:spacing w:before="60" w:after="28"/>
        <w:jc w:val="right"/>
        <w:bidi/>
      </w:pPr>
      <w:r>
        <w:rPr>
          <w:b/>
          <w:color w:val="1F4D78"/>
          <w:sz w:val="18"/>
        </w:rPr>
        <w:t>11.22. مدیریت منابع غیر نظامی</w:t>
      </w:r>
    </w:p>
    <w:p>
      <w:pPr>
        <w:spacing w:after="20"/>
        <w:ind w:left="259"/>
        <w:jc w:val="left"/>
      </w:pPr>
      <w:r>
        <w:rPr>
          <w:color w:val="555555"/>
          <w:sz w:val="12"/>
        </w:rPr>
        <w:t>11.22. Civilian Resource Management</w:t>
      </w:r>
    </w:p>
    <w:p>
      <w:pPr>
        <w:spacing w:after="20" w:line="223" w:lineRule="auto"/>
        <w:jc w:val="right"/>
        <w:bidi/>
      </w:pPr>
      <w:r>
        <w:rPr>
          <w:rFonts w:ascii="Arial" w:hAnsi="Arial"/>
          <w:sz w:val="16"/>
        </w:rPr>
        <w:t>204.23  وجوه پرداخت غیرنظامی برای اضافه کاری غیرنظامی، جوایز، پاداش‌ها، برنامه بازپرداخت وام دانشجویی، اضافه استخدام‌های فصلی و بلندمدت، پرداخت‌های تشویقی جدایی داوطلبانه برای به حداقل رساندن کاهش ناخواسته جدایی از نیروی کار، و حقوق اخراج کارکنان آسیب دیده مورد نیاز است.</w:t>
      </w:r>
    </w:p>
    <w:p>
      <w:pPr>
        <w:spacing w:after="28" w:line="216" w:lineRule="auto"/>
        <w:ind w:left="259"/>
        <w:jc w:val="left"/>
      </w:pPr>
      <w:r>
        <w:rPr>
          <w:rFonts w:ascii="Arial" w:hAnsi="Arial"/>
          <w:color w:val="525252"/>
          <w:sz w:val="13"/>
        </w:rPr>
        <w:t>Civilian pay funds are needed for civilian overtime, awards, bonuses, student loan repayment program, seasonal and longer-term overhires, voluntary separation incentive payments to minimize involuntary reduction-in-force separations, and severance pay for affected employees as</w:t>
      </w:r>
    </w:p>
    <w:p>
      <w:r>
        <w:br w:type="page"/>
      </w:r>
    </w:p>
    <w:p>
      <w:pPr>
        <w:spacing w:after="60"/>
        <w:jc w:val="right"/>
        <w:bidi/>
      </w:pPr>
      <w:r>
        <w:rPr>
          <w:rFonts w:ascii="Arial" w:hAnsi="Arial"/>
          <w:b/>
          <w:color w:val="1F4D78"/>
          <w:sz w:val="19"/>
        </w:rPr>
        <w:t>هفتهٔ 205  |  صفحهٔ منبع: 221</w:t>
      </w:r>
    </w:p>
    <w:p>
      <w:pPr>
        <w:spacing w:after="20" w:line="223" w:lineRule="auto"/>
        <w:jc w:val="right"/>
        <w:bidi/>
      </w:pPr>
      <w:r>
        <w:rPr>
          <w:rFonts w:ascii="Arial" w:hAnsi="Arial"/>
          <w:sz w:val="16"/>
        </w:rPr>
        <w:t>205.01  نتیجه کاهش نیرو.</w:t>
      </w:r>
    </w:p>
    <w:p>
      <w:pPr>
        <w:spacing w:after="28" w:line="216" w:lineRule="auto"/>
        <w:ind w:left="259"/>
        <w:jc w:val="left"/>
      </w:pPr>
      <w:r>
        <w:rPr>
          <w:rFonts w:ascii="Arial" w:hAnsi="Arial"/>
          <w:color w:val="525252"/>
          <w:sz w:val="13"/>
        </w:rPr>
        <w:t>the result of reduction in force.</w:t>
      </w:r>
    </w:p>
    <w:p>
      <w:pPr>
        <w:spacing w:after="20" w:line="223" w:lineRule="auto"/>
        <w:jc w:val="right"/>
        <w:bidi/>
      </w:pPr>
      <w:r>
        <w:rPr>
          <w:rFonts w:ascii="Arial" w:hAnsi="Arial"/>
          <w:sz w:val="16"/>
        </w:rPr>
        <w:t>205.02  پیش‌بینی دقیق نیازمندی‌ها و توسعه طرح‌های اشتغال برای حمایت از تقاضای حجم کاری در بودجه، در حالی که سال‌های کاری، قدرت نهایی و منابع حقوق غیرنظامی را اجرا می‌کنند، حیاتی هستند.</w:t>
      </w:r>
    </w:p>
    <w:p>
      <w:pPr>
        <w:spacing w:after="28" w:line="216" w:lineRule="auto"/>
        <w:ind w:left="259"/>
        <w:jc w:val="left"/>
      </w:pPr>
      <w:r>
        <w:rPr>
          <w:rFonts w:ascii="Arial" w:hAnsi="Arial"/>
          <w:color w:val="525252"/>
          <w:sz w:val="13"/>
        </w:rPr>
        <w:t>Accurate requirement projections and development of employment plans are critical to support the workload demand within budget, while executing work years, end strength, and civilian pay resource.</w:t>
      </w:r>
    </w:p>
    <w:p>
      <w:pPr>
        <w:spacing w:after="20" w:line="223" w:lineRule="auto"/>
        <w:jc w:val="right"/>
        <w:bidi/>
      </w:pPr>
      <w:r>
        <w:rPr>
          <w:rFonts w:ascii="Arial" w:hAnsi="Arial"/>
          <w:sz w:val="16"/>
        </w:rPr>
        <w:t>205.03  مدیریت منابع غیرنظامی به تیمی از رهبران وابسته است که شامل فرماندهان، رهبران ارشد، افسران منابع انسانی، مدیران مالی و افسران نیروی انسانی است که استفاده مؤثر از کارکنان، بودجه و مجوزهای نیروی انسانی را برای برآورده کردن الزامات مأموریت تعیین می‌کنند.</w:t>
      </w:r>
    </w:p>
    <w:p>
      <w:pPr>
        <w:spacing w:after="28" w:line="216" w:lineRule="auto"/>
        <w:ind w:left="259"/>
        <w:jc w:val="left"/>
      </w:pPr>
      <w:r>
        <w:rPr>
          <w:rFonts w:ascii="Arial" w:hAnsi="Arial"/>
          <w:color w:val="525252"/>
          <w:sz w:val="13"/>
        </w:rPr>
        <w:t>Civilian resource management is dependent on a team of leaders, to include commanders, senior leaders, human resource officers, financial managers, and manpower officers who determine effective use of employees, funds, and manpower authorizations to meet mission requirements.</w:t>
      </w:r>
    </w:p>
    <w:p>
      <w:pPr>
        <w:spacing w:after="20" w:line="223" w:lineRule="auto"/>
        <w:jc w:val="right"/>
        <w:bidi/>
      </w:pPr>
      <w:r>
        <w:rPr>
          <w:rFonts w:ascii="Arial" w:hAnsi="Arial"/>
          <w:sz w:val="16"/>
        </w:rPr>
        <w:t>205.04  ساختار هیئت مدیره شرکتی برای جلسات حداقل هر سه ماه یکبار برای مدیریت تخصیصات سالانه، وجوه گردان، یا بازپرداخت هزینه‌های استخدام غیرنظامی استفاده می‌شود.</w:t>
      </w:r>
    </w:p>
    <w:p>
      <w:pPr>
        <w:spacing w:after="28" w:line="216" w:lineRule="auto"/>
        <w:ind w:left="259"/>
        <w:jc w:val="left"/>
      </w:pPr>
      <w:r>
        <w:rPr>
          <w:rFonts w:ascii="Arial" w:hAnsi="Arial"/>
          <w:color w:val="525252"/>
          <w:sz w:val="13"/>
        </w:rPr>
        <w:t>A corporate board structure is used for meeting at least quarterly to manage annual appropriations, revolving funds, or reimbursements used for civilian employment costs.</w:t>
      </w:r>
    </w:p>
    <w:p>
      <w:pPr>
        <w:spacing w:before="60" w:after="28"/>
        <w:jc w:val="right"/>
        <w:bidi/>
      </w:pPr>
      <w:r>
        <w:rPr>
          <w:b/>
          <w:color w:val="1F4D78"/>
          <w:sz w:val="18"/>
        </w:rPr>
        <w:t>11.23. آموزش و توسعه</w:t>
      </w:r>
    </w:p>
    <w:p>
      <w:pPr>
        <w:spacing w:after="20"/>
        <w:ind w:left="259"/>
        <w:jc w:val="left"/>
      </w:pPr>
      <w:r>
        <w:rPr>
          <w:color w:val="555555"/>
          <w:sz w:val="12"/>
        </w:rPr>
        <w:t>11.23. Training and Development</w:t>
      </w:r>
    </w:p>
    <w:p>
      <w:pPr>
        <w:spacing w:after="20" w:line="223" w:lineRule="auto"/>
        <w:jc w:val="right"/>
        <w:bidi/>
      </w:pPr>
      <w:r>
        <w:rPr>
          <w:rFonts w:ascii="Arial" w:hAnsi="Arial"/>
          <w:sz w:val="16"/>
        </w:rPr>
        <w:t>205.06  سیاست USAF آموزش‌های لازم را برای بهبود مهارت‌های مورد نیاز در عملکرد کارکنان فراهم می‌کند.</w:t>
      </w:r>
    </w:p>
    <w:p>
      <w:pPr>
        <w:spacing w:after="28" w:line="216" w:lineRule="auto"/>
        <w:ind w:left="259"/>
        <w:jc w:val="left"/>
      </w:pPr>
      <w:r>
        <w:rPr>
          <w:rFonts w:ascii="Arial" w:hAnsi="Arial"/>
          <w:color w:val="525252"/>
          <w:sz w:val="13"/>
        </w:rPr>
        <w:t>USAF policy provides for necessary training to improve skills needed in employee performance.</w:t>
      </w:r>
    </w:p>
    <w:p>
      <w:pPr>
        <w:spacing w:after="20" w:line="223" w:lineRule="auto"/>
        <w:jc w:val="right"/>
        <w:bidi/>
      </w:pPr>
      <w:r>
        <w:rPr>
          <w:rFonts w:ascii="Arial" w:hAnsi="Arial"/>
          <w:sz w:val="16"/>
        </w:rPr>
        <w:t>205.07  سرپرستان مسئول تعیین الزامات آموزشی و کار با بخش‌های پرسنل غیرنظامی یا کارکردهای آموزشی و آموزشی برای شناسایی منابع آموزشی مناسب هستند.</w:t>
      </w:r>
    </w:p>
    <w:p>
      <w:pPr>
        <w:spacing w:after="28" w:line="216" w:lineRule="auto"/>
        <w:ind w:left="259"/>
        <w:jc w:val="left"/>
      </w:pPr>
      <w:r>
        <w:rPr>
          <w:rFonts w:ascii="Arial" w:hAnsi="Arial"/>
          <w:color w:val="525252"/>
          <w:sz w:val="13"/>
        </w:rPr>
        <w:t>Supervisors are responsible for determining training requirements and working with the civilian personnel sections or education and training functions to identify appropriate training sources.</w:t>
      </w:r>
    </w:p>
    <w:p>
      <w:pPr>
        <w:spacing w:after="20" w:line="223" w:lineRule="auto"/>
        <w:jc w:val="right"/>
        <w:bidi/>
      </w:pPr>
      <w:r>
        <w:rPr>
          <w:rFonts w:ascii="Arial" w:hAnsi="Arial"/>
          <w:sz w:val="16"/>
        </w:rPr>
        <w:t>205.08  یک بررسی نیازهای آموزشی سالانه انجام می‌شود تا فرصتی را برای سرپرستان فراهم کند تا الزامات آموزشی را برای سال مالی آتی پیش‌بینی کنند، اما سرپرستان ممکن است در هر زمانی در طول سال درخواست آموزش خارج از چرخه کنند.</w:t>
      </w:r>
    </w:p>
    <w:p>
      <w:pPr>
        <w:spacing w:after="28" w:line="216" w:lineRule="auto"/>
        <w:ind w:left="259"/>
        <w:jc w:val="left"/>
      </w:pPr>
      <w:r>
        <w:rPr>
          <w:rFonts w:ascii="Arial" w:hAnsi="Arial"/>
          <w:color w:val="525252"/>
          <w:sz w:val="13"/>
        </w:rPr>
        <w:t>A training-needs survey is conducted annually to provide supervisors an opportunity to project training requirements for the upcoming fiscal year, but supervisors may request an out-of-cycle training need at any time during the year.</w:t>
      </w:r>
    </w:p>
    <w:p>
      <w:pPr>
        <w:spacing w:after="20" w:line="223" w:lineRule="auto"/>
        <w:jc w:val="right"/>
        <w:bidi/>
      </w:pPr>
      <w:r>
        <w:rPr>
          <w:rFonts w:ascii="Arial" w:hAnsi="Arial"/>
          <w:sz w:val="16"/>
        </w:rPr>
        <w:t>205.09  سرپرستان باید کارمندان غیرنظامی را تشویق کنند تا مستقلا آموزش و تحصیلی را دنبال کنند که آنها را برای ارتقاء آماده کند یا آنها را برای انتقال شغلی توسعه دهد.</w:t>
      </w:r>
    </w:p>
    <w:p>
      <w:pPr>
        <w:spacing w:after="28" w:line="216" w:lineRule="auto"/>
        <w:ind w:left="259"/>
        <w:jc w:val="left"/>
      </w:pPr>
      <w:r>
        <w:rPr>
          <w:rFonts w:ascii="Arial" w:hAnsi="Arial"/>
          <w:color w:val="525252"/>
          <w:sz w:val="13"/>
        </w:rPr>
        <w:t>Supervisors should encourage civilian employees to independently pursue training and education that will prepare them for promotion or develop them for career transitions.</w:t>
      </w:r>
    </w:p>
    <w:p>
      <w:pPr>
        <w:spacing w:after="20" w:line="223" w:lineRule="auto"/>
        <w:jc w:val="right"/>
        <w:bidi/>
      </w:pPr>
      <w:r>
        <w:rPr>
          <w:rFonts w:ascii="Arial" w:hAnsi="Arial"/>
          <w:sz w:val="16"/>
        </w:rPr>
        <w:t>205.10  متخصص توسعه کارکنان خدماتی برای کمک به تحلیل نیازهای آموزشی و شناسایی روش‌ها و منابع آموزشی در دسترس است.</w:t>
      </w:r>
    </w:p>
    <w:p>
      <w:pPr>
        <w:spacing w:after="28" w:line="216" w:lineRule="auto"/>
        <w:ind w:left="259"/>
        <w:jc w:val="left"/>
      </w:pPr>
      <w:r>
        <w:rPr>
          <w:rFonts w:ascii="Arial" w:hAnsi="Arial"/>
          <w:color w:val="525252"/>
          <w:sz w:val="13"/>
        </w:rPr>
        <w:t>The servicing employee development specialist is available to assist in training needs analysis and identification of methods and training sources.</w:t>
      </w:r>
    </w:p>
    <w:p>
      <w:pPr>
        <w:spacing w:after="20" w:line="223" w:lineRule="auto"/>
        <w:jc w:val="right"/>
        <w:bidi/>
      </w:pPr>
      <w:r>
        <w:rPr>
          <w:rFonts w:ascii="Arial" w:hAnsi="Arial"/>
          <w:sz w:val="16"/>
        </w:rPr>
        <w:t>205.11  برای اطلاعات بیشتر، به DAFMAN ۳۶-۲۶۸۹، برنامه آموزشی و DAFI ۳۶-۲۶۸۷، توسعه غیرنظامی مراجعه کنید.</w:t>
      </w:r>
    </w:p>
    <w:p>
      <w:pPr>
        <w:spacing w:after="28" w:line="216" w:lineRule="auto"/>
        <w:ind w:left="259"/>
        <w:jc w:val="left"/>
      </w:pPr>
      <w:r>
        <w:rPr>
          <w:rFonts w:ascii="Arial" w:hAnsi="Arial"/>
          <w:color w:val="525252"/>
          <w:sz w:val="13"/>
        </w:rPr>
        <w:t>For additional information, refer to DAFMAN 36-2689, Training Program and DAFI 36-2687, Civilian Development.</w:t>
      </w:r>
    </w:p>
    <w:p>
      <w:pPr>
        <w:spacing w:after="20" w:line="223" w:lineRule="auto"/>
        <w:jc w:val="right"/>
        <w:bidi/>
      </w:pPr>
      <w:r>
        <w:rPr>
          <w:rFonts w:ascii="Arial" w:hAnsi="Arial"/>
          <w:sz w:val="16"/>
        </w:rPr>
        <w:t>205.12  منابع آموزشی.</w:t>
      </w:r>
    </w:p>
    <w:p>
      <w:pPr>
        <w:spacing w:after="28" w:line="216" w:lineRule="auto"/>
        <w:ind w:left="259"/>
        <w:jc w:val="left"/>
      </w:pPr>
      <w:r>
        <w:rPr>
          <w:rFonts w:ascii="Arial" w:hAnsi="Arial"/>
          <w:color w:val="525252"/>
          <w:sz w:val="13"/>
        </w:rPr>
        <w:t>Sources of Training.</w:t>
      </w:r>
    </w:p>
    <w:p>
      <w:pPr>
        <w:spacing w:after="20" w:line="223" w:lineRule="auto"/>
        <w:jc w:val="right"/>
        <w:bidi/>
      </w:pPr>
      <w:r>
        <w:rPr>
          <w:rFonts w:ascii="Arial" w:hAnsi="Arial"/>
          <w:sz w:val="16"/>
        </w:rPr>
        <w:t>205.13  سه منبع اصلی آموزش عبارتند از آژانس (USAF)، بین سازمانی و غیر دولتی.</w:t>
      </w:r>
    </w:p>
    <w:p>
      <w:pPr>
        <w:spacing w:after="28" w:line="216" w:lineRule="auto"/>
        <w:ind w:left="259"/>
        <w:jc w:val="left"/>
      </w:pPr>
      <w:r>
        <w:rPr>
          <w:rFonts w:ascii="Arial" w:hAnsi="Arial"/>
          <w:color w:val="525252"/>
          <w:sz w:val="13"/>
        </w:rPr>
        <w:t>The three primary sources of training are agency (USAF), interagency, and nongovernment.</w:t>
      </w:r>
    </w:p>
    <w:p>
      <w:pPr>
        <w:spacing w:after="20" w:line="223" w:lineRule="auto"/>
        <w:jc w:val="right"/>
        <w:bidi/>
      </w:pPr>
      <w:r>
        <w:rPr>
          <w:rFonts w:ascii="Arial" w:hAnsi="Arial"/>
          <w:sz w:val="16"/>
        </w:rPr>
        <w:t>205.14  آموزشی که دور از محل کار انجام می‌شود با استفاده از فرم استاندارد ۱۸۲، مجوز، موافقت نامه و گواهی آموزش درخواست، تأیید و مستند شده است.</w:t>
      </w:r>
    </w:p>
    <w:p>
      <w:pPr>
        <w:spacing w:after="28" w:line="216" w:lineRule="auto"/>
        <w:ind w:left="259"/>
        <w:jc w:val="left"/>
      </w:pPr>
      <w:r>
        <w:rPr>
          <w:rFonts w:ascii="Arial" w:hAnsi="Arial"/>
          <w:color w:val="525252"/>
          <w:sz w:val="13"/>
        </w:rPr>
        <w:t>Training that is conducted away from the work site is requested, approved, and documented using Standard Form 182, Authorization, Agreement and Certification of Training.</w:t>
      </w:r>
    </w:p>
    <w:p>
      <w:pPr>
        <w:spacing w:after="20" w:line="223" w:lineRule="auto"/>
        <w:jc w:val="right"/>
        <w:bidi/>
      </w:pPr>
      <w:r>
        <w:rPr>
          <w:rFonts w:ascii="Arial" w:hAnsi="Arial"/>
          <w:sz w:val="16"/>
        </w:rPr>
        <w:t>205.15  آموزش نمایندگی.</w:t>
      </w:r>
    </w:p>
    <w:p>
      <w:pPr>
        <w:spacing w:after="28" w:line="216" w:lineRule="auto"/>
        <w:ind w:left="259"/>
        <w:jc w:val="left"/>
      </w:pPr>
      <w:r>
        <w:rPr>
          <w:rFonts w:ascii="Arial" w:hAnsi="Arial"/>
          <w:color w:val="525252"/>
          <w:sz w:val="13"/>
        </w:rPr>
        <w:t>Agency Training.</w:t>
      </w:r>
    </w:p>
    <w:p>
      <w:pPr>
        <w:spacing w:after="20" w:line="223" w:lineRule="auto"/>
        <w:jc w:val="right"/>
        <w:bidi/>
      </w:pPr>
      <w:r>
        <w:rPr>
          <w:rFonts w:ascii="Arial" w:hAnsi="Arial"/>
          <w:sz w:val="16"/>
        </w:rPr>
        <w:t>205.16  آموزش آژانس توسط USAF انجام می‌شود و ممکن است شامل آموزش در محل کار، آموزش داخلی، و مدارس رسمی USAF باشد.</w:t>
      </w:r>
    </w:p>
    <w:p>
      <w:pPr>
        <w:spacing w:after="28" w:line="216" w:lineRule="auto"/>
        <w:ind w:left="259"/>
        <w:jc w:val="left"/>
      </w:pPr>
      <w:r>
        <w:rPr>
          <w:rFonts w:ascii="Arial" w:hAnsi="Arial"/>
          <w:color w:val="525252"/>
          <w:sz w:val="13"/>
        </w:rPr>
        <w:t>Agency training is conducted by the USAF and may include on-the-job training, in-house training, and USAF formal schools.</w:t>
      </w:r>
    </w:p>
    <w:p>
      <w:pPr>
        <w:spacing w:after="20" w:line="223" w:lineRule="auto"/>
        <w:jc w:val="right"/>
        <w:bidi/>
      </w:pPr>
      <w:r>
        <w:rPr>
          <w:rFonts w:ascii="Arial" w:hAnsi="Arial"/>
          <w:sz w:val="16"/>
        </w:rPr>
        <w:t>205.17  آموزش در حین کار و آموزش درون سازمانی اغلب مؤثرترین هستند زیرا سرپرست آموزش را برای برآورده کردن الزامات شغلی خاص تنظیم می‌کند.</w:t>
      </w:r>
    </w:p>
    <w:p>
      <w:pPr>
        <w:spacing w:after="28" w:line="216" w:lineRule="auto"/>
        <w:ind w:left="259"/>
        <w:jc w:val="left"/>
      </w:pPr>
      <w:r>
        <w:rPr>
          <w:rFonts w:ascii="Arial" w:hAnsi="Arial"/>
          <w:color w:val="525252"/>
          <w:sz w:val="13"/>
        </w:rPr>
        <w:t>On-the-job training and in-house training are often the most effective because the supervisor tailors the training to meet the specific job requirements.</w:t>
      </w:r>
    </w:p>
    <w:p>
      <w:pPr>
        <w:spacing w:after="20" w:line="223" w:lineRule="auto"/>
        <w:jc w:val="right"/>
        <w:bidi/>
      </w:pPr>
      <w:r>
        <w:rPr>
          <w:rFonts w:ascii="Arial" w:hAnsi="Arial"/>
          <w:sz w:val="16"/>
        </w:rPr>
        <w:t>205.18  آموزش درون سازمانی زمانی مؤثر است که تعداد زیادی از کارمندان به آموزش در مورد جنبه‌های مشترک الزامات مهارت‌های شغلی نیاز داشته باشند.</w:t>
      </w:r>
    </w:p>
    <w:p>
      <w:pPr>
        <w:spacing w:after="28" w:line="216" w:lineRule="auto"/>
        <w:ind w:left="259"/>
        <w:jc w:val="left"/>
      </w:pPr>
      <w:r>
        <w:rPr>
          <w:rFonts w:ascii="Arial" w:hAnsi="Arial"/>
          <w:color w:val="525252"/>
          <w:sz w:val="13"/>
        </w:rPr>
        <w:t>In-house training is effective when a large number of employees need instruction on common aspects of occupational skill requirements.</w:t>
      </w:r>
    </w:p>
    <w:p>
      <w:pPr>
        <w:spacing w:after="20" w:line="223" w:lineRule="auto"/>
        <w:jc w:val="right"/>
        <w:bidi/>
      </w:pPr>
      <w:r>
        <w:rPr>
          <w:rFonts w:ascii="Arial" w:hAnsi="Arial"/>
          <w:sz w:val="16"/>
        </w:rPr>
        <w:t>205.19  آموزش کلاس درس آژانس رسمی‌تر از طریق مدارس رسمی USAF فهرست شده در وب‌سایت اطلاعیه‌های دوره آموزشی و آموزشی ETCA (https://www.aetc.af.mil/News/Force-Development/Learning- پروفسسیونالس-اند-FD-کردنتیالس/فورک-رگینیرا-دولوپمنت) در دسترس است. دوره-اطلاعیه/).</w:t>
      </w:r>
    </w:p>
    <w:p>
      <w:pPr>
        <w:spacing w:after="28" w:line="216" w:lineRule="auto"/>
        <w:ind w:left="259"/>
        <w:jc w:val="left"/>
      </w:pPr>
      <w:r>
        <w:rPr>
          <w:rFonts w:ascii="Arial" w:hAnsi="Arial"/>
          <w:color w:val="525252"/>
          <w:sz w:val="13"/>
        </w:rPr>
        <w:t>More formalized agency classroom training is available through USAF formal schools listed in the Education and Training Course Announcements ETCA) website (https://www.aetc.af.mil/News/Force-Development/Learning- Professionals-and-FD-Credentials/Force-Development-Registrar/Education-and-Training- Course-Announcements/).</w:t>
      </w:r>
    </w:p>
    <w:p>
      <w:pPr>
        <w:spacing w:after="20" w:line="223" w:lineRule="auto"/>
        <w:jc w:val="right"/>
        <w:bidi/>
      </w:pPr>
      <w:r>
        <w:rPr>
          <w:rFonts w:ascii="Arial" w:hAnsi="Arial"/>
          <w:sz w:val="16"/>
        </w:rPr>
        <w:t>205.20  آموزش بین سازمانی.</w:t>
      </w:r>
    </w:p>
    <w:p>
      <w:pPr>
        <w:spacing w:after="28" w:line="216" w:lineRule="auto"/>
        <w:ind w:left="259"/>
        <w:jc w:val="left"/>
      </w:pPr>
      <w:r>
        <w:rPr>
          <w:rFonts w:ascii="Arial" w:hAnsi="Arial"/>
          <w:color w:val="525252"/>
          <w:sz w:val="13"/>
        </w:rPr>
        <w:t>Interagency Training.</w:t>
      </w:r>
    </w:p>
    <w:p>
      <w:pPr>
        <w:spacing w:after="20" w:line="223" w:lineRule="auto"/>
        <w:jc w:val="right"/>
        <w:bidi/>
      </w:pPr>
      <w:r>
        <w:rPr>
          <w:rFonts w:ascii="Arial" w:hAnsi="Arial"/>
          <w:sz w:val="16"/>
        </w:rPr>
        <w:t>205.21  آموزش بین سازمانی شامل همه آموزش‌هایی است که توسط سایر سازمان‌های دولتی ایالات متحده حمایت می‌شود و اگر منابع آژانس برای رفع نیازهای آموزشی شناسایی‌شده کافی نباشد، ممکن است مورد نیاز باشد.</w:t>
      </w:r>
    </w:p>
    <w:p>
      <w:pPr>
        <w:spacing w:after="28" w:line="216" w:lineRule="auto"/>
        <w:ind w:left="259"/>
        <w:jc w:val="left"/>
      </w:pPr>
      <w:r>
        <w:rPr>
          <w:rFonts w:ascii="Arial" w:hAnsi="Arial"/>
          <w:color w:val="525252"/>
          <w:sz w:val="13"/>
        </w:rPr>
        <w:t>Interagency training includes all training sponsored by other U.S. Government agencies and may be needed if agency sources are not adequate to meet identified training needs.</w:t>
      </w:r>
    </w:p>
    <w:p>
      <w:pPr>
        <w:spacing w:after="20" w:line="223" w:lineRule="auto"/>
        <w:jc w:val="right"/>
        <w:bidi/>
      </w:pPr>
      <w:r>
        <w:rPr>
          <w:rFonts w:ascii="Arial" w:hAnsi="Arial"/>
          <w:sz w:val="16"/>
        </w:rPr>
        <w:t>205.22  OPM، ادارات ارتش و نیروی دریایی، و ادارات کار و کشاورزی تنها چند منبع برای دریافت آموزش بین سازمانی هستند.</w:t>
      </w:r>
    </w:p>
    <w:p>
      <w:pPr>
        <w:spacing w:after="28" w:line="216" w:lineRule="auto"/>
        <w:ind w:left="259"/>
        <w:jc w:val="left"/>
      </w:pPr>
      <w:r>
        <w:rPr>
          <w:rFonts w:ascii="Arial" w:hAnsi="Arial"/>
          <w:color w:val="525252"/>
          <w:sz w:val="13"/>
        </w:rPr>
        <w:t>The OPM, the Departments of Army and Navy, and the Departments of Labor and Agriculture are just a few sources from which to obtain interagency training.</w:t>
      </w:r>
    </w:p>
    <w:p>
      <w:pPr>
        <w:spacing w:after="20" w:line="223" w:lineRule="auto"/>
        <w:jc w:val="right"/>
        <w:bidi/>
      </w:pPr>
      <w:r>
        <w:rPr>
          <w:rFonts w:ascii="Arial" w:hAnsi="Arial"/>
          <w:sz w:val="16"/>
        </w:rPr>
        <w:t>205.23  آموزش غیردولتی.</w:t>
      </w:r>
    </w:p>
    <w:p>
      <w:pPr>
        <w:spacing w:after="28" w:line="216" w:lineRule="auto"/>
        <w:ind w:left="259"/>
        <w:jc w:val="left"/>
      </w:pPr>
      <w:r>
        <w:rPr>
          <w:rFonts w:ascii="Arial" w:hAnsi="Arial"/>
          <w:color w:val="525252"/>
          <w:sz w:val="13"/>
        </w:rPr>
        <w:t>Nongovernmental Training.</w:t>
      </w:r>
    </w:p>
    <w:p>
      <w:pPr>
        <w:spacing w:after="20" w:line="223" w:lineRule="auto"/>
        <w:jc w:val="right"/>
        <w:bidi/>
      </w:pPr>
      <w:r>
        <w:rPr>
          <w:rFonts w:ascii="Arial" w:hAnsi="Arial"/>
          <w:sz w:val="16"/>
        </w:rPr>
        <w:t>205.24  منابع غیردولتی طیف وسیعی از سمینارها، کنفرانس‌ها، دوره‌ها و کارگاه‌ها و همچنین برنامه‌های درسی ارائه شده توسط موسسات آموزشی خصوصی را در بر می‌گیرند.</w:t>
      </w:r>
    </w:p>
    <w:p>
      <w:pPr>
        <w:spacing w:after="28" w:line="216" w:lineRule="auto"/>
        <w:ind w:left="259"/>
        <w:jc w:val="left"/>
      </w:pPr>
      <w:r>
        <w:rPr>
          <w:rFonts w:ascii="Arial" w:hAnsi="Arial"/>
          <w:color w:val="525252"/>
          <w:sz w:val="13"/>
        </w:rPr>
        <w:t>Nongovernmental sources incorporate a wide range of seminars, conferences, courses, and workshops, as well as curricula offered by private educational institutions.</w:t>
      </w:r>
    </w:p>
    <w:p>
      <w:pPr>
        <w:spacing w:after="20" w:line="223" w:lineRule="auto"/>
        <w:jc w:val="right"/>
        <w:bidi/>
      </w:pPr>
      <w:r>
        <w:rPr>
          <w:rFonts w:ascii="Arial" w:hAnsi="Arial"/>
          <w:sz w:val="16"/>
        </w:rPr>
        <w:t>205.25  مقررات فدرال، آژانس‌ها را ملزم می‌کنند که منابع آموزشی دولتی را قبل از روی آوردن به جایگزین‌های غیردولتی در نظر بگیرند و انتخاب کنند.</w:t>
      </w:r>
    </w:p>
    <w:p>
      <w:pPr>
        <w:spacing w:after="28" w:line="216" w:lineRule="auto"/>
        <w:ind w:left="259"/>
        <w:jc w:val="left"/>
      </w:pPr>
      <w:r>
        <w:rPr>
          <w:rFonts w:ascii="Arial" w:hAnsi="Arial"/>
          <w:color w:val="525252"/>
          <w:sz w:val="13"/>
        </w:rPr>
        <w:t>Federal regulations require agencies to consider and select government training sources before turning to nongovernmental alternatives.</w:t>
      </w:r>
    </w:p>
    <w:p>
      <w:pPr>
        <w:spacing w:after="20" w:line="223" w:lineRule="auto"/>
        <w:jc w:val="right"/>
        <w:bidi/>
      </w:pPr>
      <w:r>
        <w:rPr>
          <w:rFonts w:ascii="Arial" w:hAnsi="Arial"/>
          <w:sz w:val="16"/>
        </w:rPr>
        <w:t>205.26  با این حال، زمانی که دوره‌های آژانس یا بین سازمانی نتواند نیاز آموزشی را برآورده کند یا زمانی که آموزش غیردولتی سودمندتر است، ممکن است منابع غیردولتی در نظر گرفته شوند.</w:t>
      </w:r>
    </w:p>
    <w:p>
      <w:pPr>
        <w:spacing w:after="28" w:line="216" w:lineRule="auto"/>
        <w:ind w:left="259"/>
        <w:jc w:val="left"/>
      </w:pPr>
      <w:r>
        <w:rPr>
          <w:rFonts w:ascii="Arial" w:hAnsi="Arial"/>
          <w:color w:val="525252"/>
          <w:sz w:val="13"/>
        </w:rPr>
        <w:t>However, nongovernmental sources may be considered when agency or interagency courses cannot satisfy a training need or when nongovernmental training is more advantageous.</w:t>
      </w:r>
    </w:p>
    <w:p>
      <w:pPr>
        <w:spacing w:before="60" w:after="28"/>
        <w:jc w:val="right"/>
        <w:bidi/>
      </w:pPr>
      <w:r>
        <w:rPr>
          <w:b/>
          <w:color w:val="1F4D78"/>
          <w:sz w:val="18"/>
        </w:rPr>
        <w:t>11.24. برنامه ریزی عملکرد، ارزیابی ها و جوایز برای کارکنان</w:t>
      </w:r>
    </w:p>
    <w:p>
      <w:pPr>
        <w:spacing w:after="20"/>
        <w:ind w:left="259"/>
        <w:jc w:val="left"/>
      </w:pPr>
      <w:r>
        <w:rPr>
          <w:color w:val="555555"/>
          <w:sz w:val="12"/>
        </w:rPr>
        <w:t>11.24. Performance Planning, Appraisals, and Awards for Employees</w:t>
      </w:r>
    </w:p>
    <w:p>
      <w:pPr>
        <w:spacing w:after="20" w:line="223" w:lineRule="auto"/>
        <w:jc w:val="right"/>
        <w:bidi/>
      </w:pPr>
      <w:r>
        <w:rPr>
          <w:rFonts w:ascii="Arial" w:hAnsi="Arial"/>
          <w:sz w:val="16"/>
        </w:rPr>
        <w:t>205.28  کارکنان غیرنظامی در مورد وظایف و مسئولیت‌های شغلی خود در سند اصلی پرسنلی خود و انتظارات عملکرد سرپرست خود در برنامه‌های عملکردی توصیه می‌شوند.</w:t>
      </w:r>
    </w:p>
    <w:p>
      <w:pPr>
        <w:spacing w:after="28" w:line="216" w:lineRule="auto"/>
        <w:ind w:left="259"/>
        <w:jc w:val="left"/>
      </w:pPr>
      <w:r>
        <w:rPr>
          <w:rFonts w:ascii="Arial" w:hAnsi="Arial"/>
          <w:color w:val="525252"/>
          <w:sz w:val="13"/>
        </w:rPr>
        <w:t>Civilian employees are advised of duties and responsibilities of their jobs in their core personnel document, and of their supervisor’s performance expectations in performance plans that are</w:t>
      </w:r>
    </w:p>
    <w:p>
      <w:r>
        <w:br w:type="page"/>
      </w:r>
    </w:p>
    <w:p>
      <w:pPr>
        <w:spacing w:after="60"/>
        <w:jc w:val="right"/>
        <w:bidi/>
      </w:pPr>
      <w:r>
        <w:rPr>
          <w:rFonts w:ascii="Arial" w:hAnsi="Arial"/>
          <w:b/>
          <w:color w:val="1F4D78"/>
          <w:sz w:val="19"/>
        </w:rPr>
        <w:t>هفتهٔ 206  |  صفحهٔ منبع: 222</w:t>
      </w:r>
    </w:p>
    <w:p>
      <w:pPr>
        <w:spacing w:after="20" w:line="223" w:lineRule="auto"/>
        <w:jc w:val="right"/>
        <w:bidi/>
      </w:pPr>
      <w:r>
        <w:rPr>
          <w:rFonts w:ascii="Arial" w:hAnsi="Arial"/>
          <w:sz w:val="16"/>
        </w:rPr>
        <w:t>206.01  سالانه در شروع چرخه رتبه بندی عملکرد توسعه می‌یابد.</w:t>
      </w:r>
    </w:p>
    <w:p>
      <w:pPr>
        <w:spacing w:after="28" w:line="216" w:lineRule="auto"/>
        <w:ind w:left="259"/>
        <w:jc w:val="left"/>
      </w:pPr>
      <w:r>
        <w:rPr>
          <w:rFonts w:ascii="Arial" w:hAnsi="Arial"/>
          <w:color w:val="525252"/>
          <w:sz w:val="13"/>
        </w:rPr>
        <w:t>developed annually at the start of a performance rating cycle.</w:t>
      </w:r>
    </w:p>
    <w:p>
      <w:pPr>
        <w:spacing w:after="20" w:line="223" w:lineRule="auto"/>
        <w:jc w:val="right"/>
        <w:bidi/>
      </w:pPr>
      <w:r>
        <w:rPr>
          <w:rFonts w:ascii="Arial" w:hAnsi="Arial"/>
          <w:sz w:val="16"/>
        </w:rPr>
        <w:t>206.02  استانداردهای عملکرد نحوه اندازه‌گیری عملکرد یک کارمند از یک عنصر یا وظیفه خاص را تعیین می‌کنند.</w:t>
      </w:r>
    </w:p>
    <w:p>
      <w:pPr>
        <w:spacing w:after="28" w:line="216" w:lineRule="auto"/>
        <w:ind w:left="259"/>
        <w:jc w:val="left"/>
      </w:pPr>
      <w:r>
        <w:rPr>
          <w:rFonts w:ascii="Arial" w:hAnsi="Arial"/>
          <w:color w:val="525252"/>
          <w:sz w:val="13"/>
        </w:rPr>
        <w:t>Performance standards prescribe how an employee’s accomplishment of a particular element or duty will be measured.</w:t>
      </w:r>
    </w:p>
    <w:p>
      <w:pPr>
        <w:spacing w:after="20" w:line="223" w:lineRule="auto"/>
        <w:jc w:val="right"/>
        <w:bidi/>
      </w:pPr>
      <w:r>
        <w:rPr>
          <w:rFonts w:ascii="Arial" w:hAnsi="Arial"/>
          <w:sz w:val="16"/>
        </w:rPr>
        <w:t>206.03  سرپرستان عناصر عملکردی (وظایف و وظایف) را برای کارکنان غیرنظامی تعیین می‌کنند و الزامات اصلی/مهم شغل را بر اساس مشارکت مستقیم کارمند در اهداف سازمان یا واحد کاری تعیین می‌کنند.</w:t>
      </w:r>
    </w:p>
    <w:p>
      <w:pPr>
        <w:spacing w:after="28" w:line="216" w:lineRule="auto"/>
        <w:ind w:left="259"/>
        <w:jc w:val="left"/>
      </w:pPr>
      <w:r>
        <w:rPr>
          <w:rFonts w:ascii="Arial" w:hAnsi="Arial"/>
          <w:color w:val="525252"/>
          <w:sz w:val="13"/>
        </w:rPr>
        <w:t>Supervisors set performance elements (duties and tasks) for civilian employees and determine the major/important requirements of the job based on the employee’s direct contribution to organization or work unit objectives.</w:t>
      </w:r>
    </w:p>
    <w:p>
      <w:pPr>
        <w:spacing w:after="20" w:line="223" w:lineRule="auto"/>
        <w:jc w:val="right"/>
        <w:bidi/>
      </w:pPr>
      <w:r>
        <w:rPr>
          <w:rFonts w:ascii="Arial" w:hAnsi="Arial"/>
          <w:sz w:val="16"/>
        </w:rPr>
        <w:t>206.04  کارکنان ارزیابی‌های سالانه‌ای را در مورد اینکه چگونه وظایف خود را انجام می‌دهند دریافت می‌کنند.</w:t>
      </w:r>
    </w:p>
    <w:p>
      <w:pPr>
        <w:spacing w:after="28" w:line="216" w:lineRule="auto"/>
        <w:ind w:left="259"/>
        <w:jc w:val="left"/>
      </w:pPr>
      <w:r>
        <w:rPr>
          <w:rFonts w:ascii="Arial" w:hAnsi="Arial"/>
          <w:color w:val="525252"/>
          <w:sz w:val="13"/>
        </w:rPr>
        <w:t>Employees receive annual appraisals on how well they perform their duties.</w:t>
      </w:r>
    </w:p>
    <w:p>
      <w:pPr>
        <w:spacing w:after="20" w:line="223" w:lineRule="auto"/>
        <w:jc w:val="right"/>
        <w:bidi/>
      </w:pPr>
      <w:r>
        <w:rPr>
          <w:rFonts w:ascii="Arial" w:hAnsi="Arial"/>
          <w:sz w:val="16"/>
        </w:rPr>
        <w:t>206.05  ارزیابی عملکرد مبنایی برای اقدامات پرسنل برای شناسایی و اصلاح مشکلات عملکرد کاری، شناسایی و پاداش عملکرد کیفیت، بهبود بهره‌وری و اعطای افزایش دوره‌ای حقوق است.</w:t>
      </w:r>
    </w:p>
    <w:p>
      <w:pPr>
        <w:spacing w:after="28" w:line="216" w:lineRule="auto"/>
        <w:ind w:left="259"/>
        <w:jc w:val="left"/>
      </w:pPr>
      <w:r>
        <w:rPr>
          <w:rFonts w:ascii="Arial" w:hAnsi="Arial"/>
          <w:color w:val="525252"/>
          <w:sz w:val="13"/>
        </w:rPr>
        <w:t>The performance appraisal is the basis for personnel actions to identify and correct work performance problems, recognize, and reward quality performance, improve productivity, and grant periodic pay increases.</w:t>
      </w:r>
    </w:p>
    <w:p>
      <w:pPr>
        <w:spacing w:after="20" w:line="223" w:lineRule="auto"/>
        <w:jc w:val="right"/>
        <w:bidi/>
      </w:pPr>
      <w:r>
        <w:rPr>
          <w:rFonts w:ascii="Arial" w:hAnsi="Arial"/>
          <w:sz w:val="16"/>
        </w:rPr>
        <w:t>206.06  سرپرستان عملکرد کارکنان هر عنصر را بررسی می‌کنند و عملکرد را بر اساس استانداردهای هر عنصر ارزیابی می‌کنند، سپس یک رتبه‌بندی خلاصه کلی ارائه می‌کنند.</w:t>
      </w:r>
    </w:p>
    <w:p>
      <w:pPr>
        <w:spacing w:after="28" w:line="216" w:lineRule="auto"/>
        <w:ind w:left="259"/>
        <w:jc w:val="left"/>
      </w:pPr>
      <w:r>
        <w:rPr>
          <w:rFonts w:ascii="Arial" w:hAnsi="Arial"/>
          <w:color w:val="525252"/>
          <w:sz w:val="13"/>
        </w:rPr>
        <w:t>Supervisors review employee performance of each element and rate the performance against each element’s standards, then render an overall summary rating.</w:t>
      </w:r>
    </w:p>
    <w:p>
      <w:pPr>
        <w:spacing w:after="20" w:line="223" w:lineRule="auto"/>
        <w:jc w:val="right"/>
        <w:bidi/>
      </w:pPr>
      <w:r>
        <w:rPr>
          <w:rFonts w:ascii="Arial" w:hAnsi="Arial"/>
          <w:sz w:val="16"/>
        </w:rPr>
        <w:t>206.07  کارکنانی که در یک یا چند عنصر عملکرد شکست می‌خورند، ارزیابی غیرقابل قبولی دریافت می‌کنند و به آنها فرصتی برای بهبود داده می‌شود.</w:t>
      </w:r>
    </w:p>
    <w:p>
      <w:pPr>
        <w:spacing w:after="28" w:line="216" w:lineRule="auto"/>
        <w:ind w:left="259"/>
        <w:jc w:val="left"/>
      </w:pPr>
      <w:r>
        <w:rPr>
          <w:rFonts w:ascii="Arial" w:hAnsi="Arial"/>
          <w:color w:val="525252"/>
          <w:sz w:val="13"/>
        </w:rPr>
        <w:t>Employees who fail one or more performance elements are administered an unacceptable appraisal and are given an opportunity to improve.</w:t>
      </w:r>
    </w:p>
    <w:p>
      <w:pPr>
        <w:spacing w:after="20" w:line="223" w:lineRule="auto"/>
        <w:jc w:val="right"/>
        <w:bidi/>
      </w:pPr>
      <w:r>
        <w:rPr>
          <w:rFonts w:ascii="Arial" w:hAnsi="Arial"/>
          <w:sz w:val="16"/>
        </w:rPr>
        <w:t>206.08  سرپرستان ممکن است به‌کارکنان پاداش دهند تا عملکرد بالا را تشخیص دهند.</w:t>
      </w:r>
    </w:p>
    <w:p>
      <w:pPr>
        <w:spacing w:after="28" w:line="216" w:lineRule="auto"/>
        <w:ind w:left="259"/>
        <w:jc w:val="left"/>
      </w:pPr>
      <w:r>
        <w:rPr>
          <w:rFonts w:ascii="Arial" w:hAnsi="Arial"/>
          <w:color w:val="525252"/>
          <w:sz w:val="13"/>
        </w:rPr>
        <w:t>Supervisors may reward employees to recognize high performance.</w:t>
      </w:r>
    </w:p>
    <w:p>
      <w:pPr>
        <w:spacing w:after="20" w:line="223" w:lineRule="auto"/>
        <w:jc w:val="right"/>
        <w:bidi/>
      </w:pPr>
      <w:r>
        <w:rPr>
          <w:rFonts w:ascii="Arial" w:hAnsi="Arial"/>
          <w:sz w:val="16"/>
        </w:rPr>
        <w:t>206.09  جوایز عملکرد (به‌عنوان مثال، نقدی عملکرد، زمان استراحت، و افزایش مرحله کیفیت) می‌توانند به‌عنوان ابزاری برای ایجاد انگیزه در کارکنان غیرنظامی برای عملکرد بالاتر از سطح قابل قبول و همچنین جبران عملکرد فراتر از انتظارات استفاده شوند.</w:t>
      </w:r>
    </w:p>
    <w:p>
      <w:pPr>
        <w:spacing w:after="28" w:line="216" w:lineRule="auto"/>
        <w:ind w:left="259"/>
        <w:jc w:val="left"/>
      </w:pPr>
      <w:r>
        <w:rPr>
          <w:rFonts w:ascii="Arial" w:hAnsi="Arial"/>
          <w:color w:val="525252"/>
          <w:sz w:val="13"/>
        </w:rPr>
        <w:t>Performance awards (for example, performance cash, time-off, and quality step increases) can be used as tools to motivate civilian employees to perform above an acceptable level as well as compensate them for performing beyond expectations.</w:t>
      </w:r>
    </w:p>
    <w:p>
      <w:pPr>
        <w:spacing w:after="20" w:line="223" w:lineRule="auto"/>
        <w:jc w:val="right"/>
        <w:bidi/>
      </w:pPr>
      <w:r>
        <w:rPr>
          <w:rFonts w:ascii="Arial" w:hAnsi="Arial"/>
          <w:sz w:val="16"/>
        </w:rPr>
        <w:t>206.10  مدیریت مؤثر برنامه جوایز عملکرد می‌تواند به بهبود بهره وری و روحیه در سازمان کمک کند.</w:t>
      </w:r>
    </w:p>
    <w:p>
      <w:pPr>
        <w:spacing w:after="28" w:line="216" w:lineRule="auto"/>
        <w:ind w:left="259"/>
        <w:jc w:val="left"/>
      </w:pPr>
      <w:r>
        <w:rPr>
          <w:rFonts w:ascii="Arial" w:hAnsi="Arial"/>
          <w:color w:val="525252"/>
          <w:sz w:val="13"/>
        </w:rPr>
        <w:t>Effective management of the performance awards program can help improve productivity and morale in the organization.</w:t>
      </w:r>
    </w:p>
    <w:p>
      <w:pPr>
        <w:spacing w:before="60" w:after="28"/>
        <w:jc w:val="right"/>
        <w:bidi/>
      </w:pPr>
      <w:r>
        <w:rPr>
          <w:b/>
          <w:color w:val="1F4D78"/>
          <w:sz w:val="18"/>
        </w:rPr>
        <w:t>11.25. استانداردهای رفتار</w:t>
      </w:r>
    </w:p>
    <w:p>
      <w:pPr>
        <w:spacing w:after="20"/>
        <w:ind w:left="259"/>
        <w:jc w:val="left"/>
      </w:pPr>
      <w:r>
        <w:rPr>
          <w:color w:val="555555"/>
          <w:sz w:val="12"/>
        </w:rPr>
        <w:t>11.25. Standards of Conduct</w:t>
      </w:r>
    </w:p>
    <w:p>
      <w:pPr>
        <w:spacing w:after="20" w:line="223" w:lineRule="auto"/>
        <w:jc w:val="right"/>
        <w:bidi/>
      </w:pPr>
      <w:r>
        <w:rPr>
          <w:rFonts w:ascii="Arial" w:hAnsi="Arial"/>
          <w:sz w:val="16"/>
        </w:rPr>
        <w:t>206.12  DAFI ۳۶-۱۴۷، رفتار و مسئولیت غیرنظامی، و مقررات اخلاقی مشترک، فعالیت هایی را پوشش می‌دهد که برای کارمندان غیرنظامی اجباری است و فعالیت هایی که ممنوع هستند.</w:t>
      </w:r>
    </w:p>
    <w:p>
      <w:pPr>
        <w:spacing w:after="28" w:line="216" w:lineRule="auto"/>
        <w:ind w:left="259"/>
        <w:jc w:val="left"/>
      </w:pPr>
      <w:r>
        <w:rPr>
          <w:rFonts w:ascii="Arial" w:hAnsi="Arial"/>
          <w:color w:val="525252"/>
          <w:sz w:val="13"/>
        </w:rPr>
        <w:t>DAFI 36-147, Civilian Conduct and Responsibility, and Joint Ethics Regulation, cover activities that are mandatory for civilian employees and activities that are prohibited.</w:t>
      </w:r>
    </w:p>
    <w:p>
      <w:pPr>
        <w:spacing w:after="20" w:line="223" w:lineRule="auto"/>
        <w:jc w:val="right"/>
        <w:bidi/>
      </w:pPr>
      <w:r>
        <w:rPr>
          <w:rFonts w:ascii="Arial" w:hAnsi="Arial"/>
          <w:sz w:val="16"/>
        </w:rPr>
        <w:t>206.13  از همه کارکنان انتظار می‌رود که استانداردهای بالای صداقت، مسئولیت‌پذیری و مسئولیت‌پذیری را حفظ کنند - و به ارزش‌های اصلی USAF در ابتدا صداقت، خدمات قبل از خود، و تعالی در هر کاری که انجام می‌دهیم پایبند باشند.</w:t>
      </w:r>
    </w:p>
    <w:p>
      <w:pPr>
        <w:spacing w:after="28" w:line="216" w:lineRule="auto"/>
        <w:ind w:left="259"/>
        <w:jc w:val="left"/>
      </w:pPr>
      <w:r>
        <w:rPr>
          <w:rFonts w:ascii="Arial" w:hAnsi="Arial"/>
          <w:color w:val="525252"/>
          <w:sz w:val="13"/>
        </w:rPr>
        <w:t>All employees are expected to maintain high standards of honesty, responsibility, and accountability - and to adhere to the USAF core values of Integrity First, Service Before Self, and Excellence In All We Do.</w:t>
      </w:r>
    </w:p>
    <w:p>
      <w:pPr>
        <w:spacing w:after="20" w:line="223" w:lineRule="auto"/>
        <w:jc w:val="right"/>
        <w:bidi/>
      </w:pPr>
      <w:r>
        <w:rPr>
          <w:rFonts w:ascii="Arial" w:hAnsi="Arial"/>
          <w:sz w:val="16"/>
        </w:rPr>
        <w:t>206.14  فعالیت‌های مورد نیاز شامل ارائه شهادت در تحقیقات رسمی و جلسات استماع با حمایت از خود در برابر خود تبهکاری. پرداخت بدهی و مالیات قانونی؛ حضور در محل کار مگر اینکه مجاز به غیبت باشد. رعایت بهداشت، ایمنی و سایر دستورالعمل‌های مناسب در مورد کار؛ ارائه یک تصویر عمومی مثبت؛ رعایت استانداردهای معقول لباس و آرایش؛ و حفظ روابط حرفه‌ای با همکاران، زیردستان و سرپرستان.</w:t>
      </w:r>
    </w:p>
    <w:p>
      <w:pPr>
        <w:spacing w:after="28" w:line="216" w:lineRule="auto"/>
        <w:ind w:left="259"/>
        <w:jc w:val="left"/>
      </w:pPr>
      <w:r>
        <w:rPr>
          <w:rFonts w:ascii="Arial" w:hAnsi="Arial"/>
          <w:color w:val="525252"/>
          <w:sz w:val="13"/>
        </w:rPr>
        <w:t>Required activities include furnishing testimony in official investigations and hearings consistent with protections against self-incrimination; paying lawful debts and taxes; being present for work unless authorized to be absent; complying with health, safety, and all other proper instructions regarding work; presenting a positive public image; complying with reasonable dress and grooming standards; and maintaining professional relationships with fellow workers, subordinates, and supervisors.</w:t>
      </w:r>
    </w:p>
    <w:p>
      <w:pPr>
        <w:spacing w:after="20" w:line="223" w:lineRule="auto"/>
        <w:jc w:val="right"/>
        <w:bidi/>
      </w:pPr>
      <w:r>
        <w:rPr>
          <w:rFonts w:ascii="Arial" w:hAnsi="Arial"/>
          <w:sz w:val="16"/>
        </w:rPr>
        <w:t>206.15  اعمال ممنوعه شامل تبعیض و آزار جنسی است. سوء مصرف مواد مخدر و الکل؛ سوء استفاده از کارت‌های خرید دولتی؛ سوء استفاده از کامپیوترهای دولتی، وسایل نقلیه و سایر تجهیزات؛ رشوه گرفتن؛ انجام مشاغل شخصی در محل کار؛ و رفتار مجرمانه در خارج از وظیفه که تأثیر نامطلوبی بر استخدام USAF دارد.</w:t>
      </w:r>
    </w:p>
    <w:p>
      <w:pPr>
        <w:spacing w:after="28" w:line="216" w:lineRule="auto"/>
        <w:ind w:left="259"/>
        <w:jc w:val="left"/>
      </w:pPr>
      <w:r>
        <w:rPr>
          <w:rFonts w:ascii="Arial" w:hAnsi="Arial"/>
          <w:color w:val="525252"/>
          <w:sz w:val="13"/>
        </w:rPr>
        <w:t>Prohibited actions include discrimination and sexual harassment; drug and alcohol abuse; misuse of government purchase cards; misuse of government computers, vehicles, and other equipment; taking bribes; conducting personal business at work; and criminal behavior off-duty that reflect adversely on USAF employment.</w:t>
      </w:r>
    </w:p>
    <w:p>
      <w:pPr>
        <w:spacing w:after="20" w:line="223" w:lineRule="auto"/>
        <w:jc w:val="right"/>
        <w:bidi/>
      </w:pPr>
      <w:r>
        <w:rPr>
          <w:rFonts w:ascii="Arial" w:hAnsi="Arial"/>
          <w:sz w:val="16"/>
        </w:rPr>
        <w:t>206.16  USAF تلاش نمی‌کند همه اشکال احتمالی رفتار نامناسب را فهرست کند، اما به‌کارکنان تاکید می‌کند که رفتار نادرست قابل تحمل نخواهد بود.</w:t>
      </w:r>
    </w:p>
    <w:p>
      <w:pPr>
        <w:spacing w:after="28" w:line="216" w:lineRule="auto"/>
        <w:ind w:left="259"/>
        <w:jc w:val="left"/>
      </w:pPr>
      <w:r>
        <w:rPr>
          <w:rFonts w:ascii="Arial" w:hAnsi="Arial"/>
          <w:color w:val="525252"/>
          <w:sz w:val="13"/>
        </w:rPr>
        <w:t>The USAF does not attempt to list all possible forms of improper conduct but emphasizes to employees that misconduct will not be tolerated.</w:t>
      </w:r>
    </w:p>
    <w:p>
      <w:pPr>
        <w:spacing w:after="20" w:line="223" w:lineRule="auto"/>
        <w:jc w:val="right"/>
        <w:bidi/>
      </w:pPr>
      <w:r>
        <w:rPr>
          <w:rFonts w:ascii="Arial" w:hAnsi="Arial"/>
          <w:sz w:val="16"/>
        </w:rPr>
        <w:t>206.17  دستمزد غیرنظامی: توجه: برخی از کارمندان غیرنظامی از طریق سیستم‌های پرسنلی جایگزین مانند پروژه نمایشی اکتساب یا سیستم کارکنان اطلاعات غیرنظامی دفاعی حقوق می‌گیرند.</w:t>
      </w:r>
    </w:p>
    <w:p>
      <w:pPr>
        <w:spacing w:after="28" w:line="216" w:lineRule="auto"/>
        <w:ind w:left="259"/>
        <w:jc w:val="left"/>
      </w:pPr>
      <w:r>
        <w:rPr>
          <w:rFonts w:ascii="Arial" w:hAnsi="Arial"/>
          <w:color w:val="525252"/>
          <w:sz w:val="13"/>
        </w:rPr>
        <w:t>Civilian Pay: Note: Some civilian employees are paid through alternative personnel systems like the Acquisition Demonstration Project or Defense Civilian Intelligence Personnel System.</w:t>
      </w:r>
    </w:p>
    <w:p>
      <w:pPr>
        <w:spacing w:after="20" w:line="223" w:lineRule="auto"/>
        <w:jc w:val="right"/>
        <w:bidi/>
      </w:pPr>
      <w:r>
        <w:rPr>
          <w:rFonts w:ascii="Arial" w:hAnsi="Arial"/>
          <w:sz w:val="16"/>
        </w:rPr>
        <w:t>206.18  برای کسب اطلاعات بیشتر در مورد نحوه مدیریت پرداخت غیرنظامی تحت یک سیستم پرسنل جایگزین، باید از بخش‌های خدمات پرسنل غیرنظامی مشورت شود.</w:t>
      </w:r>
    </w:p>
    <w:p>
      <w:pPr>
        <w:spacing w:after="28" w:line="216" w:lineRule="auto"/>
        <w:ind w:left="259"/>
        <w:jc w:val="left"/>
      </w:pPr>
      <w:r>
        <w:rPr>
          <w:rFonts w:ascii="Arial" w:hAnsi="Arial"/>
          <w:color w:val="525252"/>
          <w:sz w:val="13"/>
        </w:rPr>
        <w:t>Servicing civilian personnel sections should be consulted for additional information concerning how civilian pay is administered under an alternative personnel system.</w:t>
      </w:r>
    </w:p>
    <w:p>
      <w:pPr>
        <w:spacing w:before="60" w:after="28"/>
        <w:jc w:val="right"/>
        <w:bidi/>
      </w:pPr>
      <w:r>
        <w:rPr>
          <w:b/>
          <w:color w:val="1F4D78"/>
          <w:sz w:val="18"/>
        </w:rPr>
        <w:t>11.26. پرداخت غیرنظامی</w:t>
      </w:r>
    </w:p>
    <w:p>
      <w:pPr>
        <w:spacing w:after="20"/>
        <w:ind w:left="259"/>
        <w:jc w:val="left"/>
      </w:pPr>
      <w:r>
        <w:rPr>
          <w:color w:val="555555"/>
          <w:sz w:val="12"/>
        </w:rPr>
        <w:t>11.26. Civilian Pay</w:t>
      </w:r>
    </w:p>
    <w:p>
      <w:pPr>
        <w:spacing w:after="20" w:line="223" w:lineRule="auto"/>
        <w:jc w:val="right"/>
        <w:bidi/>
      </w:pPr>
      <w:r>
        <w:rPr>
          <w:rFonts w:ascii="Arial" w:hAnsi="Arial"/>
          <w:sz w:val="16"/>
        </w:rPr>
        <w:t>206.20  دستمزد کارمندان برنامه زمانی عمومی به‌عنوان حقوق سالانه بیان می‌شود.</w:t>
      </w:r>
    </w:p>
    <w:p>
      <w:pPr>
        <w:spacing w:after="28" w:line="216" w:lineRule="auto"/>
        <w:ind w:left="259"/>
        <w:jc w:val="left"/>
      </w:pPr>
      <w:r>
        <w:rPr>
          <w:rFonts w:ascii="Arial" w:hAnsi="Arial"/>
          <w:color w:val="525252"/>
          <w:sz w:val="13"/>
        </w:rPr>
        <w:t>General Schedule employee pay is expressed as an annual salary.</w:t>
      </w:r>
    </w:p>
    <w:p>
      <w:pPr>
        <w:spacing w:after="20" w:line="223" w:lineRule="auto"/>
        <w:jc w:val="right"/>
        <w:bidi/>
      </w:pPr>
      <w:r>
        <w:rPr>
          <w:rFonts w:ascii="Arial" w:hAnsi="Arial"/>
          <w:sz w:val="16"/>
        </w:rPr>
        <w:t>206.21  نمرات برنامه عمومی دارای ۱۰ مرحله در هر درجه است.</w:t>
      </w:r>
    </w:p>
    <w:p>
      <w:pPr>
        <w:spacing w:after="28" w:line="216" w:lineRule="auto"/>
        <w:ind w:left="259"/>
        <w:jc w:val="left"/>
      </w:pPr>
      <w:r>
        <w:rPr>
          <w:rFonts w:ascii="Arial" w:hAnsi="Arial"/>
          <w:color w:val="525252"/>
          <w:sz w:val="13"/>
        </w:rPr>
        <w:t>The General Schedule grades have 10 steps in each grade.</w:t>
      </w:r>
    </w:p>
    <w:p>
      <w:pPr>
        <w:spacing w:after="20" w:line="223" w:lineRule="auto"/>
        <w:jc w:val="right"/>
        <w:bidi/>
      </w:pPr>
      <w:r>
        <w:rPr>
          <w:rFonts w:ascii="Arial" w:hAnsi="Arial"/>
          <w:sz w:val="16"/>
        </w:rPr>
        <w:t>206.22  در مرحله یا مرحله، افزایش‌ها در فواصل یک ساله شروع می‌شود، اما در مراحل بالاتر به فواصل دو و سه ساله آهسته می‌شود.</w:t>
      </w:r>
    </w:p>
    <w:p>
      <w:pPr>
        <w:spacing w:after="28" w:line="216" w:lineRule="auto"/>
        <w:ind w:left="259"/>
        <w:jc w:val="left"/>
      </w:pPr>
      <w:r>
        <w:rPr>
          <w:rFonts w:ascii="Arial" w:hAnsi="Arial"/>
          <w:color w:val="525252"/>
          <w:sz w:val="13"/>
        </w:rPr>
        <w:t>Within grade or step, increases start at one-year intervals, but slow to two- and three-year intervals in the higher steps.</w:t>
      </w:r>
    </w:p>
    <w:p>
      <w:pPr>
        <w:spacing w:after="20" w:line="223" w:lineRule="auto"/>
        <w:jc w:val="right"/>
        <w:bidi/>
      </w:pPr>
      <w:r>
        <w:rPr>
          <w:rFonts w:ascii="Arial" w:hAnsi="Arial"/>
          <w:sz w:val="16"/>
        </w:rPr>
        <w:t>206.23  همه نرخ‌های پرداخت برنامه عمومی در ایالات متحده شامل پرداخت محل است.</w:t>
      </w:r>
    </w:p>
    <w:p>
      <w:pPr>
        <w:spacing w:after="28" w:line="216" w:lineRule="auto"/>
        <w:ind w:left="259"/>
        <w:jc w:val="left"/>
      </w:pPr>
      <w:r>
        <w:rPr>
          <w:rFonts w:ascii="Arial" w:hAnsi="Arial"/>
          <w:color w:val="525252"/>
          <w:sz w:val="13"/>
        </w:rPr>
        <w:t>All General Schedule pay rates in the United States include locality pay.</w:t>
      </w:r>
    </w:p>
    <w:p>
      <w:pPr>
        <w:spacing w:after="20" w:line="223" w:lineRule="auto"/>
        <w:jc w:val="right"/>
        <w:bidi/>
      </w:pPr>
      <w:r>
        <w:rPr>
          <w:rFonts w:ascii="Arial" w:hAnsi="Arial"/>
          <w:sz w:val="16"/>
        </w:rPr>
        <w:t>206.24  نرخ‌های پرداخت در خارج از کشور شامل پرداخت محلی نمی‌شود و تقریبا ۱۰ درصد کمتر از نرخ‌های ایالات متحده است.</w:t>
      </w:r>
    </w:p>
    <w:p>
      <w:pPr>
        <w:spacing w:after="28" w:line="216" w:lineRule="auto"/>
        <w:ind w:left="259"/>
        <w:jc w:val="left"/>
      </w:pPr>
      <w:r>
        <w:rPr>
          <w:rFonts w:ascii="Arial" w:hAnsi="Arial"/>
          <w:color w:val="525252"/>
          <w:sz w:val="13"/>
        </w:rPr>
        <w:t>Pay rates overseas do not include locality pay and are approximately 10 percent lower than United States rates.</w:t>
      </w:r>
    </w:p>
    <w:p>
      <w:pPr>
        <w:spacing w:after="20" w:line="223" w:lineRule="auto"/>
        <w:jc w:val="right"/>
        <w:bidi/>
      </w:pPr>
      <w:r>
        <w:rPr>
          <w:rFonts w:ascii="Arial" w:hAnsi="Arial"/>
          <w:sz w:val="16"/>
        </w:rPr>
        <w:t>206.25  مقیاس‌های دستمزد برنامه زمانی عمومی معمولا در ژانویه از طریق فرآیند قانونگذاری افزایش می‌یابد.</w:t>
      </w:r>
    </w:p>
    <w:p>
      <w:pPr>
        <w:spacing w:after="28" w:line="216" w:lineRule="auto"/>
        <w:ind w:left="259"/>
        <w:jc w:val="left"/>
      </w:pPr>
      <w:r>
        <w:rPr>
          <w:rFonts w:ascii="Arial" w:hAnsi="Arial"/>
          <w:color w:val="525252"/>
          <w:sz w:val="13"/>
        </w:rPr>
        <w:t>General Schedule pay scales normally increase in January through the legislative process.</w:t>
      </w:r>
    </w:p>
    <w:p>
      <w:r>
        <w:br w:type="page"/>
      </w:r>
    </w:p>
    <w:p>
      <w:pPr>
        <w:spacing w:after="60"/>
        <w:jc w:val="right"/>
        <w:bidi/>
      </w:pPr>
      <w:r>
        <w:rPr>
          <w:rFonts w:ascii="Arial" w:hAnsi="Arial"/>
          <w:b/>
          <w:color w:val="1F4D78"/>
          <w:sz w:val="19"/>
        </w:rPr>
        <w:t>هفتهٔ 207  |  صفحهٔ منبع: 223</w:t>
      </w:r>
    </w:p>
    <w:p>
      <w:pPr>
        <w:spacing w:after="20" w:line="223" w:lineRule="auto"/>
        <w:jc w:val="right"/>
        <w:bidi/>
      </w:pPr>
      <w:r>
        <w:rPr>
          <w:rFonts w:ascii="Arial" w:hAnsi="Arial"/>
          <w:sz w:val="16"/>
        </w:rPr>
        <w:t>207.01  سیستم دستمزد فدرال از درجه دستمزد، رهبر دستمزد و سرپرست دستمزد تشکیل شده است.</w:t>
      </w:r>
    </w:p>
    <w:p>
      <w:pPr>
        <w:spacing w:after="28" w:line="216" w:lineRule="auto"/>
        <w:ind w:left="259"/>
        <w:jc w:val="left"/>
      </w:pPr>
      <w:r>
        <w:rPr>
          <w:rFonts w:ascii="Arial" w:hAnsi="Arial"/>
          <w:color w:val="525252"/>
          <w:sz w:val="13"/>
        </w:rPr>
        <w:t>The Federal Wage system consists of wage grade, wage leader, and wage supervisor.</w:t>
      </w:r>
    </w:p>
    <w:p>
      <w:pPr>
        <w:spacing w:after="20" w:line="223" w:lineRule="auto"/>
        <w:jc w:val="right"/>
        <w:bidi/>
      </w:pPr>
      <w:r>
        <w:rPr>
          <w:rFonts w:ascii="Arial" w:hAnsi="Arial"/>
          <w:sz w:val="16"/>
        </w:rPr>
        <w:t>207.02  نمرات سیستم دستمزد فدرال دارای پنج مرحله است که در آن افزایش نمرات در فواصل شش ماهه شروع می‌شود و تا فواصل هجده ماهه و دو ساله آهسته می‌شود.</w:t>
      </w:r>
    </w:p>
    <w:p>
      <w:pPr>
        <w:spacing w:after="28" w:line="216" w:lineRule="auto"/>
        <w:ind w:left="259"/>
        <w:jc w:val="left"/>
      </w:pPr>
      <w:r>
        <w:rPr>
          <w:rFonts w:ascii="Arial" w:hAnsi="Arial"/>
          <w:color w:val="525252"/>
          <w:sz w:val="13"/>
        </w:rPr>
        <w:t>Federal Wage system grades have five steps, in which grade increases start at six-month intervals and slow to eighteen-month and two-year intervals.</w:t>
      </w:r>
    </w:p>
    <w:p>
      <w:pPr>
        <w:spacing w:after="20" w:line="223" w:lineRule="auto"/>
        <w:jc w:val="right"/>
        <w:bidi/>
      </w:pPr>
      <w:r>
        <w:rPr>
          <w:rFonts w:ascii="Arial" w:hAnsi="Arial"/>
          <w:sz w:val="16"/>
        </w:rPr>
        <w:t>207.03  پرداخت سیستم دستمزد فدرال به صورت نرخ دستمزد ساعتی بیان می‌شود.</w:t>
      </w:r>
    </w:p>
    <w:p>
      <w:pPr>
        <w:spacing w:after="28" w:line="216" w:lineRule="auto"/>
        <w:ind w:left="259"/>
        <w:jc w:val="left"/>
      </w:pPr>
      <w:r>
        <w:rPr>
          <w:rFonts w:ascii="Arial" w:hAnsi="Arial"/>
          <w:color w:val="525252"/>
          <w:sz w:val="13"/>
        </w:rPr>
        <w:t>The Federal Wage system pay is expressed as hourly wage rates.</w:t>
      </w:r>
    </w:p>
    <w:p>
      <w:pPr>
        <w:spacing w:after="20" w:line="223" w:lineRule="auto"/>
        <w:jc w:val="right"/>
        <w:bidi/>
      </w:pPr>
      <w:r>
        <w:rPr>
          <w:rFonts w:ascii="Arial" w:hAnsi="Arial"/>
          <w:sz w:val="16"/>
        </w:rPr>
        <w:t>207.04  نرخ سیستم دستمزد فدرال بین مناطق محلی بیشتر از برنامه عمومی متفاوت است.</w:t>
      </w:r>
    </w:p>
    <w:p>
      <w:pPr>
        <w:spacing w:after="28" w:line="216" w:lineRule="auto"/>
        <w:ind w:left="259"/>
        <w:jc w:val="left"/>
      </w:pPr>
      <w:r>
        <w:rPr>
          <w:rFonts w:ascii="Arial" w:hAnsi="Arial"/>
          <w:color w:val="525252"/>
          <w:sz w:val="13"/>
        </w:rPr>
        <w:t>Federal Wage system rates vary more between local areas than General Schedule.</w:t>
      </w:r>
    </w:p>
    <w:p>
      <w:pPr>
        <w:spacing w:after="20" w:line="223" w:lineRule="auto"/>
        <w:jc w:val="right"/>
        <w:bidi/>
      </w:pPr>
      <w:r>
        <w:rPr>
          <w:rFonts w:ascii="Arial" w:hAnsi="Arial"/>
          <w:sz w:val="16"/>
        </w:rPr>
        <w:t>207.05  نرخ سیستم دستمزد فدرال نیز ممکن است سالانه افزایش یابد، اما بر اساس منطقه به منطقه در طول سال.</w:t>
      </w:r>
    </w:p>
    <w:p>
      <w:pPr>
        <w:spacing w:after="28" w:line="216" w:lineRule="auto"/>
        <w:ind w:left="259"/>
        <w:jc w:val="left"/>
      </w:pPr>
      <w:r>
        <w:rPr>
          <w:rFonts w:ascii="Arial" w:hAnsi="Arial"/>
          <w:color w:val="525252"/>
          <w:sz w:val="13"/>
        </w:rPr>
        <w:t>Federal Wage system rates may also be increased annually, but on an area-by-area basis throughout the year.</w:t>
      </w:r>
    </w:p>
    <w:p>
      <w:pPr>
        <w:spacing w:after="20" w:line="223" w:lineRule="auto"/>
        <w:jc w:val="right"/>
        <w:bidi/>
      </w:pPr>
      <w:r>
        <w:rPr>
          <w:rFonts w:ascii="Arial" w:hAnsi="Arial"/>
          <w:sz w:val="16"/>
        </w:rPr>
        <w:t>207.06  برای اطلاعات بیشتر در مورد پرداخت غیرنظامی، به AFI ۳۶-۱۲۸، تنظیم پرداخت و کمک هزینه مراجعه کنید.</w:t>
      </w:r>
    </w:p>
    <w:p>
      <w:pPr>
        <w:spacing w:after="28" w:line="216" w:lineRule="auto"/>
        <w:ind w:left="259"/>
        <w:jc w:val="left"/>
      </w:pPr>
      <w:r>
        <w:rPr>
          <w:rFonts w:ascii="Arial" w:hAnsi="Arial"/>
          <w:color w:val="525252"/>
          <w:sz w:val="13"/>
        </w:rPr>
        <w:t>For additional information on civilian pay, refer to AFI 36-128, Pay Setting and Allowances.</w:t>
      </w:r>
    </w:p>
    <w:p>
      <w:pPr>
        <w:spacing w:before="60" w:after="28"/>
        <w:jc w:val="right"/>
        <w:bidi/>
      </w:pPr>
      <w:r>
        <w:rPr>
          <w:b/>
          <w:color w:val="1F4D78"/>
          <w:sz w:val="18"/>
        </w:rPr>
        <w:t>11.27. ساعت کاری</w:t>
      </w:r>
    </w:p>
    <w:p>
      <w:pPr>
        <w:spacing w:after="20"/>
        <w:ind w:left="259"/>
        <w:jc w:val="left"/>
      </w:pPr>
      <w:r>
        <w:rPr>
          <w:color w:val="555555"/>
          <w:sz w:val="12"/>
        </w:rPr>
        <w:t>11.27. Work Hours</w:t>
      </w:r>
    </w:p>
    <w:p>
      <w:pPr>
        <w:spacing w:after="20" w:line="223" w:lineRule="auto"/>
        <w:jc w:val="right"/>
        <w:bidi/>
      </w:pPr>
      <w:r>
        <w:rPr>
          <w:rFonts w:ascii="Arial" w:hAnsi="Arial"/>
          <w:sz w:val="16"/>
        </w:rPr>
        <w:t>207.08  برنامه‌های کاری غیرنظامی با عباراتی مانند هفته کاری اداری، هفته کاری پایه، تور منظم وظیفه، تور غیرمعمول وظیفه، و تور نیمه‌وقت وظیفه تعریف می‌شوند.</w:t>
      </w:r>
    </w:p>
    <w:p>
      <w:pPr>
        <w:spacing w:after="28" w:line="216" w:lineRule="auto"/>
        <w:ind w:left="259"/>
        <w:jc w:val="left"/>
      </w:pPr>
      <w:r>
        <w:rPr>
          <w:rFonts w:ascii="Arial" w:hAnsi="Arial"/>
          <w:color w:val="525252"/>
          <w:sz w:val="13"/>
        </w:rPr>
        <w:t>Civilian work schedules are defined in such terms as administrative workweek, basic workweek, regular tour of duty, uncommon tour of duty, and part-time tour of duty.</w:t>
      </w:r>
    </w:p>
    <w:p>
      <w:pPr>
        <w:spacing w:after="20" w:line="223" w:lineRule="auto"/>
        <w:jc w:val="right"/>
        <w:bidi/>
      </w:pPr>
      <w:r>
        <w:rPr>
          <w:rFonts w:ascii="Arial" w:hAnsi="Arial"/>
          <w:sz w:val="16"/>
        </w:rPr>
        <w:t>207.09  بیشتر غیرنظامیان در یک تور عادی کار، که معمولا پنج روز هشت ساعته است، از دوشنبه تا جمعه کار می‌کنند.</w:t>
      </w:r>
    </w:p>
    <w:p>
      <w:pPr>
        <w:spacing w:after="28" w:line="216" w:lineRule="auto"/>
        <w:ind w:left="259"/>
        <w:jc w:val="left"/>
      </w:pPr>
      <w:r>
        <w:rPr>
          <w:rFonts w:ascii="Arial" w:hAnsi="Arial"/>
          <w:color w:val="525252"/>
          <w:sz w:val="13"/>
        </w:rPr>
        <w:t>Most civilians work a regular tour of duty, which is normally five eight-hour days, Monday through Friday.</w:t>
      </w:r>
    </w:p>
    <w:p>
      <w:pPr>
        <w:spacing w:after="20" w:line="223" w:lineRule="auto"/>
        <w:jc w:val="right"/>
        <w:bidi/>
      </w:pPr>
      <w:r>
        <w:rPr>
          <w:rFonts w:ascii="Arial" w:hAnsi="Arial"/>
          <w:sz w:val="16"/>
        </w:rPr>
        <w:t>207.10  تورهای غیرمعمول وظیفه (یک هفته کاری ۴۰ ساعته که شامل شنبه و/یا یکشنبه یا کمتر از پنج روز می‌شود، اما بیش از شش روز از یک هفته کاری هفت روزه اداری نیست) در صورت لزوم برای انجام مأموریت مجاز هستند.</w:t>
      </w:r>
    </w:p>
    <w:p>
      <w:pPr>
        <w:spacing w:after="28" w:line="216" w:lineRule="auto"/>
        <w:ind w:left="259"/>
        <w:jc w:val="left"/>
      </w:pPr>
      <w:r>
        <w:rPr>
          <w:rFonts w:ascii="Arial" w:hAnsi="Arial"/>
          <w:color w:val="525252"/>
          <w:sz w:val="13"/>
        </w:rPr>
        <w:t>Uncommon tours of duty (a 40-hour basic workweek that includes Saturday and/or Sunday or fewer than five days, but not more than six days of a seven-day administrative workweek) are authorized when necessary for mission accomplishment.</w:t>
      </w:r>
    </w:p>
    <w:p>
      <w:pPr>
        <w:spacing w:after="20" w:line="223" w:lineRule="auto"/>
        <w:jc w:val="right"/>
        <w:bidi/>
      </w:pPr>
      <w:r>
        <w:rPr>
          <w:rFonts w:ascii="Arial" w:hAnsi="Arial"/>
          <w:sz w:val="16"/>
        </w:rPr>
        <w:t>207.11  شرایط خاص اجازه برگزاری تورهای نیمه وقت، متناوب یا ویژه را می‌دهد.</w:t>
      </w:r>
    </w:p>
    <w:p>
      <w:pPr>
        <w:spacing w:after="28" w:line="216" w:lineRule="auto"/>
        <w:ind w:left="259"/>
        <w:jc w:val="left"/>
      </w:pPr>
      <w:r>
        <w:rPr>
          <w:rFonts w:ascii="Arial" w:hAnsi="Arial"/>
          <w:color w:val="525252"/>
          <w:sz w:val="13"/>
        </w:rPr>
        <w:t>Special circumstances permit part-time, intermittent, or special tours of duty.</w:t>
      </w:r>
    </w:p>
    <w:p>
      <w:pPr>
        <w:spacing w:after="20" w:line="223" w:lineRule="auto"/>
        <w:jc w:val="right"/>
        <w:bidi/>
      </w:pPr>
      <w:r>
        <w:rPr>
          <w:rFonts w:ascii="Arial" w:hAnsi="Arial"/>
          <w:sz w:val="16"/>
        </w:rPr>
        <w:t>207.12  فرماندهان نصب و مستاجر، با دستور کتبی، ساعات کاری روزانه را تعیین می‌کنند تا شامل دوره‌های استراحت و ناهار باشد.</w:t>
      </w:r>
    </w:p>
    <w:p>
      <w:pPr>
        <w:spacing w:after="28" w:line="216" w:lineRule="auto"/>
        <w:ind w:left="259"/>
        <w:jc w:val="left"/>
      </w:pPr>
      <w:r>
        <w:rPr>
          <w:rFonts w:ascii="Arial" w:hAnsi="Arial"/>
          <w:color w:val="525252"/>
          <w:sz w:val="13"/>
        </w:rPr>
        <w:t>Installation and tenant commanders establish, by written order, daily work hours to include designated rest and lunch periods.</w:t>
      </w:r>
    </w:p>
    <w:p>
      <w:pPr>
        <w:spacing w:after="20" w:line="223" w:lineRule="auto"/>
        <w:jc w:val="right"/>
        <w:bidi/>
      </w:pPr>
      <w:r>
        <w:rPr>
          <w:rFonts w:ascii="Arial" w:hAnsi="Arial"/>
          <w:sz w:val="16"/>
        </w:rPr>
        <w:t>207.13  دو نوع برنامه کاری جایگزین توسط فرماندهان سازمان قابل اجراست.</w:t>
      </w:r>
    </w:p>
    <w:p>
      <w:pPr>
        <w:spacing w:after="28" w:line="216" w:lineRule="auto"/>
        <w:ind w:left="259"/>
        <w:jc w:val="left"/>
      </w:pPr>
      <w:r>
        <w:rPr>
          <w:rFonts w:ascii="Arial" w:hAnsi="Arial"/>
          <w:color w:val="525252"/>
          <w:sz w:val="13"/>
        </w:rPr>
        <w:t>Two types of alternate work schedules can be implemented by organization commanders.</w:t>
      </w:r>
    </w:p>
    <w:p>
      <w:pPr>
        <w:spacing w:after="20" w:line="223" w:lineRule="auto"/>
        <w:jc w:val="right"/>
        <w:bidi/>
      </w:pPr>
      <w:r>
        <w:rPr>
          <w:rFonts w:ascii="Arial" w:hAnsi="Arial"/>
          <w:sz w:val="16"/>
        </w:rPr>
        <w:t>207.14  برنامه کاری انعطاف پذیر به‌کارمندان اجازه می‌دهد کار را در زمان‌های مختلف شروع و پایان دهند.</w:t>
      </w:r>
    </w:p>
    <w:p>
      <w:pPr>
        <w:spacing w:after="28" w:line="216" w:lineRule="auto"/>
        <w:ind w:left="259"/>
        <w:jc w:val="left"/>
      </w:pPr>
      <w:r>
        <w:rPr>
          <w:rFonts w:ascii="Arial" w:hAnsi="Arial"/>
          <w:color w:val="525252"/>
          <w:sz w:val="13"/>
        </w:rPr>
        <w:t>Flexible work schedules allow employees to start and end work at different times.</w:t>
      </w:r>
    </w:p>
    <w:p>
      <w:pPr>
        <w:spacing w:after="20" w:line="223" w:lineRule="auto"/>
        <w:jc w:val="right"/>
        <w:bidi/>
      </w:pPr>
      <w:r>
        <w:rPr>
          <w:rFonts w:ascii="Arial" w:hAnsi="Arial"/>
          <w:sz w:val="16"/>
        </w:rPr>
        <w:t>207.15  برنامه‌های کاری فشرده ۸۰ ساعت در یک دوره پرداخت در کمتر از ۱۰ روز کاری را پوشش می‌دهد.</w:t>
      </w:r>
    </w:p>
    <w:p>
      <w:pPr>
        <w:spacing w:after="28" w:line="216" w:lineRule="auto"/>
        <w:ind w:left="259"/>
        <w:jc w:val="left"/>
      </w:pPr>
      <w:r>
        <w:rPr>
          <w:rFonts w:ascii="Arial" w:hAnsi="Arial"/>
          <w:color w:val="525252"/>
          <w:sz w:val="13"/>
        </w:rPr>
        <w:t>Compressed work schedules cover 80 hours in a pay period in fewer than 10 workdays.</w:t>
      </w:r>
    </w:p>
    <w:p>
      <w:pPr>
        <w:spacing w:after="20" w:line="223" w:lineRule="auto"/>
        <w:jc w:val="right"/>
        <w:bidi/>
      </w:pPr>
      <w:r>
        <w:rPr>
          <w:rFonts w:ascii="Arial" w:hAnsi="Arial"/>
          <w:sz w:val="16"/>
        </w:rPr>
        <w:t>207.16  رایج‌ترین برنامه دارای چهار روز نه ساعته در هر هفته، یک روز هشت ساعته در یک هفته و یک روز تعطیل معمولی در هفته دیگر است.</w:t>
      </w:r>
    </w:p>
    <w:p>
      <w:pPr>
        <w:spacing w:after="28" w:line="216" w:lineRule="auto"/>
        <w:ind w:left="259"/>
        <w:jc w:val="left"/>
      </w:pPr>
      <w:r>
        <w:rPr>
          <w:rFonts w:ascii="Arial" w:hAnsi="Arial"/>
          <w:color w:val="525252"/>
          <w:sz w:val="13"/>
        </w:rPr>
        <w:t>The most common schedule has four nine-hour days each week, an eight-hour day in one week, and a regular day off in the other week.</w:t>
      </w:r>
    </w:p>
    <w:p>
      <w:pPr>
        <w:spacing w:after="20" w:line="223" w:lineRule="auto"/>
        <w:jc w:val="right"/>
        <w:bidi/>
      </w:pPr>
      <w:r>
        <w:rPr>
          <w:rFonts w:ascii="Arial" w:hAnsi="Arial"/>
          <w:sz w:val="16"/>
        </w:rPr>
        <w:t>207.17  برای اطلاعات بیشتر در مورد ساعات کاری، به دودی۱۴۰۰.۲۵و۶۱۰_DAFI۳۶-۱۵۲، ساعات کاری و رعایت تعطیلات مراجعه کنید.</w:t>
      </w:r>
    </w:p>
    <w:p>
      <w:pPr>
        <w:spacing w:after="28" w:line="216" w:lineRule="auto"/>
        <w:ind w:left="259"/>
        <w:jc w:val="left"/>
      </w:pPr>
      <w:r>
        <w:rPr>
          <w:rFonts w:ascii="Arial" w:hAnsi="Arial"/>
          <w:color w:val="525252"/>
          <w:sz w:val="13"/>
        </w:rPr>
        <w:t>For additional information on work hours, refer to DoDI1400.25V610_DAFI36-152, Hours of Work and Holiday Observances.</w:t>
      </w:r>
    </w:p>
    <w:p>
      <w:pPr>
        <w:spacing w:before="60" w:after="28"/>
        <w:jc w:val="right"/>
        <w:bidi/>
      </w:pPr>
      <w:r>
        <w:rPr>
          <w:b/>
          <w:color w:val="1F4D78"/>
          <w:sz w:val="18"/>
        </w:rPr>
        <w:t>11.28. غیبت و ترک</w:t>
      </w:r>
    </w:p>
    <w:p>
      <w:pPr>
        <w:spacing w:after="20"/>
        <w:ind w:left="259"/>
        <w:jc w:val="left"/>
      </w:pPr>
      <w:r>
        <w:rPr>
          <w:color w:val="555555"/>
          <w:sz w:val="12"/>
        </w:rPr>
        <w:t>11.28. Absence and Leave</w:t>
      </w:r>
    </w:p>
    <w:p>
      <w:pPr>
        <w:spacing w:after="20" w:line="223" w:lineRule="auto"/>
        <w:jc w:val="right"/>
        <w:bidi/>
      </w:pPr>
      <w:r>
        <w:rPr>
          <w:rFonts w:ascii="Arial" w:hAnsi="Arial"/>
          <w:sz w:val="16"/>
        </w:rPr>
        <w:t>207.19  کارمندان غیرنظامی هر سال ۱۳ روز مرخصی استعلاجی و ۱۳، ۲۰ یا ۲۶ روز مرخصی سالانه بسته به مدت خدمتشان دریافت می‌کنند.</w:t>
      </w:r>
    </w:p>
    <w:p>
      <w:pPr>
        <w:spacing w:after="28" w:line="216" w:lineRule="auto"/>
        <w:ind w:left="259"/>
        <w:jc w:val="left"/>
      </w:pPr>
      <w:r>
        <w:rPr>
          <w:rFonts w:ascii="Arial" w:hAnsi="Arial"/>
          <w:color w:val="525252"/>
          <w:sz w:val="13"/>
        </w:rPr>
        <w:t>Civilian employees earn 13 days of sick leave each year, and 13, 20, or 26 days of annual leave, depending on their length of service.</w:t>
      </w:r>
    </w:p>
    <w:p>
      <w:pPr>
        <w:spacing w:after="20" w:line="223" w:lineRule="auto"/>
        <w:jc w:val="right"/>
        <w:bidi/>
      </w:pPr>
      <w:r>
        <w:rPr>
          <w:rFonts w:ascii="Arial" w:hAnsi="Arial"/>
          <w:sz w:val="16"/>
        </w:rPr>
        <w:t>207.20  هیچ سقفی برای تجمع مرخصی استعلاجی وجود ندارد.</w:t>
      </w:r>
    </w:p>
    <w:p>
      <w:pPr>
        <w:spacing w:after="28" w:line="216" w:lineRule="auto"/>
        <w:ind w:left="259"/>
        <w:jc w:val="left"/>
      </w:pPr>
      <w:r>
        <w:rPr>
          <w:rFonts w:ascii="Arial" w:hAnsi="Arial"/>
          <w:color w:val="525252"/>
          <w:sz w:val="13"/>
        </w:rPr>
        <w:t>There is no cap on the accumulation of sick leave.</w:t>
      </w:r>
    </w:p>
    <w:p>
      <w:pPr>
        <w:spacing w:after="20" w:line="223" w:lineRule="auto"/>
        <w:jc w:val="right"/>
        <w:bidi/>
      </w:pPr>
      <w:r>
        <w:rPr>
          <w:rFonts w:ascii="Arial" w:hAnsi="Arial"/>
          <w:sz w:val="16"/>
        </w:rPr>
        <w:t>207.21  تجمع مرخصی سالانه برای اکثر کارمندان غیرنظامی ۳۰ روز محدود شده است.</w:t>
      </w:r>
    </w:p>
    <w:p>
      <w:pPr>
        <w:spacing w:after="28" w:line="216" w:lineRule="auto"/>
        <w:ind w:left="259"/>
        <w:jc w:val="left"/>
      </w:pPr>
      <w:r>
        <w:rPr>
          <w:rFonts w:ascii="Arial" w:hAnsi="Arial"/>
          <w:color w:val="525252"/>
          <w:sz w:val="13"/>
        </w:rPr>
        <w:t>Annual leave accumulation is capped at 30 days for most civilian employees.</w:t>
      </w:r>
    </w:p>
    <w:p>
      <w:pPr>
        <w:spacing w:after="20" w:line="223" w:lineRule="auto"/>
        <w:jc w:val="right"/>
        <w:bidi/>
      </w:pPr>
      <w:r>
        <w:rPr>
          <w:rFonts w:ascii="Arial" w:hAnsi="Arial"/>
          <w:sz w:val="16"/>
        </w:rPr>
        <w:t>207.22  کارمندانی که در خارج از کشور کار می‌کنند می‌توانند ۴۵ روز مرخصی سالانه جمع‌آوری کنند.</w:t>
      </w:r>
    </w:p>
    <w:p>
      <w:pPr>
        <w:spacing w:after="28" w:line="216" w:lineRule="auto"/>
        <w:ind w:left="259"/>
        <w:jc w:val="left"/>
      </w:pPr>
      <w:r>
        <w:rPr>
          <w:rFonts w:ascii="Arial" w:hAnsi="Arial"/>
          <w:color w:val="525252"/>
          <w:sz w:val="13"/>
        </w:rPr>
        <w:t>Employees working overseas can accumulate 45 days of annual leave.</w:t>
      </w:r>
    </w:p>
    <w:p>
      <w:pPr>
        <w:spacing w:after="20" w:line="223" w:lineRule="auto"/>
        <w:jc w:val="right"/>
        <w:bidi/>
      </w:pPr>
      <w:r>
        <w:rPr>
          <w:rFonts w:ascii="Arial" w:hAnsi="Arial"/>
          <w:sz w:val="16"/>
        </w:rPr>
        <w:t>207.23  مرخصی سالیانه برای تعطیلات و/یا دلایل شخصی استفاده می‌شود و باید قبل از گرفتن تأیید شود، مگر اینکه شرایط اضطراری وجود داشته باشد.</w:t>
      </w:r>
    </w:p>
    <w:p>
      <w:pPr>
        <w:spacing w:after="28" w:line="216" w:lineRule="auto"/>
        <w:ind w:left="259"/>
        <w:jc w:val="left"/>
      </w:pPr>
      <w:r>
        <w:rPr>
          <w:rFonts w:ascii="Arial" w:hAnsi="Arial"/>
          <w:color w:val="525252"/>
          <w:sz w:val="13"/>
        </w:rPr>
        <w:t>Annual leave is used for vacations and/or personal reasons, and should be approved in advance of being taken, unless emergency conditions exist.</w:t>
      </w:r>
    </w:p>
    <w:p>
      <w:pPr>
        <w:spacing w:after="20" w:line="223" w:lineRule="auto"/>
        <w:jc w:val="right"/>
        <w:bidi/>
      </w:pPr>
      <w:r>
        <w:rPr>
          <w:rFonts w:ascii="Arial" w:hAnsi="Arial"/>
          <w:sz w:val="16"/>
        </w:rPr>
        <w:t>207.24  مرخصی با افزایش ۱۵ دقیقه شارژ و گرفته می‌شود.</w:t>
      </w:r>
    </w:p>
    <w:p>
      <w:pPr>
        <w:spacing w:after="28" w:line="216" w:lineRule="auto"/>
        <w:ind w:left="259"/>
        <w:jc w:val="left"/>
      </w:pPr>
      <w:r>
        <w:rPr>
          <w:rFonts w:ascii="Arial" w:hAnsi="Arial"/>
          <w:color w:val="525252"/>
          <w:sz w:val="13"/>
        </w:rPr>
        <w:t>Leave is charged and taken in 15-minute increments.</w:t>
      </w:r>
    </w:p>
    <w:p>
      <w:pPr>
        <w:spacing w:after="20" w:line="223" w:lineRule="auto"/>
        <w:jc w:val="right"/>
        <w:bidi/>
      </w:pPr>
      <w:r>
        <w:rPr>
          <w:rFonts w:ascii="Arial" w:hAnsi="Arial"/>
          <w:sz w:val="16"/>
        </w:rPr>
        <w:t>207.25  مرخصی استعلاجی برای قرارهای پزشکی یا مراقبت از یکی از اعضای خانواده باید از قبل برنامه‌ریزی و تأیید شود، مگر در موارد اضطراری.</w:t>
      </w:r>
    </w:p>
    <w:p>
      <w:pPr>
        <w:spacing w:after="28" w:line="216" w:lineRule="auto"/>
        <w:ind w:left="259"/>
        <w:jc w:val="left"/>
      </w:pPr>
      <w:r>
        <w:rPr>
          <w:rFonts w:ascii="Arial" w:hAnsi="Arial"/>
          <w:color w:val="525252"/>
          <w:sz w:val="13"/>
        </w:rPr>
        <w:t>Sick leave for medical appointments or care for a family member should be scheduled and approved in advance, except in cases of emergency.</w:t>
      </w:r>
    </w:p>
    <w:p>
      <w:pPr>
        <w:spacing w:after="20" w:line="223" w:lineRule="auto"/>
        <w:jc w:val="right"/>
        <w:bidi/>
      </w:pPr>
      <w:r>
        <w:rPr>
          <w:rFonts w:ascii="Arial" w:hAnsi="Arial"/>
          <w:sz w:val="16"/>
        </w:rPr>
        <w:t>207.26  بیماری یا آسیبی که کارمند را از کار دور می‌کند باید در دو ساعت اول کار به سرپرست گزارش شود.</w:t>
      </w:r>
    </w:p>
    <w:p>
      <w:pPr>
        <w:spacing w:after="28" w:line="216" w:lineRule="auto"/>
        <w:ind w:left="259"/>
        <w:jc w:val="left"/>
      </w:pPr>
      <w:r>
        <w:rPr>
          <w:rFonts w:ascii="Arial" w:hAnsi="Arial"/>
          <w:color w:val="525252"/>
          <w:sz w:val="13"/>
        </w:rPr>
        <w:t>Illness or injury that keeps an employee away from work should be reported to a supervisor during the first two hours of the duty day.</w:t>
      </w:r>
    </w:p>
    <w:p>
      <w:pPr>
        <w:spacing w:after="20" w:line="223" w:lineRule="auto"/>
        <w:jc w:val="right"/>
        <w:bidi/>
      </w:pPr>
      <w:r>
        <w:rPr>
          <w:rFonts w:ascii="Arial" w:hAnsi="Arial"/>
          <w:sz w:val="16"/>
        </w:rPr>
        <w:t>207.27  غیبت برای انجام وظیفه هیئت منصفه، اخراج به دلیل شرایط آب و هوایی شدید، یا غیبت با معذوریت توسط فرمانده نصب، مشمول مرخصی سالانه نمی‌شود.</w:t>
      </w:r>
    </w:p>
    <w:p>
      <w:pPr>
        <w:spacing w:after="28" w:line="216" w:lineRule="auto"/>
        <w:ind w:left="259"/>
        <w:jc w:val="left"/>
      </w:pPr>
      <w:r>
        <w:rPr>
          <w:rFonts w:ascii="Arial" w:hAnsi="Arial"/>
          <w:color w:val="525252"/>
          <w:sz w:val="13"/>
        </w:rPr>
        <w:t>Absence for jury duty, dismissals for extreme weather conditions, or absences excused by the installation commander are not charged to annual leave.</w:t>
      </w:r>
    </w:p>
    <w:p>
      <w:pPr>
        <w:spacing w:after="20" w:line="223" w:lineRule="auto"/>
        <w:jc w:val="right"/>
        <w:bidi/>
      </w:pPr>
      <w:r>
        <w:rPr>
          <w:rFonts w:ascii="Arial" w:hAnsi="Arial"/>
          <w:sz w:val="16"/>
        </w:rPr>
        <w:t>207.28  کارمندانی که زمان جبرانی برای جوایز اضافه کاری یا وقت مرخصی کسب کرده‌اند، باید غیبت خود را برنامه‌ریزی کنند تا از آن زمان مانند مرخصی سالانه استفاده کنند.</w:t>
      </w:r>
    </w:p>
    <w:p>
      <w:pPr>
        <w:spacing w:after="28" w:line="216" w:lineRule="auto"/>
        <w:ind w:left="259"/>
        <w:jc w:val="left"/>
      </w:pPr>
      <w:r>
        <w:rPr>
          <w:rFonts w:ascii="Arial" w:hAnsi="Arial"/>
          <w:color w:val="525252"/>
          <w:sz w:val="13"/>
        </w:rPr>
        <w:t>Employees who have earned compensatory time for overtime or time-off awards should schedule absences to use that time like they schedule annual leave.</w:t>
      </w:r>
    </w:p>
    <w:p>
      <w:pPr>
        <w:spacing w:after="20" w:line="223" w:lineRule="auto"/>
        <w:jc w:val="right"/>
        <w:bidi/>
      </w:pPr>
      <w:r>
        <w:rPr>
          <w:rFonts w:ascii="Arial" w:hAnsi="Arial"/>
          <w:sz w:val="16"/>
        </w:rPr>
        <w:t>207.29  برای اطلاعات بیشتر در مورد غیبت و مرخصی، به دودی۱۴۰۰.۲۵و۶۳۰_AFI۳۶-۸۱۵ مراجعه کنید.</w:t>
      </w:r>
    </w:p>
    <w:p>
      <w:pPr>
        <w:spacing w:after="28" w:line="216" w:lineRule="auto"/>
        <w:ind w:left="259"/>
        <w:jc w:val="left"/>
      </w:pPr>
      <w:r>
        <w:rPr>
          <w:rFonts w:ascii="Arial" w:hAnsi="Arial"/>
          <w:color w:val="525252"/>
          <w:sz w:val="13"/>
        </w:rPr>
        <w:t>For additional information on absence and leave, refer to DoDI1400.25V630_AFI36-815, Leave.</w:t>
      </w:r>
    </w:p>
    <w:p>
      <w:pPr>
        <w:spacing w:before="60" w:after="28"/>
        <w:jc w:val="right"/>
        <w:bidi/>
      </w:pPr>
      <w:r>
        <w:rPr>
          <w:b/>
          <w:color w:val="1F4D78"/>
          <w:sz w:val="18"/>
        </w:rPr>
        <w:t>11.29. اتحادیه ها و مدیریت کار</w:t>
      </w:r>
    </w:p>
    <w:p>
      <w:pPr>
        <w:spacing w:after="20"/>
        <w:ind w:left="259"/>
        <w:jc w:val="left"/>
      </w:pPr>
      <w:r>
        <w:rPr>
          <w:color w:val="555555"/>
          <w:sz w:val="12"/>
        </w:rPr>
        <w:t>11.29. Unions and Labor Management</w:t>
      </w:r>
    </w:p>
    <w:p>
      <w:pPr>
        <w:spacing w:after="20" w:line="223" w:lineRule="auto"/>
        <w:jc w:val="right"/>
        <w:bidi/>
      </w:pPr>
      <w:r>
        <w:rPr>
          <w:rFonts w:ascii="Arial" w:hAnsi="Arial"/>
          <w:sz w:val="16"/>
        </w:rPr>
        <w:t>207.31  تقریبا ۵۳ درصد از کارمندان غیرنظامی USAF تحت قراردادهای کاری بین اتحادیه‌ها و تأسیسات یا فرماندهی اصلی قرار دارند.</w:t>
      </w:r>
    </w:p>
    <w:p>
      <w:pPr>
        <w:spacing w:after="28" w:line="216" w:lineRule="auto"/>
        <w:ind w:left="259"/>
        <w:jc w:val="left"/>
      </w:pPr>
      <w:r>
        <w:rPr>
          <w:rFonts w:ascii="Arial" w:hAnsi="Arial"/>
          <w:color w:val="525252"/>
          <w:sz w:val="13"/>
        </w:rPr>
        <w:t>Approximately 53 percent of USAF civilian employees are covered by labor agreements between unions and installations or major commands.</w:t>
      </w:r>
    </w:p>
    <w:p>
      <w:pPr>
        <w:spacing w:after="20" w:line="223" w:lineRule="auto"/>
        <w:jc w:val="right"/>
        <w:bidi/>
      </w:pPr>
      <w:r>
        <w:rPr>
          <w:rFonts w:ascii="Arial" w:hAnsi="Arial"/>
          <w:sz w:val="16"/>
        </w:rPr>
        <w:t>207.32  به این ترتیب، آنها عضو واحد چانه زنی هستند، حتی اگر از اعضای اتحادیه پرداخت کننده حقوق نباشند.</w:t>
      </w:r>
    </w:p>
    <w:p>
      <w:pPr>
        <w:spacing w:after="28" w:line="216" w:lineRule="auto"/>
        <w:ind w:left="259"/>
        <w:jc w:val="left"/>
      </w:pPr>
      <w:r>
        <w:rPr>
          <w:rFonts w:ascii="Arial" w:hAnsi="Arial"/>
          <w:color w:val="525252"/>
          <w:sz w:val="13"/>
        </w:rPr>
        <w:t>As such, they are members of the bargaining unit, even if they are not dues-paying union members.</w:t>
      </w:r>
    </w:p>
    <w:p>
      <w:pPr>
        <w:spacing w:after="20" w:line="223" w:lineRule="auto"/>
        <w:jc w:val="right"/>
        <w:bidi/>
      </w:pPr>
      <w:r>
        <w:rPr>
          <w:rFonts w:ascii="Arial" w:hAnsi="Arial"/>
          <w:sz w:val="16"/>
        </w:rPr>
        <w:t>207.33  اتحادیه‌ها طبق قوانین فدرال دارای وضعیت قانونی هستند.</w:t>
      </w:r>
    </w:p>
    <w:p>
      <w:pPr>
        <w:spacing w:after="28" w:line="216" w:lineRule="auto"/>
        <w:ind w:left="259"/>
        <w:jc w:val="left"/>
      </w:pPr>
      <w:r>
        <w:rPr>
          <w:rFonts w:ascii="Arial" w:hAnsi="Arial"/>
          <w:color w:val="525252"/>
          <w:sz w:val="13"/>
        </w:rPr>
        <w:t>Unions have legal status under federal law.</w:t>
      </w:r>
    </w:p>
    <w:p>
      <w:pPr>
        <w:spacing w:after="20" w:line="223" w:lineRule="auto"/>
        <w:jc w:val="right"/>
        <w:bidi/>
      </w:pPr>
      <w:r>
        <w:rPr>
          <w:rFonts w:ascii="Arial" w:hAnsi="Arial"/>
          <w:sz w:val="16"/>
        </w:rPr>
        <w:t>207.34  یک افسر روابط کار یا متخصص در بخش پرسنل غیرنظامی رابط معمول بین سرپرستان و سایر مقامات مدیریت و مقامات اتحادیه است.</w:t>
      </w:r>
    </w:p>
    <w:p>
      <w:pPr>
        <w:spacing w:after="28" w:line="216" w:lineRule="auto"/>
        <w:ind w:left="259"/>
        <w:jc w:val="left"/>
      </w:pPr>
      <w:r>
        <w:rPr>
          <w:rFonts w:ascii="Arial" w:hAnsi="Arial"/>
          <w:color w:val="525252"/>
          <w:sz w:val="13"/>
        </w:rPr>
        <w:t>A labor relations officer or specialist in the civilian personnel section is the usual liaison between supervisors and other management officials and union officials.</w:t>
      </w:r>
    </w:p>
    <w:p>
      <w:pPr>
        <w:spacing w:after="20" w:line="223" w:lineRule="auto"/>
        <w:jc w:val="right"/>
        <w:bidi/>
      </w:pPr>
      <w:r>
        <w:rPr>
          <w:rFonts w:ascii="Arial" w:hAnsi="Arial"/>
          <w:sz w:val="16"/>
        </w:rPr>
        <w:t>207.35  افسر روابط کار برای مدیریت در ارتباطات معمول با اتحادیه و با احزاب خارج از USAF که در مذاکرات قرارداد کار و حل اختلاف نقش دارند صحبت می‌کند.</w:t>
      </w:r>
    </w:p>
    <w:p>
      <w:pPr>
        <w:spacing w:after="28" w:line="216" w:lineRule="auto"/>
        <w:ind w:left="259"/>
        <w:jc w:val="left"/>
      </w:pPr>
      <w:r>
        <w:rPr>
          <w:rFonts w:ascii="Arial" w:hAnsi="Arial"/>
          <w:color w:val="525252"/>
          <w:sz w:val="13"/>
        </w:rPr>
        <w:t>The labor relations officer speaks for management in routine communications with the union and with parties outside the USAF who have roles in labor contract negotiations and dispute resolution.</w:t>
      </w:r>
    </w:p>
    <w:p>
      <w:pPr>
        <w:spacing w:after="20" w:line="223" w:lineRule="auto"/>
        <w:jc w:val="right"/>
        <w:bidi/>
      </w:pPr>
      <w:r>
        <w:rPr>
          <w:rFonts w:ascii="Arial" w:hAnsi="Arial"/>
          <w:sz w:val="16"/>
        </w:rPr>
        <w:t>207.36  سایر مقامات اتحادیه مانند منتخبان و مقامات منصوب می‌توانند برای اتحادیه‌ها اقدام و تعهد کنند.</w:t>
      </w:r>
    </w:p>
    <w:p>
      <w:pPr>
        <w:spacing w:after="28" w:line="216" w:lineRule="auto"/>
        <w:ind w:left="259"/>
        <w:jc w:val="left"/>
      </w:pPr>
      <w:r>
        <w:rPr>
          <w:rFonts w:ascii="Arial" w:hAnsi="Arial"/>
          <w:color w:val="525252"/>
          <w:sz w:val="13"/>
        </w:rPr>
        <w:t>Other union officials, such as elected officers and appointed officials, may act and make commitments for unions.</w:t>
      </w:r>
    </w:p>
    <w:p>
      <w:pPr>
        <w:spacing w:after="20" w:line="223" w:lineRule="auto"/>
        <w:jc w:val="right"/>
        <w:bidi/>
      </w:pPr>
      <w:r>
        <w:rPr>
          <w:rFonts w:ascii="Arial" w:hAnsi="Arial"/>
          <w:sz w:val="16"/>
        </w:rPr>
        <w:t>207.37  برای اطلاعات بیشتر در مورد اتحادیه‌ها و مدیریت کار، به DAFI ۳۶-۷۰۱، لابور-ماناگمنت مراجعه کنید.</w:t>
      </w:r>
    </w:p>
    <w:p>
      <w:pPr>
        <w:spacing w:after="28" w:line="216" w:lineRule="auto"/>
        <w:ind w:left="259"/>
        <w:jc w:val="left"/>
      </w:pPr>
      <w:r>
        <w:rPr>
          <w:rFonts w:ascii="Arial" w:hAnsi="Arial"/>
          <w:color w:val="525252"/>
          <w:sz w:val="13"/>
        </w:rPr>
        <w:t>For additional information on unions and labor management, refer to DAFI 36-701, Labor-Management</w:t>
      </w:r>
    </w:p>
    <w:p>
      <w:r>
        <w:br w:type="page"/>
      </w:r>
    </w:p>
    <w:p>
      <w:pPr>
        <w:spacing w:after="60"/>
        <w:jc w:val="right"/>
        <w:bidi/>
      </w:pPr>
      <w:r>
        <w:rPr>
          <w:rFonts w:ascii="Arial" w:hAnsi="Arial"/>
          <w:b/>
          <w:color w:val="1F4D78"/>
          <w:sz w:val="19"/>
        </w:rPr>
        <w:t>هفتهٔ 208  |  صفحهٔ منبع: 224</w:t>
      </w:r>
    </w:p>
    <w:p>
      <w:pPr>
        <w:spacing w:after="20" w:line="223" w:lineRule="auto"/>
        <w:jc w:val="right"/>
        <w:bidi/>
      </w:pPr>
      <w:r>
        <w:rPr>
          <w:rFonts w:ascii="Arial" w:hAnsi="Arial"/>
          <w:sz w:val="16"/>
        </w:rPr>
        <w:t>208.01  روابط.</w:t>
      </w:r>
    </w:p>
    <w:p>
      <w:pPr>
        <w:spacing w:after="28" w:line="216" w:lineRule="auto"/>
        <w:ind w:left="259"/>
        <w:jc w:val="left"/>
      </w:pPr>
      <w:r>
        <w:rPr>
          <w:rFonts w:ascii="Arial" w:hAnsi="Arial"/>
          <w:color w:val="525252"/>
          <w:sz w:val="13"/>
        </w:rPr>
        <w:t>Relations.</w:t>
      </w:r>
    </w:p>
    <w:p>
      <w:pPr>
        <w:spacing w:before="60" w:after="28"/>
        <w:jc w:val="right"/>
        <w:bidi/>
      </w:pPr>
      <w:r>
        <w:rPr>
          <w:b/>
          <w:color w:val="1F4D78"/>
          <w:sz w:val="18"/>
        </w:rPr>
        <w:t>11.30. حل اختلاف</w:t>
      </w:r>
    </w:p>
    <w:p>
      <w:pPr>
        <w:spacing w:after="20"/>
        <w:ind w:left="259"/>
        <w:jc w:val="left"/>
      </w:pPr>
      <w:r>
        <w:rPr>
          <w:color w:val="555555"/>
          <w:sz w:val="12"/>
        </w:rPr>
        <w:t>11.30. Dispute Resolution</w:t>
      </w:r>
    </w:p>
    <w:p>
      <w:pPr>
        <w:spacing w:after="20" w:line="223" w:lineRule="auto"/>
        <w:jc w:val="right"/>
        <w:bidi/>
      </w:pPr>
      <w:r>
        <w:rPr>
          <w:rFonts w:ascii="Arial" w:hAnsi="Arial"/>
          <w:sz w:val="16"/>
        </w:rPr>
        <w:t>208.03  کارمندان غیرنظامی راه‌های مختلفی برای حل و فصل اختلافات دارند.</w:t>
      </w:r>
    </w:p>
    <w:p>
      <w:pPr>
        <w:spacing w:after="28" w:line="216" w:lineRule="auto"/>
        <w:ind w:left="259"/>
        <w:jc w:val="left"/>
      </w:pPr>
      <w:r>
        <w:rPr>
          <w:rFonts w:ascii="Arial" w:hAnsi="Arial"/>
          <w:color w:val="525252"/>
          <w:sz w:val="13"/>
        </w:rPr>
        <w:t>Civilian employees have a variety of avenues to resolve disputes.</w:t>
      </w:r>
    </w:p>
    <w:p>
      <w:pPr>
        <w:spacing w:after="20" w:line="223" w:lineRule="auto"/>
        <w:jc w:val="right"/>
        <w:bidi/>
      </w:pPr>
      <w:r>
        <w:rPr>
          <w:rFonts w:ascii="Arial" w:hAnsi="Arial"/>
          <w:sz w:val="16"/>
        </w:rPr>
        <w:t>208.04  قراردادهای مدیریت کار باید شامل رویه شکایت با مذاکره باشد تا توسط اعضای واحد چانه زنی استفاده شود.</w:t>
      </w:r>
    </w:p>
    <w:p>
      <w:pPr>
        <w:spacing w:after="28" w:line="216" w:lineRule="auto"/>
        <w:ind w:left="259"/>
        <w:jc w:val="left"/>
      </w:pPr>
      <w:r>
        <w:rPr>
          <w:rFonts w:ascii="Arial" w:hAnsi="Arial"/>
          <w:color w:val="525252"/>
          <w:sz w:val="13"/>
        </w:rPr>
        <w:t>Labor-management contracts must include a negotiated grievance procedure to be used by members of the bargaining unit.</w:t>
      </w:r>
    </w:p>
    <w:p>
      <w:pPr>
        <w:spacing w:after="20" w:line="223" w:lineRule="auto"/>
        <w:jc w:val="right"/>
        <w:bidi/>
      </w:pPr>
      <w:r>
        <w:rPr>
          <w:rFonts w:ascii="Arial" w:hAnsi="Arial"/>
          <w:sz w:val="16"/>
        </w:rPr>
        <w:t>208.05  اکثرا با گزینه‌ای برای جستجوی حل و فصل با استفاده از تسهیل کننده‌ها یا میانجی‌های بی طرف خارجی (حل اختلاف جایگزین) شروع می‌کنند.</w:t>
      </w:r>
    </w:p>
    <w:p>
      <w:pPr>
        <w:spacing w:after="28" w:line="216" w:lineRule="auto"/>
        <w:ind w:left="259"/>
        <w:jc w:val="left"/>
      </w:pPr>
      <w:r>
        <w:rPr>
          <w:rFonts w:ascii="Arial" w:hAnsi="Arial"/>
          <w:color w:val="525252"/>
          <w:sz w:val="13"/>
        </w:rPr>
        <w:t>Most start with an option to seek resolution using outside neutral facilitators or mediators (alternative dispute resolution).</w:t>
      </w:r>
    </w:p>
    <w:p>
      <w:pPr>
        <w:spacing w:after="20" w:line="223" w:lineRule="auto"/>
        <w:jc w:val="right"/>
        <w:bidi/>
      </w:pPr>
      <w:r>
        <w:rPr>
          <w:rFonts w:ascii="Arial" w:hAnsi="Arial"/>
          <w:sz w:val="16"/>
        </w:rPr>
        <w:t>208.06  سرپرستان، مدیران و کارمندانی که تحت پوشش قرارداد دسته جمعی نیستند، یا اعضای واحد چانه زنی نیستند، از روش‌های مختلف شکایت پیروی می‌کنند.</w:t>
      </w:r>
    </w:p>
    <w:p>
      <w:pPr>
        <w:spacing w:after="28" w:line="216" w:lineRule="auto"/>
        <w:ind w:left="259"/>
        <w:jc w:val="left"/>
      </w:pPr>
      <w:r>
        <w:rPr>
          <w:rFonts w:ascii="Arial" w:hAnsi="Arial"/>
          <w:color w:val="525252"/>
          <w:sz w:val="13"/>
        </w:rPr>
        <w:t>Supervisors, managers, and employees who are not covered by a collective bargaining agreement, or who are not members of the bargaining unit, follow different grievance procedures.</w:t>
      </w:r>
    </w:p>
    <w:p>
      <w:pPr>
        <w:spacing w:after="20" w:line="223" w:lineRule="auto"/>
        <w:jc w:val="right"/>
        <w:bidi/>
      </w:pPr>
      <w:r>
        <w:rPr>
          <w:rFonts w:ascii="Arial" w:hAnsi="Arial"/>
          <w:sz w:val="16"/>
        </w:rPr>
        <w:t>208.07  شکایات اداری توسط مقامات USAF، معمولا فرمانده نصب یا مأمور تعیین شده، تصمیم‌گیری می‌شود، اگرچه ممکن است از حقیقت یاب‌های خارجی استفاده شود.</w:t>
      </w:r>
    </w:p>
    <w:p>
      <w:pPr>
        <w:spacing w:after="28" w:line="216" w:lineRule="auto"/>
        <w:ind w:left="259"/>
        <w:jc w:val="left"/>
      </w:pPr>
      <w:r>
        <w:rPr>
          <w:rFonts w:ascii="Arial" w:hAnsi="Arial"/>
          <w:color w:val="525252"/>
          <w:sz w:val="13"/>
        </w:rPr>
        <w:t>Administrative grievances are decided by USAF officials, usually the installation commander or designee, although outside fact finders may be used.</w:t>
      </w:r>
    </w:p>
    <w:p>
      <w:pPr>
        <w:spacing w:after="20" w:line="223" w:lineRule="auto"/>
        <w:jc w:val="right"/>
        <w:bidi/>
      </w:pPr>
      <w:r>
        <w:rPr>
          <w:rFonts w:ascii="Arial" w:hAnsi="Arial"/>
          <w:sz w:val="16"/>
        </w:rPr>
        <w:t>208.08  برای اطلاعات بیشتر در مورد حل و فصل اختلافات و شکایات، به دودی ۱۴۰۰.۲۵، سیستم مدیریت پرسنل غیر نظامی وزارت دفاع، نسخه فعلی، و دودی ۱۴۰۰.۲۵و۷۷۱_DAFI۳۶-۷۰۶، سیستم مدیریت غیرنظامی وزارت دفاع: سیستم شکایات اداری مراجعه کنید.</w:t>
      </w:r>
    </w:p>
    <w:p>
      <w:pPr>
        <w:spacing w:after="28" w:line="216" w:lineRule="auto"/>
        <w:ind w:left="259"/>
        <w:jc w:val="left"/>
      </w:pPr>
      <w:r>
        <w:rPr>
          <w:rFonts w:ascii="Arial" w:hAnsi="Arial"/>
          <w:color w:val="525252"/>
          <w:sz w:val="13"/>
        </w:rPr>
        <w:t>For additional information on dispute resolution and grievances, refer to DoDI 1400.25, DoD Civilian Personnel Management System, current edition, and DoDI 1400.25v771_DAFI36-706, DoD Civilian Management System: Administrative Grievance System.</w:t>
      </w:r>
    </w:p>
    <w:p>
      <w:r>
        <w:br w:type="page"/>
      </w:r>
    </w:p>
    <w:p>
      <w:pPr>
        <w:spacing w:after="60"/>
        <w:jc w:val="right"/>
        <w:bidi/>
      </w:pPr>
      <w:r>
        <w:rPr>
          <w:rFonts w:ascii="Arial" w:hAnsi="Arial"/>
          <w:b/>
          <w:color w:val="1F4D78"/>
          <w:sz w:val="19"/>
        </w:rPr>
        <w:t>هفتهٔ 209  |  صفحهٔ منبع: 225</w:t>
      </w:r>
    </w:p>
    <w:p>
      <w:pPr>
        <w:spacing w:before="60" w:after="28"/>
        <w:jc w:val="right"/>
        <w:bidi/>
      </w:pPr>
      <w:r>
        <w:rPr>
          <w:b/>
          <w:color w:val="1F4D78"/>
          <w:sz w:val="18"/>
        </w:rPr>
        <w:t>فصل 12</w:t>
      </w:r>
    </w:p>
    <w:p>
      <w:pPr>
        <w:spacing w:after="20"/>
        <w:ind w:left="259"/>
        <w:jc w:val="left"/>
      </w:pPr>
      <w:r>
        <w:rPr>
          <w:color w:val="555555"/>
          <w:sz w:val="12"/>
        </w:rPr>
        <w:t>Chapter 12</w:t>
      </w:r>
    </w:p>
    <w:p>
      <w:pPr>
        <w:spacing w:before="60" w:after="28"/>
        <w:jc w:val="right"/>
        <w:bidi/>
      </w:pPr>
      <w:r>
        <w:rPr>
          <w:b/>
          <w:color w:val="1F4D78"/>
          <w:sz w:val="18"/>
        </w:rPr>
        <w:t>مالی، نیروی انسانی و منابع</w:t>
      </w:r>
    </w:p>
    <w:p>
      <w:pPr>
        <w:spacing w:after="20"/>
        <w:ind w:left="259"/>
        <w:jc w:val="left"/>
      </w:pPr>
      <w:r>
        <w:rPr>
          <w:color w:val="555555"/>
          <w:sz w:val="12"/>
        </w:rPr>
        <w:t>FINANCE, MANPOWER, AND RESOURCES</w:t>
      </w:r>
    </w:p>
    <w:p>
      <w:pPr>
        <w:spacing w:before="60" w:after="28"/>
        <w:jc w:val="right"/>
        <w:bidi/>
      </w:pPr>
      <w:r>
        <w:rPr>
          <w:b/>
          <w:color w:val="1F4D78"/>
          <w:sz w:val="18"/>
        </w:rPr>
        <w:t>بخش 12A - مالیه و کمک هزینه های فردی</w:t>
      </w:r>
    </w:p>
    <w:p>
      <w:pPr>
        <w:spacing w:after="20"/>
        <w:ind w:left="259"/>
        <w:jc w:val="left"/>
      </w:pPr>
      <w:r>
        <w:rPr>
          <w:color w:val="555555"/>
          <w:sz w:val="12"/>
        </w:rPr>
        <w:t>Section 12A—Individual Finances and Allowances</w:t>
      </w:r>
    </w:p>
    <w:p>
      <w:pPr>
        <w:spacing w:before="60" w:after="28"/>
        <w:jc w:val="right"/>
        <w:bidi/>
      </w:pPr>
      <w:r>
        <w:rPr>
          <w:b/>
          <w:color w:val="1F4D78"/>
          <w:sz w:val="18"/>
        </w:rPr>
        <w:t>12.1. مسئولیت های مالی فردی</w:t>
      </w:r>
    </w:p>
    <w:p>
      <w:pPr>
        <w:spacing w:after="20"/>
        <w:ind w:left="259"/>
        <w:jc w:val="left"/>
      </w:pPr>
      <w:r>
        <w:rPr>
          <w:color w:val="555555"/>
          <w:sz w:val="12"/>
        </w:rPr>
        <w:t>12.1. Individual Financial Responsibilities</w:t>
      </w:r>
    </w:p>
    <w:p>
      <w:pPr>
        <w:spacing w:after="20" w:line="223" w:lineRule="auto"/>
        <w:jc w:val="right"/>
        <w:bidi/>
      </w:pPr>
      <w:r>
        <w:rPr>
          <w:rFonts w:ascii="Arial" w:hAnsi="Arial"/>
          <w:sz w:val="16"/>
        </w:rPr>
        <w:t>209.05  طبق AFI ۱-۱، درست همانطور که آمادگی جسمانی برای سلامتی مهم است، "تناسب مالی" نیز به همان اندازه برای رفاه کلی اعضای USAF مهم است.</w:t>
      </w:r>
    </w:p>
    <w:p>
      <w:pPr>
        <w:spacing w:after="28" w:line="216" w:lineRule="auto"/>
        <w:ind w:left="259"/>
        <w:jc w:val="left"/>
      </w:pPr>
      <w:r>
        <w:rPr>
          <w:rFonts w:ascii="Arial" w:hAnsi="Arial"/>
          <w:color w:val="525252"/>
          <w:sz w:val="13"/>
        </w:rPr>
        <w:t>According to AFI 1-1, just like physical fitness is important for health, “fiscal fitness” is equally important to overall well-being of USAF members.</w:t>
      </w:r>
    </w:p>
    <w:p>
      <w:pPr>
        <w:spacing w:after="20" w:line="223" w:lineRule="auto"/>
        <w:jc w:val="right"/>
        <w:bidi/>
      </w:pPr>
      <w:r>
        <w:rPr>
          <w:rFonts w:ascii="Arial" w:hAnsi="Arial"/>
          <w:sz w:val="16"/>
        </w:rPr>
        <w:t>209.06  دو جنبه کلیدی مسئولیت مالی فردی، ایجاد یک بودجه شخصی و مدیریت مؤثر بدهی فرد است.</w:t>
      </w:r>
    </w:p>
    <w:p>
      <w:pPr>
        <w:spacing w:after="28" w:line="216" w:lineRule="auto"/>
        <w:ind w:left="259"/>
        <w:jc w:val="left"/>
      </w:pPr>
      <w:r>
        <w:rPr>
          <w:rFonts w:ascii="Arial" w:hAnsi="Arial"/>
          <w:color w:val="525252"/>
          <w:sz w:val="13"/>
        </w:rPr>
        <w:t>Two key aspects of individual financial responsibility are the establishment of a personal budget and effective management of one’s debt.</w:t>
      </w:r>
    </w:p>
    <w:p>
      <w:pPr>
        <w:spacing w:after="20" w:line="223" w:lineRule="auto"/>
        <w:jc w:val="right"/>
        <w:bidi/>
      </w:pPr>
      <w:r>
        <w:rPr>
          <w:rFonts w:ascii="Arial" w:hAnsi="Arial"/>
          <w:sz w:val="16"/>
        </w:rPr>
        <w:t>209.07  بررسی صورتهای مرخصی و درآمد (LES) به‌طور منظم، ثبت به موقع کوپن‌های سفر و استفاده از کارت شارژ سفر دولتی (GTCC) برای پرداخت کلیه هزینه‌های مربوط به سفرهای رسمی دولتی مهم است.</w:t>
      </w:r>
    </w:p>
    <w:p>
      <w:pPr>
        <w:spacing w:after="28" w:line="216" w:lineRule="auto"/>
        <w:ind w:left="259"/>
        <w:jc w:val="left"/>
      </w:pPr>
      <w:r>
        <w:rPr>
          <w:rFonts w:ascii="Arial" w:hAnsi="Arial"/>
          <w:color w:val="525252"/>
          <w:sz w:val="13"/>
        </w:rPr>
        <w:t>It is important to review Leave and Earnings Statements (LES) on a regular basis, file travel vouchers on a timely basis, and use the government travel charge card (GTCC) to pay for all costs related to official government travel.</w:t>
      </w:r>
    </w:p>
    <w:p>
      <w:pPr>
        <w:spacing w:after="20" w:line="223" w:lineRule="auto"/>
        <w:jc w:val="right"/>
        <w:bidi/>
      </w:pPr>
      <w:r>
        <w:rPr>
          <w:rFonts w:ascii="Arial" w:hAnsi="Arial"/>
          <w:sz w:val="16"/>
        </w:rPr>
        <w:t>209.08  سفر رسمی دولتی به سفر تحت دستور رسمی در حین انجام وظایف مربوط به وظایف رسمی دولتی مانند وظیفه موقت (TDY) و تغییر دائم ایستگاه (PCS) تعریف می‌شود.</w:t>
      </w:r>
    </w:p>
    <w:p>
      <w:pPr>
        <w:spacing w:after="28" w:line="216" w:lineRule="auto"/>
        <w:ind w:left="259"/>
        <w:jc w:val="left"/>
      </w:pPr>
      <w:r>
        <w:rPr>
          <w:rFonts w:ascii="Arial" w:hAnsi="Arial"/>
          <w:color w:val="525252"/>
          <w:sz w:val="13"/>
        </w:rPr>
        <w:t>Official government travel is defined as travel under official orders while performing duties pertaining to official government assignments such as temporary duty (TDY) and permanent change of station (PCS).</w:t>
      </w:r>
    </w:p>
    <w:p>
      <w:pPr>
        <w:spacing w:after="20" w:line="223" w:lineRule="auto"/>
        <w:jc w:val="right"/>
        <w:bidi/>
      </w:pPr>
      <w:r>
        <w:rPr>
          <w:rFonts w:ascii="Arial" w:hAnsi="Arial"/>
          <w:sz w:val="16"/>
        </w:rPr>
        <w:t>209.09  اطلاعات تکمیلی در مورد مسئولیت‌های مالی، حقوق و مزایا، و حقوق مربوطه را می‌توان در مقررات سفر مشترک، مقررات مدیریت مالی وزارت دفاع (دودفمر) ۷۰۰۰.۱۴-ر، جلد ۷ا، سیاست پرداخت نظامی-اکتیو دوتی و رسرو ۱MAN پای،۶۵-AF مشاهده کرد. رویه‌های پرواز مدیریت مالی (FMF) سیستم پرداخت نظامی اکتیو کومپوننت (DJMSAC).</w:t>
      </w:r>
    </w:p>
    <w:p>
      <w:pPr>
        <w:spacing w:after="28" w:line="216" w:lineRule="auto"/>
        <w:ind w:left="259"/>
        <w:jc w:val="left"/>
      </w:pPr>
      <w:r>
        <w:rPr>
          <w:rFonts w:ascii="Arial" w:hAnsi="Arial"/>
          <w:color w:val="525252"/>
          <w:sz w:val="13"/>
        </w:rPr>
        <w:t>Additional information on financial responsibilities, pay and allowances, and related entitlements can be found in the Joint Travel Regulation, DoD Financial Management Regulation (DoDFMR) 7000.14-R, Volume 7A, Military Pay Policy—Active Duty and Reserve Pay, and AFMAN 65-116, Volume 1, Defense Joint Military Pay System Active Component (DJMSAC) Financial Management Flight (FMF) Procedures.</w:t>
      </w:r>
    </w:p>
    <w:p>
      <w:pPr>
        <w:spacing w:before="60" w:after="28"/>
        <w:jc w:val="right"/>
        <w:bidi/>
      </w:pPr>
      <w:r>
        <w:rPr>
          <w:b/>
          <w:color w:val="1F4D78"/>
          <w:sz w:val="18"/>
        </w:rPr>
        <w:t>12.2. حقوق نظامی (پایه).</w:t>
      </w:r>
    </w:p>
    <w:p>
      <w:pPr>
        <w:spacing w:after="20"/>
        <w:ind w:left="259"/>
        <w:jc w:val="left"/>
      </w:pPr>
      <w:r>
        <w:rPr>
          <w:color w:val="555555"/>
          <w:sz w:val="12"/>
        </w:rPr>
        <w:t>12.2. Military (Basic) Pay</w:t>
      </w:r>
    </w:p>
    <w:p>
      <w:pPr>
        <w:spacing w:after="20" w:line="223" w:lineRule="auto"/>
        <w:jc w:val="right"/>
        <w:bidi/>
      </w:pPr>
      <w:r>
        <w:rPr>
          <w:rFonts w:ascii="Arial" w:hAnsi="Arial"/>
          <w:sz w:val="16"/>
        </w:rPr>
        <w:t>209.11  دستمزد پایه جزء اساسی حقوق نظامی و معمولا بزرگترین جزء حقوق یک عضو است.</w:t>
      </w:r>
    </w:p>
    <w:p>
      <w:pPr>
        <w:spacing w:after="28" w:line="216" w:lineRule="auto"/>
        <w:ind w:left="259"/>
        <w:jc w:val="left"/>
      </w:pPr>
      <w:r>
        <w:rPr>
          <w:rFonts w:ascii="Arial" w:hAnsi="Arial"/>
          <w:color w:val="525252"/>
          <w:sz w:val="13"/>
        </w:rPr>
        <w:t>Basic pay is the fundamental component of military pay, and typically the largest component of a member’s pay.</w:t>
      </w:r>
    </w:p>
    <w:p>
      <w:pPr>
        <w:spacing w:after="20" w:line="223" w:lineRule="auto"/>
        <w:jc w:val="right"/>
        <w:bidi/>
      </w:pPr>
      <w:r>
        <w:rPr>
          <w:rFonts w:ascii="Arial" w:hAnsi="Arial"/>
          <w:sz w:val="16"/>
        </w:rPr>
        <w:t>209.12  افزایش سالانه حقوق نظامی توسط کنگره و رئیس جمهور ایالات متحده در قانون مجوز دفاع ملی تعیین می‌شود.</w:t>
      </w:r>
    </w:p>
    <w:p>
      <w:pPr>
        <w:spacing w:after="28" w:line="216" w:lineRule="auto"/>
        <w:ind w:left="259"/>
        <w:jc w:val="left"/>
      </w:pPr>
      <w:r>
        <w:rPr>
          <w:rFonts w:ascii="Arial" w:hAnsi="Arial"/>
          <w:color w:val="525252"/>
          <w:sz w:val="13"/>
        </w:rPr>
        <w:t>Annual military pay raises are set by Congress and the U.S. President in the National Defense Authorization Act.</w:t>
      </w:r>
    </w:p>
    <w:p>
      <w:pPr>
        <w:spacing w:after="20" w:line="223" w:lineRule="auto"/>
        <w:jc w:val="right"/>
        <w:bidi/>
      </w:pPr>
      <w:r>
        <w:rPr>
          <w:rFonts w:ascii="Arial" w:hAnsi="Arial"/>
          <w:sz w:val="16"/>
        </w:rPr>
        <w:t>209.13  مطابق با قانون فدرال، افزایش دستمزد سالانه اول ژانویه به‌طور خودکار با افزایش دستمزد بخش خصوصی مطابقت دارد، همانطور که توسط شاخص هزینه اشتغال برای سال قبل اندازه‌گیری می‌شود.</w:t>
      </w:r>
    </w:p>
    <w:p>
      <w:pPr>
        <w:spacing w:after="28" w:line="216" w:lineRule="auto"/>
        <w:ind w:left="259"/>
        <w:jc w:val="left"/>
      </w:pPr>
      <w:r>
        <w:rPr>
          <w:rFonts w:ascii="Arial" w:hAnsi="Arial"/>
          <w:color w:val="525252"/>
          <w:sz w:val="13"/>
        </w:rPr>
        <w:t>In accordance with federal law, the 1 January annual pay raise will automatically match the private sector wage increases, as measured by the Employment Cost Index for the previous year.</w:t>
      </w:r>
    </w:p>
    <w:p>
      <w:pPr>
        <w:spacing w:after="20" w:line="223" w:lineRule="auto"/>
        <w:jc w:val="right"/>
        <w:bidi/>
      </w:pPr>
      <w:r>
        <w:rPr>
          <w:rFonts w:ascii="Arial" w:hAnsi="Arial"/>
          <w:sz w:val="16"/>
        </w:rPr>
        <w:t>209.14  اگر شرایط اضطراری ملی یا شرایط اقتصادی جدی بر رفاه عمومی تأثیر بگذارد، رئیس‌جمهور ایالات متحده ممکن است به کنگره پیشنهاد دهد که افزایش حقوق سالانه کمتری ایجاد کند.</w:t>
      </w:r>
    </w:p>
    <w:p>
      <w:pPr>
        <w:spacing w:after="28" w:line="216" w:lineRule="auto"/>
        <w:ind w:left="259"/>
        <w:jc w:val="left"/>
      </w:pPr>
      <w:r>
        <w:rPr>
          <w:rFonts w:ascii="Arial" w:hAnsi="Arial"/>
          <w:color w:val="525252"/>
          <w:sz w:val="13"/>
        </w:rPr>
        <w:t>If national emergencies or serious economic conditions affect general welfare, the U.S. President may propose that Congress instill a lower annual pay raise.</w:t>
      </w:r>
    </w:p>
    <w:p>
      <w:pPr>
        <w:spacing w:after="20" w:line="223" w:lineRule="auto"/>
        <w:jc w:val="right"/>
        <w:bidi/>
      </w:pPr>
      <w:r>
        <w:rPr>
          <w:rFonts w:ascii="Arial" w:hAnsi="Arial"/>
          <w:sz w:val="16"/>
        </w:rPr>
        <w:t>209.15  تاریخ پرداخت سربازی.</w:t>
      </w:r>
    </w:p>
    <w:p>
      <w:pPr>
        <w:spacing w:after="28" w:line="216" w:lineRule="auto"/>
        <w:ind w:left="259"/>
        <w:jc w:val="left"/>
      </w:pPr>
      <w:r>
        <w:rPr>
          <w:rFonts w:ascii="Arial" w:hAnsi="Arial"/>
          <w:color w:val="525252"/>
          <w:sz w:val="13"/>
        </w:rPr>
        <w:t>Military Pay Date.</w:t>
      </w:r>
    </w:p>
    <w:p>
      <w:pPr>
        <w:spacing w:after="20" w:line="223" w:lineRule="auto"/>
        <w:jc w:val="right"/>
        <w:bidi/>
      </w:pPr>
      <w:r>
        <w:rPr>
          <w:rFonts w:ascii="Arial" w:hAnsi="Arial"/>
          <w:sz w:val="16"/>
        </w:rPr>
        <w:t>209.16  تاریخ پرداخت سربازی مدت خدمت را برای اهداف پرداختی تعیین می‌کند.</w:t>
      </w:r>
    </w:p>
    <w:p>
      <w:pPr>
        <w:spacing w:after="28" w:line="216" w:lineRule="auto"/>
        <w:ind w:left="259"/>
        <w:jc w:val="left"/>
      </w:pPr>
      <w:r>
        <w:rPr>
          <w:rFonts w:ascii="Arial" w:hAnsi="Arial"/>
          <w:color w:val="525252"/>
          <w:sz w:val="13"/>
        </w:rPr>
        <w:t>The military pay date determines the length of service for pay purposes.</w:t>
      </w:r>
    </w:p>
    <w:p>
      <w:pPr>
        <w:spacing w:after="20" w:line="223" w:lineRule="auto"/>
        <w:jc w:val="right"/>
        <w:bidi/>
      </w:pPr>
      <w:r>
        <w:rPr>
          <w:rFonts w:ascii="Arial" w:hAnsi="Arial"/>
          <w:sz w:val="16"/>
        </w:rPr>
        <w:t>209.17  به‌طور کلی، تاریخ پرداخت باید همان تاریخی باشد که فرد در وضعیت رگاف در صورتی که قبل از ورود به USAF خدمات قبلی نداشته است، باشد.</w:t>
      </w:r>
    </w:p>
    <w:p>
      <w:pPr>
        <w:spacing w:after="28" w:line="216" w:lineRule="auto"/>
        <w:ind w:left="259"/>
        <w:jc w:val="left"/>
      </w:pPr>
      <w:r>
        <w:rPr>
          <w:rFonts w:ascii="Arial" w:hAnsi="Arial"/>
          <w:color w:val="525252"/>
          <w:sz w:val="13"/>
        </w:rPr>
        <w:t>In general, the pay date should be the same date the individual entered on RegAF status if he or she had no prior service before entering the USAF.</w:t>
      </w:r>
    </w:p>
    <w:p>
      <w:pPr>
        <w:spacing w:after="20" w:line="223" w:lineRule="auto"/>
        <w:jc w:val="right"/>
        <w:bidi/>
      </w:pPr>
      <w:r>
        <w:rPr>
          <w:rFonts w:ascii="Arial" w:hAnsi="Arial"/>
          <w:sz w:val="16"/>
        </w:rPr>
        <w:t>209.18  با این حال، اگر فرد پیش‌تر در برخی از سازمان‌های دولتی خدمت کرده است، USAF تاریخ پرداخت را تنظیم می‌کند تا اعتبار این دوره‌ها را منعکس کند.</w:t>
      </w:r>
    </w:p>
    <w:p>
      <w:pPr>
        <w:spacing w:after="28" w:line="216" w:lineRule="auto"/>
        <w:ind w:left="259"/>
        <w:jc w:val="left"/>
      </w:pPr>
      <w:r>
        <w:rPr>
          <w:rFonts w:ascii="Arial" w:hAnsi="Arial"/>
          <w:color w:val="525252"/>
          <w:sz w:val="13"/>
        </w:rPr>
        <w:t>However, if the individual previously served in certain governmental agencies, the USAF adjusts the pay date to reflect credit for these periods.</w:t>
      </w:r>
    </w:p>
    <w:p>
      <w:pPr>
        <w:spacing w:after="20" w:line="223" w:lineRule="auto"/>
        <w:jc w:val="right"/>
        <w:bidi/>
      </w:pPr>
      <w:r>
        <w:rPr>
          <w:rFonts w:ascii="Arial" w:hAnsi="Arial"/>
          <w:sz w:val="16"/>
        </w:rPr>
        <w:t>209.19  در صورت دوره‌های غیبت بدون مرخصی، فرار از خدمت، بیماری یا جراحت به دلیل سوء رفتار شخصی، ممکن است تعدیل تاریخ پرداخت منفی شود.</w:t>
      </w:r>
    </w:p>
    <w:p>
      <w:pPr>
        <w:spacing w:after="28" w:line="216" w:lineRule="auto"/>
        <w:ind w:left="259"/>
        <w:jc w:val="left"/>
      </w:pPr>
      <w:r>
        <w:rPr>
          <w:rFonts w:ascii="Arial" w:hAnsi="Arial"/>
          <w:color w:val="525252"/>
          <w:sz w:val="13"/>
        </w:rPr>
        <w:t>In the event of periods of absence without leave, desertion, and sickness or injury due to personal misconduct, negative pay date adjustments may result.</w:t>
      </w:r>
    </w:p>
    <w:p>
      <w:pPr>
        <w:spacing w:before="60" w:after="28"/>
        <w:jc w:val="right"/>
        <w:bidi/>
      </w:pPr>
      <w:r>
        <w:rPr>
          <w:b/>
          <w:color w:val="1F4D78"/>
          <w:sz w:val="18"/>
        </w:rPr>
        <w:t>12.3. صورتحساب مرخصی و درآمد</w:t>
      </w:r>
    </w:p>
    <w:p>
      <w:pPr>
        <w:spacing w:after="20"/>
        <w:ind w:left="259"/>
        <w:jc w:val="left"/>
      </w:pPr>
      <w:r>
        <w:rPr>
          <w:color w:val="555555"/>
          <w:sz w:val="12"/>
        </w:rPr>
        <w:t>12.3. Leave and Earnings Statement</w:t>
      </w:r>
    </w:p>
    <w:p>
      <w:pPr>
        <w:spacing w:after="20" w:line="223" w:lineRule="auto"/>
        <w:jc w:val="right"/>
        <w:bidi/>
      </w:pPr>
      <w:r>
        <w:rPr>
          <w:rFonts w:ascii="Arial" w:hAnsi="Arial"/>
          <w:sz w:val="16"/>
        </w:rPr>
        <w:t>209.21  LES، با عنوان فرم ۷۰۲ خدمات مالی و حسابداری دفاعی (DFAS)، مرخصی سربازی و بیانیه درآمدهای خدمات مالی و حسابداری دفاعی، بیانیه‌ای جامع از حقوق، کسورات، تخصیصات، اطلاعات مرخصی، اطلاعات مربوط به مالیات و همچنین دارایی‌های مربوطه است.</w:t>
      </w:r>
    </w:p>
    <w:p>
      <w:pPr>
        <w:spacing w:after="28" w:line="216" w:lineRule="auto"/>
        <w:ind w:left="259"/>
        <w:jc w:val="left"/>
      </w:pPr>
      <w:r>
        <w:rPr>
          <w:rFonts w:ascii="Arial" w:hAnsi="Arial"/>
          <w:color w:val="525252"/>
          <w:sz w:val="13"/>
        </w:rPr>
        <w:t>The LES, titled the Defense Finance and Accounting Service (DFAS) Form 702, Defense Finance and Accounting Service Military Leave and Earnings Statement, is a comprehensive statement of a member’s entitlements, deductions, allotments, leave information, tax-withholdings, as well as Traditional and Roth Thrift Savings Plan information.</w:t>
      </w:r>
    </w:p>
    <w:p>
      <w:pPr>
        <w:spacing w:after="20" w:line="223" w:lineRule="auto"/>
        <w:jc w:val="right"/>
        <w:bidi/>
      </w:pPr>
      <w:r>
        <w:rPr>
          <w:rFonts w:ascii="Arial" w:hAnsi="Arial"/>
          <w:sz w:val="16"/>
        </w:rPr>
        <w:t>209.22  PCS زمانی است که هوانوردان "توجه بیشتری را به LES خود اعمال کنند" زیرا در هنگام جابجایی از یک مکان وظیفه به مکان دیگر، حقوق بسیاری مانند BAH، COLA و غیره تغییر می‌کند.</w:t>
      </w:r>
    </w:p>
    <w:p>
      <w:pPr>
        <w:spacing w:after="28" w:line="216" w:lineRule="auto"/>
        <w:ind w:left="259"/>
        <w:jc w:val="left"/>
      </w:pPr>
      <w:r>
        <w:rPr>
          <w:rFonts w:ascii="Arial" w:hAnsi="Arial"/>
          <w:color w:val="525252"/>
          <w:sz w:val="13"/>
        </w:rPr>
        <w:t>PCS is a time for Airmen to “apply increased attention” to their LES since many times entitlements such as BAH, COLA, etc. change when moving from one duty location to another.</w:t>
      </w:r>
    </w:p>
    <w:p>
      <w:pPr>
        <w:spacing w:after="20" w:line="223" w:lineRule="auto"/>
        <w:jc w:val="right"/>
        <w:bidi/>
      </w:pPr>
      <w:r>
        <w:rPr>
          <w:rFonts w:ascii="Arial" w:hAnsi="Arial"/>
          <w:sz w:val="16"/>
        </w:rPr>
        <w:t>209.23  و پکسینگ معمولا بیشتر از تولد، ازدواج، طلاق و غیره اتفاق می‌افتد.</w:t>
      </w:r>
    </w:p>
    <w:p>
      <w:pPr>
        <w:spacing w:after="28" w:line="216" w:lineRule="auto"/>
        <w:ind w:left="259"/>
        <w:jc w:val="left"/>
      </w:pPr>
      <w:r>
        <w:rPr>
          <w:rFonts w:ascii="Arial" w:hAnsi="Arial"/>
          <w:color w:val="525252"/>
          <w:sz w:val="13"/>
        </w:rPr>
        <w:t>And PCSing usually occurs more frequently than a birth, marriage, divorce, etc.</w:t>
      </w:r>
    </w:p>
    <w:p>
      <w:pPr>
        <w:spacing w:after="20" w:line="223" w:lineRule="auto"/>
        <w:jc w:val="right"/>
        <w:bidi/>
      </w:pPr>
      <w:r>
        <w:rPr>
          <w:rFonts w:ascii="Arial" w:hAnsi="Arial"/>
          <w:sz w:val="16"/>
        </w:rPr>
        <w:t>209.24  سیستم میپای به اعضا این امکان را می‌دهد تا LES خود را مشاهده کنند و همچنین تغییراتی را در موارد انتخابی که بر پرداخت آنها تأثیر می‌گذارد آغاز کنند.</w:t>
      </w:r>
    </w:p>
    <w:p>
      <w:pPr>
        <w:spacing w:after="28" w:line="216" w:lineRule="auto"/>
        <w:ind w:left="259"/>
        <w:jc w:val="left"/>
      </w:pPr>
      <w:r>
        <w:rPr>
          <w:rFonts w:ascii="Arial" w:hAnsi="Arial"/>
          <w:color w:val="525252"/>
          <w:sz w:val="13"/>
        </w:rPr>
        <w:t>The myPay system allows members to view their LES as well as initiate changes to selected items affecting their pay.</w:t>
      </w:r>
    </w:p>
    <w:p>
      <w:pPr>
        <w:spacing w:after="20" w:line="223" w:lineRule="auto"/>
        <w:jc w:val="right"/>
        <w:bidi/>
      </w:pPr>
      <w:r>
        <w:rPr>
          <w:rFonts w:ascii="Arial" w:hAnsi="Arial"/>
          <w:sz w:val="16"/>
        </w:rPr>
        <w:t>209.25  اگر پرداخت به‌طور قابل توجهی متفاوت است، با دفتر امور مالی خدمات مشورت کنید.</w:t>
      </w:r>
    </w:p>
    <w:p>
      <w:pPr>
        <w:spacing w:after="28" w:line="216" w:lineRule="auto"/>
        <w:ind w:left="259"/>
        <w:jc w:val="left"/>
      </w:pPr>
      <w:r>
        <w:rPr>
          <w:rFonts w:ascii="Arial" w:hAnsi="Arial"/>
          <w:color w:val="525252"/>
          <w:sz w:val="13"/>
        </w:rPr>
        <w:t>If pay varies significantly, consult the servicing finance office.</w:t>
      </w:r>
    </w:p>
    <w:p>
      <w:pPr>
        <w:spacing w:after="20" w:line="223" w:lineRule="auto"/>
        <w:jc w:val="right"/>
        <w:bidi/>
      </w:pPr>
      <w:r>
        <w:rPr>
          <w:rFonts w:ascii="Arial" w:hAnsi="Arial"/>
          <w:sz w:val="16"/>
        </w:rPr>
        <w:t>209.26  برنامه پرداخت منظم.</w:t>
      </w:r>
    </w:p>
    <w:p>
      <w:pPr>
        <w:spacing w:after="28" w:line="216" w:lineRule="auto"/>
        <w:ind w:left="259"/>
        <w:jc w:val="left"/>
      </w:pPr>
      <w:r>
        <w:rPr>
          <w:rFonts w:ascii="Arial" w:hAnsi="Arial"/>
          <w:color w:val="525252"/>
          <w:sz w:val="13"/>
        </w:rPr>
        <w:t>Regular Pay Schedule.</w:t>
      </w:r>
    </w:p>
    <w:p>
      <w:pPr>
        <w:spacing w:after="20" w:line="223" w:lineRule="auto"/>
        <w:jc w:val="right"/>
        <w:bidi/>
      </w:pPr>
      <w:r>
        <w:rPr>
          <w:rFonts w:ascii="Arial" w:hAnsi="Arial"/>
          <w:sz w:val="16"/>
        </w:rPr>
        <w:t>209.27  به اعضای نظامی به صورت ماهانه با امکان دریافت حقوق پرداخت می‌شود</w:t>
      </w:r>
    </w:p>
    <w:p>
      <w:pPr>
        <w:spacing w:after="28" w:line="216" w:lineRule="auto"/>
        <w:ind w:left="259"/>
        <w:jc w:val="left"/>
      </w:pPr>
      <w:r>
        <w:rPr>
          <w:rFonts w:ascii="Arial" w:hAnsi="Arial"/>
          <w:color w:val="525252"/>
          <w:sz w:val="13"/>
        </w:rPr>
        <w:t>Military members are paid on a monthly basis with the option to receive</w:t>
      </w:r>
    </w:p>
    <w:p>
      <w:r>
        <w:br w:type="page"/>
      </w:r>
    </w:p>
    <w:p>
      <w:pPr>
        <w:spacing w:after="60"/>
        <w:jc w:val="right"/>
        <w:bidi/>
      </w:pPr>
      <w:r>
        <w:rPr>
          <w:rFonts w:ascii="Arial" w:hAnsi="Arial"/>
          <w:b/>
          <w:color w:val="1F4D78"/>
          <w:sz w:val="19"/>
        </w:rPr>
        <w:t>هفتهٔ 210  |  صفحهٔ منبع: 226</w:t>
      </w:r>
    </w:p>
    <w:p>
      <w:pPr>
        <w:spacing w:after="20" w:line="223" w:lineRule="auto"/>
        <w:jc w:val="right"/>
        <w:bidi/>
      </w:pPr>
      <w:r>
        <w:rPr>
          <w:rFonts w:ascii="Arial" w:hAnsi="Arial"/>
          <w:sz w:val="16"/>
        </w:rPr>
        <w:t>210.01  پرداخت یک یا دو بار در ماه.</w:t>
      </w:r>
    </w:p>
    <w:p>
      <w:pPr>
        <w:spacing w:after="28" w:line="216" w:lineRule="auto"/>
        <w:ind w:left="259"/>
        <w:jc w:val="left"/>
      </w:pPr>
      <w:r>
        <w:rPr>
          <w:rFonts w:ascii="Arial" w:hAnsi="Arial"/>
          <w:color w:val="525252"/>
          <w:sz w:val="13"/>
        </w:rPr>
        <w:t>payments once or twice per month.</w:t>
      </w:r>
    </w:p>
    <w:p>
      <w:pPr>
        <w:spacing w:after="20" w:line="223" w:lineRule="auto"/>
        <w:jc w:val="right"/>
        <w:bidi/>
      </w:pPr>
      <w:r>
        <w:rPr>
          <w:rFonts w:ascii="Arial" w:hAnsi="Arial"/>
          <w:sz w:val="16"/>
        </w:rPr>
        <w:t>210.02  اعضا یک صورت (توصیه پرداخت خالص) از مقدار خالص پرداخت و صورت مالی در اواسط ماه (در صورت دریافت پرداخت) و یک صورت جامع پرداخت (LES) در پایان ماه از طریق میپای دریافت می‌کنند.</w:t>
      </w:r>
    </w:p>
    <w:p>
      <w:pPr>
        <w:spacing w:after="28" w:line="216" w:lineRule="auto"/>
        <w:ind w:left="259"/>
        <w:jc w:val="left"/>
      </w:pPr>
      <w:r>
        <w:rPr>
          <w:rFonts w:ascii="Arial" w:hAnsi="Arial"/>
          <w:color w:val="525252"/>
          <w:sz w:val="13"/>
        </w:rPr>
        <w:t>Members receive a statement (net pay advice) of the net amount of pay and the financial statement at mid-month (if receiving a payment), and a comprehensive statement of pay (the LES) at the end of the month via myPay.</w:t>
      </w:r>
    </w:p>
    <w:p>
      <w:pPr>
        <w:spacing w:after="20" w:line="223" w:lineRule="auto"/>
        <w:jc w:val="right"/>
        <w:bidi/>
      </w:pPr>
      <w:r>
        <w:rPr>
          <w:rFonts w:ascii="Arial" w:hAnsi="Arial"/>
          <w:sz w:val="16"/>
        </w:rPr>
        <w:t>210.03  این عبارات به صورت مرکزی توسط DFAS ایجاد می‌شوند.</w:t>
      </w:r>
    </w:p>
    <w:p>
      <w:pPr>
        <w:spacing w:after="28" w:line="216" w:lineRule="auto"/>
        <w:ind w:left="259"/>
        <w:jc w:val="left"/>
      </w:pPr>
      <w:r>
        <w:rPr>
          <w:rFonts w:ascii="Arial" w:hAnsi="Arial"/>
          <w:color w:val="525252"/>
          <w:sz w:val="13"/>
        </w:rPr>
        <w:t>These statements are created centrally by DFAS.</w:t>
      </w:r>
    </w:p>
    <w:p>
      <w:pPr>
        <w:spacing w:after="20" w:line="223" w:lineRule="auto"/>
        <w:jc w:val="right"/>
        <w:bidi/>
      </w:pPr>
      <w:r>
        <w:rPr>
          <w:rFonts w:ascii="Arial" w:hAnsi="Arial"/>
          <w:sz w:val="16"/>
        </w:rPr>
        <w:t>210.04  سیستم پرداخت دارای تاریخ‌های پایان پردازش برای محاسبه، آماده‌سازی و انتقال وجوه است، بنابراین DFAS می‌تواند پردازش تراکنش‌های مربوط به حساب‌های پرداخت را برای دوره جاری متوقف کند و فرآیند منظم حقوق و دستمزد را آغاز کند.</w:t>
      </w:r>
    </w:p>
    <w:p>
      <w:pPr>
        <w:spacing w:after="28" w:line="216" w:lineRule="auto"/>
        <w:ind w:left="259"/>
        <w:jc w:val="left"/>
      </w:pPr>
      <w:r>
        <w:rPr>
          <w:rFonts w:ascii="Arial" w:hAnsi="Arial"/>
          <w:color w:val="525252"/>
          <w:sz w:val="13"/>
        </w:rPr>
        <w:t>The pay system has processing cutoff dates for computing, preparing, and transferring funds so DFAS can stop processing transactions against pay accounts for the current period and begin the regular payroll process.</w:t>
      </w:r>
    </w:p>
    <w:p>
      <w:pPr>
        <w:spacing w:after="20" w:line="223" w:lineRule="auto"/>
        <w:jc w:val="right"/>
        <w:bidi/>
      </w:pPr>
      <w:r>
        <w:rPr>
          <w:rFonts w:ascii="Arial" w:hAnsi="Arial"/>
          <w:sz w:val="16"/>
        </w:rPr>
        <w:t>210.05  در حالی که تاریخ‌های قطع از ماه به ماه در نوسان است، معمولا در حدود ششم برای اواسط ماه و بیستم برای روزهای پرداخت پایان ماه رخ می‌دهد.</w:t>
      </w:r>
    </w:p>
    <w:p>
      <w:pPr>
        <w:spacing w:after="28" w:line="216" w:lineRule="auto"/>
        <w:ind w:left="259"/>
        <w:jc w:val="left"/>
      </w:pPr>
      <w:r>
        <w:rPr>
          <w:rFonts w:ascii="Arial" w:hAnsi="Arial"/>
          <w:color w:val="525252"/>
          <w:sz w:val="13"/>
        </w:rPr>
        <w:t>While cutoff dates fluctuate from month to month, they generally occur around the 6th for the mid-month and the 20th for the end- of-month paydays.</w:t>
      </w:r>
    </w:p>
    <w:p>
      <w:pPr>
        <w:spacing w:after="20" w:line="223" w:lineRule="auto"/>
        <w:jc w:val="right"/>
        <w:bidi/>
      </w:pPr>
      <w:r>
        <w:rPr>
          <w:rFonts w:ascii="Arial" w:hAnsi="Arial"/>
          <w:sz w:val="16"/>
        </w:rPr>
        <w:t>210.06  پرداخت‌های جزئی محلی، جزئی و اضطراری.</w:t>
      </w:r>
    </w:p>
    <w:p>
      <w:pPr>
        <w:spacing w:after="28" w:line="216" w:lineRule="auto"/>
        <w:ind w:left="259"/>
        <w:jc w:val="left"/>
      </w:pPr>
      <w:r>
        <w:rPr>
          <w:rFonts w:ascii="Arial" w:hAnsi="Arial"/>
          <w:color w:val="525252"/>
          <w:sz w:val="13"/>
        </w:rPr>
        <w:t>Local, Partial, and Emergency Partial Payments.</w:t>
      </w:r>
    </w:p>
    <w:p>
      <w:pPr>
        <w:spacing w:after="20" w:line="223" w:lineRule="auto"/>
        <w:jc w:val="right"/>
        <w:bidi/>
      </w:pPr>
      <w:r>
        <w:rPr>
          <w:rFonts w:ascii="Arial" w:hAnsi="Arial"/>
          <w:sz w:val="16"/>
        </w:rPr>
        <w:t>210.07  پرداخت‌های نقدی محلی معمولا فقط برای مناطق خارج از کشور مجاز است که در آن تسهیلات بانکی نظامی در پایه به آسانی در دسترس نیست.</w:t>
      </w:r>
    </w:p>
    <w:p>
      <w:pPr>
        <w:spacing w:after="28" w:line="216" w:lineRule="auto"/>
        <w:ind w:left="259"/>
        <w:jc w:val="left"/>
      </w:pPr>
      <w:r>
        <w:rPr>
          <w:rFonts w:ascii="Arial" w:hAnsi="Arial"/>
          <w:color w:val="525252"/>
          <w:sz w:val="13"/>
        </w:rPr>
        <w:t>Local cash payments are normally only authorized for overseas areas where on base military banking facilities are not readily available.</w:t>
      </w:r>
    </w:p>
    <w:p>
      <w:pPr>
        <w:spacing w:after="20" w:line="223" w:lineRule="auto"/>
        <w:jc w:val="right"/>
        <w:bidi/>
      </w:pPr>
      <w:r>
        <w:rPr>
          <w:rFonts w:ascii="Arial" w:hAnsi="Arial"/>
          <w:sz w:val="16"/>
        </w:rPr>
        <w:t>210.08  ممکن است برای اعضایی که به عملیات طبقه‌بندی‌شده یا اضطراری اختصاص داده شده‌اند، استثنا قائل شوند، در صورتی که ضرورت‌های تکالیف آنها ممکن است به پول نقد محلی یا پرداخت جزئی نیاز داشته باشد.</w:t>
      </w:r>
    </w:p>
    <w:p>
      <w:pPr>
        <w:spacing w:after="28" w:line="216" w:lineRule="auto"/>
        <w:ind w:left="259"/>
        <w:jc w:val="left"/>
      </w:pPr>
      <w:r>
        <w:rPr>
          <w:rFonts w:ascii="Arial" w:hAnsi="Arial"/>
          <w:color w:val="525252"/>
          <w:sz w:val="13"/>
        </w:rPr>
        <w:t>Exceptions may be granted for members assigned to classified or contingency operations where the exigencies of their assignments may require local cash or partial payments.</w:t>
      </w:r>
    </w:p>
    <w:p>
      <w:pPr>
        <w:spacing w:after="20" w:line="223" w:lineRule="auto"/>
        <w:jc w:val="right"/>
        <w:bidi/>
      </w:pPr>
      <w:r>
        <w:rPr>
          <w:rFonts w:ascii="Arial" w:hAnsi="Arial"/>
          <w:sz w:val="16"/>
        </w:rPr>
        <w:t>210.09  فرمانده عضو ممکن است در صورت صلاحدید برای مأموریت، اجازه پرداخت فوری نقدی تا میزان استحقاق انباشته تا امروز را بدهد.</w:t>
      </w:r>
    </w:p>
    <w:p>
      <w:pPr>
        <w:spacing w:after="28" w:line="216" w:lineRule="auto"/>
        <w:ind w:left="259"/>
        <w:jc w:val="left"/>
      </w:pPr>
      <w:r>
        <w:rPr>
          <w:rFonts w:ascii="Arial" w:hAnsi="Arial"/>
          <w:color w:val="525252"/>
          <w:sz w:val="13"/>
        </w:rPr>
        <w:t>The member’s commander may authorize immediate cash payments up to the amount of accrued entitlement to date when deemed appropriate to the mission.</w:t>
      </w:r>
    </w:p>
    <w:p>
      <w:pPr>
        <w:spacing w:after="20" w:line="223" w:lineRule="auto"/>
        <w:jc w:val="right"/>
        <w:bidi/>
      </w:pPr>
      <w:r>
        <w:rPr>
          <w:rFonts w:ascii="Arial" w:hAnsi="Arial"/>
          <w:sz w:val="16"/>
        </w:rPr>
        <w:t>210.10  پرداخت‌های جزئی غیرنقدی ممکن است از طریق انتقال الکترونیکی وجوه انجام شود و به مؤسسه مالی اعضا واریز شود، معمولا طی دو تا سه روز کاری.</w:t>
      </w:r>
    </w:p>
    <w:p>
      <w:pPr>
        <w:spacing w:after="28" w:line="216" w:lineRule="auto"/>
        <w:ind w:left="259"/>
        <w:jc w:val="left"/>
      </w:pPr>
      <w:r>
        <w:rPr>
          <w:rFonts w:ascii="Arial" w:hAnsi="Arial"/>
          <w:color w:val="525252"/>
          <w:sz w:val="13"/>
        </w:rPr>
        <w:t>Non-cash partial payments may be made via electronic funds transfer and deposited into the member’s financial institution, normally in two to three business days.</w:t>
      </w:r>
    </w:p>
    <w:p>
      <w:pPr>
        <w:spacing w:after="20" w:line="223" w:lineRule="auto"/>
        <w:jc w:val="right"/>
        <w:bidi/>
      </w:pPr>
      <w:r>
        <w:rPr>
          <w:rFonts w:ascii="Arial" w:hAnsi="Arial"/>
          <w:sz w:val="16"/>
        </w:rPr>
        <w:t>210.11  پرداخت‌های جزئی محدود به میزان پرداخت و کمک هزینه‌ای است که عضو تا تاریخ پرداخت دریافت کرده است.</w:t>
      </w:r>
    </w:p>
    <w:p>
      <w:pPr>
        <w:spacing w:after="28" w:line="216" w:lineRule="auto"/>
        <w:ind w:left="259"/>
        <w:jc w:val="left"/>
      </w:pPr>
      <w:r>
        <w:rPr>
          <w:rFonts w:ascii="Arial" w:hAnsi="Arial"/>
          <w:color w:val="525252"/>
          <w:sz w:val="13"/>
        </w:rPr>
        <w:t>Partial payments are limited to the amount of pay and allowances the member has accrued to the date of the payment.</w:t>
      </w:r>
    </w:p>
    <w:p>
      <w:pPr>
        <w:spacing w:after="20" w:line="223" w:lineRule="auto"/>
        <w:jc w:val="right"/>
        <w:bidi/>
      </w:pPr>
      <w:r>
        <w:rPr>
          <w:rFonts w:ascii="Arial" w:hAnsi="Arial"/>
          <w:sz w:val="16"/>
        </w:rPr>
        <w:t>210.12  پرداخت‌های جزئی در روز پرداخت بعدی به‌طور کامل بازپرداخت می‌شود.</w:t>
      </w:r>
    </w:p>
    <w:p>
      <w:pPr>
        <w:spacing w:after="28" w:line="216" w:lineRule="auto"/>
        <w:ind w:left="259"/>
        <w:jc w:val="left"/>
      </w:pPr>
      <w:r>
        <w:rPr>
          <w:rFonts w:ascii="Arial" w:hAnsi="Arial"/>
          <w:color w:val="525252"/>
          <w:sz w:val="13"/>
        </w:rPr>
        <w:t>Partial payments are recouped in full on the next available payday.</w:t>
      </w:r>
    </w:p>
    <w:p>
      <w:pPr>
        <w:spacing w:after="20" w:line="223" w:lineRule="auto"/>
        <w:jc w:val="right"/>
        <w:bidi/>
      </w:pPr>
      <w:r>
        <w:rPr>
          <w:rFonts w:ascii="Arial" w:hAnsi="Arial"/>
          <w:sz w:val="16"/>
        </w:rPr>
        <w:t>210.13  در شرایط تخفیف‌دهنده، یک عضو ایالتی ممکن است یک پرداخت جزئی اضطراری دریافت کند، در صورتی که به زمان حساس تلقی شود و به دلیل شرایط پیش‌بینی نشده ظرف ۲۴ ساعت لازم باشد.</w:t>
      </w:r>
    </w:p>
    <w:p>
      <w:pPr>
        <w:spacing w:after="28" w:line="216" w:lineRule="auto"/>
        <w:ind w:left="259"/>
        <w:jc w:val="left"/>
      </w:pPr>
      <w:r>
        <w:rPr>
          <w:rFonts w:ascii="Arial" w:hAnsi="Arial"/>
          <w:color w:val="525252"/>
          <w:sz w:val="13"/>
        </w:rPr>
        <w:t>Under extenuating circumstances, a stateside member may receive an emergency partial payment if deemed time sensitive and required within 24 hours due to unforeseen circumstances.</w:t>
      </w:r>
    </w:p>
    <w:p>
      <w:pPr>
        <w:spacing w:before="60" w:after="28"/>
        <w:jc w:val="right"/>
        <w:bidi/>
      </w:pPr>
      <w:r>
        <w:rPr>
          <w:b/>
          <w:color w:val="1F4D78"/>
          <w:sz w:val="18"/>
        </w:rPr>
        <w:t>12.4. کمک هزینه ها و حقوق نظامی</w:t>
      </w:r>
    </w:p>
    <w:p>
      <w:pPr>
        <w:spacing w:after="20"/>
        <w:ind w:left="259"/>
        <w:jc w:val="left"/>
      </w:pPr>
      <w:r>
        <w:rPr>
          <w:color w:val="555555"/>
          <w:sz w:val="12"/>
        </w:rPr>
        <w:t>12.4. Military Allowances and Entitlements</w:t>
      </w:r>
    </w:p>
    <w:p>
      <w:pPr>
        <w:spacing w:after="20" w:line="223" w:lineRule="auto"/>
        <w:jc w:val="right"/>
        <w:bidi/>
      </w:pPr>
      <w:r>
        <w:rPr>
          <w:rFonts w:ascii="Arial" w:hAnsi="Arial"/>
          <w:sz w:val="16"/>
        </w:rPr>
        <w:t>210.15  کمک هزینه برای نیازهای خاص مانند غذا یا مسکن ارائه می‌شود.</w:t>
      </w:r>
    </w:p>
    <w:p>
      <w:pPr>
        <w:spacing w:after="28" w:line="216" w:lineRule="auto"/>
        <w:ind w:left="259"/>
        <w:jc w:val="left"/>
      </w:pPr>
      <w:r>
        <w:rPr>
          <w:rFonts w:ascii="Arial" w:hAnsi="Arial"/>
          <w:color w:val="525252"/>
          <w:sz w:val="13"/>
        </w:rPr>
        <w:t>Allowances are provided for specific needs, such as food or housing.</w:t>
      </w:r>
    </w:p>
    <w:p>
      <w:pPr>
        <w:spacing w:after="20" w:line="223" w:lineRule="auto"/>
        <w:jc w:val="right"/>
        <w:bidi/>
      </w:pPr>
      <w:r>
        <w:rPr>
          <w:rFonts w:ascii="Arial" w:hAnsi="Arial"/>
          <w:sz w:val="16"/>
        </w:rPr>
        <w:t>210.16  کمک‌های پولی زمانی ارائه می‌شود که دولت آن نیاز خاص را تأمین نکند.</w:t>
      </w:r>
    </w:p>
    <w:p>
      <w:pPr>
        <w:spacing w:after="28" w:line="216" w:lineRule="auto"/>
        <w:ind w:left="259"/>
        <w:jc w:val="left"/>
      </w:pPr>
      <w:r>
        <w:rPr>
          <w:rFonts w:ascii="Arial" w:hAnsi="Arial"/>
          <w:color w:val="525252"/>
          <w:sz w:val="13"/>
        </w:rPr>
        <w:t>Monetary allowances are provided when the government does not provide for that specific need.</w:t>
      </w:r>
    </w:p>
    <w:p>
      <w:pPr>
        <w:spacing w:after="20" w:line="223" w:lineRule="auto"/>
        <w:jc w:val="right"/>
        <w:bidi/>
      </w:pPr>
      <w:r>
        <w:rPr>
          <w:rFonts w:ascii="Arial" w:hAnsi="Arial"/>
          <w:sz w:val="16"/>
        </w:rPr>
        <w:t>210.17  به‌عنوان مثال، کسانی که در مسکن دولتی زندگی می‌کنند کمک هزینه مسکن کامل دریافت نمی‌کنند و کسانی که در مسکن دولتی زندگی نمی‌کنند کمک هزینه‌ای برای کمک به هزینه‌های دریافت مسکن تجاری دریافت می‌کنند.</w:t>
      </w:r>
    </w:p>
    <w:p>
      <w:pPr>
        <w:spacing w:after="28" w:line="216" w:lineRule="auto"/>
        <w:ind w:left="259"/>
        <w:jc w:val="left"/>
      </w:pPr>
      <w:r>
        <w:rPr>
          <w:rFonts w:ascii="Arial" w:hAnsi="Arial"/>
          <w:color w:val="525252"/>
          <w:sz w:val="13"/>
        </w:rPr>
        <w:t>For example, those who live in government housing do not receive full housing allowances, and those who do not live in government housing receive allowances to assist with the cost of obtaining commercial housing.</w:t>
      </w:r>
    </w:p>
    <w:p>
      <w:pPr>
        <w:spacing w:after="20" w:line="223" w:lineRule="auto"/>
        <w:jc w:val="right"/>
        <w:bidi/>
      </w:pPr>
      <w:r>
        <w:rPr>
          <w:rFonts w:ascii="Arial" w:hAnsi="Arial"/>
          <w:sz w:val="16"/>
        </w:rPr>
        <w:t>210.18  بسیاری از کمک هزینه‌ها مشمول مالیات نیستند، که این یک مزیت تعبیه شده اضافی از حقوق نظامی است.</w:t>
      </w:r>
    </w:p>
    <w:p>
      <w:pPr>
        <w:spacing w:after="28" w:line="216" w:lineRule="auto"/>
        <w:ind w:left="259"/>
        <w:jc w:val="left"/>
      </w:pPr>
      <w:r>
        <w:rPr>
          <w:rFonts w:ascii="Arial" w:hAnsi="Arial"/>
          <w:color w:val="525252"/>
          <w:sz w:val="13"/>
        </w:rPr>
        <w:t>Many allowances are not taxable, which is an additional embedded benefit of military pay.</w:t>
      </w:r>
    </w:p>
    <w:p>
      <w:pPr>
        <w:spacing w:after="20" w:line="223" w:lineRule="auto"/>
        <w:jc w:val="right"/>
        <w:bidi/>
      </w:pPr>
      <w:r>
        <w:rPr>
          <w:rFonts w:ascii="Arial" w:hAnsi="Arial"/>
          <w:sz w:val="16"/>
        </w:rPr>
        <w:t>210.19  فهرست کاملی از مزایا و حقوق نظامی را می‌توانید در وب‌سایت میایرفورکبنفیتس مشاهده کنید: https://www.myairforcebenefits.us.af.mil/</w:t>
      </w:r>
    </w:p>
    <w:p>
      <w:pPr>
        <w:spacing w:after="28" w:line="216" w:lineRule="auto"/>
        <w:ind w:left="259"/>
        <w:jc w:val="left"/>
      </w:pPr>
      <w:r>
        <w:rPr>
          <w:rFonts w:ascii="Arial" w:hAnsi="Arial"/>
          <w:color w:val="525252"/>
          <w:sz w:val="13"/>
        </w:rPr>
        <w:t>A complete list of military benefits and entitlements can be found at on the MyAirForceBenefits website: https://www.myairforcebenefits.us.af.mil/.</w:t>
      </w:r>
    </w:p>
    <w:p>
      <w:pPr>
        <w:spacing w:after="20" w:line="223" w:lineRule="auto"/>
        <w:jc w:val="right"/>
        <w:bidi/>
      </w:pPr>
      <w:r>
        <w:rPr>
          <w:rFonts w:ascii="Arial" w:hAnsi="Arial"/>
          <w:sz w:val="16"/>
        </w:rPr>
        <w:t>210.20  همچنین می‌توانید بیانیه شخصی سالانه غرامت نظامی (PSMC) خود را در میپای مشاهده کنید: https://mypay.dfas.mil که می‌تواند برای نشان دادن کل غرامت خود هنگام مقایسه پیشنهادهای استخدام غیرنظامی یا درخواست اعتبار یا وام استفاده شود.</w:t>
      </w:r>
    </w:p>
    <w:p>
      <w:pPr>
        <w:spacing w:after="28" w:line="216" w:lineRule="auto"/>
        <w:ind w:left="259"/>
        <w:jc w:val="left"/>
      </w:pPr>
      <w:r>
        <w:rPr>
          <w:rFonts w:ascii="Arial" w:hAnsi="Arial"/>
          <w:color w:val="525252"/>
          <w:sz w:val="13"/>
        </w:rPr>
        <w:t>You can also view your annual Personal Statement of Military Compensation (PSMC) on myPay: https://mypay.dfas.mil which can be used to show your total compensation when comparing civilian employment offers or applying for credit or loans.</w:t>
      </w:r>
    </w:p>
    <w:p>
      <w:pPr>
        <w:spacing w:after="20" w:line="223" w:lineRule="auto"/>
        <w:jc w:val="right"/>
        <w:bidi/>
      </w:pPr>
      <w:r>
        <w:rPr>
          <w:rFonts w:ascii="Arial" w:hAnsi="Arial"/>
          <w:sz w:val="16"/>
        </w:rPr>
        <w:t>210.21  کمک هزینه پایه معیشتی.</w:t>
      </w:r>
    </w:p>
    <w:p>
      <w:pPr>
        <w:spacing w:after="28" w:line="216" w:lineRule="auto"/>
        <w:ind w:left="259"/>
        <w:jc w:val="left"/>
      </w:pPr>
      <w:r>
        <w:rPr>
          <w:rFonts w:ascii="Arial" w:hAnsi="Arial"/>
          <w:color w:val="525252"/>
          <w:sz w:val="13"/>
        </w:rPr>
        <w:t>Basic Allowance for Subsistence.</w:t>
      </w:r>
    </w:p>
    <w:p>
      <w:pPr>
        <w:spacing w:after="20" w:line="223" w:lineRule="auto"/>
        <w:jc w:val="right"/>
        <w:bidi/>
      </w:pPr>
      <w:r>
        <w:rPr>
          <w:rFonts w:ascii="Arial" w:hAnsi="Arial"/>
          <w:sz w:val="16"/>
        </w:rPr>
        <w:t>210.22  کمک هزینه اصلی برای امرار معاش، کمک هزینه غیرقابل مالیاتی است که برای جبران هزینه وعده‌های غذایی یک عضو نیروهای مسلح استفاده می‌شود.</w:t>
      </w:r>
    </w:p>
    <w:p>
      <w:pPr>
        <w:spacing w:after="28" w:line="216" w:lineRule="auto"/>
        <w:ind w:left="259"/>
        <w:jc w:val="left"/>
      </w:pPr>
      <w:r>
        <w:rPr>
          <w:rFonts w:ascii="Arial" w:hAnsi="Arial"/>
          <w:color w:val="525252"/>
          <w:sz w:val="13"/>
        </w:rPr>
        <w:t>Basic allowance for subsistence is a nontaxable allowance used to offset the cost of a service member’s meals.</w:t>
      </w:r>
    </w:p>
    <w:p>
      <w:pPr>
        <w:spacing w:after="20" w:line="223" w:lineRule="auto"/>
        <w:jc w:val="right"/>
        <w:bidi/>
      </w:pPr>
      <w:r>
        <w:rPr>
          <w:rFonts w:ascii="Arial" w:hAnsi="Arial"/>
          <w:sz w:val="16"/>
        </w:rPr>
        <w:t>210.23  اغلب اعضای ثبت‌نام شده درجه اول که به محله‌های دولتی تک نوع در ایستگاه وظیفه دائمی خود منصوب می‌شوند، ملزم به صرف غذا در مراکز ناهار خوری دولتی، دریافت کمک هزینه اولیه برای امرار معاش و دریافت نرخ تخفیف غذا هستند که از حقوق آنها کسر می‌شود.</w:t>
      </w:r>
    </w:p>
    <w:p>
      <w:pPr>
        <w:spacing w:after="28" w:line="216" w:lineRule="auto"/>
        <w:ind w:left="259"/>
        <w:jc w:val="left"/>
      </w:pPr>
      <w:r>
        <w:rPr>
          <w:rFonts w:ascii="Arial" w:hAnsi="Arial"/>
          <w:color w:val="525252"/>
          <w:sz w:val="13"/>
        </w:rPr>
        <w:t>Often junior grade enlisted members assigned to single-type government quarters at their permanent duty station are required to eat in government dining facilities, receive basic allowance for subsistence, and are charged the discounted meal rate which is deducted from their pay.</w:t>
      </w:r>
    </w:p>
    <w:p>
      <w:pPr>
        <w:spacing w:after="20" w:line="223" w:lineRule="auto"/>
        <w:jc w:val="right"/>
        <w:bidi/>
      </w:pPr>
      <w:r>
        <w:rPr>
          <w:rFonts w:ascii="Arial" w:hAnsi="Arial"/>
          <w:sz w:val="16"/>
        </w:rPr>
        <w:t>210.24  هنگامی که توسط افسر فرمانده یا منصوب تأیید شده باشد، اعضا مجازند برای وعده‌های غذایی از دست رفته مطالبه بازپرداخت کنند.</w:t>
      </w:r>
    </w:p>
    <w:p>
      <w:pPr>
        <w:spacing w:after="28" w:line="216" w:lineRule="auto"/>
        <w:ind w:left="259"/>
        <w:jc w:val="left"/>
      </w:pPr>
      <w:r>
        <w:rPr>
          <w:rFonts w:ascii="Arial" w:hAnsi="Arial"/>
          <w:color w:val="525252"/>
          <w:sz w:val="13"/>
        </w:rPr>
        <w:t>When certified by the commanding officer or designee, members are allowed to claim reimbursement for missed meals.</w:t>
      </w:r>
    </w:p>
    <w:p>
      <w:pPr>
        <w:spacing w:after="20" w:line="223" w:lineRule="auto"/>
        <w:jc w:val="right"/>
        <w:bidi/>
      </w:pPr>
      <w:r>
        <w:rPr>
          <w:rFonts w:ascii="Arial" w:hAnsi="Arial"/>
          <w:sz w:val="16"/>
        </w:rPr>
        <w:t>210.25  کمک هزینه پایه مسکن.</w:t>
      </w:r>
    </w:p>
    <w:p>
      <w:pPr>
        <w:spacing w:after="28" w:line="216" w:lineRule="auto"/>
        <w:ind w:left="259"/>
        <w:jc w:val="left"/>
      </w:pPr>
      <w:r>
        <w:rPr>
          <w:rFonts w:ascii="Arial" w:hAnsi="Arial"/>
          <w:color w:val="525252"/>
          <w:sz w:val="13"/>
        </w:rPr>
        <w:t>Basic Allowance for Housing.</w:t>
      </w:r>
    </w:p>
    <w:p>
      <w:pPr>
        <w:spacing w:after="20" w:line="223" w:lineRule="auto"/>
        <w:jc w:val="right"/>
        <w:bidi/>
      </w:pPr>
      <w:r>
        <w:rPr>
          <w:rFonts w:ascii="Arial" w:hAnsi="Arial"/>
          <w:sz w:val="16"/>
        </w:rPr>
        <w:t>210.26  هدف کمک هزینه اولیه برای مسکن، ارائه غرامت مسکن دقیق و عادلانه به اعضای نیروهای مسلح متحدالشکل بر اساس هزینه‌های مسکن در بازارهای مسکن غیرنظامی محلی است.</w:t>
      </w:r>
    </w:p>
    <w:p>
      <w:pPr>
        <w:spacing w:after="28" w:line="216" w:lineRule="auto"/>
        <w:ind w:left="259"/>
        <w:jc w:val="left"/>
      </w:pPr>
      <w:r>
        <w:rPr>
          <w:rFonts w:ascii="Arial" w:hAnsi="Arial"/>
          <w:color w:val="525252"/>
          <w:sz w:val="13"/>
        </w:rPr>
        <w:t>The intent of basic allowance for housing is to provide uniformed service members accurate and equitable housing compensation based on housing costs in local civilian housing markets.</w:t>
      </w:r>
    </w:p>
    <w:p>
      <w:pPr>
        <w:spacing w:after="20" w:line="223" w:lineRule="auto"/>
        <w:jc w:val="right"/>
        <w:bidi/>
      </w:pPr>
      <w:r>
        <w:rPr>
          <w:rFonts w:ascii="Arial" w:hAnsi="Arial"/>
          <w:sz w:val="16"/>
        </w:rPr>
        <w:t>210.27  این کمک هزینه زمانی قابل پرداخت است که محله‌های دولتی تأمین نشود.</w:t>
      </w:r>
    </w:p>
    <w:p>
      <w:pPr>
        <w:spacing w:after="28" w:line="216" w:lineRule="auto"/>
        <w:ind w:left="259"/>
        <w:jc w:val="left"/>
      </w:pPr>
      <w:r>
        <w:rPr>
          <w:rFonts w:ascii="Arial" w:hAnsi="Arial"/>
          <w:color w:val="525252"/>
          <w:sz w:val="13"/>
        </w:rPr>
        <w:t>This allowance is payable when government quarters are not provided.</w:t>
      </w:r>
    </w:p>
    <w:p>
      <w:pPr>
        <w:spacing w:after="20" w:line="223" w:lineRule="auto"/>
        <w:jc w:val="right"/>
        <w:bidi/>
      </w:pPr>
      <w:r>
        <w:rPr>
          <w:rFonts w:ascii="Arial" w:hAnsi="Arial"/>
          <w:sz w:val="16"/>
        </w:rPr>
        <w:t>210.28  بسیاری از تاسیسات USAF بخش‌های خصوصی‌سازی شده‌اند.</w:t>
      </w:r>
    </w:p>
    <w:p>
      <w:pPr>
        <w:spacing w:after="28" w:line="216" w:lineRule="auto"/>
        <w:ind w:left="259"/>
        <w:jc w:val="left"/>
      </w:pPr>
      <w:r>
        <w:rPr>
          <w:rFonts w:ascii="Arial" w:hAnsi="Arial"/>
          <w:color w:val="525252"/>
          <w:sz w:val="13"/>
        </w:rPr>
        <w:t>Many USAF installations have privatized quarters.</w:t>
      </w:r>
    </w:p>
    <w:p>
      <w:pPr>
        <w:spacing w:after="20" w:line="223" w:lineRule="auto"/>
        <w:jc w:val="right"/>
        <w:bidi/>
      </w:pPr>
      <w:r>
        <w:rPr>
          <w:rFonts w:ascii="Arial" w:hAnsi="Arial"/>
          <w:sz w:val="16"/>
        </w:rPr>
        <w:t>210.29  اعضای محله‌های خصوصی‌شده از کمک هزینه اولیه مسکن برخوردارند.</w:t>
      </w:r>
    </w:p>
    <w:p>
      <w:pPr>
        <w:spacing w:after="28" w:line="216" w:lineRule="auto"/>
        <w:ind w:left="259"/>
        <w:jc w:val="left"/>
      </w:pPr>
      <w:r>
        <w:rPr>
          <w:rFonts w:ascii="Arial" w:hAnsi="Arial"/>
          <w:color w:val="525252"/>
          <w:sz w:val="13"/>
        </w:rPr>
        <w:t>Members in privatized quarters are entitled to basic allowance for housing.</w:t>
      </w:r>
    </w:p>
    <w:p>
      <w:pPr>
        <w:spacing w:after="20" w:line="223" w:lineRule="auto"/>
        <w:jc w:val="right"/>
        <w:bidi/>
      </w:pPr>
      <w:r>
        <w:rPr>
          <w:rFonts w:ascii="Arial" w:hAnsi="Arial"/>
          <w:sz w:val="16"/>
        </w:rPr>
        <w:t>210.30  یک قرارداد اجاره مستلزم آن است که مبلغ اجاره از کمک هزینه اولیه برای حق مسکن پرداخت شده از طریق تخصیص تجاوز نکند.</w:t>
      </w:r>
    </w:p>
    <w:p>
      <w:pPr>
        <w:spacing w:after="28" w:line="216" w:lineRule="auto"/>
        <w:ind w:left="259"/>
        <w:jc w:val="left"/>
      </w:pPr>
      <w:r>
        <w:rPr>
          <w:rFonts w:ascii="Arial" w:hAnsi="Arial"/>
          <w:color w:val="525252"/>
          <w:sz w:val="13"/>
        </w:rPr>
        <w:t>A rental agreement requires a rent amount not to exceed the basic allowance for housing entitlement paid via allotment.</w:t>
      </w:r>
    </w:p>
    <w:p>
      <w:pPr>
        <w:spacing w:after="20" w:line="223" w:lineRule="auto"/>
        <w:jc w:val="right"/>
        <w:bidi/>
      </w:pPr>
      <w:r>
        <w:rPr>
          <w:rFonts w:ascii="Arial" w:hAnsi="Arial"/>
          <w:sz w:val="16"/>
        </w:rPr>
        <w:t>210.31  توجه: اعضای بدون افراد تحت تکفل ساکن در محله‌های تک نوع دولتی مستحق دریافت کمک هزینه پایه برای مسکن هستند، مگر اینکه این محله‌ها (از جمله محله‌های اجاره‌ای دولت) از حداقل استانداردهای محله‌های مجردی برای درجه آنها بیشتر باشد.</w:t>
      </w:r>
    </w:p>
    <w:p>
      <w:pPr>
        <w:spacing w:after="28" w:line="216" w:lineRule="auto"/>
        <w:ind w:left="259"/>
        <w:jc w:val="left"/>
      </w:pPr>
      <w:r>
        <w:rPr>
          <w:rFonts w:ascii="Arial" w:hAnsi="Arial"/>
          <w:color w:val="525252"/>
          <w:sz w:val="13"/>
        </w:rPr>
        <w:t>Note: Members without dependents residing in government single-type quarters are entitled to partial basic allowance for housing unless the quarters (including government-leased quarters) exceed the minimum standards of single quarters for their grade.</w:t>
      </w:r>
    </w:p>
    <w:p>
      <w:pPr>
        <w:spacing w:after="20" w:line="223" w:lineRule="auto"/>
        <w:jc w:val="right"/>
        <w:bidi/>
      </w:pPr>
      <w:r>
        <w:rPr>
          <w:rFonts w:ascii="Arial" w:hAnsi="Arial"/>
          <w:sz w:val="16"/>
        </w:rPr>
        <w:t>210.32  اعضایی که در محله‌های دولتی تکی زندگی می‌کنند و نفقه کودک را که توسط دادگاه دستور داده شده پرداخت می‌کنند، ممکن است واجد شرایط دریافت تفاوت (کمک هزینه اساسی برای مسکن-تفاوتی) باشند.</w:t>
      </w:r>
    </w:p>
    <w:p>
      <w:pPr>
        <w:spacing w:after="28" w:line="216" w:lineRule="auto"/>
        <w:ind w:left="259"/>
        <w:jc w:val="left"/>
      </w:pPr>
      <w:r>
        <w:rPr>
          <w:rFonts w:ascii="Arial" w:hAnsi="Arial"/>
          <w:color w:val="525252"/>
          <w:sz w:val="13"/>
        </w:rPr>
        <w:t>Members living in single-type government quarters who pay court- ordered child support may qualify for differential (basic allowance for housing-differential).</w:t>
      </w:r>
    </w:p>
    <w:p>
      <w:r>
        <w:br w:type="page"/>
      </w:r>
    </w:p>
    <w:p>
      <w:pPr>
        <w:spacing w:after="60"/>
        <w:jc w:val="right"/>
        <w:bidi/>
      </w:pPr>
      <w:r>
        <w:rPr>
          <w:rFonts w:ascii="Arial" w:hAnsi="Arial"/>
          <w:b/>
          <w:color w:val="1F4D78"/>
          <w:sz w:val="19"/>
        </w:rPr>
        <w:t>هفتهٔ 211  |  صفحهٔ منبع: 227</w:t>
      </w:r>
    </w:p>
    <w:p>
      <w:pPr>
        <w:spacing w:after="20" w:line="223" w:lineRule="auto"/>
        <w:jc w:val="right"/>
        <w:bidi/>
      </w:pPr>
      <w:r>
        <w:rPr>
          <w:rFonts w:ascii="Arial" w:hAnsi="Arial"/>
          <w:sz w:val="16"/>
        </w:rPr>
        <w:t>211.01  کمک هزینه مسکن در خارج از کشور.</w:t>
      </w:r>
    </w:p>
    <w:p>
      <w:pPr>
        <w:spacing w:after="28" w:line="216" w:lineRule="auto"/>
        <w:ind w:left="259"/>
        <w:jc w:val="left"/>
      </w:pPr>
      <w:r>
        <w:rPr>
          <w:rFonts w:ascii="Arial" w:hAnsi="Arial"/>
          <w:color w:val="525252"/>
          <w:sz w:val="13"/>
        </w:rPr>
        <w:t>Overseas Housing Allowance.</w:t>
      </w:r>
    </w:p>
    <w:p>
      <w:pPr>
        <w:spacing w:after="20" w:line="223" w:lineRule="auto"/>
        <w:jc w:val="right"/>
        <w:bidi/>
      </w:pPr>
      <w:r>
        <w:rPr>
          <w:rFonts w:ascii="Arial" w:hAnsi="Arial"/>
          <w:sz w:val="16"/>
        </w:rPr>
        <w:t>211.02  کمک هزینه مسکن در خارج از کشور یک کمک هزینه مبتنی بر بازپرداخت هزینه است که برای کمک به پرداخت هزینه‌های مسکن در محل مأموریت‌ها به یک ایستگاه وظیفه دائمی در خارج از ایالات متحده است.</w:t>
      </w:r>
    </w:p>
    <w:p>
      <w:pPr>
        <w:spacing w:after="28" w:line="216" w:lineRule="auto"/>
        <w:ind w:left="259"/>
        <w:jc w:val="left"/>
      </w:pPr>
      <w:r>
        <w:rPr>
          <w:rFonts w:ascii="Arial" w:hAnsi="Arial"/>
          <w:color w:val="525252"/>
          <w:sz w:val="13"/>
        </w:rPr>
        <w:t>Overseas housing allowance is a cost reimbursement-based allowance to help defray housing costs incident to assignments to a permanent duty station outside the United States.</w:t>
      </w:r>
    </w:p>
    <w:p>
      <w:pPr>
        <w:spacing w:after="20" w:line="223" w:lineRule="auto"/>
        <w:jc w:val="right"/>
        <w:bidi/>
      </w:pPr>
      <w:r>
        <w:rPr>
          <w:rFonts w:ascii="Arial" w:hAnsi="Arial"/>
          <w:sz w:val="16"/>
        </w:rPr>
        <w:t>211.03  هزینه‌های واقعی اجاره به اعضا بازپرداخت می‌شود تا از حداکثر نرخ کمک هزینه مسکن در خارج از کشور برای هر محل، درجه و وضعیت وابستگی تجاوز نکند.</w:t>
      </w:r>
    </w:p>
    <w:p>
      <w:pPr>
        <w:spacing w:after="28" w:line="216" w:lineRule="auto"/>
        <w:ind w:left="259"/>
        <w:jc w:val="left"/>
      </w:pPr>
      <w:r>
        <w:rPr>
          <w:rFonts w:ascii="Arial" w:hAnsi="Arial"/>
          <w:color w:val="525252"/>
          <w:sz w:val="13"/>
        </w:rPr>
        <w:t>Members are reimbursed actual rental costs not to exceed the maximum overseas housing allowance rate for each locality, grade, and dependency status.</w:t>
      </w:r>
    </w:p>
    <w:p>
      <w:pPr>
        <w:spacing w:after="20" w:line="223" w:lineRule="auto"/>
        <w:jc w:val="right"/>
        <w:bidi/>
      </w:pPr>
      <w:r>
        <w:rPr>
          <w:rFonts w:ascii="Arial" w:hAnsi="Arial"/>
          <w:sz w:val="16"/>
        </w:rPr>
        <w:t>211.04  کمک هزینه مسکن نقل مکان (برای کسانی که واجد شرایط هستند) بر اساس میانگین هزینه‌های «اسباب» برای اعضا است.</w:t>
      </w:r>
    </w:p>
    <w:p>
      <w:pPr>
        <w:spacing w:after="28" w:line="216" w:lineRule="auto"/>
        <w:ind w:left="259"/>
        <w:jc w:val="left"/>
      </w:pPr>
      <w:r>
        <w:rPr>
          <w:rFonts w:ascii="Arial" w:hAnsi="Arial"/>
          <w:color w:val="525252"/>
          <w:sz w:val="13"/>
        </w:rPr>
        <w:t>Move-in housing allowance (for those who qualify) is based on the average “move-in” costs for members.</w:t>
      </w:r>
    </w:p>
    <w:p>
      <w:pPr>
        <w:spacing w:after="20" w:line="223" w:lineRule="auto"/>
        <w:jc w:val="right"/>
        <w:bidi/>
      </w:pPr>
      <w:r>
        <w:rPr>
          <w:rFonts w:ascii="Arial" w:hAnsi="Arial"/>
          <w:sz w:val="16"/>
        </w:rPr>
        <w:t>211.05  کمک هزینه مسکن ماهانه در خارج از کشور شامل اجاره بها (تا سقف کمک هزینه اجاره در یک ایستگاه وظیفه دائمی) به اضافه کمک هزینه خدمات شهری/تعمیرات مکرر است.</w:t>
      </w:r>
    </w:p>
    <w:p>
      <w:pPr>
        <w:spacing w:after="28" w:line="216" w:lineRule="auto"/>
        <w:ind w:left="259"/>
        <w:jc w:val="left"/>
      </w:pPr>
      <w:r>
        <w:rPr>
          <w:rFonts w:ascii="Arial" w:hAnsi="Arial"/>
          <w:color w:val="525252"/>
          <w:sz w:val="13"/>
        </w:rPr>
        <w:t>Monthly overseas housing allowance includes the rent (up to the rental allowance at a permanent duty station) plus the utility/recurring maintenance allowance.</w:t>
      </w:r>
    </w:p>
    <w:p>
      <w:pPr>
        <w:spacing w:after="20" w:line="223" w:lineRule="auto"/>
        <w:jc w:val="right"/>
        <w:bidi/>
      </w:pPr>
      <w:r>
        <w:rPr>
          <w:rFonts w:ascii="Arial" w:hAnsi="Arial"/>
          <w:sz w:val="16"/>
        </w:rPr>
        <w:t>211.06  مسکن جدایی خانواده.</w:t>
      </w:r>
    </w:p>
    <w:p>
      <w:pPr>
        <w:spacing w:after="28" w:line="216" w:lineRule="auto"/>
        <w:ind w:left="259"/>
        <w:jc w:val="left"/>
      </w:pPr>
      <w:r>
        <w:rPr>
          <w:rFonts w:ascii="Arial" w:hAnsi="Arial"/>
          <w:color w:val="525252"/>
          <w:sz w:val="13"/>
        </w:rPr>
        <w:t>Family Separation Housing.</w:t>
      </w:r>
    </w:p>
    <w:p>
      <w:pPr>
        <w:spacing w:after="20" w:line="223" w:lineRule="auto"/>
        <w:jc w:val="right"/>
        <w:bidi/>
      </w:pPr>
      <w:r>
        <w:rPr>
          <w:rFonts w:ascii="Arial" w:hAnsi="Arial"/>
          <w:sz w:val="16"/>
        </w:rPr>
        <w:t>211.07  هدف از مسکن جدایی خانواده پرداخت هزینه‌های اضافی مسکن به عضویت در نتیجه جدایی اجباری از افراد تحت تکفل است.</w:t>
      </w:r>
    </w:p>
    <w:p>
      <w:pPr>
        <w:spacing w:after="28" w:line="216" w:lineRule="auto"/>
        <w:ind w:left="259"/>
        <w:jc w:val="left"/>
      </w:pPr>
      <w:r>
        <w:rPr>
          <w:rFonts w:ascii="Arial" w:hAnsi="Arial"/>
          <w:color w:val="525252"/>
          <w:sz w:val="13"/>
        </w:rPr>
        <w:t>The purpose of family separation housing is to pay a member for added housing expenses resulting from enforced separation from dependents.</w:t>
      </w:r>
    </w:p>
    <w:p>
      <w:pPr>
        <w:spacing w:after="20" w:line="223" w:lineRule="auto"/>
        <w:jc w:val="right"/>
        <w:bidi/>
      </w:pPr>
      <w:r>
        <w:rPr>
          <w:rFonts w:ascii="Arial" w:hAnsi="Arial"/>
          <w:sz w:val="16"/>
        </w:rPr>
        <w:t>211.08  کمک هزینه مسکن جدایی خانواده - کمک هزینه پایه مسکن به میزان ماهانه معادل کمک هزینه پایه بدون وابسته برای نرخ مسکن مربوط به درجه و ایستگاه وظیفه دائمی اعضا قابل پرداخت است.</w:t>
      </w:r>
    </w:p>
    <w:p>
      <w:pPr>
        <w:spacing w:after="28" w:line="216" w:lineRule="auto"/>
        <w:ind w:left="259"/>
        <w:jc w:val="left"/>
      </w:pPr>
      <w:r>
        <w:rPr>
          <w:rFonts w:ascii="Arial" w:hAnsi="Arial"/>
          <w:color w:val="525252"/>
          <w:sz w:val="13"/>
        </w:rPr>
        <w:t>Family separation housing-basic allowance for housing is payable in a monthly amount equal to the without- dependent basic allowance for housing rate applicable to the member’s grade and permanent duty station.</w:t>
      </w:r>
    </w:p>
    <w:p>
      <w:pPr>
        <w:spacing w:after="20" w:line="223" w:lineRule="auto"/>
        <w:jc w:val="right"/>
        <w:bidi/>
      </w:pPr>
      <w:r>
        <w:rPr>
          <w:rFonts w:ascii="Arial" w:hAnsi="Arial"/>
          <w:sz w:val="16"/>
        </w:rPr>
        <w:t>211.09  کمک هزینه مسکن جدایی خانواده از خارج از کشور به میزان ماهانه حداکثر تا نرخ کمک هزینه مسکن خارج از کشور بدون وابسته که برای درجه و ایستگاه وظیفه دائمی اعضا قابل پرداخت است.</w:t>
      </w:r>
    </w:p>
    <w:p>
      <w:pPr>
        <w:spacing w:after="28" w:line="216" w:lineRule="auto"/>
        <w:ind w:left="259"/>
        <w:jc w:val="left"/>
      </w:pPr>
      <w:r>
        <w:rPr>
          <w:rFonts w:ascii="Arial" w:hAnsi="Arial"/>
          <w:color w:val="525252"/>
          <w:sz w:val="13"/>
        </w:rPr>
        <w:t>Family separation housing-overseas housing allowance is payable in a monthly amount up to the without-dependent overseas housing allowance rate applicable to the member’s grade and permanent duty station.</w:t>
      </w:r>
    </w:p>
    <w:p>
      <w:pPr>
        <w:spacing w:before="60" w:after="28"/>
        <w:jc w:val="right"/>
        <w:bidi/>
      </w:pPr>
      <w:r>
        <w:rPr>
          <w:b/>
          <w:color w:val="1F4D78"/>
          <w:sz w:val="18"/>
        </w:rPr>
        <w:t>12.5. کمک هزینه تعویض لباس</w:t>
      </w:r>
    </w:p>
    <w:p>
      <w:pPr>
        <w:spacing w:after="20"/>
        <w:ind w:left="259"/>
        <w:jc w:val="left"/>
      </w:pPr>
      <w:r>
        <w:rPr>
          <w:color w:val="555555"/>
          <w:sz w:val="12"/>
        </w:rPr>
        <w:t>12.5. Clothing Replacement Allowance</w:t>
      </w:r>
    </w:p>
    <w:p>
      <w:pPr>
        <w:spacing w:after="20" w:line="223" w:lineRule="auto"/>
        <w:jc w:val="right"/>
        <w:bidi/>
      </w:pPr>
      <w:r>
        <w:rPr>
          <w:rFonts w:ascii="Arial" w:hAnsi="Arial"/>
          <w:sz w:val="16"/>
        </w:rPr>
        <w:t>211.11  اعضای نظامی که استخدام می‌شوند، کمک هزینه سالانه دریافت می‌کنند تا در صورت لزوم، به نگهداری، تعمیر و تعویض اقلام یونیفرم اولیه کمک کنند.</w:t>
      </w:r>
    </w:p>
    <w:p>
      <w:pPr>
        <w:spacing w:after="28" w:line="216" w:lineRule="auto"/>
        <w:ind w:left="259"/>
        <w:jc w:val="left"/>
      </w:pPr>
      <w:r>
        <w:rPr>
          <w:rFonts w:ascii="Arial" w:hAnsi="Arial"/>
          <w:color w:val="525252"/>
          <w:sz w:val="13"/>
        </w:rPr>
        <w:t>Enlisted military members receive an annual allowance to help maintain, repair, and replace initial issue uniform items, as necessary.</w:t>
      </w:r>
    </w:p>
    <w:p>
      <w:pPr>
        <w:spacing w:after="20" w:line="223" w:lineRule="auto"/>
        <w:jc w:val="right"/>
        <w:bidi/>
      </w:pPr>
      <w:r>
        <w:rPr>
          <w:rFonts w:ascii="Arial" w:hAnsi="Arial"/>
          <w:sz w:val="16"/>
        </w:rPr>
        <w:t>211.12  کمک هزینه تعویض لباس - پایه یک کمک هزینه تعویض اولیه است که سالانه بین ماه‌های ششم و سی و ششم وضعیت رگاف پرداخت می‌شود.</w:t>
      </w:r>
    </w:p>
    <w:p>
      <w:pPr>
        <w:spacing w:after="28" w:line="216" w:lineRule="auto"/>
        <w:ind w:left="259"/>
        <w:jc w:val="left"/>
      </w:pPr>
      <w:r>
        <w:rPr>
          <w:rFonts w:ascii="Arial" w:hAnsi="Arial"/>
          <w:color w:val="525252"/>
          <w:sz w:val="13"/>
        </w:rPr>
        <w:t>Clothing replacement allowance-basic is a preliminary replacement allowance paid annually between the 6th and 36th month of RegAF status.</w:t>
      </w:r>
    </w:p>
    <w:p>
      <w:pPr>
        <w:spacing w:after="20" w:line="223" w:lineRule="auto"/>
        <w:jc w:val="right"/>
        <w:bidi/>
      </w:pPr>
      <w:r>
        <w:rPr>
          <w:rFonts w:ascii="Arial" w:hAnsi="Arial"/>
          <w:sz w:val="16"/>
        </w:rPr>
        <w:t>211.13  استاندارد کمک هزینه تعویض لباس به‌طور خودکار پس از ۳۶ ماه از وضعیت رگاف جایگزین کمک هزینه تعویض لباس می‌شود.</w:t>
      </w:r>
    </w:p>
    <w:p>
      <w:pPr>
        <w:spacing w:after="28" w:line="216" w:lineRule="auto"/>
        <w:ind w:left="259"/>
        <w:jc w:val="left"/>
      </w:pPr>
      <w:r>
        <w:rPr>
          <w:rFonts w:ascii="Arial" w:hAnsi="Arial"/>
          <w:color w:val="525252"/>
          <w:sz w:val="13"/>
        </w:rPr>
        <w:t>Clothing replacement allowance-standard automatically replaces clothing replacement allowance-basic after 36 months of RegAF status.</w:t>
      </w:r>
    </w:p>
    <w:p>
      <w:pPr>
        <w:spacing w:after="20" w:line="223" w:lineRule="auto"/>
        <w:jc w:val="right"/>
        <w:bidi/>
      </w:pPr>
      <w:r>
        <w:rPr>
          <w:rFonts w:ascii="Arial" w:hAnsi="Arial"/>
          <w:sz w:val="16"/>
        </w:rPr>
        <w:t>211.14  استحقاق هر یک از این کمک هزینه‌ها بستگی به "درج شده در تاریخ وضعیت رگاف" در حساب پرداخت نظامی ارشد خود دارد.</w:t>
      </w:r>
    </w:p>
    <w:p>
      <w:pPr>
        <w:spacing w:after="28" w:line="216" w:lineRule="auto"/>
        <w:ind w:left="259"/>
        <w:jc w:val="left"/>
      </w:pPr>
      <w:r>
        <w:rPr>
          <w:rFonts w:ascii="Arial" w:hAnsi="Arial"/>
          <w:color w:val="525252"/>
          <w:sz w:val="13"/>
        </w:rPr>
        <w:t>Entitlement to either allowance depends on the individual’s “entered on RegAF status date” in his or her master military pay account.</w:t>
      </w:r>
    </w:p>
    <w:p>
      <w:pPr>
        <w:spacing w:before="60" w:after="28"/>
        <w:jc w:val="right"/>
        <w:bidi/>
      </w:pPr>
      <w:r>
        <w:rPr>
          <w:b/>
          <w:color w:val="1F4D78"/>
          <w:sz w:val="18"/>
        </w:rPr>
        <w:t>12.6. کمک هزینه جدایی خانواده</w:t>
      </w:r>
    </w:p>
    <w:p>
      <w:pPr>
        <w:spacing w:after="20"/>
        <w:ind w:left="259"/>
        <w:jc w:val="left"/>
      </w:pPr>
      <w:r>
        <w:rPr>
          <w:color w:val="555555"/>
          <w:sz w:val="12"/>
        </w:rPr>
        <w:t>12.6. Family Separation Allowance</w:t>
      </w:r>
    </w:p>
    <w:p>
      <w:pPr>
        <w:spacing w:after="20" w:line="223" w:lineRule="auto"/>
        <w:jc w:val="right"/>
        <w:bidi/>
      </w:pPr>
      <w:r>
        <w:rPr>
          <w:rFonts w:ascii="Arial" w:hAnsi="Arial"/>
          <w:sz w:val="16"/>
        </w:rPr>
        <w:t>211.16  کمک هزینه جدایی خانواده به اعضای دارای تحت تکفل علاوه بر سایر کمک هزینه‌ها یا روزمزدی که ممکن است یک عضو مستحق دریافت آن باشد، قابل پرداخت است.</w:t>
      </w:r>
    </w:p>
    <w:p>
      <w:pPr>
        <w:spacing w:after="28" w:line="216" w:lineRule="auto"/>
        <w:ind w:left="259"/>
        <w:jc w:val="left"/>
      </w:pPr>
      <w:r>
        <w:rPr>
          <w:rFonts w:ascii="Arial" w:hAnsi="Arial"/>
          <w:color w:val="525252"/>
          <w:sz w:val="13"/>
        </w:rPr>
        <w:t>Family separation allowance is payable to members with dependents in addition to other allowances or per diem to which a member may be entitled.</w:t>
      </w:r>
    </w:p>
    <w:p>
      <w:pPr>
        <w:spacing w:after="20" w:line="223" w:lineRule="auto"/>
        <w:jc w:val="right"/>
        <w:bidi/>
      </w:pPr>
      <w:r>
        <w:rPr>
          <w:rFonts w:ascii="Arial" w:hAnsi="Arial"/>
          <w:sz w:val="16"/>
        </w:rPr>
        <w:t>211.17  هدف از کمک هزینه جدایی خانواده، جبران هزینه‌های اضافه شده به اعضای واجد شرایط ناشی از جدایی اجباری خانواده است.</w:t>
      </w:r>
    </w:p>
    <w:p>
      <w:pPr>
        <w:spacing w:after="28" w:line="216" w:lineRule="auto"/>
        <w:ind w:left="259"/>
        <w:jc w:val="left"/>
      </w:pPr>
      <w:r>
        <w:rPr>
          <w:rFonts w:ascii="Arial" w:hAnsi="Arial"/>
          <w:color w:val="525252"/>
          <w:sz w:val="13"/>
        </w:rPr>
        <w:t>The purpose of family separation allowance is to compensate qualified members for added expenses incurred due to an enforced family separation.</w:t>
      </w:r>
    </w:p>
    <w:p>
      <w:pPr>
        <w:spacing w:after="20" w:line="223" w:lineRule="auto"/>
        <w:jc w:val="right"/>
        <w:bidi/>
      </w:pPr>
      <w:r>
        <w:rPr>
          <w:rFonts w:ascii="Arial" w:hAnsi="Arial"/>
          <w:sz w:val="16"/>
        </w:rPr>
        <w:t>211.18  محدودیت کمک هزینه جدایی خانواده زمانی اعمال می‌شود که حمل و نقل افراد تحت تکفل با هزینه دولت مجاز نباشد و افراد تحت تکفل در مجاورت ایستگاه وظیفه دائمی عضو زندگی نکنند.</w:t>
      </w:r>
    </w:p>
    <w:p>
      <w:pPr>
        <w:spacing w:after="28" w:line="216" w:lineRule="auto"/>
        <w:ind w:left="259"/>
        <w:jc w:val="left"/>
      </w:pPr>
      <w:r>
        <w:rPr>
          <w:rFonts w:ascii="Arial" w:hAnsi="Arial"/>
          <w:color w:val="525252"/>
          <w:sz w:val="13"/>
        </w:rPr>
        <w:t>Family separation allowance-restricted applies when transportation of dependents is not authorized at government expense, and the dependents do not live in the vicinity of the member’s permanent duty station.</w:t>
      </w:r>
    </w:p>
    <w:p>
      <w:pPr>
        <w:spacing w:after="20" w:line="223" w:lineRule="auto"/>
        <w:jc w:val="right"/>
        <w:bidi/>
      </w:pPr>
      <w:r>
        <w:rPr>
          <w:rFonts w:ascii="Arial" w:hAnsi="Arial"/>
          <w:sz w:val="16"/>
        </w:rPr>
        <w:t>211.19  کمک هزینه جدایی خانواده-موقت زمانی اعمال می‌شود که عضوی به‌طور مداوم بیش از ۳۰ روز در خدمت موقت دور از پایگاه دائمی وظیفه باشد، و افراد تحت تکفل آن عضو در ایستگاه وظیفه موقت یا در نزدیکی آن ساکن نباشند، از جمله اعضایی که قبل از گزارش به ایستگاه اولیه مأموریت، شروع به کار موقت کرده‌اند.</w:t>
      </w:r>
    </w:p>
    <w:p>
      <w:pPr>
        <w:spacing w:after="28" w:line="216" w:lineRule="auto"/>
        <w:ind w:left="259"/>
        <w:jc w:val="left"/>
      </w:pPr>
      <w:r>
        <w:rPr>
          <w:rFonts w:ascii="Arial" w:hAnsi="Arial"/>
          <w:color w:val="525252"/>
          <w:sz w:val="13"/>
        </w:rPr>
        <w:t>Family separation allowance-temporary applies when a member is on temporary duty away from the permanent duty station continuously for more than 30 days, and the member’s dependents are not residing at or near the temporary duty station, including members beginning temporary duty before reporting to the initial station of assignment.</w:t>
      </w:r>
    </w:p>
    <w:p>
      <w:pPr>
        <w:spacing w:before="60" w:after="28"/>
        <w:jc w:val="right"/>
        <w:bidi/>
      </w:pPr>
      <w:r>
        <w:rPr>
          <w:b/>
          <w:color w:val="1F4D78"/>
          <w:sz w:val="18"/>
        </w:rPr>
        <w:t>12.7. کمک هزینه ایستگاه در خارج از قاره ایالات متحده</w:t>
      </w:r>
    </w:p>
    <w:p>
      <w:pPr>
        <w:spacing w:after="20"/>
        <w:ind w:left="259"/>
        <w:jc w:val="left"/>
      </w:pPr>
      <w:r>
        <w:rPr>
          <w:color w:val="555555"/>
          <w:sz w:val="12"/>
        </w:rPr>
        <w:t>12.7. Station Allowances Outside the Continental United States</w:t>
      </w:r>
    </w:p>
    <w:p>
      <w:pPr>
        <w:spacing w:after="20" w:line="223" w:lineRule="auto"/>
        <w:jc w:val="right"/>
        <w:bidi/>
      </w:pPr>
      <w:r>
        <w:rPr>
          <w:rFonts w:ascii="Arial" w:hAnsi="Arial"/>
          <w:sz w:val="16"/>
        </w:rPr>
        <w:t>211.21  کمک هزینه ایستگاه‌های خارج از کشور برای کمک به پرداخت هزینه‌های زندگی بالاتر از حد معمول یا هزینه‌های تهیه مسکن در مناطق خارج از کشور ایجاد شده است.</w:t>
      </w:r>
    </w:p>
    <w:p>
      <w:pPr>
        <w:spacing w:after="28" w:line="216" w:lineRule="auto"/>
        <w:ind w:left="259"/>
        <w:jc w:val="left"/>
      </w:pPr>
      <w:r>
        <w:rPr>
          <w:rFonts w:ascii="Arial" w:hAnsi="Arial"/>
          <w:color w:val="525252"/>
          <w:sz w:val="13"/>
        </w:rPr>
        <w:t>Overseas station allowances are established to help defray the higher-than-normal cost of living or cost of procuring housing in overseas areas.</w:t>
      </w:r>
    </w:p>
    <w:p>
      <w:pPr>
        <w:spacing w:after="20" w:line="223" w:lineRule="auto"/>
        <w:jc w:val="right"/>
        <w:bidi/>
      </w:pPr>
      <w:r>
        <w:rPr>
          <w:rFonts w:ascii="Arial" w:hAnsi="Arial"/>
          <w:sz w:val="16"/>
        </w:rPr>
        <w:t>211.22  کمک هزینه‌های مجاز توسط وزارت دفاع در مکان‌های خاص خارج از کشور ممکن است شامل کمک هزینه اقامت موقت و کمک هزینه زندگی باشد.</w:t>
      </w:r>
    </w:p>
    <w:p>
      <w:pPr>
        <w:spacing w:after="28" w:line="216" w:lineRule="auto"/>
        <w:ind w:left="259"/>
        <w:jc w:val="left"/>
      </w:pPr>
      <w:r>
        <w:rPr>
          <w:rFonts w:ascii="Arial" w:hAnsi="Arial"/>
          <w:color w:val="525252"/>
          <w:sz w:val="13"/>
        </w:rPr>
        <w:t>Allowances authorized by the Department of Defense at certain overseas locations may include temporary lodging allowance and cost-of-living allowance.</w:t>
      </w:r>
    </w:p>
    <w:p>
      <w:pPr>
        <w:spacing w:after="20" w:line="223" w:lineRule="auto"/>
        <w:jc w:val="right"/>
        <w:bidi/>
      </w:pPr>
      <w:r>
        <w:rPr>
          <w:rFonts w:ascii="Arial" w:hAnsi="Arial"/>
          <w:sz w:val="16"/>
        </w:rPr>
        <w:t>211.23  اعضا اطلاعات مربوط به حقوق خاص خود را در طول پردازش در مکان جدید دریافت می‌کنند.</w:t>
      </w:r>
    </w:p>
    <w:p>
      <w:pPr>
        <w:spacing w:after="28" w:line="216" w:lineRule="auto"/>
        <w:ind w:left="259"/>
        <w:jc w:val="left"/>
      </w:pPr>
      <w:r>
        <w:rPr>
          <w:rFonts w:ascii="Arial" w:hAnsi="Arial"/>
          <w:color w:val="525252"/>
          <w:sz w:val="13"/>
        </w:rPr>
        <w:t>Members receive information regarding their specific entitlements during in- processing at the new location.</w:t>
      </w:r>
    </w:p>
    <w:p>
      <w:pPr>
        <w:spacing w:after="20" w:line="223" w:lineRule="auto"/>
        <w:jc w:val="right"/>
        <w:bidi/>
      </w:pPr>
      <w:r>
        <w:rPr>
          <w:rFonts w:ascii="Arial" w:hAnsi="Arial"/>
          <w:sz w:val="16"/>
        </w:rPr>
        <w:t>211.24  اعضا همچنین می‌توانند اطلاعاتی را از اداره مالی محلی خود پس از اطلاع از یک تکلیف در حال انتظار خارج از کشور دریافت کنند.</w:t>
      </w:r>
    </w:p>
    <w:p>
      <w:pPr>
        <w:spacing w:after="28" w:line="216" w:lineRule="auto"/>
        <w:ind w:left="259"/>
        <w:jc w:val="left"/>
      </w:pPr>
      <w:r>
        <w:rPr>
          <w:rFonts w:ascii="Arial" w:hAnsi="Arial"/>
          <w:color w:val="525252"/>
          <w:sz w:val="13"/>
        </w:rPr>
        <w:t>Members may also receive information from their local finance office upon notification of a pending overseas assignment.</w:t>
      </w:r>
    </w:p>
    <w:p>
      <w:pPr>
        <w:spacing w:before="60" w:after="28"/>
        <w:jc w:val="right"/>
        <w:bidi/>
      </w:pPr>
      <w:r>
        <w:rPr>
          <w:b/>
          <w:color w:val="1F4D78"/>
          <w:sz w:val="18"/>
        </w:rPr>
        <w:t>12.8. کمک هزینه نیازهای اولیه</w:t>
      </w:r>
    </w:p>
    <w:p>
      <w:pPr>
        <w:spacing w:after="20"/>
        <w:ind w:left="259"/>
        <w:jc w:val="left"/>
      </w:pPr>
      <w:r>
        <w:rPr>
          <w:color w:val="555555"/>
          <w:sz w:val="12"/>
        </w:rPr>
        <w:t>12.8. Basic Needs Allowance</w:t>
      </w:r>
    </w:p>
    <w:p>
      <w:pPr>
        <w:spacing w:after="20" w:line="223" w:lineRule="auto"/>
        <w:jc w:val="right"/>
        <w:bidi/>
      </w:pPr>
      <w:r>
        <w:rPr>
          <w:rFonts w:ascii="Arial" w:hAnsi="Arial"/>
          <w:sz w:val="16"/>
        </w:rPr>
        <w:t>211.26  کمک هزینه ماهیانه مشمول مالیات را برای هوانوردان و نگهبانانی که داوطلبانه درخواست می‌کنند و درآمد ناخالص خانوار (GHI) و اندازه خانوارشان کمتر از ۱۵۰ درصد دستورالعمل‌های فقر فدرال (FPG) برای موقعیت جغرافیایی‌شان است، ارائه می‌کند.</w:t>
      </w:r>
    </w:p>
    <w:p>
      <w:pPr>
        <w:spacing w:after="28" w:line="216" w:lineRule="auto"/>
        <w:ind w:left="259"/>
        <w:jc w:val="left"/>
      </w:pPr>
      <w:r>
        <w:rPr>
          <w:rFonts w:ascii="Arial" w:hAnsi="Arial"/>
          <w:color w:val="525252"/>
          <w:sz w:val="13"/>
        </w:rPr>
        <w:t>Provides a taxable monthly allowance for Airmen and Guardians who voluntarily apply and whose Gross Household Income (GHI) and household size places them below 150 percent of Federal poverty guidelines (FPG) for their geographical location.</w:t>
      </w:r>
    </w:p>
    <w:p>
      <w:pPr>
        <w:spacing w:before="60" w:after="28"/>
        <w:jc w:val="right"/>
        <w:bidi/>
      </w:pPr>
      <w:r>
        <w:rPr>
          <w:b/>
          <w:color w:val="1F4D78"/>
          <w:sz w:val="18"/>
        </w:rPr>
        <w:t>12.9. مزیت مالیاتی فدرال</w:t>
      </w:r>
    </w:p>
    <w:p>
      <w:pPr>
        <w:spacing w:after="20"/>
        <w:ind w:left="259"/>
        <w:jc w:val="left"/>
      </w:pPr>
      <w:r>
        <w:rPr>
          <w:color w:val="555555"/>
          <w:sz w:val="12"/>
        </w:rPr>
        <w:t>12.9. Federal Tax Advantage</w:t>
      </w:r>
    </w:p>
    <w:p>
      <w:r>
        <w:br w:type="page"/>
      </w:r>
    </w:p>
    <w:p>
      <w:pPr>
        <w:spacing w:after="60"/>
        <w:jc w:val="right"/>
        <w:bidi/>
      </w:pPr>
      <w:r>
        <w:rPr>
          <w:rFonts w:ascii="Arial" w:hAnsi="Arial"/>
          <w:b/>
          <w:color w:val="1F4D78"/>
          <w:sz w:val="19"/>
        </w:rPr>
        <w:t>هفتهٔ 212  |  صفحهٔ منبع: 228</w:t>
      </w:r>
    </w:p>
    <w:p>
      <w:pPr>
        <w:spacing w:after="20" w:line="223" w:lineRule="auto"/>
        <w:jc w:val="right"/>
        <w:bidi/>
      </w:pPr>
      <w:r>
        <w:rPr>
          <w:rFonts w:ascii="Arial" w:hAnsi="Arial"/>
          <w:sz w:val="16"/>
        </w:rPr>
        <w:t>212.01  اعضای نیروهای مسلح مالیات فدرال یا ایالتی بر BAH یا BAS نمی‌پردازند که به‌طور قابل توجهی قدرت خرید آنها را برای غذا و مسکن افزایش می‌دهد.</w:t>
      </w:r>
    </w:p>
    <w:p>
      <w:pPr>
        <w:spacing w:after="28" w:line="216" w:lineRule="auto"/>
        <w:ind w:left="259"/>
        <w:jc w:val="left"/>
      </w:pPr>
      <w:r>
        <w:rPr>
          <w:rFonts w:ascii="Arial" w:hAnsi="Arial"/>
          <w:color w:val="525252"/>
          <w:sz w:val="13"/>
        </w:rPr>
        <w:t>Service members do not pay federal or state taxes on BAH or BAS which significantly increases their purchasing power for food and housing.</w:t>
      </w:r>
    </w:p>
    <w:p>
      <w:pPr>
        <w:spacing w:after="20" w:line="223" w:lineRule="auto"/>
        <w:jc w:val="right"/>
        <w:bidi/>
      </w:pPr>
      <w:r>
        <w:rPr>
          <w:rFonts w:ascii="Arial" w:hAnsi="Arial"/>
          <w:sz w:val="16"/>
        </w:rPr>
        <w:t>212.02  علاوه بر مزیت مالیاتی فدرال، اعضای ارتش از محرومیت مالیاتی مبارزه و بهره وام مسکن کاملا کسر می‌شوند.</w:t>
      </w:r>
    </w:p>
    <w:p>
      <w:pPr>
        <w:spacing w:after="28" w:line="216" w:lineRule="auto"/>
        <w:ind w:left="259"/>
        <w:jc w:val="left"/>
      </w:pPr>
      <w:r>
        <w:rPr>
          <w:rFonts w:ascii="Arial" w:hAnsi="Arial"/>
          <w:color w:val="525252"/>
          <w:sz w:val="13"/>
        </w:rPr>
        <w:t>In addition to the federal tax advantage, military members also enjoy combat tax exclusion and fully deductible mortgage interest.</w:t>
      </w:r>
    </w:p>
    <w:p>
      <w:pPr>
        <w:spacing w:before="60" w:after="28"/>
        <w:jc w:val="right"/>
        <w:bidi/>
      </w:pPr>
      <w:r>
        <w:rPr>
          <w:b/>
          <w:color w:val="1F4D78"/>
          <w:sz w:val="18"/>
        </w:rPr>
        <w:t>12.10. کمک هزینه زندگی قاره ای ایالات متحده</w:t>
      </w:r>
    </w:p>
    <w:p>
      <w:pPr>
        <w:spacing w:after="20"/>
        <w:ind w:left="259"/>
        <w:jc w:val="left"/>
      </w:pPr>
      <w:r>
        <w:rPr>
          <w:color w:val="555555"/>
          <w:sz w:val="12"/>
        </w:rPr>
        <w:t>12.10. Continental United States Cost-of-Living Allowance</w:t>
      </w:r>
    </w:p>
    <w:p>
      <w:pPr>
        <w:spacing w:after="20" w:line="223" w:lineRule="auto"/>
        <w:jc w:val="right"/>
        <w:bidi/>
      </w:pPr>
      <w:r>
        <w:rPr>
          <w:rFonts w:ascii="Arial" w:hAnsi="Arial"/>
          <w:sz w:val="16"/>
        </w:rPr>
        <w:t>212.04  کمک هزینه زندگی CONUS به اعضای اختصاص داده شده به مناطق تعیین شده "پرهزینه" در داخل CONUS قابل پرداخت است.</w:t>
      </w:r>
    </w:p>
    <w:p>
      <w:pPr>
        <w:spacing w:after="28" w:line="216" w:lineRule="auto"/>
        <w:ind w:left="259"/>
        <w:jc w:val="left"/>
      </w:pPr>
      <w:r>
        <w:rPr>
          <w:rFonts w:ascii="Arial" w:hAnsi="Arial"/>
          <w:color w:val="525252"/>
          <w:sz w:val="13"/>
        </w:rPr>
        <w:t>The CONUS cost of living allowance is payable to members assigned to designated “high cost” areas within the CONUS.</w:t>
      </w:r>
    </w:p>
    <w:p>
      <w:pPr>
        <w:spacing w:after="20" w:line="223" w:lineRule="auto"/>
        <w:jc w:val="right"/>
        <w:bidi/>
      </w:pPr>
      <w:r>
        <w:rPr>
          <w:rFonts w:ascii="Arial" w:hAnsi="Arial"/>
          <w:sz w:val="16"/>
        </w:rPr>
        <w:t>212.05  برای اطلاعات بیشتر، به مقررات مدیریت مالی وزارت دفاع (دودفمر) ۷۰۰۰.۱۴-ر، جلد ۷ا، فصل ۶۷، خط‌مشی پرداخت نظامی — وظیفه فعال و پرداخت ذخیره مراجعه کنید.</w:t>
      </w:r>
    </w:p>
    <w:p>
      <w:pPr>
        <w:spacing w:after="28" w:line="216" w:lineRule="auto"/>
        <w:ind w:left="259"/>
        <w:jc w:val="left"/>
      </w:pPr>
      <w:r>
        <w:rPr>
          <w:rFonts w:ascii="Arial" w:hAnsi="Arial"/>
          <w:color w:val="525252"/>
          <w:sz w:val="13"/>
        </w:rPr>
        <w:t>For additional information, see the DoD Financial Management Regulation (DoDFMR) 7000.14-R, Volume 7A, Chapter 67, Military Pay Policy—Active Duty and Reserve Pay.</w:t>
      </w:r>
    </w:p>
    <w:p>
      <w:pPr>
        <w:spacing w:before="60" w:after="28"/>
        <w:jc w:val="right"/>
        <w:bidi/>
      </w:pPr>
      <w:r>
        <w:rPr>
          <w:b/>
          <w:color w:val="1F4D78"/>
          <w:sz w:val="18"/>
        </w:rPr>
        <w:t>12.11. پرداخت ویژه و تشویقی</w:t>
      </w:r>
    </w:p>
    <w:p>
      <w:pPr>
        <w:spacing w:after="20"/>
        <w:ind w:left="259"/>
        <w:jc w:val="left"/>
      </w:pPr>
      <w:r>
        <w:rPr>
          <w:color w:val="555555"/>
          <w:sz w:val="12"/>
        </w:rPr>
        <w:t>12.11. Special and Incentive Pay</w:t>
      </w:r>
    </w:p>
    <w:p>
      <w:pPr>
        <w:spacing w:after="20" w:line="223" w:lineRule="auto"/>
        <w:jc w:val="right"/>
        <w:bidi/>
      </w:pPr>
      <w:r>
        <w:rPr>
          <w:rFonts w:ascii="Arial" w:hAnsi="Arial"/>
          <w:sz w:val="16"/>
        </w:rPr>
        <w:t>212.07  تعدادی از پرداخت‌های ویژه و تشویقی جنبه‌های خاصی از وظیفه را شناسایی می‌کنند، مانند پرداخت مشوق وظیفه خطرناک، پرداخت خطر قریب‌الوقوع، پرداخت وظیفه ویژه، پرداخت مشوق وظیفه پروازی، و محل پرداخت وظیفه سختی.</w:t>
      </w:r>
    </w:p>
    <w:p>
      <w:pPr>
        <w:spacing w:after="28" w:line="216" w:lineRule="auto"/>
        <w:ind w:left="259"/>
        <w:jc w:val="left"/>
      </w:pPr>
      <w:r>
        <w:rPr>
          <w:rFonts w:ascii="Arial" w:hAnsi="Arial"/>
          <w:color w:val="525252"/>
          <w:sz w:val="13"/>
        </w:rPr>
        <w:t>A number of special and incentive pays recognize certain aspects of duty, such as hazardous duty incentive pay, imminent danger pay, special duty assignment pay, enlisted flying duty incentive pay, and hardship duty pay-location.</w:t>
      </w:r>
    </w:p>
    <w:p>
      <w:pPr>
        <w:spacing w:after="20" w:line="223" w:lineRule="auto"/>
        <w:jc w:val="right"/>
        <w:bidi/>
      </w:pPr>
      <w:r>
        <w:rPr>
          <w:rFonts w:ascii="Arial" w:hAnsi="Arial"/>
          <w:sz w:val="16"/>
        </w:rPr>
        <w:t>212.08  پاداش سربازی و ابقاء نیز به‌عنوان حقوق ویژه و تشویقی محسوب می‌شود.</w:t>
      </w:r>
    </w:p>
    <w:p>
      <w:pPr>
        <w:spacing w:after="28" w:line="216" w:lineRule="auto"/>
        <w:ind w:left="259"/>
        <w:jc w:val="left"/>
      </w:pPr>
      <w:r>
        <w:rPr>
          <w:rFonts w:ascii="Arial" w:hAnsi="Arial"/>
          <w:color w:val="525252"/>
          <w:sz w:val="13"/>
        </w:rPr>
        <w:t>Enlistment and retention bonuses are also considered as special and incentive pay.</w:t>
      </w:r>
    </w:p>
    <w:p>
      <w:pPr>
        <w:spacing w:before="60" w:after="28"/>
        <w:jc w:val="right"/>
        <w:bidi/>
      </w:pPr>
      <w:r>
        <w:rPr>
          <w:b/>
          <w:color w:val="1F4D78"/>
          <w:sz w:val="18"/>
        </w:rPr>
        <w:t>12.12. کسرهای غیر ارادی</w:t>
      </w:r>
    </w:p>
    <w:p>
      <w:pPr>
        <w:spacing w:after="20"/>
        <w:ind w:left="259"/>
        <w:jc w:val="left"/>
      </w:pPr>
      <w:r>
        <w:rPr>
          <w:color w:val="555555"/>
          <w:sz w:val="12"/>
        </w:rPr>
        <w:t>12.12. Involuntary Deductions</w:t>
      </w:r>
    </w:p>
    <w:p>
      <w:pPr>
        <w:spacing w:after="20" w:line="223" w:lineRule="auto"/>
        <w:jc w:val="right"/>
        <w:bidi/>
      </w:pPr>
      <w:r>
        <w:rPr>
          <w:rFonts w:ascii="Arial" w:hAnsi="Arial"/>
          <w:sz w:val="16"/>
        </w:rPr>
        <w:t>212.10  کسورات غیر ارادی، کسر حقوق مبالغ معینی از حقوق است که توسط قانون وضع شده است.</w:t>
      </w:r>
    </w:p>
    <w:p>
      <w:pPr>
        <w:spacing w:after="28" w:line="216" w:lineRule="auto"/>
        <w:ind w:left="259"/>
        <w:jc w:val="left"/>
      </w:pPr>
      <w:r>
        <w:rPr>
          <w:rFonts w:ascii="Arial" w:hAnsi="Arial"/>
          <w:color w:val="525252"/>
          <w:sz w:val="13"/>
        </w:rPr>
        <w:t>Involuntary deductions are payroll deductions of certain amounts of pay that are imposed by law.</w:t>
      </w:r>
    </w:p>
    <w:p>
      <w:pPr>
        <w:spacing w:after="20" w:line="223" w:lineRule="auto"/>
        <w:jc w:val="right"/>
        <w:bidi/>
      </w:pPr>
      <w:r>
        <w:rPr>
          <w:rFonts w:ascii="Arial" w:hAnsi="Arial"/>
          <w:sz w:val="16"/>
        </w:rPr>
        <w:t>212.11  نمونه هایی از کسرهای غیرارادی در اینجا ارائه شده است.</w:t>
      </w:r>
    </w:p>
    <w:p>
      <w:pPr>
        <w:spacing w:after="28" w:line="216" w:lineRule="auto"/>
        <w:ind w:left="259"/>
        <w:jc w:val="left"/>
      </w:pPr>
      <w:r>
        <w:rPr>
          <w:rFonts w:ascii="Arial" w:hAnsi="Arial"/>
          <w:color w:val="525252"/>
          <w:sz w:val="13"/>
        </w:rPr>
        <w:t>Examples of involuntary deductions are provided here.</w:t>
      </w:r>
    </w:p>
    <w:p>
      <w:pPr>
        <w:spacing w:after="20" w:line="223" w:lineRule="auto"/>
        <w:jc w:val="right"/>
        <w:bidi/>
      </w:pPr>
      <w:r>
        <w:rPr>
          <w:rFonts w:ascii="Arial" w:hAnsi="Arial"/>
          <w:sz w:val="16"/>
        </w:rPr>
        <w:t>212.12  مالیات بر درآمد کسر شده.</w:t>
      </w:r>
    </w:p>
    <w:p>
      <w:pPr>
        <w:spacing w:after="28" w:line="216" w:lineRule="auto"/>
        <w:ind w:left="259"/>
        <w:jc w:val="left"/>
      </w:pPr>
      <w:r>
        <w:rPr>
          <w:rFonts w:ascii="Arial" w:hAnsi="Arial"/>
          <w:color w:val="525252"/>
          <w:sz w:val="13"/>
        </w:rPr>
        <w:t>Withholding Income Tax.</w:t>
      </w:r>
    </w:p>
    <w:p>
      <w:pPr>
        <w:spacing w:after="20" w:line="223" w:lineRule="auto"/>
        <w:jc w:val="right"/>
        <w:bidi/>
      </w:pPr>
      <w:r>
        <w:rPr>
          <w:rFonts w:ascii="Arial" w:hAnsi="Arial"/>
          <w:sz w:val="16"/>
        </w:rPr>
        <w:t>212.13  تمام حقوق برای اهداف مالیات بر درآمد فدرال و ایالتی درآمد در نظر گرفته می‌شود که شامل حقوق پایه، حقوق تشویقی، دستمزد ویژه، پرداخت یکجا مرخصی انباشته شده و حقوق جدایی می‌شود.</w:t>
      </w:r>
    </w:p>
    <w:p>
      <w:pPr>
        <w:spacing w:after="28" w:line="216" w:lineRule="auto"/>
        <w:ind w:left="259"/>
        <w:jc w:val="left"/>
      </w:pPr>
      <w:r>
        <w:rPr>
          <w:rFonts w:ascii="Arial" w:hAnsi="Arial"/>
          <w:color w:val="525252"/>
          <w:sz w:val="13"/>
        </w:rPr>
        <w:t>All pay is considered income for federal and state income tax purposes, to include basic pay, incentive pay, special pay, lump-sum payment of accrued leave, and separation pay.</w:t>
      </w:r>
    </w:p>
    <w:p>
      <w:pPr>
        <w:spacing w:after="20" w:line="223" w:lineRule="auto"/>
        <w:jc w:val="right"/>
        <w:bidi/>
      </w:pPr>
      <w:r>
        <w:rPr>
          <w:rFonts w:ascii="Arial" w:hAnsi="Arial"/>
          <w:sz w:val="16"/>
        </w:rPr>
        <w:t>212.14  LES درآمد ماه جاری و سال تا به امروز را برای اهداف تأمین اجتماعی، مالیات بر درآمد فدرال و مالیات بر درآمد ایالتی تحت عناوین "FICA TAXES"، "FED TAXES" و "STATE TAXES" در وسط فرم منعکس می‌کند.</w:t>
      </w:r>
    </w:p>
    <w:p>
      <w:pPr>
        <w:spacing w:after="28" w:line="216" w:lineRule="auto"/>
        <w:ind w:left="259"/>
        <w:jc w:val="left"/>
      </w:pPr>
      <w:r>
        <w:rPr>
          <w:rFonts w:ascii="Arial" w:hAnsi="Arial"/>
          <w:color w:val="525252"/>
          <w:sz w:val="13"/>
        </w:rPr>
        <w:t>The LES reflects the current month and year-to-date income for social security, federal income tax, and state income tax purposes under the headings “FICA TAXES,” “FED TAXES,” and “STATE TAXES” in the middle of the form.</w:t>
      </w:r>
    </w:p>
    <w:p>
      <w:pPr>
        <w:spacing w:after="20" w:line="223" w:lineRule="auto"/>
        <w:jc w:val="right"/>
        <w:bidi/>
      </w:pPr>
      <w:r>
        <w:rPr>
          <w:rFonts w:ascii="Arial" w:hAnsi="Arial"/>
          <w:sz w:val="16"/>
        </w:rPr>
        <w:t>212.15  مالیات بر قانون مشارکت‌های بیمه فدرال.</w:t>
      </w:r>
    </w:p>
    <w:p>
      <w:pPr>
        <w:spacing w:after="28" w:line="216" w:lineRule="auto"/>
        <w:ind w:left="259"/>
        <w:jc w:val="left"/>
      </w:pPr>
      <w:r>
        <w:rPr>
          <w:rFonts w:ascii="Arial" w:hAnsi="Arial"/>
          <w:color w:val="525252"/>
          <w:sz w:val="13"/>
        </w:rPr>
        <w:t>Federal Insurance Contributions Act Taxes.</w:t>
      </w:r>
    </w:p>
    <w:p>
      <w:pPr>
        <w:spacing w:after="20" w:line="223" w:lineRule="auto"/>
        <w:jc w:val="right"/>
        <w:bidi/>
      </w:pPr>
      <w:r>
        <w:rPr>
          <w:rFonts w:ascii="Arial" w:hAnsi="Arial"/>
          <w:sz w:val="16"/>
        </w:rPr>
        <w:t>212.16  قانون مشارکت‌های بیمه فدرال (FICA) آژانس‌های فدرال را ملزم می‌کند که مالیات‌های FICA (سوکیال سکوریتی اند مدیکار) را از حقوق اولیه اعضای نظامی تحت پوشش قانون تأمین اجتماعی کسر کنند و مالیات‌های مشابه FICA را به اداره تأمین اجتماعی بپردازند.</w:t>
      </w:r>
    </w:p>
    <w:p>
      <w:pPr>
        <w:spacing w:after="28" w:line="216" w:lineRule="auto"/>
        <w:ind w:left="259"/>
        <w:jc w:val="left"/>
      </w:pPr>
      <w:r>
        <w:rPr>
          <w:rFonts w:ascii="Arial" w:hAnsi="Arial"/>
          <w:color w:val="525252"/>
          <w:sz w:val="13"/>
        </w:rPr>
        <w:t>The Federal Insurance Contributions Act (FICA) requires federal agencies to withhold FICA (Social Security and Medicare) taxes from the basic pay of military members covered by the Social Security Act and to pay matching FICA taxes to the Social Security Administration.</w:t>
      </w:r>
    </w:p>
    <w:p>
      <w:pPr>
        <w:spacing w:after="20" w:line="223" w:lineRule="auto"/>
        <w:jc w:val="right"/>
        <w:bidi/>
      </w:pPr>
      <w:r>
        <w:rPr>
          <w:rFonts w:ascii="Arial" w:hAnsi="Arial"/>
          <w:sz w:val="16"/>
        </w:rPr>
        <w:t>212.17  کسر مالیات بر درآمد فدرال.</w:t>
      </w:r>
    </w:p>
    <w:p>
      <w:pPr>
        <w:spacing w:after="28" w:line="216" w:lineRule="auto"/>
        <w:ind w:left="259"/>
        <w:jc w:val="left"/>
      </w:pPr>
      <w:r>
        <w:rPr>
          <w:rFonts w:ascii="Arial" w:hAnsi="Arial"/>
          <w:color w:val="525252"/>
          <w:sz w:val="13"/>
        </w:rPr>
        <w:t>Federal Income Tax Withholding.</w:t>
      </w:r>
    </w:p>
    <w:p>
      <w:pPr>
        <w:spacing w:after="20" w:line="223" w:lineRule="auto"/>
        <w:jc w:val="right"/>
        <w:bidi/>
      </w:pPr>
      <w:r>
        <w:rPr>
          <w:rFonts w:ascii="Arial" w:hAnsi="Arial"/>
          <w:sz w:val="16"/>
        </w:rPr>
        <w:t>212.18  کسر مالیات بر درآمد فدرال (FITW) برای ارائه برنامه‌های ملی مانند دفاع، توسعه جامعه و اجرای قانون استفاده می‌شود.</w:t>
      </w:r>
    </w:p>
    <w:p>
      <w:pPr>
        <w:spacing w:after="28" w:line="216" w:lineRule="auto"/>
        <w:ind w:left="259"/>
        <w:jc w:val="left"/>
      </w:pPr>
      <w:r>
        <w:rPr>
          <w:rFonts w:ascii="Arial" w:hAnsi="Arial"/>
          <w:color w:val="525252"/>
          <w:sz w:val="13"/>
        </w:rPr>
        <w:t>The Federal Income Tax Withholding (FITW) is used to provide for national programs, such as defense, community development, and law enforcement.</w:t>
      </w:r>
    </w:p>
    <w:p>
      <w:pPr>
        <w:spacing w:after="20" w:line="223" w:lineRule="auto"/>
        <w:jc w:val="right"/>
        <w:bidi/>
      </w:pPr>
      <w:r>
        <w:rPr>
          <w:rFonts w:ascii="Arial" w:hAnsi="Arial"/>
          <w:sz w:val="16"/>
        </w:rPr>
        <w:t>212.19  یک عضو ممکن است مبلغ اضافی ماهانه FITW را مجاز کند.</w:t>
      </w:r>
    </w:p>
    <w:p>
      <w:pPr>
        <w:spacing w:after="28" w:line="216" w:lineRule="auto"/>
        <w:ind w:left="259"/>
        <w:jc w:val="left"/>
      </w:pPr>
      <w:r>
        <w:rPr>
          <w:rFonts w:ascii="Arial" w:hAnsi="Arial"/>
          <w:color w:val="525252"/>
          <w:sz w:val="13"/>
        </w:rPr>
        <w:t>A member may authorize an additional monthly amount of FITW.</w:t>
      </w:r>
    </w:p>
    <w:p>
      <w:pPr>
        <w:spacing w:after="20" w:line="223" w:lineRule="auto"/>
        <w:jc w:val="right"/>
        <w:bidi/>
      </w:pPr>
      <w:r>
        <w:rPr>
          <w:rFonts w:ascii="Arial" w:hAnsi="Arial"/>
          <w:sz w:val="16"/>
        </w:rPr>
        <w:t>212.20  برای اطلاعات بیشتر، FITW با بخشنامه وزارت خزانه داری، که در دستورالعمل‌های خدمات نظامی به آن اشاره شده است، مطابقت دارد.</w:t>
      </w:r>
    </w:p>
    <w:p>
      <w:pPr>
        <w:spacing w:after="28" w:line="216" w:lineRule="auto"/>
        <w:ind w:left="259"/>
        <w:jc w:val="left"/>
      </w:pPr>
      <w:r>
        <w:rPr>
          <w:rFonts w:ascii="Arial" w:hAnsi="Arial"/>
          <w:color w:val="525252"/>
          <w:sz w:val="13"/>
        </w:rPr>
        <w:t>For additional information, the FITW complies with the Treasury Department Circular E, addressed in military service directives.</w:t>
      </w:r>
    </w:p>
    <w:p>
      <w:pPr>
        <w:spacing w:after="20" w:line="223" w:lineRule="auto"/>
        <w:jc w:val="right"/>
        <w:bidi/>
      </w:pPr>
      <w:r>
        <w:rPr>
          <w:rFonts w:ascii="Arial" w:hAnsi="Arial"/>
          <w:sz w:val="16"/>
        </w:rPr>
        <w:t>212.21  کسر مالیات بر درآمد ایالتی.</w:t>
      </w:r>
    </w:p>
    <w:p>
      <w:pPr>
        <w:spacing w:after="28" w:line="216" w:lineRule="auto"/>
        <w:ind w:left="259"/>
        <w:jc w:val="left"/>
      </w:pPr>
      <w:r>
        <w:rPr>
          <w:rFonts w:ascii="Arial" w:hAnsi="Arial"/>
          <w:color w:val="525252"/>
          <w:sz w:val="13"/>
        </w:rPr>
        <w:t>State Income Tax Withholding.</w:t>
      </w:r>
    </w:p>
    <w:p>
      <w:pPr>
        <w:spacing w:after="20" w:line="223" w:lineRule="auto"/>
        <w:jc w:val="right"/>
        <w:bidi/>
      </w:pPr>
      <w:r>
        <w:rPr>
          <w:rFonts w:ascii="Arial" w:hAnsi="Arial"/>
          <w:sz w:val="16"/>
        </w:rPr>
        <w:t>212.22  کسر مالیات بر درآمد ایالتی (SITW) به قوانین مالیاتی ایالتی اشاره دارد که عضو در آن مقیم قانونی است.</w:t>
      </w:r>
    </w:p>
    <w:p>
      <w:pPr>
        <w:spacing w:after="28" w:line="216" w:lineRule="auto"/>
        <w:ind w:left="259"/>
        <w:jc w:val="left"/>
      </w:pPr>
      <w:r>
        <w:rPr>
          <w:rFonts w:ascii="Arial" w:hAnsi="Arial"/>
          <w:color w:val="525252"/>
          <w:sz w:val="13"/>
        </w:rPr>
        <w:t>The State Income Tax Withholding (SITW) refers to state tax laws of the state where the member is a legal resident.</w:t>
      </w:r>
    </w:p>
    <w:p>
      <w:pPr>
        <w:spacing w:after="20" w:line="223" w:lineRule="auto"/>
        <w:jc w:val="right"/>
        <w:bidi/>
      </w:pPr>
      <w:r>
        <w:rPr>
          <w:rFonts w:ascii="Arial" w:hAnsi="Arial"/>
          <w:sz w:val="16"/>
        </w:rPr>
        <w:t>212.23  مبلغ نگهداشته شده به نرخ مالیات ایالتی بستگی دارد.</w:t>
      </w:r>
    </w:p>
    <w:p>
      <w:pPr>
        <w:spacing w:after="28" w:line="216" w:lineRule="auto"/>
        <w:ind w:left="259"/>
        <w:jc w:val="left"/>
      </w:pPr>
      <w:r>
        <w:rPr>
          <w:rFonts w:ascii="Arial" w:hAnsi="Arial"/>
          <w:color w:val="525252"/>
          <w:sz w:val="13"/>
        </w:rPr>
        <w:t>The amount withheld depends upon the state tax rate.</w:t>
      </w:r>
    </w:p>
    <w:p>
      <w:pPr>
        <w:spacing w:after="20" w:line="223" w:lineRule="auto"/>
        <w:jc w:val="right"/>
        <w:bidi/>
      </w:pPr>
      <w:r>
        <w:rPr>
          <w:rFonts w:ascii="Arial" w:hAnsi="Arial"/>
          <w:sz w:val="16"/>
        </w:rPr>
        <w:t>212.24  پرداخت‌های یکباره نیز ممکن است مشمول مالیات دولتی باشد.</w:t>
      </w:r>
    </w:p>
    <w:p>
      <w:pPr>
        <w:spacing w:after="28" w:line="216" w:lineRule="auto"/>
        <w:ind w:left="259"/>
        <w:jc w:val="left"/>
      </w:pPr>
      <w:r>
        <w:rPr>
          <w:rFonts w:ascii="Arial" w:hAnsi="Arial"/>
          <w:color w:val="525252"/>
          <w:sz w:val="13"/>
        </w:rPr>
        <w:t>One-time payments may also be subject to state tax.</w:t>
      </w:r>
    </w:p>
    <w:p>
      <w:pPr>
        <w:spacing w:after="20" w:line="223" w:lineRule="auto"/>
        <w:jc w:val="right"/>
        <w:bidi/>
      </w:pPr>
      <w:r>
        <w:rPr>
          <w:rFonts w:ascii="Arial" w:hAnsi="Arial"/>
          <w:sz w:val="16"/>
        </w:rPr>
        <w:t>212.25  وضعیت برای اهداف مالیاتی در ستون اول LES در زیر مالیات‌های ایالتی منعکس شده است.</w:t>
      </w:r>
    </w:p>
    <w:p>
      <w:pPr>
        <w:spacing w:after="28" w:line="216" w:lineRule="auto"/>
        <w:ind w:left="259"/>
        <w:jc w:val="left"/>
      </w:pPr>
      <w:r>
        <w:rPr>
          <w:rFonts w:ascii="Arial" w:hAnsi="Arial"/>
          <w:color w:val="525252"/>
          <w:sz w:val="13"/>
        </w:rPr>
        <w:t>The state for tax purposes is reflected in the first column on the LES under STATE TAXES.</w:t>
      </w:r>
    </w:p>
    <w:p>
      <w:pPr>
        <w:spacing w:after="20" w:line="223" w:lineRule="auto"/>
        <w:jc w:val="right"/>
        <w:bidi/>
      </w:pPr>
      <w:r>
        <w:rPr>
          <w:rFonts w:ascii="Arial" w:hAnsi="Arial"/>
          <w:sz w:val="16"/>
        </w:rPr>
        <w:t>212.26  خانه بازنشستگان نیروهای مسلح.</w:t>
      </w:r>
    </w:p>
    <w:p>
      <w:pPr>
        <w:spacing w:after="28" w:line="216" w:lineRule="auto"/>
        <w:ind w:left="259"/>
        <w:jc w:val="left"/>
      </w:pPr>
      <w:r>
        <w:rPr>
          <w:rFonts w:ascii="Arial" w:hAnsi="Arial"/>
          <w:color w:val="525252"/>
          <w:sz w:val="13"/>
        </w:rPr>
        <w:t>Armed Forces Retirement Home.</w:t>
      </w:r>
    </w:p>
    <w:p>
      <w:pPr>
        <w:spacing w:after="20" w:line="223" w:lineRule="auto"/>
        <w:jc w:val="right"/>
        <w:bidi/>
      </w:pPr>
      <w:r>
        <w:rPr>
          <w:rFonts w:ascii="Arial" w:hAnsi="Arial"/>
          <w:sz w:val="16"/>
        </w:rPr>
        <w:t>212.27  کسر ماهانه خانه بازنشستگان نیروهای مسلح (AFRH) از حقوق اعضای عادی ثبت‌نام شده، حداکثر تا سقف ۱ دلار، توسط وزیر دفاع پس از مشورت با هیئت مدیره AFRH تعیین می‌شود.</w:t>
      </w:r>
    </w:p>
    <w:p>
      <w:pPr>
        <w:spacing w:after="28" w:line="216" w:lineRule="auto"/>
        <w:ind w:left="259"/>
        <w:jc w:val="left"/>
      </w:pPr>
      <w:r>
        <w:rPr>
          <w:rFonts w:ascii="Arial" w:hAnsi="Arial"/>
          <w:color w:val="525252"/>
          <w:sz w:val="13"/>
        </w:rPr>
        <w:t>Monthly Armed Forces Retirement Home (AFRH) deductions from the pay of regular enlisted members, up to a maximum of $1, are set by the Secretary of Defense after consulting with the AFRH board.</w:t>
      </w:r>
    </w:p>
    <w:p>
      <w:pPr>
        <w:spacing w:after="20" w:line="223" w:lineRule="auto"/>
        <w:jc w:val="right"/>
        <w:bidi/>
      </w:pPr>
      <w:r>
        <w:rPr>
          <w:rFonts w:ascii="Arial" w:hAnsi="Arial"/>
          <w:sz w:val="16"/>
        </w:rPr>
        <w:t>212.28  کسرهای جمع‌آوری‌شده به حمایت از خانه‌های سربازان، نیروی هوایی و نیروی دریایی ایالات متحده کمک می‌کند.</w:t>
      </w:r>
    </w:p>
    <w:p>
      <w:pPr>
        <w:spacing w:after="28" w:line="216" w:lineRule="auto"/>
        <w:ind w:left="259"/>
        <w:jc w:val="left"/>
      </w:pPr>
      <w:r>
        <w:rPr>
          <w:rFonts w:ascii="Arial" w:hAnsi="Arial"/>
          <w:color w:val="525252"/>
          <w:sz w:val="13"/>
        </w:rPr>
        <w:t>Deductions collected help support the U.S. Soldiers’, Airmen’s, and Naval Homes.</w:t>
      </w:r>
    </w:p>
    <w:p>
      <w:pPr>
        <w:spacing w:before="60" w:after="28"/>
        <w:jc w:val="right"/>
        <w:bidi/>
      </w:pPr>
      <w:r>
        <w:rPr>
          <w:b/>
          <w:color w:val="1F4D78"/>
          <w:sz w:val="18"/>
        </w:rPr>
        <w:t>12.13. کسرهای داوطلبانه</w:t>
      </w:r>
    </w:p>
    <w:p>
      <w:pPr>
        <w:spacing w:after="20"/>
        <w:ind w:left="259"/>
        <w:jc w:val="left"/>
      </w:pPr>
      <w:r>
        <w:rPr>
          <w:color w:val="555555"/>
          <w:sz w:val="12"/>
        </w:rPr>
        <w:t>12.13. Voluntary Deductions</w:t>
      </w:r>
    </w:p>
    <w:p>
      <w:pPr>
        <w:spacing w:after="20" w:line="223" w:lineRule="auto"/>
        <w:jc w:val="right"/>
        <w:bidi/>
      </w:pPr>
      <w:r>
        <w:rPr>
          <w:rFonts w:ascii="Arial" w:hAnsi="Arial"/>
          <w:sz w:val="16"/>
        </w:rPr>
        <w:t>212.30  اعضای نظامی ممکن است کسورات داوطلبانه ایجاد کنند، مانند تخصیص برای کمک به اداره امور مالی شخصی، حمایت از اعضای خانواده و پرداخت حق بیمه.</w:t>
      </w:r>
    </w:p>
    <w:p>
      <w:pPr>
        <w:spacing w:after="28" w:line="216" w:lineRule="auto"/>
        <w:ind w:left="259"/>
        <w:jc w:val="left"/>
      </w:pPr>
      <w:r>
        <w:rPr>
          <w:rFonts w:ascii="Arial" w:hAnsi="Arial"/>
          <w:color w:val="525252"/>
          <w:sz w:val="13"/>
        </w:rPr>
        <w:t>Military members may establish voluntary deductions, such as allotments to help administer personal finances, support family members, and insurance premium payments.</w:t>
      </w:r>
    </w:p>
    <w:p>
      <w:pPr>
        <w:spacing w:after="20" w:line="223" w:lineRule="auto"/>
        <w:jc w:val="right"/>
        <w:bidi/>
      </w:pPr>
      <w:r>
        <w:rPr>
          <w:rFonts w:ascii="Arial" w:hAnsi="Arial"/>
          <w:sz w:val="16"/>
        </w:rPr>
        <w:t>212.31  اعضا می‌توانند تخصیص‌های اختیاری خاصی را از طریق میپای کنترل کنند.</w:t>
      </w:r>
    </w:p>
    <w:p>
      <w:pPr>
        <w:spacing w:after="28" w:line="216" w:lineRule="auto"/>
        <w:ind w:left="259"/>
        <w:jc w:val="left"/>
      </w:pPr>
      <w:r>
        <w:rPr>
          <w:rFonts w:ascii="Arial" w:hAnsi="Arial"/>
          <w:color w:val="525252"/>
          <w:sz w:val="13"/>
        </w:rPr>
        <w:t>Members may control certain discretionary allotments through myPay.</w:t>
      </w:r>
    </w:p>
    <w:p>
      <w:pPr>
        <w:spacing w:after="20" w:line="223" w:lineRule="auto"/>
        <w:jc w:val="right"/>
        <w:bidi/>
      </w:pPr>
      <w:r>
        <w:rPr>
          <w:rFonts w:ascii="Arial" w:hAnsi="Arial"/>
          <w:sz w:val="16"/>
        </w:rPr>
        <w:t>212.32  تخصیص‌های غیراختصاری دارای کاربردهای محدودی هستند، مانند کمک‌های خیریه، بازپرداخت وام به انجمن کمک‌رسانی نیروی هوایی، گارانتی</w:t>
      </w:r>
    </w:p>
    <w:p>
      <w:pPr>
        <w:spacing w:after="28" w:line="216" w:lineRule="auto"/>
        <w:ind w:left="259"/>
        <w:jc w:val="left"/>
      </w:pPr>
      <w:r>
        <w:rPr>
          <w:rFonts w:ascii="Arial" w:hAnsi="Arial"/>
          <w:color w:val="525252"/>
          <w:sz w:val="13"/>
        </w:rPr>
        <w:t>Nondiscretionary allotments have limited uses, such as charitable contributions, loan repayments to the Air Force Aid Society, garnishment</w:t>
      </w:r>
    </w:p>
    <w:p>
      <w:r>
        <w:br w:type="page"/>
      </w:r>
    </w:p>
    <w:p>
      <w:pPr>
        <w:spacing w:after="60"/>
        <w:jc w:val="right"/>
        <w:bidi/>
      </w:pPr>
      <w:r>
        <w:rPr>
          <w:rFonts w:ascii="Arial" w:hAnsi="Arial"/>
          <w:b/>
          <w:color w:val="1F4D78"/>
          <w:sz w:val="19"/>
        </w:rPr>
        <w:t>هفتهٔ 213  |  صفحهٔ منبع: 229</w:t>
      </w:r>
    </w:p>
    <w:p>
      <w:pPr>
        <w:spacing w:after="20" w:line="223" w:lineRule="auto"/>
        <w:jc w:val="right"/>
        <w:bidi/>
      </w:pPr>
      <w:r>
        <w:rPr>
          <w:rFonts w:ascii="Arial" w:hAnsi="Arial"/>
          <w:sz w:val="16"/>
        </w:rPr>
        <w:t>213.01  برای بدهی‌های تجاری و بدهی کارت شارژ مسافرتی معوق.</w:t>
      </w:r>
    </w:p>
    <w:p>
      <w:pPr>
        <w:spacing w:after="28" w:line="216" w:lineRule="auto"/>
        <w:ind w:left="259"/>
        <w:jc w:val="left"/>
      </w:pPr>
      <w:r>
        <w:rPr>
          <w:rFonts w:ascii="Arial" w:hAnsi="Arial"/>
          <w:color w:val="525252"/>
          <w:sz w:val="13"/>
        </w:rPr>
        <w:t>for commercial debts, and delinquent travel charge card debt.</w:t>
      </w:r>
    </w:p>
    <w:p>
      <w:pPr>
        <w:spacing w:after="20" w:line="223" w:lineRule="auto"/>
        <w:jc w:val="right"/>
        <w:bidi/>
      </w:pPr>
      <w:r>
        <w:rPr>
          <w:rFonts w:ascii="Arial" w:hAnsi="Arial"/>
          <w:sz w:val="16"/>
        </w:rPr>
        <w:t>213.02  اعضا مجاز به شروع تخصیص برای خرید، اجاره، یا اجاره اموال شخصی نیستند.</w:t>
      </w:r>
    </w:p>
    <w:p>
      <w:pPr>
        <w:spacing w:after="28" w:line="216" w:lineRule="auto"/>
        <w:ind w:left="259"/>
        <w:jc w:val="left"/>
      </w:pPr>
      <w:r>
        <w:rPr>
          <w:rFonts w:ascii="Arial" w:hAnsi="Arial"/>
          <w:color w:val="525252"/>
          <w:sz w:val="13"/>
        </w:rPr>
        <w:t>Members are not authorized to start allotments for purchase, lease, or rental of personal property.</w:t>
      </w:r>
    </w:p>
    <w:p>
      <w:pPr>
        <w:spacing w:after="20" w:line="223" w:lineRule="auto"/>
        <w:jc w:val="right"/>
        <w:bidi/>
      </w:pPr>
      <w:r>
        <w:rPr>
          <w:rFonts w:ascii="Arial" w:hAnsi="Arial"/>
          <w:sz w:val="16"/>
        </w:rPr>
        <w:t>213.03  برای اینکه زمان پردازش کافی داشته باشد، تخصیص‌ها باید ۳۰ روز قبل از ماه مورد نظر درخواست شود.</w:t>
      </w:r>
    </w:p>
    <w:p>
      <w:pPr>
        <w:spacing w:after="28" w:line="216" w:lineRule="auto"/>
        <w:ind w:left="259"/>
        <w:jc w:val="left"/>
      </w:pPr>
      <w:r>
        <w:rPr>
          <w:rFonts w:ascii="Arial" w:hAnsi="Arial"/>
          <w:color w:val="525252"/>
          <w:sz w:val="13"/>
        </w:rPr>
        <w:t>To allow for sufficient processing time, allotments should be requested 30 days before the desired month.</w:t>
      </w:r>
    </w:p>
    <w:p>
      <w:pPr>
        <w:spacing w:after="20" w:line="223" w:lineRule="auto"/>
        <w:jc w:val="right"/>
        <w:bidi/>
      </w:pPr>
      <w:r>
        <w:rPr>
          <w:rFonts w:ascii="Arial" w:hAnsi="Arial"/>
          <w:sz w:val="16"/>
        </w:rPr>
        <w:t>213.04  به‌طور معمول، اگر به عضو دو بار در ماه پرداخت شود، تخصیص به مقدار مساوی از پرداخت وسط ماه و پایان ماه کسر می‌شود.</w:t>
      </w:r>
    </w:p>
    <w:p>
      <w:pPr>
        <w:spacing w:after="28" w:line="216" w:lineRule="auto"/>
        <w:ind w:left="259"/>
        <w:jc w:val="left"/>
      </w:pPr>
      <w:r>
        <w:rPr>
          <w:rFonts w:ascii="Arial" w:hAnsi="Arial"/>
          <w:color w:val="525252"/>
          <w:sz w:val="13"/>
        </w:rPr>
        <w:t>Normally, if the member is paid twice a month, the allotment is deducted in equal amounts from the mid-month and end-of-month pay.</w:t>
      </w:r>
    </w:p>
    <w:p>
      <w:pPr>
        <w:spacing w:after="20" w:line="223" w:lineRule="auto"/>
        <w:jc w:val="right"/>
        <w:bidi/>
      </w:pPr>
      <w:r>
        <w:rPr>
          <w:rFonts w:ascii="Arial" w:hAnsi="Arial"/>
          <w:sz w:val="16"/>
        </w:rPr>
        <w:t>213.05  اگر فرد یک بار در ماه حقوق دریافت کند، کل مبلغ از فیش حقوقی ماهیانه کسر می‌شود.</w:t>
      </w:r>
    </w:p>
    <w:p>
      <w:pPr>
        <w:spacing w:after="28" w:line="216" w:lineRule="auto"/>
        <w:ind w:left="259"/>
        <w:jc w:val="left"/>
      </w:pPr>
      <w:r>
        <w:rPr>
          <w:rFonts w:ascii="Arial" w:hAnsi="Arial"/>
          <w:color w:val="525252"/>
          <w:sz w:val="13"/>
        </w:rPr>
        <w:t>If the individual receives pay once a month, the entire amount is deducted from the monthly paycheck.</w:t>
      </w:r>
    </w:p>
    <w:p>
      <w:pPr>
        <w:spacing w:after="20" w:line="223" w:lineRule="auto"/>
        <w:jc w:val="right"/>
        <w:bidi/>
      </w:pPr>
      <w:r>
        <w:rPr>
          <w:rFonts w:ascii="Arial" w:hAnsi="Arial"/>
          <w:sz w:val="16"/>
        </w:rPr>
        <w:t>213.06  طرح پس انداز صرفه جویی.</w:t>
      </w:r>
    </w:p>
    <w:p>
      <w:pPr>
        <w:spacing w:after="28" w:line="216" w:lineRule="auto"/>
        <w:ind w:left="259"/>
        <w:jc w:val="left"/>
      </w:pPr>
      <w:r>
        <w:rPr>
          <w:rFonts w:ascii="Arial" w:hAnsi="Arial"/>
          <w:color w:val="525252"/>
          <w:sz w:val="13"/>
        </w:rPr>
        <w:t>Thrift Savings Plan.</w:t>
      </w:r>
    </w:p>
    <w:p>
      <w:pPr>
        <w:spacing w:after="20" w:line="223" w:lineRule="auto"/>
        <w:jc w:val="right"/>
        <w:bidi/>
      </w:pPr>
      <w:r>
        <w:rPr>
          <w:rFonts w:ascii="Arial" w:hAnsi="Arial"/>
          <w:sz w:val="16"/>
        </w:rPr>
        <w:t>213.07  طرح پس انداز صرفه جویی (TSP) یک کسر داوطلبانه است.</w:t>
      </w:r>
    </w:p>
    <w:p>
      <w:pPr>
        <w:spacing w:after="28" w:line="216" w:lineRule="auto"/>
        <w:ind w:left="259"/>
        <w:jc w:val="left"/>
      </w:pPr>
      <w:r>
        <w:rPr>
          <w:rFonts w:ascii="Arial" w:hAnsi="Arial"/>
          <w:color w:val="525252"/>
          <w:sz w:val="13"/>
        </w:rPr>
        <w:t>The Thrift Savings Plan (TSP) is a voluntary deduction.</w:t>
      </w:r>
    </w:p>
    <w:p>
      <w:pPr>
        <w:spacing w:after="20" w:line="223" w:lineRule="auto"/>
        <w:jc w:val="right"/>
        <w:bidi/>
      </w:pPr>
      <w:r>
        <w:rPr>
          <w:rFonts w:ascii="Arial" w:hAnsi="Arial"/>
          <w:sz w:val="16"/>
        </w:rPr>
        <w:t>213.08  این یک طرح پس انداز و سرمایه گذاری بازنشستگی است که برای کارمندان فدرال به‌عنوان بخشی از قانون بازنشستگی کارمندان فدرال در سال ۱۹۸۶ ایجاد شده است.</w:t>
      </w:r>
    </w:p>
    <w:p>
      <w:pPr>
        <w:spacing w:after="28" w:line="216" w:lineRule="auto"/>
        <w:ind w:left="259"/>
        <w:jc w:val="left"/>
      </w:pPr>
      <w:r>
        <w:rPr>
          <w:rFonts w:ascii="Arial" w:hAnsi="Arial"/>
          <w:color w:val="525252"/>
          <w:sz w:val="13"/>
        </w:rPr>
        <w:t>It is a retirement savings and investment plan established for federal employees as part of the Federal Employees’ Retirement Act of 1986.</w:t>
      </w:r>
    </w:p>
    <w:p>
      <w:pPr>
        <w:spacing w:after="20" w:line="223" w:lineRule="auto"/>
        <w:jc w:val="right"/>
        <w:bidi/>
      </w:pPr>
      <w:r>
        <w:rPr>
          <w:rFonts w:ascii="Arial" w:hAnsi="Arial"/>
          <w:sz w:val="16"/>
        </w:rPr>
        <w:t>213.09  این طرح مزایای معوق مالیاتی مشابه مزایای حساب بازنشستگی فردی یا طرح ۴۰۱(ک) ارائه می‌دهد.</w:t>
      </w:r>
    </w:p>
    <w:p>
      <w:pPr>
        <w:spacing w:after="28" w:line="216" w:lineRule="auto"/>
        <w:ind w:left="259"/>
        <w:jc w:val="left"/>
      </w:pPr>
      <w:r>
        <w:rPr>
          <w:rFonts w:ascii="Arial" w:hAnsi="Arial"/>
          <w:color w:val="525252"/>
          <w:sz w:val="13"/>
        </w:rPr>
        <w:t>The plan offers tax-deferred advantages similar to those in an individual retirement account or 401(k) plan.</w:t>
      </w:r>
    </w:p>
    <w:p>
      <w:pPr>
        <w:spacing w:after="20" w:line="223" w:lineRule="auto"/>
        <w:jc w:val="right"/>
        <w:bidi/>
      </w:pPr>
      <w:r>
        <w:rPr>
          <w:rFonts w:ascii="Arial" w:hAnsi="Arial"/>
          <w:sz w:val="16"/>
        </w:rPr>
        <w:t>213.10  مشارکت‌های سنتی TSP را می‌توان قبل از محاسبه مالیات از پرداخت خارج کرد، که منجر به کاهش تعهدات مالیاتی فردی می‌شود.</w:t>
      </w:r>
    </w:p>
    <w:p>
      <w:pPr>
        <w:spacing w:after="28" w:line="216" w:lineRule="auto"/>
        <w:ind w:left="259"/>
        <w:jc w:val="left"/>
      </w:pPr>
      <w:r>
        <w:rPr>
          <w:rFonts w:ascii="Arial" w:hAnsi="Arial"/>
          <w:color w:val="525252"/>
          <w:sz w:val="13"/>
        </w:rPr>
        <w:t>Traditional TSP contributions can be taken out of pay before taxes are computed, resulting in reduced individual tax obligations.</w:t>
      </w:r>
    </w:p>
    <w:p>
      <w:pPr>
        <w:spacing w:after="20" w:line="223" w:lineRule="auto"/>
        <w:jc w:val="right"/>
        <w:bidi/>
      </w:pPr>
      <w:r>
        <w:rPr>
          <w:rFonts w:ascii="Arial" w:hAnsi="Arial"/>
          <w:sz w:val="16"/>
        </w:rPr>
        <w:t>213.11  سهم روت TSP پس از کسر مالیات از درآمد خارج می‌شود.</w:t>
      </w:r>
    </w:p>
    <w:p>
      <w:pPr>
        <w:spacing w:after="28" w:line="216" w:lineRule="auto"/>
        <w:ind w:left="259"/>
        <w:jc w:val="left"/>
      </w:pPr>
      <w:r>
        <w:rPr>
          <w:rFonts w:ascii="Arial" w:hAnsi="Arial"/>
          <w:color w:val="525252"/>
          <w:sz w:val="13"/>
        </w:rPr>
        <w:t>Roth TSP contributions are taken out of pay after income is taxed.</w:t>
      </w:r>
    </w:p>
    <w:p>
      <w:pPr>
        <w:spacing w:after="20" w:line="223" w:lineRule="auto"/>
        <w:jc w:val="right"/>
        <w:bidi/>
      </w:pPr>
      <w:r>
        <w:rPr>
          <w:rFonts w:ascii="Arial" w:hAnsi="Arial"/>
          <w:sz w:val="16"/>
        </w:rPr>
        <w:t>213.12  هنگامی که وجوه در تاریخ آینده برداشت می‌شود، مشارکت‌ها معاف از مالیات خواهند بود، زیرا مالیات پیش‌تر برای مشارکت‌ها پرداخت شده است.</w:t>
      </w:r>
    </w:p>
    <w:p>
      <w:pPr>
        <w:spacing w:after="28" w:line="216" w:lineRule="auto"/>
        <w:ind w:left="259"/>
        <w:jc w:val="left"/>
      </w:pPr>
      <w:r>
        <w:rPr>
          <w:rFonts w:ascii="Arial" w:hAnsi="Arial"/>
          <w:color w:val="525252"/>
          <w:sz w:val="13"/>
        </w:rPr>
        <w:t>When funds are withdrawn at a future date, contributions will be tax-free since taxes were already paid on the contributions.</w:t>
      </w:r>
    </w:p>
    <w:p>
      <w:pPr>
        <w:spacing w:after="20" w:line="223" w:lineRule="auto"/>
        <w:jc w:val="right"/>
        <w:bidi/>
      </w:pPr>
      <w:r>
        <w:rPr>
          <w:rFonts w:ascii="Arial" w:hAnsi="Arial"/>
          <w:sz w:val="16"/>
        </w:rPr>
        <w:t>213.13  اگر یک عضو در تاریخ ۱ ژانویه ۲۰۱۸ یا بعد از آن ثبت‌نام کرده باشد، در سیستم بازنشستگی ترکیبی (BRS) ثبت‌نام می‌شود و به‌طور خودکار در TSP در سطح ۵٪ مشارکت فردی از حقوق پایه ماهانه یا پرداخت وظیفه غیرفعال خود ثبت‌نام می‌کند.</w:t>
      </w:r>
    </w:p>
    <w:p>
      <w:pPr>
        <w:spacing w:after="28" w:line="216" w:lineRule="auto"/>
        <w:ind w:left="259"/>
        <w:jc w:val="left"/>
      </w:pPr>
      <w:r>
        <w:rPr>
          <w:rFonts w:ascii="Arial" w:hAnsi="Arial"/>
          <w:color w:val="525252"/>
          <w:sz w:val="13"/>
        </w:rPr>
        <w:t>A member is enrolled into the Blended Retirement System (BRS) if they enlisted on or after 1 January 2018, and will be automatically enrolled in TSP at the level of 5% individual contribution from his or her monthly basic pay or inactive duty pay.</w:t>
      </w:r>
    </w:p>
    <w:p>
      <w:pPr>
        <w:spacing w:after="20" w:line="223" w:lineRule="auto"/>
        <w:jc w:val="right"/>
        <w:bidi/>
      </w:pPr>
      <w:r>
        <w:rPr>
          <w:rFonts w:ascii="Arial" w:hAnsi="Arial"/>
          <w:sz w:val="16"/>
        </w:rPr>
        <w:t>213.14  این مبلغ با شروع اولین دوره پرداخت پس از شصتمین روز خدمات عضو، به حساب TSP عضو واریز می‌شود، همانطور که از تاریخ پایه ورود به پرداخت (PEBD) محاسبه می‌شود.</w:t>
      </w:r>
    </w:p>
    <w:p>
      <w:pPr>
        <w:spacing w:after="28" w:line="216" w:lineRule="auto"/>
        <w:ind w:left="259"/>
        <w:jc w:val="left"/>
      </w:pPr>
      <w:r>
        <w:rPr>
          <w:rFonts w:ascii="Arial" w:hAnsi="Arial"/>
          <w:color w:val="525252"/>
          <w:sz w:val="13"/>
        </w:rPr>
        <w:t>The amount will be contributed to the member’s TSP account beginning with the first pay period following the member’s 60th day of service as calculated from the Pay Entry Base Date (PEBD).</w:t>
      </w:r>
    </w:p>
    <w:p>
      <w:pPr>
        <w:spacing w:after="20" w:line="223" w:lineRule="auto"/>
        <w:jc w:val="right"/>
        <w:bidi/>
      </w:pPr>
      <w:r>
        <w:rPr>
          <w:rFonts w:ascii="Arial" w:hAnsi="Arial"/>
          <w:sz w:val="16"/>
        </w:rPr>
        <w:t>213.15  اگر عضوی از دستمزد پایه در TSP مشارکت داشته باشد، عضو مجاز است پاداش، مشوق یا دستمزد ویژه را مشارکت دهد.</w:t>
      </w:r>
    </w:p>
    <w:p>
      <w:pPr>
        <w:spacing w:after="28" w:line="216" w:lineRule="auto"/>
        <w:ind w:left="259"/>
        <w:jc w:val="left"/>
      </w:pPr>
      <w:r>
        <w:rPr>
          <w:rFonts w:ascii="Arial" w:hAnsi="Arial"/>
          <w:color w:val="525252"/>
          <w:sz w:val="13"/>
        </w:rPr>
        <w:t>If a member is contributing to the TSP from basic pay, the member is authorized to contribute bonuses, incentive, or special pay.</w:t>
      </w:r>
    </w:p>
    <w:p>
      <w:pPr>
        <w:spacing w:after="20" w:line="223" w:lineRule="auto"/>
        <w:jc w:val="right"/>
        <w:bidi/>
      </w:pPr>
      <w:r>
        <w:rPr>
          <w:rFonts w:ascii="Arial" w:hAnsi="Arial"/>
          <w:sz w:val="16"/>
        </w:rPr>
        <w:t>213.16  از ژانویه ۲۰۲۳، حداکثر مبلغ مشارکت TSP ۲۲،۵۰۰ دلار برای مشارکت‌های معوق و راث و تا ۶۶،۰۰۰ دلار مجموع مشارکت‌های معوق/ معافیت سنتی و روث است.</w:t>
      </w:r>
    </w:p>
    <w:p>
      <w:pPr>
        <w:spacing w:after="28" w:line="216" w:lineRule="auto"/>
        <w:ind w:left="259"/>
        <w:jc w:val="left"/>
      </w:pPr>
      <w:r>
        <w:rPr>
          <w:rFonts w:ascii="Arial" w:hAnsi="Arial"/>
          <w:color w:val="525252"/>
          <w:sz w:val="13"/>
        </w:rPr>
        <w:t>As of January 2023, the maximum TSP contribution amount is $22,500 for deferred and Roth contributions and up to $66,000 total combined deferred/exempt Traditional and Roth contributions.</w:t>
      </w:r>
    </w:p>
    <w:p>
      <w:pPr>
        <w:spacing w:after="20" w:line="223" w:lineRule="auto"/>
        <w:jc w:val="right"/>
        <w:bidi/>
      </w:pPr>
      <w:r>
        <w:rPr>
          <w:rFonts w:ascii="Arial" w:hAnsi="Arial"/>
          <w:sz w:val="16"/>
        </w:rPr>
        <w:t>213.17  اعضا اجازه ندارند بیش از ۹۲ درصد از دستمزد پایه خود را برای کسورات مورد نیاز تأمین اجتماعی و مدیکر کمک کنند.</w:t>
      </w:r>
    </w:p>
    <w:p>
      <w:pPr>
        <w:spacing w:after="28" w:line="216" w:lineRule="auto"/>
        <w:ind w:left="259"/>
        <w:jc w:val="left"/>
      </w:pPr>
      <w:r>
        <w:rPr>
          <w:rFonts w:ascii="Arial" w:hAnsi="Arial"/>
          <w:color w:val="525252"/>
          <w:sz w:val="13"/>
        </w:rPr>
        <w:t>Members are not permitted to contribute more than 92 percent of their basic pay so that required deductions of social security and Medicare can be made.</w:t>
      </w:r>
    </w:p>
    <w:p>
      <w:pPr>
        <w:spacing w:after="20" w:line="223" w:lineRule="auto"/>
        <w:jc w:val="right"/>
        <w:bidi/>
      </w:pPr>
      <w:r>
        <w:rPr>
          <w:rFonts w:ascii="Arial" w:hAnsi="Arial"/>
          <w:sz w:val="16"/>
        </w:rPr>
        <w:t>213.18  بیمه عمر گروهی کارکنان خدمات.</w:t>
      </w:r>
    </w:p>
    <w:p>
      <w:pPr>
        <w:spacing w:after="28" w:line="216" w:lineRule="auto"/>
        <w:ind w:left="259"/>
        <w:jc w:val="left"/>
      </w:pPr>
      <w:r>
        <w:rPr>
          <w:rFonts w:ascii="Arial" w:hAnsi="Arial"/>
          <w:color w:val="525252"/>
          <w:sz w:val="13"/>
        </w:rPr>
        <w:t>Servicemembers’ Group Life Insurance.</w:t>
      </w:r>
    </w:p>
    <w:p>
      <w:pPr>
        <w:spacing w:after="20" w:line="223" w:lineRule="auto"/>
        <w:jc w:val="right"/>
        <w:bidi/>
      </w:pPr>
      <w:r>
        <w:rPr>
          <w:rFonts w:ascii="Arial" w:hAnsi="Arial"/>
          <w:sz w:val="16"/>
        </w:rPr>
        <w:t>213.19  بیمه عمر گروهی سرویکممبرس (SGLI) یک کسر داوطلبانه است.</w:t>
      </w:r>
    </w:p>
    <w:p>
      <w:pPr>
        <w:spacing w:after="28" w:line="216" w:lineRule="auto"/>
        <w:ind w:left="259"/>
        <w:jc w:val="left"/>
      </w:pPr>
      <w:r>
        <w:rPr>
          <w:rFonts w:ascii="Arial" w:hAnsi="Arial"/>
          <w:color w:val="525252"/>
          <w:sz w:val="13"/>
        </w:rPr>
        <w:t>The Servicemembers’ Group Life Insurance (SGLI) is a voluntary deduction.</w:t>
      </w:r>
    </w:p>
    <w:p>
      <w:pPr>
        <w:spacing w:after="20" w:line="223" w:lineRule="auto"/>
        <w:jc w:val="right"/>
        <w:bidi/>
      </w:pPr>
      <w:r>
        <w:rPr>
          <w:rFonts w:ascii="Arial" w:hAnsi="Arial"/>
          <w:sz w:val="16"/>
        </w:rPr>
        <w:t>213.20  حداکثر میزان پوشش SGLI ۵۰۰،۰۰۰ دلار است و اعضا طبق قانون با حداکثر نرخ تحت پوشش قرار می‌گیرند مگر اینکه پوشش را رد یا کاهش دهند.</w:t>
      </w:r>
    </w:p>
    <w:p>
      <w:pPr>
        <w:spacing w:after="28" w:line="216" w:lineRule="auto"/>
        <w:ind w:left="259"/>
        <w:jc w:val="left"/>
      </w:pPr>
      <w:r>
        <w:rPr>
          <w:rFonts w:ascii="Arial" w:hAnsi="Arial"/>
          <w:color w:val="525252"/>
          <w:sz w:val="13"/>
        </w:rPr>
        <w:t>The maximum amount of SGLI coverage is $500,000 and members are covered, by law, at the maximum rate unless they decline or reduce coverage.</w:t>
      </w:r>
    </w:p>
    <w:p>
      <w:pPr>
        <w:spacing w:after="20" w:line="223" w:lineRule="auto"/>
        <w:jc w:val="right"/>
        <w:bidi/>
      </w:pPr>
      <w:r>
        <w:rPr>
          <w:rFonts w:ascii="Arial" w:hAnsi="Arial"/>
          <w:sz w:val="16"/>
        </w:rPr>
        <w:t>213.21  SGLI به‌طور خودکار یک عضو واجد شرایط را در برابر مرگ بیمه می‌کند، زمانی که عضو در وضعیت رگاف و/یا آموزش برای دوره سفارش داده شده بیش از ۳۰ روز باشد.</w:t>
      </w:r>
    </w:p>
    <w:p>
      <w:pPr>
        <w:spacing w:after="28" w:line="216" w:lineRule="auto"/>
        <w:ind w:left="259"/>
        <w:jc w:val="left"/>
      </w:pPr>
      <w:r>
        <w:rPr>
          <w:rFonts w:ascii="Arial" w:hAnsi="Arial"/>
          <w:color w:val="525252"/>
          <w:sz w:val="13"/>
        </w:rPr>
        <w:t>SGLI automatically insures an eligible member against death when the member is on RegAF status and/or training for an ordered period of more than 30 days.</w:t>
      </w:r>
    </w:p>
    <w:p>
      <w:pPr>
        <w:spacing w:after="20" w:line="223" w:lineRule="auto"/>
        <w:jc w:val="right"/>
        <w:bidi/>
      </w:pPr>
      <w:r>
        <w:rPr>
          <w:rFonts w:ascii="Arial" w:hAnsi="Arial"/>
          <w:sz w:val="16"/>
        </w:rPr>
        <w:t>213.22  با این حال، یک فرد ممکن است پوشش کمتری را در مقادیر قابل تقسیم بر ۵۰۰۰۰ دلار انتخاب کند یا پوششی را انتخاب نکند، اما باید این کار را به صورت کتبی انجام دهد.</w:t>
      </w:r>
    </w:p>
    <w:p>
      <w:pPr>
        <w:spacing w:after="28" w:line="216" w:lineRule="auto"/>
        <w:ind w:left="259"/>
        <w:jc w:val="left"/>
      </w:pPr>
      <w:r>
        <w:rPr>
          <w:rFonts w:ascii="Arial" w:hAnsi="Arial"/>
          <w:color w:val="525252"/>
          <w:sz w:val="13"/>
        </w:rPr>
        <w:t>However, an individual may choose less coverage in amounts divisible by $50,000 or elect no coverage, but he or she must do so in writing.</w:t>
      </w:r>
    </w:p>
    <w:p>
      <w:pPr>
        <w:spacing w:after="20" w:line="223" w:lineRule="auto"/>
        <w:jc w:val="right"/>
        <w:bidi/>
      </w:pPr>
      <w:r>
        <w:rPr>
          <w:rFonts w:ascii="Arial" w:hAnsi="Arial"/>
          <w:sz w:val="16"/>
        </w:rPr>
        <w:t>213.23  علاوه بر این، SGLI خانواده همسران و فرزندان تحت تکفل را زمانی که عضو واجد شرایط نیز در پوشش SGLI شرکت می‌کند، از جمله همسران نظامی، پوشش می‌دهد.</w:t>
      </w:r>
    </w:p>
    <w:p>
      <w:pPr>
        <w:spacing w:after="28" w:line="216" w:lineRule="auto"/>
        <w:ind w:left="259"/>
        <w:jc w:val="left"/>
      </w:pPr>
      <w:r>
        <w:rPr>
          <w:rFonts w:ascii="Arial" w:hAnsi="Arial"/>
          <w:color w:val="525252"/>
          <w:sz w:val="13"/>
        </w:rPr>
        <w:t>Additionally, family SGLI covers spouses and dependent children when the eligible member also participates in SGLI coverage, including military spouses.</w:t>
      </w:r>
    </w:p>
    <w:p>
      <w:pPr>
        <w:spacing w:after="20" w:line="223" w:lineRule="auto"/>
        <w:jc w:val="right"/>
        <w:bidi/>
      </w:pPr>
      <w:r>
        <w:rPr>
          <w:rFonts w:ascii="Arial" w:hAnsi="Arial"/>
          <w:sz w:val="16"/>
        </w:rPr>
        <w:t>213.24  برای پوشش همسر، بر اساس میزان پوشش، ماهیانه کسر می‌شود.</w:t>
      </w:r>
    </w:p>
    <w:p>
      <w:pPr>
        <w:spacing w:after="28" w:line="216" w:lineRule="auto"/>
        <w:ind w:left="259"/>
        <w:jc w:val="left"/>
      </w:pPr>
      <w:r>
        <w:rPr>
          <w:rFonts w:ascii="Arial" w:hAnsi="Arial"/>
          <w:color w:val="525252"/>
          <w:sz w:val="13"/>
        </w:rPr>
        <w:t>There is a monthly deduction for spousal coverage, based on the amount of coverage.</w:t>
      </w:r>
    </w:p>
    <w:p>
      <w:pPr>
        <w:spacing w:after="20" w:line="223" w:lineRule="auto"/>
        <w:jc w:val="right"/>
        <w:bidi/>
      </w:pPr>
      <w:r>
        <w:rPr>
          <w:rFonts w:ascii="Arial" w:hAnsi="Arial"/>
          <w:sz w:val="16"/>
        </w:rPr>
        <w:t>213.25  هر کودک مبلغ ۱۰۰۰۰ دلار بدون هیچ هزینه‌ای برای عضو تحت پوشش قرار می‌گیرد.</w:t>
      </w:r>
    </w:p>
    <w:p>
      <w:pPr>
        <w:spacing w:after="28" w:line="216" w:lineRule="auto"/>
        <w:ind w:left="259"/>
        <w:jc w:val="left"/>
      </w:pPr>
      <w:r>
        <w:rPr>
          <w:rFonts w:ascii="Arial" w:hAnsi="Arial"/>
          <w:color w:val="525252"/>
          <w:sz w:val="13"/>
        </w:rPr>
        <w:t>Each child is covered in the amount of $10,000 at no cost to the member.</w:t>
      </w:r>
    </w:p>
    <w:p>
      <w:pPr>
        <w:spacing w:after="20" w:line="223" w:lineRule="auto"/>
        <w:jc w:val="right"/>
        <w:bidi/>
      </w:pPr>
      <w:r>
        <w:rPr>
          <w:rFonts w:ascii="Arial" w:hAnsi="Arial"/>
          <w:sz w:val="16"/>
        </w:rPr>
        <w:t>213.26  عضو نمی‌تواند هیچ کودکی را برای کمتر از ۱۰۰۰۰ دلار بیمه کند.</w:t>
      </w:r>
    </w:p>
    <w:p>
      <w:pPr>
        <w:spacing w:after="28" w:line="216" w:lineRule="auto"/>
        <w:ind w:left="259"/>
        <w:jc w:val="left"/>
      </w:pPr>
      <w:r>
        <w:rPr>
          <w:rFonts w:ascii="Arial" w:hAnsi="Arial"/>
          <w:color w:val="525252"/>
          <w:sz w:val="13"/>
        </w:rPr>
        <w:t>The member may not elect to insure any child for less than $10,000.</w:t>
      </w:r>
    </w:p>
    <w:p>
      <w:pPr>
        <w:spacing w:after="20" w:line="223" w:lineRule="auto"/>
        <w:jc w:val="right"/>
        <w:bidi/>
      </w:pPr>
      <w:r>
        <w:rPr>
          <w:rFonts w:ascii="Arial" w:hAnsi="Arial"/>
          <w:sz w:val="16"/>
        </w:rPr>
        <w:t>213.27  حق بیمه SGLI و خانواده SGLI هر ماه از حقوق سربازی اعضا کسر می‌شود.</w:t>
      </w:r>
    </w:p>
    <w:p>
      <w:pPr>
        <w:spacing w:after="28" w:line="216" w:lineRule="auto"/>
        <w:ind w:left="259"/>
        <w:jc w:val="left"/>
      </w:pPr>
      <w:r>
        <w:rPr>
          <w:rFonts w:ascii="Arial" w:hAnsi="Arial"/>
          <w:color w:val="525252"/>
          <w:sz w:val="13"/>
        </w:rPr>
        <w:t>SGLI and family SGLI premiums are deducted from members’ military pay each month.</w:t>
      </w:r>
    </w:p>
    <w:p>
      <w:pPr>
        <w:spacing w:after="20" w:line="223" w:lineRule="auto"/>
        <w:jc w:val="right"/>
        <w:bidi/>
      </w:pPr>
      <w:r>
        <w:rPr>
          <w:rFonts w:ascii="Arial" w:hAnsi="Arial"/>
          <w:sz w:val="16"/>
        </w:rPr>
        <w:t>213.28  بخش پرسنل نظامی دفتر مسئولیت اصلی برای اجرای برنامه است.</w:t>
      </w:r>
    </w:p>
    <w:p>
      <w:pPr>
        <w:spacing w:after="28" w:line="216" w:lineRule="auto"/>
        <w:ind w:left="259"/>
        <w:jc w:val="left"/>
      </w:pPr>
      <w:r>
        <w:rPr>
          <w:rFonts w:ascii="Arial" w:hAnsi="Arial"/>
          <w:color w:val="525252"/>
          <w:sz w:val="13"/>
        </w:rPr>
        <w:t>The military personnel section is the office of primary responsibility for administering the program.</w:t>
      </w:r>
    </w:p>
    <w:p>
      <w:pPr>
        <w:spacing w:before="60" w:after="28"/>
        <w:jc w:val="right"/>
        <w:bidi/>
      </w:pPr>
      <w:r>
        <w:rPr>
          <w:b/>
          <w:color w:val="1F4D78"/>
          <w:sz w:val="18"/>
        </w:rPr>
        <w:t>12.14. تعهدات مالی</w:t>
      </w:r>
    </w:p>
    <w:p>
      <w:pPr>
        <w:spacing w:after="20"/>
        <w:ind w:left="259"/>
        <w:jc w:val="left"/>
      </w:pPr>
      <w:r>
        <w:rPr>
          <w:color w:val="555555"/>
          <w:sz w:val="12"/>
        </w:rPr>
        <w:t>12.14. Financial Obligations</w:t>
      </w:r>
    </w:p>
    <w:p>
      <w:pPr>
        <w:spacing w:after="20" w:line="223" w:lineRule="auto"/>
        <w:jc w:val="right"/>
        <w:bidi/>
      </w:pPr>
      <w:r>
        <w:rPr>
          <w:rFonts w:ascii="Arial" w:hAnsi="Arial"/>
          <w:sz w:val="16"/>
        </w:rPr>
        <w:t>213.30  نظامیان تعهدات مالی خود را به موقع و به موقع پرداخت خواهند کرد. حمایت مالی کافی از همسر، فرزند یا هر خویشاوند دیگری که برای آن عضو کمک‌های حمایتی اضافی دریافت می‌کند؛ مطابق با مقررات حمایت مالی حکم دادگاه یا توافق نامه حمایت کتبی؛ و به درخواست‌های تخصیص غیرارادی پرداخت در تاریخ‌های تعلیق تعیین‌شده پاسخ دهد.</w:t>
      </w:r>
    </w:p>
    <w:p>
      <w:pPr>
        <w:spacing w:after="28" w:line="216" w:lineRule="auto"/>
        <w:ind w:left="259"/>
        <w:jc w:val="left"/>
      </w:pPr>
      <w:r>
        <w:rPr>
          <w:rFonts w:ascii="Arial" w:hAnsi="Arial"/>
          <w:color w:val="525252"/>
          <w:sz w:val="13"/>
        </w:rPr>
        <w:t>Military members will pay their financial obligations in a proper and timely manner; provide adequate financial support of a spouse, child, or any other relative for which the member receives additional support allowances; comply with the financial support provisions of a court order or written support agreement; and respond to applications for involuntary allotments of pay within the established suspense dates.</w:t>
      </w:r>
    </w:p>
    <w:p>
      <w:pPr>
        <w:spacing w:after="20" w:line="223" w:lineRule="auto"/>
        <w:jc w:val="right"/>
        <w:bidi/>
      </w:pPr>
      <w:r>
        <w:rPr>
          <w:rFonts w:ascii="Arial" w:hAnsi="Arial"/>
          <w:sz w:val="16"/>
        </w:rPr>
        <w:t>213.31  DAFI ۳۶-۲۹۰۶، مسئولیت مالی شخصی، دستورالعمل‌ها و قوانین اداری و مدیریتی را ارائه می‌دهد.</w:t>
      </w:r>
    </w:p>
    <w:p>
      <w:pPr>
        <w:spacing w:after="28" w:line="216" w:lineRule="auto"/>
        <w:ind w:left="259"/>
        <w:jc w:val="left"/>
      </w:pPr>
      <w:r>
        <w:rPr>
          <w:rFonts w:ascii="Arial" w:hAnsi="Arial"/>
          <w:color w:val="525252"/>
          <w:sz w:val="13"/>
        </w:rPr>
        <w:t>DAFI 36-2906, Personal Financial Responsibility, provides administrative and management guidelines and rules.</w:t>
      </w:r>
    </w:p>
    <w:p>
      <w:pPr>
        <w:spacing w:after="20" w:line="223" w:lineRule="auto"/>
        <w:jc w:val="right"/>
        <w:bidi/>
      </w:pPr>
      <w:r>
        <w:rPr>
          <w:rFonts w:ascii="Arial" w:hAnsi="Arial"/>
          <w:sz w:val="16"/>
        </w:rPr>
        <w:t>213.32  رسیدگی به شکایات.</w:t>
      </w:r>
    </w:p>
    <w:p>
      <w:pPr>
        <w:spacing w:after="28" w:line="216" w:lineRule="auto"/>
        <w:ind w:left="259"/>
        <w:jc w:val="left"/>
      </w:pPr>
      <w:r>
        <w:rPr>
          <w:rFonts w:ascii="Arial" w:hAnsi="Arial"/>
          <w:color w:val="525252"/>
          <w:sz w:val="13"/>
        </w:rPr>
        <w:t>Handling Complaints.</w:t>
      </w:r>
    </w:p>
    <w:p>
      <w:pPr>
        <w:spacing w:after="20" w:line="223" w:lineRule="auto"/>
        <w:jc w:val="right"/>
        <w:bidi/>
      </w:pPr>
      <w:r>
        <w:rPr>
          <w:rFonts w:ascii="Arial" w:hAnsi="Arial"/>
          <w:sz w:val="16"/>
        </w:rPr>
        <w:t>213.33  شاکیان اغلب با آدرس‌های سازمانی USAF ناآشنا هستند یا واحد تکلیف واقعی اعضا را نمی‌دانند و به همین دلیل اغلب به مکاتبات می‌پردازند.</w:t>
      </w:r>
    </w:p>
    <w:p>
      <w:pPr>
        <w:spacing w:after="28" w:line="216" w:lineRule="auto"/>
        <w:ind w:left="259"/>
        <w:jc w:val="left"/>
      </w:pPr>
      <w:r>
        <w:rPr>
          <w:rFonts w:ascii="Arial" w:hAnsi="Arial"/>
          <w:color w:val="525252"/>
          <w:sz w:val="13"/>
        </w:rPr>
        <w:t>Complainants are often unfamiliar with USAF organizational addresses or do not know the member’s actual unit of assignment, and so frequently address correspondence</w:t>
      </w:r>
    </w:p>
    <w:p>
      <w:r>
        <w:br w:type="page"/>
      </w:r>
    </w:p>
    <w:p>
      <w:pPr>
        <w:spacing w:after="60"/>
        <w:jc w:val="right"/>
        <w:bidi/>
      </w:pPr>
      <w:r>
        <w:rPr>
          <w:rFonts w:ascii="Arial" w:hAnsi="Arial"/>
          <w:b/>
          <w:color w:val="1F4D78"/>
          <w:sz w:val="19"/>
        </w:rPr>
        <w:t>هفتهٔ 214  |  صفحهٔ منبع: 230</w:t>
      </w:r>
    </w:p>
    <w:p>
      <w:pPr>
        <w:spacing w:after="20" w:line="223" w:lineRule="auto"/>
        <w:jc w:val="right"/>
        <w:bidi/>
      </w:pPr>
      <w:r>
        <w:rPr>
          <w:rFonts w:ascii="Arial" w:hAnsi="Arial"/>
          <w:sz w:val="16"/>
        </w:rPr>
        <w:t>214.01  به فرمانده نصب، وکیل قاضی ستاد، یا اسکادران پشتیبانی نیرو.</w:t>
      </w:r>
    </w:p>
    <w:p>
      <w:pPr>
        <w:spacing w:after="28" w:line="216" w:lineRule="auto"/>
        <w:ind w:left="259"/>
        <w:jc w:val="left"/>
      </w:pPr>
      <w:r>
        <w:rPr>
          <w:rFonts w:ascii="Arial" w:hAnsi="Arial"/>
          <w:color w:val="525252"/>
          <w:sz w:val="13"/>
        </w:rPr>
        <w:t>to the installation commander, Staff Judge Advocate, or force support squadron.</w:t>
      </w:r>
    </w:p>
    <w:p>
      <w:pPr>
        <w:spacing w:after="20" w:line="223" w:lineRule="auto"/>
        <w:jc w:val="right"/>
        <w:bidi/>
      </w:pPr>
      <w:r>
        <w:rPr>
          <w:rFonts w:ascii="Arial" w:hAnsi="Arial"/>
          <w:sz w:val="16"/>
        </w:rPr>
        <w:t>214.02  شکایات برای اقدام به فرمانده فوری فرد ارسال می‌شود و ارجاع به شاکی اعلام می‌شود.</w:t>
      </w:r>
    </w:p>
    <w:p>
      <w:pPr>
        <w:spacing w:after="28" w:line="216" w:lineRule="auto"/>
        <w:ind w:left="259"/>
        <w:jc w:val="left"/>
      </w:pPr>
      <w:r>
        <w:rPr>
          <w:rFonts w:ascii="Arial" w:hAnsi="Arial"/>
          <w:color w:val="525252"/>
          <w:sz w:val="13"/>
        </w:rPr>
        <w:t>Complaints are forwarded for action to the individual’s immediate commander and the complainant is notified of the referral.</w:t>
      </w:r>
    </w:p>
    <w:p>
      <w:pPr>
        <w:spacing w:after="20" w:line="223" w:lineRule="auto"/>
        <w:jc w:val="right"/>
        <w:bidi/>
      </w:pPr>
      <w:r>
        <w:rPr>
          <w:rFonts w:ascii="Arial" w:hAnsi="Arial"/>
          <w:sz w:val="16"/>
        </w:rPr>
        <w:t>214.03  فرماندهان تلاش خواهند کرد ظرف ۱۵ روز پاسخ دهند.</w:t>
      </w:r>
    </w:p>
    <w:p>
      <w:pPr>
        <w:spacing w:after="28" w:line="216" w:lineRule="auto"/>
        <w:ind w:left="259"/>
        <w:jc w:val="left"/>
      </w:pPr>
      <w:r>
        <w:rPr>
          <w:rFonts w:ascii="Arial" w:hAnsi="Arial"/>
          <w:color w:val="525252"/>
          <w:sz w:val="13"/>
        </w:rPr>
        <w:t>Commanders will attempt to respond within 15 days.</w:t>
      </w:r>
    </w:p>
    <w:p>
      <w:pPr>
        <w:spacing w:after="20" w:line="223" w:lineRule="auto"/>
        <w:jc w:val="right"/>
        <w:bidi/>
      </w:pPr>
      <w:r>
        <w:rPr>
          <w:rFonts w:ascii="Arial" w:hAnsi="Arial"/>
          <w:sz w:val="16"/>
        </w:rPr>
        <w:t>214.04  عدم پرداخت بدهی یا حمایت از افراد تحت تکفل می‌تواند منجر به اقدامات اداری یا انضباطی شود.</w:t>
      </w:r>
    </w:p>
    <w:p>
      <w:pPr>
        <w:spacing w:after="28" w:line="216" w:lineRule="auto"/>
        <w:ind w:left="259"/>
        <w:jc w:val="left"/>
      </w:pPr>
      <w:r>
        <w:rPr>
          <w:rFonts w:ascii="Arial" w:hAnsi="Arial"/>
          <w:color w:val="525252"/>
          <w:sz w:val="13"/>
        </w:rPr>
        <w:t>Failure to pay debts or support dependents can lead to administrative or disciplinary action.</w:t>
      </w:r>
    </w:p>
    <w:p>
      <w:pPr>
        <w:spacing w:after="20" w:line="223" w:lineRule="auto"/>
        <w:jc w:val="right"/>
        <w:bidi/>
      </w:pPr>
      <w:r>
        <w:rPr>
          <w:rFonts w:ascii="Arial" w:hAnsi="Arial"/>
          <w:sz w:val="16"/>
        </w:rPr>
        <w:t>214.05  فرماندهان باید به‌طور فعال بر شکایات نظارت کنند تا زمانی که آنها حل و فصل شوند.</w:t>
      </w:r>
    </w:p>
    <w:p>
      <w:pPr>
        <w:spacing w:after="28" w:line="216" w:lineRule="auto"/>
        <w:ind w:left="259"/>
        <w:jc w:val="left"/>
      </w:pPr>
      <w:r>
        <w:rPr>
          <w:rFonts w:ascii="Arial" w:hAnsi="Arial"/>
          <w:color w:val="525252"/>
          <w:sz w:val="13"/>
        </w:rPr>
        <w:t>Commanders must actively monitor complaints until they are resolved.</w:t>
      </w:r>
    </w:p>
    <w:p>
      <w:pPr>
        <w:spacing w:after="20" w:line="223" w:lineRule="auto"/>
        <w:jc w:val="right"/>
        <w:bidi/>
      </w:pPr>
      <w:r>
        <w:rPr>
          <w:rFonts w:ascii="Arial" w:hAnsi="Arial"/>
          <w:sz w:val="16"/>
        </w:rPr>
        <w:t>214.06  اگر فرمانده تشخیص دهد که شکایت بر عضو منعکس می‌شود، این اقدام باید در پرونده اطلاعات نامطلوب درج شود.</w:t>
      </w:r>
    </w:p>
    <w:p>
      <w:pPr>
        <w:spacing w:after="28" w:line="216" w:lineRule="auto"/>
        <w:ind w:left="259"/>
        <w:jc w:val="left"/>
      </w:pPr>
      <w:r>
        <w:rPr>
          <w:rFonts w:ascii="Arial" w:hAnsi="Arial"/>
          <w:color w:val="525252"/>
          <w:sz w:val="13"/>
        </w:rPr>
        <w:t>If the commander decides the complaint reflects adversely on the member, this action should be included in the unfavorable information file.</w:t>
      </w:r>
    </w:p>
    <w:p>
      <w:pPr>
        <w:spacing w:after="20" w:line="223" w:lineRule="auto"/>
        <w:jc w:val="right"/>
        <w:bidi/>
      </w:pPr>
      <w:r>
        <w:rPr>
          <w:rFonts w:ascii="Arial" w:hAnsi="Arial"/>
          <w:sz w:val="16"/>
        </w:rPr>
        <w:t>214.07  اگر عضو بدون خدمت سربازی بیشتر جدا شده باشد یا بازنشسته شده باشد، به شاکی اطلاع داده می‌شود که عضو دیگر تحت صلاحیت USAF نیست و USAF قادر به کمک نیست.</w:t>
      </w:r>
    </w:p>
    <w:p>
      <w:pPr>
        <w:spacing w:after="28" w:line="216" w:lineRule="auto"/>
        <w:ind w:left="259"/>
        <w:jc w:val="left"/>
      </w:pPr>
      <w:r>
        <w:rPr>
          <w:rFonts w:ascii="Arial" w:hAnsi="Arial"/>
          <w:color w:val="525252"/>
          <w:sz w:val="13"/>
        </w:rPr>
        <w:t>If the member has separated with no further military service or has retired, the complainant is notified and informed that the member is no longer under USAF jurisdiction and the USAF is unable to assist.</w:t>
      </w:r>
    </w:p>
    <w:p>
      <w:pPr>
        <w:spacing w:after="20" w:line="223" w:lineRule="auto"/>
        <w:jc w:val="right"/>
        <w:bidi/>
      </w:pPr>
      <w:r>
        <w:rPr>
          <w:rFonts w:ascii="Arial" w:hAnsi="Arial"/>
          <w:sz w:val="16"/>
        </w:rPr>
        <w:t>214.08  توجه: حقوق بازنشستگی اعضای بازنشسته را می‌توان برای نفقه فرزند یا تعهدات نفقه پرداخت کرد.</w:t>
      </w:r>
    </w:p>
    <w:p>
      <w:pPr>
        <w:spacing w:after="28" w:line="216" w:lineRule="auto"/>
        <w:ind w:left="259"/>
        <w:jc w:val="left"/>
      </w:pPr>
      <w:r>
        <w:rPr>
          <w:rFonts w:ascii="Arial" w:hAnsi="Arial"/>
          <w:color w:val="525252"/>
          <w:sz w:val="13"/>
        </w:rPr>
        <w:t>Note: Retired members’ retirement pay can be garnished for child support or alimony obligations.</w:t>
      </w:r>
    </w:p>
    <w:p>
      <w:pPr>
        <w:spacing w:after="20" w:line="223" w:lineRule="auto"/>
        <w:jc w:val="right"/>
        <w:bidi/>
      </w:pPr>
      <w:r>
        <w:rPr>
          <w:rFonts w:ascii="Arial" w:hAnsi="Arial"/>
          <w:sz w:val="16"/>
        </w:rPr>
        <w:t>214.09  مجموعه بدهی‌های دولت فدرال.</w:t>
      </w:r>
    </w:p>
    <w:p>
      <w:pPr>
        <w:spacing w:after="28" w:line="216" w:lineRule="auto"/>
        <w:ind w:left="259"/>
        <w:jc w:val="left"/>
      </w:pPr>
      <w:r>
        <w:rPr>
          <w:rFonts w:ascii="Arial" w:hAnsi="Arial"/>
          <w:color w:val="525252"/>
          <w:sz w:val="13"/>
        </w:rPr>
        <w:t>Federal Government Collection of Debts.</w:t>
      </w:r>
    </w:p>
    <w:p>
      <w:pPr>
        <w:spacing w:after="20" w:line="223" w:lineRule="auto"/>
        <w:jc w:val="right"/>
        <w:bidi/>
      </w:pPr>
      <w:r>
        <w:rPr>
          <w:rFonts w:ascii="Arial" w:hAnsi="Arial"/>
          <w:sz w:val="16"/>
        </w:rPr>
        <w:t>214.10  یک عضو USAF که به دولت بدهکار است، مجبور نیست رضایت خود را برای جمع‌آوری USAF بدهد.</w:t>
      </w:r>
    </w:p>
    <w:p>
      <w:pPr>
        <w:spacing w:after="28" w:line="216" w:lineRule="auto"/>
        <w:ind w:left="259"/>
        <w:jc w:val="left"/>
      </w:pPr>
      <w:r>
        <w:rPr>
          <w:rFonts w:ascii="Arial" w:hAnsi="Arial"/>
          <w:color w:val="525252"/>
          <w:sz w:val="13"/>
        </w:rPr>
        <w:t>A USAF member who owes debts to the government does not have to give his or her consent for the USAF to collect.</w:t>
      </w:r>
    </w:p>
    <w:p>
      <w:pPr>
        <w:spacing w:after="20" w:line="223" w:lineRule="auto"/>
        <w:jc w:val="right"/>
        <w:bidi/>
      </w:pPr>
      <w:r>
        <w:rPr>
          <w:rFonts w:ascii="Arial" w:hAnsi="Arial"/>
          <w:sz w:val="16"/>
        </w:rPr>
        <w:t>214.11  به‌طور کلی، برای بدهی‌های بیش از ۱۰۰ دلار، فرد باید اخطار جمع‌آوری معلق بدهی را دریافت کند و به او فرصتی داده شود تا قبل از انجام هر گونه اقدامی برای کسر بدهی، بدهی را بازپرداخت کند.</w:t>
      </w:r>
    </w:p>
    <w:p>
      <w:pPr>
        <w:spacing w:after="28" w:line="216" w:lineRule="auto"/>
        <w:ind w:left="259"/>
        <w:jc w:val="left"/>
      </w:pPr>
      <w:r>
        <w:rPr>
          <w:rFonts w:ascii="Arial" w:hAnsi="Arial"/>
          <w:color w:val="525252"/>
          <w:sz w:val="13"/>
        </w:rPr>
        <w:t>Generally, for debts exceeding $100, the individual must receive notification of the pending collection of a debt and be given a chance to repay the debt before any withholding action occurs.</w:t>
      </w:r>
    </w:p>
    <w:p>
      <w:pPr>
        <w:spacing w:after="20" w:line="223" w:lineRule="auto"/>
        <w:jc w:val="right"/>
        <w:bidi/>
      </w:pPr>
      <w:r>
        <w:rPr>
          <w:rFonts w:ascii="Arial" w:hAnsi="Arial"/>
          <w:sz w:val="16"/>
        </w:rPr>
        <w:t>214.12  با این حال، اگر تاریخ تخمینی جدایی فردی برای تکمیل وصول کافی نباشد و USAF بعید است بدهی را وصول کند یا زمانی که اقدام جمع‌آوری ظرف دو دوره پرداخت ماهانه تکمیل شود، نیازی به تکمیل روند قانونی قبل از شروع اقدام نیست.</w:t>
      </w:r>
    </w:p>
    <w:p>
      <w:pPr>
        <w:spacing w:after="28" w:line="216" w:lineRule="auto"/>
        <w:ind w:left="259"/>
        <w:jc w:val="left"/>
      </w:pPr>
      <w:r>
        <w:rPr>
          <w:rFonts w:ascii="Arial" w:hAnsi="Arial"/>
          <w:color w:val="525252"/>
          <w:sz w:val="13"/>
        </w:rPr>
        <w:t>However, due process need not be completed before the start of a collection action if an individual’s estimated date of separation is not sufficient to complete collection and the USAF would be unlikely to collect the debt or when the collection action can be completed within two monthly pay periods.</w:t>
      </w:r>
    </w:p>
    <w:p>
      <w:pPr>
        <w:spacing w:after="20" w:line="223" w:lineRule="auto"/>
        <w:jc w:val="right"/>
        <w:bidi/>
      </w:pPr>
      <w:r>
        <w:rPr>
          <w:rFonts w:ascii="Arial" w:hAnsi="Arial"/>
          <w:sz w:val="16"/>
        </w:rPr>
        <w:t>214.13  USAF همچنین می‌تواند بدهی‌های مربوط به هر آژانس فدرال، بخش‌هایی از پاداش نگهداری که پرداخت نشده، صورت‌حساب‌های معوق بیمارستان برای اعضای خانواده، ارسال اضافی کالاهای خانگی، از دست دادن یا آسیب به اموال دولتی، و پرداخت‌های اشتباهی که توسط USAF به عضو یا از طرف او انجام شده است را دریافت کند.</w:t>
      </w:r>
    </w:p>
    <w:p>
      <w:pPr>
        <w:spacing w:after="28" w:line="216" w:lineRule="auto"/>
        <w:ind w:left="259"/>
        <w:jc w:val="left"/>
      </w:pPr>
      <w:r>
        <w:rPr>
          <w:rFonts w:ascii="Arial" w:hAnsi="Arial"/>
          <w:color w:val="525252"/>
          <w:sz w:val="13"/>
        </w:rPr>
        <w:t>The USAF may also collect debts involving any federal agency, portions of a retention bonus not served, delinquent hospital bills for family members, excess shipment of household goods, loss or damage to government property, and erroneous payments made to or on behalf of the member by the USAF.</w:t>
      </w:r>
    </w:p>
    <w:p>
      <w:pPr>
        <w:spacing w:after="20" w:line="223" w:lineRule="auto"/>
        <w:jc w:val="right"/>
        <w:bidi/>
      </w:pPr>
      <w:r>
        <w:rPr>
          <w:rFonts w:ascii="Arial" w:hAnsi="Arial"/>
          <w:sz w:val="16"/>
        </w:rPr>
        <w:t>214.14  مقررات معافیت و بخشودگی.</w:t>
      </w:r>
    </w:p>
    <w:p>
      <w:pPr>
        <w:spacing w:after="28" w:line="216" w:lineRule="auto"/>
        <w:ind w:left="259"/>
        <w:jc w:val="left"/>
      </w:pPr>
      <w:r>
        <w:rPr>
          <w:rFonts w:ascii="Arial" w:hAnsi="Arial"/>
          <w:color w:val="525252"/>
          <w:sz w:val="13"/>
        </w:rPr>
        <w:t>Waiver and Remission Provisions.</w:t>
      </w:r>
    </w:p>
    <w:p>
      <w:pPr>
        <w:spacing w:after="20" w:line="223" w:lineRule="auto"/>
        <w:jc w:val="right"/>
        <w:bidi/>
      </w:pPr>
      <w:r>
        <w:rPr>
          <w:rFonts w:ascii="Arial" w:hAnsi="Arial"/>
          <w:sz w:val="16"/>
        </w:rPr>
        <w:t>214.15  اعضای نظامی می‌توانند با درخواست بخشودگی یا بخشودگی بدهی، تقاضای معافیت از بدهی‌های معتبر کنند.</w:t>
      </w:r>
    </w:p>
    <w:p>
      <w:pPr>
        <w:spacing w:after="28" w:line="216" w:lineRule="auto"/>
        <w:ind w:left="259"/>
        <w:jc w:val="left"/>
      </w:pPr>
      <w:r>
        <w:rPr>
          <w:rFonts w:ascii="Arial" w:hAnsi="Arial"/>
          <w:color w:val="525252"/>
          <w:sz w:val="13"/>
        </w:rPr>
        <w:t>Military members may request relief from valid debts by applying for waiver or remission of the debt.</w:t>
      </w:r>
    </w:p>
    <w:p>
      <w:pPr>
        <w:spacing w:after="20" w:line="223" w:lineRule="auto"/>
        <w:jc w:val="right"/>
        <w:bidi/>
      </w:pPr>
      <w:r>
        <w:rPr>
          <w:rFonts w:ascii="Arial" w:hAnsi="Arial"/>
          <w:sz w:val="16"/>
        </w:rPr>
        <w:t>214.16  اداره خدمات مالی محلی راهنمایی خاصی دارد و می‌تواند درباره این برنامه‌ها کمک کند.</w:t>
      </w:r>
    </w:p>
    <w:p>
      <w:pPr>
        <w:spacing w:after="28" w:line="216" w:lineRule="auto"/>
        <w:ind w:left="259"/>
        <w:jc w:val="left"/>
      </w:pPr>
      <w:r>
        <w:rPr>
          <w:rFonts w:ascii="Arial" w:hAnsi="Arial"/>
          <w:color w:val="525252"/>
          <w:sz w:val="13"/>
        </w:rPr>
        <w:t>The local financial services office has specific guidance and can provide assistance regarding these programs.</w:t>
      </w:r>
    </w:p>
    <w:p>
      <w:pPr>
        <w:spacing w:after="20" w:line="223" w:lineRule="auto"/>
        <w:jc w:val="right"/>
        <w:bidi/>
      </w:pPr>
      <w:r>
        <w:rPr>
          <w:rFonts w:ascii="Arial" w:hAnsi="Arial"/>
          <w:sz w:val="16"/>
        </w:rPr>
        <w:t>214.17  چشم پوشی از ادعای پرداخت اشتباه حقوق و کمک هزینه.</w:t>
      </w:r>
    </w:p>
    <w:p>
      <w:pPr>
        <w:spacing w:after="28" w:line="216" w:lineRule="auto"/>
        <w:ind w:left="259"/>
        <w:jc w:val="left"/>
      </w:pPr>
      <w:r>
        <w:rPr>
          <w:rFonts w:ascii="Arial" w:hAnsi="Arial"/>
          <w:color w:val="525252"/>
          <w:sz w:val="13"/>
        </w:rPr>
        <w:t>Waiver of Claims for Erroneous Payments of Pay and Allowances.</w:t>
      </w:r>
    </w:p>
    <w:p>
      <w:pPr>
        <w:spacing w:after="20" w:line="223" w:lineRule="auto"/>
        <w:jc w:val="right"/>
        <w:bidi/>
      </w:pPr>
      <w:r>
        <w:rPr>
          <w:rFonts w:ascii="Arial" w:hAnsi="Arial"/>
          <w:sz w:val="16"/>
        </w:rPr>
        <w:t>214.18  هنگامی که یک عضو حقوق یا کمک هزینه اشتباه دریافت می‌کند، ممکن است برای چشم پوشی از ادعاها توسط ایالات متحده درخواست دهد.</w:t>
      </w:r>
    </w:p>
    <w:p>
      <w:pPr>
        <w:spacing w:after="28" w:line="216" w:lineRule="auto"/>
        <w:ind w:left="259"/>
        <w:jc w:val="left"/>
      </w:pPr>
      <w:r>
        <w:rPr>
          <w:rFonts w:ascii="Arial" w:hAnsi="Arial"/>
          <w:color w:val="525252"/>
          <w:sz w:val="13"/>
        </w:rPr>
        <w:t>When a member receives erroneous pay or allowances, he or she may apply for a waiver of claims by the United States.</w:t>
      </w:r>
    </w:p>
    <w:p>
      <w:pPr>
        <w:spacing w:after="20" w:line="223" w:lineRule="auto"/>
        <w:jc w:val="right"/>
        <w:bidi/>
      </w:pPr>
      <w:r>
        <w:rPr>
          <w:rFonts w:ascii="Arial" w:hAnsi="Arial"/>
          <w:sz w:val="16"/>
        </w:rPr>
        <w:t>214.19  زمانی ممکن است که هیچ نشانه‌ای مبنی بر تقلب، ارائه نادرست، تقصیر یا عدم حسن نیت از طرف عضو یا هر شخص دیگری که در گرفتن چشم پوشی از ادعای ذینفع است، اعطا شود.</w:t>
      </w:r>
    </w:p>
    <w:p>
      <w:pPr>
        <w:spacing w:after="28" w:line="216" w:lineRule="auto"/>
        <w:ind w:left="259"/>
        <w:jc w:val="left"/>
      </w:pPr>
      <w:r>
        <w:rPr>
          <w:rFonts w:ascii="Arial" w:hAnsi="Arial"/>
          <w:color w:val="525252"/>
          <w:sz w:val="13"/>
        </w:rPr>
        <w:t>A waiver may be granted when there is no indication of fraud, misrepresentation, fault, or lack of good faith on the part of the member or any other person having an interest in obtaining a waiver of the claim.</w:t>
      </w:r>
    </w:p>
    <w:p>
      <w:pPr>
        <w:spacing w:after="20" w:line="223" w:lineRule="auto"/>
        <w:jc w:val="right"/>
        <w:bidi/>
      </w:pPr>
      <w:r>
        <w:rPr>
          <w:rFonts w:ascii="Arial" w:hAnsi="Arial"/>
          <w:sz w:val="16"/>
        </w:rPr>
        <w:t>214.20  DFAS در مورد تمام معافیت‌ها حکم خواهد کرد.</w:t>
      </w:r>
    </w:p>
    <w:p>
      <w:pPr>
        <w:spacing w:after="28" w:line="216" w:lineRule="auto"/>
        <w:ind w:left="259"/>
        <w:jc w:val="left"/>
      </w:pPr>
      <w:r>
        <w:rPr>
          <w:rFonts w:ascii="Arial" w:hAnsi="Arial"/>
          <w:color w:val="525252"/>
          <w:sz w:val="13"/>
        </w:rPr>
        <w:t>DFAS will rule on all waivers.</w:t>
      </w:r>
    </w:p>
    <w:p>
      <w:pPr>
        <w:spacing w:after="20" w:line="223" w:lineRule="auto"/>
        <w:jc w:val="right"/>
        <w:bidi/>
      </w:pPr>
      <w:r>
        <w:rPr>
          <w:rFonts w:ascii="Arial" w:hAnsi="Arial"/>
          <w:sz w:val="16"/>
        </w:rPr>
        <w:t>214.21  بهبودی.</w:t>
      </w:r>
    </w:p>
    <w:p>
      <w:pPr>
        <w:spacing w:after="28" w:line="216" w:lineRule="auto"/>
        <w:ind w:left="259"/>
        <w:jc w:val="left"/>
      </w:pPr>
      <w:r>
        <w:rPr>
          <w:rFonts w:ascii="Arial" w:hAnsi="Arial"/>
          <w:color w:val="525252"/>
          <w:sz w:val="13"/>
        </w:rPr>
        <w:t>Remission.</w:t>
      </w:r>
    </w:p>
    <w:p>
      <w:pPr>
        <w:spacing w:after="20" w:line="223" w:lineRule="auto"/>
        <w:jc w:val="right"/>
        <w:bidi/>
      </w:pPr>
      <w:r>
        <w:rPr>
          <w:rFonts w:ascii="Arial" w:hAnsi="Arial"/>
          <w:sz w:val="16"/>
        </w:rPr>
        <w:t>214.22  یک عضو رگاف، عضو جدا شده یا فرمانده او، ممکن است برای بخشودگی بدهی یک عضو به ایالات متحده درخواست دهد.</w:t>
      </w:r>
    </w:p>
    <w:p>
      <w:pPr>
        <w:spacing w:after="28" w:line="216" w:lineRule="auto"/>
        <w:ind w:left="259"/>
        <w:jc w:val="left"/>
      </w:pPr>
      <w:r>
        <w:rPr>
          <w:rFonts w:ascii="Arial" w:hAnsi="Arial"/>
          <w:color w:val="525252"/>
          <w:sz w:val="13"/>
        </w:rPr>
        <w:t>A RegAF, separated member, or his or her commander, may apply for remission of a member’s indebtedness to the United States.</w:t>
      </w:r>
    </w:p>
    <w:p>
      <w:pPr>
        <w:spacing w:after="20" w:line="223" w:lineRule="auto"/>
        <w:jc w:val="right"/>
        <w:bidi/>
      </w:pPr>
      <w:r>
        <w:rPr>
          <w:rFonts w:ascii="Arial" w:hAnsi="Arial"/>
          <w:sz w:val="16"/>
        </w:rPr>
        <w:t>214.23  USAF نمی‌تواند هیچ بدهی را به دلیل عدم وصول ضایعات دادگاه نظامی پرداخت یا فسخ کند.</w:t>
      </w:r>
    </w:p>
    <w:p>
      <w:pPr>
        <w:spacing w:after="28" w:line="216" w:lineRule="auto"/>
        <w:ind w:left="259"/>
        <w:jc w:val="left"/>
      </w:pPr>
      <w:r>
        <w:rPr>
          <w:rFonts w:ascii="Arial" w:hAnsi="Arial"/>
          <w:color w:val="525252"/>
          <w:sz w:val="13"/>
        </w:rPr>
        <w:t>The USAF may not remit or cancel any debt due to non-collection of court-martial forfeiture.</w:t>
      </w:r>
    </w:p>
    <w:p>
      <w:pPr>
        <w:spacing w:after="20" w:line="223" w:lineRule="auto"/>
        <w:jc w:val="right"/>
        <w:bidi/>
      </w:pPr>
      <w:r>
        <w:rPr>
          <w:rFonts w:ascii="Arial" w:hAnsi="Arial"/>
          <w:sz w:val="16"/>
        </w:rPr>
        <w:t>214.24  علاوه بر شرایط ایجاد بدهی و موضوع حسن نیت از سوی اعضا، مشکلات مالی ممکن است عاملی برای بررسی باشد.</w:t>
      </w:r>
    </w:p>
    <w:p>
      <w:pPr>
        <w:spacing w:after="28" w:line="216" w:lineRule="auto"/>
        <w:ind w:left="259"/>
        <w:jc w:val="left"/>
      </w:pPr>
      <w:r>
        <w:rPr>
          <w:rFonts w:ascii="Arial" w:hAnsi="Arial"/>
          <w:color w:val="525252"/>
          <w:sz w:val="13"/>
        </w:rPr>
        <w:t>In addition to the circumstances creating the debt and the issue of good faith on the part of the member, financial hardship may be a factor for consideration.</w:t>
      </w:r>
    </w:p>
    <w:p>
      <w:r>
        <w:br w:type="page"/>
      </w:r>
    </w:p>
    <w:p>
      <w:pPr>
        <w:spacing w:after="60"/>
        <w:jc w:val="right"/>
        <w:bidi/>
      </w:pPr>
      <w:r>
        <w:rPr>
          <w:rFonts w:ascii="Arial" w:hAnsi="Arial"/>
          <w:b/>
          <w:color w:val="1F4D78"/>
          <w:sz w:val="19"/>
        </w:rPr>
        <w:t>هفتهٔ 215  |  صفحهٔ منبع: 231</w:t>
      </w:r>
    </w:p>
    <w:p>
      <w:pPr>
        <w:spacing w:before="60" w:after="28"/>
        <w:jc w:val="right"/>
        <w:bidi/>
      </w:pPr>
      <w:r>
        <w:rPr>
          <w:b/>
          <w:color w:val="1F4D78"/>
          <w:sz w:val="18"/>
        </w:rPr>
        <w:t>بخش 12B—هزینه ها و کمک هزینه سفر رسمی</w:t>
      </w:r>
    </w:p>
    <w:p>
      <w:pPr>
        <w:spacing w:after="20"/>
        <w:ind w:left="259"/>
        <w:jc w:val="left"/>
      </w:pPr>
      <w:r>
        <w:rPr>
          <w:color w:val="555555"/>
          <w:sz w:val="12"/>
        </w:rPr>
        <w:t>Section 12B—Official Travel Expenses and Allowances</w:t>
      </w:r>
    </w:p>
    <w:p>
      <w:pPr>
        <w:spacing w:before="60" w:after="28"/>
        <w:jc w:val="right"/>
        <w:bidi/>
      </w:pPr>
      <w:r>
        <w:rPr>
          <w:b/>
          <w:color w:val="1F4D78"/>
          <w:sz w:val="18"/>
        </w:rPr>
        <w:t>12.15. هزینه ها و کمک هزینه های مجاز</w:t>
      </w:r>
    </w:p>
    <w:p>
      <w:pPr>
        <w:spacing w:after="20"/>
        <w:ind w:left="259"/>
        <w:jc w:val="left"/>
      </w:pPr>
      <w:r>
        <w:rPr>
          <w:color w:val="555555"/>
          <w:sz w:val="12"/>
        </w:rPr>
        <w:t>12.15. Authorized Expenses and Allowances</w:t>
      </w:r>
    </w:p>
    <w:p>
      <w:pPr>
        <w:spacing w:after="20" w:line="223" w:lineRule="auto"/>
        <w:jc w:val="right"/>
        <w:bidi/>
      </w:pPr>
      <w:r>
        <w:rPr>
          <w:rFonts w:ascii="Arial" w:hAnsi="Arial"/>
          <w:sz w:val="16"/>
        </w:rPr>
        <w:t>215.03  معمولا از افراد انتظار می‌رود که سفر کنند، چه در ارتباط با PCS باشند و چه با انجام وظیفه موقت، شامل آموزش و آموزش نظامی حرفه‌ای باشند.</w:t>
      </w:r>
    </w:p>
    <w:p>
      <w:pPr>
        <w:spacing w:after="28" w:line="216" w:lineRule="auto"/>
        <w:ind w:left="259"/>
        <w:jc w:val="left"/>
      </w:pPr>
      <w:r>
        <w:rPr>
          <w:rFonts w:ascii="Arial" w:hAnsi="Arial"/>
          <w:color w:val="525252"/>
          <w:sz w:val="13"/>
        </w:rPr>
        <w:t>Individuals are often expected to travel, whether associated with PCS or temporary duty, to include professional military education and training.</w:t>
      </w:r>
    </w:p>
    <w:p>
      <w:pPr>
        <w:spacing w:after="20" w:line="223" w:lineRule="auto"/>
        <w:jc w:val="right"/>
        <w:bidi/>
      </w:pPr>
      <w:r>
        <w:rPr>
          <w:rFonts w:ascii="Arial" w:hAnsi="Arial"/>
          <w:sz w:val="16"/>
        </w:rPr>
        <w:t>215.04  هزینه‌های مرتبط با سفرهای رسمی اغلب قابل بازپرداخت هستند، اما افراد باید قوانین خاص سفر را به‌طور دقیق و به موقع درک کنند و به آن پایبند باشند.</w:t>
      </w:r>
    </w:p>
    <w:p>
      <w:pPr>
        <w:spacing w:after="28" w:line="216" w:lineRule="auto"/>
        <w:ind w:left="259"/>
        <w:jc w:val="left"/>
      </w:pPr>
      <w:r>
        <w:rPr>
          <w:rFonts w:ascii="Arial" w:hAnsi="Arial"/>
          <w:color w:val="525252"/>
          <w:sz w:val="13"/>
        </w:rPr>
        <w:t>Costs associated with official travel are often reimbursable, but individuals must understand and adhere to specific travel regulations accurately and within a timely manner.</w:t>
      </w:r>
    </w:p>
    <w:p>
      <w:pPr>
        <w:spacing w:before="60" w:after="28"/>
        <w:jc w:val="right"/>
        <w:bidi/>
      </w:pPr>
      <w:r>
        <w:rPr>
          <w:b/>
          <w:color w:val="1F4D78"/>
          <w:sz w:val="18"/>
        </w:rPr>
        <w:t>12.16. تغییر دائمی کمک هزینه ها و هزینه های ایستگاه</w:t>
      </w:r>
    </w:p>
    <w:p>
      <w:pPr>
        <w:spacing w:after="20"/>
        <w:ind w:left="259"/>
        <w:jc w:val="left"/>
      </w:pPr>
      <w:r>
        <w:rPr>
          <w:color w:val="555555"/>
          <w:sz w:val="12"/>
        </w:rPr>
        <w:t>12.16. Permanent Change of Station Allowances and Expenses</w:t>
      </w:r>
    </w:p>
    <w:p>
      <w:pPr>
        <w:spacing w:after="20" w:line="223" w:lineRule="auto"/>
        <w:jc w:val="right"/>
        <w:bidi/>
      </w:pPr>
      <w:r>
        <w:rPr>
          <w:rFonts w:ascii="Arial" w:hAnsi="Arial"/>
          <w:sz w:val="16"/>
        </w:rPr>
        <w:t>215.06  هنگامی که به اعضای ارتش دستور داده می‌شود که PCS انجام دهند، برای هزینه‌های مربوط به حمل و نقل، اسکان، کالاهای خانگی و غیره کمک هزینه سفر وجود دارد.</w:t>
      </w:r>
    </w:p>
    <w:p>
      <w:pPr>
        <w:spacing w:after="28" w:line="216" w:lineRule="auto"/>
        <w:ind w:left="259"/>
        <w:jc w:val="left"/>
      </w:pPr>
      <w:r>
        <w:rPr>
          <w:rFonts w:ascii="Arial" w:hAnsi="Arial"/>
          <w:color w:val="525252"/>
          <w:sz w:val="13"/>
        </w:rPr>
        <w:t>When military members are ordered to perform a PCS, there are travel allowances for expenses incurred related to transportation, lodging, household goods, etc.</w:t>
      </w:r>
    </w:p>
    <w:p>
      <w:pPr>
        <w:spacing w:after="20" w:line="223" w:lineRule="auto"/>
        <w:jc w:val="right"/>
        <w:bidi/>
      </w:pPr>
      <w:r>
        <w:rPr>
          <w:rFonts w:ascii="Arial" w:hAnsi="Arial"/>
          <w:sz w:val="16"/>
        </w:rPr>
        <w:t>215.07  استفاده از کارت شارژ دولتی راول با حساب شخصی (IBA) مجاز است و برای تمام هزینه‌های مربوط به PCS بسیار تشویق می‌شود.</w:t>
      </w:r>
    </w:p>
    <w:p>
      <w:pPr>
        <w:spacing w:after="28" w:line="216" w:lineRule="auto"/>
        <w:ind w:left="259"/>
        <w:jc w:val="left"/>
      </w:pPr>
      <w:r>
        <w:rPr>
          <w:rFonts w:ascii="Arial" w:hAnsi="Arial"/>
          <w:color w:val="525252"/>
          <w:sz w:val="13"/>
        </w:rPr>
        <w:t>Individually billed account (IBA) government ravel charge card usage is authorized and highly encouraged for all PCS related expenses.</w:t>
      </w:r>
    </w:p>
    <w:p>
      <w:pPr>
        <w:spacing w:after="20" w:line="223" w:lineRule="auto"/>
        <w:jc w:val="right"/>
        <w:bidi/>
      </w:pPr>
      <w:r>
        <w:rPr>
          <w:rFonts w:ascii="Arial" w:hAnsi="Arial"/>
          <w:sz w:val="16"/>
        </w:rPr>
        <w:t>215.08  به برخی از این کمک هزینه‌ها در زیر اشاره شده است.</w:t>
      </w:r>
    </w:p>
    <w:p>
      <w:pPr>
        <w:spacing w:after="28" w:line="216" w:lineRule="auto"/>
        <w:ind w:left="259"/>
        <w:jc w:val="left"/>
      </w:pPr>
      <w:r>
        <w:rPr>
          <w:rFonts w:ascii="Arial" w:hAnsi="Arial"/>
          <w:color w:val="525252"/>
          <w:sz w:val="13"/>
        </w:rPr>
        <w:t>Some of these allowances are addressed below.</w:t>
      </w:r>
    </w:p>
    <w:p>
      <w:pPr>
        <w:spacing w:after="20" w:line="223" w:lineRule="auto"/>
        <w:jc w:val="right"/>
        <w:bidi/>
      </w:pPr>
      <w:r>
        <w:rPr>
          <w:rFonts w:ascii="Arial" w:hAnsi="Arial"/>
          <w:sz w:val="16"/>
        </w:rPr>
        <w:t>215.09  تغییر دائمی پیش پرداخت‌های ایستگاه.</w:t>
      </w:r>
    </w:p>
    <w:p>
      <w:pPr>
        <w:spacing w:after="28" w:line="216" w:lineRule="auto"/>
        <w:ind w:left="259"/>
        <w:jc w:val="left"/>
      </w:pPr>
      <w:r>
        <w:rPr>
          <w:rFonts w:ascii="Arial" w:hAnsi="Arial"/>
          <w:color w:val="525252"/>
          <w:sz w:val="13"/>
        </w:rPr>
        <w:t>Permanent Change of Station Advance Payments.</w:t>
      </w:r>
    </w:p>
    <w:p>
      <w:pPr>
        <w:spacing w:after="20" w:line="223" w:lineRule="auto"/>
        <w:jc w:val="right"/>
        <w:bidi/>
      </w:pPr>
      <w:r>
        <w:rPr>
          <w:rFonts w:ascii="Arial" w:hAnsi="Arial"/>
          <w:sz w:val="16"/>
        </w:rPr>
        <w:t>215.10  پیش پرداخت حقوق و کمک هزینه به اعضا کمک می‌کند تا هزینه‌های فوق‌العاده‌ای را که مستقیما به جابه‌جایی به دستور دولت مربوط می‌شود و تحت پوشش سایر حقوق قرار نمی‌گیرند، تأمین کنند.</w:t>
      </w:r>
    </w:p>
    <w:p>
      <w:pPr>
        <w:spacing w:after="28" w:line="216" w:lineRule="auto"/>
        <w:ind w:left="259"/>
        <w:jc w:val="left"/>
      </w:pPr>
      <w:r>
        <w:rPr>
          <w:rFonts w:ascii="Arial" w:hAnsi="Arial"/>
          <w:color w:val="525252"/>
          <w:sz w:val="13"/>
        </w:rPr>
        <w:t>Advance payments of pay and allowances provide members with funds to meet extraordinary expenses directly related to a government- ordered relocation and not covered by other entitlements.</w:t>
      </w:r>
    </w:p>
    <w:p>
      <w:pPr>
        <w:spacing w:after="20" w:line="223" w:lineRule="auto"/>
        <w:jc w:val="right"/>
        <w:bidi/>
      </w:pPr>
      <w:r>
        <w:rPr>
          <w:rFonts w:ascii="Arial" w:hAnsi="Arial"/>
          <w:sz w:val="16"/>
        </w:rPr>
        <w:t>215.11  پیش پرداخت PCS پیش پرداختی است تا حداکثر سه ماه از حقوق اولیه، کسورات اجباری کمتر و بدهی هایی که در حال حاضر کسر می‌شوند.</w:t>
      </w:r>
    </w:p>
    <w:p>
      <w:pPr>
        <w:spacing w:after="28" w:line="216" w:lineRule="auto"/>
        <w:ind w:left="259"/>
        <w:jc w:val="left"/>
      </w:pPr>
      <w:r>
        <w:rPr>
          <w:rFonts w:ascii="Arial" w:hAnsi="Arial"/>
          <w:color w:val="525252"/>
          <w:sz w:val="13"/>
        </w:rPr>
        <w:t>A PCS advance payment is an advance of up to three months of basic pay, less mandatory deductions and debts currently being deducted.</w:t>
      </w:r>
    </w:p>
    <w:p>
      <w:pPr>
        <w:spacing w:after="20" w:line="223" w:lineRule="auto"/>
        <w:jc w:val="right"/>
        <w:bidi/>
      </w:pPr>
      <w:r>
        <w:rPr>
          <w:rFonts w:ascii="Arial" w:hAnsi="Arial"/>
          <w:sz w:val="16"/>
        </w:rPr>
        <w:t>215.12  تمامی هوانوردانی که از -۳ و پایین‌تر هستند، برای دریافت پیش پرداخت باید تأییدیه فرمانده فوری خود را داشته باشند.</w:t>
      </w:r>
    </w:p>
    <w:p>
      <w:pPr>
        <w:spacing w:after="28" w:line="216" w:lineRule="auto"/>
        <w:ind w:left="259"/>
        <w:jc w:val="left"/>
      </w:pPr>
      <w:r>
        <w:rPr>
          <w:rFonts w:ascii="Arial" w:hAnsi="Arial"/>
          <w:color w:val="525252"/>
          <w:sz w:val="13"/>
        </w:rPr>
        <w:t>All Airmen who are E-3 and below must have approval of their immediate commander to receive advance pay.</w:t>
      </w:r>
    </w:p>
    <w:p>
      <w:pPr>
        <w:spacing w:after="20" w:line="223" w:lineRule="auto"/>
        <w:jc w:val="right"/>
        <w:bidi/>
      </w:pPr>
      <w:r>
        <w:rPr>
          <w:rFonts w:ascii="Arial" w:hAnsi="Arial"/>
          <w:sz w:val="16"/>
        </w:rPr>
        <w:t>215.13  کلیه هوانیروزانی که مهلت بازپرداخت بیش از ۱۲ ماه را درخواست می‌کنند یا مبلغی بیش از حقوق پایه یک ماه را درخواست می‌کنند، باید تأییدیه فرمانده فوری خود را داشته باشند.</w:t>
      </w:r>
    </w:p>
    <w:p>
      <w:pPr>
        <w:spacing w:after="28" w:line="216" w:lineRule="auto"/>
        <w:ind w:left="259"/>
        <w:jc w:val="left"/>
      </w:pPr>
      <w:r>
        <w:rPr>
          <w:rFonts w:ascii="Arial" w:hAnsi="Arial"/>
          <w:color w:val="525252"/>
          <w:sz w:val="13"/>
        </w:rPr>
        <w:t>All Airmen who request a repayment period greater than 12 months or request an amount greater than one month’s basic pay, must have approval of their immediate commander.</w:t>
      </w:r>
    </w:p>
    <w:p>
      <w:pPr>
        <w:spacing w:after="20" w:line="223" w:lineRule="auto"/>
        <w:jc w:val="right"/>
        <w:bidi/>
      </w:pPr>
      <w:r>
        <w:rPr>
          <w:rFonts w:ascii="Arial" w:hAnsi="Arial"/>
          <w:sz w:val="16"/>
        </w:rPr>
        <w:t>215.14  مهلت بازپرداخت بیشتر از ۱۲ ماه فقط در مواقع تنگنای مالی تأیید می‌شود.</w:t>
      </w:r>
    </w:p>
    <w:p>
      <w:pPr>
        <w:spacing w:after="28" w:line="216" w:lineRule="auto"/>
        <w:ind w:left="259"/>
        <w:jc w:val="left"/>
      </w:pPr>
      <w:r>
        <w:rPr>
          <w:rFonts w:ascii="Arial" w:hAnsi="Arial"/>
          <w:color w:val="525252"/>
          <w:sz w:val="13"/>
        </w:rPr>
        <w:t>Repayment periods greater than 12 months are only approved in cases of financial hardship.</w:t>
      </w:r>
    </w:p>
    <w:p>
      <w:pPr>
        <w:spacing w:after="20" w:line="223" w:lineRule="auto"/>
        <w:jc w:val="right"/>
        <w:bidi/>
      </w:pPr>
      <w:r>
        <w:rPr>
          <w:rFonts w:ascii="Arial" w:hAnsi="Arial"/>
          <w:sz w:val="16"/>
        </w:rPr>
        <w:t>215.15  ارسال کالاهای خانگی.</w:t>
      </w:r>
    </w:p>
    <w:p>
      <w:pPr>
        <w:spacing w:after="28" w:line="216" w:lineRule="auto"/>
        <w:ind w:left="259"/>
        <w:jc w:val="left"/>
      </w:pPr>
      <w:r>
        <w:rPr>
          <w:rFonts w:ascii="Arial" w:hAnsi="Arial"/>
          <w:color w:val="525252"/>
          <w:sz w:val="13"/>
        </w:rPr>
        <w:t>Shipment of Household Goods.</w:t>
      </w:r>
    </w:p>
    <w:p>
      <w:pPr>
        <w:spacing w:after="20" w:line="223" w:lineRule="auto"/>
        <w:jc w:val="right"/>
        <w:bidi/>
      </w:pPr>
      <w:r>
        <w:rPr>
          <w:rFonts w:ascii="Arial" w:hAnsi="Arial"/>
          <w:sz w:val="16"/>
        </w:rPr>
        <w:t>215.16  عضوی که برای جابه‌جایی PCS سفارش داده می‌شود، ممکن است کالاهای خانگی را با محدودیت‌های وزنی خاص با هزینه دولت ارسال کند.</w:t>
      </w:r>
    </w:p>
    <w:p>
      <w:pPr>
        <w:spacing w:after="28" w:line="216" w:lineRule="auto"/>
        <w:ind w:left="259"/>
        <w:jc w:val="left"/>
      </w:pPr>
      <w:r>
        <w:rPr>
          <w:rFonts w:ascii="Arial" w:hAnsi="Arial"/>
          <w:color w:val="525252"/>
          <w:sz w:val="13"/>
        </w:rPr>
        <w:t>A member ordered on a PCS move may ship household goods within certain weight limitations at government expense.</w:t>
      </w:r>
    </w:p>
    <w:p>
      <w:pPr>
        <w:spacing w:after="20" w:line="223" w:lineRule="auto"/>
        <w:jc w:val="right"/>
        <w:bidi/>
      </w:pPr>
      <w:r>
        <w:rPr>
          <w:rFonts w:ascii="Arial" w:hAnsi="Arial"/>
          <w:sz w:val="16"/>
        </w:rPr>
        <w:t>215.17  وزن مجاز معمولا به درجه عضو و تعداد وابستگان بستگی دارد.</w:t>
      </w:r>
    </w:p>
    <w:p>
      <w:pPr>
        <w:spacing w:after="28" w:line="216" w:lineRule="auto"/>
        <w:ind w:left="259"/>
        <w:jc w:val="left"/>
      </w:pPr>
      <w:r>
        <w:rPr>
          <w:rFonts w:ascii="Arial" w:hAnsi="Arial"/>
          <w:color w:val="525252"/>
          <w:sz w:val="13"/>
        </w:rPr>
        <w:t>Authorized weight allowances normally depend on the grade of the member and number of dependents.</w:t>
      </w:r>
    </w:p>
    <w:p>
      <w:pPr>
        <w:spacing w:after="20" w:line="223" w:lineRule="auto"/>
        <w:jc w:val="right"/>
        <w:bidi/>
      </w:pPr>
      <w:r>
        <w:rPr>
          <w:rFonts w:ascii="Arial" w:hAnsi="Arial"/>
          <w:sz w:val="16"/>
        </w:rPr>
        <w:t>215.18  ممکن است برای یک عضو برای ترتیب دادن شخصی برای حمل کالاهای خانگی، هزینه بازپرداخت شود.</w:t>
      </w:r>
    </w:p>
    <w:p>
      <w:pPr>
        <w:spacing w:after="28" w:line="216" w:lineRule="auto"/>
        <w:ind w:left="259"/>
        <w:jc w:val="left"/>
      </w:pPr>
      <w:r>
        <w:rPr>
          <w:rFonts w:ascii="Arial" w:hAnsi="Arial"/>
          <w:color w:val="525252"/>
          <w:sz w:val="13"/>
        </w:rPr>
        <w:t>A member may be reimbursed for personally arranging for the shipment of household goods.</w:t>
      </w:r>
    </w:p>
    <w:p>
      <w:pPr>
        <w:spacing w:after="20" w:line="223" w:lineRule="auto"/>
        <w:jc w:val="right"/>
        <w:bidi/>
      </w:pPr>
      <w:r>
        <w:rPr>
          <w:rFonts w:ascii="Arial" w:hAnsi="Arial"/>
          <w:sz w:val="16"/>
        </w:rPr>
        <w:t>215.19  ادعاها باید طبق دستورالعمل خدمات تهیه و ارسال شوند.</w:t>
      </w:r>
    </w:p>
    <w:p>
      <w:pPr>
        <w:spacing w:after="28" w:line="216" w:lineRule="auto"/>
        <w:ind w:left="259"/>
        <w:jc w:val="left"/>
      </w:pPr>
      <w:r>
        <w:rPr>
          <w:rFonts w:ascii="Arial" w:hAnsi="Arial"/>
          <w:color w:val="525252"/>
          <w:sz w:val="13"/>
        </w:rPr>
        <w:t>Claims should be prepared and submitted according to service instructions.</w:t>
      </w:r>
    </w:p>
    <w:p>
      <w:pPr>
        <w:spacing w:after="20" w:line="223" w:lineRule="auto"/>
        <w:jc w:val="right"/>
        <w:bidi/>
      </w:pPr>
      <w:r>
        <w:rPr>
          <w:rFonts w:ascii="Arial" w:hAnsi="Arial"/>
          <w:sz w:val="16"/>
        </w:rPr>
        <w:t>215.20  محدودیت هزینه دولت بر اساس حداکثر کمک هزینه وزن کالاهای خانگی اعضا است.</w:t>
      </w:r>
    </w:p>
    <w:p>
      <w:pPr>
        <w:spacing w:after="28" w:line="216" w:lineRule="auto"/>
        <w:ind w:left="259"/>
        <w:jc w:val="left"/>
      </w:pPr>
      <w:r>
        <w:rPr>
          <w:rFonts w:ascii="Arial" w:hAnsi="Arial"/>
          <w:color w:val="525252"/>
          <w:sz w:val="13"/>
        </w:rPr>
        <w:t>The government cost limit is based on the member’s maximum household goods weight allowance.</w:t>
      </w:r>
    </w:p>
    <w:p>
      <w:pPr>
        <w:spacing w:after="20" w:line="223" w:lineRule="auto"/>
        <w:jc w:val="right"/>
        <w:bidi/>
      </w:pPr>
      <w:r>
        <w:rPr>
          <w:rFonts w:ascii="Arial" w:hAnsi="Arial"/>
          <w:sz w:val="16"/>
        </w:rPr>
        <w:t>215.21  در صورتی که عضوی مازاد بر وزن مجاز کالای خانگی را حمل کند، کلیه پرداخت‌ها بر اساس وزن مجاز مجاز است.</w:t>
      </w:r>
    </w:p>
    <w:p>
      <w:pPr>
        <w:spacing w:after="28" w:line="216" w:lineRule="auto"/>
        <w:ind w:left="259"/>
        <w:jc w:val="left"/>
      </w:pPr>
      <w:r>
        <w:rPr>
          <w:rFonts w:ascii="Arial" w:hAnsi="Arial"/>
          <w:color w:val="525252"/>
          <w:sz w:val="13"/>
        </w:rPr>
        <w:t>If the member transports household goods in excess of the authorized weight allowance, all payments are based on the authorized weight allowance.</w:t>
      </w:r>
    </w:p>
    <w:p>
      <w:pPr>
        <w:spacing w:after="20" w:line="223" w:lineRule="auto"/>
        <w:jc w:val="right"/>
        <w:bidi/>
      </w:pPr>
      <w:r>
        <w:rPr>
          <w:rFonts w:ascii="Arial" w:hAnsi="Arial"/>
          <w:sz w:val="16"/>
        </w:rPr>
        <w:t>215.22  کمک هزینه دررفتگی.</w:t>
      </w:r>
    </w:p>
    <w:p>
      <w:pPr>
        <w:spacing w:after="28" w:line="216" w:lineRule="auto"/>
        <w:ind w:left="259"/>
        <w:jc w:val="left"/>
      </w:pPr>
      <w:r>
        <w:rPr>
          <w:rFonts w:ascii="Arial" w:hAnsi="Arial"/>
          <w:color w:val="525252"/>
          <w:sz w:val="13"/>
        </w:rPr>
        <w:t>Dislocation Allowance.</w:t>
      </w:r>
    </w:p>
    <w:p>
      <w:pPr>
        <w:spacing w:after="20" w:line="223" w:lineRule="auto"/>
        <w:jc w:val="right"/>
        <w:bidi/>
      </w:pPr>
      <w:r>
        <w:rPr>
          <w:rFonts w:ascii="Arial" w:hAnsi="Arial"/>
          <w:sz w:val="16"/>
        </w:rPr>
        <w:t>215.23  کمک هزینه دررفتگی با نرخی که توسط وزیر دفاع تعیین می‌شود پرداخت می‌شود و زمانی که افراد تحت تکفل کالاهای خانگی خود را همراه با PCS جابجا می‌کنند، به همه اعضای دارای وابستگی قابل پرداخت است.</w:t>
      </w:r>
    </w:p>
    <w:p>
      <w:pPr>
        <w:spacing w:after="28" w:line="216" w:lineRule="auto"/>
        <w:ind w:left="259"/>
        <w:jc w:val="left"/>
      </w:pPr>
      <w:r>
        <w:rPr>
          <w:rFonts w:ascii="Arial" w:hAnsi="Arial"/>
          <w:color w:val="525252"/>
          <w:sz w:val="13"/>
        </w:rPr>
        <w:t>Dislocation allowance is paid at a rate determined by the Secretary of Defense and payable to all members with dependents when dependents relocate their household goods in conjunction with a PCS.</w:t>
      </w:r>
    </w:p>
    <w:p>
      <w:pPr>
        <w:spacing w:after="20" w:line="223" w:lineRule="auto"/>
        <w:jc w:val="right"/>
        <w:bidi/>
      </w:pPr>
      <w:r>
        <w:rPr>
          <w:rFonts w:ascii="Arial" w:hAnsi="Arial"/>
          <w:sz w:val="16"/>
        </w:rPr>
        <w:t>215.24  همچنین به اعضای فاقد افراد تحت تکفل در صورتی که در بدو ورود به پایگاه دائمی جدید، محل اقامت دائم دولتی تعیین نشده باشد قابل پرداخت است.</w:t>
      </w:r>
    </w:p>
    <w:p>
      <w:pPr>
        <w:spacing w:after="28" w:line="216" w:lineRule="auto"/>
        <w:ind w:left="259"/>
        <w:jc w:val="left"/>
      </w:pPr>
      <w:r>
        <w:rPr>
          <w:rFonts w:ascii="Arial" w:hAnsi="Arial"/>
          <w:color w:val="525252"/>
          <w:sz w:val="13"/>
        </w:rPr>
        <w:t>It is also payable to members without dependents if they are not assigned permanent government quarters upon arrival at the new permanent duty station.</w:t>
      </w:r>
    </w:p>
    <w:p>
      <w:pPr>
        <w:spacing w:after="20" w:line="223" w:lineRule="auto"/>
        <w:jc w:val="right"/>
        <w:bidi/>
      </w:pPr>
      <w:r>
        <w:rPr>
          <w:rFonts w:ascii="Arial" w:hAnsi="Arial"/>
          <w:sz w:val="16"/>
        </w:rPr>
        <w:t>215.25  حمل بار بدون همراه.</w:t>
      </w:r>
    </w:p>
    <w:p>
      <w:pPr>
        <w:spacing w:after="28" w:line="216" w:lineRule="auto"/>
        <w:ind w:left="259"/>
        <w:jc w:val="left"/>
      </w:pPr>
      <w:r>
        <w:rPr>
          <w:rFonts w:ascii="Arial" w:hAnsi="Arial"/>
          <w:color w:val="525252"/>
          <w:sz w:val="13"/>
        </w:rPr>
        <w:t>Shipment of Unaccompanied Baggage.</w:t>
      </w:r>
    </w:p>
    <w:p>
      <w:pPr>
        <w:spacing w:after="20" w:line="223" w:lineRule="auto"/>
        <w:jc w:val="right"/>
        <w:bidi/>
      </w:pPr>
      <w:r>
        <w:rPr>
          <w:rFonts w:ascii="Arial" w:hAnsi="Arial"/>
          <w:sz w:val="16"/>
        </w:rPr>
        <w:t>215.26  حمل بار بدون همراه به قسمتی از اضافه وزن PCS اطلاق می‌شود که معمولا جدا از عمده یا عمده کالاهای خانگی حمل می‌شود و معمولا با یک حالت سریع حمل می‌شود.</w:t>
      </w:r>
    </w:p>
    <w:p>
      <w:pPr>
        <w:spacing w:after="28" w:line="216" w:lineRule="auto"/>
        <w:ind w:left="259"/>
        <w:jc w:val="left"/>
      </w:pPr>
      <w:r>
        <w:rPr>
          <w:rFonts w:ascii="Arial" w:hAnsi="Arial"/>
          <w:color w:val="525252"/>
          <w:sz w:val="13"/>
        </w:rPr>
        <w:t>The shipment of unaccompanied baggage provision refers to the portion of the PCS weight allowance ordinarily transported separately from the major or bulk of household goods and usually is transported by an expedited mode.</w:t>
      </w:r>
    </w:p>
    <w:p>
      <w:pPr>
        <w:spacing w:after="20" w:line="223" w:lineRule="auto"/>
        <w:jc w:val="right"/>
        <w:bidi/>
      </w:pPr>
      <w:r>
        <w:rPr>
          <w:rFonts w:ascii="Arial" w:hAnsi="Arial"/>
          <w:sz w:val="16"/>
        </w:rPr>
        <w:t>215.27  هنگامی که حالت حمل و نقل سریع هوایی تجاری است، حداکثر ۱۰۰۰ پوند (خالص) ممکن است حمل شود.</w:t>
      </w:r>
    </w:p>
    <w:p>
      <w:pPr>
        <w:spacing w:after="28" w:line="216" w:lineRule="auto"/>
        <w:ind w:left="259"/>
        <w:jc w:val="left"/>
      </w:pPr>
      <w:r>
        <w:rPr>
          <w:rFonts w:ascii="Arial" w:hAnsi="Arial"/>
          <w:color w:val="525252"/>
          <w:sz w:val="13"/>
        </w:rPr>
        <w:t>When the expedited transportation mode is commercial air, a maximum of 1,000 pounds (net), may be transported.</w:t>
      </w:r>
    </w:p>
    <w:p>
      <w:pPr>
        <w:spacing w:after="20" w:line="223" w:lineRule="auto"/>
        <w:jc w:val="right"/>
        <w:bidi/>
      </w:pPr>
      <w:r>
        <w:rPr>
          <w:rFonts w:ascii="Arial" w:hAnsi="Arial"/>
          <w:sz w:val="16"/>
        </w:rPr>
        <w:t>215.28  ارسال خانه سیار.</w:t>
      </w:r>
    </w:p>
    <w:p>
      <w:pPr>
        <w:spacing w:after="28" w:line="216" w:lineRule="auto"/>
        <w:ind w:left="259"/>
        <w:jc w:val="left"/>
      </w:pPr>
      <w:r>
        <w:rPr>
          <w:rFonts w:ascii="Arial" w:hAnsi="Arial"/>
          <w:color w:val="525252"/>
          <w:sz w:val="13"/>
        </w:rPr>
        <w:t>Mobile Home Shipment.</w:t>
      </w:r>
    </w:p>
    <w:p>
      <w:pPr>
        <w:spacing w:after="20" w:line="223" w:lineRule="auto"/>
        <w:jc w:val="right"/>
        <w:bidi/>
      </w:pPr>
      <w:r>
        <w:rPr>
          <w:rFonts w:ascii="Arial" w:hAnsi="Arial"/>
          <w:sz w:val="16"/>
        </w:rPr>
        <w:t>215.29  اعضایی که صاحب خانه متحرک هستند، باید با دفتر مدیریت ترافیک تماس بگیرند تا بجای حمل و نقل کالاهای خانگی، حمل و نقل را ترتیب دهند.</w:t>
      </w:r>
    </w:p>
    <w:p>
      <w:pPr>
        <w:spacing w:after="28" w:line="216" w:lineRule="auto"/>
        <w:ind w:left="259"/>
        <w:jc w:val="left"/>
      </w:pPr>
      <w:r>
        <w:rPr>
          <w:rFonts w:ascii="Arial" w:hAnsi="Arial"/>
          <w:color w:val="525252"/>
          <w:sz w:val="13"/>
        </w:rPr>
        <w:t>Members who own a mobile home should contact the traffic management office to arrange transportation in lieu of household goods transportation.</w:t>
      </w:r>
    </w:p>
    <w:p>
      <w:pPr>
        <w:spacing w:after="20" w:line="223" w:lineRule="auto"/>
        <w:jc w:val="right"/>
        <w:bidi/>
      </w:pPr>
      <w:r>
        <w:rPr>
          <w:rFonts w:ascii="Arial" w:hAnsi="Arial"/>
          <w:sz w:val="16"/>
        </w:rPr>
        <w:t>215.30  در شرایط خاص، اعضا می‌توانند شخصا برای جابجایی خانه متحرک ترتیب یا قرارداد بدهند.</w:t>
      </w:r>
    </w:p>
    <w:p>
      <w:pPr>
        <w:spacing w:after="28" w:line="216" w:lineRule="auto"/>
        <w:ind w:left="259"/>
        <w:jc w:val="left"/>
      </w:pPr>
      <w:r>
        <w:rPr>
          <w:rFonts w:ascii="Arial" w:hAnsi="Arial"/>
          <w:color w:val="525252"/>
          <w:sz w:val="13"/>
        </w:rPr>
        <w:t>In certain circumstances, members may arrange or contract personally for the movement of the mobile home.</w:t>
      </w:r>
    </w:p>
    <w:p>
      <w:pPr>
        <w:spacing w:after="20" w:line="223" w:lineRule="auto"/>
        <w:jc w:val="right"/>
        <w:bidi/>
      </w:pPr>
      <w:r>
        <w:rPr>
          <w:rFonts w:ascii="Arial" w:hAnsi="Arial"/>
          <w:sz w:val="16"/>
        </w:rPr>
        <w:t>215.31  حمل و نقل خودروی شخصی.</w:t>
      </w:r>
    </w:p>
    <w:p>
      <w:pPr>
        <w:spacing w:after="28" w:line="216" w:lineRule="auto"/>
        <w:ind w:left="259"/>
        <w:jc w:val="left"/>
      </w:pPr>
      <w:r>
        <w:rPr>
          <w:rFonts w:ascii="Arial" w:hAnsi="Arial"/>
          <w:color w:val="525252"/>
          <w:sz w:val="13"/>
        </w:rPr>
        <w:t>Shipment of Privately Owned Vehicle.</w:t>
      </w:r>
    </w:p>
    <w:p>
      <w:pPr>
        <w:spacing w:after="20" w:line="223" w:lineRule="auto"/>
        <w:jc w:val="right"/>
        <w:bidi/>
      </w:pPr>
      <w:r>
        <w:rPr>
          <w:rFonts w:ascii="Arial" w:hAnsi="Arial"/>
          <w:sz w:val="16"/>
        </w:rPr>
        <w:t>215.32  در صورت مجوز، اعضا می‌توانند یک وسیله نقلیه شخصی را با هزینه دولت در صورت سفارش با PCS به، از یا بین مکان‌های خارج از کشور ارسال کنند.</w:t>
      </w:r>
    </w:p>
    <w:p>
      <w:pPr>
        <w:spacing w:after="28" w:line="216" w:lineRule="auto"/>
        <w:ind w:left="259"/>
        <w:jc w:val="left"/>
      </w:pPr>
      <w:r>
        <w:rPr>
          <w:rFonts w:ascii="Arial" w:hAnsi="Arial"/>
          <w:color w:val="525252"/>
          <w:sz w:val="13"/>
        </w:rPr>
        <w:t>When authorized, members may ship one privately owned vehicle at government expense when ordered to go on a PCS to, from, or between locations overseas.</w:t>
      </w:r>
    </w:p>
    <w:p>
      <w:pPr>
        <w:spacing w:after="20" w:line="223" w:lineRule="auto"/>
        <w:jc w:val="right"/>
        <w:bidi/>
      </w:pPr>
      <w:r>
        <w:rPr>
          <w:rFonts w:ascii="Arial" w:hAnsi="Arial"/>
          <w:sz w:val="16"/>
        </w:rPr>
        <w:t>215.33  زمانی که حمل و نقل ممنوع یا محدود شده باشد، ممکن است ذخیره سازی وسیله نقلیه خصوصی ارائه یا مجاز باشد.</w:t>
      </w:r>
    </w:p>
    <w:p>
      <w:pPr>
        <w:spacing w:after="28" w:line="216" w:lineRule="auto"/>
        <w:ind w:left="259"/>
        <w:jc w:val="left"/>
      </w:pPr>
      <w:r>
        <w:rPr>
          <w:rFonts w:ascii="Arial" w:hAnsi="Arial"/>
          <w:color w:val="525252"/>
          <w:sz w:val="13"/>
        </w:rPr>
        <w:t>Privately owned vehicle storage may be provided or authorized when shipment is prohibited or restricted.</w:t>
      </w:r>
    </w:p>
    <w:p>
      <w:r>
        <w:br w:type="page"/>
      </w:r>
    </w:p>
    <w:p>
      <w:pPr>
        <w:spacing w:after="60"/>
        <w:jc w:val="right"/>
        <w:bidi/>
      </w:pPr>
      <w:r>
        <w:rPr>
          <w:rFonts w:ascii="Arial" w:hAnsi="Arial"/>
          <w:b/>
          <w:color w:val="1F4D78"/>
          <w:sz w:val="19"/>
        </w:rPr>
        <w:t>هفتهٔ 216  |  صفحهٔ منبع: 232</w:t>
      </w:r>
    </w:p>
    <w:p>
      <w:pPr>
        <w:spacing w:after="20" w:line="223" w:lineRule="auto"/>
        <w:jc w:val="right"/>
        <w:bidi/>
      </w:pPr>
      <w:r>
        <w:rPr>
          <w:rFonts w:ascii="Arial" w:hAnsi="Arial"/>
          <w:sz w:val="16"/>
        </w:rPr>
        <w:t>216.01  حمل و نقل دولتی.</w:t>
      </w:r>
    </w:p>
    <w:p>
      <w:pPr>
        <w:spacing w:after="28" w:line="216" w:lineRule="auto"/>
        <w:ind w:left="259"/>
        <w:jc w:val="left"/>
      </w:pPr>
      <w:r>
        <w:rPr>
          <w:rFonts w:ascii="Arial" w:hAnsi="Arial"/>
          <w:color w:val="525252"/>
          <w:sz w:val="13"/>
        </w:rPr>
        <w:t>Government-Procured Transportation.</w:t>
      </w:r>
    </w:p>
    <w:p>
      <w:pPr>
        <w:spacing w:after="20" w:line="223" w:lineRule="auto"/>
        <w:jc w:val="right"/>
        <w:bidi/>
      </w:pPr>
      <w:r>
        <w:rPr>
          <w:rFonts w:ascii="Arial" w:hAnsi="Arial"/>
          <w:sz w:val="16"/>
        </w:rPr>
        <w:t>216.02  مگر اینکه یک مقام مجاز/صادرکننده تشخیص دهد که شرکت‌های هواپیمایی دارای گواهینامه ایالات متحده در دسترس نیستند، زمانی که دولت هزینه سفر هوایی را تأمین می‌کند، باید از حامل‌های هوایی دارای گواهینامه ایالات متحده برای همه حمل‌ونقل هوایی تجاری افراد یا اموال استفاده شود.</w:t>
      </w:r>
    </w:p>
    <w:p>
      <w:pPr>
        <w:spacing w:after="28" w:line="216" w:lineRule="auto"/>
        <w:ind w:left="259"/>
        <w:jc w:val="left"/>
      </w:pPr>
      <w:r>
        <w:rPr>
          <w:rFonts w:ascii="Arial" w:hAnsi="Arial"/>
          <w:color w:val="525252"/>
          <w:sz w:val="13"/>
        </w:rPr>
        <w:t>Unless an authorizing/order-issuing official determines U.S.-certificated air carriers are unavailable, U.S.-certificated air carriers must be used for all commercial air transportation of persons or property when the government funds the air travel.</w:t>
      </w:r>
    </w:p>
    <w:p>
      <w:pPr>
        <w:spacing w:after="20" w:line="223" w:lineRule="auto"/>
        <w:jc w:val="right"/>
        <w:bidi/>
      </w:pPr>
      <w:r>
        <w:rPr>
          <w:rFonts w:ascii="Arial" w:hAnsi="Arial"/>
          <w:sz w:val="16"/>
        </w:rPr>
        <w:t>216.03  اسنادی که توضیح می‌دهد چرا خدمات شرکت هواپیمایی دارای گواهینامه ایالات متحده در دسترس نیست، باید به مسافر ارائه شود.</w:t>
      </w:r>
    </w:p>
    <w:p>
      <w:pPr>
        <w:spacing w:after="28" w:line="216" w:lineRule="auto"/>
        <w:ind w:left="259"/>
        <w:jc w:val="left"/>
      </w:pPr>
      <w:r>
        <w:rPr>
          <w:rFonts w:ascii="Arial" w:hAnsi="Arial"/>
          <w:color w:val="525252"/>
          <w:sz w:val="13"/>
        </w:rPr>
        <w:t>Documentation explaining why U.S.-certificated air carrier service is not available must be provided to the traveler.</w:t>
      </w:r>
    </w:p>
    <w:p>
      <w:pPr>
        <w:spacing w:after="20" w:line="223" w:lineRule="auto"/>
        <w:jc w:val="right"/>
        <w:bidi/>
      </w:pPr>
      <w:r>
        <w:rPr>
          <w:rFonts w:ascii="Arial" w:hAnsi="Arial"/>
          <w:sz w:val="16"/>
        </w:rPr>
        <w:t>216.04  تأییدیه‌های سفارش سفر یا سند تدارکات سفر دولتی که مطابق با راهنمای خدمات ارائه شده است قابل قبول است.</w:t>
      </w:r>
    </w:p>
    <w:p>
      <w:pPr>
        <w:spacing w:after="28" w:line="216" w:lineRule="auto"/>
        <w:ind w:left="259"/>
        <w:jc w:val="left"/>
      </w:pPr>
      <w:r>
        <w:rPr>
          <w:rFonts w:ascii="Arial" w:hAnsi="Arial"/>
          <w:color w:val="525252"/>
          <w:sz w:val="13"/>
        </w:rPr>
        <w:t>Endorsements on the travel orders or government travel procurement document made in accordance with service guidance are acceptable.</w:t>
      </w:r>
    </w:p>
    <w:p>
      <w:pPr>
        <w:spacing w:after="20" w:line="223" w:lineRule="auto"/>
        <w:jc w:val="right"/>
        <w:bidi/>
      </w:pPr>
      <w:r>
        <w:rPr>
          <w:rFonts w:ascii="Arial" w:hAnsi="Arial"/>
          <w:sz w:val="16"/>
        </w:rPr>
        <w:t>216.05  زمان سفر برای سفر با حمل‌ونقل دولتی (به استثنای خودروهای دولتی) یا حامل‌های معمولی که توسط حمل‌ونقل خریداری شده توسط دولت به دست می‌آید، برای زمان واقعی مورد نیاز برای سفر در مسیر مستقیم، از جمله تأخیرهای ضروری برای حالت حمل و نقل مورد استفاده مجاز است.</w:t>
      </w:r>
    </w:p>
    <w:p>
      <w:pPr>
        <w:spacing w:after="28" w:line="216" w:lineRule="auto"/>
        <w:ind w:left="259"/>
        <w:jc w:val="left"/>
      </w:pPr>
      <w:r>
        <w:rPr>
          <w:rFonts w:ascii="Arial" w:hAnsi="Arial"/>
          <w:color w:val="525252"/>
          <w:sz w:val="13"/>
        </w:rPr>
        <w:t>Travel time for travel by government conveyance (except government automobile) or common carriers obtained by government-procured transportation is allowed for the actual time needed to travel over the direct route, including necessary delays for the transportation mode used.</w:t>
      </w:r>
    </w:p>
    <w:p>
      <w:pPr>
        <w:spacing w:after="20" w:line="223" w:lineRule="auto"/>
        <w:jc w:val="right"/>
        <w:bidi/>
      </w:pPr>
      <w:r>
        <w:rPr>
          <w:rFonts w:ascii="Arial" w:hAnsi="Arial"/>
          <w:sz w:val="16"/>
        </w:rPr>
        <w:t>216.06  استفاده از حمل و نقل با مالکیت خصوصی.</w:t>
      </w:r>
    </w:p>
    <w:p>
      <w:pPr>
        <w:spacing w:after="28" w:line="216" w:lineRule="auto"/>
        <w:ind w:left="259"/>
        <w:jc w:val="left"/>
      </w:pPr>
      <w:r>
        <w:rPr>
          <w:rFonts w:ascii="Arial" w:hAnsi="Arial"/>
          <w:color w:val="525252"/>
          <w:sz w:val="13"/>
        </w:rPr>
        <w:t>Use of Privately Owned Conveyance.</w:t>
      </w:r>
    </w:p>
    <w:p>
      <w:pPr>
        <w:spacing w:after="20" w:line="223" w:lineRule="auto"/>
        <w:jc w:val="right"/>
        <w:bidi/>
      </w:pPr>
      <w:r>
        <w:rPr>
          <w:rFonts w:ascii="Arial" w:hAnsi="Arial"/>
          <w:sz w:val="16"/>
        </w:rPr>
        <w:t>216.07  خط‌مشی خدمات یکسان این است که بر اساس حقایق در هر مورد، سفرهای حمل و نقل خصوصی را در صورت قبولی برای عضو و برای دولت سودمند می‌سازد.</w:t>
      </w:r>
    </w:p>
    <w:p>
      <w:pPr>
        <w:spacing w:after="28" w:line="216" w:lineRule="auto"/>
        <w:ind w:left="259"/>
        <w:jc w:val="left"/>
      </w:pPr>
      <w:r>
        <w:rPr>
          <w:rFonts w:ascii="Arial" w:hAnsi="Arial"/>
          <w:color w:val="525252"/>
          <w:sz w:val="13"/>
        </w:rPr>
        <w:t>Uniformed service policy is to authorize/approve privately owned conveyance travel if acceptable to the member and advantageous to the government based on the facts in each case.</w:t>
      </w:r>
    </w:p>
    <w:p>
      <w:pPr>
        <w:spacing w:after="20" w:line="223" w:lineRule="auto"/>
        <w:jc w:val="right"/>
        <w:bidi/>
      </w:pPr>
      <w:r>
        <w:rPr>
          <w:rFonts w:ascii="Arial" w:hAnsi="Arial"/>
          <w:sz w:val="16"/>
        </w:rPr>
        <w:t>216.08  سایر گزینه‌های مجاز سفر و حمل و نقل شامل حمل و نقل دولتی یا حمل و نقل تجاری است.</w:t>
      </w:r>
    </w:p>
    <w:p>
      <w:pPr>
        <w:spacing w:after="28" w:line="216" w:lineRule="auto"/>
        <w:ind w:left="259"/>
        <w:jc w:val="left"/>
      </w:pPr>
      <w:r>
        <w:rPr>
          <w:rFonts w:ascii="Arial" w:hAnsi="Arial"/>
          <w:color w:val="525252"/>
          <w:sz w:val="13"/>
        </w:rPr>
        <w:t>Other allowable travel and transportation options include government conveyance or commercial carrier.</w:t>
      </w:r>
    </w:p>
    <w:p>
      <w:pPr>
        <w:spacing w:after="20" w:line="223" w:lineRule="auto"/>
        <w:jc w:val="right"/>
        <w:bidi/>
      </w:pPr>
      <w:r>
        <w:rPr>
          <w:rFonts w:ascii="Arial" w:hAnsi="Arial"/>
          <w:sz w:val="16"/>
        </w:rPr>
        <w:t>216.09  بازپرداخت هزینه‌های پارکینگ، کرایه کشتی، عوارض جاده، پل و تونل برای حمل و نقل خصوصی در مستقیم‌ترین مسیر بین ایستگاه‌های مربوطه مجاز است.</w:t>
      </w:r>
    </w:p>
    <w:p>
      <w:pPr>
        <w:spacing w:after="28" w:line="216" w:lineRule="auto"/>
        <w:ind w:left="259"/>
        <w:jc w:val="left"/>
      </w:pPr>
      <w:r>
        <w:rPr>
          <w:rFonts w:ascii="Arial" w:hAnsi="Arial"/>
          <w:color w:val="525252"/>
          <w:sz w:val="13"/>
        </w:rPr>
        <w:t>Reimbursement of parking fees, ferry fares, road, bridge, and tunnel tolls are authorized for privately owned conveyance over the most direct route between the stations involved.</w:t>
      </w:r>
    </w:p>
    <w:p>
      <w:pPr>
        <w:spacing w:after="20" w:line="223" w:lineRule="auto"/>
        <w:jc w:val="right"/>
        <w:bidi/>
      </w:pPr>
      <w:r>
        <w:rPr>
          <w:rFonts w:ascii="Arial" w:hAnsi="Arial"/>
          <w:sz w:val="16"/>
        </w:rPr>
        <w:t>216.10  همچنین به عضو اجازه داده می‌شود که برای هر روز سفر PCS بین نقاط مجاز، حداکثر تا زمان مجاز سفر، نرخ روزانه ثابتی داشته باشد.</w:t>
      </w:r>
    </w:p>
    <w:p>
      <w:pPr>
        <w:spacing w:after="28" w:line="216" w:lineRule="auto"/>
        <w:ind w:left="259"/>
        <w:jc w:val="left"/>
      </w:pPr>
      <w:r>
        <w:rPr>
          <w:rFonts w:ascii="Arial" w:hAnsi="Arial"/>
          <w:color w:val="525252"/>
          <w:sz w:val="13"/>
        </w:rPr>
        <w:t>The member is also authorized a flat per diem rate for each PCS travel day between authorized points, up to the allowable travel time.</w:t>
      </w:r>
    </w:p>
    <w:p>
      <w:pPr>
        <w:spacing w:after="20" w:line="223" w:lineRule="auto"/>
        <w:jc w:val="right"/>
        <w:bidi/>
      </w:pPr>
      <w:r>
        <w:rPr>
          <w:rFonts w:ascii="Arial" w:hAnsi="Arial"/>
          <w:sz w:val="16"/>
        </w:rPr>
        <w:t>216.11  حمل و نقل شخصی تهیه شده است.</w:t>
      </w:r>
    </w:p>
    <w:p>
      <w:pPr>
        <w:spacing w:after="28" w:line="216" w:lineRule="auto"/>
        <w:ind w:left="259"/>
        <w:jc w:val="left"/>
      </w:pPr>
      <w:r>
        <w:rPr>
          <w:rFonts w:ascii="Arial" w:hAnsi="Arial"/>
          <w:color w:val="525252"/>
          <w:sz w:val="13"/>
        </w:rPr>
        <w:t>Personally Procured Transportation.</w:t>
      </w:r>
    </w:p>
    <w:p>
      <w:pPr>
        <w:spacing w:after="20" w:line="223" w:lineRule="auto"/>
        <w:jc w:val="right"/>
        <w:bidi/>
      </w:pPr>
      <w:r>
        <w:rPr>
          <w:rFonts w:ascii="Arial" w:hAnsi="Arial"/>
          <w:sz w:val="16"/>
        </w:rPr>
        <w:t>216.12  سیاست وزارت دفاع استفاده از دفتر مسافرت تجاری را برای کلیه الزامات حمل و نقل رسمی الزامی می‌کند.</w:t>
      </w:r>
    </w:p>
    <w:p>
      <w:pPr>
        <w:spacing w:after="28" w:line="216" w:lineRule="auto"/>
        <w:ind w:left="259"/>
        <w:jc w:val="left"/>
      </w:pPr>
      <w:r>
        <w:rPr>
          <w:rFonts w:ascii="Arial" w:hAnsi="Arial"/>
          <w:color w:val="525252"/>
          <w:sz w:val="13"/>
        </w:rPr>
        <w:t>Department of Defense policy mandates the use of the commercial travel office for all official transportation requirements.</w:t>
      </w:r>
    </w:p>
    <w:p>
      <w:pPr>
        <w:spacing w:after="20" w:line="223" w:lineRule="auto"/>
        <w:jc w:val="right"/>
        <w:bidi/>
      </w:pPr>
      <w:r>
        <w:rPr>
          <w:rFonts w:ascii="Arial" w:hAnsi="Arial"/>
          <w:sz w:val="16"/>
        </w:rPr>
        <w:t>216.13  عضوی که علی‌رغم این سیاست، حمل‌ونقل مشترک متصدی حمل‌ونقل را با هزینه شخصی برای سفرهای رسمی تهیه می‌کند، مجاز به بازپرداخت (به جز سفرهای بین اقیانوسی که در آن بازپرداخت مجاز نیست) تا سقف مبلغ مجاز است.</w:t>
      </w:r>
    </w:p>
    <w:p>
      <w:pPr>
        <w:spacing w:after="28" w:line="216" w:lineRule="auto"/>
        <w:ind w:left="259"/>
        <w:jc w:val="left"/>
      </w:pPr>
      <w:r>
        <w:rPr>
          <w:rFonts w:ascii="Arial" w:hAnsi="Arial"/>
          <w:color w:val="525252"/>
          <w:sz w:val="13"/>
        </w:rPr>
        <w:t>A member who, despite the policy, procures common carrier transportation at personal expense for official travel, is authorized reimbursement (except transoceanic travel in which no reimbursement is authorized) up to the amount authorized.</w:t>
      </w:r>
    </w:p>
    <w:p>
      <w:pPr>
        <w:spacing w:after="20" w:line="223" w:lineRule="auto"/>
        <w:jc w:val="right"/>
        <w:bidi/>
      </w:pPr>
      <w:r>
        <w:rPr>
          <w:rFonts w:ascii="Arial" w:hAnsi="Arial"/>
          <w:sz w:val="16"/>
        </w:rPr>
        <w:t>216.14  با این حال، بازپرداخت نباید از هزینه حمل و نقل مجاز و اقامت در یک مسیر مستقیم معمولا طبق برنامه زمانی لازم برای برآورده کردن الزامات سفارش بیشتر شود.</w:t>
      </w:r>
    </w:p>
    <w:p>
      <w:pPr>
        <w:spacing w:after="28" w:line="216" w:lineRule="auto"/>
        <w:ind w:left="259"/>
        <w:jc w:val="left"/>
      </w:pPr>
      <w:r>
        <w:rPr>
          <w:rFonts w:ascii="Arial" w:hAnsi="Arial"/>
          <w:color w:val="525252"/>
          <w:sz w:val="13"/>
        </w:rPr>
        <w:t>However, reimbursement must not exceed the cost for the authorized transportation and accommodations over a usually traveled direct route according to a schedule necessary to meet the requirements of the order.</w:t>
      </w:r>
    </w:p>
    <w:p>
      <w:pPr>
        <w:spacing w:after="20" w:line="223" w:lineRule="auto"/>
        <w:jc w:val="right"/>
        <w:bidi/>
      </w:pPr>
      <w:r>
        <w:rPr>
          <w:rFonts w:ascii="Arial" w:hAnsi="Arial"/>
          <w:sz w:val="16"/>
        </w:rPr>
        <w:t>216.15  برای اطلاعات بیشتر با مقررات سفر مشترک مشورت کنید.</w:t>
      </w:r>
    </w:p>
    <w:p>
      <w:pPr>
        <w:spacing w:after="28" w:line="216" w:lineRule="auto"/>
        <w:ind w:left="259"/>
        <w:jc w:val="left"/>
      </w:pPr>
      <w:r>
        <w:rPr>
          <w:rFonts w:ascii="Arial" w:hAnsi="Arial"/>
          <w:color w:val="525252"/>
          <w:sz w:val="13"/>
        </w:rPr>
        <w:t>Consult the Joint Travel Regulation for additional information.</w:t>
      </w:r>
    </w:p>
    <w:p>
      <w:pPr>
        <w:spacing w:after="20" w:line="223" w:lineRule="auto"/>
        <w:jc w:val="right"/>
        <w:bidi/>
      </w:pPr>
      <w:r>
        <w:rPr>
          <w:rFonts w:ascii="Arial" w:hAnsi="Arial"/>
          <w:sz w:val="16"/>
        </w:rPr>
        <w:t>216.16  حالت‌های مختلط.</w:t>
      </w:r>
    </w:p>
    <w:p>
      <w:pPr>
        <w:spacing w:after="28" w:line="216" w:lineRule="auto"/>
        <w:ind w:left="259"/>
        <w:jc w:val="left"/>
      </w:pPr>
      <w:r>
        <w:rPr>
          <w:rFonts w:ascii="Arial" w:hAnsi="Arial"/>
          <w:color w:val="525252"/>
          <w:sz w:val="13"/>
        </w:rPr>
        <w:t>Mixed Modes.</w:t>
      </w:r>
    </w:p>
    <w:p>
      <w:pPr>
        <w:spacing w:after="20" w:line="223" w:lineRule="auto"/>
        <w:jc w:val="right"/>
        <w:bidi/>
      </w:pPr>
      <w:r>
        <w:rPr>
          <w:rFonts w:ascii="Arial" w:hAnsi="Arial"/>
          <w:sz w:val="16"/>
        </w:rPr>
        <w:t>216.17  هنگامی که هر دو روش حمل و نقل خریداری شده توسط دولت و شخصی استفاده می‌شود، USAF از ترکیبی از قوانین حاکم بر مقررات سفر مشترک استفاده می‌کند.</w:t>
      </w:r>
    </w:p>
    <w:p>
      <w:pPr>
        <w:spacing w:after="28" w:line="216" w:lineRule="auto"/>
        <w:ind w:left="259"/>
        <w:jc w:val="left"/>
      </w:pPr>
      <w:r>
        <w:rPr>
          <w:rFonts w:ascii="Arial" w:hAnsi="Arial"/>
          <w:color w:val="525252"/>
          <w:sz w:val="13"/>
        </w:rPr>
        <w:t>When both government-procured and personally procured modes of transportation are used, the USAF uses a combination of rules governed by the Joint Travel Regulation.</w:t>
      </w:r>
    </w:p>
    <w:p>
      <w:pPr>
        <w:spacing w:after="20" w:line="223" w:lineRule="auto"/>
        <w:jc w:val="right"/>
        <w:bidi/>
      </w:pPr>
      <w:r>
        <w:rPr>
          <w:rFonts w:ascii="Arial" w:hAnsi="Arial"/>
          <w:sz w:val="16"/>
        </w:rPr>
        <w:t>216.18  دفتر خدمات مالی محلی می‌تواند راهنمایی‌های خاصی ارائه دهد.</w:t>
      </w:r>
    </w:p>
    <w:p>
      <w:pPr>
        <w:spacing w:after="28" w:line="216" w:lineRule="auto"/>
        <w:ind w:left="259"/>
        <w:jc w:val="left"/>
      </w:pPr>
      <w:r>
        <w:rPr>
          <w:rFonts w:ascii="Arial" w:hAnsi="Arial"/>
          <w:color w:val="525252"/>
          <w:sz w:val="13"/>
        </w:rPr>
        <w:t>The local financial service office can provide specific guidance.</w:t>
      </w:r>
    </w:p>
    <w:p>
      <w:pPr>
        <w:spacing w:after="20" w:line="223" w:lineRule="auto"/>
        <w:jc w:val="right"/>
        <w:bidi/>
      </w:pPr>
      <w:r>
        <w:rPr>
          <w:rFonts w:ascii="Arial" w:hAnsi="Arial"/>
          <w:sz w:val="16"/>
        </w:rPr>
        <w:t>216.19  سفر وابسته.</w:t>
      </w:r>
    </w:p>
    <w:p>
      <w:pPr>
        <w:spacing w:after="28" w:line="216" w:lineRule="auto"/>
        <w:ind w:left="259"/>
        <w:jc w:val="left"/>
      </w:pPr>
      <w:r>
        <w:rPr>
          <w:rFonts w:ascii="Arial" w:hAnsi="Arial"/>
          <w:color w:val="525252"/>
          <w:sz w:val="13"/>
        </w:rPr>
        <w:t>Dependent Travel.</w:t>
      </w:r>
    </w:p>
    <w:p>
      <w:pPr>
        <w:spacing w:after="20" w:line="223" w:lineRule="auto"/>
        <w:jc w:val="right"/>
        <w:bidi/>
      </w:pPr>
      <w:r>
        <w:rPr>
          <w:rFonts w:ascii="Arial" w:hAnsi="Arial"/>
          <w:sz w:val="16"/>
        </w:rPr>
        <w:t>216.20  یک نظامی به جای حمل و نقل و نرخ ثابت روزانه برای وابستگان رسمی مسافتی که با وسیله نقلیه شخصی با او سفر می‌کنند، کمک هزینه دریافت می‌کند.</w:t>
      </w:r>
    </w:p>
    <w:p>
      <w:pPr>
        <w:spacing w:after="28" w:line="216" w:lineRule="auto"/>
        <w:ind w:left="259"/>
        <w:jc w:val="left"/>
      </w:pPr>
      <w:r>
        <w:rPr>
          <w:rFonts w:ascii="Arial" w:hAnsi="Arial"/>
          <w:color w:val="525252"/>
          <w:sz w:val="13"/>
        </w:rPr>
        <w:t>A military member receives monetary allowance in lieu of transportation and flat rate per diem for the official distance dependents travel with him or her by privately owned vehicle.</w:t>
      </w:r>
    </w:p>
    <w:p>
      <w:pPr>
        <w:spacing w:after="20" w:line="223" w:lineRule="auto"/>
        <w:jc w:val="right"/>
        <w:bidi/>
      </w:pPr>
      <w:r>
        <w:rPr>
          <w:rFonts w:ascii="Arial" w:hAnsi="Arial"/>
          <w:sz w:val="16"/>
        </w:rPr>
        <w:t>216.21  اگر افراد تحت تکفل حمل‌ونقل مشترک تجاری را خریداری کنند، ممکن است هزینه واقعی حمل و نقل به عضو بازپرداخت شود، نه اینکه از هزینه‌ای که دولت برای سفر سفارش شده متحمل می‌شود تجاوز کند، و عضو کمک هزینه روزانه برای افراد تحت تکفل دریافت می‌کند.</w:t>
      </w:r>
    </w:p>
    <w:p>
      <w:pPr>
        <w:spacing w:after="28" w:line="216" w:lineRule="auto"/>
        <w:ind w:left="259"/>
        <w:jc w:val="left"/>
      </w:pPr>
      <w:r>
        <w:rPr>
          <w:rFonts w:ascii="Arial" w:hAnsi="Arial"/>
          <w:color w:val="525252"/>
          <w:sz w:val="13"/>
        </w:rPr>
        <w:t>If dependents purchase commercial common carrier transportation, the member may be reimbursed for the actual cost of the transportation, not to exceed the cost the government would have incurred for ordered travel, and the member receives a per diem allowance for dependents.</w:t>
      </w:r>
    </w:p>
    <w:p>
      <w:pPr>
        <w:spacing w:after="20" w:line="223" w:lineRule="auto"/>
        <w:jc w:val="right"/>
        <w:bidi/>
      </w:pPr>
      <w:r>
        <w:rPr>
          <w:rFonts w:ascii="Arial" w:hAnsi="Arial"/>
          <w:sz w:val="16"/>
        </w:rPr>
        <w:t>216.22  هنگامی که USAF سفر افراد تحت تکفل را به یک مکان خارج از کشور محدود می‌کند، افراد تحت تکفل ممکن است با هزینه دولت به هر گونه تغییر تأیید شده/مجاز ایستگاه تعیین شده در CONUS یا مکان تعیین شده در خارج از کشور با تأییدیه خاص نقل مکان کنند.</w:t>
      </w:r>
    </w:p>
    <w:p>
      <w:pPr>
        <w:spacing w:after="28" w:line="216" w:lineRule="auto"/>
        <w:ind w:left="259"/>
        <w:jc w:val="left"/>
      </w:pPr>
      <w:r>
        <w:rPr>
          <w:rFonts w:ascii="Arial" w:hAnsi="Arial"/>
          <w:color w:val="525252"/>
          <w:sz w:val="13"/>
        </w:rPr>
        <w:t>When the USAF restricts travel of dependents to a location overseas, dependents may move at government expense to any approved/authorized change of station designated location within the CONUS or designated overseas location with special approval.</w:t>
      </w:r>
    </w:p>
    <w:p>
      <w:pPr>
        <w:spacing w:after="20" w:line="223" w:lineRule="auto"/>
        <w:jc w:val="right"/>
        <w:bidi/>
      </w:pPr>
      <w:r>
        <w:rPr>
          <w:rFonts w:ascii="Arial" w:hAnsi="Arial"/>
          <w:sz w:val="16"/>
        </w:rPr>
        <w:t>216.23  هزینه اسکان موقت.</w:t>
      </w:r>
    </w:p>
    <w:p>
      <w:pPr>
        <w:spacing w:after="28" w:line="216" w:lineRule="auto"/>
        <w:ind w:left="259"/>
        <w:jc w:val="left"/>
      </w:pPr>
      <w:r>
        <w:rPr>
          <w:rFonts w:ascii="Arial" w:hAnsi="Arial"/>
          <w:color w:val="525252"/>
          <w:sz w:val="13"/>
        </w:rPr>
        <w:t>Temporary Lodging Expense.</w:t>
      </w:r>
    </w:p>
    <w:p>
      <w:pPr>
        <w:spacing w:after="20" w:line="223" w:lineRule="auto"/>
        <w:jc w:val="right"/>
        <w:bidi/>
      </w:pPr>
      <w:r>
        <w:rPr>
          <w:rFonts w:ascii="Arial" w:hAnsi="Arial"/>
          <w:sz w:val="16"/>
        </w:rPr>
        <w:t>216.24  عضوی که PCS را در مکانی در داخل CONUS می‌آید یا ترک می‌کند، ممکن است هزینه اقامت موقت را برای کمک به پرداخت هزینه‌های اضافی زندگی که هنگام اشغال اقامتگاه موقت متحمل شده است، دریافت کند.</w:t>
      </w:r>
    </w:p>
    <w:p>
      <w:pPr>
        <w:spacing w:after="28" w:line="216" w:lineRule="auto"/>
        <w:ind w:left="259"/>
        <w:jc w:val="left"/>
      </w:pPr>
      <w:r>
        <w:rPr>
          <w:rFonts w:ascii="Arial" w:hAnsi="Arial"/>
          <w:color w:val="525252"/>
          <w:sz w:val="13"/>
        </w:rPr>
        <w:t>A member arriving or departing PCS at a location within the CONUS may receive temporary lodging expense to help defray the added living expenses incurred while occupying temporary lodging.</w:t>
      </w:r>
    </w:p>
    <w:p>
      <w:pPr>
        <w:spacing w:after="20" w:line="223" w:lineRule="auto"/>
        <w:jc w:val="right"/>
        <w:bidi/>
      </w:pPr>
      <w:r>
        <w:rPr>
          <w:rFonts w:ascii="Arial" w:hAnsi="Arial"/>
          <w:sz w:val="16"/>
        </w:rPr>
        <w:t>216.25  هزینه اقامت موقت در کوپن سفر پرداخت می‌شود.</w:t>
      </w:r>
    </w:p>
    <w:p>
      <w:pPr>
        <w:spacing w:after="28" w:line="216" w:lineRule="auto"/>
        <w:ind w:left="259"/>
        <w:jc w:val="left"/>
      </w:pPr>
      <w:r>
        <w:rPr>
          <w:rFonts w:ascii="Arial" w:hAnsi="Arial"/>
          <w:color w:val="525252"/>
          <w:sz w:val="13"/>
        </w:rPr>
        <w:t>Temporary lodging expense is paid on a travel voucher.</w:t>
      </w:r>
    </w:p>
    <w:p>
      <w:pPr>
        <w:spacing w:after="20" w:line="223" w:lineRule="auto"/>
        <w:jc w:val="right"/>
        <w:bidi/>
      </w:pPr>
      <w:r>
        <w:rPr>
          <w:rFonts w:ascii="Arial" w:hAnsi="Arial"/>
          <w:sz w:val="16"/>
        </w:rPr>
        <w:t>216.26  کمک هزینه اسکان موقت.</w:t>
      </w:r>
    </w:p>
    <w:p>
      <w:pPr>
        <w:spacing w:after="28" w:line="216" w:lineRule="auto"/>
        <w:ind w:left="259"/>
        <w:jc w:val="left"/>
      </w:pPr>
      <w:r>
        <w:rPr>
          <w:rFonts w:ascii="Arial" w:hAnsi="Arial"/>
          <w:color w:val="525252"/>
          <w:sz w:val="13"/>
        </w:rPr>
        <w:t>Temporary Lodging Allowance.</w:t>
      </w:r>
    </w:p>
    <w:p>
      <w:pPr>
        <w:spacing w:after="20" w:line="223" w:lineRule="auto"/>
        <w:jc w:val="right"/>
        <w:bidi/>
      </w:pPr>
      <w:r>
        <w:rPr>
          <w:rFonts w:ascii="Arial" w:hAnsi="Arial"/>
          <w:sz w:val="16"/>
        </w:rPr>
        <w:t>216.27  عضوی که PCS را در مکانی خارج از CONUS می‌آید یا ترک می‌کند، ممکن است کمک هزینه اقامت موقت دریافت کند تا به پرداخت هزینه‌های اضافی زندگی متحمل شده در هنگام اشغال اقامتگاه موقت کمک کند.</w:t>
      </w:r>
    </w:p>
    <w:p>
      <w:pPr>
        <w:spacing w:after="28" w:line="216" w:lineRule="auto"/>
        <w:ind w:left="259"/>
        <w:jc w:val="left"/>
      </w:pPr>
      <w:r>
        <w:rPr>
          <w:rFonts w:ascii="Arial" w:hAnsi="Arial"/>
          <w:color w:val="525252"/>
          <w:sz w:val="13"/>
        </w:rPr>
        <w:t>A member arriving or departing PCS at a location outside the CONUS may receive temporary lodging allowance to help defray the added living expenses incurred while occupying temporary lodging.</w:t>
      </w:r>
    </w:p>
    <w:p>
      <w:pPr>
        <w:spacing w:after="20" w:line="223" w:lineRule="auto"/>
        <w:jc w:val="right"/>
        <w:bidi/>
      </w:pPr>
      <w:r>
        <w:rPr>
          <w:rFonts w:ascii="Arial" w:hAnsi="Arial"/>
          <w:sz w:val="16"/>
        </w:rPr>
        <w:t>216.28  کمک هزینه اسکان موقت به صورت حقوق سربازی پرداخت می‌شود و در صورت مرخصی و درآمد منعکس می‌شود.</w:t>
      </w:r>
    </w:p>
    <w:p>
      <w:pPr>
        <w:spacing w:after="28" w:line="216" w:lineRule="auto"/>
        <w:ind w:left="259"/>
        <w:jc w:val="left"/>
      </w:pPr>
      <w:r>
        <w:rPr>
          <w:rFonts w:ascii="Arial" w:hAnsi="Arial"/>
          <w:color w:val="525252"/>
          <w:sz w:val="13"/>
        </w:rPr>
        <w:t>Temporary lodging allowance is paid in military pay and is reflected on the leave and earnings statement.</w:t>
      </w:r>
    </w:p>
    <w:p>
      <w:pPr>
        <w:spacing w:before="60" w:after="28"/>
        <w:jc w:val="right"/>
        <w:bidi/>
      </w:pPr>
      <w:r>
        <w:rPr>
          <w:b/>
          <w:color w:val="1F4D78"/>
          <w:sz w:val="18"/>
        </w:rPr>
        <w:t>12.17. بازپرداخت رسمی سفر</w:t>
      </w:r>
    </w:p>
    <w:p>
      <w:pPr>
        <w:spacing w:after="20"/>
        <w:ind w:left="259"/>
        <w:jc w:val="left"/>
      </w:pPr>
      <w:r>
        <w:rPr>
          <w:color w:val="555555"/>
          <w:sz w:val="12"/>
        </w:rPr>
        <w:t>12.17. Official Travel Reimbursement</w:t>
      </w:r>
    </w:p>
    <w:p>
      <w:pPr>
        <w:spacing w:after="20" w:line="223" w:lineRule="auto"/>
        <w:jc w:val="right"/>
        <w:bidi/>
      </w:pPr>
      <w:r>
        <w:rPr>
          <w:rFonts w:ascii="Arial" w:hAnsi="Arial"/>
          <w:sz w:val="16"/>
        </w:rPr>
        <w:t>216.30  مسافران مسئول ثبت الکترونیکی کوپن در سیستم سفر دفاعی (DTS) یا تهیه فرم DD ۱۳۵۱-۲، کوپن سفر یا ساب کوپن، برای مطالبه بازپرداخت هزینه هستند.</w:t>
      </w:r>
    </w:p>
    <w:p>
      <w:pPr>
        <w:spacing w:after="28" w:line="216" w:lineRule="auto"/>
        <w:ind w:left="259"/>
        <w:jc w:val="left"/>
      </w:pPr>
      <w:r>
        <w:rPr>
          <w:rFonts w:ascii="Arial" w:hAnsi="Arial"/>
          <w:color w:val="525252"/>
          <w:sz w:val="13"/>
        </w:rPr>
        <w:t>Travelers are responsible for electronically filing a voucher in the Defense Travel System (DTS) or preparing the DD Form 1351-2, Travel Voucher or Subvoucher, to claim reimbursement for</w:t>
      </w:r>
    </w:p>
    <w:p>
      <w:r>
        <w:br w:type="page"/>
      </w:r>
    </w:p>
    <w:p>
      <w:pPr>
        <w:spacing w:after="60"/>
        <w:jc w:val="right"/>
        <w:bidi/>
      </w:pPr>
      <w:r>
        <w:rPr>
          <w:rFonts w:ascii="Arial" w:hAnsi="Arial"/>
          <w:b/>
          <w:color w:val="1F4D78"/>
          <w:sz w:val="19"/>
        </w:rPr>
        <w:t>هفتهٔ 217  |  صفحهٔ منبع: 233</w:t>
      </w:r>
    </w:p>
    <w:p>
      <w:pPr>
        <w:spacing w:after="20" w:line="223" w:lineRule="auto"/>
        <w:jc w:val="right"/>
        <w:bidi/>
      </w:pPr>
      <w:r>
        <w:rPr>
          <w:rFonts w:ascii="Arial" w:hAnsi="Arial"/>
          <w:sz w:val="16"/>
        </w:rPr>
        <w:t>217.01  سفر رسمی ظرف پنج روز کاری پس از بازگشت به ایستگاه دائمی.</w:t>
      </w:r>
    </w:p>
    <w:p>
      <w:pPr>
        <w:spacing w:after="28" w:line="216" w:lineRule="auto"/>
        <w:ind w:left="259"/>
        <w:jc w:val="left"/>
      </w:pPr>
      <w:r>
        <w:rPr>
          <w:rFonts w:ascii="Arial" w:hAnsi="Arial"/>
          <w:color w:val="525252"/>
          <w:sz w:val="13"/>
        </w:rPr>
        <w:t>official travel within five business days upon return to permanent duty station.</w:t>
      </w:r>
    </w:p>
    <w:p>
      <w:pPr>
        <w:spacing w:after="20" w:line="223" w:lineRule="auto"/>
        <w:jc w:val="right"/>
        <w:bidi/>
      </w:pPr>
      <w:r>
        <w:rPr>
          <w:rFonts w:ascii="Arial" w:hAnsi="Arial"/>
          <w:sz w:val="16"/>
        </w:rPr>
        <w:t>217.02  امضای مسافر در فرم نشان دهنده صحت ادعا، صحیح و کامل بودن اظهارات است و مسافر از مسئولیت ارائه ادعای نادرست آگاه است.</w:t>
      </w:r>
    </w:p>
    <w:p>
      <w:pPr>
        <w:spacing w:after="28" w:line="216" w:lineRule="auto"/>
        <w:ind w:left="259"/>
        <w:jc w:val="left"/>
      </w:pPr>
      <w:r>
        <w:rPr>
          <w:rFonts w:ascii="Arial" w:hAnsi="Arial"/>
          <w:color w:val="525252"/>
          <w:sz w:val="13"/>
        </w:rPr>
        <w:t>The traveler’s signature on the form indicates the claim is accurate, statements are true and complete, and the traveler is aware of the liability for filing a false claim.</w:t>
      </w:r>
    </w:p>
    <w:p>
      <w:pPr>
        <w:spacing w:after="20" w:line="223" w:lineRule="auto"/>
        <w:jc w:val="right"/>
        <w:bidi/>
      </w:pPr>
      <w:r>
        <w:rPr>
          <w:rFonts w:ascii="Arial" w:hAnsi="Arial"/>
          <w:sz w:val="16"/>
        </w:rPr>
        <w:t>217.03  انتقال الکترونیکی وجوه وسیله اجباری برای تسویه خسارت سفر است.</w:t>
      </w:r>
    </w:p>
    <w:p>
      <w:pPr>
        <w:spacing w:after="28" w:line="216" w:lineRule="auto"/>
        <w:ind w:left="259"/>
        <w:jc w:val="left"/>
      </w:pPr>
      <w:r>
        <w:rPr>
          <w:rFonts w:ascii="Arial" w:hAnsi="Arial"/>
          <w:color w:val="525252"/>
          <w:sz w:val="13"/>
        </w:rPr>
        <w:t>Electronic funds transfer is the mandatory means by which a travel claim is settled.</w:t>
      </w:r>
    </w:p>
    <w:p>
      <w:pPr>
        <w:spacing w:after="20" w:line="223" w:lineRule="auto"/>
        <w:jc w:val="right"/>
        <w:bidi/>
      </w:pPr>
      <w:r>
        <w:rPr>
          <w:rFonts w:ascii="Arial" w:hAnsi="Arial"/>
          <w:sz w:val="16"/>
        </w:rPr>
        <w:t>217.04  از گزینه تقسیم پرداخت در DTS استفاده خواهد شد.</w:t>
      </w:r>
    </w:p>
    <w:p>
      <w:pPr>
        <w:spacing w:after="28" w:line="216" w:lineRule="auto"/>
        <w:ind w:left="259"/>
        <w:jc w:val="left"/>
      </w:pPr>
      <w:r>
        <w:rPr>
          <w:rFonts w:ascii="Arial" w:hAnsi="Arial"/>
          <w:color w:val="525252"/>
          <w:sz w:val="13"/>
        </w:rPr>
        <w:t>The split disbursement option in DTS will be used.</w:t>
      </w:r>
    </w:p>
    <w:p>
      <w:pPr>
        <w:spacing w:after="20" w:line="223" w:lineRule="auto"/>
        <w:jc w:val="right"/>
        <w:bidi/>
      </w:pPr>
      <w:r>
        <w:rPr>
          <w:rFonts w:ascii="Arial" w:hAnsi="Arial"/>
          <w:sz w:val="16"/>
        </w:rPr>
        <w:t>217.05  این گزینه امکان پرداخت مستقیم از طریق انتقال الکترونیکی وجوه به فروشنده GTCC را برای هزینه‌های وارد شده در حساب صورت‌حساب جداگانه فراهم می‌کند.</w:t>
      </w:r>
    </w:p>
    <w:p>
      <w:pPr>
        <w:spacing w:after="28" w:line="216" w:lineRule="auto"/>
        <w:ind w:left="259"/>
        <w:jc w:val="left"/>
      </w:pPr>
      <w:r>
        <w:rPr>
          <w:rFonts w:ascii="Arial" w:hAnsi="Arial"/>
          <w:color w:val="525252"/>
          <w:sz w:val="13"/>
        </w:rPr>
        <w:t>This option permits direct payment via electronic funds transfer to the GTCC vendor for charges incurred on the individually billed account.</w:t>
      </w:r>
    </w:p>
    <w:p>
      <w:pPr>
        <w:spacing w:after="20" w:line="223" w:lineRule="auto"/>
        <w:jc w:val="right"/>
        <w:bidi/>
      </w:pPr>
      <w:r>
        <w:rPr>
          <w:rFonts w:ascii="Arial" w:hAnsi="Arial"/>
          <w:sz w:val="16"/>
        </w:rPr>
        <w:t>217.06  در مواردی که مسافر به مدت ۴۵ روز یا بیشتر وظیفه موقت داشته باشد، یک کوپن موقت یا پرداخت‌های جزئی برنامه‌ریزی شده در DTS هر ۳۰ روز یکبار با پرداخت‌های تقسیم شده برای پرداخت به موقع تنظیم می‌شود.</w:t>
      </w:r>
    </w:p>
    <w:p>
      <w:pPr>
        <w:spacing w:after="28" w:line="216" w:lineRule="auto"/>
        <w:ind w:left="259"/>
        <w:jc w:val="left"/>
      </w:pPr>
      <w:r>
        <w:rPr>
          <w:rFonts w:ascii="Arial" w:hAnsi="Arial"/>
          <w:color w:val="525252"/>
          <w:sz w:val="13"/>
        </w:rPr>
        <w:t>In cases where the traveler is temporary duty for 45 days or more, an interim voucher or scheduled partial payments will be setup in DTS every 30 days with split disbursements used to make on time payments.</w:t>
      </w:r>
    </w:p>
    <w:p>
      <w:pPr>
        <w:spacing w:after="20" w:line="223" w:lineRule="auto"/>
        <w:jc w:val="right"/>
        <w:bidi/>
      </w:pPr>
      <w:r>
        <w:rPr>
          <w:rFonts w:ascii="Arial" w:hAnsi="Arial"/>
          <w:sz w:val="16"/>
        </w:rPr>
        <w:t>217.07  سفرهای موقت طولانی مدت، پرداخت به موقع صورتحساب GTCC را توجیه نمی‌کند.</w:t>
      </w:r>
    </w:p>
    <w:p>
      <w:pPr>
        <w:spacing w:after="28" w:line="216" w:lineRule="auto"/>
        <w:ind w:left="259"/>
        <w:jc w:val="left"/>
      </w:pPr>
      <w:r>
        <w:rPr>
          <w:rFonts w:ascii="Arial" w:hAnsi="Arial"/>
          <w:color w:val="525252"/>
          <w:sz w:val="13"/>
        </w:rPr>
        <w:t>Extended temporary duty trips do not excuse on time payments of the GTCC bill.</w:t>
      </w:r>
    </w:p>
    <w:p>
      <w:pPr>
        <w:spacing w:before="60" w:after="28"/>
        <w:jc w:val="right"/>
        <w:bidi/>
      </w:pPr>
      <w:r>
        <w:rPr>
          <w:b/>
          <w:color w:val="1F4D78"/>
          <w:sz w:val="18"/>
        </w:rPr>
        <w:t>12.18. حقوق وظیفه موقت</w:t>
      </w:r>
    </w:p>
    <w:p>
      <w:pPr>
        <w:spacing w:after="20"/>
        <w:ind w:left="259"/>
        <w:jc w:val="left"/>
      </w:pPr>
      <w:r>
        <w:rPr>
          <w:color w:val="555555"/>
          <w:sz w:val="12"/>
        </w:rPr>
        <w:t>12.18. Temporary Duty Entitlements</w:t>
      </w:r>
    </w:p>
    <w:p>
      <w:pPr>
        <w:spacing w:after="20" w:line="223" w:lineRule="auto"/>
        <w:jc w:val="right"/>
        <w:bidi/>
      </w:pPr>
      <w:r>
        <w:rPr>
          <w:rFonts w:ascii="Arial" w:hAnsi="Arial"/>
          <w:sz w:val="16"/>
        </w:rPr>
        <w:t>217.09  روزانه.</w:t>
      </w:r>
    </w:p>
    <w:p>
      <w:pPr>
        <w:spacing w:after="28" w:line="216" w:lineRule="auto"/>
        <w:ind w:left="259"/>
        <w:jc w:val="left"/>
      </w:pPr>
      <w:r>
        <w:rPr>
          <w:rFonts w:ascii="Arial" w:hAnsi="Arial"/>
          <w:color w:val="525252"/>
          <w:sz w:val="13"/>
        </w:rPr>
        <w:t>Per Diem.</w:t>
      </w:r>
    </w:p>
    <w:p>
      <w:pPr>
        <w:spacing w:after="20" w:line="223" w:lineRule="auto"/>
        <w:jc w:val="right"/>
        <w:bidi/>
      </w:pPr>
      <w:r>
        <w:rPr>
          <w:rFonts w:ascii="Arial" w:hAnsi="Arial"/>
          <w:sz w:val="16"/>
        </w:rPr>
        <w:t>217.10  کمک هزینه روزانه کمک می‌کند تا هزینه ربع، وعده‌های غذایی و برخی موارد جانبی پرداخت شود.</w:t>
      </w:r>
    </w:p>
    <w:p>
      <w:pPr>
        <w:spacing w:after="28" w:line="216" w:lineRule="auto"/>
        <w:ind w:left="259"/>
        <w:jc w:val="left"/>
      </w:pPr>
      <w:r>
        <w:rPr>
          <w:rFonts w:ascii="Arial" w:hAnsi="Arial"/>
          <w:color w:val="525252"/>
          <w:sz w:val="13"/>
        </w:rPr>
        <w:t>The per diem allowance helps defray the cost of quarters, meals, and certain incidentals.</w:t>
      </w:r>
    </w:p>
    <w:p>
      <w:pPr>
        <w:spacing w:after="20" w:line="223" w:lineRule="auto"/>
        <w:jc w:val="right"/>
        <w:bidi/>
      </w:pPr>
      <w:r>
        <w:rPr>
          <w:rFonts w:ascii="Arial" w:hAnsi="Arial"/>
          <w:sz w:val="16"/>
        </w:rPr>
        <w:t>217.11  نرخ‌های روزانه به محل وظیفه موقت بستگی دارد.</w:t>
      </w:r>
    </w:p>
    <w:p>
      <w:pPr>
        <w:spacing w:after="28" w:line="216" w:lineRule="auto"/>
        <w:ind w:left="259"/>
        <w:jc w:val="left"/>
      </w:pPr>
      <w:r>
        <w:rPr>
          <w:rFonts w:ascii="Arial" w:hAnsi="Arial"/>
          <w:color w:val="525252"/>
          <w:sz w:val="13"/>
        </w:rPr>
        <w:t>Per diem rates depend on the temporary duty location.</w:t>
      </w:r>
    </w:p>
    <w:p>
      <w:pPr>
        <w:spacing w:after="20" w:line="223" w:lineRule="auto"/>
        <w:jc w:val="right"/>
        <w:bidi/>
      </w:pPr>
      <w:r>
        <w:rPr>
          <w:rFonts w:ascii="Arial" w:hAnsi="Arial"/>
          <w:sz w:val="16"/>
        </w:rPr>
        <w:t>217.12  به مسافران مبلغ تعیین شده برای غذا و هزینه‌های جانبی به اضافه مبلغ واقعی برای اقامت پرداخت می‌شود که از حداکثر نرخ اقامت برای مکان خاص تجاوز نکند.</w:t>
      </w:r>
    </w:p>
    <w:p>
      <w:pPr>
        <w:spacing w:after="28" w:line="216" w:lineRule="auto"/>
        <w:ind w:left="259"/>
        <w:jc w:val="left"/>
      </w:pPr>
      <w:r>
        <w:rPr>
          <w:rFonts w:ascii="Arial" w:hAnsi="Arial"/>
          <w:color w:val="525252"/>
          <w:sz w:val="13"/>
        </w:rPr>
        <w:t>Travelers are paid a prescribed amount for meals and incidental expenses plus the actual amount for lodging, not to exceed the maximum lodging rate for the specific location.</w:t>
      </w:r>
    </w:p>
    <w:p>
      <w:pPr>
        <w:spacing w:after="20" w:line="223" w:lineRule="auto"/>
        <w:jc w:val="right"/>
        <w:bidi/>
      </w:pPr>
      <w:r>
        <w:rPr>
          <w:rFonts w:ascii="Arial" w:hAnsi="Arial"/>
          <w:sz w:val="16"/>
        </w:rPr>
        <w:t>217.13  نرخ‌ها بستگی به در دسترس بودن امکانات دولتی، مانند محله‌ها و امکانات غذاخوری دارد.</w:t>
      </w:r>
    </w:p>
    <w:p>
      <w:pPr>
        <w:spacing w:after="28" w:line="216" w:lineRule="auto"/>
        <w:ind w:left="259"/>
        <w:jc w:val="left"/>
      </w:pPr>
      <w:r>
        <w:rPr>
          <w:rFonts w:ascii="Arial" w:hAnsi="Arial"/>
          <w:color w:val="525252"/>
          <w:sz w:val="13"/>
        </w:rPr>
        <w:t>The rates depend on the availability of government facilities, such as quarters and dining facilities.</w:t>
      </w:r>
    </w:p>
    <w:p>
      <w:pPr>
        <w:spacing w:after="20" w:line="223" w:lineRule="auto"/>
        <w:jc w:val="right"/>
        <w:bidi/>
      </w:pPr>
      <w:r>
        <w:rPr>
          <w:rFonts w:ascii="Arial" w:hAnsi="Arial"/>
          <w:sz w:val="16"/>
        </w:rPr>
        <w:t>217.14  حمل و نقل.</w:t>
      </w:r>
    </w:p>
    <w:p>
      <w:pPr>
        <w:spacing w:after="28" w:line="216" w:lineRule="auto"/>
        <w:ind w:left="259"/>
        <w:jc w:val="left"/>
      </w:pPr>
      <w:r>
        <w:rPr>
          <w:rFonts w:ascii="Arial" w:hAnsi="Arial"/>
          <w:color w:val="525252"/>
          <w:sz w:val="13"/>
        </w:rPr>
        <w:t>Transportation.</w:t>
      </w:r>
    </w:p>
    <w:p>
      <w:pPr>
        <w:spacing w:after="20" w:line="223" w:lineRule="auto"/>
        <w:jc w:val="right"/>
        <w:bidi/>
      </w:pPr>
      <w:r>
        <w:rPr>
          <w:rFonts w:ascii="Arial" w:hAnsi="Arial"/>
          <w:sz w:val="16"/>
        </w:rPr>
        <w:t>217.15  خط‌مشی مقرر می‌دارد که اعضای نیروهای مسلح یونیفرم پوش از دفاتر مسافرتی تجاری موجود برای ترتیب دادن سفرهای رسمی استفاده کنند.</w:t>
      </w:r>
    </w:p>
    <w:p>
      <w:pPr>
        <w:spacing w:after="28" w:line="216" w:lineRule="auto"/>
        <w:ind w:left="259"/>
        <w:jc w:val="left"/>
      </w:pPr>
      <w:r>
        <w:rPr>
          <w:rFonts w:ascii="Arial" w:hAnsi="Arial"/>
          <w:color w:val="525252"/>
          <w:sz w:val="13"/>
        </w:rPr>
        <w:t>Policy mandates that uniformed service members will use available commercial travel offices to arrange official travel.</w:t>
      </w:r>
    </w:p>
    <w:p>
      <w:pPr>
        <w:spacing w:after="20" w:line="223" w:lineRule="auto"/>
        <w:jc w:val="right"/>
        <w:bidi/>
      </w:pPr>
      <w:r>
        <w:rPr>
          <w:rFonts w:ascii="Arial" w:hAnsi="Arial"/>
          <w:sz w:val="16"/>
        </w:rPr>
        <w:t>217.16  نحوه حمل و نقل مورد استفاده بین نقاط تعیین شده در دستور سفر تعیین کننده حق حمل و نقل خواهد بود.</w:t>
      </w:r>
    </w:p>
    <w:p>
      <w:pPr>
        <w:spacing w:after="28" w:line="216" w:lineRule="auto"/>
        <w:ind w:left="259"/>
        <w:jc w:val="left"/>
      </w:pPr>
      <w:r>
        <w:rPr>
          <w:rFonts w:ascii="Arial" w:hAnsi="Arial"/>
          <w:color w:val="525252"/>
          <w:sz w:val="13"/>
        </w:rPr>
        <w:t>The mode of transportation used between the points designated in the travel order will determine the transportation entitlement.</w:t>
      </w:r>
    </w:p>
    <w:p>
      <w:pPr>
        <w:spacing w:after="20" w:line="223" w:lineRule="auto"/>
        <w:jc w:val="right"/>
        <w:bidi/>
      </w:pPr>
      <w:r>
        <w:rPr>
          <w:rFonts w:ascii="Arial" w:hAnsi="Arial"/>
          <w:sz w:val="16"/>
        </w:rPr>
        <w:t>217.17  از سوی دیگر، اگر عضوی با هزینه شخصی مجوز سفر دریافت کند، بازپرداختی محدود به هزینه‌ای که دولت برای حالت مجاز سفر متحمل شده است، دریافت خواهد کرد.</w:t>
      </w:r>
    </w:p>
    <w:p>
      <w:pPr>
        <w:spacing w:after="28" w:line="216" w:lineRule="auto"/>
        <w:ind w:left="259"/>
        <w:jc w:val="left"/>
      </w:pPr>
      <w:r>
        <w:rPr>
          <w:rFonts w:ascii="Arial" w:hAnsi="Arial"/>
          <w:color w:val="525252"/>
          <w:sz w:val="13"/>
        </w:rPr>
        <w:t>On the other hand, if the member receives authorization to travel at personal expense, he or she will receive a reimbursement limited to what cost the government would have incurred for the authorized mode of travel.</w:t>
      </w:r>
    </w:p>
    <w:p>
      <w:pPr>
        <w:spacing w:after="20" w:line="223" w:lineRule="auto"/>
        <w:jc w:val="right"/>
        <w:bidi/>
      </w:pPr>
      <w:r>
        <w:rPr>
          <w:rFonts w:ascii="Arial" w:hAnsi="Arial"/>
          <w:sz w:val="16"/>
        </w:rPr>
        <w:t>217.18  برای سوال یا نگرانی، برای راهنمایی با دفتر حمل و نقل یا دفتر مسافرت تجاری مشورت کنید.</w:t>
      </w:r>
    </w:p>
    <w:p>
      <w:pPr>
        <w:spacing w:after="28" w:line="216" w:lineRule="auto"/>
        <w:ind w:left="259"/>
        <w:jc w:val="left"/>
      </w:pPr>
      <w:r>
        <w:rPr>
          <w:rFonts w:ascii="Arial" w:hAnsi="Arial"/>
          <w:color w:val="525252"/>
          <w:sz w:val="13"/>
        </w:rPr>
        <w:t>For questions or concerns, consult the transportation office or commercial travel office for assistance.</w:t>
      </w:r>
    </w:p>
    <w:p>
      <w:pPr>
        <w:spacing w:after="20" w:line="223" w:lineRule="auto"/>
        <w:jc w:val="right"/>
        <w:bidi/>
      </w:pPr>
      <w:r>
        <w:rPr>
          <w:rFonts w:ascii="Arial" w:hAnsi="Arial"/>
          <w:sz w:val="16"/>
        </w:rPr>
        <w:t>217.19  هزینه‌های متفرقه.</w:t>
      </w:r>
    </w:p>
    <w:p>
      <w:pPr>
        <w:spacing w:after="28" w:line="216" w:lineRule="auto"/>
        <w:ind w:left="259"/>
        <w:jc w:val="left"/>
      </w:pPr>
      <w:r>
        <w:rPr>
          <w:rFonts w:ascii="Arial" w:hAnsi="Arial"/>
          <w:color w:val="525252"/>
          <w:sz w:val="13"/>
        </w:rPr>
        <w:t>Miscellaneous Expenses.</w:t>
      </w:r>
    </w:p>
    <w:p>
      <w:pPr>
        <w:spacing w:after="20" w:line="223" w:lineRule="auto"/>
        <w:jc w:val="right"/>
        <w:bidi/>
      </w:pPr>
      <w:r>
        <w:rPr>
          <w:rFonts w:ascii="Arial" w:hAnsi="Arial"/>
          <w:sz w:val="16"/>
        </w:rPr>
        <w:t>217.20  هزینه‌های مربوط به سفر قابل برگشت شامل سفر از خانه یا محل اقامت تا پایانه حمل و نقل خدماتی با تاکسی، لیموزین، اتوبوس یا وسیله نقلیه شخصی است.</w:t>
      </w:r>
    </w:p>
    <w:p>
      <w:pPr>
        <w:spacing w:after="28" w:line="216" w:lineRule="auto"/>
        <w:ind w:left="259"/>
        <w:jc w:val="left"/>
      </w:pPr>
      <w:r>
        <w:rPr>
          <w:rFonts w:ascii="Arial" w:hAnsi="Arial"/>
          <w:color w:val="525252"/>
          <w:sz w:val="13"/>
        </w:rPr>
        <w:t>Reimbursable travel related expenses include travel from home or place of lodging to the servicing transportation terminal by taxi, limousine, bus, or privately owned vehicle.</w:t>
      </w:r>
    </w:p>
    <w:p>
      <w:pPr>
        <w:spacing w:after="20" w:line="223" w:lineRule="auto"/>
        <w:jc w:val="right"/>
        <w:bidi/>
      </w:pPr>
      <w:r>
        <w:rPr>
          <w:rFonts w:ascii="Arial" w:hAnsi="Arial"/>
          <w:sz w:val="16"/>
        </w:rPr>
        <w:t>217.21  هزینه‌های متفرقه اضافی شامل گذرنامه، ویزا، و وسایل نقلیه کرایه‌ای است که در صورت سفارش سفر مجاز است.</w:t>
      </w:r>
    </w:p>
    <w:p>
      <w:pPr>
        <w:spacing w:after="28" w:line="216" w:lineRule="auto"/>
        <w:ind w:left="259"/>
        <w:jc w:val="left"/>
      </w:pPr>
      <w:r>
        <w:rPr>
          <w:rFonts w:ascii="Arial" w:hAnsi="Arial"/>
          <w:color w:val="525252"/>
          <w:sz w:val="13"/>
        </w:rPr>
        <w:t>Additional miscellaneous expenses include passports, visas, and rental vehicles, when authorized on travel orders.</w:t>
      </w:r>
    </w:p>
    <w:p>
      <w:pPr>
        <w:spacing w:before="60" w:after="28"/>
        <w:jc w:val="right"/>
        <w:bidi/>
      </w:pPr>
      <w:r>
        <w:rPr>
          <w:b/>
          <w:color w:val="1F4D78"/>
          <w:sz w:val="18"/>
        </w:rPr>
        <w:t>12.19. کارت شارژ دولتی (GTCC)</w:t>
      </w:r>
    </w:p>
    <w:p>
      <w:pPr>
        <w:spacing w:after="20"/>
        <w:ind w:left="259"/>
        <w:jc w:val="left"/>
      </w:pPr>
      <w:r>
        <w:rPr>
          <w:color w:val="555555"/>
          <w:sz w:val="12"/>
        </w:rPr>
        <w:t>12.19. Government Travel Charge Card (GTCC)</w:t>
      </w:r>
    </w:p>
    <w:p>
      <w:pPr>
        <w:spacing w:after="20" w:line="223" w:lineRule="auto"/>
        <w:jc w:val="right"/>
        <w:bidi/>
      </w:pPr>
      <w:r>
        <w:rPr>
          <w:rFonts w:ascii="Arial" w:hAnsi="Arial"/>
          <w:sz w:val="16"/>
        </w:rPr>
        <w:t>217.23  برنامه GTCC برای تسهیل و استاندارد کردن سفرهای وزارت دفاع در نظر گرفته شده است، و برای مسافران روشی امن، مؤثر، راحت و تجاری در دسترس برای پرداخت هزینه‌های مربوط به سفرهای رسمی، از جمله سفرهای محلی به مسافران ارائه می‌کند.</w:t>
      </w:r>
    </w:p>
    <w:p>
      <w:pPr>
        <w:spacing w:after="28" w:line="216" w:lineRule="auto"/>
        <w:ind w:left="259"/>
        <w:jc w:val="left"/>
      </w:pPr>
      <w:r>
        <w:rPr>
          <w:rFonts w:ascii="Arial" w:hAnsi="Arial"/>
          <w:color w:val="525252"/>
          <w:sz w:val="13"/>
        </w:rPr>
        <w:t>The GTCC program is intended to facilitate and standardize Department of Defense travel, providing travelers a safe, effective, convenient, commercially available method to pay for expenses incident to official travel, including local travel.</w:t>
      </w:r>
    </w:p>
    <w:p>
      <w:pPr>
        <w:spacing w:after="20" w:line="223" w:lineRule="auto"/>
        <w:jc w:val="right"/>
        <w:bidi/>
      </w:pPr>
      <w:r>
        <w:rPr>
          <w:rFonts w:ascii="Arial" w:hAnsi="Arial"/>
          <w:sz w:val="16"/>
        </w:rPr>
        <w:t>217.24  کارت سفر برای بهبود مدیریت نقدینگی، کاهش حجم کار اداری و تسهیل خدمات بهتر به مسافران استفاده می‌شود.</w:t>
      </w:r>
    </w:p>
    <w:p>
      <w:pPr>
        <w:spacing w:after="28" w:line="216" w:lineRule="auto"/>
        <w:ind w:left="259"/>
        <w:jc w:val="left"/>
      </w:pPr>
      <w:r>
        <w:rPr>
          <w:rFonts w:ascii="Arial" w:hAnsi="Arial"/>
          <w:color w:val="525252"/>
          <w:sz w:val="13"/>
        </w:rPr>
        <w:t>The travel card is used to improve cash management, reduce administrative workloads, and facilitate better service to travelers.</w:t>
      </w:r>
    </w:p>
    <w:p>
      <w:pPr>
        <w:spacing w:after="20" w:line="223" w:lineRule="auto"/>
        <w:jc w:val="right"/>
        <w:bidi/>
      </w:pPr>
      <w:r>
        <w:rPr>
          <w:rFonts w:ascii="Arial" w:hAnsi="Arial"/>
          <w:sz w:val="16"/>
        </w:rPr>
        <w:t>217.25  علاوه بر این، به دلیل ویژگی بازپرداخت برنامه کارت سفر، این برنامه باعث صرفه جویی در هزینه برای وزارت دفاع می‌شود.</w:t>
      </w:r>
    </w:p>
    <w:p>
      <w:pPr>
        <w:spacing w:after="28" w:line="216" w:lineRule="auto"/>
        <w:ind w:left="259"/>
        <w:jc w:val="left"/>
      </w:pPr>
      <w:r>
        <w:rPr>
          <w:rFonts w:ascii="Arial" w:hAnsi="Arial"/>
          <w:color w:val="525252"/>
          <w:sz w:val="13"/>
        </w:rPr>
        <w:t>In addition, because of the refund feature of the travel card program, the program results in cost savings for the Department of Defense.</w:t>
      </w:r>
    </w:p>
    <w:p>
      <w:pPr>
        <w:spacing w:after="20" w:line="223" w:lineRule="auto"/>
        <w:jc w:val="right"/>
        <w:bidi/>
      </w:pPr>
      <w:r>
        <w:rPr>
          <w:rFonts w:ascii="Arial" w:hAnsi="Arial"/>
          <w:sz w:val="16"/>
        </w:rPr>
        <w:t>217.26  هماهنگ کنندگان برنامه آژانس (APC).</w:t>
      </w:r>
    </w:p>
    <w:p>
      <w:pPr>
        <w:spacing w:after="28" w:line="216" w:lineRule="auto"/>
        <w:ind w:left="259"/>
        <w:jc w:val="left"/>
      </w:pPr>
      <w:r>
        <w:rPr>
          <w:rFonts w:ascii="Arial" w:hAnsi="Arial"/>
          <w:color w:val="525252"/>
          <w:sz w:val="13"/>
        </w:rPr>
        <w:t>Agency Program Coordinators (APC).</w:t>
      </w:r>
    </w:p>
    <w:p>
      <w:pPr>
        <w:spacing w:after="20" w:line="223" w:lineRule="auto"/>
        <w:jc w:val="right"/>
        <w:bidi/>
      </w:pPr>
      <w:r>
        <w:rPr>
          <w:rFonts w:ascii="Arial" w:hAnsi="Arial"/>
          <w:sz w:val="16"/>
        </w:rPr>
        <w:t>217.27  APC فردی است (عضو یونیفرم، کارمند، پیمانکار یا تبعه خارجی) که به صورت کتبی توسط یک فرمانده یا مدیر به‌عنوان مسئول مدیریت برنامه GTCC تعیین شده است.</w:t>
      </w:r>
    </w:p>
    <w:p>
      <w:pPr>
        <w:spacing w:after="28" w:line="216" w:lineRule="auto"/>
        <w:ind w:left="259"/>
        <w:jc w:val="left"/>
      </w:pPr>
      <w:r>
        <w:rPr>
          <w:rFonts w:ascii="Arial" w:hAnsi="Arial"/>
          <w:color w:val="525252"/>
          <w:sz w:val="13"/>
        </w:rPr>
        <w:t>An APC is an individual (uniformed member, employee, contractor, or foreign national) designated in writing by a commander or director as responsible for the management of the GTCC program.</w:t>
      </w:r>
    </w:p>
    <w:p>
      <w:pPr>
        <w:spacing w:after="20" w:line="223" w:lineRule="auto"/>
        <w:jc w:val="right"/>
        <w:bidi/>
      </w:pPr>
      <w:r>
        <w:rPr>
          <w:rFonts w:ascii="Arial" w:hAnsi="Arial"/>
          <w:sz w:val="16"/>
        </w:rPr>
        <w:t>217.28  APCها مسئول مدیریت برنامه کارت سفر در سلسله مراتب خود هستند.</w:t>
      </w:r>
    </w:p>
    <w:p>
      <w:pPr>
        <w:spacing w:after="28" w:line="216" w:lineRule="auto"/>
        <w:ind w:left="259"/>
        <w:jc w:val="left"/>
      </w:pPr>
      <w:r>
        <w:rPr>
          <w:rFonts w:ascii="Arial" w:hAnsi="Arial"/>
          <w:color w:val="525252"/>
          <w:sz w:val="13"/>
        </w:rPr>
        <w:t>APCs are responsible for managing the travel card program within their hierarchy.</w:t>
      </w:r>
    </w:p>
    <w:p>
      <w:pPr>
        <w:spacing w:after="20" w:line="223" w:lineRule="auto"/>
        <w:jc w:val="right"/>
        <w:bidi/>
      </w:pPr>
      <w:r>
        <w:rPr>
          <w:rFonts w:ascii="Arial" w:hAnsi="Arial"/>
          <w:sz w:val="16"/>
        </w:rPr>
        <w:t>217.29  مقررات GTCC وزارت دفاع، سیاست‌ها و رویه‌های تعیین‌شده از طریق برنامه DAF GTCC را شرح می‌دهد.</w:t>
      </w:r>
    </w:p>
    <w:p>
      <w:pPr>
        <w:spacing w:after="28" w:line="216" w:lineRule="auto"/>
        <w:ind w:left="259"/>
        <w:jc w:val="left"/>
      </w:pPr>
      <w:r>
        <w:rPr>
          <w:rFonts w:ascii="Arial" w:hAnsi="Arial"/>
          <w:color w:val="525252"/>
          <w:sz w:val="13"/>
        </w:rPr>
        <w:t>Department of Defense GTCC Regulation describes policies and procedures set forth through the DAF GTCC program.</w:t>
      </w:r>
    </w:p>
    <w:p>
      <w:pPr>
        <w:spacing w:after="20" w:line="223" w:lineRule="auto"/>
        <w:jc w:val="right"/>
        <w:bidi/>
      </w:pPr>
      <w:r>
        <w:rPr>
          <w:rFonts w:ascii="Arial" w:hAnsi="Arial"/>
          <w:sz w:val="16"/>
        </w:rPr>
        <w:t>217.30  استفاده از کارت.</w:t>
      </w:r>
    </w:p>
    <w:p>
      <w:pPr>
        <w:spacing w:after="28" w:line="216" w:lineRule="auto"/>
        <w:ind w:left="259"/>
        <w:jc w:val="left"/>
      </w:pPr>
      <w:r>
        <w:rPr>
          <w:rFonts w:ascii="Arial" w:hAnsi="Arial"/>
          <w:color w:val="525252"/>
          <w:sz w:val="13"/>
        </w:rPr>
        <w:t>Card Use.</w:t>
      </w:r>
    </w:p>
    <w:p>
      <w:pPr>
        <w:spacing w:after="20" w:line="223" w:lineRule="auto"/>
        <w:jc w:val="right"/>
        <w:bidi/>
      </w:pPr>
      <w:r>
        <w:rPr>
          <w:rFonts w:ascii="Arial" w:hAnsi="Arial"/>
          <w:sz w:val="16"/>
        </w:rPr>
        <w:t>217.31  مگر در موارد دیگر معافیت، همه پرسنل وزارت دفاع ملزم به استفاده از GTCC با حمایت دولتی و صادر شده توسط فروشنده برای تمام هزینه‌های ناشی از سفرهای رسمی دولت هستند.</w:t>
      </w:r>
    </w:p>
    <w:p>
      <w:pPr>
        <w:spacing w:after="28" w:line="216" w:lineRule="auto"/>
        <w:ind w:left="259"/>
        <w:jc w:val="left"/>
      </w:pPr>
      <w:r>
        <w:rPr>
          <w:rFonts w:ascii="Arial" w:hAnsi="Arial"/>
          <w:color w:val="525252"/>
          <w:sz w:val="13"/>
        </w:rPr>
        <w:t>Unless otherwise exempted, all Department of Defense personnel are required to use the government-sponsored, vendor-issued GTCC for all expenses arising from official government travel.</w:t>
      </w:r>
    </w:p>
    <w:p>
      <w:pPr>
        <w:spacing w:after="20" w:line="223" w:lineRule="auto"/>
        <w:jc w:val="right"/>
        <w:bidi/>
      </w:pPr>
      <w:r>
        <w:rPr>
          <w:rFonts w:ascii="Arial" w:hAnsi="Arial"/>
          <w:sz w:val="16"/>
        </w:rPr>
        <w:t>217.32  این هزینه‌ها شامل اسکان، هزینه‌های حمل و نقل، حمل و نقل زمینی محلی، و هزینه‌های کرایه اتومبیل مجاز در سفارشات سفر است.</w:t>
      </w:r>
    </w:p>
    <w:p>
      <w:pPr>
        <w:spacing w:after="28" w:line="216" w:lineRule="auto"/>
        <w:ind w:left="259"/>
        <w:jc w:val="left"/>
      </w:pPr>
      <w:r>
        <w:rPr>
          <w:rFonts w:ascii="Arial" w:hAnsi="Arial"/>
          <w:color w:val="525252"/>
          <w:sz w:val="13"/>
        </w:rPr>
        <w:t>These expenses include lodging, transportation expenses, local ground transportation, and rental car expenses authorized on travel orders.</w:t>
      </w:r>
    </w:p>
    <w:p>
      <w:pPr>
        <w:spacing w:after="20" w:line="223" w:lineRule="auto"/>
        <w:jc w:val="right"/>
        <w:bidi/>
      </w:pPr>
      <w:r>
        <w:rPr>
          <w:rFonts w:ascii="Arial" w:hAnsi="Arial"/>
          <w:sz w:val="16"/>
        </w:rPr>
        <w:t>217.33  دارندگان کارت، در حالی که در وضعیت سفر رسمی هستند، می‌توانند از کارت برای هزینه‌های غیرقابل بازپرداخت جانبی سفر، مانند فیلم‌های اجاره‌ای، تماس‌های تلفنی شخصی، هزینه ورزش و نوشیدنی‌ها استفاده کنند، در صورتی که این هزینه‌ها بخشی از صورتحساب اتاق یا وعده غذایی جداگانه نیست.</w:t>
      </w:r>
    </w:p>
    <w:p>
      <w:pPr>
        <w:spacing w:after="28" w:line="216" w:lineRule="auto"/>
        <w:ind w:left="259"/>
        <w:jc w:val="left"/>
      </w:pPr>
      <w:r>
        <w:rPr>
          <w:rFonts w:ascii="Arial" w:hAnsi="Arial"/>
          <w:color w:val="525252"/>
          <w:sz w:val="13"/>
        </w:rPr>
        <w:t>Cardholders, while in an official travel status, may use the card for non-reimbursable incidental travel expenses, such as rental movies, personal telephone calls, exercise fees, and beverages when these charges are not part of a separate room billing or meal.</w:t>
      </w:r>
    </w:p>
    <w:p>
      <w:pPr>
        <w:spacing w:after="20" w:line="223" w:lineRule="auto"/>
        <w:jc w:val="right"/>
        <w:bidi/>
      </w:pPr>
      <w:r>
        <w:rPr>
          <w:rFonts w:ascii="Arial" w:hAnsi="Arial"/>
          <w:sz w:val="16"/>
        </w:rPr>
        <w:t>217.34  دارنده کارت ملزم به پرداخت کلیه هزینه‌ها (خواه</w:t>
      </w:r>
    </w:p>
    <w:p>
      <w:pPr>
        <w:spacing w:after="28" w:line="216" w:lineRule="auto"/>
        <w:ind w:left="259"/>
        <w:jc w:val="left"/>
      </w:pPr>
      <w:r>
        <w:rPr>
          <w:rFonts w:ascii="Arial" w:hAnsi="Arial"/>
          <w:color w:val="525252"/>
          <w:sz w:val="13"/>
        </w:rPr>
        <w:t>The cardholder is required to pay all charges (whether</w:t>
      </w:r>
    </w:p>
    <w:p>
      <w:r>
        <w:br w:type="page"/>
      </w:r>
    </w:p>
    <w:p>
      <w:pPr>
        <w:spacing w:after="60"/>
        <w:jc w:val="right"/>
        <w:bidi/>
      </w:pPr>
      <w:r>
        <w:rPr>
          <w:rFonts w:ascii="Arial" w:hAnsi="Arial"/>
          <w:b/>
          <w:color w:val="1F4D78"/>
          <w:sz w:val="19"/>
        </w:rPr>
        <w:t>هفتهٔ 218  |  صفحهٔ منبع: 234</w:t>
      </w:r>
    </w:p>
    <w:p>
      <w:pPr>
        <w:spacing w:after="20" w:line="223" w:lineRule="auto"/>
        <w:jc w:val="right"/>
        <w:bidi/>
      </w:pPr>
      <w:r>
        <w:rPr>
          <w:rFonts w:ascii="Arial" w:hAnsi="Arial"/>
          <w:sz w:val="16"/>
        </w:rPr>
        <w:t>218.01  قابل بازپرداخت یا غیرقابل بازپرداخت) از طریق تقسیم پرداخت.</w:t>
      </w:r>
    </w:p>
    <w:p>
      <w:pPr>
        <w:spacing w:after="28" w:line="216" w:lineRule="auto"/>
        <w:ind w:left="259"/>
        <w:jc w:val="left"/>
      </w:pPr>
      <w:r>
        <w:rPr>
          <w:rFonts w:ascii="Arial" w:hAnsi="Arial"/>
          <w:color w:val="525252"/>
          <w:sz w:val="13"/>
        </w:rPr>
        <w:t>reimbursable or non-reimbursable) via split disbursement.</w:t>
      </w:r>
    </w:p>
    <w:p>
      <w:pPr>
        <w:spacing w:after="20" w:line="223" w:lineRule="auto"/>
        <w:jc w:val="right"/>
        <w:bidi/>
      </w:pPr>
      <w:r>
        <w:rPr>
          <w:rFonts w:ascii="Arial" w:hAnsi="Arial"/>
          <w:sz w:val="16"/>
        </w:rPr>
        <w:t>218.02  ممکن است پیش پرداخت‌های نقدی با GTCC برای پرداخت هزینه‌های مربوط به سفر انجام شود.</w:t>
      </w:r>
    </w:p>
    <w:p>
      <w:pPr>
        <w:spacing w:after="28" w:line="216" w:lineRule="auto"/>
        <w:ind w:left="259"/>
        <w:jc w:val="left"/>
      </w:pPr>
      <w:r>
        <w:rPr>
          <w:rFonts w:ascii="Arial" w:hAnsi="Arial"/>
          <w:color w:val="525252"/>
          <w:sz w:val="13"/>
        </w:rPr>
        <w:t>Cash advances may be made with the GTCC to pay for travel-related expenses.</w:t>
      </w:r>
    </w:p>
    <w:p>
      <w:pPr>
        <w:spacing w:after="20" w:line="223" w:lineRule="auto"/>
        <w:jc w:val="right"/>
        <w:bidi/>
      </w:pPr>
      <w:r>
        <w:rPr>
          <w:rFonts w:ascii="Arial" w:hAnsi="Arial"/>
          <w:sz w:val="16"/>
        </w:rPr>
        <w:t>218.03  پیش پرداخت دستگاه عابر خودکار زودتر از سه روز کاری قبل از سفر برنامه‌ریزی شده دریافت نمی‌شود و محدود به هزینه‌های مجاز معاف از استفاده از کارت اجباری (غذا، اقلام جانبی و هزینه‌های متفرقه) است.</w:t>
      </w:r>
    </w:p>
    <w:p>
      <w:pPr>
        <w:spacing w:after="28" w:line="216" w:lineRule="auto"/>
        <w:ind w:left="259"/>
        <w:jc w:val="left"/>
      </w:pPr>
      <w:r>
        <w:rPr>
          <w:rFonts w:ascii="Arial" w:hAnsi="Arial"/>
          <w:color w:val="525252"/>
          <w:sz w:val="13"/>
        </w:rPr>
        <w:t>Automated teller machine advances will not be obtained earlier than three working days before scheduled travel and are limited to authorized expenses exempt from mandatory card usage (meals, incidentals, and miscellaneous expenses).</w:t>
      </w:r>
    </w:p>
    <w:p>
      <w:pPr>
        <w:spacing w:after="20" w:line="223" w:lineRule="auto"/>
        <w:jc w:val="right"/>
        <w:bidi/>
      </w:pPr>
      <w:r>
        <w:rPr>
          <w:rFonts w:ascii="Arial" w:hAnsi="Arial"/>
          <w:sz w:val="16"/>
        </w:rPr>
        <w:t>218.04  هزینه‌های تراکنش برای استفاده از دستگاه باجه‌های خودکار بخشی از هزینه جانبی روزانه است و بنابراین هزینه‌های قابل بازپرداخت جداگانه نیستند.</w:t>
      </w:r>
    </w:p>
    <w:p>
      <w:pPr>
        <w:spacing w:after="28" w:line="216" w:lineRule="auto"/>
        <w:ind w:left="259"/>
        <w:jc w:val="left"/>
      </w:pPr>
      <w:r>
        <w:rPr>
          <w:rFonts w:ascii="Arial" w:hAnsi="Arial"/>
          <w:color w:val="525252"/>
          <w:sz w:val="13"/>
        </w:rPr>
        <w:t>Transaction fees for automated teller machine use are part of the incidental expense portion of per diem and are therefore not separate reimbursable expenses.</w:t>
      </w:r>
    </w:p>
    <w:p>
      <w:pPr>
        <w:spacing w:after="20" w:line="223" w:lineRule="auto"/>
        <w:jc w:val="right"/>
        <w:bidi/>
      </w:pPr>
      <w:r>
        <w:rPr>
          <w:rFonts w:ascii="Arial" w:hAnsi="Arial"/>
          <w:sz w:val="16"/>
        </w:rPr>
        <w:t>218.05  تغییر دائمی هماهنگی ایستگاه.</w:t>
      </w:r>
    </w:p>
    <w:p>
      <w:pPr>
        <w:spacing w:after="28" w:line="216" w:lineRule="auto"/>
        <w:ind w:left="259"/>
        <w:jc w:val="left"/>
      </w:pPr>
      <w:r>
        <w:rPr>
          <w:rFonts w:ascii="Arial" w:hAnsi="Arial"/>
          <w:color w:val="525252"/>
          <w:sz w:val="13"/>
        </w:rPr>
        <w:t>Permanent Change of Station Coordination.</w:t>
      </w:r>
    </w:p>
    <w:p>
      <w:pPr>
        <w:spacing w:after="20" w:line="223" w:lineRule="auto"/>
        <w:jc w:val="right"/>
        <w:bidi/>
      </w:pPr>
      <w:r>
        <w:rPr>
          <w:rFonts w:ascii="Arial" w:hAnsi="Arial"/>
          <w:sz w:val="16"/>
        </w:rPr>
        <w:t>218.06  افراد ملزم به استفاده از GTCC در طول PCS هستند.</w:t>
      </w:r>
    </w:p>
    <w:p>
      <w:pPr>
        <w:spacing w:after="28" w:line="216" w:lineRule="auto"/>
        <w:ind w:left="259"/>
        <w:jc w:val="left"/>
      </w:pPr>
      <w:r>
        <w:rPr>
          <w:rFonts w:ascii="Arial" w:hAnsi="Arial"/>
          <w:color w:val="525252"/>
          <w:sz w:val="13"/>
        </w:rPr>
        <w:t>Individuals are required to use the GTCC during a PCS.</w:t>
      </w:r>
    </w:p>
    <w:p>
      <w:pPr>
        <w:spacing w:after="20" w:line="223" w:lineRule="auto"/>
        <w:jc w:val="right"/>
        <w:bidi/>
      </w:pPr>
      <w:r>
        <w:rPr>
          <w:rFonts w:ascii="Arial" w:hAnsi="Arial"/>
          <w:sz w:val="16"/>
        </w:rPr>
        <w:t>218.07  افزایش حد اعتبار و گزینه‌های پرداخت معوق برای تطبیق زمان سفر طولانی‌تر یک جابجایی PCS در دسترس هستند.</w:t>
      </w:r>
    </w:p>
    <w:p>
      <w:pPr>
        <w:spacing w:after="28" w:line="216" w:lineRule="auto"/>
        <w:ind w:left="259"/>
        <w:jc w:val="left"/>
      </w:pPr>
      <w:r>
        <w:rPr>
          <w:rFonts w:ascii="Arial" w:hAnsi="Arial"/>
          <w:color w:val="525252"/>
          <w:sz w:val="13"/>
        </w:rPr>
        <w:t>Credit limit increases and deferred payment options are available to accommodate the extended travel times of a PCS move.</w:t>
      </w:r>
    </w:p>
    <w:p>
      <w:pPr>
        <w:spacing w:after="20" w:line="223" w:lineRule="auto"/>
        <w:jc w:val="right"/>
        <w:bidi/>
      </w:pPr>
      <w:r>
        <w:rPr>
          <w:rFonts w:ascii="Arial" w:hAnsi="Arial"/>
          <w:sz w:val="16"/>
        </w:rPr>
        <w:t>218.08  صورت‌حساب‌های GTCC باید در حالی که در وضعیت PCS هستند جاری نگه داشته شوند.</w:t>
      </w:r>
    </w:p>
    <w:p>
      <w:pPr>
        <w:spacing w:after="28" w:line="216" w:lineRule="auto"/>
        <w:ind w:left="259"/>
        <w:jc w:val="left"/>
      </w:pPr>
      <w:r>
        <w:rPr>
          <w:rFonts w:ascii="Arial" w:hAnsi="Arial"/>
          <w:color w:val="525252"/>
          <w:sz w:val="13"/>
        </w:rPr>
        <w:t>GTCC bills must be kept current while in a PCS status.</w:t>
      </w:r>
    </w:p>
    <w:p>
      <w:pPr>
        <w:spacing w:after="20" w:line="223" w:lineRule="auto"/>
        <w:jc w:val="right"/>
        <w:bidi/>
      </w:pPr>
      <w:r>
        <w:rPr>
          <w:rFonts w:ascii="Arial" w:hAnsi="Arial"/>
          <w:sz w:val="16"/>
        </w:rPr>
        <w:t>218.09  دارنده کارت باید قبل از خروج از ایستگاه وظیفه قدیمی و دریافت APC پس از گزارش به ایستگاه وظیفه جدید، APC را که از دست داده است مطلع کند.</w:t>
      </w:r>
    </w:p>
    <w:p>
      <w:pPr>
        <w:spacing w:after="28" w:line="216" w:lineRule="auto"/>
        <w:ind w:left="259"/>
        <w:jc w:val="left"/>
      </w:pPr>
      <w:r>
        <w:rPr>
          <w:rFonts w:ascii="Arial" w:hAnsi="Arial"/>
          <w:color w:val="525252"/>
          <w:sz w:val="13"/>
        </w:rPr>
        <w:t>The cardholder must notify the losing APC before departing the old duty station and gaining APC upon reporting to the new duty station.</w:t>
      </w:r>
    </w:p>
    <w:p>
      <w:pPr>
        <w:spacing w:after="20" w:line="223" w:lineRule="auto"/>
        <w:jc w:val="right"/>
        <w:bidi/>
      </w:pPr>
      <w:r>
        <w:rPr>
          <w:rFonts w:ascii="Arial" w:hAnsi="Arial"/>
          <w:sz w:val="16"/>
        </w:rPr>
        <w:t>218.10  APC بازنده، حساب کارت سفر را به‌روزرسانی می‌کند تا وضعیت «مأموریت حیاتی» را منعکس کند و تاریخ آینده را در سیستم شرکت کارت سفر تعیین می‌کند تا حساب دارنده کارت براساس گزارش سفارش سفر PCS حداکثر تا تاریخ غیرفعال شود.</w:t>
      </w:r>
    </w:p>
    <w:p>
      <w:pPr>
        <w:spacing w:after="28" w:line="216" w:lineRule="auto"/>
        <w:ind w:left="259"/>
        <w:jc w:val="left"/>
      </w:pPr>
      <w:r>
        <w:rPr>
          <w:rFonts w:ascii="Arial" w:hAnsi="Arial"/>
          <w:color w:val="525252"/>
          <w:sz w:val="13"/>
        </w:rPr>
        <w:t>The losing APC will update the travel card account to reflect “mission critical” status and set a future date in the travel card company’s system to deactivate the cardholder’s account based on the PCS travel order report no later than date.</w:t>
      </w:r>
    </w:p>
    <w:p>
      <w:pPr>
        <w:spacing w:after="20" w:line="223" w:lineRule="auto"/>
        <w:jc w:val="right"/>
        <w:bidi/>
      </w:pPr>
      <w:r>
        <w:rPr>
          <w:rFonts w:ascii="Arial" w:hAnsi="Arial"/>
          <w:sz w:val="16"/>
        </w:rPr>
        <w:t>218.11  APC همچنین یک درخواست انتقال به فروشنده کارت سفر ارسال می‌کند، بنابراین فرد از سطح سلسله مراتب گزارش آن واحد حذف می‌شود.</w:t>
      </w:r>
    </w:p>
    <w:p>
      <w:pPr>
        <w:spacing w:after="28" w:line="216" w:lineRule="auto"/>
        <w:ind w:left="259"/>
        <w:jc w:val="left"/>
      </w:pPr>
      <w:r>
        <w:rPr>
          <w:rFonts w:ascii="Arial" w:hAnsi="Arial"/>
          <w:color w:val="525252"/>
          <w:sz w:val="13"/>
        </w:rPr>
        <w:t>The APC will also submit a transfer request to the travel card vendor, so the individual is removed from that unit’s reporting hierarchy level.</w:t>
      </w:r>
    </w:p>
    <w:p>
      <w:pPr>
        <w:spacing w:after="20" w:line="223" w:lineRule="auto"/>
        <w:jc w:val="right"/>
        <w:bidi/>
      </w:pPr>
      <w:r>
        <w:rPr>
          <w:rFonts w:ascii="Arial" w:hAnsi="Arial"/>
          <w:sz w:val="16"/>
        </w:rPr>
        <w:t>218.12  APC به دست آوردن اطمینان حاصل می‌کند که درخواست انتقال توسط فروشنده کارت سفر زمانی که عضو به ایستگاه جدید می‌رسد پردازش می‌شود تا اطلاعات حساب را بتوان به‌روز کرد.</w:t>
      </w:r>
    </w:p>
    <w:p>
      <w:pPr>
        <w:spacing w:after="28" w:line="216" w:lineRule="auto"/>
        <w:ind w:left="259"/>
        <w:jc w:val="left"/>
      </w:pPr>
      <w:r>
        <w:rPr>
          <w:rFonts w:ascii="Arial" w:hAnsi="Arial"/>
          <w:color w:val="525252"/>
          <w:sz w:val="13"/>
        </w:rPr>
        <w:t>The gaining APC will ensure the transfer request is processed by the travel card vendor when the member arrives at the new station so the account information can be updated.</w:t>
      </w:r>
    </w:p>
    <w:p>
      <w:pPr>
        <w:spacing w:after="20" w:line="223" w:lineRule="auto"/>
        <w:jc w:val="right"/>
        <w:bidi/>
      </w:pPr>
      <w:r>
        <w:rPr>
          <w:rFonts w:ascii="Arial" w:hAnsi="Arial"/>
          <w:sz w:val="16"/>
        </w:rPr>
        <w:t>218.13  APC در حال افزایش تاریخ غیرفعال‌سازی را در سیستم فروشنده کارت سفر نیز پاک می‌کند.</w:t>
      </w:r>
    </w:p>
    <w:p>
      <w:pPr>
        <w:spacing w:after="28" w:line="216" w:lineRule="auto"/>
        <w:ind w:left="259"/>
        <w:jc w:val="left"/>
      </w:pPr>
      <w:r>
        <w:rPr>
          <w:rFonts w:ascii="Arial" w:hAnsi="Arial"/>
          <w:color w:val="525252"/>
          <w:sz w:val="13"/>
        </w:rPr>
        <w:t>The gaining APC will also clear the deactivation date within the travel card vendor’s system.</w:t>
      </w:r>
    </w:p>
    <w:p>
      <w:pPr>
        <w:spacing w:after="20" w:line="223" w:lineRule="auto"/>
        <w:jc w:val="right"/>
        <w:bidi/>
      </w:pPr>
      <w:r>
        <w:rPr>
          <w:rFonts w:ascii="Arial" w:hAnsi="Arial"/>
          <w:sz w:val="16"/>
        </w:rPr>
        <w:t>218.14  نحوه پرداخت شرکت کارت.</w:t>
      </w:r>
    </w:p>
    <w:p>
      <w:pPr>
        <w:spacing w:after="28" w:line="216" w:lineRule="auto"/>
        <w:ind w:left="259"/>
        <w:jc w:val="left"/>
      </w:pPr>
      <w:r>
        <w:rPr>
          <w:rFonts w:ascii="Arial" w:hAnsi="Arial"/>
          <w:color w:val="525252"/>
          <w:sz w:val="13"/>
        </w:rPr>
        <w:t>How to Pay the Card Company.</w:t>
      </w:r>
    </w:p>
    <w:p>
      <w:pPr>
        <w:spacing w:after="20" w:line="223" w:lineRule="auto"/>
        <w:jc w:val="right"/>
        <w:bidi/>
      </w:pPr>
      <w:r>
        <w:rPr>
          <w:rFonts w:ascii="Arial" w:hAnsi="Arial"/>
          <w:sz w:val="16"/>
        </w:rPr>
        <w:t>218.15  فروشنده کارت سفر، صورتحساب‌های ماهانه مفصل را به دارندگان کارت ارائه می‌دهد.</w:t>
      </w:r>
    </w:p>
    <w:p>
      <w:pPr>
        <w:spacing w:after="28" w:line="216" w:lineRule="auto"/>
        <w:ind w:left="259"/>
        <w:jc w:val="left"/>
      </w:pPr>
      <w:r>
        <w:rPr>
          <w:rFonts w:ascii="Arial" w:hAnsi="Arial"/>
          <w:color w:val="525252"/>
          <w:sz w:val="13"/>
        </w:rPr>
        <w:t>The travel card vendor provides detailed monthly bills to cardholders.</w:t>
      </w:r>
    </w:p>
    <w:p>
      <w:pPr>
        <w:spacing w:after="20" w:line="223" w:lineRule="auto"/>
        <w:jc w:val="right"/>
        <w:bidi/>
      </w:pPr>
      <w:r>
        <w:rPr>
          <w:rFonts w:ascii="Arial" w:hAnsi="Arial"/>
          <w:sz w:val="16"/>
        </w:rPr>
        <w:t>218.16  دارندگان کارت مسئول پرداخت کامل مانده‌های معوق در صورت‌حساب ماهانه فروشنده کارت سفر هستند.</w:t>
      </w:r>
    </w:p>
    <w:p>
      <w:pPr>
        <w:spacing w:after="28" w:line="216" w:lineRule="auto"/>
        <w:ind w:left="259"/>
        <w:jc w:val="left"/>
      </w:pPr>
      <w:r>
        <w:rPr>
          <w:rFonts w:ascii="Arial" w:hAnsi="Arial"/>
          <w:color w:val="525252"/>
          <w:sz w:val="13"/>
        </w:rPr>
        <w:t>Cardholders are responsible for payment in full of outstanding balances due in the monthly billing statement from the travel card vendor.</w:t>
      </w:r>
    </w:p>
    <w:p>
      <w:pPr>
        <w:spacing w:after="20" w:line="223" w:lineRule="auto"/>
        <w:jc w:val="right"/>
        <w:bidi/>
      </w:pPr>
      <w:r>
        <w:rPr>
          <w:rFonts w:ascii="Arial" w:hAnsi="Arial"/>
          <w:sz w:val="16"/>
        </w:rPr>
        <w:t>218.17  پرداخت‌ها باید به سرعت در چرخه صورتحساب فعلی انجام شود.</w:t>
      </w:r>
    </w:p>
    <w:p>
      <w:pPr>
        <w:spacing w:after="28" w:line="216" w:lineRule="auto"/>
        <w:ind w:left="259"/>
        <w:jc w:val="left"/>
      </w:pPr>
      <w:r>
        <w:rPr>
          <w:rFonts w:ascii="Arial" w:hAnsi="Arial"/>
          <w:color w:val="525252"/>
          <w:sz w:val="13"/>
        </w:rPr>
        <w:t>Payments should be made promptly within the current billing cycle.</w:t>
      </w:r>
    </w:p>
    <w:p>
      <w:pPr>
        <w:spacing w:after="20" w:line="223" w:lineRule="auto"/>
        <w:jc w:val="right"/>
        <w:bidi/>
      </w:pPr>
      <w:r>
        <w:rPr>
          <w:rFonts w:ascii="Arial" w:hAnsi="Arial"/>
          <w:sz w:val="16"/>
        </w:rPr>
        <w:t>218.18  اعضای نیروهای مسلح نظامی باید از ویژگی تقسیم پرداخت در DTS استفاده کنند، که به‌طور خودکار هزینه‌های کارت اعتباری را که در سفر رسمی متحمل می‌شوند به فروشنده کارت اعتباری پرداخت می‌کند.</w:t>
      </w:r>
    </w:p>
    <w:p>
      <w:pPr>
        <w:spacing w:after="28" w:line="216" w:lineRule="auto"/>
        <w:ind w:left="259"/>
        <w:jc w:val="left"/>
      </w:pPr>
      <w:r>
        <w:rPr>
          <w:rFonts w:ascii="Arial" w:hAnsi="Arial"/>
          <w:color w:val="525252"/>
          <w:sz w:val="13"/>
        </w:rPr>
        <w:t>Military service members must use the split disbursement feature in DTS, which automatically pays the credit card vendor for credit card charges incurred while on official travel.</w:t>
      </w:r>
    </w:p>
    <w:p>
      <w:pPr>
        <w:spacing w:after="20" w:line="223" w:lineRule="auto"/>
        <w:jc w:val="right"/>
        <w:bidi/>
      </w:pPr>
      <w:r>
        <w:rPr>
          <w:rFonts w:ascii="Arial" w:hAnsi="Arial"/>
          <w:sz w:val="16"/>
        </w:rPr>
        <w:t>218.19  سوء استفاده از کارت.</w:t>
      </w:r>
    </w:p>
    <w:p>
      <w:pPr>
        <w:spacing w:after="28" w:line="216" w:lineRule="auto"/>
        <w:ind w:left="259"/>
        <w:jc w:val="left"/>
      </w:pPr>
      <w:r>
        <w:rPr>
          <w:rFonts w:ascii="Arial" w:hAnsi="Arial"/>
          <w:color w:val="525252"/>
          <w:sz w:val="13"/>
        </w:rPr>
        <w:t>Card Abuse.</w:t>
      </w:r>
    </w:p>
    <w:p>
      <w:pPr>
        <w:spacing w:after="20" w:line="223" w:lineRule="auto"/>
        <w:jc w:val="right"/>
        <w:bidi/>
      </w:pPr>
      <w:r>
        <w:rPr>
          <w:rFonts w:ascii="Arial" w:hAnsi="Arial"/>
          <w:sz w:val="16"/>
        </w:rPr>
        <w:t>218.20  دارنده کارت فقط زمانی که در وضعیت سفر رسمی است از GTCC استفاده خواهد کرد.</w:t>
      </w:r>
    </w:p>
    <w:p>
      <w:pPr>
        <w:spacing w:after="28" w:line="216" w:lineRule="auto"/>
        <w:ind w:left="259"/>
        <w:jc w:val="left"/>
      </w:pPr>
      <w:r>
        <w:rPr>
          <w:rFonts w:ascii="Arial" w:hAnsi="Arial"/>
          <w:color w:val="525252"/>
          <w:sz w:val="13"/>
        </w:rPr>
        <w:t>The cardholder will only use the GTCC while in official travel status.</w:t>
      </w:r>
    </w:p>
    <w:p>
      <w:pPr>
        <w:spacing w:after="20" w:line="223" w:lineRule="auto"/>
        <w:jc w:val="right"/>
        <w:bidi/>
      </w:pPr>
      <w:r>
        <w:rPr>
          <w:rFonts w:ascii="Arial" w:hAnsi="Arial"/>
          <w:sz w:val="16"/>
        </w:rPr>
        <w:t>218.21  فرماندهان یا ناظران سوء استفاده از GTCC را تحمل نخواهند کرد.</w:t>
      </w:r>
    </w:p>
    <w:p>
      <w:pPr>
        <w:spacing w:after="28" w:line="216" w:lineRule="auto"/>
        <w:ind w:left="259"/>
        <w:jc w:val="left"/>
      </w:pPr>
      <w:r>
        <w:rPr>
          <w:rFonts w:ascii="Arial" w:hAnsi="Arial"/>
          <w:color w:val="525252"/>
          <w:sz w:val="13"/>
        </w:rPr>
        <w:t>Commanders or supervisors will not tolerate the misuse of the GTCC.</w:t>
      </w:r>
    </w:p>
    <w:p>
      <w:pPr>
        <w:spacing w:after="20" w:line="223" w:lineRule="auto"/>
        <w:jc w:val="right"/>
        <w:bidi/>
      </w:pPr>
      <w:r>
        <w:rPr>
          <w:rFonts w:ascii="Arial" w:hAnsi="Arial"/>
          <w:sz w:val="16"/>
        </w:rPr>
        <w:t>218.22  دارندگان کارتی که از GTCC خود سوء استفاده می‌کنند، مشمول اقدامات اداری یا انضباطی مناسب می‌شوند.</w:t>
      </w:r>
    </w:p>
    <w:p>
      <w:pPr>
        <w:spacing w:after="28" w:line="216" w:lineRule="auto"/>
        <w:ind w:left="259"/>
        <w:jc w:val="left"/>
      </w:pPr>
      <w:r>
        <w:rPr>
          <w:rFonts w:ascii="Arial" w:hAnsi="Arial"/>
          <w:color w:val="525252"/>
          <w:sz w:val="13"/>
        </w:rPr>
        <w:t>Cardholders who misuse their GTCC are subject to appropriate administrative or disciplinary action.</w:t>
      </w:r>
    </w:p>
    <w:p>
      <w:pPr>
        <w:spacing w:after="20" w:line="223" w:lineRule="auto"/>
        <w:jc w:val="right"/>
        <w:bidi/>
      </w:pPr>
      <w:r>
        <w:rPr>
          <w:rFonts w:ascii="Arial" w:hAnsi="Arial"/>
          <w:sz w:val="16"/>
        </w:rPr>
        <w:t>218.23  بزهکاری.</w:t>
      </w:r>
    </w:p>
    <w:p>
      <w:pPr>
        <w:spacing w:after="28" w:line="216" w:lineRule="auto"/>
        <w:ind w:left="259"/>
        <w:jc w:val="left"/>
      </w:pPr>
      <w:r>
        <w:rPr>
          <w:rFonts w:ascii="Arial" w:hAnsi="Arial"/>
          <w:color w:val="525252"/>
          <w:sz w:val="13"/>
        </w:rPr>
        <w:t>Delinquencies.</w:t>
      </w:r>
    </w:p>
    <w:p>
      <w:pPr>
        <w:spacing w:after="20" w:line="223" w:lineRule="auto"/>
        <w:jc w:val="right"/>
        <w:bidi/>
      </w:pPr>
      <w:r>
        <w:rPr>
          <w:rFonts w:ascii="Arial" w:hAnsi="Arial"/>
          <w:sz w:val="16"/>
        </w:rPr>
        <w:t>218.24  دارندگان کارت مسئول پرداخت کامل مبلغ مندرج در صورتحساب ماهانه هستند.</w:t>
      </w:r>
    </w:p>
    <w:p>
      <w:pPr>
        <w:spacing w:after="28" w:line="216" w:lineRule="auto"/>
        <w:ind w:left="259"/>
        <w:jc w:val="left"/>
      </w:pPr>
      <w:r>
        <w:rPr>
          <w:rFonts w:ascii="Arial" w:hAnsi="Arial"/>
          <w:color w:val="525252"/>
          <w:sz w:val="13"/>
        </w:rPr>
        <w:t>Cardholders are responsible for payment in full of the amount stated on the monthly billing statement.</w:t>
      </w:r>
    </w:p>
    <w:p>
      <w:pPr>
        <w:spacing w:after="20" w:line="223" w:lineRule="auto"/>
        <w:jc w:val="right"/>
        <w:bidi/>
      </w:pPr>
      <w:r>
        <w:rPr>
          <w:rFonts w:ascii="Arial" w:hAnsi="Arial"/>
          <w:sz w:val="16"/>
        </w:rPr>
        <w:t>218.25  حساب‌هایی که به ۳۱ روز سررسید می‌رسند به حالت تعلیق در می‌آیند و دارنده کارت باید با هماهنگ‌کننده برنامه آژانس مربوطه خود (APC) تماس بگیرد تا مشکل را حل کند.</w:t>
      </w:r>
    </w:p>
    <w:p>
      <w:pPr>
        <w:spacing w:after="28" w:line="216" w:lineRule="auto"/>
        <w:ind w:left="259"/>
        <w:jc w:val="left"/>
      </w:pPr>
      <w:r>
        <w:rPr>
          <w:rFonts w:ascii="Arial" w:hAnsi="Arial"/>
          <w:color w:val="525252"/>
          <w:sz w:val="13"/>
        </w:rPr>
        <w:t>Accounts that reach 31 days past due will be suspended and the cardholder will need to contact their respective agency program coordinator (APC) to resolve the issue.</w:t>
      </w:r>
    </w:p>
    <w:p>
      <w:pPr>
        <w:spacing w:after="20" w:line="223" w:lineRule="auto"/>
        <w:jc w:val="right"/>
        <w:bidi/>
      </w:pPr>
      <w:r>
        <w:rPr>
          <w:rFonts w:ascii="Arial" w:hAnsi="Arial"/>
          <w:sz w:val="16"/>
        </w:rPr>
        <w:t>218.26  برای حساب‌هایی که ۶۱ روز از سررسید آنها می‌گذرد، فروشنده GTCC یک نامه رسیدگی به موقع و روش‌های جبران حقوق قریب‌الوقوع را مستقیما برای دارنده کارت ارسال می‌کند.</w:t>
      </w:r>
    </w:p>
    <w:p>
      <w:pPr>
        <w:spacing w:after="28" w:line="216" w:lineRule="auto"/>
        <w:ind w:left="259"/>
        <w:jc w:val="left"/>
      </w:pPr>
      <w:r>
        <w:rPr>
          <w:rFonts w:ascii="Arial" w:hAnsi="Arial"/>
          <w:color w:val="525252"/>
          <w:sz w:val="13"/>
        </w:rPr>
        <w:t>For accounts that reach 61 days past due, the GTCC vendor will send a due process letter and impending salary offset procedures directly to the cardholder.</w:t>
      </w:r>
    </w:p>
    <w:p>
      <w:pPr>
        <w:spacing w:after="20" w:line="223" w:lineRule="auto"/>
        <w:jc w:val="right"/>
        <w:bidi/>
      </w:pPr>
      <w:r>
        <w:rPr>
          <w:rFonts w:ascii="Arial" w:hAnsi="Arial"/>
          <w:sz w:val="16"/>
        </w:rPr>
        <w:t>218.27  این نامه به قصد ارسال حساب برای وضعیت تسویه حقوق توصیه می‌کند، مگر اینکه موجودی به‌طور کامل ظرف ۳۰ روز پرداخت شود یا یک طرح پرداخت کاهش‌یافته قابل قبول بین دارنده کارت و فروشنده GTCC حاصل شده باشد.</w:t>
      </w:r>
    </w:p>
    <w:p>
      <w:pPr>
        <w:spacing w:after="28" w:line="216" w:lineRule="auto"/>
        <w:ind w:left="259"/>
        <w:jc w:val="left"/>
      </w:pPr>
      <w:r>
        <w:rPr>
          <w:rFonts w:ascii="Arial" w:hAnsi="Arial"/>
          <w:color w:val="525252"/>
          <w:sz w:val="13"/>
        </w:rPr>
        <w:t>The letter will advise intent to submit account for salary offset status unless the balance is paid in full within 30 days, or an acceptable Reduced Payment Plan has been reached between the cardholder and the GTCC vendor.</w:t>
      </w:r>
    </w:p>
    <w:p>
      <w:pPr>
        <w:spacing w:after="20" w:line="223" w:lineRule="auto"/>
        <w:jc w:val="right"/>
        <w:bidi/>
      </w:pPr>
      <w:r>
        <w:rPr>
          <w:rFonts w:ascii="Arial" w:hAnsi="Arial"/>
          <w:sz w:val="16"/>
        </w:rPr>
        <w:t>218.28  اولین کارمزد تأخیر در دو سیکل به اضافه پانزده روز سررسید (روز ۷۵) دریافت می‌شود و سپس هزینه دیگری در هر دوره پس از آن محاسبه می‌شود، تا زمانی که مبلغ سررسید گذشته/مخلقه به‌طور کامل پرداخت شود.</w:t>
      </w:r>
    </w:p>
    <w:p>
      <w:pPr>
        <w:spacing w:after="28" w:line="216" w:lineRule="auto"/>
        <w:ind w:left="259"/>
        <w:jc w:val="left"/>
      </w:pPr>
      <w:r>
        <w:rPr>
          <w:rFonts w:ascii="Arial" w:hAnsi="Arial"/>
          <w:color w:val="525252"/>
          <w:sz w:val="13"/>
        </w:rPr>
        <w:t>The first late fee is charged at two cycles plus fifteen days past due (day 75) and then another fee is assessed each cycle thereafter, until the past due/delinquency amount is paid in full.</w:t>
      </w:r>
    </w:p>
    <w:p>
      <w:pPr>
        <w:spacing w:after="20" w:line="223" w:lineRule="auto"/>
        <w:jc w:val="right"/>
        <w:bidi/>
      </w:pPr>
      <w:r>
        <w:rPr>
          <w:rFonts w:ascii="Arial" w:hAnsi="Arial"/>
          <w:sz w:val="16"/>
        </w:rPr>
        <w:t>218.29  فروشنده کارت سفر، حساب‌هایی را که ۹۶ روز از سررسید آنها گذشته است، برای پردازش حقوق و دستمزد به خدمات مالی و حسابداری دفاعی (DFAS) ارسال می‌کند.</w:t>
      </w:r>
    </w:p>
    <w:p>
      <w:pPr>
        <w:spacing w:after="28" w:line="216" w:lineRule="auto"/>
        <w:ind w:left="259"/>
        <w:jc w:val="left"/>
      </w:pPr>
      <w:r>
        <w:rPr>
          <w:rFonts w:ascii="Arial" w:hAnsi="Arial"/>
          <w:color w:val="525252"/>
          <w:sz w:val="13"/>
        </w:rPr>
        <w:t>The travel card vendor will submit accounts that are 96 days past due for salary-offset processing to Defense Finance and Accounting Services (DFAS).</w:t>
      </w:r>
    </w:p>
    <w:p>
      <w:pPr>
        <w:spacing w:after="20" w:line="223" w:lineRule="auto"/>
        <w:jc w:val="right"/>
        <w:bidi/>
      </w:pPr>
      <w:r>
        <w:rPr>
          <w:rFonts w:ascii="Arial" w:hAnsi="Arial"/>
          <w:sz w:val="16"/>
        </w:rPr>
        <w:t>218.30  DFAS تاریخ شروع و توقف حقوق و تعداد و میزان پرداخت‌ها را محاسبه می‌کند.</w:t>
      </w:r>
    </w:p>
    <w:p>
      <w:pPr>
        <w:spacing w:after="28" w:line="216" w:lineRule="auto"/>
        <w:ind w:left="259"/>
        <w:jc w:val="left"/>
      </w:pPr>
      <w:r>
        <w:rPr>
          <w:rFonts w:ascii="Arial" w:hAnsi="Arial"/>
          <w:color w:val="525252"/>
          <w:sz w:val="13"/>
        </w:rPr>
        <w:t>DFAS will calculate the Salary Offset start and stop dates, and the number and amount of payments.</w:t>
      </w:r>
    </w:p>
    <w:p>
      <w:pPr>
        <w:spacing w:after="20" w:line="223" w:lineRule="auto"/>
        <w:jc w:val="right"/>
        <w:bidi/>
      </w:pPr>
      <w:r>
        <w:rPr>
          <w:rFonts w:ascii="Arial" w:hAnsi="Arial"/>
          <w:sz w:val="16"/>
        </w:rPr>
        <w:t>218.31  همچنین در صورت ثبت‌نام در وففست حقوق و غیرقابل بازپرداخت، به موجودی حساب اضافه می‌شود.</w:t>
      </w:r>
    </w:p>
    <w:p>
      <w:pPr>
        <w:spacing w:after="28" w:line="216" w:lineRule="auto"/>
        <w:ind w:left="259"/>
        <w:jc w:val="left"/>
      </w:pPr>
      <w:r>
        <w:rPr>
          <w:rFonts w:ascii="Arial" w:hAnsi="Arial"/>
          <w:color w:val="525252"/>
          <w:sz w:val="13"/>
        </w:rPr>
        <w:t>Fees will also be added to the balance on the account when it is enrolled in Salary Offset and are not reimbursable.</w:t>
      </w:r>
    </w:p>
    <w:p>
      <w:pPr>
        <w:spacing w:after="20" w:line="223" w:lineRule="auto"/>
        <w:jc w:val="right"/>
        <w:bidi/>
      </w:pPr>
      <w:r>
        <w:rPr>
          <w:rFonts w:ascii="Arial" w:hAnsi="Arial"/>
          <w:sz w:val="16"/>
        </w:rPr>
        <w:t>218.32  حساب‌های ۱۸۱ روز از سررسید، صرف نظر از اینکه دارنده کارت هنوز در پرداخت حقوق ثبت‌نام کرده باشد یا خیر و پرداخت‌ها همچنان انجام می‌شود، در وضعیت تخلیه در نظر گرفته می‌شوند.</w:t>
      </w:r>
    </w:p>
    <w:p>
      <w:pPr>
        <w:spacing w:after="28" w:line="216" w:lineRule="auto"/>
        <w:ind w:left="259"/>
        <w:jc w:val="left"/>
      </w:pPr>
      <w:r>
        <w:rPr>
          <w:rFonts w:ascii="Arial" w:hAnsi="Arial"/>
          <w:color w:val="525252"/>
          <w:sz w:val="13"/>
        </w:rPr>
        <w:t>Accounts 181 days past due will be considered in charged off status regardless of whether or not the cardholder is still enrolled in salary offset and payments are continuing to be made.</w:t>
      </w:r>
    </w:p>
    <w:p>
      <w:pPr>
        <w:spacing w:after="20" w:line="223" w:lineRule="auto"/>
        <w:jc w:val="right"/>
        <w:bidi/>
      </w:pPr>
      <w:r>
        <w:rPr>
          <w:rFonts w:ascii="Arial" w:hAnsi="Arial"/>
          <w:sz w:val="16"/>
        </w:rPr>
        <w:t>218.33  دارندگان کارت در این شرایط دیگر واجد شرایط بازگرداندن آنها نیستند، حتی زمانی که موجودی پرداخت شده باشد.</w:t>
      </w:r>
    </w:p>
    <w:p>
      <w:pPr>
        <w:spacing w:after="28" w:line="216" w:lineRule="auto"/>
        <w:ind w:left="259"/>
        <w:jc w:val="left"/>
      </w:pPr>
      <w:r>
        <w:rPr>
          <w:rFonts w:ascii="Arial" w:hAnsi="Arial"/>
          <w:color w:val="525252"/>
          <w:sz w:val="13"/>
        </w:rPr>
        <w:t>Cardholders in this situation are considered no longer eligible to be reinstated even when the balance is paid off.</w:t>
      </w:r>
    </w:p>
    <w:p>
      <w:r>
        <w:br w:type="page"/>
      </w:r>
    </w:p>
    <w:p>
      <w:pPr>
        <w:spacing w:after="60"/>
        <w:jc w:val="right"/>
        <w:bidi/>
      </w:pPr>
      <w:r>
        <w:rPr>
          <w:rFonts w:ascii="Arial" w:hAnsi="Arial"/>
          <w:b/>
          <w:color w:val="1F4D78"/>
          <w:sz w:val="19"/>
        </w:rPr>
        <w:t>هفتهٔ 219  |  صفحهٔ منبع: 235</w:t>
      </w:r>
    </w:p>
    <w:p>
      <w:pPr>
        <w:spacing w:before="60" w:after="28"/>
        <w:jc w:val="right"/>
        <w:bidi/>
      </w:pPr>
      <w:r>
        <w:rPr>
          <w:b/>
          <w:color w:val="1F4D78"/>
          <w:sz w:val="18"/>
        </w:rPr>
        <w:t>بخش 12C-مدیریت نیروی انسانی</w:t>
      </w:r>
    </w:p>
    <w:p>
      <w:pPr>
        <w:spacing w:after="20"/>
        <w:ind w:left="259"/>
        <w:jc w:val="left"/>
      </w:pPr>
      <w:r>
        <w:rPr>
          <w:color w:val="555555"/>
          <w:sz w:val="12"/>
        </w:rPr>
        <w:t>Section 12C—Manpower Management</w:t>
      </w:r>
    </w:p>
    <w:p>
      <w:pPr>
        <w:spacing w:before="60" w:after="28"/>
        <w:jc w:val="right"/>
        <w:bidi/>
      </w:pPr>
      <w:r>
        <w:rPr>
          <w:b/>
          <w:color w:val="1F4D78"/>
          <w:sz w:val="18"/>
        </w:rPr>
        <w:t>12.20. نیازهای نیروی انسانی</w:t>
      </w:r>
    </w:p>
    <w:p>
      <w:pPr>
        <w:spacing w:after="20"/>
        <w:ind w:left="259"/>
        <w:jc w:val="left"/>
      </w:pPr>
      <w:r>
        <w:rPr>
          <w:color w:val="555555"/>
          <w:sz w:val="12"/>
        </w:rPr>
        <w:t>12.20. Manpower Requirements</w:t>
      </w:r>
    </w:p>
    <w:p>
      <w:pPr>
        <w:spacing w:after="20" w:line="223" w:lineRule="auto"/>
        <w:jc w:val="right"/>
        <w:bidi/>
      </w:pPr>
      <w:r>
        <w:rPr>
          <w:rFonts w:ascii="Arial" w:hAnsi="Arial"/>
          <w:sz w:val="16"/>
        </w:rPr>
        <w:t>219.03  نیروی انسانی یک منبع محدود است که بخش قابل توجهی از بودجه USAF را شامل می‌شود.</w:t>
      </w:r>
    </w:p>
    <w:p>
      <w:pPr>
        <w:spacing w:after="28" w:line="216" w:lineRule="auto"/>
        <w:ind w:left="259"/>
        <w:jc w:val="left"/>
      </w:pPr>
      <w:r>
        <w:rPr>
          <w:rFonts w:ascii="Arial" w:hAnsi="Arial"/>
          <w:color w:val="525252"/>
          <w:sz w:val="13"/>
        </w:rPr>
        <w:t>Manpower is a constrained resource that comprises a significant portion of the USAF budget.</w:t>
      </w:r>
    </w:p>
    <w:p>
      <w:pPr>
        <w:spacing w:after="20" w:line="223" w:lineRule="auto"/>
        <w:jc w:val="right"/>
        <w:bidi/>
      </w:pPr>
      <w:r>
        <w:rPr>
          <w:rFonts w:ascii="Arial" w:hAnsi="Arial"/>
          <w:sz w:val="16"/>
        </w:rPr>
        <w:t>219.04  همه مأموریت‌ها و برنامه‌ها برای قدرت نهایی مجاز نظامی و غیرنظامی و توزیع درجه تعیین شده رقابت می‌کنند. بنابراین، باید طبق دستورالعمل‌های کنگره مطابقت داشته باشد.</w:t>
      </w:r>
    </w:p>
    <w:p>
      <w:pPr>
        <w:spacing w:after="28" w:line="216" w:lineRule="auto"/>
        <w:ind w:left="259"/>
        <w:jc w:val="left"/>
      </w:pPr>
      <w:r>
        <w:rPr>
          <w:rFonts w:ascii="Arial" w:hAnsi="Arial"/>
          <w:color w:val="525252"/>
          <w:sz w:val="13"/>
        </w:rPr>
        <w:t>All missions and programs compete for authorized military and civilian end-strength, and established grade distributions; therefore, must comply with guidelines as directed by Congress.</w:t>
      </w:r>
    </w:p>
    <w:p>
      <w:pPr>
        <w:spacing w:after="20" w:line="223" w:lineRule="auto"/>
        <w:jc w:val="right"/>
        <w:bidi/>
      </w:pPr>
      <w:r>
        <w:rPr>
          <w:rFonts w:ascii="Arial" w:hAnsi="Arial"/>
          <w:sz w:val="16"/>
        </w:rPr>
        <w:t>219.05  نیروی انسانی باید مطابق با نیازهای نیروی انسانی معتبر، در محدوده مالی و خطرات قابل قبول، همانطور که در دستورالعمل برنامه‌ریزی و برنامه‌ریزی دفاعی مشخص شده است، برنامه‌ریزی شود.</w:t>
      </w:r>
    </w:p>
    <w:p>
      <w:pPr>
        <w:spacing w:after="28" w:line="216" w:lineRule="auto"/>
        <w:ind w:left="259"/>
        <w:jc w:val="left"/>
      </w:pPr>
      <w:r>
        <w:rPr>
          <w:rFonts w:ascii="Arial" w:hAnsi="Arial"/>
          <w:color w:val="525252"/>
          <w:sz w:val="13"/>
        </w:rPr>
        <w:t>Manpower must be programmed in accordance with validated manpower requirements, within fiscal limits and acceptable risks, as identified in defense planning and programming guidance.</w:t>
      </w:r>
    </w:p>
    <w:p>
      <w:pPr>
        <w:spacing w:after="20" w:line="223" w:lineRule="auto"/>
        <w:jc w:val="right"/>
        <w:bidi/>
      </w:pPr>
      <w:r>
        <w:rPr>
          <w:rFonts w:ascii="Arial" w:hAnsi="Arial"/>
          <w:sz w:val="16"/>
        </w:rPr>
        <w:t>219.06  اداره نیروی انسانی، سازمان و منابع، بخش توسعه برنامه، منابع نیروی انسانی برنامه‌ریزی شده را بر اساس شناسه فرمان، کد عنصر برنامه، کد شناسایی منبع و کد کشور تخصیص می‌دهد.</w:t>
      </w:r>
    </w:p>
    <w:p>
      <w:pPr>
        <w:spacing w:after="28" w:line="216" w:lineRule="auto"/>
        <w:ind w:left="259"/>
        <w:jc w:val="left"/>
      </w:pPr>
      <w:r>
        <w:rPr>
          <w:rFonts w:ascii="Arial" w:hAnsi="Arial"/>
          <w:color w:val="525252"/>
          <w:sz w:val="13"/>
        </w:rPr>
        <w:t>The Directorate of Manpower, Organization and Resources, Program Development Division allocates programmed manpower resources by command identifier, program element code, resource identification code, and country state code.</w:t>
      </w:r>
    </w:p>
    <w:p>
      <w:pPr>
        <w:spacing w:after="20" w:line="223" w:lineRule="auto"/>
        <w:jc w:val="right"/>
        <w:bidi/>
      </w:pPr>
      <w:r>
        <w:rPr>
          <w:rFonts w:ascii="Arial" w:hAnsi="Arial"/>
          <w:sz w:val="16"/>
        </w:rPr>
        <w:t>219.07  این منابع نیروی انسانی با به‌روز رسانی سند نیروی انسانی واحد به مجوزهای نیروی انسانی تبدیل می‌شوند.</w:t>
      </w:r>
    </w:p>
    <w:p>
      <w:pPr>
        <w:spacing w:after="28" w:line="216" w:lineRule="auto"/>
        <w:ind w:left="259"/>
        <w:jc w:val="left"/>
      </w:pPr>
      <w:r>
        <w:rPr>
          <w:rFonts w:ascii="Arial" w:hAnsi="Arial"/>
          <w:color w:val="525252"/>
          <w:sz w:val="13"/>
        </w:rPr>
        <w:t>These manpower resources are translated into manpower authorizations by updating the unit manpower document.</w:t>
      </w:r>
    </w:p>
    <w:p>
      <w:pPr>
        <w:spacing w:after="20" w:line="223" w:lineRule="auto"/>
        <w:jc w:val="right"/>
        <w:bidi/>
      </w:pPr>
      <w:r>
        <w:rPr>
          <w:rFonts w:ascii="Arial" w:hAnsi="Arial"/>
          <w:sz w:val="16"/>
        </w:rPr>
        <w:t>219.08  دستورات اصلی باید از وسایلی غیر از درخواست‌های تغییر نیروی انسانی برنامه‌ریزی‌شده برای انجام مأموریت‌های کوتاه‌مدت یا نیازمندی‌های افزایش بار کاری استفاده کنند، مانند: (۱) استفاده از بودجه موجود و فرماندهی برنامه‌های استخدام غیرنظامی برای استخدام غیرنظامیان. (۲) استفاده از اضافه کاری، تمام وقت موقت، پاره وقت، یا استخدام بیش از حد پرسنل غیرنظامی؛ (۳) از طریق وجوه تخصیص حقوق نظامی، از مؤسسه ذخیره هوایی حمایت کنید. (۴) استفاده از پرسنل نظامی و غیرنظامی وظیفه موقت. و (۵) به دنبال خدمات قراردادی باشید.</w:t>
      </w:r>
    </w:p>
    <w:p>
      <w:pPr>
        <w:spacing w:after="28" w:line="216" w:lineRule="auto"/>
        <w:ind w:left="259"/>
        <w:jc w:val="left"/>
      </w:pPr>
      <w:r>
        <w:rPr>
          <w:rFonts w:ascii="Arial" w:hAnsi="Arial"/>
          <w:color w:val="525252"/>
          <w:sz w:val="13"/>
        </w:rPr>
        <w:t>Major commands should use means other than programmed manpower change requests to accomplish short-term mission or surge workload requirements, such as: (1) use available funds and command civilian employment plans to employ civilians; (2) use overtime, temporary full- time, part-time, or overhire of civilian personnel; (3) seek support from the Air Reserve Component via military pay appropriation funds; (4) utilize temporary duty military and civilian personnel; and (5) seek contract service.</w:t>
      </w:r>
    </w:p>
    <w:p>
      <w:pPr>
        <w:spacing w:after="20" w:line="223" w:lineRule="auto"/>
        <w:jc w:val="right"/>
        <w:bidi/>
      </w:pPr>
      <w:r>
        <w:rPr>
          <w:rFonts w:ascii="Arial" w:hAnsi="Arial"/>
          <w:sz w:val="16"/>
        </w:rPr>
        <w:t>219.09  تغییرات در الزامات نیروی انسانی نظامی و غیرنظامی خاص فرماندهی باید قبل از استفاده در فرآیند برنامه‌نویسی و منابع توسط HAF تأیید و تأیید شود.</w:t>
      </w:r>
    </w:p>
    <w:p>
      <w:pPr>
        <w:spacing w:after="28" w:line="216" w:lineRule="auto"/>
        <w:ind w:left="259"/>
        <w:jc w:val="left"/>
      </w:pPr>
      <w:r>
        <w:rPr>
          <w:rFonts w:ascii="Arial" w:hAnsi="Arial"/>
          <w:color w:val="525252"/>
          <w:sz w:val="13"/>
        </w:rPr>
        <w:t>Changes to command-specific military and civilian manpower requirements must be validated and approved by HAF before they can be used in the programming and resourcing process.</w:t>
      </w:r>
    </w:p>
    <w:p>
      <w:pPr>
        <w:spacing w:before="60" w:after="28"/>
        <w:jc w:val="right"/>
        <w:bidi/>
      </w:pPr>
      <w:r>
        <w:rPr>
          <w:b/>
          <w:color w:val="1F4D78"/>
          <w:sz w:val="18"/>
        </w:rPr>
        <w:t>12.21. تعیین نیازهای نیروی انسانی</w:t>
      </w:r>
    </w:p>
    <w:p>
      <w:pPr>
        <w:spacing w:after="20"/>
        <w:ind w:left="259"/>
        <w:jc w:val="left"/>
      </w:pPr>
      <w:r>
        <w:rPr>
          <w:color w:val="555555"/>
          <w:sz w:val="12"/>
        </w:rPr>
        <w:t>12.21. Determining Manpower Requirements</w:t>
      </w:r>
    </w:p>
    <w:p>
      <w:pPr>
        <w:spacing w:after="20" w:line="223" w:lineRule="auto"/>
        <w:jc w:val="right"/>
        <w:bidi/>
      </w:pPr>
      <w:r>
        <w:rPr>
          <w:rFonts w:ascii="Arial" w:hAnsi="Arial"/>
          <w:sz w:val="16"/>
        </w:rPr>
        <w:t>219.11  سه نوع نیروی انسانی برای انجام مأموریت USAF استفاده می‌شود: پرسنل نظامی، کارمندان غیرنظامی در حال خدمت و خدمات قراردادی.</w:t>
      </w:r>
    </w:p>
    <w:p>
      <w:pPr>
        <w:spacing w:after="28" w:line="216" w:lineRule="auto"/>
        <w:ind w:left="259"/>
        <w:jc w:val="left"/>
      </w:pPr>
      <w:r>
        <w:rPr>
          <w:rFonts w:ascii="Arial" w:hAnsi="Arial"/>
          <w:color w:val="525252"/>
          <w:sz w:val="13"/>
        </w:rPr>
        <w:t>Three types of manpower are used to conduct the USAF mission: military personnel, in-service civilian employees, and contracted services.</w:t>
      </w:r>
    </w:p>
    <w:p>
      <w:pPr>
        <w:spacing w:after="20" w:line="223" w:lineRule="auto"/>
        <w:jc w:val="right"/>
        <w:bidi/>
      </w:pPr>
      <w:r>
        <w:rPr>
          <w:rFonts w:ascii="Arial" w:hAnsi="Arial"/>
          <w:sz w:val="16"/>
        </w:rPr>
        <w:t>219.12  مطابق با رهنمودهای وزارت دفاع، سرویس‌ها پرسنل نظامی را فقط به سمت هایی اختصاص می‌دهند که مستقیما در پیگرد قانونی جنگ نقش دارند. طبق قانون، عرف یا سنت نظامی هستند. یا برای چرخش خارج از کشور، تقویت استقرار عملیاتی یا حفظ شغل مورد نیاز هستند.</w:t>
      </w:r>
    </w:p>
    <w:p>
      <w:pPr>
        <w:spacing w:after="28" w:line="216" w:lineRule="auto"/>
        <w:ind w:left="259"/>
        <w:jc w:val="left"/>
      </w:pPr>
      <w:r>
        <w:rPr>
          <w:rFonts w:ascii="Arial" w:hAnsi="Arial"/>
          <w:color w:val="525252"/>
          <w:sz w:val="13"/>
        </w:rPr>
        <w:t>In accordance with Department of Defense guidance, the services assign military personnel only to positions that directly contribute to the prosecution of war; are military by law, custom, or tradition; or are needed for overseas rotation, operational deployment augmentation, or career field sustainment.</w:t>
      </w:r>
    </w:p>
    <w:p>
      <w:pPr>
        <w:spacing w:after="20" w:line="223" w:lineRule="auto"/>
        <w:jc w:val="right"/>
        <w:bidi/>
      </w:pPr>
      <w:r>
        <w:rPr>
          <w:rFonts w:ascii="Arial" w:hAnsi="Arial"/>
          <w:sz w:val="16"/>
        </w:rPr>
        <w:t>219.13  فرآیند تعیین نیاز نیروی انسانی USAF به‌طور سیستماتیک حداقل نیروی انسانی ضروری مورد نیاز برای مؤثرترین و اقتصادی‌ترین انجام مأموریت‌ها و عملکردهای تأیید شده در محدودیت‌های سازمانی و منابع را شناسایی می‌کند.</w:t>
      </w:r>
    </w:p>
    <w:p>
      <w:pPr>
        <w:spacing w:after="28" w:line="216" w:lineRule="auto"/>
        <w:ind w:left="259"/>
        <w:jc w:val="left"/>
      </w:pPr>
      <w:r>
        <w:rPr>
          <w:rFonts w:ascii="Arial" w:hAnsi="Arial"/>
          <w:color w:val="525252"/>
          <w:sz w:val="13"/>
        </w:rPr>
        <w:t>The USAF manpower requirements determination process systematically identifies minimum-essential manpower required for the most effective and economical accomplishment of approved missions and functions within organizational and resource constraints.</w:t>
      </w:r>
    </w:p>
    <w:p>
      <w:pPr>
        <w:spacing w:after="20" w:line="223" w:lineRule="auto"/>
        <w:jc w:val="right"/>
        <w:bidi/>
      </w:pPr>
      <w:r>
        <w:rPr>
          <w:rFonts w:ascii="Arial" w:hAnsi="Arial"/>
          <w:sz w:val="16"/>
        </w:rPr>
        <w:t>219.14  تعیین نیروی انسانی نظامی صحیح مورد نیاز برای انجام دقیق‌ترین مأموریت‌های نیروی هوایی ایالات متحده در زمان جنگ، کلید راهبرد نظامی ملی است.</w:t>
      </w:r>
    </w:p>
    <w:p>
      <w:pPr>
        <w:spacing w:after="28" w:line="216" w:lineRule="auto"/>
        <w:ind w:left="259"/>
        <w:jc w:val="left"/>
      </w:pPr>
      <w:r>
        <w:rPr>
          <w:rFonts w:ascii="Arial" w:hAnsi="Arial"/>
          <w:color w:val="525252"/>
          <w:sz w:val="13"/>
        </w:rPr>
        <w:t>Determining the correct military manpower required to meet the USAF’s most stringent wartime missions is key to the national military strategy.</w:t>
      </w:r>
    </w:p>
    <w:p>
      <w:pPr>
        <w:spacing w:after="20" w:line="223" w:lineRule="auto"/>
        <w:jc w:val="right"/>
        <w:bidi/>
      </w:pPr>
      <w:r>
        <w:rPr>
          <w:rFonts w:ascii="Arial" w:hAnsi="Arial"/>
          <w:sz w:val="16"/>
        </w:rPr>
        <w:t>219.15  راهنمای برنامه‌ریزی دفاعی سناریوهای برنامه‌ریزی مورد استفاده برای اندازه و شکل دادن به نیروی کل را تعریف می‌کند.</w:t>
      </w:r>
    </w:p>
    <w:p>
      <w:pPr>
        <w:spacing w:after="28" w:line="216" w:lineRule="auto"/>
        <w:ind w:left="259"/>
        <w:jc w:val="left"/>
      </w:pPr>
      <w:r>
        <w:rPr>
          <w:rFonts w:ascii="Arial" w:hAnsi="Arial"/>
          <w:color w:val="525252"/>
          <w:sz w:val="13"/>
        </w:rPr>
        <w:t>The defense planning guidance defines the planning scenarios used to size and shape the Total Force.</w:t>
      </w:r>
    </w:p>
    <w:p>
      <w:pPr>
        <w:spacing w:after="20" w:line="223" w:lineRule="auto"/>
        <w:jc w:val="right"/>
        <w:bidi/>
      </w:pPr>
      <w:r>
        <w:rPr>
          <w:rFonts w:ascii="Arial" w:hAnsi="Arial"/>
          <w:sz w:val="16"/>
        </w:rPr>
        <w:t>219.16  مورد نیاز نیروی انسانی برای سخت‌ترین مرحله ساخت سناریو، از جمله نیروهای چرخشی مورد نیاز برای درگیری‌های طولانی، اندازه‌گیری می‌شود.</w:t>
      </w:r>
    </w:p>
    <w:p>
      <w:pPr>
        <w:spacing w:after="28" w:line="216" w:lineRule="auto"/>
        <w:ind w:left="259"/>
        <w:jc w:val="left"/>
      </w:pPr>
      <w:r>
        <w:rPr>
          <w:rFonts w:ascii="Arial" w:hAnsi="Arial"/>
          <w:color w:val="525252"/>
          <w:sz w:val="13"/>
        </w:rPr>
        <w:t>Manpower requirements are sized for the most demanding phase of the scenario construct, including rotational forces needed for prolonged conflicts.</w:t>
      </w:r>
    </w:p>
    <w:p>
      <w:pPr>
        <w:spacing w:after="20" w:line="223" w:lineRule="auto"/>
        <w:jc w:val="right"/>
        <w:bidi/>
      </w:pPr>
      <w:r>
        <w:rPr>
          <w:rFonts w:ascii="Arial" w:hAnsi="Arial"/>
          <w:sz w:val="16"/>
        </w:rPr>
        <w:t>219.17  این سناریوها ساختار نیرو و تصمیمات بودجه نظامی نیروی انسانی را هدایت می‌کنند.</w:t>
      </w:r>
    </w:p>
    <w:p>
      <w:pPr>
        <w:spacing w:after="28" w:line="216" w:lineRule="auto"/>
        <w:ind w:left="259"/>
        <w:jc w:val="left"/>
      </w:pPr>
      <w:r>
        <w:rPr>
          <w:rFonts w:ascii="Arial" w:hAnsi="Arial"/>
          <w:color w:val="525252"/>
          <w:sz w:val="13"/>
        </w:rPr>
        <w:t>These scenarios drive force structure and manpower military budgeting decisions.</w:t>
      </w:r>
    </w:p>
    <w:p>
      <w:pPr>
        <w:spacing w:after="20" w:line="223" w:lineRule="auto"/>
        <w:jc w:val="right"/>
        <w:bidi/>
      </w:pPr>
      <w:r>
        <w:rPr>
          <w:rFonts w:ascii="Arial" w:hAnsi="Arial"/>
          <w:sz w:val="16"/>
        </w:rPr>
        <w:t>219.18  نیروی انسانی و پرسنل پرواز سازمان به فرماندهان و مدیران عملیاتی USAF با کمی کردن عینی مورد نیاز نیروی انسانی برای توزیع منابع نیروی انسانی USAF کمک می‌کنند.</w:t>
      </w:r>
    </w:p>
    <w:p>
      <w:pPr>
        <w:spacing w:after="28" w:line="216" w:lineRule="auto"/>
        <w:ind w:left="259"/>
        <w:jc w:val="left"/>
      </w:pPr>
      <w:r>
        <w:rPr>
          <w:rFonts w:ascii="Arial" w:hAnsi="Arial"/>
          <w:color w:val="525252"/>
          <w:sz w:val="13"/>
        </w:rPr>
        <w:t>Manpower and organization flight personnel assist USAF commanders and functional managers by objectively quantifying manpower requirements for the distribution of USAF manpower resources.</w:t>
      </w:r>
    </w:p>
    <w:p>
      <w:pPr>
        <w:spacing w:after="20" w:line="223" w:lineRule="auto"/>
        <w:jc w:val="right"/>
        <w:bidi/>
      </w:pPr>
      <w:r>
        <w:rPr>
          <w:rFonts w:ascii="Arial" w:hAnsi="Arial"/>
          <w:sz w:val="16"/>
        </w:rPr>
        <w:t>219.19  خدمات کلیدی این شایستگی شامل توسعه استانداردهای نیروی انسانی در زمان صلح، الزامات نیروی انسانی در زمان جنگ، و اقدامات مدیریت خدمات تجاری، مانند رقابت عمومی-خصوصی، منبع یابی، و مهندسی مجدد فرآیند کسب و کار است.</w:t>
      </w:r>
    </w:p>
    <w:p>
      <w:pPr>
        <w:spacing w:after="28" w:line="216" w:lineRule="auto"/>
        <w:ind w:left="259"/>
        <w:jc w:val="left"/>
      </w:pPr>
      <w:r>
        <w:rPr>
          <w:rFonts w:ascii="Arial" w:hAnsi="Arial"/>
          <w:color w:val="525252"/>
          <w:sz w:val="13"/>
        </w:rPr>
        <w:t>Key services of this competency include peacetime manpower standards development, wartime manpower requirements, and commercial services management actions, such as public-private competition, in-sourcing, and business process reengineering.</w:t>
      </w:r>
    </w:p>
    <w:p>
      <w:pPr>
        <w:spacing w:before="60" w:after="28"/>
        <w:jc w:val="right"/>
        <w:bidi/>
      </w:pPr>
      <w:r>
        <w:rPr>
          <w:b/>
          <w:color w:val="1F4D78"/>
          <w:sz w:val="18"/>
        </w:rPr>
        <w:t>12.22. سند نیروی انسانی واحد</w:t>
      </w:r>
    </w:p>
    <w:p>
      <w:pPr>
        <w:spacing w:after="20"/>
        <w:ind w:left="259"/>
        <w:jc w:val="left"/>
      </w:pPr>
      <w:r>
        <w:rPr>
          <w:color w:val="555555"/>
          <w:sz w:val="12"/>
        </w:rPr>
        <w:t>12.22. Unit Manpower Document</w:t>
      </w:r>
    </w:p>
    <w:p>
      <w:pPr>
        <w:spacing w:after="20" w:line="223" w:lineRule="auto"/>
        <w:jc w:val="right"/>
        <w:bidi/>
      </w:pPr>
      <w:r>
        <w:rPr>
          <w:rFonts w:ascii="Arial" w:hAnsi="Arial"/>
          <w:sz w:val="16"/>
        </w:rPr>
        <w:t>219.21  طبق AFI ۳۸-۱۰۱، نیروی انسانی مورد نیاز به‌عنوان نیروی انسانی مورد نیاز برای انجام یک کار، مأموریت یا برنامه تعریف می‌شود.</w:t>
      </w:r>
    </w:p>
    <w:p>
      <w:pPr>
        <w:spacing w:after="28" w:line="216" w:lineRule="auto"/>
        <w:ind w:left="259"/>
        <w:jc w:val="left"/>
      </w:pPr>
      <w:r>
        <w:rPr>
          <w:rFonts w:ascii="Arial" w:hAnsi="Arial"/>
          <w:color w:val="525252"/>
          <w:sz w:val="13"/>
        </w:rPr>
        <w:t>According to AFI 38-101, a manpower requirement is defined as the manpower needed to accomplish a job, mission, or program.</w:t>
      </w:r>
    </w:p>
    <w:p>
      <w:pPr>
        <w:spacing w:after="20" w:line="223" w:lineRule="auto"/>
        <w:jc w:val="right"/>
        <w:bidi/>
      </w:pPr>
      <w:r>
        <w:rPr>
          <w:rFonts w:ascii="Arial" w:hAnsi="Arial"/>
          <w:sz w:val="16"/>
        </w:rPr>
        <w:t>219.22  نیاز به نیروی انسانی را می‌توان به‌عنوان مجوز نیروی انسانی تأمین شده یا نیاز بدون بودجه مستند کرد.</w:t>
      </w:r>
    </w:p>
    <w:p>
      <w:pPr>
        <w:spacing w:after="28" w:line="216" w:lineRule="auto"/>
        <w:ind w:left="259"/>
        <w:jc w:val="left"/>
      </w:pPr>
      <w:r>
        <w:rPr>
          <w:rFonts w:ascii="Arial" w:hAnsi="Arial"/>
          <w:color w:val="525252"/>
          <w:sz w:val="13"/>
        </w:rPr>
        <w:t>A manpower requirement can be documented as a funded manpower authorization or an unfunded requirement.</w:t>
      </w:r>
    </w:p>
    <w:p>
      <w:pPr>
        <w:spacing w:after="20" w:line="223" w:lineRule="auto"/>
        <w:jc w:val="right"/>
        <w:bidi/>
      </w:pPr>
      <w:r>
        <w:rPr>
          <w:rFonts w:ascii="Arial" w:hAnsi="Arial"/>
          <w:sz w:val="16"/>
        </w:rPr>
        <w:t>219.23  سند نیروی انسانی واحد (UMD) است</w:t>
      </w:r>
    </w:p>
    <w:p>
      <w:pPr>
        <w:spacing w:after="28" w:line="216" w:lineRule="auto"/>
        <w:ind w:left="259"/>
        <w:jc w:val="left"/>
      </w:pPr>
      <w:r>
        <w:rPr>
          <w:rFonts w:ascii="Arial" w:hAnsi="Arial"/>
          <w:color w:val="525252"/>
          <w:sz w:val="13"/>
        </w:rPr>
        <w:t>The Unit Manpower Document (UMD) is</w:t>
      </w:r>
    </w:p>
    <w:p>
      <w:r>
        <w:br w:type="page"/>
      </w:r>
    </w:p>
    <w:p>
      <w:pPr>
        <w:spacing w:after="60"/>
        <w:jc w:val="right"/>
        <w:bidi/>
      </w:pPr>
      <w:r>
        <w:rPr>
          <w:rFonts w:ascii="Arial" w:hAnsi="Arial"/>
          <w:b/>
          <w:color w:val="1F4D78"/>
          <w:sz w:val="19"/>
        </w:rPr>
        <w:t>هفتهٔ 220  |  صفحهٔ منبع: 236</w:t>
      </w:r>
    </w:p>
    <w:p>
      <w:pPr>
        <w:spacing w:after="20" w:line="223" w:lineRule="auto"/>
        <w:jc w:val="right"/>
        <w:bidi/>
      </w:pPr>
      <w:r>
        <w:rPr>
          <w:rFonts w:ascii="Arial" w:hAnsi="Arial"/>
          <w:sz w:val="16"/>
        </w:rPr>
        <w:t>220.01  سند اولیه که نیروی انسانی مورد نیاز برای انجام مأموریت واحد را منعکس می‌کند.</w:t>
      </w:r>
    </w:p>
    <w:p>
      <w:pPr>
        <w:spacing w:after="28" w:line="216" w:lineRule="auto"/>
        <w:ind w:left="259"/>
        <w:jc w:val="left"/>
      </w:pPr>
      <w:r>
        <w:rPr>
          <w:rFonts w:ascii="Arial" w:hAnsi="Arial"/>
          <w:color w:val="525252"/>
          <w:sz w:val="13"/>
        </w:rPr>
        <w:t>the primary document that reflects the manpower required to accomplish the unit mission.</w:t>
      </w:r>
    </w:p>
    <w:p>
      <w:pPr>
        <w:spacing w:after="20" w:line="223" w:lineRule="auto"/>
        <w:jc w:val="right"/>
        <w:bidi/>
      </w:pPr>
      <w:r>
        <w:rPr>
          <w:rFonts w:ascii="Arial" w:hAnsi="Arial"/>
          <w:sz w:val="16"/>
        </w:rPr>
        <w:t>220.02  محصولی است که توسط رایانه تولید می‌شود که نیازهای نیروی انسانی دارای بودجه و بدون بودجه را فهرست می‌کند که برای کمک به مدیریت منابع نیروی انسانی استفاده می‌شود.</w:t>
      </w:r>
    </w:p>
    <w:p>
      <w:pPr>
        <w:spacing w:after="28" w:line="216" w:lineRule="auto"/>
        <w:ind w:left="259"/>
        <w:jc w:val="left"/>
      </w:pPr>
      <w:r>
        <w:rPr>
          <w:rFonts w:ascii="Arial" w:hAnsi="Arial"/>
          <w:color w:val="525252"/>
          <w:sz w:val="13"/>
        </w:rPr>
        <w:t>It is a computer-generated product that lists unit funded and unfunded manpower requirements used to help manage manpower resources.</w:t>
      </w:r>
    </w:p>
    <w:p>
      <w:pPr>
        <w:spacing w:after="20" w:line="223" w:lineRule="auto"/>
        <w:jc w:val="right"/>
        <w:bidi/>
      </w:pPr>
      <w:r>
        <w:rPr>
          <w:rFonts w:ascii="Arial" w:hAnsi="Arial"/>
          <w:sz w:val="16"/>
        </w:rPr>
        <w:t>220.03  UMD حاوی عناصر داده‌ای است که ویژگی‌های موقعیت منحصربه‌فرد را شناسایی می‌کند، از جمله شماره موقعیت، کد تخصص نیروی هوایی، کد حساب عملکردی، کد نماد دفتر، درجه، نماد حسابداری پرسنل، و کد دلیل.</w:t>
      </w:r>
    </w:p>
    <w:p>
      <w:pPr>
        <w:spacing w:after="28" w:line="216" w:lineRule="auto"/>
        <w:ind w:left="259"/>
        <w:jc w:val="left"/>
      </w:pPr>
      <w:r>
        <w:rPr>
          <w:rFonts w:ascii="Arial" w:hAnsi="Arial"/>
          <w:color w:val="525252"/>
          <w:sz w:val="13"/>
        </w:rPr>
        <w:t>The UMD contains data elements that identify unique position attributes, to include position number, Air Force Specialty Code, functional account code, office symbol code, grade, personnel accounting symbol, and reason code.</w:t>
      </w:r>
    </w:p>
    <w:p>
      <w:pPr>
        <w:spacing w:after="20" w:line="223" w:lineRule="auto"/>
        <w:jc w:val="right"/>
        <w:bidi/>
      </w:pPr>
      <w:r>
        <w:rPr>
          <w:rFonts w:ascii="Arial" w:hAnsi="Arial"/>
          <w:sz w:val="16"/>
        </w:rPr>
        <w:t>220.04  ناظران باید به‌طور مرتب UMD را از نظر دقت بررسی کنند و از آن برای ردیابی نیروی انسانی مجاز خود استفاده کنند.</w:t>
      </w:r>
    </w:p>
    <w:p>
      <w:pPr>
        <w:spacing w:after="28" w:line="216" w:lineRule="auto"/>
        <w:ind w:left="259"/>
        <w:jc w:val="left"/>
      </w:pPr>
      <w:r>
        <w:rPr>
          <w:rFonts w:ascii="Arial" w:hAnsi="Arial"/>
          <w:color w:val="525252"/>
          <w:sz w:val="13"/>
        </w:rPr>
        <w:t>Supervisors should routinely check the UMD for accuracy and use it to track their authorized manpower strength.</w:t>
      </w:r>
    </w:p>
    <w:p>
      <w:pPr>
        <w:spacing w:after="20" w:line="223" w:lineRule="auto"/>
        <w:jc w:val="right"/>
        <w:bidi/>
      </w:pPr>
      <w:r>
        <w:rPr>
          <w:rFonts w:ascii="Arial" w:hAnsi="Arial"/>
          <w:sz w:val="16"/>
        </w:rPr>
        <w:t>220.05  اگر واحدی نیاز به تغییر نیاز موجود در UMD داشته باشد، درخواست تغییر نیروی انسانی با توجیه به سازمان نیروی انسانی خدمات‌دهنده ارائه می‌شود.</w:t>
      </w:r>
    </w:p>
    <w:p>
      <w:pPr>
        <w:spacing w:after="28" w:line="216" w:lineRule="auto"/>
        <w:ind w:left="259"/>
        <w:jc w:val="left"/>
      </w:pPr>
      <w:r>
        <w:rPr>
          <w:rFonts w:ascii="Arial" w:hAnsi="Arial"/>
          <w:color w:val="525252"/>
          <w:sz w:val="13"/>
        </w:rPr>
        <w:t>If a unit needs to change an existing requirement on the UMD, a manpower change request with justification is submitted to the servicing manpower organization.</w:t>
      </w:r>
    </w:p>
    <w:p>
      <w:pPr>
        <w:spacing w:after="20" w:line="223" w:lineRule="auto"/>
        <w:jc w:val="right"/>
        <w:bidi/>
      </w:pPr>
      <w:r>
        <w:rPr>
          <w:rFonts w:ascii="Arial" w:hAnsi="Arial"/>
          <w:sz w:val="16"/>
        </w:rPr>
        <w:t>220.06  تغییرات تأیید شده در UMD توسط یک اطلاعیه تغییر ایجاد شده توسط سیستم برنامه‌ریزی و اجرای نیروی انسانی منعکس می‌شود.</w:t>
      </w:r>
    </w:p>
    <w:p>
      <w:pPr>
        <w:spacing w:after="28" w:line="216" w:lineRule="auto"/>
        <w:ind w:left="259"/>
        <w:jc w:val="left"/>
      </w:pPr>
      <w:r>
        <w:rPr>
          <w:rFonts w:ascii="Arial" w:hAnsi="Arial"/>
          <w:color w:val="525252"/>
          <w:sz w:val="13"/>
        </w:rPr>
        <w:t>Approved changes to the UMD are reflected by a change notice generated by the manpower programming and execution system.</w:t>
      </w:r>
    </w:p>
    <w:p>
      <w:pPr>
        <w:spacing w:before="60" w:after="28"/>
        <w:jc w:val="right"/>
        <w:bidi/>
      </w:pPr>
      <w:r>
        <w:rPr>
          <w:b/>
          <w:color w:val="1F4D78"/>
          <w:sz w:val="18"/>
        </w:rPr>
        <w:t>12.23. پرواز نیروی انسانی و سازمانی</w:t>
      </w:r>
    </w:p>
    <w:p>
      <w:pPr>
        <w:spacing w:after="20"/>
        <w:ind w:left="259"/>
        <w:jc w:val="left"/>
      </w:pPr>
      <w:r>
        <w:rPr>
          <w:color w:val="555555"/>
          <w:sz w:val="12"/>
        </w:rPr>
        <w:t>12.23. Manpower and Organization Flight</w:t>
      </w:r>
    </w:p>
    <w:p>
      <w:pPr>
        <w:spacing w:after="20" w:line="223" w:lineRule="auto"/>
        <w:jc w:val="right"/>
        <w:bidi/>
      </w:pPr>
      <w:r>
        <w:rPr>
          <w:rFonts w:ascii="Arial" w:hAnsi="Arial"/>
          <w:sz w:val="16"/>
        </w:rPr>
        <w:t>220.08  نصب نیروی انسانی و سازمان پرواز عملکردهای مختلفی را برای کمک به مدیریت مؤثر منابع نیروی انسانی انجام می‌دهد.</w:t>
      </w:r>
    </w:p>
    <w:p>
      <w:pPr>
        <w:spacing w:after="28" w:line="216" w:lineRule="auto"/>
        <w:ind w:left="259"/>
        <w:jc w:val="left"/>
      </w:pPr>
      <w:r>
        <w:rPr>
          <w:rFonts w:ascii="Arial" w:hAnsi="Arial"/>
          <w:color w:val="525252"/>
          <w:sz w:val="13"/>
        </w:rPr>
        <w:t>The installation Manpower and Organization Flight performs a variety of functions to help effectively manage manpower resources.</w:t>
      </w:r>
    </w:p>
    <w:p>
      <w:pPr>
        <w:spacing w:after="20" w:line="223" w:lineRule="auto"/>
        <w:jc w:val="right"/>
        <w:bidi/>
      </w:pPr>
      <w:r>
        <w:rPr>
          <w:rFonts w:ascii="Arial" w:hAnsi="Arial"/>
          <w:sz w:val="16"/>
        </w:rPr>
        <w:t>220.09  شایستگی‌های اصلی نیروی انسانی و سازمان شامل ساختار سازمان، تعیین نیاز، تخصیص و کنترل برنامه و بهبود فرآیند است.</w:t>
      </w:r>
    </w:p>
    <w:p>
      <w:pPr>
        <w:spacing w:after="28" w:line="216" w:lineRule="auto"/>
        <w:ind w:left="259"/>
        <w:jc w:val="left"/>
      </w:pPr>
      <w:r>
        <w:rPr>
          <w:rFonts w:ascii="Arial" w:hAnsi="Arial"/>
          <w:color w:val="525252"/>
          <w:sz w:val="13"/>
        </w:rPr>
        <w:t>The core competencies of manpower and organization encompass organization structure, requirement determination, program allocation and control, and process improvement.</w:t>
      </w:r>
    </w:p>
    <w:p>
      <w:pPr>
        <w:spacing w:after="20" w:line="223" w:lineRule="auto"/>
        <w:jc w:val="right"/>
        <w:bidi/>
      </w:pPr>
      <w:r>
        <w:rPr>
          <w:rFonts w:ascii="Arial" w:hAnsi="Arial"/>
          <w:sz w:val="16"/>
        </w:rPr>
        <w:t>220.10  پرسنل درون پرواز، خدمات مدیریت منابع نیروی انسانی روزانه را ارائه می‌کنند، از جمله: مدیریت UMD، کمک به درخواست‌های تغییر نیروی انسانی، اطلاعیه‌های تغییر، و تغییرات ساختار سازمانی.</w:t>
      </w:r>
    </w:p>
    <w:p>
      <w:pPr>
        <w:spacing w:after="28" w:line="216" w:lineRule="auto"/>
        <w:ind w:left="259"/>
        <w:jc w:val="left"/>
      </w:pPr>
      <w:r>
        <w:rPr>
          <w:rFonts w:ascii="Arial" w:hAnsi="Arial"/>
          <w:color w:val="525252"/>
          <w:sz w:val="13"/>
        </w:rPr>
        <w:t>Personnel within the flight provide day-to-day manpower resource management services, to include: UMD management, assistance with manpower change requests, change notices, and organizational structure changes.</w:t>
      </w:r>
    </w:p>
    <w:p>
      <w:pPr>
        <w:spacing w:after="20" w:line="223" w:lineRule="auto"/>
        <w:jc w:val="right"/>
        <w:bidi/>
      </w:pPr>
      <w:r>
        <w:rPr>
          <w:rFonts w:ascii="Arial" w:hAnsi="Arial"/>
          <w:sz w:val="16"/>
        </w:rPr>
        <w:t>220.11  پرسنل نیروی انسانی و سازمان پرواز همچنین خدمات مدیریتی دیگری مانند مدیریت عملکرد، خدمات فعالیت تجاری، هوانوردان با برنامه نوآوری، بهبود مستمر فرآیند و مطالعات مشاوره مدیریت ارائه می‌دهند.</w:t>
      </w:r>
    </w:p>
    <w:p>
      <w:pPr>
        <w:spacing w:after="28" w:line="216" w:lineRule="auto"/>
        <w:ind w:left="259"/>
        <w:jc w:val="left"/>
      </w:pPr>
      <w:r>
        <w:rPr>
          <w:rFonts w:ascii="Arial" w:hAnsi="Arial"/>
          <w:color w:val="525252"/>
          <w:sz w:val="13"/>
        </w:rPr>
        <w:t>Manpower and Organization Flight personnel also provide other management services, such as performance management, commercial activity services, the Airmen Powered by Innovation Program, continuous process improvement, and management advisory studies.</w:t>
      </w:r>
    </w:p>
    <w:p>
      <w:pPr>
        <w:spacing w:before="60" w:after="28"/>
        <w:jc w:val="right"/>
        <w:bidi/>
      </w:pPr>
      <w:r>
        <w:rPr>
          <w:b/>
          <w:color w:val="1F4D78"/>
          <w:sz w:val="18"/>
        </w:rPr>
        <w:t>12.24. مدیریت خدمات بازرگانی</w:t>
      </w:r>
    </w:p>
    <w:p>
      <w:pPr>
        <w:spacing w:after="20"/>
        <w:ind w:left="259"/>
        <w:jc w:val="left"/>
      </w:pPr>
      <w:r>
        <w:rPr>
          <w:color w:val="555555"/>
          <w:sz w:val="12"/>
        </w:rPr>
        <w:t>12.24. Commercial Services Management</w:t>
      </w:r>
    </w:p>
    <w:p>
      <w:pPr>
        <w:spacing w:after="20" w:line="223" w:lineRule="auto"/>
        <w:jc w:val="right"/>
        <w:bidi/>
      </w:pPr>
      <w:r>
        <w:rPr>
          <w:rFonts w:ascii="Arial" w:hAnsi="Arial"/>
          <w:sz w:val="16"/>
        </w:rPr>
        <w:t>220.13  مدیریت خدمات تجاری برنامه‌ای است که برای بهبود عملکرد USAF با استفاده از انواع ابزارهای مدیریتی از جمله منبع یابی رقابتی، درون منبع و پاسخگویی پس از مسابقه طراحی شده است.</w:t>
      </w:r>
    </w:p>
    <w:p>
      <w:pPr>
        <w:spacing w:after="28" w:line="216" w:lineRule="auto"/>
        <w:ind w:left="259"/>
        <w:jc w:val="left"/>
      </w:pPr>
      <w:r>
        <w:rPr>
          <w:rFonts w:ascii="Arial" w:hAnsi="Arial"/>
          <w:color w:val="525252"/>
          <w:sz w:val="13"/>
        </w:rPr>
        <w:t>Commercial Services Management is a program designed to improve USAF functions using a variety of management tools including competitive sourcing, in-sourcing, and post-competition accountability.</w:t>
      </w:r>
    </w:p>
    <w:p>
      <w:pPr>
        <w:spacing w:after="20" w:line="223" w:lineRule="auto"/>
        <w:jc w:val="right"/>
        <w:bidi/>
      </w:pPr>
      <w:r>
        <w:rPr>
          <w:rFonts w:ascii="Arial" w:hAnsi="Arial"/>
          <w:sz w:val="16"/>
        </w:rPr>
        <w:t>220.14  فرماندهی اصلی سازمان نیروی انسانی و دفتر منابع، وظیفه نیروی انسانی است که مسئولیت نظارت بر مدیریت خدمات تجاری در سطوح فرماندهی و ارائه راهنمایی به پروازهای نیروی انسانی و سازمان برای اجرای برنامه مدیریت خدمات بازرگانی در جناح‌های مربوطه را بر عهده دارد.</w:t>
      </w:r>
    </w:p>
    <w:p>
      <w:pPr>
        <w:spacing w:after="28" w:line="216" w:lineRule="auto"/>
        <w:ind w:left="259"/>
        <w:jc w:val="left"/>
      </w:pPr>
      <w:r>
        <w:rPr>
          <w:rFonts w:ascii="Arial" w:hAnsi="Arial"/>
          <w:color w:val="525252"/>
          <w:sz w:val="13"/>
        </w:rPr>
        <w:t>The major command Manpower Organization and Resources Office is the manpower function responsible for providing commercial services management oversight at command levels and providing guidance to Manpower and Organization Flights for implementation of the Commercial Services Management Program at the respective wings.</w:t>
      </w:r>
    </w:p>
    <w:p>
      <w:pPr>
        <w:spacing w:after="20" w:line="223" w:lineRule="auto"/>
        <w:jc w:val="right"/>
        <w:bidi/>
      </w:pPr>
      <w:r>
        <w:rPr>
          <w:rFonts w:ascii="Arial" w:hAnsi="Arial"/>
          <w:sz w:val="16"/>
        </w:rPr>
        <w:t>220.15  سه هدف اصلی این برنامه عبارتند از: حفظ آمادگی، بهبود عملکرد و کیفیت از طریق انجام تجارت کارآمدتر و مقرون به صرفه‌تر، و تمرکز پرسنل و منابع موجود بر مأموریت‌های اصلی USAF.</w:t>
      </w:r>
    </w:p>
    <w:p>
      <w:pPr>
        <w:spacing w:after="28" w:line="216" w:lineRule="auto"/>
        <w:ind w:left="259"/>
        <w:jc w:val="left"/>
      </w:pPr>
      <w:r>
        <w:rPr>
          <w:rFonts w:ascii="Arial" w:hAnsi="Arial"/>
          <w:color w:val="525252"/>
          <w:sz w:val="13"/>
        </w:rPr>
        <w:t>The three principal goals of the program are to sustain readiness, improve performance and quality by doing business more efficiently and cost effectively, and focus available personnel and resources on core USAF missions.</w:t>
      </w:r>
    </w:p>
    <w:p>
      <w:pPr>
        <w:spacing w:after="20" w:line="223" w:lineRule="auto"/>
        <w:jc w:val="right"/>
        <w:bidi/>
      </w:pPr>
      <w:r>
        <w:rPr>
          <w:rFonts w:ascii="Arial" w:hAnsi="Arial"/>
          <w:sz w:val="16"/>
        </w:rPr>
        <w:t>220.16  مدیریت خدمات بازرگانی بر مهارت‌های ضروری نظامی یا آن دسته از وظایفی که ذاتا دولتی هستند تأثیری نخواهد داشت.</w:t>
      </w:r>
    </w:p>
    <w:p>
      <w:pPr>
        <w:spacing w:after="28" w:line="216" w:lineRule="auto"/>
        <w:ind w:left="259"/>
        <w:jc w:val="left"/>
      </w:pPr>
      <w:r>
        <w:rPr>
          <w:rFonts w:ascii="Arial" w:hAnsi="Arial"/>
          <w:color w:val="525252"/>
          <w:sz w:val="13"/>
        </w:rPr>
        <w:t>Commercial Services Management will not affect military-essential skills or those functions that are inherently governmental.</w:t>
      </w:r>
    </w:p>
    <w:p>
      <w:pPr>
        <w:spacing w:after="20" w:line="223" w:lineRule="auto"/>
        <w:jc w:val="right"/>
        <w:bidi/>
      </w:pPr>
      <w:r>
        <w:rPr>
          <w:rFonts w:ascii="Arial" w:hAnsi="Arial"/>
          <w:sz w:val="16"/>
        </w:rPr>
        <w:t>220.17  آژانس تجزیه و تحلیل نیروی انسانی نیروی هوایی ابزارها، الگوها و کتاب‌های راهنما را توسعه و نگهداری می‌کند تا زمینه را برای اجرای برنامه مدیریت خدمات بازرگانی، مدیریت فهرست فعالیت‌های ذاتی دولتی/تجاری، نظارت بر مسئولیت‌پذیری پس از مسابقه، و پشتیبانی میدانی از طرح‌های مدیریت خدمات تجاری را فراهم کند.</w:t>
      </w:r>
    </w:p>
    <w:p>
      <w:pPr>
        <w:spacing w:after="28" w:line="216" w:lineRule="auto"/>
        <w:ind w:left="259"/>
        <w:jc w:val="left"/>
      </w:pPr>
      <w:r>
        <w:rPr>
          <w:rFonts w:ascii="Arial" w:hAnsi="Arial"/>
          <w:color w:val="525252"/>
          <w:sz w:val="13"/>
        </w:rPr>
        <w:t>The Air Force Manpower Analysis Agency develops and maintains tools, templates, and guidebooks to enable the field to execute the Commercial Services Management Program, administers the inherently governmental/commercial activities inventory, monitors post competition accountability, and provides field support on Commercial Services Management initiatives.</w:t>
      </w:r>
    </w:p>
    <w:p>
      <w:pPr>
        <w:spacing w:before="60" w:after="28"/>
        <w:jc w:val="right"/>
        <w:bidi/>
      </w:pPr>
      <w:r>
        <w:rPr>
          <w:b/>
          <w:color w:val="1F4D78"/>
          <w:sz w:val="18"/>
        </w:rPr>
        <w:t>12.25. فرآیند منبع یابی رقابتی</w:t>
      </w:r>
    </w:p>
    <w:p>
      <w:pPr>
        <w:spacing w:after="20"/>
        <w:ind w:left="259"/>
        <w:jc w:val="left"/>
      </w:pPr>
      <w:r>
        <w:rPr>
          <w:color w:val="555555"/>
          <w:sz w:val="12"/>
        </w:rPr>
        <w:t>12.25. Competitive Sourcing Process</w:t>
      </w:r>
    </w:p>
    <w:p>
      <w:pPr>
        <w:spacing w:after="20" w:line="223" w:lineRule="auto"/>
        <w:jc w:val="right"/>
        <w:bidi/>
      </w:pPr>
      <w:r>
        <w:rPr>
          <w:rFonts w:ascii="Arial" w:hAnsi="Arial"/>
          <w:sz w:val="16"/>
        </w:rPr>
        <w:t>220.19  منبع یابی رقابتی با یافتن راه‌های کارآمدتر برای انجام یک عملکرد خاص، پس انداز ایجاد می‌کند.</w:t>
      </w:r>
    </w:p>
    <w:p>
      <w:pPr>
        <w:spacing w:after="28" w:line="216" w:lineRule="auto"/>
        <w:ind w:left="259"/>
        <w:jc w:val="left"/>
      </w:pPr>
      <w:r>
        <w:rPr>
          <w:rFonts w:ascii="Arial" w:hAnsi="Arial"/>
          <w:color w:val="525252"/>
          <w:sz w:val="13"/>
        </w:rPr>
        <w:t>Competitive sourcing generates savings by finding more efficient ways to accomplish a particular function.</w:t>
      </w:r>
    </w:p>
    <w:p>
      <w:pPr>
        <w:spacing w:after="20" w:line="223" w:lineRule="auto"/>
        <w:jc w:val="right"/>
        <w:bidi/>
      </w:pPr>
      <w:r>
        <w:rPr>
          <w:rFonts w:ascii="Arial" w:hAnsi="Arial"/>
          <w:sz w:val="16"/>
        </w:rPr>
        <w:t>220.20  مطالعه منبع یابی رقابتی یک رقابت دولتی-خصوصی است که هزینه کل عملیات داخلی یک فعالیت را با هزینه کل عملکرد بخش خصوصی همان فعالیت مقایسه می‌کند تا مشخص کند که کدام رویکرد اقتصادی‌تر یا کارآمدتر است.</w:t>
      </w:r>
    </w:p>
    <w:p>
      <w:pPr>
        <w:spacing w:after="28" w:line="216" w:lineRule="auto"/>
        <w:ind w:left="259"/>
        <w:jc w:val="left"/>
      </w:pPr>
      <w:r>
        <w:rPr>
          <w:rFonts w:ascii="Arial" w:hAnsi="Arial"/>
          <w:color w:val="525252"/>
          <w:sz w:val="13"/>
        </w:rPr>
        <w:t>A competitive sourcing study is a public-private competition that compares the total cost of the in-house government operation of an activity to the total cost of private sector performance of the same activity to determine which is the most economical or efficient approach.</w:t>
      </w:r>
    </w:p>
    <w:p>
      <w:pPr>
        <w:spacing w:after="20" w:line="223" w:lineRule="auto"/>
        <w:jc w:val="right"/>
        <w:bidi/>
      </w:pPr>
      <w:r>
        <w:rPr>
          <w:rFonts w:ascii="Arial" w:hAnsi="Arial"/>
          <w:sz w:val="16"/>
        </w:rPr>
        <w:t>220.21  در یک مطالعه منبع یابی رقابتی، مأموریت اساسا بدون تغییر باقی می‌ماند.</w:t>
      </w:r>
    </w:p>
    <w:p>
      <w:pPr>
        <w:spacing w:after="28" w:line="216" w:lineRule="auto"/>
        <w:ind w:left="259"/>
        <w:jc w:val="left"/>
      </w:pPr>
      <w:r>
        <w:rPr>
          <w:rFonts w:ascii="Arial" w:hAnsi="Arial"/>
          <w:color w:val="525252"/>
          <w:sz w:val="13"/>
        </w:rPr>
        <w:t>In a competitive sourcing study, the mission remains essentially unchanged.</w:t>
      </w:r>
    </w:p>
    <w:p>
      <w:pPr>
        <w:spacing w:after="20" w:line="223" w:lineRule="auto"/>
        <w:jc w:val="right"/>
        <w:bidi/>
      </w:pPr>
      <w:r>
        <w:rPr>
          <w:rFonts w:ascii="Arial" w:hAnsi="Arial"/>
          <w:sz w:val="16"/>
        </w:rPr>
        <w:t>220.22  این ترکیب نیروی کار است که تغییر می‌کند.</w:t>
      </w:r>
    </w:p>
    <w:p>
      <w:pPr>
        <w:spacing w:after="28" w:line="216" w:lineRule="auto"/>
        <w:ind w:left="259"/>
        <w:jc w:val="left"/>
      </w:pPr>
      <w:r>
        <w:rPr>
          <w:rFonts w:ascii="Arial" w:hAnsi="Arial"/>
          <w:color w:val="525252"/>
          <w:sz w:val="13"/>
        </w:rPr>
        <w:t>It is the composition of the workforce that changes.</w:t>
      </w:r>
    </w:p>
    <w:p>
      <w:pPr>
        <w:spacing w:after="20" w:line="223" w:lineRule="auto"/>
        <w:jc w:val="right"/>
        <w:bidi/>
      </w:pPr>
      <w:r>
        <w:rPr>
          <w:rFonts w:ascii="Arial" w:hAnsi="Arial"/>
          <w:sz w:val="16"/>
        </w:rPr>
        <w:t>220.23  در جایی که سوئیترهای آبی (پرسنل نظامی) در ابتدا مأموریت را انجام می‌دادند، ارائه‌دهنده خدمات حاصل از کارمندان دولت یا کارمندان قراردادی بخش خصوصی تشکیل می‌شود.</w:t>
      </w:r>
    </w:p>
    <w:p>
      <w:pPr>
        <w:spacing w:after="28" w:line="216" w:lineRule="auto"/>
        <w:ind w:left="259"/>
        <w:jc w:val="left"/>
      </w:pPr>
      <w:r>
        <w:rPr>
          <w:rFonts w:ascii="Arial" w:hAnsi="Arial"/>
          <w:color w:val="525252"/>
          <w:sz w:val="13"/>
        </w:rPr>
        <w:t>Where blue suiters (military personnel) were initially performing the mission, the resulting service provider will be made up of either civil servants or private sector contract employees.</w:t>
      </w:r>
    </w:p>
    <w:p>
      <w:pPr>
        <w:spacing w:after="20" w:line="223" w:lineRule="auto"/>
        <w:jc w:val="right"/>
        <w:bidi/>
      </w:pPr>
      <w:r>
        <w:rPr>
          <w:rFonts w:ascii="Arial" w:hAnsi="Arial"/>
          <w:sz w:val="16"/>
        </w:rPr>
        <w:t>220.24  یک مطالعه منبع یابی رقابتی، پرسنل نظامی را برای انجام سایر فعالیت‌های اساسی نظامی آزاد می‌کند.</w:t>
      </w:r>
    </w:p>
    <w:p>
      <w:pPr>
        <w:spacing w:after="28" w:line="216" w:lineRule="auto"/>
        <w:ind w:left="259"/>
        <w:jc w:val="left"/>
      </w:pPr>
      <w:r>
        <w:rPr>
          <w:rFonts w:ascii="Arial" w:hAnsi="Arial"/>
          <w:color w:val="525252"/>
          <w:sz w:val="13"/>
        </w:rPr>
        <w:t>A competitive sourcing study frees up military personnel to perform other core military essential activities.</w:t>
      </w:r>
    </w:p>
    <w:p>
      <w:r>
        <w:br w:type="page"/>
      </w:r>
    </w:p>
    <w:p>
      <w:pPr>
        <w:spacing w:after="60"/>
        <w:jc w:val="right"/>
        <w:bidi/>
      </w:pPr>
      <w:r>
        <w:rPr>
          <w:rFonts w:ascii="Arial" w:hAnsi="Arial"/>
          <w:b/>
          <w:color w:val="1F4D78"/>
          <w:sz w:val="19"/>
        </w:rPr>
        <w:t>هفتهٔ 221  |  صفحهٔ منبع: 237</w:t>
      </w:r>
    </w:p>
    <w:p>
      <w:pPr>
        <w:spacing w:after="20" w:line="223" w:lineRule="auto"/>
        <w:jc w:val="right"/>
        <w:bidi/>
      </w:pPr>
      <w:r>
        <w:rPr>
          <w:rFonts w:ascii="Arial" w:hAnsi="Arial"/>
          <w:sz w:val="16"/>
        </w:rPr>
        <w:t>221.01  منبع یابی.</w:t>
      </w:r>
    </w:p>
    <w:p>
      <w:pPr>
        <w:spacing w:after="28" w:line="216" w:lineRule="auto"/>
        <w:ind w:left="259"/>
        <w:jc w:val="left"/>
      </w:pPr>
      <w:r>
        <w:rPr>
          <w:rFonts w:ascii="Arial" w:hAnsi="Arial"/>
          <w:color w:val="525252"/>
          <w:sz w:val="13"/>
        </w:rPr>
        <w:t>In-sourcing.</w:t>
      </w:r>
    </w:p>
    <w:p>
      <w:pPr>
        <w:spacing w:after="20" w:line="223" w:lineRule="auto"/>
        <w:jc w:val="right"/>
        <w:bidi/>
      </w:pPr>
      <w:r>
        <w:rPr>
          <w:rFonts w:ascii="Arial" w:hAnsi="Arial"/>
          <w:sz w:val="16"/>
        </w:rPr>
        <w:t>221.02  ین-سوورکینگ تبدیل یک کارکرد قراردادی به عملکرد غیرنظامی یا نظامی وزارت دفاع یا بالعکس است.</w:t>
      </w:r>
    </w:p>
    <w:p>
      <w:pPr>
        <w:spacing w:after="28" w:line="216" w:lineRule="auto"/>
        <w:ind w:left="259"/>
        <w:jc w:val="left"/>
      </w:pPr>
      <w:r>
        <w:rPr>
          <w:rFonts w:ascii="Arial" w:hAnsi="Arial"/>
          <w:color w:val="525252"/>
          <w:sz w:val="13"/>
        </w:rPr>
        <w:t>In-sourcing is the conversion of a contracted function to Department of Defense civilian or military performance, or vice versa.</w:t>
      </w:r>
    </w:p>
    <w:p>
      <w:pPr>
        <w:spacing w:after="20" w:line="223" w:lineRule="auto"/>
        <w:jc w:val="right"/>
        <w:bidi/>
      </w:pPr>
      <w:r>
        <w:rPr>
          <w:rFonts w:ascii="Arial" w:hAnsi="Arial"/>
          <w:sz w:val="16"/>
        </w:rPr>
        <w:t>221.03  تجزیه و تحلیل موردی کسب و کار درون منبع، هزینه یک کارکرد قراردادی را با هزینه کارمندان غیرنظامی وزارت دفاع برای انجام همان فعالیت مقایسه می‌کند.</w:t>
      </w:r>
    </w:p>
    <w:p>
      <w:pPr>
        <w:spacing w:after="28" w:line="216" w:lineRule="auto"/>
        <w:ind w:left="259"/>
        <w:jc w:val="left"/>
      </w:pPr>
      <w:r>
        <w:rPr>
          <w:rFonts w:ascii="Arial" w:hAnsi="Arial"/>
          <w:color w:val="525252"/>
          <w:sz w:val="13"/>
        </w:rPr>
        <w:t>An in-sourcing business case analysis compares the cost of a contracted function to the cost of Department of Defense civilian employees to perform the same activity.</w:t>
      </w:r>
    </w:p>
    <w:p>
      <w:pPr>
        <w:spacing w:after="20" w:line="223" w:lineRule="auto"/>
        <w:jc w:val="right"/>
        <w:bidi/>
      </w:pPr>
      <w:r>
        <w:rPr>
          <w:rFonts w:ascii="Arial" w:hAnsi="Arial"/>
          <w:sz w:val="16"/>
        </w:rPr>
        <w:t>221.04  در تجزیه و تحلیل مورد کسب و کار گنجانده شده است، گواهینامه هایی که هزینه قرارداد، نیروی انسانی داخلی، استخر نیروی کار در دسترس و فعالیت را تأیید می‌کند، همگی الزامات یک مأموریت معتبر و پایدار را برآورده می‌کنند.</w:t>
      </w:r>
    </w:p>
    <w:p>
      <w:pPr>
        <w:spacing w:after="28" w:line="216" w:lineRule="auto"/>
        <w:ind w:left="259"/>
        <w:jc w:val="left"/>
      </w:pPr>
      <w:r>
        <w:rPr>
          <w:rFonts w:ascii="Arial" w:hAnsi="Arial"/>
          <w:color w:val="525252"/>
          <w:sz w:val="13"/>
        </w:rPr>
        <w:t>Included in the business case analysis are certifications validating contract cost, in-house manning, available labor pool, and activity all meet the requirements of a valid and enduring mission requirement.</w:t>
      </w:r>
    </w:p>
    <w:p>
      <w:pPr>
        <w:spacing w:after="20" w:line="223" w:lineRule="auto"/>
        <w:jc w:val="right"/>
        <w:bidi/>
      </w:pPr>
      <w:r>
        <w:rPr>
          <w:rFonts w:ascii="Arial" w:hAnsi="Arial"/>
          <w:sz w:val="16"/>
        </w:rPr>
        <w:t>221.05  اجرای برنامه به وزارت دفاع اجازه می‌دهد قراردادها را تبدیل کند و توجه ویژه‌ای را برای استفاده از کارمندان غیرنظامی وزارت دفاع برای انجام وظایفی که در حال حاضر توسط یک پیمانکار انجام می‌شود، فراهم می‌کند.</w:t>
      </w:r>
    </w:p>
    <w:p>
      <w:pPr>
        <w:spacing w:after="28" w:line="216" w:lineRule="auto"/>
        <w:ind w:left="259"/>
        <w:jc w:val="left"/>
      </w:pPr>
      <w:r>
        <w:rPr>
          <w:rFonts w:ascii="Arial" w:hAnsi="Arial"/>
          <w:color w:val="525252"/>
          <w:sz w:val="13"/>
        </w:rPr>
        <w:t>Implementing the program permits the Department of Defense to convert contracts and provides special consideration for using Department of Defense civilian employees to perform functions currently performed by a contractor.</w:t>
      </w:r>
    </w:p>
    <w:p>
      <w:pPr>
        <w:spacing w:after="20" w:line="223" w:lineRule="auto"/>
        <w:jc w:val="right"/>
        <w:bidi/>
      </w:pPr>
      <w:r>
        <w:rPr>
          <w:rFonts w:ascii="Arial" w:hAnsi="Arial"/>
          <w:sz w:val="16"/>
        </w:rPr>
        <w:t>221.06  این فرآیند زمانی قابل اجرا است که عملکرد: (۱) توسط کارمندان غیرنظامی وزارت دفاع در هر زمانی در طول ۱۰ سال گذشته انجام شده باشد. (۲) ارتباط نزدیکی با عملکرد ذاتا دولتی دارد. (۳) بر اساس قراردادی که به صورت غیر رقابتی اعطا شده است انجام شده است. و (۴) توسط یک افسر قراردادی مشخص شده است که در طول پنج سال قبل از تاریخ چنین تعیینی به دلیل هزینه‌های زیاد یا کیفیت پایین عملکرد ضعیفی داشته است.</w:t>
      </w:r>
    </w:p>
    <w:p>
      <w:pPr>
        <w:spacing w:after="28" w:line="216" w:lineRule="auto"/>
        <w:ind w:left="259"/>
        <w:jc w:val="left"/>
      </w:pPr>
      <w:r>
        <w:rPr>
          <w:rFonts w:ascii="Arial" w:hAnsi="Arial"/>
          <w:color w:val="525252"/>
          <w:sz w:val="13"/>
        </w:rPr>
        <w:t>This process is applicable when the function: (1) has been performed by Department of Defense civilian employees at any time during the previous 10 years; (2) is closely associated with the performance of an inherently governmental function; (3) has been performed pursuant to a contract awarded on a noncompetitive basis; and (4) has been determined by a contracting officer to have been performed poorly during the five years preceding the date of such determination, because of excessive costs or inferior quality.</w:t>
      </w:r>
    </w:p>
    <w:p>
      <w:pPr>
        <w:spacing w:after="20" w:line="223" w:lineRule="auto"/>
        <w:jc w:val="right"/>
        <w:bidi/>
      </w:pPr>
      <w:r>
        <w:rPr>
          <w:rFonts w:ascii="Arial" w:hAnsi="Arial"/>
          <w:sz w:val="16"/>
        </w:rPr>
        <w:t>221.07  توجه: مطابق با یادداشت معاون وزیر دفاع برای تأمین خدمات قراردادی داخلی-راهنمای اجرای، وظایف قراردادی که ذاتا دولتی، معاف از اجرای قرارداد، خدمات شخصی غیرمجاز، یا تجربه مشکلات مرتبط با اجرای قرارداد هستند، بدون در نظر گرفتن هزینه، در منبع قرار می‌گیرند.</w:t>
      </w:r>
    </w:p>
    <w:p>
      <w:pPr>
        <w:spacing w:after="28" w:line="216" w:lineRule="auto"/>
        <w:ind w:left="259"/>
        <w:jc w:val="left"/>
      </w:pPr>
      <w:r>
        <w:rPr>
          <w:rFonts w:ascii="Arial" w:hAnsi="Arial"/>
          <w:color w:val="525252"/>
          <w:sz w:val="13"/>
        </w:rPr>
        <w:t>Note: In accordance with the Deputy Secretary of Defense memorandum for in-sourcing contracted services-implementation guidance, contracted functions found to be inherently governmental, exempt from contract performance, unauthorized personal services, or experiencing problems associated with contract administration shall be in-sourced regardless of cost.</w:t>
      </w:r>
    </w:p>
    <w:p>
      <w:r>
        <w:br w:type="page"/>
      </w:r>
    </w:p>
    <w:p>
      <w:pPr>
        <w:spacing w:after="60"/>
        <w:jc w:val="right"/>
        <w:bidi/>
      </w:pPr>
      <w:r>
        <w:rPr>
          <w:rFonts w:ascii="Arial" w:hAnsi="Arial"/>
          <w:b/>
          <w:color w:val="1F4D78"/>
          <w:sz w:val="19"/>
        </w:rPr>
        <w:t>هفتهٔ 222  |  صفحهٔ منبع: 238</w:t>
      </w:r>
    </w:p>
    <w:p>
      <w:pPr>
        <w:spacing w:before="60" w:after="28"/>
        <w:jc w:val="right"/>
        <w:bidi/>
      </w:pPr>
      <w:r>
        <w:rPr>
          <w:b/>
          <w:color w:val="1F4D78"/>
          <w:sz w:val="18"/>
        </w:rPr>
        <w:t>بخش 12D - مدیریت منابع</w:t>
      </w:r>
    </w:p>
    <w:p>
      <w:pPr>
        <w:spacing w:after="20"/>
        <w:ind w:left="259"/>
        <w:jc w:val="left"/>
      </w:pPr>
      <w:r>
        <w:rPr>
          <w:color w:val="555555"/>
          <w:sz w:val="12"/>
        </w:rPr>
        <w:t>Section 12D—Resource Management</w:t>
      </w:r>
    </w:p>
    <w:p>
      <w:pPr>
        <w:spacing w:before="60" w:after="28"/>
        <w:jc w:val="right"/>
        <w:bidi/>
      </w:pPr>
      <w:r>
        <w:rPr>
          <w:b/>
          <w:color w:val="1F4D78"/>
          <w:sz w:val="18"/>
        </w:rPr>
        <w:t>12.26. منابع مورد نیاز</w:t>
      </w:r>
    </w:p>
    <w:p>
      <w:pPr>
        <w:spacing w:after="20"/>
        <w:ind w:left="259"/>
        <w:jc w:val="left"/>
      </w:pPr>
      <w:r>
        <w:rPr>
          <w:color w:val="555555"/>
          <w:sz w:val="12"/>
        </w:rPr>
        <w:t>12.26. Resource Requirements</w:t>
      </w:r>
    </w:p>
    <w:p>
      <w:pPr>
        <w:spacing w:after="20" w:line="223" w:lineRule="auto"/>
        <w:jc w:val="right"/>
        <w:bidi/>
      </w:pPr>
      <w:r>
        <w:rPr>
          <w:rFonts w:ascii="Arial" w:hAnsi="Arial"/>
          <w:sz w:val="16"/>
        </w:rPr>
        <w:t>222.03  همه منابع USAF دارای ارزش یا هزینه مرتبط با آنها هستند.</w:t>
      </w:r>
    </w:p>
    <w:p>
      <w:pPr>
        <w:spacing w:after="28" w:line="216" w:lineRule="auto"/>
        <w:ind w:left="259"/>
        <w:jc w:val="left"/>
      </w:pPr>
      <w:r>
        <w:rPr>
          <w:rFonts w:ascii="Arial" w:hAnsi="Arial"/>
          <w:color w:val="525252"/>
          <w:sz w:val="13"/>
        </w:rPr>
        <w:t>All USAF resources have a value or cost associated with them.</w:t>
      </w:r>
    </w:p>
    <w:p>
      <w:pPr>
        <w:spacing w:after="20" w:line="223" w:lineRule="auto"/>
        <w:jc w:val="right"/>
        <w:bidi/>
      </w:pPr>
      <w:r>
        <w:rPr>
          <w:rFonts w:ascii="Arial" w:hAnsi="Arial"/>
          <w:sz w:val="16"/>
        </w:rPr>
        <w:t>222.04  سیستم مدیریت منابع USAF بر خروجی‌ها و منابع مورد استفاده متمرکز است، مدیران به‌طور مؤثر از منابع استفاده می‌کنند، عملکرد واقعی را در مقایسه با عملکرد برنامه‌ریزی شده اندازه گیری می‌کنند و از برنامه‌های مالی و حسابداری برای افزایش کنترل‌های مدیریت در هر سطح سازمانی استفاده می‌کنند.</w:t>
      </w:r>
    </w:p>
    <w:p>
      <w:pPr>
        <w:spacing w:after="28" w:line="216" w:lineRule="auto"/>
        <w:ind w:left="259"/>
        <w:jc w:val="left"/>
      </w:pPr>
      <w:r>
        <w:rPr>
          <w:rFonts w:ascii="Arial" w:hAnsi="Arial"/>
          <w:color w:val="525252"/>
          <w:sz w:val="13"/>
        </w:rPr>
        <w:t>The USAF resource management system is focused on outputs and resources used, managers effectively using resources, measuring actual performance compared to planned performance, and using financial plans and accounting to enhance management controls at each organizational level.</w:t>
      </w:r>
    </w:p>
    <w:p>
      <w:pPr>
        <w:spacing w:after="20" w:line="223" w:lineRule="auto"/>
        <w:jc w:val="right"/>
        <w:bidi/>
      </w:pPr>
      <w:r>
        <w:rPr>
          <w:rFonts w:ascii="Arial" w:hAnsi="Arial"/>
          <w:sz w:val="16"/>
        </w:rPr>
        <w:t>222.05  سیستم مدیریت منابع راهی برای تعیین اولویت‌ها، انتخاب خط‌مشی‌ها و اقدام برای دستیابی به نتایج مطلوب و منابع مورد نیاز با هزینه‌های قابل قبول فراهم می‌کند.</w:t>
      </w:r>
    </w:p>
    <w:p>
      <w:pPr>
        <w:spacing w:after="28" w:line="216" w:lineRule="auto"/>
        <w:ind w:left="259"/>
        <w:jc w:val="left"/>
      </w:pPr>
      <w:r>
        <w:rPr>
          <w:rFonts w:ascii="Arial" w:hAnsi="Arial"/>
          <w:color w:val="525252"/>
          <w:sz w:val="13"/>
        </w:rPr>
        <w:t>The resource management system provides a way to establish priorities, choose policies, and act to get the desired results and required resources at acceptable costs.</w:t>
      </w:r>
    </w:p>
    <w:p>
      <w:pPr>
        <w:spacing w:before="60" w:after="28"/>
        <w:jc w:val="right"/>
        <w:bidi/>
      </w:pPr>
      <w:r>
        <w:rPr>
          <w:b/>
          <w:color w:val="1F4D78"/>
          <w:sz w:val="18"/>
        </w:rPr>
        <w:t>12.27. مسئولیت های مدیریت منابع</w:t>
      </w:r>
    </w:p>
    <w:p>
      <w:pPr>
        <w:spacing w:after="20"/>
        <w:ind w:left="259"/>
        <w:jc w:val="left"/>
      </w:pPr>
      <w:r>
        <w:rPr>
          <w:color w:val="555555"/>
          <w:sz w:val="12"/>
        </w:rPr>
        <w:t>12.27. Resource management responsibilities</w:t>
      </w:r>
    </w:p>
    <w:p>
      <w:pPr>
        <w:spacing w:after="20" w:line="223" w:lineRule="auto"/>
        <w:jc w:val="right"/>
        <w:bidi/>
      </w:pPr>
      <w:r>
        <w:rPr>
          <w:rFonts w:ascii="Arial" w:hAnsi="Arial"/>
          <w:sz w:val="16"/>
        </w:rPr>
        <w:t>222.07  اگرچه مدیران منابع سطح پایه تخصیص اولیه همه منابع خود را کنترل نمی‌کنند، اما باید به‌طور مؤثر این منابع را مدیریت کنند، از جمله نظارت بر پول، نیروی انسانی و تجهیزات.</w:t>
      </w:r>
    </w:p>
    <w:p>
      <w:pPr>
        <w:spacing w:after="28" w:line="216" w:lineRule="auto"/>
        <w:ind w:left="259"/>
        <w:jc w:val="left"/>
      </w:pPr>
      <w:r>
        <w:rPr>
          <w:rFonts w:ascii="Arial" w:hAnsi="Arial"/>
          <w:color w:val="525252"/>
          <w:sz w:val="13"/>
        </w:rPr>
        <w:t>Although base-level resource managers do not control initial allocation of all their resources, they must effectively manage these resources, including the stewardship of money, manpower, and equipment.</w:t>
      </w:r>
    </w:p>
    <w:p>
      <w:pPr>
        <w:spacing w:after="20" w:line="223" w:lineRule="auto"/>
        <w:jc w:val="right"/>
        <w:bidi/>
      </w:pPr>
      <w:r>
        <w:rPr>
          <w:rFonts w:ascii="Arial" w:hAnsi="Arial"/>
          <w:sz w:val="16"/>
        </w:rPr>
        <w:t>222.08  مباشر مؤثر بودن بیش از پاسخگویی قانونی مستلزم آن است.</w:t>
      </w:r>
    </w:p>
    <w:p>
      <w:pPr>
        <w:spacing w:after="28" w:line="216" w:lineRule="auto"/>
        <w:ind w:left="259"/>
        <w:jc w:val="left"/>
      </w:pPr>
      <w:r>
        <w:rPr>
          <w:rFonts w:ascii="Arial" w:hAnsi="Arial"/>
          <w:color w:val="525252"/>
          <w:sz w:val="13"/>
        </w:rPr>
        <w:t>Being an effective steward involves more than legal accountability.</w:t>
      </w:r>
    </w:p>
    <w:p>
      <w:pPr>
        <w:spacing w:after="20" w:line="223" w:lineRule="auto"/>
        <w:jc w:val="right"/>
        <w:bidi/>
      </w:pPr>
      <w:r>
        <w:rPr>
          <w:rFonts w:ascii="Arial" w:hAnsi="Arial"/>
          <w:sz w:val="16"/>
        </w:rPr>
        <w:t>222.09  پست‌های وظیفه کلیدی مرتبط با سیستم مدیریت منابع وجود دارد که ساختار و همسویی منابع و مدیریت منابع را فراهم می‌کند.</w:t>
      </w:r>
    </w:p>
    <w:p>
      <w:pPr>
        <w:spacing w:after="28" w:line="216" w:lineRule="auto"/>
        <w:ind w:left="259"/>
        <w:jc w:val="left"/>
      </w:pPr>
      <w:r>
        <w:rPr>
          <w:rFonts w:ascii="Arial" w:hAnsi="Arial"/>
          <w:color w:val="525252"/>
          <w:sz w:val="13"/>
        </w:rPr>
        <w:t>There are key duty positions associated with the resource management system that provide structure and alignment of resources and resource management.</w:t>
      </w:r>
    </w:p>
    <w:p>
      <w:pPr>
        <w:spacing w:after="20" w:line="223" w:lineRule="auto"/>
        <w:jc w:val="right"/>
        <w:bidi/>
      </w:pPr>
      <w:r>
        <w:rPr>
          <w:rFonts w:ascii="Arial" w:hAnsi="Arial"/>
          <w:sz w:val="16"/>
        </w:rPr>
        <w:t>222.10  در حالی که هر یک از اعضای USAF مسئولیت اصلی برای اطمینان از استفاده از منابع به مقرون به صرفه‌ترین شیوه را دارد، فرماندهان و سرپرستان مسئول استفاده کارآمد و اقتصادی از همه منابع در سازمان خود و همچنین بودجه بندی، تخصیص، ترکیب و توزیع این منابع هستند.</w:t>
      </w:r>
    </w:p>
    <w:p>
      <w:pPr>
        <w:spacing w:after="28" w:line="216" w:lineRule="auto"/>
        <w:ind w:left="259"/>
        <w:jc w:val="left"/>
      </w:pPr>
      <w:r>
        <w:rPr>
          <w:rFonts w:ascii="Arial" w:hAnsi="Arial"/>
          <w:color w:val="525252"/>
          <w:sz w:val="13"/>
        </w:rPr>
        <w:t>While every USAF member has a principal responsibility to ensure resources are used in the most cost-effective manner, commanders and supervisors are responsible for the efficient and economical use of all resources in their organizations, as well as the budgeting, allocation, composition, and distribution of these resources.</w:t>
      </w:r>
    </w:p>
    <w:p>
      <w:pPr>
        <w:spacing w:after="20" w:line="223" w:lineRule="auto"/>
        <w:jc w:val="right"/>
        <w:bidi/>
      </w:pPr>
      <w:r>
        <w:rPr>
          <w:rFonts w:ascii="Arial" w:hAnsi="Arial"/>
          <w:sz w:val="16"/>
        </w:rPr>
        <w:t>222.11  فرماندهان.</w:t>
      </w:r>
    </w:p>
    <w:p>
      <w:pPr>
        <w:spacing w:after="28" w:line="216" w:lineRule="auto"/>
        <w:ind w:left="259"/>
        <w:jc w:val="left"/>
      </w:pPr>
      <w:r>
        <w:rPr>
          <w:rFonts w:ascii="Arial" w:hAnsi="Arial"/>
          <w:color w:val="525252"/>
          <w:sz w:val="13"/>
        </w:rPr>
        <w:t>Commanders.</w:t>
      </w:r>
    </w:p>
    <w:p>
      <w:pPr>
        <w:spacing w:after="20" w:line="223" w:lineRule="auto"/>
        <w:jc w:val="right"/>
        <w:bidi/>
      </w:pPr>
      <w:r>
        <w:rPr>
          <w:rFonts w:ascii="Arial" w:hAnsi="Arial"/>
          <w:sz w:val="16"/>
        </w:rPr>
        <w:t>222.12  فرماندهان برنامه مالی را برای اطمینان از مدیریت مالی موفق بررسی، تأیید و متعادل می‌کنند.</w:t>
      </w:r>
    </w:p>
    <w:p>
      <w:pPr>
        <w:spacing w:after="28" w:line="216" w:lineRule="auto"/>
        <w:ind w:left="259"/>
        <w:jc w:val="left"/>
      </w:pPr>
      <w:r>
        <w:rPr>
          <w:rFonts w:ascii="Arial" w:hAnsi="Arial"/>
          <w:color w:val="525252"/>
          <w:sz w:val="13"/>
        </w:rPr>
        <w:t>Commanders review, validate, and balance the financial plan to ensure successful financial management.</w:t>
      </w:r>
    </w:p>
    <w:p>
      <w:pPr>
        <w:spacing w:after="20" w:line="223" w:lineRule="auto"/>
        <w:jc w:val="right"/>
        <w:bidi/>
      </w:pPr>
      <w:r>
        <w:rPr>
          <w:rFonts w:ascii="Arial" w:hAnsi="Arial"/>
          <w:sz w:val="16"/>
        </w:rPr>
        <w:t>222.13  فرماندهان باید به‌طور فعال برنامه‌های مالی مراکز کاری (مراکز مسئولیت) را بررسی کنند و مدیریت منابع را با پرس و جو در مورد شرایط برنامه، بررسی علل، سنجش گزینه‌ها و هدایت اقدام بهبود بخشند.</w:t>
      </w:r>
    </w:p>
    <w:p>
      <w:pPr>
        <w:spacing w:after="28" w:line="216" w:lineRule="auto"/>
        <w:ind w:left="259"/>
        <w:jc w:val="left"/>
      </w:pPr>
      <w:r>
        <w:rPr>
          <w:rFonts w:ascii="Arial" w:hAnsi="Arial"/>
          <w:color w:val="525252"/>
          <w:sz w:val="13"/>
        </w:rPr>
        <w:t>Commanders must actively review financial programs for work centers (responsibility centers) and improve resource management by inquiring about program conditions, reviewing causes, weighing alternatives, and directing action.</w:t>
      </w:r>
    </w:p>
    <w:p>
      <w:pPr>
        <w:spacing w:after="20" w:line="223" w:lineRule="auto"/>
        <w:jc w:val="right"/>
        <w:bidi/>
      </w:pPr>
      <w:r>
        <w:rPr>
          <w:rFonts w:ascii="Arial" w:hAnsi="Arial"/>
          <w:sz w:val="16"/>
        </w:rPr>
        <w:t>222.14  فرماندهان همچنین باید با تخصیص منابع کافی به آموزش سیستم مدیریت منابع و تلاش تیم مدیریت منابع، موفقیت سیستم مدیریت منابع را تضمین کنند.</w:t>
      </w:r>
    </w:p>
    <w:p>
      <w:pPr>
        <w:spacing w:after="28" w:line="216" w:lineRule="auto"/>
        <w:ind w:left="259"/>
        <w:jc w:val="left"/>
      </w:pPr>
      <w:r>
        <w:rPr>
          <w:rFonts w:ascii="Arial" w:hAnsi="Arial"/>
          <w:color w:val="525252"/>
          <w:sz w:val="13"/>
        </w:rPr>
        <w:t>Commanders must also ensure resource management system success by allocating sufficient resources to resource management system training and resource management team efforts.</w:t>
      </w:r>
    </w:p>
    <w:p>
      <w:pPr>
        <w:spacing w:after="20" w:line="223" w:lineRule="auto"/>
        <w:jc w:val="right"/>
        <w:bidi/>
      </w:pPr>
      <w:r>
        <w:rPr>
          <w:rFonts w:ascii="Arial" w:hAnsi="Arial"/>
          <w:sz w:val="16"/>
        </w:rPr>
        <w:t>222.15  کنترلرها.</w:t>
      </w:r>
    </w:p>
    <w:p>
      <w:pPr>
        <w:spacing w:after="28" w:line="216" w:lineRule="auto"/>
        <w:ind w:left="259"/>
        <w:jc w:val="left"/>
      </w:pPr>
      <w:r>
        <w:rPr>
          <w:rFonts w:ascii="Arial" w:hAnsi="Arial"/>
          <w:color w:val="525252"/>
          <w:sz w:val="13"/>
        </w:rPr>
        <w:t>Comptrollers.</w:t>
      </w:r>
    </w:p>
    <w:p>
      <w:pPr>
        <w:spacing w:after="20" w:line="223" w:lineRule="auto"/>
        <w:jc w:val="right"/>
        <w:bidi/>
      </w:pPr>
      <w:r>
        <w:rPr>
          <w:rFonts w:ascii="Arial" w:hAnsi="Arial"/>
          <w:sz w:val="16"/>
        </w:rPr>
        <w:t>222.16  کنترلرها با ارائه مدیریت مالی و مشاوره صحیح به فرماندهان و کارکنان از مأموریت سازمان و USAF پشتیبانی می‌کنند.</w:t>
      </w:r>
    </w:p>
    <w:p>
      <w:pPr>
        <w:spacing w:after="28" w:line="216" w:lineRule="auto"/>
        <w:ind w:left="259"/>
        <w:jc w:val="left"/>
      </w:pPr>
      <w:r>
        <w:rPr>
          <w:rFonts w:ascii="Arial" w:hAnsi="Arial"/>
          <w:color w:val="525252"/>
          <w:sz w:val="13"/>
        </w:rPr>
        <w:t>Comptrollers support the organization’s mission and the USAF by providing sound financial management and advice to commanders and staff.</w:t>
      </w:r>
    </w:p>
    <w:p>
      <w:pPr>
        <w:spacing w:after="20" w:line="223" w:lineRule="auto"/>
        <w:jc w:val="right"/>
        <w:bidi/>
      </w:pPr>
      <w:r>
        <w:rPr>
          <w:rFonts w:ascii="Arial" w:hAnsi="Arial"/>
          <w:sz w:val="16"/>
        </w:rPr>
        <w:t>222.17  کنترلرها مدیریت مالی مسئولانه و مناسب را برای اطمینان از استفاده کارآمد و اقتصادی از منابع منطبق با الزامات قانونی و مقرراتی ترویج می‌کنند.</w:t>
      </w:r>
    </w:p>
    <w:p>
      <w:pPr>
        <w:spacing w:after="28" w:line="216" w:lineRule="auto"/>
        <w:ind w:left="259"/>
        <w:jc w:val="left"/>
      </w:pPr>
      <w:r>
        <w:rPr>
          <w:rFonts w:ascii="Arial" w:hAnsi="Arial"/>
          <w:color w:val="525252"/>
          <w:sz w:val="13"/>
        </w:rPr>
        <w:t>Comptrollers promote responsible and proper financial management to ensure efficient, economical use of resources consistent with statutory and regulatory requirements.</w:t>
      </w:r>
    </w:p>
    <w:p>
      <w:pPr>
        <w:spacing w:after="20" w:line="223" w:lineRule="auto"/>
        <w:jc w:val="right"/>
        <w:bidi/>
      </w:pPr>
      <w:r>
        <w:rPr>
          <w:rFonts w:ascii="Arial" w:hAnsi="Arial"/>
          <w:sz w:val="16"/>
        </w:rPr>
        <w:t>222.18  کنترل‌کنندگان خط‌مشی‌ها و رویه‌هایی را اعمال می‌کنند که سازمان را قادر می‌سازد تا وظایف حسابداری، بودجه و هزینه را انجام دهد.</w:t>
      </w:r>
    </w:p>
    <w:p>
      <w:pPr>
        <w:spacing w:after="28" w:line="216" w:lineRule="auto"/>
        <w:ind w:left="259"/>
        <w:jc w:val="left"/>
      </w:pPr>
      <w:r>
        <w:rPr>
          <w:rFonts w:ascii="Arial" w:hAnsi="Arial"/>
          <w:color w:val="525252"/>
          <w:sz w:val="13"/>
        </w:rPr>
        <w:t>Comptrollers apply policies and procedures that enable the organization to carry out accounting, budget, and cost functions.</w:t>
      </w:r>
    </w:p>
    <w:p>
      <w:pPr>
        <w:spacing w:after="20" w:line="223" w:lineRule="auto"/>
        <w:jc w:val="right"/>
        <w:bidi/>
      </w:pPr>
      <w:r>
        <w:rPr>
          <w:rFonts w:ascii="Arial" w:hAnsi="Arial"/>
          <w:sz w:val="16"/>
        </w:rPr>
        <w:t>222.19  مدیران مرکز مسئولیت.</w:t>
      </w:r>
    </w:p>
    <w:p>
      <w:pPr>
        <w:spacing w:after="28" w:line="216" w:lineRule="auto"/>
        <w:ind w:left="259"/>
        <w:jc w:val="left"/>
      </w:pPr>
      <w:r>
        <w:rPr>
          <w:rFonts w:ascii="Arial" w:hAnsi="Arial"/>
          <w:color w:val="525252"/>
          <w:sz w:val="13"/>
        </w:rPr>
        <w:t>Responsibility Center Managers.</w:t>
      </w:r>
    </w:p>
    <w:p>
      <w:pPr>
        <w:spacing w:after="20" w:line="223" w:lineRule="auto"/>
        <w:jc w:val="right"/>
        <w:bidi/>
      </w:pPr>
      <w:r>
        <w:rPr>
          <w:rFonts w:ascii="Arial" w:hAnsi="Arial"/>
          <w:sz w:val="16"/>
        </w:rPr>
        <w:t>222.20  مدیران مرکز مسئولیت فعالیت‌های سازمان زیرمجموعه را برنامه‌ریزی، هدایت و هماهنگ می‌کنند.</w:t>
      </w:r>
    </w:p>
    <w:p>
      <w:pPr>
        <w:spacing w:after="28" w:line="216" w:lineRule="auto"/>
        <w:ind w:left="259"/>
        <w:jc w:val="left"/>
      </w:pPr>
      <w:r>
        <w:rPr>
          <w:rFonts w:ascii="Arial" w:hAnsi="Arial"/>
          <w:color w:val="525252"/>
          <w:sz w:val="13"/>
        </w:rPr>
        <w:t>Responsibility center managers plan, direct, and coordinate subordinate organization activities.</w:t>
      </w:r>
    </w:p>
    <w:p>
      <w:pPr>
        <w:spacing w:after="20" w:line="223" w:lineRule="auto"/>
        <w:jc w:val="right"/>
        <w:bidi/>
      </w:pPr>
      <w:r>
        <w:rPr>
          <w:rFonts w:ascii="Arial" w:hAnsi="Arial"/>
          <w:sz w:val="16"/>
        </w:rPr>
        <w:t>222.21  مدیران مرکز مسئولیت، برنامه‌های سازمانی زیرمجموعه را تجزیه و تحلیل می‌کنند، عدم تعادل در توزیع منابع را شناسایی می‌کنند، اقدامات جایگزین را تحلیل می‌کنند و برنامه‌ها را متعادل می‌کنند.</w:t>
      </w:r>
    </w:p>
    <w:p>
      <w:pPr>
        <w:spacing w:after="28" w:line="216" w:lineRule="auto"/>
        <w:ind w:left="259"/>
        <w:jc w:val="left"/>
      </w:pPr>
      <w:r>
        <w:rPr>
          <w:rFonts w:ascii="Arial" w:hAnsi="Arial"/>
          <w:color w:val="525252"/>
          <w:sz w:val="13"/>
        </w:rPr>
        <w:t>Responsibility center managers analyze subordinate organizational plans, identify imbalances in resource distribution, analyze alternative actions, and balance programs.</w:t>
      </w:r>
    </w:p>
    <w:p>
      <w:pPr>
        <w:spacing w:after="20" w:line="223" w:lineRule="auto"/>
        <w:jc w:val="right"/>
        <w:bidi/>
      </w:pPr>
      <w:r>
        <w:rPr>
          <w:rFonts w:ascii="Arial" w:hAnsi="Arial"/>
          <w:sz w:val="16"/>
        </w:rPr>
        <w:t>222.22  مدیران مرکز هزینه.</w:t>
      </w:r>
    </w:p>
    <w:p>
      <w:pPr>
        <w:spacing w:after="28" w:line="216" w:lineRule="auto"/>
        <w:ind w:left="259"/>
        <w:jc w:val="left"/>
      </w:pPr>
      <w:r>
        <w:rPr>
          <w:rFonts w:ascii="Arial" w:hAnsi="Arial"/>
          <w:color w:val="525252"/>
          <w:sz w:val="13"/>
        </w:rPr>
        <w:t>Cost Center Managers.</w:t>
      </w:r>
    </w:p>
    <w:p>
      <w:pPr>
        <w:spacing w:after="20" w:line="223" w:lineRule="auto"/>
        <w:jc w:val="right"/>
        <w:bidi/>
      </w:pPr>
      <w:r>
        <w:rPr>
          <w:rFonts w:ascii="Arial" w:hAnsi="Arial"/>
          <w:sz w:val="16"/>
        </w:rPr>
        <w:t>222.23  مرکز هزینه، پرواز یا مرکز کار پایه تولید است.</w:t>
      </w:r>
    </w:p>
    <w:p>
      <w:pPr>
        <w:spacing w:after="28" w:line="216" w:lineRule="auto"/>
        <w:ind w:left="259"/>
        <w:jc w:val="left"/>
      </w:pPr>
      <w:r>
        <w:rPr>
          <w:rFonts w:ascii="Arial" w:hAnsi="Arial"/>
          <w:color w:val="525252"/>
          <w:sz w:val="13"/>
        </w:rPr>
        <w:t>The cost center is the basic production flight or work center.</w:t>
      </w:r>
    </w:p>
    <w:p>
      <w:pPr>
        <w:spacing w:after="20" w:line="223" w:lineRule="auto"/>
        <w:jc w:val="right"/>
        <w:bidi/>
      </w:pPr>
      <w:r>
        <w:rPr>
          <w:rFonts w:ascii="Arial" w:hAnsi="Arial"/>
          <w:sz w:val="16"/>
        </w:rPr>
        <w:t>222.24  مدیر مرکز هزینه، مصرف ساعات کار، لوازم، تجهیزات و خدمات را برای انجام وظایف در مرکز هزینه خود تنظیم می‌کند.</w:t>
      </w:r>
    </w:p>
    <w:p>
      <w:pPr>
        <w:spacing w:after="28" w:line="216" w:lineRule="auto"/>
        <w:ind w:left="259"/>
        <w:jc w:val="left"/>
      </w:pPr>
      <w:r>
        <w:rPr>
          <w:rFonts w:ascii="Arial" w:hAnsi="Arial"/>
          <w:color w:val="525252"/>
          <w:sz w:val="13"/>
        </w:rPr>
        <w:t>The cost center manager regulates the consumption of work hours, supplies, equipment, and services to do the tasks within their cost center.</w:t>
      </w:r>
    </w:p>
    <w:p>
      <w:pPr>
        <w:spacing w:after="20" w:line="223" w:lineRule="auto"/>
        <w:jc w:val="right"/>
        <w:bidi/>
      </w:pPr>
      <w:r>
        <w:rPr>
          <w:rFonts w:ascii="Arial" w:hAnsi="Arial"/>
          <w:sz w:val="16"/>
        </w:rPr>
        <w:t>222.25  مدیران مراکز هزینه منابع را به یا از وظایف مختلف تولید در مرکز هزینه انتقال می‌دهند تا از ترکیب مناسب یا تاکید مورد نیاز اطمینان حاصل کنند.</w:t>
      </w:r>
    </w:p>
    <w:p>
      <w:pPr>
        <w:spacing w:after="28" w:line="216" w:lineRule="auto"/>
        <w:ind w:left="259"/>
        <w:jc w:val="left"/>
      </w:pPr>
      <w:r>
        <w:rPr>
          <w:rFonts w:ascii="Arial" w:hAnsi="Arial"/>
          <w:color w:val="525252"/>
          <w:sz w:val="13"/>
        </w:rPr>
        <w:t>Cost center managers shift resources to or from various production tasks within the cost center to ensure the proper mix or to provide the emphasis required.</w:t>
      </w:r>
    </w:p>
    <w:p>
      <w:pPr>
        <w:spacing w:after="20" w:line="223" w:lineRule="auto"/>
        <w:jc w:val="right"/>
        <w:bidi/>
      </w:pPr>
      <w:r>
        <w:rPr>
          <w:rFonts w:ascii="Arial" w:hAnsi="Arial"/>
          <w:sz w:val="16"/>
        </w:rPr>
        <w:t>222.26  مشاوران منابع.</w:t>
      </w:r>
    </w:p>
    <w:p>
      <w:pPr>
        <w:spacing w:after="28" w:line="216" w:lineRule="auto"/>
        <w:ind w:left="259"/>
        <w:jc w:val="left"/>
      </w:pPr>
      <w:r>
        <w:rPr>
          <w:rFonts w:ascii="Arial" w:hAnsi="Arial"/>
          <w:color w:val="525252"/>
          <w:sz w:val="13"/>
        </w:rPr>
        <w:t>Resource Advisors.</w:t>
      </w:r>
    </w:p>
    <w:p>
      <w:pPr>
        <w:spacing w:after="20" w:line="223" w:lineRule="auto"/>
        <w:jc w:val="right"/>
        <w:bidi/>
      </w:pPr>
      <w:r>
        <w:rPr>
          <w:rFonts w:ascii="Arial" w:hAnsi="Arial"/>
          <w:sz w:val="16"/>
        </w:rPr>
        <w:t>222.27  مشاوران منابع نظارت و کمک به تهیه تخمین منابع دارند.</w:t>
      </w:r>
    </w:p>
    <w:p>
      <w:pPr>
        <w:spacing w:after="28" w:line="216" w:lineRule="auto"/>
        <w:ind w:left="259"/>
        <w:jc w:val="left"/>
      </w:pPr>
      <w:r>
        <w:rPr>
          <w:rFonts w:ascii="Arial" w:hAnsi="Arial"/>
          <w:color w:val="525252"/>
          <w:sz w:val="13"/>
        </w:rPr>
        <w:t>Resource advisors monitor and help prepare resource estimates.</w:t>
      </w:r>
    </w:p>
    <w:p>
      <w:pPr>
        <w:spacing w:after="20" w:line="223" w:lineRule="auto"/>
        <w:jc w:val="right"/>
        <w:bidi/>
      </w:pPr>
      <w:r>
        <w:rPr>
          <w:rFonts w:ascii="Arial" w:hAnsi="Arial"/>
          <w:sz w:val="16"/>
        </w:rPr>
        <w:t>222.28  آنها به توسعه تعهدات و اهداف صندوق هزینه کمک می‌کنند، استفاده از منابع را در عملیات روزانه در مقایسه با سطوح مصرف پیش‌بینی‌شده نظارت می‌کنند و به‌عنوان نقطه تماس اولیه در امور مدیریت منابع مربوط به مرکز مسئولیت خود عمل می‌کنند.</w:t>
      </w:r>
    </w:p>
    <w:p>
      <w:pPr>
        <w:spacing w:after="28" w:line="216" w:lineRule="auto"/>
        <w:ind w:left="259"/>
        <w:jc w:val="left"/>
      </w:pPr>
      <w:r>
        <w:rPr>
          <w:rFonts w:ascii="Arial" w:hAnsi="Arial"/>
          <w:color w:val="525252"/>
          <w:sz w:val="13"/>
        </w:rPr>
        <w:t>They help develop obligations and expense fund targets, monitor the use of resources in daily operations compared to projected consumption levels, and serve as the primary point of contact on resource management matters pertaining to their responsibility center.</w:t>
      </w:r>
    </w:p>
    <w:p>
      <w:pPr>
        <w:spacing w:after="20" w:line="223" w:lineRule="auto"/>
        <w:jc w:val="right"/>
        <w:bidi/>
      </w:pPr>
      <w:r>
        <w:rPr>
          <w:rFonts w:ascii="Arial" w:hAnsi="Arial"/>
          <w:sz w:val="16"/>
        </w:rPr>
        <w:t>222.29  مشاوران منابع در منصوب می‌شوند</w:t>
      </w:r>
    </w:p>
    <w:p>
      <w:pPr>
        <w:spacing w:after="28" w:line="216" w:lineRule="auto"/>
        <w:ind w:left="259"/>
        <w:jc w:val="left"/>
      </w:pPr>
      <w:r>
        <w:rPr>
          <w:rFonts w:ascii="Arial" w:hAnsi="Arial"/>
          <w:color w:val="525252"/>
          <w:sz w:val="13"/>
        </w:rPr>
        <w:t>Resource advisors are appointed in</w:t>
      </w:r>
    </w:p>
    <w:p>
      <w:r>
        <w:br w:type="page"/>
      </w:r>
    </w:p>
    <w:p>
      <w:pPr>
        <w:spacing w:after="60"/>
        <w:jc w:val="right"/>
        <w:bidi/>
      </w:pPr>
      <w:r>
        <w:rPr>
          <w:rFonts w:ascii="Arial" w:hAnsi="Arial"/>
          <w:b/>
          <w:color w:val="1F4D78"/>
          <w:sz w:val="19"/>
        </w:rPr>
        <w:t>هفتهٔ 223  |  صفحهٔ منبع: 239</w:t>
      </w:r>
    </w:p>
    <w:p>
      <w:pPr>
        <w:spacing w:after="20" w:line="223" w:lineRule="auto"/>
        <w:jc w:val="right"/>
        <w:bidi/>
      </w:pPr>
      <w:r>
        <w:rPr>
          <w:rFonts w:ascii="Arial" w:hAnsi="Arial"/>
          <w:sz w:val="16"/>
        </w:rPr>
        <w:t>223.01  نوشته مدیر مرکز مسئولیت.</w:t>
      </w:r>
    </w:p>
    <w:p>
      <w:pPr>
        <w:spacing w:after="28" w:line="216" w:lineRule="auto"/>
        <w:ind w:left="259"/>
        <w:jc w:val="left"/>
      </w:pPr>
      <w:r>
        <w:rPr>
          <w:rFonts w:ascii="Arial" w:hAnsi="Arial"/>
          <w:color w:val="525252"/>
          <w:sz w:val="13"/>
        </w:rPr>
        <w:t>writing by the responsibility center manager.</w:t>
      </w:r>
    </w:p>
    <w:p>
      <w:pPr>
        <w:spacing w:after="20" w:line="223" w:lineRule="auto"/>
        <w:jc w:val="right"/>
        <w:bidi/>
      </w:pPr>
      <w:r>
        <w:rPr>
          <w:rFonts w:ascii="Arial" w:hAnsi="Arial"/>
          <w:sz w:val="16"/>
        </w:rPr>
        <w:t>223.02  هیئت مدیریت مالی.</w:t>
      </w:r>
    </w:p>
    <w:p>
      <w:pPr>
        <w:spacing w:after="28" w:line="216" w:lineRule="auto"/>
        <w:ind w:left="259"/>
        <w:jc w:val="left"/>
      </w:pPr>
      <w:r>
        <w:rPr>
          <w:rFonts w:ascii="Arial" w:hAnsi="Arial"/>
          <w:color w:val="525252"/>
          <w:sz w:val="13"/>
        </w:rPr>
        <w:t>The Financial Management Board.</w:t>
      </w:r>
    </w:p>
    <w:p>
      <w:pPr>
        <w:spacing w:after="20" w:line="223" w:lineRule="auto"/>
        <w:jc w:val="right"/>
        <w:bidi/>
      </w:pPr>
      <w:r>
        <w:rPr>
          <w:rFonts w:ascii="Arial" w:hAnsi="Arial"/>
          <w:sz w:val="16"/>
        </w:rPr>
        <w:t>223.03  که توسط فرمانده ارشد یا میزبان در هر پایگاه ایجاد می‌شود، هیئت مدیریت مالی اولویت‌های برنامه را تعیین می‌کند و تخصیص مؤثر منابع را تضمین می‌کند.</w:t>
      </w:r>
    </w:p>
    <w:p>
      <w:pPr>
        <w:spacing w:after="28" w:line="216" w:lineRule="auto"/>
        <w:ind w:left="259"/>
        <w:jc w:val="left"/>
      </w:pPr>
      <w:r>
        <w:rPr>
          <w:rFonts w:ascii="Arial" w:hAnsi="Arial"/>
          <w:color w:val="525252"/>
          <w:sz w:val="13"/>
        </w:rPr>
        <w:t>Established by the senior or host commander at each base, the financial management board determines program priorities and ensures effective allocation of resources.</w:t>
      </w:r>
    </w:p>
    <w:p>
      <w:pPr>
        <w:spacing w:after="20" w:line="223" w:lineRule="auto"/>
        <w:jc w:val="right"/>
        <w:bidi/>
      </w:pPr>
      <w:r>
        <w:rPr>
          <w:rFonts w:ascii="Arial" w:hAnsi="Arial"/>
          <w:sz w:val="16"/>
        </w:rPr>
        <w:t>223.04  هیئت مدیریت مالی توصیه‌های ارائه شده توسط گروه کاری مالی را بررسی و تأیید یا رد می‌کند تا از برنامه‌های مالی متعادل و معتبر اطمینان حاصل کند و همه الزامات شناخته شده یا پیش‌بینی‌شده را در نظر بگیرد.</w:t>
      </w:r>
    </w:p>
    <w:p>
      <w:pPr>
        <w:spacing w:after="28" w:line="216" w:lineRule="auto"/>
        <w:ind w:left="259"/>
        <w:jc w:val="left"/>
      </w:pPr>
      <w:r>
        <w:rPr>
          <w:rFonts w:ascii="Arial" w:hAnsi="Arial"/>
          <w:color w:val="525252"/>
          <w:sz w:val="13"/>
        </w:rPr>
        <w:t>The financial management board reviews and approves or disapproves recommendations made by the financial working group to ensure balanced, valid financial programs, and to consider all known or anticipated requirements.</w:t>
      </w:r>
    </w:p>
    <w:p>
      <w:pPr>
        <w:spacing w:after="20" w:line="223" w:lineRule="auto"/>
        <w:jc w:val="right"/>
        <w:bidi/>
      </w:pPr>
      <w:r>
        <w:rPr>
          <w:rFonts w:ascii="Arial" w:hAnsi="Arial"/>
          <w:sz w:val="16"/>
        </w:rPr>
        <w:t>223.05  کارگروه مالی.</w:t>
      </w:r>
    </w:p>
    <w:p>
      <w:pPr>
        <w:spacing w:after="28" w:line="216" w:lineRule="auto"/>
        <w:ind w:left="259"/>
        <w:jc w:val="left"/>
      </w:pPr>
      <w:r>
        <w:rPr>
          <w:rFonts w:ascii="Arial" w:hAnsi="Arial"/>
          <w:color w:val="525252"/>
          <w:sz w:val="13"/>
        </w:rPr>
        <w:t>The Financial Working Group.</w:t>
      </w:r>
    </w:p>
    <w:p>
      <w:pPr>
        <w:spacing w:after="20" w:line="223" w:lineRule="auto"/>
        <w:jc w:val="right"/>
        <w:bidi/>
      </w:pPr>
      <w:r>
        <w:rPr>
          <w:rFonts w:ascii="Arial" w:hAnsi="Arial"/>
          <w:sz w:val="16"/>
        </w:rPr>
        <w:t>223.06  متشکل از مشاوران خطی و منابع کارکنان و مدیران مرکز مسئولیت، گروه کاری مالی کالاها و منابع را مدیریت می‌کند که جزء فعالیت‌های عملیاتی پایگاه یا واحد است.</w:t>
      </w:r>
    </w:p>
    <w:p>
      <w:pPr>
        <w:spacing w:after="28" w:line="216" w:lineRule="auto"/>
        <w:ind w:left="259"/>
        <w:jc w:val="left"/>
      </w:pPr>
      <w:r>
        <w:rPr>
          <w:rFonts w:ascii="Arial" w:hAnsi="Arial"/>
          <w:color w:val="525252"/>
          <w:sz w:val="13"/>
        </w:rPr>
        <w:t>Composed of both line and staff resource advisors and responsibility center managers, the financial working group manages commodities and resources integral to the operating activities of the base or unit.</w:t>
      </w:r>
    </w:p>
    <w:p>
      <w:pPr>
        <w:spacing w:after="20" w:line="223" w:lineRule="auto"/>
        <w:jc w:val="right"/>
        <w:bidi/>
      </w:pPr>
      <w:r>
        <w:rPr>
          <w:rFonts w:ascii="Arial" w:hAnsi="Arial"/>
          <w:sz w:val="16"/>
        </w:rPr>
        <w:t>223.07  کارگروه مالی الزامات و بازنگری‌هایی را برای طرح مالی پایه یا واحد ایجاد می‌کند، همه برنامه‌های مالی صندوق اختصاص‌یافته را بررسی می‌کند و توصیه‌هایی را برای تصویب نهایی به هیئت مدیریت مالی ارائه می‌کند.</w:t>
      </w:r>
    </w:p>
    <w:p>
      <w:pPr>
        <w:spacing w:after="28" w:line="216" w:lineRule="auto"/>
        <w:ind w:left="259"/>
        <w:jc w:val="left"/>
      </w:pPr>
      <w:r>
        <w:rPr>
          <w:rFonts w:ascii="Arial" w:hAnsi="Arial"/>
          <w:color w:val="525252"/>
          <w:sz w:val="13"/>
        </w:rPr>
        <w:t>The financial working group develops requirements and revisions for the base or unit financial plan, reviews all appropriated fund financial plans, and makes recommendations to the financial management board for final approval.</w:t>
      </w:r>
    </w:p>
    <w:p>
      <w:pPr>
        <w:spacing w:after="20" w:line="223" w:lineRule="auto"/>
        <w:jc w:val="right"/>
        <w:bidi/>
      </w:pPr>
      <w:r>
        <w:rPr>
          <w:rFonts w:ascii="Arial" w:hAnsi="Arial"/>
          <w:sz w:val="16"/>
        </w:rPr>
        <w:t>223.08  علاوه بر این، کارگروه مالی توصیه‌هایی را برای اولویت‌بندی نیازمندی‌های بدون بودجه و تعدیلات هدف بودجه بین مراکز مسئولیت و راهنمایی بودجه در سطح پایه به هیئت مدیریت مالی ارائه می‌کند.</w:t>
      </w:r>
    </w:p>
    <w:p>
      <w:pPr>
        <w:spacing w:after="28" w:line="216" w:lineRule="auto"/>
        <w:ind w:left="259"/>
        <w:jc w:val="left"/>
      </w:pPr>
      <w:r>
        <w:rPr>
          <w:rFonts w:ascii="Arial" w:hAnsi="Arial"/>
          <w:color w:val="525252"/>
          <w:sz w:val="13"/>
        </w:rPr>
        <w:t>Additionally, the financial working group presents recommendations to the financial management board for unfunded requirement prioritization and fund target adjustments between responsibility centers and base-level budgetary guidance.</w:t>
      </w:r>
    </w:p>
    <w:p>
      <w:pPr>
        <w:spacing w:after="20" w:line="223" w:lineRule="auto"/>
        <w:jc w:val="right"/>
        <w:bidi/>
      </w:pPr>
      <w:r>
        <w:rPr>
          <w:rFonts w:ascii="Arial" w:hAnsi="Arial"/>
          <w:sz w:val="16"/>
        </w:rPr>
        <w:t>223.09  گروه کاری مالی راهنمایی‌های فنی برای پایه گذاری فعالیت‌ها بر اساس استفاده از منابع مسئولیت اصلی خود ارائه می‌کند.</w:t>
      </w:r>
    </w:p>
    <w:p>
      <w:pPr>
        <w:spacing w:after="28" w:line="216" w:lineRule="auto"/>
        <w:ind w:left="259"/>
        <w:jc w:val="left"/>
      </w:pPr>
      <w:r>
        <w:rPr>
          <w:rFonts w:ascii="Arial" w:hAnsi="Arial"/>
          <w:color w:val="525252"/>
          <w:sz w:val="13"/>
        </w:rPr>
        <w:t>The financial working group provides technical guidance to base activities on using their primary responsibility resources.</w:t>
      </w:r>
    </w:p>
    <w:p>
      <w:pPr>
        <w:spacing w:after="20" w:line="223" w:lineRule="auto"/>
        <w:jc w:val="right"/>
        <w:bidi/>
      </w:pPr>
      <w:r>
        <w:rPr>
          <w:rFonts w:ascii="Arial" w:hAnsi="Arial"/>
          <w:sz w:val="16"/>
        </w:rPr>
        <w:t>223.10  مالی و بودجه سازمانی.</w:t>
      </w:r>
    </w:p>
    <w:p>
      <w:pPr>
        <w:spacing w:after="28" w:line="216" w:lineRule="auto"/>
        <w:ind w:left="259"/>
        <w:jc w:val="left"/>
      </w:pPr>
      <w:r>
        <w:rPr>
          <w:rFonts w:ascii="Arial" w:hAnsi="Arial"/>
          <w:color w:val="525252"/>
          <w:sz w:val="13"/>
        </w:rPr>
        <w:t>Organizational Finance and Budgeting.</w:t>
      </w:r>
    </w:p>
    <w:p>
      <w:pPr>
        <w:spacing w:after="20" w:line="223" w:lineRule="auto"/>
        <w:jc w:val="right"/>
        <w:bidi/>
      </w:pPr>
      <w:r>
        <w:rPr>
          <w:rFonts w:ascii="Arial" w:hAnsi="Arial"/>
          <w:sz w:val="16"/>
        </w:rPr>
        <w:t>223.11  بودجه عملیاتی هزینه‌های مرتبط با عملیات تمام سازمان‌های USAF را پوشش می‌دهد.</w:t>
      </w:r>
    </w:p>
    <w:p>
      <w:pPr>
        <w:spacing w:after="28" w:line="216" w:lineRule="auto"/>
        <w:ind w:left="259"/>
        <w:jc w:val="left"/>
      </w:pPr>
      <w:r>
        <w:rPr>
          <w:rFonts w:ascii="Arial" w:hAnsi="Arial"/>
          <w:color w:val="525252"/>
          <w:sz w:val="13"/>
        </w:rPr>
        <w:t>The operating budget covers costs associated with the operation of all USAF organizations.</w:t>
      </w:r>
    </w:p>
    <w:p>
      <w:pPr>
        <w:spacing w:after="20" w:line="223" w:lineRule="auto"/>
        <w:jc w:val="right"/>
        <w:bidi/>
      </w:pPr>
      <w:r>
        <w:rPr>
          <w:rFonts w:ascii="Arial" w:hAnsi="Arial"/>
          <w:sz w:val="16"/>
        </w:rPr>
        <w:t>223.12  تأییدیه ستاد بالاتر، اختیار تعهد را برای انجام مأموریت می‌دهد.</w:t>
      </w:r>
    </w:p>
    <w:p>
      <w:pPr>
        <w:spacing w:after="28" w:line="216" w:lineRule="auto"/>
        <w:ind w:left="259"/>
        <w:jc w:val="left"/>
      </w:pPr>
      <w:r>
        <w:rPr>
          <w:rFonts w:ascii="Arial" w:hAnsi="Arial"/>
          <w:color w:val="525252"/>
          <w:sz w:val="13"/>
        </w:rPr>
        <w:t>The approval by higher headquarters gives obligation authority to accomplish the mission.</w:t>
      </w:r>
    </w:p>
    <w:p>
      <w:pPr>
        <w:spacing w:after="20" w:line="223" w:lineRule="auto"/>
        <w:jc w:val="right"/>
        <w:bidi/>
      </w:pPr>
      <w:r>
        <w:rPr>
          <w:rFonts w:ascii="Arial" w:hAnsi="Arial"/>
          <w:sz w:val="16"/>
        </w:rPr>
        <w:t>223.13  برنامه بودجه بر اساس سال مالی (۱ اکتبر تا ۳۰ سپتامبر بعدی) عمل می‌کند.</w:t>
      </w:r>
    </w:p>
    <w:p>
      <w:pPr>
        <w:spacing w:after="28" w:line="216" w:lineRule="auto"/>
        <w:ind w:left="259"/>
        <w:jc w:val="left"/>
      </w:pPr>
      <w:r>
        <w:rPr>
          <w:rFonts w:ascii="Arial" w:hAnsi="Arial"/>
          <w:color w:val="525252"/>
          <w:sz w:val="13"/>
        </w:rPr>
        <w:t>The budget program operates on a fiscal year basis (1 October through the following 30 September).</w:t>
      </w:r>
    </w:p>
    <w:p>
      <w:pPr>
        <w:spacing w:before="60" w:after="28"/>
        <w:jc w:val="right"/>
        <w:bidi/>
      </w:pPr>
      <w:r>
        <w:rPr>
          <w:b/>
          <w:color w:val="1F4D78"/>
          <w:sz w:val="18"/>
        </w:rPr>
        <w:t>12.28. برنامه ریزی، برنامه ریزی، بودجه بندی و فرآیند اجرا</w:t>
      </w:r>
    </w:p>
    <w:p>
      <w:pPr>
        <w:spacing w:after="20"/>
        <w:ind w:left="259"/>
        <w:jc w:val="left"/>
      </w:pPr>
      <w:r>
        <w:rPr>
          <w:color w:val="555555"/>
          <w:sz w:val="12"/>
        </w:rPr>
        <w:t>12.28. Planning, Programming, Budgeting, and Execution Process</w:t>
      </w:r>
    </w:p>
    <w:p>
      <w:pPr>
        <w:spacing w:after="20" w:line="223" w:lineRule="auto"/>
        <w:jc w:val="right"/>
        <w:bidi/>
      </w:pPr>
      <w:r>
        <w:rPr>
          <w:rFonts w:ascii="Arial" w:hAnsi="Arial"/>
          <w:sz w:val="16"/>
        </w:rPr>
        <w:t>223.15  فرآیند برنامه‌ریزی، برنامه‌ریزی، بودجه و اجرا (PPBE) سیستم تخصیص منابع وزارت دفاع است.</w:t>
      </w:r>
    </w:p>
    <w:p>
      <w:pPr>
        <w:spacing w:after="28" w:line="216" w:lineRule="auto"/>
        <w:ind w:left="259"/>
        <w:jc w:val="left"/>
      </w:pPr>
      <w:r>
        <w:rPr>
          <w:rFonts w:ascii="Arial" w:hAnsi="Arial"/>
          <w:color w:val="525252"/>
          <w:sz w:val="13"/>
        </w:rPr>
        <w:t>The Planning, Programming, Budgeting, and Execution (PPBE) Process is the Department of Defense’s resource allocation system.</w:t>
      </w:r>
    </w:p>
    <w:p>
      <w:pPr>
        <w:spacing w:after="20" w:line="223" w:lineRule="auto"/>
        <w:jc w:val="right"/>
        <w:bidi/>
      </w:pPr>
      <w:r>
        <w:rPr>
          <w:rFonts w:ascii="Arial" w:hAnsi="Arial"/>
          <w:sz w:val="16"/>
        </w:rPr>
        <w:t>223.16  هدف نهایی این فرآیند، ارائه بهترین ترکیب از نیروها، تجهیزات، نیروی انسانی و پشتیبانی قابل دستیابی در چارچوب محدودیت‌های مالی مطابق با دودد ۷۰۴۵.۱۴، فرآیند برنامه‌ریزی، برنامه‌ریزی، بودجه و اجرا (PPBE) است.</w:t>
      </w:r>
    </w:p>
    <w:p>
      <w:pPr>
        <w:spacing w:after="28" w:line="216" w:lineRule="auto"/>
        <w:ind w:left="259"/>
        <w:jc w:val="left"/>
      </w:pPr>
      <w:r>
        <w:rPr>
          <w:rFonts w:ascii="Arial" w:hAnsi="Arial"/>
          <w:color w:val="525252"/>
          <w:sz w:val="13"/>
        </w:rPr>
        <w:t>The ultimate objective of the process is to provide the best mix of forces, equipment, manpower, and support attainable within fiscal constraints according to DoDD 7045.14, The Planning, Programming, Budgeting and Execution (PPBE) Process.</w:t>
      </w:r>
    </w:p>
    <w:p>
      <w:pPr>
        <w:spacing w:after="20" w:line="223" w:lineRule="auto"/>
        <w:jc w:val="right"/>
        <w:bidi/>
      </w:pPr>
      <w:r>
        <w:rPr>
          <w:rFonts w:ascii="Arial" w:hAnsi="Arial"/>
          <w:sz w:val="16"/>
        </w:rPr>
        <w:t>223.17  هدف این فرآیند دستیابی به اهداف دفاعی تعیین شده توسط رئیس جمهور و وزیر دفاع ایالات متحده است که در برنامه‌ریزی استراتژیک و هدایت برنامه‌ریزی مشترک مشخص شده است.</w:t>
      </w:r>
    </w:p>
    <w:p>
      <w:pPr>
        <w:spacing w:after="28" w:line="216" w:lineRule="auto"/>
        <w:ind w:left="259"/>
        <w:jc w:val="left"/>
      </w:pPr>
      <w:r>
        <w:rPr>
          <w:rFonts w:ascii="Arial" w:hAnsi="Arial"/>
          <w:color w:val="525252"/>
          <w:sz w:val="13"/>
        </w:rPr>
        <w:t>The goal of the process is to achieve the defense objectives established by the U.S. President and the Secretary of Defense outlined in the strategic planning and joint planning guidance.</w:t>
      </w:r>
    </w:p>
    <w:p>
      <w:pPr>
        <w:spacing w:after="20" w:line="223" w:lineRule="auto"/>
        <w:jc w:val="right"/>
        <w:bidi/>
      </w:pPr>
      <w:r>
        <w:rPr>
          <w:rFonts w:ascii="Arial" w:hAnsi="Arial"/>
          <w:sz w:val="16"/>
        </w:rPr>
        <w:t>223.18  این سیستم به رهبران کمک می‌کند تا بودجه‌ای را تنظیم و پیش‌بینی کنند تا اطمینان حاصل شود که بودجه کافی در دسترس است و اثربخشی مدیریت را با اعمال قضاوت و تجربه در برنامه‌ها، محدودیت‌های منابع، سایر تنظیمات برنامه‌ها و ارزیابی گزینه‌های جایگزین برای انجام مأموریت افزایش می‌دهد.</w:t>
      </w:r>
    </w:p>
    <w:p>
      <w:pPr>
        <w:spacing w:after="28" w:line="216" w:lineRule="auto"/>
        <w:ind w:left="259"/>
        <w:jc w:val="left"/>
      </w:pPr>
      <w:r>
        <w:rPr>
          <w:rFonts w:ascii="Arial" w:hAnsi="Arial"/>
          <w:color w:val="525252"/>
          <w:sz w:val="13"/>
        </w:rPr>
        <w:t>This system helps leaders establish and forecast a budget to ensure sufficient funds are available and increases management effectiveness by applying judgment and experience to programs, resource limitations, other program adjustments, and assessing alternatives for mission accomplishment.</w:t>
      </w:r>
    </w:p>
    <w:p>
      <w:pPr>
        <w:spacing w:after="20" w:line="223" w:lineRule="auto"/>
        <w:jc w:val="right"/>
        <w:bidi/>
      </w:pPr>
      <w:r>
        <w:rPr>
          <w:rFonts w:ascii="Arial" w:hAnsi="Arial"/>
          <w:sz w:val="16"/>
        </w:rPr>
        <w:t>223.19  مراحل برنامه‌ریزی، برنامه‌ریزی، بودجه بندی و اجرا.</w:t>
      </w:r>
    </w:p>
    <w:p>
      <w:pPr>
        <w:spacing w:after="28" w:line="216" w:lineRule="auto"/>
        <w:ind w:left="259"/>
        <w:jc w:val="left"/>
      </w:pPr>
      <w:r>
        <w:rPr>
          <w:rFonts w:ascii="Arial" w:hAnsi="Arial"/>
          <w:color w:val="525252"/>
          <w:sz w:val="13"/>
        </w:rPr>
        <w:t>Planning, Programming, Budgeting, and Execution Phases.</w:t>
      </w:r>
    </w:p>
    <w:p>
      <w:pPr>
        <w:spacing w:after="20" w:line="223" w:lineRule="auto"/>
        <w:jc w:val="right"/>
        <w:bidi/>
      </w:pPr>
      <w:r>
        <w:rPr>
          <w:rFonts w:ascii="Arial" w:hAnsi="Arial"/>
          <w:sz w:val="16"/>
        </w:rPr>
        <w:t>223.20  فرآیند PPBE چارچوبی دارد که در مورد قابلیت‌های آینده تصمیم می‌گیرد و فرصتی برای بررسی مجدد تصمیمات قبلی در پرتو تهدیدات در حال تحول، شرایط اقتصادی و نگرانی‌های امنیتی فراهم می‌کند.</w:t>
      </w:r>
    </w:p>
    <w:p>
      <w:pPr>
        <w:spacing w:after="28" w:line="216" w:lineRule="auto"/>
        <w:ind w:left="259"/>
        <w:jc w:val="left"/>
      </w:pPr>
      <w:r>
        <w:rPr>
          <w:rFonts w:ascii="Arial" w:hAnsi="Arial"/>
          <w:color w:val="525252"/>
          <w:sz w:val="13"/>
        </w:rPr>
        <w:t>The PPBE process has a framework that decides on future capabilities and provides an opportunity to reexamine prior decisions in light of evolving threats, economic conditions, and security concerns.</w:t>
      </w:r>
    </w:p>
    <w:p>
      <w:pPr>
        <w:spacing w:after="20" w:line="223" w:lineRule="auto"/>
        <w:jc w:val="right"/>
        <w:bidi/>
      </w:pPr>
      <w:r>
        <w:rPr>
          <w:rFonts w:ascii="Arial" w:hAnsi="Arial"/>
          <w:sz w:val="16"/>
        </w:rPr>
        <w:t>223.21  از چهار مرحله مرتبط و همپوشانی تشکیل شده است: برنامه‌ریزی، برنامه‌ریزی، بودجه بندی و اجرا.</w:t>
      </w:r>
    </w:p>
    <w:p>
      <w:pPr>
        <w:spacing w:after="28" w:line="216" w:lineRule="auto"/>
        <w:ind w:left="259"/>
        <w:jc w:val="left"/>
      </w:pPr>
      <w:r>
        <w:rPr>
          <w:rFonts w:ascii="Arial" w:hAnsi="Arial"/>
          <w:color w:val="525252"/>
          <w:sz w:val="13"/>
        </w:rPr>
        <w:t>It consists of four interrelated and overlapping phases: planning, programming, budgeting, and execution.</w:t>
      </w:r>
    </w:p>
    <w:p>
      <w:pPr>
        <w:spacing w:after="20" w:line="223" w:lineRule="auto"/>
        <w:jc w:val="right"/>
        <w:bidi/>
      </w:pPr>
      <w:r>
        <w:rPr>
          <w:rFonts w:ascii="Arial" w:hAnsi="Arial"/>
          <w:sz w:val="16"/>
        </w:rPr>
        <w:t>223.22  برنامه‌ریزی.</w:t>
      </w:r>
    </w:p>
    <w:p>
      <w:pPr>
        <w:spacing w:after="28" w:line="216" w:lineRule="auto"/>
        <w:ind w:left="259"/>
        <w:jc w:val="left"/>
      </w:pPr>
      <w:r>
        <w:rPr>
          <w:rFonts w:ascii="Arial" w:hAnsi="Arial"/>
          <w:color w:val="525252"/>
          <w:sz w:val="13"/>
        </w:rPr>
        <w:t>Planning.</w:t>
      </w:r>
    </w:p>
    <w:p>
      <w:pPr>
        <w:spacing w:after="20" w:line="223" w:lineRule="auto"/>
        <w:jc w:val="right"/>
        <w:bidi/>
      </w:pPr>
      <w:r>
        <w:rPr>
          <w:rFonts w:ascii="Arial" w:hAnsi="Arial"/>
          <w:sz w:val="16"/>
        </w:rPr>
        <w:t>223.23  USAF رهنمودهای بالا به پایین را به طرح‌ها و الزاماتی تبدیل می‌کند که می‌توان برنامه دفاعی سال آینده را برای آنها توسعه داد.</w:t>
      </w:r>
    </w:p>
    <w:p>
      <w:pPr>
        <w:spacing w:after="28" w:line="216" w:lineRule="auto"/>
        <w:ind w:left="259"/>
        <w:jc w:val="left"/>
      </w:pPr>
      <w:r>
        <w:rPr>
          <w:rFonts w:ascii="Arial" w:hAnsi="Arial"/>
          <w:color w:val="525252"/>
          <w:sz w:val="13"/>
        </w:rPr>
        <w:t>The USAF translates top-down guidance into plans and requirements for which a future year’s defense program can be developed.</w:t>
      </w:r>
    </w:p>
    <w:p>
      <w:pPr>
        <w:spacing w:after="20" w:line="223" w:lineRule="auto"/>
        <w:jc w:val="right"/>
        <w:bidi/>
      </w:pPr>
      <w:r>
        <w:rPr>
          <w:rFonts w:ascii="Arial" w:hAnsi="Arial"/>
          <w:sz w:val="16"/>
        </w:rPr>
        <w:t>223.24  برنامه‌ریزی استراتژی‌های جایگزین را تعریف و بررسی می‌کند و شرایط و روندهای خارجی را تحلیل می‌کند.</w:t>
      </w:r>
    </w:p>
    <w:p>
      <w:pPr>
        <w:spacing w:after="28" w:line="216" w:lineRule="auto"/>
        <w:ind w:left="259"/>
        <w:jc w:val="left"/>
      </w:pPr>
      <w:r>
        <w:rPr>
          <w:rFonts w:ascii="Arial" w:hAnsi="Arial"/>
          <w:color w:val="525252"/>
          <w:sz w:val="13"/>
        </w:rPr>
        <w:t>Planning defines and examines alternative strategies and analyzes external conditions and trends.</w:t>
      </w:r>
    </w:p>
    <w:p>
      <w:pPr>
        <w:spacing w:after="20" w:line="223" w:lineRule="auto"/>
        <w:jc w:val="right"/>
        <w:bidi/>
      </w:pPr>
      <w:r>
        <w:rPr>
          <w:rFonts w:ascii="Arial" w:hAnsi="Arial"/>
          <w:sz w:val="16"/>
        </w:rPr>
        <w:t>223.25  در مرحله برنامه‌ریزی، تغییرات و پیامدهای بلند مدت تصمیمات مورد بررسی قرار می‌گیرد.</w:t>
      </w:r>
    </w:p>
    <w:p>
      <w:pPr>
        <w:spacing w:after="28" w:line="216" w:lineRule="auto"/>
        <w:ind w:left="259"/>
        <w:jc w:val="left"/>
      </w:pPr>
      <w:r>
        <w:rPr>
          <w:rFonts w:ascii="Arial" w:hAnsi="Arial"/>
          <w:color w:val="525252"/>
          <w:sz w:val="13"/>
        </w:rPr>
        <w:t>During the planning phase, changes and long-term implications of decisions are examined.</w:t>
      </w:r>
    </w:p>
    <w:p>
      <w:pPr>
        <w:spacing w:after="20" w:line="223" w:lineRule="auto"/>
        <w:jc w:val="right"/>
        <w:bidi/>
      </w:pPr>
      <w:r>
        <w:rPr>
          <w:rFonts w:ascii="Arial" w:hAnsi="Arial"/>
          <w:sz w:val="16"/>
        </w:rPr>
        <w:t>223.26  برنامه‌ریزی و ارزیابی ساده به اولویت بندی اهداف، ارزیابی استراتژی‌ها و ایجاد ارتباط بین برنامه‌ریزی و برنامه‌ریزی کمک می‌کند.</w:t>
      </w:r>
    </w:p>
    <w:p>
      <w:pPr>
        <w:spacing w:after="28" w:line="216" w:lineRule="auto"/>
        <w:ind w:left="259"/>
        <w:jc w:val="left"/>
      </w:pPr>
      <w:r>
        <w:rPr>
          <w:rFonts w:ascii="Arial" w:hAnsi="Arial"/>
          <w:color w:val="525252"/>
          <w:sz w:val="13"/>
        </w:rPr>
        <w:t>Streamlined planning and assessments help prioritize objectives, assess strategies, and provide the link between planning and programming.</w:t>
      </w:r>
    </w:p>
    <w:p>
      <w:pPr>
        <w:spacing w:after="20" w:line="223" w:lineRule="auto"/>
        <w:jc w:val="right"/>
        <w:bidi/>
      </w:pPr>
      <w:r>
        <w:rPr>
          <w:rFonts w:ascii="Arial" w:hAnsi="Arial"/>
          <w:sz w:val="16"/>
        </w:rPr>
        <w:t>223.27  برنامه‌ریزی همچنین هدفی را فراهم می‌کند که USAF می‌تواند موفقیت اجرا را بر اساس آن بسنجد.</w:t>
      </w:r>
    </w:p>
    <w:p>
      <w:pPr>
        <w:spacing w:after="28" w:line="216" w:lineRule="auto"/>
        <w:ind w:left="259"/>
        <w:jc w:val="left"/>
      </w:pPr>
      <w:r>
        <w:rPr>
          <w:rFonts w:ascii="Arial" w:hAnsi="Arial"/>
          <w:color w:val="525252"/>
          <w:sz w:val="13"/>
        </w:rPr>
        <w:t>Planning also provides an objective against which the USAF can measure execution success.</w:t>
      </w:r>
    </w:p>
    <w:p>
      <w:pPr>
        <w:spacing w:after="20" w:line="223" w:lineRule="auto"/>
        <w:jc w:val="right"/>
        <w:bidi/>
      </w:pPr>
      <w:r>
        <w:rPr>
          <w:rFonts w:ascii="Arial" w:hAnsi="Arial"/>
          <w:sz w:val="16"/>
        </w:rPr>
        <w:t>223.28  برنامه نویسی.</w:t>
      </w:r>
    </w:p>
    <w:p>
      <w:pPr>
        <w:spacing w:after="28" w:line="216" w:lineRule="auto"/>
        <w:ind w:left="259"/>
        <w:jc w:val="left"/>
      </w:pPr>
      <w:r>
        <w:rPr>
          <w:rFonts w:ascii="Arial" w:hAnsi="Arial"/>
          <w:color w:val="525252"/>
          <w:sz w:val="13"/>
        </w:rPr>
        <w:t>Programming.</w:t>
      </w:r>
    </w:p>
    <w:p>
      <w:pPr>
        <w:spacing w:after="20" w:line="223" w:lineRule="auto"/>
        <w:jc w:val="right"/>
        <w:bidi/>
      </w:pPr>
      <w:r>
        <w:rPr>
          <w:rFonts w:ascii="Arial" w:hAnsi="Arial"/>
          <w:sz w:val="16"/>
        </w:rPr>
        <w:t>223.29  در مرحله برنامه‌ریزی، خط‌مشی‌ها و راهنمایی‌های برنامه‌ریزی مورد توجه قرار می‌گیرد و هزینه‌های اولیه برنامه تعیین می‌شود.</w:t>
      </w:r>
    </w:p>
    <w:p>
      <w:pPr>
        <w:spacing w:after="28" w:line="216" w:lineRule="auto"/>
        <w:ind w:left="259"/>
        <w:jc w:val="left"/>
      </w:pPr>
      <w:r>
        <w:rPr>
          <w:rFonts w:ascii="Arial" w:hAnsi="Arial"/>
          <w:color w:val="525252"/>
          <w:sz w:val="13"/>
        </w:rPr>
        <w:t>During the programming phase, planning policies and guidance are addressed, and initial program costs are established.</w:t>
      </w:r>
    </w:p>
    <w:p>
      <w:pPr>
        <w:spacing w:after="20" w:line="223" w:lineRule="auto"/>
        <w:jc w:val="right"/>
        <w:bidi/>
      </w:pPr>
      <w:r>
        <w:rPr>
          <w:rFonts w:ascii="Arial" w:hAnsi="Arial"/>
          <w:sz w:val="16"/>
        </w:rPr>
        <w:t>223.30  با برنامه نویسی، USAF منابع موجود (مالی، نیروی انسانی و مواد) را با الزامات معتبر برای دستیابی به برنامه استراتژیک و ارائه پیشنهادات برنامه مطابقت می‌دهد.</w:t>
      </w:r>
    </w:p>
    <w:p>
      <w:pPr>
        <w:spacing w:after="28" w:line="216" w:lineRule="auto"/>
        <w:ind w:left="259"/>
        <w:jc w:val="left"/>
      </w:pPr>
      <w:r>
        <w:rPr>
          <w:rFonts w:ascii="Arial" w:hAnsi="Arial"/>
          <w:color w:val="525252"/>
          <w:sz w:val="13"/>
        </w:rPr>
        <w:t>By programming, the USAF matches available resources (fiscal, manpower, and materiel) against validated requirements to achieve the strategic plan and submit program proposals.</w:t>
      </w:r>
    </w:p>
    <w:p>
      <w:pPr>
        <w:spacing w:after="20" w:line="223" w:lineRule="auto"/>
        <w:jc w:val="right"/>
        <w:bidi/>
      </w:pPr>
      <w:r>
        <w:rPr>
          <w:rFonts w:ascii="Arial" w:hAnsi="Arial"/>
          <w:sz w:val="16"/>
        </w:rPr>
        <w:t>223.31  هدف اصلی برنامه‌نویسی، ایجاد یک تفاهم‌نامه هدف برنامه نیروی هوایی متوازن و مبتنی بر قابلیت‌ها (POM) است.</w:t>
      </w:r>
    </w:p>
    <w:p>
      <w:pPr>
        <w:spacing w:after="28" w:line="216" w:lineRule="auto"/>
        <w:ind w:left="259"/>
        <w:jc w:val="left"/>
      </w:pPr>
      <w:r>
        <w:rPr>
          <w:rFonts w:ascii="Arial" w:hAnsi="Arial"/>
          <w:color w:val="525252"/>
          <w:sz w:val="13"/>
        </w:rPr>
        <w:t>The key objective of programming is to develop a balanced, capabilities-based Air Force Program Objective Memorandum (POM).</w:t>
      </w:r>
    </w:p>
    <w:p>
      <w:pPr>
        <w:spacing w:after="20" w:line="223" w:lineRule="auto"/>
        <w:jc w:val="right"/>
        <w:bidi/>
      </w:pPr>
      <w:r>
        <w:rPr>
          <w:rFonts w:ascii="Arial" w:hAnsi="Arial"/>
          <w:sz w:val="16"/>
        </w:rPr>
        <w:t>223.32  علاوه بر این، USAF</w:t>
      </w:r>
    </w:p>
    <w:p>
      <w:pPr>
        <w:spacing w:after="28" w:line="216" w:lineRule="auto"/>
        <w:ind w:left="259"/>
        <w:jc w:val="left"/>
      </w:pPr>
      <w:r>
        <w:rPr>
          <w:rFonts w:ascii="Arial" w:hAnsi="Arial"/>
          <w:color w:val="525252"/>
          <w:sz w:val="13"/>
        </w:rPr>
        <w:t>In addition, the USAF</w:t>
      </w:r>
    </w:p>
    <w:p>
      <w:r>
        <w:br w:type="page"/>
      </w:r>
    </w:p>
    <w:p>
      <w:pPr>
        <w:spacing w:after="60"/>
        <w:jc w:val="right"/>
        <w:bidi/>
      </w:pPr>
      <w:r>
        <w:rPr>
          <w:rFonts w:ascii="Arial" w:hAnsi="Arial"/>
          <w:b/>
          <w:color w:val="1F4D78"/>
          <w:sz w:val="19"/>
        </w:rPr>
        <w:t>هفتهٔ 224  |  صفحهٔ منبع: 240</w:t>
      </w:r>
    </w:p>
    <w:p>
      <w:pPr>
        <w:spacing w:after="20" w:line="223" w:lineRule="auto"/>
        <w:jc w:val="right"/>
        <w:bidi/>
      </w:pPr>
      <w:r>
        <w:rPr>
          <w:rFonts w:ascii="Arial" w:hAnsi="Arial"/>
          <w:sz w:val="16"/>
        </w:rPr>
        <w:t>224.01  از POM در طول بررسی برنامه و بررسی بودجه دفاع می‌کند و برنامه را در نتیجه بررسی‌های دفتر وزیر دفاع و تغییر موقعیت‌های ملی و بین‌المللی تنظیم می‌کند.</w:t>
      </w:r>
    </w:p>
    <w:p>
      <w:pPr>
        <w:spacing w:after="28" w:line="216" w:lineRule="auto"/>
        <w:ind w:left="259"/>
        <w:jc w:val="left"/>
      </w:pPr>
      <w:r>
        <w:rPr>
          <w:rFonts w:ascii="Arial" w:hAnsi="Arial"/>
          <w:color w:val="525252"/>
          <w:sz w:val="13"/>
        </w:rPr>
        <w:t>defends the POM during program review and budget review and adjusts the program as a result of the Office of the Secretary of Defense reviews and changing national and international situations.</w:t>
      </w:r>
    </w:p>
    <w:p>
      <w:pPr>
        <w:spacing w:after="20" w:line="223" w:lineRule="auto"/>
        <w:jc w:val="right"/>
        <w:bidi/>
      </w:pPr>
      <w:r>
        <w:rPr>
          <w:rFonts w:ascii="Arial" w:hAnsi="Arial"/>
          <w:sz w:val="16"/>
        </w:rPr>
        <w:t>224.02  در حالی که USAF و سایر بخش‌های نظامی نیازمندی‌های برنامه‌ریزی‌شده را با منابع مورد نیاز برای تأمین آن‌ها مرتبط می‌کنند، معاوضه‌ها ناگزیر فراتر از مواردی است که در فرآیند برنامه‌ریزی وجود دارد.</w:t>
      </w:r>
    </w:p>
    <w:p>
      <w:pPr>
        <w:spacing w:after="28" w:line="216" w:lineRule="auto"/>
        <w:ind w:left="259"/>
        <w:jc w:val="left"/>
      </w:pPr>
      <w:r>
        <w:rPr>
          <w:rFonts w:ascii="Arial" w:hAnsi="Arial"/>
          <w:color w:val="525252"/>
          <w:sz w:val="13"/>
        </w:rPr>
        <w:t>While the USAF and other military departments link planned requirements with the resources needed to provide them, tradeoffs are inevitably involved beyond those in the planning process.</w:t>
      </w:r>
    </w:p>
    <w:p>
      <w:pPr>
        <w:spacing w:after="20" w:line="223" w:lineRule="auto"/>
        <w:jc w:val="right"/>
        <w:bidi/>
      </w:pPr>
      <w:r>
        <w:rPr>
          <w:rFonts w:ascii="Arial" w:hAnsi="Arial"/>
          <w:sz w:val="16"/>
        </w:rPr>
        <w:t>224.03  بودجه بندی.</w:t>
      </w:r>
    </w:p>
    <w:p>
      <w:pPr>
        <w:spacing w:after="28" w:line="216" w:lineRule="auto"/>
        <w:ind w:left="259"/>
        <w:jc w:val="left"/>
      </w:pPr>
      <w:r>
        <w:rPr>
          <w:rFonts w:ascii="Arial" w:hAnsi="Arial"/>
          <w:color w:val="525252"/>
          <w:sz w:val="13"/>
        </w:rPr>
        <w:t>Budgeting.</w:t>
      </w:r>
    </w:p>
    <w:p>
      <w:pPr>
        <w:spacing w:after="20" w:line="223" w:lineRule="auto"/>
        <w:jc w:val="right"/>
        <w:bidi/>
      </w:pPr>
      <w:r>
        <w:rPr>
          <w:rFonts w:ascii="Arial" w:hAnsi="Arial"/>
          <w:sz w:val="16"/>
        </w:rPr>
        <w:t>224.04  مرحله بودجه ریزی همزمان با مرحله برنامه‌ریزی اتفاق می‌افتد.</w:t>
      </w:r>
    </w:p>
    <w:p>
      <w:pPr>
        <w:spacing w:after="28" w:line="216" w:lineRule="auto"/>
        <w:ind w:left="259"/>
        <w:jc w:val="left"/>
      </w:pPr>
      <w:r>
        <w:rPr>
          <w:rFonts w:ascii="Arial" w:hAnsi="Arial"/>
          <w:color w:val="525252"/>
          <w:sz w:val="13"/>
        </w:rPr>
        <w:t>The budgeting phase occurs concurrently with the programming phase.</w:t>
      </w:r>
    </w:p>
    <w:p>
      <w:pPr>
        <w:spacing w:after="20" w:line="223" w:lineRule="auto"/>
        <w:jc w:val="right"/>
        <w:bidi/>
      </w:pPr>
      <w:r>
        <w:rPr>
          <w:rFonts w:ascii="Arial" w:hAnsi="Arial"/>
          <w:sz w:val="16"/>
        </w:rPr>
        <w:t>224.05  هر بخش وزارت دفاع، تخمین بودجه پیشنهادی را همزمان با POM ارائه می‌کند.</w:t>
      </w:r>
    </w:p>
    <w:p>
      <w:pPr>
        <w:spacing w:after="28" w:line="216" w:lineRule="auto"/>
        <w:ind w:left="259"/>
        <w:jc w:val="left"/>
      </w:pPr>
      <w:r>
        <w:rPr>
          <w:rFonts w:ascii="Arial" w:hAnsi="Arial"/>
          <w:color w:val="525252"/>
          <w:sz w:val="13"/>
        </w:rPr>
        <w:t>Each Department of Defense Component submits a proposed budget estimate simultaneously with a POM.</w:t>
      </w:r>
    </w:p>
    <w:p>
      <w:pPr>
        <w:spacing w:after="20" w:line="223" w:lineRule="auto"/>
        <w:jc w:val="right"/>
        <w:bidi/>
      </w:pPr>
      <w:r>
        <w:rPr>
          <w:rFonts w:ascii="Arial" w:hAnsi="Arial"/>
          <w:sz w:val="16"/>
        </w:rPr>
        <w:t>224.06  مرحله بودجه‌بندی تدوین و توجیه، بستری را برای بررسی دقیق قیمت‌گذاری، مرحله‌بندی و قابلیت کلی برنامه فراهم می‌کند تا به موقع و در چارچوب بودجه اجرا شود.</w:t>
      </w:r>
    </w:p>
    <w:p>
      <w:pPr>
        <w:spacing w:after="28" w:line="216" w:lineRule="auto"/>
        <w:ind w:left="259"/>
        <w:jc w:val="left"/>
      </w:pPr>
      <w:r>
        <w:rPr>
          <w:rFonts w:ascii="Arial" w:hAnsi="Arial"/>
          <w:color w:val="525252"/>
          <w:sz w:val="13"/>
        </w:rPr>
        <w:t>The budgeting phase of formulation and justification provides a platform for a detailed review of a program’s pricing, phasing, and overall capability to be executed on time and within budget.</w:t>
      </w:r>
    </w:p>
    <w:p>
      <w:pPr>
        <w:spacing w:after="20" w:line="223" w:lineRule="auto"/>
        <w:jc w:val="right"/>
        <w:bidi/>
      </w:pPr>
      <w:r>
        <w:rPr>
          <w:rFonts w:ascii="Arial" w:hAnsi="Arial"/>
          <w:sz w:val="16"/>
        </w:rPr>
        <w:t>224.07  فرآیند بودجه ریزی اصولا به سال هایی می‌پردازد که باید در بودجه رئیس جمهور ایالات متحده توجیه شوند.</w:t>
      </w:r>
    </w:p>
    <w:p>
      <w:pPr>
        <w:spacing w:after="28" w:line="216" w:lineRule="auto"/>
        <w:ind w:left="259"/>
        <w:jc w:val="left"/>
      </w:pPr>
      <w:r>
        <w:rPr>
          <w:rFonts w:ascii="Arial" w:hAnsi="Arial"/>
          <w:color w:val="525252"/>
          <w:sz w:val="13"/>
        </w:rPr>
        <w:t>The budgeting process principally addresses the years to be justified in the U.S. President’s budget.</w:t>
      </w:r>
    </w:p>
    <w:p>
      <w:pPr>
        <w:spacing w:after="20" w:line="223" w:lineRule="auto"/>
        <w:jc w:val="right"/>
        <w:bidi/>
      </w:pPr>
      <w:r>
        <w:rPr>
          <w:rFonts w:ascii="Arial" w:hAnsi="Arial"/>
          <w:sz w:val="16"/>
        </w:rPr>
        <w:t>224.08  سه اتفاق در تهیه گزارش ارائه برآورد بودجه می‌افتد.</w:t>
      </w:r>
    </w:p>
    <w:p>
      <w:pPr>
        <w:spacing w:after="28" w:line="216" w:lineRule="auto"/>
        <w:ind w:left="259"/>
        <w:jc w:val="left"/>
      </w:pPr>
      <w:r>
        <w:rPr>
          <w:rFonts w:ascii="Arial" w:hAnsi="Arial"/>
          <w:color w:val="525252"/>
          <w:sz w:val="13"/>
        </w:rPr>
        <w:t>Three things happen in the preparation of the budget estimate submission.</w:t>
      </w:r>
    </w:p>
    <w:p>
      <w:pPr>
        <w:spacing w:after="20" w:line="223" w:lineRule="auto"/>
        <w:jc w:val="right"/>
        <w:bidi/>
      </w:pPr>
      <w:r>
        <w:rPr>
          <w:rFonts w:ascii="Arial" w:hAnsi="Arial"/>
          <w:sz w:val="16"/>
        </w:rPr>
        <w:t>224.09  ابتدا، تحلیلگران بودجه USAF موقعیت‌هایی را شناسایی می‌کنند که این برنامه منابع USAF را در معرض خطر دفتر وزیر دفاع یا کاهش کنگره قرار داده است.</w:t>
      </w:r>
    </w:p>
    <w:p>
      <w:pPr>
        <w:spacing w:after="28" w:line="216" w:lineRule="auto"/>
        <w:ind w:left="259"/>
        <w:jc w:val="left"/>
      </w:pPr>
      <w:r>
        <w:rPr>
          <w:rFonts w:ascii="Arial" w:hAnsi="Arial"/>
          <w:color w:val="525252"/>
          <w:sz w:val="13"/>
        </w:rPr>
        <w:t>First, USAF budget analysts identify situations where the program has put USAF resources at risk of Office of the Secretary of Defense or congressional reduction.</w:t>
      </w:r>
    </w:p>
    <w:p>
      <w:pPr>
        <w:spacing w:after="20" w:line="223" w:lineRule="auto"/>
        <w:jc w:val="right"/>
        <w:bidi/>
      </w:pPr>
      <w:r>
        <w:rPr>
          <w:rFonts w:ascii="Arial" w:hAnsi="Arial"/>
          <w:sz w:val="16"/>
        </w:rPr>
        <w:t>224.10  دوم اینکه، کنترلر آخرین ارقام تورم و ساعت پرواز و نرخ نیروی انسانی و غیره را اعمال می‌کند.</w:t>
      </w:r>
    </w:p>
    <w:p>
      <w:pPr>
        <w:spacing w:after="28" w:line="216" w:lineRule="auto"/>
        <w:ind w:left="259"/>
        <w:jc w:val="left"/>
      </w:pPr>
      <w:r>
        <w:rPr>
          <w:rFonts w:ascii="Arial" w:hAnsi="Arial"/>
          <w:color w:val="525252"/>
          <w:sz w:val="13"/>
        </w:rPr>
        <w:t>Second, the comptroller applies the latest inflation figures and flying hour and manpower rates, etc.</w:t>
      </w:r>
    </w:p>
    <w:p>
      <w:pPr>
        <w:spacing w:after="20" w:line="223" w:lineRule="auto"/>
        <w:jc w:val="right"/>
        <w:bidi/>
      </w:pPr>
      <w:r>
        <w:rPr>
          <w:rFonts w:ascii="Arial" w:hAnsi="Arial"/>
          <w:sz w:val="16"/>
        </w:rPr>
        <w:t>224.11  سوم، برنامه در قالب بودجه دفتر وزیر دفاع قرار می‌گیرد و مستندات توجیهی بودجه تهیه می‌شود.</w:t>
      </w:r>
    </w:p>
    <w:p>
      <w:pPr>
        <w:spacing w:after="28" w:line="216" w:lineRule="auto"/>
        <w:ind w:left="259"/>
        <w:jc w:val="left"/>
      </w:pPr>
      <w:r>
        <w:rPr>
          <w:rFonts w:ascii="Arial" w:hAnsi="Arial"/>
          <w:color w:val="525252"/>
          <w:sz w:val="13"/>
        </w:rPr>
        <w:t>Third, the program is put into the Office of the Secretary of Defense budget format and budget justification documentation is prepared.</w:t>
      </w:r>
    </w:p>
    <w:p>
      <w:pPr>
        <w:spacing w:after="20" w:line="223" w:lineRule="auto"/>
        <w:jc w:val="right"/>
        <w:bidi/>
      </w:pPr>
      <w:r>
        <w:rPr>
          <w:rFonts w:ascii="Arial" w:hAnsi="Arial"/>
          <w:sz w:val="16"/>
        </w:rPr>
        <w:t>224.12  پس از تکمیل این مراحل، موقعیت نهایی، ارسال تخمین POM/بودگت یا بررسی بودجه برنامه نامیده می‌شود.</w:t>
      </w:r>
    </w:p>
    <w:p>
      <w:pPr>
        <w:spacing w:after="28" w:line="216" w:lineRule="auto"/>
        <w:ind w:left="259"/>
        <w:jc w:val="left"/>
      </w:pPr>
      <w:r>
        <w:rPr>
          <w:rFonts w:ascii="Arial" w:hAnsi="Arial"/>
          <w:color w:val="525252"/>
          <w:sz w:val="13"/>
        </w:rPr>
        <w:t>Once these steps are completed, the final position is called the POM/budget estimate submission or program budget review.</w:t>
      </w:r>
    </w:p>
    <w:p>
      <w:pPr>
        <w:spacing w:after="20" w:line="223" w:lineRule="auto"/>
        <w:jc w:val="right"/>
        <w:bidi/>
      </w:pPr>
      <w:r>
        <w:rPr>
          <w:rFonts w:ascii="Arial" w:hAnsi="Arial"/>
          <w:sz w:val="16"/>
        </w:rPr>
        <w:t>224.13  مرحله بودجه ریزی با ارائه بازنگری بودجه برنامه و تغییرات واقعی از طریق سند اطلاع رسانی در سال پایانی ادامه می‌یابد.</w:t>
      </w:r>
    </w:p>
    <w:p>
      <w:pPr>
        <w:spacing w:after="28" w:line="216" w:lineRule="auto"/>
        <w:ind w:left="259"/>
        <w:jc w:val="left"/>
      </w:pPr>
      <w:r>
        <w:rPr>
          <w:rFonts w:ascii="Arial" w:hAnsi="Arial"/>
          <w:color w:val="525252"/>
          <w:sz w:val="13"/>
        </w:rPr>
        <w:t>The budgeting phase continues with the program budget review submission and fact-of-life changes via notification document in the off-year.</w:t>
      </w:r>
    </w:p>
    <w:p>
      <w:pPr>
        <w:spacing w:after="20" w:line="223" w:lineRule="auto"/>
        <w:jc w:val="right"/>
        <w:bidi/>
      </w:pPr>
      <w:r>
        <w:rPr>
          <w:rFonts w:ascii="Arial" w:hAnsi="Arial"/>
          <w:sz w:val="16"/>
        </w:rPr>
        <w:t>224.14  اعدام.</w:t>
      </w:r>
    </w:p>
    <w:p>
      <w:pPr>
        <w:spacing w:after="28" w:line="216" w:lineRule="auto"/>
        <w:ind w:left="259"/>
        <w:jc w:val="left"/>
      </w:pPr>
      <w:r>
        <w:rPr>
          <w:rFonts w:ascii="Arial" w:hAnsi="Arial"/>
          <w:color w:val="525252"/>
          <w:sz w:val="13"/>
        </w:rPr>
        <w:t>Execution.</w:t>
      </w:r>
    </w:p>
    <w:p>
      <w:pPr>
        <w:spacing w:after="20" w:line="223" w:lineRule="auto"/>
        <w:jc w:val="right"/>
        <w:bidi/>
      </w:pPr>
      <w:r>
        <w:rPr>
          <w:rFonts w:ascii="Arial" w:hAnsi="Arial"/>
          <w:sz w:val="16"/>
        </w:rPr>
        <w:t>224.15  مرحله اجرا بر اجرای روزانه USAF تمرکز دارد.</w:t>
      </w:r>
    </w:p>
    <w:p>
      <w:pPr>
        <w:spacing w:after="28" w:line="216" w:lineRule="auto"/>
        <w:ind w:left="259"/>
        <w:jc w:val="left"/>
      </w:pPr>
      <w:r>
        <w:rPr>
          <w:rFonts w:ascii="Arial" w:hAnsi="Arial"/>
          <w:color w:val="525252"/>
          <w:sz w:val="13"/>
        </w:rPr>
        <w:t>The execution phase focuses on running the USAF day to day.</w:t>
      </w:r>
    </w:p>
    <w:p>
      <w:pPr>
        <w:spacing w:after="20" w:line="223" w:lineRule="auto"/>
        <w:jc w:val="right"/>
        <w:bidi/>
      </w:pPr>
      <w:r>
        <w:rPr>
          <w:rFonts w:ascii="Arial" w:hAnsi="Arial"/>
          <w:sz w:val="16"/>
        </w:rPr>
        <w:t>224.16  اجرا در سطوح سازمانی قابل اجرا انجام می‌شود.</w:t>
      </w:r>
    </w:p>
    <w:p>
      <w:pPr>
        <w:spacing w:after="28" w:line="216" w:lineRule="auto"/>
        <w:ind w:left="259"/>
        <w:jc w:val="left"/>
      </w:pPr>
      <w:r>
        <w:rPr>
          <w:rFonts w:ascii="Arial" w:hAnsi="Arial"/>
          <w:color w:val="525252"/>
          <w:sz w:val="13"/>
        </w:rPr>
        <w:t>Execution is carried out at applicable organizational levels.</w:t>
      </w:r>
    </w:p>
    <w:p>
      <w:pPr>
        <w:spacing w:after="20" w:line="223" w:lineRule="auto"/>
        <w:jc w:val="right"/>
        <w:bidi/>
      </w:pPr>
      <w:r>
        <w:rPr>
          <w:rFonts w:ascii="Arial" w:hAnsi="Arial"/>
          <w:sz w:val="16"/>
        </w:rPr>
        <w:t>224.17  فرماندهان اصلی USAF و HAF سهم خود را از اختیارات تعهدی برای اجرای مأموریت‌های خود مطابق با لیست‌های اولویت یکپارچه تأیید شده برای برنامه هایی که به صورت مرکزی مدیریت می‌شوند، تخصیص می‌دهند.</w:t>
      </w:r>
    </w:p>
    <w:p>
      <w:pPr>
        <w:spacing w:after="28" w:line="216" w:lineRule="auto"/>
        <w:ind w:left="259"/>
        <w:jc w:val="left"/>
      </w:pPr>
      <w:r>
        <w:rPr>
          <w:rFonts w:ascii="Arial" w:hAnsi="Arial"/>
          <w:color w:val="525252"/>
          <w:sz w:val="13"/>
        </w:rPr>
        <w:t>The USAF major commands and HAF are allocated their share of obligation authority to execute their missions in accordance with approved integrated priority lists for those programs that are centrally managed.</w:t>
      </w:r>
    </w:p>
    <w:p>
      <w:pPr>
        <w:spacing w:after="20" w:line="223" w:lineRule="auto"/>
        <w:jc w:val="right"/>
        <w:bidi/>
      </w:pPr>
      <w:r>
        <w:rPr>
          <w:rFonts w:ascii="Arial" w:hAnsi="Arial"/>
          <w:sz w:val="16"/>
        </w:rPr>
        <w:t>224.18  از آنجایی که بودجه در حال اجرا در هر سال معین در واقع بیش از یک سال قبل از آن تدوین شده است، برخی از مفروضات که بودجه بر اساس آن تنظیم شده است تغییر خواهد کرد.</w:t>
      </w:r>
    </w:p>
    <w:p>
      <w:pPr>
        <w:spacing w:after="28" w:line="216" w:lineRule="auto"/>
        <w:ind w:left="259"/>
        <w:jc w:val="left"/>
      </w:pPr>
      <w:r>
        <w:rPr>
          <w:rFonts w:ascii="Arial" w:hAnsi="Arial"/>
          <w:color w:val="525252"/>
          <w:sz w:val="13"/>
        </w:rPr>
        <w:t>Because the budget being executed in any given year was actually compiled over a year earlier, some assumptions on which the budget was based will have changed.</w:t>
      </w:r>
    </w:p>
    <w:p>
      <w:pPr>
        <w:spacing w:after="20" w:line="223" w:lineRule="auto"/>
        <w:jc w:val="right"/>
        <w:bidi/>
      </w:pPr>
      <w:r>
        <w:rPr>
          <w:rFonts w:ascii="Arial" w:hAnsi="Arial"/>
          <w:sz w:val="16"/>
        </w:rPr>
        <w:t>224.19  از آنجایی که تغییر پیش‌بینی می‌شود، کنگره اجازه می‌دهد حدودی در بودجه‌های عملیاتی انعطاف‌پذیری داشته باشد تا منابع را بدون نیاز به مجوز آنها جابه‌جا کند، اما انتظار می‌رود که نصب‌ها در فهرست اولویت‌های یکپارچه برای برنامه‌های مدیریت مرکزی اجرا شوند.</w:t>
      </w:r>
    </w:p>
    <w:p>
      <w:pPr>
        <w:spacing w:after="28" w:line="216" w:lineRule="auto"/>
        <w:ind w:left="259"/>
        <w:jc w:val="left"/>
      </w:pPr>
      <w:r>
        <w:rPr>
          <w:rFonts w:ascii="Arial" w:hAnsi="Arial"/>
          <w:color w:val="525252"/>
          <w:sz w:val="13"/>
        </w:rPr>
        <w:t>Because change is anticipated, Congress allows some flexibility within the operating budgets to move resources without requiring their permission, but installations are expected to execute to the integrated priority list for centrally managed programs.</w:t>
      </w:r>
    </w:p>
    <w:p>
      <w:pPr>
        <w:spacing w:after="20" w:line="223" w:lineRule="auto"/>
        <w:jc w:val="right"/>
        <w:bidi/>
      </w:pPr>
      <w:r>
        <w:rPr>
          <w:rFonts w:ascii="Arial" w:hAnsi="Arial"/>
          <w:sz w:val="16"/>
        </w:rPr>
        <w:t>224.20  یکی از بخش‌های کلیدی مرحله اجرا، عملیات فرماندهی اصلی و برنامه عملیات تعمیر و نگهداری است.</w:t>
      </w:r>
    </w:p>
    <w:p>
      <w:pPr>
        <w:spacing w:after="28" w:line="216" w:lineRule="auto"/>
        <w:ind w:left="259"/>
        <w:jc w:val="left"/>
      </w:pPr>
      <w:r>
        <w:rPr>
          <w:rFonts w:ascii="Arial" w:hAnsi="Arial"/>
          <w:color w:val="525252"/>
          <w:sz w:val="13"/>
        </w:rPr>
        <w:t>One key part of the execution phase is the major command operations and maintenance operation plan.</w:t>
      </w:r>
    </w:p>
    <w:p>
      <w:pPr>
        <w:spacing w:after="20" w:line="223" w:lineRule="auto"/>
        <w:jc w:val="right"/>
        <w:bidi/>
      </w:pPr>
      <w:r>
        <w:rPr>
          <w:rFonts w:ascii="Arial" w:hAnsi="Arial"/>
          <w:sz w:val="16"/>
        </w:rPr>
        <w:t>224.21  اجرای برنامه USAF در طول بررسی‌های اجرای بودجه در ماه‌های فوریه، آوریل (همزمان با بررسی میانسالی داخلی USAF) و جولای بررسی می‌شود.</w:t>
      </w:r>
    </w:p>
    <w:p>
      <w:pPr>
        <w:spacing w:after="28" w:line="216" w:lineRule="auto"/>
        <w:ind w:left="259"/>
        <w:jc w:val="left"/>
      </w:pPr>
      <w:r>
        <w:rPr>
          <w:rFonts w:ascii="Arial" w:hAnsi="Arial"/>
          <w:color w:val="525252"/>
          <w:sz w:val="13"/>
        </w:rPr>
        <w:t>USAF program execution is reviewed during the budget execution reviews in February, April (concurrent with the internal USAF mid-year review), and July.</w:t>
      </w:r>
    </w:p>
    <w:p>
      <w:pPr>
        <w:spacing w:before="60" w:after="28"/>
        <w:jc w:val="right"/>
        <w:bidi/>
      </w:pPr>
      <w:r>
        <w:rPr>
          <w:b/>
          <w:color w:val="1F4D78"/>
          <w:sz w:val="18"/>
        </w:rPr>
        <w:t>12.29. برنامه دفاعی سالهای آینده</w:t>
      </w:r>
    </w:p>
    <w:p>
      <w:pPr>
        <w:spacing w:after="20"/>
        <w:ind w:left="259"/>
        <w:jc w:val="left"/>
      </w:pPr>
      <w:r>
        <w:rPr>
          <w:color w:val="555555"/>
          <w:sz w:val="12"/>
        </w:rPr>
        <w:t>12.29. Future Years Defense Program</w:t>
      </w:r>
    </w:p>
    <w:p>
      <w:pPr>
        <w:spacing w:after="20" w:line="223" w:lineRule="auto"/>
        <w:jc w:val="right"/>
        <w:bidi/>
      </w:pPr>
      <w:r>
        <w:rPr>
          <w:rFonts w:ascii="Arial" w:hAnsi="Arial"/>
          <w:sz w:val="16"/>
        </w:rPr>
        <w:t>224.23  برنامه دفاعی سال‌های آینده (FYDP) پایگاهی است که نیروها، منابع و تجهیزات مرتبط با تمام برنامه‌های وزارت دفاع را خلاصه می‌کند.</w:t>
      </w:r>
    </w:p>
    <w:p>
      <w:pPr>
        <w:spacing w:after="28" w:line="216" w:lineRule="auto"/>
        <w:ind w:left="259"/>
        <w:jc w:val="left"/>
      </w:pPr>
      <w:r>
        <w:rPr>
          <w:rFonts w:ascii="Arial" w:hAnsi="Arial"/>
          <w:color w:val="525252"/>
          <w:sz w:val="13"/>
        </w:rPr>
        <w:t>The Future Years Defense Program (FYDP) is a database that summarizes forces, resources, and equipment associated with all Department of Defense programs.</w:t>
      </w:r>
    </w:p>
    <w:p>
      <w:pPr>
        <w:spacing w:after="20" w:line="223" w:lineRule="auto"/>
        <w:jc w:val="right"/>
        <w:bidi/>
      </w:pPr>
      <w:r>
        <w:rPr>
          <w:rFonts w:ascii="Arial" w:hAnsi="Arial"/>
          <w:sz w:val="16"/>
        </w:rPr>
        <w:t>224.24  این برنامه کل منابع وزارت دفاع و اطلاعات ساختار نیرو را در سه بعد نمایش می‌دهد: سازمان‌های تحت تأثیر (اداره‌های نظامی و آژانس‌های دفاعی)، حساب‌های اختصاصی (تحقیق، توسعه، آزمایش و ارزیابی؛ و عملیات و نگهداری)، و برنامه‌های نیروی اصلی (نیروهای استراتژیک و نیروهای تحرک).</w:t>
      </w:r>
    </w:p>
    <w:p>
      <w:pPr>
        <w:spacing w:after="28" w:line="216" w:lineRule="auto"/>
        <w:ind w:left="259"/>
        <w:jc w:val="left"/>
      </w:pPr>
      <w:r>
        <w:rPr>
          <w:rFonts w:ascii="Arial" w:hAnsi="Arial"/>
          <w:color w:val="525252"/>
          <w:sz w:val="13"/>
        </w:rPr>
        <w:t>The program displays total Department of Defense resources and force structure information in three basic dimensions: the organizations affected (military departments and defense agencies), appropriations accounts (research, development, test, and evaluation; and operation and maintenance), and major force programs (strategic forces and mobility forces).</w:t>
      </w:r>
    </w:p>
    <w:p>
      <w:pPr>
        <w:spacing w:after="20" w:line="223" w:lineRule="auto"/>
        <w:jc w:val="right"/>
        <w:bidi/>
      </w:pPr>
      <w:r>
        <w:rPr>
          <w:rFonts w:ascii="Arial" w:hAnsi="Arial"/>
          <w:sz w:val="16"/>
        </w:rPr>
        <w:t>224.25  FYDP در طول چرخه فرآیند PPBE دو بار به‌روز می‌شود، ابتدا پس از ارسال POM (معمولا ژوئیه/آگوست)، و دوباره پس از ارسال بودجه رئیس جمهور ایالات متحده (اوایل فوریه سال بعد).</w:t>
      </w:r>
    </w:p>
    <w:p>
      <w:pPr>
        <w:spacing w:after="28" w:line="216" w:lineRule="auto"/>
        <w:ind w:left="259"/>
        <w:jc w:val="left"/>
      </w:pPr>
      <w:r>
        <w:rPr>
          <w:rFonts w:ascii="Arial" w:hAnsi="Arial"/>
          <w:color w:val="525252"/>
          <w:sz w:val="13"/>
        </w:rPr>
        <w:t>The FYDP is updated twice during the PPBE Process cycle, first upon submission of the POM (usually July/August), and again upon submission of the U.S. President's budget (early February the following year).</w:t>
      </w:r>
    </w:p>
    <w:p>
      <w:pPr>
        <w:spacing w:after="20" w:line="223" w:lineRule="auto"/>
        <w:jc w:val="right"/>
        <w:bidi/>
      </w:pPr>
      <w:r>
        <w:rPr>
          <w:rFonts w:ascii="Arial" w:hAnsi="Arial"/>
          <w:sz w:val="16"/>
        </w:rPr>
        <w:t>224.26  FYDP از ۱۱ برنامه نیروی اصلی و بیش از ۳۶۰۰ عنصر برنامه فعال تشکیل شده است که برای دسته بندی نهادهای عملکردی یا سازمانی و منابع مرتبط با آنها طراحی شده است.</w:t>
      </w:r>
    </w:p>
    <w:p>
      <w:pPr>
        <w:spacing w:after="28" w:line="216" w:lineRule="auto"/>
        <w:ind w:left="259"/>
        <w:jc w:val="left"/>
      </w:pPr>
      <w:r>
        <w:rPr>
          <w:rFonts w:ascii="Arial" w:hAnsi="Arial"/>
          <w:color w:val="525252"/>
          <w:sz w:val="13"/>
        </w:rPr>
        <w:t>The FYDP is composed of 11 major force programs and over 3,600 active program elements designed to categorize functional or organizational entities and their related resources.</w:t>
      </w:r>
    </w:p>
    <w:p>
      <w:pPr>
        <w:spacing w:before="60" w:after="28"/>
        <w:jc w:val="right"/>
        <w:bidi/>
      </w:pPr>
      <w:r>
        <w:rPr>
          <w:b/>
          <w:color w:val="1F4D78"/>
          <w:sz w:val="18"/>
        </w:rPr>
        <w:t>12.30. سیستم مدیریت تجهیزات USAF</w:t>
      </w:r>
    </w:p>
    <w:p>
      <w:pPr>
        <w:spacing w:after="20"/>
        <w:ind w:left="259"/>
        <w:jc w:val="left"/>
      </w:pPr>
      <w:r>
        <w:rPr>
          <w:color w:val="555555"/>
          <w:sz w:val="12"/>
        </w:rPr>
        <w:t>12.30. USAF Equipment Management System</w:t>
      </w:r>
    </w:p>
    <w:p>
      <w:pPr>
        <w:spacing w:after="20" w:line="223" w:lineRule="auto"/>
        <w:jc w:val="right"/>
        <w:bidi/>
      </w:pPr>
      <w:r>
        <w:rPr>
          <w:rFonts w:ascii="Arial" w:hAnsi="Arial"/>
          <w:sz w:val="16"/>
        </w:rPr>
        <w:t>224.28  سیستم مدیریت تجهیزات USAF، دید جهانی همه دارایی‌های تجهیزات را در سرتاسر USAF فراهم می‌کند.</w:t>
      </w:r>
    </w:p>
    <w:p>
      <w:pPr>
        <w:spacing w:after="28" w:line="216" w:lineRule="auto"/>
        <w:ind w:left="259"/>
        <w:jc w:val="left"/>
      </w:pPr>
      <w:r>
        <w:rPr>
          <w:rFonts w:ascii="Arial" w:hAnsi="Arial"/>
          <w:color w:val="525252"/>
          <w:sz w:val="13"/>
        </w:rPr>
        <w:t>The USAF equipment management system provides worldwide visibility of all equipment assets throughout the USAF.</w:t>
      </w:r>
    </w:p>
    <w:p>
      <w:pPr>
        <w:spacing w:after="20" w:line="223" w:lineRule="auto"/>
        <w:jc w:val="right"/>
        <w:bidi/>
      </w:pPr>
      <w:r>
        <w:rPr>
          <w:rFonts w:ascii="Arial" w:hAnsi="Arial"/>
          <w:sz w:val="16"/>
        </w:rPr>
        <w:t>224.29  این سیستم به پشتیبانی از گزارش استهلاک دارایی‌های سرمایه‌ای، تعیین الزامات تجهیزات بر اساس استانداردهای کمک هزینه USAF، پشتیبانی از بودجه و برنامه خرید، و شناسایی انواع و مقادیر تجهیزات مورد نیاز برای انجام مأموریت کمک می‌کند.</w:t>
      </w:r>
    </w:p>
    <w:p>
      <w:pPr>
        <w:spacing w:after="28" w:line="216" w:lineRule="auto"/>
        <w:ind w:left="259"/>
        <w:jc w:val="left"/>
      </w:pPr>
      <w:r>
        <w:rPr>
          <w:rFonts w:ascii="Arial" w:hAnsi="Arial"/>
          <w:color w:val="525252"/>
          <w:sz w:val="13"/>
        </w:rPr>
        <w:t>The system helps to support reporting capitalized asset depreciation, determining equipment requirements based on USAF allowance standards, supporting the budget and buy program, and identifying equipment types and quantities required to accomplish the mission.</w:t>
      </w:r>
    </w:p>
    <w:p>
      <w:pPr>
        <w:spacing w:after="20" w:line="223" w:lineRule="auto"/>
        <w:jc w:val="right"/>
        <w:bidi/>
      </w:pPr>
      <w:r>
        <w:rPr>
          <w:rFonts w:ascii="Arial" w:hAnsi="Arial"/>
          <w:sz w:val="16"/>
        </w:rPr>
        <w:t>224.30  استانداردهای کمک هزینه USAF اقلام و مقادیر خاصی را که توسط مدیر عامل برای استفاده واحدها در زمان جنگ و عملیات زمان صلح تأیید شده است، مشخص می‌کند.</w:t>
      </w:r>
    </w:p>
    <w:p>
      <w:pPr>
        <w:spacing w:after="28" w:line="216" w:lineRule="auto"/>
        <w:ind w:left="259"/>
        <w:jc w:val="left"/>
      </w:pPr>
      <w:r>
        <w:rPr>
          <w:rFonts w:ascii="Arial" w:hAnsi="Arial"/>
          <w:color w:val="525252"/>
          <w:sz w:val="13"/>
        </w:rPr>
        <w:t>USAF allowance standards identify specific items and quantities approved by the functional manager for units to use during wartime and peacetime operations.</w:t>
      </w:r>
    </w:p>
    <w:p>
      <w:pPr>
        <w:spacing w:after="20" w:line="223" w:lineRule="auto"/>
        <w:jc w:val="right"/>
        <w:bidi/>
      </w:pPr>
      <w:r>
        <w:rPr>
          <w:rFonts w:ascii="Arial" w:hAnsi="Arial"/>
          <w:sz w:val="16"/>
        </w:rPr>
        <w:t>224.31  این کمک هزینه</w:t>
      </w:r>
    </w:p>
    <w:p>
      <w:pPr>
        <w:spacing w:after="28" w:line="216" w:lineRule="auto"/>
        <w:ind w:left="259"/>
        <w:jc w:val="left"/>
      </w:pPr>
      <w:r>
        <w:rPr>
          <w:rFonts w:ascii="Arial" w:hAnsi="Arial"/>
          <w:color w:val="525252"/>
          <w:sz w:val="13"/>
        </w:rPr>
        <w:t>These allowance</w:t>
      </w:r>
    </w:p>
    <w:p>
      <w:r>
        <w:br w:type="page"/>
      </w:r>
    </w:p>
    <w:p>
      <w:pPr>
        <w:spacing w:after="60"/>
        <w:jc w:val="right"/>
        <w:bidi/>
      </w:pPr>
      <w:r>
        <w:rPr>
          <w:rFonts w:ascii="Arial" w:hAnsi="Arial"/>
          <w:b/>
          <w:color w:val="1F4D78"/>
          <w:sz w:val="19"/>
        </w:rPr>
        <w:t>هفتهٔ 225  |  صفحهٔ منبع: 241</w:t>
      </w:r>
    </w:p>
    <w:p>
      <w:pPr>
        <w:spacing w:after="20" w:line="223" w:lineRule="auto"/>
        <w:jc w:val="right"/>
        <w:bidi/>
      </w:pPr>
      <w:r>
        <w:rPr>
          <w:rFonts w:ascii="Arial" w:hAnsi="Arial"/>
          <w:sz w:val="16"/>
        </w:rPr>
        <w:t>225.01  از طریق سیستم مدیریت تجهیزات USAF و وب‌سایت سیستم بازیابی استاندارد اللووانک قابل دسترسی هستند.</w:t>
      </w:r>
    </w:p>
    <w:p>
      <w:pPr>
        <w:spacing w:after="28" w:line="216" w:lineRule="auto"/>
        <w:ind w:left="259"/>
        <w:jc w:val="left"/>
      </w:pPr>
      <w:r>
        <w:rPr>
          <w:rFonts w:ascii="Arial" w:hAnsi="Arial"/>
          <w:color w:val="525252"/>
          <w:sz w:val="13"/>
        </w:rPr>
        <w:t>standards are accessible online from the USAF Equipment Management System and the Allowance Standard Retrieval System website.</w:t>
      </w:r>
    </w:p>
    <w:p>
      <w:pPr>
        <w:spacing w:after="20" w:line="223" w:lineRule="auto"/>
        <w:jc w:val="right"/>
        <w:bidi/>
      </w:pPr>
      <w:r>
        <w:rPr>
          <w:rFonts w:ascii="Arial" w:hAnsi="Arial"/>
          <w:sz w:val="16"/>
        </w:rPr>
        <w:t>225.02  مسئولیت‌ها.</w:t>
      </w:r>
    </w:p>
    <w:p>
      <w:pPr>
        <w:spacing w:after="28" w:line="216" w:lineRule="auto"/>
        <w:ind w:left="259"/>
        <w:jc w:val="left"/>
      </w:pPr>
      <w:r>
        <w:rPr>
          <w:rFonts w:ascii="Arial" w:hAnsi="Arial"/>
          <w:color w:val="525252"/>
          <w:sz w:val="13"/>
        </w:rPr>
        <w:t>Responsibilities.</w:t>
      </w:r>
    </w:p>
    <w:p>
      <w:pPr>
        <w:spacing w:after="20" w:line="223" w:lineRule="auto"/>
        <w:jc w:val="right"/>
        <w:bidi/>
      </w:pPr>
      <w:r>
        <w:rPr>
          <w:rFonts w:ascii="Arial" w:hAnsi="Arial"/>
          <w:sz w:val="16"/>
        </w:rPr>
        <w:t>225.03  مأموریت USAF این امر را ضروری می‌سازد که همه پرسنل نظامی و غیرنظامی سیستم‌های دولتی، تجهیزات، تدارکات و دارایی‌های واقعی را در بهترین شرایط ممکن، آمادگی و در حداقل مقدار مطلق لازم برای انجام وظایف محوله، اداره و نگهداری کنند.</w:t>
      </w:r>
    </w:p>
    <w:p>
      <w:pPr>
        <w:spacing w:after="28" w:line="216" w:lineRule="auto"/>
        <w:ind w:left="259"/>
        <w:jc w:val="left"/>
      </w:pPr>
      <w:r>
        <w:rPr>
          <w:rFonts w:ascii="Arial" w:hAnsi="Arial"/>
          <w:color w:val="525252"/>
          <w:sz w:val="13"/>
        </w:rPr>
        <w:t>The USAF’s mission makes it imperative that all military and civilian personnel operate and maintain government systems, equipment, supplies, and real property in the best possible condition, readiness, and in the absolute minimum quantity necessary to accomplish assigned tasks.</w:t>
      </w:r>
    </w:p>
    <w:p>
      <w:pPr>
        <w:spacing w:after="20" w:line="223" w:lineRule="auto"/>
        <w:jc w:val="right"/>
        <w:bidi/>
      </w:pPr>
      <w:r>
        <w:rPr>
          <w:rFonts w:ascii="Arial" w:hAnsi="Arial"/>
          <w:sz w:val="16"/>
        </w:rPr>
        <w:t>225.04  به‌علاوه، هوانوردان در تمام سطوح باید سوابق دارایی را به دقت حفظ کنند تا موجودی و وضعیت فعلی اموال را منعکس کند. اطمینان حاصل شود که پرسنل به‌طور دقیق و اقتصادی از اموال استفاده و محافظت می‌کنند. تأمین امنیت، حفاظت و ذخیره سازی کافی برای اموال؛ و توصیه هایی برای جلوگیری از تقلب، اتلاف و سوء استفاده ارائه دهد.</w:t>
      </w:r>
    </w:p>
    <w:p>
      <w:pPr>
        <w:spacing w:after="28" w:line="216" w:lineRule="auto"/>
        <w:ind w:left="259"/>
        <w:jc w:val="left"/>
      </w:pPr>
      <w:r>
        <w:rPr>
          <w:rFonts w:ascii="Arial" w:hAnsi="Arial"/>
          <w:color w:val="525252"/>
          <w:sz w:val="13"/>
        </w:rPr>
        <w:t>Additionally, Airmen at all levels must accurately maintain property records to reflect a current inventory and condition of property; ensure personnel carefully and economically use and safeguard property; provide adequate security, protection, and storage for property; and make recommendations for preventing fraud, waste, and abuse.</w:t>
      </w:r>
    </w:p>
    <w:p>
      <w:pPr>
        <w:spacing w:after="20" w:line="223" w:lineRule="auto"/>
        <w:jc w:val="right"/>
        <w:bidi/>
      </w:pPr>
      <w:r>
        <w:rPr>
          <w:rFonts w:ascii="Arial" w:hAnsi="Arial"/>
          <w:sz w:val="16"/>
        </w:rPr>
        <w:t>225.05  در نهایت، اعضای USAF باید نظم و انضباط تأمین را برای حفظ، حفاظت و نگهداری از منابع دولتی، تجهیزات و اموال واقعی برای نیازهای عملیاتی داشته باشند.</w:t>
      </w:r>
    </w:p>
    <w:p>
      <w:pPr>
        <w:spacing w:after="28" w:line="216" w:lineRule="auto"/>
        <w:ind w:left="259"/>
        <w:jc w:val="left"/>
      </w:pPr>
      <w:r>
        <w:rPr>
          <w:rFonts w:ascii="Arial" w:hAnsi="Arial"/>
          <w:color w:val="525252"/>
          <w:sz w:val="13"/>
        </w:rPr>
        <w:t>Ultimately, USAF members must have supply discipline to conserve, protect, and maintain available government supplies, equipment, and real property for operational requirements.</w:t>
      </w:r>
    </w:p>
    <w:p>
      <w:pPr>
        <w:spacing w:after="20" w:line="223" w:lineRule="auto"/>
        <w:jc w:val="right"/>
        <w:bidi/>
      </w:pPr>
      <w:r>
        <w:rPr>
          <w:rFonts w:ascii="Arial" w:hAnsi="Arial"/>
          <w:sz w:val="16"/>
        </w:rPr>
        <w:t>225.06  فرماندهان و سرپرستان.</w:t>
      </w:r>
    </w:p>
    <w:p>
      <w:pPr>
        <w:spacing w:after="28" w:line="216" w:lineRule="auto"/>
        <w:ind w:left="259"/>
        <w:jc w:val="left"/>
      </w:pPr>
      <w:r>
        <w:rPr>
          <w:rFonts w:ascii="Arial" w:hAnsi="Arial"/>
          <w:color w:val="525252"/>
          <w:sz w:val="13"/>
        </w:rPr>
        <w:t>Commanders and Supervisors.</w:t>
      </w:r>
    </w:p>
    <w:p>
      <w:pPr>
        <w:spacing w:after="20" w:line="223" w:lineRule="auto"/>
        <w:jc w:val="right"/>
        <w:bidi/>
      </w:pPr>
      <w:r>
        <w:rPr>
          <w:rFonts w:ascii="Arial" w:hAnsi="Arial"/>
          <w:sz w:val="16"/>
        </w:rPr>
        <w:t>225.07  فرماندهان و ناظران در تمامی سطوح مسئول مدیریت محتاطانه، کنترل، ذخیره سازی و استفاده مقرون به صرفه از اموال دولتی تحت کنترل خود هستند.</w:t>
      </w:r>
    </w:p>
    <w:p>
      <w:pPr>
        <w:spacing w:after="28" w:line="216" w:lineRule="auto"/>
        <w:ind w:left="259"/>
        <w:jc w:val="left"/>
      </w:pPr>
      <w:r>
        <w:rPr>
          <w:rFonts w:ascii="Arial" w:hAnsi="Arial"/>
          <w:color w:val="525252"/>
          <w:sz w:val="13"/>
        </w:rPr>
        <w:t>Commanders and supervisors at all levels are responsible for prudent management, control, storage, and cost-effective use of government property under their control.</w:t>
      </w:r>
    </w:p>
    <w:p>
      <w:pPr>
        <w:spacing w:after="20" w:line="223" w:lineRule="auto"/>
        <w:jc w:val="right"/>
        <w:bidi/>
      </w:pPr>
      <w:r>
        <w:rPr>
          <w:rFonts w:ascii="Arial" w:hAnsi="Arial"/>
          <w:sz w:val="16"/>
        </w:rPr>
        <w:t>225.08  فرماندهان و ناظران کنترل هایی را برای حذف مدیریت تجهیزات غیراقتصادی ایجاد می‌کنند، اطمینان حاصل می‌کنند که به همه پرسنل اصول مراقبت و حفاظت مناسب آموزش داده شده و این اصول را اجرا می‌کنند.</w:t>
      </w:r>
    </w:p>
    <w:p>
      <w:pPr>
        <w:spacing w:after="28" w:line="216" w:lineRule="auto"/>
        <w:ind w:left="259"/>
        <w:jc w:val="left"/>
      </w:pPr>
      <w:r>
        <w:rPr>
          <w:rFonts w:ascii="Arial" w:hAnsi="Arial"/>
          <w:color w:val="525252"/>
          <w:sz w:val="13"/>
        </w:rPr>
        <w:t>Commanders and supervisors establish controls to eliminate uneconomical equipment management, ensure all personnel are taught proper care and safeguard principles, and enforce these principles.</w:t>
      </w:r>
    </w:p>
    <w:p>
      <w:pPr>
        <w:spacing w:after="20" w:line="223" w:lineRule="auto"/>
        <w:jc w:val="right"/>
        <w:bidi/>
      </w:pPr>
      <w:r>
        <w:rPr>
          <w:rFonts w:ascii="Arial" w:hAnsi="Arial"/>
          <w:sz w:val="16"/>
        </w:rPr>
        <w:t>225.09  فرماندهان باید اموال عمومی تحت کنترل خود را به درستی مدیریت کنند، دستورالعمل‌هایی را در مورد مسئولیت‌های خاص به زیردستان ارائه کنند و سوابقی را که ممکن است ممیزی شوند، نگهداری کنند.</w:t>
      </w:r>
    </w:p>
    <w:p>
      <w:pPr>
        <w:spacing w:after="28" w:line="216" w:lineRule="auto"/>
        <w:ind w:left="259"/>
        <w:jc w:val="left"/>
      </w:pPr>
      <w:r>
        <w:rPr>
          <w:rFonts w:ascii="Arial" w:hAnsi="Arial"/>
          <w:color w:val="525252"/>
          <w:sz w:val="13"/>
        </w:rPr>
        <w:t>Commanders must properly manage public property under their control, provide instructions to subordinates on specific responsibilities, and maintain records that may be audited.</w:t>
      </w:r>
    </w:p>
    <w:p>
      <w:pPr>
        <w:spacing w:after="20" w:line="223" w:lineRule="auto"/>
        <w:jc w:val="right"/>
        <w:bidi/>
      </w:pPr>
      <w:r>
        <w:rPr>
          <w:rFonts w:ascii="Arial" w:hAnsi="Arial"/>
          <w:sz w:val="16"/>
        </w:rPr>
        <w:t>225.10  فرماندهان نمایندگانی را منصوب می‌کنند، متولیان اموال و مدیران تأسیسات را تعیین می‌کنند و اطمینان حاصل می‌کنند که نمایندگان در آموزش‌های مناسب ارائه‌شده توسط اسکادران‌های آمادگی لجستیک شرکت می‌کنند.</w:t>
      </w:r>
    </w:p>
    <w:p>
      <w:pPr>
        <w:spacing w:after="28" w:line="216" w:lineRule="auto"/>
        <w:ind w:left="259"/>
        <w:jc w:val="left"/>
      </w:pPr>
      <w:r>
        <w:rPr>
          <w:rFonts w:ascii="Arial" w:hAnsi="Arial"/>
          <w:color w:val="525252"/>
          <w:sz w:val="13"/>
        </w:rPr>
        <w:t>Commanders appoint representatives, designate property custodians and facility managers, and ensure the representatives attend the proper training offered by logistics readiness squadrons.</w:t>
      </w:r>
    </w:p>
    <w:p>
      <w:pPr>
        <w:spacing w:after="20" w:line="223" w:lineRule="auto"/>
        <w:jc w:val="right"/>
        <w:bidi/>
      </w:pPr>
      <w:r>
        <w:rPr>
          <w:rFonts w:ascii="Arial" w:hAnsi="Arial"/>
          <w:sz w:val="16"/>
        </w:rPr>
        <w:t>225.11  حافظ اموال.</w:t>
      </w:r>
    </w:p>
    <w:p>
      <w:pPr>
        <w:spacing w:after="28" w:line="216" w:lineRule="auto"/>
        <w:ind w:left="259"/>
        <w:jc w:val="left"/>
      </w:pPr>
      <w:r>
        <w:rPr>
          <w:rFonts w:ascii="Arial" w:hAnsi="Arial"/>
          <w:color w:val="525252"/>
          <w:sz w:val="13"/>
        </w:rPr>
        <w:t>Property Custodian.</w:t>
      </w:r>
    </w:p>
    <w:p>
      <w:pPr>
        <w:spacing w:after="20" w:line="223" w:lineRule="auto"/>
        <w:jc w:val="right"/>
        <w:bidi/>
      </w:pPr>
      <w:r>
        <w:rPr>
          <w:rFonts w:ascii="Arial" w:hAnsi="Arial"/>
          <w:sz w:val="16"/>
        </w:rPr>
        <w:t>225.12  یک متولی دارایی توسط یک افسر دارایی، فرمانده یا رئیس ستاد پاسخگو منصوب می‌شود تا مسئولیت اموال را بپذیرد و مستقیما مسئول نگهداری فیزیکی، موجودی، حسابداری و تطبیق اقلام موجود در حساب است.</w:t>
      </w:r>
    </w:p>
    <w:p>
      <w:pPr>
        <w:spacing w:after="28" w:line="216" w:lineRule="auto"/>
        <w:ind w:left="259"/>
        <w:jc w:val="left"/>
      </w:pPr>
      <w:r>
        <w:rPr>
          <w:rFonts w:ascii="Arial" w:hAnsi="Arial"/>
          <w:color w:val="525252"/>
          <w:sz w:val="13"/>
        </w:rPr>
        <w:t>A property custodian is appointed by an accountable property officer, commander, or chief of staff agency to accept responsibility for property and are directly responsible for the physical custody, inventory, accounting, and reconciliation of items on the account.</w:t>
      </w:r>
    </w:p>
    <w:p>
      <w:pPr>
        <w:spacing w:after="20" w:line="223" w:lineRule="auto"/>
        <w:jc w:val="right"/>
        <w:bidi/>
      </w:pPr>
      <w:r>
        <w:rPr>
          <w:rFonts w:ascii="Arial" w:hAnsi="Arial"/>
          <w:sz w:val="16"/>
        </w:rPr>
        <w:t>225.13  ممکن است نگهبان در قبال از دست دادن، سرقت، تخریب یا آسیب هر گونه اموال یا منابع تحت کنترل خود مسئول مالی شناخته شود و باید در زمان کشف، تلفات یا بی نظمی‌های اموال را به فرماندهان یا افسران پاسخگو گزارش دهد.</w:t>
      </w:r>
    </w:p>
    <w:p>
      <w:pPr>
        <w:spacing w:after="28" w:line="216" w:lineRule="auto"/>
        <w:ind w:left="259"/>
        <w:jc w:val="left"/>
      </w:pPr>
      <w:r>
        <w:rPr>
          <w:rFonts w:ascii="Arial" w:hAnsi="Arial"/>
          <w:color w:val="525252"/>
          <w:sz w:val="13"/>
        </w:rPr>
        <w:t>A custodian may be held financially liable for the loss, theft, destruction, or damage of any property or resources under his or her control and must report property losses or irregularities to commanders or accountable officers at the time of discovery.</w:t>
      </w:r>
    </w:p>
    <w:p>
      <w:pPr>
        <w:spacing w:after="20" w:line="223" w:lineRule="auto"/>
        <w:jc w:val="right"/>
        <w:bidi/>
      </w:pPr>
      <w:r>
        <w:rPr>
          <w:rFonts w:ascii="Arial" w:hAnsi="Arial"/>
          <w:sz w:val="16"/>
        </w:rPr>
        <w:t>225.14  برای اطلاعات بیشتر در مورد نگهبانان اموال و مدیریت دارایی، به دودی ۵۰۰۰.۶۴، پاسخگویی و مدیریت تجهیزات وزارت دفاع و سایر دارایی‌های پاسخگو، و AFI ۲۳-۱۱۱، مدیریت اموال دولتی در اختیار نیروی هوایی مراجعه کنید.</w:t>
      </w:r>
    </w:p>
    <w:p>
      <w:pPr>
        <w:spacing w:after="28" w:line="216" w:lineRule="auto"/>
        <w:ind w:left="259"/>
        <w:jc w:val="left"/>
      </w:pPr>
      <w:r>
        <w:rPr>
          <w:rFonts w:ascii="Arial" w:hAnsi="Arial"/>
          <w:color w:val="525252"/>
          <w:sz w:val="13"/>
        </w:rPr>
        <w:t>For additional information on property custodians and property management, refer to DoDI 5000.64, Accountability and Management of DoD Equipment and Other Accountable Property, and AFI 23-111, Management of Government Property in Possession of the Air Force.</w:t>
      </w:r>
    </w:p>
    <w:p>
      <w:pPr>
        <w:spacing w:after="20" w:line="223" w:lineRule="auto"/>
        <w:jc w:val="right"/>
        <w:bidi/>
      </w:pPr>
      <w:r>
        <w:rPr>
          <w:rFonts w:ascii="Arial" w:hAnsi="Arial"/>
          <w:sz w:val="16"/>
        </w:rPr>
        <w:t>225.15  مسئولیت‌های نصب.</w:t>
      </w:r>
    </w:p>
    <w:p>
      <w:pPr>
        <w:spacing w:after="28" w:line="216" w:lineRule="auto"/>
        <w:ind w:left="259"/>
        <w:jc w:val="left"/>
      </w:pPr>
      <w:r>
        <w:rPr>
          <w:rFonts w:ascii="Arial" w:hAnsi="Arial"/>
          <w:color w:val="525252"/>
          <w:sz w:val="13"/>
        </w:rPr>
        <w:t>Installation Responsibilities.</w:t>
      </w:r>
    </w:p>
    <w:p>
      <w:pPr>
        <w:spacing w:after="20" w:line="223" w:lineRule="auto"/>
        <w:jc w:val="right"/>
        <w:bidi/>
      </w:pPr>
      <w:r>
        <w:rPr>
          <w:rFonts w:ascii="Arial" w:hAnsi="Arial"/>
          <w:sz w:val="16"/>
        </w:rPr>
        <w:t>225.16  فرمانده نصب مسئولیت و پاسخگویی کلی در قبال عملیات تاسیسات USAF دارد.</w:t>
      </w:r>
    </w:p>
    <w:p>
      <w:pPr>
        <w:spacing w:after="28" w:line="216" w:lineRule="auto"/>
        <w:ind w:left="259"/>
        <w:jc w:val="left"/>
      </w:pPr>
      <w:r>
        <w:rPr>
          <w:rFonts w:ascii="Arial" w:hAnsi="Arial"/>
          <w:color w:val="525252"/>
          <w:sz w:val="13"/>
        </w:rPr>
        <w:t>The installation commander has overall responsibility and accountability for the operation of a USAF installation.</w:t>
      </w:r>
    </w:p>
    <w:p>
      <w:pPr>
        <w:spacing w:after="20" w:line="223" w:lineRule="auto"/>
        <w:jc w:val="right"/>
        <w:bidi/>
      </w:pPr>
      <w:r>
        <w:rPr>
          <w:rFonts w:ascii="Arial" w:hAnsi="Arial"/>
          <w:sz w:val="16"/>
        </w:rPr>
        <w:t>225.17  فرمانده اصلی و فرماندهی نصب، با کمک مهندس عمران پایگاه، مسئول توسعه، عملیات، حفظ و کنترل استفاده از تأسیسات USAF در انطباق با سیاست‌ها و رویه‌های مربوطه وزارت دفاع و USAF هستند.</w:t>
      </w:r>
    </w:p>
    <w:p>
      <w:pPr>
        <w:spacing w:after="28" w:line="216" w:lineRule="auto"/>
        <w:ind w:left="259"/>
        <w:jc w:val="left"/>
      </w:pPr>
      <w:r>
        <w:rPr>
          <w:rFonts w:ascii="Arial" w:hAnsi="Arial"/>
          <w:color w:val="525252"/>
          <w:sz w:val="13"/>
        </w:rPr>
        <w:t>The major command and installation commander, assisted by the base civil engineer, are responsible for developing, operating, maintaining, and controlling the use of USAF facilities in compliance with applicable Department of Defense and USAF policies and procedures.</w:t>
      </w:r>
    </w:p>
    <w:p>
      <w:pPr>
        <w:spacing w:after="20" w:line="223" w:lineRule="auto"/>
        <w:jc w:val="right"/>
        <w:bidi/>
      </w:pPr>
      <w:r>
        <w:rPr>
          <w:rFonts w:ascii="Arial" w:hAnsi="Arial"/>
          <w:sz w:val="16"/>
        </w:rPr>
        <w:t>225.18  آنها همچنین مسئول توسعه برنامه‌های مدیریت دارایی جامع، شناسایی الزامات چرخه عمر تسهیلات، اجرای سطوح مشترک قابل اجرا خدمات، ارزیابی تأثیر شرایط دارایی بر پشتیبانی مأموریت از طریق استفاده از شاخص‌های کلیدی عملکرد، و توسعه و اجرای برنامه‌های ساخت، نگهداری، بازسازی و نوسازی املاک واقعی هستند.</w:t>
      </w:r>
    </w:p>
    <w:p>
      <w:pPr>
        <w:spacing w:after="28" w:line="216" w:lineRule="auto"/>
        <w:ind w:left="259"/>
        <w:jc w:val="left"/>
      </w:pPr>
      <w:r>
        <w:rPr>
          <w:rFonts w:ascii="Arial" w:hAnsi="Arial"/>
          <w:color w:val="525252"/>
          <w:sz w:val="13"/>
        </w:rPr>
        <w:t>They are also responsible for developing comprehensive asset management plans, identifying facility lifecycle requirements, implementing applicable common levels of service, assessing the impact of asset condition on mission support through the use of key performance indicators, and developing and executing real property construction, sustainment, restoration, and modernization programs.</w:t>
      </w:r>
    </w:p>
    <w:p>
      <w:pPr>
        <w:spacing w:after="20" w:line="223" w:lineRule="auto"/>
        <w:jc w:val="right"/>
        <w:bidi/>
      </w:pPr>
      <w:r>
        <w:rPr>
          <w:rFonts w:ascii="Arial" w:hAnsi="Arial"/>
          <w:sz w:val="16"/>
        </w:rPr>
        <w:t>225.19  مسئولیت‌های اسکادران مهندس عمران پایگاه.</w:t>
      </w:r>
    </w:p>
    <w:p>
      <w:pPr>
        <w:spacing w:after="28" w:line="216" w:lineRule="auto"/>
        <w:ind w:left="259"/>
        <w:jc w:val="left"/>
      </w:pPr>
      <w:r>
        <w:rPr>
          <w:rFonts w:ascii="Arial" w:hAnsi="Arial"/>
          <w:color w:val="525252"/>
          <w:sz w:val="13"/>
        </w:rPr>
        <w:t>Base Civil Engineer Squadron Responsibilities.</w:t>
      </w:r>
    </w:p>
    <w:p>
      <w:pPr>
        <w:spacing w:after="20" w:line="223" w:lineRule="auto"/>
        <w:jc w:val="right"/>
        <w:bidi/>
      </w:pPr>
      <w:r>
        <w:rPr>
          <w:rFonts w:ascii="Arial" w:hAnsi="Arial"/>
          <w:sz w:val="16"/>
        </w:rPr>
        <w:t>225.20  مهندس عمران پایگاه وظیفه تأمین، بهره‌برداری، نگهداری، بازسازی و حفاظت از زیرساخت‌های ساخته شده و طبیعی لازم برای حمایت از مأموریت USAF را بر عهده دارد.</w:t>
      </w:r>
    </w:p>
    <w:p>
      <w:pPr>
        <w:spacing w:after="28" w:line="216" w:lineRule="auto"/>
        <w:ind w:left="259"/>
        <w:jc w:val="left"/>
      </w:pPr>
      <w:r>
        <w:rPr>
          <w:rFonts w:ascii="Arial" w:hAnsi="Arial"/>
          <w:color w:val="525252"/>
          <w:sz w:val="13"/>
        </w:rPr>
        <w:t>The base civil engineer is charged with providing, operating, maintaining, restoring, and protecting the built and natural infrastructure necessary to support the USAF mission.</w:t>
      </w:r>
    </w:p>
    <w:p>
      <w:pPr>
        <w:spacing w:after="20" w:line="223" w:lineRule="auto"/>
        <w:jc w:val="right"/>
        <w:bidi/>
      </w:pPr>
      <w:r>
        <w:rPr>
          <w:rFonts w:ascii="Arial" w:hAnsi="Arial"/>
          <w:sz w:val="16"/>
        </w:rPr>
        <w:t>225.21  به این ترتیب، مهندس عمران پایه به‌عنوان نقطه کانونی برای تمام ساخت و ساز، نگهداری، مرمت و نوسازی تاسیسات شناسایی شده به‌عنوان اموال واقعی و تجهیزات نصب شده اموال غیرمنقول مرتبط عمل می‌کند.</w:t>
      </w:r>
    </w:p>
    <w:p>
      <w:pPr>
        <w:spacing w:after="28" w:line="216" w:lineRule="auto"/>
        <w:ind w:left="259"/>
        <w:jc w:val="left"/>
      </w:pPr>
      <w:r>
        <w:rPr>
          <w:rFonts w:ascii="Arial" w:hAnsi="Arial"/>
          <w:color w:val="525252"/>
          <w:sz w:val="13"/>
        </w:rPr>
        <w:t>As such, the base civil engineer serves as the focal point for all construction, sustainment, restoration, and modernization of facilities identified as real property and associated real property installed equipment.</w:t>
      </w:r>
    </w:p>
    <w:p>
      <w:pPr>
        <w:spacing w:after="20" w:line="223" w:lineRule="auto"/>
        <w:jc w:val="right"/>
        <w:bidi/>
      </w:pPr>
      <w:r>
        <w:rPr>
          <w:rFonts w:ascii="Arial" w:hAnsi="Arial"/>
          <w:sz w:val="16"/>
        </w:rPr>
        <w:t>225.22  واحد خدمات مشتری مهندس عمران پایه معمولا برنامه مدیر تاسیسات تاسیسات را مدیریت می‌کند که شامل ارائه آموزش‌های اولیه و مکرر برای مدیران تاسیسات می‌شود.</w:t>
      </w:r>
    </w:p>
    <w:p>
      <w:pPr>
        <w:spacing w:after="28" w:line="216" w:lineRule="auto"/>
        <w:ind w:left="259"/>
        <w:jc w:val="left"/>
      </w:pPr>
      <w:r>
        <w:rPr>
          <w:rFonts w:ascii="Arial" w:hAnsi="Arial"/>
          <w:color w:val="525252"/>
          <w:sz w:val="13"/>
        </w:rPr>
        <w:t>The base civil engineer’s customer service unit typically manages the installation’s facility manager program, to include providing initial and recurring training for facility managers.</w:t>
      </w:r>
    </w:p>
    <w:p>
      <w:pPr>
        <w:spacing w:after="20" w:line="223" w:lineRule="auto"/>
        <w:jc w:val="right"/>
        <w:bidi/>
      </w:pPr>
      <w:r>
        <w:rPr>
          <w:rFonts w:ascii="Arial" w:hAnsi="Arial"/>
          <w:sz w:val="16"/>
        </w:rPr>
        <w:t>225.23  آموزش مدیر تسهیلات، نقش‌ها و مسئولیت‌های مدیر تسهیلات را پوشش می‌دهد و فرآیندها و رویه‌های مورد نیاز برای ارسال درخواست‌های کاری را مشخص می‌کند.</w:t>
      </w:r>
    </w:p>
    <w:p>
      <w:pPr>
        <w:spacing w:after="28" w:line="216" w:lineRule="auto"/>
        <w:ind w:left="259"/>
        <w:jc w:val="left"/>
      </w:pPr>
      <w:r>
        <w:rPr>
          <w:rFonts w:ascii="Arial" w:hAnsi="Arial"/>
          <w:color w:val="525252"/>
          <w:sz w:val="13"/>
        </w:rPr>
        <w:t>Facility manager training covers facility manager roles and responsibilities and identifies the processes and procedures required for submitting work requests.</w:t>
      </w:r>
    </w:p>
    <w:p>
      <w:r>
        <w:br w:type="page"/>
      </w:r>
    </w:p>
    <w:p>
      <w:pPr>
        <w:spacing w:after="60"/>
        <w:jc w:val="right"/>
        <w:bidi/>
      </w:pPr>
      <w:r>
        <w:rPr>
          <w:rFonts w:ascii="Arial" w:hAnsi="Arial"/>
          <w:b/>
          <w:color w:val="1F4D78"/>
          <w:sz w:val="19"/>
        </w:rPr>
        <w:t>هفتهٔ 226  |  صفحهٔ منبع: 242</w:t>
      </w:r>
    </w:p>
    <w:p>
      <w:pPr>
        <w:spacing w:after="20" w:line="223" w:lineRule="auto"/>
        <w:jc w:val="right"/>
        <w:bidi/>
      </w:pPr>
      <w:r>
        <w:rPr>
          <w:rFonts w:ascii="Arial" w:hAnsi="Arial"/>
          <w:sz w:val="16"/>
        </w:rPr>
        <w:t>226.01  درخواست کار مهندس عمران.</w:t>
      </w:r>
    </w:p>
    <w:p>
      <w:pPr>
        <w:spacing w:after="28" w:line="216" w:lineRule="auto"/>
        <w:ind w:left="259"/>
        <w:jc w:val="left"/>
      </w:pPr>
      <w:r>
        <w:rPr>
          <w:rFonts w:ascii="Arial" w:hAnsi="Arial"/>
          <w:color w:val="525252"/>
          <w:sz w:val="13"/>
        </w:rPr>
        <w:t>Civil Engineer Work Requests.</w:t>
      </w:r>
    </w:p>
    <w:p>
      <w:pPr>
        <w:spacing w:after="20" w:line="223" w:lineRule="auto"/>
        <w:jc w:val="right"/>
        <w:bidi/>
      </w:pPr>
      <w:r>
        <w:rPr>
          <w:rFonts w:ascii="Arial" w:hAnsi="Arial"/>
          <w:sz w:val="16"/>
        </w:rPr>
        <w:t>226.02  واحد خدمات مشتری مهندس عمران پایه همه درخواست‌های کاری دریافتی را برای اعتبار دریافت و بررسی می‌کند، دامنه را تأیید می‌کند و اطمینان می‌دهد که درخواست کار با سازمان‌های مربوطه، مانند آتش نشانی، ایمنی و محیط زیست هماهنگ شده است.</w:t>
      </w:r>
    </w:p>
    <w:p>
      <w:pPr>
        <w:spacing w:after="28" w:line="216" w:lineRule="auto"/>
        <w:ind w:left="259"/>
        <w:jc w:val="left"/>
      </w:pPr>
      <w:r>
        <w:rPr>
          <w:rFonts w:ascii="Arial" w:hAnsi="Arial"/>
          <w:color w:val="525252"/>
          <w:sz w:val="13"/>
        </w:rPr>
        <w:t>The base civil engineer’s customer service unit receives and reviews all incoming work requests for validity, verifies scope, and ensures the work request is coordinated with the appropriate agencies, such as fire, safety, and environmental.</w:t>
      </w:r>
    </w:p>
    <w:p>
      <w:pPr>
        <w:spacing w:after="20" w:line="223" w:lineRule="auto"/>
        <w:jc w:val="right"/>
        <w:bidi/>
      </w:pPr>
      <w:r>
        <w:rPr>
          <w:rFonts w:ascii="Arial" w:hAnsi="Arial"/>
          <w:sz w:val="16"/>
        </w:rPr>
        <w:t>226.03  در صورت تأیید درخواست کار، بر اساس اولویت توسط پرواز عملیاتی یا به صورت قراردادی که توسط پرواز مهندسی مدیریت می‌شود، در داخل کشور اجرا می‌شود.</w:t>
      </w:r>
    </w:p>
    <w:p>
      <w:pPr>
        <w:spacing w:after="28" w:line="216" w:lineRule="auto"/>
        <w:ind w:left="259"/>
        <w:jc w:val="left"/>
      </w:pPr>
      <w:r>
        <w:rPr>
          <w:rFonts w:ascii="Arial" w:hAnsi="Arial"/>
          <w:color w:val="525252"/>
          <w:sz w:val="13"/>
        </w:rPr>
        <w:t>If the work request is approved, it will be executed in-house based on priority by the operations flight or as a contract managed by the engineering flight.</w:t>
      </w:r>
    </w:p>
    <w:p>
      <w:pPr>
        <w:spacing w:after="20" w:line="223" w:lineRule="auto"/>
        <w:jc w:val="right"/>
        <w:bidi/>
      </w:pPr>
      <w:r>
        <w:rPr>
          <w:rFonts w:ascii="Arial" w:hAnsi="Arial"/>
          <w:sz w:val="16"/>
        </w:rPr>
        <w:t>226.04  درخواست‌های کاری توسط مدیر مرکز با استفاده از فرم AF ۳۳۲، درخواست کار مهندس عمران پایه، یا سیستم‌های فناوری اطلاعات تعیین‌شده، به واحد خدمات مشتری شناسایی می‌شوند.</w:t>
      </w:r>
    </w:p>
    <w:p>
      <w:pPr>
        <w:spacing w:after="28" w:line="216" w:lineRule="auto"/>
        <w:ind w:left="259"/>
        <w:jc w:val="left"/>
      </w:pPr>
      <w:r>
        <w:rPr>
          <w:rFonts w:ascii="Arial" w:hAnsi="Arial"/>
          <w:color w:val="525252"/>
          <w:sz w:val="13"/>
        </w:rPr>
        <w:t>Work requests will be identified to the customer service unit by the facility manager utilizing the AF Form 332, Base Civil Engineer Work Request, or designated information technology systems.</w:t>
      </w:r>
    </w:p>
    <w:p>
      <w:pPr>
        <w:spacing w:after="20" w:line="223" w:lineRule="auto"/>
        <w:jc w:val="right"/>
        <w:bidi/>
      </w:pPr>
      <w:r>
        <w:rPr>
          <w:rFonts w:ascii="Arial" w:hAnsi="Arial"/>
          <w:sz w:val="16"/>
        </w:rPr>
        <w:t>226.05  مستقیم کار برنامه‌ریزی شده.</w:t>
      </w:r>
    </w:p>
    <w:p>
      <w:pPr>
        <w:spacing w:after="28" w:line="216" w:lineRule="auto"/>
        <w:ind w:left="259"/>
        <w:jc w:val="left"/>
      </w:pPr>
      <w:r>
        <w:rPr>
          <w:rFonts w:ascii="Arial" w:hAnsi="Arial"/>
          <w:color w:val="525252"/>
          <w:sz w:val="13"/>
        </w:rPr>
        <w:t>Direct Scheduled Work.</w:t>
      </w:r>
    </w:p>
    <w:p>
      <w:pPr>
        <w:spacing w:after="20" w:line="223" w:lineRule="auto"/>
        <w:jc w:val="right"/>
        <w:bidi/>
      </w:pPr>
      <w:r>
        <w:rPr>
          <w:rFonts w:ascii="Arial" w:hAnsi="Arial"/>
          <w:sz w:val="16"/>
        </w:rPr>
        <w:t>226.06  زمانبندی مستقیم درخواستی است که نیازی به برنامه‌ریزی دقیق ندارد و می‌تواند مستقیما برای اجرا به فروشگاه مورد نیاز ارسال شود.</w:t>
      </w:r>
    </w:p>
    <w:p>
      <w:pPr>
        <w:spacing w:after="28" w:line="216" w:lineRule="auto"/>
        <w:ind w:left="259"/>
        <w:jc w:val="left"/>
      </w:pPr>
      <w:r>
        <w:rPr>
          <w:rFonts w:ascii="Arial" w:hAnsi="Arial"/>
          <w:color w:val="525252"/>
          <w:sz w:val="13"/>
        </w:rPr>
        <w:t>Direct scheduled work is a request that does not need detailed planning and can be sent directly to the required shop for execution.</w:t>
      </w:r>
    </w:p>
    <w:p>
      <w:pPr>
        <w:spacing w:after="20" w:line="223" w:lineRule="auto"/>
        <w:jc w:val="right"/>
        <w:bidi/>
      </w:pPr>
      <w:r>
        <w:rPr>
          <w:rFonts w:ascii="Arial" w:hAnsi="Arial"/>
          <w:sz w:val="16"/>
        </w:rPr>
        <w:t>226.07  نمونه‌ای از یک کار برنامه‌ریزی شده مستقیم، تعمیر یک شیر آب نشتی است.</w:t>
      </w:r>
    </w:p>
    <w:p>
      <w:pPr>
        <w:spacing w:after="28" w:line="216" w:lineRule="auto"/>
        <w:ind w:left="259"/>
        <w:jc w:val="left"/>
      </w:pPr>
      <w:r>
        <w:rPr>
          <w:rFonts w:ascii="Arial" w:hAnsi="Arial"/>
          <w:color w:val="525252"/>
          <w:sz w:val="13"/>
        </w:rPr>
        <w:t>An example of a direct scheduled work is fixing a leaky faucet.</w:t>
      </w:r>
    </w:p>
    <w:p>
      <w:pPr>
        <w:spacing w:after="20" w:line="223" w:lineRule="auto"/>
        <w:jc w:val="right"/>
        <w:bidi/>
      </w:pPr>
      <w:r>
        <w:rPr>
          <w:rFonts w:ascii="Arial" w:hAnsi="Arial"/>
          <w:sz w:val="16"/>
        </w:rPr>
        <w:t>226.08  کار برنامه‌ریزی شده.</w:t>
      </w:r>
    </w:p>
    <w:p>
      <w:pPr>
        <w:spacing w:after="28" w:line="216" w:lineRule="auto"/>
        <w:ind w:left="259"/>
        <w:jc w:val="left"/>
      </w:pPr>
      <w:r>
        <w:rPr>
          <w:rFonts w:ascii="Arial" w:hAnsi="Arial"/>
          <w:color w:val="525252"/>
          <w:sz w:val="13"/>
        </w:rPr>
        <w:t>Planned Work.</w:t>
      </w:r>
    </w:p>
    <w:p>
      <w:pPr>
        <w:spacing w:after="20" w:line="223" w:lineRule="auto"/>
        <w:jc w:val="right"/>
        <w:bidi/>
      </w:pPr>
      <w:r>
        <w:rPr>
          <w:rFonts w:ascii="Arial" w:hAnsi="Arial"/>
          <w:sz w:val="16"/>
        </w:rPr>
        <w:t>226.09  درخواست‌های کاری برنامه‌ریزی‌شده معمولا پیچیده هستند و به برنامه‌ریزی دقیق، برنامه‌ریزی چندین فروشگاه و زمان تحویل برای تهیه مواد نیاز دارند.</w:t>
      </w:r>
    </w:p>
    <w:p>
      <w:pPr>
        <w:spacing w:after="28" w:line="216" w:lineRule="auto"/>
        <w:ind w:left="259"/>
        <w:jc w:val="left"/>
      </w:pPr>
      <w:r>
        <w:rPr>
          <w:rFonts w:ascii="Arial" w:hAnsi="Arial"/>
          <w:color w:val="525252"/>
          <w:sz w:val="13"/>
        </w:rPr>
        <w:t>Planned work requests are typically complex and require detailed planning, scheduling of multiple shops, and lead time for material acquisition.</w:t>
      </w:r>
    </w:p>
    <w:p>
      <w:pPr>
        <w:spacing w:after="20" w:line="223" w:lineRule="auto"/>
        <w:jc w:val="right"/>
        <w:bidi/>
      </w:pPr>
      <w:r>
        <w:rPr>
          <w:rFonts w:ascii="Arial" w:hAnsi="Arial"/>
          <w:sz w:val="16"/>
        </w:rPr>
        <w:t>226.10  نمونه‌ای از کارهای برنامه‌ریزی‌شده، جابه‌جایی درگاه و علائم خروجی مربوطه برای تطبیق با طرح‌بندی جدید است.</w:t>
      </w:r>
    </w:p>
    <w:p>
      <w:pPr>
        <w:spacing w:after="28" w:line="216" w:lineRule="auto"/>
        <w:ind w:left="259"/>
        <w:jc w:val="left"/>
      </w:pPr>
      <w:r>
        <w:rPr>
          <w:rFonts w:ascii="Arial" w:hAnsi="Arial"/>
          <w:color w:val="525252"/>
          <w:sz w:val="13"/>
        </w:rPr>
        <w:t>An example of planned work is relocating a doorway and associated exit signs to accommodate a new layout.</w:t>
      </w:r>
    </w:p>
    <w:p>
      <w:pPr>
        <w:spacing w:after="20" w:line="223" w:lineRule="auto"/>
        <w:jc w:val="right"/>
        <w:bidi/>
      </w:pPr>
      <w:r>
        <w:rPr>
          <w:rFonts w:ascii="Arial" w:hAnsi="Arial"/>
          <w:sz w:val="16"/>
        </w:rPr>
        <w:t>226.11  کار اضطراری.</w:t>
      </w:r>
    </w:p>
    <w:p>
      <w:pPr>
        <w:spacing w:after="28" w:line="216" w:lineRule="auto"/>
        <w:ind w:left="259"/>
        <w:jc w:val="left"/>
      </w:pPr>
      <w:r>
        <w:rPr>
          <w:rFonts w:ascii="Arial" w:hAnsi="Arial"/>
          <w:color w:val="525252"/>
          <w:sz w:val="13"/>
        </w:rPr>
        <w:t>Emergency Work.</w:t>
      </w:r>
    </w:p>
    <w:p>
      <w:pPr>
        <w:spacing w:after="20" w:line="223" w:lineRule="auto"/>
        <w:jc w:val="right"/>
        <w:bidi/>
      </w:pPr>
      <w:r>
        <w:rPr>
          <w:rFonts w:ascii="Arial" w:hAnsi="Arial"/>
          <w:sz w:val="16"/>
        </w:rPr>
        <w:t>226.12  کار اضطراری به‌عنوان کاری تعریف می‌شود که مشکلی را اصلاح می‌کند که تهدیدی فوری برای مأموریت، جان، ایمنی یا سلامتی ایجاد می‌کند و برای واحد خدمات مشتری شناسایی می‌شود.</w:t>
      </w:r>
    </w:p>
    <w:p>
      <w:pPr>
        <w:spacing w:after="28" w:line="216" w:lineRule="auto"/>
        <w:ind w:left="259"/>
        <w:jc w:val="left"/>
      </w:pPr>
      <w:r>
        <w:rPr>
          <w:rFonts w:ascii="Arial" w:hAnsi="Arial"/>
          <w:color w:val="525252"/>
          <w:sz w:val="13"/>
        </w:rPr>
        <w:t>Emergency work is defined as work that corrects an issue that poses an immediate threat to mission, life, safety, or health and will be identified to the customer service unit.</w:t>
      </w:r>
    </w:p>
    <w:p>
      <w:pPr>
        <w:spacing w:after="20" w:line="223" w:lineRule="auto"/>
        <w:jc w:val="right"/>
        <w:bidi/>
      </w:pPr>
      <w:r>
        <w:rPr>
          <w:rFonts w:ascii="Arial" w:hAnsi="Arial"/>
          <w:sz w:val="16"/>
        </w:rPr>
        <w:t>226.13  درخواست‌های کاری اضطراری باید با سریع‌ترین وسیله ممکن، از جمله ارتباط شفاهی یا تلفنی، درخواست و انجام شوند.</w:t>
      </w:r>
    </w:p>
    <w:p>
      <w:pPr>
        <w:spacing w:after="28" w:line="216" w:lineRule="auto"/>
        <w:ind w:left="259"/>
        <w:jc w:val="left"/>
      </w:pPr>
      <w:r>
        <w:rPr>
          <w:rFonts w:ascii="Arial" w:hAnsi="Arial"/>
          <w:color w:val="525252"/>
          <w:sz w:val="13"/>
        </w:rPr>
        <w:t>Emergency work requests should be requested and accomplished by the quickest means possible, to include verbal or phone communication.</w:t>
      </w:r>
    </w:p>
    <w:p>
      <w:pPr>
        <w:spacing w:before="60" w:after="28"/>
        <w:jc w:val="right"/>
        <w:bidi/>
      </w:pPr>
      <w:r>
        <w:rPr>
          <w:b/>
          <w:color w:val="1F4D78"/>
          <w:sz w:val="18"/>
        </w:rPr>
        <w:t>12.31. پیشگیری از تقلب، اتلاف و سوء استفاده</w:t>
      </w:r>
    </w:p>
    <w:p>
      <w:pPr>
        <w:spacing w:after="20"/>
        <w:ind w:left="259"/>
        <w:jc w:val="left"/>
      </w:pPr>
      <w:r>
        <w:rPr>
          <w:color w:val="555555"/>
          <w:sz w:val="12"/>
        </w:rPr>
        <w:t>12.31. Fraud, Waste, and Abuse Prevention</w:t>
      </w:r>
    </w:p>
    <w:p>
      <w:pPr>
        <w:spacing w:after="20" w:line="223" w:lineRule="auto"/>
        <w:jc w:val="right"/>
        <w:bidi/>
      </w:pPr>
      <w:r>
        <w:rPr>
          <w:rFonts w:ascii="Arial" w:hAnsi="Arial"/>
          <w:sz w:val="16"/>
        </w:rPr>
        <w:t>226.15  USAF هر ساله میلیون‌ها دلار را به دلیل سوء استفاده افراد از سیستم، هدر دادن منابع گرانبها و ارتکاب اعمال کلاهبرداری از دست می‌دهد.</w:t>
      </w:r>
    </w:p>
    <w:p>
      <w:pPr>
        <w:spacing w:after="28" w:line="216" w:lineRule="auto"/>
        <w:ind w:left="259"/>
        <w:jc w:val="left"/>
      </w:pPr>
      <w:r>
        <w:rPr>
          <w:rFonts w:ascii="Arial" w:hAnsi="Arial"/>
          <w:color w:val="525252"/>
          <w:sz w:val="13"/>
        </w:rPr>
        <w:t>The USAF loses millions of dollars every year due to individuals abusing the system, wasting precious resources, and committing acts of fraud.</w:t>
      </w:r>
    </w:p>
    <w:p>
      <w:pPr>
        <w:spacing w:after="20" w:line="223" w:lineRule="auto"/>
        <w:jc w:val="right"/>
        <w:bidi/>
      </w:pPr>
      <w:r>
        <w:rPr>
          <w:rFonts w:ascii="Arial" w:hAnsi="Arial"/>
          <w:sz w:val="16"/>
        </w:rPr>
        <w:t>226.16  جلوگیری از کلاهبرداری، اتلاف و سوء استفاده (FWA) نگرانی اصلی است.</w:t>
      </w:r>
    </w:p>
    <w:p>
      <w:pPr>
        <w:spacing w:after="28" w:line="216" w:lineRule="auto"/>
        <w:ind w:left="259"/>
        <w:jc w:val="left"/>
      </w:pPr>
      <w:r>
        <w:rPr>
          <w:rFonts w:ascii="Arial" w:hAnsi="Arial"/>
          <w:color w:val="525252"/>
          <w:sz w:val="13"/>
        </w:rPr>
        <w:t>Preventing fraud, waste, and abuse (FWA) is of primary concern.</w:t>
      </w:r>
    </w:p>
    <w:p>
      <w:pPr>
        <w:spacing w:after="20" w:line="223" w:lineRule="auto"/>
        <w:jc w:val="right"/>
        <w:bidi/>
      </w:pPr>
      <w:r>
        <w:rPr>
          <w:rFonts w:ascii="Arial" w:hAnsi="Arial"/>
          <w:sz w:val="16"/>
        </w:rPr>
        <w:t>226.17  در حالی که کشف و پیگرد قانونی برای جلوگیری از روش‌های متقلبانه، اتلاف‌آمیز یا سوء استفاده می‌کند، عنصر کلیدی برنامه جلوگیری از هدر رفتن منابع است.</w:t>
      </w:r>
    </w:p>
    <w:p>
      <w:pPr>
        <w:spacing w:after="28" w:line="216" w:lineRule="auto"/>
        <w:ind w:left="259"/>
        <w:jc w:val="left"/>
      </w:pPr>
      <w:r>
        <w:rPr>
          <w:rFonts w:ascii="Arial" w:hAnsi="Arial"/>
          <w:color w:val="525252"/>
          <w:sz w:val="13"/>
        </w:rPr>
        <w:t>While detection and prosecution serve to deter fraudulent, wasteful, or abusive practices, the key element of the program is to prevent the loss of resources.</w:t>
      </w:r>
    </w:p>
    <w:p>
      <w:pPr>
        <w:spacing w:after="20" w:line="223" w:lineRule="auto"/>
        <w:jc w:val="right"/>
        <w:bidi/>
      </w:pPr>
      <w:r>
        <w:rPr>
          <w:rFonts w:ascii="Arial" w:hAnsi="Arial"/>
          <w:sz w:val="16"/>
        </w:rPr>
        <w:t>226.18  دبیر نیروی هوایی، بازرس کل، راهنمایی‌های سیاستی را ارائه می‌دهد، رویه‌ها را توسعه می‌دهد، و شکایات نیروی هوایی را ایجاد و ارزیابی می‌کند.</w:t>
      </w:r>
    </w:p>
    <w:p>
      <w:pPr>
        <w:spacing w:after="28" w:line="216" w:lineRule="auto"/>
        <w:ind w:left="259"/>
        <w:jc w:val="left"/>
      </w:pPr>
      <w:r>
        <w:rPr>
          <w:rFonts w:ascii="Arial" w:hAnsi="Arial"/>
          <w:color w:val="525252"/>
          <w:sz w:val="13"/>
        </w:rPr>
        <w:t>The Secretary of the Air Force, Inspector General, provides policy guidance, develops procedures, and establishes and evaluates the Air Force Complaints.</w:t>
      </w:r>
    </w:p>
    <w:p>
      <w:pPr>
        <w:spacing w:after="20" w:line="223" w:lineRule="auto"/>
        <w:jc w:val="right"/>
        <w:bidi/>
      </w:pPr>
      <w:r>
        <w:rPr>
          <w:rFonts w:ascii="Arial" w:hAnsi="Arial"/>
          <w:sz w:val="16"/>
        </w:rPr>
        <w:t>226.19  به نوبه خود، IG در هر سطحی مسئول ایجاد و هدایت این برنامه‌ها است.</w:t>
      </w:r>
    </w:p>
    <w:p>
      <w:pPr>
        <w:spacing w:after="28" w:line="216" w:lineRule="auto"/>
        <w:ind w:left="259"/>
        <w:jc w:val="left"/>
      </w:pPr>
      <w:r>
        <w:rPr>
          <w:rFonts w:ascii="Arial" w:hAnsi="Arial"/>
          <w:color w:val="525252"/>
          <w:sz w:val="13"/>
        </w:rPr>
        <w:t>In turn, the IG at every level is responsible for establishing and directing these programs.</w:t>
      </w:r>
    </w:p>
    <w:p>
      <w:pPr>
        <w:spacing w:after="20" w:line="223" w:lineRule="auto"/>
        <w:jc w:val="right"/>
        <w:bidi/>
      </w:pPr>
      <w:r>
        <w:rPr>
          <w:rFonts w:ascii="Arial" w:hAnsi="Arial"/>
          <w:sz w:val="16"/>
        </w:rPr>
        <w:t>226.20  کلاهبرداری.</w:t>
      </w:r>
    </w:p>
    <w:p>
      <w:pPr>
        <w:spacing w:after="28" w:line="216" w:lineRule="auto"/>
        <w:ind w:left="259"/>
        <w:jc w:val="left"/>
      </w:pPr>
      <w:r>
        <w:rPr>
          <w:rFonts w:ascii="Arial" w:hAnsi="Arial"/>
          <w:color w:val="525252"/>
          <w:sz w:val="13"/>
        </w:rPr>
        <w:t>Fraud.</w:t>
      </w:r>
    </w:p>
    <w:p>
      <w:pPr>
        <w:spacing w:after="20" w:line="223" w:lineRule="auto"/>
        <w:jc w:val="right"/>
        <w:bidi/>
      </w:pPr>
      <w:r>
        <w:rPr>
          <w:rFonts w:ascii="Arial" w:hAnsi="Arial"/>
          <w:sz w:val="16"/>
        </w:rPr>
        <w:t>226.21  کلاهبرداری به‌عنوان هرگونه فریب عمدی طراحی شده برای محروم کردن غیرقانونی نیروی هوایی ایالات متحده از چیزی با ارزش یا تأمین امنیت از USAF برای یک منفعت، امتیاز، کمک هزینه، یا در نظر گرفتن فردی که او حق دریافت آن را ندارد، تعریف می‌شود.</w:t>
      </w:r>
    </w:p>
    <w:p>
      <w:pPr>
        <w:spacing w:after="28" w:line="216" w:lineRule="auto"/>
        <w:ind w:left="259"/>
        <w:jc w:val="left"/>
      </w:pPr>
      <w:r>
        <w:rPr>
          <w:rFonts w:ascii="Arial" w:hAnsi="Arial"/>
          <w:color w:val="525252"/>
          <w:sz w:val="13"/>
        </w:rPr>
        <w:t>Fraud is defined as any intentional deception designed to unlawfully deprive the USAF of something of value or to secure from the USAF for an individual benefit, privilege, allowance, or consideration to which he or she is not entitled.</w:t>
      </w:r>
    </w:p>
    <w:p>
      <w:pPr>
        <w:spacing w:after="20" w:line="223" w:lineRule="auto"/>
        <w:jc w:val="right"/>
        <w:bidi/>
      </w:pPr>
      <w:r>
        <w:rPr>
          <w:rFonts w:ascii="Arial" w:hAnsi="Arial"/>
          <w:sz w:val="16"/>
        </w:rPr>
        <w:t>226.22  همچنین ممکن است کلاهبرداری به‌عنوان هرگونه سرقت یا انحراف منابع برای منافع شخصی یا تجاری در نظر گرفته شود.</w:t>
      </w:r>
    </w:p>
    <w:p>
      <w:pPr>
        <w:spacing w:after="28" w:line="216" w:lineRule="auto"/>
        <w:ind w:left="259"/>
        <w:jc w:val="left"/>
      </w:pPr>
      <w:r>
        <w:rPr>
          <w:rFonts w:ascii="Arial" w:hAnsi="Arial"/>
          <w:color w:val="525252"/>
          <w:sz w:val="13"/>
        </w:rPr>
        <w:t>Fraud may also be considered to be any theft or diversion of resources for personal or commercial gain.</w:t>
      </w:r>
    </w:p>
    <w:p>
      <w:pPr>
        <w:spacing w:after="20" w:line="223" w:lineRule="auto"/>
        <w:jc w:val="right"/>
        <w:bidi/>
      </w:pPr>
      <w:r>
        <w:rPr>
          <w:rFonts w:ascii="Arial" w:hAnsi="Arial"/>
          <w:sz w:val="16"/>
        </w:rPr>
        <w:t>226.23  ضایعات.</w:t>
      </w:r>
    </w:p>
    <w:p>
      <w:pPr>
        <w:spacing w:after="28" w:line="216" w:lineRule="auto"/>
        <w:ind w:left="259"/>
        <w:jc w:val="left"/>
      </w:pPr>
      <w:r>
        <w:rPr>
          <w:rFonts w:ascii="Arial" w:hAnsi="Arial"/>
          <w:color w:val="525252"/>
          <w:sz w:val="13"/>
        </w:rPr>
        <w:t>Waste.</w:t>
      </w:r>
    </w:p>
    <w:p>
      <w:pPr>
        <w:spacing w:after="20" w:line="223" w:lineRule="auto"/>
        <w:jc w:val="right"/>
        <w:bidi/>
      </w:pPr>
      <w:r>
        <w:rPr>
          <w:rFonts w:ascii="Arial" w:hAnsi="Arial"/>
          <w:sz w:val="16"/>
        </w:rPr>
        <w:t>226.24  ضایعات به‌عنوان هزینه‌های گزاف، بی دقت یا بیهوده وجوه USAF یا مصرف دارایی USAF که ناشی از عملکردها، کنترل‌های سیستمی یا تصمیمات ناقص است، تعریف می‌شود.</w:t>
      </w:r>
    </w:p>
    <w:p>
      <w:pPr>
        <w:spacing w:after="28" w:line="216" w:lineRule="auto"/>
        <w:ind w:left="259"/>
        <w:jc w:val="left"/>
      </w:pPr>
      <w:r>
        <w:rPr>
          <w:rFonts w:ascii="Arial" w:hAnsi="Arial"/>
          <w:color w:val="525252"/>
          <w:sz w:val="13"/>
        </w:rPr>
        <w:t>Waste is defined as the extravagant, careless, or needless expenditure of USAF funds or the consumption of USAF property that results from deficient practices, systems controls, or decisions.</w:t>
      </w:r>
    </w:p>
    <w:p>
      <w:pPr>
        <w:spacing w:after="20" w:line="223" w:lineRule="auto"/>
        <w:jc w:val="right"/>
        <w:bidi/>
      </w:pPr>
      <w:r>
        <w:rPr>
          <w:rFonts w:ascii="Arial" w:hAnsi="Arial"/>
          <w:sz w:val="16"/>
        </w:rPr>
        <w:t>226.25  ضایعات همچنین شامل شیوه‌های نادرستی است که شامل کلاهبرداری قابل پیگرد قانونی نمی‌شود.</w:t>
      </w:r>
    </w:p>
    <w:p>
      <w:pPr>
        <w:spacing w:after="28" w:line="216" w:lineRule="auto"/>
        <w:ind w:left="259"/>
        <w:jc w:val="left"/>
      </w:pPr>
      <w:r>
        <w:rPr>
          <w:rFonts w:ascii="Arial" w:hAnsi="Arial"/>
          <w:color w:val="525252"/>
          <w:sz w:val="13"/>
        </w:rPr>
        <w:t>Waste also includes improper practices not involving prosecutable fraud.</w:t>
      </w:r>
    </w:p>
    <w:p>
      <w:pPr>
        <w:spacing w:after="20" w:line="223" w:lineRule="auto"/>
        <w:jc w:val="right"/>
        <w:bidi/>
      </w:pPr>
      <w:r>
        <w:rPr>
          <w:rFonts w:ascii="Arial" w:hAnsi="Arial"/>
          <w:sz w:val="16"/>
        </w:rPr>
        <w:t>226.26  عملیات در زمان جنگ و اضطرار، ذخایر قانونی و ذخایر زمان جنگ زباله محسوب نمی‌شوند.</w:t>
      </w:r>
    </w:p>
    <w:p>
      <w:pPr>
        <w:spacing w:after="28" w:line="216" w:lineRule="auto"/>
        <w:ind w:left="259"/>
        <w:jc w:val="left"/>
      </w:pPr>
      <w:r>
        <w:rPr>
          <w:rFonts w:ascii="Arial" w:hAnsi="Arial"/>
          <w:color w:val="525252"/>
          <w:sz w:val="13"/>
        </w:rPr>
        <w:t>Wartime and emergency operations, legitimate stockpiles, and wartime reserves are not considered waste.</w:t>
      </w:r>
    </w:p>
    <w:p>
      <w:pPr>
        <w:spacing w:after="20" w:line="223" w:lineRule="auto"/>
        <w:jc w:val="right"/>
        <w:bidi/>
      </w:pPr>
      <w:r>
        <w:rPr>
          <w:rFonts w:ascii="Arial" w:hAnsi="Arial"/>
          <w:sz w:val="16"/>
        </w:rPr>
        <w:t>226.27  سوء استفاده.</w:t>
      </w:r>
    </w:p>
    <w:p>
      <w:pPr>
        <w:spacing w:after="28" w:line="216" w:lineRule="auto"/>
        <w:ind w:left="259"/>
        <w:jc w:val="left"/>
      </w:pPr>
      <w:r>
        <w:rPr>
          <w:rFonts w:ascii="Arial" w:hAnsi="Arial"/>
          <w:color w:val="525252"/>
          <w:sz w:val="13"/>
        </w:rPr>
        <w:t>Abuse.</w:t>
      </w:r>
    </w:p>
    <w:p>
      <w:pPr>
        <w:spacing w:after="20" w:line="223" w:lineRule="auto"/>
        <w:jc w:val="right"/>
        <w:bidi/>
      </w:pPr>
      <w:r>
        <w:rPr>
          <w:rFonts w:ascii="Arial" w:hAnsi="Arial"/>
          <w:sz w:val="16"/>
        </w:rPr>
        <w:t>226.28  سوء استفاده به‌عنوان استفاده عمدی نادرست یا نادرست از منابع USAF تعریف شده است.</w:t>
      </w:r>
    </w:p>
    <w:p>
      <w:pPr>
        <w:spacing w:after="28" w:line="216" w:lineRule="auto"/>
        <w:ind w:left="259"/>
        <w:jc w:val="left"/>
      </w:pPr>
      <w:r>
        <w:rPr>
          <w:rFonts w:ascii="Arial" w:hAnsi="Arial"/>
          <w:color w:val="525252"/>
          <w:sz w:val="13"/>
        </w:rPr>
        <w:t>Abuse is defined as the intentionally wrongful or improper use of USAF resources.</w:t>
      </w:r>
    </w:p>
    <w:p>
      <w:pPr>
        <w:spacing w:after="20" w:line="223" w:lineRule="auto"/>
        <w:jc w:val="right"/>
        <w:bidi/>
      </w:pPr>
      <w:r>
        <w:rPr>
          <w:rFonts w:ascii="Arial" w:hAnsi="Arial"/>
          <w:sz w:val="16"/>
        </w:rPr>
        <w:t>226.29  نمونه‌های سوء استفاده شامل سوء استفاده از رتبه، موقعیت یا اختیاراتی است که باعث از دست رفتن یا سوء استفاده از منابع، مانند ابزار، وسایل نقلیه، رایانه یا تجهیزات اداری می‌شود.</w:t>
      </w:r>
    </w:p>
    <w:p>
      <w:pPr>
        <w:spacing w:after="28" w:line="216" w:lineRule="auto"/>
        <w:ind w:left="259"/>
        <w:jc w:val="left"/>
      </w:pPr>
      <w:r>
        <w:rPr>
          <w:rFonts w:ascii="Arial" w:hAnsi="Arial"/>
          <w:color w:val="525252"/>
          <w:sz w:val="13"/>
        </w:rPr>
        <w:t>Examples of abuse include misuse of rank, position, or authority that causes the loss or misuse of resources, such as tools, vehicles, computers, or office equipment.</w:t>
      </w:r>
    </w:p>
    <w:p>
      <w:pPr>
        <w:spacing w:after="20" w:line="223" w:lineRule="auto"/>
        <w:jc w:val="right"/>
        <w:bidi/>
      </w:pPr>
      <w:r>
        <w:rPr>
          <w:rFonts w:ascii="Arial" w:hAnsi="Arial"/>
          <w:sz w:val="16"/>
        </w:rPr>
        <w:t>226.30  شکایات تقلب، اتلاف و سوء استفاده.</w:t>
      </w:r>
    </w:p>
    <w:p>
      <w:pPr>
        <w:spacing w:after="28" w:line="216" w:lineRule="auto"/>
        <w:ind w:left="259"/>
        <w:jc w:val="left"/>
      </w:pPr>
      <w:r>
        <w:rPr>
          <w:rFonts w:ascii="Arial" w:hAnsi="Arial"/>
          <w:color w:val="525252"/>
          <w:sz w:val="13"/>
        </w:rPr>
        <w:t>Fraud, Waste and Abuse Complaints.</w:t>
      </w:r>
    </w:p>
    <w:p>
      <w:pPr>
        <w:spacing w:after="20" w:line="223" w:lineRule="auto"/>
        <w:jc w:val="right"/>
        <w:bidi/>
      </w:pPr>
      <w:r>
        <w:rPr>
          <w:rFonts w:ascii="Arial" w:hAnsi="Arial"/>
          <w:sz w:val="16"/>
        </w:rPr>
        <w:t>226.31  پرسنل USAF موظفند فورا FWA را به یک ناظر یا فرمانده مناسب، به یک IG یا بازرس مناسب دیگر، یا از طریق یک کانال شکایت مشخص گزارش دهند.</w:t>
      </w:r>
    </w:p>
    <w:p>
      <w:pPr>
        <w:spacing w:after="28" w:line="216" w:lineRule="auto"/>
        <w:ind w:left="259"/>
        <w:jc w:val="left"/>
      </w:pPr>
      <w:r>
        <w:rPr>
          <w:rFonts w:ascii="Arial" w:hAnsi="Arial"/>
          <w:color w:val="525252"/>
          <w:sz w:val="13"/>
        </w:rPr>
        <w:t>USAF personnel have a duty to promptly report FWA to an appropriate supervisor or commander, to an IG or other appropriate inspector, or through an established grievance channel.</w:t>
      </w:r>
    </w:p>
    <w:p>
      <w:pPr>
        <w:spacing w:after="20" w:line="223" w:lineRule="auto"/>
        <w:jc w:val="right"/>
        <w:bidi/>
      </w:pPr>
      <w:r>
        <w:rPr>
          <w:rFonts w:ascii="Arial" w:hAnsi="Arial"/>
          <w:sz w:val="16"/>
        </w:rPr>
        <w:t>226.32  شکایات FWA ممکن است به آژانس حسابرسی نیروی هوایی، دفتر تحقیقات ویژه نیروی هوایی (AFOSI)، نیروهای امنیتی، یا سایر مقامات مناسب گزارش شود.</w:t>
      </w:r>
    </w:p>
    <w:p>
      <w:pPr>
        <w:spacing w:after="28" w:line="216" w:lineRule="auto"/>
        <w:ind w:left="259"/>
        <w:jc w:val="left"/>
      </w:pPr>
      <w:r>
        <w:rPr>
          <w:rFonts w:ascii="Arial" w:hAnsi="Arial"/>
          <w:color w:val="525252"/>
          <w:sz w:val="13"/>
        </w:rPr>
        <w:t>FWA complaints may be reported to the Air Force Audit Agency, the Air Force Office of Special Investigations (AFOSI), security forces, or other proper authorities.</w:t>
      </w:r>
    </w:p>
    <w:p>
      <w:pPr>
        <w:spacing w:after="20" w:line="223" w:lineRule="auto"/>
        <w:jc w:val="right"/>
        <w:bidi/>
      </w:pPr>
      <w:r>
        <w:rPr>
          <w:rFonts w:ascii="Arial" w:hAnsi="Arial"/>
          <w:sz w:val="16"/>
        </w:rPr>
        <w:t>226.33  افراد می‌توانند شکایات FWA را از طریق یادداشت، شخصا یا از طریق خطوط تلفنی FWA ارسال کنند.</w:t>
      </w:r>
    </w:p>
    <w:p>
      <w:pPr>
        <w:spacing w:after="28" w:line="216" w:lineRule="auto"/>
        <w:ind w:left="259"/>
        <w:jc w:val="left"/>
      </w:pPr>
      <w:r>
        <w:rPr>
          <w:rFonts w:ascii="Arial" w:hAnsi="Arial"/>
          <w:color w:val="525252"/>
          <w:sz w:val="13"/>
        </w:rPr>
        <w:t>Individuals may submit complaints of FWA by memorandum, in person, or by FWA hotlines.</w:t>
      </w:r>
    </w:p>
    <w:p>
      <w:pPr>
        <w:spacing w:after="20" w:line="223" w:lineRule="auto"/>
        <w:jc w:val="right"/>
        <w:bidi/>
      </w:pPr>
      <w:r>
        <w:rPr>
          <w:rFonts w:ascii="Arial" w:hAnsi="Arial"/>
          <w:sz w:val="16"/>
        </w:rPr>
        <w:t>226.34  همچنین ممکن است شکایات به صورت ناشناس ارسال شوند.</w:t>
      </w:r>
    </w:p>
    <w:p>
      <w:pPr>
        <w:spacing w:after="28" w:line="216" w:lineRule="auto"/>
        <w:ind w:left="259"/>
        <w:jc w:val="left"/>
      </w:pPr>
      <w:r>
        <w:rPr>
          <w:rFonts w:ascii="Arial" w:hAnsi="Arial"/>
          <w:color w:val="525252"/>
          <w:sz w:val="13"/>
        </w:rPr>
        <w:t>Complaints may also be submitted anonymously.</w:t>
      </w:r>
    </w:p>
    <w:p>
      <w:pPr>
        <w:spacing w:after="20" w:line="223" w:lineRule="auto"/>
        <w:jc w:val="right"/>
        <w:bidi/>
      </w:pPr>
      <w:r>
        <w:rPr>
          <w:rFonts w:ascii="Arial" w:hAnsi="Arial"/>
          <w:sz w:val="16"/>
        </w:rPr>
        <w:t>226.35  همانند شکایات شخصی، اعضای USAF باید قبل از مطرح کردن آنها به سطح بالاتر یا IG، مشکلات FWA را در پایین‌ترین سطح ممکن با استفاده از کانال‌های فرمان حل کنند.</w:t>
      </w:r>
    </w:p>
    <w:p>
      <w:pPr>
        <w:spacing w:after="28" w:line="216" w:lineRule="auto"/>
        <w:ind w:left="259"/>
        <w:jc w:val="left"/>
      </w:pPr>
      <w:r>
        <w:rPr>
          <w:rFonts w:ascii="Arial" w:hAnsi="Arial"/>
          <w:color w:val="525252"/>
          <w:sz w:val="13"/>
        </w:rPr>
        <w:t>As with personal complaints, USAF members should try resolving FWA issues at the lowest possible level using command channels before addressing them to a higher level or the IG.</w:t>
      </w:r>
    </w:p>
    <w:p>
      <w:pPr>
        <w:spacing w:after="20" w:line="223" w:lineRule="auto"/>
        <w:jc w:val="right"/>
        <w:bidi/>
      </w:pPr>
      <w:r>
        <w:rPr>
          <w:rFonts w:ascii="Arial" w:hAnsi="Arial"/>
          <w:sz w:val="16"/>
        </w:rPr>
        <w:t>226.36  ساخت</w:t>
      </w:r>
    </w:p>
    <w:p>
      <w:pPr>
        <w:spacing w:after="28" w:line="216" w:lineRule="auto"/>
        <w:ind w:left="259"/>
        <w:jc w:val="left"/>
      </w:pPr>
      <w:r>
        <w:rPr>
          <w:rFonts w:ascii="Arial" w:hAnsi="Arial"/>
          <w:color w:val="525252"/>
          <w:sz w:val="13"/>
        </w:rPr>
        <w:t>Making</w:t>
      </w:r>
    </w:p>
    <w:p>
      <w:r>
        <w:br w:type="page"/>
      </w:r>
    </w:p>
    <w:p>
      <w:pPr>
        <w:spacing w:after="60"/>
        <w:jc w:val="right"/>
        <w:bidi/>
      </w:pPr>
      <w:r>
        <w:rPr>
          <w:rFonts w:ascii="Arial" w:hAnsi="Arial"/>
          <w:b/>
          <w:color w:val="1F4D78"/>
          <w:sz w:val="19"/>
        </w:rPr>
        <w:t>هفتهٔ 227  |  صفحهٔ منبع: 243</w:t>
      </w:r>
    </w:p>
    <w:p>
      <w:pPr>
        <w:spacing w:after="20" w:line="223" w:lineRule="auto"/>
        <w:jc w:val="right"/>
        <w:bidi/>
      </w:pPr>
      <w:r>
        <w:rPr>
          <w:rFonts w:ascii="Arial" w:hAnsi="Arial"/>
          <w:sz w:val="16"/>
        </w:rPr>
        <w:t>227.01  افشا یا شکایت به اطلاعات واقعی، بی طرفانه و خاص نیاز دارد.</w:t>
      </w:r>
    </w:p>
    <w:p>
      <w:pPr>
        <w:spacing w:after="28" w:line="216" w:lineRule="auto"/>
        <w:ind w:left="259"/>
        <w:jc w:val="left"/>
      </w:pPr>
      <w:r>
        <w:rPr>
          <w:rFonts w:ascii="Arial" w:hAnsi="Arial"/>
          <w:color w:val="525252"/>
          <w:sz w:val="13"/>
        </w:rPr>
        <w:t>a disclosure or complaint requires factual, unbiased, and specific information.</w:t>
      </w:r>
    </w:p>
    <w:p>
      <w:pPr>
        <w:spacing w:after="20" w:line="223" w:lineRule="auto"/>
        <w:jc w:val="right"/>
        <w:bidi/>
      </w:pPr>
      <w:r>
        <w:rPr>
          <w:rFonts w:ascii="Arial" w:hAnsi="Arial"/>
          <w:sz w:val="16"/>
        </w:rPr>
        <w:t>227.02  افراد باید بدانند که بیانیه‌های رسمی را در کانال‌های USAF ارسال می‌کنند.</w:t>
      </w:r>
    </w:p>
    <w:p>
      <w:pPr>
        <w:spacing w:after="28" w:line="216" w:lineRule="auto"/>
        <w:ind w:left="259"/>
        <w:jc w:val="left"/>
      </w:pPr>
      <w:r>
        <w:rPr>
          <w:rFonts w:ascii="Arial" w:hAnsi="Arial"/>
          <w:color w:val="525252"/>
          <w:sz w:val="13"/>
        </w:rPr>
        <w:t>Individuals must understand they are submitting official statements within USAF channels.</w:t>
      </w:r>
    </w:p>
    <w:p>
      <w:pPr>
        <w:spacing w:after="20" w:line="223" w:lineRule="auto"/>
        <w:jc w:val="right"/>
        <w:bidi/>
      </w:pPr>
      <w:r>
        <w:rPr>
          <w:rFonts w:ascii="Arial" w:hAnsi="Arial"/>
          <w:sz w:val="16"/>
        </w:rPr>
        <w:t>227.03  بنابراین، آنها همچنان به دلیل اظهارات نادرست آگاهانه و ارسال سایر ارتباطات غیرقانونی مشمول اقدامات تنبیهی یا اقدامات اداری نامطلوب هستند.</w:t>
      </w:r>
    </w:p>
    <w:p>
      <w:pPr>
        <w:spacing w:after="28" w:line="216" w:lineRule="auto"/>
        <w:ind w:left="259"/>
        <w:jc w:val="left"/>
      </w:pPr>
      <w:r>
        <w:rPr>
          <w:rFonts w:ascii="Arial" w:hAnsi="Arial"/>
          <w:color w:val="525252"/>
          <w:sz w:val="13"/>
        </w:rPr>
        <w:t>Therefore, they remain subject to punitive action or adverse administrative action for knowingly making false statements and for submitting other unlawful communications.</w:t>
      </w:r>
    </w:p>
    <w:p>
      <w:pPr>
        <w:spacing w:after="20" w:line="223" w:lineRule="auto"/>
        <w:jc w:val="right"/>
        <w:bidi/>
      </w:pPr>
      <w:r>
        <w:rPr>
          <w:rFonts w:ascii="Arial" w:hAnsi="Arial"/>
          <w:sz w:val="16"/>
        </w:rPr>
        <w:t>227.04  حریم خصوصی شاکی.</w:t>
      </w:r>
    </w:p>
    <w:p>
      <w:pPr>
        <w:spacing w:after="28" w:line="216" w:lineRule="auto"/>
        <w:ind w:left="259"/>
        <w:jc w:val="left"/>
      </w:pPr>
      <w:r>
        <w:rPr>
          <w:rFonts w:ascii="Arial" w:hAnsi="Arial"/>
          <w:color w:val="525252"/>
          <w:sz w:val="13"/>
        </w:rPr>
        <w:t>Complainant Privacy.</w:t>
      </w:r>
    </w:p>
    <w:p>
      <w:pPr>
        <w:spacing w:after="20" w:line="223" w:lineRule="auto"/>
        <w:jc w:val="right"/>
        <w:bidi/>
      </w:pPr>
      <w:r>
        <w:rPr>
          <w:rFonts w:ascii="Arial" w:hAnsi="Arial"/>
          <w:sz w:val="16"/>
        </w:rPr>
        <w:t>227.05  حریم خصوصی شاکی برای تشویق همکاری داوطلبانه و ایجاد فضای باز در شناسایی مسائلی که نیاز به مداخله رهبری دارند محافظت می‌شود.</w:t>
      </w:r>
    </w:p>
    <w:p>
      <w:pPr>
        <w:spacing w:after="28" w:line="216" w:lineRule="auto"/>
        <w:ind w:left="259"/>
        <w:jc w:val="left"/>
      </w:pPr>
      <w:r>
        <w:rPr>
          <w:rFonts w:ascii="Arial" w:hAnsi="Arial"/>
          <w:color w:val="525252"/>
          <w:sz w:val="13"/>
        </w:rPr>
        <w:t>The complainant’s privacy is safeguarded to encourage voluntary cooperation and to promote a climate of openness in identifying issues requiring leadership intervention.</w:t>
      </w:r>
    </w:p>
    <w:p>
      <w:pPr>
        <w:spacing w:after="20" w:line="223" w:lineRule="auto"/>
        <w:jc w:val="right"/>
        <w:bidi/>
      </w:pPr>
      <w:r>
        <w:rPr>
          <w:rFonts w:ascii="Arial" w:hAnsi="Arial"/>
          <w:sz w:val="16"/>
        </w:rPr>
        <w:t>227.06  IG مسئولیت حفاظت از هویت شخصی و شکایات افرادی را دارد که به دنبال کمک هستند یا در یک فرآیند IG شرکت می‌کنند، مانند تحقیقات.</w:t>
      </w:r>
    </w:p>
    <w:p>
      <w:pPr>
        <w:spacing w:after="28" w:line="216" w:lineRule="auto"/>
        <w:ind w:left="259"/>
        <w:jc w:val="left"/>
      </w:pPr>
      <w:r>
        <w:rPr>
          <w:rFonts w:ascii="Arial" w:hAnsi="Arial"/>
          <w:color w:val="525252"/>
          <w:sz w:val="13"/>
        </w:rPr>
        <w:t>The IG has the responsibility to safeguard the personal identity and complaints of individuals seeking assistance or participating in an IG process, such as an investigation.</w:t>
      </w:r>
    </w:p>
    <w:p>
      <w:pPr>
        <w:spacing w:after="20" w:line="223" w:lineRule="auto"/>
        <w:jc w:val="right"/>
        <w:bidi/>
      </w:pPr>
      <w:r>
        <w:rPr>
          <w:rFonts w:ascii="Arial" w:hAnsi="Arial"/>
          <w:sz w:val="16"/>
        </w:rPr>
        <w:t>227.07  در حالی که این بدان معنا نیست که ارتباطات انجام شده به یک IG ممتاز یا محرمانه است، اما به این معنی است که افشای آن ارتباطات و هویت ارتباط گیرنده به شدت محدود به مبنای رسمی نیاز به دانستن است، زمانی که قانون یا مقررات، در صورت لزوم برای انجام اقدام نامطلوب علیه یک موضوع، یا با تأیید بازرس کل هوایی، الزامی است.</w:t>
      </w:r>
    </w:p>
    <w:p>
      <w:pPr>
        <w:spacing w:after="28" w:line="216" w:lineRule="auto"/>
        <w:ind w:left="259"/>
        <w:jc w:val="left"/>
      </w:pPr>
      <w:r>
        <w:rPr>
          <w:rFonts w:ascii="Arial" w:hAnsi="Arial"/>
          <w:color w:val="525252"/>
          <w:sz w:val="13"/>
        </w:rPr>
        <w:t>While this does not mean the communications made to an IG are privileged or confidential, it does mean that disclosure of those communications and the identity of the communicant is strictly limited to an official need-to-know basis, when required by law or regulation, when necessary to take adverse action against a subject, or with Secretary of the Air Force, Inspector General approval.</w:t>
      </w:r>
    </w:p>
    <w:p>
      <w:pPr>
        <w:spacing w:after="20" w:line="223" w:lineRule="auto"/>
        <w:jc w:val="right"/>
        <w:bidi/>
      </w:pPr>
      <w:r>
        <w:rPr>
          <w:rFonts w:ascii="Arial" w:hAnsi="Arial"/>
          <w:sz w:val="16"/>
        </w:rPr>
        <w:t>227.08  حقوق افشاگر.</w:t>
      </w:r>
    </w:p>
    <w:p>
      <w:pPr>
        <w:spacing w:after="28" w:line="216" w:lineRule="auto"/>
        <w:ind w:left="259"/>
        <w:jc w:val="left"/>
      </w:pPr>
      <w:r>
        <w:rPr>
          <w:rFonts w:ascii="Arial" w:hAnsi="Arial"/>
          <w:color w:val="525252"/>
          <w:sz w:val="13"/>
        </w:rPr>
        <w:t>Whistleblower Rights.</w:t>
      </w:r>
    </w:p>
    <w:p>
      <w:pPr>
        <w:spacing w:after="20" w:line="223" w:lineRule="auto"/>
        <w:jc w:val="right"/>
        <w:bidi/>
      </w:pPr>
      <w:r>
        <w:rPr>
          <w:rFonts w:ascii="Arial" w:hAnsi="Arial"/>
          <w:sz w:val="16"/>
        </w:rPr>
        <w:t>227.09  شاهدان افشاگر حقوق بیشتری دارند.</w:t>
      </w:r>
    </w:p>
    <w:p>
      <w:pPr>
        <w:spacing w:after="28" w:line="216" w:lineRule="auto"/>
        <w:ind w:left="259"/>
        <w:jc w:val="left"/>
      </w:pPr>
      <w:r>
        <w:rPr>
          <w:rFonts w:ascii="Arial" w:hAnsi="Arial"/>
          <w:color w:val="525252"/>
          <w:sz w:val="13"/>
        </w:rPr>
        <w:t>Whistleblower witnesses have additional rights.</w:t>
      </w:r>
    </w:p>
    <w:p>
      <w:pPr>
        <w:spacing w:after="20" w:line="223" w:lineRule="auto"/>
        <w:jc w:val="right"/>
        <w:bidi/>
      </w:pPr>
      <w:r>
        <w:rPr>
          <w:rFonts w:ascii="Arial" w:hAnsi="Arial"/>
          <w:sz w:val="16"/>
        </w:rPr>
        <w:t>227.10  ماهیت ادعا و یافته‌ها مشخص خواهد کرد که چه اطلاعاتی قابل انتشار است.</w:t>
      </w:r>
    </w:p>
    <w:p>
      <w:pPr>
        <w:spacing w:after="28" w:line="216" w:lineRule="auto"/>
        <w:ind w:left="259"/>
        <w:jc w:val="left"/>
      </w:pPr>
      <w:r>
        <w:rPr>
          <w:rFonts w:ascii="Arial" w:hAnsi="Arial"/>
          <w:color w:val="525252"/>
          <w:sz w:val="13"/>
        </w:rPr>
        <w:t>The nature of the allegation and findings will determine what information is releasable.</w:t>
      </w:r>
    </w:p>
    <w:p>
      <w:pPr>
        <w:spacing w:after="20" w:line="223" w:lineRule="auto"/>
        <w:jc w:val="right"/>
        <w:bidi/>
      </w:pPr>
      <w:r>
        <w:rPr>
          <w:rFonts w:ascii="Arial" w:hAnsi="Arial"/>
          <w:sz w:val="16"/>
        </w:rPr>
        <w:t>227.11  تمام اطلاعات منتشر شده طبق قانون آزادی اطلاعات و قانون حفظ حریم خصوصی است.</w:t>
      </w:r>
    </w:p>
    <w:p>
      <w:pPr>
        <w:spacing w:after="28" w:line="216" w:lineRule="auto"/>
        <w:ind w:left="259"/>
        <w:jc w:val="left"/>
      </w:pPr>
      <w:r>
        <w:rPr>
          <w:rFonts w:ascii="Arial" w:hAnsi="Arial"/>
          <w:color w:val="525252"/>
          <w:sz w:val="13"/>
        </w:rPr>
        <w:t>All information released is according to Freedom of Information Act and Privacy Act.</w:t>
      </w:r>
    </w:p>
    <w:p>
      <w:pPr>
        <w:spacing w:after="20" w:line="223" w:lineRule="auto"/>
        <w:jc w:val="right"/>
        <w:bidi/>
      </w:pPr>
      <w:r>
        <w:rPr>
          <w:rFonts w:ascii="Arial" w:hAnsi="Arial"/>
          <w:sz w:val="16"/>
        </w:rPr>
        <w:t>227.12  شاکیان "شخص ثالث" حق دریافت پاسخ در مورد اشتباهات ادعایی را ندارند که مستقیما بر آنها تأثیر نمی‌گذارد، مگر اینکه مجوز دریافت از طریق قانون آزادی اطلاعات یا انتشار قانون حفظ حریم خصوصی را داشته باشند.</w:t>
      </w:r>
    </w:p>
    <w:p>
      <w:pPr>
        <w:spacing w:after="28" w:line="216" w:lineRule="auto"/>
        <w:ind w:left="259"/>
        <w:jc w:val="left"/>
      </w:pPr>
      <w:r>
        <w:rPr>
          <w:rFonts w:ascii="Arial" w:hAnsi="Arial"/>
          <w:color w:val="525252"/>
          <w:sz w:val="13"/>
        </w:rPr>
        <w:t>“Third-party” complainants are not entitled to a response regarding alleged wrongs not directly affecting them unless authorized to receive via a Freedom of Information Act or a Privacy Act release.</w:t>
      </w:r>
    </w:p>
    <w:p>
      <w:pPr>
        <w:spacing w:before="60" w:after="28"/>
        <w:jc w:val="right"/>
        <w:bidi/>
      </w:pPr>
      <w:r>
        <w:rPr>
          <w:b/>
          <w:color w:val="1F4D78"/>
          <w:sz w:val="18"/>
        </w:rPr>
        <w:t>12.32. بررسی مسئولیت مالی</w:t>
      </w:r>
    </w:p>
    <w:p>
      <w:pPr>
        <w:spacing w:after="20"/>
        <w:ind w:left="259"/>
        <w:jc w:val="left"/>
      </w:pPr>
      <w:r>
        <w:rPr>
          <w:color w:val="555555"/>
          <w:sz w:val="12"/>
        </w:rPr>
        <w:t>12.32. Financial Liability Investigation</w:t>
      </w:r>
    </w:p>
    <w:p>
      <w:pPr>
        <w:spacing w:after="20" w:line="223" w:lineRule="auto"/>
        <w:jc w:val="right"/>
        <w:bidi/>
      </w:pPr>
      <w:r>
        <w:rPr>
          <w:rFonts w:ascii="Arial" w:hAnsi="Arial"/>
          <w:sz w:val="16"/>
        </w:rPr>
        <w:t>227.14  در صورت کشف از دست دادن، آسیب، تخریب، یا سرقت اموال دولتی (منقول یا شخصی) با هر ارزشی، ناظر فوری در زنجیره فرماندهی باید یک تحقیق غیررسمی را برای تعیین اینکه آیا وضعیت مستلزم تحقیقات رسمی است انجام دهد.</w:t>
      </w:r>
    </w:p>
    <w:p>
      <w:pPr>
        <w:spacing w:after="28" w:line="216" w:lineRule="auto"/>
        <w:ind w:left="259"/>
        <w:jc w:val="left"/>
      </w:pPr>
      <w:r>
        <w:rPr>
          <w:rFonts w:ascii="Arial" w:hAnsi="Arial"/>
          <w:color w:val="525252"/>
          <w:sz w:val="13"/>
        </w:rPr>
        <w:t>Upon the discovery of loss, damage, destruction, or theft of government-owned property (real or personal) of any value, the immediate supervisor within the chain of command shall conduct an informal inquiry to determine if the situation warrants a formal investigation.</w:t>
      </w:r>
    </w:p>
    <w:p>
      <w:pPr>
        <w:spacing w:after="20" w:line="223" w:lineRule="auto"/>
        <w:jc w:val="right"/>
        <w:bidi/>
      </w:pPr>
      <w:r>
        <w:rPr>
          <w:rFonts w:ascii="Arial" w:hAnsi="Arial"/>
          <w:sz w:val="16"/>
        </w:rPr>
        <w:t>227.15  تحقیقات باید برای همه از دست دادن، آسیب، تخریب یا سرقت تجهیزات دولتی با هزینه خرید اولیه ۵۰۰۰ دلار یا بیشتر انجام شود. کلیه اموال حساس، طبقه بندی شده، یا اجاره شده (اجاره سرمایه) بدون در نظر گرفتن هزینه اولیه اکتساب. و هر گونه اموال غیر منقول.</w:t>
      </w:r>
    </w:p>
    <w:p>
      <w:pPr>
        <w:spacing w:after="28" w:line="216" w:lineRule="auto"/>
        <w:ind w:left="259"/>
        <w:jc w:val="left"/>
      </w:pPr>
      <w:r>
        <w:rPr>
          <w:rFonts w:ascii="Arial" w:hAnsi="Arial"/>
          <w:color w:val="525252"/>
          <w:sz w:val="13"/>
        </w:rPr>
        <w:t>An investigation shall be conducted for all loss, damage, destruction, or theft of government-owned equipment with an initial acquisition cost of $5000 or greater; all sensitive, classified, or leased (capital lease) property, regardless of initial acquisition cost; and any real property.</w:t>
      </w:r>
    </w:p>
    <w:p>
      <w:pPr>
        <w:spacing w:after="20" w:line="223" w:lineRule="auto"/>
        <w:jc w:val="right"/>
        <w:bidi/>
      </w:pPr>
      <w:r>
        <w:rPr>
          <w:rFonts w:ascii="Arial" w:hAnsi="Arial"/>
          <w:sz w:val="16"/>
        </w:rPr>
        <w:t>227.16  با این حال، ممکن است در مواقعی که شرایط اقتضا می‌کند، تحقیقات نیز انجام شود، مانند زمانی که از دست دادن، آسیب، تخریب یا سرقت مقادیر کمی دارایی به قدری مکرر اتفاق می‌افتد که الگویی از تخلف را نشان دهد.</w:t>
      </w:r>
    </w:p>
    <w:p>
      <w:pPr>
        <w:spacing w:after="28" w:line="216" w:lineRule="auto"/>
        <w:ind w:left="259"/>
        <w:jc w:val="left"/>
      </w:pPr>
      <w:r>
        <w:rPr>
          <w:rFonts w:ascii="Arial" w:hAnsi="Arial"/>
          <w:color w:val="525252"/>
          <w:sz w:val="13"/>
        </w:rPr>
        <w:t>However, investigations may also be conducted when circumstances warrant, such as when the loss, damage, destruction, or theft of small amounts of property occur frequently enough to suggest a pattern of wrongdoing.</w:t>
      </w:r>
    </w:p>
    <w:p>
      <w:pPr>
        <w:spacing w:after="20" w:line="223" w:lineRule="auto"/>
        <w:jc w:val="right"/>
        <w:bidi/>
      </w:pPr>
      <w:r>
        <w:rPr>
          <w:rFonts w:ascii="Arial" w:hAnsi="Arial"/>
          <w:sz w:val="16"/>
        </w:rPr>
        <w:t>227.17  فرم ۲۰۰ DD، بررسی مسئولیت مالی از دست دادن دارایی، اسناد مورد نیاز برای تحقیقات است و برای مستندسازی حقایق و شرایط از دست دادن، آسیب، تخریب یا سرقت استفاده می‌شود.</w:t>
      </w:r>
    </w:p>
    <w:p>
      <w:pPr>
        <w:spacing w:after="28" w:line="216" w:lineRule="auto"/>
        <w:ind w:left="259"/>
        <w:jc w:val="left"/>
      </w:pPr>
      <w:r>
        <w:rPr>
          <w:rFonts w:ascii="Arial" w:hAnsi="Arial"/>
          <w:color w:val="525252"/>
          <w:sz w:val="13"/>
        </w:rPr>
        <w:t>The DD Form 200, Financial Liability Investigation of Property Loss, is required documentation for investigations and is used to document the facts and circumstances of the loss, damage, destruction, or theft.</w:t>
      </w:r>
    </w:p>
    <w:p>
      <w:pPr>
        <w:spacing w:after="20" w:line="223" w:lineRule="auto"/>
        <w:jc w:val="right"/>
        <w:bidi/>
      </w:pPr>
      <w:r>
        <w:rPr>
          <w:rFonts w:ascii="Arial" w:hAnsi="Arial"/>
          <w:sz w:val="16"/>
        </w:rPr>
        <w:t>227.18  برای اطلاعات بیشتر در مورد برنامه بررسی بدهی مالی، به دودر ۷۰۰۰.۱۴، مقررات مدیریت مالی، جلد ۱۲، فصل ۷، مسئولیت مالی برای اموال دولتی از دست رفته، آسیب دیده، تخریب یا دزدیده شده مراجعه کنید.</w:t>
      </w:r>
    </w:p>
    <w:p>
      <w:pPr>
        <w:spacing w:after="28" w:line="216" w:lineRule="auto"/>
        <w:ind w:left="259"/>
        <w:jc w:val="left"/>
      </w:pPr>
      <w:r>
        <w:rPr>
          <w:rFonts w:ascii="Arial" w:hAnsi="Arial"/>
          <w:color w:val="525252"/>
          <w:sz w:val="13"/>
        </w:rPr>
        <w:t>For additional information on the financial liability investigation program, refer to DoDR 7000.14, Financial Management Regulation, Volume 12, Chapter 7, Financial Liability for Government Property Lost, Damaged, Destroyed, or Stolen.</w:t>
      </w:r>
    </w:p>
    <w:p>
      <w:r>
        <w:br w:type="page"/>
      </w:r>
    </w:p>
    <w:p>
      <w:pPr>
        <w:spacing w:after="60"/>
        <w:jc w:val="right"/>
        <w:bidi/>
      </w:pPr>
      <w:r>
        <w:rPr>
          <w:rFonts w:ascii="Arial" w:hAnsi="Arial"/>
          <w:b/>
          <w:color w:val="1F4D78"/>
          <w:sz w:val="19"/>
        </w:rPr>
        <w:t>هفتهٔ 228  |  صفحهٔ منبع: 244</w:t>
      </w:r>
    </w:p>
    <w:p>
      <w:pPr>
        <w:spacing w:before="60" w:after="28"/>
        <w:jc w:val="right"/>
        <w:bidi/>
      </w:pPr>
      <w:r>
        <w:rPr>
          <w:b/>
          <w:color w:val="1F4D78"/>
          <w:sz w:val="18"/>
        </w:rPr>
        <w:t>بخش 12E-تعهد زیست محیطی</w:t>
      </w:r>
    </w:p>
    <w:p>
      <w:pPr>
        <w:spacing w:after="20"/>
        <w:ind w:left="259"/>
        <w:jc w:val="left"/>
      </w:pPr>
      <w:r>
        <w:rPr>
          <w:color w:val="555555"/>
          <w:sz w:val="12"/>
        </w:rPr>
        <w:t>Section 12E—Environmental Commitment</w:t>
      </w:r>
    </w:p>
    <w:p>
      <w:pPr>
        <w:spacing w:before="60" w:after="28"/>
        <w:jc w:val="right"/>
        <w:bidi/>
      </w:pPr>
      <w:r>
        <w:rPr>
          <w:b/>
          <w:color w:val="1F4D78"/>
          <w:sz w:val="18"/>
        </w:rPr>
        <w:t>12.33. مسئولیت های زیست محیطی</w:t>
      </w:r>
    </w:p>
    <w:p>
      <w:pPr>
        <w:spacing w:after="20"/>
        <w:ind w:left="259"/>
        <w:jc w:val="left"/>
      </w:pPr>
      <w:r>
        <w:rPr>
          <w:color w:val="555555"/>
          <w:sz w:val="12"/>
        </w:rPr>
        <w:t>12.33. Environmental Responsibilities</w:t>
      </w:r>
    </w:p>
    <w:p>
      <w:pPr>
        <w:spacing w:after="20" w:line="223" w:lineRule="auto"/>
        <w:jc w:val="right"/>
        <w:bidi/>
      </w:pPr>
      <w:r>
        <w:rPr>
          <w:rFonts w:ascii="Arial" w:hAnsi="Arial"/>
          <w:sz w:val="16"/>
        </w:rPr>
        <w:t>228.03  USAF یک رهبر و نگهبان فداکار محیط زیست است.</w:t>
      </w:r>
    </w:p>
    <w:p>
      <w:pPr>
        <w:spacing w:after="28" w:line="216" w:lineRule="auto"/>
        <w:ind w:left="259"/>
        <w:jc w:val="left"/>
      </w:pPr>
      <w:r>
        <w:rPr>
          <w:rFonts w:ascii="Arial" w:hAnsi="Arial"/>
          <w:color w:val="525252"/>
          <w:sz w:val="13"/>
        </w:rPr>
        <w:t>The USAF is a leader and devoted guardian of the environment.</w:t>
      </w:r>
    </w:p>
    <w:p>
      <w:pPr>
        <w:spacing w:after="20" w:line="223" w:lineRule="auto"/>
        <w:jc w:val="right"/>
        <w:bidi/>
      </w:pPr>
      <w:r>
        <w:rPr>
          <w:rFonts w:ascii="Arial" w:hAnsi="Arial"/>
          <w:sz w:val="16"/>
        </w:rPr>
        <w:t>228.04  به‌عنوان متولی بیش از ۸ میلیون هکتار از زیستگاه طبیعی، USAF اقدامات قابل توجهی را برای دفاع و تقویت منابع طبیعی غنی و میراث فرهنگی آمریکا انجام می‌دهد.</w:t>
      </w:r>
    </w:p>
    <w:p>
      <w:pPr>
        <w:spacing w:after="28" w:line="216" w:lineRule="auto"/>
        <w:ind w:left="259"/>
        <w:jc w:val="left"/>
      </w:pPr>
      <w:r>
        <w:rPr>
          <w:rFonts w:ascii="Arial" w:hAnsi="Arial"/>
          <w:color w:val="525252"/>
          <w:sz w:val="13"/>
        </w:rPr>
        <w:t>As trustee to over 8 million acres of natural habitat, the USAF takes considerable measures to defend and enhance America’s rich natural resources and cultural heritage.</w:t>
      </w:r>
    </w:p>
    <w:p>
      <w:pPr>
        <w:spacing w:after="20" w:line="223" w:lineRule="auto"/>
        <w:jc w:val="right"/>
        <w:bidi/>
      </w:pPr>
      <w:r>
        <w:rPr>
          <w:rFonts w:ascii="Arial" w:hAnsi="Arial"/>
          <w:sz w:val="16"/>
        </w:rPr>
        <w:t>228.05  در طول ۲۰ سال گذشته، USAF یک رویکرد مبتنی بر انطباق را برای مدیریت زیست محیطی دنبال کرده است که منجر به رکورد بی نظیری در پاسخگویی به مقررات، منافع جامعه و نیازهای زیست محیطی شده است.</w:t>
      </w:r>
    </w:p>
    <w:p>
      <w:pPr>
        <w:spacing w:after="28" w:line="216" w:lineRule="auto"/>
        <w:ind w:left="259"/>
        <w:jc w:val="left"/>
      </w:pPr>
      <w:r>
        <w:rPr>
          <w:rFonts w:ascii="Arial" w:hAnsi="Arial"/>
          <w:color w:val="525252"/>
          <w:sz w:val="13"/>
        </w:rPr>
        <w:t>Over the last 20 years, the USAF has followed a compliance-based approach to environmental management resulting in an unparalleled record of responsiveness to regulation, community interests, and ecological needs.</w:t>
      </w:r>
    </w:p>
    <w:p>
      <w:pPr>
        <w:spacing w:after="20" w:line="223" w:lineRule="auto"/>
        <w:jc w:val="right"/>
        <w:bidi/>
      </w:pPr>
      <w:r>
        <w:rPr>
          <w:rFonts w:ascii="Arial" w:hAnsi="Arial"/>
          <w:sz w:val="16"/>
        </w:rPr>
        <w:t>228.06  عملیات هوشمند نیروی هوایی برای قرن بیست و یکم با هدف ایجاد محیطی است که در آن همه هوانوردان به‌طور فعال ضایعات را حذف کرده و به‌طور مداوم فرآیندها را بهبود می‌بخشند.</w:t>
      </w:r>
    </w:p>
    <w:p>
      <w:pPr>
        <w:spacing w:after="28" w:line="216" w:lineRule="auto"/>
        <w:ind w:left="259"/>
        <w:jc w:val="left"/>
      </w:pPr>
      <w:r>
        <w:rPr>
          <w:rFonts w:ascii="Arial" w:hAnsi="Arial"/>
          <w:color w:val="525252"/>
          <w:sz w:val="13"/>
        </w:rPr>
        <w:t>Air Force Smart Operations for the 21st Century is aimed at establishing an environment in which all Airmen are actively eliminating waste and continuously improving processes.</w:t>
      </w:r>
    </w:p>
    <w:p>
      <w:pPr>
        <w:spacing w:after="20" w:line="223" w:lineRule="auto"/>
        <w:jc w:val="right"/>
        <w:bidi/>
      </w:pPr>
      <w:r>
        <w:rPr>
          <w:rFonts w:ascii="Arial" w:hAnsi="Arial"/>
          <w:sz w:val="16"/>
        </w:rPr>
        <w:t>228.07  AFI ۳۲-۷۰۰۱، مدیریت محیطی، چارچوب سیستم مدیریت زیست محیطی را پیاده‌سازی می‌کند و رهنمودها و رویه‌های قابل اجرا برای همه تاسیسات USAF در قلمرو ایالات متحده و کشورهای خارجی را ارائه می‌دهد.</w:t>
      </w:r>
    </w:p>
    <w:p>
      <w:pPr>
        <w:spacing w:after="28" w:line="216" w:lineRule="auto"/>
        <w:ind w:left="259"/>
        <w:jc w:val="left"/>
      </w:pPr>
      <w:r>
        <w:rPr>
          <w:rFonts w:ascii="Arial" w:hAnsi="Arial"/>
          <w:color w:val="525252"/>
          <w:sz w:val="13"/>
        </w:rPr>
        <w:t>AFI 32-7001, Environmental Management, implements the environmental management system framework and provides guidance and procedures applicable to all USAF installations within the United States territories and foreign countries.</w:t>
      </w:r>
    </w:p>
    <w:p>
      <w:pPr>
        <w:spacing w:before="60" w:after="28"/>
        <w:jc w:val="right"/>
        <w:bidi/>
      </w:pPr>
      <w:r>
        <w:rPr>
          <w:b/>
          <w:color w:val="1F4D78"/>
          <w:sz w:val="18"/>
        </w:rPr>
        <w:t>12.34. سیستم مدیریت زیست محیطی</w:t>
      </w:r>
    </w:p>
    <w:p>
      <w:pPr>
        <w:spacing w:after="20"/>
        <w:ind w:left="259"/>
        <w:jc w:val="left"/>
      </w:pPr>
      <w:r>
        <w:rPr>
          <w:color w:val="555555"/>
          <w:sz w:val="12"/>
        </w:rPr>
        <w:t>12.34. Environmental Management System</w:t>
      </w:r>
    </w:p>
    <w:p>
      <w:pPr>
        <w:spacing w:after="20" w:line="223" w:lineRule="auto"/>
        <w:jc w:val="right"/>
        <w:bidi/>
      </w:pPr>
      <w:r>
        <w:rPr>
          <w:rFonts w:ascii="Arial" w:hAnsi="Arial"/>
          <w:sz w:val="16"/>
        </w:rPr>
        <w:t>228.09  وزارت دفاع، به‌عنوان بزرگ‌ترین استفاده‌کننده از زمین‌های فدرال، مصرف‌کنندگان انرژی، و اپراتورهای مجتمع‌های صنعتی بزرگ، باید تلاش کند تا ضمن کاهش ردپای زیست‌محیطی خود، عملیات کارآمد را تضمین کند.</w:t>
      </w:r>
    </w:p>
    <w:p>
      <w:pPr>
        <w:spacing w:after="28" w:line="216" w:lineRule="auto"/>
        <w:ind w:left="259"/>
        <w:jc w:val="left"/>
      </w:pPr>
      <w:r>
        <w:rPr>
          <w:rFonts w:ascii="Arial" w:hAnsi="Arial"/>
          <w:color w:val="525252"/>
          <w:sz w:val="13"/>
        </w:rPr>
        <w:t>The Department of Defense, as the nation’s largest user of federal lands, consumers of energy, and operators of large industrial complexes, must strive to ensure efficient operations while reducing its environmental footprint.</w:t>
      </w:r>
    </w:p>
    <w:p>
      <w:pPr>
        <w:spacing w:after="20" w:line="223" w:lineRule="auto"/>
        <w:jc w:val="right"/>
        <w:bidi/>
      </w:pPr>
      <w:r>
        <w:rPr>
          <w:rFonts w:ascii="Arial" w:hAnsi="Arial"/>
          <w:sz w:val="16"/>
        </w:rPr>
        <w:t>228.10  همه فرماندهان، ناظران و صاحبان فرآیند USAF باید ملاحظات زیست محیطی را در فعالیت‌های کاری روزانه و در تمام سطوح تصمیم‌گیری برای اقدامات فعلی یا پیشنهادی که ممکن است بر محیط زیست تأثیر نامطلوب داشته باشد، ادغام کنند.</w:t>
      </w:r>
    </w:p>
    <w:p>
      <w:pPr>
        <w:spacing w:after="28" w:line="216" w:lineRule="auto"/>
        <w:ind w:left="259"/>
        <w:jc w:val="left"/>
      </w:pPr>
      <w:r>
        <w:rPr>
          <w:rFonts w:ascii="Arial" w:hAnsi="Arial"/>
          <w:color w:val="525252"/>
          <w:sz w:val="13"/>
        </w:rPr>
        <w:t>All USAF commanders, supervisors, and process owners shall integrate environmental considerations into daily work activities and at all levels of decision- making for current or proposed actions that may adversely impact the environment.</w:t>
      </w:r>
    </w:p>
    <w:p>
      <w:pPr>
        <w:spacing w:after="20" w:line="223" w:lineRule="auto"/>
        <w:jc w:val="right"/>
        <w:bidi/>
      </w:pPr>
      <w:r>
        <w:rPr>
          <w:rFonts w:ascii="Arial" w:hAnsi="Arial"/>
          <w:sz w:val="16"/>
        </w:rPr>
        <w:t>228.11  سیستم مدیریت زیست محیطی مجموعه‌ای از فرآیندها و اقداماتی است که امکان کاهش اثرات زیست محیطی و افزایش بازده عملیاتی را فراهم می‌کند.</w:t>
      </w:r>
    </w:p>
    <w:p>
      <w:pPr>
        <w:spacing w:after="28" w:line="216" w:lineRule="auto"/>
        <w:ind w:left="259"/>
        <w:jc w:val="left"/>
      </w:pPr>
      <w:r>
        <w:rPr>
          <w:rFonts w:ascii="Arial" w:hAnsi="Arial"/>
          <w:color w:val="525252"/>
          <w:sz w:val="13"/>
        </w:rPr>
        <w:t>The environmental management system is a set of processes and practices that enable a reduction in environmental impact and an increase in operating efficiency.</w:t>
      </w:r>
    </w:p>
    <w:p>
      <w:pPr>
        <w:spacing w:after="20" w:line="223" w:lineRule="auto"/>
        <w:jc w:val="right"/>
        <w:bidi/>
      </w:pPr>
      <w:r>
        <w:rPr>
          <w:rFonts w:ascii="Arial" w:hAnsi="Arial"/>
          <w:sz w:val="16"/>
        </w:rPr>
        <w:t>228.12  اولویت‌های سیستم مدیریت زیست محیطی.</w:t>
      </w:r>
    </w:p>
    <w:p>
      <w:pPr>
        <w:spacing w:after="28" w:line="216" w:lineRule="auto"/>
        <w:ind w:left="259"/>
        <w:jc w:val="left"/>
      </w:pPr>
      <w:r>
        <w:rPr>
          <w:rFonts w:ascii="Arial" w:hAnsi="Arial"/>
          <w:color w:val="525252"/>
          <w:sz w:val="13"/>
        </w:rPr>
        <w:t>Environmental Management System Priorities.</w:t>
      </w:r>
    </w:p>
    <w:p>
      <w:pPr>
        <w:spacing w:after="20" w:line="223" w:lineRule="auto"/>
        <w:jc w:val="right"/>
        <w:bidi/>
      </w:pPr>
      <w:r>
        <w:rPr>
          <w:rFonts w:ascii="Arial" w:hAnsi="Arial"/>
          <w:sz w:val="16"/>
        </w:rPr>
        <w:t>228.13  سه اولویت سیستم مدیریت زیست محیطی عبارتند از: انطباق، کاهش ریسک و بهبود مستمر.</w:t>
      </w:r>
    </w:p>
    <w:p>
      <w:pPr>
        <w:spacing w:after="28" w:line="216" w:lineRule="auto"/>
        <w:ind w:left="259"/>
        <w:jc w:val="left"/>
      </w:pPr>
      <w:r>
        <w:rPr>
          <w:rFonts w:ascii="Arial" w:hAnsi="Arial"/>
          <w:color w:val="525252"/>
          <w:sz w:val="13"/>
        </w:rPr>
        <w:t>Three priorities of the environmental management system are: compliance, risk reduction, and continuous improvement.</w:t>
      </w:r>
    </w:p>
    <w:p>
      <w:pPr>
        <w:spacing w:after="20" w:line="223" w:lineRule="auto"/>
        <w:jc w:val="right"/>
        <w:bidi/>
      </w:pPr>
      <w:r>
        <w:rPr>
          <w:rFonts w:ascii="Arial" w:hAnsi="Arial"/>
          <w:sz w:val="16"/>
        </w:rPr>
        <w:t>228.14  انطباق با کلیه تعهدات قانونی زیست محیطی و دستورالعمل‌های نظارتی حفظ خواهد شد.</w:t>
      </w:r>
    </w:p>
    <w:p>
      <w:pPr>
        <w:spacing w:after="28" w:line="216" w:lineRule="auto"/>
        <w:ind w:left="259"/>
        <w:jc w:val="left"/>
      </w:pPr>
      <w:r>
        <w:rPr>
          <w:rFonts w:ascii="Arial" w:hAnsi="Arial"/>
          <w:color w:val="525252"/>
          <w:sz w:val="13"/>
        </w:rPr>
        <w:t>Compliance will be maintained with all environmental legal obligations and regulatory guidelines.</w:t>
      </w:r>
    </w:p>
    <w:p>
      <w:pPr>
        <w:spacing w:after="20" w:line="223" w:lineRule="auto"/>
        <w:jc w:val="right"/>
        <w:bidi/>
      </w:pPr>
      <w:r>
        <w:rPr>
          <w:rFonts w:ascii="Arial" w:hAnsi="Arial"/>
          <w:sz w:val="16"/>
        </w:rPr>
        <w:t>228.15  کاهش خطر از طریق یک رویکرد استاندارد برای محافظت از دارایی‌ها، پرسنل و مواد USAF با شناسایی و مدیریت مؤثر خطرات ناشی از تجاوز به محیط‌زیست به دست خواهد آمد.</w:t>
      </w:r>
    </w:p>
    <w:p>
      <w:pPr>
        <w:spacing w:after="28" w:line="216" w:lineRule="auto"/>
        <w:ind w:left="259"/>
        <w:jc w:val="left"/>
      </w:pPr>
      <w:r>
        <w:rPr>
          <w:rFonts w:ascii="Arial" w:hAnsi="Arial"/>
          <w:color w:val="525252"/>
          <w:sz w:val="13"/>
        </w:rPr>
        <w:t>Risk reduction will be achieved through a standardized approach to protect USAF assets, personnel, and material by effectively identifying and managing risks from environmental encroachment.</w:t>
      </w:r>
    </w:p>
    <w:p>
      <w:pPr>
        <w:spacing w:after="20" w:line="223" w:lineRule="auto"/>
        <w:jc w:val="right"/>
        <w:bidi/>
      </w:pPr>
      <w:r>
        <w:rPr>
          <w:rFonts w:ascii="Arial" w:hAnsi="Arial"/>
          <w:sz w:val="16"/>
        </w:rPr>
        <w:t>228.16  القای فرهنگی که بهبود مستمر را تشویق و حمایت می‌کند، اثرات زیست محیطی و بار نظارتی را کاهش می‌دهد.</w:t>
      </w:r>
    </w:p>
    <w:p>
      <w:pPr>
        <w:spacing w:after="28" w:line="216" w:lineRule="auto"/>
        <w:ind w:left="259"/>
        <w:jc w:val="left"/>
      </w:pPr>
      <w:r>
        <w:rPr>
          <w:rFonts w:ascii="Arial" w:hAnsi="Arial"/>
          <w:color w:val="525252"/>
          <w:sz w:val="13"/>
        </w:rPr>
        <w:t>Instilling a culture that encourages and supports continuous improvement will reduce environmental impacts and regulatory burden.</w:t>
      </w:r>
    </w:p>
    <w:p>
      <w:pPr>
        <w:spacing w:after="20" w:line="223" w:lineRule="auto"/>
        <w:jc w:val="right"/>
        <w:bidi/>
      </w:pPr>
      <w:r>
        <w:rPr>
          <w:rFonts w:ascii="Arial" w:hAnsi="Arial"/>
          <w:sz w:val="16"/>
        </w:rPr>
        <w:t>228.17  فازهای سیستم مدیریت زیست محیطی.</w:t>
      </w:r>
    </w:p>
    <w:p>
      <w:pPr>
        <w:spacing w:after="28" w:line="216" w:lineRule="auto"/>
        <w:ind w:left="259"/>
        <w:jc w:val="left"/>
      </w:pPr>
      <w:r>
        <w:rPr>
          <w:rFonts w:ascii="Arial" w:hAnsi="Arial"/>
          <w:color w:val="525252"/>
          <w:sz w:val="13"/>
        </w:rPr>
        <w:t>Environmental Management System Phases.</w:t>
      </w:r>
    </w:p>
    <w:p>
      <w:pPr>
        <w:spacing w:after="20" w:line="223" w:lineRule="auto"/>
        <w:jc w:val="right"/>
        <w:bidi/>
      </w:pPr>
      <w:r>
        <w:rPr>
          <w:rFonts w:ascii="Arial" w:hAnsi="Arial"/>
          <w:sz w:val="16"/>
        </w:rPr>
        <w:t>228.18  سیستم مدیریت زیست محیطی با چهار فاز طراحی شده است تا به USAF در همه سطوح کمک کند تا مطابق با اهداف و تعهدات زیست محیطی همانطور که در دودی ۴۷۱۵.۱۷، سیستم‌های مدیریت محیطی بیان شده است، کمک کند.</w:t>
      </w:r>
    </w:p>
    <w:p>
      <w:pPr>
        <w:spacing w:after="28" w:line="216" w:lineRule="auto"/>
        <w:ind w:left="259"/>
        <w:jc w:val="left"/>
      </w:pPr>
      <w:r>
        <w:rPr>
          <w:rFonts w:ascii="Arial" w:hAnsi="Arial"/>
          <w:color w:val="525252"/>
          <w:sz w:val="13"/>
        </w:rPr>
        <w:t>The environmental management system is designed with four phases to help the USAF at all levels maintain compliance with environmental goals and obligations as outlined in DoDI 4715.17, Environmental Management Systems.</w:t>
      </w:r>
    </w:p>
    <w:p>
      <w:pPr>
        <w:spacing w:after="20" w:line="223" w:lineRule="auto"/>
        <w:jc w:val="right"/>
        <w:bidi/>
      </w:pPr>
      <w:r>
        <w:rPr>
          <w:rFonts w:ascii="Arial" w:hAnsi="Arial"/>
          <w:sz w:val="16"/>
        </w:rPr>
        <w:t>228.19  فاز ۱: برنامه‌ریزی.</w:t>
      </w:r>
    </w:p>
    <w:p>
      <w:pPr>
        <w:spacing w:after="28" w:line="216" w:lineRule="auto"/>
        <w:ind w:left="259"/>
        <w:jc w:val="left"/>
      </w:pPr>
      <w:r>
        <w:rPr>
          <w:rFonts w:ascii="Arial" w:hAnsi="Arial"/>
          <w:color w:val="525252"/>
          <w:sz w:val="13"/>
        </w:rPr>
        <w:t>Phase 1: Plan.</w:t>
      </w:r>
    </w:p>
    <w:p>
      <w:pPr>
        <w:spacing w:after="20" w:line="223" w:lineRule="auto"/>
        <w:jc w:val="right"/>
        <w:bidi/>
      </w:pPr>
      <w:r>
        <w:rPr>
          <w:rFonts w:ascii="Arial" w:hAnsi="Arial"/>
          <w:sz w:val="16"/>
        </w:rPr>
        <w:t>228.20  مرحله برنامه‌ریزی شامل تعیین محدوده سیستم مدیریت، سیاست زیست محیطی و بیانیه تعهد، جنبه‌ها و اثرات زیست محیطی، الزامات قانونی و سایر الزامات، اهداف و اهداف و برنامه‌های عملیاتی است.</w:t>
      </w:r>
    </w:p>
    <w:p>
      <w:pPr>
        <w:spacing w:after="28" w:line="216" w:lineRule="auto"/>
        <w:ind w:left="259"/>
        <w:jc w:val="left"/>
      </w:pPr>
      <w:r>
        <w:rPr>
          <w:rFonts w:ascii="Arial" w:hAnsi="Arial"/>
          <w:color w:val="525252"/>
          <w:sz w:val="13"/>
        </w:rPr>
        <w:t>The planning phase includes determining the management system’s scope, environmental policy and commitment statement, environmental aspects and impacts, legal and other requirements, objectives and targets, and action plans.</w:t>
      </w:r>
    </w:p>
    <w:p>
      <w:pPr>
        <w:spacing w:after="20" w:line="223" w:lineRule="auto"/>
        <w:jc w:val="right"/>
        <w:bidi/>
      </w:pPr>
      <w:r>
        <w:rPr>
          <w:rFonts w:ascii="Arial" w:hAnsi="Arial"/>
          <w:sz w:val="16"/>
        </w:rPr>
        <w:t>228.21  برنامه‌ریزی مؤثر به رهبری تاسیسات اجازه می‌دهد منابع را بر کاهش خطراتی که بزرگترین تهدید برای قابلیت مأموریت هستند، متمرکز کند.</w:t>
      </w:r>
    </w:p>
    <w:p>
      <w:pPr>
        <w:spacing w:after="28" w:line="216" w:lineRule="auto"/>
        <w:ind w:left="259"/>
        <w:jc w:val="left"/>
      </w:pPr>
      <w:r>
        <w:rPr>
          <w:rFonts w:ascii="Arial" w:hAnsi="Arial"/>
          <w:color w:val="525252"/>
          <w:sz w:val="13"/>
        </w:rPr>
        <w:t>Effective planning allows the installation’s leadership to focus resources on mitigating risks that present the greatest threat to mission capability.</w:t>
      </w:r>
    </w:p>
    <w:p>
      <w:pPr>
        <w:spacing w:after="20" w:line="223" w:lineRule="auto"/>
        <w:jc w:val="right"/>
        <w:bidi/>
      </w:pPr>
      <w:r>
        <w:rPr>
          <w:rFonts w:ascii="Arial" w:hAnsi="Arial"/>
          <w:sz w:val="16"/>
        </w:rPr>
        <w:t>228.22  فاز ۲: انجام دهید.</w:t>
      </w:r>
    </w:p>
    <w:p>
      <w:pPr>
        <w:spacing w:after="28" w:line="216" w:lineRule="auto"/>
        <w:ind w:left="259"/>
        <w:jc w:val="left"/>
      </w:pPr>
      <w:r>
        <w:rPr>
          <w:rFonts w:ascii="Arial" w:hAnsi="Arial"/>
          <w:color w:val="525252"/>
          <w:sz w:val="13"/>
        </w:rPr>
        <w:t>Phase 2: Do.</w:t>
      </w:r>
    </w:p>
    <w:p>
      <w:pPr>
        <w:spacing w:after="20" w:line="223" w:lineRule="auto"/>
        <w:jc w:val="right"/>
        <w:bidi/>
      </w:pPr>
      <w:r>
        <w:rPr>
          <w:rFonts w:ascii="Arial" w:hAnsi="Arial"/>
          <w:sz w:val="16"/>
        </w:rPr>
        <w:t>228.23  مرحله انجام شامل یک استراتژی کاهش ریسک زیست محیطی برای جنبه‌های زیست محیطی مرتبط با فرآیندها یا فعالیت هایی است که آلاینده‌ها را تولید می‌کنند.</w:t>
      </w:r>
    </w:p>
    <w:p>
      <w:pPr>
        <w:spacing w:after="28" w:line="216" w:lineRule="auto"/>
        <w:ind w:left="259"/>
        <w:jc w:val="left"/>
      </w:pPr>
      <w:r>
        <w:rPr>
          <w:rFonts w:ascii="Arial" w:hAnsi="Arial"/>
          <w:color w:val="525252"/>
          <w:sz w:val="13"/>
        </w:rPr>
        <w:t>The doing phase includes an environmental risk reduction strategy for environmental aspects associated with the processes or activities that generate pollutants.</w:t>
      </w:r>
    </w:p>
    <w:p>
      <w:pPr>
        <w:spacing w:after="20" w:line="223" w:lineRule="auto"/>
        <w:jc w:val="right"/>
        <w:bidi/>
      </w:pPr>
      <w:r>
        <w:rPr>
          <w:rFonts w:ascii="Arial" w:hAnsi="Arial"/>
          <w:sz w:val="16"/>
        </w:rPr>
        <w:t>228.24  هر تأسیسات باید فرصت‌هایی را برای بهینه‌سازی فرآیندها یا فعالیت‌های تجاری، عملیاتی یا صنعتی منتخب از نظر کاهش آلاینده، مصرف کمتر انرژی، کاهش استفاده از منابع طبیعی، حفظ آب و بهبود سلامت و ایمنی شناسایی کند.</w:t>
      </w:r>
    </w:p>
    <w:p>
      <w:pPr>
        <w:spacing w:after="28" w:line="216" w:lineRule="auto"/>
        <w:ind w:left="259"/>
        <w:jc w:val="left"/>
      </w:pPr>
      <w:r>
        <w:rPr>
          <w:rFonts w:ascii="Arial" w:hAnsi="Arial"/>
          <w:color w:val="525252"/>
          <w:sz w:val="13"/>
        </w:rPr>
        <w:t>Each facility shall identify opportunities to optimize selected business, operational, or industrial processes or activities in terms of pollutant reduction, lower energy use, reduction in the use of natural resources, water conservation, and improvements to health and safety.</w:t>
      </w:r>
    </w:p>
    <w:p>
      <w:pPr>
        <w:spacing w:after="20" w:line="223" w:lineRule="auto"/>
        <w:jc w:val="right"/>
        <w:bidi/>
      </w:pPr>
      <w:r>
        <w:rPr>
          <w:rFonts w:ascii="Arial" w:hAnsi="Arial"/>
          <w:sz w:val="16"/>
        </w:rPr>
        <w:t>228.25  فاز ۳: بررسی کنید.</w:t>
      </w:r>
    </w:p>
    <w:p>
      <w:pPr>
        <w:spacing w:after="28" w:line="216" w:lineRule="auto"/>
        <w:ind w:left="259"/>
        <w:jc w:val="left"/>
      </w:pPr>
      <w:r>
        <w:rPr>
          <w:rFonts w:ascii="Arial" w:hAnsi="Arial"/>
          <w:color w:val="525252"/>
          <w:sz w:val="13"/>
        </w:rPr>
        <w:t>Phase 3: Check.</w:t>
      </w:r>
    </w:p>
    <w:p>
      <w:pPr>
        <w:spacing w:after="20" w:line="223" w:lineRule="auto"/>
        <w:jc w:val="right"/>
        <w:bidi/>
      </w:pPr>
      <w:r>
        <w:rPr>
          <w:rFonts w:ascii="Arial" w:hAnsi="Arial"/>
          <w:sz w:val="16"/>
        </w:rPr>
        <w:t>228.26  مرحله بررسی شامل پایش و اندازه‌گیری محیطی است</w:t>
      </w:r>
    </w:p>
    <w:p>
      <w:pPr>
        <w:spacing w:after="28" w:line="216" w:lineRule="auto"/>
        <w:ind w:left="259"/>
        <w:jc w:val="left"/>
      </w:pPr>
      <w:r>
        <w:rPr>
          <w:rFonts w:ascii="Arial" w:hAnsi="Arial"/>
          <w:color w:val="525252"/>
          <w:sz w:val="13"/>
        </w:rPr>
        <w:t>The checking phase includes environmental monitoring and measuring to</w:t>
      </w:r>
    </w:p>
    <w:p>
      <w:r>
        <w:br w:type="page"/>
      </w:r>
    </w:p>
    <w:p>
      <w:pPr>
        <w:spacing w:after="60"/>
        <w:jc w:val="right"/>
        <w:bidi/>
      </w:pPr>
      <w:r>
        <w:rPr>
          <w:rFonts w:ascii="Arial" w:hAnsi="Arial"/>
          <w:b/>
          <w:color w:val="1F4D78"/>
          <w:sz w:val="19"/>
        </w:rPr>
        <w:t>هفتهٔ 229  |  صفحهٔ منبع: 245</w:t>
      </w:r>
    </w:p>
    <w:p>
      <w:pPr>
        <w:spacing w:after="20" w:line="223" w:lineRule="auto"/>
        <w:jc w:val="right"/>
        <w:bidi/>
      </w:pPr>
      <w:r>
        <w:rPr>
          <w:rFonts w:ascii="Arial" w:hAnsi="Arial"/>
          <w:sz w:val="16"/>
        </w:rPr>
        <w:t>229.01  افزایش آگاهی رهبری از مسائل مربوط به انطباق، شناسایی و تجزیه و تحلیل روندهای عدم انطباق و عدم انطباق، شناسایی زمینه‌های بهبود، ارائه درس‌های آموخته شده برای جلوگیری از عدم انطباق مشابه در سایر تاسیسات، و به حداقل رساندن یا اجتناب از خطرات دعوی قضایی زیست محیطی.</w:t>
      </w:r>
    </w:p>
    <w:p>
      <w:pPr>
        <w:spacing w:after="28" w:line="216" w:lineRule="auto"/>
        <w:ind w:left="259"/>
        <w:jc w:val="left"/>
      </w:pPr>
      <w:r>
        <w:rPr>
          <w:rFonts w:ascii="Arial" w:hAnsi="Arial"/>
          <w:color w:val="525252"/>
          <w:sz w:val="13"/>
        </w:rPr>
        <w:t>increase leadership awareness of compliance issues, identify and analyze trends of non- conformance and non-compliance, identify areas for improvement, provide lessons learned to prevent similar non-compliance at other installations, and to minimize or avoid environmental litigation risks.</w:t>
      </w:r>
    </w:p>
    <w:p>
      <w:pPr>
        <w:spacing w:after="20" w:line="223" w:lineRule="auto"/>
        <w:jc w:val="right"/>
        <w:bidi/>
      </w:pPr>
      <w:r>
        <w:rPr>
          <w:rFonts w:ascii="Arial" w:hAnsi="Arial"/>
          <w:sz w:val="16"/>
        </w:rPr>
        <w:t>229.02  فاز ۴: قانون.</w:t>
      </w:r>
    </w:p>
    <w:p>
      <w:pPr>
        <w:spacing w:after="28" w:line="216" w:lineRule="auto"/>
        <w:ind w:left="259"/>
        <w:jc w:val="left"/>
      </w:pPr>
      <w:r>
        <w:rPr>
          <w:rFonts w:ascii="Arial" w:hAnsi="Arial"/>
          <w:color w:val="525252"/>
          <w:sz w:val="13"/>
        </w:rPr>
        <w:t>Phase 4: Act.</w:t>
      </w:r>
    </w:p>
    <w:p>
      <w:pPr>
        <w:spacing w:after="20" w:line="223" w:lineRule="auto"/>
        <w:jc w:val="right"/>
        <w:bidi/>
      </w:pPr>
      <w:r>
        <w:rPr>
          <w:rFonts w:ascii="Arial" w:hAnsi="Arial"/>
          <w:sz w:val="16"/>
        </w:rPr>
        <w:t>229.03  مرحله اقدام شامل بررسی مدیریت برای ارزیابی تناسب، کفایت و اثربخشی سیستم مدیریت است.</w:t>
      </w:r>
    </w:p>
    <w:p>
      <w:pPr>
        <w:spacing w:after="28" w:line="216" w:lineRule="auto"/>
        <w:ind w:left="259"/>
        <w:jc w:val="left"/>
      </w:pPr>
      <w:r>
        <w:rPr>
          <w:rFonts w:ascii="Arial" w:hAnsi="Arial"/>
          <w:color w:val="525252"/>
          <w:sz w:val="13"/>
        </w:rPr>
        <w:t>The acting phase includes the management review to assess the suitability, adequacy, and effectiveness of the management system.</w:t>
      </w:r>
    </w:p>
    <w:p>
      <w:pPr>
        <w:spacing w:before="60" w:after="28"/>
        <w:jc w:val="right"/>
        <w:bidi/>
      </w:pPr>
      <w:r>
        <w:rPr>
          <w:b/>
          <w:color w:val="1F4D78"/>
          <w:sz w:val="18"/>
        </w:rPr>
        <w:t>12.35. راهنمای سیستم مدیریت زیست محیطی</w:t>
      </w:r>
    </w:p>
    <w:p>
      <w:pPr>
        <w:spacing w:after="20"/>
        <w:ind w:left="259"/>
        <w:jc w:val="left"/>
      </w:pPr>
      <w:r>
        <w:rPr>
          <w:color w:val="555555"/>
          <w:sz w:val="12"/>
        </w:rPr>
        <w:t>12.35. Environmental Management System Guidance</w:t>
      </w:r>
    </w:p>
    <w:p>
      <w:pPr>
        <w:spacing w:after="20" w:line="223" w:lineRule="auto"/>
        <w:jc w:val="right"/>
        <w:bidi/>
      </w:pPr>
      <w:r>
        <w:rPr>
          <w:rFonts w:ascii="Arial" w:hAnsi="Arial"/>
          <w:sz w:val="16"/>
        </w:rPr>
        <w:t>229.05  مناطق برنامه شناسایی شده و مشخص شده در AFI ۳۲-۷۰۰۱ و سایر AFI های زیست محیطی شامل ابتکارات حفاظت از محیط زیست همسو با سیاست‌ها و برنامه‌های وزارت دفاع و USAF است.</w:t>
      </w:r>
    </w:p>
    <w:p>
      <w:pPr>
        <w:spacing w:after="28" w:line="216" w:lineRule="auto"/>
        <w:ind w:left="259"/>
        <w:jc w:val="left"/>
      </w:pPr>
      <w:r>
        <w:rPr>
          <w:rFonts w:ascii="Arial" w:hAnsi="Arial"/>
          <w:color w:val="525252"/>
          <w:sz w:val="13"/>
        </w:rPr>
        <w:t>Program areas identified and outlined in AFI 32-7001 and other environmental AFIs include environmental protection initiatives aligned with Department of Defense and USAF policies and programs.</w:t>
      </w:r>
    </w:p>
    <w:p>
      <w:pPr>
        <w:spacing w:after="20" w:line="223" w:lineRule="auto"/>
        <w:jc w:val="right"/>
        <w:bidi/>
      </w:pPr>
      <w:r>
        <w:rPr>
          <w:rFonts w:ascii="Arial" w:hAnsi="Arial"/>
          <w:sz w:val="16"/>
        </w:rPr>
        <w:t>229.06  مناطق برنامه شامل کیفیت هوا است. تأمین آب؛ مواد خطرناک؛ زباله‌های خطرناک؛ زباله جامد؛ مواد سمی؛ نفت، روغن و روان کننده‌ها؛ مخازن ذخیره سازی؛ مدیریت آفات؛ منابع فرهنگی؛ منابع طبیعی؛ برنامه‌ریزی زیست محیطی؛ احیای محیط زیست؛ بررسی‌های پایه محیطی؛ و سیاست انطباق در خارج از کشور.</w:t>
      </w:r>
    </w:p>
    <w:p>
      <w:pPr>
        <w:spacing w:after="28" w:line="216" w:lineRule="auto"/>
        <w:ind w:left="259"/>
        <w:jc w:val="left"/>
      </w:pPr>
      <w:r>
        <w:rPr>
          <w:rFonts w:ascii="Arial" w:hAnsi="Arial"/>
          <w:color w:val="525252"/>
          <w:sz w:val="13"/>
        </w:rPr>
        <w:t>Program areas include air quality; water supply; hazardous materials; hazardous waste; solid waste; toxic substances; petroleum, oil, and lubricants; storage tanks; pest management; cultural resources; natural resources; environmental planning; environmental restoration; environmental baseline surveys; and overseas compliance policy.</w:t>
      </w:r>
    </w:p>
    <w:p>
      <w:pPr>
        <w:spacing w:before="60" w:after="28"/>
        <w:jc w:val="right"/>
        <w:bidi/>
      </w:pPr>
      <w:r>
        <w:rPr>
          <w:b/>
          <w:color w:val="1F4D78"/>
          <w:sz w:val="18"/>
        </w:rPr>
        <w:t>12.36. انطباق با محیط زیست</w:t>
      </w:r>
    </w:p>
    <w:p>
      <w:pPr>
        <w:spacing w:after="20"/>
        <w:ind w:left="259"/>
        <w:jc w:val="left"/>
      </w:pPr>
      <w:r>
        <w:rPr>
          <w:color w:val="555555"/>
          <w:sz w:val="12"/>
        </w:rPr>
        <w:t>12.36. Environmental Compliance</w:t>
      </w:r>
    </w:p>
    <w:p>
      <w:pPr>
        <w:spacing w:after="20" w:line="223" w:lineRule="auto"/>
        <w:jc w:val="right"/>
        <w:bidi/>
      </w:pPr>
      <w:r>
        <w:rPr>
          <w:rFonts w:ascii="Arial" w:hAnsi="Arial"/>
          <w:sz w:val="16"/>
        </w:rPr>
        <w:t>229.08  مرکز مهندسی عمران نیروی هوایی (AFCEC) مسئول مدیریت برنامه‌های انطباق، بازسازی، پایداری و قانون سیاست ملی محیط‌زیست USAF است.</w:t>
      </w:r>
    </w:p>
    <w:p>
      <w:pPr>
        <w:spacing w:after="28" w:line="216" w:lineRule="auto"/>
        <w:ind w:left="259"/>
        <w:jc w:val="left"/>
      </w:pPr>
      <w:r>
        <w:rPr>
          <w:rFonts w:ascii="Arial" w:hAnsi="Arial"/>
          <w:color w:val="525252"/>
          <w:sz w:val="13"/>
        </w:rPr>
        <w:t>The Air Force Civil Engineer Center (AFCEC) is responsible for managing the USAF compliance, restoration, sustainability, and National Environmental Policy Act programs.</w:t>
      </w:r>
    </w:p>
    <w:p>
      <w:pPr>
        <w:spacing w:after="20" w:line="223" w:lineRule="auto"/>
        <w:jc w:val="right"/>
        <w:bidi/>
      </w:pPr>
      <w:r>
        <w:rPr>
          <w:rFonts w:ascii="Arial" w:hAnsi="Arial"/>
          <w:sz w:val="16"/>
        </w:rPr>
        <w:t>229.09  AFCEC HAF، دستورات و تاسیسات اصلی را با پشتیبانی از انطباق با محیط زیست، ارائه برنامه انطباق و تخصص اجرایی، دانش اصلی و رهبری مورد نیاز برای اطمینان از مطابقت تاسیسات USAF با برنامه‌های نظارتی مربوط به انتشارات هوا، کیفیت آب، تخلیه فاضلاب، تولید زباله‌های طبیعی و منابع طبیعی خطرناک، مدیریت و مدیریت، فراهم می‌کند.</w:t>
      </w:r>
    </w:p>
    <w:p>
      <w:pPr>
        <w:spacing w:after="28" w:line="216" w:lineRule="auto"/>
        <w:ind w:left="259"/>
        <w:jc w:val="left"/>
      </w:pPr>
      <w:r>
        <w:rPr>
          <w:rFonts w:ascii="Arial" w:hAnsi="Arial"/>
          <w:color w:val="525252"/>
          <w:sz w:val="13"/>
        </w:rPr>
        <w:t>AFCEC provides HAF, major commands, and installations with environmental compliance support, delivering the compliance programming and execution expertise, core knowledge and leadership required to ensure USAF installations comply with regulatory programs related to air emissions, water quality, wastewater discharges, hazardous waste generation, and natural and cultural resource management.</w:t>
      </w:r>
    </w:p>
    <w:p>
      <w:pPr>
        <w:spacing w:after="20" w:line="223" w:lineRule="auto"/>
        <w:jc w:val="right"/>
        <w:bidi/>
      </w:pPr>
      <w:r>
        <w:rPr>
          <w:rFonts w:ascii="Arial" w:hAnsi="Arial"/>
          <w:sz w:val="16"/>
        </w:rPr>
        <w:t>229.10  AFCEC همچنین به‌عنوان نقطه مرکزی برای جمع‌آوری و تجزیه و تحلیل داده‌های زیست محیطی در مناطق مختلف برنامه عمل می‌کند.</w:t>
      </w:r>
    </w:p>
    <w:p>
      <w:pPr>
        <w:spacing w:after="28" w:line="216" w:lineRule="auto"/>
        <w:ind w:left="259"/>
        <w:jc w:val="left"/>
      </w:pPr>
      <w:r>
        <w:rPr>
          <w:rFonts w:ascii="Arial" w:hAnsi="Arial"/>
          <w:color w:val="525252"/>
          <w:sz w:val="13"/>
        </w:rPr>
        <w:t>AFCEC also serves as the central point for collection and analysis of environmental data in various program areas.</w:t>
      </w:r>
    </w:p>
    <w:p>
      <w:pPr>
        <w:spacing w:after="20" w:line="223" w:lineRule="auto"/>
        <w:jc w:val="right"/>
        <w:bidi/>
      </w:pPr>
      <w:r>
        <w:rPr>
          <w:rFonts w:ascii="Arial" w:hAnsi="Arial"/>
          <w:sz w:val="16"/>
        </w:rPr>
        <w:t>229.11  تیم AFCEC شامل کارشناسان موضوعی و مدیران برنامه در زمینه‌ها و تخصص‌های مختلف مرتبط با عملیات زیست محیطی، از جمله رعایت مقررات، احیای محیط زیست، مدیریت زباله‌های خطرناک، پیشگیری از آلودگی و ارزیابی‌های زیست محیطی است.</w:t>
      </w:r>
    </w:p>
    <w:p>
      <w:pPr>
        <w:spacing w:after="28" w:line="216" w:lineRule="auto"/>
        <w:ind w:left="259"/>
        <w:jc w:val="left"/>
      </w:pPr>
      <w:r>
        <w:rPr>
          <w:rFonts w:ascii="Arial" w:hAnsi="Arial"/>
          <w:color w:val="525252"/>
          <w:sz w:val="13"/>
        </w:rPr>
        <w:t>The AFCEC team includes subject matter experts and program managers in various fields and specialties related to environmental operations, including regulatory compliance, environmental restoration, hazardous waste management, pollution prevention, and environmental assessments.</w:t>
      </w:r>
    </w:p>
    <w:p>
      <w:r>
        <w:br w:type="page"/>
      </w:r>
    </w:p>
    <w:p>
      <w:pPr>
        <w:spacing w:after="60"/>
        <w:jc w:val="right"/>
        <w:bidi/>
      </w:pPr>
      <w:r>
        <w:rPr>
          <w:rFonts w:ascii="Arial" w:hAnsi="Arial"/>
          <w:b/>
          <w:color w:val="1F4D78"/>
          <w:sz w:val="19"/>
        </w:rPr>
        <w:t>هفتهٔ 230  |  صفحهٔ منبع: 246</w:t>
      </w:r>
    </w:p>
    <w:p>
      <w:pPr>
        <w:spacing w:before="60" w:after="28"/>
        <w:jc w:val="right"/>
        <w:bidi/>
      </w:pPr>
      <w:r>
        <w:rPr>
          <w:b/>
          <w:color w:val="1F4D78"/>
          <w:sz w:val="18"/>
        </w:rPr>
        <w:t>فصل 13</w:t>
      </w:r>
    </w:p>
    <w:p>
      <w:pPr>
        <w:spacing w:after="20"/>
        <w:ind w:left="259"/>
        <w:jc w:val="left"/>
      </w:pPr>
      <w:r>
        <w:rPr>
          <w:color w:val="555555"/>
          <w:sz w:val="12"/>
        </w:rPr>
        <w:t>Chapter 13</w:t>
      </w:r>
    </w:p>
    <w:p>
      <w:pPr>
        <w:spacing w:before="60" w:after="28"/>
        <w:jc w:val="right"/>
        <w:bidi/>
      </w:pPr>
      <w:r>
        <w:rPr>
          <w:b/>
          <w:color w:val="1F4D78"/>
          <w:sz w:val="18"/>
        </w:rPr>
        <w:t>سازمانهای در حال توسعه</w:t>
      </w:r>
    </w:p>
    <w:p>
      <w:pPr>
        <w:spacing w:after="20"/>
        <w:ind w:left="259"/>
        <w:jc w:val="left"/>
      </w:pPr>
      <w:r>
        <w:rPr>
          <w:color w:val="555555"/>
          <w:sz w:val="12"/>
        </w:rPr>
        <w:t>DEVELOPING ORGANIZATIONS</w:t>
      </w:r>
    </w:p>
    <w:p>
      <w:pPr>
        <w:spacing w:before="60" w:after="28"/>
        <w:jc w:val="right"/>
        <w:bidi/>
      </w:pPr>
      <w:r>
        <w:rPr>
          <w:b/>
          <w:color w:val="1F4D78"/>
          <w:sz w:val="18"/>
        </w:rPr>
        <w:t>بخش 13A - تفکر استراتژیک و تمرکز بر نتایج</w:t>
      </w:r>
    </w:p>
    <w:p>
      <w:pPr>
        <w:spacing w:after="20"/>
        <w:ind w:left="259"/>
        <w:jc w:val="left"/>
      </w:pPr>
      <w:r>
        <w:rPr>
          <w:color w:val="555555"/>
          <w:sz w:val="12"/>
        </w:rPr>
        <w:t>Section 13A—Strategic Thinking and Results Focus</w:t>
      </w:r>
    </w:p>
    <w:p>
      <w:pPr>
        <w:spacing w:before="60" w:after="28"/>
        <w:jc w:val="right"/>
        <w:bidi/>
      </w:pPr>
      <w:r>
        <w:rPr>
          <w:b/>
          <w:color w:val="1F4D78"/>
          <w:sz w:val="18"/>
        </w:rPr>
        <w:t>13.1. مدیریت محیط کار</w:t>
      </w:r>
    </w:p>
    <w:p>
      <w:pPr>
        <w:spacing w:after="20"/>
        <w:ind w:left="259"/>
        <w:jc w:val="left"/>
      </w:pPr>
      <w:r>
        <w:rPr>
          <w:color w:val="555555"/>
          <w:sz w:val="12"/>
        </w:rPr>
        <w:t>13.1. Managing the Work Environment</w:t>
      </w:r>
    </w:p>
    <w:p>
      <w:pPr>
        <w:spacing w:after="20" w:line="223" w:lineRule="auto"/>
        <w:jc w:val="right"/>
        <w:bidi/>
      </w:pPr>
      <w:r>
        <w:rPr>
          <w:rFonts w:ascii="Arial" w:hAnsi="Arial"/>
          <w:sz w:val="16"/>
        </w:rPr>
        <w:t>230.05  مدیریت سازمانی فرآیند سازماندهی، برنامه‌ریزی، رهبری و کنترل منابع درون یک نهاد با هدف کلی دستیابی به اهداف تعیین شده است.</w:t>
      </w:r>
    </w:p>
    <w:p>
      <w:pPr>
        <w:spacing w:after="28" w:line="216" w:lineRule="auto"/>
        <w:ind w:left="259"/>
        <w:jc w:val="left"/>
      </w:pPr>
      <w:r>
        <w:rPr>
          <w:rFonts w:ascii="Arial" w:hAnsi="Arial"/>
          <w:color w:val="525252"/>
          <w:sz w:val="13"/>
        </w:rPr>
        <w:t>Organizational management is the process of organizing, planning, leading, and controlling resources within an entity with the overall aim of achieving established goals.</w:t>
      </w:r>
    </w:p>
    <w:p>
      <w:pPr>
        <w:spacing w:after="20" w:line="223" w:lineRule="auto"/>
        <w:jc w:val="right"/>
        <w:bidi/>
      </w:pPr>
      <w:r>
        <w:rPr>
          <w:rFonts w:ascii="Arial" w:hAnsi="Arial"/>
          <w:sz w:val="16"/>
        </w:rPr>
        <w:t>230.06  مدیریت سازمانی به رهبران توانایی تصمیم‌گیری و حل مسائل را به‌طور مؤثر به نفع سازمان و کارکنان آن می‌دهد.</w:t>
      </w:r>
    </w:p>
    <w:p>
      <w:pPr>
        <w:spacing w:after="28" w:line="216" w:lineRule="auto"/>
        <w:ind w:left="259"/>
        <w:jc w:val="left"/>
      </w:pPr>
      <w:r>
        <w:rPr>
          <w:rFonts w:ascii="Arial" w:hAnsi="Arial"/>
          <w:color w:val="525252"/>
          <w:sz w:val="13"/>
        </w:rPr>
        <w:t>Organizational management provides leaders the ability to make decisions and resolve issues effectively for the benefit of the organization and its employees.</w:t>
      </w:r>
    </w:p>
    <w:p>
      <w:pPr>
        <w:spacing w:after="20" w:line="223" w:lineRule="auto"/>
        <w:jc w:val="right"/>
        <w:bidi/>
      </w:pPr>
      <w:r>
        <w:rPr>
          <w:rFonts w:ascii="Arial" w:hAnsi="Arial"/>
          <w:sz w:val="16"/>
        </w:rPr>
        <w:t>230.07  در حالی که برخی از اعضای استخدام‌شده ممکن است تفکر استراتژیک را «بالاتر از سطح دستمزدشان» تصور کنند، تفکر استراتژیک هنگام تعیین اهداف و برنامه‌ریزی نحوه دستیابی به آنها در هر واحد یا مرکز کاری مهم است.</w:t>
      </w:r>
    </w:p>
    <w:p>
      <w:pPr>
        <w:spacing w:after="28" w:line="216" w:lineRule="auto"/>
        <w:ind w:left="259"/>
        <w:jc w:val="left"/>
      </w:pPr>
      <w:r>
        <w:rPr>
          <w:rFonts w:ascii="Arial" w:hAnsi="Arial"/>
          <w:color w:val="525252"/>
          <w:sz w:val="13"/>
        </w:rPr>
        <w:t>While some enlisted members may think of strategic thinking as “above their pay grade,” thinking strategically is important when establishing goals, and planning how to achieve them, within any unit or work center.</w:t>
      </w:r>
    </w:p>
    <w:p>
      <w:pPr>
        <w:spacing w:after="20" w:line="223" w:lineRule="auto"/>
        <w:jc w:val="right"/>
        <w:bidi/>
      </w:pPr>
      <w:r>
        <w:rPr>
          <w:rFonts w:ascii="Arial" w:hAnsi="Arial"/>
          <w:sz w:val="16"/>
        </w:rPr>
        <w:t>230.08  تفکر استراتژیک را می‌توان در هر سطحی، در کل یک شرکت یا در یک پروژه خاص به کار برد.</w:t>
      </w:r>
    </w:p>
    <w:p>
      <w:pPr>
        <w:spacing w:after="28" w:line="216" w:lineRule="auto"/>
        <w:ind w:left="259"/>
        <w:jc w:val="left"/>
      </w:pPr>
      <w:r>
        <w:rPr>
          <w:rFonts w:ascii="Arial" w:hAnsi="Arial"/>
          <w:color w:val="525252"/>
          <w:sz w:val="13"/>
        </w:rPr>
        <w:t>Strategic thinking can be applied at any level, across an entire enterprise or on a specific project.</w:t>
      </w:r>
    </w:p>
    <w:p>
      <w:pPr>
        <w:spacing w:before="60" w:after="28"/>
        <w:jc w:val="right"/>
        <w:bidi/>
      </w:pPr>
      <w:r>
        <w:rPr>
          <w:b/>
          <w:color w:val="1F4D78"/>
          <w:sz w:val="18"/>
        </w:rPr>
        <w:t>13.2. تفکر استراتژیک</w:t>
      </w:r>
    </w:p>
    <w:p>
      <w:pPr>
        <w:spacing w:after="20"/>
        <w:ind w:left="259"/>
        <w:jc w:val="left"/>
      </w:pPr>
      <w:r>
        <w:rPr>
          <w:color w:val="555555"/>
          <w:sz w:val="12"/>
        </w:rPr>
        <w:t>13.2. Strategic Thinking</w:t>
      </w:r>
    </w:p>
    <w:p>
      <w:pPr>
        <w:spacing w:after="20" w:line="223" w:lineRule="auto"/>
        <w:jc w:val="right"/>
        <w:bidi/>
      </w:pPr>
      <w:r>
        <w:rPr>
          <w:rFonts w:ascii="Arial" w:hAnsi="Arial"/>
          <w:sz w:val="16"/>
        </w:rPr>
        <w:t>230.10  تفکر استراتژیک به تفکر در مقیاس بزرگ و کوچک، بلند مدت و کوتاه مدت برای شناسایی و دستیابی به اهداف مورد نظر اشاره دارد.</w:t>
      </w:r>
    </w:p>
    <w:p>
      <w:pPr>
        <w:spacing w:after="28" w:line="216" w:lineRule="auto"/>
        <w:ind w:left="259"/>
        <w:jc w:val="left"/>
      </w:pPr>
      <w:r>
        <w:rPr>
          <w:rFonts w:ascii="Arial" w:hAnsi="Arial"/>
          <w:color w:val="525252"/>
          <w:sz w:val="13"/>
        </w:rPr>
        <w:t>Strategic Thinking refers to thinking on both a large and small scale, long- and short-term to identify and achieve desired goals.</w:t>
      </w:r>
    </w:p>
    <w:p>
      <w:pPr>
        <w:spacing w:after="20" w:line="223" w:lineRule="auto"/>
        <w:jc w:val="right"/>
        <w:bidi/>
      </w:pPr>
      <w:r>
        <w:rPr>
          <w:rFonts w:ascii="Arial" w:hAnsi="Arial"/>
          <w:sz w:val="16"/>
        </w:rPr>
        <w:t>230.11  هنگامی که از افسران عمومی بازنشسته USAF خواسته شد تا به افرادی فکر کنند که در طول حرفه خود با آنها کار کرده‌اند و در تفکر استراتژیک برتر بودند، آنها نشان دادند که این هوانوردان در این زمینه برتری داشتند: شناسایی بهترین و بدترین سناریوها برای چگونگی حل و فصل یک موقعیت. رهبری ("مشکلات رئیس خود را حل کنید") شناسایی یک افق زمانی واقع بینانه برای دستیابی به اهداف و ایجاد موفقیت‌های کوچک ("فکر بزرگ.</w:t>
      </w:r>
    </w:p>
    <w:p>
      <w:pPr>
        <w:spacing w:after="28" w:line="216" w:lineRule="auto"/>
        <w:ind w:left="259"/>
        <w:jc w:val="left"/>
      </w:pPr>
      <w:r>
        <w:rPr>
          <w:rFonts w:ascii="Arial" w:hAnsi="Arial"/>
          <w:color w:val="525252"/>
          <w:sz w:val="13"/>
        </w:rPr>
        <w:t>When retired USAF general officers were asked to think of the Airmen they had worked with during their career who most exceled at Strategic Thinking, they indicated that those Airmen exceled at: Identifying best and worst-case scenarios for how a situation might be resolved Considering how other stakeholders would be affected by proposed courses of action Viewing issues from the perspective of more senior leadership (“work your boss’s problems”) Identifying a realistic time horizon for achieving goals and building on small successes (“Thought BIG.</w:t>
      </w:r>
    </w:p>
    <w:p>
      <w:pPr>
        <w:spacing w:after="20" w:line="223" w:lineRule="auto"/>
        <w:jc w:val="right"/>
        <w:bidi/>
      </w:pPr>
      <w:r>
        <w:rPr>
          <w:rFonts w:ascii="Arial" w:hAnsi="Arial"/>
          <w:sz w:val="16"/>
        </w:rPr>
        <w:t>230.12  کم شروع شد.</w:t>
      </w:r>
    </w:p>
    <w:p>
      <w:pPr>
        <w:spacing w:after="28" w:line="216" w:lineRule="auto"/>
        <w:ind w:left="259"/>
        <w:jc w:val="left"/>
      </w:pPr>
      <w:r>
        <w:rPr>
          <w:rFonts w:ascii="Arial" w:hAnsi="Arial"/>
          <w:color w:val="525252"/>
          <w:sz w:val="13"/>
        </w:rPr>
        <w:t>Started small.</w:t>
      </w:r>
    </w:p>
    <w:p>
      <w:pPr>
        <w:spacing w:after="20" w:line="223" w:lineRule="auto"/>
        <w:jc w:val="right"/>
        <w:bidi/>
      </w:pPr>
      <w:r>
        <w:rPr>
          <w:rFonts w:ascii="Arial" w:hAnsi="Arial"/>
          <w:sz w:val="16"/>
        </w:rPr>
        <w:t>230.13  سریع مقیاس شده است.)</w:t>
      </w:r>
    </w:p>
    <w:p>
      <w:pPr>
        <w:spacing w:after="28" w:line="216" w:lineRule="auto"/>
        <w:ind w:left="259"/>
        <w:jc w:val="left"/>
      </w:pPr>
      <w:r>
        <w:rPr>
          <w:rFonts w:ascii="Arial" w:hAnsi="Arial"/>
          <w:color w:val="525252"/>
          <w:sz w:val="13"/>
        </w:rPr>
        <w:t>Scaled fast.”)</w:t>
      </w:r>
    </w:p>
    <w:p>
      <w:pPr>
        <w:spacing w:before="60" w:after="28"/>
        <w:jc w:val="right"/>
        <w:bidi/>
      </w:pPr>
      <w:r>
        <w:rPr>
          <w:b/>
          <w:color w:val="1F4D78"/>
          <w:sz w:val="18"/>
        </w:rPr>
        <w:t>13.3. ذهنیت تفکر استراتژیک</w:t>
      </w:r>
    </w:p>
    <w:p>
      <w:pPr>
        <w:spacing w:after="20"/>
        <w:ind w:left="259"/>
        <w:jc w:val="left"/>
      </w:pPr>
      <w:r>
        <w:rPr>
          <w:color w:val="555555"/>
          <w:sz w:val="12"/>
        </w:rPr>
        <w:t>13.3. Strategic Thinking Mindset</w:t>
      </w:r>
    </w:p>
    <w:p>
      <w:pPr>
        <w:spacing w:after="20" w:line="223" w:lineRule="auto"/>
        <w:jc w:val="right"/>
        <w:bidi/>
      </w:pPr>
      <w:r>
        <w:rPr>
          <w:rFonts w:ascii="Arial" w:hAnsi="Arial"/>
          <w:sz w:val="16"/>
        </w:rPr>
        <w:t>230.15  هوانوردان در همه سطوح باید با رویکرد تفکر استراتژیک به مسائل درون سازمان خود فکر کنند.</w:t>
      </w:r>
    </w:p>
    <w:p>
      <w:pPr>
        <w:spacing w:after="28" w:line="216" w:lineRule="auto"/>
        <w:ind w:left="259"/>
        <w:jc w:val="left"/>
      </w:pPr>
      <w:r>
        <w:rPr>
          <w:rFonts w:ascii="Arial" w:hAnsi="Arial"/>
          <w:color w:val="525252"/>
          <w:sz w:val="13"/>
        </w:rPr>
        <w:t>Airmen at all levels should adopt a strategic thinking mindset as they approach issues within their organization.</w:t>
      </w:r>
    </w:p>
    <w:p>
      <w:pPr>
        <w:spacing w:after="20" w:line="223" w:lineRule="auto"/>
        <w:jc w:val="right"/>
        <w:bidi/>
      </w:pPr>
      <w:r>
        <w:rPr>
          <w:rFonts w:ascii="Arial" w:hAnsi="Arial"/>
          <w:sz w:val="16"/>
        </w:rPr>
        <w:t>230.16  استراتژی اولویت‌ها، اهداف، اهداف و شاخص‌های کلیدی عملکرد (معیارها/معیارها) را که از پایین‌ترین طبقه به بالاترین سطح هم‌تراز هستند، تعیین می‌کند و تضمین می‌کند که همه هوانوردان در مسیری مشابه، به سمت یک هدف حرکت می‌کنند.</w:t>
      </w:r>
    </w:p>
    <w:p>
      <w:pPr>
        <w:spacing w:after="28" w:line="216" w:lineRule="auto"/>
        <w:ind w:left="259"/>
        <w:jc w:val="left"/>
      </w:pPr>
      <w:r>
        <w:rPr>
          <w:rFonts w:ascii="Arial" w:hAnsi="Arial"/>
          <w:color w:val="525252"/>
          <w:sz w:val="13"/>
        </w:rPr>
        <w:t>Strategy sets priorities, goals, objectives, and key performance indicators (metrics/measures) that are aligned from the lowest echelon to the highest, and ensures all Airmen are marching down the same Path, toward the same Target.</w:t>
      </w:r>
    </w:p>
    <w:p>
      <w:pPr>
        <w:spacing w:after="20" w:line="223" w:lineRule="auto"/>
        <w:jc w:val="right"/>
        <w:bidi/>
      </w:pPr>
      <w:r>
        <w:rPr>
          <w:rFonts w:ascii="Arial" w:hAnsi="Arial"/>
          <w:sz w:val="16"/>
        </w:rPr>
        <w:t>230.17  هنگامی که وضعیت فعلی عملکرد به سطح هدف نمی‌رسد، ممکن است از روش‌های بهبود مستمر مانند ناب، شش سیگما، یا تئوری محدودیت‌ها برای رسیدگی به مسائل شناسایی شده استفاده شود.</w:t>
      </w:r>
    </w:p>
    <w:p>
      <w:pPr>
        <w:spacing w:after="28" w:line="216" w:lineRule="auto"/>
        <w:ind w:left="259"/>
        <w:jc w:val="left"/>
      </w:pPr>
      <w:r>
        <w:rPr>
          <w:rFonts w:ascii="Arial" w:hAnsi="Arial"/>
          <w:color w:val="525252"/>
          <w:sz w:val="13"/>
        </w:rPr>
        <w:t>When the current state of performance is not reaching the target level, continuous improvement methods such as Lean, Six Sigma, or Theory of Constraints, may be used to address identified issues.</w:t>
      </w:r>
    </w:p>
    <w:p>
      <w:pPr>
        <w:spacing w:after="20" w:line="223" w:lineRule="auto"/>
        <w:jc w:val="right"/>
        <w:bidi/>
      </w:pPr>
      <w:r>
        <w:rPr>
          <w:rFonts w:ascii="Arial" w:hAnsi="Arial"/>
          <w:sz w:val="16"/>
        </w:rPr>
        <w:t>230.18  به دودی ۵۰۱۰.۴۲ مراجعه کنید، دودد- وید کونتینوووس پروکسس یمپروومنت (CPI)/لان سیکس سیگما (LSS) و دودی ۵۰۱۰.۴۳، پیاده‌سازی و مدیریت دود-وید کونتینوووس پروکسس یمپروومنت، لان سیکس سیگما پروکسس یمپروومنت/لان سیگما فور مور/لان سیکس/پروگرام/لان سیگما فور مور فرهنگ مبتنی بر ذهنیت‌های استراتژیک</w:t>
      </w:r>
    </w:p>
    <w:p>
      <w:pPr>
        <w:spacing w:after="28" w:line="216" w:lineRule="auto"/>
        <w:ind w:left="259"/>
        <w:jc w:val="left"/>
      </w:pPr>
      <w:r>
        <w:rPr>
          <w:rFonts w:ascii="Arial" w:hAnsi="Arial"/>
          <w:color w:val="525252"/>
          <w:sz w:val="13"/>
        </w:rPr>
        <w:t>Refer to DoDI 5010.42, DoDD- Wide Continuous Process Improvement (CPI)/Lean Six Sigma (LSS) Program and DoDI 5010.43, Implementation and Management of the DoD-Wide Continuous Process Improvement/Lean Six Sigma (CPI/LSS) Program, for more on improvement methods to ensure a culture based in strategic mindsets.</w:t>
      </w:r>
    </w:p>
    <w:p>
      <w:pPr>
        <w:spacing w:after="20" w:line="223" w:lineRule="auto"/>
        <w:jc w:val="right"/>
        <w:bidi/>
      </w:pPr>
      <w:r>
        <w:rPr>
          <w:rFonts w:ascii="Arial" w:hAnsi="Arial"/>
          <w:sz w:val="16"/>
        </w:rPr>
        <w:t>230.19  سه مؤلفه اساسی یک طرز فکر استراتژیک عبارتند از: انعطاف پذیری فکری.</w:t>
      </w:r>
    </w:p>
    <w:p>
      <w:pPr>
        <w:spacing w:after="28" w:line="216" w:lineRule="auto"/>
        <w:ind w:left="259"/>
        <w:jc w:val="left"/>
      </w:pPr>
      <w:r>
        <w:rPr>
          <w:rFonts w:ascii="Arial" w:hAnsi="Arial"/>
          <w:color w:val="525252"/>
          <w:sz w:val="13"/>
        </w:rPr>
        <w:t>The three fundamental components of a strategic thinking mindset are: Intellectual Flexibility.</w:t>
      </w:r>
    </w:p>
    <w:p>
      <w:pPr>
        <w:spacing w:after="20" w:line="223" w:lineRule="auto"/>
        <w:jc w:val="right"/>
        <w:bidi/>
      </w:pPr>
      <w:r>
        <w:rPr>
          <w:rFonts w:ascii="Arial" w:hAnsi="Arial"/>
          <w:sz w:val="16"/>
        </w:rPr>
        <w:t>230.20  تمایل و تمایل به تعدیل درک، نظرات یا رویکرد خود در هنگام تغییر شرایط، یا ارائه اطلاعات جدید.</w:t>
      </w:r>
    </w:p>
    <w:p>
      <w:pPr>
        <w:spacing w:after="28" w:line="216" w:lineRule="auto"/>
        <w:ind w:left="259"/>
        <w:jc w:val="left"/>
      </w:pPr>
      <w:r>
        <w:rPr>
          <w:rFonts w:ascii="Arial" w:hAnsi="Arial"/>
          <w:color w:val="525252"/>
          <w:sz w:val="13"/>
        </w:rPr>
        <w:t>A willingness and proclivity to adjust one’s understanding, opinions, or approach when conditions change, or new information is presented.</w:t>
      </w:r>
    </w:p>
    <w:p>
      <w:pPr>
        <w:spacing w:after="20" w:line="223" w:lineRule="auto"/>
        <w:jc w:val="right"/>
        <w:bidi/>
      </w:pPr>
      <w:r>
        <w:rPr>
          <w:rFonts w:ascii="Arial" w:hAnsi="Arial"/>
          <w:sz w:val="16"/>
        </w:rPr>
        <w:t>230.21  انعطاف در مورد خم شدن است، نه شکستن. ما می‌توانیم بدون رها کردن استراتژی بلندمدت و شروع از صفر، تطبیق و تنظیم کنیم.</w:t>
      </w:r>
    </w:p>
    <w:p>
      <w:pPr>
        <w:spacing w:after="28" w:line="216" w:lineRule="auto"/>
        <w:ind w:left="259"/>
        <w:jc w:val="left"/>
      </w:pPr>
      <w:r>
        <w:rPr>
          <w:rFonts w:ascii="Arial" w:hAnsi="Arial"/>
          <w:color w:val="525252"/>
          <w:sz w:val="13"/>
        </w:rPr>
        <w:t>Flexibility is about bending, not breaking; we can adapt and adjust without abandoning long-term strategy and starting from scratch.</w:t>
      </w:r>
    </w:p>
    <w:p>
      <w:r>
        <w:br w:type="page"/>
      </w:r>
    </w:p>
    <w:p>
      <w:pPr>
        <w:spacing w:after="60"/>
        <w:jc w:val="right"/>
        <w:bidi/>
      </w:pPr>
      <w:r>
        <w:rPr>
          <w:rFonts w:ascii="Arial" w:hAnsi="Arial"/>
          <w:b/>
          <w:color w:val="1F4D78"/>
          <w:sz w:val="19"/>
        </w:rPr>
        <w:t>هفتهٔ 231  |  صفحهٔ منبع: 247</w:t>
      </w:r>
    </w:p>
    <w:p>
      <w:pPr>
        <w:spacing w:after="20" w:line="223" w:lineRule="auto"/>
        <w:jc w:val="right"/>
        <w:bidi/>
      </w:pPr>
      <w:r>
        <w:rPr>
          <w:rFonts w:ascii="Arial" w:hAnsi="Arial"/>
          <w:sz w:val="16"/>
        </w:rPr>
        <w:t>231.01  به‌عنوان مثال، تصور کنید درخواست اعضای واحد شما برای دریافت آموزش‌های حیاتی به دلایل بودجه رد شده است.</w:t>
      </w:r>
    </w:p>
    <w:p>
      <w:pPr>
        <w:spacing w:after="28" w:line="216" w:lineRule="auto"/>
        <w:ind w:left="259"/>
        <w:jc w:val="left"/>
      </w:pPr>
      <w:r>
        <w:rPr>
          <w:rFonts w:ascii="Arial" w:hAnsi="Arial"/>
          <w:color w:val="525252"/>
          <w:sz w:val="13"/>
        </w:rPr>
        <w:t>For example, imagine a request for members of your unit to receive critical training is denied for budgetary reasons.</w:t>
      </w:r>
    </w:p>
    <w:p>
      <w:pPr>
        <w:spacing w:after="20" w:line="223" w:lineRule="auto"/>
        <w:jc w:val="right"/>
        <w:bidi/>
      </w:pPr>
      <w:r>
        <w:rPr>
          <w:rFonts w:ascii="Arial" w:hAnsi="Arial"/>
          <w:sz w:val="16"/>
        </w:rPr>
        <w:t>231.02  به جای نادیده گرفتن نیاز به آموزش، یا صرفا ادامه تلاش برای دریافت تأییدیه درخواست اصلی، باید گزینه‌های دیگری را در نظر بگیرید.</w:t>
      </w:r>
    </w:p>
    <w:p>
      <w:pPr>
        <w:spacing w:after="28" w:line="216" w:lineRule="auto"/>
        <w:ind w:left="259"/>
        <w:jc w:val="left"/>
      </w:pPr>
      <w:r>
        <w:rPr>
          <w:rFonts w:ascii="Arial" w:hAnsi="Arial"/>
          <w:color w:val="525252"/>
          <w:sz w:val="13"/>
        </w:rPr>
        <w:t>Rather than ignoring the need for training, or simply continuing attempts to get approval for the original request, you should consider other options.</w:t>
      </w:r>
    </w:p>
    <w:p>
      <w:pPr>
        <w:spacing w:after="20" w:line="223" w:lineRule="auto"/>
        <w:jc w:val="right"/>
        <w:bidi/>
      </w:pPr>
      <w:r>
        <w:rPr>
          <w:rFonts w:ascii="Arial" w:hAnsi="Arial"/>
          <w:sz w:val="16"/>
        </w:rPr>
        <w:t>231.03  شاید فقط یکی از هوانوردان شما بتواند آموزش ببیند و سپس بقیه واحد را آموزش دهد؟</w:t>
      </w:r>
    </w:p>
    <w:p>
      <w:pPr>
        <w:spacing w:after="28" w:line="216" w:lineRule="auto"/>
        <w:ind w:left="259"/>
        <w:jc w:val="left"/>
      </w:pPr>
      <w:r>
        <w:rPr>
          <w:rFonts w:ascii="Arial" w:hAnsi="Arial"/>
          <w:color w:val="525252"/>
          <w:sz w:val="13"/>
        </w:rPr>
        <w:t>Perhaps just one of your Airmen could receive the training and then teach the rest of the unit?</w:t>
      </w:r>
    </w:p>
    <w:p>
      <w:pPr>
        <w:spacing w:after="20" w:line="223" w:lineRule="auto"/>
        <w:jc w:val="right"/>
        <w:bidi/>
      </w:pPr>
      <w:r>
        <w:rPr>
          <w:rFonts w:ascii="Arial" w:hAnsi="Arial"/>
          <w:sz w:val="16"/>
        </w:rPr>
        <w:t>231.04  شاید واحدهای دیگری در این نزدیکی وجود داشته باشند که اعضای آن آموزش دیده‌اند و در دسترس باشند تا به نیروهای هوایی شما آموزش دهند؟</w:t>
      </w:r>
    </w:p>
    <w:p>
      <w:pPr>
        <w:spacing w:after="28" w:line="216" w:lineRule="auto"/>
        <w:ind w:left="259"/>
        <w:jc w:val="left"/>
      </w:pPr>
      <w:r>
        <w:rPr>
          <w:rFonts w:ascii="Arial" w:hAnsi="Arial"/>
          <w:color w:val="525252"/>
          <w:sz w:val="13"/>
        </w:rPr>
        <w:t>Maybe there are other units nearby whose members have received the training who would be available to teach your Airmen?</w:t>
      </w:r>
    </w:p>
    <w:p>
      <w:pPr>
        <w:spacing w:after="20" w:line="223" w:lineRule="auto"/>
        <w:jc w:val="right"/>
        <w:bidi/>
      </w:pPr>
      <w:r>
        <w:rPr>
          <w:rFonts w:ascii="Arial" w:hAnsi="Arial"/>
          <w:sz w:val="16"/>
        </w:rPr>
        <w:t>231.05  فراگیری فکری.</w:t>
      </w:r>
    </w:p>
    <w:p>
      <w:pPr>
        <w:spacing w:after="28" w:line="216" w:lineRule="auto"/>
        <w:ind w:left="259"/>
        <w:jc w:val="left"/>
      </w:pPr>
      <w:r>
        <w:rPr>
          <w:rFonts w:ascii="Arial" w:hAnsi="Arial"/>
          <w:color w:val="525252"/>
          <w:sz w:val="13"/>
        </w:rPr>
        <w:t>Intellectual Inclusiveness.</w:t>
      </w:r>
    </w:p>
    <w:p>
      <w:pPr>
        <w:spacing w:after="20" w:line="223" w:lineRule="auto"/>
        <w:jc w:val="right"/>
        <w:bidi/>
      </w:pPr>
      <w:r>
        <w:rPr>
          <w:rFonts w:ascii="Arial" w:hAnsi="Arial"/>
          <w:sz w:val="16"/>
        </w:rPr>
        <w:t>231.06  استقبال از اطلاعات و نظرات از طیف گسترده‌ای از منابع (افراد، گروه‌ها، رشته‌های تحصیلی و غیره).</w:t>
      </w:r>
    </w:p>
    <w:p>
      <w:pPr>
        <w:spacing w:after="28" w:line="216" w:lineRule="auto"/>
        <w:ind w:left="259"/>
        <w:jc w:val="left"/>
      </w:pPr>
      <w:r>
        <w:rPr>
          <w:rFonts w:ascii="Arial" w:hAnsi="Arial"/>
          <w:color w:val="525252"/>
          <w:sz w:val="13"/>
        </w:rPr>
        <w:t>Welcoming of information and opinion from a broad range of sources (individuals, groups, disciplines of study, etc.).</w:t>
      </w:r>
    </w:p>
    <w:p>
      <w:pPr>
        <w:spacing w:after="20" w:line="223" w:lineRule="auto"/>
        <w:jc w:val="right"/>
        <w:bidi/>
      </w:pPr>
      <w:r>
        <w:rPr>
          <w:rFonts w:ascii="Arial" w:hAnsi="Arial"/>
          <w:sz w:val="16"/>
        </w:rPr>
        <w:t>231.07  یک دیدگاه گسترده و آگاهانه اغلب مستلزم مشارکت صداهای زیادی در بحث و تمایل به در نظر گرفتن منابع جدید یا به ظاهر غیرعادی اطلاعات است.</w:t>
      </w:r>
    </w:p>
    <w:p>
      <w:pPr>
        <w:spacing w:after="28" w:line="216" w:lineRule="auto"/>
        <w:ind w:left="259"/>
        <w:jc w:val="left"/>
      </w:pPr>
      <w:r>
        <w:rPr>
          <w:rFonts w:ascii="Arial" w:hAnsi="Arial"/>
          <w:color w:val="525252"/>
          <w:sz w:val="13"/>
        </w:rPr>
        <w:t>A broad, informed perspective often requires many voices to be involved in a discussion, and a willingness to consider new or seemingly unusual sources of information.</w:t>
      </w:r>
    </w:p>
    <w:p>
      <w:pPr>
        <w:spacing w:after="20" w:line="223" w:lineRule="auto"/>
        <w:jc w:val="right"/>
        <w:bidi/>
      </w:pPr>
      <w:r>
        <w:rPr>
          <w:rFonts w:ascii="Arial" w:hAnsi="Arial"/>
          <w:sz w:val="16"/>
        </w:rPr>
        <w:t>231.08  فراتر از سازمان مستقیم خود نگاه کنید.</w:t>
      </w:r>
    </w:p>
    <w:p>
      <w:pPr>
        <w:spacing w:after="28" w:line="216" w:lineRule="auto"/>
        <w:ind w:left="259"/>
        <w:jc w:val="left"/>
      </w:pPr>
      <w:r>
        <w:rPr>
          <w:rFonts w:ascii="Arial" w:hAnsi="Arial"/>
          <w:color w:val="525252"/>
          <w:sz w:val="13"/>
        </w:rPr>
        <w:t>Look beyond your immediate organization.</w:t>
      </w:r>
    </w:p>
    <w:p>
      <w:pPr>
        <w:spacing w:after="20" w:line="223" w:lineRule="auto"/>
        <w:jc w:val="right"/>
        <w:bidi/>
      </w:pPr>
      <w:r>
        <w:rPr>
          <w:rFonts w:ascii="Arial" w:hAnsi="Arial"/>
          <w:sz w:val="16"/>
        </w:rPr>
        <w:t>231.09  از شبکه‌های رسمی و غیررسمی استفاده کنید و با افراد متخصص مرتبط ارتباط برقرار کنید.</w:t>
      </w:r>
    </w:p>
    <w:p>
      <w:pPr>
        <w:spacing w:after="28" w:line="216" w:lineRule="auto"/>
        <w:ind w:left="259"/>
        <w:jc w:val="left"/>
      </w:pPr>
      <w:r>
        <w:rPr>
          <w:rFonts w:ascii="Arial" w:hAnsi="Arial"/>
          <w:color w:val="525252"/>
          <w:sz w:val="13"/>
        </w:rPr>
        <w:t>Make use of formal and informal networks and reach out to others with relevant expertise.</w:t>
      </w:r>
    </w:p>
    <w:p>
      <w:pPr>
        <w:spacing w:after="20" w:line="223" w:lineRule="auto"/>
        <w:jc w:val="right"/>
        <w:bidi/>
      </w:pPr>
      <w:r>
        <w:rPr>
          <w:rFonts w:ascii="Arial" w:hAnsi="Arial"/>
          <w:sz w:val="16"/>
        </w:rPr>
        <w:t>231.10  شاید همسالانی از تکالیف گذشته داشته باشید که با مسائل مشابه سروکار داشته باشند؟</w:t>
      </w:r>
    </w:p>
    <w:p>
      <w:pPr>
        <w:spacing w:after="28" w:line="216" w:lineRule="auto"/>
        <w:ind w:left="259"/>
        <w:jc w:val="left"/>
      </w:pPr>
      <w:r>
        <w:rPr>
          <w:rFonts w:ascii="Arial" w:hAnsi="Arial"/>
          <w:color w:val="525252"/>
          <w:sz w:val="13"/>
        </w:rPr>
        <w:t>Maybe you have peers from past assignments who have dealt with similar issues?</w:t>
      </w:r>
    </w:p>
    <w:p>
      <w:pPr>
        <w:spacing w:after="20" w:line="223" w:lineRule="auto"/>
        <w:jc w:val="right"/>
        <w:bidi/>
      </w:pPr>
      <w:r>
        <w:rPr>
          <w:rFonts w:ascii="Arial" w:hAnsi="Arial"/>
          <w:sz w:val="16"/>
        </w:rPr>
        <w:t>231.11  ممکن است مخاطبینی در سایر سرویس‌ها، یا مربیان یا همکلاسی‌های قبلی داشته باشید که می‌توانند اطلاعات و تخصص مرتبط را به اشتراک بگذارند.</w:t>
      </w:r>
    </w:p>
    <w:p>
      <w:pPr>
        <w:spacing w:after="28" w:line="216" w:lineRule="auto"/>
        <w:ind w:left="259"/>
        <w:jc w:val="left"/>
      </w:pPr>
      <w:r>
        <w:rPr>
          <w:rFonts w:ascii="Arial" w:hAnsi="Arial"/>
          <w:color w:val="525252"/>
          <w:sz w:val="13"/>
        </w:rPr>
        <w:t>Maybe you have contacts within the other Services, or former instructors or classmates who could share relevant information and expertise.</w:t>
      </w:r>
    </w:p>
    <w:p>
      <w:pPr>
        <w:spacing w:after="20" w:line="223" w:lineRule="auto"/>
        <w:jc w:val="right"/>
        <w:bidi/>
      </w:pPr>
      <w:r>
        <w:rPr>
          <w:rFonts w:ascii="Arial" w:hAnsi="Arial"/>
          <w:sz w:val="16"/>
        </w:rPr>
        <w:t>231.12  فروتنی فکری.</w:t>
      </w:r>
    </w:p>
    <w:p>
      <w:pPr>
        <w:spacing w:after="28" w:line="216" w:lineRule="auto"/>
        <w:ind w:left="259"/>
        <w:jc w:val="left"/>
      </w:pPr>
      <w:r>
        <w:rPr>
          <w:rFonts w:ascii="Arial" w:hAnsi="Arial"/>
          <w:color w:val="525252"/>
          <w:sz w:val="13"/>
        </w:rPr>
        <w:t>Intellectual Humility.</w:t>
      </w:r>
    </w:p>
    <w:p>
      <w:pPr>
        <w:spacing w:after="20" w:line="223" w:lineRule="auto"/>
        <w:jc w:val="right"/>
        <w:bidi/>
      </w:pPr>
      <w:r>
        <w:rPr>
          <w:rFonts w:ascii="Arial" w:hAnsi="Arial"/>
          <w:sz w:val="16"/>
        </w:rPr>
        <w:t>231.13  سطح راحتی با اشتباه بودن یا داشتن درک ناقص، همراه با تمایل به بررسی خود، بررسی مسائل به گونه‌ای که گویی درک فرد به نحوی اشتباه است.</w:t>
      </w:r>
    </w:p>
    <w:p>
      <w:pPr>
        <w:spacing w:after="28" w:line="216" w:lineRule="auto"/>
        <w:ind w:left="259"/>
        <w:jc w:val="left"/>
      </w:pPr>
      <w:r>
        <w:rPr>
          <w:rFonts w:ascii="Arial" w:hAnsi="Arial"/>
          <w:color w:val="525252"/>
          <w:sz w:val="13"/>
        </w:rPr>
        <w:t>Comfort level with being wrong or having an incomplete understanding, accompanied by the tendency to check oneself, examining issues as if one’s understanding is wrong in some way.</w:t>
      </w:r>
    </w:p>
    <w:p>
      <w:pPr>
        <w:spacing w:before="60" w:after="28"/>
        <w:jc w:val="right"/>
        <w:bidi/>
      </w:pPr>
      <w:r>
        <w:rPr>
          <w:b/>
          <w:color w:val="1F4D78"/>
          <w:sz w:val="18"/>
        </w:rPr>
        <w:t>13.4. تفکر استراتژیک در عمل</w:t>
      </w:r>
    </w:p>
    <w:p>
      <w:pPr>
        <w:spacing w:after="20"/>
        <w:ind w:left="259"/>
        <w:jc w:val="left"/>
      </w:pPr>
      <w:r>
        <w:rPr>
          <w:color w:val="555555"/>
          <w:sz w:val="12"/>
        </w:rPr>
        <w:t>13.4. Strategic Thinking in Action</w:t>
      </w:r>
    </w:p>
    <w:p>
      <w:pPr>
        <w:spacing w:after="20" w:line="223" w:lineRule="auto"/>
        <w:jc w:val="right"/>
        <w:bidi/>
      </w:pPr>
      <w:r>
        <w:rPr>
          <w:rFonts w:ascii="Arial" w:hAnsi="Arial"/>
          <w:sz w:val="16"/>
        </w:rPr>
        <w:t>231.15  در عمل، تفکر استراتژیک از چهار فعالیت اصلی تشکیل شده است: پویش، پرسش، مفهوم سازی و آزمایش: پویش شناسایی الگوهای نوظهور در محیط است.</w:t>
      </w:r>
    </w:p>
    <w:p>
      <w:pPr>
        <w:spacing w:after="28" w:line="216" w:lineRule="auto"/>
        <w:ind w:left="259"/>
        <w:jc w:val="left"/>
      </w:pPr>
      <w:r>
        <w:rPr>
          <w:rFonts w:ascii="Arial" w:hAnsi="Arial"/>
          <w:color w:val="525252"/>
          <w:sz w:val="13"/>
        </w:rPr>
        <w:t>In practice, strategic thinking consists of four main activities: scanning, questioning, conceptualizing, and testing: Scanning is the identification of emerging patterns in the environment.</w:t>
      </w:r>
    </w:p>
    <w:p>
      <w:pPr>
        <w:spacing w:after="20" w:line="223" w:lineRule="auto"/>
        <w:jc w:val="right"/>
        <w:bidi/>
      </w:pPr>
      <w:r>
        <w:rPr>
          <w:rFonts w:ascii="Arial" w:hAnsi="Arial"/>
          <w:sz w:val="16"/>
        </w:rPr>
        <w:t>231.16  این شامل دریافت، ساختارشکنی، و ترکیب اطلاعات از منابع مختلف، با هدف استفاده از این اطلاعات در آینده است.</w:t>
      </w:r>
    </w:p>
    <w:p>
      <w:pPr>
        <w:spacing w:after="28" w:line="216" w:lineRule="auto"/>
        <w:ind w:left="259"/>
        <w:jc w:val="left"/>
      </w:pPr>
      <w:r>
        <w:rPr>
          <w:rFonts w:ascii="Arial" w:hAnsi="Arial"/>
          <w:color w:val="525252"/>
          <w:sz w:val="13"/>
        </w:rPr>
        <w:t>This consists of taking in, deconstructing, and synthesizing information from different sources, with the goal of applying this information to the future.</w:t>
      </w:r>
    </w:p>
    <w:p>
      <w:pPr>
        <w:spacing w:after="20" w:line="223" w:lineRule="auto"/>
        <w:jc w:val="right"/>
        <w:bidi/>
      </w:pPr>
      <w:r>
        <w:rPr>
          <w:rFonts w:ascii="Arial" w:hAnsi="Arial"/>
          <w:sz w:val="16"/>
        </w:rPr>
        <w:t>231.17  نمونه تکنیک‌های اسکن می‌تواند شامل جستجوی ورودی از یک پانل متخصص و تجزیه و تحلیل داده‌های تاریخی برای شناسایی روندها باشد.</w:t>
      </w:r>
    </w:p>
    <w:p>
      <w:pPr>
        <w:spacing w:after="28" w:line="216" w:lineRule="auto"/>
        <w:ind w:left="259"/>
        <w:jc w:val="left"/>
      </w:pPr>
      <w:r>
        <w:rPr>
          <w:rFonts w:ascii="Arial" w:hAnsi="Arial"/>
          <w:color w:val="525252"/>
          <w:sz w:val="13"/>
        </w:rPr>
        <w:t>Example scanning techniques could include seeking input from an expert panel and analyzing historical data to identify trends.</w:t>
      </w:r>
    </w:p>
    <w:p>
      <w:pPr>
        <w:spacing w:after="20" w:line="223" w:lineRule="auto"/>
        <w:jc w:val="right"/>
        <w:bidi/>
      </w:pPr>
      <w:r>
        <w:rPr>
          <w:rFonts w:ascii="Arial" w:hAnsi="Arial"/>
          <w:sz w:val="16"/>
        </w:rPr>
        <w:t>231.18  پرسش (پرسیدن از دیگران و خود) برای درک کاملتر یک موضوع از دیدگاه‌های مختلف مورد نیاز است.</w:t>
      </w:r>
    </w:p>
    <w:p>
      <w:pPr>
        <w:spacing w:after="28" w:line="216" w:lineRule="auto"/>
        <w:ind w:left="259"/>
        <w:jc w:val="left"/>
      </w:pPr>
      <w:r>
        <w:rPr>
          <w:rFonts w:ascii="Arial" w:hAnsi="Arial"/>
          <w:color w:val="525252"/>
          <w:sz w:val="13"/>
        </w:rPr>
        <w:t>Questioning (asking questions of others and oneself) is needed to more fully understand an issue from different perspectives.</w:t>
      </w:r>
    </w:p>
    <w:p>
      <w:pPr>
        <w:spacing w:after="20" w:line="223" w:lineRule="auto"/>
        <w:jc w:val="right"/>
        <w:bidi/>
      </w:pPr>
      <w:r>
        <w:rPr>
          <w:rFonts w:ascii="Arial" w:hAnsi="Arial"/>
          <w:sz w:val="16"/>
        </w:rPr>
        <w:t>231.19  این شامل چارچوب بندی گسترده مسائل، کاوش مشکلات به جای هدف برای حل فوری آنها، و در نظر گرفتن نظرات همه ذینفعان است.</w:t>
      </w:r>
    </w:p>
    <w:p>
      <w:pPr>
        <w:spacing w:after="28" w:line="216" w:lineRule="auto"/>
        <w:ind w:left="259"/>
        <w:jc w:val="left"/>
      </w:pPr>
      <w:r>
        <w:rPr>
          <w:rFonts w:ascii="Arial" w:hAnsi="Arial"/>
          <w:color w:val="525252"/>
          <w:sz w:val="13"/>
        </w:rPr>
        <w:t>This includes framing issues broadly, exploring problems rather than aiming to solve them immediately, and considering input from all stakeholders.</w:t>
      </w:r>
    </w:p>
    <w:p>
      <w:pPr>
        <w:spacing w:after="20" w:line="223" w:lineRule="auto"/>
        <w:jc w:val="right"/>
        <w:bidi/>
      </w:pPr>
      <w:r>
        <w:rPr>
          <w:rFonts w:ascii="Arial" w:hAnsi="Arial"/>
          <w:sz w:val="16"/>
        </w:rPr>
        <w:t>231.20  مفهوم سازی گزینه‌های بالقوه برای شناسایی احتمالات جهت آینده مورد نیاز است.</w:t>
      </w:r>
    </w:p>
    <w:p>
      <w:pPr>
        <w:spacing w:after="28" w:line="216" w:lineRule="auto"/>
        <w:ind w:left="259"/>
        <w:jc w:val="left"/>
      </w:pPr>
      <w:r>
        <w:rPr>
          <w:rFonts w:ascii="Arial" w:hAnsi="Arial"/>
          <w:color w:val="525252"/>
          <w:sz w:val="13"/>
        </w:rPr>
        <w:t>Conceptualizing potential options is needed to identify possibilities for future direction.</w:t>
      </w:r>
    </w:p>
    <w:p>
      <w:pPr>
        <w:spacing w:after="20" w:line="223" w:lineRule="auto"/>
        <w:jc w:val="right"/>
        <w:bidi/>
      </w:pPr>
      <w:r>
        <w:rPr>
          <w:rFonts w:ascii="Arial" w:hAnsi="Arial"/>
          <w:sz w:val="16"/>
        </w:rPr>
        <w:t>231.21  این شامل شناسایی طیف وسیعی از گزینه‌ها (طوفان فکری)، استفاده از ابزارها و تکنیک‌های تحلیلی مختلف برای کشف راه‌حل‌های بالقوه، و رد گزینه‌ها تنها پس از کاوش است.</w:t>
      </w:r>
    </w:p>
    <w:p>
      <w:pPr>
        <w:spacing w:after="28" w:line="216" w:lineRule="auto"/>
        <w:ind w:left="259"/>
        <w:jc w:val="left"/>
      </w:pPr>
      <w:r>
        <w:rPr>
          <w:rFonts w:ascii="Arial" w:hAnsi="Arial"/>
          <w:color w:val="525252"/>
          <w:sz w:val="13"/>
        </w:rPr>
        <w:t>This includes identifying a broad range of options (brainstorming), using various analytic tools and techniques to explore potential solutions, and rejecting options only after exploration.</w:t>
      </w:r>
    </w:p>
    <w:p>
      <w:pPr>
        <w:spacing w:after="20" w:line="223" w:lineRule="auto"/>
        <w:jc w:val="right"/>
        <w:bidi/>
      </w:pPr>
      <w:r>
        <w:rPr>
          <w:rFonts w:ascii="Arial" w:hAnsi="Arial"/>
          <w:sz w:val="16"/>
        </w:rPr>
        <w:t>231.22  تست به حدس و گمان آگاهانه اجازه می‌دهد تأثیر یک اقدام پیشنهادی بر عملکرد سازمانی را پیش بینی کند.</w:t>
      </w:r>
    </w:p>
    <w:p>
      <w:pPr>
        <w:spacing w:after="28" w:line="216" w:lineRule="auto"/>
        <w:ind w:left="259"/>
        <w:jc w:val="left"/>
      </w:pPr>
      <w:r>
        <w:rPr>
          <w:rFonts w:ascii="Arial" w:hAnsi="Arial"/>
          <w:color w:val="525252"/>
          <w:sz w:val="13"/>
        </w:rPr>
        <w:t>Testing allows for informed speculation to anticipate the impact of a proposed action on organizational performance.</w:t>
      </w:r>
    </w:p>
    <w:p>
      <w:pPr>
        <w:spacing w:after="20" w:line="223" w:lineRule="auto"/>
        <w:jc w:val="right"/>
        <w:bidi/>
      </w:pPr>
      <w:r>
        <w:rPr>
          <w:rFonts w:ascii="Arial" w:hAnsi="Arial"/>
          <w:sz w:val="16"/>
        </w:rPr>
        <w:t>231.23  به‌عنوان مثال، در ابتدا ممکن است یک نقش بازی در مورد نحوه اطلاع رسانی مسیر اقدام پیشنهادی به ذینفعان و نحوه پاسخگویی آنها انجام شود.</w:t>
      </w:r>
    </w:p>
    <w:p>
      <w:pPr>
        <w:spacing w:after="28" w:line="216" w:lineRule="auto"/>
        <w:ind w:left="259"/>
        <w:jc w:val="left"/>
      </w:pPr>
      <w:r>
        <w:rPr>
          <w:rFonts w:ascii="Arial" w:hAnsi="Arial"/>
          <w:color w:val="525252"/>
          <w:sz w:val="13"/>
        </w:rPr>
        <w:t>For example, one might initially conduct a role play of how the proposed course of action would be communicated to stakeholders and how they are likely to respond.</w:t>
      </w:r>
    </w:p>
    <w:p>
      <w:pPr>
        <w:spacing w:after="20" w:line="223" w:lineRule="auto"/>
        <w:jc w:val="right"/>
        <w:bidi/>
      </w:pPr>
      <w:r>
        <w:rPr>
          <w:rFonts w:ascii="Arial" w:hAnsi="Arial"/>
          <w:sz w:val="16"/>
        </w:rPr>
        <w:t>231.24  راه حل پیشنهادی باید در مقیاس کوچک (آزمایش آزمایشی)، برای ارزیابی تأثیر اولیه آن و رفع مشکلاتی که در اجرای اولیه ایجاد می‌شود، آزمایش شود.</w:t>
      </w:r>
    </w:p>
    <w:p>
      <w:pPr>
        <w:spacing w:after="28" w:line="216" w:lineRule="auto"/>
        <w:ind w:left="259"/>
        <w:jc w:val="left"/>
      </w:pPr>
      <w:r>
        <w:rPr>
          <w:rFonts w:ascii="Arial" w:hAnsi="Arial"/>
          <w:color w:val="525252"/>
          <w:sz w:val="13"/>
        </w:rPr>
        <w:t>The proposed solution should be tested on a small scale (a pilot test), in order to evaluate its initial impact and to address any problems that arise in the initial implementation.</w:t>
      </w:r>
    </w:p>
    <w:p>
      <w:pPr>
        <w:spacing w:before="60" w:after="28"/>
        <w:jc w:val="right"/>
        <w:bidi/>
      </w:pPr>
      <w:r>
        <w:rPr>
          <w:b/>
          <w:color w:val="1F4D78"/>
          <w:sz w:val="18"/>
        </w:rPr>
        <w:t>13.5. تمرکز بر نتایج</w:t>
      </w:r>
    </w:p>
    <w:p>
      <w:pPr>
        <w:spacing w:after="20"/>
        <w:ind w:left="259"/>
        <w:jc w:val="left"/>
      </w:pPr>
      <w:r>
        <w:rPr>
          <w:color w:val="555555"/>
          <w:sz w:val="12"/>
        </w:rPr>
        <w:t>13.5. Results Focus</w:t>
      </w:r>
    </w:p>
    <w:p>
      <w:pPr>
        <w:spacing w:after="20" w:line="223" w:lineRule="auto"/>
        <w:jc w:val="right"/>
        <w:bidi/>
      </w:pPr>
      <w:r>
        <w:rPr>
          <w:rFonts w:ascii="Arial" w:hAnsi="Arial"/>
          <w:sz w:val="16"/>
        </w:rPr>
        <w:t>231.26  در سطح فردی و تیمی، عملکرد مطلوب مستلزم تعیین اهداف برای ادامه مسیر است.</w:t>
      </w:r>
    </w:p>
    <w:p>
      <w:pPr>
        <w:spacing w:after="28" w:line="216" w:lineRule="auto"/>
        <w:ind w:left="259"/>
        <w:jc w:val="left"/>
      </w:pPr>
      <w:r>
        <w:rPr>
          <w:rFonts w:ascii="Arial" w:hAnsi="Arial"/>
          <w:color w:val="525252"/>
          <w:sz w:val="13"/>
        </w:rPr>
        <w:t>At the individual and team level, optimal performance requires setting goals to stay on track.</w:t>
      </w:r>
    </w:p>
    <w:p>
      <w:pPr>
        <w:spacing w:after="20" w:line="223" w:lineRule="auto"/>
        <w:jc w:val="right"/>
        <w:bidi/>
      </w:pPr>
      <w:r>
        <w:rPr>
          <w:rFonts w:ascii="Arial" w:hAnsi="Arial"/>
          <w:sz w:val="16"/>
        </w:rPr>
        <w:t>231.27  اما همه اهداف یکسان نیستند.</w:t>
      </w:r>
    </w:p>
    <w:p>
      <w:pPr>
        <w:spacing w:after="28" w:line="216" w:lineRule="auto"/>
        <w:ind w:left="259"/>
        <w:jc w:val="left"/>
      </w:pPr>
      <w:r>
        <w:rPr>
          <w:rFonts w:ascii="Arial" w:hAnsi="Arial"/>
          <w:color w:val="525252"/>
          <w:sz w:val="13"/>
        </w:rPr>
        <w:t>But not all goals are alike.</w:t>
      </w:r>
    </w:p>
    <w:p>
      <w:pPr>
        <w:spacing w:after="20" w:line="223" w:lineRule="auto"/>
        <w:jc w:val="right"/>
        <w:bidi/>
      </w:pPr>
      <w:r>
        <w:rPr>
          <w:rFonts w:ascii="Arial" w:hAnsi="Arial"/>
          <w:sz w:val="16"/>
        </w:rPr>
        <w:t>231.28  تنظیم هدف زمانی که اهداف خاص، قابل اندازه‌گیری، قابل دستیابی، مرتبط و محدود به زمان (SMART) هستند، به احتمال زیاد عملکرد را بهبود می‌بخشد.</w:t>
      </w:r>
    </w:p>
    <w:p>
      <w:pPr>
        <w:spacing w:after="28" w:line="216" w:lineRule="auto"/>
        <w:ind w:left="259"/>
        <w:jc w:val="left"/>
      </w:pPr>
      <w:r>
        <w:rPr>
          <w:rFonts w:ascii="Arial" w:hAnsi="Arial"/>
          <w:color w:val="525252"/>
          <w:sz w:val="13"/>
        </w:rPr>
        <w:t>Goal setting is most likely to improve performance when goals are Specific, Measurable, Attainable, Relevant, and Time-bound (SMART).</w:t>
      </w:r>
    </w:p>
    <w:p>
      <w:pPr>
        <w:spacing w:after="20" w:line="223" w:lineRule="auto"/>
        <w:jc w:val="right"/>
        <w:bidi/>
      </w:pPr>
      <w:r>
        <w:rPr>
          <w:rFonts w:ascii="Arial" w:hAnsi="Arial"/>
          <w:sz w:val="16"/>
        </w:rPr>
        <w:t>231.29  س - خاص: اهداف/اهداف خاص باید پاسخ دهند که چه کسی درگیر است، چه چیزی باید باشد</w:t>
      </w:r>
    </w:p>
    <w:p>
      <w:pPr>
        <w:spacing w:after="28" w:line="216" w:lineRule="auto"/>
        <w:ind w:left="259"/>
        <w:jc w:val="left"/>
      </w:pPr>
      <w:r>
        <w:rPr>
          <w:rFonts w:ascii="Arial" w:hAnsi="Arial"/>
          <w:color w:val="525252"/>
          <w:sz w:val="13"/>
        </w:rPr>
        <w:t>S - Specific: Specific objectives/targets should answer who is involved, what is to be</w:t>
      </w:r>
    </w:p>
    <w:p>
      <w:r>
        <w:br w:type="page"/>
      </w:r>
    </w:p>
    <w:p>
      <w:pPr>
        <w:spacing w:after="60"/>
        <w:jc w:val="right"/>
        <w:bidi/>
      </w:pPr>
      <w:r>
        <w:rPr>
          <w:rFonts w:ascii="Arial" w:hAnsi="Arial"/>
          <w:b/>
          <w:color w:val="1F4D78"/>
          <w:sz w:val="19"/>
        </w:rPr>
        <w:t>هفتهٔ 232  |  صفحهٔ منبع: 248</w:t>
      </w:r>
    </w:p>
    <w:p>
      <w:pPr>
        <w:spacing w:after="20" w:line="223" w:lineRule="auto"/>
        <w:jc w:val="right"/>
        <w:bidi/>
      </w:pPr>
      <w:r>
        <w:rPr>
          <w:rFonts w:ascii="Arial" w:hAnsi="Arial"/>
          <w:sz w:val="16"/>
        </w:rPr>
        <w:t>232.01  انجام شد، کجا باید انجام شود، چه زمانی باید انجام شود، چه الزامات و محدودیت‌هایی وجود دارد، و چرا (هدف) هدف در حال انجام است.</w:t>
      </w:r>
    </w:p>
    <w:p>
      <w:pPr>
        <w:spacing w:after="28" w:line="216" w:lineRule="auto"/>
        <w:ind w:left="259"/>
        <w:jc w:val="left"/>
      </w:pPr>
      <w:r>
        <w:rPr>
          <w:rFonts w:ascii="Arial" w:hAnsi="Arial"/>
          <w:color w:val="525252"/>
          <w:sz w:val="13"/>
        </w:rPr>
        <w:t>accomplished, where it is to be done, when it is to be done, which requirements and constraints exist, and why (purpose) the objective is being accomplished.</w:t>
      </w:r>
    </w:p>
    <w:p>
      <w:pPr>
        <w:spacing w:after="20" w:line="223" w:lineRule="auto"/>
        <w:jc w:val="right"/>
        <w:bidi/>
      </w:pPr>
      <w:r>
        <w:rPr>
          <w:rFonts w:ascii="Arial" w:hAnsi="Arial"/>
          <w:sz w:val="16"/>
        </w:rPr>
        <w:t>232.02  م - قابل اندازه‌گیری: معیارهایی را برای اندازه‌گیری پیشرفت به سمت و دستیابی به هر هدف/هدف/نقطه عطف تا رسیدن به هدف مورد نظر تعیین کنید.</w:t>
      </w:r>
    </w:p>
    <w:p>
      <w:pPr>
        <w:spacing w:after="28" w:line="216" w:lineRule="auto"/>
        <w:ind w:left="259"/>
        <w:jc w:val="left"/>
      </w:pPr>
      <w:r>
        <w:rPr>
          <w:rFonts w:ascii="Arial" w:hAnsi="Arial"/>
          <w:color w:val="525252"/>
          <w:sz w:val="13"/>
        </w:rPr>
        <w:t>M - Measurable: Establish criteria for measuring progress toward and attainment of each objective/target/milestone until the desired objective is met.</w:t>
      </w:r>
    </w:p>
    <w:p>
      <w:pPr>
        <w:spacing w:after="20" w:line="223" w:lineRule="auto"/>
        <w:jc w:val="right"/>
        <w:bidi/>
      </w:pPr>
      <w:r>
        <w:rPr>
          <w:rFonts w:ascii="Arial" w:hAnsi="Arial"/>
          <w:sz w:val="16"/>
        </w:rPr>
        <w:t>232.03  ا - قابل دستیابی: اطمینان حاصل شود که منابع قابل اجرا در دسترس هستند و اهداف/وظایف (در سطوح قابل قبول ریسک)، امکان پذیر است.</w:t>
      </w:r>
    </w:p>
    <w:p>
      <w:pPr>
        <w:spacing w:after="28" w:line="216" w:lineRule="auto"/>
        <w:ind w:left="259"/>
        <w:jc w:val="left"/>
      </w:pPr>
      <w:r>
        <w:rPr>
          <w:rFonts w:ascii="Arial" w:hAnsi="Arial"/>
          <w:color w:val="525252"/>
          <w:sz w:val="13"/>
        </w:rPr>
        <w:t>A - Attainable: Ensure applicable resources are available and objectives/tasks (within acceptable levels of risk), are possible.</w:t>
      </w:r>
    </w:p>
    <w:p>
      <w:pPr>
        <w:spacing w:after="20" w:line="223" w:lineRule="auto"/>
        <w:jc w:val="right"/>
        <w:bidi/>
      </w:pPr>
      <w:r>
        <w:rPr>
          <w:rFonts w:ascii="Arial" w:hAnsi="Arial"/>
          <w:sz w:val="16"/>
        </w:rPr>
        <w:t>232.04  همچنین ممکن است استفاده از جملات کنش محور به جای صدای منفعل مفید باشد.</w:t>
      </w:r>
    </w:p>
    <w:p>
      <w:pPr>
        <w:spacing w:after="28" w:line="216" w:lineRule="auto"/>
        <w:ind w:left="259"/>
        <w:jc w:val="left"/>
      </w:pPr>
      <w:r>
        <w:rPr>
          <w:rFonts w:ascii="Arial" w:hAnsi="Arial"/>
          <w:color w:val="525252"/>
          <w:sz w:val="13"/>
        </w:rPr>
        <w:t>It may also be helpful to use action-oriented statements rather than passive voice.</w:t>
      </w:r>
    </w:p>
    <w:p>
      <w:pPr>
        <w:spacing w:after="20" w:line="223" w:lineRule="auto"/>
        <w:jc w:val="right"/>
        <w:bidi/>
      </w:pPr>
      <w:r>
        <w:rPr>
          <w:rFonts w:ascii="Arial" w:hAnsi="Arial"/>
          <w:sz w:val="16"/>
        </w:rPr>
        <w:t>232.05  توجه: اصطلاح "دست یافتنی" به این معنا نیست که دستیابی به اهداف باید آسان باشد.</w:t>
      </w:r>
    </w:p>
    <w:p>
      <w:pPr>
        <w:spacing w:after="28" w:line="216" w:lineRule="auto"/>
        <w:ind w:left="259"/>
        <w:jc w:val="left"/>
      </w:pPr>
      <w:r>
        <w:rPr>
          <w:rFonts w:ascii="Arial" w:hAnsi="Arial"/>
          <w:color w:val="525252"/>
          <w:sz w:val="13"/>
        </w:rPr>
        <w:t>Note: The term “Attainable” does not imply that goals should be easy to attain.</w:t>
      </w:r>
    </w:p>
    <w:p>
      <w:pPr>
        <w:spacing w:after="20" w:line="223" w:lineRule="auto"/>
        <w:jc w:val="right"/>
        <w:bidi/>
      </w:pPr>
      <w:r>
        <w:rPr>
          <w:rFonts w:ascii="Arial" w:hAnsi="Arial"/>
          <w:sz w:val="16"/>
        </w:rPr>
        <w:t>232.06  تحقیقات به‌طور مداوم نشان داده است که تعیین اهداف دشوار یا چالش برانگیز، عملکرد را بیشتر از تعیین اهدافی که رسیدن به آنها آسان یا نسبتا دشوار است، بهبود می‌بخشد.</w:t>
      </w:r>
    </w:p>
    <w:p>
      <w:pPr>
        <w:spacing w:after="28" w:line="216" w:lineRule="auto"/>
        <w:ind w:left="259"/>
        <w:jc w:val="left"/>
      </w:pPr>
      <w:r>
        <w:rPr>
          <w:rFonts w:ascii="Arial" w:hAnsi="Arial"/>
          <w:color w:val="525252"/>
          <w:sz w:val="13"/>
        </w:rPr>
        <w:t>Research has consistently found that setting difficult or challenging goals improves performance more than setting goals that are easy or only moderately difficult to meet.</w:t>
      </w:r>
    </w:p>
    <w:p>
      <w:pPr>
        <w:spacing w:after="20" w:line="223" w:lineRule="auto"/>
        <w:jc w:val="right"/>
        <w:bidi/>
      </w:pPr>
      <w:r>
        <w:rPr>
          <w:rFonts w:ascii="Arial" w:hAnsi="Arial"/>
          <w:sz w:val="16"/>
        </w:rPr>
        <w:t>232.07  ر - مرتبط: به مأموریت، چشم‌انداز و اهداف پیوند دهید و مطمئن شوید که آنها معنی‌دار و مرتبط با کاربر هستند.</w:t>
      </w:r>
    </w:p>
    <w:p>
      <w:pPr>
        <w:spacing w:after="28" w:line="216" w:lineRule="auto"/>
        <w:ind w:left="259"/>
        <w:jc w:val="left"/>
      </w:pPr>
      <w:r>
        <w:rPr>
          <w:rFonts w:ascii="Arial" w:hAnsi="Arial"/>
          <w:color w:val="525252"/>
          <w:sz w:val="13"/>
        </w:rPr>
        <w:t>R - Relevant: Link to the mission, vision, and goals and ensure they are meaningful and relevant to the user.</w:t>
      </w:r>
    </w:p>
    <w:p>
      <w:pPr>
        <w:spacing w:after="20" w:line="223" w:lineRule="auto"/>
        <w:jc w:val="right"/>
        <w:bidi/>
      </w:pPr>
      <w:r>
        <w:rPr>
          <w:rFonts w:ascii="Arial" w:hAnsi="Arial"/>
          <w:sz w:val="16"/>
        </w:rPr>
        <w:t>232.08  اهداف خوب باید قابل دستیابی و در عین حال هدفمند باشند.</w:t>
      </w:r>
    </w:p>
    <w:p>
      <w:pPr>
        <w:spacing w:after="28" w:line="216" w:lineRule="auto"/>
        <w:ind w:left="259"/>
        <w:jc w:val="left"/>
      </w:pPr>
      <w:r>
        <w:rPr>
          <w:rFonts w:ascii="Arial" w:hAnsi="Arial"/>
          <w:color w:val="525252"/>
          <w:sz w:val="13"/>
        </w:rPr>
        <w:t>Good objectives must be obtainable, yet purposeful.</w:t>
      </w:r>
    </w:p>
    <w:p>
      <w:pPr>
        <w:spacing w:after="20" w:line="223" w:lineRule="auto"/>
        <w:jc w:val="right"/>
        <w:bidi/>
      </w:pPr>
      <w:r>
        <w:rPr>
          <w:rFonts w:ascii="Arial" w:hAnsi="Arial"/>
          <w:sz w:val="16"/>
        </w:rPr>
        <w:t>232.09  ت - تیم-بووند: تاریخ تکمیل را ارائه دهید.</w:t>
      </w:r>
    </w:p>
    <w:p>
      <w:pPr>
        <w:spacing w:after="28" w:line="216" w:lineRule="auto"/>
        <w:ind w:left="259"/>
        <w:jc w:val="left"/>
      </w:pPr>
      <w:r>
        <w:rPr>
          <w:rFonts w:ascii="Arial" w:hAnsi="Arial"/>
          <w:color w:val="525252"/>
          <w:sz w:val="13"/>
        </w:rPr>
        <w:t>T - Time-Bound: Provide date for completion.</w:t>
      </w:r>
    </w:p>
    <w:p>
      <w:pPr>
        <w:spacing w:after="20" w:line="223" w:lineRule="auto"/>
        <w:jc w:val="right"/>
        <w:bidi/>
      </w:pPr>
      <w:r>
        <w:rPr>
          <w:rFonts w:ascii="Arial" w:hAnsi="Arial"/>
          <w:sz w:val="16"/>
        </w:rPr>
        <w:t>232.10  تاریخ‌های هدفمند پاسخگویی دوره‌ای و کلی را ارائه می‌دهند.</w:t>
      </w:r>
    </w:p>
    <w:p>
      <w:pPr>
        <w:spacing w:after="28" w:line="216" w:lineRule="auto"/>
        <w:ind w:left="259"/>
        <w:jc w:val="left"/>
      </w:pPr>
      <w:r>
        <w:rPr>
          <w:rFonts w:ascii="Arial" w:hAnsi="Arial"/>
          <w:color w:val="525252"/>
          <w:sz w:val="13"/>
        </w:rPr>
        <w:t>Targeted dates provide periodic and overall accountability.</w:t>
      </w:r>
    </w:p>
    <w:p>
      <w:pPr>
        <w:spacing w:after="20" w:line="223" w:lineRule="auto"/>
        <w:jc w:val="right"/>
        <w:bidi/>
      </w:pPr>
      <w:r>
        <w:rPr>
          <w:rFonts w:ascii="Arial" w:hAnsi="Arial"/>
          <w:sz w:val="16"/>
        </w:rPr>
        <w:t>232.11  در حالی که هدف گذاری می‌تواند عملکرد فردی و گروهی را بهبود بخشد، کار وابسته به هم ممکن است نیاز به تمرکز بر نحوه مشارکت افراد در گروه داشته باشد (اهداف "گروه محور").</w:t>
      </w:r>
    </w:p>
    <w:p>
      <w:pPr>
        <w:spacing w:after="28" w:line="216" w:lineRule="auto"/>
        <w:ind w:left="259"/>
        <w:jc w:val="left"/>
      </w:pPr>
      <w:r>
        <w:rPr>
          <w:rFonts w:ascii="Arial" w:hAnsi="Arial"/>
          <w:color w:val="525252"/>
          <w:sz w:val="13"/>
        </w:rPr>
        <w:t>While goal setting can improve both individual and group performance, interdependent work may require a focus on how individuals contribute to the group (“group-centric” goals).</w:t>
      </w:r>
    </w:p>
    <w:p>
      <w:pPr>
        <w:spacing w:after="20" w:line="223" w:lineRule="auto"/>
        <w:jc w:val="right"/>
        <w:bidi/>
      </w:pPr>
      <w:r>
        <w:rPr>
          <w:rFonts w:ascii="Arial" w:hAnsi="Arial"/>
          <w:sz w:val="16"/>
        </w:rPr>
        <w:t>232.12  اهدافی که به شدت بر به حداکثر رساندن نتایج فردی متمرکز هستند (اهداف "من محور") ممکن است در صورت نیاز به همکاری نتیجه معکوس داشته باشند.</w:t>
      </w:r>
    </w:p>
    <w:p>
      <w:pPr>
        <w:spacing w:after="28" w:line="216" w:lineRule="auto"/>
        <w:ind w:left="259"/>
        <w:jc w:val="left"/>
      </w:pPr>
      <w:r>
        <w:rPr>
          <w:rFonts w:ascii="Arial" w:hAnsi="Arial"/>
          <w:color w:val="525252"/>
          <w:sz w:val="13"/>
        </w:rPr>
        <w:t>Goals that are strictly focused on maximizing individual results (“ego-centric” goals) may backfire when collaboration is needed.</w:t>
      </w:r>
    </w:p>
    <w:p>
      <w:pPr>
        <w:spacing w:after="20" w:line="223" w:lineRule="auto"/>
        <w:jc w:val="right"/>
        <w:bidi/>
      </w:pPr>
      <w:r>
        <w:rPr>
          <w:rFonts w:ascii="Arial" w:hAnsi="Arial"/>
          <w:sz w:val="16"/>
        </w:rPr>
        <w:t>232.13  برای مثال، مدیران ممکن است اهداف عددی را برای تکنسین‌های میز کمک تعیین کنند تا هر ماه تعداد معینی از بلیط‌های میز کمک را حل کنند.</w:t>
      </w:r>
    </w:p>
    <w:p>
      <w:pPr>
        <w:spacing w:after="28" w:line="216" w:lineRule="auto"/>
        <w:ind w:left="259"/>
        <w:jc w:val="left"/>
      </w:pPr>
      <w:r>
        <w:rPr>
          <w:rFonts w:ascii="Arial" w:hAnsi="Arial"/>
          <w:color w:val="525252"/>
          <w:sz w:val="13"/>
        </w:rPr>
        <w:t>For example, managers may set numeric goals for help desk technicians to resolve a certain number of help desk tickets each month.</w:t>
      </w:r>
    </w:p>
    <w:p>
      <w:pPr>
        <w:spacing w:after="20" w:line="223" w:lineRule="auto"/>
        <w:jc w:val="right"/>
        <w:bidi/>
      </w:pPr>
      <w:r>
        <w:rPr>
          <w:rFonts w:ascii="Arial" w:hAnsi="Arial"/>
          <w:sz w:val="16"/>
        </w:rPr>
        <w:t>232.14  اهداف «خودمحورانه» برای هر یک از کارمندان برای حل تعداد معینی از بلیط‌ها ممکن است حمایت از سایر اعضای تیم را از بین ببرد، مانند آموزش و مربیگری اعضای جدید تیم.</w:t>
      </w:r>
    </w:p>
    <w:p>
      <w:pPr>
        <w:spacing w:after="28" w:line="216" w:lineRule="auto"/>
        <w:ind w:left="259"/>
        <w:jc w:val="left"/>
      </w:pPr>
      <w:r>
        <w:rPr>
          <w:rFonts w:ascii="Arial" w:hAnsi="Arial"/>
          <w:color w:val="525252"/>
          <w:sz w:val="13"/>
        </w:rPr>
        <w:t>“Egocentric” goals for each individual employee to resolve a certain number of tickets may disincentivize support to other team members, such as training and coaching new team members.</w:t>
      </w:r>
    </w:p>
    <w:p>
      <w:pPr>
        <w:spacing w:after="20" w:line="223" w:lineRule="auto"/>
        <w:jc w:val="right"/>
        <w:bidi/>
      </w:pPr>
      <w:r>
        <w:rPr>
          <w:rFonts w:ascii="Arial" w:hAnsi="Arial"/>
          <w:sz w:val="16"/>
        </w:rPr>
        <w:t>232.15  اهداف "گروه محور" برای کل واحد کاری برای حل تعداد معینی از بلیط‌ها ممکن است با انگیزه ذاتی برای پردازش بلیط‌ها به صورت جداگانه و ارائه پشتیبانی که به سایر اعضای تیم کمک می‌کند تا بلیط‌ها را نیز حل کنند، عملکرد کلی را افزایش می‌دهد.</w:t>
      </w:r>
    </w:p>
    <w:p>
      <w:pPr>
        <w:spacing w:after="28" w:line="216" w:lineRule="auto"/>
        <w:ind w:left="259"/>
        <w:jc w:val="left"/>
      </w:pPr>
      <w:r>
        <w:rPr>
          <w:rFonts w:ascii="Arial" w:hAnsi="Arial"/>
          <w:color w:val="525252"/>
          <w:sz w:val="13"/>
        </w:rPr>
        <w:t>“Group-centric” goals for an entire work unit to resolve a certain number of tickets may be more likely to increase overall performance, by inherently incentivizing both processing tickets individually and providing support that will help other team members resolve tickets as well.</w:t>
      </w:r>
    </w:p>
    <w:p>
      <w:r>
        <w:br w:type="page"/>
      </w:r>
    </w:p>
    <w:p>
      <w:pPr>
        <w:spacing w:after="60"/>
        <w:jc w:val="right"/>
        <w:bidi/>
      </w:pPr>
      <w:r>
        <w:rPr>
          <w:rFonts w:ascii="Arial" w:hAnsi="Arial"/>
          <w:b/>
          <w:color w:val="1F4D78"/>
          <w:sz w:val="19"/>
        </w:rPr>
        <w:t>هفتهٔ 233  |  صفحهٔ منبع: 249</w:t>
      </w:r>
    </w:p>
    <w:p>
      <w:pPr>
        <w:spacing w:before="60" w:after="28"/>
        <w:jc w:val="right"/>
        <w:bidi/>
      </w:pPr>
      <w:r>
        <w:rPr>
          <w:b/>
          <w:color w:val="1F4D78"/>
          <w:sz w:val="18"/>
        </w:rPr>
        <w:t>بخش 13B-منابع و ساختار سازمانی</w:t>
      </w:r>
    </w:p>
    <w:p>
      <w:pPr>
        <w:spacing w:after="20"/>
        <w:ind w:left="259"/>
        <w:jc w:val="left"/>
      </w:pPr>
      <w:r>
        <w:rPr>
          <w:color w:val="555555"/>
          <w:sz w:val="12"/>
        </w:rPr>
        <w:t>Section 13B—Resources and Organizational Structure</w:t>
      </w:r>
    </w:p>
    <w:p>
      <w:pPr>
        <w:spacing w:before="60" w:after="28"/>
        <w:jc w:val="right"/>
        <w:bidi/>
      </w:pPr>
      <w:r>
        <w:rPr>
          <w:b/>
          <w:color w:val="1F4D78"/>
          <w:sz w:val="18"/>
        </w:rPr>
        <w:t>13.6. مدیریت منابع</w:t>
      </w:r>
    </w:p>
    <w:p>
      <w:pPr>
        <w:spacing w:after="20"/>
        <w:ind w:left="259"/>
        <w:jc w:val="left"/>
      </w:pPr>
      <w:r>
        <w:rPr>
          <w:color w:val="555555"/>
          <w:sz w:val="12"/>
        </w:rPr>
        <w:t>13.6. Resource Management</w:t>
      </w:r>
    </w:p>
    <w:p>
      <w:pPr>
        <w:spacing w:after="20" w:line="223" w:lineRule="auto"/>
        <w:jc w:val="right"/>
        <w:bidi/>
      </w:pPr>
      <w:r>
        <w:rPr>
          <w:rFonts w:ascii="Arial" w:hAnsi="Arial"/>
          <w:sz w:val="16"/>
        </w:rPr>
        <w:t>233.03  بهبود عملکرد هم نیاز به برنامه‌ریزی و هم اجرا دارد.</w:t>
      </w:r>
    </w:p>
    <w:p>
      <w:pPr>
        <w:spacing w:after="28" w:line="216" w:lineRule="auto"/>
        <w:ind w:left="259"/>
        <w:jc w:val="left"/>
      </w:pPr>
      <w:r>
        <w:rPr>
          <w:rFonts w:ascii="Arial" w:hAnsi="Arial"/>
          <w:color w:val="525252"/>
          <w:sz w:val="13"/>
        </w:rPr>
        <w:t>Improving performance requires both planning and execution.</w:t>
      </w:r>
    </w:p>
    <w:p>
      <w:pPr>
        <w:spacing w:after="20" w:line="223" w:lineRule="auto"/>
        <w:jc w:val="right"/>
        <w:bidi/>
      </w:pPr>
      <w:r>
        <w:rPr>
          <w:rFonts w:ascii="Arial" w:hAnsi="Arial"/>
          <w:sz w:val="16"/>
        </w:rPr>
        <w:t>233.04  برای اینکه تغییر سازمانی مؤثر باشد، برنامه‌ریزی و اجرا به‌طور کلی باید شامل طراحی مجدد یا هماهنگی در پنج جبهه مرتبط زیر باشد.</w:t>
      </w:r>
    </w:p>
    <w:p>
      <w:pPr>
        <w:spacing w:after="28" w:line="216" w:lineRule="auto"/>
        <w:ind w:left="259"/>
        <w:jc w:val="left"/>
      </w:pPr>
      <w:r>
        <w:rPr>
          <w:rFonts w:ascii="Arial" w:hAnsi="Arial"/>
          <w:color w:val="525252"/>
          <w:sz w:val="13"/>
        </w:rPr>
        <w:t>For organizational change to be effective, planning and execution generally must include redesign or coordination on the following five interrelated fronts.</w:t>
      </w:r>
    </w:p>
    <w:p>
      <w:pPr>
        <w:spacing w:after="20" w:line="223" w:lineRule="auto"/>
        <w:jc w:val="right"/>
        <w:bidi/>
      </w:pPr>
      <w:r>
        <w:rPr>
          <w:rFonts w:ascii="Arial" w:hAnsi="Arial"/>
          <w:sz w:val="16"/>
        </w:rPr>
        <w:t>233.05  سازمان و مردم.</w:t>
      </w:r>
    </w:p>
    <w:p>
      <w:pPr>
        <w:spacing w:after="28" w:line="216" w:lineRule="auto"/>
        <w:ind w:left="259"/>
        <w:jc w:val="left"/>
      </w:pPr>
      <w:r>
        <w:rPr>
          <w:rFonts w:ascii="Arial" w:hAnsi="Arial"/>
          <w:color w:val="525252"/>
          <w:sz w:val="13"/>
        </w:rPr>
        <w:t>Organization and People.</w:t>
      </w:r>
    </w:p>
    <w:p>
      <w:pPr>
        <w:spacing w:after="20" w:line="223" w:lineRule="auto"/>
        <w:jc w:val="right"/>
        <w:bidi/>
      </w:pPr>
      <w:r>
        <w:rPr>
          <w:rFonts w:ascii="Arial" w:hAnsi="Arial"/>
          <w:sz w:val="16"/>
        </w:rPr>
        <w:t>233.06  منابع انسانی کلید زنده ماندن آینده و رشد سازمانی در یک محیط یادگیری مستمر هستند.</w:t>
      </w:r>
    </w:p>
    <w:p>
      <w:pPr>
        <w:spacing w:after="28" w:line="216" w:lineRule="auto"/>
        <w:ind w:left="259"/>
        <w:jc w:val="left"/>
      </w:pPr>
      <w:r>
        <w:rPr>
          <w:rFonts w:ascii="Arial" w:hAnsi="Arial"/>
          <w:color w:val="525252"/>
          <w:sz w:val="13"/>
        </w:rPr>
        <w:t>Human resources are the key to future viability and organizational growth in a continuous learning environment.</w:t>
      </w:r>
    </w:p>
    <w:p>
      <w:pPr>
        <w:spacing w:after="20" w:line="223" w:lineRule="auto"/>
        <w:jc w:val="right"/>
        <w:bidi/>
      </w:pPr>
      <w:r>
        <w:rPr>
          <w:rFonts w:ascii="Arial" w:hAnsi="Arial"/>
          <w:sz w:val="16"/>
        </w:rPr>
        <w:t>233.07  اگرچه ممکن است فرآیندها و سایر عوامل اصلی تغییر کنند، اما تمرکز باید بر روی ارائه دانش، مهارت، تجربیات و ابزار مناسب برای کارگران باقی بماند.</w:t>
      </w:r>
    </w:p>
    <w:p>
      <w:pPr>
        <w:spacing w:after="28" w:line="216" w:lineRule="auto"/>
        <w:ind w:left="259"/>
        <w:jc w:val="left"/>
      </w:pPr>
      <w:r>
        <w:rPr>
          <w:rFonts w:ascii="Arial" w:hAnsi="Arial"/>
          <w:color w:val="525252"/>
          <w:sz w:val="13"/>
        </w:rPr>
        <w:t>Although processes and other front factors may change, focus should remain on providing workers with appropriate knowledge, skills, experiences, and tools.</w:t>
      </w:r>
    </w:p>
    <w:p>
      <w:pPr>
        <w:spacing w:after="20" w:line="223" w:lineRule="auto"/>
        <w:jc w:val="right"/>
        <w:bidi/>
      </w:pPr>
      <w:r>
        <w:rPr>
          <w:rFonts w:ascii="Arial" w:hAnsi="Arial"/>
          <w:sz w:val="16"/>
        </w:rPr>
        <w:t>233.08  فناوری.</w:t>
      </w:r>
    </w:p>
    <w:p>
      <w:pPr>
        <w:spacing w:after="28" w:line="216" w:lineRule="auto"/>
        <w:ind w:left="259"/>
        <w:jc w:val="left"/>
      </w:pPr>
      <w:r>
        <w:rPr>
          <w:rFonts w:ascii="Arial" w:hAnsi="Arial"/>
          <w:color w:val="525252"/>
          <w:sz w:val="13"/>
        </w:rPr>
        <w:t>Technology.</w:t>
      </w:r>
    </w:p>
    <w:p>
      <w:pPr>
        <w:spacing w:after="20" w:line="223" w:lineRule="auto"/>
        <w:jc w:val="right"/>
        <w:bidi/>
      </w:pPr>
      <w:r>
        <w:rPr>
          <w:rFonts w:ascii="Arial" w:hAnsi="Arial"/>
          <w:sz w:val="16"/>
        </w:rPr>
        <w:t>233.09  فناوری یک عامل توانمند کننده حیاتی است که امکان فشرده سازی چرخه‌ها، زمان هدایت، مسافت و دسترسی گسترده‌تر به اطلاعات و دارایی‌های دانش را فراهم می‌کند.</w:t>
      </w:r>
    </w:p>
    <w:p>
      <w:pPr>
        <w:spacing w:after="28" w:line="216" w:lineRule="auto"/>
        <w:ind w:left="259"/>
        <w:jc w:val="left"/>
      </w:pPr>
      <w:r>
        <w:rPr>
          <w:rFonts w:ascii="Arial" w:hAnsi="Arial"/>
          <w:color w:val="525252"/>
          <w:sz w:val="13"/>
        </w:rPr>
        <w:t>Technology is a crucial enabling factor that allows compression of cycles, lead time, distance, and broader access to information and knowledge assets.</w:t>
      </w:r>
    </w:p>
    <w:p>
      <w:pPr>
        <w:spacing w:after="20" w:line="223" w:lineRule="auto"/>
        <w:jc w:val="right"/>
        <w:bidi/>
      </w:pPr>
      <w:r>
        <w:rPr>
          <w:rFonts w:ascii="Arial" w:hAnsi="Arial"/>
          <w:sz w:val="16"/>
        </w:rPr>
        <w:t>233.10  فناوری همچنین موانع بین مشتریان و تأمین کنندگان را از بین می‌برد.</w:t>
      </w:r>
    </w:p>
    <w:p>
      <w:pPr>
        <w:spacing w:after="28" w:line="216" w:lineRule="auto"/>
        <w:ind w:left="259"/>
        <w:jc w:val="left"/>
      </w:pPr>
      <w:r>
        <w:rPr>
          <w:rFonts w:ascii="Arial" w:hAnsi="Arial"/>
          <w:color w:val="525252"/>
          <w:sz w:val="13"/>
        </w:rPr>
        <w:t>Technology also eliminates barriers between customers and suppliers.</w:t>
      </w:r>
    </w:p>
    <w:p>
      <w:pPr>
        <w:spacing w:after="20" w:line="223" w:lineRule="auto"/>
        <w:jc w:val="right"/>
        <w:bidi/>
      </w:pPr>
      <w:r>
        <w:rPr>
          <w:rFonts w:ascii="Arial" w:hAnsi="Arial"/>
          <w:sz w:val="16"/>
        </w:rPr>
        <w:t>233.11  سیاست‌ها، قوانین و مقررات.</w:t>
      </w:r>
    </w:p>
    <w:p>
      <w:pPr>
        <w:spacing w:after="28" w:line="216" w:lineRule="auto"/>
        <w:ind w:left="259"/>
        <w:jc w:val="left"/>
      </w:pPr>
      <w:r>
        <w:rPr>
          <w:rFonts w:ascii="Arial" w:hAnsi="Arial"/>
          <w:color w:val="525252"/>
          <w:sz w:val="13"/>
        </w:rPr>
        <w:t>Policies, Legislation, and Regulations.</w:t>
      </w:r>
    </w:p>
    <w:p>
      <w:pPr>
        <w:spacing w:after="20" w:line="223" w:lineRule="auto"/>
        <w:jc w:val="right"/>
        <w:bidi/>
      </w:pPr>
      <w:r>
        <w:rPr>
          <w:rFonts w:ascii="Arial" w:hAnsi="Arial"/>
          <w:sz w:val="16"/>
        </w:rPr>
        <w:t>233.12  تغییر سیاست‌ها، مقررات و قوانین موجود ممکن است برای فرآیندهای جدید مورد نیاز باشد.</w:t>
      </w:r>
    </w:p>
    <w:p>
      <w:pPr>
        <w:spacing w:after="28" w:line="216" w:lineRule="auto"/>
        <w:ind w:left="259"/>
        <w:jc w:val="left"/>
      </w:pPr>
      <w:r>
        <w:rPr>
          <w:rFonts w:ascii="Arial" w:hAnsi="Arial"/>
          <w:color w:val="525252"/>
          <w:sz w:val="13"/>
        </w:rPr>
        <w:t>Changing existing policies, regulations, and legislation may be required for new processes.</w:t>
      </w:r>
    </w:p>
    <w:p>
      <w:pPr>
        <w:spacing w:after="20" w:line="223" w:lineRule="auto"/>
        <w:jc w:val="right"/>
        <w:bidi/>
      </w:pPr>
      <w:r>
        <w:rPr>
          <w:rFonts w:ascii="Arial" w:hAnsi="Arial"/>
          <w:sz w:val="16"/>
        </w:rPr>
        <w:t>233.13  زیرساخت فیزیکی.</w:t>
      </w:r>
    </w:p>
    <w:p>
      <w:pPr>
        <w:spacing w:after="28" w:line="216" w:lineRule="auto"/>
        <w:ind w:left="259"/>
        <w:jc w:val="left"/>
      </w:pPr>
      <w:r>
        <w:rPr>
          <w:rFonts w:ascii="Arial" w:hAnsi="Arial"/>
          <w:color w:val="525252"/>
          <w:sz w:val="13"/>
        </w:rPr>
        <w:t>Physical Infrastructure.</w:t>
      </w:r>
    </w:p>
    <w:p>
      <w:pPr>
        <w:spacing w:after="20" w:line="223" w:lineRule="auto"/>
        <w:jc w:val="right"/>
        <w:bidi/>
      </w:pPr>
      <w:r>
        <w:rPr>
          <w:rFonts w:ascii="Arial" w:hAnsi="Arial"/>
          <w:sz w:val="16"/>
        </w:rPr>
        <w:t>233.14  امکانات فیزیکی، تجهیزات و ابزار باید برای پشتیبانی و به حداکثر رساندن تغییرات در گردش کار، فناوری اطلاعات و منابع انسانی طراحی شوند.</w:t>
      </w:r>
    </w:p>
    <w:p>
      <w:pPr>
        <w:spacing w:after="28" w:line="216" w:lineRule="auto"/>
        <w:ind w:left="259"/>
        <w:jc w:val="left"/>
      </w:pPr>
      <w:r>
        <w:rPr>
          <w:rFonts w:ascii="Arial" w:hAnsi="Arial"/>
          <w:color w:val="525252"/>
          <w:sz w:val="13"/>
        </w:rPr>
        <w:t>Physical facilities, equipment, and tools should be designed to support and maximize changes in workflow, information technology, and human resources.</w:t>
      </w:r>
    </w:p>
    <w:p>
      <w:pPr>
        <w:spacing w:after="20" w:line="223" w:lineRule="auto"/>
        <w:jc w:val="right"/>
        <w:bidi/>
      </w:pPr>
      <w:r>
        <w:rPr>
          <w:rFonts w:ascii="Arial" w:hAnsi="Arial"/>
          <w:sz w:val="16"/>
        </w:rPr>
        <w:t>233.15  فرآیند.</w:t>
      </w:r>
    </w:p>
    <w:p>
      <w:pPr>
        <w:spacing w:after="28" w:line="216" w:lineRule="auto"/>
        <w:ind w:left="259"/>
        <w:jc w:val="left"/>
      </w:pPr>
      <w:r>
        <w:rPr>
          <w:rFonts w:ascii="Arial" w:hAnsi="Arial"/>
          <w:color w:val="525252"/>
          <w:sz w:val="13"/>
        </w:rPr>
        <w:t>Process.</w:t>
      </w:r>
    </w:p>
    <w:p>
      <w:pPr>
        <w:spacing w:after="20" w:line="223" w:lineRule="auto"/>
        <w:jc w:val="right"/>
        <w:bidi/>
      </w:pPr>
      <w:r>
        <w:rPr>
          <w:rFonts w:ascii="Arial" w:hAnsi="Arial"/>
          <w:sz w:val="16"/>
        </w:rPr>
        <w:t>233.16  جریان کار و اطلاعات در داخل و سراسر سازمان باید با استفاده از روش‌های استاندارد بهبود مستمر فرآیند طراحی شود.</w:t>
      </w:r>
    </w:p>
    <w:p>
      <w:pPr>
        <w:spacing w:after="28" w:line="216" w:lineRule="auto"/>
        <w:ind w:left="259"/>
        <w:jc w:val="left"/>
      </w:pPr>
      <w:r>
        <w:rPr>
          <w:rFonts w:ascii="Arial" w:hAnsi="Arial"/>
          <w:color w:val="525252"/>
          <w:sz w:val="13"/>
        </w:rPr>
        <w:t>The flow of work and information into and throughout the organization must be redesigned using standard continuous process improvement methodologies.</w:t>
      </w:r>
    </w:p>
    <w:p>
      <w:pPr>
        <w:spacing w:after="20" w:line="223" w:lineRule="auto"/>
        <w:jc w:val="right"/>
        <w:bidi/>
      </w:pPr>
      <w:r>
        <w:rPr>
          <w:rFonts w:ascii="Arial" w:hAnsi="Arial"/>
          <w:sz w:val="16"/>
        </w:rPr>
        <w:t>233.17  مراجعه کنید به دودد ۵۰۱۰.۴۲، دود-وید کونتینوووس پروکسس یمپروومنت (CPI)/لان سیکس سیگما (LSS) و دودی ۵۰۱۰.۴۳، پیاده‌سازی و مدیریت دود-وید کونتینوووس پروکسس یمپروومنت/لان سیگما پروکسس یمپروومنت/لان سیگما فور مور/سسپسل روش شناسی</w:t>
      </w:r>
    </w:p>
    <w:p>
      <w:pPr>
        <w:spacing w:after="28" w:line="216" w:lineRule="auto"/>
        <w:ind w:left="259"/>
        <w:jc w:val="left"/>
      </w:pPr>
      <w:r>
        <w:rPr>
          <w:rFonts w:ascii="Arial" w:hAnsi="Arial"/>
          <w:color w:val="525252"/>
          <w:sz w:val="13"/>
        </w:rPr>
        <w:t>Refer to DoDD 5010.42, DoD-Wide Continuous Process Improvement (CPI)/Lean Six Sigma (LSS) Program and DoDI 5010.43, Implementation and Management of the DoD-Wide Continuous Process Improvement/Lean Six Sigma (CPI/LSS) Program, for more continuous process improvement methodologies.</w:t>
      </w:r>
    </w:p>
    <w:p>
      <w:pPr>
        <w:spacing w:before="60" w:after="28"/>
        <w:jc w:val="right"/>
        <w:bidi/>
      </w:pPr>
      <w:r>
        <w:rPr>
          <w:b/>
          <w:color w:val="1F4D78"/>
          <w:sz w:val="18"/>
        </w:rPr>
        <w:t>13.7. دکترین، سازمان، آموزش، مواد، رهبری و آموزش، پرسنل، و</w:t>
      </w:r>
    </w:p>
    <w:p>
      <w:pPr>
        <w:spacing w:after="20"/>
        <w:ind w:left="259"/>
        <w:jc w:val="left"/>
      </w:pPr>
      <w:r>
        <w:rPr>
          <w:color w:val="555555"/>
          <w:sz w:val="12"/>
        </w:rPr>
        <w:t>13.7. Doctrine, Organization, Training, Material, Leadership and Education, Personnel, and</w:t>
      </w:r>
    </w:p>
    <w:p>
      <w:pPr>
        <w:spacing w:after="20" w:line="223" w:lineRule="auto"/>
        <w:jc w:val="right"/>
        <w:bidi/>
      </w:pPr>
      <w:r>
        <w:rPr>
          <w:rFonts w:ascii="Arial" w:hAnsi="Arial"/>
          <w:sz w:val="16"/>
        </w:rPr>
        <w:t>233.19  تسهیلات (DOTMLPF) مخفف DOTMLPF توسط وزارت دفاع برای توصیف یک فرآیند فکری استفاده می‌شود که طیف وسیعی از عناصر یا الزامات را برای ایجاد راه‌حل‌های آگاهانه و قطعی برای مشکلات، الزامات آینده، جهت‌گیری استراتژیک و بهبود عملکرد در نظر می‌گیرد.</w:t>
      </w:r>
    </w:p>
    <w:p>
      <w:pPr>
        <w:spacing w:after="28" w:line="216" w:lineRule="auto"/>
        <w:ind w:left="259"/>
        <w:jc w:val="left"/>
      </w:pPr>
      <w:r>
        <w:rPr>
          <w:rFonts w:ascii="Arial" w:hAnsi="Arial"/>
          <w:color w:val="525252"/>
          <w:sz w:val="13"/>
        </w:rPr>
        <w:t>Facilities (DOTMLPF) The acronym, DOTMLPF is used by the Department of Defense to describe a thought process that considers a broad spectrum of elements or requirements to generate informed, conclusive solutions to problems, future requirements, strategic direction, and performance improvement.</w:t>
      </w:r>
    </w:p>
    <w:p>
      <w:pPr>
        <w:spacing w:after="20" w:line="223" w:lineRule="auto"/>
        <w:jc w:val="right"/>
        <w:bidi/>
      </w:pPr>
      <w:r>
        <w:rPr>
          <w:rFonts w:ascii="Arial" w:hAnsi="Arial"/>
          <w:sz w:val="16"/>
        </w:rPr>
        <w:t>233.20  DOTMLPF به‌عنوان فرآیندی تعریف می‌شود که راه‌حل‌هایی را شامل هر ترکیبی از این عناصر در نظر می‌گیرد.</w:t>
      </w:r>
    </w:p>
    <w:p>
      <w:pPr>
        <w:spacing w:after="28" w:line="216" w:lineRule="auto"/>
        <w:ind w:left="259"/>
        <w:jc w:val="left"/>
      </w:pPr>
      <w:r>
        <w:rPr>
          <w:rFonts w:ascii="Arial" w:hAnsi="Arial"/>
          <w:color w:val="525252"/>
          <w:sz w:val="13"/>
        </w:rPr>
        <w:t>DOTMLPF is defined as a process that considers solutions involving any combination of these elements.</w:t>
      </w:r>
    </w:p>
    <w:p>
      <w:pPr>
        <w:spacing w:after="20" w:line="223" w:lineRule="auto"/>
        <w:jc w:val="right"/>
        <w:bidi/>
      </w:pPr>
      <w:r>
        <w:rPr>
          <w:rFonts w:ascii="Arial" w:hAnsi="Arial"/>
          <w:sz w:val="16"/>
        </w:rPr>
        <w:t>233.21  DOTMLPF به‌عنوان یک یادگاری ارزشمند برای برنامه ریزان کارکنان عمل می‌کند تا قبل از انجام تلاش‌های جدید، مسائل خاصی را در نظر بگیرند.</w:t>
      </w:r>
    </w:p>
    <w:p>
      <w:pPr>
        <w:spacing w:after="28" w:line="216" w:lineRule="auto"/>
        <w:ind w:left="259"/>
        <w:jc w:val="left"/>
      </w:pPr>
      <w:r>
        <w:rPr>
          <w:rFonts w:ascii="Arial" w:hAnsi="Arial"/>
          <w:color w:val="525252"/>
          <w:sz w:val="13"/>
        </w:rPr>
        <w:t>DOTMLPF serves as a valuable mnemonic for staff planners to consider for certain issues prior to undertaking new efforts.</w:t>
      </w:r>
    </w:p>
    <w:p>
      <w:pPr>
        <w:spacing w:after="20" w:line="223" w:lineRule="auto"/>
        <w:jc w:val="right"/>
        <w:bidi/>
      </w:pPr>
      <w:r>
        <w:rPr>
          <w:rFonts w:ascii="Arial" w:hAnsi="Arial"/>
          <w:sz w:val="16"/>
        </w:rPr>
        <w:t>233.22  از آنجایی که فرماندهان رزمنده الزامات را با مشورت دفتر وزیر دفاع تعریف می‌کنند، می‌توانند شکاف‌هایی را در زمینه جهت‌گیری استراتژیک برای نیروهای مسلح ایالات متحده در نظر بگیرند و بر جهت الزامات قبل از فرآیند اکتساب تأثیر بگذارند.</w:t>
      </w:r>
    </w:p>
    <w:p>
      <w:pPr>
        <w:spacing w:after="28" w:line="216" w:lineRule="auto"/>
        <w:ind w:left="259"/>
        <w:jc w:val="left"/>
      </w:pPr>
      <w:r>
        <w:rPr>
          <w:rFonts w:ascii="Arial" w:hAnsi="Arial"/>
          <w:color w:val="525252"/>
          <w:sz w:val="13"/>
        </w:rPr>
        <w:t>Because combatant commanders define requirements in consultation with the Office of the Secretary of Defense, they are able to consider gaps in the context of strategic direction for the U.S. Armed Forces and influence the direction of requirements earlier in the acquisition process.</w:t>
      </w:r>
    </w:p>
    <w:p>
      <w:pPr>
        <w:spacing w:after="20" w:line="223" w:lineRule="auto"/>
        <w:jc w:val="right"/>
        <w:bidi/>
      </w:pPr>
      <w:r>
        <w:rPr>
          <w:rFonts w:ascii="Arial" w:hAnsi="Arial"/>
          <w:sz w:val="16"/>
        </w:rPr>
        <w:t>233.23  در اینجا مثالی از نحوه تفسیر DOTMLPF در زمینه نظامی آورده شده است: دکترین: نحوه مبارزه ما (با تاکید بر جنگ مانور، کمپین‌های ترکیبی هوا-زمین).</w:t>
      </w:r>
    </w:p>
    <w:p>
      <w:pPr>
        <w:spacing w:after="28" w:line="216" w:lineRule="auto"/>
        <w:ind w:left="259"/>
        <w:jc w:val="left"/>
      </w:pPr>
      <w:r>
        <w:rPr>
          <w:rFonts w:ascii="Arial" w:hAnsi="Arial"/>
          <w:color w:val="525252"/>
          <w:sz w:val="13"/>
        </w:rPr>
        <w:t>Here is an example of how DOTMLPF would be interpreted in the military context: Doctrine: The way we fight (emphasizing maneuver warfare, combined air-ground campaigns).</w:t>
      </w:r>
    </w:p>
    <w:p>
      <w:pPr>
        <w:spacing w:after="20" w:line="223" w:lineRule="auto"/>
        <w:jc w:val="right"/>
        <w:bidi/>
      </w:pPr>
      <w:r>
        <w:rPr>
          <w:rFonts w:ascii="Arial" w:hAnsi="Arial"/>
          <w:sz w:val="16"/>
        </w:rPr>
        <w:t>233.24  سازمان: نحوه سازماندهی مبارزه (لشکرها، بالهای هوایی، نیروهای ضربت).</w:t>
      </w:r>
    </w:p>
    <w:p>
      <w:pPr>
        <w:spacing w:after="28" w:line="216" w:lineRule="auto"/>
        <w:ind w:left="259"/>
        <w:jc w:val="left"/>
      </w:pPr>
      <w:r>
        <w:rPr>
          <w:rFonts w:ascii="Arial" w:hAnsi="Arial"/>
          <w:color w:val="525252"/>
          <w:sz w:val="13"/>
        </w:rPr>
        <w:t>Organization: How we organize the fight (divisions, air wings, task forces).</w:t>
      </w:r>
    </w:p>
    <w:p>
      <w:pPr>
        <w:spacing w:after="20" w:line="223" w:lineRule="auto"/>
        <w:jc w:val="right"/>
        <w:bidi/>
      </w:pPr>
      <w:r>
        <w:rPr>
          <w:rFonts w:ascii="Arial" w:hAnsi="Arial"/>
          <w:sz w:val="16"/>
        </w:rPr>
        <w:t>233.25  آموزش: نحوه آماده شدن برای مبارزه تاکتیکی (آموزش نظامی پایه، آموزش فردی پیشرفته، آموزش یگان، تمرینات مشترک).</w:t>
      </w:r>
    </w:p>
    <w:p>
      <w:pPr>
        <w:spacing w:after="28" w:line="216" w:lineRule="auto"/>
        <w:ind w:left="259"/>
        <w:jc w:val="left"/>
      </w:pPr>
      <w:r>
        <w:rPr>
          <w:rFonts w:ascii="Arial" w:hAnsi="Arial"/>
          <w:color w:val="525252"/>
          <w:sz w:val="13"/>
        </w:rPr>
        <w:t>Training: How we prepare to fight tactically (basic military training, advanced individual training, unit training, joint exercises).</w:t>
      </w:r>
    </w:p>
    <w:p>
      <w:pPr>
        <w:spacing w:after="20" w:line="223" w:lineRule="auto"/>
        <w:jc w:val="right"/>
        <w:bidi/>
      </w:pPr>
      <w:r>
        <w:rPr>
          <w:rFonts w:ascii="Arial" w:hAnsi="Arial"/>
          <w:sz w:val="16"/>
        </w:rPr>
        <w:t>233.26  مواد: تمام "موارد" لازم برای تجهیز نیروها (سلاح‌ها، قطعات یدکی) تا بتوانیم عملیات کنیم.</w:t>
      </w:r>
    </w:p>
    <w:p>
      <w:pPr>
        <w:spacing w:after="28" w:line="216" w:lineRule="auto"/>
        <w:ind w:left="259"/>
        <w:jc w:val="left"/>
      </w:pPr>
      <w:r>
        <w:rPr>
          <w:rFonts w:ascii="Arial" w:hAnsi="Arial"/>
          <w:color w:val="525252"/>
          <w:sz w:val="13"/>
        </w:rPr>
        <w:t>Materiel: All the ‘stuff’ necessary to equip the forces (weapons, spares) so we can operate</w:t>
      </w:r>
    </w:p>
    <w:p>
      <w:r>
        <w:br w:type="page"/>
      </w:r>
    </w:p>
    <w:p>
      <w:pPr>
        <w:spacing w:after="60"/>
        <w:jc w:val="right"/>
        <w:bidi/>
      </w:pPr>
      <w:r>
        <w:rPr>
          <w:rFonts w:ascii="Arial" w:hAnsi="Arial"/>
          <w:b/>
          <w:color w:val="1F4D78"/>
          <w:sz w:val="19"/>
        </w:rPr>
        <w:t>هفتهٔ 234  |  صفحهٔ منبع: 250</w:t>
      </w:r>
    </w:p>
    <w:p>
      <w:pPr>
        <w:spacing w:after="20" w:line="223" w:lineRule="auto"/>
        <w:jc w:val="right"/>
        <w:bidi/>
      </w:pPr>
      <w:r>
        <w:rPr>
          <w:rFonts w:ascii="Arial" w:hAnsi="Arial"/>
          <w:sz w:val="16"/>
        </w:rPr>
        <w:t>234.01  به‌طور مؤثر.</w:t>
      </w:r>
    </w:p>
    <w:p>
      <w:pPr>
        <w:spacing w:after="28" w:line="216" w:lineRule="auto"/>
        <w:ind w:left="259"/>
        <w:jc w:val="left"/>
      </w:pPr>
      <w:r>
        <w:rPr>
          <w:rFonts w:ascii="Arial" w:hAnsi="Arial"/>
          <w:color w:val="525252"/>
          <w:sz w:val="13"/>
        </w:rPr>
        <w:t>effectively.</w:t>
      </w:r>
    </w:p>
    <w:p>
      <w:pPr>
        <w:spacing w:after="20" w:line="223" w:lineRule="auto"/>
        <w:jc w:val="right"/>
        <w:bidi/>
      </w:pPr>
      <w:r>
        <w:rPr>
          <w:rFonts w:ascii="Arial" w:hAnsi="Arial"/>
          <w:sz w:val="16"/>
        </w:rPr>
        <w:t>234.02  رهبری و آموزش: چگونه رهبران را برای رهبری مبارزه از رهبران گروه به چهار ستاره (توسعه حرفه‌ای) آماده می‌کنیم.</w:t>
      </w:r>
    </w:p>
    <w:p>
      <w:pPr>
        <w:spacing w:after="28" w:line="216" w:lineRule="auto"/>
        <w:ind w:left="259"/>
        <w:jc w:val="left"/>
      </w:pPr>
      <w:r>
        <w:rPr>
          <w:rFonts w:ascii="Arial" w:hAnsi="Arial"/>
          <w:color w:val="525252"/>
          <w:sz w:val="13"/>
        </w:rPr>
        <w:t>Leadership and Education: How we prepare leaders to lead the fight from squad leaders to four stars (professional development).</w:t>
      </w:r>
    </w:p>
    <w:p>
      <w:pPr>
        <w:spacing w:after="20" w:line="223" w:lineRule="auto"/>
        <w:jc w:val="right"/>
        <w:bidi/>
      </w:pPr>
      <w:r>
        <w:rPr>
          <w:rFonts w:ascii="Arial" w:hAnsi="Arial"/>
          <w:sz w:val="16"/>
        </w:rPr>
        <w:t>234.03  پرسنل: در دسترس بودن افراد واجد شرایط برای زمان صلح، زمان جنگ و عملیات‌های احتمالی مختلف.</w:t>
      </w:r>
    </w:p>
    <w:p>
      <w:pPr>
        <w:spacing w:after="28" w:line="216" w:lineRule="auto"/>
        <w:ind w:left="259"/>
        <w:jc w:val="left"/>
      </w:pPr>
      <w:r>
        <w:rPr>
          <w:rFonts w:ascii="Arial" w:hAnsi="Arial"/>
          <w:color w:val="525252"/>
          <w:sz w:val="13"/>
        </w:rPr>
        <w:t>Personnel: Availability of qualified people for peacetime, wartime, and various contingency operations.</w:t>
      </w:r>
    </w:p>
    <w:p>
      <w:pPr>
        <w:spacing w:after="20" w:line="223" w:lineRule="auto"/>
        <w:jc w:val="right"/>
        <w:bidi/>
      </w:pPr>
      <w:r>
        <w:rPr>
          <w:rFonts w:ascii="Arial" w:hAnsi="Arial"/>
          <w:sz w:val="16"/>
        </w:rPr>
        <w:t>234.04  امکانات: اموال غیرمنقول، تاسیسات و تاسیسات صنعتی (تاسیسات تولید مهمات متعلق به دولت) که نیروها را پشتیبانی می‌کنند.</w:t>
      </w:r>
    </w:p>
    <w:p>
      <w:pPr>
        <w:spacing w:after="28" w:line="216" w:lineRule="auto"/>
        <w:ind w:left="259"/>
        <w:jc w:val="left"/>
      </w:pPr>
      <w:r>
        <w:rPr>
          <w:rFonts w:ascii="Arial" w:hAnsi="Arial"/>
          <w:color w:val="525252"/>
          <w:sz w:val="13"/>
        </w:rPr>
        <w:t>Facilities: Real property, installations, and industrial facilities (government owned ammunition production facilities) that support the forces.</w:t>
      </w:r>
    </w:p>
    <w:p>
      <w:pPr>
        <w:spacing w:before="60" w:after="28"/>
        <w:jc w:val="right"/>
        <w:bidi/>
      </w:pPr>
      <w:r>
        <w:rPr>
          <w:b/>
          <w:color w:val="1F4D78"/>
          <w:sz w:val="18"/>
        </w:rPr>
        <w:t>13.8. ساختار سازمانی (تعادل دقیق با انعطاف پذیری)</w:t>
      </w:r>
    </w:p>
    <w:p>
      <w:pPr>
        <w:spacing w:after="20"/>
        <w:ind w:left="259"/>
        <w:jc w:val="left"/>
      </w:pPr>
      <w:r>
        <w:rPr>
          <w:color w:val="555555"/>
          <w:sz w:val="12"/>
        </w:rPr>
        <w:t>13.8. Organizational Structure (Balancing Precision with Flexibility)</w:t>
      </w:r>
    </w:p>
    <w:p>
      <w:pPr>
        <w:spacing w:after="20" w:line="223" w:lineRule="auto"/>
        <w:jc w:val="right"/>
        <w:bidi/>
      </w:pPr>
      <w:r>
        <w:rPr>
          <w:rFonts w:ascii="Arial" w:hAnsi="Arial"/>
          <w:sz w:val="16"/>
        </w:rPr>
        <w:t>234.06  طراحی سازمانی باید بر اساس مأموریت و استراتژی کلی سازمان با در نظر گرفتن محیط، اندازه و سرعت فناوری تعیین شود.</w:t>
      </w:r>
    </w:p>
    <w:p>
      <w:pPr>
        <w:spacing w:after="28" w:line="216" w:lineRule="auto"/>
        <w:ind w:left="259"/>
        <w:jc w:val="left"/>
      </w:pPr>
      <w:r>
        <w:rPr>
          <w:rFonts w:ascii="Arial" w:hAnsi="Arial"/>
          <w:color w:val="525252"/>
          <w:sz w:val="13"/>
        </w:rPr>
        <w:t>Organizational design should be determined based on the organization’s overall mission and strategy, taking into consideration the environment, size, and pace of technology.</w:t>
      </w:r>
    </w:p>
    <w:p>
      <w:pPr>
        <w:spacing w:after="20" w:line="223" w:lineRule="auto"/>
        <w:jc w:val="right"/>
        <w:bidi/>
      </w:pPr>
      <w:r>
        <w:rPr>
          <w:rFonts w:ascii="Arial" w:hAnsi="Arial"/>
          <w:sz w:val="16"/>
        </w:rPr>
        <w:t>234.07  در تعیین چگونگی ساختار یک سازمان، مهم است که بین نیاز به دقت (نیاز به حفظ نظم، کاهش ابهام و اطمینان از پیروی از جهت) و نیاز به انعطاف (نیاز بالقوه برای انطباق سریع و تشویق نوآوری) تعادل ایجاد شود.</w:t>
      </w:r>
    </w:p>
    <w:p>
      <w:pPr>
        <w:spacing w:after="28" w:line="216" w:lineRule="auto"/>
        <w:ind w:left="259"/>
        <w:jc w:val="left"/>
      </w:pPr>
      <w:r>
        <w:rPr>
          <w:rFonts w:ascii="Arial" w:hAnsi="Arial"/>
          <w:color w:val="525252"/>
          <w:sz w:val="13"/>
        </w:rPr>
        <w:t>In determining how an organization should be structured, it is important to balance the need for precision (need to maintain order, decrease ambiguity, and ensure direction is followed) with the need for flexibility (potential need to adapt quickly and encourage innovation).</w:t>
      </w:r>
    </w:p>
    <w:p>
      <w:pPr>
        <w:spacing w:after="20" w:line="223" w:lineRule="auto"/>
        <w:jc w:val="right"/>
        <w:bidi/>
      </w:pPr>
      <w:r>
        <w:rPr>
          <w:rFonts w:ascii="Arial" w:hAnsi="Arial"/>
          <w:sz w:val="16"/>
        </w:rPr>
        <w:t>234.08  مزایا و معایب ساختارهای مختلف سازمانی در اینجا به اختصار توضیح داده شده است.</w:t>
      </w:r>
    </w:p>
    <w:p>
      <w:pPr>
        <w:spacing w:after="28" w:line="216" w:lineRule="auto"/>
        <w:ind w:left="259"/>
        <w:jc w:val="left"/>
      </w:pPr>
      <w:r>
        <w:rPr>
          <w:rFonts w:ascii="Arial" w:hAnsi="Arial"/>
          <w:color w:val="525252"/>
          <w:sz w:val="13"/>
        </w:rPr>
        <w:t>The pros and cons of various organizational structures are briefly described here.</w:t>
      </w:r>
    </w:p>
    <w:p>
      <w:pPr>
        <w:spacing w:after="20" w:line="223" w:lineRule="auto"/>
        <w:jc w:val="right"/>
        <w:bidi/>
      </w:pPr>
      <w:r>
        <w:rPr>
          <w:rFonts w:ascii="Arial" w:hAnsi="Arial"/>
          <w:sz w:val="16"/>
        </w:rPr>
        <w:t>234.09  ساختار مکانیکی (بوروکراسی).</w:t>
      </w:r>
    </w:p>
    <w:p>
      <w:pPr>
        <w:spacing w:after="28" w:line="216" w:lineRule="auto"/>
        <w:ind w:left="259"/>
        <w:jc w:val="left"/>
      </w:pPr>
      <w:r>
        <w:rPr>
          <w:rFonts w:ascii="Arial" w:hAnsi="Arial"/>
          <w:color w:val="525252"/>
          <w:sz w:val="13"/>
        </w:rPr>
        <w:t>Mechanistic (Bureaucratic) Structure.</w:t>
      </w:r>
    </w:p>
    <w:p>
      <w:pPr>
        <w:spacing w:after="20" w:line="223" w:lineRule="auto"/>
        <w:jc w:val="right"/>
        <w:bidi/>
      </w:pPr>
      <w:r>
        <w:rPr>
          <w:rFonts w:ascii="Arial" w:hAnsi="Arial"/>
          <w:sz w:val="16"/>
        </w:rPr>
        <w:t>234.10  ساختار سازمانی مکانیکی یا بوروکراتیک به صورت عمودی چیده شده است. ارتباط و تصمیم‌گیری از بالا شروع می‌شود و سپس به سمت پایین فیلتر می‌شود.</w:t>
      </w:r>
    </w:p>
    <w:p>
      <w:pPr>
        <w:spacing w:after="28" w:line="216" w:lineRule="auto"/>
        <w:ind w:left="259"/>
        <w:jc w:val="left"/>
      </w:pPr>
      <w:r>
        <w:rPr>
          <w:rFonts w:ascii="Arial" w:hAnsi="Arial"/>
          <w:color w:val="525252"/>
          <w:sz w:val="13"/>
        </w:rPr>
        <w:t>A mechanistic or bureaucratic organizational structure is vertically arranged; communication and decision-making begin at the top and then filter downward.</w:t>
      </w:r>
    </w:p>
    <w:p>
      <w:pPr>
        <w:spacing w:after="20" w:line="223" w:lineRule="auto"/>
        <w:jc w:val="right"/>
        <w:bidi/>
      </w:pPr>
      <w:r>
        <w:rPr>
          <w:rFonts w:ascii="Arial" w:hAnsi="Arial"/>
          <w:sz w:val="16"/>
        </w:rPr>
        <w:t>234.11  در این نوع ساختار سازمانی، مشارکت اعضای سطح پایین در تصمیم‌گیری بسیار کم است، کارکنان بر اساس تخصص وظیفه در تیم‌ها کار می‌کنند و اتکای زیادی به قوانین وجود دارد.</w:t>
      </w:r>
    </w:p>
    <w:p>
      <w:pPr>
        <w:spacing w:after="28" w:line="216" w:lineRule="auto"/>
        <w:ind w:left="259"/>
        <w:jc w:val="left"/>
      </w:pPr>
      <w:r>
        <w:rPr>
          <w:rFonts w:ascii="Arial" w:hAnsi="Arial"/>
          <w:color w:val="525252"/>
          <w:sz w:val="13"/>
        </w:rPr>
        <w:t>In this type of organizational structure, there is very little involvement of low-level members in decision-making, employees work in teams based on task specialty, and there is a heavy reliance on rules.</w:t>
      </w:r>
    </w:p>
    <w:p>
      <w:pPr>
        <w:spacing w:after="20" w:line="223" w:lineRule="auto"/>
        <w:jc w:val="right"/>
        <w:bidi/>
      </w:pPr>
      <w:r>
        <w:rPr>
          <w:rFonts w:ascii="Arial" w:hAnsi="Arial"/>
          <w:sz w:val="16"/>
        </w:rPr>
        <w:t>234.12  سیستم مکانیکی خود را به خوبی به سازمانی می‌رساند که در آن استراتژی یا اهداف به سمت کارآمدی تنظیم شده و وظایف باید سریع و دقیق انجام شوند.</w:t>
      </w:r>
    </w:p>
    <w:p>
      <w:pPr>
        <w:spacing w:after="28" w:line="216" w:lineRule="auto"/>
        <w:ind w:left="259"/>
        <w:jc w:val="left"/>
      </w:pPr>
      <w:r>
        <w:rPr>
          <w:rFonts w:ascii="Arial" w:hAnsi="Arial"/>
          <w:color w:val="525252"/>
          <w:sz w:val="13"/>
        </w:rPr>
        <w:t>The mechanistic system lends itself well to an organization where strategy or goals are geared toward efficiency and tasks need to be accomplished quickly and accurately.</w:t>
      </w:r>
    </w:p>
    <w:p>
      <w:pPr>
        <w:spacing w:after="20" w:line="223" w:lineRule="auto"/>
        <w:jc w:val="right"/>
        <w:bidi/>
      </w:pPr>
      <w:r>
        <w:rPr>
          <w:rFonts w:ascii="Arial" w:hAnsi="Arial"/>
          <w:sz w:val="16"/>
        </w:rPr>
        <w:t>234.13  یک محیط پایدار که به انعطاف کمی نیاز دارد، اغلب برای ساختار مکانیکی مناسب است.</w:t>
      </w:r>
    </w:p>
    <w:p>
      <w:pPr>
        <w:spacing w:after="28" w:line="216" w:lineRule="auto"/>
        <w:ind w:left="259"/>
        <w:jc w:val="left"/>
      </w:pPr>
      <w:r>
        <w:rPr>
          <w:rFonts w:ascii="Arial" w:hAnsi="Arial"/>
          <w:color w:val="525252"/>
          <w:sz w:val="13"/>
        </w:rPr>
        <w:t>A stable environment that requires little flexibility is often conducive to a mechanistic structure.</w:t>
      </w:r>
    </w:p>
    <w:p>
      <w:pPr>
        <w:spacing w:after="20" w:line="223" w:lineRule="auto"/>
        <w:jc w:val="right"/>
        <w:bidi/>
      </w:pPr>
      <w:r>
        <w:rPr>
          <w:rFonts w:ascii="Arial" w:hAnsi="Arial"/>
          <w:sz w:val="16"/>
        </w:rPr>
        <w:t>234.14  همچنین، اگر اندازه یک سازمان متوسط ​​تا بزرگ باشد، ممکن است ساختار بیشتری لازم باشد.</w:t>
      </w:r>
    </w:p>
    <w:p>
      <w:pPr>
        <w:spacing w:after="28" w:line="216" w:lineRule="auto"/>
        <w:ind w:left="259"/>
        <w:jc w:val="left"/>
      </w:pPr>
      <w:r>
        <w:rPr>
          <w:rFonts w:ascii="Arial" w:hAnsi="Arial"/>
          <w:color w:val="525252"/>
          <w:sz w:val="13"/>
        </w:rPr>
        <w:t>Also, if the size of an organization is intermediate to large, more structure may be necessary.</w:t>
      </w:r>
    </w:p>
    <w:p>
      <w:pPr>
        <w:spacing w:after="20" w:line="223" w:lineRule="auto"/>
        <w:jc w:val="right"/>
        <w:bidi/>
      </w:pPr>
      <w:r>
        <w:rPr>
          <w:rFonts w:ascii="Arial" w:hAnsi="Arial"/>
          <w:sz w:val="16"/>
        </w:rPr>
        <w:t>234.15  متأسفانه، سازمان‌هایی با ساختار مکانیکی ممکن است متوجه شوند که رضایت شغلی آسیب می‌بیند، زیرا زیردستان اساسا همان کاری را انجام می‌دهند که به آنها گفته می‌شود، بدون مشارکت در نحوه انجام کارها.</w:t>
      </w:r>
    </w:p>
    <w:p>
      <w:pPr>
        <w:spacing w:after="28" w:line="216" w:lineRule="auto"/>
        <w:ind w:left="259"/>
        <w:jc w:val="left"/>
      </w:pPr>
      <w:r>
        <w:rPr>
          <w:rFonts w:ascii="Arial" w:hAnsi="Arial"/>
          <w:color w:val="525252"/>
          <w:sz w:val="13"/>
        </w:rPr>
        <w:t>Unfortunately, organizations with a mechanistic structure may find that job satisfaction suffers because subordinates basically do as they are told with little to no contribution to how things are done.</w:t>
      </w:r>
    </w:p>
    <w:p>
      <w:pPr>
        <w:spacing w:after="20" w:line="223" w:lineRule="auto"/>
        <w:jc w:val="right"/>
        <w:bidi/>
      </w:pPr>
      <w:r>
        <w:rPr>
          <w:rFonts w:ascii="Arial" w:hAnsi="Arial"/>
          <w:sz w:val="16"/>
        </w:rPr>
        <w:t>234.16  ساختار آلی.</w:t>
      </w:r>
    </w:p>
    <w:p>
      <w:pPr>
        <w:spacing w:after="28" w:line="216" w:lineRule="auto"/>
        <w:ind w:left="259"/>
        <w:jc w:val="left"/>
      </w:pPr>
      <w:r>
        <w:rPr>
          <w:rFonts w:ascii="Arial" w:hAnsi="Arial"/>
          <w:color w:val="525252"/>
          <w:sz w:val="13"/>
        </w:rPr>
        <w:t>Organic Structure.</w:t>
      </w:r>
    </w:p>
    <w:p>
      <w:pPr>
        <w:spacing w:after="20" w:line="223" w:lineRule="auto"/>
        <w:jc w:val="right"/>
        <w:bidi/>
      </w:pPr>
      <w:r>
        <w:rPr>
          <w:rFonts w:ascii="Arial" w:hAnsi="Arial"/>
          <w:sz w:val="16"/>
        </w:rPr>
        <w:t>234.17  یک سازمان ارگانیک دارای ارتباطات افقی و عمودی است که اجازه می‌دهد ارتباط بالا و پایین و همچنین در بین بخش‌ها و بین همکاران بدون خطوط بوروکراتیک رخ دهد.</w:t>
      </w:r>
    </w:p>
    <w:p>
      <w:pPr>
        <w:spacing w:after="28" w:line="216" w:lineRule="auto"/>
        <w:ind w:left="259"/>
        <w:jc w:val="left"/>
      </w:pPr>
      <w:r>
        <w:rPr>
          <w:rFonts w:ascii="Arial" w:hAnsi="Arial"/>
          <w:color w:val="525252"/>
          <w:sz w:val="13"/>
        </w:rPr>
        <w:t>An organic organization has horizontal and vertical communication, allowing communication to occur up and down as well as across departments and among co- workers without bureaucratic lines.</w:t>
      </w:r>
    </w:p>
    <w:p>
      <w:pPr>
        <w:spacing w:after="20" w:line="223" w:lineRule="auto"/>
        <w:jc w:val="right"/>
        <w:bidi/>
      </w:pPr>
      <w:r>
        <w:rPr>
          <w:rFonts w:ascii="Arial" w:hAnsi="Arial"/>
          <w:sz w:val="16"/>
        </w:rPr>
        <w:t>234.18  گفتگوها و نظرات متقابل در میان کارمندان تشویق می‌شود تا امکان مشارکت بیشتر در تصمیم‌گیری و مشارکت در نحوه انجام کارها فراهم شود.</w:t>
      </w:r>
    </w:p>
    <w:p>
      <w:pPr>
        <w:spacing w:after="28" w:line="216" w:lineRule="auto"/>
        <w:ind w:left="259"/>
        <w:jc w:val="left"/>
      </w:pPr>
      <w:r>
        <w:rPr>
          <w:rFonts w:ascii="Arial" w:hAnsi="Arial"/>
          <w:color w:val="525252"/>
          <w:sz w:val="13"/>
        </w:rPr>
        <w:t>Cross-talk and opinions are encouraged among employees to allow more involvement in decision-making and contribution into how things are done.</w:t>
      </w:r>
    </w:p>
    <w:p>
      <w:pPr>
        <w:spacing w:after="20" w:line="223" w:lineRule="auto"/>
        <w:jc w:val="right"/>
        <w:bidi/>
      </w:pPr>
      <w:r>
        <w:rPr>
          <w:rFonts w:ascii="Arial" w:hAnsi="Arial"/>
          <w:sz w:val="16"/>
        </w:rPr>
        <w:t>234.19  انعطاف‌پذیری موجود در عملیات روزمره، پیشرفت‌های فناوری را تسهیل می‌کند و به‌کارکنان اجازه می‌دهد با ایجاد تغییرات سازگارتر باشند.</w:t>
      </w:r>
    </w:p>
    <w:p>
      <w:pPr>
        <w:spacing w:after="28" w:line="216" w:lineRule="auto"/>
        <w:ind w:left="259"/>
        <w:jc w:val="left"/>
      </w:pPr>
      <w:r>
        <w:rPr>
          <w:rFonts w:ascii="Arial" w:hAnsi="Arial"/>
          <w:color w:val="525252"/>
          <w:sz w:val="13"/>
        </w:rPr>
        <w:t>The flexibility involved in day-to-day operations facilitates technological advancements and allows employees to be more adaptable as changes arise.</w:t>
      </w:r>
    </w:p>
    <w:p>
      <w:pPr>
        <w:spacing w:after="20" w:line="223" w:lineRule="auto"/>
        <w:jc w:val="right"/>
        <w:bidi/>
      </w:pPr>
      <w:r>
        <w:rPr>
          <w:rFonts w:ascii="Arial" w:hAnsi="Arial"/>
          <w:sz w:val="16"/>
        </w:rPr>
        <w:t>234.20  استراتژی سازمان ارگانیک اغلب در جهت نوآوری و خلاقیت است.</w:t>
      </w:r>
    </w:p>
    <w:p>
      <w:pPr>
        <w:spacing w:after="28" w:line="216" w:lineRule="auto"/>
        <w:ind w:left="259"/>
        <w:jc w:val="left"/>
      </w:pPr>
      <w:r>
        <w:rPr>
          <w:rFonts w:ascii="Arial" w:hAnsi="Arial"/>
          <w:color w:val="525252"/>
          <w:sz w:val="13"/>
        </w:rPr>
        <w:t>The organic organization’s strategy is often geared toward innovativeness and creativity.</w:t>
      </w:r>
    </w:p>
    <w:p>
      <w:pPr>
        <w:spacing w:after="20" w:line="223" w:lineRule="auto"/>
        <w:jc w:val="right"/>
        <w:bidi/>
      </w:pPr>
      <w:r>
        <w:rPr>
          <w:rFonts w:ascii="Arial" w:hAnsi="Arial"/>
          <w:sz w:val="16"/>
        </w:rPr>
        <w:t>234.21  صنعت نرم افزار کامپیوتر نمونه خوبی از صنایعی است که نیاز به طراحی خلاقانه دارد.</w:t>
      </w:r>
    </w:p>
    <w:p>
      <w:pPr>
        <w:spacing w:after="28" w:line="216" w:lineRule="auto"/>
        <w:ind w:left="259"/>
        <w:jc w:val="left"/>
      </w:pPr>
      <w:r>
        <w:rPr>
          <w:rFonts w:ascii="Arial" w:hAnsi="Arial"/>
          <w:color w:val="525252"/>
          <w:sz w:val="13"/>
        </w:rPr>
        <w:t>The computer software industry is a good example of one that requires a creative design.</w:t>
      </w:r>
    </w:p>
    <w:p>
      <w:pPr>
        <w:spacing w:after="20" w:line="223" w:lineRule="auto"/>
        <w:jc w:val="right"/>
        <w:bidi/>
      </w:pPr>
      <w:r>
        <w:rPr>
          <w:rFonts w:ascii="Arial" w:hAnsi="Arial"/>
          <w:sz w:val="16"/>
        </w:rPr>
        <w:t>234.22  محیط ناپایدار است و تغییر به جای استثنا، یک هنجار است.</w:t>
      </w:r>
    </w:p>
    <w:p>
      <w:pPr>
        <w:spacing w:after="28" w:line="216" w:lineRule="auto"/>
        <w:ind w:left="259"/>
        <w:jc w:val="left"/>
      </w:pPr>
      <w:r>
        <w:rPr>
          <w:rFonts w:ascii="Arial" w:hAnsi="Arial"/>
          <w:color w:val="525252"/>
          <w:sz w:val="13"/>
        </w:rPr>
        <w:t>The environment is unstable, with change being the norm rather than the exception.</w:t>
      </w:r>
    </w:p>
    <w:p>
      <w:pPr>
        <w:spacing w:after="20" w:line="223" w:lineRule="auto"/>
        <w:jc w:val="right"/>
        <w:bidi/>
      </w:pPr>
      <w:r>
        <w:rPr>
          <w:rFonts w:ascii="Arial" w:hAnsi="Arial"/>
          <w:sz w:val="16"/>
        </w:rPr>
        <w:t>234.23  سازمان‌هایی با ساختار ارگانیک اغلب کوچک تا متوسط ​​هستند، فناوری جدید را از طریق انطباق به جای انطباق به کار می‌گیرند و از تحقیق و توسعه خلاقانه به جای محدودکننده استفاده می‌کنند.</w:t>
      </w:r>
    </w:p>
    <w:p>
      <w:pPr>
        <w:spacing w:after="28" w:line="216" w:lineRule="auto"/>
        <w:ind w:left="259"/>
        <w:jc w:val="left"/>
      </w:pPr>
      <w:r>
        <w:rPr>
          <w:rFonts w:ascii="Arial" w:hAnsi="Arial"/>
          <w:color w:val="525252"/>
          <w:sz w:val="13"/>
        </w:rPr>
        <w:t>Organizations with organic structure are most often small to moderate, apply new technology through adaptation rather than compliance, and employ research and development that is creative rather than restrictive.</w:t>
      </w:r>
    </w:p>
    <w:p>
      <w:pPr>
        <w:spacing w:after="20" w:line="223" w:lineRule="auto"/>
        <w:jc w:val="right"/>
        <w:bidi/>
      </w:pPr>
      <w:r>
        <w:rPr>
          <w:rFonts w:ascii="Arial" w:hAnsi="Arial"/>
          <w:sz w:val="16"/>
        </w:rPr>
        <w:t>234.24  به اشتراک گذاری اطلاعات و محیط مشارکتی رضایت کارگران را افزایش می‌دهد و اغلب تصمیمات جامعی را ایجاد می‌کند.</w:t>
      </w:r>
    </w:p>
    <w:p>
      <w:pPr>
        <w:spacing w:after="28" w:line="216" w:lineRule="auto"/>
        <w:ind w:left="259"/>
        <w:jc w:val="left"/>
      </w:pPr>
      <w:r>
        <w:rPr>
          <w:rFonts w:ascii="Arial" w:hAnsi="Arial"/>
          <w:color w:val="525252"/>
          <w:sz w:val="13"/>
        </w:rPr>
        <w:t>The sharing of information and the participative environment increases worker satisfaction and often produces well- rounded decisions.</w:t>
      </w:r>
    </w:p>
    <w:p>
      <w:pPr>
        <w:spacing w:after="20" w:line="223" w:lineRule="auto"/>
        <w:jc w:val="right"/>
        <w:bidi/>
      </w:pPr>
      <w:r>
        <w:rPr>
          <w:rFonts w:ascii="Arial" w:hAnsi="Arial"/>
          <w:sz w:val="16"/>
        </w:rPr>
        <w:t>234.25  متأسفانه، یک ساختار ارگانیک ممکن است روند اجرا را کند کند، منجر به راندمان پایین و کاهش استانداردها شود.</w:t>
      </w:r>
    </w:p>
    <w:p>
      <w:pPr>
        <w:spacing w:after="28" w:line="216" w:lineRule="auto"/>
        <w:ind w:left="259"/>
        <w:jc w:val="left"/>
      </w:pPr>
      <w:r>
        <w:rPr>
          <w:rFonts w:ascii="Arial" w:hAnsi="Arial"/>
          <w:color w:val="525252"/>
          <w:sz w:val="13"/>
        </w:rPr>
        <w:t>Unfortunately, an organic structure may slow down the implementation process, lead to low efficiency, and reduce standards.</w:t>
      </w:r>
    </w:p>
    <w:p>
      <w:pPr>
        <w:spacing w:after="20" w:line="223" w:lineRule="auto"/>
        <w:jc w:val="right"/>
        <w:bidi/>
      </w:pPr>
      <w:r>
        <w:rPr>
          <w:rFonts w:ascii="Arial" w:hAnsi="Arial"/>
          <w:sz w:val="16"/>
        </w:rPr>
        <w:t>234.26  ساختار متنوع.</w:t>
      </w:r>
    </w:p>
    <w:p>
      <w:pPr>
        <w:spacing w:after="28" w:line="216" w:lineRule="auto"/>
        <w:ind w:left="259"/>
        <w:jc w:val="left"/>
      </w:pPr>
      <w:r>
        <w:rPr>
          <w:rFonts w:ascii="Arial" w:hAnsi="Arial"/>
          <w:color w:val="525252"/>
          <w:sz w:val="13"/>
        </w:rPr>
        <w:t>Diverse Structure.</w:t>
      </w:r>
    </w:p>
    <w:p>
      <w:pPr>
        <w:spacing w:after="20" w:line="223" w:lineRule="auto"/>
        <w:jc w:val="right"/>
        <w:bidi/>
      </w:pPr>
      <w:r>
        <w:rPr>
          <w:rFonts w:ascii="Arial" w:hAnsi="Arial"/>
          <w:sz w:val="16"/>
        </w:rPr>
        <w:t>234.27  از آنجایی که سازمان‌های مکانیکی و ارگانیک دارای مزایا و معایبی هستند، سازمان‌هایی با طراحی متنوع از ساختارهای مکانیکی و ارگانیک برای انجام مأموریت استفاده می‌کنند.</w:t>
      </w:r>
    </w:p>
    <w:p>
      <w:pPr>
        <w:spacing w:after="28" w:line="216" w:lineRule="auto"/>
        <w:ind w:left="259"/>
        <w:jc w:val="left"/>
      </w:pPr>
      <w:r>
        <w:rPr>
          <w:rFonts w:ascii="Arial" w:hAnsi="Arial"/>
          <w:color w:val="525252"/>
          <w:sz w:val="13"/>
        </w:rPr>
        <w:t>Because there are advantages and disadvantages of mechanistic and organic organizations, organizations with a diverse design incorporate both mechanistic and organic structures to accomplish the mission.</w:t>
      </w:r>
    </w:p>
    <w:p>
      <w:pPr>
        <w:spacing w:after="20" w:line="223" w:lineRule="auto"/>
        <w:jc w:val="right"/>
        <w:bidi/>
      </w:pPr>
      <w:r>
        <w:rPr>
          <w:rFonts w:ascii="Arial" w:hAnsi="Arial"/>
          <w:sz w:val="16"/>
        </w:rPr>
        <w:t>234.28  طراحی متنوع زمانی استفاده می‌شود که سازمان در برخی زمینه‌ها به ساختار سفت و سخت سازمان مکانیکی و در برخی دیگر به انعطاف پذیری سازمان ارگانیک نیاز دارد.</w:t>
      </w:r>
    </w:p>
    <w:p>
      <w:pPr>
        <w:spacing w:after="28" w:line="216" w:lineRule="auto"/>
        <w:ind w:left="259"/>
        <w:jc w:val="left"/>
      </w:pPr>
      <w:r>
        <w:rPr>
          <w:rFonts w:ascii="Arial" w:hAnsi="Arial"/>
          <w:color w:val="525252"/>
          <w:sz w:val="13"/>
        </w:rPr>
        <w:t>The diverse design is used when the organization needs the rigid structure of the mechanistic organization in some areas and the flexibility of the organic organization in others.</w:t>
      </w:r>
    </w:p>
    <w:p>
      <w:pPr>
        <w:spacing w:after="20" w:line="223" w:lineRule="auto"/>
        <w:jc w:val="right"/>
        <w:bidi/>
      </w:pPr>
      <w:r>
        <w:rPr>
          <w:rFonts w:ascii="Arial" w:hAnsi="Arial"/>
          <w:sz w:val="16"/>
        </w:rPr>
        <w:t>234.29  به‌عنوان مثال، بخش‌های اداری اغلب قوانین خاصی دارند که باید هنگام پردازش گزارش‌های عملکرد، تزئینات و سفارش‌ها رعایت شوند.</w:t>
      </w:r>
    </w:p>
    <w:p>
      <w:pPr>
        <w:spacing w:after="28" w:line="216" w:lineRule="auto"/>
        <w:ind w:left="259"/>
        <w:jc w:val="left"/>
      </w:pPr>
      <w:r>
        <w:rPr>
          <w:rFonts w:ascii="Arial" w:hAnsi="Arial"/>
          <w:color w:val="525252"/>
          <w:sz w:val="13"/>
        </w:rPr>
        <w:t>For example, administrative sections often have specific rules to follow when processing performance reports, decorations, and orders.</w:t>
      </w:r>
    </w:p>
    <w:p>
      <w:pPr>
        <w:spacing w:after="20" w:line="223" w:lineRule="auto"/>
        <w:jc w:val="right"/>
        <w:bidi/>
      </w:pPr>
      <w:r>
        <w:rPr>
          <w:rFonts w:ascii="Arial" w:hAnsi="Arial"/>
          <w:sz w:val="16"/>
        </w:rPr>
        <w:t>234.30  برای این منظور، مکانیکی</w:t>
      </w:r>
    </w:p>
    <w:p>
      <w:pPr>
        <w:spacing w:after="28" w:line="216" w:lineRule="auto"/>
        <w:ind w:left="259"/>
        <w:jc w:val="left"/>
      </w:pPr>
      <w:r>
        <w:rPr>
          <w:rFonts w:ascii="Arial" w:hAnsi="Arial"/>
          <w:color w:val="525252"/>
          <w:sz w:val="13"/>
        </w:rPr>
        <w:t>For this purpose, a mechanistic</w:t>
      </w:r>
    </w:p>
    <w:p>
      <w:r>
        <w:br w:type="page"/>
      </w:r>
    </w:p>
    <w:p>
      <w:pPr>
        <w:spacing w:after="60"/>
        <w:jc w:val="right"/>
        <w:bidi/>
      </w:pPr>
      <w:r>
        <w:rPr>
          <w:rFonts w:ascii="Arial" w:hAnsi="Arial"/>
          <w:b/>
          <w:color w:val="1F4D78"/>
          <w:sz w:val="19"/>
        </w:rPr>
        <w:t>هفتهٔ 235  |  صفحهٔ منبع: 251</w:t>
      </w:r>
    </w:p>
    <w:p>
      <w:pPr>
        <w:spacing w:after="20" w:line="223" w:lineRule="auto"/>
        <w:jc w:val="right"/>
        <w:bidi/>
      </w:pPr>
      <w:r>
        <w:rPr>
          <w:rFonts w:ascii="Arial" w:hAnsi="Arial"/>
          <w:sz w:val="16"/>
        </w:rPr>
        <w:t>235.01  مناسب خواهد بود.</w:t>
      </w:r>
    </w:p>
    <w:p>
      <w:pPr>
        <w:spacing w:after="28" w:line="216" w:lineRule="auto"/>
        <w:ind w:left="259"/>
        <w:jc w:val="left"/>
      </w:pPr>
      <w:r>
        <w:rPr>
          <w:rFonts w:ascii="Arial" w:hAnsi="Arial"/>
          <w:color w:val="525252"/>
          <w:sz w:val="13"/>
        </w:rPr>
        <w:t>system would be appropriate.</w:t>
      </w:r>
    </w:p>
    <w:p>
      <w:pPr>
        <w:spacing w:after="20" w:line="223" w:lineRule="auto"/>
        <w:jc w:val="right"/>
        <w:bidi/>
      </w:pPr>
      <w:r>
        <w:rPr>
          <w:rFonts w:ascii="Arial" w:hAnsi="Arial"/>
          <w:sz w:val="16"/>
        </w:rPr>
        <w:t>235.02  در همان سازمان، یک بخش آموزشی ممکن است توسط یک سیستم مکانیکی سفت و سخت مانع شود. بنابراین، یک سیستم ارگانیک برای امکان نوآوری بیشتر در نحوه ارائه آموزش مؤثرتر خواهد بود.</w:t>
      </w:r>
    </w:p>
    <w:p>
      <w:pPr>
        <w:spacing w:after="28" w:line="216" w:lineRule="auto"/>
        <w:ind w:left="259"/>
        <w:jc w:val="left"/>
      </w:pPr>
      <w:r>
        <w:rPr>
          <w:rFonts w:ascii="Arial" w:hAnsi="Arial"/>
          <w:color w:val="525252"/>
          <w:sz w:val="13"/>
        </w:rPr>
        <w:t>In the same organization, a training section may be hindered by a rigid mechanistic system; therefore, an organic system would be more effective to allow for more frequent innovation in how training is delivered.</w:t>
      </w:r>
    </w:p>
    <w:p>
      <w:pPr>
        <w:spacing w:after="20" w:line="223" w:lineRule="auto"/>
        <w:jc w:val="right"/>
        <w:bidi/>
      </w:pPr>
      <w:r>
        <w:rPr>
          <w:rFonts w:ascii="Arial" w:hAnsi="Arial"/>
          <w:sz w:val="16"/>
        </w:rPr>
        <w:t>235.03  ساختار ماتریسی.</w:t>
      </w:r>
    </w:p>
    <w:p>
      <w:pPr>
        <w:spacing w:after="28" w:line="216" w:lineRule="auto"/>
        <w:ind w:left="259"/>
        <w:jc w:val="left"/>
      </w:pPr>
      <w:r>
        <w:rPr>
          <w:rFonts w:ascii="Arial" w:hAnsi="Arial"/>
          <w:color w:val="525252"/>
          <w:sz w:val="13"/>
        </w:rPr>
        <w:t>Matrix Structure.</w:t>
      </w:r>
    </w:p>
    <w:p>
      <w:pPr>
        <w:spacing w:after="20" w:line="223" w:lineRule="auto"/>
        <w:jc w:val="right"/>
        <w:bidi/>
      </w:pPr>
      <w:r>
        <w:rPr>
          <w:rFonts w:ascii="Arial" w:hAnsi="Arial"/>
          <w:sz w:val="16"/>
        </w:rPr>
        <w:t>235.04  طراحی ماتریس اساسا یک طرح یا تیم سازمانی در یک سازمان مکانیکی، ارگانیک یا متنوع است.</w:t>
      </w:r>
    </w:p>
    <w:p>
      <w:pPr>
        <w:spacing w:after="28" w:line="216" w:lineRule="auto"/>
        <w:ind w:left="259"/>
        <w:jc w:val="left"/>
      </w:pPr>
      <w:r>
        <w:rPr>
          <w:rFonts w:ascii="Arial" w:hAnsi="Arial"/>
          <w:color w:val="525252"/>
          <w:sz w:val="13"/>
        </w:rPr>
        <w:t>The matrix design is basically an organizational design or team within a mechanistic, organic, or diverse organization.</w:t>
      </w:r>
    </w:p>
    <w:p>
      <w:pPr>
        <w:spacing w:after="20" w:line="223" w:lineRule="auto"/>
        <w:jc w:val="right"/>
        <w:bidi/>
      </w:pPr>
      <w:r>
        <w:rPr>
          <w:rFonts w:ascii="Arial" w:hAnsi="Arial"/>
          <w:sz w:val="16"/>
        </w:rPr>
        <w:t>235.05  طراحی ماتریسی معمولا برای رفع نیازهای موقت در سازمان بهترین است. بنابراین، کوتاه مدت است و ساختار کلی سازمانی دست نخورده باقی می‌ماند.</w:t>
      </w:r>
    </w:p>
    <w:p>
      <w:pPr>
        <w:spacing w:after="28" w:line="216" w:lineRule="auto"/>
        <w:ind w:left="259"/>
        <w:jc w:val="left"/>
      </w:pPr>
      <w:r>
        <w:rPr>
          <w:rFonts w:ascii="Arial" w:hAnsi="Arial"/>
          <w:color w:val="525252"/>
          <w:sz w:val="13"/>
        </w:rPr>
        <w:t>A matrix design is usually best for addressing a temporary need within an organization; therefore, it is short-lived, and the overall organizational structure remains intact.</w:t>
      </w:r>
    </w:p>
    <w:p>
      <w:pPr>
        <w:spacing w:after="20" w:line="223" w:lineRule="auto"/>
        <w:jc w:val="right"/>
        <w:bidi/>
      </w:pPr>
      <w:r>
        <w:rPr>
          <w:rFonts w:ascii="Arial" w:hAnsi="Arial"/>
          <w:sz w:val="16"/>
        </w:rPr>
        <w:t>235.06  طراحی ماتریسی کارگران بخش‌ها یا سازمان‌های مختلف را گرد هم می‌آورد تا یک عملکرد خاص را انجام دهند.</w:t>
      </w:r>
    </w:p>
    <w:p>
      <w:pPr>
        <w:spacing w:after="28" w:line="216" w:lineRule="auto"/>
        <w:ind w:left="259"/>
        <w:jc w:val="left"/>
      </w:pPr>
      <w:r>
        <w:rPr>
          <w:rFonts w:ascii="Arial" w:hAnsi="Arial"/>
          <w:color w:val="525252"/>
          <w:sz w:val="13"/>
        </w:rPr>
        <w:t>A matrix design brings workers from different sections or organizations together to serve a particular function.</w:t>
      </w:r>
    </w:p>
    <w:p>
      <w:pPr>
        <w:spacing w:after="20" w:line="223" w:lineRule="auto"/>
        <w:jc w:val="right"/>
        <w:bidi/>
      </w:pPr>
      <w:r>
        <w:rPr>
          <w:rFonts w:ascii="Arial" w:hAnsi="Arial"/>
          <w:sz w:val="16"/>
        </w:rPr>
        <w:t>235.07  در طراحی ماتریس، کارمندان یا اعضای تیم دو رئیس دارند. رئیس عملیاتی گزارش عملکرد خود را می‌نویسد و ساعات کاری عادی را برنامه‌ریزی می‌کند و رئیس پروژه یا رهبر تیم اطمینان حاصل می‌کند که وظیفه در دست انجام به درستی انجام شده است.</w:t>
      </w:r>
    </w:p>
    <w:p>
      <w:pPr>
        <w:spacing w:after="28" w:line="216" w:lineRule="auto"/>
        <w:ind w:left="259"/>
        <w:jc w:val="left"/>
      </w:pPr>
      <w:r>
        <w:rPr>
          <w:rFonts w:ascii="Arial" w:hAnsi="Arial"/>
          <w:color w:val="525252"/>
          <w:sz w:val="13"/>
        </w:rPr>
        <w:t>Within the matrix design, employees or team members have two bosses; the functional boss writes their performance report and schedules normal duty hours, and the project boss or team leader ensures the task at hand is accomplished appropriately.</w:t>
      </w:r>
    </w:p>
    <w:p>
      <w:pPr>
        <w:spacing w:after="20" w:line="223" w:lineRule="auto"/>
        <w:jc w:val="right"/>
        <w:bidi/>
      </w:pPr>
      <w:r>
        <w:rPr>
          <w:rFonts w:ascii="Arial" w:hAnsi="Arial"/>
          <w:sz w:val="16"/>
        </w:rPr>
        <w:t>235.08  نقطه قوت طراحی ماتریس در ادغام تخصص و منابع نهفته است. ضعف در سردرگمی این است که چه کسی مسئول است.</w:t>
      </w:r>
    </w:p>
    <w:p>
      <w:pPr>
        <w:spacing w:after="28" w:line="216" w:lineRule="auto"/>
        <w:ind w:left="259"/>
        <w:jc w:val="left"/>
      </w:pPr>
      <w:r>
        <w:rPr>
          <w:rFonts w:ascii="Arial" w:hAnsi="Arial"/>
          <w:color w:val="525252"/>
          <w:sz w:val="13"/>
        </w:rPr>
        <w:t>The strength of the matrix design lies in the pooling of expertise and resources; the weakness lies in the confusion of who is in charge.</w:t>
      </w:r>
    </w:p>
    <w:p>
      <w:r>
        <w:br w:type="page"/>
      </w:r>
    </w:p>
    <w:p>
      <w:pPr>
        <w:spacing w:after="60"/>
        <w:jc w:val="right"/>
        <w:bidi/>
      </w:pPr>
      <w:r>
        <w:rPr>
          <w:rFonts w:ascii="Arial" w:hAnsi="Arial"/>
          <w:b/>
          <w:color w:val="1F4D78"/>
          <w:sz w:val="19"/>
        </w:rPr>
        <w:t>هفتهٔ 236  |  صفحهٔ منبع: 252</w:t>
      </w:r>
    </w:p>
    <w:p>
      <w:pPr>
        <w:spacing w:before="60" w:after="28"/>
        <w:jc w:val="right"/>
        <w:bidi/>
      </w:pPr>
      <w:r>
        <w:rPr>
          <w:b/>
          <w:color w:val="1F4D78"/>
          <w:sz w:val="18"/>
        </w:rPr>
        <w:t>بخش 13C-تغییر و حل مسئله</w:t>
      </w:r>
    </w:p>
    <w:p>
      <w:pPr>
        <w:spacing w:after="20"/>
        <w:ind w:left="259"/>
        <w:jc w:val="left"/>
      </w:pPr>
      <w:r>
        <w:rPr>
          <w:color w:val="555555"/>
          <w:sz w:val="12"/>
        </w:rPr>
        <w:t>Section 13C—Change and Problem Solving</w:t>
      </w:r>
    </w:p>
    <w:p>
      <w:pPr>
        <w:spacing w:before="60" w:after="28"/>
        <w:jc w:val="right"/>
        <w:bidi/>
      </w:pPr>
      <w:r>
        <w:rPr>
          <w:b/>
          <w:color w:val="1F4D78"/>
          <w:sz w:val="18"/>
        </w:rPr>
        <w:t>13.9. مدیریت تغییر</w:t>
      </w:r>
    </w:p>
    <w:p>
      <w:pPr>
        <w:spacing w:after="20"/>
        <w:ind w:left="259"/>
        <w:jc w:val="left"/>
      </w:pPr>
      <w:r>
        <w:rPr>
          <w:color w:val="555555"/>
          <w:sz w:val="12"/>
        </w:rPr>
        <w:t>13.9. Change Management</w:t>
      </w:r>
    </w:p>
    <w:p>
      <w:pPr>
        <w:spacing w:after="20" w:line="223" w:lineRule="auto"/>
        <w:jc w:val="right"/>
        <w:bidi/>
      </w:pPr>
      <w:r>
        <w:rPr>
          <w:rFonts w:ascii="Arial" w:hAnsi="Arial"/>
          <w:sz w:val="16"/>
        </w:rPr>
        <w:t>236.03  تغییر اجتناب ناپذیر است.</w:t>
      </w:r>
    </w:p>
    <w:p>
      <w:pPr>
        <w:spacing w:after="28" w:line="216" w:lineRule="auto"/>
        <w:ind w:left="259"/>
        <w:jc w:val="left"/>
      </w:pPr>
      <w:r>
        <w:rPr>
          <w:rFonts w:ascii="Arial" w:hAnsi="Arial"/>
          <w:color w:val="525252"/>
          <w:sz w:val="13"/>
        </w:rPr>
        <w:t>Change is inevitable.</w:t>
      </w:r>
    </w:p>
    <w:p>
      <w:pPr>
        <w:spacing w:after="20" w:line="223" w:lineRule="auto"/>
        <w:jc w:val="right"/>
        <w:bidi/>
      </w:pPr>
      <w:r>
        <w:rPr>
          <w:rFonts w:ascii="Arial" w:hAnsi="Arial"/>
          <w:sz w:val="16"/>
        </w:rPr>
        <w:t>236.04  ما می‌دانیم که تغییرات هر روز در اطراف ما در حال رخ دادن است.</w:t>
      </w:r>
    </w:p>
    <w:p>
      <w:pPr>
        <w:spacing w:after="28" w:line="216" w:lineRule="auto"/>
        <w:ind w:left="259"/>
        <w:jc w:val="left"/>
      </w:pPr>
      <w:r>
        <w:rPr>
          <w:rFonts w:ascii="Arial" w:hAnsi="Arial"/>
          <w:color w:val="525252"/>
          <w:sz w:val="13"/>
        </w:rPr>
        <w:t>We know changes are taking place every day, all around us.</w:t>
      </w:r>
    </w:p>
    <w:p>
      <w:pPr>
        <w:spacing w:after="20" w:line="223" w:lineRule="auto"/>
        <w:jc w:val="right"/>
        <w:bidi/>
      </w:pPr>
      <w:r>
        <w:rPr>
          <w:rFonts w:ascii="Arial" w:hAnsi="Arial"/>
          <w:sz w:val="16"/>
        </w:rPr>
        <w:t>236.05  تغییر زمانی مناسب است که بین آنچه هنجارها هستند و آنچه باید باشند شکاف درک شده وجود داشته باشد.</w:t>
      </w:r>
    </w:p>
    <w:p>
      <w:pPr>
        <w:spacing w:after="28" w:line="216" w:lineRule="auto"/>
        <w:ind w:left="259"/>
        <w:jc w:val="left"/>
      </w:pPr>
      <w:r>
        <w:rPr>
          <w:rFonts w:ascii="Arial" w:hAnsi="Arial"/>
          <w:color w:val="525252"/>
          <w:sz w:val="13"/>
        </w:rPr>
        <w:t>Change is appropriate when there is a perceived gap between what the norms are and what they should be.</w:t>
      </w:r>
    </w:p>
    <w:p>
      <w:pPr>
        <w:spacing w:after="20" w:line="223" w:lineRule="auto"/>
        <w:jc w:val="right"/>
        <w:bidi/>
      </w:pPr>
      <w:r>
        <w:rPr>
          <w:rFonts w:ascii="Arial" w:hAnsi="Arial"/>
          <w:sz w:val="16"/>
        </w:rPr>
        <w:t>236.06  تغییر سازمانی خودکار نیست.</w:t>
      </w:r>
    </w:p>
    <w:p>
      <w:pPr>
        <w:spacing w:after="28" w:line="216" w:lineRule="auto"/>
        <w:ind w:left="259"/>
        <w:jc w:val="left"/>
      </w:pPr>
      <w:r>
        <w:rPr>
          <w:rFonts w:ascii="Arial" w:hAnsi="Arial"/>
          <w:color w:val="525252"/>
          <w:sz w:val="13"/>
        </w:rPr>
        <w:t>Organizational change is not automatic.</w:t>
      </w:r>
    </w:p>
    <w:p>
      <w:pPr>
        <w:spacing w:after="20" w:line="223" w:lineRule="auto"/>
        <w:jc w:val="right"/>
        <w:bidi/>
      </w:pPr>
      <w:r>
        <w:rPr>
          <w:rFonts w:ascii="Arial" w:hAnsi="Arial"/>
          <w:sz w:val="16"/>
        </w:rPr>
        <w:t>236.07  پذیرش عمدی یک ایده یا رفتار جدید توسط یک سازمان و ایجاد هنجارهای جدید است.</w:t>
      </w:r>
    </w:p>
    <w:p>
      <w:pPr>
        <w:spacing w:after="28" w:line="216" w:lineRule="auto"/>
        <w:ind w:left="259"/>
        <w:jc w:val="left"/>
      </w:pPr>
      <w:r>
        <w:rPr>
          <w:rFonts w:ascii="Arial" w:hAnsi="Arial"/>
          <w:color w:val="525252"/>
          <w:sz w:val="13"/>
        </w:rPr>
        <w:t>It is the deliberate adoption of a new idea or behavior by an organization and the establishment of new norms.</w:t>
      </w:r>
    </w:p>
    <w:p>
      <w:pPr>
        <w:spacing w:after="20" w:line="223" w:lineRule="auto"/>
        <w:jc w:val="right"/>
        <w:bidi/>
      </w:pPr>
      <w:r>
        <w:rPr>
          <w:rFonts w:ascii="Arial" w:hAnsi="Arial"/>
          <w:sz w:val="16"/>
        </w:rPr>
        <w:t>236.08  این هنجارها می‌توانند شامل فناوری، وظایف، ساختار و منابع از جمله افراد باشند.</w:t>
      </w:r>
    </w:p>
    <w:p>
      <w:pPr>
        <w:spacing w:after="28" w:line="216" w:lineRule="auto"/>
        <w:ind w:left="259"/>
        <w:jc w:val="left"/>
      </w:pPr>
      <w:r>
        <w:rPr>
          <w:rFonts w:ascii="Arial" w:hAnsi="Arial"/>
          <w:color w:val="525252"/>
          <w:sz w:val="13"/>
        </w:rPr>
        <w:t>These norms can involve technology, tasks, structure, and resources, including people.</w:t>
      </w:r>
    </w:p>
    <w:p>
      <w:pPr>
        <w:spacing w:after="20" w:line="223" w:lineRule="auto"/>
        <w:jc w:val="right"/>
        <w:bidi/>
      </w:pPr>
      <w:r>
        <w:rPr>
          <w:rFonts w:ascii="Arial" w:hAnsi="Arial"/>
          <w:sz w:val="16"/>
        </w:rPr>
        <w:t>236.09  ابتدا، رهبران باید سهم خود را برای ایجاد جو سازمانی مساعد برای تغییر با توضیح محدودیت‌ها یا کمبودهای فرآیند حاضر و امکانات و مزایای تغییر پیشنهادی انجام دهند.</w:t>
      </w:r>
    </w:p>
    <w:p>
      <w:pPr>
        <w:spacing w:after="28" w:line="216" w:lineRule="auto"/>
        <w:ind w:left="259"/>
        <w:jc w:val="left"/>
      </w:pPr>
      <w:r>
        <w:rPr>
          <w:rFonts w:ascii="Arial" w:hAnsi="Arial"/>
          <w:color w:val="525252"/>
          <w:sz w:val="13"/>
        </w:rPr>
        <w:t>First, leaders must do their part to create an organizational climate conducive to change by explaining the limitations or shortfalls of the present process and the possibilities and benefits of the proposed change.</w:t>
      </w:r>
    </w:p>
    <w:p>
      <w:pPr>
        <w:spacing w:after="20" w:line="223" w:lineRule="auto"/>
        <w:jc w:val="right"/>
        <w:bidi/>
      </w:pPr>
      <w:r>
        <w:rPr>
          <w:rFonts w:ascii="Arial" w:hAnsi="Arial"/>
          <w:sz w:val="16"/>
        </w:rPr>
        <w:t>236.10  آموزش برای تبدیل شدن به بخشی از تغییرات ضروری در دسترس حلال مشکلات و دست اندرکاران بهبود مستمر فرآیند است که همه هوانوردان باید برای تبدیل شدن به آن تلاش کنند.</w:t>
      </w:r>
    </w:p>
    <w:p>
      <w:pPr>
        <w:spacing w:after="28" w:line="216" w:lineRule="auto"/>
        <w:ind w:left="259"/>
        <w:jc w:val="left"/>
      </w:pPr>
      <w:r>
        <w:rPr>
          <w:rFonts w:ascii="Arial" w:hAnsi="Arial"/>
          <w:color w:val="525252"/>
          <w:sz w:val="13"/>
        </w:rPr>
        <w:t>Training to become a part of necessary change is available to problem solvers and practitioners of continuous process improvement, which all Airmen should strive to become.</w:t>
      </w:r>
    </w:p>
    <w:p>
      <w:pPr>
        <w:spacing w:after="20" w:line="223" w:lineRule="auto"/>
        <w:jc w:val="right"/>
        <w:bidi/>
      </w:pPr>
      <w:r>
        <w:rPr>
          <w:rFonts w:ascii="Arial" w:hAnsi="Arial"/>
          <w:sz w:val="16"/>
        </w:rPr>
        <w:t>236.11  هوانوردان با هر مهارت و شغلی باید تفکر انتقادی و حل مسئله را به‌عنوان اولین وظیفه خود داشته باشند.</w:t>
      </w:r>
    </w:p>
    <w:p>
      <w:pPr>
        <w:spacing w:after="28" w:line="216" w:lineRule="auto"/>
        <w:ind w:left="259"/>
        <w:jc w:val="left"/>
      </w:pPr>
      <w:r>
        <w:rPr>
          <w:rFonts w:ascii="Arial" w:hAnsi="Arial"/>
          <w:color w:val="525252"/>
          <w:sz w:val="13"/>
        </w:rPr>
        <w:t>Airmen of all skills and jobs should possess a mindset of critical thinking and problem solving as their first duty.</w:t>
      </w:r>
    </w:p>
    <w:p>
      <w:pPr>
        <w:spacing w:after="20" w:line="223" w:lineRule="auto"/>
        <w:jc w:val="right"/>
        <w:bidi/>
      </w:pPr>
      <w:r>
        <w:rPr>
          <w:rFonts w:ascii="Arial" w:hAnsi="Arial"/>
          <w:sz w:val="16"/>
        </w:rPr>
        <w:t>236.12  زمانی که یک نیروهای هوایی بالغ می‌شود، مسیر شغلی آنها باید شامل آموزش‌های پایه، اساسی، متوسط ​​و کارشناسی ارشد برای مدیریت تغییر و بهبود مستمر فرآیند باشد.</w:t>
      </w:r>
    </w:p>
    <w:p>
      <w:pPr>
        <w:spacing w:after="28" w:line="216" w:lineRule="auto"/>
        <w:ind w:left="259"/>
        <w:jc w:val="left"/>
      </w:pPr>
      <w:r>
        <w:rPr>
          <w:rFonts w:ascii="Arial" w:hAnsi="Arial"/>
          <w:color w:val="525252"/>
          <w:sz w:val="13"/>
        </w:rPr>
        <w:t>As an Airmen matures, their career path should include basic, fundamental, intermediate, and Master level education for change management and continuous process improvement.</w:t>
      </w:r>
    </w:p>
    <w:p>
      <w:pPr>
        <w:spacing w:after="20" w:line="223" w:lineRule="auto"/>
        <w:jc w:val="right"/>
        <w:bidi/>
      </w:pPr>
      <w:r>
        <w:rPr>
          <w:rFonts w:ascii="Arial" w:hAnsi="Arial"/>
          <w:sz w:val="16"/>
        </w:rPr>
        <w:t>236.13  در مرحله بعد، رهبران باید خود تغییر را با قدم زدن نیروهای هوایی در میان تغییرات، توضیح جزئیات و پاسخ دادن به سوالات تسهیل کنند.</w:t>
      </w:r>
    </w:p>
    <w:p>
      <w:pPr>
        <w:spacing w:after="28" w:line="216" w:lineRule="auto"/>
        <w:ind w:left="259"/>
        <w:jc w:val="left"/>
      </w:pPr>
      <w:r>
        <w:rPr>
          <w:rFonts w:ascii="Arial" w:hAnsi="Arial"/>
          <w:color w:val="525252"/>
          <w:sz w:val="13"/>
        </w:rPr>
        <w:t>Next, leaders must facilitate the change itself by walking Airmen through the change, explaining the details, and answering questions.</w:t>
      </w:r>
    </w:p>
    <w:p>
      <w:pPr>
        <w:spacing w:after="20" w:line="223" w:lineRule="auto"/>
        <w:jc w:val="right"/>
        <w:bidi/>
      </w:pPr>
      <w:r>
        <w:rPr>
          <w:rFonts w:ascii="Arial" w:hAnsi="Arial"/>
          <w:sz w:val="16"/>
        </w:rPr>
        <w:t>236.14  در نهایت، رهبران باید از کسانی که در تغییر سهیم هستند قدردانی کنند و به تمرکز مجدد کسانی که انجام نمی‌دهند کمک کنند.</w:t>
      </w:r>
    </w:p>
    <w:p>
      <w:pPr>
        <w:spacing w:after="28" w:line="216" w:lineRule="auto"/>
        <w:ind w:left="259"/>
        <w:jc w:val="left"/>
      </w:pPr>
      <w:r>
        <w:rPr>
          <w:rFonts w:ascii="Arial" w:hAnsi="Arial"/>
          <w:color w:val="525252"/>
          <w:sz w:val="13"/>
        </w:rPr>
        <w:t>Finally, leaders should show appreciation for those who contribute to the change and help refocus those who do not.</w:t>
      </w:r>
    </w:p>
    <w:p>
      <w:pPr>
        <w:spacing w:after="20" w:line="223" w:lineRule="auto"/>
        <w:jc w:val="right"/>
        <w:bidi/>
      </w:pPr>
      <w:r>
        <w:rPr>
          <w:rFonts w:ascii="Arial" w:hAnsi="Arial"/>
          <w:sz w:val="16"/>
        </w:rPr>
        <w:t>236.15  خوش‌بینی واقع‌بینانه و سرسخت بهترین کیفیتی است که یک رهبر می‌تواند هنگام رویارویی با تغییر نشان دهد.</w:t>
      </w:r>
    </w:p>
    <w:p>
      <w:pPr>
        <w:spacing w:after="28" w:line="216" w:lineRule="auto"/>
        <w:ind w:left="259"/>
        <w:jc w:val="left"/>
      </w:pPr>
      <w:r>
        <w:rPr>
          <w:rFonts w:ascii="Arial" w:hAnsi="Arial"/>
          <w:color w:val="525252"/>
          <w:sz w:val="13"/>
        </w:rPr>
        <w:t>Tough-minded, realistic optimism is the best quality a leader can demonstrate when coping with change.</w:t>
      </w:r>
    </w:p>
    <w:p>
      <w:pPr>
        <w:spacing w:after="20" w:line="223" w:lineRule="auto"/>
        <w:jc w:val="right"/>
        <w:bidi/>
      </w:pPr>
      <w:r>
        <w:rPr>
          <w:rFonts w:ascii="Arial" w:hAnsi="Arial"/>
          <w:sz w:val="16"/>
        </w:rPr>
        <w:t>236.16  مقاومت در برابر تغییر.</w:t>
      </w:r>
    </w:p>
    <w:p>
      <w:pPr>
        <w:spacing w:after="28" w:line="216" w:lineRule="auto"/>
        <w:ind w:left="259"/>
        <w:jc w:val="left"/>
      </w:pPr>
      <w:r>
        <w:rPr>
          <w:rFonts w:ascii="Arial" w:hAnsi="Arial"/>
          <w:color w:val="525252"/>
          <w:sz w:val="13"/>
        </w:rPr>
        <w:t>Resistance to Change.</w:t>
      </w:r>
    </w:p>
    <w:p>
      <w:pPr>
        <w:spacing w:after="20" w:line="223" w:lineRule="auto"/>
        <w:jc w:val="right"/>
        <w:bidi/>
      </w:pPr>
      <w:r>
        <w:rPr>
          <w:rFonts w:ascii="Arial" w:hAnsi="Arial"/>
          <w:sz w:val="16"/>
        </w:rPr>
        <w:t>236.17  اولین واکنش به تغییر اغلب به‌عنوان مقاومت درک می‌شود.</w:t>
      </w:r>
    </w:p>
    <w:p>
      <w:pPr>
        <w:spacing w:after="28" w:line="216" w:lineRule="auto"/>
        <w:ind w:left="259"/>
        <w:jc w:val="left"/>
      </w:pPr>
      <w:r>
        <w:rPr>
          <w:rFonts w:ascii="Arial" w:hAnsi="Arial"/>
          <w:color w:val="525252"/>
          <w:sz w:val="13"/>
        </w:rPr>
        <w:t>The first reaction to change is often perceived as resistance.</w:t>
      </w:r>
    </w:p>
    <w:p>
      <w:pPr>
        <w:spacing w:after="20" w:line="223" w:lineRule="auto"/>
        <w:jc w:val="right"/>
        <w:bidi/>
      </w:pPr>
      <w:r>
        <w:rPr>
          <w:rFonts w:ascii="Arial" w:hAnsi="Arial"/>
          <w:sz w:val="16"/>
        </w:rPr>
        <w:t>236.18  یک عنصر ضروری برای جلوگیری یا غلبه بر مقاومت در برابر تغییر، ایجاد یک برنامه خوب فکر شده است.</w:t>
      </w:r>
    </w:p>
    <w:p>
      <w:pPr>
        <w:spacing w:after="28" w:line="216" w:lineRule="auto"/>
        <w:ind w:left="259"/>
        <w:jc w:val="left"/>
      </w:pPr>
      <w:r>
        <w:rPr>
          <w:rFonts w:ascii="Arial" w:hAnsi="Arial"/>
          <w:color w:val="525252"/>
          <w:sz w:val="13"/>
        </w:rPr>
        <w:t>An essential element for preventing or overcoming resistance to change is establishing a well thought out plan.</w:t>
      </w:r>
    </w:p>
    <w:p>
      <w:pPr>
        <w:spacing w:after="20" w:line="223" w:lineRule="auto"/>
        <w:jc w:val="right"/>
        <w:bidi/>
      </w:pPr>
      <w:r>
        <w:rPr>
          <w:rFonts w:ascii="Arial" w:hAnsi="Arial"/>
          <w:sz w:val="16"/>
        </w:rPr>
        <w:t>236.19  برنامه‌ریزی عامل تغییر (فردی که از تغییر سازمانی حمایت می‌کند یا رهبری می‌کند) را قادر می‌سازد تا اعتماد به نفس ایجاد کند، سوالات را پیش‌بینی کند، دوره‌های عملی را توسعه دهد و به برداشت‌های مخالف رسیدگی کند.</w:t>
      </w:r>
    </w:p>
    <w:p>
      <w:pPr>
        <w:spacing w:after="28" w:line="216" w:lineRule="auto"/>
        <w:ind w:left="259"/>
        <w:jc w:val="left"/>
      </w:pPr>
      <w:r>
        <w:rPr>
          <w:rFonts w:ascii="Arial" w:hAnsi="Arial"/>
          <w:color w:val="525252"/>
          <w:sz w:val="13"/>
        </w:rPr>
        <w:t>Planning enables the change agent (the person advocating for or leading the organizational change) to build confidence, anticipate questions, develop courses of action, and address opposing perceptions.</w:t>
      </w:r>
    </w:p>
    <w:p>
      <w:pPr>
        <w:spacing w:after="20" w:line="223" w:lineRule="auto"/>
        <w:jc w:val="right"/>
        <w:bidi/>
      </w:pPr>
      <w:r>
        <w:rPr>
          <w:rFonts w:ascii="Arial" w:hAnsi="Arial"/>
          <w:sz w:val="16"/>
        </w:rPr>
        <w:t>236.20  پنج مورد از متداول‌ترین پاسخ‌ها به تغییر در اینجا به اختصار توضیح داده شده است.</w:t>
      </w:r>
    </w:p>
    <w:p>
      <w:pPr>
        <w:spacing w:after="28" w:line="216" w:lineRule="auto"/>
        <w:ind w:left="259"/>
        <w:jc w:val="left"/>
      </w:pPr>
      <w:r>
        <w:rPr>
          <w:rFonts w:ascii="Arial" w:hAnsi="Arial"/>
          <w:color w:val="525252"/>
          <w:sz w:val="13"/>
        </w:rPr>
        <w:t>Five of the most common responses to change are briefly described here.</w:t>
      </w:r>
    </w:p>
    <w:p>
      <w:pPr>
        <w:spacing w:after="20" w:line="223" w:lineRule="auto"/>
        <w:jc w:val="right"/>
        <w:bidi/>
      </w:pPr>
      <w:r>
        <w:rPr>
          <w:rFonts w:ascii="Arial" w:hAnsi="Arial"/>
          <w:sz w:val="16"/>
        </w:rPr>
        <w:t>236.21  بی اعتمادی.</w:t>
      </w:r>
    </w:p>
    <w:p>
      <w:pPr>
        <w:spacing w:after="28" w:line="216" w:lineRule="auto"/>
        <w:ind w:left="259"/>
        <w:jc w:val="left"/>
      </w:pPr>
      <w:r>
        <w:rPr>
          <w:rFonts w:ascii="Arial" w:hAnsi="Arial"/>
          <w:color w:val="525252"/>
          <w:sz w:val="13"/>
        </w:rPr>
        <w:t>Distrust.</w:t>
      </w:r>
    </w:p>
    <w:p>
      <w:pPr>
        <w:spacing w:after="20" w:line="223" w:lineRule="auto"/>
        <w:jc w:val="right"/>
        <w:bidi/>
      </w:pPr>
      <w:r>
        <w:rPr>
          <w:rFonts w:ascii="Arial" w:hAnsi="Arial"/>
          <w:sz w:val="16"/>
        </w:rPr>
        <w:t>236.22  تغییر تحمیلی که به‌طور قابل توجهی سازمان را تحت تأثیر قرار می‌دهد، اغلب با سوالات سختی مواجه می‌شود تا اطمینان حاصل شود که هدف و قصد تغییر به وضوح درک شده است.</w:t>
      </w:r>
    </w:p>
    <w:p>
      <w:pPr>
        <w:spacing w:after="28" w:line="216" w:lineRule="auto"/>
        <w:ind w:left="259"/>
        <w:jc w:val="left"/>
      </w:pPr>
      <w:r>
        <w:rPr>
          <w:rFonts w:ascii="Arial" w:hAnsi="Arial"/>
          <w:color w:val="525252"/>
          <w:sz w:val="13"/>
        </w:rPr>
        <w:t>Imposed change that significantly affects an organization will often be met with tough questions to ensure the change purpose and intent is clearly understood.</w:t>
      </w:r>
    </w:p>
    <w:p>
      <w:pPr>
        <w:spacing w:after="20" w:line="223" w:lineRule="auto"/>
        <w:jc w:val="right"/>
        <w:bidi/>
      </w:pPr>
      <w:r>
        <w:rPr>
          <w:rFonts w:ascii="Arial" w:hAnsi="Arial"/>
          <w:sz w:val="16"/>
        </w:rPr>
        <w:t>236.23  رهبرانی که آمادگی شفاف سازی یا توضیح فرآیندهای فکری پشت این تغییر را ندارند، به راحتی بر شک و تردید کارمندان غلبه نخواهند کرد و برای جلب رضایت کارمندان تلاش خواهند کرد.</w:t>
      </w:r>
    </w:p>
    <w:p>
      <w:pPr>
        <w:spacing w:after="28" w:line="216" w:lineRule="auto"/>
        <w:ind w:left="259"/>
        <w:jc w:val="left"/>
      </w:pPr>
      <w:r>
        <w:rPr>
          <w:rFonts w:ascii="Arial" w:hAnsi="Arial"/>
          <w:color w:val="525252"/>
          <w:sz w:val="13"/>
        </w:rPr>
        <w:t>Leaders who are not prepared to clarify or explain thought processes behind the change will not easily overcome employee doubt and will struggle to gain employee buy in.</w:t>
      </w:r>
    </w:p>
    <w:p>
      <w:pPr>
        <w:spacing w:after="20" w:line="223" w:lineRule="auto"/>
        <w:jc w:val="right"/>
        <w:bidi/>
      </w:pPr>
      <w:r>
        <w:rPr>
          <w:rFonts w:ascii="Arial" w:hAnsi="Arial"/>
          <w:sz w:val="16"/>
        </w:rPr>
        <w:t>236.24  عدم قطعیت.</w:t>
      </w:r>
    </w:p>
    <w:p>
      <w:pPr>
        <w:spacing w:after="28" w:line="216" w:lineRule="auto"/>
        <w:ind w:left="259"/>
        <w:jc w:val="left"/>
      </w:pPr>
      <w:r>
        <w:rPr>
          <w:rFonts w:ascii="Arial" w:hAnsi="Arial"/>
          <w:color w:val="525252"/>
          <w:sz w:val="13"/>
        </w:rPr>
        <w:t>Uncertainty.</w:t>
      </w:r>
    </w:p>
    <w:p>
      <w:pPr>
        <w:spacing w:after="20" w:line="223" w:lineRule="auto"/>
        <w:jc w:val="right"/>
        <w:bidi/>
      </w:pPr>
      <w:r>
        <w:rPr>
          <w:rFonts w:ascii="Arial" w:hAnsi="Arial"/>
          <w:sz w:val="16"/>
        </w:rPr>
        <w:t>236.25  وقتی با تغییر قریب الوقوع مواجه می‌شوند، ممکن است افراد ترس از ناشناخته‌ها را تجربه کنند یا تغییر را تهدیدی برای ثبات سازمانی و امنیت شغلی خود بدانند.</w:t>
      </w:r>
    </w:p>
    <w:p>
      <w:pPr>
        <w:spacing w:after="28" w:line="216" w:lineRule="auto"/>
        <w:ind w:left="259"/>
        <w:jc w:val="left"/>
      </w:pPr>
      <w:r>
        <w:rPr>
          <w:rFonts w:ascii="Arial" w:hAnsi="Arial"/>
          <w:color w:val="525252"/>
          <w:sz w:val="13"/>
        </w:rPr>
        <w:t>When faced with impending change, people may experience fear of the unknown or see the change as a threat to organizational stability and their job security.</w:t>
      </w:r>
    </w:p>
    <w:p>
      <w:pPr>
        <w:spacing w:after="20" w:line="223" w:lineRule="auto"/>
        <w:jc w:val="right"/>
        <w:bidi/>
      </w:pPr>
      <w:r>
        <w:rPr>
          <w:rFonts w:ascii="Arial" w:hAnsi="Arial"/>
          <w:sz w:val="16"/>
        </w:rPr>
        <w:t>236.26  کارمندان ممکن است تعجب کنند که آیا هنوز شغلی خواهند داشت، آیا می‌توانند کار جدید را انجام دهند، یا باید برنامه یا فرآیند جدیدی را یاد بگیرند.</w:t>
      </w:r>
    </w:p>
    <w:p>
      <w:pPr>
        <w:spacing w:after="28" w:line="216" w:lineRule="auto"/>
        <w:ind w:left="259"/>
        <w:jc w:val="left"/>
      </w:pPr>
      <w:r>
        <w:rPr>
          <w:rFonts w:ascii="Arial" w:hAnsi="Arial"/>
          <w:color w:val="525252"/>
          <w:sz w:val="13"/>
        </w:rPr>
        <w:t>Employees may wonder if they will still have a job, if they will be able to do the new job, or if they will have to learn a new program or process.</w:t>
      </w:r>
    </w:p>
    <w:p>
      <w:pPr>
        <w:spacing w:after="20" w:line="223" w:lineRule="auto"/>
        <w:jc w:val="right"/>
        <w:bidi/>
      </w:pPr>
      <w:r>
        <w:rPr>
          <w:rFonts w:ascii="Arial" w:hAnsi="Arial"/>
          <w:sz w:val="16"/>
        </w:rPr>
        <w:t>236.27  نفع شخصی.</w:t>
      </w:r>
    </w:p>
    <w:p>
      <w:pPr>
        <w:spacing w:after="28" w:line="216" w:lineRule="auto"/>
        <w:ind w:left="259"/>
        <w:jc w:val="left"/>
      </w:pPr>
      <w:r>
        <w:rPr>
          <w:rFonts w:ascii="Arial" w:hAnsi="Arial"/>
          <w:color w:val="525252"/>
          <w:sz w:val="13"/>
        </w:rPr>
        <w:t>Self-interest.</w:t>
      </w:r>
    </w:p>
    <w:p>
      <w:pPr>
        <w:spacing w:after="20" w:line="223" w:lineRule="auto"/>
        <w:jc w:val="right"/>
        <w:bidi/>
      </w:pPr>
      <w:r>
        <w:rPr>
          <w:rFonts w:ascii="Arial" w:hAnsi="Arial"/>
          <w:sz w:val="16"/>
        </w:rPr>
        <w:t>236.28  مردم اغلب موقعیتی را که در حال حاضر دارند یا نقش خود را در محیط موجود در نظر می‌گیرند و جهت و قابلیت‌های صاحبان مناصب قدرت را پس از اعمال تغییر زیر سوال می‌برند.</w:t>
      </w:r>
    </w:p>
    <w:p>
      <w:pPr>
        <w:spacing w:after="28" w:line="216" w:lineRule="auto"/>
        <w:ind w:left="259"/>
        <w:jc w:val="left"/>
      </w:pPr>
      <w:r>
        <w:rPr>
          <w:rFonts w:ascii="Arial" w:hAnsi="Arial"/>
          <w:color w:val="525252"/>
          <w:sz w:val="13"/>
        </w:rPr>
        <w:t>People often consider the position they currently have or their role in the existing environment and question the direction and capabilities of those in positions of power after the change is implemented.</w:t>
      </w:r>
    </w:p>
    <w:p>
      <w:pPr>
        <w:spacing w:after="20" w:line="223" w:lineRule="auto"/>
        <w:jc w:val="right"/>
        <w:bidi/>
      </w:pPr>
      <w:r>
        <w:rPr>
          <w:rFonts w:ascii="Arial" w:hAnsi="Arial"/>
          <w:sz w:val="16"/>
        </w:rPr>
        <w:t>236.29  ادراک متفاوت / بدون احساس نیاز به تغییر.</w:t>
      </w:r>
    </w:p>
    <w:p>
      <w:pPr>
        <w:spacing w:after="28" w:line="216" w:lineRule="auto"/>
        <w:ind w:left="259"/>
        <w:jc w:val="left"/>
      </w:pPr>
      <w:r>
        <w:rPr>
          <w:rFonts w:ascii="Arial" w:hAnsi="Arial"/>
          <w:color w:val="525252"/>
          <w:sz w:val="13"/>
        </w:rPr>
        <w:t>Different Perception/No Felt Need to Change.</w:t>
      </w:r>
    </w:p>
    <w:p>
      <w:pPr>
        <w:spacing w:after="20" w:line="223" w:lineRule="auto"/>
        <w:jc w:val="right"/>
        <w:bidi/>
      </w:pPr>
      <w:r>
        <w:rPr>
          <w:rFonts w:ascii="Arial" w:hAnsi="Arial"/>
          <w:sz w:val="16"/>
        </w:rPr>
        <w:t>236.30  حتی اگر فکر می‌کنید مردم نیاز به تغییر را تشخیص می‌دهند، ممکن است وضعیت را متفاوت ببینند، به‌ویژه اگر تغییر روی آنها گذاشته شده باشد.</w:t>
      </w:r>
    </w:p>
    <w:p>
      <w:pPr>
        <w:spacing w:after="28" w:line="216" w:lineRule="auto"/>
        <w:ind w:left="259"/>
        <w:jc w:val="left"/>
      </w:pPr>
      <w:r>
        <w:rPr>
          <w:rFonts w:ascii="Arial" w:hAnsi="Arial"/>
          <w:color w:val="525252"/>
          <w:sz w:val="13"/>
        </w:rPr>
        <w:t>Even if you think people recognize the need for change, they may see the situation differently, particularly if the change has been dropped on them.</w:t>
      </w:r>
    </w:p>
    <w:p>
      <w:pPr>
        <w:spacing w:after="20" w:line="223" w:lineRule="auto"/>
        <w:jc w:val="right"/>
        <w:bidi/>
      </w:pPr>
      <w:r>
        <w:rPr>
          <w:rFonts w:ascii="Arial" w:hAnsi="Arial"/>
          <w:sz w:val="16"/>
        </w:rPr>
        <w:t>236.31  محیطی از ارتباطات باز را برای ایجاد حمایت از تغییر و کاهش تعداد کارمندانی که در درون در برابر آن مقاومت می‌کنند، حفظ کنید.</w:t>
      </w:r>
    </w:p>
    <w:p>
      <w:pPr>
        <w:spacing w:after="28" w:line="216" w:lineRule="auto"/>
        <w:ind w:left="259"/>
        <w:jc w:val="left"/>
      </w:pPr>
      <w:r>
        <w:rPr>
          <w:rFonts w:ascii="Arial" w:hAnsi="Arial"/>
          <w:color w:val="525252"/>
          <w:sz w:val="13"/>
        </w:rPr>
        <w:t>Maintain an environment of open communication to build support for the change and reduce the amount of employees who inwardly resist it.</w:t>
      </w:r>
    </w:p>
    <w:p>
      <w:pPr>
        <w:spacing w:after="20" w:line="223" w:lineRule="auto"/>
        <w:jc w:val="right"/>
        <w:bidi/>
      </w:pPr>
      <w:r>
        <w:rPr>
          <w:rFonts w:ascii="Arial" w:hAnsi="Arial"/>
          <w:sz w:val="16"/>
        </w:rPr>
        <w:t>236.32  عزم بیش از حد.</w:t>
      </w:r>
    </w:p>
    <w:p>
      <w:pPr>
        <w:spacing w:after="28" w:line="216" w:lineRule="auto"/>
        <w:ind w:left="259"/>
        <w:jc w:val="left"/>
      </w:pPr>
      <w:r>
        <w:rPr>
          <w:rFonts w:ascii="Arial" w:hAnsi="Arial"/>
          <w:color w:val="525252"/>
          <w:sz w:val="13"/>
        </w:rPr>
        <w:t>Over-Determination.</w:t>
      </w:r>
    </w:p>
    <w:p>
      <w:pPr>
        <w:spacing w:after="20" w:line="223" w:lineRule="auto"/>
        <w:jc w:val="right"/>
        <w:bidi/>
      </w:pPr>
      <w:r>
        <w:rPr>
          <w:rFonts w:ascii="Arial" w:hAnsi="Arial"/>
          <w:sz w:val="16"/>
        </w:rPr>
        <w:t>236.33  از قضا، ساختار سازمانی ممکن است مانعی برای تغییر باشد.</w:t>
      </w:r>
    </w:p>
    <w:p>
      <w:pPr>
        <w:spacing w:after="28" w:line="216" w:lineRule="auto"/>
        <w:ind w:left="259"/>
        <w:jc w:val="left"/>
      </w:pPr>
      <w:r>
        <w:rPr>
          <w:rFonts w:ascii="Arial" w:hAnsi="Arial"/>
          <w:color w:val="525252"/>
          <w:sz w:val="13"/>
        </w:rPr>
        <w:t>Ironically, organizational structure may be a barrier to change.</w:t>
      </w:r>
    </w:p>
    <w:p>
      <w:pPr>
        <w:spacing w:after="20" w:line="223" w:lineRule="auto"/>
        <w:jc w:val="right"/>
        <w:bidi/>
      </w:pPr>
      <w:r>
        <w:rPr>
          <w:rFonts w:ascii="Arial" w:hAnsi="Arial"/>
          <w:sz w:val="16"/>
        </w:rPr>
        <w:t>236.34  به‌عنوان مثال، یک ساختار مکانیکی که بر رویه و خطوط اختیارات دقیق تکیه دارد ممکن است آنقدر سفت و سخت باشد که مانع از تغییر شود و احتمالا به روابط حرفه‌ای آسیب برساند.</w:t>
      </w:r>
    </w:p>
    <w:p>
      <w:pPr>
        <w:spacing w:after="28" w:line="216" w:lineRule="auto"/>
        <w:ind w:left="259"/>
        <w:jc w:val="left"/>
      </w:pPr>
      <w:r>
        <w:rPr>
          <w:rFonts w:ascii="Arial" w:hAnsi="Arial"/>
          <w:color w:val="525252"/>
          <w:sz w:val="13"/>
        </w:rPr>
        <w:t>For example, a mechanistic structure that relies on strict procedure and lines of authority may be so rigid that it inhibits change and possibly damages professional relationships.</w:t>
      </w:r>
    </w:p>
    <w:p>
      <w:r>
        <w:br w:type="page"/>
      </w:r>
    </w:p>
    <w:p>
      <w:pPr>
        <w:spacing w:after="60"/>
        <w:jc w:val="right"/>
        <w:bidi/>
      </w:pPr>
      <w:r>
        <w:rPr>
          <w:rFonts w:ascii="Arial" w:hAnsi="Arial"/>
          <w:b/>
          <w:color w:val="1F4D78"/>
          <w:sz w:val="19"/>
        </w:rPr>
        <w:t>هفتهٔ 237  |  صفحهٔ منبع: 253</w:t>
      </w:r>
    </w:p>
    <w:p>
      <w:pPr>
        <w:spacing w:before="60" w:after="28"/>
        <w:jc w:val="right"/>
        <w:bidi/>
      </w:pPr>
      <w:r>
        <w:rPr>
          <w:b/>
          <w:color w:val="1F4D78"/>
          <w:sz w:val="18"/>
        </w:rPr>
        <w:t>13.10. کاهش مقاومت درک شده در برابر تغییر</w:t>
      </w:r>
    </w:p>
    <w:p>
      <w:pPr>
        <w:spacing w:after="20"/>
        <w:ind w:left="259"/>
        <w:jc w:val="left"/>
      </w:pPr>
      <w:r>
        <w:rPr>
          <w:color w:val="555555"/>
          <w:sz w:val="12"/>
        </w:rPr>
        <w:t>13.10. Reducing Perceived Resistance to Change</w:t>
      </w:r>
    </w:p>
    <w:p>
      <w:pPr>
        <w:spacing w:after="20" w:line="223" w:lineRule="auto"/>
        <w:jc w:val="right"/>
        <w:bidi/>
      </w:pPr>
      <w:r>
        <w:rPr>
          <w:rFonts w:ascii="Arial" w:hAnsi="Arial"/>
          <w:sz w:val="16"/>
        </w:rPr>
        <w:t>237.02  مدیریت تغییر موفق به رسیدگی به علل مقاومت و بهبود فرآیند اجرای تغییر بستگی دارد.</w:t>
      </w:r>
    </w:p>
    <w:p>
      <w:pPr>
        <w:spacing w:after="28" w:line="216" w:lineRule="auto"/>
        <w:ind w:left="259"/>
        <w:jc w:val="left"/>
      </w:pPr>
      <w:r>
        <w:rPr>
          <w:rFonts w:ascii="Arial" w:hAnsi="Arial"/>
          <w:color w:val="525252"/>
          <w:sz w:val="13"/>
        </w:rPr>
        <w:t>Successful change management depends on addressing causes of resistance and improving the change implementation process.</w:t>
      </w:r>
    </w:p>
    <w:p>
      <w:pPr>
        <w:spacing w:after="20" w:line="223" w:lineRule="auto"/>
        <w:jc w:val="right"/>
        <w:bidi/>
      </w:pPr>
      <w:r>
        <w:rPr>
          <w:rFonts w:ascii="Arial" w:hAnsi="Arial"/>
          <w:sz w:val="16"/>
        </w:rPr>
        <w:t>237.03  چندین رویکرد وجود دارد که رهبران می‌توانند برای اجرای موفقیت آمیز تغییر اتخاذ کنند.</w:t>
      </w:r>
    </w:p>
    <w:p>
      <w:pPr>
        <w:spacing w:after="28" w:line="216" w:lineRule="auto"/>
        <w:ind w:left="259"/>
        <w:jc w:val="left"/>
      </w:pPr>
      <w:r>
        <w:rPr>
          <w:rFonts w:ascii="Arial" w:hAnsi="Arial"/>
          <w:color w:val="525252"/>
          <w:sz w:val="13"/>
        </w:rPr>
        <w:t>There are several approaches leaders can take to implement change successfully.</w:t>
      </w:r>
    </w:p>
    <w:p>
      <w:pPr>
        <w:spacing w:after="20" w:line="223" w:lineRule="auto"/>
        <w:jc w:val="right"/>
        <w:bidi/>
      </w:pPr>
      <w:r>
        <w:rPr>
          <w:rFonts w:ascii="Arial" w:hAnsi="Arial"/>
          <w:sz w:val="16"/>
        </w:rPr>
        <w:t>237.04  آموزش و ارتباطات.</w:t>
      </w:r>
    </w:p>
    <w:p>
      <w:pPr>
        <w:spacing w:after="28" w:line="216" w:lineRule="auto"/>
        <w:ind w:left="259"/>
        <w:jc w:val="left"/>
      </w:pPr>
      <w:r>
        <w:rPr>
          <w:rFonts w:ascii="Arial" w:hAnsi="Arial"/>
          <w:color w:val="525252"/>
          <w:sz w:val="13"/>
        </w:rPr>
        <w:t>Education and Communication.</w:t>
      </w:r>
    </w:p>
    <w:p>
      <w:pPr>
        <w:spacing w:after="20" w:line="223" w:lineRule="auto"/>
        <w:jc w:val="right"/>
        <w:bidi/>
      </w:pPr>
      <w:r>
        <w:rPr>
          <w:rFonts w:ascii="Arial" w:hAnsi="Arial"/>
          <w:sz w:val="16"/>
        </w:rPr>
        <w:t>237.05  ارتباط باز در طول فرآیند تغییر ضروری است و به کاهش عدم اطمینان کمک می‌کند.</w:t>
      </w:r>
    </w:p>
    <w:p>
      <w:pPr>
        <w:spacing w:after="28" w:line="216" w:lineRule="auto"/>
        <w:ind w:left="259"/>
        <w:jc w:val="left"/>
      </w:pPr>
      <w:r>
        <w:rPr>
          <w:rFonts w:ascii="Arial" w:hAnsi="Arial"/>
          <w:color w:val="525252"/>
          <w:sz w:val="13"/>
        </w:rPr>
        <w:t>Open communication is necessary throughout the change process and helps reduce uncertainty.</w:t>
      </w:r>
    </w:p>
    <w:p>
      <w:pPr>
        <w:spacing w:after="20" w:line="223" w:lineRule="auto"/>
        <w:jc w:val="right"/>
        <w:bidi/>
      </w:pPr>
      <w:r>
        <w:rPr>
          <w:rFonts w:ascii="Arial" w:hAnsi="Arial"/>
          <w:sz w:val="16"/>
        </w:rPr>
        <w:t>237.06  آموزش مردم در مورد نیاز و نتایج مورد انتظار یک تغییر باید مقاومت را کاهش دهد.</w:t>
      </w:r>
    </w:p>
    <w:p>
      <w:pPr>
        <w:spacing w:after="28" w:line="216" w:lineRule="auto"/>
        <w:ind w:left="259"/>
        <w:jc w:val="left"/>
      </w:pPr>
      <w:r>
        <w:rPr>
          <w:rFonts w:ascii="Arial" w:hAnsi="Arial"/>
          <w:color w:val="525252"/>
          <w:sz w:val="13"/>
        </w:rPr>
        <w:t>Educating people about the need for and expected results of a change should reduce resistance.</w:t>
      </w:r>
    </w:p>
    <w:p>
      <w:pPr>
        <w:spacing w:after="20" w:line="223" w:lineRule="auto"/>
        <w:jc w:val="right"/>
        <w:bidi/>
      </w:pPr>
      <w:r>
        <w:rPr>
          <w:rFonts w:ascii="Arial" w:hAnsi="Arial"/>
          <w:sz w:val="16"/>
        </w:rPr>
        <w:t>237.07  مشارکت و مشارکت.</w:t>
      </w:r>
    </w:p>
    <w:p>
      <w:pPr>
        <w:spacing w:after="28" w:line="216" w:lineRule="auto"/>
        <w:ind w:left="259"/>
        <w:jc w:val="left"/>
      </w:pPr>
      <w:r>
        <w:rPr>
          <w:rFonts w:ascii="Arial" w:hAnsi="Arial"/>
          <w:color w:val="525252"/>
          <w:sz w:val="13"/>
        </w:rPr>
        <w:t>Participation and Involvement.</w:t>
      </w:r>
    </w:p>
    <w:p>
      <w:pPr>
        <w:spacing w:after="20" w:line="223" w:lineRule="auto"/>
        <w:jc w:val="right"/>
        <w:bidi/>
      </w:pPr>
      <w:r>
        <w:rPr>
          <w:rFonts w:ascii="Arial" w:hAnsi="Arial"/>
          <w:sz w:val="16"/>
        </w:rPr>
        <w:t>237.08  رهبران با مشارکت فعال افراد متاثر در طراحی و اجرای تغییرات، مقاومت را کاهش می‌دهند.</w:t>
      </w:r>
    </w:p>
    <w:p>
      <w:pPr>
        <w:spacing w:after="28" w:line="216" w:lineRule="auto"/>
        <w:ind w:left="259"/>
        <w:jc w:val="left"/>
      </w:pPr>
      <w:r>
        <w:rPr>
          <w:rFonts w:ascii="Arial" w:hAnsi="Arial"/>
          <w:color w:val="525252"/>
          <w:sz w:val="13"/>
        </w:rPr>
        <w:t>Leaders reduce resistance by actively involving those affected in designing and implementing change.</w:t>
      </w:r>
    </w:p>
    <w:p>
      <w:pPr>
        <w:spacing w:after="20" w:line="223" w:lineRule="auto"/>
        <w:jc w:val="right"/>
        <w:bidi/>
      </w:pPr>
      <w:r>
        <w:rPr>
          <w:rFonts w:ascii="Arial" w:hAnsi="Arial"/>
          <w:sz w:val="16"/>
        </w:rPr>
        <w:t>237.09  مشارکت دادن افراد در فرآیند تغییر به ایجاد مالکیت و تعهد نسبت به تغییر کمک می‌کند.</w:t>
      </w:r>
    </w:p>
    <w:p>
      <w:pPr>
        <w:spacing w:after="28" w:line="216" w:lineRule="auto"/>
        <w:ind w:left="259"/>
        <w:jc w:val="left"/>
      </w:pPr>
      <w:r>
        <w:rPr>
          <w:rFonts w:ascii="Arial" w:hAnsi="Arial"/>
          <w:color w:val="525252"/>
          <w:sz w:val="13"/>
        </w:rPr>
        <w:t>Involving people in the change process helps generate ownership and commitment to the change.</w:t>
      </w:r>
    </w:p>
    <w:p>
      <w:pPr>
        <w:spacing w:after="20" w:line="223" w:lineRule="auto"/>
        <w:jc w:val="right"/>
        <w:bidi/>
      </w:pPr>
      <w:r>
        <w:rPr>
          <w:rFonts w:ascii="Arial" w:hAnsi="Arial"/>
          <w:sz w:val="16"/>
        </w:rPr>
        <w:t>237.10  تسهیل و پشتیبانی.</w:t>
      </w:r>
    </w:p>
    <w:p>
      <w:pPr>
        <w:spacing w:after="28" w:line="216" w:lineRule="auto"/>
        <w:ind w:left="259"/>
        <w:jc w:val="left"/>
      </w:pPr>
      <w:r>
        <w:rPr>
          <w:rFonts w:ascii="Arial" w:hAnsi="Arial"/>
          <w:color w:val="525252"/>
          <w:sz w:val="13"/>
        </w:rPr>
        <w:t>Facilitation and Support.</w:t>
      </w:r>
    </w:p>
    <w:p>
      <w:pPr>
        <w:spacing w:after="20" w:line="223" w:lineRule="auto"/>
        <w:jc w:val="right"/>
        <w:bidi/>
      </w:pPr>
      <w:r>
        <w:rPr>
          <w:rFonts w:ascii="Arial" w:hAnsi="Arial"/>
          <w:sz w:val="16"/>
        </w:rPr>
        <w:t>237.11  رهبران باید تغییر را به تدریج به‌کارکنان معرفی کنند و در صورت نیاز آموزش‌های تکمیلی را ارائه دهند.</w:t>
      </w:r>
    </w:p>
    <w:p>
      <w:pPr>
        <w:spacing w:after="28" w:line="216" w:lineRule="auto"/>
        <w:ind w:left="259"/>
        <w:jc w:val="left"/>
      </w:pPr>
      <w:r>
        <w:rPr>
          <w:rFonts w:ascii="Arial" w:hAnsi="Arial"/>
          <w:color w:val="525252"/>
          <w:sz w:val="13"/>
        </w:rPr>
        <w:t>Leaders should introduce the change to employees gradually and provide additional training, if needed.</w:t>
      </w:r>
    </w:p>
    <w:p>
      <w:pPr>
        <w:spacing w:after="20" w:line="223" w:lineRule="auto"/>
        <w:jc w:val="right"/>
        <w:bidi/>
      </w:pPr>
      <w:r>
        <w:rPr>
          <w:rFonts w:ascii="Arial" w:hAnsi="Arial"/>
          <w:sz w:val="16"/>
        </w:rPr>
        <w:t>237.12  تقویت و تشویق به تسهیل قدرت انتظارات بالا در سراسر سازمان کمک می‌کند.</w:t>
      </w:r>
    </w:p>
    <w:p>
      <w:pPr>
        <w:spacing w:after="28" w:line="216" w:lineRule="auto"/>
        <w:ind w:left="259"/>
        <w:jc w:val="left"/>
      </w:pPr>
      <w:r>
        <w:rPr>
          <w:rFonts w:ascii="Arial" w:hAnsi="Arial"/>
          <w:color w:val="525252"/>
          <w:sz w:val="13"/>
        </w:rPr>
        <w:t>Reinforcement and encouragement help facilitate the power of high expectations throughout the organization.</w:t>
      </w:r>
    </w:p>
    <w:p>
      <w:pPr>
        <w:spacing w:after="20" w:line="223" w:lineRule="auto"/>
        <w:jc w:val="right"/>
        <w:bidi/>
      </w:pPr>
      <w:r>
        <w:rPr>
          <w:rFonts w:ascii="Arial" w:hAnsi="Arial"/>
          <w:sz w:val="16"/>
        </w:rPr>
        <w:t>237.13  مذاکره و توافق.</w:t>
      </w:r>
    </w:p>
    <w:p>
      <w:pPr>
        <w:spacing w:after="28" w:line="216" w:lineRule="auto"/>
        <w:ind w:left="259"/>
        <w:jc w:val="left"/>
      </w:pPr>
      <w:r>
        <w:rPr>
          <w:rFonts w:ascii="Arial" w:hAnsi="Arial"/>
          <w:color w:val="525252"/>
          <w:sz w:val="13"/>
        </w:rPr>
        <w:t>Negotiation and Agreement.</w:t>
      </w:r>
    </w:p>
    <w:p>
      <w:pPr>
        <w:spacing w:after="20" w:line="223" w:lineRule="auto"/>
        <w:jc w:val="right"/>
        <w:bidi/>
      </w:pPr>
      <w:r>
        <w:rPr>
          <w:rFonts w:ascii="Arial" w:hAnsi="Arial"/>
          <w:sz w:val="16"/>
        </w:rPr>
        <w:t>237.14  رهبران ممکن است برای کسانی که به مقاومت در برابر تغییر ادامه می‌دهند، مشوق‌هایی ارائه دهند.</w:t>
      </w:r>
    </w:p>
    <w:p>
      <w:pPr>
        <w:spacing w:after="28" w:line="216" w:lineRule="auto"/>
        <w:ind w:left="259"/>
        <w:jc w:val="left"/>
      </w:pPr>
      <w:r>
        <w:rPr>
          <w:rFonts w:ascii="Arial" w:hAnsi="Arial"/>
          <w:color w:val="525252"/>
          <w:sz w:val="13"/>
        </w:rPr>
        <w:t>Leaders may choose to offer incentives to those who continue to resist the change.</w:t>
      </w:r>
    </w:p>
    <w:p>
      <w:pPr>
        <w:spacing w:after="20" w:line="223" w:lineRule="auto"/>
        <w:jc w:val="right"/>
        <w:bidi/>
      </w:pPr>
      <w:r>
        <w:rPr>
          <w:rFonts w:ascii="Arial" w:hAnsi="Arial"/>
          <w:sz w:val="16"/>
        </w:rPr>
        <w:t>237.15  در زمان‌های سخت، توافق‌های مورد مذاکره می‌توانند به تمرکز و یادآوری تغییرات مورد توافق در حین پیشرفت فرآیند تغییر به‌کارکنان کمک کنند.</w:t>
      </w:r>
    </w:p>
    <w:p>
      <w:pPr>
        <w:spacing w:after="28" w:line="216" w:lineRule="auto"/>
        <w:ind w:left="259"/>
        <w:jc w:val="left"/>
      </w:pPr>
      <w:r>
        <w:rPr>
          <w:rFonts w:ascii="Arial" w:hAnsi="Arial"/>
          <w:color w:val="525252"/>
          <w:sz w:val="13"/>
        </w:rPr>
        <w:t>In difficult times, negotiated agreements can help focus and remind employees of the changes agreed upon as the change process progresses.</w:t>
      </w:r>
    </w:p>
    <w:p>
      <w:pPr>
        <w:spacing w:after="20" w:line="223" w:lineRule="auto"/>
        <w:jc w:val="right"/>
        <w:bidi/>
      </w:pPr>
      <w:r>
        <w:rPr>
          <w:rFonts w:ascii="Arial" w:hAnsi="Arial"/>
          <w:sz w:val="16"/>
        </w:rPr>
        <w:t>237.16  اجبار.</w:t>
      </w:r>
    </w:p>
    <w:p>
      <w:pPr>
        <w:spacing w:after="28" w:line="216" w:lineRule="auto"/>
        <w:ind w:left="259"/>
        <w:jc w:val="left"/>
      </w:pPr>
      <w:r>
        <w:rPr>
          <w:rFonts w:ascii="Arial" w:hAnsi="Arial"/>
          <w:color w:val="525252"/>
          <w:sz w:val="13"/>
        </w:rPr>
        <w:t>Coercion.</w:t>
      </w:r>
    </w:p>
    <w:p>
      <w:pPr>
        <w:spacing w:after="20" w:line="223" w:lineRule="auto"/>
        <w:jc w:val="right"/>
        <w:bidi/>
      </w:pPr>
      <w:r>
        <w:rPr>
          <w:rFonts w:ascii="Arial" w:hAnsi="Arial"/>
          <w:sz w:val="16"/>
        </w:rPr>
        <w:t>237.17  اجبار یک تکنیک اجباری است که برای وادار کردن کارکنان به پذیرش تغییر استفاده می‌شود.</w:t>
      </w:r>
    </w:p>
    <w:p>
      <w:pPr>
        <w:spacing w:after="28" w:line="216" w:lineRule="auto"/>
        <w:ind w:left="259"/>
        <w:jc w:val="left"/>
      </w:pPr>
      <w:r>
        <w:rPr>
          <w:rFonts w:ascii="Arial" w:hAnsi="Arial"/>
          <w:color w:val="525252"/>
          <w:sz w:val="13"/>
        </w:rPr>
        <w:t>Coercion is a forcing technique used to make employees accept change.</w:t>
      </w:r>
    </w:p>
    <w:p>
      <w:pPr>
        <w:spacing w:after="20" w:line="223" w:lineRule="auto"/>
        <w:jc w:val="right"/>
        <w:bidi/>
      </w:pPr>
      <w:r>
        <w:rPr>
          <w:rFonts w:ascii="Arial" w:hAnsi="Arial"/>
          <w:sz w:val="16"/>
        </w:rPr>
        <w:t>237.18  اجبار می‌تواند بر نگرش‌ها تأثیر منفی بگذارد و به‌طور بالقوه می‌تواند عواقب منفی طولانی‌مدتی ایجاد کند.</w:t>
      </w:r>
    </w:p>
    <w:p>
      <w:pPr>
        <w:spacing w:after="28" w:line="216" w:lineRule="auto"/>
        <w:ind w:left="259"/>
        <w:jc w:val="left"/>
      </w:pPr>
      <w:r>
        <w:rPr>
          <w:rFonts w:ascii="Arial" w:hAnsi="Arial"/>
          <w:color w:val="525252"/>
          <w:sz w:val="13"/>
        </w:rPr>
        <w:t>Coercion can negatively affect attitudes and can potentially cause long-term negative consequences.</w:t>
      </w:r>
    </w:p>
    <w:p>
      <w:pPr>
        <w:spacing w:after="20" w:line="223" w:lineRule="auto"/>
        <w:jc w:val="right"/>
        <w:bidi/>
      </w:pPr>
      <w:r>
        <w:rPr>
          <w:rFonts w:ascii="Arial" w:hAnsi="Arial"/>
          <w:sz w:val="16"/>
        </w:rPr>
        <w:t>237.19  پیروی اجباری توصیه نمی‌شود و به نظارت مداوم رهبری نیاز دارد تا اطمینان حاصل شود که تغییر همچنان به قوت خود باقی است.</w:t>
      </w:r>
    </w:p>
    <w:p>
      <w:pPr>
        <w:spacing w:after="28" w:line="216" w:lineRule="auto"/>
        <w:ind w:left="259"/>
        <w:jc w:val="left"/>
      </w:pPr>
      <w:r>
        <w:rPr>
          <w:rFonts w:ascii="Arial" w:hAnsi="Arial"/>
          <w:color w:val="525252"/>
          <w:sz w:val="13"/>
        </w:rPr>
        <w:t>Coerced compliance is not recommended and requires constant leadership oversight to ensure the change remains in effect.</w:t>
      </w:r>
    </w:p>
    <w:p>
      <w:pPr>
        <w:spacing w:before="60" w:after="28"/>
        <w:jc w:val="right"/>
        <w:bidi/>
      </w:pPr>
      <w:r>
        <w:rPr>
          <w:b/>
          <w:color w:val="1F4D78"/>
          <w:sz w:val="18"/>
        </w:rPr>
        <w:t>13.11. فرآیند تغییر سه مرحله ای</w:t>
      </w:r>
    </w:p>
    <w:p>
      <w:pPr>
        <w:spacing w:after="20"/>
        <w:ind w:left="259"/>
        <w:jc w:val="left"/>
      </w:pPr>
      <w:r>
        <w:rPr>
          <w:color w:val="555555"/>
          <w:sz w:val="12"/>
        </w:rPr>
        <w:t>13.11. Three-Stage Change Process</w:t>
      </w:r>
    </w:p>
    <w:p>
      <w:pPr>
        <w:spacing w:after="20" w:line="223" w:lineRule="auto"/>
        <w:jc w:val="right"/>
        <w:bidi/>
      </w:pPr>
      <w:r>
        <w:rPr>
          <w:rFonts w:ascii="Arial" w:hAnsi="Arial"/>
          <w:sz w:val="16"/>
        </w:rPr>
        <w:t>237.21  اگرچه طیف وسیعی از فرآیندهای تغییر مختلف وجود دارد، مدل فرآیند تغییر که توسط روانشناس اجتماعی مشهور، کرت لوین پیشنهاد شده است، به رهبران توصیه می‌کند که تغییر را یک فرآیند سه مرحله‌ای می‌بینند: انجماد، تغییر و انجماد مجدد.</w:t>
      </w:r>
    </w:p>
    <w:p>
      <w:pPr>
        <w:spacing w:after="28" w:line="216" w:lineRule="auto"/>
        <w:ind w:left="259"/>
        <w:jc w:val="left"/>
      </w:pPr>
      <w:r>
        <w:rPr>
          <w:rFonts w:ascii="Arial" w:hAnsi="Arial"/>
          <w:color w:val="525252"/>
          <w:sz w:val="13"/>
        </w:rPr>
        <w:t>Although there are a wide range of various change processes, the change process model proposed by renowned social psychologist, Kurt Lewin, recommended leaders view change as a three-stage process: unfreezing, changing, and refreezing.</w:t>
      </w:r>
    </w:p>
    <w:p>
      <w:pPr>
        <w:spacing w:after="20" w:line="223" w:lineRule="auto"/>
        <w:jc w:val="right"/>
        <w:bidi/>
      </w:pPr>
      <w:r>
        <w:rPr>
          <w:rFonts w:ascii="Arial" w:hAnsi="Arial"/>
          <w:sz w:val="16"/>
        </w:rPr>
        <w:t>237.22  در فرآیند سه مرحله‌ای تغییر، رهبران (عوامل تغییر) باید نیروهای بازدارنده یا مخالف را تجزیه و تحلیل کنند و برای غلبه بر مقاومت، راه‌هایی برای کاهش آنها بیاندیشند.</w:t>
      </w:r>
    </w:p>
    <w:p>
      <w:pPr>
        <w:spacing w:after="28" w:line="216" w:lineRule="auto"/>
        <w:ind w:left="259"/>
        <w:jc w:val="left"/>
      </w:pPr>
      <w:r>
        <w:rPr>
          <w:rFonts w:ascii="Arial" w:hAnsi="Arial"/>
          <w:color w:val="525252"/>
          <w:sz w:val="13"/>
        </w:rPr>
        <w:t>In the three-stage change process, leaders (change agents) must analyze restraining or opposing forces and devise ways to reduce them to overcome resistance.</w:t>
      </w:r>
    </w:p>
    <w:p>
      <w:pPr>
        <w:spacing w:after="20" w:line="223" w:lineRule="auto"/>
        <w:jc w:val="right"/>
        <w:bidi/>
      </w:pPr>
      <w:r>
        <w:rPr>
          <w:rFonts w:ascii="Arial" w:hAnsi="Arial"/>
          <w:sz w:val="16"/>
        </w:rPr>
        <w:t>237.23  در عین حال، رهبران باید نیروهای حامی را که همان نیروهایی هستند که به سوی تغییر فشار می‌آورند، بشناسند و تقویت کنند.</w:t>
      </w:r>
    </w:p>
    <w:p>
      <w:pPr>
        <w:spacing w:after="28" w:line="216" w:lineRule="auto"/>
        <w:ind w:left="259"/>
        <w:jc w:val="left"/>
      </w:pPr>
      <w:r>
        <w:rPr>
          <w:rFonts w:ascii="Arial" w:hAnsi="Arial"/>
          <w:color w:val="525252"/>
          <w:sz w:val="13"/>
        </w:rPr>
        <w:t>At the same time, leaders must recognize and strengthen supporting forces, which are those forces pushing toward change.</w:t>
      </w:r>
    </w:p>
    <w:p>
      <w:pPr>
        <w:spacing w:after="20" w:line="223" w:lineRule="auto"/>
        <w:jc w:val="right"/>
        <w:bidi/>
      </w:pPr>
      <w:r>
        <w:rPr>
          <w:rFonts w:ascii="Arial" w:hAnsi="Arial"/>
          <w:sz w:val="16"/>
        </w:rPr>
        <w:t>237.24  پس از تجزیه و تحلیل نیروهای موافق و مخالف تغییر و تدوین استراتژی برای مقابله با آنها، رهبران می‌توانند به خود تغییر توجه کنند.</w:t>
      </w:r>
    </w:p>
    <w:p>
      <w:pPr>
        <w:spacing w:after="28" w:line="216" w:lineRule="auto"/>
        <w:ind w:left="259"/>
        <w:jc w:val="left"/>
      </w:pPr>
      <w:r>
        <w:rPr>
          <w:rFonts w:ascii="Arial" w:hAnsi="Arial"/>
          <w:color w:val="525252"/>
          <w:sz w:val="13"/>
        </w:rPr>
        <w:t>After analyzing the forces for and against change, and developing a strategy to deal with them, leaders can attend to the change itself.</w:t>
      </w:r>
    </w:p>
    <w:p>
      <w:pPr>
        <w:spacing w:after="20" w:line="223" w:lineRule="auto"/>
        <w:jc w:val="right"/>
        <w:bidi/>
      </w:pPr>
      <w:r>
        <w:rPr>
          <w:rFonts w:ascii="Arial" w:hAnsi="Arial"/>
          <w:sz w:val="16"/>
        </w:rPr>
        <w:t>237.25  مرحله ۱: یخ زدایی.</w:t>
      </w:r>
    </w:p>
    <w:p>
      <w:pPr>
        <w:spacing w:after="28" w:line="216" w:lineRule="auto"/>
        <w:ind w:left="259"/>
        <w:jc w:val="left"/>
      </w:pPr>
      <w:r>
        <w:rPr>
          <w:rFonts w:ascii="Arial" w:hAnsi="Arial"/>
          <w:color w:val="525252"/>
          <w:sz w:val="13"/>
        </w:rPr>
        <w:t>Stage 1: Unfreezing.</w:t>
      </w:r>
    </w:p>
    <w:p>
      <w:pPr>
        <w:spacing w:after="20" w:line="223" w:lineRule="auto"/>
        <w:jc w:val="right"/>
        <w:bidi/>
      </w:pPr>
      <w:r>
        <w:rPr>
          <w:rFonts w:ascii="Arial" w:hAnsi="Arial"/>
          <w:sz w:val="16"/>
        </w:rPr>
        <w:t>237.26  هنگامی که نیاز به تغییر تشخیص داده شد، فرآیند تغییر سه مرحله‌ای با باز کردن انجماد آغاز می‌شود.</w:t>
      </w:r>
    </w:p>
    <w:p>
      <w:pPr>
        <w:spacing w:after="28" w:line="216" w:lineRule="auto"/>
        <w:ind w:left="259"/>
        <w:jc w:val="left"/>
      </w:pPr>
      <w:r>
        <w:rPr>
          <w:rFonts w:ascii="Arial" w:hAnsi="Arial"/>
          <w:color w:val="525252"/>
          <w:sz w:val="13"/>
        </w:rPr>
        <w:t>Once the need for change is recognized, the three-stage change process begins with unfreezing.</w:t>
      </w:r>
    </w:p>
    <w:p>
      <w:pPr>
        <w:spacing w:after="20" w:line="223" w:lineRule="auto"/>
        <w:jc w:val="right"/>
        <w:bidi/>
      </w:pPr>
      <w:r>
        <w:rPr>
          <w:rFonts w:ascii="Arial" w:hAnsi="Arial"/>
          <w:sz w:val="16"/>
        </w:rPr>
        <w:t>237.27  باز کردن انجماد یک فعالیت مدیریتی عمدی برای آماده کردن افراد برای تغییر با دانستن و رفتن به جایی است که ممکن است مسائل وجود داشته باشد.</w:t>
      </w:r>
    </w:p>
    <w:p>
      <w:pPr>
        <w:spacing w:after="28" w:line="216" w:lineRule="auto"/>
        <w:ind w:left="259"/>
        <w:jc w:val="left"/>
      </w:pPr>
      <w:r>
        <w:rPr>
          <w:rFonts w:ascii="Arial" w:hAnsi="Arial"/>
          <w:color w:val="525252"/>
          <w:sz w:val="13"/>
        </w:rPr>
        <w:t>Unfreezing is a deliberate management activity to prepare people for change by knowing and going where issues may exists.</w:t>
      </w:r>
    </w:p>
    <w:p>
      <w:pPr>
        <w:spacing w:after="20" w:line="223" w:lineRule="auto"/>
        <w:jc w:val="right"/>
        <w:bidi/>
      </w:pPr>
      <w:r>
        <w:rPr>
          <w:rFonts w:ascii="Arial" w:hAnsi="Arial"/>
          <w:sz w:val="16"/>
        </w:rPr>
        <w:t>237.28  نادیده گرفته‌شده‌ترین و در عین حال ضروری‌ترین بخش یخ زدایی، ایجاد محیطی است که در آن افراد نیاز به تغییر را احساس کنند.</w:t>
      </w:r>
    </w:p>
    <w:p>
      <w:pPr>
        <w:spacing w:after="28" w:line="216" w:lineRule="auto"/>
        <w:ind w:left="259"/>
        <w:jc w:val="left"/>
      </w:pPr>
      <w:r>
        <w:rPr>
          <w:rFonts w:ascii="Arial" w:hAnsi="Arial"/>
          <w:color w:val="525252"/>
          <w:sz w:val="13"/>
        </w:rPr>
        <w:t>The most neglected, yet essential part of unfreezing is creating an environment where people feel the need for change.</w:t>
      </w:r>
    </w:p>
    <w:p>
      <w:pPr>
        <w:spacing w:after="20" w:line="223" w:lineRule="auto"/>
        <w:jc w:val="right"/>
        <w:bidi/>
      </w:pPr>
      <w:r>
        <w:rPr>
          <w:rFonts w:ascii="Arial" w:hAnsi="Arial"/>
          <w:sz w:val="16"/>
        </w:rPr>
        <w:t>237.29  یک عامل کلیدی در آزادسازی انجماد شامل آگاه کردن افراد در مورد اهمیت تغییر و چگونگی تأثیر آن بر مشاغل یا ساختار کلی سازمانی است.</w:t>
      </w:r>
    </w:p>
    <w:p>
      <w:pPr>
        <w:spacing w:after="28" w:line="216" w:lineRule="auto"/>
        <w:ind w:left="259"/>
        <w:jc w:val="left"/>
      </w:pPr>
      <w:r>
        <w:rPr>
          <w:rFonts w:ascii="Arial" w:hAnsi="Arial"/>
          <w:color w:val="525252"/>
          <w:sz w:val="13"/>
        </w:rPr>
        <w:t>A key factor in unfreezing involves making people knowledgeable about the importance of a change and how it will affect their jobs or the overall organizational structure.</w:t>
      </w:r>
    </w:p>
    <w:p>
      <w:pPr>
        <w:spacing w:after="20" w:line="223" w:lineRule="auto"/>
        <w:jc w:val="right"/>
        <w:bidi/>
      </w:pPr>
      <w:r>
        <w:rPr>
          <w:rFonts w:ascii="Arial" w:hAnsi="Arial"/>
          <w:sz w:val="16"/>
        </w:rPr>
        <w:t>237.30  با اشاره به مشکلات یا چالش‌هایی که در حال حاضر در سازمان وجود دارد، رهبران می‌توانند نیازی را در افرادی ایجاد کنند که بیشترین تأثیر تغییر را احساس کنند.</w:t>
      </w:r>
    </w:p>
    <w:p>
      <w:pPr>
        <w:spacing w:after="28" w:line="216" w:lineRule="auto"/>
        <w:ind w:left="259"/>
        <w:jc w:val="left"/>
      </w:pPr>
      <w:r>
        <w:rPr>
          <w:rFonts w:ascii="Arial" w:hAnsi="Arial"/>
          <w:color w:val="525252"/>
          <w:sz w:val="13"/>
        </w:rPr>
        <w:t>By pointing out problems or challenges that currently exist in the organization, leaders are able to generate a need in the people who will feel the greatest effect of the change.</w:t>
      </w:r>
    </w:p>
    <w:p>
      <w:pPr>
        <w:spacing w:after="20" w:line="223" w:lineRule="auto"/>
        <w:jc w:val="right"/>
        <w:bidi/>
      </w:pPr>
      <w:r>
        <w:rPr>
          <w:rFonts w:ascii="Arial" w:hAnsi="Arial"/>
          <w:sz w:val="16"/>
        </w:rPr>
        <w:t>237.31  مرحله ۲: تغییر.</w:t>
      </w:r>
    </w:p>
    <w:p>
      <w:pPr>
        <w:spacing w:after="28" w:line="216" w:lineRule="auto"/>
        <w:ind w:left="259"/>
        <w:jc w:val="left"/>
      </w:pPr>
      <w:r>
        <w:rPr>
          <w:rFonts w:ascii="Arial" w:hAnsi="Arial"/>
          <w:color w:val="525252"/>
          <w:sz w:val="13"/>
        </w:rPr>
        <w:t>Stage 2: Changing.</w:t>
      </w:r>
    </w:p>
    <w:p>
      <w:pPr>
        <w:spacing w:after="20" w:line="223" w:lineRule="auto"/>
        <w:jc w:val="right"/>
        <w:bidi/>
      </w:pPr>
      <w:r>
        <w:rPr>
          <w:rFonts w:ascii="Arial" w:hAnsi="Arial"/>
          <w:sz w:val="16"/>
        </w:rPr>
        <w:t>237.32  پس از انجماد، مرحله بعدی در فرآیند تغییر سه مرحله‌ای در حال تغییر است.</w:t>
      </w:r>
    </w:p>
    <w:p>
      <w:pPr>
        <w:spacing w:after="28" w:line="216" w:lineRule="auto"/>
        <w:ind w:left="259"/>
        <w:jc w:val="left"/>
      </w:pPr>
      <w:r>
        <w:rPr>
          <w:rFonts w:ascii="Arial" w:hAnsi="Arial"/>
          <w:color w:val="525252"/>
          <w:sz w:val="13"/>
        </w:rPr>
        <w:t>After unfreezing, the next stage in the three-stage change process is changing.</w:t>
      </w:r>
    </w:p>
    <w:p>
      <w:pPr>
        <w:spacing w:after="20" w:line="223" w:lineRule="auto"/>
        <w:jc w:val="right"/>
        <w:bidi/>
      </w:pPr>
      <w:r>
        <w:rPr>
          <w:rFonts w:ascii="Arial" w:hAnsi="Arial"/>
          <w:sz w:val="16"/>
        </w:rPr>
        <w:t>237.33  مرحله تغییر شامل اصلاح فناوری، وظایف، ساختار یا توزیع افراد است.</w:t>
      </w:r>
    </w:p>
    <w:p>
      <w:pPr>
        <w:spacing w:after="28" w:line="216" w:lineRule="auto"/>
        <w:ind w:left="259"/>
        <w:jc w:val="left"/>
      </w:pPr>
      <w:r>
        <w:rPr>
          <w:rFonts w:ascii="Arial" w:hAnsi="Arial"/>
          <w:color w:val="525252"/>
          <w:sz w:val="13"/>
        </w:rPr>
        <w:t>The changing stage involves modifying technology, tasks, structure, or distribution of people.</w:t>
      </w:r>
    </w:p>
    <w:p>
      <w:pPr>
        <w:spacing w:after="20" w:line="223" w:lineRule="auto"/>
        <w:jc w:val="right"/>
        <w:bidi/>
      </w:pPr>
      <w:r>
        <w:rPr>
          <w:rFonts w:ascii="Arial" w:hAnsi="Arial"/>
          <w:sz w:val="16"/>
        </w:rPr>
        <w:t>237.34  در مرحله تغییر، سازمان با نصب تجهیزات جدید، بازسازی مراکز کاری یا اجرای رویه‌ها از حالت قدیمی یا هنجارهای قبلی به حالت جدید حرکت می‌کند.</w:t>
      </w:r>
    </w:p>
    <w:p>
      <w:pPr>
        <w:spacing w:after="28" w:line="216" w:lineRule="auto"/>
        <w:ind w:left="259"/>
        <w:jc w:val="left"/>
      </w:pPr>
      <w:r>
        <w:rPr>
          <w:rFonts w:ascii="Arial" w:hAnsi="Arial"/>
          <w:color w:val="525252"/>
          <w:sz w:val="13"/>
        </w:rPr>
        <w:t>During the changing stage, the organization moves from the old state or the previous norms, to the new state by installing new equipment, restructuring work centers, or implementing procedures.</w:t>
      </w:r>
    </w:p>
    <w:p>
      <w:pPr>
        <w:spacing w:after="20" w:line="223" w:lineRule="auto"/>
        <w:jc w:val="right"/>
        <w:bidi/>
      </w:pPr>
      <w:r>
        <w:rPr>
          <w:rFonts w:ascii="Arial" w:hAnsi="Arial"/>
          <w:sz w:val="16"/>
        </w:rPr>
        <w:t>237.35  به‌طور خلاصه، تغییر هر چیزی است که وضعیت موجود قبلی پذیرفته شده را تغییر دهد.</w:t>
      </w:r>
    </w:p>
    <w:p>
      <w:pPr>
        <w:spacing w:after="28" w:line="216" w:lineRule="auto"/>
        <w:ind w:left="259"/>
        <w:jc w:val="left"/>
      </w:pPr>
      <w:r>
        <w:rPr>
          <w:rFonts w:ascii="Arial" w:hAnsi="Arial"/>
          <w:color w:val="525252"/>
          <w:sz w:val="13"/>
        </w:rPr>
        <w:t>In short, changing is anything that alters the previously accepted status quo.</w:t>
      </w:r>
    </w:p>
    <w:p>
      <w:pPr>
        <w:spacing w:after="20" w:line="223" w:lineRule="auto"/>
        <w:jc w:val="right"/>
        <w:bidi/>
      </w:pPr>
      <w:r>
        <w:rPr>
          <w:rFonts w:ascii="Arial" w:hAnsi="Arial"/>
          <w:sz w:val="16"/>
        </w:rPr>
        <w:t>237.36  عامل تغییر در این مرحله ضروری است.</w:t>
      </w:r>
    </w:p>
    <w:p>
      <w:pPr>
        <w:spacing w:after="28" w:line="216" w:lineRule="auto"/>
        <w:ind w:left="259"/>
        <w:jc w:val="left"/>
      </w:pPr>
      <w:r>
        <w:rPr>
          <w:rFonts w:ascii="Arial" w:hAnsi="Arial"/>
          <w:color w:val="525252"/>
          <w:sz w:val="13"/>
        </w:rPr>
        <w:t>The change agent in this stage is essential.</w:t>
      </w:r>
    </w:p>
    <w:p>
      <w:pPr>
        <w:spacing w:after="20" w:line="223" w:lineRule="auto"/>
        <w:jc w:val="right"/>
        <w:bidi/>
      </w:pPr>
      <w:r>
        <w:rPr>
          <w:rFonts w:ascii="Arial" w:hAnsi="Arial"/>
          <w:sz w:val="16"/>
        </w:rPr>
        <w:t>237.37  تغییر باید تحت نظارت باشد زیرا با توجه دقیق به افرادی که بیشتر تحت تأثیر این تغییر قرار می‌گیرند، روی می‌دهد.</w:t>
      </w:r>
    </w:p>
    <w:p>
      <w:pPr>
        <w:spacing w:after="28" w:line="216" w:lineRule="auto"/>
        <w:ind w:left="259"/>
        <w:jc w:val="left"/>
      </w:pPr>
      <w:r>
        <w:rPr>
          <w:rFonts w:ascii="Arial" w:hAnsi="Arial"/>
          <w:color w:val="525252"/>
          <w:sz w:val="13"/>
        </w:rPr>
        <w:t>Change needs to be monitored as it occurs by paying close attention to the people most affected by the change.</w:t>
      </w:r>
    </w:p>
    <w:p>
      <w:pPr>
        <w:spacing w:after="20" w:line="223" w:lineRule="auto"/>
        <w:jc w:val="right"/>
        <w:bidi/>
      </w:pPr>
      <w:r>
        <w:rPr>
          <w:rFonts w:ascii="Arial" w:hAnsi="Arial"/>
          <w:sz w:val="16"/>
        </w:rPr>
        <w:t>237.38  نشانه‌های اجرای خیلی زود تغییر ممکن است شامل واکنش‌های منفی باشد</w:t>
      </w:r>
    </w:p>
    <w:p>
      <w:pPr>
        <w:spacing w:after="28" w:line="216" w:lineRule="auto"/>
        <w:ind w:left="259"/>
        <w:jc w:val="left"/>
      </w:pPr>
      <w:r>
        <w:rPr>
          <w:rFonts w:ascii="Arial" w:hAnsi="Arial"/>
          <w:color w:val="525252"/>
          <w:sz w:val="13"/>
        </w:rPr>
        <w:t>Signs of implementing the change too early may include negative reactions from</w:t>
      </w:r>
    </w:p>
    <w:p>
      <w:r>
        <w:br w:type="page"/>
      </w:r>
    </w:p>
    <w:p>
      <w:pPr>
        <w:spacing w:after="60"/>
        <w:jc w:val="right"/>
        <w:bidi/>
      </w:pPr>
      <w:r>
        <w:rPr>
          <w:rFonts w:ascii="Arial" w:hAnsi="Arial"/>
          <w:b/>
          <w:color w:val="1F4D78"/>
          <w:sz w:val="19"/>
        </w:rPr>
        <w:t>هفتهٔ 238  |  صفحهٔ منبع: 254</w:t>
      </w:r>
    </w:p>
    <w:p>
      <w:pPr>
        <w:spacing w:after="20" w:line="223" w:lineRule="auto"/>
        <w:jc w:val="right"/>
        <w:bidi/>
      </w:pPr>
      <w:r>
        <w:rPr>
          <w:rFonts w:ascii="Arial" w:hAnsi="Arial"/>
          <w:sz w:val="16"/>
        </w:rPr>
        <w:t>238.01  کارمند.</w:t>
      </w:r>
    </w:p>
    <w:p>
      <w:pPr>
        <w:spacing w:after="28" w:line="216" w:lineRule="auto"/>
        <w:ind w:left="259"/>
        <w:jc w:val="left"/>
      </w:pPr>
      <w:r>
        <w:rPr>
          <w:rFonts w:ascii="Arial" w:hAnsi="Arial"/>
          <w:color w:val="525252"/>
          <w:sz w:val="13"/>
        </w:rPr>
        <w:t>employees.</w:t>
      </w:r>
    </w:p>
    <w:p>
      <w:pPr>
        <w:spacing w:after="20" w:line="223" w:lineRule="auto"/>
        <w:jc w:val="right"/>
        <w:bidi/>
      </w:pPr>
      <w:r>
        <w:rPr>
          <w:rFonts w:ascii="Arial" w:hAnsi="Arial"/>
          <w:sz w:val="16"/>
        </w:rPr>
        <w:t>238.02  در برخی موارد، سیستم‌ها کاملا آماده نیستند و ممکن است تولید دچار مشکل شود.</w:t>
      </w:r>
    </w:p>
    <w:p>
      <w:pPr>
        <w:spacing w:after="28" w:line="216" w:lineRule="auto"/>
        <w:ind w:left="259"/>
        <w:jc w:val="left"/>
      </w:pPr>
      <w:r>
        <w:rPr>
          <w:rFonts w:ascii="Arial" w:hAnsi="Arial"/>
          <w:color w:val="525252"/>
          <w:sz w:val="13"/>
        </w:rPr>
        <w:t>In some instances, systems are not completely ready, and production may bog down.</w:t>
      </w:r>
    </w:p>
    <w:p>
      <w:pPr>
        <w:spacing w:after="20" w:line="223" w:lineRule="auto"/>
        <w:jc w:val="right"/>
        <w:bidi/>
      </w:pPr>
      <w:r>
        <w:rPr>
          <w:rFonts w:ascii="Arial" w:hAnsi="Arial"/>
          <w:sz w:val="16"/>
        </w:rPr>
        <w:t>238.03  آماده دریافت و پاسخ به بازخورد به هر شکلی باشید تا مطمئن شوید که تغییر تا حد امکان با موفقیت آشکار می‌شود.</w:t>
      </w:r>
    </w:p>
    <w:p>
      <w:pPr>
        <w:spacing w:after="28" w:line="216" w:lineRule="auto"/>
        <w:ind w:left="259"/>
        <w:jc w:val="left"/>
      </w:pPr>
      <w:r>
        <w:rPr>
          <w:rFonts w:ascii="Arial" w:hAnsi="Arial"/>
          <w:color w:val="525252"/>
          <w:sz w:val="13"/>
        </w:rPr>
        <w:t>Be prepared to receive and respond to feedback in any number of forms to ensure the change unfolds as successfully as possible.</w:t>
      </w:r>
    </w:p>
    <w:p>
      <w:pPr>
        <w:spacing w:after="20" w:line="223" w:lineRule="auto"/>
        <w:jc w:val="right"/>
        <w:bidi/>
      </w:pPr>
      <w:r>
        <w:rPr>
          <w:rFonts w:ascii="Arial" w:hAnsi="Arial"/>
          <w:sz w:val="16"/>
        </w:rPr>
        <w:t>238.04  درگیر بودن و در دسترس بودن در طول فرآیند به رهبران این امکان را می‌دهد که به سرعت به مسائل واکنش نشان دهند و همچنین از کارکنانی که مستقیما با مسائل مربوط به تغییر سروکار دارند، حمایت کنند.</w:t>
      </w:r>
    </w:p>
    <w:p>
      <w:pPr>
        <w:spacing w:after="28" w:line="216" w:lineRule="auto"/>
        <w:ind w:left="259"/>
        <w:jc w:val="left"/>
      </w:pPr>
      <w:r>
        <w:rPr>
          <w:rFonts w:ascii="Arial" w:hAnsi="Arial"/>
          <w:color w:val="525252"/>
          <w:sz w:val="13"/>
        </w:rPr>
        <w:t>Being involved and available throughout the process will allow leaders to react quickly to issues as well as provide support to employees who are dealing with the issues of the change firsthand.</w:t>
      </w:r>
    </w:p>
    <w:p>
      <w:pPr>
        <w:spacing w:after="20" w:line="223" w:lineRule="auto"/>
        <w:jc w:val="right"/>
        <w:bidi/>
      </w:pPr>
      <w:r>
        <w:rPr>
          <w:rFonts w:ascii="Arial" w:hAnsi="Arial"/>
          <w:sz w:val="16"/>
        </w:rPr>
        <w:t>238.05  تشویق و مشارکت در مرحله تغییر ممکن است بسیار شبیه به آنچه در مرحله یخ زدایی اعمال می‌شود باشد.</w:t>
      </w:r>
    </w:p>
    <w:p>
      <w:pPr>
        <w:spacing w:after="28" w:line="216" w:lineRule="auto"/>
        <w:ind w:left="259"/>
        <w:jc w:val="left"/>
      </w:pPr>
      <w:r>
        <w:rPr>
          <w:rFonts w:ascii="Arial" w:hAnsi="Arial"/>
          <w:color w:val="525252"/>
          <w:sz w:val="13"/>
        </w:rPr>
        <w:t>Encouragement and involvement in the changing stage may be very similar to that applied during the unfreezing stage.</w:t>
      </w:r>
    </w:p>
    <w:p>
      <w:pPr>
        <w:spacing w:after="20" w:line="223" w:lineRule="auto"/>
        <w:jc w:val="right"/>
        <w:bidi/>
      </w:pPr>
      <w:r>
        <w:rPr>
          <w:rFonts w:ascii="Arial" w:hAnsi="Arial"/>
          <w:sz w:val="16"/>
        </w:rPr>
        <w:t>238.06  توجه: این مسئولیت یک رهبر است که پاسخگوی نیازهای سازمان و کارکنان آن باشد.</w:t>
      </w:r>
    </w:p>
    <w:p>
      <w:pPr>
        <w:spacing w:after="28" w:line="216" w:lineRule="auto"/>
        <w:ind w:left="259"/>
        <w:jc w:val="left"/>
      </w:pPr>
      <w:r>
        <w:rPr>
          <w:rFonts w:ascii="Arial" w:hAnsi="Arial"/>
          <w:color w:val="525252"/>
          <w:sz w:val="13"/>
        </w:rPr>
        <w:t>Note: It is a leader’s responsibility to be receptive to the needs of the organization and its employees.</w:t>
      </w:r>
    </w:p>
    <w:p>
      <w:pPr>
        <w:spacing w:after="20" w:line="223" w:lineRule="auto"/>
        <w:jc w:val="right"/>
        <w:bidi/>
      </w:pPr>
      <w:r>
        <w:rPr>
          <w:rFonts w:ascii="Arial" w:hAnsi="Arial"/>
          <w:sz w:val="16"/>
        </w:rPr>
        <w:t>238.07  بازخوانی تکنیک‌های انجماد بهتر از تحمیل تغییری است که باعث ایجاد مشکلات بیشتر از رفع آن می‌شود.</w:t>
      </w:r>
    </w:p>
    <w:p>
      <w:pPr>
        <w:spacing w:after="28" w:line="216" w:lineRule="auto"/>
        <w:ind w:left="259"/>
        <w:jc w:val="left"/>
      </w:pPr>
      <w:r>
        <w:rPr>
          <w:rFonts w:ascii="Arial" w:hAnsi="Arial"/>
          <w:color w:val="525252"/>
          <w:sz w:val="13"/>
        </w:rPr>
        <w:t>Readdressing unfreezing techniques is better than forcing a change that causes more problems than it resolves.</w:t>
      </w:r>
    </w:p>
    <w:p>
      <w:pPr>
        <w:spacing w:after="20" w:line="223" w:lineRule="auto"/>
        <w:jc w:val="right"/>
        <w:bidi/>
      </w:pPr>
      <w:r>
        <w:rPr>
          <w:rFonts w:ascii="Arial" w:hAnsi="Arial"/>
          <w:sz w:val="16"/>
        </w:rPr>
        <w:t>238.08  مرحله ۳: انجماد مجدد.</w:t>
      </w:r>
    </w:p>
    <w:p>
      <w:pPr>
        <w:spacing w:after="28" w:line="216" w:lineRule="auto"/>
        <w:ind w:left="259"/>
        <w:jc w:val="left"/>
      </w:pPr>
      <w:r>
        <w:rPr>
          <w:rFonts w:ascii="Arial" w:hAnsi="Arial"/>
          <w:color w:val="525252"/>
          <w:sz w:val="13"/>
        </w:rPr>
        <w:t>Stage 3: Refreezing.</w:t>
      </w:r>
    </w:p>
    <w:p>
      <w:pPr>
        <w:spacing w:after="20" w:line="223" w:lineRule="auto"/>
        <w:jc w:val="right"/>
        <w:bidi/>
      </w:pPr>
      <w:r>
        <w:rPr>
          <w:rFonts w:ascii="Arial" w:hAnsi="Arial"/>
          <w:sz w:val="16"/>
        </w:rPr>
        <w:t>238.09  سومین و آخرین مرحله در فرآیند تغییر سه مرحله‌ای، انجماد مجدد است.</w:t>
      </w:r>
    </w:p>
    <w:p>
      <w:pPr>
        <w:spacing w:after="28" w:line="216" w:lineRule="auto"/>
        <w:ind w:left="259"/>
        <w:jc w:val="left"/>
      </w:pPr>
      <w:r>
        <w:rPr>
          <w:rFonts w:ascii="Arial" w:hAnsi="Arial"/>
          <w:color w:val="525252"/>
          <w:sz w:val="13"/>
        </w:rPr>
        <w:t>The third and final stage in the three-stage change process is refreezing.</w:t>
      </w:r>
    </w:p>
    <w:p>
      <w:pPr>
        <w:spacing w:after="20" w:line="223" w:lineRule="auto"/>
        <w:jc w:val="right"/>
        <w:bidi/>
      </w:pPr>
      <w:r>
        <w:rPr>
          <w:rFonts w:ascii="Arial" w:hAnsi="Arial"/>
          <w:sz w:val="16"/>
        </w:rPr>
        <w:t>238.10  پس از اجرای یک تغییر، زمان آن است که نتایج مورد نظر و هنجارهای جدید را قفل کنید (یا دوباره ثابت کنید) تا دائمی شوند.</w:t>
      </w:r>
    </w:p>
    <w:p>
      <w:pPr>
        <w:spacing w:after="28" w:line="216" w:lineRule="auto"/>
        <w:ind w:left="259"/>
        <w:jc w:val="left"/>
      </w:pPr>
      <w:r>
        <w:rPr>
          <w:rFonts w:ascii="Arial" w:hAnsi="Arial"/>
          <w:color w:val="525252"/>
          <w:sz w:val="13"/>
        </w:rPr>
        <w:t>After implementing a change, it is time to lock in (or refreeze) the desired outcomes and the new norms so they become permanent.</w:t>
      </w:r>
    </w:p>
    <w:p>
      <w:pPr>
        <w:spacing w:after="20" w:line="223" w:lineRule="auto"/>
        <w:jc w:val="right"/>
        <w:bidi/>
      </w:pPr>
      <w:r>
        <w:rPr>
          <w:rFonts w:ascii="Arial" w:hAnsi="Arial"/>
          <w:sz w:val="16"/>
        </w:rPr>
        <w:t>238.11  تشویق و تقویت فعالانه استفاده از تکنیک‌های جدید راهی برای کمک به حفظ رفتار جدید است.</w:t>
      </w:r>
    </w:p>
    <w:p>
      <w:pPr>
        <w:spacing w:after="28" w:line="216" w:lineRule="auto"/>
        <w:ind w:left="259"/>
        <w:jc w:val="left"/>
      </w:pPr>
      <w:r>
        <w:rPr>
          <w:rFonts w:ascii="Arial" w:hAnsi="Arial"/>
          <w:color w:val="525252"/>
          <w:sz w:val="13"/>
        </w:rPr>
        <w:t>Actively encouraging and reinforcing the use of new techniques is a way of helping the new behavior stick.</w:t>
      </w:r>
    </w:p>
    <w:p>
      <w:pPr>
        <w:spacing w:after="20" w:line="223" w:lineRule="auto"/>
        <w:jc w:val="right"/>
        <w:bidi/>
      </w:pPr>
      <w:r>
        <w:rPr>
          <w:rFonts w:ascii="Arial" w:hAnsi="Arial"/>
          <w:sz w:val="16"/>
        </w:rPr>
        <w:t>238.12  یک مرحله حیاتی در انجماد مجدد، درگیر ماندن و ارزیابی نتایج برای تعیین اینکه آیا تغییر به اثر مطلوب رسیده است یا اینکه آیا فرآیند جدید به پشتیبانی، دستورالعمل، آموزش یا زمان بیشتری نیاز دارد، است.</w:t>
      </w:r>
    </w:p>
    <w:p>
      <w:pPr>
        <w:spacing w:after="28" w:line="216" w:lineRule="auto"/>
        <w:ind w:left="259"/>
        <w:jc w:val="left"/>
      </w:pPr>
      <w:r>
        <w:rPr>
          <w:rFonts w:ascii="Arial" w:hAnsi="Arial"/>
          <w:color w:val="525252"/>
          <w:sz w:val="13"/>
        </w:rPr>
        <w:t>A critical step in refreezing is remaining engaged and evaluating results to determine if the change reached the desired effect or if the new process needs more support, instruction, training, or time.</w:t>
      </w:r>
    </w:p>
    <w:p>
      <w:pPr>
        <w:spacing w:after="20" w:line="223" w:lineRule="auto"/>
        <w:jc w:val="right"/>
        <w:bidi/>
      </w:pPr>
      <w:r>
        <w:rPr>
          <w:rFonts w:ascii="Arial" w:hAnsi="Arial"/>
          <w:sz w:val="16"/>
        </w:rPr>
        <w:t>238.13  تقویت مثبت نتایج مورد نظر در مرحله انجماد مجدد بسیار مهم است.</w:t>
      </w:r>
    </w:p>
    <w:p>
      <w:pPr>
        <w:spacing w:after="28" w:line="216" w:lineRule="auto"/>
        <w:ind w:left="259"/>
        <w:jc w:val="left"/>
      </w:pPr>
      <w:r>
        <w:rPr>
          <w:rFonts w:ascii="Arial" w:hAnsi="Arial"/>
          <w:color w:val="525252"/>
          <w:sz w:val="13"/>
        </w:rPr>
        <w:t>Positively reinforcing desired outcomes is crucial during the refreezing stage.</w:t>
      </w:r>
    </w:p>
    <w:p>
      <w:pPr>
        <w:spacing w:after="20" w:line="223" w:lineRule="auto"/>
        <w:jc w:val="right"/>
        <w:bidi/>
      </w:pPr>
      <w:r>
        <w:rPr>
          <w:rFonts w:ascii="Arial" w:hAnsi="Arial"/>
          <w:sz w:val="16"/>
        </w:rPr>
        <w:t>238.14  پاداش دادن به افراد هنگامی که کاری را مطابق با تغییر انجام می‌دهند، بر ارزش رویه‌ها یا رفتارهای جدید تأکید می‌کند و کمک می‌کند تا در جای خود ثابت شوند.</w:t>
      </w:r>
    </w:p>
    <w:p>
      <w:pPr>
        <w:spacing w:after="28" w:line="216" w:lineRule="auto"/>
        <w:ind w:left="259"/>
        <w:jc w:val="left"/>
      </w:pPr>
      <w:r>
        <w:rPr>
          <w:rFonts w:ascii="Arial" w:hAnsi="Arial"/>
          <w:color w:val="525252"/>
          <w:sz w:val="13"/>
        </w:rPr>
        <w:t>Rewarding people when they do something in alignment with the change emphasizes the value of the new procedures or behaviors and helps freeze them into place.</w:t>
      </w:r>
    </w:p>
    <w:p>
      <w:pPr>
        <w:spacing w:after="20" w:line="223" w:lineRule="auto"/>
        <w:jc w:val="right"/>
        <w:bidi/>
      </w:pPr>
      <w:r>
        <w:rPr>
          <w:rFonts w:ascii="Arial" w:hAnsi="Arial"/>
          <w:sz w:val="16"/>
        </w:rPr>
        <w:t>238.15  برجسته کردن تغییرات موفق به کاهش تمایل به بازگشت به روش قدیمی انجام کارها کمک می‌کند.</w:t>
      </w:r>
    </w:p>
    <w:p>
      <w:pPr>
        <w:spacing w:after="28" w:line="216" w:lineRule="auto"/>
        <w:ind w:left="259"/>
        <w:jc w:val="left"/>
      </w:pPr>
      <w:r>
        <w:rPr>
          <w:rFonts w:ascii="Arial" w:hAnsi="Arial"/>
          <w:color w:val="525252"/>
          <w:sz w:val="13"/>
        </w:rPr>
        <w:t>Highlighting successful change helps reduce the desire to return to the old way of doing things.</w:t>
      </w:r>
    </w:p>
    <w:p>
      <w:pPr>
        <w:spacing w:after="20" w:line="223" w:lineRule="auto"/>
        <w:jc w:val="right"/>
        <w:bidi/>
      </w:pPr>
      <w:r>
        <w:rPr>
          <w:rFonts w:ascii="Arial" w:hAnsi="Arial"/>
          <w:sz w:val="16"/>
        </w:rPr>
        <w:t>238.16  در بسیاری از موارد، عامل تغییر می‌تواند توجه را به موفقیت تغییر جلب کند و نشان دهد که کجا کار می‌کند و در عین حال پذیرای بازخوردها و زمینه‌هایی است که ممکن است باعث مشکلات طولانی یا ناامیدی مداوم شود.</w:t>
      </w:r>
    </w:p>
    <w:p>
      <w:pPr>
        <w:spacing w:after="28" w:line="216" w:lineRule="auto"/>
        <w:ind w:left="259"/>
        <w:jc w:val="left"/>
      </w:pPr>
      <w:r>
        <w:rPr>
          <w:rFonts w:ascii="Arial" w:hAnsi="Arial"/>
          <w:color w:val="525252"/>
          <w:sz w:val="13"/>
        </w:rPr>
        <w:t>In many cases, the change agent can call attention to the success of the change and show where it works while also being receptive to feedback and areas that may cause lingering issues or continued frustration.</w:t>
      </w:r>
    </w:p>
    <w:p>
      <w:pPr>
        <w:spacing w:after="20" w:line="223" w:lineRule="auto"/>
        <w:jc w:val="right"/>
        <w:bidi/>
      </w:pPr>
      <w:r>
        <w:rPr>
          <w:rFonts w:ascii="Arial" w:hAnsi="Arial"/>
          <w:sz w:val="16"/>
        </w:rPr>
        <w:t>238.17  در این مورد، عامل تغییر باید نتایج را ارزیابی کند، نتایج مورد نظر را تقویت کند و در صورت نیاز اصلاحات سازنده انجام دهد.</w:t>
      </w:r>
    </w:p>
    <w:p>
      <w:pPr>
        <w:spacing w:after="28" w:line="216" w:lineRule="auto"/>
        <w:ind w:left="259"/>
        <w:jc w:val="left"/>
      </w:pPr>
      <w:r>
        <w:rPr>
          <w:rFonts w:ascii="Arial" w:hAnsi="Arial"/>
          <w:color w:val="525252"/>
          <w:sz w:val="13"/>
        </w:rPr>
        <w:t>In this case, the change agent must evaluate results, reinforce the desired outcomes, and make constructive modifications, as needed.</w:t>
      </w:r>
    </w:p>
    <w:p>
      <w:pPr>
        <w:spacing w:before="60" w:after="28"/>
        <w:jc w:val="right"/>
        <w:bidi/>
      </w:pPr>
      <w:r>
        <w:rPr>
          <w:b/>
          <w:color w:val="1F4D78"/>
          <w:sz w:val="18"/>
        </w:rPr>
        <w:t>13.12. بهبود مستمر</w:t>
      </w:r>
    </w:p>
    <w:p>
      <w:pPr>
        <w:spacing w:after="20"/>
        <w:ind w:left="259"/>
        <w:jc w:val="left"/>
      </w:pPr>
      <w:r>
        <w:rPr>
          <w:color w:val="555555"/>
          <w:sz w:val="12"/>
        </w:rPr>
        <w:t>13.12. Continuous Improvement</w:t>
      </w:r>
    </w:p>
    <w:p>
      <w:pPr>
        <w:spacing w:after="20" w:line="223" w:lineRule="auto"/>
        <w:jc w:val="right"/>
        <w:bidi/>
      </w:pPr>
      <w:r>
        <w:rPr>
          <w:rFonts w:ascii="Arial" w:hAnsi="Arial"/>
          <w:sz w:val="16"/>
        </w:rPr>
        <w:t>238.19  استفاده از بهبود مستمر (CI) قابلیت‌های عملیاتی را افزایش می‌دهد و در عین حال هزینه‌های مرتبط را با اعمال روش‌های اثبات‌شده برای تمام فرآیندهای مرتبط با انجام مأموریت USAF کاهش می‌دهد.</w:t>
      </w:r>
    </w:p>
    <w:p>
      <w:pPr>
        <w:spacing w:after="28" w:line="216" w:lineRule="auto"/>
        <w:ind w:left="259"/>
        <w:jc w:val="left"/>
      </w:pPr>
      <w:r>
        <w:rPr>
          <w:rFonts w:ascii="Arial" w:hAnsi="Arial"/>
          <w:color w:val="525252"/>
          <w:sz w:val="13"/>
        </w:rPr>
        <w:t>The use of Continuous Improvement (CI) increases operational capabilities while reducing associated costs by applying proven methodologies to all processes associated with fulfilling the USAF mission.</w:t>
      </w:r>
    </w:p>
    <w:p>
      <w:pPr>
        <w:spacing w:after="20" w:line="223" w:lineRule="auto"/>
        <w:jc w:val="right"/>
        <w:bidi/>
      </w:pPr>
      <w:r>
        <w:rPr>
          <w:rFonts w:ascii="Arial" w:hAnsi="Arial"/>
          <w:sz w:val="16"/>
        </w:rPr>
        <w:t>238.20  CI یک فلسفه جامع از عملیات است که حول این مفاهیم بنا شده است که همیشه راه‌هایی وجود دارد که می‌توان یک فرآیند را برای برآورده کردن بهتر نیازهای مأموریت/مشتری بهبود بخشید، سازمان‌ها باید دائما تلاش کنند تا این بهبودها را بر اساس معیارهای عملکردی که با اهداف استراتژیک همسو هستند انجام دهند و کارایی‌ها باید تا حد عملی تکرار شوند.</w:t>
      </w:r>
    </w:p>
    <w:p>
      <w:pPr>
        <w:spacing w:after="28" w:line="216" w:lineRule="auto"/>
        <w:ind w:left="259"/>
        <w:jc w:val="left"/>
      </w:pPr>
      <w:r>
        <w:rPr>
          <w:rFonts w:ascii="Arial" w:hAnsi="Arial"/>
          <w:color w:val="525252"/>
          <w:sz w:val="13"/>
        </w:rPr>
        <w:t>CI is a comprehensive philosophy of operations built around the concepts that there are always ways a process can be improved to better meet mission/customer requirements, organizations must constantly strive to make those improvements based on performance metrics that align to strategic objectives, and efficiencies should be replicated to the extent practical.</w:t>
      </w:r>
    </w:p>
    <w:p>
      <w:pPr>
        <w:spacing w:after="20" w:line="223" w:lineRule="auto"/>
        <w:jc w:val="right"/>
        <w:bidi/>
      </w:pPr>
      <w:r>
        <w:rPr>
          <w:rFonts w:ascii="Arial" w:hAnsi="Arial"/>
          <w:sz w:val="16"/>
        </w:rPr>
        <w:t>238.21  CI مشخصه سازمان‌های بسیار موفق است، کیفیت رهبری هوانوردی است، هم مسئولیت فرمانده است (AFI ۱-۲، مسئولیت‌های فرمانده)، و هم یک منطقه درجه‌بندی شده عمده در سیستم بازرسی نیروی هوایی (AFI ۹۰-۲۰۱، در نقطه استاندارد نیروی هوایی و نیروی هوایی، نقطه بازرسی نیروی هوایی و نیروی هوایی). ارزش‌های «تعالی در هر کاری که انجام می‌دهیم» (AFI ۱-۱، استانداردهای نیروی هوایی).</w:t>
      </w:r>
    </w:p>
    <w:p>
      <w:pPr>
        <w:spacing w:after="28" w:line="216" w:lineRule="auto"/>
        <w:ind w:left="259"/>
        <w:jc w:val="left"/>
      </w:pPr>
      <w:r>
        <w:rPr>
          <w:rFonts w:ascii="Arial" w:hAnsi="Arial"/>
          <w:color w:val="525252"/>
          <w:sz w:val="13"/>
        </w:rPr>
        <w:t>CI is a hallmark of highly successful organizations, is an Airmen Leadership Quality, is a both a commander’s responsibility (AFI 1-2, Commander’s Responsibilities), and is a major graded area in the Air Force Inspection System (AFI 90-201, The Air Force Inspection System), and a focal point within the Air Force Standards within Air Force Core Values ‘Excellence in all we do’ (AFI 1-1, Air Force Standards).</w:t>
      </w:r>
    </w:p>
    <w:p>
      <w:pPr>
        <w:spacing w:after="20" w:line="223" w:lineRule="auto"/>
        <w:jc w:val="right"/>
        <w:bidi/>
      </w:pPr>
      <w:r>
        <w:rPr>
          <w:rFonts w:ascii="Arial" w:hAnsi="Arial"/>
          <w:sz w:val="16"/>
        </w:rPr>
        <w:t>238.22  روش‌های بهبود مستمر.</w:t>
      </w:r>
    </w:p>
    <w:p>
      <w:pPr>
        <w:spacing w:after="28" w:line="216" w:lineRule="auto"/>
        <w:ind w:left="259"/>
        <w:jc w:val="left"/>
      </w:pPr>
      <w:r>
        <w:rPr>
          <w:rFonts w:ascii="Arial" w:hAnsi="Arial"/>
          <w:color w:val="525252"/>
          <w:sz w:val="13"/>
        </w:rPr>
        <w:t>Continuous Improvement Methodologies.</w:t>
      </w:r>
    </w:p>
    <w:p>
      <w:pPr>
        <w:spacing w:after="20" w:line="223" w:lineRule="auto"/>
        <w:jc w:val="right"/>
        <w:bidi/>
      </w:pPr>
      <w:r>
        <w:rPr>
          <w:rFonts w:ascii="Arial" w:hAnsi="Arial"/>
          <w:sz w:val="16"/>
        </w:rPr>
        <w:t>238.23  USAF CI جنبه هایی از چهار روش اصلی را برای کمک به تغییرات سازمانی در بر می‌گیرد.</w:t>
      </w:r>
    </w:p>
    <w:p>
      <w:pPr>
        <w:spacing w:after="28" w:line="216" w:lineRule="auto"/>
        <w:ind w:left="259"/>
        <w:jc w:val="left"/>
      </w:pPr>
      <w:r>
        <w:rPr>
          <w:rFonts w:ascii="Arial" w:hAnsi="Arial"/>
          <w:color w:val="525252"/>
          <w:sz w:val="13"/>
        </w:rPr>
        <w:t>USAF CI incorporates aspects of four major methodologies to assist with organizational change.</w:t>
      </w:r>
    </w:p>
    <w:p>
      <w:pPr>
        <w:spacing w:after="20" w:line="223" w:lineRule="auto"/>
        <w:jc w:val="right"/>
        <w:bidi/>
      </w:pPr>
      <w:r>
        <w:rPr>
          <w:rFonts w:ascii="Arial" w:hAnsi="Arial"/>
          <w:sz w:val="16"/>
        </w:rPr>
        <w:t>238.24  یک روش عملی حل مسئله ممکن است به‌طور همزمان از بیش از یکی از این فرآیندهای CI استخراج شود.</w:t>
      </w:r>
    </w:p>
    <w:p>
      <w:pPr>
        <w:spacing w:after="28" w:line="216" w:lineRule="auto"/>
        <w:ind w:left="259"/>
        <w:jc w:val="left"/>
      </w:pPr>
      <w:r>
        <w:rPr>
          <w:rFonts w:ascii="Arial" w:hAnsi="Arial"/>
          <w:color w:val="525252"/>
          <w:sz w:val="13"/>
        </w:rPr>
        <w:t>A practical problem-solving method may simultaneously draw from more than one of these CI processes.</w:t>
      </w:r>
    </w:p>
    <w:p>
      <w:pPr>
        <w:spacing w:after="20" w:line="223" w:lineRule="auto"/>
        <w:jc w:val="right"/>
        <w:bidi/>
      </w:pPr>
      <w:r>
        <w:rPr>
          <w:rFonts w:ascii="Arial" w:hAnsi="Arial"/>
          <w:sz w:val="16"/>
        </w:rPr>
        <w:t>238.25  لاغر.</w:t>
      </w:r>
    </w:p>
    <w:p>
      <w:pPr>
        <w:spacing w:after="28" w:line="216" w:lineRule="auto"/>
        <w:ind w:left="259"/>
        <w:jc w:val="left"/>
      </w:pPr>
      <w:r>
        <w:rPr>
          <w:rFonts w:ascii="Arial" w:hAnsi="Arial"/>
          <w:color w:val="525252"/>
          <w:sz w:val="13"/>
        </w:rPr>
        <w:t>Lean.</w:t>
      </w:r>
    </w:p>
    <w:p>
      <w:pPr>
        <w:spacing w:after="20" w:line="223" w:lineRule="auto"/>
        <w:jc w:val="right"/>
        <w:bidi/>
      </w:pPr>
      <w:r>
        <w:rPr>
          <w:rFonts w:ascii="Arial" w:hAnsi="Arial"/>
          <w:sz w:val="16"/>
        </w:rPr>
        <w:t>238.26  ناب روشی است که بر گردش کار، ارزش مشتری و حذف ضایعات فرآیند متمرکز است.</w:t>
      </w:r>
    </w:p>
    <w:p>
      <w:pPr>
        <w:spacing w:after="28" w:line="216" w:lineRule="auto"/>
        <w:ind w:left="259"/>
        <w:jc w:val="left"/>
      </w:pPr>
      <w:r>
        <w:rPr>
          <w:rFonts w:ascii="Arial" w:hAnsi="Arial"/>
          <w:color w:val="525252"/>
          <w:sz w:val="13"/>
        </w:rPr>
        <w:t>Lean is a methodology focused on workflow, customer value, and eliminating process waste.</w:t>
      </w:r>
    </w:p>
    <w:p>
      <w:pPr>
        <w:spacing w:after="20" w:line="223" w:lineRule="auto"/>
        <w:jc w:val="right"/>
        <w:bidi/>
      </w:pPr>
      <w:r>
        <w:rPr>
          <w:rFonts w:ascii="Arial" w:hAnsi="Arial"/>
          <w:sz w:val="16"/>
        </w:rPr>
        <w:t>238.27  ناب از استراتژی‌های سنتی بهبود فرآیند منحصر به فرد است، زیرا تمرکز اصلی بر حذف فعالیت‌های بدون ارزش افزوده است.</w:t>
      </w:r>
    </w:p>
    <w:p>
      <w:pPr>
        <w:spacing w:after="28" w:line="216" w:lineRule="auto"/>
        <w:ind w:left="259"/>
        <w:jc w:val="left"/>
      </w:pPr>
      <w:r>
        <w:rPr>
          <w:rFonts w:ascii="Arial" w:hAnsi="Arial"/>
          <w:color w:val="525252"/>
          <w:sz w:val="13"/>
        </w:rPr>
        <w:t>Lean is unique from traditional process improvement strategies in that the primary focus is on eliminating non-value-added activities.</w:t>
      </w:r>
    </w:p>
    <w:p>
      <w:pPr>
        <w:spacing w:after="20" w:line="223" w:lineRule="auto"/>
        <w:jc w:val="right"/>
        <w:bidi/>
      </w:pPr>
      <w:r>
        <w:rPr>
          <w:rFonts w:ascii="Arial" w:hAnsi="Arial"/>
          <w:sz w:val="16"/>
        </w:rPr>
        <w:t>238.28  شش سیگما.</w:t>
      </w:r>
    </w:p>
    <w:p>
      <w:pPr>
        <w:spacing w:after="28" w:line="216" w:lineRule="auto"/>
        <w:ind w:left="259"/>
        <w:jc w:val="left"/>
      </w:pPr>
      <w:r>
        <w:rPr>
          <w:rFonts w:ascii="Arial" w:hAnsi="Arial"/>
          <w:color w:val="525252"/>
          <w:sz w:val="13"/>
        </w:rPr>
        <w:t>Six Sigma.</w:t>
      </w:r>
    </w:p>
    <w:p>
      <w:pPr>
        <w:spacing w:after="20" w:line="223" w:lineRule="auto"/>
        <w:jc w:val="right"/>
        <w:bidi/>
      </w:pPr>
      <w:r>
        <w:rPr>
          <w:rFonts w:ascii="Arial" w:hAnsi="Arial"/>
          <w:sz w:val="16"/>
        </w:rPr>
        <w:t>238.29  شش سیگما یک روش دقیق و مبتنی بر داده برای بهبود فرآیند است که بر به حداقل رساندن ضایعات از طریق شناسایی، کنترل و کاهش تنوع فرآیند متمرکز است.</w:t>
      </w:r>
    </w:p>
    <w:p>
      <w:pPr>
        <w:spacing w:after="28" w:line="216" w:lineRule="auto"/>
        <w:ind w:left="259"/>
        <w:jc w:val="left"/>
      </w:pPr>
      <w:r>
        <w:rPr>
          <w:rFonts w:ascii="Arial" w:hAnsi="Arial"/>
          <w:color w:val="525252"/>
          <w:sz w:val="13"/>
        </w:rPr>
        <w:t>Six sigma is a rigorous, data-driven methodology for process improvement focused on minimizing waste through identifying, controlling, and reducing process variation.</w:t>
      </w:r>
    </w:p>
    <w:p>
      <w:pPr>
        <w:spacing w:after="20" w:line="223" w:lineRule="auto"/>
        <w:jc w:val="right"/>
        <w:bidi/>
      </w:pPr>
      <w:r>
        <w:rPr>
          <w:rFonts w:ascii="Arial" w:hAnsi="Arial"/>
          <w:sz w:val="16"/>
        </w:rPr>
        <w:t>238.30  مهندسی مجدد فرآیندهای کسب و کار.</w:t>
      </w:r>
    </w:p>
    <w:p>
      <w:pPr>
        <w:spacing w:after="28" w:line="216" w:lineRule="auto"/>
        <w:ind w:left="259"/>
        <w:jc w:val="left"/>
      </w:pPr>
      <w:r>
        <w:rPr>
          <w:rFonts w:ascii="Arial" w:hAnsi="Arial"/>
          <w:color w:val="525252"/>
          <w:sz w:val="13"/>
        </w:rPr>
        <w:t>Business Process Reengineering.</w:t>
      </w:r>
    </w:p>
    <w:p>
      <w:pPr>
        <w:spacing w:after="20" w:line="223" w:lineRule="auto"/>
        <w:jc w:val="right"/>
        <w:bidi/>
      </w:pPr>
      <w:r>
        <w:rPr>
          <w:rFonts w:ascii="Arial" w:hAnsi="Arial"/>
          <w:sz w:val="16"/>
        </w:rPr>
        <w:t>238.31  مهندسی مجدد فرآیند کسب و کار یک فرآیند جامع است که نیازمند تغییر در روش اساسی انجام فرآیندهای تجاری است.</w:t>
      </w:r>
    </w:p>
    <w:p>
      <w:pPr>
        <w:spacing w:after="28" w:line="216" w:lineRule="auto"/>
        <w:ind w:left="259"/>
        <w:jc w:val="left"/>
      </w:pPr>
      <w:r>
        <w:rPr>
          <w:rFonts w:ascii="Arial" w:hAnsi="Arial"/>
          <w:color w:val="525252"/>
          <w:sz w:val="13"/>
        </w:rPr>
        <w:t>Business process reengineering is a comprehensive process requiring a change in the fundamental way business processes are performed.</w:t>
      </w:r>
    </w:p>
    <w:p>
      <w:pPr>
        <w:spacing w:after="20" w:line="223" w:lineRule="auto"/>
        <w:jc w:val="right"/>
        <w:bidi/>
      </w:pPr>
      <w:r>
        <w:rPr>
          <w:rFonts w:ascii="Arial" w:hAnsi="Arial"/>
          <w:sz w:val="16"/>
        </w:rPr>
        <w:t>238.32  مهندسی مجدد فرآیند کسب و کار، فعالیت‌های غیرضروری را شناسایی کرده و در صورت امکان آنها را حذف می‌کند.</w:t>
      </w:r>
    </w:p>
    <w:p>
      <w:pPr>
        <w:spacing w:after="28" w:line="216" w:lineRule="auto"/>
        <w:ind w:left="259"/>
        <w:jc w:val="left"/>
      </w:pPr>
      <w:r>
        <w:rPr>
          <w:rFonts w:ascii="Arial" w:hAnsi="Arial"/>
          <w:color w:val="525252"/>
          <w:sz w:val="13"/>
        </w:rPr>
        <w:t>Business process reengineering identifies unnecessary activities and eliminates them wherever possible.</w:t>
      </w:r>
    </w:p>
    <w:p>
      <w:pPr>
        <w:spacing w:after="20" w:line="223" w:lineRule="auto"/>
        <w:jc w:val="right"/>
        <w:bidi/>
      </w:pPr>
      <w:r>
        <w:rPr>
          <w:rFonts w:ascii="Arial" w:hAnsi="Arial"/>
          <w:sz w:val="16"/>
        </w:rPr>
        <w:t>238.33  مهندسی مجدد فرآیند کسب و کار فرصتی عالی برای توانمندسازی هوانوردان برای نوآوری فراهم می‌کند.</w:t>
      </w:r>
    </w:p>
    <w:p>
      <w:pPr>
        <w:spacing w:after="28" w:line="216" w:lineRule="auto"/>
        <w:ind w:left="259"/>
        <w:jc w:val="left"/>
      </w:pPr>
      <w:r>
        <w:rPr>
          <w:rFonts w:ascii="Arial" w:hAnsi="Arial"/>
          <w:color w:val="525252"/>
          <w:sz w:val="13"/>
        </w:rPr>
        <w:t>Business Process Reengineering allows great opportunity to empower airmen to be innovative Airmen can strategically align and implement agile, innovative ideas into newly designed processes to give</w:t>
      </w:r>
    </w:p>
    <w:p>
      <w:r>
        <w:br w:type="page"/>
      </w:r>
    </w:p>
    <w:p>
      <w:pPr>
        <w:spacing w:after="60"/>
        <w:jc w:val="right"/>
        <w:bidi/>
      </w:pPr>
      <w:r>
        <w:rPr>
          <w:rFonts w:ascii="Arial" w:hAnsi="Arial"/>
          <w:b/>
          <w:color w:val="1F4D78"/>
          <w:sz w:val="19"/>
        </w:rPr>
        <w:t>هفتهٔ 239  |  صفحهٔ منبع: 255</w:t>
      </w:r>
    </w:p>
    <w:p>
      <w:pPr>
        <w:spacing w:after="20" w:line="223" w:lineRule="auto"/>
        <w:jc w:val="right"/>
        <w:bidi/>
      </w:pPr>
      <w:r>
        <w:rPr>
          <w:rFonts w:ascii="Arial" w:hAnsi="Arial"/>
          <w:sz w:val="16"/>
        </w:rPr>
        <w:t>239.01  DAF مزیت رقابتی.</w:t>
      </w:r>
    </w:p>
    <w:p>
      <w:pPr>
        <w:spacing w:after="28" w:line="216" w:lineRule="auto"/>
        <w:ind w:left="259"/>
        <w:jc w:val="left"/>
      </w:pPr>
      <w:r>
        <w:rPr>
          <w:rFonts w:ascii="Arial" w:hAnsi="Arial"/>
          <w:color w:val="525252"/>
          <w:sz w:val="13"/>
        </w:rPr>
        <w:t>the DAF the competitive edge.</w:t>
      </w:r>
    </w:p>
    <w:p>
      <w:pPr>
        <w:spacing w:after="20" w:line="223" w:lineRule="auto"/>
        <w:jc w:val="right"/>
        <w:bidi/>
      </w:pPr>
      <w:r>
        <w:rPr>
          <w:rFonts w:ascii="Arial" w:hAnsi="Arial"/>
          <w:sz w:val="16"/>
        </w:rPr>
        <w:t>239.02  نظریه محدودیت‌ها.</w:t>
      </w:r>
    </w:p>
    <w:p>
      <w:pPr>
        <w:spacing w:after="28" w:line="216" w:lineRule="auto"/>
        <w:ind w:left="259"/>
        <w:jc w:val="left"/>
      </w:pPr>
      <w:r>
        <w:rPr>
          <w:rFonts w:ascii="Arial" w:hAnsi="Arial"/>
          <w:color w:val="525252"/>
          <w:sz w:val="13"/>
        </w:rPr>
        <w:t>Theory of Constraints.</w:t>
      </w:r>
    </w:p>
    <w:p>
      <w:pPr>
        <w:spacing w:after="20" w:line="223" w:lineRule="auto"/>
        <w:jc w:val="right"/>
        <w:bidi/>
      </w:pPr>
      <w:r>
        <w:rPr>
          <w:rFonts w:ascii="Arial" w:hAnsi="Arial"/>
          <w:sz w:val="16"/>
        </w:rPr>
        <w:t>239.03  نظریه محدودیت‌ها یک رویکرد سیستماتیک برای بهینه‌سازی استفاده از منابع با شناسایی، بهره‌برداری، تبعیت، بالا بردن و ارزیابی مجدد محدودیت‌ها (گلوگاه‌ها) در فرآیند است.</w:t>
      </w:r>
    </w:p>
    <w:p>
      <w:pPr>
        <w:spacing w:after="28" w:line="216" w:lineRule="auto"/>
        <w:ind w:left="259"/>
        <w:jc w:val="left"/>
      </w:pPr>
      <w:r>
        <w:rPr>
          <w:rFonts w:ascii="Arial" w:hAnsi="Arial"/>
          <w:color w:val="525252"/>
          <w:sz w:val="13"/>
        </w:rPr>
        <w:t>Theory of constraints is a systematic approach to optimize resource utilization by identifying, exploiting, subordinating, elevating, and reassessing constraints (bottlenecks) in the process.</w:t>
      </w:r>
    </w:p>
    <w:p>
      <w:pPr>
        <w:spacing w:before="60" w:after="28"/>
        <w:jc w:val="right"/>
        <w:bidi/>
      </w:pPr>
      <w:r>
        <w:rPr>
          <w:b/>
          <w:color w:val="1F4D78"/>
          <w:sz w:val="18"/>
        </w:rPr>
        <w:t>13.13. روش حل مسئله عملی</w:t>
      </w:r>
    </w:p>
    <w:p>
      <w:pPr>
        <w:spacing w:after="20"/>
        <w:ind w:left="259"/>
        <w:jc w:val="left"/>
      </w:pPr>
      <w:r>
        <w:rPr>
          <w:color w:val="555555"/>
          <w:sz w:val="12"/>
        </w:rPr>
        <w:t>13.13. Practical Problem-Solving Method</w:t>
      </w:r>
    </w:p>
    <w:p>
      <w:pPr>
        <w:spacing w:after="20" w:line="223" w:lineRule="auto"/>
        <w:jc w:val="right"/>
        <w:bidi/>
      </w:pPr>
      <w:r>
        <w:rPr>
          <w:rFonts w:ascii="Arial" w:hAnsi="Arial"/>
          <w:sz w:val="16"/>
        </w:rPr>
        <w:t>239.05  در هسته USAF CI روش عملی حل مسئله است، یک رویکرد استاندارد و ساختاریافته برای حل مسئله که توسط رهبران صنعت جهانی استفاده می‌شود و توسط وزارت دفاع اتخاذ شده است.</w:t>
      </w:r>
    </w:p>
    <w:p>
      <w:pPr>
        <w:spacing w:after="28" w:line="216" w:lineRule="auto"/>
        <w:ind w:left="259"/>
        <w:jc w:val="left"/>
      </w:pPr>
      <w:r>
        <w:rPr>
          <w:rFonts w:ascii="Arial" w:hAnsi="Arial"/>
          <w:color w:val="525252"/>
          <w:sz w:val="13"/>
        </w:rPr>
        <w:t>At the core of USAF CI is the practical problem-solving method, a standardized and structured approach to problem solving used by global industry leaders and adopted by DoD.</w:t>
      </w:r>
    </w:p>
    <w:p>
      <w:pPr>
        <w:spacing w:after="20" w:line="223" w:lineRule="auto"/>
        <w:jc w:val="right"/>
        <w:bidi/>
      </w:pPr>
      <w:r>
        <w:rPr>
          <w:rFonts w:ascii="Arial" w:hAnsi="Arial"/>
          <w:sz w:val="16"/>
        </w:rPr>
        <w:t>239.06  روش حل مسئله عملی، همانطور که در شکل ۱۳.۱ نشان داده شده است، یک فرآیند هشت مرحله‌ای است که برای روشن کردن مشکلات، شناسایی علل ریشه‌ای و ایجاد اقدامات متقابل مناسب برای دستیابی به تغییر استفاده می‌شود.</w:t>
      </w:r>
    </w:p>
    <w:p>
      <w:pPr>
        <w:spacing w:after="28" w:line="216" w:lineRule="auto"/>
        <w:ind w:left="259"/>
        <w:jc w:val="left"/>
      </w:pPr>
      <w:r>
        <w:rPr>
          <w:rFonts w:ascii="Arial" w:hAnsi="Arial"/>
          <w:color w:val="525252"/>
          <w:sz w:val="13"/>
        </w:rPr>
        <w:t>The practical problem-solving method, as shown in Figure 13.1., is an eight-step process used to clarify problems, identify root causes, and develop appropriate countermeasures to achieve change.</w:t>
      </w:r>
    </w:p>
    <w:p>
      <w:pPr>
        <w:spacing w:after="20" w:line="223" w:lineRule="auto"/>
        <w:jc w:val="right"/>
        <w:bidi/>
      </w:pPr>
      <w:r>
        <w:rPr>
          <w:rFonts w:ascii="Arial" w:hAnsi="Arial"/>
          <w:sz w:val="16"/>
        </w:rPr>
        <w:t>239.07  توجه: تکنیک‌های تفکر همگرا و واگرا آزبورن-پارنز شرح داده شده در این کتاب راهنما فصل</w:t>
      </w:r>
    </w:p>
    <w:p>
      <w:pPr>
        <w:spacing w:after="28" w:line="216" w:lineRule="auto"/>
        <w:ind w:left="259"/>
        <w:jc w:val="left"/>
      </w:pPr>
      <w:r>
        <w:rPr>
          <w:rFonts w:ascii="Arial" w:hAnsi="Arial"/>
          <w:color w:val="525252"/>
          <w:sz w:val="13"/>
        </w:rPr>
        <w:t>Note: The Osborn-Parnes convergent and divergent thinking techniques described in this handbook’s</w:t>
      </w:r>
    </w:p>
    <w:p>
      <w:pPr>
        <w:spacing w:before="60" w:after="28"/>
        <w:jc w:val="right"/>
        <w:bidi/>
      </w:pPr>
      <w:r>
        <w:rPr>
          <w:b/>
          <w:color w:val="1F4D78"/>
          <w:sz w:val="18"/>
        </w:rPr>
        <w:t>توسعه ایده‌ها می‌تواند در بسیاری از مراحل این فرآیند مفید باشد.</w:t>
      </w:r>
    </w:p>
    <w:p>
      <w:pPr>
        <w:spacing w:after="20"/>
        <w:ind w:left="259"/>
        <w:jc w:val="left"/>
      </w:pPr>
      <w:r>
        <w:rPr>
          <w:color w:val="555555"/>
          <w:sz w:val="12"/>
        </w:rPr>
        <w:t>chapter on Developing Ideas can be useful during many steps in this process.</w:t>
      </w:r>
    </w:p>
    <w:p>
      <w:pPr>
        <w:spacing w:before="60" w:after="28"/>
        <w:jc w:val="right"/>
        <w:bidi/>
      </w:pPr>
      <w:r>
        <w:rPr>
          <w:b/>
          <w:color w:val="1F4D78"/>
          <w:sz w:val="18"/>
        </w:rPr>
        <w:t>شکل 13.1. روش حل عملی مسئله</w:t>
      </w:r>
    </w:p>
    <w:p>
      <w:pPr>
        <w:spacing w:after="20"/>
        <w:ind w:left="259"/>
        <w:jc w:val="left"/>
      </w:pPr>
      <w:r>
        <w:rPr>
          <w:color w:val="555555"/>
          <w:sz w:val="12"/>
        </w:rPr>
        <w:t>Figure 13.1. Practical Problem Solving Method</w:t>
      </w:r>
    </w:p>
    <w:p>
      <w:pPr>
        <w:spacing w:after="20" w:line="223" w:lineRule="auto"/>
        <w:jc w:val="right"/>
        <w:bidi/>
      </w:pPr>
      <w:r>
        <w:rPr>
          <w:rFonts w:ascii="Arial" w:hAnsi="Arial"/>
          <w:sz w:val="16"/>
        </w:rPr>
        <w:t>239.10  مرحله ۱: مشکل را روشن و اعتبار سنجی کنید.</w:t>
      </w:r>
    </w:p>
    <w:p>
      <w:pPr>
        <w:spacing w:after="28" w:line="216" w:lineRule="auto"/>
        <w:ind w:left="259"/>
        <w:jc w:val="left"/>
      </w:pPr>
      <w:r>
        <w:rPr>
          <w:rFonts w:ascii="Arial" w:hAnsi="Arial"/>
          <w:color w:val="525252"/>
          <w:sz w:val="13"/>
        </w:rPr>
        <w:t>Step 1: Clarify and Validate the Problem.</w:t>
      </w:r>
    </w:p>
    <w:p>
      <w:pPr>
        <w:spacing w:after="20" w:line="223" w:lineRule="auto"/>
        <w:jc w:val="right"/>
        <w:bidi/>
      </w:pPr>
      <w:r>
        <w:rPr>
          <w:rFonts w:ascii="Arial" w:hAnsi="Arial"/>
          <w:sz w:val="16"/>
        </w:rPr>
        <w:t>239.11  اولین گام برای حل مؤثر مشکل، درک واضح مسئله است که اغلب با ایجاد بیانیه مشکل به بهترین نحو انجام می‌شود.</w:t>
      </w:r>
    </w:p>
    <w:p>
      <w:pPr>
        <w:spacing w:after="28" w:line="216" w:lineRule="auto"/>
        <w:ind w:left="259"/>
        <w:jc w:val="left"/>
      </w:pPr>
      <w:r>
        <w:rPr>
          <w:rFonts w:ascii="Arial" w:hAnsi="Arial"/>
          <w:color w:val="525252"/>
          <w:sz w:val="13"/>
        </w:rPr>
        <w:t>The first step to effective problem-solving is to clearly understand the problem, often best accomplished by developing a problem statement.</w:t>
      </w:r>
    </w:p>
    <w:p>
      <w:pPr>
        <w:spacing w:after="20" w:line="223" w:lineRule="auto"/>
        <w:jc w:val="right"/>
        <w:bidi/>
      </w:pPr>
      <w:r>
        <w:rPr>
          <w:rFonts w:ascii="Arial" w:hAnsi="Arial"/>
          <w:sz w:val="16"/>
        </w:rPr>
        <w:t>239.12  یک بیانیه مشکل به خوبی تعریف شده از داده‌ها برای شناسایی محل وقوع مشکل، تعیین تأثیر مشکل و مقایسه عملکرد در برابر یک استاندارد با محدوده و جهت استفاده می‌کند.</w:t>
      </w:r>
    </w:p>
    <w:p>
      <w:pPr>
        <w:spacing w:after="28" w:line="216" w:lineRule="auto"/>
        <w:ind w:left="259"/>
        <w:jc w:val="left"/>
      </w:pPr>
      <w:r>
        <w:rPr>
          <w:rFonts w:ascii="Arial" w:hAnsi="Arial"/>
          <w:color w:val="525252"/>
          <w:sz w:val="13"/>
        </w:rPr>
        <w:t>A well-defined problem statement uses data to identify where the problem is occurring, determine the impact of the problem, and compare performance against a standard with scope and direction.</w:t>
      </w:r>
    </w:p>
    <w:p>
      <w:pPr>
        <w:spacing w:after="20" w:line="223" w:lineRule="auto"/>
        <w:jc w:val="right"/>
        <w:bidi/>
      </w:pPr>
      <w:r>
        <w:rPr>
          <w:rFonts w:ascii="Arial" w:hAnsi="Arial"/>
          <w:sz w:val="16"/>
        </w:rPr>
        <w:t>239.13  بیان مسئله دلیل اصلی، راه‌حل یا اقدام متقابل را فرض نمی‌کند، بلکه باید شامل ابزارهای بصری برای نشان دادن وضعیت فعلی باشد.</w:t>
      </w:r>
    </w:p>
    <w:p>
      <w:pPr>
        <w:spacing w:after="28" w:line="216" w:lineRule="auto"/>
        <w:ind w:left="259"/>
        <w:jc w:val="left"/>
      </w:pPr>
      <w:r>
        <w:rPr>
          <w:rFonts w:ascii="Arial" w:hAnsi="Arial"/>
          <w:color w:val="525252"/>
          <w:sz w:val="13"/>
        </w:rPr>
        <w:t>A problem statement does not assume a root cause, solution, or countermeasure, but should include visual tools to depict the current state.</w:t>
      </w:r>
    </w:p>
    <w:p>
      <w:pPr>
        <w:spacing w:after="20" w:line="223" w:lineRule="auto"/>
        <w:jc w:val="right"/>
        <w:bidi/>
      </w:pPr>
      <w:r>
        <w:rPr>
          <w:rFonts w:ascii="Arial" w:hAnsi="Arial"/>
          <w:sz w:val="16"/>
        </w:rPr>
        <w:t>239.14  چه کسی، چه چیزی، چه زمانی، کجا، و اهمیت بیان مسئله باید توسط داده‌ها تأیید شود.</w:t>
      </w:r>
    </w:p>
    <w:p>
      <w:pPr>
        <w:spacing w:after="28" w:line="216" w:lineRule="auto"/>
        <w:ind w:left="259"/>
        <w:jc w:val="left"/>
      </w:pPr>
      <w:r>
        <w:rPr>
          <w:rFonts w:ascii="Arial" w:hAnsi="Arial"/>
          <w:color w:val="525252"/>
          <w:sz w:val="13"/>
        </w:rPr>
        <w:t>The who, what, when, where, and significance of the problem statement should be validated by data.</w:t>
      </w:r>
    </w:p>
    <w:p>
      <w:pPr>
        <w:spacing w:after="20" w:line="223" w:lineRule="auto"/>
        <w:jc w:val="right"/>
        <w:bidi/>
      </w:pPr>
      <w:r>
        <w:rPr>
          <w:rFonts w:ascii="Arial" w:hAnsi="Arial"/>
          <w:sz w:val="16"/>
        </w:rPr>
        <w:t>239.15  این کار با جمع‌آوری و تجزیه و تحلیل داده‌ها برای تأیید وجود و بزرگی مشکل انجام می‌شود.</w:t>
      </w:r>
    </w:p>
    <w:p>
      <w:pPr>
        <w:spacing w:after="28" w:line="216" w:lineRule="auto"/>
        <w:ind w:left="259"/>
        <w:jc w:val="left"/>
      </w:pPr>
      <w:r>
        <w:rPr>
          <w:rFonts w:ascii="Arial" w:hAnsi="Arial"/>
          <w:color w:val="525252"/>
          <w:sz w:val="13"/>
        </w:rPr>
        <w:t>This is done by collecting and analyzing data to validate the existence and magnitude of the problem.</w:t>
      </w:r>
    </w:p>
    <w:p>
      <w:pPr>
        <w:spacing w:after="20" w:line="223" w:lineRule="auto"/>
        <w:jc w:val="right"/>
        <w:bidi/>
      </w:pPr>
      <w:r>
        <w:rPr>
          <w:rFonts w:ascii="Arial" w:hAnsi="Arial"/>
          <w:sz w:val="16"/>
        </w:rPr>
        <w:t>239.16  اگر داده وجود نداشته باشد، قبل از حرکت به جلو، باید تلاش برای جمع‌آوری و تجزیه و تحلیل داده‌های مورد نیاز متوقف شود.</w:t>
      </w:r>
    </w:p>
    <w:p>
      <w:pPr>
        <w:spacing w:after="28" w:line="216" w:lineRule="auto"/>
        <w:ind w:left="259"/>
        <w:jc w:val="left"/>
      </w:pPr>
      <w:r>
        <w:rPr>
          <w:rFonts w:ascii="Arial" w:hAnsi="Arial"/>
          <w:color w:val="525252"/>
          <w:sz w:val="13"/>
        </w:rPr>
        <w:t>If data does not exist, the effort should be paused to collect and analyze the needed data before moving forward.</w:t>
      </w:r>
    </w:p>
    <w:p>
      <w:pPr>
        <w:spacing w:after="20" w:line="223" w:lineRule="auto"/>
        <w:jc w:val="right"/>
        <w:bidi/>
      </w:pPr>
      <w:r>
        <w:rPr>
          <w:rFonts w:ascii="Arial" w:hAnsi="Arial"/>
          <w:sz w:val="16"/>
        </w:rPr>
        <w:t>239.17  این مرحله جنبه‌های آشفتگی، یافتن داده، و مشکل یابی مدل آزبورن-پارنز را در بر می‌گیرد.</w:t>
      </w:r>
    </w:p>
    <w:p>
      <w:pPr>
        <w:spacing w:after="28" w:line="216" w:lineRule="auto"/>
        <w:ind w:left="259"/>
        <w:jc w:val="left"/>
      </w:pPr>
      <w:r>
        <w:rPr>
          <w:rFonts w:ascii="Arial" w:hAnsi="Arial"/>
          <w:color w:val="525252"/>
          <w:sz w:val="13"/>
        </w:rPr>
        <w:t>This step incorporates the Mess Finding, Data Finding, and Problem Finding aspects of the Osborn-Parnes model.</w:t>
      </w:r>
    </w:p>
    <w:p>
      <w:pPr>
        <w:spacing w:after="20" w:line="223" w:lineRule="auto"/>
        <w:jc w:val="right"/>
        <w:bidi/>
      </w:pPr>
      <w:r>
        <w:rPr>
          <w:rFonts w:ascii="Arial" w:hAnsi="Arial"/>
          <w:sz w:val="16"/>
        </w:rPr>
        <w:t>239.18  مرحله ۲: مشکل را حل کنید و شکاف‌های عملکردی را شناسایی کنید.</w:t>
      </w:r>
    </w:p>
    <w:p>
      <w:pPr>
        <w:spacing w:after="28" w:line="216" w:lineRule="auto"/>
        <w:ind w:left="259"/>
        <w:jc w:val="left"/>
      </w:pPr>
      <w:r>
        <w:rPr>
          <w:rFonts w:ascii="Arial" w:hAnsi="Arial"/>
          <w:color w:val="525252"/>
          <w:sz w:val="13"/>
        </w:rPr>
        <w:t>Step 2: Break Down Problem and Identify Performance Gaps.</w:t>
      </w:r>
    </w:p>
    <w:p>
      <w:pPr>
        <w:spacing w:after="20" w:line="223" w:lineRule="auto"/>
        <w:jc w:val="right"/>
        <w:bidi/>
      </w:pPr>
      <w:r>
        <w:rPr>
          <w:rFonts w:ascii="Arial" w:hAnsi="Arial"/>
          <w:sz w:val="16"/>
        </w:rPr>
        <w:t>239.19  درک اینکه چه داده‌های مناسبی مورد نیاز است و توانایی تفسیر آن داده‌ها برای تجزیه و تحلیل شکاف عملکرد بسیار مهم است.</w:t>
      </w:r>
    </w:p>
    <w:p>
      <w:pPr>
        <w:spacing w:after="28" w:line="216" w:lineRule="auto"/>
        <w:ind w:left="259"/>
        <w:jc w:val="left"/>
      </w:pPr>
      <w:r>
        <w:rPr>
          <w:rFonts w:ascii="Arial" w:hAnsi="Arial"/>
          <w:color w:val="525252"/>
          <w:sz w:val="13"/>
        </w:rPr>
        <w:t>Understanding what appropriate data is required and the ability to interpret that data is paramount to performance gap analysis.</w:t>
      </w:r>
    </w:p>
    <w:p>
      <w:pPr>
        <w:spacing w:after="20" w:line="223" w:lineRule="auto"/>
        <w:jc w:val="right"/>
        <w:bidi/>
      </w:pPr>
      <w:r>
        <w:rPr>
          <w:rFonts w:ascii="Arial" w:hAnsi="Arial"/>
          <w:sz w:val="16"/>
        </w:rPr>
        <w:t>239.20  مرحله ۲ به‌طور مؤثر مشکل در مرحله ۱ را کادربندی و پشتیبانی می‌کند.</w:t>
      </w:r>
    </w:p>
    <w:p>
      <w:pPr>
        <w:spacing w:after="28" w:line="216" w:lineRule="auto"/>
        <w:ind w:left="259"/>
        <w:jc w:val="left"/>
      </w:pPr>
      <w:r>
        <w:rPr>
          <w:rFonts w:ascii="Arial" w:hAnsi="Arial"/>
          <w:color w:val="525252"/>
          <w:sz w:val="13"/>
        </w:rPr>
        <w:t>Step 2 effectively frames and supports the problem in Step 1.</w:t>
      </w:r>
    </w:p>
    <w:p>
      <w:pPr>
        <w:spacing w:after="20" w:line="223" w:lineRule="auto"/>
        <w:jc w:val="right"/>
        <w:bidi/>
      </w:pPr>
      <w:r>
        <w:rPr>
          <w:rFonts w:ascii="Arial" w:hAnsi="Arial"/>
          <w:sz w:val="16"/>
        </w:rPr>
        <w:t>239.21  هنگامی که بیانیه مشکل شناسایی شد و به کی، چه چیزی، چه زمانی، کجا و اهمیت مسئله پاسخ داد، داده‌ها را در مقایسه با نتیجه مورد انتظار بیشتر تجزیه و تحلیل کنید.</w:t>
      </w:r>
    </w:p>
    <w:p>
      <w:pPr>
        <w:spacing w:after="28" w:line="216" w:lineRule="auto"/>
        <w:ind w:left="259"/>
        <w:jc w:val="left"/>
      </w:pPr>
      <w:r>
        <w:rPr>
          <w:rFonts w:ascii="Arial" w:hAnsi="Arial"/>
          <w:color w:val="525252"/>
          <w:sz w:val="13"/>
        </w:rPr>
        <w:t>Once the problem statement has been identified and answers the who, what, when, where, and significance of the problem, further analyze the data in comparison to the expected outcome.</w:t>
      </w:r>
    </w:p>
    <w:p>
      <w:pPr>
        <w:spacing w:after="20" w:line="223" w:lineRule="auto"/>
        <w:jc w:val="right"/>
        <w:bidi/>
      </w:pPr>
      <w:r>
        <w:rPr>
          <w:rFonts w:ascii="Arial" w:hAnsi="Arial"/>
          <w:sz w:val="16"/>
        </w:rPr>
        <w:t>239.22  نتیجه مورد انتظار هدفی است که از طریق آن شکاف بین وضعیت فعلی و وضعیت پایانی (نتیجه مورد انتظار) اندازه‌گیری می‌شود و فرصت‌های بهبود (که شکاف عملکرد نیز نامیده می‌شود) برجسته می‌شود.</w:t>
      </w:r>
    </w:p>
    <w:p>
      <w:pPr>
        <w:spacing w:after="28" w:line="216" w:lineRule="auto"/>
        <w:ind w:left="259"/>
        <w:jc w:val="left"/>
      </w:pPr>
      <w:r>
        <w:rPr>
          <w:rFonts w:ascii="Arial" w:hAnsi="Arial"/>
          <w:color w:val="525252"/>
          <w:sz w:val="13"/>
        </w:rPr>
        <w:t>The expected outcome is the objective from which to measure the gap between the current state and end state (the expected outcome) and highlight opportunities for improvements (also called the performance gap).</w:t>
      </w:r>
    </w:p>
    <w:p>
      <w:pPr>
        <w:spacing w:after="20" w:line="223" w:lineRule="auto"/>
        <w:jc w:val="right"/>
        <w:bidi/>
      </w:pPr>
      <w:r>
        <w:rPr>
          <w:rFonts w:ascii="Arial" w:hAnsi="Arial"/>
          <w:sz w:val="16"/>
        </w:rPr>
        <w:t>239.23  مرحله ۳: اهداف بهبود را تنظیم کنید.</w:t>
      </w:r>
    </w:p>
    <w:p>
      <w:pPr>
        <w:spacing w:after="28" w:line="216" w:lineRule="auto"/>
        <w:ind w:left="259"/>
        <w:jc w:val="left"/>
      </w:pPr>
      <w:r>
        <w:rPr>
          <w:rFonts w:ascii="Arial" w:hAnsi="Arial"/>
          <w:color w:val="525252"/>
          <w:sz w:val="13"/>
        </w:rPr>
        <w:t>Step 3: Set Improvement Targets.</w:t>
      </w:r>
    </w:p>
    <w:p>
      <w:pPr>
        <w:spacing w:after="20" w:line="223" w:lineRule="auto"/>
        <w:jc w:val="right"/>
        <w:bidi/>
      </w:pPr>
      <w:r>
        <w:rPr>
          <w:rFonts w:ascii="Arial" w:hAnsi="Arial"/>
          <w:sz w:val="16"/>
        </w:rPr>
        <w:t>239.24  رهبران USAF چشم اندازی از آنچه که یک سازمان برای تبدیل شدن به آن تلاش خواهد کرد (ایالت ایده آل) ایجاد می‌کنند.</w:t>
      </w:r>
    </w:p>
    <w:p>
      <w:pPr>
        <w:spacing w:after="28" w:line="216" w:lineRule="auto"/>
        <w:ind w:left="259"/>
        <w:jc w:val="left"/>
      </w:pPr>
      <w:r>
        <w:rPr>
          <w:rFonts w:ascii="Arial" w:hAnsi="Arial"/>
          <w:color w:val="525252"/>
          <w:sz w:val="13"/>
        </w:rPr>
        <w:t>USAF leaders establish a vision of what an organization will strive to become (the ideal state).</w:t>
      </w:r>
    </w:p>
    <w:p>
      <w:pPr>
        <w:spacing w:after="20" w:line="223" w:lineRule="auto"/>
        <w:jc w:val="right"/>
        <w:bidi/>
      </w:pPr>
      <w:r>
        <w:rPr>
          <w:rFonts w:ascii="Arial" w:hAnsi="Arial"/>
          <w:sz w:val="16"/>
        </w:rPr>
        <w:t>239.25  در مرحله ۳، صاحبان فرآیند یا مدیران پروژه اهداف بهبود را بر اساس نتایج مورد انتظار و اهداف و مقاصد استراتژیک تعیین می‌کنند.</w:t>
      </w:r>
    </w:p>
    <w:p>
      <w:pPr>
        <w:spacing w:after="28" w:line="216" w:lineRule="auto"/>
        <w:ind w:left="259"/>
        <w:jc w:val="left"/>
      </w:pPr>
      <w:r>
        <w:rPr>
          <w:rFonts w:ascii="Arial" w:hAnsi="Arial"/>
          <w:color w:val="525252"/>
          <w:sz w:val="13"/>
        </w:rPr>
        <w:t>In Step 3, process owners or project managers set improvement targets based on expected outcomes and strategic goals and objectives.</w:t>
      </w:r>
    </w:p>
    <w:p>
      <w:pPr>
        <w:spacing w:after="20" w:line="223" w:lineRule="auto"/>
        <w:jc w:val="right"/>
        <w:bidi/>
      </w:pPr>
      <w:r>
        <w:rPr>
          <w:rFonts w:ascii="Arial" w:hAnsi="Arial"/>
          <w:sz w:val="16"/>
        </w:rPr>
        <w:t>239.26  اهداف به تعریف آن کمک می‌کنند</w:t>
      </w:r>
    </w:p>
    <w:p>
      <w:pPr>
        <w:spacing w:after="28" w:line="216" w:lineRule="auto"/>
        <w:ind w:left="259"/>
        <w:jc w:val="left"/>
      </w:pPr>
      <w:r>
        <w:rPr>
          <w:rFonts w:ascii="Arial" w:hAnsi="Arial"/>
          <w:color w:val="525252"/>
          <w:sz w:val="13"/>
        </w:rPr>
        <w:t>Targets help define the</w:t>
      </w:r>
    </w:p>
    <w:p>
      <w:r>
        <w:br w:type="page"/>
      </w:r>
    </w:p>
    <w:p>
      <w:pPr>
        <w:spacing w:after="60"/>
        <w:jc w:val="right"/>
        <w:bidi/>
      </w:pPr>
      <w:r>
        <w:rPr>
          <w:rFonts w:ascii="Arial" w:hAnsi="Arial"/>
          <w:b/>
          <w:color w:val="1F4D78"/>
          <w:sz w:val="19"/>
        </w:rPr>
        <w:t>هفتهٔ 240  |  صفحهٔ منبع: 256</w:t>
      </w:r>
    </w:p>
    <w:p>
      <w:pPr>
        <w:spacing w:after="20" w:line="223" w:lineRule="auto"/>
        <w:jc w:val="right"/>
        <w:bidi/>
      </w:pPr>
      <w:r>
        <w:rPr>
          <w:rFonts w:ascii="Arial" w:hAnsi="Arial"/>
          <w:sz w:val="16"/>
        </w:rPr>
        <w:t>240.01  سطوح عملکرد مورد نیاز برای دستیابی به وضعیت نهایی مطلوب.</w:t>
      </w:r>
    </w:p>
    <w:p>
      <w:pPr>
        <w:spacing w:after="28" w:line="216" w:lineRule="auto"/>
        <w:ind w:left="259"/>
        <w:jc w:val="left"/>
      </w:pPr>
      <w:r>
        <w:rPr>
          <w:rFonts w:ascii="Arial" w:hAnsi="Arial"/>
          <w:color w:val="525252"/>
          <w:sz w:val="13"/>
        </w:rPr>
        <w:t>required performance levels to achieve the desired end state.</w:t>
      </w:r>
    </w:p>
    <w:p>
      <w:pPr>
        <w:spacing w:after="20" w:line="223" w:lineRule="auto"/>
        <w:jc w:val="right"/>
        <w:bidi/>
      </w:pPr>
      <w:r>
        <w:rPr>
          <w:rFonts w:ascii="Arial" w:hAnsi="Arial"/>
          <w:sz w:val="16"/>
        </w:rPr>
        <w:t>240.02  اهداف باید چالش برانگیز اما قابل دستیابی باشند.</w:t>
      </w:r>
    </w:p>
    <w:p>
      <w:pPr>
        <w:spacing w:after="28" w:line="216" w:lineRule="auto"/>
        <w:ind w:left="259"/>
        <w:jc w:val="left"/>
      </w:pPr>
      <w:r>
        <w:rPr>
          <w:rFonts w:ascii="Arial" w:hAnsi="Arial"/>
          <w:color w:val="525252"/>
          <w:sz w:val="13"/>
        </w:rPr>
        <w:t>Targets should be challenging but achievable.</w:t>
      </w:r>
    </w:p>
    <w:p>
      <w:pPr>
        <w:spacing w:after="20" w:line="223" w:lineRule="auto"/>
        <w:jc w:val="right"/>
        <w:bidi/>
      </w:pPr>
      <w:r>
        <w:rPr>
          <w:rFonts w:ascii="Arial" w:hAnsi="Arial"/>
          <w:sz w:val="16"/>
        </w:rPr>
        <w:t>240.03  مرحله ۴: علت اصلی را تعیین کنید.</w:t>
      </w:r>
    </w:p>
    <w:p>
      <w:pPr>
        <w:spacing w:after="28" w:line="216" w:lineRule="auto"/>
        <w:ind w:left="259"/>
        <w:jc w:val="left"/>
      </w:pPr>
      <w:r>
        <w:rPr>
          <w:rFonts w:ascii="Arial" w:hAnsi="Arial"/>
          <w:color w:val="525252"/>
          <w:sz w:val="13"/>
        </w:rPr>
        <w:t>Step 4: Determine Root Cause.</w:t>
      </w:r>
    </w:p>
    <w:p>
      <w:pPr>
        <w:spacing w:after="20" w:line="223" w:lineRule="auto"/>
        <w:jc w:val="right"/>
        <w:bidi/>
      </w:pPr>
      <w:r>
        <w:rPr>
          <w:rFonts w:ascii="Arial" w:hAnsi="Arial"/>
          <w:sz w:val="16"/>
        </w:rPr>
        <w:t>240.04  رهبران USAF اغلب خود را در حال رسیدگی به مشکلاتی می‌دانند که بارها حل شده‌اند، زمانی که تلاش‌های قبلی برای حل مشکل به جای دلایل ریشه‌ای، به نشانه‌های یک مشکل معطوف شده بود.</w:t>
      </w:r>
    </w:p>
    <w:p>
      <w:pPr>
        <w:spacing w:after="28" w:line="216" w:lineRule="auto"/>
        <w:ind w:left="259"/>
        <w:jc w:val="left"/>
      </w:pPr>
      <w:r>
        <w:rPr>
          <w:rFonts w:ascii="Arial" w:hAnsi="Arial"/>
          <w:color w:val="525252"/>
          <w:sz w:val="13"/>
        </w:rPr>
        <w:t>USAF leaders often find themselves addressing problems which have been solved many times when previous problem-solving efforts were directed at symptoms of a problem rather than root causes.</w:t>
      </w:r>
    </w:p>
    <w:p>
      <w:pPr>
        <w:spacing w:after="20" w:line="223" w:lineRule="auto"/>
        <w:jc w:val="right"/>
        <w:bidi/>
      </w:pPr>
      <w:r>
        <w:rPr>
          <w:rFonts w:ascii="Arial" w:hAnsi="Arial"/>
          <w:sz w:val="16"/>
        </w:rPr>
        <w:t>240.05  تجزیه و تحلیل علت ریشه اغلب شامل اعمال یک معاوضه بین حفاری تا حد امکان عمیق به جای یافتن عمیق‌ترین نقطه در حوزه نفوذ تیم است.</w:t>
      </w:r>
    </w:p>
    <w:p>
      <w:pPr>
        <w:spacing w:after="28" w:line="216" w:lineRule="auto"/>
        <w:ind w:left="259"/>
        <w:jc w:val="left"/>
      </w:pPr>
      <w:r>
        <w:rPr>
          <w:rFonts w:ascii="Arial" w:hAnsi="Arial"/>
          <w:color w:val="525252"/>
          <w:sz w:val="13"/>
        </w:rPr>
        <w:t>Root cause analysis often involves applying a tradeoff between digging as deeply as possible as opposed to finding the deepest point within the team’s sphere of influence.</w:t>
      </w:r>
    </w:p>
    <w:p>
      <w:pPr>
        <w:spacing w:after="20" w:line="223" w:lineRule="auto"/>
        <w:jc w:val="right"/>
        <w:bidi/>
      </w:pPr>
      <w:r>
        <w:rPr>
          <w:rFonts w:ascii="Arial" w:hAnsi="Arial"/>
          <w:sz w:val="16"/>
        </w:rPr>
        <w:t>240.06  علت اصلی صحیح باید با استفاده از همان داده‌های مورد استفاده برای تعریف مشکل در مرحله ۱ تأیید شود.</w:t>
      </w:r>
    </w:p>
    <w:p>
      <w:pPr>
        <w:spacing w:after="28" w:line="216" w:lineRule="auto"/>
        <w:ind w:left="259"/>
        <w:jc w:val="left"/>
      </w:pPr>
      <w:r>
        <w:rPr>
          <w:rFonts w:ascii="Arial" w:hAnsi="Arial"/>
          <w:color w:val="525252"/>
          <w:sz w:val="13"/>
        </w:rPr>
        <w:t>The correct root cause should be validated by using the same data used to define the problem in Step 1.</w:t>
      </w:r>
    </w:p>
    <w:p>
      <w:pPr>
        <w:spacing w:after="20" w:line="223" w:lineRule="auto"/>
        <w:jc w:val="right"/>
        <w:bidi/>
      </w:pPr>
      <w:r>
        <w:rPr>
          <w:rFonts w:ascii="Arial" w:hAnsi="Arial"/>
          <w:sz w:val="16"/>
        </w:rPr>
        <w:t>240.07  مرحله ۵: اقدامات متقابل را توسعه دهید.</w:t>
      </w:r>
    </w:p>
    <w:p>
      <w:pPr>
        <w:spacing w:after="28" w:line="216" w:lineRule="auto"/>
        <w:ind w:left="259"/>
        <w:jc w:val="left"/>
      </w:pPr>
      <w:r>
        <w:rPr>
          <w:rFonts w:ascii="Arial" w:hAnsi="Arial"/>
          <w:color w:val="525252"/>
          <w:sz w:val="13"/>
        </w:rPr>
        <w:t>Step 5: Develop Countermeasures.</w:t>
      </w:r>
    </w:p>
    <w:p>
      <w:pPr>
        <w:spacing w:after="20" w:line="223" w:lineRule="auto"/>
        <w:jc w:val="right"/>
        <w:bidi/>
      </w:pPr>
      <w:r>
        <w:rPr>
          <w:rFonts w:ascii="Arial" w:hAnsi="Arial"/>
          <w:sz w:val="16"/>
        </w:rPr>
        <w:t>240.08  مرحله ۵ جایی است که علل ریشه‌ای بالقوه با اقدامات متقابل برطرف می‌شود.</w:t>
      </w:r>
    </w:p>
    <w:p>
      <w:pPr>
        <w:spacing w:after="28" w:line="216" w:lineRule="auto"/>
        <w:ind w:left="259"/>
        <w:jc w:val="left"/>
      </w:pPr>
      <w:r>
        <w:rPr>
          <w:rFonts w:ascii="Arial" w:hAnsi="Arial"/>
          <w:color w:val="525252"/>
          <w:sz w:val="13"/>
        </w:rPr>
        <w:t>Step 5 is where potential root causes are addressed with countermeasures.</w:t>
      </w:r>
    </w:p>
    <w:p>
      <w:pPr>
        <w:spacing w:after="20" w:line="223" w:lineRule="auto"/>
        <w:jc w:val="right"/>
        <w:bidi/>
      </w:pPr>
      <w:r>
        <w:rPr>
          <w:rFonts w:ascii="Arial" w:hAnsi="Arial"/>
          <w:sz w:val="16"/>
        </w:rPr>
        <w:t>240.09  باید به عملی‌ترین، کارآمدترین و مؤثرترین اقدامات متقابل توجه شود.</w:t>
      </w:r>
    </w:p>
    <w:p>
      <w:pPr>
        <w:spacing w:after="28" w:line="216" w:lineRule="auto"/>
        <w:ind w:left="259"/>
        <w:jc w:val="left"/>
      </w:pPr>
      <w:r>
        <w:rPr>
          <w:rFonts w:ascii="Arial" w:hAnsi="Arial"/>
          <w:color w:val="525252"/>
          <w:sz w:val="13"/>
        </w:rPr>
        <w:t>Consideration should be given to the most practical, efficient, and effective countermeasures.</w:t>
      </w:r>
    </w:p>
    <w:p>
      <w:pPr>
        <w:spacing w:after="20" w:line="223" w:lineRule="auto"/>
        <w:jc w:val="right"/>
        <w:bidi/>
      </w:pPr>
      <w:r>
        <w:rPr>
          <w:rFonts w:ascii="Arial" w:hAnsi="Arial"/>
          <w:sz w:val="16"/>
        </w:rPr>
        <w:t>240.10  اقدامات متقابل معتبر شکاف‌های عملکردی را می‌بندد و باید سازمان را به حالت ایده‌آل نزدیک‌تر کند.</w:t>
      </w:r>
    </w:p>
    <w:p>
      <w:pPr>
        <w:spacing w:after="28" w:line="216" w:lineRule="auto"/>
        <w:ind w:left="259"/>
        <w:jc w:val="left"/>
      </w:pPr>
      <w:r>
        <w:rPr>
          <w:rFonts w:ascii="Arial" w:hAnsi="Arial"/>
          <w:color w:val="525252"/>
          <w:sz w:val="13"/>
        </w:rPr>
        <w:t>Valid countermeasures will close performance gaps and should move the organization closer to the ideal state.</w:t>
      </w:r>
    </w:p>
    <w:p>
      <w:pPr>
        <w:spacing w:after="20" w:line="223" w:lineRule="auto"/>
        <w:jc w:val="right"/>
        <w:bidi/>
      </w:pPr>
      <w:r>
        <w:rPr>
          <w:rFonts w:ascii="Arial" w:hAnsi="Arial"/>
          <w:sz w:val="16"/>
        </w:rPr>
        <w:t>240.11  هنگام توسعه اقدامات متقابل، برای تغییر بهبود فرآیند که پایدار و تکرارپذیر باشد تلاش کنید.</w:t>
      </w:r>
    </w:p>
    <w:p>
      <w:pPr>
        <w:spacing w:after="28" w:line="216" w:lineRule="auto"/>
        <w:ind w:left="259"/>
        <w:jc w:val="left"/>
      </w:pPr>
      <w:r>
        <w:rPr>
          <w:rFonts w:ascii="Arial" w:hAnsi="Arial"/>
          <w:color w:val="525252"/>
          <w:sz w:val="13"/>
        </w:rPr>
        <w:t>When developing countermeasures, strive for process improvement change that is sustainable and repeatable.</w:t>
      </w:r>
    </w:p>
    <w:p>
      <w:pPr>
        <w:spacing w:after="20" w:line="223" w:lineRule="auto"/>
        <w:jc w:val="right"/>
        <w:bidi/>
      </w:pPr>
      <w:r>
        <w:rPr>
          <w:rFonts w:ascii="Arial" w:hAnsi="Arial"/>
          <w:sz w:val="16"/>
        </w:rPr>
        <w:t>240.12  در پایان مرحله ۵، یک بررسی برداری دریافت کنید تا مطمئن شوید که همسویی استراتژیک با نتیجه مطلوب همچنان در جهت مناسب حرکت می‌کند.</w:t>
      </w:r>
    </w:p>
    <w:p>
      <w:pPr>
        <w:spacing w:after="28" w:line="216" w:lineRule="auto"/>
        <w:ind w:left="259"/>
        <w:jc w:val="left"/>
      </w:pPr>
      <w:r>
        <w:rPr>
          <w:rFonts w:ascii="Arial" w:hAnsi="Arial"/>
          <w:color w:val="525252"/>
          <w:sz w:val="13"/>
        </w:rPr>
        <w:t>At the end of Step 5, obtain a vector check to ensure strategic alignment with the desired outcome is still moving in the appropriate direction.</w:t>
      </w:r>
    </w:p>
    <w:p>
      <w:pPr>
        <w:spacing w:after="20" w:line="223" w:lineRule="auto"/>
        <w:jc w:val="right"/>
        <w:bidi/>
      </w:pPr>
      <w:r>
        <w:rPr>
          <w:rFonts w:ascii="Arial" w:hAnsi="Arial"/>
          <w:sz w:val="16"/>
        </w:rPr>
        <w:t>240.13  به یاد داشته باشید، تأثیر یک راه حل ترکیبی از کیفیت راه حل و پذیرش راه حل توسط افرادی است که آن را اجرا می‌کنند.</w:t>
      </w:r>
    </w:p>
    <w:p>
      <w:pPr>
        <w:spacing w:after="28" w:line="216" w:lineRule="auto"/>
        <w:ind w:left="259"/>
        <w:jc w:val="left"/>
      </w:pPr>
      <w:r>
        <w:rPr>
          <w:rFonts w:ascii="Arial" w:hAnsi="Arial"/>
          <w:color w:val="525252"/>
          <w:sz w:val="13"/>
        </w:rPr>
        <w:t>Remember, the impact of a solution is a combination of the quality of the solution and the acceptance of the solution by people who implement it.</w:t>
      </w:r>
    </w:p>
    <w:p>
      <w:pPr>
        <w:spacing w:after="20" w:line="223" w:lineRule="auto"/>
        <w:jc w:val="right"/>
        <w:bidi/>
      </w:pPr>
      <w:r>
        <w:rPr>
          <w:rFonts w:ascii="Arial" w:hAnsi="Arial"/>
          <w:sz w:val="16"/>
        </w:rPr>
        <w:t>240.14  مشارکت عاقلانه کارکنان در توسعه اقدامات متقابل باعث ایجاد خرید و مالکیت راه حل و موفقیت آن می‌شود.</w:t>
      </w:r>
    </w:p>
    <w:p>
      <w:pPr>
        <w:spacing w:after="28" w:line="216" w:lineRule="auto"/>
        <w:ind w:left="259"/>
        <w:jc w:val="left"/>
      </w:pPr>
      <w:r>
        <w:rPr>
          <w:rFonts w:ascii="Arial" w:hAnsi="Arial"/>
          <w:color w:val="525252"/>
          <w:sz w:val="13"/>
        </w:rPr>
        <w:t>Judiciously involving employees in the development of countermeasures generates buy-in and ownership of the solution and its success.</w:t>
      </w:r>
    </w:p>
    <w:p>
      <w:pPr>
        <w:spacing w:after="20" w:line="223" w:lineRule="auto"/>
        <w:jc w:val="right"/>
        <w:bidi/>
      </w:pPr>
      <w:r>
        <w:rPr>
          <w:rFonts w:ascii="Arial" w:hAnsi="Arial"/>
          <w:sz w:val="16"/>
        </w:rPr>
        <w:t>240.15  این مرحله جنبه‌های ایده یابی، راه حل یابی و پذیرش پذیرش مدل آزبورن-پارنز را در بر می‌گیرد.</w:t>
      </w:r>
    </w:p>
    <w:p>
      <w:pPr>
        <w:spacing w:after="28" w:line="216" w:lineRule="auto"/>
        <w:ind w:left="259"/>
        <w:jc w:val="left"/>
      </w:pPr>
      <w:r>
        <w:rPr>
          <w:rFonts w:ascii="Arial" w:hAnsi="Arial"/>
          <w:color w:val="525252"/>
          <w:sz w:val="13"/>
        </w:rPr>
        <w:t>This step incorporates the Idea Finding, Solution Finding, and Acceptance Finding aspects of the Osborn-Parnes model.</w:t>
      </w:r>
    </w:p>
    <w:p>
      <w:pPr>
        <w:spacing w:after="20" w:line="223" w:lineRule="auto"/>
        <w:jc w:val="right"/>
        <w:bidi/>
      </w:pPr>
      <w:r>
        <w:rPr>
          <w:rFonts w:ascii="Arial" w:hAnsi="Arial"/>
          <w:sz w:val="16"/>
        </w:rPr>
        <w:t>240.16  توجه: تکنیک‌هایی که در فصل توسعه ایده‌ها در این کتاب مورد بحث قرار گرفته‌اند، می‌توانند به‌ویژه هنگام توسعه اقدامات متقابل مفید باشند.</w:t>
      </w:r>
    </w:p>
    <w:p>
      <w:pPr>
        <w:spacing w:after="28" w:line="216" w:lineRule="auto"/>
        <w:ind w:left="259"/>
        <w:jc w:val="left"/>
      </w:pPr>
      <w:r>
        <w:rPr>
          <w:rFonts w:ascii="Arial" w:hAnsi="Arial"/>
          <w:color w:val="525252"/>
          <w:sz w:val="13"/>
        </w:rPr>
        <w:t>Note: Techniques discussed in this handbook’s chapter on Developing Ideas can be particularly useful when developing countermeasures.</w:t>
      </w:r>
    </w:p>
    <w:p>
      <w:pPr>
        <w:spacing w:after="20" w:line="223" w:lineRule="auto"/>
        <w:jc w:val="right"/>
        <w:bidi/>
      </w:pPr>
      <w:r>
        <w:rPr>
          <w:rFonts w:ascii="Arial" w:hAnsi="Arial"/>
          <w:sz w:val="16"/>
        </w:rPr>
        <w:t>240.17  قبل از ارزیابی و انتخاب راه‌حل، قضاوت را به تعویق بیندازید و مدتی را در نظر بگیرید تا ایده‌ها آزادانه جریان پیدا کنند (تدابیر متقابل بالقوه، حتی آن‌هایی که ممکن است عجیب یا غیرعادی به نظر برسند) را در نظر بگیرید.</w:t>
      </w:r>
    </w:p>
    <w:p>
      <w:pPr>
        <w:spacing w:after="28" w:line="216" w:lineRule="auto"/>
        <w:ind w:left="259"/>
        <w:jc w:val="left"/>
      </w:pPr>
      <w:r>
        <w:rPr>
          <w:rFonts w:ascii="Arial" w:hAnsi="Arial"/>
          <w:color w:val="525252"/>
          <w:sz w:val="13"/>
        </w:rPr>
        <w:t>Defer judgment and allow a period of time to let ideas flow freely (brainstorm potential countermeasures, even those that may seem odd or unusual) before evaluating and selecting a solution.</w:t>
      </w:r>
    </w:p>
    <w:p>
      <w:pPr>
        <w:spacing w:after="20" w:line="223" w:lineRule="auto"/>
        <w:jc w:val="right"/>
        <w:bidi/>
      </w:pPr>
      <w:r>
        <w:rPr>
          <w:rFonts w:ascii="Arial" w:hAnsi="Arial"/>
          <w:sz w:val="16"/>
        </w:rPr>
        <w:t>240.18  مرحله ۶: به اقدامات متقابل مراجعه کنید.</w:t>
      </w:r>
    </w:p>
    <w:p>
      <w:pPr>
        <w:spacing w:after="28" w:line="216" w:lineRule="auto"/>
        <w:ind w:left="259"/>
        <w:jc w:val="left"/>
      </w:pPr>
      <w:r>
        <w:rPr>
          <w:rFonts w:ascii="Arial" w:hAnsi="Arial"/>
          <w:color w:val="525252"/>
          <w:sz w:val="13"/>
        </w:rPr>
        <w:t>Step 6: See Countermeasures Through.</w:t>
      </w:r>
    </w:p>
    <w:p>
      <w:pPr>
        <w:spacing w:after="20" w:line="223" w:lineRule="auto"/>
        <w:jc w:val="right"/>
        <w:bidi/>
      </w:pPr>
      <w:r>
        <w:rPr>
          <w:rFonts w:ascii="Arial" w:hAnsi="Arial"/>
          <w:sz w:val="16"/>
        </w:rPr>
        <w:t>240.19  مرحله ۶ مشاهده اقدامات متقابل تا اجرا و پیگیری طرح‌های اجرایی دقیق برای هر اقدام متقابل تأیید شده در مرحله ۵ است.</w:t>
      </w:r>
    </w:p>
    <w:p>
      <w:pPr>
        <w:spacing w:after="28" w:line="216" w:lineRule="auto"/>
        <w:ind w:left="259"/>
        <w:jc w:val="left"/>
      </w:pPr>
      <w:r>
        <w:rPr>
          <w:rFonts w:ascii="Arial" w:hAnsi="Arial"/>
          <w:color w:val="525252"/>
          <w:sz w:val="13"/>
        </w:rPr>
        <w:t>Step 6 is seeing countermeasures through to execution and tracking detailed implementation plans for each countermeasure approved in Step 5.</w:t>
      </w:r>
    </w:p>
    <w:p>
      <w:pPr>
        <w:spacing w:after="20" w:line="223" w:lineRule="auto"/>
        <w:jc w:val="right"/>
        <w:bidi/>
      </w:pPr>
      <w:r>
        <w:rPr>
          <w:rFonts w:ascii="Arial" w:hAnsi="Arial"/>
          <w:sz w:val="16"/>
        </w:rPr>
        <w:t>240.20  بررسی‌ها و بررسی‌های پیشرفت باید به‌طور منظم در مورد همه وظایف به‌روزرسانی شود تا زمانی که اقدامات متقابل اجرا شود یا تا زمانی که غیرضروری تشخیص داده شود.</w:t>
      </w:r>
    </w:p>
    <w:p>
      <w:pPr>
        <w:spacing w:after="28" w:line="216" w:lineRule="auto"/>
        <w:ind w:left="259"/>
        <w:jc w:val="left"/>
      </w:pPr>
      <w:r>
        <w:rPr>
          <w:rFonts w:ascii="Arial" w:hAnsi="Arial"/>
          <w:color w:val="525252"/>
          <w:sz w:val="13"/>
        </w:rPr>
        <w:t>Reviews and progress checks should be updated regularly on all tasks until countermeasures have been implemented, or until deemed unnecessary.</w:t>
      </w:r>
    </w:p>
    <w:p>
      <w:pPr>
        <w:spacing w:after="20" w:line="223" w:lineRule="auto"/>
        <w:jc w:val="right"/>
        <w:bidi/>
      </w:pPr>
      <w:r>
        <w:rPr>
          <w:rFonts w:ascii="Arial" w:hAnsi="Arial"/>
          <w:sz w:val="16"/>
        </w:rPr>
        <w:t>240.21  مرحله ۷: نتایج و فرآیند را تأیید کنید.</w:t>
      </w:r>
    </w:p>
    <w:p>
      <w:pPr>
        <w:spacing w:after="28" w:line="216" w:lineRule="auto"/>
        <w:ind w:left="259"/>
        <w:jc w:val="left"/>
      </w:pPr>
      <w:r>
        <w:rPr>
          <w:rFonts w:ascii="Arial" w:hAnsi="Arial"/>
          <w:color w:val="525252"/>
          <w:sz w:val="13"/>
        </w:rPr>
        <w:t>Step 7: Confirm Results and Process.</w:t>
      </w:r>
    </w:p>
    <w:p>
      <w:pPr>
        <w:spacing w:after="20" w:line="223" w:lineRule="auto"/>
        <w:jc w:val="right"/>
        <w:bidi/>
      </w:pPr>
      <w:r>
        <w:rPr>
          <w:rFonts w:ascii="Arial" w:hAnsi="Arial"/>
          <w:sz w:val="16"/>
        </w:rPr>
        <w:t>240.22  مرحله ۷ نتایج اقدامات متقابل اجرا شده را با شکاف‌های عملکرد شناسایی‌شده، اهداف/اهداف بهبود و نتیجه مورد انتظار مقایسه می‌کند.</w:t>
      </w:r>
    </w:p>
    <w:p>
      <w:pPr>
        <w:spacing w:after="28" w:line="216" w:lineRule="auto"/>
        <w:ind w:left="259"/>
        <w:jc w:val="left"/>
      </w:pPr>
      <w:r>
        <w:rPr>
          <w:rFonts w:ascii="Arial" w:hAnsi="Arial"/>
          <w:color w:val="525252"/>
          <w:sz w:val="13"/>
        </w:rPr>
        <w:t>Step 7 compares the results of implemented countermeasures to the identified performance gaps, improvement objectives/targets, and the expected outcome.</w:t>
      </w:r>
    </w:p>
    <w:p>
      <w:pPr>
        <w:spacing w:after="20" w:line="223" w:lineRule="auto"/>
        <w:jc w:val="right"/>
        <w:bidi/>
      </w:pPr>
      <w:r>
        <w:rPr>
          <w:rFonts w:ascii="Arial" w:hAnsi="Arial"/>
          <w:sz w:val="16"/>
        </w:rPr>
        <w:t>240.23  پایداری و تکرارپذیری فرآیند بهبودیافته باید تأیید شود.</w:t>
      </w:r>
    </w:p>
    <w:p>
      <w:pPr>
        <w:spacing w:after="28" w:line="216" w:lineRule="auto"/>
        <w:ind w:left="259"/>
        <w:jc w:val="left"/>
      </w:pPr>
      <w:r>
        <w:rPr>
          <w:rFonts w:ascii="Arial" w:hAnsi="Arial"/>
          <w:color w:val="525252"/>
          <w:sz w:val="13"/>
        </w:rPr>
        <w:t>Sustainability and repeatability of the improved process should be verified.</w:t>
      </w:r>
    </w:p>
    <w:p>
      <w:pPr>
        <w:spacing w:after="20" w:line="223" w:lineRule="auto"/>
        <w:jc w:val="right"/>
        <w:bidi/>
      </w:pPr>
      <w:r>
        <w:rPr>
          <w:rFonts w:ascii="Arial" w:hAnsi="Arial"/>
          <w:sz w:val="16"/>
        </w:rPr>
        <w:t>240.24  نتایج با داده‌ها اندازه‌گیری می‌شوند و برای تأیید هدف پروژه تجزیه و تحلیل می‌شوند.</w:t>
      </w:r>
    </w:p>
    <w:p>
      <w:pPr>
        <w:spacing w:after="28" w:line="216" w:lineRule="auto"/>
        <w:ind w:left="259"/>
        <w:jc w:val="left"/>
      </w:pPr>
      <w:r>
        <w:rPr>
          <w:rFonts w:ascii="Arial" w:hAnsi="Arial"/>
          <w:color w:val="525252"/>
          <w:sz w:val="13"/>
        </w:rPr>
        <w:t>Results are measured by data and analyzed to confirm the project’s intent.</w:t>
      </w:r>
    </w:p>
    <w:p>
      <w:pPr>
        <w:spacing w:after="20" w:line="223" w:lineRule="auto"/>
        <w:jc w:val="right"/>
        <w:bidi/>
      </w:pPr>
      <w:r>
        <w:rPr>
          <w:rFonts w:ascii="Arial" w:hAnsi="Arial"/>
          <w:sz w:val="16"/>
        </w:rPr>
        <w:t>240.25  فرآیندها باید از نظر عملکرد نسبت به خط پایه توسعه‌یافته در مراحل ۱ و ۲، نسبت به اهداف تعیین‌شده در مرحله ۳، و نسبت به اجرای راه‌حل، پایش شوند.</w:t>
      </w:r>
    </w:p>
    <w:p>
      <w:pPr>
        <w:spacing w:after="28" w:line="216" w:lineRule="auto"/>
        <w:ind w:left="259"/>
        <w:jc w:val="left"/>
      </w:pPr>
      <w:r>
        <w:rPr>
          <w:rFonts w:ascii="Arial" w:hAnsi="Arial"/>
          <w:color w:val="525252"/>
          <w:sz w:val="13"/>
        </w:rPr>
        <w:t>Processes should be monitored for performance relative to the baseline developed in Steps 1 and 2, relative to targets established in Step 3, and relative to the solution implementation.</w:t>
      </w:r>
    </w:p>
    <w:p>
      <w:pPr>
        <w:spacing w:after="20" w:line="223" w:lineRule="auto"/>
        <w:jc w:val="right"/>
        <w:bidi/>
      </w:pPr>
      <w:r>
        <w:rPr>
          <w:rFonts w:ascii="Arial" w:hAnsi="Arial"/>
          <w:sz w:val="16"/>
        </w:rPr>
        <w:t>240.26  نتایج تأیید شده را با ابزارهای داده مناسب نشان دهید که به شکاف‌های عملکرد و اهداف بهبود مرتبط است.</w:t>
      </w:r>
    </w:p>
    <w:p>
      <w:pPr>
        <w:spacing w:after="28" w:line="216" w:lineRule="auto"/>
        <w:ind w:left="259"/>
        <w:jc w:val="left"/>
      </w:pPr>
      <w:r>
        <w:rPr>
          <w:rFonts w:ascii="Arial" w:hAnsi="Arial"/>
          <w:color w:val="525252"/>
          <w:sz w:val="13"/>
        </w:rPr>
        <w:t>Illustrate confirmed results with appropriate data tools which link back to performance gaps and improvement targets.</w:t>
      </w:r>
    </w:p>
    <w:p>
      <w:pPr>
        <w:spacing w:after="20" w:line="223" w:lineRule="auto"/>
        <w:jc w:val="right"/>
        <w:bidi/>
      </w:pPr>
      <w:r>
        <w:rPr>
          <w:rFonts w:ascii="Arial" w:hAnsi="Arial"/>
          <w:sz w:val="16"/>
        </w:rPr>
        <w:t>240.27  تعیین علت ریشه‌ای نادرست رایج‌ترین اشتباهی است که در طول تلاش‌های CI انجام می‌شود.</w:t>
      </w:r>
    </w:p>
    <w:p>
      <w:pPr>
        <w:spacing w:after="28" w:line="216" w:lineRule="auto"/>
        <w:ind w:left="259"/>
        <w:jc w:val="left"/>
      </w:pPr>
      <w:r>
        <w:rPr>
          <w:rFonts w:ascii="Arial" w:hAnsi="Arial"/>
          <w:color w:val="525252"/>
          <w:sz w:val="13"/>
        </w:rPr>
        <w:t>Incorrect root-cause determination is the most common mistake made during CI efforts.</w:t>
      </w:r>
    </w:p>
    <w:p>
      <w:pPr>
        <w:spacing w:after="20" w:line="223" w:lineRule="auto"/>
        <w:jc w:val="right"/>
        <w:bidi/>
      </w:pPr>
      <w:r>
        <w:rPr>
          <w:rFonts w:ascii="Arial" w:hAnsi="Arial"/>
          <w:sz w:val="16"/>
        </w:rPr>
        <w:t>240.28  در صورت عدم دستیابی به اهداف، ممکن است لازم باشد به مرحله ۴ برگردید.</w:t>
      </w:r>
    </w:p>
    <w:p>
      <w:pPr>
        <w:spacing w:after="28" w:line="216" w:lineRule="auto"/>
        <w:ind w:left="259"/>
        <w:jc w:val="left"/>
      </w:pPr>
      <w:r>
        <w:rPr>
          <w:rFonts w:ascii="Arial" w:hAnsi="Arial"/>
          <w:color w:val="525252"/>
          <w:sz w:val="13"/>
        </w:rPr>
        <w:t>If targets are not met, it may be necessary to return to Step 4.</w:t>
      </w:r>
    </w:p>
    <w:p>
      <w:pPr>
        <w:spacing w:after="20" w:line="223" w:lineRule="auto"/>
        <w:jc w:val="right"/>
        <w:bidi/>
      </w:pPr>
      <w:r>
        <w:rPr>
          <w:rFonts w:ascii="Arial" w:hAnsi="Arial"/>
          <w:sz w:val="16"/>
        </w:rPr>
        <w:t>240.29  مرحله ۸: استاندارد کردن فرآیندهای موفق.</w:t>
      </w:r>
    </w:p>
    <w:p>
      <w:pPr>
        <w:spacing w:after="28" w:line="216" w:lineRule="auto"/>
        <w:ind w:left="259"/>
        <w:jc w:val="left"/>
      </w:pPr>
      <w:r>
        <w:rPr>
          <w:rFonts w:ascii="Arial" w:hAnsi="Arial"/>
          <w:color w:val="525252"/>
          <w:sz w:val="13"/>
        </w:rPr>
        <w:t>Step 8: Standardize Successful Processes.</w:t>
      </w:r>
    </w:p>
    <w:p>
      <w:pPr>
        <w:spacing w:after="20" w:line="223" w:lineRule="auto"/>
        <w:jc w:val="right"/>
        <w:bidi/>
      </w:pPr>
      <w:r>
        <w:rPr>
          <w:rFonts w:ascii="Arial" w:hAnsi="Arial"/>
          <w:sz w:val="16"/>
        </w:rPr>
        <w:t>240.30  مرحله ۸ متداولترین مرحله نادیده گرفته شده در کل روش عملی حل مسئله است. با این حال، مهم است که اطمینان حاصل شود که نتایج تلاش‌های انجام شده در مراحل قبلی مدون است.</w:t>
      </w:r>
    </w:p>
    <w:p>
      <w:pPr>
        <w:spacing w:after="28" w:line="216" w:lineRule="auto"/>
        <w:ind w:left="259"/>
        <w:jc w:val="left"/>
      </w:pPr>
      <w:r>
        <w:rPr>
          <w:rFonts w:ascii="Arial" w:hAnsi="Arial"/>
          <w:color w:val="525252"/>
          <w:sz w:val="13"/>
        </w:rPr>
        <w:t>Step 8 is the most commonly neglected step of the entire practical problem-solving method; however, it is important to ensure the results of the efforts made in previous steps are codified.</w:t>
      </w:r>
    </w:p>
    <w:p>
      <w:pPr>
        <w:spacing w:after="20" w:line="223" w:lineRule="auto"/>
        <w:jc w:val="right"/>
        <w:bidi/>
      </w:pPr>
      <w:r>
        <w:rPr>
          <w:rFonts w:ascii="Arial" w:hAnsi="Arial"/>
          <w:sz w:val="16"/>
        </w:rPr>
        <w:t>240.31  در مرحله ۸، پاسخ سه سوال زیر را در نظر بگیرید: برای استانداردسازی بهبودها چه چیزی لازم است؟</w:t>
      </w:r>
    </w:p>
    <w:p>
      <w:pPr>
        <w:spacing w:after="28" w:line="216" w:lineRule="auto"/>
        <w:ind w:left="259"/>
        <w:jc w:val="left"/>
      </w:pPr>
      <w:r>
        <w:rPr>
          <w:rFonts w:ascii="Arial" w:hAnsi="Arial"/>
          <w:color w:val="525252"/>
          <w:sz w:val="13"/>
        </w:rPr>
        <w:t>In Step 8, consider the answers to following three questions: What is needed to standardize the improvements?</w:t>
      </w:r>
    </w:p>
    <w:p>
      <w:pPr>
        <w:spacing w:after="20" w:line="223" w:lineRule="auto"/>
        <w:jc w:val="right"/>
        <w:bidi/>
      </w:pPr>
      <w:r>
        <w:rPr>
          <w:rFonts w:ascii="Arial" w:hAnsi="Arial"/>
          <w:sz w:val="16"/>
        </w:rPr>
        <w:t>240.32  پاسخ‌های احتمالی ممکن است شامل ارسال به نیروهای هوایی پوورد بی یننوواتیون پروگرام یا تغییر درخواست‌ها برای سفارش‌های فنی، دستورالعمل‌ها، راهنماها، مواد و تأمین‌کنندگان باشد.</w:t>
      </w:r>
    </w:p>
    <w:p>
      <w:pPr>
        <w:spacing w:after="28" w:line="216" w:lineRule="auto"/>
        <w:ind w:left="259"/>
        <w:jc w:val="left"/>
      </w:pPr>
      <w:r>
        <w:rPr>
          <w:rFonts w:ascii="Arial" w:hAnsi="Arial"/>
          <w:color w:val="525252"/>
          <w:sz w:val="13"/>
        </w:rPr>
        <w:t>Possible answers may include a submission to the Airmen Powered by Innovation Program or change requests for technical orders, instructions, manuals, materiel, and suppliers.</w:t>
      </w:r>
    </w:p>
    <w:p>
      <w:pPr>
        <w:spacing w:after="20" w:line="223" w:lineRule="auto"/>
        <w:jc w:val="right"/>
        <w:bidi/>
      </w:pPr>
      <w:r>
        <w:rPr>
          <w:rFonts w:ascii="Arial" w:hAnsi="Arial"/>
          <w:sz w:val="16"/>
        </w:rPr>
        <w:t>240.33  چگونه باید بهبودها و درس‌های آموخته شده را منتقل کرد؟</w:t>
      </w:r>
    </w:p>
    <w:p>
      <w:pPr>
        <w:spacing w:after="28" w:line="216" w:lineRule="auto"/>
        <w:ind w:left="259"/>
        <w:jc w:val="left"/>
      </w:pPr>
      <w:r>
        <w:rPr>
          <w:rFonts w:ascii="Arial" w:hAnsi="Arial"/>
          <w:color w:val="525252"/>
          <w:sz w:val="13"/>
        </w:rPr>
        <w:t>How should improvements and lessons learned be communicated?</w:t>
      </w:r>
    </w:p>
    <w:p>
      <w:pPr>
        <w:spacing w:after="20" w:line="223" w:lineRule="auto"/>
        <w:jc w:val="right"/>
        <w:bidi/>
      </w:pPr>
      <w:r>
        <w:rPr>
          <w:rFonts w:ascii="Arial" w:hAnsi="Arial"/>
          <w:sz w:val="16"/>
        </w:rPr>
        <w:t>240.34  مدیر فرآیند بال باید از موفقیت آگاه شود.</w:t>
      </w:r>
    </w:p>
    <w:p>
      <w:pPr>
        <w:spacing w:after="28" w:line="216" w:lineRule="auto"/>
        <w:ind w:left="259"/>
        <w:jc w:val="left"/>
      </w:pPr>
      <w:r>
        <w:rPr>
          <w:rFonts w:ascii="Arial" w:hAnsi="Arial"/>
          <w:color w:val="525252"/>
          <w:sz w:val="13"/>
        </w:rPr>
        <w:t>The wing process manager should be made aware of the success.</w:t>
      </w:r>
    </w:p>
    <w:p>
      <w:pPr>
        <w:spacing w:after="20" w:line="223" w:lineRule="auto"/>
        <w:jc w:val="right"/>
        <w:bidi/>
      </w:pPr>
      <w:r>
        <w:rPr>
          <w:rFonts w:ascii="Arial" w:hAnsi="Arial"/>
          <w:sz w:val="16"/>
        </w:rPr>
        <w:t>240.35  وارد کردن اطلاعات در پورتال CI USAF، برگزاری جلسات کلیدی، نوشتن نشریات، استفاده از امور عمومی، اطلاع رسانی به زنجیره فرماندهی، یا پر کردن سایت‌های جمع‌آوری داده‌ها.</w:t>
      </w:r>
    </w:p>
    <w:p>
      <w:pPr>
        <w:spacing w:after="28" w:line="216" w:lineRule="auto"/>
        <w:ind w:left="259"/>
        <w:jc w:val="left"/>
      </w:pPr>
      <w:r>
        <w:rPr>
          <w:rFonts w:ascii="Arial" w:hAnsi="Arial"/>
          <w:color w:val="525252"/>
          <w:sz w:val="13"/>
        </w:rPr>
        <w:t>Inputting information into the USAF CI portal, conducting key meetings, writing publications, utilizing public affairs, informing the chain of command, or populating data collection sites.</w:t>
      </w:r>
    </w:p>
    <w:p>
      <w:r>
        <w:br w:type="page"/>
      </w:r>
    </w:p>
    <w:p>
      <w:pPr>
        <w:spacing w:after="60"/>
        <w:jc w:val="right"/>
        <w:bidi/>
      </w:pPr>
      <w:r>
        <w:rPr>
          <w:rFonts w:ascii="Arial" w:hAnsi="Arial"/>
          <w:b/>
          <w:color w:val="1F4D78"/>
          <w:sz w:val="19"/>
        </w:rPr>
        <w:t>هفتهٔ 241  |  صفحهٔ منبع: 257</w:t>
      </w:r>
    </w:p>
    <w:p>
      <w:pPr>
        <w:spacing w:after="20" w:line="223" w:lineRule="auto"/>
        <w:jc w:val="right"/>
        <w:bidi/>
      </w:pPr>
      <w:r>
        <w:rPr>
          <w:rFonts w:ascii="Arial" w:hAnsi="Arial"/>
          <w:sz w:val="16"/>
        </w:rPr>
        <w:t>241.01  آیا فرصت‌ها یا مشکلات دیگری توسط مدل حل مسئله شناسایی شدند؟</w:t>
      </w:r>
    </w:p>
    <w:p>
      <w:pPr>
        <w:spacing w:after="28" w:line="216" w:lineRule="auto"/>
        <w:ind w:left="259"/>
        <w:jc w:val="left"/>
      </w:pPr>
      <w:r>
        <w:rPr>
          <w:rFonts w:ascii="Arial" w:hAnsi="Arial"/>
          <w:color w:val="525252"/>
          <w:sz w:val="13"/>
        </w:rPr>
        <w:t>Were other opportunities or problems identified by the problem-solving model?</w:t>
      </w:r>
    </w:p>
    <w:p>
      <w:pPr>
        <w:spacing w:after="20" w:line="223" w:lineRule="auto"/>
        <w:jc w:val="right"/>
        <w:bidi/>
      </w:pPr>
      <w:r>
        <w:rPr>
          <w:rFonts w:ascii="Arial" w:hAnsi="Arial"/>
          <w:sz w:val="16"/>
        </w:rPr>
        <w:t>241.02  این پروژه ممکن است فرصت‌های دیگری برای حل مسئله را شناسایی کرده باشد که باید شناسایی و مورد توجه قرار گیرند.</w:t>
      </w:r>
    </w:p>
    <w:p>
      <w:pPr>
        <w:spacing w:after="28" w:line="216" w:lineRule="auto"/>
        <w:ind w:left="259"/>
        <w:jc w:val="left"/>
      </w:pPr>
      <w:r>
        <w:rPr>
          <w:rFonts w:ascii="Arial" w:hAnsi="Arial"/>
          <w:color w:val="525252"/>
          <w:sz w:val="13"/>
        </w:rPr>
        <w:t>This project may have identified additional problem-solving opportunities that should be recognized and addressed.</w:t>
      </w:r>
    </w:p>
    <w:p>
      <w:pPr>
        <w:spacing w:before="60" w:after="28"/>
        <w:jc w:val="right"/>
        <w:bidi/>
      </w:pPr>
      <w:r>
        <w:rPr>
          <w:b/>
          <w:color w:val="1F4D78"/>
          <w:sz w:val="18"/>
        </w:rPr>
        <w:t>13.14. سطوح حل مسئله</w:t>
      </w:r>
    </w:p>
    <w:p>
      <w:pPr>
        <w:spacing w:after="20"/>
        <w:ind w:left="259"/>
        <w:jc w:val="left"/>
      </w:pPr>
      <w:r>
        <w:rPr>
          <w:color w:val="555555"/>
          <w:sz w:val="12"/>
        </w:rPr>
        <w:t>13.14. Levels of Problem Solving</w:t>
      </w:r>
    </w:p>
    <w:p>
      <w:pPr>
        <w:spacing w:after="20" w:line="223" w:lineRule="auto"/>
        <w:jc w:val="right"/>
        <w:bidi/>
      </w:pPr>
      <w:r>
        <w:rPr>
          <w:rFonts w:ascii="Arial" w:hAnsi="Arial"/>
          <w:sz w:val="16"/>
        </w:rPr>
        <w:t>241.04  روش حل مسئله عملی که به‌طور مداوم اعمال می‌شود، ابزاری عالی برای تصمیم‌گیری‌های مبتنی بر داده با توجه به مدیریت، تغییر فرآیند و به اشتراک گذاری بهترین شیوه‌ها فراهم می‌کند و اطمینان می‌دهد که اقدامات با حداقل ضایعات منجر به نتایج مطلوب می‌شود.</w:t>
      </w:r>
    </w:p>
    <w:p>
      <w:pPr>
        <w:spacing w:after="28" w:line="216" w:lineRule="auto"/>
        <w:ind w:left="259"/>
        <w:jc w:val="left"/>
      </w:pPr>
      <w:r>
        <w:rPr>
          <w:rFonts w:ascii="Arial" w:hAnsi="Arial"/>
          <w:color w:val="525252"/>
          <w:sz w:val="13"/>
        </w:rPr>
        <w:t>Consistently applied, the Practical Problem Solving Method provides an excellent tool for making data-driven decisions with regard to management, process change, and the sharing of best practices, ensuring actions lead to the desired results with minimal waste.</w:t>
      </w:r>
    </w:p>
    <w:p>
      <w:pPr>
        <w:spacing w:after="20" w:line="223" w:lineRule="auto"/>
        <w:jc w:val="right"/>
        <w:bidi/>
      </w:pPr>
      <w:r>
        <w:rPr>
          <w:rFonts w:ascii="Arial" w:hAnsi="Arial"/>
          <w:sz w:val="16"/>
        </w:rPr>
        <w:t>241.05  همچنین تضمین می‌کند که نتایج با نیازهای سازمان همسو هستند.</w:t>
      </w:r>
    </w:p>
    <w:p>
      <w:pPr>
        <w:spacing w:after="28" w:line="216" w:lineRule="auto"/>
        <w:ind w:left="259"/>
        <w:jc w:val="left"/>
      </w:pPr>
      <w:r>
        <w:rPr>
          <w:rFonts w:ascii="Arial" w:hAnsi="Arial"/>
          <w:color w:val="525252"/>
          <w:sz w:val="13"/>
        </w:rPr>
        <w:t>It also ensures the results are aligned with the needs of the organization.</w:t>
      </w:r>
    </w:p>
    <w:p>
      <w:pPr>
        <w:spacing w:after="20" w:line="223" w:lineRule="auto"/>
        <w:jc w:val="right"/>
        <w:bidi/>
      </w:pPr>
      <w:r>
        <w:rPr>
          <w:rFonts w:ascii="Arial" w:hAnsi="Arial"/>
          <w:sz w:val="16"/>
        </w:rPr>
        <w:t>241.06  سه سطح مختلف تلاش برای انجام این ابتکار روش در دسترس است.</w:t>
      </w:r>
    </w:p>
    <w:p>
      <w:pPr>
        <w:spacing w:after="28" w:line="216" w:lineRule="auto"/>
        <w:ind w:left="259"/>
        <w:jc w:val="left"/>
      </w:pPr>
      <w:r>
        <w:rPr>
          <w:rFonts w:ascii="Arial" w:hAnsi="Arial"/>
          <w:color w:val="525252"/>
          <w:sz w:val="13"/>
        </w:rPr>
        <w:t>Three different levels of effort are available for accomplishing this method initiative.</w:t>
      </w:r>
    </w:p>
    <w:p>
      <w:pPr>
        <w:spacing w:after="20" w:line="223" w:lineRule="auto"/>
        <w:jc w:val="right"/>
        <w:bidi/>
      </w:pPr>
      <w:r>
        <w:rPr>
          <w:rFonts w:ascii="Arial" w:hAnsi="Arial"/>
          <w:sz w:val="16"/>
        </w:rPr>
        <w:t>241.07  به‌عنوان یک الگوی استاندارد برای حل مشکلات و انجام ابتکارات بهبود فرآیند، روش حل مسئله عملی به اندازه کافی انعطاف پذیر است که در هر یک از سه سطح زیر مؤثر باشد.</w:t>
      </w:r>
    </w:p>
    <w:p>
      <w:pPr>
        <w:spacing w:after="28" w:line="216" w:lineRule="auto"/>
        <w:ind w:left="259"/>
        <w:jc w:val="left"/>
      </w:pPr>
      <w:r>
        <w:rPr>
          <w:rFonts w:ascii="Arial" w:hAnsi="Arial"/>
          <w:color w:val="525252"/>
          <w:sz w:val="13"/>
        </w:rPr>
        <w:t>As a standardized template for solving problems and performing process improvement initiatives, the Practical Problem Solving Method is flexible enough to be effective at any of the following three levels.</w:t>
      </w:r>
    </w:p>
    <w:p>
      <w:pPr>
        <w:spacing w:after="20" w:line="223" w:lineRule="auto"/>
        <w:jc w:val="right"/>
        <w:bidi/>
      </w:pPr>
      <w:r>
        <w:rPr>
          <w:rFonts w:ascii="Arial" w:hAnsi="Arial"/>
          <w:sz w:val="16"/>
        </w:rPr>
        <w:t>241.08  جوست دو یت: که به آن بهبود نقطه نیز می‌گویند، رویکرد "فقط انجامش بده" شامل یک نفر (یا یک تیم کوچک) است و می‌تواند در کمتر از یک روز انجام شود.</w:t>
      </w:r>
    </w:p>
    <w:p>
      <w:pPr>
        <w:spacing w:after="28" w:line="216" w:lineRule="auto"/>
        <w:ind w:left="259"/>
        <w:jc w:val="left"/>
      </w:pPr>
      <w:r>
        <w:rPr>
          <w:rFonts w:ascii="Arial" w:hAnsi="Arial"/>
          <w:color w:val="525252"/>
          <w:sz w:val="13"/>
        </w:rPr>
        <w:t>Just Do It: Also called point improvement, the ‘just do it’ approach involves one person (or a small team) and can be accomplished in less than a day.</w:t>
      </w:r>
    </w:p>
    <w:p>
      <w:pPr>
        <w:spacing w:after="20" w:line="223" w:lineRule="auto"/>
        <w:jc w:val="right"/>
        <w:bidi/>
      </w:pPr>
      <w:r>
        <w:rPr>
          <w:rFonts w:ascii="Arial" w:hAnsi="Arial"/>
          <w:sz w:val="16"/>
        </w:rPr>
        <w:t>241.09  مثال‌ها می‌تواند استفاده از آچارهای گشتاور به جای آچارهای قابل تنظیم یا مسیریابی مدارک به صورت الکترونیکی و نه از طریق کانال‌های توزیع فیزیکی باشد.</w:t>
      </w:r>
    </w:p>
    <w:p>
      <w:pPr>
        <w:spacing w:after="28" w:line="216" w:lineRule="auto"/>
        <w:ind w:left="259"/>
        <w:jc w:val="left"/>
      </w:pPr>
      <w:r>
        <w:rPr>
          <w:rFonts w:ascii="Arial" w:hAnsi="Arial"/>
          <w:color w:val="525252"/>
          <w:sz w:val="13"/>
        </w:rPr>
        <w:t>Examples could be using torque wrenches instead of adjustable wrenches or routing paperwork electronically rather than through physical distribution channels.</w:t>
      </w:r>
    </w:p>
    <w:p>
      <w:pPr>
        <w:spacing w:after="20" w:line="223" w:lineRule="auto"/>
        <w:jc w:val="right"/>
        <w:bidi/>
      </w:pPr>
      <w:r>
        <w:rPr>
          <w:rFonts w:ascii="Arial" w:hAnsi="Arial"/>
          <w:sz w:val="16"/>
        </w:rPr>
        <w:t>241.10  رویداد بهبود سریع: یک رویداد بهبود سریع متشکل از تیم کوچکی از افراد است که معمولا متخصصان موضوع هستند و می‌تواند در کمتر از یک هفته انجام شود.</w:t>
      </w:r>
    </w:p>
    <w:p>
      <w:pPr>
        <w:spacing w:after="28" w:line="216" w:lineRule="auto"/>
        <w:ind w:left="259"/>
        <w:jc w:val="left"/>
      </w:pPr>
      <w:r>
        <w:rPr>
          <w:rFonts w:ascii="Arial" w:hAnsi="Arial"/>
          <w:color w:val="525252"/>
          <w:sz w:val="13"/>
        </w:rPr>
        <w:t>Rapid Improvement Event: A rapid improvement event consists of a small team of individuals, usually subject matter experts, and can be accomplished in less than a week.</w:t>
      </w:r>
    </w:p>
    <w:p>
      <w:pPr>
        <w:spacing w:after="20" w:line="223" w:lineRule="auto"/>
        <w:jc w:val="right"/>
        <w:bidi/>
      </w:pPr>
      <w:r>
        <w:rPr>
          <w:rFonts w:ascii="Arial" w:hAnsi="Arial"/>
          <w:sz w:val="16"/>
        </w:rPr>
        <w:t>241.11  برای توسعه و اجرای اقدامات متقابل پس از آماده‌سازی پروژه مناسب طراحی شده است.</w:t>
      </w:r>
    </w:p>
    <w:p>
      <w:pPr>
        <w:spacing w:after="28" w:line="216" w:lineRule="auto"/>
        <w:ind w:left="259"/>
        <w:jc w:val="left"/>
      </w:pPr>
      <w:r>
        <w:rPr>
          <w:rFonts w:ascii="Arial" w:hAnsi="Arial"/>
          <w:color w:val="525252"/>
          <w:sz w:val="13"/>
        </w:rPr>
        <w:t>It is designed to develop and implement countermeasures after appropriate project preparations have been made.</w:t>
      </w:r>
    </w:p>
    <w:p>
      <w:pPr>
        <w:spacing w:after="20" w:line="223" w:lineRule="auto"/>
        <w:jc w:val="right"/>
        <w:bidi/>
      </w:pPr>
      <w:r>
        <w:rPr>
          <w:rFonts w:ascii="Arial" w:hAnsi="Arial"/>
          <w:sz w:val="16"/>
        </w:rPr>
        <w:t>241.12  مثال‌ها می‌تواند بهبود زمان‌های چرخه سرویس‌دهی هواپیما یا بهبود بازده پاس‌های اولین بار در ماموران ابزار مدیریت وظیفه باشد.</w:t>
      </w:r>
    </w:p>
    <w:p>
      <w:pPr>
        <w:spacing w:after="28" w:line="216" w:lineRule="auto"/>
        <w:ind w:left="259"/>
        <w:jc w:val="left"/>
      </w:pPr>
      <w:r>
        <w:rPr>
          <w:rFonts w:ascii="Arial" w:hAnsi="Arial"/>
          <w:color w:val="525252"/>
          <w:sz w:val="13"/>
        </w:rPr>
        <w:t>Examples could be improving aircraft servicing cycle times or improving first-time pass yields on task management tool taskers.</w:t>
      </w:r>
    </w:p>
    <w:p>
      <w:pPr>
        <w:spacing w:after="20" w:line="223" w:lineRule="auto"/>
        <w:jc w:val="right"/>
        <w:bidi/>
      </w:pPr>
      <w:r>
        <w:rPr>
          <w:rFonts w:ascii="Arial" w:hAnsi="Arial"/>
          <w:sz w:val="16"/>
        </w:rPr>
        <w:t>241.13  پروژه بهبود: تنظیم "پروژه بهبود" به یک تیم بزرگ نیاز دارد و در مدت زمان طولانی تری انجام می‌شود.</w:t>
      </w:r>
    </w:p>
    <w:p>
      <w:pPr>
        <w:spacing w:after="28" w:line="216" w:lineRule="auto"/>
        <w:ind w:left="259"/>
        <w:jc w:val="left"/>
      </w:pPr>
      <w:r>
        <w:rPr>
          <w:rFonts w:ascii="Arial" w:hAnsi="Arial"/>
          <w:color w:val="525252"/>
          <w:sz w:val="13"/>
        </w:rPr>
        <w:t>Improvement Project: The ‘improvement project’ setting requires a large team and is conducted over a longer period of time.</w:t>
      </w:r>
    </w:p>
    <w:p>
      <w:pPr>
        <w:spacing w:after="20" w:line="223" w:lineRule="auto"/>
        <w:jc w:val="right"/>
        <w:bidi/>
      </w:pPr>
      <w:r>
        <w:rPr>
          <w:rFonts w:ascii="Arial" w:hAnsi="Arial"/>
          <w:sz w:val="16"/>
        </w:rPr>
        <w:t>241.14  مثال‌هایی می‌تواند کوتاه کردن زمان چرخه تعمیرات اساسی سالانه هواپیما یا نوشتن نرم‌افزار برای پیگیری تعمیرات اساسی سالانه باشد.</w:t>
      </w:r>
    </w:p>
    <w:p>
      <w:pPr>
        <w:spacing w:after="28" w:line="216" w:lineRule="auto"/>
        <w:ind w:left="259"/>
        <w:jc w:val="left"/>
      </w:pPr>
      <w:r>
        <w:rPr>
          <w:rFonts w:ascii="Arial" w:hAnsi="Arial"/>
          <w:color w:val="525252"/>
          <w:sz w:val="13"/>
        </w:rPr>
        <w:t>Examples could be shortening aircraft annual overhaul cycle time or writing software to track annual overhauls.</w:t>
      </w:r>
    </w:p>
    <w:p>
      <w:pPr>
        <w:spacing w:before="60" w:after="28"/>
        <w:jc w:val="right"/>
        <w:bidi/>
      </w:pPr>
      <w:r>
        <w:rPr>
          <w:b/>
          <w:color w:val="1F4D78"/>
          <w:sz w:val="18"/>
        </w:rPr>
        <w:t>13.15. مدیریت پروژه</w:t>
      </w:r>
    </w:p>
    <w:p>
      <w:pPr>
        <w:spacing w:after="20"/>
        <w:ind w:left="259"/>
        <w:jc w:val="left"/>
      </w:pPr>
      <w:r>
        <w:rPr>
          <w:color w:val="555555"/>
          <w:sz w:val="12"/>
        </w:rPr>
        <w:t>13.15. Project Management</w:t>
      </w:r>
    </w:p>
    <w:p>
      <w:pPr>
        <w:spacing w:after="20" w:line="223" w:lineRule="auto"/>
        <w:jc w:val="right"/>
        <w:bidi/>
      </w:pPr>
      <w:r>
        <w:rPr>
          <w:rFonts w:ascii="Arial" w:hAnsi="Arial"/>
          <w:sz w:val="16"/>
        </w:rPr>
        <w:t>241.16  اگرچه تعاریف زیادی از مدیریت پروژه وجود دارد، اما در این مطالعه مدیریت پروژه به‌عنوان فرآیند رهبری، هماهنگی، برنامه‌ریزی و کنترل مجموعه متنوع و پیچیده‌ای از فرآیندها و افراد در تعقیب دستیابی به یک هدف تعیین شده تعریف می‌شود.</w:t>
      </w:r>
    </w:p>
    <w:p>
      <w:pPr>
        <w:spacing w:after="28" w:line="216" w:lineRule="auto"/>
        <w:ind w:left="259"/>
        <w:jc w:val="left"/>
      </w:pPr>
      <w:r>
        <w:rPr>
          <w:rFonts w:ascii="Arial" w:hAnsi="Arial"/>
          <w:color w:val="525252"/>
          <w:sz w:val="13"/>
        </w:rPr>
        <w:t>Although there are many definitions of project management, for the purpose of this reading project management is defined as the process of leading, coordinating, planning, and controlling a diverse and complex set of processes and people in the pursuit of achieving an established objective.</w:t>
      </w:r>
    </w:p>
    <w:p>
      <w:pPr>
        <w:spacing w:after="20" w:line="223" w:lineRule="auto"/>
        <w:jc w:val="right"/>
        <w:bidi/>
      </w:pPr>
      <w:r>
        <w:rPr>
          <w:rFonts w:ascii="Arial" w:hAnsi="Arial"/>
          <w:sz w:val="16"/>
        </w:rPr>
        <w:t>241.17  با در نظر گرفتن این تعریف، تاکید بر این نکته مهم است که یک پروژه یک برنامه نیست. برنامه‌ها ادامه دارد</w:t>
      </w:r>
    </w:p>
    <w:p>
      <w:pPr>
        <w:spacing w:after="28" w:line="216" w:lineRule="auto"/>
        <w:ind w:left="259"/>
        <w:jc w:val="left"/>
      </w:pPr>
      <w:r>
        <w:rPr>
          <w:rFonts w:ascii="Arial" w:hAnsi="Arial"/>
          <w:color w:val="525252"/>
          <w:sz w:val="13"/>
        </w:rPr>
        <w:t>With this definition in mind, it is important to emphasize that a project is not a program; programs are ongoing.</w:t>
      </w:r>
    </w:p>
    <w:p>
      <w:pPr>
        <w:spacing w:after="20" w:line="223" w:lineRule="auto"/>
        <w:jc w:val="right"/>
        <w:bidi/>
      </w:pPr>
      <w:r>
        <w:rPr>
          <w:rFonts w:ascii="Arial" w:hAnsi="Arial"/>
          <w:sz w:val="16"/>
        </w:rPr>
        <w:t>241.18  یک پروژه موقت است، بر اساس یک هدف تعیین شده که یک چارچوب زمانی تعمیم یافته به آن متصل شده است.</w:t>
      </w:r>
    </w:p>
    <w:p>
      <w:pPr>
        <w:spacing w:after="28" w:line="216" w:lineRule="auto"/>
        <w:ind w:left="259"/>
        <w:jc w:val="left"/>
      </w:pPr>
      <w:r>
        <w:rPr>
          <w:rFonts w:ascii="Arial" w:hAnsi="Arial"/>
          <w:color w:val="525252"/>
          <w:sz w:val="13"/>
        </w:rPr>
        <w:t>A project is temporary, based on an established objective that has a generalized time frame attached to it.</w:t>
      </w:r>
    </w:p>
    <w:p>
      <w:pPr>
        <w:spacing w:after="20" w:line="223" w:lineRule="auto"/>
        <w:jc w:val="right"/>
        <w:bidi/>
      </w:pPr>
      <w:r>
        <w:rPr>
          <w:rFonts w:ascii="Arial" w:hAnsi="Arial"/>
          <w:sz w:val="16"/>
        </w:rPr>
        <w:t>241.19  مراحل مدیریت پروژه.</w:t>
      </w:r>
    </w:p>
    <w:p>
      <w:pPr>
        <w:spacing w:after="28" w:line="216" w:lineRule="auto"/>
        <w:ind w:left="259"/>
        <w:jc w:val="left"/>
      </w:pPr>
      <w:r>
        <w:rPr>
          <w:rFonts w:ascii="Arial" w:hAnsi="Arial"/>
          <w:color w:val="525252"/>
          <w:sz w:val="13"/>
        </w:rPr>
        <w:t>Project Management Steps.</w:t>
      </w:r>
    </w:p>
    <w:p>
      <w:pPr>
        <w:spacing w:after="20" w:line="223" w:lineRule="auto"/>
        <w:jc w:val="right"/>
        <w:bidi/>
      </w:pPr>
      <w:r>
        <w:rPr>
          <w:rFonts w:ascii="Arial" w:hAnsi="Arial"/>
          <w:sz w:val="16"/>
        </w:rPr>
        <w:t>241.20  مدیریت پروژه از مجموعه‌ای منحصر به فرد از اصطلاحات برای شناسایی و برقراری ارتباط اصول و کاربردهای آن استفاده می‌کند.</w:t>
      </w:r>
    </w:p>
    <w:p>
      <w:pPr>
        <w:spacing w:after="28" w:line="216" w:lineRule="auto"/>
        <w:ind w:left="259"/>
        <w:jc w:val="left"/>
      </w:pPr>
      <w:r>
        <w:rPr>
          <w:rFonts w:ascii="Arial" w:hAnsi="Arial"/>
          <w:color w:val="525252"/>
          <w:sz w:val="13"/>
        </w:rPr>
        <w:t>Project management uses a unique array of terminology to identify and communicate its principles and uses.</w:t>
      </w:r>
    </w:p>
    <w:p>
      <w:pPr>
        <w:spacing w:after="20" w:line="223" w:lineRule="auto"/>
        <w:jc w:val="right"/>
        <w:bidi/>
      </w:pPr>
      <w:r>
        <w:rPr>
          <w:rFonts w:ascii="Arial" w:hAnsi="Arial"/>
          <w:sz w:val="16"/>
        </w:rPr>
        <w:t>241.21  اصطلاحات پایه در درجه اول در مراحل مدیریت پروژه یافت می‌شود و در زیر توضیح داده شده است.</w:t>
      </w:r>
    </w:p>
    <w:p>
      <w:pPr>
        <w:spacing w:after="28" w:line="216" w:lineRule="auto"/>
        <w:ind w:left="259"/>
        <w:jc w:val="left"/>
      </w:pPr>
      <w:r>
        <w:rPr>
          <w:rFonts w:ascii="Arial" w:hAnsi="Arial"/>
          <w:color w:val="525252"/>
          <w:sz w:val="13"/>
        </w:rPr>
        <w:t>Basic terminology is primarily found in the steps of project management and is explained below.</w:t>
      </w:r>
    </w:p>
    <w:p>
      <w:pPr>
        <w:spacing w:after="20" w:line="223" w:lineRule="auto"/>
        <w:jc w:val="right"/>
        <w:bidi/>
      </w:pPr>
      <w:r>
        <w:rPr>
          <w:rFonts w:ascii="Arial" w:hAnsi="Arial"/>
          <w:sz w:val="16"/>
        </w:rPr>
        <w:t>241.22  هدف پروژه را تعریف کنید.</w:t>
      </w:r>
    </w:p>
    <w:p>
      <w:pPr>
        <w:spacing w:after="28" w:line="216" w:lineRule="auto"/>
        <w:ind w:left="259"/>
        <w:jc w:val="left"/>
      </w:pPr>
      <w:r>
        <w:rPr>
          <w:rFonts w:ascii="Arial" w:hAnsi="Arial"/>
          <w:color w:val="525252"/>
          <w:sz w:val="13"/>
        </w:rPr>
        <w:t>Define the Project Objective.</w:t>
      </w:r>
    </w:p>
    <w:p>
      <w:pPr>
        <w:spacing w:after="20" w:line="223" w:lineRule="auto"/>
        <w:jc w:val="right"/>
        <w:bidi/>
      </w:pPr>
      <w:r>
        <w:rPr>
          <w:rFonts w:ascii="Arial" w:hAnsi="Arial"/>
          <w:sz w:val="16"/>
        </w:rPr>
        <w:t>241.23  هدف یا بهبودی را که باید توسط پروژه به دست آید، شناسایی کنید.</w:t>
      </w:r>
    </w:p>
    <w:p>
      <w:pPr>
        <w:spacing w:after="28" w:line="216" w:lineRule="auto"/>
        <w:ind w:left="259"/>
        <w:jc w:val="left"/>
      </w:pPr>
      <w:r>
        <w:rPr>
          <w:rFonts w:ascii="Arial" w:hAnsi="Arial"/>
          <w:color w:val="525252"/>
          <w:sz w:val="13"/>
        </w:rPr>
        <w:t>Identify the objective or improvement to be achieved by the project.</w:t>
      </w:r>
    </w:p>
    <w:p>
      <w:pPr>
        <w:spacing w:after="20" w:line="223" w:lineRule="auto"/>
        <w:jc w:val="right"/>
        <w:bidi/>
      </w:pPr>
      <w:r>
        <w:rPr>
          <w:rFonts w:ascii="Arial" w:hAnsi="Arial"/>
          <w:sz w:val="16"/>
        </w:rPr>
        <w:t>241.24  چه چیزی توسط پروژه راضی است؟</w:t>
      </w:r>
    </w:p>
    <w:p>
      <w:pPr>
        <w:spacing w:after="28" w:line="216" w:lineRule="auto"/>
        <w:ind w:left="259"/>
        <w:jc w:val="left"/>
      </w:pPr>
      <w:r>
        <w:rPr>
          <w:rFonts w:ascii="Arial" w:hAnsi="Arial"/>
          <w:color w:val="525252"/>
          <w:sz w:val="13"/>
        </w:rPr>
        <w:t>What is being satisfied by the project?</w:t>
      </w:r>
    </w:p>
    <w:p>
      <w:pPr>
        <w:spacing w:after="20" w:line="223" w:lineRule="auto"/>
        <w:jc w:val="right"/>
        <w:bidi/>
      </w:pPr>
      <w:r>
        <w:rPr>
          <w:rFonts w:ascii="Arial" w:hAnsi="Arial"/>
          <w:sz w:val="16"/>
        </w:rPr>
        <w:t>241.25  نتیجه مورد انتظار چیست؟</w:t>
      </w:r>
    </w:p>
    <w:p>
      <w:pPr>
        <w:spacing w:after="28" w:line="216" w:lineRule="auto"/>
        <w:ind w:left="259"/>
        <w:jc w:val="left"/>
      </w:pPr>
      <w:r>
        <w:rPr>
          <w:rFonts w:ascii="Arial" w:hAnsi="Arial"/>
          <w:color w:val="525252"/>
          <w:sz w:val="13"/>
        </w:rPr>
        <w:t>What is the expected outcome?</w:t>
      </w:r>
    </w:p>
    <w:p>
      <w:pPr>
        <w:spacing w:after="20" w:line="223" w:lineRule="auto"/>
        <w:jc w:val="right"/>
        <w:bidi/>
      </w:pPr>
      <w:r>
        <w:rPr>
          <w:rFonts w:ascii="Arial" w:hAnsi="Arial"/>
          <w:sz w:val="16"/>
        </w:rPr>
        <w:t>241.26  گزینه‌های راه حل را توسعه دهید.</w:t>
      </w:r>
    </w:p>
    <w:p>
      <w:pPr>
        <w:spacing w:after="28" w:line="216" w:lineRule="auto"/>
        <w:ind w:left="259"/>
        <w:jc w:val="left"/>
      </w:pPr>
      <w:r>
        <w:rPr>
          <w:rFonts w:ascii="Arial" w:hAnsi="Arial"/>
          <w:color w:val="525252"/>
          <w:sz w:val="13"/>
        </w:rPr>
        <w:t>Develop Solution Options.</w:t>
      </w:r>
    </w:p>
    <w:p>
      <w:pPr>
        <w:spacing w:after="20" w:line="223" w:lineRule="auto"/>
        <w:jc w:val="right"/>
        <w:bidi/>
      </w:pPr>
      <w:r>
        <w:rPr>
          <w:rFonts w:ascii="Arial" w:hAnsi="Arial"/>
          <w:sz w:val="16"/>
        </w:rPr>
        <w:t>241.27  برای حل مشکل چند راه ممکن است دنبال کنید؟</w:t>
      </w:r>
    </w:p>
    <w:p>
      <w:pPr>
        <w:spacing w:after="28" w:line="216" w:lineRule="auto"/>
        <w:ind w:left="259"/>
        <w:jc w:val="left"/>
      </w:pPr>
      <w:r>
        <w:rPr>
          <w:rFonts w:ascii="Arial" w:hAnsi="Arial"/>
          <w:color w:val="525252"/>
          <w:sz w:val="13"/>
        </w:rPr>
        <w:t>How many ways might you go about solving the problem?</w:t>
      </w:r>
    </w:p>
    <w:p>
      <w:pPr>
        <w:spacing w:after="20" w:line="223" w:lineRule="auto"/>
        <w:jc w:val="right"/>
        <w:bidi/>
      </w:pPr>
      <w:r>
        <w:rPr>
          <w:rFonts w:ascii="Arial" w:hAnsi="Arial"/>
          <w:sz w:val="16"/>
        </w:rPr>
        <w:t>241.28  از میان گزینه‌های موجود، به نظر شما کدامیک به بهترین نحو مشکل را حل می‌کند؟</w:t>
      </w:r>
    </w:p>
    <w:p>
      <w:pPr>
        <w:spacing w:after="28" w:line="216" w:lineRule="auto"/>
        <w:ind w:left="259"/>
        <w:jc w:val="left"/>
      </w:pPr>
      <w:r>
        <w:rPr>
          <w:rFonts w:ascii="Arial" w:hAnsi="Arial"/>
          <w:color w:val="525252"/>
          <w:sz w:val="13"/>
        </w:rPr>
        <w:t>Of the available alternatives, which do you think will best solve the problem?</w:t>
      </w:r>
    </w:p>
    <w:p>
      <w:pPr>
        <w:spacing w:after="20" w:line="223" w:lineRule="auto"/>
        <w:jc w:val="right"/>
        <w:bidi/>
      </w:pPr>
      <w:r>
        <w:rPr>
          <w:rFonts w:ascii="Arial" w:hAnsi="Arial"/>
          <w:sz w:val="16"/>
        </w:rPr>
        <w:t>241.29  پروژه را برنامه‌ریزی کنید.</w:t>
      </w:r>
    </w:p>
    <w:p>
      <w:pPr>
        <w:spacing w:after="28" w:line="216" w:lineRule="auto"/>
        <w:ind w:left="259"/>
        <w:jc w:val="left"/>
      </w:pPr>
      <w:r>
        <w:rPr>
          <w:rFonts w:ascii="Arial" w:hAnsi="Arial"/>
          <w:color w:val="525252"/>
          <w:sz w:val="13"/>
        </w:rPr>
        <w:t>Plan the Project.</w:t>
      </w:r>
    </w:p>
    <w:p>
      <w:pPr>
        <w:spacing w:after="20" w:line="223" w:lineRule="auto"/>
        <w:jc w:val="right"/>
        <w:bidi/>
      </w:pPr>
      <w:r>
        <w:rPr>
          <w:rFonts w:ascii="Arial" w:hAnsi="Arial"/>
          <w:sz w:val="16"/>
        </w:rPr>
        <w:t>241.30  برنامه‌ریزی چیزی نیست جز پاسخ دادن به سوالات - چه کاری باید انجام شود، توسط چه کسی، چگونه، برای چه مقدار، چه زمانی و غیره.</w:t>
      </w:r>
    </w:p>
    <w:p>
      <w:pPr>
        <w:spacing w:after="28" w:line="216" w:lineRule="auto"/>
        <w:ind w:left="259"/>
        <w:jc w:val="left"/>
      </w:pPr>
      <w:r>
        <w:rPr>
          <w:rFonts w:ascii="Arial" w:hAnsi="Arial"/>
          <w:color w:val="525252"/>
          <w:sz w:val="13"/>
        </w:rPr>
        <w:t>Planning is nothing more than answering questions—what must be done, by whom, how, for how much, when, and so on.</w:t>
      </w:r>
    </w:p>
    <w:p>
      <w:pPr>
        <w:spacing w:after="20" w:line="223" w:lineRule="auto"/>
        <w:jc w:val="right"/>
        <w:bidi/>
      </w:pPr>
      <w:r>
        <w:rPr>
          <w:rFonts w:ascii="Arial" w:hAnsi="Arial"/>
          <w:sz w:val="16"/>
        </w:rPr>
        <w:t>241.31  طرح را اجرا کنید.</w:t>
      </w:r>
    </w:p>
    <w:p>
      <w:pPr>
        <w:spacing w:after="28" w:line="216" w:lineRule="auto"/>
        <w:ind w:left="259"/>
        <w:jc w:val="left"/>
      </w:pPr>
      <w:r>
        <w:rPr>
          <w:rFonts w:ascii="Arial" w:hAnsi="Arial"/>
          <w:color w:val="525252"/>
          <w:sz w:val="13"/>
        </w:rPr>
        <w:t>Execute the Plan.</w:t>
      </w:r>
    </w:p>
    <w:p>
      <w:pPr>
        <w:spacing w:after="20" w:line="223" w:lineRule="auto"/>
        <w:jc w:val="right"/>
        <w:bidi/>
      </w:pPr>
      <w:r>
        <w:rPr>
          <w:rFonts w:ascii="Arial" w:hAnsi="Arial"/>
          <w:sz w:val="16"/>
        </w:rPr>
        <w:t>241.32  مردم گاهی اوقات برای تنظیم یک برنامه تلاش و کوشش زیادی می‌کنند، اما بعد از انجام آن شکست می‌خورند.</w:t>
      </w:r>
    </w:p>
    <w:p>
      <w:pPr>
        <w:spacing w:after="28" w:line="216" w:lineRule="auto"/>
        <w:ind w:left="259"/>
        <w:jc w:val="left"/>
      </w:pPr>
      <w:r>
        <w:rPr>
          <w:rFonts w:ascii="Arial" w:hAnsi="Arial"/>
          <w:color w:val="525252"/>
          <w:sz w:val="13"/>
        </w:rPr>
        <w:t>People sometimes go to great lengths and effort to put together a plan, but then fail to follow it.</w:t>
      </w:r>
    </w:p>
    <w:p>
      <w:pPr>
        <w:spacing w:after="20" w:line="223" w:lineRule="auto"/>
        <w:jc w:val="right"/>
        <w:bidi/>
      </w:pPr>
      <w:r>
        <w:rPr>
          <w:rFonts w:ascii="Arial" w:hAnsi="Arial"/>
          <w:sz w:val="16"/>
        </w:rPr>
        <w:t>241.33  برنامه خود را دنبال کنید.</w:t>
      </w:r>
    </w:p>
    <w:p>
      <w:pPr>
        <w:spacing w:after="28" w:line="216" w:lineRule="auto"/>
        <w:ind w:left="259"/>
        <w:jc w:val="left"/>
      </w:pPr>
      <w:r>
        <w:rPr>
          <w:rFonts w:ascii="Arial" w:hAnsi="Arial"/>
          <w:color w:val="525252"/>
          <w:sz w:val="13"/>
        </w:rPr>
        <w:t>Follow your plan.</w:t>
      </w:r>
    </w:p>
    <w:p>
      <w:pPr>
        <w:spacing w:after="20" w:line="223" w:lineRule="auto"/>
        <w:jc w:val="right"/>
        <w:bidi/>
      </w:pPr>
      <w:r>
        <w:rPr>
          <w:rFonts w:ascii="Arial" w:hAnsi="Arial"/>
          <w:sz w:val="16"/>
        </w:rPr>
        <w:t>241.34  نظارت و کنترل پیشرفت.</w:t>
      </w:r>
    </w:p>
    <w:p>
      <w:pPr>
        <w:spacing w:after="28" w:line="216" w:lineRule="auto"/>
        <w:ind w:left="259"/>
        <w:jc w:val="left"/>
      </w:pPr>
      <w:r>
        <w:rPr>
          <w:rFonts w:ascii="Arial" w:hAnsi="Arial"/>
          <w:color w:val="525252"/>
          <w:sz w:val="13"/>
        </w:rPr>
        <w:t>Monitor and Control Progress.</w:t>
      </w:r>
    </w:p>
    <w:p>
      <w:pPr>
        <w:spacing w:after="20" w:line="223" w:lineRule="auto"/>
        <w:jc w:val="right"/>
        <w:bidi/>
      </w:pPr>
      <w:r>
        <w:rPr>
          <w:rFonts w:ascii="Arial" w:hAnsi="Arial"/>
          <w:sz w:val="16"/>
        </w:rPr>
        <w:t>241.35  مدیر پروژه باید با حضور و تصمیم‌گیری مناسب نظارت و کنترل کند.</w:t>
      </w:r>
    </w:p>
    <w:p>
      <w:pPr>
        <w:spacing w:after="28" w:line="216" w:lineRule="auto"/>
        <w:ind w:left="259"/>
        <w:jc w:val="left"/>
      </w:pPr>
      <w:r>
        <w:rPr>
          <w:rFonts w:ascii="Arial" w:hAnsi="Arial"/>
          <w:color w:val="525252"/>
          <w:sz w:val="13"/>
        </w:rPr>
        <w:t>The project manager must monitor and control by being present and making appropriate decisions.</w:t>
      </w:r>
    </w:p>
    <w:p>
      <w:pPr>
        <w:spacing w:after="20" w:line="223" w:lineRule="auto"/>
        <w:jc w:val="right"/>
        <w:bidi/>
      </w:pPr>
      <w:r>
        <w:rPr>
          <w:rFonts w:ascii="Arial" w:hAnsi="Arial"/>
          <w:sz w:val="16"/>
        </w:rPr>
        <w:t>241.36  اینجاست که می‌توان تعیین کرد که آیا این طرح بوده است یا خیر</w:t>
      </w:r>
    </w:p>
    <w:p>
      <w:pPr>
        <w:spacing w:after="28" w:line="216" w:lineRule="auto"/>
        <w:ind w:left="259"/>
        <w:jc w:val="left"/>
      </w:pPr>
      <w:r>
        <w:rPr>
          <w:rFonts w:ascii="Arial" w:hAnsi="Arial"/>
          <w:color w:val="525252"/>
          <w:sz w:val="13"/>
        </w:rPr>
        <w:t>This is where to determine whether or not the plan was</w:t>
      </w:r>
    </w:p>
    <w:p>
      <w:r>
        <w:br w:type="page"/>
      </w:r>
    </w:p>
    <w:p>
      <w:pPr>
        <w:spacing w:after="60"/>
        <w:jc w:val="right"/>
        <w:bidi/>
      </w:pPr>
      <w:r>
        <w:rPr>
          <w:rFonts w:ascii="Arial" w:hAnsi="Arial"/>
          <w:b/>
          <w:color w:val="1F4D78"/>
          <w:sz w:val="19"/>
        </w:rPr>
        <w:t>هفتهٔ 242  |  صفحهٔ منبع: 258</w:t>
      </w:r>
    </w:p>
    <w:p>
      <w:pPr>
        <w:spacing w:after="20" w:line="223" w:lineRule="auto"/>
        <w:jc w:val="right"/>
        <w:bidi/>
      </w:pPr>
      <w:r>
        <w:rPr>
          <w:rFonts w:ascii="Arial" w:hAnsi="Arial"/>
          <w:sz w:val="16"/>
        </w:rPr>
        <w:t>242.01  صدا کنید و تنظیمات را انجام دهید.</w:t>
      </w:r>
    </w:p>
    <w:p>
      <w:pPr>
        <w:spacing w:after="28" w:line="216" w:lineRule="auto"/>
        <w:ind w:left="259"/>
        <w:jc w:val="left"/>
      </w:pPr>
      <w:r>
        <w:rPr>
          <w:rFonts w:ascii="Arial" w:hAnsi="Arial"/>
          <w:color w:val="525252"/>
          <w:sz w:val="13"/>
        </w:rPr>
        <w:t>sound and make adjustments.</w:t>
      </w:r>
    </w:p>
    <w:p>
      <w:pPr>
        <w:spacing w:after="20" w:line="223" w:lineRule="auto"/>
        <w:jc w:val="right"/>
        <w:bidi/>
      </w:pPr>
      <w:r>
        <w:rPr>
          <w:rFonts w:ascii="Arial" w:hAnsi="Arial"/>
          <w:sz w:val="16"/>
        </w:rPr>
        <w:t>242.02  آیا ما در هدف هستیم؟</w:t>
      </w:r>
    </w:p>
    <w:p>
      <w:pPr>
        <w:spacing w:after="28" w:line="216" w:lineRule="auto"/>
        <w:ind w:left="259"/>
        <w:jc w:val="left"/>
      </w:pPr>
      <w:r>
        <w:rPr>
          <w:rFonts w:ascii="Arial" w:hAnsi="Arial"/>
          <w:color w:val="525252"/>
          <w:sz w:val="13"/>
        </w:rPr>
        <w:t>Are we on target?</w:t>
      </w:r>
    </w:p>
    <w:p>
      <w:pPr>
        <w:spacing w:after="20" w:line="223" w:lineRule="auto"/>
        <w:jc w:val="right"/>
        <w:bidi/>
      </w:pPr>
      <w:r>
        <w:rPr>
          <w:rFonts w:ascii="Arial" w:hAnsi="Arial"/>
          <w:sz w:val="16"/>
        </w:rPr>
        <w:t>242.03  اگر نه، چه باید کرد؟</w:t>
      </w:r>
    </w:p>
    <w:p>
      <w:pPr>
        <w:spacing w:after="28" w:line="216" w:lineRule="auto"/>
        <w:ind w:left="259"/>
        <w:jc w:val="left"/>
      </w:pPr>
      <w:r>
        <w:rPr>
          <w:rFonts w:ascii="Arial" w:hAnsi="Arial"/>
          <w:color w:val="525252"/>
          <w:sz w:val="13"/>
        </w:rPr>
        <w:t>If not, what must be done?</w:t>
      </w:r>
    </w:p>
    <w:p>
      <w:pPr>
        <w:spacing w:after="20" w:line="223" w:lineRule="auto"/>
        <w:jc w:val="right"/>
        <w:bidi/>
      </w:pPr>
      <w:r>
        <w:rPr>
          <w:rFonts w:ascii="Arial" w:hAnsi="Arial"/>
          <w:sz w:val="16"/>
        </w:rPr>
        <w:t>242.04  آیا طرح باید تغییر یا اصلاح شود؟</w:t>
      </w:r>
    </w:p>
    <w:p>
      <w:pPr>
        <w:spacing w:after="28" w:line="216" w:lineRule="auto"/>
        <w:ind w:left="259"/>
        <w:jc w:val="left"/>
      </w:pPr>
      <w:r>
        <w:rPr>
          <w:rFonts w:ascii="Arial" w:hAnsi="Arial"/>
          <w:color w:val="525252"/>
          <w:sz w:val="13"/>
        </w:rPr>
        <w:t>Should the plan be changed/modified?</w:t>
      </w:r>
    </w:p>
    <w:p>
      <w:pPr>
        <w:spacing w:after="20" w:line="223" w:lineRule="auto"/>
        <w:jc w:val="right"/>
        <w:bidi/>
      </w:pPr>
      <w:r>
        <w:rPr>
          <w:rFonts w:ascii="Arial" w:hAnsi="Arial"/>
          <w:sz w:val="16"/>
        </w:rPr>
        <w:t>242.05  چه چیزهای دیگری آموخته‌ایم؟</w:t>
      </w:r>
    </w:p>
    <w:p>
      <w:pPr>
        <w:spacing w:after="28" w:line="216" w:lineRule="auto"/>
        <w:ind w:left="259"/>
        <w:jc w:val="left"/>
      </w:pPr>
      <w:r>
        <w:rPr>
          <w:rFonts w:ascii="Arial" w:hAnsi="Arial"/>
          <w:color w:val="525252"/>
          <w:sz w:val="13"/>
        </w:rPr>
        <w:t>What else have we learned?</w:t>
      </w:r>
    </w:p>
    <w:p>
      <w:pPr>
        <w:spacing w:after="20" w:line="223" w:lineRule="auto"/>
        <w:jc w:val="right"/>
        <w:bidi/>
      </w:pPr>
      <w:r>
        <w:rPr>
          <w:rFonts w:ascii="Arial" w:hAnsi="Arial"/>
          <w:sz w:val="16"/>
        </w:rPr>
        <w:t>242.06  پروژه را ببندید.</w:t>
      </w:r>
    </w:p>
    <w:p>
      <w:pPr>
        <w:spacing w:after="28" w:line="216" w:lineRule="auto"/>
        <w:ind w:left="259"/>
        <w:jc w:val="left"/>
      </w:pPr>
      <w:r>
        <w:rPr>
          <w:rFonts w:ascii="Arial" w:hAnsi="Arial"/>
          <w:color w:val="525252"/>
          <w:sz w:val="13"/>
        </w:rPr>
        <w:t>Close the Project.</w:t>
      </w:r>
    </w:p>
    <w:p>
      <w:pPr>
        <w:spacing w:after="20" w:line="223" w:lineRule="auto"/>
        <w:jc w:val="right"/>
        <w:bidi/>
      </w:pPr>
      <w:r>
        <w:rPr>
          <w:rFonts w:ascii="Arial" w:hAnsi="Arial"/>
          <w:sz w:val="16"/>
        </w:rPr>
        <w:t>242.07  پس از رسیدن به هدف، هنوز یک گام نهایی وجود دارد که باید برداشته شود.</w:t>
      </w:r>
    </w:p>
    <w:p>
      <w:pPr>
        <w:spacing w:after="28" w:line="216" w:lineRule="auto"/>
        <w:ind w:left="259"/>
        <w:jc w:val="left"/>
      </w:pPr>
      <w:r>
        <w:rPr>
          <w:rFonts w:ascii="Arial" w:hAnsi="Arial"/>
          <w:color w:val="525252"/>
          <w:sz w:val="13"/>
        </w:rPr>
        <w:t>Once the objective has been achieved, there is still a final step that should be taken.</w:t>
      </w:r>
    </w:p>
    <w:p>
      <w:pPr>
        <w:spacing w:after="20" w:line="223" w:lineRule="auto"/>
        <w:jc w:val="right"/>
        <w:bidi/>
      </w:pPr>
      <w:r>
        <w:rPr>
          <w:rFonts w:ascii="Arial" w:hAnsi="Arial"/>
          <w:sz w:val="16"/>
        </w:rPr>
        <w:t>242.08  درس‌های آموخته شده را مستند کنید و در مورد آن بحث کنید - چه چیزی خوب پیش رفت، چه چیزی نشد، و چه چیزی باید مورد توجه قرار گیرد.</w:t>
      </w:r>
    </w:p>
    <w:p>
      <w:pPr>
        <w:spacing w:after="28" w:line="216" w:lineRule="auto"/>
        <w:ind w:left="259"/>
        <w:jc w:val="left"/>
      </w:pPr>
      <w:r>
        <w:rPr>
          <w:rFonts w:ascii="Arial" w:hAnsi="Arial"/>
          <w:color w:val="525252"/>
          <w:sz w:val="13"/>
        </w:rPr>
        <w:t>Document and discuss lessons learned—what went well, what didn't, and what should be addressed.</w:t>
      </w:r>
    </w:p>
    <w:p>
      <w:pPr>
        <w:spacing w:before="60" w:after="28"/>
        <w:jc w:val="right"/>
        <w:bidi/>
      </w:pPr>
      <w:r>
        <w:rPr>
          <w:b/>
          <w:color w:val="1F4D78"/>
          <w:sz w:val="18"/>
        </w:rPr>
        <w:t>13.16. محدودیت های مدیریت پروژه</w:t>
      </w:r>
    </w:p>
    <w:p>
      <w:pPr>
        <w:spacing w:after="20"/>
        <w:ind w:left="259"/>
        <w:jc w:val="left"/>
      </w:pPr>
      <w:r>
        <w:rPr>
          <w:color w:val="555555"/>
          <w:sz w:val="12"/>
        </w:rPr>
        <w:t>13.16. Project Management Constraints</w:t>
      </w:r>
    </w:p>
    <w:p>
      <w:pPr>
        <w:spacing w:after="20" w:line="223" w:lineRule="auto"/>
        <w:jc w:val="right"/>
        <w:bidi/>
      </w:pPr>
      <w:r>
        <w:rPr>
          <w:rFonts w:ascii="Arial" w:hAnsi="Arial"/>
          <w:sz w:val="16"/>
        </w:rPr>
        <w:t>242.10  محدودیت‌ها برای همه فعالیت‌هایی که ما تلاش می‌کنیم متعدد هستند، اما در نظر گرفتن محدودیت‌ها برای مدیریت پروژه بسیار مهم است.</w:t>
      </w:r>
    </w:p>
    <w:p>
      <w:pPr>
        <w:spacing w:after="28" w:line="216" w:lineRule="auto"/>
        <w:ind w:left="259"/>
        <w:jc w:val="left"/>
      </w:pPr>
      <w:r>
        <w:rPr>
          <w:rFonts w:ascii="Arial" w:hAnsi="Arial"/>
          <w:color w:val="525252"/>
          <w:sz w:val="13"/>
        </w:rPr>
        <w:t>Constraints are numerous for all activities we endeavor, but constraint consideration is crucial for project management.</w:t>
      </w:r>
    </w:p>
    <w:p>
      <w:pPr>
        <w:spacing w:after="20" w:line="223" w:lineRule="auto"/>
        <w:jc w:val="right"/>
        <w:bidi/>
      </w:pPr>
      <w:r>
        <w:rPr>
          <w:rFonts w:ascii="Arial" w:hAnsi="Arial"/>
          <w:sz w:val="16"/>
        </w:rPr>
        <w:t>242.11  کیفیت، زمان و هزینه از جمله محدودیت‌های اصلی هستند که اغلب در مدیریت پروژه مشاهده می‌شوند.</w:t>
      </w:r>
    </w:p>
    <w:p>
      <w:pPr>
        <w:spacing w:after="28" w:line="216" w:lineRule="auto"/>
        <w:ind w:left="259"/>
        <w:jc w:val="left"/>
      </w:pPr>
      <w:r>
        <w:rPr>
          <w:rFonts w:ascii="Arial" w:hAnsi="Arial"/>
          <w:color w:val="525252"/>
          <w:sz w:val="13"/>
        </w:rPr>
        <w:t>Quality, time, and cost are among the main constraints most often realized in project management.</w:t>
      </w:r>
    </w:p>
    <w:p>
      <w:pPr>
        <w:spacing w:after="20" w:line="223" w:lineRule="auto"/>
        <w:jc w:val="right"/>
        <w:bidi/>
      </w:pPr>
      <w:r>
        <w:rPr>
          <w:rFonts w:ascii="Arial" w:hAnsi="Arial"/>
          <w:sz w:val="16"/>
        </w:rPr>
        <w:t>242.12  کیفیت.</w:t>
      </w:r>
    </w:p>
    <w:p>
      <w:pPr>
        <w:spacing w:after="28" w:line="216" w:lineRule="auto"/>
        <w:ind w:left="259"/>
        <w:jc w:val="left"/>
      </w:pPr>
      <w:r>
        <w:rPr>
          <w:rFonts w:ascii="Arial" w:hAnsi="Arial"/>
          <w:color w:val="525252"/>
          <w:sz w:val="13"/>
        </w:rPr>
        <w:t>Quality.</w:t>
      </w:r>
    </w:p>
    <w:p>
      <w:pPr>
        <w:spacing w:after="20" w:line="223" w:lineRule="auto"/>
        <w:jc w:val="right"/>
        <w:bidi/>
      </w:pPr>
      <w:r>
        <w:rPr>
          <w:rFonts w:ascii="Arial" w:hAnsi="Arial"/>
          <w:sz w:val="16"/>
        </w:rPr>
        <w:t>242.13  کیفیت به مطابقت با نیاز - مشخصات اشاره دارد.</w:t>
      </w:r>
    </w:p>
    <w:p>
      <w:pPr>
        <w:spacing w:after="28" w:line="216" w:lineRule="auto"/>
        <w:ind w:left="259"/>
        <w:jc w:val="left"/>
      </w:pPr>
      <w:r>
        <w:rPr>
          <w:rFonts w:ascii="Arial" w:hAnsi="Arial"/>
          <w:color w:val="525252"/>
          <w:sz w:val="13"/>
        </w:rPr>
        <w:t>Quality refers to being in accordance with the requirement - the specifications.</w:t>
      </w:r>
    </w:p>
    <w:p>
      <w:pPr>
        <w:spacing w:after="20" w:line="223" w:lineRule="auto"/>
        <w:jc w:val="right"/>
        <w:bidi/>
      </w:pPr>
      <w:r>
        <w:rPr>
          <w:rFonts w:ascii="Arial" w:hAnsi="Arial"/>
          <w:sz w:val="16"/>
        </w:rPr>
        <w:t>242.14  زمان.</w:t>
      </w:r>
    </w:p>
    <w:p>
      <w:pPr>
        <w:spacing w:after="28" w:line="216" w:lineRule="auto"/>
        <w:ind w:left="259"/>
        <w:jc w:val="left"/>
      </w:pPr>
      <w:r>
        <w:rPr>
          <w:rFonts w:ascii="Arial" w:hAnsi="Arial"/>
          <w:color w:val="525252"/>
          <w:sz w:val="13"/>
        </w:rPr>
        <w:t>Time.</w:t>
      </w:r>
    </w:p>
    <w:p>
      <w:pPr>
        <w:spacing w:after="20" w:line="223" w:lineRule="auto"/>
        <w:jc w:val="right"/>
        <w:bidi/>
      </w:pPr>
      <w:r>
        <w:rPr>
          <w:rFonts w:ascii="Arial" w:hAnsi="Arial"/>
          <w:sz w:val="16"/>
        </w:rPr>
        <w:t>242.15  زمان به مدت زمانی اطلاق می‌شود که برای تکمیل پروژه در اختیار دارید.</w:t>
      </w:r>
    </w:p>
    <w:p>
      <w:pPr>
        <w:spacing w:after="28" w:line="216" w:lineRule="auto"/>
        <w:ind w:left="259"/>
        <w:jc w:val="left"/>
      </w:pPr>
      <w:r>
        <w:rPr>
          <w:rFonts w:ascii="Arial" w:hAnsi="Arial"/>
          <w:color w:val="525252"/>
          <w:sz w:val="13"/>
        </w:rPr>
        <w:t>Time refers to the amount of time you have to complete the project.</w:t>
      </w:r>
    </w:p>
    <w:p>
      <w:pPr>
        <w:spacing w:after="20" w:line="223" w:lineRule="auto"/>
        <w:jc w:val="right"/>
        <w:bidi/>
      </w:pPr>
      <w:r>
        <w:rPr>
          <w:rFonts w:ascii="Arial" w:hAnsi="Arial"/>
          <w:sz w:val="16"/>
        </w:rPr>
        <w:t>242.16  هزینه.</w:t>
      </w:r>
    </w:p>
    <w:p>
      <w:pPr>
        <w:spacing w:after="28" w:line="216" w:lineRule="auto"/>
        <w:ind w:left="259"/>
        <w:jc w:val="left"/>
      </w:pPr>
      <w:r>
        <w:rPr>
          <w:rFonts w:ascii="Arial" w:hAnsi="Arial"/>
          <w:color w:val="525252"/>
          <w:sz w:val="13"/>
        </w:rPr>
        <w:t>Cost.</w:t>
      </w:r>
    </w:p>
    <w:p>
      <w:pPr>
        <w:spacing w:after="20" w:line="223" w:lineRule="auto"/>
        <w:jc w:val="right"/>
        <w:bidi/>
      </w:pPr>
      <w:r>
        <w:rPr>
          <w:rFonts w:ascii="Arial" w:hAnsi="Arial"/>
          <w:sz w:val="16"/>
        </w:rPr>
        <w:t>242.17  هزینه به محدودیت‌های منابع شما اشاره دارد که شامل پول، نیروی انسانی، ماشین آلات و مواد می‌شود.</w:t>
      </w:r>
    </w:p>
    <w:p>
      <w:pPr>
        <w:spacing w:after="28" w:line="216" w:lineRule="auto"/>
        <w:ind w:left="259"/>
        <w:jc w:val="left"/>
      </w:pPr>
      <w:r>
        <w:rPr>
          <w:rFonts w:ascii="Arial" w:hAnsi="Arial"/>
          <w:color w:val="525252"/>
          <w:sz w:val="13"/>
        </w:rPr>
        <w:t>Cost refers to your resource constraints, to include money, manpower, machinery, and materials.</w:t>
      </w:r>
    </w:p>
    <w:p>
      <w:pPr>
        <w:spacing w:after="20" w:line="223" w:lineRule="auto"/>
        <w:jc w:val="right"/>
        <w:bidi/>
      </w:pPr>
      <w:r>
        <w:rPr>
          <w:rFonts w:ascii="Arial" w:hAnsi="Arial"/>
          <w:sz w:val="16"/>
        </w:rPr>
        <w:t>242.18  یکی از محدودیت‌ها (کیفیت، زمان یا هزینه) محرک شما برای پروژه خواهد بود.</w:t>
      </w:r>
    </w:p>
    <w:p>
      <w:pPr>
        <w:spacing w:after="28" w:line="216" w:lineRule="auto"/>
        <w:ind w:left="259"/>
        <w:jc w:val="left"/>
      </w:pPr>
      <w:r>
        <w:rPr>
          <w:rFonts w:ascii="Arial" w:hAnsi="Arial"/>
          <w:color w:val="525252"/>
          <w:sz w:val="13"/>
        </w:rPr>
        <w:t>One of the constraints (Quality, Time, or Cost) will be your driver for the project.</w:t>
      </w:r>
    </w:p>
    <w:p>
      <w:pPr>
        <w:spacing w:after="20" w:line="223" w:lineRule="auto"/>
        <w:jc w:val="right"/>
        <w:bidi/>
      </w:pPr>
      <w:r>
        <w:rPr>
          <w:rFonts w:ascii="Arial" w:hAnsi="Arial"/>
          <w:sz w:val="16"/>
        </w:rPr>
        <w:t>242.19  محدودیت محرک برای پروژه شما بر دو محدودیت دیگر تأثیر خواهد داشت.</w:t>
      </w:r>
    </w:p>
    <w:p>
      <w:pPr>
        <w:spacing w:after="28" w:line="216" w:lineRule="auto"/>
        <w:ind w:left="259"/>
        <w:jc w:val="left"/>
      </w:pPr>
      <w:r>
        <w:rPr>
          <w:rFonts w:ascii="Arial" w:hAnsi="Arial"/>
          <w:color w:val="525252"/>
          <w:sz w:val="13"/>
        </w:rPr>
        <w:t>The driving constraint for your project will have an impact on the other two constraints.</w:t>
      </w:r>
    </w:p>
    <w:p>
      <w:pPr>
        <w:spacing w:after="20" w:line="223" w:lineRule="auto"/>
        <w:jc w:val="right"/>
        <w:bidi/>
      </w:pPr>
      <w:r>
        <w:rPr>
          <w:rFonts w:ascii="Arial" w:hAnsi="Arial"/>
          <w:sz w:val="16"/>
        </w:rPr>
        <w:t>242.20  مطمئن شوید که هنگام تصمیم‌گیری در مورد هدف پروژه این را در نظر گرفته‌اید و مدیریت پروژه خود را بر این اساس تنظیم کنید.</w:t>
      </w:r>
    </w:p>
    <w:p>
      <w:pPr>
        <w:spacing w:after="28" w:line="216" w:lineRule="auto"/>
        <w:ind w:left="259"/>
        <w:jc w:val="left"/>
      </w:pPr>
      <w:r>
        <w:rPr>
          <w:rFonts w:ascii="Arial" w:hAnsi="Arial"/>
          <w:color w:val="525252"/>
          <w:sz w:val="13"/>
        </w:rPr>
        <w:t>Ensure you take this into consideration when making decisions about the project's objective and adjust the management of your project accordingly.</w:t>
      </w:r>
    </w:p>
    <w:p>
      <w:pPr>
        <w:spacing w:after="20" w:line="223" w:lineRule="auto"/>
        <w:jc w:val="right"/>
        <w:bidi/>
      </w:pPr>
      <w:r>
        <w:rPr>
          <w:rFonts w:ascii="Arial" w:hAnsi="Arial"/>
          <w:sz w:val="16"/>
        </w:rPr>
        <w:t>242.21  بر عهده یک مدیر پروژه است که رهبری ارائه کند و از تکنیک‌های خوب تیم سازی برای ایجاد یک هدف پروژه درست و ایجاد گزینه‌های راه حل لازم برای دستیابی به آن اهداف استفاده کند.</w:t>
      </w:r>
    </w:p>
    <w:p>
      <w:pPr>
        <w:spacing w:after="28" w:line="216" w:lineRule="auto"/>
        <w:ind w:left="259"/>
        <w:jc w:val="left"/>
      </w:pPr>
      <w:r>
        <w:rPr>
          <w:rFonts w:ascii="Arial" w:hAnsi="Arial"/>
          <w:color w:val="525252"/>
          <w:sz w:val="13"/>
        </w:rPr>
        <w:t>It is incumbent upon a project manager to provide leadership and use good team-building techniques to establish a sound project objective and generate the solution options necessary to achieve those objectives.</w:t>
      </w:r>
    </w:p>
    <w:p>
      <w:pPr>
        <w:spacing w:before="60" w:after="28"/>
        <w:jc w:val="right"/>
        <w:bidi/>
      </w:pPr>
      <w:r>
        <w:rPr>
          <w:b/>
          <w:color w:val="1F4D78"/>
          <w:sz w:val="18"/>
        </w:rPr>
        <w:t>13.17. برنامه ریزی مدیریت پروژه</w:t>
      </w:r>
    </w:p>
    <w:p>
      <w:pPr>
        <w:spacing w:after="20"/>
        <w:ind w:left="259"/>
        <w:jc w:val="left"/>
      </w:pPr>
      <w:r>
        <w:rPr>
          <w:color w:val="555555"/>
          <w:sz w:val="12"/>
        </w:rPr>
        <w:t>13.17. Project Management Planning</w:t>
      </w:r>
    </w:p>
    <w:p>
      <w:pPr>
        <w:spacing w:after="20" w:line="223" w:lineRule="auto"/>
        <w:jc w:val="right"/>
        <w:bidi/>
      </w:pPr>
      <w:r>
        <w:rPr>
          <w:rFonts w:ascii="Arial" w:hAnsi="Arial"/>
          <w:sz w:val="16"/>
        </w:rPr>
        <w:t>242.23  هنگامی که گزینه‌ها توسعه یافتند، مهم‌ترین و زمان‌برترین جنبه مدیریت پروژه باید رخ دهد، یعنی برنامه‌ریزی پروژه.</w:t>
      </w:r>
    </w:p>
    <w:p>
      <w:pPr>
        <w:spacing w:after="28" w:line="216" w:lineRule="auto"/>
        <w:ind w:left="259"/>
        <w:jc w:val="left"/>
      </w:pPr>
      <w:r>
        <w:rPr>
          <w:rFonts w:ascii="Arial" w:hAnsi="Arial"/>
          <w:color w:val="525252"/>
          <w:sz w:val="13"/>
        </w:rPr>
        <w:t>Once options are developed, the most important and time-consuming aspect of project management must occur—planning the project.</w:t>
      </w:r>
    </w:p>
    <w:p>
      <w:pPr>
        <w:spacing w:after="20" w:line="223" w:lineRule="auto"/>
        <w:jc w:val="right"/>
        <w:bidi/>
      </w:pPr>
      <w:r>
        <w:rPr>
          <w:rFonts w:ascii="Arial" w:hAnsi="Arial"/>
          <w:sz w:val="16"/>
        </w:rPr>
        <w:t>242.24  برنامه‌ریزی یک پروژه شامل فعالیت هایی است که به سوالات کی، چه، چه زمانی، کجا و چگونه پاسخ می‌دهد.</w:t>
      </w:r>
    </w:p>
    <w:p>
      <w:pPr>
        <w:spacing w:after="28" w:line="216" w:lineRule="auto"/>
        <w:ind w:left="259"/>
        <w:jc w:val="left"/>
      </w:pPr>
      <w:r>
        <w:rPr>
          <w:rFonts w:ascii="Arial" w:hAnsi="Arial"/>
          <w:color w:val="525252"/>
          <w:sz w:val="13"/>
        </w:rPr>
        <w:t>Planning a project involves activities that answer the questions who, what, when, where, and how.</w:t>
      </w:r>
    </w:p>
    <w:p>
      <w:pPr>
        <w:spacing w:after="20" w:line="223" w:lineRule="auto"/>
        <w:jc w:val="right"/>
        <w:bidi/>
      </w:pPr>
      <w:r>
        <w:rPr>
          <w:rFonts w:ascii="Arial" w:hAnsi="Arial"/>
          <w:sz w:val="16"/>
        </w:rPr>
        <w:t>242.25  تکنیک‌هایی که برای استفاده در طول برنامه‌ریزی اهمیت ویژه‌ای دارند، جمع‌آوری اطلاعات مهم، ایجاد ساختار شکست کار و انجام تجزیه و تحلیل کار است.</w:t>
      </w:r>
    </w:p>
    <w:p>
      <w:pPr>
        <w:spacing w:after="28" w:line="216" w:lineRule="auto"/>
        <w:ind w:left="259"/>
        <w:jc w:val="left"/>
      </w:pPr>
      <w:r>
        <w:rPr>
          <w:rFonts w:ascii="Arial" w:hAnsi="Arial"/>
          <w:color w:val="525252"/>
          <w:sz w:val="13"/>
        </w:rPr>
        <w:t>Techniques of special importance to use during planning are gathering important information, creating a work breakdown structure, and conducting a task analysis.</w:t>
      </w:r>
    </w:p>
    <w:p>
      <w:pPr>
        <w:spacing w:after="20" w:line="223" w:lineRule="auto"/>
        <w:jc w:val="right"/>
        <w:bidi/>
      </w:pPr>
      <w:r>
        <w:rPr>
          <w:rFonts w:ascii="Arial" w:hAnsi="Arial"/>
          <w:sz w:val="16"/>
        </w:rPr>
        <w:t>242.26  صرف نظر از روش برنامه‌ریزی مورد استفاده، تکمیل کارها از نظر نظم و به موقع، که از طریق تجزیه و تحلیل کار قابل پیش‌بینی است، احتمال موفقیت پروژه را بیشتر تضمین می‌کند.</w:t>
      </w:r>
    </w:p>
    <w:p>
      <w:pPr>
        <w:spacing w:after="28" w:line="216" w:lineRule="auto"/>
        <w:ind w:left="259"/>
        <w:jc w:val="left"/>
      </w:pPr>
      <w:r>
        <w:rPr>
          <w:rFonts w:ascii="Arial" w:hAnsi="Arial"/>
          <w:color w:val="525252"/>
          <w:sz w:val="13"/>
        </w:rPr>
        <w:t>Regardless of the method of planning used, the completion of the tasks in a sense of order and timeliness, made foreseeable through the task analysis, ensures project completion is more likely to succeed.</w:t>
      </w:r>
    </w:p>
    <w:p>
      <w:pPr>
        <w:spacing w:after="20" w:line="223" w:lineRule="auto"/>
        <w:jc w:val="right"/>
        <w:bidi/>
      </w:pPr>
      <w:r>
        <w:rPr>
          <w:rFonts w:ascii="Arial" w:hAnsi="Arial"/>
          <w:sz w:val="16"/>
        </w:rPr>
        <w:t>242.27  ساختار شکست کار.</w:t>
      </w:r>
    </w:p>
    <w:p>
      <w:pPr>
        <w:spacing w:after="28" w:line="216" w:lineRule="auto"/>
        <w:ind w:left="259"/>
        <w:jc w:val="left"/>
      </w:pPr>
      <w:r>
        <w:rPr>
          <w:rFonts w:ascii="Arial" w:hAnsi="Arial"/>
          <w:color w:val="525252"/>
          <w:sz w:val="13"/>
        </w:rPr>
        <w:t>Work Breakdown Structure.</w:t>
      </w:r>
    </w:p>
    <w:p>
      <w:pPr>
        <w:spacing w:after="20" w:line="223" w:lineRule="auto"/>
        <w:jc w:val="right"/>
        <w:bidi/>
      </w:pPr>
      <w:r>
        <w:rPr>
          <w:rFonts w:ascii="Arial" w:hAnsi="Arial"/>
          <w:sz w:val="16"/>
        </w:rPr>
        <w:t>242.28  ساختار شکست کار تکنیکی است که بر اساس تقسیم پروژه به واحدهای فرعی یا بسته‌های کاری است.</w:t>
      </w:r>
    </w:p>
    <w:p>
      <w:pPr>
        <w:spacing w:after="28" w:line="216" w:lineRule="auto"/>
        <w:ind w:left="259"/>
        <w:jc w:val="left"/>
      </w:pPr>
      <w:r>
        <w:rPr>
          <w:rFonts w:ascii="Arial" w:hAnsi="Arial"/>
          <w:color w:val="525252"/>
          <w:sz w:val="13"/>
        </w:rPr>
        <w:t>A work breakdown structure is a technique based on dividing a project into sub-units or work packages.</w:t>
      </w:r>
    </w:p>
    <w:p>
      <w:pPr>
        <w:spacing w:after="20" w:line="223" w:lineRule="auto"/>
        <w:jc w:val="right"/>
        <w:bidi/>
      </w:pPr>
      <w:r>
        <w:rPr>
          <w:rFonts w:ascii="Arial" w:hAnsi="Arial"/>
          <w:sz w:val="16"/>
        </w:rPr>
        <w:t>242.29  از آنجایی که تمام عناصر مورد نیاز برای تکمیل پروژه در ساختار شکست کار مشخص شده است، احتمال نادیده گرفتن یا نادیده گرفتن یک مرحله ضروری به حداقل می‌رسد.</w:t>
      </w:r>
    </w:p>
    <w:p>
      <w:pPr>
        <w:spacing w:after="28" w:line="216" w:lineRule="auto"/>
        <w:ind w:left="259"/>
        <w:jc w:val="left"/>
      </w:pPr>
      <w:r>
        <w:rPr>
          <w:rFonts w:ascii="Arial" w:hAnsi="Arial"/>
          <w:color w:val="525252"/>
          <w:sz w:val="13"/>
        </w:rPr>
        <w:t>Since all the elements required to complete the project are identified in the work breakdown structure, the chances of neglecting or overlooking an essential step are minimized.</w:t>
      </w:r>
    </w:p>
    <w:p>
      <w:pPr>
        <w:spacing w:after="20" w:line="223" w:lineRule="auto"/>
        <w:jc w:val="right"/>
        <w:bidi/>
      </w:pPr>
      <w:r>
        <w:rPr>
          <w:rFonts w:ascii="Arial" w:hAnsi="Arial"/>
          <w:sz w:val="16"/>
        </w:rPr>
        <w:t>242.30  ساختار شکست کار معمولا با دو یا سه سطح از جزئیات ساخته می‌شود، اگرچه سطوح بیشتری بسته به پیچیدگی یک پروژه رایج است.</w:t>
      </w:r>
    </w:p>
    <w:p>
      <w:pPr>
        <w:spacing w:after="28" w:line="216" w:lineRule="auto"/>
        <w:ind w:left="259"/>
        <w:jc w:val="left"/>
      </w:pPr>
      <w:r>
        <w:rPr>
          <w:rFonts w:ascii="Arial" w:hAnsi="Arial"/>
          <w:color w:val="525252"/>
          <w:sz w:val="13"/>
        </w:rPr>
        <w:t>A work breakdown structure is typically constructed with two or three levels of detail, although more levels are common, depending on the complexity of a project.</w:t>
      </w:r>
    </w:p>
    <w:p>
      <w:pPr>
        <w:spacing w:after="20" w:line="223" w:lineRule="auto"/>
        <w:jc w:val="right"/>
        <w:bidi/>
      </w:pPr>
      <w:r>
        <w:rPr>
          <w:rFonts w:ascii="Arial" w:hAnsi="Arial"/>
          <w:sz w:val="16"/>
        </w:rPr>
        <w:t>242.31  چنین ساختاری برای پروژه شما به شما و دیگرانی که ساختار شکست کار را مشاهده می‌کنند این امکان را می‌دهد که به آسانی آنچه را که باید انجام شود شناسایی کنید، موارد حذفی را که ممکن است بعدا بر نتیجه پروژه تأثیر بگذارد را شناسایی کنید و پیشنهاداتی برای بهبود و گسترش ساختار شکست کار ارائه دهید.</w:t>
      </w:r>
    </w:p>
    <w:p>
      <w:pPr>
        <w:spacing w:after="28" w:line="216" w:lineRule="auto"/>
        <w:ind w:left="259"/>
        <w:jc w:val="left"/>
      </w:pPr>
      <w:r>
        <w:rPr>
          <w:rFonts w:ascii="Arial" w:hAnsi="Arial"/>
          <w:color w:val="525252"/>
          <w:sz w:val="13"/>
        </w:rPr>
        <w:t>Such a structure for your project will permit you and others who see the work breakdown structure to readily identify what needs to be done, spot omissions which might later affect the outcome of the project and make suggestions for improving and expanding the work breakdown structure.</w:t>
      </w:r>
    </w:p>
    <w:p>
      <w:pPr>
        <w:spacing w:after="20" w:line="223" w:lineRule="auto"/>
        <w:jc w:val="right"/>
        <w:bidi/>
      </w:pPr>
      <w:r>
        <w:rPr>
          <w:rFonts w:ascii="Arial" w:hAnsi="Arial"/>
          <w:sz w:val="16"/>
        </w:rPr>
        <w:t>242.32  میزان خرابی عنصری است که مدیر پروژه و تیم پروژه باید در مورد آن تصمیم بگیرند.</w:t>
      </w:r>
    </w:p>
    <w:p>
      <w:pPr>
        <w:spacing w:after="28" w:line="216" w:lineRule="auto"/>
        <w:ind w:left="259"/>
        <w:jc w:val="left"/>
      </w:pPr>
      <w:r>
        <w:rPr>
          <w:rFonts w:ascii="Arial" w:hAnsi="Arial"/>
          <w:color w:val="525252"/>
          <w:sz w:val="13"/>
        </w:rPr>
        <w:t>The amount of breakdown is an element the project manager and the project team must decide upon.</w:t>
      </w:r>
    </w:p>
    <w:p>
      <w:pPr>
        <w:spacing w:after="20" w:line="223" w:lineRule="auto"/>
        <w:jc w:val="right"/>
        <w:bidi/>
      </w:pPr>
      <w:r>
        <w:rPr>
          <w:rFonts w:ascii="Arial" w:hAnsi="Arial"/>
          <w:sz w:val="16"/>
        </w:rPr>
        <w:t>242.33  تجزیه و تحلیل وظایف.</w:t>
      </w:r>
    </w:p>
    <w:p>
      <w:pPr>
        <w:spacing w:after="28" w:line="216" w:lineRule="auto"/>
        <w:ind w:left="259"/>
        <w:jc w:val="left"/>
      </w:pPr>
      <w:r>
        <w:rPr>
          <w:rFonts w:ascii="Arial" w:hAnsi="Arial"/>
          <w:color w:val="525252"/>
          <w:sz w:val="13"/>
        </w:rPr>
        <w:t>Task Analysis.</w:t>
      </w:r>
    </w:p>
    <w:p>
      <w:pPr>
        <w:spacing w:after="20" w:line="223" w:lineRule="auto"/>
        <w:jc w:val="right"/>
        <w:bidi/>
      </w:pPr>
      <w:r>
        <w:rPr>
          <w:rFonts w:ascii="Arial" w:hAnsi="Arial"/>
          <w:sz w:val="16"/>
        </w:rPr>
        <w:t>242.34  مشابه ساختار شکست کار، میزان جزئیات مورد نیاز برای تجزیه و تحلیل کار به وظیفه درگیر و خواسته‌های مدیر پروژه و تیم پروژه بستگی دارد.</w:t>
      </w:r>
    </w:p>
    <w:p>
      <w:pPr>
        <w:spacing w:after="28" w:line="216" w:lineRule="auto"/>
        <w:ind w:left="259"/>
        <w:jc w:val="left"/>
      </w:pPr>
      <w:r>
        <w:rPr>
          <w:rFonts w:ascii="Arial" w:hAnsi="Arial"/>
          <w:color w:val="525252"/>
          <w:sz w:val="13"/>
        </w:rPr>
        <w:t>Similar to the work breakdown structure, the amount of detail needed for a task analysis depends on the task involved and the desires of the project manager and project team.</w:t>
      </w:r>
    </w:p>
    <w:p>
      <w:pPr>
        <w:spacing w:after="20" w:line="223" w:lineRule="auto"/>
        <w:jc w:val="right"/>
        <w:bidi/>
      </w:pPr>
      <w:r>
        <w:rPr>
          <w:rFonts w:ascii="Arial" w:hAnsi="Arial"/>
          <w:sz w:val="16"/>
        </w:rPr>
        <w:t>242.35  هرچه پروژه پیچیده‌تر باشد، اهمیت تجزیه و تحلیل دقیق وظایف بیشتر می‌شود.</w:t>
      </w:r>
    </w:p>
    <w:p>
      <w:pPr>
        <w:spacing w:after="28" w:line="216" w:lineRule="auto"/>
        <w:ind w:left="259"/>
        <w:jc w:val="left"/>
      </w:pPr>
      <w:r>
        <w:rPr>
          <w:rFonts w:ascii="Arial" w:hAnsi="Arial"/>
          <w:color w:val="525252"/>
          <w:sz w:val="13"/>
        </w:rPr>
        <w:t>The more complex the project, the greater the importance of detailed task analysis.</w:t>
      </w:r>
    </w:p>
    <w:p>
      <w:pPr>
        <w:spacing w:after="20" w:line="223" w:lineRule="auto"/>
        <w:jc w:val="right"/>
        <w:bidi/>
      </w:pPr>
      <w:r>
        <w:rPr>
          <w:rFonts w:ascii="Arial" w:hAnsi="Arial"/>
          <w:sz w:val="16"/>
        </w:rPr>
        <w:t>242.36  اطلاعات موجود در تجزیه و تحلیل کار، که در ساختار تفکیک کار به تصویر کشیده نمی‌شود، شامل نقاط عطف کار، نحوه اندازه‌گیری نقاط عطف، و منابع یا نیازمندی‌ها است.</w:t>
      </w:r>
    </w:p>
    <w:p>
      <w:pPr>
        <w:spacing w:after="28" w:line="216" w:lineRule="auto"/>
        <w:ind w:left="259"/>
        <w:jc w:val="left"/>
      </w:pPr>
      <w:r>
        <w:rPr>
          <w:rFonts w:ascii="Arial" w:hAnsi="Arial"/>
          <w:color w:val="525252"/>
          <w:sz w:val="13"/>
        </w:rPr>
        <w:t>Information contained in the task analysis, which is not depicted in a work breakdown structure, includes task milestones, how the milestones can be measured, and resources or requirements.</w:t>
      </w:r>
    </w:p>
    <w:p>
      <w:pPr>
        <w:spacing w:after="20" w:line="223" w:lineRule="auto"/>
        <w:jc w:val="right"/>
        <w:bidi/>
      </w:pPr>
      <w:r>
        <w:rPr>
          <w:rFonts w:ascii="Arial" w:hAnsi="Arial"/>
          <w:sz w:val="16"/>
        </w:rPr>
        <w:t>242.37  مدیران پروژه ممکن است تجزیه و تحلیل وظایف هر کار را به شخص مناسب واگذار کنند.</w:t>
      </w:r>
    </w:p>
    <w:p>
      <w:pPr>
        <w:spacing w:after="28" w:line="216" w:lineRule="auto"/>
        <w:ind w:left="259"/>
        <w:jc w:val="left"/>
      </w:pPr>
      <w:r>
        <w:rPr>
          <w:rFonts w:ascii="Arial" w:hAnsi="Arial"/>
          <w:color w:val="525252"/>
          <w:sz w:val="13"/>
        </w:rPr>
        <w:t>Project managers may delegate the task analysis for each task to the appropriate person.</w:t>
      </w:r>
    </w:p>
    <w:p>
      <w:pPr>
        <w:spacing w:after="20" w:line="223" w:lineRule="auto"/>
        <w:jc w:val="right"/>
        <w:bidi/>
      </w:pPr>
      <w:r>
        <w:rPr>
          <w:rFonts w:ascii="Arial" w:hAnsi="Arial"/>
          <w:sz w:val="16"/>
        </w:rPr>
        <w:t>242.38  پس از تدوین، می‌توان به تصمیمات نهایی در مورد تکالیف وظایف و نگرانی‌های بودجه پرداخت.</w:t>
      </w:r>
    </w:p>
    <w:p>
      <w:pPr>
        <w:spacing w:after="28" w:line="216" w:lineRule="auto"/>
        <w:ind w:left="259"/>
        <w:jc w:val="left"/>
      </w:pPr>
      <w:r>
        <w:rPr>
          <w:rFonts w:ascii="Arial" w:hAnsi="Arial"/>
          <w:color w:val="525252"/>
          <w:sz w:val="13"/>
        </w:rPr>
        <w:t>Once compiled, final decisions on task assignments and budgetary concerns can be addressed.</w:t>
      </w:r>
    </w:p>
    <w:p>
      <w:pPr>
        <w:spacing w:after="20" w:line="223" w:lineRule="auto"/>
        <w:jc w:val="right"/>
        <w:bidi/>
      </w:pPr>
      <w:r>
        <w:rPr>
          <w:rFonts w:ascii="Arial" w:hAnsi="Arial"/>
          <w:sz w:val="16"/>
        </w:rPr>
        <w:t>242.39  تجزیه و تحلیل وظیفه چیزی است که اطلاعات حیاتی را برای تعیین اینکه چگونه وظایف پروژه به یکدیگر مرتبط هستند، ارائه می‌دهد.</w:t>
      </w:r>
    </w:p>
    <w:p>
      <w:pPr>
        <w:spacing w:after="28" w:line="216" w:lineRule="auto"/>
        <w:ind w:left="259"/>
        <w:jc w:val="left"/>
      </w:pPr>
      <w:r>
        <w:rPr>
          <w:rFonts w:ascii="Arial" w:hAnsi="Arial"/>
          <w:color w:val="525252"/>
          <w:sz w:val="13"/>
        </w:rPr>
        <w:t>The task analysis is what provides the crucial information for determining how the tasks of the project interrelate.</w:t>
      </w:r>
    </w:p>
    <w:p>
      <w:pPr>
        <w:spacing w:after="20" w:line="223" w:lineRule="auto"/>
        <w:jc w:val="right"/>
        <w:bidi/>
      </w:pPr>
      <w:r>
        <w:rPr>
          <w:rFonts w:ascii="Arial" w:hAnsi="Arial"/>
          <w:sz w:val="16"/>
        </w:rPr>
        <w:t>242.40  برقراری واجب است</w:t>
      </w:r>
    </w:p>
    <w:p>
      <w:pPr>
        <w:spacing w:after="28" w:line="216" w:lineRule="auto"/>
        <w:ind w:left="259"/>
        <w:jc w:val="left"/>
      </w:pPr>
      <w:r>
        <w:rPr>
          <w:rFonts w:ascii="Arial" w:hAnsi="Arial"/>
          <w:color w:val="525252"/>
          <w:sz w:val="13"/>
        </w:rPr>
        <w:t>It is imperative to establish</w:t>
      </w:r>
    </w:p>
    <w:p>
      <w:r>
        <w:br w:type="page"/>
      </w:r>
    </w:p>
    <w:p>
      <w:pPr>
        <w:spacing w:after="60"/>
        <w:jc w:val="right"/>
        <w:bidi/>
      </w:pPr>
      <w:r>
        <w:rPr>
          <w:rFonts w:ascii="Arial" w:hAnsi="Arial"/>
          <w:b/>
          <w:color w:val="1F4D78"/>
          <w:sz w:val="19"/>
        </w:rPr>
        <w:t>هفتهٔ 243  |  صفحهٔ منبع: 259</w:t>
      </w:r>
    </w:p>
    <w:p>
      <w:pPr>
        <w:spacing w:after="20" w:line="223" w:lineRule="auto"/>
        <w:jc w:val="right"/>
        <w:bidi/>
      </w:pPr>
      <w:r>
        <w:rPr>
          <w:rFonts w:ascii="Arial" w:hAnsi="Arial"/>
          <w:sz w:val="16"/>
        </w:rPr>
        <w:t>243.01  توالی مناسب وظایف قبل از شروع پروژه برای اطمینان از کارایی پروژه.</w:t>
      </w:r>
    </w:p>
    <w:p>
      <w:pPr>
        <w:spacing w:after="28" w:line="216" w:lineRule="auto"/>
        <w:ind w:left="259"/>
        <w:jc w:val="left"/>
      </w:pPr>
      <w:r>
        <w:rPr>
          <w:rFonts w:ascii="Arial" w:hAnsi="Arial"/>
          <w:color w:val="525252"/>
          <w:sz w:val="13"/>
        </w:rPr>
        <w:t>the proper sequencing of tasks prior to beginning a project to ensure the efficiency of the project.</w:t>
      </w:r>
    </w:p>
    <w:p>
      <w:r>
        <w:br w:type="page"/>
      </w:r>
    </w:p>
    <w:p>
      <w:pPr>
        <w:spacing w:after="60"/>
        <w:jc w:val="right"/>
        <w:bidi/>
      </w:pPr>
      <w:r>
        <w:rPr>
          <w:rFonts w:ascii="Arial" w:hAnsi="Arial"/>
          <w:b/>
          <w:color w:val="1F4D78"/>
          <w:sz w:val="19"/>
        </w:rPr>
        <w:t>هفتهٔ 244  |  صفحهٔ منبع: 260</w:t>
      </w:r>
    </w:p>
    <w:p>
      <w:pPr>
        <w:spacing w:before="60" w:after="28"/>
        <w:jc w:val="right"/>
        <w:bidi/>
      </w:pPr>
      <w:r>
        <w:rPr>
          <w:b/>
          <w:color w:val="1F4D78"/>
          <w:sz w:val="18"/>
        </w:rPr>
        <w:t>فصل 14</w:t>
      </w:r>
    </w:p>
    <w:p>
      <w:pPr>
        <w:spacing w:after="20"/>
        <w:ind w:left="259"/>
        <w:jc w:val="left"/>
      </w:pPr>
      <w:r>
        <w:rPr>
          <w:color w:val="555555"/>
          <w:sz w:val="12"/>
        </w:rPr>
        <w:t>Chapter 14</w:t>
      </w:r>
    </w:p>
    <w:p>
      <w:pPr>
        <w:spacing w:before="60" w:after="28"/>
        <w:jc w:val="right"/>
        <w:bidi/>
      </w:pPr>
      <w:r>
        <w:rPr>
          <w:b/>
          <w:color w:val="1F4D78"/>
          <w:sz w:val="18"/>
        </w:rPr>
        <w:t>در حال توسعه دیگران</w:t>
      </w:r>
    </w:p>
    <w:p>
      <w:pPr>
        <w:spacing w:after="20"/>
        <w:ind w:left="259"/>
        <w:jc w:val="left"/>
      </w:pPr>
      <w:r>
        <w:rPr>
          <w:color w:val="555555"/>
          <w:sz w:val="12"/>
        </w:rPr>
        <w:t>DEVELOPING OTHERS</w:t>
      </w:r>
    </w:p>
    <w:p>
      <w:pPr>
        <w:spacing w:before="60" w:after="28"/>
        <w:jc w:val="right"/>
        <w:bidi/>
      </w:pPr>
      <w:r>
        <w:rPr>
          <w:b/>
          <w:color w:val="1F4D78"/>
          <w:sz w:val="18"/>
        </w:rPr>
        <w:t>بخش 14A-کار تیمی</w:t>
      </w:r>
    </w:p>
    <w:p>
      <w:pPr>
        <w:spacing w:after="20"/>
        <w:ind w:left="259"/>
        <w:jc w:val="left"/>
      </w:pPr>
      <w:r>
        <w:rPr>
          <w:color w:val="555555"/>
          <w:sz w:val="12"/>
        </w:rPr>
        <w:t>Section 14A—Teamwork</w:t>
      </w:r>
    </w:p>
    <w:p>
      <w:pPr>
        <w:spacing w:before="60" w:after="28"/>
        <w:jc w:val="right"/>
        <w:bidi/>
      </w:pPr>
      <w:r>
        <w:rPr>
          <w:b/>
          <w:color w:val="1F4D78"/>
          <w:sz w:val="18"/>
        </w:rPr>
        <w:t>14.1. تیم سازی</w:t>
      </w:r>
    </w:p>
    <w:p>
      <w:pPr>
        <w:spacing w:after="20"/>
        <w:ind w:left="259"/>
        <w:jc w:val="left"/>
      </w:pPr>
      <w:r>
        <w:rPr>
          <w:color w:val="555555"/>
          <w:sz w:val="12"/>
        </w:rPr>
        <w:t>14.1. Team Building</w:t>
      </w:r>
    </w:p>
    <w:p>
      <w:pPr>
        <w:spacing w:after="20" w:line="223" w:lineRule="auto"/>
        <w:jc w:val="right"/>
        <w:bidi/>
      </w:pPr>
      <w:r>
        <w:rPr>
          <w:rFonts w:ascii="Arial" w:hAnsi="Arial"/>
          <w:sz w:val="16"/>
        </w:rPr>
        <w:t>244.05  پویا راهی برای توصیف عناصر یک فرآیند یا سیستم است. این اصطلاحی است که برای تشخیص تغییر، فعالیت یا پیشرفت مداوم استفاده می‌شود.</w:t>
      </w:r>
    </w:p>
    <w:p>
      <w:pPr>
        <w:spacing w:after="28" w:line="216" w:lineRule="auto"/>
        <w:ind w:left="259"/>
        <w:jc w:val="left"/>
      </w:pPr>
      <w:r>
        <w:rPr>
          <w:rFonts w:ascii="Arial" w:hAnsi="Arial"/>
          <w:color w:val="525252"/>
          <w:sz w:val="13"/>
        </w:rPr>
        <w:t>Dynamic is a way of describing elements of a process or system; it is a term used to recognize constant change, activity, or progress.</w:t>
      </w:r>
    </w:p>
    <w:p>
      <w:pPr>
        <w:spacing w:after="20" w:line="223" w:lineRule="auto"/>
        <w:jc w:val="right"/>
        <w:bidi/>
      </w:pPr>
      <w:r>
        <w:rPr>
          <w:rFonts w:ascii="Arial" w:hAnsi="Arial"/>
          <w:sz w:val="16"/>
        </w:rPr>
        <w:t>244.06  پویا همچنین می‌تواند برای توصیف نیرویی که تغییر یا پیشرفت را تحریک می‌کند استفاده شود.</w:t>
      </w:r>
    </w:p>
    <w:p>
      <w:pPr>
        <w:spacing w:after="28" w:line="216" w:lineRule="auto"/>
        <w:ind w:left="259"/>
        <w:jc w:val="left"/>
      </w:pPr>
      <w:r>
        <w:rPr>
          <w:rFonts w:ascii="Arial" w:hAnsi="Arial"/>
          <w:color w:val="525252"/>
          <w:sz w:val="13"/>
        </w:rPr>
        <w:t>Dynamic can also be used to describe a force that stimulates change or progress.</w:t>
      </w:r>
    </w:p>
    <w:p>
      <w:pPr>
        <w:spacing w:after="20" w:line="223" w:lineRule="auto"/>
        <w:jc w:val="right"/>
        <w:bidi/>
      </w:pPr>
      <w:r>
        <w:rPr>
          <w:rFonts w:ascii="Arial" w:hAnsi="Arial"/>
          <w:sz w:val="16"/>
        </w:rPr>
        <w:t>244.07  به‌عنوان هوانورد، ما باید رهبران، همتایان و زیردستان خود را بشناسیم و درک کنیم.</w:t>
      </w:r>
    </w:p>
    <w:p>
      <w:pPr>
        <w:spacing w:after="28" w:line="216" w:lineRule="auto"/>
        <w:ind w:left="259"/>
        <w:jc w:val="left"/>
      </w:pPr>
      <w:r>
        <w:rPr>
          <w:rFonts w:ascii="Arial" w:hAnsi="Arial"/>
          <w:color w:val="525252"/>
          <w:sz w:val="13"/>
        </w:rPr>
        <w:t>As Airmen, we must know and understand our leaders, peers, and subordinates.</w:t>
      </w:r>
    </w:p>
    <w:p>
      <w:pPr>
        <w:spacing w:after="20" w:line="223" w:lineRule="auto"/>
        <w:jc w:val="right"/>
        <w:bidi/>
      </w:pPr>
      <w:r>
        <w:rPr>
          <w:rFonts w:ascii="Arial" w:hAnsi="Arial"/>
          <w:sz w:val="16"/>
        </w:rPr>
        <w:t>244.08  در محیط‌های تیمی، باید رویکردهای درست برای ایجاد تیم‌های مؤثر و پرورش روحیه تیمی سالم و پویا را بدانیم.</w:t>
      </w:r>
    </w:p>
    <w:p>
      <w:pPr>
        <w:spacing w:after="28" w:line="216" w:lineRule="auto"/>
        <w:ind w:left="259"/>
        <w:jc w:val="left"/>
      </w:pPr>
      <w:r>
        <w:rPr>
          <w:rFonts w:ascii="Arial" w:hAnsi="Arial"/>
          <w:color w:val="525252"/>
          <w:sz w:val="13"/>
        </w:rPr>
        <w:t>In team environments, we must know the right approaches to building effective teams and cultivating a healthy, dynamic team spirit.</w:t>
      </w:r>
    </w:p>
    <w:p>
      <w:pPr>
        <w:spacing w:after="20" w:line="223" w:lineRule="auto"/>
        <w:jc w:val="right"/>
        <w:bidi/>
      </w:pPr>
      <w:r>
        <w:rPr>
          <w:rFonts w:ascii="Arial" w:hAnsi="Arial"/>
          <w:sz w:val="16"/>
        </w:rPr>
        <w:t>244.09  روحیه‌ای که یک تیم در آن عمل می‌کند، بر هر مرحله از توسعه تیم تأثیر می‌گذارد و در نهایت می‌تواند تعیین کند که آیا اهداف برآورده می‌شوند یا خیر.</w:t>
      </w:r>
    </w:p>
    <w:p>
      <w:pPr>
        <w:spacing w:after="28" w:line="216" w:lineRule="auto"/>
        <w:ind w:left="259"/>
        <w:jc w:val="left"/>
      </w:pPr>
      <w:r>
        <w:rPr>
          <w:rFonts w:ascii="Arial" w:hAnsi="Arial"/>
          <w:color w:val="525252"/>
          <w:sz w:val="13"/>
        </w:rPr>
        <w:t>The spirit in which a team operates will influence every stage of team development and can ultimately determine whether goals are met.</w:t>
      </w:r>
    </w:p>
    <w:p>
      <w:pPr>
        <w:spacing w:after="20" w:line="223" w:lineRule="auto"/>
        <w:jc w:val="right"/>
        <w:bidi/>
      </w:pPr>
      <w:r>
        <w:rPr>
          <w:rFonts w:ascii="Arial" w:hAnsi="Arial"/>
          <w:sz w:val="16"/>
        </w:rPr>
        <w:t>244.10  تیم‌های سالم تیم‌هایی با عملکرد بالا هستند که اغلب پایه‌ای از اعتماد، ارتباط و همکاری دارند.</w:t>
      </w:r>
    </w:p>
    <w:p>
      <w:pPr>
        <w:spacing w:after="28" w:line="216" w:lineRule="auto"/>
        <w:ind w:left="259"/>
        <w:jc w:val="left"/>
      </w:pPr>
      <w:r>
        <w:rPr>
          <w:rFonts w:ascii="Arial" w:hAnsi="Arial"/>
          <w:color w:val="525252"/>
          <w:sz w:val="13"/>
        </w:rPr>
        <w:t>Healthy teams are high performing teams that most often have a foundation of trust, communication, and cooperation.</w:t>
      </w:r>
    </w:p>
    <w:p>
      <w:pPr>
        <w:spacing w:after="20" w:line="223" w:lineRule="auto"/>
        <w:jc w:val="right"/>
        <w:bidi/>
      </w:pPr>
      <w:r>
        <w:rPr>
          <w:rFonts w:ascii="Arial" w:hAnsi="Arial"/>
          <w:sz w:val="16"/>
        </w:rPr>
        <w:t>244.11  در حالی که هر یک در ایجاد روحیه تیمی سالم ضروری است، اعتماد هسته اصلی تمام تعاملات تیمی سالم است.</w:t>
      </w:r>
    </w:p>
    <w:p>
      <w:pPr>
        <w:spacing w:after="28" w:line="216" w:lineRule="auto"/>
        <w:ind w:left="259"/>
        <w:jc w:val="left"/>
      </w:pPr>
      <w:r>
        <w:rPr>
          <w:rFonts w:ascii="Arial" w:hAnsi="Arial"/>
          <w:color w:val="525252"/>
          <w:sz w:val="13"/>
        </w:rPr>
        <w:t>While each is essential in building a healthy team spirit, trust is at the core of all healthy team interaction.</w:t>
      </w:r>
    </w:p>
    <w:p>
      <w:pPr>
        <w:spacing w:after="20" w:line="223" w:lineRule="auto"/>
        <w:jc w:val="right"/>
        <w:bidi/>
      </w:pPr>
      <w:r>
        <w:rPr>
          <w:rFonts w:ascii="Arial" w:hAnsi="Arial"/>
          <w:sz w:val="16"/>
        </w:rPr>
        <w:t>244.12  اعضای تیم باید با یکدیگر احساس راحتی و اطمینان داشته باشند تا بتوانند به‌طور کامل شرکت کنند.</w:t>
      </w:r>
    </w:p>
    <w:p>
      <w:pPr>
        <w:spacing w:after="28" w:line="216" w:lineRule="auto"/>
        <w:ind w:left="259"/>
        <w:jc w:val="left"/>
      </w:pPr>
      <w:r>
        <w:rPr>
          <w:rFonts w:ascii="Arial" w:hAnsi="Arial"/>
          <w:color w:val="525252"/>
          <w:sz w:val="13"/>
        </w:rPr>
        <w:t>Team members must feel comfortable with, and confident in, one another to be able to fully participate.</w:t>
      </w:r>
    </w:p>
    <w:p>
      <w:pPr>
        <w:spacing w:after="20" w:line="223" w:lineRule="auto"/>
        <w:jc w:val="right"/>
        <w:bidi/>
      </w:pPr>
      <w:r>
        <w:rPr>
          <w:rFonts w:ascii="Arial" w:hAnsi="Arial"/>
          <w:sz w:val="16"/>
        </w:rPr>
        <w:t>244.13  رفتار مثبت اعضای گروه برای یک تیم برای دستیابی به اهدافش ضروری است.</w:t>
      </w:r>
    </w:p>
    <w:p>
      <w:pPr>
        <w:spacing w:after="28" w:line="216" w:lineRule="auto"/>
        <w:ind w:left="259"/>
        <w:jc w:val="left"/>
      </w:pPr>
      <w:r>
        <w:rPr>
          <w:rFonts w:ascii="Arial" w:hAnsi="Arial"/>
          <w:color w:val="525252"/>
          <w:sz w:val="13"/>
        </w:rPr>
        <w:t>Positive group member behavior is essential for a team to accomplish its goals.</w:t>
      </w:r>
    </w:p>
    <w:p>
      <w:pPr>
        <w:spacing w:after="20" w:line="223" w:lineRule="auto"/>
        <w:jc w:val="right"/>
        <w:bidi/>
      </w:pPr>
      <w:r>
        <w:rPr>
          <w:rFonts w:ascii="Arial" w:hAnsi="Arial"/>
          <w:sz w:val="16"/>
        </w:rPr>
        <w:t>244.14  اعضای تیم معمولا برای ایجاد پیوندهای قوی برای اعتماد، ارتباط و همکاری زمان می‌برند.</w:t>
      </w:r>
    </w:p>
    <w:p>
      <w:pPr>
        <w:spacing w:after="28" w:line="216" w:lineRule="auto"/>
        <w:ind w:left="259"/>
        <w:jc w:val="left"/>
      </w:pPr>
      <w:r>
        <w:rPr>
          <w:rFonts w:ascii="Arial" w:hAnsi="Arial"/>
          <w:color w:val="525252"/>
          <w:sz w:val="13"/>
        </w:rPr>
        <w:t>Team members usually take some time to form strong bonds for trust, communication, and cooperation.</w:t>
      </w:r>
    </w:p>
    <w:p>
      <w:pPr>
        <w:spacing w:after="20" w:line="223" w:lineRule="auto"/>
        <w:jc w:val="right"/>
        <w:bidi/>
      </w:pPr>
      <w:r>
        <w:rPr>
          <w:rFonts w:ascii="Arial" w:hAnsi="Arial"/>
          <w:sz w:val="16"/>
        </w:rPr>
        <w:t>244.15  معمولا مراحلی وجود دارد که تیم‌ها قبل از رسیدن به سطح تبدیل شدن به تیم‌های بسیار کاربردی و سازنده، آن‌ها را تجربه می‌کنند.</w:t>
      </w:r>
    </w:p>
    <w:p>
      <w:pPr>
        <w:spacing w:after="28" w:line="216" w:lineRule="auto"/>
        <w:ind w:left="259"/>
        <w:jc w:val="left"/>
      </w:pPr>
      <w:r>
        <w:rPr>
          <w:rFonts w:ascii="Arial" w:hAnsi="Arial"/>
          <w:color w:val="525252"/>
          <w:sz w:val="13"/>
        </w:rPr>
        <w:t>There are typically stages that teams experience before rising to the level of becoming highly functional, productive teams.</w:t>
      </w:r>
    </w:p>
    <w:p>
      <w:pPr>
        <w:spacing w:after="20" w:line="223" w:lineRule="auto"/>
        <w:jc w:val="right"/>
        <w:bidi/>
      </w:pPr>
      <w:r>
        <w:rPr>
          <w:rFonts w:ascii="Arial" w:hAnsi="Arial"/>
          <w:sz w:val="16"/>
        </w:rPr>
        <w:t>244.16  اعتماد.</w:t>
      </w:r>
    </w:p>
    <w:p>
      <w:pPr>
        <w:spacing w:after="28" w:line="216" w:lineRule="auto"/>
        <w:ind w:left="259"/>
        <w:jc w:val="left"/>
      </w:pPr>
      <w:r>
        <w:rPr>
          <w:rFonts w:ascii="Arial" w:hAnsi="Arial"/>
          <w:color w:val="525252"/>
          <w:sz w:val="13"/>
        </w:rPr>
        <w:t>Trust.</w:t>
      </w:r>
    </w:p>
    <w:p>
      <w:pPr>
        <w:spacing w:after="20" w:line="223" w:lineRule="auto"/>
        <w:jc w:val="right"/>
        <w:bidi/>
      </w:pPr>
      <w:r>
        <w:rPr>
          <w:rFonts w:ascii="Arial" w:hAnsi="Arial"/>
          <w:sz w:val="16"/>
        </w:rPr>
        <w:t>244.17  کار تیمی مؤثر مستلزم درجه بالایی از اعتماد است.</w:t>
      </w:r>
    </w:p>
    <w:p>
      <w:pPr>
        <w:spacing w:after="28" w:line="216" w:lineRule="auto"/>
        <w:ind w:left="259"/>
        <w:jc w:val="left"/>
      </w:pPr>
      <w:r>
        <w:rPr>
          <w:rFonts w:ascii="Arial" w:hAnsi="Arial"/>
          <w:color w:val="525252"/>
          <w:sz w:val="13"/>
        </w:rPr>
        <w:t>Effective teamwork requires a high degree of trust.</w:t>
      </w:r>
    </w:p>
    <w:p>
      <w:pPr>
        <w:spacing w:after="20" w:line="223" w:lineRule="auto"/>
        <w:jc w:val="right"/>
        <w:bidi/>
      </w:pPr>
      <w:r>
        <w:rPr>
          <w:rFonts w:ascii="Arial" w:hAnsi="Arial"/>
          <w:sz w:val="16"/>
        </w:rPr>
        <w:t>244.18  اعضای تیم باید به یکپارچگی و توانایی هم‌تیمی‌ها اعتماد متقابل داشته باشند.</w:t>
      </w:r>
    </w:p>
    <w:p>
      <w:pPr>
        <w:spacing w:after="28" w:line="216" w:lineRule="auto"/>
        <w:ind w:left="259"/>
        <w:jc w:val="left"/>
      </w:pPr>
      <w:r>
        <w:rPr>
          <w:rFonts w:ascii="Arial" w:hAnsi="Arial"/>
          <w:color w:val="525252"/>
          <w:sz w:val="13"/>
        </w:rPr>
        <w:t>Team members must share mutual confidence in the integrity and ability of teammates.</w:t>
      </w:r>
    </w:p>
    <w:p>
      <w:pPr>
        <w:spacing w:after="20" w:line="223" w:lineRule="auto"/>
        <w:jc w:val="right"/>
        <w:bidi/>
      </w:pPr>
      <w:r>
        <w:rPr>
          <w:rFonts w:ascii="Arial" w:hAnsi="Arial"/>
          <w:sz w:val="16"/>
        </w:rPr>
        <w:t>244.19  آنها همچنین باید به اندازه کافی احساس راحتی کنند تا ریسک کنند، خارج از چارچوب فکر کنند و افکار و ایده‌های خود را بدون ترس از تعطیلی یا تخفیف به اشتراک بگذارند.</w:t>
      </w:r>
    </w:p>
    <w:p>
      <w:pPr>
        <w:spacing w:after="28" w:line="216" w:lineRule="auto"/>
        <w:ind w:left="259"/>
        <w:jc w:val="left"/>
      </w:pPr>
      <w:r>
        <w:rPr>
          <w:rFonts w:ascii="Arial" w:hAnsi="Arial"/>
          <w:color w:val="525252"/>
          <w:sz w:val="13"/>
        </w:rPr>
        <w:t>They also need to feel comfortable enough to take risks, think outside the box, and share their thoughts and ideas without fear of being shut down or discounted.</w:t>
      </w:r>
    </w:p>
    <w:p>
      <w:pPr>
        <w:spacing w:after="20" w:line="223" w:lineRule="auto"/>
        <w:jc w:val="right"/>
        <w:bidi/>
      </w:pPr>
      <w:r>
        <w:rPr>
          <w:rFonts w:ascii="Arial" w:hAnsi="Arial"/>
          <w:sz w:val="16"/>
        </w:rPr>
        <w:t>244.20  آزادی برقراری ارتباط آشکار، صادقانه و مستقیم در درون گروه، ویژگی بارز یک تیم مبتنی بر اعتماد است.</w:t>
      </w:r>
    </w:p>
    <w:p>
      <w:pPr>
        <w:spacing w:after="28" w:line="216" w:lineRule="auto"/>
        <w:ind w:left="259"/>
        <w:jc w:val="left"/>
      </w:pPr>
      <w:r>
        <w:rPr>
          <w:rFonts w:ascii="Arial" w:hAnsi="Arial"/>
          <w:color w:val="525252"/>
          <w:sz w:val="13"/>
        </w:rPr>
        <w:t>Freedom to communicate openly, honestly, and directly within the group is the hallmark of a trust-based team.</w:t>
      </w:r>
    </w:p>
    <w:p>
      <w:pPr>
        <w:spacing w:after="20" w:line="223" w:lineRule="auto"/>
        <w:jc w:val="right"/>
        <w:bidi/>
      </w:pPr>
      <w:r>
        <w:rPr>
          <w:rFonts w:ascii="Arial" w:hAnsi="Arial"/>
          <w:sz w:val="16"/>
        </w:rPr>
        <w:t>244.21  افراد باید اهمیت استفاده از مهارت‌های ارتباطی مؤثر را برای توسعه سطح اعتماد مورد نیاز برای رشد تیم‌ها درک کنند.</w:t>
      </w:r>
    </w:p>
    <w:p>
      <w:pPr>
        <w:spacing w:after="28" w:line="216" w:lineRule="auto"/>
        <w:ind w:left="259"/>
        <w:jc w:val="left"/>
      </w:pPr>
      <w:r>
        <w:rPr>
          <w:rFonts w:ascii="Arial" w:hAnsi="Arial"/>
          <w:color w:val="525252"/>
          <w:sz w:val="13"/>
        </w:rPr>
        <w:t>Individuals must understand the importance of utilizing effective communication skills to develop the level of trust needed for the teams to grow.</w:t>
      </w:r>
    </w:p>
    <w:p>
      <w:pPr>
        <w:spacing w:after="20" w:line="223" w:lineRule="auto"/>
        <w:jc w:val="right"/>
        <w:bidi/>
      </w:pPr>
      <w:r>
        <w:rPr>
          <w:rFonts w:ascii="Arial" w:hAnsi="Arial"/>
          <w:sz w:val="16"/>
        </w:rPr>
        <w:t>244.22  "هیچ چیز به اندازه‌ای که اعضا یک چیز را در گروه و چیز دیگری را در خارج از گروه بگویند، اعتماد را در یک گروه کاهش نمی‌دهد.</w:t>
      </w:r>
    </w:p>
    <w:p>
      <w:pPr>
        <w:spacing w:after="28" w:line="216" w:lineRule="auto"/>
        <w:ind w:left="259"/>
        <w:jc w:val="left"/>
      </w:pPr>
      <w:r>
        <w:rPr>
          <w:rFonts w:ascii="Arial" w:hAnsi="Arial"/>
          <w:color w:val="525252"/>
          <w:sz w:val="13"/>
        </w:rPr>
        <w:t>“Nothing reduces trust in a group faster than members saying one thing within the group and something else outside the group.</w:t>
      </w:r>
    </w:p>
    <w:p>
      <w:pPr>
        <w:spacing w:after="20" w:line="223" w:lineRule="auto"/>
        <w:jc w:val="right"/>
        <w:bidi/>
      </w:pPr>
      <w:r>
        <w:rPr>
          <w:rFonts w:ascii="Arial" w:hAnsi="Arial"/>
          <w:sz w:val="16"/>
        </w:rPr>
        <w:t>244.23  وقتی اعضا به اندازه کافی قاطع باشند که آنچه را که باید مستقیما به افراد مناسب بگویند و از حرف زدن پشت سر یکدیگر خودداری کنند، اعتماد افزایش می‌یابد." تیم‌های سوزان زوگلیو در محل کار ایجاد اعتماد بین اعضای تیم نیازمند روابط کاری حرفه‌ای، رفتار حرفه‌ای و تمایل به دستیابی به اهداف تعیین شده است.</w:t>
      </w:r>
    </w:p>
    <w:p>
      <w:pPr>
        <w:spacing w:after="28" w:line="216" w:lineRule="auto"/>
        <w:ind w:left="259"/>
        <w:jc w:val="left"/>
      </w:pPr>
      <w:r>
        <w:rPr>
          <w:rFonts w:ascii="Arial" w:hAnsi="Arial"/>
          <w:color w:val="525252"/>
          <w:sz w:val="13"/>
        </w:rPr>
        <w:t>When members are assertive enough to say what they need to say directly to the appropriate people and to refrain from talking behind each other’s backs, trust is enhanced.” Suzanne Zoglio Teams at Work Creating trust among team members requires professional working relationships, professional behavior, and a desire to achieve established objectives.</w:t>
      </w:r>
    </w:p>
    <w:p>
      <w:pPr>
        <w:spacing w:after="20" w:line="223" w:lineRule="auto"/>
        <w:jc w:val="right"/>
        <w:bidi/>
      </w:pPr>
      <w:r>
        <w:rPr>
          <w:rFonts w:ascii="Arial" w:hAnsi="Arial"/>
          <w:sz w:val="16"/>
        </w:rPr>
        <w:t>244.24  گفت‌وگو و بازخورد باید بین اعضا به شیوه‌ای باز و صمیمانه بدون ترس از انتقاد شدید رد و بدل شود.</w:t>
      </w:r>
    </w:p>
    <w:p>
      <w:pPr>
        <w:spacing w:after="28" w:line="216" w:lineRule="auto"/>
        <w:ind w:left="259"/>
        <w:jc w:val="left"/>
      </w:pPr>
      <w:r>
        <w:rPr>
          <w:rFonts w:ascii="Arial" w:hAnsi="Arial"/>
          <w:color w:val="525252"/>
          <w:sz w:val="13"/>
        </w:rPr>
        <w:t>Dialogue and feedback must be exchanged between members in an open and sincere manner without fear of harsh criticism.</w:t>
      </w:r>
    </w:p>
    <w:p>
      <w:pPr>
        <w:spacing w:after="20" w:line="223" w:lineRule="auto"/>
        <w:jc w:val="right"/>
        <w:bidi/>
      </w:pPr>
      <w:r>
        <w:rPr>
          <w:rFonts w:ascii="Arial" w:hAnsi="Arial"/>
          <w:sz w:val="16"/>
        </w:rPr>
        <w:t>244.25  اعضای تیم باید با پذیرش ورودی‌ها و به اشتراک گذاری اطلاعات به یکدیگر پاسخ دهند.</w:t>
      </w:r>
    </w:p>
    <w:p>
      <w:pPr>
        <w:spacing w:after="28" w:line="216" w:lineRule="auto"/>
        <w:ind w:left="259"/>
        <w:jc w:val="left"/>
      </w:pPr>
      <w:r>
        <w:rPr>
          <w:rFonts w:ascii="Arial" w:hAnsi="Arial"/>
          <w:color w:val="525252"/>
          <w:sz w:val="13"/>
        </w:rPr>
        <w:t>Team members should respond to one another with receptivity to inputs, and information sharing.</w:t>
      </w:r>
    </w:p>
    <w:p>
      <w:pPr>
        <w:spacing w:after="20" w:line="223" w:lineRule="auto"/>
        <w:jc w:val="right"/>
        <w:bidi/>
      </w:pPr>
      <w:r>
        <w:rPr>
          <w:rFonts w:ascii="Arial" w:hAnsi="Arial"/>
          <w:sz w:val="16"/>
        </w:rPr>
        <w:t>244.26  درست است... صداقت هست و بعد صداقت وحشیانه.</w:t>
      </w:r>
    </w:p>
    <w:p>
      <w:pPr>
        <w:spacing w:after="28" w:line="216" w:lineRule="auto"/>
        <w:ind w:left="259"/>
        <w:jc w:val="left"/>
      </w:pPr>
      <w:r>
        <w:rPr>
          <w:rFonts w:ascii="Arial" w:hAnsi="Arial"/>
          <w:color w:val="525252"/>
          <w:sz w:val="13"/>
        </w:rPr>
        <w:t>It’s true…there’s honesty and then there’s brutal honesty.</w:t>
      </w:r>
    </w:p>
    <w:p>
      <w:pPr>
        <w:spacing w:after="20" w:line="223" w:lineRule="auto"/>
        <w:jc w:val="right"/>
        <w:bidi/>
      </w:pPr>
      <w:r>
        <w:rPr>
          <w:rFonts w:ascii="Arial" w:hAnsi="Arial"/>
          <w:sz w:val="16"/>
        </w:rPr>
        <w:t>244.27  بازخورد، تفکر انتقادی، و اختلاف نظرها را می‌توان بدون صداقت یا توهین بی رحمانه بین اعضای تیم رد و بدل کرد.</w:t>
      </w:r>
    </w:p>
    <w:p>
      <w:pPr>
        <w:spacing w:after="28" w:line="216" w:lineRule="auto"/>
        <w:ind w:left="259"/>
        <w:jc w:val="left"/>
      </w:pPr>
      <w:r>
        <w:rPr>
          <w:rFonts w:ascii="Arial" w:hAnsi="Arial"/>
          <w:color w:val="525252"/>
          <w:sz w:val="13"/>
        </w:rPr>
        <w:t>Feedback, critical thinking, and disagreements can be exchanged among team members without being brutally honest or offensive.</w:t>
      </w:r>
    </w:p>
    <w:p>
      <w:pPr>
        <w:spacing w:after="20" w:line="223" w:lineRule="auto"/>
        <w:jc w:val="right"/>
        <w:bidi/>
      </w:pPr>
      <w:r>
        <w:rPr>
          <w:rFonts w:ascii="Arial" w:hAnsi="Arial"/>
          <w:sz w:val="16"/>
        </w:rPr>
        <w:t>244.28  رهبران می‌توانند با تشویق ارتباطات باز و صادقانه، فضای اعتماد را ارتقا دهند.</w:t>
      </w:r>
    </w:p>
    <w:p>
      <w:pPr>
        <w:spacing w:after="28" w:line="216" w:lineRule="auto"/>
        <w:ind w:left="259"/>
        <w:jc w:val="left"/>
      </w:pPr>
      <w:r>
        <w:rPr>
          <w:rFonts w:ascii="Arial" w:hAnsi="Arial"/>
          <w:color w:val="525252"/>
          <w:sz w:val="13"/>
        </w:rPr>
        <w:t>Leaders can promote a trusting atmosphere by encouraging open and honest communication.</w:t>
      </w:r>
    </w:p>
    <w:p>
      <w:pPr>
        <w:spacing w:after="20" w:line="223" w:lineRule="auto"/>
        <w:jc w:val="right"/>
        <w:bidi/>
      </w:pPr>
      <w:r>
        <w:rPr>
          <w:rFonts w:ascii="Arial" w:hAnsi="Arial"/>
          <w:sz w:val="16"/>
        </w:rPr>
        <w:t>244.29  رهبران تیم‌های خود را توانمند می‌سازند تا از طریق یک حس مشترک همکاری که عاری از اهداف خودخواهانه است، مشکلات را به صورت خلاقانه حل کنند.</w:t>
      </w:r>
    </w:p>
    <w:p>
      <w:pPr>
        <w:spacing w:after="28" w:line="216" w:lineRule="auto"/>
        <w:ind w:left="259"/>
        <w:jc w:val="left"/>
      </w:pPr>
      <w:r>
        <w:rPr>
          <w:rFonts w:ascii="Arial" w:hAnsi="Arial"/>
          <w:color w:val="525252"/>
          <w:sz w:val="13"/>
        </w:rPr>
        <w:t>Leaders empower their teams to solve problems innovatively through a shared sense of collaboration that is free of selfish goals.</w:t>
      </w:r>
    </w:p>
    <w:p>
      <w:pPr>
        <w:spacing w:after="20" w:line="223" w:lineRule="auto"/>
        <w:jc w:val="right"/>
        <w:bidi/>
      </w:pPr>
      <w:r>
        <w:rPr>
          <w:rFonts w:ascii="Arial" w:hAnsi="Arial"/>
          <w:sz w:val="16"/>
        </w:rPr>
        <w:t>244.30  رهبران باید تلاش خود را بر ایجاد لحن مناسب برای توسعه روابط اعتماد، برقراری ارتباط آشکار و صادقانه، دانستن و برقراری ارتباط خوب با اعضای تیم، و دلسرد کردن دسته‌ها یا اختلافات درون تیم متمرکز کنند.</w:t>
      </w:r>
    </w:p>
    <w:p>
      <w:pPr>
        <w:spacing w:after="28" w:line="216" w:lineRule="auto"/>
        <w:ind w:left="259"/>
        <w:jc w:val="left"/>
      </w:pPr>
      <w:r>
        <w:rPr>
          <w:rFonts w:ascii="Arial" w:hAnsi="Arial"/>
          <w:color w:val="525252"/>
          <w:sz w:val="13"/>
        </w:rPr>
        <w:t>Leaders should focus their efforts on setting the right tone for developing trusting relationships, communicating openly and honestly, knowing, and establishing a good rapport with team members, and discouraging cliques or divisions within the team.</w:t>
      </w:r>
    </w:p>
    <w:p>
      <w:pPr>
        <w:spacing w:after="20" w:line="223" w:lineRule="auto"/>
        <w:jc w:val="right"/>
        <w:bidi/>
      </w:pPr>
      <w:r>
        <w:rPr>
          <w:rFonts w:ascii="Arial" w:hAnsi="Arial"/>
          <w:sz w:val="16"/>
        </w:rPr>
        <w:t>244.31  به عبارت دیگر، رهبران تیم باید الگو باشند و الگو باشند.</w:t>
      </w:r>
    </w:p>
    <w:p>
      <w:pPr>
        <w:spacing w:after="28" w:line="216" w:lineRule="auto"/>
        <w:ind w:left="259"/>
        <w:jc w:val="left"/>
      </w:pPr>
      <w:r>
        <w:rPr>
          <w:rFonts w:ascii="Arial" w:hAnsi="Arial"/>
          <w:color w:val="525252"/>
          <w:sz w:val="13"/>
        </w:rPr>
        <w:t>In other words, team leaders should set the example and lead by example.</w:t>
      </w:r>
    </w:p>
    <w:p>
      <w:r>
        <w:br w:type="page"/>
      </w:r>
    </w:p>
    <w:p>
      <w:pPr>
        <w:spacing w:after="60"/>
        <w:jc w:val="right"/>
        <w:bidi/>
      </w:pPr>
      <w:r>
        <w:rPr>
          <w:rFonts w:ascii="Arial" w:hAnsi="Arial"/>
          <w:b/>
          <w:color w:val="1F4D78"/>
          <w:sz w:val="19"/>
        </w:rPr>
        <w:t>هفتهٔ 245  |  صفحهٔ منبع: 261</w:t>
      </w:r>
    </w:p>
    <w:p>
      <w:pPr>
        <w:spacing w:after="20" w:line="223" w:lineRule="auto"/>
        <w:jc w:val="right"/>
        <w:bidi/>
      </w:pPr>
      <w:r>
        <w:rPr>
          <w:rFonts w:ascii="Arial" w:hAnsi="Arial"/>
          <w:sz w:val="16"/>
        </w:rPr>
        <w:t>245.01  ارتباط.</w:t>
      </w:r>
    </w:p>
    <w:p>
      <w:pPr>
        <w:spacing w:after="28" w:line="216" w:lineRule="auto"/>
        <w:ind w:left="259"/>
        <w:jc w:val="left"/>
      </w:pPr>
      <w:r>
        <w:rPr>
          <w:rFonts w:ascii="Arial" w:hAnsi="Arial"/>
          <w:color w:val="525252"/>
          <w:sz w:val="13"/>
        </w:rPr>
        <w:t>Communication.</w:t>
      </w:r>
    </w:p>
    <w:p>
      <w:pPr>
        <w:spacing w:after="20" w:line="223" w:lineRule="auto"/>
        <w:jc w:val="right"/>
        <w:bidi/>
      </w:pPr>
      <w:r>
        <w:rPr>
          <w:rFonts w:ascii="Arial" w:hAnsi="Arial"/>
          <w:sz w:val="16"/>
        </w:rPr>
        <w:t>245.02  تیم‌ها باید ارتباط برقرار کنند.</w:t>
      </w:r>
    </w:p>
    <w:p>
      <w:pPr>
        <w:spacing w:after="28" w:line="216" w:lineRule="auto"/>
        <w:ind w:left="259"/>
        <w:jc w:val="left"/>
      </w:pPr>
      <w:r>
        <w:rPr>
          <w:rFonts w:ascii="Arial" w:hAnsi="Arial"/>
          <w:color w:val="525252"/>
          <w:sz w:val="13"/>
        </w:rPr>
        <w:t>Teams must communicate.</w:t>
      </w:r>
    </w:p>
    <w:p>
      <w:pPr>
        <w:spacing w:after="20" w:line="223" w:lineRule="auto"/>
        <w:jc w:val="right"/>
        <w:bidi/>
      </w:pPr>
      <w:r>
        <w:rPr>
          <w:rFonts w:ascii="Arial" w:hAnsi="Arial"/>
          <w:sz w:val="16"/>
        </w:rPr>
        <w:t>245.03  اعضای تیم باید با خیال راحت خود را مطرح کرده و ایده‌های خود را به اشتراک بگذارند.</w:t>
      </w:r>
    </w:p>
    <w:p>
      <w:pPr>
        <w:spacing w:after="28" w:line="216" w:lineRule="auto"/>
        <w:ind w:left="259"/>
        <w:jc w:val="left"/>
      </w:pPr>
      <w:r>
        <w:rPr>
          <w:rFonts w:ascii="Arial" w:hAnsi="Arial"/>
          <w:color w:val="525252"/>
          <w:sz w:val="13"/>
        </w:rPr>
        <w:t>Team members need to safely assert themselves and share their ideas.</w:t>
      </w:r>
    </w:p>
    <w:p>
      <w:pPr>
        <w:spacing w:after="20" w:line="223" w:lineRule="auto"/>
        <w:jc w:val="right"/>
        <w:bidi/>
      </w:pPr>
      <w:r>
        <w:rPr>
          <w:rFonts w:ascii="Arial" w:hAnsi="Arial"/>
          <w:sz w:val="16"/>
        </w:rPr>
        <w:t>245.04  تیم‌هایی که اجازه اشتراک‌گذاری صادقانه و باز را نمی‌دهند، به سرعت اثربخشی خود را از دست می‌دهند.</w:t>
      </w:r>
    </w:p>
    <w:p>
      <w:pPr>
        <w:spacing w:after="28" w:line="216" w:lineRule="auto"/>
        <w:ind w:left="259"/>
        <w:jc w:val="left"/>
      </w:pPr>
      <w:r>
        <w:rPr>
          <w:rFonts w:ascii="Arial" w:hAnsi="Arial"/>
          <w:color w:val="525252"/>
          <w:sz w:val="13"/>
        </w:rPr>
        <w:t>Teams that don’t allow honest, open sharing quickly lose their effectiveness.</w:t>
      </w:r>
    </w:p>
    <w:p>
      <w:pPr>
        <w:spacing w:after="20" w:line="223" w:lineRule="auto"/>
        <w:jc w:val="right"/>
        <w:bidi/>
      </w:pPr>
      <w:r>
        <w:rPr>
          <w:rFonts w:ascii="Arial" w:hAnsi="Arial"/>
          <w:sz w:val="16"/>
        </w:rPr>
        <w:t>245.05  در نتیجه، برخی از اعضای تیم ممکن است عمدا اطلاعات حیاتی را پنهان کنند یا از تیم جدا شوند.</w:t>
      </w:r>
    </w:p>
    <w:p>
      <w:pPr>
        <w:spacing w:after="28" w:line="216" w:lineRule="auto"/>
        <w:ind w:left="259"/>
        <w:jc w:val="left"/>
      </w:pPr>
      <w:r>
        <w:rPr>
          <w:rFonts w:ascii="Arial" w:hAnsi="Arial"/>
          <w:color w:val="525252"/>
          <w:sz w:val="13"/>
        </w:rPr>
        <w:t>As a result, some team members may purposely withhold vital information or disengage from the team.</w:t>
      </w:r>
    </w:p>
    <w:p>
      <w:pPr>
        <w:spacing w:after="20" w:line="223" w:lineRule="auto"/>
        <w:jc w:val="right"/>
        <w:bidi/>
      </w:pPr>
      <w:r>
        <w:rPr>
          <w:rFonts w:ascii="Arial" w:hAnsi="Arial"/>
          <w:sz w:val="16"/>
        </w:rPr>
        <w:t>245.06  این ممکن است باعث سردرگمی، سرخوردگی و ناتوانی در تکمیل وظایف در تیم شود.</w:t>
      </w:r>
    </w:p>
    <w:p>
      <w:pPr>
        <w:spacing w:after="28" w:line="216" w:lineRule="auto"/>
        <w:ind w:left="259"/>
        <w:jc w:val="left"/>
      </w:pPr>
      <w:r>
        <w:rPr>
          <w:rFonts w:ascii="Arial" w:hAnsi="Arial"/>
          <w:color w:val="525252"/>
          <w:sz w:val="13"/>
        </w:rPr>
        <w:t>This may cause confusion, frustration, and the inability to complete tasks within teams.</w:t>
      </w:r>
    </w:p>
    <w:p>
      <w:pPr>
        <w:spacing w:after="20" w:line="223" w:lineRule="auto"/>
        <w:jc w:val="right"/>
        <w:bidi/>
      </w:pPr>
      <w:r>
        <w:rPr>
          <w:rFonts w:ascii="Arial" w:hAnsi="Arial"/>
          <w:sz w:val="16"/>
        </w:rPr>
        <w:t>245.07  در حالی که به اشتراک گذاشتن اطلاعات بین اعضای تیم در تولید برنامه‌های مؤثر و مدون ضروری است، رهبران باید تمایل داشته باشند اطلاعات را با اعضای تیم به اشتراک بگذارند.</w:t>
      </w:r>
    </w:p>
    <w:p>
      <w:pPr>
        <w:spacing w:after="28" w:line="216" w:lineRule="auto"/>
        <w:ind w:left="259"/>
        <w:jc w:val="left"/>
      </w:pPr>
      <w:r>
        <w:rPr>
          <w:rFonts w:ascii="Arial" w:hAnsi="Arial"/>
          <w:color w:val="525252"/>
          <w:sz w:val="13"/>
        </w:rPr>
        <w:t>While sharing information between team members is essential in producing effective, well thought out plans, leaders must be willing to share information with team members.</w:t>
      </w:r>
    </w:p>
    <w:p>
      <w:pPr>
        <w:spacing w:after="20" w:line="223" w:lineRule="auto"/>
        <w:jc w:val="right"/>
        <w:bidi/>
      </w:pPr>
      <w:r>
        <w:rPr>
          <w:rFonts w:ascii="Arial" w:hAnsi="Arial"/>
          <w:sz w:val="16"/>
        </w:rPr>
        <w:t>245.08  وقتی رهبران اطلاعات را حفظ می‌کنند، می‌توانند تصویری نادرست، ناقص یا کاملا اشتباه از نتیجه مورد انتظار برای اعضای تیم ایجاد کنند.</w:t>
      </w:r>
    </w:p>
    <w:p>
      <w:pPr>
        <w:spacing w:after="28" w:line="216" w:lineRule="auto"/>
        <w:ind w:left="259"/>
        <w:jc w:val="left"/>
      </w:pPr>
      <w:r>
        <w:rPr>
          <w:rFonts w:ascii="Arial" w:hAnsi="Arial"/>
          <w:color w:val="525252"/>
          <w:sz w:val="13"/>
        </w:rPr>
        <w:t>When leaders hold on to information, they can create an inaccurate, incomplete, or totally wrong picture of the expected outcome to team members.</w:t>
      </w:r>
    </w:p>
    <w:p>
      <w:pPr>
        <w:spacing w:after="20" w:line="223" w:lineRule="auto"/>
        <w:jc w:val="right"/>
        <w:bidi/>
      </w:pPr>
      <w:r>
        <w:rPr>
          <w:rFonts w:ascii="Arial" w:hAnsi="Arial"/>
          <w:sz w:val="16"/>
        </w:rPr>
        <w:t>245.09  به اشتراک گذاری اطلاعات نتایج بهتری به همراه دارد.</w:t>
      </w:r>
    </w:p>
    <w:p>
      <w:pPr>
        <w:spacing w:after="28" w:line="216" w:lineRule="auto"/>
        <w:ind w:left="259"/>
        <w:jc w:val="left"/>
      </w:pPr>
      <w:r>
        <w:rPr>
          <w:rFonts w:ascii="Arial" w:hAnsi="Arial"/>
          <w:color w:val="525252"/>
          <w:sz w:val="13"/>
        </w:rPr>
        <w:t>Information sharing yields better results.</w:t>
      </w:r>
    </w:p>
    <w:p>
      <w:pPr>
        <w:spacing w:after="20" w:line="223" w:lineRule="auto"/>
        <w:jc w:val="right"/>
        <w:bidi/>
      </w:pPr>
      <w:r>
        <w:rPr>
          <w:rFonts w:ascii="Arial" w:hAnsi="Arial"/>
          <w:sz w:val="16"/>
        </w:rPr>
        <w:t>245.10  رهبران می‌توانند موفقیت تیم را با دادن دسترسی کامل اعضا به تمام داده‌های ضروری، ممانعت از کاهش ایده‌ها و احساسات و تشویق به گوش دادن فعال افزایش دهند.</w:t>
      </w:r>
    </w:p>
    <w:p>
      <w:pPr>
        <w:spacing w:after="28" w:line="216" w:lineRule="auto"/>
        <w:ind w:left="259"/>
        <w:jc w:val="left"/>
      </w:pPr>
      <w:r>
        <w:rPr>
          <w:rFonts w:ascii="Arial" w:hAnsi="Arial"/>
          <w:color w:val="525252"/>
          <w:sz w:val="13"/>
        </w:rPr>
        <w:t>Leaders can increase team success by giving members complete access to all necessary data, discouraging the discounting of ideas and feelings, and encouraging the practice of active listening.</w:t>
      </w:r>
    </w:p>
    <w:p>
      <w:pPr>
        <w:spacing w:after="20" w:line="223" w:lineRule="auto"/>
        <w:jc w:val="right"/>
        <w:bidi/>
      </w:pPr>
      <w:r>
        <w:rPr>
          <w:rFonts w:ascii="Arial" w:hAnsi="Arial"/>
          <w:sz w:val="16"/>
        </w:rPr>
        <w:t>245.11  همکاری.</w:t>
      </w:r>
    </w:p>
    <w:p>
      <w:pPr>
        <w:spacing w:after="28" w:line="216" w:lineRule="auto"/>
        <w:ind w:left="259"/>
        <w:jc w:val="left"/>
      </w:pPr>
      <w:r>
        <w:rPr>
          <w:rFonts w:ascii="Arial" w:hAnsi="Arial"/>
          <w:color w:val="525252"/>
          <w:sz w:val="13"/>
        </w:rPr>
        <w:t>Cooperation.</w:t>
      </w:r>
    </w:p>
    <w:p>
      <w:pPr>
        <w:spacing w:after="20" w:line="223" w:lineRule="auto"/>
        <w:jc w:val="right"/>
        <w:bidi/>
      </w:pPr>
      <w:r>
        <w:rPr>
          <w:rFonts w:ascii="Arial" w:hAnsi="Arial"/>
          <w:sz w:val="16"/>
        </w:rPr>
        <w:t>245.12  اگر تیم‌ها بخواهند مهارت‌ها و رویکردها را برای مقابله با چالش‌ها، نیازهای مشتری و تغییرات مأموریت ترکیب کنند، همکاری بسیار مهم است.</w:t>
      </w:r>
    </w:p>
    <w:p>
      <w:pPr>
        <w:spacing w:after="28" w:line="216" w:lineRule="auto"/>
        <w:ind w:left="259"/>
        <w:jc w:val="left"/>
      </w:pPr>
      <w:r>
        <w:rPr>
          <w:rFonts w:ascii="Arial" w:hAnsi="Arial"/>
          <w:color w:val="525252"/>
          <w:sz w:val="13"/>
        </w:rPr>
        <w:t>Cooperation is critical if teams are to combine skills and approaches to meet the challenges, customer requirements, and mission changes.</w:t>
      </w:r>
    </w:p>
    <w:p>
      <w:pPr>
        <w:spacing w:after="20" w:line="223" w:lineRule="auto"/>
        <w:jc w:val="right"/>
        <w:bidi/>
      </w:pPr>
      <w:r>
        <w:rPr>
          <w:rFonts w:ascii="Arial" w:hAnsi="Arial"/>
          <w:sz w:val="16"/>
        </w:rPr>
        <w:t>245.13  همکاری نتایج هم افزایی به همراه دارد و تلاشی را که برای رسیدن به یک نتیجه مطلوب لازم است کاهش می‌دهد.</w:t>
      </w:r>
    </w:p>
    <w:p>
      <w:pPr>
        <w:spacing w:after="28" w:line="216" w:lineRule="auto"/>
        <w:ind w:left="259"/>
        <w:jc w:val="left"/>
      </w:pPr>
      <w:r>
        <w:rPr>
          <w:rFonts w:ascii="Arial" w:hAnsi="Arial"/>
          <w:color w:val="525252"/>
          <w:sz w:val="13"/>
        </w:rPr>
        <w:t>Cooperation yields synergistic results and reduces the exerted effort it takes to reach a desired outcome.</w:t>
      </w:r>
    </w:p>
    <w:p>
      <w:pPr>
        <w:spacing w:after="20" w:line="223" w:lineRule="auto"/>
        <w:jc w:val="right"/>
        <w:bidi/>
      </w:pPr>
      <w:r>
        <w:rPr>
          <w:rFonts w:ascii="Arial" w:hAnsi="Arial"/>
          <w:sz w:val="16"/>
        </w:rPr>
        <w:t>245.14  رهبرانی که همکاری را تشویق می‌کنند به اعضای تیم نشان می‌دهند که دیگران سهم بسیار مهمی در اهداف تیم دارند.</w:t>
      </w:r>
    </w:p>
    <w:p>
      <w:pPr>
        <w:spacing w:after="28" w:line="216" w:lineRule="auto"/>
        <w:ind w:left="259"/>
        <w:jc w:val="left"/>
      </w:pPr>
      <w:r>
        <w:rPr>
          <w:rFonts w:ascii="Arial" w:hAnsi="Arial"/>
          <w:color w:val="525252"/>
          <w:sz w:val="13"/>
        </w:rPr>
        <w:t>Leaders who encourage cooperation show team members that others have very important contributions to the goals of the team.</w:t>
      </w:r>
    </w:p>
    <w:p>
      <w:pPr>
        <w:spacing w:after="20" w:line="223" w:lineRule="auto"/>
        <w:jc w:val="right"/>
        <w:bidi/>
      </w:pPr>
      <w:r>
        <w:rPr>
          <w:rFonts w:ascii="Arial" w:hAnsi="Arial"/>
          <w:sz w:val="16"/>
        </w:rPr>
        <w:t>245.15  اعضای تیم همچنین ممکن است بفهمند که در رسیدن به اهداف مأموریت چقدر به یکدیگر وابسته هستند.</w:t>
      </w:r>
    </w:p>
    <w:p>
      <w:pPr>
        <w:spacing w:after="28" w:line="216" w:lineRule="auto"/>
        <w:ind w:left="259"/>
        <w:jc w:val="left"/>
      </w:pPr>
      <w:r>
        <w:rPr>
          <w:rFonts w:ascii="Arial" w:hAnsi="Arial"/>
          <w:color w:val="525252"/>
          <w:sz w:val="13"/>
        </w:rPr>
        <w:t>Team members may also come to understand how dependent they are on one another in reaching mission objectives.</w:t>
      </w:r>
    </w:p>
    <w:p>
      <w:pPr>
        <w:spacing w:after="20" w:line="223" w:lineRule="auto"/>
        <w:jc w:val="right"/>
        <w:bidi/>
      </w:pPr>
      <w:r>
        <w:rPr>
          <w:rFonts w:ascii="Arial" w:hAnsi="Arial"/>
          <w:sz w:val="16"/>
        </w:rPr>
        <w:t>245.16  تیم‌های موفق جنگ‌های چمن کمی دارند، رقابت اندکی دارند و توانایی بخشش و فراموشی دارند.</w:t>
      </w:r>
    </w:p>
    <w:p>
      <w:pPr>
        <w:spacing w:after="28" w:line="216" w:lineRule="auto"/>
        <w:ind w:left="259"/>
        <w:jc w:val="left"/>
      </w:pPr>
      <w:r>
        <w:rPr>
          <w:rFonts w:ascii="Arial" w:hAnsi="Arial"/>
          <w:color w:val="525252"/>
          <w:sz w:val="13"/>
        </w:rPr>
        <w:t>Successful teams have few turf wars, little competitiveness, and an ability to forgive and forget.</w:t>
      </w:r>
    </w:p>
    <w:p>
      <w:pPr>
        <w:spacing w:after="20" w:line="223" w:lineRule="auto"/>
        <w:jc w:val="right"/>
        <w:bidi/>
      </w:pPr>
      <w:r>
        <w:rPr>
          <w:rFonts w:ascii="Arial" w:hAnsi="Arial"/>
          <w:sz w:val="16"/>
        </w:rPr>
        <w:t>245.17  همکاری مالکیت مشترک را برای نتایج عملکرد ایجاد می‌کند و دستیابی به اهداف غرور تیم و روحیه تیمی را افزایش می‌دهد.</w:t>
      </w:r>
    </w:p>
    <w:p>
      <w:pPr>
        <w:spacing w:after="28" w:line="216" w:lineRule="auto"/>
        <w:ind w:left="259"/>
        <w:jc w:val="left"/>
      </w:pPr>
      <w:r>
        <w:rPr>
          <w:rFonts w:ascii="Arial" w:hAnsi="Arial"/>
          <w:color w:val="525252"/>
          <w:sz w:val="13"/>
        </w:rPr>
        <w:t>Cooperation breeds shared ownership for performance results, and achieving objectives increases team pride and team spirit.</w:t>
      </w:r>
    </w:p>
    <w:p>
      <w:pPr>
        <w:spacing w:after="20" w:line="223" w:lineRule="auto"/>
        <w:jc w:val="right"/>
        <w:bidi/>
      </w:pPr>
      <w:r>
        <w:rPr>
          <w:rFonts w:ascii="Arial" w:hAnsi="Arial"/>
          <w:sz w:val="16"/>
        </w:rPr>
        <w:t>245.18  نشانه عدم عملکرد یک تیم منسجم زمانی است که رقابت غیر مفیدی بین اعضای تیم وجود دارد.</w:t>
      </w:r>
    </w:p>
    <w:p>
      <w:pPr>
        <w:spacing w:after="28" w:line="216" w:lineRule="auto"/>
        <w:ind w:left="259"/>
        <w:jc w:val="left"/>
      </w:pPr>
      <w:r>
        <w:rPr>
          <w:rFonts w:ascii="Arial" w:hAnsi="Arial"/>
          <w:color w:val="525252"/>
          <w:sz w:val="13"/>
        </w:rPr>
        <w:t>A sign that a team is not performing cohesively is when unhelpful competition exists among team members.</w:t>
      </w:r>
    </w:p>
    <w:p>
      <w:pPr>
        <w:spacing w:after="20" w:line="223" w:lineRule="auto"/>
        <w:jc w:val="right"/>
        <w:bidi/>
      </w:pPr>
      <w:r>
        <w:rPr>
          <w:rFonts w:ascii="Arial" w:hAnsi="Arial"/>
          <w:sz w:val="16"/>
        </w:rPr>
        <w:t>245.19  این ممکن است زمانی مشاهده شود که برخی از اعضای تیم تلاش می‌کنند برای جلب توجه یا اعتبار بیشتر از دیگران پیشی بگیرند.</w:t>
      </w:r>
    </w:p>
    <w:p>
      <w:pPr>
        <w:spacing w:after="28" w:line="216" w:lineRule="auto"/>
        <w:ind w:left="259"/>
        <w:jc w:val="left"/>
      </w:pPr>
      <w:r>
        <w:rPr>
          <w:rFonts w:ascii="Arial" w:hAnsi="Arial"/>
          <w:color w:val="525252"/>
          <w:sz w:val="13"/>
        </w:rPr>
        <w:t>This may be observed when some team members attempt to outshine others to gain extra attention or credibility.</w:t>
      </w:r>
    </w:p>
    <w:p>
      <w:pPr>
        <w:spacing w:after="20" w:line="223" w:lineRule="auto"/>
        <w:jc w:val="right"/>
        <w:bidi/>
      </w:pPr>
      <w:r>
        <w:rPr>
          <w:rFonts w:ascii="Arial" w:hAnsi="Arial"/>
          <w:sz w:val="16"/>
        </w:rPr>
        <w:t>245.20  وقتی یکی از اعضای یک تیم رفتار "همه ستاره" از خود نشان می‌دهد، ممکن است در حال تجربه جنگ قدرت باشد.</w:t>
      </w:r>
    </w:p>
    <w:p>
      <w:pPr>
        <w:spacing w:after="28" w:line="216" w:lineRule="auto"/>
        <w:ind w:left="259"/>
        <w:jc w:val="left"/>
      </w:pPr>
      <w:r>
        <w:rPr>
          <w:rFonts w:ascii="Arial" w:hAnsi="Arial"/>
          <w:color w:val="525252"/>
          <w:sz w:val="13"/>
        </w:rPr>
        <w:t>When a member of a team demonstrates “all-starring” behavior, they may be experiencing a power struggle.</w:t>
      </w:r>
    </w:p>
    <w:p>
      <w:pPr>
        <w:spacing w:after="20" w:line="223" w:lineRule="auto"/>
        <w:jc w:val="right"/>
        <w:bidi/>
      </w:pPr>
      <w:r>
        <w:rPr>
          <w:rFonts w:ascii="Arial" w:hAnsi="Arial"/>
          <w:sz w:val="16"/>
        </w:rPr>
        <w:t>245.21  برای کاهش رفتار قدرت بازی، رهبران باید بر نقش‌ها و مسئولیت‌های خاص هر یک از اعضای تیم تأکید کنند، که موانع احتمالی همکاری را از بین می‌برد.</w:t>
      </w:r>
    </w:p>
    <w:p>
      <w:pPr>
        <w:spacing w:after="28" w:line="216" w:lineRule="auto"/>
        <w:ind w:left="259"/>
        <w:jc w:val="left"/>
      </w:pPr>
      <w:r>
        <w:rPr>
          <w:rFonts w:ascii="Arial" w:hAnsi="Arial"/>
          <w:color w:val="525252"/>
          <w:sz w:val="13"/>
        </w:rPr>
        <w:t>To reduce power-play behavior, leaders should reemphasize each team member’s specific roles and responsibilities, which eliminates potential barriers to cooperation.</w:t>
      </w:r>
    </w:p>
    <w:p>
      <w:pPr>
        <w:spacing w:before="60" w:after="28"/>
        <w:jc w:val="right"/>
        <w:bidi/>
      </w:pPr>
      <w:r>
        <w:rPr>
          <w:b/>
          <w:color w:val="1F4D78"/>
          <w:sz w:val="18"/>
        </w:rPr>
        <w:t>14.2. مراحل تیم سازی</w:t>
      </w:r>
    </w:p>
    <w:p>
      <w:pPr>
        <w:spacing w:after="20"/>
        <w:ind w:left="259"/>
        <w:jc w:val="left"/>
      </w:pPr>
      <w:r>
        <w:rPr>
          <w:color w:val="555555"/>
          <w:sz w:val="12"/>
        </w:rPr>
        <w:t>14.2. Stages of Team Building</w:t>
      </w:r>
    </w:p>
    <w:p>
      <w:pPr>
        <w:spacing w:after="20" w:line="223" w:lineRule="auto"/>
        <w:jc w:val="right"/>
        <w:bidi/>
      </w:pPr>
      <w:r>
        <w:rPr>
          <w:rFonts w:ascii="Arial" w:hAnsi="Arial"/>
          <w:sz w:val="16"/>
        </w:rPr>
        <w:t>245.23  مراحل معمولی یا پویایی تیمی که گروه‌ها یا تیم‌ها تجربه می‌کنند عادی و اغلب اجتناب ناپذیر هستند.</w:t>
      </w:r>
    </w:p>
    <w:p>
      <w:pPr>
        <w:spacing w:after="28" w:line="216" w:lineRule="auto"/>
        <w:ind w:left="259"/>
        <w:jc w:val="left"/>
      </w:pPr>
      <w:r>
        <w:rPr>
          <w:rFonts w:ascii="Arial" w:hAnsi="Arial"/>
          <w:color w:val="525252"/>
          <w:sz w:val="13"/>
        </w:rPr>
        <w:t>The typical stages or team dynamics that groups or teams experience are normal and often inevitable.</w:t>
      </w:r>
    </w:p>
    <w:p>
      <w:pPr>
        <w:spacing w:after="20" w:line="223" w:lineRule="auto"/>
        <w:jc w:val="right"/>
        <w:bidi/>
      </w:pPr>
      <w:r>
        <w:rPr>
          <w:rFonts w:ascii="Arial" w:hAnsi="Arial"/>
          <w:sz w:val="16"/>
        </w:rPr>
        <w:t>245.24  چهار مرحله‌ای که اغلب توسط تیم‌ها تجربه می‌شود عبارتند از: تشکیل، طوفان، هنجارسازی و اجرا.</w:t>
      </w:r>
    </w:p>
    <w:p>
      <w:pPr>
        <w:spacing w:after="28" w:line="216" w:lineRule="auto"/>
        <w:ind w:left="259"/>
        <w:jc w:val="left"/>
      </w:pPr>
      <w:r>
        <w:rPr>
          <w:rFonts w:ascii="Arial" w:hAnsi="Arial"/>
          <w:color w:val="525252"/>
          <w:sz w:val="13"/>
        </w:rPr>
        <w:t>The four stages most often experienced by teams are: forming, storming, norming, and performing.</w:t>
      </w:r>
    </w:p>
    <w:p>
      <w:pPr>
        <w:spacing w:after="20" w:line="223" w:lineRule="auto"/>
        <w:jc w:val="right"/>
        <w:bidi/>
      </w:pPr>
      <w:r>
        <w:rPr>
          <w:rFonts w:ascii="Arial" w:hAnsi="Arial"/>
          <w:sz w:val="16"/>
        </w:rPr>
        <w:t>245.25  شکل دهی.</w:t>
      </w:r>
    </w:p>
    <w:p>
      <w:pPr>
        <w:spacing w:after="28" w:line="216" w:lineRule="auto"/>
        <w:ind w:left="259"/>
        <w:jc w:val="left"/>
      </w:pPr>
      <w:r>
        <w:rPr>
          <w:rFonts w:ascii="Arial" w:hAnsi="Arial"/>
          <w:color w:val="525252"/>
          <w:sz w:val="13"/>
        </w:rPr>
        <w:t>Forming.</w:t>
      </w:r>
    </w:p>
    <w:p>
      <w:pPr>
        <w:spacing w:after="20" w:line="223" w:lineRule="auto"/>
        <w:jc w:val="right"/>
        <w:bidi/>
      </w:pPr>
      <w:r>
        <w:rPr>
          <w:rFonts w:ascii="Arial" w:hAnsi="Arial"/>
          <w:sz w:val="16"/>
        </w:rPr>
        <w:t>245.26  تشکیل دوره اولیه عدم قطعیت است که در آن افراد سعی می‌کنند جایگاه خود را در یک تیم مشخص کنند و رویه‌ها و قوانین تیم را ایجاد یا بپذیرند.</w:t>
      </w:r>
    </w:p>
    <w:p>
      <w:pPr>
        <w:spacing w:after="28" w:line="216" w:lineRule="auto"/>
        <w:ind w:left="259"/>
        <w:jc w:val="left"/>
      </w:pPr>
      <w:r>
        <w:rPr>
          <w:rFonts w:ascii="Arial" w:hAnsi="Arial"/>
          <w:color w:val="525252"/>
          <w:sz w:val="13"/>
        </w:rPr>
        <w:t>Forming is the initial period of uncertainty in which individuals try to determine their place on a team and establish or accept the procedures and rules of the team.</w:t>
      </w:r>
    </w:p>
    <w:p>
      <w:pPr>
        <w:spacing w:after="20" w:line="223" w:lineRule="auto"/>
        <w:jc w:val="right"/>
        <w:bidi/>
      </w:pPr>
      <w:r>
        <w:rPr>
          <w:rFonts w:ascii="Arial" w:hAnsi="Arial"/>
          <w:sz w:val="16"/>
        </w:rPr>
        <w:t>245.27  هنگامی که یک تیم در حال شکل گیری است، اعضا با احتیاط مرزهای رفتار گروه قابل قبول را به طرق مختلف بررسی می‌کنند.</w:t>
      </w:r>
    </w:p>
    <w:p>
      <w:pPr>
        <w:spacing w:after="28" w:line="216" w:lineRule="auto"/>
        <w:ind w:left="259"/>
        <w:jc w:val="left"/>
      </w:pPr>
      <w:r>
        <w:rPr>
          <w:rFonts w:ascii="Arial" w:hAnsi="Arial"/>
          <w:color w:val="525252"/>
          <w:sz w:val="13"/>
        </w:rPr>
        <w:t>When a team is forming, members cautiously explore the boundaries of acceptable group behavior in various ways.</w:t>
      </w:r>
    </w:p>
    <w:p>
      <w:pPr>
        <w:spacing w:after="20" w:line="223" w:lineRule="auto"/>
        <w:jc w:val="right"/>
        <w:bidi/>
      </w:pPr>
      <w:r>
        <w:rPr>
          <w:rFonts w:ascii="Arial" w:hAnsi="Arial"/>
          <w:sz w:val="16"/>
        </w:rPr>
        <w:t>245.28  مرحله شکل‌گیری زمانی است که انتقال از وضعیت فردی به عضویت اتفاق می‌افتد و زمانی که راهنمایی یک رهبر ممکن است به صورت رسمی و غیر رسمی آزمایش شود.</w:t>
      </w:r>
    </w:p>
    <w:p>
      <w:pPr>
        <w:spacing w:after="28" w:line="216" w:lineRule="auto"/>
        <w:ind w:left="259"/>
        <w:jc w:val="left"/>
      </w:pPr>
      <w:r>
        <w:rPr>
          <w:rFonts w:ascii="Arial" w:hAnsi="Arial"/>
          <w:color w:val="525252"/>
          <w:sz w:val="13"/>
        </w:rPr>
        <w:t>The forming stage is when the transition from individual to member status occurs and when a leader’s guidance may be tested, both formally and informally.</w:t>
      </w:r>
    </w:p>
    <w:p>
      <w:pPr>
        <w:spacing w:after="20" w:line="223" w:lineRule="auto"/>
        <w:jc w:val="right"/>
        <w:bidi/>
      </w:pPr>
      <w:r>
        <w:rPr>
          <w:rFonts w:ascii="Arial" w:hAnsi="Arial"/>
          <w:sz w:val="16"/>
        </w:rPr>
        <w:t>245.29  طوفان.</w:t>
      </w:r>
    </w:p>
    <w:p>
      <w:pPr>
        <w:spacing w:after="28" w:line="216" w:lineRule="auto"/>
        <w:ind w:left="259"/>
        <w:jc w:val="left"/>
      </w:pPr>
      <w:r>
        <w:rPr>
          <w:rFonts w:ascii="Arial" w:hAnsi="Arial"/>
          <w:color w:val="525252"/>
          <w:sz w:val="13"/>
        </w:rPr>
        <w:t>Storming.</w:t>
      </w:r>
    </w:p>
    <w:p>
      <w:pPr>
        <w:spacing w:after="20" w:line="223" w:lineRule="auto"/>
        <w:jc w:val="right"/>
        <w:bidi/>
      </w:pPr>
      <w:r>
        <w:rPr>
          <w:rFonts w:ascii="Arial" w:hAnsi="Arial"/>
          <w:sz w:val="16"/>
        </w:rPr>
        <w:t>245.30  در طول مرحله طوفان، درگیری‌ها شروع می‌شود زیرا اعضا تمایل دارند در برابر نفوذ تیم مقاومت کنند و در برابر انجام وظیفه شورش کنند.</w:t>
      </w:r>
    </w:p>
    <w:p>
      <w:pPr>
        <w:spacing w:after="28" w:line="216" w:lineRule="auto"/>
        <w:ind w:left="259"/>
        <w:jc w:val="left"/>
      </w:pPr>
      <w:r>
        <w:rPr>
          <w:rFonts w:ascii="Arial" w:hAnsi="Arial"/>
          <w:color w:val="525252"/>
          <w:sz w:val="13"/>
        </w:rPr>
        <w:t>During the storming stage, conflicts begin to arise as members tend to resist the influence of the team and rebel against accomplishing the task.</w:t>
      </w:r>
    </w:p>
    <w:p>
      <w:pPr>
        <w:spacing w:after="20" w:line="223" w:lineRule="auto"/>
        <w:jc w:val="right"/>
        <w:bidi/>
      </w:pPr>
      <w:r>
        <w:rPr>
          <w:rFonts w:ascii="Arial" w:hAnsi="Arial"/>
          <w:sz w:val="16"/>
        </w:rPr>
        <w:t>245.31  طوفان احتمالا سخت‌ترین مرحله است، زمانی که برخی از اعضای تیم متوجه می‌شوند که کار متفاوت و دشوارتر از آن چیزی است که در ابتدا انتظار داشتند.</w:t>
      </w:r>
    </w:p>
    <w:p>
      <w:pPr>
        <w:spacing w:after="28" w:line="216" w:lineRule="auto"/>
        <w:ind w:left="259"/>
        <w:jc w:val="left"/>
      </w:pPr>
      <w:r>
        <w:rPr>
          <w:rFonts w:ascii="Arial" w:hAnsi="Arial"/>
          <w:color w:val="525252"/>
          <w:sz w:val="13"/>
        </w:rPr>
        <w:t>Storming is probably the most difficult stage when some team members begin to realize the task is different and more difficult than they initially expected.</w:t>
      </w:r>
    </w:p>
    <w:p>
      <w:pPr>
        <w:spacing w:after="20" w:line="223" w:lineRule="auto"/>
        <w:jc w:val="right"/>
        <w:bidi/>
      </w:pPr>
      <w:r>
        <w:rPr>
          <w:rFonts w:ascii="Arial" w:hAnsi="Arial"/>
          <w:sz w:val="16"/>
        </w:rPr>
        <w:t>245.32  اعضایی که نسبت به عدم پیشرفت بی‌صبر هستند، اما هنوز برای دانستن چیزهای زیادی در مورد تصمیم‌گیری یا رویکرد علمی، بی‌تجربه هستند، درباره اینکه تیم دقیقا چه اقداماتی باید انجام دهد بحث می‌کنند.</w:t>
      </w:r>
    </w:p>
    <w:p>
      <w:pPr>
        <w:spacing w:after="28" w:line="216" w:lineRule="auto"/>
        <w:ind w:left="259"/>
        <w:jc w:val="left"/>
      </w:pPr>
      <w:r>
        <w:rPr>
          <w:rFonts w:ascii="Arial" w:hAnsi="Arial"/>
          <w:color w:val="525252"/>
          <w:sz w:val="13"/>
        </w:rPr>
        <w:t>Impatient about the lack of progress, but still too inexperienced to know much about decision-making or the scientific approach, members argue about just what actions the team should take.</w:t>
      </w:r>
    </w:p>
    <w:p>
      <w:pPr>
        <w:spacing w:after="20" w:line="223" w:lineRule="auto"/>
        <w:jc w:val="right"/>
        <w:bidi/>
      </w:pPr>
      <w:r>
        <w:rPr>
          <w:rFonts w:ascii="Arial" w:hAnsi="Arial"/>
          <w:sz w:val="16"/>
        </w:rPr>
        <w:t>245.33  اعضای تیم ممکن است سعی کنند صرفا بر تجربه شخصی خود تکیه کنند، بنابراین از نیاز به همکاری با سایر اعضای تیم اجتناب می‌کنند.</w:t>
      </w:r>
    </w:p>
    <w:p>
      <w:pPr>
        <w:spacing w:after="28" w:line="216" w:lineRule="auto"/>
        <w:ind w:left="259"/>
        <w:jc w:val="left"/>
      </w:pPr>
      <w:r>
        <w:rPr>
          <w:rFonts w:ascii="Arial" w:hAnsi="Arial"/>
          <w:color w:val="525252"/>
          <w:sz w:val="13"/>
        </w:rPr>
        <w:t>Team members may try to rely solely on their personal experience, thus avoiding the need for collaboration with other team members.</w:t>
      </w:r>
    </w:p>
    <w:p>
      <w:pPr>
        <w:spacing w:after="20" w:line="223" w:lineRule="auto"/>
        <w:jc w:val="right"/>
        <w:bidi/>
      </w:pPr>
      <w:r>
        <w:rPr>
          <w:rFonts w:ascii="Arial" w:hAnsi="Arial"/>
          <w:sz w:val="16"/>
        </w:rPr>
        <w:t>245.34  صرف نظر از تنش‌ها، در مرحله طوفان، اعضای تیم شروع به درک یکدیگر می‌کنند.</w:t>
      </w:r>
    </w:p>
    <w:p>
      <w:pPr>
        <w:spacing w:after="28" w:line="216" w:lineRule="auto"/>
        <w:ind w:left="259"/>
        <w:jc w:val="left"/>
      </w:pPr>
      <w:r>
        <w:rPr>
          <w:rFonts w:ascii="Arial" w:hAnsi="Arial"/>
          <w:color w:val="525252"/>
          <w:sz w:val="13"/>
        </w:rPr>
        <w:t>Regardless of tensions, during the storming stage, team members are beginning to understand one another.</w:t>
      </w:r>
    </w:p>
    <w:p>
      <w:pPr>
        <w:spacing w:after="20" w:line="223" w:lineRule="auto"/>
        <w:jc w:val="right"/>
        <w:bidi/>
      </w:pPr>
      <w:r>
        <w:rPr>
          <w:rFonts w:ascii="Arial" w:hAnsi="Arial"/>
          <w:sz w:val="16"/>
        </w:rPr>
        <w:t>245.35  هنجارسازی.</w:t>
      </w:r>
    </w:p>
    <w:p>
      <w:pPr>
        <w:spacing w:after="28" w:line="216" w:lineRule="auto"/>
        <w:ind w:left="259"/>
        <w:jc w:val="left"/>
      </w:pPr>
      <w:r>
        <w:rPr>
          <w:rFonts w:ascii="Arial" w:hAnsi="Arial"/>
          <w:color w:val="525252"/>
          <w:sz w:val="13"/>
        </w:rPr>
        <w:t>Norming.</w:t>
      </w:r>
    </w:p>
    <w:p>
      <w:pPr>
        <w:spacing w:after="20" w:line="223" w:lineRule="auto"/>
        <w:jc w:val="right"/>
        <w:bidi/>
      </w:pPr>
      <w:r>
        <w:rPr>
          <w:rFonts w:ascii="Arial" w:hAnsi="Arial"/>
          <w:sz w:val="16"/>
        </w:rPr>
        <w:t>245.36  در مرحله هنجارسازی، اعضای تیم انسجام و تعهد را ایجاد می‌کنند، راه‌های جدیدی برای کار با هم پیدا می‌کنند و هنجارهایی را برای رفتار مناسب تعیین می‌کنند.</w:t>
      </w:r>
    </w:p>
    <w:p>
      <w:pPr>
        <w:spacing w:after="28" w:line="216" w:lineRule="auto"/>
        <w:ind w:left="259"/>
        <w:jc w:val="left"/>
      </w:pPr>
      <w:r>
        <w:rPr>
          <w:rFonts w:ascii="Arial" w:hAnsi="Arial"/>
          <w:color w:val="525252"/>
          <w:sz w:val="13"/>
        </w:rPr>
        <w:t>During the norming stage, team members establish cohesiveness and commitment, discovering new ways of working together and setting norms for appropriate behavior.</w:t>
      </w:r>
    </w:p>
    <w:p>
      <w:pPr>
        <w:spacing w:after="20" w:line="223" w:lineRule="auto"/>
        <w:jc w:val="right"/>
        <w:bidi/>
      </w:pPr>
      <w:r>
        <w:rPr>
          <w:rFonts w:ascii="Arial" w:hAnsi="Arial"/>
          <w:sz w:val="16"/>
        </w:rPr>
        <w:t>245.37  در طول مرحله هنجارسازی، اعضا وفاداری‌ها و مسئولیت‌های رقابتی را با هم تطبیق می‌دهند و شروع به پذیرش تیم، قوانین (هنجارهای) اصلی تیم و نقش‌های آنها در تیم و فردیت اعضای دیگر می‌کنند.</w:t>
      </w:r>
    </w:p>
    <w:p>
      <w:pPr>
        <w:spacing w:after="28" w:line="216" w:lineRule="auto"/>
        <w:ind w:left="259"/>
        <w:jc w:val="left"/>
      </w:pPr>
      <w:r>
        <w:rPr>
          <w:rFonts w:ascii="Arial" w:hAnsi="Arial"/>
          <w:color w:val="525252"/>
          <w:sz w:val="13"/>
        </w:rPr>
        <w:t>During the norming stage, members reconcile competing loyalties and responsibilities and begin to accept the team, team ground rules (norms), and their roles in the team, and the individuality of fellow members.</w:t>
      </w:r>
    </w:p>
    <w:p>
      <w:pPr>
        <w:spacing w:after="20" w:line="223" w:lineRule="auto"/>
        <w:jc w:val="right"/>
        <w:bidi/>
      </w:pPr>
      <w:r>
        <w:rPr>
          <w:rFonts w:ascii="Arial" w:hAnsi="Arial"/>
          <w:sz w:val="16"/>
        </w:rPr>
        <w:t>245.38  با همکاری بیشتر روابط رقابتی، تعارض عاطفی کاهش می‌یابد.</w:t>
      </w:r>
    </w:p>
    <w:p>
      <w:pPr>
        <w:spacing w:after="28" w:line="216" w:lineRule="auto"/>
        <w:ind w:left="259"/>
        <w:jc w:val="left"/>
      </w:pPr>
      <w:r>
        <w:rPr>
          <w:rFonts w:ascii="Arial" w:hAnsi="Arial"/>
          <w:color w:val="525252"/>
          <w:sz w:val="13"/>
        </w:rPr>
        <w:t>Emotional conflict is reduced as competitive relationships become more cooperative.</w:t>
      </w:r>
    </w:p>
    <w:p>
      <w:pPr>
        <w:spacing w:after="20" w:line="223" w:lineRule="auto"/>
        <w:jc w:val="right"/>
        <w:bidi/>
      </w:pPr>
      <w:r>
        <w:rPr>
          <w:rFonts w:ascii="Arial" w:hAnsi="Arial"/>
          <w:sz w:val="16"/>
        </w:rPr>
        <w:t>245.39  وقتی تیم شروع به حل اختلافات خود می‌کند، زمان و انرژی بیشتری را روی تیم متمرکز می‌کند.</w:t>
      </w:r>
    </w:p>
    <w:p>
      <w:pPr>
        <w:spacing w:after="28" w:line="216" w:lineRule="auto"/>
        <w:ind w:left="259"/>
        <w:jc w:val="left"/>
      </w:pPr>
      <w:r>
        <w:rPr>
          <w:rFonts w:ascii="Arial" w:hAnsi="Arial"/>
          <w:color w:val="525252"/>
          <w:sz w:val="13"/>
        </w:rPr>
        <w:t>As the team begins to work out their differences, they focus more time and energy on the team</w:t>
      </w:r>
    </w:p>
    <w:p>
      <w:r>
        <w:br w:type="page"/>
      </w:r>
    </w:p>
    <w:p>
      <w:pPr>
        <w:spacing w:after="60"/>
        <w:jc w:val="right"/>
        <w:bidi/>
      </w:pPr>
      <w:r>
        <w:rPr>
          <w:rFonts w:ascii="Arial" w:hAnsi="Arial"/>
          <w:b/>
          <w:color w:val="1F4D78"/>
          <w:sz w:val="19"/>
        </w:rPr>
        <w:t>هفتهٔ 246  |  صفحهٔ منبع: 262</w:t>
      </w:r>
    </w:p>
    <w:p>
      <w:pPr>
        <w:spacing w:after="20" w:line="223" w:lineRule="auto"/>
        <w:jc w:val="right"/>
        <w:bidi/>
      </w:pPr>
      <w:r>
        <w:rPr>
          <w:rFonts w:ascii="Arial" w:hAnsi="Arial"/>
          <w:sz w:val="16"/>
        </w:rPr>
        <w:t>246.01  هدف</w:t>
      </w:r>
    </w:p>
    <w:p>
      <w:pPr>
        <w:spacing w:after="28" w:line="216" w:lineRule="auto"/>
        <w:ind w:left="259"/>
        <w:jc w:val="left"/>
      </w:pPr>
      <w:r>
        <w:rPr>
          <w:rFonts w:ascii="Arial" w:hAnsi="Arial"/>
          <w:color w:val="525252"/>
          <w:sz w:val="13"/>
        </w:rPr>
        <w:t>objective.</w:t>
      </w:r>
    </w:p>
    <w:p>
      <w:pPr>
        <w:spacing w:after="20" w:line="223" w:lineRule="auto"/>
        <w:jc w:val="right"/>
        <w:bidi/>
      </w:pPr>
      <w:r>
        <w:rPr>
          <w:rFonts w:ascii="Arial" w:hAnsi="Arial"/>
          <w:sz w:val="16"/>
        </w:rPr>
        <w:t>246.02  در حال اجرا.</w:t>
      </w:r>
    </w:p>
    <w:p>
      <w:pPr>
        <w:spacing w:after="28" w:line="216" w:lineRule="auto"/>
        <w:ind w:left="259"/>
        <w:jc w:val="left"/>
      </w:pPr>
      <w:r>
        <w:rPr>
          <w:rFonts w:ascii="Arial" w:hAnsi="Arial"/>
          <w:color w:val="525252"/>
          <w:sz w:val="13"/>
        </w:rPr>
        <w:t>Performing.</w:t>
      </w:r>
    </w:p>
    <w:p>
      <w:pPr>
        <w:spacing w:after="20" w:line="223" w:lineRule="auto"/>
        <w:jc w:val="right"/>
        <w:bidi/>
      </w:pPr>
      <w:r>
        <w:rPr>
          <w:rFonts w:ascii="Arial" w:hAnsi="Arial"/>
          <w:sz w:val="16"/>
        </w:rPr>
        <w:t>246.03  در مرحله اجرا، تیم در دستیابی به اهداف خود مهارت پیدا می‌کند و در الگوهای کار مشترک انعطاف‌پذیرتر می‌شود.</w:t>
      </w:r>
    </w:p>
    <w:p>
      <w:pPr>
        <w:spacing w:after="28" w:line="216" w:lineRule="auto"/>
        <w:ind w:left="259"/>
        <w:jc w:val="left"/>
      </w:pPr>
      <w:r>
        <w:rPr>
          <w:rFonts w:ascii="Arial" w:hAnsi="Arial"/>
          <w:color w:val="525252"/>
          <w:sz w:val="13"/>
        </w:rPr>
        <w:t>In the performing stage, the team develops proficiency in achieving its goals and becomes more flexible in its patterns of working together.</w:t>
      </w:r>
    </w:p>
    <w:p>
      <w:pPr>
        <w:spacing w:after="20" w:line="223" w:lineRule="auto"/>
        <w:jc w:val="right"/>
        <w:bidi/>
      </w:pPr>
      <w:r>
        <w:rPr>
          <w:rFonts w:ascii="Arial" w:hAnsi="Arial"/>
          <w:sz w:val="16"/>
        </w:rPr>
        <w:t>246.04  در مرحله اجرا، تیم روابط و انتظارات خود را حل و فصل کرده و می‌تواند تشخیص و حل مشکلات و انتخاب و اعمال تغییرات را آغاز کند.</w:t>
      </w:r>
    </w:p>
    <w:p>
      <w:pPr>
        <w:spacing w:after="28" w:line="216" w:lineRule="auto"/>
        <w:ind w:left="259"/>
        <w:jc w:val="left"/>
      </w:pPr>
      <w:r>
        <w:rPr>
          <w:rFonts w:ascii="Arial" w:hAnsi="Arial"/>
          <w:color w:val="525252"/>
          <w:sz w:val="13"/>
        </w:rPr>
        <w:t>By the performing stage, the team has settled its relationships and expectations and can begin diagnosing and solving problems and choosing and implementing changes.</w:t>
      </w:r>
    </w:p>
    <w:p>
      <w:pPr>
        <w:spacing w:after="20" w:line="223" w:lineRule="auto"/>
        <w:jc w:val="right"/>
        <w:bidi/>
      </w:pPr>
      <w:r>
        <w:rPr>
          <w:rFonts w:ascii="Arial" w:hAnsi="Arial"/>
          <w:sz w:val="16"/>
        </w:rPr>
        <w:t>246.05  سرانجام، اعضای تیم نقاط قوت و ضعف یکدیگر را کشف کرده و پذیرفته‌اند و نقش آنها را یاد گرفته و پذیرفته‌اند.</w:t>
      </w:r>
    </w:p>
    <w:p>
      <w:pPr>
        <w:spacing w:after="28" w:line="216" w:lineRule="auto"/>
        <w:ind w:left="259"/>
        <w:jc w:val="left"/>
      </w:pPr>
      <w:r>
        <w:rPr>
          <w:rFonts w:ascii="Arial" w:hAnsi="Arial"/>
          <w:color w:val="525252"/>
          <w:sz w:val="13"/>
        </w:rPr>
        <w:t>At last, team members have discovered and accepted each other’s strengths and weaknesses and learned and embraced their roles.</w:t>
      </w:r>
    </w:p>
    <w:p>
      <w:pPr>
        <w:spacing w:after="20" w:line="223" w:lineRule="auto"/>
        <w:jc w:val="right"/>
        <w:bidi/>
      </w:pPr>
      <w:r>
        <w:rPr>
          <w:rFonts w:ascii="Arial" w:hAnsi="Arial"/>
          <w:sz w:val="16"/>
        </w:rPr>
        <w:t>246.06  در مرحله اجرا، تیم را می‌توان واحدی مؤثر، منسجم و سازنده دانست.</w:t>
      </w:r>
    </w:p>
    <w:p>
      <w:pPr>
        <w:spacing w:after="28" w:line="216" w:lineRule="auto"/>
        <w:ind w:left="259"/>
        <w:jc w:val="left"/>
      </w:pPr>
      <w:r>
        <w:rPr>
          <w:rFonts w:ascii="Arial" w:hAnsi="Arial"/>
          <w:color w:val="525252"/>
          <w:sz w:val="13"/>
        </w:rPr>
        <w:t>In the performing stage, the team can be considered to be an effective, cohesive, and productive unit.</w:t>
      </w:r>
    </w:p>
    <w:p>
      <w:pPr>
        <w:spacing w:before="60" w:after="28"/>
        <w:jc w:val="right"/>
        <w:bidi/>
      </w:pPr>
      <w:r>
        <w:rPr>
          <w:b/>
          <w:color w:val="1F4D78"/>
          <w:sz w:val="18"/>
        </w:rPr>
        <w:t>14.3. مدیریت تعارض</w:t>
      </w:r>
    </w:p>
    <w:p>
      <w:pPr>
        <w:spacing w:after="20"/>
        <w:ind w:left="259"/>
        <w:jc w:val="left"/>
      </w:pPr>
      <w:r>
        <w:rPr>
          <w:color w:val="555555"/>
          <w:sz w:val="12"/>
        </w:rPr>
        <w:t>14.3. Conflict Management</w:t>
      </w:r>
    </w:p>
    <w:p>
      <w:pPr>
        <w:spacing w:after="20" w:line="223" w:lineRule="auto"/>
        <w:jc w:val="right"/>
        <w:bidi/>
      </w:pPr>
      <w:r>
        <w:rPr>
          <w:rFonts w:ascii="Arial" w:hAnsi="Arial"/>
          <w:sz w:val="16"/>
        </w:rPr>
        <w:t>246.08  تعارض در هر سازمانی اجتناب ناپذیر است و اغلب برای رسیدن به سطوح بالای عملکرد ضروری است.</w:t>
      </w:r>
    </w:p>
    <w:p>
      <w:pPr>
        <w:spacing w:after="28" w:line="216" w:lineRule="auto"/>
        <w:ind w:left="259"/>
        <w:jc w:val="left"/>
      </w:pPr>
      <w:r>
        <w:rPr>
          <w:rFonts w:ascii="Arial" w:hAnsi="Arial"/>
          <w:color w:val="525252"/>
          <w:sz w:val="13"/>
        </w:rPr>
        <w:t>Conflict is inevitable in every organization and is often necessary to reach high levels of performance.</w:t>
      </w:r>
    </w:p>
    <w:p>
      <w:pPr>
        <w:spacing w:after="20" w:line="223" w:lineRule="auto"/>
        <w:jc w:val="right"/>
        <w:bidi/>
      </w:pPr>
      <w:r>
        <w:rPr>
          <w:rFonts w:ascii="Arial" w:hAnsi="Arial"/>
          <w:sz w:val="16"/>
        </w:rPr>
        <w:t>246.09  تعارض شامل اختلافات بین احزاب است که منجر به دخالت یا مخالفت می‌شود.</w:t>
      </w:r>
    </w:p>
    <w:p>
      <w:pPr>
        <w:spacing w:after="28" w:line="216" w:lineRule="auto"/>
        <w:ind w:left="259"/>
        <w:jc w:val="left"/>
      </w:pPr>
      <w:r>
        <w:rPr>
          <w:rFonts w:ascii="Arial" w:hAnsi="Arial"/>
          <w:color w:val="525252"/>
          <w:sz w:val="13"/>
        </w:rPr>
        <w:t>Conflict involves differences between parties that result in interference or opposition.</w:t>
      </w:r>
    </w:p>
    <w:p>
      <w:pPr>
        <w:spacing w:after="20" w:line="223" w:lineRule="auto"/>
        <w:jc w:val="right"/>
        <w:bidi/>
      </w:pPr>
      <w:r>
        <w:rPr>
          <w:rFonts w:ascii="Arial" w:hAnsi="Arial"/>
          <w:sz w:val="16"/>
        </w:rPr>
        <w:t>246.10  چنین تفاوت هایی می‌تواند باعث تغییرات مثبت یا کاهش بهره وری شود.</w:t>
      </w:r>
    </w:p>
    <w:p>
      <w:pPr>
        <w:spacing w:after="28" w:line="216" w:lineRule="auto"/>
        <w:ind w:left="259"/>
        <w:jc w:val="left"/>
      </w:pPr>
      <w:r>
        <w:rPr>
          <w:rFonts w:ascii="Arial" w:hAnsi="Arial"/>
          <w:color w:val="525252"/>
          <w:sz w:val="13"/>
        </w:rPr>
        <w:t>Such differences can cause positive change or can decrease productivity.</w:t>
      </w:r>
    </w:p>
    <w:p>
      <w:pPr>
        <w:spacing w:after="20" w:line="223" w:lineRule="auto"/>
        <w:jc w:val="right"/>
        <w:bidi/>
      </w:pPr>
      <w:r>
        <w:rPr>
          <w:rFonts w:ascii="Arial" w:hAnsi="Arial"/>
          <w:sz w:val="16"/>
        </w:rPr>
        <w:t>246.11  تعارض مثبت منجر به پرداختن به مشکلات برای راه‌حل، درک بیشتر و افزایش ارتباطات بین افراد یا گروه‌ها می‌شود.</w:t>
      </w:r>
    </w:p>
    <w:p>
      <w:pPr>
        <w:spacing w:after="28" w:line="216" w:lineRule="auto"/>
        <w:ind w:left="259"/>
        <w:jc w:val="left"/>
      </w:pPr>
      <w:r>
        <w:rPr>
          <w:rFonts w:ascii="Arial" w:hAnsi="Arial"/>
          <w:color w:val="525252"/>
          <w:sz w:val="13"/>
        </w:rPr>
        <w:t>Positive conflict results in addressing problems for a solution, greater understanding, and enhanced communication between individuals or groups.</w:t>
      </w:r>
    </w:p>
    <w:p>
      <w:pPr>
        <w:spacing w:after="20" w:line="223" w:lineRule="auto"/>
        <w:jc w:val="right"/>
        <w:bidi/>
      </w:pPr>
      <w:r>
        <w:rPr>
          <w:rFonts w:ascii="Arial" w:hAnsi="Arial"/>
          <w:sz w:val="16"/>
        </w:rPr>
        <w:t>246.12  تعارض زمانی می‌تواند سازنده باشد که به‌طور مؤثر مدیریت شود.</w:t>
      </w:r>
    </w:p>
    <w:p>
      <w:pPr>
        <w:spacing w:after="28" w:line="216" w:lineRule="auto"/>
        <w:ind w:left="259"/>
        <w:jc w:val="left"/>
      </w:pPr>
      <w:r>
        <w:rPr>
          <w:rFonts w:ascii="Arial" w:hAnsi="Arial"/>
          <w:color w:val="525252"/>
          <w:sz w:val="13"/>
        </w:rPr>
        <w:t>Conflict can be constructive when managed effectively.</w:t>
      </w:r>
    </w:p>
    <w:p>
      <w:pPr>
        <w:spacing w:after="20" w:line="223" w:lineRule="auto"/>
        <w:jc w:val="right"/>
        <w:bidi/>
      </w:pPr>
      <w:r>
        <w:rPr>
          <w:rFonts w:ascii="Arial" w:hAnsi="Arial"/>
          <w:sz w:val="16"/>
        </w:rPr>
        <w:t>246.13  تعارض زمانی مخرب می‌شود که منجر به موانع همکاری و ارتباط شود، در نتیجه روحیه را پایین می‌آورد و توجه را از وظایف منحرف می‌کند.</w:t>
      </w:r>
    </w:p>
    <w:p>
      <w:pPr>
        <w:spacing w:after="28" w:line="216" w:lineRule="auto"/>
        <w:ind w:left="259"/>
        <w:jc w:val="left"/>
      </w:pPr>
      <w:r>
        <w:rPr>
          <w:rFonts w:ascii="Arial" w:hAnsi="Arial"/>
          <w:color w:val="525252"/>
          <w:sz w:val="13"/>
        </w:rPr>
        <w:t>Conflict becomes destructive when it results in barriers to cooperation and communication, thus degrading morale and diverting attention from tasks.</w:t>
      </w:r>
    </w:p>
    <w:p>
      <w:pPr>
        <w:spacing w:after="20" w:line="223" w:lineRule="auto"/>
        <w:jc w:val="right"/>
        <w:bidi/>
      </w:pPr>
      <w:r>
        <w:rPr>
          <w:rFonts w:ascii="Arial" w:hAnsi="Arial"/>
          <w:sz w:val="16"/>
        </w:rPr>
        <w:t>246.14  در مواقعی، مدیران تمایل دارند به دلیل پیامدهای منفی احتمالی از تعارض اجتناب کنند. با این حال، مدیریت تعارض به‌طور مؤثر با کاهش ابهام و تحریک بهره‌وری با نگاه سازنده به گزینه‌ها، به سازمان منفعت می‌رساند.</w:t>
      </w:r>
    </w:p>
    <w:p>
      <w:pPr>
        <w:spacing w:after="28" w:line="216" w:lineRule="auto"/>
        <w:ind w:left="259"/>
        <w:jc w:val="left"/>
      </w:pPr>
      <w:r>
        <w:rPr>
          <w:rFonts w:ascii="Arial" w:hAnsi="Arial"/>
          <w:color w:val="525252"/>
          <w:sz w:val="13"/>
        </w:rPr>
        <w:t>At times, managers tend to avoid conflict because of possible negative repercussions; however, managing conflict effectively benefits the organization by reducing ambiguity and stimulating productivity by constructively looking at alternatives.</w:t>
      </w:r>
    </w:p>
    <w:p>
      <w:pPr>
        <w:spacing w:before="60" w:after="28"/>
        <w:jc w:val="right"/>
        <w:bidi/>
      </w:pPr>
      <w:r>
        <w:rPr>
          <w:b/>
          <w:color w:val="1F4D78"/>
          <w:sz w:val="18"/>
        </w:rPr>
        <w:t>14.4. منابع تعارض</w:t>
      </w:r>
    </w:p>
    <w:p>
      <w:pPr>
        <w:spacing w:after="20"/>
        <w:ind w:left="259"/>
        <w:jc w:val="left"/>
      </w:pPr>
      <w:r>
        <w:rPr>
          <w:color w:val="555555"/>
          <w:sz w:val="12"/>
        </w:rPr>
        <w:t>14.4. Sources of Conflict</w:t>
      </w:r>
    </w:p>
    <w:p>
      <w:pPr>
        <w:spacing w:after="20" w:line="223" w:lineRule="auto"/>
        <w:jc w:val="right"/>
        <w:bidi/>
      </w:pPr>
      <w:r>
        <w:rPr>
          <w:rFonts w:ascii="Arial" w:hAnsi="Arial"/>
          <w:sz w:val="16"/>
        </w:rPr>
        <w:t>246.16  تعارض به‌عنوان مبارزه یا اختلاف طولانی تعریف می‌شود.</w:t>
      </w:r>
    </w:p>
    <w:p>
      <w:pPr>
        <w:spacing w:after="28" w:line="216" w:lineRule="auto"/>
        <w:ind w:left="259"/>
        <w:jc w:val="left"/>
      </w:pPr>
      <w:r>
        <w:rPr>
          <w:rFonts w:ascii="Arial" w:hAnsi="Arial"/>
          <w:color w:val="525252"/>
          <w:sz w:val="13"/>
        </w:rPr>
        <w:t>Conflict is defined as extended struggle or disagreement.</w:t>
      </w:r>
    </w:p>
    <w:p>
      <w:pPr>
        <w:spacing w:after="20" w:line="223" w:lineRule="auto"/>
        <w:jc w:val="right"/>
        <w:bidi/>
      </w:pPr>
      <w:r>
        <w:rPr>
          <w:rFonts w:ascii="Arial" w:hAnsi="Arial"/>
          <w:sz w:val="16"/>
        </w:rPr>
        <w:t>246.17  این می‌تواند منجر به ناامیدی از یک نگرانی مهم شود، چه واقعی باشد چه درک شده.</w:t>
      </w:r>
    </w:p>
    <w:p>
      <w:pPr>
        <w:spacing w:after="28" w:line="216" w:lineRule="auto"/>
        <w:ind w:left="259"/>
        <w:jc w:val="left"/>
      </w:pPr>
      <w:r>
        <w:rPr>
          <w:rFonts w:ascii="Arial" w:hAnsi="Arial"/>
          <w:color w:val="525252"/>
          <w:sz w:val="13"/>
        </w:rPr>
        <w:t>This can lead to frustration of an important concern, whether real or perceived.</w:t>
      </w:r>
    </w:p>
    <w:p>
      <w:pPr>
        <w:spacing w:after="20" w:line="223" w:lineRule="auto"/>
        <w:jc w:val="right"/>
        <w:bidi/>
      </w:pPr>
      <w:r>
        <w:rPr>
          <w:rFonts w:ascii="Arial" w:hAnsi="Arial"/>
          <w:sz w:val="16"/>
        </w:rPr>
        <w:t>246.18  عوامل زیادی ممکن است منجر به یا افزایش احتمال تعارض در یک سازمان شود.</w:t>
      </w:r>
    </w:p>
    <w:p>
      <w:pPr>
        <w:spacing w:after="28" w:line="216" w:lineRule="auto"/>
        <w:ind w:left="259"/>
        <w:jc w:val="left"/>
      </w:pPr>
      <w:r>
        <w:rPr>
          <w:rFonts w:ascii="Arial" w:hAnsi="Arial"/>
          <w:color w:val="525252"/>
          <w:sz w:val="13"/>
        </w:rPr>
        <w:t>Many factors may result in or increase the probability of conflict within an organization.</w:t>
      </w:r>
    </w:p>
    <w:p>
      <w:pPr>
        <w:spacing w:after="20" w:line="223" w:lineRule="auto"/>
        <w:jc w:val="right"/>
        <w:bidi/>
      </w:pPr>
      <w:r>
        <w:rPr>
          <w:rFonts w:ascii="Arial" w:hAnsi="Arial"/>
          <w:sz w:val="16"/>
        </w:rPr>
        <w:t>246.19  این عوامل خود را در ترکیب با عوامل دیگر نشان می‌دهند و به‌طور بالقوه شناسایی منبع خاص تعارض را دشوار می‌سازند.</w:t>
      </w:r>
    </w:p>
    <w:p>
      <w:pPr>
        <w:spacing w:after="28" w:line="216" w:lineRule="auto"/>
        <w:ind w:left="259"/>
        <w:jc w:val="left"/>
      </w:pPr>
      <w:r>
        <w:rPr>
          <w:rFonts w:ascii="Arial" w:hAnsi="Arial"/>
          <w:color w:val="525252"/>
          <w:sz w:val="13"/>
        </w:rPr>
        <w:t>These factors manifest themselves in combination with other factors, making it potentially difficult to identify the specific source of the conflict.</w:t>
      </w:r>
    </w:p>
    <w:p>
      <w:pPr>
        <w:spacing w:after="20" w:line="223" w:lineRule="auto"/>
        <w:jc w:val="right"/>
        <w:bidi/>
      </w:pPr>
      <w:r>
        <w:rPr>
          <w:rFonts w:ascii="Arial" w:hAnsi="Arial"/>
          <w:sz w:val="16"/>
        </w:rPr>
        <w:t>246.20  تعارض اغلب با یک یا چند مورد از موقعیت‌های زیر سرچشمه می‌گیرد.</w:t>
      </w:r>
    </w:p>
    <w:p>
      <w:pPr>
        <w:spacing w:after="28" w:line="216" w:lineRule="auto"/>
        <w:ind w:left="259"/>
        <w:jc w:val="left"/>
      </w:pPr>
      <w:r>
        <w:rPr>
          <w:rFonts w:ascii="Arial" w:hAnsi="Arial"/>
          <w:color w:val="525252"/>
          <w:sz w:val="13"/>
        </w:rPr>
        <w:t>Conflict often originates with one or more of the following situations.</w:t>
      </w:r>
    </w:p>
    <w:p>
      <w:pPr>
        <w:spacing w:after="20" w:line="223" w:lineRule="auto"/>
        <w:jc w:val="right"/>
        <w:bidi/>
      </w:pPr>
      <w:r>
        <w:rPr>
          <w:rFonts w:ascii="Arial" w:hAnsi="Arial"/>
          <w:sz w:val="16"/>
        </w:rPr>
        <w:t>246.21  عوامل ارتباطی.</w:t>
      </w:r>
    </w:p>
    <w:p>
      <w:pPr>
        <w:spacing w:after="28" w:line="216" w:lineRule="auto"/>
        <w:ind w:left="259"/>
        <w:jc w:val="left"/>
      </w:pPr>
      <w:r>
        <w:rPr>
          <w:rFonts w:ascii="Arial" w:hAnsi="Arial"/>
          <w:color w:val="525252"/>
          <w:sz w:val="13"/>
        </w:rPr>
        <w:t>Communication Factors.</w:t>
      </w:r>
    </w:p>
    <w:p>
      <w:pPr>
        <w:spacing w:after="20" w:line="223" w:lineRule="auto"/>
        <w:jc w:val="right"/>
        <w:bidi/>
      </w:pPr>
      <w:r>
        <w:rPr>
          <w:rFonts w:ascii="Arial" w:hAnsi="Arial"/>
          <w:sz w:val="16"/>
        </w:rPr>
        <w:t>246.22  ارتباطات اغلب مقصر مشکلاتی است که در محل کار رخ می‌دهد. با این حال، هسته اصلی مشکل به احتمال زیاد ارتباط نادرست است.</w:t>
      </w:r>
    </w:p>
    <w:p>
      <w:pPr>
        <w:spacing w:after="28" w:line="216" w:lineRule="auto"/>
        <w:ind w:left="259"/>
        <w:jc w:val="left"/>
      </w:pPr>
      <w:r>
        <w:rPr>
          <w:rFonts w:ascii="Arial" w:hAnsi="Arial"/>
          <w:color w:val="525252"/>
          <w:sz w:val="13"/>
        </w:rPr>
        <w:t>Communication often gets the blame for problems that occur in the workplace; however, the real crux of the problem is more likely to be miscommunication.</w:t>
      </w:r>
    </w:p>
    <w:p>
      <w:pPr>
        <w:spacing w:after="20" w:line="223" w:lineRule="auto"/>
        <w:jc w:val="right"/>
        <w:bidi/>
      </w:pPr>
      <w:r>
        <w:rPr>
          <w:rFonts w:ascii="Arial" w:hAnsi="Arial"/>
          <w:sz w:val="16"/>
        </w:rPr>
        <w:t>246.23  به‌عنوان مثال، ارتباطات یا حتی ارتباط بیش از حد ممکن است در یک سازمان رخ دهد، و زمانی که ارتباطات اشتباه تفسیر شود، نادرست یا ناقص باشد، می‌تواند منجر به ناامیدی و استرس شود.</w:t>
      </w:r>
    </w:p>
    <w:p>
      <w:pPr>
        <w:spacing w:after="28" w:line="216" w:lineRule="auto"/>
        <w:ind w:left="259"/>
        <w:jc w:val="left"/>
      </w:pPr>
      <w:r>
        <w:rPr>
          <w:rFonts w:ascii="Arial" w:hAnsi="Arial"/>
          <w:color w:val="525252"/>
          <w:sz w:val="13"/>
        </w:rPr>
        <w:t>For example, communication or even over-communication may occur within an organization, and when the communication is misinterpreted, inaccurate, or incomplete it can lead to frustration and stress.</w:t>
      </w:r>
    </w:p>
    <w:p>
      <w:pPr>
        <w:spacing w:after="20" w:line="223" w:lineRule="auto"/>
        <w:jc w:val="right"/>
        <w:bidi/>
      </w:pPr>
      <w:r>
        <w:rPr>
          <w:rFonts w:ascii="Arial" w:hAnsi="Arial"/>
          <w:sz w:val="16"/>
        </w:rPr>
        <w:t>246.24  برای اینکه پرسنل بهترین عملکرد خود را داشته باشند، به اطلاعات سازنده، قابل درک و دقیق نیاز دارند.</w:t>
      </w:r>
    </w:p>
    <w:p>
      <w:pPr>
        <w:spacing w:after="28" w:line="216" w:lineRule="auto"/>
        <w:ind w:left="259"/>
        <w:jc w:val="left"/>
      </w:pPr>
      <w:r>
        <w:rPr>
          <w:rFonts w:ascii="Arial" w:hAnsi="Arial"/>
          <w:color w:val="525252"/>
          <w:sz w:val="13"/>
        </w:rPr>
        <w:t>For personnel to perform at their very best, they need constructive, understandable, and accurate information.</w:t>
      </w:r>
    </w:p>
    <w:p>
      <w:pPr>
        <w:spacing w:after="20" w:line="223" w:lineRule="auto"/>
        <w:jc w:val="right"/>
        <w:bidi/>
      </w:pPr>
      <w:r>
        <w:rPr>
          <w:rFonts w:ascii="Arial" w:hAnsi="Arial"/>
          <w:sz w:val="16"/>
        </w:rPr>
        <w:t>246.25  عوامل ساختاری.</w:t>
      </w:r>
    </w:p>
    <w:p>
      <w:pPr>
        <w:spacing w:after="28" w:line="216" w:lineRule="auto"/>
        <w:ind w:left="259"/>
        <w:jc w:val="left"/>
      </w:pPr>
      <w:r>
        <w:rPr>
          <w:rFonts w:ascii="Arial" w:hAnsi="Arial"/>
          <w:color w:val="525252"/>
          <w:sz w:val="13"/>
        </w:rPr>
        <w:t>Structural Factors.</w:t>
      </w:r>
    </w:p>
    <w:p>
      <w:pPr>
        <w:spacing w:after="20" w:line="223" w:lineRule="auto"/>
        <w:jc w:val="right"/>
        <w:bidi/>
      </w:pPr>
      <w:r>
        <w:rPr>
          <w:rFonts w:ascii="Arial" w:hAnsi="Arial"/>
          <w:sz w:val="16"/>
        </w:rPr>
        <w:t>246.26  هر چه سازمان بزرگتر باشد، افراد بیشتری وجود خواهند داشت که به‌طور بالقوه باعث ایجاد و مشارکت در تعارض می‌شوند.</w:t>
      </w:r>
    </w:p>
    <w:p>
      <w:pPr>
        <w:spacing w:after="28" w:line="216" w:lineRule="auto"/>
        <w:ind w:left="259"/>
        <w:jc w:val="left"/>
      </w:pPr>
      <w:r>
        <w:rPr>
          <w:rFonts w:ascii="Arial" w:hAnsi="Arial"/>
          <w:color w:val="525252"/>
          <w:sz w:val="13"/>
        </w:rPr>
        <w:t>The larger the organization, the more people there will be to potentially cause and participate in conflict.</w:t>
      </w:r>
    </w:p>
    <w:p>
      <w:pPr>
        <w:spacing w:after="20" w:line="223" w:lineRule="auto"/>
        <w:jc w:val="right"/>
        <w:bidi/>
      </w:pPr>
      <w:r>
        <w:rPr>
          <w:rFonts w:ascii="Arial" w:hAnsi="Arial"/>
          <w:sz w:val="16"/>
        </w:rPr>
        <w:t>246.27  منابع، چه کمیاب باشند و چه تحت تقاضای زیاد، ممکن است در شرایطی که طرفین برای رقابت برای منابع به رقابت بپردازند، درگیری ایجاد کند.</w:t>
      </w:r>
    </w:p>
    <w:p>
      <w:pPr>
        <w:spacing w:after="28" w:line="216" w:lineRule="auto"/>
        <w:ind w:left="259"/>
        <w:jc w:val="left"/>
      </w:pPr>
      <w:r>
        <w:rPr>
          <w:rFonts w:ascii="Arial" w:hAnsi="Arial"/>
          <w:color w:val="525252"/>
          <w:sz w:val="13"/>
        </w:rPr>
        <w:t>Resources, whether scarce or under high demand, may generate conflict as parties posture to compete for the resources.</w:t>
      </w:r>
    </w:p>
    <w:p>
      <w:pPr>
        <w:spacing w:after="20" w:line="223" w:lineRule="auto"/>
        <w:jc w:val="right"/>
        <w:bidi/>
      </w:pPr>
      <w:r>
        <w:rPr>
          <w:rFonts w:ascii="Arial" w:hAnsi="Arial"/>
          <w:sz w:val="16"/>
        </w:rPr>
        <w:t>246.28  هر چه افراد بیشتر با هم تعامل داشته باشند، تفاوت‌هایشان بیشتر می‌شود.</w:t>
      </w:r>
    </w:p>
    <w:p>
      <w:pPr>
        <w:spacing w:after="28" w:line="216" w:lineRule="auto"/>
        <w:ind w:left="259"/>
        <w:jc w:val="left"/>
      </w:pPr>
      <w:r>
        <w:rPr>
          <w:rFonts w:ascii="Arial" w:hAnsi="Arial"/>
          <w:color w:val="525252"/>
          <w:sz w:val="13"/>
        </w:rPr>
        <w:t>The more people interact, the more noticeable their differences become.</w:t>
      </w:r>
    </w:p>
    <w:p>
      <w:pPr>
        <w:spacing w:after="20" w:line="223" w:lineRule="auto"/>
        <w:jc w:val="right"/>
        <w:bidi/>
      </w:pPr>
      <w:r>
        <w:rPr>
          <w:rFonts w:ascii="Arial" w:hAnsi="Arial"/>
          <w:sz w:val="16"/>
        </w:rPr>
        <w:t>246.29  هنگام برخورد با تمایزات کارکنان خط، این می‌تواند منجر به اختلاف شود، تا حدی به این دلیل که اگرچه افراد ممکن است تلاش کنند تا مشارکت کنند، اما لزوما به این معنی نیست که مشارکت‌های آنها شنیده، ارزش‌گذاری یا پذیرفته می‌شود.</w:t>
      </w:r>
    </w:p>
    <w:p>
      <w:pPr>
        <w:spacing w:after="28" w:line="216" w:lineRule="auto"/>
        <w:ind w:left="259"/>
        <w:jc w:val="left"/>
      </w:pPr>
      <w:r>
        <w:rPr>
          <w:rFonts w:ascii="Arial" w:hAnsi="Arial"/>
          <w:color w:val="525252"/>
          <w:sz w:val="13"/>
        </w:rPr>
        <w:t>When dealing with line-staff distinctions, this can lead to disputes, partly because although people may attempt to participate, it does not necessarily mean their contributions are heard, valued, or accepted.</w:t>
      </w:r>
    </w:p>
    <w:p>
      <w:pPr>
        <w:spacing w:after="20" w:line="223" w:lineRule="auto"/>
        <w:jc w:val="right"/>
        <w:bidi/>
      </w:pPr>
      <w:r>
        <w:rPr>
          <w:rFonts w:ascii="Arial" w:hAnsi="Arial"/>
          <w:sz w:val="16"/>
        </w:rPr>
        <w:t>246.30  رهبران باید کارکنان را تشویق کنند تا وضعیت موجود را به چالش بکشند، راه‌های بهتری برای انجام کسب‌وکار جستجو کنند و به‌طور مستمر فرآیندها را بهبود بخشند.</w:t>
      </w:r>
    </w:p>
    <w:p>
      <w:pPr>
        <w:spacing w:after="28" w:line="216" w:lineRule="auto"/>
        <w:ind w:left="259"/>
        <w:jc w:val="left"/>
      </w:pPr>
      <w:r>
        <w:rPr>
          <w:rFonts w:ascii="Arial" w:hAnsi="Arial"/>
          <w:color w:val="525252"/>
          <w:sz w:val="13"/>
        </w:rPr>
        <w:t>Leaders should encourage employees to challenge the status quo, seek better ways of doing business, and continually improve processes.</w:t>
      </w:r>
    </w:p>
    <w:p>
      <w:pPr>
        <w:spacing w:after="20" w:line="223" w:lineRule="auto"/>
        <w:jc w:val="right"/>
        <w:bidi/>
      </w:pPr>
      <w:r>
        <w:rPr>
          <w:rFonts w:ascii="Arial" w:hAnsi="Arial"/>
          <w:sz w:val="16"/>
        </w:rPr>
        <w:t>246.31  همچنین، برنامه‌های پاداش به‌طور بالقوه می‌توانند رقابت سالمی را تشویق و توسعه دهند، تا زمانی که پاداش‌ها به نحوی ناعادلانه، ناعادلانه یا جانبدارانه تلقی نشوند.</w:t>
      </w:r>
    </w:p>
    <w:p>
      <w:pPr>
        <w:spacing w:after="28" w:line="216" w:lineRule="auto"/>
        <w:ind w:left="259"/>
        <w:jc w:val="left"/>
      </w:pPr>
      <w:r>
        <w:rPr>
          <w:rFonts w:ascii="Arial" w:hAnsi="Arial"/>
          <w:color w:val="525252"/>
          <w:sz w:val="13"/>
        </w:rPr>
        <w:t>Also, rewards programs can potentially encourage and develop a healthy competition as long as the rewards aren’t perceived as unfair, unjust, or biased in some way.</w:t>
      </w:r>
    </w:p>
    <w:p>
      <w:pPr>
        <w:spacing w:after="20" w:line="223" w:lineRule="auto"/>
        <w:jc w:val="right"/>
        <w:bidi/>
      </w:pPr>
      <w:r>
        <w:rPr>
          <w:rFonts w:ascii="Arial" w:hAnsi="Arial"/>
          <w:sz w:val="16"/>
        </w:rPr>
        <w:t>246.32  عوامل رفتار شخصی.</w:t>
      </w:r>
    </w:p>
    <w:p>
      <w:pPr>
        <w:spacing w:after="28" w:line="216" w:lineRule="auto"/>
        <w:ind w:left="259"/>
        <w:jc w:val="left"/>
      </w:pPr>
      <w:r>
        <w:rPr>
          <w:rFonts w:ascii="Arial" w:hAnsi="Arial"/>
          <w:color w:val="525252"/>
          <w:sz w:val="13"/>
        </w:rPr>
        <w:t>Personal Behavior Factors.</w:t>
      </w:r>
    </w:p>
    <w:p>
      <w:pPr>
        <w:spacing w:after="20" w:line="223" w:lineRule="auto"/>
        <w:jc w:val="right"/>
        <w:bidi/>
      </w:pPr>
      <w:r>
        <w:rPr>
          <w:rFonts w:ascii="Arial" w:hAnsi="Arial"/>
          <w:sz w:val="16"/>
        </w:rPr>
        <w:t>246.33  تعارض می‌تواند به دلیل تفاوت‌های فردی مانند اهداف و مقاصد، ادراکات، ارزش‌ها و شخصیت‌ها ایجاد شود.</w:t>
      </w:r>
    </w:p>
    <w:p>
      <w:pPr>
        <w:spacing w:after="28" w:line="216" w:lineRule="auto"/>
        <w:ind w:left="259"/>
        <w:jc w:val="left"/>
      </w:pPr>
      <w:r>
        <w:rPr>
          <w:rFonts w:ascii="Arial" w:hAnsi="Arial"/>
          <w:color w:val="525252"/>
          <w:sz w:val="13"/>
        </w:rPr>
        <w:t>Conflict can arise because of individual differences, such as goals and objectives, perceptions, values, and personalities.</w:t>
      </w:r>
    </w:p>
    <w:p>
      <w:pPr>
        <w:spacing w:after="20" w:line="223" w:lineRule="auto"/>
        <w:jc w:val="right"/>
        <w:bidi/>
      </w:pPr>
      <w:r>
        <w:rPr>
          <w:rFonts w:ascii="Arial" w:hAnsi="Arial"/>
          <w:sz w:val="16"/>
        </w:rPr>
        <w:t>246.34  اگر نیازها و ارزش‌های شخصی خود را با مأموریت کلی USAF هماهنگ کنیم، تمایل بیشتری به تغییر، کنار گذاشتن منافع شخصی، گوش دادن به ایده‌های دیگران و کاهش تعارض خواهیم داشت.</w:t>
      </w:r>
    </w:p>
    <w:p>
      <w:pPr>
        <w:spacing w:after="28" w:line="216" w:lineRule="auto"/>
        <w:ind w:left="259"/>
        <w:jc w:val="left"/>
      </w:pPr>
      <w:r>
        <w:rPr>
          <w:rFonts w:ascii="Arial" w:hAnsi="Arial"/>
          <w:color w:val="525252"/>
          <w:sz w:val="13"/>
        </w:rPr>
        <w:t>If we align our personal needs and values with the overall USAF mission, we will be more aptly willing to change, set aside self-interests, listen to the ideas of others, and reduce conflict.</w:t>
      </w:r>
    </w:p>
    <w:p>
      <w:pPr>
        <w:spacing w:after="20" w:line="223" w:lineRule="auto"/>
        <w:jc w:val="right"/>
        <w:bidi/>
      </w:pPr>
      <w:r>
        <w:rPr>
          <w:rFonts w:ascii="Arial" w:hAnsi="Arial"/>
          <w:sz w:val="16"/>
        </w:rPr>
        <w:t>246.35  اگرچه همیشه آسان نیست، تلاش برای همسو کردن ارزش‌های شخصی با ارزش‌های USAF می‌تواند تعارض ناشی از تفاوت‌های موجود در محل کار را کاهش دهد.</w:t>
      </w:r>
    </w:p>
    <w:p>
      <w:pPr>
        <w:spacing w:after="28" w:line="216" w:lineRule="auto"/>
        <w:ind w:left="259"/>
        <w:jc w:val="left"/>
      </w:pPr>
      <w:r>
        <w:rPr>
          <w:rFonts w:ascii="Arial" w:hAnsi="Arial"/>
          <w:color w:val="525252"/>
          <w:sz w:val="13"/>
        </w:rPr>
        <w:t>Although not always easy, striving to align personal values with USAF values can reduce conflict that arises based on differences that exist in the workplace.</w:t>
      </w:r>
    </w:p>
    <w:p>
      <w:pPr>
        <w:spacing w:after="20" w:line="223" w:lineRule="auto"/>
        <w:jc w:val="right"/>
        <w:bidi/>
      </w:pPr>
      <w:r>
        <w:rPr>
          <w:rFonts w:ascii="Arial" w:hAnsi="Arial"/>
          <w:sz w:val="16"/>
        </w:rPr>
        <w:t>246.36  پرداختن به مسائل از طریق یک دیدگاه واقع بینانه یا حتی مثبت به جای</w:t>
      </w:r>
    </w:p>
    <w:p>
      <w:pPr>
        <w:spacing w:after="28" w:line="216" w:lineRule="auto"/>
        <w:ind w:left="259"/>
        <w:jc w:val="left"/>
      </w:pPr>
      <w:r>
        <w:rPr>
          <w:rFonts w:ascii="Arial" w:hAnsi="Arial"/>
          <w:color w:val="525252"/>
          <w:sz w:val="13"/>
        </w:rPr>
        <w:t>Addressing issues through a realistic or even positive perspective rather than</w:t>
      </w:r>
    </w:p>
    <w:p>
      <w:r>
        <w:br w:type="page"/>
      </w:r>
    </w:p>
    <w:p>
      <w:pPr>
        <w:spacing w:after="60"/>
        <w:jc w:val="right"/>
        <w:bidi/>
      </w:pPr>
      <w:r>
        <w:rPr>
          <w:rFonts w:ascii="Arial" w:hAnsi="Arial"/>
          <w:b/>
          <w:color w:val="1F4D78"/>
          <w:sz w:val="19"/>
        </w:rPr>
        <w:t>هفتهٔ 247  |  صفحهٔ منبع: 263</w:t>
      </w:r>
    </w:p>
    <w:p>
      <w:pPr>
        <w:spacing w:after="20" w:line="223" w:lineRule="auto"/>
        <w:jc w:val="right"/>
        <w:bidi/>
      </w:pPr>
      <w:r>
        <w:rPr>
          <w:rFonts w:ascii="Arial" w:hAnsi="Arial"/>
          <w:sz w:val="16"/>
        </w:rPr>
        <w:t>247.01  مبتنی بودن بر احساسات منجر به بحث و جدل کمتر و عملکرد حرفه‌ای‌تر می‌شود.</w:t>
      </w:r>
    </w:p>
    <w:p>
      <w:pPr>
        <w:spacing w:after="28" w:line="216" w:lineRule="auto"/>
        <w:ind w:left="259"/>
        <w:jc w:val="left"/>
      </w:pPr>
      <w:r>
        <w:rPr>
          <w:rFonts w:ascii="Arial" w:hAnsi="Arial"/>
          <w:color w:val="525252"/>
          <w:sz w:val="13"/>
        </w:rPr>
        <w:t>being based on emotion will lead to fewer arguments and more professionally driven performance.</w:t>
      </w:r>
    </w:p>
    <w:p>
      <w:pPr>
        <w:spacing w:after="20" w:line="223" w:lineRule="auto"/>
        <w:jc w:val="right"/>
        <w:bidi/>
      </w:pPr>
      <w:r>
        <w:rPr>
          <w:rFonts w:ascii="Arial" w:hAnsi="Arial"/>
          <w:sz w:val="16"/>
        </w:rPr>
        <w:t>247.02  تضادها و تفاوت‌های شخصیتی بین کارکنان همیشه وجود خواهد داشت، اما نحوه واکنش ما به آنها نباید غیرحرفه‌ای یا مخل سازمان باشد.</w:t>
      </w:r>
    </w:p>
    <w:p>
      <w:pPr>
        <w:spacing w:after="28" w:line="216" w:lineRule="auto"/>
        <w:ind w:left="259"/>
        <w:jc w:val="left"/>
      </w:pPr>
      <w:r>
        <w:rPr>
          <w:rFonts w:ascii="Arial" w:hAnsi="Arial"/>
          <w:color w:val="525252"/>
          <w:sz w:val="13"/>
        </w:rPr>
        <w:t>Personality conflicts and differences among employees will always exist, but the way we respond to them does not have to be unprofessional or disruptive to the organization.</w:t>
      </w:r>
    </w:p>
    <w:p>
      <w:pPr>
        <w:spacing w:before="60" w:after="28"/>
        <w:jc w:val="right"/>
        <w:bidi/>
      </w:pPr>
      <w:r>
        <w:rPr>
          <w:b/>
          <w:color w:val="1F4D78"/>
          <w:sz w:val="18"/>
        </w:rPr>
        <w:t>14.5. تکنیک های مدیریت تعارض</w:t>
      </w:r>
    </w:p>
    <w:p>
      <w:pPr>
        <w:spacing w:after="20"/>
        <w:ind w:left="259"/>
        <w:jc w:val="left"/>
      </w:pPr>
      <w:r>
        <w:rPr>
          <w:color w:val="555555"/>
          <w:sz w:val="12"/>
        </w:rPr>
        <w:t>14.5. Conflict Management Techniques</w:t>
      </w:r>
    </w:p>
    <w:p>
      <w:pPr>
        <w:spacing w:after="20" w:line="223" w:lineRule="auto"/>
        <w:jc w:val="right"/>
        <w:bidi/>
      </w:pPr>
      <w:r>
        <w:rPr>
          <w:rFonts w:ascii="Arial" w:hAnsi="Arial"/>
          <w:sz w:val="16"/>
        </w:rPr>
        <w:t>247.04  چند تکنیک وجود دارد که می‌توان برای به حداقل رساندن تأثیری که تعارض در محل کار بر افراد و سازمان داشته باشد، استفاده کرد.</w:t>
      </w:r>
    </w:p>
    <w:p>
      <w:pPr>
        <w:spacing w:after="28" w:line="216" w:lineRule="auto"/>
        <w:ind w:left="259"/>
        <w:jc w:val="left"/>
      </w:pPr>
      <w:r>
        <w:rPr>
          <w:rFonts w:ascii="Arial" w:hAnsi="Arial"/>
          <w:color w:val="525252"/>
          <w:sz w:val="13"/>
        </w:rPr>
        <w:t>There are a few techniques that can be used to minimize the impact that workplace conflict can have on individuals and on the organization.</w:t>
      </w:r>
    </w:p>
    <w:p>
      <w:pPr>
        <w:spacing w:after="20" w:line="223" w:lineRule="auto"/>
        <w:jc w:val="right"/>
        <w:bidi/>
      </w:pPr>
      <w:r>
        <w:rPr>
          <w:rFonts w:ascii="Arial" w:hAnsi="Arial"/>
          <w:sz w:val="16"/>
        </w:rPr>
        <w:t>247.05  هنگام در نظر گرفتن درجه همکاری، و میزان قاطعیت افراد درگیر، رهبران می‌توانند تعیین کنند که چگونه تعارض را دسته‌بندی کنند و چگونه آن را به بهترین شکل مدیریت کنند.</w:t>
      </w:r>
    </w:p>
    <w:p>
      <w:pPr>
        <w:spacing w:after="28" w:line="216" w:lineRule="auto"/>
        <w:ind w:left="259"/>
        <w:jc w:val="left"/>
      </w:pPr>
      <w:r>
        <w:rPr>
          <w:rFonts w:ascii="Arial" w:hAnsi="Arial"/>
          <w:color w:val="525252"/>
          <w:sz w:val="13"/>
        </w:rPr>
        <w:t>When considering the degree of cooperation, and the degree of assertiveness of those involved, leaders can determine how to categorize conflict and how to best manage it.</w:t>
      </w:r>
    </w:p>
    <w:p>
      <w:pPr>
        <w:spacing w:after="20" w:line="223" w:lineRule="auto"/>
        <w:jc w:val="right"/>
        <w:bidi/>
      </w:pPr>
      <w:r>
        <w:rPr>
          <w:rFonts w:ascii="Arial" w:hAnsi="Arial"/>
          <w:sz w:val="16"/>
        </w:rPr>
        <w:t>247.06  همکاری به میزان تمایل یک فرد یا گروه برای ارضای نیازهای دیگری اشاره دارد.</w:t>
      </w:r>
    </w:p>
    <w:p>
      <w:pPr>
        <w:spacing w:after="28" w:line="216" w:lineRule="auto"/>
        <w:ind w:left="259"/>
        <w:jc w:val="left"/>
      </w:pPr>
      <w:r>
        <w:rPr>
          <w:rFonts w:ascii="Arial" w:hAnsi="Arial"/>
          <w:color w:val="525252"/>
          <w:sz w:val="13"/>
        </w:rPr>
        <w:t>Cooperation refers to how willing a person or group is to satisfy the other’s needs.</w:t>
      </w:r>
    </w:p>
    <w:p>
      <w:pPr>
        <w:spacing w:after="20" w:line="223" w:lineRule="auto"/>
        <w:jc w:val="right"/>
        <w:bidi/>
      </w:pPr>
      <w:r>
        <w:rPr>
          <w:rFonts w:ascii="Arial" w:hAnsi="Arial"/>
          <w:sz w:val="16"/>
        </w:rPr>
        <w:t>247.07  قاطعیت به میزان فعال بودن یک فرد در پرداختن به تعارض اشاره دارد.</w:t>
      </w:r>
    </w:p>
    <w:p>
      <w:pPr>
        <w:spacing w:after="28" w:line="216" w:lineRule="auto"/>
        <w:ind w:left="259"/>
        <w:jc w:val="left"/>
      </w:pPr>
      <w:r>
        <w:rPr>
          <w:rFonts w:ascii="Arial" w:hAnsi="Arial"/>
          <w:color w:val="525252"/>
          <w:sz w:val="13"/>
        </w:rPr>
        <w:t>Assertiveness refers to how active a person is in addressing the conflict.</w:t>
      </w:r>
    </w:p>
    <w:p>
      <w:pPr>
        <w:spacing w:after="20" w:line="223" w:lineRule="auto"/>
        <w:jc w:val="right"/>
        <w:bidi/>
      </w:pPr>
      <w:r>
        <w:rPr>
          <w:rFonts w:ascii="Arial" w:hAnsi="Arial"/>
          <w:sz w:val="16"/>
        </w:rPr>
        <w:t>247.08  با استفاده از رویکردی که دکتر کنت توماس، نویسنده کتاب فرآیندهای تعارض و مذاکره در سازمان‌ها به آن پرداخته است، پنج سبک و مقوله اصلی مدیریت تعارض وجود دارد که بر اساس سطوح همکاری و قاطعیت مرتبط با هر موقعیت خاص تعریف شده‌اند.</w:t>
      </w:r>
    </w:p>
    <w:p>
      <w:pPr>
        <w:spacing w:after="28" w:line="216" w:lineRule="auto"/>
        <w:ind w:left="259"/>
        <w:jc w:val="left"/>
      </w:pPr>
      <w:r>
        <w:rPr>
          <w:rFonts w:ascii="Arial" w:hAnsi="Arial"/>
          <w:color w:val="525252"/>
          <w:sz w:val="13"/>
        </w:rPr>
        <w:t>Using an approach addressed by Dr. Kenneth Thomas, author of Conflict and Negotiation Processes in Organizations, there are five major conflict management styles and categories, defined based on the levels of cooperation and assertiveness associated with any given situation.</w:t>
      </w:r>
    </w:p>
    <w:p>
      <w:pPr>
        <w:spacing w:after="20" w:line="223" w:lineRule="auto"/>
        <w:jc w:val="right"/>
        <w:bidi/>
      </w:pPr>
      <w:r>
        <w:rPr>
          <w:rFonts w:ascii="Arial" w:hAnsi="Arial"/>
          <w:sz w:val="16"/>
        </w:rPr>
        <w:t>247.09  رقابت (اجباری).</w:t>
      </w:r>
    </w:p>
    <w:p>
      <w:pPr>
        <w:spacing w:after="28" w:line="216" w:lineRule="auto"/>
        <w:ind w:left="259"/>
        <w:jc w:val="left"/>
      </w:pPr>
      <w:r>
        <w:rPr>
          <w:rFonts w:ascii="Arial" w:hAnsi="Arial"/>
          <w:color w:val="525252"/>
          <w:sz w:val="13"/>
        </w:rPr>
        <w:t>Competing (Forcing).</w:t>
      </w:r>
    </w:p>
    <w:p>
      <w:pPr>
        <w:spacing w:after="20" w:line="223" w:lineRule="auto"/>
        <w:jc w:val="right"/>
        <w:bidi/>
      </w:pPr>
      <w:r>
        <w:rPr>
          <w:rFonts w:ascii="Arial" w:hAnsi="Arial"/>
          <w:sz w:val="16"/>
        </w:rPr>
        <w:t>247.10  (قاطعیت بالا و همکاری کم).</w:t>
      </w:r>
    </w:p>
    <w:p>
      <w:pPr>
        <w:spacing w:after="28" w:line="216" w:lineRule="auto"/>
        <w:ind w:left="259"/>
        <w:jc w:val="left"/>
      </w:pPr>
      <w:r>
        <w:rPr>
          <w:rFonts w:ascii="Arial" w:hAnsi="Arial"/>
          <w:color w:val="525252"/>
          <w:sz w:val="13"/>
        </w:rPr>
        <w:t>(High assertiveness and low cooperativeness).</w:t>
      </w:r>
    </w:p>
    <w:p>
      <w:pPr>
        <w:spacing w:after="20" w:line="223" w:lineRule="auto"/>
        <w:jc w:val="right"/>
        <w:bidi/>
      </w:pPr>
      <w:r>
        <w:rPr>
          <w:rFonts w:ascii="Arial" w:hAnsi="Arial"/>
          <w:sz w:val="16"/>
        </w:rPr>
        <w:t>247.11  سبک رقابتی (اجباری) تلاش می‌کند تا با اقتدار رسمی، تهدید یا استفاده از قدرت بر حریف غلبه کند.</w:t>
      </w:r>
    </w:p>
    <w:p>
      <w:pPr>
        <w:spacing w:after="28" w:line="216" w:lineRule="auto"/>
        <w:ind w:left="259"/>
        <w:jc w:val="left"/>
      </w:pPr>
      <w:r>
        <w:rPr>
          <w:rFonts w:ascii="Arial" w:hAnsi="Arial"/>
          <w:color w:val="525252"/>
          <w:sz w:val="13"/>
        </w:rPr>
        <w:t>The competing (forcing) style attempts to overwhelm an opponent with formal authority, threats, or the use of power.</w:t>
      </w:r>
    </w:p>
    <w:p>
      <w:pPr>
        <w:spacing w:after="20" w:line="223" w:lineRule="auto"/>
        <w:jc w:val="right"/>
        <w:bidi/>
      </w:pPr>
      <w:r>
        <w:rPr>
          <w:rFonts w:ascii="Arial" w:hAnsi="Arial"/>
          <w:sz w:val="16"/>
        </w:rPr>
        <w:t>247.12  همکاری.</w:t>
      </w:r>
    </w:p>
    <w:p>
      <w:pPr>
        <w:spacing w:after="28" w:line="216" w:lineRule="auto"/>
        <w:ind w:left="259"/>
        <w:jc w:val="left"/>
      </w:pPr>
      <w:r>
        <w:rPr>
          <w:rFonts w:ascii="Arial" w:hAnsi="Arial"/>
          <w:color w:val="525252"/>
          <w:sz w:val="13"/>
        </w:rPr>
        <w:t>Collaborating.</w:t>
      </w:r>
    </w:p>
    <w:p>
      <w:pPr>
        <w:spacing w:after="20" w:line="223" w:lineRule="auto"/>
        <w:jc w:val="right"/>
        <w:bidi/>
      </w:pPr>
      <w:r>
        <w:rPr>
          <w:rFonts w:ascii="Arial" w:hAnsi="Arial"/>
          <w:sz w:val="16"/>
        </w:rPr>
        <w:t>247.13  (قاطعیت بالا و تعاون بالا).</w:t>
      </w:r>
    </w:p>
    <w:p>
      <w:pPr>
        <w:spacing w:after="28" w:line="216" w:lineRule="auto"/>
        <w:ind w:left="259"/>
        <w:jc w:val="left"/>
      </w:pPr>
      <w:r>
        <w:rPr>
          <w:rFonts w:ascii="Arial" w:hAnsi="Arial"/>
          <w:color w:val="525252"/>
          <w:sz w:val="13"/>
        </w:rPr>
        <w:t>(High assertiveness and high cooperativeness).</w:t>
      </w:r>
    </w:p>
    <w:p>
      <w:pPr>
        <w:spacing w:after="20" w:line="223" w:lineRule="auto"/>
        <w:jc w:val="right"/>
        <w:bidi/>
      </w:pPr>
      <w:r>
        <w:rPr>
          <w:rFonts w:ascii="Arial" w:hAnsi="Arial"/>
          <w:sz w:val="16"/>
        </w:rPr>
        <w:t>247.14  سبک مشارکتی از تلاش برای ارضای نگرانی‌های هر دو طرف از طریق گفتگو صادقانه استفاده می‌کند.</w:t>
      </w:r>
    </w:p>
    <w:p>
      <w:pPr>
        <w:spacing w:after="28" w:line="216" w:lineRule="auto"/>
        <w:ind w:left="259"/>
        <w:jc w:val="left"/>
      </w:pPr>
      <w:r>
        <w:rPr>
          <w:rFonts w:ascii="Arial" w:hAnsi="Arial"/>
          <w:color w:val="525252"/>
          <w:sz w:val="13"/>
        </w:rPr>
        <w:t>The collaborating style uses an attempt to satisfy the concerns of both sides through honest discussion.</w:t>
      </w:r>
    </w:p>
    <w:p>
      <w:pPr>
        <w:spacing w:after="20" w:line="223" w:lineRule="auto"/>
        <w:jc w:val="right"/>
        <w:bidi/>
      </w:pPr>
      <w:r>
        <w:rPr>
          <w:rFonts w:ascii="Arial" w:hAnsi="Arial"/>
          <w:sz w:val="16"/>
        </w:rPr>
        <w:t>247.15  رویکردهای خلاقانه برای کاهش تعارض، مانند اشتراک منابع، ممکن است در واقع منجر به بهبود مادی هر دو طرف شود.</w:t>
      </w:r>
    </w:p>
    <w:p>
      <w:pPr>
        <w:spacing w:after="28" w:line="216" w:lineRule="auto"/>
        <w:ind w:left="259"/>
        <w:jc w:val="left"/>
      </w:pPr>
      <w:r>
        <w:rPr>
          <w:rFonts w:ascii="Arial" w:hAnsi="Arial"/>
          <w:color w:val="525252"/>
          <w:sz w:val="13"/>
        </w:rPr>
        <w:t>Creative approaches to conflict reduction, such as sharing resources, may actually lead to both parties being materially better off.</w:t>
      </w:r>
    </w:p>
    <w:p>
      <w:pPr>
        <w:spacing w:after="20" w:line="223" w:lineRule="auto"/>
        <w:jc w:val="right"/>
        <w:bidi/>
      </w:pPr>
      <w:r>
        <w:rPr>
          <w:rFonts w:ascii="Arial" w:hAnsi="Arial"/>
          <w:sz w:val="16"/>
        </w:rPr>
        <w:t>247.16  برای موفقیت سبک همکاری، اعتماد و صراحت از همه شرکت کنندگان لازم است.</w:t>
      </w:r>
    </w:p>
    <w:p>
      <w:pPr>
        <w:spacing w:after="28" w:line="216" w:lineRule="auto"/>
        <w:ind w:left="259"/>
        <w:jc w:val="left"/>
      </w:pPr>
      <w:r>
        <w:rPr>
          <w:rFonts w:ascii="Arial" w:hAnsi="Arial"/>
          <w:color w:val="525252"/>
          <w:sz w:val="13"/>
        </w:rPr>
        <w:t>For the collaborating style to be successful, trust and openness are required of all participants.</w:t>
      </w:r>
    </w:p>
    <w:p>
      <w:pPr>
        <w:spacing w:after="20" w:line="223" w:lineRule="auto"/>
        <w:jc w:val="right"/>
        <w:bidi/>
      </w:pPr>
      <w:r>
        <w:rPr>
          <w:rFonts w:ascii="Arial" w:hAnsi="Arial"/>
          <w:sz w:val="16"/>
        </w:rPr>
        <w:t>247.17  همکاری شامل رفتاری است که به دنبال موقعیت "برنده" برای هر دو گروه است.</w:t>
      </w:r>
    </w:p>
    <w:p>
      <w:pPr>
        <w:spacing w:after="28" w:line="216" w:lineRule="auto"/>
        <w:ind w:left="259"/>
        <w:jc w:val="left"/>
      </w:pPr>
      <w:r>
        <w:rPr>
          <w:rFonts w:ascii="Arial" w:hAnsi="Arial"/>
          <w:color w:val="525252"/>
          <w:sz w:val="13"/>
        </w:rPr>
        <w:t>Collaborating involves behavior that seeks a ‘win’ position for both groups.</w:t>
      </w:r>
    </w:p>
    <w:p>
      <w:pPr>
        <w:spacing w:after="20" w:line="223" w:lineRule="auto"/>
        <w:jc w:val="right"/>
        <w:bidi/>
      </w:pPr>
      <w:r>
        <w:rPr>
          <w:rFonts w:ascii="Arial" w:hAnsi="Arial"/>
          <w:sz w:val="16"/>
        </w:rPr>
        <w:t>247.18  پذیرایی.</w:t>
      </w:r>
    </w:p>
    <w:p>
      <w:pPr>
        <w:spacing w:after="28" w:line="216" w:lineRule="auto"/>
        <w:ind w:left="259"/>
        <w:jc w:val="left"/>
      </w:pPr>
      <w:r>
        <w:rPr>
          <w:rFonts w:ascii="Arial" w:hAnsi="Arial"/>
          <w:color w:val="525252"/>
          <w:sz w:val="13"/>
        </w:rPr>
        <w:t>Accommodating.</w:t>
      </w:r>
    </w:p>
    <w:p>
      <w:pPr>
        <w:spacing w:after="20" w:line="223" w:lineRule="auto"/>
        <w:jc w:val="right"/>
        <w:bidi/>
      </w:pPr>
      <w:r>
        <w:rPr>
          <w:rFonts w:ascii="Arial" w:hAnsi="Arial"/>
          <w:sz w:val="16"/>
        </w:rPr>
        <w:t>247.19  (قاطعیت کم و همکاری بالا).</w:t>
      </w:r>
    </w:p>
    <w:p>
      <w:pPr>
        <w:spacing w:after="28" w:line="216" w:lineRule="auto"/>
        <w:ind w:left="259"/>
        <w:jc w:val="left"/>
      </w:pPr>
      <w:r>
        <w:rPr>
          <w:rFonts w:ascii="Arial" w:hAnsi="Arial"/>
          <w:color w:val="525252"/>
          <w:sz w:val="13"/>
        </w:rPr>
        <w:t>(Low assertiveness and high cooperativeness).</w:t>
      </w:r>
    </w:p>
    <w:p>
      <w:pPr>
        <w:spacing w:after="20" w:line="223" w:lineRule="auto"/>
        <w:jc w:val="right"/>
        <w:bidi/>
      </w:pPr>
      <w:r>
        <w:rPr>
          <w:rFonts w:ascii="Arial" w:hAnsi="Arial"/>
          <w:sz w:val="16"/>
        </w:rPr>
        <w:t>247.20  سبک سازگاری اغلب به سادگی شامل تسلیم شدن در برابر خواسته‌های شخص دیگر است.</w:t>
      </w:r>
    </w:p>
    <w:p>
      <w:pPr>
        <w:spacing w:after="28" w:line="216" w:lineRule="auto"/>
        <w:ind w:left="259"/>
        <w:jc w:val="left"/>
      </w:pPr>
      <w:r>
        <w:rPr>
          <w:rFonts w:ascii="Arial" w:hAnsi="Arial"/>
          <w:color w:val="525252"/>
          <w:sz w:val="13"/>
        </w:rPr>
        <w:t>The accommodating style often simply consists of giving in to another person’s wishes.</w:t>
      </w:r>
    </w:p>
    <w:p>
      <w:pPr>
        <w:spacing w:after="20" w:line="223" w:lineRule="auto"/>
        <w:jc w:val="right"/>
        <w:bidi/>
      </w:pPr>
      <w:r>
        <w:rPr>
          <w:rFonts w:ascii="Arial" w:hAnsi="Arial"/>
          <w:sz w:val="16"/>
        </w:rPr>
        <w:t>247.21  اجتناب.</w:t>
      </w:r>
    </w:p>
    <w:p>
      <w:pPr>
        <w:spacing w:after="28" w:line="216" w:lineRule="auto"/>
        <w:ind w:left="259"/>
        <w:jc w:val="left"/>
      </w:pPr>
      <w:r>
        <w:rPr>
          <w:rFonts w:ascii="Arial" w:hAnsi="Arial"/>
          <w:color w:val="525252"/>
          <w:sz w:val="13"/>
        </w:rPr>
        <w:t>Avoiding.</w:t>
      </w:r>
    </w:p>
    <w:p>
      <w:pPr>
        <w:spacing w:after="20" w:line="223" w:lineRule="auto"/>
        <w:jc w:val="right"/>
        <w:bidi/>
      </w:pPr>
      <w:r>
        <w:rPr>
          <w:rFonts w:ascii="Arial" w:hAnsi="Arial"/>
          <w:sz w:val="16"/>
        </w:rPr>
        <w:t>247.22  (قاطعیت کم و همکاری کم).</w:t>
      </w:r>
    </w:p>
    <w:p>
      <w:pPr>
        <w:spacing w:after="28" w:line="216" w:lineRule="auto"/>
        <w:ind w:left="259"/>
        <w:jc w:val="left"/>
      </w:pPr>
      <w:r>
        <w:rPr>
          <w:rFonts w:ascii="Arial" w:hAnsi="Arial"/>
          <w:color w:val="525252"/>
          <w:sz w:val="13"/>
        </w:rPr>
        <w:t>(Low assertiveness and low cooperativeness).</w:t>
      </w:r>
    </w:p>
    <w:p>
      <w:pPr>
        <w:spacing w:after="20" w:line="223" w:lineRule="auto"/>
        <w:jc w:val="right"/>
        <w:bidi/>
      </w:pPr>
      <w:r>
        <w:rPr>
          <w:rFonts w:ascii="Arial" w:hAnsi="Arial"/>
          <w:sz w:val="16"/>
        </w:rPr>
        <w:t>247.23  به نظر می‌رسد سبک اجتنابی نشان‌دهنده موضع خنثی شرکت‌کنندگان است که اغلب می‌تواند منجر به "کارها به خودی خود" شود، اما همچنین می‌تواند با اجازه دادن به حل نشدن یک موقعیت منجر به تشدید آن شود.</w:t>
      </w:r>
    </w:p>
    <w:p>
      <w:pPr>
        <w:spacing w:after="28" w:line="216" w:lineRule="auto"/>
        <w:ind w:left="259"/>
        <w:jc w:val="left"/>
      </w:pPr>
      <w:r>
        <w:rPr>
          <w:rFonts w:ascii="Arial" w:hAnsi="Arial"/>
          <w:color w:val="525252"/>
          <w:sz w:val="13"/>
        </w:rPr>
        <w:t>The avoiding style appears to indicate a neutral position of participants which can often lead to ‘things working themselves out,’ but can also result in an escalation of a situation by allowing it to go unresolved.</w:t>
      </w:r>
    </w:p>
    <w:p>
      <w:pPr>
        <w:spacing w:after="20" w:line="223" w:lineRule="auto"/>
        <w:jc w:val="right"/>
        <w:bidi/>
      </w:pPr>
      <w:r>
        <w:rPr>
          <w:rFonts w:ascii="Arial" w:hAnsi="Arial"/>
          <w:sz w:val="16"/>
        </w:rPr>
        <w:t>247.24  سازش.</w:t>
      </w:r>
    </w:p>
    <w:p>
      <w:pPr>
        <w:spacing w:after="28" w:line="216" w:lineRule="auto"/>
        <w:ind w:left="259"/>
        <w:jc w:val="left"/>
      </w:pPr>
      <w:r>
        <w:rPr>
          <w:rFonts w:ascii="Arial" w:hAnsi="Arial"/>
          <w:color w:val="525252"/>
          <w:sz w:val="13"/>
        </w:rPr>
        <w:t>Compromising.</w:t>
      </w:r>
    </w:p>
    <w:p>
      <w:pPr>
        <w:spacing w:after="20" w:line="223" w:lineRule="auto"/>
        <w:jc w:val="right"/>
        <w:bidi/>
      </w:pPr>
      <w:r>
        <w:rPr>
          <w:rFonts w:ascii="Arial" w:hAnsi="Arial"/>
          <w:sz w:val="16"/>
        </w:rPr>
        <w:t>247.25  (بعضی قاطعیت و مقداری تعاون).</w:t>
      </w:r>
    </w:p>
    <w:p>
      <w:pPr>
        <w:spacing w:after="28" w:line="216" w:lineRule="auto"/>
        <w:ind w:left="259"/>
        <w:jc w:val="left"/>
      </w:pPr>
      <w:r>
        <w:rPr>
          <w:rFonts w:ascii="Arial" w:hAnsi="Arial"/>
          <w:color w:val="525252"/>
          <w:sz w:val="13"/>
        </w:rPr>
        <w:t>(Some assertiveness and some cooperativeness).</w:t>
      </w:r>
    </w:p>
    <w:p>
      <w:pPr>
        <w:spacing w:after="20" w:line="223" w:lineRule="auto"/>
        <w:jc w:val="right"/>
        <w:bidi/>
      </w:pPr>
      <w:r>
        <w:rPr>
          <w:rFonts w:ascii="Arial" w:hAnsi="Arial"/>
          <w:sz w:val="16"/>
        </w:rPr>
        <w:t>247.26  سبک سازش مستلزم تمایل هر دو طرف برای تغییر، تعدیل یا کنار گذاشتن چیزی است.</w:t>
      </w:r>
    </w:p>
    <w:p>
      <w:pPr>
        <w:spacing w:after="28" w:line="216" w:lineRule="auto"/>
        <w:ind w:left="259"/>
        <w:jc w:val="left"/>
      </w:pPr>
      <w:r>
        <w:rPr>
          <w:rFonts w:ascii="Arial" w:hAnsi="Arial"/>
          <w:color w:val="525252"/>
          <w:sz w:val="13"/>
        </w:rPr>
        <w:t>The compromising style requires a willingness of both parties to change, adjust, or give something up.</w:t>
      </w:r>
    </w:p>
    <w:p>
      <w:pPr>
        <w:spacing w:after="20" w:line="223" w:lineRule="auto"/>
        <w:jc w:val="right"/>
        <w:bidi/>
      </w:pPr>
      <w:r>
        <w:rPr>
          <w:rFonts w:ascii="Arial" w:hAnsi="Arial"/>
          <w:sz w:val="16"/>
        </w:rPr>
        <w:t>247.27  سازش شامل رفتاری است که می‌خواهد تا حدی خواسته‌های هر دو طرف را برآورده کند و تعارض را حل کند.</w:t>
      </w:r>
    </w:p>
    <w:p>
      <w:pPr>
        <w:spacing w:after="28" w:line="216" w:lineRule="auto"/>
        <w:ind w:left="259"/>
        <w:jc w:val="left"/>
      </w:pPr>
      <w:r>
        <w:rPr>
          <w:rFonts w:ascii="Arial" w:hAnsi="Arial"/>
          <w:color w:val="525252"/>
          <w:sz w:val="13"/>
        </w:rPr>
        <w:t>Compromising involves behavior that seeks to partially satisfy both parties’ desires and resolves the conflict.</w:t>
      </w:r>
    </w:p>
    <w:p>
      <w:pPr>
        <w:spacing w:after="20" w:line="223" w:lineRule="auto"/>
        <w:jc w:val="right"/>
        <w:bidi/>
      </w:pPr>
      <w:r>
        <w:rPr>
          <w:rFonts w:ascii="Arial" w:hAnsi="Arial"/>
          <w:sz w:val="16"/>
        </w:rPr>
        <w:t>247.28  توجه: همه موقعیت‌ها منحصر به فرد هستند، بسته به افراد درگیر، بحرانی بودن مسائل و فوریت موقعیت‌ها.</w:t>
      </w:r>
    </w:p>
    <w:p>
      <w:pPr>
        <w:spacing w:after="28" w:line="216" w:lineRule="auto"/>
        <w:ind w:left="259"/>
        <w:jc w:val="left"/>
      </w:pPr>
      <w:r>
        <w:rPr>
          <w:rFonts w:ascii="Arial" w:hAnsi="Arial"/>
          <w:color w:val="525252"/>
          <w:sz w:val="13"/>
        </w:rPr>
        <w:t>Note: All situations are unique, depending on the individuals involved, the criticality of the issues, and the urgency of the situations.</w:t>
      </w:r>
    </w:p>
    <w:p>
      <w:pPr>
        <w:spacing w:after="20" w:line="223" w:lineRule="auto"/>
        <w:jc w:val="right"/>
        <w:bidi/>
      </w:pPr>
      <w:r>
        <w:rPr>
          <w:rFonts w:ascii="Arial" w:hAnsi="Arial"/>
          <w:sz w:val="16"/>
        </w:rPr>
        <w:t>247.29  هنگام در نظر گرفتن هر یک از سبک‌های مدیریت تعارض، چه کسی، ریسک‌ها و موقعیت را در نظر بگیرید تا بهترین رویکرد برای حل تعارض را تعیین کنید.</w:t>
      </w:r>
    </w:p>
    <w:p>
      <w:pPr>
        <w:spacing w:after="28" w:line="216" w:lineRule="auto"/>
        <w:ind w:left="259"/>
        <w:jc w:val="left"/>
      </w:pPr>
      <w:r>
        <w:rPr>
          <w:rFonts w:ascii="Arial" w:hAnsi="Arial"/>
          <w:color w:val="525252"/>
          <w:sz w:val="13"/>
        </w:rPr>
        <w:t>When considering each of the conflict management styles, consider the who, the stakes, and the situation to determine the best approach to take to resolve conflict.</w:t>
      </w:r>
    </w:p>
    <w:p>
      <w:pPr>
        <w:spacing w:after="20" w:line="223" w:lineRule="auto"/>
        <w:jc w:val="right"/>
        <w:bidi/>
      </w:pPr>
      <w:r>
        <w:rPr>
          <w:rFonts w:ascii="Arial" w:hAnsi="Arial"/>
          <w:sz w:val="16"/>
        </w:rPr>
        <w:t>247.30  مرکز مذاکره USAF (https://www.airuniversity.af.edu/AFNC/) دارای منابع اضافی در مورد مذاکره و مدیریت درگیری است.</w:t>
      </w:r>
    </w:p>
    <w:p>
      <w:pPr>
        <w:spacing w:after="28" w:line="216" w:lineRule="auto"/>
        <w:ind w:left="259"/>
        <w:jc w:val="left"/>
      </w:pPr>
      <w:r>
        <w:rPr>
          <w:rFonts w:ascii="Arial" w:hAnsi="Arial"/>
          <w:color w:val="525252"/>
          <w:sz w:val="13"/>
        </w:rPr>
        <w:t>The USAF Negotiation Center (https://www.airuniversity.af.edu/AFNC/) has additional resources on negotiation and conflict management.</w:t>
      </w:r>
    </w:p>
    <w:p>
      <w:r>
        <w:br w:type="page"/>
      </w:r>
    </w:p>
    <w:p>
      <w:pPr>
        <w:spacing w:after="60"/>
        <w:jc w:val="right"/>
        <w:bidi/>
      </w:pPr>
      <w:r>
        <w:rPr>
          <w:rFonts w:ascii="Arial" w:hAnsi="Arial"/>
          <w:b/>
          <w:color w:val="1F4D78"/>
          <w:sz w:val="19"/>
        </w:rPr>
        <w:t>هفتهٔ 248  |  صفحهٔ منبع: 264</w:t>
      </w:r>
    </w:p>
    <w:p>
      <w:pPr>
        <w:spacing w:before="60" w:after="28"/>
        <w:jc w:val="right"/>
        <w:bidi/>
      </w:pPr>
      <w:r>
        <w:rPr>
          <w:b/>
          <w:color w:val="1F4D78"/>
          <w:sz w:val="18"/>
        </w:rPr>
        <w:t>بخش 14B - افراد را توسعه می‌دهد</w:t>
      </w:r>
    </w:p>
    <w:p>
      <w:pPr>
        <w:spacing w:after="20"/>
        <w:ind w:left="259"/>
        <w:jc w:val="left"/>
      </w:pPr>
      <w:r>
        <w:rPr>
          <w:color w:val="555555"/>
          <w:sz w:val="12"/>
        </w:rPr>
        <w:t>Section 14B—Develops People</w:t>
      </w:r>
    </w:p>
    <w:p>
      <w:pPr>
        <w:spacing w:before="60" w:after="28"/>
        <w:jc w:val="right"/>
        <w:bidi/>
      </w:pPr>
      <w:r>
        <w:rPr>
          <w:b/>
          <w:color w:val="1F4D78"/>
          <w:sz w:val="18"/>
        </w:rPr>
        <w:t>14.6. مسئولیت رهبری</w:t>
      </w:r>
    </w:p>
    <w:p>
      <w:pPr>
        <w:spacing w:after="20"/>
        <w:ind w:left="259"/>
        <w:jc w:val="left"/>
      </w:pPr>
      <w:r>
        <w:rPr>
          <w:color w:val="555555"/>
          <w:sz w:val="12"/>
        </w:rPr>
        <w:t>14.6. Leadership Responsibility</w:t>
      </w:r>
    </w:p>
    <w:p>
      <w:pPr>
        <w:spacing w:after="20" w:line="223" w:lineRule="auto"/>
        <w:jc w:val="right"/>
        <w:bidi/>
      </w:pPr>
      <w:r>
        <w:rPr>
          <w:rFonts w:ascii="Arial" w:hAnsi="Arial"/>
          <w:sz w:val="16"/>
        </w:rPr>
        <w:t>248.03  رهبری اغلب با عنوان یا مقام یک فرد نشان داده می‌شود.</w:t>
      </w:r>
    </w:p>
    <w:p>
      <w:pPr>
        <w:spacing w:after="28" w:line="216" w:lineRule="auto"/>
        <w:ind w:left="259"/>
        <w:jc w:val="left"/>
      </w:pPr>
      <w:r>
        <w:rPr>
          <w:rFonts w:ascii="Arial" w:hAnsi="Arial"/>
          <w:color w:val="525252"/>
          <w:sz w:val="13"/>
        </w:rPr>
        <w:t>Leadership is often indicated by a person’s title or position of authority.</w:t>
      </w:r>
    </w:p>
    <w:p>
      <w:pPr>
        <w:spacing w:after="20" w:line="223" w:lineRule="auto"/>
        <w:jc w:val="right"/>
        <w:bidi/>
      </w:pPr>
      <w:r>
        <w:rPr>
          <w:rFonts w:ascii="Arial" w:hAnsi="Arial"/>
          <w:sz w:val="16"/>
        </w:rPr>
        <w:t>248.04  اما رهبری توانایی‌ای است که همه ما می‌توانیم آن را توسعه دهیم، پرورش دهیم و آن را گسترش دهیم.</w:t>
      </w:r>
    </w:p>
    <w:p>
      <w:pPr>
        <w:spacing w:after="28" w:line="216" w:lineRule="auto"/>
        <w:ind w:left="259"/>
        <w:jc w:val="left"/>
      </w:pPr>
      <w:r>
        <w:rPr>
          <w:rFonts w:ascii="Arial" w:hAnsi="Arial"/>
          <w:color w:val="525252"/>
          <w:sz w:val="13"/>
        </w:rPr>
        <w:t>But leadership is an ability we can all develop, cultivate, and expand upon.</w:t>
      </w:r>
    </w:p>
    <w:p>
      <w:pPr>
        <w:spacing w:after="20" w:line="223" w:lineRule="auto"/>
        <w:jc w:val="right"/>
        <w:bidi/>
      </w:pPr>
      <w:r>
        <w:rPr>
          <w:rFonts w:ascii="Arial" w:hAnsi="Arial"/>
          <w:sz w:val="16"/>
        </w:rPr>
        <w:t>248.05  فرهنگ لغت مرریام-وبستر کلمه سرب را اینگونه تعریف می‌کند: «راهنمایی در مسیری مخصوصا با پیشروی» یا «راهنمایی در یک مسیر یا در یک جهت». رهبر نظامی به "کسی که یک نیرو یا واحد نظامی را هدایت می‌کند" یا "کسی که دارای اختیار یا نفوذ فرماندهی است" در نظر گرفته می‌شود. رهبری، به‌عنوان یک ویژگی اخلاقی که از طریق یک نقش فرماندهی یا رهبری به عمل می‌آید، می‌تواند برای جابه‌جایی کوه‌ها یا جابه‌جایی افراد در اطراف، اطراف، یا از میان کوه‌ها، هرکدام که لازم باشد، مفید باشد.</w:t>
      </w:r>
    </w:p>
    <w:p>
      <w:pPr>
        <w:spacing w:after="28" w:line="216" w:lineRule="auto"/>
        <w:ind w:left="259"/>
        <w:jc w:val="left"/>
      </w:pPr>
      <w:r>
        <w:rPr>
          <w:rFonts w:ascii="Arial" w:hAnsi="Arial"/>
          <w:color w:val="525252"/>
          <w:sz w:val="13"/>
        </w:rPr>
        <w:t>Merriam-Webster’s dictionary defines the word lead as, “to guide on a way especially by going in advance” or “to direct on a course or in a direction.” A military leader is considered to be, “a person who directs a military force or unit” or “one who has commanding authority or influence.” Leadership, as a moral quality put into action through a command or leadership role, can serve to move mountains…or move people over, around, or through mountains, whichever is required.</w:t>
      </w:r>
    </w:p>
    <w:p>
      <w:pPr>
        <w:spacing w:after="20" w:line="223" w:lineRule="auto"/>
        <w:jc w:val="right"/>
        <w:bidi/>
      </w:pPr>
      <w:r>
        <w:rPr>
          <w:rFonts w:ascii="Arial" w:hAnsi="Arial"/>
          <w:sz w:val="16"/>
        </w:rPr>
        <w:t>248.06  یکی دیگر از روش‌های نگاه به رهبری در USAF را می‌توان هنر و علم انجام مأموریت USAF با ایجاد انگیزه، تأثیرگذاری و هدایت افراد هوایی دانست.</w:t>
      </w:r>
    </w:p>
    <w:p>
      <w:pPr>
        <w:spacing w:after="28" w:line="216" w:lineRule="auto"/>
        <w:ind w:left="259"/>
        <w:jc w:val="left"/>
      </w:pPr>
      <w:r>
        <w:rPr>
          <w:rFonts w:ascii="Arial" w:hAnsi="Arial"/>
          <w:color w:val="525252"/>
          <w:sz w:val="13"/>
        </w:rPr>
        <w:t>Another way of looking at leading in the USAF can be recognized as the art and science of accomplishing the USAF mission by motivating, influencing, and directing Airmen.</w:t>
      </w:r>
    </w:p>
    <w:p>
      <w:pPr>
        <w:spacing w:after="20" w:line="223" w:lineRule="auto"/>
        <w:jc w:val="right"/>
        <w:bidi/>
      </w:pPr>
      <w:r>
        <w:rPr>
          <w:rFonts w:ascii="Arial" w:hAnsi="Arial"/>
          <w:sz w:val="16"/>
        </w:rPr>
        <w:t>248.07  این دو عنصر اصلی، مأموریت، هدف یا وظیفه‌ای که باید انجام شود را برجسته می‌کند. و هوانوردانی که آن را به انجام خواهند رساند.</w:t>
      </w:r>
    </w:p>
    <w:p>
      <w:pPr>
        <w:spacing w:after="28" w:line="216" w:lineRule="auto"/>
        <w:ind w:left="259"/>
        <w:jc w:val="left"/>
      </w:pPr>
      <w:r>
        <w:rPr>
          <w:rFonts w:ascii="Arial" w:hAnsi="Arial"/>
          <w:color w:val="525252"/>
          <w:sz w:val="13"/>
        </w:rPr>
        <w:t>This highlights two central elements, the mission, objective, or task to be accomplished; and the Airmen who will accomplish it.</w:t>
      </w:r>
    </w:p>
    <w:p>
      <w:pPr>
        <w:spacing w:after="20" w:line="223" w:lineRule="auto"/>
        <w:jc w:val="right"/>
        <w:bidi/>
      </w:pPr>
      <w:r>
        <w:rPr>
          <w:rFonts w:ascii="Arial" w:hAnsi="Arial"/>
          <w:sz w:val="16"/>
        </w:rPr>
        <w:t>248.08  علم رهبری در حال مشاهده و مطالعه به روشها و درک اینکه رهبری چیست اشاره دارد.</w:t>
      </w:r>
    </w:p>
    <w:p>
      <w:pPr>
        <w:spacing w:after="28" w:line="216" w:lineRule="auto"/>
        <w:ind w:left="259"/>
        <w:jc w:val="left"/>
      </w:pPr>
      <w:r>
        <w:rPr>
          <w:rFonts w:ascii="Arial" w:hAnsi="Arial"/>
          <w:color w:val="525252"/>
          <w:sz w:val="13"/>
        </w:rPr>
        <w:t>The science of leadership being observed and studied refers to the methods and understanding of what leadership is.</w:t>
      </w:r>
    </w:p>
    <w:p>
      <w:pPr>
        <w:spacing w:after="20" w:line="223" w:lineRule="auto"/>
        <w:jc w:val="right"/>
        <w:bidi/>
      </w:pPr>
      <w:r>
        <w:rPr>
          <w:rFonts w:ascii="Arial" w:hAnsi="Arial"/>
          <w:sz w:val="16"/>
        </w:rPr>
        <w:t>248.09  هنر رهبری، شخصی و ذهنی بودن، به نمایش و کاربرد رهبری اشاره دارد.</w:t>
      </w:r>
    </w:p>
    <w:p>
      <w:pPr>
        <w:spacing w:after="28" w:line="216" w:lineRule="auto"/>
        <w:ind w:left="259"/>
        <w:jc w:val="left"/>
      </w:pPr>
      <w:r>
        <w:rPr>
          <w:rFonts w:ascii="Arial" w:hAnsi="Arial"/>
          <w:color w:val="525252"/>
          <w:sz w:val="13"/>
        </w:rPr>
        <w:t>The art of leadership, being personal and subjective, refers to the demonstration and application of leading.</w:t>
      </w:r>
    </w:p>
    <w:p>
      <w:pPr>
        <w:spacing w:before="60" w:after="28"/>
        <w:jc w:val="right"/>
        <w:bidi/>
      </w:pPr>
      <w:r>
        <w:rPr>
          <w:b/>
          <w:color w:val="1F4D78"/>
          <w:sz w:val="18"/>
        </w:rPr>
        <w:t>14.7. رهبری و مدیریت</w:t>
      </w:r>
    </w:p>
    <w:p>
      <w:pPr>
        <w:spacing w:after="20"/>
        <w:ind w:left="259"/>
        <w:jc w:val="left"/>
      </w:pPr>
      <w:r>
        <w:rPr>
          <w:color w:val="555555"/>
          <w:sz w:val="12"/>
        </w:rPr>
        <w:t>14.7. Leadership and Management</w:t>
      </w:r>
    </w:p>
    <w:p>
      <w:pPr>
        <w:spacing w:after="20" w:line="223" w:lineRule="auto"/>
        <w:jc w:val="right"/>
        <w:bidi/>
      </w:pPr>
      <w:r>
        <w:rPr>
          <w:rFonts w:ascii="Arial" w:hAnsi="Arial"/>
          <w:sz w:val="16"/>
        </w:rPr>
        <w:t>248.11  در حالی که رهبری و مدیریت از بسیاری جهات موضوعات جداگانه‌ای هستند، آنها در تولید عناصری که موفقیت مأموریت را ارتقا می‌دهند، دست به دست هم می‌دهند.</w:t>
      </w:r>
    </w:p>
    <w:p>
      <w:pPr>
        <w:spacing w:after="28" w:line="216" w:lineRule="auto"/>
        <w:ind w:left="259"/>
        <w:jc w:val="left"/>
      </w:pPr>
      <w:r>
        <w:rPr>
          <w:rFonts w:ascii="Arial" w:hAnsi="Arial"/>
          <w:color w:val="525252"/>
          <w:sz w:val="13"/>
        </w:rPr>
        <w:t>While leadership and management are separate topics in many respects, they go hand in hand in producing elements that promote mission success.</w:t>
      </w:r>
    </w:p>
    <w:p>
      <w:pPr>
        <w:spacing w:after="20" w:line="223" w:lineRule="auto"/>
        <w:jc w:val="right"/>
        <w:bidi/>
      </w:pPr>
      <w:r>
        <w:rPr>
          <w:rFonts w:ascii="Arial" w:hAnsi="Arial"/>
          <w:sz w:val="16"/>
        </w:rPr>
        <w:t>248.12  سازمانها به تعادل قوی هر دو نیاز دارند.</w:t>
      </w:r>
    </w:p>
    <w:p>
      <w:pPr>
        <w:spacing w:after="28" w:line="216" w:lineRule="auto"/>
        <w:ind w:left="259"/>
        <w:jc w:val="left"/>
      </w:pPr>
      <w:r>
        <w:rPr>
          <w:rFonts w:ascii="Arial" w:hAnsi="Arial"/>
          <w:color w:val="525252"/>
          <w:sz w:val="13"/>
        </w:rPr>
        <w:t>Organizations need a strong balance of both.</w:t>
      </w:r>
    </w:p>
    <w:p>
      <w:pPr>
        <w:spacing w:after="20" w:line="223" w:lineRule="auto"/>
        <w:jc w:val="right"/>
        <w:bidi/>
      </w:pPr>
      <w:r>
        <w:rPr>
          <w:rFonts w:ascii="Arial" w:hAnsi="Arial"/>
          <w:sz w:val="16"/>
        </w:rPr>
        <w:t>248.13  «مدیریت وادار کردن مردم به انجام کاری است که باید انجام شود.</w:t>
      </w:r>
    </w:p>
    <w:p>
      <w:pPr>
        <w:spacing w:after="28" w:line="216" w:lineRule="auto"/>
        <w:ind w:left="259"/>
        <w:jc w:val="left"/>
      </w:pPr>
      <w:r>
        <w:rPr>
          <w:rFonts w:ascii="Arial" w:hAnsi="Arial"/>
          <w:color w:val="525252"/>
          <w:sz w:val="13"/>
        </w:rPr>
        <w:t>“Management is getting people to do what needs to be done.</w:t>
      </w:r>
    </w:p>
    <w:p>
      <w:pPr>
        <w:spacing w:after="20" w:line="223" w:lineRule="auto"/>
        <w:jc w:val="right"/>
        <w:bidi/>
      </w:pPr>
      <w:r>
        <w:rPr>
          <w:rFonts w:ascii="Arial" w:hAnsi="Arial"/>
          <w:sz w:val="16"/>
        </w:rPr>
        <w:t>248.14  رهبری یعنی وادار کردن مردم به انجام کاری که باید انجام شود. وارن جی بنیس، دکتری. رهبر شخصی است که رهبری یا فرماندهی یک گروه، سازمان یا کشور را بر عهده دارد.</w:t>
      </w:r>
    </w:p>
    <w:p>
      <w:pPr>
        <w:spacing w:after="28" w:line="216" w:lineRule="auto"/>
        <w:ind w:left="259"/>
        <w:jc w:val="left"/>
      </w:pPr>
      <w:r>
        <w:rPr>
          <w:rFonts w:ascii="Arial" w:hAnsi="Arial"/>
          <w:color w:val="525252"/>
          <w:sz w:val="13"/>
        </w:rPr>
        <w:t>Leadership is getting people to want to do what needs to be done.” Warren G. Bennis, Ph.D. A leader is a person who leads or commands a group, organization, or country.</w:t>
      </w:r>
    </w:p>
    <w:p>
      <w:pPr>
        <w:spacing w:after="20" w:line="223" w:lineRule="auto"/>
        <w:jc w:val="right"/>
        <w:bidi/>
      </w:pPr>
      <w:r>
        <w:rPr>
          <w:rFonts w:ascii="Arial" w:hAnsi="Arial"/>
          <w:sz w:val="16"/>
        </w:rPr>
        <w:t>248.15  اصطلاحاتی که اغلب با نقش‌های رهبری مرتبط هستند شامل رهبر پرواز، رهبر تیم و رهبر گروه می‌شوند.</w:t>
      </w:r>
    </w:p>
    <w:p>
      <w:pPr>
        <w:spacing w:after="28" w:line="216" w:lineRule="auto"/>
        <w:ind w:left="259"/>
        <w:jc w:val="left"/>
      </w:pPr>
      <w:r>
        <w:rPr>
          <w:rFonts w:ascii="Arial" w:hAnsi="Arial"/>
          <w:color w:val="525252"/>
          <w:sz w:val="13"/>
        </w:rPr>
        <w:t>Terms often associated with leadership roles include flight leader, team leader, and squad leader.</w:t>
      </w:r>
    </w:p>
    <w:p>
      <w:pPr>
        <w:spacing w:after="20" w:line="223" w:lineRule="auto"/>
        <w:jc w:val="right"/>
        <w:bidi/>
      </w:pPr>
      <w:r>
        <w:rPr>
          <w:rFonts w:ascii="Arial" w:hAnsi="Arial"/>
          <w:sz w:val="16"/>
        </w:rPr>
        <w:t>248.16  وارن جی. بنیس، رئیس مؤسس مؤسسه رهبری، دانشگاه کالیفرنیای جنوبی، سه ویژگی اصلی رهبر رفتاری را به‌عنوان توانایی برای ایجاد انگیزه، توسعه و الهام بخشی نامید.</w:t>
      </w:r>
    </w:p>
    <w:p>
      <w:pPr>
        <w:spacing w:after="28" w:line="216" w:lineRule="auto"/>
        <w:ind w:left="259"/>
        <w:jc w:val="left"/>
      </w:pPr>
      <w:r>
        <w:rPr>
          <w:rFonts w:ascii="Arial" w:hAnsi="Arial"/>
          <w:color w:val="525252"/>
          <w:sz w:val="13"/>
        </w:rPr>
        <w:t>Warren G. Bennis, Founding Chair, The Leadership Institute, University of Southern California, labeled three primary behavioral leader characteristics as the abilities to motivate, develop, and inspire.</w:t>
      </w:r>
    </w:p>
    <w:p>
      <w:pPr>
        <w:spacing w:after="20" w:line="223" w:lineRule="auto"/>
        <w:jc w:val="right"/>
        <w:bidi/>
      </w:pPr>
      <w:r>
        <w:rPr>
          <w:rFonts w:ascii="Arial" w:hAnsi="Arial"/>
          <w:sz w:val="16"/>
        </w:rPr>
        <w:t>248.17  تحت این مدل، رهبران با ارضای نیازهای انسانی برای احساس تعلق (تعلق و عشق)، شناخت (عزت)، عزت نفس (عزت) و کنترل بر زندگی (ایمنی و امنیت) که می‌تواند منجر به احساس دستیابی به خود شود، افراد را به تعامل و درک یکدیگر تشویق می‌کنند و آنها را در مسیر درست حرکت می‌کنند.</w:t>
      </w:r>
    </w:p>
    <w:p>
      <w:pPr>
        <w:spacing w:after="28" w:line="216" w:lineRule="auto"/>
        <w:ind w:left="259"/>
        <w:jc w:val="left"/>
      </w:pPr>
      <w:r>
        <w:rPr>
          <w:rFonts w:ascii="Arial" w:hAnsi="Arial"/>
          <w:color w:val="525252"/>
          <w:sz w:val="13"/>
        </w:rPr>
        <w:t>Under this model, leaders motivate and inspire people to interact and understand one another as they move in the right direction by satisfying human needs for a sense of belonging (belongingness and love), recognition (esteem), self-esteem (esteem), and control over their lives (safety and security) which can lead to a sense of achievement (self-actualization).</w:t>
      </w:r>
    </w:p>
    <w:p>
      <w:pPr>
        <w:spacing w:after="20" w:line="223" w:lineRule="auto"/>
        <w:jc w:val="right"/>
        <w:bidi/>
      </w:pPr>
      <w:r>
        <w:rPr>
          <w:rFonts w:ascii="Arial" w:hAnsi="Arial"/>
          <w:sz w:val="16"/>
        </w:rPr>
        <w:t>248.18  مدلی که توسط وارن بنیس ایجاد شده است، تئوری سلسله مراتب نیازهای آبراهام مزلو (شکل ۱۴.۱.) را برای انگیزه که مسیر خودشکوفایی را ترسیم می‌کند، منعکس می‌کند.</w:t>
      </w:r>
    </w:p>
    <w:p>
      <w:pPr>
        <w:spacing w:after="28" w:line="216" w:lineRule="auto"/>
        <w:ind w:left="259"/>
        <w:jc w:val="left"/>
      </w:pPr>
      <w:r>
        <w:rPr>
          <w:rFonts w:ascii="Arial" w:hAnsi="Arial"/>
          <w:color w:val="525252"/>
          <w:sz w:val="13"/>
        </w:rPr>
        <w:t>The model developed by Warren Bennis echoes Abraham Maslow’s Hierarchy of Needs theory (Figure 14.1.) for motivation which outlines the road to self-actualization.</w:t>
      </w:r>
    </w:p>
    <w:p>
      <w:pPr>
        <w:spacing w:after="20" w:line="223" w:lineRule="auto"/>
        <w:jc w:val="right"/>
        <w:bidi/>
      </w:pPr>
      <w:r>
        <w:rPr>
          <w:rFonts w:ascii="Arial" w:hAnsi="Arial"/>
          <w:sz w:val="16"/>
        </w:rPr>
        <w:t>248.19  آبراهام مزلو روانشناس معروفی بود که در نظریه سلامت روانی تخصص داشت.</w:t>
      </w:r>
    </w:p>
    <w:p>
      <w:pPr>
        <w:spacing w:after="28" w:line="216" w:lineRule="auto"/>
        <w:ind w:left="259"/>
        <w:jc w:val="left"/>
      </w:pPr>
      <w:r>
        <w:rPr>
          <w:rFonts w:ascii="Arial" w:hAnsi="Arial"/>
          <w:color w:val="525252"/>
          <w:sz w:val="13"/>
        </w:rPr>
        <w:t>Abraham Maslow was a well-known psychologist who specialized in the theory of psychological health.</w:t>
      </w:r>
    </w:p>
    <w:p>
      <w:pPr>
        <w:spacing w:after="20" w:line="223" w:lineRule="auto"/>
        <w:jc w:val="right"/>
        <w:bidi/>
      </w:pPr>
      <w:r>
        <w:rPr>
          <w:rFonts w:ascii="Arial" w:hAnsi="Arial"/>
          <w:sz w:val="16"/>
        </w:rPr>
        <w:t>248.20  او بیشتر به خاطر نظریه‌اش در مورد سلسله مراتب نیازها مشهور است که الزامات اساسی را که باید قبل از رسیدن به خودشکوفایی نهایی یا تحقق بالاترین پتانسیل‌های شما محقق شوند، تشریح می‌کند.</w:t>
      </w:r>
    </w:p>
    <w:p>
      <w:pPr>
        <w:spacing w:after="28" w:line="216" w:lineRule="auto"/>
        <w:ind w:left="259"/>
        <w:jc w:val="left"/>
      </w:pPr>
      <w:r>
        <w:rPr>
          <w:rFonts w:ascii="Arial" w:hAnsi="Arial"/>
          <w:color w:val="525252"/>
          <w:sz w:val="13"/>
        </w:rPr>
        <w:t>He is most famous for his theory on the Hierarchy of Needs which outlines basic requirements that must be achieved before ultimately reaching self-actualization or fulfilling your highest potential.</w:t>
      </w:r>
    </w:p>
    <w:p>
      <w:pPr>
        <w:spacing w:after="20" w:line="223" w:lineRule="auto"/>
        <w:jc w:val="right"/>
        <w:bidi/>
      </w:pPr>
      <w:r>
        <w:rPr>
          <w:rFonts w:ascii="Arial" w:hAnsi="Arial"/>
          <w:sz w:val="16"/>
        </w:rPr>
        <w:t>248.21  بر اساس نظریه مزلو، برای تلاش برای موفقیت در یک سطح، باید در سطح قبلی موفق باشید.</w:t>
      </w:r>
    </w:p>
    <w:p>
      <w:pPr>
        <w:spacing w:after="28" w:line="216" w:lineRule="auto"/>
        <w:ind w:left="259"/>
        <w:jc w:val="left"/>
      </w:pPr>
      <w:r>
        <w:rPr>
          <w:rFonts w:ascii="Arial" w:hAnsi="Arial"/>
          <w:color w:val="525252"/>
          <w:sz w:val="13"/>
        </w:rPr>
        <w:t>Based on Maslow’s theory, in order to attempt success at one level, you must be successful in the previous.</w:t>
      </w:r>
    </w:p>
    <w:p>
      <w:pPr>
        <w:spacing w:after="20" w:line="223" w:lineRule="auto"/>
        <w:jc w:val="right"/>
        <w:bidi/>
      </w:pPr>
      <w:r>
        <w:rPr>
          <w:rFonts w:ascii="Arial" w:hAnsi="Arial"/>
          <w:sz w:val="16"/>
        </w:rPr>
        <w:t>248.22  برای مثال، اگر گرسنه یا تشنه هستید (نیازهای فیزیولوژیکی)، تا زمانی که آب و غذا نداشته باشید، نمی‌توانید بر ایجاد روابط (تعلق) تمرکز کنید.</w:t>
      </w:r>
    </w:p>
    <w:p>
      <w:pPr>
        <w:spacing w:after="28" w:line="216" w:lineRule="auto"/>
        <w:ind w:left="259"/>
        <w:jc w:val="left"/>
      </w:pPr>
      <w:r>
        <w:rPr>
          <w:rFonts w:ascii="Arial" w:hAnsi="Arial"/>
          <w:color w:val="525252"/>
          <w:sz w:val="13"/>
        </w:rPr>
        <w:t>For example, if you are hungry or thirsty (physiological needs), you will not be able to focus on building relationships (belongingness) until you have food and water.</w:t>
      </w:r>
    </w:p>
    <w:p>
      <w:pPr>
        <w:spacing w:after="20" w:line="223" w:lineRule="auto"/>
        <w:jc w:val="right"/>
        <w:bidi/>
      </w:pPr>
      <w:r>
        <w:rPr>
          <w:rFonts w:ascii="Arial" w:hAnsi="Arial"/>
          <w:sz w:val="16"/>
        </w:rPr>
        <w:t>248.23  این نظریه به محیط کار ترجمه می‌شود زیرا افرادی که نگران حفظ امنیت شغلی خود هستند، نمی‌توانند بر تلاش برای موفقیت تمرکز کنند، که این امر</w:t>
      </w:r>
    </w:p>
    <w:p>
      <w:pPr>
        <w:spacing w:after="28" w:line="216" w:lineRule="auto"/>
        <w:ind w:left="259"/>
        <w:jc w:val="left"/>
      </w:pPr>
      <w:r>
        <w:rPr>
          <w:rFonts w:ascii="Arial" w:hAnsi="Arial"/>
          <w:color w:val="525252"/>
          <w:sz w:val="13"/>
        </w:rPr>
        <w:t>This theory translates to the work environment as the individuals who are concerned about keeping their job security will not be able to focus on striving for achievement, which will</w:t>
      </w:r>
    </w:p>
    <w:p>
      <w:r>
        <w:br w:type="page"/>
      </w:r>
    </w:p>
    <w:p>
      <w:pPr>
        <w:spacing w:after="60"/>
        <w:jc w:val="right"/>
        <w:bidi/>
      </w:pPr>
      <w:r>
        <w:rPr>
          <w:rFonts w:ascii="Arial" w:hAnsi="Arial"/>
          <w:b/>
          <w:color w:val="1F4D78"/>
          <w:sz w:val="19"/>
        </w:rPr>
        <w:t>هفتهٔ 249  |  صفحهٔ منبع: 265</w:t>
      </w:r>
    </w:p>
    <w:p>
      <w:pPr>
        <w:spacing w:after="20" w:line="223" w:lineRule="auto"/>
        <w:jc w:val="right"/>
        <w:bidi/>
      </w:pPr>
      <w:r>
        <w:rPr>
          <w:rFonts w:ascii="Arial" w:hAnsi="Arial"/>
          <w:sz w:val="16"/>
        </w:rPr>
        <w:t>249.01  در نهایت مانع از دستیابی آنها به پتانسیل کامل (خودشکوفایی) می‌شود.</w:t>
      </w:r>
    </w:p>
    <w:p>
      <w:pPr>
        <w:spacing w:after="28" w:line="216" w:lineRule="auto"/>
        <w:ind w:left="259"/>
        <w:jc w:val="left"/>
      </w:pPr>
      <w:r>
        <w:rPr>
          <w:rFonts w:ascii="Arial" w:hAnsi="Arial"/>
          <w:color w:val="525252"/>
          <w:sz w:val="13"/>
        </w:rPr>
        <w:t>ultimately prevent them from reaching their full potential (self-actualization).</w:t>
      </w:r>
    </w:p>
    <w:p>
      <w:pPr>
        <w:spacing w:before="60" w:after="28"/>
        <w:jc w:val="right"/>
        <w:bidi/>
      </w:pPr>
      <w:r>
        <w:rPr>
          <w:b/>
          <w:color w:val="1F4D78"/>
          <w:sz w:val="18"/>
        </w:rPr>
        <w:t>شکل 14.1. سلسله مراتب نیازهای مزلو</w:t>
      </w:r>
    </w:p>
    <w:p>
      <w:pPr>
        <w:spacing w:after="20"/>
        <w:ind w:left="259"/>
        <w:jc w:val="left"/>
      </w:pPr>
      <w:r>
        <w:rPr>
          <w:color w:val="555555"/>
          <w:sz w:val="12"/>
        </w:rPr>
        <w:t>Figure 14.1. Maslow’s Hierarchy of Needs</w:t>
      </w:r>
    </w:p>
    <w:p>
      <w:pPr>
        <w:spacing w:after="20" w:line="223" w:lineRule="auto"/>
        <w:jc w:val="right"/>
        <w:bidi/>
      </w:pPr>
      <w:r>
        <w:rPr>
          <w:rFonts w:ascii="Arial" w:hAnsi="Arial"/>
          <w:sz w:val="16"/>
        </w:rPr>
        <w:t>249.03  مدیر شخصی است که مسئول کنترل یا اداره کل یا بخشی از یک شرکت یا سازمان است.</w:t>
      </w:r>
    </w:p>
    <w:p>
      <w:pPr>
        <w:spacing w:after="28" w:line="216" w:lineRule="auto"/>
        <w:ind w:left="259"/>
        <w:jc w:val="left"/>
      </w:pPr>
      <w:r>
        <w:rPr>
          <w:rFonts w:ascii="Arial" w:hAnsi="Arial"/>
          <w:color w:val="525252"/>
          <w:sz w:val="13"/>
        </w:rPr>
        <w:t>A manager is a person responsible for controlling or administering all or part of a company or organization.</w:t>
      </w:r>
    </w:p>
    <w:p>
      <w:pPr>
        <w:spacing w:after="20" w:line="223" w:lineRule="auto"/>
        <w:jc w:val="right"/>
        <w:bidi/>
      </w:pPr>
      <w:r>
        <w:rPr>
          <w:rFonts w:ascii="Arial" w:hAnsi="Arial"/>
          <w:sz w:val="16"/>
        </w:rPr>
        <w:t>249.04  اصطلاحاتی که اغلب با نقش‌های مدیریتی مرتبط هستند شامل مدیران حوزه شغلی، مدیران اصلی فرماندهی، مدیران برنامه و مدیران پروژه می‌شوند.</w:t>
      </w:r>
    </w:p>
    <w:p>
      <w:pPr>
        <w:spacing w:after="28" w:line="216" w:lineRule="auto"/>
        <w:ind w:left="259"/>
        <w:jc w:val="left"/>
      </w:pPr>
      <w:r>
        <w:rPr>
          <w:rFonts w:ascii="Arial" w:hAnsi="Arial"/>
          <w:color w:val="525252"/>
          <w:sz w:val="13"/>
        </w:rPr>
        <w:t>Terms often associated with managerial roles include career field managers, major command functional managers, program managers, and project managers.</w:t>
      </w:r>
    </w:p>
    <w:p>
      <w:pPr>
        <w:spacing w:after="20" w:line="223" w:lineRule="auto"/>
        <w:jc w:val="right"/>
        <w:bidi/>
      </w:pPr>
      <w:r>
        <w:rPr>
          <w:rFonts w:ascii="Arial" w:hAnsi="Arial"/>
          <w:sz w:val="16"/>
        </w:rPr>
        <w:t>249.05  بنیس سه ویژگی رفتاری اصلی مدیران را به‌عنوان مدیر، نگهدار و کنترل‌کننده عنوان کرد.</w:t>
      </w:r>
    </w:p>
    <w:p>
      <w:pPr>
        <w:spacing w:after="28" w:line="216" w:lineRule="auto"/>
        <w:ind w:left="259"/>
        <w:jc w:val="left"/>
      </w:pPr>
      <w:r>
        <w:rPr>
          <w:rFonts w:ascii="Arial" w:hAnsi="Arial"/>
          <w:color w:val="525252"/>
          <w:sz w:val="13"/>
        </w:rPr>
        <w:t>Bennis labeled three primary behavioral characteristics of managers as administrators, maintainers, and controllers.</w:t>
      </w:r>
    </w:p>
    <w:p>
      <w:pPr>
        <w:spacing w:after="20" w:line="223" w:lineRule="auto"/>
        <w:jc w:val="right"/>
        <w:bidi/>
      </w:pPr>
      <w:r>
        <w:rPr>
          <w:rFonts w:ascii="Arial" w:hAnsi="Arial"/>
          <w:sz w:val="16"/>
        </w:rPr>
        <w:t>249.06  تحت این مدل، مدیران بر روی وظایف یک سطح کنترل تمرکز می‌کنند تا افراد را در مسیر درست هدایت کنند.</w:t>
      </w:r>
    </w:p>
    <w:p>
      <w:pPr>
        <w:spacing w:after="28" w:line="216" w:lineRule="auto"/>
        <w:ind w:left="259"/>
        <w:jc w:val="left"/>
      </w:pPr>
      <w:r>
        <w:rPr>
          <w:rFonts w:ascii="Arial" w:hAnsi="Arial"/>
          <w:color w:val="525252"/>
          <w:sz w:val="13"/>
        </w:rPr>
        <w:t>Under this model, managers focus on tasks a level of control to guide people in the right direction.</w:t>
      </w:r>
    </w:p>
    <w:p>
      <w:pPr>
        <w:spacing w:after="20" w:line="223" w:lineRule="auto"/>
        <w:jc w:val="right"/>
        <w:bidi/>
      </w:pPr>
      <w:r>
        <w:rPr>
          <w:rFonts w:ascii="Arial" w:hAnsi="Arial"/>
          <w:sz w:val="16"/>
        </w:rPr>
        <w:t>249.07  به‌طور کلی، مدیران اطمینان حاصل می‌کنند که منابع مورد نیاز به راحتی در دسترس هستند و به‌طور مؤثر استفاده می‌شوند.</w:t>
      </w:r>
    </w:p>
    <w:p>
      <w:pPr>
        <w:spacing w:after="28" w:line="216" w:lineRule="auto"/>
        <w:ind w:left="259"/>
        <w:jc w:val="left"/>
      </w:pPr>
      <w:r>
        <w:rPr>
          <w:rFonts w:ascii="Arial" w:hAnsi="Arial"/>
          <w:color w:val="525252"/>
          <w:sz w:val="13"/>
        </w:rPr>
        <w:t>Generally, managers ensure the resources needed are readily available and effectively used.</w:t>
      </w:r>
    </w:p>
    <w:p>
      <w:pPr>
        <w:spacing w:after="20" w:line="223" w:lineRule="auto"/>
        <w:jc w:val="right"/>
        <w:bidi/>
      </w:pPr>
      <w:r>
        <w:rPr>
          <w:rFonts w:ascii="Arial" w:hAnsi="Arial"/>
          <w:sz w:val="16"/>
        </w:rPr>
        <w:t>249.08  رهبران سازمان را به سمت تعقیب اهداف و استراتژی‌ها راه‌اندازی و هدایت می‌کنند.</w:t>
      </w:r>
    </w:p>
    <w:p>
      <w:pPr>
        <w:spacing w:after="28" w:line="216" w:lineRule="auto"/>
        <w:ind w:left="259"/>
        <w:jc w:val="left"/>
      </w:pPr>
      <w:r>
        <w:rPr>
          <w:rFonts w:ascii="Arial" w:hAnsi="Arial"/>
          <w:color w:val="525252"/>
          <w:sz w:val="13"/>
        </w:rPr>
        <w:t>Leaders launch and steer the organization toward the pursuit of goals and strategies.</w:t>
      </w:r>
    </w:p>
    <w:p>
      <w:pPr>
        <w:spacing w:after="20" w:line="223" w:lineRule="auto"/>
        <w:jc w:val="right"/>
        <w:bidi/>
      </w:pPr>
      <w:r>
        <w:rPr>
          <w:rFonts w:ascii="Arial" w:hAnsi="Arial"/>
          <w:sz w:val="16"/>
        </w:rPr>
        <w:t>249.09  مدیران مسئول سازماندهی پروژه‌ها، استخدام پست‌های کارکنان با افراد واجد شرایط، ارتباط برنامه‌ها، تفویض مسئولیت‌ها و ابداع سیستم‌هایی برای نظارت بر اجرا هستند.</w:t>
      </w:r>
    </w:p>
    <w:p>
      <w:pPr>
        <w:spacing w:after="28" w:line="216" w:lineRule="auto"/>
        <w:ind w:left="259"/>
        <w:jc w:val="left"/>
      </w:pPr>
      <w:r>
        <w:rPr>
          <w:rFonts w:ascii="Arial" w:hAnsi="Arial"/>
          <w:color w:val="525252"/>
          <w:sz w:val="13"/>
        </w:rPr>
        <w:t>Managers are responsible for organizing projects, staffing positions with qualified individuals, communicating plans, delegating responsibilities, and devising systems to monitor implementation.</w:t>
      </w:r>
    </w:p>
    <w:p>
      <w:pPr>
        <w:spacing w:after="20" w:line="223" w:lineRule="auto"/>
        <w:jc w:val="right"/>
        <w:bidi/>
      </w:pPr>
      <w:r>
        <w:rPr>
          <w:rFonts w:ascii="Arial" w:hAnsi="Arial"/>
          <w:sz w:val="16"/>
        </w:rPr>
        <w:t>249.10  رهبران با همسو کردن نیازها، خواسته‌ها، احساسات و آرزوهای پرسنل با کار از این اقدامات حمایت می‌کنند.</w:t>
      </w:r>
    </w:p>
    <w:p>
      <w:pPr>
        <w:spacing w:after="28" w:line="216" w:lineRule="auto"/>
        <w:ind w:left="259"/>
        <w:jc w:val="left"/>
      </w:pPr>
      <w:r>
        <w:rPr>
          <w:rFonts w:ascii="Arial" w:hAnsi="Arial"/>
          <w:color w:val="525252"/>
          <w:sz w:val="13"/>
        </w:rPr>
        <w:t>Leaders support these actions by aligning personnel needs, wants, emotions, and aspirations with the task.</w:t>
      </w:r>
    </w:p>
    <w:p>
      <w:pPr>
        <w:spacing w:after="20" w:line="223" w:lineRule="auto"/>
        <w:jc w:val="right"/>
        <w:bidi/>
      </w:pPr>
      <w:r>
        <w:rPr>
          <w:rFonts w:ascii="Arial" w:hAnsi="Arial"/>
          <w:sz w:val="16"/>
        </w:rPr>
        <w:t>249.11  مدیریت خوب درجه‌ای از نظم و سازگاری را در مسائل کلیدی مانند آمادگی، در دسترس بودن و پایداری به ارمغان می‌آورد.</w:t>
      </w:r>
    </w:p>
    <w:p>
      <w:pPr>
        <w:spacing w:after="28" w:line="216" w:lineRule="auto"/>
        <w:ind w:left="259"/>
        <w:jc w:val="left"/>
      </w:pPr>
      <w:r>
        <w:rPr>
          <w:rFonts w:ascii="Arial" w:hAnsi="Arial"/>
          <w:color w:val="525252"/>
          <w:sz w:val="13"/>
        </w:rPr>
        <w:t>Good management brings a degree of order and consistency to key issues like readiness, availability, and sustainment.</w:t>
      </w:r>
    </w:p>
    <w:p>
      <w:pPr>
        <w:spacing w:after="20" w:line="223" w:lineRule="auto"/>
        <w:jc w:val="right"/>
        <w:bidi/>
      </w:pPr>
      <w:r>
        <w:rPr>
          <w:rFonts w:ascii="Arial" w:hAnsi="Arial"/>
          <w:sz w:val="16"/>
        </w:rPr>
        <w:t>249.12  رهبران خوب مردم را به انجام مأموریت هدایت می‌کنند.</w:t>
      </w:r>
    </w:p>
    <w:p>
      <w:pPr>
        <w:spacing w:after="28" w:line="216" w:lineRule="auto"/>
        <w:ind w:left="259"/>
        <w:jc w:val="left"/>
      </w:pPr>
      <w:r>
        <w:rPr>
          <w:rFonts w:ascii="Arial" w:hAnsi="Arial"/>
          <w:color w:val="525252"/>
          <w:sz w:val="13"/>
        </w:rPr>
        <w:t>Good leaders lead people to accomplish the mission.</w:t>
      </w:r>
    </w:p>
    <w:p>
      <w:pPr>
        <w:spacing w:after="20" w:line="223" w:lineRule="auto"/>
        <w:jc w:val="right"/>
        <w:bidi/>
      </w:pPr>
      <w:r>
        <w:rPr>
          <w:rFonts w:ascii="Arial" w:hAnsi="Arial"/>
          <w:sz w:val="16"/>
        </w:rPr>
        <w:t>249.13  بهترین مدیران تمایل به تبدیل شدن به رهبران خوبی دارند، زیرا آنها توانایی‌ها و مهارت‌های رهبری را از طریق تمرین تکنیک‌های مدیریت خوب توسعه می‌دهند.</w:t>
      </w:r>
    </w:p>
    <w:p>
      <w:pPr>
        <w:spacing w:after="28" w:line="216" w:lineRule="auto"/>
        <w:ind w:left="259"/>
        <w:jc w:val="left"/>
      </w:pPr>
      <w:r>
        <w:rPr>
          <w:rFonts w:ascii="Arial" w:hAnsi="Arial"/>
          <w:color w:val="525252"/>
          <w:sz w:val="13"/>
        </w:rPr>
        <w:t>The best managers tend to become good leaders because they develop leadership abilities and skills through practicing good management techniques.</w:t>
      </w:r>
    </w:p>
    <w:p>
      <w:pPr>
        <w:spacing w:after="20" w:line="223" w:lineRule="auto"/>
        <w:jc w:val="right"/>
        <w:bidi/>
      </w:pPr>
      <w:r>
        <w:rPr>
          <w:rFonts w:ascii="Arial" w:hAnsi="Arial"/>
          <w:sz w:val="16"/>
        </w:rPr>
        <w:t>249.14  به‌طور مشابه، یک رهبر مؤثر اغلب یک مدیر خوب است.</w:t>
      </w:r>
    </w:p>
    <w:p>
      <w:pPr>
        <w:spacing w:after="28" w:line="216" w:lineRule="auto"/>
        <w:ind w:left="259"/>
        <w:jc w:val="left"/>
      </w:pPr>
      <w:r>
        <w:rPr>
          <w:rFonts w:ascii="Arial" w:hAnsi="Arial"/>
          <w:color w:val="525252"/>
          <w:sz w:val="13"/>
        </w:rPr>
        <w:t>Similarly, an effective leader will often be found to be a good manager.</w:t>
      </w:r>
    </w:p>
    <w:p>
      <w:pPr>
        <w:spacing w:before="60" w:after="28"/>
        <w:jc w:val="right"/>
        <w:bidi/>
      </w:pPr>
      <w:r>
        <w:rPr>
          <w:b/>
          <w:color w:val="1F4D78"/>
          <w:sz w:val="18"/>
        </w:rPr>
        <w:t>14.8. انجمن های حرفه ای</w:t>
      </w:r>
    </w:p>
    <w:p>
      <w:pPr>
        <w:spacing w:after="20"/>
        <w:ind w:left="259"/>
        <w:jc w:val="left"/>
      </w:pPr>
      <w:r>
        <w:rPr>
          <w:color w:val="555555"/>
          <w:sz w:val="12"/>
        </w:rPr>
        <w:t>14.8. Professional Associations</w:t>
      </w:r>
    </w:p>
    <w:p>
      <w:pPr>
        <w:spacing w:after="20" w:line="223" w:lineRule="auto"/>
        <w:jc w:val="right"/>
        <w:bidi/>
      </w:pPr>
      <w:r>
        <w:rPr>
          <w:rFonts w:ascii="Arial" w:hAnsi="Arial"/>
          <w:sz w:val="16"/>
        </w:rPr>
        <w:t>249.16  سازمان‌های خصوصی مهارت‌ها و انجمن‌های حرفه‌ای را برای افراد در بسیاری از رسته‌های شغلی و تخصص‌های فنی توسعه می‌دهند.</w:t>
      </w:r>
    </w:p>
    <w:p>
      <w:pPr>
        <w:spacing w:after="28" w:line="216" w:lineRule="auto"/>
        <w:ind w:left="259"/>
        <w:jc w:val="left"/>
      </w:pPr>
      <w:r>
        <w:rPr>
          <w:rFonts w:ascii="Arial" w:hAnsi="Arial"/>
          <w:color w:val="525252"/>
          <w:sz w:val="13"/>
        </w:rPr>
        <w:t>Private organizations develop professional skills and associations for individuals in many career fields and technical specialties.</w:t>
      </w:r>
    </w:p>
    <w:p>
      <w:pPr>
        <w:spacing w:after="20" w:line="223" w:lineRule="auto"/>
        <w:jc w:val="right"/>
        <w:bidi/>
      </w:pPr>
      <w:r>
        <w:rPr>
          <w:rFonts w:ascii="Arial" w:hAnsi="Arial"/>
          <w:sz w:val="16"/>
        </w:rPr>
        <w:t>249.17  عضویت در چنین انجمن‌هایی ممکن است فرصت‌های بیشتری برای نقش‌های رهبری، سخنرانی عمومی و راهنمایی و همچنین گسترش تخصص فنی فراهم کند.</w:t>
      </w:r>
    </w:p>
    <w:p>
      <w:pPr>
        <w:spacing w:after="28" w:line="216" w:lineRule="auto"/>
        <w:ind w:left="259"/>
        <w:jc w:val="left"/>
      </w:pPr>
      <w:r>
        <w:rPr>
          <w:rFonts w:ascii="Arial" w:hAnsi="Arial"/>
          <w:color w:val="525252"/>
          <w:sz w:val="13"/>
        </w:rPr>
        <w:t>Membership in such associations may provide additional opportunities for leadership roles, public speaking, and mentoring, as well as broadening technical expertise.</w:t>
      </w:r>
    </w:p>
    <w:p>
      <w:pPr>
        <w:spacing w:after="20" w:line="223" w:lineRule="auto"/>
        <w:jc w:val="right"/>
        <w:bidi/>
      </w:pPr>
      <w:r>
        <w:rPr>
          <w:rFonts w:ascii="Arial" w:hAnsi="Arial"/>
          <w:sz w:val="16"/>
        </w:rPr>
        <w:t>249.18  بسیاری از واحدها دارای سازمان‌های غیر رسمی هستند، مانند باشگاه تقویت کننده اسکادران و کمیته‌های برنامه‌ریزی رویداد.</w:t>
      </w:r>
    </w:p>
    <w:p>
      <w:pPr>
        <w:spacing w:after="28" w:line="216" w:lineRule="auto"/>
        <w:ind w:left="259"/>
        <w:jc w:val="left"/>
      </w:pPr>
      <w:r>
        <w:rPr>
          <w:rFonts w:ascii="Arial" w:hAnsi="Arial"/>
          <w:color w:val="525252"/>
          <w:sz w:val="13"/>
        </w:rPr>
        <w:t>Many units have unofficial organizations, such as the squadron booster club and event planning committees.</w:t>
      </w:r>
    </w:p>
    <w:p>
      <w:pPr>
        <w:spacing w:after="20" w:line="223" w:lineRule="auto"/>
        <w:jc w:val="right"/>
        <w:bidi/>
      </w:pPr>
      <w:r>
        <w:rPr>
          <w:rFonts w:ascii="Arial" w:hAnsi="Arial"/>
          <w:sz w:val="16"/>
        </w:rPr>
        <w:t>249.19  همچنین سازمان‌هایی وجود دارند که عضویت را بر اساس رتبه تنظیم می‌کنند، مانند شورای هوانوردی سربازان جوان، شورای ۵/۶، توپ III و گروه روسای.</w:t>
      </w:r>
    </w:p>
    <w:p>
      <w:pPr>
        <w:spacing w:after="28" w:line="216" w:lineRule="auto"/>
        <w:ind w:left="259"/>
        <w:jc w:val="left"/>
      </w:pPr>
      <w:r>
        <w:rPr>
          <w:rFonts w:ascii="Arial" w:hAnsi="Arial"/>
          <w:color w:val="525252"/>
          <w:sz w:val="13"/>
        </w:rPr>
        <w:t>There are also organizations that tailor membership based on rank, such as the Junior Enlisted Airmen Council, 5/6 Council, Top III, and the Chiefs’ Group.</w:t>
      </w:r>
    </w:p>
    <w:p>
      <w:pPr>
        <w:spacing w:after="20" w:line="223" w:lineRule="auto"/>
        <w:jc w:val="right"/>
        <w:bidi/>
      </w:pPr>
      <w:r>
        <w:rPr>
          <w:rFonts w:ascii="Arial" w:hAnsi="Arial"/>
          <w:sz w:val="16"/>
        </w:rPr>
        <w:t>249.20  ایفای نقش فعال در این سازمان‌ها برای پیشرفت شخصی و حرفه‌ای بسیار تشویق می‌شود.</w:t>
      </w:r>
    </w:p>
    <w:p>
      <w:pPr>
        <w:spacing w:after="28" w:line="216" w:lineRule="auto"/>
        <w:ind w:left="259"/>
        <w:jc w:val="left"/>
      </w:pPr>
      <w:r>
        <w:rPr>
          <w:rFonts w:ascii="Arial" w:hAnsi="Arial"/>
          <w:color w:val="525252"/>
          <w:sz w:val="13"/>
        </w:rPr>
        <w:t>Taking an active role in these organizations is highly encouraged for personal and professional development.</w:t>
      </w:r>
    </w:p>
    <w:p>
      <w:r>
        <w:br w:type="page"/>
      </w:r>
    </w:p>
    <w:p>
      <w:pPr>
        <w:spacing w:after="60"/>
        <w:jc w:val="right"/>
        <w:bidi/>
      </w:pPr>
      <w:r>
        <w:rPr>
          <w:rFonts w:ascii="Arial" w:hAnsi="Arial"/>
          <w:b/>
          <w:color w:val="1F4D78"/>
          <w:sz w:val="19"/>
        </w:rPr>
        <w:t>هفتهٔ 250  |  صفحهٔ منبع: 266</w:t>
      </w:r>
    </w:p>
    <w:p>
      <w:pPr>
        <w:spacing w:before="60" w:after="28"/>
        <w:jc w:val="right"/>
        <w:bidi/>
      </w:pPr>
      <w:r>
        <w:rPr>
          <w:b/>
          <w:color w:val="1F4D78"/>
          <w:sz w:val="18"/>
        </w:rPr>
        <w:t>بخش 14C — طرز فکر خدمات</w:t>
      </w:r>
    </w:p>
    <w:p>
      <w:pPr>
        <w:spacing w:after="20"/>
        <w:ind w:left="259"/>
        <w:jc w:val="left"/>
      </w:pPr>
      <w:r>
        <w:rPr>
          <w:color w:val="555555"/>
          <w:sz w:val="12"/>
        </w:rPr>
        <w:t>Section 14C—Service Mindset</w:t>
      </w:r>
    </w:p>
    <w:p>
      <w:pPr>
        <w:spacing w:before="60" w:after="28"/>
        <w:jc w:val="right"/>
        <w:bidi/>
      </w:pPr>
      <w:r>
        <w:rPr>
          <w:b/>
          <w:color w:val="1F4D78"/>
          <w:sz w:val="18"/>
        </w:rPr>
        <w:t>14.9. رهبر به عنوان یک مربی</w:t>
      </w:r>
    </w:p>
    <w:p>
      <w:pPr>
        <w:spacing w:after="20"/>
        <w:ind w:left="259"/>
        <w:jc w:val="left"/>
      </w:pPr>
      <w:r>
        <w:rPr>
          <w:color w:val="555555"/>
          <w:sz w:val="12"/>
        </w:rPr>
        <w:t>14.9. The Leader as a Mentor</w:t>
      </w:r>
    </w:p>
    <w:p>
      <w:pPr>
        <w:spacing w:after="20" w:line="223" w:lineRule="auto"/>
        <w:jc w:val="right"/>
        <w:bidi/>
      </w:pPr>
      <w:r>
        <w:rPr>
          <w:rFonts w:ascii="Arial" w:hAnsi="Arial"/>
          <w:sz w:val="16"/>
        </w:rPr>
        <w:t>250.03  منتورینگ فرآیندی است برای کمک به هر فرد برای رسیدن به حداکثر پتانسیل خود.</w:t>
      </w:r>
    </w:p>
    <w:p>
      <w:pPr>
        <w:spacing w:after="28" w:line="216" w:lineRule="auto"/>
        <w:ind w:left="259"/>
        <w:jc w:val="left"/>
      </w:pPr>
      <w:r>
        <w:rPr>
          <w:rFonts w:ascii="Arial" w:hAnsi="Arial"/>
          <w:color w:val="525252"/>
          <w:sz w:val="13"/>
        </w:rPr>
        <w:t>Mentoring is a process of helping each individual reach his or her maximum potential.</w:t>
      </w:r>
    </w:p>
    <w:p>
      <w:pPr>
        <w:spacing w:after="20" w:line="223" w:lineRule="auto"/>
        <w:jc w:val="right"/>
        <w:bidi/>
      </w:pPr>
      <w:r>
        <w:rPr>
          <w:rFonts w:ascii="Arial" w:hAnsi="Arial"/>
          <w:sz w:val="16"/>
        </w:rPr>
        <w:t>250.04  رهبران USAF یک تعهد و مسئولیت ذاتی برای راهنمایی رهبران آینده دارند.</w:t>
      </w:r>
    </w:p>
    <w:p>
      <w:pPr>
        <w:spacing w:after="28" w:line="216" w:lineRule="auto"/>
        <w:ind w:left="259"/>
        <w:jc w:val="left"/>
      </w:pPr>
      <w:r>
        <w:rPr>
          <w:rFonts w:ascii="Arial" w:hAnsi="Arial"/>
          <w:color w:val="525252"/>
          <w:sz w:val="13"/>
        </w:rPr>
        <w:t>USAF leaders have an inherent obligation and responsibility to mentor future leaders.</w:t>
      </w:r>
    </w:p>
    <w:p>
      <w:pPr>
        <w:spacing w:after="20" w:line="223" w:lineRule="auto"/>
        <w:jc w:val="right"/>
        <w:bidi/>
      </w:pPr>
      <w:r>
        <w:rPr>
          <w:rFonts w:ascii="Arial" w:hAnsi="Arial"/>
          <w:sz w:val="16"/>
        </w:rPr>
        <w:t>250.05  از طریق راهنمایی، رهبران ارشد تجربیات و خرد خود و همچنین فلسفه، سنت‌ها، ارزش‌های مشترک، کیفیت و درس‌های آموخته شده را به اعضای خردسال منتقل می‌کنند.</w:t>
      </w:r>
    </w:p>
    <w:p>
      <w:pPr>
        <w:spacing w:after="28" w:line="216" w:lineRule="auto"/>
        <w:ind w:left="259"/>
        <w:jc w:val="left"/>
      </w:pPr>
      <w:r>
        <w:rPr>
          <w:rFonts w:ascii="Arial" w:hAnsi="Arial"/>
          <w:color w:val="525252"/>
          <w:sz w:val="13"/>
        </w:rPr>
        <w:t>Through mentoring, senior leaders pass on their experience and wisdom to junior members as well as philosophy, traditions, shared values, quality, and lessons learned.</w:t>
      </w:r>
    </w:p>
    <w:p>
      <w:pPr>
        <w:spacing w:after="20" w:line="223" w:lineRule="auto"/>
        <w:jc w:val="right"/>
        <w:bidi/>
      </w:pPr>
      <w:r>
        <w:rPr>
          <w:rFonts w:ascii="Arial" w:hAnsi="Arial"/>
          <w:sz w:val="16"/>
        </w:rPr>
        <w:t>250.06  فرماندهان و سرپرستان باید الگوهای مثبتی باشند و خود را در اختیار هوانوردانی قرار دهند که به دنبال راهنمایی شغلی، مشاوره و راهنمایی هستند.</w:t>
      </w:r>
    </w:p>
    <w:p>
      <w:pPr>
        <w:spacing w:after="28" w:line="216" w:lineRule="auto"/>
        <w:ind w:left="259"/>
        <w:jc w:val="left"/>
      </w:pPr>
      <w:r>
        <w:rPr>
          <w:rFonts w:ascii="Arial" w:hAnsi="Arial"/>
          <w:color w:val="525252"/>
          <w:sz w:val="13"/>
        </w:rPr>
        <w:t>Commanders and supervisors must be positive role models and make themselves available to Airmen who seek career guidance, counsel, and mentorship.</w:t>
      </w:r>
    </w:p>
    <w:p>
      <w:pPr>
        <w:spacing w:after="20" w:line="223" w:lineRule="auto"/>
        <w:jc w:val="right"/>
        <w:bidi/>
      </w:pPr>
      <w:r>
        <w:rPr>
          <w:rFonts w:ascii="Arial" w:hAnsi="Arial"/>
          <w:sz w:val="16"/>
        </w:rPr>
        <w:t>250.07  آنها باید با به چالش کشیدن مستمر آنها برای رشد، توسعه و پیشرفت، نقش فعالی در پیشرفت حرفه‌ای هوانوردان خود داشته باشند.</w:t>
      </w:r>
    </w:p>
    <w:p>
      <w:pPr>
        <w:spacing w:after="28" w:line="216" w:lineRule="auto"/>
        <w:ind w:left="259"/>
        <w:jc w:val="left"/>
      </w:pPr>
      <w:r>
        <w:rPr>
          <w:rFonts w:ascii="Arial" w:hAnsi="Arial"/>
          <w:color w:val="525252"/>
          <w:sz w:val="13"/>
        </w:rPr>
        <w:t>They must take an active role in their Airmen’s professional development by continually challenging them to grow, develop, and improve.</w:t>
      </w:r>
    </w:p>
    <w:p>
      <w:pPr>
        <w:spacing w:after="20" w:line="223" w:lineRule="auto"/>
        <w:jc w:val="right"/>
        <w:bidi/>
      </w:pPr>
      <w:r>
        <w:rPr>
          <w:rFonts w:ascii="Arial" w:hAnsi="Arial"/>
          <w:sz w:val="16"/>
        </w:rPr>
        <w:t>250.08  حداقل، راهنمایی یک سرپرست شامل بحث در مورد عملکرد، پتانسیل و برنامه‌های توسعه حرفه‌ای در طول جلسات بازخورد عملکرد است.</w:t>
      </w:r>
    </w:p>
    <w:p>
      <w:pPr>
        <w:spacing w:after="28" w:line="216" w:lineRule="auto"/>
        <w:ind w:left="259"/>
        <w:jc w:val="left"/>
      </w:pPr>
      <w:r>
        <w:rPr>
          <w:rFonts w:ascii="Arial" w:hAnsi="Arial"/>
          <w:color w:val="525252"/>
          <w:sz w:val="13"/>
        </w:rPr>
        <w:t>At a minimum, a supervisor’s mentoring consists of a discussion of performance, potential, and professional development plans during performance feedback sessions.</w:t>
      </w:r>
    </w:p>
    <w:p>
      <w:pPr>
        <w:spacing w:after="20" w:line="223" w:lineRule="auto"/>
        <w:jc w:val="right"/>
        <w:bidi/>
      </w:pPr>
      <w:r>
        <w:rPr>
          <w:rFonts w:ascii="Arial" w:hAnsi="Arial"/>
          <w:sz w:val="16"/>
        </w:rPr>
        <w:t>250.09  مکالمات باید به ترفیعات، آموزش نظامی حرفه‌ای، کار با مدرک پیشرفته، آمادگی جسمانی، اهداف و انتظارات شخصی، ویژگی‌های حرفه‌ای، تکالیف آینده و برنامه‌های بلندمدت مربوط باشد.</w:t>
      </w:r>
    </w:p>
    <w:p>
      <w:pPr>
        <w:spacing w:after="28" w:line="216" w:lineRule="auto"/>
        <w:ind w:left="259"/>
        <w:jc w:val="left"/>
      </w:pPr>
      <w:r>
        <w:rPr>
          <w:rFonts w:ascii="Arial" w:hAnsi="Arial"/>
          <w:color w:val="525252"/>
          <w:sz w:val="13"/>
        </w:rPr>
        <w:t>Conversations should address promotions, professional military education, advanced degree work, physical fitness, personal goals and expectations, professional qualities, future assignments, and long-range plans.</w:t>
      </w:r>
    </w:p>
    <w:p>
      <w:pPr>
        <w:spacing w:after="20" w:line="223" w:lineRule="auto"/>
        <w:jc w:val="right"/>
        <w:bidi/>
      </w:pPr>
      <w:r>
        <w:rPr>
          <w:rFonts w:ascii="Arial" w:hAnsi="Arial"/>
          <w:sz w:val="16"/>
        </w:rPr>
        <w:t>250.10  "ما با آنچه به دست می‌آوریم امرار معاش می‌کنیم، با آنچه می‌دهیم زندگی می‌کنیم." مربیگری وینستون چرچیل یک فرآیند مداوم و شاید قدرتمندترین روشی است که رهبری می‌تواند برای شکل دادن به آینده از آن استفاده کند.</w:t>
      </w:r>
    </w:p>
    <w:p>
      <w:pPr>
        <w:spacing w:after="28" w:line="216" w:lineRule="auto"/>
        <w:ind w:left="259"/>
        <w:jc w:val="left"/>
      </w:pPr>
      <w:r>
        <w:rPr>
          <w:rFonts w:ascii="Arial" w:hAnsi="Arial"/>
          <w:color w:val="525252"/>
          <w:sz w:val="13"/>
        </w:rPr>
        <w:t>“We make a living by what we get, we make a life by what we give.” Winston Churchill Mentoring is an ongoing process and perhaps the most powerful method leadership can use to shape the future.</w:t>
      </w:r>
    </w:p>
    <w:p>
      <w:pPr>
        <w:spacing w:after="20" w:line="223" w:lineRule="auto"/>
        <w:jc w:val="right"/>
        <w:bidi/>
      </w:pPr>
      <w:r>
        <w:rPr>
          <w:rFonts w:ascii="Arial" w:hAnsi="Arial"/>
          <w:sz w:val="16"/>
        </w:rPr>
        <w:t>250.11  به هوانوردان برای افزایش مسئولیت هایی که در حین پیشرفت در حرفه خود به عهده خواهند گرفت، کمک می‌کند.</w:t>
      </w:r>
    </w:p>
    <w:p>
      <w:pPr>
        <w:spacing w:after="28" w:line="216" w:lineRule="auto"/>
        <w:ind w:left="259"/>
        <w:jc w:val="left"/>
      </w:pPr>
      <w:r>
        <w:rPr>
          <w:rFonts w:ascii="Arial" w:hAnsi="Arial"/>
          <w:color w:val="525252"/>
          <w:sz w:val="13"/>
        </w:rPr>
        <w:t>It helps prepare Airmen for the increased responsibilities they will assume as they progress in their careers.</w:t>
      </w:r>
    </w:p>
    <w:p>
      <w:pPr>
        <w:spacing w:after="20" w:line="223" w:lineRule="auto"/>
        <w:jc w:val="right"/>
        <w:bidi/>
      </w:pPr>
      <w:r>
        <w:rPr>
          <w:rFonts w:ascii="Arial" w:hAnsi="Arial"/>
          <w:sz w:val="16"/>
        </w:rPr>
        <w:t>250.12  در تمام مراحل پیشرفت شغلی، افراد از مشاوره یک مربی بهره مند خواهند شد.</w:t>
      </w:r>
    </w:p>
    <w:p>
      <w:pPr>
        <w:spacing w:after="28" w:line="216" w:lineRule="auto"/>
        <w:ind w:left="259"/>
        <w:jc w:val="left"/>
      </w:pPr>
      <w:r>
        <w:rPr>
          <w:rFonts w:ascii="Arial" w:hAnsi="Arial"/>
          <w:color w:val="525252"/>
          <w:sz w:val="13"/>
        </w:rPr>
        <w:t>At all stages of career development individuals would benefit from the counsel of a mentor.</w:t>
      </w:r>
    </w:p>
    <w:p>
      <w:pPr>
        <w:spacing w:after="20" w:line="223" w:lineRule="auto"/>
        <w:jc w:val="right"/>
        <w:bidi/>
      </w:pPr>
      <w:r>
        <w:rPr>
          <w:rFonts w:ascii="Arial" w:hAnsi="Arial"/>
          <w:sz w:val="16"/>
        </w:rPr>
        <w:t>250.13  مربیان اغلب بیش از آنچه می‌دانند مورد قدردانی قرار می‌گیرند.</w:t>
      </w:r>
    </w:p>
    <w:p>
      <w:pPr>
        <w:spacing w:after="28" w:line="216" w:lineRule="auto"/>
        <w:ind w:left="259"/>
        <w:jc w:val="left"/>
      </w:pPr>
      <w:r>
        <w:rPr>
          <w:rFonts w:ascii="Arial" w:hAnsi="Arial"/>
          <w:color w:val="525252"/>
          <w:sz w:val="13"/>
        </w:rPr>
        <w:t>Mentors are often appreciated more than they know.</w:t>
      </w:r>
    </w:p>
    <w:p>
      <w:pPr>
        <w:spacing w:before="60" w:after="28"/>
        <w:jc w:val="right"/>
        <w:bidi/>
      </w:pPr>
      <w:r>
        <w:rPr>
          <w:b/>
          <w:color w:val="1F4D78"/>
          <w:sz w:val="18"/>
        </w:rPr>
        <w:t>14.10. برنامه مربیگری نیروی هوایی</w:t>
      </w:r>
    </w:p>
    <w:p>
      <w:pPr>
        <w:spacing w:after="20"/>
        <w:ind w:left="259"/>
        <w:jc w:val="left"/>
      </w:pPr>
      <w:r>
        <w:rPr>
          <w:color w:val="555555"/>
          <w:sz w:val="12"/>
        </w:rPr>
        <w:t>14.10. The Air Force Mentoring Program</w:t>
      </w:r>
    </w:p>
    <w:p>
      <w:pPr>
        <w:spacing w:after="20" w:line="223" w:lineRule="auto"/>
        <w:jc w:val="right"/>
        <w:bidi/>
      </w:pPr>
      <w:r>
        <w:rPr>
          <w:rFonts w:ascii="Arial" w:hAnsi="Arial"/>
          <w:sz w:val="16"/>
        </w:rPr>
        <w:t>250.15  برنامه مربیگری نیروی هوایی طیف وسیعی از زمینه‌ها را پوشش می‌دهد، مانند راهنمایی شغلی، توسعه حرفه‌ای، رهبری، تاریخ و میراث نیروی هوایی ارتش، دکترین نیروی هوایی، چشم‌انداز استراتژیک، و مشارکت در جنگ‌های مشترک.</w:t>
      </w:r>
    </w:p>
    <w:p>
      <w:pPr>
        <w:spacing w:after="28" w:line="216" w:lineRule="auto"/>
        <w:ind w:left="259"/>
        <w:jc w:val="left"/>
      </w:pPr>
      <w:r>
        <w:rPr>
          <w:rFonts w:ascii="Arial" w:hAnsi="Arial"/>
          <w:color w:val="525252"/>
          <w:sz w:val="13"/>
        </w:rPr>
        <w:t>The Air Force mentoring program covers a wide range of areas, such as career guidance, professional development, leadership, USAF history and heritage, airpower doctrine, strategic vision, and contributions to joint warfighting.</w:t>
      </w:r>
    </w:p>
    <w:p>
      <w:pPr>
        <w:spacing w:after="20" w:line="223" w:lineRule="auto"/>
        <w:jc w:val="right"/>
        <w:bidi/>
      </w:pPr>
      <w:r>
        <w:rPr>
          <w:rFonts w:ascii="Arial" w:hAnsi="Arial"/>
          <w:sz w:val="16"/>
        </w:rPr>
        <w:t>250.16  اما افراد ابتدا باید بر نیازهای سازمانی USAF تمرکز کنند.</w:t>
      </w:r>
    </w:p>
    <w:p>
      <w:pPr>
        <w:spacing w:after="28" w:line="216" w:lineRule="auto"/>
        <w:ind w:left="259"/>
        <w:jc w:val="left"/>
      </w:pPr>
      <w:r>
        <w:rPr>
          <w:rFonts w:ascii="Arial" w:hAnsi="Arial"/>
          <w:color w:val="525252"/>
          <w:sz w:val="13"/>
        </w:rPr>
        <w:t>But individuals must first focus on USAF institutional needs.</w:t>
      </w:r>
    </w:p>
    <w:p>
      <w:pPr>
        <w:spacing w:after="20" w:line="223" w:lineRule="auto"/>
        <w:jc w:val="right"/>
        <w:bidi/>
      </w:pPr>
      <w:r>
        <w:rPr>
          <w:rFonts w:ascii="Arial" w:hAnsi="Arial"/>
          <w:sz w:val="16"/>
        </w:rPr>
        <w:t>250.17  USAF باید افراد ماهر را در استخدام و پشتیبانی از نیروی هوایی که نیازهای امنیت ملی را تأمین می‌کند، توسعه دهد.</w:t>
      </w:r>
    </w:p>
    <w:p>
      <w:pPr>
        <w:spacing w:after="28" w:line="216" w:lineRule="auto"/>
        <w:ind w:left="259"/>
        <w:jc w:val="left"/>
      </w:pPr>
      <w:r>
        <w:rPr>
          <w:rFonts w:ascii="Arial" w:hAnsi="Arial"/>
          <w:color w:val="525252"/>
          <w:sz w:val="13"/>
        </w:rPr>
        <w:t>The USAF must develop people skilled in the employment and support of airpower meeting national security needs.</w:t>
      </w:r>
    </w:p>
    <w:p>
      <w:pPr>
        <w:spacing w:after="20" w:line="223" w:lineRule="auto"/>
        <w:jc w:val="right"/>
        <w:bidi/>
      </w:pPr>
      <w:r>
        <w:rPr>
          <w:rFonts w:ascii="Arial" w:hAnsi="Arial"/>
          <w:sz w:val="16"/>
        </w:rPr>
        <w:t>250.18  مربیان باید بین اهداف فردی، آرزوهای شغلی و انتظارات واقع بینانه تمایز قائل شوند.</w:t>
      </w:r>
    </w:p>
    <w:p>
      <w:pPr>
        <w:spacing w:after="28" w:line="216" w:lineRule="auto"/>
        <w:ind w:left="259"/>
        <w:jc w:val="left"/>
      </w:pPr>
      <w:r>
        <w:rPr>
          <w:rFonts w:ascii="Arial" w:hAnsi="Arial"/>
          <w:color w:val="525252"/>
          <w:sz w:val="13"/>
        </w:rPr>
        <w:t>Mentors must distinguish between individual goals, career aspirations, and realistic expectations.</w:t>
      </w:r>
    </w:p>
    <w:p>
      <w:pPr>
        <w:spacing w:after="20" w:line="223" w:lineRule="auto"/>
        <w:jc w:val="right"/>
        <w:bidi/>
      </w:pPr>
      <w:r>
        <w:rPr>
          <w:rFonts w:ascii="Arial" w:hAnsi="Arial"/>
          <w:sz w:val="16"/>
        </w:rPr>
        <w:t>250.19  هر فردی یک شغل، هدف یا موفقیت زندگی موفق را متفاوت تعریف می‌کند.</w:t>
      </w:r>
    </w:p>
    <w:p>
      <w:pPr>
        <w:spacing w:after="28" w:line="216" w:lineRule="auto"/>
        <w:ind w:left="259"/>
        <w:jc w:val="left"/>
      </w:pPr>
      <w:r>
        <w:rPr>
          <w:rFonts w:ascii="Arial" w:hAnsi="Arial"/>
          <w:color w:val="525252"/>
          <w:sz w:val="13"/>
        </w:rPr>
        <w:t>Each individual defines a successful career, goal, or life accomplishment differently.</w:t>
      </w:r>
    </w:p>
    <w:p>
      <w:pPr>
        <w:spacing w:after="20" w:line="223" w:lineRule="auto"/>
        <w:jc w:val="right"/>
        <w:bidi/>
      </w:pPr>
      <w:r>
        <w:rPr>
          <w:rFonts w:ascii="Arial" w:hAnsi="Arial"/>
          <w:sz w:val="16"/>
        </w:rPr>
        <w:t>250.20  مسیرهای متعددی برای دستیابی به اهداف شغلی و موفقیت فردی وجود دارد.</w:t>
      </w:r>
    </w:p>
    <w:p>
      <w:pPr>
        <w:spacing w:after="28" w:line="216" w:lineRule="auto"/>
        <w:ind w:left="259"/>
        <w:jc w:val="left"/>
      </w:pPr>
      <w:r>
        <w:rPr>
          <w:rFonts w:ascii="Arial" w:hAnsi="Arial"/>
          <w:color w:val="525252"/>
          <w:sz w:val="13"/>
        </w:rPr>
        <w:t>There are numerous paths to meet individual career and success goals.</w:t>
      </w:r>
    </w:p>
    <w:p>
      <w:pPr>
        <w:spacing w:after="20" w:line="223" w:lineRule="auto"/>
        <w:jc w:val="right"/>
        <w:bidi/>
      </w:pPr>
      <w:r>
        <w:rPr>
          <w:rFonts w:ascii="Arial" w:hAnsi="Arial"/>
          <w:sz w:val="16"/>
        </w:rPr>
        <w:t>250.21  اگرچه ناظر فوری یا رتبه‌دهنده، مربی، مربی، مشاور، راهنما یا الگوی اصلی است، نیروهای هوایی ممکن است از سایر منابع یا مربیان نیز به دنبال مشاوره اضافی و مشاوره توسعه حرفه‌ای باشد.</w:t>
      </w:r>
    </w:p>
    <w:p>
      <w:pPr>
        <w:spacing w:after="28" w:line="216" w:lineRule="auto"/>
        <w:ind w:left="259"/>
        <w:jc w:val="left"/>
      </w:pPr>
      <w:r>
        <w:rPr>
          <w:rFonts w:ascii="Arial" w:hAnsi="Arial"/>
          <w:color w:val="525252"/>
          <w:sz w:val="13"/>
        </w:rPr>
        <w:t>Although the immediate supervisor or rater is the primary mentor, coach, counselor, guide, or role model, Airmen may seek additional counseling and professional development advice from other sources or mentors as well.</w:t>
      </w:r>
    </w:p>
    <w:p>
      <w:pPr>
        <w:spacing w:after="20" w:line="223" w:lineRule="auto"/>
        <w:jc w:val="right"/>
        <w:bidi/>
      </w:pPr>
      <w:r>
        <w:rPr>
          <w:rFonts w:ascii="Arial" w:hAnsi="Arial"/>
          <w:sz w:val="16"/>
        </w:rPr>
        <w:t>250.22  در حالی که چندین رویکرد وجود دارد که مربیان می‌توانند در قالب مربی، مشاور، مشاور و مدافع اتخاذ کنند، راهنمایی USAF توسط DAFMAN ۳۶-۲۶۴۳، برنامه منتورینگ نیروی هوایی اداره می‌شود.</w:t>
      </w:r>
    </w:p>
    <w:p>
      <w:pPr>
        <w:spacing w:after="28" w:line="216" w:lineRule="auto"/>
        <w:ind w:left="259"/>
        <w:jc w:val="left"/>
      </w:pPr>
      <w:r>
        <w:rPr>
          <w:rFonts w:ascii="Arial" w:hAnsi="Arial"/>
          <w:color w:val="525252"/>
          <w:sz w:val="13"/>
        </w:rPr>
        <w:t>While there are several approaches mentors can take in the form of coach, counselor, advisor, and advocate, USAF mentoring is governed by DAFMAN 36-2643, Air Force Mentoring Program.</w:t>
      </w:r>
    </w:p>
    <w:p>
      <w:pPr>
        <w:spacing w:before="60" w:after="28"/>
        <w:jc w:val="right"/>
        <w:bidi/>
      </w:pPr>
      <w:r>
        <w:rPr>
          <w:b/>
          <w:color w:val="1F4D78"/>
          <w:sz w:val="18"/>
        </w:rPr>
        <w:t>14.11. فرآیند منتورینگ</w:t>
      </w:r>
    </w:p>
    <w:p>
      <w:pPr>
        <w:spacing w:after="20"/>
        <w:ind w:left="259"/>
        <w:jc w:val="left"/>
      </w:pPr>
      <w:r>
        <w:rPr>
          <w:color w:val="555555"/>
          <w:sz w:val="12"/>
        </w:rPr>
        <w:t>14.11. The Mentoring Process</w:t>
      </w:r>
    </w:p>
    <w:p>
      <w:pPr>
        <w:spacing w:after="20" w:line="223" w:lineRule="auto"/>
        <w:jc w:val="right"/>
        <w:bidi/>
      </w:pPr>
      <w:r>
        <w:rPr>
          <w:rFonts w:ascii="Arial" w:hAnsi="Arial"/>
          <w:sz w:val="16"/>
        </w:rPr>
        <w:t>250.24  مدل راهنمایی، م - - ن - ت - و - ر - ی - ن - گ، مفاهیم راهنمایی مؤثر را نشان می‌دهد.</w:t>
      </w:r>
    </w:p>
    <w:p>
      <w:pPr>
        <w:spacing w:after="28" w:line="216" w:lineRule="auto"/>
        <w:ind w:left="259"/>
        <w:jc w:val="left"/>
      </w:pPr>
      <w:r>
        <w:rPr>
          <w:rFonts w:ascii="Arial" w:hAnsi="Arial"/>
          <w:color w:val="525252"/>
          <w:sz w:val="13"/>
        </w:rPr>
        <w:t>The mentoring model, M - E - N - T - O - R - I - N - G, demonstrates the concepts of effective mentoring.</w:t>
      </w:r>
    </w:p>
    <w:p>
      <w:pPr>
        <w:spacing w:after="20" w:line="223" w:lineRule="auto"/>
        <w:jc w:val="right"/>
        <w:bidi/>
      </w:pPr>
      <w:r>
        <w:rPr>
          <w:rFonts w:ascii="Arial" w:hAnsi="Arial"/>
          <w:sz w:val="16"/>
        </w:rPr>
        <w:t>250.25  عناصر راهنمایی مؤثر، که در زیر توضیح داده شده است، با حروف موجود در خود کلمه مطابقت دارد.</w:t>
      </w:r>
    </w:p>
    <w:p>
      <w:pPr>
        <w:spacing w:after="28" w:line="216" w:lineRule="auto"/>
        <w:ind w:left="259"/>
        <w:jc w:val="left"/>
      </w:pPr>
      <w:r>
        <w:rPr>
          <w:rFonts w:ascii="Arial" w:hAnsi="Arial"/>
          <w:color w:val="525252"/>
          <w:sz w:val="13"/>
        </w:rPr>
        <w:t>The elements of effective mentoring, described below, correspond to the letters in the word itself.</w:t>
      </w:r>
    </w:p>
    <w:p>
      <w:pPr>
        <w:spacing w:after="20" w:line="223" w:lineRule="auto"/>
        <w:jc w:val="right"/>
        <w:bidi/>
      </w:pPr>
      <w:r>
        <w:rPr>
          <w:rFonts w:ascii="Arial" w:hAnsi="Arial"/>
          <w:sz w:val="16"/>
        </w:rPr>
        <w:t>250.26  مدل.</w:t>
      </w:r>
    </w:p>
    <w:p>
      <w:pPr>
        <w:spacing w:after="28" w:line="216" w:lineRule="auto"/>
        <w:ind w:left="259"/>
        <w:jc w:val="left"/>
      </w:pPr>
      <w:r>
        <w:rPr>
          <w:rFonts w:ascii="Arial" w:hAnsi="Arial"/>
          <w:color w:val="525252"/>
          <w:sz w:val="13"/>
        </w:rPr>
        <w:t>Model.</w:t>
      </w:r>
    </w:p>
    <w:p>
      <w:pPr>
        <w:spacing w:after="20" w:line="223" w:lineRule="auto"/>
        <w:jc w:val="right"/>
        <w:bidi/>
      </w:pPr>
      <w:r>
        <w:rPr>
          <w:rFonts w:ascii="Arial" w:hAnsi="Arial"/>
          <w:sz w:val="16"/>
        </w:rPr>
        <w:t>250.27  یک مربی مؤثر که به‌عنوان یک الگو عمل می‌کند، درک می‌کند که اعمال بلندتر از کلمات صحبت می‌کنند.</w:t>
      </w:r>
    </w:p>
    <w:p>
      <w:pPr>
        <w:spacing w:after="28" w:line="216" w:lineRule="auto"/>
        <w:ind w:left="259"/>
        <w:jc w:val="left"/>
      </w:pPr>
      <w:r>
        <w:rPr>
          <w:rFonts w:ascii="Arial" w:hAnsi="Arial"/>
          <w:color w:val="525252"/>
          <w:sz w:val="13"/>
        </w:rPr>
        <w:t>An effective mentor, serving as a role model, understands that actions speak louder than words.</w:t>
      </w:r>
    </w:p>
    <w:p>
      <w:pPr>
        <w:spacing w:after="20" w:line="223" w:lineRule="auto"/>
        <w:jc w:val="right"/>
        <w:bidi/>
      </w:pPr>
      <w:r>
        <w:rPr>
          <w:rFonts w:ascii="Arial" w:hAnsi="Arial"/>
          <w:sz w:val="16"/>
        </w:rPr>
        <w:t>250.28  شاگرد دائما مربی را مشاهده می‌کند و از او یاد می‌گیرد.</w:t>
      </w:r>
    </w:p>
    <w:p>
      <w:pPr>
        <w:spacing w:after="28" w:line="216" w:lineRule="auto"/>
        <w:ind w:left="259"/>
        <w:jc w:val="left"/>
      </w:pPr>
      <w:r>
        <w:rPr>
          <w:rFonts w:ascii="Arial" w:hAnsi="Arial"/>
          <w:color w:val="525252"/>
          <w:sz w:val="13"/>
        </w:rPr>
        <w:t>The protégé constantly observes and learns from the mentor.</w:t>
      </w:r>
    </w:p>
    <w:p>
      <w:pPr>
        <w:spacing w:after="20" w:line="223" w:lineRule="auto"/>
        <w:jc w:val="right"/>
        <w:bidi/>
      </w:pPr>
      <w:r>
        <w:rPr>
          <w:rFonts w:ascii="Arial" w:hAnsi="Arial"/>
          <w:sz w:val="16"/>
        </w:rPr>
        <w:t>250.29  فرصتی برای مشاهده نحوه برخورد مربی با موقعیت‌های مختلف، بخش مهمی از فرآیند راهنمایی است.</w:t>
      </w:r>
    </w:p>
    <w:p>
      <w:pPr>
        <w:spacing w:after="28" w:line="216" w:lineRule="auto"/>
        <w:ind w:left="259"/>
        <w:jc w:val="left"/>
      </w:pPr>
      <w:r>
        <w:rPr>
          <w:rFonts w:ascii="Arial" w:hAnsi="Arial"/>
          <w:color w:val="525252"/>
          <w:sz w:val="13"/>
        </w:rPr>
        <w:t>The opportunity to see how the mentor deals with a variety of situations is an important part of the mentoring process.</w:t>
      </w:r>
    </w:p>
    <w:p>
      <w:r>
        <w:br w:type="page"/>
      </w:r>
    </w:p>
    <w:p>
      <w:pPr>
        <w:spacing w:after="60"/>
        <w:jc w:val="right"/>
        <w:bidi/>
      </w:pPr>
      <w:r>
        <w:rPr>
          <w:rFonts w:ascii="Arial" w:hAnsi="Arial"/>
          <w:b/>
          <w:color w:val="1F4D78"/>
          <w:sz w:val="19"/>
        </w:rPr>
        <w:t>هفتهٔ 251  |  صفحهٔ منبع: 267</w:t>
      </w:r>
    </w:p>
    <w:p>
      <w:pPr>
        <w:spacing w:after="20" w:line="223" w:lineRule="auto"/>
        <w:jc w:val="right"/>
        <w:bidi/>
      </w:pPr>
      <w:r>
        <w:rPr>
          <w:rFonts w:ascii="Arial" w:hAnsi="Arial"/>
          <w:sz w:val="16"/>
        </w:rPr>
        <w:t>251.01  همدلی کنید.</w:t>
      </w:r>
    </w:p>
    <w:p>
      <w:pPr>
        <w:spacing w:after="28" w:line="216" w:lineRule="auto"/>
        <w:ind w:left="259"/>
        <w:jc w:val="left"/>
      </w:pPr>
      <w:r>
        <w:rPr>
          <w:rFonts w:ascii="Arial" w:hAnsi="Arial"/>
          <w:color w:val="525252"/>
          <w:sz w:val="13"/>
        </w:rPr>
        <w:t>Empathize.</w:t>
      </w:r>
    </w:p>
    <w:p>
      <w:pPr>
        <w:spacing w:after="20" w:line="223" w:lineRule="auto"/>
        <w:jc w:val="right"/>
        <w:bidi/>
      </w:pPr>
      <w:r>
        <w:rPr>
          <w:rFonts w:ascii="Arial" w:hAnsi="Arial"/>
          <w:sz w:val="16"/>
        </w:rPr>
        <w:t>251.02  مربیگری مستلزم توانایی همدلی و نشان دادن شفقت واقعی برای افراد تحت حمایت است.</w:t>
      </w:r>
    </w:p>
    <w:p>
      <w:pPr>
        <w:spacing w:after="28" w:line="216" w:lineRule="auto"/>
        <w:ind w:left="259"/>
        <w:jc w:val="left"/>
      </w:pPr>
      <w:r>
        <w:rPr>
          <w:rFonts w:ascii="Arial" w:hAnsi="Arial"/>
          <w:color w:val="525252"/>
          <w:sz w:val="13"/>
        </w:rPr>
        <w:t>Mentoring requires the ability to empathize and show genuine compassion for protégés.</w:t>
      </w:r>
    </w:p>
    <w:p>
      <w:pPr>
        <w:spacing w:after="20" w:line="223" w:lineRule="auto"/>
        <w:jc w:val="right"/>
        <w:bidi/>
      </w:pPr>
      <w:r>
        <w:rPr>
          <w:rFonts w:ascii="Arial" w:hAnsi="Arial"/>
          <w:sz w:val="16"/>
        </w:rPr>
        <w:t>251.03  مربیانی که به یاد می‌آورند زمانی که جدید و بی‌تجربه بودند چگونه بوده‌اند، ممکن است در کمک به دیگران در پیشرفت حرفه‌ای‌شان مؤثرتر باشند.</w:t>
      </w:r>
    </w:p>
    <w:p>
      <w:pPr>
        <w:spacing w:after="28" w:line="216" w:lineRule="auto"/>
        <w:ind w:left="259"/>
        <w:jc w:val="left"/>
      </w:pPr>
      <w:r>
        <w:rPr>
          <w:rFonts w:ascii="Arial" w:hAnsi="Arial"/>
          <w:color w:val="525252"/>
          <w:sz w:val="13"/>
        </w:rPr>
        <w:t>Mentors who remember what it was like when they were new and inexperienced may be more effective in assisting others in their professional development.</w:t>
      </w:r>
    </w:p>
    <w:p>
      <w:pPr>
        <w:spacing w:after="20" w:line="223" w:lineRule="auto"/>
        <w:jc w:val="right"/>
        <w:bidi/>
      </w:pPr>
      <w:r>
        <w:rPr>
          <w:rFonts w:ascii="Arial" w:hAnsi="Arial"/>
          <w:sz w:val="16"/>
        </w:rPr>
        <w:t>251.04  همدلی پیوندهایی را بین مربیان و مشمولان ایجاد می‌کند و تعهد متقابل را تقویت می‌کند که نمونه‌ای از مربیگری است.</w:t>
      </w:r>
    </w:p>
    <w:p>
      <w:pPr>
        <w:spacing w:after="28" w:line="216" w:lineRule="auto"/>
        <w:ind w:left="259"/>
        <w:jc w:val="left"/>
      </w:pPr>
      <w:r>
        <w:rPr>
          <w:rFonts w:ascii="Arial" w:hAnsi="Arial"/>
          <w:color w:val="525252"/>
          <w:sz w:val="13"/>
        </w:rPr>
        <w:t>Empathy cultivates bonds between mentors and protégés and fosters the mutual commitment that exemplifies mentoring.</w:t>
      </w:r>
    </w:p>
    <w:p>
      <w:pPr>
        <w:spacing w:after="20" w:line="223" w:lineRule="auto"/>
        <w:jc w:val="right"/>
        <w:bidi/>
      </w:pPr>
      <w:r>
        <w:rPr>
          <w:rFonts w:ascii="Arial" w:hAnsi="Arial"/>
          <w:sz w:val="16"/>
        </w:rPr>
        <w:t>251.05  پرورش.</w:t>
      </w:r>
    </w:p>
    <w:p>
      <w:pPr>
        <w:spacing w:after="28" w:line="216" w:lineRule="auto"/>
        <w:ind w:left="259"/>
        <w:jc w:val="left"/>
      </w:pPr>
      <w:r>
        <w:rPr>
          <w:rFonts w:ascii="Arial" w:hAnsi="Arial"/>
          <w:color w:val="525252"/>
          <w:sz w:val="13"/>
        </w:rPr>
        <w:t>Nurture.</w:t>
      </w:r>
    </w:p>
    <w:p>
      <w:pPr>
        <w:spacing w:after="20" w:line="223" w:lineRule="auto"/>
        <w:jc w:val="right"/>
        <w:bidi/>
      </w:pPr>
      <w:r>
        <w:rPr>
          <w:rFonts w:ascii="Arial" w:hAnsi="Arial"/>
          <w:sz w:val="16"/>
        </w:rPr>
        <w:t>251.06  پرورش بر نگرش مراقبت تاکید دارد.</w:t>
      </w:r>
    </w:p>
    <w:p>
      <w:pPr>
        <w:spacing w:after="28" w:line="216" w:lineRule="auto"/>
        <w:ind w:left="259"/>
        <w:jc w:val="left"/>
      </w:pPr>
      <w:r>
        <w:rPr>
          <w:rFonts w:ascii="Arial" w:hAnsi="Arial"/>
          <w:color w:val="525252"/>
          <w:sz w:val="13"/>
        </w:rPr>
        <w:t>Nurturing emphasizes a caring attitude.</w:t>
      </w:r>
    </w:p>
    <w:p>
      <w:pPr>
        <w:spacing w:after="20" w:line="223" w:lineRule="auto"/>
        <w:jc w:val="right"/>
        <w:bidi/>
      </w:pPr>
      <w:r>
        <w:rPr>
          <w:rFonts w:ascii="Arial" w:hAnsi="Arial"/>
          <w:sz w:val="16"/>
        </w:rPr>
        <w:t>251.07  مانند کشاورز که به مزرعه گرایش دارد، مرشد نیز با صرف زمان، صبر و تلاش، او را پرورش می‌دهد.</w:t>
      </w:r>
    </w:p>
    <w:p>
      <w:pPr>
        <w:spacing w:after="28" w:line="216" w:lineRule="auto"/>
        <w:ind w:left="259"/>
        <w:jc w:val="left"/>
      </w:pPr>
      <w:r>
        <w:rPr>
          <w:rFonts w:ascii="Arial" w:hAnsi="Arial"/>
          <w:color w:val="525252"/>
          <w:sz w:val="13"/>
        </w:rPr>
        <w:t>Like a farmer tends to the field, the mentor nurtures the protégé, by investing time, patience, and effort.</w:t>
      </w:r>
    </w:p>
    <w:p>
      <w:pPr>
        <w:spacing w:after="20" w:line="223" w:lineRule="auto"/>
        <w:jc w:val="right"/>
        <w:bidi/>
      </w:pPr>
      <w:r>
        <w:rPr>
          <w:rFonts w:ascii="Arial" w:hAnsi="Arial"/>
          <w:sz w:val="16"/>
        </w:rPr>
        <w:t>251.08  مربیان باید زمان و تلاش خود را صرف کنند تا به‌طور مؤثر به مشمولان خود راهنمایی کنند و توجه، آموزش، بازخورد و زمان مناسب را برای آنها فراهم کنند تا آنچه را که آموخته‌اند به کار گیرند، درونی کنند و ارزش قائل شوند.</w:t>
      </w:r>
    </w:p>
    <w:p>
      <w:pPr>
        <w:spacing w:after="28" w:line="216" w:lineRule="auto"/>
        <w:ind w:left="259"/>
        <w:jc w:val="left"/>
      </w:pPr>
      <w:r>
        <w:rPr>
          <w:rFonts w:ascii="Arial" w:hAnsi="Arial"/>
          <w:color w:val="525252"/>
          <w:sz w:val="13"/>
        </w:rPr>
        <w:t>Mentors must make the time and effort to effectively mentor their protégés and provide the appropriate amounts of attention, training, feedback, and time for them to apply, internalize, and value what they have learned.</w:t>
      </w:r>
    </w:p>
    <w:p>
      <w:pPr>
        <w:spacing w:after="20" w:line="223" w:lineRule="auto"/>
        <w:jc w:val="right"/>
        <w:bidi/>
      </w:pPr>
      <w:r>
        <w:rPr>
          <w:rFonts w:ascii="Arial" w:hAnsi="Arial"/>
          <w:sz w:val="16"/>
        </w:rPr>
        <w:t>251.09  تدریس کنید.</w:t>
      </w:r>
    </w:p>
    <w:p>
      <w:pPr>
        <w:spacing w:after="28" w:line="216" w:lineRule="auto"/>
        <w:ind w:left="259"/>
        <w:jc w:val="left"/>
      </w:pPr>
      <w:r>
        <w:rPr>
          <w:rFonts w:ascii="Arial" w:hAnsi="Arial"/>
          <w:color w:val="525252"/>
          <w:sz w:val="13"/>
        </w:rPr>
        <w:t>Teach.</w:t>
      </w:r>
    </w:p>
    <w:p>
      <w:pPr>
        <w:spacing w:after="20" w:line="223" w:lineRule="auto"/>
        <w:jc w:val="right"/>
        <w:bidi/>
      </w:pPr>
      <w:r>
        <w:rPr>
          <w:rFonts w:ascii="Arial" w:hAnsi="Arial"/>
          <w:sz w:val="16"/>
        </w:rPr>
        <w:t>251.10  مهارت تدریس ممکن است به‌طور طبیعی برای همه به وجود نیاید، اما دانش و تجربه به‌عنوان مربی ارزشمند است.</w:t>
      </w:r>
    </w:p>
    <w:p>
      <w:pPr>
        <w:spacing w:after="28" w:line="216" w:lineRule="auto"/>
        <w:ind w:left="259"/>
        <w:jc w:val="left"/>
      </w:pPr>
      <w:r>
        <w:rPr>
          <w:rFonts w:ascii="Arial" w:hAnsi="Arial"/>
          <w:color w:val="525252"/>
          <w:sz w:val="13"/>
        </w:rPr>
        <w:t>The skill of teaching may not come naturally to everyone, but knowledge and experience are valuable as mentors.</w:t>
      </w:r>
    </w:p>
    <w:p>
      <w:pPr>
        <w:spacing w:after="20" w:line="223" w:lineRule="auto"/>
        <w:jc w:val="right"/>
        <w:bidi/>
      </w:pPr>
      <w:r>
        <w:rPr>
          <w:rFonts w:ascii="Arial" w:hAnsi="Arial"/>
          <w:sz w:val="16"/>
        </w:rPr>
        <w:t>251.11  این پنج مرحله ساده را هنگام آموزش و آموزش افراد تحت حمایت در نظر بگیرید: (۱) مطالب را در واحدهای منطقی و منظم با اندازه قابل مدیریت سازماندهی کنید. (۲) اشتباهات را بلافاصله تصحیح کنید. (۳) مکررا مطالبی را که پیش‌تر پوشش داده شده است مرور کنید و مطالب را با درس فعلی مرتبط کنید. (۴) شامل تمرین‌های عملی برای کمک به شاگرد در استفاده از دانش جدید. و (۵) ارزیابی پیشرفت تحت حمایت و ارائه بازخورد دقیق.</w:t>
      </w:r>
    </w:p>
    <w:p>
      <w:pPr>
        <w:spacing w:after="28" w:line="216" w:lineRule="auto"/>
        <w:ind w:left="259"/>
        <w:jc w:val="left"/>
      </w:pPr>
      <w:r>
        <w:rPr>
          <w:rFonts w:ascii="Arial" w:hAnsi="Arial"/>
          <w:color w:val="525252"/>
          <w:sz w:val="13"/>
        </w:rPr>
        <w:t>Consider these five simple steps when teaching and training protégés: (1) organize the material into logical, systematic units of manageable size; (2) correct errors immediately; (3) frequently review previously covered material and relate the material to the current lesson; (4) include practical exercises to help the protégé exercise the newfound knowledge; and (5) evaluate protégé progress and provide detailed feedback.</w:t>
      </w:r>
    </w:p>
    <w:p>
      <w:pPr>
        <w:spacing w:after="20" w:line="223" w:lineRule="auto"/>
        <w:jc w:val="right"/>
        <w:bidi/>
      </w:pPr>
      <w:r>
        <w:rPr>
          <w:rFonts w:ascii="Arial" w:hAnsi="Arial"/>
          <w:sz w:val="16"/>
        </w:rPr>
        <w:t>251.12  سازماندهی کنید.</w:t>
      </w:r>
    </w:p>
    <w:p>
      <w:pPr>
        <w:spacing w:after="28" w:line="216" w:lineRule="auto"/>
        <w:ind w:left="259"/>
        <w:jc w:val="left"/>
      </w:pPr>
      <w:r>
        <w:rPr>
          <w:rFonts w:ascii="Arial" w:hAnsi="Arial"/>
          <w:color w:val="525252"/>
          <w:sz w:val="13"/>
        </w:rPr>
        <w:t>Organize.</w:t>
      </w:r>
    </w:p>
    <w:p>
      <w:pPr>
        <w:spacing w:after="20" w:line="223" w:lineRule="auto"/>
        <w:jc w:val="right"/>
        <w:bidi/>
      </w:pPr>
      <w:r>
        <w:rPr>
          <w:rFonts w:ascii="Arial" w:hAnsi="Arial"/>
          <w:sz w:val="16"/>
        </w:rPr>
        <w:t>251.13  مربیان قبل از اینکه بخواهند به دیگران کمک کنند تا سازماندهی شوند باید خودشان سازماندهی شوند.</w:t>
      </w:r>
    </w:p>
    <w:p>
      <w:pPr>
        <w:spacing w:after="28" w:line="216" w:lineRule="auto"/>
        <w:ind w:left="259"/>
        <w:jc w:val="left"/>
      </w:pPr>
      <w:r>
        <w:rPr>
          <w:rFonts w:ascii="Arial" w:hAnsi="Arial"/>
          <w:color w:val="525252"/>
          <w:sz w:val="13"/>
        </w:rPr>
        <w:t>Mentors must themselves be organized before trying to help others become organized.</w:t>
      </w:r>
    </w:p>
    <w:p>
      <w:pPr>
        <w:spacing w:after="20" w:line="223" w:lineRule="auto"/>
        <w:jc w:val="right"/>
        <w:bidi/>
      </w:pPr>
      <w:r>
        <w:rPr>
          <w:rFonts w:ascii="Arial" w:hAnsi="Arial"/>
          <w:sz w:val="16"/>
        </w:rPr>
        <w:t>251.14  یک مربی سازمان یافته از همان ابتدا می‌داند که می‌خواهد به چه چیزی برسد و بر این هدف تمرکز می‌کند.</w:t>
      </w:r>
    </w:p>
    <w:p>
      <w:pPr>
        <w:spacing w:after="28" w:line="216" w:lineRule="auto"/>
        <w:ind w:left="259"/>
        <w:jc w:val="left"/>
      </w:pPr>
      <w:r>
        <w:rPr>
          <w:rFonts w:ascii="Arial" w:hAnsi="Arial"/>
          <w:color w:val="525252"/>
          <w:sz w:val="13"/>
        </w:rPr>
        <w:t>An organized mentor knows from the very beginning what he or she wants to achieve, and focuses on this goal.</w:t>
      </w:r>
    </w:p>
    <w:p>
      <w:pPr>
        <w:spacing w:after="20" w:line="223" w:lineRule="auto"/>
        <w:jc w:val="right"/>
        <w:bidi/>
      </w:pPr>
      <w:r>
        <w:rPr>
          <w:rFonts w:ascii="Arial" w:hAnsi="Arial"/>
          <w:sz w:val="16"/>
        </w:rPr>
        <w:t>251.15  زمان و تلاش صرف شده برای سازماندهی افکار و مطالب در یک برنامه منطقی و متوالی با هدف دقیقا تعریف شده، سود زیادی را در قالب بهبود یادگیری و تجارب رشدی برای شاگرد به همراه دارد.</w:t>
      </w:r>
    </w:p>
    <w:p>
      <w:pPr>
        <w:spacing w:after="28" w:line="216" w:lineRule="auto"/>
        <w:ind w:left="259"/>
        <w:jc w:val="left"/>
      </w:pPr>
      <w:r>
        <w:rPr>
          <w:rFonts w:ascii="Arial" w:hAnsi="Arial"/>
          <w:color w:val="525252"/>
          <w:sz w:val="13"/>
        </w:rPr>
        <w:t>The time and effort spent organizing thoughts and materials into a logical, sequential plan aimed at a precisely defined target pays big dividends in the form of improved learning and developmental experiences for the protégé.</w:t>
      </w:r>
    </w:p>
    <w:p>
      <w:pPr>
        <w:spacing w:after="20" w:line="223" w:lineRule="auto"/>
        <w:jc w:val="right"/>
        <w:bidi/>
      </w:pPr>
      <w:r>
        <w:rPr>
          <w:rFonts w:ascii="Arial" w:hAnsi="Arial"/>
          <w:sz w:val="16"/>
        </w:rPr>
        <w:t>251.16  پاسخ دهید.</w:t>
      </w:r>
    </w:p>
    <w:p>
      <w:pPr>
        <w:spacing w:after="28" w:line="216" w:lineRule="auto"/>
        <w:ind w:left="259"/>
        <w:jc w:val="left"/>
      </w:pPr>
      <w:r>
        <w:rPr>
          <w:rFonts w:ascii="Arial" w:hAnsi="Arial"/>
          <w:color w:val="525252"/>
          <w:sz w:val="13"/>
        </w:rPr>
        <w:t>Respond.</w:t>
      </w:r>
    </w:p>
    <w:p>
      <w:pPr>
        <w:spacing w:after="20" w:line="223" w:lineRule="auto"/>
        <w:jc w:val="right"/>
        <w:bidi/>
      </w:pPr>
      <w:r>
        <w:rPr>
          <w:rFonts w:ascii="Arial" w:hAnsi="Arial"/>
          <w:sz w:val="16"/>
        </w:rPr>
        <w:t>251.17  منتورینگ یک فرآیند ارتباطی دو طرفه است که مستلزم آن است که مربیان به‌طور فعال به سؤالات تحت حمایت گوش دهند و پاسخ‌های مفید و به موقع ارائه دهند.</w:t>
      </w:r>
    </w:p>
    <w:p>
      <w:pPr>
        <w:spacing w:after="28" w:line="216" w:lineRule="auto"/>
        <w:ind w:left="259"/>
        <w:jc w:val="left"/>
      </w:pPr>
      <w:r>
        <w:rPr>
          <w:rFonts w:ascii="Arial" w:hAnsi="Arial"/>
          <w:color w:val="525252"/>
          <w:sz w:val="13"/>
        </w:rPr>
        <w:t>Mentoring is a two-way communication process that requires mentors to actively listen to the protégé questions and provide useful and timely responses.</w:t>
      </w:r>
    </w:p>
    <w:p>
      <w:pPr>
        <w:spacing w:after="20" w:line="223" w:lineRule="auto"/>
        <w:jc w:val="right"/>
        <w:bidi/>
      </w:pPr>
      <w:r>
        <w:rPr>
          <w:rFonts w:ascii="Arial" w:hAnsi="Arial"/>
          <w:sz w:val="16"/>
        </w:rPr>
        <w:t>251.18  مربیان مؤثر باید هوشیار باشند تا رفتارهای غیرکلامی و نشانه‌های ارتباطی ظریفی را که نشان‌دهنده علاقه افراد تحت حمایت به حوزه‌های خاص است، تشخیص دهند.</w:t>
      </w:r>
    </w:p>
    <w:p>
      <w:pPr>
        <w:spacing w:after="28" w:line="216" w:lineRule="auto"/>
        <w:ind w:left="259"/>
        <w:jc w:val="left"/>
      </w:pPr>
      <w:r>
        <w:rPr>
          <w:rFonts w:ascii="Arial" w:hAnsi="Arial"/>
          <w:color w:val="525252"/>
          <w:sz w:val="13"/>
        </w:rPr>
        <w:t>Effective mentors must remain alert to recognize nonverbal behaviors and subtle communication cues that indicate the protégés’ interest in certain areas.</w:t>
      </w:r>
    </w:p>
    <w:p>
      <w:pPr>
        <w:spacing w:after="20" w:line="223" w:lineRule="auto"/>
        <w:jc w:val="right"/>
        <w:bidi/>
      </w:pPr>
      <w:r>
        <w:rPr>
          <w:rFonts w:ascii="Arial" w:hAnsi="Arial"/>
          <w:sz w:val="16"/>
        </w:rPr>
        <w:t>251.19  مربیان باید فعال باشند، نیازها، مشکلات و نگرانی‌های تحت‌تأمین را پیش‌بینی کنند و فورا به آنها رسیدگی کنند.</w:t>
      </w:r>
    </w:p>
    <w:p>
      <w:pPr>
        <w:spacing w:after="28" w:line="216" w:lineRule="auto"/>
        <w:ind w:left="259"/>
        <w:jc w:val="left"/>
      </w:pPr>
      <w:r>
        <w:rPr>
          <w:rFonts w:ascii="Arial" w:hAnsi="Arial"/>
          <w:color w:val="525252"/>
          <w:sz w:val="13"/>
        </w:rPr>
        <w:t>Mentors should be proactive, anticipate the needs, problems, and concerns of protégés, and address them immediately.</w:t>
      </w:r>
    </w:p>
    <w:p>
      <w:pPr>
        <w:spacing w:after="20" w:line="223" w:lineRule="auto"/>
        <w:jc w:val="right"/>
        <w:bidi/>
      </w:pPr>
      <w:r>
        <w:rPr>
          <w:rFonts w:ascii="Arial" w:hAnsi="Arial"/>
          <w:sz w:val="16"/>
        </w:rPr>
        <w:t>251.20  الهام بخش.</w:t>
      </w:r>
    </w:p>
    <w:p>
      <w:pPr>
        <w:spacing w:after="28" w:line="216" w:lineRule="auto"/>
        <w:ind w:left="259"/>
        <w:jc w:val="left"/>
      </w:pPr>
      <w:r>
        <w:rPr>
          <w:rFonts w:ascii="Arial" w:hAnsi="Arial"/>
          <w:color w:val="525252"/>
          <w:sz w:val="13"/>
        </w:rPr>
        <w:t>Inspire.</w:t>
      </w:r>
    </w:p>
    <w:p>
      <w:pPr>
        <w:spacing w:after="20" w:line="223" w:lineRule="auto"/>
        <w:jc w:val="right"/>
        <w:bidi/>
      </w:pPr>
      <w:r>
        <w:rPr>
          <w:rFonts w:ascii="Arial" w:hAnsi="Arial"/>
          <w:sz w:val="16"/>
        </w:rPr>
        <w:t>251.21  بیشتر از یک الگو، معلم یا متحد خوب، یک مربی مؤثر یک مربی الهام بخش است.</w:t>
      </w:r>
    </w:p>
    <w:p>
      <w:pPr>
        <w:spacing w:after="28" w:line="216" w:lineRule="auto"/>
        <w:ind w:left="259"/>
        <w:jc w:val="left"/>
      </w:pPr>
      <w:r>
        <w:rPr>
          <w:rFonts w:ascii="Arial" w:hAnsi="Arial"/>
          <w:color w:val="525252"/>
          <w:sz w:val="13"/>
        </w:rPr>
        <w:t>More than a good role model, teacher, or ally, an effective mentor is an inspirational mentor.</w:t>
      </w:r>
    </w:p>
    <w:p>
      <w:pPr>
        <w:spacing w:after="20" w:line="223" w:lineRule="auto"/>
        <w:jc w:val="right"/>
        <w:bidi/>
      </w:pPr>
      <w:r>
        <w:rPr>
          <w:rFonts w:ascii="Arial" w:hAnsi="Arial"/>
          <w:sz w:val="16"/>
        </w:rPr>
        <w:t>251.22  مربیان الهام بخش تأثیر عمیقی بر تحت حمایت‌ها می‌گذارند که آنها را تشویق می‌کند تا به موجودی بهتر تبدیل شوند.</w:t>
      </w:r>
    </w:p>
    <w:p>
      <w:pPr>
        <w:spacing w:after="28" w:line="216" w:lineRule="auto"/>
        <w:ind w:left="259"/>
        <w:jc w:val="left"/>
      </w:pPr>
      <w:r>
        <w:rPr>
          <w:rFonts w:ascii="Arial" w:hAnsi="Arial"/>
          <w:color w:val="525252"/>
          <w:sz w:val="13"/>
        </w:rPr>
        <w:t>Inspirational mentors have a profound impact on protégés that encourages them to transform into a more improved being.</w:t>
      </w:r>
    </w:p>
    <w:p>
      <w:pPr>
        <w:spacing w:after="20" w:line="223" w:lineRule="auto"/>
        <w:jc w:val="right"/>
        <w:bidi/>
      </w:pPr>
      <w:r>
        <w:rPr>
          <w:rFonts w:ascii="Arial" w:hAnsi="Arial"/>
          <w:sz w:val="16"/>
        </w:rPr>
        <w:t>251.23  الهام بخشی ویژگی است که رهبران را از مدیران متمایز می‌کند.</w:t>
      </w:r>
    </w:p>
    <w:p>
      <w:pPr>
        <w:spacing w:after="28" w:line="216" w:lineRule="auto"/>
        <w:ind w:left="259"/>
        <w:jc w:val="left"/>
      </w:pPr>
      <w:r>
        <w:rPr>
          <w:rFonts w:ascii="Arial" w:hAnsi="Arial"/>
          <w:color w:val="525252"/>
          <w:sz w:val="13"/>
        </w:rPr>
        <w:t>Inspiration is a characteristic that distinguishes leaders from managers.</w:t>
      </w:r>
    </w:p>
    <w:p>
      <w:pPr>
        <w:spacing w:after="20" w:line="223" w:lineRule="auto"/>
        <w:jc w:val="right"/>
        <w:bidi/>
      </w:pPr>
      <w:r>
        <w:rPr>
          <w:rFonts w:ascii="Arial" w:hAnsi="Arial"/>
          <w:sz w:val="16"/>
        </w:rPr>
        <w:t>251.24  شبکه.</w:t>
      </w:r>
    </w:p>
    <w:p>
      <w:pPr>
        <w:spacing w:after="28" w:line="216" w:lineRule="auto"/>
        <w:ind w:left="259"/>
        <w:jc w:val="left"/>
      </w:pPr>
      <w:r>
        <w:rPr>
          <w:rFonts w:ascii="Arial" w:hAnsi="Arial"/>
          <w:color w:val="525252"/>
          <w:sz w:val="13"/>
        </w:rPr>
        <w:t>Network.</w:t>
      </w:r>
    </w:p>
    <w:p>
      <w:pPr>
        <w:spacing w:after="20" w:line="223" w:lineRule="auto"/>
        <w:jc w:val="right"/>
        <w:bidi/>
      </w:pPr>
      <w:r>
        <w:rPr>
          <w:rFonts w:ascii="Arial" w:hAnsi="Arial"/>
          <w:sz w:val="16"/>
        </w:rPr>
        <w:t>251.25  یک مربی خوب، یک فرد تحت حمایت را معرفی و با دیگران مرتبط می‌کند که می‌توانند راهنمایی، پشتیبانی، منابع و فرصت‌ها را افزایش دهند.</w:t>
      </w:r>
    </w:p>
    <w:p>
      <w:pPr>
        <w:spacing w:after="28" w:line="216" w:lineRule="auto"/>
        <w:ind w:left="259"/>
        <w:jc w:val="left"/>
      </w:pPr>
      <w:r>
        <w:rPr>
          <w:rFonts w:ascii="Arial" w:hAnsi="Arial"/>
          <w:color w:val="525252"/>
          <w:sz w:val="13"/>
        </w:rPr>
        <w:t>A good mentor introduces and connects a protégé with others who can provide increased guidance, support, resources, and opportunities.</w:t>
      </w:r>
    </w:p>
    <w:p>
      <w:pPr>
        <w:spacing w:after="20" w:line="223" w:lineRule="auto"/>
        <w:jc w:val="right"/>
        <w:bidi/>
      </w:pPr>
      <w:r>
        <w:rPr>
          <w:rFonts w:ascii="Arial" w:hAnsi="Arial"/>
          <w:sz w:val="16"/>
        </w:rPr>
        <w:t>251.26  شبکه‌سازی یک عملکرد حیاتی است که به افراد تحت حمایت کمک می‌کند تا خود را در جامعه حرفه‌ای خود از طریق شبکه‌ای محکم از دوستان، آشنایان و همکاران تثبیت کنند.</w:t>
      </w:r>
    </w:p>
    <w:p>
      <w:pPr>
        <w:spacing w:after="28" w:line="216" w:lineRule="auto"/>
        <w:ind w:left="259"/>
        <w:jc w:val="left"/>
      </w:pPr>
      <w:r>
        <w:rPr>
          <w:rFonts w:ascii="Arial" w:hAnsi="Arial"/>
          <w:color w:val="525252"/>
          <w:sz w:val="13"/>
        </w:rPr>
        <w:t>Networking is a vital function that helps protégés establish themselves in their professional community through a solid network of friends, acquaintances, and associates.</w:t>
      </w:r>
    </w:p>
    <w:p>
      <w:pPr>
        <w:spacing w:after="20" w:line="223" w:lineRule="auto"/>
        <w:jc w:val="right"/>
        <w:bidi/>
      </w:pPr>
      <w:r>
        <w:rPr>
          <w:rFonts w:ascii="Arial" w:hAnsi="Arial"/>
          <w:sz w:val="16"/>
        </w:rPr>
        <w:t>251.27  هدف تعیین شده.</w:t>
      </w:r>
    </w:p>
    <w:p>
      <w:pPr>
        <w:spacing w:after="28" w:line="216" w:lineRule="auto"/>
        <w:ind w:left="259"/>
        <w:jc w:val="left"/>
      </w:pPr>
      <w:r>
        <w:rPr>
          <w:rFonts w:ascii="Arial" w:hAnsi="Arial"/>
          <w:color w:val="525252"/>
          <w:sz w:val="13"/>
        </w:rPr>
        <w:t>Goal-Set.</w:t>
      </w:r>
    </w:p>
    <w:p>
      <w:pPr>
        <w:spacing w:after="20" w:line="223" w:lineRule="auto"/>
        <w:jc w:val="right"/>
        <w:bidi/>
      </w:pPr>
      <w:r>
        <w:rPr>
          <w:rFonts w:ascii="Arial" w:hAnsi="Arial"/>
          <w:sz w:val="16"/>
        </w:rPr>
        <w:t>251.28  گاهی اوقات افراد فاقد تجربه درک اهمیت تعیین اهداف یا تخصص برای ایجاد اهداف خاص، قابل اندازه گیری، دست یافتنی، واقعی و محدود به زمان هستند.</w:t>
      </w:r>
    </w:p>
    <w:p>
      <w:pPr>
        <w:spacing w:after="28" w:line="216" w:lineRule="auto"/>
        <w:ind w:left="259"/>
        <w:jc w:val="left"/>
      </w:pPr>
      <w:r>
        <w:rPr>
          <w:rFonts w:ascii="Arial" w:hAnsi="Arial"/>
          <w:color w:val="525252"/>
          <w:sz w:val="13"/>
        </w:rPr>
        <w:t>Sometimes people lack the experience to understand the importance of setting goals or the expertise to establish Specific, Measurable, Achievable, Realistic, and Time-bound goals.</w:t>
      </w:r>
    </w:p>
    <w:p>
      <w:pPr>
        <w:spacing w:after="20" w:line="223" w:lineRule="auto"/>
        <w:jc w:val="right"/>
        <w:bidi/>
      </w:pPr>
      <w:r>
        <w:rPr>
          <w:rFonts w:ascii="Arial" w:hAnsi="Arial"/>
          <w:sz w:val="16"/>
        </w:rPr>
        <w:t>251.29  مربیان باید به مشمولان خود کمک کنند تا بفهمند چرا اهداف مهم هستند. اهداف کوتاه مدت و بلندمدت مشخص، قابل اندازه گیری، قابل دستیابی، واقع بینانه و محدود به زمان را تعیین کنید. و برای کمک به آنها در دستیابی به اهدافشان در دسترس باشند.</w:t>
      </w:r>
    </w:p>
    <w:p>
      <w:pPr>
        <w:spacing w:after="28" w:line="216" w:lineRule="auto"/>
        <w:ind w:left="259"/>
        <w:jc w:val="left"/>
      </w:pPr>
      <w:r>
        <w:rPr>
          <w:rFonts w:ascii="Arial" w:hAnsi="Arial"/>
          <w:color w:val="525252"/>
          <w:sz w:val="13"/>
        </w:rPr>
        <w:t>Mentors must help their protégés understand why goals are important; establish short- and long- term goals that are Specific, Measurable, Achievable, Realistic, and Time-bound; and be available to assist them in achieving their goals.</w:t>
      </w:r>
    </w:p>
    <w:p>
      <w:pPr>
        <w:spacing w:before="60" w:after="28"/>
        <w:jc w:val="right"/>
        <w:bidi/>
      </w:pPr>
      <w:r>
        <w:rPr>
          <w:b/>
          <w:color w:val="1F4D78"/>
          <w:sz w:val="18"/>
        </w:rPr>
        <w:t>14.12. رهبر به عنوان یک مشاور</w:t>
      </w:r>
    </w:p>
    <w:p>
      <w:pPr>
        <w:spacing w:after="20"/>
        <w:ind w:left="259"/>
        <w:jc w:val="left"/>
      </w:pPr>
      <w:r>
        <w:rPr>
          <w:color w:val="555555"/>
          <w:sz w:val="12"/>
        </w:rPr>
        <w:t>14.12. The Leader as a Counselor</w:t>
      </w:r>
    </w:p>
    <w:p>
      <w:pPr>
        <w:spacing w:after="20" w:line="223" w:lineRule="auto"/>
        <w:jc w:val="right"/>
        <w:bidi/>
      </w:pPr>
      <w:r>
        <w:rPr>
          <w:rFonts w:ascii="Arial" w:hAnsi="Arial"/>
          <w:sz w:val="16"/>
        </w:rPr>
        <w:t>251.31  مشارکت در توسعه و رشد یک عضو نیروی هوایی برای نفوذ و اعتبار یک رهبر ضروری است.</w:t>
      </w:r>
    </w:p>
    <w:p>
      <w:pPr>
        <w:spacing w:after="28" w:line="216" w:lineRule="auto"/>
        <w:ind w:left="259"/>
        <w:jc w:val="left"/>
      </w:pPr>
      <w:r>
        <w:rPr>
          <w:rFonts w:ascii="Arial" w:hAnsi="Arial"/>
          <w:color w:val="525252"/>
          <w:sz w:val="13"/>
        </w:rPr>
        <w:t>Being involved in an Airman’s development and growth is essential to a leader’s influence and credibility.</w:t>
      </w:r>
    </w:p>
    <w:p>
      <w:pPr>
        <w:spacing w:after="20" w:line="223" w:lineRule="auto"/>
        <w:jc w:val="right"/>
        <w:bidi/>
      </w:pPr>
      <w:r>
        <w:rPr>
          <w:rFonts w:ascii="Arial" w:hAnsi="Arial"/>
          <w:sz w:val="16"/>
        </w:rPr>
        <w:t>251.32  رهبران باید به دنبال توسعه و بهبود توانایی‌های مشاوره باشند تا اطمینان حاصل کنند که مشاوره مؤثر به هوانوردان ارائه می‌شود.</w:t>
      </w:r>
    </w:p>
    <w:p>
      <w:pPr>
        <w:spacing w:after="28" w:line="216" w:lineRule="auto"/>
        <w:ind w:left="259"/>
        <w:jc w:val="left"/>
      </w:pPr>
      <w:r>
        <w:rPr>
          <w:rFonts w:ascii="Arial" w:hAnsi="Arial"/>
          <w:color w:val="525252"/>
          <w:sz w:val="13"/>
        </w:rPr>
        <w:t>Leaders should seek to develop and improve counseling abilities to ensure effective counseling is provided to Airmen.</w:t>
      </w:r>
    </w:p>
    <w:p>
      <w:pPr>
        <w:spacing w:after="20" w:line="223" w:lineRule="auto"/>
        <w:jc w:val="right"/>
        <w:bidi/>
      </w:pPr>
      <w:r>
        <w:rPr>
          <w:rFonts w:ascii="Arial" w:hAnsi="Arial"/>
          <w:sz w:val="16"/>
        </w:rPr>
        <w:t>251.33  مشاوره می‌تواند به دلایل متعددی انجام شود، از مواردی ساده مانند بحث در مورد مراحل انجام شده برای دستیابی به یک هدف، تا چیزی به پیچیدگی پرداختن به یک رویداد مهم تغییر زندگی.</w:t>
      </w:r>
    </w:p>
    <w:p>
      <w:pPr>
        <w:spacing w:after="28" w:line="216" w:lineRule="auto"/>
        <w:ind w:left="259"/>
        <w:jc w:val="left"/>
      </w:pPr>
      <w:r>
        <w:rPr>
          <w:rFonts w:ascii="Arial" w:hAnsi="Arial"/>
          <w:color w:val="525252"/>
          <w:sz w:val="13"/>
        </w:rPr>
        <w:t>Counseling can be conducted for a number of reasons, ranging from something as simple as discussing steps made toward achieving a goal, to something as complex as addressing a significant life changing event.</w:t>
      </w:r>
    </w:p>
    <w:p>
      <w:r>
        <w:br w:type="page"/>
      </w:r>
    </w:p>
    <w:p>
      <w:pPr>
        <w:spacing w:after="60"/>
        <w:jc w:val="right"/>
        <w:bidi/>
      </w:pPr>
      <w:r>
        <w:rPr>
          <w:rFonts w:ascii="Arial" w:hAnsi="Arial"/>
          <w:b/>
          <w:color w:val="1F4D78"/>
          <w:sz w:val="19"/>
        </w:rPr>
        <w:t>هفتهٔ 252  |  صفحهٔ منبع: 268</w:t>
      </w:r>
    </w:p>
    <w:p>
      <w:pPr>
        <w:spacing w:before="60" w:after="28"/>
        <w:jc w:val="right"/>
        <w:bidi/>
      </w:pPr>
      <w:r>
        <w:rPr>
          <w:b/>
          <w:color w:val="1F4D78"/>
          <w:sz w:val="18"/>
        </w:rPr>
        <w:t>14.13. چه زمانی برای مشاوره</w:t>
      </w:r>
    </w:p>
    <w:p>
      <w:pPr>
        <w:spacing w:after="20"/>
        <w:ind w:left="259"/>
        <w:jc w:val="left"/>
      </w:pPr>
      <w:r>
        <w:rPr>
          <w:color w:val="555555"/>
          <w:sz w:val="12"/>
        </w:rPr>
        <w:t>14.13. When to Counsel</w:t>
      </w:r>
    </w:p>
    <w:p>
      <w:pPr>
        <w:spacing w:after="20" w:line="223" w:lineRule="auto"/>
        <w:jc w:val="right"/>
        <w:bidi/>
      </w:pPr>
      <w:r>
        <w:rPr>
          <w:rFonts w:ascii="Arial" w:hAnsi="Arial"/>
          <w:sz w:val="16"/>
        </w:rPr>
        <w:t>252.02  کلید موفقیت در مشاوره این است که مشاوره را تا حد امکان نزدیک به رویداد انجام دهید.</w:t>
      </w:r>
    </w:p>
    <w:p>
      <w:pPr>
        <w:spacing w:after="28" w:line="216" w:lineRule="auto"/>
        <w:ind w:left="259"/>
        <w:jc w:val="left"/>
      </w:pPr>
      <w:r>
        <w:rPr>
          <w:rFonts w:ascii="Arial" w:hAnsi="Arial"/>
          <w:color w:val="525252"/>
          <w:sz w:val="13"/>
        </w:rPr>
        <w:t>The key to successful counseling is to conduct the counseling as close to the event as possible.</w:t>
      </w:r>
    </w:p>
    <w:p>
      <w:pPr>
        <w:spacing w:after="20" w:line="223" w:lineRule="auto"/>
        <w:jc w:val="right"/>
        <w:bidi/>
      </w:pPr>
      <w:r>
        <w:rPr>
          <w:rFonts w:ascii="Arial" w:hAnsi="Arial"/>
          <w:sz w:val="16"/>
        </w:rPr>
        <w:t>252.03  رهبران خوب از رویدادهای طبیعی به‌عنوان فرصتی برای ارائه بازخورد استفاده می‌کنند.</w:t>
      </w:r>
    </w:p>
    <w:p>
      <w:pPr>
        <w:spacing w:after="28" w:line="216" w:lineRule="auto"/>
        <w:ind w:left="259"/>
        <w:jc w:val="left"/>
      </w:pPr>
      <w:r>
        <w:rPr>
          <w:rFonts w:ascii="Arial" w:hAnsi="Arial"/>
          <w:color w:val="525252"/>
          <w:sz w:val="13"/>
        </w:rPr>
        <w:t>Good leaders take advantage of naturally occurring events as opportunities for providing feedback.</w:t>
      </w:r>
    </w:p>
    <w:p>
      <w:pPr>
        <w:spacing w:after="20" w:line="223" w:lineRule="auto"/>
        <w:jc w:val="right"/>
        <w:bidi/>
      </w:pPr>
      <w:r>
        <w:rPr>
          <w:rFonts w:ascii="Arial" w:hAnsi="Arial"/>
          <w:sz w:val="16"/>
        </w:rPr>
        <w:t>252.04  رهبران باید واقعا به نیروهای هوایی علاقه مند باشند و بدانند که چگونه مشارکت می‌تواند به صورت شخصی و حرفه‌ای کمک کند.</w:t>
      </w:r>
    </w:p>
    <w:p>
      <w:pPr>
        <w:spacing w:after="28" w:line="216" w:lineRule="auto"/>
        <w:ind w:left="259"/>
        <w:jc w:val="left"/>
      </w:pPr>
      <w:r>
        <w:rPr>
          <w:rFonts w:ascii="Arial" w:hAnsi="Arial"/>
          <w:color w:val="525252"/>
          <w:sz w:val="13"/>
        </w:rPr>
        <w:t>Leaders must be genuinely interested in Airmen and understand how involvement can help personally and professionally.</w:t>
      </w:r>
    </w:p>
    <w:p>
      <w:pPr>
        <w:spacing w:after="20" w:line="223" w:lineRule="auto"/>
        <w:jc w:val="right"/>
        <w:bidi/>
      </w:pPr>
      <w:r>
        <w:rPr>
          <w:rFonts w:ascii="Arial" w:hAnsi="Arial"/>
          <w:sz w:val="16"/>
        </w:rPr>
        <w:t>252.05  گوش دادن و ارائه کمک می‌تواند تا حد زیادی توانایی یک ایرمن را برای مقابله با یک موقعیت افزایش دهد.</w:t>
      </w:r>
    </w:p>
    <w:p>
      <w:pPr>
        <w:spacing w:after="28" w:line="216" w:lineRule="auto"/>
        <w:ind w:left="259"/>
        <w:jc w:val="left"/>
      </w:pPr>
      <w:r>
        <w:rPr>
          <w:rFonts w:ascii="Arial" w:hAnsi="Arial"/>
          <w:color w:val="525252"/>
          <w:sz w:val="13"/>
        </w:rPr>
        <w:t>Listening and providing assistance may greatly enhance an Airman’s ability to deal with a situation.</w:t>
      </w:r>
    </w:p>
    <w:p>
      <w:pPr>
        <w:spacing w:after="20" w:line="223" w:lineRule="auto"/>
        <w:jc w:val="right"/>
        <w:bidi/>
      </w:pPr>
      <w:r>
        <w:rPr>
          <w:rFonts w:ascii="Arial" w:hAnsi="Arial"/>
          <w:sz w:val="16"/>
        </w:rPr>
        <w:t>252.06  مشاوره رشد حرفه‌ای اغلب در حین بررسی عملکرد وظیفه یک ایرمن در یک دوره معین و تعیین استانداردها برای دوره بعدی، به‌طور معمول، اما نه تنها در طی ارزیابی بازخورد عملکرد، انجام می‌شود.</w:t>
      </w:r>
    </w:p>
    <w:p>
      <w:pPr>
        <w:spacing w:after="28" w:line="216" w:lineRule="auto"/>
        <w:ind w:left="259"/>
        <w:jc w:val="left"/>
      </w:pPr>
      <w:r>
        <w:rPr>
          <w:rFonts w:ascii="Arial" w:hAnsi="Arial"/>
          <w:color w:val="525252"/>
          <w:sz w:val="13"/>
        </w:rPr>
        <w:t>Professional growth counseling is often conducted while reviewing an Airman’s duty performance during a certain period and setting standards for the next period, typically, but not only during performance feedback assessments.</w:t>
      </w:r>
    </w:p>
    <w:p>
      <w:pPr>
        <w:spacing w:after="20" w:line="223" w:lineRule="auto"/>
        <w:jc w:val="right"/>
        <w:bidi/>
      </w:pPr>
      <w:r>
        <w:rPr>
          <w:rFonts w:ascii="Arial" w:hAnsi="Arial"/>
          <w:sz w:val="16"/>
        </w:rPr>
        <w:t>252.07  رهبران ممکن است برای انجام وظایف یا رفتار برتر یا غیراستاندارد مشاوره انجام دهند.</w:t>
      </w:r>
    </w:p>
    <w:p>
      <w:pPr>
        <w:spacing w:after="28" w:line="216" w:lineRule="auto"/>
        <w:ind w:left="259"/>
        <w:jc w:val="left"/>
      </w:pPr>
      <w:r>
        <w:rPr>
          <w:rFonts w:ascii="Arial" w:hAnsi="Arial"/>
          <w:color w:val="525252"/>
          <w:sz w:val="13"/>
        </w:rPr>
        <w:t>Leaders may conduct counseling for superior or substandard duty performance or behavior.</w:t>
      </w:r>
    </w:p>
    <w:p>
      <w:pPr>
        <w:spacing w:after="20" w:line="223" w:lineRule="auto"/>
        <w:jc w:val="right"/>
        <w:bidi/>
      </w:pPr>
      <w:r>
        <w:rPr>
          <w:rFonts w:ascii="Arial" w:hAnsi="Arial"/>
          <w:sz w:val="16"/>
        </w:rPr>
        <w:t>252.08  رهبران ممکن است پس از دریافت اخبار منفی، مشاوره بحران را برای کمک به یک هواپیمای مسافربری برای عبور از شوک اولیه انجام دهند.</w:t>
      </w:r>
    </w:p>
    <w:p>
      <w:pPr>
        <w:spacing w:after="28" w:line="216" w:lineRule="auto"/>
        <w:ind w:left="259"/>
        <w:jc w:val="left"/>
      </w:pPr>
      <w:r>
        <w:rPr>
          <w:rFonts w:ascii="Arial" w:hAnsi="Arial"/>
          <w:color w:val="525252"/>
          <w:sz w:val="13"/>
        </w:rPr>
        <w:t>Leaders may conduct crisis counseling to help an Airman through the initial shock after receiving negative news.</w:t>
      </w:r>
    </w:p>
    <w:p>
      <w:pPr>
        <w:spacing w:after="20" w:line="223" w:lineRule="auto"/>
        <w:jc w:val="right"/>
        <w:bidi/>
      </w:pPr>
      <w:r>
        <w:rPr>
          <w:rFonts w:ascii="Arial" w:hAnsi="Arial"/>
          <w:sz w:val="16"/>
        </w:rPr>
        <w:t>252.09  مشاوره ارجاع ممکن است به دنبال مشاوره بحران باشد، که می‌تواند به هوانوردان کمک کند تا از طریق یک موقعیت شخصی کار کنند و ممکن است به‌عنوان مشاوره پیشگیرانه قبل از اینکه یک موقعیت مشکل ساز شود، عمل کند.</w:t>
      </w:r>
    </w:p>
    <w:p>
      <w:pPr>
        <w:spacing w:after="28" w:line="216" w:lineRule="auto"/>
        <w:ind w:left="259"/>
        <w:jc w:val="left"/>
      </w:pPr>
      <w:r>
        <w:rPr>
          <w:rFonts w:ascii="Arial" w:hAnsi="Arial"/>
          <w:color w:val="525252"/>
          <w:sz w:val="13"/>
        </w:rPr>
        <w:t>Referral counseling may follow crisis counseling, which can help Airmen work through a personal situation and may serve as preventive counseling before a situation becomes a problem.</w:t>
      </w:r>
    </w:p>
    <w:p>
      <w:pPr>
        <w:spacing w:after="20" w:line="223" w:lineRule="auto"/>
        <w:jc w:val="right"/>
        <w:bidi/>
      </w:pPr>
      <w:r>
        <w:rPr>
          <w:rFonts w:ascii="Arial" w:hAnsi="Arial"/>
          <w:sz w:val="16"/>
        </w:rPr>
        <w:t>252.10  مشاوره ارجاع اغلب شامل آژانس‌هایی مانند خدمات حقوقی، امور مذهبی، یا یک مشاور الکل و مواد مخدر می‌شود.</w:t>
      </w:r>
    </w:p>
    <w:p>
      <w:pPr>
        <w:spacing w:after="28" w:line="216" w:lineRule="auto"/>
        <w:ind w:left="259"/>
        <w:jc w:val="left"/>
      </w:pPr>
      <w:r>
        <w:rPr>
          <w:rFonts w:ascii="Arial" w:hAnsi="Arial"/>
          <w:color w:val="525252"/>
          <w:sz w:val="13"/>
        </w:rPr>
        <w:t>Referral counseling often involves agencies, such as legal services, religious affairs, or an alcohol and drug counselor.</w:t>
      </w:r>
    </w:p>
    <w:p>
      <w:pPr>
        <w:spacing w:before="60" w:after="28"/>
        <w:jc w:val="right"/>
        <w:bidi/>
      </w:pPr>
      <w:r>
        <w:rPr>
          <w:b/>
          <w:color w:val="1F4D78"/>
          <w:sz w:val="18"/>
        </w:rPr>
        <w:t>14.14. رویکردهای مشاوره</w:t>
      </w:r>
    </w:p>
    <w:p>
      <w:pPr>
        <w:spacing w:after="20"/>
        <w:ind w:left="259"/>
        <w:jc w:val="left"/>
      </w:pPr>
      <w:r>
        <w:rPr>
          <w:color w:val="555555"/>
          <w:sz w:val="12"/>
        </w:rPr>
        <w:t>14.14. Approaches to Counseling</w:t>
      </w:r>
    </w:p>
    <w:p>
      <w:pPr>
        <w:spacing w:after="20" w:line="223" w:lineRule="auto"/>
        <w:jc w:val="right"/>
        <w:bidi/>
      </w:pPr>
      <w:r>
        <w:rPr>
          <w:rFonts w:ascii="Arial" w:hAnsi="Arial"/>
          <w:sz w:val="16"/>
        </w:rPr>
        <w:t>252.12  یک رهبر مؤثر به هر هواگرد به‌عنوان فردی نزدیک می‌شود.</w:t>
      </w:r>
    </w:p>
    <w:p>
      <w:pPr>
        <w:spacing w:after="28" w:line="216" w:lineRule="auto"/>
        <w:ind w:left="259"/>
        <w:jc w:val="left"/>
      </w:pPr>
      <w:r>
        <w:rPr>
          <w:rFonts w:ascii="Arial" w:hAnsi="Arial"/>
          <w:color w:val="525252"/>
          <w:sz w:val="13"/>
        </w:rPr>
        <w:t>An effective leader approaches each Airman as an individual.</w:t>
      </w:r>
    </w:p>
    <w:p>
      <w:pPr>
        <w:spacing w:after="20" w:line="223" w:lineRule="auto"/>
        <w:jc w:val="right"/>
        <w:bidi/>
      </w:pPr>
      <w:r>
        <w:rPr>
          <w:rFonts w:ascii="Arial" w:hAnsi="Arial"/>
          <w:sz w:val="16"/>
        </w:rPr>
        <w:t>252.13  افراد مختلف و موقعیت‌های مختلف نیاز به رویکردهای مشاوره متفاوتی دارند.</w:t>
      </w:r>
    </w:p>
    <w:p>
      <w:pPr>
        <w:spacing w:after="28" w:line="216" w:lineRule="auto"/>
        <w:ind w:left="259"/>
        <w:jc w:val="left"/>
      </w:pPr>
      <w:r>
        <w:rPr>
          <w:rFonts w:ascii="Arial" w:hAnsi="Arial"/>
          <w:color w:val="525252"/>
          <w:sz w:val="13"/>
        </w:rPr>
        <w:t>Different people and different situations require different counseling approaches.</w:t>
      </w:r>
    </w:p>
    <w:p>
      <w:pPr>
        <w:spacing w:after="20" w:line="223" w:lineRule="auto"/>
        <w:jc w:val="right"/>
        <w:bidi/>
      </w:pPr>
      <w:r>
        <w:rPr>
          <w:rFonts w:ascii="Arial" w:hAnsi="Arial"/>
          <w:sz w:val="16"/>
        </w:rPr>
        <w:t>252.14  سه رویکرد برای مشاوره شامل غیر دستوری، دستوری و ترکیبی است.</w:t>
      </w:r>
    </w:p>
    <w:p>
      <w:pPr>
        <w:spacing w:after="28" w:line="216" w:lineRule="auto"/>
        <w:ind w:left="259"/>
        <w:jc w:val="left"/>
      </w:pPr>
      <w:r>
        <w:rPr>
          <w:rFonts w:ascii="Arial" w:hAnsi="Arial"/>
          <w:color w:val="525252"/>
          <w:sz w:val="13"/>
        </w:rPr>
        <w:t>Three approaches to counseling include nondirective, directive, and combined.</w:t>
      </w:r>
    </w:p>
    <w:p>
      <w:pPr>
        <w:spacing w:after="20" w:line="223" w:lineRule="auto"/>
        <w:jc w:val="right"/>
        <w:bidi/>
      </w:pPr>
      <w:r>
        <w:rPr>
          <w:rFonts w:ascii="Arial" w:hAnsi="Arial"/>
          <w:sz w:val="16"/>
        </w:rPr>
        <w:t>252.15  تفاوت عمده بین رویکردهای مشاوره، میزان مشارکت و تعامل هوادار در طول جلسه مشاوره است.</w:t>
      </w:r>
    </w:p>
    <w:p>
      <w:pPr>
        <w:spacing w:after="28" w:line="216" w:lineRule="auto"/>
        <w:ind w:left="259"/>
        <w:jc w:val="left"/>
      </w:pPr>
      <w:r>
        <w:rPr>
          <w:rFonts w:ascii="Arial" w:hAnsi="Arial"/>
          <w:color w:val="525252"/>
          <w:sz w:val="13"/>
        </w:rPr>
        <w:t>The major difference between the approaches to counseling is the degree to which the Airman participates and interacts during a counseling session.</w:t>
      </w:r>
    </w:p>
    <w:p>
      <w:pPr>
        <w:spacing w:before="60" w:after="28"/>
        <w:jc w:val="right"/>
        <w:bidi/>
      </w:pPr>
      <w:r>
        <w:rPr>
          <w:b/>
          <w:color w:val="1F4D78"/>
          <w:sz w:val="18"/>
        </w:rPr>
        <w:t>شکل 14.2. مزایا و معایب هر رویکرد را خلاصه می کند.</w:t>
      </w:r>
    </w:p>
    <w:p>
      <w:pPr>
        <w:spacing w:after="20"/>
        <w:ind w:left="259"/>
        <w:jc w:val="left"/>
      </w:pPr>
      <w:r>
        <w:rPr>
          <w:color w:val="555555"/>
          <w:sz w:val="12"/>
        </w:rPr>
        <w:t>Figure 14.2. summarizes the advantages and disadvantages of each approach.</w:t>
      </w:r>
    </w:p>
    <w:p>
      <w:pPr>
        <w:spacing w:after="20" w:line="223" w:lineRule="auto"/>
        <w:jc w:val="right"/>
        <w:bidi/>
      </w:pPr>
      <w:r>
        <w:rPr>
          <w:rFonts w:ascii="Arial" w:hAnsi="Arial"/>
          <w:sz w:val="16"/>
        </w:rPr>
        <w:t>252.17  غیر مستقیم.</w:t>
      </w:r>
    </w:p>
    <w:p>
      <w:pPr>
        <w:spacing w:after="28" w:line="216" w:lineRule="auto"/>
        <w:ind w:left="259"/>
        <w:jc w:val="left"/>
      </w:pPr>
      <w:r>
        <w:rPr>
          <w:rFonts w:ascii="Arial" w:hAnsi="Arial"/>
          <w:color w:val="525252"/>
          <w:sz w:val="13"/>
        </w:rPr>
        <w:t>Nondirective.</w:t>
      </w:r>
    </w:p>
    <w:p>
      <w:pPr>
        <w:spacing w:after="20" w:line="223" w:lineRule="auto"/>
        <w:jc w:val="right"/>
        <w:bidi/>
      </w:pPr>
      <w:r>
        <w:rPr>
          <w:rFonts w:ascii="Arial" w:hAnsi="Arial"/>
          <w:sz w:val="16"/>
        </w:rPr>
        <w:t>252.18  رویکرد مشاوره غیر مستقیم برای اکثر جلسات مشاوره ترجیح داده می‌شود.</w:t>
      </w:r>
    </w:p>
    <w:p>
      <w:pPr>
        <w:spacing w:after="28" w:line="216" w:lineRule="auto"/>
        <w:ind w:left="259"/>
        <w:jc w:val="left"/>
      </w:pPr>
      <w:r>
        <w:rPr>
          <w:rFonts w:ascii="Arial" w:hAnsi="Arial"/>
          <w:color w:val="525252"/>
          <w:sz w:val="13"/>
        </w:rPr>
        <w:t>The nondirective counseling approach is preferred for most counseling sessions.</w:t>
      </w:r>
    </w:p>
    <w:p>
      <w:pPr>
        <w:spacing w:after="20" w:line="223" w:lineRule="auto"/>
        <w:jc w:val="right"/>
        <w:bidi/>
      </w:pPr>
      <w:r>
        <w:rPr>
          <w:rFonts w:ascii="Arial" w:hAnsi="Arial"/>
          <w:sz w:val="16"/>
        </w:rPr>
        <w:t>252.19  در طول جلسه مشاوره، رهبر قبل از کمک به فرد در تصمیم‌گیری یا مشاوره به وضعیت گوش می‌دهد.</w:t>
      </w:r>
    </w:p>
    <w:p>
      <w:pPr>
        <w:spacing w:after="28" w:line="216" w:lineRule="auto"/>
        <w:ind w:left="259"/>
        <w:jc w:val="left"/>
      </w:pPr>
      <w:r>
        <w:rPr>
          <w:rFonts w:ascii="Arial" w:hAnsi="Arial"/>
          <w:color w:val="525252"/>
          <w:sz w:val="13"/>
        </w:rPr>
        <w:t>During the counseling session, the leader listens to the situation before helping the individual make decisions or giving advice.</w:t>
      </w:r>
    </w:p>
    <w:p>
      <w:pPr>
        <w:spacing w:after="20" w:line="223" w:lineRule="auto"/>
        <w:jc w:val="right"/>
        <w:bidi/>
      </w:pPr>
      <w:r>
        <w:rPr>
          <w:rFonts w:ascii="Arial" w:hAnsi="Arial"/>
          <w:sz w:val="16"/>
        </w:rPr>
        <w:t>252.20  رهبر هوادار را تشویق می‌کند تا نکات مهم را برای درک بهتر موقعیت کشف و روشن کند.</w:t>
      </w:r>
    </w:p>
    <w:p>
      <w:pPr>
        <w:spacing w:after="28" w:line="216" w:lineRule="auto"/>
        <w:ind w:left="259"/>
        <w:jc w:val="left"/>
      </w:pPr>
      <w:r>
        <w:rPr>
          <w:rFonts w:ascii="Arial" w:hAnsi="Arial"/>
          <w:color w:val="525252"/>
          <w:sz w:val="13"/>
        </w:rPr>
        <w:t>The leader encourages the Airman to explore and clarify important points to better understand the situation.</w:t>
      </w:r>
    </w:p>
    <w:p>
      <w:pPr>
        <w:spacing w:after="20" w:line="223" w:lineRule="auto"/>
        <w:jc w:val="right"/>
        <w:bidi/>
      </w:pPr>
      <w:r>
        <w:rPr>
          <w:rFonts w:ascii="Arial" w:hAnsi="Arial"/>
          <w:sz w:val="16"/>
        </w:rPr>
        <w:t>252.21  در طول مشاوره غیر مستقیم، رهبر باید از ارائه راه حل یا ارائه نظرات خودداری کند، در عوض، تمرکز خود را بر اهداف و اهداف فردی و سازمانی حفظ کند.</w:t>
      </w:r>
    </w:p>
    <w:p>
      <w:pPr>
        <w:spacing w:after="28" w:line="216" w:lineRule="auto"/>
        <w:ind w:left="259"/>
        <w:jc w:val="left"/>
      </w:pPr>
      <w:r>
        <w:rPr>
          <w:rFonts w:ascii="Arial" w:hAnsi="Arial"/>
          <w:color w:val="525252"/>
          <w:sz w:val="13"/>
        </w:rPr>
        <w:t>During nondirective counseling, the leader should refrain from providing solutions or rendering opinions, instead, maintain focus on individual and organizational goals and objectives.</w:t>
      </w:r>
    </w:p>
    <w:p>
      <w:pPr>
        <w:spacing w:after="20" w:line="223" w:lineRule="auto"/>
        <w:jc w:val="right"/>
        <w:bidi/>
      </w:pPr>
      <w:r>
        <w:rPr>
          <w:rFonts w:ascii="Arial" w:hAnsi="Arial"/>
          <w:sz w:val="16"/>
        </w:rPr>
        <w:t>252.22  همچنین، مطمئن شوید که برنامه عملیاتی عضو نیروی هوایی با آن اهداف و مقاصد همسو است.</w:t>
      </w:r>
    </w:p>
    <w:p>
      <w:pPr>
        <w:spacing w:after="28" w:line="216" w:lineRule="auto"/>
        <w:ind w:left="259"/>
        <w:jc w:val="left"/>
      </w:pPr>
      <w:r>
        <w:rPr>
          <w:rFonts w:ascii="Arial" w:hAnsi="Arial"/>
          <w:color w:val="525252"/>
          <w:sz w:val="13"/>
        </w:rPr>
        <w:t>Also, ensure the Airman’s plan of action aligns with those goals and objectives.</w:t>
      </w:r>
    </w:p>
    <w:p>
      <w:pPr>
        <w:spacing w:after="20" w:line="223" w:lineRule="auto"/>
        <w:jc w:val="right"/>
        <w:bidi/>
      </w:pPr>
      <w:r>
        <w:rPr>
          <w:rFonts w:ascii="Arial" w:hAnsi="Arial"/>
          <w:sz w:val="16"/>
        </w:rPr>
        <w:t>252.23  بخشنامه.</w:t>
      </w:r>
    </w:p>
    <w:p>
      <w:pPr>
        <w:spacing w:after="28" w:line="216" w:lineRule="auto"/>
        <w:ind w:left="259"/>
        <w:jc w:val="left"/>
      </w:pPr>
      <w:r>
        <w:rPr>
          <w:rFonts w:ascii="Arial" w:hAnsi="Arial"/>
          <w:color w:val="525252"/>
          <w:sz w:val="13"/>
        </w:rPr>
        <w:t>Directive.</w:t>
      </w:r>
    </w:p>
    <w:p>
      <w:pPr>
        <w:spacing w:after="20" w:line="223" w:lineRule="auto"/>
        <w:jc w:val="right"/>
        <w:bidi/>
      </w:pPr>
      <w:r>
        <w:rPr>
          <w:rFonts w:ascii="Arial" w:hAnsi="Arial"/>
          <w:sz w:val="16"/>
        </w:rPr>
        <w:t>252.24  رویکرد مشاوره دستورالعمل برای اصلاح مشکلات ساده، انجام اصلاحات در محل و اصلاح جنبه‌های خاص عملکرد وظیفه بهترین کار را دارد.</w:t>
      </w:r>
    </w:p>
    <w:p>
      <w:pPr>
        <w:spacing w:after="28" w:line="216" w:lineRule="auto"/>
        <w:ind w:left="259"/>
        <w:jc w:val="left"/>
      </w:pPr>
      <w:r>
        <w:rPr>
          <w:rFonts w:ascii="Arial" w:hAnsi="Arial"/>
          <w:color w:val="525252"/>
          <w:sz w:val="13"/>
        </w:rPr>
        <w:t>The directive counseling approach works best to correct simple problems, make on- the-spot corrections, and correct specific aspects of duty performance.</w:t>
      </w:r>
    </w:p>
    <w:p>
      <w:pPr>
        <w:spacing w:after="20" w:line="223" w:lineRule="auto"/>
        <w:jc w:val="right"/>
        <w:bidi/>
      </w:pPr>
      <w:r>
        <w:rPr>
          <w:rFonts w:ascii="Arial" w:hAnsi="Arial"/>
          <w:sz w:val="16"/>
        </w:rPr>
        <w:t>252.25  رهبر با استفاده از سبک دستوری، یک مسیر عملی را برای هوادار هدایت می‌کند.</w:t>
      </w:r>
    </w:p>
    <w:p>
      <w:pPr>
        <w:spacing w:after="28" w:line="216" w:lineRule="auto"/>
        <w:ind w:left="259"/>
        <w:jc w:val="left"/>
      </w:pPr>
      <w:r>
        <w:rPr>
          <w:rFonts w:ascii="Arial" w:hAnsi="Arial"/>
          <w:color w:val="525252"/>
          <w:sz w:val="13"/>
        </w:rPr>
        <w:t>The leader using the directive style directs a course of action for the Airman.</w:t>
      </w:r>
    </w:p>
    <w:p>
      <w:pPr>
        <w:spacing w:after="20" w:line="223" w:lineRule="auto"/>
        <w:jc w:val="right"/>
        <w:bidi/>
      </w:pPr>
      <w:r>
        <w:rPr>
          <w:rFonts w:ascii="Arial" w:hAnsi="Arial"/>
          <w:sz w:val="16"/>
        </w:rPr>
        <w:t>252.26  زمانی که زمان کوتاه است، زمانی که راه حل روشن است، یا اگر یک عضو نیروی هوایی مهارت‌های حل مسئله محدودی داشته باشد و به راهنمایی نیاز دارد، رویکرد دستورالعمل بهترین است.</w:t>
      </w:r>
    </w:p>
    <w:p>
      <w:pPr>
        <w:spacing w:after="28" w:line="216" w:lineRule="auto"/>
        <w:ind w:left="259"/>
        <w:jc w:val="left"/>
      </w:pPr>
      <w:r>
        <w:rPr>
          <w:rFonts w:ascii="Arial" w:hAnsi="Arial"/>
          <w:color w:val="525252"/>
          <w:sz w:val="13"/>
        </w:rPr>
        <w:t>The directive approach is best when time is short, when the solution is clear, or if an Airman has limited problem-solving skills and needs guidance.</w:t>
      </w:r>
    </w:p>
    <w:p>
      <w:pPr>
        <w:spacing w:after="20" w:line="223" w:lineRule="auto"/>
        <w:jc w:val="right"/>
        <w:bidi/>
      </w:pPr>
      <w:r>
        <w:rPr>
          <w:rFonts w:ascii="Arial" w:hAnsi="Arial"/>
          <w:sz w:val="16"/>
        </w:rPr>
        <w:t>252.27  ترکیبی.</w:t>
      </w:r>
    </w:p>
    <w:p>
      <w:pPr>
        <w:spacing w:after="28" w:line="216" w:lineRule="auto"/>
        <w:ind w:left="259"/>
        <w:jc w:val="left"/>
      </w:pPr>
      <w:r>
        <w:rPr>
          <w:rFonts w:ascii="Arial" w:hAnsi="Arial"/>
          <w:color w:val="525252"/>
          <w:sz w:val="13"/>
        </w:rPr>
        <w:t>Combined.</w:t>
      </w:r>
    </w:p>
    <w:p>
      <w:pPr>
        <w:spacing w:after="20" w:line="223" w:lineRule="auto"/>
        <w:jc w:val="right"/>
        <w:bidi/>
      </w:pPr>
      <w:r>
        <w:rPr>
          <w:rFonts w:ascii="Arial" w:hAnsi="Arial"/>
          <w:sz w:val="16"/>
        </w:rPr>
        <w:t>252.28  رویکرد مشاوره ترکیبی ترکیبی از هر دو رویکرد دستوری و غیر رهنمودی است که آنها را برای بیان بهترین شرایط برای موقعیت تنظیم می‌کند.</w:t>
      </w:r>
    </w:p>
    <w:p>
      <w:pPr>
        <w:spacing w:after="28" w:line="216" w:lineRule="auto"/>
        <w:ind w:left="259"/>
        <w:jc w:val="left"/>
      </w:pPr>
      <w:r>
        <w:rPr>
          <w:rFonts w:ascii="Arial" w:hAnsi="Arial"/>
          <w:color w:val="525252"/>
          <w:sz w:val="13"/>
        </w:rPr>
        <w:t>The combined counseling approach is a blend of both the directive and nondirective approaches, adjusting them to articulate what is best for the situation.</w:t>
      </w:r>
    </w:p>
    <w:p>
      <w:pPr>
        <w:spacing w:after="20" w:line="223" w:lineRule="auto"/>
        <w:jc w:val="right"/>
        <w:bidi/>
      </w:pPr>
      <w:r>
        <w:rPr>
          <w:rFonts w:ascii="Arial" w:hAnsi="Arial"/>
          <w:sz w:val="16"/>
        </w:rPr>
        <w:t>252.29  با رویکرد ترکیبی، رهبر با گوش دادن، ارائه گزینه‌ها، کمک به تجزیه و تحلیل راه‌حل‌های احتمالی، تشویق هواپیمابر برای تصمیم‌گیری بهترین راه‌حل و کمک به توسعه یک برنامه اقدام، بر مسئولیت‌های برنامه‌ریزی و تصمیم‌گیری عضو نیروی هوایی تأکید می‌کند.</w:t>
      </w:r>
    </w:p>
    <w:p>
      <w:pPr>
        <w:spacing w:after="28" w:line="216" w:lineRule="auto"/>
        <w:ind w:left="259"/>
        <w:jc w:val="left"/>
      </w:pPr>
      <w:r>
        <w:rPr>
          <w:rFonts w:ascii="Arial" w:hAnsi="Arial"/>
          <w:color w:val="525252"/>
          <w:sz w:val="13"/>
        </w:rPr>
        <w:t>With the combined approach, the leader emphasizes the Airman’s planning and decision-making responsibilities by listening, offering options, helping analyze possible solutions, encouraging the Airman to decide which solution is best, and assisting with the development of a plan of action.</w:t>
      </w:r>
    </w:p>
    <w:p>
      <w:r>
        <w:br w:type="page"/>
      </w:r>
    </w:p>
    <w:p>
      <w:pPr>
        <w:spacing w:after="60"/>
        <w:jc w:val="right"/>
        <w:bidi/>
      </w:pPr>
      <w:r>
        <w:rPr>
          <w:rFonts w:ascii="Arial" w:hAnsi="Arial"/>
          <w:b/>
          <w:color w:val="1F4D78"/>
          <w:sz w:val="19"/>
        </w:rPr>
        <w:t>هفتهٔ 253  |  صفحهٔ منبع: 269</w:t>
      </w:r>
    </w:p>
    <w:p>
      <w:pPr>
        <w:spacing w:after="20" w:line="223" w:lineRule="auto"/>
        <w:jc w:val="right"/>
        <w:bidi/>
      </w:pPr>
      <w:r>
        <w:rPr>
          <w:rFonts w:ascii="Arial" w:hAnsi="Arial"/>
          <w:sz w:val="16"/>
        </w:rPr>
        <w:t>253.01  رویکرد مزایا معایب بلوغ را تشویق می‌کند زمان‌برتر غیر مستقیم، ارتباطات باز را تشویق می‌کند به بیشترین مهارت‌های مشاور نیاز دارد مسئولیت‌پذیری شخصی را توسعه می‌دهد سریع‌ترین روش هوانوردان را تشویق نمی‌کند تا بخشی از راه‌حل باشند. خوب برای افرادی که نیاز به جهت روشن و مختصر دارند ممکن است علائم را به‌طور فعال از هوا استفاده کند، نه استفاده از مشکلات مستقیم از طرف مردان. آزادانه صحبت کردن تجربه مشاور راه حل را ارائه می‌دهد، نه خلبان. نسبتا سریع ممکن است برای برخی موقعیت‌ها زمان زیادی ببرد. بلوغ را تشویق می‌کند ترکیبی ارتباط باز را تشویق می‌کند.</w:t>
      </w:r>
    </w:p>
    <w:p>
      <w:pPr>
        <w:spacing w:after="28" w:line="216" w:lineRule="auto"/>
        <w:ind w:left="259"/>
        <w:jc w:val="left"/>
      </w:pPr>
      <w:r>
        <w:rPr>
          <w:rFonts w:ascii="Arial" w:hAnsi="Arial"/>
          <w:color w:val="525252"/>
          <w:sz w:val="13"/>
        </w:rPr>
        <w:t>Approach Advantages Disadvantages Encourages maturity More time consuming Nondirective Encourages open communication Requires greatest counselor skills Develops personal responsibility The quickest method Does not encourage Airmen to be part of the solution Good for people who need clear, concise direction May treat symptoms, not problems Directive Allows counselors to actively use their May discourage Airmen from talking freely experience The counselor provides the solution, not the Airman Moderately quick May take too much time for some situations Encourages maturity Combined Encourages open communication Allows counselors to actively use their experience</w:t>
      </w:r>
    </w:p>
    <w:p>
      <w:pPr>
        <w:spacing w:before="60" w:after="28"/>
        <w:jc w:val="right"/>
        <w:bidi/>
      </w:pPr>
      <w:r>
        <w:rPr>
          <w:b/>
          <w:color w:val="1F4D78"/>
          <w:sz w:val="18"/>
        </w:rPr>
        <w:t>شکل 14.2. نمودار خلاصه رویکرد مشاوره</w:t>
      </w:r>
    </w:p>
    <w:p>
      <w:pPr>
        <w:spacing w:after="20"/>
        <w:ind w:left="259"/>
        <w:jc w:val="left"/>
      </w:pPr>
      <w:r>
        <w:rPr>
          <w:color w:val="555555"/>
          <w:sz w:val="12"/>
        </w:rPr>
        <w:t>Figure 14.2. Counseling Approach Summary Chart</w:t>
      </w:r>
    </w:p>
    <w:p>
      <w:pPr>
        <w:spacing w:before="60" w:after="28"/>
        <w:jc w:val="right"/>
        <w:bidi/>
      </w:pPr>
      <w:r>
        <w:rPr>
          <w:b/>
          <w:color w:val="1F4D78"/>
          <w:sz w:val="18"/>
        </w:rPr>
        <w:t>14.15. فرآیند مشاوره</w:t>
      </w:r>
    </w:p>
    <w:p>
      <w:pPr>
        <w:spacing w:after="20"/>
        <w:ind w:left="259"/>
        <w:jc w:val="left"/>
      </w:pPr>
      <w:r>
        <w:rPr>
          <w:color w:val="555555"/>
          <w:sz w:val="12"/>
        </w:rPr>
        <w:t>14.15. The Counseling Process</w:t>
      </w:r>
    </w:p>
    <w:p>
      <w:pPr>
        <w:spacing w:after="20" w:line="223" w:lineRule="auto"/>
        <w:jc w:val="right"/>
        <w:bidi/>
      </w:pPr>
      <w:r>
        <w:rPr>
          <w:rFonts w:ascii="Arial" w:hAnsi="Arial"/>
          <w:sz w:val="16"/>
        </w:rPr>
        <w:t>253.04  یکی از مهم‌ترین کارهایی که یک رهبر می‌تواند هنگام برگزاری جلسه مشاوره انجام دهد، بدون توجه به هدف، اطمینان از ایجاد هدف و مناسب بودن محیط است.</w:t>
      </w:r>
    </w:p>
    <w:p>
      <w:pPr>
        <w:spacing w:after="28" w:line="216" w:lineRule="auto"/>
        <w:ind w:left="259"/>
        <w:jc w:val="left"/>
      </w:pPr>
      <w:r>
        <w:rPr>
          <w:rFonts w:ascii="Arial" w:hAnsi="Arial"/>
          <w:color w:val="525252"/>
          <w:sz w:val="13"/>
        </w:rPr>
        <w:t>One of the most important things a leader can do when conducting a counseling session, regardless of purpose, is to ensure the intent is established and the environment is appropriate.</w:t>
      </w:r>
    </w:p>
    <w:p>
      <w:pPr>
        <w:spacing w:after="20" w:line="223" w:lineRule="auto"/>
        <w:jc w:val="right"/>
        <w:bidi/>
      </w:pPr>
      <w:r>
        <w:rPr>
          <w:rFonts w:ascii="Arial" w:hAnsi="Arial"/>
          <w:sz w:val="16"/>
        </w:rPr>
        <w:t>253.05  اگرچه مدت زمان مورد نیاز متفاوت خواهد بود، در صورت امکان، مشاوره را در طول روز وظیفه انجام دهید، سعی کنید جلسه مشاوره کمتر از یک ساعت طول بکشد و در صورت لزوم آماده باشید که برای جلسه دوم برنامه‌ریزی کنید.</w:t>
      </w:r>
    </w:p>
    <w:p>
      <w:pPr>
        <w:spacing w:after="28" w:line="216" w:lineRule="auto"/>
        <w:ind w:left="259"/>
        <w:jc w:val="left"/>
      </w:pPr>
      <w:r>
        <w:rPr>
          <w:rFonts w:ascii="Arial" w:hAnsi="Arial"/>
          <w:color w:val="525252"/>
          <w:sz w:val="13"/>
        </w:rPr>
        <w:t>Although the length of time required will vary, when possible, conduct counseling during the duty day, aim for the counseling session to last less than one hour, and be prepared to schedule a second session, if necessary.</w:t>
      </w:r>
    </w:p>
    <w:p>
      <w:pPr>
        <w:spacing w:after="20" w:line="223" w:lineRule="auto"/>
        <w:jc w:val="right"/>
        <w:bidi/>
      </w:pPr>
      <w:r>
        <w:rPr>
          <w:rFonts w:ascii="Arial" w:hAnsi="Arial"/>
          <w:sz w:val="16"/>
        </w:rPr>
        <w:t>253.06  هر دو رهبر و هوانورد باید به وضوح درک کنند که چرا، کجا و چه زمانی جلسه مشاوره برگزار می‌شود و برای بحث در مورد نکات اصلی، اطلاعات مرتبط و اهداف قابل قبول و قابل دستیابی آماده باشند.</w:t>
      </w:r>
    </w:p>
    <w:p>
      <w:pPr>
        <w:spacing w:after="28" w:line="216" w:lineRule="auto"/>
        <w:ind w:left="259"/>
        <w:jc w:val="left"/>
      </w:pPr>
      <w:r>
        <w:rPr>
          <w:rFonts w:ascii="Arial" w:hAnsi="Arial"/>
          <w:color w:val="525252"/>
          <w:sz w:val="13"/>
        </w:rPr>
        <w:t>Both the leader and the Airman should clearly understand why, where, and when the counseling session will take place and be prepared to discuss main points, pertinent information, and plausible, obtainable goals.</w:t>
      </w:r>
    </w:p>
    <w:p>
      <w:pPr>
        <w:spacing w:after="20" w:line="223" w:lineRule="auto"/>
        <w:jc w:val="right"/>
        <w:bidi/>
      </w:pPr>
      <w:r>
        <w:rPr>
          <w:rFonts w:ascii="Arial" w:hAnsi="Arial"/>
          <w:sz w:val="16"/>
        </w:rPr>
        <w:t>253.07  در نهایت، محیط باید حداقل وقفه داشته باشد و عاری از حواس پرتی باشد تا احترام به هوادار و مکالمه را نشان دهد.</w:t>
      </w:r>
    </w:p>
    <w:p>
      <w:pPr>
        <w:spacing w:after="28" w:line="216" w:lineRule="auto"/>
        <w:ind w:left="259"/>
        <w:jc w:val="left"/>
      </w:pPr>
      <w:r>
        <w:rPr>
          <w:rFonts w:ascii="Arial" w:hAnsi="Arial"/>
          <w:color w:val="525252"/>
          <w:sz w:val="13"/>
        </w:rPr>
        <w:t>Finally, the environment should have minimal interruptions and be free from distractions to show respect for the Airman and the conversation.</w:t>
      </w:r>
    </w:p>
    <w:p>
      <w:pPr>
        <w:spacing w:after="20" w:line="223" w:lineRule="auto"/>
        <w:jc w:val="right"/>
        <w:bidi/>
      </w:pPr>
      <w:r>
        <w:rPr>
          <w:rFonts w:ascii="Arial" w:hAnsi="Arial"/>
          <w:sz w:val="16"/>
        </w:rPr>
        <w:t>253.08  حتی زمانی که برای مشاوره رسمی آماده نشده‌اید، می‌توانید چهار مولفه اساسی یک جلسه مشاوره را دنبال کنید: هدف را بیان کنید، در مورد مسائل بحث کنید، برنامه عملی تهیه کنید و برنامه را ثبت کنید.</w:t>
      </w:r>
    </w:p>
    <w:p>
      <w:pPr>
        <w:spacing w:after="28" w:line="216" w:lineRule="auto"/>
        <w:ind w:left="259"/>
        <w:jc w:val="left"/>
      </w:pPr>
      <w:r>
        <w:rPr>
          <w:rFonts w:ascii="Arial" w:hAnsi="Arial"/>
          <w:color w:val="525252"/>
          <w:sz w:val="13"/>
        </w:rPr>
        <w:t>Even when you have not prepared for formal counseling, you can follow the four basic components of a counseling session: state the purpose, discuss the issues, develop a plan of action, and record the plan.</w:t>
      </w:r>
    </w:p>
    <w:p>
      <w:pPr>
        <w:spacing w:after="20" w:line="223" w:lineRule="auto"/>
        <w:jc w:val="right"/>
        <w:bidi/>
      </w:pPr>
      <w:r>
        <w:rPr>
          <w:rFonts w:ascii="Arial" w:hAnsi="Arial"/>
          <w:sz w:val="16"/>
        </w:rPr>
        <w:t>253.09  این مراحل می‌توانند به همان اندازه ساده یا پیچیده باشند که شرایط ایجاب می‌کند.</w:t>
      </w:r>
    </w:p>
    <w:p>
      <w:pPr>
        <w:spacing w:after="28" w:line="216" w:lineRule="auto"/>
        <w:ind w:left="259"/>
        <w:jc w:val="left"/>
      </w:pPr>
      <w:r>
        <w:rPr>
          <w:rFonts w:ascii="Arial" w:hAnsi="Arial"/>
          <w:color w:val="525252"/>
          <w:sz w:val="13"/>
        </w:rPr>
        <w:t>These steps can be as simple or as elaborate as the situation requires.</w:t>
      </w:r>
    </w:p>
    <w:p>
      <w:pPr>
        <w:spacing w:after="20" w:line="223" w:lineRule="auto"/>
        <w:jc w:val="right"/>
        <w:bidi/>
      </w:pPr>
      <w:r>
        <w:rPr>
          <w:rFonts w:ascii="Arial" w:hAnsi="Arial"/>
          <w:sz w:val="16"/>
        </w:rPr>
        <w:t>253.10  همچنین، برای جلسات آینده، حداقل به صورت آزمایشی، قبل از پایان جلسه برنامه‌ریزی کنید.</w:t>
      </w:r>
    </w:p>
    <w:p>
      <w:pPr>
        <w:spacing w:after="28" w:line="216" w:lineRule="auto"/>
        <w:ind w:left="259"/>
        <w:jc w:val="left"/>
      </w:pPr>
      <w:r>
        <w:rPr>
          <w:rFonts w:ascii="Arial" w:hAnsi="Arial"/>
          <w:color w:val="525252"/>
          <w:sz w:val="13"/>
        </w:rPr>
        <w:t>Also, schedule any future meetings, at least tentatively, before closing the session.</w:t>
      </w:r>
    </w:p>
    <w:p>
      <w:pPr>
        <w:spacing w:after="20" w:line="223" w:lineRule="auto"/>
        <w:jc w:val="right"/>
        <w:bidi/>
      </w:pPr>
      <w:r>
        <w:rPr>
          <w:rFonts w:ascii="Arial" w:hAnsi="Arial"/>
          <w:sz w:val="16"/>
        </w:rPr>
        <w:t>253.11  اقدامات مناسب برای پیگیری مشاوره ممکن است شامل یک جلسه پیگیری، ارجاع، اطلاع رسانی به زنجیره فرماندهی و انجام اقدامات اصلاحی باشد.</w:t>
      </w:r>
    </w:p>
    <w:p>
      <w:pPr>
        <w:spacing w:after="28" w:line="216" w:lineRule="auto"/>
        <w:ind w:left="259"/>
        <w:jc w:val="left"/>
      </w:pPr>
      <w:r>
        <w:rPr>
          <w:rFonts w:ascii="Arial" w:hAnsi="Arial"/>
          <w:color w:val="525252"/>
          <w:sz w:val="13"/>
        </w:rPr>
        <w:t>Appropriate measures to consider following the counseling may include a follow-up session, making referrals, informing the chain of command, and taking corrective measures.</w:t>
      </w:r>
    </w:p>
    <w:p>
      <w:pPr>
        <w:spacing w:before="60" w:after="28"/>
        <w:jc w:val="right"/>
        <w:bidi/>
      </w:pPr>
      <w:r>
        <w:rPr>
          <w:b/>
          <w:color w:val="1F4D78"/>
          <w:sz w:val="18"/>
        </w:rPr>
        <w:t>14.16. رهبر به عنوان یک مربی</w:t>
      </w:r>
    </w:p>
    <w:p>
      <w:pPr>
        <w:spacing w:after="20"/>
        <w:ind w:left="259"/>
        <w:jc w:val="left"/>
      </w:pPr>
      <w:r>
        <w:rPr>
          <w:color w:val="555555"/>
          <w:sz w:val="12"/>
        </w:rPr>
        <w:t>14.16. The Leader as a Coach</w:t>
      </w:r>
    </w:p>
    <w:p>
      <w:pPr>
        <w:spacing w:after="20" w:line="223" w:lineRule="auto"/>
        <w:jc w:val="right"/>
        <w:bidi/>
      </w:pPr>
      <w:r>
        <w:rPr>
          <w:rFonts w:ascii="Arial" w:hAnsi="Arial"/>
          <w:sz w:val="16"/>
        </w:rPr>
        <w:t>253.13  رهبران مؤثر اغلب به‌عنوان مربیانی عمل می‌کنند که باید نقاط قوت، ضعف و اهداف حرفه‌ای اعضای تیم خود را کاملا درک کنند.</w:t>
      </w:r>
    </w:p>
    <w:p>
      <w:pPr>
        <w:spacing w:after="28" w:line="216" w:lineRule="auto"/>
        <w:ind w:left="259"/>
        <w:jc w:val="left"/>
      </w:pPr>
      <w:r>
        <w:rPr>
          <w:rFonts w:ascii="Arial" w:hAnsi="Arial"/>
          <w:color w:val="525252"/>
          <w:sz w:val="13"/>
        </w:rPr>
        <w:t>Effective leaders often serve as coaches who must thoroughly understand the strengths, weaknesses, and professional goals of members of their teams.</w:t>
      </w:r>
    </w:p>
    <w:p>
      <w:pPr>
        <w:spacing w:after="20" w:line="223" w:lineRule="auto"/>
        <w:jc w:val="right"/>
        <w:bidi/>
      </w:pPr>
      <w:r>
        <w:rPr>
          <w:rFonts w:ascii="Arial" w:hAnsi="Arial"/>
          <w:sz w:val="16"/>
        </w:rPr>
        <w:t>253.14  رهبران هواداران را مربیگری می‌کنند، مشابه روشی که مربیان ورزشکار تیم‌های خود را بهبود می‌بخشند: با تعیین اهداف، توسعه و اجرای برنامه‌های اقدام، و ارائه نظارت و انگیزه در طول فرآیند.</w:t>
      </w:r>
    </w:p>
    <w:p>
      <w:pPr>
        <w:spacing w:after="28" w:line="216" w:lineRule="auto"/>
        <w:ind w:left="259"/>
        <w:jc w:val="left"/>
      </w:pPr>
      <w:r>
        <w:rPr>
          <w:rFonts w:ascii="Arial" w:hAnsi="Arial"/>
          <w:color w:val="525252"/>
          <w:sz w:val="13"/>
        </w:rPr>
        <w:t>Leaders coach Airmen similar to the way athletic coaches improve their teams: by setting goals, developing and implementing plans of action, and providing oversight and motivation throughout the process.</w:t>
      </w:r>
    </w:p>
    <w:p>
      <w:pPr>
        <w:spacing w:before="60" w:after="28"/>
        <w:jc w:val="right"/>
        <w:bidi/>
      </w:pPr>
      <w:r>
        <w:rPr>
          <w:b/>
          <w:color w:val="1F4D78"/>
          <w:sz w:val="18"/>
        </w:rPr>
        <w:t>14.17. چشم انداز</w:t>
      </w:r>
    </w:p>
    <w:p>
      <w:pPr>
        <w:spacing w:after="20"/>
        <w:ind w:left="259"/>
        <w:jc w:val="left"/>
      </w:pPr>
      <w:r>
        <w:rPr>
          <w:color w:val="555555"/>
          <w:sz w:val="12"/>
        </w:rPr>
        <w:t>14.17. Vision</w:t>
      </w:r>
    </w:p>
    <w:p>
      <w:pPr>
        <w:spacing w:after="20" w:line="223" w:lineRule="auto"/>
        <w:jc w:val="right"/>
        <w:bidi/>
      </w:pPr>
      <w:r>
        <w:rPr>
          <w:rFonts w:ascii="Arial" w:hAnsi="Arial"/>
          <w:sz w:val="16"/>
        </w:rPr>
        <w:t>253.16  رهبران USAF باید یک چشم انداز جمعی داشته باشند - چشم اندازی که به پیروان قدرت می‌دهد، الهام می‌بخشد، به چالش می‌کشد و انگیزه می‌دهد تا به بالاترین سطوح تعهد و محیطی در حال بهبود پیوسته برسند.</w:t>
      </w:r>
    </w:p>
    <w:p>
      <w:pPr>
        <w:spacing w:after="28" w:line="216" w:lineRule="auto"/>
        <w:ind w:left="259"/>
        <w:jc w:val="left"/>
      </w:pPr>
      <w:r>
        <w:rPr>
          <w:rFonts w:ascii="Arial" w:hAnsi="Arial"/>
          <w:color w:val="525252"/>
          <w:sz w:val="13"/>
        </w:rPr>
        <w:t>USAF leaders must have a collective vision - a vision that empowers, inspires, challenges, and motivates followers to the highest levels of commitment and a continuously improving environment.</w:t>
      </w:r>
    </w:p>
    <w:p>
      <w:pPr>
        <w:spacing w:after="20" w:line="223" w:lineRule="auto"/>
        <w:jc w:val="right"/>
        <w:bidi/>
      </w:pPr>
      <w:r>
        <w:rPr>
          <w:rFonts w:ascii="Arial" w:hAnsi="Arial"/>
          <w:sz w:val="16"/>
        </w:rPr>
        <w:t>253.17  هوانوردان مسئول هدایت و حفظ مزایا و قابلیت‌های نامتقارن هستند که USAF در هوا و فضای سایبری ارائه می‌کند.</w:t>
      </w:r>
    </w:p>
    <w:p>
      <w:pPr>
        <w:spacing w:after="28" w:line="216" w:lineRule="auto"/>
        <w:ind w:left="259"/>
        <w:jc w:val="left"/>
      </w:pPr>
      <w:r>
        <w:rPr>
          <w:rFonts w:ascii="Arial" w:hAnsi="Arial"/>
          <w:color w:val="525252"/>
          <w:sz w:val="13"/>
        </w:rPr>
        <w:t>Airmen are responsible for conducting and maintaining the asymmetric advantages and capabilities the USAF delivers in air and cyberspace.</w:t>
      </w:r>
    </w:p>
    <w:p>
      <w:pPr>
        <w:spacing w:after="20" w:line="223" w:lineRule="auto"/>
        <w:jc w:val="right"/>
        <w:bidi/>
      </w:pPr>
      <w:r>
        <w:rPr>
          <w:rFonts w:ascii="Arial" w:hAnsi="Arial"/>
          <w:sz w:val="16"/>
        </w:rPr>
        <w:t>253.18  ما باید اطمینان حاصل کنیم که در حال پیشبرد کارایی و پیشرفت در سراسر جهان هستیم.</w:t>
      </w:r>
    </w:p>
    <w:p>
      <w:pPr>
        <w:spacing w:after="28" w:line="216" w:lineRule="auto"/>
        <w:ind w:left="259"/>
        <w:jc w:val="left"/>
      </w:pPr>
      <w:r>
        <w:rPr>
          <w:rFonts w:ascii="Arial" w:hAnsi="Arial"/>
          <w:color w:val="525252"/>
          <w:sz w:val="13"/>
        </w:rPr>
        <w:t>We need to ensure we are also driving efficiencies and improvements across the board.</w:t>
      </w:r>
    </w:p>
    <w:p>
      <w:pPr>
        <w:spacing w:after="20" w:line="223" w:lineRule="auto"/>
        <w:jc w:val="right"/>
        <w:bidi/>
      </w:pPr>
      <w:r>
        <w:rPr>
          <w:rFonts w:ascii="Arial" w:hAnsi="Arial"/>
          <w:sz w:val="16"/>
        </w:rPr>
        <w:t>253.19  بنابراین باید از ابزار مناسب و</w:t>
      </w:r>
    </w:p>
    <w:p>
      <w:pPr>
        <w:spacing w:after="28" w:line="216" w:lineRule="auto"/>
        <w:ind w:left="259"/>
        <w:jc w:val="left"/>
      </w:pPr>
      <w:r>
        <w:rPr>
          <w:rFonts w:ascii="Arial" w:hAnsi="Arial"/>
          <w:color w:val="525252"/>
          <w:sz w:val="13"/>
        </w:rPr>
        <w:t>Therefore, we must use the right tools and</w:t>
      </w:r>
    </w:p>
    <w:p>
      <w:r>
        <w:br w:type="page"/>
      </w:r>
    </w:p>
    <w:p>
      <w:pPr>
        <w:spacing w:after="60"/>
        <w:jc w:val="right"/>
        <w:bidi/>
      </w:pPr>
      <w:r>
        <w:rPr>
          <w:rFonts w:ascii="Arial" w:hAnsi="Arial"/>
          <w:b/>
          <w:color w:val="1F4D78"/>
          <w:sz w:val="19"/>
        </w:rPr>
        <w:t>هفتهٔ 254  |  صفحهٔ منبع: 270</w:t>
      </w:r>
    </w:p>
    <w:p>
      <w:pPr>
        <w:spacing w:after="20" w:line="223" w:lineRule="auto"/>
        <w:jc w:val="right"/>
        <w:bidi/>
      </w:pPr>
      <w:r>
        <w:rPr>
          <w:rFonts w:ascii="Arial" w:hAnsi="Arial"/>
          <w:sz w:val="16"/>
        </w:rPr>
        <w:t>254.01  برای رسیدگی به مشکلات، استفاده از فرصت‌ها برای بهبود، و به‌کارگیری بزرگترین منبع ما - هوانوردان مبتکر و اختصاصی.</w:t>
      </w:r>
    </w:p>
    <w:p>
      <w:pPr>
        <w:spacing w:after="28" w:line="216" w:lineRule="auto"/>
        <w:ind w:left="259"/>
        <w:jc w:val="left"/>
      </w:pPr>
      <w:r>
        <w:rPr>
          <w:rFonts w:ascii="Arial" w:hAnsi="Arial"/>
          <w:color w:val="525252"/>
          <w:sz w:val="13"/>
        </w:rPr>
        <w:t>techniques to address problems, leverage opportunities for improvement, and employ our greatest resource - innovative, dedicated Airmen.</w:t>
      </w:r>
    </w:p>
    <w:p>
      <w:pPr>
        <w:spacing w:after="20" w:line="223" w:lineRule="auto"/>
        <w:jc w:val="right"/>
        <w:bidi/>
      </w:pPr>
      <w:r>
        <w:rPr>
          <w:rFonts w:ascii="Arial" w:hAnsi="Arial"/>
          <w:sz w:val="16"/>
        </w:rPr>
        <w:t>254.02  چشم انداز این است که به مردم کمک می‌کند تا در نتیجه تلاش‌های خود به اهداف خود دست یابند تا آینده‌ای بهتر را پیش بینی کنند.</w:t>
      </w:r>
    </w:p>
    <w:p>
      <w:pPr>
        <w:spacing w:after="28" w:line="216" w:lineRule="auto"/>
        <w:ind w:left="259"/>
        <w:jc w:val="left"/>
      </w:pPr>
      <w:r>
        <w:rPr>
          <w:rFonts w:ascii="Arial" w:hAnsi="Arial"/>
          <w:color w:val="525252"/>
          <w:sz w:val="13"/>
        </w:rPr>
        <w:t>Vision is helping people believe they can accomplish goals in the anticipation of a better future as a result of their efforts.</w:t>
      </w:r>
    </w:p>
    <w:p>
      <w:pPr>
        <w:spacing w:after="20" w:line="223" w:lineRule="auto"/>
        <w:jc w:val="right"/>
        <w:bidi/>
      </w:pPr>
      <w:r>
        <w:rPr>
          <w:rFonts w:ascii="Arial" w:hAnsi="Arial"/>
          <w:sz w:val="16"/>
        </w:rPr>
        <w:t>254.03  الهام یکی از راه‌های انتقال بینش است.</w:t>
      </w:r>
    </w:p>
    <w:p>
      <w:pPr>
        <w:spacing w:after="28" w:line="216" w:lineRule="auto"/>
        <w:ind w:left="259"/>
        <w:jc w:val="left"/>
      </w:pPr>
      <w:r>
        <w:rPr>
          <w:rFonts w:ascii="Arial" w:hAnsi="Arial"/>
          <w:color w:val="525252"/>
          <w:sz w:val="13"/>
        </w:rPr>
        <w:t>Inspiration is one way to convey vision.</w:t>
      </w:r>
    </w:p>
    <w:p>
      <w:pPr>
        <w:spacing w:after="20" w:line="223" w:lineRule="auto"/>
        <w:jc w:val="right"/>
        <w:bidi/>
      </w:pPr>
      <w:r>
        <w:rPr>
          <w:rFonts w:ascii="Arial" w:hAnsi="Arial"/>
          <w:sz w:val="16"/>
        </w:rPr>
        <w:t>254.04  برای درک بهتر این مفهوم، اعلامیه پرزیدنت جان اف کندی در سال ۱۹۶۱ مبنی بر قصد ایالات متحده مبنی بر قرار دادن یک انسان در ماه در این دهه را در نظر بگیرید.</w:t>
      </w:r>
    </w:p>
    <w:p>
      <w:pPr>
        <w:spacing w:after="28" w:line="216" w:lineRule="auto"/>
        <w:ind w:left="259"/>
        <w:jc w:val="left"/>
      </w:pPr>
      <w:r>
        <w:rPr>
          <w:rFonts w:ascii="Arial" w:hAnsi="Arial"/>
          <w:color w:val="525252"/>
          <w:sz w:val="13"/>
        </w:rPr>
        <w:t>To better understand this concept, consider President John F. Kennedy’s announcement in 1961 of the United States intention to put a man on the moon within the decade.</w:t>
      </w:r>
    </w:p>
    <w:p>
      <w:pPr>
        <w:spacing w:after="20" w:line="223" w:lineRule="auto"/>
        <w:jc w:val="right"/>
        <w:bidi/>
      </w:pPr>
      <w:r>
        <w:rPr>
          <w:rFonts w:ascii="Arial" w:hAnsi="Arial"/>
          <w:sz w:val="16"/>
        </w:rPr>
        <w:t>254.05  شاید بر اساس اکثر استانداردها یک کار غیرممکن باشد، اما با این حال محقق شد.</w:t>
      </w:r>
    </w:p>
    <w:p>
      <w:pPr>
        <w:spacing w:after="28" w:line="216" w:lineRule="auto"/>
        <w:ind w:left="259"/>
        <w:jc w:val="left"/>
      </w:pPr>
      <w:r>
        <w:rPr>
          <w:rFonts w:ascii="Arial" w:hAnsi="Arial"/>
          <w:color w:val="525252"/>
          <w:sz w:val="13"/>
        </w:rPr>
        <w:t>Perhaps an impossible task by most standards, and yet it was achieved.</w:t>
      </w:r>
    </w:p>
    <w:p>
      <w:pPr>
        <w:spacing w:after="20" w:line="223" w:lineRule="auto"/>
        <w:jc w:val="right"/>
        <w:bidi/>
      </w:pPr>
      <w:r>
        <w:rPr>
          <w:rFonts w:ascii="Arial" w:hAnsi="Arial"/>
          <w:sz w:val="16"/>
        </w:rPr>
        <w:t>254.06  اعلام دراماتیک و الهام عفونی به رسیدن به هدف کمک کرد.</w:t>
      </w:r>
    </w:p>
    <w:p>
      <w:pPr>
        <w:spacing w:after="28" w:line="216" w:lineRule="auto"/>
        <w:ind w:left="259"/>
        <w:jc w:val="left"/>
      </w:pPr>
      <w:r>
        <w:rPr>
          <w:rFonts w:ascii="Arial" w:hAnsi="Arial"/>
          <w:color w:val="525252"/>
          <w:sz w:val="13"/>
        </w:rPr>
        <w:t>The dramatic announcement and the infectious inspiration helped achieve the goal.</w:t>
      </w:r>
    </w:p>
    <w:p>
      <w:pPr>
        <w:spacing w:before="60" w:after="28"/>
        <w:jc w:val="right"/>
        <w:bidi/>
      </w:pPr>
      <w:r>
        <w:rPr>
          <w:b/>
          <w:color w:val="1F4D78"/>
          <w:sz w:val="18"/>
        </w:rPr>
        <w:t>14.18. پیاده سازی چشم انداز</w:t>
      </w:r>
    </w:p>
    <w:p>
      <w:pPr>
        <w:spacing w:after="20"/>
        <w:ind w:left="259"/>
        <w:jc w:val="left"/>
      </w:pPr>
      <w:r>
        <w:rPr>
          <w:color w:val="555555"/>
          <w:sz w:val="12"/>
        </w:rPr>
        <w:t>14.18. Implementing the Vision</w:t>
      </w:r>
    </w:p>
    <w:p>
      <w:pPr>
        <w:spacing w:after="20" w:line="223" w:lineRule="auto"/>
        <w:jc w:val="right"/>
        <w:bidi/>
      </w:pPr>
      <w:r>
        <w:rPr>
          <w:rFonts w:ascii="Arial" w:hAnsi="Arial"/>
          <w:sz w:val="16"/>
        </w:rPr>
        <w:t>254.08  در حالی که رهبری ارشد اقتدار و مسئولیت تغییر سیستم را به‌عنوان یک کل دارد، رهبران در سطوح پایین‌تر، سرپرستان و زیردستان را هدایت می‌کنند تا وظایف مناسب تری را با چالش‌های عصر جدید انجام دهند.</w:t>
      </w:r>
    </w:p>
    <w:p>
      <w:pPr>
        <w:spacing w:after="28" w:line="216" w:lineRule="auto"/>
        <w:ind w:left="259"/>
        <w:jc w:val="left"/>
      </w:pPr>
      <w:r>
        <w:rPr>
          <w:rFonts w:ascii="Arial" w:hAnsi="Arial"/>
          <w:color w:val="525252"/>
          <w:sz w:val="13"/>
        </w:rPr>
        <w:t>While senior leadership has the authority and responsibility to change the system as a whole, leaders at lower levels direct supervisors and subordinates to seek and perform tasks more appropriate to the challenges of the new age.</w:t>
      </w:r>
    </w:p>
    <w:p>
      <w:pPr>
        <w:spacing w:after="20" w:line="223" w:lineRule="auto"/>
        <w:jc w:val="right"/>
        <w:bidi/>
      </w:pPr>
      <w:r>
        <w:rPr>
          <w:rFonts w:ascii="Arial" w:hAnsi="Arial"/>
          <w:sz w:val="16"/>
        </w:rPr>
        <w:t>254.09  برای انجام این کار، رهبران باید بینش را در میان بگذارند، شجاعت و درک هوانوردان را تقویت کنند، و ایده‌ها و پیشنهادات را درخواست کنند.</w:t>
      </w:r>
    </w:p>
    <w:p>
      <w:pPr>
        <w:spacing w:after="28" w:line="216" w:lineRule="auto"/>
        <w:ind w:left="259"/>
        <w:jc w:val="left"/>
      </w:pPr>
      <w:r>
        <w:rPr>
          <w:rFonts w:ascii="Arial" w:hAnsi="Arial"/>
          <w:color w:val="525252"/>
          <w:sz w:val="13"/>
        </w:rPr>
        <w:t>To do this, leaders must communicate the vision, bolster Airmen’s courage and understanding, and solicit ideas and suggestions.</w:t>
      </w:r>
    </w:p>
    <w:p>
      <w:pPr>
        <w:spacing w:after="20" w:line="223" w:lineRule="auto"/>
        <w:jc w:val="right"/>
        <w:bidi/>
      </w:pPr>
      <w:r>
        <w:rPr>
          <w:rFonts w:ascii="Arial" w:hAnsi="Arial"/>
          <w:sz w:val="16"/>
        </w:rPr>
        <w:t>254.10  "شجاعت یک رهبر بزرگ برای تحقق چشم انداز خود ناشی از اشتیاق است، نه موقعیت." جان سی. ماکسول ۲۱ قانون انکار ناپذیر رهبری هر رهبر نیاز به ایجاد یک چشم انداز پایدار دارد.</w:t>
      </w:r>
    </w:p>
    <w:p>
      <w:pPr>
        <w:spacing w:after="28" w:line="216" w:lineRule="auto"/>
        <w:ind w:left="259"/>
        <w:jc w:val="left"/>
      </w:pPr>
      <w:r>
        <w:rPr>
          <w:rFonts w:ascii="Arial" w:hAnsi="Arial"/>
          <w:color w:val="525252"/>
          <w:sz w:val="13"/>
        </w:rPr>
        <w:t>“A great leader’s courage to fulfill his vision comes from passion, not position.” John C. Maxwell The 21 Irrefutable Laws of Leadership Every leader needs to establish an enduring vision.</w:t>
      </w:r>
    </w:p>
    <w:p>
      <w:pPr>
        <w:spacing w:after="20" w:line="223" w:lineRule="auto"/>
        <w:jc w:val="right"/>
        <w:bidi/>
      </w:pPr>
      <w:r>
        <w:rPr>
          <w:rFonts w:ascii="Arial" w:hAnsi="Arial"/>
          <w:sz w:val="16"/>
        </w:rPr>
        <w:t>254.11  همانطور که تکنولوژی و محیط ما به تکامل خود ادامه می‌دهند، دیدگاه و سبک رهبری ما باید همگام باشد.</w:t>
      </w:r>
    </w:p>
    <w:p>
      <w:pPr>
        <w:spacing w:after="28" w:line="216" w:lineRule="auto"/>
        <w:ind w:left="259"/>
        <w:jc w:val="left"/>
      </w:pPr>
      <w:r>
        <w:rPr>
          <w:rFonts w:ascii="Arial" w:hAnsi="Arial"/>
          <w:color w:val="525252"/>
          <w:sz w:val="13"/>
        </w:rPr>
        <w:t>As technology and our environment continue to evolve, our vision and leadership style must keep pace.</w:t>
      </w:r>
    </w:p>
    <w:p>
      <w:pPr>
        <w:spacing w:after="20" w:line="223" w:lineRule="auto"/>
        <w:jc w:val="right"/>
        <w:bidi/>
      </w:pPr>
      <w:r>
        <w:rPr>
          <w:rFonts w:ascii="Arial" w:hAnsi="Arial"/>
          <w:sz w:val="16"/>
        </w:rPr>
        <w:t>254.12  چشم‌اندازی که نیازهای سازمان را در زمان اجرا برآورده می‌کند، در طول زمان احتمالا نیاز به بازنگری دارد، بنابراین فرآیند شکل‌گیری چشم‌انداز باید مستمر باشد.</w:t>
      </w:r>
    </w:p>
    <w:p>
      <w:pPr>
        <w:spacing w:after="28" w:line="216" w:lineRule="auto"/>
        <w:ind w:left="259"/>
        <w:jc w:val="left"/>
      </w:pPr>
      <w:r>
        <w:rPr>
          <w:rFonts w:ascii="Arial" w:hAnsi="Arial"/>
          <w:color w:val="525252"/>
          <w:sz w:val="13"/>
        </w:rPr>
        <w:t>A vision that meets the organization’s needs at the time of implementation, over time is likely to require re-vision, therefore the vision forming process should be continual.</w:t>
      </w:r>
    </w:p>
    <w:p>
      <w:pPr>
        <w:spacing w:after="20" w:line="223" w:lineRule="auto"/>
        <w:jc w:val="right"/>
        <w:bidi/>
      </w:pPr>
      <w:r>
        <w:rPr>
          <w:rFonts w:ascii="Arial" w:hAnsi="Arial"/>
          <w:sz w:val="16"/>
        </w:rPr>
        <w:t>254.13  از سوی دیگر، چشم انداز نباید خودسرانه اصلاح شود.</w:t>
      </w:r>
    </w:p>
    <w:p>
      <w:pPr>
        <w:spacing w:after="28" w:line="216" w:lineRule="auto"/>
        <w:ind w:left="259"/>
        <w:jc w:val="left"/>
      </w:pPr>
      <w:r>
        <w:rPr>
          <w:rFonts w:ascii="Arial" w:hAnsi="Arial"/>
          <w:color w:val="525252"/>
          <w:sz w:val="13"/>
        </w:rPr>
        <w:t>On the other hand, the vision should not be arbitrarily modified.</w:t>
      </w:r>
    </w:p>
    <w:p>
      <w:pPr>
        <w:spacing w:after="20" w:line="223" w:lineRule="auto"/>
        <w:jc w:val="right"/>
        <w:bidi/>
      </w:pPr>
      <w:r>
        <w:rPr>
          <w:rFonts w:ascii="Arial" w:hAnsi="Arial"/>
          <w:sz w:val="16"/>
        </w:rPr>
        <w:t>254.14  اگر چشم انداز کار می‌کند و با پیشرفت‌های زیست محیطی و فناوری همسو باشد، چشم انداز باید تأیید و حمایت شود.</w:t>
      </w:r>
    </w:p>
    <w:p>
      <w:pPr>
        <w:spacing w:after="28" w:line="216" w:lineRule="auto"/>
        <w:ind w:left="259"/>
        <w:jc w:val="left"/>
      </w:pPr>
      <w:r>
        <w:rPr>
          <w:rFonts w:ascii="Arial" w:hAnsi="Arial"/>
          <w:color w:val="525252"/>
          <w:sz w:val="13"/>
        </w:rPr>
        <w:t>If the vision works and is aligned with environmental and technological developments, the vision should be affirmed and supported.</w:t>
      </w:r>
    </w:p>
    <w:p>
      <w:pPr>
        <w:spacing w:after="20" w:line="223" w:lineRule="auto"/>
        <w:jc w:val="right"/>
        <w:bidi/>
      </w:pPr>
      <w:r>
        <w:rPr>
          <w:rFonts w:ascii="Arial" w:hAnsi="Arial"/>
          <w:sz w:val="16"/>
        </w:rPr>
        <w:t>254.15  توانایی ایجاد تصاویر ذهنی از یک نتیجه احتمالی و تبدیل این تصاویر به واقعیت از طریق رهبری و عمل، ویژگی منحصر به فرد مغز انسان است.</w:t>
      </w:r>
    </w:p>
    <w:p>
      <w:pPr>
        <w:spacing w:after="28" w:line="216" w:lineRule="auto"/>
        <w:ind w:left="259"/>
        <w:jc w:val="left"/>
      </w:pPr>
      <w:r>
        <w:rPr>
          <w:rFonts w:ascii="Arial" w:hAnsi="Arial"/>
          <w:color w:val="525252"/>
          <w:sz w:val="13"/>
        </w:rPr>
        <w:t>The ability to form mental images of a possible outcome and translate these images into a reality through leadership and action is a unique feature of the human brain.</w:t>
      </w:r>
    </w:p>
    <w:p>
      <w:pPr>
        <w:spacing w:after="20" w:line="223" w:lineRule="auto"/>
        <w:jc w:val="right"/>
        <w:bidi/>
      </w:pPr>
      <w:r>
        <w:rPr>
          <w:rFonts w:ascii="Arial" w:hAnsi="Arial"/>
          <w:sz w:val="16"/>
        </w:rPr>
        <w:t>254.16  یک رهبر باید دائما تأثیرات، روندها و خواسته هایی را که بر چشم انداز ماه، سال و حتی دهه آینده تأثیر می‌گذارد، پیش بینی کند.</w:t>
      </w:r>
    </w:p>
    <w:p>
      <w:pPr>
        <w:spacing w:after="28" w:line="216" w:lineRule="auto"/>
        <w:ind w:left="259"/>
        <w:jc w:val="left"/>
      </w:pPr>
      <w:r>
        <w:rPr>
          <w:rFonts w:ascii="Arial" w:hAnsi="Arial"/>
          <w:color w:val="525252"/>
          <w:sz w:val="13"/>
        </w:rPr>
        <w:t>A leader should constantly anticipate the influences, trends, and demands that affect the vision over the next month, year, and even decade.</w:t>
      </w:r>
    </w:p>
    <w:p>
      <w:pPr>
        <w:spacing w:after="20" w:line="223" w:lineRule="auto"/>
        <w:jc w:val="right"/>
        <w:bidi/>
      </w:pPr>
      <w:r>
        <w:rPr>
          <w:rFonts w:ascii="Arial" w:hAnsi="Arial"/>
          <w:sz w:val="16"/>
        </w:rPr>
        <w:t>254.17  برای اینکه ارزش واقعی داشته باشد، چشم انداز باید منطقی، قیاسی و قابل قبول باشد.</w:t>
      </w:r>
    </w:p>
    <w:p>
      <w:pPr>
        <w:spacing w:after="28" w:line="216" w:lineRule="auto"/>
        <w:ind w:left="259"/>
        <w:jc w:val="left"/>
      </w:pPr>
      <w:r>
        <w:rPr>
          <w:rFonts w:ascii="Arial" w:hAnsi="Arial"/>
          <w:color w:val="525252"/>
          <w:sz w:val="13"/>
        </w:rPr>
        <w:t>To be of realistic value, the vision must be logical, deductive, and plausible.</w:t>
      </w:r>
    </w:p>
    <w:p>
      <w:pPr>
        <w:spacing w:after="20" w:line="223" w:lineRule="auto"/>
        <w:jc w:val="right"/>
        <w:bidi/>
      </w:pPr>
      <w:r>
        <w:rPr>
          <w:rFonts w:ascii="Arial" w:hAnsi="Arial"/>
          <w:sz w:val="16"/>
        </w:rPr>
        <w:t>254.18  چشم انداز باید به اندازه کافی خاص باشد تا راهنمایی واقعی برای مردم ارائه کند، اما به اندازه کافی نامحدود باشد تا ابتکار عمل را تشویق کند و ارتباط با شرایط مختلف را نشان دهد.</w:t>
      </w:r>
    </w:p>
    <w:p>
      <w:pPr>
        <w:spacing w:after="28" w:line="216" w:lineRule="auto"/>
        <w:ind w:left="259"/>
        <w:jc w:val="left"/>
      </w:pPr>
      <w:r>
        <w:rPr>
          <w:rFonts w:ascii="Arial" w:hAnsi="Arial"/>
          <w:color w:val="525252"/>
          <w:sz w:val="13"/>
        </w:rPr>
        <w:t>Vision must be specific enough to provide real guidance to people, but unbounded enough to encourage initiative and demonstrate relevancy to a variety of conditions.</w:t>
      </w:r>
    </w:p>
    <w:p>
      <w:pPr>
        <w:spacing w:after="20" w:line="223" w:lineRule="auto"/>
        <w:jc w:val="right"/>
        <w:bidi/>
      </w:pPr>
      <w:r>
        <w:rPr>
          <w:rFonts w:ascii="Arial" w:hAnsi="Arial"/>
          <w:sz w:val="16"/>
        </w:rPr>
        <w:t>254.19  رهبران با بصیرت مجبورند بر احساس رضایت غلبه کنند و از پذیرفتن هنجار انجام کارها همانطور که همیشه انجام می‌شده امتناع کنند.</w:t>
      </w:r>
    </w:p>
    <w:p>
      <w:pPr>
        <w:spacing w:after="28" w:line="216" w:lineRule="auto"/>
        <w:ind w:left="259"/>
        <w:jc w:val="left"/>
      </w:pPr>
      <w:r>
        <w:rPr>
          <w:rFonts w:ascii="Arial" w:hAnsi="Arial"/>
          <w:color w:val="525252"/>
          <w:sz w:val="13"/>
        </w:rPr>
        <w:t>Leaders with vision are compelled to overcome complacency and refuse to accept the norm of doing things as they have always been done.</w:t>
      </w:r>
    </w:p>
    <w:p>
      <w:r>
        <w:br w:type="page"/>
      </w:r>
    </w:p>
    <w:p>
      <w:pPr>
        <w:spacing w:after="60"/>
        <w:jc w:val="right"/>
        <w:bidi/>
      </w:pPr>
      <w:r>
        <w:rPr>
          <w:rFonts w:ascii="Arial" w:hAnsi="Arial"/>
          <w:b/>
          <w:color w:val="1F4D78"/>
          <w:sz w:val="19"/>
        </w:rPr>
        <w:t>هفتهٔ 255  |  صفحهٔ منبع: 271</w:t>
      </w:r>
    </w:p>
    <w:p>
      <w:pPr>
        <w:spacing w:before="60" w:after="28"/>
        <w:jc w:val="right"/>
        <w:bidi/>
      </w:pPr>
      <w:r>
        <w:rPr>
          <w:b/>
          <w:color w:val="1F4D78"/>
          <w:sz w:val="18"/>
        </w:rPr>
        <w:t>بخش 14D-رهبری</w:t>
      </w:r>
    </w:p>
    <w:p>
      <w:pPr>
        <w:spacing w:after="20"/>
        <w:ind w:left="259"/>
        <w:jc w:val="left"/>
      </w:pPr>
      <w:r>
        <w:rPr>
          <w:color w:val="555555"/>
          <w:sz w:val="12"/>
        </w:rPr>
        <w:t>Section 14D—Leadership</w:t>
      </w:r>
    </w:p>
    <w:p>
      <w:pPr>
        <w:spacing w:before="60" w:after="28"/>
        <w:jc w:val="right"/>
        <w:bidi/>
      </w:pPr>
      <w:r>
        <w:rPr>
          <w:b/>
          <w:color w:val="1F4D78"/>
          <w:sz w:val="18"/>
        </w:rPr>
        <w:t>14.19. توسعه رهبری</w:t>
      </w:r>
    </w:p>
    <w:p>
      <w:pPr>
        <w:spacing w:after="20"/>
        <w:ind w:left="259"/>
        <w:jc w:val="left"/>
      </w:pPr>
      <w:r>
        <w:rPr>
          <w:color w:val="555555"/>
          <w:sz w:val="12"/>
        </w:rPr>
        <w:t>14.19. Leadership Development</w:t>
      </w:r>
    </w:p>
    <w:p>
      <w:pPr>
        <w:spacing w:after="20" w:line="223" w:lineRule="auto"/>
        <w:jc w:val="right"/>
        <w:bidi/>
      </w:pPr>
      <w:r>
        <w:rPr>
          <w:rFonts w:ascii="Arial" w:hAnsi="Arial"/>
          <w:sz w:val="16"/>
        </w:rPr>
        <w:t>255.03  رهبران باید به‌طور مؤثر بر دیگران تأثیر بگذارند، چه از طریق انتظار، تفویض اختیار، یا توانمندسازی.</w:t>
      </w:r>
    </w:p>
    <w:p>
      <w:pPr>
        <w:spacing w:after="28" w:line="216" w:lineRule="auto"/>
        <w:ind w:left="259"/>
        <w:jc w:val="left"/>
      </w:pPr>
      <w:r>
        <w:rPr>
          <w:rFonts w:ascii="Arial" w:hAnsi="Arial"/>
          <w:color w:val="525252"/>
          <w:sz w:val="13"/>
        </w:rPr>
        <w:t>Leaders must effectively influence others, whether through expectation, delegation, or empowerment.</w:t>
      </w:r>
    </w:p>
    <w:p>
      <w:pPr>
        <w:spacing w:after="20" w:line="223" w:lineRule="auto"/>
        <w:jc w:val="right"/>
        <w:bidi/>
      </w:pPr>
      <w:r>
        <w:rPr>
          <w:rFonts w:ascii="Arial" w:hAnsi="Arial"/>
          <w:sz w:val="16"/>
        </w:rPr>
        <w:t>255.04  ویژگی هایی که پیروی را تسهیل می‌کند و اعتبار و احترام متقابل را با نیروهای هوایی تضمین می‌کند نیز مهم است.</w:t>
      </w:r>
    </w:p>
    <w:p>
      <w:pPr>
        <w:spacing w:after="28" w:line="216" w:lineRule="auto"/>
        <w:ind w:left="259"/>
        <w:jc w:val="left"/>
      </w:pPr>
      <w:r>
        <w:rPr>
          <w:rFonts w:ascii="Arial" w:hAnsi="Arial"/>
          <w:color w:val="525252"/>
          <w:sz w:val="13"/>
        </w:rPr>
        <w:t>Qualities that facilitate followership and ensure credibility and mutual respect with Airmen are also important.</w:t>
      </w:r>
    </w:p>
    <w:p>
      <w:pPr>
        <w:spacing w:after="20" w:line="223" w:lineRule="auto"/>
        <w:jc w:val="right"/>
        <w:bidi/>
      </w:pPr>
      <w:r>
        <w:rPr>
          <w:rFonts w:ascii="Arial" w:hAnsi="Arial"/>
          <w:sz w:val="16"/>
        </w:rPr>
        <w:t>255.05  سه ویژگی که به رهبران کمک می‌کند احترام و اعتبار کسب کنند و بر دیگران تأثیر مثبت بگذارند، خودآگاهی و همدلی است.</w:t>
      </w:r>
    </w:p>
    <w:p>
      <w:pPr>
        <w:spacing w:after="28" w:line="216" w:lineRule="auto"/>
        <w:ind w:left="259"/>
        <w:jc w:val="left"/>
      </w:pPr>
      <w:r>
        <w:rPr>
          <w:rFonts w:ascii="Arial" w:hAnsi="Arial"/>
          <w:color w:val="525252"/>
          <w:sz w:val="13"/>
        </w:rPr>
        <w:t>Three qualities that help leaders gain respect and credibility and have a positive influence on others are self-awareness and empathy.</w:t>
      </w:r>
    </w:p>
    <w:p>
      <w:pPr>
        <w:spacing w:after="20" w:line="223" w:lineRule="auto"/>
        <w:jc w:val="right"/>
        <w:bidi/>
      </w:pPr>
      <w:r>
        <w:rPr>
          <w:rFonts w:ascii="Arial" w:hAnsi="Arial"/>
          <w:sz w:val="16"/>
        </w:rPr>
        <w:t>255.06  خودآگاهی.</w:t>
      </w:r>
    </w:p>
    <w:p>
      <w:pPr>
        <w:spacing w:after="28" w:line="216" w:lineRule="auto"/>
        <w:ind w:left="259"/>
        <w:jc w:val="left"/>
      </w:pPr>
      <w:r>
        <w:rPr>
          <w:rFonts w:ascii="Arial" w:hAnsi="Arial"/>
          <w:color w:val="525252"/>
          <w:sz w:val="13"/>
        </w:rPr>
        <w:t>Self-Awareness.</w:t>
      </w:r>
    </w:p>
    <w:p>
      <w:pPr>
        <w:spacing w:after="20" w:line="223" w:lineRule="auto"/>
        <w:jc w:val="right"/>
        <w:bidi/>
      </w:pPr>
      <w:r>
        <w:rPr>
          <w:rFonts w:ascii="Arial" w:hAnsi="Arial"/>
          <w:sz w:val="16"/>
        </w:rPr>
        <w:t>255.07  رهبران باید قبل از مشاوره با نیروهای هوایی از ارزش‌ها و نیازهای خود کاملا آگاه باشند.</w:t>
      </w:r>
    </w:p>
    <w:p>
      <w:pPr>
        <w:spacing w:after="28" w:line="216" w:lineRule="auto"/>
        <w:ind w:left="259"/>
        <w:jc w:val="left"/>
      </w:pPr>
      <w:r>
        <w:rPr>
          <w:rFonts w:ascii="Arial" w:hAnsi="Arial"/>
          <w:color w:val="525252"/>
          <w:sz w:val="13"/>
        </w:rPr>
        <w:t>Leaders must be fully aware of their own values and needs before counseling Airmen.</w:t>
      </w:r>
    </w:p>
    <w:p>
      <w:pPr>
        <w:spacing w:after="20" w:line="223" w:lineRule="auto"/>
        <w:jc w:val="right"/>
        <w:bidi/>
      </w:pPr>
      <w:r>
        <w:rPr>
          <w:rFonts w:ascii="Arial" w:hAnsi="Arial"/>
          <w:sz w:val="16"/>
        </w:rPr>
        <w:t>255.08  رهبران خودآگاه بیشتر به احتمال زیاد مطابق با ارزش‌ها و اقدامات خود عمل می‌کنند و احتمال کمتری دارد که به نیروهای هوایی بپردازند.</w:t>
      </w:r>
    </w:p>
    <w:p>
      <w:pPr>
        <w:spacing w:after="28" w:line="216" w:lineRule="auto"/>
        <w:ind w:left="259"/>
        <w:jc w:val="left"/>
      </w:pPr>
      <w:r>
        <w:rPr>
          <w:rFonts w:ascii="Arial" w:hAnsi="Arial"/>
          <w:color w:val="525252"/>
          <w:sz w:val="13"/>
        </w:rPr>
        <w:t>Self-aware leaders are more likely to act consistently with their own values and actions and are less likely to project onto Airmen.</w:t>
      </w:r>
    </w:p>
    <w:p>
      <w:pPr>
        <w:spacing w:after="20" w:line="223" w:lineRule="auto"/>
        <w:jc w:val="right"/>
        <w:bidi/>
      </w:pPr>
      <w:r>
        <w:rPr>
          <w:rFonts w:ascii="Arial" w:hAnsi="Arial"/>
          <w:sz w:val="16"/>
        </w:rPr>
        <w:t>255.09  همدلی.</w:t>
      </w:r>
    </w:p>
    <w:p>
      <w:pPr>
        <w:spacing w:after="28" w:line="216" w:lineRule="auto"/>
        <w:ind w:left="259"/>
        <w:jc w:val="left"/>
      </w:pPr>
      <w:r>
        <w:rPr>
          <w:rFonts w:ascii="Arial" w:hAnsi="Arial"/>
          <w:color w:val="525252"/>
          <w:sz w:val="13"/>
        </w:rPr>
        <w:t>Empathy.</w:t>
      </w:r>
    </w:p>
    <w:p>
      <w:pPr>
        <w:spacing w:after="20" w:line="223" w:lineRule="auto"/>
        <w:jc w:val="right"/>
        <w:bidi/>
      </w:pPr>
      <w:r>
        <w:rPr>
          <w:rFonts w:ascii="Arial" w:hAnsi="Arial"/>
          <w:sz w:val="16"/>
        </w:rPr>
        <w:t>255.10  نشان دادن همدلی، درک و حساس بودن نسبت به احساسات، افکار و تجربیات شخص دیگر است تا جایی که تقریبا خودتان می‌توانید آنها را احساس یا تجربه کنید.</w:t>
      </w:r>
    </w:p>
    <w:p>
      <w:pPr>
        <w:spacing w:after="28" w:line="216" w:lineRule="auto"/>
        <w:ind w:left="259"/>
        <w:jc w:val="left"/>
      </w:pPr>
      <w:r>
        <w:rPr>
          <w:rFonts w:ascii="Arial" w:hAnsi="Arial"/>
          <w:color w:val="525252"/>
          <w:sz w:val="13"/>
        </w:rPr>
        <w:t>Showing empathy is being understanding of and sensitive to another person’s feelings, thoughts, and experiences to the point that you can almost feel or experience them yourself.</w:t>
      </w:r>
    </w:p>
    <w:p>
      <w:pPr>
        <w:spacing w:after="20" w:line="223" w:lineRule="auto"/>
        <w:jc w:val="right"/>
        <w:bidi/>
      </w:pPr>
      <w:r>
        <w:rPr>
          <w:rFonts w:ascii="Arial" w:hAnsi="Arial"/>
          <w:sz w:val="16"/>
        </w:rPr>
        <w:t>255.11  رهبران با همدلی خود را به جای دیگری می‌گذارند و موقعیت را از دیدگاه آنها می‌بینند.</w:t>
      </w:r>
    </w:p>
    <w:p>
      <w:pPr>
        <w:spacing w:after="28" w:line="216" w:lineRule="auto"/>
        <w:ind w:left="259"/>
        <w:jc w:val="left"/>
      </w:pPr>
      <w:r>
        <w:rPr>
          <w:rFonts w:ascii="Arial" w:hAnsi="Arial"/>
          <w:color w:val="525252"/>
          <w:sz w:val="13"/>
        </w:rPr>
        <w:t>Leaders with empathy put themselves in another’s shoes and see a situation from their perspective.</w:t>
      </w:r>
    </w:p>
    <w:p>
      <w:pPr>
        <w:spacing w:after="20" w:line="223" w:lineRule="auto"/>
        <w:jc w:val="right"/>
        <w:bidi/>
      </w:pPr>
      <w:r>
        <w:rPr>
          <w:rFonts w:ascii="Arial" w:hAnsi="Arial"/>
          <w:sz w:val="16"/>
        </w:rPr>
        <w:t>255.12  درک موقعیت دیگری می‌تواند به توسعه یک برنامه عمل کمک کند - برنامه‌ای که کارساز است.</w:t>
      </w:r>
    </w:p>
    <w:p>
      <w:pPr>
        <w:spacing w:after="28" w:line="216" w:lineRule="auto"/>
        <w:ind w:left="259"/>
        <w:jc w:val="left"/>
      </w:pPr>
      <w:r>
        <w:rPr>
          <w:rFonts w:ascii="Arial" w:hAnsi="Arial"/>
          <w:color w:val="525252"/>
          <w:sz w:val="13"/>
        </w:rPr>
        <w:t>Understanding another’s position can help the development of a plan of action—one that works.</w:t>
      </w:r>
    </w:p>
    <w:p>
      <w:pPr>
        <w:spacing w:before="60" w:after="28"/>
        <w:jc w:val="right"/>
        <w:bidi/>
      </w:pPr>
      <w:r>
        <w:rPr>
          <w:b/>
          <w:color w:val="1F4D78"/>
          <w:sz w:val="18"/>
        </w:rPr>
        <w:t>14.20. خود ارزیابی رهبری</w:t>
      </w:r>
    </w:p>
    <w:p>
      <w:pPr>
        <w:spacing w:after="20"/>
        <w:ind w:left="259"/>
        <w:jc w:val="left"/>
      </w:pPr>
      <w:r>
        <w:rPr>
          <w:color w:val="555555"/>
          <w:sz w:val="12"/>
        </w:rPr>
        <w:t>14.20. Leadership Self-Evaluation</w:t>
      </w:r>
    </w:p>
    <w:p>
      <w:pPr>
        <w:spacing w:after="20" w:line="223" w:lineRule="auto"/>
        <w:jc w:val="right"/>
        <w:bidi/>
      </w:pPr>
      <w:r>
        <w:rPr>
          <w:rFonts w:ascii="Arial" w:hAnsi="Arial"/>
          <w:sz w:val="16"/>
        </w:rPr>
        <w:t>255.14  برای عملکرد موفقیت آمیز به‌عنوان یک رهبر مسئول، باید درک کرد که از آنها چه انتظاری می‌رود.</w:t>
      </w:r>
    </w:p>
    <w:p>
      <w:pPr>
        <w:spacing w:after="28" w:line="216" w:lineRule="auto"/>
        <w:ind w:left="259"/>
        <w:jc w:val="left"/>
      </w:pPr>
      <w:r>
        <w:rPr>
          <w:rFonts w:ascii="Arial" w:hAnsi="Arial"/>
          <w:color w:val="525252"/>
          <w:sz w:val="13"/>
        </w:rPr>
        <w:t>To successfully perform as a responsible leader, one must understand what is expected of them.</w:t>
      </w:r>
    </w:p>
    <w:p>
      <w:pPr>
        <w:spacing w:after="20" w:line="223" w:lineRule="auto"/>
        <w:jc w:val="right"/>
        <w:bidi/>
      </w:pPr>
      <w:r>
        <w:rPr>
          <w:rFonts w:ascii="Arial" w:hAnsi="Arial"/>
          <w:sz w:val="16"/>
        </w:rPr>
        <w:t>255.15  فهرست زیر فهرستی از سوالاتی است که دیدگاهی را برای آنچه از رهبران مشتاق در توسعه مهارت‌های خاص انتظار می‌رود ارائه می‌دهد.</w:t>
      </w:r>
    </w:p>
    <w:p>
      <w:pPr>
        <w:spacing w:after="28" w:line="216" w:lineRule="auto"/>
        <w:ind w:left="259"/>
        <w:jc w:val="left"/>
      </w:pPr>
      <w:r>
        <w:rPr>
          <w:rFonts w:ascii="Arial" w:hAnsi="Arial"/>
          <w:color w:val="525252"/>
          <w:sz w:val="13"/>
        </w:rPr>
        <w:t>The following is a list of questions that offer a perspective for what is expected of aspiring leaders in developing particular skills.</w:t>
      </w:r>
    </w:p>
    <w:p>
      <w:pPr>
        <w:spacing w:after="20" w:line="223" w:lineRule="auto"/>
        <w:jc w:val="right"/>
        <w:bidi/>
      </w:pPr>
      <w:r>
        <w:rPr>
          <w:rFonts w:ascii="Arial" w:hAnsi="Arial"/>
          <w:sz w:val="16"/>
        </w:rPr>
        <w:t>255.16  فقط صادقانه‌ترین پاسخ‌ها، نقاط قوت قطعی و ضعف‌های بالقوه فرد را آشکار می‌کنند.</w:t>
      </w:r>
    </w:p>
    <w:p>
      <w:pPr>
        <w:spacing w:after="28" w:line="216" w:lineRule="auto"/>
        <w:ind w:left="259"/>
        <w:jc w:val="left"/>
      </w:pPr>
      <w:r>
        <w:rPr>
          <w:rFonts w:ascii="Arial" w:hAnsi="Arial"/>
          <w:color w:val="525252"/>
          <w:sz w:val="13"/>
        </w:rPr>
        <w:t>Only the most honest responses will reveal one’s definitive strengths and potential weaknesses.</w:t>
      </w:r>
    </w:p>
    <w:p>
      <w:pPr>
        <w:spacing w:after="20" w:line="223" w:lineRule="auto"/>
        <w:jc w:val="right"/>
        <w:bidi/>
      </w:pPr>
      <w:r>
        <w:rPr>
          <w:rFonts w:ascii="Arial" w:hAnsi="Arial"/>
          <w:sz w:val="16"/>
        </w:rPr>
        <w:t>255.17  مکث کنید و اهمیت سوالات زیر را در نظر بگیرید.</w:t>
      </w:r>
    </w:p>
    <w:p>
      <w:pPr>
        <w:spacing w:after="28" w:line="216" w:lineRule="auto"/>
        <w:ind w:left="259"/>
        <w:jc w:val="left"/>
      </w:pPr>
      <w:r>
        <w:rPr>
          <w:rFonts w:ascii="Arial" w:hAnsi="Arial"/>
          <w:color w:val="525252"/>
          <w:sz w:val="13"/>
        </w:rPr>
        <w:t>Pause and consider the importance of the following questions.</w:t>
      </w:r>
    </w:p>
    <w:p>
      <w:pPr>
        <w:spacing w:after="20" w:line="223" w:lineRule="auto"/>
        <w:jc w:val="right"/>
        <w:bidi/>
      </w:pPr>
      <w:r>
        <w:rPr>
          <w:rFonts w:ascii="Arial" w:hAnsi="Arial"/>
          <w:sz w:val="16"/>
        </w:rPr>
        <w:t>255.18  آیا من شجاعت تصمیم‌گیری‌های سخت و ایستادن در کنار آنها را دارم؟</w:t>
      </w:r>
    </w:p>
    <w:p>
      <w:pPr>
        <w:spacing w:after="28" w:line="216" w:lineRule="auto"/>
        <w:ind w:left="259"/>
        <w:jc w:val="left"/>
      </w:pPr>
      <w:r>
        <w:rPr>
          <w:rFonts w:ascii="Arial" w:hAnsi="Arial"/>
          <w:color w:val="525252"/>
          <w:sz w:val="13"/>
        </w:rPr>
        <w:t>Do I have the courage to make tough decisions and stand by them?</w:t>
      </w:r>
    </w:p>
    <w:p>
      <w:pPr>
        <w:spacing w:after="20" w:line="223" w:lineRule="auto"/>
        <w:jc w:val="right"/>
        <w:bidi/>
      </w:pPr>
      <w:r>
        <w:rPr>
          <w:rFonts w:ascii="Arial" w:hAnsi="Arial"/>
          <w:sz w:val="16"/>
        </w:rPr>
        <w:t>255.19  آیا در مواجهه با تغییرات انعطاف پذیر هستم؟</w:t>
      </w:r>
    </w:p>
    <w:p>
      <w:pPr>
        <w:spacing w:after="28" w:line="216" w:lineRule="auto"/>
        <w:ind w:left="259"/>
        <w:jc w:val="left"/>
      </w:pPr>
      <w:r>
        <w:rPr>
          <w:rFonts w:ascii="Arial" w:hAnsi="Arial"/>
          <w:color w:val="525252"/>
          <w:sz w:val="13"/>
        </w:rPr>
        <w:t>Am I flexible when dealing with change?</w:t>
      </w:r>
    </w:p>
    <w:p>
      <w:pPr>
        <w:spacing w:after="20" w:line="223" w:lineRule="auto"/>
        <w:jc w:val="right"/>
        <w:bidi/>
      </w:pPr>
      <w:r>
        <w:rPr>
          <w:rFonts w:ascii="Arial" w:hAnsi="Arial"/>
          <w:sz w:val="16"/>
        </w:rPr>
        <w:t>255.20  آیا می‌توانم زمانی که با کارهای به ظاهر غیرممکن مواجه می‌شوم، مشتاق و شاد بمانم؟</w:t>
      </w:r>
    </w:p>
    <w:p>
      <w:pPr>
        <w:spacing w:after="28" w:line="216" w:lineRule="auto"/>
        <w:ind w:left="259"/>
        <w:jc w:val="left"/>
      </w:pPr>
      <w:r>
        <w:rPr>
          <w:rFonts w:ascii="Arial" w:hAnsi="Arial"/>
          <w:color w:val="525252"/>
          <w:sz w:val="13"/>
        </w:rPr>
        <w:t>Can I remain enthusiastic and cheerful when I am confronted with seemingly impossible tasks?</w:t>
      </w:r>
    </w:p>
    <w:p>
      <w:pPr>
        <w:spacing w:after="20" w:line="223" w:lineRule="auto"/>
        <w:jc w:val="right"/>
        <w:bidi/>
      </w:pPr>
      <w:r>
        <w:rPr>
          <w:rFonts w:ascii="Arial" w:hAnsi="Arial"/>
          <w:sz w:val="16"/>
        </w:rPr>
        <w:t>255.21  آیا حاضرم با وسایلی که به نظر ناکافی به نظر می‌رسد بهترین کار را انجام دهم؟</w:t>
      </w:r>
    </w:p>
    <w:p>
      <w:pPr>
        <w:spacing w:after="28" w:line="216" w:lineRule="auto"/>
        <w:ind w:left="259"/>
        <w:jc w:val="left"/>
      </w:pPr>
      <w:r>
        <w:rPr>
          <w:rFonts w:ascii="Arial" w:hAnsi="Arial"/>
          <w:color w:val="525252"/>
          <w:sz w:val="13"/>
        </w:rPr>
        <w:t>Am I willing to do my best with what seem to be inadequate means?</w:t>
      </w:r>
    </w:p>
    <w:p>
      <w:pPr>
        <w:spacing w:after="20" w:line="223" w:lineRule="auto"/>
        <w:jc w:val="right"/>
        <w:bidi/>
      </w:pPr>
      <w:r>
        <w:rPr>
          <w:rFonts w:ascii="Arial" w:hAnsi="Arial"/>
          <w:sz w:val="16"/>
        </w:rPr>
        <w:t>255.22  آیا می‌توانم مردم را برای دستیابی به نتایج برجسته ترغیب کنم؟</w:t>
      </w:r>
    </w:p>
    <w:p>
      <w:pPr>
        <w:spacing w:after="28" w:line="216" w:lineRule="auto"/>
        <w:ind w:left="259"/>
        <w:jc w:val="left"/>
      </w:pPr>
      <w:r>
        <w:rPr>
          <w:rFonts w:ascii="Arial" w:hAnsi="Arial"/>
          <w:color w:val="525252"/>
          <w:sz w:val="13"/>
        </w:rPr>
        <w:t>Can I inspire people to achieve outstanding results?</w:t>
      </w:r>
    </w:p>
    <w:p>
      <w:pPr>
        <w:spacing w:after="20" w:line="223" w:lineRule="auto"/>
        <w:jc w:val="right"/>
        <w:bidi/>
      </w:pPr>
      <w:r>
        <w:rPr>
          <w:rFonts w:ascii="Arial" w:hAnsi="Arial"/>
          <w:sz w:val="16"/>
        </w:rPr>
        <w:t>255.23  آیا حاضرم ریسک‌های معقولی را بپذیرم تا به نیروهای هوایی خود اجازه رشد و بهره‌وری بیشتر بدهم؟</w:t>
      </w:r>
    </w:p>
    <w:p>
      <w:pPr>
        <w:spacing w:after="28" w:line="216" w:lineRule="auto"/>
        <w:ind w:left="259"/>
        <w:jc w:val="left"/>
      </w:pPr>
      <w:r>
        <w:rPr>
          <w:rFonts w:ascii="Arial" w:hAnsi="Arial"/>
          <w:color w:val="525252"/>
          <w:sz w:val="13"/>
        </w:rPr>
        <w:t>Am I willing to take reasonable risks to allow my Airmen to grow and become more productive?</w:t>
      </w:r>
    </w:p>
    <w:p>
      <w:pPr>
        <w:spacing w:after="20" w:line="223" w:lineRule="auto"/>
        <w:jc w:val="right"/>
        <w:bidi/>
      </w:pPr>
      <w:r>
        <w:rPr>
          <w:rFonts w:ascii="Arial" w:hAnsi="Arial"/>
          <w:sz w:val="16"/>
        </w:rPr>
        <w:t>255.24  آیا حاضرم به نیروهای هوایی خود اجازه خلاقیت بدهم؟</w:t>
      </w:r>
    </w:p>
    <w:p>
      <w:pPr>
        <w:spacing w:after="28" w:line="216" w:lineRule="auto"/>
        <w:ind w:left="259"/>
        <w:jc w:val="left"/>
      </w:pPr>
      <w:r>
        <w:rPr>
          <w:rFonts w:ascii="Arial" w:hAnsi="Arial"/>
          <w:color w:val="525252"/>
          <w:sz w:val="13"/>
        </w:rPr>
        <w:t>Am I willing to let my Airmen be creative?</w:t>
      </w:r>
    </w:p>
    <w:p>
      <w:pPr>
        <w:spacing w:after="20" w:line="223" w:lineRule="auto"/>
        <w:jc w:val="right"/>
        <w:bidi/>
      </w:pPr>
      <w:r>
        <w:rPr>
          <w:rFonts w:ascii="Arial" w:hAnsi="Arial"/>
          <w:sz w:val="16"/>
        </w:rPr>
        <w:t>255.25  آیا روش من باعث ارتباط می‌شود؟</w:t>
      </w:r>
    </w:p>
    <w:p>
      <w:pPr>
        <w:spacing w:after="28" w:line="216" w:lineRule="auto"/>
        <w:ind w:left="259"/>
        <w:jc w:val="left"/>
      </w:pPr>
      <w:r>
        <w:rPr>
          <w:rFonts w:ascii="Arial" w:hAnsi="Arial"/>
          <w:color w:val="525252"/>
          <w:sz w:val="13"/>
        </w:rPr>
        <w:t>Does my manner invite communication?</w:t>
      </w:r>
    </w:p>
    <w:p>
      <w:pPr>
        <w:spacing w:after="20" w:line="223" w:lineRule="auto"/>
        <w:jc w:val="right"/>
        <w:bidi/>
      </w:pPr>
      <w:r>
        <w:rPr>
          <w:rFonts w:ascii="Arial" w:hAnsi="Arial"/>
          <w:sz w:val="16"/>
        </w:rPr>
        <w:t>255.26  آیا واقعا گوش می‌دهم و تا زمانی که همه حقایق را نداشته باشم، از قضاوت خودداری می‌کنم؟</w:t>
      </w:r>
    </w:p>
    <w:p>
      <w:pPr>
        <w:spacing w:after="28" w:line="216" w:lineRule="auto"/>
        <w:ind w:left="259"/>
        <w:jc w:val="left"/>
      </w:pPr>
      <w:r>
        <w:rPr>
          <w:rFonts w:ascii="Arial" w:hAnsi="Arial"/>
          <w:color w:val="525252"/>
          <w:sz w:val="13"/>
        </w:rPr>
        <w:t>Do I really listen and withhold judgment until I have all the facts?</w:t>
      </w:r>
    </w:p>
    <w:p>
      <w:pPr>
        <w:spacing w:after="20" w:line="223" w:lineRule="auto"/>
        <w:jc w:val="right"/>
        <w:bidi/>
      </w:pPr>
      <w:r>
        <w:rPr>
          <w:rFonts w:ascii="Arial" w:hAnsi="Arial"/>
          <w:sz w:val="16"/>
        </w:rPr>
        <w:t>255.27  آیا حاضرم شکست‌های نیروهای هوایی خود را به‌عنوان ناکامی‌های خود بپذیرم و موفقیت‌های آنها را از آن خود بدانم؟</w:t>
      </w:r>
    </w:p>
    <w:p>
      <w:pPr>
        <w:spacing w:after="28" w:line="216" w:lineRule="auto"/>
        <w:ind w:left="259"/>
        <w:jc w:val="left"/>
      </w:pPr>
      <w:r>
        <w:rPr>
          <w:rFonts w:ascii="Arial" w:hAnsi="Arial"/>
          <w:color w:val="525252"/>
          <w:sz w:val="13"/>
        </w:rPr>
        <w:t>Am I willing to accept my Airmen’s failures as my own and recognize their successes as theirs?</w:t>
      </w:r>
    </w:p>
    <w:p>
      <w:pPr>
        <w:spacing w:after="20" w:line="223" w:lineRule="auto"/>
        <w:jc w:val="right"/>
        <w:bidi/>
      </w:pPr>
      <w:r>
        <w:rPr>
          <w:rFonts w:ascii="Arial" w:hAnsi="Arial"/>
          <w:sz w:val="16"/>
        </w:rPr>
        <w:t>255.28  آیا می‌توانم برای مدیریت یک کار پیچیده، چندین کار را همزمان انجام دهم؟</w:t>
      </w:r>
    </w:p>
    <w:p>
      <w:pPr>
        <w:spacing w:after="28" w:line="216" w:lineRule="auto"/>
        <w:ind w:left="259"/>
        <w:jc w:val="left"/>
      </w:pPr>
      <w:r>
        <w:rPr>
          <w:rFonts w:ascii="Arial" w:hAnsi="Arial"/>
          <w:color w:val="525252"/>
          <w:sz w:val="13"/>
        </w:rPr>
        <w:t>Am I able to do many things at one time to manage a complex job?</w:t>
      </w:r>
    </w:p>
    <w:p>
      <w:pPr>
        <w:spacing w:after="20" w:line="223" w:lineRule="auto"/>
        <w:jc w:val="right"/>
        <w:bidi/>
      </w:pPr>
      <w:r>
        <w:rPr>
          <w:rFonts w:ascii="Arial" w:hAnsi="Arial"/>
          <w:sz w:val="16"/>
        </w:rPr>
        <w:t>255.29  آیا می‌توانم دستورات را انجام دهم و همچنین آنها را بدهم؟</w:t>
      </w:r>
    </w:p>
    <w:p>
      <w:pPr>
        <w:spacing w:after="28" w:line="216" w:lineRule="auto"/>
        <w:ind w:left="259"/>
        <w:jc w:val="left"/>
      </w:pPr>
      <w:r>
        <w:rPr>
          <w:rFonts w:ascii="Arial" w:hAnsi="Arial"/>
          <w:color w:val="525252"/>
          <w:sz w:val="13"/>
        </w:rPr>
        <w:t>Can I carry out orders as well as give them?</w:t>
      </w:r>
    </w:p>
    <w:p>
      <w:pPr>
        <w:spacing w:before="60" w:after="28"/>
        <w:jc w:val="right"/>
        <w:bidi/>
      </w:pPr>
      <w:r>
        <w:rPr>
          <w:b/>
          <w:color w:val="1F4D78"/>
          <w:sz w:val="18"/>
        </w:rPr>
        <w:t>14.21. نقاط عطف رهبری</w:t>
      </w:r>
    </w:p>
    <w:p>
      <w:pPr>
        <w:spacing w:after="20"/>
        <w:ind w:left="259"/>
        <w:jc w:val="left"/>
      </w:pPr>
      <w:r>
        <w:rPr>
          <w:color w:val="555555"/>
          <w:sz w:val="12"/>
        </w:rPr>
        <w:t>14.21. Leadership Milestones</w:t>
      </w:r>
    </w:p>
    <w:p>
      <w:pPr>
        <w:spacing w:after="20" w:line="223" w:lineRule="auto"/>
        <w:jc w:val="right"/>
        <w:bidi/>
      </w:pPr>
      <w:r>
        <w:rPr>
          <w:rFonts w:ascii="Arial" w:hAnsi="Arial"/>
          <w:sz w:val="16"/>
        </w:rPr>
        <w:t>255.31  زندگی در ارتش شامل یک نیاز همیشگی برای توسعه مداوم است.</w:t>
      </w:r>
    </w:p>
    <w:p>
      <w:pPr>
        <w:spacing w:after="28" w:line="216" w:lineRule="auto"/>
        <w:ind w:left="259"/>
        <w:jc w:val="left"/>
      </w:pPr>
      <w:r>
        <w:rPr>
          <w:rFonts w:ascii="Arial" w:hAnsi="Arial"/>
          <w:color w:val="525252"/>
          <w:sz w:val="13"/>
        </w:rPr>
        <w:t>Life in the military incorporates a perpetual requirement for continued development.</w:t>
      </w:r>
    </w:p>
    <w:p>
      <w:pPr>
        <w:spacing w:after="20" w:line="223" w:lineRule="auto"/>
        <w:jc w:val="right"/>
        <w:bidi/>
      </w:pPr>
      <w:r>
        <w:rPr>
          <w:rFonts w:ascii="Arial" w:hAnsi="Arial"/>
          <w:sz w:val="16"/>
        </w:rPr>
        <w:t>255.32  رهبران مؤثر باید با پذیرفتن نقش پیرو و رهبر، هم مسئولیت شاگرد استاد و هم استاد استاد بودن را بپذیرند.</w:t>
      </w:r>
    </w:p>
    <w:p>
      <w:pPr>
        <w:spacing w:after="28" w:line="216" w:lineRule="auto"/>
        <w:ind w:left="259"/>
        <w:jc w:val="left"/>
      </w:pPr>
      <w:r>
        <w:rPr>
          <w:rFonts w:ascii="Arial" w:hAnsi="Arial"/>
          <w:color w:val="525252"/>
          <w:sz w:val="13"/>
        </w:rPr>
        <w:t>Effective leaders must accept the responsibility of being both a master student and a master teacher by embracing the role of both follower and leader.</w:t>
      </w:r>
    </w:p>
    <w:p>
      <w:pPr>
        <w:spacing w:after="20" w:line="223" w:lineRule="auto"/>
        <w:jc w:val="right"/>
        <w:bidi/>
      </w:pPr>
      <w:r>
        <w:rPr>
          <w:rFonts w:ascii="Arial" w:hAnsi="Arial"/>
          <w:sz w:val="16"/>
        </w:rPr>
        <w:t>255.33  تنظیم استانداردهای بالا و قابل دستیابی فرصت هایی برای رشد مستمر و همچنین راهنمایی و بازخورد فراهم می‌کند.</w:t>
      </w:r>
    </w:p>
    <w:p>
      <w:pPr>
        <w:spacing w:after="28" w:line="216" w:lineRule="auto"/>
        <w:ind w:left="259"/>
        <w:jc w:val="left"/>
      </w:pPr>
      <w:r>
        <w:rPr>
          <w:rFonts w:ascii="Arial" w:hAnsi="Arial"/>
          <w:color w:val="525252"/>
          <w:sz w:val="13"/>
        </w:rPr>
        <w:t>Setting high, attainable standards provides opportunities for continual growth, as well as guidance and feedback.</w:t>
      </w:r>
    </w:p>
    <w:p>
      <w:pPr>
        <w:spacing w:after="20" w:line="223" w:lineRule="auto"/>
        <w:jc w:val="right"/>
        <w:bidi/>
      </w:pPr>
      <w:r>
        <w:rPr>
          <w:rFonts w:ascii="Arial" w:hAnsi="Arial"/>
          <w:sz w:val="16"/>
        </w:rPr>
        <w:t>255.34  دادن هدف و الهام بخشیدن به هوانوردان برای توسعه و اجرای بهترین توانایی خود خط مستقیم یک رهبر است.</w:t>
      </w:r>
    </w:p>
    <w:p>
      <w:pPr>
        <w:spacing w:after="28" w:line="216" w:lineRule="auto"/>
        <w:ind w:left="259"/>
        <w:jc w:val="left"/>
      </w:pPr>
      <w:r>
        <w:rPr>
          <w:rFonts w:ascii="Arial" w:hAnsi="Arial"/>
          <w:color w:val="525252"/>
          <w:sz w:val="13"/>
        </w:rPr>
        <w:t>Giving Airmen a goal and inspiration for developing and performing to their best ability is a leader’s direct line to</w:t>
      </w:r>
    </w:p>
    <w:p>
      <w:r>
        <w:br w:type="page"/>
      </w:r>
    </w:p>
    <w:p>
      <w:pPr>
        <w:spacing w:after="60"/>
        <w:jc w:val="right"/>
        <w:bidi/>
      </w:pPr>
      <w:r>
        <w:rPr>
          <w:rFonts w:ascii="Arial" w:hAnsi="Arial"/>
          <w:b/>
          <w:color w:val="1F4D78"/>
          <w:sz w:val="19"/>
        </w:rPr>
        <w:t>هفتهٔ 256  |  صفحهٔ منبع: 272</w:t>
      </w:r>
    </w:p>
    <w:p>
      <w:pPr>
        <w:spacing w:after="20" w:line="223" w:lineRule="auto"/>
        <w:jc w:val="right"/>
        <w:bidi/>
      </w:pPr>
      <w:r>
        <w:rPr>
          <w:rFonts w:ascii="Arial" w:hAnsi="Arial"/>
          <w:sz w:val="16"/>
        </w:rPr>
        <w:t>256.01  رهبران در حال توسعه فردا.</w:t>
      </w:r>
    </w:p>
    <w:p>
      <w:pPr>
        <w:spacing w:after="28" w:line="216" w:lineRule="auto"/>
        <w:ind w:left="259"/>
        <w:jc w:val="left"/>
      </w:pPr>
      <w:r>
        <w:rPr>
          <w:rFonts w:ascii="Arial" w:hAnsi="Arial"/>
          <w:color w:val="525252"/>
          <w:sz w:val="13"/>
        </w:rPr>
        <w:t>developing leaders of tomorrow.</w:t>
      </w:r>
    </w:p>
    <w:p>
      <w:pPr>
        <w:spacing w:after="20" w:line="223" w:lineRule="auto"/>
        <w:jc w:val="right"/>
        <w:bidi/>
      </w:pPr>
      <w:r>
        <w:rPr>
          <w:rFonts w:ascii="Arial" w:hAnsi="Arial"/>
          <w:sz w:val="16"/>
        </w:rPr>
        <w:t>256.02  در تجارت، شرکت‌های موفق فعالانه به دنبال افرادی با پتانسیل رهبری هستند و آنها را در معرض تجربیات شغلی طراحی شده برای توسعه مهارت هایشان قرار می‌دهند.</w:t>
      </w:r>
    </w:p>
    <w:p>
      <w:pPr>
        <w:spacing w:after="28" w:line="216" w:lineRule="auto"/>
        <w:ind w:left="259"/>
        <w:jc w:val="left"/>
      </w:pPr>
      <w:r>
        <w:rPr>
          <w:rFonts w:ascii="Arial" w:hAnsi="Arial"/>
          <w:color w:val="525252"/>
          <w:sz w:val="13"/>
        </w:rPr>
        <w:t>In business, successful corporations actively seek out people with leadership potential and expose them to career experiences designed to develop their skills.</w:t>
      </w:r>
    </w:p>
    <w:p>
      <w:pPr>
        <w:spacing w:after="20" w:line="223" w:lineRule="auto"/>
        <w:jc w:val="right"/>
        <w:bidi/>
      </w:pPr>
      <w:r>
        <w:rPr>
          <w:rFonts w:ascii="Arial" w:hAnsi="Arial"/>
          <w:sz w:val="16"/>
        </w:rPr>
        <w:t>256.03  آنها همچنین ترکیبی از بلوغ، تجربه و پتانسیل بکر را به‌عنوان یک دارایی با ارزش برای هر سازمان ارزش می‌دهند.</w:t>
      </w:r>
    </w:p>
    <w:p>
      <w:pPr>
        <w:spacing w:after="28" w:line="216" w:lineRule="auto"/>
        <w:ind w:left="259"/>
        <w:jc w:val="left"/>
      </w:pPr>
      <w:r>
        <w:rPr>
          <w:rFonts w:ascii="Arial" w:hAnsi="Arial"/>
          <w:color w:val="525252"/>
          <w:sz w:val="13"/>
        </w:rPr>
        <w:t>They also value a combination of maturity, experience, and untapped potential as a valuable asset to any organization.</w:t>
      </w:r>
    </w:p>
    <w:p>
      <w:pPr>
        <w:spacing w:after="20" w:line="223" w:lineRule="auto"/>
        <w:jc w:val="right"/>
        <w:bidi/>
      </w:pPr>
      <w:r>
        <w:rPr>
          <w:rFonts w:ascii="Arial" w:hAnsi="Arial"/>
          <w:sz w:val="16"/>
        </w:rPr>
        <w:t>256.04  ارزش گذاری تجربه.</w:t>
      </w:r>
    </w:p>
    <w:p>
      <w:pPr>
        <w:spacing w:after="28" w:line="216" w:lineRule="auto"/>
        <w:ind w:left="259"/>
        <w:jc w:val="left"/>
      </w:pPr>
      <w:r>
        <w:rPr>
          <w:rFonts w:ascii="Arial" w:hAnsi="Arial"/>
          <w:color w:val="525252"/>
          <w:sz w:val="13"/>
        </w:rPr>
        <w:t>Valuing Experience.</w:t>
      </w:r>
    </w:p>
    <w:p>
      <w:pPr>
        <w:spacing w:after="20" w:line="223" w:lineRule="auto"/>
        <w:jc w:val="right"/>
        <w:bidi/>
      </w:pPr>
      <w:r>
        <w:rPr>
          <w:rFonts w:ascii="Arial" w:hAnsi="Arial"/>
          <w:sz w:val="16"/>
        </w:rPr>
        <w:t>256.05  رهبران با اصرار هوانوردان خود بر روی جنبه‌های موقعیت، مأموریت یا پروژه‌ای که کنترل می‌کنند، باعث رشد حرفه‌ای می‌شوند و زمینه را برای تجربه‌های چالش‌برانگیز، روشن‌گر و حتی ماجراجویانه فراهم می‌کنند.</w:t>
      </w:r>
    </w:p>
    <w:p>
      <w:pPr>
        <w:spacing w:after="28" w:line="216" w:lineRule="auto"/>
        <w:ind w:left="259"/>
        <w:jc w:val="left"/>
      </w:pPr>
      <w:r>
        <w:rPr>
          <w:rFonts w:ascii="Arial" w:hAnsi="Arial"/>
          <w:color w:val="525252"/>
          <w:sz w:val="13"/>
        </w:rPr>
        <w:t>Leaders foster professional growth by insisting their Airmen focus attention on the aspects of a situation, mission, or project they control, setting the stage for challenging, enlightening, and even adventurous experiences.</w:t>
      </w:r>
    </w:p>
    <w:p>
      <w:pPr>
        <w:spacing w:after="20" w:line="223" w:lineRule="auto"/>
        <w:jc w:val="right"/>
        <w:bidi/>
      </w:pPr>
      <w:r>
        <w:rPr>
          <w:rFonts w:ascii="Arial" w:hAnsi="Arial"/>
          <w:sz w:val="16"/>
        </w:rPr>
        <w:t>256.06  همانطور که رهبران پیشرفت می‌کنند و خودشان را توسعه می‌دهند، به همان اندازه مهم است که به نیروهای هوایی اجازه دهیم همین کار را انجام دهند و در عین حال احساس اعتماد به مهارت‌ها و توانایی‌های خود را افزایش دهند.</w:t>
      </w:r>
    </w:p>
    <w:p>
      <w:pPr>
        <w:spacing w:after="28" w:line="216" w:lineRule="auto"/>
        <w:ind w:left="259"/>
        <w:jc w:val="left"/>
      </w:pPr>
      <w:r>
        <w:rPr>
          <w:rFonts w:ascii="Arial" w:hAnsi="Arial"/>
          <w:color w:val="525252"/>
          <w:sz w:val="13"/>
        </w:rPr>
        <w:t>As leaders progress and develop themselves, it is just as important to allow Airmen to do the same while growing a sense of confidence in their skills and abilities.</w:t>
      </w:r>
    </w:p>
    <w:p>
      <w:pPr>
        <w:spacing w:after="20" w:line="223" w:lineRule="auto"/>
        <w:jc w:val="right"/>
        <w:bidi/>
      </w:pPr>
      <w:r>
        <w:rPr>
          <w:rFonts w:ascii="Arial" w:hAnsi="Arial"/>
          <w:sz w:val="16"/>
        </w:rPr>
        <w:t>256.07  تقویت رشد.</w:t>
      </w:r>
    </w:p>
    <w:p>
      <w:pPr>
        <w:spacing w:after="28" w:line="216" w:lineRule="auto"/>
        <w:ind w:left="259"/>
        <w:jc w:val="left"/>
      </w:pPr>
      <w:r>
        <w:rPr>
          <w:rFonts w:ascii="Arial" w:hAnsi="Arial"/>
          <w:color w:val="525252"/>
          <w:sz w:val="13"/>
        </w:rPr>
        <w:t>Fostering Growth.</w:t>
      </w:r>
    </w:p>
    <w:p>
      <w:pPr>
        <w:spacing w:after="20" w:line="223" w:lineRule="auto"/>
        <w:jc w:val="right"/>
        <w:bidi/>
      </w:pPr>
      <w:r>
        <w:rPr>
          <w:rFonts w:ascii="Arial" w:hAnsi="Arial"/>
          <w:sz w:val="16"/>
        </w:rPr>
        <w:t>256.08  نقش رهبر در پرورش رشد، شناسایی دانش و فرصت‌های بهبود است.</w:t>
      </w:r>
    </w:p>
    <w:p>
      <w:pPr>
        <w:spacing w:after="28" w:line="216" w:lineRule="auto"/>
        <w:ind w:left="259"/>
        <w:jc w:val="left"/>
      </w:pPr>
      <w:r>
        <w:rPr>
          <w:rFonts w:ascii="Arial" w:hAnsi="Arial"/>
          <w:color w:val="525252"/>
          <w:sz w:val="13"/>
        </w:rPr>
        <w:t>The role of the leader in fostering growth is to identify knowledge and improvement opportunities.</w:t>
      </w:r>
    </w:p>
    <w:p>
      <w:pPr>
        <w:spacing w:after="20" w:line="223" w:lineRule="auto"/>
        <w:jc w:val="right"/>
        <w:bidi/>
      </w:pPr>
      <w:r>
        <w:rPr>
          <w:rFonts w:ascii="Arial" w:hAnsi="Arial"/>
          <w:sz w:val="16"/>
        </w:rPr>
        <w:t>256.09  این تضمین می‌کند که پیشرفت‌ها دائمی و فراگیر هستند، موقتی یا محدود نیستند.</w:t>
      </w:r>
    </w:p>
    <w:p>
      <w:pPr>
        <w:spacing w:after="28" w:line="216" w:lineRule="auto"/>
        <w:ind w:left="259"/>
        <w:jc w:val="left"/>
      </w:pPr>
      <w:r>
        <w:rPr>
          <w:rFonts w:ascii="Arial" w:hAnsi="Arial"/>
          <w:color w:val="525252"/>
          <w:sz w:val="13"/>
        </w:rPr>
        <w:t>This will ensure advancements are permanent and pervasive, not temporary, or limited.</w:t>
      </w:r>
    </w:p>
    <w:p>
      <w:pPr>
        <w:spacing w:after="20" w:line="223" w:lineRule="auto"/>
        <w:jc w:val="right"/>
        <w:bidi/>
      </w:pPr>
      <w:r>
        <w:rPr>
          <w:rFonts w:ascii="Arial" w:hAnsi="Arial"/>
          <w:sz w:val="16"/>
        </w:rPr>
        <w:t>256.10  رهبران با تشخیص رسمی و عمومی موفقیت‌های فردی و واحدی، مهم نیست که چقدر بزرگ یا کوچک باشد، فرآیند یادگیری را تشویق می‌کنند.</w:t>
      </w:r>
    </w:p>
    <w:p>
      <w:pPr>
        <w:spacing w:after="28" w:line="216" w:lineRule="auto"/>
        <w:ind w:left="259"/>
        <w:jc w:val="left"/>
      </w:pPr>
      <w:r>
        <w:rPr>
          <w:rFonts w:ascii="Arial" w:hAnsi="Arial"/>
          <w:color w:val="525252"/>
          <w:sz w:val="13"/>
        </w:rPr>
        <w:t>Leaders encourage the learning process by formally and publicly recognizing individual and unit successes, no matter how large or small.</w:t>
      </w:r>
    </w:p>
    <w:p>
      <w:pPr>
        <w:spacing w:after="20" w:line="223" w:lineRule="auto"/>
        <w:jc w:val="right"/>
        <w:bidi/>
      </w:pPr>
      <w:r>
        <w:rPr>
          <w:rFonts w:ascii="Arial" w:hAnsi="Arial"/>
          <w:sz w:val="16"/>
        </w:rPr>
        <w:t>256.11  مواجهه با چالش‌ها.</w:t>
      </w:r>
    </w:p>
    <w:p>
      <w:pPr>
        <w:spacing w:after="28" w:line="216" w:lineRule="auto"/>
        <w:ind w:left="259"/>
        <w:jc w:val="left"/>
      </w:pPr>
      <w:r>
        <w:rPr>
          <w:rFonts w:ascii="Arial" w:hAnsi="Arial"/>
          <w:color w:val="525252"/>
          <w:sz w:val="13"/>
        </w:rPr>
        <w:t>Facing Challenges.</w:t>
      </w:r>
    </w:p>
    <w:p>
      <w:pPr>
        <w:spacing w:after="20" w:line="223" w:lineRule="auto"/>
        <w:jc w:val="right"/>
        <w:bidi/>
      </w:pPr>
      <w:r>
        <w:rPr>
          <w:rFonts w:ascii="Arial" w:hAnsi="Arial"/>
          <w:sz w:val="16"/>
        </w:rPr>
        <w:t>256.12  توسعه نیروی هوایی برای موقعیت‌های رهبری مستلزم مواجهه مداوم با چالش‌ها، با افزایش تدریجی مسئولیت در طول زمان است.</w:t>
      </w:r>
    </w:p>
    <w:p>
      <w:pPr>
        <w:spacing w:after="28" w:line="216" w:lineRule="auto"/>
        <w:ind w:left="259"/>
        <w:jc w:val="left"/>
      </w:pPr>
      <w:r>
        <w:rPr>
          <w:rFonts w:ascii="Arial" w:hAnsi="Arial"/>
          <w:color w:val="525252"/>
          <w:sz w:val="13"/>
        </w:rPr>
        <w:t>Developing Airmen for leadership positions requires consistent exposure to challenges, with gradual increases in responsibility over time.</w:t>
      </w:r>
    </w:p>
    <w:p>
      <w:pPr>
        <w:spacing w:after="20" w:line="223" w:lineRule="auto"/>
        <w:jc w:val="right"/>
        <w:bidi/>
      </w:pPr>
      <w:r>
        <w:rPr>
          <w:rFonts w:ascii="Arial" w:hAnsi="Arial"/>
          <w:sz w:val="16"/>
        </w:rPr>
        <w:t>256.13  شناسایی افراد دارای پتانسیل رهبری در اوایل حرفه خود و سپس تعیین چالش‌های رشد مناسب برای آنها اولین گام است.</w:t>
      </w:r>
    </w:p>
    <w:p>
      <w:pPr>
        <w:spacing w:after="28" w:line="216" w:lineRule="auto"/>
        <w:ind w:left="259"/>
        <w:jc w:val="left"/>
      </w:pPr>
      <w:r>
        <w:rPr>
          <w:rFonts w:ascii="Arial" w:hAnsi="Arial"/>
          <w:color w:val="525252"/>
          <w:sz w:val="13"/>
        </w:rPr>
        <w:t>Identifying people with leadership potential early in their careers and then determining the appropriate developmental challenges for them is the first step.</w:t>
      </w:r>
    </w:p>
    <w:p>
      <w:pPr>
        <w:spacing w:after="20" w:line="223" w:lineRule="auto"/>
        <w:jc w:val="right"/>
        <w:bidi/>
      </w:pPr>
      <w:r>
        <w:rPr>
          <w:rFonts w:ascii="Arial" w:hAnsi="Arial"/>
          <w:sz w:val="16"/>
        </w:rPr>
        <w:t>256.14  رهبران باید توانایی‌های هر هوانورد در واحد یا سازمان خود را بشناسند.</w:t>
      </w:r>
    </w:p>
    <w:p>
      <w:pPr>
        <w:spacing w:after="28" w:line="216" w:lineRule="auto"/>
        <w:ind w:left="259"/>
        <w:jc w:val="left"/>
      </w:pPr>
      <w:r>
        <w:rPr>
          <w:rFonts w:ascii="Arial" w:hAnsi="Arial"/>
          <w:color w:val="525252"/>
          <w:sz w:val="13"/>
        </w:rPr>
        <w:t>Leaders must recognize the capabilities of each Airman in their unit or organization.</w:t>
      </w:r>
    </w:p>
    <w:p>
      <w:pPr>
        <w:spacing w:after="20" w:line="223" w:lineRule="auto"/>
        <w:jc w:val="right"/>
        <w:bidi/>
      </w:pPr>
      <w:r>
        <w:rPr>
          <w:rFonts w:ascii="Arial" w:hAnsi="Arial"/>
          <w:sz w:val="16"/>
        </w:rPr>
        <w:t>256.15  این قابلیت‌ها شامل هر گونه مهارت، استعداد یا تجربه‌ای است که هواپیمای ممکن است داشته باشد که می‌تواند در انجام مأموریت فعلی و آینده کمک کند.</w:t>
      </w:r>
    </w:p>
    <w:p>
      <w:pPr>
        <w:spacing w:after="28" w:line="216" w:lineRule="auto"/>
        <w:ind w:left="259"/>
        <w:jc w:val="left"/>
      </w:pPr>
      <w:r>
        <w:rPr>
          <w:rFonts w:ascii="Arial" w:hAnsi="Arial"/>
          <w:color w:val="525252"/>
          <w:sz w:val="13"/>
        </w:rPr>
        <w:t>Those capabilities include any skills, talents, or experiences the Airman may have that can contribute to current and future mission accomplishment.</w:t>
      </w:r>
    </w:p>
    <w:p>
      <w:pPr>
        <w:spacing w:after="20" w:line="223" w:lineRule="auto"/>
        <w:jc w:val="right"/>
        <w:bidi/>
      </w:pPr>
      <w:r>
        <w:rPr>
          <w:rFonts w:ascii="Arial" w:hAnsi="Arial"/>
          <w:sz w:val="16"/>
        </w:rPr>
        <w:t>256.16  توسعه حرفه‌ای.</w:t>
      </w:r>
    </w:p>
    <w:p>
      <w:pPr>
        <w:spacing w:after="28" w:line="216" w:lineRule="auto"/>
        <w:ind w:left="259"/>
        <w:jc w:val="left"/>
      </w:pPr>
      <w:r>
        <w:rPr>
          <w:rFonts w:ascii="Arial" w:hAnsi="Arial"/>
          <w:color w:val="525252"/>
          <w:sz w:val="13"/>
        </w:rPr>
        <w:t>Professional Development.</w:t>
      </w:r>
    </w:p>
    <w:p>
      <w:pPr>
        <w:spacing w:after="20" w:line="223" w:lineRule="auto"/>
        <w:jc w:val="right"/>
        <w:bidi/>
      </w:pPr>
      <w:r>
        <w:rPr>
          <w:rFonts w:ascii="Arial" w:hAnsi="Arial"/>
          <w:sz w:val="16"/>
        </w:rPr>
        <w:t>256.17  رهبران همچنین باید نیازهای رشدی هوانوردان را تشخیص دهند، سپس در مورد نیازهای توسعه‌ای که مشاغل یا نقش‌ها و مسئولیت‌های فعلی یا آینده را برآورده می‌کنند، به آنها کمک کنند.</w:t>
      </w:r>
    </w:p>
    <w:p>
      <w:pPr>
        <w:spacing w:after="28" w:line="216" w:lineRule="auto"/>
        <w:ind w:left="259"/>
        <w:jc w:val="left"/>
      </w:pPr>
      <w:r>
        <w:rPr>
          <w:rFonts w:ascii="Arial" w:hAnsi="Arial"/>
          <w:color w:val="525252"/>
          <w:sz w:val="13"/>
        </w:rPr>
        <w:t>Leaders must also diagnose the developmental needs of Airmen, then assist them with developmental needs that fulfill current or future jobs or roles and responsibilities.</w:t>
      </w:r>
    </w:p>
    <w:p>
      <w:pPr>
        <w:spacing w:after="20" w:line="223" w:lineRule="auto"/>
        <w:jc w:val="right"/>
        <w:bidi/>
      </w:pPr>
      <w:r>
        <w:rPr>
          <w:rFonts w:ascii="Arial" w:hAnsi="Arial"/>
          <w:sz w:val="16"/>
        </w:rPr>
        <w:t>256.18  نیازهای توسعه حرفه‌ای ممکن است شامل آموزش خارج از وظیفه، آموزش نظامی حرفه‌ای، آموزش مهارت‌های خاص، سمینارهای توسعه حرفه‌ای و توسعه مهارت‌های ارتباطی باشد.</w:t>
      </w:r>
    </w:p>
    <w:p>
      <w:pPr>
        <w:spacing w:after="28" w:line="216" w:lineRule="auto"/>
        <w:ind w:left="259"/>
        <w:jc w:val="left"/>
      </w:pPr>
      <w:r>
        <w:rPr>
          <w:rFonts w:ascii="Arial" w:hAnsi="Arial"/>
          <w:color w:val="525252"/>
          <w:sz w:val="13"/>
        </w:rPr>
        <w:t>Professional development needs may include off-duty education, professional military education, specific skills training, professional development seminars, and communication skills development.</w:t>
      </w:r>
    </w:p>
    <w:p>
      <w:pPr>
        <w:spacing w:after="20" w:line="223" w:lineRule="auto"/>
        <w:jc w:val="right"/>
        <w:bidi/>
      </w:pPr>
      <w:r>
        <w:rPr>
          <w:rFonts w:ascii="Arial" w:hAnsi="Arial"/>
          <w:sz w:val="16"/>
        </w:rPr>
        <w:t>256.19  توسعه شخصی.</w:t>
      </w:r>
    </w:p>
    <w:p>
      <w:pPr>
        <w:spacing w:after="28" w:line="216" w:lineRule="auto"/>
        <w:ind w:left="259"/>
        <w:jc w:val="left"/>
      </w:pPr>
      <w:r>
        <w:rPr>
          <w:rFonts w:ascii="Arial" w:hAnsi="Arial"/>
          <w:color w:val="525252"/>
          <w:sz w:val="13"/>
        </w:rPr>
        <w:t>Personal Development.</w:t>
      </w:r>
    </w:p>
    <w:p>
      <w:pPr>
        <w:spacing w:after="20" w:line="223" w:lineRule="auto"/>
        <w:jc w:val="right"/>
        <w:bidi/>
      </w:pPr>
      <w:r>
        <w:rPr>
          <w:rFonts w:ascii="Arial" w:hAnsi="Arial"/>
          <w:sz w:val="16"/>
        </w:rPr>
        <w:t>256.20  نیازهای رشد فردی ممکن است شامل روابط، مهارت‌های بین فردی و آموزش خارج از وظیفه باشد.</w:t>
      </w:r>
    </w:p>
    <w:p>
      <w:pPr>
        <w:spacing w:after="28" w:line="216" w:lineRule="auto"/>
        <w:ind w:left="259"/>
        <w:jc w:val="left"/>
      </w:pPr>
      <w:r>
        <w:rPr>
          <w:rFonts w:ascii="Arial" w:hAnsi="Arial"/>
          <w:color w:val="525252"/>
          <w:sz w:val="13"/>
        </w:rPr>
        <w:t>Personal developmental needs may include relationships, interpersonal skills, and off-duty education.</w:t>
      </w:r>
    </w:p>
    <w:p>
      <w:pPr>
        <w:spacing w:after="20" w:line="223" w:lineRule="auto"/>
        <w:jc w:val="right"/>
        <w:bidi/>
      </w:pPr>
      <w:r>
        <w:rPr>
          <w:rFonts w:ascii="Arial" w:hAnsi="Arial"/>
          <w:sz w:val="16"/>
        </w:rPr>
        <w:t>256.21  رهبران مؤثر امروزی در اوایل دوران شغلی فرصت‌هایی داشتند که از آنها می‌خواست رهبری کنند، ریسک کنند و از موفقیت‌ها و شکست‌هایشان درس بگیرند.</w:t>
      </w:r>
    </w:p>
    <w:p>
      <w:pPr>
        <w:spacing w:after="28" w:line="216" w:lineRule="auto"/>
        <w:ind w:left="259"/>
        <w:jc w:val="left"/>
      </w:pPr>
      <w:r>
        <w:rPr>
          <w:rFonts w:ascii="Arial" w:hAnsi="Arial"/>
          <w:color w:val="525252"/>
          <w:sz w:val="13"/>
        </w:rPr>
        <w:t>Today’s effective leaders had opportunities early in their careers that required them to lead, take risks, and learn from their successes and failures.</w:t>
      </w:r>
    </w:p>
    <w:p>
      <w:pPr>
        <w:spacing w:after="20" w:line="223" w:lineRule="auto"/>
        <w:jc w:val="right"/>
        <w:bidi/>
      </w:pPr>
      <w:r>
        <w:rPr>
          <w:rFonts w:ascii="Arial" w:hAnsi="Arial"/>
          <w:sz w:val="16"/>
        </w:rPr>
        <w:t>256.22  مقابله با عقب ماندگی‌ها.</w:t>
      </w:r>
    </w:p>
    <w:p>
      <w:pPr>
        <w:spacing w:after="28" w:line="216" w:lineRule="auto"/>
        <w:ind w:left="259"/>
        <w:jc w:val="left"/>
      </w:pPr>
      <w:r>
        <w:rPr>
          <w:rFonts w:ascii="Arial" w:hAnsi="Arial"/>
          <w:color w:val="525252"/>
          <w:sz w:val="13"/>
        </w:rPr>
        <w:t>Dealing with Setbacks.</w:t>
      </w:r>
    </w:p>
    <w:p>
      <w:pPr>
        <w:spacing w:after="20" w:line="223" w:lineRule="auto"/>
        <w:jc w:val="right"/>
        <w:bidi/>
      </w:pPr>
      <w:r>
        <w:rPr>
          <w:rFonts w:ascii="Arial" w:hAnsi="Arial"/>
          <w:sz w:val="16"/>
        </w:rPr>
        <w:t>256.23  برای یادگیری و بهبود، افراد باید تشویق شوند تا چیزهای جدید را امتحان کنند.</w:t>
      </w:r>
    </w:p>
    <w:p>
      <w:pPr>
        <w:spacing w:after="28" w:line="216" w:lineRule="auto"/>
        <w:ind w:left="259"/>
        <w:jc w:val="left"/>
      </w:pPr>
      <w:r>
        <w:rPr>
          <w:rFonts w:ascii="Arial" w:hAnsi="Arial"/>
          <w:color w:val="525252"/>
          <w:sz w:val="13"/>
        </w:rPr>
        <w:t>To learn and improve, people need to be encouraged to try new things.</w:t>
      </w:r>
    </w:p>
    <w:p>
      <w:pPr>
        <w:spacing w:after="20" w:line="223" w:lineRule="auto"/>
        <w:jc w:val="right"/>
        <w:bidi/>
      </w:pPr>
      <w:r>
        <w:rPr>
          <w:rFonts w:ascii="Arial" w:hAnsi="Arial"/>
          <w:sz w:val="16"/>
        </w:rPr>
        <w:t>256.24  هوانوردان روی تجربه و درک رهبران قوی در مواجهه با مشکلات حساب می‌کنند.</w:t>
      </w:r>
    </w:p>
    <w:p>
      <w:pPr>
        <w:spacing w:after="28" w:line="216" w:lineRule="auto"/>
        <w:ind w:left="259"/>
        <w:jc w:val="left"/>
      </w:pPr>
      <w:r>
        <w:rPr>
          <w:rFonts w:ascii="Arial" w:hAnsi="Arial"/>
          <w:color w:val="525252"/>
          <w:sz w:val="13"/>
        </w:rPr>
        <w:t>Airmen count on the experience and understanding of strong leaders in dealing with setbacks.</w:t>
      </w:r>
    </w:p>
    <w:p>
      <w:pPr>
        <w:spacing w:after="20" w:line="223" w:lineRule="auto"/>
        <w:jc w:val="right"/>
        <w:bidi/>
      </w:pPr>
      <w:r>
        <w:rPr>
          <w:rFonts w:ascii="Arial" w:hAnsi="Arial"/>
          <w:sz w:val="16"/>
        </w:rPr>
        <w:t>256.25  فداکاری یک ایرمن برای بهبود توانایی‌های خود دارایی ارزشمندی برای یک سازمان است.</w:t>
      </w:r>
    </w:p>
    <w:p>
      <w:pPr>
        <w:spacing w:after="28" w:line="216" w:lineRule="auto"/>
        <w:ind w:left="259"/>
        <w:jc w:val="left"/>
      </w:pPr>
      <w:r>
        <w:rPr>
          <w:rFonts w:ascii="Arial" w:hAnsi="Arial"/>
          <w:color w:val="525252"/>
          <w:sz w:val="13"/>
        </w:rPr>
        <w:t>An Airman’s dedication to improving his or her abilities is a valuable asset to an organization.</w:t>
      </w:r>
    </w:p>
    <w:p>
      <w:pPr>
        <w:spacing w:after="20" w:line="223" w:lineRule="auto"/>
        <w:jc w:val="right"/>
        <w:bidi/>
      </w:pPr>
      <w:r>
        <w:rPr>
          <w:rFonts w:ascii="Arial" w:hAnsi="Arial"/>
          <w:sz w:val="16"/>
        </w:rPr>
        <w:t>256.26  فالوورها حتی در مواقع سختی باید خوشبین بمانند.</w:t>
      </w:r>
    </w:p>
    <w:p>
      <w:pPr>
        <w:spacing w:after="28" w:line="216" w:lineRule="auto"/>
        <w:ind w:left="259"/>
        <w:jc w:val="left"/>
      </w:pPr>
      <w:r>
        <w:rPr>
          <w:rFonts w:ascii="Arial" w:hAnsi="Arial"/>
          <w:color w:val="525252"/>
          <w:sz w:val="13"/>
        </w:rPr>
        <w:t>Followers must remain optimistic, even in times of adversity.</w:t>
      </w:r>
    </w:p>
    <w:p>
      <w:pPr>
        <w:spacing w:after="20" w:line="223" w:lineRule="auto"/>
        <w:jc w:val="right"/>
        <w:bidi/>
      </w:pPr>
      <w:r>
        <w:rPr>
          <w:rFonts w:ascii="Arial" w:hAnsi="Arial"/>
          <w:sz w:val="16"/>
        </w:rPr>
        <w:t>256.27  مقابله با تغییر.</w:t>
      </w:r>
    </w:p>
    <w:p>
      <w:pPr>
        <w:spacing w:after="28" w:line="216" w:lineRule="auto"/>
        <w:ind w:left="259"/>
        <w:jc w:val="left"/>
      </w:pPr>
      <w:r>
        <w:rPr>
          <w:rFonts w:ascii="Arial" w:hAnsi="Arial"/>
          <w:color w:val="525252"/>
          <w:sz w:val="13"/>
        </w:rPr>
        <w:t>Dealing with Change.</w:t>
      </w:r>
    </w:p>
    <w:p>
      <w:pPr>
        <w:spacing w:after="20" w:line="223" w:lineRule="auto"/>
        <w:jc w:val="right"/>
        <w:bidi/>
      </w:pPr>
      <w:r>
        <w:rPr>
          <w:rFonts w:ascii="Arial" w:hAnsi="Arial"/>
          <w:sz w:val="16"/>
        </w:rPr>
        <w:t>256.28  رهبران قبل از پرداختن به فرآیند تغییر باید تا حد امکان در مورد یک تغییر و اثرات بالقوه مستقیم و غیرمستقیم آن بیاموزند.</w:t>
      </w:r>
    </w:p>
    <w:p>
      <w:pPr>
        <w:spacing w:after="28" w:line="216" w:lineRule="auto"/>
        <w:ind w:left="259"/>
        <w:jc w:val="left"/>
      </w:pPr>
      <w:r>
        <w:rPr>
          <w:rFonts w:ascii="Arial" w:hAnsi="Arial"/>
          <w:color w:val="525252"/>
          <w:sz w:val="13"/>
        </w:rPr>
        <w:t>Leaders must learn as much as possible about a change and its potential direct and indirect effects before dealing with the change process.</w:t>
      </w:r>
    </w:p>
    <w:p>
      <w:pPr>
        <w:spacing w:after="20" w:line="223" w:lineRule="auto"/>
        <w:jc w:val="right"/>
        <w:bidi/>
      </w:pPr>
      <w:r>
        <w:rPr>
          <w:rFonts w:ascii="Arial" w:hAnsi="Arial"/>
          <w:sz w:val="16"/>
        </w:rPr>
        <w:t>256.29  علاوه بر این، آنها باید یاد بگیرند که چگونه با احساساتی که اغلب با تغییر همراه هستند کنار بیایند.</w:t>
      </w:r>
    </w:p>
    <w:p>
      <w:pPr>
        <w:spacing w:after="28" w:line="216" w:lineRule="auto"/>
        <w:ind w:left="259"/>
        <w:jc w:val="left"/>
      </w:pPr>
      <w:r>
        <w:rPr>
          <w:rFonts w:ascii="Arial" w:hAnsi="Arial"/>
          <w:color w:val="525252"/>
          <w:sz w:val="13"/>
        </w:rPr>
        <w:t>Furthermore, they must learn how to deal with emotions often associated with change.</w:t>
      </w:r>
    </w:p>
    <w:p>
      <w:pPr>
        <w:spacing w:after="20" w:line="223" w:lineRule="auto"/>
        <w:jc w:val="right"/>
        <w:bidi/>
      </w:pPr>
      <w:r>
        <w:rPr>
          <w:rFonts w:ascii="Arial" w:hAnsi="Arial"/>
          <w:sz w:val="16"/>
        </w:rPr>
        <w:t>256.30  افرادی که از این فرآیندها حمایت می‌کنند باید برای مقابله با چالش و حمایت از تغییری که در حال اجراست، انگیزه داشته باشند.</w:t>
      </w:r>
    </w:p>
    <w:p>
      <w:pPr>
        <w:spacing w:after="28" w:line="216" w:lineRule="auto"/>
        <w:ind w:left="259"/>
        <w:jc w:val="left"/>
      </w:pPr>
      <w:r>
        <w:rPr>
          <w:rFonts w:ascii="Arial" w:hAnsi="Arial"/>
          <w:color w:val="525252"/>
          <w:sz w:val="13"/>
        </w:rPr>
        <w:t>The people supporting these processes must be motivated to meet the challenge and support the change that is being implemented.</w:t>
      </w:r>
    </w:p>
    <w:p>
      <w:pPr>
        <w:spacing w:after="20" w:line="223" w:lineRule="auto"/>
        <w:jc w:val="right"/>
        <w:bidi/>
      </w:pPr>
      <w:r>
        <w:rPr>
          <w:rFonts w:ascii="Arial" w:hAnsi="Arial"/>
          <w:sz w:val="16"/>
        </w:rPr>
        <w:t>256.31  برای دستیابی به آن، رهبران باید درک روشنی از حال و تمرکز روشن بر آینده داشته باشند.</w:t>
      </w:r>
    </w:p>
    <w:p>
      <w:pPr>
        <w:spacing w:after="28" w:line="216" w:lineRule="auto"/>
        <w:ind w:left="259"/>
        <w:jc w:val="left"/>
      </w:pPr>
      <w:r>
        <w:rPr>
          <w:rFonts w:ascii="Arial" w:hAnsi="Arial"/>
          <w:color w:val="525252"/>
          <w:sz w:val="13"/>
        </w:rPr>
        <w:t>To achieve that, leaders must maintain a clear understanding of the present and a clear focus on the future.</w:t>
      </w:r>
    </w:p>
    <w:p>
      <w:pPr>
        <w:spacing w:before="60" w:after="28"/>
        <w:jc w:val="right"/>
        <w:bidi/>
      </w:pPr>
      <w:r>
        <w:rPr>
          <w:b/>
          <w:color w:val="1F4D78"/>
          <w:sz w:val="18"/>
        </w:rPr>
        <w:t>14.22. سبک های رهبری</w:t>
      </w:r>
    </w:p>
    <w:p>
      <w:pPr>
        <w:spacing w:after="20"/>
        <w:ind w:left="259"/>
        <w:jc w:val="left"/>
      </w:pPr>
      <w:r>
        <w:rPr>
          <w:color w:val="555555"/>
          <w:sz w:val="12"/>
        </w:rPr>
        <w:t>14.22. Leadership Styles</w:t>
      </w:r>
    </w:p>
    <w:p>
      <w:pPr>
        <w:spacing w:after="20" w:line="223" w:lineRule="auto"/>
        <w:jc w:val="right"/>
        <w:bidi/>
      </w:pPr>
      <w:r>
        <w:rPr>
          <w:rFonts w:ascii="Arial" w:hAnsi="Arial"/>
          <w:sz w:val="16"/>
        </w:rPr>
        <w:t>256.33  هیچ راز یا فرمول جادویی برای رهبری موفق وجود ندارد.</w:t>
      </w:r>
    </w:p>
    <w:p>
      <w:pPr>
        <w:spacing w:after="28" w:line="216" w:lineRule="auto"/>
        <w:ind w:left="259"/>
        <w:jc w:val="left"/>
      </w:pPr>
      <w:r>
        <w:rPr>
          <w:rFonts w:ascii="Arial" w:hAnsi="Arial"/>
          <w:color w:val="525252"/>
          <w:sz w:val="13"/>
        </w:rPr>
        <w:t>There are no secrets or magic formulas for successful leadership.</w:t>
      </w:r>
    </w:p>
    <w:p>
      <w:pPr>
        <w:spacing w:after="20" w:line="223" w:lineRule="auto"/>
        <w:jc w:val="right"/>
        <w:bidi/>
      </w:pPr>
      <w:r>
        <w:rPr>
          <w:rFonts w:ascii="Arial" w:hAnsi="Arial"/>
          <w:sz w:val="16"/>
        </w:rPr>
        <w:t>256.34  رهبری مسئولیتی است که نیازمند نقش فعال در تعامل با افراد و تیم‌ها است تا تلاش‌های آن‌ها را با موفقیت شخصی و سازمانی هماهنگ کنند.</w:t>
      </w:r>
    </w:p>
    <w:p>
      <w:pPr>
        <w:spacing w:after="28" w:line="216" w:lineRule="auto"/>
        <w:ind w:left="259"/>
        <w:jc w:val="left"/>
      </w:pPr>
      <w:r>
        <w:rPr>
          <w:rFonts w:ascii="Arial" w:hAnsi="Arial"/>
          <w:color w:val="525252"/>
          <w:sz w:val="13"/>
        </w:rPr>
        <w:t>Leadership is a responsibility that requires an active role in engaging with individuals and teams to align their efforts with personal as well as organizational success.</w:t>
      </w:r>
    </w:p>
    <w:p>
      <w:pPr>
        <w:spacing w:after="20" w:line="223" w:lineRule="auto"/>
        <w:jc w:val="right"/>
        <w:bidi/>
      </w:pPr>
      <w:r>
        <w:rPr>
          <w:rFonts w:ascii="Arial" w:hAnsi="Arial"/>
          <w:sz w:val="16"/>
        </w:rPr>
        <w:t>256.35  اگرچه بهترین توصیه این است که فقط خودتان باشید، رهبران جاه طلب و مشتاق همیشه می‌توانند از سخنان خردمندانه دیگران بهره ببرند.</w:t>
      </w:r>
    </w:p>
    <w:p>
      <w:pPr>
        <w:spacing w:after="28" w:line="216" w:lineRule="auto"/>
        <w:ind w:left="259"/>
        <w:jc w:val="left"/>
      </w:pPr>
      <w:r>
        <w:rPr>
          <w:rFonts w:ascii="Arial" w:hAnsi="Arial"/>
          <w:color w:val="525252"/>
          <w:sz w:val="13"/>
        </w:rPr>
        <w:t>Although the best advice is to just be yourself, ambitious and aspiring leaders can always benefit from the wise words of others.</w:t>
      </w:r>
    </w:p>
    <w:p>
      <w:pPr>
        <w:spacing w:after="20" w:line="223" w:lineRule="auto"/>
        <w:jc w:val="right"/>
        <w:bidi/>
      </w:pPr>
      <w:r>
        <w:rPr>
          <w:rFonts w:ascii="Arial" w:hAnsi="Arial"/>
          <w:sz w:val="16"/>
        </w:rPr>
        <w:t>256.36  در سال ۱۹۷۶، فرمانده نیروی هوایی اقیانوس آرام، ژنرال لوئیس ال. ویلسون، جونیور، توصیه‌های همیشگی زیر را ارائه کرد.</w:t>
      </w:r>
    </w:p>
    <w:p>
      <w:pPr>
        <w:spacing w:after="28" w:line="216" w:lineRule="auto"/>
        <w:ind w:left="259"/>
        <w:jc w:val="left"/>
      </w:pPr>
      <w:r>
        <w:rPr>
          <w:rFonts w:ascii="Arial" w:hAnsi="Arial"/>
          <w:color w:val="525252"/>
          <w:sz w:val="13"/>
        </w:rPr>
        <w:t>In 1976, Pacific Air Forces Commander, General Louis L. Wilson, Jr., provided the timeless advice below.</w:t>
      </w:r>
    </w:p>
    <w:p>
      <w:pPr>
        <w:spacing w:after="20" w:line="223" w:lineRule="auto"/>
        <w:jc w:val="right"/>
        <w:bidi/>
      </w:pPr>
      <w:r>
        <w:rPr>
          <w:rFonts w:ascii="Arial" w:hAnsi="Arial"/>
          <w:sz w:val="16"/>
        </w:rPr>
        <w:t>256.37  سرسخت باش.</w:t>
      </w:r>
    </w:p>
    <w:p>
      <w:pPr>
        <w:spacing w:after="28" w:line="216" w:lineRule="auto"/>
        <w:ind w:left="259"/>
        <w:jc w:val="left"/>
      </w:pPr>
      <w:r>
        <w:rPr>
          <w:rFonts w:ascii="Arial" w:hAnsi="Arial"/>
          <w:color w:val="525252"/>
          <w:sz w:val="13"/>
        </w:rPr>
        <w:t>Be Tough.</w:t>
      </w:r>
    </w:p>
    <w:p>
      <w:pPr>
        <w:spacing w:after="20" w:line="223" w:lineRule="auto"/>
        <w:jc w:val="right"/>
        <w:bidi/>
      </w:pPr>
      <w:r>
        <w:rPr>
          <w:rFonts w:ascii="Arial" w:hAnsi="Arial"/>
          <w:sz w:val="16"/>
        </w:rPr>
        <w:t>256.38  استانداردهای خود را بالا تنظیم کنید و اصرار کنید که افراد شما اندازه گیری کنند.</w:t>
      </w:r>
    </w:p>
    <w:p>
      <w:pPr>
        <w:spacing w:after="28" w:line="216" w:lineRule="auto"/>
        <w:ind w:left="259"/>
        <w:jc w:val="left"/>
      </w:pPr>
      <w:r>
        <w:rPr>
          <w:rFonts w:ascii="Arial" w:hAnsi="Arial"/>
          <w:color w:val="525252"/>
          <w:sz w:val="13"/>
        </w:rPr>
        <w:t>Set your standards high and insist that your people measure up.</w:t>
      </w:r>
    </w:p>
    <w:p>
      <w:pPr>
        <w:spacing w:after="20" w:line="223" w:lineRule="auto"/>
        <w:jc w:val="right"/>
        <w:bidi/>
      </w:pPr>
      <w:r>
        <w:rPr>
          <w:rFonts w:ascii="Arial" w:hAnsi="Arial"/>
          <w:sz w:val="16"/>
        </w:rPr>
        <w:t>256.39  شهامت داشته باشید</w:t>
      </w:r>
    </w:p>
    <w:p>
      <w:pPr>
        <w:spacing w:after="28" w:line="216" w:lineRule="auto"/>
        <w:ind w:left="259"/>
        <w:jc w:val="left"/>
      </w:pPr>
      <w:r>
        <w:rPr>
          <w:rFonts w:ascii="Arial" w:hAnsi="Arial"/>
          <w:color w:val="525252"/>
          <w:sz w:val="13"/>
        </w:rPr>
        <w:t>Have the courage to</w:t>
      </w:r>
    </w:p>
    <w:p>
      <w:r>
        <w:br w:type="page"/>
      </w:r>
    </w:p>
    <w:p>
      <w:pPr>
        <w:spacing w:after="60"/>
        <w:jc w:val="right"/>
        <w:bidi/>
      </w:pPr>
      <w:r>
        <w:rPr>
          <w:rFonts w:ascii="Arial" w:hAnsi="Arial"/>
          <w:b/>
          <w:color w:val="1F4D78"/>
          <w:sz w:val="19"/>
        </w:rPr>
        <w:t>هفتهٔ 257  |  صفحهٔ منبع: 273</w:t>
      </w:r>
    </w:p>
    <w:p>
      <w:pPr>
        <w:spacing w:after="20" w:line="223" w:lineRule="auto"/>
        <w:jc w:val="right"/>
        <w:bidi/>
      </w:pPr>
      <w:r>
        <w:rPr>
          <w:rFonts w:ascii="Arial" w:hAnsi="Arial"/>
          <w:sz w:val="16"/>
        </w:rPr>
        <w:t>257.01  کسانی را که موفق به انجام این کار نمی‌شوند اصلاح کنید.</w:t>
      </w:r>
    </w:p>
    <w:p>
      <w:pPr>
        <w:spacing w:after="28" w:line="216" w:lineRule="auto"/>
        <w:ind w:left="259"/>
        <w:jc w:val="left"/>
      </w:pPr>
      <w:r>
        <w:rPr>
          <w:rFonts w:ascii="Arial" w:hAnsi="Arial"/>
          <w:color w:val="525252"/>
          <w:sz w:val="13"/>
        </w:rPr>
        <w:t>correct those who fail to do so.</w:t>
      </w:r>
    </w:p>
    <w:p>
      <w:pPr>
        <w:spacing w:after="20" w:line="223" w:lineRule="auto"/>
        <w:jc w:val="right"/>
        <w:bidi/>
      </w:pPr>
      <w:r>
        <w:rPr>
          <w:rFonts w:ascii="Arial" w:hAnsi="Arial"/>
          <w:sz w:val="16"/>
        </w:rPr>
        <w:t>257.02  در دراز مدت، مردم شما شادتر خواهند بود.</w:t>
      </w:r>
    </w:p>
    <w:p>
      <w:pPr>
        <w:spacing w:after="28" w:line="216" w:lineRule="auto"/>
        <w:ind w:left="259"/>
        <w:jc w:val="left"/>
      </w:pPr>
      <w:r>
        <w:rPr>
          <w:rFonts w:ascii="Arial" w:hAnsi="Arial"/>
          <w:color w:val="525252"/>
          <w:sz w:val="13"/>
        </w:rPr>
        <w:t>In the long run, your people will be happier.</w:t>
      </w:r>
    </w:p>
    <w:p>
      <w:pPr>
        <w:spacing w:after="20" w:line="223" w:lineRule="auto"/>
        <w:jc w:val="right"/>
        <w:bidi/>
      </w:pPr>
      <w:r>
        <w:rPr>
          <w:rFonts w:ascii="Arial" w:hAnsi="Arial"/>
          <w:sz w:val="16"/>
        </w:rPr>
        <w:t>257.03  تقریبا مطمئنا روحیه بالاتر، لباس شما بهتر و مردم شما سربلندتر خواهد بود.</w:t>
      </w:r>
    </w:p>
    <w:p>
      <w:pPr>
        <w:spacing w:after="28" w:line="216" w:lineRule="auto"/>
        <w:ind w:left="259"/>
        <w:jc w:val="left"/>
      </w:pPr>
      <w:r>
        <w:rPr>
          <w:rFonts w:ascii="Arial" w:hAnsi="Arial"/>
          <w:color w:val="525252"/>
          <w:sz w:val="13"/>
        </w:rPr>
        <w:t>Almost certainly morale will be higher, your outfit better, and your people prouder.</w:t>
      </w:r>
    </w:p>
    <w:p>
      <w:pPr>
        <w:spacing w:after="20" w:line="223" w:lineRule="auto"/>
        <w:jc w:val="right"/>
        <w:bidi/>
      </w:pPr>
      <w:r>
        <w:rPr>
          <w:rFonts w:ascii="Arial" w:hAnsi="Arial"/>
          <w:sz w:val="16"/>
        </w:rPr>
        <w:t>257.04  از پشت میز خود بیرون بروید.</w:t>
      </w:r>
    </w:p>
    <w:p>
      <w:pPr>
        <w:spacing w:after="28" w:line="216" w:lineRule="auto"/>
        <w:ind w:left="259"/>
        <w:jc w:val="left"/>
      </w:pPr>
      <w:r>
        <w:rPr>
          <w:rFonts w:ascii="Arial" w:hAnsi="Arial"/>
          <w:color w:val="525252"/>
          <w:sz w:val="13"/>
        </w:rPr>
        <w:t>Get Out from Behind Your Desk.</w:t>
      </w:r>
    </w:p>
    <w:p>
      <w:pPr>
        <w:spacing w:after="20" w:line="223" w:lineRule="auto"/>
        <w:jc w:val="right"/>
        <w:bidi/>
      </w:pPr>
      <w:r>
        <w:rPr>
          <w:rFonts w:ascii="Arial" w:hAnsi="Arial"/>
          <w:sz w:val="16"/>
        </w:rPr>
        <w:t>257.05  خودتان ببینید در مرکز کاری شما چه می‌گذرد.</w:t>
      </w:r>
    </w:p>
    <w:p>
      <w:pPr>
        <w:spacing w:after="28" w:line="216" w:lineRule="auto"/>
        <w:ind w:left="259"/>
        <w:jc w:val="left"/>
      </w:pPr>
      <w:r>
        <w:rPr>
          <w:rFonts w:ascii="Arial" w:hAnsi="Arial"/>
          <w:color w:val="525252"/>
          <w:sz w:val="13"/>
        </w:rPr>
        <w:t>See for yourself what is going on in your work center.</w:t>
      </w:r>
    </w:p>
    <w:p>
      <w:pPr>
        <w:spacing w:after="20" w:line="223" w:lineRule="auto"/>
        <w:jc w:val="right"/>
        <w:bidi/>
      </w:pPr>
      <w:r>
        <w:rPr>
          <w:rFonts w:ascii="Arial" w:hAnsi="Arial"/>
          <w:sz w:val="16"/>
        </w:rPr>
        <w:t>257.06  افراد شما خواهند دید که شما به مشکلات، شرایط کاری و رفاه آنها علاقه مند هستید.</w:t>
      </w:r>
    </w:p>
    <w:p>
      <w:pPr>
        <w:spacing w:after="28" w:line="216" w:lineRule="auto"/>
        <w:ind w:left="259"/>
        <w:jc w:val="left"/>
      </w:pPr>
      <w:r>
        <w:rPr>
          <w:rFonts w:ascii="Arial" w:hAnsi="Arial"/>
          <w:color w:val="525252"/>
          <w:sz w:val="13"/>
        </w:rPr>
        <w:t>Your people will see that you are interested in their problems, work conditions, and welfare.</w:t>
      </w:r>
    </w:p>
    <w:p>
      <w:pPr>
        <w:spacing w:after="20" w:line="223" w:lineRule="auto"/>
        <w:jc w:val="right"/>
        <w:bidi/>
      </w:pPr>
      <w:r>
        <w:rPr>
          <w:rFonts w:ascii="Arial" w:hAnsi="Arial"/>
          <w:sz w:val="16"/>
        </w:rPr>
        <w:t>257.07  اگر این نکته را تمرین کنید، بسیاری از مشکلات افراد شما برطرف خواهند شد.</w:t>
      </w:r>
    </w:p>
    <w:p>
      <w:pPr>
        <w:spacing w:after="28" w:line="216" w:lineRule="auto"/>
        <w:ind w:left="259"/>
        <w:jc w:val="left"/>
      </w:pPr>
      <w:r>
        <w:rPr>
          <w:rFonts w:ascii="Arial" w:hAnsi="Arial"/>
          <w:color w:val="525252"/>
          <w:sz w:val="13"/>
        </w:rPr>
        <w:t>Many of your people problems will go away if you practice this point.</w:t>
      </w:r>
    </w:p>
    <w:p>
      <w:pPr>
        <w:spacing w:after="20" w:line="223" w:lineRule="auto"/>
        <w:jc w:val="right"/>
        <w:bidi/>
      </w:pPr>
      <w:r>
        <w:rPr>
          <w:rFonts w:ascii="Arial" w:hAnsi="Arial"/>
          <w:sz w:val="16"/>
        </w:rPr>
        <w:t>257.08  مشکلات را جستجو کنید.</w:t>
      </w:r>
    </w:p>
    <w:p>
      <w:pPr>
        <w:spacing w:after="28" w:line="216" w:lineRule="auto"/>
        <w:ind w:left="259"/>
        <w:jc w:val="left"/>
      </w:pPr>
      <w:r>
        <w:rPr>
          <w:rFonts w:ascii="Arial" w:hAnsi="Arial"/>
          <w:color w:val="525252"/>
          <w:sz w:val="13"/>
        </w:rPr>
        <w:t>Search Out the Problems.</w:t>
      </w:r>
    </w:p>
    <w:p>
      <w:pPr>
        <w:spacing w:after="20" w:line="223" w:lineRule="auto"/>
        <w:jc w:val="right"/>
        <w:bidi/>
      </w:pPr>
      <w:r>
        <w:rPr>
          <w:rFonts w:ascii="Arial" w:hAnsi="Arial"/>
          <w:sz w:val="16"/>
        </w:rPr>
        <w:t>257.09  اگر فکر می‌کنید هیچ مشکلی در سازمان شما وجود ندارد، ممکن است در اشتباه باشید.</w:t>
      </w:r>
    </w:p>
    <w:p>
      <w:pPr>
        <w:spacing w:after="28" w:line="216" w:lineRule="auto"/>
        <w:ind w:left="259"/>
        <w:jc w:val="left"/>
      </w:pPr>
      <w:r>
        <w:rPr>
          <w:rFonts w:ascii="Arial" w:hAnsi="Arial"/>
          <w:color w:val="525252"/>
          <w:sz w:val="13"/>
        </w:rPr>
        <w:t>If you think there are no problems in your organization, you may be wrong.</w:t>
      </w:r>
    </w:p>
    <w:p>
      <w:pPr>
        <w:spacing w:after="20" w:line="223" w:lineRule="auto"/>
        <w:jc w:val="right"/>
        <w:bidi/>
      </w:pPr>
      <w:r>
        <w:rPr>
          <w:rFonts w:ascii="Arial" w:hAnsi="Arial"/>
          <w:sz w:val="16"/>
        </w:rPr>
        <w:t>257.10  وظیفه شما این است که آنها را پیدا کنید.</w:t>
      </w:r>
    </w:p>
    <w:p>
      <w:pPr>
        <w:spacing w:after="28" w:line="216" w:lineRule="auto"/>
        <w:ind w:left="259"/>
        <w:jc w:val="left"/>
      </w:pPr>
      <w:r>
        <w:rPr>
          <w:rFonts w:ascii="Arial" w:hAnsi="Arial"/>
          <w:color w:val="525252"/>
          <w:sz w:val="13"/>
        </w:rPr>
        <w:t>Your job is to find them.</w:t>
      </w:r>
    </w:p>
    <w:p>
      <w:pPr>
        <w:spacing w:after="20" w:line="223" w:lineRule="auto"/>
        <w:jc w:val="right"/>
        <w:bidi/>
      </w:pPr>
      <w:r>
        <w:rPr>
          <w:rFonts w:ascii="Arial" w:hAnsi="Arial"/>
          <w:sz w:val="16"/>
        </w:rPr>
        <w:t>257.11  محیطی را ایجاد کنید که افراد را تشویق کند تا مشکلاتی را که خودشان قادر به حل آنها نیستند به سراغ شما بیاورند.</w:t>
      </w:r>
    </w:p>
    <w:p>
      <w:pPr>
        <w:spacing w:after="28" w:line="216" w:lineRule="auto"/>
        <w:ind w:left="259"/>
        <w:jc w:val="left"/>
      </w:pPr>
      <w:r>
        <w:rPr>
          <w:rFonts w:ascii="Arial" w:hAnsi="Arial"/>
          <w:color w:val="525252"/>
          <w:sz w:val="13"/>
        </w:rPr>
        <w:t>Foster an environment that encourages people to bring problems to you that they are unable to solve for themselves.</w:t>
      </w:r>
    </w:p>
    <w:p>
      <w:pPr>
        <w:spacing w:after="20" w:line="223" w:lineRule="auto"/>
        <w:jc w:val="right"/>
        <w:bidi/>
      </w:pPr>
      <w:r>
        <w:rPr>
          <w:rFonts w:ascii="Arial" w:hAnsi="Arial"/>
          <w:sz w:val="16"/>
        </w:rPr>
        <w:t>257.12  مسیر حیاتی موفقیت را بیابید.</w:t>
      </w:r>
    </w:p>
    <w:p>
      <w:pPr>
        <w:spacing w:after="28" w:line="216" w:lineRule="auto"/>
        <w:ind w:left="259"/>
        <w:jc w:val="left"/>
      </w:pPr>
      <w:r>
        <w:rPr>
          <w:rFonts w:ascii="Arial" w:hAnsi="Arial"/>
          <w:color w:val="525252"/>
          <w:sz w:val="13"/>
        </w:rPr>
        <w:t>Find the Critical Path to Success.</w:t>
      </w:r>
    </w:p>
    <w:p>
      <w:pPr>
        <w:spacing w:after="20" w:line="223" w:lineRule="auto"/>
        <w:jc w:val="right"/>
        <w:bidi/>
      </w:pPr>
      <w:r>
        <w:rPr>
          <w:rFonts w:ascii="Arial" w:hAnsi="Arial"/>
          <w:sz w:val="16"/>
        </w:rPr>
        <w:t>257.13  شخصا بر اساس اولویت درگیر مسائل شوید.</w:t>
      </w:r>
    </w:p>
    <w:p>
      <w:pPr>
        <w:spacing w:after="28" w:line="216" w:lineRule="auto"/>
        <w:ind w:left="259"/>
        <w:jc w:val="left"/>
      </w:pPr>
      <w:r>
        <w:rPr>
          <w:rFonts w:ascii="Arial" w:hAnsi="Arial"/>
          <w:color w:val="525252"/>
          <w:sz w:val="13"/>
        </w:rPr>
        <w:t>Get personally involved in issues on a priority basis.</w:t>
      </w:r>
    </w:p>
    <w:p>
      <w:pPr>
        <w:spacing w:after="20" w:line="223" w:lineRule="auto"/>
        <w:jc w:val="right"/>
        <w:bidi/>
      </w:pPr>
      <w:r>
        <w:rPr>
          <w:rFonts w:ascii="Arial" w:hAnsi="Arial"/>
          <w:sz w:val="16"/>
        </w:rPr>
        <w:t>257.14  اجازه دهید تأثیر شما بر روی مسائل مربوط به ایجاد یا شکست در سازمان شما احساس شود.</w:t>
      </w:r>
    </w:p>
    <w:p>
      <w:pPr>
        <w:spacing w:after="28" w:line="216" w:lineRule="auto"/>
        <w:ind w:left="259"/>
        <w:jc w:val="left"/>
      </w:pPr>
      <w:r>
        <w:rPr>
          <w:rFonts w:ascii="Arial" w:hAnsi="Arial"/>
          <w:color w:val="525252"/>
          <w:sz w:val="13"/>
        </w:rPr>
        <w:t>Let your influence be felt on make-or-break issues in your organization.</w:t>
      </w:r>
    </w:p>
    <w:p>
      <w:pPr>
        <w:spacing w:after="20" w:line="223" w:lineRule="auto"/>
        <w:jc w:val="right"/>
        <w:bidi/>
      </w:pPr>
      <w:r>
        <w:rPr>
          <w:rFonts w:ascii="Arial" w:hAnsi="Arial"/>
          <w:sz w:val="16"/>
        </w:rPr>
        <w:t>257.15  از تله فعالیت دوری کنید - زمان ارزشمند خود را صرف مسائل بی اهمیت یا بی اهمیت نکنید.</w:t>
      </w:r>
    </w:p>
    <w:p>
      <w:pPr>
        <w:spacing w:after="28" w:line="216" w:lineRule="auto"/>
        <w:ind w:left="259"/>
        <w:jc w:val="left"/>
      </w:pPr>
      <w:r>
        <w:rPr>
          <w:rFonts w:ascii="Arial" w:hAnsi="Arial"/>
          <w:color w:val="525252"/>
          <w:sz w:val="13"/>
        </w:rPr>
        <w:t>Avoid the activity trap—do not spend your valuable time on inconsequential or trivial matters.</w:t>
      </w:r>
    </w:p>
    <w:p>
      <w:pPr>
        <w:spacing w:after="20" w:line="223" w:lineRule="auto"/>
        <w:jc w:val="right"/>
        <w:bidi/>
      </w:pPr>
      <w:r>
        <w:rPr>
          <w:rFonts w:ascii="Arial" w:hAnsi="Arial"/>
          <w:sz w:val="16"/>
        </w:rPr>
        <w:t>257.16  در جایی که مهم است وزن کنید.</w:t>
      </w:r>
    </w:p>
    <w:p>
      <w:pPr>
        <w:spacing w:after="28" w:line="216" w:lineRule="auto"/>
        <w:ind w:left="259"/>
        <w:jc w:val="left"/>
      </w:pPr>
      <w:r>
        <w:rPr>
          <w:rFonts w:ascii="Arial" w:hAnsi="Arial"/>
          <w:color w:val="525252"/>
          <w:sz w:val="13"/>
        </w:rPr>
        <w:t>Weigh in where it counts.</w:t>
      </w:r>
    </w:p>
    <w:p>
      <w:pPr>
        <w:spacing w:after="20" w:line="223" w:lineRule="auto"/>
        <w:jc w:val="right"/>
        <w:bidi/>
      </w:pPr>
      <w:r>
        <w:rPr>
          <w:rFonts w:ascii="Arial" w:hAnsi="Arial"/>
          <w:sz w:val="16"/>
        </w:rPr>
        <w:t>257.17  حساس باشید.</w:t>
      </w:r>
    </w:p>
    <w:p>
      <w:pPr>
        <w:spacing w:after="28" w:line="216" w:lineRule="auto"/>
        <w:ind w:left="259"/>
        <w:jc w:val="left"/>
      </w:pPr>
      <w:r>
        <w:rPr>
          <w:rFonts w:ascii="Arial" w:hAnsi="Arial"/>
          <w:color w:val="525252"/>
          <w:sz w:val="13"/>
        </w:rPr>
        <w:t>Be Sensitive.</w:t>
      </w:r>
    </w:p>
    <w:p>
      <w:pPr>
        <w:spacing w:after="20" w:line="223" w:lineRule="auto"/>
        <w:jc w:val="right"/>
        <w:bidi/>
      </w:pPr>
      <w:r>
        <w:rPr>
          <w:rFonts w:ascii="Arial" w:hAnsi="Arial"/>
          <w:sz w:val="16"/>
        </w:rPr>
        <w:t>257.18  به مردم خود گوش دهید.</w:t>
      </w:r>
    </w:p>
    <w:p>
      <w:pPr>
        <w:spacing w:after="28" w:line="216" w:lineRule="auto"/>
        <w:ind w:left="259"/>
        <w:jc w:val="left"/>
      </w:pPr>
      <w:r>
        <w:rPr>
          <w:rFonts w:ascii="Arial" w:hAnsi="Arial"/>
          <w:color w:val="525252"/>
          <w:sz w:val="13"/>
        </w:rPr>
        <w:t>Listen to your people.</w:t>
      </w:r>
    </w:p>
    <w:p>
      <w:pPr>
        <w:spacing w:after="20" w:line="223" w:lineRule="auto"/>
        <w:jc w:val="right"/>
        <w:bidi/>
      </w:pPr>
      <w:r>
        <w:rPr>
          <w:rFonts w:ascii="Arial" w:hAnsi="Arial"/>
          <w:sz w:val="16"/>
        </w:rPr>
        <w:t>257.19  با آنها ارتباط برقرار کنید و نسبت به نیازهای آنها آگاه باشید.</w:t>
      </w:r>
    </w:p>
    <w:p>
      <w:pPr>
        <w:spacing w:after="28" w:line="216" w:lineRule="auto"/>
        <w:ind w:left="259"/>
        <w:jc w:val="left"/>
      </w:pPr>
      <w:r>
        <w:rPr>
          <w:rFonts w:ascii="Arial" w:hAnsi="Arial"/>
          <w:color w:val="525252"/>
          <w:sz w:val="13"/>
        </w:rPr>
        <w:t>Communicate with them and be perceptive to their needs.</w:t>
      </w:r>
    </w:p>
    <w:p>
      <w:pPr>
        <w:spacing w:after="20" w:line="223" w:lineRule="auto"/>
        <w:jc w:val="right"/>
        <w:bidi/>
      </w:pPr>
      <w:r>
        <w:rPr>
          <w:rFonts w:ascii="Arial" w:hAnsi="Arial"/>
          <w:sz w:val="16"/>
        </w:rPr>
        <w:t>257.20  یاد بگیرید مشکلات را بشناسید و به دنبال ایده باشید.</w:t>
      </w:r>
    </w:p>
    <w:p>
      <w:pPr>
        <w:spacing w:after="28" w:line="216" w:lineRule="auto"/>
        <w:ind w:left="259"/>
        <w:jc w:val="left"/>
      </w:pPr>
      <w:r>
        <w:rPr>
          <w:rFonts w:ascii="Arial" w:hAnsi="Arial"/>
          <w:color w:val="525252"/>
          <w:sz w:val="13"/>
        </w:rPr>
        <w:t>Learn to recognize problems and seek out ideas.</w:t>
      </w:r>
    </w:p>
    <w:p>
      <w:pPr>
        <w:spacing w:after="20" w:line="223" w:lineRule="auto"/>
        <w:jc w:val="right"/>
        <w:bidi/>
      </w:pPr>
      <w:r>
        <w:rPr>
          <w:rFonts w:ascii="Arial" w:hAnsi="Arial"/>
          <w:sz w:val="16"/>
        </w:rPr>
        <w:t>257.21  نوآور باشید.</w:t>
      </w:r>
    </w:p>
    <w:p>
      <w:pPr>
        <w:spacing w:after="28" w:line="216" w:lineRule="auto"/>
        <w:ind w:left="259"/>
        <w:jc w:val="left"/>
      </w:pPr>
      <w:r>
        <w:rPr>
          <w:rFonts w:ascii="Arial" w:hAnsi="Arial"/>
          <w:color w:val="525252"/>
          <w:sz w:val="13"/>
        </w:rPr>
        <w:t>Be innovative.</w:t>
      </w:r>
    </w:p>
    <w:p>
      <w:pPr>
        <w:spacing w:after="20" w:line="223" w:lineRule="auto"/>
        <w:jc w:val="right"/>
        <w:bidi/>
      </w:pPr>
      <w:r>
        <w:rPr>
          <w:rFonts w:ascii="Arial" w:hAnsi="Arial"/>
          <w:sz w:val="16"/>
        </w:rPr>
        <w:t>257.22  تشخیص دهید که ارتباط مؤثر شامل ادراکات مشترک است.</w:t>
      </w:r>
    </w:p>
    <w:p>
      <w:pPr>
        <w:spacing w:after="28" w:line="216" w:lineRule="auto"/>
        <w:ind w:left="259"/>
        <w:jc w:val="left"/>
      </w:pPr>
      <w:r>
        <w:rPr>
          <w:rFonts w:ascii="Arial" w:hAnsi="Arial"/>
          <w:color w:val="525252"/>
          <w:sz w:val="13"/>
        </w:rPr>
        <w:t>Recognize that effective communication involves shared perceptions.</w:t>
      </w:r>
    </w:p>
    <w:p>
      <w:pPr>
        <w:spacing w:after="20" w:line="223" w:lineRule="auto"/>
        <w:jc w:val="right"/>
        <w:bidi/>
      </w:pPr>
      <w:r>
        <w:rPr>
          <w:rFonts w:ascii="Arial" w:hAnsi="Arial"/>
          <w:sz w:val="16"/>
        </w:rPr>
        <w:t>257.23  از همدردی در مواقع لزوم نترسید.</w:t>
      </w:r>
    </w:p>
    <w:p>
      <w:pPr>
        <w:spacing w:after="28" w:line="216" w:lineRule="auto"/>
        <w:ind w:left="259"/>
        <w:jc w:val="left"/>
      </w:pPr>
      <w:r>
        <w:rPr>
          <w:rFonts w:ascii="Arial" w:hAnsi="Arial"/>
          <w:color w:val="525252"/>
          <w:sz w:val="13"/>
        </w:rPr>
        <w:t>Do not be afraid to empathize when necessary.</w:t>
      </w:r>
    </w:p>
    <w:p>
      <w:pPr>
        <w:spacing w:after="20" w:line="223" w:lineRule="auto"/>
        <w:jc w:val="right"/>
        <w:bidi/>
      </w:pPr>
      <w:r>
        <w:rPr>
          <w:rFonts w:ascii="Arial" w:hAnsi="Arial"/>
          <w:sz w:val="16"/>
        </w:rPr>
        <w:t>257.24  چیزها را بدیهی نگیرید.</w:t>
      </w:r>
    </w:p>
    <w:p>
      <w:pPr>
        <w:spacing w:after="28" w:line="216" w:lineRule="auto"/>
        <w:ind w:left="259"/>
        <w:jc w:val="left"/>
      </w:pPr>
      <w:r>
        <w:rPr>
          <w:rFonts w:ascii="Arial" w:hAnsi="Arial"/>
          <w:color w:val="525252"/>
          <w:sz w:val="13"/>
        </w:rPr>
        <w:t>Do Not Take Things for Granted.</w:t>
      </w:r>
    </w:p>
    <w:p>
      <w:pPr>
        <w:spacing w:after="20" w:line="223" w:lineRule="auto"/>
        <w:jc w:val="right"/>
        <w:bidi/>
      </w:pPr>
      <w:r>
        <w:rPr>
          <w:rFonts w:ascii="Arial" w:hAnsi="Arial"/>
          <w:sz w:val="16"/>
        </w:rPr>
        <w:t>257.25  تصور نکنید که همه چیز درست شده است - خودتان به دنبال آن باشید.</w:t>
      </w:r>
    </w:p>
    <w:p>
      <w:pPr>
        <w:spacing w:after="28" w:line="216" w:lineRule="auto"/>
        <w:ind w:left="259"/>
        <w:jc w:val="left"/>
      </w:pPr>
      <w:r>
        <w:rPr>
          <w:rFonts w:ascii="Arial" w:hAnsi="Arial"/>
          <w:color w:val="525252"/>
          <w:sz w:val="13"/>
        </w:rPr>
        <w:t>Do not assume things have been fixed—look for yourself.</w:t>
      </w:r>
    </w:p>
    <w:p>
      <w:pPr>
        <w:spacing w:after="20" w:line="223" w:lineRule="auto"/>
        <w:jc w:val="right"/>
        <w:bidi/>
      </w:pPr>
      <w:r>
        <w:rPr>
          <w:rFonts w:ascii="Arial" w:hAnsi="Arial"/>
          <w:sz w:val="16"/>
        </w:rPr>
        <w:t>257.26  علاوه بر این، احتمال تکرار مشکلات ثابت زیاد است، بنابراین فرآیندهای خود را نظارت کنید.</w:t>
      </w:r>
    </w:p>
    <w:p>
      <w:pPr>
        <w:spacing w:after="28" w:line="216" w:lineRule="auto"/>
        <w:ind w:left="259"/>
        <w:jc w:val="left"/>
      </w:pPr>
      <w:r>
        <w:rPr>
          <w:rFonts w:ascii="Arial" w:hAnsi="Arial"/>
          <w:color w:val="525252"/>
          <w:sz w:val="13"/>
        </w:rPr>
        <w:t>Furthermore, the probability is high that fixed problems will recur, so monitor your processes.</w:t>
      </w:r>
    </w:p>
    <w:p>
      <w:pPr>
        <w:spacing w:after="20" w:line="223" w:lineRule="auto"/>
        <w:jc w:val="right"/>
        <w:bidi/>
      </w:pPr>
      <w:r>
        <w:rPr>
          <w:rFonts w:ascii="Arial" w:hAnsi="Arial"/>
          <w:sz w:val="16"/>
        </w:rPr>
        <w:t>257.27  آیا علیبی.</w:t>
      </w:r>
    </w:p>
    <w:p>
      <w:pPr>
        <w:spacing w:after="28" w:line="216" w:lineRule="auto"/>
        <w:ind w:left="259"/>
        <w:jc w:val="left"/>
      </w:pPr>
      <w:r>
        <w:rPr>
          <w:rFonts w:ascii="Arial" w:hAnsi="Arial"/>
          <w:color w:val="525252"/>
          <w:sz w:val="13"/>
        </w:rPr>
        <w:t>Do Not Alibi.</w:t>
      </w:r>
    </w:p>
    <w:p>
      <w:pPr>
        <w:spacing w:after="20" w:line="223" w:lineRule="auto"/>
        <w:jc w:val="right"/>
        <w:bidi/>
      </w:pPr>
      <w:r>
        <w:rPr>
          <w:rFonts w:ascii="Arial" w:hAnsi="Arial"/>
          <w:sz w:val="16"/>
        </w:rPr>
        <w:t>257.28  به یاد داشته باشید، شما و افرادتان هرگز کامل نخواهید بود.</w:t>
      </w:r>
    </w:p>
    <w:p>
      <w:pPr>
        <w:spacing w:after="28" w:line="216" w:lineRule="auto"/>
        <w:ind w:left="259"/>
        <w:jc w:val="left"/>
      </w:pPr>
      <w:r>
        <w:rPr>
          <w:rFonts w:ascii="Arial" w:hAnsi="Arial"/>
          <w:color w:val="525252"/>
          <w:sz w:val="13"/>
        </w:rPr>
        <w:t>Remember, you and your people will never be perfect.</w:t>
      </w:r>
    </w:p>
    <w:p>
      <w:pPr>
        <w:spacing w:after="20" w:line="223" w:lineRule="auto"/>
        <w:jc w:val="right"/>
        <w:bidi/>
      </w:pPr>
      <w:r>
        <w:rPr>
          <w:rFonts w:ascii="Arial" w:hAnsi="Arial"/>
          <w:sz w:val="16"/>
        </w:rPr>
        <w:t>257.29  مردم اشتباه خواهند کرد، پس در مورد چیزهایی که اشتباه هستند حالت دفاعی نداشته باشید.</w:t>
      </w:r>
    </w:p>
    <w:p>
      <w:pPr>
        <w:spacing w:after="28" w:line="216" w:lineRule="auto"/>
        <w:ind w:left="259"/>
        <w:jc w:val="left"/>
      </w:pPr>
      <w:r>
        <w:rPr>
          <w:rFonts w:ascii="Arial" w:hAnsi="Arial"/>
          <w:color w:val="525252"/>
          <w:sz w:val="13"/>
        </w:rPr>
        <w:t>People will make mistakes, so do not be defensive about things that are wrong.</w:t>
      </w:r>
    </w:p>
    <w:p>
      <w:pPr>
        <w:spacing w:after="20" w:line="223" w:lineRule="auto"/>
        <w:jc w:val="right"/>
        <w:bidi/>
      </w:pPr>
      <w:r>
        <w:rPr>
          <w:rFonts w:ascii="Arial" w:hAnsi="Arial"/>
          <w:sz w:val="16"/>
        </w:rPr>
        <w:t>257.30  هیچ چیز نفرت انگیزتر از فردی نیست که هیچ غلطی نمی‌تواند بکند و برای هر چیزی و هر چیزی که به خطا می‌رود، حقایق دارد.</w:t>
      </w:r>
    </w:p>
    <w:p>
      <w:pPr>
        <w:spacing w:after="28" w:line="216" w:lineRule="auto"/>
        <w:ind w:left="259"/>
        <w:jc w:val="left"/>
      </w:pPr>
      <w:r>
        <w:rPr>
          <w:rFonts w:ascii="Arial" w:hAnsi="Arial"/>
          <w:color w:val="525252"/>
          <w:sz w:val="13"/>
        </w:rPr>
        <w:t>Nothing is more disgusting than the individual who can do no wrong and has an alibi for anything and everything that goes awry.</w:t>
      </w:r>
    </w:p>
    <w:p>
      <w:pPr>
        <w:spacing w:after="20" w:line="223" w:lineRule="auto"/>
        <w:jc w:val="right"/>
        <w:bidi/>
      </w:pPr>
      <w:r>
        <w:rPr>
          <w:rFonts w:ascii="Arial" w:hAnsi="Arial"/>
          <w:sz w:val="16"/>
        </w:rPr>
        <w:t>257.31  معطل نکنید.</w:t>
      </w:r>
    </w:p>
    <w:p>
      <w:pPr>
        <w:spacing w:after="28" w:line="216" w:lineRule="auto"/>
        <w:ind w:left="259"/>
        <w:jc w:val="left"/>
      </w:pPr>
      <w:r>
        <w:rPr>
          <w:rFonts w:ascii="Arial" w:hAnsi="Arial"/>
          <w:color w:val="525252"/>
          <w:sz w:val="13"/>
        </w:rPr>
        <w:t>Do Not Procrastinate.</w:t>
      </w:r>
    </w:p>
    <w:p>
      <w:pPr>
        <w:spacing w:after="20" w:line="223" w:lineRule="auto"/>
        <w:jc w:val="right"/>
        <w:bidi/>
      </w:pPr>
      <w:r>
        <w:rPr>
          <w:rFonts w:ascii="Arial" w:hAnsi="Arial"/>
          <w:sz w:val="16"/>
        </w:rPr>
        <w:t>257.32  تصمیمات سخت را به تعویق نیندازید، فردا آسانتر نخواهند بود.</w:t>
      </w:r>
    </w:p>
    <w:p>
      <w:pPr>
        <w:spacing w:after="28" w:line="216" w:lineRule="auto"/>
        <w:ind w:left="259"/>
        <w:jc w:val="left"/>
      </w:pPr>
      <w:r>
        <w:rPr>
          <w:rFonts w:ascii="Arial" w:hAnsi="Arial"/>
          <w:color w:val="525252"/>
          <w:sz w:val="13"/>
        </w:rPr>
        <w:t>Do not put off hard decisions, they will not be any easier tomorrow.</w:t>
      </w:r>
    </w:p>
    <w:p>
      <w:pPr>
        <w:spacing w:after="20" w:line="223" w:lineRule="auto"/>
        <w:jc w:val="right"/>
        <w:bidi/>
      </w:pPr>
      <w:r>
        <w:rPr>
          <w:rFonts w:ascii="Arial" w:hAnsi="Arial"/>
          <w:sz w:val="16"/>
        </w:rPr>
        <w:t>257.33  این بدان معنا نیست که شما باید تصمیمات تند یا غیرمنطقی را صرفا سریع بگیرید. با این حال، هنگامی که به تصمیمی رسیدید، آن را ادامه دهید.</w:t>
      </w:r>
    </w:p>
    <w:p>
      <w:pPr>
        <w:spacing w:after="28" w:line="216" w:lineRule="auto"/>
        <w:ind w:left="259"/>
        <w:jc w:val="left"/>
      </w:pPr>
      <w:r>
        <w:rPr>
          <w:rFonts w:ascii="Arial" w:hAnsi="Arial"/>
          <w:color w:val="525252"/>
          <w:sz w:val="13"/>
        </w:rPr>
        <w:t>This does not mean you should make precipitous or unreasonable decisions just to be prompt; however, once you have arrived at a decision, get on with it.</w:t>
      </w:r>
    </w:p>
    <w:p>
      <w:pPr>
        <w:spacing w:after="20" w:line="223" w:lineRule="auto"/>
        <w:jc w:val="right"/>
        <w:bidi/>
      </w:pPr>
      <w:r>
        <w:rPr>
          <w:rFonts w:ascii="Arial" w:hAnsi="Arial"/>
          <w:sz w:val="16"/>
        </w:rPr>
        <w:t>257.34  بی کفایتی را تحمل نکنید.</w:t>
      </w:r>
    </w:p>
    <w:p>
      <w:pPr>
        <w:spacing w:after="28" w:line="216" w:lineRule="auto"/>
        <w:ind w:left="259"/>
        <w:jc w:val="left"/>
      </w:pPr>
      <w:r>
        <w:rPr>
          <w:rFonts w:ascii="Arial" w:hAnsi="Arial"/>
          <w:color w:val="525252"/>
          <w:sz w:val="13"/>
        </w:rPr>
        <w:t>Do Not Tolerate Incompetence.</w:t>
      </w:r>
    </w:p>
    <w:p>
      <w:pPr>
        <w:spacing w:after="20" w:line="223" w:lineRule="auto"/>
        <w:jc w:val="right"/>
        <w:bidi/>
      </w:pPr>
      <w:r>
        <w:rPr>
          <w:rFonts w:ascii="Arial" w:hAnsi="Arial"/>
          <w:sz w:val="16"/>
        </w:rPr>
        <w:t>257.35  هنگامی که افراد تنبلی، بی‌علاقگی یا ناتوانی در انجام کار را نشان می‌دهند، باید شجاعت پایان دادن به تکالیف آن‌ها را داشته باشید.</w:t>
      </w:r>
    </w:p>
    <w:p>
      <w:pPr>
        <w:spacing w:after="28" w:line="216" w:lineRule="auto"/>
        <w:ind w:left="259"/>
        <w:jc w:val="left"/>
      </w:pPr>
      <w:r>
        <w:rPr>
          <w:rFonts w:ascii="Arial" w:hAnsi="Arial"/>
          <w:color w:val="525252"/>
          <w:sz w:val="13"/>
        </w:rPr>
        <w:t>Once people demonstrate laziness, disinterest, or an inability to do the job, you must have the courage to terminate their assignments.</w:t>
      </w:r>
    </w:p>
    <w:p>
      <w:pPr>
        <w:spacing w:after="20" w:line="223" w:lineRule="auto"/>
        <w:jc w:val="right"/>
        <w:bidi/>
      </w:pPr>
      <w:r>
        <w:rPr>
          <w:rFonts w:ascii="Arial" w:hAnsi="Arial"/>
          <w:sz w:val="16"/>
        </w:rPr>
        <w:t>257.36  شما نمی‌توانید کمتر کاری انجام دهید.</w:t>
      </w:r>
    </w:p>
    <w:p>
      <w:pPr>
        <w:spacing w:after="28" w:line="216" w:lineRule="auto"/>
        <w:ind w:left="259"/>
        <w:jc w:val="left"/>
      </w:pPr>
      <w:r>
        <w:rPr>
          <w:rFonts w:ascii="Arial" w:hAnsi="Arial"/>
          <w:color w:val="525252"/>
          <w:sz w:val="13"/>
        </w:rPr>
        <w:t>You cannot afford to do less.</w:t>
      </w:r>
    </w:p>
    <w:p>
      <w:pPr>
        <w:spacing w:after="20" w:line="223" w:lineRule="auto"/>
        <w:jc w:val="right"/>
        <w:bidi/>
      </w:pPr>
      <w:r>
        <w:rPr>
          <w:rFonts w:ascii="Arial" w:hAnsi="Arial"/>
          <w:sz w:val="16"/>
        </w:rPr>
        <w:t>257.37  وقتی افراد شما کار خوبی انجام می‌دهند، آنها را بشناسید و تشویق کنید.</w:t>
      </w:r>
    </w:p>
    <w:p>
      <w:pPr>
        <w:spacing w:after="28" w:line="216" w:lineRule="auto"/>
        <w:ind w:left="259"/>
        <w:jc w:val="left"/>
      </w:pPr>
      <w:r>
        <w:rPr>
          <w:rFonts w:ascii="Arial" w:hAnsi="Arial"/>
          <w:color w:val="525252"/>
          <w:sz w:val="13"/>
        </w:rPr>
        <w:t>When your people do good work, recognize, and encourage them.</w:t>
      </w:r>
    </w:p>
    <w:p>
      <w:pPr>
        <w:spacing w:after="20" w:line="223" w:lineRule="auto"/>
        <w:jc w:val="right"/>
        <w:bidi/>
      </w:pPr>
      <w:r>
        <w:rPr>
          <w:rFonts w:ascii="Arial" w:hAnsi="Arial"/>
          <w:sz w:val="16"/>
        </w:rPr>
        <w:t>257.38  آنها احتمالا حتی بهتر عمل خواهند کرد.</w:t>
      </w:r>
    </w:p>
    <w:p>
      <w:pPr>
        <w:spacing w:after="28" w:line="216" w:lineRule="auto"/>
        <w:ind w:left="259"/>
        <w:jc w:val="left"/>
      </w:pPr>
      <w:r>
        <w:rPr>
          <w:rFonts w:ascii="Arial" w:hAnsi="Arial"/>
          <w:color w:val="525252"/>
          <w:sz w:val="13"/>
        </w:rPr>
        <w:t>They will likely do even better.</w:t>
      </w:r>
    </w:p>
    <w:p>
      <w:pPr>
        <w:spacing w:after="20" w:line="223" w:lineRule="auto"/>
        <w:jc w:val="right"/>
        <w:bidi/>
      </w:pPr>
      <w:r>
        <w:rPr>
          <w:rFonts w:ascii="Arial" w:hAnsi="Arial"/>
          <w:sz w:val="16"/>
        </w:rPr>
        <w:t>257.39  صادق باشید.</w:t>
      </w:r>
    </w:p>
    <w:p>
      <w:pPr>
        <w:spacing w:after="28" w:line="216" w:lineRule="auto"/>
        <w:ind w:left="259"/>
        <w:jc w:val="left"/>
      </w:pPr>
      <w:r>
        <w:rPr>
          <w:rFonts w:ascii="Arial" w:hAnsi="Arial"/>
          <w:color w:val="525252"/>
          <w:sz w:val="13"/>
        </w:rPr>
        <w:t>Be Honest.</w:t>
      </w:r>
    </w:p>
    <w:p>
      <w:pPr>
        <w:spacing w:after="20" w:line="223" w:lineRule="auto"/>
        <w:jc w:val="right"/>
        <w:bidi/>
      </w:pPr>
      <w:r>
        <w:rPr>
          <w:rFonts w:ascii="Arial" w:hAnsi="Arial"/>
          <w:sz w:val="16"/>
        </w:rPr>
        <w:t>257.40  باید فضای اعتماد و اطمینان ایجاد کنید.</w:t>
      </w:r>
    </w:p>
    <w:p>
      <w:pPr>
        <w:spacing w:after="28" w:line="216" w:lineRule="auto"/>
        <w:ind w:left="259"/>
        <w:jc w:val="left"/>
      </w:pPr>
      <w:r>
        <w:rPr>
          <w:rFonts w:ascii="Arial" w:hAnsi="Arial"/>
          <w:color w:val="525252"/>
          <w:sz w:val="13"/>
        </w:rPr>
        <w:t>You must create an atmosphere of trust and confidence.</w:t>
      </w:r>
    </w:p>
    <w:p>
      <w:pPr>
        <w:spacing w:after="20" w:line="223" w:lineRule="auto"/>
        <w:jc w:val="right"/>
        <w:bidi/>
      </w:pPr>
      <w:r>
        <w:rPr>
          <w:rFonts w:ascii="Arial" w:hAnsi="Arial"/>
          <w:sz w:val="16"/>
        </w:rPr>
        <w:t>257.41  هنگام صحبت با افراد خود، رک باشید و اصرار کنید که آنها نیز همین کار را انجام دهند.</w:t>
      </w:r>
    </w:p>
    <w:p>
      <w:pPr>
        <w:spacing w:after="28" w:line="216" w:lineRule="auto"/>
        <w:ind w:left="259"/>
        <w:jc w:val="left"/>
      </w:pPr>
      <w:r>
        <w:rPr>
          <w:rFonts w:ascii="Arial" w:hAnsi="Arial"/>
          <w:color w:val="525252"/>
          <w:sz w:val="13"/>
        </w:rPr>
        <w:t>When talking to your people, be candid and insist that they do likewise.</w:t>
      </w:r>
    </w:p>
    <w:p>
      <w:pPr>
        <w:spacing w:after="20" w:line="223" w:lineRule="auto"/>
        <w:jc w:val="right"/>
        <w:bidi/>
      </w:pPr>
      <w:r>
        <w:rPr>
          <w:rFonts w:ascii="Arial" w:hAnsi="Arial"/>
          <w:sz w:val="16"/>
        </w:rPr>
        <w:t>257.42  آنها الگوهای رفتاری خود را بر اساس مثال شما تنظیم می‌کنند.</w:t>
      </w:r>
    </w:p>
    <w:p>
      <w:pPr>
        <w:spacing w:after="28" w:line="216" w:lineRule="auto"/>
        <w:ind w:left="259"/>
        <w:jc w:val="left"/>
      </w:pPr>
      <w:r>
        <w:rPr>
          <w:rFonts w:ascii="Arial" w:hAnsi="Arial"/>
          <w:color w:val="525252"/>
          <w:sz w:val="13"/>
        </w:rPr>
        <w:t>They set their behavior patterns based upon your example.</w:t>
      </w:r>
    </w:p>
    <w:p>
      <w:pPr>
        <w:spacing w:after="20" w:line="223" w:lineRule="auto"/>
        <w:jc w:val="right"/>
        <w:bidi/>
      </w:pPr>
      <w:r>
        <w:rPr>
          <w:rFonts w:ascii="Arial" w:hAnsi="Arial"/>
          <w:sz w:val="16"/>
        </w:rPr>
        <w:t>257.43  هیچ چیز فاجعه آمیزتر از نیمه حقیقت نیست.</w:t>
      </w:r>
    </w:p>
    <w:p>
      <w:pPr>
        <w:spacing w:after="28" w:line="216" w:lineRule="auto"/>
        <w:ind w:left="259"/>
        <w:jc w:val="left"/>
      </w:pPr>
      <w:r>
        <w:rPr>
          <w:rFonts w:ascii="Arial" w:hAnsi="Arial"/>
          <w:color w:val="525252"/>
          <w:sz w:val="13"/>
        </w:rPr>
        <w:t>Nothing is more disastrous than half-truths.</w:t>
      </w:r>
    </w:p>
    <w:p>
      <w:pPr>
        <w:spacing w:after="20" w:line="223" w:lineRule="auto"/>
        <w:jc w:val="right"/>
        <w:bidi/>
      </w:pPr>
      <w:r>
        <w:rPr>
          <w:rFonts w:ascii="Arial" w:hAnsi="Arial"/>
          <w:sz w:val="16"/>
        </w:rPr>
        <w:t>257.44  در نهایت، با خود صادق باشید - گزارش‌ها و ارقام را فریب ندهید تا چیزها روی کاغذ خوب به نظر برسند.</w:t>
      </w:r>
    </w:p>
    <w:p>
      <w:pPr>
        <w:spacing w:after="28" w:line="216" w:lineRule="auto"/>
        <w:ind w:left="259"/>
        <w:jc w:val="left"/>
      </w:pPr>
      <w:r>
        <w:rPr>
          <w:rFonts w:ascii="Arial" w:hAnsi="Arial"/>
          <w:color w:val="525252"/>
          <w:sz w:val="13"/>
        </w:rPr>
        <w:t>Finally, be honest with yourself—do not gimmick reports and figures to make things look good on paper.</w:t>
      </w:r>
    </w:p>
    <w:p>
      <w:pPr>
        <w:spacing w:before="60" w:after="28"/>
        <w:jc w:val="right"/>
        <w:bidi/>
      </w:pPr>
      <w:r>
        <w:rPr>
          <w:b/>
          <w:color w:val="1F4D78"/>
          <w:sz w:val="18"/>
        </w:rPr>
        <w:t>14.23. قدرت رهبری</w:t>
      </w:r>
    </w:p>
    <w:p>
      <w:pPr>
        <w:spacing w:after="20"/>
        <w:ind w:left="259"/>
        <w:jc w:val="left"/>
      </w:pPr>
      <w:r>
        <w:rPr>
          <w:color w:val="555555"/>
          <w:sz w:val="12"/>
        </w:rPr>
        <w:t>14.23. The Power of Leadership</w:t>
      </w:r>
    </w:p>
    <w:p>
      <w:pPr>
        <w:spacing w:after="20" w:line="223" w:lineRule="auto"/>
        <w:jc w:val="right"/>
        <w:bidi/>
      </w:pPr>
      <w:r>
        <w:rPr>
          <w:rFonts w:ascii="Arial" w:hAnsi="Arial"/>
          <w:sz w:val="16"/>
        </w:rPr>
        <w:t>257.46  مفهوم قدرت در نیروی کار دارای جنبه‌های مثبت بسیاری است و هرکسی می‌تواند یاد بگیرد که از منابع مختلف قدرت فردی به‌ویژه زمانی که در نقش رهبری است، استفاده کند.</w:t>
      </w:r>
    </w:p>
    <w:p>
      <w:pPr>
        <w:spacing w:after="28" w:line="216" w:lineRule="auto"/>
        <w:ind w:left="259"/>
        <w:jc w:val="left"/>
      </w:pPr>
      <w:r>
        <w:rPr>
          <w:rFonts w:ascii="Arial" w:hAnsi="Arial"/>
          <w:color w:val="525252"/>
          <w:sz w:val="13"/>
        </w:rPr>
        <w:t>The concept of power in the workforce has many positive aspects, and everyone can learn to harness different sources of individual power, particularly when in a leadership role.</w:t>
      </w:r>
    </w:p>
    <w:p>
      <w:pPr>
        <w:spacing w:after="20" w:line="223" w:lineRule="auto"/>
        <w:jc w:val="right"/>
        <w:bidi/>
      </w:pPr>
      <w:r>
        <w:rPr>
          <w:rFonts w:ascii="Arial" w:hAnsi="Arial"/>
          <w:sz w:val="16"/>
        </w:rPr>
        <w:t>257.47  برگرفته از نقاط قدرت کن بلانچارد، خود رهبری موقعیتی، توسعه منابع قدرت خود رهبران را قادر می‌سازد تا کمتر به دیگران وابسته باشند، بنابراین به آنها اجازه می‌دهد ابتکار عمل داشته باشند و مشارکت بیشتری در مشاغل خود داشته باشند.</w:t>
      </w:r>
    </w:p>
    <w:p>
      <w:pPr>
        <w:spacing w:after="28" w:line="216" w:lineRule="auto"/>
        <w:ind w:left="259"/>
        <w:jc w:val="left"/>
      </w:pPr>
      <w:r>
        <w:rPr>
          <w:rFonts w:ascii="Arial" w:hAnsi="Arial"/>
          <w:color w:val="525252"/>
          <w:sz w:val="13"/>
        </w:rPr>
        <w:t>Taken from Ken Blanchard’s Points of Power, Situational Self Leadership, developing one’s own sources of power enables leaders to be less dependent on others, thus allowing them to take initiative and make greater contributions in their jobs.</w:t>
      </w:r>
    </w:p>
    <w:p>
      <w:pPr>
        <w:spacing w:after="20" w:line="223" w:lineRule="auto"/>
        <w:jc w:val="right"/>
        <w:bidi/>
      </w:pPr>
      <w:r>
        <w:rPr>
          <w:rFonts w:ascii="Arial" w:hAnsi="Arial"/>
          <w:sz w:val="16"/>
        </w:rPr>
        <w:t>257.48  اگرچه مفهوم قدرت گاهی اوقات تداعی‌هایی مانند اجبار، دستکاری و حتی فساد را به ذهن متبادر می‌کند، اما وقتی افراد مناسب در موقعیت‌های رهبری مناسب قرار می‌گیرند، لزومی ندارد.</w:t>
      </w:r>
    </w:p>
    <w:p>
      <w:pPr>
        <w:spacing w:after="28" w:line="216" w:lineRule="auto"/>
        <w:ind w:left="259"/>
        <w:jc w:val="left"/>
      </w:pPr>
      <w:r>
        <w:rPr>
          <w:rFonts w:ascii="Arial" w:hAnsi="Arial"/>
          <w:color w:val="525252"/>
          <w:sz w:val="13"/>
        </w:rPr>
        <w:t>Although the concept of power sometimes brings to mind such associations as coercion, manipulation, and even corruption, this does not have to be the case when the right people are put in the right leadership positions.</w:t>
      </w:r>
    </w:p>
    <w:p>
      <w:pPr>
        <w:spacing w:after="20" w:line="223" w:lineRule="auto"/>
        <w:jc w:val="right"/>
        <w:bidi/>
      </w:pPr>
      <w:r>
        <w:rPr>
          <w:rFonts w:ascii="Arial" w:hAnsi="Arial"/>
          <w:sz w:val="16"/>
        </w:rPr>
        <w:t>257.49  مفید است که درک کنیم که "تنها مزیت قدرت، توانایی انجام بهتر است." بنابراین، اگر می‌خواهید به جای اتکا به یکی از جنبه‌های قدرت که در آن قوی‌ترین هستید، برای افراد اطرافتان و سازمان خوب‌تر عمل کنید، از فرصت‌ها برای به‌کارگیری جنبه‌های مختلف قدرت در شرایط مختلف که مناسب‌تر است، استفاده کنید.</w:t>
      </w:r>
    </w:p>
    <w:p>
      <w:pPr>
        <w:spacing w:after="28" w:line="216" w:lineRule="auto"/>
        <w:ind w:left="259"/>
        <w:jc w:val="left"/>
      </w:pPr>
      <w:r>
        <w:rPr>
          <w:rFonts w:ascii="Arial" w:hAnsi="Arial"/>
          <w:color w:val="525252"/>
          <w:sz w:val="13"/>
        </w:rPr>
        <w:t>It is helpful to develop an understanding that “the sole advantage of power is the ability to do better.” Thus, if you want to do more good for the people around you and for the organization, rather than rely on one aspect of power where you are strongest, take advantage of opportunities to apply various aspects of power in varying circumstances where most appropriate.</w:t>
      </w:r>
    </w:p>
    <w:p>
      <w:pPr>
        <w:spacing w:after="20" w:line="223" w:lineRule="auto"/>
        <w:jc w:val="right"/>
        <w:bidi/>
      </w:pPr>
      <w:r>
        <w:rPr>
          <w:rFonts w:ascii="Arial" w:hAnsi="Arial"/>
          <w:sz w:val="16"/>
        </w:rPr>
        <w:t>257.50  قدرت موقعیت.</w:t>
      </w:r>
    </w:p>
    <w:p>
      <w:pPr>
        <w:spacing w:after="28" w:line="216" w:lineRule="auto"/>
        <w:ind w:left="259"/>
        <w:jc w:val="left"/>
      </w:pPr>
      <w:r>
        <w:rPr>
          <w:rFonts w:ascii="Arial" w:hAnsi="Arial"/>
          <w:color w:val="525252"/>
          <w:sz w:val="13"/>
        </w:rPr>
        <w:t>Position power.</w:t>
      </w:r>
    </w:p>
    <w:p>
      <w:pPr>
        <w:spacing w:after="20" w:line="223" w:lineRule="auto"/>
        <w:jc w:val="right"/>
        <w:bidi/>
      </w:pPr>
      <w:r>
        <w:rPr>
          <w:rFonts w:ascii="Arial" w:hAnsi="Arial"/>
          <w:sz w:val="16"/>
        </w:rPr>
        <w:t>257.51  قدرت موقعیت در اختیار موقعیتی است که شما دارید.</w:t>
      </w:r>
    </w:p>
    <w:p>
      <w:pPr>
        <w:spacing w:after="28" w:line="216" w:lineRule="auto"/>
        <w:ind w:left="259"/>
        <w:jc w:val="left"/>
      </w:pPr>
      <w:r>
        <w:rPr>
          <w:rFonts w:ascii="Arial" w:hAnsi="Arial"/>
          <w:color w:val="525252"/>
          <w:sz w:val="13"/>
        </w:rPr>
        <w:t>Position power is inherent in the authority of the position you have.</w:t>
      </w:r>
    </w:p>
    <w:p>
      <w:pPr>
        <w:spacing w:after="20" w:line="223" w:lineRule="auto"/>
        <w:jc w:val="right"/>
        <w:bidi/>
      </w:pPr>
      <w:r>
        <w:rPr>
          <w:rFonts w:ascii="Arial" w:hAnsi="Arial"/>
          <w:sz w:val="16"/>
        </w:rPr>
        <w:t>257.52  ممکن است قدرت موقعیت شما در کارت ویزیت شما با عنوان چاپ شده روی آن نشان داده شود که نشان دهنده شماست</w:t>
      </w:r>
    </w:p>
    <w:p>
      <w:pPr>
        <w:spacing w:after="28" w:line="216" w:lineRule="auto"/>
        <w:ind w:left="259"/>
        <w:jc w:val="left"/>
      </w:pPr>
      <w:r>
        <w:rPr>
          <w:rFonts w:ascii="Arial" w:hAnsi="Arial"/>
          <w:color w:val="525252"/>
          <w:sz w:val="13"/>
        </w:rPr>
        <w:t>Your position power may be indicated on your business card with a title printed on it that indicates you</w:t>
      </w:r>
    </w:p>
    <w:p>
      <w:r>
        <w:br w:type="page"/>
      </w:r>
    </w:p>
    <w:p>
      <w:pPr>
        <w:spacing w:after="60"/>
        <w:jc w:val="right"/>
        <w:bidi/>
      </w:pPr>
      <w:r>
        <w:rPr>
          <w:rFonts w:ascii="Arial" w:hAnsi="Arial"/>
          <w:b/>
          <w:color w:val="1F4D78"/>
          <w:sz w:val="19"/>
        </w:rPr>
        <w:t>هفتهٔ 258  |  صفحهٔ منبع: 274</w:t>
      </w:r>
    </w:p>
    <w:p>
      <w:pPr>
        <w:spacing w:after="20" w:line="223" w:lineRule="auto"/>
        <w:jc w:val="right"/>
        <w:bidi/>
      </w:pPr>
      <w:r>
        <w:rPr>
          <w:rFonts w:ascii="Arial" w:hAnsi="Arial"/>
          <w:sz w:val="16"/>
        </w:rPr>
        <w:t>258.01  قدرت مدیریت افراد یا فرماندهی منابع را دارند.</w:t>
      </w:r>
    </w:p>
    <w:p>
      <w:pPr>
        <w:spacing w:after="28" w:line="216" w:lineRule="auto"/>
        <w:ind w:left="259"/>
        <w:jc w:val="left"/>
      </w:pPr>
      <w:r>
        <w:rPr>
          <w:rFonts w:ascii="Arial" w:hAnsi="Arial"/>
          <w:color w:val="525252"/>
          <w:sz w:val="13"/>
        </w:rPr>
        <w:t>have the power to manage people or command resources.</w:t>
      </w:r>
    </w:p>
    <w:p>
      <w:pPr>
        <w:spacing w:after="20" w:line="223" w:lineRule="auto"/>
        <w:jc w:val="right"/>
        <w:bidi/>
      </w:pPr>
      <w:r>
        <w:rPr>
          <w:rFonts w:ascii="Arial" w:hAnsi="Arial"/>
          <w:sz w:val="16"/>
        </w:rPr>
        <w:t>258.02  قدرت وظیفه.</w:t>
      </w:r>
    </w:p>
    <w:p>
      <w:pPr>
        <w:spacing w:after="28" w:line="216" w:lineRule="auto"/>
        <w:ind w:left="259"/>
        <w:jc w:val="left"/>
      </w:pPr>
      <w:r>
        <w:rPr>
          <w:rFonts w:ascii="Arial" w:hAnsi="Arial"/>
          <w:color w:val="525252"/>
          <w:sz w:val="13"/>
        </w:rPr>
        <w:t>Task power.</w:t>
      </w:r>
    </w:p>
    <w:p>
      <w:pPr>
        <w:spacing w:after="20" w:line="223" w:lineRule="auto"/>
        <w:jc w:val="right"/>
        <w:bidi/>
      </w:pPr>
      <w:r>
        <w:rPr>
          <w:rFonts w:ascii="Arial" w:hAnsi="Arial"/>
          <w:sz w:val="16"/>
        </w:rPr>
        <w:t>258.03  قدرت وظیفه، قدرتی است که از خوب بودن در یک کار خاص و توانایی کمک به دیگران در فرآیند یا رویه‌ای که ممکن است مسئول آن باشند ناشی می‌شود.</w:t>
      </w:r>
    </w:p>
    <w:p>
      <w:pPr>
        <w:spacing w:after="28" w:line="216" w:lineRule="auto"/>
        <w:ind w:left="259"/>
        <w:jc w:val="left"/>
      </w:pPr>
      <w:r>
        <w:rPr>
          <w:rFonts w:ascii="Arial" w:hAnsi="Arial"/>
          <w:color w:val="525252"/>
          <w:sz w:val="13"/>
        </w:rPr>
        <w:t>Task power is power that stems from being good at a particular task and being able to help others with a process or procedure they may be responsible for.</w:t>
      </w:r>
    </w:p>
    <w:p>
      <w:pPr>
        <w:spacing w:after="20" w:line="223" w:lineRule="auto"/>
        <w:jc w:val="right"/>
        <w:bidi/>
      </w:pPr>
      <w:r>
        <w:rPr>
          <w:rFonts w:ascii="Arial" w:hAnsi="Arial"/>
          <w:sz w:val="16"/>
        </w:rPr>
        <w:t>258.04  قدرت شخصی.</w:t>
      </w:r>
    </w:p>
    <w:p>
      <w:pPr>
        <w:spacing w:after="28" w:line="216" w:lineRule="auto"/>
        <w:ind w:left="259"/>
        <w:jc w:val="left"/>
      </w:pPr>
      <w:r>
        <w:rPr>
          <w:rFonts w:ascii="Arial" w:hAnsi="Arial"/>
          <w:color w:val="525252"/>
          <w:sz w:val="13"/>
        </w:rPr>
        <w:t>Personal power.</w:t>
      </w:r>
    </w:p>
    <w:p>
      <w:pPr>
        <w:spacing w:after="20" w:line="223" w:lineRule="auto"/>
        <w:jc w:val="right"/>
        <w:bidi/>
      </w:pPr>
      <w:r>
        <w:rPr>
          <w:rFonts w:ascii="Arial" w:hAnsi="Arial"/>
          <w:sz w:val="16"/>
        </w:rPr>
        <w:t>258.05  قدرت شخصی از ویژگی‌های شخصیت شخصی شما ناشی می‌شود، مانند قدرت شخصیت، اشتیاق، الهام‌بخشی، یا دید شخصی از آینده.</w:t>
      </w:r>
    </w:p>
    <w:p>
      <w:pPr>
        <w:spacing w:after="28" w:line="216" w:lineRule="auto"/>
        <w:ind w:left="259"/>
        <w:jc w:val="left"/>
      </w:pPr>
      <w:r>
        <w:rPr>
          <w:rFonts w:ascii="Arial" w:hAnsi="Arial"/>
          <w:color w:val="525252"/>
          <w:sz w:val="13"/>
        </w:rPr>
        <w:t>Personal power comes from your personal character attributes, such as strength of character, passion, inspiration, or a personal vision of the future.</w:t>
      </w:r>
    </w:p>
    <w:p>
      <w:pPr>
        <w:spacing w:after="20" w:line="223" w:lineRule="auto"/>
        <w:jc w:val="right"/>
        <w:bidi/>
      </w:pPr>
      <w:r>
        <w:rPr>
          <w:rFonts w:ascii="Arial" w:hAnsi="Arial"/>
          <w:sz w:val="16"/>
        </w:rPr>
        <w:t>258.06  قدرت شخصی با قدرت مهارت‌های بین فردی شما، مانند توانایی شما در برقراری ارتباط و متقاعد کردن دیگران، بیشتر می‌شود.</w:t>
      </w:r>
    </w:p>
    <w:p>
      <w:pPr>
        <w:spacing w:after="28" w:line="216" w:lineRule="auto"/>
        <w:ind w:left="259"/>
        <w:jc w:val="left"/>
      </w:pPr>
      <w:r>
        <w:rPr>
          <w:rFonts w:ascii="Arial" w:hAnsi="Arial"/>
          <w:color w:val="525252"/>
          <w:sz w:val="13"/>
        </w:rPr>
        <w:t>Personal power is further enhanced by the strength of your interpersonal skills, such as your ability to communicate with and persuade others.</w:t>
      </w:r>
    </w:p>
    <w:p>
      <w:pPr>
        <w:spacing w:after="20" w:line="223" w:lineRule="auto"/>
        <w:jc w:val="right"/>
        <w:bidi/>
      </w:pPr>
      <w:r>
        <w:rPr>
          <w:rFonts w:ascii="Arial" w:hAnsi="Arial"/>
          <w:sz w:val="16"/>
        </w:rPr>
        <w:t>258.07  قدرت رابطه.</w:t>
      </w:r>
    </w:p>
    <w:p>
      <w:pPr>
        <w:spacing w:after="28" w:line="216" w:lineRule="auto"/>
        <w:ind w:left="259"/>
        <w:jc w:val="left"/>
      </w:pPr>
      <w:r>
        <w:rPr>
          <w:rFonts w:ascii="Arial" w:hAnsi="Arial"/>
          <w:color w:val="525252"/>
          <w:sz w:val="13"/>
        </w:rPr>
        <w:t>Relationship power.</w:t>
      </w:r>
    </w:p>
    <w:p>
      <w:pPr>
        <w:spacing w:after="20" w:line="223" w:lineRule="auto"/>
        <w:jc w:val="right"/>
        <w:bidi/>
      </w:pPr>
      <w:r>
        <w:rPr>
          <w:rFonts w:ascii="Arial" w:hAnsi="Arial"/>
          <w:sz w:val="16"/>
        </w:rPr>
        <w:t>258.08  قدرت رابطه از ارتباط با دیگران از طریق دوستی، آشنایی با یک همکار، ایجاد رابطه، رفتار ترجیحی یا رفتار متقابل (منافع تجاری) ناشی می‌شود.</w:t>
      </w:r>
    </w:p>
    <w:p>
      <w:pPr>
        <w:spacing w:after="28" w:line="216" w:lineRule="auto"/>
        <w:ind w:left="259"/>
        <w:jc w:val="left"/>
      </w:pPr>
      <w:r>
        <w:rPr>
          <w:rFonts w:ascii="Arial" w:hAnsi="Arial"/>
          <w:color w:val="525252"/>
          <w:sz w:val="13"/>
        </w:rPr>
        <w:t>Relationship power comes from association with others through friendship, familiarity with a colleague, cultivation of a relationship, preferential treatment, or reciprocity (trading favors).</w:t>
      </w:r>
    </w:p>
    <w:p>
      <w:pPr>
        <w:spacing w:after="20" w:line="223" w:lineRule="auto"/>
        <w:jc w:val="right"/>
        <w:bidi/>
      </w:pPr>
      <w:r>
        <w:rPr>
          <w:rFonts w:ascii="Arial" w:hAnsi="Arial"/>
          <w:sz w:val="16"/>
        </w:rPr>
        <w:t>258.09  با این حال، طرفداری ادراک شده می‌تواند اثرات منفی در سازمان داشته باشد.</w:t>
      </w:r>
    </w:p>
    <w:p>
      <w:pPr>
        <w:spacing w:after="28" w:line="216" w:lineRule="auto"/>
        <w:ind w:left="259"/>
        <w:jc w:val="left"/>
      </w:pPr>
      <w:r>
        <w:rPr>
          <w:rFonts w:ascii="Arial" w:hAnsi="Arial"/>
          <w:color w:val="525252"/>
          <w:sz w:val="13"/>
        </w:rPr>
        <w:t>However, perceived favoritism can have negative effects in the organization.</w:t>
      </w:r>
    </w:p>
    <w:p>
      <w:pPr>
        <w:spacing w:after="20" w:line="223" w:lineRule="auto"/>
        <w:jc w:val="right"/>
        <w:bidi/>
      </w:pPr>
      <w:r>
        <w:rPr>
          <w:rFonts w:ascii="Arial" w:hAnsi="Arial"/>
          <w:sz w:val="16"/>
        </w:rPr>
        <w:t>258.10  قدرت دانش.</w:t>
      </w:r>
    </w:p>
    <w:p>
      <w:pPr>
        <w:spacing w:after="28" w:line="216" w:lineRule="auto"/>
        <w:ind w:left="259"/>
        <w:jc w:val="left"/>
      </w:pPr>
      <w:r>
        <w:rPr>
          <w:rFonts w:ascii="Arial" w:hAnsi="Arial"/>
          <w:color w:val="525252"/>
          <w:sz w:val="13"/>
        </w:rPr>
        <w:t>Knowledge power.</w:t>
      </w:r>
    </w:p>
    <w:p>
      <w:pPr>
        <w:spacing w:after="20" w:line="223" w:lineRule="auto"/>
        <w:jc w:val="right"/>
        <w:bidi/>
      </w:pPr>
      <w:r>
        <w:rPr>
          <w:rFonts w:ascii="Arial" w:hAnsi="Arial"/>
          <w:sz w:val="16"/>
        </w:rPr>
        <w:t>258.11  قدرت دانش در مورد داشتن تخصص در یک زمینه، اغلب از طریق یک مهارت خاص یا گروهی از مهارت‌ها است.</w:t>
      </w:r>
    </w:p>
    <w:p>
      <w:pPr>
        <w:spacing w:after="28" w:line="216" w:lineRule="auto"/>
        <w:ind w:left="259"/>
        <w:jc w:val="left"/>
      </w:pPr>
      <w:r>
        <w:rPr>
          <w:rFonts w:ascii="Arial" w:hAnsi="Arial"/>
          <w:color w:val="525252"/>
          <w:sz w:val="13"/>
        </w:rPr>
        <w:t>Knowledge power is about having expertise in an area, often through a special skill or group of skills.</w:t>
      </w:r>
    </w:p>
    <w:p>
      <w:pPr>
        <w:spacing w:after="20" w:line="223" w:lineRule="auto"/>
        <w:jc w:val="right"/>
        <w:bidi/>
      </w:pPr>
      <w:r>
        <w:rPr>
          <w:rFonts w:ascii="Arial" w:hAnsi="Arial"/>
          <w:sz w:val="16"/>
        </w:rPr>
        <w:t>258.12  اغلب با داشتن مدارک یا گواهینامه‌های خاصی که نشان دهنده آموزش ویژه است، اثبات می‌شود.</w:t>
      </w:r>
    </w:p>
    <w:p>
      <w:pPr>
        <w:spacing w:after="28" w:line="216" w:lineRule="auto"/>
        <w:ind w:left="259"/>
        <w:jc w:val="left"/>
      </w:pPr>
      <w:r>
        <w:rPr>
          <w:rFonts w:ascii="Arial" w:hAnsi="Arial"/>
          <w:color w:val="525252"/>
          <w:sz w:val="13"/>
        </w:rPr>
        <w:t>It is often evidenced by having certain degrees or certifications indicating special training.</w:t>
      </w:r>
    </w:p>
    <w:p>
      <w:pPr>
        <w:spacing w:after="20" w:line="223" w:lineRule="auto"/>
        <w:jc w:val="right"/>
        <w:bidi/>
      </w:pPr>
      <w:r>
        <w:rPr>
          <w:rFonts w:ascii="Arial" w:hAnsi="Arial"/>
          <w:sz w:val="16"/>
        </w:rPr>
        <w:t>258.13  قدرت دانش به‌طور کلی می‌تواند در مشاغل یا سازمان‌ها منتقل شود.</w:t>
      </w:r>
    </w:p>
    <w:p>
      <w:pPr>
        <w:spacing w:after="28" w:line="216" w:lineRule="auto"/>
        <w:ind w:left="259"/>
        <w:jc w:val="left"/>
      </w:pPr>
      <w:r>
        <w:rPr>
          <w:rFonts w:ascii="Arial" w:hAnsi="Arial"/>
          <w:color w:val="525252"/>
          <w:sz w:val="13"/>
        </w:rPr>
        <w:t>Knowledge power can generally be transferred within jobs or organizations.</w:t>
      </w:r>
    </w:p>
    <w:p>
      <w:pPr>
        <w:spacing w:before="60" w:after="28"/>
        <w:jc w:val="right"/>
        <w:bidi/>
      </w:pPr>
      <w:r>
        <w:rPr>
          <w:b/>
          <w:color w:val="1F4D78"/>
          <w:sz w:val="18"/>
        </w:rPr>
        <w:t>14.24. توسعه رهبری طیف کامل</w:t>
      </w:r>
    </w:p>
    <w:p>
      <w:pPr>
        <w:spacing w:after="20"/>
        <w:ind w:left="259"/>
        <w:jc w:val="left"/>
      </w:pPr>
      <w:r>
        <w:rPr>
          <w:color w:val="555555"/>
          <w:sz w:val="12"/>
        </w:rPr>
        <w:t>14.24. Full Range Leadership Development</w:t>
      </w:r>
    </w:p>
    <w:p>
      <w:pPr>
        <w:spacing w:after="20" w:line="223" w:lineRule="auto"/>
        <w:jc w:val="right"/>
        <w:bidi/>
      </w:pPr>
      <w:r>
        <w:rPr>
          <w:rFonts w:ascii="Arial" w:hAnsi="Arial"/>
          <w:sz w:val="16"/>
        </w:rPr>
        <w:t>258.15  طیف کاملی از رفتارهای رهبری در دنیای پیچیده امروز ضروری است.</w:t>
      </w:r>
    </w:p>
    <w:p>
      <w:pPr>
        <w:spacing w:after="28" w:line="216" w:lineRule="auto"/>
        <w:ind w:left="259"/>
        <w:jc w:val="left"/>
      </w:pPr>
      <w:r>
        <w:rPr>
          <w:rFonts w:ascii="Arial" w:hAnsi="Arial"/>
          <w:color w:val="525252"/>
          <w:sz w:val="13"/>
        </w:rPr>
        <w:t>A full range of leadership behaviors is essential in today’s complex world.</w:t>
      </w:r>
    </w:p>
    <w:p>
      <w:pPr>
        <w:spacing w:after="20" w:line="223" w:lineRule="auto"/>
        <w:jc w:val="right"/>
        <w:bidi/>
      </w:pPr>
      <w:r>
        <w:rPr>
          <w:rFonts w:ascii="Arial" w:hAnsi="Arial"/>
          <w:sz w:val="16"/>
        </w:rPr>
        <w:t>258.16  USAF امروزی به هوانوردان بسیار مؤثر با انعطاف پذیری و قابلیت عملیات در طیفی از سبک‌های رهبری وابسته است.</w:t>
      </w:r>
    </w:p>
    <w:p>
      <w:pPr>
        <w:spacing w:after="28" w:line="216" w:lineRule="auto"/>
        <w:ind w:left="259"/>
        <w:jc w:val="left"/>
      </w:pPr>
      <w:r>
        <w:rPr>
          <w:rFonts w:ascii="Arial" w:hAnsi="Arial"/>
          <w:color w:val="525252"/>
          <w:sz w:val="13"/>
        </w:rPr>
        <w:t>Today’s USAF depends on highly effective Airmen with the flexibility and capability to operate throughout a spectrum of leadership styles.</w:t>
      </w:r>
    </w:p>
    <w:p>
      <w:pPr>
        <w:spacing w:after="20" w:line="223" w:lineRule="auto"/>
        <w:jc w:val="right"/>
        <w:bidi/>
      </w:pPr>
      <w:r>
        <w:rPr>
          <w:rFonts w:ascii="Arial" w:hAnsi="Arial"/>
          <w:sz w:val="16"/>
        </w:rPr>
        <w:t>258.17  توسعه رهبری طیف کامل (FRLD) مستلزم آن است که رهبری به‌عنوان یک سیستم متشکل از سه عنصر اصلی دیده شود: رهبر، پیرو و موقعیت.</w:t>
      </w:r>
    </w:p>
    <w:p>
      <w:pPr>
        <w:spacing w:after="28" w:line="216" w:lineRule="auto"/>
        <w:ind w:left="259"/>
        <w:jc w:val="left"/>
      </w:pPr>
      <w:r>
        <w:rPr>
          <w:rFonts w:ascii="Arial" w:hAnsi="Arial"/>
          <w:color w:val="525252"/>
          <w:sz w:val="13"/>
        </w:rPr>
        <w:t>Full Range Leadership Development (FRLD) requires leadership to be viewed as a system made up of three core elements: the leader, the follower, and the situation.</w:t>
      </w:r>
    </w:p>
    <w:p>
      <w:pPr>
        <w:spacing w:after="20" w:line="223" w:lineRule="auto"/>
        <w:jc w:val="right"/>
        <w:bidi/>
      </w:pPr>
      <w:r>
        <w:rPr>
          <w:rFonts w:ascii="Arial" w:hAnsi="Arial"/>
          <w:sz w:val="16"/>
        </w:rPr>
        <w:t>258.18  موفقیت FRLD نه تنها به اقدامات رهبر متکی است، بلکه به درک دقیق پیروان و موقعیت نیز متکی است و رهبران امروزی را ملزم می‌کند که مایل به مشارکت در چندین راه باشند.</w:t>
      </w:r>
    </w:p>
    <w:p>
      <w:pPr>
        <w:spacing w:after="28" w:line="216" w:lineRule="auto"/>
        <w:ind w:left="259"/>
        <w:jc w:val="left"/>
      </w:pPr>
      <w:r>
        <w:rPr>
          <w:rFonts w:ascii="Arial" w:hAnsi="Arial"/>
          <w:color w:val="525252"/>
          <w:sz w:val="13"/>
        </w:rPr>
        <w:t>Success of FRLD relies not only on the leader’s actions, but also an accurate understanding of the follower and the situation and requires today’s leaders to be willing to engage in several ways.</w:t>
      </w:r>
    </w:p>
    <w:p>
      <w:pPr>
        <w:spacing w:after="20" w:line="223" w:lineRule="auto"/>
        <w:jc w:val="right"/>
        <w:bidi/>
      </w:pPr>
      <w:r>
        <w:rPr>
          <w:rFonts w:ascii="Arial" w:hAnsi="Arial"/>
          <w:sz w:val="16"/>
        </w:rPr>
        <w:t>258.19  روابط خود را با رهبری، همسالان و زیردستان توسعه دهید.</w:t>
      </w:r>
    </w:p>
    <w:p>
      <w:pPr>
        <w:spacing w:after="28" w:line="216" w:lineRule="auto"/>
        <w:ind w:left="259"/>
        <w:jc w:val="left"/>
      </w:pPr>
      <w:r>
        <w:rPr>
          <w:rFonts w:ascii="Arial" w:hAnsi="Arial"/>
          <w:color w:val="525252"/>
          <w:sz w:val="13"/>
        </w:rPr>
        <w:t>Develop relationships with leadership, peers, and subordinates.</w:t>
      </w:r>
    </w:p>
    <w:p>
      <w:pPr>
        <w:spacing w:after="20" w:line="223" w:lineRule="auto"/>
        <w:jc w:val="right"/>
        <w:bidi/>
      </w:pPr>
      <w:r>
        <w:rPr>
          <w:rFonts w:ascii="Arial" w:hAnsi="Arial"/>
          <w:sz w:val="16"/>
        </w:rPr>
        <w:t>258.20  از فرصت‌ها به محض در دسترس شدن استفاده کنید.</w:t>
      </w:r>
    </w:p>
    <w:p>
      <w:pPr>
        <w:spacing w:after="28" w:line="216" w:lineRule="auto"/>
        <w:ind w:left="259"/>
        <w:jc w:val="left"/>
      </w:pPr>
      <w:r>
        <w:rPr>
          <w:rFonts w:ascii="Arial" w:hAnsi="Arial"/>
          <w:color w:val="525252"/>
          <w:sz w:val="13"/>
        </w:rPr>
        <w:t>Take advantage of opportunities as they become available.</w:t>
      </w:r>
    </w:p>
    <w:p>
      <w:pPr>
        <w:spacing w:after="20" w:line="223" w:lineRule="auto"/>
        <w:jc w:val="right"/>
        <w:bidi/>
      </w:pPr>
      <w:r>
        <w:rPr>
          <w:rFonts w:ascii="Arial" w:hAnsi="Arial"/>
          <w:sz w:val="16"/>
        </w:rPr>
        <w:t>258.21  از منابع موجود استفاده بهینه کنید.</w:t>
      </w:r>
    </w:p>
    <w:p>
      <w:pPr>
        <w:spacing w:after="28" w:line="216" w:lineRule="auto"/>
        <w:ind w:left="259"/>
        <w:jc w:val="left"/>
      </w:pPr>
      <w:r>
        <w:rPr>
          <w:rFonts w:ascii="Arial" w:hAnsi="Arial"/>
          <w:color w:val="525252"/>
          <w:sz w:val="13"/>
        </w:rPr>
        <w:t>Efficiently use available resources.</w:t>
      </w:r>
    </w:p>
    <w:p>
      <w:pPr>
        <w:spacing w:after="20" w:line="223" w:lineRule="auto"/>
        <w:jc w:val="right"/>
        <w:bidi/>
      </w:pPr>
      <w:r>
        <w:rPr>
          <w:rFonts w:ascii="Arial" w:hAnsi="Arial"/>
          <w:sz w:val="16"/>
        </w:rPr>
        <w:t>258.22  موقعیت‌ها و عملکرد فالوورها را به درستی ارزیابی کنید.</w:t>
      </w:r>
    </w:p>
    <w:p>
      <w:pPr>
        <w:spacing w:after="28" w:line="216" w:lineRule="auto"/>
        <w:ind w:left="259"/>
        <w:jc w:val="left"/>
      </w:pPr>
      <w:r>
        <w:rPr>
          <w:rFonts w:ascii="Arial" w:hAnsi="Arial"/>
          <w:color w:val="525252"/>
          <w:sz w:val="13"/>
        </w:rPr>
        <w:t>Properly evaluate situations and the performance of followers.</w:t>
      </w:r>
    </w:p>
    <w:p>
      <w:pPr>
        <w:spacing w:after="20" w:line="223" w:lineRule="auto"/>
        <w:jc w:val="right"/>
        <w:bidi/>
      </w:pPr>
      <w:r>
        <w:rPr>
          <w:rFonts w:ascii="Arial" w:hAnsi="Arial"/>
          <w:sz w:val="16"/>
        </w:rPr>
        <w:t>258.23  به‌طور مناسب پاداش دهید (و بر اساس آن نظم و انضباط دهید).</w:t>
      </w:r>
    </w:p>
    <w:p>
      <w:pPr>
        <w:spacing w:after="28" w:line="216" w:lineRule="auto"/>
        <w:ind w:left="259"/>
        <w:jc w:val="left"/>
      </w:pPr>
      <w:r>
        <w:rPr>
          <w:rFonts w:ascii="Arial" w:hAnsi="Arial"/>
          <w:color w:val="525252"/>
          <w:sz w:val="13"/>
        </w:rPr>
        <w:t>Reward appropriately (and discipline accordingly).</w:t>
      </w:r>
    </w:p>
    <w:p>
      <w:pPr>
        <w:spacing w:after="20" w:line="223" w:lineRule="auto"/>
        <w:jc w:val="right"/>
        <w:bidi/>
      </w:pPr>
      <w:r>
        <w:rPr>
          <w:rFonts w:ascii="Arial" w:hAnsi="Arial"/>
          <w:sz w:val="16"/>
        </w:rPr>
        <w:t>258.24  زمینه‌های بهبود را در خود، پیروان و محل کار شناسایی کنید.</w:t>
      </w:r>
    </w:p>
    <w:p>
      <w:pPr>
        <w:spacing w:after="28" w:line="216" w:lineRule="auto"/>
        <w:ind w:left="259"/>
        <w:jc w:val="left"/>
      </w:pPr>
      <w:r>
        <w:rPr>
          <w:rFonts w:ascii="Arial" w:hAnsi="Arial"/>
          <w:color w:val="525252"/>
          <w:sz w:val="13"/>
        </w:rPr>
        <w:t>Identify improvement areas in oneself, followers, and the workplace.</w:t>
      </w:r>
    </w:p>
    <w:p>
      <w:pPr>
        <w:spacing w:before="60" w:after="28"/>
        <w:jc w:val="right"/>
        <w:bidi/>
      </w:pPr>
      <w:r>
        <w:rPr>
          <w:b/>
          <w:color w:val="1F4D78"/>
          <w:sz w:val="18"/>
        </w:rPr>
        <w:t>14.25. مدل توسعه رهبری طیف کامل</w:t>
      </w:r>
    </w:p>
    <w:p>
      <w:pPr>
        <w:spacing w:after="20"/>
        <w:ind w:left="259"/>
        <w:jc w:val="left"/>
      </w:pPr>
      <w:r>
        <w:rPr>
          <w:color w:val="555555"/>
          <w:sz w:val="12"/>
        </w:rPr>
        <w:t>14.25. Full Range Leadership Development Model</w:t>
      </w:r>
    </w:p>
    <w:p>
      <w:pPr>
        <w:spacing w:after="20" w:line="223" w:lineRule="auto"/>
        <w:jc w:val="right"/>
        <w:bidi/>
      </w:pPr>
      <w:r>
        <w:rPr>
          <w:rFonts w:ascii="Arial" w:hAnsi="Arial"/>
          <w:sz w:val="16"/>
        </w:rPr>
        <w:t>258.26  مدل FRLD شامل رفتارهای رهبری است که از رفتار غیر فعال منفعل تا رفتار رهبری تحول آفرین فعال را شامل می‌شود.</w:t>
      </w:r>
    </w:p>
    <w:p>
      <w:pPr>
        <w:spacing w:after="28" w:line="216" w:lineRule="auto"/>
        <w:ind w:left="259"/>
        <w:jc w:val="left"/>
      </w:pPr>
      <w:r>
        <w:rPr>
          <w:rFonts w:ascii="Arial" w:hAnsi="Arial"/>
          <w:color w:val="525252"/>
          <w:sz w:val="13"/>
        </w:rPr>
        <w:t>The FRLD model includes leadership behaviors ranging from the passive laissez- faire behavior, to active transformational leadership behavior.</w:t>
      </w:r>
    </w:p>
    <w:p>
      <w:pPr>
        <w:spacing w:after="20" w:line="223" w:lineRule="auto"/>
        <w:jc w:val="right"/>
        <w:bidi/>
      </w:pPr>
      <w:r>
        <w:rPr>
          <w:rFonts w:ascii="Arial" w:hAnsi="Arial"/>
          <w:sz w:val="16"/>
        </w:rPr>
        <w:t>258.27  توسعه رفتارهای رهبری با درک هر یک از آنها و دانستن اینکه چه زمانی یا چه زمانی آنها را اعمال نکنیم آغاز می‌شود.</w:t>
      </w:r>
    </w:p>
    <w:p>
      <w:pPr>
        <w:spacing w:after="28" w:line="216" w:lineRule="auto"/>
        <w:ind w:left="259"/>
        <w:jc w:val="left"/>
      </w:pPr>
      <w:r>
        <w:rPr>
          <w:rFonts w:ascii="Arial" w:hAnsi="Arial"/>
          <w:color w:val="525252"/>
          <w:sz w:val="13"/>
        </w:rPr>
        <w:t>Developing leadership behaviors begins by understanding each of them and knowing when or when not to apply them.</w:t>
      </w:r>
    </w:p>
    <w:p>
      <w:pPr>
        <w:spacing w:after="20" w:line="223" w:lineRule="auto"/>
        <w:jc w:val="right"/>
        <w:bidi/>
      </w:pPr>
      <w:r>
        <w:rPr>
          <w:rFonts w:ascii="Arial" w:hAnsi="Arial"/>
          <w:sz w:val="16"/>
        </w:rPr>
        <w:t>258.28  علاوه بر این، داشتن انعطاف‌پذیری و توانایی برای اجرای موفقیت‌آمیز سبک رهبری مناسب برای رهبری دیگران بسیار مهم است.</w:t>
      </w:r>
    </w:p>
    <w:p>
      <w:pPr>
        <w:spacing w:after="28" w:line="216" w:lineRule="auto"/>
        <w:ind w:left="259"/>
        <w:jc w:val="left"/>
      </w:pPr>
      <w:r>
        <w:rPr>
          <w:rFonts w:ascii="Arial" w:hAnsi="Arial"/>
          <w:color w:val="525252"/>
          <w:sz w:val="13"/>
        </w:rPr>
        <w:t>In addition, possessing the flexibility and capability to implement the appropriate leadership style successfully is critical to leading others.</w:t>
      </w:r>
    </w:p>
    <w:p>
      <w:pPr>
        <w:spacing w:after="20" w:line="223" w:lineRule="auto"/>
        <w:jc w:val="right"/>
        <w:bidi/>
      </w:pPr>
      <w:r>
        <w:rPr>
          <w:rFonts w:ascii="Arial" w:hAnsi="Arial"/>
          <w:sz w:val="16"/>
        </w:rPr>
        <w:t>258.29  لایسسز-فایر.</w:t>
      </w:r>
    </w:p>
    <w:p>
      <w:pPr>
        <w:spacing w:after="28" w:line="216" w:lineRule="auto"/>
        <w:ind w:left="259"/>
        <w:jc w:val="left"/>
      </w:pPr>
      <w:r>
        <w:rPr>
          <w:rFonts w:ascii="Arial" w:hAnsi="Arial"/>
          <w:color w:val="525252"/>
          <w:sz w:val="13"/>
        </w:rPr>
        <w:t>Laissez-Faire.</w:t>
      </w:r>
    </w:p>
    <w:p>
      <w:pPr>
        <w:spacing w:after="20" w:line="223" w:lineRule="auto"/>
        <w:jc w:val="right"/>
        <w:bidi/>
      </w:pPr>
      <w:r>
        <w:rPr>
          <w:rFonts w:ascii="Arial" w:hAnsi="Arial"/>
          <w:sz w:val="16"/>
        </w:rPr>
        <w:t>258.30  رهبران لایسسز-فایر توسعه و نیازهای زیردستان خود را دغدغه دیگران می‌دانند.</w:t>
      </w:r>
    </w:p>
    <w:p>
      <w:pPr>
        <w:spacing w:after="28" w:line="216" w:lineRule="auto"/>
        <w:ind w:left="259"/>
        <w:jc w:val="left"/>
      </w:pPr>
      <w:r>
        <w:rPr>
          <w:rFonts w:ascii="Arial" w:hAnsi="Arial"/>
          <w:color w:val="525252"/>
          <w:sz w:val="13"/>
        </w:rPr>
        <w:t>Laissez-faire leaders view the development and needs of their subordinates as someone else’s concern.</w:t>
      </w:r>
    </w:p>
    <w:p>
      <w:pPr>
        <w:spacing w:after="20" w:line="223" w:lineRule="auto"/>
        <w:jc w:val="right"/>
        <w:bidi/>
      </w:pPr>
      <w:r>
        <w:rPr>
          <w:rFonts w:ascii="Arial" w:hAnsi="Arial"/>
          <w:sz w:val="16"/>
        </w:rPr>
        <w:t>258.31  تمایل دارند مسئولیت‌های خود را کنار بگذارند و نسبت به مسائل مهم بی تفاوت بمانند.</w:t>
      </w:r>
    </w:p>
    <w:p>
      <w:pPr>
        <w:spacing w:after="28" w:line="216" w:lineRule="auto"/>
        <w:ind w:left="259"/>
        <w:jc w:val="left"/>
      </w:pPr>
      <w:r>
        <w:rPr>
          <w:rFonts w:ascii="Arial" w:hAnsi="Arial"/>
          <w:color w:val="525252"/>
          <w:sz w:val="13"/>
        </w:rPr>
        <w:t>They tend to abandon their responsibilities and remain indifferent toward important issues.</w:t>
      </w:r>
    </w:p>
    <w:p>
      <w:pPr>
        <w:spacing w:after="20" w:line="223" w:lineRule="auto"/>
        <w:jc w:val="right"/>
        <w:bidi/>
      </w:pPr>
      <w:r>
        <w:rPr>
          <w:rFonts w:ascii="Arial" w:hAnsi="Arial"/>
          <w:sz w:val="16"/>
        </w:rPr>
        <w:t>258.32  آنها در تصمیم‌گیری مردد هستند و ممکن است در محل کار خود غیبت کنند که این امر بر روابط با همسالان و زیردستان تأثیر منفی می‌گذارد.</w:t>
      </w:r>
    </w:p>
    <w:p>
      <w:pPr>
        <w:spacing w:after="28" w:line="216" w:lineRule="auto"/>
        <w:ind w:left="259"/>
        <w:jc w:val="left"/>
      </w:pPr>
      <w:r>
        <w:rPr>
          <w:rFonts w:ascii="Arial" w:hAnsi="Arial"/>
          <w:color w:val="525252"/>
          <w:sz w:val="13"/>
        </w:rPr>
        <w:t>They are hesitant to make decisions and may be absent from their place of work, which negatively affects relationships with peers and subordinates.</w:t>
      </w:r>
    </w:p>
    <w:p>
      <w:pPr>
        <w:spacing w:after="20" w:line="223" w:lineRule="auto"/>
        <w:jc w:val="right"/>
        <w:bidi/>
      </w:pPr>
      <w:r>
        <w:rPr>
          <w:rFonts w:ascii="Arial" w:hAnsi="Arial"/>
          <w:sz w:val="16"/>
        </w:rPr>
        <w:t>258.33  مدیریت توسط کسکپتیون-پاسسیو.</w:t>
      </w:r>
    </w:p>
    <w:p>
      <w:pPr>
        <w:spacing w:after="28" w:line="216" w:lineRule="auto"/>
        <w:ind w:left="259"/>
        <w:jc w:val="left"/>
      </w:pPr>
      <w:r>
        <w:rPr>
          <w:rFonts w:ascii="Arial" w:hAnsi="Arial"/>
          <w:color w:val="525252"/>
          <w:sz w:val="13"/>
        </w:rPr>
        <w:t>Management by Exception-Passive.</w:t>
      </w:r>
    </w:p>
    <w:p>
      <w:pPr>
        <w:spacing w:after="20" w:line="223" w:lineRule="auto"/>
        <w:jc w:val="right"/>
        <w:bidi/>
      </w:pPr>
      <w:r>
        <w:rPr>
          <w:rFonts w:ascii="Arial" w:hAnsi="Arial"/>
          <w:sz w:val="16"/>
        </w:rPr>
        <w:t>258.34  مدیریت استثنایی-منفعل یک سبک رهبری "اگر خراب نیست، آن را اصلاح نکنید" است.</w:t>
      </w:r>
    </w:p>
    <w:p>
      <w:pPr>
        <w:spacing w:after="28" w:line="216" w:lineRule="auto"/>
        <w:ind w:left="259"/>
        <w:jc w:val="left"/>
      </w:pPr>
      <w:r>
        <w:rPr>
          <w:rFonts w:ascii="Arial" w:hAnsi="Arial"/>
          <w:color w:val="525252"/>
          <w:sz w:val="13"/>
        </w:rPr>
        <w:t>Management by exception-passive is an “if it’s not broke, don’t fix it” leadership style.</w:t>
      </w:r>
    </w:p>
    <w:p>
      <w:pPr>
        <w:spacing w:after="20" w:line="223" w:lineRule="auto"/>
        <w:jc w:val="right"/>
        <w:bidi/>
      </w:pPr>
      <w:r>
        <w:rPr>
          <w:rFonts w:ascii="Arial" w:hAnsi="Arial"/>
          <w:sz w:val="16"/>
        </w:rPr>
        <w:t>258.35  در اینجا، رهبران تصمیم می‌گیرند قبل از اقدام، عقب بنشینند، مشاهده کنند و منتظر بمانند تا همه چیز اشتباه پیش برود.</w:t>
      </w:r>
    </w:p>
    <w:p>
      <w:pPr>
        <w:spacing w:after="28" w:line="216" w:lineRule="auto"/>
        <w:ind w:left="259"/>
        <w:jc w:val="left"/>
      </w:pPr>
      <w:r>
        <w:rPr>
          <w:rFonts w:ascii="Arial" w:hAnsi="Arial"/>
          <w:color w:val="525252"/>
          <w:sz w:val="13"/>
        </w:rPr>
        <w:t>Here, leaders elect to sit back, observe, and wait for things to go wrong before taking action.</w:t>
      </w:r>
    </w:p>
    <w:p>
      <w:pPr>
        <w:spacing w:after="20" w:line="223" w:lineRule="auto"/>
        <w:jc w:val="right"/>
        <w:bidi/>
      </w:pPr>
      <w:r>
        <w:rPr>
          <w:rFonts w:ascii="Arial" w:hAnsi="Arial"/>
          <w:sz w:val="16"/>
        </w:rPr>
        <w:t>258.36  آنها فقط زمانی مداخله می‌کنند که خط‌مشی‌ها یا قوانین شکسته شوند یا اهداف برآورده نشده باشند.</w:t>
      </w:r>
    </w:p>
    <w:p>
      <w:pPr>
        <w:spacing w:after="28" w:line="216" w:lineRule="auto"/>
        <w:ind w:left="259"/>
        <w:jc w:val="left"/>
      </w:pPr>
      <w:r>
        <w:rPr>
          <w:rFonts w:ascii="Arial" w:hAnsi="Arial"/>
          <w:color w:val="525252"/>
          <w:sz w:val="13"/>
        </w:rPr>
        <w:t>They intervene only when policies or rules are broken, or goals are not met.</w:t>
      </w:r>
    </w:p>
    <w:p>
      <w:pPr>
        <w:spacing w:after="20" w:line="223" w:lineRule="auto"/>
        <w:jc w:val="right"/>
        <w:bidi/>
      </w:pPr>
      <w:r>
        <w:rPr>
          <w:rFonts w:ascii="Arial" w:hAnsi="Arial"/>
          <w:sz w:val="16"/>
        </w:rPr>
        <w:t>258.37  مدیریت استثنایی-غیرفعال کمی مؤثرتر از آزادسازی است، اما فقط به این دلیل که زیردستان می‌دانند که در صورت عدم رعایت استانداردها، رهبری آنها را مسئول خواهد کرد.</w:t>
      </w:r>
    </w:p>
    <w:p>
      <w:pPr>
        <w:spacing w:after="28" w:line="216" w:lineRule="auto"/>
        <w:ind w:left="259"/>
        <w:jc w:val="left"/>
      </w:pPr>
      <w:r>
        <w:rPr>
          <w:rFonts w:ascii="Arial" w:hAnsi="Arial"/>
          <w:color w:val="525252"/>
          <w:sz w:val="13"/>
        </w:rPr>
        <w:t>Management by exception-passive is a little more effective than laissez-faire, but only because subordinates know that leadership will hold them accountable if they fail to meet standards</w:t>
      </w:r>
    </w:p>
    <w:p>
      <w:r>
        <w:br w:type="page"/>
      </w:r>
    </w:p>
    <w:p>
      <w:pPr>
        <w:spacing w:after="60"/>
        <w:jc w:val="right"/>
        <w:bidi/>
      </w:pPr>
      <w:r>
        <w:rPr>
          <w:rFonts w:ascii="Arial" w:hAnsi="Arial"/>
          <w:b/>
          <w:color w:val="1F4D78"/>
          <w:sz w:val="19"/>
        </w:rPr>
        <w:t>هفتهٔ 259  |  صفحهٔ منبع: 275</w:t>
      </w:r>
    </w:p>
    <w:p>
      <w:pPr>
        <w:spacing w:after="20" w:line="223" w:lineRule="auto"/>
        <w:jc w:val="right"/>
        <w:bidi/>
      </w:pPr>
      <w:r>
        <w:rPr>
          <w:rFonts w:ascii="Arial" w:hAnsi="Arial"/>
          <w:sz w:val="16"/>
        </w:rPr>
        <w:t>259.01  عملکرد یا مطابقت با خط‌مشی‌ها و رویه‌ها.</w:t>
      </w:r>
    </w:p>
    <w:p>
      <w:pPr>
        <w:spacing w:after="28" w:line="216" w:lineRule="auto"/>
        <w:ind w:left="259"/>
        <w:jc w:val="left"/>
      </w:pPr>
      <w:r>
        <w:rPr>
          <w:rFonts w:ascii="Arial" w:hAnsi="Arial"/>
          <w:color w:val="525252"/>
          <w:sz w:val="13"/>
        </w:rPr>
        <w:t>of performance or comply with policies and procedures.</w:t>
      </w:r>
    </w:p>
    <w:p>
      <w:pPr>
        <w:spacing w:after="20" w:line="223" w:lineRule="auto"/>
        <w:jc w:val="right"/>
        <w:bidi/>
      </w:pPr>
      <w:r>
        <w:rPr>
          <w:rFonts w:ascii="Arial" w:hAnsi="Arial"/>
          <w:sz w:val="16"/>
        </w:rPr>
        <w:t>259.02  مدیریت توسط کسکپتیون-اکتیو.</w:t>
      </w:r>
    </w:p>
    <w:p>
      <w:pPr>
        <w:spacing w:after="28" w:line="216" w:lineRule="auto"/>
        <w:ind w:left="259"/>
        <w:jc w:val="left"/>
      </w:pPr>
      <w:r>
        <w:rPr>
          <w:rFonts w:ascii="Arial" w:hAnsi="Arial"/>
          <w:color w:val="525252"/>
          <w:sz w:val="13"/>
        </w:rPr>
        <w:t>Management by Exception-Active.</w:t>
      </w:r>
    </w:p>
    <w:p>
      <w:pPr>
        <w:spacing w:after="20" w:line="223" w:lineRule="auto"/>
        <w:jc w:val="right"/>
        <w:bidi/>
      </w:pPr>
      <w:r>
        <w:rPr>
          <w:rFonts w:ascii="Arial" w:hAnsi="Arial"/>
          <w:sz w:val="16"/>
        </w:rPr>
        <w:t>259.03  مدیریت استثنایی-فعال یک سبک رهبری است که هدف آن کنترل پرسنل و فرآیندها از طریق نظارت و اداره زیردستان از طریق رعایت اجباری قوانین، مقررات و انتظارات برای برآورده کردن استانداردهای عملکرد است.</w:t>
      </w:r>
    </w:p>
    <w:p>
      <w:pPr>
        <w:spacing w:after="28" w:line="216" w:lineRule="auto"/>
        <w:ind w:left="259"/>
        <w:jc w:val="left"/>
      </w:pPr>
      <w:r>
        <w:rPr>
          <w:rFonts w:ascii="Arial" w:hAnsi="Arial"/>
          <w:color w:val="525252"/>
          <w:sz w:val="13"/>
        </w:rPr>
        <w:t>Management by exception-active is a leadership style that aims to keep personnel and processes in control by monitoring and governing subordinates through forced compliance with rules, regulations, and expectations for meeting performance standards.</w:t>
      </w:r>
    </w:p>
    <w:p>
      <w:pPr>
        <w:spacing w:after="20" w:line="223" w:lineRule="auto"/>
        <w:jc w:val="right"/>
        <w:bidi/>
      </w:pPr>
      <w:r>
        <w:rPr>
          <w:rFonts w:ascii="Arial" w:hAnsi="Arial"/>
          <w:sz w:val="16"/>
        </w:rPr>
        <w:t>259.04  مدیریت توسط استثنا-فعال در یک سیستم ساختاریافته با دستورالعمل‌های دقیق، مشاهده دقیق و نظارت بسیار فعال وجود دارد.</w:t>
      </w:r>
    </w:p>
    <w:p>
      <w:pPr>
        <w:spacing w:after="28" w:line="216" w:lineRule="auto"/>
        <w:ind w:left="259"/>
        <w:jc w:val="left"/>
      </w:pPr>
      <w:r>
        <w:rPr>
          <w:rFonts w:ascii="Arial" w:hAnsi="Arial"/>
          <w:color w:val="525252"/>
          <w:sz w:val="13"/>
        </w:rPr>
        <w:t>Management by exception-active exists in a structured system with detailed instructions, careful observation, and very active supervision.</w:t>
      </w:r>
    </w:p>
    <w:p>
      <w:pPr>
        <w:spacing w:after="20" w:line="223" w:lineRule="auto"/>
        <w:jc w:val="right"/>
        <w:bidi/>
      </w:pPr>
      <w:r>
        <w:rPr>
          <w:rFonts w:ascii="Arial" w:hAnsi="Arial"/>
          <w:sz w:val="16"/>
        </w:rPr>
        <w:t>259.05  علاوه بر این، این رفتار رهبری، عدم اطمینان سازمانی را کاهش می‌دهد، از خطرات غیرضروری اجتناب می‌کند و تضمین می‌کند که اهداف مهم محقق می‌شوند.</w:t>
      </w:r>
    </w:p>
    <w:p>
      <w:pPr>
        <w:spacing w:after="28" w:line="216" w:lineRule="auto"/>
        <w:ind w:left="259"/>
        <w:jc w:val="left"/>
      </w:pPr>
      <w:r>
        <w:rPr>
          <w:rFonts w:ascii="Arial" w:hAnsi="Arial"/>
          <w:color w:val="525252"/>
          <w:sz w:val="13"/>
        </w:rPr>
        <w:t>Furthermore, this leadership behavior reduces organizational uncertainties, avoids unnecessary risks, and ensures important goals are being achieved.</w:t>
      </w:r>
    </w:p>
    <w:p>
      <w:pPr>
        <w:spacing w:after="20" w:line="223" w:lineRule="auto"/>
        <w:jc w:val="right"/>
        <w:bidi/>
      </w:pPr>
      <w:r>
        <w:rPr>
          <w:rFonts w:ascii="Arial" w:hAnsi="Arial"/>
          <w:sz w:val="16"/>
        </w:rPr>
        <w:t>259.06  این رفتار رهبری مبادله‌ای وسوسه کارکنان را برای اجتناب از وظایف خود یا رفتار غیراخلاقی کاهش می‌دهد و به اعضا در دستیابی به اهداف عملکرد تعریف شده کمک می‌کند.</w:t>
      </w:r>
    </w:p>
    <w:p>
      <w:pPr>
        <w:spacing w:after="28" w:line="216" w:lineRule="auto"/>
        <w:ind w:left="259"/>
        <w:jc w:val="left"/>
      </w:pPr>
      <w:r>
        <w:rPr>
          <w:rFonts w:ascii="Arial" w:hAnsi="Arial"/>
          <w:color w:val="525252"/>
          <w:sz w:val="13"/>
        </w:rPr>
        <w:t>This transactional leadership behavior reduces the temptation for employees to avoid their duties or act unethically and aids members in meeting defined performance objectives.</w:t>
      </w:r>
    </w:p>
    <w:p>
      <w:pPr>
        <w:spacing w:after="20" w:line="223" w:lineRule="auto"/>
        <w:jc w:val="right"/>
        <w:bidi/>
      </w:pPr>
      <w:r>
        <w:rPr>
          <w:rFonts w:ascii="Arial" w:hAnsi="Arial"/>
          <w:sz w:val="16"/>
        </w:rPr>
        <w:t>259.07  اما رهبر باید مراقب باشد که زیاده روی نکند و به‌عنوان یک دیکتاتور تلقی نشود.</w:t>
      </w:r>
    </w:p>
    <w:p>
      <w:pPr>
        <w:spacing w:after="28" w:line="216" w:lineRule="auto"/>
        <w:ind w:left="259"/>
        <w:jc w:val="left"/>
      </w:pPr>
      <w:r>
        <w:rPr>
          <w:rFonts w:ascii="Arial" w:hAnsi="Arial"/>
          <w:color w:val="525252"/>
          <w:sz w:val="13"/>
        </w:rPr>
        <w:t>But the leader has to be careful not to go too far and be perceived as a dictator.</w:t>
      </w:r>
    </w:p>
    <w:p>
      <w:pPr>
        <w:spacing w:after="20" w:line="223" w:lineRule="auto"/>
        <w:jc w:val="right"/>
        <w:bidi/>
      </w:pPr>
      <w:r>
        <w:rPr>
          <w:rFonts w:ascii="Arial" w:hAnsi="Arial"/>
          <w:sz w:val="16"/>
        </w:rPr>
        <w:t>259.08  جوایز احتمالی.</w:t>
      </w:r>
    </w:p>
    <w:p>
      <w:pPr>
        <w:spacing w:after="28" w:line="216" w:lineRule="auto"/>
        <w:ind w:left="259"/>
        <w:jc w:val="left"/>
      </w:pPr>
      <w:r>
        <w:rPr>
          <w:rFonts w:ascii="Arial" w:hAnsi="Arial"/>
          <w:color w:val="525252"/>
          <w:sz w:val="13"/>
        </w:rPr>
        <w:t>Contingent Rewards.</w:t>
      </w:r>
    </w:p>
    <w:p>
      <w:pPr>
        <w:spacing w:after="20" w:line="223" w:lineRule="auto"/>
        <w:jc w:val="right"/>
        <w:bidi/>
      </w:pPr>
      <w:r>
        <w:rPr>
          <w:rFonts w:ascii="Arial" w:hAnsi="Arial"/>
          <w:sz w:val="16"/>
        </w:rPr>
        <w:t>259.09  پاداش‌های مشروط یک سبک رهبری تراکنشی است که شامل معامله سازنده بین رهبران و پیروان است.</w:t>
      </w:r>
    </w:p>
    <w:p>
      <w:pPr>
        <w:spacing w:after="28" w:line="216" w:lineRule="auto"/>
        <w:ind w:left="259"/>
        <w:jc w:val="left"/>
      </w:pPr>
      <w:r>
        <w:rPr>
          <w:rFonts w:ascii="Arial" w:hAnsi="Arial"/>
          <w:color w:val="525252"/>
          <w:sz w:val="13"/>
        </w:rPr>
        <w:t>Contingent rewards is a transactional leadership style that involves the constructive transaction between leaders and followers.</w:t>
      </w:r>
    </w:p>
    <w:p>
      <w:pPr>
        <w:spacing w:after="20" w:line="223" w:lineRule="auto"/>
        <w:jc w:val="right"/>
        <w:bidi/>
      </w:pPr>
      <w:r>
        <w:rPr>
          <w:rFonts w:ascii="Arial" w:hAnsi="Arial"/>
          <w:sz w:val="16"/>
        </w:rPr>
        <w:t>259.10  این معاملات قراردادها یا توافقاتی هستند که در آن رهبر اهدافی را تعیین می‌کند، راه‌هایی را برای زیردستان برای رسیدن به این اهداف مشخص می‌کند و از پیروان در طول مسیر حمایت می‌کند.</w:t>
      </w:r>
    </w:p>
    <w:p>
      <w:pPr>
        <w:spacing w:after="28" w:line="216" w:lineRule="auto"/>
        <w:ind w:left="259"/>
        <w:jc w:val="left"/>
      </w:pPr>
      <w:r>
        <w:rPr>
          <w:rFonts w:ascii="Arial" w:hAnsi="Arial"/>
          <w:color w:val="525252"/>
          <w:sz w:val="13"/>
        </w:rPr>
        <w:t>These transactions are contracts or agreements where the leader sets goals, identifies ways for the subordinate to reach these goals, and supports the follower along the way.</w:t>
      </w:r>
    </w:p>
    <w:p>
      <w:pPr>
        <w:spacing w:after="20" w:line="223" w:lineRule="auto"/>
        <w:jc w:val="right"/>
        <w:bidi/>
      </w:pPr>
      <w:r>
        <w:rPr>
          <w:rFonts w:ascii="Arial" w:hAnsi="Arial"/>
          <w:sz w:val="16"/>
        </w:rPr>
        <w:t>259.11  سپس دنبال کننده باید وظایف محول شده خود را تا یک سطح عملکرد مشخص انجام دهد.</w:t>
      </w:r>
    </w:p>
    <w:p>
      <w:pPr>
        <w:spacing w:after="28" w:line="216" w:lineRule="auto"/>
        <w:ind w:left="259"/>
        <w:jc w:val="left"/>
      </w:pPr>
      <w:r>
        <w:rPr>
          <w:rFonts w:ascii="Arial" w:hAnsi="Arial"/>
          <w:color w:val="525252"/>
          <w:sz w:val="13"/>
        </w:rPr>
        <w:t>The follower is then required to perform their assigned tasks to a specified performance level.</w:t>
      </w:r>
    </w:p>
    <w:p>
      <w:pPr>
        <w:spacing w:after="20" w:line="223" w:lineRule="auto"/>
        <w:jc w:val="right"/>
        <w:bidi/>
      </w:pPr>
      <w:r>
        <w:rPr>
          <w:rFonts w:ascii="Arial" w:hAnsi="Arial"/>
          <w:sz w:val="16"/>
        </w:rPr>
        <w:t>259.12  وقتی پیرو به انتظارات رهبر دست می‌یابد، رهبر با ارائه پاداش رفتار مثبت را تقویت می‌کند.</w:t>
      </w:r>
    </w:p>
    <w:p>
      <w:pPr>
        <w:spacing w:after="28" w:line="216" w:lineRule="auto"/>
        <w:ind w:left="259"/>
        <w:jc w:val="left"/>
      </w:pPr>
      <w:r>
        <w:rPr>
          <w:rFonts w:ascii="Arial" w:hAnsi="Arial"/>
          <w:color w:val="525252"/>
          <w:sz w:val="13"/>
        </w:rPr>
        <w:t>When the follower achieves the leader’s expectations, the leader reinforces the positive behavior by providing a reward.</w:t>
      </w:r>
    </w:p>
    <w:p>
      <w:pPr>
        <w:spacing w:after="20" w:line="223" w:lineRule="auto"/>
        <w:jc w:val="right"/>
        <w:bidi/>
      </w:pPr>
      <w:r>
        <w:rPr>
          <w:rFonts w:ascii="Arial" w:hAnsi="Arial"/>
          <w:sz w:val="16"/>
        </w:rPr>
        <w:t>259.13  به عبارت دیگر، پاداش مشروط به انجام وظایف محول شده توسط پیرو به انتظارات است.</w:t>
      </w:r>
    </w:p>
    <w:p>
      <w:pPr>
        <w:spacing w:after="28" w:line="216" w:lineRule="auto"/>
        <w:ind w:left="259"/>
        <w:jc w:val="left"/>
      </w:pPr>
      <w:r>
        <w:rPr>
          <w:rFonts w:ascii="Arial" w:hAnsi="Arial"/>
          <w:color w:val="525252"/>
          <w:sz w:val="13"/>
        </w:rPr>
        <w:t>In other words, the reward is contingent upon the follower performing assigned tasks to expectations.</w:t>
      </w:r>
    </w:p>
    <w:p>
      <w:pPr>
        <w:spacing w:after="20" w:line="223" w:lineRule="auto"/>
        <w:jc w:val="right"/>
        <w:bidi/>
      </w:pPr>
      <w:r>
        <w:rPr>
          <w:rFonts w:ascii="Arial" w:hAnsi="Arial"/>
          <w:sz w:val="16"/>
        </w:rPr>
        <w:t>259.14  رهبری تحول آفرین.</w:t>
      </w:r>
    </w:p>
    <w:p>
      <w:pPr>
        <w:spacing w:after="28" w:line="216" w:lineRule="auto"/>
        <w:ind w:left="259"/>
        <w:jc w:val="left"/>
      </w:pPr>
      <w:r>
        <w:rPr>
          <w:rFonts w:ascii="Arial" w:hAnsi="Arial"/>
          <w:color w:val="525252"/>
          <w:sz w:val="13"/>
        </w:rPr>
        <w:t>Transformational Leadership.</w:t>
      </w:r>
    </w:p>
    <w:p>
      <w:pPr>
        <w:spacing w:after="20" w:line="223" w:lineRule="auto"/>
        <w:jc w:val="right"/>
        <w:bidi/>
      </w:pPr>
      <w:r>
        <w:rPr>
          <w:rFonts w:ascii="Arial" w:hAnsi="Arial"/>
          <w:sz w:val="16"/>
        </w:rPr>
        <w:t>259.15  رهبری تحول‌آفرین سبکی از رهبری است که با استفاده از ارائه چشم‌انداز به پیروان و الهام بخشیدن به مأموریت آنها تعریف می‌شود.</w:t>
      </w:r>
    </w:p>
    <w:p>
      <w:pPr>
        <w:spacing w:after="28" w:line="216" w:lineRule="auto"/>
        <w:ind w:left="259"/>
        <w:jc w:val="left"/>
      </w:pPr>
      <w:r>
        <w:rPr>
          <w:rFonts w:ascii="Arial" w:hAnsi="Arial"/>
          <w:color w:val="525252"/>
          <w:sz w:val="13"/>
        </w:rPr>
        <w:t>Transformational leadership is a style of leadership that is defined by the application of offering followers a vision and inspiring their mission.</w:t>
      </w:r>
    </w:p>
    <w:p>
      <w:pPr>
        <w:spacing w:after="20" w:line="223" w:lineRule="auto"/>
        <w:jc w:val="right"/>
        <w:bidi/>
      </w:pPr>
      <w:r>
        <w:rPr>
          <w:rFonts w:ascii="Arial" w:hAnsi="Arial"/>
          <w:sz w:val="16"/>
        </w:rPr>
        <w:t>259.16  این نوع رهبری به پیروان الهام می‌بخشد تا از اهداف خود فراتر روند و تغییرات مثبت و معنادار را از طریق انگیزه درونی ترویج می‌کند و دیگران را تشویق می‌کند که به دلیل تمایل خود عمل کنند.</w:t>
      </w:r>
    </w:p>
    <w:p>
      <w:pPr>
        <w:spacing w:after="28" w:line="216" w:lineRule="auto"/>
        <w:ind w:left="259"/>
        <w:jc w:val="left"/>
      </w:pPr>
      <w:r>
        <w:rPr>
          <w:rFonts w:ascii="Arial" w:hAnsi="Arial"/>
          <w:color w:val="525252"/>
          <w:sz w:val="13"/>
        </w:rPr>
        <w:t>This type of leadership inspires followers to exceed their goals and promotes positive, meaningful changes through intrinsic motivation and encourages others to act because they want to.</w:t>
      </w:r>
    </w:p>
    <w:p>
      <w:pPr>
        <w:spacing w:after="20" w:line="223" w:lineRule="auto"/>
        <w:jc w:val="right"/>
        <w:bidi/>
      </w:pPr>
      <w:r>
        <w:rPr>
          <w:rFonts w:ascii="Arial" w:hAnsi="Arial"/>
          <w:sz w:val="16"/>
        </w:rPr>
        <w:t>259.17  برای ایجاد انگیزه درونی، یک رهبر تحول آفرین باید راه هایی را در نظر بگیرد تا دیگران را وادار به پذیرش ایده‌ها، استراتژی‌ها و ابتکارات کند.</w:t>
      </w:r>
    </w:p>
    <w:p>
      <w:pPr>
        <w:spacing w:after="28" w:line="216" w:lineRule="auto"/>
        <w:ind w:left="259"/>
        <w:jc w:val="left"/>
      </w:pPr>
      <w:r>
        <w:rPr>
          <w:rFonts w:ascii="Arial" w:hAnsi="Arial"/>
          <w:color w:val="525252"/>
          <w:sz w:val="13"/>
        </w:rPr>
        <w:t>To motivate intrinsically, a transformational leader must consider ways to get others to embrace ideas, strategies, and initiatives.</w:t>
      </w:r>
    </w:p>
    <w:p>
      <w:pPr>
        <w:spacing w:after="20" w:line="223" w:lineRule="auto"/>
        <w:jc w:val="right"/>
        <w:bidi/>
      </w:pPr>
      <w:r>
        <w:rPr>
          <w:rFonts w:ascii="Arial" w:hAnsi="Arial"/>
          <w:sz w:val="16"/>
        </w:rPr>
        <w:t>259.18  چهار جزء رهبری تحول آفرین وجود دارد: توجه فردی، تحریک فکری، نفوذ ایده آل و انگیزه الهام بخش.</w:t>
      </w:r>
    </w:p>
    <w:p>
      <w:pPr>
        <w:spacing w:after="28" w:line="216" w:lineRule="auto"/>
        <w:ind w:left="259"/>
        <w:jc w:val="left"/>
      </w:pPr>
      <w:r>
        <w:rPr>
          <w:rFonts w:ascii="Arial" w:hAnsi="Arial"/>
          <w:color w:val="525252"/>
          <w:sz w:val="13"/>
        </w:rPr>
        <w:t>There are four components of transformational leadership: individualized consideration, intellectual stimulation, idealized influence, and inspirational motivation.</w:t>
      </w:r>
    </w:p>
    <w:p>
      <w:pPr>
        <w:spacing w:after="20" w:line="223" w:lineRule="auto"/>
        <w:jc w:val="right"/>
        <w:bidi/>
      </w:pPr>
      <w:r>
        <w:rPr>
          <w:rFonts w:ascii="Arial" w:hAnsi="Arial"/>
          <w:sz w:val="16"/>
        </w:rPr>
        <w:t>259.19  توجه فردی (پرورش).</w:t>
      </w:r>
    </w:p>
    <w:p>
      <w:pPr>
        <w:spacing w:after="28" w:line="216" w:lineRule="auto"/>
        <w:ind w:left="259"/>
        <w:jc w:val="left"/>
      </w:pPr>
      <w:r>
        <w:rPr>
          <w:rFonts w:ascii="Arial" w:hAnsi="Arial"/>
          <w:color w:val="525252"/>
          <w:sz w:val="13"/>
        </w:rPr>
        <w:t>Individualized Consideration (Nurturing).</w:t>
      </w:r>
    </w:p>
    <w:p>
      <w:pPr>
        <w:spacing w:after="20" w:line="223" w:lineRule="auto"/>
        <w:jc w:val="right"/>
        <w:bidi/>
      </w:pPr>
      <w:r>
        <w:rPr>
          <w:rFonts w:ascii="Arial" w:hAnsi="Arial"/>
          <w:sz w:val="16"/>
        </w:rPr>
        <w:t>259.20  توجه فردی جایی است که رهبران با پیروان خود به‌عنوان افرادی با نیازها، توانایی‌ها و آرزوهای متفاوت رفتار می‌کنند و نه فقط به‌عنوان بخشی از گروهی از زیردستان.</w:t>
      </w:r>
    </w:p>
    <w:p>
      <w:pPr>
        <w:spacing w:after="28" w:line="216" w:lineRule="auto"/>
        <w:ind w:left="259"/>
        <w:jc w:val="left"/>
      </w:pPr>
      <w:r>
        <w:rPr>
          <w:rFonts w:ascii="Arial" w:hAnsi="Arial"/>
          <w:color w:val="525252"/>
          <w:sz w:val="13"/>
        </w:rPr>
        <w:t>Individualized consideration is where leaders treat their followers as individuals with different needs, abilities, and aspirations and not just as a part of a group of subordinates.</w:t>
      </w:r>
    </w:p>
    <w:p>
      <w:pPr>
        <w:spacing w:after="20" w:line="223" w:lineRule="auto"/>
        <w:jc w:val="right"/>
        <w:bidi/>
      </w:pPr>
      <w:r>
        <w:rPr>
          <w:rFonts w:ascii="Arial" w:hAnsi="Arial"/>
          <w:sz w:val="16"/>
        </w:rPr>
        <w:t>259.21  آنها با حفظ ارتباط سالم با هر دنبال کننده همدلی و حمایت می‌کنند.</w:t>
      </w:r>
    </w:p>
    <w:p>
      <w:pPr>
        <w:spacing w:after="28" w:line="216" w:lineRule="auto"/>
        <w:ind w:left="259"/>
        <w:jc w:val="left"/>
      </w:pPr>
      <w:r>
        <w:rPr>
          <w:rFonts w:ascii="Arial" w:hAnsi="Arial"/>
          <w:color w:val="525252"/>
          <w:sz w:val="13"/>
        </w:rPr>
        <w:t>They empathize with and support each follower while maintaining healthy communication.</w:t>
      </w:r>
    </w:p>
    <w:p>
      <w:pPr>
        <w:spacing w:after="20" w:line="223" w:lineRule="auto"/>
        <w:jc w:val="right"/>
        <w:bidi/>
      </w:pPr>
      <w:r>
        <w:rPr>
          <w:rFonts w:ascii="Arial" w:hAnsi="Arial"/>
          <w:sz w:val="16"/>
        </w:rPr>
        <w:t>259.22  رهبران با استفاده از ملاحظات فردی، پیروان را با ایفای نقش به‌عنوان مربی یا مربی «پرورش» می‌کنند.</w:t>
      </w:r>
    </w:p>
    <w:p>
      <w:pPr>
        <w:spacing w:after="28" w:line="216" w:lineRule="auto"/>
        <w:ind w:left="259"/>
        <w:jc w:val="left"/>
      </w:pPr>
      <w:r>
        <w:rPr>
          <w:rFonts w:ascii="Arial" w:hAnsi="Arial"/>
          <w:color w:val="525252"/>
          <w:sz w:val="13"/>
        </w:rPr>
        <w:t>Using individualized consideration, leaders ‘nurture’ followers by acting as mentor or coach.</w:t>
      </w:r>
    </w:p>
    <w:p>
      <w:pPr>
        <w:spacing w:after="20" w:line="223" w:lineRule="auto"/>
        <w:jc w:val="right"/>
        <w:bidi/>
      </w:pPr>
      <w:r>
        <w:rPr>
          <w:rFonts w:ascii="Arial" w:hAnsi="Arial"/>
          <w:sz w:val="16"/>
        </w:rPr>
        <w:t>259.23  تحریک فکری (تفکر).</w:t>
      </w:r>
    </w:p>
    <w:p>
      <w:pPr>
        <w:spacing w:after="28" w:line="216" w:lineRule="auto"/>
        <w:ind w:left="259"/>
        <w:jc w:val="left"/>
      </w:pPr>
      <w:r>
        <w:rPr>
          <w:rFonts w:ascii="Arial" w:hAnsi="Arial"/>
          <w:color w:val="525252"/>
          <w:sz w:val="13"/>
        </w:rPr>
        <w:t>Intellectual Stimulation (Thinking).</w:t>
      </w:r>
    </w:p>
    <w:p>
      <w:pPr>
        <w:spacing w:after="20" w:line="223" w:lineRule="auto"/>
        <w:jc w:val="right"/>
        <w:bidi/>
      </w:pPr>
      <w:r>
        <w:rPr>
          <w:rFonts w:ascii="Arial" w:hAnsi="Arial"/>
          <w:sz w:val="16"/>
        </w:rPr>
        <w:t>259.24  تحریک فکری درجه‌ای است که رهبران با جستجوی دیدگاه‌های مختلف و در نظر گرفتن دیدگاه‌های مخالف، به عقلانیت و عقل زیردستان خود ارزش می‌دهند.</w:t>
      </w:r>
    </w:p>
    <w:p>
      <w:pPr>
        <w:spacing w:after="28" w:line="216" w:lineRule="auto"/>
        <w:ind w:left="259"/>
        <w:jc w:val="left"/>
      </w:pPr>
      <w:r>
        <w:rPr>
          <w:rFonts w:ascii="Arial" w:hAnsi="Arial"/>
          <w:color w:val="525252"/>
          <w:sz w:val="13"/>
        </w:rPr>
        <w:t>Intellectual stimulation is the degree to which leaders value their subordinates’ rationality and intellect by seeking different perspectives and considering opposing points of view.</w:t>
      </w:r>
    </w:p>
    <w:p>
      <w:pPr>
        <w:spacing w:after="20" w:line="223" w:lineRule="auto"/>
        <w:jc w:val="right"/>
        <w:bidi/>
      </w:pPr>
      <w:r>
        <w:rPr>
          <w:rFonts w:ascii="Arial" w:hAnsi="Arial"/>
          <w:sz w:val="16"/>
        </w:rPr>
        <w:t>259.25  رهبران با استفاده از تحریک فکری، خلاقیت را در پیروان خود تحریک و تشویق می‌کنند، پیروان را تشویق می‌کنند تا متفکر مستقل باشند و از ریسک کردن و درخواست ایده‌ها از پیروان خود هراسی ندارند.</w:t>
      </w:r>
    </w:p>
    <w:p>
      <w:pPr>
        <w:spacing w:after="28" w:line="216" w:lineRule="auto"/>
        <w:ind w:left="259"/>
        <w:jc w:val="left"/>
      </w:pPr>
      <w:r>
        <w:rPr>
          <w:rFonts w:ascii="Arial" w:hAnsi="Arial"/>
          <w:color w:val="525252"/>
          <w:sz w:val="13"/>
        </w:rPr>
        <w:t>Using intellectual stimulation, leaders stimulate and encourage creativity in their followers, encourage followers to be independent thinkers, and are not afraid to take risks and solicit ideas from their followers.</w:t>
      </w:r>
    </w:p>
    <w:p>
      <w:pPr>
        <w:spacing w:after="20" w:line="223" w:lineRule="auto"/>
        <w:jc w:val="right"/>
        <w:bidi/>
      </w:pPr>
      <w:r>
        <w:rPr>
          <w:rFonts w:ascii="Arial" w:hAnsi="Arial"/>
          <w:sz w:val="16"/>
        </w:rPr>
        <w:t>259.26  انگیزه الهام بخش (جذاب کننده).</w:t>
      </w:r>
    </w:p>
    <w:p>
      <w:pPr>
        <w:spacing w:after="28" w:line="216" w:lineRule="auto"/>
        <w:ind w:left="259"/>
        <w:jc w:val="left"/>
      </w:pPr>
      <w:r>
        <w:rPr>
          <w:rFonts w:ascii="Arial" w:hAnsi="Arial"/>
          <w:color w:val="525252"/>
          <w:sz w:val="13"/>
        </w:rPr>
        <w:t>Inspirational Motivation (Charming).</w:t>
      </w:r>
    </w:p>
    <w:p>
      <w:pPr>
        <w:spacing w:after="20" w:line="223" w:lineRule="auto"/>
        <w:jc w:val="right"/>
        <w:bidi/>
      </w:pPr>
      <w:r>
        <w:rPr>
          <w:rFonts w:ascii="Arial" w:hAnsi="Arial"/>
          <w:sz w:val="16"/>
        </w:rPr>
        <w:t>259.27  انگیزه الهام بخش زمانی است که رهبران دیدگاه هایی را ایجاد و بیان می‌کنند که تصویری خوش بینانه و مشتاقانه از آینده ترسیم می‌کند که برای پیروان جذاب و الهام بخش است.</w:t>
      </w:r>
    </w:p>
    <w:p>
      <w:pPr>
        <w:spacing w:after="28" w:line="216" w:lineRule="auto"/>
        <w:ind w:left="259"/>
        <w:jc w:val="left"/>
      </w:pPr>
      <w:r>
        <w:rPr>
          <w:rFonts w:ascii="Arial" w:hAnsi="Arial"/>
          <w:color w:val="525252"/>
          <w:sz w:val="13"/>
        </w:rPr>
        <w:t>Inspirational motivation is when leaders develop and articulate visions that paint an optimistic and enthusiastic picture of the future that is appealing and inspiring to followers.</w:t>
      </w:r>
    </w:p>
    <w:p>
      <w:pPr>
        <w:spacing w:after="20" w:line="223" w:lineRule="auto"/>
        <w:jc w:val="right"/>
        <w:bidi/>
      </w:pPr>
      <w:r>
        <w:rPr>
          <w:rFonts w:ascii="Arial" w:hAnsi="Arial"/>
          <w:sz w:val="16"/>
        </w:rPr>
        <w:t>259.28  این چشم‌اندازها انتظارات عملکرد را بالا می‌برد و پیروان را تشویق می‌کند تا تلاش بیشتری برای دستیابی به چشم‌انداز رهبر انجام دهند.</w:t>
      </w:r>
    </w:p>
    <w:p>
      <w:pPr>
        <w:spacing w:after="28" w:line="216" w:lineRule="auto"/>
        <w:ind w:left="259"/>
        <w:jc w:val="left"/>
      </w:pPr>
      <w:r>
        <w:rPr>
          <w:rFonts w:ascii="Arial" w:hAnsi="Arial"/>
          <w:color w:val="525252"/>
          <w:sz w:val="13"/>
        </w:rPr>
        <w:t>These visions elevate performance expectations and inspire followers to put forth extra effort to achieve the leader’s vision.</w:t>
      </w:r>
    </w:p>
    <w:p>
      <w:pPr>
        <w:spacing w:after="20" w:line="223" w:lineRule="auto"/>
        <w:jc w:val="right"/>
        <w:bidi/>
      </w:pPr>
      <w:r>
        <w:rPr>
          <w:rFonts w:ascii="Arial" w:hAnsi="Arial"/>
          <w:sz w:val="16"/>
        </w:rPr>
        <w:t>259.29  نفوذ ایده آل (نفوذ).</w:t>
      </w:r>
    </w:p>
    <w:p>
      <w:pPr>
        <w:spacing w:after="28" w:line="216" w:lineRule="auto"/>
        <w:ind w:left="259"/>
        <w:jc w:val="left"/>
      </w:pPr>
      <w:r>
        <w:rPr>
          <w:rFonts w:ascii="Arial" w:hAnsi="Arial"/>
          <w:color w:val="525252"/>
          <w:sz w:val="13"/>
        </w:rPr>
        <w:t>Idealized Influence (Influencing).</w:t>
      </w:r>
    </w:p>
    <w:p>
      <w:pPr>
        <w:spacing w:after="20" w:line="223" w:lineRule="auto"/>
        <w:jc w:val="right"/>
        <w:bidi/>
      </w:pPr>
      <w:r>
        <w:rPr>
          <w:rFonts w:ascii="Arial" w:hAnsi="Arial"/>
          <w:sz w:val="16"/>
        </w:rPr>
        <w:t>259.30  رهبران تحول آفرین کاریزماتیک هستند و به‌عنوان الگوهای مثبتی عمل می‌کنند که "راه می‌روند." آنها سطوح بالایی از رفتار اخلاقی، فضایل و نقاط قوت شخصیت و همچنین اخلاق کاری قوی را نشان می‌دهند.</w:t>
      </w:r>
    </w:p>
    <w:p>
      <w:pPr>
        <w:spacing w:after="28" w:line="216" w:lineRule="auto"/>
        <w:ind w:left="259"/>
        <w:jc w:val="left"/>
      </w:pPr>
      <w:r>
        <w:rPr>
          <w:rFonts w:ascii="Arial" w:hAnsi="Arial"/>
          <w:color w:val="525252"/>
          <w:sz w:val="13"/>
        </w:rPr>
        <w:t>Transformational leaders are charismatic and act as positive role models who “walk the walk.” They exhibit high levels of moral behavior, virtues, and character strengths, as well as a strong work ethic.</w:t>
      </w:r>
    </w:p>
    <w:p>
      <w:pPr>
        <w:spacing w:after="20" w:line="223" w:lineRule="auto"/>
        <w:jc w:val="right"/>
        <w:bidi/>
      </w:pPr>
      <w:r>
        <w:rPr>
          <w:rFonts w:ascii="Arial" w:hAnsi="Arial"/>
          <w:sz w:val="16"/>
        </w:rPr>
        <w:t>259.31  آنها ارزش‌ها، باورها و هدف سازمان را هم در گفتار و هم در عمل نشان می‌دهند و در صورت لزوم منافع شخصی را به خاطر گروه کنار می‌گذارند.</w:t>
      </w:r>
    </w:p>
    <w:p>
      <w:pPr>
        <w:spacing w:after="28" w:line="216" w:lineRule="auto"/>
        <w:ind w:left="259"/>
        <w:jc w:val="left"/>
      </w:pPr>
      <w:r>
        <w:rPr>
          <w:rFonts w:ascii="Arial" w:hAnsi="Arial"/>
          <w:color w:val="525252"/>
          <w:sz w:val="13"/>
        </w:rPr>
        <w:t>They represent the organization’s values, beliefs, and purpose in both words and actions and, if necessary, set aside personal interests for the sake of the group.</w:t>
      </w:r>
    </w:p>
    <w:p>
      <w:pPr>
        <w:spacing w:before="60" w:after="28"/>
        <w:jc w:val="right"/>
        <w:bidi/>
      </w:pPr>
      <w:r>
        <w:rPr>
          <w:b/>
          <w:color w:val="1F4D78"/>
          <w:sz w:val="18"/>
        </w:rPr>
        <w:t>14.26. ویژگی های رهبری</w:t>
      </w:r>
    </w:p>
    <w:p>
      <w:pPr>
        <w:spacing w:after="20"/>
        <w:ind w:left="259"/>
        <w:jc w:val="left"/>
      </w:pPr>
      <w:r>
        <w:rPr>
          <w:color w:val="555555"/>
          <w:sz w:val="12"/>
        </w:rPr>
        <w:t>14.26. Leadership Attributes</w:t>
      </w:r>
    </w:p>
    <w:p>
      <w:pPr>
        <w:spacing w:after="20" w:line="223" w:lineRule="auto"/>
        <w:jc w:val="right"/>
        <w:bidi/>
      </w:pPr>
      <w:r>
        <w:rPr>
          <w:rFonts w:ascii="Arial" w:hAnsi="Arial"/>
          <w:sz w:val="16"/>
        </w:rPr>
        <w:t>259.33  پیشرو با مثال.</w:t>
      </w:r>
    </w:p>
    <w:p>
      <w:pPr>
        <w:spacing w:after="28" w:line="216" w:lineRule="auto"/>
        <w:ind w:left="259"/>
        <w:jc w:val="left"/>
      </w:pPr>
      <w:r>
        <w:rPr>
          <w:rFonts w:ascii="Arial" w:hAnsi="Arial"/>
          <w:color w:val="525252"/>
          <w:sz w:val="13"/>
        </w:rPr>
        <w:t>Leading by Example.</w:t>
      </w:r>
    </w:p>
    <w:p>
      <w:pPr>
        <w:spacing w:after="20" w:line="223" w:lineRule="auto"/>
        <w:jc w:val="right"/>
        <w:bidi/>
      </w:pPr>
      <w:r>
        <w:rPr>
          <w:rFonts w:ascii="Arial" w:hAnsi="Arial"/>
          <w:sz w:val="16"/>
        </w:rPr>
        <w:t>259.34  رهبری الگوسازی و الگو قرار دادن دیگران است - در کلام و</w:t>
      </w:r>
    </w:p>
    <w:p>
      <w:pPr>
        <w:spacing w:after="28" w:line="216" w:lineRule="auto"/>
        <w:ind w:left="259"/>
        <w:jc w:val="left"/>
      </w:pPr>
      <w:r>
        <w:rPr>
          <w:rFonts w:ascii="Arial" w:hAnsi="Arial"/>
          <w:color w:val="525252"/>
          <w:sz w:val="13"/>
        </w:rPr>
        <w:t>Leadership is modeling and setting the example for others - in word and</w:t>
      </w:r>
    </w:p>
    <w:p>
      <w:r>
        <w:br w:type="page"/>
      </w:r>
    </w:p>
    <w:p>
      <w:pPr>
        <w:spacing w:after="60"/>
        <w:jc w:val="right"/>
        <w:bidi/>
      </w:pPr>
      <w:r>
        <w:rPr>
          <w:rFonts w:ascii="Arial" w:hAnsi="Arial"/>
          <w:b/>
          <w:color w:val="1F4D78"/>
          <w:sz w:val="19"/>
        </w:rPr>
        <w:t>هفتهٔ 260  |  صفحهٔ منبع: 276</w:t>
      </w:r>
    </w:p>
    <w:p>
      <w:pPr>
        <w:spacing w:after="20" w:line="223" w:lineRule="auto"/>
        <w:jc w:val="right"/>
        <w:bidi/>
      </w:pPr>
      <w:r>
        <w:rPr>
          <w:rFonts w:ascii="Arial" w:hAnsi="Arial"/>
          <w:sz w:val="16"/>
        </w:rPr>
        <w:t>260.01  اقدام.</w:t>
      </w:r>
    </w:p>
    <w:p>
      <w:pPr>
        <w:spacing w:after="28" w:line="216" w:lineRule="auto"/>
        <w:ind w:left="259"/>
        <w:jc w:val="left"/>
      </w:pPr>
      <w:r>
        <w:rPr>
          <w:rFonts w:ascii="Arial" w:hAnsi="Arial"/>
          <w:color w:val="525252"/>
          <w:sz w:val="13"/>
        </w:rPr>
        <w:t>action.</w:t>
      </w:r>
    </w:p>
    <w:p>
      <w:pPr>
        <w:spacing w:after="20" w:line="223" w:lineRule="auto"/>
        <w:jc w:val="right"/>
        <w:bidi/>
      </w:pPr>
      <w:r>
        <w:rPr>
          <w:rFonts w:ascii="Arial" w:hAnsi="Arial"/>
          <w:sz w:val="16"/>
        </w:rPr>
        <w:t>260.02  رهبران مؤثر به جای اینکه مردم را هدایت کنند، رهبری می‌کنند.</w:t>
      </w:r>
    </w:p>
    <w:p>
      <w:pPr>
        <w:spacing w:after="28" w:line="216" w:lineRule="auto"/>
        <w:ind w:left="259"/>
        <w:jc w:val="left"/>
      </w:pPr>
      <w:r>
        <w:rPr>
          <w:rFonts w:ascii="Arial" w:hAnsi="Arial"/>
          <w:color w:val="525252"/>
          <w:sz w:val="13"/>
        </w:rPr>
        <w:t>Effective leaders lead rather than drive people.</w:t>
      </w:r>
    </w:p>
    <w:p>
      <w:pPr>
        <w:spacing w:after="20" w:line="223" w:lineRule="auto"/>
        <w:jc w:val="right"/>
        <w:bidi/>
      </w:pPr>
      <w:r>
        <w:rPr>
          <w:rFonts w:ascii="Arial" w:hAnsi="Arial"/>
          <w:sz w:val="16"/>
        </w:rPr>
        <w:t>260.03  آنها تصمیمات منصفانه و محکمی می‌گیرند که به نفع نظم خوب، نظم و انضباط و انجام موفقیت آمیز مأموریت است.</w:t>
      </w:r>
    </w:p>
    <w:p>
      <w:pPr>
        <w:spacing w:after="28" w:line="216" w:lineRule="auto"/>
        <w:ind w:left="259"/>
        <w:jc w:val="left"/>
      </w:pPr>
      <w:r>
        <w:rPr>
          <w:rFonts w:ascii="Arial" w:hAnsi="Arial"/>
          <w:color w:val="525252"/>
          <w:sz w:val="13"/>
        </w:rPr>
        <w:t>They make fair and firm decisions that are in the best interest of good order, discipline, and successful accomplishment of the mission.</w:t>
      </w:r>
    </w:p>
    <w:p>
      <w:pPr>
        <w:spacing w:after="20" w:line="223" w:lineRule="auto"/>
        <w:jc w:val="right"/>
        <w:bidi/>
      </w:pPr>
      <w:r>
        <w:rPr>
          <w:rFonts w:ascii="Arial" w:hAnsi="Arial"/>
          <w:sz w:val="16"/>
        </w:rPr>
        <w:t>260.04  در حالی که هیچ کس از یک رهبر انتظار ندارد کامل باشد، یک رهبر نمی‌تواند بهترین‌ها را از دیگران بخواهد اگر نتواند نشان دهد که آنها مایل و قادر به انجام همان کار هستند.</w:t>
      </w:r>
    </w:p>
    <w:p>
      <w:pPr>
        <w:spacing w:after="28" w:line="216" w:lineRule="auto"/>
        <w:ind w:left="259"/>
        <w:jc w:val="left"/>
      </w:pPr>
      <w:r>
        <w:rPr>
          <w:rFonts w:ascii="Arial" w:hAnsi="Arial"/>
          <w:color w:val="525252"/>
          <w:sz w:val="13"/>
        </w:rPr>
        <w:t>While no one expects a leader to be perfect, a leader cannot demand the best from others if he or she cannot demonstrate that they are willing and able to do the same.</w:t>
      </w:r>
    </w:p>
    <w:p>
      <w:pPr>
        <w:spacing w:after="20" w:line="223" w:lineRule="auto"/>
        <w:jc w:val="right"/>
        <w:bidi/>
      </w:pPr>
      <w:r>
        <w:rPr>
          <w:rFonts w:ascii="Arial" w:hAnsi="Arial"/>
          <w:sz w:val="16"/>
        </w:rPr>
        <w:t>260.05  از طریق رفتار مثبت، رهبران با ارزش‌های خود زندگی می‌کنند و الگوهای خوبی می‌شوند.</w:t>
      </w:r>
    </w:p>
    <w:p>
      <w:pPr>
        <w:spacing w:after="28" w:line="216" w:lineRule="auto"/>
        <w:ind w:left="259"/>
        <w:jc w:val="left"/>
      </w:pPr>
      <w:r>
        <w:rPr>
          <w:rFonts w:ascii="Arial" w:hAnsi="Arial"/>
          <w:color w:val="525252"/>
          <w:sz w:val="13"/>
        </w:rPr>
        <w:t>Through positive behavior, leaders live by their values and become good role models.</w:t>
      </w:r>
    </w:p>
    <w:p>
      <w:pPr>
        <w:spacing w:after="20" w:line="223" w:lineRule="auto"/>
        <w:jc w:val="right"/>
        <w:bidi/>
      </w:pPr>
      <w:r>
        <w:rPr>
          <w:rFonts w:ascii="Arial" w:hAnsi="Arial"/>
          <w:sz w:val="16"/>
        </w:rPr>
        <w:t>260.06  زمانی اعتبار خود را تقویت می‌کنند که روی تلاش شخصی که انجام داده‌اند تمرکز نکنند.</w:t>
      </w:r>
    </w:p>
    <w:p>
      <w:pPr>
        <w:spacing w:after="28" w:line="216" w:lineRule="auto"/>
        <w:ind w:left="259"/>
        <w:jc w:val="left"/>
      </w:pPr>
      <w:r>
        <w:rPr>
          <w:rFonts w:ascii="Arial" w:hAnsi="Arial"/>
          <w:color w:val="525252"/>
          <w:sz w:val="13"/>
        </w:rPr>
        <w:t>They reinforce their credibility when they do not dwell on the personal effort they have put forth.</w:t>
      </w:r>
    </w:p>
    <w:p>
      <w:pPr>
        <w:spacing w:after="20" w:line="223" w:lineRule="auto"/>
        <w:jc w:val="right"/>
        <w:bidi/>
      </w:pPr>
      <w:r>
        <w:rPr>
          <w:rFonts w:ascii="Arial" w:hAnsi="Arial"/>
          <w:sz w:val="16"/>
        </w:rPr>
        <w:t>260.07  مشارکت.</w:t>
      </w:r>
    </w:p>
    <w:p>
      <w:pPr>
        <w:spacing w:after="28" w:line="216" w:lineRule="auto"/>
        <w:ind w:left="259"/>
        <w:jc w:val="left"/>
      </w:pPr>
      <w:r>
        <w:rPr>
          <w:rFonts w:ascii="Arial" w:hAnsi="Arial"/>
          <w:color w:val="525252"/>
          <w:sz w:val="13"/>
        </w:rPr>
        <w:t>Involvement.</w:t>
      </w:r>
    </w:p>
    <w:p>
      <w:pPr>
        <w:spacing w:after="20" w:line="223" w:lineRule="auto"/>
        <w:jc w:val="right"/>
        <w:bidi/>
      </w:pPr>
      <w:r>
        <w:rPr>
          <w:rFonts w:ascii="Arial" w:hAnsi="Arial"/>
          <w:sz w:val="16"/>
        </w:rPr>
        <w:t>260.08  موفقیت یک رهبر در کارایی، بهره‌وری، روحیه و اشتیاق نشان داده شده توسط پیروان منعکس می‌شود و مشارکت رهبر برای به حداکثر رساندن عملکرد کارگر و موفقیت در مأموریت ضروری است.</w:t>
      </w:r>
    </w:p>
    <w:p>
      <w:pPr>
        <w:spacing w:after="28" w:line="216" w:lineRule="auto"/>
        <w:ind w:left="259"/>
        <w:jc w:val="left"/>
      </w:pPr>
      <w:r>
        <w:rPr>
          <w:rFonts w:ascii="Arial" w:hAnsi="Arial"/>
          <w:color w:val="525252"/>
          <w:sz w:val="13"/>
        </w:rPr>
        <w:t>A leader’s success is reflected in the efficiency, productivity, morale, and enthusiasm demonstrated by the followers, and a leader’s involvement is essential to maximizing worker performance and success of the mission.</w:t>
      </w:r>
    </w:p>
    <w:p>
      <w:pPr>
        <w:spacing w:after="20" w:line="223" w:lineRule="auto"/>
        <w:jc w:val="right"/>
        <w:bidi/>
      </w:pPr>
      <w:r>
        <w:rPr>
          <w:rFonts w:ascii="Arial" w:hAnsi="Arial"/>
          <w:sz w:val="16"/>
        </w:rPr>
        <w:t>260.09  رهبران هنگامی که به‌طور فعال در حرفه و زندگی هوانوردان خود درگیر شوند، تأثیر مثبتی خواهند داشت.</w:t>
      </w:r>
    </w:p>
    <w:p>
      <w:pPr>
        <w:spacing w:after="28" w:line="216" w:lineRule="auto"/>
        <w:ind w:left="259"/>
        <w:jc w:val="left"/>
      </w:pPr>
      <w:r>
        <w:rPr>
          <w:rFonts w:ascii="Arial" w:hAnsi="Arial"/>
          <w:color w:val="525252"/>
          <w:sz w:val="13"/>
        </w:rPr>
        <w:t>Leaders become a positive influence when they are actively involved in their Airmen’s careers and lives.</w:t>
      </w:r>
    </w:p>
    <w:p>
      <w:pPr>
        <w:spacing w:after="20" w:line="223" w:lineRule="auto"/>
        <w:jc w:val="right"/>
        <w:bidi/>
      </w:pPr>
      <w:r>
        <w:rPr>
          <w:rFonts w:ascii="Arial" w:hAnsi="Arial"/>
          <w:sz w:val="16"/>
        </w:rPr>
        <w:t>260.10  درس گرفتن از شکست.</w:t>
      </w:r>
    </w:p>
    <w:p>
      <w:pPr>
        <w:spacing w:after="28" w:line="216" w:lineRule="auto"/>
        <w:ind w:left="259"/>
        <w:jc w:val="left"/>
      </w:pPr>
      <w:r>
        <w:rPr>
          <w:rFonts w:ascii="Arial" w:hAnsi="Arial"/>
          <w:color w:val="525252"/>
          <w:sz w:val="13"/>
        </w:rPr>
        <w:t>Learning from Failure.</w:t>
      </w:r>
    </w:p>
    <w:p>
      <w:pPr>
        <w:spacing w:after="20" w:line="223" w:lineRule="auto"/>
        <w:jc w:val="right"/>
        <w:bidi/>
      </w:pPr>
      <w:r>
        <w:rPr>
          <w:rFonts w:ascii="Arial" w:hAnsi="Arial"/>
          <w:sz w:val="16"/>
        </w:rPr>
        <w:t>260.11  رهبری در مورد ریسک‌ها و پاداش هاست و رهبران مؤثر متوجه می‌شوند که شکست یکی از بزرگترین ابزارهای یادگیری یک سازمان برای دستیابی به موفقیت است.</w:t>
      </w:r>
    </w:p>
    <w:p>
      <w:pPr>
        <w:spacing w:after="28" w:line="216" w:lineRule="auto"/>
        <w:ind w:left="259"/>
        <w:jc w:val="left"/>
      </w:pPr>
      <w:r>
        <w:rPr>
          <w:rFonts w:ascii="Arial" w:hAnsi="Arial"/>
          <w:color w:val="525252"/>
          <w:sz w:val="13"/>
        </w:rPr>
        <w:t>Leadership is about risks and rewards, and effective leaders realize that failure is one of the greatest learning tools an organization has for achieving success.</w:t>
      </w:r>
    </w:p>
    <w:p>
      <w:pPr>
        <w:spacing w:after="20" w:line="223" w:lineRule="auto"/>
        <w:jc w:val="right"/>
        <w:bidi/>
      </w:pPr>
      <w:r>
        <w:rPr>
          <w:rFonts w:ascii="Arial" w:hAnsi="Arial"/>
          <w:sz w:val="16"/>
        </w:rPr>
        <w:t>260.12  با هر خطری امکان شکست وجود دارد. با این حال، این لحظاتی است که خطاهای یک سازمان را روشن می‌کند.</w:t>
      </w:r>
    </w:p>
    <w:p>
      <w:pPr>
        <w:spacing w:after="28" w:line="216" w:lineRule="auto"/>
        <w:ind w:left="259"/>
        <w:jc w:val="left"/>
      </w:pPr>
      <w:r>
        <w:rPr>
          <w:rFonts w:ascii="Arial" w:hAnsi="Arial"/>
          <w:color w:val="525252"/>
          <w:sz w:val="13"/>
        </w:rPr>
        <w:t>With every risk there is the potential for failure; however, these are the moments which shed light on the faults within an organization.</w:t>
      </w:r>
    </w:p>
    <w:p>
      <w:pPr>
        <w:spacing w:after="20" w:line="223" w:lineRule="auto"/>
        <w:jc w:val="right"/>
        <w:bidi/>
      </w:pPr>
      <w:r>
        <w:rPr>
          <w:rFonts w:ascii="Arial" w:hAnsi="Arial"/>
          <w:sz w:val="16"/>
        </w:rPr>
        <w:t>260.13  رهبران مؤثر متوجه می‌شوند که یادگیری از شکست، تغییر را توانمند می‌سازد و الهام‌بخش تلاش‌ها برای بهبود است.</w:t>
      </w:r>
    </w:p>
    <w:p>
      <w:pPr>
        <w:spacing w:after="28" w:line="216" w:lineRule="auto"/>
        <w:ind w:left="259"/>
        <w:jc w:val="left"/>
      </w:pPr>
      <w:r>
        <w:rPr>
          <w:rFonts w:ascii="Arial" w:hAnsi="Arial"/>
          <w:color w:val="525252"/>
          <w:sz w:val="13"/>
        </w:rPr>
        <w:t>Effective leaders realize that learning from failure empowers change and inspires efforts to improve.</w:t>
      </w:r>
    </w:p>
    <w:p>
      <w:pPr>
        <w:spacing w:after="20" w:line="223" w:lineRule="auto"/>
        <w:jc w:val="right"/>
        <w:bidi/>
      </w:pPr>
      <w:r>
        <w:rPr>
          <w:rFonts w:ascii="Arial" w:hAnsi="Arial"/>
          <w:sz w:val="16"/>
        </w:rPr>
        <w:t>260.14  بنابراین، رهبران هرگز از شکست نمی‌ترسند.</w:t>
      </w:r>
    </w:p>
    <w:p>
      <w:pPr>
        <w:spacing w:after="28" w:line="216" w:lineRule="auto"/>
        <w:ind w:left="259"/>
        <w:jc w:val="left"/>
      </w:pPr>
      <w:r>
        <w:rPr>
          <w:rFonts w:ascii="Arial" w:hAnsi="Arial"/>
          <w:color w:val="525252"/>
          <w:sz w:val="13"/>
        </w:rPr>
        <w:t>Therefore, leaders never fear failure.</w:t>
      </w:r>
    </w:p>
    <w:p>
      <w:pPr>
        <w:spacing w:after="20" w:line="223" w:lineRule="auto"/>
        <w:jc w:val="right"/>
        <w:bidi/>
      </w:pPr>
      <w:r>
        <w:rPr>
          <w:rFonts w:ascii="Arial" w:hAnsi="Arial"/>
          <w:sz w:val="16"/>
        </w:rPr>
        <w:t>260.15  شفافیت.</w:t>
      </w:r>
    </w:p>
    <w:p>
      <w:pPr>
        <w:spacing w:after="28" w:line="216" w:lineRule="auto"/>
        <w:ind w:left="259"/>
        <w:jc w:val="left"/>
      </w:pPr>
      <w:r>
        <w:rPr>
          <w:rFonts w:ascii="Arial" w:hAnsi="Arial"/>
          <w:color w:val="525252"/>
          <w:sz w:val="13"/>
        </w:rPr>
        <w:t>Transparency.</w:t>
      </w:r>
    </w:p>
    <w:p>
      <w:pPr>
        <w:spacing w:after="20" w:line="223" w:lineRule="auto"/>
        <w:jc w:val="right"/>
        <w:bidi/>
      </w:pPr>
      <w:r>
        <w:rPr>
          <w:rFonts w:ascii="Arial" w:hAnsi="Arial"/>
          <w:sz w:val="16"/>
        </w:rPr>
        <w:t>260.16  اگر نیات رهبر شفاف باشد، هدایت، تصمیمات و اقدامات به ندرت به چالش کشیده می‌شود.</w:t>
      </w:r>
    </w:p>
    <w:p>
      <w:pPr>
        <w:spacing w:after="28" w:line="216" w:lineRule="auto"/>
        <w:ind w:left="259"/>
        <w:jc w:val="left"/>
      </w:pPr>
      <w:r>
        <w:rPr>
          <w:rFonts w:ascii="Arial" w:hAnsi="Arial"/>
          <w:color w:val="525252"/>
          <w:sz w:val="13"/>
        </w:rPr>
        <w:t>Direction, decisions, and actions are rarely challenged if the leader’s intentions are transparent.</w:t>
      </w:r>
    </w:p>
    <w:p>
      <w:pPr>
        <w:spacing w:after="20" w:line="223" w:lineRule="auto"/>
        <w:jc w:val="right"/>
        <w:bidi/>
      </w:pPr>
      <w:r>
        <w:rPr>
          <w:rFonts w:ascii="Arial" w:hAnsi="Arial"/>
          <w:sz w:val="16"/>
        </w:rPr>
        <w:t>260.17  شفافیت با ادغام ارتباطات منظم، تصمیم‌گیری مشترک، اجماع متقابل و بحث سالم انجام می‌شود.</w:t>
      </w:r>
    </w:p>
    <w:p>
      <w:pPr>
        <w:spacing w:after="28" w:line="216" w:lineRule="auto"/>
        <w:ind w:left="259"/>
        <w:jc w:val="left"/>
      </w:pPr>
      <w:r>
        <w:rPr>
          <w:rFonts w:ascii="Arial" w:hAnsi="Arial"/>
          <w:color w:val="525252"/>
          <w:sz w:val="13"/>
        </w:rPr>
        <w:t>Transparency is accomplished by integrating regular communication, shared decision-making, mutual consensus, and healthy debate.</w:t>
      </w:r>
    </w:p>
    <w:p>
      <w:pPr>
        <w:spacing w:after="20" w:line="223" w:lineRule="auto"/>
        <w:jc w:val="right"/>
        <w:bidi/>
      </w:pPr>
      <w:r>
        <w:rPr>
          <w:rFonts w:ascii="Arial" w:hAnsi="Arial"/>
          <w:sz w:val="16"/>
        </w:rPr>
        <w:t>260.18  هوانوردان باید بدانند دلیل تصمیم‌گیری‌ها چیست و چگونه تصمیمات بر آنها و سازمان تأثیر می‌گذارد.</w:t>
      </w:r>
    </w:p>
    <w:p>
      <w:pPr>
        <w:spacing w:after="28" w:line="216" w:lineRule="auto"/>
        <w:ind w:left="259"/>
        <w:jc w:val="left"/>
      </w:pPr>
      <w:r>
        <w:rPr>
          <w:rFonts w:ascii="Arial" w:hAnsi="Arial"/>
          <w:color w:val="525252"/>
          <w:sz w:val="13"/>
        </w:rPr>
        <w:t>Airmen should know the reason decisions are made and how decisions will impact them and the organization.</w:t>
      </w:r>
    </w:p>
    <w:p>
      <w:pPr>
        <w:spacing w:after="20" w:line="223" w:lineRule="auto"/>
        <w:jc w:val="right"/>
        <w:bidi/>
      </w:pPr>
      <w:r>
        <w:rPr>
          <w:rFonts w:ascii="Arial" w:hAnsi="Arial"/>
          <w:sz w:val="16"/>
        </w:rPr>
        <w:t>260.19  انعطاف پذیری.</w:t>
      </w:r>
    </w:p>
    <w:p>
      <w:pPr>
        <w:spacing w:after="28" w:line="216" w:lineRule="auto"/>
        <w:ind w:left="259"/>
        <w:jc w:val="left"/>
      </w:pPr>
      <w:r>
        <w:rPr>
          <w:rFonts w:ascii="Arial" w:hAnsi="Arial"/>
          <w:color w:val="525252"/>
          <w:sz w:val="13"/>
        </w:rPr>
        <w:t>Flexibility.</w:t>
      </w:r>
    </w:p>
    <w:p>
      <w:pPr>
        <w:spacing w:after="20" w:line="223" w:lineRule="auto"/>
        <w:jc w:val="right"/>
        <w:bidi/>
      </w:pPr>
      <w:r>
        <w:rPr>
          <w:rFonts w:ascii="Arial" w:hAnsi="Arial"/>
          <w:sz w:val="16"/>
        </w:rPr>
        <w:t>260.20  رهبرانی که منعطف هستند به نظرات دیگر گوش می‌دهند، در مواقع لزوم خم می‌شوند و اگر اوضاع به خوبی پیش نمی‌رود از تغییر مسیر نمی‌ترسند.</w:t>
      </w:r>
    </w:p>
    <w:p>
      <w:pPr>
        <w:spacing w:after="28" w:line="216" w:lineRule="auto"/>
        <w:ind w:left="259"/>
        <w:jc w:val="left"/>
      </w:pPr>
      <w:r>
        <w:rPr>
          <w:rFonts w:ascii="Arial" w:hAnsi="Arial"/>
          <w:color w:val="525252"/>
          <w:sz w:val="13"/>
        </w:rPr>
        <w:t>Leaders who are flexible listen to other points of view, bend when necessary, and are not afraid to change course if things are not going well.</w:t>
      </w:r>
    </w:p>
    <w:p>
      <w:pPr>
        <w:spacing w:after="20" w:line="223" w:lineRule="auto"/>
        <w:jc w:val="right"/>
        <w:bidi/>
      </w:pPr>
      <w:r>
        <w:rPr>
          <w:rFonts w:ascii="Arial" w:hAnsi="Arial"/>
          <w:sz w:val="16"/>
        </w:rPr>
        <w:t>260.21  انعطاف‌پذیری یک ویژگی رهبری با ارزش در زمان‌های تغییر است.</w:t>
      </w:r>
    </w:p>
    <w:p>
      <w:pPr>
        <w:spacing w:after="28" w:line="216" w:lineRule="auto"/>
        <w:ind w:left="259"/>
        <w:jc w:val="left"/>
      </w:pPr>
      <w:r>
        <w:rPr>
          <w:rFonts w:ascii="Arial" w:hAnsi="Arial"/>
          <w:color w:val="525252"/>
          <w:sz w:val="13"/>
        </w:rPr>
        <w:t>Flexibility is an especially valued leadership trait during times of change.</w:t>
      </w:r>
    </w:p>
    <w:p>
      <w:pPr>
        <w:spacing w:after="20" w:line="223" w:lineRule="auto"/>
        <w:jc w:val="right"/>
        <w:bidi/>
      </w:pPr>
      <w:r>
        <w:rPr>
          <w:rFonts w:ascii="Arial" w:hAnsi="Arial"/>
          <w:sz w:val="16"/>
        </w:rPr>
        <w:t>260.22  تاب آوری.</w:t>
      </w:r>
    </w:p>
    <w:p>
      <w:pPr>
        <w:spacing w:after="28" w:line="216" w:lineRule="auto"/>
        <w:ind w:left="259"/>
        <w:jc w:val="left"/>
      </w:pPr>
      <w:r>
        <w:rPr>
          <w:rFonts w:ascii="Arial" w:hAnsi="Arial"/>
          <w:color w:val="525252"/>
          <w:sz w:val="13"/>
        </w:rPr>
        <w:t>Resilience.</w:t>
      </w:r>
    </w:p>
    <w:p>
      <w:pPr>
        <w:spacing w:after="20" w:line="223" w:lineRule="auto"/>
        <w:jc w:val="right"/>
        <w:bidi/>
      </w:pPr>
      <w:r>
        <w:rPr>
          <w:rFonts w:ascii="Arial" w:hAnsi="Arial"/>
          <w:sz w:val="16"/>
        </w:rPr>
        <w:t>260.23  رهبران در هر سطحی در یک سازمان دائما با چالش‌ها، تغییرات و انتقادات مواجه می‌شوند.</w:t>
      </w:r>
    </w:p>
    <w:p>
      <w:pPr>
        <w:spacing w:after="28" w:line="216" w:lineRule="auto"/>
        <w:ind w:left="259"/>
        <w:jc w:val="left"/>
      </w:pPr>
      <w:r>
        <w:rPr>
          <w:rFonts w:ascii="Arial" w:hAnsi="Arial"/>
          <w:color w:val="525252"/>
          <w:sz w:val="13"/>
        </w:rPr>
        <w:t>Leaders at every level within an organization constantly face challenges, changes, and criticisms.</w:t>
      </w:r>
    </w:p>
    <w:p>
      <w:pPr>
        <w:spacing w:after="20" w:line="223" w:lineRule="auto"/>
        <w:jc w:val="right"/>
        <w:bidi/>
      </w:pPr>
      <w:r>
        <w:rPr>
          <w:rFonts w:ascii="Arial" w:hAnsi="Arial"/>
          <w:sz w:val="16"/>
        </w:rPr>
        <w:t>260.24  رهبران انعطاف پذیر باید ترکیبی از شفقت و صلابت را داشته باشند تا در مواقع عدم اطمینان، انحراف، آشفتگی و درگیری پایداری کنند.</w:t>
      </w:r>
    </w:p>
    <w:p>
      <w:pPr>
        <w:spacing w:after="28" w:line="216" w:lineRule="auto"/>
        <w:ind w:left="259"/>
        <w:jc w:val="left"/>
      </w:pPr>
      <w:r>
        <w:rPr>
          <w:rFonts w:ascii="Arial" w:hAnsi="Arial"/>
          <w:color w:val="525252"/>
          <w:sz w:val="13"/>
        </w:rPr>
        <w:t>Resilient leaders must possess a combination of compassion and grit to persevere during times of uncertainty, deviation, turmoil, and conflict.</w:t>
      </w:r>
    </w:p>
    <w:p>
      <w:pPr>
        <w:spacing w:after="20" w:line="223" w:lineRule="auto"/>
        <w:jc w:val="right"/>
        <w:bidi/>
      </w:pPr>
      <w:r>
        <w:rPr>
          <w:rFonts w:ascii="Arial" w:hAnsi="Arial"/>
          <w:sz w:val="16"/>
        </w:rPr>
        <w:t>260.25  پاسخگویی.</w:t>
      </w:r>
    </w:p>
    <w:p>
      <w:pPr>
        <w:spacing w:after="28" w:line="216" w:lineRule="auto"/>
        <w:ind w:left="259"/>
        <w:jc w:val="left"/>
      </w:pPr>
      <w:r>
        <w:rPr>
          <w:rFonts w:ascii="Arial" w:hAnsi="Arial"/>
          <w:color w:val="525252"/>
          <w:sz w:val="13"/>
        </w:rPr>
        <w:t>Accountability.</w:t>
      </w:r>
    </w:p>
    <w:p>
      <w:pPr>
        <w:spacing w:after="20" w:line="223" w:lineRule="auto"/>
        <w:jc w:val="right"/>
        <w:bidi/>
      </w:pPr>
      <w:r>
        <w:rPr>
          <w:rFonts w:ascii="Arial" w:hAnsi="Arial"/>
          <w:sz w:val="16"/>
        </w:rPr>
        <w:t>260.26  ارتقای مسئولیت پذیری در محیط کار شامل ایجاد نقش‌ها و مسئولیت‌های روشن، پرورش احساس غرور و مالکیت در بین اعضای سازمان، ارائه بازخورد منظم به زیردستان، رهبری با صداقت و ارائه یک نمونه مثبت است.</w:t>
      </w:r>
    </w:p>
    <w:p>
      <w:pPr>
        <w:spacing w:after="28" w:line="216" w:lineRule="auto"/>
        <w:ind w:left="259"/>
        <w:jc w:val="left"/>
      </w:pPr>
      <w:r>
        <w:rPr>
          <w:rFonts w:ascii="Arial" w:hAnsi="Arial"/>
          <w:color w:val="525252"/>
          <w:sz w:val="13"/>
        </w:rPr>
        <w:t>Promoting accountability in the workplace includes establishing clear roles and responsibilities, cultivating a sense of pride and ownership among the members within the organization, providing regular feedback to subordinates, leading with integrity, and setting a positive example.</w:t>
      </w:r>
    </w:p>
    <w:p>
      <w:pPr>
        <w:spacing w:after="20" w:line="223" w:lineRule="auto"/>
        <w:jc w:val="right"/>
        <w:bidi/>
      </w:pPr>
      <w:r>
        <w:rPr>
          <w:rFonts w:ascii="Arial" w:hAnsi="Arial"/>
          <w:sz w:val="16"/>
        </w:rPr>
        <w:t>260.27  مسئولیت پذیری بر نظم و تنبیه مرتبط با عدم پاسخگویی متمرکز نیست. بلکه بر ایجاد و حفظ سازمانی دائما در حال یادگیری و همیشه در حال بهبود تمرکز دارد.</w:t>
      </w:r>
    </w:p>
    <w:p>
      <w:pPr>
        <w:spacing w:after="28" w:line="216" w:lineRule="auto"/>
        <w:ind w:left="259"/>
        <w:jc w:val="left"/>
      </w:pPr>
      <w:r>
        <w:rPr>
          <w:rFonts w:ascii="Arial" w:hAnsi="Arial"/>
          <w:color w:val="525252"/>
          <w:sz w:val="13"/>
        </w:rPr>
        <w:t>Accountability does not focus on the discipline and punishment associated with being unaccountable; but rather, concentrates on creating and sustaining a continuously learning and always improving organization.</w:t>
      </w:r>
    </w:p>
    <w:p>
      <w:pPr>
        <w:spacing w:after="20" w:line="223" w:lineRule="auto"/>
        <w:jc w:val="right"/>
        <w:bidi/>
      </w:pPr>
      <w:r>
        <w:rPr>
          <w:rFonts w:ascii="Arial" w:hAnsi="Arial"/>
          <w:sz w:val="16"/>
        </w:rPr>
        <w:t>260.28  نگرش مثبت.</w:t>
      </w:r>
    </w:p>
    <w:p>
      <w:pPr>
        <w:spacing w:after="28" w:line="216" w:lineRule="auto"/>
        <w:ind w:left="259"/>
        <w:jc w:val="left"/>
      </w:pPr>
      <w:r>
        <w:rPr>
          <w:rFonts w:ascii="Arial" w:hAnsi="Arial"/>
          <w:color w:val="525252"/>
          <w:sz w:val="13"/>
        </w:rPr>
        <w:t>Positive Attitude.</w:t>
      </w:r>
    </w:p>
    <w:p>
      <w:pPr>
        <w:spacing w:after="20" w:line="223" w:lineRule="auto"/>
        <w:jc w:val="right"/>
        <w:bidi/>
      </w:pPr>
      <w:r>
        <w:rPr>
          <w:rFonts w:ascii="Arial" w:hAnsi="Arial"/>
          <w:sz w:val="16"/>
        </w:rPr>
        <w:t>260.29  رهبران باید نگرشی را که می‌خواهند توسط پیروانشان تقلید کنند، نشان دهند.</w:t>
      </w:r>
    </w:p>
    <w:p>
      <w:pPr>
        <w:spacing w:after="28" w:line="216" w:lineRule="auto"/>
        <w:ind w:left="259"/>
        <w:jc w:val="left"/>
      </w:pPr>
      <w:r>
        <w:rPr>
          <w:rFonts w:ascii="Arial" w:hAnsi="Arial"/>
          <w:color w:val="525252"/>
          <w:sz w:val="13"/>
        </w:rPr>
        <w:t>Leaders must demonstrate the attitude they want emulated by their followers.</w:t>
      </w:r>
    </w:p>
    <w:p>
      <w:pPr>
        <w:spacing w:after="20" w:line="223" w:lineRule="auto"/>
        <w:jc w:val="right"/>
        <w:bidi/>
      </w:pPr>
      <w:r>
        <w:rPr>
          <w:rFonts w:ascii="Arial" w:hAnsi="Arial"/>
          <w:sz w:val="16"/>
        </w:rPr>
        <w:t>260.30  اشتیاق مثبت مسری است و می‌تواند انرژی را به تمام جنبه‌های عملیات سازمانی برساند.</w:t>
      </w:r>
    </w:p>
    <w:p>
      <w:pPr>
        <w:spacing w:after="28" w:line="216" w:lineRule="auto"/>
        <w:ind w:left="259"/>
        <w:jc w:val="left"/>
      </w:pPr>
      <w:r>
        <w:rPr>
          <w:rFonts w:ascii="Arial" w:hAnsi="Arial"/>
          <w:color w:val="525252"/>
          <w:sz w:val="13"/>
        </w:rPr>
        <w:t>Positive enthusiasm is contagious and can deliver energy to all aspects of organizational operations.</w:t>
      </w:r>
    </w:p>
    <w:p>
      <w:pPr>
        <w:spacing w:after="20" w:line="223" w:lineRule="auto"/>
        <w:jc w:val="right"/>
        <w:bidi/>
      </w:pPr>
      <w:r>
        <w:rPr>
          <w:rFonts w:ascii="Arial" w:hAnsi="Arial"/>
          <w:sz w:val="16"/>
        </w:rPr>
        <w:t>260.31  تشویق هوانوردان، و همچنین خود، یک انگیزه قوی است.</w:t>
      </w:r>
    </w:p>
    <w:p>
      <w:pPr>
        <w:spacing w:after="28" w:line="216" w:lineRule="auto"/>
        <w:ind w:left="259"/>
        <w:jc w:val="left"/>
      </w:pPr>
      <w:r>
        <w:rPr>
          <w:rFonts w:ascii="Arial" w:hAnsi="Arial"/>
          <w:color w:val="525252"/>
          <w:sz w:val="13"/>
        </w:rPr>
        <w:t>Encouraging Airmen, as well as oneself, is a powerful motivator.</w:t>
      </w:r>
    </w:p>
    <w:p>
      <w:pPr>
        <w:spacing w:after="20" w:line="223" w:lineRule="auto"/>
        <w:jc w:val="right"/>
        <w:bidi/>
      </w:pPr>
      <w:r>
        <w:rPr>
          <w:rFonts w:ascii="Arial" w:hAnsi="Arial"/>
          <w:sz w:val="16"/>
        </w:rPr>
        <w:t>260.32  رهبران مؤثر دائما اهداف مثبت را پذیرفته و نگرش مثبتی از خود نشان می‌دهند.</w:t>
      </w:r>
    </w:p>
    <w:p>
      <w:pPr>
        <w:spacing w:after="28" w:line="216" w:lineRule="auto"/>
        <w:ind w:left="259"/>
        <w:jc w:val="left"/>
      </w:pPr>
      <w:r>
        <w:rPr>
          <w:rFonts w:ascii="Arial" w:hAnsi="Arial"/>
          <w:color w:val="525252"/>
          <w:sz w:val="13"/>
        </w:rPr>
        <w:t>Effective leaders constantly embrace positive goals and display a positive attitude.</w:t>
      </w:r>
    </w:p>
    <w:p>
      <w:pPr>
        <w:spacing w:after="20" w:line="223" w:lineRule="auto"/>
        <w:jc w:val="right"/>
        <w:bidi/>
      </w:pPr>
      <w:r>
        <w:rPr>
          <w:rFonts w:ascii="Arial" w:hAnsi="Arial"/>
          <w:sz w:val="16"/>
        </w:rPr>
        <w:t>260.33  مقادیر.</w:t>
      </w:r>
    </w:p>
    <w:p>
      <w:pPr>
        <w:spacing w:after="28" w:line="216" w:lineRule="auto"/>
        <w:ind w:left="259"/>
        <w:jc w:val="left"/>
      </w:pPr>
      <w:r>
        <w:rPr>
          <w:rFonts w:ascii="Arial" w:hAnsi="Arial"/>
          <w:color w:val="525252"/>
          <w:sz w:val="13"/>
        </w:rPr>
        <w:t>Values.</w:t>
      </w:r>
    </w:p>
    <w:p>
      <w:pPr>
        <w:spacing w:after="20" w:line="223" w:lineRule="auto"/>
        <w:jc w:val="right"/>
        <w:bidi/>
      </w:pPr>
      <w:r>
        <w:rPr>
          <w:rFonts w:ascii="Arial" w:hAnsi="Arial"/>
          <w:sz w:val="16"/>
        </w:rPr>
        <w:t>260.34  میزان وجود ارزش‌های اعتماد، وفاداری و صداقت در رهبران یک سازمان مستقیما با اثربخشی سازمان مرتبط است.</w:t>
      </w:r>
    </w:p>
    <w:p>
      <w:pPr>
        <w:spacing w:after="28" w:line="216" w:lineRule="auto"/>
        <w:ind w:left="259"/>
        <w:jc w:val="left"/>
      </w:pPr>
      <w:r>
        <w:rPr>
          <w:rFonts w:ascii="Arial" w:hAnsi="Arial"/>
          <w:color w:val="525252"/>
          <w:sz w:val="13"/>
        </w:rPr>
        <w:t>The degree to which the values of trust, loyalty, and integrity are present in leaders of an organization directly relates to the organization’s effectiveness.</w:t>
      </w:r>
    </w:p>
    <w:p>
      <w:pPr>
        <w:spacing w:after="20" w:line="223" w:lineRule="auto"/>
        <w:jc w:val="right"/>
        <w:bidi/>
      </w:pPr>
      <w:r>
        <w:rPr>
          <w:rFonts w:ascii="Arial" w:hAnsi="Arial"/>
          <w:sz w:val="16"/>
        </w:rPr>
        <w:t>260.35  رهبری ظرفیت تولید و حفظ ارزشهای سازمانی، با ثبات و قابلیت اطمینان است.</w:t>
      </w:r>
    </w:p>
    <w:p>
      <w:pPr>
        <w:spacing w:after="28" w:line="216" w:lineRule="auto"/>
        <w:ind w:left="259"/>
        <w:jc w:val="left"/>
      </w:pPr>
      <w:r>
        <w:rPr>
          <w:rFonts w:ascii="Arial" w:hAnsi="Arial"/>
          <w:color w:val="525252"/>
          <w:sz w:val="13"/>
        </w:rPr>
        <w:t>Leadership is the capacity to generate and sustain organizational values, with consistency and reliability.</w:t>
      </w:r>
    </w:p>
    <w:p>
      <w:pPr>
        <w:spacing w:after="20" w:line="223" w:lineRule="auto"/>
        <w:jc w:val="right"/>
        <w:bidi/>
      </w:pPr>
      <w:r>
        <w:rPr>
          <w:rFonts w:ascii="Arial" w:hAnsi="Arial"/>
          <w:sz w:val="16"/>
        </w:rPr>
        <w:t>260.36  ایجاد ارزش‌ها باید شامل تمایل به حذف افرادی باشد که خود را با ارزش‌های سازمانی همسو نمی‌کنند.</w:t>
      </w:r>
    </w:p>
    <w:p>
      <w:pPr>
        <w:spacing w:after="28" w:line="216" w:lineRule="auto"/>
        <w:ind w:left="259"/>
        <w:jc w:val="left"/>
      </w:pPr>
      <w:r>
        <w:rPr>
          <w:rFonts w:ascii="Arial" w:hAnsi="Arial"/>
          <w:color w:val="525252"/>
          <w:sz w:val="13"/>
        </w:rPr>
        <w:t>Establishing values must include a willingness to remove people who do not align themselves with organizational values.</w:t>
      </w:r>
    </w:p>
    <w:p>
      <w:pPr>
        <w:spacing w:after="20" w:line="223" w:lineRule="auto"/>
        <w:jc w:val="right"/>
        <w:bidi/>
      </w:pPr>
      <w:r>
        <w:rPr>
          <w:rFonts w:ascii="Arial" w:hAnsi="Arial"/>
          <w:sz w:val="16"/>
        </w:rPr>
        <w:t>260.37  شایستگی.</w:t>
      </w:r>
    </w:p>
    <w:p>
      <w:pPr>
        <w:spacing w:after="28" w:line="216" w:lineRule="auto"/>
        <w:ind w:left="259"/>
        <w:jc w:val="left"/>
      </w:pPr>
      <w:r>
        <w:rPr>
          <w:rFonts w:ascii="Arial" w:hAnsi="Arial"/>
          <w:color w:val="525252"/>
          <w:sz w:val="13"/>
        </w:rPr>
        <w:t>Competence.</w:t>
      </w:r>
    </w:p>
    <w:p>
      <w:pPr>
        <w:spacing w:after="20" w:line="223" w:lineRule="auto"/>
        <w:jc w:val="right"/>
        <w:bidi/>
      </w:pPr>
      <w:r>
        <w:rPr>
          <w:rFonts w:ascii="Arial" w:hAnsi="Arial"/>
          <w:sz w:val="16"/>
        </w:rPr>
        <w:t>260.38  شایستگی با آموزش، آموزش و تجربه ایجاد می‌شود.</w:t>
      </w:r>
    </w:p>
    <w:p>
      <w:pPr>
        <w:spacing w:after="28" w:line="216" w:lineRule="auto"/>
        <w:ind w:left="259"/>
        <w:jc w:val="left"/>
      </w:pPr>
      <w:r>
        <w:rPr>
          <w:rFonts w:ascii="Arial" w:hAnsi="Arial"/>
          <w:color w:val="525252"/>
          <w:sz w:val="13"/>
        </w:rPr>
        <w:t>Competence is developed with training, education, and experience.</w:t>
      </w:r>
    </w:p>
    <w:p>
      <w:pPr>
        <w:spacing w:after="20" w:line="223" w:lineRule="auto"/>
        <w:jc w:val="right"/>
        <w:bidi/>
      </w:pPr>
      <w:r>
        <w:rPr>
          <w:rFonts w:ascii="Arial" w:hAnsi="Arial"/>
          <w:sz w:val="16"/>
        </w:rPr>
        <w:t>260.39  مهارت‌ها و توانایی‌های یک رهبر، آنها را قادر می‌سازد تا دیگران را با شایستگی برای رسیدن به مأموریت هدایت کنند.</w:t>
      </w:r>
    </w:p>
    <w:p>
      <w:pPr>
        <w:spacing w:after="28" w:line="216" w:lineRule="auto"/>
        <w:ind w:left="259"/>
        <w:jc w:val="left"/>
      </w:pPr>
      <w:r>
        <w:rPr>
          <w:rFonts w:ascii="Arial" w:hAnsi="Arial"/>
          <w:color w:val="525252"/>
          <w:sz w:val="13"/>
        </w:rPr>
        <w:t>The skills and abilities of a leader enable them to competently lead others to achieve the mission.</w:t>
      </w:r>
    </w:p>
    <w:p>
      <w:pPr>
        <w:spacing w:after="20" w:line="223" w:lineRule="auto"/>
        <w:jc w:val="right"/>
        <w:bidi/>
      </w:pPr>
      <w:r>
        <w:rPr>
          <w:rFonts w:ascii="Arial" w:hAnsi="Arial"/>
          <w:sz w:val="16"/>
        </w:rPr>
        <w:t>260.40  شخصیت.</w:t>
      </w:r>
    </w:p>
    <w:p>
      <w:pPr>
        <w:spacing w:after="28" w:line="216" w:lineRule="auto"/>
        <w:ind w:left="259"/>
        <w:jc w:val="left"/>
      </w:pPr>
      <w:r>
        <w:rPr>
          <w:rFonts w:ascii="Arial" w:hAnsi="Arial"/>
          <w:color w:val="525252"/>
          <w:sz w:val="13"/>
        </w:rPr>
        <w:t>Character.</w:t>
      </w:r>
    </w:p>
    <w:p>
      <w:pPr>
        <w:spacing w:after="20" w:line="223" w:lineRule="auto"/>
        <w:jc w:val="right"/>
        <w:bidi/>
      </w:pPr>
      <w:r>
        <w:rPr>
          <w:rFonts w:ascii="Arial" w:hAnsi="Arial"/>
          <w:sz w:val="16"/>
        </w:rPr>
        <w:t>260.41  شخصیت یعنی اینکه یک رهبر به‌عنوان یک شخص با توجه به شخصیت چه کسی است.</w:t>
      </w:r>
    </w:p>
    <w:p>
      <w:pPr>
        <w:spacing w:after="28" w:line="216" w:lineRule="auto"/>
        <w:ind w:left="259"/>
        <w:jc w:val="left"/>
      </w:pPr>
      <w:r>
        <w:rPr>
          <w:rFonts w:ascii="Arial" w:hAnsi="Arial"/>
          <w:color w:val="525252"/>
          <w:sz w:val="13"/>
        </w:rPr>
        <w:t>Character is who a leader is as a person with regard to personality.</w:t>
      </w:r>
    </w:p>
    <w:p>
      <w:pPr>
        <w:spacing w:after="20" w:line="223" w:lineRule="auto"/>
        <w:jc w:val="right"/>
        <w:bidi/>
      </w:pPr>
      <w:r>
        <w:rPr>
          <w:rFonts w:ascii="Arial" w:hAnsi="Arial"/>
          <w:sz w:val="16"/>
        </w:rPr>
        <w:t>260.42  شخصیت در طول زمان و از طریق تلاش و جاه طلبی ایجاد می‌شود.</w:t>
      </w:r>
    </w:p>
    <w:p>
      <w:pPr>
        <w:spacing w:after="28" w:line="216" w:lineRule="auto"/>
        <w:ind w:left="259"/>
        <w:jc w:val="left"/>
      </w:pPr>
      <w:r>
        <w:rPr>
          <w:rFonts w:ascii="Arial" w:hAnsi="Arial"/>
          <w:color w:val="525252"/>
          <w:sz w:val="13"/>
        </w:rPr>
        <w:t>Character is developed over time and through effort and ambition.</w:t>
      </w:r>
    </w:p>
    <w:p>
      <w:pPr>
        <w:spacing w:after="20" w:line="223" w:lineRule="auto"/>
        <w:jc w:val="right"/>
        <w:bidi/>
      </w:pPr>
      <w:r>
        <w:rPr>
          <w:rFonts w:ascii="Arial" w:hAnsi="Arial"/>
          <w:sz w:val="16"/>
        </w:rPr>
        <w:t>260.43  برای اینکه شخصیت مؤثر باشد، باید با شایستگی همراه باشد.</w:t>
      </w:r>
    </w:p>
    <w:p>
      <w:pPr>
        <w:spacing w:after="28" w:line="216" w:lineRule="auto"/>
        <w:ind w:left="259"/>
        <w:jc w:val="left"/>
      </w:pPr>
      <w:r>
        <w:rPr>
          <w:rFonts w:ascii="Arial" w:hAnsi="Arial"/>
          <w:color w:val="525252"/>
          <w:sz w:val="13"/>
        </w:rPr>
        <w:t>For character to be effective, it must be coupled with competence.</w:t>
      </w:r>
    </w:p>
    <w:p>
      <w:pPr>
        <w:spacing w:after="20" w:line="223" w:lineRule="auto"/>
        <w:jc w:val="right"/>
        <w:bidi/>
      </w:pPr>
      <w:r>
        <w:rPr>
          <w:rFonts w:ascii="Arial" w:hAnsi="Arial"/>
          <w:sz w:val="16"/>
        </w:rPr>
        <w:t>260.44  در حالی که شایستگی و شخصیت به صورت فردی ارزشمند تلقی می‌شود</w:t>
      </w:r>
    </w:p>
    <w:p>
      <w:pPr>
        <w:spacing w:after="28" w:line="216" w:lineRule="auto"/>
        <w:ind w:left="259"/>
        <w:jc w:val="left"/>
      </w:pPr>
      <w:r>
        <w:rPr>
          <w:rFonts w:ascii="Arial" w:hAnsi="Arial"/>
          <w:color w:val="525252"/>
          <w:sz w:val="13"/>
        </w:rPr>
        <w:t>While competence and character are individually considered valuable</w:t>
      </w:r>
    </w:p>
    <w:p>
      <w:r>
        <w:br w:type="page"/>
      </w:r>
    </w:p>
    <w:p>
      <w:pPr>
        <w:spacing w:after="60"/>
        <w:jc w:val="right"/>
        <w:bidi/>
      </w:pPr>
      <w:r>
        <w:rPr>
          <w:rFonts w:ascii="Arial" w:hAnsi="Arial"/>
          <w:b/>
          <w:color w:val="1F4D78"/>
          <w:sz w:val="19"/>
        </w:rPr>
        <w:t>هفتهٔ 261  |  صفحهٔ منبع: 277</w:t>
      </w:r>
    </w:p>
    <w:p>
      <w:pPr>
        <w:spacing w:after="20" w:line="223" w:lineRule="auto"/>
        <w:jc w:val="right"/>
        <w:bidi/>
      </w:pPr>
      <w:r>
        <w:rPr>
          <w:rFonts w:ascii="Arial" w:hAnsi="Arial"/>
          <w:sz w:val="16"/>
        </w:rPr>
        <w:t>261.01  ویژگی‌های رهبری، ترکیبی از هر دو برای اینکه افراد رهبران بزرگی باشند مورد نیاز است.</w:t>
      </w:r>
    </w:p>
    <w:p>
      <w:pPr>
        <w:spacing w:after="28" w:line="216" w:lineRule="auto"/>
        <w:ind w:left="259"/>
        <w:jc w:val="left"/>
      </w:pPr>
      <w:r>
        <w:rPr>
          <w:rFonts w:ascii="Arial" w:hAnsi="Arial"/>
          <w:color w:val="525252"/>
          <w:sz w:val="13"/>
        </w:rPr>
        <w:t>leadership traits, a combination of both is needed for individuals to be great leaders.</w:t>
      </w:r>
    </w:p>
    <w:p>
      <w:pPr>
        <w:spacing w:after="20" w:line="223" w:lineRule="auto"/>
        <w:jc w:val="right"/>
        <w:bidi/>
      </w:pPr>
      <w:r>
        <w:rPr>
          <w:rFonts w:ascii="Arial" w:hAnsi="Arial"/>
          <w:sz w:val="16"/>
        </w:rPr>
        <w:t>261.02  کاریزما.</w:t>
      </w:r>
    </w:p>
    <w:p>
      <w:pPr>
        <w:spacing w:after="28" w:line="216" w:lineRule="auto"/>
        <w:ind w:left="259"/>
        <w:jc w:val="left"/>
      </w:pPr>
      <w:r>
        <w:rPr>
          <w:rFonts w:ascii="Arial" w:hAnsi="Arial"/>
          <w:color w:val="525252"/>
          <w:sz w:val="13"/>
        </w:rPr>
        <w:t>Charisma.</w:t>
      </w:r>
    </w:p>
    <w:p>
      <w:pPr>
        <w:spacing w:after="20" w:line="223" w:lineRule="auto"/>
        <w:jc w:val="right"/>
        <w:bidi/>
      </w:pPr>
      <w:r>
        <w:rPr>
          <w:rFonts w:ascii="Arial" w:hAnsi="Arial"/>
          <w:sz w:val="16"/>
        </w:rPr>
        <w:t>261.03  کاریزما انرژی است که توسط رهبران ساطع می‌شود تا الهام بخش هوانوردان برای انجام یک کار یا هدف زمانی که جنبه‌های یک مأموریت ذاتا انگیزه یا قانع کننده نباشد.</w:t>
      </w:r>
    </w:p>
    <w:p>
      <w:pPr>
        <w:spacing w:after="28" w:line="216" w:lineRule="auto"/>
        <w:ind w:left="259"/>
        <w:jc w:val="left"/>
      </w:pPr>
      <w:r>
        <w:rPr>
          <w:rFonts w:ascii="Arial" w:hAnsi="Arial"/>
          <w:color w:val="525252"/>
          <w:sz w:val="13"/>
        </w:rPr>
        <w:t>Charisma is an energy that is emitted by leaders to inspire Airmen to perform a task or objective when aspects of a mission are not intrinsically motivating or compelling.</w:t>
      </w:r>
    </w:p>
    <w:p>
      <w:pPr>
        <w:spacing w:after="20" w:line="223" w:lineRule="auto"/>
        <w:jc w:val="right"/>
        <w:bidi/>
      </w:pPr>
      <w:r>
        <w:rPr>
          <w:rFonts w:ascii="Arial" w:hAnsi="Arial"/>
          <w:sz w:val="16"/>
        </w:rPr>
        <w:t>261.04  در حالی که کاریزما می‌تواند در تقویت روحیه مؤثر باشد، استفاده از آن نباید مغایر با اقتدار باشد یا نیت فرمانده را تضعیف کند.</w:t>
      </w:r>
    </w:p>
    <w:p>
      <w:pPr>
        <w:spacing w:after="28" w:line="216" w:lineRule="auto"/>
        <w:ind w:left="259"/>
        <w:jc w:val="left"/>
      </w:pPr>
      <w:r>
        <w:rPr>
          <w:rFonts w:ascii="Arial" w:hAnsi="Arial"/>
          <w:color w:val="525252"/>
          <w:sz w:val="13"/>
        </w:rPr>
        <w:t>While charisma can be effective at enhancing morale, its use should not be contrary to authority or undermine commander intent.</w:t>
      </w:r>
    </w:p>
    <w:p>
      <w:pPr>
        <w:spacing w:after="20" w:line="223" w:lineRule="auto"/>
        <w:jc w:val="right"/>
        <w:bidi/>
      </w:pPr>
      <w:r>
        <w:rPr>
          <w:rFonts w:ascii="Arial" w:hAnsi="Arial"/>
          <w:sz w:val="16"/>
        </w:rPr>
        <w:t>261.05  شفقت.</w:t>
      </w:r>
    </w:p>
    <w:p>
      <w:pPr>
        <w:spacing w:after="28" w:line="216" w:lineRule="auto"/>
        <w:ind w:left="259"/>
        <w:jc w:val="left"/>
      </w:pPr>
      <w:r>
        <w:rPr>
          <w:rFonts w:ascii="Arial" w:hAnsi="Arial"/>
          <w:color w:val="525252"/>
          <w:sz w:val="13"/>
        </w:rPr>
        <w:t>Compassion.</w:t>
      </w:r>
    </w:p>
    <w:p>
      <w:pPr>
        <w:spacing w:after="20" w:line="223" w:lineRule="auto"/>
        <w:jc w:val="right"/>
        <w:bidi/>
      </w:pPr>
      <w:r>
        <w:rPr>
          <w:rFonts w:ascii="Arial" w:hAnsi="Arial"/>
          <w:sz w:val="16"/>
        </w:rPr>
        <w:t>261.06  شفقت، دلسوزی و نگرانی برای بدبختی دیگران است.</w:t>
      </w:r>
    </w:p>
    <w:p>
      <w:pPr>
        <w:spacing w:after="28" w:line="216" w:lineRule="auto"/>
        <w:ind w:left="259"/>
        <w:jc w:val="left"/>
      </w:pPr>
      <w:r>
        <w:rPr>
          <w:rFonts w:ascii="Arial" w:hAnsi="Arial"/>
          <w:color w:val="525252"/>
          <w:sz w:val="13"/>
        </w:rPr>
        <w:t>Compassion is the sympathy and concern for the misfortunes of others.</w:t>
      </w:r>
    </w:p>
    <w:p>
      <w:pPr>
        <w:spacing w:after="20" w:line="223" w:lineRule="auto"/>
        <w:jc w:val="right"/>
        <w:bidi/>
      </w:pPr>
      <w:r>
        <w:rPr>
          <w:rFonts w:ascii="Arial" w:hAnsi="Arial"/>
          <w:sz w:val="16"/>
        </w:rPr>
        <w:t>261.07  شفقت ارتباط سالم، باز و صادقانه را ترویج می‌کند و محرکی را برای هواداران فراهم می‌کند تا در مورد مسائل شخصی بحث کنند و با آنها برخورد کنند.</w:t>
      </w:r>
    </w:p>
    <w:p>
      <w:pPr>
        <w:spacing w:after="28" w:line="216" w:lineRule="auto"/>
        <w:ind w:left="259"/>
        <w:jc w:val="left"/>
      </w:pPr>
      <w:r>
        <w:rPr>
          <w:rFonts w:ascii="Arial" w:hAnsi="Arial"/>
          <w:color w:val="525252"/>
          <w:sz w:val="13"/>
        </w:rPr>
        <w:t>Compassion promotes healthy, open, and honest communication, and provides the stimulus for Airmen to discuss and deal with personal issues.</w:t>
      </w:r>
    </w:p>
    <w:p>
      <w:pPr>
        <w:spacing w:after="20" w:line="223" w:lineRule="auto"/>
        <w:jc w:val="right"/>
        <w:bidi/>
      </w:pPr>
      <w:r>
        <w:rPr>
          <w:rFonts w:ascii="Arial" w:hAnsi="Arial"/>
          <w:sz w:val="16"/>
        </w:rPr>
        <w:t>261.08  شجاعت.</w:t>
      </w:r>
    </w:p>
    <w:p>
      <w:pPr>
        <w:spacing w:after="28" w:line="216" w:lineRule="auto"/>
        <w:ind w:left="259"/>
        <w:jc w:val="left"/>
      </w:pPr>
      <w:r>
        <w:rPr>
          <w:rFonts w:ascii="Arial" w:hAnsi="Arial"/>
          <w:color w:val="525252"/>
          <w:sz w:val="13"/>
        </w:rPr>
        <w:t>Courage.</w:t>
      </w:r>
    </w:p>
    <w:p>
      <w:pPr>
        <w:spacing w:after="20" w:line="223" w:lineRule="auto"/>
        <w:jc w:val="right"/>
        <w:bidi/>
      </w:pPr>
      <w:r>
        <w:rPr>
          <w:rFonts w:ascii="Arial" w:hAnsi="Arial"/>
          <w:sz w:val="16"/>
        </w:rPr>
        <w:t>261.09  رهبران شجاع باید شجاعت اخلاقی و فیزیکی را در جنگ و موقعیت‌های پرخطر و همچنین در زندگی روزمره نشان دهند.</w:t>
      </w:r>
    </w:p>
    <w:p>
      <w:pPr>
        <w:spacing w:after="28" w:line="216" w:lineRule="auto"/>
        <w:ind w:left="259"/>
        <w:jc w:val="left"/>
      </w:pPr>
      <w:r>
        <w:rPr>
          <w:rFonts w:ascii="Arial" w:hAnsi="Arial"/>
          <w:color w:val="525252"/>
          <w:sz w:val="13"/>
        </w:rPr>
        <w:t>Courageous leaders must demonstrate both moral and physical courage in combat and in high-risk situations, as well as in day-to-day life.</w:t>
      </w:r>
    </w:p>
    <w:p>
      <w:pPr>
        <w:spacing w:after="20" w:line="223" w:lineRule="auto"/>
        <w:jc w:val="right"/>
        <w:bidi/>
      </w:pPr>
      <w:r>
        <w:rPr>
          <w:rFonts w:ascii="Arial" w:hAnsi="Arial"/>
          <w:sz w:val="16"/>
        </w:rPr>
        <w:t>261.10  رهبری به شجاعت پرداختن به عملکرد غیر استاندارد یا رفتار غیرقابل قبول، استقبال از ایده‌های جدید، انجام کاری که از نظر اخلاقی درست است، زمانی که دیگران ترجیح می‌دهند رفتار دیگری انجام دهند، و صادق بودن نیاز دارد.</w:t>
      </w:r>
    </w:p>
    <w:p>
      <w:pPr>
        <w:spacing w:after="28" w:line="216" w:lineRule="auto"/>
        <w:ind w:left="259"/>
        <w:jc w:val="left"/>
      </w:pPr>
      <w:r>
        <w:rPr>
          <w:rFonts w:ascii="Arial" w:hAnsi="Arial"/>
          <w:color w:val="525252"/>
          <w:sz w:val="13"/>
        </w:rPr>
        <w:t>Leadership requires the courage to address sub-standard performance or unacceptable behavior, welcome new ideas, do what is ethically right when others prefer to do otherwise, and be honest.</w:t>
      </w:r>
    </w:p>
    <w:p>
      <w:pPr>
        <w:spacing w:after="20" w:line="223" w:lineRule="auto"/>
        <w:jc w:val="right"/>
        <w:bidi/>
      </w:pPr>
      <w:r>
        <w:rPr>
          <w:rFonts w:ascii="Arial" w:hAnsi="Arial"/>
          <w:sz w:val="16"/>
        </w:rPr>
        <w:t>261.11  اعمال شجاعت به دیگران الهام می‌بخشد تا در موقعیت‌های استرس‌زا خونسردی خود را حفظ کنند و محرک و تشویق را برای تحمل سختی‌ها فراهم می‌کنند.</w:t>
      </w:r>
    </w:p>
    <w:p>
      <w:pPr>
        <w:spacing w:after="28" w:line="216" w:lineRule="auto"/>
        <w:ind w:left="259"/>
        <w:jc w:val="left"/>
      </w:pPr>
      <w:r>
        <w:rPr>
          <w:rFonts w:ascii="Arial" w:hAnsi="Arial"/>
          <w:color w:val="525252"/>
          <w:sz w:val="13"/>
        </w:rPr>
        <w:t>Acts of courage inspire others to maintain composure in stressful situations, providing the stimulus and encouragement to endure hardships.</w:t>
      </w:r>
    </w:p>
    <w:p>
      <w:pPr>
        <w:spacing w:after="20" w:line="223" w:lineRule="auto"/>
        <w:jc w:val="right"/>
        <w:bidi/>
      </w:pPr>
      <w:r>
        <w:rPr>
          <w:rFonts w:ascii="Arial" w:hAnsi="Arial"/>
          <w:sz w:val="16"/>
        </w:rPr>
        <w:t>261.12  اعتبار.</w:t>
      </w:r>
    </w:p>
    <w:p>
      <w:pPr>
        <w:spacing w:after="28" w:line="216" w:lineRule="auto"/>
        <w:ind w:left="259"/>
        <w:jc w:val="left"/>
      </w:pPr>
      <w:r>
        <w:rPr>
          <w:rFonts w:ascii="Arial" w:hAnsi="Arial"/>
          <w:color w:val="525252"/>
          <w:sz w:val="13"/>
        </w:rPr>
        <w:t>Credibility.</w:t>
      </w:r>
    </w:p>
    <w:p>
      <w:pPr>
        <w:spacing w:after="20" w:line="223" w:lineRule="auto"/>
        <w:jc w:val="right"/>
        <w:bidi/>
      </w:pPr>
      <w:r>
        <w:rPr>
          <w:rFonts w:ascii="Arial" w:hAnsi="Arial"/>
          <w:sz w:val="16"/>
        </w:rPr>
        <w:t>261.13  اعتبار، کیفیت اعتماد و باور بودن است.</w:t>
      </w:r>
    </w:p>
    <w:p>
      <w:pPr>
        <w:spacing w:after="28" w:line="216" w:lineRule="auto"/>
        <w:ind w:left="259"/>
        <w:jc w:val="left"/>
      </w:pPr>
      <w:r>
        <w:rPr>
          <w:rFonts w:ascii="Arial" w:hAnsi="Arial"/>
          <w:color w:val="525252"/>
          <w:sz w:val="13"/>
        </w:rPr>
        <w:t>Credibility is the quality of being trusted and believed in.</w:t>
      </w:r>
    </w:p>
    <w:p>
      <w:pPr>
        <w:spacing w:after="20" w:line="223" w:lineRule="auto"/>
        <w:jc w:val="right"/>
        <w:bidi/>
      </w:pPr>
      <w:r>
        <w:rPr>
          <w:rFonts w:ascii="Arial" w:hAnsi="Arial"/>
          <w:sz w:val="16"/>
        </w:rPr>
        <w:t>261.14  رهبران معتبر باید تمرین کنند و فروتنی نشان دهند، تعهد خود را نسبت به سازمان و مأموریت نشان دهند و با بهره گیری از نقاط قوت منحصر به فرد هر یک از اعضای تیم، عملیات را بهینه کنند.</w:t>
      </w:r>
    </w:p>
    <w:p>
      <w:pPr>
        <w:spacing w:after="28" w:line="216" w:lineRule="auto"/>
        <w:ind w:left="259"/>
        <w:jc w:val="left"/>
      </w:pPr>
      <w:r>
        <w:rPr>
          <w:rFonts w:ascii="Arial" w:hAnsi="Arial"/>
          <w:color w:val="525252"/>
          <w:sz w:val="13"/>
        </w:rPr>
        <w:t>Credible leaders must exercise and demonstrate humility, show commitment to the organization and mission, and optimize operations by tapping into the unique strengths of each team member.</w:t>
      </w:r>
    </w:p>
    <w:p>
      <w:pPr>
        <w:spacing w:after="20" w:line="223" w:lineRule="auto"/>
        <w:jc w:val="right"/>
        <w:bidi/>
      </w:pPr>
      <w:r>
        <w:rPr>
          <w:rFonts w:ascii="Arial" w:hAnsi="Arial"/>
          <w:sz w:val="16"/>
        </w:rPr>
        <w:t>261.15  گاهی اوقات، رهبران باید مایل باشند که در کنار پیروان خود کار کنند تا کار را انجام دهند.</w:t>
      </w:r>
    </w:p>
    <w:p>
      <w:pPr>
        <w:spacing w:after="28" w:line="216" w:lineRule="auto"/>
        <w:ind w:left="259"/>
        <w:jc w:val="left"/>
      </w:pPr>
      <w:r>
        <w:rPr>
          <w:rFonts w:ascii="Arial" w:hAnsi="Arial"/>
          <w:color w:val="525252"/>
          <w:sz w:val="13"/>
        </w:rPr>
        <w:t>Occasionally, leaders must be willing to work alongside their followers to get the job done.</w:t>
      </w:r>
    </w:p>
    <w:p>
      <w:pPr>
        <w:spacing w:after="20" w:line="223" w:lineRule="auto"/>
        <w:jc w:val="right"/>
        <w:bidi/>
      </w:pPr>
      <w:r>
        <w:rPr>
          <w:rFonts w:ascii="Arial" w:hAnsi="Arial"/>
          <w:sz w:val="16"/>
        </w:rPr>
        <w:t>261.16  ممکن است سالها طول بکشد تا اعتبار از طریق رهبری مداوم، مداوم و صبور به دست آید و به راحتی با یک اقدام، تصمیم یا رفتار بدون فکر از بین برود.</w:t>
      </w:r>
    </w:p>
    <w:p>
      <w:pPr>
        <w:spacing w:after="28" w:line="216" w:lineRule="auto"/>
        <w:ind w:left="259"/>
        <w:jc w:val="left"/>
      </w:pPr>
      <w:r>
        <w:rPr>
          <w:rFonts w:ascii="Arial" w:hAnsi="Arial"/>
          <w:color w:val="525252"/>
          <w:sz w:val="13"/>
        </w:rPr>
        <w:t>Credibility may take years to earn through persistent, consistent, and patient leadership and can easily be lost with one thoughtless action, decision, or behavior.</w:t>
      </w:r>
    </w:p>
    <w:p>
      <w:pPr>
        <w:spacing w:after="20" w:line="223" w:lineRule="auto"/>
        <w:jc w:val="right"/>
        <w:bidi/>
      </w:pPr>
      <w:r>
        <w:rPr>
          <w:rFonts w:ascii="Arial" w:hAnsi="Arial"/>
          <w:sz w:val="16"/>
        </w:rPr>
        <w:t>261.17  رهبران موفق از طریق الگوبرداری و مسئولیت پذیری اعتبار کسب می‌کنند.</w:t>
      </w:r>
    </w:p>
    <w:p>
      <w:pPr>
        <w:spacing w:after="28" w:line="216" w:lineRule="auto"/>
        <w:ind w:left="259"/>
        <w:jc w:val="left"/>
      </w:pPr>
      <w:r>
        <w:rPr>
          <w:rFonts w:ascii="Arial" w:hAnsi="Arial"/>
          <w:color w:val="525252"/>
          <w:sz w:val="13"/>
        </w:rPr>
        <w:t>Successful leaders earn credibility through leading by example and taking responsibility.</w:t>
      </w:r>
    </w:p>
    <w:p>
      <w:pPr>
        <w:spacing w:after="20" w:line="223" w:lineRule="auto"/>
        <w:jc w:val="right"/>
        <w:bidi/>
      </w:pPr>
      <w:r>
        <w:rPr>
          <w:rFonts w:ascii="Arial" w:hAnsi="Arial"/>
          <w:sz w:val="16"/>
        </w:rPr>
        <w:t>261.18  یکی از عناصر حیاتی اعتبار یک رهبر، مسئولیت پذیری نه تنها در قبال اقدامات فردی او، بلکه در قبال اقدامات هوایی نیز است.</w:t>
      </w:r>
    </w:p>
    <w:p>
      <w:pPr>
        <w:spacing w:after="28" w:line="216" w:lineRule="auto"/>
        <w:ind w:left="259"/>
        <w:jc w:val="left"/>
      </w:pPr>
      <w:r>
        <w:rPr>
          <w:rFonts w:ascii="Arial" w:hAnsi="Arial"/>
          <w:color w:val="525252"/>
          <w:sz w:val="13"/>
        </w:rPr>
        <w:t>A crucial element of a leader’s credibility is taking responsibility not only for his or her individual actions, but also for those of the Airmen.</w:t>
      </w:r>
    </w:p>
    <w:p>
      <w:pPr>
        <w:spacing w:after="20" w:line="223" w:lineRule="auto"/>
        <w:jc w:val="right"/>
        <w:bidi/>
      </w:pPr>
      <w:r>
        <w:rPr>
          <w:rFonts w:ascii="Arial" w:hAnsi="Arial"/>
          <w:sz w:val="16"/>
        </w:rPr>
        <w:t>261.19  AFH ۳۶-۲۶۴۷، مدل‌سازی شایستگی، شامل پیوست‌هایی در مورد توسعه خود، توسعه دیگران، توسعه ایده‌ها و توسعه سازمان‌ها است.</w:t>
      </w:r>
    </w:p>
    <w:p>
      <w:pPr>
        <w:spacing w:after="28" w:line="216" w:lineRule="auto"/>
        <w:ind w:left="259"/>
        <w:jc w:val="left"/>
      </w:pPr>
      <w:r>
        <w:rPr>
          <w:rFonts w:ascii="Arial" w:hAnsi="Arial"/>
          <w:color w:val="525252"/>
          <w:sz w:val="13"/>
        </w:rPr>
        <w:t>AFH 36- 2647, Competency Modeling, includes attachments on developing self, developing others, developing ideas, and developing organizations.</w:t>
      </w:r>
    </w:p>
    <w:p>
      <w:r>
        <w:br w:type="page"/>
      </w:r>
    </w:p>
    <w:p>
      <w:pPr>
        <w:spacing w:after="60"/>
        <w:jc w:val="right"/>
        <w:bidi/>
      </w:pPr>
      <w:r>
        <w:rPr>
          <w:rFonts w:ascii="Arial" w:hAnsi="Arial"/>
          <w:b/>
          <w:color w:val="1F4D78"/>
          <w:sz w:val="19"/>
        </w:rPr>
        <w:t>هفتهٔ 262  |  صفحهٔ منبع: 278</w:t>
      </w:r>
    </w:p>
    <w:p>
      <w:pPr>
        <w:spacing w:before="60" w:after="28"/>
        <w:jc w:val="right"/>
        <w:bidi/>
      </w:pPr>
      <w:r>
        <w:rPr>
          <w:b/>
          <w:color w:val="1F4D78"/>
          <w:sz w:val="18"/>
        </w:rPr>
        <w:t>بخش 14E—حذف شد</w:t>
      </w:r>
    </w:p>
    <w:p>
      <w:pPr>
        <w:spacing w:after="20"/>
        <w:ind w:left="259"/>
        <w:jc w:val="left"/>
      </w:pPr>
      <w:r>
        <w:rPr>
          <w:color w:val="555555"/>
          <w:sz w:val="12"/>
        </w:rPr>
        <w:t>Section 14E—DELETED</w:t>
      </w:r>
    </w:p>
    <w:p>
      <w:r>
        <w:br w:type="page"/>
      </w:r>
    </w:p>
    <w:p>
      <w:pPr>
        <w:spacing w:after="60"/>
        <w:jc w:val="right"/>
        <w:bidi/>
      </w:pPr>
      <w:r>
        <w:rPr>
          <w:rFonts w:ascii="Arial" w:hAnsi="Arial"/>
          <w:b/>
          <w:color w:val="1F4D78"/>
          <w:sz w:val="19"/>
        </w:rPr>
        <w:t>هفتهٔ 263  |  صفحهٔ منبع: 279</w:t>
      </w:r>
    </w:p>
    <w:p>
      <w:pPr>
        <w:spacing w:before="60" w:after="28"/>
        <w:jc w:val="right"/>
        <w:bidi/>
      </w:pPr>
      <w:r>
        <w:rPr>
          <w:b/>
          <w:color w:val="1F4D78"/>
          <w:sz w:val="18"/>
        </w:rPr>
        <w:t>فصل 15</w:t>
      </w:r>
    </w:p>
    <w:p>
      <w:pPr>
        <w:spacing w:after="20"/>
        <w:ind w:left="259"/>
        <w:jc w:val="left"/>
      </w:pPr>
      <w:r>
        <w:rPr>
          <w:color w:val="555555"/>
          <w:sz w:val="12"/>
        </w:rPr>
        <w:t>Chapter 15</w:t>
      </w:r>
    </w:p>
    <w:p>
      <w:pPr>
        <w:spacing w:before="60" w:after="28"/>
        <w:jc w:val="right"/>
        <w:bidi/>
      </w:pPr>
      <w:r>
        <w:rPr>
          <w:b/>
          <w:color w:val="1F4D78"/>
          <w:sz w:val="18"/>
        </w:rPr>
        <w:t>در حال توسعه خود</w:t>
      </w:r>
    </w:p>
    <w:p>
      <w:pPr>
        <w:spacing w:after="20"/>
        <w:ind w:left="259"/>
        <w:jc w:val="left"/>
      </w:pPr>
      <w:r>
        <w:rPr>
          <w:color w:val="555555"/>
          <w:sz w:val="12"/>
        </w:rPr>
        <w:t>DEVELOPING SELF</w:t>
      </w:r>
    </w:p>
    <w:p>
      <w:pPr>
        <w:spacing w:before="60" w:after="28"/>
        <w:jc w:val="right"/>
        <w:bidi/>
      </w:pPr>
      <w:r>
        <w:rPr>
          <w:b/>
          <w:color w:val="1F4D78"/>
          <w:sz w:val="18"/>
        </w:rPr>
        <w:t>بخش 15A - مسئولیت پذیری و خود مدیریتی</w:t>
      </w:r>
    </w:p>
    <w:p>
      <w:pPr>
        <w:spacing w:after="20"/>
        <w:ind w:left="259"/>
        <w:jc w:val="left"/>
      </w:pPr>
      <w:r>
        <w:rPr>
          <w:color w:val="555555"/>
          <w:sz w:val="12"/>
        </w:rPr>
        <w:t>Section 15A—Accountability and Self-Management</w:t>
      </w:r>
    </w:p>
    <w:p>
      <w:pPr>
        <w:spacing w:before="60" w:after="28"/>
        <w:jc w:val="right"/>
        <w:bidi/>
      </w:pPr>
      <w:r>
        <w:rPr>
          <w:b/>
          <w:color w:val="1F4D78"/>
          <w:sz w:val="18"/>
        </w:rPr>
        <w:t>15.1. مسئولیت پذیری</w:t>
      </w:r>
    </w:p>
    <w:p>
      <w:pPr>
        <w:spacing w:after="20"/>
        <w:ind w:left="259"/>
        <w:jc w:val="left"/>
      </w:pPr>
      <w:r>
        <w:rPr>
          <w:color w:val="555555"/>
          <w:sz w:val="12"/>
        </w:rPr>
        <w:t>15.1. Accountability</w:t>
      </w:r>
    </w:p>
    <w:p>
      <w:pPr>
        <w:spacing w:after="20" w:line="223" w:lineRule="auto"/>
        <w:jc w:val="right"/>
        <w:bidi/>
      </w:pPr>
      <w:r>
        <w:rPr>
          <w:rFonts w:ascii="Arial" w:hAnsi="Arial"/>
          <w:sz w:val="16"/>
        </w:rPr>
        <w:t>263.05  مسئولیت پذیری به‌عنوان نشان دادن قابلیت اطمینان و صداقت و مسئولیت پذیری در قبال رفتارهای خود و تیم تعریف می‌شود.</w:t>
      </w:r>
    </w:p>
    <w:p>
      <w:pPr>
        <w:spacing w:after="28" w:line="216" w:lineRule="auto"/>
        <w:ind w:left="259"/>
        <w:jc w:val="left"/>
      </w:pPr>
      <w:r>
        <w:rPr>
          <w:rFonts w:ascii="Arial" w:hAnsi="Arial"/>
          <w:color w:val="525252"/>
          <w:sz w:val="13"/>
        </w:rPr>
        <w:t>Accountability is defined as demonstrating reliability and honesty and taking responsibility for the behaviors of self and team.</w:t>
      </w:r>
    </w:p>
    <w:p>
      <w:pPr>
        <w:spacing w:after="20" w:line="223" w:lineRule="auto"/>
        <w:jc w:val="right"/>
        <w:bidi/>
      </w:pPr>
      <w:r>
        <w:rPr>
          <w:rFonts w:ascii="Arial" w:hAnsi="Arial"/>
          <w:sz w:val="16"/>
        </w:rPr>
        <w:t>263.06  مسئولیت پذیری در هسته اصلی معنای هوادار بودن است.</w:t>
      </w:r>
    </w:p>
    <w:p>
      <w:pPr>
        <w:spacing w:after="28" w:line="216" w:lineRule="auto"/>
        <w:ind w:left="259"/>
        <w:jc w:val="left"/>
      </w:pPr>
      <w:r>
        <w:rPr>
          <w:rFonts w:ascii="Arial" w:hAnsi="Arial"/>
          <w:color w:val="525252"/>
          <w:sz w:val="13"/>
        </w:rPr>
        <w:t>Accountability is at the core of what it means to be an Airman.</w:t>
      </w:r>
    </w:p>
    <w:p>
      <w:pPr>
        <w:spacing w:after="20" w:line="223" w:lineRule="auto"/>
        <w:jc w:val="right"/>
        <w:bidi/>
      </w:pPr>
      <w:r>
        <w:rPr>
          <w:rFonts w:ascii="Arial" w:hAnsi="Arial"/>
          <w:sz w:val="16"/>
        </w:rPr>
        <w:t>263.07  در نظرسنجی از اعضای USAF، مسئولیت پذیری به‌طور مداوم به‌عنوان مهم‌ترین شایستگی اساسی برای موفقیت در یک حرفه USAF رتبه بندی شده است.</w:t>
      </w:r>
    </w:p>
    <w:p>
      <w:pPr>
        <w:spacing w:after="28" w:line="216" w:lineRule="auto"/>
        <w:ind w:left="259"/>
        <w:jc w:val="left"/>
      </w:pPr>
      <w:r>
        <w:rPr>
          <w:rFonts w:ascii="Arial" w:hAnsi="Arial"/>
          <w:color w:val="525252"/>
          <w:sz w:val="13"/>
        </w:rPr>
        <w:t>In surveys of USAF members, accountability has been consistently rated as the most important foundational competency for success in a USAF career.</w:t>
      </w:r>
    </w:p>
    <w:p>
      <w:pPr>
        <w:spacing w:after="20" w:line="223" w:lineRule="auto"/>
        <w:jc w:val="right"/>
        <w:bidi/>
      </w:pPr>
      <w:r>
        <w:rPr>
          <w:rFonts w:ascii="Arial" w:hAnsi="Arial"/>
          <w:sz w:val="16"/>
        </w:rPr>
        <w:t>263.08  مسئولیت پذیری مستلزم الگوبرداری، اعتراف به اشتباهات و انجام کار درست حتی زمانی که نامحبوب یا دشوار است.</w:t>
      </w:r>
    </w:p>
    <w:p>
      <w:pPr>
        <w:spacing w:after="28" w:line="216" w:lineRule="auto"/>
        <w:ind w:left="259"/>
        <w:jc w:val="left"/>
      </w:pPr>
      <w:r>
        <w:rPr>
          <w:rFonts w:ascii="Arial" w:hAnsi="Arial"/>
          <w:color w:val="525252"/>
          <w:sz w:val="13"/>
        </w:rPr>
        <w:t>Accountability requires leading by example, admitting mistakes, and doing the right thing even when it is unpopular or difficult.</w:t>
      </w:r>
    </w:p>
    <w:p>
      <w:pPr>
        <w:spacing w:after="20" w:line="223" w:lineRule="auto"/>
        <w:jc w:val="right"/>
        <w:bidi/>
      </w:pPr>
      <w:r>
        <w:rPr>
          <w:rFonts w:ascii="Arial" w:hAnsi="Arial"/>
          <w:sz w:val="16"/>
        </w:rPr>
        <w:t>263.09  هوانوردان پاسخگو ارزش‌های اصلی USAF یعنی صداقت، خدمات قبل از خود، و برتری در تمام کارهایی که انجام می‌دهیم را تجسم می‌دهند - و مسئولیت شخصی را حتی در مواجهه با چالش‌برانگیزترین موقعیت‌ها بر عهده می‌گیرند.</w:t>
      </w:r>
    </w:p>
    <w:p>
      <w:pPr>
        <w:spacing w:after="28" w:line="216" w:lineRule="auto"/>
        <w:ind w:left="259"/>
        <w:jc w:val="left"/>
      </w:pPr>
      <w:r>
        <w:rPr>
          <w:rFonts w:ascii="Arial" w:hAnsi="Arial"/>
          <w:color w:val="525252"/>
          <w:sz w:val="13"/>
        </w:rPr>
        <w:t>Accountable Airmen embody the USAF Core Values of Integrity First, Service Before Self, and Excellence in All We Do—and take personal responsibility even when faced with the most challenging situations.</w:t>
      </w:r>
    </w:p>
    <w:p>
      <w:pPr>
        <w:spacing w:after="20" w:line="223" w:lineRule="auto"/>
        <w:jc w:val="right"/>
        <w:bidi/>
      </w:pPr>
      <w:r>
        <w:rPr>
          <w:rFonts w:ascii="Arial" w:hAnsi="Arial"/>
          <w:sz w:val="16"/>
        </w:rPr>
        <w:t>263.10  ممکن است همیشه نقش مهمی را که اعمال (یا بی‌عملی) شما در یک موقعیت ایفا می‌کند، درک نکنید.</w:t>
      </w:r>
    </w:p>
    <w:p>
      <w:pPr>
        <w:spacing w:after="28" w:line="216" w:lineRule="auto"/>
        <w:ind w:left="259"/>
        <w:jc w:val="left"/>
      </w:pPr>
      <w:r>
        <w:rPr>
          <w:rFonts w:ascii="Arial" w:hAnsi="Arial"/>
          <w:color w:val="525252"/>
          <w:sz w:val="13"/>
        </w:rPr>
        <w:t>You may not always recognize the important role your actions (or inaction) can play in a situation.</w:t>
      </w:r>
    </w:p>
    <w:p>
      <w:pPr>
        <w:spacing w:after="20" w:line="223" w:lineRule="auto"/>
        <w:jc w:val="right"/>
        <w:bidi/>
      </w:pPr>
      <w:r>
        <w:rPr>
          <w:rFonts w:ascii="Arial" w:hAnsi="Arial"/>
          <w:sz w:val="16"/>
        </w:rPr>
        <w:t>263.11  مسئولیت شخصی مستلزم: درک اهمیت و غیرقابل برگشت بالقوه شکست در اقدام است شناخت شایستگی و توانایی خود برای برداشتن گام هایی که در یک موقعیت خاص مورد نیاز است (خودکارآمدی) اقدام به دلیل کنترل شخصی (خودمختاری) برای مثال، تصور کنید در یک تاسیسات هسته‌ای کار می‌کنید.</w:t>
      </w:r>
    </w:p>
    <w:p>
      <w:pPr>
        <w:spacing w:after="28" w:line="216" w:lineRule="auto"/>
        <w:ind w:left="259"/>
        <w:jc w:val="left"/>
      </w:pPr>
      <w:r>
        <w:rPr>
          <w:rFonts w:ascii="Arial" w:hAnsi="Arial"/>
          <w:color w:val="525252"/>
          <w:sz w:val="13"/>
        </w:rPr>
        <w:t>Taking personal responsibility requires: Understanding the significance and potential irreversibility of failing to act Recognizing your competence and ability to take the steps that are needed in a given situation (self-efficacy) Acting out of a sense of personal control (autonomy) For example, imagine you are working in a nuclear facility.</w:t>
      </w:r>
    </w:p>
    <w:p>
      <w:pPr>
        <w:spacing w:after="20" w:line="223" w:lineRule="auto"/>
        <w:jc w:val="right"/>
        <w:bidi/>
      </w:pPr>
      <w:r>
        <w:rPr>
          <w:rFonts w:ascii="Arial" w:hAnsi="Arial"/>
          <w:sz w:val="16"/>
        </w:rPr>
        <w:t>263.12  متوجه می‌شوید که یکی از دوستان شما، متخصص سلاح‌های هسته‌ای، در امتحاناتش تقلب کرده است تا گواهینامه سیستم تسلیحات را حفظ کند.</w:t>
      </w:r>
    </w:p>
    <w:p>
      <w:pPr>
        <w:spacing w:after="28" w:line="216" w:lineRule="auto"/>
        <w:ind w:left="259"/>
        <w:jc w:val="left"/>
      </w:pPr>
      <w:r>
        <w:rPr>
          <w:rFonts w:ascii="Arial" w:hAnsi="Arial"/>
          <w:color w:val="525252"/>
          <w:sz w:val="13"/>
        </w:rPr>
        <w:t>You find out that one of your friends, a nuclear weapons specialist, has been cheating on his exams to maintain weapons system certification.</w:t>
      </w:r>
    </w:p>
    <w:p>
      <w:pPr>
        <w:spacing w:after="20" w:line="223" w:lineRule="auto"/>
        <w:jc w:val="right"/>
        <w:bidi/>
      </w:pPr>
      <w:r>
        <w:rPr>
          <w:rFonts w:ascii="Arial" w:hAnsi="Arial"/>
          <w:sz w:val="16"/>
        </w:rPr>
        <w:t>263.13  آیا او را گزارش می‌دهید؟</w:t>
      </w:r>
    </w:p>
    <w:p>
      <w:pPr>
        <w:spacing w:after="28" w:line="216" w:lineRule="auto"/>
        <w:ind w:left="259"/>
        <w:jc w:val="left"/>
      </w:pPr>
      <w:r>
        <w:rPr>
          <w:rFonts w:ascii="Arial" w:hAnsi="Arial"/>
          <w:color w:val="525252"/>
          <w:sz w:val="13"/>
        </w:rPr>
        <w:t>Do you report him?</w:t>
      </w:r>
    </w:p>
    <w:p>
      <w:pPr>
        <w:spacing w:after="20" w:line="223" w:lineRule="auto"/>
        <w:jc w:val="right"/>
        <w:bidi/>
      </w:pPr>
      <w:r>
        <w:rPr>
          <w:rFonts w:ascii="Arial" w:hAnsi="Arial"/>
          <w:sz w:val="16"/>
        </w:rPr>
        <w:t>263.14  اگر سرپرستتان به شما بگوید که موضوع را نادیده بگیرید چه؟</w:t>
      </w:r>
    </w:p>
    <w:p>
      <w:pPr>
        <w:spacing w:after="28" w:line="216" w:lineRule="auto"/>
        <w:ind w:left="259"/>
        <w:jc w:val="left"/>
      </w:pPr>
      <w:r>
        <w:rPr>
          <w:rFonts w:ascii="Arial" w:hAnsi="Arial"/>
          <w:color w:val="525252"/>
          <w:sz w:val="13"/>
        </w:rPr>
        <w:t>What if your supervisor tells you to ignore the issue?</w:t>
      </w:r>
    </w:p>
    <w:p>
      <w:pPr>
        <w:spacing w:after="20" w:line="223" w:lineRule="auto"/>
        <w:jc w:val="right"/>
        <w:bidi/>
      </w:pPr>
      <w:r>
        <w:rPr>
          <w:rFonts w:ascii="Arial" w:hAnsi="Arial"/>
          <w:sz w:val="16"/>
        </w:rPr>
        <w:t>263.15  تصور کنید که به‌عنوان یک مربی آموزش نظامی مشغول به کار هستید.</w:t>
      </w:r>
    </w:p>
    <w:p>
      <w:pPr>
        <w:spacing w:after="28" w:line="216" w:lineRule="auto"/>
        <w:ind w:left="259"/>
        <w:jc w:val="left"/>
      </w:pPr>
      <w:r>
        <w:rPr>
          <w:rFonts w:ascii="Arial" w:hAnsi="Arial"/>
          <w:color w:val="525252"/>
          <w:sz w:val="13"/>
        </w:rPr>
        <w:t>Imagine you are working as a military training instructor.</w:t>
      </w:r>
    </w:p>
    <w:p>
      <w:pPr>
        <w:spacing w:after="20" w:line="223" w:lineRule="auto"/>
        <w:jc w:val="right"/>
        <w:bidi/>
      </w:pPr>
      <w:r>
        <w:rPr>
          <w:rFonts w:ascii="Arial" w:hAnsi="Arial"/>
          <w:sz w:val="16"/>
        </w:rPr>
        <w:t>263.16  مشاهده می‌کنید که یکی از همسالان‌تان به شدت به‌کارآموزانش فشار می‌آورد، وقتی اشتباه می‌کنند بر سر آنها فحاشی می‌کند و آنها را مجبور می‌کند ساعت‌های بیشتری از زمان مجاز تمرین کنند.</w:t>
      </w:r>
    </w:p>
    <w:p>
      <w:pPr>
        <w:spacing w:after="28" w:line="216" w:lineRule="auto"/>
        <w:ind w:left="259"/>
        <w:jc w:val="left"/>
      </w:pPr>
      <w:r>
        <w:rPr>
          <w:rFonts w:ascii="Arial" w:hAnsi="Arial"/>
          <w:color w:val="525252"/>
          <w:sz w:val="13"/>
        </w:rPr>
        <w:t>You observe one of your peers pushing his trainees too hard, yelling obscenities at them when they make mistakes, and forcing them to train more hours than is authorized.</w:t>
      </w:r>
    </w:p>
    <w:p>
      <w:pPr>
        <w:spacing w:after="20" w:line="223" w:lineRule="auto"/>
        <w:jc w:val="right"/>
        <w:bidi/>
      </w:pPr>
      <w:r>
        <w:rPr>
          <w:rFonts w:ascii="Arial" w:hAnsi="Arial"/>
          <w:sz w:val="16"/>
        </w:rPr>
        <w:t>263.17  چیزی خواهی گفت؟</w:t>
      </w:r>
    </w:p>
    <w:p>
      <w:pPr>
        <w:spacing w:after="28" w:line="216" w:lineRule="auto"/>
        <w:ind w:left="259"/>
        <w:jc w:val="left"/>
      </w:pPr>
      <w:r>
        <w:rPr>
          <w:rFonts w:ascii="Arial" w:hAnsi="Arial"/>
          <w:color w:val="525252"/>
          <w:sz w:val="13"/>
        </w:rPr>
        <w:t>Will you say something?</w:t>
      </w:r>
    </w:p>
    <w:p>
      <w:pPr>
        <w:spacing w:after="20" w:line="223" w:lineRule="auto"/>
        <w:jc w:val="right"/>
        <w:bidi/>
      </w:pPr>
      <w:r>
        <w:rPr>
          <w:rFonts w:ascii="Arial" w:hAnsi="Arial"/>
          <w:sz w:val="16"/>
        </w:rPr>
        <w:t>263.18  اگر رهبری فوری شما به همتایان شما فشار می‌آورد که ساعت‌های بیشتری را برای دستیابی به اهداف آموزشی به‌کارآموزان خود کار کنند، چه؟</w:t>
      </w:r>
    </w:p>
    <w:p>
      <w:pPr>
        <w:spacing w:after="28" w:line="216" w:lineRule="auto"/>
        <w:ind w:left="259"/>
        <w:jc w:val="left"/>
      </w:pPr>
      <w:r>
        <w:rPr>
          <w:rFonts w:ascii="Arial" w:hAnsi="Arial"/>
          <w:color w:val="525252"/>
          <w:sz w:val="13"/>
        </w:rPr>
        <w:t>What if your immediate leadership is pressuring your peer to work his trainees more hours in order to meet training goals?</w:t>
      </w:r>
    </w:p>
    <w:p>
      <w:pPr>
        <w:spacing w:after="20" w:line="223" w:lineRule="auto"/>
        <w:jc w:val="right"/>
        <w:bidi/>
      </w:pPr>
      <w:r>
        <w:rPr>
          <w:rFonts w:ascii="Arial" w:hAnsi="Arial"/>
          <w:sz w:val="16"/>
        </w:rPr>
        <w:t>263.19  اهمیت.</w:t>
      </w:r>
    </w:p>
    <w:p>
      <w:pPr>
        <w:spacing w:after="28" w:line="216" w:lineRule="auto"/>
        <w:ind w:left="259"/>
        <w:jc w:val="left"/>
      </w:pPr>
      <w:r>
        <w:rPr>
          <w:rFonts w:ascii="Arial" w:hAnsi="Arial"/>
          <w:color w:val="525252"/>
          <w:sz w:val="13"/>
        </w:rPr>
        <w:t>Significance.</w:t>
      </w:r>
    </w:p>
    <w:p>
      <w:pPr>
        <w:spacing w:after="20" w:line="223" w:lineRule="auto"/>
        <w:jc w:val="right"/>
        <w:bidi/>
      </w:pPr>
      <w:r>
        <w:rPr>
          <w:rFonts w:ascii="Arial" w:hAnsi="Arial"/>
          <w:sz w:val="16"/>
        </w:rPr>
        <w:t>263.20  در هر یک از این موقعیت‌ها، سعی کنید با فکر کردن به تصویر بزرگتر، اهمیت موقعیت را درک کنید.</w:t>
      </w:r>
    </w:p>
    <w:p>
      <w:pPr>
        <w:spacing w:after="28" w:line="216" w:lineRule="auto"/>
        <w:ind w:left="259"/>
        <w:jc w:val="left"/>
      </w:pPr>
      <w:r>
        <w:rPr>
          <w:rFonts w:ascii="Arial" w:hAnsi="Arial"/>
          <w:color w:val="525252"/>
          <w:sz w:val="13"/>
        </w:rPr>
        <w:t>In each of these situations, try to understand the significance of the situation by thinking about the bigger picture.</w:t>
      </w:r>
    </w:p>
    <w:p>
      <w:pPr>
        <w:spacing w:after="20" w:line="223" w:lineRule="auto"/>
        <w:jc w:val="right"/>
        <w:bidi/>
      </w:pPr>
      <w:r>
        <w:rPr>
          <w:rFonts w:ascii="Arial" w:hAnsi="Arial"/>
          <w:sz w:val="16"/>
        </w:rPr>
        <w:t>263.21  چه می‌شود اگر در این موقعیت‌ها همان روشی که شما به همکارتان پاسخ می‌دهید، همان روشی باشد که سایر افراد در USAF در موقعیت‌های مشابه پاسخ می‌دهند؟</w:t>
      </w:r>
    </w:p>
    <w:p>
      <w:pPr>
        <w:spacing w:after="28" w:line="216" w:lineRule="auto"/>
        <w:ind w:left="259"/>
        <w:jc w:val="left"/>
      </w:pPr>
      <w:r>
        <w:rPr>
          <w:rFonts w:ascii="Arial" w:hAnsi="Arial"/>
          <w:color w:val="525252"/>
          <w:sz w:val="13"/>
        </w:rPr>
        <w:t>What if the same way you responded to your co-worker in these situations was the way other people in the USAF were responding in similar situations?</w:t>
      </w:r>
    </w:p>
    <w:p>
      <w:pPr>
        <w:spacing w:after="20" w:line="223" w:lineRule="auto"/>
        <w:jc w:val="right"/>
        <w:bidi/>
      </w:pPr>
      <w:r>
        <w:rPr>
          <w:rFonts w:ascii="Arial" w:hAnsi="Arial"/>
          <w:sz w:val="16"/>
        </w:rPr>
        <w:t>263.22  یعنی، اگر نه تنها یک، بلکه تعداد زیادی MTI کارآموزان خود را به شدت فشار می‌دادند، چه اتفاقی می‌افتاد؟</w:t>
      </w:r>
    </w:p>
    <w:p>
      <w:pPr>
        <w:spacing w:after="28" w:line="216" w:lineRule="auto"/>
        <w:ind w:left="259"/>
        <w:jc w:val="left"/>
      </w:pPr>
      <w:r>
        <w:rPr>
          <w:rFonts w:ascii="Arial" w:hAnsi="Arial"/>
          <w:color w:val="525252"/>
          <w:sz w:val="13"/>
        </w:rPr>
        <w:t>That is, what would happen if not just one, but many, MTIs pushed their trainees too hard, to the point of physical injury?</w:t>
      </w:r>
    </w:p>
    <w:p>
      <w:pPr>
        <w:spacing w:after="20" w:line="223" w:lineRule="auto"/>
        <w:jc w:val="right"/>
        <w:bidi/>
      </w:pPr>
      <w:r>
        <w:rPr>
          <w:rFonts w:ascii="Arial" w:hAnsi="Arial"/>
          <w:sz w:val="16"/>
        </w:rPr>
        <w:t>263.23  اگر نه تنها یک متخصص تسلیحات هسته‌ای، بلکه بسیاری از متخصصان تسلیحات هسته‌ای تخصص کافی برای تعمیر تجهیزات کلیدی یا پیروی صحیح روش‌های اضطراری را نداشته باشند، چه اتفاقی می‌افتد؟</w:t>
      </w:r>
    </w:p>
    <w:p>
      <w:pPr>
        <w:spacing w:after="28" w:line="216" w:lineRule="auto"/>
        <w:ind w:left="259"/>
        <w:jc w:val="left"/>
      </w:pPr>
      <w:r>
        <w:rPr>
          <w:rFonts w:ascii="Arial" w:hAnsi="Arial"/>
          <w:color w:val="525252"/>
          <w:sz w:val="13"/>
        </w:rPr>
        <w:t>What would happen if not just one, but many, nuclear weapons specialists didn’t have sufficient expertise to repair key equipment or correctly follow emergency procedures?</w:t>
      </w:r>
    </w:p>
    <w:p>
      <w:pPr>
        <w:spacing w:after="20" w:line="223" w:lineRule="auto"/>
        <w:jc w:val="right"/>
        <w:bidi/>
      </w:pPr>
      <w:r>
        <w:rPr>
          <w:rFonts w:ascii="Arial" w:hAnsi="Arial"/>
          <w:sz w:val="16"/>
        </w:rPr>
        <w:t>263.24  روشی که شما به این موقعیت‌ها پاسخ می‌دهید در مورد اینکه چه کسی هستید چه می‌گوید؟</w:t>
      </w:r>
    </w:p>
    <w:p>
      <w:pPr>
        <w:spacing w:after="28" w:line="216" w:lineRule="auto"/>
        <w:ind w:left="259"/>
        <w:jc w:val="left"/>
      </w:pPr>
      <w:r>
        <w:rPr>
          <w:rFonts w:ascii="Arial" w:hAnsi="Arial"/>
          <w:color w:val="525252"/>
          <w:sz w:val="13"/>
        </w:rPr>
        <w:t>What does the way you would respond to these situations say about who you are as a person?</w:t>
      </w:r>
    </w:p>
    <w:p>
      <w:pPr>
        <w:spacing w:after="20" w:line="223" w:lineRule="auto"/>
        <w:jc w:val="right"/>
        <w:bidi/>
      </w:pPr>
      <w:r>
        <w:rPr>
          <w:rFonts w:ascii="Arial" w:hAnsi="Arial"/>
          <w:sz w:val="16"/>
        </w:rPr>
        <w:t>263.25  آیا شما فردی هستید که تقلب می‌کنید و متقلبان را فعال می‌کنید؟</w:t>
      </w:r>
    </w:p>
    <w:p>
      <w:pPr>
        <w:spacing w:after="28" w:line="216" w:lineRule="auto"/>
        <w:ind w:left="259"/>
        <w:jc w:val="left"/>
      </w:pPr>
      <w:r>
        <w:rPr>
          <w:rFonts w:ascii="Arial" w:hAnsi="Arial"/>
          <w:color w:val="525252"/>
          <w:sz w:val="13"/>
        </w:rPr>
        <w:t>Are you someone who cheats and enables cheaters?</w:t>
      </w:r>
    </w:p>
    <w:p>
      <w:pPr>
        <w:spacing w:after="20" w:line="223" w:lineRule="auto"/>
        <w:jc w:val="right"/>
        <w:bidi/>
      </w:pPr>
      <w:r>
        <w:rPr>
          <w:rFonts w:ascii="Arial" w:hAnsi="Arial"/>
          <w:sz w:val="16"/>
        </w:rPr>
        <w:t>263.26  آیا شما فردی هستید که وقتی خطرات احتمالی برای امنیت وجود دارد، به سمت دیگری نگاه می‌کنید؟</w:t>
      </w:r>
    </w:p>
    <w:p>
      <w:pPr>
        <w:spacing w:after="28" w:line="216" w:lineRule="auto"/>
        <w:ind w:left="259"/>
        <w:jc w:val="left"/>
      </w:pPr>
      <w:r>
        <w:rPr>
          <w:rFonts w:ascii="Arial" w:hAnsi="Arial"/>
          <w:color w:val="525252"/>
          <w:sz w:val="13"/>
        </w:rPr>
        <w:t>Are you someone who looks the other way when there are potential risks to security?</w:t>
      </w:r>
    </w:p>
    <w:p>
      <w:pPr>
        <w:spacing w:after="20" w:line="223" w:lineRule="auto"/>
        <w:jc w:val="right"/>
        <w:bidi/>
      </w:pPr>
      <w:r>
        <w:rPr>
          <w:rFonts w:ascii="Arial" w:hAnsi="Arial"/>
          <w:sz w:val="16"/>
        </w:rPr>
        <w:t>263.27  آیا شما کسی هستید که نمی‌توانید از جوان‌ترین و آسیب‌پذیرترین هوانوردان در میان ما دفاع کنید؟</w:t>
      </w:r>
    </w:p>
    <w:p>
      <w:pPr>
        <w:spacing w:after="28" w:line="216" w:lineRule="auto"/>
        <w:ind w:left="259"/>
        <w:jc w:val="left"/>
      </w:pPr>
      <w:r>
        <w:rPr>
          <w:rFonts w:ascii="Arial" w:hAnsi="Arial"/>
          <w:color w:val="525252"/>
          <w:sz w:val="13"/>
        </w:rPr>
        <w:t>Are you someone who fails to stand up for the most junior and vulnerable Airmen among us?</w:t>
      </w:r>
    </w:p>
    <w:p>
      <w:pPr>
        <w:spacing w:after="20" w:line="223" w:lineRule="auto"/>
        <w:jc w:val="right"/>
        <w:bidi/>
      </w:pPr>
      <w:r>
        <w:rPr>
          <w:rFonts w:ascii="Arial" w:hAnsi="Arial"/>
          <w:sz w:val="16"/>
        </w:rPr>
        <w:t>263.28  خودکارآمدی.</w:t>
      </w:r>
    </w:p>
    <w:p>
      <w:pPr>
        <w:spacing w:after="28" w:line="216" w:lineRule="auto"/>
        <w:ind w:left="259"/>
        <w:jc w:val="left"/>
      </w:pPr>
      <w:r>
        <w:rPr>
          <w:rFonts w:ascii="Arial" w:hAnsi="Arial"/>
          <w:color w:val="525252"/>
          <w:sz w:val="13"/>
        </w:rPr>
        <w:t>Self-Efficacy.</w:t>
      </w:r>
    </w:p>
    <w:p>
      <w:pPr>
        <w:spacing w:after="20" w:line="223" w:lineRule="auto"/>
        <w:jc w:val="right"/>
        <w:bidi/>
      </w:pPr>
      <w:r>
        <w:rPr>
          <w:rFonts w:ascii="Arial" w:hAnsi="Arial"/>
          <w:sz w:val="16"/>
        </w:rPr>
        <w:t>263.29  خودکارآمدی باور فرد به توانایی خود برای رسیدگی به یک موقعیت، بر اساس مهارت هایی که دارد و شرایطی است که با آن مواجه است.</w:t>
      </w:r>
    </w:p>
    <w:p>
      <w:pPr>
        <w:spacing w:after="28" w:line="216" w:lineRule="auto"/>
        <w:ind w:left="259"/>
        <w:jc w:val="left"/>
      </w:pPr>
      <w:r>
        <w:rPr>
          <w:rFonts w:ascii="Arial" w:hAnsi="Arial"/>
          <w:color w:val="525252"/>
          <w:sz w:val="13"/>
        </w:rPr>
        <w:t>Self-efficacy is a person’s belief in their ability to address a situation, based on the skills they have and the circumstances they face.</w:t>
      </w:r>
    </w:p>
    <w:p>
      <w:pPr>
        <w:spacing w:after="20" w:line="223" w:lineRule="auto"/>
        <w:jc w:val="right"/>
        <w:bidi/>
      </w:pPr>
      <w:r>
        <w:rPr>
          <w:rFonts w:ascii="Arial" w:hAnsi="Arial"/>
          <w:sz w:val="16"/>
        </w:rPr>
        <w:t>263.30  نقاط قوت شخصی خود را بشناسید و فکر کنید</w:t>
      </w:r>
    </w:p>
    <w:p>
      <w:pPr>
        <w:spacing w:after="28" w:line="216" w:lineRule="auto"/>
        <w:ind w:left="259"/>
        <w:jc w:val="left"/>
      </w:pPr>
      <w:r>
        <w:rPr>
          <w:rFonts w:ascii="Arial" w:hAnsi="Arial"/>
          <w:color w:val="525252"/>
          <w:sz w:val="13"/>
        </w:rPr>
        <w:t>Recognize your own personal strengths and think</w:t>
      </w:r>
    </w:p>
    <w:p>
      <w:r>
        <w:br w:type="page"/>
      </w:r>
    </w:p>
    <w:p>
      <w:pPr>
        <w:spacing w:after="60"/>
        <w:jc w:val="right"/>
        <w:bidi/>
      </w:pPr>
      <w:r>
        <w:rPr>
          <w:rFonts w:ascii="Arial" w:hAnsi="Arial"/>
          <w:b/>
          <w:color w:val="1F4D78"/>
          <w:sz w:val="19"/>
        </w:rPr>
        <w:t>هفتهٔ 264  |  صفحهٔ منبع: 280</w:t>
      </w:r>
    </w:p>
    <w:p>
      <w:pPr>
        <w:spacing w:after="20" w:line="223" w:lineRule="auto"/>
        <w:jc w:val="right"/>
        <w:bidi/>
      </w:pPr>
      <w:r>
        <w:rPr>
          <w:rFonts w:ascii="Arial" w:hAnsi="Arial"/>
          <w:sz w:val="16"/>
        </w:rPr>
        <w:t>264.01  درباره اینکه چگونه می‌توانید مهارت‌های خود را در یک موقعیت به کار ببرید.</w:t>
      </w:r>
    </w:p>
    <w:p>
      <w:pPr>
        <w:spacing w:after="28" w:line="216" w:lineRule="auto"/>
        <w:ind w:left="259"/>
        <w:jc w:val="left"/>
      </w:pPr>
      <w:r>
        <w:rPr>
          <w:rFonts w:ascii="Arial" w:hAnsi="Arial"/>
          <w:color w:val="525252"/>
          <w:sz w:val="13"/>
        </w:rPr>
        <w:t>about how you can bring your skills to bear on a situation.</w:t>
      </w:r>
    </w:p>
    <w:p>
      <w:pPr>
        <w:spacing w:after="20" w:line="223" w:lineRule="auto"/>
        <w:jc w:val="right"/>
        <w:bidi/>
      </w:pPr>
      <w:r>
        <w:rPr>
          <w:rFonts w:ascii="Arial" w:hAnsi="Arial"/>
          <w:sz w:val="16"/>
        </w:rPr>
        <w:t>264.02  برای مثال، می‌توانید از مهارت‌های ارتباطی خود (تعمل، گوش دادن فعال، و تشخیص نشانه‌های غیرکلامی) استفاده کنید و با توسل به عقل یا ارزش‌های مشترک بر همسالان خود تأثیر بگذارید.</w:t>
      </w:r>
    </w:p>
    <w:p>
      <w:pPr>
        <w:spacing w:after="28" w:line="216" w:lineRule="auto"/>
        <w:ind w:left="259"/>
        <w:jc w:val="left"/>
      </w:pPr>
      <w:r>
        <w:rPr>
          <w:rFonts w:ascii="Arial" w:hAnsi="Arial"/>
          <w:color w:val="525252"/>
          <w:sz w:val="13"/>
        </w:rPr>
        <w:t>For example, you can use your communication skills (reflection, active listening, and recognition of non-verbal cues) and influence your peers by appealing to reason or shared values.</w:t>
      </w:r>
    </w:p>
    <w:p>
      <w:pPr>
        <w:spacing w:after="20" w:line="223" w:lineRule="auto"/>
        <w:jc w:val="right"/>
        <w:bidi/>
      </w:pPr>
      <w:r>
        <w:rPr>
          <w:rFonts w:ascii="Arial" w:hAnsi="Arial"/>
          <w:sz w:val="16"/>
        </w:rPr>
        <w:t>264.03  شما می‌توانید پشتکار نشان دهید و در پرداختن به یک موضوع با دیگران پافشاری کنید.</w:t>
      </w:r>
    </w:p>
    <w:p>
      <w:pPr>
        <w:spacing w:after="28" w:line="216" w:lineRule="auto"/>
        <w:ind w:left="259"/>
        <w:jc w:val="left"/>
      </w:pPr>
      <w:r>
        <w:rPr>
          <w:rFonts w:ascii="Arial" w:hAnsi="Arial"/>
          <w:color w:val="525252"/>
          <w:sz w:val="13"/>
        </w:rPr>
        <w:t>You can demonstrate perseverance and persist in addressing an issue with others.</w:t>
      </w:r>
    </w:p>
    <w:p>
      <w:pPr>
        <w:spacing w:after="20" w:line="223" w:lineRule="auto"/>
        <w:jc w:val="right"/>
        <w:bidi/>
      </w:pPr>
      <w:r>
        <w:rPr>
          <w:rFonts w:ascii="Arial" w:hAnsi="Arial"/>
          <w:sz w:val="16"/>
        </w:rPr>
        <w:t>264.04  می‌توانید ابتکار عمل داشته باشید و سعی کنید به همسالان کمک کنید موقعیت‌ها را فرصتی برای یادگیری ببینند.</w:t>
      </w:r>
    </w:p>
    <w:p>
      <w:pPr>
        <w:spacing w:after="28" w:line="216" w:lineRule="auto"/>
        <w:ind w:left="259"/>
        <w:jc w:val="left"/>
      </w:pPr>
      <w:r>
        <w:rPr>
          <w:rFonts w:ascii="Arial" w:hAnsi="Arial"/>
          <w:color w:val="525252"/>
          <w:sz w:val="13"/>
        </w:rPr>
        <w:t>You can take initiative and try to help peers see situations as opportunities to learn.</w:t>
      </w:r>
    </w:p>
    <w:p>
      <w:pPr>
        <w:spacing w:after="20" w:line="223" w:lineRule="auto"/>
        <w:jc w:val="right"/>
        <w:bidi/>
      </w:pPr>
      <w:r>
        <w:rPr>
          <w:rFonts w:ascii="Arial" w:hAnsi="Arial"/>
          <w:sz w:val="16"/>
        </w:rPr>
        <w:t>264.05  سعی کنید از نقاط قوت و استعدادهای منحصربه‌فرد خود استفاده کنید—شاید بتوانید به دوست خود (متخصص سلاح‌های هسته‌ای) تکنیک‌های مطالعه بهتری را آموزش دهید تا به او کمک کند مطالب مورد نیاز برای قبولی در امتحانات سیستم تسلیحاتی خود را بیاموزد. شاید بتوانید به دوست خود (MTI) تکنیک‌های آموزشی بهتری را نشان دهید یا او را در مورد نحوه اعمال خویشتن داری و صبر در هنگام اصلاح کارآموزان آموزش دهید.</w:t>
      </w:r>
    </w:p>
    <w:p>
      <w:pPr>
        <w:spacing w:after="28" w:line="216" w:lineRule="auto"/>
        <w:ind w:left="259"/>
        <w:jc w:val="left"/>
      </w:pPr>
      <w:r>
        <w:rPr>
          <w:rFonts w:ascii="Arial" w:hAnsi="Arial"/>
          <w:color w:val="525252"/>
          <w:sz w:val="13"/>
        </w:rPr>
        <w:t>Try to make use of your unique strengths and talents—maybe you can teach your friend (the nuclear weapons specialist) better study techniques to help him learn the material needed to pass his weapons system exams; maybe you can show your friend (the MTI) better teaching techniques or coach him on how to exercise self-control and patience when correcting trainees.</w:t>
      </w:r>
    </w:p>
    <w:p>
      <w:pPr>
        <w:spacing w:after="20" w:line="223" w:lineRule="auto"/>
        <w:jc w:val="right"/>
        <w:bidi/>
      </w:pPr>
      <w:r>
        <w:rPr>
          <w:rFonts w:ascii="Arial" w:hAnsi="Arial"/>
          <w:sz w:val="16"/>
        </w:rPr>
        <w:t>264.06  به خود و توانایی‌های خود برای مقابله با موقعیت‌های چالش برانگیز اعتماد داشته باشید.</w:t>
      </w:r>
    </w:p>
    <w:p>
      <w:pPr>
        <w:spacing w:after="28" w:line="216" w:lineRule="auto"/>
        <w:ind w:left="259"/>
        <w:jc w:val="left"/>
      </w:pPr>
      <w:r>
        <w:rPr>
          <w:rFonts w:ascii="Arial" w:hAnsi="Arial"/>
          <w:color w:val="525252"/>
          <w:sz w:val="13"/>
        </w:rPr>
        <w:t>Have confidence in yourself and your abilities to address challenging situations.</w:t>
      </w:r>
    </w:p>
    <w:p>
      <w:pPr>
        <w:spacing w:after="20" w:line="223" w:lineRule="auto"/>
        <w:jc w:val="right"/>
        <w:bidi/>
      </w:pPr>
      <w:r>
        <w:rPr>
          <w:rFonts w:ascii="Arial" w:hAnsi="Arial"/>
          <w:sz w:val="16"/>
        </w:rPr>
        <w:t>264.07  خودمختاری.</w:t>
      </w:r>
    </w:p>
    <w:p>
      <w:pPr>
        <w:spacing w:after="28" w:line="216" w:lineRule="auto"/>
        <w:ind w:left="259"/>
        <w:jc w:val="left"/>
      </w:pPr>
      <w:r>
        <w:rPr>
          <w:rFonts w:ascii="Arial" w:hAnsi="Arial"/>
          <w:color w:val="525252"/>
          <w:sz w:val="13"/>
        </w:rPr>
        <w:t>Autonomy.</w:t>
      </w:r>
    </w:p>
    <w:p>
      <w:pPr>
        <w:spacing w:after="20" w:line="223" w:lineRule="auto"/>
        <w:jc w:val="right"/>
        <w:bidi/>
      </w:pPr>
      <w:r>
        <w:rPr>
          <w:rFonts w:ascii="Arial" w:hAnsi="Arial"/>
          <w:sz w:val="16"/>
        </w:rPr>
        <w:t>264.08  در نهایت شما شخص خودتان هستید.</w:t>
      </w:r>
    </w:p>
    <w:p>
      <w:pPr>
        <w:spacing w:after="28" w:line="216" w:lineRule="auto"/>
        <w:ind w:left="259"/>
        <w:jc w:val="left"/>
      </w:pPr>
      <w:r>
        <w:rPr>
          <w:rFonts w:ascii="Arial" w:hAnsi="Arial"/>
          <w:color w:val="525252"/>
          <w:sz w:val="13"/>
        </w:rPr>
        <w:t>Ultimately you are your own person.</w:t>
      </w:r>
    </w:p>
    <w:p>
      <w:pPr>
        <w:spacing w:after="20" w:line="223" w:lineRule="auto"/>
        <w:jc w:val="right"/>
        <w:bidi/>
      </w:pPr>
      <w:r>
        <w:rPr>
          <w:rFonts w:ascii="Arial" w:hAnsi="Arial"/>
          <w:sz w:val="16"/>
        </w:rPr>
        <w:t>264.09  شما در مورد اعمال یا عدم عمل خود تصمیم می‌گیرید.</w:t>
      </w:r>
    </w:p>
    <w:p>
      <w:pPr>
        <w:spacing w:after="28" w:line="216" w:lineRule="auto"/>
        <w:ind w:left="259"/>
        <w:jc w:val="left"/>
      </w:pPr>
      <w:r>
        <w:rPr>
          <w:rFonts w:ascii="Arial" w:hAnsi="Arial"/>
          <w:color w:val="525252"/>
          <w:sz w:val="13"/>
        </w:rPr>
        <w:t>You make your own decisions on your actions or inactions.</w:t>
      </w:r>
    </w:p>
    <w:p>
      <w:pPr>
        <w:spacing w:after="20" w:line="223" w:lineRule="auto"/>
        <w:jc w:val="right"/>
        <w:bidi/>
      </w:pPr>
      <w:r>
        <w:rPr>
          <w:rFonts w:ascii="Arial" w:hAnsi="Arial"/>
          <w:sz w:val="16"/>
        </w:rPr>
        <w:t>264.10  شما این آزادی را دارید که انتخاب کنید چگونه به یک موقعیت واکنش نشان دهید.</w:t>
      </w:r>
    </w:p>
    <w:p>
      <w:pPr>
        <w:spacing w:after="28" w:line="216" w:lineRule="auto"/>
        <w:ind w:left="259"/>
        <w:jc w:val="left"/>
      </w:pPr>
      <w:r>
        <w:rPr>
          <w:rFonts w:ascii="Arial" w:hAnsi="Arial"/>
          <w:color w:val="525252"/>
          <w:sz w:val="13"/>
        </w:rPr>
        <w:t>You have the freedom to choose how to respond to a situation.</w:t>
      </w:r>
    </w:p>
    <w:p>
      <w:pPr>
        <w:spacing w:after="20" w:line="223" w:lineRule="auto"/>
        <w:jc w:val="right"/>
        <w:bidi/>
      </w:pPr>
      <w:r>
        <w:rPr>
          <w:rFonts w:ascii="Arial" w:hAnsi="Arial"/>
          <w:sz w:val="16"/>
        </w:rPr>
        <w:t>264.11  حتی اگر به اصطلاح "رهبران" یا "دوستان" سعی کنند در غیر این صورت به شما فشار بیاورند، می‌توانید برای حمایت از خیر بزرگتر اقدام کنید.</w:t>
      </w:r>
    </w:p>
    <w:p>
      <w:pPr>
        <w:spacing w:after="28" w:line="216" w:lineRule="auto"/>
        <w:ind w:left="259"/>
        <w:jc w:val="left"/>
      </w:pPr>
      <w:r>
        <w:rPr>
          <w:rFonts w:ascii="Arial" w:hAnsi="Arial"/>
          <w:color w:val="525252"/>
          <w:sz w:val="13"/>
        </w:rPr>
        <w:t>Even if so-called “leaders” or “friends” try to pressure you otherwise, you can act to support the greater good.</w:t>
      </w:r>
    </w:p>
    <w:p>
      <w:pPr>
        <w:spacing w:before="60" w:after="28"/>
        <w:jc w:val="right"/>
        <w:bidi/>
      </w:pPr>
      <w:r>
        <w:rPr>
          <w:b/>
          <w:color w:val="1F4D78"/>
          <w:sz w:val="18"/>
        </w:rPr>
        <w:t>15.2. پشتکار</w:t>
      </w:r>
    </w:p>
    <w:p>
      <w:pPr>
        <w:spacing w:after="20"/>
        <w:ind w:left="259"/>
        <w:jc w:val="left"/>
      </w:pPr>
      <w:r>
        <w:rPr>
          <w:color w:val="555555"/>
          <w:sz w:val="12"/>
        </w:rPr>
        <w:t>15.2. Perseverance</w:t>
      </w:r>
    </w:p>
    <w:p>
      <w:pPr>
        <w:spacing w:after="20" w:line="223" w:lineRule="auto"/>
        <w:jc w:val="right"/>
        <w:bidi/>
      </w:pPr>
      <w:r>
        <w:rPr>
          <w:rFonts w:ascii="Arial" w:hAnsi="Arial"/>
          <w:sz w:val="16"/>
        </w:rPr>
        <w:t>264.13  به‌عنوان هوانورد، ما می‌دانیم که «تعالی در همه کارهایی که انجام می‌دهیم» مستلزم تلاش برای بهبود مستمر خود است.</w:t>
      </w:r>
    </w:p>
    <w:p>
      <w:pPr>
        <w:spacing w:after="28" w:line="216" w:lineRule="auto"/>
        <w:ind w:left="259"/>
        <w:jc w:val="left"/>
      </w:pPr>
      <w:r>
        <w:rPr>
          <w:rFonts w:ascii="Arial" w:hAnsi="Arial"/>
          <w:color w:val="525252"/>
          <w:sz w:val="13"/>
        </w:rPr>
        <w:t>As Airmen, we understand that “Excellence in All We Do” entails striving for continual self- improvement.</w:t>
      </w:r>
    </w:p>
    <w:p>
      <w:pPr>
        <w:spacing w:after="20" w:line="223" w:lineRule="auto"/>
        <w:jc w:val="right"/>
        <w:bidi/>
      </w:pPr>
      <w:r>
        <w:rPr>
          <w:rFonts w:ascii="Arial" w:hAnsi="Arial"/>
          <w:sz w:val="16"/>
        </w:rPr>
        <w:t>264.14  اما اغلب اوقات طرز تفکر ما در مورد توانایی‌هایمان ممکن است ما را عقب نگه دارد.</w:t>
      </w:r>
    </w:p>
    <w:p>
      <w:pPr>
        <w:spacing w:after="28" w:line="216" w:lineRule="auto"/>
        <w:ind w:left="259"/>
        <w:jc w:val="left"/>
      </w:pPr>
      <w:r>
        <w:rPr>
          <w:rFonts w:ascii="Arial" w:hAnsi="Arial"/>
          <w:color w:val="525252"/>
          <w:sz w:val="13"/>
        </w:rPr>
        <w:t>But too often the way we think about our abilities may hold us back.</w:t>
      </w:r>
    </w:p>
    <w:p>
      <w:pPr>
        <w:spacing w:after="20" w:line="223" w:lineRule="auto"/>
        <w:jc w:val="right"/>
        <w:bidi/>
      </w:pPr>
      <w:r>
        <w:rPr>
          <w:rFonts w:ascii="Arial" w:hAnsi="Arial"/>
          <w:sz w:val="16"/>
        </w:rPr>
        <w:t>264.15  روانشناسان دو طرز فکر را در مورد توانایی و سایر ویژگی‌های شخصی تشخیص می‌دهند.</w:t>
      </w:r>
    </w:p>
    <w:p>
      <w:pPr>
        <w:spacing w:after="28" w:line="216" w:lineRule="auto"/>
        <w:ind w:left="259"/>
        <w:jc w:val="left"/>
      </w:pPr>
      <w:r>
        <w:rPr>
          <w:rFonts w:ascii="Arial" w:hAnsi="Arial"/>
          <w:color w:val="525252"/>
          <w:sz w:val="13"/>
        </w:rPr>
        <w:t>Psychologists distinguish two mindsets regarding ability and other personal qualities.</w:t>
      </w:r>
    </w:p>
    <w:p>
      <w:pPr>
        <w:spacing w:after="20" w:line="223" w:lineRule="auto"/>
        <w:jc w:val="right"/>
        <w:bidi/>
      </w:pPr>
      <w:r>
        <w:rPr>
          <w:rFonts w:ascii="Arial" w:hAnsi="Arial"/>
          <w:sz w:val="16"/>
        </w:rPr>
        <w:t>264.16  ذهنیت ثابت به این باور اشاره دارد که هوش و سایر خصوصیات شخصی فرد عمدتا دائمی هستند. که شما نوع خاصی از افراد هستید، و کار زیادی نمی‌توان انجام داد تا واقعا آن را تغییر دهید.</w:t>
      </w:r>
    </w:p>
    <w:p>
      <w:pPr>
        <w:spacing w:after="28" w:line="216" w:lineRule="auto"/>
        <w:ind w:left="259"/>
        <w:jc w:val="left"/>
      </w:pPr>
      <w:r>
        <w:rPr>
          <w:rFonts w:ascii="Arial" w:hAnsi="Arial"/>
          <w:color w:val="525252"/>
          <w:sz w:val="13"/>
        </w:rPr>
        <w:t>Fixed mindset refers to the belief that a person’s intelligence and other personal qualities are mostly permanent; that you are a certain kind of person, and there is not much that can be done to really change that.</w:t>
      </w:r>
    </w:p>
    <w:p>
      <w:pPr>
        <w:spacing w:after="20" w:line="223" w:lineRule="auto"/>
        <w:jc w:val="right"/>
        <w:bidi/>
      </w:pPr>
      <w:r>
        <w:rPr>
          <w:rFonts w:ascii="Arial" w:hAnsi="Arial"/>
          <w:sz w:val="16"/>
        </w:rPr>
        <w:t>264.17  در مقابل، ذهنیت رشد به باور به ظرفیت برای بهبود اساسی و تغییر قابل توجه نوع فردی که هستید اشاره دارد.</w:t>
      </w:r>
    </w:p>
    <w:p>
      <w:pPr>
        <w:spacing w:after="28" w:line="216" w:lineRule="auto"/>
        <w:ind w:left="259"/>
        <w:jc w:val="left"/>
      </w:pPr>
      <w:r>
        <w:rPr>
          <w:rFonts w:ascii="Arial" w:hAnsi="Arial"/>
          <w:color w:val="525252"/>
          <w:sz w:val="13"/>
        </w:rPr>
        <w:t>In contrast, growth mindset refers to the belief in the capacity to fundamentally improve and significantly change the kind of person you are.</w:t>
      </w:r>
    </w:p>
    <w:p>
      <w:pPr>
        <w:spacing w:after="20" w:line="223" w:lineRule="auto"/>
        <w:jc w:val="right"/>
        <w:bidi/>
      </w:pPr>
      <w:r>
        <w:rPr>
          <w:rFonts w:ascii="Arial" w:hAnsi="Arial"/>
          <w:sz w:val="16"/>
        </w:rPr>
        <w:t>264.18  ذهنیت رشد مستلزم این است که اشتباهات یا شکست‌های گذشته تعیین کنند که چه کسی هستید یا چه کسی می‌توانید شوید.</w:t>
      </w:r>
    </w:p>
    <w:p>
      <w:pPr>
        <w:spacing w:after="28" w:line="216" w:lineRule="auto"/>
        <w:ind w:left="259"/>
        <w:jc w:val="left"/>
      </w:pPr>
      <w:r>
        <w:rPr>
          <w:rFonts w:ascii="Arial" w:hAnsi="Arial"/>
          <w:color w:val="525252"/>
          <w:sz w:val="13"/>
        </w:rPr>
        <w:t>Growth mindset entails a recognition that past mistakes or failures don’t define who you are or who you can become.</w:t>
      </w:r>
    </w:p>
    <w:p>
      <w:pPr>
        <w:spacing w:after="20" w:line="223" w:lineRule="auto"/>
        <w:jc w:val="right"/>
        <w:bidi/>
      </w:pPr>
      <w:r>
        <w:rPr>
          <w:rFonts w:ascii="Arial" w:hAnsi="Arial"/>
          <w:sz w:val="16"/>
        </w:rPr>
        <w:t>264.19  افرادی که ذهنیت ثابتی دارند، احتمالا وقتی شرایط سخت می‌شود، به راحتی تسلیم می‌شوند.</w:t>
      </w:r>
    </w:p>
    <w:p>
      <w:pPr>
        <w:spacing w:after="28" w:line="216" w:lineRule="auto"/>
        <w:ind w:left="259"/>
        <w:jc w:val="left"/>
      </w:pPr>
      <w:r>
        <w:rPr>
          <w:rFonts w:ascii="Arial" w:hAnsi="Arial"/>
          <w:color w:val="525252"/>
          <w:sz w:val="13"/>
        </w:rPr>
        <w:t>People with a fixed mindset are likely to give up easily when things get hard.</w:t>
      </w:r>
    </w:p>
    <w:p>
      <w:pPr>
        <w:spacing w:after="20" w:line="223" w:lineRule="auto"/>
        <w:jc w:val="right"/>
        <w:bidi/>
      </w:pPr>
      <w:r>
        <w:rPr>
          <w:rFonts w:ascii="Arial" w:hAnsi="Arial"/>
          <w:sz w:val="16"/>
        </w:rPr>
        <w:t>264.20  آنها دائما در تلاش هستند تا خود را ثابت کنند (هوش خود را ثابت کنند، استعداد طبیعی خود را ثابت کنند) و اگر در ابتدا عالی نباشند، ممکن است باور کنند که برای تغییر آن کار زیادی نمی‌توان انجام داد.</w:t>
      </w:r>
    </w:p>
    <w:p>
      <w:pPr>
        <w:spacing w:after="28" w:line="216" w:lineRule="auto"/>
        <w:ind w:left="259"/>
        <w:jc w:val="left"/>
      </w:pPr>
      <w:r>
        <w:rPr>
          <w:rFonts w:ascii="Arial" w:hAnsi="Arial"/>
          <w:color w:val="525252"/>
          <w:sz w:val="13"/>
        </w:rPr>
        <w:t>They are constantly trying to prove themselves (prove their intelligence, prove their natural talent) and if they don’t excel at first, may believe there is not much that can be done to change that.</w:t>
      </w:r>
    </w:p>
    <w:p>
      <w:pPr>
        <w:spacing w:after="20" w:line="223" w:lineRule="auto"/>
        <w:jc w:val="right"/>
        <w:bidi/>
      </w:pPr>
      <w:r>
        <w:rPr>
          <w:rFonts w:ascii="Arial" w:hAnsi="Arial"/>
          <w:sz w:val="16"/>
        </w:rPr>
        <w:t>264.21  آن‌ها تمایل دارند بیش از حد نسبت به اشتباه کردن یا اشتباه کردن حساس باشند، زیرا فکر می‌کنند شکست‌های (اولیه) آن‌ها نشان دهنده فقدان توانایی است که قابل تغییر نیست.</w:t>
      </w:r>
    </w:p>
    <w:p>
      <w:pPr>
        <w:spacing w:after="28" w:line="216" w:lineRule="auto"/>
        <w:ind w:left="259"/>
        <w:jc w:val="left"/>
      </w:pPr>
      <w:r>
        <w:rPr>
          <w:rFonts w:ascii="Arial" w:hAnsi="Arial"/>
          <w:color w:val="525252"/>
          <w:sz w:val="13"/>
        </w:rPr>
        <w:t>They tend to be overly sensitive about being wrong or making mistakes because they think their (initial) failures reflect a lack of ability that can’t be changed.</w:t>
      </w:r>
    </w:p>
    <w:p>
      <w:pPr>
        <w:spacing w:after="20" w:line="223" w:lineRule="auto"/>
        <w:jc w:val="right"/>
        <w:bidi/>
      </w:pPr>
      <w:r>
        <w:rPr>
          <w:rFonts w:ascii="Arial" w:hAnsi="Arial"/>
          <w:sz w:val="16"/>
        </w:rPr>
        <w:t>264.22  آنها ممکن است تلاش را به‌عنوان شاهد ناتوانی بدانند.</w:t>
      </w:r>
    </w:p>
    <w:p>
      <w:pPr>
        <w:spacing w:after="28" w:line="216" w:lineRule="auto"/>
        <w:ind w:left="259"/>
        <w:jc w:val="left"/>
      </w:pPr>
      <w:r>
        <w:rPr>
          <w:rFonts w:ascii="Arial" w:hAnsi="Arial"/>
          <w:color w:val="525252"/>
          <w:sz w:val="13"/>
        </w:rPr>
        <w:t>They may view exerting effort as evidence of inability.</w:t>
      </w:r>
    </w:p>
    <w:p>
      <w:pPr>
        <w:spacing w:after="20" w:line="223" w:lineRule="auto"/>
        <w:jc w:val="right"/>
        <w:bidi/>
      </w:pPr>
      <w:r>
        <w:rPr>
          <w:rFonts w:ascii="Arial" w:hAnsi="Arial"/>
          <w:sz w:val="16"/>
        </w:rPr>
        <w:t>264.23  افرادی که ذهنیت رشد دارند احتمالا هنگام یادگیری چیزهای جدید پافشاری می‌کنند و حتی در سخت‌ترین کارها نیز پشتکار می‌کنند.</w:t>
      </w:r>
    </w:p>
    <w:p>
      <w:pPr>
        <w:spacing w:after="28" w:line="216" w:lineRule="auto"/>
        <w:ind w:left="259"/>
        <w:jc w:val="left"/>
      </w:pPr>
      <w:r>
        <w:rPr>
          <w:rFonts w:ascii="Arial" w:hAnsi="Arial"/>
          <w:color w:val="525252"/>
          <w:sz w:val="13"/>
        </w:rPr>
        <w:t>People with a growth mindset are likely to persist when learning new things and persevere on even the most difficult tasks.</w:t>
      </w:r>
    </w:p>
    <w:p>
      <w:pPr>
        <w:spacing w:after="20" w:line="223" w:lineRule="auto"/>
        <w:jc w:val="right"/>
        <w:bidi/>
      </w:pPr>
      <w:r>
        <w:rPr>
          <w:rFonts w:ascii="Arial" w:hAnsi="Arial"/>
          <w:sz w:val="16"/>
        </w:rPr>
        <w:t>264.24  آنها تلاش می‌کنند و روی بهبود تمرکز می‌کنند و تشخیص می‌دهند که برای توسعه و رشد به چالش‌هایی نیاز است.</w:t>
      </w:r>
    </w:p>
    <w:p>
      <w:pPr>
        <w:spacing w:after="28" w:line="216" w:lineRule="auto"/>
        <w:ind w:left="259"/>
        <w:jc w:val="left"/>
      </w:pPr>
      <w:r>
        <w:rPr>
          <w:rFonts w:ascii="Arial" w:hAnsi="Arial"/>
          <w:color w:val="525252"/>
          <w:sz w:val="13"/>
        </w:rPr>
        <w:t>They put in effort and focus on improving, recognizing that challenges are needed in order to develop and grow.</w:t>
      </w:r>
    </w:p>
    <w:p>
      <w:pPr>
        <w:spacing w:after="20" w:line="223" w:lineRule="auto"/>
        <w:jc w:val="right"/>
        <w:bidi/>
      </w:pPr>
      <w:r>
        <w:rPr>
          <w:rFonts w:ascii="Arial" w:hAnsi="Arial"/>
          <w:sz w:val="16"/>
        </w:rPr>
        <w:t>264.25  آنها در مورد اشتباهات، شکست یا بازخورد منفی حالت تدافعی نمی‌گیرند و از موفقیت دیگران احساس خطر نمی‌کنند، زیرا کمبود اولیه توانایی را دائمی نمی‌دانند.</w:t>
      </w:r>
    </w:p>
    <w:p>
      <w:pPr>
        <w:spacing w:after="28" w:line="216" w:lineRule="auto"/>
        <w:ind w:left="259"/>
        <w:jc w:val="left"/>
      </w:pPr>
      <w:r>
        <w:rPr>
          <w:rFonts w:ascii="Arial" w:hAnsi="Arial"/>
          <w:color w:val="525252"/>
          <w:sz w:val="13"/>
        </w:rPr>
        <w:t>They don’t get defensive about mistakes, failure, or negative feedback, and don’t feel threatened by the success of others, because they don’t view an initial lack of ability as permanent.</w:t>
      </w:r>
    </w:p>
    <w:p>
      <w:pPr>
        <w:spacing w:after="20" w:line="223" w:lineRule="auto"/>
        <w:jc w:val="right"/>
        <w:bidi/>
      </w:pPr>
      <w:r>
        <w:rPr>
          <w:rFonts w:ascii="Arial" w:hAnsi="Arial"/>
          <w:sz w:val="16"/>
        </w:rPr>
        <w:t>264.26  اگر فردی هستید که ذهنیت ثابتی دارید، می‌توانید دیدگاه خود را تغییر دهید و پشتکارتر شوید: ۱.</w:t>
      </w:r>
    </w:p>
    <w:p>
      <w:pPr>
        <w:spacing w:after="28" w:line="216" w:lineRule="auto"/>
        <w:ind w:left="259"/>
        <w:jc w:val="left"/>
      </w:pPr>
      <w:r>
        <w:rPr>
          <w:rFonts w:ascii="Arial" w:hAnsi="Arial"/>
          <w:color w:val="525252"/>
          <w:sz w:val="13"/>
        </w:rPr>
        <w:t>If you are someone who holds a fixed mindset, you can begin to change your perspective and become more perseverant: 1.</w:t>
      </w:r>
    </w:p>
    <w:p>
      <w:pPr>
        <w:spacing w:after="20" w:line="223" w:lineRule="auto"/>
        <w:jc w:val="right"/>
        <w:bidi/>
      </w:pPr>
      <w:r>
        <w:rPr>
          <w:rFonts w:ascii="Arial" w:hAnsi="Arial"/>
          <w:sz w:val="16"/>
        </w:rPr>
        <w:t>264.27  هر روز تفاوت بین ذهنیت ثابت و رشد را به خود یادآوری کنید.</w:t>
      </w:r>
    </w:p>
    <w:p>
      <w:pPr>
        <w:spacing w:after="28" w:line="216" w:lineRule="auto"/>
        <w:ind w:left="259"/>
        <w:jc w:val="left"/>
      </w:pPr>
      <w:r>
        <w:rPr>
          <w:rFonts w:ascii="Arial" w:hAnsi="Arial"/>
          <w:color w:val="525252"/>
          <w:sz w:val="13"/>
        </w:rPr>
        <w:t>Remind yourself of the differences between the fixed and growth mindsets every day.</w:t>
      </w:r>
    </w:p>
    <w:p>
      <w:pPr>
        <w:spacing w:after="20" w:line="223" w:lineRule="auto"/>
        <w:jc w:val="right"/>
        <w:bidi/>
      </w:pPr>
      <w:r>
        <w:rPr>
          <w:rFonts w:ascii="Arial" w:hAnsi="Arial"/>
          <w:sz w:val="16"/>
        </w:rPr>
        <w:t>264.28  به خاطر داشته باشید که وقتی افراد دارای ذهنیت رشد اهدافی را تعیین می‌کنند: در مواجهه با شکست‌ها پافشاری می‌کنند، چالش‌ها را در آغوش می‌گیرند (فعالانه به دنبال کارهای دشوار به‌عنوان فرصتی برای یادگیری هستند) برای تلاش به‌عنوان مسیری برای تسلط ارزش قائل هستند. به دنبال بازخورد باشید و از انتقاد بیاموزید.</w:t>
      </w:r>
    </w:p>
    <w:p>
      <w:pPr>
        <w:spacing w:after="28" w:line="216" w:lineRule="auto"/>
        <w:ind w:left="259"/>
        <w:jc w:val="left"/>
      </w:pPr>
      <w:r>
        <w:rPr>
          <w:rFonts w:ascii="Arial" w:hAnsi="Arial"/>
          <w:color w:val="525252"/>
          <w:sz w:val="13"/>
        </w:rPr>
        <w:t>Remember that when people with a growth mindset set goals they: Persist in the face of setbacks Embrace challenges (actively seek out difficult tasks as an opportunity to learn) Value effort as the path to mastery Seek feedback and learn from criticism Find lessons and inspiration in the success of others 2.</w:t>
      </w:r>
    </w:p>
    <w:p>
      <w:pPr>
        <w:spacing w:after="20" w:line="223" w:lineRule="auto"/>
        <w:jc w:val="right"/>
        <w:bidi/>
      </w:pPr>
      <w:r>
        <w:rPr>
          <w:rFonts w:ascii="Arial" w:hAnsi="Arial"/>
          <w:sz w:val="16"/>
        </w:rPr>
        <w:t>264.29  از خود بپرسید، "امروز چه فرصت هایی برای یادگیری و رشد وجود دارد؟" سپس یک طرح تشکیل دهید و</w:t>
      </w:r>
    </w:p>
    <w:p>
      <w:pPr>
        <w:spacing w:after="28" w:line="216" w:lineRule="auto"/>
        <w:ind w:left="259"/>
        <w:jc w:val="left"/>
      </w:pPr>
      <w:r>
        <w:rPr>
          <w:rFonts w:ascii="Arial" w:hAnsi="Arial"/>
          <w:color w:val="525252"/>
          <w:sz w:val="13"/>
        </w:rPr>
        <w:t>Ask yourself, “What are the opportunities for learning and growth today?” then form a plan and</w:t>
      </w:r>
    </w:p>
    <w:p>
      <w:r>
        <w:br w:type="page"/>
      </w:r>
    </w:p>
    <w:p>
      <w:pPr>
        <w:spacing w:after="60"/>
        <w:jc w:val="right"/>
        <w:bidi/>
      </w:pPr>
      <w:r>
        <w:rPr>
          <w:rFonts w:ascii="Arial" w:hAnsi="Arial"/>
          <w:b/>
          <w:color w:val="1F4D78"/>
          <w:sz w:val="19"/>
        </w:rPr>
        <w:t>هفتهٔ 265  |  صفحهٔ منبع: 281</w:t>
      </w:r>
    </w:p>
    <w:p>
      <w:pPr>
        <w:spacing w:after="20" w:line="223" w:lineRule="auto"/>
        <w:jc w:val="right"/>
        <w:bidi/>
      </w:pPr>
      <w:r>
        <w:rPr>
          <w:rFonts w:ascii="Arial" w:hAnsi="Arial"/>
          <w:sz w:val="16"/>
        </w:rPr>
        <w:t>265.01  شروع به عمل بر روی آن کنید.</w:t>
      </w:r>
    </w:p>
    <w:p>
      <w:pPr>
        <w:spacing w:after="28" w:line="216" w:lineRule="auto"/>
        <w:ind w:left="259"/>
        <w:jc w:val="left"/>
      </w:pPr>
      <w:r>
        <w:rPr>
          <w:rFonts w:ascii="Arial" w:hAnsi="Arial"/>
          <w:color w:val="525252"/>
          <w:sz w:val="13"/>
        </w:rPr>
        <w:t>begin to act on it.</w:t>
      </w:r>
    </w:p>
    <w:p>
      <w:pPr>
        <w:spacing w:after="20" w:line="223" w:lineRule="auto"/>
        <w:jc w:val="right"/>
        <w:bidi/>
      </w:pPr>
      <w:r>
        <w:rPr>
          <w:rFonts w:ascii="Arial" w:hAnsi="Arial"/>
          <w:sz w:val="16"/>
        </w:rPr>
        <w:t>265.02  همانطور که با موانع و مشکلات اجتناب ناپذیر روبرو می‌شوید، برنامه جدیدی برای ادامه یادگیری تشکیل دهید.</w:t>
      </w:r>
    </w:p>
    <w:p>
      <w:pPr>
        <w:spacing w:after="28" w:line="216" w:lineRule="auto"/>
        <w:ind w:left="259"/>
        <w:jc w:val="left"/>
      </w:pPr>
      <w:r>
        <w:rPr>
          <w:rFonts w:ascii="Arial" w:hAnsi="Arial"/>
          <w:color w:val="525252"/>
          <w:sz w:val="13"/>
        </w:rPr>
        <w:t>As you encounter inevitable obstacles and setbacks, form a new plan to continue learning.</w:t>
      </w:r>
    </w:p>
    <w:p>
      <w:pPr>
        <w:spacing w:after="20" w:line="223" w:lineRule="auto"/>
        <w:jc w:val="right"/>
        <w:bidi/>
      </w:pPr>
      <w:r>
        <w:rPr>
          <w:rFonts w:ascii="Arial" w:hAnsi="Arial"/>
          <w:sz w:val="16"/>
        </w:rPr>
        <w:t>265.03  وقتی موفق شدید، فراموش نکنید که از خود بپرسید: "برای حفظ و ادامه رشد چه کاری باید انجام دهم؟"</w:t>
      </w:r>
    </w:p>
    <w:p>
      <w:pPr>
        <w:spacing w:after="28" w:line="216" w:lineRule="auto"/>
        <w:ind w:left="259"/>
        <w:jc w:val="left"/>
      </w:pPr>
      <w:r>
        <w:rPr>
          <w:rFonts w:ascii="Arial" w:hAnsi="Arial"/>
          <w:color w:val="525252"/>
          <w:sz w:val="13"/>
        </w:rPr>
        <w:t>When you succeed, don’t forget to ask yourself: “What do I have to do to maintain and continue the growth?”</w:t>
      </w:r>
    </w:p>
    <w:p>
      <w:pPr>
        <w:spacing w:before="60" w:after="28"/>
        <w:jc w:val="right"/>
        <w:bidi/>
      </w:pPr>
      <w:r>
        <w:rPr>
          <w:b/>
          <w:color w:val="1F4D78"/>
          <w:sz w:val="18"/>
        </w:rPr>
        <w:t>15.3. خودکنترلی</w:t>
      </w:r>
    </w:p>
    <w:p>
      <w:pPr>
        <w:spacing w:after="20"/>
        <w:ind w:left="259"/>
        <w:jc w:val="left"/>
      </w:pPr>
      <w:r>
        <w:rPr>
          <w:color w:val="555555"/>
          <w:sz w:val="12"/>
        </w:rPr>
        <w:t>15.3. Self-Control</w:t>
      </w:r>
    </w:p>
    <w:p>
      <w:pPr>
        <w:spacing w:after="20" w:line="223" w:lineRule="auto"/>
        <w:jc w:val="right"/>
        <w:bidi/>
      </w:pPr>
      <w:r>
        <w:rPr>
          <w:rFonts w:ascii="Arial" w:hAnsi="Arial"/>
          <w:sz w:val="16"/>
        </w:rPr>
        <w:t>265.05  هوانوردان باید نیاز به نشان دادن خودکنترلی را به‌عنوان بخشی از ارزش‌های اصلی USAF برای صداقت و خدمات قبل از خود تشخیص دهند.</w:t>
      </w:r>
    </w:p>
    <w:p>
      <w:pPr>
        <w:spacing w:after="28" w:line="216" w:lineRule="auto"/>
        <w:ind w:left="259"/>
        <w:jc w:val="left"/>
      </w:pPr>
      <w:r>
        <w:rPr>
          <w:rFonts w:ascii="Arial" w:hAnsi="Arial"/>
          <w:color w:val="525252"/>
          <w:sz w:val="13"/>
        </w:rPr>
        <w:t>Airmen should recognize the need to exhibit self-control as part of the USAF Core Values of Integrity First and Service Before Self.</w:t>
      </w:r>
    </w:p>
    <w:p>
      <w:pPr>
        <w:spacing w:after="20" w:line="223" w:lineRule="auto"/>
        <w:jc w:val="right"/>
        <w:bidi/>
      </w:pPr>
      <w:r>
        <w:rPr>
          <w:rFonts w:ascii="Arial" w:hAnsi="Arial"/>
          <w:sz w:val="16"/>
        </w:rPr>
        <w:t>265.06  خودکنترلی به توانایی فرد برای نادیده گرفتن یا مهار پاسخ‌ها یا تکانه‌های درونی خود اشاره دارد.</w:t>
      </w:r>
    </w:p>
    <w:p>
      <w:pPr>
        <w:spacing w:after="28" w:line="216" w:lineRule="auto"/>
        <w:ind w:left="259"/>
        <w:jc w:val="left"/>
      </w:pPr>
      <w:r>
        <w:rPr>
          <w:rFonts w:ascii="Arial" w:hAnsi="Arial"/>
          <w:color w:val="525252"/>
          <w:sz w:val="13"/>
        </w:rPr>
        <w:t>Self-control refers to a person’s ability to override or restrain their inner responses or impulses.</w:t>
      </w:r>
    </w:p>
    <w:p>
      <w:pPr>
        <w:spacing w:after="20" w:line="223" w:lineRule="auto"/>
        <w:jc w:val="right"/>
        <w:bidi/>
      </w:pPr>
      <w:r>
        <w:rPr>
          <w:rFonts w:ascii="Arial" w:hAnsi="Arial"/>
          <w:sz w:val="16"/>
        </w:rPr>
        <w:t>265.07  این شامل تحت کنترل نگه داشتن احساسات در موقعیت‌های دشوار، کنترل وسوسه‌ها و اجتناب از رفتار نامناسب (مثلا کنترل میل فرد به پرخوری یا سیگار کشیدن، یا مهار تمایل به داد زدن یا فحش دادن در هنگام عصبانیت) است.</w:t>
      </w:r>
    </w:p>
    <w:p>
      <w:pPr>
        <w:spacing w:after="28" w:line="216" w:lineRule="auto"/>
        <w:ind w:left="259"/>
        <w:jc w:val="left"/>
      </w:pPr>
      <w:r>
        <w:rPr>
          <w:rFonts w:ascii="Arial" w:hAnsi="Arial"/>
          <w:color w:val="525252"/>
          <w:sz w:val="13"/>
        </w:rPr>
        <w:t>This includes keeping emotions under control in difficult situations, handling temptations and avoiding inappropriate behavior (e.g., controlling one’s urges to overeat or smoke, or restraining a tendency to yell or curse when angry).</w:t>
      </w:r>
    </w:p>
    <w:p>
      <w:pPr>
        <w:spacing w:after="20" w:line="223" w:lineRule="auto"/>
        <w:jc w:val="right"/>
        <w:bidi/>
      </w:pPr>
      <w:r>
        <w:rPr>
          <w:rFonts w:ascii="Arial" w:hAnsi="Arial"/>
          <w:sz w:val="16"/>
        </w:rPr>
        <w:t>265.08  درک هر دو محدودیت‌های خودکنترلی و توانایی فرد برای تقویت آن ممکن است برای نشان دادن مداوم خودکنترلی در صورت نیاز مهم باشد.</w:t>
      </w:r>
    </w:p>
    <w:p>
      <w:pPr>
        <w:spacing w:after="28" w:line="216" w:lineRule="auto"/>
        <w:ind w:left="259"/>
        <w:jc w:val="left"/>
      </w:pPr>
      <w:r>
        <w:rPr>
          <w:rFonts w:ascii="Arial" w:hAnsi="Arial"/>
          <w:color w:val="525252"/>
          <w:sz w:val="13"/>
        </w:rPr>
        <w:t>Understanding both the limitations of one’s self-control and one’s ability to strengthen it may be important to consistently demonstrate self-control when needed.</w:t>
      </w:r>
    </w:p>
    <w:p>
      <w:pPr>
        <w:spacing w:after="20" w:line="223" w:lineRule="auto"/>
        <w:jc w:val="right"/>
        <w:bidi/>
      </w:pPr>
      <w:r>
        <w:rPr>
          <w:rFonts w:ascii="Arial" w:hAnsi="Arial"/>
          <w:sz w:val="16"/>
        </w:rPr>
        <w:t>265.09  خودکنترلی محدود است.</w:t>
      </w:r>
    </w:p>
    <w:p>
      <w:pPr>
        <w:spacing w:after="28" w:line="216" w:lineRule="auto"/>
        <w:ind w:left="259"/>
        <w:jc w:val="left"/>
      </w:pPr>
      <w:r>
        <w:rPr>
          <w:rFonts w:ascii="Arial" w:hAnsi="Arial"/>
          <w:color w:val="525252"/>
          <w:sz w:val="13"/>
        </w:rPr>
        <w:t>Self-Control is Limited.</w:t>
      </w:r>
    </w:p>
    <w:p>
      <w:pPr>
        <w:spacing w:after="20" w:line="223" w:lineRule="auto"/>
        <w:jc w:val="right"/>
        <w:bidi/>
      </w:pPr>
      <w:r>
        <w:rPr>
          <w:rFonts w:ascii="Arial" w:hAnsi="Arial"/>
          <w:sz w:val="16"/>
        </w:rPr>
        <w:t>265.10  مانند ماهیچه، خودکنترلی ما محدود شده و با استفاده زیاد از بین می‌رود.</w:t>
      </w:r>
    </w:p>
    <w:p>
      <w:pPr>
        <w:spacing w:after="28" w:line="216" w:lineRule="auto"/>
        <w:ind w:left="259"/>
        <w:jc w:val="left"/>
      </w:pPr>
      <w:r>
        <w:rPr>
          <w:rFonts w:ascii="Arial" w:hAnsi="Arial"/>
          <w:color w:val="525252"/>
          <w:sz w:val="13"/>
        </w:rPr>
        <w:t>Like a muscle, our self-control is limited and gets depleted with heavy use.</w:t>
      </w:r>
    </w:p>
    <w:p>
      <w:pPr>
        <w:spacing w:after="20" w:line="223" w:lineRule="auto"/>
        <w:jc w:val="right"/>
        <w:bidi/>
      </w:pPr>
      <w:r>
        <w:rPr>
          <w:rFonts w:ascii="Arial" w:hAnsi="Arial"/>
          <w:sz w:val="16"/>
        </w:rPr>
        <w:t>265.11  کنترل اصرارهای قوی کار سنگینی است و ما می‌توانیم قبل از اینکه تلاش‌هایمان با شکست مواجه شوند، تلاش زیادی به خرج دهیم.</w:t>
      </w:r>
    </w:p>
    <w:p>
      <w:pPr>
        <w:spacing w:after="28" w:line="216" w:lineRule="auto"/>
        <w:ind w:left="259"/>
        <w:jc w:val="left"/>
      </w:pPr>
      <w:r>
        <w:rPr>
          <w:rFonts w:ascii="Arial" w:hAnsi="Arial"/>
          <w:color w:val="525252"/>
          <w:sz w:val="13"/>
        </w:rPr>
        <w:t>Controlling strong urges is a heavy lift, and we can expend only so much effort before our efforts begin to fail.</w:t>
      </w:r>
    </w:p>
    <w:p>
      <w:pPr>
        <w:spacing w:after="20" w:line="223" w:lineRule="auto"/>
        <w:jc w:val="right"/>
        <w:bidi/>
      </w:pPr>
      <w:r>
        <w:rPr>
          <w:rFonts w:ascii="Arial" w:hAnsi="Arial"/>
          <w:sz w:val="16"/>
        </w:rPr>
        <w:t>265.12  در نتیجه، تغییر وضعیت برای کاهش وسوسه بیشتر از صرف تلاش برای کنترل درونی تمایلات، از رفتار نامناسب جلوگیری می‌کند.</w:t>
      </w:r>
    </w:p>
    <w:p>
      <w:pPr>
        <w:spacing w:after="28" w:line="216" w:lineRule="auto"/>
        <w:ind w:left="259"/>
        <w:jc w:val="left"/>
      </w:pPr>
      <w:r>
        <w:rPr>
          <w:rFonts w:ascii="Arial" w:hAnsi="Arial"/>
          <w:color w:val="525252"/>
          <w:sz w:val="13"/>
        </w:rPr>
        <w:t>As a result, changing the situation to reduce temptation is more likely to prevent inappropriate behavior than expending effort to try to internally control urges.</w:t>
      </w:r>
    </w:p>
    <w:p>
      <w:pPr>
        <w:spacing w:after="20" w:line="223" w:lineRule="auto"/>
        <w:jc w:val="right"/>
        <w:bidi/>
      </w:pPr>
      <w:r>
        <w:rPr>
          <w:rFonts w:ascii="Arial" w:hAnsi="Arial"/>
          <w:sz w:val="16"/>
        </w:rPr>
        <w:t>265.13  برای مثال، اگر عاشق چیپس سیب‌زمینی هستید و تمایل به پرخوری دارید، بهتر است که چیپس را به‌کلی از خانه دور نگه دارید ("دور از دید شما دور از ذهن است") تا اینکه سعی کنید فقط یک عدد چیپس بخورید.</w:t>
      </w:r>
    </w:p>
    <w:p>
      <w:pPr>
        <w:spacing w:after="28" w:line="216" w:lineRule="auto"/>
        <w:ind w:left="259"/>
        <w:jc w:val="left"/>
      </w:pPr>
      <w:r>
        <w:rPr>
          <w:rFonts w:ascii="Arial" w:hAnsi="Arial"/>
          <w:color w:val="525252"/>
          <w:sz w:val="13"/>
        </w:rPr>
        <w:t>For example, if you love potato chips and have a tendency to overeat, it will be more effective to keep chips out of the house altogether (“out of sight is out of mind”) than to try to “will” yourself to eat just one.</w:t>
      </w:r>
    </w:p>
    <w:p>
      <w:pPr>
        <w:spacing w:after="20" w:line="223" w:lineRule="auto"/>
        <w:jc w:val="right"/>
        <w:bidi/>
      </w:pPr>
      <w:r>
        <w:rPr>
          <w:rFonts w:ascii="Arial" w:hAnsi="Arial"/>
          <w:sz w:val="16"/>
        </w:rPr>
        <w:t>265.14  ممکن است برای عبور از راهروی خواربارفروشی به مقداری خودکنترلی نیاز باشد، اما برای جلوگیری از خوردن یک کیسه چیپس باز که ساعت‌ها در خانه جلوی شما نشسته است، به خودکنترلی بسیار قوی‌تری نیاز است.</w:t>
      </w:r>
    </w:p>
    <w:p>
      <w:pPr>
        <w:spacing w:after="28" w:line="216" w:lineRule="auto"/>
        <w:ind w:left="259"/>
        <w:jc w:val="left"/>
      </w:pPr>
      <w:r>
        <w:rPr>
          <w:rFonts w:ascii="Arial" w:hAnsi="Arial"/>
          <w:color w:val="525252"/>
          <w:sz w:val="13"/>
        </w:rPr>
        <w:t>Some self- control may be needed to pass up the chip aisle at the grocery store, but far stronger self-control would be needed to avoid eating an open bag of chips that has been sitting in front of you for hours at home.</w:t>
      </w:r>
    </w:p>
    <w:p>
      <w:pPr>
        <w:spacing w:after="20" w:line="223" w:lineRule="auto"/>
        <w:jc w:val="right"/>
        <w:bidi/>
      </w:pPr>
      <w:r>
        <w:rPr>
          <w:rFonts w:ascii="Arial" w:hAnsi="Arial"/>
          <w:sz w:val="16"/>
        </w:rPr>
        <w:t>265.15  همین اصل در مورد پرهیز از رفتار نامناسب هنگام عصبانیت یا ناراحتی صدق می‌کند.</w:t>
      </w:r>
    </w:p>
    <w:p>
      <w:pPr>
        <w:spacing w:after="28" w:line="216" w:lineRule="auto"/>
        <w:ind w:left="259"/>
        <w:jc w:val="left"/>
      </w:pPr>
      <w:r>
        <w:rPr>
          <w:rFonts w:ascii="Arial" w:hAnsi="Arial"/>
          <w:color w:val="525252"/>
          <w:sz w:val="13"/>
        </w:rPr>
        <w:t>The same principle applies to avoiding inappropriate behavior when angry or upset.</w:t>
      </w:r>
    </w:p>
    <w:p>
      <w:pPr>
        <w:spacing w:after="20" w:line="223" w:lineRule="auto"/>
        <w:jc w:val="right"/>
        <w:bidi/>
      </w:pPr>
      <w:r>
        <w:rPr>
          <w:rFonts w:ascii="Arial" w:hAnsi="Arial"/>
          <w:sz w:val="16"/>
        </w:rPr>
        <w:t>265.16  دور کردن خود از موقعیت‌هایی که احتمالا باعث عصبانیت شما می‌شوند (جلوگیری از «محرک‌های بالقوه») بیشتر از تلاش‌های درونی برای کنترل خشم در موقعیت‌های دشوار، از بروز طغیان‌ها جلوگیری می‌کند.</w:t>
      </w:r>
    </w:p>
    <w:p>
      <w:pPr>
        <w:spacing w:after="28" w:line="216" w:lineRule="auto"/>
        <w:ind w:left="259"/>
        <w:jc w:val="left"/>
      </w:pPr>
      <w:r>
        <w:rPr>
          <w:rFonts w:ascii="Arial" w:hAnsi="Arial"/>
          <w:color w:val="525252"/>
          <w:sz w:val="13"/>
        </w:rPr>
        <w:t>Removing yourself from situations that are likely to cause you to become angry (avoiding potential “triggers”) will be more likely to prevent outbursts than simply exerting effort internally to try to control anger in difficult situations.</w:t>
      </w:r>
    </w:p>
    <w:p>
      <w:pPr>
        <w:spacing w:after="20" w:line="223" w:lineRule="auto"/>
        <w:jc w:val="right"/>
        <w:bidi/>
      </w:pPr>
      <w:r>
        <w:rPr>
          <w:rFonts w:ascii="Arial" w:hAnsi="Arial"/>
          <w:sz w:val="16"/>
        </w:rPr>
        <w:t>265.17  خودکنترلی می‌تواند قوی‌تر شود.</w:t>
      </w:r>
    </w:p>
    <w:p>
      <w:pPr>
        <w:spacing w:after="28" w:line="216" w:lineRule="auto"/>
        <w:ind w:left="259"/>
        <w:jc w:val="left"/>
      </w:pPr>
      <w:r>
        <w:rPr>
          <w:rFonts w:ascii="Arial" w:hAnsi="Arial"/>
          <w:color w:val="525252"/>
          <w:sz w:val="13"/>
        </w:rPr>
        <w:t>Self-Control Can Become Stronger.</w:t>
      </w:r>
    </w:p>
    <w:p>
      <w:pPr>
        <w:spacing w:after="20" w:line="223" w:lineRule="auto"/>
        <w:jc w:val="right"/>
        <w:bidi/>
      </w:pPr>
      <w:r>
        <w:rPr>
          <w:rFonts w:ascii="Arial" w:hAnsi="Arial"/>
          <w:sz w:val="16"/>
        </w:rPr>
        <w:t>265.18  مانند یک ماهیچه، خودکنترلی را می‌توان با تمرین قوی‌تر کرد.</w:t>
      </w:r>
    </w:p>
    <w:p>
      <w:pPr>
        <w:spacing w:after="28" w:line="216" w:lineRule="auto"/>
        <w:ind w:left="259"/>
        <w:jc w:val="left"/>
      </w:pPr>
      <w:r>
        <w:rPr>
          <w:rFonts w:ascii="Arial" w:hAnsi="Arial"/>
          <w:color w:val="525252"/>
          <w:sz w:val="13"/>
        </w:rPr>
        <w:t>Like a muscle, self-control can be made stronger with practice.</w:t>
      </w:r>
    </w:p>
    <w:p>
      <w:pPr>
        <w:spacing w:after="20" w:line="223" w:lineRule="auto"/>
        <w:jc w:val="right"/>
        <w:bidi/>
      </w:pPr>
      <w:r>
        <w:rPr>
          <w:rFonts w:ascii="Arial" w:hAnsi="Arial"/>
          <w:sz w:val="16"/>
        </w:rPr>
        <w:t>265.19  انجام منظم اعمال کوچک خودکنترلی، همراه با استراحت، می‌تواند کنترل خود را در طول زمان تقویت کند.</w:t>
      </w:r>
    </w:p>
    <w:p>
      <w:pPr>
        <w:spacing w:after="28" w:line="216" w:lineRule="auto"/>
        <w:ind w:left="259"/>
        <w:jc w:val="left"/>
      </w:pPr>
      <w:r>
        <w:rPr>
          <w:rFonts w:ascii="Arial" w:hAnsi="Arial"/>
          <w:color w:val="525252"/>
          <w:sz w:val="13"/>
        </w:rPr>
        <w:t>Regularly practicing small acts of self-control, interspersed with rest, can strengthen self- control over time.</w:t>
      </w:r>
    </w:p>
    <w:p>
      <w:pPr>
        <w:spacing w:after="20" w:line="223" w:lineRule="auto"/>
        <w:jc w:val="right"/>
        <w:bidi/>
      </w:pPr>
      <w:r>
        <w:rPr>
          <w:rFonts w:ascii="Arial" w:hAnsi="Arial"/>
          <w:sz w:val="16"/>
        </w:rPr>
        <w:t>265.20  به‌علاوه، بهبود خودکنترلی در یک حوزه (مثلا کنترل میل به پرخوری) باعث بهبود خودکنترلی در سایر حوزه‌ها نیز می‌شود (مثلا کنترل سایر تکانه‌ها، مانند تمایل به فحش دادن یا فریاد زدن هنگام عصبانیت).</w:t>
      </w:r>
    </w:p>
    <w:p>
      <w:pPr>
        <w:spacing w:after="28" w:line="216" w:lineRule="auto"/>
        <w:ind w:left="259"/>
        <w:jc w:val="left"/>
      </w:pPr>
      <w:r>
        <w:rPr>
          <w:rFonts w:ascii="Arial" w:hAnsi="Arial"/>
          <w:color w:val="525252"/>
          <w:sz w:val="13"/>
        </w:rPr>
        <w:t>Further, improving self-control in one domain (e.g., controlling urges to overeat) has been shown to improve self-control in other domains as well (e.g., controlling other impulses, such as the tendency to curse or yell when angry).</w:t>
      </w:r>
    </w:p>
    <w:p>
      <w:pPr>
        <w:spacing w:after="20" w:line="223" w:lineRule="auto"/>
        <w:jc w:val="right"/>
        <w:bidi/>
      </w:pPr>
      <w:r>
        <w:rPr>
          <w:rFonts w:ascii="Arial" w:hAnsi="Arial"/>
          <w:sz w:val="16"/>
        </w:rPr>
        <w:t>265.21  مطالعات نشان داده‌اند که حتی دو هفته تمرین عمدی و روزانه برای مهار یک میل یا رفتار می‌تواند به‌طور معنی‌داری کنترل تکانه را بهبود بخشد: هدفی را تعیین کنید که مستلزم خودکنترلی باشد (مثلا اجتناب از شیرینی‌ها و دسرها، نگه داشتن دست تا حد ممکن، علی‌رغم تلاش‌های جسمی و تلاش روزانه خود را حفظ کنید. کوکی را رد کرد که بوی خوش آن را برای کس دقیقه نگه داشت.</w:t>
      </w:r>
    </w:p>
    <w:p>
      <w:pPr>
        <w:spacing w:after="28" w:line="216" w:lineRule="auto"/>
        <w:ind w:left="259"/>
        <w:jc w:val="left"/>
      </w:pPr>
      <w:r>
        <w:rPr>
          <w:rFonts w:ascii="Arial" w:hAnsi="Arial"/>
          <w:color w:val="525252"/>
          <w:sz w:val="13"/>
        </w:rPr>
        <w:t>Studies have found that even two weeks of deliberate, daily practice to inhibit an urge or behavior can meaningfully improve impulse control: Set a target goal requiring self-control (e.g., avoiding sweets and desserts, holding a handgrip for as long as possible, despite physical discomfort) Keep a daily record of how much effort and self-control you exert (e.g., declined cookie when offered one that smelled delicious; held the handgrip for X minutes), and reflect on how practicing could improve self-control.</w:t>
      </w:r>
    </w:p>
    <w:p>
      <w:pPr>
        <w:spacing w:after="20" w:line="223" w:lineRule="auto"/>
        <w:jc w:val="right"/>
        <w:bidi/>
      </w:pPr>
      <w:r>
        <w:rPr>
          <w:rFonts w:ascii="Arial" w:hAnsi="Arial"/>
          <w:sz w:val="16"/>
        </w:rPr>
        <w:t>265.22  در حالی که برخی از افراد به‌طور طبیعی تمایل دارند نسبت به دیگران خودکنترلی بیشتری داشته باشند، با تمرین، حتی افرادی که در ابتدا خودکنترلی ضعیفی دارند، می‌توانند در اعمال خویشتن داری و اجتناب از وسوسه‌ها بهتر شوند.</w:t>
      </w:r>
    </w:p>
    <w:p>
      <w:pPr>
        <w:spacing w:after="28" w:line="216" w:lineRule="auto"/>
        <w:ind w:left="259"/>
        <w:jc w:val="left"/>
      </w:pPr>
      <w:r>
        <w:rPr>
          <w:rFonts w:ascii="Arial" w:hAnsi="Arial"/>
          <w:color w:val="525252"/>
          <w:sz w:val="13"/>
        </w:rPr>
        <w:t>While some people naturally tend to have more self-control than others, with practice, even people with initially poor self-control can get better at exercising restraint and avoiding temptations.</w:t>
      </w:r>
    </w:p>
    <w:p>
      <w:r>
        <w:br w:type="page"/>
      </w:r>
    </w:p>
    <w:p>
      <w:pPr>
        <w:spacing w:after="60"/>
        <w:jc w:val="right"/>
        <w:bidi/>
      </w:pPr>
      <w:r>
        <w:rPr>
          <w:rFonts w:ascii="Arial" w:hAnsi="Arial"/>
          <w:b/>
          <w:color w:val="1F4D78"/>
          <w:sz w:val="19"/>
        </w:rPr>
        <w:t>هفتهٔ 266  |  صفحهٔ منبع: 282</w:t>
      </w:r>
    </w:p>
    <w:p>
      <w:pPr>
        <w:spacing w:before="60" w:after="28"/>
        <w:jc w:val="right"/>
        <w:bidi/>
      </w:pPr>
      <w:r>
        <w:rPr>
          <w:b/>
          <w:color w:val="1F4D78"/>
          <w:sz w:val="18"/>
        </w:rPr>
        <w:t>15.4. تاب آوری</w:t>
      </w:r>
    </w:p>
    <w:p>
      <w:pPr>
        <w:spacing w:after="20"/>
        <w:ind w:left="259"/>
        <w:jc w:val="left"/>
      </w:pPr>
      <w:r>
        <w:rPr>
          <w:color w:val="555555"/>
          <w:sz w:val="12"/>
        </w:rPr>
        <w:t>15.4. Resilience</w:t>
      </w:r>
    </w:p>
    <w:p>
      <w:pPr>
        <w:spacing w:after="20" w:line="223" w:lineRule="auto"/>
        <w:jc w:val="right"/>
        <w:bidi/>
      </w:pPr>
      <w:r>
        <w:rPr>
          <w:rFonts w:ascii="Arial" w:hAnsi="Arial"/>
          <w:sz w:val="16"/>
        </w:rPr>
        <w:t>266.02  چگونه است که به نظر می‌رسد برخی از افراد اینقدر سریع از تجربیات منفی "بازگشته می‌شوند"، در حالی که برخی دیگر تمایل دارند در بلاتکلیفی گرفتار شوند و ظاهرا قادر به بهبودی و حرکت نیستند؟</w:t>
      </w:r>
    </w:p>
    <w:p>
      <w:pPr>
        <w:spacing w:after="28" w:line="216" w:lineRule="auto"/>
        <w:ind w:left="259"/>
        <w:jc w:val="left"/>
      </w:pPr>
      <w:r>
        <w:rPr>
          <w:rFonts w:ascii="Arial" w:hAnsi="Arial"/>
          <w:color w:val="525252"/>
          <w:sz w:val="13"/>
        </w:rPr>
        <w:t>How is it that some people seem to “bounce back” from negative experiences so quickly, while others tend to get caught in a rut, seemingly unable to recover and move on?</w:t>
      </w:r>
    </w:p>
    <w:p>
      <w:pPr>
        <w:spacing w:after="20" w:line="223" w:lineRule="auto"/>
        <w:jc w:val="right"/>
        <w:bidi/>
      </w:pPr>
      <w:r>
        <w:rPr>
          <w:rFonts w:ascii="Arial" w:hAnsi="Arial"/>
          <w:sz w:val="16"/>
        </w:rPr>
        <w:t>266.03  در حالی که عوامل خارجی مانند حمایت، روابط و معنویت همگی بر تاب‌آوری تأثیر می‌گذارند، تاب‌آوری ما نیز می‌تواند تحت تأثیر نحوه تفکر ما در مورد موقعیت‌های استرس‌زا باشد.</w:t>
      </w:r>
    </w:p>
    <w:p>
      <w:pPr>
        <w:spacing w:after="28" w:line="216" w:lineRule="auto"/>
        <w:ind w:left="259"/>
        <w:jc w:val="left"/>
      </w:pPr>
      <w:r>
        <w:rPr>
          <w:rFonts w:ascii="Arial" w:hAnsi="Arial"/>
          <w:color w:val="525252"/>
          <w:sz w:val="13"/>
        </w:rPr>
        <w:t>While external factors such as support, relationships, and spirituality all impact resilience, our resilience can also be affected by how we think about stressful situations.</w:t>
      </w:r>
    </w:p>
    <w:p>
      <w:pPr>
        <w:spacing w:after="20" w:line="223" w:lineRule="auto"/>
        <w:jc w:val="right"/>
        <w:bidi/>
      </w:pPr>
      <w:r>
        <w:rPr>
          <w:rFonts w:ascii="Arial" w:hAnsi="Arial"/>
          <w:sz w:val="16"/>
        </w:rPr>
        <w:t>266.04  ارزیابی مجدد مثبت به فرآیند تفسیر مجدد (تفسیر مجدد) رویدادهای استرس زا به‌عنوان غیرتهدیدکننده، معنادار و حتی کمک کننده به رشد شخصی اشاره دارد.</w:t>
      </w:r>
    </w:p>
    <w:p>
      <w:pPr>
        <w:spacing w:after="28" w:line="216" w:lineRule="auto"/>
        <w:ind w:left="259"/>
        <w:jc w:val="left"/>
      </w:pPr>
      <w:r>
        <w:rPr>
          <w:rFonts w:ascii="Arial" w:hAnsi="Arial"/>
          <w:color w:val="525252"/>
          <w:sz w:val="13"/>
        </w:rPr>
        <w:t>Positive reappraisal refers to the process of re-construing (re-interpreting) stressful events as non- threatening, meaningful, and even contributing to personal growth.</w:t>
      </w:r>
    </w:p>
    <w:p>
      <w:pPr>
        <w:spacing w:after="20" w:line="223" w:lineRule="auto"/>
        <w:jc w:val="right"/>
        <w:bidi/>
      </w:pPr>
      <w:r>
        <w:rPr>
          <w:rFonts w:ascii="Arial" w:hAnsi="Arial"/>
          <w:sz w:val="16"/>
        </w:rPr>
        <w:t>266.05  این استراتژی شناختی می‌تواند به ما کمک کند تا برای رویدادهای استرس‌زا (با پذیرش چالش) آماده شویم و با رویدادهای گذشته بهتر کنار بیاییم (با در نظر گرفتن آنها به‌عنوان فرصت‌هایی برای یادگیری/رشد).</w:t>
      </w:r>
    </w:p>
    <w:p>
      <w:pPr>
        <w:spacing w:after="28" w:line="216" w:lineRule="auto"/>
        <w:ind w:left="259"/>
        <w:jc w:val="left"/>
      </w:pPr>
      <w:r>
        <w:rPr>
          <w:rFonts w:ascii="Arial" w:hAnsi="Arial"/>
          <w:color w:val="525252"/>
          <w:sz w:val="13"/>
        </w:rPr>
        <w:t>This cognitive strategy can help us prepare for stressful events (by embracing challenge), and better cope with past events (by viewing them as opportunities for learning/growth).</w:t>
      </w:r>
    </w:p>
    <w:p>
      <w:pPr>
        <w:spacing w:after="20" w:line="223" w:lineRule="auto"/>
        <w:jc w:val="right"/>
        <w:bidi/>
      </w:pPr>
      <w:r>
        <w:rPr>
          <w:rFonts w:ascii="Arial" w:hAnsi="Arial"/>
          <w:sz w:val="16"/>
        </w:rPr>
        <w:t>266.06  چالش در آغوش گرفتن.</w:t>
      </w:r>
    </w:p>
    <w:p>
      <w:pPr>
        <w:spacing w:after="28" w:line="216" w:lineRule="auto"/>
        <w:ind w:left="259"/>
        <w:jc w:val="left"/>
      </w:pPr>
      <w:r>
        <w:rPr>
          <w:rFonts w:ascii="Arial" w:hAnsi="Arial"/>
          <w:color w:val="525252"/>
          <w:sz w:val="13"/>
        </w:rPr>
        <w:t>Embracing Challenge.</w:t>
      </w:r>
    </w:p>
    <w:p>
      <w:pPr>
        <w:spacing w:after="20" w:line="223" w:lineRule="auto"/>
        <w:jc w:val="right"/>
        <w:bidi/>
      </w:pPr>
      <w:r>
        <w:rPr>
          <w:rFonts w:ascii="Arial" w:hAnsi="Arial"/>
          <w:sz w:val="16"/>
        </w:rPr>
        <w:t>266.07  وضعیت زیر را تصور کنید: در لحظه آخر اطلاعیه دریافت می‌کنید مبنی بر اینکه باید برای مخاطبانی از اعضای عالی رتبه ارائه دهید.</w:t>
      </w:r>
    </w:p>
    <w:p>
      <w:pPr>
        <w:spacing w:after="28" w:line="216" w:lineRule="auto"/>
        <w:ind w:left="259"/>
        <w:jc w:val="left"/>
      </w:pPr>
      <w:r>
        <w:rPr>
          <w:rFonts w:ascii="Arial" w:hAnsi="Arial"/>
          <w:color w:val="525252"/>
          <w:sz w:val="13"/>
        </w:rPr>
        <w:t>Imagine the following situation: You receive last-minute notice that you will need to give a presentation to an audience of high- ranking members.</w:t>
      </w:r>
    </w:p>
    <w:p>
      <w:pPr>
        <w:spacing w:after="20" w:line="223" w:lineRule="auto"/>
        <w:jc w:val="right"/>
        <w:bidi/>
      </w:pPr>
      <w:r>
        <w:rPr>
          <w:rFonts w:ascii="Arial" w:hAnsi="Arial"/>
          <w:sz w:val="16"/>
        </w:rPr>
        <w:t>266.08  خطرات زیاد است و توانایی (یا ناتوانی) شما در متقاعد کردن مخاطب عواقب بزرگی بر حرفه شما خواهد داشت.</w:t>
      </w:r>
    </w:p>
    <w:p>
      <w:pPr>
        <w:spacing w:after="28" w:line="216" w:lineRule="auto"/>
        <w:ind w:left="259"/>
        <w:jc w:val="left"/>
      </w:pPr>
      <w:r>
        <w:rPr>
          <w:rFonts w:ascii="Arial" w:hAnsi="Arial"/>
          <w:color w:val="525252"/>
          <w:sz w:val="13"/>
        </w:rPr>
        <w:t>The stakes are high, and your ability (or inability) to convince the audience will have major consequences on your career.</w:t>
      </w:r>
    </w:p>
    <w:p>
      <w:pPr>
        <w:spacing w:after="20" w:line="223" w:lineRule="auto"/>
        <w:jc w:val="right"/>
        <w:bidi/>
      </w:pPr>
      <w:r>
        <w:rPr>
          <w:rFonts w:ascii="Arial" w:hAnsi="Arial"/>
          <w:sz w:val="16"/>
        </w:rPr>
        <w:t>266.09  برای اکثر مردم، این می‌تواند یک موقعیت استرس زا باشد.</w:t>
      </w:r>
    </w:p>
    <w:p>
      <w:pPr>
        <w:spacing w:after="28" w:line="216" w:lineRule="auto"/>
        <w:ind w:left="259"/>
        <w:jc w:val="left"/>
      </w:pPr>
      <w:r>
        <w:rPr>
          <w:rFonts w:ascii="Arial" w:hAnsi="Arial"/>
          <w:color w:val="525252"/>
          <w:sz w:val="13"/>
        </w:rPr>
        <w:t>For most people, this can be a stressful situation.</w:t>
      </w:r>
    </w:p>
    <w:p>
      <w:pPr>
        <w:spacing w:after="20" w:line="223" w:lineRule="auto"/>
        <w:jc w:val="right"/>
        <w:bidi/>
      </w:pPr>
      <w:r>
        <w:rPr>
          <w:rFonts w:ascii="Arial" w:hAnsi="Arial"/>
          <w:sz w:val="16"/>
        </w:rPr>
        <w:t>266.10  اما مطالعات نشان داده‌اند که توانایی ما برای مدیریت رویدادهای بالقوه استرس‌زا مانند این می‌تواند تحت تأثیر نحوه چارچوب‌بندی موقعیت قرار گیرد.</w:t>
      </w:r>
    </w:p>
    <w:p>
      <w:pPr>
        <w:spacing w:after="28" w:line="216" w:lineRule="auto"/>
        <w:ind w:left="259"/>
        <w:jc w:val="left"/>
      </w:pPr>
      <w:r>
        <w:rPr>
          <w:rFonts w:ascii="Arial" w:hAnsi="Arial"/>
          <w:color w:val="525252"/>
          <w:sz w:val="13"/>
        </w:rPr>
        <w:t>But studies have shown that our ability to manage potentially stressful events like this can be affected by how we frame the situation.</w:t>
      </w:r>
    </w:p>
    <w:p>
      <w:pPr>
        <w:spacing w:after="20" w:line="223" w:lineRule="auto"/>
        <w:jc w:val="right"/>
        <w:bidi/>
      </w:pPr>
      <w:r>
        <w:rPr>
          <w:rFonts w:ascii="Arial" w:hAnsi="Arial"/>
          <w:sz w:val="16"/>
        </w:rPr>
        <w:t>266.11  به‌طور خاص، زمانی که به یک موقعیت از نظر تهدید نگاه می‌کنیم (مثلا تمرکز بر دشواری کار و اینکه دیگران چگونه ما را ارزیابی می‌کنند)، ضربان قلب، نبض و فشار خون ما افزایش می‌یابد، و پس از آن آرام شدن ما بیشتر طول می‌کشد.</w:t>
      </w:r>
    </w:p>
    <w:p>
      <w:pPr>
        <w:spacing w:after="28" w:line="216" w:lineRule="auto"/>
        <w:ind w:left="259"/>
        <w:jc w:val="left"/>
      </w:pPr>
      <w:r>
        <w:rPr>
          <w:rFonts w:ascii="Arial" w:hAnsi="Arial"/>
          <w:color w:val="525252"/>
          <w:sz w:val="13"/>
        </w:rPr>
        <w:t>Specifically, when we view a situation in terms of threat (e.g., focusing on task difficulty and how other people will evaluate us), our heart rate, pulse, and blood pressure increase, and it takes us longer to calm down afterwards.</w:t>
      </w:r>
    </w:p>
    <w:p>
      <w:pPr>
        <w:spacing w:after="20" w:line="223" w:lineRule="auto"/>
        <w:jc w:val="right"/>
        <w:bidi/>
      </w:pPr>
      <w:r>
        <w:rPr>
          <w:rFonts w:ascii="Arial" w:hAnsi="Arial"/>
          <w:sz w:val="16"/>
        </w:rPr>
        <w:t>266.12  وقتی در عوض همان موقعیت را از نظر چالش تعریف می‌کنیم، تمایل داریم سریع‌تر بهبود پیدا کنیم (ضربان قلب، نبض و فشار خون بعد از رویداد سریع‌تر به حالت عادی باز می‌گردند).</w:t>
      </w:r>
    </w:p>
    <w:p>
      <w:pPr>
        <w:spacing w:after="28" w:line="216" w:lineRule="auto"/>
        <w:ind w:left="259"/>
        <w:jc w:val="left"/>
      </w:pPr>
      <w:r>
        <w:rPr>
          <w:rFonts w:ascii="Arial" w:hAnsi="Arial"/>
          <w:color w:val="525252"/>
          <w:sz w:val="13"/>
        </w:rPr>
        <w:t>When we instead frame the same situation in terms of challenge, we tend to recover faster (heart rate, pulse, and blood pressure return to normal more quickly after the event).</w:t>
      </w:r>
    </w:p>
    <w:p>
      <w:pPr>
        <w:spacing w:after="20" w:line="223" w:lineRule="auto"/>
        <w:jc w:val="right"/>
        <w:bidi/>
      </w:pPr>
      <w:r>
        <w:rPr>
          <w:rFonts w:ascii="Arial" w:hAnsi="Arial"/>
          <w:sz w:val="16"/>
        </w:rPr>
        <w:t>266.13  به‌عنوان مثال، قبل از وارد شدن به یک موقعیت استرس زا، ممکن است به خود (یا یکی از هوانوردان) بگویید: «اگرچه این کار دشواری است، اما چالشی است که می‌توان با آن روبرو شد و بر آن غلبه کرد.</w:t>
      </w:r>
    </w:p>
    <w:p>
      <w:pPr>
        <w:spacing w:after="28" w:line="216" w:lineRule="auto"/>
        <w:ind w:left="259"/>
        <w:jc w:val="left"/>
      </w:pPr>
      <w:r>
        <w:rPr>
          <w:rFonts w:ascii="Arial" w:hAnsi="Arial"/>
          <w:color w:val="525252"/>
          <w:sz w:val="13"/>
        </w:rPr>
        <w:t>For example, before going into a stressful situation, you might tell yourself (or one of your Airmen): “Even though this is a difficult task, it is a challenge that can be met and overcome.</w:t>
      </w:r>
    </w:p>
    <w:p>
      <w:pPr>
        <w:spacing w:after="20" w:line="223" w:lineRule="auto"/>
        <w:jc w:val="right"/>
        <w:bidi/>
      </w:pPr>
      <w:r>
        <w:rPr>
          <w:rFonts w:ascii="Arial" w:hAnsi="Arial"/>
          <w:sz w:val="16"/>
        </w:rPr>
        <w:t>266.14  من در گذشته بر چالش‌های دیگری غلبه کرده‌ام و اگر تلاش کنم تا بهترین کار را انجام دهم، می‌توانم به این چالش نیز پاسخ دهم.» وقتی افراد به این شکل از نظر چالش در نظر گرفته شوند، اضطراب کمتری در مورد کار را تجربه می‌کنند و بهبودی سریع‌تری را نشان می‌دهند.</w:t>
      </w:r>
    </w:p>
    <w:p>
      <w:pPr>
        <w:spacing w:after="28" w:line="216" w:lineRule="auto"/>
        <w:ind w:left="259"/>
        <w:jc w:val="left"/>
      </w:pPr>
      <w:r>
        <w:rPr>
          <w:rFonts w:ascii="Arial" w:hAnsi="Arial"/>
          <w:color w:val="525252"/>
          <w:sz w:val="13"/>
        </w:rPr>
        <w:t>I have overcome other challenges in the past, and if I try hard to do my best, I can meet this challenge as well.” When framed this way in terms of challenge, people report experiencing less anxiety about the task, and demonstrate faster recovery.</w:t>
      </w:r>
    </w:p>
    <w:p>
      <w:pPr>
        <w:spacing w:after="20" w:line="223" w:lineRule="auto"/>
        <w:jc w:val="right"/>
        <w:bidi/>
      </w:pPr>
      <w:r>
        <w:rPr>
          <w:rFonts w:ascii="Arial" w:hAnsi="Arial"/>
          <w:sz w:val="16"/>
        </w:rPr>
        <w:t>266.15  مشاهده رویدادهای منفی به‌عنوان فرصتی برای رشد.</w:t>
      </w:r>
    </w:p>
    <w:p>
      <w:pPr>
        <w:spacing w:after="28" w:line="216" w:lineRule="auto"/>
        <w:ind w:left="259"/>
        <w:jc w:val="left"/>
      </w:pPr>
      <w:r>
        <w:rPr>
          <w:rFonts w:ascii="Arial" w:hAnsi="Arial"/>
          <w:color w:val="525252"/>
          <w:sz w:val="13"/>
        </w:rPr>
        <w:t>Viewing Negative Events as Opportunities for Growth.</w:t>
      </w:r>
    </w:p>
    <w:p>
      <w:pPr>
        <w:spacing w:after="20" w:line="223" w:lineRule="auto"/>
        <w:jc w:val="right"/>
        <w:bidi/>
      </w:pPr>
      <w:r>
        <w:rPr>
          <w:rFonts w:ascii="Arial" w:hAnsi="Arial"/>
          <w:sz w:val="16"/>
        </w:rPr>
        <w:t>266.16  گاهی اوقات رویدادهای منفی برای همه اتفاق می‌افتد—ارائه شما ضعیف بود و ارزیابی عملکرد ضعیفی دریافت کردید.</w:t>
      </w:r>
    </w:p>
    <w:p>
      <w:pPr>
        <w:spacing w:after="28" w:line="216" w:lineRule="auto"/>
        <w:ind w:left="259"/>
        <w:jc w:val="left"/>
      </w:pPr>
      <w:r>
        <w:rPr>
          <w:rFonts w:ascii="Arial" w:hAnsi="Arial"/>
          <w:color w:val="525252"/>
          <w:sz w:val="13"/>
        </w:rPr>
        <w:t>Sometimes negative events happen to everyone—your presentation went poorly and you received a poor performance evaluation.</w:t>
      </w:r>
    </w:p>
    <w:p>
      <w:pPr>
        <w:spacing w:after="20" w:line="223" w:lineRule="auto"/>
        <w:jc w:val="right"/>
        <w:bidi/>
      </w:pPr>
      <w:r>
        <w:rPr>
          <w:rFonts w:ascii="Arial" w:hAnsi="Arial"/>
          <w:sz w:val="16"/>
        </w:rPr>
        <w:t>266.17  یا در خارج از محل کار دچار ناملایمات شده‌اید-- طلاق گرفته‌اید، تصادف کرده‌اید، مرگ یکی از اعضای خانواده را تجربه کرده‌اید و غیره.</w:t>
      </w:r>
    </w:p>
    <w:p>
      <w:pPr>
        <w:spacing w:after="28" w:line="216" w:lineRule="auto"/>
        <w:ind w:left="259"/>
        <w:jc w:val="left"/>
      </w:pPr>
      <w:r>
        <w:rPr>
          <w:rFonts w:ascii="Arial" w:hAnsi="Arial"/>
          <w:color w:val="525252"/>
          <w:sz w:val="13"/>
        </w:rPr>
        <w:t>Or you experienced adversity outside of work-- you got divorced, were in an accident, experienced the death of a family member, etc.</w:t>
      </w:r>
    </w:p>
    <w:p>
      <w:pPr>
        <w:spacing w:after="20" w:line="223" w:lineRule="auto"/>
        <w:jc w:val="right"/>
        <w:bidi/>
      </w:pPr>
      <w:r>
        <w:rPr>
          <w:rFonts w:ascii="Arial" w:hAnsi="Arial"/>
          <w:sz w:val="16"/>
        </w:rPr>
        <w:t>266.18  کارشناسان توصیه می‌کنند در مورد مشکلات و چالش‌هایی که با آن روبرو بوده‌ایم تأمل کنیم.</w:t>
      </w:r>
    </w:p>
    <w:p>
      <w:pPr>
        <w:spacing w:after="28" w:line="216" w:lineRule="auto"/>
        <w:ind w:left="259"/>
        <w:jc w:val="left"/>
      </w:pPr>
      <w:r>
        <w:rPr>
          <w:rFonts w:ascii="Arial" w:hAnsi="Arial"/>
          <w:color w:val="525252"/>
          <w:sz w:val="13"/>
        </w:rPr>
        <w:t>Experts recommend reflecting on the problems and challenges we have faced.</w:t>
      </w:r>
    </w:p>
    <w:p>
      <w:pPr>
        <w:spacing w:after="20" w:line="223" w:lineRule="auto"/>
        <w:jc w:val="right"/>
        <w:bidi/>
      </w:pPr>
      <w:r>
        <w:rPr>
          <w:rFonts w:ascii="Arial" w:hAnsi="Arial"/>
          <w:sz w:val="16"/>
        </w:rPr>
        <w:t>266.19  سعی کنید شرایط را درک کنید و از خود بپرسید: آیا چیزی هست که بتوانید از این موقعیت یاد بگیرید؟</w:t>
      </w:r>
    </w:p>
    <w:p>
      <w:pPr>
        <w:spacing w:after="28" w:line="216" w:lineRule="auto"/>
        <w:ind w:left="259"/>
        <w:jc w:val="left"/>
      </w:pPr>
      <w:r>
        <w:rPr>
          <w:rFonts w:ascii="Arial" w:hAnsi="Arial"/>
          <w:color w:val="525252"/>
          <w:sz w:val="13"/>
        </w:rPr>
        <w:t>Try to make sense of the circumstances and ask yourself: Is there something you could learn from this situation?</w:t>
      </w:r>
    </w:p>
    <w:p>
      <w:pPr>
        <w:spacing w:after="20" w:line="223" w:lineRule="auto"/>
        <w:jc w:val="right"/>
        <w:bidi/>
      </w:pPr>
      <w:r>
        <w:rPr>
          <w:rFonts w:ascii="Arial" w:hAnsi="Arial"/>
          <w:sz w:val="16"/>
        </w:rPr>
        <w:t>266.20  آیا می‌توانید از برخورد با این مشکل چیز خوبی را تصور کنید؟</w:t>
      </w:r>
    </w:p>
    <w:p>
      <w:pPr>
        <w:spacing w:after="28" w:line="216" w:lineRule="auto"/>
        <w:ind w:left="259"/>
        <w:jc w:val="left"/>
      </w:pPr>
      <w:r>
        <w:rPr>
          <w:rFonts w:ascii="Arial" w:hAnsi="Arial"/>
          <w:color w:val="525252"/>
          <w:sz w:val="13"/>
        </w:rPr>
        <w:t>Can you envision something good coming out of dealing with this problem?</w:t>
      </w:r>
    </w:p>
    <w:p>
      <w:pPr>
        <w:spacing w:after="20" w:line="223" w:lineRule="auto"/>
        <w:jc w:val="right"/>
        <w:bidi/>
      </w:pPr>
      <w:r>
        <w:rPr>
          <w:rFonts w:ascii="Arial" w:hAnsi="Arial"/>
          <w:sz w:val="16"/>
        </w:rPr>
        <w:t>266.21  چگونه این رویداد می‌تواند زندگی شما را به شیوه‌ای مثبت تغییر دهد؟</w:t>
      </w:r>
    </w:p>
    <w:p>
      <w:pPr>
        <w:spacing w:after="28" w:line="216" w:lineRule="auto"/>
        <w:ind w:left="259"/>
        <w:jc w:val="left"/>
      </w:pPr>
      <w:r>
        <w:rPr>
          <w:rFonts w:ascii="Arial" w:hAnsi="Arial"/>
          <w:color w:val="525252"/>
          <w:sz w:val="13"/>
        </w:rPr>
        <w:t>How could the event change your life in a positive way?</w:t>
      </w:r>
    </w:p>
    <w:p>
      <w:pPr>
        <w:spacing w:after="20" w:line="223" w:lineRule="auto"/>
        <w:jc w:val="right"/>
        <w:bidi/>
      </w:pPr>
      <w:r>
        <w:rPr>
          <w:rFonts w:ascii="Arial" w:hAnsi="Arial"/>
          <w:sz w:val="16"/>
        </w:rPr>
        <w:t>266.22  چگونه می‌توانید در درازمدت در این وضعیت منفعت پیدا کنید؟</w:t>
      </w:r>
    </w:p>
    <w:p>
      <w:pPr>
        <w:spacing w:after="28" w:line="216" w:lineRule="auto"/>
        <w:ind w:left="259"/>
        <w:jc w:val="left"/>
      </w:pPr>
      <w:r>
        <w:rPr>
          <w:rFonts w:ascii="Arial" w:hAnsi="Arial"/>
          <w:color w:val="525252"/>
          <w:sz w:val="13"/>
        </w:rPr>
        <w:t>How could you find benefit in this situation in the long-term?</w:t>
      </w:r>
    </w:p>
    <w:p>
      <w:pPr>
        <w:spacing w:after="20" w:line="223" w:lineRule="auto"/>
        <w:jc w:val="right"/>
        <w:bidi/>
      </w:pPr>
      <w:r>
        <w:rPr>
          <w:rFonts w:ascii="Arial" w:hAnsi="Arial"/>
          <w:sz w:val="16"/>
        </w:rPr>
        <w:t>266.23  چند نمونه از ارزیابی مجدد شناختی برای یادگیری یا رشد از رویدادهای منفی دیگر: شخصی که دچار حمله قلبی شده است ممکن است این رویداد را به‌عنوان یک "بیدار شدن از خواب" و فرصتی برای اصلاح سبک زندگی و شروع به تغییر رژیم غذایی خود ببیند.</w:t>
      </w:r>
    </w:p>
    <w:p>
      <w:pPr>
        <w:spacing w:after="28" w:line="216" w:lineRule="auto"/>
        <w:ind w:left="259"/>
        <w:jc w:val="left"/>
      </w:pPr>
      <w:r>
        <w:rPr>
          <w:rFonts w:ascii="Arial" w:hAnsi="Arial"/>
          <w:color w:val="525252"/>
          <w:sz w:val="13"/>
        </w:rPr>
        <w:t>Some examples of cognitive reappraisal to learn or grow from otherwise negative events: Someone who has a heart attack might view the event as a “wake up call” and chance to modify their lifestyle and begin to change their diet.</w:t>
      </w:r>
    </w:p>
    <w:p>
      <w:pPr>
        <w:spacing w:after="20" w:line="223" w:lineRule="auto"/>
        <w:jc w:val="right"/>
        <w:bidi/>
      </w:pPr>
      <w:r>
        <w:rPr>
          <w:rFonts w:ascii="Arial" w:hAnsi="Arial"/>
          <w:sz w:val="16"/>
        </w:rPr>
        <w:t>266.24  شخصی که همسرش به شدت بیمار می‌شود ممکن است نیاز به مراقبت را به‌عنوان</w:t>
      </w:r>
    </w:p>
    <w:p>
      <w:pPr>
        <w:spacing w:after="28" w:line="216" w:lineRule="auto"/>
        <w:ind w:left="259"/>
        <w:jc w:val="left"/>
      </w:pPr>
      <w:r>
        <w:rPr>
          <w:rFonts w:ascii="Arial" w:hAnsi="Arial"/>
          <w:color w:val="525252"/>
          <w:sz w:val="13"/>
        </w:rPr>
        <w:t>Someone whose spouse becomes seriously ill might view the need for caregiving as</w:t>
      </w:r>
    </w:p>
    <w:p>
      <w:r>
        <w:br w:type="page"/>
      </w:r>
    </w:p>
    <w:p>
      <w:pPr>
        <w:spacing w:after="60"/>
        <w:jc w:val="right"/>
        <w:bidi/>
      </w:pPr>
      <w:r>
        <w:rPr>
          <w:rFonts w:ascii="Arial" w:hAnsi="Arial"/>
          <w:b/>
          <w:color w:val="1F4D78"/>
          <w:sz w:val="19"/>
        </w:rPr>
        <w:t>هفتهٔ 267  |  صفحهٔ منبع: 283</w:t>
      </w:r>
    </w:p>
    <w:p>
      <w:pPr>
        <w:spacing w:after="20" w:line="223" w:lineRule="auto"/>
        <w:jc w:val="right"/>
        <w:bidi/>
      </w:pPr>
      <w:r>
        <w:rPr>
          <w:rFonts w:ascii="Arial" w:hAnsi="Arial"/>
          <w:sz w:val="16"/>
        </w:rPr>
        <w:t>267.01  تعمیق روابط و سطح صمیمیت آنها.</w:t>
      </w:r>
    </w:p>
    <w:p>
      <w:pPr>
        <w:spacing w:after="28" w:line="216" w:lineRule="auto"/>
        <w:ind w:left="259"/>
        <w:jc w:val="left"/>
      </w:pPr>
      <w:r>
        <w:rPr>
          <w:rFonts w:ascii="Arial" w:hAnsi="Arial"/>
          <w:color w:val="525252"/>
          <w:sz w:val="13"/>
        </w:rPr>
        <w:t>deepening their relationship and level of intimacy.</w:t>
      </w:r>
    </w:p>
    <w:p>
      <w:pPr>
        <w:spacing w:after="20" w:line="223" w:lineRule="auto"/>
        <w:jc w:val="right"/>
        <w:bidi/>
      </w:pPr>
      <w:r>
        <w:rPr>
          <w:rFonts w:ascii="Arial" w:hAnsi="Arial"/>
          <w:sz w:val="16"/>
        </w:rPr>
        <w:t>267.02  کسی که مورد آزار قرار گرفته ممکن است بقای خود را به‌عنوان مدرکی بر قدرت خود ببیند و ممکن است تصمیم بگیرد زندگی خود را وقف کمک به دیگران برای بهبودی مشابه کند.</w:t>
      </w:r>
    </w:p>
    <w:p>
      <w:pPr>
        <w:spacing w:after="28" w:line="216" w:lineRule="auto"/>
        <w:ind w:left="259"/>
        <w:jc w:val="left"/>
      </w:pPr>
      <w:r>
        <w:rPr>
          <w:rFonts w:ascii="Arial" w:hAnsi="Arial"/>
          <w:color w:val="525252"/>
          <w:sz w:val="13"/>
        </w:rPr>
        <w:t>Someone who has been abused might view their survival as evidence of their strength, and they might decide to dedicate their life to helping others make similar recoveries.</w:t>
      </w:r>
    </w:p>
    <w:p>
      <w:pPr>
        <w:spacing w:after="20" w:line="223" w:lineRule="auto"/>
        <w:jc w:val="right"/>
        <w:bidi/>
      </w:pPr>
      <w:r>
        <w:rPr>
          <w:rFonts w:ascii="Arial" w:hAnsi="Arial"/>
          <w:sz w:val="16"/>
        </w:rPr>
        <w:t>267.03  نکته مهم این است که اغلب این فرصت وجود دارد که از رویدادهای استرس‌زای پیش پا افتاده‌تر درس بگیریم.</w:t>
      </w:r>
    </w:p>
    <w:p>
      <w:pPr>
        <w:spacing w:after="28" w:line="216" w:lineRule="auto"/>
        <w:ind w:left="259"/>
        <w:jc w:val="left"/>
      </w:pPr>
      <w:r>
        <w:rPr>
          <w:rFonts w:ascii="Arial" w:hAnsi="Arial"/>
          <w:color w:val="525252"/>
          <w:sz w:val="13"/>
        </w:rPr>
        <w:t>Importantly, there is often the opportunity to learn from even more mundane stressful events.</w:t>
      </w:r>
    </w:p>
    <w:p>
      <w:pPr>
        <w:spacing w:after="20" w:line="223" w:lineRule="auto"/>
        <w:jc w:val="right"/>
        <w:bidi/>
      </w:pPr>
      <w:r>
        <w:rPr>
          <w:rFonts w:ascii="Arial" w:hAnsi="Arial"/>
          <w:sz w:val="16"/>
        </w:rPr>
        <w:t>267.04  به‌عنوان مثال، وقتی یک سرپرست با او رفتار بی ادبانه‌ای کرد، ممکن است بیاموزد که چگونه در آینده با زیردستان خود ارتباط مؤثرتری برقرار کند (یعنی درک اینکه از چه نوع رفتار نظارتی باید اجتناب کرد).</w:t>
      </w:r>
    </w:p>
    <w:p>
      <w:pPr>
        <w:spacing w:after="28" w:line="216" w:lineRule="auto"/>
        <w:ind w:left="259"/>
        <w:jc w:val="left"/>
      </w:pPr>
      <w:r>
        <w:rPr>
          <w:rFonts w:ascii="Arial" w:hAnsi="Arial"/>
          <w:color w:val="525252"/>
          <w:sz w:val="13"/>
        </w:rPr>
        <w:t>For example, having been treated rudely by a supervisor, one might learn how to relate more effectively with one’s own subordinates in the future (i.e., having understanding of what type of supervisory behavior to avoid).</w:t>
      </w:r>
    </w:p>
    <w:p>
      <w:pPr>
        <w:spacing w:after="20" w:line="223" w:lineRule="auto"/>
        <w:jc w:val="right"/>
        <w:bidi/>
      </w:pPr>
      <w:r>
        <w:rPr>
          <w:rFonts w:ascii="Arial" w:hAnsi="Arial"/>
          <w:sz w:val="16"/>
        </w:rPr>
        <w:t>267.05  به جای انکار واهی واقعیت، ارزیابی مجدد شناختی به ما این امکان را می‌دهد که به‌طور فعال در سختی معنا پیدا کنیم تا بتوانیم به شکلی انعطاف‌پذیر رشد کرده و درازمدت سازگار شویم.</w:t>
      </w:r>
    </w:p>
    <w:p>
      <w:pPr>
        <w:spacing w:after="28" w:line="216" w:lineRule="auto"/>
        <w:ind w:left="259"/>
        <w:jc w:val="left"/>
      </w:pPr>
      <w:r>
        <w:rPr>
          <w:rFonts w:ascii="Arial" w:hAnsi="Arial"/>
          <w:color w:val="525252"/>
          <w:sz w:val="13"/>
        </w:rPr>
        <w:t>Rather than a wishful denial of reality, cognitive reappraisal allows us to actively find meaning in adversity so that we can flexibly grow and adapt longer term.</w:t>
      </w:r>
    </w:p>
    <w:p>
      <w:r>
        <w:br w:type="page"/>
      </w:r>
    </w:p>
    <w:p>
      <w:pPr>
        <w:spacing w:after="60"/>
        <w:jc w:val="right"/>
        <w:bidi/>
      </w:pPr>
      <w:r>
        <w:rPr>
          <w:rFonts w:ascii="Arial" w:hAnsi="Arial"/>
          <w:b/>
          <w:color w:val="1F4D78"/>
          <w:sz w:val="19"/>
        </w:rPr>
        <w:t>هفتهٔ 268  |  صفحهٔ منبع: 284</w:t>
      </w:r>
    </w:p>
    <w:p>
      <w:pPr>
        <w:spacing w:before="60" w:after="28"/>
        <w:jc w:val="right"/>
        <w:bidi/>
      </w:pPr>
      <w:r>
        <w:rPr>
          <w:b/>
          <w:color w:val="1F4D78"/>
          <w:sz w:val="18"/>
        </w:rPr>
        <w:t>بخش 15B-ارتباطات نظامی</w:t>
      </w:r>
    </w:p>
    <w:p>
      <w:pPr>
        <w:spacing w:after="20"/>
        <w:ind w:left="259"/>
        <w:jc w:val="left"/>
      </w:pPr>
      <w:r>
        <w:rPr>
          <w:color w:val="555555"/>
          <w:sz w:val="12"/>
        </w:rPr>
        <w:t>Section 15B—Military Communication</w:t>
      </w:r>
    </w:p>
    <w:p>
      <w:pPr>
        <w:spacing w:before="60" w:after="28"/>
        <w:jc w:val="right"/>
        <w:bidi/>
      </w:pPr>
      <w:r>
        <w:rPr>
          <w:b/>
          <w:color w:val="1F4D78"/>
          <w:sz w:val="18"/>
        </w:rPr>
        <w:t>15.5. ارتباط به عنوان یک شایستگی اساسی</w:t>
      </w:r>
    </w:p>
    <w:p>
      <w:pPr>
        <w:spacing w:after="20"/>
        <w:ind w:left="259"/>
        <w:jc w:val="left"/>
      </w:pPr>
      <w:r>
        <w:rPr>
          <w:color w:val="555555"/>
          <w:sz w:val="12"/>
        </w:rPr>
        <w:t>15.5. Communication as a Foundational Competency</w:t>
      </w:r>
    </w:p>
    <w:p>
      <w:pPr>
        <w:spacing w:after="20" w:line="223" w:lineRule="auto"/>
        <w:jc w:val="right"/>
        <w:bidi/>
      </w:pPr>
      <w:r>
        <w:rPr>
          <w:rFonts w:ascii="Arial" w:hAnsi="Arial"/>
          <w:sz w:val="16"/>
        </w:rPr>
        <w:t>268.03  ارتباطات (شفاهی، کتبی و غیرکلامی) در طول یک حرفه USAF حیاتی است.</w:t>
      </w:r>
    </w:p>
    <w:p>
      <w:pPr>
        <w:spacing w:after="28" w:line="216" w:lineRule="auto"/>
        <w:ind w:left="259"/>
        <w:jc w:val="left"/>
      </w:pPr>
      <w:r>
        <w:rPr>
          <w:rFonts w:ascii="Arial" w:hAnsi="Arial"/>
          <w:color w:val="525252"/>
          <w:sz w:val="13"/>
        </w:rPr>
        <w:t>Communication (oral, written, and nonverbal) is critical throughout a USAF career.</w:t>
      </w:r>
    </w:p>
    <w:p>
      <w:pPr>
        <w:spacing w:after="20" w:line="223" w:lineRule="auto"/>
        <w:jc w:val="right"/>
        <w:bidi/>
      </w:pPr>
      <w:r>
        <w:rPr>
          <w:rFonts w:ascii="Arial" w:hAnsi="Arial"/>
          <w:sz w:val="16"/>
        </w:rPr>
        <w:t>268.04  که به‌عنوان یک شایستگی اساسی شناخته شده است، USAF ارتباطات مؤثر را شامل مهارت هایی مانند: ارائه اطلاعات پیچیده به‌طور مفصل و مختصر تعریف کرده است. ارتباطات مناسب برای رسیدگی به نگرانی‌های مخاطبان، ابراز عقاید متفاوت در مورد موضوعات مشاجره بدون ایجاد پاسخ دفاعی، توجه به نیازهای ارتباطی غیرکلامی با دیگران، توجه به نیازهای ارتباطی غیرکلامی با دیگران. اشکال مختلف آن در USAF، از ارتباطات استراتژیک سطح بالا گرفته تا جلسات معمول و نوشتن ایمیل.</w:t>
      </w:r>
    </w:p>
    <w:p>
      <w:pPr>
        <w:spacing w:after="28" w:line="216" w:lineRule="auto"/>
        <w:ind w:left="259"/>
        <w:jc w:val="left"/>
      </w:pPr>
      <w:r>
        <w:rPr>
          <w:rFonts w:ascii="Arial" w:hAnsi="Arial"/>
          <w:color w:val="525252"/>
          <w:sz w:val="13"/>
        </w:rPr>
        <w:t>Recognized as a foundational competency, the USAF has defined effective communication to include skills such as: Presenting complex information articulately and concisely Tailoring communication to address concerns of the audience Voicing differing opinions on contentious issues without triggering a defensive response Attending to non-verbal cues, and communicating with sensitivity to others’ needs This chapter addresses communication in its many forms within the USAF, from high-level strategic communication to routine meetings and email writing.</w:t>
      </w:r>
    </w:p>
    <w:p>
      <w:pPr>
        <w:spacing w:after="20" w:line="223" w:lineRule="auto"/>
        <w:jc w:val="right"/>
        <w:bidi/>
      </w:pPr>
      <w:r>
        <w:rPr>
          <w:rFonts w:ascii="Arial" w:hAnsi="Arial"/>
          <w:sz w:val="16"/>
        </w:rPr>
        <w:t>268.05  در حالی که برخی از قالب‌های ارتباطی شرح‌داده‌شده در این فصل مختص ارتش هستند، بسیاری از اصول ارتباطی که در ادامه این فصل توضیح داده شد، حتی در هنگام انتقال به مشاغل غیرنظامی به خوبی به اعضا کمک خواهند کرد.</w:t>
      </w:r>
    </w:p>
    <w:p>
      <w:pPr>
        <w:spacing w:after="28" w:line="216" w:lineRule="auto"/>
        <w:ind w:left="259"/>
        <w:jc w:val="left"/>
      </w:pPr>
      <w:r>
        <w:rPr>
          <w:rFonts w:ascii="Arial" w:hAnsi="Arial"/>
          <w:color w:val="525252"/>
          <w:sz w:val="13"/>
        </w:rPr>
        <w:t>While some communication formats described in this chapter are specific to the military, many of the communication principles described later in this chapter will serve members well even when transitioning to civilian careers.</w:t>
      </w:r>
    </w:p>
    <w:p>
      <w:pPr>
        <w:spacing w:before="60" w:after="28"/>
        <w:jc w:val="right"/>
        <w:bidi/>
      </w:pPr>
      <w:r>
        <w:rPr>
          <w:b/>
          <w:color w:val="1F4D78"/>
          <w:sz w:val="18"/>
        </w:rPr>
        <w:t>15.6. ارتباطات استراتژیک</w:t>
      </w:r>
    </w:p>
    <w:p>
      <w:pPr>
        <w:spacing w:after="20"/>
        <w:ind w:left="259"/>
        <w:jc w:val="left"/>
      </w:pPr>
      <w:r>
        <w:rPr>
          <w:color w:val="555555"/>
          <w:sz w:val="12"/>
        </w:rPr>
        <w:t>15.6. Strategic Communication</w:t>
      </w:r>
    </w:p>
    <w:p>
      <w:pPr>
        <w:spacing w:after="20" w:line="223" w:lineRule="auto"/>
        <w:jc w:val="right"/>
        <w:bidi/>
      </w:pPr>
      <w:r>
        <w:rPr>
          <w:rFonts w:ascii="Arial" w:hAnsi="Arial"/>
          <w:sz w:val="16"/>
        </w:rPr>
        <w:t>268.07  هوانوردان باید اطمینان حاصل کنند که مخاطبان می‌دانند و درک می‌کنند که USAF به چه چیزی نیاز دارد، به کجا می‌رویم، و چگونه می‌توانیم برای موفقیت در موقعیت قرار بگیریم.</w:t>
      </w:r>
    </w:p>
    <w:p>
      <w:pPr>
        <w:spacing w:after="28" w:line="216" w:lineRule="auto"/>
        <w:ind w:left="259"/>
        <w:jc w:val="left"/>
      </w:pPr>
      <w:r>
        <w:rPr>
          <w:rFonts w:ascii="Arial" w:hAnsi="Arial"/>
          <w:color w:val="525252"/>
          <w:sz w:val="13"/>
        </w:rPr>
        <w:t>Airmen must ensure audiences know and understand what the USAF needs, where we are going, and how we can be positioned for success.</w:t>
      </w:r>
    </w:p>
    <w:p>
      <w:pPr>
        <w:spacing w:after="20" w:line="223" w:lineRule="auto"/>
        <w:jc w:val="right"/>
        <w:bidi/>
      </w:pPr>
      <w:r>
        <w:rPr>
          <w:rFonts w:ascii="Arial" w:hAnsi="Arial"/>
          <w:sz w:val="16"/>
        </w:rPr>
        <w:t>268.08  از آنجایی که ارتباطات را می‌توان به سه بخش تقسیم کرد: فرستنده، پیام و مخاطب، ما باید نسبت به نحوه ارتباط خود آگاه و مسئول باشیم، از جمله نحوه درک ارتباط ما توسط دیگران.</w:t>
      </w:r>
    </w:p>
    <w:p>
      <w:pPr>
        <w:spacing w:after="28" w:line="216" w:lineRule="auto"/>
        <w:ind w:left="259"/>
        <w:jc w:val="left"/>
      </w:pPr>
      <w:r>
        <w:rPr>
          <w:rFonts w:ascii="Arial" w:hAnsi="Arial"/>
          <w:color w:val="525252"/>
          <w:sz w:val="13"/>
        </w:rPr>
        <w:t>Because communication can be broken into three parts: the sender, the message, and the audience, we must be aware of and responsible for how we communicate, including the way our communication is perceived by others.</w:t>
      </w:r>
    </w:p>
    <w:p>
      <w:pPr>
        <w:spacing w:after="20" w:line="223" w:lineRule="auto"/>
        <w:jc w:val="right"/>
        <w:bidi/>
      </w:pPr>
      <w:r>
        <w:rPr>
          <w:rFonts w:ascii="Arial" w:hAnsi="Arial"/>
          <w:sz w:val="16"/>
        </w:rPr>
        <w:t>268.09  ارتباطات استراتژیک به‌عنوان یک مفهوم نوظهور و بسیار مهم در نظر گرفته می‌شود که در نتیجه ارتباطات استراتژیک به‌عنوان یک حوزه ویژه برای تاکید تعیین می‌شود.</w:t>
      </w:r>
    </w:p>
    <w:p>
      <w:pPr>
        <w:spacing w:after="28" w:line="216" w:lineRule="auto"/>
        <w:ind w:left="259"/>
        <w:jc w:val="left"/>
      </w:pPr>
      <w:r>
        <w:rPr>
          <w:rFonts w:ascii="Arial" w:hAnsi="Arial"/>
          <w:color w:val="525252"/>
          <w:sz w:val="13"/>
        </w:rPr>
        <w:t>Strategic communication is viewed as an emerging and extremely important concept, resulting in strategic communication being designated as a special area of emphasis.</w:t>
      </w:r>
    </w:p>
    <w:p>
      <w:pPr>
        <w:spacing w:after="20" w:line="223" w:lineRule="auto"/>
        <w:jc w:val="right"/>
        <w:bidi/>
      </w:pPr>
      <w:r>
        <w:rPr>
          <w:rFonts w:ascii="Arial" w:hAnsi="Arial"/>
          <w:sz w:val="16"/>
        </w:rPr>
        <w:t>268.10  ارتباطات استراتژیک: تعریف شده است.</w:t>
      </w:r>
    </w:p>
    <w:p>
      <w:pPr>
        <w:spacing w:after="28" w:line="216" w:lineRule="auto"/>
        <w:ind w:left="259"/>
        <w:jc w:val="left"/>
      </w:pPr>
      <w:r>
        <w:rPr>
          <w:rFonts w:ascii="Arial" w:hAnsi="Arial"/>
          <w:color w:val="525252"/>
          <w:sz w:val="13"/>
        </w:rPr>
        <w:t>Strategic Communication: Defined.</w:t>
      </w:r>
    </w:p>
    <w:p>
      <w:pPr>
        <w:spacing w:after="20" w:line="223" w:lineRule="auto"/>
        <w:jc w:val="right"/>
        <w:bidi/>
      </w:pPr>
      <w:r>
        <w:rPr>
          <w:rFonts w:ascii="Arial" w:hAnsi="Arial"/>
          <w:sz w:val="16"/>
        </w:rPr>
        <w:t>268.11  وزارت دفاع ارتباطات استراتژیک را به‌طور گسترده به‌عنوان فرآیند استفاده هدفمند از ارتباطات برای پیشبرد منافع و اهداف ملی از طریق ادغام هماهنگ اطلاعات با سایر عناصر قدرت ملی تعریف می‌کند.</w:t>
      </w:r>
    </w:p>
    <w:p>
      <w:pPr>
        <w:spacing w:after="28" w:line="216" w:lineRule="auto"/>
        <w:ind w:left="259"/>
        <w:jc w:val="left"/>
      </w:pPr>
      <w:r>
        <w:rPr>
          <w:rFonts w:ascii="Arial" w:hAnsi="Arial"/>
          <w:color w:val="525252"/>
          <w:sz w:val="13"/>
        </w:rPr>
        <w:t>The Department of Defense broadly defines strategic communication as a process of purposefully using communication for the intent of advancing national interests and objectives through synchronized integration of information with other elements of national power.</w:t>
      </w:r>
    </w:p>
    <w:p>
      <w:pPr>
        <w:spacing w:after="20" w:line="223" w:lineRule="auto"/>
        <w:jc w:val="right"/>
        <w:bidi/>
      </w:pPr>
      <w:r>
        <w:rPr>
          <w:rFonts w:ascii="Arial" w:hAnsi="Arial"/>
          <w:sz w:val="16"/>
        </w:rPr>
        <w:t>268.12  همگام سازی ارتباطات مستلزم تلاش‌های متمرکز برای ایجاد، تقویت یا حفظ شرایط مساعد برای پیشبرد منافع، سیاست‌ها و اهداف ملی از طریق درک و درگیر کردن مخاطبان کلیدی از طریق استفاده از اقدامات هماهنگ است.</w:t>
      </w:r>
    </w:p>
    <w:p>
      <w:pPr>
        <w:spacing w:after="28" w:line="216" w:lineRule="auto"/>
        <w:ind w:left="259"/>
        <w:jc w:val="left"/>
      </w:pPr>
      <w:r>
        <w:rPr>
          <w:rFonts w:ascii="Arial" w:hAnsi="Arial"/>
          <w:color w:val="525252"/>
          <w:sz w:val="13"/>
        </w:rPr>
        <w:t>Communication synchronization entails focused efforts to create, strengthen, or preserve conditions favorable for the advancement of national interests, policies, and objectives by understanding and engaging key audiences through the use of coordinated actions.</w:t>
      </w:r>
    </w:p>
    <w:p>
      <w:pPr>
        <w:spacing w:after="20" w:line="223" w:lineRule="auto"/>
        <w:jc w:val="right"/>
        <w:bidi/>
      </w:pPr>
      <w:r>
        <w:rPr>
          <w:rFonts w:ascii="Arial" w:hAnsi="Arial"/>
          <w:sz w:val="16"/>
        </w:rPr>
        <w:t>268.13  به عبارت دیگر، ارتباطات راهبردی با همسوسازی اعمال، کلمات و تصاویر با هدف دستیابی به یک هدف یا اهداف خاص اجرا می‌شود.</w:t>
      </w:r>
    </w:p>
    <w:p>
      <w:pPr>
        <w:spacing w:after="28" w:line="216" w:lineRule="auto"/>
        <w:ind w:left="259"/>
        <w:jc w:val="left"/>
      </w:pPr>
      <w:r>
        <w:rPr>
          <w:rFonts w:ascii="Arial" w:hAnsi="Arial"/>
          <w:color w:val="525252"/>
          <w:sz w:val="13"/>
        </w:rPr>
        <w:t>In other words, strategic communication is implemented by aligning actions, words, and images with the purpose of obtaining a specific objective or objectives.</w:t>
      </w:r>
    </w:p>
    <w:p>
      <w:pPr>
        <w:spacing w:after="20" w:line="223" w:lineRule="auto"/>
        <w:jc w:val="right"/>
        <w:bidi/>
      </w:pPr>
      <w:r>
        <w:rPr>
          <w:rFonts w:ascii="Arial" w:hAnsi="Arial"/>
          <w:sz w:val="16"/>
        </w:rPr>
        <w:t>268.14  رهبران از پیام‌های استراتژیک برای حمایت از عملکردهای منحصربه‌فرد و قابلیت‌های متمایز نیروی هوایی برای ایجاد نفوذ ملی و پاسخگویی به الزامات دفاع ملی استفاده می‌کنند.</w:t>
      </w:r>
    </w:p>
    <w:p>
      <w:pPr>
        <w:spacing w:after="28" w:line="216" w:lineRule="auto"/>
        <w:ind w:left="259"/>
        <w:jc w:val="left"/>
      </w:pPr>
      <w:r>
        <w:rPr>
          <w:rFonts w:ascii="Arial" w:hAnsi="Arial"/>
          <w:color w:val="525252"/>
          <w:sz w:val="13"/>
        </w:rPr>
        <w:t>Leaders use strategic messaging to advocate the unique functions and distinct capabilities of airpower to project national influence and respond to national defense requirements.</w:t>
      </w:r>
    </w:p>
    <w:p>
      <w:pPr>
        <w:spacing w:before="60" w:after="28"/>
        <w:jc w:val="right"/>
        <w:bidi/>
      </w:pPr>
      <w:r>
        <w:rPr>
          <w:b/>
          <w:color w:val="1F4D78"/>
          <w:sz w:val="18"/>
        </w:rPr>
        <w:t>15.7. چشم انداز سازمانی</w:t>
      </w:r>
    </w:p>
    <w:p>
      <w:pPr>
        <w:spacing w:after="20"/>
        <w:ind w:left="259"/>
        <w:jc w:val="left"/>
      </w:pPr>
      <w:r>
        <w:rPr>
          <w:color w:val="555555"/>
          <w:sz w:val="12"/>
        </w:rPr>
        <w:t>15.7. Enterprise Perspective</w:t>
      </w:r>
    </w:p>
    <w:p>
      <w:pPr>
        <w:spacing w:after="20" w:line="223" w:lineRule="auto"/>
        <w:jc w:val="right"/>
        <w:bidi/>
      </w:pPr>
      <w:r>
        <w:rPr>
          <w:rFonts w:ascii="Arial" w:hAnsi="Arial"/>
          <w:sz w:val="16"/>
        </w:rPr>
        <w:t>268.16  داشتن دیدگاه سازمانی در ارتباطات استراتژیک، رهبران USAF را قادر می‌سازد تا با همگام‌سازی و یکپارچه‌سازی تلاش‌های ارتباطی برای ارائه اطلاعات، تحلیل و عقاید واقعی، به‌موقع، دقیق و معتبر، بر مخاطبان کلیدی اطلاع‌رسانی کرده و به‌طور مناسب بر آنها تأثیر بگذارند.</w:t>
      </w:r>
    </w:p>
    <w:p>
      <w:pPr>
        <w:spacing w:after="28" w:line="216" w:lineRule="auto"/>
        <w:ind w:left="259"/>
        <w:jc w:val="left"/>
      </w:pPr>
      <w:r>
        <w:rPr>
          <w:rFonts w:ascii="Arial" w:hAnsi="Arial"/>
          <w:color w:val="525252"/>
          <w:sz w:val="13"/>
        </w:rPr>
        <w:t>Having an enterprise perspective in strategic communication empowers USAF leaders to inform and appropriately influence key audiences by synchronizing and integrating communication efforts to deliver truthful, timely, accurate, and credible information, analysis, and opinion.</w:t>
      </w:r>
    </w:p>
    <w:p>
      <w:pPr>
        <w:spacing w:after="20" w:line="223" w:lineRule="auto"/>
        <w:jc w:val="right"/>
        <w:bidi/>
      </w:pPr>
      <w:r>
        <w:rPr>
          <w:rFonts w:ascii="Arial" w:hAnsi="Arial"/>
          <w:sz w:val="16"/>
        </w:rPr>
        <w:t>268.17  حقیقت پایه و اساس همه ارتباطات عمومی است، چه از نظر اعتبار و چه از نظر قابلیت.</w:t>
      </w:r>
    </w:p>
    <w:p>
      <w:pPr>
        <w:spacing w:after="28" w:line="216" w:lineRule="auto"/>
        <w:ind w:left="259"/>
        <w:jc w:val="left"/>
      </w:pPr>
      <w:r>
        <w:rPr>
          <w:rFonts w:ascii="Arial" w:hAnsi="Arial"/>
          <w:color w:val="525252"/>
          <w:sz w:val="13"/>
        </w:rPr>
        <w:t>Truth is the foundation of all public communications, both in terms of credibility and capability.</w:t>
      </w:r>
    </w:p>
    <w:p>
      <w:pPr>
        <w:spacing w:after="20" w:line="223" w:lineRule="auto"/>
        <w:jc w:val="right"/>
        <w:bidi/>
      </w:pPr>
      <w:r>
        <w:rPr>
          <w:rFonts w:ascii="Arial" w:hAnsi="Arial"/>
          <w:sz w:val="16"/>
        </w:rPr>
        <w:t>268.18  انتشار به موقع و چابک اطلاعات برای دستیابی به اثرات مطلوب ضروری است.</w:t>
      </w:r>
    </w:p>
    <w:p>
      <w:pPr>
        <w:spacing w:after="28" w:line="216" w:lineRule="auto"/>
        <w:ind w:left="259"/>
        <w:jc w:val="left"/>
      </w:pPr>
      <w:r>
        <w:rPr>
          <w:rFonts w:ascii="Arial" w:hAnsi="Arial"/>
          <w:color w:val="525252"/>
          <w:sz w:val="13"/>
        </w:rPr>
        <w:t>Timely and agile dissemination of information is essential to achieving desired effects.</w:t>
      </w:r>
    </w:p>
    <w:p>
      <w:pPr>
        <w:spacing w:after="20" w:line="223" w:lineRule="auto"/>
        <w:jc w:val="right"/>
        <w:bidi/>
      </w:pPr>
      <w:r>
        <w:rPr>
          <w:rFonts w:ascii="Arial" w:hAnsi="Arial"/>
          <w:sz w:val="16"/>
        </w:rPr>
        <w:t>268.19  بدون انتشار اطلاعات مناسب، ارتباطات استراتژیک نمی‌تواند ارزش یا پتانسیل را به حداکثر برساند.</w:t>
      </w:r>
    </w:p>
    <w:p>
      <w:pPr>
        <w:spacing w:after="28" w:line="216" w:lineRule="auto"/>
        <w:ind w:left="259"/>
        <w:jc w:val="left"/>
      </w:pPr>
      <w:r>
        <w:rPr>
          <w:rFonts w:ascii="Arial" w:hAnsi="Arial"/>
          <w:color w:val="525252"/>
          <w:sz w:val="13"/>
        </w:rPr>
        <w:t>Without appropriate information dissemination, strategic communication cannot maximize value or potential.</w:t>
      </w:r>
    </w:p>
    <w:p>
      <w:pPr>
        <w:spacing w:after="20" w:line="223" w:lineRule="auto"/>
        <w:jc w:val="right"/>
        <w:bidi/>
      </w:pPr>
      <w:r>
        <w:rPr>
          <w:rFonts w:ascii="Arial" w:hAnsi="Arial"/>
          <w:sz w:val="16"/>
        </w:rPr>
        <w:t>268.20  باید در زمان، سطح و روشی که برای آن در نظر گرفته شده است انجام شود.</w:t>
      </w:r>
    </w:p>
    <w:p>
      <w:pPr>
        <w:spacing w:after="28" w:line="216" w:lineRule="auto"/>
        <w:ind w:left="259"/>
        <w:jc w:val="left"/>
      </w:pPr>
      <w:r>
        <w:rPr>
          <w:rFonts w:ascii="Arial" w:hAnsi="Arial"/>
          <w:color w:val="525252"/>
          <w:sz w:val="13"/>
        </w:rPr>
        <w:t>It must be conducted at the time, level, and manner for which it is intended.</w:t>
      </w:r>
    </w:p>
    <w:p>
      <w:pPr>
        <w:spacing w:after="20" w:line="223" w:lineRule="auto"/>
        <w:jc w:val="right"/>
        <w:bidi/>
      </w:pPr>
      <w:r>
        <w:rPr>
          <w:rFonts w:ascii="Arial" w:hAnsi="Arial"/>
          <w:sz w:val="16"/>
        </w:rPr>
        <w:t>268.21  داستان USAF ما.</w:t>
      </w:r>
    </w:p>
    <w:p>
      <w:pPr>
        <w:spacing w:after="28" w:line="216" w:lineRule="auto"/>
        <w:ind w:left="259"/>
        <w:jc w:val="left"/>
      </w:pPr>
      <w:r>
        <w:rPr>
          <w:rFonts w:ascii="Arial" w:hAnsi="Arial"/>
          <w:color w:val="525252"/>
          <w:sz w:val="13"/>
        </w:rPr>
        <w:t>Our USAF Story.</w:t>
      </w:r>
    </w:p>
    <w:p>
      <w:pPr>
        <w:spacing w:after="20" w:line="223" w:lineRule="auto"/>
        <w:jc w:val="right"/>
        <w:bidi/>
      </w:pPr>
      <w:r>
        <w:rPr>
          <w:rFonts w:ascii="Arial" w:hAnsi="Arial"/>
          <w:sz w:val="16"/>
        </w:rPr>
        <w:t>268.22  برقراری ارتباط مؤثر ما به‌عنوان هوانوردان توانایی ما برای موفقیت در همه زمینه‌های تعامل را تضمین می‌کند.</w:t>
      </w:r>
    </w:p>
    <w:p>
      <w:pPr>
        <w:spacing w:after="28" w:line="216" w:lineRule="auto"/>
        <w:ind w:left="259"/>
        <w:jc w:val="left"/>
      </w:pPr>
      <w:r>
        <w:rPr>
          <w:rFonts w:ascii="Arial" w:hAnsi="Arial"/>
          <w:color w:val="525252"/>
          <w:sz w:val="13"/>
        </w:rPr>
        <w:t>Effectively communicating who we are as Airmen underwrites our ability to be successful in all areas of engagement.</w:t>
      </w:r>
    </w:p>
    <w:p>
      <w:pPr>
        <w:spacing w:after="20" w:line="223" w:lineRule="auto"/>
        <w:jc w:val="right"/>
        <w:bidi/>
      </w:pPr>
      <w:r>
        <w:rPr>
          <w:rFonts w:ascii="Arial" w:hAnsi="Arial"/>
          <w:sz w:val="16"/>
        </w:rPr>
        <w:t>268.23  رهبران USAF می‌خواهند که هر نیروی هوایی یک ارتباط‌دهنده باشد</w:t>
      </w:r>
    </w:p>
    <w:p>
      <w:pPr>
        <w:spacing w:after="28" w:line="216" w:lineRule="auto"/>
        <w:ind w:left="259"/>
        <w:jc w:val="left"/>
      </w:pPr>
      <w:r>
        <w:rPr>
          <w:rFonts w:ascii="Arial" w:hAnsi="Arial"/>
          <w:color w:val="525252"/>
          <w:sz w:val="13"/>
        </w:rPr>
        <w:t>USAF leaders want every Airman to be a communicator</w:t>
      </w:r>
    </w:p>
    <w:p>
      <w:r>
        <w:br w:type="page"/>
      </w:r>
    </w:p>
    <w:p>
      <w:pPr>
        <w:spacing w:after="60"/>
        <w:jc w:val="right"/>
        <w:bidi/>
      </w:pPr>
      <w:r>
        <w:rPr>
          <w:rFonts w:ascii="Arial" w:hAnsi="Arial"/>
          <w:b/>
          <w:color w:val="1F4D78"/>
          <w:sz w:val="19"/>
        </w:rPr>
        <w:t>هفتهٔ 269  |  صفحهٔ منبع: 285</w:t>
      </w:r>
    </w:p>
    <w:p>
      <w:pPr>
        <w:spacing w:after="20" w:line="223" w:lineRule="auto"/>
        <w:jc w:val="right"/>
        <w:bidi/>
      </w:pPr>
      <w:r>
        <w:rPr>
          <w:rFonts w:ascii="Arial" w:hAnsi="Arial"/>
          <w:sz w:val="16"/>
        </w:rPr>
        <w:t>269.01  یا سخنگوی USAF، و از طریق دیدگاه سازمانی، بتوانند داستان USAF خود را بیان کنند.</w:t>
      </w:r>
    </w:p>
    <w:p>
      <w:pPr>
        <w:spacing w:after="28" w:line="216" w:lineRule="auto"/>
        <w:ind w:left="259"/>
        <w:jc w:val="left"/>
      </w:pPr>
      <w:r>
        <w:rPr>
          <w:rFonts w:ascii="Arial" w:hAnsi="Arial"/>
          <w:color w:val="525252"/>
          <w:sz w:val="13"/>
        </w:rPr>
        <w:t>or spokesperson for the USAF, and through the enterprise perspective, be able to tell their USAF story.</w:t>
      </w:r>
    </w:p>
    <w:p>
      <w:pPr>
        <w:spacing w:after="20" w:line="223" w:lineRule="auto"/>
        <w:jc w:val="right"/>
        <w:bidi/>
      </w:pPr>
      <w:r>
        <w:rPr>
          <w:rFonts w:ascii="Arial" w:hAnsi="Arial"/>
          <w:sz w:val="16"/>
        </w:rPr>
        <w:t>269.02  همه هوانوردان باید بدانند که چگونه داستان و تجربه شخصی USAF خود را در پیامی ادغام کنند که به USAF، وزارت دفاع و ارتباطات استراتژیک ملی اعتبار می‌افزاید.</w:t>
      </w:r>
    </w:p>
    <w:p>
      <w:pPr>
        <w:spacing w:after="28" w:line="216" w:lineRule="auto"/>
        <w:ind w:left="259"/>
        <w:jc w:val="left"/>
      </w:pPr>
      <w:r>
        <w:rPr>
          <w:rFonts w:ascii="Arial" w:hAnsi="Arial"/>
          <w:color w:val="525252"/>
          <w:sz w:val="13"/>
        </w:rPr>
        <w:t>All Airmen need to know how to integrate their personal USAF story and experience into a message that adds credibility to USAF, DoD, and national strategic communication.</w:t>
      </w:r>
    </w:p>
    <w:p>
      <w:pPr>
        <w:spacing w:before="60" w:after="28"/>
        <w:jc w:val="right"/>
        <w:bidi/>
      </w:pPr>
      <w:r>
        <w:rPr>
          <w:b/>
          <w:color w:val="1F4D78"/>
          <w:sz w:val="18"/>
        </w:rPr>
        <w:t>15.8. امور عمومی</w:t>
      </w:r>
    </w:p>
    <w:p>
      <w:pPr>
        <w:spacing w:after="20"/>
        <w:ind w:left="259"/>
        <w:jc w:val="left"/>
      </w:pPr>
      <w:r>
        <w:rPr>
          <w:color w:val="555555"/>
          <w:sz w:val="12"/>
        </w:rPr>
        <w:t>15.8. Public Affairs</w:t>
      </w:r>
    </w:p>
    <w:p>
      <w:pPr>
        <w:spacing w:after="20" w:line="223" w:lineRule="auto"/>
        <w:jc w:val="right"/>
        <w:bidi/>
      </w:pPr>
      <w:r>
        <w:rPr>
          <w:rFonts w:ascii="Arial" w:hAnsi="Arial"/>
          <w:sz w:val="16"/>
        </w:rPr>
        <w:t>269.04  یکی از جنبه‌های مهم ارتباطات، سخنرانی در مجامع عمومی و تشخیص نیاز به همسویی ارتباطات استراتژیک است. این شامل همگام سازی ارتباطات است.</w:t>
      </w:r>
    </w:p>
    <w:p>
      <w:pPr>
        <w:spacing w:after="28" w:line="216" w:lineRule="auto"/>
        <w:ind w:left="259"/>
        <w:jc w:val="left"/>
      </w:pPr>
      <w:r>
        <w:rPr>
          <w:rFonts w:ascii="Arial" w:hAnsi="Arial"/>
          <w:color w:val="525252"/>
          <w:sz w:val="13"/>
        </w:rPr>
        <w:t>An important aspect of communication is speaking in public forums and recognizing the need for strategic communication alignment; this involves communication synchronization.</w:t>
      </w:r>
    </w:p>
    <w:p>
      <w:pPr>
        <w:spacing w:after="20" w:line="223" w:lineRule="auto"/>
        <w:jc w:val="right"/>
        <w:bidi/>
      </w:pPr>
      <w:r>
        <w:rPr>
          <w:rFonts w:ascii="Arial" w:hAnsi="Arial"/>
          <w:sz w:val="16"/>
        </w:rPr>
        <w:t>269.05  همانطور که در AFI ۱-۱ بیان شد، هدف از عملیات امور عمومی (PA) انتقال اطلاعات به موقع، دقیق و مفید در مورد فعالیت‌های USAF به وزارت دفاع، USAF و همچنین مخاطبان داخلی و بین المللی است.</w:t>
      </w:r>
    </w:p>
    <w:p>
      <w:pPr>
        <w:spacing w:after="28" w:line="216" w:lineRule="auto"/>
        <w:ind w:left="259"/>
        <w:jc w:val="left"/>
      </w:pPr>
      <w:r>
        <w:rPr>
          <w:rFonts w:ascii="Arial" w:hAnsi="Arial"/>
          <w:color w:val="525252"/>
          <w:sz w:val="13"/>
        </w:rPr>
        <w:t>As stated in AFI 1-1, the purpose of Public Affairs (PA) operations is to communicate timely, accurate, and useful information about USAF activities to Department of Defense, the USAF, as well as domestic and international audiences.</w:t>
      </w:r>
    </w:p>
    <w:p>
      <w:pPr>
        <w:spacing w:after="20" w:line="223" w:lineRule="auto"/>
        <w:jc w:val="right"/>
        <w:bidi/>
      </w:pPr>
      <w:r>
        <w:rPr>
          <w:rFonts w:ascii="Arial" w:hAnsi="Arial"/>
          <w:sz w:val="16"/>
        </w:rPr>
        <w:t>269.06  نماینده PA سخنگوی و مشاور اصلی فرمانده و عضوی از کارکنان شخصی است.</w:t>
      </w:r>
    </w:p>
    <w:p>
      <w:pPr>
        <w:spacing w:after="28" w:line="216" w:lineRule="auto"/>
        <w:ind w:left="259"/>
        <w:jc w:val="left"/>
      </w:pPr>
      <w:r>
        <w:rPr>
          <w:rFonts w:ascii="Arial" w:hAnsi="Arial"/>
          <w:color w:val="525252"/>
          <w:sz w:val="13"/>
        </w:rPr>
        <w:t>The PA representative is the commander’s principal spokesperson and advisor, and a member of the personal staff.</w:t>
      </w:r>
    </w:p>
    <w:p>
      <w:pPr>
        <w:spacing w:after="20" w:line="223" w:lineRule="auto"/>
        <w:jc w:val="right"/>
        <w:bidi/>
      </w:pPr>
      <w:r>
        <w:rPr>
          <w:rFonts w:ascii="Arial" w:hAnsi="Arial"/>
          <w:sz w:val="16"/>
        </w:rPr>
        <w:t>269.07  PA به فرمانده در مورد پیامدهای تصمیمات، اقدامات و عملیات فرماندهی بر ادراک عمومی خارجی و داخلی توصیه می‌کند.</w:t>
      </w:r>
    </w:p>
    <w:p>
      <w:pPr>
        <w:spacing w:after="28" w:line="216" w:lineRule="auto"/>
        <w:ind w:left="259"/>
        <w:jc w:val="left"/>
      </w:pPr>
      <w:r>
        <w:rPr>
          <w:rFonts w:ascii="Arial" w:hAnsi="Arial"/>
          <w:color w:val="525252"/>
          <w:sz w:val="13"/>
        </w:rPr>
        <w:t>PA advises the commander on the implications of command decisions, actions, and operations on foreign and domestic public perceptions.</w:t>
      </w:r>
    </w:p>
    <w:p>
      <w:pPr>
        <w:spacing w:after="20" w:line="223" w:lineRule="auto"/>
        <w:jc w:val="right"/>
        <w:bidi/>
      </w:pPr>
      <w:r>
        <w:rPr>
          <w:rFonts w:ascii="Arial" w:hAnsi="Arial"/>
          <w:sz w:val="16"/>
        </w:rPr>
        <w:t>269.08  PA برنامه‌ریزی، اجرا و ارزیابی فعالیت‌ها و رویدادها را برای پشتیبانی از موفقیت کلی عملیاتی انجام می‌دهد.</w:t>
      </w:r>
    </w:p>
    <w:p>
      <w:pPr>
        <w:spacing w:after="28" w:line="216" w:lineRule="auto"/>
        <w:ind w:left="259"/>
        <w:jc w:val="left"/>
      </w:pPr>
      <w:r>
        <w:rPr>
          <w:rFonts w:ascii="Arial" w:hAnsi="Arial"/>
          <w:color w:val="525252"/>
          <w:sz w:val="13"/>
        </w:rPr>
        <w:t>PA plans, executes, and evaluates activities and events to support overall operational success.</w:t>
      </w:r>
    </w:p>
    <w:p>
      <w:pPr>
        <w:spacing w:after="20" w:line="223" w:lineRule="auto"/>
        <w:jc w:val="right"/>
        <w:bidi/>
      </w:pPr>
      <w:r>
        <w:rPr>
          <w:rFonts w:ascii="Arial" w:hAnsi="Arial"/>
          <w:sz w:val="16"/>
        </w:rPr>
        <w:t>269.09  نماینده PA باید منابعی برای ارائه اطلاعات، از جمله اطلاعات بصری، به‌کارکنان، مردم، رسانه‌ها و واحدهای تابعه در زمان واقعی داشته باشد.</w:t>
      </w:r>
    </w:p>
    <w:p>
      <w:pPr>
        <w:spacing w:after="28" w:line="216" w:lineRule="auto"/>
        <w:ind w:left="259"/>
        <w:jc w:val="left"/>
      </w:pPr>
      <w:r>
        <w:rPr>
          <w:rFonts w:ascii="Arial" w:hAnsi="Arial"/>
          <w:color w:val="525252"/>
          <w:sz w:val="13"/>
        </w:rPr>
        <w:t>The PA representative must have the resources to provide information, including visual information, to the staff, public, media, and subordinate units in near real time.</w:t>
      </w:r>
    </w:p>
    <w:p>
      <w:pPr>
        <w:spacing w:after="20" w:line="223" w:lineRule="auto"/>
        <w:jc w:val="right"/>
        <w:bidi/>
      </w:pPr>
      <w:r>
        <w:rPr>
          <w:rFonts w:ascii="Arial" w:hAnsi="Arial"/>
          <w:sz w:val="16"/>
        </w:rPr>
        <w:t>269.10  PA باید در برنامه‌ریزی، تصمیم‌گیری، آموزش، تجهیز و اجرای عملیات و همچنین ادغام فعالیت‌های PA در تمام سطوح فرماندهی شرکت داشته باشد.</w:t>
      </w:r>
    </w:p>
    <w:p>
      <w:pPr>
        <w:spacing w:after="28" w:line="216" w:lineRule="auto"/>
        <w:ind w:left="259"/>
        <w:jc w:val="left"/>
      </w:pPr>
      <w:r>
        <w:rPr>
          <w:rFonts w:ascii="Arial" w:hAnsi="Arial"/>
          <w:color w:val="525252"/>
          <w:sz w:val="13"/>
        </w:rPr>
        <w:t>PA should be involved in planning, decision-making, training, equipping, and executing operations as well as integrating PA activities into all levels of command.</w:t>
      </w:r>
    </w:p>
    <w:p>
      <w:pPr>
        <w:spacing w:after="20" w:line="223" w:lineRule="auto"/>
        <w:jc w:val="right"/>
        <w:bidi/>
      </w:pPr>
      <w:r>
        <w:rPr>
          <w:rFonts w:ascii="Arial" w:hAnsi="Arial"/>
          <w:sz w:val="16"/>
        </w:rPr>
        <w:t>269.11  اطلاعات اضافی در مورد امور عمومی را می‌توانید در AFI ۳۵-۱۰۱، عملیات امور عمومی، ۲۰ نوامبر ۲۰۲۰ پیدا کنید.</w:t>
      </w:r>
    </w:p>
    <w:p>
      <w:pPr>
        <w:spacing w:after="28" w:line="216" w:lineRule="auto"/>
        <w:ind w:left="259"/>
        <w:jc w:val="left"/>
      </w:pPr>
      <w:r>
        <w:rPr>
          <w:rFonts w:ascii="Arial" w:hAnsi="Arial"/>
          <w:color w:val="525252"/>
          <w:sz w:val="13"/>
        </w:rPr>
        <w:t>Additional information regarding public affairs can be found in AFI 35-101, Public Affairs Operations, 20 November 2020.</w:t>
      </w:r>
    </w:p>
    <w:p>
      <w:pPr>
        <w:spacing w:after="20" w:line="223" w:lineRule="auto"/>
        <w:jc w:val="right"/>
        <w:bidi/>
      </w:pPr>
      <w:r>
        <w:rPr>
          <w:rFonts w:ascii="Arial" w:hAnsi="Arial"/>
          <w:sz w:val="16"/>
        </w:rPr>
        <w:t>269.12  توجه: اگرچه به‌طور خلاصه در استانداردهای رفتار و اجرای استانداردها، شایستگی و ادراک پوشش داده شده است، ذکر این نکته حائز اهمیت است که هر فعالیتی که با نظم، نظم و امنیت ملی مطابقت نداشته باشد ممکن است عمدا یا ناخواسته باعث ایجاد تصور منفی از USAF شود.</w:t>
      </w:r>
    </w:p>
    <w:p>
      <w:pPr>
        <w:spacing w:after="28" w:line="216" w:lineRule="auto"/>
        <w:ind w:left="259"/>
        <w:jc w:val="left"/>
      </w:pPr>
      <w:r>
        <w:rPr>
          <w:rFonts w:ascii="Arial" w:hAnsi="Arial"/>
          <w:color w:val="525252"/>
          <w:sz w:val="13"/>
        </w:rPr>
        <w:t>Note: Although briefly covered in standards of conduct and enforcing standards, propriety, and perception, it is important to mention that any activity not in alignment with good order, discipline, and national security may intentionally or unintentionally generate a negative perception of the USAF.</w:t>
      </w:r>
    </w:p>
    <w:p>
      <w:pPr>
        <w:spacing w:after="20" w:line="223" w:lineRule="auto"/>
        <w:jc w:val="right"/>
        <w:bidi/>
      </w:pPr>
      <w:r>
        <w:rPr>
          <w:rFonts w:ascii="Arial" w:hAnsi="Arial"/>
          <w:sz w:val="16"/>
        </w:rPr>
        <w:t>269.13  فرماندهان این اختیار و مسئولیت را دارند که به موقعیت‌هایی رسیدگی کنند که ممکن است به صورت منفی تلقی شود، و در عین حال مراقب حفظ حق بیان کارکنان در چارچوب این منافع باشند.</w:t>
      </w:r>
    </w:p>
    <w:p>
      <w:pPr>
        <w:spacing w:after="28" w:line="216" w:lineRule="auto"/>
        <w:ind w:left="259"/>
        <w:jc w:val="left"/>
      </w:pPr>
      <w:r>
        <w:rPr>
          <w:rFonts w:ascii="Arial" w:hAnsi="Arial"/>
          <w:color w:val="525252"/>
          <w:sz w:val="13"/>
        </w:rPr>
        <w:t>Commanders have the authority and responsibility to address situations that could be perceived negatively, while also being mindful of preserving the service member’s right of expression within these interests.</w:t>
      </w:r>
    </w:p>
    <w:p>
      <w:pPr>
        <w:spacing w:after="20" w:line="223" w:lineRule="auto"/>
        <w:jc w:val="right"/>
        <w:bidi/>
      </w:pPr>
      <w:r>
        <w:rPr>
          <w:rFonts w:ascii="Arial" w:hAnsi="Arial"/>
          <w:sz w:val="16"/>
        </w:rPr>
        <w:t>269.14  اطلاعات دقیق‌تر در مورد فعالیت‌های مجاز و ممنوع را می‌توانید در DAFI ۵۱-۵۰۸، فعالیت‌های سیاسی، آزادی بیان و آزادی تجمع پیدا کنید.</w:t>
      </w:r>
    </w:p>
    <w:p>
      <w:pPr>
        <w:spacing w:after="28" w:line="216" w:lineRule="auto"/>
        <w:ind w:left="259"/>
        <w:jc w:val="left"/>
      </w:pPr>
      <w:r>
        <w:rPr>
          <w:rFonts w:ascii="Arial" w:hAnsi="Arial"/>
          <w:color w:val="525252"/>
          <w:sz w:val="13"/>
        </w:rPr>
        <w:t>More specific information on permitted and prohibited activities can be found in DAFI 51-508, Political Activities, Free Speech and Freedom of Assembly.</w:t>
      </w:r>
    </w:p>
    <w:p>
      <w:pPr>
        <w:spacing w:before="60" w:after="28"/>
        <w:jc w:val="right"/>
        <w:bidi/>
      </w:pPr>
      <w:r>
        <w:rPr>
          <w:b/>
          <w:color w:val="1F4D78"/>
          <w:sz w:val="18"/>
        </w:rPr>
        <w:t>15.9. رسانه های اجتماعی</w:t>
      </w:r>
    </w:p>
    <w:p>
      <w:pPr>
        <w:spacing w:after="20"/>
        <w:ind w:left="259"/>
        <w:jc w:val="left"/>
      </w:pPr>
      <w:r>
        <w:rPr>
          <w:color w:val="555555"/>
          <w:sz w:val="12"/>
        </w:rPr>
        <w:t>15.9. Social Media</w:t>
      </w:r>
    </w:p>
    <w:p>
      <w:pPr>
        <w:spacing w:after="20" w:line="223" w:lineRule="auto"/>
        <w:jc w:val="right"/>
        <w:bidi/>
      </w:pPr>
      <w:r>
        <w:rPr>
          <w:rFonts w:ascii="Arial" w:hAnsi="Arial"/>
          <w:sz w:val="16"/>
        </w:rPr>
        <w:t>269.16  هوانوردان از طریق حضوری، تلفن، نامه کتبی، ایمیل، پیام‌های متنی، خدمات شبکه‌های اجتماعی و رسانه‌های اجتماعی با افراد ارتباط برقرار می‌کنند.</w:t>
      </w:r>
    </w:p>
    <w:p>
      <w:pPr>
        <w:spacing w:after="28" w:line="216" w:lineRule="auto"/>
        <w:ind w:left="259"/>
        <w:jc w:val="left"/>
      </w:pPr>
      <w:r>
        <w:rPr>
          <w:rFonts w:ascii="Arial" w:hAnsi="Arial"/>
          <w:color w:val="525252"/>
          <w:sz w:val="13"/>
        </w:rPr>
        <w:t>Airmen interact with individuals via face-to-face, telephone, written letter, e-mail, text messages, social networking services, and social media.</w:t>
      </w:r>
    </w:p>
    <w:p>
      <w:pPr>
        <w:spacing w:after="20" w:line="223" w:lineRule="auto"/>
        <w:jc w:val="right"/>
        <w:bidi/>
      </w:pPr>
      <w:r>
        <w:rPr>
          <w:rFonts w:ascii="Arial" w:hAnsi="Arial"/>
          <w:sz w:val="16"/>
        </w:rPr>
        <w:t>269.17  شبکه‌های اجتماعی شامل وبلاگ‌ها، تابلوهای پیام، اشتراک‌گذاری ویدئو، و خدماتی مانند یوتیوب، فیس‌بوک، توییتر، اینستاگرام و اسنپ‌چت است که توسط افراد و جوامع برای حفظ ارتباط استفاده می‌شود.</w:t>
      </w:r>
    </w:p>
    <w:p>
      <w:pPr>
        <w:spacing w:after="28" w:line="216" w:lineRule="auto"/>
        <w:ind w:left="259"/>
        <w:jc w:val="left"/>
      </w:pPr>
      <w:r>
        <w:rPr>
          <w:rFonts w:ascii="Arial" w:hAnsi="Arial"/>
          <w:color w:val="525252"/>
          <w:sz w:val="13"/>
        </w:rPr>
        <w:t>Social networking includes weblogs, message boards, video sharing, and services, such as YouTube, Facebook, Twitter, Instagram, and Snapchat, used by individuals and communities to stay in touch.</w:t>
      </w:r>
    </w:p>
    <w:p>
      <w:pPr>
        <w:spacing w:after="20" w:line="223" w:lineRule="auto"/>
        <w:jc w:val="right"/>
        <w:bidi/>
      </w:pPr>
      <w:r>
        <w:rPr>
          <w:rFonts w:ascii="Arial" w:hAnsi="Arial"/>
          <w:sz w:val="16"/>
        </w:rPr>
        <w:t>269.18  پست‌های مناسب.</w:t>
      </w:r>
    </w:p>
    <w:p>
      <w:pPr>
        <w:spacing w:after="28" w:line="216" w:lineRule="auto"/>
        <w:ind w:left="259"/>
        <w:jc w:val="left"/>
      </w:pPr>
      <w:r>
        <w:rPr>
          <w:rFonts w:ascii="Arial" w:hAnsi="Arial"/>
          <w:color w:val="525252"/>
          <w:sz w:val="13"/>
        </w:rPr>
        <w:t>Appropriate Posts.</w:t>
      </w:r>
    </w:p>
    <w:p>
      <w:pPr>
        <w:spacing w:after="20" w:line="223" w:lineRule="auto"/>
        <w:jc w:val="right"/>
        <w:bidi/>
      </w:pPr>
      <w:r>
        <w:rPr>
          <w:rFonts w:ascii="Arial" w:hAnsi="Arial"/>
          <w:sz w:val="16"/>
        </w:rPr>
        <w:t>269.19  افراد مسئول آنچه می‌گویند، به اشتراک می‌گذارند یا در سرویس‌های شبکه‌های اجتماعی پست می‌کنند، هستند.</w:t>
      </w:r>
    </w:p>
    <w:p>
      <w:pPr>
        <w:spacing w:after="28" w:line="216" w:lineRule="auto"/>
        <w:ind w:left="259"/>
        <w:jc w:val="left"/>
      </w:pPr>
      <w:r>
        <w:rPr>
          <w:rFonts w:ascii="Arial" w:hAnsi="Arial"/>
          <w:color w:val="525252"/>
          <w:sz w:val="13"/>
        </w:rPr>
        <w:t>Individuals are responsible for what they say, share, or post on social networking services.</w:t>
      </w:r>
    </w:p>
    <w:p>
      <w:pPr>
        <w:spacing w:after="20" w:line="223" w:lineRule="auto"/>
        <w:jc w:val="right"/>
        <w:bidi/>
      </w:pPr>
      <w:r>
        <w:rPr>
          <w:rFonts w:ascii="Arial" w:hAnsi="Arial"/>
          <w:sz w:val="16"/>
        </w:rPr>
        <w:t>269.20  از ارتباط توهین آمیز و نامناسب باید اجتناب شود.</w:t>
      </w:r>
    </w:p>
    <w:p>
      <w:pPr>
        <w:spacing w:after="28" w:line="216" w:lineRule="auto"/>
        <w:ind w:left="259"/>
        <w:jc w:val="left"/>
      </w:pPr>
      <w:r>
        <w:rPr>
          <w:rFonts w:ascii="Arial" w:hAnsi="Arial"/>
          <w:color w:val="525252"/>
          <w:sz w:val="13"/>
        </w:rPr>
        <w:t>Offensive and inappropriate communication must be avoided.</w:t>
      </w:r>
    </w:p>
    <w:p>
      <w:pPr>
        <w:spacing w:after="20" w:line="223" w:lineRule="auto"/>
        <w:jc w:val="right"/>
        <w:bidi/>
      </w:pPr>
      <w:r>
        <w:rPr>
          <w:rFonts w:ascii="Arial" w:hAnsi="Arial"/>
          <w:sz w:val="16"/>
        </w:rPr>
        <w:t>269.21  همچنین، هوانوردانی که نظرات و نظرات خود را در وبلاگ‌های اینترنتی ارائه می‌کنند، نمی‌توانند در آن سایت‌های وبلاگی که به‌طور منطقی پیش‌بینی می‌شود یا به قصد تنزل روحیه، نظم و انضباط هر یک از اعضا یا واحدهای نیروهای مسلح ایالات‌متحده، نظر بدهند. خدمات بی اعتبار هستند. یا باعث کاهش اعتماد و اطمینان مردم شود.</w:t>
      </w:r>
    </w:p>
    <w:p>
      <w:pPr>
        <w:spacing w:after="28" w:line="216" w:lineRule="auto"/>
        <w:ind w:left="259"/>
        <w:jc w:val="left"/>
      </w:pPr>
      <w:r>
        <w:rPr>
          <w:rFonts w:ascii="Arial" w:hAnsi="Arial"/>
          <w:color w:val="525252"/>
          <w:sz w:val="13"/>
        </w:rPr>
        <w:t>Also, Airmen who provide commentary and opinions on internet blogs may not place comments on those blog sites which reasonably can be anticipated or are intended to degrade morale, good order, and discipline of any members or units in the U.S. Armed Forces; are service-discrediting; or would degrade the trust and confidence of the public.</w:t>
      </w:r>
    </w:p>
    <w:p>
      <w:pPr>
        <w:spacing w:after="20" w:line="223" w:lineRule="auto"/>
        <w:jc w:val="right"/>
        <w:bidi/>
      </w:pPr>
      <w:r>
        <w:rPr>
          <w:rFonts w:ascii="Arial" w:hAnsi="Arial"/>
          <w:sz w:val="16"/>
        </w:rPr>
        <w:t>269.22  به‌علاوه، مهم است که بدانیم "دوستان" و "پیروان" شبکه‌های اجتماعی ممکن است به‌طور بالقوه روابطی را ایجاد کنند که می‌تواند بر تحقیقات پس زمینه و بررسی‌های مجدد دوره‌ای مرتبط با مجوزهای امنیتی تأثیر بگذارد.</w:t>
      </w:r>
    </w:p>
    <w:p>
      <w:pPr>
        <w:spacing w:after="28" w:line="216" w:lineRule="auto"/>
        <w:ind w:left="259"/>
        <w:jc w:val="left"/>
      </w:pPr>
      <w:r>
        <w:rPr>
          <w:rFonts w:ascii="Arial" w:hAnsi="Arial"/>
          <w:color w:val="525252"/>
          <w:sz w:val="13"/>
        </w:rPr>
        <w:t>Additionally, it is important to recognize that social network “friends” and “followers” may potentially constitute relationships that could affect background investigations and periodic reinvestigations associated with security clearances.</w:t>
      </w:r>
    </w:p>
    <w:p>
      <w:pPr>
        <w:spacing w:after="20" w:line="223" w:lineRule="auto"/>
        <w:jc w:val="right"/>
        <w:bidi/>
      </w:pPr>
      <w:r>
        <w:rPr>
          <w:rFonts w:ascii="Arial" w:hAnsi="Arial"/>
          <w:sz w:val="16"/>
        </w:rPr>
        <w:t>269.23  اطلاعات تکمیلی در مورد رسانه‌های اجتماعی را می‌توانید در: DAFH ۳۳-۳۳۷ ت تونگو اند قویلل، و DAFI ۳۵-۱۰۱، امور عمومی پیدا کنید.</w:t>
      </w:r>
    </w:p>
    <w:p>
      <w:pPr>
        <w:spacing w:after="28" w:line="216" w:lineRule="auto"/>
        <w:ind w:left="259"/>
        <w:jc w:val="left"/>
      </w:pPr>
      <w:r>
        <w:rPr>
          <w:rFonts w:ascii="Arial" w:hAnsi="Arial"/>
          <w:color w:val="525252"/>
          <w:sz w:val="13"/>
        </w:rPr>
        <w:t>Additional information regarding social media can be found in: DAFH 33-337 The Tongue and Quill, and DAFI 35-101, Public Affairs.</w:t>
      </w:r>
    </w:p>
    <w:p>
      <w:pPr>
        <w:spacing w:after="20" w:line="223" w:lineRule="auto"/>
        <w:jc w:val="right"/>
        <w:bidi/>
      </w:pPr>
      <w:r>
        <w:rPr>
          <w:rFonts w:ascii="Arial" w:hAnsi="Arial"/>
          <w:sz w:val="16"/>
        </w:rPr>
        <w:t>269.24  امنیت عملیات.</w:t>
      </w:r>
    </w:p>
    <w:p>
      <w:pPr>
        <w:spacing w:after="28" w:line="216" w:lineRule="auto"/>
        <w:ind w:left="259"/>
        <w:jc w:val="left"/>
      </w:pPr>
      <w:r>
        <w:rPr>
          <w:rFonts w:ascii="Arial" w:hAnsi="Arial"/>
          <w:color w:val="525252"/>
          <w:sz w:val="13"/>
        </w:rPr>
        <w:t>Operations Security.</w:t>
      </w:r>
    </w:p>
    <w:p>
      <w:pPr>
        <w:spacing w:after="20" w:line="223" w:lineRule="auto"/>
        <w:jc w:val="right"/>
        <w:bidi/>
      </w:pPr>
      <w:r>
        <w:rPr>
          <w:rFonts w:ascii="Arial" w:hAnsi="Arial"/>
          <w:sz w:val="16"/>
        </w:rPr>
        <w:t>269.25  امنیت عملیات برای انجام مأموریت USAF حیاتی است.</w:t>
      </w:r>
    </w:p>
    <w:p>
      <w:pPr>
        <w:spacing w:after="28" w:line="216" w:lineRule="auto"/>
        <w:ind w:left="259"/>
        <w:jc w:val="left"/>
      </w:pPr>
      <w:r>
        <w:rPr>
          <w:rFonts w:ascii="Arial" w:hAnsi="Arial"/>
          <w:color w:val="525252"/>
          <w:sz w:val="13"/>
        </w:rPr>
        <w:t>Operations security is vital to the accomplishment of the USAF mission.</w:t>
      </w:r>
    </w:p>
    <w:p>
      <w:pPr>
        <w:spacing w:after="20" w:line="223" w:lineRule="auto"/>
        <w:jc w:val="right"/>
        <w:bidi/>
      </w:pPr>
      <w:r>
        <w:rPr>
          <w:rFonts w:ascii="Arial" w:hAnsi="Arial"/>
          <w:sz w:val="16"/>
        </w:rPr>
        <w:t>269.26  استفاده از رسانه‌های اجتماعی و سایر انجمن‌هایی که امکان برقراری ارتباط با تعداد زیادی از افراد را فراهم می‌کنند، خطر بزرگ‌نمایی نقص‌های امنیتی عملیاتی را به همراه دارد.</w:t>
      </w:r>
    </w:p>
    <w:p>
      <w:pPr>
        <w:spacing w:after="28" w:line="216" w:lineRule="auto"/>
        <w:ind w:left="259"/>
        <w:jc w:val="left"/>
      </w:pPr>
      <w:r>
        <w:rPr>
          <w:rFonts w:ascii="Arial" w:hAnsi="Arial"/>
          <w:color w:val="525252"/>
          <w:sz w:val="13"/>
        </w:rPr>
        <w:t>The use of social media and other forums that allow communication with large numbers of people brings with it the increased risk of magnifying operational security lapses.</w:t>
      </w:r>
    </w:p>
    <w:p>
      <w:pPr>
        <w:spacing w:after="20" w:line="223" w:lineRule="auto"/>
        <w:jc w:val="right"/>
        <w:bidi/>
      </w:pPr>
      <w:r>
        <w:rPr>
          <w:rFonts w:ascii="Arial" w:hAnsi="Arial"/>
          <w:sz w:val="16"/>
        </w:rPr>
        <w:t>269.27  اطلاعات طبقه بندی نشده، کنترل شده و سایر اطلاعات و اسناد رسمی وزارت دفاع از ارسال در سرویس‌های شبکه‌های اجتماعی یا ارسال از طریق حساب‌های ایمیل غیر وزارت دفاع بدون مجوز مناسب ممنوع است.</w:t>
      </w:r>
    </w:p>
    <w:p>
      <w:pPr>
        <w:spacing w:after="28" w:line="216" w:lineRule="auto"/>
        <w:ind w:left="259"/>
        <w:jc w:val="left"/>
      </w:pPr>
      <w:r>
        <w:rPr>
          <w:rFonts w:ascii="Arial" w:hAnsi="Arial"/>
          <w:color w:val="525252"/>
          <w:sz w:val="13"/>
        </w:rPr>
        <w:t>Classified, controlled unclassified information, and other official Department of Defense information and documents are prohibited from being posted on social networking services or transmitted via non-Department of Defense e-mail accounts without proper authority.</w:t>
      </w:r>
    </w:p>
    <w:p>
      <w:r>
        <w:br w:type="page"/>
      </w:r>
    </w:p>
    <w:p>
      <w:pPr>
        <w:spacing w:after="60"/>
        <w:jc w:val="right"/>
        <w:bidi/>
      </w:pPr>
      <w:r>
        <w:rPr>
          <w:rFonts w:ascii="Arial" w:hAnsi="Arial"/>
          <w:b/>
          <w:color w:val="1F4D78"/>
          <w:sz w:val="19"/>
        </w:rPr>
        <w:t>هفتهٔ 270  |  صفحهٔ منبع: 286</w:t>
      </w:r>
    </w:p>
    <w:p>
      <w:pPr>
        <w:spacing w:before="60" w:after="28"/>
        <w:jc w:val="right"/>
        <w:bidi/>
      </w:pPr>
      <w:r>
        <w:rPr>
          <w:b/>
          <w:color w:val="1F4D78"/>
          <w:sz w:val="18"/>
        </w:rPr>
        <w:t>15.10. مراجع نظامی برای برقراری ارتباط</w:t>
      </w:r>
    </w:p>
    <w:p>
      <w:pPr>
        <w:spacing w:after="20"/>
        <w:ind w:left="259"/>
        <w:jc w:val="left"/>
      </w:pPr>
      <w:r>
        <w:rPr>
          <w:color w:val="555555"/>
          <w:sz w:val="12"/>
        </w:rPr>
        <w:t>15.10. Military References for Communicating</w:t>
      </w:r>
    </w:p>
    <w:p>
      <w:pPr>
        <w:spacing w:after="20" w:line="223" w:lineRule="auto"/>
        <w:jc w:val="right"/>
        <w:bidi/>
      </w:pPr>
      <w:r>
        <w:rPr>
          <w:rFonts w:ascii="Arial" w:hAnsi="Arial"/>
          <w:sz w:val="16"/>
        </w:rPr>
        <w:t>270.02  JP ۱-۰۲، واژه نامه اصطلاحات نظامی و مرتبط وزارت دفاع، مکمل لغت نامه‌های انگلیسی زبان است و اصطلاحات مورد استفاده در وزارت دفاع، سایر آژانس‌های فدرال، و در میان ایالات متحده و متحدانش را استاندارد می‌کند.</w:t>
      </w:r>
    </w:p>
    <w:p>
      <w:pPr>
        <w:spacing w:after="28" w:line="216" w:lineRule="auto"/>
        <w:ind w:left="259"/>
        <w:jc w:val="left"/>
      </w:pPr>
      <w:r>
        <w:rPr>
          <w:rFonts w:ascii="Arial" w:hAnsi="Arial"/>
          <w:color w:val="525252"/>
          <w:sz w:val="13"/>
        </w:rPr>
        <w:t>JP 1-02, DoD Dictionary of Military and Associated Terms, supplements English-language dictionaries and standardizes terminology used within the Department of Defense, other federal agencies, and among the United States and its allies.</w:t>
      </w:r>
    </w:p>
    <w:p>
      <w:pPr>
        <w:spacing w:after="20" w:line="223" w:lineRule="auto"/>
        <w:jc w:val="right"/>
        <w:bidi/>
      </w:pPr>
      <w:r>
        <w:rPr>
          <w:rFonts w:ascii="Arial" w:hAnsi="Arial"/>
          <w:sz w:val="16"/>
        </w:rPr>
        <w:t>270.03  مجموعه‌ای از تعاریف، اختصارات و کلمات اختصاری قابل استفاده برای وزارت دفاع و اجزای آن است که اغلب به‌عنوان منبع اصلی برای مکاتبات رسمی و اسناد برنامه‌ریزی استفاده می‌شود.</w:t>
      </w:r>
    </w:p>
    <w:p>
      <w:pPr>
        <w:spacing w:after="28" w:line="216" w:lineRule="auto"/>
        <w:ind w:left="259"/>
        <w:jc w:val="left"/>
      </w:pPr>
      <w:r>
        <w:rPr>
          <w:rFonts w:ascii="Arial" w:hAnsi="Arial"/>
          <w:color w:val="525252"/>
          <w:sz w:val="13"/>
        </w:rPr>
        <w:t>It is a compilation of definitions, abbreviations, and acronyms applicable to the Department of Defense and its components, often used as a primary source for official correspondence and planning documents.</w:t>
      </w:r>
    </w:p>
    <w:p>
      <w:pPr>
        <w:spacing w:after="20" w:line="223" w:lineRule="auto"/>
        <w:jc w:val="right"/>
        <w:bidi/>
      </w:pPr>
      <w:r>
        <w:rPr>
          <w:rFonts w:ascii="Arial" w:hAnsi="Arial"/>
          <w:sz w:val="16"/>
        </w:rPr>
        <w:t>270.04  راهنمای سبک و نویسنده دانشگاه هوایی (AU-۱) راهنمایی هایی را در مورد نوشتن، ویرایش، و انتشار امور مربوط به نشریات رسمی برای دانشگاه هوایی ارائه می‌دهد.</w:t>
      </w:r>
    </w:p>
    <w:p>
      <w:pPr>
        <w:spacing w:after="28" w:line="216" w:lineRule="auto"/>
        <w:ind w:left="259"/>
        <w:jc w:val="left"/>
      </w:pPr>
      <w:r>
        <w:rPr>
          <w:rFonts w:ascii="Arial" w:hAnsi="Arial"/>
          <w:color w:val="525252"/>
          <w:sz w:val="13"/>
        </w:rPr>
        <w:t>The Air University Style and Author Guide (AU-1) provides guidance on writing, editing, and publishing matters related to official publications for the Air University.</w:t>
      </w:r>
    </w:p>
    <w:p>
      <w:pPr>
        <w:spacing w:after="20" w:line="223" w:lineRule="auto"/>
        <w:jc w:val="right"/>
        <w:bidi/>
      </w:pPr>
      <w:r>
        <w:rPr>
          <w:rFonts w:ascii="Arial" w:hAnsi="Arial"/>
          <w:sz w:val="16"/>
        </w:rPr>
        <w:t>270.05  همچنین، AU-۱ یک مرجع ارزشمند برای دستور زبان، مکانیک، و مستندات منابع برای کسانی است که به کلمات اختصاری نظامی، رتبه‌ها و اصطلاحات تخصصی نظامی علاقه دارند.</w:t>
      </w:r>
    </w:p>
    <w:p>
      <w:pPr>
        <w:spacing w:after="28" w:line="216" w:lineRule="auto"/>
        <w:ind w:left="259"/>
        <w:jc w:val="left"/>
      </w:pPr>
      <w:r>
        <w:rPr>
          <w:rFonts w:ascii="Arial" w:hAnsi="Arial"/>
          <w:color w:val="525252"/>
          <w:sz w:val="13"/>
        </w:rPr>
        <w:t>Also, AU-1 is a valuable reference for grammar, mechanics, and documentation of sources for those with an interest in military acronyms, ranks, and specialized military terms.</w:t>
      </w:r>
    </w:p>
    <w:p>
      <w:pPr>
        <w:spacing w:after="20" w:line="223" w:lineRule="auto"/>
        <w:jc w:val="right"/>
        <w:bidi/>
      </w:pPr>
      <w:r>
        <w:rPr>
          <w:rFonts w:ascii="Arial" w:hAnsi="Arial"/>
          <w:sz w:val="16"/>
        </w:rPr>
        <w:t>270.06  دفترچه راهنمای سبک دفتر چاپ دولتی ایالات متحده مرجع تأیید شده برای همه اشکال و سبک‌های چاپ دولتی است.</w:t>
      </w:r>
    </w:p>
    <w:p>
      <w:pPr>
        <w:spacing w:after="28" w:line="216" w:lineRule="auto"/>
        <w:ind w:left="259"/>
        <w:jc w:val="left"/>
      </w:pPr>
      <w:r>
        <w:rPr>
          <w:rFonts w:ascii="Arial" w:hAnsi="Arial"/>
          <w:color w:val="525252"/>
          <w:sz w:val="13"/>
        </w:rPr>
        <w:t>The U.S. Government Printing Office Style Manual is the approved reference for all forms and styles of government printing.</w:t>
      </w:r>
    </w:p>
    <w:p>
      <w:pPr>
        <w:spacing w:after="20" w:line="223" w:lineRule="auto"/>
        <w:jc w:val="right"/>
        <w:bidi/>
      </w:pPr>
      <w:r>
        <w:rPr>
          <w:rFonts w:ascii="Arial" w:hAnsi="Arial"/>
          <w:sz w:val="16"/>
        </w:rPr>
        <w:t>270.07  اساسا، کتابچه راهنمای سبک یک مرجع استانداردسازی است که برای دستیابی به یکنواختی در کلمه و نوع طراحی شده است و هدف آن صرفه‌جویی در استفاده از کلمه است.</w:t>
      </w:r>
    </w:p>
    <w:p>
      <w:pPr>
        <w:spacing w:after="28" w:line="216" w:lineRule="auto"/>
        <w:ind w:left="259"/>
        <w:jc w:val="left"/>
      </w:pPr>
      <w:r>
        <w:rPr>
          <w:rFonts w:ascii="Arial" w:hAnsi="Arial"/>
          <w:color w:val="525252"/>
          <w:sz w:val="13"/>
        </w:rPr>
        <w:t>Essentially, the style manual is a standardization reference designed to achieve uniformity in word and type, aimed toward economy of word use.</w:t>
      </w:r>
    </w:p>
    <w:p>
      <w:pPr>
        <w:spacing w:after="20" w:line="223" w:lineRule="auto"/>
        <w:jc w:val="right"/>
        <w:bidi/>
      </w:pPr>
      <w:r>
        <w:rPr>
          <w:rFonts w:ascii="Arial" w:hAnsi="Arial"/>
          <w:sz w:val="16"/>
        </w:rPr>
        <w:t>270.08  ت تونگو اند قویلل مرجع همه جانبه نیست، اما اطلاعات ارزشمند و دقیقی را در مورد اکثر ارائه‌ها و مقالات تولید شده در دوره‌های آموزش حرفه‌ای نظامی ارائه می‌دهد.</w:t>
      </w:r>
    </w:p>
    <w:p>
      <w:pPr>
        <w:spacing w:after="28" w:line="216" w:lineRule="auto"/>
        <w:ind w:left="259"/>
        <w:jc w:val="left"/>
      </w:pPr>
      <w:r>
        <w:rPr>
          <w:rFonts w:ascii="Arial" w:hAnsi="Arial"/>
          <w:color w:val="525252"/>
          <w:sz w:val="13"/>
        </w:rPr>
        <w:t>The Tongue and Quill is not an all-inclusive reference, but provides valuable, detailed information on most presentations and papers produced in professional military education courses.</w:t>
      </w:r>
    </w:p>
    <w:p>
      <w:pPr>
        <w:spacing w:after="20" w:line="223" w:lineRule="auto"/>
        <w:jc w:val="right"/>
        <w:bidi/>
      </w:pPr>
      <w:r>
        <w:rPr>
          <w:rFonts w:ascii="Arial" w:hAnsi="Arial"/>
          <w:sz w:val="16"/>
        </w:rPr>
        <w:t>270.09  مراجع، مانند راهنمای سبک انجمن زبان مدرن (MLA)، دفترچه راهنمای سبک شیکاگو، و راهنمای سبک انجمن روانشناسی آمریکا (APA)، به‌طور گسترده در بخش غیرنظامی و سازمان‌هایی که استانداردهای نوشتاری کالج و دانشگاه را دنبال می‌کنند، شناخته شده است.</w:t>
      </w:r>
    </w:p>
    <w:p>
      <w:pPr>
        <w:spacing w:after="28" w:line="216" w:lineRule="auto"/>
        <w:ind w:left="259"/>
        <w:jc w:val="left"/>
      </w:pPr>
      <w:r>
        <w:rPr>
          <w:rFonts w:ascii="Arial" w:hAnsi="Arial"/>
          <w:color w:val="525252"/>
          <w:sz w:val="13"/>
        </w:rPr>
        <w:t>References, such as the Modern Language Association (MLA) Style Guide, the Chicago Manual of Style, and the American Psychological Association (APA) Style Guide, are widely recognized in the civilian sector and organizations following college and university writing standards.</w:t>
      </w:r>
    </w:p>
    <w:p>
      <w:pPr>
        <w:spacing w:after="20" w:line="223" w:lineRule="auto"/>
        <w:jc w:val="right"/>
        <w:bidi/>
      </w:pPr>
      <w:r>
        <w:rPr>
          <w:rFonts w:ascii="Arial" w:hAnsi="Arial"/>
          <w:sz w:val="16"/>
        </w:rPr>
        <w:t>270.10  آنها اطلاعات مفیدی را هنگام انجام تحقیقات یا توسعه محصولات مکتوب ارائه می‌دهند.</w:t>
      </w:r>
    </w:p>
    <w:p>
      <w:pPr>
        <w:spacing w:after="28" w:line="216" w:lineRule="auto"/>
        <w:ind w:left="259"/>
        <w:jc w:val="left"/>
      </w:pPr>
      <w:r>
        <w:rPr>
          <w:rFonts w:ascii="Arial" w:hAnsi="Arial"/>
          <w:color w:val="525252"/>
          <w:sz w:val="13"/>
        </w:rPr>
        <w:t>They provide useful information when conducting research or developing written products.</w:t>
      </w:r>
    </w:p>
    <w:p>
      <w:pPr>
        <w:spacing w:before="60" w:after="28"/>
        <w:jc w:val="right"/>
        <w:bidi/>
      </w:pPr>
      <w:r>
        <w:rPr>
          <w:b/>
          <w:color w:val="1F4D78"/>
          <w:sz w:val="18"/>
        </w:rPr>
        <w:t>15.11. الفبای آوایی نظامی</w:t>
      </w:r>
    </w:p>
    <w:p>
      <w:pPr>
        <w:spacing w:after="20"/>
        <w:ind w:left="259"/>
        <w:jc w:val="left"/>
      </w:pPr>
      <w:r>
        <w:rPr>
          <w:color w:val="555555"/>
          <w:sz w:val="12"/>
        </w:rPr>
        <w:t>15.11. Military Phonetic Alphabet</w:t>
      </w:r>
    </w:p>
    <w:p>
      <w:pPr>
        <w:spacing w:after="20" w:line="223" w:lineRule="auto"/>
        <w:jc w:val="right"/>
        <w:bidi/>
      </w:pPr>
      <w:r>
        <w:rPr>
          <w:rFonts w:ascii="Arial" w:hAnsi="Arial"/>
          <w:sz w:val="16"/>
        </w:rPr>
        <w:t>270.12  همه شعبه‌های دولت و ادارات نظامی ایالات متحده از الفبای سازمان بین‌المللی هوانوردی غیرنظامی برای ارتباطات رادیویی استفاده می‌کنند.</w:t>
      </w:r>
    </w:p>
    <w:p>
      <w:pPr>
        <w:spacing w:after="28" w:line="216" w:lineRule="auto"/>
        <w:ind w:left="259"/>
        <w:jc w:val="left"/>
      </w:pPr>
      <w:r>
        <w:rPr>
          <w:rFonts w:ascii="Arial" w:hAnsi="Arial"/>
          <w:color w:val="525252"/>
          <w:sz w:val="13"/>
        </w:rPr>
        <w:t>All branches of the U.S. Government and military departments use the International Civil Aviation Organization alphabet for radio communication.</w:t>
      </w:r>
    </w:p>
    <w:p>
      <w:pPr>
        <w:spacing w:after="20" w:line="223" w:lineRule="auto"/>
        <w:jc w:val="right"/>
        <w:bidi/>
      </w:pPr>
      <w:r>
        <w:rPr>
          <w:rFonts w:ascii="Arial" w:hAnsi="Arial"/>
          <w:sz w:val="16"/>
        </w:rPr>
        <w:t>270.13  این الفبای آوایی توسط نیروهای مسلح ایالات متحده در سال ۱۹۵۶ پذیرفته شد و در حال حاضر توسط کشورهای سازمان پیمان آتلانتیک شمالی و هواپیمایی کشوری در سراسر جهان استفاده می‌شود.</w:t>
      </w:r>
    </w:p>
    <w:p>
      <w:pPr>
        <w:spacing w:after="28" w:line="216" w:lineRule="auto"/>
        <w:ind w:left="259"/>
        <w:jc w:val="left"/>
      </w:pPr>
      <w:r>
        <w:rPr>
          <w:rFonts w:ascii="Arial" w:hAnsi="Arial"/>
          <w:color w:val="525252"/>
          <w:sz w:val="13"/>
        </w:rPr>
        <w:t>This phonetic alphabet was adopted by the U.S. Armed Forces in 1956 and is currently used by North Atlantic Treaty Organization countries and civil aviation around the world.</w:t>
      </w:r>
    </w:p>
    <w:p>
      <w:pPr>
        <w:spacing w:before="60" w:after="28"/>
        <w:jc w:val="right"/>
        <w:bidi/>
      </w:pPr>
      <w:r>
        <w:rPr>
          <w:b/>
          <w:color w:val="1F4D78"/>
          <w:sz w:val="18"/>
        </w:rPr>
        <w:t>جدول 15.1. حروف، کلمات رمز و تلفظ را نشان می دهد.</w:t>
      </w:r>
    </w:p>
    <w:p>
      <w:pPr>
        <w:spacing w:after="20"/>
        <w:ind w:left="259"/>
        <w:jc w:val="left"/>
      </w:pPr>
      <w:r>
        <w:rPr>
          <w:color w:val="555555"/>
          <w:sz w:val="12"/>
        </w:rPr>
        <w:t>Table 15.1. shows the letters, code words, and pronunciation.</w:t>
      </w:r>
    </w:p>
    <w:p>
      <w:r>
        <w:br w:type="page"/>
      </w:r>
    </w:p>
    <w:p>
      <w:pPr>
        <w:spacing w:after="60"/>
        <w:jc w:val="right"/>
        <w:bidi/>
      </w:pPr>
      <w:r>
        <w:rPr>
          <w:rFonts w:ascii="Arial" w:hAnsi="Arial"/>
          <w:b/>
          <w:color w:val="1F4D78"/>
          <w:sz w:val="19"/>
        </w:rPr>
        <w:t>هفتهٔ 271  |  صفحهٔ منبع: 287</w:t>
      </w:r>
    </w:p>
    <w:p>
      <w:pPr>
        <w:spacing w:after="20" w:line="223" w:lineRule="auto"/>
        <w:jc w:val="right"/>
        <w:bidi/>
      </w:pPr>
      <w:r>
        <w:rPr>
          <w:rFonts w:ascii="Arial" w:hAnsi="Arial"/>
          <w:sz w:val="16"/>
        </w:rPr>
        <w:t>271.01  ا الفا AL فاه ن نوامبر NOH وم بر ب براوو BRAH ووه و وسکار OSS کار ک چارلی CHAR لی پ پاپا PAH پاه د دلتا DEL تاه ق قوبک که BECK چو EKK وه ر رومو ROW م وه ف فوکستروت س OSS گولفس گولفستروت TANG گو ه هوتل HO بگویید و ونیفورم YOU نی فورم ی یندیا IN دی اه و ویکتور VIK تر ج جولیت JEW لی تت و وهیسکی WISS کی ک کیلو KEY لوه کس-رای EKS رای ل لیما LEE ماه ی یانکی YANG کی م میک میک ز زولو زوو</w:t>
      </w:r>
    </w:p>
    <w:p>
      <w:pPr>
        <w:spacing w:after="28" w:line="216" w:lineRule="auto"/>
        <w:ind w:left="259"/>
        <w:jc w:val="left"/>
      </w:pPr>
      <w:r>
        <w:rPr>
          <w:rFonts w:ascii="Arial" w:hAnsi="Arial"/>
          <w:color w:val="525252"/>
          <w:sz w:val="13"/>
        </w:rPr>
        <w:t>A Alpha AL fah N November NOH vem ber B Bravo BRAH voh O Oscar OSS car C Charlie CHAR lee P Papa PAH pah D Delta DEL tah Q Quebec Keh BECK E Echo EKK oh R Romeo ROW me oh F Foxtrot FOKS trot S Sierra See AIR ah G Golf Golf T Tango TANG go H Hotel HO tell U Uniform YOU nee form I India IN dee ah V Victor VIK ter J Juliet JEW lee ett W Whiskey WISS key K Kilo KEY loh X X-ray EKS ray L Lima LEE mah Y Yankee YANG kee M Mike Mike Z Zulu ZOO loo</w:t>
      </w:r>
    </w:p>
    <w:p>
      <w:pPr>
        <w:spacing w:before="60" w:after="28"/>
        <w:jc w:val="right"/>
        <w:bidi/>
      </w:pPr>
      <w:r>
        <w:rPr>
          <w:b/>
          <w:color w:val="1F4D78"/>
          <w:sz w:val="18"/>
        </w:rPr>
        <w:t>جدول 15.1. الفبای آوایی نظامی</w:t>
      </w:r>
    </w:p>
    <w:p>
      <w:pPr>
        <w:spacing w:after="20"/>
        <w:ind w:left="259"/>
        <w:jc w:val="left"/>
      </w:pPr>
      <w:r>
        <w:rPr>
          <w:color w:val="555555"/>
          <w:sz w:val="12"/>
        </w:rPr>
        <w:t>Table 15.1. Military Phonetic Alphabet</w:t>
      </w:r>
    </w:p>
    <w:p>
      <w:pPr>
        <w:spacing w:before="60" w:after="28"/>
        <w:jc w:val="right"/>
        <w:bidi/>
      </w:pPr>
      <w:r>
        <w:rPr>
          <w:b/>
          <w:color w:val="1F4D78"/>
          <w:sz w:val="18"/>
        </w:rPr>
        <w:t>15.12. ارتباطات سازمانی</w:t>
      </w:r>
    </w:p>
    <w:p>
      <w:pPr>
        <w:spacing w:after="20"/>
        <w:ind w:left="259"/>
        <w:jc w:val="left"/>
      </w:pPr>
      <w:r>
        <w:rPr>
          <w:color w:val="555555"/>
          <w:sz w:val="12"/>
        </w:rPr>
        <w:t>15.12. Organizational Communication</w:t>
      </w:r>
    </w:p>
    <w:p>
      <w:pPr>
        <w:spacing w:after="20" w:line="223" w:lineRule="auto"/>
        <w:jc w:val="right"/>
        <w:bidi/>
      </w:pPr>
      <w:r>
        <w:rPr>
          <w:rFonts w:ascii="Arial" w:hAnsi="Arial"/>
          <w:sz w:val="16"/>
        </w:rPr>
        <w:t>271.04  ارتباطات سازمانی به اشتراک استراتژیک اطلاعات، چه در داخل و چه در خارج، در داخل و در سراسر صنعت سازمان اشاره دارد.</w:t>
      </w:r>
    </w:p>
    <w:p>
      <w:pPr>
        <w:spacing w:after="28" w:line="216" w:lineRule="auto"/>
        <w:ind w:left="259"/>
        <w:jc w:val="left"/>
      </w:pPr>
      <w:r>
        <w:rPr>
          <w:rFonts w:ascii="Arial" w:hAnsi="Arial"/>
          <w:color w:val="525252"/>
          <w:sz w:val="13"/>
        </w:rPr>
        <w:t>Organizational communication refers to the strategic sharing of information, both internally and externally, within and across the organizational industry.</w:t>
      </w:r>
    </w:p>
    <w:p>
      <w:pPr>
        <w:spacing w:after="20" w:line="223" w:lineRule="auto"/>
        <w:jc w:val="right"/>
        <w:bidi/>
      </w:pPr>
      <w:r>
        <w:rPr>
          <w:rFonts w:ascii="Arial" w:hAnsi="Arial"/>
          <w:sz w:val="16"/>
        </w:rPr>
        <w:t>271.05  رهبران باید مهارت‌های ارتباطی سازمانی قوی را برای دستیابی به اهداف مرتبط با سازمان و مأموریت نشان دهند.</w:t>
      </w:r>
    </w:p>
    <w:p>
      <w:pPr>
        <w:spacing w:after="28" w:line="216" w:lineRule="auto"/>
        <w:ind w:left="259"/>
        <w:jc w:val="left"/>
      </w:pPr>
      <w:r>
        <w:rPr>
          <w:rFonts w:ascii="Arial" w:hAnsi="Arial"/>
          <w:color w:val="525252"/>
          <w:sz w:val="13"/>
        </w:rPr>
        <w:t>Leaders must exhibit solid organizational communication skills to accomplish organization- and mission-related goals.</w:t>
      </w:r>
    </w:p>
    <w:p>
      <w:pPr>
        <w:spacing w:after="20" w:line="223" w:lineRule="auto"/>
        <w:jc w:val="right"/>
        <w:bidi/>
      </w:pPr>
      <w:r>
        <w:rPr>
          <w:rFonts w:ascii="Arial" w:hAnsi="Arial"/>
          <w:sz w:val="16"/>
        </w:rPr>
        <w:t>271.06  ایجاد فرهنگ ارتباطات و حفظ ارتباط، افراد را قادر می‌سازد تا پیام ارتباط سازمانی را در هر سطحی در اختیار داشته باشند.</w:t>
      </w:r>
    </w:p>
    <w:p>
      <w:pPr>
        <w:spacing w:after="28" w:line="216" w:lineRule="auto"/>
        <w:ind w:left="259"/>
        <w:jc w:val="left"/>
      </w:pPr>
      <w:r>
        <w:rPr>
          <w:rFonts w:ascii="Arial" w:hAnsi="Arial"/>
          <w:color w:val="525252"/>
          <w:sz w:val="13"/>
        </w:rPr>
        <w:t>Creating a culture of communication and maintaining relevance empowers people to own the organizational communication message at every level.</w:t>
      </w:r>
    </w:p>
    <w:p>
      <w:pPr>
        <w:spacing w:after="20" w:line="223" w:lineRule="auto"/>
        <w:jc w:val="right"/>
        <w:bidi/>
      </w:pPr>
      <w:r>
        <w:rPr>
          <w:rFonts w:ascii="Arial" w:hAnsi="Arial"/>
          <w:sz w:val="16"/>
        </w:rPr>
        <w:t>271.07  طبق گفته کالدول، استراد و منینگ، در پرورش فرهنگ تعامل، فرهنگ سازمانی برای مؤثر بودن باید فعال، نوآور، سازگار، رهبر محور و پایدار باشد.</w:t>
      </w:r>
    </w:p>
    <w:p>
      <w:pPr>
        <w:spacing w:after="28" w:line="216" w:lineRule="auto"/>
        <w:ind w:left="259"/>
        <w:jc w:val="left"/>
      </w:pPr>
      <w:r>
        <w:rPr>
          <w:rFonts w:ascii="Arial" w:hAnsi="Arial"/>
          <w:color w:val="525252"/>
          <w:sz w:val="13"/>
        </w:rPr>
        <w:t>According to Caldwell, Stroud, and Menning, in Fostering a Culture of Engagement, to be effective, an organizational culture must be proactive, innovative, adaptive, leader driven, and sustainable.</w:t>
      </w:r>
    </w:p>
    <w:p>
      <w:pPr>
        <w:spacing w:after="20" w:line="223" w:lineRule="auto"/>
        <w:jc w:val="right"/>
        <w:bidi/>
      </w:pPr>
      <w:r>
        <w:rPr>
          <w:rFonts w:ascii="Arial" w:hAnsi="Arial"/>
          <w:sz w:val="16"/>
        </w:rPr>
        <w:t>271.08  فعال.</w:t>
      </w:r>
    </w:p>
    <w:p>
      <w:pPr>
        <w:spacing w:after="28" w:line="216" w:lineRule="auto"/>
        <w:ind w:left="259"/>
        <w:jc w:val="left"/>
      </w:pPr>
      <w:r>
        <w:rPr>
          <w:rFonts w:ascii="Arial" w:hAnsi="Arial"/>
          <w:color w:val="525252"/>
          <w:sz w:val="13"/>
        </w:rPr>
        <w:t>Proactive.</w:t>
      </w:r>
    </w:p>
    <w:p>
      <w:pPr>
        <w:spacing w:after="20" w:line="223" w:lineRule="auto"/>
        <w:jc w:val="right"/>
        <w:bidi/>
      </w:pPr>
      <w:r>
        <w:rPr>
          <w:rFonts w:ascii="Arial" w:hAnsi="Arial"/>
          <w:sz w:val="16"/>
        </w:rPr>
        <w:t>271.09  فعال بودن به معنای به دست گرفتن ابتکار عمل و چابک بودن در انتقال پیام است.</w:t>
      </w:r>
    </w:p>
    <w:p>
      <w:pPr>
        <w:spacing w:after="28" w:line="216" w:lineRule="auto"/>
        <w:ind w:left="259"/>
        <w:jc w:val="left"/>
      </w:pPr>
      <w:r>
        <w:rPr>
          <w:rFonts w:ascii="Arial" w:hAnsi="Arial"/>
          <w:color w:val="525252"/>
          <w:sz w:val="13"/>
        </w:rPr>
        <w:t>To be proactive means to seize the initiative and be agile in communicating the message.</w:t>
      </w:r>
    </w:p>
    <w:p>
      <w:pPr>
        <w:spacing w:after="20" w:line="223" w:lineRule="auto"/>
        <w:jc w:val="right"/>
        <w:bidi/>
      </w:pPr>
      <w:r>
        <w:rPr>
          <w:rFonts w:ascii="Arial" w:hAnsi="Arial"/>
          <w:sz w:val="16"/>
        </w:rPr>
        <w:t>271.10  ظرفیت فعال بودن، رهبران را قادر می‌سازد تا به میدان بروند و دیدگاه‌ها و تجربیات خود را در مورد موضوعات مهم به اشتراک بگذارند.</w:t>
      </w:r>
    </w:p>
    <w:p>
      <w:pPr>
        <w:spacing w:after="28" w:line="216" w:lineRule="auto"/>
        <w:ind w:left="259"/>
        <w:jc w:val="left"/>
      </w:pPr>
      <w:r>
        <w:rPr>
          <w:rFonts w:ascii="Arial" w:hAnsi="Arial"/>
          <w:color w:val="525252"/>
          <w:sz w:val="13"/>
        </w:rPr>
        <w:t>The capacity to be proactive enables leaders to get out front and communicate their perspectives and experiences on important topics.</w:t>
      </w:r>
    </w:p>
    <w:p>
      <w:pPr>
        <w:spacing w:after="20" w:line="223" w:lineRule="auto"/>
        <w:jc w:val="right"/>
        <w:bidi/>
      </w:pPr>
      <w:r>
        <w:rPr>
          <w:rFonts w:ascii="Arial" w:hAnsi="Arial"/>
          <w:sz w:val="16"/>
        </w:rPr>
        <w:t>271.11  نوآورانه.</w:t>
      </w:r>
    </w:p>
    <w:p>
      <w:pPr>
        <w:spacing w:after="28" w:line="216" w:lineRule="auto"/>
        <w:ind w:left="259"/>
        <w:jc w:val="left"/>
      </w:pPr>
      <w:r>
        <w:rPr>
          <w:rFonts w:ascii="Arial" w:hAnsi="Arial"/>
          <w:color w:val="525252"/>
          <w:sz w:val="13"/>
        </w:rPr>
        <w:t>Innovative.</w:t>
      </w:r>
    </w:p>
    <w:p>
      <w:pPr>
        <w:spacing w:after="20" w:line="223" w:lineRule="auto"/>
        <w:jc w:val="right"/>
        <w:bidi/>
      </w:pPr>
      <w:r>
        <w:rPr>
          <w:rFonts w:ascii="Arial" w:hAnsi="Arial"/>
          <w:sz w:val="16"/>
        </w:rPr>
        <w:t>271.12  نوآور بودن به معنای اعمال نبوغ در جستجوی راه‌های جدید مؤثر برای برقراری ارتباط است.</w:t>
      </w:r>
    </w:p>
    <w:p>
      <w:pPr>
        <w:spacing w:after="28" w:line="216" w:lineRule="auto"/>
        <w:ind w:left="259"/>
        <w:jc w:val="left"/>
      </w:pPr>
      <w:r>
        <w:rPr>
          <w:rFonts w:ascii="Arial" w:hAnsi="Arial"/>
          <w:color w:val="525252"/>
          <w:sz w:val="13"/>
        </w:rPr>
        <w:t>To be innovative means to exercise ingenuity in seeking new effective ways of communicating.</w:t>
      </w:r>
    </w:p>
    <w:p>
      <w:pPr>
        <w:spacing w:after="20" w:line="223" w:lineRule="auto"/>
        <w:jc w:val="right"/>
        <w:bidi/>
      </w:pPr>
      <w:r>
        <w:rPr>
          <w:rFonts w:ascii="Arial" w:hAnsi="Arial"/>
          <w:sz w:val="16"/>
        </w:rPr>
        <w:t>271.13  با تکیه بر بیش از تفکر خلاق خام، نوآوری مستلزم درک ویژگی‌ها و قابلیت‌های اشتراک‌گذاری اطلاعات و سرعت تغییر است.</w:t>
      </w:r>
    </w:p>
    <w:p>
      <w:pPr>
        <w:spacing w:after="28" w:line="216" w:lineRule="auto"/>
        <w:ind w:left="259"/>
        <w:jc w:val="left"/>
      </w:pPr>
      <w:r>
        <w:rPr>
          <w:rFonts w:ascii="Arial" w:hAnsi="Arial"/>
          <w:color w:val="525252"/>
          <w:sz w:val="13"/>
        </w:rPr>
        <w:t>Relying on more than raw creative thinking, innovation requires an understanding of the characteristics and capabilities of information sharing and the pace of change.</w:t>
      </w:r>
    </w:p>
    <w:p>
      <w:pPr>
        <w:spacing w:after="20" w:line="223" w:lineRule="auto"/>
        <w:jc w:val="right"/>
        <w:bidi/>
      </w:pPr>
      <w:r>
        <w:rPr>
          <w:rFonts w:ascii="Arial" w:hAnsi="Arial"/>
          <w:sz w:val="16"/>
        </w:rPr>
        <w:t>271.14  تطبیقی.</w:t>
      </w:r>
    </w:p>
    <w:p>
      <w:pPr>
        <w:spacing w:after="28" w:line="216" w:lineRule="auto"/>
        <w:ind w:left="259"/>
        <w:jc w:val="left"/>
      </w:pPr>
      <w:r>
        <w:rPr>
          <w:rFonts w:ascii="Arial" w:hAnsi="Arial"/>
          <w:color w:val="525252"/>
          <w:sz w:val="13"/>
        </w:rPr>
        <w:t>Adaptive.</w:t>
      </w:r>
    </w:p>
    <w:p>
      <w:pPr>
        <w:spacing w:after="20" w:line="223" w:lineRule="auto"/>
        <w:jc w:val="right"/>
        <w:bidi/>
      </w:pPr>
      <w:r>
        <w:rPr>
          <w:rFonts w:ascii="Arial" w:hAnsi="Arial"/>
          <w:sz w:val="16"/>
        </w:rPr>
        <w:t>271.15  قابلیت‌های ارتباطی تطبیقی ​​و مدرن در یک محیط اطلاعاتی به سرعت در حال تکامل، آنی و به هم پیوسته که چالش‌هایی را برای سازمان‌های سفت و سخت و انعطاف‌ناپذیر ایجاد می‌کند، رشد می‌کند.</w:t>
      </w:r>
    </w:p>
    <w:p>
      <w:pPr>
        <w:spacing w:after="28" w:line="216" w:lineRule="auto"/>
        <w:ind w:left="259"/>
        <w:jc w:val="left"/>
      </w:pPr>
      <w:r>
        <w:rPr>
          <w:rFonts w:ascii="Arial" w:hAnsi="Arial"/>
          <w:color w:val="525252"/>
          <w:sz w:val="13"/>
        </w:rPr>
        <w:t>Adaptive, modern communication capabilities thrive in a fast-evolving, instantaneous, and interconnected information environment that presents challenges to rigid and inflexible organizations.</w:t>
      </w:r>
    </w:p>
    <w:p>
      <w:pPr>
        <w:spacing w:after="20" w:line="223" w:lineRule="auto"/>
        <w:jc w:val="right"/>
        <w:bidi/>
      </w:pPr>
      <w:r>
        <w:rPr>
          <w:rFonts w:ascii="Arial" w:hAnsi="Arial"/>
          <w:sz w:val="16"/>
        </w:rPr>
        <w:t>271.16  کلید موفقیت در این محیط، سازگاری با شرایط متغیر در حال اجرا است.</w:t>
      </w:r>
    </w:p>
    <w:p>
      <w:pPr>
        <w:spacing w:after="28" w:line="216" w:lineRule="auto"/>
        <w:ind w:left="259"/>
        <w:jc w:val="left"/>
      </w:pPr>
      <w:r>
        <w:rPr>
          <w:rFonts w:ascii="Arial" w:hAnsi="Arial"/>
          <w:color w:val="525252"/>
          <w:sz w:val="13"/>
        </w:rPr>
        <w:t>The key to success in this environment is adjusting to changing circumstances on the run.</w:t>
      </w:r>
    </w:p>
    <w:p>
      <w:pPr>
        <w:spacing w:after="20" w:line="223" w:lineRule="auto"/>
        <w:jc w:val="right"/>
        <w:bidi/>
      </w:pPr>
      <w:r>
        <w:rPr>
          <w:rFonts w:ascii="Arial" w:hAnsi="Arial"/>
          <w:sz w:val="16"/>
        </w:rPr>
        <w:t>271.17  رهبر رانده.</w:t>
      </w:r>
    </w:p>
    <w:p>
      <w:pPr>
        <w:spacing w:after="28" w:line="216" w:lineRule="auto"/>
        <w:ind w:left="259"/>
        <w:jc w:val="left"/>
      </w:pPr>
      <w:r>
        <w:rPr>
          <w:rFonts w:ascii="Arial" w:hAnsi="Arial"/>
          <w:color w:val="525252"/>
          <w:sz w:val="13"/>
        </w:rPr>
        <w:t>Leader Driven.</w:t>
      </w:r>
    </w:p>
    <w:p>
      <w:pPr>
        <w:spacing w:after="20" w:line="223" w:lineRule="auto"/>
        <w:jc w:val="right"/>
        <w:bidi/>
      </w:pPr>
      <w:r>
        <w:rPr>
          <w:rFonts w:ascii="Arial" w:hAnsi="Arial"/>
          <w:sz w:val="16"/>
        </w:rPr>
        <w:t>271.18  رهبران USAF باید با پرورش فرهنگ مشارکت در زیردستان و فرماندهان خود با واقعیت‌های رسانه‌ای مدرن مقابله کنند.</w:t>
      </w:r>
    </w:p>
    <w:p>
      <w:pPr>
        <w:spacing w:after="28" w:line="216" w:lineRule="auto"/>
        <w:ind w:left="259"/>
        <w:jc w:val="left"/>
      </w:pPr>
      <w:r>
        <w:rPr>
          <w:rFonts w:ascii="Arial" w:hAnsi="Arial"/>
          <w:color w:val="525252"/>
          <w:sz w:val="13"/>
        </w:rPr>
        <w:t>USAF leaders must confront modern media realities by fostering a culture of engagement in their subordinates and commands.</w:t>
      </w:r>
    </w:p>
    <w:p>
      <w:pPr>
        <w:spacing w:after="20" w:line="223" w:lineRule="auto"/>
        <w:jc w:val="right"/>
        <w:bidi/>
      </w:pPr>
      <w:r>
        <w:rPr>
          <w:rFonts w:ascii="Arial" w:hAnsi="Arial"/>
          <w:sz w:val="16"/>
        </w:rPr>
        <w:t>271.19  رهبران با در دسترس قرار دادن خود برای برقراری ارتباط، به‌ویژه در مواقع بحران، جو فرماندهی را تنظیم می‌کنند.</w:t>
      </w:r>
    </w:p>
    <w:p>
      <w:pPr>
        <w:spacing w:after="28" w:line="216" w:lineRule="auto"/>
        <w:ind w:left="259"/>
        <w:jc w:val="left"/>
      </w:pPr>
      <w:r>
        <w:rPr>
          <w:rFonts w:ascii="Arial" w:hAnsi="Arial"/>
          <w:color w:val="525252"/>
          <w:sz w:val="13"/>
        </w:rPr>
        <w:t>Leaders set the command climate by making themselves available for communication, especially during times of crisis.</w:t>
      </w:r>
    </w:p>
    <w:p>
      <w:pPr>
        <w:spacing w:after="20" w:line="223" w:lineRule="auto"/>
        <w:jc w:val="right"/>
        <w:bidi/>
      </w:pPr>
      <w:r>
        <w:rPr>
          <w:rFonts w:ascii="Arial" w:hAnsi="Arial"/>
          <w:sz w:val="16"/>
        </w:rPr>
        <w:t>271.20  پایدار.</w:t>
      </w:r>
    </w:p>
    <w:p>
      <w:pPr>
        <w:spacing w:after="28" w:line="216" w:lineRule="auto"/>
        <w:ind w:left="259"/>
        <w:jc w:val="left"/>
      </w:pPr>
      <w:r>
        <w:rPr>
          <w:rFonts w:ascii="Arial" w:hAnsi="Arial"/>
          <w:color w:val="525252"/>
          <w:sz w:val="13"/>
        </w:rPr>
        <w:t>Sustainable.</w:t>
      </w:r>
    </w:p>
    <w:p>
      <w:pPr>
        <w:spacing w:after="20" w:line="223" w:lineRule="auto"/>
        <w:jc w:val="right"/>
        <w:bidi/>
      </w:pPr>
      <w:r>
        <w:rPr>
          <w:rFonts w:ascii="Arial" w:hAnsi="Arial"/>
          <w:sz w:val="16"/>
        </w:rPr>
        <w:t>271.21  رهبری برای القای تمرکز و عملکرد برای فرهنگ مشارکت ضروری است.</w:t>
      </w:r>
    </w:p>
    <w:p>
      <w:pPr>
        <w:spacing w:after="28" w:line="216" w:lineRule="auto"/>
        <w:ind w:left="259"/>
        <w:jc w:val="left"/>
      </w:pPr>
      <w:r>
        <w:rPr>
          <w:rFonts w:ascii="Arial" w:hAnsi="Arial"/>
          <w:color w:val="525252"/>
          <w:sz w:val="13"/>
        </w:rPr>
        <w:t>Leadership is essential to instilling focus and function for the culture of engagement.</w:t>
      </w:r>
    </w:p>
    <w:p>
      <w:pPr>
        <w:spacing w:after="20" w:line="223" w:lineRule="auto"/>
        <w:jc w:val="right"/>
        <w:bidi/>
      </w:pPr>
      <w:r>
        <w:rPr>
          <w:rFonts w:ascii="Arial" w:hAnsi="Arial"/>
          <w:sz w:val="16"/>
        </w:rPr>
        <w:t>271.22  پایداری نیازمند منابع و نیروی انسانی اختصاصی برای ایجاد قابلیت‌های پایدار برای ایجاد فرهنگ تعامل است.</w:t>
      </w:r>
    </w:p>
    <w:p>
      <w:pPr>
        <w:spacing w:after="28" w:line="216" w:lineRule="auto"/>
        <w:ind w:left="259"/>
        <w:jc w:val="left"/>
      </w:pPr>
      <w:r>
        <w:rPr>
          <w:rFonts w:ascii="Arial" w:hAnsi="Arial"/>
          <w:color w:val="525252"/>
          <w:sz w:val="13"/>
        </w:rPr>
        <w:t>Sustainability requires dedicated resources and manpower to build enduring capabilities to enable a culture of engagement.</w:t>
      </w:r>
    </w:p>
    <w:p>
      <w:r>
        <w:br w:type="page"/>
      </w:r>
    </w:p>
    <w:p>
      <w:pPr>
        <w:spacing w:after="60"/>
        <w:jc w:val="right"/>
        <w:bidi/>
      </w:pPr>
      <w:r>
        <w:rPr>
          <w:rFonts w:ascii="Arial" w:hAnsi="Arial"/>
          <w:b/>
          <w:color w:val="1F4D78"/>
          <w:sz w:val="19"/>
        </w:rPr>
        <w:t>هفتهٔ 272  |  صفحهٔ منبع: 288</w:t>
      </w:r>
    </w:p>
    <w:p>
      <w:pPr>
        <w:spacing w:before="60" w:after="28"/>
        <w:jc w:val="right"/>
        <w:bidi/>
      </w:pPr>
      <w:r>
        <w:rPr>
          <w:b/>
          <w:color w:val="1F4D78"/>
          <w:sz w:val="18"/>
        </w:rPr>
        <w:t>بخش 15C-آمادگی برای برقراری ارتباط</w:t>
      </w:r>
    </w:p>
    <w:p>
      <w:pPr>
        <w:spacing w:after="20"/>
        <w:ind w:left="259"/>
        <w:jc w:val="left"/>
      </w:pPr>
      <w:r>
        <w:rPr>
          <w:color w:val="555555"/>
          <w:sz w:val="12"/>
        </w:rPr>
        <w:t>Section 15C—Preparing to Communicate</w:t>
      </w:r>
    </w:p>
    <w:p>
      <w:pPr>
        <w:spacing w:before="60" w:after="28"/>
        <w:jc w:val="right"/>
        <w:bidi/>
      </w:pPr>
      <w:r>
        <w:rPr>
          <w:b/>
          <w:color w:val="1F4D78"/>
          <w:sz w:val="18"/>
        </w:rPr>
        <w:t>15.13. نیت ارتباطی</w:t>
      </w:r>
    </w:p>
    <w:p>
      <w:pPr>
        <w:spacing w:after="20"/>
        <w:ind w:left="259"/>
        <w:jc w:val="left"/>
      </w:pPr>
      <w:r>
        <w:rPr>
          <w:color w:val="555555"/>
          <w:sz w:val="12"/>
        </w:rPr>
        <w:t>15.13. Communicating Intent</w:t>
      </w:r>
    </w:p>
    <w:p>
      <w:pPr>
        <w:spacing w:after="20" w:line="223" w:lineRule="auto"/>
        <w:jc w:val="right"/>
        <w:bidi/>
      </w:pPr>
      <w:r>
        <w:rPr>
          <w:rFonts w:ascii="Arial" w:hAnsi="Arial"/>
          <w:sz w:val="16"/>
        </w:rPr>
        <w:t>272.03  مانند بسیاری چیزها، ارتباط خوب نیاز به آمادگی دارد.</w:t>
      </w:r>
    </w:p>
    <w:p>
      <w:pPr>
        <w:spacing w:after="28" w:line="216" w:lineRule="auto"/>
        <w:ind w:left="259"/>
        <w:jc w:val="left"/>
      </w:pPr>
      <w:r>
        <w:rPr>
          <w:rFonts w:ascii="Arial" w:hAnsi="Arial"/>
          <w:color w:val="525252"/>
          <w:sz w:val="13"/>
        </w:rPr>
        <w:t>Like many things, good communication requires preparation.</w:t>
      </w:r>
    </w:p>
    <w:p>
      <w:pPr>
        <w:spacing w:after="20" w:line="223" w:lineRule="auto"/>
        <w:jc w:val="right"/>
        <w:bidi/>
      </w:pPr>
      <w:r>
        <w:rPr>
          <w:rFonts w:ascii="Arial" w:hAnsi="Arial"/>
          <w:sz w:val="16"/>
        </w:rPr>
        <w:t>272.04  آمادگی مهمترین جنبه و گاهی اوقات بهترین زمان صرف شده با توجه به ارتباط خوب است.</w:t>
      </w:r>
    </w:p>
    <w:p>
      <w:pPr>
        <w:spacing w:after="28" w:line="216" w:lineRule="auto"/>
        <w:ind w:left="259"/>
        <w:jc w:val="left"/>
      </w:pPr>
      <w:r>
        <w:rPr>
          <w:rFonts w:ascii="Arial" w:hAnsi="Arial"/>
          <w:color w:val="525252"/>
          <w:sz w:val="13"/>
        </w:rPr>
        <w:t>Preparation is the most important aspect, and sometimes the time best spent, with regard to good communication.</w:t>
      </w:r>
    </w:p>
    <w:p>
      <w:pPr>
        <w:spacing w:after="20" w:line="223" w:lineRule="auto"/>
        <w:jc w:val="right"/>
        <w:bidi/>
      </w:pPr>
      <w:r>
        <w:rPr>
          <w:rFonts w:ascii="Arial" w:hAnsi="Arial"/>
          <w:sz w:val="16"/>
        </w:rPr>
        <w:t>272.05  سخنرانان با آماده شدن، به مخاطبان نشان می‌دهند که برای زمان خود و همچنین موضوع مورد علاقه ارزش قائل هستند.</w:t>
      </w:r>
    </w:p>
    <w:p>
      <w:pPr>
        <w:spacing w:after="28" w:line="216" w:lineRule="auto"/>
        <w:ind w:left="259"/>
        <w:jc w:val="left"/>
      </w:pPr>
      <w:r>
        <w:rPr>
          <w:rFonts w:ascii="Arial" w:hAnsi="Arial"/>
          <w:color w:val="525252"/>
          <w:sz w:val="13"/>
        </w:rPr>
        <w:t>By being prepared, speakers show audiences that they value their time as well as the topic of interest.</w:t>
      </w:r>
    </w:p>
    <w:p>
      <w:pPr>
        <w:spacing w:after="20" w:line="223" w:lineRule="auto"/>
        <w:jc w:val="right"/>
        <w:bidi/>
      </w:pPr>
      <w:r>
        <w:rPr>
          <w:rFonts w:ascii="Arial" w:hAnsi="Arial"/>
          <w:sz w:val="16"/>
        </w:rPr>
        <w:t>272.06  آماده بودن، اعتماد به نفس سخنران و همچنین اعتبار او را هنگام برقراری پیام افزایش می‌دهد.</w:t>
      </w:r>
    </w:p>
    <w:p>
      <w:pPr>
        <w:spacing w:after="28" w:line="216" w:lineRule="auto"/>
        <w:ind w:left="259"/>
        <w:jc w:val="left"/>
      </w:pPr>
      <w:r>
        <w:rPr>
          <w:rFonts w:ascii="Arial" w:hAnsi="Arial"/>
          <w:color w:val="525252"/>
          <w:sz w:val="13"/>
        </w:rPr>
        <w:t>Being prepared enhances a speaker’s confidence as well as their credibility when communicating a message.</w:t>
      </w:r>
    </w:p>
    <w:p>
      <w:pPr>
        <w:spacing w:after="20" w:line="223" w:lineRule="auto"/>
        <w:jc w:val="right"/>
        <w:bidi/>
      </w:pPr>
      <w:r>
        <w:rPr>
          <w:rFonts w:ascii="Arial" w:hAnsi="Arial"/>
          <w:sz w:val="16"/>
        </w:rPr>
        <w:t>272.07  اعتماد به نفس عامل بزرگی در ارائه موفقیت آمیز پیام خواهد بود، همراه با جنبه‌های دیگری که در اینجا برای ایجاد مهارت‌های ارتباط گفتاری قوی پوشش داده شده است.</w:t>
      </w:r>
    </w:p>
    <w:p>
      <w:pPr>
        <w:spacing w:after="28" w:line="216" w:lineRule="auto"/>
        <w:ind w:left="259"/>
        <w:jc w:val="left"/>
      </w:pPr>
      <w:r>
        <w:rPr>
          <w:rFonts w:ascii="Arial" w:hAnsi="Arial"/>
          <w:color w:val="525252"/>
          <w:sz w:val="13"/>
        </w:rPr>
        <w:t>Confidence will be a great factor in successful delivery of the message, along with additional aspects covered here for establishing strong spoken communication skills.</w:t>
      </w:r>
    </w:p>
    <w:p>
      <w:pPr>
        <w:spacing w:after="20" w:line="223" w:lineRule="auto"/>
        <w:jc w:val="right"/>
        <w:bidi/>
      </w:pPr>
      <w:r>
        <w:rPr>
          <w:rFonts w:ascii="Arial" w:hAnsi="Arial"/>
          <w:sz w:val="16"/>
        </w:rPr>
        <w:t>272.08  موفقیت به‌عنوان یک رهبر نظامی مستلزم توانایی تفکر انتقادی و خلاقانه است.</w:t>
      </w:r>
    </w:p>
    <w:p>
      <w:pPr>
        <w:spacing w:after="28" w:line="216" w:lineRule="auto"/>
        <w:ind w:left="259"/>
        <w:jc w:val="left"/>
      </w:pPr>
      <w:r>
        <w:rPr>
          <w:rFonts w:ascii="Arial" w:hAnsi="Arial"/>
          <w:color w:val="525252"/>
          <w:sz w:val="13"/>
        </w:rPr>
        <w:t>Success as a military leader requires the ability to think critically and creatively.</w:t>
      </w:r>
    </w:p>
    <w:p>
      <w:pPr>
        <w:spacing w:after="20" w:line="223" w:lineRule="auto"/>
        <w:jc w:val="right"/>
        <w:bidi/>
      </w:pPr>
      <w:r>
        <w:rPr>
          <w:rFonts w:ascii="Arial" w:hAnsi="Arial"/>
          <w:sz w:val="16"/>
        </w:rPr>
        <w:t>272.09  همچنین بسیار مهم است که بتوانیم مقاصد و تصمیمات خود را به دیگران منتقل کنیم.</w:t>
      </w:r>
    </w:p>
    <w:p>
      <w:pPr>
        <w:spacing w:after="28" w:line="216" w:lineRule="auto"/>
        <w:ind w:left="259"/>
        <w:jc w:val="left"/>
      </w:pPr>
      <w:r>
        <w:rPr>
          <w:rFonts w:ascii="Arial" w:hAnsi="Arial"/>
          <w:color w:val="525252"/>
          <w:sz w:val="13"/>
        </w:rPr>
        <w:t>It is also crucial to be able to communicate intentions and decisions to others.</w:t>
      </w:r>
    </w:p>
    <w:p>
      <w:pPr>
        <w:spacing w:after="20" w:line="223" w:lineRule="auto"/>
        <w:jc w:val="right"/>
        <w:bidi/>
      </w:pPr>
      <w:r>
        <w:rPr>
          <w:rFonts w:ascii="Arial" w:hAnsi="Arial"/>
          <w:sz w:val="16"/>
        </w:rPr>
        <w:t>272.10  توانایی برقراری ارتباط واضح - نوشتن، صحبت کردن و گوش دادن فعال - به شدت بر ظرفیت اطلاع رسانی، آموزش، ایجاد انگیزه، راهنمایی و رهبری دیگران تأثیر می‌گذارد.</w:t>
      </w:r>
    </w:p>
    <w:p>
      <w:pPr>
        <w:spacing w:after="28" w:line="216" w:lineRule="auto"/>
        <w:ind w:left="259"/>
        <w:jc w:val="left"/>
      </w:pPr>
      <w:r>
        <w:rPr>
          <w:rFonts w:ascii="Arial" w:hAnsi="Arial"/>
          <w:color w:val="525252"/>
          <w:sz w:val="13"/>
        </w:rPr>
        <w:t>The ability to communicate clearly— to write, speak, and actively listen—greatly impacts the capacity to inform, teach, motivate, mentor, and lead others.</w:t>
      </w:r>
    </w:p>
    <w:p>
      <w:pPr>
        <w:spacing w:after="20" w:line="223" w:lineRule="auto"/>
        <w:jc w:val="right"/>
        <w:bidi/>
      </w:pPr>
      <w:r>
        <w:rPr>
          <w:rFonts w:ascii="Arial" w:hAnsi="Arial"/>
          <w:sz w:val="16"/>
        </w:rPr>
        <w:t>272.11  برقراری ارتباط با هدف و عقاید برای درک دیگران از پیام و عمل به آن یکی از ویژگی‌های اولیه رهبری است.</w:t>
      </w:r>
    </w:p>
    <w:p>
      <w:pPr>
        <w:spacing w:after="28" w:line="216" w:lineRule="auto"/>
        <w:ind w:left="259"/>
        <w:jc w:val="left"/>
      </w:pPr>
      <w:r>
        <w:rPr>
          <w:rFonts w:ascii="Arial" w:hAnsi="Arial"/>
          <w:color w:val="525252"/>
          <w:sz w:val="13"/>
        </w:rPr>
        <w:t>Communicating intent and ideas so others understand the message and act on it is one of the primary qualities of leadership.</w:t>
      </w:r>
    </w:p>
    <w:p>
      <w:pPr>
        <w:spacing w:before="60" w:after="28"/>
        <w:jc w:val="right"/>
        <w:bidi/>
      </w:pPr>
      <w:r>
        <w:rPr>
          <w:b/>
          <w:color w:val="1F4D78"/>
          <w:sz w:val="18"/>
        </w:rPr>
        <w:t>15.14. اصول ارتباط موثر</w:t>
      </w:r>
    </w:p>
    <w:p>
      <w:pPr>
        <w:spacing w:after="20"/>
        <w:ind w:left="259"/>
        <w:jc w:val="left"/>
      </w:pPr>
      <w:r>
        <w:rPr>
          <w:color w:val="555555"/>
          <w:sz w:val="12"/>
        </w:rPr>
        <w:t>15.14. Principles of Effective Communication</w:t>
      </w:r>
    </w:p>
    <w:p>
      <w:pPr>
        <w:spacing w:after="20" w:line="223" w:lineRule="auto"/>
        <w:jc w:val="right"/>
        <w:bidi/>
      </w:pPr>
      <w:r>
        <w:rPr>
          <w:rFonts w:ascii="Arial" w:hAnsi="Arial"/>
          <w:sz w:val="16"/>
        </w:rPr>
        <w:t>272.13  ارتباط مستلزم ترکیبی از کیفیت و کمیت مناسب به اشتراک گذاری اطلاعات است.</w:t>
      </w:r>
    </w:p>
    <w:p>
      <w:pPr>
        <w:spacing w:after="28" w:line="216" w:lineRule="auto"/>
        <w:ind w:left="259"/>
        <w:jc w:val="left"/>
      </w:pPr>
      <w:r>
        <w:rPr>
          <w:rFonts w:ascii="Arial" w:hAnsi="Arial"/>
          <w:color w:val="525252"/>
          <w:sz w:val="13"/>
        </w:rPr>
        <w:t>Communication requires a combination of the appropriate quality and quantity of information sharing.</w:t>
      </w:r>
    </w:p>
    <w:p>
      <w:pPr>
        <w:spacing w:after="20" w:line="223" w:lineRule="auto"/>
        <w:jc w:val="right"/>
        <w:bidi/>
      </w:pPr>
      <w:r>
        <w:rPr>
          <w:rFonts w:ascii="Arial" w:hAnsi="Arial"/>
          <w:sz w:val="16"/>
        </w:rPr>
        <w:t>272.14  در حالی که ارتباطات را می‌توان به سه بخش تقسیم کرد: فرستنده، پیام و مخاطب، برای موفقیت در ارتباط، مخاطب نه تنها باید پیام را دریافت کند، بلکه باید پیام را به گونه‌ای که فرستنده قصد دارد تفسیر کند.</w:t>
      </w:r>
    </w:p>
    <w:p>
      <w:pPr>
        <w:spacing w:after="28" w:line="216" w:lineRule="auto"/>
        <w:ind w:left="259"/>
        <w:jc w:val="left"/>
      </w:pPr>
      <w:r>
        <w:rPr>
          <w:rFonts w:ascii="Arial" w:hAnsi="Arial"/>
          <w:color w:val="525252"/>
          <w:sz w:val="13"/>
        </w:rPr>
        <w:t>While communication can be broken into three parts: the sender, the message, and the audience, for communication to be successful the audience must not only receive the message, but they must interpret the message the way the sender intended.</w:t>
      </w:r>
    </w:p>
    <w:p>
      <w:pPr>
        <w:spacing w:after="20" w:line="223" w:lineRule="auto"/>
        <w:jc w:val="right"/>
        <w:bidi/>
      </w:pPr>
      <w:r>
        <w:rPr>
          <w:rFonts w:ascii="Arial" w:hAnsi="Arial"/>
          <w:sz w:val="16"/>
        </w:rPr>
        <w:t>272.15  این بخش به پنج اصل اصلی ارتباط می‌پردازد: متمرکز، سازماندهی شده، واضح، درک و پشتیبانی (FOCUS).</w:t>
      </w:r>
    </w:p>
    <w:p>
      <w:pPr>
        <w:spacing w:after="28" w:line="216" w:lineRule="auto"/>
        <w:ind w:left="259"/>
        <w:jc w:val="left"/>
      </w:pPr>
      <w:r>
        <w:rPr>
          <w:rFonts w:ascii="Arial" w:hAnsi="Arial"/>
          <w:color w:val="525252"/>
          <w:sz w:val="13"/>
        </w:rPr>
        <w:t>This section addresses five core principles of communication: focused, organized, clear, understanding, and supported (FOCUS).</w:t>
      </w:r>
    </w:p>
    <w:p>
      <w:pPr>
        <w:spacing w:after="20" w:line="223" w:lineRule="auto"/>
        <w:jc w:val="right"/>
        <w:bidi/>
      </w:pPr>
      <w:r>
        <w:rPr>
          <w:rFonts w:ascii="Arial" w:hAnsi="Arial"/>
          <w:sz w:val="16"/>
        </w:rPr>
        <w:t>272.16  متمرکز.</w:t>
      </w:r>
    </w:p>
    <w:p>
      <w:pPr>
        <w:spacing w:after="28" w:line="216" w:lineRule="auto"/>
        <w:ind w:left="259"/>
        <w:jc w:val="left"/>
      </w:pPr>
      <w:r>
        <w:rPr>
          <w:rFonts w:ascii="Arial" w:hAnsi="Arial"/>
          <w:color w:val="525252"/>
          <w:sz w:val="13"/>
        </w:rPr>
        <w:t>Focused.</w:t>
      </w:r>
    </w:p>
    <w:p>
      <w:pPr>
        <w:spacing w:after="20" w:line="223" w:lineRule="auto"/>
        <w:jc w:val="right"/>
        <w:bidi/>
      </w:pPr>
      <w:r>
        <w:rPr>
          <w:rFonts w:ascii="Arial" w:hAnsi="Arial"/>
          <w:sz w:val="16"/>
        </w:rPr>
        <w:t>272.17  متمرکز بودن یعنی فهمیدن موضوع، در نظر گرفتن همه جوانب موضوع و دور نشدن از موضوع.</w:t>
      </w:r>
    </w:p>
    <w:p>
      <w:pPr>
        <w:spacing w:after="28" w:line="216" w:lineRule="auto"/>
        <w:ind w:left="259"/>
        <w:jc w:val="left"/>
      </w:pPr>
      <w:r>
        <w:rPr>
          <w:rFonts w:ascii="Arial" w:hAnsi="Arial"/>
          <w:color w:val="525252"/>
          <w:sz w:val="13"/>
        </w:rPr>
        <w:t>Being focused means understanding what the issue is, considering all aspects of the issue, and not straying from the issue.</w:t>
      </w:r>
    </w:p>
    <w:p>
      <w:pPr>
        <w:spacing w:after="20" w:line="223" w:lineRule="auto"/>
        <w:jc w:val="right"/>
        <w:bidi/>
      </w:pPr>
      <w:r>
        <w:rPr>
          <w:rFonts w:ascii="Arial" w:hAnsi="Arial"/>
          <w:sz w:val="16"/>
        </w:rPr>
        <w:t>272.18  به مسئله، کل مسئله و هیچ چیز جز این موضوع رسیدگی کنید.</w:t>
      </w:r>
    </w:p>
    <w:p>
      <w:pPr>
        <w:spacing w:after="28" w:line="216" w:lineRule="auto"/>
        <w:ind w:left="259"/>
        <w:jc w:val="left"/>
      </w:pPr>
      <w:r>
        <w:rPr>
          <w:rFonts w:ascii="Arial" w:hAnsi="Arial"/>
          <w:color w:val="525252"/>
          <w:sz w:val="13"/>
        </w:rPr>
        <w:t>Address the issue, the whole issue, and nothing but the issue.</w:t>
      </w:r>
    </w:p>
    <w:p>
      <w:pPr>
        <w:spacing w:after="20" w:line="223" w:lineRule="auto"/>
        <w:jc w:val="right"/>
        <w:bidi/>
      </w:pPr>
      <w:r>
        <w:rPr>
          <w:rFonts w:ascii="Arial" w:hAnsi="Arial"/>
          <w:sz w:val="16"/>
        </w:rPr>
        <w:t>272.19  سازماندهی شده.</w:t>
      </w:r>
    </w:p>
    <w:p>
      <w:pPr>
        <w:spacing w:after="28" w:line="216" w:lineRule="auto"/>
        <w:ind w:left="259"/>
        <w:jc w:val="left"/>
      </w:pPr>
      <w:r>
        <w:rPr>
          <w:rFonts w:ascii="Arial" w:hAnsi="Arial"/>
          <w:color w:val="525252"/>
          <w:sz w:val="13"/>
        </w:rPr>
        <w:t>Organized.</w:t>
      </w:r>
    </w:p>
    <w:p>
      <w:pPr>
        <w:spacing w:after="20" w:line="223" w:lineRule="auto"/>
        <w:jc w:val="right"/>
        <w:bidi/>
      </w:pPr>
      <w:r>
        <w:rPr>
          <w:rFonts w:ascii="Arial" w:hAnsi="Arial"/>
          <w:sz w:val="16"/>
        </w:rPr>
        <w:t>272.20  سازماندهی خوب یعنی ارائه اطلاعات به شیوه‌ای منطقی و منظم.</w:t>
      </w:r>
    </w:p>
    <w:p>
      <w:pPr>
        <w:spacing w:after="28" w:line="216" w:lineRule="auto"/>
        <w:ind w:left="259"/>
        <w:jc w:val="left"/>
      </w:pPr>
      <w:r>
        <w:rPr>
          <w:rFonts w:ascii="Arial" w:hAnsi="Arial"/>
          <w:color w:val="525252"/>
          <w:sz w:val="13"/>
        </w:rPr>
        <w:t>Good organization means presenting information in a logical, systematic manner.</w:t>
      </w:r>
    </w:p>
    <w:p>
      <w:pPr>
        <w:spacing w:after="20" w:line="223" w:lineRule="auto"/>
        <w:jc w:val="right"/>
        <w:bidi/>
      </w:pPr>
      <w:r>
        <w:rPr>
          <w:rFonts w:ascii="Arial" w:hAnsi="Arial"/>
          <w:sz w:val="16"/>
        </w:rPr>
        <w:t>272.21  وقتی اطلاعات به خوبی سازماندهی نشده باشد، مخاطبان ممکن است گیج، بی حوصله یا بی توجه شوند.</w:t>
      </w:r>
    </w:p>
    <w:p>
      <w:pPr>
        <w:spacing w:after="28" w:line="216" w:lineRule="auto"/>
        <w:ind w:left="259"/>
        <w:jc w:val="left"/>
      </w:pPr>
      <w:r>
        <w:rPr>
          <w:rFonts w:ascii="Arial" w:hAnsi="Arial"/>
          <w:color w:val="525252"/>
          <w:sz w:val="13"/>
        </w:rPr>
        <w:t>When information is not well organized, audiences may become confused, impatient, or inattentive.</w:t>
      </w:r>
    </w:p>
    <w:p>
      <w:pPr>
        <w:spacing w:after="20" w:line="223" w:lineRule="auto"/>
        <w:jc w:val="right"/>
        <w:bidi/>
      </w:pPr>
      <w:r>
        <w:rPr>
          <w:rFonts w:ascii="Arial" w:hAnsi="Arial"/>
          <w:sz w:val="16"/>
        </w:rPr>
        <w:t>272.22  حتی اگر اطلاعات مفید و مرتبطی ارائه می‌دهید، اهمیت پیام شما ممکن است برای مخاطبان از بین برود.</w:t>
      </w:r>
    </w:p>
    <w:p>
      <w:pPr>
        <w:spacing w:after="28" w:line="216" w:lineRule="auto"/>
        <w:ind w:left="259"/>
        <w:jc w:val="left"/>
      </w:pPr>
      <w:r>
        <w:rPr>
          <w:rFonts w:ascii="Arial" w:hAnsi="Arial"/>
          <w:color w:val="525252"/>
          <w:sz w:val="13"/>
        </w:rPr>
        <w:t>Even if you are providing useful, relevant information, the importance of your message may be lost to the audience if it is disorganized.</w:t>
      </w:r>
    </w:p>
    <w:p>
      <w:pPr>
        <w:spacing w:after="20" w:line="223" w:lineRule="auto"/>
        <w:jc w:val="right"/>
        <w:bidi/>
      </w:pPr>
      <w:r>
        <w:rPr>
          <w:rFonts w:ascii="Arial" w:hAnsi="Arial"/>
          <w:sz w:val="16"/>
        </w:rPr>
        <w:t>272.23  روشن.</w:t>
      </w:r>
    </w:p>
    <w:p>
      <w:pPr>
        <w:spacing w:after="28" w:line="216" w:lineRule="auto"/>
        <w:ind w:left="259"/>
        <w:jc w:val="left"/>
      </w:pPr>
      <w:r>
        <w:rPr>
          <w:rFonts w:ascii="Arial" w:hAnsi="Arial"/>
          <w:color w:val="525252"/>
          <w:sz w:val="13"/>
        </w:rPr>
        <w:t>Clear.</w:t>
      </w:r>
    </w:p>
    <w:p>
      <w:pPr>
        <w:spacing w:after="20" w:line="223" w:lineRule="auto"/>
        <w:jc w:val="right"/>
        <w:bidi/>
      </w:pPr>
      <w:r>
        <w:rPr>
          <w:rFonts w:ascii="Arial" w:hAnsi="Arial"/>
          <w:sz w:val="16"/>
        </w:rPr>
        <w:t>272.24  با وضوح ارتباط برقرار کنید و هر کلمه را حساب کنید.</w:t>
      </w:r>
    </w:p>
    <w:p>
      <w:pPr>
        <w:spacing w:after="28" w:line="216" w:lineRule="auto"/>
        <w:ind w:left="259"/>
        <w:jc w:val="left"/>
      </w:pPr>
      <w:r>
        <w:rPr>
          <w:rFonts w:ascii="Arial" w:hAnsi="Arial"/>
          <w:color w:val="525252"/>
          <w:sz w:val="13"/>
        </w:rPr>
        <w:t>Communicate with clarity and make each word count.</w:t>
      </w:r>
    </w:p>
    <w:p>
      <w:pPr>
        <w:spacing w:after="20" w:line="223" w:lineRule="auto"/>
        <w:jc w:val="right"/>
        <w:bidi/>
      </w:pPr>
      <w:r>
        <w:rPr>
          <w:rFonts w:ascii="Arial" w:hAnsi="Arial"/>
          <w:sz w:val="16"/>
        </w:rPr>
        <w:t>272.25  ارتباط واضح زمانی اتفاق می‌افتد که فرستنده بتواند پیام را به درستی برای مخاطب بیان و فرموله کند.</w:t>
      </w:r>
    </w:p>
    <w:p>
      <w:pPr>
        <w:spacing w:after="28" w:line="216" w:lineRule="auto"/>
        <w:ind w:left="259"/>
        <w:jc w:val="left"/>
      </w:pPr>
      <w:r>
        <w:rPr>
          <w:rFonts w:ascii="Arial" w:hAnsi="Arial"/>
          <w:color w:val="525252"/>
          <w:sz w:val="13"/>
        </w:rPr>
        <w:t>Clear communication occurs when the sender is able to properly articulate and formulate the message to the audience.</w:t>
      </w:r>
    </w:p>
    <w:p>
      <w:pPr>
        <w:spacing w:after="20" w:line="223" w:lineRule="auto"/>
        <w:jc w:val="right"/>
        <w:bidi/>
      </w:pPr>
      <w:r>
        <w:rPr>
          <w:rFonts w:ascii="Arial" w:hAnsi="Arial"/>
          <w:sz w:val="16"/>
        </w:rPr>
        <w:t>272.26  برای برقراری ارتباط واضح، حتما تلفظ صحیح کلمات و نحوه جمع‌آوری و نقطه گذاری جملات را درک کنید.</w:t>
      </w:r>
    </w:p>
    <w:p>
      <w:pPr>
        <w:spacing w:after="28" w:line="216" w:lineRule="auto"/>
        <w:ind w:left="259"/>
        <w:jc w:val="left"/>
      </w:pPr>
      <w:r>
        <w:rPr>
          <w:rFonts w:ascii="Arial" w:hAnsi="Arial"/>
          <w:color w:val="525252"/>
          <w:sz w:val="13"/>
        </w:rPr>
        <w:t>To communicate clearly, be sure to understand the proper pronunciation of words and how to assemble and punctuate sentences.</w:t>
      </w:r>
    </w:p>
    <w:p>
      <w:pPr>
        <w:spacing w:after="20" w:line="223" w:lineRule="auto"/>
        <w:jc w:val="right"/>
        <w:bidi/>
      </w:pPr>
      <w:r>
        <w:rPr>
          <w:rFonts w:ascii="Arial" w:hAnsi="Arial"/>
          <w:sz w:val="16"/>
        </w:rPr>
        <w:t>272.27  همچنین، ارتباط واضح اغلب مستلزم رسیدن به نقطه است.</w:t>
      </w:r>
    </w:p>
    <w:p>
      <w:pPr>
        <w:spacing w:after="28" w:line="216" w:lineRule="auto"/>
        <w:ind w:left="259"/>
        <w:jc w:val="left"/>
      </w:pPr>
      <w:r>
        <w:rPr>
          <w:rFonts w:ascii="Arial" w:hAnsi="Arial"/>
          <w:color w:val="525252"/>
          <w:sz w:val="13"/>
        </w:rPr>
        <w:t>Also, clear communication often requires getting to the point.</w:t>
      </w:r>
    </w:p>
    <w:p>
      <w:pPr>
        <w:spacing w:after="20" w:line="223" w:lineRule="auto"/>
        <w:jc w:val="right"/>
        <w:bidi/>
      </w:pPr>
      <w:r>
        <w:rPr>
          <w:rFonts w:ascii="Arial" w:hAnsi="Arial"/>
          <w:sz w:val="16"/>
        </w:rPr>
        <w:t>272.28  درک.</w:t>
      </w:r>
    </w:p>
    <w:p>
      <w:pPr>
        <w:spacing w:after="28" w:line="216" w:lineRule="auto"/>
        <w:ind w:left="259"/>
        <w:jc w:val="left"/>
      </w:pPr>
      <w:r>
        <w:rPr>
          <w:rFonts w:ascii="Arial" w:hAnsi="Arial"/>
          <w:color w:val="525252"/>
          <w:sz w:val="13"/>
        </w:rPr>
        <w:t>Understanding.</w:t>
      </w:r>
    </w:p>
    <w:p>
      <w:pPr>
        <w:spacing w:after="20" w:line="223" w:lineRule="auto"/>
        <w:jc w:val="right"/>
        <w:bidi/>
      </w:pPr>
      <w:r>
        <w:rPr>
          <w:rFonts w:ascii="Arial" w:hAnsi="Arial"/>
          <w:sz w:val="16"/>
        </w:rPr>
        <w:t>272.29  مخاطب و انتظاراتش را درک کنید.</w:t>
      </w:r>
    </w:p>
    <w:p>
      <w:pPr>
        <w:spacing w:after="28" w:line="216" w:lineRule="auto"/>
        <w:ind w:left="259"/>
        <w:jc w:val="left"/>
      </w:pPr>
      <w:r>
        <w:rPr>
          <w:rFonts w:ascii="Arial" w:hAnsi="Arial"/>
          <w:color w:val="525252"/>
          <w:sz w:val="13"/>
        </w:rPr>
        <w:t>Understand your audience and its expectations.</w:t>
      </w:r>
    </w:p>
    <w:p>
      <w:pPr>
        <w:spacing w:after="20" w:line="223" w:lineRule="auto"/>
        <w:jc w:val="right"/>
        <w:bidi/>
      </w:pPr>
      <w:r>
        <w:rPr>
          <w:rFonts w:ascii="Arial" w:hAnsi="Arial"/>
          <w:sz w:val="16"/>
        </w:rPr>
        <w:t>272.30  درک دانش، دیدگاه‌ها و سطح علاقه کنونی مخاطبان در مورد یک موضوع، در به اشتراک گذاشتن ایده‌ها با دیگران کمک می‌کند.</w:t>
      </w:r>
    </w:p>
    <w:p>
      <w:pPr>
        <w:spacing w:after="28" w:line="216" w:lineRule="auto"/>
        <w:ind w:left="259"/>
        <w:jc w:val="left"/>
      </w:pPr>
      <w:r>
        <w:rPr>
          <w:rFonts w:ascii="Arial" w:hAnsi="Arial"/>
          <w:color w:val="525252"/>
          <w:sz w:val="13"/>
        </w:rPr>
        <w:t>Understanding the audience’s current knowledge, views, and level of interest regarding a topic helps when sharing ideas with others.</w:t>
      </w:r>
    </w:p>
    <w:p>
      <w:pPr>
        <w:spacing w:after="20" w:line="223" w:lineRule="auto"/>
        <w:jc w:val="right"/>
        <w:bidi/>
      </w:pPr>
      <w:r>
        <w:rPr>
          <w:rFonts w:ascii="Arial" w:hAnsi="Arial"/>
          <w:sz w:val="16"/>
        </w:rPr>
        <w:t>272.31  درک انتظارات از فرمت و طول پاسخ، تاریخ سررسید، سطح رسمیت، و هرگونه نیاز کارکنان در پاسخ به درخواست اطلاعات کمک می‌کند.</w:t>
      </w:r>
    </w:p>
    <w:p>
      <w:pPr>
        <w:spacing w:after="28" w:line="216" w:lineRule="auto"/>
        <w:ind w:left="259"/>
        <w:jc w:val="left"/>
      </w:pPr>
      <w:r>
        <w:rPr>
          <w:rFonts w:ascii="Arial" w:hAnsi="Arial"/>
          <w:color w:val="525252"/>
          <w:sz w:val="13"/>
        </w:rPr>
        <w:t>Understanding expectations of format and length of response, due date, level of formality, and any staffing requirements helps when responding to a request for information.</w:t>
      </w:r>
    </w:p>
    <w:p>
      <w:pPr>
        <w:spacing w:after="20" w:line="223" w:lineRule="auto"/>
        <w:jc w:val="right"/>
        <w:bidi/>
      </w:pPr>
      <w:r>
        <w:rPr>
          <w:rFonts w:ascii="Arial" w:hAnsi="Arial"/>
          <w:sz w:val="16"/>
        </w:rPr>
        <w:t>272.32  پشتیبانی می‌شود.</w:t>
      </w:r>
    </w:p>
    <w:p>
      <w:pPr>
        <w:spacing w:after="28" w:line="216" w:lineRule="auto"/>
        <w:ind w:left="259"/>
        <w:jc w:val="left"/>
      </w:pPr>
      <w:r>
        <w:rPr>
          <w:rFonts w:ascii="Arial" w:hAnsi="Arial"/>
          <w:color w:val="525252"/>
          <w:sz w:val="13"/>
        </w:rPr>
        <w:t>Supported.</w:t>
      </w:r>
    </w:p>
    <w:p>
      <w:pPr>
        <w:spacing w:after="20" w:line="223" w:lineRule="auto"/>
        <w:jc w:val="right"/>
        <w:bidi/>
      </w:pPr>
      <w:r>
        <w:rPr>
          <w:rFonts w:ascii="Arial" w:hAnsi="Arial"/>
          <w:sz w:val="16"/>
        </w:rPr>
        <w:t>272.33  حتما از ارتباط خود با اطلاعاتی حمایت کنید که موضع شما را ثابت می‌کند اما مخاطب را وادار نمی‌کند که پیام شما را زیر سوال ببرد.</w:t>
      </w:r>
    </w:p>
    <w:p>
      <w:pPr>
        <w:spacing w:after="28" w:line="216" w:lineRule="auto"/>
        <w:ind w:left="259"/>
        <w:jc w:val="left"/>
      </w:pPr>
      <w:r>
        <w:rPr>
          <w:rFonts w:ascii="Arial" w:hAnsi="Arial"/>
          <w:color w:val="525252"/>
          <w:sz w:val="13"/>
        </w:rPr>
        <w:t>Be sure to support your communication with information that substantiates your position but does not bring the audience to question your message.</w:t>
      </w:r>
    </w:p>
    <w:p>
      <w:pPr>
        <w:spacing w:after="20" w:line="223" w:lineRule="auto"/>
        <w:jc w:val="right"/>
        <w:bidi/>
      </w:pPr>
      <w:r>
        <w:rPr>
          <w:rFonts w:ascii="Arial" w:hAnsi="Arial"/>
          <w:sz w:val="16"/>
        </w:rPr>
        <w:t>272.34  هیچ چیز سریعتر از داده‌های ضمنی یا استدلال تحریف شده، یک کاغذ واضح نوشته شده و با نقطه‌گذاری مناسب را فلج نمی‌کند.</w:t>
      </w:r>
    </w:p>
    <w:p>
      <w:pPr>
        <w:spacing w:after="28" w:line="216" w:lineRule="auto"/>
        <w:ind w:left="259"/>
        <w:jc w:val="left"/>
      </w:pPr>
      <w:r>
        <w:rPr>
          <w:rFonts w:ascii="Arial" w:hAnsi="Arial"/>
          <w:color w:val="525252"/>
          <w:sz w:val="13"/>
        </w:rPr>
        <w:t>Nothing cripples a clearly written, properly punctuated paper quicker than implied data or a distorted argument.</w:t>
      </w:r>
    </w:p>
    <w:p>
      <w:pPr>
        <w:spacing w:after="20" w:line="223" w:lineRule="auto"/>
        <w:jc w:val="right"/>
        <w:bidi/>
      </w:pPr>
      <w:r>
        <w:rPr>
          <w:rFonts w:ascii="Arial" w:hAnsi="Arial"/>
          <w:sz w:val="16"/>
        </w:rPr>
        <w:t>272.35  برای ایجاد اعتبار و اعتماد در بین مخاطبان باید از پشتیبانی و منطق استفاده کرد.</w:t>
      </w:r>
    </w:p>
    <w:p>
      <w:pPr>
        <w:spacing w:after="28" w:line="216" w:lineRule="auto"/>
        <w:ind w:left="259"/>
        <w:jc w:val="left"/>
      </w:pPr>
      <w:r>
        <w:rPr>
          <w:rFonts w:ascii="Arial" w:hAnsi="Arial"/>
          <w:color w:val="525252"/>
          <w:sz w:val="13"/>
        </w:rPr>
        <w:t>Support and logic should be used to build credibility and trust with your audience.</w:t>
      </w:r>
    </w:p>
    <w:p>
      <w:pPr>
        <w:spacing w:before="60" w:after="28"/>
        <w:jc w:val="right"/>
        <w:bidi/>
      </w:pPr>
      <w:r>
        <w:rPr>
          <w:b/>
          <w:color w:val="1F4D78"/>
          <w:sz w:val="18"/>
        </w:rPr>
        <w:t>15.15. هفت گام برای برقراری ارتباط موثر</w:t>
      </w:r>
    </w:p>
    <w:p>
      <w:pPr>
        <w:spacing w:after="20"/>
        <w:ind w:left="259"/>
        <w:jc w:val="left"/>
      </w:pPr>
      <w:r>
        <w:rPr>
          <w:color w:val="555555"/>
          <w:sz w:val="12"/>
        </w:rPr>
        <w:t>15.15. Seven Steps for Effective Communication</w:t>
      </w:r>
    </w:p>
    <w:p>
      <w:pPr>
        <w:spacing w:after="20" w:line="223" w:lineRule="auto"/>
        <w:jc w:val="right"/>
        <w:bidi/>
      </w:pPr>
      <w:r>
        <w:rPr>
          <w:rFonts w:ascii="Arial" w:hAnsi="Arial"/>
          <w:sz w:val="16"/>
        </w:rPr>
        <w:t>272.37  همانطور که در DAFH ۳۳-۳۳۷ نشان داده شده است، هفت مرحله برای برقراری ارتباط مؤثر برای مهارت‌های گفتاری و نوشتاری خوب اساسی است.</w:t>
      </w:r>
    </w:p>
    <w:p>
      <w:pPr>
        <w:spacing w:after="28" w:line="216" w:lineRule="auto"/>
        <w:ind w:left="259"/>
        <w:jc w:val="left"/>
      </w:pPr>
      <w:r>
        <w:rPr>
          <w:rFonts w:ascii="Arial" w:hAnsi="Arial"/>
          <w:color w:val="525252"/>
          <w:sz w:val="13"/>
        </w:rPr>
        <w:t>As indicated in DAFH 33-337, the seven steps for effective communication are fundamental to good speaking and writing skills.</w:t>
      </w:r>
    </w:p>
    <w:p>
      <w:pPr>
        <w:spacing w:after="20" w:line="223" w:lineRule="auto"/>
        <w:jc w:val="right"/>
        <w:bidi/>
      </w:pPr>
      <w:r>
        <w:rPr>
          <w:rFonts w:ascii="Arial" w:hAnsi="Arial"/>
          <w:sz w:val="16"/>
        </w:rPr>
        <w:t>272.38  چهار مرحله اول زمینه را برای فرآیند تهیه پیش نویس فراهم می‌کند</w:t>
      </w:r>
    </w:p>
    <w:p>
      <w:pPr>
        <w:spacing w:after="28" w:line="216" w:lineRule="auto"/>
        <w:ind w:left="259"/>
        <w:jc w:val="left"/>
      </w:pPr>
      <w:r>
        <w:rPr>
          <w:rFonts w:ascii="Arial" w:hAnsi="Arial"/>
          <w:color w:val="525252"/>
          <w:sz w:val="13"/>
        </w:rPr>
        <w:t>The first four steps lay the groundwork for the drafting process</w:t>
      </w:r>
    </w:p>
    <w:p>
      <w:r>
        <w:br w:type="page"/>
      </w:r>
    </w:p>
    <w:p>
      <w:pPr>
        <w:spacing w:after="60"/>
        <w:jc w:val="right"/>
        <w:bidi/>
      </w:pPr>
      <w:r>
        <w:rPr>
          <w:rFonts w:ascii="Arial" w:hAnsi="Arial"/>
          <w:b/>
          <w:color w:val="1F4D78"/>
          <w:sz w:val="19"/>
        </w:rPr>
        <w:t>هفتهٔ 273  |  صفحهٔ منبع: 289</w:t>
      </w:r>
    </w:p>
    <w:p>
      <w:pPr>
        <w:spacing w:after="20" w:line="223" w:lineRule="auto"/>
        <w:jc w:val="right"/>
        <w:bidi/>
      </w:pPr>
      <w:r>
        <w:rPr>
          <w:rFonts w:ascii="Arial" w:hAnsi="Arial"/>
          <w:sz w:val="16"/>
        </w:rPr>
        <w:t>273.01  ارتباط مؤثر، مراحل پنجم تا هفتم جایی است که ارتباط به شکل یک پیام خوب آماده شده است.</w:t>
      </w:r>
    </w:p>
    <w:p>
      <w:pPr>
        <w:spacing w:after="28" w:line="216" w:lineRule="auto"/>
        <w:ind w:left="259"/>
        <w:jc w:val="left"/>
      </w:pPr>
      <w:r>
        <w:rPr>
          <w:rFonts w:ascii="Arial" w:hAnsi="Arial"/>
          <w:color w:val="525252"/>
          <w:sz w:val="13"/>
        </w:rPr>
        <w:t>of effective communication, steps five through seven are where the communication takes the form of a well-prepared message.</w:t>
      </w:r>
    </w:p>
    <w:p>
      <w:pPr>
        <w:spacing w:after="20" w:line="223" w:lineRule="auto"/>
        <w:jc w:val="right"/>
        <w:bidi/>
      </w:pPr>
      <w:r>
        <w:rPr>
          <w:rFonts w:ascii="Arial" w:hAnsi="Arial"/>
          <w:sz w:val="16"/>
        </w:rPr>
        <w:t>273.02  هفت گام برای برقراری ارتباط مؤثر و توضیح مختصری در مورد آنچه مستلزم آن است در اینجا ارائه شده است.</w:t>
      </w:r>
    </w:p>
    <w:p>
      <w:pPr>
        <w:spacing w:after="28" w:line="216" w:lineRule="auto"/>
        <w:ind w:left="259"/>
        <w:jc w:val="left"/>
      </w:pPr>
      <w:r>
        <w:rPr>
          <w:rFonts w:ascii="Arial" w:hAnsi="Arial"/>
          <w:color w:val="525252"/>
          <w:sz w:val="13"/>
        </w:rPr>
        <w:t>The seven steps for effective communication and a brief explanation of what they entail are provided here.</w:t>
      </w:r>
    </w:p>
    <w:p>
      <w:pPr>
        <w:spacing w:after="20" w:line="223" w:lineRule="auto"/>
        <w:jc w:val="right"/>
        <w:bidi/>
      </w:pPr>
      <w:r>
        <w:rPr>
          <w:rFonts w:ascii="Arial" w:hAnsi="Arial"/>
          <w:sz w:val="16"/>
        </w:rPr>
        <w:t>273.03  هدف و مخاطب را تجزیه و تحلیل کنید.</w:t>
      </w:r>
    </w:p>
    <w:p>
      <w:pPr>
        <w:spacing w:after="28" w:line="216" w:lineRule="auto"/>
        <w:ind w:left="259"/>
        <w:jc w:val="left"/>
      </w:pPr>
      <w:r>
        <w:rPr>
          <w:rFonts w:ascii="Arial" w:hAnsi="Arial"/>
          <w:color w:val="525252"/>
          <w:sz w:val="13"/>
        </w:rPr>
        <w:t>Analyze Purpose and Audience.</w:t>
      </w:r>
    </w:p>
    <w:p>
      <w:pPr>
        <w:spacing w:after="20" w:line="223" w:lineRule="auto"/>
        <w:jc w:val="right"/>
        <w:bidi/>
      </w:pPr>
      <w:r>
        <w:rPr>
          <w:rFonts w:ascii="Arial" w:hAnsi="Arial"/>
          <w:sz w:val="16"/>
        </w:rPr>
        <w:t>273.04  هنگام آماده شدن برای برقراری ارتباط پیام خود، هدف خود را روشن کنید و مخاطبان خود را بشناسید و درک کنید.</w:t>
      </w:r>
    </w:p>
    <w:p>
      <w:pPr>
        <w:spacing w:after="28" w:line="216" w:lineRule="auto"/>
        <w:ind w:left="259"/>
        <w:jc w:val="left"/>
      </w:pPr>
      <w:r>
        <w:rPr>
          <w:rFonts w:ascii="Arial" w:hAnsi="Arial"/>
          <w:color w:val="525252"/>
          <w:sz w:val="13"/>
        </w:rPr>
        <w:t>Be clear on your purpose and know and understand your audience when preparing to communicate your message.</w:t>
      </w:r>
    </w:p>
    <w:p>
      <w:pPr>
        <w:spacing w:after="20" w:line="223" w:lineRule="auto"/>
        <w:jc w:val="right"/>
        <w:bidi/>
      </w:pPr>
      <w:r>
        <w:rPr>
          <w:rFonts w:ascii="Arial" w:hAnsi="Arial"/>
          <w:sz w:val="16"/>
        </w:rPr>
        <w:t>273.05  این اغلب با تعیین اینکه پیام شما چیست و چرا آن را به مخاطبان خود منتقل می‌کنید، انجام می‌شود.</w:t>
      </w:r>
    </w:p>
    <w:p>
      <w:pPr>
        <w:spacing w:after="28" w:line="216" w:lineRule="auto"/>
        <w:ind w:left="259"/>
        <w:jc w:val="left"/>
      </w:pPr>
      <w:r>
        <w:rPr>
          <w:rFonts w:ascii="Arial" w:hAnsi="Arial"/>
          <w:color w:val="525252"/>
          <w:sz w:val="13"/>
        </w:rPr>
        <w:t>This is often accomplished by determining what your message is and why you are communicating it to your audience.</w:t>
      </w:r>
    </w:p>
    <w:p>
      <w:pPr>
        <w:spacing w:after="20" w:line="223" w:lineRule="auto"/>
        <w:jc w:val="right"/>
        <w:bidi/>
      </w:pPr>
      <w:r>
        <w:rPr>
          <w:rFonts w:ascii="Arial" w:hAnsi="Arial"/>
          <w:sz w:val="16"/>
        </w:rPr>
        <w:t>273.06  در این مرحله باید از خود بپرسید که هدف شما از برقراری ارتباط هدایت، اطلاع رسانی، متقاعد کردن یا الهام بخشیدن است.</w:t>
      </w:r>
    </w:p>
    <w:p>
      <w:pPr>
        <w:spacing w:after="28" w:line="216" w:lineRule="auto"/>
        <w:ind w:left="259"/>
        <w:jc w:val="left"/>
      </w:pPr>
      <w:r>
        <w:rPr>
          <w:rFonts w:ascii="Arial" w:hAnsi="Arial"/>
          <w:color w:val="525252"/>
          <w:sz w:val="13"/>
        </w:rPr>
        <w:t>In this step you will want to ask yourself, is your purpose for communicating to direct, inform, persuade, or inspire.</w:t>
      </w:r>
    </w:p>
    <w:p>
      <w:pPr>
        <w:spacing w:after="20" w:line="223" w:lineRule="auto"/>
        <w:jc w:val="right"/>
        <w:bidi/>
      </w:pPr>
      <w:r>
        <w:rPr>
          <w:rFonts w:ascii="Arial" w:hAnsi="Arial"/>
          <w:sz w:val="16"/>
        </w:rPr>
        <w:t>273.07  هنگامی که قصد خود را شناختید، می‌توانید پیام خود را بر اساس بیانیه هدف یا هدفی که در ذهن دارید طراحی کنید.</w:t>
      </w:r>
    </w:p>
    <w:p>
      <w:pPr>
        <w:spacing w:after="28" w:line="216" w:lineRule="auto"/>
        <w:ind w:left="259"/>
        <w:jc w:val="left"/>
      </w:pPr>
      <w:r>
        <w:rPr>
          <w:rFonts w:ascii="Arial" w:hAnsi="Arial"/>
          <w:color w:val="525252"/>
          <w:sz w:val="13"/>
        </w:rPr>
        <w:t>Once you know your intent, you can design your message around your purpose statement or the intent you have in mind.</w:t>
      </w:r>
    </w:p>
    <w:p>
      <w:pPr>
        <w:spacing w:after="20" w:line="223" w:lineRule="auto"/>
        <w:jc w:val="right"/>
        <w:bidi/>
      </w:pPr>
      <w:r>
        <w:rPr>
          <w:rFonts w:ascii="Arial" w:hAnsi="Arial"/>
          <w:sz w:val="16"/>
        </w:rPr>
        <w:t>273.08  درباره موضوع خود تحقیق کنید.</w:t>
      </w:r>
    </w:p>
    <w:p>
      <w:pPr>
        <w:spacing w:after="28" w:line="216" w:lineRule="auto"/>
        <w:ind w:left="259"/>
        <w:jc w:val="left"/>
      </w:pPr>
      <w:r>
        <w:rPr>
          <w:rFonts w:ascii="Arial" w:hAnsi="Arial"/>
          <w:color w:val="525252"/>
          <w:sz w:val="13"/>
        </w:rPr>
        <w:t>Research Your Topic.</w:t>
      </w:r>
    </w:p>
    <w:p>
      <w:pPr>
        <w:spacing w:after="20" w:line="223" w:lineRule="auto"/>
        <w:jc w:val="right"/>
        <w:bidi/>
      </w:pPr>
      <w:r>
        <w:rPr>
          <w:rFonts w:ascii="Arial" w:hAnsi="Arial"/>
          <w:sz w:val="16"/>
        </w:rPr>
        <w:t>273.09  هنگام آماده شدن برای برقراری ارتباط پیام خود، مدبر و آگاه باشید.</w:t>
      </w:r>
    </w:p>
    <w:p>
      <w:pPr>
        <w:spacing w:after="28" w:line="216" w:lineRule="auto"/>
        <w:ind w:left="259"/>
        <w:jc w:val="left"/>
      </w:pPr>
      <w:r>
        <w:rPr>
          <w:rFonts w:ascii="Arial" w:hAnsi="Arial"/>
          <w:color w:val="525252"/>
          <w:sz w:val="13"/>
        </w:rPr>
        <w:t>Be resourceful and informed when preparing to communicate your message.</w:t>
      </w:r>
    </w:p>
    <w:p>
      <w:pPr>
        <w:spacing w:after="20" w:line="223" w:lineRule="auto"/>
        <w:jc w:val="right"/>
        <w:bidi/>
      </w:pPr>
      <w:r>
        <w:rPr>
          <w:rFonts w:ascii="Arial" w:hAnsi="Arial"/>
          <w:sz w:val="16"/>
        </w:rPr>
        <w:t>273.10  ممکن است کارشناسانی در محل کار شما وجود داشته باشند که بتوانید برای کسب اطلاعات و مشاوره در مورد تحقیق در مورد موضوع خود با آنها صحبت کنید.</w:t>
      </w:r>
    </w:p>
    <w:p>
      <w:pPr>
        <w:spacing w:after="28" w:line="216" w:lineRule="auto"/>
        <w:ind w:left="259"/>
        <w:jc w:val="left"/>
      </w:pPr>
      <w:r>
        <w:rPr>
          <w:rFonts w:ascii="Arial" w:hAnsi="Arial"/>
          <w:color w:val="525252"/>
          <w:sz w:val="13"/>
        </w:rPr>
        <w:t>There may be experts in your workplace who you can talk to for insights and advice on researching your topic.</w:t>
      </w:r>
    </w:p>
    <w:p>
      <w:pPr>
        <w:spacing w:after="20" w:line="223" w:lineRule="auto"/>
        <w:jc w:val="right"/>
        <w:bidi/>
      </w:pPr>
      <w:r>
        <w:rPr>
          <w:rFonts w:ascii="Arial" w:hAnsi="Arial"/>
          <w:sz w:val="16"/>
        </w:rPr>
        <w:t>273.11  همچنین، اطلاعات در دسترس ما است، بنابراین آنچه را که می‌دانید و آنچه را نمی‌دانید در نظر بگیرید و داده‌هایی را که مرتبط و مرتبط با موضوع شما هستند جمع‌آوری کنید.</w:t>
      </w:r>
    </w:p>
    <w:p>
      <w:pPr>
        <w:spacing w:after="28" w:line="216" w:lineRule="auto"/>
        <w:ind w:left="259"/>
        <w:jc w:val="left"/>
      </w:pPr>
      <w:r>
        <w:rPr>
          <w:rFonts w:ascii="Arial" w:hAnsi="Arial"/>
          <w:color w:val="525252"/>
          <w:sz w:val="13"/>
        </w:rPr>
        <w:t>Also, information is at our fingertips, so consider what you know and what you don’t know and gather data that is pertinent and relevant to your topic.</w:t>
      </w:r>
    </w:p>
    <w:p>
      <w:pPr>
        <w:spacing w:after="20" w:line="223" w:lineRule="auto"/>
        <w:jc w:val="right"/>
        <w:bidi/>
      </w:pPr>
      <w:r>
        <w:rPr>
          <w:rFonts w:ascii="Arial" w:hAnsi="Arial"/>
          <w:sz w:val="16"/>
        </w:rPr>
        <w:t>273.12  DAFH ۳۳-۳۳۷، فصل ۴، فهرست جامعی از منابع آنلاین، وب‌سایت‌ها و پایگاه‌های اطلاعاتی را ارائه می‌دهد که برای جمع‌آوری اطلاعات برای موضوع شما بسیار مفید خواهد بود.</w:t>
      </w:r>
    </w:p>
    <w:p>
      <w:pPr>
        <w:spacing w:after="28" w:line="216" w:lineRule="auto"/>
        <w:ind w:left="259"/>
        <w:jc w:val="left"/>
      </w:pPr>
      <w:r>
        <w:rPr>
          <w:rFonts w:ascii="Arial" w:hAnsi="Arial"/>
          <w:color w:val="525252"/>
          <w:sz w:val="13"/>
        </w:rPr>
        <w:t>DAFH 33-337, Chapter 4, provides a comprehensive list of online sources, websites, and databases that will prove to be very helpful in gathering information for your topic.</w:t>
      </w:r>
    </w:p>
    <w:p>
      <w:pPr>
        <w:spacing w:after="20" w:line="223" w:lineRule="auto"/>
        <w:jc w:val="right"/>
        <w:bidi/>
      </w:pPr>
      <w:r>
        <w:rPr>
          <w:rFonts w:ascii="Arial" w:hAnsi="Arial"/>
          <w:sz w:val="16"/>
        </w:rPr>
        <w:t>273.13  ممکن است برای شما ارزشمند باشد که بسیاری از پیوندها را به‌عنوان موارد دلخواه در مرورگر وب خود برای دسترسی سریع ذخیره کنید.</w:t>
      </w:r>
    </w:p>
    <w:p>
      <w:pPr>
        <w:spacing w:after="28" w:line="216" w:lineRule="auto"/>
        <w:ind w:left="259"/>
        <w:jc w:val="left"/>
      </w:pPr>
      <w:r>
        <w:rPr>
          <w:rFonts w:ascii="Arial" w:hAnsi="Arial"/>
          <w:color w:val="525252"/>
          <w:sz w:val="13"/>
        </w:rPr>
        <w:t>You may find it valuable to save many of the links as favorites in your web browser for quick access.</w:t>
      </w:r>
    </w:p>
    <w:p>
      <w:pPr>
        <w:spacing w:after="20" w:line="223" w:lineRule="auto"/>
        <w:jc w:val="right"/>
        <w:bidi/>
      </w:pPr>
      <w:r>
        <w:rPr>
          <w:rFonts w:ascii="Arial" w:hAnsi="Arial"/>
          <w:sz w:val="16"/>
        </w:rPr>
        <w:t>273.14  از ایده‌های خود حمایت کنید.</w:t>
      </w:r>
    </w:p>
    <w:p>
      <w:pPr>
        <w:spacing w:after="28" w:line="216" w:lineRule="auto"/>
        <w:ind w:left="259"/>
        <w:jc w:val="left"/>
      </w:pPr>
      <w:r>
        <w:rPr>
          <w:rFonts w:ascii="Arial" w:hAnsi="Arial"/>
          <w:color w:val="525252"/>
          <w:sz w:val="13"/>
        </w:rPr>
        <w:t>Support Your Ideas.</w:t>
      </w:r>
    </w:p>
    <w:p>
      <w:pPr>
        <w:spacing w:after="20" w:line="223" w:lineRule="auto"/>
        <w:jc w:val="right"/>
        <w:bidi/>
      </w:pPr>
      <w:r>
        <w:rPr>
          <w:rFonts w:ascii="Arial" w:hAnsi="Arial"/>
          <w:sz w:val="16"/>
        </w:rPr>
        <w:t>273.15  حتما با ارائه اطلاعاتی که پیام شما را پشتیبانی می‌کند، ارتباط خود را تقویت کنید.</w:t>
      </w:r>
    </w:p>
    <w:p>
      <w:pPr>
        <w:spacing w:after="28" w:line="216" w:lineRule="auto"/>
        <w:ind w:left="259"/>
        <w:jc w:val="left"/>
      </w:pPr>
      <w:r>
        <w:rPr>
          <w:rFonts w:ascii="Arial" w:hAnsi="Arial"/>
          <w:color w:val="525252"/>
          <w:sz w:val="13"/>
        </w:rPr>
        <w:t>Be sure to strengthen your communication by providing information that will support your message.</w:t>
      </w:r>
    </w:p>
    <w:p>
      <w:pPr>
        <w:spacing w:after="20" w:line="223" w:lineRule="auto"/>
        <w:jc w:val="right"/>
        <w:bidi/>
      </w:pPr>
      <w:r>
        <w:rPr>
          <w:rFonts w:ascii="Arial" w:hAnsi="Arial"/>
          <w:sz w:val="16"/>
        </w:rPr>
        <w:t>273.16  راه‌های مختلفی وجود دارد که می‌توانید پیامی قوی در ارتباطات خود ایجاد کنید.</w:t>
      </w:r>
    </w:p>
    <w:p>
      <w:pPr>
        <w:spacing w:after="28" w:line="216" w:lineRule="auto"/>
        <w:ind w:left="259"/>
        <w:jc w:val="left"/>
      </w:pPr>
      <w:r>
        <w:rPr>
          <w:rFonts w:ascii="Arial" w:hAnsi="Arial"/>
          <w:color w:val="525252"/>
          <w:sz w:val="13"/>
        </w:rPr>
        <w:t>There are a number of ways you can develop a strong message in your communication.</w:t>
      </w:r>
    </w:p>
    <w:p>
      <w:pPr>
        <w:spacing w:after="20" w:line="223" w:lineRule="auto"/>
        <w:jc w:val="right"/>
        <w:bidi/>
      </w:pPr>
      <w:r>
        <w:rPr>
          <w:rFonts w:ascii="Arial" w:hAnsi="Arial"/>
          <w:sz w:val="16"/>
        </w:rPr>
        <w:t>273.17  ضروری است که روش هایی را انتخاب کنید که به بهترین وجه اعتبار شما را افزایش دهد و استدلال شما را معتبر و قابل اعتماد نشان دهد.</w:t>
      </w:r>
    </w:p>
    <w:p>
      <w:pPr>
        <w:spacing w:after="28" w:line="216" w:lineRule="auto"/>
        <w:ind w:left="259"/>
        <w:jc w:val="left"/>
      </w:pPr>
      <w:r>
        <w:rPr>
          <w:rFonts w:ascii="Arial" w:hAnsi="Arial"/>
          <w:color w:val="525252"/>
          <w:sz w:val="13"/>
        </w:rPr>
        <w:t>It is essential to choose the methods that best enhance your credibility and portray your argument as valid and reliable.</w:t>
      </w:r>
    </w:p>
    <w:p>
      <w:pPr>
        <w:spacing w:after="20" w:line="223" w:lineRule="auto"/>
        <w:jc w:val="right"/>
        <w:bidi/>
      </w:pPr>
      <w:r>
        <w:rPr>
          <w:rFonts w:ascii="Arial" w:hAnsi="Arial"/>
          <w:sz w:val="16"/>
        </w:rPr>
        <w:t>273.18  بسته به پیام و مخاطبانتان، می‌توانید موضع خود را در مورد یک موضوع از طریق شواهد با استفاده از تعاریف، مثال‌ها، شهادت‌ها یا آمار تقویت کنید.</w:t>
      </w:r>
    </w:p>
    <w:p>
      <w:pPr>
        <w:spacing w:after="28" w:line="216" w:lineRule="auto"/>
        <w:ind w:left="259"/>
        <w:jc w:val="left"/>
      </w:pPr>
      <w:r>
        <w:rPr>
          <w:rFonts w:ascii="Arial" w:hAnsi="Arial"/>
          <w:color w:val="525252"/>
          <w:sz w:val="13"/>
        </w:rPr>
        <w:t>Depending on your message and your audience, you may choose to reinforce your position on an issue through evidence using definitions, examples, testimony, or statistics.</w:t>
      </w:r>
    </w:p>
    <w:p>
      <w:pPr>
        <w:spacing w:after="20" w:line="223" w:lineRule="auto"/>
        <w:jc w:val="right"/>
        <w:bidi/>
      </w:pPr>
      <w:r>
        <w:rPr>
          <w:rFonts w:ascii="Arial" w:hAnsi="Arial"/>
          <w:sz w:val="16"/>
        </w:rPr>
        <w:t>273.19  رویکرد خود را با استفاده از شواهد قابل اعتماد، دقیق، دقیق، مرتبط و کافی متمرکز کنید که از ایده‌های شما پشتیبانی می‌کند و اعتماد مخاطبان را جلب می‌کند.</w:t>
      </w:r>
    </w:p>
    <w:p>
      <w:pPr>
        <w:spacing w:after="28" w:line="216" w:lineRule="auto"/>
        <w:ind w:left="259"/>
        <w:jc w:val="left"/>
      </w:pPr>
      <w:r>
        <w:rPr>
          <w:rFonts w:ascii="Arial" w:hAnsi="Arial"/>
          <w:color w:val="525252"/>
          <w:sz w:val="13"/>
        </w:rPr>
        <w:t>Focus your approach using trustworthy, accurate, precise, relevant, and sufficient evidence that will support your ideas and gain the trust of your audience.</w:t>
      </w:r>
    </w:p>
    <w:p>
      <w:pPr>
        <w:spacing w:after="20" w:line="223" w:lineRule="auto"/>
        <w:jc w:val="right"/>
        <w:bidi/>
      </w:pPr>
      <w:r>
        <w:rPr>
          <w:rFonts w:ascii="Arial" w:hAnsi="Arial"/>
          <w:sz w:val="16"/>
        </w:rPr>
        <w:t>273.20  سازماندهی و طرح کلی.</w:t>
      </w:r>
    </w:p>
    <w:p>
      <w:pPr>
        <w:spacing w:after="28" w:line="216" w:lineRule="auto"/>
        <w:ind w:left="259"/>
        <w:jc w:val="left"/>
      </w:pPr>
      <w:r>
        <w:rPr>
          <w:rFonts w:ascii="Arial" w:hAnsi="Arial"/>
          <w:color w:val="525252"/>
          <w:sz w:val="13"/>
        </w:rPr>
        <w:t>Organize and Outline.</w:t>
      </w:r>
    </w:p>
    <w:p>
      <w:pPr>
        <w:spacing w:after="20" w:line="223" w:lineRule="auto"/>
        <w:jc w:val="right"/>
        <w:bidi/>
      </w:pPr>
      <w:r>
        <w:rPr>
          <w:rFonts w:ascii="Arial" w:hAnsi="Arial"/>
          <w:sz w:val="16"/>
        </w:rPr>
        <w:t>273.21  در رویکرد خود برای انتقال پیام خود سازماندهی و هدفمند باشید.</w:t>
      </w:r>
    </w:p>
    <w:p>
      <w:pPr>
        <w:spacing w:after="28" w:line="216" w:lineRule="auto"/>
        <w:ind w:left="259"/>
        <w:jc w:val="left"/>
      </w:pPr>
      <w:r>
        <w:rPr>
          <w:rFonts w:ascii="Arial" w:hAnsi="Arial"/>
          <w:color w:val="525252"/>
          <w:sz w:val="13"/>
        </w:rPr>
        <w:t>Be organized and purposeful in your approach to communicating your message.</w:t>
      </w:r>
    </w:p>
    <w:p>
      <w:pPr>
        <w:spacing w:after="20" w:line="223" w:lineRule="auto"/>
        <w:jc w:val="right"/>
        <w:bidi/>
      </w:pPr>
      <w:r>
        <w:rPr>
          <w:rFonts w:ascii="Arial" w:hAnsi="Arial"/>
          <w:sz w:val="16"/>
        </w:rPr>
        <w:t>273.22  چندین روش برای سازماندهی اطلاعات وجود دارد. شما می‌خواهید یکی را انتخاب کنید که پیام شما را به بهترین شکل ممکن به مخاطب برساند.</w:t>
      </w:r>
    </w:p>
    <w:p>
      <w:pPr>
        <w:spacing w:after="28" w:line="216" w:lineRule="auto"/>
        <w:ind w:left="259"/>
        <w:jc w:val="left"/>
      </w:pPr>
      <w:r>
        <w:rPr>
          <w:rFonts w:ascii="Arial" w:hAnsi="Arial"/>
          <w:color w:val="525252"/>
          <w:sz w:val="13"/>
        </w:rPr>
        <w:t>There are several ways to organize information; you will want to choose the one that allows your message to reach the audience in the best manner possible.</w:t>
      </w:r>
    </w:p>
    <w:p>
      <w:pPr>
        <w:spacing w:after="20" w:line="223" w:lineRule="auto"/>
        <w:jc w:val="right"/>
        <w:bidi/>
      </w:pPr>
      <w:r>
        <w:rPr>
          <w:rFonts w:ascii="Arial" w:hAnsi="Arial"/>
          <w:sz w:val="16"/>
        </w:rPr>
        <w:t>273.23  چندین الگو در DAFH ۳۳-۳۳۷، فصل ۶ موجود است.</w:t>
      </w:r>
    </w:p>
    <w:p>
      <w:pPr>
        <w:spacing w:after="28" w:line="216" w:lineRule="auto"/>
        <w:ind w:left="259"/>
        <w:jc w:val="left"/>
      </w:pPr>
      <w:r>
        <w:rPr>
          <w:rFonts w:ascii="Arial" w:hAnsi="Arial"/>
          <w:color w:val="525252"/>
          <w:sz w:val="13"/>
        </w:rPr>
        <w:t>There are several patterns available in DAFH 33-337, Chapter 6.</w:t>
      </w:r>
    </w:p>
    <w:p>
      <w:pPr>
        <w:spacing w:after="20" w:line="223" w:lineRule="auto"/>
        <w:jc w:val="right"/>
        <w:bidi/>
      </w:pPr>
      <w:r>
        <w:rPr>
          <w:rFonts w:ascii="Arial" w:hAnsi="Arial"/>
          <w:sz w:val="16"/>
        </w:rPr>
        <w:t>273.24  الگویی که انتخاب می‌کنید تا حد زیادی به این بستگی دارد که آیا قصد شما هدایت کردن، اطلاع رسانی، متقاعد کردن یا الهام بخشیدن است.</w:t>
      </w:r>
    </w:p>
    <w:p>
      <w:pPr>
        <w:spacing w:after="28" w:line="216" w:lineRule="auto"/>
        <w:ind w:left="259"/>
        <w:jc w:val="left"/>
      </w:pPr>
      <w:r>
        <w:rPr>
          <w:rFonts w:ascii="Arial" w:hAnsi="Arial"/>
          <w:color w:val="525252"/>
          <w:sz w:val="13"/>
        </w:rPr>
        <w:t>The pattern you choose will depend greatly on whether your intent is to direct, inform, persuade, or inspire.</w:t>
      </w:r>
    </w:p>
    <w:p>
      <w:pPr>
        <w:spacing w:after="20" w:line="223" w:lineRule="auto"/>
        <w:jc w:val="right"/>
        <w:bidi/>
      </w:pPr>
      <w:r>
        <w:rPr>
          <w:rFonts w:ascii="Arial" w:hAnsi="Arial"/>
          <w:sz w:val="16"/>
        </w:rPr>
        <w:t>273.25  ممکن است متوجه شوید که موضوع شما به بهترین وجه به صورت زمانی ارائه می‌شود، با استفاده از رویکردی که اطلاعات مربوطه را در یک ترتیب زمان‌بندی شده پوشش می‌دهد.</w:t>
      </w:r>
    </w:p>
    <w:p>
      <w:pPr>
        <w:spacing w:after="28" w:line="216" w:lineRule="auto"/>
        <w:ind w:left="259"/>
        <w:jc w:val="left"/>
      </w:pPr>
      <w:r>
        <w:rPr>
          <w:rFonts w:ascii="Arial" w:hAnsi="Arial"/>
          <w:color w:val="525252"/>
          <w:sz w:val="13"/>
        </w:rPr>
        <w:t>You may find that your topic is best presented chronologically, using an approach that covers pertinent information in a time-ordered sequence.</w:t>
      </w:r>
    </w:p>
    <w:p>
      <w:pPr>
        <w:spacing w:after="20" w:line="223" w:lineRule="auto"/>
        <w:jc w:val="right"/>
        <w:bidi/>
      </w:pPr>
      <w:r>
        <w:rPr>
          <w:rFonts w:ascii="Arial" w:hAnsi="Arial"/>
          <w:sz w:val="16"/>
        </w:rPr>
        <w:t>273.26  یا ممکن است تصمیم بگیرید که رویکرد متوالی مناسب‌ترین روشی است که اطلاعات شما را به صورت گام به گام ارائه می‌کند.</w:t>
      </w:r>
    </w:p>
    <w:p>
      <w:pPr>
        <w:spacing w:after="28" w:line="216" w:lineRule="auto"/>
        <w:ind w:left="259"/>
        <w:jc w:val="left"/>
      </w:pPr>
      <w:r>
        <w:rPr>
          <w:rFonts w:ascii="Arial" w:hAnsi="Arial"/>
          <w:color w:val="525252"/>
          <w:sz w:val="13"/>
        </w:rPr>
        <w:t>Or you may decide that a sequential approach is most appropriate that presents your information in a step-by-step manner.</w:t>
      </w:r>
    </w:p>
    <w:p>
      <w:pPr>
        <w:spacing w:after="20" w:line="223" w:lineRule="auto"/>
        <w:jc w:val="right"/>
        <w:bidi/>
      </w:pPr>
      <w:r>
        <w:rPr>
          <w:rFonts w:ascii="Arial" w:hAnsi="Arial"/>
          <w:sz w:val="16"/>
        </w:rPr>
        <w:t>273.27  پیش نویس.</w:t>
      </w:r>
    </w:p>
    <w:p>
      <w:pPr>
        <w:spacing w:after="28" w:line="216" w:lineRule="auto"/>
        <w:ind w:left="259"/>
        <w:jc w:val="left"/>
      </w:pPr>
      <w:r>
        <w:rPr>
          <w:rFonts w:ascii="Arial" w:hAnsi="Arial"/>
          <w:color w:val="525252"/>
          <w:sz w:val="13"/>
        </w:rPr>
        <w:t>Draft.</w:t>
      </w:r>
    </w:p>
    <w:p>
      <w:pPr>
        <w:spacing w:after="20" w:line="223" w:lineRule="auto"/>
        <w:jc w:val="right"/>
        <w:bidi/>
      </w:pPr>
      <w:r>
        <w:rPr>
          <w:rFonts w:ascii="Arial" w:hAnsi="Arial"/>
          <w:sz w:val="16"/>
        </w:rPr>
        <w:t>273.28  مایل باشید افکار خود را در یک محصول پیش نویس قرار دهید.</w:t>
      </w:r>
    </w:p>
    <w:p>
      <w:pPr>
        <w:spacing w:after="28" w:line="216" w:lineRule="auto"/>
        <w:ind w:left="259"/>
        <w:jc w:val="left"/>
      </w:pPr>
      <w:r>
        <w:rPr>
          <w:rFonts w:ascii="Arial" w:hAnsi="Arial"/>
          <w:color w:val="525252"/>
          <w:sz w:val="13"/>
        </w:rPr>
        <w:t>Be willing to get your thoughts into a draft product.</w:t>
      </w:r>
    </w:p>
    <w:p>
      <w:pPr>
        <w:spacing w:after="20" w:line="223" w:lineRule="auto"/>
        <w:jc w:val="right"/>
        <w:bidi/>
      </w:pPr>
      <w:r>
        <w:rPr>
          <w:rFonts w:ascii="Arial" w:hAnsi="Arial"/>
          <w:sz w:val="16"/>
        </w:rPr>
        <w:t>273.29  پیش نویس شما فقط شروعی برای فرمول بندی ارتباطات شما به شیوه‌ای سازمان یافته، مشخص و هدفمند است.</w:t>
      </w:r>
    </w:p>
    <w:p>
      <w:pPr>
        <w:spacing w:after="28" w:line="216" w:lineRule="auto"/>
        <w:ind w:left="259"/>
        <w:jc w:val="left"/>
      </w:pPr>
      <w:r>
        <w:rPr>
          <w:rFonts w:ascii="Arial" w:hAnsi="Arial"/>
          <w:color w:val="525252"/>
          <w:sz w:val="13"/>
        </w:rPr>
        <w:t>Your draft is just the beginning of formulating your communication into an organized, outlined, purposeful manner.</w:t>
      </w:r>
    </w:p>
    <w:p>
      <w:pPr>
        <w:spacing w:after="20" w:line="223" w:lineRule="auto"/>
        <w:jc w:val="right"/>
        <w:bidi/>
      </w:pPr>
      <w:r>
        <w:rPr>
          <w:rFonts w:ascii="Arial" w:hAnsi="Arial"/>
          <w:sz w:val="16"/>
        </w:rPr>
        <w:t>273.30  کامل نخواهد بود.</w:t>
      </w:r>
    </w:p>
    <w:p>
      <w:pPr>
        <w:spacing w:after="28" w:line="216" w:lineRule="auto"/>
        <w:ind w:left="259"/>
        <w:jc w:val="left"/>
      </w:pPr>
      <w:r>
        <w:rPr>
          <w:rFonts w:ascii="Arial" w:hAnsi="Arial"/>
          <w:color w:val="525252"/>
          <w:sz w:val="13"/>
        </w:rPr>
        <w:t>It will not be perfect.</w:t>
      </w:r>
    </w:p>
    <w:p>
      <w:pPr>
        <w:spacing w:after="20" w:line="223" w:lineRule="auto"/>
        <w:jc w:val="right"/>
        <w:bidi/>
      </w:pPr>
      <w:r>
        <w:rPr>
          <w:rFonts w:ascii="Arial" w:hAnsi="Arial"/>
          <w:sz w:val="16"/>
        </w:rPr>
        <w:t>273.31  تا زمانی که ساختار اصلی داشتن یک مقدمه، بدنه و نتیجه‌گیری را دنبال کنید، الگویی برای کار خواهید داشت در حالی که پیام خود را تیزتر می‌کنید، افکار خود را توسعه می‌دهید، و رویکرد خود را روشن می‌کنید.</w:t>
      </w:r>
    </w:p>
    <w:p>
      <w:pPr>
        <w:spacing w:after="28" w:line="216" w:lineRule="auto"/>
        <w:ind w:left="259"/>
        <w:jc w:val="left"/>
      </w:pPr>
      <w:r>
        <w:rPr>
          <w:rFonts w:ascii="Arial" w:hAnsi="Arial"/>
          <w:color w:val="525252"/>
          <w:sz w:val="13"/>
        </w:rPr>
        <w:t>As long as you follow the basic structure of having an introduction, body, and conclusion, you will have a template to work with while you sharpen your message, develop your thoughts, and clarify your approach.</w:t>
      </w:r>
    </w:p>
    <w:p>
      <w:pPr>
        <w:spacing w:after="20" w:line="223" w:lineRule="auto"/>
        <w:jc w:val="right"/>
        <w:bidi/>
      </w:pPr>
      <w:r>
        <w:rPr>
          <w:rFonts w:ascii="Arial" w:hAnsi="Arial"/>
          <w:sz w:val="16"/>
        </w:rPr>
        <w:t>273.32  ساختار ارتباط خود را در نظر داشته باشید و جنبه‌های کلیدی مانند دسترسی به مخاطبان خود، فرمت دنبال کردن، و اطمینان از جریان پیام شما با انتقال بین نکات اصلی یا ایده‌های اصلی را در نظر بگیرید.</w:t>
      </w:r>
    </w:p>
    <w:p>
      <w:pPr>
        <w:spacing w:after="28" w:line="216" w:lineRule="auto"/>
        <w:ind w:left="259"/>
        <w:jc w:val="left"/>
      </w:pPr>
      <w:r>
        <w:rPr>
          <w:rFonts w:ascii="Arial" w:hAnsi="Arial"/>
          <w:color w:val="525252"/>
          <w:sz w:val="13"/>
        </w:rPr>
        <w:t>Keep in mind the structure of your communication and consider including key aspects, such as reaching your audience, following format, and ensuring your message flows with transitions between main points or main ideas.</w:t>
      </w:r>
    </w:p>
    <w:p>
      <w:pPr>
        <w:spacing w:after="20" w:line="223" w:lineRule="auto"/>
        <w:jc w:val="right"/>
        <w:bidi/>
      </w:pPr>
      <w:r>
        <w:rPr>
          <w:rFonts w:ascii="Arial" w:hAnsi="Arial"/>
          <w:sz w:val="16"/>
        </w:rPr>
        <w:t>273.33  تا زمانی که به یاد داشته باشید که پیش نویس شما گام اساسی برای ایجاد محصول نهایی شماست، تلاش شما هرگز اتلاف وقت نخواهد بود.</w:t>
      </w:r>
    </w:p>
    <w:p>
      <w:pPr>
        <w:spacing w:after="28" w:line="216" w:lineRule="auto"/>
        <w:ind w:left="259"/>
        <w:jc w:val="left"/>
      </w:pPr>
      <w:r>
        <w:rPr>
          <w:rFonts w:ascii="Arial" w:hAnsi="Arial"/>
          <w:color w:val="525252"/>
          <w:sz w:val="13"/>
        </w:rPr>
        <w:t>Your efforts will never be a waste of time as long as you remember that your draft is the essential step toward creating your final product.</w:t>
      </w:r>
    </w:p>
    <w:p>
      <w:pPr>
        <w:spacing w:after="20" w:line="223" w:lineRule="auto"/>
        <w:jc w:val="right"/>
        <w:bidi/>
      </w:pPr>
      <w:r>
        <w:rPr>
          <w:rFonts w:ascii="Arial" w:hAnsi="Arial"/>
          <w:sz w:val="16"/>
        </w:rPr>
        <w:t>273.34  DAFH ۳۳-۳۳۷، فصل ۷، چندین پیشنهاد و مثال در مورد چگونگی ایجاد پیش‌نویس پیام خود با استفاده از ساختار، کلمات و عبارات توصیه شده ارائه می‌دهد.</w:t>
      </w:r>
    </w:p>
    <w:p>
      <w:pPr>
        <w:spacing w:after="28" w:line="216" w:lineRule="auto"/>
        <w:ind w:left="259"/>
        <w:jc w:val="left"/>
      </w:pPr>
      <w:r>
        <w:rPr>
          <w:rFonts w:ascii="Arial" w:hAnsi="Arial"/>
          <w:color w:val="525252"/>
          <w:sz w:val="13"/>
        </w:rPr>
        <w:t>DAFH 33-337, Chapter 7, provides several suggestions and examples of how to develop a draft of your message using recommended structure, verbiage, and phrases.</w:t>
      </w:r>
    </w:p>
    <w:p>
      <w:pPr>
        <w:spacing w:after="20" w:line="223" w:lineRule="auto"/>
        <w:jc w:val="right"/>
        <w:bidi/>
      </w:pPr>
      <w:r>
        <w:rPr>
          <w:rFonts w:ascii="Arial" w:hAnsi="Arial"/>
          <w:sz w:val="16"/>
        </w:rPr>
        <w:t>273.35  ویرایش.</w:t>
      </w:r>
    </w:p>
    <w:p>
      <w:pPr>
        <w:spacing w:after="28" w:line="216" w:lineRule="auto"/>
        <w:ind w:left="259"/>
        <w:jc w:val="left"/>
      </w:pPr>
      <w:r>
        <w:rPr>
          <w:rFonts w:ascii="Arial" w:hAnsi="Arial"/>
          <w:color w:val="525252"/>
          <w:sz w:val="13"/>
        </w:rPr>
        <w:t>Edit.</w:t>
      </w:r>
    </w:p>
    <w:p>
      <w:pPr>
        <w:spacing w:after="20" w:line="223" w:lineRule="auto"/>
        <w:jc w:val="right"/>
        <w:bidi/>
      </w:pPr>
      <w:r>
        <w:rPr>
          <w:rFonts w:ascii="Arial" w:hAnsi="Arial"/>
          <w:sz w:val="16"/>
        </w:rPr>
        <w:t>273.36  پیروی از پنج مرحله اول فرآیند ارتباط مؤثر، شما را برای موفقیت آماده می‌کند، اما محصول کاملی را تضمین نمی‌کند، و نباید انتظار داشته باشید که پیش‌نویس شما چنین باشد.</w:t>
      </w:r>
    </w:p>
    <w:p>
      <w:pPr>
        <w:spacing w:after="28" w:line="216" w:lineRule="auto"/>
        <w:ind w:left="259"/>
        <w:jc w:val="left"/>
      </w:pPr>
      <w:r>
        <w:rPr>
          <w:rFonts w:ascii="Arial" w:hAnsi="Arial"/>
          <w:color w:val="525252"/>
          <w:sz w:val="13"/>
        </w:rPr>
        <w:t>Following the first five steps of the effective communication process will set you up for success, but it will not guarantee a perfect product, and you should not expect your draft to be.</w:t>
      </w:r>
    </w:p>
    <w:p>
      <w:pPr>
        <w:spacing w:after="20" w:line="223" w:lineRule="auto"/>
        <w:jc w:val="right"/>
        <w:bidi/>
      </w:pPr>
      <w:r>
        <w:rPr>
          <w:rFonts w:ascii="Arial" w:hAnsi="Arial"/>
          <w:sz w:val="16"/>
        </w:rPr>
        <w:t>273.37  مراحل شش و هفت برای همین است.</w:t>
      </w:r>
    </w:p>
    <w:p>
      <w:pPr>
        <w:spacing w:after="28" w:line="216" w:lineRule="auto"/>
        <w:ind w:left="259"/>
        <w:jc w:val="left"/>
      </w:pPr>
      <w:r>
        <w:rPr>
          <w:rFonts w:ascii="Arial" w:hAnsi="Arial"/>
          <w:color w:val="525252"/>
          <w:sz w:val="13"/>
        </w:rPr>
        <w:t>That is what steps six and seven are for.</w:t>
      </w:r>
    </w:p>
    <w:p>
      <w:pPr>
        <w:spacing w:after="20" w:line="223" w:lineRule="auto"/>
        <w:jc w:val="right"/>
        <w:bidi/>
      </w:pPr>
      <w:r>
        <w:rPr>
          <w:rFonts w:ascii="Arial" w:hAnsi="Arial"/>
          <w:sz w:val="16"/>
        </w:rPr>
        <w:t>273.38  پیش نویس خود را به اندازه کافی زود بنویسید تا قبل از دیدن آن از دریچه ویرایش، به خودتان زمان استراحت بدهید.</w:t>
      </w:r>
    </w:p>
    <w:p>
      <w:pPr>
        <w:spacing w:after="28" w:line="216" w:lineRule="auto"/>
        <w:ind w:left="259"/>
        <w:jc w:val="left"/>
      </w:pPr>
      <w:r>
        <w:rPr>
          <w:rFonts w:ascii="Arial" w:hAnsi="Arial"/>
          <w:color w:val="525252"/>
          <w:sz w:val="13"/>
        </w:rPr>
        <w:t>Have your draft written early enough to give yourself time to take a break before looking it over through an editing lens.</w:t>
      </w:r>
    </w:p>
    <w:p>
      <w:pPr>
        <w:spacing w:after="20" w:line="223" w:lineRule="auto"/>
        <w:jc w:val="right"/>
        <w:bidi/>
      </w:pPr>
      <w:r>
        <w:rPr>
          <w:rFonts w:ascii="Arial" w:hAnsi="Arial"/>
          <w:sz w:val="16"/>
        </w:rPr>
        <w:t>273.39  این به شما امکان می‌دهد با چشمانی تازه ویرایش کنید.</w:t>
      </w:r>
    </w:p>
    <w:p>
      <w:pPr>
        <w:spacing w:after="28" w:line="216" w:lineRule="auto"/>
        <w:ind w:left="259"/>
        <w:jc w:val="left"/>
      </w:pPr>
      <w:r>
        <w:rPr>
          <w:rFonts w:ascii="Arial" w:hAnsi="Arial"/>
          <w:color w:val="525252"/>
          <w:sz w:val="13"/>
        </w:rPr>
        <w:t>This will allow you to edit with fresh eyes.</w:t>
      </w:r>
    </w:p>
    <w:p>
      <w:pPr>
        <w:spacing w:after="20" w:line="223" w:lineRule="auto"/>
        <w:jc w:val="right"/>
        <w:bidi/>
      </w:pPr>
      <w:r>
        <w:rPr>
          <w:rFonts w:ascii="Arial" w:hAnsi="Arial"/>
          <w:sz w:val="16"/>
        </w:rPr>
        <w:t>273.40  در مورد آنچه دوست دارید با کار خود به دست آورید فکر کنید و آن را در ذهن داشته باشید</w:t>
      </w:r>
    </w:p>
    <w:p>
      <w:pPr>
        <w:spacing w:after="28" w:line="216" w:lineRule="auto"/>
        <w:ind w:left="259"/>
        <w:jc w:val="left"/>
      </w:pPr>
      <w:r>
        <w:rPr>
          <w:rFonts w:ascii="Arial" w:hAnsi="Arial"/>
          <w:color w:val="525252"/>
          <w:sz w:val="13"/>
        </w:rPr>
        <w:t>Think about what you would like to accomplish with your work and keep that in mind as you</w:t>
      </w:r>
    </w:p>
    <w:p>
      <w:r>
        <w:br w:type="page"/>
      </w:r>
    </w:p>
    <w:p>
      <w:pPr>
        <w:spacing w:after="60"/>
        <w:jc w:val="right"/>
        <w:bidi/>
      </w:pPr>
      <w:r>
        <w:rPr>
          <w:rFonts w:ascii="Arial" w:hAnsi="Arial"/>
          <w:b/>
          <w:color w:val="1F4D78"/>
          <w:sz w:val="19"/>
        </w:rPr>
        <w:t>هفتهٔ 274  |  صفحهٔ منبع: 290</w:t>
      </w:r>
    </w:p>
    <w:p>
      <w:pPr>
        <w:spacing w:after="20" w:line="223" w:lineRule="auto"/>
        <w:jc w:val="right"/>
        <w:bidi/>
      </w:pPr>
      <w:r>
        <w:rPr>
          <w:rFonts w:ascii="Arial" w:hAnsi="Arial"/>
          <w:sz w:val="16"/>
        </w:rPr>
        <w:t>274.01  به پیش نویس خود نگاه کنید.</w:t>
      </w:r>
    </w:p>
    <w:p>
      <w:pPr>
        <w:spacing w:after="28" w:line="216" w:lineRule="auto"/>
        <w:ind w:left="259"/>
        <w:jc w:val="left"/>
      </w:pPr>
      <w:r>
        <w:rPr>
          <w:rFonts w:ascii="Arial" w:hAnsi="Arial"/>
          <w:color w:val="525252"/>
          <w:sz w:val="13"/>
        </w:rPr>
        <w:t>look over your draft.</w:t>
      </w:r>
    </w:p>
    <w:p>
      <w:pPr>
        <w:spacing w:after="20" w:line="223" w:lineRule="auto"/>
        <w:jc w:val="right"/>
        <w:bidi/>
      </w:pPr>
      <w:r>
        <w:rPr>
          <w:rFonts w:ascii="Arial" w:hAnsi="Arial"/>
          <w:sz w:val="16"/>
        </w:rPr>
        <w:t>274.02  در نظر بگیرید که هنگام ویرایش کارتان چگونه ممکن است برای مخاطب به نظر برسد یا به نظر برسد.</w:t>
      </w:r>
    </w:p>
    <w:p>
      <w:pPr>
        <w:spacing w:after="28" w:line="216" w:lineRule="auto"/>
        <w:ind w:left="259"/>
        <w:jc w:val="left"/>
      </w:pPr>
      <w:r>
        <w:rPr>
          <w:rFonts w:ascii="Arial" w:hAnsi="Arial"/>
          <w:color w:val="525252"/>
          <w:sz w:val="13"/>
        </w:rPr>
        <w:t>Consider how it may look or sound to the audience as you edit your work.</w:t>
      </w:r>
    </w:p>
    <w:p>
      <w:pPr>
        <w:spacing w:after="20" w:line="223" w:lineRule="auto"/>
        <w:jc w:val="right"/>
        <w:bidi/>
      </w:pPr>
      <w:r>
        <w:rPr>
          <w:rFonts w:ascii="Arial" w:hAnsi="Arial"/>
          <w:sz w:val="16"/>
        </w:rPr>
        <w:t>274.03  چه ارتباط شما مکتوب باشد و چه گفتاری، ممکن است در خواندن کار خود با صدای بلند ارزش پیدا کنید تا مناطقی را برای بهبود پیدا کنید که در غیر این صورت به راحتی قابل شناسایی نبودند.</w:t>
      </w:r>
    </w:p>
    <w:p>
      <w:pPr>
        <w:spacing w:after="28" w:line="216" w:lineRule="auto"/>
        <w:ind w:left="259"/>
        <w:jc w:val="left"/>
      </w:pPr>
      <w:r>
        <w:rPr>
          <w:rFonts w:ascii="Arial" w:hAnsi="Arial"/>
          <w:color w:val="525252"/>
          <w:sz w:val="13"/>
        </w:rPr>
        <w:t>Whether your communication is written or spoken, you may find value in reading your work out loud to catch areas for improvement that wouldn’t have been readily identifiable otherwise.</w:t>
      </w:r>
    </w:p>
    <w:p>
      <w:pPr>
        <w:spacing w:after="20" w:line="223" w:lineRule="auto"/>
        <w:jc w:val="right"/>
        <w:bidi/>
      </w:pPr>
      <w:r>
        <w:rPr>
          <w:rFonts w:ascii="Arial" w:hAnsi="Arial"/>
          <w:sz w:val="16"/>
        </w:rPr>
        <w:t>274.04  در حین بررسی، به دنبال سه جنبه اصلی پیش نویس محصول خود باشید: ۱) بررسی تصویر کلی، هدف اصلی، طول و جریان ایده‌ها. ۲) بررسی ساختار پاراگراف، وضوح، سازماندهی مطالب، و ایده‌های پشتیبان. سپس ۳) جملات، عبارات، کلمات، دستور زبان را مرور کنید و در نظر بگیرید که مخاطب چگونه پیام را درک یا دریافت خواهد کرد.</w:t>
      </w:r>
    </w:p>
    <w:p>
      <w:pPr>
        <w:spacing w:after="28" w:line="216" w:lineRule="auto"/>
        <w:ind w:left="259"/>
        <w:jc w:val="left"/>
      </w:pPr>
      <w:r>
        <w:rPr>
          <w:rFonts w:ascii="Arial" w:hAnsi="Arial"/>
          <w:color w:val="525252"/>
          <w:sz w:val="13"/>
        </w:rPr>
        <w:t>As you review, look for three main aspects of your draft product: 1) review for the big picture, main purpose, length, and flow of ideas; 2) review for paragraph structure, clarity, organization of material, and supporting ideas; then 3) review sentences, phrases, words, grammar, and consider how the audience will perceive or receive the message.</w:t>
      </w:r>
    </w:p>
    <w:p>
      <w:pPr>
        <w:spacing w:after="20" w:line="223" w:lineRule="auto"/>
        <w:jc w:val="right"/>
        <w:bidi/>
      </w:pPr>
      <w:r>
        <w:rPr>
          <w:rFonts w:ascii="Arial" w:hAnsi="Arial"/>
          <w:sz w:val="16"/>
        </w:rPr>
        <w:t>274.05  برای بازخورد و تأیید بجنگید.</w:t>
      </w:r>
    </w:p>
    <w:p>
      <w:pPr>
        <w:spacing w:after="28" w:line="216" w:lineRule="auto"/>
        <w:ind w:left="259"/>
        <w:jc w:val="left"/>
      </w:pPr>
      <w:r>
        <w:rPr>
          <w:rFonts w:ascii="Arial" w:hAnsi="Arial"/>
          <w:color w:val="525252"/>
          <w:sz w:val="13"/>
        </w:rPr>
        <w:t>Fight for Feedback and Get Approval.</w:t>
      </w:r>
    </w:p>
    <w:p>
      <w:pPr>
        <w:spacing w:after="20" w:line="223" w:lineRule="auto"/>
        <w:jc w:val="right"/>
        <w:bidi/>
      </w:pPr>
      <w:r>
        <w:rPr>
          <w:rFonts w:ascii="Arial" w:hAnsi="Arial"/>
          <w:sz w:val="16"/>
        </w:rPr>
        <w:t>274.06  پذیرای بازخورد دیگران باشید.</w:t>
      </w:r>
    </w:p>
    <w:p>
      <w:pPr>
        <w:spacing w:after="28" w:line="216" w:lineRule="auto"/>
        <w:ind w:left="259"/>
        <w:jc w:val="left"/>
      </w:pPr>
      <w:r>
        <w:rPr>
          <w:rFonts w:ascii="Arial" w:hAnsi="Arial"/>
          <w:color w:val="525252"/>
          <w:sz w:val="13"/>
        </w:rPr>
        <w:t>Be receptive to feedback from others.</w:t>
      </w:r>
    </w:p>
    <w:p>
      <w:pPr>
        <w:spacing w:after="20" w:line="223" w:lineRule="auto"/>
        <w:jc w:val="right"/>
        <w:bidi/>
      </w:pPr>
      <w:r>
        <w:rPr>
          <w:rFonts w:ascii="Arial" w:hAnsi="Arial"/>
          <w:sz w:val="16"/>
        </w:rPr>
        <w:t>274.07  اکنون که تمام تلاش خود را در فرمول‌بندی پیام خود انجام داده‌اید، وقت آن است که به دنبال بازخورد باشید.</w:t>
      </w:r>
    </w:p>
    <w:p>
      <w:pPr>
        <w:spacing w:after="28" w:line="216" w:lineRule="auto"/>
        <w:ind w:left="259"/>
        <w:jc w:val="left"/>
      </w:pPr>
      <w:r>
        <w:rPr>
          <w:rFonts w:ascii="Arial" w:hAnsi="Arial"/>
          <w:color w:val="525252"/>
          <w:sz w:val="13"/>
        </w:rPr>
        <w:t>Now that you’ve done your best at formulating your message, it’s time to seek feedback.</w:t>
      </w:r>
    </w:p>
    <w:p>
      <w:pPr>
        <w:spacing w:after="20" w:line="223" w:lineRule="auto"/>
        <w:jc w:val="right"/>
        <w:bidi/>
      </w:pPr>
      <w:r>
        <w:rPr>
          <w:rFonts w:ascii="Arial" w:hAnsi="Arial"/>
          <w:sz w:val="16"/>
        </w:rPr>
        <w:t>274.08  حتی بهترین ارتباط‌دهنده‌ها نیز می‌توانند جنبه‌های کلیدی پیام‌های خود را نادیده بگیرند.</w:t>
      </w:r>
    </w:p>
    <w:p>
      <w:pPr>
        <w:spacing w:after="28" w:line="216" w:lineRule="auto"/>
        <w:ind w:left="259"/>
        <w:jc w:val="left"/>
      </w:pPr>
      <w:r>
        <w:rPr>
          <w:rFonts w:ascii="Arial" w:hAnsi="Arial"/>
          <w:color w:val="525252"/>
          <w:sz w:val="13"/>
        </w:rPr>
        <w:t>Even the best communicators can overlook key aspects of their messages.</w:t>
      </w:r>
    </w:p>
    <w:p>
      <w:pPr>
        <w:spacing w:after="20" w:line="223" w:lineRule="auto"/>
        <w:jc w:val="right"/>
        <w:bidi/>
      </w:pPr>
      <w:r>
        <w:rPr>
          <w:rFonts w:ascii="Arial" w:hAnsi="Arial"/>
          <w:sz w:val="16"/>
        </w:rPr>
        <w:t>274.09  در این مرحله، اجازه دهید غرور شما در نویسندگی کنار گذاشته شود و به تمایل دیگران برای بررسی و ارائه بازخورد در مورد کار خود افتخار کنید.</w:t>
      </w:r>
    </w:p>
    <w:p>
      <w:pPr>
        <w:spacing w:after="28" w:line="216" w:lineRule="auto"/>
        <w:ind w:left="259"/>
        <w:jc w:val="left"/>
      </w:pPr>
      <w:r>
        <w:rPr>
          <w:rFonts w:ascii="Arial" w:hAnsi="Arial"/>
          <w:color w:val="525252"/>
          <w:sz w:val="13"/>
        </w:rPr>
        <w:t>In this step, allow your pride in authorship to be set aside and seek pride in other’s willingness to review and provide feedback on your work.</w:t>
      </w:r>
    </w:p>
    <w:p>
      <w:pPr>
        <w:spacing w:after="20" w:line="223" w:lineRule="auto"/>
        <w:jc w:val="right"/>
        <w:bidi/>
      </w:pPr>
      <w:r>
        <w:rPr>
          <w:rFonts w:ascii="Arial" w:hAnsi="Arial"/>
          <w:sz w:val="16"/>
        </w:rPr>
        <w:t>274.10  ابتدا با بازبینان خود در مورد نقاط قوت و ضعف خود در میان بگذارید و به آنها بگویید چرا آنها را برای ارائه بازخورد به شما انتخاب کرده‌اید.</w:t>
      </w:r>
    </w:p>
    <w:p>
      <w:pPr>
        <w:spacing w:after="28" w:line="216" w:lineRule="auto"/>
        <w:ind w:left="259"/>
        <w:jc w:val="left"/>
      </w:pPr>
      <w:r>
        <w:rPr>
          <w:rFonts w:ascii="Arial" w:hAnsi="Arial"/>
          <w:color w:val="525252"/>
          <w:sz w:val="13"/>
        </w:rPr>
        <w:t>Communicate up front with your reviewers what your strengths and weaknesses are and let them know why you selected them to provide feedback to you.</w:t>
      </w:r>
    </w:p>
    <w:p>
      <w:pPr>
        <w:spacing w:after="20" w:line="223" w:lineRule="auto"/>
        <w:jc w:val="right"/>
        <w:bidi/>
      </w:pPr>
      <w:r>
        <w:rPr>
          <w:rFonts w:ascii="Arial" w:hAnsi="Arial"/>
          <w:sz w:val="16"/>
        </w:rPr>
        <w:t>274.11  برای استفاده بهینه از زمان، بیان کنید در چه زمینه‌هایی به احتمال زیاد به بازخورد نیاز دارید.</w:t>
      </w:r>
    </w:p>
    <w:p>
      <w:pPr>
        <w:spacing w:after="28" w:line="216" w:lineRule="auto"/>
        <w:ind w:left="259"/>
        <w:jc w:val="left"/>
      </w:pPr>
      <w:r>
        <w:rPr>
          <w:rFonts w:ascii="Arial" w:hAnsi="Arial"/>
          <w:color w:val="525252"/>
          <w:sz w:val="13"/>
        </w:rPr>
        <w:t>To best utilize time, express what areas you most likely need feedback on.</w:t>
      </w:r>
    </w:p>
    <w:p>
      <w:pPr>
        <w:spacing w:after="20" w:line="223" w:lineRule="auto"/>
        <w:jc w:val="right"/>
        <w:bidi/>
      </w:pPr>
      <w:r>
        <w:rPr>
          <w:rFonts w:ascii="Arial" w:hAnsi="Arial"/>
          <w:sz w:val="16"/>
        </w:rPr>
        <w:t>274.12  این به بازبین‌ها کمک می‌کند تا بدانند تلاش‌های خود را کجا متمرکز کنند و آنها را قادر می‌سازد هنگام ارائه بازخورد برای شما بسیار مفید باشند.</w:t>
      </w:r>
    </w:p>
    <w:p>
      <w:pPr>
        <w:spacing w:after="28" w:line="216" w:lineRule="auto"/>
        <w:ind w:left="259"/>
        <w:jc w:val="left"/>
      </w:pPr>
      <w:r>
        <w:rPr>
          <w:rFonts w:ascii="Arial" w:hAnsi="Arial"/>
          <w:color w:val="525252"/>
          <w:sz w:val="13"/>
        </w:rPr>
        <w:t>This will help reviewers know where to focus their efforts and it will enable them to be most helpful to you when providing feedback.</w:t>
      </w:r>
    </w:p>
    <w:p>
      <w:pPr>
        <w:spacing w:before="60" w:after="28"/>
        <w:jc w:val="right"/>
        <w:bidi/>
      </w:pPr>
      <w:r>
        <w:rPr>
          <w:b/>
          <w:color w:val="1F4D78"/>
          <w:sz w:val="18"/>
        </w:rPr>
        <w:t>15.16. آماده سازی مصاحبه شغلی</w:t>
      </w:r>
    </w:p>
    <w:p>
      <w:pPr>
        <w:spacing w:after="20"/>
        <w:ind w:left="259"/>
        <w:jc w:val="left"/>
      </w:pPr>
      <w:r>
        <w:rPr>
          <w:color w:val="555555"/>
          <w:sz w:val="12"/>
        </w:rPr>
        <w:t>15.16. Job Interview Preparation</w:t>
      </w:r>
    </w:p>
    <w:p>
      <w:pPr>
        <w:spacing w:after="20" w:line="223" w:lineRule="auto"/>
        <w:jc w:val="right"/>
        <w:bidi/>
      </w:pPr>
      <w:r>
        <w:rPr>
          <w:rFonts w:ascii="Arial" w:hAnsi="Arial"/>
          <w:sz w:val="16"/>
        </w:rPr>
        <w:t>274.14  قبل از اینکه خود را متعهد به تلاش لازم برای درخواست و مصاحبه برای یک شغل کنید، باید تجربه یا مهارت‌های مورد نیاز برای آن شغل را بدانید و اینکه آیا آن تجارب یا مهارت‌ها را دارید یا خیر.</w:t>
      </w:r>
    </w:p>
    <w:p>
      <w:pPr>
        <w:spacing w:after="28" w:line="216" w:lineRule="auto"/>
        <w:ind w:left="259"/>
        <w:jc w:val="left"/>
      </w:pPr>
      <w:r>
        <w:rPr>
          <w:rFonts w:ascii="Arial" w:hAnsi="Arial"/>
          <w:color w:val="525252"/>
          <w:sz w:val="13"/>
        </w:rPr>
        <w:t>Before committing yourself to the effort required of applying and interviewing for a job, you need to understand the experience or skills required for the job and whether or not you possess those experiences or skills.</w:t>
      </w:r>
    </w:p>
    <w:p>
      <w:pPr>
        <w:spacing w:after="20" w:line="223" w:lineRule="auto"/>
        <w:jc w:val="right"/>
        <w:bidi/>
      </w:pPr>
      <w:r>
        <w:rPr>
          <w:rFonts w:ascii="Arial" w:hAnsi="Arial"/>
          <w:sz w:val="16"/>
        </w:rPr>
        <w:t>274.15  یکی از اولین گام‌های آماده‌سازی برای مصاحبه شغلی، مطالعه دقیق آگهی شغلی یا شرح موقعیت شغلی است تا دانش، مهارت‌ها و توانایی‌های خاص مورد نیاز را درک کنید.</w:t>
      </w:r>
    </w:p>
    <w:p>
      <w:pPr>
        <w:spacing w:after="28" w:line="216" w:lineRule="auto"/>
        <w:ind w:left="259"/>
        <w:jc w:val="left"/>
      </w:pPr>
      <w:r>
        <w:rPr>
          <w:rFonts w:ascii="Arial" w:hAnsi="Arial"/>
          <w:color w:val="525252"/>
          <w:sz w:val="13"/>
        </w:rPr>
        <w:t>One of the first steps in preparing for a job interview is carefully studying the job advertisement or position description so you understand the particular knowledge, skills, and abilities required.</w:t>
      </w:r>
    </w:p>
    <w:p>
      <w:pPr>
        <w:spacing w:after="20" w:line="223" w:lineRule="auto"/>
        <w:jc w:val="right"/>
        <w:bidi/>
      </w:pPr>
      <w:r>
        <w:rPr>
          <w:rFonts w:ascii="Arial" w:hAnsi="Arial"/>
          <w:sz w:val="16"/>
        </w:rPr>
        <w:t>274.16  هنگامی که دانش، مهارت‌ها و توانایی‌های خود را با موفقیت هماهنگ کردید، تمام اطلاعات و مدارک مورد نیاز را برای فرآیند درخواست جمع‌آوری کنید.</w:t>
      </w:r>
    </w:p>
    <w:p>
      <w:pPr>
        <w:spacing w:after="28" w:line="216" w:lineRule="auto"/>
        <w:ind w:left="259"/>
        <w:jc w:val="left"/>
      </w:pPr>
      <w:r>
        <w:rPr>
          <w:rFonts w:ascii="Arial" w:hAnsi="Arial"/>
          <w:color w:val="525252"/>
          <w:sz w:val="13"/>
        </w:rPr>
        <w:t>Once you have successfully aligned your knowledge, skills, and abilities to the job, then gather all required information and documentation for the application process.</w:t>
      </w:r>
    </w:p>
    <w:p>
      <w:pPr>
        <w:spacing w:after="20" w:line="223" w:lineRule="auto"/>
        <w:jc w:val="right"/>
        <w:bidi/>
      </w:pPr>
      <w:r>
        <w:rPr>
          <w:rFonts w:ascii="Arial" w:hAnsi="Arial"/>
          <w:sz w:val="16"/>
        </w:rPr>
        <w:t>274.17  درخواست برای کار.</w:t>
      </w:r>
    </w:p>
    <w:p>
      <w:pPr>
        <w:spacing w:after="28" w:line="216" w:lineRule="auto"/>
        <w:ind w:left="259"/>
        <w:jc w:val="left"/>
      </w:pPr>
      <w:r>
        <w:rPr>
          <w:rFonts w:ascii="Arial" w:hAnsi="Arial"/>
          <w:color w:val="525252"/>
          <w:sz w:val="13"/>
        </w:rPr>
        <w:t>Applying for the Job.</w:t>
      </w:r>
    </w:p>
    <w:p>
      <w:pPr>
        <w:spacing w:after="20" w:line="223" w:lineRule="auto"/>
        <w:jc w:val="right"/>
        <w:bidi/>
      </w:pPr>
      <w:r>
        <w:rPr>
          <w:rFonts w:ascii="Arial" w:hAnsi="Arial"/>
          <w:sz w:val="16"/>
        </w:rPr>
        <w:t>274.18  هنگام درخواست برای وظیفه ویژه، جستجوی کار، یا صرفا جمع‌آوری اطلاعات مرتبط برای ساختن یک رزومه یا بسته برنامه کاربردی در آینده، انتظارات کارفرمای متفاوتی وجود دارد که باید با آنها آشنا شوید.</w:t>
      </w:r>
    </w:p>
    <w:p>
      <w:pPr>
        <w:spacing w:after="28" w:line="216" w:lineRule="auto"/>
        <w:ind w:left="259"/>
        <w:jc w:val="left"/>
      </w:pPr>
      <w:r>
        <w:rPr>
          <w:rFonts w:ascii="Arial" w:hAnsi="Arial"/>
          <w:color w:val="525252"/>
          <w:sz w:val="13"/>
        </w:rPr>
        <w:t>When applying for special duty, seeking employment, or simply gathering pertinent information to successfully build a resume or application package in the future, there are different employer expectations you will want to be familiar with.</w:t>
      </w:r>
    </w:p>
    <w:p>
      <w:pPr>
        <w:spacing w:after="20" w:line="223" w:lineRule="auto"/>
        <w:jc w:val="right"/>
        <w:bidi/>
      </w:pPr>
      <w:r>
        <w:rPr>
          <w:rFonts w:ascii="Arial" w:hAnsi="Arial"/>
          <w:sz w:val="16"/>
        </w:rPr>
        <w:t>274.19  در بسیاری از موارد، ممکن است لازم باشد یک بسته درخواست با اسناد مختلفی مانند گزارش عملکرد اخیر، اسناد پرسنل، رزومه، درخواست شغل، رزومه، بیوگرافی، توصیه نامه، نامه پوششی و در برخی موارد، ریز نمرات دانشگاه ارسال کنید.</w:t>
      </w:r>
    </w:p>
    <w:p>
      <w:pPr>
        <w:spacing w:after="28" w:line="216" w:lineRule="auto"/>
        <w:ind w:left="259"/>
        <w:jc w:val="left"/>
      </w:pPr>
      <w:r>
        <w:rPr>
          <w:rFonts w:ascii="Arial" w:hAnsi="Arial"/>
          <w:color w:val="525252"/>
          <w:sz w:val="13"/>
        </w:rPr>
        <w:t>In many cases, you may need to submit an application package with various documents, such as recent performance reports, personnel documents, a resume, a job application, a curriculum vitae, a biography, letters of recommendation, a cover letter, and in some cases, college transcripts.</w:t>
      </w:r>
    </w:p>
    <w:p>
      <w:pPr>
        <w:spacing w:after="20" w:line="223" w:lineRule="auto"/>
        <w:jc w:val="right"/>
        <w:bidi/>
      </w:pPr>
      <w:r>
        <w:rPr>
          <w:rFonts w:ascii="Arial" w:hAnsi="Arial"/>
          <w:sz w:val="16"/>
        </w:rPr>
        <w:t>274.20  هر یک از این مدارکی که برای درخواست شغل ارسال می‌شوند باید به گونه‌ای تنظیم شوند که دانش، مهارت‌ها و توانایی‌های خاص شما مرتبط با موقعیتی که برای آن درخواست می‌کنید برجسته شود.</w:t>
      </w:r>
    </w:p>
    <w:p>
      <w:pPr>
        <w:spacing w:after="28" w:line="216" w:lineRule="auto"/>
        <w:ind w:left="259"/>
        <w:jc w:val="left"/>
      </w:pPr>
      <w:r>
        <w:rPr>
          <w:rFonts w:ascii="Arial" w:hAnsi="Arial"/>
          <w:color w:val="525252"/>
          <w:sz w:val="13"/>
        </w:rPr>
        <w:t>Any of these documents submitted for a job application should be tailored to highlight your particular knowledge, skills, and abilities related to the position for which you are applying.</w:t>
      </w:r>
    </w:p>
    <w:p>
      <w:pPr>
        <w:spacing w:after="20" w:line="223" w:lineRule="auto"/>
        <w:jc w:val="right"/>
        <w:bidi/>
      </w:pPr>
      <w:r>
        <w:rPr>
          <w:rFonts w:ascii="Arial" w:hAnsi="Arial"/>
          <w:sz w:val="16"/>
        </w:rPr>
        <w:t>274.21  مصاحبه برای شغل.</w:t>
      </w:r>
    </w:p>
    <w:p>
      <w:pPr>
        <w:spacing w:after="28" w:line="216" w:lineRule="auto"/>
        <w:ind w:left="259"/>
        <w:jc w:val="left"/>
      </w:pPr>
      <w:r>
        <w:rPr>
          <w:rFonts w:ascii="Arial" w:hAnsi="Arial"/>
          <w:color w:val="525252"/>
          <w:sz w:val="13"/>
        </w:rPr>
        <w:t>Interviewing for the Job.</w:t>
      </w:r>
    </w:p>
    <w:p>
      <w:pPr>
        <w:spacing w:after="20" w:line="223" w:lineRule="auto"/>
        <w:jc w:val="right"/>
        <w:bidi/>
      </w:pPr>
      <w:r>
        <w:rPr>
          <w:rFonts w:ascii="Arial" w:hAnsi="Arial"/>
          <w:sz w:val="16"/>
        </w:rPr>
        <w:t>274.22  بسیاری از موقعیت‌های USAF نیاز به مصاحبه شغلی دارند.</w:t>
      </w:r>
    </w:p>
    <w:p>
      <w:pPr>
        <w:spacing w:after="28" w:line="216" w:lineRule="auto"/>
        <w:ind w:left="259"/>
        <w:jc w:val="left"/>
      </w:pPr>
      <w:r>
        <w:rPr>
          <w:rFonts w:ascii="Arial" w:hAnsi="Arial"/>
          <w:color w:val="525252"/>
          <w:sz w:val="13"/>
        </w:rPr>
        <w:t>Many USAF positions require a job interview.</w:t>
      </w:r>
    </w:p>
    <w:p>
      <w:pPr>
        <w:spacing w:after="20" w:line="223" w:lineRule="auto"/>
        <w:jc w:val="right"/>
        <w:bidi/>
      </w:pPr>
      <w:r>
        <w:rPr>
          <w:rFonts w:ascii="Arial" w:hAnsi="Arial"/>
          <w:sz w:val="16"/>
        </w:rPr>
        <w:t>274.23  دانستن اینکه چگونه خود را برای مصاحبه آماده کنید و رفتار کنید، می‌تواند به شما کمک کند تا برای یک وظیفه خاص یا سایر موقعیت‌های توسعه شغلی در USAF انتخاب شوید، نه اینکه در بخش غیرنظامی استخدام شوید.</w:t>
      </w:r>
    </w:p>
    <w:p>
      <w:pPr>
        <w:spacing w:after="28" w:line="216" w:lineRule="auto"/>
        <w:ind w:left="259"/>
        <w:jc w:val="left"/>
      </w:pPr>
      <w:r>
        <w:rPr>
          <w:rFonts w:ascii="Arial" w:hAnsi="Arial"/>
          <w:color w:val="525252"/>
          <w:sz w:val="13"/>
        </w:rPr>
        <w:t>Knowing how to prepare for and conduct yourself during an interview can go a long way toward helping you get selected for a special duty or other career broadening position in the USAF, not to mention being hired in the civilian sector.</w:t>
      </w:r>
    </w:p>
    <w:p>
      <w:pPr>
        <w:spacing w:after="20" w:line="223" w:lineRule="auto"/>
        <w:jc w:val="right"/>
        <w:bidi/>
      </w:pPr>
      <w:r>
        <w:rPr>
          <w:rFonts w:ascii="Arial" w:hAnsi="Arial"/>
          <w:sz w:val="16"/>
        </w:rPr>
        <w:t>274.24  قبل از مصاحبه، خود را در این ذهنیت قرار دهید که هر آنچه که مصاحبه کننده می‌بیند یا از شما می‌شنود، بخشی از مصاحبه است.</w:t>
      </w:r>
    </w:p>
    <w:p>
      <w:pPr>
        <w:spacing w:after="28" w:line="216" w:lineRule="auto"/>
        <w:ind w:left="259"/>
        <w:jc w:val="left"/>
      </w:pPr>
      <w:r>
        <w:rPr>
          <w:rFonts w:ascii="Arial" w:hAnsi="Arial"/>
          <w:color w:val="525252"/>
          <w:sz w:val="13"/>
        </w:rPr>
        <w:t>Prior to the interview, put yourself in the mindset that everything the interviewer sees or hears from you is part of the interview.</w:t>
      </w:r>
    </w:p>
    <w:p>
      <w:pPr>
        <w:spacing w:after="20" w:line="223" w:lineRule="auto"/>
        <w:jc w:val="right"/>
        <w:bidi/>
      </w:pPr>
      <w:r>
        <w:rPr>
          <w:rFonts w:ascii="Arial" w:hAnsi="Arial"/>
          <w:sz w:val="16"/>
        </w:rPr>
        <w:t>274.25  مصاحبه از لحظه برداشتن تلفن یا ورود به اموال سازمان شروع می‌شود.</w:t>
      </w:r>
    </w:p>
    <w:p>
      <w:pPr>
        <w:spacing w:after="28" w:line="216" w:lineRule="auto"/>
        <w:ind w:left="259"/>
        <w:jc w:val="left"/>
      </w:pPr>
      <w:r>
        <w:rPr>
          <w:rFonts w:ascii="Arial" w:hAnsi="Arial"/>
          <w:color w:val="525252"/>
          <w:sz w:val="13"/>
        </w:rPr>
        <w:t>The interview begins the moment you pick up the phone or enter the property of the organization.</w:t>
      </w:r>
    </w:p>
    <w:p>
      <w:pPr>
        <w:spacing w:after="20" w:line="223" w:lineRule="auto"/>
        <w:jc w:val="right"/>
        <w:bidi/>
      </w:pPr>
      <w:r>
        <w:rPr>
          <w:rFonts w:ascii="Arial" w:hAnsi="Arial"/>
          <w:sz w:val="16"/>
        </w:rPr>
        <w:t>274.26  به این فکر کنید که چگونه درک خواهید شد، چگونه وارد مکالمه خواهید شد، چگونه سؤال می‌پرسید و به آن پاسخ می‌دهید، و هر چیز دیگری که فکر می‌کنید قبل، حین یا بعد از مصاحبه اتفاق می‌افتد.</w:t>
      </w:r>
    </w:p>
    <w:p>
      <w:pPr>
        <w:spacing w:after="28" w:line="216" w:lineRule="auto"/>
        <w:ind w:left="259"/>
        <w:jc w:val="left"/>
      </w:pPr>
      <w:r>
        <w:rPr>
          <w:rFonts w:ascii="Arial" w:hAnsi="Arial"/>
          <w:color w:val="525252"/>
          <w:sz w:val="13"/>
        </w:rPr>
        <w:t>Think about how you will be perceived, how you will enter the conversation, how you will ask and answer questions, and anything else you think will occur before, during, or after the interview.</w:t>
      </w:r>
    </w:p>
    <w:p>
      <w:pPr>
        <w:spacing w:after="20" w:line="223" w:lineRule="auto"/>
        <w:jc w:val="right"/>
        <w:bidi/>
      </w:pPr>
      <w:r>
        <w:rPr>
          <w:rFonts w:ascii="Arial" w:hAnsi="Arial"/>
          <w:sz w:val="16"/>
        </w:rPr>
        <w:t>274.27  اگر در حال انجام مصاحبه تلفنی هستید، مطمئن شوید که در محیطی خواهید بود که فقط می‌توانید روی مصاحبه تمرکز کنید.</w:t>
      </w:r>
    </w:p>
    <w:p>
      <w:pPr>
        <w:spacing w:after="28" w:line="216" w:lineRule="auto"/>
        <w:ind w:left="259"/>
        <w:jc w:val="left"/>
      </w:pPr>
      <w:r>
        <w:rPr>
          <w:rFonts w:ascii="Arial" w:hAnsi="Arial"/>
          <w:color w:val="525252"/>
          <w:sz w:val="13"/>
        </w:rPr>
        <w:t>If you are having a phone interview, ensure you will be in an environment where you can solely focus on the interview.</w:t>
      </w:r>
    </w:p>
    <w:p>
      <w:pPr>
        <w:spacing w:after="20" w:line="223" w:lineRule="auto"/>
        <w:jc w:val="right"/>
        <w:bidi/>
      </w:pPr>
      <w:r>
        <w:rPr>
          <w:rFonts w:ascii="Arial" w:hAnsi="Arial"/>
          <w:sz w:val="16"/>
        </w:rPr>
        <w:t>274.28  بهتر است قبل از مصاحبه در مورد مأموریت و تاریخچه سازمان استخدام کننده تحقیق کنید.</w:t>
      </w:r>
    </w:p>
    <w:p>
      <w:pPr>
        <w:spacing w:after="28" w:line="216" w:lineRule="auto"/>
        <w:ind w:left="259"/>
        <w:jc w:val="left"/>
      </w:pPr>
      <w:r>
        <w:rPr>
          <w:rFonts w:ascii="Arial" w:hAnsi="Arial"/>
          <w:color w:val="525252"/>
          <w:sz w:val="13"/>
        </w:rPr>
        <w:t>It is a good idea to research the mission and history of the hiring organization before the interview.</w:t>
      </w:r>
    </w:p>
    <w:p>
      <w:pPr>
        <w:spacing w:after="20" w:line="223" w:lineRule="auto"/>
        <w:jc w:val="right"/>
        <w:bidi/>
      </w:pPr>
      <w:r>
        <w:rPr>
          <w:rFonts w:ascii="Arial" w:hAnsi="Arial"/>
          <w:sz w:val="16"/>
        </w:rPr>
        <w:t>274.29  هرچه بیشتر در مورد سازمان بدانید، بهتر می‌توانید کارفرمایان بالقوه را متقاعد کنید که به سازمان و همچنین شغلی که به دنبال آن هستید اهمیت می‌دهید.</w:t>
      </w:r>
    </w:p>
    <w:p>
      <w:pPr>
        <w:spacing w:after="28" w:line="216" w:lineRule="auto"/>
        <w:ind w:left="259"/>
        <w:jc w:val="left"/>
      </w:pPr>
      <w:r>
        <w:rPr>
          <w:rFonts w:ascii="Arial" w:hAnsi="Arial"/>
          <w:color w:val="525252"/>
          <w:sz w:val="13"/>
        </w:rPr>
        <w:t>The more you know about the organization, the better you will be at convincing potential employers that you care about the organization, as well as the job you’re seeking.</w:t>
      </w:r>
    </w:p>
    <w:p>
      <w:pPr>
        <w:spacing w:after="20" w:line="223" w:lineRule="auto"/>
        <w:jc w:val="right"/>
        <w:bidi/>
      </w:pPr>
      <w:r>
        <w:rPr>
          <w:rFonts w:ascii="Arial" w:hAnsi="Arial"/>
          <w:sz w:val="16"/>
        </w:rPr>
        <w:t>274.30  اطلاعاتی که اغلب می‌توانید از قبل درباره سازمان بیابید ممکن است شامل این باشد که فرمانده و اعضای ارشد سازمان چه کسانی هستند، سازمان چقدر بزرگ است و بیانیه‌های مأموریت و چشم‌انداز چیست.</w:t>
      </w:r>
    </w:p>
    <w:p>
      <w:pPr>
        <w:spacing w:after="28" w:line="216" w:lineRule="auto"/>
        <w:ind w:left="259"/>
        <w:jc w:val="left"/>
      </w:pPr>
      <w:r>
        <w:rPr>
          <w:rFonts w:ascii="Arial" w:hAnsi="Arial"/>
          <w:color w:val="525252"/>
          <w:sz w:val="13"/>
        </w:rPr>
        <w:t>Information you can often find about the organization in advance might include who the commander and senior enlisted members of the organization are, how large the organization is, and what the mission and vision statements are.</w:t>
      </w:r>
    </w:p>
    <w:p>
      <w:pPr>
        <w:spacing w:after="20" w:line="223" w:lineRule="auto"/>
        <w:jc w:val="right"/>
        <w:bidi/>
      </w:pPr>
      <w:r>
        <w:rPr>
          <w:rFonts w:ascii="Arial" w:hAnsi="Arial"/>
          <w:sz w:val="16"/>
        </w:rPr>
        <w:t>274.31  مصاحبه‌کنندگان از داوطلبان انتظار دارند که پرسش‌های هوشمندانه و متفکرانه‌ای درباره سازمان و ماهیت کار بپرسند.</w:t>
      </w:r>
    </w:p>
    <w:p>
      <w:pPr>
        <w:spacing w:after="28" w:line="216" w:lineRule="auto"/>
        <w:ind w:left="259"/>
        <w:jc w:val="left"/>
      </w:pPr>
      <w:r>
        <w:rPr>
          <w:rFonts w:ascii="Arial" w:hAnsi="Arial"/>
          <w:color w:val="525252"/>
          <w:sz w:val="13"/>
        </w:rPr>
        <w:t>Interviewers expect candidates to ask intelligent, thoughtful questions concerning the organization and the nature of the work.</w:t>
      </w:r>
    </w:p>
    <w:p>
      <w:pPr>
        <w:spacing w:after="20" w:line="223" w:lineRule="auto"/>
        <w:jc w:val="right"/>
        <w:bidi/>
      </w:pPr>
      <w:r>
        <w:rPr>
          <w:rFonts w:ascii="Arial" w:hAnsi="Arial"/>
          <w:sz w:val="16"/>
        </w:rPr>
        <w:t>274.32  ماهیت و کیفیت سوالات شما</w:t>
      </w:r>
    </w:p>
    <w:p>
      <w:pPr>
        <w:spacing w:after="28" w:line="216" w:lineRule="auto"/>
        <w:ind w:left="259"/>
        <w:jc w:val="left"/>
      </w:pPr>
      <w:r>
        <w:rPr>
          <w:rFonts w:ascii="Arial" w:hAnsi="Arial"/>
          <w:color w:val="525252"/>
          <w:sz w:val="13"/>
        </w:rPr>
        <w:t>The nature and quality of your questions</w:t>
      </w:r>
    </w:p>
    <w:p>
      <w:r>
        <w:br w:type="page"/>
      </w:r>
    </w:p>
    <w:p>
      <w:pPr>
        <w:spacing w:after="60"/>
        <w:jc w:val="right"/>
        <w:bidi/>
      </w:pPr>
      <w:r>
        <w:rPr>
          <w:rFonts w:ascii="Arial" w:hAnsi="Arial"/>
          <w:b/>
          <w:color w:val="1F4D78"/>
          <w:sz w:val="19"/>
        </w:rPr>
        <w:t>هفتهٔ 275  |  صفحهٔ منبع: 291</w:t>
      </w:r>
    </w:p>
    <w:p>
      <w:pPr>
        <w:spacing w:after="20" w:line="223" w:lineRule="auto"/>
        <w:jc w:val="right"/>
        <w:bidi/>
      </w:pPr>
      <w:r>
        <w:rPr>
          <w:rFonts w:ascii="Arial" w:hAnsi="Arial"/>
          <w:sz w:val="16"/>
        </w:rPr>
        <w:t>275.01  علاقه شما را به سازمان و موقعیتی که به دنبال آن هستید آشکار خواهد کرد.</w:t>
      </w:r>
    </w:p>
    <w:p>
      <w:pPr>
        <w:spacing w:after="28" w:line="216" w:lineRule="auto"/>
        <w:ind w:left="259"/>
        <w:jc w:val="left"/>
      </w:pPr>
      <w:r>
        <w:rPr>
          <w:rFonts w:ascii="Arial" w:hAnsi="Arial"/>
          <w:color w:val="525252"/>
          <w:sz w:val="13"/>
        </w:rPr>
        <w:t>will reveal your interest in the organization and the position you’re seeking.</w:t>
      </w:r>
    </w:p>
    <w:p>
      <w:pPr>
        <w:spacing w:after="20" w:line="223" w:lineRule="auto"/>
        <w:jc w:val="right"/>
        <w:bidi/>
      </w:pPr>
      <w:r>
        <w:rPr>
          <w:rFonts w:ascii="Arial" w:hAnsi="Arial"/>
          <w:sz w:val="16"/>
        </w:rPr>
        <w:t>275.02  وقتی مصاحبه‌کننده می‌پرسد که آیا سؤال یا نگرانی در مورد شغل یا سازمان دارید، حداقل برای یک یا دو مورد که می‌خواهید درباره آن صحبت کنید آماده باشید.</w:t>
      </w:r>
    </w:p>
    <w:p>
      <w:pPr>
        <w:spacing w:after="28" w:line="216" w:lineRule="auto"/>
        <w:ind w:left="259"/>
        <w:jc w:val="left"/>
      </w:pPr>
      <w:r>
        <w:rPr>
          <w:rFonts w:ascii="Arial" w:hAnsi="Arial"/>
          <w:color w:val="525252"/>
          <w:sz w:val="13"/>
        </w:rPr>
        <w:t>When the interviewer asks if you have any questions or concerns about the job or the organization, be prepared with at least one or two things you’d like to talk about.</w:t>
      </w:r>
    </w:p>
    <w:p>
      <w:pPr>
        <w:spacing w:after="20" w:line="223" w:lineRule="auto"/>
        <w:jc w:val="right"/>
        <w:bidi/>
      </w:pPr>
      <w:r>
        <w:rPr>
          <w:rFonts w:ascii="Arial" w:hAnsi="Arial"/>
          <w:sz w:val="16"/>
        </w:rPr>
        <w:t>275.03  اگر بسته درخواستی را قبل از مصاحبه ارسال کرده باشید، این احتمال وجود دارد که در مورد اطلاعاتی که ارائه کرده‌اید از شما سؤال شود.</w:t>
      </w:r>
    </w:p>
    <w:p>
      <w:pPr>
        <w:spacing w:after="28" w:line="216" w:lineRule="auto"/>
        <w:ind w:left="259"/>
        <w:jc w:val="left"/>
      </w:pPr>
      <w:r>
        <w:rPr>
          <w:rFonts w:ascii="Arial" w:hAnsi="Arial"/>
          <w:color w:val="525252"/>
          <w:sz w:val="13"/>
        </w:rPr>
        <w:t>If you submitted an application package prior to the interview, there is a strong possibility that you will be asked questions about the information you provided.</w:t>
      </w:r>
    </w:p>
    <w:p>
      <w:pPr>
        <w:spacing w:after="20" w:line="223" w:lineRule="auto"/>
        <w:jc w:val="right"/>
        <w:bidi/>
      </w:pPr>
      <w:r>
        <w:rPr>
          <w:rFonts w:ascii="Arial" w:hAnsi="Arial"/>
          <w:sz w:val="16"/>
        </w:rPr>
        <w:t>275.04  همه اسنادی را که ارسال کرده‌اید مرور کنید، مدارک را در حین مصاحبه در نزدیکی خود نگه دارید، و آماده باشید تا نمونه‌هایی از مهارت‌ها یا تجربیات خود را درباره نقاط قوتی که می‌توانید در کار مشارکت دهید برجسته کنید.</w:t>
      </w:r>
    </w:p>
    <w:p>
      <w:pPr>
        <w:spacing w:after="28" w:line="216" w:lineRule="auto"/>
        <w:ind w:left="259"/>
        <w:jc w:val="left"/>
      </w:pPr>
      <w:r>
        <w:rPr>
          <w:rFonts w:ascii="Arial" w:hAnsi="Arial"/>
          <w:color w:val="525252"/>
          <w:sz w:val="13"/>
        </w:rPr>
        <w:t>Review all of the documents you submitted, keep the documents nearby during the interview, and be prepared to highlight examples of your skills or experiences relating to the strengths you can contribute to the job.</w:t>
      </w:r>
    </w:p>
    <w:p>
      <w:pPr>
        <w:spacing w:after="20" w:line="223" w:lineRule="auto"/>
        <w:jc w:val="right"/>
        <w:bidi/>
      </w:pPr>
      <w:r>
        <w:rPr>
          <w:rFonts w:ascii="Arial" w:hAnsi="Arial"/>
          <w:sz w:val="16"/>
        </w:rPr>
        <w:t>275.05  نمونه‌هایی از حوزه‌هایی که باید روی آن تمرکز کنید عبارتند از مهارت‌های حل مسئله، افکار در مورد تحول سازمانی، مهارت‌های تیم‌سازی، حمایت از اولویت‌های سازمان، فلسفه رهبری شما، توانایی شما برای انطباق و کار در محیط‌های سریع، و توانایی‌های تصمیم‌گیری.</w:t>
      </w:r>
    </w:p>
    <w:p>
      <w:pPr>
        <w:spacing w:after="28" w:line="216" w:lineRule="auto"/>
        <w:ind w:left="259"/>
        <w:jc w:val="left"/>
      </w:pPr>
      <w:r>
        <w:rPr>
          <w:rFonts w:ascii="Arial" w:hAnsi="Arial"/>
          <w:color w:val="525252"/>
          <w:sz w:val="13"/>
        </w:rPr>
        <w:t>Examples of areas to concentrate on are problem-solving skills, thoughts on organizational transformation, team-building skills, support for the organization’s priorities, your leadership philosophy, your ability to adapt and work in fast-paced environments, and decision-making abilities.</w:t>
      </w:r>
    </w:p>
    <w:p>
      <w:pPr>
        <w:spacing w:after="20" w:line="223" w:lineRule="auto"/>
        <w:jc w:val="right"/>
        <w:bidi/>
      </w:pPr>
      <w:r>
        <w:rPr>
          <w:rFonts w:ascii="Arial" w:hAnsi="Arial"/>
          <w:sz w:val="16"/>
        </w:rPr>
        <w:t>275.06  همچنین بتوانید به سوالات زیر پاسخ دهید: چرا باید شما را استخدام کنم؟</w:t>
      </w:r>
    </w:p>
    <w:p>
      <w:pPr>
        <w:spacing w:after="28" w:line="216" w:lineRule="auto"/>
        <w:ind w:left="259"/>
        <w:jc w:val="left"/>
      </w:pPr>
      <w:r>
        <w:rPr>
          <w:rFonts w:ascii="Arial" w:hAnsi="Arial"/>
          <w:color w:val="525252"/>
          <w:sz w:val="13"/>
        </w:rPr>
        <w:t>Also, be able to answer the following questions: Why should I hire you?</w:t>
      </w:r>
    </w:p>
    <w:p>
      <w:pPr>
        <w:spacing w:after="20" w:line="223" w:lineRule="auto"/>
        <w:jc w:val="right"/>
        <w:bidi/>
      </w:pPr>
      <w:r>
        <w:rPr>
          <w:rFonts w:ascii="Arial" w:hAnsi="Arial"/>
          <w:sz w:val="16"/>
        </w:rPr>
        <w:t>275.07  چقدر زود می‌توانید گزارش‌دهید؟</w:t>
      </w:r>
    </w:p>
    <w:p>
      <w:pPr>
        <w:spacing w:after="28" w:line="216" w:lineRule="auto"/>
        <w:ind w:left="259"/>
        <w:jc w:val="left"/>
      </w:pPr>
      <w:r>
        <w:rPr>
          <w:rFonts w:ascii="Arial" w:hAnsi="Arial"/>
          <w:color w:val="525252"/>
          <w:sz w:val="13"/>
        </w:rPr>
        <w:t>How soon can you report?</w:t>
      </w:r>
    </w:p>
    <w:p>
      <w:pPr>
        <w:spacing w:after="20" w:line="223" w:lineRule="auto"/>
        <w:jc w:val="right"/>
        <w:bidi/>
      </w:pPr>
      <w:r>
        <w:rPr>
          <w:rFonts w:ascii="Arial" w:hAnsi="Arial"/>
          <w:sz w:val="16"/>
        </w:rPr>
        <w:t>275.08  این تغییر چه تأثیری بر خانواده شما خواهد گذاشت؟</w:t>
      </w:r>
    </w:p>
    <w:p>
      <w:pPr>
        <w:spacing w:after="28" w:line="216" w:lineRule="auto"/>
        <w:ind w:left="259"/>
        <w:jc w:val="left"/>
      </w:pPr>
      <w:r>
        <w:rPr>
          <w:rFonts w:ascii="Arial" w:hAnsi="Arial"/>
          <w:color w:val="525252"/>
          <w:sz w:val="13"/>
        </w:rPr>
        <w:t>How will this change affect your family?</w:t>
      </w:r>
    </w:p>
    <w:p>
      <w:pPr>
        <w:spacing w:after="20" w:line="223" w:lineRule="auto"/>
        <w:jc w:val="right"/>
        <w:bidi/>
      </w:pPr>
      <w:r>
        <w:rPr>
          <w:rFonts w:ascii="Arial" w:hAnsi="Arial"/>
          <w:sz w:val="16"/>
        </w:rPr>
        <w:t>275.09  یکی از بزرگترین چالش‌های خود را با چنین شغلی در چه می‌بینید؟</w:t>
      </w:r>
    </w:p>
    <w:p>
      <w:pPr>
        <w:spacing w:after="28" w:line="216" w:lineRule="auto"/>
        <w:ind w:left="259"/>
        <w:jc w:val="left"/>
      </w:pPr>
      <w:r>
        <w:rPr>
          <w:rFonts w:ascii="Arial" w:hAnsi="Arial"/>
          <w:color w:val="525252"/>
          <w:sz w:val="13"/>
        </w:rPr>
        <w:t>What do you see as one of your biggest challenges with a job like this?</w:t>
      </w:r>
    </w:p>
    <w:p>
      <w:pPr>
        <w:spacing w:after="20" w:line="223" w:lineRule="auto"/>
        <w:jc w:val="right"/>
        <w:bidi/>
      </w:pPr>
      <w:r>
        <w:rPr>
          <w:rFonts w:ascii="Arial" w:hAnsi="Arial"/>
          <w:sz w:val="16"/>
        </w:rPr>
        <w:t>275.10  دو تا سه سال دیگه خودت رو کجا میبینی؟</w:t>
      </w:r>
    </w:p>
    <w:p>
      <w:pPr>
        <w:spacing w:after="28" w:line="216" w:lineRule="auto"/>
        <w:ind w:left="259"/>
        <w:jc w:val="left"/>
      </w:pPr>
      <w:r>
        <w:rPr>
          <w:rFonts w:ascii="Arial" w:hAnsi="Arial"/>
          <w:color w:val="525252"/>
          <w:sz w:val="13"/>
        </w:rPr>
        <w:t>Where do you see yourself in two to three years?</w:t>
      </w:r>
    </w:p>
    <w:p>
      <w:pPr>
        <w:spacing w:after="20" w:line="223" w:lineRule="auto"/>
        <w:jc w:val="right"/>
        <w:bidi/>
      </w:pPr>
      <w:r>
        <w:rPr>
          <w:rFonts w:ascii="Arial" w:hAnsi="Arial"/>
          <w:sz w:val="16"/>
        </w:rPr>
        <w:t>275.11  آیا مسائلی وجود دارد که مانع از پذیرش یا اجرای شما در این سمت شود؟</w:t>
      </w:r>
    </w:p>
    <w:p>
      <w:pPr>
        <w:spacing w:after="28" w:line="216" w:lineRule="auto"/>
        <w:ind w:left="259"/>
        <w:jc w:val="left"/>
      </w:pPr>
      <w:r>
        <w:rPr>
          <w:rFonts w:ascii="Arial" w:hAnsi="Arial"/>
          <w:color w:val="525252"/>
          <w:sz w:val="13"/>
        </w:rPr>
        <w:t>Are there any issues to prevent you from accepting or performing in this position?</w:t>
      </w:r>
    </w:p>
    <w:p>
      <w:pPr>
        <w:spacing w:after="20" w:line="223" w:lineRule="auto"/>
        <w:jc w:val="right"/>
        <w:bidi/>
      </w:pPr>
      <w:r>
        <w:rPr>
          <w:rFonts w:ascii="Arial" w:hAnsi="Arial"/>
          <w:sz w:val="16"/>
        </w:rPr>
        <w:t>275.12  هدف از مصاحبه.</w:t>
      </w:r>
    </w:p>
    <w:p>
      <w:pPr>
        <w:spacing w:after="28" w:line="216" w:lineRule="auto"/>
        <w:ind w:left="259"/>
        <w:jc w:val="left"/>
      </w:pPr>
      <w:r>
        <w:rPr>
          <w:rFonts w:ascii="Arial" w:hAnsi="Arial"/>
          <w:color w:val="525252"/>
          <w:sz w:val="13"/>
        </w:rPr>
        <w:t>Purpose of Interviews.</w:t>
      </w:r>
    </w:p>
    <w:p>
      <w:pPr>
        <w:spacing w:after="20" w:line="223" w:lineRule="auto"/>
        <w:jc w:val="right"/>
        <w:bidi/>
      </w:pPr>
      <w:r>
        <w:rPr>
          <w:rFonts w:ascii="Arial" w:hAnsi="Arial"/>
          <w:sz w:val="16"/>
        </w:rPr>
        <w:t>275.13  همه مصاحبه‌های شغلی با یک هدف طراحی شده‌اند - یافتن فرد مناسب برای شغل مناسب.</w:t>
      </w:r>
    </w:p>
    <w:p>
      <w:pPr>
        <w:spacing w:after="28" w:line="216" w:lineRule="auto"/>
        <w:ind w:left="259"/>
        <w:jc w:val="left"/>
      </w:pPr>
      <w:r>
        <w:rPr>
          <w:rFonts w:ascii="Arial" w:hAnsi="Arial"/>
          <w:color w:val="525252"/>
          <w:sz w:val="13"/>
        </w:rPr>
        <w:t>All job interviews are designed with one goal in mind - to find the right person for the right job.</w:t>
      </w:r>
    </w:p>
    <w:p>
      <w:pPr>
        <w:spacing w:after="20" w:line="223" w:lineRule="auto"/>
        <w:jc w:val="right"/>
        <w:bidi/>
      </w:pPr>
      <w:r>
        <w:rPr>
          <w:rFonts w:ascii="Arial" w:hAnsi="Arial"/>
          <w:sz w:val="16"/>
        </w:rPr>
        <w:t>275.14  ممکن است کارفرمایان مجبور شوند برای یک موقعیت شغلی با چندین نفر مصاحبه کنند، بنابراین هدف خود را در ذهن داشته باشید و اجازه دهید مصاحبه کننده ببیند چه مهارت‌ها و تجربیاتی را می‌توانید در این کار به ارمغان بیاورید.</w:t>
      </w:r>
    </w:p>
    <w:p>
      <w:pPr>
        <w:spacing w:after="28" w:line="216" w:lineRule="auto"/>
        <w:ind w:left="259"/>
        <w:jc w:val="left"/>
      </w:pPr>
      <w:r>
        <w:rPr>
          <w:rFonts w:ascii="Arial" w:hAnsi="Arial"/>
          <w:color w:val="525252"/>
          <w:sz w:val="13"/>
        </w:rPr>
        <w:t>Employers may have to interview several individuals for a position, so keep your goal in mind and let the interviewer see what skills and experiences you can bring to the job.</w:t>
      </w:r>
    </w:p>
    <w:p>
      <w:pPr>
        <w:spacing w:after="20" w:line="223" w:lineRule="auto"/>
        <w:jc w:val="right"/>
        <w:bidi/>
      </w:pPr>
      <w:r>
        <w:rPr>
          <w:rFonts w:ascii="Arial" w:hAnsi="Arial"/>
          <w:sz w:val="16"/>
        </w:rPr>
        <w:t>275.15  همچنین، نه تنها برای شغلی مصاحبه می‌کنید. شما در حال مصاحبه با کارفرمای آینده هستید تا ببینید آیا کار برای شما مناسب است یا خیر.</w:t>
      </w:r>
    </w:p>
    <w:p>
      <w:pPr>
        <w:spacing w:after="28" w:line="216" w:lineRule="auto"/>
        <w:ind w:left="259"/>
        <w:jc w:val="left"/>
      </w:pPr>
      <w:r>
        <w:rPr>
          <w:rFonts w:ascii="Arial" w:hAnsi="Arial"/>
          <w:color w:val="525252"/>
          <w:sz w:val="13"/>
        </w:rPr>
        <w:t>Also, not only are you interviewing for a job; you are interviewing the prospective employer to see if the job is right for you.</w:t>
      </w:r>
    </w:p>
    <w:p>
      <w:pPr>
        <w:spacing w:after="20" w:line="223" w:lineRule="auto"/>
        <w:jc w:val="right"/>
        <w:bidi/>
      </w:pPr>
      <w:r>
        <w:rPr>
          <w:rFonts w:ascii="Arial" w:hAnsi="Arial"/>
          <w:sz w:val="16"/>
        </w:rPr>
        <w:t>275.16  مطمئن شوید که شرایط کار را درک کرده‌اید و در صورت نیاز در طول مصاحبه توضیح بخواهید.</w:t>
      </w:r>
    </w:p>
    <w:p>
      <w:pPr>
        <w:spacing w:after="28" w:line="216" w:lineRule="auto"/>
        <w:ind w:left="259"/>
        <w:jc w:val="left"/>
      </w:pPr>
      <w:r>
        <w:rPr>
          <w:rFonts w:ascii="Arial" w:hAnsi="Arial"/>
          <w:color w:val="525252"/>
          <w:sz w:val="13"/>
        </w:rPr>
        <w:t>Be sure you understand the conditions of the job and ask for clarification during the interview, if needed.</w:t>
      </w:r>
    </w:p>
    <w:p>
      <w:pPr>
        <w:spacing w:after="20" w:line="223" w:lineRule="auto"/>
        <w:jc w:val="right"/>
        <w:bidi/>
      </w:pPr>
      <w:r>
        <w:rPr>
          <w:rFonts w:ascii="Arial" w:hAnsi="Arial"/>
          <w:sz w:val="16"/>
        </w:rPr>
        <w:t>275.17  مهم است که تعیین کنید آیا واقعا علاقه مند هستید که چند سال آینده را به شغل یا مأموریت احتمالی متعهد کنید.</w:t>
      </w:r>
    </w:p>
    <w:p>
      <w:pPr>
        <w:spacing w:after="28" w:line="216" w:lineRule="auto"/>
        <w:ind w:left="259"/>
        <w:jc w:val="left"/>
      </w:pPr>
      <w:r>
        <w:rPr>
          <w:rFonts w:ascii="Arial" w:hAnsi="Arial"/>
          <w:color w:val="525252"/>
          <w:sz w:val="13"/>
        </w:rPr>
        <w:t>It is important to determine whether you truly are interested in committing the next few years to the potential job or assignment.</w:t>
      </w:r>
    </w:p>
    <w:p>
      <w:pPr>
        <w:spacing w:after="20" w:line="223" w:lineRule="auto"/>
        <w:jc w:val="right"/>
        <w:bidi/>
      </w:pPr>
      <w:r>
        <w:rPr>
          <w:rFonts w:ascii="Arial" w:hAnsi="Arial"/>
          <w:sz w:val="16"/>
        </w:rPr>
        <w:t>275.18  با نزدیک شدن به پایان مصاحبه، قبل از پایان مصاحبه، از فرصت کوتاهی استفاده کنید و یک یا دو نکته اصلی را که می‌خواهید مصاحبه‌کننده درباره شما به خاطر بسپارد، ارائه دهید.</w:t>
      </w:r>
    </w:p>
    <w:p>
      <w:pPr>
        <w:spacing w:after="28" w:line="216" w:lineRule="auto"/>
        <w:ind w:left="259"/>
        <w:jc w:val="left"/>
      </w:pPr>
      <w:r>
        <w:rPr>
          <w:rFonts w:ascii="Arial" w:hAnsi="Arial"/>
          <w:color w:val="525252"/>
          <w:sz w:val="13"/>
        </w:rPr>
        <w:t>As the interview draws to a close, before the interview is over, take a brief opportunity to provide one or two main points that you want the interviewer to remember about you.</w:t>
      </w:r>
    </w:p>
    <w:p>
      <w:pPr>
        <w:spacing w:after="20" w:line="223" w:lineRule="auto"/>
        <w:jc w:val="right"/>
        <w:bidi/>
      </w:pPr>
      <w:r>
        <w:rPr>
          <w:rFonts w:ascii="Arial" w:hAnsi="Arial"/>
          <w:sz w:val="16"/>
        </w:rPr>
        <w:t>275.19  به عبارت دیگر، نکات دوری خود را در ذهن داشته باشید تا مصاحبه را با یک نکته مثبت به پایان برسانید و بر علاقه خود به این موقعیت تاکید مجدد کنید.</w:t>
      </w:r>
    </w:p>
    <w:p>
      <w:pPr>
        <w:spacing w:after="28" w:line="216" w:lineRule="auto"/>
        <w:ind w:left="259"/>
        <w:jc w:val="left"/>
      </w:pPr>
      <w:r>
        <w:rPr>
          <w:rFonts w:ascii="Arial" w:hAnsi="Arial"/>
          <w:color w:val="525252"/>
          <w:sz w:val="13"/>
        </w:rPr>
        <w:t>In other words, have your walk-away points in mind so you end the interview on a positive note and reemphasize your interest in the position.</w:t>
      </w:r>
    </w:p>
    <w:p>
      <w:pPr>
        <w:spacing w:after="20" w:line="223" w:lineRule="auto"/>
        <w:jc w:val="right"/>
        <w:bidi/>
      </w:pPr>
      <w:r>
        <w:rPr>
          <w:rFonts w:ascii="Arial" w:hAnsi="Arial"/>
          <w:sz w:val="16"/>
        </w:rPr>
        <w:t>275.20  اقدامات پس از مصاحبه.</w:t>
      </w:r>
    </w:p>
    <w:p>
      <w:pPr>
        <w:spacing w:after="28" w:line="216" w:lineRule="auto"/>
        <w:ind w:left="259"/>
        <w:jc w:val="left"/>
      </w:pPr>
      <w:r>
        <w:rPr>
          <w:rFonts w:ascii="Arial" w:hAnsi="Arial"/>
          <w:color w:val="525252"/>
          <w:sz w:val="13"/>
        </w:rPr>
        <w:t>Post-interview Actions.</w:t>
      </w:r>
    </w:p>
    <w:p>
      <w:pPr>
        <w:spacing w:after="20" w:line="223" w:lineRule="auto"/>
        <w:jc w:val="right"/>
        <w:bidi/>
      </w:pPr>
      <w:r>
        <w:rPr>
          <w:rFonts w:ascii="Arial" w:hAnsi="Arial"/>
          <w:sz w:val="16"/>
        </w:rPr>
        <w:t>275.21  در برخی موارد، ممکن است پس از مصاحبه پیگیری شود.</w:t>
      </w:r>
    </w:p>
    <w:p>
      <w:pPr>
        <w:spacing w:after="28" w:line="216" w:lineRule="auto"/>
        <w:ind w:left="259"/>
        <w:jc w:val="left"/>
      </w:pPr>
      <w:r>
        <w:rPr>
          <w:rFonts w:ascii="Arial" w:hAnsi="Arial"/>
          <w:color w:val="525252"/>
          <w:sz w:val="13"/>
        </w:rPr>
        <w:t>In some cases, it may be appropriate to follow up after an interview.</w:t>
      </w:r>
    </w:p>
    <w:p>
      <w:pPr>
        <w:spacing w:after="20" w:line="223" w:lineRule="auto"/>
        <w:jc w:val="right"/>
        <w:bidi/>
      </w:pPr>
      <w:r>
        <w:rPr>
          <w:rFonts w:ascii="Arial" w:hAnsi="Arial"/>
          <w:sz w:val="16"/>
        </w:rPr>
        <w:t>275.22  یک یا دو روز پس از مصاحبه، می‌توانید یک یادداشت تشکر کوتاه را برای سازمانی که با آن مصاحبه کرده‌اید ارسال کنید تا از فرصتی که برای مصاحبه برای آن شغل داده شده است، ابراز قدردانی کنید، علاقه خود را به این موقعیت مجددا بیان کنید، نکات قابل توجهی را برجسته کنید، یا به هر چیزی که می‌خواهید توضیح بیشتری دهید اشاره کنید.</w:t>
      </w:r>
    </w:p>
    <w:p>
      <w:pPr>
        <w:spacing w:after="28" w:line="216" w:lineRule="auto"/>
        <w:ind w:left="259"/>
        <w:jc w:val="left"/>
      </w:pPr>
      <w:r>
        <w:rPr>
          <w:rFonts w:ascii="Arial" w:hAnsi="Arial"/>
          <w:color w:val="525252"/>
          <w:sz w:val="13"/>
        </w:rPr>
        <w:t>A day or two after the interview you may choose to send a short thank-you note to the organization with which you interviewed to express your gratitude for the opportunity to interview for the job, restate your interest in the position, highlight any particularly noteworthy points, or address anything you wish to further clarify.</w:t>
      </w:r>
    </w:p>
    <w:p>
      <w:pPr>
        <w:spacing w:before="60" w:after="28"/>
        <w:jc w:val="right"/>
        <w:bidi/>
      </w:pPr>
      <w:r>
        <w:rPr>
          <w:b/>
          <w:color w:val="1F4D78"/>
          <w:sz w:val="18"/>
        </w:rPr>
        <w:t>15.17. جلسات</w:t>
      </w:r>
    </w:p>
    <w:p>
      <w:pPr>
        <w:spacing w:after="20"/>
        <w:ind w:left="259"/>
        <w:jc w:val="left"/>
      </w:pPr>
      <w:r>
        <w:rPr>
          <w:color w:val="555555"/>
          <w:sz w:val="12"/>
        </w:rPr>
        <w:t>15.17. Meetings</w:t>
      </w:r>
    </w:p>
    <w:p>
      <w:pPr>
        <w:spacing w:after="20" w:line="223" w:lineRule="auto"/>
        <w:jc w:val="right"/>
        <w:bidi/>
      </w:pPr>
      <w:r>
        <w:rPr>
          <w:rFonts w:ascii="Arial" w:hAnsi="Arial"/>
          <w:sz w:val="16"/>
        </w:rPr>
        <w:t>275.24  تصمیم‌گیری در مورد نحوه برقراری یک پیام مهم است.</w:t>
      </w:r>
    </w:p>
    <w:p>
      <w:pPr>
        <w:spacing w:after="28" w:line="216" w:lineRule="auto"/>
        <w:ind w:left="259"/>
        <w:jc w:val="left"/>
      </w:pPr>
      <w:r>
        <w:rPr>
          <w:rFonts w:ascii="Arial" w:hAnsi="Arial"/>
          <w:color w:val="525252"/>
          <w:sz w:val="13"/>
        </w:rPr>
        <w:t>Deciding how to communicate a message is important.</w:t>
      </w:r>
    </w:p>
    <w:p>
      <w:pPr>
        <w:spacing w:after="20" w:line="223" w:lineRule="auto"/>
        <w:jc w:val="right"/>
        <w:bidi/>
      </w:pPr>
      <w:r>
        <w:rPr>
          <w:rFonts w:ascii="Arial" w:hAnsi="Arial"/>
          <w:sz w:val="16"/>
        </w:rPr>
        <w:t>275.25  اگر پیامی دارید که می‌تواند به‌طور واضح و دقیق از طریق ایمیل ارسال شود، یکی از سریع‌ترین روش‌های ارسال پیام است.</w:t>
      </w:r>
    </w:p>
    <w:p>
      <w:pPr>
        <w:spacing w:after="28" w:line="216" w:lineRule="auto"/>
        <w:ind w:left="259"/>
        <w:jc w:val="left"/>
      </w:pPr>
      <w:r>
        <w:rPr>
          <w:rFonts w:ascii="Arial" w:hAnsi="Arial"/>
          <w:color w:val="525252"/>
          <w:sz w:val="13"/>
        </w:rPr>
        <w:t>If you have a message that can be sent clearly and accurately via e-mail, that is one of the quickest forms of sending a message.</w:t>
      </w:r>
    </w:p>
    <w:p>
      <w:pPr>
        <w:spacing w:after="20" w:line="223" w:lineRule="auto"/>
        <w:jc w:val="right"/>
        <w:bidi/>
      </w:pPr>
      <w:r>
        <w:rPr>
          <w:rFonts w:ascii="Arial" w:hAnsi="Arial"/>
          <w:sz w:val="16"/>
        </w:rPr>
        <w:t>275.26  اگر نیاز به ارسال پیامی دارید که نیاز به پاسخ فوری دارد یا ممکن است نیاز به توضیح یا توضیح بیشتری داشته باشید که ممکن است در ترجمه از طریق ایمیل از بین برود، گفت‌وگو کردن این موضوع از طریق تلفن ممکن است بهترین روش باشد.</w:t>
      </w:r>
    </w:p>
    <w:p>
      <w:pPr>
        <w:spacing w:after="28" w:line="216" w:lineRule="auto"/>
        <w:ind w:left="259"/>
        <w:jc w:val="left"/>
      </w:pPr>
      <w:r>
        <w:rPr>
          <w:rFonts w:ascii="Arial" w:hAnsi="Arial"/>
          <w:color w:val="525252"/>
          <w:sz w:val="13"/>
        </w:rPr>
        <w:t>If you need to send a message that requires an immediate response or might need clarification or elaboration that could be lost in translation through e-mail, discussing the issue over the phone may be the best approach to take.</w:t>
      </w:r>
    </w:p>
    <w:p>
      <w:pPr>
        <w:spacing w:after="20" w:line="223" w:lineRule="auto"/>
        <w:jc w:val="right"/>
        <w:bidi/>
      </w:pPr>
      <w:r>
        <w:rPr>
          <w:rFonts w:ascii="Arial" w:hAnsi="Arial"/>
          <w:sz w:val="16"/>
        </w:rPr>
        <w:t>275.27  اگر پیام شما نیاز به مشارکت چند نفر دارد یا نیاز به گفتگو دارد (گاهی اوقات به صورت مکرر)، ممکن است لازم باشد یک مکالمه رو در رو داشته باشید.</w:t>
      </w:r>
    </w:p>
    <w:p>
      <w:pPr>
        <w:spacing w:after="28" w:line="216" w:lineRule="auto"/>
        <w:ind w:left="259"/>
        <w:jc w:val="left"/>
      </w:pPr>
      <w:r>
        <w:rPr>
          <w:rFonts w:ascii="Arial" w:hAnsi="Arial"/>
          <w:color w:val="525252"/>
          <w:sz w:val="13"/>
        </w:rPr>
        <w:t>If your message needs to involve multiple people or requires dialogue (sometimes on a recurring basis), you may need to have a face-to-face conversation.</w:t>
      </w:r>
    </w:p>
    <w:p>
      <w:pPr>
        <w:spacing w:after="20" w:line="223" w:lineRule="auto"/>
        <w:jc w:val="right"/>
        <w:bidi/>
      </w:pPr>
      <w:r>
        <w:rPr>
          <w:rFonts w:ascii="Arial" w:hAnsi="Arial"/>
          <w:sz w:val="16"/>
        </w:rPr>
        <w:t>275.28  می‌توان از جلسات برای به اشتراک گذاشتن اطلاعات، حل مشکلات، برنامه‌ریزی، طوفان فکری یا ایجاد انگیزه استفاده کرد.</w:t>
      </w:r>
    </w:p>
    <w:p>
      <w:pPr>
        <w:spacing w:after="28" w:line="216" w:lineRule="auto"/>
        <w:ind w:left="259"/>
        <w:jc w:val="left"/>
      </w:pPr>
      <w:r>
        <w:rPr>
          <w:rFonts w:ascii="Arial" w:hAnsi="Arial"/>
          <w:color w:val="525252"/>
          <w:sz w:val="13"/>
        </w:rPr>
        <w:t>Meetings can be used to share information, solve problems, plan, brainstorm, or motivate.</w:t>
      </w:r>
    </w:p>
    <w:p>
      <w:pPr>
        <w:spacing w:after="20" w:line="223" w:lineRule="auto"/>
        <w:jc w:val="right"/>
        <w:bidi/>
      </w:pPr>
      <w:r>
        <w:rPr>
          <w:rFonts w:ascii="Arial" w:hAnsi="Arial"/>
          <w:sz w:val="16"/>
        </w:rPr>
        <w:t>275.29  هدف آنها هرچه که باشد، باید اصولی را در مورد برگزاری یک جلسه مؤثر بدانید.</w:t>
      </w:r>
    </w:p>
    <w:p>
      <w:pPr>
        <w:spacing w:after="28" w:line="216" w:lineRule="auto"/>
        <w:ind w:left="259"/>
        <w:jc w:val="left"/>
      </w:pPr>
      <w:r>
        <w:rPr>
          <w:rFonts w:ascii="Arial" w:hAnsi="Arial"/>
          <w:color w:val="525252"/>
          <w:sz w:val="13"/>
        </w:rPr>
        <w:t>Whatever their purpose, you need to know some basics about conducting an effective meeting.</w:t>
      </w:r>
    </w:p>
    <w:p>
      <w:pPr>
        <w:spacing w:after="20" w:line="223" w:lineRule="auto"/>
        <w:jc w:val="right"/>
        <w:bidi/>
      </w:pPr>
      <w:r>
        <w:rPr>
          <w:rFonts w:ascii="Arial" w:hAnsi="Arial"/>
          <w:sz w:val="16"/>
        </w:rPr>
        <w:t>275.30  روشی برای تعیین اینکه آیا جلسه مناسب‌ترین روش برای انتقال پیام است یا خیر این است که در نظر بگیرید که آیا می‌خواهید به گروهی درباره اطلاعات، مشاوره، نگرانی‌ها، حل مشکل یا تصمیم‌گیری خطاب کنید.</w:t>
      </w:r>
    </w:p>
    <w:p>
      <w:pPr>
        <w:spacing w:after="28" w:line="216" w:lineRule="auto"/>
        <w:ind w:left="259"/>
        <w:jc w:val="left"/>
      </w:pPr>
      <w:r>
        <w:rPr>
          <w:rFonts w:ascii="Arial" w:hAnsi="Arial"/>
          <w:color w:val="525252"/>
          <w:sz w:val="13"/>
        </w:rPr>
        <w:t>A way to determine whether a meeting is the most appropriate method of communicating a message is to consider if you want to address a group about information, advice, concerns, problem solving, or decision-making.</w:t>
      </w:r>
    </w:p>
    <w:p>
      <w:pPr>
        <w:spacing w:after="20" w:line="223" w:lineRule="auto"/>
        <w:jc w:val="right"/>
        <w:bidi/>
      </w:pPr>
      <w:r>
        <w:rPr>
          <w:rFonts w:ascii="Arial" w:hAnsi="Arial"/>
          <w:sz w:val="16"/>
        </w:rPr>
        <w:t>275.31  جلسات امکان گفتگوی متقابل برای بحث در مورد این نوع مسائل را فراهم می‌کند، چه در داخل</w:t>
      </w:r>
    </w:p>
    <w:p>
      <w:pPr>
        <w:spacing w:after="28" w:line="216" w:lineRule="auto"/>
        <w:ind w:left="259"/>
        <w:jc w:val="left"/>
      </w:pPr>
      <w:r>
        <w:rPr>
          <w:rFonts w:ascii="Arial" w:hAnsi="Arial"/>
          <w:color w:val="525252"/>
          <w:sz w:val="13"/>
        </w:rPr>
        <w:t>Meetings allow for cross-talk to discuss these types of issues, whether within</w:t>
      </w:r>
    </w:p>
    <w:p>
      <w:r>
        <w:br w:type="page"/>
      </w:r>
    </w:p>
    <w:p>
      <w:pPr>
        <w:spacing w:after="60"/>
        <w:jc w:val="right"/>
        <w:bidi/>
      </w:pPr>
      <w:r>
        <w:rPr>
          <w:rFonts w:ascii="Arial" w:hAnsi="Arial"/>
          <w:b/>
          <w:color w:val="1F4D78"/>
          <w:sz w:val="19"/>
        </w:rPr>
        <w:t>هفتهٔ 276  |  صفحهٔ منبع: 292</w:t>
      </w:r>
    </w:p>
    <w:p>
      <w:pPr>
        <w:spacing w:after="20" w:line="223" w:lineRule="auto"/>
        <w:jc w:val="right"/>
        <w:bidi/>
      </w:pPr>
      <w:r>
        <w:rPr>
          <w:rFonts w:ascii="Arial" w:hAnsi="Arial"/>
          <w:sz w:val="16"/>
        </w:rPr>
        <w:t>276.01  یک سازمان یا با آژانس‌های خارجی.</w:t>
      </w:r>
    </w:p>
    <w:p>
      <w:pPr>
        <w:spacing w:after="28" w:line="216" w:lineRule="auto"/>
        <w:ind w:left="259"/>
        <w:jc w:val="left"/>
      </w:pPr>
      <w:r>
        <w:rPr>
          <w:rFonts w:ascii="Arial" w:hAnsi="Arial"/>
          <w:color w:val="525252"/>
          <w:sz w:val="13"/>
        </w:rPr>
        <w:t>an organization or with outside agencies.</w:t>
      </w:r>
    </w:p>
    <w:p>
      <w:pPr>
        <w:spacing w:after="20" w:line="223" w:lineRule="auto"/>
        <w:jc w:val="right"/>
        <w:bidi/>
      </w:pPr>
      <w:r>
        <w:rPr>
          <w:rFonts w:ascii="Arial" w:hAnsi="Arial"/>
          <w:sz w:val="16"/>
        </w:rPr>
        <w:t>276.02  وقتی تصمیم گرفتید که جلسه مناسب‌ترین روش برای انتقال پیام یا موضوع است، گام‌های بعدی عبارتند از: تعریف هدف جلسه، تصمیم‌گیری از چه کسی برای شرکت یا بخشی از گفتگو، تصمیم‌گیری محل و زمان برگزاری جلسه، برنامه‌ریزی برای ضبط (ضبط) اطلاعات جلسه، ارسال دستور کار تا شرکت‌کنندگان بتوانند بر اساس قابلیت‌های شرکت‌کنندگان آماده شوند، در مورد موضوعات قابل بحث و گفتگو باشند. اطلاعات یا ملاحظات دیگر</w:t>
      </w:r>
    </w:p>
    <w:p>
      <w:pPr>
        <w:spacing w:after="28" w:line="216" w:lineRule="auto"/>
        <w:ind w:left="259"/>
        <w:jc w:val="left"/>
      </w:pPr>
      <w:r>
        <w:rPr>
          <w:rFonts w:ascii="Arial" w:hAnsi="Arial"/>
          <w:color w:val="525252"/>
          <w:sz w:val="13"/>
        </w:rPr>
        <w:t>Once you have decided that a meeting is the most appropriate method of communicating the message or issue, the next steps are to define the purpose of the meeting, decide who should be invited to participate or be a part of the conversation, decide where and when the meeting should occur, plan for capturing (recording) meeting information, send out an agenda so attendees can be prepared to discuss pertinent topics, and be flexible based on availability of attendees, information, or other considerations.</w:t>
      </w:r>
    </w:p>
    <w:p>
      <w:pPr>
        <w:spacing w:after="20" w:line="223" w:lineRule="auto"/>
        <w:jc w:val="right"/>
        <w:bidi/>
      </w:pPr>
      <w:r>
        <w:rPr>
          <w:rFonts w:ascii="Arial" w:hAnsi="Arial"/>
          <w:sz w:val="16"/>
        </w:rPr>
        <w:t>276.03  اجرای جلسه مستلزم رعایت چند قانون ساده است، اما نه در حدی که جلسات سخت، قابل پیش بینی و غیر سازنده باشند.</w:t>
      </w:r>
    </w:p>
    <w:p>
      <w:pPr>
        <w:spacing w:after="28" w:line="216" w:lineRule="auto"/>
        <w:ind w:left="259"/>
        <w:jc w:val="left"/>
      </w:pPr>
      <w:r>
        <w:rPr>
          <w:rFonts w:ascii="Arial" w:hAnsi="Arial"/>
          <w:color w:val="525252"/>
          <w:sz w:val="13"/>
        </w:rPr>
        <w:t>Running the meeting requires that a few simple rules be followed, but not to the extent that the meetings are rigid, predictable, and non-productive.</w:t>
      </w:r>
    </w:p>
    <w:p>
      <w:pPr>
        <w:spacing w:after="20" w:line="223" w:lineRule="auto"/>
        <w:jc w:val="right"/>
        <w:bidi/>
      </w:pPr>
      <w:r>
        <w:rPr>
          <w:rFonts w:ascii="Arial" w:hAnsi="Arial"/>
          <w:sz w:val="16"/>
        </w:rPr>
        <w:t>276.04  تا زمانی که شروع کنید و به موقع بمانید، دستور کار را دنبال کنید، پویایی گروه را درک کنید و با صورتجلسات جلسه به خوبی فرمت بندی شده را دنبال کنید، جلسه شما پایه خوبی برای موفقیت خواهد داشت.</w:t>
      </w:r>
    </w:p>
    <w:p>
      <w:pPr>
        <w:spacing w:after="28" w:line="216" w:lineRule="auto"/>
        <w:ind w:left="259"/>
        <w:jc w:val="left"/>
      </w:pPr>
      <w:r>
        <w:rPr>
          <w:rFonts w:ascii="Arial" w:hAnsi="Arial"/>
          <w:color w:val="525252"/>
          <w:sz w:val="13"/>
        </w:rPr>
        <w:t>As long as you start and stay on time, follow the agenda, understand group dynamics, and follow up with well formatted meeting minutes, your meeting will have a good foundation for success.</w:t>
      </w:r>
    </w:p>
    <w:p>
      <w:r>
        <w:br w:type="page"/>
      </w:r>
    </w:p>
    <w:p>
      <w:pPr>
        <w:spacing w:after="60"/>
        <w:jc w:val="right"/>
        <w:bidi/>
      </w:pPr>
      <w:r>
        <w:rPr>
          <w:rFonts w:ascii="Arial" w:hAnsi="Arial"/>
          <w:b/>
          <w:color w:val="1F4D78"/>
          <w:sz w:val="19"/>
        </w:rPr>
        <w:t>هفتهٔ 277  |  صفحهٔ منبع: 293</w:t>
      </w:r>
    </w:p>
    <w:p>
      <w:pPr>
        <w:spacing w:before="60" w:after="28"/>
        <w:jc w:val="right"/>
        <w:bidi/>
      </w:pPr>
      <w:r>
        <w:rPr>
          <w:b/>
          <w:color w:val="1F4D78"/>
          <w:sz w:val="18"/>
        </w:rPr>
        <w:t>بخش 15D-ارتباطات کتبی</w:t>
      </w:r>
    </w:p>
    <w:p>
      <w:pPr>
        <w:spacing w:after="20"/>
        <w:ind w:left="259"/>
        <w:jc w:val="left"/>
      </w:pPr>
      <w:r>
        <w:rPr>
          <w:color w:val="555555"/>
          <w:sz w:val="12"/>
        </w:rPr>
        <w:t>Section 15D—Written Communication</w:t>
      </w:r>
    </w:p>
    <w:p>
      <w:pPr>
        <w:spacing w:before="60" w:after="28"/>
        <w:jc w:val="right"/>
        <w:bidi/>
      </w:pPr>
      <w:r>
        <w:rPr>
          <w:b/>
          <w:color w:val="1F4D78"/>
          <w:sz w:val="18"/>
        </w:rPr>
        <w:t>15.18. بسترهای نوشتن</w:t>
      </w:r>
    </w:p>
    <w:p>
      <w:pPr>
        <w:spacing w:after="20"/>
        <w:ind w:left="259"/>
        <w:jc w:val="left"/>
      </w:pPr>
      <w:r>
        <w:rPr>
          <w:color w:val="555555"/>
          <w:sz w:val="12"/>
        </w:rPr>
        <w:t>15.18. Writing Platforms</w:t>
      </w:r>
    </w:p>
    <w:p>
      <w:pPr>
        <w:spacing w:after="20" w:line="223" w:lineRule="auto"/>
        <w:jc w:val="right"/>
        <w:bidi/>
      </w:pPr>
      <w:r>
        <w:rPr>
          <w:rFonts w:ascii="Arial" w:hAnsi="Arial"/>
          <w:sz w:val="16"/>
        </w:rPr>
        <w:t>277.03  USAF فرمت‌های رایج و اساسی ارتباطات کتبی را برای مکاتبات و یادداشت‌های رسمی و شخصی اتخاذ کرده است.</w:t>
      </w:r>
    </w:p>
    <w:p>
      <w:pPr>
        <w:spacing w:after="28" w:line="216" w:lineRule="auto"/>
        <w:ind w:left="259"/>
        <w:jc w:val="left"/>
      </w:pPr>
      <w:r>
        <w:rPr>
          <w:rFonts w:ascii="Arial" w:hAnsi="Arial"/>
          <w:color w:val="525252"/>
          <w:sz w:val="13"/>
        </w:rPr>
        <w:t>The USAF has adopted common, basic formats of written communication for official and personal correspondence and memorandums.</w:t>
      </w:r>
    </w:p>
    <w:p>
      <w:pPr>
        <w:spacing w:after="20" w:line="223" w:lineRule="auto"/>
        <w:jc w:val="right"/>
        <w:bidi/>
      </w:pPr>
      <w:r>
        <w:rPr>
          <w:rFonts w:ascii="Arial" w:hAnsi="Arial"/>
          <w:sz w:val="16"/>
        </w:rPr>
        <w:t>277.04  درک هدف این قالب‌ها به بهترین وجه به مافوق، خود و زیردستانتان در استفاده از قالب مناسب برای هدف مورد نظر کمک می‌کند.</w:t>
      </w:r>
    </w:p>
    <w:p>
      <w:pPr>
        <w:spacing w:after="28" w:line="216" w:lineRule="auto"/>
        <w:ind w:left="259"/>
        <w:jc w:val="left"/>
      </w:pPr>
      <w:r>
        <w:rPr>
          <w:rFonts w:ascii="Arial" w:hAnsi="Arial"/>
          <w:color w:val="525252"/>
          <w:sz w:val="13"/>
        </w:rPr>
        <w:t>Understanding the purpose of these formats will best serve your superiors, yourself, and your subordinates in using the proper format for the intended purpose.</w:t>
      </w:r>
    </w:p>
    <w:p>
      <w:pPr>
        <w:spacing w:after="20" w:line="223" w:lineRule="auto"/>
        <w:jc w:val="right"/>
        <w:bidi/>
      </w:pPr>
      <w:r>
        <w:rPr>
          <w:rFonts w:ascii="Arial" w:hAnsi="Arial"/>
          <w:sz w:val="16"/>
        </w:rPr>
        <w:t>277.05  DAFH ۳۳-۳۳۷ دستورالعمل‌های مفصلی را برای ارتباطات نوشتاری بیان می‌کند، در حالی که سازمان‌های مختلف ممکن است سبک‌های ترجیحی داخلی را نیز اتخاذ کرده باشند.</w:t>
      </w:r>
    </w:p>
    <w:p>
      <w:pPr>
        <w:spacing w:after="28" w:line="216" w:lineRule="auto"/>
        <w:ind w:left="259"/>
        <w:jc w:val="left"/>
      </w:pPr>
      <w:r>
        <w:rPr>
          <w:rFonts w:ascii="Arial" w:hAnsi="Arial"/>
          <w:color w:val="525252"/>
          <w:sz w:val="13"/>
        </w:rPr>
        <w:t>DAFH 33-337 outlines detailed instructions for written communication, while various organizations may have adopted internally preferred styles as well.</w:t>
      </w:r>
    </w:p>
    <w:p>
      <w:pPr>
        <w:spacing w:after="20" w:line="223" w:lineRule="auto"/>
        <w:jc w:val="right"/>
        <w:bidi/>
      </w:pPr>
      <w:r>
        <w:rPr>
          <w:rFonts w:ascii="Arial" w:hAnsi="Arial"/>
          <w:sz w:val="16"/>
        </w:rPr>
        <w:t>277.06  یکی از جنبه‌های کلیدی برای انتخاب قالب مناسب برای استفاده برای ارتباطات نوشتاری، سازگاری در رویکرد شما است.</w:t>
      </w:r>
    </w:p>
    <w:p>
      <w:pPr>
        <w:spacing w:after="28" w:line="216" w:lineRule="auto"/>
        <w:ind w:left="259"/>
        <w:jc w:val="left"/>
      </w:pPr>
      <w:r>
        <w:rPr>
          <w:rFonts w:ascii="Arial" w:hAnsi="Arial"/>
          <w:color w:val="525252"/>
          <w:sz w:val="13"/>
        </w:rPr>
        <w:t>One key aspect for choosing the appropriate format to use for written communication is consistency in your approach.</w:t>
      </w:r>
    </w:p>
    <w:p>
      <w:pPr>
        <w:spacing w:after="20" w:line="223" w:lineRule="auto"/>
        <w:jc w:val="right"/>
        <w:bidi/>
      </w:pPr>
      <w:r>
        <w:rPr>
          <w:rFonts w:ascii="Arial" w:hAnsi="Arial"/>
          <w:sz w:val="16"/>
        </w:rPr>
        <w:t>277.07  توجه به جزئیات، قالب مناسب و اطلاعات مربوطه تضمین می‌کند که ارتباطات مکتوب به‌عنوان نمایندگی حرفه‌ای سازمان شما عمل می‌کند.</w:t>
      </w:r>
    </w:p>
    <w:p>
      <w:pPr>
        <w:spacing w:after="28" w:line="216" w:lineRule="auto"/>
        <w:ind w:left="259"/>
        <w:jc w:val="left"/>
      </w:pPr>
      <w:r>
        <w:rPr>
          <w:rFonts w:ascii="Arial" w:hAnsi="Arial"/>
          <w:color w:val="525252"/>
          <w:sz w:val="13"/>
        </w:rPr>
        <w:t>Attention to detail, proper format, and pertinent information will ensure written communication serves as a professional representation of your organization.</w:t>
      </w:r>
    </w:p>
    <w:p>
      <w:pPr>
        <w:spacing w:before="60" w:after="28"/>
        <w:jc w:val="right"/>
        <w:bidi/>
      </w:pPr>
      <w:r>
        <w:rPr>
          <w:b/>
          <w:color w:val="1F4D78"/>
          <w:sz w:val="18"/>
        </w:rPr>
        <w:t>15.19. تفاهم نامه رسمی</w:t>
      </w:r>
    </w:p>
    <w:p>
      <w:pPr>
        <w:spacing w:after="20"/>
        <w:ind w:left="259"/>
        <w:jc w:val="left"/>
      </w:pPr>
      <w:r>
        <w:rPr>
          <w:color w:val="555555"/>
          <w:sz w:val="12"/>
        </w:rPr>
        <w:t>15.19. Official Memorandum</w:t>
      </w:r>
    </w:p>
    <w:p>
      <w:pPr>
        <w:spacing w:after="20" w:line="223" w:lineRule="auto"/>
        <w:jc w:val="right"/>
        <w:bidi/>
      </w:pPr>
      <w:r>
        <w:rPr>
          <w:rFonts w:ascii="Arial" w:hAnsi="Arial"/>
          <w:sz w:val="16"/>
        </w:rPr>
        <w:t>277.09  یادداشت‌های رسمی برای برقراری ارتباط در سراسر وزارت دفاع و سایر آژانس‌های فدرال استفاده می‌شود.</w:t>
      </w:r>
    </w:p>
    <w:p>
      <w:pPr>
        <w:spacing w:after="28" w:line="216" w:lineRule="auto"/>
        <w:ind w:left="259"/>
        <w:jc w:val="left"/>
      </w:pPr>
      <w:r>
        <w:rPr>
          <w:rFonts w:ascii="Arial" w:hAnsi="Arial"/>
          <w:color w:val="525252"/>
          <w:sz w:val="13"/>
        </w:rPr>
        <w:t>Official memorandums are used to communicate throughout the Department of Defense and other federal agencies.</w:t>
      </w:r>
    </w:p>
    <w:p>
      <w:pPr>
        <w:spacing w:after="20" w:line="223" w:lineRule="auto"/>
        <w:jc w:val="right"/>
        <w:bidi/>
      </w:pPr>
      <w:r>
        <w:rPr>
          <w:rFonts w:ascii="Arial" w:hAnsi="Arial"/>
          <w:sz w:val="16"/>
        </w:rPr>
        <w:t>277.10  علاوه بر این، در مواقعی که نامه شخصی مناسب نیست، از تفاهم نامه‌های رسمی برای انجام تجارت رسمی خارج از دولت با فروشندگان یا پیمانکاران استفاده می‌شود.</w:t>
      </w:r>
    </w:p>
    <w:p>
      <w:pPr>
        <w:spacing w:after="28" w:line="216" w:lineRule="auto"/>
        <w:ind w:left="259"/>
        <w:jc w:val="left"/>
      </w:pPr>
      <w:r>
        <w:rPr>
          <w:rFonts w:ascii="Arial" w:hAnsi="Arial"/>
          <w:color w:val="525252"/>
          <w:sz w:val="13"/>
        </w:rPr>
        <w:t>In addition, official memorandums are used to conduct official business outside the government with vendors or contractors when the personal letter is not appropriate.</w:t>
      </w:r>
    </w:p>
    <w:p>
      <w:pPr>
        <w:spacing w:after="20" w:line="223" w:lineRule="auto"/>
        <w:jc w:val="right"/>
        <w:bidi/>
      </w:pPr>
      <w:r>
        <w:rPr>
          <w:rFonts w:ascii="Arial" w:hAnsi="Arial"/>
          <w:sz w:val="16"/>
        </w:rPr>
        <w:t>277.11  یادداشت‌ها ممکن است به مقامات خاص، دفاتر واحد، دفاتر متعدد، چندین دفتر به نوبه خود، یا فهرست‌های DISTRIBUTION ارسال شوند.</w:t>
      </w:r>
    </w:p>
    <w:p>
      <w:pPr>
        <w:spacing w:after="28" w:line="216" w:lineRule="auto"/>
        <w:ind w:left="259"/>
        <w:jc w:val="left"/>
      </w:pPr>
      <w:r>
        <w:rPr>
          <w:rFonts w:ascii="Arial" w:hAnsi="Arial"/>
          <w:color w:val="525252"/>
          <w:sz w:val="13"/>
        </w:rPr>
        <w:t>Memorandums may be addressed to specific officials, single offices, multiple offices, multiple offices IN TURN, or to DISTRIBUTION lists.</w:t>
      </w:r>
    </w:p>
    <w:p>
      <w:pPr>
        <w:spacing w:after="20" w:line="223" w:lineRule="auto"/>
        <w:jc w:val="right"/>
        <w:bidi/>
      </w:pPr>
      <w:r>
        <w:rPr>
          <w:rFonts w:ascii="Arial" w:hAnsi="Arial"/>
          <w:sz w:val="16"/>
        </w:rPr>
        <w:t>277.12  اطلاعات تفصیلی مربوط به عنوان، متن و بخش‌های پایانی یادداشت رسمی، و همچنین اطلاعات اضافی، پیوست‌ها و نمونه‌ها، در DAFH ۳۳-۳۳۷، فصل ۱۴ ارائه شده است.</w:t>
      </w:r>
    </w:p>
    <w:p>
      <w:pPr>
        <w:spacing w:after="28" w:line="216" w:lineRule="auto"/>
        <w:ind w:left="259"/>
        <w:jc w:val="left"/>
      </w:pPr>
      <w:r>
        <w:rPr>
          <w:rFonts w:ascii="Arial" w:hAnsi="Arial"/>
          <w:color w:val="525252"/>
          <w:sz w:val="13"/>
        </w:rPr>
        <w:t>Detailed information pertaining to the heading, text, and closing sections of the official memorandum, as well as additional information, attachments, and examples, are provided in DAFH 33-337, Chapter 14.</w:t>
      </w:r>
    </w:p>
    <w:p>
      <w:pPr>
        <w:spacing w:before="60" w:after="28"/>
        <w:jc w:val="right"/>
        <w:bidi/>
      </w:pPr>
      <w:r>
        <w:rPr>
          <w:b/>
          <w:color w:val="1F4D78"/>
          <w:sz w:val="18"/>
        </w:rPr>
        <w:t>15.20. نامه شخصی</w:t>
      </w:r>
    </w:p>
    <w:p>
      <w:pPr>
        <w:spacing w:after="20"/>
        <w:ind w:left="259"/>
        <w:jc w:val="left"/>
      </w:pPr>
      <w:r>
        <w:rPr>
          <w:color w:val="555555"/>
          <w:sz w:val="12"/>
        </w:rPr>
        <w:t>15.20. Personal Letter</w:t>
      </w:r>
    </w:p>
    <w:p>
      <w:pPr>
        <w:spacing w:after="20" w:line="223" w:lineRule="auto"/>
        <w:jc w:val="right"/>
        <w:bidi/>
      </w:pPr>
      <w:r>
        <w:rPr>
          <w:rFonts w:ascii="Arial" w:hAnsi="Arial"/>
          <w:sz w:val="16"/>
        </w:rPr>
        <w:t>277.14  زمانی که ارتباط نیاز به تماس شخصی دارد یا زمانی که صمیمیت یا صمیمیت ترجیح داده می‌شود از نامه شخصی استفاده کنید.</w:t>
      </w:r>
    </w:p>
    <w:p>
      <w:pPr>
        <w:spacing w:after="28" w:line="216" w:lineRule="auto"/>
        <w:ind w:left="259"/>
        <w:jc w:val="left"/>
      </w:pPr>
      <w:r>
        <w:rPr>
          <w:rFonts w:ascii="Arial" w:hAnsi="Arial"/>
          <w:color w:val="525252"/>
          <w:sz w:val="13"/>
        </w:rPr>
        <w:t>Use the personal letter when communication needs a personal touch or when warmth or sincerity is preferred.</w:t>
      </w:r>
    </w:p>
    <w:p>
      <w:pPr>
        <w:spacing w:after="20" w:line="223" w:lineRule="auto"/>
        <w:jc w:val="right"/>
        <w:bidi/>
      </w:pPr>
      <w:r>
        <w:rPr>
          <w:rFonts w:ascii="Arial" w:hAnsi="Arial"/>
          <w:sz w:val="16"/>
        </w:rPr>
        <w:t>277.15  از نامه شخصی ممکن است برای نوشتن به یک فرد در مورد یک موضوع خصوصی، مانند تمجید، تسلیت، یا حمایت مالی استفاده شود.</w:t>
      </w:r>
    </w:p>
    <w:p>
      <w:pPr>
        <w:spacing w:after="28" w:line="216" w:lineRule="auto"/>
        <w:ind w:left="259"/>
        <w:jc w:val="left"/>
      </w:pPr>
      <w:r>
        <w:rPr>
          <w:rFonts w:ascii="Arial" w:hAnsi="Arial"/>
          <w:color w:val="525252"/>
          <w:sz w:val="13"/>
        </w:rPr>
        <w:t>The personal letter may be used to write to an individual on a private matter, such as for praise, condolence, or sponsorship.</w:t>
      </w:r>
    </w:p>
    <w:p>
      <w:pPr>
        <w:spacing w:after="20" w:line="223" w:lineRule="auto"/>
        <w:jc w:val="right"/>
        <w:bidi/>
      </w:pPr>
      <w:r>
        <w:rPr>
          <w:rFonts w:ascii="Arial" w:hAnsi="Arial"/>
          <w:sz w:val="16"/>
        </w:rPr>
        <w:t>277.16  نامه شخصی را ترجیحا بیشتر از یک صفحه کوتاه نگه دارید و از استفاده از کلمات اختصاری خودداری کنید.</w:t>
      </w:r>
    </w:p>
    <w:p>
      <w:pPr>
        <w:spacing w:after="28" w:line="216" w:lineRule="auto"/>
        <w:ind w:left="259"/>
        <w:jc w:val="left"/>
      </w:pPr>
      <w:r>
        <w:rPr>
          <w:rFonts w:ascii="Arial" w:hAnsi="Arial"/>
          <w:color w:val="525252"/>
          <w:sz w:val="13"/>
        </w:rPr>
        <w:t>Keep the personal letter brief, preferably no longer than one page, and avoid using acronyms.</w:t>
      </w:r>
    </w:p>
    <w:p>
      <w:pPr>
        <w:spacing w:after="20" w:line="223" w:lineRule="auto"/>
        <w:jc w:val="right"/>
        <w:bidi/>
      </w:pPr>
      <w:r>
        <w:rPr>
          <w:rFonts w:ascii="Arial" w:hAnsi="Arial"/>
          <w:sz w:val="16"/>
        </w:rPr>
        <w:t>277.17  اطلاعات خاص مربوط به عنوان، متن و بخش‌های پایانی نامه شخصی، و همچنین فرم‌های آدرس، رتبه‌ها، اختصارات، اطلاعات اضافی و نمونه‌ها، در DAFH ۳۳-۳۳۷، فصل ۱۵ ارائه شده است.</w:t>
      </w:r>
    </w:p>
    <w:p>
      <w:pPr>
        <w:spacing w:after="28" w:line="216" w:lineRule="auto"/>
        <w:ind w:left="259"/>
        <w:jc w:val="left"/>
      </w:pPr>
      <w:r>
        <w:rPr>
          <w:rFonts w:ascii="Arial" w:hAnsi="Arial"/>
          <w:color w:val="525252"/>
          <w:sz w:val="13"/>
        </w:rPr>
        <w:t>Specific information pertaining to the heading, text, and closing sections of the personal letter, as well as forms of address, ranks, abbreviations, additional information, and examples, are provided in DAFH 33-337, Chapter 15.</w:t>
      </w:r>
    </w:p>
    <w:p>
      <w:pPr>
        <w:spacing w:before="60" w:after="28"/>
        <w:jc w:val="right"/>
        <w:bidi/>
      </w:pPr>
      <w:r>
        <w:rPr>
          <w:b/>
          <w:color w:val="1F4D78"/>
          <w:sz w:val="18"/>
        </w:rPr>
        <w:t>15.21. اسناد نیروی هوایی</w:t>
      </w:r>
    </w:p>
    <w:p>
      <w:pPr>
        <w:spacing w:after="20"/>
        <w:ind w:left="259"/>
        <w:jc w:val="left"/>
      </w:pPr>
      <w:r>
        <w:rPr>
          <w:color w:val="555555"/>
          <w:sz w:val="12"/>
        </w:rPr>
        <w:t>15.21. Air Force Papers</w:t>
      </w:r>
    </w:p>
    <w:p>
      <w:pPr>
        <w:spacing w:after="20" w:line="223" w:lineRule="auto"/>
        <w:jc w:val="right"/>
        <w:bidi/>
      </w:pPr>
      <w:r>
        <w:rPr>
          <w:rFonts w:ascii="Arial" w:hAnsi="Arial"/>
          <w:sz w:val="16"/>
        </w:rPr>
        <w:t>277.19  USAF از محصولات مکتوب (کاغذها) به اشکال مختلف برای کارهای روزمره کارکنان برای انجام وظایف مختلف استفاده می‌کند.</w:t>
      </w:r>
    </w:p>
    <w:p>
      <w:pPr>
        <w:spacing w:after="28" w:line="216" w:lineRule="auto"/>
        <w:ind w:left="259"/>
        <w:jc w:val="left"/>
      </w:pPr>
      <w:r>
        <w:rPr>
          <w:rFonts w:ascii="Arial" w:hAnsi="Arial"/>
          <w:color w:val="525252"/>
          <w:sz w:val="13"/>
        </w:rPr>
        <w:t>The USAF uses written products (papers) in many forms for everyday staff work to serve a variety of functions.</w:t>
      </w:r>
    </w:p>
    <w:p>
      <w:pPr>
        <w:spacing w:after="20" w:line="223" w:lineRule="auto"/>
        <w:jc w:val="right"/>
        <w:bidi/>
      </w:pPr>
      <w:r>
        <w:rPr>
          <w:rFonts w:ascii="Arial" w:hAnsi="Arial"/>
          <w:sz w:val="16"/>
        </w:rPr>
        <w:t>277.20  انواع کاغذهای USAF شامل کاغذ نقطه، کاغذ صحبت، کاغذ پس زمینه گلوله، کاغذ پس زمینه، کاغذ موقعیت و مطالعه کارکنان است.</w:t>
      </w:r>
    </w:p>
    <w:p>
      <w:pPr>
        <w:spacing w:after="28" w:line="216" w:lineRule="auto"/>
        <w:ind w:left="259"/>
        <w:jc w:val="left"/>
      </w:pPr>
      <w:r>
        <w:rPr>
          <w:rFonts w:ascii="Arial" w:hAnsi="Arial"/>
          <w:color w:val="525252"/>
          <w:sz w:val="13"/>
        </w:rPr>
        <w:t>The types of USAF papers include the point paper, talking paper, bullet background paper, background paper, position paper, and the staff study.</w:t>
      </w:r>
    </w:p>
    <w:p>
      <w:pPr>
        <w:spacing w:after="20" w:line="223" w:lineRule="auto"/>
        <w:jc w:val="right"/>
        <w:bidi/>
      </w:pPr>
      <w:r>
        <w:rPr>
          <w:rFonts w:ascii="Arial" w:hAnsi="Arial"/>
          <w:sz w:val="16"/>
        </w:rPr>
        <w:t>277.21  مطمئن شوید که نوع قالب مورد استفاده برای کار مناسب است.</w:t>
      </w:r>
    </w:p>
    <w:p>
      <w:pPr>
        <w:spacing w:after="28" w:line="216" w:lineRule="auto"/>
        <w:ind w:left="259"/>
        <w:jc w:val="left"/>
      </w:pPr>
      <w:r>
        <w:rPr>
          <w:rFonts w:ascii="Arial" w:hAnsi="Arial"/>
          <w:color w:val="525252"/>
          <w:sz w:val="13"/>
        </w:rPr>
        <w:t>Be sure that the type of format used is appropriate for the task.</w:t>
      </w:r>
    </w:p>
    <w:p>
      <w:pPr>
        <w:spacing w:after="20" w:line="223" w:lineRule="auto"/>
        <w:jc w:val="right"/>
        <w:bidi/>
      </w:pPr>
      <w:r>
        <w:rPr>
          <w:rFonts w:ascii="Arial" w:hAnsi="Arial"/>
          <w:sz w:val="16"/>
        </w:rPr>
        <w:t>277.22  نمونه‌ها، توضیحات و نمونه هایی از مقالات USAF در DAFH ۳۳-۳۳۷، فصل ۱۶ ارائه شده است.</w:t>
      </w:r>
    </w:p>
    <w:p>
      <w:pPr>
        <w:spacing w:after="28" w:line="216" w:lineRule="auto"/>
        <w:ind w:left="259"/>
        <w:jc w:val="left"/>
      </w:pPr>
      <w:r>
        <w:rPr>
          <w:rFonts w:ascii="Arial" w:hAnsi="Arial"/>
          <w:color w:val="525252"/>
          <w:sz w:val="13"/>
        </w:rPr>
        <w:t>Samples, explanations, and examples of USAF papers are provided in DAFH 33-337, Chapters 16.</w:t>
      </w:r>
    </w:p>
    <w:p>
      <w:pPr>
        <w:spacing w:after="20" w:line="223" w:lineRule="auto"/>
        <w:jc w:val="right"/>
        <w:bidi/>
      </w:pPr>
      <w:r>
        <w:rPr>
          <w:rFonts w:ascii="Arial" w:hAnsi="Arial"/>
          <w:sz w:val="16"/>
        </w:rPr>
        <w:t>277.23  کاغذ نقطه.</w:t>
      </w:r>
    </w:p>
    <w:p>
      <w:pPr>
        <w:spacing w:after="28" w:line="216" w:lineRule="auto"/>
        <w:ind w:left="259"/>
        <w:jc w:val="left"/>
      </w:pPr>
      <w:r>
        <w:rPr>
          <w:rFonts w:ascii="Arial" w:hAnsi="Arial"/>
          <w:color w:val="525252"/>
          <w:sz w:val="13"/>
        </w:rPr>
        <w:t>Point Paper.</w:t>
      </w:r>
    </w:p>
    <w:p>
      <w:pPr>
        <w:spacing w:after="20" w:line="223" w:lineRule="auto"/>
        <w:jc w:val="right"/>
        <w:bidi/>
      </w:pPr>
      <w:r>
        <w:rPr>
          <w:rFonts w:ascii="Arial" w:hAnsi="Arial"/>
          <w:sz w:val="16"/>
        </w:rPr>
        <w:t>277.24  هنگام پرداختن به یک موضوع واحد استفاده می‌شود که می‌تواند در یک صفحه با استفاده از گلوله‌ها یا عباراتی که به حداقل داده نیاز دارند پوشش داده شود.</w:t>
      </w:r>
    </w:p>
    <w:p>
      <w:pPr>
        <w:spacing w:after="28" w:line="216" w:lineRule="auto"/>
        <w:ind w:left="259"/>
        <w:jc w:val="left"/>
      </w:pPr>
      <w:r>
        <w:rPr>
          <w:rFonts w:ascii="Arial" w:hAnsi="Arial"/>
          <w:color w:val="525252"/>
          <w:sz w:val="13"/>
        </w:rPr>
        <w:t>The point paper is used when addressing a single issue that can be covered within a single page using bullets or phrases that require minimal data.</w:t>
      </w:r>
    </w:p>
    <w:p>
      <w:pPr>
        <w:spacing w:after="20" w:line="223" w:lineRule="auto"/>
        <w:jc w:val="right"/>
        <w:bidi/>
      </w:pPr>
      <w:r>
        <w:rPr>
          <w:rFonts w:ascii="Arial" w:hAnsi="Arial"/>
          <w:sz w:val="16"/>
        </w:rPr>
        <w:t>277.25  عملکرد یک مقاله نقطه‌ای ارائه یک حافظه دویدن، یک طرح کلی متنی حداقلی از یک موضوع، و اطلاع رسانی سریع به دیگران، اغلب به‌طور غیرمجاز (با توجه کم یا بدون اطلاع) است.</w:t>
      </w:r>
    </w:p>
    <w:p>
      <w:pPr>
        <w:spacing w:after="28" w:line="216" w:lineRule="auto"/>
        <w:ind w:left="259"/>
        <w:jc w:val="left"/>
      </w:pPr>
      <w:r>
        <w:rPr>
          <w:rFonts w:ascii="Arial" w:hAnsi="Arial"/>
          <w:color w:val="525252"/>
          <w:sz w:val="13"/>
        </w:rPr>
        <w:t>The function of a point paper is to provide a memory jogger, a minimal text outline of a single issue, and to quickly inform others, often extemporaneously (with little or no-notice).</w:t>
      </w:r>
    </w:p>
    <w:p>
      <w:pPr>
        <w:spacing w:after="20" w:line="223" w:lineRule="auto"/>
        <w:jc w:val="right"/>
        <w:bidi/>
      </w:pPr>
      <w:r>
        <w:rPr>
          <w:rFonts w:ascii="Arial" w:hAnsi="Arial"/>
          <w:sz w:val="16"/>
        </w:rPr>
        <w:t>277.26  می‌توان از آن برای دادن یک پیام کوتاه یکسان استفاده کرد، یا به گوینده اشاره کرد که چیزی را از حفظ بخواند.</w:t>
      </w:r>
    </w:p>
    <w:p>
      <w:pPr>
        <w:spacing w:after="28" w:line="216" w:lineRule="auto"/>
        <w:ind w:left="259"/>
        <w:jc w:val="left"/>
      </w:pPr>
      <w:r>
        <w:rPr>
          <w:rFonts w:ascii="Arial" w:hAnsi="Arial"/>
          <w:color w:val="525252"/>
          <w:sz w:val="13"/>
        </w:rPr>
        <w:t>It can be used to give the same short message many times, or to cue a speaker to a recite something from memory.</w:t>
      </w:r>
    </w:p>
    <w:p>
      <w:pPr>
        <w:spacing w:after="20" w:line="223" w:lineRule="auto"/>
        <w:jc w:val="right"/>
        <w:bidi/>
      </w:pPr>
      <w:r>
        <w:rPr>
          <w:rFonts w:ascii="Arial" w:hAnsi="Arial"/>
          <w:sz w:val="16"/>
        </w:rPr>
        <w:t>277.27  کاغذ گفتگو.</w:t>
      </w:r>
    </w:p>
    <w:p>
      <w:pPr>
        <w:spacing w:after="28" w:line="216" w:lineRule="auto"/>
        <w:ind w:left="259"/>
        <w:jc w:val="left"/>
      </w:pPr>
      <w:r>
        <w:rPr>
          <w:rFonts w:ascii="Arial" w:hAnsi="Arial"/>
          <w:color w:val="525252"/>
          <w:sz w:val="13"/>
        </w:rPr>
        <w:t>Talking Paper.</w:t>
      </w:r>
    </w:p>
    <w:p>
      <w:pPr>
        <w:spacing w:after="20" w:line="223" w:lineRule="auto"/>
        <w:jc w:val="right"/>
        <w:bidi/>
      </w:pPr>
      <w:r>
        <w:rPr>
          <w:rFonts w:ascii="Arial" w:hAnsi="Arial"/>
          <w:sz w:val="16"/>
        </w:rPr>
        <w:t>277.28  مقاله گفتگو کمی جزئی‌تر از مقاله نقطه است.</w:t>
      </w:r>
    </w:p>
    <w:p>
      <w:pPr>
        <w:spacing w:after="28" w:line="216" w:lineRule="auto"/>
        <w:ind w:left="259"/>
        <w:jc w:val="left"/>
      </w:pPr>
      <w:r>
        <w:rPr>
          <w:rFonts w:ascii="Arial" w:hAnsi="Arial"/>
          <w:color w:val="525252"/>
          <w:sz w:val="13"/>
        </w:rPr>
        <w:t>The talking paper is slightly more detailed than the point paper.</w:t>
      </w:r>
    </w:p>
    <w:p>
      <w:pPr>
        <w:spacing w:after="20" w:line="223" w:lineRule="auto"/>
        <w:jc w:val="right"/>
        <w:bidi/>
      </w:pPr>
      <w:r>
        <w:rPr>
          <w:rFonts w:ascii="Arial" w:hAnsi="Arial"/>
          <w:sz w:val="16"/>
        </w:rPr>
        <w:t>277.29  هنگام پرداختن به یک موضوع واحد استفاده می‌شود که می‌تواند در یک صفحه با استفاده از گلوله‌ها یا عباراتی که داده‌های مرجع کلیدی را ارائه می‌دهند، پوشش داده شود.</w:t>
      </w:r>
    </w:p>
    <w:p>
      <w:pPr>
        <w:spacing w:after="28" w:line="216" w:lineRule="auto"/>
        <w:ind w:left="259"/>
        <w:jc w:val="left"/>
      </w:pPr>
      <w:r>
        <w:rPr>
          <w:rFonts w:ascii="Arial" w:hAnsi="Arial"/>
          <w:color w:val="525252"/>
          <w:sz w:val="13"/>
        </w:rPr>
        <w:t>It is used when addressing a single issue that can be covered within a single page using bullets or phrases that provide key reference data.</w:t>
      </w:r>
    </w:p>
    <w:p>
      <w:pPr>
        <w:spacing w:after="20" w:line="223" w:lineRule="auto"/>
        <w:jc w:val="right"/>
        <w:bidi/>
      </w:pPr>
      <w:r>
        <w:rPr>
          <w:rFonts w:ascii="Arial" w:hAnsi="Arial"/>
          <w:sz w:val="16"/>
        </w:rPr>
        <w:t>277.30  وظیفه مقاله گفتگو ارائه یادداشت‌هایی برای ارائه‌دهنده یا سخنران است که به‌عنوان طرح کلی یا روایت برای یک موضوع استفاده می‌شود تا در طول ارائه‌های شفاهی برنامه‌ریزی‌شده/برنامه‌ریزی شده به دیگران اطلاع دهد.</w:t>
      </w:r>
    </w:p>
    <w:p>
      <w:pPr>
        <w:spacing w:after="28" w:line="216" w:lineRule="auto"/>
        <w:ind w:left="259"/>
        <w:jc w:val="left"/>
      </w:pPr>
      <w:r>
        <w:rPr>
          <w:rFonts w:ascii="Arial" w:hAnsi="Arial"/>
          <w:color w:val="525252"/>
          <w:sz w:val="13"/>
        </w:rPr>
        <w:t>The function of a talking paper is to provide notes for a presenter or speaker used as an outline or narrative for a single issue to inform others during planned/scheduled oral presentations.</w:t>
      </w:r>
    </w:p>
    <w:p>
      <w:pPr>
        <w:spacing w:after="20" w:line="223" w:lineRule="auto"/>
        <w:jc w:val="right"/>
        <w:bidi/>
      </w:pPr>
      <w:r>
        <w:rPr>
          <w:rFonts w:ascii="Arial" w:hAnsi="Arial"/>
          <w:sz w:val="16"/>
        </w:rPr>
        <w:t>277.31  به‌عنوان یک مرجع سریع در مورد نکات کلیدی، حقایق یا موقعیت‌ها، مانند</w:t>
      </w:r>
    </w:p>
    <w:p>
      <w:pPr>
        <w:spacing w:after="28" w:line="216" w:lineRule="auto"/>
        <w:ind w:left="259"/>
        <w:jc w:val="left"/>
      </w:pPr>
      <w:r>
        <w:rPr>
          <w:rFonts w:ascii="Arial" w:hAnsi="Arial"/>
          <w:color w:val="525252"/>
          <w:sz w:val="13"/>
        </w:rPr>
        <w:t>It is used as a quick reference on key points, facts, or positions, such as</w:t>
      </w:r>
    </w:p>
    <w:p>
      <w:r>
        <w:br w:type="page"/>
      </w:r>
    </w:p>
    <w:p>
      <w:pPr>
        <w:spacing w:after="60"/>
        <w:jc w:val="right"/>
        <w:bidi/>
      </w:pPr>
      <w:r>
        <w:rPr>
          <w:rFonts w:ascii="Arial" w:hAnsi="Arial"/>
          <w:b/>
          <w:color w:val="1F4D78"/>
          <w:sz w:val="19"/>
        </w:rPr>
        <w:t>هفتهٔ 278  |  صفحهٔ منبع: 294</w:t>
      </w:r>
    </w:p>
    <w:p>
      <w:pPr>
        <w:spacing w:after="20" w:line="223" w:lineRule="auto"/>
        <w:jc w:val="right"/>
        <w:bidi/>
      </w:pPr>
      <w:r>
        <w:rPr>
          <w:rFonts w:ascii="Arial" w:hAnsi="Arial"/>
          <w:sz w:val="16"/>
        </w:rPr>
        <w:t>278.01  سوالات متداول، و می‌تواند به تنهایی برای درک اساسی یک موضوع باشد.</w:t>
      </w:r>
    </w:p>
    <w:p>
      <w:pPr>
        <w:spacing w:after="28" w:line="216" w:lineRule="auto"/>
        <w:ind w:left="259"/>
        <w:jc w:val="left"/>
      </w:pPr>
      <w:r>
        <w:rPr>
          <w:rFonts w:ascii="Arial" w:hAnsi="Arial"/>
          <w:color w:val="525252"/>
          <w:sz w:val="13"/>
        </w:rPr>
        <w:t>frequently asked questions, and can stand alone for basic understanding of an issue.</w:t>
      </w:r>
    </w:p>
    <w:p>
      <w:pPr>
        <w:spacing w:after="20" w:line="223" w:lineRule="auto"/>
        <w:jc w:val="right"/>
        <w:bidi/>
      </w:pPr>
      <w:r>
        <w:rPr>
          <w:rFonts w:ascii="Arial" w:hAnsi="Arial"/>
          <w:sz w:val="16"/>
        </w:rPr>
        <w:t>278.02  کاغذ پس زمینه گلوله.</w:t>
      </w:r>
    </w:p>
    <w:p>
      <w:pPr>
        <w:spacing w:after="28" w:line="216" w:lineRule="auto"/>
        <w:ind w:left="259"/>
        <w:jc w:val="left"/>
      </w:pPr>
      <w:r>
        <w:rPr>
          <w:rFonts w:ascii="Arial" w:hAnsi="Arial"/>
          <w:color w:val="525252"/>
          <w:sz w:val="13"/>
        </w:rPr>
        <w:t>Bullet Background Paper.</w:t>
      </w:r>
    </w:p>
    <w:p>
      <w:pPr>
        <w:spacing w:after="20" w:line="223" w:lineRule="auto"/>
        <w:jc w:val="right"/>
        <w:bidi/>
      </w:pPr>
      <w:r>
        <w:rPr>
          <w:rFonts w:ascii="Arial" w:hAnsi="Arial"/>
          <w:sz w:val="16"/>
        </w:rPr>
        <w:t>278.03  از کاغذ پس‌زمینه گلوله‌ای برای پرداختن به یک موضوع یا چندین موضوع مرتبط استفاده می‌شود که می‌توان آن را در قالب یک صفحه یا چند صفحه با استفاده از بیانیه‌های گلوله‌ای که پس‌زمینه یک برنامه، خط‌مشی، مشکل یا رویه را ارائه می‌دهند، پوشش داد.</w:t>
      </w:r>
    </w:p>
    <w:p>
      <w:pPr>
        <w:spacing w:after="28" w:line="216" w:lineRule="auto"/>
        <w:ind w:left="259"/>
        <w:jc w:val="left"/>
      </w:pPr>
      <w:r>
        <w:rPr>
          <w:rFonts w:ascii="Arial" w:hAnsi="Arial"/>
          <w:color w:val="525252"/>
          <w:sz w:val="13"/>
        </w:rPr>
        <w:t>The bullet background paper is used when addressing a single issue or several related issues that can be covered within a single page or multi-page format using bullet statements providing the background of a program, policy, problem, or procedure.</w:t>
      </w:r>
    </w:p>
    <w:p>
      <w:pPr>
        <w:spacing w:after="20" w:line="223" w:lineRule="auto"/>
        <w:jc w:val="right"/>
        <w:bidi/>
      </w:pPr>
      <w:r>
        <w:rPr>
          <w:rFonts w:ascii="Arial" w:hAnsi="Arial"/>
          <w:sz w:val="16"/>
        </w:rPr>
        <w:t>278.04  مقاله‌های پس‌زمینه بوللت با استفاده از گاه‌شماری مختصر یک برنامه، خط‌مشی یا مشکل توسعه داده می‌شوند و می‌توان از آنها برای توضیح یا ارائه جزئیات مربوط به مقاله گفتگوی پیوست استفاده کرد.</w:t>
      </w:r>
    </w:p>
    <w:p>
      <w:pPr>
        <w:spacing w:after="28" w:line="216" w:lineRule="auto"/>
        <w:ind w:left="259"/>
        <w:jc w:val="left"/>
      </w:pPr>
      <w:r>
        <w:rPr>
          <w:rFonts w:ascii="Arial" w:hAnsi="Arial"/>
          <w:color w:val="525252"/>
          <w:sz w:val="13"/>
        </w:rPr>
        <w:t>Bullet background papers are developed using concise chronology of a program, policy, or problem, and can be used to explain or provide details regarding an attached talking paper.</w:t>
      </w:r>
    </w:p>
    <w:p>
      <w:pPr>
        <w:spacing w:after="20" w:line="223" w:lineRule="auto"/>
        <w:jc w:val="right"/>
        <w:bidi/>
      </w:pPr>
      <w:r>
        <w:rPr>
          <w:rFonts w:ascii="Arial" w:hAnsi="Arial"/>
          <w:sz w:val="16"/>
        </w:rPr>
        <w:t>278.05  کاغذ پس زمینه.</w:t>
      </w:r>
    </w:p>
    <w:p>
      <w:pPr>
        <w:spacing w:after="28" w:line="216" w:lineRule="auto"/>
        <w:ind w:left="259"/>
        <w:jc w:val="left"/>
      </w:pPr>
      <w:r>
        <w:rPr>
          <w:rFonts w:ascii="Arial" w:hAnsi="Arial"/>
          <w:color w:val="525252"/>
          <w:sz w:val="13"/>
        </w:rPr>
        <w:t>Background Paper.</w:t>
      </w:r>
    </w:p>
    <w:p>
      <w:pPr>
        <w:spacing w:after="20" w:line="223" w:lineRule="auto"/>
        <w:jc w:val="right"/>
        <w:bidi/>
      </w:pPr>
      <w:r>
        <w:rPr>
          <w:rFonts w:ascii="Arial" w:hAnsi="Arial"/>
          <w:sz w:val="16"/>
        </w:rPr>
        <w:t>278.06  هنگام پرداختن به یک موضوع واحد یا چندین موضوع مرتبط با استفاده از قالب چند صفحه‌ای شامل جملات کامل، جزئیات و پاراگراف‌های شماره‌دار از کاغذ پس‌زمینه استفاده می‌شود.</w:t>
      </w:r>
    </w:p>
    <w:p>
      <w:pPr>
        <w:spacing w:after="28" w:line="216" w:lineRule="auto"/>
        <w:ind w:left="259"/>
        <w:jc w:val="left"/>
      </w:pPr>
      <w:r>
        <w:rPr>
          <w:rFonts w:ascii="Arial" w:hAnsi="Arial"/>
          <w:color w:val="525252"/>
          <w:sz w:val="13"/>
        </w:rPr>
        <w:t>The background paper is used when addressing a single issue or several related issues using a multi-page format including full sentences, details, and numbered paragraphs.</w:t>
      </w:r>
    </w:p>
    <w:p>
      <w:pPr>
        <w:spacing w:after="20" w:line="223" w:lineRule="auto"/>
        <w:jc w:val="right"/>
        <w:bidi/>
      </w:pPr>
      <w:r>
        <w:rPr>
          <w:rFonts w:ascii="Arial" w:hAnsi="Arial"/>
          <w:sz w:val="16"/>
        </w:rPr>
        <w:t>278.07  اغلب به‌عنوان یک ابزار ارتباطی چند منظوره کارکنان برای بیان ایده‌ها یا توصیف شرایطی که نیاز به یک اقدام خاص کارکنان دارد استفاده می‌شود.</w:t>
      </w:r>
    </w:p>
    <w:p>
      <w:pPr>
        <w:spacing w:after="28" w:line="216" w:lineRule="auto"/>
        <w:ind w:left="259"/>
        <w:jc w:val="left"/>
      </w:pPr>
      <w:r>
        <w:rPr>
          <w:rFonts w:ascii="Arial" w:hAnsi="Arial"/>
          <w:color w:val="525252"/>
          <w:sz w:val="13"/>
        </w:rPr>
        <w:t>It is often used as a multi-purpose staff communication instrument to express ideas or describe conditions that require a particular staff action.</w:t>
      </w:r>
    </w:p>
    <w:p>
      <w:pPr>
        <w:spacing w:after="20" w:line="223" w:lineRule="auto"/>
        <w:jc w:val="right"/>
        <w:bidi/>
      </w:pPr>
      <w:r>
        <w:rPr>
          <w:rFonts w:ascii="Arial" w:hAnsi="Arial"/>
          <w:sz w:val="16"/>
        </w:rPr>
        <w:t>278.08  مقاله‌های پس‌زمینه با استفاده از گاه‌شماری دقیق یک برنامه، خط‌مشی یا مشکل ایجاد می‌شوند و می‌توانند با ارائه تحقیقات پیش‌زمینه برای ارائه‌های شفاهی یا بحث‌های کارکنان، مسائل پیچیده را فشرده و خلاصه کنند.</w:t>
      </w:r>
    </w:p>
    <w:p>
      <w:pPr>
        <w:spacing w:after="28" w:line="216" w:lineRule="auto"/>
        <w:ind w:left="259"/>
        <w:jc w:val="left"/>
      </w:pPr>
      <w:r>
        <w:rPr>
          <w:rFonts w:ascii="Arial" w:hAnsi="Arial"/>
          <w:color w:val="525252"/>
          <w:sz w:val="13"/>
        </w:rPr>
        <w:t>Background papers are developed using the detailed chronology of a program, policy, or problem, and can condense and summarize complex issues by providing background research for oral presentations or staff discussions.</w:t>
      </w:r>
    </w:p>
    <w:p>
      <w:pPr>
        <w:spacing w:after="20" w:line="223" w:lineRule="auto"/>
        <w:jc w:val="right"/>
        <w:bidi/>
      </w:pPr>
      <w:r>
        <w:rPr>
          <w:rFonts w:ascii="Arial" w:hAnsi="Arial"/>
          <w:sz w:val="16"/>
        </w:rPr>
        <w:t>278.09  مقاله پیشینه ابزاری برای آگاه کردن تصمیم گیرندگان با جزئیات مهم فراهم می‌کند.</w:t>
      </w:r>
    </w:p>
    <w:p>
      <w:pPr>
        <w:spacing w:after="28" w:line="216" w:lineRule="auto"/>
        <w:ind w:left="259"/>
        <w:jc w:val="left"/>
      </w:pPr>
      <w:r>
        <w:rPr>
          <w:rFonts w:ascii="Arial" w:hAnsi="Arial"/>
          <w:color w:val="525252"/>
          <w:sz w:val="13"/>
        </w:rPr>
        <w:t>The background paper provides a means of informing decision-makers with important details.</w:t>
      </w:r>
    </w:p>
    <w:p>
      <w:pPr>
        <w:spacing w:after="20" w:line="223" w:lineRule="auto"/>
        <w:jc w:val="right"/>
        <w:bidi/>
      </w:pPr>
      <w:r>
        <w:rPr>
          <w:rFonts w:ascii="Arial" w:hAnsi="Arial"/>
          <w:sz w:val="16"/>
        </w:rPr>
        <w:t>278.10  کاغذ موقعیت.</w:t>
      </w:r>
    </w:p>
    <w:p>
      <w:pPr>
        <w:spacing w:after="28" w:line="216" w:lineRule="auto"/>
        <w:ind w:left="259"/>
        <w:jc w:val="left"/>
      </w:pPr>
      <w:r>
        <w:rPr>
          <w:rFonts w:ascii="Arial" w:hAnsi="Arial"/>
          <w:color w:val="525252"/>
          <w:sz w:val="13"/>
        </w:rPr>
        <w:t>Position Paper.</w:t>
      </w:r>
    </w:p>
    <w:p>
      <w:pPr>
        <w:spacing w:after="20" w:line="223" w:lineRule="auto"/>
        <w:jc w:val="right"/>
        <w:bidi/>
      </w:pPr>
      <w:r>
        <w:rPr>
          <w:rFonts w:ascii="Arial" w:hAnsi="Arial"/>
          <w:sz w:val="16"/>
        </w:rPr>
        <w:t>278.11  هنگام پرداختن به یک موضوع واحد یا چندین موضوع مرتبط با استفاده از قالب چند صفحه‌ای شامل جملات کامل، جزئیات و پاراگراف‌های شماره دار از مقاله موضع استفاده می‌شود.</w:t>
      </w:r>
    </w:p>
    <w:p>
      <w:pPr>
        <w:spacing w:after="28" w:line="216" w:lineRule="auto"/>
        <w:ind w:left="259"/>
        <w:jc w:val="left"/>
      </w:pPr>
      <w:r>
        <w:rPr>
          <w:rFonts w:ascii="Arial" w:hAnsi="Arial"/>
          <w:color w:val="525252"/>
          <w:sz w:val="13"/>
        </w:rPr>
        <w:t>The position paper is used when addressing a single issue or several related issues using a multi-page format including full sentences, details, and numbered paragraphs.</w:t>
      </w:r>
    </w:p>
    <w:p>
      <w:pPr>
        <w:spacing w:after="20" w:line="223" w:lineRule="auto"/>
        <w:jc w:val="right"/>
        <w:bidi/>
      </w:pPr>
      <w:r>
        <w:rPr>
          <w:rFonts w:ascii="Arial" w:hAnsi="Arial"/>
          <w:sz w:val="16"/>
        </w:rPr>
        <w:t>278.12  اغلب هنگام کار با پیشنهادات برای یک برنامه، خط‌مشی، رویه یا طرح جدید استفاده می‌شود.</w:t>
      </w:r>
    </w:p>
    <w:p>
      <w:pPr>
        <w:spacing w:after="28" w:line="216" w:lineRule="auto"/>
        <w:ind w:left="259"/>
        <w:jc w:val="left"/>
      </w:pPr>
      <w:r>
        <w:rPr>
          <w:rFonts w:ascii="Arial" w:hAnsi="Arial"/>
          <w:color w:val="525252"/>
          <w:sz w:val="13"/>
        </w:rPr>
        <w:t>It is often used when working with proposals for a new program, policy, procedure, or plan.</w:t>
      </w:r>
    </w:p>
    <w:p>
      <w:pPr>
        <w:spacing w:after="20" w:line="223" w:lineRule="auto"/>
        <w:jc w:val="right"/>
        <w:bidi/>
      </w:pPr>
      <w:r>
        <w:rPr>
          <w:rFonts w:ascii="Arial" w:hAnsi="Arial"/>
          <w:sz w:val="16"/>
        </w:rPr>
        <w:t>278.13  از مقالات موقعیت برای توزیع یک پیشنهاد برای ایجاد علاقه، ارزیابی یک پروپوزال یا حمایت از یک موضع در مورد یک پیشنهاد به تصمیم گیرندگان استفاده می‌شود.</w:t>
      </w:r>
    </w:p>
    <w:p>
      <w:pPr>
        <w:spacing w:after="28" w:line="216" w:lineRule="auto"/>
        <w:ind w:left="259"/>
        <w:jc w:val="left"/>
      </w:pPr>
      <w:r>
        <w:rPr>
          <w:rFonts w:ascii="Arial" w:hAnsi="Arial"/>
          <w:color w:val="525252"/>
          <w:sz w:val="13"/>
        </w:rPr>
        <w:t>Position papers are used to circulate a proposal to generate interest, evaluate a proposal, or advocate a position on a proposal to decision-makers.</w:t>
      </w:r>
    </w:p>
    <w:p>
      <w:pPr>
        <w:spacing w:before="60" w:after="28"/>
        <w:jc w:val="right"/>
        <w:bidi/>
      </w:pPr>
      <w:r>
        <w:rPr>
          <w:b/>
          <w:color w:val="1F4D78"/>
          <w:sz w:val="18"/>
        </w:rPr>
        <w:t>15.22. مطالعه کارکنان</w:t>
      </w:r>
    </w:p>
    <w:p>
      <w:pPr>
        <w:spacing w:after="20"/>
        <w:ind w:left="259"/>
        <w:jc w:val="left"/>
      </w:pPr>
      <w:r>
        <w:rPr>
          <w:color w:val="555555"/>
          <w:sz w:val="12"/>
        </w:rPr>
        <w:t>15.22. Staff Study</w:t>
      </w:r>
    </w:p>
    <w:p>
      <w:pPr>
        <w:spacing w:after="20" w:line="223" w:lineRule="auto"/>
        <w:jc w:val="right"/>
        <w:bidi/>
      </w:pPr>
      <w:r>
        <w:rPr>
          <w:rFonts w:ascii="Arial" w:hAnsi="Arial"/>
          <w:sz w:val="16"/>
        </w:rPr>
        <w:t>278.15  مطالعه کارکنان هنگام پرداختن به یک موضوع واحد یا چندین موضوع مرتبط با استفاده از یک مقاله تحقیقاتی چند صفحه‌ای شامل بحث مفصل با نتیجه‌گیری و توصیه‌های قابل اجرا استفاده می‌شود.</w:t>
      </w:r>
    </w:p>
    <w:p>
      <w:pPr>
        <w:spacing w:after="28" w:line="216" w:lineRule="auto"/>
        <w:ind w:left="259"/>
        <w:jc w:val="left"/>
      </w:pPr>
      <w:r>
        <w:rPr>
          <w:rFonts w:ascii="Arial" w:hAnsi="Arial"/>
          <w:color w:val="525252"/>
          <w:sz w:val="13"/>
        </w:rPr>
        <w:t>The staff study is used when addressing a single issue or several related issues using a multi-page research paper including a detailed discussion with a conclusion and applicable recommendations.</w:t>
      </w:r>
    </w:p>
    <w:p>
      <w:pPr>
        <w:spacing w:after="20" w:line="223" w:lineRule="auto"/>
        <w:jc w:val="right"/>
        <w:bidi/>
      </w:pPr>
      <w:r>
        <w:rPr>
          <w:rFonts w:ascii="Arial" w:hAnsi="Arial"/>
          <w:sz w:val="16"/>
        </w:rPr>
        <w:t>278.16  هدف از مطالعه کارکنان تجزیه و تحلیل یک مشکل، نتیجه‌گیری و ارائه توصیه‌ها است.</w:t>
      </w:r>
    </w:p>
    <w:p>
      <w:pPr>
        <w:spacing w:after="28" w:line="216" w:lineRule="auto"/>
        <w:ind w:left="259"/>
        <w:jc w:val="left"/>
      </w:pPr>
      <w:r>
        <w:rPr>
          <w:rFonts w:ascii="Arial" w:hAnsi="Arial"/>
          <w:color w:val="525252"/>
          <w:sz w:val="13"/>
        </w:rPr>
        <w:t>The purpose of the staff study is to analyze a problem, draw conclusions, and make recommendations.</w:t>
      </w:r>
    </w:p>
    <w:p>
      <w:pPr>
        <w:spacing w:after="20" w:line="223" w:lineRule="auto"/>
        <w:jc w:val="right"/>
        <w:bidi/>
      </w:pPr>
      <w:r>
        <w:rPr>
          <w:rFonts w:ascii="Arial" w:hAnsi="Arial"/>
          <w:sz w:val="16"/>
        </w:rPr>
        <w:t>278.17  قالب برای مطالعات کارکنان بسته به نیاز یا پیچیدگی اطلاعات مورد نیاز متفاوت خواهد بود.</w:t>
      </w:r>
    </w:p>
    <w:p>
      <w:pPr>
        <w:spacing w:after="28" w:line="216" w:lineRule="auto"/>
        <w:ind w:left="259"/>
        <w:jc w:val="left"/>
      </w:pPr>
      <w:r>
        <w:rPr>
          <w:rFonts w:ascii="Arial" w:hAnsi="Arial"/>
          <w:color w:val="525252"/>
          <w:sz w:val="13"/>
        </w:rPr>
        <w:t>Format will vary for staff studies depending on the need or complexity of information required.</w:t>
      </w:r>
    </w:p>
    <w:p>
      <w:pPr>
        <w:spacing w:after="20" w:line="223" w:lineRule="auto"/>
        <w:jc w:val="right"/>
        <w:bidi/>
      </w:pPr>
      <w:r>
        <w:rPr>
          <w:rFonts w:ascii="Arial" w:hAnsi="Arial"/>
          <w:sz w:val="16"/>
        </w:rPr>
        <w:t>278.18  مطالعات کارکنان برای کمک به تصمیم گیرندگان و رهبران در شروع تحقیق، اطلاع رسانی و توصیه به تغییر و به‌عنوان یک فرآیند فکری حل مسئله به صورت مکتوب استفاده می‌شود.</w:t>
      </w:r>
    </w:p>
    <w:p>
      <w:pPr>
        <w:spacing w:after="28" w:line="216" w:lineRule="auto"/>
        <w:ind w:left="259"/>
        <w:jc w:val="left"/>
      </w:pPr>
      <w:r>
        <w:rPr>
          <w:rFonts w:ascii="Arial" w:hAnsi="Arial"/>
          <w:color w:val="525252"/>
          <w:sz w:val="13"/>
        </w:rPr>
        <w:t>Staff studies are used to assist decision-makers and leaders in initiating research, to inform and recommend change, and as a problem-solving thought process in written form.</w:t>
      </w:r>
    </w:p>
    <w:p>
      <w:pPr>
        <w:spacing w:after="20" w:line="223" w:lineRule="auto"/>
        <w:jc w:val="right"/>
        <w:bidi/>
      </w:pPr>
      <w:r>
        <w:rPr>
          <w:rFonts w:ascii="Arial" w:hAnsi="Arial"/>
          <w:sz w:val="16"/>
        </w:rPr>
        <w:t>278.19  توجه: همه سازمان‌ها به‌طور معمول از مطالعه کارکنان استفاده نمی‌کنند، اما این یک فرمت پذیرفته‌شده برای گزارش حل مشکل برای USAF و ستاد مشترک است.</w:t>
      </w:r>
    </w:p>
    <w:p>
      <w:pPr>
        <w:spacing w:after="28" w:line="216" w:lineRule="auto"/>
        <w:ind w:left="259"/>
        <w:jc w:val="left"/>
      </w:pPr>
      <w:r>
        <w:rPr>
          <w:rFonts w:ascii="Arial" w:hAnsi="Arial"/>
          <w:color w:val="525252"/>
          <w:sz w:val="13"/>
        </w:rPr>
        <w:t>Note: Not all organizations routinely use the staff study, but it is an accepted format for a problem-solution report for both the USAF and Joint Staff.</w:t>
      </w:r>
    </w:p>
    <w:p>
      <w:pPr>
        <w:spacing w:after="20" w:line="223" w:lineRule="auto"/>
        <w:jc w:val="right"/>
        <w:bidi/>
      </w:pPr>
      <w:r>
        <w:rPr>
          <w:rFonts w:ascii="Arial" w:hAnsi="Arial"/>
          <w:sz w:val="16"/>
        </w:rPr>
        <w:t>278.20  ارزش استفاده از مطالعه کارکنان به‌عنوان یک فرآیند فکری اغلب بر قالب خاصی که برای انتقال یافته‌ها استفاده می‌شود، بیشتر است.</w:t>
      </w:r>
    </w:p>
    <w:p>
      <w:pPr>
        <w:spacing w:after="28" w:line="216" w:lineRule="auto"/>
        <w:ind w:left="259"/>
        <w:jc w:val="left"/>
      </w:pPr>
      <w:r>
        <w:rPr>
          <w:rFonts w:ascii="Arial" w:hAnsi="Arial"/>
          <w:color w:val="525252"/>
          <w:sz w:val="13"/>
        </w:rPr>
        <w:t>The value of using a staff study as a thought process often outweighs the particular format used to communicate findings.</w:t>
      </w:r>
    </w:p>
    <w:p>
      <w:pPr>
        <w:spacing w:after="20" w:line="223" w:lineRule="auto"/>
        <w:jc w:val="right"/>
        <w:bidi/>
      </w:pPr>
      <w:r>
        <w:rPr>
          <w:rFonts w:ascii="Arial" w:hAnsi="Arial"/>
          <w:sz w:val="16"/>
        </w:rPr>
        <w:t>278.21  درک و بکارگیری عناصر ضروری تجزیه و تحلیل مسئله از طریق مطالعه کارکنان، امکان استفاده بهتر از هرگونه ارتباط کارکنان را فراهم می‌کند.</w:t>
      </w:r>
    </w:p>
    <w:p>
      <w:pPr>
        <w:spacing w:after="28" w:line="216" w:lineRule="auto"/>
        <w:ind w:left="259"/>
        <w:jc w:val="left"/>
      </w:pPr>
      <w:r>
        <w:rPr>
          <w:rFonts w:ascii="Arial" w:hAnsi="Arial"/>
          <w:color w:val="525252"/>
          <w:sz w:val="13"/>
        </w:rPr>
        <w:t>Understanding and applying the essential elements of problem analysis via a staff study will enable better application of any staff communication.</w:t>
      </w:r>
    </w:p>
    <w:p>
      <w:pPr>
        <w:spacing w:before="60" w:after="28"/>
        <w:jc w:val="right"/>
        <w:bidi/>
      </w:pPr>
      <w:r>
        <w:rPr>
          <w:b/>
          <w:color w:val="1F4D78"/>
          <w:sz w:val="18"/>
        </w:rPr>
        <w:t>15.23. بسته کارکنان</w:t>
      </w:r>
    </w:p>
    <w:p>
      <w:pPr>
        <w:spacing w:after="20"/>
        <w:ind w:left="259"/>
        <w:jc w:val="left"/>
      </w:pPr>
      <w:r>
        <w:rPr>
          <w:color w:val="555555"/>
          <w:sz w:val="12"/>
        </w:rPr>
        <w:t>15.23. The Staff Package</w:t>
      </w:r>
    </w:p>
    <w:p>
      <w:pPr>
        <w:spacing w:after="20" w:line="223" w:lineRule="auto"/>
        <w:jc w:val="right"/>
        <w:bidi/>
      </w:pPr>
      <w:r>
        <w:rPr>
          <w:rFonts w:ascii="Arial" w:hAnsi="Arial"/>
          <w:sz w:val="16"/>
        </w:rPr>
        <w:t>278.23  بسته کارکنان یک قالب نوشتاری است که معمولا در USAF برای مسیریابی یا هماهنگی مکاتبات از طریق فرآیند کارمندی استفاده می‌شود.</w:t>
      </w:r>
    </w:p>
    <w:p>
      <w:pPr>
        <w:spacing w:after="28" w:line="216" w:lineRule="auto"/>
        <w:ind w:left="259"/>
        <w:jc w:val="left"/>
      </w:pPr>
      <w:r>
        <w:rPr>
          <w:rFonts w:ascii="Arial" w:hAnsi="Arial"/>
          <w:color w:val="525252"/>
          <w:sz w:val="13"/>
        </w:rPr>
        <w:t>The staff package is a writing format commonly used in the USAF for routing or coordinating correspondence through a staffing process.</w:t>
      </w:r>
    </w:p>
    <w:p>
      <w:pPr>
        <w:spacing w:after="20" w:line="223" w:lineRule="auto"/>
        <w:jc w:val="right"/>
        <w:bidi/>
      </w:pPr>
      <w:r>
        <w:rPr>
          <w:rFonts w:ascii="Arial" w:hAnsi="Arial"/>
          <w:sz w:val="16"/>
        </w:rPr>
        <w:t>278.24  یکی از جنبه‌های شناخته شده بسته کارکنان، فرم AF ۱۷۶۸، برگه خلاصه کارکنان است.</w:t>
      </w:r>
    </w:p>
    <w:p>
      <w:pPr>
        <w:spacing w:after="28" w:line="216" w:lineRule="auto"/>
        <w:ind w:left="259"/>
        <w:jc w:val="left"/>
      </w:pPr>
      <w:r>
        <w:rPr>
          <w:rFonts w:ascii="Arial" w:hAnsi="Arial"/>
          <w:color w:val="525252"/>
          <w:sz w:val="13"/>
        </w:rPr>
        <w:t>A widely recognized aspect of the staff package is the AF Form 1768, Staff Summary Sheet.</w:t>
      </w:r>
    </w:p>
    <w:p>
      <w:pPr>
        <w:spacing w:after="20" w:line="223" w:lineRule="auto"/>
        <w:jc w:val="right"/>
        <w:bidi/>
      </w:pPr>
      <w:r>
        <w:rPr>
          <w:rFonts w:ascii="Arial" w:hAnsi="Arial"/>
          <w:sz w:val="16"/>
        </w:rPr>
        <w:t>278.25  برگه خلاصه کارکنان، معروف به "SSS"، "تریپل-س" یا "-SSS"، صفحه جلد (صفحه اول) یک بسته کارکنان است.</w:t>
      </w:r>
    </w:p>
    <w:p>
      <w:pPr>
        <w:spacing w:after="28" w:line="216" w:lineRule="auto"/>
        <w:ind w:left="259"/>
        <w:jc w:val="left"/>
      </w:pPr>
      <w:r>
        <w:rPr>
          <w:rFonts w:ascii="Arial" w:hAnsi="Arial"/>
          <w:color w:val="525252"/>
          <w:sz w:val="13"/>
        </w:rPr>
        <w:t>The staff summary sheet, known as the “SSS,” the “Triple- S,” or the “e-SSS,” is the cover page (the first page) of a staff package.</w:t>
      </w:r>
    </w:p>
    <w:p>
      <w:pPr>
        <w:spacing w:after="20" w:line="223" w:lineRule="auto"/>
        <w:jc w:val="right"/>
        <w:bidi/>
      </w:pPr>
      <w:r>
        <w:rPr>
          <w:rFonts w:ascii="Arial" w:hAnsi="Arial"/>
          <w:sz w:val="16"/>
        </w:rPr>
        <w:t>278.26  خلاصه فشرده‌ای از هدف، پیشینه، بحث، دیدگاه دیگران (در صورت لزوم)، توصیه‌ها، بلوک‌های امضا، و محتویات کلی بسته کارکنان را ارائه می‌دهد.</w:t>
      </w:r>
    </w:p>
    <w:p>
      <w:pPr>
        <w:spacing w:after="28" w:line="216" w:lineRule="auto"/>
        <w:ind w:left="259"/>
        <w:jc w:val="left"/>
      </w:pPr>
      <w:r>
        <w:rPr>
          <w:rFonts w:ascii="Arial" w:hAnsi="Arial"/>
          <w:color w:val="525252"/>
          <w:sz w:val="13"/>
        </w:rPr>
        <w:t>It provides a condensed summary of the purpose, background, discussion, view of others (when applicable), recommendation, signature blocks, and overall contents of the staff package.</w:t>
      </w:r>
    </w:p>
    <w:p>
      <w:r>
        <w:br w:type="page"/>
      </w:r>
    </w:p>
    <w:p>
      <w:pPr>
        <w:spacing w:after="60"/>
        <w:jc w:val="right"/>
        <w:bidi/>
      </w:pPr>
      <w:r>
        <w:rPr>
          <w:rFonts w:ascii="Arial" w:hAnsi="Arial"/>
          <w:b/>
          <w:color w:val="1F4D78"/>
          <w:sz w:val="19"/>
        </w:rPr>
        <w:t>هفتهٔ 279  |  صفحهٔ منبع: 295</w:t>
      </w:r>
    </w:p>
    <w:p>
      <w:pPr>
        <w:spacing w:before="60" w:after="28"/>
        <w:jc w:val="right"/>
        <w:bidi/>
      </w:pPr>
      <w:r>
        <w:rPr>
          <w:b/>
          <w:color w:val="1F4D78"/>
          <w:sz w:val="18"/>
        </w:rPr>
        <w:t>بخش 15E-ارتباطات گفتاری</w:t>
      </w:r>
    </w:p>
    <w:p>
      <w:pPr>
        <w:spacing w:after="20"/>
        <w:ind w:left="259"/>
        <w:jc w:val="left"/>
      </w:pPr>
      <w:r>
        <w:rPr>
          <w:color w:val="555555"/>
          <w:sz w:val="12"/>
        </w:rPr>
        <w:t>Section 15E—Spoken Communication</w:t>
      </w:r>
    </w:p>
    <w:p>
      <w:pPr>
        <w:spacing w:before="60" w:after="28"/>
        <w:jc w:val="right"/>
        <w:bidi/>
      </w:pPr>
      <w:r>
        <w:rPr>
          <w:b/>
          <w:color w:val="1F4D78"/>
          <w:sz w:val="18"/>
        </w:rPr>
        <w:t>15.24. پلتفرم های صحبت کردن</w:t>
      </w:r>
    </w:p>
    <w:p>
      <w:pPr>
        <w:spacing w:after="20"/>
        <w:ind w:left="259"/>
        <w:jc w:val="left"/>
      </w:pPr>
      <w:r>
        <w:rPr>
          <w:color w:val="555555"/>
          <w:sz w:val="12"/>
        </w:rPr>
        <w:t>15.24. Speaking Platforms</w:t>
      </w:r>
    </w:p>
    <w:p>
      <w:pPr>
        <w:spacing w:after="20" w:line="223" w:lineRule="auto"/>
        <w:jc w:val="right"/>
        <w:bidi/>
      </w:pPr>
      <w:r>
        <w:rPr>
          <w:rFonts w:ascii="Arial" w:hAnsi="Arial"/>
          <w:sz w:val="16"/>
        </w:rPr>
        <w:t>279.03  ارتباط کلامی شامل تعاملات روزمره با همکاران، برقراری ارتباط بالا و پایین در زنجیره فرماندهی و گاهی صحبت کردن با مخاطبان است.</w:t>
      </w:r>
    </w:p>
    <w:p>
      <w:pPr>
        <w:spacing w:after="28" w:line="216" w:lineRule="auto"/>
        <w:ind w:left="259"/>
        <w:jc w:val="left"/>
      </w:pPr>
      <w:r>
        <w:rPr>
          <w:rFonts w:ascii="Arial" w:hAnsi="Arial"/>
          <w:color w:val="525252"/>
          <w:sz w:val="13"/>
        </w:rPr>
        <w:t>Verbal communication includes everyday interactions with coworkers, communicating up and down the chain of command, and sometimes speaking to audiences.</w:t>
      </w:r>
    </w:p>
    <w:p>
      <w:pPr>
        <w:spacing w:after="20" w:line="223" w:lineRule="auto"/>
        <w:jc w:val="right"/>
        <w:bidi/>
      </w:pPr>
      <w:r>
        <w:rPr>
          <w:rFonts w:ascii="Arial" w:hAnsi="Arial"/>
          <w:sz w:val="16"/>
        </w:rPr>
        <w:t>279.04  آگاهی از پلتفرم‌های ارتباط کلامی مختلف می‌تواند کمک کند تا اطمینان حاصل شود که پیامی که در حال برقراری ارتباط است، مطابق با هدف تحویل و دریافت می‌شود.</w:t>
      </w:r>
    </w:p>
    <w:p>
      <w:pPr>
        <w:spacing w:after="28" w:line="216" w:lineRule="auto"/>
        <w:ind w:left="259"/>
        <w:jc w:val="left"/>
      </w:pPr>
      <w:r>
        <w:rPr>
          <w:rFonts w:ascii="Arial" w:hAnsi="Arial"/>
          <w:color w:val="525252"/>
          <w:sz w:val="13"/>
        </w:rPr>
        <w:t>Being aware of various verbal communication platforms can help ensure the message being communicated is delivered and received as intended.</w:t>
      </w:r>
    </w:p>
    <w:p>
      <w:pPr>
        <w:spacing w:before="60" w:after="28"/>
        <w:jc w:val="right"/>
        <w:bidi/>
      </w:pPr>
      <w:r>
        <w:rPr>
          <w:b/>
          <w:color w:val="1F4D78"/>
          <w:sz w:val="18"/>
        </w:rPr>
        <w:t>15.25. فرمت های تحویل</w:t>
      </w:r>
    </w:p>
    <w:p>
      <w:pPr>
        <w:spacing w:after="20"/>
        <w:ind w:left="259"/>
        <w:jc w:val="left"/>
      </w:pPr>
      <w:r>
        <w:rPr>
          <w:color w:val="555555"/>
          <w:sz w:val="12"/>
        </w:rPr>
        <w:t>15.25. Delivery Formats</w:t>
      </w:r>
    </w:p>
    <w:p>
      <w:pPr>
        <w:spacing w:after="20" w:line="223" w:lineRule="auto"/>
        <w:jc w:val="right"/>
        <w:bidi/>
      </w:pPr>
      <w:r>
        <w:rPr>
          <w:rFonts w:ascii="Arial" w:hAnsi="Arial"/>
          <w:sz w:val="16"/>
        </w:rPr>
        <w:t>279.06  رویکرد شما برای تحویل پیام گفتاری معمولا تحت تأثیر عوامل مختلفی است، از جمله زمان آماده‌سازی و ماهیت پیام.</w:t>
      </w:r>
    </w:p>
    <w:p>
      <w:pPr>
        <w:spacing w:after="28" w:line="216" w:lineRule="auto"/>
        <w:ind w:left="259"/>
        <w:jc w:val="left"/>
      </w:pPr>
      <w:r>
        <w:rPr>
          <w:rFonts w:ascii="Arial" w:hAnsi="Arial"/>
          <w:color w:val="525252"/>
          <w:sz w:val="13"/>
        </w:rPr>
        <w:t>Your approach to delivery of the spoken message is usually affected by several factors, including the time you have to prepare and the nature of the message.</w:t>
      </w:r>
    </w:p>
    <w:p>
      <w:pPr>
        <w:spacing w:after="20" w:line="223" w:lineRule="auto"/>
        <w:jc w:val="right"/>
        <w:bidi/>
      </w:pPr>
      <w:r>
        <w:rPr>
          <w:rFonts w:ascii="Arial" w:hAnsi="Arial"/>
          <w:sz w:val="16"/>
        </w:rPr>
        <w:t>279.07  سه فرمت رایج تحویل عبارتند از بداهه، آماده و دستنوشته.</w:t>
      </w:r>
    </w:p>
    <w:p>
      <w:pPr>
        <w:spacing w:after="28" w:line="216" w:lineRule="auto"/>
        <w:ind w:left="259"/>
        <w:jc w:val="left"/>
      </w:pPr>
      <w:r>
        <w:rPr>
          <w:rFonts w:ascii="Arial" w:hAnsi="Arial"/>
          <w:color w:val="525252"/>
          <w:sz w:val="13"/>
        </w:rPr>
        <w:t>Three common delivery formats are impromptu, prepared, and manuscript.</w:t>
      </w:r>
    </w:p>
    <w:p>
      <w:pPr>
        <w:spacing w:after="20" w:line="223" w:lineRule="auto"/>
        <w:jc w:val="right"/>
        <w:bidi/>
      </w:pPr>
      <w:r>
        <w:rPr>
          <w:rFonts w:ascii="Arial" w:hAnsi="Arial"/>
          <w:sz w:val="16"/>
        </w:rPr>
        <w:t>279.08  بداهه.</w:t>
      </w:r>
    </w:p>
    <w:p>
      <w:pPr>
        <w:spacing w:after="28" w:line="216" w:lineRule="auto"/>
        <w:ind w:left="259"/>
        <w:jc w:val="left"/>
      </w:pPr>
      <w:r>
        <w:rPr>
          <w:rFonts w:ascii="Arial" w:hAnsi="Arial"/>
          <w:color w:val="525252"/>
          <w:sz w:val="13"/>
        </w:rPr>
        <w:t>Impromptu.</w:t>
      </w:r>
    </w:p>
    <w:p>
      <w:pPr>
        <w:spacing w:after="20" w:line="223" w:lineRule="auto"/>
        <w:jc w:val="right"/>
        <w:bidi/>
      </w:pPr>
      <w:r>
        <w:rPr>
          <w:rFonts w:ascii="Arial" w:hAnsi="Arial"/>
          <w:sz w:val="16"/>
        </w:rPr>
        <w:t>279.09  سخنرانی بداهه زمانی است که در طول یک جلسه پاسخ می‌دهیم یا در یک کنفرانس «صحبت می‌کنیم».</w:t>
      </w:r>
    </w:p>
    <w:p>
      <w:pPr>
        <w:spacing w:after="28" w:line="216" w:lineRule="auto"/>
        <w:ind w:left="259"/>
        <w:jc w:val="left"/>
      </w:pPr>
      <w:r>
        <w:rPr>
          <w:rFonts w:ascii="Arial" w:hAnsi="Arial"/>
          <w:color w:val="525252"/>
          <w:sz w:val="13"/>
        </w:rPr>
        <w:t>Impromptu speaking is when we respond during a meeting or “take the floor” at a conference.</w:t>
      </w:r>
    </w:p>
    <w:p>
      <w:pPr>
        <w:spacing w:after="20" w:line="223" w:lineRule="auto"/>
        <w:jc w:val="right"/>
        <w:bidi/>
      </w:pPr>
      <w:r>
        <w:rPr>
          <w:rFonts w:ascii="Arial" w:hAnsi="Arial"/>
          <w:sz w:val="16"/>
        </w:rPr>
        <w:t>279.10  گویندگان ممکن است این کار را زمانی انجام دهند که مجبور باشند بدون اخطار یا فقط با چند لحظه به‌طور عمومی صحبت کنند.</w:t>
      </w:r>
    </w:p>
    <w:p>
      <w:pPr>
        <w:spacing w:after="28" w:line="216" w:lineRule="auto"/>
        <w:ind w:left="259"/>
        <w:jc w:val="left"/>
      </w:pPr>
      <w:r>
        <w:rPr>
          <w:rFonts w:ascii="Arial" w:hAnsi="Arial"/>
          <w:color w:val="525252"/>
          <w:sz w:val="13"/>
        </w:rPr>
        <w:t>Speakers may do this when they have to speak publicly without warning or with only a few moments’ notice.</w:t>
      </w:r>
    </w:p>
    <w:p>
      <w:pPr>
        <w:spacing w:after="20" w:line="223" w:lineRule="auto"/>
        <w:jc w:val="right"/>
        <w:bidi/>
      </w:pPr>
      <w:r>
        <w:rPr>
          <w:rFonts w:ascii="Arial" w:hAnsi="Arial"/>
          <w:sz w:val="16"/>
        </w:rPr>
        <w:t>279.11  برای انجام خوب صحبت کردن بداهه نیاز به اعتماد به نفس زیادی، تسلط بر موضوع، و توانایی "فکر کردن روی پای خود" دارد. یک سخنران بداهه عالی در ارتباطات کلامی به بالاترین سطح دست یافته است.</w:t>
      </w:r>
    </w:p>
    <w:p>
      <w:pPr>
        <w:spacing w:after="28" w:line="216" w:lineRule="auto"/>
        <w:ind w:left="259"/>
        <w:jc w:val="left"/>
      </w:pPr>
      <w:r>
        <w:rPr>
          <w:rFonts w:ascii="Arial" w:hAnsi="Arial"/>
          <w:color w:val="525252"/>
          <w:sz w:val="13"/>
        </w:rPr>
        <w:t>To do impromptu speaking well requires a great amount of self- confidence, mastery of the subject, and the ability to “think on your feet.” A superb impromptu speaker has achieved the highest level in verbal communications.</w:t>
      </w:r>
    </w:p>
    <w:p>
      <w:pPr>
        <w:spacing w:after="20" w:line="223" w:lineRule="auto"/>
        <w:jc w:val="right"/>
        <w:bidi/>
      </w:pPr>
      <w:r>
        <w:rPr>
          <w:rFonts w:ascii="Arial" w:hAnsi="Arial"/>
          <w:sz w:val="16"/>
        </w:rPr>
        <w:t>279.12  آماده شد.</w:t>
      </w:r>
    </w:p>
    <w:p>
      <w:pPr>
        <w:spacing w:after="28" w:line="216" w:lineRule="auto"/>
        <w:ind w:left="259"/>
        <w:jc w:val="left"/>
      </w:pPr>
      <w:r>
        <w:rPr>
          <w:rFonts w:ascii="Arial" w:hAnsi="Arial"/>
          <w:color w:val="525252"/>
          <w:sz w:val="13"/>
        </w:rPr>
        <w:t>Prepared.</w:t>
      </w:r>
    </w:p>
    <w:p>
      <w:pPr>
        <w:spacing w:after="20" w:line="223" w:lineRule="auto"/>
        <w:jc w:val="right"/>
        <w:bidi/>
      </w:pPr>
      <w:r>
        <w:rPr>
          <w:rFonts w:ascii="Arial" w:hAnsi="Arial"/>
          <w:sz w:val="16"/>
        </w:rPr>
        <w:t>279.13  آماده سخنرانی یا بریفینگ به مواقعی اشاره دارد که فرصت کافی برای آماده شدن داریم.</w:t>
      </w:r>
    </w:p>
    <w:p>
      <w:pPr>
        <w:spacing w:after="28" w:line="216" w:lineRule="auto"/>
        <w:ind w:left="259"/>
        <w:jc w:val="left"/>
      </w:pPr>
      <w:r>
        <w:rPr>
          <w:rFonts w:ascii="Arial" w:hAnsi="Arial"/>
          <w:color w:val="525252"/>
          <w:sz w:val="13"/>
        </w:rPr>
        <w:t>Prepared speaking or briefing refers to those times when we have ample opportunity to prepare.</w:t>
      </w:r>
    </w:p>
    <w:p>
      <w:pPr>
        <w:spacing w:after="20" w:line="223" w:lineRule="auto"/>
        <w:jc w:val="right"/>
        <w:bidi/>
      </w:pPr>
      <w:r>
        <w:rPr>
          <w:rFonts w:ascii="Arial" w:hAnsi="Arial"/>
          <w:sz w:val="16"/>
        </w:rPr>
        <w:t>279.14  این بدان معنا نیست که شخص یک فیلمنامه می‌نویسد و آن را حفظ می‌کند، اما تحویل آماده نیاز به یک طرح کلی با برنامه‌ریزی و تمرین دقیق دارد.</w:t>
      </w:r>
    </w:p>
    <w:p>
      <w:pPr>
        <w:spacing w:after="28" w:line="216" w:lineRule="auto"/>
        <w:ind w:left="259"/>
        <w:jc w:val="left"/>
      </w:pPr>
      <w:r>
        <w:rPr>
          <w:rFonts w:ascii="Arial" w:hAnsi="Arial"/>
          <w:color w:val="525252"/>
          <w:sz w:val="13"/>
        </w:rPr>
        <w:t>This does not mean the person writes a script and memorizes it, but prepared delivery does require a thorough outline with careful planning and practicing.</w:t>
      </w:r>
    </w:p>
    <w:p>
      <w:pPr>
        <w:spacing w:after="20" w:line="223" w:lineRule="auto"/>
        <w:jc w:val="right"/>
        <w:bidi/>
      </w:pPr>
      <w:r>
        <w:rPr>
          <w:rFonts w:ascii="Arial" w:hAnsi="Arial"/>
          <w:sz w:val="16"/>
        </w:rPr>
        <w:t>279.15  کلمات و عبارات خاصی که در زمان تحویل استفاده می‌شود. با این حال، خود به خود و به نظر بسیار طبیعی هستند.</w:t>
      </w:r>
    </w:p>
    <w:p>
      <w:pPr>
        <w:spacing w:after="28" w:line="216" w:lineRule="auto"/>
        <w:ind w:left="259"/>
        <w:jc w:val="left"/>
      </w:pPr>
      <w:r>
        <w:rPr>
          <w:rFonts w:ascii="Arial" w:hAnsi="Arial"/>
          <w:color w:val="525252"/>
          <w:sz w:val="13"/>
        </w:rPr>
        <w:t>The specific words and phrases used at the time of delivery; however, are spontaneous and sound very natural.</w:t>
      </w:r>
    </w:p>
    <w:p>
      <w:pPr>
        <w:spacing w:after="20" w:line="223" w:lineRule="auto"/>
        <w:jc w:val="right"/>
        <w:bidi/>
      </w:pPr>
      <w:r>
        <w:rPr>
          <w:rFonts w:ascii="Arial" w:hAnsi="Arial"/>
          <w:sz w:val="16"/>
        </w:rPr>
        <w:t>279.16  نسخه خطی.</w:t>
      </w:r>
    </w:p>
    <w:p>
      <w:pPr>
        <w:spacing w:after="28" w:line="216" w:lineRule="auto"/>
        <w:ind w:left="259"/>
        <w:jc w:val="left"/>
      </w:pPr>
      <w:r>
        <w:rPr>
          <w:rFonts w:ascii="Arial" w:hAnsi="Arial"/>
          <w:color w:val="525252"/>
          <w:sz w:val="13"/>
        </w:rPr>
        <w:t>Manuscript.</w:t>
      </w:r>
    </w:p>
    <w:p>
      <w:pPr>
        <w:spacing w:after="20" w:line="223" w:lineRule="auto"/>
        <w:jc w:val="right"/>
        <w:bidi/>
      </w:pPr>
      <w:r>
        <w:rPr>
          <w:rFonts w:ascii="Arial" w:hAnsi="Arial"/>
          <w:sz w:val="16"/>
        </w:rPr>
        <w:t>279.17  خلاصه نسخه خطی قالب تحویلی است که مستلزم آن است که هر کلمه‌ای که گفته می‌شود کاملا کامل باشد.</w:t>
      </w:r>
    </w:p>
    <w:p>
      <w:pPr>
        <w:spacing w:after="28" w:line="216" w:lineRule="auto"/>
        <w:ind w:left="259"/>
        <w:jc w:val="left"/>
      </w:pPr>
      <w:r>
        <w:rPr>
          <w:rFonts w:ascii="Arial" w:hAnsi="Arial"/>
          <w:color w:val="525252"/>
          <w:sz w:val="13"/>
        </w:rPr>
        <w:t>A manuscript briefing is the delivery format that requires every word spoken to be absolutely perfect.</w:t>
      </w:r>
    </w:p>
    <w:p>
      <w:pPr>
        <w:spacing w:after="20" w:line="223" w:lineRule="auto"/>
        <w:jc w:val="right"/>
        <w:bidi/>
      </w:pPr>
      <w:r>
        <w:rPr>
          <w:rFonts w:ascii="Arial" w:hAnsi="Arial"/>
          <w:sz w:val="16"/>
        </w:rPr>
        <w:t>279.18  نقطه ضعف یک جلسه توجیهی دست‌نویس این است که مردم تمایل به عدم خودانگیختگی، عدم تماس چشمی دارند و با فیلمنامه خود پشت سخنرانی می‌ایستند.</w:t>
      </w:r>
    </w:p>
    <w:p>
      <w:pPr>
        <w:spacing w:after="28" w:line="216" w:lineRule="auto"/>
        <w:ind w:left="259"/>
        <w:jc w:val="left"/>
      </w:pPr>
      <w:r>
        <w:rPr>
          <w:rFonts w:ascii="Arial" w:hAnsi="Arial"/>
          <w:color w:val="525252"/>
          <w:sz w:val="13"/>
        </w:rPr>
        <w:t>The disadvantage of a manuscript briefing is that people demonstrate a tendency to lack spontaneity, lack eye contact, and they stand behind the lectern with their script.</w:t>
      </w:r>
    </w:p>
    <w:p>
      <w:pPr>
        <w:spacing w:after="20" w:line="223" w:lineRule="auto"/>
        <w:jc w:val="right"/>
        <w:bidi/>
      </w:pPr>
      <w:r>
        <w:rPr>
          <w:rFonts w:ascii="Arial" w:hAnsi="Arial"/>
          <w:sz w:val="16"/>
        </w:rPr>
        <w:t>279.19  این رفتارها ممکن است تمایل مخاطب را از دست بدهد.</w:t>
      </w:r>
    </w:p>
    <w:p>
      <w:pPr>
        <w:spacing w:after="28" w:line="216" w:lineRule="auto"/>
        <w:ind w:left="259"/>
        <w:jc w:val="left"/>
      </w:pPr>
      <w:r>
        <w:rPr>
          <w:rFonts w:ascii="Arial" w:hAnsi="Arial"/>
          <w:color w:val="525252"/>
          <w:sz w:val="13"/>
        </w:rPr>
        <w:t>These mannerisms may have a tendency of losing the audience’s attention.</w:t>
      </w:r>
    </w:p>
    <w:p>
      <w:pPr>
        <w:spacing w:before="60" w:after="28"/>
        <w:jc w:val="right"/>
        <w:bidi/>
      </w:pPr>
      <w:r>
        <w:rPr>
          <w:b/>
          <w:color w:val="1F4D78"/>
          <w:sz w:val="18"/>
        </w:rPr>
        <w:t>15.26. انواع صحبت کردن</w:t>
      </w:r>
    </w:p>
    <w:p>
      <w:pPr>
        <w:spacing w:after="20"/>
        <w:ind w:left="259"/>
        <w:jc w:val="left"/>
      </w:pPr>
      <w:r>
        <w:rPr>
          <w:color w:val="555555"/>
          <w:sz w:val="12"/>
        </w:rPr>
        <w:t>15.26. Types of Speaking</w:t>
      </w:r>
    </w:p>
    <w:p>
      <w:pPr>
        <w:spacing w:after="20" w:line="223" w:lineRule="auto"/>
        <w:jc w:val="right"/>
        <w:bidi/>
      </w:pPr>
      <w:r>
        <w:rPr>
          <w:rFonts w:ascii="Arial" w:hAnsi="Arial"/>
          <w:sz w:val="16"/>
        </w:rPr>
        <w:t>279.21  به‌طور معمول، انواع سخنرانی مورد استفاده در USAF شامل جلسه توجیهی، سخنرانی آموزشی و سخنرانی رسمی است.</w:t>
      </w:r>
    </w:p>
    <w:p>
      <w:pPr>
        <w:spacing w:after="28" w:line="216" w:lineRule="auto"/>
        <w:ind w:left="259"/>
        <w:jc w:val="left"/>
      </w:pPr>
      <w:r>
        <w:rPr>
          <w:rFonts w:ascii="Arial" w:hAnsi="Arial"/>
          <w:color w:val="525252"/>
          <w:sz w:val="13"/>
        </w:rPr>
        <w:t>Typically, the types of speaking used in the USAF include the briefing, the teaching lecture, and the formal speech.</w:t>
      </w:r>
    </w:p>
    <w:p>
      <w:pPr>
        <w:spacing w:after="20" w:line="223" w:lineRule="auto"/>
        <w:jc w:val="right"/>
        <w:bidi/>
      </w:pPr>
      <w:r>
        <w:rPr>
          <w:rFonts w:ascii="Arial" w:hAnsi="Arial"/>
          <w:sz w:val="16"/>
        </w:rPr>
        <w:t>279.22  جلسه توجیهی.</w:t>
      </w:r>
    </w:p>
    <w:p>
      <w:pPr>
        <w:spacing w:after="28" w:line="216" w:lineRule="auto"/>
        <w:ind w:left="259"/>
        <w:jc w:val="left"/>
      </w:pPr>
      <w:r>
        <w:rPr>
          <w:rFonts w:ascii="Arial" w:hAnsi="Arial"/>
          <w:color w:val="525252"/>
          <w:sz w:val="13"/>
        </w:rPr>
        <w:t>Briefing.</w:t>
      </w:r>
    </w:p>
    <w:p>
      <w:pPr>
        <w:spacing w:after="20" w:line="223" w:lineRule="auto"/>
        <w:jc w:val="right"/>
        <w:bidi/>
      </w:pPr>
      <w:r>
        <w:rPr>
          <w:rFonts w:ascii="Arial" w:hAnsi="Arial"/>
          <w:sz w:val="16"/>
        </w:rPr>
        <w:t>279.23  هدف اصلی یک جلسه توجیهی آگاه کردن شنوندگان در مورد یک مأموریت، عملیات یا مفهوم است.</w:t>
      </w:r>
    </w:p>
    <w:p>
      <w:pPr>
        <w:spacing w:after="28" w:line="216" w:lineRule="auto"/>
        <w:ind w:left="259"/>
        <w:jc w:val="left"/>
      </w:pPr>
      <w:r>
        <w:rPr>
          <w:rFonts w:ascii="Arial" w:hAnsi="Arial"/>
          <w:color w:val="525252"/>
          <w:sz w:val="13"/>
        </w:rPr>
        <w:t>The major purpose of a briefing is to inform listeners about a mission, operation, or concept.</w:t>
      </w:r>
    </w:p>
    <w:p>
      <w:pPr>
        <w:spacing w:after="20" w:line="223" w:lineRule="auto"/>
        <w:jc w:val="right"/>
        <w:bidi/>
      </w:pPr>
      <w:r>
        <w:rPr>
          <w:rFonts w:ascii="Arial" w:hAnsi="Arial"/>
          <w:sz w:val="16"/>
        </w:rPr>
        <w:t>279.24  برخی از جلسات توجیهی، شنوندگان را به انجام یک رویه یا اجرای دستورالعمل‌ها هدایت می‌کنند یا آنها را قادر می‌سازند.</w:t>
      </w:r>
    </w:p>
    <w:p>
      <w:pPr>
        <w:spacing w:after="28" w:line="216" w:lineRule="auto"/>
        <w:ind w:left="259"/>
        <w:jc w:val="left"/>
      </w:pPr>
      <w:r>
        <w:rPr>
          <w:rFonts w:ascii="Arial" w:hAnsi="Arial"/>
          <w:color w:val="525252"/>
          <w:sz w:val="13"/>
        </w:rPr>
        <w:t>Some briefings direct or enable listeners to perform a procedure or carry out instructions.</w:t>
      </w:r>
    </w:p>
    <w:p>
      <w:pPr>
        <w:spacing w:after="20" w:line="223" w:lineRule="auto"/>
        <w:jc w:val="right"/>
        <w:bidi/>
      </w:pPr>
      <w:r>
        <w:rPr>
          <w:rFonts w:ascii="Arial" w:hAnsi="Arial"/>
          <w:sz w:val="16"/>
        </w:rPr>
        <w:t>279.25  سایر جلسات توجیهی از راه حل خاصی حمایت، ترغیب یا حمایت می‌کنند و مخاطب را به پذیرش جلسه توجیهی سوق می‌دهند.</w:t>
      </w:r>
    </w:p>
    <w:p>
      <w:pPr>
        <w:spacing w:after="28" w:line="216" w:lineRule="auto"/>
        <w:ind w:left="259"/>
        <w:jc w:val="left"/>
      </w:pPr>
      <w:r>
        <w:rPr>
          <w:rFonts w:ascii="Arial" w:hAnsi="Arial"/>
          <w:color w:val="525252"/>
          <w:sz w:val="13"/>
        </w:rPr>
        <w:t>Other briefings advocate, persuade, or support a certain solution and lead the audience to accept the briefing.</w:t>
      </w:r>
    </w:p>
    <w:p>
      <w:pPr>
        <w:spacing w:after="20" w:line="223" w:lineRule="auto"/>
        <w:jc w:val="right"/>
        <w:bidi/>
      </w:pPr>
      <w:r>
        <w:rPr>
          <w:rFonts w:ascii="Arial" w:hAnsi="Arial"/>
          <w:sz w:val="16"/>
        </w:rPr>
        <w:t>279.26  هر جلسه توجیهی خوبی دارای ویژگی‌های دقت، مختصر و وضوح است.</w:t>
      </w:r>
    </w:p>
    <w:p>
      <w:pPr>
        <w:spacing w:after="28" w:line="216" w:lineRule="auto"/>
        <w:ind w:left="259"/>
        <w:jc w:val="left"/>
      </w:pPr>
      <w:r>
        <w:rPr>
          <w:rFonts w:ascii="Arial" w:hAnsi="Arial"/>
          <w:color w:val="525252"/>
          <w:sz w:val="13"/>
        </w:rPr>
        <w:t>Every good briefing has the qualities of accuracy, brevity, and clarity.</w:t>
      </w:r>
    </w:p>
    <w:p>
      <w:pPr>
        <w:spacing w:after="20" w:line="223" w:lineRule="auto"/>
        <w:jc w:val="right"/>
        <w:bidi/>
      </w:pPr>
      <w:r>
        <w:rPr>
          <w:rFonts w:ascii="Arial" w:hAnsi="Arial"/>
          <w:sz w:val="16"/>
        </w:rPr>
        <w:t>279.27  دقت و وضوح مشخصه همه صحبت‌های خوب است، اما مختصر بودن، خلاصه را از سایر انواع سخنرانی متمایز می‌کند.</w:t>
      </w:r>
    </w:p>
    <w:p>
      <w:pPr>
        <w:spacing w:after="28" w:line="216" w:lineRule="auto"/>
        <w:ind w:left="259"/>
        <w:jc w:val="left"/>
      </w:pPr>
      <w:r>
        <w:rPr>
          <w:rFonts w:ascii="Arial" w:hAnsi="Arial"/>
          <w:color w:val="525252"/>
          <w:sz w:val="13"/>
        </w:rPr>
        <w:t>Accuracy and clarity characterize all good speaking, but brevity distinguishes the briefing from other types of speaking.</w:t>
      </w:r>
    </w:p>
    <w:p>
      <w:pPr>
        <w:spacing w:after="20" w:line="223" w:lineRule="auto"/>
        <w:jc w:val="right"/>
        <w:bidi/>
      </w:pPr>
      <w:r>
        <w:rPr>
          <w:rFonts w:ascii="Arial" w:hAnsi="Arial"/>
          <w:sz w:val="16"/>
        </w:rPr>
        <w:t>279.28  بریفر باید مختصر و دقیق باشد و باید برخی از سوالاتی را که ممکن است پیش بیاید پیش بینی کند.</w:t>
      </w:r>
    </w:p>
    <w:p>
      <w:pPr>
        <w:spacing w:after="28" w:line="216" w:lineRule="auto"/>
        <w:ind w:left="259"/>
        <w:jc w:val="left"/>
      </w:pPr>
      <w:r>
        <w:rPr>
          <w:rFonts w:ascii="Arial" w:hAnsi="Arial"/>
          <w:color w:val="525252"/>
          <w:sz w:val="13"/>
        </w:rPr>
        <w:t>A briefer must be brief and to the point and should anticipate some of the questions that may arise.</w:t>
      </w:r>
    </w:p>
    <w:p>
      <w:pPr>
        <w:spacing w:after="20" w:line="223" w:lineRule="auto"/>
        <w:jc w:val="right"/>
        <w:bidi/>
      </w:pPr>
      <w:r>
        <w:rPr>
          <w:rFonts w:ascii="Arial" w:hAnsi="Arial"/>
          <w:sz w:val="16"/>
        </w:rPr>
        <w:t>279.29  اگر یک مشاور نتواند به سوالی پاسخ دهد، نباید سعی کند به سوالی پاسخ دهد.</w:t>
      </w:r>
    </w:p>
    <w:p>
      <w:pPr>
        <w:spacing w:after="28" w:line="216" w:lineRule="auto"/>
        <w:ind w:left="259"/>
        <w:jc w:val="left"/>
      </w:pPr>
      <w:r>
        <w:rPr>
          <w:rFonts w:ascii="Arial" w:hAnsi="Arial"/>
          <w:color w:val="525252"/>
          <w:sz w:val="13"/>
        </w:rPr>
        <w:t>If a briefer cannot answer a question, he or she should not attempt an off-the-cuff answer.</w:t>
      </w:r>
    </w:p>
    <w:p>
      <w:pPr>
        <w:spacing w:after="20" w:line="223" w:lineRule="auto"/>
        <w:jc w:val="right"/>
        <w:bidi/>
      </w:pPr>
      <w:r>
        <w:rPr>
          <w:rFonts w:ascii="Arial" w:hAnsi="Arial"/>
          <w:sz w:val="16"/>
        </w:rPr>
        <w:t>279.30  در عوض، او باید فرصتی برای تحقیق درباره سوال و پیگیری با پاسخ در زمان بعدی درخواست کند.</w:t>
      </w:r>
    </w:p>
    <w:p>
      <w:pPr>
        <w:spacing w:after="28" w:line="216" w:lineRule="auto"/>
        <w:ind w:left="259"/>
        <w:jc w:val="left"/>
      </w:pPr>
      <w:r>
        <w:rPr>
          <w:rFonts w:ascii="Arial" w:hAnsi="Arial"/>
          <w:color w:val="525252"/>
          <w:sz w:val="13"/>
        </w:rPr>
        <w:t>Instead, he or she should request an opportunity to research the question and follow-up with an answer at a later time.</w:t>
      </w:r>
    </w:p>
    <w:p>
      <w:pPr>
        <w:spacing w:after="20" w:line="223" w:lineRule="auto"/>
        <w:jc w:val="right"/>
        <w:bidi/>
      </w:pPr>
      <w:r>
        <w:rPr>
          <w:rFonts w:ascii="Arial" w:hAnsi="Arial"/>
          <w:sz w:val="16"/>
        </w:rPr>
        <w:t>279.31  سخنرانی تدریس.</w:t>
      </w:r>
    </w:p>
    <w:p>
      <w:pPr>
        <w:spacing w:after="28" w:line="216" w:lineRule="auto"/>
        <w:ind w:left="259"/>
        <w:jc w:val="left"/>
      </w:pPr>
      <w:r>
        <w:rPr>
          <w:rFonts w:ascii="Arial" w:hAnsi="Arial"/>
          <w:color w:val="525252"/>
          <w:sz w:val="13"/>
        </w:rPr>
        <w:t>Teaching Lecture.</w:t>
      </w:r>
    </w:p>
    <w:p>
      <w:pPr>
        <w:spacing w:after="20" w:line="223" w:lineRule="auto"/>
        <w:jc w:val="right"/>
        <w:bidi/>
      </w:pPr>
      <w:r>
        <w:rPr>
          <w:rFonts w:ascii="Arial" w:hAnsi="Arial"/>
          <w:sz w:val="16"/>
        </w:rPr>
        <w:t>279.32  سخنرانی آموزشی روش آموزشی است که اغلب در USAF استفاده می‌شود.</w:t>
      </w:r>
    </w:p>
    <w:p>
      <w:pPr>
        <w:spacing w:after="28" w:line="216" w:lineRule="auto"/>
        <w:ind w:left="259"/>
        <w:jc w:val="left"/>
      </w:pPr>
      <w:r>
        <w:rPr>
          <w:rFonts w:ascii="Arial" w:hAnsi="Arial"/>
          <w:color w:val="525252"/>
          <w:sz w:val="13"/>
        </w:rPr>
        <w:t>The teaching lecture is the method of instruction most often used in the USAF.</w:t>
      </w:r>
    </w:p>
    <w:p>
      <w:pPr>
        <w:spacing w:after="20" w:line="223" w:lineRule="auto"/>
        <w:jc w:val="right"/>
        <w:bidi/>
      </w:pPr>
      <w:r>
        <w:rPr>
          <w:rFonts w:ascii="Arial" w:hAnsi="Arial"/>
          <w:sz w:val="16"/>
        </w:rPr>
        <w:t>279.33  همانطور که از نام آن پیداست، هدف اصلی یک سخنرانی آموزشی، آموزش دادن به مخاطب در مورد یک موضوع معین است.</w:t>
      </w:r>
    </w:p>
    <w:p>
      <w:pPr>
        <w:spacing w:after="28" w:line="216" w:lineRule="auto"/>
        <w:ind w:left="259"/>
        <w:jc w:val="left"/>
      </w:pPr>
      <w:r>
        <w:rPr>
          <w:rFonts w:ascii="Arial" w:hAnsi="Arial"/>
          <w:color w:val="525252"/>
          <w:sz w:val="13"/>
        </w:rPr>
        <w:t>As the name implies, the primary purpose of a teaching lecture is to teach an audience about a given subject.</w:t>
      </w:r>
    </w:p>
    <w:p>
      <w:pPr>
        <w:spacing w:after="20" w:line="223" w:lineRule="auto"/>
        <w:jc w:val="right"/>
        <w:bidi/>
      </w:pPr>
      <w:r>
        <w:rPr>
          <w:rFonts w:ascii="Arial" w:hAnsi="Arial"/>
          <w:sz w:val="16"/>
        </w:rPr>
        <w:t>279.34  سخنرانی‌های آموزشی یا رسمی یا غیر رسمی است.</w:t>
      </w:r>
    </w:p>
    <w:p>
      <w:pPr>
        <w:spacing w:after="28" w:line="216" w:lineRule="auto"/>
        <w:ind w:left="259"/>
        <w:jc w:val="left"/>
      </w:pPr>
      <w:r>
        <w:rPr>
          <w:rFonts w:ascii="Arial" w:hAnsi="Arial"/>
          <w:color w:val="525252"/>
          <w:sz w:val="13"/>
        </w:rPr>
        <w:t>Teaching lectures are either formal or informal.</w:t>
      </w:r>
    </w:p>
    <w:p>
      <w:pPr>
        <w:spacing w:after="20" w:line="223" w:lineRule="auto"/>
        <w:jc w:val="right"/>
        <w:bidi/>
      </w:pPr>
      <w:r>
        <w:rPr>
          <w:rFonts w:ascii="Arial" w:hAnsi="Arial"/>
          <w:sz w:val="16"/>
        </w:rPr>
        <w:t>279.35  سخنرانی‌های رسمی عموما یک طرفه و بدون مشارکت کلامی از سوی مخاطبان است.</w:t>
      </w:r>
    </w:p>
    <w:p>
      <w:pPr>
        <w:spacing w:after="28" w:line="216" w:lineRule="auto"/>
        <w:ind w:left="259"/>
        <w:jc w:val="left"/>
      </w:pPr>
      <w:r>
        <w:rPr>
          <w:rFonts w:ascii="Arial" w:hAnsi="Arial"/>
          <w:color w:val="525252"/>
          <w:sz w:val="13"/>
        </w:rPr>
        <w:t>Formal lectures are generally one- way with no verbal participation by the audience.</w:t>
      </w:r>
    </w:p>
    <w:p>
      <w:pPr>
        <w:spacing w:after="20" w:line="223" w:lineRule="auto"/>
        <w:jc w:val="right"/>
        <w:bidi/>
      </w:pPr>
      <w:r>
        <w:rPr>
          <w:rFonts w:ascii="Arial" w:hAnsi="Arial"/>
          <w:sz w:val="16"/>
        </w:rPr>
        <w:t>279.36  سخنرانی‌های غیررسمی معمولا برای مخاطبان کوچکتر ارائه می‌شود و امکان تعامل کلامی را فراهم می‌کند.</w:t>
      </w:r>
    </w:p>
    <w:p>
      <w:pPr>
        <w:spacing w:after="28" w:line="216" w:lineRule="auto"/>
        <w:ind w:left="259"/>
        <w:jc w:val="left"/>
      </w:pPr>
      <w:r>
        <w:rPr>
          <w:rFonts w:ascii="Arial" w:hAnsi="Arial"/>
          <w:color w:val="525252"/>
          <w:sz w:val="13"/>
        </w:rPr>
        <w:t>Informal lectures are usually presented to smaller audiences and allow for verbal interaction.</w:t>
      </w:r>
    </w:p>
    <w:p>
      <w:r>
        <w:br w:type="page"/>
      </w:r>
    </w:p>
    <w:p>
      <w:pPr>
        <w:spacing w:after="60"/>
        <w:jc w:val="right"/>
        <w:bidi/>
      </w:pPr>
      <w:r>
        <w:rPr>
          <w:rFonts w:ascii="Arial" w:hAnsi="Arial"/>
          <w:b/>
          <w:color w:val="1F4D78"/>
          <w:sz w:val="19"/>
        </w:rPr>
        <w:t>هفتهٔ 280  |  صفحهٔ منبع: 296</w:t>
      </w:r>
    </w:p>
    <w:p>
      <w:pPr>
        <w:spacing w:after="20" w:line="223" w:lineRule="auto"/>
        <w:jc w:val="right"/>
        <w:bidi/>
      </w:pPr>
      <w:r>
        <w:rPr>
          <w:rFonts w:ascii="Arial" w:hAnsi="Arial"/>
          <w:sz w:val="16"/>
        </w:rPr>
        <w:t>280.01  سخنرانی رسمی.</w:t>
      </w:r>
    </w:p>
    <w:p>
      <w:pPr>
        <w:spacing w:after="28" w:line="216" w:lineRule="auto"/>
        <w:ind w:left="259"/>
        <w:jc w:val="left"/>
      </w:pPr>
      <w:r>
        <w:rPr>
          <w:rFonts w:ascii="Arial" w:hAnsi="Arial"/>
          <w:color w:val="525252"/>
          <w:sz w:val="13"/>
        </w:rPr>
        <w:t>Formal Speech.</w:t>
      </w:r>
    </w:p>
    <w:p>
      <w:pPr>
        <w:spacing w:after="20" w:line="223" w:lineRule="auto"/>
        <w:jc w:val="right"/>
        <w:bidi/>
      </w:pPr>
      <w:r>
        <w:rPr>
          <w:rFonts w:ascii="Arial" w:hAnsi="Arial"/>
          <w:sz w:val="16"/>
        </w:rPr>
        <w:t>280.02  یک سخنرانی رسمی به‌طور کلی یکی از سه هدف اساسی دارد: اطلاع رسانی، متقاعد کردن، یا سرگرم کردن.</w:t>
      </w:r>
    </w:p>
    <w:p>
      <w:pPr>
        <w:spacing w:after="28" w:line="216" w:lineRule="auto"/>
        <w:ind w:left="259"/>
        <w:jc w:val="left"/>
      </w:pPr>
      <w:r>
        <w:rPr>
          <w:rFonts w:ascii="Arial" w:hAnsi="Arial"/>
          <w:color w:val="525252"/>
          <w:sz w:val="13"/>
        </w:rPr>
        <w:t>A formal speech generally has one of three basic purposes: to inform, persuade, or entertain.</w:t>
      </w:r>
    </w:p>
    <w:p>
      <w:pPr>
        <w:spacing w:after="20" w:line="223" w:lineRule="auto"/>
        <w:jc w:val="right"/>
        <w:bidi/>
      </w:pPr>
      <w:r>
        <w:rPr>
          <w:rFonts w:ascii="Arial" w:hAnsi="Arial"/>
          <w:sz w:val="16"/>
        </w:rPr>
        <w:t>280.03  گفتار آموزنده، روایتی است درباره موضوعی خاص، اما مستلزم تلاش مستمر برای آموزش نیست.</w:t>
      </w:r>
    </w:p>
    <w:p>
      <w:pPr>
        <w:spacing w:after="28" w:line="216" w:lineRule="auto"/>
        <w:ind w:left="259"/>
        <w:jc w:val="left"/>
      </w:pPr>
      <w:r>
        <w:rPr>
          <w:rFonts w:ascii="Arial" w:hAnsi="Arial"/>
          <w:color w:val="525252"/>
          <w:sz w:val="13"/>
        </w:rPr>
        <w:t>The informative speech is a narration concerning a specific topic, but it does not involve a sustained effort to teach.</w:t>
      </w:r>
    </w:p>
    <w:p>
      <w:pPr>
        <w:spacing w:after="20" w:line="223" w:lineRule="auto"/>
        <w:jc w:val="right"/>
        <w:bidi/>
      </w:pPr>
      <w:r>
        <w:rPr>
          <w:rFonts w:ascii="Arial" w:hAnsi="Arial"/>
          <w:sz w:val="16"/>
        </w:rPr>
        <w:t>280.04  گفتگوهای جهت یابی و ارائه به فراخوان فرمانده نمونه هایی از سخنرانی‌های آموزنده است.</w:t>
      </w:r>
    </w:p>
    <w:p>
      <w:pPr>
        <w:spacing w:after="28" w:line="216" w:lineRule="auto"/>
        <w:ind w:left="259"/>
        <w:jc w:val="left"/>
      </w:pPr>
      <w:r>
        <w:rPr>
          <w:rFonts w:ascii="Arial" w:hAnsi="Arial"/>
          <w:color w:val="525252"/>
          <w:sz w:val="13"/>
        </w:rPr>
        <w:t>Orientation talks and presentations at commander’s call are examples of informative speeches.</w:t>
      </w:r>
    </w:p>
    <w:p>
      <w:pPr>
        <w:spacing w:after="20" w:line="223" w:lineRule="auto"/>
        <w:jc w:val="right"/>
        <w:bidi/>
      </w:pPr>
      <w:r>
        <w:rPr>
          <w:rFonts w:ascii="Arial" w:hAnsi="Arial"/>
          <w:sz w:val="16"/>
        </w:rPr>
        <w:t>280.05  سخنرانی متقاعدکننده برای تحریک مخاطب به باور یا اقدام در مورد موضوعی طراحی شده است، مانند جذب سخنرانی برای کلاس‌های فارغ‌التحصیلی دبیرستان.</w:t>
      </w:r>
    </w:p>
    <w:p>
      <w:pPr>
        <w:spacing w:after="28" w:line="216" w:lineRule="auto"/>
        <w:ind w:left="259"/>
        <w:jc w:val="left"/>
      </w:pPr>
      <w:r>
        <w:rPr>
          <w:rFonts w:ascii="Arial" w:hAnsi="Arial"/>
          <w:color w:val="525252"/>
          <w:sz w:val="13"/>
        </w:rPr>
        <w:t>The persuasive speech is designed to move an audience to believe in or take action on a topic, such as recruiting speeches to high school graduating classes.</w:t>
      </w:r>
    </w:p>
    <w:p>
      <w:pPr>
        <w:spacing w:after="20" w:line="223" w:lineRule="auto"/>
        <w:jc w:val="right"/>
        <w:bidi/>
      </w:pPr>
      <w:r>
        <w:rPr>
          <w:rFonts w:ascii="Arial" w:hAnsi="Arial"/>
          <w:sz w:val="16"/>
        </w:rPr>
        <w:t>280.06  سخنرانی‌های سرگرم‌کننده اغلب شامل طنز و شوخ طبعی برای سرگرم کردن شنوندگان می‌شود، مانند سخنرانی برای سرگرم کردن در یک غذاخوری.</w:t>
      </w:r>
    </w:p>
    <w:p>
      <w:pPr>
        <w:spacing w:after="28" w:line="216" w:lineRule="auto"/>
        <w:ind w:left="259"/>
        <w:jc w:val="left"/>
      </w:pPr>
      <w:r>
        <w:rPr>
          <w:rFonts w:ascii="Arial" w:hAnsi="Arial"/>
          <w:color w:val="525252"/>
          <w:sz w:val="13"/>
        </w:rPr>
        <w:t>Entertaining speeches often include humor and wit to entertain listeners, such as a speech to entertain at a dining-out.</w:t>
      </w:r>
    </w:p>
    <w:p>
      <w:pPr>
        <w:spacing w:before="60" w:after="28"/>
        <w:jc w:val="right"/>
        <w:bidi/>
      </w:pPr>
      <w:r>
        <w:rPr>
          <w:b/>
          <w:color w:val="1F4D78"/>
          <w:sz w:val="18"/>
        </w:rPr>
        <w:t>15.27. نکات اولیه ارتباطی</w:t>
      </w:r>
    </w:p>
    <w:p>
      <w:pPr>
        <w:spacing w:after="20"/>
        <w:ind w:left="259"/>
        <w:jc w:val="left"/>
      </w:pPr>
      <w:r>
        <w:rPr>
          <w:color w:val="555555"/>
          <w:sz w:val="12"/>
        </w:rPr>
        <w:t>15.27. Basic Communication Tips</w:t>
      </w:r>
    </w:p>
    <w:p>
      <w:pPr>
        <w:spacing w:after="20" w:line="223" w:lineRule="auto"/>
        <w:jc w:val="right"/>
        <w:bidi/>
      </w:pPr>
      <w:r>
        <w:rPr>
          <w:rFonts w:ascii="Arial" w:hAnsi="Arial"/>
          <w:sz w:val="16"/>
        </w:rPr>
        <w:t>280.08  شروع هر گونه ارتباط با در نظر گرفتن نکات اولیه ارتباطی و توجه به دیگران در هنگام صحبت کردن و گوش دادن، مهارت‌های ارتباطی را در هر محیطی افزایش می‌دهد.</w:t>
      </w:r>
    </w:p>
    <w:p>
      <w:pPr>
        <w:spacing w:after="28" w:line="216" w:lineRule="auto"/>
        <w:ind w:left="259"/>
        <w:jc w:val="left"/>
      </w:pPr>
      <w:r>
        <w:rPr>
          <w:rFonts w:ascii="Arial" w:hAnsi="Arial"/>
          <w:color w:val="525252"/>
          <w:sz w:val="13"/>
        </w:rPr>
        <w:t>Beginning any communication with basic communication tips in mind and being mindful of others when speaking and listening will enhance communication skills in any environment.</w:t>
      </w:r>
    </w:p>
    <w:p>
      <w:pPr>
        <w:spacing w:after="20" w:line="223" w:lineRule="auto"/>
        <w:jc w:val="right"/>
        <w:bidi/>
      </w:pPr>
      <w:r>
        <w:rPr>
          <w:rFonts w:ascii="Arial" w:hAnsi="Arial"/>
          <w:sz w:val="16"/>
        </w:rPr>
        <w:t>280.09  برخی از نکات اساسی ارتباط نظامی که می‌توانند در هر شرایطی مورد استفاده قرار گیرند در اینجا ارائه شده‌اند.</w:t>
      </w:r>
    </w:p>
    <w:p>
      <w:pPr>
        <w:spacing w:after="28" w:line="216" w:lineRule="auto"/>
        <w:ind w:left="259"/>
        <w:jc w:val="left"/>
      </w:pPr>
      <w:r>
        <w:rPr>
          <w:rFonts w:ascii="Arial" w:hAnsi="Arial"/>
          <w:color w:val="525252"/>
          <w:sz w:val="13"/>
        </w:rPr>
        <w:t>Some basic military communication tips that can be used in any setting are provided here.</w:t>
      </w:r>
    </w:p>
    <w:p>
      <w:pPr>
        <w:spacing w:after="20" w:line="223" w:lineRule="auto"/>
        <w:jc w:val="right"/>
        <w:bidi/>
      </w:pPr>
      <w:r>
        <w:rPr>
          <w:rFonts w:ascii="Arial" w:hAnsi="Arial"/>
          <w:sz w:val="16"/>
        </w:rPr>
        <w:t>280.10  رتبه.</w:t>
      </w:r>
    </w:p>
    <w:p>
      <w:pPr>
        <w:spacing w:after="28" w:line="216" w:lineRule="auto"/>
        <w:ind w:left="259"/>
        <w:jc w:val="left"/>
      </w:pPr>
      <w:r>
        <w:rPr>
          <w:rFonts w:ascii="Arial" w:hAnsi="Arial"/>
          <w:color w:val="525252"/>
          <w:sz w:val="13"/>
        </w:rPr>
        <w:t>Rank.</w:t>
      </w:r>
    </w:p>
    <w:p>
      <w:pPr>
        <w:spacing w:after="20" w:line="223" w:lineRule="auto"/>
        <w:jc w:val="right"/>
        <w:bidi/>
      </w:pPr>
      <w:r>
        <w:rPr>
          <w:rFonts w:ascii="Arial" w:hAnsi="Arial"/>
          <w:sz w:val="16"/>
        </w:rPr>
        <w:t>280.11  تفاوت در رتبه نظامی می‌تواند مانعی (واقعی یا درک شده) برای برقراری ارتباط در USAF باشد.</w:t>
      </w:r>
    </w:p>
    <w:p>
      <w:pPr>
        <w:spacing w:after="28" w:line="216" w:lineRule="auto"/>
        <w:ind w:left="259"/>
        <w:jc w:val="left"/>
      </w:pPr>
      <w:r>
        <w:rPr>
          <w:rFonts w:ascii="Arial" w:hAnsi="Arial"/>
          <w:color w:val="525252"/>
          <w:sz w:val="13"/>
        </w:rPr>
        <w:t>Differences in military rank can be a barrier (real or perceived) to communication in the USAF.</w:t>
      </w:r>
    </w:p>
    <w:p>
      <w:pPr>
        <w:spacing w:after="20" w:line="223" w:lineRule="auto"/>
        <w:jc w:val="right"/>
        <w:bidi/>
      </w:pPr>
      <w:r>
        <w:rPr>
          <w:rFonts w:ascii="Arial" w:hAnsi="Arial"/>
          <w:sz w:val="16"/>
        </w:rPr>
        <w:t>280.12  بسیاری از ما به‌طور غریزی با آنهایی که در رتبه بالاتر هستند ارتباط متفاوتی نسبت به کسانی که دارای رتبه پایین هستند، داریم.</w:t>
      </w:r>
    </w:p>
    <w:p>
      <w:pPr>
        <w:spacing w:after="28" w:line="216" w:lineRule="auto"/>
        <w:ind w:left="259"/>
        <w:jc w:val="left"/>
      </w:pPr>
      <w:r>
        <w:rPr>
          <w:rFonts w:ascii="Arial" w:hAnsi="Arial"/>
          <w:color w:val="525252"/>
          <w:sz w:val="13"/>
        </w:rPr>
        <w:t>Many of us instinctively communicate differently with those senior in rank than we do with those with those who are junior in rank.</w:t>
      </w:r>
    </w:p>
    <w:p>
      <w:pPr>
        <w:spacing w:after="20" w:line="223" w:lineRule="auto"/>
        <w:jc w:val="right"/>
        <w:bidi/>
      </w:pPr>
      <w:r>
        <w:rPr>
          <w:rFonts w:ascii="Arial" w:hAnsi="Arial"/>
          <w:sz w:val="16"/>
        </w:rPr>
        <w:t>280.13  ما باید دائما تلاش کنیم تا با هرکسی که با آنها ارتباط برقرار می‌کنیم، صریح، مستقیم و محترمانه رفتار کنیم.</w:t>
      </w:r>
    </w:p>
    <w:p>
      <w:pPr>
        <w:spacing w:after="28" w:line="216" w:lineRule="auto"/>
        <w:ind w:left="259"/>
        <w:jc w:val="left"/>
      </w:pPr>
      <w:r>
        <w:rPr>
          <w:rFonts w:ascii="Arial" w:hAnsi="Arial"/>
          <w:color w:val="525252"/>
          <w:sz w:val="13"/>
        </w:rPr>
        <w:t>We must constantly strive to be candid, direct, and respectful with everyone we communicate with.</w:t>
      </w:r>
    </w:p>
    <w:p>
      <w:pPr>
        <w:spacing w:after="20" w:line="223" w:lineRule="auto"/>
        <w:jc w:val="right"/>
        <w:bidi/>
      </w:pPr>
      <w:r>
        <w:rPr>
          <w:rFonts w:ascii="Arial" w:hAnsi="Arial"/>
          <w:sz w:val="16"/>
        </w:rPr>
        <w:t>280.14  واژگان.</w:t>
      </w:r>
    </w:p>
    <w:p>
      <w:pPr>
        <w:spacing w:after="28" w:line="216" w:lineRule="auto"/>
        <w:ind w:left="259"/>
        <w:jc w:val="left"/>
      </w:pPr>
      <w:r>
        <w:rPr>
          <w:rFonts w:ascii="Arial" w:hAnsi="Arial"/>
          <w:color w:val="525252"/>
          <w:sz w:val="13"/>
        </w:rPr>
        <w:t>Jargon.</w:t>
      </w:r>
    </w:p>
    <w:p>
      <w:pPr>
        <w:spacing w:after="20" w:line="223" w:lineRule="auto"/>
        <w:jc w:val="right"/>
        <w:bidi/>
      </w:pPr>
      <w:r>
        <w:rPr>
          <w:rFonts w:ascii="Arial" w:hAnsi="Arial"/>
          <w:sz w:val="16"/>
        </w:rPr>
        <w:t>280.15  وقتی صحبت از اصطلاحات تخصصی به میان می‌آید، دانش و تخصص دیگران را دست بالا نگیرید.</w:t>
      </w:r>
    </w:p>
    <w:p>
      <w:pPr>
        <w:spacing w:after="28" w:line="216" w:lineRule="auto"/>
        <w:ind w:left="259"/>
        <w:jc w:val="left"/>
      </w:pPr>
      <w:r>
        <w:rPr>
          <w:rFonts w:ascii="Arial" w:hAnsi="Arial"/>
          <w:color w:val="525252"/>
          <w:sz w:val="13"/>
        </w:rPr>
        <w:t>Do not overestimate the knowledge and expertise of others when it comes to jargon.</w:t>
      </w:r>
    </w:p>
    <w:p>
      <w:pPr>
        <w:spacing w:after="20" w:line="223" w:lineRule="auto"/>
        <w:jc w:val="right"/>
        <w:bidi/>
      </w:pPr>
      <w:r>
        <w:rPr>
          <w:rFonts w:ascii="Arial" w:hAnsi="Arial"/>
          <w:sz w:val="16"/>
        </w:rPr>
        <w:t>280.16  مراقب استفاده بیش از حد از اصطلاحات و کلمات اختصاری خاص در زمینه شغلی باشید، اما در صورت لزوم از اصطلاحات تخصصی استفاده کنید.</w:t>
      </w:r>
    </w:p>
    <w:p>
      <w:pPr>
        <w:spacing w:after="28" w:line="216" w:lineRule="auto"/>
        <w:ind w:left="259"/>
        <w:jc w:val="left"/>
      </w:pPr>
      <w:r>
        <w:rPr>
          <w:rFonts w:ascii="Arial" w:hAnsi="Arial"/>
          <w:color w:val="525252"/>
          <w:sz w:val="13"/>
        </w:rPr>
        <w:t>Be careful with excessive use of career-field specific jargon and acronyms, but feel free to use jargon when appropriate.</w:t>
      </w:r>
    </w:p>
    <w:p>
      <w:pPr>
        <w:spacing w:after="20" w:line="223" w:lineRule="auto"/>
        <w:jc w:val="right"/>
        <w:bidi/>
      </w:pPr>
      <w:r>
        <w:rPr>
          <w:rFonts w:ascii="Arial" w:hAnsi="Arial"/>
          <w:sz w:val="16"/>
        </w:rPr>
        <w:t>280.17  به‌عنوان سخنران، این مسئولیت شماست که مطمئن شوید که ارتباط شما قابل درک است.</w:t>
      </w:r>
    </w:p>
    <w:p>
      <w:pPr>
        <w:spacing w:after="28" w:line="216" w:lineRule="auto"/>
        <w:ind w:left="259"/>
        <w:jc w:val="left"/>
      </w:pPr>
      <w:r>
        <w:rPr>
          <w:rFonts w:ascii="Arial" w:hAnsi="Arial"/>
          <w:color w:val="525252"/>
          <w:sz w:val="13"/>
        </w:rPr>
        <w:t>As the speaker, it is your responsibility to ensure your communication is understandable.</w:t>
      </w:r>
    </w:p>
    <w:p>
      <w:pPr>
        <w:spacing w:before="60" w:after="28"/>
        <w:jc w:val="right"/>
        <w:bidi/>
      </w:pPr>
      <w:r>
        <w:rPr>
          <w:b/>
          <w:color w:val="1F4D78"/>
          <w:sz w:val="18"/>
        </w:rPr>
        <w:t>حذف شد.</w:t>
      </w:r>
    </w:p>
    <w:p>
      <w:pPr>
        <w:spacing w:after="20"/>
        <w:ind w:left="259"/>
        <w:jc w:val="left"/>
      </w:pPr>
      <w:r>
        <w:rPr>
          <w:color w:val="555555"/>
          <w:sz w:val="12"/>
        </w:rPr>
        <w:t>DELETED.</w:t>
      </w:r>
    </w:p>
    <w:p>
      <w:pPr>
        <w:spacing w:after="20" w:line="223" w:lineRule="auto"/>
        <w:jc w:val="right"/>
        <w:bidi/>
      </w:pPr>
      <w:r>
        <w:rPr>
          <w:rFonts w:ascii="Arial" w:hAnsi="Arial"/>
          <w:sz w:val="16"/>
        </w:rPr>
        <w:t>280.19  تن.</w:t>
      </w:r>
    </w:p>
    <w:p>
      <w:pPr>
        <w:spacing w:after="28" w:line="216" w:lineRule="auto"/>
        <w:ind w:left="259"/>
        <w:jc w:val="left"/>
      </w:pPr>
      <w:r>
        <w:rPr>
          <w:rFonts w:ascii="Arial" w:hAnsi="Arial"/>
          <w:color w:val="525252"/>
          <w:sz w:val="13"/>
        </w:rPr>
        <w:t>Tone.</w:t>
      </w:r>
    </w:p>
    <w:p>
      <w:pPr>
        <w:spacing w:after="20" w:line="223" w:lineRule="auto"/>
        <w:jc w:val="right"/>
        <w:bidi/>
      </w:pPr>
      <w:r>
        <w:rPr>
          <w:rFonts w:ascii="Arial" w:hAnsi="Arial"/>
          <w:sz w:val="16"/>
        </w:rPr>
        <w:t>280.20  لحن فقط به آنچه می‌گویید نیست، بلکه نحوه بیان آن است.</w:t>
      </w:r>
    </w:p>
    <w:p>
      <w:pPr>
        <w:spacing w:after="28" w:line="216" w:lineRule="auto"/>
        <w:ind w:left="259"/>
        <w:jc w:val="left"/>
      </w:pPr>
      <w:r>
        <w:rPr>
          <w:rFonts w:ascii="Arial" w:hAnsi="Arial"/>
          <w:color w:val="525252"/>
          <w:sz w:val="13"/>
        </w:rPr>
        <w:t>Tone is not just what you say, but how you say it.</w:t>
      </w:r>
    </w:p>
    <w:p>
      <w:pPr>
        <w:spacing w:after="20" w:line="223" w:lineRule="auto"/>
        <w:jc w:val="right"/>
        <w:bidi/>
      </w:pPr>
      <w:r>
        <w:rPr>
          <w:rFonts w:ascii="Arial" w:hAnsi="Arial"/>
          <w:sz w:val="16"/>
        </w:rPr>
        <w:t>280.21  استفاده از لحن می‌تواند هنگام تقویت یک پیام ارزشمند باشد، اما به تصویر کشیدن آن در ارتباطات نوشتاری دشوار است.</w:t>
      </w:r>
    </w:p>
    <w:p>
      <w:pPr>
        <w:spacing w:after="28" w:line="216" w:lineRule="auto"/>
        <w:ind w:left="259"/>
        <w:jc w:val="left"/>
      </w:pPr>
      <w:r>
        <w:rPr>
          <w:rFonts w:ascii="Arial" w:hAnsi="Arial"/>
          <w:color w:val="525252"/>
          <w:sz w:val="13"/>
        </w:rPr>
        <w:t>Use of tone can be valuable when enhancing a message, but it can be difficult to portray in written communication.</w:t>
      </w:r>
    </w:p>
    <w:p>
      <w:pPr>
        <w:spacing w:after="20" w:line="223" w:lineRule="auto"/>
        <w:jc w:val="right"/>
        <w:bidi/>
      </w:pPr>
      <w:r>
        <w:rPr>
          <w:rFonts w:ascii="Arial" w:hAnsi="Arial"/>
          <w:sz w:val="16"/>
        </w:rPr>
        <w:t>280.22  گویندگان از حرکات، صدا و حرکات برای برقراری ارتباط استفاده می‌کنند. نویسندگان این کار را نمی‌کنند.</w:t>
      </w:r>
    </w:p>
    <w:p>
      <w:pPr>
        <w:spacing w:after="28" w:line="216" w:lineRule="auto"/>
        <w:ind w:left="259"/>
        <w:jc w:val="left"/>
      </w:pPr>
      <w:r>
        <w:rPr>
          <w:rFonts w:ascii="Arial" w:hAnsi="Arial"/>
          <w:color w:val="525252"/>
          <w:sz w:val="13"/>
        </w:rPr>
        <w:t>Speakers use gestures, voice, and movements to communicate; writers do not.</w:t>
      </w:r>
    </w:p>
    <w:p>
      <w:pPr>
        <w:spacing w:after="20" w:line="223" w:lineRule="auto"/>
        <w:jc w:val="right"/>
        <w:bidi/>
      </w:pPr>
      <w:r>
        <w:rPr>
          <w:rFonts w:ascii="Arial" w:hAnsi="Arial"/>
          <w:sz w:val="16"/>
        </w:rPr>
        <w:t>280.23  ایموجی‌ها ☺ جایی در ارتباطات رسمی مکتوب ندارند.</w:t>
      </w:r>
    </w:p>
    <w:p>
      <w:pPr>
        <w:spacing w:after="28" w:line="216" w:lineRule="auto"/>
        <w:ind w:left="259"/>
        <w:jc w:val="left"/>
      </w:pPr>
      <w:r>
        <w:rPr>
          <w:rFonts w:ascii="Arial" w:hAnsi="Arial"/>
          <w:color w:val="525252"/>
          <w:sz w:val="13"/>
        </w:rPr>
        <w:t>Emojis ☺ do not have a place in written formal communication.</w:t>
      </w:r>
    </w:p>
    <w:p>
      <w:pPr>
        <w:spacing w:after="20" w:line="223" w:lineRule="auto"/>
        <w:jc w:val="right"/>
        <w:bidi/>
      </w:pPr>
      <w:r>
        <w:rPr>
          <w:rFonts w:ascii="Arial" w:hAnsi="Arial"/>
          <w:sz w:val="16"/>
        </w:rPr>
        <w:t>280.24  محدودیت‌های بیان لحن از طریق ارتباط نوشتاری را بشناسید و به نحوه درک پیام توجه زیادی داشته باشید.</w:t>
      </w:r>
    </w:p>
    <w:p>
      <w:pPr>
        <w:spacing w:after="28" w:line="216" w:lineRule="auto"/>
        <w:ind w:left="259"/>
        <w:jc w:val="left"/>
      </w:pPr>
      <w:r>
        <w:rPr>
          <w:rFonts w:ascii="Arial" w:hAnsi="Arial"/>
          <w:color w:val="525252"/>
          <w:sz w:val="13"/>
        </w:rPr>
        <w:t>Recognize the limitations of expressing tone through written communication and pay close attention to how the message may be perceived.</w:t>
      </w:r>
    </w:p>
    <w:p>
      <w:pPr>
        <w:spacing w:after="20" w:line="223" w:lineRule="auto"/>
        <w:jc w:val="right"/>
        <w:bidi/>
      </w:pPr>
      <w:r>
        <w:rPr>
          <w:rFonts w:ascii="Arial" w:hAnsi="Arial"/>
          <w:sz w:val="16"/>
        </w:rPr>
        <w:t>280.25  عرض ادب.</w:t>
      </w:r>
    </w:p>
    <w:p>
      <w:pPr>
        <w:spacing w:after="28" w:line="216" w:lineRule="auto"/>
        <w:ind w:left="259"/>
        <w:jc w:val="left"/>
      </w:pPr>
      <w:r>
        <w:rPr>
          <w:rFonts w:ascii="Arial" w:hAnsi="Arial"/>
          <w:color w:val="525252"/>
          <w:sz w:val="13"/>
        </w:rPr>
        <w:t>Courtesy.</w:t>
      </w:r>
    </w:p>
    <w:p>
      <w:pPr>
        <w:spacing w:after="20" w:line="223" w:lineRule="auto"/>
        <w:jc w:val="right"/>
        <w:bidi/>
      </w:pPr>
      <w:r>
        <w:rPr>
          <w:rFonts w:ascii="Arial" w:hAnsi="Arial"/>
          <w:sz w:val="16"/>
        </w:rPr>
        <w:t>280.26  اولین قانون برقراری ارتباط مودبانه، مودب بودن است.</w:t>
      </w:r>
    </w:p>
    <w:p>
      <w:pPr>
        <w:spacing w:after="28" w:line="216" w:lineRule="auto"/>
        <w:ind w:left="259"/>
        <w:jc w:val="left"/>
      </w:pPr>
      <w:r>
        <w:rPr>
          <w:rFonts w:ascii="Arial" w:hAnsi="Arial"/>
          <w:color w:val="525252"/>
          <w:sz w:val="13"/>
        </w:rPr>
        <w:t>The first rule of communicating courteously is being polite.</w:t>
      </w:r>
    </w:p>
    <w:p>
      <w:pPr>
        <w:spacing w:after="20" w:line="223" w:lineRule="auto"/>
        <w:jc w:val="right"/>
        <w:bidi/>
      </w:pPr>
      <w:r>
        <w:rPr>
          <w:rFonts w:ascii="Arial" w:hAnsi="Arial"/>
          <w:sz w:val="16"/>
        </w:rPr>
        <w:t>280.27  خشم، انتقاد و کنایه را کنار بگذارید و سعی کنید منطقی و متقاعدکننده باشید.</w:t>
      </w:r>
    </w:p>
    <w:p>
      <w:pPr>
        <w:spacing w:after="28" w:line="216" w:lineRule="auto"/>
        <w:ind w:left="259"/>
        <w:jc w:val="left"/>
      </w:pPr>
      <w:r>
        <w:rPr>
          <w:rFonts w:ascii="Arial" w:hAnsi="Arial"/>
          <w:color w:val="525252"/>
          <w:sz w:val="13"/>
        </w:rPr>
        <w:t>Forego anger, criticism, and sarcasm, and strive to be reasonable and persuasive.</w:t>
      </w:r>
    </w:p>
    <w:p>
      <w:pPr>
        <w:spacing w:after="20" w:line="223" w:lineRule="auto"/>
        <w:jc w:val="right"/>
        <w:bidi/>
      </w:pPr>
      <w:r>
        <w:rPr>
          <w:rFonts w:ascii="Arial" w:hAnsi="Arial"/>
          <w:sz w:val="16"/>
        </w:rPr>
        <w:t>280.28  بدون توجه به چالش‌های ارسال پیام صبور و با درایت باشید.</w:t>
      </w:r>
    </w:p>
    <w:p>
      <w:pPr>
        <w:spacing w:after="28" w:line="216" w:lineRule="auto"/>
        <w:ind w:left="259"/>
        <w:jc w:val="left"/>
      </w:pPr>
      <w:r>
        <w:rPr>
          <w:rFonts w:ascii="Arial" w:hAnsi="Arial"/>
          <w:color w:val="525252"/>
          <w:sz w:val="13"/>
        </w:rPr>
        <w:t>Be patient and tactful, regardless of the challenges of delivering a message.</w:t>
      </w:r>
    </w:p>
    <w:p>
      <w:pPr>
        <w:spacing w:after="20" w:line="223" w:lineRule="auto"/>
        <w:jc w:val="right"/>
        <w:bidi/>
      </w:pPr>
      <w:r>
        <w:rPr>
          <w:rFonts w:ascii="Arial" w:hAnsi="Arial"/>
          <w:sz w:val="16"/>
        </w:rPr>
        <w:t>280.29  اگر مجبور شدید، از کامپیوتر عقب برانید، نفس عمیق بکشید، به آرامی تا ۱۰ بشمارید، سپس پیام خود را مرور کنید تا مطمئن شوید که حرفه‌ای و مودبانه است.</w:t>
      </w:r>
    </w:p>
    <w:p>
      <w:pPr>
        <w:spacing w:after="28" w:line="216" w:lineRule="auto"/>
        <w:ind w:left="259"/>
        <w:jc w:val="left"/>
      </w:pPr>
      <w:r>
        <w:rPr>
          <w:rFonts w:ascii="Arial" w:hAnsi="Arial"/>
          <w:color w:val="525252"/>
          <w:sz w:val="13"/>
        </w:rPr>
        <w:t>If you have to, push back from the computer, take a deep breath, slowly count to 10, then review your message to ensure it is professional and courteous.</w:t>
      </w:r>
    </w:p>
    <w:p>
      <w:pPr>
        <w:spacing w:after="20" w:line="223" w:lineRule="auto"/>
        <w:jc w:val="right"/>
        <w:bidi/>
      </w:pPr>
      <w:r>
        <w:rPr>
          <w:rFonts w:ascii="Arial" w:hAnsi="Arial"/>
          <w:sz w:val="16"/>
        </w:rPr>
        <w:t>280.30  آن را شخصی کنید.</w:t>
      </w:r>
    </w:p>
    <w:p>
      <w:pPr>
        <w:spacing w:after="28" w:line="216" w:lineRule="auto"/>
        <w:ind w:left="259"/>
        <w:jc w:val="left"/>
      </w:pPr>
      <w:r>
        <w:rPr>
          <w:rFonts w:ascii="Arial" w:hAnsi="Arial"/>
          <w:color w:val="525252"/>
          <w:sz w:val="13"/>
        </w:rPr>
        <w:t>Make it Personal.</w:t>
      </w:r>
    </w:p>
    <w:p>
      <w:pPr>
        <w:spacing w:after="20" w:line="223" w:lineRule="auto"/>
        <w:jc w:val="right"/>
        <w:bidi/>
      </w:pPr>
      <w:r>
        <w:rPr>
          <w:rFonts w:ascii="Arial" w:hAnsi="Arial"/>
          <w:sz w:val="16"/>
        </w:rPr>
        <w:t>280.31  در صورت مناسب، از ضمایری مانند ما، ما و ما برای ایجاد ارتباط و درگیر نگه داشتن مخاطبان خود استفاده کنید.</w:t>
      </w:r>
    </w:p>
    <w:p>
      <w:pPr>
        <w:spacing w:after="28" w:line="216" w:lineRule="auto"/>
        <w:ind w:left="259"/>
        <w:jc w:val="left"/>
      </w:pPr>
      <w:r>
        <w:rPr>
          <w:rFonts w:ascii="Arial" w:hAnsi="Arial"/>
          <w:color w:val="525252"/>
          <w:sz w:val="13"/>
        </w:rPr>
        <w:t>When appropriate, use pronouns, such as we, us, and our, to create rapport and keep your audience involved.</w:t>
      </w:r>
    </w:p>
    <w:p>
      <w:pPr>
        <w:spacing w:after="20" w:line="223" w:lineRule="auto"/>
        <w:jc w:val="right"/>
        <w:bidi/>
      </w:pPr>
      <w:r>
        <w:rPr>
          <w:rFonts w:ascii="Arial" w:hAnsi="Arial"/>
          <w:sz w:val="16"/>
        </w:rPr>
        <w:t>280.32  استفاده از ضمایر همچنین پیام شما را از یکنواخت، خشک و انتزاعی بودن دور نگه می‌دارد.</w:t>
      </w:r>
    </w:p>
    <w:p>
      <w:pPr>
        <w:spacing w:after="28" w:line="216" w:lineRule="auto"/>
        <w:ind w:left="259"/>
        <w:jc w:val="left"/>
      </w:pPr>
      <w:r>
        <w:rPr>
          <w:rFonts w:ascii="Arial" w:hAnsi="Arial"/>
          <w:color w:val="525252"/>
          <w:sz w:val="13"/>
        </w:rPr>
        <w:t>Using pronouns also keeps your message from being monotonous, dry, and abstract.</w:t>
      </w:r>
    </w:p>
    <w:p>
      <w:pPr>
        <w:spacing w:after="20" w:line="223" w:lineRule="auto"/>
        <w:jc w:val="right"/>
        <w:bidi/>
      </w:pPr>
      <w:r>
        <w:rPr>
          <w:rFonts w:ascii="Arial" w:hAnsi="Arial"/>
          <w:sz w:val="16"/>
        </w:rPr>
        <w:t>280.33  از من، من، و من کم استفاده کنید و آگاه باشید که استفاده از شما در برخی شرایط چگونه قابل درک است.</w:t>
      </w:r>
    </w:p>
    <w:p>
      <w:pPr>
        <w:spacing w:after="28" w:line="216" w:lineRule="auto"/>
        <w:ind w:left="259"/>
        <w:jc w:val="left"/>
      </w:pPr>
      <w:r>
        <w:rPr>
          <w:rFonts w:ascii="Arial" w:hAnsi="Arial"/>
          <w:color w:val="525252"/>
          <w:sz w:val="13"/>
        </w:rPr>
        <w:t>Use I, me, and my sparingly, and be aware of how the use of you can be perceived in some situations.</w:t>
      </w:r>
    </w:p>
    <w:p>
      <w:pPr>
        <w:spacing w:after="20" w:line="223" w:lineRule="auto"/>
        <w:jc w:val="right"/>
        <w:bidi/>
      </w:pPr>
      <w:r>
        <w:rPr>
          <w:rFonts w:ascii="Arial" w:hAnsi="Arial"/>
          <w:sz w:val="16"/>
        </w:rPr>
        <w:t>280.34  رسمی.</w:t>
      </w:r>
    </w:p>
    <w:p>
      <w:pPr>
        <w:spacing w:after="28" w:line="216" w:lineRule="auto"/>
        <w:ind w:left="259"/>
        <w:jc w:val="left"/>
      </w:pPr>
      <w:r>
        <w:rPr>
          <w:rFonts w:ascii="Arial" w:hAnsi="Arial"/>
          <w:color w:val="525252"/>
          <w:sz w:val="13"/>
        </w:rPr>
        <w:t>Formal.</w:t>
      </w:r>
    </w:p>
    <w:p>
      <w:pPr>
        <w:spacing w:after="20" w:line="223" w:lineRule="auto"/>
        <w:jc w:val="right"/>
        <w:bidi/>
      </w:pPr>
      <w:r>
        <w:rPr>
          <w:rFonts w:ascii="Arial" w:hAnsi="Arial"/>
          <w:sz w:val="16"/>
        </w:rPr>
        <w:t>280.35  "صبح بخیر قربان." در مقابل غیررسمی "هی" یا "چه خبر؟" همیشه رویکرد حرفه‌ای‌تر برای احوالپرسی یا خطاب به کسی است.</w:t>
      </w:r>
    </w:p>
    <w:p>
      <w:pPr>
        <w:spacing w:after="28" w:line="216" w:lineRule="auto"/>
        <w:ind w:left="259"/>
        <w:jc w:val="left"/>
      </w:pPr>
      <w:r>
        <w:rPr>
          <w:rFonts w:ascii="Arial" w:hAnsi="Arial"/>
          <w:color w:val="525252"/>
          <w:sz w:val="13"/>
        </w:rPr>
        <w:t>“Good morning, Sir.” versus informal “Hey” or “What’s up?” is always the more professional approach to greeting or addressing someone.</w:t>
      </w:r>
    </w:p>
    <w:p>
      <w:pPr>
        <w:spacing w:after="20" w:line="223" w:lineRule="auto"/>
        <w:jc w:val="right"/>
        <w:bidi/>
      </w:pPr>
      <w:r>
        <w:rPr>
          <w:rFonts w:ascii="Arial" w:hAnsi="Arial"/>
          <w:sz w:val="16"/>
        </w:rPr>
        <w:t>280.36  در حالی که در USAF امروزی بسیاری از ارتباطات بین همتایان غیررسمی خواهد بود، ضروری است که تشخیص دهیم، به‌ویژه در طول رویدادها و مراسم، زمانی که ارتباطات رسمی و حرفه‌ای مناسب است.</w:t>
      </w:r>
    </w:p>
    <w:p>
      <w:pPr>
        <w:spacing w:after="28" w:line="216" w:lineRule="auto"/>
        <w:ind w:left="259"/>
        <w:jc w:val="left"/>
      </w:pPr>
      <w:r>
        <w:rPr>
          <w:rFonts w:ascii="Arial" w:hAnsi="Arial"/>
          <w:color w:val="525252"/>
          <w:sz w:val="13"/>
        </w:rPr>
        <w:t>While in today’s USAF much communication among peers will be informal, it is essential to recognize, particularly during events and ceremonies, when formal, professional communication is appropriate.</w:t>
      </w:r>
    </w:p>
    <w:p>
      <w:pPr>
        <w:spacing w:after="20" w:line="223" w:lineRule="auto"/>
        <w:jc w:val="right"/>
        <w:bidi/>
      </w:pPr>
      <w:r>
        <w:rPr>
          <w:rFonts w:ascii="Arial" w:hAnsi="Arial"/>
          <w:sz w:val="16"/>
        </w:rPr>
        <w:t>280.37  مثبت باشید.</w:t>
      </w:r>
    </w:p>
    <w:p>
      <w:pPr>
        <w:spacing w:after="28" w:line="216" w:lineRule="auto"/>
        <w:ind w:left="259"/>
        <w:jc w:val="left"/>
      </w:pPr>
      <w:r>
        <w:rPr>
          <w:rFonts w:ascii="Arial" w:hAnsi="Arial"/>
          <w:color w:val="525252"/>
          <w:sz w:val="13"/>
        </w:rPr>
        <w:t>Be Positive.</w:t>
      </w:r>
    </w:p>
    <w:p>
      <w:pPr>
        <w:spacing w:after="20" w:line="223" w:lineRule="auto"/>
        <w:jc w:val="right"/>
        <w:bidi/>
      </w:pPr>
      <w:r>
        <w:rPr>
          <w:rFonts w:ascii="Arial" w:hAnsi="Arial"/>
          <w:sz w:val="16"/>
        </w:rPr>
        <w:t>280.38  پیامی مثبت بپرورانید و در جایی که شایسته ستایش است تحسین کنید.</w:t>
      </w:r>
    </w:p>
    <w:p>
      <w:pPr>
        <w:spacing w:after="28" w:line="216" w:lineRule="auto"/>
        <w:ind w:left="259"/>
        <w:jc w:val="left"/>
      </w:pPr>
      <w:r>
        <w:rPr>
          <w:rFonts w:ascii="Arial" w:hAnsi="Arial"/>
          <w:color w:val="525252"/>
          <w:sz w:val="13"/>
        </w:rPr>
        <w:t>Cultivate a positive message and give praise where praise is due.</w:t>
      </w:r>
    </w:p>
    <w:p>
      <w:pPr>
        <w:spacing w:after="20" w:line="223" w:lineRule="auto"/>
        <w:jc w:val="right"/>
        <w:bidi/>
      </w:pPr>
      <w:r>
        <w:rPr>
          <w:rFonts w:ascii="Arial" w:hAnsi="Arial"/>
          <w:sz w:val="16"/>
        </w:rPr>
        <w:t>280.39  به جای تمرکز بر مناطق مشکل دار، خوش بینی می‌تواند پذیرش یک پیام را تشویق کند.</w:t>
      </w:r>
    </w:p>
    <w:p>
      <w:pPr>
        <w:spacing w:after="28" w:line="216" w:lineRule="auto"/>
        <w:ind w:left="259"/>
        <w:jc w:val="left"/>
      </w:pPr>
      <w:r>
        <w:rPr>
          <w:rFonts w:ascii="Arial" w:hAnsi="Arial"/>
          <w:color w:val="525252"/>
          <w:sz w:val="13"/>
        </w:rPr>
        <w:t>Rather than focusing on problem areas, optimism can encourage acceptance of a message.</w:t>
      </w:r>
    </w:p>
    <w:p>
      <w:pPr>
        <w:spacing w:after="20" w:line="223" w:lineRule="auto"/>
        <w:jc w:val="right"/>
        <w:bidi/>
      </w:pPr>
      <w:r>
        <w:rPr>
          <w:rFonts w:ascii="Arial" w:hAnsi="Arial"/>
          <w:sz w:val="16"/>
        </w:rPr>
        <w:t>280.40  همچنین انتقادات را در قالب سوالات، پیشنهادها، درخواست‌ها، توصیه‌ها یا اطلاعات مفید تشویق کنید و پذیرای آن باشید.</w:t>
      </w:r>
    </w:p>
    <w:p>
      <w:pPr>
        <w:spacing w:after="28" w:line="216" w:lineRule="auto"/>
        <w:ind w:left="259"/>
        <w:jc w:val="left"/>
      </w:pPr>
      <w:r>
        <w:rPr>
          <w:rFonts w:ascii="Arial" w:hAnsi="Arial"/>
          <w:color w:val="525252"/>
          <w:sz w:val="13"/>
        </w:rPr>
        <w:t>Also, encourage and be receptive to criticism in the form of helpful questions, suggestions, requests, recommendations, or information.</w:t>
      </w:r>
    </w:p>
    <w:p>
      <w:pPr>
        <w:spacing w:after="20" w:line="223" w:lineRule="auto"/>
        <w:jc w:val="right"/>
        <w:bidi/>
      </w:pPr>
      <w:r>
        <w:rPr>
          <w:rFonts w:ascii="Arial" w:hAnsi="Arial"/>
          <w:sz w:val="16"/>
        </w:rPr>
        <w:t>280.41  مخاطبان اغلب اخلاص و صداقت را حس می‌کنند و از آن قدردانی می‌کنند.</w:t>
      </w:r>
    </w:p>
    <w:p>
      <w:pPr>
        <w:spacing w:after="28" w:line="216" w:lineRule="auto"/>
        <w:ind w:left="259"/>
        <w:jc w:val="left"/>
      </w:pPr>
      <w:r>
        <w:rPr>
          <w:rFonts w:ascii="Arial" w:hAnsi="Arial"/>
          <w:color w:val="525252"/>
          <w:sz w:val="13"/>
        </w:rPr>
        <w:t>Audiences often sense and appreciate sincerity and honesty.</w:t>
      </w:r>
    </w:p>
    <w:p>
      <w:pPr>
        <w:spacing w:before="60" w:after="28"/>
        <w:jc w:val="right"/>
        <w:bidi/>
      </w:pPr>
      <w:r>
        <w:rPr>
          <w:b/>
          <w:color w:val="1F4D78"/>
          <w:sz w:val="18"/>
        </w:rPr>
        <w:t>15.28. تحویل ارتباطات</w:t>
      </w:r>
    </w:p>
    <w:p>
      <w:pPr>
        <w:spacing w:after="20"/>
        <w:ind w:left="259"/>
        <w:jc w:val="left"/>
      </w:pPr>
      <w:r>
        <w:rPr>
          <w:color w:val="555555"/>
          <w:sz w:val="12"/>
        </w:rPr>
        <w:t>15.28. Communication Delivery</w:t>
      </w:r>
    </w:p>
    <w:p>
      <w:pPr>
        <w:spacing w:after="20" w:line="223" w:lineRule="auto"/>
        <w:jc w:val="right"/>
        <w:bidi/>
      </w:pPr>
      <w:r>
        <w:rPr>
          <w:rFonts w:ascii="Arial" w:hAnsi="Arial"/>
          <w:sz w:val="16"/>
        </w:rPr>
        <w:t>280.43  صدای مؤثر ایده‌های خانه را هدایت می‌کند. با این حال، کارشناسان ارتباطات بر این باورند که بیش از نیمی از معنای هر پیام ممکن است به صورت غیرکلامی منتقل شود.</w:t>
      </w:r>
    </w:p>
    <w:p>
      <w:pPr>
        <w:spacing w:after="28" w:line="216" w:lineRule="auto"/>
        <w:ind w:left="259"/>
        <w:jc w:val="left"/>
      </w:pPr>
      <w:r>
        <w:rPr>
          <w:rFonts w:ascii="Arial" w:hAnsi="Arial"/>
          <w:color w:val="525252"/>
          <w:sz w:val="13"/>
        </w:rPr>
        <w:t>An effective voice drives home ideas; however, communication experts believe over half of the meaning of any message may be communicated nonverbally.</w:t>
      </w:r>
    </w:p>
    <w:p>
      <w:pPr>
        <w:spacing w:after="20" w:line="223" w:lineRule="auto"/>
        <w:jc w:val="right"/>
        <w:bidi/>
      </w:pPr>
      <w:r>
        <w:rPr>
          <w:rFonts w:ascii="Arial" w:hAnsi="Arial"/>
          <w:sz w:val="16"/>
        </w:rPr>
        <w:t>280.44  چند پیشنهاد برای مؤثر</w:t>
      </w:r>
    </w:p>
    <w:p>
      <w:pPr>
        <w:spacing w:after="28" w:line="216" w:lineRule="auto"/>
        <w:ind w:left="259"/>
        <w:jc w:val="left"/>
      </w:pPr>
      <w:r>
        <w:rPr>
          <w:rFonts w:ascii="Arial" w:hAnsi="Arial"/>
          <w:color w:val="525252"/>
          <w:sz w:val="13"/>
        </w:rPr>
        <w:t>Several suggestions for effective</w:t>
      </w:r>
    </w:p>
    <w:p>
      <w:r>
        <w:br w:type="page"/>
      </w:r>
    </w:p>
    <w:p>
      <w:pPr>
        <w:spacing w:after="60"/>
        <w:jc w:val="right"/>
        <w:bidi/>
      </w:pPr>
      <w:r>
        <w:rPr>
          <w:rFonts w:ascii="Arial" w:hAnsi="Arial"/>
          <w:b/>
          <w:color w:val="1F4D78"/>
          <w:sz w:val="19"/>
        </w:rPr>
        <w:t>هفتهٔ 281  |  صفحهٔ منبع: 297</w:t>
      </w:r>
    </w:p>
    <w:p>
      <w:pPr>
        <w:spacing w:after="20" w:line="223" w:lineRule="auto"/>
        <w:jc w:val="right"/>
        <w:bidi/>
      </w:pPr>
      <w:r>
        <w:rPr>
          <w:rFonts w:ascii="Arial" w:hAnsi="Arial"/>
          <w:sz w:val="16"/>
        </w:rPr>
        <w:t>281.01  ارتباط کلامی و غیرکلامی در اینجا ارائه شده است.</w:t>
      </w:r>
    </w:p>
    <w:p>
      <w:pPr>
        <w:spacing w:after="28" w:line="216" w:lineRule="auto"/>
        <w:ind w:left="259"/>
        <w:jc w:val="left"/>
      </w:pPr>
      <w:r>
        <w:rPr>
          <w:rFonts w:ascii="Arial" w:hAnsi="Arial"/>
          <w:color w:val="525252"/>
          <w:sz w:val="13"/>
        </w:rPr>
        <w:t>verbal and nonverbal communication are provided here.</w:t>
      </w:r>
    </w:p>
    <w:p>
      <w:pPr>
        <w:spacing w:after="20" w:line="223" w:lineRule="auto"/>
        <w:jc w:val="right"/>
        <w:bidi/>
      </w:pPr>
      <w:r>
        <w:rPr>
          <w:rFonts w:ascii="Arial" w:hAnsi="Arial"/>
          <w:sz w:val="16"/>
        </w:rPr>
        <w:t>281.02  امتیاز.</w:t>
      </w:r>
    </w:p>
    <w:p>
      <w:pPr>
        <w:spacing w:after="28" w:line="216" w:lineRule="auto"/>
        <w:ind w:left="259"/>
        <w:jc w:val="left"/>
      </w:pPr>
      <w:r>
        <w:rPr>
          <w:rFonts w:ascii="Arial" w:hAnsi="Arial"/>
          <w:color w:val="525252"/>
          <w:sz w:val="13"/>
        </w:rPr>
        <w:t>Rate.</w:t>
      </w:r>
    </w:p>
    <w:p>
      <w:pPr>
        <w:spacing w:after="20" w:line="223" w:lineRule="auto"/>
        <w:jc w:val="right"/>
        <w:bidi/>
      </w:pPr>
      <w:r>
        <w:rPr>
          <w:rFonts w:ascii="Arial" w:hAnsi="Arial"/>
          <w:sz w:val="16"/>
        </w:rPr>
        <w:t>281.03  سرعت صحیحی برای هر سخنرانی وجود ندارد.</w:t>
      </w:r>
    </w:p>
    <w:p>
      <w:pPr>
        <w:spacing w:after="28" w:line="216" w:lineRule="auto"/>
        <w:ind w:left="259"/>
        <w:jc w:val="left"/>
      </w:pPr>
      <w:r>
        <w:rPr>
          <w:rFonts w:ascii="Arial" w:hAnsi="Arial"/>
          <w:color w:val="525252"/>
          <w:sz w:val="13"/>
        </w:rPr>
        <w:t>There is no correct speed for every speech.</w:t>
      </w:r>
    </w:p>
    <w:p>
      <w:pPr>
        <w:spacing w:after="20" w:line="223" w:lineRule="auto"/>
        <w:jc w:val="right"/>
        <w:bidi/>
      </w:pPr>
      <w:r>
        <w:rPr>
          <w:rFonts w:ascii="Arial" w:hAnsi="Arial"/>
          <w:sz w:val="16"/>
        </w:rPr>
        <w:t>281.04  با این حال، در نظر بگیرید که مردم می‌توانند چهار تا پنج برابر سریع‌تر از سرعت گفتاری عادی ۱۲۰ کلمه در دقیقه گوش دهند.</w:t>
      </w:r>
    </w:p>
    <w:p>
      <w:pPr>
        <w:spacing w:after="28" w:line="216" w:lineRule="auto"/>
        <w:ind w:left="259"/>
        <w:jc w:val="left"/>
      </w:pPr>
      <w:r>
        <w:rPr>
          <w:rFonts w:ascii="Arial" w:hAnsi="Arial"/>
          <w:color w:val="525252"/>
          <w:sz w:val="13"/>
        </w:rPr>
        <w:t>However, consider that people can listen four to five times faster than the normal spoken rate of 120 words a minute.</w:t>
      </w:r>
    </w:p>
    <w:p>
      <w:pPr>
        <w:spacing w:after="20" w:line="223" w:lineRule="auto"/>
        <w:jc w:val="right"/>
        <w:bidi/>
      </w:pPr>
      <w:r>
        <w:rPr>
          <w:rFonts w:ascii="Arial" w:hAnsi="Arial"/>
          <w:sz w:val="16"/>
        </w:rPr>
        <w:t>281.05  بنابراین، اگر خیلی آهسته صحبت کنید، ممکن است علاقه مخاطبانی را که در حال پردازش اطلاعات بسیار سریعتر از تحویل شما هستند، از دست بدهید.</w:t>
      </w:r>
    </w:p>
    <w:p>
      <w:pPr>
        <w:spacing w:after="28" w:line="216" w:lineRule="auto"/>
        <w:ind w:left="259"/>
        <w:jc w:val="left"/>
      </w:pPr>
      <w:r>
        <w:rPr>
          <w:rFonts w:ascii="Arial" w:hAnsi="Arial"/>
          <w:color w:val="525252"/>
          <w:sz w:val="13"/>
        </w:rPr>
        <w:t>So, if you speak too slowly, you may lose the interest of an audience who is processing information much faster than you are delivering it.</w:t>
      </w:r>
    </w:p>
    <w:p>
      <w:pPr>
        <w:spacing w:after="20" w:line="223" w:lineRule="auto"/>
        <w:jc w:val="right"/>
        <w:bidi/>
      </w:pPr>
      <w:r>
        <w:rPr>
          <w:rFonts w:ascii="Arial" w:hAnsi="Arial"/>
          <w:sz w:val="16"/>
        </w:rPr>
        <w:t>281.06  همچنین، صحبت کردن با سرعت بیشتر را برای نشان دادن هیجان یا اقدام ناگهانی، یا با سرعت کمتر برای اشاره به پیامی آرام یا جدی‌تر در نظر بگیرید.</w:t>
      </w:r>
    </w:p>
    <w:p>
      <w:pPr>
        <w:spacing w:after="28" w:line="216" w:lineRule="auto"/>
        <w:ind w:left="259"/>
        <w:jc w:val="left"/>
      </w:pPr>
      <w:r>
        <w:rPr>
          <w:rFonts w:ascii="Arial" w:hAnsi="Arial"/>
          <w:color w:val="525252"/>
          <w:sz w:val="13"/>
        </w:rPr>
        <w:t>Also, consider speaking at a faster rate to indicate excitement or sudden action, or at a slower rate to hint at a calm or more serious message.</w:t>
      </w:r>
    </w:p>
    <w:p>
      <w:pPr>
        <w:spacing w:after="20" w:line="223" w:lineRule="auto"/>
        <w:jc w:val="right"/>
        <w:bidi/>
      </w:pPr>
      <w:r>
        <w:rPr>
          <w:rFonts w:ascii="Arial" w:hAnsi="Arial"/>
          <w:sz w:val="16"/>
        </w:rPr>
        <w:t>281.07  حجم.</w:t>
      </w:r>
    </w:p>
    <w:p>
      <w:pPr>
        <w:spacing w:after="28" w:line="216" w:lineRule="auto"/>
        <w:ind w:left="259"/>
        <w:jc w:val="left"/>
      </w:pPr>
      <w:r>
        <w:rPr>
          <w:rFonts w:ascii="Arial" w:hAnsi="Arial"/>
          <w:color w:val="525252"/>
          <w:sz w:val="13"/>
        </w:rPr>
        <w:t>Volume.</w:t>
      </w:r>
    </w:p>
    <w:p>
      <w:pPr>
        <w:spacing w:after="20" w:line="223" w:lineRule="auto"/>
        <w:jc w:val="right"/>
        <w:bidi/>
      </w:pPr>
      <w:r>
        <w:rPr>
          <w:rFonts w:ascii="Arial" w:hAnsi="Arial"/>
          <w:sz w:val="16"/>
        </w:rPr>
        <w:t>281.08  صدا یک تکنیک کلامی است که می‌تواند برای تاکید بر گفتار شما استفاده شود.</w:t>
      </w:r>
    </w:p>
    <w:p>
      <w:pPr>
        <w:spacing w:after="28" w:line="216" w:lineRule="auto"/>
        <w:ind w:left="259"/>
        <w:jc w:val="left"/>
      </w:pPr>
      <w:r>
        <w:rPr>
          <w:rFonts w:ascii="Arial" w:hAnsi="Arial"/>
          <w:color w:val="525252"/>
          <w:sz w:val="13"/>
        </w:rPr>
        <w:t>Volume is a verbal technique that can be used to give emphasis to your speech.</w:t>
      </w:r>
    </w:p>
    <w:p>
      <w:pPr>
        <w:spacing w:after="20" w:line="223" w:lineRule="auto"/>
        <w:jc w:val="right"/>
        <w:bidi/>
      </w:pPr>
      <w:r>
        <w:rPr>
          <w:rFonts w:ascii="Arial" w:hAnsi="Arial"/>
          <w:sz w:val="16"/>
        </w:rPr>
        <w:t>281.09  برای تاکید بر یک نقطه، بلندتر یا ملایم‌تر صحبت کنید - سطح ملایم‌تر یا صدای کمتر اغلب راه مؤثرتری برای رسیدن به تاکید است.</w:t>
      </w:r>
    </w:p>
    <w:p>
      <w:pPr>
        <w:spacing w:after="28" w:line="216" w:lineRule="auto"/>
        <w:ind w:left="259"/>
        <w:jc w:val="left"/>
      </w:pPr>
      <w:r>
        <w:rPr>
          <w:rFonts w:ascii="Arial" w:hAnsi="Arial"/>
          <w:color w:val="525252"/>
          <w:sz w:val="13"/>
        </w:rPr>
        <w:t>Consider speaking louder or softer to emphasize a point—a softer level or lower volume is often the more effective way to achieve emphasis.</w:t>
      </w:r>
    </w:p>
    <w:p>
      <w:pPr>
        <w:spacing w:after="20" w:line="223" w:lineRule="auto"/>
        <w:jc w:val="right"/>
        <w:bidi/>
      </w:pPr>
      <w:r>
        <w:rPr>
          <w:rFonts w:ascii="Arial" w:hAnsi="Arial"/>
          <w:sz w:val="16"/>
        </w:rPr>
        <w:t>281.10  بسته به نوع اتاق، ممکن است لازم باشد در مقابل جمعیت زیادی با صدای بلندتر صحبت کنید تا مطمئن شوید همه افراد حاضر در اتاق می‌توانند پیام را بشنوند.</w:t>
      </w:r>
    </w:p>
    <w:p>
      <w:pPr>
        <w:spacing w:after="28" w:line="216" w:lineRule="auto"/>
        <w:ind w:left="259"/>
        <w:jc w:val="left"/>
      </w:pPr>
      <w:r>
        <w:rPr>
          <w:rFonts w:ascii="Arial" w:hAnsi="Arial"/>
          <w:color w:val="525252"/>
          <w:sz w:val="13"/>
        </w:rPr>
        <w:t>Depending on the type of room, it may be necessary to talk louder in front of a large crowd to ensure everyone in the room can hear the message.</w:t>
      </w:r>
    </w:p>
    <w:p>
      <w:pPr>
        <w:spacing w:after="20" w:line="223" w:lineRule="auto"/>
        <w:jc w:val="right"/>
        <w:bidi/>
      </w:pPr>
      <w:r>
        <w:rPr>
          <w:rFonts w:ascii="Arial" w:hAnsi="Arial"/>
          <w:sz w:val="16"/>
        </w:rPr>
        <w:t>281.11  در صورت امکان، از یک میکروفون قابل حمل به خصوص در سالن‌های بزرگ استفاده کنید.</w:t>
      </w:r>
    </w:p>
    <w:p>
      <w:pPr>
        <w:spacing w:after="28" w:line="216" w:lineRule="auto"/>
        <w:ind w:left="259"/>
        <w:jc w:val="left"/>
      </w:pPr>
      <w:r>
        <w:rPr>
          <w:rFonts w:ascii="Arial" w:hAnsi="Arial"/>
          <w:color w:val="525252"/>
          <w:sz w:val="13"/>
        </w:rPr>
        <w:t>When possible, use a portable microphone, particularly in large auditoriums.</w:t>
      </w:r>
    </w:p>
    <w:p>
      <w:pPr>
        <w:spacing w:after="20" w:line="223" w:lineRule="auto"/>
        <w:jc w:val="right"/>
        <w:bidi/>
      </w:pPr>
      <w:r>
        <w:rPr>
          <w:rFonts w:ascii="Arial" w:hAnsi="Arial"/>
          <w:sz w:val="16"/>
        </w:rPr>
        <w:t>281.12  اگر مخاطب مجبور باشد برای شنیدن شما فشار بیاورد، در نهایت شما را از خستگی کوک می‌کند، اما ردیف اول هم نمی‌خواهد احساس کند که در تمام مدت فریاد می‌زند.</w:t>
      </w:r>
    </w:p>
    <w:p>
      <w:pPr>
        <w:spacing w:after="28" w:line="216" w:lineRule="auto"/>
        <w:ind w:left="259"/>
        <w:jc w:val="left"/>
      </w:pPr>
      <w:r>
        <w:rPr>
          <w:rFonts w:ascii="Arial" w:hAnsi="Arial"/>
          <w:color w:val="525252"/>
          <w:sz w:val="13"/>
        </w:rPr>
        <w:t>If the audience must strain to hear you, they will eventually tune you out from exhaustion, but the front row will not want to feel like they are being yelled at the entire time either.</w:t>
      </w:r>
    </w:p>
    <w:p>
      <w:pPr>
        <w:spacing w:after="20" w:line="223" w:lineRule="auto"/>
        <w:jc w:val="right"/>
        <w:bidi/>
      </w:pPr>
      <w:r>
        <w:rPr>
          <w:rFonts w:ascii="Arial" w:hAnsi="Arial"/>
          <w:sz w:val="16"/>
        </w:rPr>
        <w:t>281.13  زمین.</w:t>
      </w:r>
    </w:p>
    <w:p>
      <w:pPr>
        <w:spacing w:after="28" w:line="216" w:lineRule="auto"/>
        <w:ind w:left="259"/>
        <w:jc w:val="left"/>
      </w:pPr>
      <w:r>
        <w:rPr>
          <w:rFonts w:ascii="Arial" w:hAnsi="Arial"/>
          <w:color w:val="525252"/>
          <w:sz w:val="13"/>
        </w:rPr>
        <w:t>Pitch.</w:t>
      </w:r>
    </w:p>
    <w:p>
      <w:pPr>
        <w:spacing w:after="20" w:line="223" w:lineRule="auto"/>
        <w:jc w:val="right"/>
        <w:bidi/>
      </w:pPr>
      <w:r>
        <w:rPr>
          <w:rFonts w:ascii="Arial" w:hAnsi="Arial"/>
          <w:sz w:val="16"/>
        </w:rPr>
        <w:t>281.14  پیتچ استفاده از نت‌های بالاتر یا پایین‌تر در محدوده صدا است.</w:t>
      </w:r>
    </w:p>
    <w:p>
      <w:pPr>
        <w:spacing w:after="28" w:line="216" w:lineRule="auto"/>
        <w:ind w:left="259"/>
        <w:jc w:val="left"/>
      </w:pPr>
      <w:r>
        <w:rPr>
          <w:rFonts w:ascii="Arial" w:hAnsi="Arial"/>
          <w:color w:val="525252"/>
          <w:sz w:val="13"/>
        </w:rPr>
        <w:t>Pitch is the use of higher or lower notes in voice range.</w:t>
      </w:r>
    </w:p>
    <w:p>
      <w:pPr>
        <w:spacing w:after="20" w:line="223" w:lineRule="auto"/>
        <w:jc w:val="right"/>
        <w:bidi/>
      </w:pPr>
      <w:r>
        <w:rPr>
          <w:rFonts w:ascii="Arial" w:hAnsi="Arial"/>
          <w:sz w:val="16"/>
        </w:rPr>
        <w:t>281.15  استفاده از تنوع در زیر و بم گفتار به جلوگیری از ارائه یکنواخت و جلب توجه شنونده کمک می‌کند.</w:t>
      </w:r>
    </w:p>
    <w:p>
      <w:pPr>
        <w:spacing w:after="28" w:line="216" w:lineRule="auto"/>
        <w:ind w:left="259"/>
        <w:jc w:val="left"/>
      </w:pPr>
      <w:r>
        <w:rPr>
          <w:rFonts w:ascii="Arial" w:hAnsi="Arial"/>
          <w:color w:val="525252"/>
          <w:sz w:val="13"/>
        </w:rPr>
        <w:t>Using variety in speech pitch helps to avoid monotone delivery and capture the listener’s attention.</w:t>
      </w:r>
    </w:p>
    <w:p>
      <w:pPr>
        <w:spacing w:after="20" w:line="223" w:lineRule="auto"/>
        <w:jc w:val="right"/>
        <w:bidi/>
      </w:pPr>
      <w:r>
        <w:rPr>
          <w:rFonts w:ascii="Arial" w:hAnsi="Arial"/>
          <w:sz w:val="16"/>
        </w:rPr>
        <w:t>281.16  شروع با محدوده صوتی که برای شما راحت است و سپس تنظیم زیر و بم برای تاکید ممکن است به جذاب‌تر کردن ارتباط کمک کند.</w:t>
      </w:r>
    </w:p>
    <w:p>
      <w:pPr>
        <w:spacing w:after="28" w:line="216" w:lineRule="auto"/>
        <w:ind w:left="259"/>
        <w:jc w:val="left"/>
      </w:pPr>
      <w:r>
        <w:rPr>
          <w:rFonts w:ascii="Arial" w:hAnsi="Arial"/>
          <w:color w:val="525252"/>
          <w:sz w:val="13"/>
        </w:rPr>
        <w:t>Starting with a voice range that is comfortable for you and then adjusting pitch for emphasis may help make communication more interesting.</w:t>
      </w:r>
    </w:p>
    <w:p>
      <w:pPr>
        <w:spacing w:after="20" w:line="223" w:lineRule="auto"/>
        <w:jc w:val="right"/>
        <w:bidi/>
      </w:pPr>
      <w:r>
        <w:rPr>
          <w:rFonts w:ascii="Arial" w:hAnsi="Arial"/>
          <w:sz w:val="16"/>
        </w:rPr>
        <w:t>281.17  می‌توانید از عطف رو به پایین (بالا به پایین) در جمله برای هوای یقین و از عطف بالا (کم به زیاد) برای هوای عدم قطعیت استفاده کنید.</w:t>
      </w:r>
    </w:p>
    <w:p>
      <w:pPr>
        <w:spacing w:after="28" w:line="216" w:lineRule="auto"/>
        <w:ind w:left="259"/>
        <w:jc w:val="left"/>
      </w:pPr>
      <w:r>
        <w:rPr>
          <w:rFonts w:ascii="Arial" w:hAnsi="Arial"/>
          <w:color w:val="525252"/>
          <w:sz w:val="13"/>
        </w:rPr>
        <w:t>You can use a downward (high to low) inflection in a sentence for an air of certainty and an upward (low to high) inflection for an air of uncertainty.</w:t>
      </w:r>
    </w:p>
    <w:p>
      <w:pPr>
        <w:spacing w:after="20" w:line="223" w:lineRule="auto"/>
        <w:jc w:val="right"/>
        <w:bidi/>
      </w:pPr>
      <w:r>
        <w:rPr>
          <w:rFonts w:ascii="Arial" w:hAnsi="Arial"/>
          <w:sz w:val="16"/>
        </w:rPr>
        <w:t>281.18  مکث.</w:t>
      </w:r>
    </w:p>
    <w:p>
      <w:pPr>
        <w:spacing w:after="28" w:line="216" w:lineRule="auto"/>
        <w:ind w:left="259"/>
        <w:jc w:val="left"/>
      </w:pPr>
      <w:r>
        <w:rPr>
          <w:rFonts w:ascii="Arial" w:hAnsi="Arial"/>
          <w:color w:val="525252"/>
          <w:sz w:val="13"/>
        </w:rPr>
        <w:t>Pause.</w:t>
      </w:r>
    </w:p>
    <w:p>
      <w:pPr>
        <w:spacing w:after="20" w:line="223" w:lineRule="auto"/>
        <w:jc w:val="right"/>
        <w:bidi/>
      </w:pPr>
      <w:r>
        <w:rPr>
          <w:rFonts w:ascii="Arial" w:hAnsi="Arial"/>
          <w:sz w:val="16"/>
        </w:rPr>
        <w:t>281.19  مکث به سخنران زمان می‌دهد تا نفس خود را بگیرد و به مخاطب زمان می‌دهد تا ایده‌ها را جذب کند.</w:t>
      </w:r>
    </w:p>
    <w:p>
      <w:pPr>
        <w:spacing w:after="28" w:line="216" w:lineRule="auto"/>
        <w:ind w:left="259"/>
        <w:jc w:val="left"/>
      </w:pPr>
      <w:r>
        <w:rPr>
          <w:rFonts w:ascii="Arial" w:hAnsi="Arial"/>
          <w:color w:val="525252"/>
          <w:sz w:val="13"/>
        </w:rPr>
        <w:t>Pause gives a speaker time to catch their breath and the audience time to absorb ideas.</w:t>
      </w:r>
    </w:p>
    <w:p>
      <w:pPr>
        <w:spacing w:after="20" w:line="223" w:lineRule="auto"/>
        <w:jc w:val="right"/>
        <w:bidi/>
      </w:pPr>
      <w:r>
        <w:rPr>
          <w:rFonts w:ascii="Arial" w:hAnsi="Arial"/>
          <w:sz w:val="16"/>
        </w:rPr>
        <w:t>281.20  مکث‌های کوتاه معمولا نقاط را در یک جمله تقسیم می‌کنند، در حالی که مکث‌های طولانی انتهای جملات را یادداشت می‌کنند.</w:t>
      </w:r>
    </w:p>
    <w:p>
      <w:pPr>
        <w:spacing w:after="28" w:line="216" w:lineRule="auto"/>
        <w:ind w:left="259"/>
        <w:jc w:val="left"/>
      </w:pPr>
      <w:r>
        <w:rPr>
          <w:rFonts w:ascii="Arial" w:hAnsi="Arial"/>
          <w:color w:val="525252"/>
          <w:sz w:val="13"/>
        </w:rPr>
        <w:t>Short pauses usually divide points within a sentence, while long pauses note the ends of sentences.</w:t>
      </w:r>
    </w:p>
    <w:p>
      <w:pPr>
        <w:spacing w:after="20" w:line="223" w:lineRule="auto"/>
        <w:jc w:val="right"/>
        <w:bidi/>
      </w:pPr>
      <w:r>
        <w:rPr>
          <w:rFonts w:ascii="Arial" w:hAnsi="Arial"/>
          <w:sz w:val="16"/>
        </w:rPr>
        <w:t>281.21  از مکث‌های طولانی‌تر می‌توان برای وقفه بین نکات اصلی یا انتقال بین مقدمه، متن و نتیجه استفاده کرد.</w:t>
      </w:r>
    </w:p>
    <w:p>
      <w:pPr>
        <w:spacing w:after="28" w:line="216" w:lineRule="auto"/>
        <w:ind w:left="259"/>
        <w:jc w:val="left"/>
      </w:pPr>
      <w:r>
        <w:rPr>
          <w:rFonts w:ascii="Arial" w:hAnsi="Arial"/>
          <w:color w:val="525252"/>
          <w:sz w:val="13"/>
        </w:rPr>
        <w:t>Longer pauses can be used for breaks between main points or transitions between an introduction, body, and conclusion.</w:t>
      </w:r>
    </w:p>
    <w:p>
      <w:pPr>
        <w:spacing w:after="20" w:line="223" w:lineRule="auto"/>
        <w:jc w:val="right"/>
        <w:bidi/>
      </w:pPr>
      <w:r>
        <w:rPr>
          <w:rFonts w:ascii="Arial" w:hAnsi="Arial"/>
          <w:sz w:val="16"/>
        </w:rPr>
        <w:t>281.22  یکی دیگر از کاربردهای مکث، «مکث برای تأثیر» یا نشان دادن نکته مهمی است که ارزش تأمل کوتاهی دارد.</w:t>
      </w:r>
    </w:p>
    <w:p>
      <w:pPr>
        <w:spacing w:after="28" w:line="216" w:lineRule="auto"/>
        <w:ind w:left="259"/>
        <w:jc w:val="left"/>
      </w:pPr>
      <w:r>
        <w:rPr>
          <w:rFonts w:ascii="Arial" w:hAnsi="Arial"/>
          <w:color w:val="525252"/>
          <w:sz w:val="13"/>
        </w:rPr>
        <w:t>Another use for the pause is to ‘pause for effect’ or to set off an important point worthy of short reflection.</w:t>
      </w:r>
    </w:p>
    <w:p>
      <w:pPr>
        <w:spacing w:after="20" w:line="223" w:lineRule="auto"/>
        <w:jc w:val="right"/>
        <w:bidi/>
      </w:pPr>
      <w:r>
        <w:rPr>
          <w:rFonts w:ascii="Arial" w:hAnsi="Arial"/>
          <w:sz w:val="16"/>
        </w:rPr>
        <w:t>281.23  گاهی اوقات ممکن است یک مکث برای گوینده طولانی به نظر برسد، اما زمانی را برای یک مکث واقعی (یک می‌سی سی پی، دو می‌سی سی پی، سه ...) برای تاکید در نظر بگیرید.</w:t>
      </w:r>
    </w:p>
    <w:p>
      <w:pPr>
        <w:spacing w:after="28" w:line="216" w:lineRule="auto"/>
        <w:ind w:left="259"/>
        <w:jc w:val="left"/>
      </w:pPr>
      <w:r>
        <w:rPr>
          <w:rFonts w:ascii="Arial" w:hAnsi="Arial"/>
          <w:color w:val="525252"/>
          <w:sz w:val="13"/>
        </w:rPr>
        <w:t>Sometimes a pause may seem long to the speaker, but allow time for a true (one Mississippi, two Mississippi, three…) pause for emphasis.</w:t>
      </w:r>
    </w:p>
    <w:p>
      <w:pPr>
        <w:spacing w:after="20" w:line="223" w:lineRule="auto"/>
        <w:jc w:val="right"/>
        <w:bidi/>
      </w:pPr>
      <w:r>
        <w:rPr>
          <w:rFonts w:ascii="Arial" w:hAnsi="Arial"/>
          <w:sz w:val="16"/>
        </w:rPr>
        <w:t>281.24  بیان و تلفظ.</w:t>
      </w:r>
    </w:p>
    <w:p>
      <w:pPr>
        <w:spacing w:after="28" w:line="216" w:lineRule="auto"/>
        <w:ind w:left="259"/>
        <w:jc w:val="left"/>
      </w:pPr>
      <w:r>
        <w:rPr>
          <w:rFonts w:ascii="Arial" w:hAnsi="Arial"/>
          <w:color w:val="525252"/>
          <w:sz w:val="13"/>
        </w:rPr>
        <w:t>Articulation and Pronunciation.</w:t>
      </w:r>
    </w:p>
    <w:p>
      <w:pPr>
        <w:spacing w:after="20" w:line="223" w:lineRule="auto"/>
        <w:jc w:val="right"/>
        <w:bidi/>
      </w:pPr>
      <w:r>
        <w:rPr>
          <w:rFonts w:ascii="Arial" w:hAnsi="Arial"/>
          <w:sz w:val="16"/>
        </w:rPr>
        <w:t>281.25  بیان و تلفظ بیانگر تسلط بر زبان گفتاری انگلیسی است.</w:t>
      </w:r>
    </w:p>
    <w:p>
      <w:pPr>
        <w:spacing w:after="28" w:line="216" w:lineRule="auto"/>
        <w:ind w:left="259"/>
        <w:jc w:val="left"/>
      </w:pPr>
      <w:r>
        <w:rPr>
          <w:rFonts w:ascii="Arial" w:hAnsi="Arial"/>
          <w:color w:val="525252"/>
          <w:sz w:val="13"/>
        </w:rPr>
        <w:t>Articulation and pronunciation reflect mastery of the spoken English language.</w:t>
      </w:r>
    </w:p>
    <w:p>
      <w:pPr>
        <w:spacing w:after="20" w:line="223" w:lineRule="auto"/>
        <w:jc w:val="right"/>
        <w:bidi/>
      </w:pPr>
      <w:r>
        <w:rPr>
          <w:rFonts w:ascii="Arial" w:hAnsi="Arial"/>
          <w:sz w:val="16"/>
        </w:rPr>
        <w:t>281.26  فن بیان هنر بیان متمایز کلمات است.</w:t>
      </w:r>
    </w:p>
    <w:p>
      <w:pPr>
        <w:spacing w:after="28" w:line="216" w:lineRule="auto"/>
        <w:ind w:left="259"/>
        <w:jc w:val="left"/>
      </w:pPr>
      <w:r>
        <w:rPr>
          <w:rFonts w:ascii="Arial" w:hAnsi="Arial"/>
          <w:color w:val="525252"/>
          <w:sz w:val="13"/>
        </w:rPr>
        <w:t>Articulation is the art of expressing words distinctly.</w:t>
      </w:r>
    </w:p>
    <w:p>
      <w:pPr>
        <w:spacing w:after="20" w:line="223" w:lineRule="auto"/>
        <w:jc w:val="right"/>
        <w:bidi/>
      </w:pPr>
      <w:r>
        <w:rPr>
          <w:rFonts w:ascii="Arial" w:hAnsi="Arial"/>
          <w:sz w:val="16"/>
        </w:rPr>
        <w:t>281.27  تلفظ، توانایی گفتن صحیح کلمات است.</w:t>
      </w:r>
    </w:p>
    <w:p>
      <w:pPr>
        <w:spacing w:after="28" w:line="216" w:lineRule="auto"/>
        <w:ind w:left="259"/>
        <w:jc w:val="left"/>
      </w:pPr>
      <w:r>
        <w:rPr>
          <w:rFonts w:ascii="Arial" w:hAnsi="Arial"/>
          <w:color w:val="525252"/>
          <w:sz w:val="13"/>
        </w:rPr>
        <w:t>Pronunciation is the ability to say words correctly.</w:t>
      </w:r>
    </w:p>
    <w:p>
      <w:pPr>
        <w:spacing w:after="20" w:line="223" w:lineRule="auto"/>
        <w:jc w:val="right"/>
        <w:bidi/>
      </w:pPr>
      <w:r>
        <w:rPr>
          <w:rFonts w:ascii="Arial" w:hAnsi="Arial"/>
          <w:sz w:val="16"/>
        </w:rPr>
        <w:t>281.28  متأسفانه و به‌طور غیرمنصفانه، مردم ممکن است تلفظ یا تلفظ نادرست کلمه را بازتابی از پیام شما بدانند.</w:t>
      </w:r>
    </w:p>
    <w:p>
      <w:pPr>
        <w:spacing w:after="28" w:line="216" w:lineRule="auto"/>
        <w:ind w:left="259"/>
        <w:jc w:val="left"/>
      </w:pPr>
      <w:r>
        <w:rPr>
          <w:rFonts w:ascii="Arial" w:hAnsi="Arial"/>
          <w:color w:val="525252"/>
          <w:sz w:val="13"/>
        </w:rPr>
        <w:t>Unfortunately, and unfairly, people may consider word pronunciation or mispronunciation as a reflection of your message.</w:t>
      </w:r>
    </w:p>
    <w:p>
      <w:pPr>
        <w:spacing w:after="20" w:line="223" w:lineRule="auto"/>
        <w:jc w:val="right"/>
        <w:bidi/>
      </w:pPr>
      <w:r>
        <w:rPr>
          <w:rFonts w:ascii="Arial" w:hAnsi="Arial"/>
          <w:sz w:val="16"/>
        </w:rPr>
        <w:t>281.29  به خودتان گوش دهید، بهتر است در صورت امکان، از کسی بخواهید که برای تمرین به شما گوش دهد و مطمئن شوید که کلمات شما متمایز، قابل درک و مناسب با مخاطبان شما هستند.</w:t>
      </w:r>
    </w:p>
    <w:p>
      <w:pPr>
        <w:spacing w:after="28" w:line="216" w:lineRule="auto"/>
        <w:ind w:left="259"/>
        <w:jc w:val="left"/>
      </w:pPr>
      <w:r>
        <w:rPr>
          <w:rFonts w:ascii="Arial" w:hAnsi="Arial"/>
          <w:color w:val="525252"/>
          <w:sz w:val="13"/>
        </w:rPr>
        <w:t>Listen to yourself, better yet, if possible, ask someone to listen to you for practice, and make sure your words are distinct, understandable, and appropriate to your audience.</w:t>
      </w:r>
    </w:p>
    <w:p>
      <w:pPr>
        <w:spacing w:after="20" w:line="223" w:lineRule="auto"/>
        <w:jc w:val="right"/>
        <w:bidi/>
      </w:pPr>
      <w:r>
        <w:rPr>
          <w:rFonts w:ascii="Arial" w:hAnsi="Arial"/>
          <w:sz w:val="16"/>
        </w:rPr>
        <w:t>281.30  طول.</w:t>
      </w:r>
    </w:p>
    <w:p>
      <w:pPr>
        <w:spacing w:after="28" w:line="216" w:lineRule="auto"/>
        <w:ind w:left="259"/>
        <w:jc w:val="left"/>
      </w:pPr>
      <w:r>
        <w:rPr>
          <w:rFonts w:ascii="Arial" w:hAnsi="Arial"/>
          <w:color w:val="525252"/>
          <w:sz w:val="13"/>
        </w:rPr>
        <w:t>Length.</w:t>
      </w:r>
    </w:p>
    <w:p>
      <w:pPr>
        <w:spacing w:after="20" w:line="223" w:lineRule="auto"/>
        <w:jc w:val="right"/>
        <w:bidi/>
      </w:pPr>
      <w:r>
        <w:rPr>
          <w:rFonts w:ascii="Arial" w:hAnsi="Arial"/>
          <w:sz w:val="16"/>
        </w:rPr>
        <w:t>281.31  در محیط نظامی ما، شما باید بتوانید افکار و عقاید خود را به‌طور خلاصه بیان کنید.</w:t>
      </w:r>
    </w:p>
    <w:p>
      <w:pPr>
        <w:spacing w:after="28" w:line="216" w:lineRule="auto"/>
        <w:ind w:left="259"/>
        <w:jc w:val="left"/>
      </w:pPr>
      <w:r>
        <w:rPr>
          <w:rFonts w:ascii="Arial" w:hAnsi="Arial"/>
          <w:color w:val="525252"/>
          <w:sz w:val="13"/>
        </w:rPr>
        <w:t>In our military environment, you must be able to relay your thoughts and ideas succinctly.</w:t>
      </w:r>
    </w:p>
    <w:p>
      <w:pPr>
        <w:spacing w:after="20" w:line="223" w:lineRule="auto"/>
        <w:jc w:val="right"/>
        <w:bidi/>
      </w:pPr>
      <w:r>
        <w:rPr>
          <w:rFonts w:ascii="Arial" w:hAnsi="Arial"/>
          <w:sz w:val="16"/>
        </w:rPr>
        <w:t>281.32  یک قانون کلیدی در ارتباط کلامی کوتاه و شیرین نگه داشتن آن است.</w:t>
      </w:r>
    </w:p>
    <w:p>
      <w:pPr>
        <w:spacing w:after="28" w:line="216" w:lineRule="auto"/>
        <w:ind w:left="259"/>
        <w:jc w:val="left"/>
      </w:pPr>
      <w:r>
        <w:rPr>
          <w:rFonts w:ascii="Arial" w:hAnsi="Arial"/>
          <w:color w:val="525252"/>
          <w:sz w:val="13"/>
        </w:rPr>
        <w:t>A key rule in verbal communication is to keep it short and sweet.</w:t>
      </w:r>
    </w:p>
    <w:p>
      <w:pPr>
        <w:spacing w:after="20" w:line="223" w:lineRule="auto"/>
        <w:jc w:val="right"/>
        <w:bidi/>
      </w:pPr>
      <w:r>
        <w:rPr>
          <w:rFonts w:ascii="Arial" w:hAnsi="Arial"/>
          <w:sz w:val="16"/>
        </w:rPr>
        <w:t>281.33  بدانید چه می‌خواهید بگویید و آن را با هدف خود و در ذهن مخاطب بیان کنید.</w:t>
      </w:r>
    </w:p>
    <w:p>
      <w:pPr>
        <w:spacing w:after="28" w:line="216" w:lineRule="auto"/>
        <w:ind w:left="259"/>
        <w:jc w:val="left"/>
      </w:pPr>
      <w:r>
        <w:rPr>
          <w:rFonts w:ascii="Arial" w:hAnsi="Arial"/>
          <w:color w:val="525252"/>
          <w:sz w:val="13"/>
        </w:rPr>
        <w:t>Know what you want to say and say it with your purpose and the audience in mind.</w:t>
      </w:r>
    </w:p>
    <w:p>
      <w:pPr>
        <w:spacing w:after="20" w:line="223" w:lineRule="auto"/>
        <w:jc w:val="right"/>
        <w:bidi/>
      </w:pPr>
      <w:r>
        <w:rPr>
          <w:rFonts w:ascii="Arial" w:hAnsi="Arial"/>
          <w:sz w:val="16"/>
        </w:rPr>
        <w:t>281.34  تماس چشمی.</w:t>
      </w:r>
    </w:p>
    <w:p>
      <w:pPr>
        <w:spacing w:after="28" w:line="216" w:lineRule="auto"/>
        <w:ind w:left="259"/>
        <w:jc w:val="left"/>
      </w:pPr>
      <w:r>
        <w:rPr>
          <w:rFonts w:ascii="Arial" w:hAnsi="Arial"/>
          <w:color w:val="525252"/>
          <w:sz w:val="13"/>
        </w:rPr>
        <w:t>Eye Contact.</w:t>
      </w:r>
    </w:p>
    <w:p>
      <w:pPr>
        <w:spacing w:after="20" w:line="223" w:lineRule="auto"/>
        <w:jc w:val="right"/>
        <w:bidi/>
      </w:pPr>
      <w:r>
        <w:rPr>
          <w:rFonts w:ascii="Arial" w:hAnsi="Arial"/>
          <w:sz w:val="16"/>
        </w:rPr>
        <w:t>281.35  تماس چشمی یکی از مهمترین عوامل ارتباط غیرکلامی است.</w:t>
      </w:r>
    </w:p>
    <w:p>
      <w:pPr>
        <w:spacing w:after="28" w:line="216" w:lineRule="auto"/>
        <w:ind w:left="259"/>
        <w:jc w:val="left"/>
      </w:pPr>
      <w:r>
        <w:rPr>
          <w:rFonts w:ascii="Arial" w:hAnsi="Arial"/>
          <w:color w:val="525252"/>
          <w:sz w:val="13"/>
        </w:rPr>
        <w:t>Eye contact is one of the most important factors in nonverbal communication.</w:t>
      </w:r>
    </w:p>
    <w:p>
      <w:pPr>
        <w:spacing w:after="20" w:line="223" w:lineRule="auto"/>
        <w:jc w:val="right"/>
        <w:bidi/>
      </w:pPr>
      <w:r>
        <w:rPr>
          <w:rFonts w:ascii="Arial" w:hAnsi="Arial"/>
          <w:sz w:val="16"/>
        </w:rPr>
        <w:t>281.36  تماس چشمی به شنوندگان اجازه می‌دهد بدانند گوینده به آنها علاقه دارد، به گوینده اجازه می‌دهد بازخورد غیرکلامی را از مخاطب دریافت کند و اعتبار گوینده را افزایش می‌دهد.</w:t>
      </w:r>
    </w:p>
    <w:p>
      <w:pPr>
        <w:spacing w:after="28" w:line="216" w:lineRule="auto"/>
        <w:ind w:left="259"/>
        <w:jc w:val="left"/>
      </w:pPr>
      <w:r>
        <w:rPr>
          <w:rFonts w:ascii="Arial" w:hAnsi="Arial"/>
          <w:color w:val="525252"/>
          <w:sz w:val="13"/>
        </w:rPr>
        <w:t>Eye contact lets listeners know the speaker is interested in them, allows the speaker to receive nonverbal feedback from the audience, and enhances the credibility of the speaker.</w:t>
      </w:r>
    </w:p>
    <w:p>
      <w:pPr>
        <w:spacing w:after="20" w:line="223" w:lineRule="auto"/>
        <w:jc w:val="right"/>
        <w:bidi/>
      </w:pPr>
      <w:r>
        <w:rPr>
          <w:rFonts w:ascii="Arial" w:hAnsi="Arial"/>
          <w:sz w:val="16"/>
        </w:rPr>
        <w:t>281.37  حرکات.</w:t>
      </w:r>
    </w:p>
    <w:p>
      <w:pPr>
        <w:spacing w:after="28" w:line="216" w:lineRule="auto"/>
        <w:ind w:left="259"/>
        <w:jc w:val="left"/>
      </w:pPr>
      <w:r>
        <w:rPr>
          <w:rFonts w:ascii="Arial" w:hAnsi="Arial"/>
          <w:color w:val="525252"/>
          <w:sz w:val="13"/>
        </w:rPr>
        <w:t>Gestures.</w:t>
      </w:r>
    </w:p>
    <w:p>
      <w:pPr>
        <w:spacing w:after="20" w:line="223" w:lineRule="auto"/>
        <w:jc w:val="right"/>
        <w:bidi/>
      </w:pPr>
      <w:r>
        <w:rPr>
          <w:rFonts w:ascii="Arial" w:hAnsi="Arial"/>
          <w:sz w:val="16"/>
        </w:rPr>
        <w:t>281.38  اشاره استفاده هدفمند از دست‌ها، بازوها، شانه‌ها و سر برای تقویت آنچه گفته می‌شود است.</w:t>
      </w:r>
    </w:p>
    <w:p>
      <w:pPr>
        <w:spacing w:after="28" w:line="216" w:lineRule="auto"/>
        <w:ind w:left="259"/>
        <w:jc w:val="left"/>
      </w:pPr>
      <w:r>
        <w:rPr>
          <w:rFonts w:ascii="Arial" w:hAnsi="Arial"/>
          <w:color w:val="525252"/>
          <w:sz w:val="13"/>
        </w:rPr>
        <w:t>Gestures are the purposeful use of the hands, arms, shoulders, and head to reinforce what is being said.</w:t>
      </w:r>
    </w:p>
    <w:p>
      <w:pPr>
        <w:spacing w:after="20" w:line="223" w:lineRule="auto"/>
        <w:jc w:val="right"/>
        <w:bidi/>
      </w:pPr>
      <w:r>
        <w:rPr>
          <w:rFonts w:ascii="Arial" w:hAnsi="Arial"/>
          <w:sz w:val="16"/>
        </w:rPr>
        <w:t>281.39  حرکات مؤثر طبیعی هستند و نباید حواس مخاطب را پرت کنند.</w:t>
      </w:r>
    </w:p>
    <w:p>
      <w:pPr>
        <w:spacing w:after="28" w:line="216" w:lineRule="auto"/>
        <w:ind w:left="259"/>
        <w:jc w:val="left"/>
      </w:pPr>
      <w:r>
        <w:rPr>
          <w:rFonts w:ascii="Arial" w:hAnsi="Arial"/>
          <w:color w:val="525252"/>
          <w:sz w:val="13"/>
        </w:rPr>
        <w:t>Effective gestures are natural and should not be distracting to the audience.</w:t>
      </w:r>
    </w:p>
    <w:p>
      <w:pPr>
        <w:spacing w:after="20" w:line="223" w:lineRule="auto"/>
        <w:jc w:val="right"/>
        <w:bidi/>
      </w:pPr>
      <w:r>
        <w:rPr>
          <w:rFonts w:ascii="Arial" w:hAnsi="Arial"/>
          <w:sz w:val="16"/>
        </w:rPr>
        <w:t>281.40  حرکت هدفمند و مؤثر بدن را می‌توان به‌عنوان حرکت آزاد و در عین حال عمدی توصیف کرد.</w:t>
      </w:r>
    </w:p>
    <w:p>
      <w:pPr>
        <w:spacing w:after="28" w:line="216" w:lineRule="auto"/>
        <w:ind w:left="259"/>
        <w:jc w:val="left"/>
      </w:pPr>
      <w:r>
        <w:rPr>
          <w:rFonts w:ascii="Arial" w:hAnsi="Arial"/>
          <w:color w:val="525252"/>
          <w:sz w:val="13"/>
        </w:rPr>
        <w:t>Purposeful, effective body movement can be described as free, yet deliberate movement.</w:t>
      </w:r>
    </w:p>
    <w:p>
      <w:pPr>
        <w:spacing w:before="60" w:after="28"/>
        <w:jc w:val="right"/>
        <w:bidi/>
      </w:pPr>
      <w:r>
        <w:rPr>
          <w:b/>
          <w:color w:val="1F4D78"/>
          <w:sz w:val="18"/>
        </w:rPr>
        <w:t>15.29. غلبه بر اضطراب</w:t>
      </w:r>
    </w:p>
    <w:p>
      <w:pPr>
        <w:spacing w:after="20"/>
        <w:ind w:left="259"/>
        <w:jc w:val="left"/>
      </w:pPr>
      <w:r>
        <w:rPr>
          <w:color w:val="555555"/>
          <w:sz w:val="12"/>
        </w:rPr>
        <w:t>15.29. Overcoming Anxiety</w:t>
      </w:r>
    </w:p>
    <w:p>
      <w:pPr>
        <w:spacing w:after="20" w:line="223" w:lineRule="auto"/>
        <w:jc w:val="right"/>
        <w:bidi/>
      </w:pPr>
      <w:r>
        <w:rPr>
          <w:rFonts w:ascii="Arial" w:hAnsi="Arial"/>
          <w:sz w:val="16"/>
        </w:rPr>
        <w:t>281.42  سخنرانی در جمع اغلب یکی از بزرگترین ترس‌های خود القای ما در محل کار است.</w:t>
      </w:r>
    </w:p>
    <w:p>
      <w:pPr>
        <w:spacing w:after="28" w:line="216" w:lineRule="auto"/>
        <w:ind w:left="259"/>
        <w:jc w:val="left"/>
      </w:pPr>
      <w:r>
        <w:rPr>
          <w:rFonts w:ascii="Arial" w:hAnsi="Arial"/>
          <w:color w:val="525252"/>
          <w:sz w:val="13"/>
        </w:rPr>
        <w:t>Public speaking is often one of the biggest self-induced fears we experience in the workplace.</w:t>
      </w:r>
    </w:p>
    <w:p>
      <w:pPr>
        <w:spacing w:after="20" w:line="223" w:lineRule="auto"/>
        <w:jc w:val="right"/>
        <w:bidi/>
      </w:pPr>
      <w:r>
        <w:rPr>
          <w:rFonts w:ascii="Arial" w:hAnsi="Arial"/>
          <w:sz w:val="16"/>
        </w:rPr>
        <w:t>281.43  برخی افراد به نظر می‌رسد که از ترس صحنه ایمن هستند، در حالی که برخی دیگر از ترس قبل فلج شده‌اند.</w:t>
      </w:r>
    </w:p>
    <w:p>
      <w:pPr>
        <w:spacing w:after="28" w:line="216" w:lineRule="auto"/>
        <w:ind w:left="259"/>
        <w:jc w:val="left"/>
      </w:pPr>
      <w:r>
        <w:rPr>
          <w:rFonts w:ascii="Arial" w:hAnsi="Arial"/>
          <w:color w:val="525252"/>
          <w:sz w:val="13"/>
        </w:rPr>
        <w:t>Some individuals appear to be immune to stage fright, while others are paralyzed with fear prior</w:t>
      </w:r>
    </w:p>
    <w:p>
      <w:r>
        <w:br w:type="page"/>
      </w:r>
    </w:p>
    <w:p>
      <w:pPr>
        <w:spacing w:after="60"/>
        <w:jc w:val="right"/>
        <w:bidi/>
      </w:pPr>
      <w:r>
        <w:rPr>
          <w:rFonts w:ascii="Arial" w:hAnsi="Arial"/>
          <w:b/>
          <w:color w:val="1F4D78"/>
          <w:sz w:val="19"/>
        </w:rPr>
        <w:t>هفتهٔ 282  |  صفحهٔ منبع: 298</w:t>
      </w:r>
    </w:p>
    <w:p>
      <w:pPr>
        <w:spacing w:after="20" w:line="223" w:lineRule="auto"/>
        <w:jc w:val="right"/>
        <w:bidi/>
      </w:pPr>
      <w:r>
        <w:rPr>
          <w:rFonts w:ascii="Arial" w:hAnsi="Arial"/>
          <w:sz w:val="16"/>
        </w:rPr>
        <w:t>282.01  برای پا گذاشتن روی صحنه، بالای تریبون، یا سخنرانی از هر سکویی.</w:t>
      </w:r>
    </w:p>
    <w:p>
      <w:pPr>
        <w:spacing w:after="28" w:line="216" w:lineRule="auto"/>
        <w:ind w:left="259"/>
        <w:jc w:val="left"/>
      </w:pPr>
      <w:r>
        <w:rPr>
          <w:rFonts w:ascii="Arial" w:hAnsi="Arial"/>
          <w:color w:val="525252"/>
          <w:sz w:val="13"/>
        </w:rPr>
        <w:t>to stepping onto a stage, up to a podium, or speaking from any platform.</w:t>
      </w:r>
    </w:p>
    <w:p>
      <w:pPr>
        <w:spacing w:after="20" w:line="223" w:lineRule="auto"/>
        <w:jc w:val="right"/>
        <w:bidi/>
      </w:pPr>
      <w:r>
        <w:rPr>
          <w:rFonts w:ascii="Arial" w:hAnsi="Arial"/>
          <w:sz w:val="16"/>
        </w:rPr>
        <w:t>282.02  بیشتر هوانوردان در محیط‌های آکادمیک در معرض فرصت‌های سخنرانی عمومی هستند.</w:t>
      </w:r>
    </w:p>
    <w:p>
      <w:pPr>
        <w:spacing w:after="28" w:line="216" w:lineRule="auto"/>
        <w:ind w:left="259"/>
        <w:jc w:val="left"/>
      </w:pPr>
      <w:r>
        <w:rPr>
          <w:rFonts w:ascii="Arial" w:hAnsi="Arial"/>
          <w:color w:val="525252"/>
          <w:sz w:val="13"/>
        </w:rPr>
        <w:t>Most Airmen are exposed to public speaking opportunities in academic environments.</w:t>
      </w:r>
    </w:p>
    <w:p>
      <w:pPr>
        <w:spacing w:after="20" w:line="223" w:lineRule="auto"/>
        <w:jc w:val="right"/>
        <w:bidi/>
      </w:pPr>
      <w:r>
        <w:rPr>
          <w:rFonts w:ascii="Arial" w:hAnsi="Arial"/>
          <w:sz w:val="16"/>
        </w:rPr>
        <w:t>282.03  فرصت‌های صحبت اضافی می‌تواند به افراد کمک کند تا در کانون توجه احساس راحتی بیشتری کنند، مانند رویدادهای کوچک و محلی (مراسم جوایز و تماس‌های فرمانده) که در آن مخاطبان آشنا هستند.</w:t>
      </w:r>
    </w:p>
    <w:p>
      <w:pPr>
        <w:spacing w:after="28" w:line="216" w:lineRule="auto"/>
        <w:ind w:left="259"/>
        <w:jc w:val="left"/>
      </w:pPr>
      <w:r>
        <w:rPr>
          <w:rFonts w:ascii="Arial" w:hAnsi="Arial"/>
          <w:color w:val="525252"/>
          <w:sz w:val="13"/>
        </w:rPr>
        <w:t>Additional speaking opportunities can help individuals begin to feel more comfortable in the spotlight, such as small, localized events (awards ceremonies and commander’s calls) where the audience is familiar.</w:t>
      </w:r>
    </w:p>
    <w:p>
      <w:pPr>
        <w:spacing w:after="20" w:line="223" w:lineRule="auto"/>
        <w:jc w:val="right"/>
        <w:bidi/>
      </w:pPr>
      <w:r>
        <w:rPr>
          <w:rFonts w:ascii="Arial" w:hAnsi="Arial"/>
          <w:sz w:val="16"/>
        </w:rPr>
        <w:t>282.04  برای آماده شدن برای این رویدادها، ممکن است یک پیش نویس اسکریپت برای تمرین در دسترس باشد.</w:t>
      </w:r>
    </w:p>
    <w:p>
      <w:pPr>
        <w:spacing w:after="28" w:line="216" w:lineRule="auto"/>
        <w:ind w:left="259"/>
        <w:jc w:val="left"/>
      </w:pPr>
      <w:r>
        <w:rPr>
          <w:rFonts w:ascii="Arial" w:hAnsi="Arial"/>
          <w:color w:val="525252"/>
          <w:sz w:val="13"/>
        </w:rPr>
        <w:t>To prepare for these events, a draft script may be available to practice with.</w:t>
      </w:r>
    </w:p>
    <w:p>
      <w:pPr>
        <w:spacing w:after="20" w:line="223" w:lineRule="auto"/>
        <w:jc w:val="right"/>
        <w:bidi/>
      </w:pPr>
      <w:r>
        <w:rPr>
          <w:rFonts w:ascii="Arial" w:hAnsi="Arial"/>
          <w:sz w:val="16"/>
        </w:rPr>
        <w:t>282.05  داشتن یک وینگمن به‌عنوان یک حامی و یک "طرفدار" در بین مخاطبان می‌تواند در حین توسعه مهارت‌های سخنرانی در جمع، اعتماد به نفس زیادی را تقویت کند.</w:t>
      </w:r>
    </w:p>
    <w:p>
      <w:pPr>
        <w:spacing w:after="28" w:line="216" w:lineRule="auto"/>
        <w:ind w:left="259"/>
        <w:jc w:val="left"/>
      </w:pPr>
      <w:r>
        <w:rPr>
          <w:rFonts w:ascii="Arial" w:hAnsi="Arial"/>
          <w:color w:val="525252"/>
          <w:sz w:val="13"/>
        </w:rPr>
        <w:t>Having a wingman as a supporter and a ‘fan’ in the audience can be a big confidence booster while developing public speaking skills.</w:t>
      </w:r>
    </w:p>
    <w:p>
      <w:pPr>
        <w:spacing w:after="20" w:line="223" w:lineRule="auto"/>
        <w:jc w:val="right"/>
        <w:bidi/>
      </w:pPr>
      <w:r>
        <w:rPr>
          <w:rFonts w:ascii="Arial" w:hAnsi="Arial"/>
          <w:sz w:val="16"/>
        </w:rPr>
        <w:t>282.06  داشتن اضطراب در مورد سخنرانی در جمع می‌تواند مانع از انتقال موفقیت آمیز پیام شود. با این حال، ظاهر شدن بیش از حد آرام روی صحنه ممکن است این تصور را ایجاد کند که گوینده به‌طور کامل به ارائه یا مخاطب متعهد نیست.</w:t>
      </w:r>
    </w:p>
    <w:p>
      <w:pPr>
        <w:spacing w:after="28" w:line="216" w:lineRule="auto"/>
        <w:ind w:left="259"/>
        <w:jc w:val="left"/>
      </w:pPr>
      <w:r>
        <w:rPr>
          <w:rFonts w:ascii="Arial" w:hAnsi="Arial"/>
          <w:color w:val="525252"/>
          <w:sz w:val="13"/>
        </w:rPr>
        <w:t>Having anxiety about public speaking can hinder the ability to get a message across successfully; however, appearing too relaxed on stage may give the impression that the speaker is not fully committed to the presentation or to the audience.</w:t>
      </w:r>
    </w:p>
    <w:p>
      <w:pPr>
        <w:spacing w:after="20" w:line="223" w:lineRule="auto"/>
        <w:jc w:val="right"/>
        <w:bidi/>
      </w:pPr>
      <w:r>
        <w:rPr>
          <w:rFonts w:ascii="Arial" w:hAnsi="Arial"/>
          <w:sz w:val="16"/>
        </w:rPr>
        <w:t>282.07  برای غلبه بر اضطراب، سعی کنید اینگونه به آن فکر کنید، اغلب تماشاگران واقعا خوشحال هستند که آنها بالای صحنه نیستند.</w:t>
      </w:r>
    </w:p>
    <w:p>
      <w:pPr>
        <w:spacing w:after="28" w:line="216" w:lineRule="auto"/>
        <w:ind w:left="259"/>
        <w:jc w:val="left"/>
      </w:pPr>
      <w:r>
        <w:rPr>
          <w:rFonts w:ascii="Arial" w:hAnsi="Arial"/>
          <w:color w:val="525252"/>
          <w:sz w:val="13"/>
        </w:rPr>
        <w:t>To overcome anxiety, try to think of it this way, most often those in the audience are really just glad it’s not them up there on the stage.</w:t>
      </w:r>
    </w:p>
    <w:p>
      <w:pPr>
        <w:spacing w:after="20" w:line="223" w:lineRule="auto"/>
        <w:jc w:val="right"/>
        <w:bidi/>
      </w:pPr>
      <w:r>
        <w:rPr>
          <w:rFonts w:ascii="Arial" w:hAnsi="Arial"/>
          <w:sz w:val="16"/>
        </w:rPr>
        <w:t>282.08  و برای شما، با پذیرش فرصتی برای رشد شخصی و حرفه‌ای، در راه تبدیل شدن به یک سخنران عمومی با اعتماد به نفس و توانمندتر هستید.</w:t>
      </w:r>
    </w:p>
    <w:p>
      <w:pPr>
        <w:spacing w:after="28" w:line="216" w:lineRule="auto"/>
        <w:ind w:left="259"/>
        <w:jc w:val="left"/>
      </w:pPr>
      <w:r>
        <w:rPr>
          <w:rFonts w:ascii="Arial" w:hAnsi="Arial"/>
          <w:color w:val="525252"/>
          <w:sz w:val="13"/>
        </w:rPr>
        <w:t>And for you, you’re on your way to becoming a more confident, competent public speaker by accepting the opportunity for personal and professional growth.</w:t>
      </w:r>
    </w:p>
    <w:p>
      <w:pPr>
        <w:spacing w:after="20" w:line="223" w:lineRule="auto"/>
        <w:jc w:val="right"/>
        <w:bidi/>
      </w:pPr>
      <w:r>
        <w:rPr>
          <w:rFonts w:ascii="Arial" w:hAnsi="Arial"/>
          <w:sz w:val="16"/>
        </w:rPr>
        <w:t>282.09  چه برای اولین بار درگیر سخنرانی در جمع باشید و چه پیش‌تر چندین بار روی صحنه رفته‌اید، در اینجا چند مرحله ساده وجود دارد که باید به خاطر بسپارید تا مطمئن شوید پیام شما به وضوح و همانطور که در نظر گرفته شده است دریافت می‌شود.</w:t>
      </w:r>
    </w:p>
    <w:p>
      <w:pPr>
        <w:spacing w:after="28" w:line="216" w:lineRule="auto"/>
        <w:ind w:left="259"/>
        <w:jc w:val="left"/>
      </w:pPr>
      <w:r>
        <w:rPr>
          <w:rFonts w:ascii="Arial" w:hAnsi="Arial"/>
          <w:color w:val="525252"/>
          <w:sz w:val="13"/>
        </w:rPr>
        <w:t>Whether you are engaging in public speaking for the first time or if you have been on the stage several times before, here are some simple steps to remember to ensure your message is received clearly and as intended.</w:t>
      </w:r>
    </w:p>
    <w:p>
      <w:pPr>
        <w:spacing w:after="20" w:line="223" w:lineRule="auto"/>
        <w:jc w:val="right"/>
        <w:bidi/>
      </w:pPr>
      <w:r>
        <w:rPr>
          <w:rFonts w:ascii="Arial" w:hAnsi="Arial"/>
          <w:sz w:val="16"/>
        </w:rPr>
        <w:t>282.10  مطالب، فیلمنامه یا موضوعی را که باید در رویداد پوشش داده شود، بدانید.</w:t>
      </w:r>
    </w:p>
    <w:p>
      <w:pPr>
        <w:spacing w:after="28" w:line="216" w:lineRule="auto"/>
        <w:ind w:left="259"/>
        <w:jc w:val="left"/>
      </w:pPr>
      <w:r>
        <w:rPr>
          <w:rFonts w:ascii="Arial" w:hAnsi="Arial"/>
          <w:color w:val="525252"/>
          <w:sz w:val="13"/>
        </w:rPr>
        <w:t>Know the material, the script, or topic to be covered at the event.</w:t>
      </w:r>
    </w:p>
    <w:p>
      <w:pPr>
        <w:spacing w:after="20" w:line="223" w:lineRule="auto"/>
        <w:jc w:val="right"/>
        <w:bidi/>
      </w:pPr>
      <w:r>
        <w:rPr>
          <w:rFonts w:ascii="Arial" w:hAnsi="Arial"/>
          <w:sz w:val="16"/>
        </w:rPr>
        <w:t>282.11  مخاطبان خود را تجزیه و تحلیل کنید تا ترس خود را از ناشناخته‌ها کاهش دهید.</w:t>
      </w:r>
    </w:p>
    <w:p>
      <w:pPr>
        <w:spacing w:after="28" w:line="216" w:lineRule="auto"/>
        <w:ind w:left="259"/>
        <w:jc w:val="left"/>
      </w:pPr>
      <w:r>
        <w:rPr>
          <w:rFonts w:ascii="Arial" w:hAnsi="Arial"/>
          <w:color w:val="525252"/>
          <w:sz w:val="13"/>
        </w:rPr>
        <w:t>Analyze your audience to reduce your fear of the unknown.</w:t>
      </w:r>
    </w:p>
    <w:p>
      <w:pPr>
        <w:spacing w:after="20" w:line="223" w:lineRule="auto"/>
        <w:jc w:val="right"/>
        <w:bidi/>
      </w:pPr>
      <w:r>
        <w:rPr>
          <w:rFonts w:ascii="Arial" w:hAnsi="Arial"/>
          <w:sz w:val="16"/>
        </w:rPr>
        <w:t>282.12  خود را تصور کنید که یک تجربه موفق در مقابل مخاطبان داشته باشید.</w:t>
      </w:r>
    </w:p>
    <w:p>
      <w:pPr>
        <w:spacing w:after="28" w:line="216" w:lineRule="auto"/>
        <w:ind w:left="259"/>
        <w:jc w:val="left"/>
      </w:pPr>
      <w:r>
        <w:rPr>
          <w:rFonts w:ascii="Arial" w:hAnsi="Arial"/>
          <w:color w:val="525252"/>
          <w:sz w:val="13"/>
        </w:rPr>
        <w:t>Envision yourself having a successful experience in front of the audience.</w:t>
      </w:r>
    </w:p>
    <w:p>
      <w:pPr>
        <w:spacing w:after="20" w:line="223" w:lineRule="auto"/>
        <w:jc w:val="right"/>
        <w:bidi/>
      </w:pPr>
      <w:r>
        <w:rPr>
          <w:rFonts w:ascii="Arial" w:hAnsi="Arial"/>
          <w:sz w:val="16"/>
        </w:rPr>
        <w:t>282.13  با استفاده از دستگاه ضبط، دوربین فیلمبرداری، آینه تمام قد یا مخاطبان همسالان خود تمرین کنید.</w:t>
      </w:r>
    </w:p>
    <w:p>
      <w:pPr>
        <w:spacing w:after="28" w:line="216" w:lineRule="auto"/>
        <w:ind w:left="259"/>
        <w:jc w:val="left"/>
      </w:pPr>
      <w:r>
        <w:rPr>
          <w:rFonts w:ascii="Arial" w:hAnsi="Arial"/>
          <w:color w:val="525252"/>
          <w:sz w:val="13"/>
        </w:rPr>
        <w:t>Practice using a recording device, video camera, full-length mirror, or an audience of your peers.</w:t>
      </w:r>
    </w:p>
    <w:p>
      <w:pPr>
        <w:spacing w:after="20" w:line="223" w:lineRule="auto"/>
        <w:jc w:val="right"/>
        <w:bidi/>
      </w:pPr>
      <w:r>
        <w:rPr>
          <w:rFonts w:ascii="Arial" w:hAnsi="Arial"/>
          <w:sz w:val="16"/>
        </w:rPr>
        <w:t>282.14  آماده باشید تا به خود اجازه دهید از نظر ذهنی نسبت به این تجربه احساس اطمینان کنید.</w:t>
      </w:r>
    </w:p>
    <w:p>
      <w:pPr>
        <w:spacing w:after="28" w:line="216" w:lineRule="auto"/>
        <w:ind w:left="259"/>
        <w:jc w:val="left"/>
      </w:pPr>
      <w:r>
        <w:rPr>
          <w:rFonts w:ascii="Arial" w:hAnsi="Arial"/>
          <w:color w:val="525252"/>
          <w:sz w:val="13"/>
        </w:rPr>
        <w:t>Be prepared to allow yourself to mentally feel confident about the experience.</w:t>
      </w:r>
    </w:p>
    <w:p>
      <w:pPr>
        <w:spacing w:after="20" w:line="223" w:lineRule="auto"/>
        <w:jc w:val="right"/>
        <w:bidi/>
      </w:pPr>
      <w:r>
        <w:rPr>
          <w:rFonts w:ascii="Arial" w:hAnsi="Arial"/>
          <w:sz w:val="16"/>
        </w:rPr>
        <w:t>282.15  ارائه یک تصویر حرفه‌ای برای ایجاد اعتماد به نفس و اعتبار نزد مخاطب.</w:t>
      </w:r>
    </w:p>
    <w:p>
      <w:pPr>
        <w:spacing w:after="28" w:line="216" w:lineRule="auto"/>
        <w:ind w:left="259"/>
        <w:jc w:val="left"/>
      </w:pPr>
      <w:r>
        <w:rPr>
          <w:rFonts w:ascii="Arial" w:hAnsi="Arial"/>
          <w:color w:val="525252"/>
          <w:sz w:val="13"/>
        </w:rPr>
        <w:t>Present a professional image to build self-confidence and credibility with the audience.</w:t>
      </w:r>
    </w:p>
    <w:p>
      <w:pPr>
        <w:spacing w:after="20" w:line="223" w:lineRule="auto"/>
        <w:jc w:val="right"/>
        <w:bidi/>
      </w:pPr>
      <w:r>
        <w:rPr>
          <w:rFonts w:ascii="Arial" w:hAnsi="Arial"/>
          <w:sz w:val="16"/>
        </w:rPr>
        <w:t>282.16  لبخند بزنید، مخاطبان شما از شما می‌خواهند که موفق شوید.</w:t>
      </w:r>
    </w:p>
    <w:p>
      <w:pPr>
        <w:spacing w:after="28" w:line="216" w:lineRule="auto"/>
        <w:ind w:left="259"/>
        <w:jc w:val="left"/>
      </w:pPr>
      <w:r>
        <w:rPr>
          <w:rFonts w:ascii="Arial" w:hAnsi="Arial"/>
          <w:color w:val="525252"/>
          <w:sz w:val="13"/>
        </w:rPr>
        <w:t>Smile, your audience wants you to succeed.</w:t>
      </w:r>
    </w:p>
    <w:p>
      <w:pPr>
        <w:spacing w:after="20" w:line="223" w:lineRule="auto"/>
        <w:jc w:val="right"/>
        <w:bidi/>
      </w:pPr>
      <w:r>
        <w:rPr>
          <w:rFonts w:ascii="Arial" w:hAnsi="Arial"/>
          <w:sz w:val="16"/>
        </w:rPr>
        <w:t>282.17  اگر به آن اشاره نکنید، به احتمال زیاد مخاطبان شما نمی‌دانند که چقدر عصبی هستید.</w:t>
      </w:r>
    </w:p>
    <w:p>
      <w:pPr>
        <w:spacing w:after="28" w:line="216" w:lineRule="auto"/>
        <w:ind w:left="259"/>
        <w:jc w:val="left"/>
      </w:pPr>
      <w:r>
        <w:rPr>
          <w:rFonts w:ascii="Arial" w:hAnsi="Arial"/>
          <w:color w:val="525252"/>
          <w:sz w:val="13"/>
        </w:rPr>
        <w:t>Chances are your audience won’t know how nervous you are if you don’t mention it.</w:t>
      </w:r>
    </w:p>
    <w:p>
      <w:pPr>
        <w:spacing w:after="20" w:line="223" w:lineRule="auto"/>
        <w:jc w:val="right"/>
        <w:bidi/>
      </w:pPr>
      <w:r>
        <w:rPr>
          <w:rFonts w:ascii="Arial" w:hAnsi="Arial"/>
          <w:sz w:val="16"/>
        </w:rPr>
        <w:t>282.18  درست قبل از رفتن روی صحنه کمی پیاده روی کنید تا انرژی عصبی را آزاد کنید.</w:t>
      </w:r>
    </w:p>
    <w:p>
      <w:pPr>
        <w:spacing w:after="28" w:line="216" w:lineRule="auto"/>
        <w:ind w:left="259"/>
        <w:jc w:val="left"/>
      </w:pPr>
      <w:r>
        <w:rPr>
          <w:rFonts w:ascii="Arial" w:hAnsi="Arial"/>
          <w:color w:val="525252"/>
          <w:sz w:val="13"/>
        </w:rPr>
        <w:t>Take a short walk right before you go on stage to help release nervous energy.</w:t>
      </w:r>
    </w:p>
    <w:p>
      <w:pPr>
        <w:spacing w:after="20" w:line="223" w:lineRule="auto"/>
        <w:jc w:val="right"/>
        <w:bidi/>
      </w:pPr>
      <w:r>
        <w:rPr>
          <w:rFonts w:ascii="Arial" w:hAnsi="Arial"/>
          <w:sz w:val="16"/>
        </w:rPr>
        <w:t>282.19  وقتی زمان رویداد فرا می‌رسد، زمان ارائه است.</w:t>
      </w:r>
    </w:p>
    <w:p>
      <w:pPr>
        <w:spacing w:after="28" w:line="216" w:lineRule="auto"/>
        <w:ind w:left="259"/>
        <w:jc w:val="left"/>
      </w:pPr>
      <w:r>
        <w:rPr>
          <w:rFonts w:ascii="Arial" w:hAnsi="Arial"/>
          <w:color w:val="525252"/>
          <w:sz w:val="13"/>
        </w:rPr>
        <w:t>When it comes time for the event, it’s time to deliver.</w:t>
      </w:r>
    </w:p>
    <w:p>
      <w:pPr>
        <w:spacing w:after="20" w:line="223" w:lineRule="auto"/>
        <w:jc w:val="right"/>
        <w:bidi/>
      </w:pPr>
      <w:r>
        <w:rPr>
          <w:rFonts w:ascii="Arial" w:hAnsi="Arial"/>
          <w:sz w:val="16"/>
        </w:rPr>
        <w:t>282.20  توجه خود را بر روی هدف رویداد متمرکز کنید، نه بر روی خودتان.</w:t>
      </w:r>
    </w:p>
    <w:p>
      <w:pPr>
        <w:spacing w:after="28" w:line="216" w:lineRule="auto"/>
        <w:ind w:left="259"/>
        <w:jc w:val="left"/>
      </w:pPr>
      <w:r>
        <w:rPr>
          <w:rFonts w:ascii="Arial" w:hAnsi="Arial"/>
          <w:color w:val="525252"/>
          <w:sz w:val="13"/>
        </w:rPr>
        <w:t>Focus your attention on the purpose of the event, not on yourself.</w:t>
      </w:r>
    </w:p>
    <w:p>
      <w:pPr>
        <w:spacing w:after="20" w:line="223" w:lineRule="auto"/>
        <w:jc w:val="right"/>
        <w:bidi/>
      </w:pPr>
      <w:r>
        <w:rPr>
          <w:rFonts w:ascii="Arial" w:hAnsi="Arial"/>
          <w:sz w:val="16"/>
        </w:rPr>
        <w:t>282.21  با مخاطبان خود ارتباط برقرار کنید.</w:t>
      </w:r>
    </w:p>
    <w:p>
      <w:pPr>
        <w:spacing w:after="28" w:line="216" w:lineRule="auto"/>
        <w:ind w:left="259"/>
        <w:jc w:val="left"/>
      </w:pPr>
      <w:r>
        <w:rPr>
          <w:rFonts w:ascii="Arial" w:hAnsi="Arial"/>
          <w:color w:val="525252"/>
          <w:sz w:val="13"/>
        </w:rPr>
        <w:t>Connect with your audience.</w:t>
      </w:r>
    </w:p>
    <w:p>
      <w:pPr>
        <w:spacing w:after="20" w:line="223" w:lineRule="auto"/>
        <w:jc w:val="right"/>
        <w:bidi/>
      </w:pPr>
      <w:r>
        <w:rPr>
          <w:rFonts w:ascii="Arial" w:hAnsi="Arial"/>
          <w:sz w:val="16"/>
        </w:rPr>
        <w:t>282.22  در صورت امکان، تعامل مخاطب را تشویق کنید، مانند تکان دادن سر یا جملات تاکیدی اطمینان‌بخش.</w:t>
      </w:r>
    </w:p>
    <w:p>
      <w:pPr>
        <w:spacing w:after="28" w:line="216" w:lineRule="auto"/>
        <w:ind w:left="259"/>
        <w:jc w:val="left"/>
      </w:pPr>
      <w:r>
        <w:rPr>
          <w:rFonts w:ascii="Arial" w:hAnsi="Arial"/>
          <w:color w:val="525252"/>
          <w:sz w:val="13"/>
        </w:rPr>
        <w:t>When possible, encourage audience interaction, such as head nods or reassuring affirmations.</w:t>
      </w:r>
    </w:p>
    <w:p>
      <w:pPr>
        <w:spacing w:before="60" w:after="28"/>
        <w:jc w:val="right"/>
        <w:bidi/>
      </w:pPr>
      <w:r>
        <w:rPr>
          <w:b/>
          <w:color w:val="1F4D78"/>
          <w:sz w:val="18"/>
        </w:rPr>
        <w:t>15.30. حرکات غیرکلامی رایج</w:t>
      </w:r>
    </w:p>
    <w:p>
      <w:pPr>
        <w:spacing w:after="20"/>
        <w:ind w:left="259"/>
        <w:jc w:val="left"/>
      </w:pPr>
      <w:r>
        <w:rPr>
          <w:color w:val="555555"/>
          <w:sz w:val="12"/>
        </w:rPr>
        <w:t>15.30. Common Nonverbal Quirks</w:t>
      </w:r>
    </w:p>
    <w:p>
      <w:pPr>
        <w:spacing w:after="20" w:line="223" w:lineRule="auto"/>
        <w:jc w:val="right"/>
        <w:bidi/>
      </w:pPr>
      <w:r>
        <w:rPr>
          <w:rFonts w:ascii="Arial" w:hAnsi="Arial"/>
          <w:sz w:val="16"/>
        </w:rPr>
        <w:t>282.24  در حالی که به دنبال فرصت‌هایی برای تقویت مهارت‌های سخنرانی در جمع هستید، تمرین کنید تا برخی از عصاها یا عادت‌هایی را که گاهی سخنرانان به آن دچار می‌شوند حذف کنید.</w:t>
      </w:r>
    </w:p>
    <w:p>
      <w:pPr>
        <w:spacing w:after="28" w:line="216" w:lineRule="auto"/>
        <w:ind w:left="259"/>
        <w:jc w:val="left"/>
      </w:pPr>
      <w:r>
        <w:rPr>
          <w:rFonts w:ascii="Arial" w:hAnsi="Arial"/>
          <w:color w:val="525252"/>
          <w:sz w:val="13"/>
        </w:rPr>
        <w:t>While seeking opportunities to sharpen public speaking skills, practice to eliminate some of the crutches or habits that speakers sometimes fall into.</w:t>
      </w:r>
    </w:p>
    <w:p>
      <w:pPr>
        <w:spacing w:after="20" w:line="223" w:lineRule="auto"/>
        <w:jc w:val="right"/>
        <w:bidi/>
      </w:pPr>
      <w:r>
        <w:rPr>
          <w:rFonts w:ascii="Arial" w:hAnsi="Arial"/>
          <w:sz w:val="16"/>
        </w:rPr>
        <w:t>282.25  نکاتی در مورد غلبه بر عادات عصبی در اینجا گنجانده شده است تا به سخنرانان عمومی کمک کند تا آگاهانه از آنها آگاه شوند و قبل از اینکه در کانون توجه قرار بگیرند برای غلبه بر آنها تلاش کنند.</w:t>
      </w:r>
    </w:p>
    <w:p>
      <w:pPr>
        <w:spacing w:after="28" w:line="216" w:lineRule="auto"/>
        <w:ind w:left="259"/>
        <w:jc w:val="left"/>
      </w:pPr>
      <w:r>
        <w:rPr>
          <w:rFonts w:ascii="Arial" w:hAnsi="Arial"/>
          <w:color w:val="525252"/>
          <w:sz w:val="13"/>
        </w:rPr>
        <w:t>Tips on overcoming nervous habits are included here to help public speakers become consciously aware of them and work to overcome them before stepping into the spotlight.</w:t>
      </w:r>
    </w:p>
    <w:p>
      <w:pPr>
        <w:spacing w:after="20" w:line="223" w:lineRule="auto"/>
        <w:jc w:val="right"/>
        <w:bidi/>
      </w:pPr>
      <w:r>
        <w:rPr>
          <w:rFonts w:ascii="Arial" w:hAnsi="Arial"/>
          <w:sz w:val="16"/>
        </w:rPr>
        <w:t>282.26  قایق نجات.</w:t>
      </w:r>
    </w:p>
    <w:p>
      <w:pPr>
        <w:spacing w:after="28" w:line="216" w:lineRule="auto"/>
        <w:ind w:left="259"/>
        <w:jc w:val="left"/>
      </w:pPr>
      <w:r>
        <w:rPr>
          <w:rFonts w:ascii="Arial" w:hAnsi="Arial"/>
          <w:color w:val="525252"/>
          <w:sz w:val="13"/>
        </w:rPr>
        <w:t>Life Raft.</w:t>
      </w:r>
    </w:p>
    <w:p>
      <w:pPr>
        <w:spacing w:after="20" w:line="223" w:lineRule="auto"/>
        <w:jc w:val="right"/>
        <w:bidi/>
      </w:pPr>
      <w:r>
        <w:rPr>
          <w:rFonts w:ascii="Arial" w:hAnsi="Arial"/>
          <w:sz w:val="16"/>
        </w:rPr>
        <w:t>282.27  قایق نجات اصطلاحی است که زمانی استفاده می‌شود که سخنران به دنبال ایمنی و امنیت یک تریبون باشد، گویی که زندگی او به آن بستگی دارد.</w:t>
      </w:r>
    </w:p>
    <w:p>
      <w:pPr>
        <w:spacing w:after="28" w:line="216" w:lineRule="auto"/>
        <w:ind w:left="259"/>
        <w:jc w:val="left"/>
      </w:pPr>
      <w:r>
        <w:rPr>
          <w:rFonts w:ascii="Arial" w:hAnsi="Arial"/>
          <w:color w:val="525252"/>
          <w:sz w:val="13"/>
        </w:rPr>
        <w:t>The life raft is a term used when a speaker seeks the safety and security of a podium as though his or life depends upon it.</w:t>
      </w:r>
    </w:p>
    <w:p>
      <w:pPr>
        <w:spacing w:after="20" w:line="223" w:lineRule="auto"/>
        <w:jc w:val="right"/>
        <w:bidi/>
      </w:pPr>
      <w:r>
        <w:rPr>
          <w:rFonts w:ascii="Arial" w:hAnsi="Arial"/>
          <w:sz w:val="16"/>
        </w:rPr>
        <w:t>282.28  گاهی اوقات هنگام استفاده از یک میکروفون ثابت، یک اسکریپت یا یادداشت، ایستادن پشت تریبون ضروری است.</w:t>
      </w:r>
    </w:p>
    <w:p>
      <w:pPr>
        <w:spacing w:after="28" w:line="216" w:lineRule="auto"/>
        <w:ind w:left="259"/>
        <w:jc w:val="left"/>
      </w:pPr>
      <w:r>
        <w:rPr>
          <w:rFonts w:ascii="Arial" w:hAnsi="Arial"/>
          <w:color w:val="525252"/>
          <w:sz w:val="13"/>
        </w:rPr>
        <w:t>Sometimes standing at the podium is necessary when using a stationary microphone, a script, or notes.</w:t>
      </w:r>
    </w:p>
    <w:p>
      <w:pPr>
        <w:spacing w:after="20" w:line="223" w:lineRule="auto"/>
        <w:jc w:val="right"/>
        <w:bidi/>
      </w:pPr>
      <w:r>
        <w:rPr>
          <w:rFonts w:ascii="Arial" w:hAnsi="Arial"/>
          <w:sz w:val="16"/>
        </w:rPr>
        <w:t>282.29  در حالی که این مکان قابل قبولی برای ایستادن یک سخنران است، در صورت امکان، سعی کنید از تریبون دور شوید تا بهتر با مخاطب ارتباط برقرار کنید.</w:t>
      </w:r>
    </w:p>
    <w:p>
      <w:pPr>
        <w:spacing w:after="28" w:line="216" w:lineRule="auto"/>
        <w:ind w:left="259"/>
        <w:jc w:val="left"/>
      </w:pPr>
      <w:r>
        <w:rPr>
          <w:rFonts w:ascii="Arial" w:hAnsi="Arial"/>
          <w:color w:val="525252"/>
          <w:sz w:val="13"/>
        </w:rPr>
        <w:t>While this is an acceptable place for a speaker to stand, when possible, try to venture away from the podium to connect better with the audience.</w:t>
      </w:r>
    </w:p>
    <w:p>
      <w:pPr>
        <w:spacing w:after="20" w:line="223" w:lineRule="auto"/>
        <w:jc w:val="right"/>
        <w:bidi/>
      </w:pPr>
      <w:r>
        <w:rPr>
          <w:rFonts w:ascii="Arial" w:hAnsi="Arial"/>
          <w:sz w:val="16"/>
        </w:rPr>
        <w:t>282.30  دستهای ناجور.</w:t>
      </w:r>
    </w:p>
    <w:p>
      <w:pPr>
        <w:spacing w:after="28" w:line="216" w:lineRule="auto"/>
        <w:ind w:left="259"/>
        <w:jc w:val="left"/>
      </w:pPr>
      <w:r>
        <w:rPr>
          <w:rFonts w:ascii="Arial" w:hAnsi="Arial"/>
          <w:color w:val="525252"/>
          <w:sz w:val="13"/>
        </w:rPr>
        <w:t>Awkward Hands.</w:t>
      </w:r>
    </w:p>
    <w:p>
      <w:pPr>
        <w:spacing w:after="20" w:line="223" w:lineRule="auto"/>
        <w:jc w:val="right"/>
        <w:bidi/>
      </w:pPr>
      <w:r>
        <w:rPr>
          <w:rFonts w:ascii="Arial" w:hAnsi="Arial"/>
          <w:sz w:val="16"/>
        </w:rPr>
        <w:t>282.31  دستهای بی دست و پا معمولا بیشتر احساسی است که گوینده دارد تا مشاهده مخاطب.</w:t>
      </w:r>
    </w:p>
    <w:p>
      <w:pPr>
        <w:spacing w:after="28" w:line="216" w:lineRule="auto"/>
        <w:ind w:left="259"/>
        <w:jc w:val="left"/>
      </w:pPr>
      <w:r>
        <w:rPr>
          <w:rFonts w:ascii="Arial" w:hAnsi="Arial"/>
          <w:color w:val="525252"/>
          <w:sz w:val="13"/>
        </w:rPr>
        <w:t>Awkward hands are typically more of a feeling the speaker has than it is an observation of the audience.</w:t>
      </w:r>
    </w:p>
    <w:p>
      <w:pPr>
        <w:spacing w:after="20" w:line="223" w:lineRule="auto"/>
        <w:jc w:val="right"/>
        <w:bidi/>
      </w:pPr>
      <w:r>
        <w:rPr>
          <w:rFonts w:ascii="Arial" w:hAnsi="Arial"/>
          <w:sz w:val="16"/>
        </w:rPr>
        <w:t>282.32  به سادگی اجازه دادن به دست‌ها برای آویزان شدن به‌طور طبیعی ممکن است احساس ناخوشایندی داشته باشد، اما از دیدگاه مخاطب کاملا طبیعی است.</w:t>
      </w:r>
    </w:p>
    <w:p>
      <w:pPr>
        <w:spacing w:after="28" w:line="216" w:lineRule="auto"/>
        <w:ind w:left="259"/>
        <w:jc w:val="left"/>
      </w:pPr>
      <w:r>
        <w:rPr>
          <w:rFonts w:ascii="Arial" w:hAnsi="Arial"/>
          <w:color w:val="525252"/>
          <w:sz w:val="13"/>
        </w:rPr>
        <w:t>Simply allowing hands to hang naturally may feel awkward, but it’s perfectly natural from the audience’s perspective.</w:t>
      </w:r>
    </w:p>
    <w:p>
      <w:pPr>
        <w:spacing w:after="20" w:line="223" w:lineRule="auto"/>
        <w:jc w:val="right"/>
        <w:bidi/>
      </w:pPr>
      <w:r>
        <w:rPr>
          <w:rFonts w:ascii="Arial" w:hAnsi="Arial"/>
          <w:sz w:val="16"/>
        </w:rPr>
        <w:t>282.33  تمرین کنید که اجازه دهید دست‌هایتان به‌طور طبیعی آویزان شوند، و در نهایت شروع به احساس طبیعی می‌کند.</w:t>
      </w:r>
    </w:p>
    <w:p>
      <w:pPr>
        <w:spacing w:after="28" w:line="216" w:lineRule="auto"/>
        <w:ind w:left="259"/>
        <w:jc w:val="left"/>
      </w:pPr>
      <w:r>
        <w:rPr>
          <w:rFonts w:ascii="Arial" w:hAnsi="Arial"/>
          <w:color w:val="525252"/>
          <w:sz w:val="13"/>
        </w:rPr>
        <w:t>Practice allowing your hands to hang naturally, and it’ll eventually begin to feel natural.</w:t>
      </w:r>
    </w:p>
    <w:p>
      <w:r>
        <w:br w:type="page"/>
      </w:r>
    </w:p>
    <w:p>
      <w:pPr>
        <w:spacing w:after="60"/>
        <w:jc w:val="right"/>
        <w:bidi/>
      </w:pPr>
      <w:r>
        <w:rPr>
          <w:rFonts w:ascii="Arial" w:hAnsi="Arial"/>
          <w:b/>
          <w:color w:val="1F4D78"/>
          <w:sz w:val="19"/>
        </w:rPr>
        <w:t>هفتهٔ 283  |  صفحهٔ منبع: 299</w:t>
      </w:r>
    </w:p>
    <w:p>
      <w:pPr>
        <w:spacing w:after="20" w:line="223" w:lineRule="auto"/>
        <w:jc w:val="right"/>
        <w:bidi/>
      </w:pPr>
      <w:r>
        <w:rPr>
          <w:rFonts w:ascii="Arial" w:hAnsi="Arial"/>
          <w:sz w:val="16"/>
        </w:rPr>
        <w:t>283.01  ببر در قفس.</w:t>
      </w:r>
    </w:p>
    <w:p>
      <w:pPr>
        <w:spacing w:after="28" w:line="216" w:lineRule="auto"/>
        <w:ind w:left="259"/>
        <w:jc w:val="left"/>
      </w:pPr>
      <w:r>
        <w:rPr>
          <w:rFonts w:ascii="Arial" w:hAnsi="Arial"/>
          <w:color w:val="525252"/>
          <w:sz w:val="13"/>
        </w:rPr>
        <w:t>Caged Tiger.</w:t>
      </w:r>
    </w:p>
    <w:p>
      <w:pPr>
        <w:spacing w:after="20" w:line="223" w:lineRule="auto"/>
        <w:jc w:val="right"/>
        <w:bidi/>
      </w:pPr>
      <w:r>
        <w:rPr>
          <w:rFonts w:ascii="Arial" w:hAnsi="Arial"/>
          <w:sz w:val="16"/>
        </w:rPr>
        <w:t>283.02  ببر در قفس اصطلاحی است که زمانی استفاده می‌شود که گوینده بدون توقف از یک طرف به سمت دیگر صحنه می‌رود.</w:t>
      </w:r>
    </w:p>
    <w:p>
      <w:pPr>
        <w:spacing w:after="28" w:line="216" w:lineRule="auto"/>
        <w:ind w:left="259"/>
        <w:jc w:val="left"/>
      </w:pPr>
      <w:r>
        <w:rPr>
          <w:rFonts w:ascii="Arial" w:hAnsi="Arial"/>
          <w:color w:val="525252"/>
          <w:sz w:val="13"/>
        </w:rPr>
        <w:t>The caged tiger is a term used when a speaker paces across a stage from one side to the other without stopping.</w:t>
      </w:r>
    </w:p>
    <w:p>
      <w:pPr>
        <w:spacing w:after="20" w:line="223" w:lineRule="auto"/>
        <w:jc w:val="right"/>
        <w:bidi/>
      </w:pPr>
      <w:r>
        <w:rPr>
          <w:rFonts w:ascii="Arial" w:hAnsi="Arial"/>
          <w:sz w:val="16"/>
        </w:rPr>
        <w:t>283.03  استفاده از عرض صحنه برای برقراری ارتباط با تماشاگران ایده خوبی است، فقط مطمئن شوید که در جایی که مخاطب احساس می‌کند در حال تماشای یک مسابقه تنیس است، عقب و جلو نروید.</w:t>
      </w:r>
    </w:p>
    <w:p>
      <w:pPr>
        <w:spacing w:after="28" w:line="216" w:lineRule="auto"/>
        <w:ind w:left="259"/>
        <w:jc w:val="left"/>
      </w:pPr>
      <w:r>
        <w:rPr>
          <w:rFonts w:ascii="Arial" w:hAnsi="Arial"/>
          <w:color w:val="525252"/>
          <w:sz w:val="13"/>
        </w:rPr>
        <w:t>Using the width of a stage to connect with an audience is a good idea, just be sure not to pace back and forth to where the audience feels like they’re watching a tennis match.</w:t>
      </w:r>
    </w:p>
    <w:p>
      <w:pPr>
        <w:spacing w:after="20" w:line="223" w:lineRule="auto"/>
        <w:jc w:val="right"/>
        <w:bidi/>
      </w:pPr>
      <w:r>
        <w:rPr>
          <w:rFonts w:ascii="Arial" w:hAnsi="Arial"/>
          <w:sz w:val="16"/>
        </w:rPr>
        <w:t>283.04  آرامش داشته باشید و در یک ریتم طبیعی استفاده از صحنه به‌طور هدفمند قرار بگیرید.</w:t>
      </w:r>
    </w:p>
    <w:p>
      <w:pPr>
        <w:spacing w:after="28" w:line="216" w:lineRule="auto"/>
        <w:ind w:left="259"/>
        <w:jc w:val="left"/>
      </w:pPr>
      <w:r>
        <w:rPr>
          <w:rFonts w:ascii="Arial" w:hAnsi="Arial"/>
          <w:color w:val="525252"/>
          <w:sz w:val="13"/>
        </w:rPr>
        <w:t>Relax and settle into a natural rhythm of using the stage purposefully.</w:t>
      </w:r>
    </w:p>
    <w:p>
      <w:pPr>
        <w:spacing w:after="20" w:line="223" w:lineRule="auto"/>
        <w:jc w:val="right"/>
        <w:bidi/>
      </w:pPr>
      <w:r>
        <w:rPr>
          <w:rFonts w:ascii="Arial" w:hAnsi="Arial"/>
          <w:sz w:val="16"/>
        </w:rPr>
        <w:t>283.05  راکر.</w:t>
      </w:r>
    </w:p>
    <w:p>
      <w:pPr>
        <w:spacing w:after="28" w:line="216" w:lineRule="auto"/>
        <w:ind w:left="259"/>
        <w:jc w:val="left"/>
      </w:pPr>
      <w:r>
        <w:rPr>
          <w:rFonts w:ascii="Arial" w:hAnsi="Arial"/>
          <w:color w:val="525252"/>
          <w:sz w:val="13"/>
        </w:rPr>
        <w:t>Rocker.</w:t>
      </w:r>
    </w:p>
    <w:p>
      <w:pPr>
        <w:spacing w:after="20" w:line="223" w:lineRule="auto"/>
        <w:jc w:val="right"/>
        <w:bidi/>
      </w:pPr>
      <w:r>
        <w:rPr>
          <w:rFonts w:ascii="Arial" w:hAnsi="Arial"/>
          <w:sz w:val="16"/>
        </w:rPr>
        <w:t>283.06  راکرها ببرهایی در قفس هستند که در مسیر بهبودی هستند.</w:t>
      </w:r>
    </w:p>
    <w:p>
      <w:pPr>
        <w:spacing w:after="28" w:line="216" w:lineRule="auto"/>
        <w:ind w:left="259"/>
        <w:jc w:val="left"/>
      </w:pPr>
      <w:r>
        <w:rPr>
          <w:rFonts w:ascii="Arial" w:hAnsi="Arial"/>
          <w:color w:val="525252"/>
          <w:sz w:val="13"/>
        </w:rPr>
        <w:t>Rockers are caged tigers on the road to recovery.</w:t>
      </w:r>
    </w:p>
    <w:p>
      <w:pPr>
        <w:spacing w:after="20" w:line="223" w:lineRule="auto"/>
        <w:jc w:val="right"/>
        <w:bidi/>
      </w:pPr>
      <w:r>
        <w:rPr>
          <w:rFonts w:ascii="Arial" w:hAnsi="Arial"/>
          <w:sz w:val="16"/>
        </w:rPr>
        <w:t>283.07  راکرها تا حدودی انرژی عصبی خود را تسکین داده‌اند، اما هنوز با ایستادن و صحبت کردن کاملا راحت نشده‌اند.</w:t>
      </w:r>
    </w:p>
    <w:p>
      <w:pPr>
        <w:spacing w:after="28" w:line="216" w:lineRule="auto"/>
        <w:ind w:left="259"/>
        <w:jc w:val="left"/>
      </w:pPr>
      <w:r>
        <w:rPr>
          <w:rFonts w:ascii="Arial" w:hAnsi="Arial"/>
          <w:color w:val="525252"/>
          <w:sz w:val="13"/>
        </w:rPr>
        <w:t>Rockers have settled their nervous energy somewhat, but still have not become completely comfortable with standing still and simply talking.</w:t>
      </w:r>
    </w:p>
    <w:p>
      <w:pPr>
        <w:spacing w:after="20" w:line="223" w:lineRule="auto"/>
        <w:jc w:val="right"/>
        <w:bidi/>
      </w:pPr>
      <w:r>
        <w:rPr>
          <w:rFonts w:ascii="Arial" w:hAnsi="Arial"/>
          <w:sz w:val="16"/>
        </w:rPr>
        <w:t>283.08  در حین تمرین، تلاش آگاهانه‌ای داشته باشید تا عادت نکنید روی پاشنه‌های خود تکان بخورید یا از پهلو به پهلوی خود تاب بخورید.</w:t>
      </w:r>
    </w:p>
    <w:p>
      <w:pPr>
        <w:spacing w:after="28" w:line="216" w:lineRule="auto"/>
        <w:ind w:left="259"/>
        <w:jc w:val="left"/>
      </w:pPr>
      <w:r>
        <w:rPr>
          <w:rFonts w:ascii="Arial" w:hAnsi="Arial"/>
          <w:color w:val="525252"/>
          <w:sz w:val="13"/>
        </w:rPr>
        <w:t>As you practice, make a conscious effort not to fall into the habit of rocking on your heels or swaying side to side.</w:t>
      </w:r>
    </w:p>
    <w:p>
      <w:pPr>
        <w:spacing w:after="20" w:line="223" w:lineRule="auto"/>
        <w:jc w:val="right"/>
        <w:bidi/>
      </w:pPr>
      <w:r>
        <w:rPr>
          <w:rFonts w:ascii="Arial" w:hAnsi="Arial"/>
          <w:sz w:val="16"/>
        </w:rPr>
        <w:t>283.09  دقیقا مانند اجازه دادن به دست‌هایتان که به‌طور طبیعی در کنارتان آویزان شوند، با تمرین راحت‌تر می‌شوید که با اعتماد به نفس بایستید و به مخاطبان خطاب کنید.</w:t>
      </w:r>
    </w:p>
    <w:p>
      <w:pPr>
        <w:spacing w:after="28" w:line="216" w:lineRule="auto"/>
        <w:ind w:left="259"/>
        <w:jc w:val="left"/>
      </w:pPr>
      <w:r>
        <w:rPr>
          <w:rFonts w:ascii="Arial" w:hAnsi="Arial"/>
          <w:color w:val="525252"/>
          <w:sz w:val="13"/>
        </w:rPr>
        <w:t>Much like allowing your hands to hang naturally at your side, with practice you will become more comfortable simply standing confidently and addressing an audience.</w:t>
      </w:r>
    </w:p>
    <w:p>
      <w:pPr>
        <w:spacing w:after="20" w:line="223" w:lineRule="auto"/>
        <w:jc w:val="right"/>
        <w:bidi/>
      </w:pPr>
      <w:r>
        <w:rPr>
          <w:rFonts w:ascii="Arial" w:hAnsi="Arial"/>
          <w:sz w:val="16"/>
        </w:rPr>
        <w:t>283.10  خیلی باحال.</w:t>
      </w:r>
    </w:p>
    <w:p>
      <w:pPr>
        <w:spacing w:after="28" w:line="216" w:lineRule="auto"/>
        <w:ind w:left="259"/>
        <w:jc w:val="left"/>
      </w:pPr>
      <w:r>
        <w:rPr>
          <w:rFonts w:ascii="Arial" w:hAnsi="Arial"/>
          <w:color w:val="525252"/>
          <w:sz w:val="13"/>
        </w:rPr>
        <w:t>Too Cool.</w:t>
      </w:r>
    </w:p>
    <w:p>
      <w:pPr>
        <w:spacing w:after="20" w:line="223" w:lineRule="auto"/>
        <w:jc w:val="right"/>
        <w:bidi/>
      </w:pPr>
      <w:r>
        <w:rPr>
          <w:rFonts w:ascii="Arial" w:hAnsi="Arial"/>
          <w:sz w:val="16"/>
        </w:rPr>
        <w:t>283.11  برخی از سخنرانان ترس از صحبت کردن را با تلاش برای ظاهری بسیار راحت جبران می‌کنند.</w:t>
      </w:r>
    </w:p>
    <w:p>
      <w:pPr>
        <w:spacing w:after="28" w:line="216" w:lineRule="auto"/>
        <w:ind w:left="259"/>
        <w:jc w:val="left"/>
      </w:pPr>
      <w:r>
        <w:rPr>
          <w:rFonts w:ascii="Arial" w:hAnsi="Arial"/>
          <w:color w:val="525252"/>
          <w:sz w:val="13"/>
        </w:rPr>
        <w:t>Some speakers overcompensate for a fear of speaking by trying to look extremely comfortable.</w:t>
      </w:r>
    </w:p>
    <w:p>
      <w:pPr>
        <w:spacing w:after="20" w:line="223" w:lineRule="auto"/>
        <w:jc w:val="right"/>
        <w:bidi/>
      </w:pPr>
      <w:r>
        <w:rPr>
          <w:rFonts w:ascii="Arial" w:hAnsi="Arial"/>
          <w:sz w:val="16"/>
        </w:rPr>
        <w:t>283.12  ایده خوبی است که آرام به نظر برسید، اما نه به قیمت بی توجهی یا بی علاقگی به صحبت کردن با مخاطبان.</w:t>
      </w:r>
    </w:p>
    <w:p>
      <w:pPr>
        <w:spacing w:after="28" w:line="216" w:lineRule="auto"/>
        <w:ind w:left="259"/>
        <w:jc w:val="left"/>
      </w:pPr>
      <w:r>
        <w:rPr>
          <w:rFonts w:ascii="Arial" w:hAnsi="Arial"/>
          <w:color w:val="525252"/>
          <w:sz w:val="13"/>
        </w:rPr>
        <w:t>It is a good idea to appear relaxed, but not at the expense of appearing unengaged or disinterested in speaking to your audience.</w:t>
      </w:r>
    </w:p>
    <w:p>
      <w:pPr>
        <w:spacing w:after="20" w:line="223" w:lineRule="auto"/>
        <w:jc w:val="right"/>
        <w:bidi/>
      </w:pPr>
      <w:r>
        <w:rPr>
          <w:rFonts w:ascii="Arial" w:hAnsi="Arial"/>
          <w:sz w:val="16"/>
        </w:rPr>
        <w:t>283.13  ممکن است اعصاب خود را تسخیر کرده باشید، اما به خاطر داشته باشید که می‌خواهید به مخاطبان خود دسترسی داشته باشید و توجه آنها را حفظ کنید.</w:t>
      </w:r>
    </w:p>
    <w:p>
      <w:pPr>
        <w:spacing w:after="28" w:line="216" w:lineRule="auto"/>
        <w:ind w:left="259"/>
        <w:jc w:val="left"/>
      </w:pPr>
      <w:r>
        <w:rPr>
          <w:rFonts w:ascii="Arial" w:hAnsi="Arial"/>
          <w:color w:val="525252"/>
          <w:sz w:val="13"/>
        </w:rPr>
        <w:t>You may have conquered your nerves, but keep in mind that you want to reach your audience and keep their attention.</w:t>
      </w:r>
    </w:p>
    <w:p>
      <w:pPr>
        <w:spacing w:before="60" w:after="28"/>
        <w:jc w:val="right"/>
        <w:bidi/>
      </w:pPr>
      <w:r>
        <w:rPr>
          <w:b/>
          <w:color w:val="1F4D78"/>
          <w:sz w:val="18"/>
        </w:rPr>
        <w:t>15.31. گوش دادن موثر</w:t>
      </w:r>
    </w:p>
    <w:p>
      <w:pPr>
        <w:spacing w:after="20"/>
        <w:ind w:left="259"/>
        <w:jc w:val="left"/>
      </w:pPr>
      <w:r>
        <w:rPr>
          <w:color w:val="555555"/>
          <w:sz w:val="12"/>
        </w:rPr>
        <w:t>15.31. Effective Listening</w:t>
      </w:r>
    </w:p>
    <w:p>
      <w:pPr>
        <w:spacing w:after="20" w:line="223" w:lineRule="auto"/>
        <w:jc w:val="right"/>
        <w:bidi/>
      </w:pPr>
      <w:r>
        <w:rPr>
          <w:rFonts w:ascii="Arial" w:hAnsi="Arial"/>
          <w:sz w:val="16"/>
        </w:rPr>
        <w:t>283.15  به دست آوردن درک بهتر از فرآیند گوش دادن با درک تفاوت بین شنیدن و گوش دادن آغاز می‌شود.</w:t>
      </w:r>
    </w:p>
    <w:p>
      <w:pPr>
        <w:spacing w:after="28" w:line="216" w:lineRule="auto"/>
        <w:ind w:left="259"/>
        <w:jc w:val="left"/>
      </w:pPr>
      <w:r>
        <w:rPr>
          <w:rFonts w:ascii="Arial" w:hAnsi="Arial"/>
          <w:color w:val="525252"/>
          <w:sz w:val="13"/>
        </w:rPr>
        <w:t>Gaining a better understanding of the listening process begins with understanding the difference between hearing and listening.</w:t>
      </w:r>
    </w:p>
    <w:p>
      <w:pPr>
        <w:spacing w:after="20" w:line="223" w:lineRule="auto"/>
        <w:jc w:val="right"/>
        <w:bidi/>
      </w:pPr>
      <w:r>
        <w:rPr>
          <w:rFonts w:ascii="Arial" w:hAnsi="Arial"/>
          <w:sz w:val="16"/>
        </w:rPr>
        <w:t>283.16  شنوایی زمانی اتفاق می‌افتد که گوش صداهایی را که توسط بلندگو یا منبع دیگری منتقل می‌شود، دریافت می‌کند.</w:t>
      </w:r>
    </w:p>
    <w:p>
      <w:pPr>
        <w:spacing w:after="28" w:line="216" w:lineRule="auto"/>
        <w:ind w:left="259"/>
        <w:jc w:val="left"/>
      </w:pPr>
      <w:r>
        <w:rPr>
          <w:rFonts w:ascii="Arial" w:hAnsi="Arial"/>
          <w:color w:val="525252"/>
          <w:sz w:val="13"/>
        </w:rPr>
        <w:t>Hearing occurs when ears pick up sounds being transmitted by a speaker or another source.</w:t>
      </w:r>
    </w:p>
    <w:p>
      <w:pPr>
        <w:spacing w:after="20" w:line="223" w:lineRule="auto"/>
        <w:jc w:val="right"/>
        <w:bidi/>
      </w:pPr>
      <w:r>
        <w:rPr>
          <w:rFonts w:ascii="Arial" w:hAnsi="Arial"/>
          <w:sz w:val="16"/>
        </w:rPr>
        <w:t>283.17  از سوی دیگر، گوش دادن مستلزم شنیدن است و در عین حال توجه و توجه به آنچه شنیده می‌شود.</w:t>
      </w:r>
    </w:p>
    <w:p>
      <w:pPr>
        <w:spacing w:after="28" w:line="216" w:lineRule="auto"/>
        <w:ind w:left="259"/>
        <w:jc w:val="left"/>
      </w:pPr>
      <w:r>
        <w:rPr>
          <w:rFonts w:ascii="Arial" w:hAnsi="Arial"/>
          <w:color w:val="525252"/>
          <w:sz w:val="13"/>
        </w:rPr>
        <w:t>Listening, on the other hand, involves hearing, while also paying attention to and giving consideration to what is heard.</w:t>
      </w:r>
    </w:p>
    <w:p>
      <w:pPr>
        <w:spacing w:after="20" w:line="223" w:lineRule="auto"/>
        <w:jc w:val="right"/>
        <w:bidi/>
      </w:pPr>
      <w:r>
        <w:rPr>
          <w:rFonts w:ascii="Arial" w:hAnsi="Arial"/>
          <w:sz w:val="16"/>
        </w:rPr>
        <w:t>283.18  به عبارت دیگر، گوش دادن شامل تفکر و درک پیام است.</w:t>
      </w:r>
    </w:p>
    <w:p>
      <w:pPr>
        <w:spacing w:after="28" w:line="216" w:lineRule="auto"/>
        <w:ind w:left="259"/>
        <w:jc w:val="left"/>
      </w:pPr>
      <w:r>
        <w:rPr>
          <w:rFonts w:ascii="Arial" w:hAnsi="Arial"/>
          <w:color w:val="525252"/>
          <w:sz w:val="13"/>
        </w:rPr>
        <w:t>In other words, listening involves thinking about and making sense of the message.</w:t>
      </w:r>
    </w:p>
    <w:p>
      <w:pPr>
        <w:spacing w:after="20" w:line="223" w:lineRule="auto"/>
        <w:jc w:val="right"/>
        <w:bidi/>
      </w:pPr>
      <w:r>
        <w:rPr>
          <w:rFonts w:ascii="Arial" w:hAnsi="Arial"/>
          <w:sz w:val="16"/>
        </w:rPr>
        <w:t>283.19  گوش دادن مؤثر و فعال شامل درگیر شدن به صورت کلامی و غیرکلامی در فرآیند گوش دادن برای پاسخ مناسب، درک، ارزیابی و به خاطر سپردن یک پیام است.</w:t>
      </w:r>
    </w:p>
    <w:p>
      <w:pPr>
        <w:spacing w:after="28" w:line="216" w:lineRule="auto"/>
        <w:ind w:left="259"/>
        <w:jc w:val="left"/>
      </w:pPr>
      <w:r>
        <w:rPr>
          <w:rFonts w:ascii="Arial" w:hAnsi="Arial"/>
          <w:color w:val="525252"/>
          <w:sz w:val="13"/>
        </w:rPr>
        <w:t>Effective, active listening involves engaging verbally and nonverbally in the listening process to appropriately respond, comprehend, evaluate, and remember a message.</w:t>
      </w:r>
    </w:p>
    <w:p>
      <w:pPr>
        <w:spacing w:after="20" w:line="223" w:lineRule="auto"/>
        <w:jc w:val="right"/>
        <w:bidi/>
      </w:pPr>
      <w:r>
        <w:rPr>
          <w:rFonts w:ascii="Arial" w:hAnsi="Arial"/>
          <w:sz w:val="16"/>
        </w:rPr>
        <w:t>283.20  گوش دادن مؤثر به ایجاد اعتماد و احترام متقابل کمک می‌کند.</w:t>
      </w:r>
    </w:p>
    <w:p>
      <w:pPr>
        <w:spacing w:after="28" w:line="216" w:lineRule="auto"/>
        <w:ind w:left="259"/>
        <w:jc w:val="left"/>
      </w:pPr>
      <w:r>
        <w:rPr>
          <w:rFonts w:ascii="Arial" w:hAnsi="Arial"/>
          <w:color w:val="525252"/>
          <w:sz w:val="13"/>
        </w:rPr>
        <w:t>Effective listening helps build trust and mutual respect.</w:t>
      </w:r>
    </w:p>
    <w:p>
      <w:pPr>
        <w:spacing w:after="20" w:line="223" w:lineRule="auto"/>
        <w:jc w:val="right"/>
        <w:bidi/>
      </w:pPr>
      <w:r>
        <w:rPr>
          <w:rFonts w:ascii="Arial" w:hAnsi="Arial"/>
          <w:sz w:val="16"/>
        </w:rPr>
        <w:t>283.21  رهبران با مهارت‌های شنیداری خوب اغلب تصمیمات بهتری می‌گیرند.</w:t>
      </w:r>
    </w:p>
    <w:p>
      <w:pPr>
        <w:spacing w:after="28" w:line="216" w:lineRule="auto"/>
        <w:ind w:left="259"/>
        <w:jc w:val="left"/>
      </w:pPr>
      <w:r>
        <w:rPr>
          <w:rFonts w:ascii="Arial" w:hAnsi="Arial"/>
          <w:color w:val="525252"/>
          <w:sz w:val="13"/>
        </w:rPr>
        <w:t>Leaders with good listening skills often make better decisions.</w:t>
      </w:r>
    </w:p>
    <w:p>
      <w:pPr>
        <w:spacing w:after="20" w:line="223" w:lineRule="auto"/>
        <w:jc w:val="right"/>
        <w:bidi/>
      </w:pPr>
      <w:r>
        <w:rPr>
          <w:rFonts w:ascii="Arial" w:hAnsi="Arial"/>
          <w:sz w:val="16"/>
        </w:rPr>
        <w:t>283.22  گوش دادن آموزنده.</w:t>
      </w:r>
    </w:p>
    <w:p>
      <w:pPr>
        <w:spacing w:after="28" w:line="216" w:lineRule="auto"/>
        <w:ind w:left="259"/>
        <w:jc w:val="left"/>
      </w:pPr>
      <w:r>
        <w:rPr>
          <w:rFonts w:ascii="Arial" w:hAnsi="Arial"/>
          <w:color w:val="525252"/>
          <w:sz w:val="13"/>
        </w:rPr>
        <w:t>Informative Listening.</w:t>
      </w:r>
    </w:p>
    <w:p>
      <w:pPr>
        <w:spacing w:after="20" w:line="223" w:lineRule="auto"/>
        <w:jc w:val="right"/>
        <w:bidi/>
      </w:pPr>
      <w:r>
        <w:rPr>
          <w:rFonts w:ascii="Arial" w:hAnsi="Arial"/>
          <w:sz w:val="16"/>
        </w:rPr>
        <w:t>283.23  در گوش دادن آموزنده، دغدغه اصلی شنونده درک اطلاعات دقیقا همانطور که منتقل شده است.</w:t>
      </w:r>
    </w:p>
    <w:p>
      <w:pPr>
        <w:spacing w:after="28" w:line="216" w:lineRule="auto"/>
        <w:ind w:left="259"/>
        <w:jc w:val="left"/>
      </w:pPr>
      <w:r>
        <w:rPr>
          <w:rFonts w:ascii="Arial" w:hAnsi="Arial"/>
          <w:color w:val="525252"/>
          <w:sz w:val="13"/>
        </w:rPr>
        <w:t>In informative listening, the listener’s primary concern is to understand information exactly as transmitted.</w:t>
      </w:r>
    </w:p>
    <w:p>
      <w:pPr>
        <w:spacing w:after="20" w:line="223" w:lineRule="auto"/>
        <w:jc w:val="right"/>
        <w:bidi/>
      </w:pPr>
      <w:r>
        <w:rPr>
          <w:rFonts w:ascii="Arial" w:hAnsi="Arial"/>
          <w:sz w:val="16"/>
        </w:rPr>
        <w:t>283.24  گوش دادن موفق (مؤثر) زمانی اتفاق می‌افتد که شنونده پیام را دقیقا همانطور که فرستنده قصد داشته است بفهمد.</w:t>
      </w:r>
    </w:p>
    <w:p>
      <w:pPr>
        <w:spacing w:after="28" w:line="216" w:lineRule="auto"/>
        <w:ind w:left="259"/>
        <w:jc w:val="left"/>
      </w:pPr>
      <w:r>
        <w:rPr>
          <w:rFonts w:ascii="Arial" w:hAnsi="Arial"/>
          <w:color w:val="525252"/>
          <w:sz w:val="13"/>
        </w:rPr>
        <w:t>Successful (effective) listening occurs when the listener understands the message exactly as the sender intended.</w:t>
      </w:r>
    </w:p>
    <w:p>
      <w:pPr>
        <w:spacing w:after="20" w:line="223" w:lineRule="auto"/>
        <w:jc w:val="right"/>
        <w:bidi/>
      </w:pPr>
      <w:r>
        <w:rPr>
          <w:rFonts w:ascii="Arial" w:hAnsi="Arial"/>
          <w:sz w:val="16"/>
        </w:rPr>
        <w:t>283.25  پیشنهاداتی برای بهبود گوش دادن آموزنده عبارتند از: ذهنی باز و کنار گذاشتن سوگیری، گوش دادن به گونه‌ای که گویی مجبور به آموزش آن هستید، یادداشت برداری برای کمک به یادآوری نکات اصلی، پرسیدن سؤالاتی برای شفاف‌سازی یا تأیید درک خود از پیام، و استفاده حداکثری از زمان با تکرار ذهنی پیام و جذب اطلاعات به گونه‌ای که برای شما قابل استفاده‌تر و کاربردی‌تر می‌شود.</w:t>
      </w:r>
    </w:p>
    <w:p>
      <w:pPr>
        <w:spacing w:after="28" w:line="216" w:lineRule="auto"/>
        <w:ind w:left="259"/>
        <w:jc w:val="left"/>
      </w:pPr>
      <w:r>
        <w:rPr>
          <w:rFonts w:ascii="Arial" w:hAnsi="Arial"/>
          <w:color w:val="525252"/>
          <w:sz w:val="13"/>
        </w:rPr>
        <w:t>Suggestions for improving informative listening are to keep an open mind and set aside bias, listen as if you had to teach it, take notes to help recall the main points, ask questions to clarify or confirm your understanding of the message, and maximize the use of the time by mentally repeating the message and absorbing the information in a way that makes the information more pertinent and applicable to you.</w:t>
      </w:r>
    </w:p>
    <w:p>
      <w:pPr>
        <w:spacing w:after="20" w:line="223" w:lineRule="auto"/>
        <w:jc w:val="right"/>
        <w:bidi/>
      </w:pPr>
      <w:r>
        <w:rPr>
          <w:rFonts w:ascii="Arial" w:hAnsi="Arial"/>
          <w:sz w:val="16"/>
        </w:rPr>
        <w:t>283.26  گوش دادن انتقادی.</w:t>
      </w:r>
    </w:p>
    <w:p>
      <w:pPr>
        <w:spacing w:after="28" w:line="216" w:lineRule="auto"/>
        <w:ind w:left="259"/>
        <w:jc w:val="left"/>
      </w:pPr>
      <w:r>
        <w:rPr>
          <w:rFonts w:ascii="Arial" w:hAnsi="Arial"/>
          <w:color w:val="525252"/>
          <w:sz w:val="13"/>
        </w:rPr>
        <w:t>Critical Listening.</w:t>
      </w:r>
    </w:p>
    <w:p>
      <w:pPr>
        <w:spacing w:after="20" w:line="223" w:lineRule="auto"/>
        <w:jc w:val="right"/>
        <w:bidi/>
      </w:pPr>
      <w:r>
        <w:rPr>
          <w:rFonts w:ascii="Arial" w:hAnsi="Arial"/>
          <w:sz w:val="16"/>
        </w:rPr>
        <w:t>283.27  گوش دادن انتقادی معمولا به‌عنوان مجموع گوش دادن آگاهانه و تفکر انتقادی در نظر گرفته می‌شود زیرا شنونده به‌طور فعال پیامی را که گوینده ارسال می‌کند تجزیه و تحلیل و ارزیابی می‌کند.</w:t>
      </w:r>
    </w:p>
    <w:p>
      <w:pPr>
        <w:spacing w:after="28" w:line="216" w:lineRule="auto"/>
        <w:ind w:left="259"/>
        <w:jc w:val="left"/>
      </w:pPr>
      <w:r>
        <w:rPr>
          <w:rFonts w:ascii="Arial" w:hAnsi="Arial"/>
          <w:color w:val="525252"/>
          <w:sz w:val="13"/>
        </w:rPr>
        <w:t>Critical listening is usually thought of as the sum of informative listening and critical thinking because the listener is actively analyzing and evaluating the message the speaker is sending.</w:t>
      </w:r>
    </w:p>
    <w:p>
      <w:pPr>
        <w:spacing w:after="20" w:line="223" w:lineRule="auto"/>
        <w:jc w:val="right"/>
        <w:bidi/>
      </w:pPr>
      <w:r>
        <w:rPr>
          <w:rFonts w:ascii="Arial" w:hAnsi="Arial"/>
          <w:sz w:val="16"/>
        </w:rPr>
        <w:t>283.28  هنگام جستجوی ورودی برای تصمیم، ارزیابی کار یا قابلیت‌های زیردستان، یا انجام تحقیق، گوش دادن انتقادی مناسب است.</w:t>
      </w:r>
    </w:p>
    <w:p>
      <w:pPr>
        <w:spacing w:after="28" w:line="216" w:lineRule="auto"/>
        <w:ind w:left="259"/>
        <w:jc w:val="left"/>
      </w:pPr>
      <w:r>
        <w:rPr>
          <w:rFonts w:ascii="Arial" w:hAnsi="Arial"/>
          <w:color w:val="525252"/>
          <w:sz w:val="13"/>
        </w:rPr>
        <w:t>Critical listening is appropriate when seeking input to a decision, evaluating work or a subordinate’s capabilities, or conducting research.</w:t>
      </w:r>
    </w:p>
    <w:p>
      <w:pPr>
        <w:spacing w:after="20" w:line="223" w:lineRule="auto"/>
        <w:jc w:val="right"/>
        <w:bidi/>
      </w:pPr>
      <w:r>
        <w:rPr>
          <w:rFonts w:ascii="Arial" w:hAnsi="Arial"/>
          <w:sz w:val="16"/>
        </w:rPr>
        <w:t>283.29  پیشنهادهایی برای بهبود گوش دادن انتقادی این است که به گونه‌ای گوش کنید که گویی باید آن را درجه‌بندی کنید، برای کمک به یادآوری نکات اصلی یادداشت برداری کنید، برای ارزیابی محتوای فکری پیام سؤال بپرسید، و با درک پیام و سپس ارزیابی اطلاعات، از زمان استفاده حداکثری کنید.</w:t>
      </w:r>
    </w:p>
    <w:p>
      <w:pPr>
        <w:spacing w:after="28" w:line="216" w:lineRule="auto"/>
        <w:ind w:left="259"/>
        <w:jc w:val="left"/>
      </w:pPr>
      <w:r>
        <w:rPr>
          <w:rFonts w:ascii="Arial" w:hAnsi="Arial"/>
          <w:color w:val="525252"/>
          <w:sz w:val="13"/>
        </w:rPr>
        <w:t>Suggestions for improving critical listening are to listen as if you had to grade it, take notes to help recall the main points, ask questions to evaluate the intellectual content of the message, and maximize the use of the time by first understanding the message and then evaluating the information.</w:t>
      </w:r>
    </w:p>
    <w:p>
      <w:pPr>
        <w:spacing w:after="20" w:line="223" w:lineRule="auto"/>
        <w:jc w:val="right"/>
        <w:bidi/>
      </w:pPr>
      <w:r>
        <w:rPr>
          <w:rFonts w:ascii="Arial" w:hAnsi="Arial"/>
          <w:sz w:val="16"/>
        </w:rPr>
        <w:t>283.30  گوش دادن همدلانه.</w:t>
      </w:r>
    </w:p>
    <w:p>
      <w:pPr>
        <w:spacing w:after="28" w:line="216" w:lineRule="auto"/>
        <w:ind w:left="259"/>
        <w:jc w:val="left"/>
      </w:pPr>
      <w:r>
        <w:rPr>
          <w:rFonts w:ascii="Arial" w:hAnsi="Arial"/>
          <w:color w:val="525252"/>
          <w:sz w:val="13"/>
        </w:rPr>
        <w:t>Empathic Listening.</w:t>
      </w:r>
    </w:p>
    <w:p>
      <w:pPr>
        <w:spacing w:after="20" w:line="223" w:lineRule="auto"/>
        <w:jc w:val="right"/>
        <w:bidi/>
      </w:pPr>
      <w:r>
        <w:rPr>
          <w:rFonts w:ascii="Arial" w:hAnsi="Arial"/>
          <w:sz w:val="16"/>
        </w:rPr>
        <w:t>283.31  گوش دادن همدلانه اغلب زمانی مفید است که ارتباط احساسی باشد یا زمانی که رابطه بین گوینده و شنونده به اندازه پیام مهم است.</w:t>
      </w:r>
    </w:p>
    <w:p>
      <w:pPr>
        <w:spacing w:after="28" w:line="216" w:lineRule="auto"/>
        <w:ind w:left="259"/>
        <w:jc w:val="left"/>
      </w:pPr>
      <w:r>
        <w:rPr>
          <w:rFonts w:ascii="Arial" w:hAnsi="Arial"/>
          <w:color w:val="525252"/>
          <w:sz w:val="13"/>
        </w:rPr>
        <w:t>Empathic listening is often useful when communication is emotional or when the relationship between speaker and listener is just as important as the message.</w:t>
      </w:r>
    </w:p>
    <w:p>
      <w:pPr>
        <w:spacing w:after="20" w:line="223" w:lineRule="auto"/>
        <w:jc w:val="right"/>
        <w:bidi/>
      </w:pPr>
      <w:r>
        <w:rPr>
          <w:rFonts w:ascii="Arial" w:hAnsi="Arial"/>
          <w:sz w:val="16"/>
        </w:rPr>
        <w:t>283.32  از این نوع گوش دادن به‌عنوان پیش نیاز گوش دادن اطلاعاتی یا انتقادی استفاده کنید.</w:t>
      </w:r>
    </w:p>
    <w:p>
      <w:pPr>
        <w:spacing w:after="28" w:line="216" w:lineRule="auto"/>
        <w:ind w:left="259"/>
        <w:jc w:val="left"/>
      </w:pPr>
      <w:r>
        <w:rPr>
          <w:rFonts w:ascii="Arial" w:hAnsi="Arial"/>
          <w:color w:val="525252"/>
          <w:sz w:val="13"/>
        </w:rPr>
        <w:t>Use this type of listening as somewhat of a prerequisite to informational or critical listening.</w:t>
      </w:r>
    </w:p>
    <w:p>
      <w:pPr>
        <w:spacing w:after="20" w:line="223" w:lineRule="auto"/>
        <w:jc w:val="right"/>
        <w:bidi/>
      </w:pPr>
      <w:r>
        <w:rPr>
          <w:rFonts w:ascii="Arial" w:hAnsi="Arial"/>
          <w:sz w:val="16"/>
        </w:rPr>
        <w:t>283.33  گوش دادن همدلانه اغلب در طول جلسات مشاوره و مشاوره مناسب است و هنگام برقراری ارتباط با اعضای خانواده بسیار مفید است.</w:t>
      </w:r>
    </w:p>
    <w:p>
      <w:pPr>
        <w:spacing w:after="28" w:line="216" w:lineRule="auto"/>
        <w:ind w:left="259"/>
        <w:jc w:val="left"/>
      </w:pPr>
      <w:r>
        <w:rPr>
          <w:rFonts w:ascii="Arial" w:hAnsi="Arial"/>
          <w:color w:val="525252"/>
          <w:sz w:val="13"/>
        </w:rPr>
        <w:t>Empathic listening is often appropriate during mentoring and counseling sessions and is very helpful when communicating with family members.</w:t>
      </w:r>
    </w:p>
    <w:p>
      <w:r>
        <w:br w:type="page"/>
      </w:r>
    </w:p>
    <w:p>
      <w:pPr>
        <w:spacing w:after="60"/>
        <w:jc w:val="right"/>
        <w:bidi/>
      </w:pPr>
      <w:r>
        <w:rPr>
          <w:rFonts w:ascii="Arial" w:hAnsi="Arial"/>
          <w:b/>
          <w:color w:val="1F4D78"/>
          <w:sz w:val="19"/>
        </w:rPr>
        <w:t>هفتهٔ 284  |  صفحهٔ منبع: 300</w:t>
      </w:r>
    </w:p>
    <w:p>
      <w:pPr>
        <w:spacing w:before="60" w:after="28"/>
        <w:jc w:val="right"/>
        <w:bidi/>
      </w:pPr>
      <w:r>
        <w:rPr>
          <w:b/>
          <w:color w:val="1F4D78"/>
          <w:sz w:val="18"/>
        </w:rPr>
        <w:t>بخش 15F- پیام‌رسانی الکترونیکی</w:t>
      </w:r>
    </w:p>
    <w:p>
      <w:pPr>
        <w:spacing w:after="20"/>
        <w:ind w:left="259"/>
        <w:jc w:val="left"/>
      </w:pPr>
      <w:r>
        <w:rPr>
          <w:color w:val="555555"/>
          <w:sz w:val="12"/>
        </w:rPr>
        <w:t>Section 15F—Electronic Messaging</w:t>
      </w:r>
    </w:p>
    <w:p>
      <w:pPr>
        <w:spacing w:before="60" w:after="28"/>
        <w:jc w:val="right"/>
        <w:bidi/>
      </w:pPr>
      <w:r>
        <w:rPr>
          <w:b/>
          <w:color w:val="1F4D78"/>
          <w:sz w:val="18"/>
        </w:rPr>
        <w:t>15.32. آداب پست الکترونیکی</w:t>
      </w:r>
    </w:p>
    <w:p>
      <w:pPr>
        <w:spacing w:after="20"/>
        <w:ind w:left="259"/>
        <w:jc w:val="left"/>
      </w:pPr>
      <w:r>
        <w:rPr>
          <w:color w:val="555555"/>
          <w:sz w:val="12"/>
        </w:rPr>
        <w:t>15.32. E-mail Etiquette</w:t>
      </w:r>
    </w:p>
    <w:p>
      <w:pPr>
        <w:spacing w:after="20" w:line="223" w:lineRule="auto"/>
        <w:jc w:val="right"/>
        <w:bidi/>
      </w:pPr>
      <w:r>
        <w:rPr>
          <w:rFonts w:ascii="Arial" w:hAnsi="Arial"/>
          <w:sz w:val="16"/>
        </w:rPr>
        <w:t>284.03  ایمیل به‌عنوان انتقال الکترونیکی اطلاعات از طریق سیستم‌های پیام رسانی مبتنی بر رایانه تعریف می‌شود.</w:t>
      </w:r>
    </w:p>
    <w:p>
      <w:pPr>
        <w:spacing w:after="28" w:line="216" w:lineRule="auto"/>
        <w:ind w:left="259"/>
        <w:jc w:val="left"/>
      </w:pPr>
      <w:r>
        <w:rPr>
          <w:rFonts w:ascii="Arial" w:hAnsi="Arial"/>
          <w:color w:val="525252"/>
          <w:sz w:val="13"/>
        </w:rPr>
        <w:t>E-mail is defined as the electronic transmission of information over computer-based messaging systems.</w:t>
      </w:r>
    </w:p>
    <w:p>
      <w:pPr>
        <w:spacing w:after="20" w:line="223" w:lineRule="auto"/>
        <w:jc w:val="right"/>
        <w:bidi/>
      </w:pPr>
      <w:r>
        <w:rPr>
          <w:rFonts w:ascii="Arial" w:hAnsi="Arial"/>
          <w:sz w:val="16"/>
        </w:rPr>
        <w:t>284.04  پیشرفت‌های فناوری فرصت‌ها را برای ارتباطات به‌موقع، کارآمدتر و مؤثرتر افزایش داده است که منجر به رشد انفجاری استفاده از ایمیل در سرتاسر USAF شده است.</w:t>
      </w:r>
    </w:p>
    <w:p>
      <w:pPr>
        <w:spacing w:after="28" w:line="216" w:lineRule="auto"/>
        <w:ind w:left="259"/>
        <w:jc w:val="left"/>
      </w:pPr>
      <w:r>
        <w:rPr>
          <w:rFonts w:ascii="Arial" w:hAnsi="Arial"/>
          <w:color w:val="525252"/>
          <w:sz w:val="13"/>
        </w:rPr>
        <w:t>Technological advancements have increased opportunities for more timely, efficient, and effective communications, resulting in the explosive growth of e-mail use throughout the USAF.</w:t>
      </w:r>
    </w:p>
    <w:p>
      <w:pPr>
        <w:spacing w:after="20" w:line="223" w:lineRule="auto"/>
        <w:jc w:val="right"/>
        <w:bidi/>
      </w:pPr>
      <w:r>
        <w:rPr>
          <w:rFonts w:ascii="Arial" w:hAnsi="Arial"/>
          <w:sz w:val="16"/>
        </w:rPr>
        <w:t>284.05  برای حمایت از تعهد به پیام‌رسانی ایمن، USAF دستورالعمل‌هایی را ایجاد کرده است که باید توسط همه اعضای USAF استفاده شود.</w:t>
      </w:r>
    </w:p>
    <w:p>
      <w:pPr>
        <w:spacing w:after="28" w:line="216" w:lineRule="auto"/>
        <w:ind w:left="259"/>
        <w:jc w:val="left"/>
      </w:pPr>
      <w:r>
        <w:rPr>
          <w:rFonts w:ascii="Arial" w:hAnsi="Arial"/>
          <w:color w:val="525252"/>
          <w:sz w:val="13"/>
        </w:rPr>
        <w:t>To uphold a commitment to secure messaging, the USAF has established guidelines to be used by all USAF members.</w:t>
      </w:r>
    </w:p>
    <w:p>
      <w:pPr>
        <w:spacing w:after="20" w:line="223" w:lineRule="auto"/>
        <w:jc w:val="right"/>
        <w:bidi/>
      </w:pPr>
      <w:r>
        <w:rPr>
          <w:rFonts w:ascii="Arial" w:hAnsi="Arial"/>
          <w:sz w:val="16"/>
        </w:rPr>
        <w:t>284.06  قانون ۱: واضح و مختصر باشید.</w:t>
      </w:r>
    </w:p>
    <w:p>
      <w:pPr>
        <w:spacing w:after="28" w:line="216" w:lineRule="auto"/>
        <w:ind w:left="259"/>
        <w:jc w:val="left"/>
      </w:pPr>
      <w:r>
        <w:rPr>
          <w:rFonts w:ascii="Arial" w:hAnsi="Arial"/>
          <w:color w:val="525252"/>
          <w:sz w:val="13"/>
        </w:rPr>
        <w:t>Rule 1: Be Clear and Concise.</w:t>
      </w:r>
    </w:p>
    <w:p>
      <w:pPr>
        <w:spacing w:after="20" w:line="223" w:lineRule="auto"/>
        <w:jc w:val="right"/>
        <w:bidi/>
      </w:pPr>
      <w:r>
        <w:rPr>
          <w:rFonts w:ascii="Arial" w:hAnsi="Arial"/>
          <w:sz w:val="16"/>
        </w:rPr>
        <w:t>284.07  مطمئن شوید که خط موضوع هدف شما را بیان می‌کند.</w:t>
      </w:r>
    </w:p>
    <w:p>
      <w:pPr>
        <w:spacing w:after="28" w:line="216" w:lineRule="auto"/>
        <w:ind w:left="259"/>
        <w:jc w:val="left"/>
      </w:pPr>
      <w:r>
        <w:rPr>
          <w:rFonts w:ascii="Arial" w:hAnsi="Arial"/>
          <w:color w:val="525252"/>
          <w:sz w:val="13"/>
        </w:rPr>
        <w:t>Make sure the subject line communicates your purpose.</w:t>
      </w:r>
    </w:p>
    <w:p>
      <w:pPr>
        <w:spacing w:after="20" w:line="223" w:lineRule="auto"/>
        <w:jc w:val="right"/>
        <w:bidi/>
      </w:pPr>
      <w:r>
        <w:rPr>
          <w:rFonts w:ascii="Arial" w:hAnsi="Arial"/>
          <w:sz w:val="16"/>
        </w:rPr>
        <w:t>284.08  مشخص باشید و از عناوین مبهم بپرهیزید.</w:t>
      </w:r>
    </w:p>
    <w:p>
      <w:pPr>
        <w:spacing w:after="28" w:line="216" w:lineRule="auto"/>
        <w:ind w:left="259"/>
        <w:jc w:val="left"/>
      </w:pPr>
      <w:r>
        <w:rPr>
          <w:rFonts w:ascii="Arial" w:hAnsi="Arial"/>
          <w:color w:val="525252"/>
          <w:sz w:val="13"/>
        </w:rPr>
        <w:t>Be specific and avoid ambiguous titles.</w:t>
      </w:r>
    </w:p>
    <w:p>
      <w:pPr>
        <w:spacing w:after="20" w:line="223" w:lineRule="auto"/>
        <w:jc w:val="right"/>
        <w:bidi/>
      </w:pPr>
      <w:r>
        <w:rPr>
          <w:rFonts w:ascii="Arial" w:hAnsi="Arial"/>
          <w:sz w:val="16"/>
        </w:rPr>
        <w:t>284.09  با مهم‌ترین اطلاعات پیشرو باشید.</w:t>
      </w:r>
    </w:p>
    <w:p>
      <w:pPr>
        <w:spacing w:after="28" w:line="216" w:lineRule="auto"/>
        <w:ind w:left="259"/>
        <w:jc w:val="left"/>
      </w:pPr>
      <w:r>
        <w:rPr>
          <w:rFonts w:ascii="Arial" w:hAnsi="Arial"/>
          <w:color w:val="525252"/>
          <w:sz w:val="13"/>
        </w:rPr>
        <w:t>Lead with the most important information.</w:t>
      </w:r>
    </w:p>
    <w:p>
      <w:pPr>
        <w:spacing w:after="20" w:line="223" w:lineRule="auto"/>
        <w:jc w:val="right"/>
        <w:bidi/>
      </w:pPr>
      <w:r>
        <w:rPr>
          <w:rFonts w:ascii="Arial" w:hAnsi="Arial"/>
          <w:sz w:val="16"/>
        </w:rPr>
        <w:t>284.10  اگر هدف پاسخ دادن به یک سوال است، آن سوال را در بالای صفحه تکرار کنید.</w:t>
      </w:r>
    </w:p>
    <w:p>
      <w:pPr>
        <w:spacing w:after="28" w:line="216" w:lineRule="auto"/>
        <w:ind w:left="259"/>
        <w:jc w:val="left"/>
      </w:pPr>
      <w:r>
        <w:rPr>
          <w:rFonts w:ascii="Arial" w:hAnsi="Arial"/>
          <w:color w:val="525252"/>
          <w:sz w:val="13"/>
        </w:rPr>
        <w:t>If the goal is to answer a question, then reiterate the question at the top of the page.</w:t>
      </w:r>
    </w:p>
    <w:p>
      <w:pPr>
        <w:spacing w:after="20" w:line="223" w:lineRule="auto"/>
        <w:jc w:val="right"/>
        <w:bidi/>
      </w:pPr>
      <w:r>
        <w:rPr>
          <w:rFonts w:ascii="Arial" w:hAnsi="Arial"/>
          <w:sz w:val="16"/>
        </w:rPr>
        <w:t>284.11  اگر ایمیل چند پاراگراف دارد از جملات موضوعی استفاده کنید.</w:t>
      </w:r>
    </w:p>
    <w:p>
      <w:pPr>
        <w:spacing w:after="28" w:line="216" w:lineRule="auto"/>
        <w:ind w:left="259"/>
        <w:jc w:val="left"/>
      </w:pPr>
      <w:r>
        <w:rPr>
          <w:rFonts w:ascii="Arial" w:hAnsi="Arial"/>
          <w:color w:val="525252"/>
          <w:sz w:val="13"/>
        </w:rPr>
        <w:t>Use topic sentences if the e- mail has multiple paragraphs.</w:t>
      </w:r>
    </w:p>
    <w:p>
      <w:pPr>
        <w:spacing w:after="20" w:line="223" w:lineRule="auto"/>
        <w:jc w:val="right"/>
        <w:bidi/>
      </w:pPr>
      <w:r>
        <w:rPr>
          <w:rFonts w:ascii="Arial" w:hAnsi="Arial"/>
          <w:sz w:val="16"/>
        </w:rPr>
        <w:t>284.12  مختصر و دقیق باشید.</w:t>
      </w:r>
    </w:p>
    <w:p>
      <w:pPr>
        <w:spacing w:after="28" w:line="216" w:lineRule="auto"/>
        <w:ind w:left="259"/>
        <w:jc w:val="left"/>
      </w:pPr>
      <w:r>
        <w:rPr>
          <w:rFonts w:ascii="Arial" w:hAnsi="Arial"/>
          <w:color w:val="525252"/>
          <w:sz w:val="13"/>
        </w:rPr>
        <w:t>Be brief and to the point.</w:t>
      </w:r>
    </w:p>
    <w:p>
      <w:pPr>
        <w:spacing w:after="20" w:line="223" w:lineRule="auto"/>
        <w:jc w:val="right"/>
        <w:bidi/>
      </w:pPr>
      <w:r>
        <w:rPr>
          <w:rFonts w:ascii="Arial" w:hAnsi="Arial"/>
          <w:sz w:val="16"/>
        </w:rPr>
        <w:t>284.13  در صورت لزوم برای تاکید بر نکات کلیدی از پررنگ، مورب یا رنگ استفاده کنید.</w:t>
      </w:r>
    </w:p>
    <w:p>
      <w:pPr>
        <w:spacing w:after="28" w:line="216" w:lineRule="auto"/>
        <w:ind w:left="259"/>
        <w:jc w:val="left"/>
      </w:pPr>
      <w:r>
        <w:rPr>
          <w:rFonts w:ascii="Arial" w:hAnsi="Arial"/>
          <w:color w:val="525252"/>
          <w:sz w:val="13"/>
        </w:rPr>
        <w:t>Use bold, italic, or color when necessary to emphasize key points.</w:t>
      </w:r>
    </w:p>
    <w:p>
      <w:pPr>
        <w:spacing w:after="20" w:line="223" w:lineRule="auto"/>
        <w:jc w:val="right"/>
        <w:bidi/>
      </w:pPr>
      <w:r>
        <w:rPr>
          <w:rFonts w:ascii="Arial" w:hAnsi="Arial"/>
          <w:sz w:val="16"/>
        </w:rPr>
        <w:t>284.14  فونت‌های خوانا، ۱۲ نقطه یا بزرگ‌تر را در صورت امکان انتخاب کنید.</w:t>
      </w:r>
    </w:p>
    <w:p>
      <w:pPr>
        <w:spacing w:after="28" w:line="216" w:lineRule="auto"/>
        <w:ind w:left="259"/>
        <w:jc w:val="left"/>
      </w:pPr>
      <w:r>
        <w:rPr>
          <w:rFonts w:ascii="Arial" w:hAnsi="Arial"/>
          <w:color w:val="525252"/>
          <w:sz w:val="13"/>
        </w:rPr>
        <w:t>Choose readable fonts, 12 point or larger when possible.</w:t>
      </w:r>
    </w:p>
    <w:p>
      <w:pPr>
        <w:spacing w:after="20" w:line="223" w:lineRule="auto"/>
        <w:jc w:val="right"/>
        <w:bidi/>
      </w:pPr>
      <w:r>
        <w:rPr>
          <w:rFonts w:ascii="Arial" w:hAnsi="Arial"/>
          <w:sz w:val="16"/>
        </w:rPr>
        <w:t>284.15  قانون ۲: مراقب لحن خود باشید.</w:t>
      </w:r>
    </w:p>
    <w:p>
      <w:pPr>
        <w:spacing w:after="28" w:line="216" w:lineRule="auto"/>
        <w:ind w:left="259"/>
        <w:jc w:val="left"/>
      </w:pPr>
      <w:r>
        <w:rPr>
          <w:rFonts w:ascii="Arial" w:hAnsi="Arial"/>
          <w:color w:val="525252"/>
          <w:sz w:val="13"/>
        </w:rPr>
        <w:t>Rule 2: Watch Your Tone.</w:t>
      </w:r>
    </w:p>
    <w:p>
      <w:pPr>
        <w:spacing w:after="20" w:line="223" w:lineRule="auto"/>
        <w:jc w:val="right"/>
        <w:bidi/>
      </w:pPr>
      <w:r>
        <w:rPr>
          <w:rFonts w:ascii="Arial" w:hAnsi="Arial"/>
          <w:sz w:val="16"/>
        </w:rPr>
        <w:t>284.16  مودب باشید.</w:t>
      </w:r>
    </w:p>
    <w:p>
      <w:pPr>
        <w:spacing w:after="28" w:line="216" w:lineRule="auto"/>
        <w:ind w:left="259"/>
        <w:jc w:val="left"/>
      </w:pPr>
      <w:r>
        <w:rPr>
          <w:rFonts w:ascii="Arial" w:hAnsi="Arial"/>
          <w:color w:val="525252"/>
          <w:sz w:val="13"/>
        </w:rPr>
        <w:t>Be polite.</w:t>
      </w:r>
    </w:p>
    <w:p>
      <w:pPr>
        <w:spacing w:after="20" w:line="223" w:lineRule="auto"/>
        <w:jc w:val="right"/>
        <w:bidi/>
      </w:pPr>
      <w:r>
        <w:rPr>
          <w:rFonts w:ascii="Arial" w:hAnsi="Arial"/>
          <w:sz w:val="16"/>
        </w:rPr>
        <w:t>284.17  پیام را به‌عنوان یک مکالمه شخصی در نظر بگیرید.</w:t>
      </w:r>
    </w:p>
    <w:p>
      <w:pPr>
        <w:spacing w:after="28" w:line="216" w:lineRule="auto"/>
        <w:ind w:left="259"/>
        <w:jc w:val="left"/>
      </w:pPr>
      <w:r>
        <w:rPr>
          <w:rFonts w:ascii="Arial" w:hAnsi="Arial"/>
          <w:color w:val="525252"/>
          <w:sz w:val="13"/>
        </w:rPr>
        <w:t>Think of the message as a personal conversation.</w:t>
      </w:r>
    </w:p>
    <w:p>
      <w:pPr>
        <w:spacing w:after="20" w:line="223" w:lineRule="auto"/>
        <w:jc w:val="right"/>
        <w:bidi/>
      </w:pPr>
      <w:r>
        <w:rPr>
          <w:rFonts w:ascii="Arial" w:hAnsi="Arial"/>
          <w:sz w:val="16"/>
        </w:rPr>
        <w:t>284.18  مراقب شوخ طبعی، کنایه و کنایه باشید.</w:t>
      </w:r>
    </w:p>
    <w:p>
      <w:pPr>
        <w:spacing w:after="28" w:line="216" w:lineRule="auto"/>
        <w:ind w:left="259"/>
        <w:jc w:val="left"/>
      </w:pPr>
      <w:r>
        <w:rPr>
          <w:rFonts w:ascii="Arial" w:hAnsi="Arial"/>
          <w:color w:val="525252"/>
          <w:sz w:val="13"/>
        </w:rPr>
        <w:t>Be careful with humor, irony, and sarcasm.</w:t>
      </w:r>
    </w:p>
    <w:p>
      <w:pPr>
        <w:spacing w:after="20" w:line="223" w:lineRule="auto"/>
        <w:jc w:val="right"/>
        <w:bidi/>
      </w:pPr>
      <w:r>
        <w:rPr>
          <w:rFonts w:ascii="Arial" w:hAnsi="Arial"/>
          <w:sz w:val="16"/>
        </w:rPr>
        <w:t>284.19  پست‌های الکترونیکی بسیار خشن‌تر از آنچه در نظر گرفته شده است درک می‌شوند، عمدتا به این دلیل که گیرنده نمی‌تواند زبان بدن فرستنده را ببیند، لحن صدا را بشنود، یا هر نشانه غیرکلامی دیگری را که می‌تواند به تفسیر هدف ارتباط کمک کند، مشاهده کند.</w:t>
      </w:r>
    </w:p>
    <w:p>
      <w:pPr>
        <w:spacing w:after="28" w:line="216" w:lineRule="auto"/>
        <w:ind w:left="259"/>
        <w:jc w:val="left"/>
      </w:pPr>
      <w:r>
        <w:rPr>
          <w:rFonts w:ascii="Arial" w:hAnsi="Arial"/>
          <w:color w:val="525252"/>
          <w:sz w:val="13"/>
        </w:rPr>
        <w:t>Electronic postings are perceived much more harshly than they are intended, mainly because the receiver cannot see the sender’s body language, hear the tone of voice, or observe any other nonverbal cues that could help interpret the intent of the communication.</w:t>
      </w:r>
    </w:p>
    <w:p>
      <w:pPr>
        <w:spacing w:after="20" w:line="223" w:lineRule="auto"/>
        <w:jc w:val="right"/>
        <w:bidi/>
      </w:pPr>
      <w:r>
        <w:rPr>
          <w:rFonts w:ascii="Arial" w:hAnsi="Arial"/>
          <w:sz w:val="16"/>
        </w:rPr>
        <w:t>284.20  با تمام حروف بزرگ ننویسید - این معادل فریاد زدن ایمیل است و بی ادبی محسوب می‌شود.</w:t>
      </w:r>
    </w:p>
    <w:p>
      <w:pPr>
        <w:spacing w:after="28" w:line="216" w:lineRule="auto"/>
        <w:ind w:left="259"/>
        <w:jc w:val="left"/>
      </w:pPr>
      <w:r>
        <w:rPr>
          <w:rFonts w:ascii="Arial" w:hAnsi="Arial"/>
          <w:color w:val="525252"/>
          <w:sz w:val="13"/>
        </w:rPr>
        <w:t>Do not write using all CAPITAL letters—this is the e-mail equivalent of shouting and is considered rude.</w:t>
      </w:r>
    </w:p>
    <w:p>
      <w:pPr>
        <w:spacing w:after="20" w:line="223" w:lineRule="auto"/>
        <w:jc w:val="right"/>
        <w:bidi/>
      </w:pPr>
      <w:r>
        <w:rPr>
          <w:rFonts w:ascii="Arial" w:hAnsi="Arial"/>
          <w:sz w:val="16"/>
        </w:rPr>
        <w:t>284.21  ایمیل را تمیز و حرفه‌ای نگه دارید.</w:t>
      </w:r>
    </w:p>
    <w:p>
      <w:pPr>
        <w:spacing w:after="28" w:line="216" w:lineRule="auto"/>
        <w:ind w:left="259"/>
        <w:jc w:val="left"/>
      </w:pPr>
      <w:r>
        <w:rPr>
          <w:rFonts w:ascii="Arial" w:hAnsi="Arial"/>
          <w:color w:val="525252"/>
          <w:sz w:val="13"/>
        </w:rPr>
        <w:t>Keep the e-mail clean and professional.</w:t>
      </w:r>
    </w:p>
    <w:p>
      <w:pPr>
        <w:spacing w:after="20" w:line="223" w:lineRule="auto"/>
        <w:jc w:val="right"/>
        <w:bidi/>
      </w:pPr>
      <w:r>
        <w:rPr>
          <w:rFonts w:ascii="Arial" w:hAnsi="Arial"/>
          <w:sz w:val="16"/>
        </w:rPr>
        <w:t>284.22  ایمیل به راحتی فوروارد می‌شود.</w:t>
      </w:r>
    </w:p>
    <w:p>
      <w:pPr>
        <w:spacing w:after="28" w:line="216" w:lineRule="auto"/>
        <w:ind w:left="259"/>
        <w:jc w:val="left"/>
      </w:pPr>
      <w:r>
        <w:rPr>
          <w:rFonts w:ascii="Arial" w:hAnsi="Arial"/>
          <w:color w:val="525252"/>
          <w:sz w:val="13"/>
        </w:rPr>
        <w:t>E-mail is easily forwarded.</w:t>
      </w:r>
    </w:p>
    <w:p>
      <w:pPr>
        <w:spacing w:after="20" w:line="223" w:lineRule="auto"/>
        <w:jc w:val="right"/>
        <w:bidi/>
      </w:pPr>
      <w:r>
        <w:rPr>
          <w:rFonts w:ascii="Arial" w:hAnsi="Arial"/>
          <w:sz w:val="16"/>
        </w:rPr>
        <w:t>284.23  مطالب آزاردهنده، ارعاب‌کننده، توهین‌آمیز یا توهین‌آمیز غیرقابل قبول است.</w:t>
      </w:r>
    </w:p>
    <w:p>
      <w:pPr>
        <w:spacing w:after="28" w:line="216" w:lineRule="auto"/>
        <w:ind w:left="259"/>
        <w:jc w:val="left"/>
      </w:pPr>
      <w:r>
        <w:rPr>
          <w:rFonts w:ascii="Arial" w:hAnsi="Arial"/>
          <w:color w:val="525252"/>
          <w:sz w:val="13"/>
        </w:rPr>
        <w:t>Harassing, intimidating, abusive, or offensive material is unacceptable.</w:t>
      </w:r>
    </w:p>
    <w:p>
      <w:pPr>
        <w:spacing w:after="20" w:line="223" w:lineRule="auto"/>
        <w:jc w:val="right"/>
        <w:bidi/>
      </w:pPr>
      <w:r>
        <w:rPr>
          <w:rFonts w:ascii="Arial" w:hAnsi="Arial"/>
          <w:sz w:val="16"/>
        </w:rPr>
        <w:t>284.24  قانون ۳: در مورد پیامی که ارسال می‌کنید انتخابی باشید.</w:t>
      </w:r>
    </w:p>
    <w:p>
      <w:pPr>
        <w:spacing w:after="28" w:line="216" w:lineRule="auto"/>
        <w:ind w:left="259"/>
        <w:jc w:val="left"/>
      </w:pPr>
      <w:r>
        <w:rPr>
          <w:rFonts w:ascii="Arial" w:hAnsi="Arial"/>
          <w:color w:val="525252"/>
          <w:sz w:val="13"/>
        </w:rPr>
        <w:t>Rule 3: Be Selective About What Message You Send.</w:t>
      </w:r>
    </w:p>
    <w:p>
      <w:pPr>
        <w:spacing w:after="20" w:line="223" w:lineRule="auto"/>
        <w:jc w:val="right"/>
        <w:bidi/>
      </w:pPr>
      <w:r>
        <w:rPr>
          <w:rFonts w:ascii="Arial" w:hAnsi="Arial"/>
          <w:sz w:val="16"/>
        </w:rPr>
        <w:t>284.25  درباره اطلاعات بحث‌برانگیز، حساس، طبقه‌بندی‌شده، شخصی، قانون حفظ حریم خصوصی، یا اطلاعات طبقه‌بندی‌نشده کنترل‌شده که نیاز به رسیدگی خاصی دارد بحث نکنید.</w:t>
      </w:r>
    </w:p>
    <w:p>
      <w:pPr>
        <w:spacing w:after="28" w:line="216" w:lineRule="auto"/>
        <w:ind w:left="259"/>
        <w:jc w:val="left"/>
      </w:pPr>
      <w:r>
        <w:rPr>
          <w:rFonts w:ascii="Arial" w:hAnsi="Arial"/>
          <w:color w:val="525252"/>
          <w:sz w:val="13"/>
        </w:rPr>
        <w:t>Do not discuss controversial, sensitive, classified, personal, Privacy Act, or controlled unclassified information that requires special handling.</w:t>
      </w:r>
    </w:p>
    <w:p>
      <w:pPr>
        <w:spacing w:after="20" w:line="223" w:lineRule="auto"/>
        <w:jc w:val="right"/>
        <w:bidi/>
      </w:pPr>
      <w:r>
        <w:rPr>
          <w:rFonts w:ascii="Arial" w:hAnsi="Arial"/>
          <w:sz w:val="16"/>
        </w:rPr>
        <w:t>284.26  به یاد داشته باشید که امنیت عملیات، حتی اطلاعات طبقه بندی نشده، زمانی که با اطلاعات دیگر همراه شوند، می‌توانند در صورت در دست داشتن دست اشتباه، مشکلاتی ایجاد کنند.</w:t>
      </w:r>
    </w:p>
    <w:p>
      <w:pPr>
        <w:spacing w:after="28" w:line="216" w:lineRule="auto"/>
        <w:ind w:left="259"/>
        <w:jc w:val="left"/>
      </w:pPr>
      <w:r>
        <w:rPr>
          <w:rFonts w:ascii="Arial" w:hAnsi="Arial"/>
          <w:color w:val="525252"/>
          <w:sz w:val="13"/>
        </w:rPr>
        <w:t>Remember operations security, even unclassified information, when brought together with other information, can create problems when in the wrong hands.</w:t>
      </w:r>
    </w:p>
    <w:p>
      <w:pPr>
        <w:spacing w:after="20" w:line="223" w:lineRule="auto"/>
        <w:jc w:val="right"/>
        <w:bidi/>
      </w:pPr>
      <w:r>
        <w:rPr>
          <w:rFonts w:ascii="Arial" w:hAnsi="Arial"/>
          <w:sz w:val="16"/>
        </w:rPr>
        <w:t>284.27  از ایجاد یا ارسال نامه‌های ناخواسته، ایجاد یا ارسال نامه‌های زنجیره‌ای و استفاده از ایمیل برای تبلیغات شخصی خودداری کنید.</w:t>
      </w:r>
    </w:p>
    <w:p>
      <w:pPr>
        <w:spacing w:after="28" w:line="216" w:lineRule="auto"/>
        <w:ind w:left="259"/>
        <w:jc w:val="left"/>
      </w:pPr>
      <w:r>
        <w:rPr>
          <w:rFonts w:ascii="Arial" w:hAnsi="Arial"/>
          <w:color w:val="525252"/>
          <w:sz w:val="13"/>
        </w:rPr>
        <w:t>Do not create or forward junk mail, do not create or send chain letters, and do not use e-mail for personal ads.</w:t>
      </w:r>
    </w:p>
    <w:p>
      <w:pPr>
        <w:spacing w:after="20" w:line="223" w:lineRule="auto"/>
        <w:jc w:val="right"/>
        <w:bidi/>
      </w:pPr>
      <w:r>
        <w:rPr>
          <w:rFonts w:ascii="Arial" w:hAnsi="Arial"/>
          <w:sz w:val="16"/>
        </w:rPr>
        <w:t>284.28  قانون ۴: در مورد اینکه چه کسی پیام شما را دریافت می‌کند، انتخابی باشید.</w:t>
      </w:r>
    </w:p>
    <w:p>
      <w:pPr>
        <w:spacing w:after="28" w:line="216" w:lineRule="auto"/>
        <w:ind w:left="259"/>
        <w:jc w:val="left"/>
      </w:pPr>
      <w:r>
        <w:rPr>
          <w:rFonts w:ascii="Arial" w:hAnsi="Arial"/>
          <w:color w:val="525252"/>
          <w:sz w:val="13"/>
        </w:rPr>
        <w:t>Rule 4: Be Selective About Who Gets Your Message.</w:t>
      </w:r>
    </w:p>
    <w:p>
      <w:pPr>
        <w:spacing w:after="20" w:line="223" w:lineRule="auto"/>
        <w:jc w:val="right"/>
        <w:bidi/>
      </w:pPr>
      <w:r>
        <w:rPr>
          <w:rFonts w:ascii="Arial" w:hAnsi="Arial"/>
          <w:sz w:val="16"/>
        </w:rPr>
        <w:t>284.29  به مخاطبین خاص پاسخ دهید تا به کسانی که علاقه ندارند استراحت بدهند، به عبارت دیگر، فقط از "پاسخ به همه" به مقدار کم استفاده کنید.</w:t>
      </w:r>
    </w:p>
    <w:p>
      <w:pPr>
        <w:spacing w:after="28" w:line="216" w:lineRule="auto"/>
        <w:ind w:left="259"/>
        <w:jc w:val="left"/>
      </w:pPr>
      <w:r>
        <w:rPr>
          <w:rFonts w:ascii="Arial" w:hAnsi="Arial"/>
          <w:color w:val="525252"/>
          <w:sz w:val="13"/>
        </w:rPr>
        <w:t>Reply to specific addressees to give those not interested a break, in other words, only use “reply all” sparingly.</w:t>
      </w:r>
    </w:p>
    <w:p>
      <w:pPr>
        <w:spacing w:after="20" w:line="223" w:lineRule="auto"/>
        <w:jc w:val="right"/>
        <w:bidi/>
      </w:pPr>
      <w:r>
        <w:rPr>
          <w:rFonts w:ascii="Arial" w:hAnsi="Arial"/>
          <w:sz w:val="16"/>
        </w:rPr>
        <w:t>284.30  قبل از استفاده از گروه‌های ایمیل بزرگ مجوز دریافت کنید.</w:t>
      </w:r>
    </w:p>
    <w:p>
      <w:pPr>
        <w:spacing w:after="28" w:line="216" w:lineRule="auto"/>
        <w:ind w:left="259"/>
        <w:jc w:val="left"/>
      </w:pPr>
      <w:r>
        <w:rPr>
          <w:rFonts w:ascii="Arial" w:hAnsi="Arial"/>
          <w:color w:val="525252"/>
          <w:sz w:val="13"/>
        </w:rPr>
        <w:t>Get permission before using large mail groups.</w:t>
      </w:r>
    </w:p>
    <w:p>
      <w:pPr>
        <w:spacing w:after="20" w:line="223" w:lineRule="auto"/>
        <w:jc w:val="right"/>
        <w:bidi/>
      </w:pPr>
      <w:r>
        <w:rPr>
          <w:rFonts w:ascii="Arial" w:hAnsi="Arial"/>
          <w:sz w:val="16"/>
        </w:rPr>
        <w:t>284.31  قبل از ارسال پست، آدرس را دوبار بررسی کنید، به خصوص هنگام انتخاب از یک لیست جهانی که بسیاری از افراد نام خانوادگی مشابهی دارند.</w:t>
      </w:r>
    </w:p>
    <w:p>
      <w:pPr>
        <w:spacing w:after="28" w:line="216" w:lineRule="auto"/>
        <w:ind w:left="259"/>
        <w:jc w:val="left"/>
      </w:pPr>
      <w:r>
        <w:rPr>
          <w:rFonts w:ascii="Arial" w:hAnsi="Arial"/>
          <w:color w:val="525252"/>
          <w:sz w:val="13"/>
        </w:rPr>
        <w:t>Double-check the address before mailing, especially when selecting from a global list where many people have similar last names.</w:t>
      </w:r>
    </w:p>
    <w:p>
      <w:pPr>
        <w:spacing w:after="20" w:line="223" w:lineRule="auto"/>
        <w:jc w:val="right"/>
        <w:bidi/>
      </w:pPr>
      <w:r>
        <w:rPr>
          <w:rFonts w:ascii="Arial" w:hAnsi="Arial"/>
          <w:sz w:val="16"/>
        </w:rPr>
        <w:t>284.32  قانون ۵: پیوست‌ها و مواد پشتیبانی خود را بررسی کنید.</w:t>
      </w:r>
    </w:p>
    <w:p>
      <w:pPr>
        <w:spacing w:after="28" w:line="216" w:lineRule="auto"/>
        <w:ind w:left="259"/>
        <w:jc w:val="left"/>
      </w:pPr>
      <w:r>
        <w:rPr>
          <w:rFonts w:ascii="Arial" w:hAnsi="Arial"/>
          <w:color w:val="525252"/>
          <w:sz w:val="13"/>
        </w:rPr>
        <w:t>Rule 5: Check Your Attachments and Support Material.</w:t>
      </w:r>
    </w:p>
    <w:p>
      <w:pPr>
        <w:spacing w:after="20" w:line="223" w:lineRule="auto"/>
        <w:jc w:val="right"/>
        <w:bidi/>
      </w:pPr>
      <w:r>
        <w:rPr>
          <w:rFonts w:ascii="Arial" w:hAnsi="Arial"/>
          <w:sz w:val="16"/>
        </w:rPr>
        <w:t>284.33  مطمئن شوید که تمام اطلاعات همانطور که در پیام شما در نظر گرفته شده است ارائه شده است تا مجبور به ارسال ایمیل بعدی نباشید.</w:t>
      </w:r>
    </w:p>
    <w:p>
      <w:pPr>
        <w:spacing w:after="28" w:line="216" w:lineRule="auto"/>
        <w:ind w:left="259"/>
        <w:jc w:val="left"/>
      </w:pPr>
      <w:r>
        <w:rPr>
          <w:rFonts w:ascii="Arial" w:hAnsi="Arial"/>
          <w:color w:val="525252"/>
          <w:sz w:val="13"/>
        </w:rPr>
        <w:t>Ensure all information is provided as intended in your message to keep from having to send a follow-up e-mail.</w:t>
      </w:r>
    </w:p>
    <w:p>
      <w:pPr>
        <w:spacing w:after="20" w:line="223" w:lineRule="auto"/>
        <w:jc w:val="right"/>
        <w:bidi/>
      </w:pPr>
      <w:r>
        <w:rPr>
          <w:rFonts w:ascii="Arial" w:hAnsi="Arial"/>
          <w:sz w:val="16"/>
        </w:rPr>
        <w:t>284.34  قبل از ارسال، مطمئن شوید که پیوست‌ها را پیوست کرده‌اید. این یک اشتباه بسیار رایج است.</w:t>
      </w:r>
    </w:p>
    <w:p>
      <w:pPr>
        <w:spacing w:after="28" w:line="216" w:lineRule="auto"/>
        <w:ind w:left="259"/>
        <w:jc w:val="left"/>
      </w:pPr>
      <w:r>
        <w:rPr>
          <w:rFonts w:ascii="Arial" w:hAnsi="Arial"/>
          <w:color w:val="525252"/>
          <w:sz w:val="13"/>
        </w:rPr>
        <w:t>Before sending, ensure you have attached the attachments; this is a very common mistake.</w:t>
      </w:r>
    </w:p>
    <w:p>
      <w:pPr>
        <w:spacing w:after="20" w:line="223" w:lineRule="auto"/>
        <w:jc w:val="right"/>
        <w:bidi/>
      </w:pPr>
      <w:r>
        <w:rPr>
          <w:rFonts w:ascii="Arial" w:hAnsi="Arial"/>
          <w:sz w:val="16"/>
        </w:rPr>
        <w:t>284.35  در صورت لزوم، همه نقل قول‌ها، منابع، و منابع را که طبق قراردادهای حق چاپ و مجوز لازم است ذکر کنید.</w:t>
      </w:r>
    </w:p>
    <w:p>
      <w:pPr>
        <w:spacing w:after="28" w:line="216" w:lineRule="auto"/>
        <w:ind w:left="259"/>
        <w:jc w:val="left"/>
      </w:pPr>
      <w:r>
        <w:rPr>
          <w:rFonts w:ascii="Arial" w:hAnsi="Arial"/>
          <w:color w:val="525252"/>
          <w:sz w:val="13"/>
        </w:rPr>
        <w:t>When applicable, cite all quotes, references, and sources, as required under copyright and license agreements.</w:t>
      </w:r>
    </w:p>
    <w:p>
      <w:pPr>
        <w:spacing w:after="20" w:line="223" w:lineRule="auto"/>
        <w:jc w:val="right"/>
        <w:bidi/>
      </w:pPr>
      <w:r>
        <w:rPr>
          <w:rFonts w:ascii="Arial" w:hAnsi="Arial"/>
          <w:sz w:val="16"/>
        </w:rPr>
        <w:t>284.36  قانون ۶: ایمیل خود را تحت کنترل داشته باشید.</w:t>
      </w:r>
    </w:p>
    <w:p>
      <w:pPr>
        <w:spacing w:after="28" w:line="216" w:lineRule="auto"/>
        <w:ind w:left="259"/>
        <w:jc w:val="left"/>
      </w:pPr>
      <w:r>
        <w:rPr>
          <w:rFonts w:ascii="Arial" w:hAnsi="Arial"/>
          <w:color w:val="525252"/>
          <w:sz w:val="13"/>
        </w:rPr>
        <w:t>Rule 6: Keep Your E-mail Under Control.</w:t>
      </w:r>
    </w:p>
    <w:p>
      <w:pPr>
        <w:spacing w:after="20" w:line="223" w:lineRule="auto"/>
        <w:jc w:val="right"/>
        <w:bidi/>
      </w:pPr>
      <w:r>
        <w:rPr>
          <w:rFonts w:ascii="Arial" w:hAnsi="Arial"/>
          <w:sz w:val="16"/>
        </w:rPr>
        <w:t>284.37  وقتی از ایستگاه کاری خود خارج می‌شوید، رایانه را قفل یا از سیستم خارج کنید.</w:t>
      </w:r>
    </w:p>
    <w:p>
      <w:pPr>
        <w:spacing w:after="28" w:line="216" w:lineRule="auto"/>
        <w:ind w:left="259"/>
        <w:jc w:val="left"/>
      </w:pPr>
      <w:r>
        <w:rPr>
          <w:rFonts w:ascii="Arial" w:hAnsi="Arial"/>
          <w:color w:val="525252"/>
          <w:sz w:val="13"/>
        </w:rPr>
        <w:t>Lock or sign off the computer when you leave your workstation.</w:t>
      </w:r>
    </w:p>
    <w:p>
      <w:pPr>
        <w:spacing w:after="20" w:line="223" w:lineRule="auto"/>
        <w:jc w:val="right"/>
        <w:bidi/>
      </w:pPr>
      <w:r>
        <w:rPr>
          <w:rFonts w:ascii="Arial" w:hAnsi="Arial"/>
          <w:sz w:val="16"/>
        </w:rPr>
        <w:t>284.38  در صورت امکان، برای صرفه جویی در وقت، لیست‌های پستی ایجاد کنید.</w:t>
      </w:r>
    </w:p>
    <w:p>
      <w:pPr>
        <w:spacing w:after="28" w:line="216" w:lineRule="auto"/>
        <w:ind w:left="259"/>
        <w:jc w:val="left"/>
      </w:pPr>
      <w:r>
        <w:rPr>
          <w:rFonts w:ascii="Arial" w:hAnsi="Arial"/>
          <w:color w:val="525252"/>
          <w:sz w:val="13"/>
        </w:rPr>
        <w:t>If possible, create mailing lists to save time.</w:t>
      </w:r>
    </w:p>
    <w:p>
      <w:pPr>
        <w:spacing w:after="20" w:line="223" w:lineRule="auto"/>
        <w:jc w:val="right"/>
        <w:bidi/>
      </w:pPr>
      <w:r>
        <w:rPr>
          <w:rFonts w:ascii="Arial" w:hAnsi="Arial"/>
          <w:sz w:val="16"/>
        </w:rPr>
        <w:t>284.39  روزانه فایل‌ها را بخوانید و حذف کنید.</w:t>
      </w:r>
    </w:p>
    <w:p>
      <w:pPr>
        <w:spacing w:after="28" w:line="216" w:lineRule="auto"/>
        <w:ind w:left="259"/>
        <w:jc w:val="left"/>
      </w:pPr>
      <w:r>
        <w:rPr>
          <w:rFonts w:ascii="Arial" w:hAnsi="Arial"/>
          <w:color w:val="525252"/>
          <w:sz w:val="13"/>
        </w:rPr>
        <w:t>Read and delete files daily.</w:t>
      </w:r>
    </w:p>
    <w:p>
      <w:pPr>
        <w:spacing w:after="20" w:line="223" w:lineRule="auto"/>
        <w:jc w:val="right"/>
        <w:bidi/>
      </w:pPr>
      <w:r>
        <w:rPr>
          <w:rFonts w:ascii="Arial" w:hAnsi="Arial"/>
          <w:sz w:val="16"/>
        </w:rPr>
        <w:t>284.40  یک دایرکتوری سازماندهی شده روی هارد دیسک خود ایجاد کنید تا فایل‌های صندوق پستی را به حداقل برسانید.</w:t>
      </w:r>
    </w:p>
    <w:p>
      <w:pPr>
        <w:spacing w:after="28" w:line="216" w:lineRule="auto"/>
        <w:ind w:left="259"/>
        <w:jc w:val="left"/>
      </w:pPr>
      <w:r>
        <w:rPr>
          <w:rFonts w:ascii="Arial" w:hAnsi="Arial"/>
          <w:color w:val="525252"/>
          <w:sz w:val="13"/>
        </w:rPr>
        <w:t>Create an organized directory on your hard drive to keep mailbox files at a minimum.</w:t>
      </w:r>
    </w:p>
    <w:p>
      <w:pPr>
        <w:spacing w:after="20" w:line="223" w:lineRule="auto"/>
        <w:jc w:val="right"/>
        <w:bidi/>
      </w:pPr>
      <w:r>
        <w:rPr>
          <w:rFonts w:ascii="Arial" w:hAnsi="Arial"/>
          <w:sz w:val="16"/>
        </w:rPr>
        <w:t>284.41  مطمئن شوید که نسخه‌های سوابق به درستی شناسایی شده و در یک سیستم پرونده تأیید شده ذخیره می‌شوند.</w:t>
      </w:r>
    </w:p>
    <w:p>
      <w:pPr>
        <w:spacing w:after="28" w:line="216" w:lineRule="auto"/>
        <w:ind w:left="259"/>
        <w:jc w:val="left"/>
      </w:pPr>
      <w:r>
        <w:rPr>
          <w:rFonts w:ascii="Arial" w:hAnsi="Arial"/>
          <w:color w:val="525252"/>
          <w:sz w:val="13"/>
        </w:rPr>
        <w:t>Ensure record copies are properly identified and stored in an approved filing system.</w:t>
      </w:r>
    </w:p>
    <w:p>
      <w:pPr>
        <w:spacing w:after="20" w:line="223" w:lineRule="auto"/>
        <w:jc w:val="right"/>
        <w:bidi/>
      </w:pPr>
      <w:r>
        <w:rPr>
          <w:rFonts w:ascii="Arial" w:hAnsi="Arial"/>
          <w:sz w:val="16"/>
        </w:rPr>
        <w:t>284.42  پیام‌های مهم یا حساس را با پاسخی محترمانه به فرستنده تأیید کنید.</w:t>
      </w:r>
    </w:p>
    <w:p>
      <w:pPr>
        <w:spacing w:after="28" w:line="216" w:lineRule="auto"/>
        <w:ind w:left="259"/>
        <w:jc w:val="left"/>
      </w:pPr>
      <w:r>
        <w:rPr>
          <w:rFonts w:ascii="Arial" w:hAnsi="Arial"/>
          <w:color w:val="525252"/>
          <w:sz w:val="13"/>
        </w:rPr>
        <w:t>Acknowledge important or sensitive messages with a courtesy reply to sender.</w:t>
      </w:r>
    </w:p>
    <w:p>
      <w:pPr>
        <w:spacing w:after="20" w:line="223" w:lineRule="auto"/>
        <w:jc w:val="right"/>
        <w:bidi/>
      </w:pPr>
      <w:r>
        <w:rPr>
          <w:rFonts w:ascii="Arial" w:hAnsi="Arial"/>
          <w:sz w:val="16"/>
        </w:rPr>
        <w:t>284.43  وقتی برای مدت طولانی از ایمیل خود دور هستید، یک پیام "پاسخ خودکار" تنظیم کنید.</w:t>
      </w:r>
    </w:p>
    <w:p>
      <w:pPr>
        <w:spacing w:after="28" w:line="216" w:lineRule="auto"/>
        <w:ind w:left="259"/>
        <w:jc w:val="left"/>
      </w:pPr>
      <w:r>
        <w:rPr>
          <w:rFonts w:ascii="Arial" w:hAnsi="Arial"/>
          <w:color w:val="525252"/>
          <w:sz w:val="13"/>
        </w:rPr>
        <w:t>When away from your e-mail for an extended period of time, consider setting up an “auto reply” message.</w:t>
      </w:r>
    </w:p>
    <w:p>
      <w:pPr>
        <w:spacing w:before="60" w:after="28"/>
        <w:jc w:val="right"/>
        <w:bidi/>
      </w:pPr>
      <w:r>
        <w:rPr>
          <w:b/>
          <w:color w:val="1F4D78"/>
          <w:sz w:val="18"/>
        </w:rPr>
        <w:t>15.33. سیستم های ارتباطی دولتی</w:t>
      </w:r>
    </w:p>
    <w:p>
      <w:pPr>
        <w:spacing w:after="20"/>
        <w:ind w:left="259"/>
        <w:jc w:val="left"/>
      </w:pPr>
      <w:r>
        <w:rPr>
          <w:color w:val="555555"/>
          <w:sz w:val="12"/>
        </w:rPr>
        <w:t>15.33. Government Communication Systems</w:t>
      </w:r>
    </w:p>
    <w:p>
      <w:pPr>
        <w:spacing w:after="20" w:line="223" w:lineRule="auto"/>
        <w:jc w:val="right"/>
        <w:bidi/>
      </w:pPr>
      <w:r>
        <w:rPr>
          <w:rFonts w:ascii="Arial" w:hAnsi="Arial"/>
          <w:sz w:val="16"/>
        </w:rPr>
        <w:t>284.45  سیستم‌های پیام رسانی ارائه شده توسط دولت فقط برای استفاده رسمی و استفاده شخصی مجاز محدود است.</w:t>
      </w:r>
    </w:p>
    <w:p>
      <w:pPr>
        <w:spacing w:after="28" w:line="216" w:lineRule="auto"/>
        <w:ind w:left="259"/>
        <w:jc w:val="left"/>
      </w:pPr>
      <w:r>
        <w:rPr>
          <w:rFonts w:ascii="Arial" w:hAnsi="Arial"/>
          <w:color w:val="525252"/>
          <w:sz w:val="13"/>
        </w:rPr>
        <w:t>Government-provided messaging systems are for official use and limited authorized personal use only.</w:t>
      </w:r>
    </w:p>
    <w:p>
      <w:pPr>
        <w:spacing w:after="20" w:line="223" w:lineRule="auto"/>
        <w:jc w:val="right"/>
        <w:bidi/>
      </w:pPr>
      <w:r>
        <w:rPr>
          <w:rFonts w:ascii="Arial" w:hAnsi="Arial"/>
          <w:sz w:val="16"/>
        </w:rPr>
        <w:t>284.46  کلیه سیستم‌های ارتباطی دولتی تحت نظارت، شنود، جستجو و</w:t>
      </w:r>
    </w:p>
    <w:p>
      <w:pPr>
        <w:spacing w:after="28" w:line="216" w:lineRule="auto"/>
        <w:ind w:left="259"/>
        <w:jc w:val="left"/>
      </w:pPr>
      <w:r>
        <w:rPr>
          <w:rFonts w:ascii="Arial" w:hAnsi="Arial"/>
          <w:color w:val="525252"/>
          <w:sz w:val="13"/>
        </w:rPr>
        <w:t>All government communications systems are subject to monitoring, interception, search, and</w:t>
      </w:r>
    </w:p>
    <w:p>
      <w:r>
        <w:br w:type="page"/>
      </w:r>
    </w:p>
    <w:p>
      <w:pPr>
        <w:spacing w:after="60"/>
        <w:jc w:val="right"/>
        <w:bidi/>
      </w:pPr>
      <w:r>
        <w:rPr>
          <w:rFonts w:ascii="Arial" w:hAnsi="Arial"/>
          <w:b/>
          <w:color w:val="1F4D78"/>
          <w:sz w:val="19"/>
        </w:rPr>
        <w:t>هفتهٔ 285  |  صفحهٔ منبع: 301</w:t>
      </w:r>
    </w:p>
    <w:p>
      <w:pPr>
        <w:spacing w:after="20" w:line="223" w:lineRule="auto"/>
        <w:jc w:val="right"/>
        <w:bidi/>
      </w:pPr>
      <w:r>
        <w:rPr>
          <w:rFonts w:ascii="Arial" w:hAnsi="Arial"/>
          <w:sz w:val="16"/>
        </w:rPr>
        <w:t>285.01  توقیف برای تمام مقاصد مجاز.</w:t>
      </w:r>
    </w:p>
    <w:p>
      <w:pPr>
        <w:spacing w:after="28" w:line="216" w:lineRule="auto"/>
        <w:ind w:left="259"/>
        <w:jc w:val="left"/>
      </w:pPr>
      <w:r>
        <w:rPr>
          <w:rFonts w:ascii="Arial" w:hAnsi="Arial"/>
          <w:color w:val="525252"/>
          <w:sz w:val="13"/>
        </w:rPr>
        <w:t>seizure for all authorized purposes.</w:t>
      </w:r>
    </w:p>
    <w:p>
      <w:pPr>
        <w:spacing w:after="20" w:line="223" w:lineRule="auto"/>
        <w:jc w:val="right"/>
        <w:bidi/>
      </w:pPr>
      <w:r>
        <w:rPr>
          <w:rFonts w:ascii="Arial" w:hAnsi="Arial"/>
          <w:sz w:val="16"/>
        </w:rPr>
        <w:t>285.02  افراد باید درک کنند که ممکن است در قبال محتوای پیام‌های الکترونیکی خود مسئول شناخته شوند و باید اطمینان حاصل کنند که پیام‌ها به استفاده قابل قبولی از قابلیت‌های مبتنی بر اینترنت پایبند هستند.</w:t>
      </w:r>
    </w:p>
    <w:p>
      <w:pPr>
        <w:spacing w:after="28" w:line="216" w:lineRule="auto"/>
        <w:ind w:left="259"/>
        <w:jc w:val="left"/>
      </w:pPr>
      <w:r>
        <w:rPr>
          <w:rFonts w:ascii="Arial" w:hAnsi="Arial"/>
          <w:color w:val="525252"/>
          <w:sz w:val="13"/>
        </w:rPr>
        <w:t>Individuals must understand that they may be held responsible for the content of their electronic messages and must ensure that messages adhere to acceptable use of internet-based capabilities.</w:t>
      </w:r>
    </w:p>
    <w:p>
      <w:pPr>
        <w:spacing w:after="20" w:line="223" w:lineRule="auto"/>
        <w:jc w:val="right"/>
        <w:bidi/>
      </w:pPr>
      <w:r>
        <w:rPr>
          <w:rFonts w:ascii="Arial" w:hAnsi="Arial"/>
          <w:sz w:val="16"/>
        </w:rPr>
        <w:t>285.03  افراد مسئول حفظ اطلاعات ارسالی و دریافتی طبق دستورالعمل‌های مدیریت سوابق USAF هستند.</w:t>
      </w:r>
    </w:p>
    <w:p>
      <w:pPr>
        <w:spacing w:after="28" w:line="216" w:lineRule="auto"/>
        <w:ind w:left="259"/>
        <w:jc w:val="left"/>
      </w:pPr>
      <w:r>
        <w:rPr>
          <w:rFonts w:ascii="Arial" w:hAnsi="Arial"/>
          <w:color w:val="525252"/>
          <w:sz w:val="13"/>
        </w:rPr>
        <w:t>Individuals are responsible for maintaining sent and received information according to USAF records management directives.</w:t>
      </w:r>
    </w:p>
    <w:p>
      <w:pPr>
        <w:spacing w:after="20" w:line="223" w:lineRule="auto"/>
        <w:jc w:val="right"/>
        <w:bidi/>
      </w:pPr>
      <w:r>
        <w:rPr>
          <w:rFonts w:ascii="Arial" w:hAnsi="Arial"/>
          <w:sz w:val="16"/>
        </w:rPr>
        <w:t>285.04  پیام‌های الکترونیکی ممکن است تحت درخواست‌هایی تحت قانون آزادی اطلاعات، دعوی قضایی و احکام دادگاه قرار گیرند.</w:t>
      </w:r>
    </w:p>
    <w:p>
      <w:pPr>
        <w:spacing w:after="28" w:line="216" w:lineRule="auto"/>
        <w:ind w:left="259"/>
        <w:jc w:val="left"/>
      </w:pPr>
      <w:r>
        <w:rPr>
          <w:rFonts w:ascii="Arial" w:hAnsi="Arial"/>
          <w:color w:val="525252"/>
          <w:sz w:val="13"/>
        </w:rPr>
        <w:t>Electronic messages may be subject to requests under the Freedom of Information Act, litigation, and court orders.</w:t>
      </w:r>
    </w:p>
    <w:p>
      <w:pPr>
        <w:spacing w:after="20" w:line="223" w:lineRule="auto"/>
        <w:jc w:val="right"/>
        <w:bidi/>
      </w:pPr>
      <w:r>
        <w:rPr>
          <w:rFonts w:ascii="Arial" w:hAnsi="Arial"/>
          <w:sz w:val="16"/>
        </w:rPr>
        <w:t>285.05  هنگام ارسال پیام‌های الکترونیکی به لیست‌های توزیع نامه، حتما به خط‌مشی محلی پایبند باشید.</w:t>
      </w:r>
    </w:p>
    <w:p>
      <w:pPr>
        <w:spacing w:after="28" w:line="216" w:lineRule="auto"/>
        <w:ind w:left="259"/>
        <w:jc w:val="left"/>
      </w:pPr>
      <w:r>
        <w:rPr>
          <w:rFonts w:ascii="Arial" w:hAnsi="Arial"/>
          <w:color w:val="525252"/>
          <w:sz w:val="13"/>
        </w:rPr>
        <w:t>Be sure to adhere to local policy when sending electronic messages to mail distribution lists.</w:t>
      </w:r>
    </w:p>
    <w:p>
      <w:pPr>
        <w:spacing w:after="20" w:line="223" w:lineRule="auto"/>
        <w:jc w:val="right"/>
        <w:bidi/>
      </w:pPr>
      <w:r>
        <w:rPr>
          <w:rFonts w:ascii="Arial" w:hAnsi="Arial"/>
          <w:sz w:val="16"/>
        </w:rPr>
        <w:t>285.06  از ارسال خودکار پیام‌های الکترونیکی از دامنه .میل به یک ارائه‌دهنده خدمات اینترنتی تجاری خودداری کنید و آدرس‌های پیام‌های الکترونیکی را بی‌مورد برای عموم منتشر نکنید.</w:t>
      </w:r>
    </w:p>
    <w:p>
      <w:pPr>
        <w:spacing w:after="28" w:line="216" w:lineRule="auto"/>
        <w:ind w:left="259"/>
        <w:jc w:val="left"/>
      </w:pPr>
      <w:r>
        <w:rPr>
          <w:rFonts w:ascii="Arial" w:hAnsi="Arial"/>
          <w:color w:val="525252"/>
          <w:sz w:val="13"/>
        </w:rPr>
        <w:t>Do not auto- forward electronic messages from the .mil domain to a commercial internet service provider and do not indiscriminately release electronic messaging addresses to the public.</w:t>
      </w:r>
    </w:p>
    <w:p>
      <w:pPr>
        <w:spacing w:after="20" w:line="223" w:lineRule="auto"/>
        <w:jc w:val="right"/>
        <w:bidi/>
      </w:pPr>
      <w:r>
        <w:rPr>
          <w:rFonts w:ascii="Arial" w:hAnsi="Arial"/>
          <w:sz w:val="16"/>
        </w:rPr>
        <w:t>285.07  مدیریت هویت.</w:t>
      </w:r>
    </w:p>
    <w:p>
      <w:pPr>
        <w:spacing w:after="28" w:line="216" w:lineRule="auto"/>
        <w:ind w:left="259"/>
        <w:jc w:val="left"/>
      </w:pPr>
      <w:r>
        <w:rPr>
          <w:rFonts w:ascii="Arial" w:hAnsi="Arial"/>
          <w:color w:val="525252"/>
          <w:sz w:val="13"/>
        </w:rPr>
        <w:t>Identity Management.</w:t>
      </w:r>
    </w:p>
    <w:p>
      <w:pPr>
        <w:spacing w:after="20" w:line="223" w:lineRule="auto"/>
        <w:jc w:val="right"/>
        <w:bidi/>
      </w:pPr>
      <w:r>
        <w:rPr>
          <w:rFonts w:ascii="Arial" w:hAnsi="Arial"/>
          <w:sz w:val="16"/>
        </w:rPr>
        <w:t>285.08  یک عنصر حیاتی برای امنیت پیام‌رسانی، اجرای زیرساخت کلید عمومی و کارت‌های دسترسی مشترک برای مدیریت هویت است.</w:t>
      </w:r>
    </w:p>
    <w:p>
      <w:pPr>
        <w:spacing w:after="28" w:line="216" w:lineRule="auto"/>
        <w:ind w:left="259"/>
        <w:jc w:val="left"/>
      </w:pPr>
      <w:r>
        <w:rPr>
          <w:rFonts w:ascii="Arial" w:hAnsi="Arial"/>
          <w:color w:val="525252"/>
          <w:sz w:val="13"/>
        </w:rPr>
        <w:t>A vital element for messaging security is the implementation of public key infrastructure and common access cards for identity management.</w:t>
      </w:r>
    </w:p>
    <w:p>
      <w:pPr>
        <w:spacing w:after="20" w:line="223" w:lineRule="auto"/>
        <w:jc w:val="right"/>
        <w:bidi/>
      </w:pPr>
      <w:r>
        <w:rPr>
          <w:rFonts w:ascii="Arial" w:hAnsi="Arial"/>
          <w:sz w:val="16"/>
        </w:rPr>
        <w:t>285.09  زیرساخت کلید عمومی امکان احراز هویت فرستنده را با استفاده از امضای دیجیتال و رمزگذاری/رمزگشایی پیام فراهم می‌کند.</w:t>
      </w:r>
    </w:p>
    <w:p>
      <w:pPr>
        <w:spacing w:after="28" w:line="216" w:lineRule="auto"/>
        <w:ind w:left="259"/>
        <w:jc w:val="left"/>
      </w:pPr>
      <w:r>
        <w:rPr>
          <w:rFonts w:ascii="Arial" w:hAnsi="Arial"/>
          <w:color w:val="525252"/>
          <w:sz w:val="13"/>
        </w:rPr>
        <w:t>Public key infrastructure allows for the authentication of the sender identity using a digital signature and the encryption/decryption of the message.</w:t>
      </w:r>
    </w:p>
    <w:p>
      <w:pPr>
        <w:spacing w:after="20" w:line="223" w:lineRule="auto"/>
        <w:jc w:val="right"/>
        <w:bidi/>
      </w:pPr>
      <w:r>
        <w:rPr>
          <w:rFonts w:ascii="Arial" w:hAnsi="Arial"/>
          <w:sz w:val="16"/>
        </w:rPr>
        <w:t>285.10  به‌کاربران پیام‌های الکترونیکی وزارت دفاع دستور داده می‌شود تا از دستورالعمل‌های فعلی برای استفاده از زیرساخت کلید عمومی برای امضا و رمزگذاری ایمیل پیروی کنند.</w:t>
      </w:r>
    </w:p>
    <w:p>
      <w:pPr>
        <w:spacing w:after="28" w:line="216" w:lineRule="auto"/>
        <w:ind w:left="259"/>
        <w:jc w:val="left"/>
      </w:pPr>
      <w:r>
        <w:rPr>
          <w:rFonts w:ascii="Arial" w:hAnsi="Arial"/>
          <w:color w:val="525252"/>
          <w:sz w:val="13"/>
        </w:rPr>
        <w:t>Users of Department of Defense electronic messaging are directed to follow current guidance for the use of public key infrastructure to sign and encrypt e- mail.</w:t>
      </w:r>
    </w:p>
    <w:p>
      <w:pPr>
        <w:spacing w:after="20" w:line="223" w:lineRule="auto"/>
        <w:jc w:val="right"/>
        <w:bidi/>
      </w:pPr>
      <w:r>
        <w:rPr>
          <w:rFonts w:ascii="Arial" w:hAnsi="Arial"/>
          <w:sz w:val="16"/>
        </w:rPr>
        <w:t>285.11  سامانه پیام دفاعی.</w:t>
      </w:r>
    </w:p>
    <w:p>
      <w:pPr>
        <w:spacing w:after="28" w:line="216" w:lineRule="auto"/>
        <w:ind w:left="259"/>
        <w:jc w:val="left"/>
      </w:pPr>
      <w:r>
        <w:rPr>
          <w:rFonts w:ascii="Arial" w:hAnsi="Arial"/>
          <w:color w:val="525252"/>
          <w:sz w:val="13"/>
        </w:rPr>
        <w:t>Defense Message System.</w:t>
      </w:r>
    </w:p>
    <w:p>
      <w:pPr>
        <w:spacing w:after="20" w:line="223" w:lineRule="auto"/>
        <w:jc w:val="right"/>
        <w:bidi/>
      </w:pPr>
      <w:r>
        <w:rPr>
          <w:rFonts w:ascii="Arial" w:hAnsi="Arial"/>
          <w:sz w:val="16"/>
        </w:rPr>
        <w:t>285.12  سیستم پیام دفاعی سیستم پیام رسانی اصلی ثبت شده برای وزارت دفاع و USAF است.</w:t>
      </w:r>
    </w:p>
    <w:p>
      <w:pPr>
        <w:spacing w:after="28" w:line="216" w:lineRule="auto"/>
        <w:ind w:left="259"/>
        <w:jc w:val="left"/>
      </w:pPr>
      <w:r>
        <w:rPr>
          <w:rFonts w:ascii="Arial" w:hAnsi="Arial"/>
          <w:color w:val="525252"/>
          <w:sz w:val="13"/>
        </w:rPr>
        <w:t>The defense message system is the core messaging system of record for the Department of Defense and the USAF.</w:t>
      </w:r>
    </w:p>
    <w:p>
      <w:pPr>
        <w:spacing w:after="20" w:line="223" w:lineRule="auto"/>
        <w:jc w:val="right"/>
        <w:bidi/>
      </w:pPr>
      <w:r>
        <w:rPr>
          <w:rFonts w:ascii="Arial" w:hAnsi="Arial"/>
          <w:sz w:val="16"/>
        </w:rPr>
        <w:t>285.13  سیستم پیام دفاعی یک برنامه کاربردی منعطف، تجاری و مبتنی بر عرضه است که خدمات پیام رسانی را به همه کاربران وزارت دفاع (از جمله کاربران تاکتیکی مستقر) ارائه می‌کند و با سایر سازمان‌های دولتی ایالات متحده، شاخه‌های خدمات و پیمانکاران دفاعی ارتباط برقرار می‌کند.</w:t>
      </w:r>
    </w:p>
    <w:p>
      <w:pPr>
        <w:spacing w:after="28" w:line="216" w:lineRule="auto"/>
        <w:ind w:left="259"/>
        <w:jc w:val="left"/>
      </w:pPr>
      <w:r>
        <w:rPr>
          <w:rFonts w:ascii="Arial" w:hAnsi="Arial"/>
          <w:color w:val="525252"/>
          <w:sz w:val="13"/>
        </w:rPr>
        <w:t>The defense message system is a flexible, commercial, off-the-shelf based application that provides messaging services to all Department of Defense users (including deployed tactical users), and interfaces with other U.S. Government agencies, branches of service, and defense contractors.</w:t>
      </w:r>
    </w:p>
    <w:p>
      <w:pPr>
        <w:spacing w:after="20" w:line="223" w:lineRule="auto"/>
        <w:jc w:val="right"/>
        <w:bidi/>
      </w:pPr>
      <w:r>
        <w:rPr>
          <w:rFonts w:ascii="Arial" w:hAnsi="Arial"/>
          <w:sz w:val="16"/>
        </w:rPr>
        <w:t>285.14  پیام سازمانی نیروی هوایی.</w:t>
      </w:r>
    </w:p>
    <w:p>
      <w:pPr>
        <w:spacing w:after="28" w:line="216" w:lineRule="auto"/>
        <w:ind w:left="259"/>
        <w:jc w:val="left"/>
      </w:pPr>
      <w:r>
        <w:rPr>
          <w:rFonts w:ascii="Arial" w:hAnsi="Arial"/>
          <w:color w:val="525252"/>
          <w:sz w:val="13"/>
        </w:rPr>
        <w:t>Air Force Organizational Messaging.</w:t>
      </w:r>
    </w:p>
    <w:p>
      <w:pPr>
        <w:spacing w:after="20" w:line="223" w:lineRule="auto"/>
        <w:jc w:val="right"/>
        <w:bidi/>
      </w:pPr>
      <w:r>
        <w:rPr>
          <w:rFonts w:ascii="Arial" w:hAnsi="Arial"/>
          <w:sz w:val="16"/>
        </w:rPr>
        <w:t>285.15  صندوق‌های پستی پروتکل انتقال پست ساده سازمان ممکن است برای همه الزامات پیام‌رسانی سازمانی استفاده شود، مگر اینکه استفاده از سیستم پیام دفاعی برای پشتیبانی از مسئولیت‌های CCMD مورد نیاز باشد.</w:t>
      </w:r>
    </w:p>
    <w:p>
      <w:pPr>
        <w:spacing w:after="28" w:line="216" w:lineRule="auto"/>
        <w:ind w:left="259"/>
        <w:jc w:val="left"/>
      </w:pPr>
      <w:r>
        <w:rPr>
          <w:rFonts w:ascii="Arial" w:hAnsi="Arial"/>
          <w:color w:val="525252"/>
          <w:sz w:val="13"/>
        </w:rPr>
        <w:t>Organization simple mail transfer protocol mailboxes may be used for all organizational messaging requirements unless usage of the defense message system is required in support of CCMD responsibilities.</w:t>
      </w:r>
    </w:p>
    <w:p>
      <w:pPr>
        <w:spacing w:after="20" w:line="223" w:lineRule="auto"/>
        <w:jc w:val="right"/>
        <w:bidi/>
      </w:pPr>
      <w:r>
        <w:rPr>
          <w:rFonts w:ascii="Arial" w:hAnsi="Arial"/>
          <w:sz w:val="16"/>
        </w:rPr>
        <w:t>285.16  اطلاعات قانون حریم خصوصی.</w:t>
      </w:r>
    </w:p>
    <w:p>
      <w:pPr>
        <w:spacing w:after="28" w:line="216" w:lineRule="auto"/>
        <w:ind w:left="259"/>
        <w:jc w:val="left"/>
      </w:pPr>
      <w:r>
        <w:rPr>
          <w:rFonts w:ascii="Arial" w:hAnsi="Arial"/>
          <w:color w:val="525252"/>
          <w:sz w:val="13"/>
        </w:rPr>
        <w:t>Privacy Act Information.</w:t>
      </w:r>
    </w:p>
    <w:p>
      <w:pPr>
        <w:spacing w:after="20" w:line="223" w:lineRule="auto"/>
        <w:jc w:val="right"/>
        <w:bidi/>
      </w:pPr>
      <w:r>
        <w:rPr>
          <w:rFonts w:ascii="Arial" w:hAnsi="Arial"/>
          <w:sz w:val="16"/>
        </w:rPr>
        <w:t>285.17  قانون حریم خصوصی سال ۱۹۷۴ آژانس‌ها را ملزم می‌کند که تدابیری را برای اطمینان از امنیت و محرمانه بودن سوابق و محافظت از افراد در برابر تجاوز به حریم خصوصی شخصی فراهم کنند.</w:t>
      </w:r>
    </w:p>
    <w:p>
      <w:pPr>
        <w:spacing w:after="28" w:line="216" w:lineRule="auto"/>
        <w:ind w:left="259"/>
        <w:jc w:val="left"/>
      </w:pPr>
      <w:r>
        <w:rPr>
          <w:rFonts w:ascii="Arial" w:hAnsi="Arial"/>
          <w:color w:val="525252"/>
          <w:sz w:val="13"/>
        </w:rPr>
        <w:t>The Privacy Act of 1974 requires agencies to provide safeguards to ensure the security and confidentiality of records and to protect individuals against an invasion of personal privacy.</w:t>
      </w:r>
    </w:p>
    <w:p>
      <w:pPr>
        <w:spacing w:after="20" w:line="223" w:lineRule="auto"/>
        <w:jc w:val="right"/>
        <w:bidi/>
      </w:pPr>
      <w:r>
        <w:rPr>
          <w:rFonts w:ascii="Arial" w:hAnsi="Arial"/>
          <w:sz w:val="16"/>
        </w:rPr>
        <w:t>285.18  قبل از انتقال اطلاعات شخصی از طریق ایمیل احتیاط کنید تا مطمئن شوید که پیام به اندازه کافی محافظت می‌شود.</w:t>
      </w:r>
    </w:p>
    <w:p>
      <w:pPr>
        <w:spacing w:after="28" w:line="216" w:lineRule="auto"/>
        <w:ind w:left="259"/>
        <w:jc w:val="left"/>
      </w:pPr>
      <w:r>
        <w:rPr>
          <w:rFonts w:ascii="Arial" w:hAnsi="Arial"/>
          <w:color w:val="525252"/>
          <w:sz w:val="13"/>
        </w:rPr>
        <w:t>Exercise caution before transmitting personal information over e-mail to ensure the message is adequately safeguarded.</w:t>
      </w:r>
    </w:p>
    <w:p>
      <w:pPr>
        <w:spacing w:after="20" w:line="223" w:lineRule="auto"/>
        <w:jc w:val="right"/>
        <w:bidi/>
      </w:pPr>
      <w:r>
        <w:rPr>
          <w:rFonts w:ascii="Arial" w:hAnsi="Arial"/>
          <w:sz w:val="16"/>
        </w:rPr>
        <w:t>285.19  وقتی اطلاعات حساس و شخصی است، ایمیل راه مناسبی برای انتقال این اطلاعات نیست.</w:t>
      </w:r>
    </w:p>
    <w:p>
      <w:pPr>
        <w:spacing w:after="28" w:line="216" w:lineRule="auto"/>
        <w:ind w:left="259"/>
        <w:jc w:val="left"/>
      </w:pPr>
      <w:r>
        <w:rPr>
          <w:rFonts w:ascii="Arial" w:hAnsi="Arial"/>
          <w:color w:val="525252"/>
          <w:sz w:val="13"/>
        </w:rPr>
        <w:t>When information is sensitive and personal, e-mail is not the proper way for transmitting this information.</w:t>
      </w:r>
    </w:p>
    <w:p>
      <w:pPr>
        <w:spacing w:after="20" w:line="223" w:lineRule="auto"/>
        <w:jc w:val="right"/>
        <w:bidi/>
      </w:pPr>
      <w:r>
        <w:rPr>
          <w:rFonts w:ascii="Arial" w:hAnsi="Arial"/>
          <w:sz w:val="16"/>
        </w:rPr>
        <w:t>285.20  هنگام ارسال اطلاعات شخصی از طریق ایمیل در وزارت دفاع، مطمئن شوید که نیاز رسمی وجود دارد، و همه مخاطبین مجاز به دریافت اطلاعات شخصی تحت قانون حفظ حریم خصوصی هستند.</w:t>
      </w:r>
    </w:p>
    <w:p>
      <w:pPr>
        <w:spacing w:after="28" w:line="216" w:lineRule="auto"/>
        <w:ind w:left="259"/>
        <w:jc w:val="left"/>
      </w:pPr>
      <w:r>
        <w:rPr>
          <w:rFonts w:ascii="Arial" w:hAnsi="Arial"/>
          <w:color w:val="525252"/>
          <w:sz w:val="13"/>
        </w:rPr>
        <w:t>When sending personal information over e-mail within the Department of Defense, ensure there is an official need, and all addressees are authorized to receive personal information under the Privacy Act.</w:t>
      </w:r>
    </w:p>
    <w:p>
      <w:pPr>
        <w:spacing w:after="20" w:line="223" w:lineRule="auto"/>
        <w:jc w:val="right"/>
        <w:bidi/>
      </w:pPr>
      <w:r>
        <w:rPr>
          <w:rFonts w:ascii="Arial" w:hAnsi="Arial"/>
          <w:sz w:val="16"/>
        </w:rPr>
        <w:t>285.21  "اطلاعات طبقه بندی نشده کنترل شده" به ابتدای خط موضوع و به دنبال آن موضوع اضافه می‌شود.</w:t>
      </w:r>
    </w:p>
    <w:p>
      <w:pPr>
        <w:spacing w:after="28" w:line="216" w:lineRule="auto"/>
        <w:ind w:left="259"/>
        <w:jc w:val="left"/>
      </w:pPr>
      <w:r>
        <w:rPr>
          <w:rFonts w:ascii="Arial" w:hAnsi="Arial"/>
          <w:color w:val="525252"/>
          <w:sz w:val="13"/>
        </w:rPr>
        <w:t>“Controlled unclassified information” is added to the beginning of the subject line, followed by the subject.</w:t>
      </w:r>
    </w:p>
    <w:p>
      <w:pPr>
        <w:spacing w:after="20" w:line="223" w:lineRule="auto"/>
        <w:jc w:val="right"/>
        <w:bidi/>
      </w:pPr>
      <w:r>
        <w:rPr>
          <w:rFonts w:ascii="Arial" w:hAnsi="Arial"/>
          <w:sz w:val="16"/>
        </w:rPr>
        <w:t>285.22  عبارت زیر در ابتدای ایمیل اعمال می‌شود: "این ایمیل حاوی اطلاعات طبقه بندی نشده کنترل شده‌ای است که باید تحت قانون حفظ حریم خصوصی و AFI ۳۳-۳۳۲ محافظت شوند." این عبارت را به‌طور بی رویه در ایمیل‌ها اعمال نکنید.</w:t>
      </w:r>
    </w:p>
    <w:p>
      <w:pPr>
        <w:spacing w:after="28" w:line="216" w:lineRule="auto"/>
        <w:ind w:left="259"/>
        <w:jc w:val="left"/>
      </w:pPr>
      <w:r>
        <w:rPr>
          <w:rFonts w:ascii="Arial" w:hAnsi="Arial"/>
          <w:color w:val="525252"/>
          <w:sz w:val="13"/>
        </w:rPr>
        <w:t>The following statement is applied at the beginning of the e-mail: “This e-mail contains controlled unclassified information which must be protected under The Privacy Act and AFI 33-332.” Do not indiscriminately apply this statement to e-mails.</w:t>
      </w:r>
    </w:p>
    <w:p>
      <w:pPr>
        <w:spacing w:after="20" w:line="223" w:lineRule="auto"/>
        <w:jc w:val="right"/>
        <w:bidi/>
      </w:pPr>
      <w:r>
        <w:rPr>
          <w:rFonts w:ascii="Arial" w:hAnsi="Arial"/>
          <w:sz w:val="16"/>
        </w:rPr>
        <w:t>285.23  فقط در مواقعی استفاده کنید که واقعا اطلاعات شخصی را منتقل می‌کنید.</w:t>
      </w:r>
    </w:p>
    <w:p>
      <w:pPr>
        <w:spacing w:after="28" w:line="216" w:lineRule="auto"/>
        <w:ind w:left="259"/>
        <w:jc w:val="left"/>
      </w:pPr>
      <w:r>
        <w:rPr>
          <w:rFonts w:ascii="Arial" w:hAnsi="Arial"/>
          <w:color w:val="525252"/>
          <w:sz w:val="13"/>
        </w:rPr>
        <w:t>Use only in situations when you are actually transmitting personal information.</w:t>
      </w:r>
    </w:p>
    <w:p>
      <w:pPr>
        <w:spacing w:before="60" w:after="28"/>
        <w:jc w:val="right"/>
        <w:bidi/>
      </w:pPr>
      <w:r>
        <w:rPr>
          <w:b/>
          <w:color w:val="1F4D78"/>
          <w:sz w:val="18"/>
        </w:rPr>
        <w:t>15.34. اینترنت</w:t>
      </w:r>
    </w:p>
    <w:p>
      <w:pPr>
        <w:spacing w:after="20"/>
        <w:ind w:left="259"/>
        <w:jc w:val="left"/>
      </w:pPr>
      <w:r>
        <w:rPr>
          <w:color w:val="555555"/>
          <w:sz w:val="12"/>
        </w:rPr>
        <w:t>15.34. The Internet</w:t>
      </w:r>
    </w:p>
    <w:p>
      <w:pPr>
        <w:spacing w:after="20" w:line="223" w:lineRule="auto"/>
        <w:jc w:val="right"/>
        <w:bidi/>
      </w:pPr>
      <w:r>
        <w:rPr>
          <w:rFonts w:ascii="Arial" w:hAnsi="Arial"/>
          <w:sz w:val="16"/>
        </w:rPr>
        <w:t>285.25  استفاده از وب یا فناوری‌های مبتنی بر وب، تکنیکی برای به دست آوردن و انتشار اطلاعات در سراسر جهان است.</w:t>
      </w:r>
    </w:p>
    <w:p>
      <w:pPr>
        <w:spacing w:after="28" w:line="216" w:lineRule="auto"/>
        <w:ind w:left="259"/>
        <w:jc w:val="left"/>
      </w:pPr>
      <w:r>
        <w:rPr>
          <w:rFonts w:ascii="Arial" w:hAnsi="Arial"/>
          <w:color w:val="525252"/>
          <w:sz w:val="13"/>
        </w:rPr>
        <w:t>Use of the web or web-based technologies is a technique for obtaining and disseminating information worldwide.</w:t>
      </w:r>
    </w:p>
    <w:p>
      <w:pPr>
        <w:spacing w:after="20" w:line="223" w:lineRule="auto"/>
        <w:jc w:val="right"/>
        <w:bidi/>
      </w:pPr>
      <w:r>
        <w:rPr>
          <w:rFonts w:ascii="Arial" w:hAnsi="Arial"/>
          <w:sz w:val="16"/>
        </w:rPr>
        <w:t>285.26  وب یا اینترنت قابلیت انتشار سریع و کارآمد اطلاعات به انواع منابع دولتی و غیردولتی و دسترسی به اطلاعات را فراهم می‌کند.</w:t>
      </w:r>
    </w:p>
    <w:p>
      <w:pPr>
        <w:spacing w:after="28" w:line="216" w:lineRule="auto"/>
        <w:ind w:left="259"/>
        <w:jc w:val="left"/>
      </w:pPr>
      <w:r>
        <w:rPr>
          <w:rFonts w:ascii="Arial" w:hAnsi="Arial"/>
          <w:color w:val="525252"/>
          <w:sz w:val="13"/>
        </w:rPr>
        <w:t>The web or internet provides the capability of quickly and efficiently disseminating information to, and accessing information from, a variety of governmental and nongovernmental sources.</w:t>
      </w:r>
    </w:p>
    <w:p>
      <w:pPr>
        <w:spacing w:after="20" w:line="223" w:lineRule="auto"/>
        <w:jc w:val="right"/>
        <w:bidi/>
      </w:pPr>
      <w:r>
        <w:rPr>
          <w:rFonts w:ascii="Arial" w:hAnsi="Arial"/>
          <w:sz w:val="16"/>
        </w:rPr>
        <w:t>285.27  محتوای وب باید با رعایت تمام خط‌مشی‌ها و رویه‌های مدیریت اطلاعات مدیریت شود.</w:t>
      </w:r>
    </w:p>
    <w:p>
      <w:pPr>
        <w:spacing w:after="28" w:line="216" w:lineRule="auto"/>
        <w:ind w:left="259"/>
        <w:jc w:val="left"/>
      </w:pPr>
      <w:r>
        <w:rPr>
          <w:rFonts w:ascii="Arial" w:hAnsi="Arial"/>
          <w:color w:val="525252"/>
          <w:sz w:val="13"/>
        </w:rPr>
        <w:t>Web content must be managed in compliance with all information management policies and procedures.</w:t>
      </w:r>
    </w:p>
    <w:p>
      <w:pPr>
        <w:spacing w:after="20" w:line="223" w:lineRule="auto"/>
        <w:jc w:val="right"/>
        <w:bidi/>
      </w:pPr>
      <w:r>
        <w:rPr>
          <w:rFonts w:ascii="Arial" w:hAnsi="Arial"/>
          <w:sz w:val="16"/>
        </w:rPr>
        <w:t>285.28  استفاده از منابع اینترنتی توسط کارکنان دولت.</w:t>
      </w:r>
    </w:p>
    <w:p>
      <w:pPr>
        <w:spacing w:after="28" w:line="216" w:lineRule="auto"/>
        <w:ind w:left="259"/>
        <w:jc w:val="left"/>
      </w:pPr>
      <w:r>
        <w:rPr>
          <w:rFonts w:ascii="Arial" w:hAnsi="Arial"/>
          <w:color w:val="525252"/>
          <w:sz w:val="13"/>
        </w:rPr>
        <w:t>Use of Internet Resources by Government Employees.</w:t>
      </w:r>
    </w:p>
    <w:p>
      <w:pPr>
        <w:spacing w:after="20" w:line="223" w:lineRule="auto"/>
        <w:jc w:val="right"/>
        <w:bidi/>
      </w:pPr>
      <w:r>
        <w:rPr>
          <w:rFonts w:ascii="Arial" w:hAnsi="Arial"/>
          <w:sz w:val="16"/>
        </w:rPr>
        <w:t>285.29  اینترنت منبعی ضروری برای اطلاعات از منابع مختلف دولتی و غیردولتی است.</w:t>
      </w:r>
    </w:p>
    <w:p>
      <w:pPr>
        <w:spacing w:after="28" w:line="216" w:lineRule="auto"/>
        <w:ind w:left="259"/>
        <w:jc w:val="left"/>
      </w:pPr>
      <w:r>
        <w:rPr>
          <w:rFonts w:ascii="Arial" w:hAnsi="Arial"/>
          <w:color w:val="525252"/>
          <w:sz w:val="13"/>
        </w:rPr>
        <w:t>The internet provides an indispensable source for information from a variety of governmental and nongovernmental sources.</w:t>
      </w:r>
    </w:p>
    <w:p>
      <w:pPr>
        <w:spacing w:after="20" w:line="223" w:lineRule="auto"/>
        <w:jc w:val="right"/>
        <w:bidi/>
      </w:pPr>
      <w:r>
        <w:rPr>
          <w:rFonts w:ascii="Arial" w:hAnsi="Arial"/>
          <w:sz w:val="16"/>
        </w:rPr>
        <w:t>285.30  هدف USAF، در سطوح ریسک قابل قبول، فراهم کردن حداکثر دسترسی به منابع اینترنتی برای پرسنلی است که برای تجارت رسمی نیاز به دسترسی دارند.</w:t>
      </w:r>
    </w:p>
    <w:p>
      <w:pPr>
        <w:spacing w:after="28" w:line="216" w:lineRule="auto"/>
        <w:ind w:left="259"/>
        <w:jc w:val="left"/>
      </w:pPr>
      <w:r>
        <w:rPr>
          <w:rFonts w:ascii="Arial" w:hAnsi="Arial"/>
          <w:color w:val="525252"/>
          <w:sz w:val="13"/>
        </w:rPr>
        <w:t>The USAF’s goal, within acceptable risk levels, is to provide maximum accessibility to internet resources for personnel requiring access for official business.</w:t>
      </w:r>
    </w:p>
    <w:p>
      <w:r>
        <w:br w:type="page"/>
      </w:r>
    </w:p>
    <w:p>
      <w:pPr>
        <w:spacing w:after="60"/>
        <w:jc w:val="right"/>
        <w:bidi/>
      </w:pPr>
      <w:r>
        <w:rPr>
          <w:rFonts w:ascii="Arial" w:hAnsi="Arial"/>
          <w:b/>
          <w:color w:val="1F4D78"/>
          <w:sz w:val="19"/>
        </w:rPr>
        <w:t>هفتهٔ 286  |  صفحهٔ منبع: 302</w:t>
      </w:r>
    </w:p>
    <w:p>
      <w:pPr>
        <w:spacing w:after="20" w:line="223" w:lineRule="auto"/>
        <w:jc w:val="right"/>
        <w:bidi/>
      </w:pPr>
      <w:r>
        <w:rPr>
          <w:rFonts w:ascii="Arial" w:hAnsi="Arial"/>
          <w:sz w:val="16"/>
        </w:rPr>
        <w:t>286.01  استفاده مناسب.</w:t>
      </w:r>
    </w:p>
    <w:p>
      <w:pPr>
        <w:spacing w:after="28" w:line="216" w:lineRule="auto"/>
        <w:ind w:left="259"/>
        <w:jc w:val="left"/>
      </w:pPr>
      <w:r>
        <w:rPr>
          <w:rFonts w:ascii="Arial" w:hAnsi="Arial"/>
          <w:color w:val="525252"/>
          <w:sz w:val="13"/>
        </w:rPr>
        <w:t>Appropriate Use.</w:t>
      </w:r>
    </w:p>
    <w:p>
      <w:pPr>
        <w:spacing w:after="20" w:line="223" w:lineRule="auto"/>
        <w:jc w:val="right"/>
        <w:bidi/>
      </w:pPr>
      <w:r>
        <w:rPr>
          <w:rFonts w:ascii="Arial" w:hAnsi="Arial"/>
          <w:sz w:val="16"/>
        </w:rPr>
        <w:t>286.02  سخت افزار و نرم افزار ارائه شده توسط دولت فقط برای استفاده رسمی و فقط برای استفاده شخصی مجاز است.</w:t>
      </w:r>
    </w:p>
    <w:p>
      <w:pPr>
        <w:spacing w:after="28" w:line="216" w:lineRule="auto"/>
        <w:ind w:left="259"/>
        <w:jc w:val="left"/>
      </w:pPr>
      <w:r>
        <w:rPr>
          <w:rFonts w:ascii="Arial" w:hAnsi="Arial"/>
          <w:color w:val="525252"/>
          <w:sz w:val="13"/>
        </w:rPr>
        <w:t>Government-provided hardware and software are for official use and limited authorized personal use only.</w:t>
      </w:r>
    </w:p>
    <w:p>
      <w:pPr>
        <w:spacing w:after="20" w:line="223" w:lineRule="auto"/>
        <w:jc w:val="right"/>
        <w:bidi/>
      </w:pPr>
      <w:r>
        <w:rPr>
          <w:rFonts w:ascii="Arial" w:hAnsi="Arial"/>
          <w:sz w:val="16"/>
        </w:rPr>
        <w:t>286.03  استفاده شخصی محدود باید دارای مدت زمان و فرکانس معقول باشد و توسط سرپرست تأیید شده باشد و بر اجرای وظایف رسمی تأثیر منفی نگذارد، سیستم‌ها را بار بیش از حد ایجاد نکند، یا بر USAF یا وزارت دفاع تأثیر منفی نداشته باشد.</w:t>
      </w:r>
    </w:p>
    <w:p>
      <w:pPr>
        <w:spacing w:after="28" w:line="216" w:lineRule="auto"/>
        <w:ind w:left="259"/>
        <w:jc w:val="left"/>
      </w:pPr>
      <w:r>
        <w:rPr>
          <w:rFonts w:ascii="Arial" w:hAnsi="Arial"/>
          <w:color w:val="525252"/>
          <w:sz w:val="13"/>
        </w:rPr>
        <w:t>Limited personal use must be of reasonable duration and frequency, approved by the supervisor, and not adversely affect performance of official duties, overburden systems, or reflect adversely on the USAF or the Department of Defense.</w:t>
      </w:r>
    </w:p>
    <w:p>
      <w:pPr>
        <w:spacing w:after="20" w:line="223" w:lineRule="auto"/>
        <w:jc w:val="right"/>
        <w:bidi/>
      </w:pPr>
      <w:r>
        <w:rPr>
          <w:rFonts w:ascii="Arial" w:hAnsi="Arial"/>
          <w:sz w:val="16"/>
        </w:rPr>
        <w:t>286.04  استفاده نامناسب.</w:t>
      </w:r>
    </w:p>
    <w:p>
      <w:pPr>
        <w:spacing w:after="28" w:line="216" w:lineRule="auto"/>
        <w:ind w:left="259"/>
        <w:jc w:val="left"/>
      </w:pPr>
      <w:r>
        <w:rPr>
          <w:rFonts w:ascii="Arial" w:hAnsi="Arial"/>
          <w:color w:val="525252"/>
          <w:sz w:val="13"/>
        </w:rPr>
        <w:t>Inappropriate Use.</w:t>
      </w:r>
    </w:p>
    <w:p>
      <w:pPr>
        <w:spacing w:after="20" w:line="223" w:lineRule="auto"/>
        <w:jc w:val="right"/>
        <w:bidi/>
      </w:pPr>
      <w:r>
        <w:rPr>
          <w:rFonts w:ascii="Arial" w:hAnsi="Arial"/>
          <w:sz w:val="16"/>
        </w:rPr>
        <w:t>286.05  استفاده از اینترنت برای مقاصد غیر رسمی یا مجاز ممکن است منجر به اقدامات اداری یا انضباطی نامطلوب شود.</w:t>
      </w:r>
    </w:p>
    <w:p>
      <w:pPr>
        <w:spacing w:after="28" w:line="216" w:lineRule="auto"/>
        <w:ind w:left="259"/>
        <w:jc w:val="left"/>
      </w:pPr>
      <w:r>
        <w:rPr>
          <w:rFonts w:ascii="Arial" w:hAnsi="Arial"/>
          <w:color w:val="525252"/>
          <w:sz w:val="13"/>
        </w:rPr>
        <w:t>Using the internet for other than official or authorized purposes may result in adverse administrative or disciplinary action.</w:t>
      </w:r>
    </w:p>
    <w:p>
      <w:pPr>
        <w:spacing w:after="20" w:line="223" w:lineRule="auto"/>
        <w:jc w:val="right"/>
        <w:bidi/>
      </w:pPr>
      <w:r>
        <w:rPr>
          <w:rFonts w:ascii="Arial" w:hAnsi="Arial"/>
          <w:sz w:val="16"/>
        </w:rPr>
        <w:t>286.06  موارد زیر به‌طور خاص ممنوع است.</w:t>
      </w:r>
    </w:p>
    <w:p>
      <w:pPr>
        <w:spacing w:after="28" w:line="216" w:lineRule="auto"/>
        <w:ind w:left="259"/>
        <w:jc w:val="left"/>
      </w:pPr>
      <w:r>
        <w:rPr>
          <w:rFonts w:ascii="Arial" w:hAnsi="Arial"/>
          <w:color w:val="525252"/>
          <w:sz w:val="13"/>
        </w:rPr>
        <w:t>The following uses are specifically prohibited.</w:t>
      </w:r>
    </w:p>
    <w:p>
      <w:pPr>
        <w:spacing w:after="20" w:line="223" w:lineRule="auto"/>
        <w:jc w:val="right"/>
        <w:bidi/>
      </w:pPr>
      <w:r>
        <w:rPr>
          <w:rFonts w:ascii="Arial" w:hAnsi="Arial"/>
          <w:sz w:val="16"/>
        </w:rPr>
        <w:t>286.07  استفاده از سیستم‌های ارتباطی دولت فدرال برای استفاده شخصی غیرمجاز.</w:t>
      </w:r>
    </w:p>
    <w:p>
      <w:pPr>
        <w:spacing w:after="28" w:line="216" w:lineRule="auto"/>
        <w:ind w:left="259"/>
        <w:jc w:val="left"/>
      </w:pPr>
      <w:r>
        <w:rPr>
          <w:rFonts w:ascii="Arial" w:hAnsi="Arial"/>
          <w:color w:val="525252"/>
          <w:sz w:val="13"/>
        </w:rPr>
        <w:t>Use of federal government communications systems for unauthorized personal use.</w:t>
      </w:r>
    </w:p>
    <w:p>
      <w:pPr>
        <w:spacing w:after="20" w:line="223" w:lineRule="auto"/>
        <w:jc w:val="right"/>
        <w:bidi/>
      </w:pPr>
      <w:r>
        <w:rPr>
          <w:rFonts w:ascii="Arial" w:hAnsi="Arial"/>
          <w:sz w:val="16"/>
        </w:rPr>
        <w:t>286.08  استفاده‌هایی که بر وزارت دفاع یا USAF منعکس می‌شود، مانند نامه‌های زنجیره‌ای، درخواست غیررسمی، یا فروش به جز در مورد قابلیت‌های مجاز مبتنی بر اینترنت که برای چنین استفاده‌هایی ایجاد شده‌اند.</w:t>
      </w:r>
    </w:p>
    <w:p>
      <w:pPr>
        <w:spacing w:after="28" w:line="216" w:lineRule="auto"/>
        <w:ind w:left="259"/>
        <w:jc w:val="left"/>
      </w:pPr>
      <w:r>
        <w:rPr>
          <w:rFonts w:ascii="Arial" w:hAnsi="Arial"/>
          <w:color w:val="525252"/>
          <w:sz w:val="13"/>
        </w:rPr>
        <w:t>Uses that would adversely reflect on the Department of Defense or the USAF, such as chain letters, unofficial soliciting, or selling except on authorized internet-based capabilities established for such use.</w:t>
      </w:r>
    </w:p>
    <w:p>
      <w:pPr>
        <w:spacing w:after="20" w:line="223" w:lineRule="auto"/>
        <w:jc w:val="right"/>
        <w:bidi/>
      </w:pPr>
      <w:r>
        <w:rPr>
          <w:rFonts w:ascii="Arial" w:hAnsi="Arial"/>
          <w:sz w:val="16"/>
        </w:rPr>
        <w:t>286.09  ذخیره، پردازش، نمایش، ارسال، یا انتقال غیرمجاز محتوای ممنوع: هرزه‌نگاری، مطالب صریح جنسی یا جنسی، برهنگی، سخنان مشوق نفرت یا تمسخر دیگران، قمار، سلاح‌های غیرقانونی، فعالیت‌های ستیزه‌جویی/افراطی، فعالیت‌های تروریستی، استفاده از هر گونه فعالیت‌های غیرقانونی یا برنامه‌ریزی برای محتوای غیرقانونی و غیرقانونی، و غیرقانونی است.</w:t>
      </w:r>
    </w:p>
    <w:p>
      <w:pPr>
        <w:spacing w:after="28" w:line="216" w:lineRule="auto"/>
        <w:ind w:left="259"/>
        <w:jc w:val="left"/>
      </w:pPr>
      <w:r>
        <w:rPr>
          <w:rFonts w:ascii="Arial" w:hAnsi="Arial"/>
          <w:color w:val="525252"/>
          <w:sz w:val="13"/>
        </w:rPr>
        <w:t>Unauthorized storing, processing, displaying, sending, or otherwise transmitting prohibited content: pornography, sexually explicit or sexually oriented material, nudity, hate speech or ridicule of others, gambling, illegal weapons, militancy/extremist activities, terrorist activities, use for personal gain, and any other content or activities that are illegal or inappropriate.</w:t>
      </w:r>
    </w:p>
    <w:p>
      <w:pPr>
        <w:spacing w:after="20" w:line="223" w:lineRule="auto"/>
        <w:jc w:val="right"/>
        <w:bidi/>
      </w:pPr>
      <w:r>
        <w:rPr>
          <w:rFonts w:ascii="Arial" w:hAnsi="Arial"/>
          <w:sz w:val="16"/>
        </w:rPr>
        <w:t>286.10  ذخیره یا پردازش اطلاعات طبقه بندی شده در هر سیستمی که برای پردازش طبقه بندی شده تأیید نشده است.</w:t>
      </w:r>
    </w:p>
    <w:p>
      <w:pPr>
        <w:spacing w:after="28" w:line="216" w:lineRule="auto"/>
        <w:ind w:left="259"/>
        <w:jc w:val="left"/>
      </w:pPr>
      <w:r>
        <w:rPr>
          <w:rFonts w:ascii="Arial" w:hAnsi="Arial"/>
          <w:color w:val="525252"/>
          <w:sz w:val="13"/>
        </w:rPr>
        <w:t>Storing or processing classified information on any system not approved for classified processing.</w:t>
      </w:r>
    </w:p>
    <w:p>
      <w:pPr>
        <w:spacing w:after="20" w:line="223" w:lineRule="auto"/>
        <w:jc w:val="right"/>
        <w:bidi/>
      </w:pPr>
      <w:r>
        <w:rPr>
          <w:rFonts w:ascii="Arial" w:hAnsi="Arial"/>
          <w:sz w:val="16"/>
        </w:rPr>
        <w:t>286.11  استفاده از مطالب دارای حق چاپ در نقض حقوق صاحب حق چاپ.</w:t>
      </w:r>
    </w:p>
    <w:p>
      <w:pPr>
        <w:spacing w:after="28" w:line="216" w:lineRule="auto"/>
        <w:ind w:left="259"/>
        <w:jc w:val="left"/>
      </w:pPr>
      <w:r>
        <w:rPr>
          <w:rFonts w:ascii="Arial" w:hAnsi="Arial"/>
          <w:color w:val="525252"/>
          <w:sz w:val="13"/>
        </w:rPr>
        <w:t>Using copyrighted material in violation of the rights of the owner of the copyrights.</w:t>
      </w:r>
    </w:p>
    <w:p>
      <w:pPr>
        <w:spacing w:after="20" w:line="223" w:lineRule="auto"/>
        <w:jc w:val="right"/>
        <w:bidi/>
      </w:pPr>
      <w:r>
        <w:rPr>
          <w:rFonts w:ascii="Arial" w:hAnsi="Arial"/>
          <w:sz w:val="16"/>
        </w:rPr>
        <w:t>286.12  برای مشاوره استفاده منصفانه با وکیل دادگستری کارکنان خدمات مشورت کنید.</w:t>
      </w:r>
    </w:p>
    <w:p>
      <w:pPr>
        <w:spacing w:after="28" w:line="216" w:lineRule="auto"/>
        <w:ind w:left="259"/>
        <w:jc w:val="left"/>
      </w:pPr>
      <w:r>
        <w:rPr>
          <w:rFonts w:ascii="Arial" w:hAnsi="Arial"/>
          <w:color w:val="525252"/>
          <w:sz w:val="13"/>
        </w:rPr>
        <w:t>Consult with the servicing Staff Judge Advocate for fair use advice.</w:t>
      </w:r>
    </w:p>
    <w:p>
      <w:pPr>
        <w:spacing w:after="20" w:line="223" w:lineRule="auto"/>
        <w:jc w:val="right"/>
        <w:bidi/>
      </w:pPr>
      <w:r>
        <w:rPr>
          <w:rFonts w:ascii="Arial" w:hAnsi="Arial"/>
          <w:sz w:val="16"/>
        </w:rPr>
        <w:t>286.13  استفاده غیرمجاز از حساب یا هویت شخص یا سازمان دیگری.</w:t>
      </w:r>
    </w:p>
    <w:p>
      <w:pPr>
        <w:spacing w:after="28" w:line="216" w:lineRule="auto"/>
        <w:ind w:left="259"/>
        <w:jc w:val="left"/>
      </w:pPr>
      <w:r>
        <w:rPr>
          <w:rFonts w:ascii="Arial" w:hAnsi="Arial"/>
          <w:color w:val="525252"/>
          <w:sz w:val="13"/>
        </w:rPr>
        <w:t>Unauthorized use of the account or identity of another person or organization.</w:t>
      </w:r>
    </w:p>
    <w:p>
      <w:pPr>
        <w:spacing w:after="20" w:line="223" w:lineRule="auto"/>
        <w:jc w:val="right"/>
        <w:bidi/>
      </w:pPr>
      <w:r>
        <w:rPr>
          <w:rFonts w:ascii="Arial" w:hAnsi="Arial"/>
          <w:sz w:val="16"/>
        </w:rPr>
        <w:t>286.14  مشاهده، تغییر، آسیب رساندن، حذف یا مسدود کردن دسترسی به فایل‌ها یا ارتباطات کاربر دیگر بدون مجوز یا مجوز مناسب.</w:t>
      </w:r>
    </w:p>
    <w:p>
      <w:pPr>
        <w:spacing w:after="28" w:line="216" w:lineRule="auto"/>
        <w:ind w:left="259"/>
        <w:jc w:val="left"/>
      </w:pPr>
      <w:r>
        <w:rPr>
          <w:rFonts w:ascii="Arial" w:hAnsi="Arial"/>
          <w:color w:val="525252"/>
          <w:sz w:val="13"/>
        </w:rPr>
        <w:t>Viewing, changing, damaging, deleting, or blocking access to another user’s files or communications without appropriate authorization or permission.</w:t>
      </w:r>
    </w:p>
    <w:p>
      <w:pPr>
        <w:spacing w:after="20" w:line="223" w:lineRule="auto"/>
        <w:jc w:val="right"/>
        <w:bidi/>
      </w:pPr>
      <w:r>
        <w:rPr>
          <w:rFonts w:ascii="Arial" w:hAnsi="Arial"/>
          <w:sz w:val="16"/>
        </w:rPr>
        <w:t>286.15  تلاش برای دور زدن یا شکست دادن امنیت یا اصلاح سیستم‌های امنیتی بدون مجوز یا مجوز قبلی (مانند آزمایش سیستم قانونی یا تحقیقات امنیتی).</w:t>
      </w:r>
    </w:p>
    <w:p>
      <w:pPr>
        <w:spacing w:after="28" w:line="216" w:lineRule="auto"/>
        <w:ind w:left="259"/>
        <w:jc w:val="left"/>
      </w:pPr>
      <w:r>
        <w:rPr>
          <w:rFonts w:ascii="Arial" w:hAnsi="Arial"/>
          <w:color w:val="525252"/>
          <w:sz w:val="13"/>
        </w:rPr>
        <w:t>Attempting to circumvent or defeat security or modifying security systems without prior authorization or permission (such as for legitimate system testing or security research).</w:t>
      </w:r>
    </w:p>
    <w:p>
      <w:pPr>
        <w:spacing w:after="20" w:line="223" w:lineRule="auto"/>
        <w:jc w:val="right"/>
        <w:bidi/>
      </w:pPr>
      <w:r>
        <w:rPr>
          <w:rFonts w:ascii="Arial" w:hAnsi="Arial"/>
          <w:sz w:val="16"/>
        </w:rPr>
        <w:t>286.16  دریافت، نصب، کپی، ذخیره یا استفاده از نرم‌افزار بر خلاف موافقتنامه مجوز فروشنده مناسب.</w:t>
      </w:r>
    </w:p>
    <w:p>
      <w:pPr>
        <w:spacing w:after="28" w:line="216" w:lineRule="auto"/>
        <w:ind w:left="259"/>
        <w:jc w:val="left"/>
      </w:pPr>
      <w:r>
        <w:rPr>
          <w:rFonts w:ascii="Arial" w:hAnsi="Arial"/>
          <w:color w:val="525252"/>
          <w:sz w:val="13"/>
        </w:rPr>
        <w:t>Obtaining, installing, copying, storing, or using software in violation of the appropriate vendor’s license agreement.</w:t>
      </w:r>
    </w:p>
    <w:p>
      <w:pPr>
        <w:spacing w:after="20" w:line="223" w:lineRule="auto"/>
        <w:jc w:val="right"/>
        <w:bidi/>
      </w:pPr>
      <w:r>
        <w:rPr>
          <w:rFonts w:ascii="Arial" w:hAnsi="Arial"/>
          <w:sz w:val="16"/>
        </w:rPr>
        <w:t>286.17  اجازه دسترسی افراد غیرمجاز به یک سیستم تحت مالکیت دولتی یا دولتی.</w:t>
      </w:r>
    </w:p>
    <w:p>
      <w:pPr>
        <w:spacing w:after="28" w:line="216" w:lineRule="auto"/>
        <w:ind w:left="259"/>
        <w:jc w:val="left"/>
      </w:pPr>
      <w:r>
        <w:rPr>
          <w:rFonts w:ascii="Arial" w:hAnsi="Arial"/>
          <w:color w:val="525252"/>
          <w:sz w:val="13"/>
        </w:rPr>
        <w:t>Permitting an unauthorized individual access to a government-owned or government-operated system.</w:t>
      </w:r>
    </w:p>
    <w:p>
      <w:pPr>
        <w:spacing w:after="20" w:line="223" w:lineRule="auto"/>
        <w:jc w:val="right"/>
        <w:bidi/>
      </w:pPr>
      <w:r>
        <w:rPr>
          <w:rFonts w:ascii="Arial" w:hAnsi="Arial"/>
          <w:sz w:val="16"/>
        </w:rPr>
        <w:t>286.18  تغییر یا تغییر سیستم عامل شبکه یا پیکربندی سیستم بدون دریافت مجوز کتبی از مدیر آن سیستم.</w:t>
      </w:r>
    </w:p>
    <w:p>
      <w:pPr>
        <w:spacing w:after="28" w:line="216" w:lineRule="auto"/>
        <w:ind w:left="259"/>
        <w:jc w:val="left"/>
      </w:pPr>
      <w:r>
        <w:rPr>
          <w:rFonts w:ascii="Arial" w:hAnsi="Arial"/>
          <w:color w:val="525252"/>
          <w:sz w:val="13"/>
        </w:rPr>
        <w:t>Modifying or altering the network operating system or system configuration without first obtaining written permission from the administrator of that system.</w:t>
      </w:r>
    </w:p>
    <w:p>
      <w:pPr>
        <w:spacing w:after="20" w:line="223" w:lineRule="auto"/>
        <w:jc w:val="right"/>
        <w:bidi/>
      </w:pPr>
      <w:r>
        <w:rPr>
          <w:rFonts w:ascii="Arial" w:hAnsi="Arial"/>
          <w:sz w:val="16"/>
        </w:rPr>
        <w:t>286.19  کپی و ارسال اطلاعات طبقه بندی نشده کنترل شده، اطلاعات حیاتی، و/یا اطلاعات قابل شناسایی شخصی در سایت‌های تحت مالکیت، اداره یا کنترل شده در دسترس عموم یا بر روی قابلیت‌های تجاری مبتنی بر اینترنت وزارت دفاع.</w:t>
      </w:r>
    </w:p>
    <w:p>
      <w:pPr>
        <w:spacing w:after="28" w:line="216" w:lineRule="auto"/>
        <w:ind w:left="259"/>
        <w:jc w:val="left"/>
      </w:pPr>
      <w:r>
        <w:rPr>
          <w:rFonts w:ascii="Arial" w:hAnsi="Arial"/>
          <w:color w:val="525252"/>
          <w:sz w:val="13"/>
        </w:rPr>
        <w:t>Copying and posting Controlled Unclassified Information, critical information, and/or personally identifiable information on Department of Defense owned, operated, or controlled publicly accessible sites or on commercial internet-based capabilities.</w:t>
      </w:r>
    </w:p>
    <w:p>
      <w:pPr>
        <w:spacing w:after="20" w:line="223" w:lineRule="auto"/>
        <w:jc w:val="right"/>
        <w:bidi/>
      </w:pPr>
      <w:r>
        <w:rPr>
          <w:rFonts w:ascii="Arial" w:hAnsi="Arial"/>
          <w:sz w:val="16"/>
        </w:rPr>
        <w:t>286.20  دانلود و نصب نرم‌افزار رایگان/اشتراک‌افزار یا هر محصول نرم‌افزاری دیگر بدون تأیید مرجع اعتبارسنجی تعیین‌شده.</w:t>
      </w:r>
    </w:p>
    <w:p>
      <w:pPr>
        <w:spacing w:after="28" w:line="216" w:lineRule="auto"/>
        <w:ind w:left="259"/>
        <w:jc w:val="left"/>
      </w:pPr>
      <w:r>
        <w:rPr>
          <w:rFonts w:ascii="Arial" w:hAnsi="Arial"/>
          <w:color w:val="525252"/>
          <w:sz w:val="13"/>
        </w:rPr>
        <w:t>Downloading and installing freeware/shareware or any other software product without designated accrediting authority approval.</w:t>
      </w:r>
    </w:p>
    <w:p>
      <w:pPr>
        <w:spacing w:after="20" w:line="223" w:lineRule="auto"/>
        <w:jc w:val="right"/>
        <w:bidi/>
      </w:pPr>
      <w:r>
        <w:rPr>
          <w:rFonts w:ascii="Arial" w:hAnsi="Arial"/>
          <w:sz w:val="16"/>
        </w:rPr>
        <w:t>286.21  حفاظت از منطق مخرب.</w:t>
      </w:r>
    </w:p>
    <w:p>
      <w:pPr>
        <w:spacing w:after="28" w:line="216" w:lineRule="auto"/>
        <w:ind w:left="259"/>
        <w:jc w:val="left"/>
      </w:pPr>
      <w:r>
        <w:rPr>
          <w:rFonts w:ascii="Arial" w:hAnsi="Arial"/>
          <w:color w:val="525252"/>
          <w:sz w:val="13"/>
        </w:rPr>
        <w:t>Malicious Logic Protection.</w:t>
      </w:r>
    </w:p>
    <w:p>
      <w:pPr>
        <w:spacing w:after="20" w:line="223" w:lineRule="auto"/>
        <w:jc w:val="right"/>
        <w:bidi/>
      </w:pPr>
      <w:r>
        <w:rPr>
          <w:rFonts w:ascii="Arial" w:hAnsi="Arial"/>
          <w:sz w:val="16"/>
        </w:rPr>
        <w:t>286.22  با استفاده از ترکیبی از اقدامات پیشگیرانه انسانی و فناوری، از سیستم‌های اطلاعاتی در برابر حملات منطقی مخرب (ویروس، کرم، اسب تروجان) محافظت کنید.</w:t>
      </w:r>
    </w:p>
    <w:p>
      <w:pPr>
        <w:spacing w:after="28" w:line="216" w:lineRule="auto"/>
        <w:ind w:left="259"/>
        <w:jc w:val="left"/>
      </w:pPr>
      <w:r>
        <w:rPr>
          <w:rFonts w:ascii="Arial" w:hAnsi="Arial"/>
          <w:color w:val="525252"/>
          <w:sz w:val="13"/>
        </w:rPr>
        <w:t>Protect information systems from malicious logic (virus, worm, Trojan horse) attacks by applying a mix of human and technological preventative measures.</w:t>
      </w:r>
    </w:p>
    <w:p>
      <w:pPr>
        <w:spacing w:after="20" w:line="223" w:lineRule="auto"/>
        <w:jc w:val="right"/>
        <w:bidi/>
      </w:pPr>
      <w:r>
        <w:rPr>
          <w:rFonts w:ascii="Arial" w:hAnsi="Arial"/>
          <w:sz w:val="16"/>
        </w:rPr>
        <w:t>286.23  اگر اسکن‌ها خودکار نیستند، دستگاه‌های رسانه قابل جابجایی تأیید شده را برای ویروس‌ها قبل و بعد از استفاده اسکن کنید.</w:t>
      </w:r>
    </w:p>
    <w:p>
      <w:pPr>
        <w:spacing w:after="28" w:line="216" w:lineRule="auto"/>
        <w:ind w:left="259"/>
        <w:jc w:val="left"/>
      </w:pPr>
      <w:r>
        <w:rPr>
          <w:rFonts w:ascii="Arial" w:hAnsi="Arial"/>
          <w:color w:val="525252"/>
          <w:sz w:val="13"/>
        </w:rPr>
        <w:t>Scan approved removable media devices for viruses before and after use if scans are not automated.</w:t>
      </w:r>
    </w:p>
    <w:p>
      <w:pPr>
        <w:spacing w:after="20" w:line="223" w:lineRule="auto"/>
        <w:jc w:val="right"/>
        <w:bidi/>
      </w:pPr>
      <w:r>
        <w:rPr>
          <w:rFonts w:ascii="Arial" w:hAnsi="Arial"/>
          <w:sz w:val="16"/>
        </w:rPr>
        <w:t>286.24  هرگونه ناهنجاری مشکوک در سیستم اطلاعاتی (خطاهای آنتی ویروس، هشدارهای ویروس، افزایش غیرمنتظره اندازه فایل، دسترسی غیرمنتظره به دیسک، فعالیت عجیب برنامه‌ها) را بلافاصله به مسئول تضمین اطلاعات سازمان گزارش‌دهید.</w:t>
      </w:r>
    </w:p>
    <w:p>
      <w:pPr>
        <w:spacing w:after="28" w:line="216" w:lineRule="auto"/>
        <w:ind w:left="259"/>
        <w:jc w:val="left"/>
      </w:pPr>
      <w:r>
        <w:rPr>
          <w:rFonts w:ascii="Arial" w:hAnsi="Arial"/>
          <w:color w:val="525252"/>
          <w:sz w:val="13"/>
        </w:rPr>
        <w:t>Report any suspected information system abnormalities (antivirus errors, virus alerts, unexpected file size increases, unexpected disk access, strange activity by applications) immediately to the organizational information assurance officer.</w:t>
      </w:r>
    </w:p>
    <w:p>
      <w:pPr>
        <w:spacing w:after="20" w:line="223" w:lineRule="auto"/>
        <w:jc w:val="right"/>
        <w:bidi/>
      </w:pPr>
      <w:r>
        <w:rPr>
          <w:rFonts w:ascii="Arial" w:hAnsi="Arial"/>
          <w:sz w:val="16"/>
        </w:rPr>
        <w:t>286.25  امنیت عملیات و اینترنت.</w:t>
      </w:r>
    </w:p>
    <w:p>
      <w:pPr>
        <w:spacing w:after="28" w:line="216" w:lineRule="auto"/>
        <w:ind w:left="259"/>
        <w:jc w:val="left"/>
      </w:pPr>
      <w:r>
        <w:rPr>
          <w:rFonts w:ascii="Arial" w:hAnsi="Arial"/>
          <w:color w:val="525252"/>
          <w:sz w:val="13"/>
        </w:rPr>
        <w:t>Operations Security and the Internet.</w:t>
      </w:r>
    </w:p>
    <w:p>
      <w:pPr>
        <w:spacing w:after="20" w:line="223" w:lineRule="auto"/>
        <w:jc w:val="right"/>
        <w:bidi/>
      </w:pPr>
      <w:r>
        <w:rPr>
          <w:rFonts w:ascii="Arial" w:hAnsi="Arial"/>
          <w:sz w:val="16"/>
        </w:rPr>
        <w:t>286.26  هنگام دسترسی به قابلیت‌های مبتنی بر اینترنت با استفاده از منابع دولت فدرال در یک ظرفیت شخصی یا غیر رسمی مجاز، افراد باید رعایت کنند.</w:t>
      </w:r>
    </w:p>
    <w:p>
      <w:pPr>
        <w:spacing w:after="28" w:line="216" w:lineRule="auto"/>
        <w:ind w:left="259"/>
        <w:jc w:val="left"/>
      </w:pPr>
      <w:r>
        <w:rPr>
          <w:rFonts w:ascii="Arial" w:hAnsi="Arial"/>
          <w:color w:val="525252"/>
          <w:sz w:val="13"/>
        </w:rPr>
        <w:t>When accessing internet-based capabilities using federal government resources in an authorized personal or unofficial capacity, individuals shall comply</w:t>
      </w:r>
    </w:p>
    <w:p>
      <w:r>
        <w:br w:type="page"/>
      </w:r>
    </w:p>
    <w:p>
      <w:pPr>
        <w:spacing w:after="60"/>
        <w:jc w:val="right"/>
        <w:bidi/>
      </w:pPr>
      <w:r>
        <w:rPr>
          <w:rFonts w:ascii="Arial" w:hAnsi="Arial"/>
          <w:b/>
          <w:color w:val="1F4D78"/>
          <w:sz w:val="19"/>
        </w:rPr>
        <w:t>هفتهٔ 287  |  صفحهٔ منبع: 303</w:t>
      </w:r>
    </w:p>
    <w:p>
      <w:pPr>
        <w:spacing w:after="20" w:line="223" w:lineRule="auto"/>
        <w:jc w:val="right"/>
        <w:bidi/>
      </w:pPr>
      <w:r>
        <w:rPr>
          <w:rFonts w:ascii="Arial" w:hAnsi="Arial"/>
          <w:sz w:val="16"/>
        </w:rPr>
        <w:t>287.01  با راهنمایی‌های امنیتی عملیات همانطور که در AFI ۱۰-۷۰۱، امنیت عملیات (OPSEC) بیان شده است، و نباید بیانگر سیاست‌ها یا موضع رسمی USAF یا وزارت دفاع باشد.</w:t>
      </w:r>
    </w:p>
    <w:p>
      <w:pPr>
        <w:spacing w:after="28" w:line="216" w:lineRule="auto"/>
        <w:ind w:left="259"/>
        <w:jc w:val="left"/>
      </w:pPr>
      <w:r>
        <w:rPr>
          <w:rFonts w:ascii="Arial" w:hAnsi="Arial"/>
          <w:color w:val="525252"/>
          <w:sz w:val="13"/>
        </w:rPr>
        <w:t>with operations security guidance as stated in AFI 10-701, Operations Security (OPSEC), and shall not represent the policies or official position of the USAF or the Department of Defense.</w:t>
      </w:r>
    </w:p>
    <w:p>
      <w:r>
        <w:br w:type="page"/>
      </w:r>
    </w:p>
    <w:p>
      <w:pPr>
        <w:spacing w:after="60"/>
        <w:jc w:val="right"/>
        <w:bidi/>
      </w:pPr>
      <w:r>
        <w:rPr>
          <w:rFonts w:ascii="Arial" w:hAnsi="Arial"/>
          <w:b/>
          <w:color w:val="1F4D78"/>
          <w:sz w:val="19"/>
        </w:rPr>
        <w:t>هفتهٔ 288  |  صفحهٔ منبع: 304</w:t>
      </w:r>
    </w:p>
    <w:p>
      <w:pPr>
        <w:spacing w:before="60" w:after="28"/>
        <w:jc w:val="right"/>
        <w:bidi/>
      </w:pPr>
      <w:r>
        <w:rPr>
          <w:b/>
          <w:color w:val="1F4D78"/>
          <w:sz w:val="18"/>
        </w:rPr>
        <w:t>فصل 16</w:t>
      </w:r>
    </w:p>
    <w:p>
      <w:pPr>
        <w:spacing w:after="20"/>
        <w:ind w:left="259"/>
        <w:jc w:val="left"/>
      </w:pPr>
      <w:r>
        <w:rPr>
          <w:color w:val="555555"/>
          <w:sz w:val="12"/>
        </w:rPr>
        <w:t>Chapter 16</w:t>
      </w:r>
    </w:p>
    <w:p>
      <w:pPr>
        <w:spacing w:before="60" w:after="28"/>
        <w:jc w:val="right"/>
        <w:bidi/>
      </w:pPr>
      <w:r>
        <w:rPr>
          <w:b/>
          <w:color w:val="1F4D78"/>
          <w:sz w:val="18"/>
        </w:rPr>
        <w:t>در حال توسعه ایده ها</w:t>
      </w:r>
    </w:p>
    <w:p>
      <w:pPr>
        <w:spacing w:after="20"/>
        <w:ind w:left="259"/>
        <w:jc w:val="left"/>
      </w:pPr>
      <w:r>
        <w:rPr>
          <w:color w:val="555555"/>
          <w:sz w:val="12"/>
        </w:rPr>
        <w:t>DEVELOPING IDEAS</w:t>
      </w:r>
    </w:p>
    <w:p>
      <w:pPr>
        <w:spacing w:before="60" w:after="28"/>
        <w:jc w:val="right"/>
        <w:bidi/>
      </w:pPr>
      <w:r>
        <w:rPr>
          <w:b/>
          <w:color w:val="1F4D78"/>
          <w:sz w:val="18"/>
        </w:rPr>
        <w:t>بخش 16A - پاسخگویی و خود مدیریتی</w:t>
      </w:r>
    </w:p>
    <w:p>
      <w:pPr>
        <w:spacing w:after="20"/>
        <w:ind w:left="259"/>
        <w:jc w:val="left"/>
      </w:pPr>
      <w:r>
        <w:rPr>
          <w:color w:val="555555"/>
          <w:sz w:val="12"/>
        </w:rPr>
        <w:t>Section 16A—Accountability and Self-Management</w:t>
      </w:r>
    </w:p>
    <w:p>
      <w:pPr>
        <w:spacing w:before="60" w:after="28"/>
        <w:jc w:val="right"/>
        <w:bidi/>
      </w:pPr>
      <w:r>
        <w:rPr>
          <w:b/>
          <w:color w:val="1F4D78"/>
          <w:sz w:val="18"/>
        </w:rPr>
        <w:t>16.1. دانش قدرت است</w:t>
      </w:r>
    </w:p>
    <w:p>
      <w:pPr>
        <w:spacing w:after="20"/>
        <w:ind w:left="259"/>
        <w:jc w:val="left"/>
      </w:pPr>
      <w:r>
        <w:rPr>
          <w:color w:val="555555"/>
          <w:sz w:val="12"/>
        </w:rPr>
        <w:t>16.1. Knowledge is Power</w:t>
      </w:r>
    </w:p>
    <w:p>
      <w:pPr>
        <w:spacing w:after="20" w:line="223" w:lineRule="auto"/>
        <w:jc w:val="right"/>
        <w:bidi/>
      </w:pPr>
      <w:r>
        <w:rPr>
          <w:rFonts w:ascii="Arial" w:hAnsi="Arial"/>
          <w:sz w:val="16"/>
        </w:rPr>
        <w:t>288.05  برای بیش از ۷۰ سال، آمریکایی‌ها از نیروهای هوایی خواسته‌اند که نگهبان هوا و فضای سایبری ملت باشند، توانایی‌ها و پشتیبانی بی‌نظیری را به نیروی مشترک در دفاع از میهن، داشتن موقعیت‌های بلند و ارائه قدرت در کنار متحدانمان ارائه دهند.</w:t>
      </w:r>
    </w:p>
    <w:p>
      <w:pPr>
        <w:spacing w:after="28" w:line="216" w:lineRule="auto"/>
        <w:ind w:left="259"/>
        <w:jc w:val="left"/>
      </w:pPr>
      <w:r>
        <w:rPr>
          <w:rFonts w:ascii="Arial" w:hAnsi="Arial"/>
          <w:color w:val="525252"/>
          <w:sz w:val="13"/>
        </w:rPr>
        <w:t>For more than 70 years, Americans have asked Airmen to be the sentinels of air and cyberspace for the nation, delivering unmatched capabilities and support to the Joint Force in defending our homeland, owning the high ground, and projecting power with our allies.</w:t>
      </w:r>
    </w:p>
    <w:p>
      <w:pPr>
        <w:spacing w:after="20" w:line="223" w:lineRule="auto"/>
        <w:jc w:val="right"/>
        <w:bidi/>
      </w:pPr>
      <w:r>
        <w:rPr>
          <w:rFonts w:ascii="Arial" w:hAnsi="Arial"/>
          <w:sz w:val="16"/>
        </w:rPr>
        <w:t>288.06  در هر مأموریت، در هر حوزه، و در هر مکان، هوانوردان برای موفقیت کشور ما ضروری هستند.</w:t>
      </w:r>
    </w:p>
    <w:p>
      <w:pPr>
        <w:spacing w:after="28" w:line="216" w:lineRule="auto"/>
        <w:ind w:left="259"/>
        <w:jc w:val="left"/>
      </w:pPr>
      <w:r>
        <w:rPr>
          <w:rFonts w:ascii="Arial" w:hAnsi="Arial"/>
          <w:color w:val="525252"/>
          <w:sz w:val="13"/>
        </w:rPr>
        <w:t>In every mission, in every domain, and in every location, Airmen are essential to our nation’s success.</w:t>
      </w:r>
    </w:p>
    <w:p>
      <w:pPr>
        <w:spacing w:after="20" w:line="223" w:lineRule="auto"/>
        <w:jc w:val="right"/>
        <w:bidi/>
      </w:pPr>
      <w:r>
        <w:rPr>
          <w:rFonts w:ascii="Arial" w:hAnsi="Arial"/>
          <w:sz w:val="16"/>
        </w:rPr>
        <w:t>288.07  USAF آمریکا، در حالی که به یک نیروی کوچکتر، لاغرتر و تواناتر تبدیل می‌شود، به مبارزه با تروریسم ادامه می‌دهد و برای رویارویی با تهدیدات و درگیری‌های جدید در آینده آماده می‌شود.</w:t>
      </w:r>
    </w:p>
    <w:p>
      <w:pPr>
        <w:spacing w:after="28" w:line="216" w:lineRule="auto"/>
        <w:ind w:left="259"/>
        <w:jc w:val="left"/>
      </w:pPr>
      <w:r>
        <w:rPr>
          <w:rFonts w:ascii="Arial" w:hAnsi="Arial"/>
          <w:color w:val="525252"/>
          <w:sz w:val="13"/>
        </w:rPr>
        <w:t>America’s USAF, while transforming into a smaller, leaner, and more capable force, continues to fight the war on terrorism and prepares to face new threats and conflicts of the future.</w:t>
      </w:r>
    </w:p>
    <w:p>
      <w:pPr>
        <w:spacing w:after="20" w:line="223" w:lineRule="auto"/>
        <w:jc w:val="right"/>
        <w:bidi/>
      </w:pPr>
      <w:r>
        <w:rPr>
          <w:rFonts w:ascii="Arial" w:hAnsi="Arial"/>
          <w:sz w:val="16"/>
        </w:rPr>
        <w:t>288.08  برای اینکه مسلط بمانیم، باید برتری‌های نیروی هوایی خود را نسبت به دشمنان احتمالی حفظ کنیم.</w:t>
      </w:r>
    </w:p>
    <w:p>
      <w:pPr>
        <w:spacing w:after="28" w:line="216" w:lineRule="auto"/>
        <w:ind w:left="259"/>
        <w:jc w:val="left"/>
      </w:pPr>
      <w:r>
        <w:rPr>
          <w:rFonts w:ascii="Arial" w:hAnsi="Arial"/>
          <w:color w:val="525252"/>
          <w:sz w:val="13"/>
        </w:rPr>
        <w:t>To remain dominant, we must maintain our airpower advantages over potential adversaries.</w:t>
      </w:r>
    </w:p>
    <w:p>
      <w:pPr>
        <w:spacing w:after="20" w:line="223" w:lineRule="auto"/>
        <w:jc w:val="right"/>
        <w:bidi/>
      </w:pPr>
      <w:r>
        <w:rPr>
          <w:rFonts w:ascii="Arial" w:hAnsi="Arial"/>
          <w:sz w:val="16"/>
        </w:rPr>
        <w:t>288.09  ما باید تغییر را بپذیریم و فرهنگی را تسهیل کنیم که مظهر شجاعت و نوآوری است.</w:t>
      </w:r>
    </w:p>
    <w:p>
      <w:pPr>
        <w:spacing w:after="28" w:line="216" w:lineRule="auto"/>
        <w:ind w:left="259"/>
        <w:jc w:val="left"/>
      </w:pPr>
      <w:r>
        <w:rPr>
          <w:rFonts w:ascii="Arial" w:hAnsi="Arial"/>
          <w:color w:val="525252"/>
          <w:sz w:val="13"/>
        </w:rPr>
        <w:t>We must embrace change and facilitate a culture that embodies courage and innovation.</w:t>
      </w:r>
    </w:p>
    <w:p>
      <w:pPr>
        <w:spacing w:before="60" w:after="28"/>
        <w:jc w:val="right"/>
        <w:bidi/>
      </w:pPr>
      <w:r>
        <w:rPr>
          <w:b/>
          <w:color w:val="1F4D78"/>
          <w:sz w:val="18"/>
        </w:rPr>
        <w:t>16.2. بخش پیشبرد اولویت های نیروی هوایی</w:t>
      </w:r>
    </w:p>
    <w:p>
      <w:pPr>
        <w:spacing w:after="20"/>
        <w:ind w:left="259"/>
        <w:jc w:val="left"/>
      </w:pPr>
      <w:r>
        <w:rPr>
          <w:color w:val="555555"/>
          <w:sz w:val="12"/>
        </w:rPr>
        <w:t>16.2. Advancing Department of the Air Force Priorities</w:t>
      </w:r>
    </w:p>
    <w:p>
      <w:pPr>
        <w:spacing w:after="20" w:line="223" w:lineRule="auto"/>
        <w:jc w:val="right"/>
        <w:bidi/>
      </w:pPr>
      <w:r>
        <w:rPr>
          <w:rFonts w:ascii="Arial" w:hAnsi="Arial"/>
          <w:sz w:val="16"/>
        </w:rPr>
        <w:t>288.11  این هوانوردان و نگهبانان چابک و مبتکر ما هستند که وزارت نیروی هوایی را اداره می‌کنند.</w:t>
      </w:r>
    </w:p>
    <w:p>
      <w:pPr>
        <w:spacing w:after="28" w:line="216" w:lineRule="auto"/>
        <w:ind w:left="259"/>
        <w:jc w:val="left"/>
      </w:pPr>
      <w:r>
        <w:rPr>
          <w:rFonts w:ascii="Arial" w:hAnsi="Arial"/>
          <w:color w:val="525252"/>
          <w:sz w:val="13"/>
        </w:rPr>
        <w:t>It is our agile and innovative Airmen and Guardians who power the Department of the Air Force.</w:t>
      </w:r>
    </w:p>
    <w:p>
      <w:pPr>
        <w:spacing w:after="20" w:line="223" w:lineRule="auto"/>
        <w:jc w:val="right"/>
        <w:bidi/>
      </w:pPr>
      <w:r>
        <w:rPr>
          <w:rFonts w:ascii="Arial" w:hAnsi="Arial"/>
          <w:sz w:val="16"/>
        </w:rPr>
        <w:t>288.12  هر کاری که هوانوردان و نگهبانان انجام می‌دهند باید اولویت‌های DAF را ارتقا یا افزایش دهند.</w:t>
      </w:r>
    </w:p>
    <w:p>
      <w:pPr>
        <w:spacing w:after="28" w:line="216" w:lineRule="auto"/>
        <w:ind w:left="259"/>
        <w:jc w:val="left"/>
      </w:pPr>
      <w:r>
        <w:rPr>
          <w:rFonts w:ascii="Arial" w:hAnsi="Arial"/>
          <w:color w:val="525252"/>
          <w:sz w:val="13"/>
        </w:rPr>
        <w:t>Everything Airmen and Guardians do should advance or augment DAF priorities.</w:t>
      </w:r>
    </w:p>
    <w:p>
      <w:pPr>
        <w:spacing w:after="20" w:line="223" w:lineRule="auto"/>
        <w:jc w:val="right"/>
        <w:bidi/>
      </w:pPr>
      <w:r>
        <w:rPr>
          <w:rFonts w:ascii="Arial" w:hAnsi="Arial"/>
          <w:sz w:val="16"/>
        </w:rPr>
        <w:t>288.13  اولویت‌ها کمک می‌کنند تا اطمینان حاصل شود که نیروی هوایی و فضایی ما زمانی که کشور فراخوان می‌دهد کشنده و آماده باقی می‌ماند: نیروی فضایی ایالات متحده را بسازید، نیروی هوایی و فضایی مورد نیاز خود را مدرن کنید، رهبران قوی و خانواده‌های انعطاف‌پذیر را پرورش دهید، متحدان و شرکای خود را تقویت کنیم.</w:t>
      </w:r>
    </w:p>
    <w:p>
      <w:pPr>
        <w:spacing w:after="28" w:line="216" w:lineRule="auto"/>
        <w:ind w:left="259"/>
        <w:jc w:val="left"/>
      </w:pPr>
      <w:r>
        <w:rPr>
          <w:rFonts w:ascii="Arial" w:hAnsi="Arial"/>
          <w:color w:val="525252"/>
          <w:sz w:val="13"/>
        </w:rPr>
        <w:t>The priorities will help ensure our Air and Space Force remains lethal and ready when the nation calls: Build the United States Space Force, Modernize the Air and Space Force we need, Grow strong leaders and resilient families, Strengthen our allies and partners.</w:t>
      </w:r>
    </w:p>
    <w:p>
      <w:pPr>
        <w:spacing w:before="60" w:after="28"/>
        <w:jc w:val="right"/>
        <w:bidi/>
      </w:pPr>
      <w:r>
        <w:rPr>
          <w:b/>
          <w:color w:val="1F4D78"/>
          <w:sz w:val="18"/>
        </w:rPr>
        <w:t>16.3. رئیس ستاد، برنامه خواندن حرفه ای نیروی هوایی ایالات متحده</w:t>
      </w:r>
    </w:p>
    <w:p>
      <w:pPr>
        <w:spacing w:after="20"/>
        <w:ind w:left="259"/>
        <w:jc w:val="left"/>
      </w:pPr>
      <w:r>
        <w:rPr>
          <w:color w:val="555555"/>
          <w:sz w:val="12"/>
        </w:rPr>
        <w:t>16.3. Chief of Staff, United States Air Force Professional Reading Program</w:t>
      </w:r>
    </w:p>
    <w:p>
      <w:pPr>
        <w:spacing w:after="20" w:line="223" w:lineRule="auto"/>
        <w:jc w:val="right"/>
        <w:bidi/>
      </w:pPr>
      <w:r>
        <w:rPr>
          <w:rFonts w:ascii="Arial" w:hAnsi="Arial"/>
          <w:sz w:val="16"/>
        </w:rPr>
        <w:t>288.15  در سال ۱۹۹۶، ژنرال فاگلمن رئیس ستاد، برنامه خواندن حرفه‌ای USAF را ایجاد کرد تا یک چارچوب مرجع مشترک بین اعضای USAF - افسران، نیروهای درجه‌دار و غیرنظامیان - ایجاد کند تا به هر یک از آنها کمک کند تا حامیان بهتر و مؤثرتر نیروی هوایی شوند.</w:t>
      </w:r>
    </w:p>
    <w:p>
      <w:pPr>
        <w:spacing w:after="28" w:line="216" w:lineRule="auto"/>
        <w:ind w:left="259"/>
        <w:jc w:val="left"/>
      </w:pPr>
      <w:r>
        <w:rPr>
          <w:rFonts w:ascii="Arial" w:hAnsi="Arial"/>
          <w:color w:val="525252"/>
          <w:sz w:val="13"/>
        </w:rPr>
        <w:t>In 1996, General Fogleman created the Chief of Staff, USAF Professional Reading Program to develop a common frame of reference among USAF members—officers, enlisted, and civilians— to help each become better, more effective advocates of airpower.</w:t>
      </w:r>
    </w:p>
    <w:p>
      <w:pPr>
        <w:spacing w:after="20" w:line="223" w:lineRule="auto"/>
        <w:jc w:val="right"/>
        <w:bidi/>
      </w:pPr>
      <w:r>
        <w:rPr>
          <w:rFonts w:ascii="Arial" w:hAnsi="Arial"/>
          <w:sz w:val="16"/>
        </w:rPr>
        <w:t>288.16  رئیس ستاد، برنامه خواندن حرفه‌ای USAF می‌تواند به ایجاد عادت مطالعه طولانی مدت یا تکمیل مطالب خواندن قبلی کمک کند.</w:t>
      </w:r>
    </w:p>
    <w:p>
      <w:pPr>
        <w:spacing w:after="28" w:line="216" w:lineRule="auto"/>
        <w:ind w:left="259"/>
        <w:jc w:val="left"/>
      </w:pPr>
      <w:r>
        <w:rPr>
          <w:rFonts w:ascii="Arial" w:hAnsi="Arial"/>
          <w:color w:val="525252"/>
          <w:sz w:val="13"/>
        </w:rPr>
        <w:t>The Chief of Staff, USAF Professional Reading Program can help launch a career-long reading habit or supplement previous reading materials.</w:t>
      </w:r>
    </w:p>
    <w:p>
      <w:pPr>
        <w:spacing w:after="20" w:line="223" w:lineRule="auto"/>
        <w:jc w:val="right"/>
        <w:bidi/>
      </w:pPr>
      <w:r>
        <w:rPr>
          <w:rFonts w:ascii="Arial" w:hAnsi="Arial"/>
          <w:sz w:val="16"/>
        </w:rPr>
        <w:t>288.17  موضوعات، اگرچه اکثر جزئیات مربوط به نیروی هوایی از پیدایش آن تا زمان‌های اخیر است، اما شامل بینش در تاریخ USAF، تجزیه و تحلیل درگیری‌های جاری و ارتباط آنها با آینده، داستان‌های موفقیت سازمانی و رهبری، و درس‌های آموخته شده از درگیری‌های اخیر است.</w:t>
      </w:r>
    </w:p>
    <w:p>
      <w:pPr>
        <w:spacing w:after="28" w:line="216" w:lineRule="auto"/>
        <w:ind w:left="259"/>
        <w:jc w:val="left"/>
      </w:pPr>
      <w:r>
        <w:rPr>
          <w:rFonts w:ascii="Arial" w:hAnsi="Arial"/>
          <w:color w:val="525252"/>
          <w:sz w:val="13"/>
        </w:rPr>
        <w:t>Topics, although the majority detail airpower from its genesis to recent times, include insight into USAF history, analysis of ongoing conflicts and their relevancy to the future, organizational and leadership success stories, and lessons learned from recent conflicts.</w:t>
      </w:r>
    </w:p>
    <w:p>
      <w:pPr>
        <w:spacing w:after="20" w:line="223" w:lineRule="auto"/>
        <w:jc w:val="right"/>
        <w:bidi/>
      </w:pPr>
      <w:r>
        <w:rPr>
          <w:rFonts w:ascii="Arial" w:hAnsi="Arial"/>
          <w:sz w:val="16"/>
        </w:rPr>
        <w:t>288.18  این منابع نمونه‌های عالی از رهبری را برای نشان دادن ویژگی‌هایی ارائه می‌دهند که هوانوردان باید از آنها تقلید کنند.</w:t>
      </w:r>
    </w:p>
    <w:p>
      <w:pPr>
        <w:spacing w:after="28" w:line="216" w:lineRule="auto"/>
        <w:ind w:left="259"/>
        <w:jc w:val="left"/>
      </w:pPr>
      <w:r>
        <w:rPr>
          <w:rFonts w:ascii="Arial" w:hAnsi="Arial"/>
          <w:color w:val="525252"/>
          <w:sz w:val="13"/>
        </w:rPr>
        <w:t>These sources provide great examples of leadership to illustrate qualities Airmen should emulate.</w:t>
      </w:r>
    </w:p>
    <w:p>
      <w:pPr>
        <w:spacing w:after="20" w:line="223" w:lineRule="auto"/>
        <w:jc w:val="right"/>
        <w:bidi/>
      </w:pPr>
      <w:r>
        <w:rPr>
          <w:rFonts w:ascii="Arial" w:hAnsi="Arial"/>
          <w:sz w:val="16"/>
        </w:rPr>
        <w:t>288.19  فهرست خواندن به‌ویژه مرتبط است زیرا مردان و زنان غیرنظامی مسئولیت بیشتری را در این مواقع تروریسم جهانی و درگیری‌های بین المللی بر عهده می‌گیرند.</w:t>
      </w:r>
    </w:p>
    <w:p>
      <w:pPr>
        <w:spacing w:after="28" w:line="216" w:lineRule="auto"/>
        <w:ind w:left="259"/>
        <w:jc w:val="left"/>
      </w:pPr>
      <w:r>
        <w:rPr>
          <w:rFonts w:ascii="Arial" w:hAnsi="Arial"/>
          <w:color w:val="525252"/>
          <w:sz w:val="13"/>
        </w:rPr>
        <w:t>The reading list is particularly relevant as civilian men and women take on more responsibility in these times of global terrorism and international conflict.</w:t>
      </w:r>
    </w:p>
    <w:p>
      <w:pPr>
        <w:spacing w:after="20" w:line="223" w:lineRule="auto"/>
        <w:jc w:val="right"/>
        <w:bidi/>
      </w:pPr>
      <w:r>
        <w:rPr>
          <w:rFonts w:ascii="Arial" w:hAnsi="Arial"/>
          <w:sz w:val="16"/>
        </w:rPr>
        <w:t>288.20  هر رئیس ستاد نیروی هوایی متعاقبا برنامه را با مطالب جاری و مرتبط برای این نیرو ارتقا داده و ادامه داده است.</w:t>
      </w:r>
    </w:p>
    <w:p>
      <w:pPr>
        <w:spacing w:after="28" w:line="216" w:lineRule="auto"/>
        <w:ind w:left="259"/>
        <w:jc w:val="left"/>
      </w:pPr>
      <w:r>
        <w:rPr>
          <w:rFonts w:ascii="Arial" w:hAnsi="Arial"/>
          <w:color w:val="525252"/>
          <w:sz w:val="13"/>
        </w:rPr>
        <w:t>Each Chief of Staff of the Air Force has subsequently enhanced and continued the program with current and relevant material for the force.</w:t>
      </w:r>
    </w:p>
    <w:p>
      <w:pPr>
        <w:spacing w:after="20" w:line="223" w:lineRule="auto"/>
        <w:jc w:val="right"/>
        <w:bidi/>
      </w:pPr>
      <w:r>
        <w:rPr>
          <w:rFonts w:ascii="Arial" w:hAnsi="Arial"/>
          <w:sz w:val="16"/>
        </w:rPr>
        <w:t>288.21  این برنامه در حال حاضر شامل کتاب، فیلم، مستند، جلسات توجیهی، ارائه، انتشارات، مجلات و سایر منابع آنلاین است.</w:t>
      </w:r>
    </w:p>
    <w:p>
      <w:pPr>
        <w:spacing w:after="28" w:line="216" w:lineRule="auto"/>
        <w:ind w:left="259"/>
        <w:jc w:val="left"/>
      </w:pPr>
      <w:r>
        <w:rPr>
          <w:rFonts w:ascii="Arial" w:hAnsi="Arial"/>
          <w:color w:val="525252"/>
          <w:sz w:val="13"/>
        </w:rPr>
        <w:t>The program currently includes books, films, documentaries, briefings, presentations, publications, journals, and other online resources.</w:t>
      </w:r>
    </w:p>
    <w:p>
      <w:pPr>
        <w:spacing w:after="20" w:line="223" w:lineRule="auto"/>
        <w:jc w:val="right"/>
        <w:bidi/>
      </w:pPr>
      <w:r>
        <w:rPr>
          <w:rFonts w:ascii="Arial" w:hAnsi="Arial"/>
          <w:sz w:val="16"/>
        </w:rPr>
        <w:t>288.22  فهرست خواندن حرفه‌ای و خلاصه مختصری از انتخاب‌های جدید را می‌توانید در پورتال AF (https://www.my.af.mil/) و کتابخانه رهبری CSAF (https://www.af.mil/About-Us/CSAF-Leadership-Library/) بیابید.</w:t>
      </w:r>
    </w:p>
    <w:p>
      <w:pPr>
        <w:spacing w:after="28" w:line="216" w:lineRule="auto"/>
        <w:ind w:left="259"/>
        <w:jc w:val="left"/>
      </w:pPr>
      <w:r>
        <w:rPr>
          <w:rFonts w:ascii="Arial" w:hAnsi="Arial"/>
          <w:color w:val="525252"/>
          <w:sz w:val="13"/>
        </w:rPr>
        <w:t>The professional reading list and a brief summary of new selections can be found on the AF Portal (https://www.my.af.mil/) and the CSAF Leadership Library (https://www.af.mil/About-Us/CSAF-Leadership-Library/).</w:t>
      </w:r>
    </w:p>
    <w:p>
      <w:pPr>
        <w:spacing w:before="60" w:after="28"/>
        <w:jc w:val="right"/>
        <w:bidi/>
      </w:pPr>
      <w:r>
        <w:rPr>
          <w:b/>
          <w:color w:val="1F4D78"/>
          <w:sz w:val="18"/>
        </w:rPr>
        <w:t>16.4. شبکه نوآوری نگهبان و هوانورد</w:t>
      </w:r>
    </w:p>
    <w:p>
      <w:pPr>
        <w:spacing w:after="20"/>
        <w:ind w:left="259"/>
        <w:jc w:val="left"/>
      </w:pPr>
      <w:r>
        <w:rPr>
          <w:color w:val="555555"/>
          <w:sz w:val="12"/>
        </w:rPr>
        <w:t>16.4. Guardian and Airmen Innovation Network</w:t>
      </w:r>
    </w:p>
    <w:p>
      <w:pPr>
        <w:spacing w:after="20" w:line="223" w:lineRule="auto"/>
        <w:jc w:val="right"/>
        <w:bidi/>
      </w:pPr>
      <w:r>
        <w:rPr>
          <w:rFonts w:ascii="Arial" w:hAnsi="Arial"/>
          <w:sz w:val="16"/>
        </w:rPr>
        <w:t>288.24  برنامه شبکه نوآوری نگهبان و هوانورد (GAIN) بخش برنامه نوآوری نیروی هوایی است که پیشنهادات و ایده‌هایی را از هوانوردان درخواست می‌کند که به</w:t>
      </w:r>
    </w:p>
    <w:p>
      <w:pPr>
        <w:spacing w:after="28" w:line="216" w:lineRule="auto"/>
        <w:ind w:left="259"/>
        <w:jc w:val="left"/>
      </w:pPr>
      <w:r>
        <w:rPr>
          <w:rFonts w:ascii="Arial" w:hAnsi="Arial"/>
          <w:color w:val="525252"/>
          <w:sz w:val="13"/>
        </w:rPr>
        <w:t>Guardian and Airmen Innovation Network (GAIN) Program is the Department of the Air Force innovation program that solicits suggestions and ideas from Airmen which contribute to the</w:t>
      </w:r>
    </w:p>
    <w:p>
      <w:r>
        <w:br w:type="page"/>
      </w:r>
    </w:p>
    <w:p>
      <w:pPr>
        <w:spacing w:after="60"/>
        <w:jc w:val="right"/>
        <w:bidi/>
      </w:pPr>
      <w:r>
        <w:rPr>
          <w:rFonts w:ascii="Arial" w:hAnsi="Arial"/>
          <w:b/>
          <w:color w:val="1F4D78"/>
          <w:sz w:val="19"/>
        </w:rPr>
        <w:t>هفتهٔ 289  |  صفحهٔ منبع: 305</w:t>
      </w:r>
    </w:p>
    <w:p>
      <w:pPr>
        <w:spacing w:after="20" w:line="223" w:lineRule="auto"/>
        <w:jc w:val="right"/>
        <w:bidi/>
      </w:pPr>
      <w:r>
        <w:rPr>
          <w:rFonts w:ascii="Arial" w:hAnsi="Arial"/>
          <w:sz w:val="16"/>
        </w:rPr>
        <w:t>289.01  اثربخشی، کارایی، تکرار سازمانی، صرفه جویی در هزینه/اجتناب، و سایر بهبود عملیات یا برنامه‌های مربوط به نیروهای هوایی و فضایی.</w:t>
      </w:r>
    </w:p>
    <w:p>
      <w:pPr>
        <w:spacing w:after="28" w:line="216" w:lineRule="auto"/>
        <w:ind w:left="259"/>
        <w:jc w:val="left"/>
      </w:pPr>
      <w:r>
        <w:rPr>
          <w:rFonts w:ascii="Arial" w:hAnsi="Arial"/>
          <w:color w:val="525252"/>
          <w:sz w:val="13"/>
        </w:rPr>
        <w:t>effectiveness, efficiency, enterprise replication, cost savings/avoidance, and other improvement of operations or programs related to the Air and Space Forces.</w:t>
      </w:r>
    </w:p>
    <w:p>
      <w:r>
        <w:br w:type="page"/>
      </w:r>
    </w:p>
    <w:p>
      <w:pPr>
        <w:spacing w:after="60"/>
        <w:jc w:val="right"/>
        <w:bidi/>
      </w:pPr>
      <w:r>
        <w:rPr>
          <w:rFonts w:ascii="Arial" w:hAnsi="Arial"/>
          <w:b/>
          <w:color w:val="1F4D78"/>
          <w:sz w:val="19"/>
        </w:rPr>
        <w:t>هفتهٔ 290  |  صفحهٔ منبع: 306</w:t>
      </w:r>
    </w:p>
    <w:p>
      <w:pPr>
        <w:spacing w:before="60" w:after="28"/>
        <w:jc w:val="right"/>
        <w:bidi/>
      </w:pPr>
      <w:r>
        <w:rPr>
          <w:b/>
          <w:color w:val="1F4D78"/>
          <w:sz w:val="18"/>
        </w:rPr>
        <w:t>بخش 16B - فرآیندهای شناختی</w:t>
      </w:r>
    </w:p>
    <w:p>
      <w:pPr>
        <w:spacing w:after="20"/>
        <w:ind w:left="259"/>
        <w:jc w:val="left"/>
      </w:pPr>
      <w:r>
        <w:rPr>
          <w:color w:val="555555"/>
          <w:sz w:val="12"/>
        </w:rPr>
        <w:t>Section 16B—Cognitive Processes</w:t>
      </w:r>
    </w:p>
    <w:p>
      <w:pPr>
        <w:spacing w:before="60" w:after="28"/>
        <w:jc w:val="right"/>
        <w:bidi/>
      </w:pPr>
      <w:r>
        <w:rPr>
          <w:b/>
          <w:color w:val="1F4D78"/>
          <w:sz w:val="18"/>
        </w:rPr>
        <w:t>16.5. حذف شد.</w:t>
      </w:r>
    </w:p>
    <w:p>
      <w:pPr>
        <w:spacing w:after="20"/>
        <w:ind w:left="259"/>
        <w:jc w:val="left"/>
      </w:pPr>
      <w:r>
        <w:rPr>
          <w:color w:val="555555"/>
          <w:sz w:val="12"/>
        </w:rPr>
        <w:t>16.5. DELETED.</w:t>
      </w:r>
    </w:p>
    <w:p>
      <w:pPr>
        <w:spacing w:before="60" w:after="28"/>
        <w:jc w:val="right"/>
        <w:bidi/>
      </w:pPr>
      <w:r>
        <w:rPr>
          <w:b/>
          <w:color w:val="1F4D78"/>
          <w:sz w:val="18"/>
        </w:rPr>
        <w:t>16.6. قاب های ذهنی</w:t>
      </w:r>
    </w:p>
    <w:p>
      <w:pPr>
        <w:spacing w:after="20"/>
        <w:ind w:left="259"/>
        <w:jc w:val="left"/>
      </w:pPr>
      <w:r>
        <w:rPr>
          <w:color w:val="555555"/>
          <w:sz w:val="12"/>
        </w:rPr>
        <w:t>16.6. Mental Frames</w:t>
      </w:r>
    </w:p>
    <w:p>
      <w:pPr>
        <w:spacing w:after="20" w:line="223" w:lineRule="auto"/>
        <w:jc w:val="right"/>
        <w:bidi/>
      </w:pPr>
      <w:r>
        <w:rPr>
          <w:rFonts w:ascii="Arial" w:hAnsi="Arial"/>
          <w:sz w:val="16"/>
        </w:rPr>
        <w:t>290.04  هر یک از ما از چارچوب‌ها و میانبرهای ذهنی برای ساده کردن درک خود از دنیای پیچیده استفاده می‌کنیم.</w:t>
      </w:r>
    </w:p>
    <w:p>
      <w:pPr>
        <w:spacing w:after="28" w:line="216" w:lineRule="auto"/>
        <w:ind w:left="259"/>
        <w:jc w:val="left"/>
      </w:pPr>
      <w:r>
        <w:rPr>
          <w:rFonts w:ascii="Arial" w:hAnsi="Arial"/>
          <w:color w:val="525252"/>
          <w:sz w:val="13"/>
        </w:rPr>
        <w:t>Each of us uses mental frameworks and shortcuts to simplify our understanding of a complex world.</w:t>
      </w:r>
    </w:p>
    <w:p>
      <w:pPr>
        <w:spacing w:after="20" w:line="223" w:lineRule="auto"/>
        <w:jc w:val="right"/>
        <w:bidi/>
      </w:pPr>
      <w:r>
        <w:rPr>
          <w:rFonts w:ascii="Arial" w:hAnsi="Arial"/>
          <w:sz w:val="16"/>
        </w:rPr>
        <w:t>290.05  استفاده از چارچوب‌ها به ما کمک می‌کند اطلاعات را سریع و کارآمد پردازش کنیم.</w:t>
      </w:r>
    </w:p>
    <w:p>
      <w:pPr>
        <w:spacing w:after="28" w:line="216" w:lineRule="auto"/>
        <w:ind w:left="259"/>
        <w:jc w:val="left"/>
      </w:pPr>
      <w:r>
        <w:rPr>
          <w:rFonts w:ascii="Arial" w:hAnsi="Arial"/>
          <w:color w:val="525252"/>
          <w:sz w:val="13"/>
        </w:rPr>
        <w:t>The use of frameworks helps us process information quickly and efficiently.</w:t>
      </w:r>
    </w:p>
    <w:p>
      <w:pPr>
        <w:spacing w:after="20" w:line="223" w:lineRule="auto"/>
        <w:jc w:val="right"/>
        <w:bidi/>
      </w:pPr>
      <w:r>
        <w:rPr>
          <w:rFonts w:ascii="Arial" w:hAnsi="Arial"/>
          <w:sz w:val="16"/>
        </w:rPr>
        <w:t>290.06  فریم‌ها شامل مفروضات ما در مورد چگونگی ارتباط چیزها و نحوه کار آنها می‌شود.</w:t>
      </w:r>
    </w:p>
    <w:p>
      <w:pPr>
        <w:spacing w:after="28" w:line="216" w:lineRule="auto"/>
        <w:ind w:left="259"/>
        <w:jc w:val="left"/>
      </w:pPr>
      <w:r>
        <w:rPr>
          <w:rFonts w:ascii="Arial" w:hAnsi="Arial"/>
          <w:color w:val="525252"/>
          <w:sz w:val="13"/>
        </w:rPr>
        <w:t>Frames consist of our assumptions about how things are related and how they work.</w:t>
      </w:r>
    </w:p>
    <w:p>
      <w:pPr>
        <w:spacing w:after="20" w:line="223" w:lineRule="auto"/>
        <w:jc w:val="right"/>
        <w:bidi/>
      </w:pPr>
      <w:r>
        <w:rPr>
          <w:rFonts w:ascii="Arial" w:hAnsi="Arial"/>
          <w:sz w:val="16"/>
        </w:rPr>
        <w:t>290.07  این اثر به‌ویژه هنگامی که یک چالش را به‌عنوان یک ریسک یا یک فرصت در نظر می‌گیریم قابل توجه است.</w:t>
      </w:r>
    </w:p>
    <w:p>
      <w:pPr>
        <w:spacing w:after="28" w:line="216" w:lineRule="auto"/>
        <w:ind w:left="259"/>
        <w:jc w:val="left"/>
      </w:pPr>
      <w:r>
        <w:rPr>
          <w:rFonts w:ascii="Arial" w:hAnsi="Arial"/>
          <w:color w:val="525252"/>
          <w:sz w:val="13"/>
        </w:rPr>
        <w:t>This effect is particularly noticeable when framing a challenge as either a risk or an opportunity.</w:t>
      </w:r>
    </w:p>
    <w:p>
      <w:pPr>
        <w:spacing w:after="20" w:line="223" w:lineRule="auto"/>
        <w:jc w:val="right"/>
        <w:bidi/>
      </w:pPr>
      <w:r>
        <w:rPr>
          <w:rFonts w:ascii="Arial" w:hAnsi="Arial"/>
          <w:sz w:val="16"/>
        </w:rPr>
        <w:t>290.08  تحقیقات نشان می‌دهد که ذهن انسان به‌طور طبیعی بازده مورد انتظار مرتبط با یک موقعیت پرخطر را تخمین می‌زند.</w:t>
      </w:r>
    </w:p>
    <w:p>
      <w:pPr>
        <w:spacing w:after="28" w:line="216" w:lineRule="auto"/>
        <w:ind w:left="259"/>
        <w:jc w:val="left"/>
      </w:pPr>
      <w:r>
        <w:rPr>
          <w:rFonts w:ascii="Arial" w:hAnsi="Arial"/>
          <w:color w:val="525252"/>
          <w:sz w:val="13"/>
        </w:rPr>
        <w:t>Research shows that the human mind naturally estimates the expected return associated with a risky situation.</w:t>
      </w:r>
    </w:p>
    <w:p>
      <w:pPr>
        <w:spacing w:after="20" w:line="223" w:lineRule="auto"/>
        <w:jc w:val="right"/>
        <w:bidi/>
      </w:pPr>
      <w:r>
        <w:rPr>
          <w:rFonts w:ascii="Arial" w:hAnsi="Arial"/>
          <w:sz w:val="16"/>
        </w:rPr>
        <w:t>290.09  رهبران هر سازمان یا تیم تصمیم‌گیری باید مراقب تحمیل چارچوب‌های ذهنی به خود و تیم‌هایشان در جایی که نیاز به تفکر انتقادی است، باشند.</w:t>
      </w:r>
    </w:p>
    <w:p>
      <w:pPr>
        <w:spacing w:after="28" w:line="216" w:lineRule="auto"/>
        <w:ind w:left="259"/>
        <w:jc w:val="left"/>
      </w:pPr>
      <w:r>
        <w:rPr>
          <w:rFonts w:ascii="Arial" w:hAnsi="Arial"/>
          <w:color w:val="525252"/>
          <w:sz w:val="13"/>
        </w:rPr>
        <w:t>Leaders of any organization or decision-making team must be careful about imposing mental frames on themselves and their teams where critical thinking is needed.</w:t>
      </w:r>
    </w:p>
    <w:p>
      <w:pPr>
        <w:spacing w:after="20" w:line="223" w:lineRule="auto"/>
        <w:jc w:val="right"/>
        <w:bidi/>
      </w:pPr>
      <w:r>
        <w:rPr>
          <w:rFonts w:ascii="Arial" w:hAnsi="Arial"/>
          <w:sz w:val="16"/>
        </w:rPr>
        <w:t>290.10  نظریه چشم انداز.</w:t>
      </w:r>
    </w:p>
    <w:p>
      <w:pPr>
        <w:spacing w:after="28" w:line="216" w:lineRule="auto"/>
        <w:ind w:left="259"/>
        <w:jc w:val="left"/>
      </w:pPr>
      <w:r>
        <w:rPr>
          <w:rFonts w:ascii="Arial" w:hAnsi="Arial"/>
          <w:color w:val="525252"/>
          <w:sz w:val="13"/>
        </w:rPr>
        <w:t>Prospect Theory.</w:t>
      </w:r>
    </w:p>
    <w:p>
      <w:pPr>
        <w:spacing w:after="20" w:line="223" w:lineRule="auto"/>
        <w:jc w:val="right"/>
        <w:bidi/>
      </w:pPr>
      <w:r>
        <w:rPr>
          <w:rFonts w:ascii="Arial" w:hAnsi="Arial"/>
          <w:sz w:val="16"/>
        </w:rPr>
        <w:t>290.11  نظریه چشم انداز معمولا به‌عنوان عمل چارچوب بندی یک موقعیت به‌عنوان یک سود بالقوه شناخته می‌شود که باعث می‌شود تصمیم گیرندگان به گونه‌ای متفاوت از زمانی که همان موقعیت را به‌عنوان زیان احتمالی چارچوب بندی می‌کنند، عمل کنند.</w:t>
      </w:r>
    </w:p>
    <w:p>
      <w:pPr>
        <w:spacing w:after="28" w:line="216" w:lineRule="auto"/>
        <w:ind w:left="259"/>
        <w:jc w:val="left"/>
      </w:pPr>
      <w:r>
        <w:rPr>
          <w:rFonts w:ascii="Arial" w:hAnsi="Arial"/>
          <w:color w:val="525252"/>
          <w:sz w:val="13"/>
        </w:rPr>
        <w:t>Prospect theory is commonly recognized as the act of framing a situation as a potential gain that causes decision-makers to act differently than when framing the same situation as a potential loss.</w:t>
      </w:r>
    </w:p>
    <w:p>
      <w:pPr>
        <w:spacing w:after="20" w:line="223" w:lineRule="auto"/>
        <w:jc w:val="right"/>
        <w:bidi/>
      </w:pPr>
      <w:r>
        <w:rPr>
          <w:rFonts w:ascii="Arial" w:hAnsi="Arial"/>
          <w:sz w:val="16"/>
        </w:rPr>
        <w:t>290.12  نظریه چشم‌انداز به توضیح تمایل ما به افزایش تعهد بر اساس هزینه‌های کاهش‌یافته به جای ارزیابی منطقی کمک می‌کند.</w:t>
      </w:r>
    </w:p>
    <w:p>
      <w:pPr>
        <w:spacing w:after="28" w:line="216" w:lineRule="auto"/>
        <w:ind w:left="259"/>
        <w:jc w:val="left"/>
      </w:pPr>
      <w:r>
        <w:rPr>
          <w:rFonts w:ascii="Arial" w:hAnsi="Arial"/>
          <w:color w:val="525252"/>
          <w:sz w:val="13"/>
        </w:rPr>
        <w:t>Prospect theory helps explain our tendency to escalate commitment based on sunk costs instead of making rational evaluations.</w:t>
      </w:r>
    </w:p>
    <w:p>
      <w:pPr>
        <w:spacing w:after="20" w:line="223" w:lineRule="auto"/>
        <w:jc w:val="right"/>
        <w:bidi/>
      </w:pPr>
      <w:r>
        <w:rPr>
          <w:rFonts w:ascii="Arial" w:hAnsi="Arial"/>
          <w:sz w:val="16"/>
        </w:rPr>
        <w:t>290.13  بر اساس استدلال‌های هزینه غرق‌شده، رهبران اغلب ریسک بیشتری را متحمل می‌شوند و منابع اضافی را برای جلوگیری از ضرر حتی زمانی که شانس موفقیت کم است متعهد می‌شوند.</w:t>
      </w:r>
    </w:p>
    <w:p>
      <w:pPr>
        <w:spacing w:after="28" w:line="216" w:lineRule="auto"/>
        <w:ind w:left="259"/>
        <w:jc w:val="left"/>
      </w:pPr>
      <w:r>
        <w:rPr>
          <w:rFonts w:ascii="Arial" w:hAnsi="Arial"/>
          <w:color w:val="525252"/>
          <w:sz w:val="13"/>
        </w:rPr>
        <w:t>Based on sunk cost arguments, leaders often take on more risk, committing additional resources to avoid losses even when the chances of success are low.</w:t>
      </w:r>
    </w:p>
    <w:p>
      <w:pPr>
        <w:spacing w:after="20" w:line="223" w:lineRule="auto"/>
        <w:jc w:val="right"/>
        <w:bidi/>
      </w:pPr>
      <w:r>
        <w:rPr>
          <w:rFonts w:ascii="Arial" w:hAnsi="Arial"/>
          <w:sz w:val="16"/>
        </w:rPr>
        <w:t>290.14  قماربازانی که حتی زمانی که در حال تجربه یک باخت هستند، شرط می‌بندند، نمونه‌ای از تئوری چشم‌انداز است که در آن «شانس» برنده شدن با هر شانس بیشتر به نظر می‌رسد.</w:t>
      </w:r>
    </w:p>
    <w:p>
      <w:pPr>
        <w:spacing w:after="28" w:line="216" w:lineRule="auto"/>
        <w:ind w:left="259"/>
        <w:jc w:val="left"/>
      </w:pPr>
      <w:r>
        <w:rPr>
          <w:rFonts w:ascii="Arial" w:hAnsi="Arial"/>
          <w:color w:val="525252"/>
          <w:sz w:val="13"/>
        </w:rPr>
        <w:t>Gamblers placing bets even when they are experiencing a losing streak is an example of prospect theory in that the ‘chances’ of winning seem greater with each chance taken.</w:t>
      </w:r>
    </w:p>
    <w:p>
      <w:pPr>
        <w:spacing w:after="20" w:line="223" w:lineRule="auto"/>
        <w:jc w:val="right"/>
        <w:bidi/>
      </w:pPr>
      <w:r>
        <w:rPr>
          <w:rFonts w:ascii="Arial" w:hAnsi="Arial"/>
          <w:sz w:val="16"/>
        </w:rPr>
        <w:t>290.15  تغییر.</w:t>
      </w:r>
    </w:p>
    <w:p>
      <w:pPr>
        <w:spacing w:after="28" w:line="216" w:lineRule="auto"/>
        <w:ind w:left="259"/>
        <w:jc w:val="left"/>
      </w:pPr>
      <w:r>
        <w:rPr>
          <w:rFonts w:ascii="Arial" w:hAnsi="Arial"/>
          <w:color w:val="525252"/>
          <w:sz w:val="13"/>
        </w:rPr>
        <w:t>Change.</w:t>
      </w:r>
    </w:p>
    <w:p>
      <w:pPr>
        <w:spacing w:after="20" w:line="223" w:lineRule="auto"/>
        <w:jc w:val="right"/>
        <w:bidi/>
      </w:pPr>
      <w:r>
        <w:rPr>
          <w:rFonts w:ascii="Arial" w:hAnsi="Arial"/>
          <w:sz w:val="16"/>
        </w:rPr>
        <w:t>290.16  یکی دیگر از پیامدهای چارچوب‌بندی این است که سازمان‌ها در هنگام مواجهه با تغییرات در محیط عملیاتی یا وظایف مأموریت، چگونه واکنش نشان می‌دهند.</w:t>
      </w:r>
    </w:p>
    <w:p>
      <w:pPr>
        <w:spacing w:after="28" w:line="216" w:lineRule="auto"/>
        <w:ind w:left="259"/>
        <w:jc w:val="left"/>
      </w:pPr>
      <w:r>
        <w:rPr>
          <w:rFonts w:ascii="Arial" w:hAnsi="Arial"/>
          <w:color w:val="525252"/>
          <w:sz w:val="13"/>
        </w:rPr>
        <w:t>Another implication of framing is how organizations react when faced with changes in the operating environment or mission tasking.</w:t>
      </w:r>
    </w:p>
    <w:p>
      <w:pPr>
        <w:spacing w:after="20" w:line="223" w:lineRule="auto"/>
        <w:jc w:val="right"/>
        <w:bidi/>
      </w:pPr>
      <w:r>
        <w:rPr>
          <w:rFonts w:ascii="Arial" w:hAnsi="Arial"/>
          <w:sz w:val="16"/>
        </w:rPr>
        <w:t>290.17  در سطح سازمانی، تهدیدات برای چارچوب راحت مفروضات ما اغلب با مقاومت سخت مواجه می‌شوند، در حالی که تغییراتی که به‌عنوان فرصت‌ها می‌بینیم با انعطاف‌پذیری و سازگاری مواجه می‌شوند.</w:t>
      </w:r>
    </w:p>
    <w:p>
      <w:pPr>
        <w:spacing w:after="28" w:line="216" w:lineRule="auto"/>
        <w:ind w:left="259"/>
        <w:jc w:val="left"/>
      </w:pPr>
      <w:r>
        <w:rPr>
          <w:rFonts w:ascii="Arial" w:hAnsi="Arial"/>
          <w:color w:val="525252"/>
          <w:sz w:val="13"/>
        </w:rPr>
        <w:t>At the organizational level, threats to our comfortable framework of assumptions are often met with rigid resistance, while changes we see as opportunities are met with flexibility and adaptability.</w:t>
      </w:r>
    </w:p>
    <w:p>
      <w:pPr>
        <w:spacing w:after="20" w:line="223" w:lineRule="auto"/>
        <w:jc w:val="right"/>
        <w:bidi/>
      </w:pPr>
      <w:r>
        <w:rPr>
          <w:rFonts w:ascii="Arial" w:hAnsi="Arial"/>
          <w:sz w:val="16"/>
        </w:rPr>
        <w:t>290.18  به‌عنوان انسان، هوانوردان تابع چارچوب‌های اولیه‌ای هستند که ما هنگام رویارویی با تغییرات ایجاد می‌کنیم.</w:t>
      </w:r>
    </w:p>
    <w:p>
      <w:pPr>
        <w:spacing w:after="28" w:line="216" w:lineRule="auto"/>
        <w:ind w:left="259"/>
        <w:jc w:val="left"/>
      </w:pPr>
      <w:r>
        <w:rPr>
          <w:rFonts w:ascii="Arial" w:hAnsi="Arial"/>
          <w:color w:val="525252"/>
          <w:sz w:val="13"/>
        </w:rPr>
        <w:t>As human beings, Airmen are subject to the initial frameworks we establish when confronting change.</w:t>
      </w:r>
    </w:p>
    <w:p>
      <w:pPr>
        <w:spacing w:after="20" w:line="223" w:lineRule="auto"/>
        <w:jc w:val="right"/>
        <w:bidi/>
      </w:pPr>
      <w:r>
        <w:rPr>
          <w:rFonts w:ascii="Arial" w:hAnsi="Arial"/>
          <w:sz w:val="16"/>
        </w:rPr>
        <w:t>290.19  خوب یا بد، این چارچوب‌ها برای محدود کردن اطلاعاتی که دریافت می‌کنیم، تمایل ما به ارزیابی منصفانه و بی‌طرفانه اطلاعات را محدود می‌کنند و در نهایت مجموعه راه‌حل‌هایی را که ایجاد می‌کنیم محدود می‌کنند.</w:t>
      </w:r>
    </w:p>
    <w:p>
      <w:pPr>
        <w:spacing w:after="28" w:line="216" w:lineRule="auto"/>
        <w:ind w:left="259"/>
        <w:jc w:val="left"/>
      </w:pPr>
      <w:r>
        <w:rPr>
          <w:rFonts w:ascii="Arial" w:hAnsi="Arial"/>
          <w:color w:val="525252"/>
          <w:sz w:val="13"/>
        </w:rPr>
        <w:t>For good or bad, these frameworks act to limit the information we take in, our willingness to fairly and unbiasedly assess information, and ultimately restrict the solution sets we create.</w:t>
      </w:r>
    </w:p>
    <w:p>
      <w:pPr>
        <w:spacing w:after="20" w:line="223" w:lineRule="auto"/>
        <w:jc w:val="right"/>
        <w:bidi/>
      </w:pPr>
      <w:r>
        <w:rPr>
          <w:rFonts w:ascii="Arial" w:hAnsi="Arial"/>
          <w:sz w:val="16"/>
        </w:rPr>
        <w:t>290.20  آگاهانه از تمایل ذاتی برای تلقی کردن تغییر به‌عنوان تهدید آمیز اجتناب کنید.</w:t>
      </w:r>
    </w:p>
    <w:p>
      <w:pPr>
        <w:spacing w:after="28" w:line="216" w:lineRule="auto"/>
        <w:ind w:left="259"/>
        <w:jc w:val="left"/>
      </w:pPr>
      <w:r>
        <w:rPr>
          <w:rFonts w:ascii="Arial" w:hAnsi="Arial"/>
          <w:color w:val="525252"/>
          <w:sz w:val="13"/>
        </w:rPr>
        <w:t>Consciously avoid an inherent tendency to view change as threatening.</w:t>
      </w:r>
    </w:p>
    <w:p>
      <w:pPr>
        <w:spacing w:after="20" w:line="223" w:lineRule="auto"/>
        <w:jc w:val="right"/>
        <w:bidi/>
      </w:pPr>
      <w:r>
        <w:rPr>
          <w:rFonts w:ascii="Arial" w:hAnsi="Arial"/>
          <w:sz w:val="16"/>
        </w:rPr>
        <w:t>290.21  چارچوب‌بندی عمدی تغییر به‌عنوان یک فرصت ممکن است به دیگران اجازه دهد تا آزادانه عادات ذهنی لازم برای تصمیم‌گیری آگاهانه را اعمال کنند.</w:t>
      </w:r>
    </w:p>
    <w:p>
      <w:pPr>
        <w:spacing w:after="28" w:line="216" w:lineRule="auto"/>
        <w:ind w:left="259"/>
        <w:jc w:val="left"/>
      </w:pPr>
      <w:r>
        <w:rPr>
          <w:rFonts w:ascii="Arial" w:hAnsi="Arial"/>
          <w:color w:val="525252"/>
          <w:sz w:val="13"/>
        </w:rPr>
        <w:t>Intentionally framing change as an opportunity may allow others to freely exercise the habits of mind necessary to make well informed decisions.</w:t>
      </w:r>
    </w:p>
    <w:p>
      <w:pPr>
        <w:spacing w:after="20" w:line="223" w:lineRule="auto"/>
        <w:jc w:val="right"/>
        <w:bidi/>
      </w:pPr>
      <w:r>
        <w:rPr>
          <w:rFonts w:ascii="Arial" w:hAnsi="Arial"/>
          <w:sz w:val="16"/>
        </w:rPr>
        <w:t>290.22  تشبیهات.</w:t>
      </w:r>
    </w:p>
    <w:p>
      <w:pPr>
        <w:spacing w:after="28" w:line="216" w:lineRule="auto"/>
        <w:ind w:left="259"/>
        <w:jc w:val="left"/>
      </w:pPr>
      <w:r>
        <w:rPr>
          <w:rFonts w:ascii="Arial" w:hAnsi="Arial"/>
          <w:color w:val="525252"/>
          <w:sz w:val="13"/>
        </w:rPr>
        <w:t>Analogies.</w:t>
      </w:r>
    </w:p>
    <w:p>
      <w:pPr>
        <w:spacing w:after="20" w:line="223" w:lineRule="auto"/>
        <w:jc w:val="right"/>
        <w:bidi/>
      </w:pPr>
      <w:r>
        <w:rPr>
          <w:rFonts w:ascii="Arial" w:hAnsi="Arial"/>
          <w:sz w:val="16"/>
        </w:rPr>
        <w:t>290.23  قیاس‌ها اغلب ابزارهای قدرتمند تصمیم‌گیری هستند.</w:t>
      </w:r>
    </w:p>
    <w:p>
      <w:pPr>
        <w:spacing w:after="28" w:line="216" w:lineRule="auto"/>
        <w:ind w:left="259"/>
        <w:jc w:val="left"/>
      </w:pPr>
      <w:r>
        <w:rPr>
          <w:rFonts w:ascii="Arial" w:hAnsi="Arial"/>
          <w:color w:val="525252"/>
          <w:sz w:val="13"/>
        </w:rPr>
        <w:t>Analogies are often powerful decision-making tools.</w:t>
      </w:r>
    </w:p>
    <w:p>
      <w:pPr>
        <w:spacing w:after="20" w:line="223" w:lineRule="auto"/>
        <w:jc w:val="right"/>
        <w:bidi/>
      </w:pPr>
      <w:r>
        <w:rPr>
          <w:rFonts w:ascii="Arial" w:hAnsi="Arial"/>
          <w:sz w:val="16"/>
        </w:rPr>
        <w:t>290.24  زمانی که قیاس‌هایی از یک حوزه یا حوزه به حوزه دیگر اعمال می‌شود، گاهی اوقات پیشرفت‌های نوآورانه بزرگی رخ می‌دهد.</w:t>
      </w:r>
    </w:p>
    <w:p>
      <w:pPr>
        <w:spacing w:after="28" w:line="216" w:lineRule="auto"/>
        <w:ind w:left="259"/>
        <w:jc w:val="left"/>
      </w:pPr>
      <w:r>
        <w:rPr>
          <w:rFonts w:ascii="Arial" w:hAnsi="Arial"/>
          <w:color w:val="525252"/>
          <w:sz w:val="13"/>
        </w:rPr>
        <w:t>Great innovative breakthroughs can sometimes occur when analogies from one field or domain are applied to another.</w:t>
      </w:r>
    </w:p>
    <w:p>
      <w:pPr>
        <w:spacing w:after="20" w:line="223" w:lineRule="auto"/>
        <w:jc w:val="right"/>
        <w:bidi/>
      </w:pPr>
      <w:r>
        <w:rPr>
          <w:rFonts w:ascii="Arial" w:hAnsi="Arial"/>
          <w:sz w:val="16"/>
        </w:rPr>
        <w:t>290.25  استدلال از طریق قیاس زمانی اتفاق می‌افتد که موقعیتی را ارزیابی کرده و آن را با تجربیات مشابهی که پیش‌تر با آن مواجه شده‌ایم مطابقت دهیم.</w:t>
      </w:r>
    </w:p>
    <w:p>
      <w:pPr>
        <w:spacing w:after="28" w:line="216" w:lineRule="auto"/>
        <w:ind w:left="259"/>
        <w:jc w:val="left"/>
      </w:pPr>
      <w:r>
        <w:rPr>
          <w:rFonts w:ascii="Arial" w:hAnsi="Arial"/>
          <w:color w:val="525252"/>
          <w:sz w:val="13"/>
        </w:rPr>
        <w:t>Reasoning by analogy occurs when we assess a situation and match it to similar experiences we have previously encountered.</w:t>
      </w:r>
    </w:p>
    <w:p>
      <w:pPr>
        <w:spacing w:after="20" w:line="223" w:lineRule="auto"/>
        <w:jc w:val="right"/>
        <w:bidi/>
      </w:pPr>
      <w:r>
        <w:rPr>
          <w:rFonts w:ascii="Arial" w:hAnsi="Arial"/>
          <w:sz w:val="16"/>
        </w:rPr>
        <w:t>290.26  در سطح خودآگاه، قیاس‌ها را می‌توان برای صرفه‌جویی در زمان و ارائه سرنخ‌هایی درباره دوره‌های عمل و پیامدهای فرآیند تصمیم‌گیری استفاده کرد.</w:t>
      </w:r>
    </w:p>
    <w:p>
      <w:pPr>
        <w:spacing w:after="28" w:line="216" w:lineRule="auto"/>
        <w:ind w:left="259"/>
        <w:jc w:val="left"/>
      </w:pPr>
      <w:r>
        <w:rPr>
          <w:rFonts w:ascii="Arial" w:hAnsi="Arial"/>
          <w:color w:val="525252"/>
          <w:sz w:val="13"/>
        </w:rPr>
        <w:t>At the conscious level, analogies can be used to save time and provide clues about courses of action and implications for a decision-making process.</w:t>
      </w:r>
    </w:p>
    <w:p>
      <w:pPr>
        <w:spacing w:after="20" w:line="223" w:lineRule="auto"/>
        <w:jc w:val="right"/>
        <w:bidi/>
      </w:pPr>
      <w:r>
        <w:rPr>
          <w:rFonts w:ascii="Arial" w:hAnsi="Arial"/>
          <w:sz w:val="16"/>
        </w:rPr>
        <w:t>290.27  با این حال، بدون بررسی عمدی، قیاس‌ها ممکن است ما را به تمرکز بر شباهت‌های بین رویدادها و کم اهمیت جلوه دادن تفاوت‌های مهم سوق دهند.</w:t>
      </w:r>
    </w:p>
    <w:p>
      <w:pPr>
        <w:spacing w:after="28" w:line="216" w:lineRule="auto"/>
        <w:ind w:left="259"/>
        <w:jc w:val="left"/>
      </w:pPr>
      <w:r>
        <w:rPr>
          <w:rFonts w:ascii="Arial" w:hAnsi="Arial"/>
          <w:color w:val="525252"/>
          <w:sz w:val="13"/>
        </w:rPr>
        <w:t>However, without deliberate consideration, analogies may lead us to focus on similarities between events and downplay important differences.</w:t>
      </w:r>
    </w:p>
    <w:p>
      <w:pPr>
        <w:spacing w:after="20" w:line="223" w:lineRule="auto"/>
        <w:jc w:val="right"/>
        <w:bidi/>
      </w:pPr>
      <w:r>
        <w:rPr>
          <w:rFonts w:ascii="Arial" w:hAnsi="Arial"/>
          <w:sz w:val="16"/>
        </w:rPr>
        <w:t>290.28  هنگام مجاز کردن قیاس در تصمیم‌گیری، باید تلاش کرد تا واقعیت را از فرض جدا کرد.</w:t>
      </w:r>
    </w:p>
    <w:p>
      <w:pPr>
        <w:spacing w:after="28" w:line="216" w:lineRule="auto"/>
        <w:ind w:left="259"/>
        <w:jc w:val="left"/>
      </w:pPr>
      <w:r>
        <w:rPr>
          <w:rFonts w:ascii="Arial" w:hAnsi="Arial"/>
          <w:color w:val="525252"/>
          <w:sz w:val="13"/>
        </w:rPr>
        <w:t>When allowing analogy in decision-making, effort should be made to clearly separate fact from assumption.</w:t>
      </w:r>
    </w:p>
    <w:p>
      <w:pPr>
        <w:spacing w:after="20" w:line="223" w:lineRule="auto"/>
        <w:jc w:val="right"/>
        <w:bidi/>
      </w:pPr>
      <w:r>
        <w:rPr>
          <w:rFonts w:ascii="Arial" w:hAnsi="Arial"/>
          <w:sz w:val="16"/>
        </w:rPr>
        <w:t>290.29  عمل زیر سوال بردن مفروضات در هر فرآیند تصمیم‌گیری، اساسا این است که چگونه عادات ذهنی لازم برای تفکر انتقادی خوب را به کار می‌بریم.</w:t>
      </w:r>
    </w:p>
    <w:p>
      <w:pPr>
        <w:spacing w:after="28" w:line="216" w:lineRule="auto"/>
        <w:ind w:left="259"/>
        <w:jc w:val="left"/>
      </w:pPr>
      <w:r>
        <w:rPr>
          <w:rFonts w:ascii="Arial" w:hAnsi="Arial"/>
          <w:color w:val="525252"/>
          <w:sz w:val="13"/>
        </w:rPr>
        <w:t>The act of questioning assumptions in any decision- making process is, at its heart, how we apply the habits of mind necessary for good critical thought.</w:t>
      </w:r>
    </w:p>
    <w:p>
      <w:pPr>
        <w:spacing w:after="20" w:line="223" w:lineRule="auto"/>
        <w:jc w:val="right"/>
        <w:bidi/>
      </w:pPr>
      <w:r>
        <w:rPr>
          <w:rFonts w:ascii="Arial" w:hAnsi="Arial"/>
          <w:sz w:val="16"/>
        </w:rPr>
        <w:t>290.30  شهود.</w:t>
      </w:r>
    </w:p>
    <w:p>
      <w:pPr>
        <w:spacing w:after="28" w:line="216" w:lineRule="auto"/>
        <w:ind w:left="259"/>
        <w:jc w:val="left"/>
      </w:pPr>
      <w:r>
        <w:rPr>
          <w:rFonts w:ascii="Arial" w:hAnsi="Arial"/>
          <w:color w:val="525252"/>
          <w:sz w:val="13"/>
        </w:rPr>
        <w:t>Intuition.</w:t>
      </w:r>
    </w:p>
    <w:p>
      <w:pPr>
        <w:spacing w:after="20" w:line="223" w:lineRule="auto"/>
        <w:jc w:val="right"/>
        <w:bidi/>
      </w:pPr>
      <w:r>
        <w:rPr>
          <w:rFonts w:ascii="Arial" w:hAnsi="Arial"/>
          <w:sz w:val="16"/>
        </w:rPr>
        <w:t>290.31  شهود زمانی می‌تواند مکمل یک تصمیم‌گیرنده باشد که همراه با ارزیابی مجموعه‌ای از گزینه‌ها و نه صرفا مبتنی بر تحلیل عینی استفاده شود.</w:t>
      </w:r>
    </w:p>
    <w:p>
      <w:pPr>
        <w:spacing w:after="28" w:line="216" w:lineRule="auto"/>
        <w:ind w:left="259"/>
        <w:jc w:val="left"/>
      </w:pPr>
      <w:r>
        <w:rPr>
          <w:rFonts w:ascii="Arial" w:hAnsi="Arial"/>
          <w:color w:val="525252"/>
          <w:sz w:val="13"/>
        </w:rPr>
        <w:t>Intuition can complement a decision-maker when used in conjunction with the evaluation of a whole series of alternatives and not solely based on objective analysis.</w:t>
      </w:r>
    </w:p>
    <w:p>
      <w:pPr>
        <w:spacing w:after="20" w:line="223" w:lineRule="auto"/>
        <w:jc w:val="right"/>
        <w:bidi/>
      </w:pPr>
      <w:r>
        <w:rPr>
          <w:rFonts w:ascii="Arial" w:hAnsi="Arial"/>
          <w:sz w:val="16"/>
        </w:rPr>
        <w:t>290.32  نقطه قوت استفاده از شهود این است که مبتنی بر تطبیق الگوهای تجربیات قبلی با نشانه‌هایی است که در محیط کنونی انتخاب شده‌اند.</w:t>
      </w:r>
    </w:p>
    <w:p>
      <w:pPr>
        <w:spacing w:after="28" w:line="216" w:lineRule="auto"/>
        <w:ind w:left="259"/>
        <w:jc w:val="left"/>
      </w:pPr>
      <w:r>
        <w:rPr>
          <w:rFonts w:ascii="Arial" w:hAnsi="Arial"/>
          <w:color w:val="525252"/>
          <w:sz w:val="13"/>
        </w:rPr>
        <w:t>A strength of using intuition is that it is based on matching patterns from previous experiences to cues picked up in the current environment.</w:t>
      </w:r>
    </w:p>
    <w:p>
      <w:pPr>
        <w:spacing w:after="20" w:line="223" w:lineRule="auto"/>
        <w:jc w:val="right"/>
        <w:bidi/>
      </w:pPr>
      <w:r>
        <w:rPr>
          <w:rFonts w:ascii="Arial" w:hAnsi="Arial"/>
          <w:sz w:val="16"/>
        </w:rPr>
        <w:t>290.33  بر اساس شناخت الگوها، تصمیم گیرندگان ممکن است به جای کاوش واقعی گزینه‌ها، روشی را انتخاب کنند که گویی یک فیلمنامه را می‌خوانند.</w:t>
      </w:r>
    </w:p>
    <w:p>
      <w:pPr>
        <w:spacing w:after="28" w:line="216" w:lineRule="auto"/>
        <w:ind w:left="259"/>
        <w:jc w:val="left"/>
      </w:pPr>
      <w:r>
        <w:rPr>
          <w:rFonts w:ascii="Arial" w:hAnsi="Arial"/>
          <w:color w:val="525252"/>
          <w:sz w:val="13"/>
        </w:rPr>
        <w:t>Based on recognition of patterns, decision-makers may select a course of action as if reading a script instead of truly exploring options.</w:t>
      </w:r>
    </w:p>
    <w:p>
      <w:pPr>
        <w:spacing w:after="20" w:line="223" w:lineRule="auto"/>
        <w:jc w:val="right"/>
        <w:bidi/>
      </w:pPr>
      <w:r>
        <w:rPr>
          <w:rFonts w:ascii="Arial" w:hAnsi="Arial"/>
          <w:sz w:val="16"/>
        </w:rPr>
        <w:t>290.34  پس از تصمیم‌گیری در مورد یک اقدام ترجیحی اولیه، رهبران ارشد اغلب به صورت ذهنی راه حلی را ارائه می‌دهند و اگر به نظر امکان پذیر باشد، آن را دنبال می‌کنند.</w:t>
      </w:r>
    </w:p>
    <w:p>
      <w:pPr>
        <w:spacing w:after="28" w:line="216" w:lineRule="auto"/>
        <w:ind w:left="259"/>
        <w:jc w:val="left"/>
      </w:pPr>
      <w:r>
        <w:rPr>
          <w:rFonts w:ascii="Arial" w:hAnsi="Arial"/>
          <w:color w:val="525252"/>
          <w:sz w:val="13"/>
        </w:rPr>
        <w:t>Having decided on an initial preferred course of action, senior leaders often mentally play out a solution, and if it seems feasible, they go with it.</w:t>
      </w:r>
    </w:p>
    <w:p>
      <w:pPr>
        <w:spacing w:after="20" w:line="223" w:lineRule="auto"/>
        <w:jc w:val="right"/>
        <w:bidi/>
      </w:pPr>
      <w:r>
        <w:rPr>
          <w:rFonts w:ascii="Arial" w:hAnsi="Arial"/>
          <w:sz w:val="16"/>
        </w:rPr>
        <w:t>290.35  توجه: استفاده صحیح از قضاوت شهودی ترکیبی همراه با رسمی</w:t>
      </w:r>
    </w:p>
    <w:p>
      <w:pPr>
        <w:spacing w:after="28" w:line="216" w:lineRule="auto"/>
        <w:ind w:left="259"/>
        <w:jc w:val="left"/>
      </w:pPr>
      <w:r>
        <w:rPr>
          <w:rFonts w:ascii="Arial" w:hAnsi="Arial"/>
          <w:color w:val="525252"/>
          <w:sz w:val="13"/>
        </w:rPr>
        <w:t>Note: Proper use of combined intuitive judgment along with formal</w:t>
      </w:r>
    </w:p>
    <w:p>
      <w:r>
        <w:br w:type="page"/>
      </w:r>
    </w:p>
    <w:p>
      <w:pPr>
        <w:spacing w:after="60"/>
        <w:jc w:val="right"/>
        <w:bidi/>
      </w:pPr>
      <w:r>
        <w:rPr>
          <w:rFonts w:ascii="Arial" w:hAnsi="Arial"/>
          <w:b/>
          <w:color w:val="1F4D78"/>
          <w:sz w:val="19"/>
        </w:rPr>
        <w:t>هفتهٔ 291  |  صفحهٔ منبع: 307</w:t>
      </w:r>
    </w:p>
    <w:p>
      <w:pPr>
        <w:spacing w:after="20" w:line="223" w:lineRule="auto"/>
        <w:jc w:val="right"/>
        <w:bidi/>
      </w:pPr>
      <w:r>
        <w:rPr>
          <w:rFonts w:ascii="Arial" w:hAnsi="Arial"/>
          <w:sz w:val="16"/>
        </w:rPr>
        <w:t>291.01  ممکن است یک تکنیک تصمیم‌گیری مؤثر باشد.</w:t>
      </w:r>
    </w:p>
    <w:p>
      <w:pPr>
        <w:spacing w:after="28" w:line="216" w:lineRule="auto"/>
        <w:ind w:left="259"/>
        <w:jc w:val="left"/>
      </w:pPr>
      <w:r>
        <w:rPr>
          <w:rFonts w:ascii="Arial" w:hAnsi="Arial"/>
          <w:color w:val="525252"/>
          <w:sz w:val="13"/>
        </w:rPr>
        <w:t>analysis may be an effective decision-making technique.</w:t>
      </w:r>
    </w:p>
    <w:p>
      <w:pPr>
        <w:spacing w:after="20" w:line="223" w:lineRule="auto"/>
        <w:jc w:val="right"/>
        <w:bidi/>
      </w:pPr>
      <w:r>
        <w:rPr>
          <w:rFonts w:ascii="Arial" w:hAnsi="Arial"/>
          <w:sz w:val="16"/>
        </w:rPr>
        <w:t>291.02  تجزیه و تحلیل رسمی می‌تواند شهود را بررسی کند، در حالی که شهود در اعتبارسنجی و آزمایش مفروضاتی که زیربنای تحلیل هستند مفید است.</w:t>
      </w:r>
    </w:p>
    <w:p>
      <w:pPr>
        <w:spacing w:after="28" w:line="216" w:lineRule="auto"/>
        <w:ind w:left="259"/>
        <w:jc w:val="left"/>
      </w:pPr>
      <w:r>
        <w:rPr>
          <w:rFonts w:ascii="Arial" w:hAnsi="Arial"/>
          <w:color w:val="525252"/>
          <w:sz w:val="13"/>
        </w:rPr>
        <w:t>Formal analysis can check intuition, while intuition is useful in validating and testing assumptions that underlie analysis.</w:t>
      </w:r>
    </w:p>
    <w:p>
      <w:pPr>
        <w:spacing w:after="20" w:line="223" w:lineRule="auto"/>
        <w:jc w:val="right"/>
        <w:bidi/>
      </w:pPr>
      <w:r>
        <w:rPr>
          <w:rFonts w:ascii="Arial" w:hAnsi="Arial"/>
          <w:sz w:val="16"/>
        </w:rPr>
        <w:t>291.03  به‌عنوان نیروهای هوایی، شناخت ارزش شهود به همان اندازه حیاتی است که از عدم تحلیل در فرآیند تصمیم‌گیری محافظت کنیم.</w:t>
      </w:r>
    </w:p>
    <w:p>
      <w:pPr>
        <w:spacing w:after="28" w:line="216" w:lineRule="auto"/>
        <w:ind w:left="259"/>
        <w:jc w:val="left"/>
      </w:pPr>
      <w:r>
        <w:rPr>
          <w:rFonts w:ascii="Arial" w:hAnsi="Arial"/>
          <w:color w:val="525252"/>
          <w:sz w:val="13"/>
        </w:rPr>
        <w:t>As Airmen, recognizing the value of intuition is just as critical as guarding against a lack of analysis in the decision-making process.</w:t>
      </w:r>
    </w:p>
    <w:p>
      <w:pPr>
        <w:spacing w:before="60" w:after="28"/>
        <w:jc w:val="right"/>
        <w:bidi/>
      </w:pPr>
      <w:r>
        <w:rPr>
          <w:b/>
          <w:color w:val="1F4D78"/>
          <w:sz w:val="18"/>
        </w:rPr>
        <w:t>16.7. تفکر انتقادی در گروه</w:t>
      </w:r>
    </w:p>
    <w:p>
      <w:pPr>
        <w:spacing w:after="20"/>
        <w:ind w:left="259"/>
        <w:jc w:val="left"/>
      </w:pPr>
      <w:r>
        <w:rPr>
          <w:color w:val="555555"/>
          <w:sz w:val="12"/>
        </w:rPr>
        <w:t>16.7. Critical Thinking in Groups</w:t>
      </w:r>
    </w:p>
    <w:p>
      <w:pPr>
        <w:spacing w:after="20" w:line="223" w:lineRule="auto"/>
        <w:jc w:val="right"/>
        <w:bidi/>
      </w:pPr>
      <w:r>
        <w:rPr>
          <w:rFonts w:ascii="Arial" w:hAnsi="Arial"/>
          <w:sz w:val="16"/>
        </w:rPr>
        <w:t>291.05  خرد متعارف بر این باور است که گروه‌ها بهتر از افراد تصمیم می‌گیرند، زیرا از پایگاهی از استعداد و تجربه استفاده می‌کنند.</w:t>
      </w:r>
    </w:p>
    <w:p>
      <w:pPr>
        <w:spacing w:after="28" w:line="216" w:lineRule="auto"/>
        <w:ind w:left="259"/>
        <w:jc w:val="left"/>
      </w:pPr>
      <w:r>
        <w:rPr>
          <w:rFonts w:ascii="Arial" w:hAnsi="Arial"/>
          <w:color w:val="525252"/>
          <w:sz w:val="13"/>
        </w:rPr>
        <w:t>Conventional wisdom holds that groups make better decisions than individuals because they draw from a base of talent and experience.</w:t>
      </w:r>
    </w:p>
    <w:p>
      <w:pPr>
        <w:spacing w:after="20" w:line="223" w:lineRule="auto"/>
        <w:jc w:val="right"/>
        <w:bidi/>
      </w:pPr>
      <w:r>
        <w:rPr>
          <w:rFonts w:ascii="Arial" w:hAnsi="Arial"/>
          <w:sz w:val="16"/>
        </w:rPr>
        <w:t>291.06  با این حال، هوانوردان باید آگاه باشند که چگونه تصمیمات گروهی گرفته می‌شود و تیم‌هایی ایجاد کنند که قادر به اعمال تفکر انتقادی برای مشکلات در تنظیمات گروه باشند.</w:t>
      </w:r>
    </w:p>
    <w:p>
      <w:pPr>
        <w:spacing w:after="28" w:line="216" w:lineRule="auto"/>
        <w:ind w:left="259"/>
        <w:jc w:val="left"/>
      </w:pPr>
      <w:r>
        <w:rPr>
          <w:rFonts w:ascii="Arial" w:hAnsi="Arial"/>
          <w:color w:val="525252"/>
          <w:sz w:val="13"/>
        </w:rPr>
        <w:t>However, Airmen must be conscious of how group decisions are made and create teams capable of applying critical thought to problems in group settings.</w:t>
      </w:r>
    </w:p>
    <w:p>
      <w:pPr>
        <w:spacing w:after="20" w:line="223" w:lineRule="auto"/>
        <w:jc w:val="right"/>
        <w:bidi/>
      </w:pPr>
      <w:r>
        <w:rPr>
          <w:rFonts w:ascii="Arial" w:hAnsi="Arial"/>
          <w:sz w:val="16"/>
        </w:rPr>
        <w:t>291.07  هوانوردان درگیر در تصمیم‌گیری گروهی باید آگاهانه فرآیند را ساختار دهند تا تفکر انتقادی را تشویق کنند تا از حرکت صرفا هدایت گروه به سمت انطباق جلوگیری کنند.</w:t>
      </w:r>
    </w:p>
    <w:p>
      <w:pPr>
        <w:spacing w:after="28" w:line="216" w:lineRule="auto"/>
        <w:ind w:left="259"/>
        <w:jc w:val="left"/>
      </w:pPr>
      <w:r>
        <w:rPr>
          <w:rFonts w:ascii="Arial" w:hAnsi="Arial"/>
          <w:color w:val="525252"/>
          <w:sz w:val="13"/>
        </w:rPr>
        <w:t>Airmen engaged in group decision-making must consciously structure the process to encourage critical thinking to prevent momentum from simply leading the group toward conformity.</w:t>
      </w:r>
    </w:p>
    <w:p>
      <w:pPr>
        <w:spacing w:after="20" w:line="223" w:lineRule="auto"/>
        <w:jc w:val="right"/>
        <w:bidi/>
      </w:pPr>
      <w:r>
        <w:rPr>
          <w:rFonts w:ascii="Arial" w:hAnsi="Arial"/>
          <w:sz w:val="16"/>
        </w:rPr>
        <w:t>291.08  هنگام استفاده از گروه‌ها برای تصمیم‌گیری، باید چند نکته را در نظر گرفت.</w:t>
      </w:r>
    </w:p>
    <w:p>
      <w:pPr>
        <w:spacing w:after="28" w:line="216" w:lineRule="auto"/>
        <w:ind w:left="259"/>
        <w:jc w:val="left"/>
      </w:pPr>
      <w:r>
        <w:rPr>
          <w:rFonts w:ascii="Arial" w:hAnsi="Arial"/>
          <w:color w:val="525252"/>
          <w:sz w:val="13"/>
        </w:rPr>
        <w:t>There are a few things to consider when using groups for decision-making.</w:t>
      </w:r>
    </w:p>
    <w:p>
      <w:pPr>
        <w:spacing w:after="20" w:line="223" w:lineRule="auto"/>
        <w:jc w:val="right"/>
        <w:bidi/>
      </w:pPr>
      <w:r>
        <w:rPr>
          <w:rFonts w:ascii="Arial" w:hAnsi="Arial"/>
          <w:sz w:val="16"/>
        </w:rPr>
        <w:t>291.09  چه کسی باید در فرآیند تصمیم‌گیری دخیل باشد؟</w:t>
      </w:r>
    </w:p>
    <w:p>
      <w:pPr>
        <w:spacing w:after="28" w:line="216" w:lineRule="auto"/>
        <w:ind w:left="259"/>
        <w:jc w:val="left"/>
      </w:pPr>
      <w:r>
        <w:rPr>
          <w:rFonts w:ascii="Arial" w:hAnsi="Arial"/>
          <w:color w:val="525252"/>
          <w:sz w:val="13"/>
        </w:rPr>
        <w:t>Who should be involved in the decision process?</w:t>
      </w:r>
    </w:p>
    <w:p>
      <w:pPr>
        <w:spacing w:after="20" w:line="223" w:lineRule="auto"/>
        <w:jc w:val="right"/>
        <w:bidi/>
      </w:pPr>
      <w:r>
        <w:rPr>
          <w:rFonts w:ascii="Arial" w:hAnsi="Arial"/>
          <w:sz w:val="16"/>
        </w:rPr>
        <w:t>291.10  در چه نوع محیطی تصمیم‌گیری باید انجام شود؟</w:t>
      </w:r>
    </w:p>
    <w:p>
      <w:pPr>
        <w:spacing w:after="28" w:line="216" w:lineRule="auto"/>
        <w:ind w:left="259"/>
        <w:jc w:val="left"/>
      </w:pPr>
      <w:r>
        <w:rPr>
          <w:rFonts w:ascii="Arial" w:hAnsi="Arial"/>
          <w:color w:val="525252"/>
          <w:sz w:val="13"/>
        </w:rPr>
        <w:t>In what sort of environment should the decision take place?</w:t>
      </w:r>
    </w:p>
    <w:p>
      <w:pPr>
        <w:spacing w:after="20" w:line="223" w:lineRule="auto"/>
        <w:jc w:val="right"/>
        <w:bidi/>
      </w:pPr>
      <w:r>
        <w:rPr>
          <w:rFonts w:ascii="Arial" w:hAnsi="Arial"/>
          <w:sz w:val="16"/>
        </w:rPr>
        <w:t>291.11  شرکت کنندگان چگونه ارتباط برقرار خواهند کرد؟</w:t>
      </w:r>
    </w:p>
    <w:p>
      <w:pPr>
        <w:spacing w:after="28" w:line="216" w:lineRule="auto"/>
        <w:ind w:left="259"/>
        <w:jc w:val="left"/>
      </w:pPr>
      <w:r>
        <w:rPr>
          <w:rFonts w:ascii="Arial" w:hAnsi="Arial"/>
          <w:color w:val="525252"/>
          <w:sz w:val="13"/>
        </w:rPr>
        <w:t>How will the participants communicate?</w:t>
      </w:r>
    </w:p>
    <w:p>
      <w:pPr>
        <w:spacing w:after="20" w:line="223" w:lineRule="auto"/>
        <w:jc w:val="right"/>
        <w:bidi/>
      </w:pPr>
      <w:r>
        <w:rPr>
          <w:rFonts w:ascii="Arial" w:hAnsi="Arial"/>
          <w:sz w:val="16"/>
        </w:rPr>
        <w:t>291.12  رهبر چگونه فرآیند تصمیم‌گیری را کنترل خواهد کرد؟</w:t>
      </w:r>
    </w:p>
    <w:p>
      <w:pPr>
        <w:spacing w:after="28" w:line="216" w:lineRule="auto"/>
        <w:ind w:left="259"/>
        <w:jc w:val="left"/>
      </w:pPr>
      <w:r>
        <w:rPr>
          <w:rFonts w:ascii="Arial" w:hAnsi="Arial"/>
          <w:color w:val="525252"/>
          <w:sz w:val="13"/>
        </w:rPr>
        <w:t>How will the leader control the decision process?</w:t>
      </w:r>
    </w:p>
    <w:p>
      <w:pPr>
        <w:spacing w:after="20" w:line="223" w:lineRule="auto"/>
        <w:jc w:val="right"/>
        <w:bidi/>
      </w:pPr>
      <w:r>
        <w:rPr>
          <w:rFonts w:ascii="Arial" w:hAnsi="Arial"/>
          <w:sz w:val="16"/>
        </w:rPr>
        <w:t>291.13  حکمت گروه‌ها.</w:t>
      </w:r>
    </w:p>
    <w:p>
      <w:pPr>
        <w:spacing w:after="28" w:line="216" w:lineRule="auto"/>
        <w:ind w:left="259"/>
        <w:jc w:val="left"/>
      </w:pPr>
      <w:r>
        <w:rPr>
          <w:rFonts w:ascii="Arial" w:hAnsi="Arial"/>
          <w:color w:val="525252"/>
          <w:sz w:val="13"/>
        </w:rPr>
        <w:t>Wisdom of Groups.</w:t>
      </w:r>
    </w:p>
    <w:p>
      <w:pPr>
        <w:spacing w:after="20" w:line="223" w:lineRule="auto"/>
        <w:jc w:val="right"/>
        <w:bidi/>
      </w:pPr>
      <w:r>
        <w:rPr>
          <w:rFonts w:ascii="Arial" w:hAnsi="Arial"/>
          <w:sz w:val="16"/>
        </w:rPr>
        <w:t>291.14  در حالی که در نظر دارید که تفکر گروهی وجود دارد، گروه‌هایی را برای تصمیم‌گیری تشکیل دهید که متشکل از اعضایی هستند که رشته‌ها و حوزه‌های تخصصی مختلف را نمایندگی می‌کنند.</w:t>
      </w:r>
    </w:p>
    <w:p>
      <w:pPr>
        <w:spacing w:after="28" w:line="216" w:lineRule="auto"/>
        <w:ind w:left="259"/>
        <w:jc w:val="left"/>
      </w:pPr>
      <w:r>
        <w:rPr>
          <w:rFonts w:ascii="Arial" w:hAnsi="Arial"/>
          <w:color w:val="525252"/>
          <w:sz w:val="13"/>
        </w:rPr>
        <w:t>While keeping in mind that groupthink does exist, consider establishing groups for decision-making, made up of members that represent many different disciplines and areas of expertise.</w:t>
      </w:r>
    </w:p>
    <w:p>
      <w:pPr>
        <w:spacing w:after="20" w:line="223" w:lineRule="auto"/>
        <w:jc w:val="right"/>
        <w:bidi/>
      </w:pPr>
      <w:r>
        <w:rPr>
          <w:rFonts w:ascii="Arial" w:hAnsi="Arial"/>
          <w:sz w:val="16"/>
        </w:rPr>
        <w:t>291.15  بحث‌های گروهی را در مکانی غیرمتمرکز داشته باشید، بتوانید به‌طور مؤثر تمام قضاوت‌های فردی را جمع‌آوری کنید، و اعضای گروه را جستجو کنید که مستقل باشند، به این معنی که تابع یکدیگر نیستند.</w:t>
      </w:r>
    </w:p>
    <w:p>
      <w:pPr>
        <w:spacing w:after="28" w:line="216" w:lineRule="auto"/>
        <w:ind w:left="259"/>
        <w:jc w:val="left"/>
      </w:pPr>
      <w:r>
        <w:rPr>
          <w:rFonts w:ascii="Arial" w:hAnsi="Arial"/>
          <w:color w:val="525252"/>
          <w:sz w:val="13"/>
        </w:rPr>
        <w:t>Have the group discussions in a decentralized location, be able to effectively aggregate all the individual judgments, and seek group members who are independent, meaning not subordinate to one another.</w:t>
      </w:r>
    </w:p>
    <w:p>
      <w:pPr>
        <w:spacing w:after="20" w:line="223" w:lineRule="auto"/>
        <w:jc w:val="right"/>
        <w:bidi/>
      </w:pPr>
      <w:r>
        <w:rPr>
          <w:rFonts w:ascii="Arial" w:hAnsi="Arial"/>
          <w:sz w:val="16"/>
        </w:rPr>
        <w:t>291.16  موانع برای گروه‌ها.</w:t>
      </w:r>
    </w:p>
    <w:p>
      <w:pPr>
        <w:spacing w:after="28" w:line="216" w:lineRule="auto"/>
        <w:ind w:left="259"/>
        <w:jc w:val="left"/>
      </w:pPr>
      <w:r>
        <w:rPr>
          <w:rFonts w:ascii="Arial" w:hAnsi="Arial"/>
          <w:color w:val="525252"/>
          <w:sz w:val="13"/>
        </w:rPr>
        <w:t>Hindrances to Groups.</w:t>
      </w:r>
    </w:p>
    <w:p>
      <w:pPr>
        <w:spacing w:after="20" w:line="223" w:lineRule="auto"/>
        <w:jc w:val="right"/>
        <w:bidi/>
      </w:pPr>
      <w:r>
        <w:rPr>
          <w:rFonts w:ascii="Arial" w:hAnsi="Arial"/>
          <w:sz w:val="16"/>
        </w:rPr>
        <w:t>291.17  رفتارهایی که با کار تیمی متناقض است، مانند پنهان کردن اطلاعات به دلایل شخصی یا فیلتر کردن اطلاعات، نباید تحمل شوند.</w:t>
      </w:r>
    </w:p>
    <w:p>
      <w:pPr>
        <w:spacing w:after="28" w:line="216" w:lineRule="auto"/>
        <w:ind w:left="259"/>
        <w:jc w:val="left"/>
      </w:pPr>
      <w:r>
        <w:rPr>
          <w:rFonts w:ascii="Arial" w:hAnsi="Arial"/>
          <w:color w:val="525252"/>
          <w:sz w:val="13"/>
        </w:rPr>
        <w:t>Behaviors that are contradictory to working in groups, such as withholding information for personal reasons or filtering information should not be tolerated.</w:t>
      </w:r>
    </w:p>
    <w:p>
      <w:pPr>
        <w:spacing w:after="20" w:line="223" w:lineRule="auto"/>
        <w:jc w:val="right"/>
        <w:bidi/>
      </w:pPr>
      <w:r>
        <w:rPr>
          <w:rFonts w:ascii="Arial" w:hAnsi="Arial"/>
          <w:sz w:val="16"/>
        </w:rPr>
        <w:t>291.18  رفتار دیگری که نباید مجاز باشد، ارائه گزینشی اطلاعات در زنجیره فرماندهی است تا ناخواسته بر تلاش‌های گروه تأثیر بگذارد.</w:t>
      </w:r>
    </w:p>
    <w:p>
      <w:pPr>
        <w:spacing w:after="28" w:line="216" w:lineRule="auto"/>
        <w:ind w:left="259"/>
        <w:jc w:val="left"/>
      </w:pPr>
      <w:r>
        <w:rPr>
          <w:rFonts w:ascii="Arial" w:hAnsi="Arial"/>
          <w:color w:val="525252"/>
          <w:sz w:val="13"/>
        </w:rPr>
        <w:t>Another behavior that should not be allowed is selectively presenting information up the chain of command to inadvertently affect the group’s efforts.</w:t>
      </w:r>
    </w:p>
    <w:p>
      <w:pPr>
        <w:spacing w:after="20" w:line="223" w:lineRule="auto"/>
        <w:jc w:val="right"/>
        <w:bidi/>
      </w:pPr>
      <w:r>
        <w:rPr>
          <w:rFonts w:ascii="Arial" w:hAnsi="Arial"/>
          <w:sz w:val="16"/>
        </w:rPr>
        <w:t>291.19  علاوه بر این، رهبرانی که در موقعیت‌هایی قرار دارند تا براساس توصیه‌های یک گروه تصمیم‌گیری کنند، باید از نحوه راه‌اندازی گروه و نحوه عملکرد آن آگاه باشند تا درک درستی از تصمیم و همچنین پویایی نحوه تصمیم‌گیری داشته باشند.</w:t>
      </w:r>
    </w:p>
    <w:p>
      <w:pPr>
        <w:spacing w:after="28" w:line="216" w:lineRule="auto"/>
        <w:ind w:left="259"/>
        <w:jc w:val="left"/>
      </w:pPr>
      <w:r>
        <w:rPr>
          <w:rFonts w:ascii="Arial" w:hAnsi="Arial"/>
          <w:color w:val="525252"/>
          <w:sz w:val="13"/>
        </w:rPr>
        <w:t>In addition to this, leaders who are in positions to make decisions based on the recommendations of a group should be aware of how the group was set-up and how well it operated to have an understanding of what the decision was, as well as the dynamics of how the decision was made.</w:t>
      </w:r>
    </w:p>
    <w:p>
      <w:pPr>
        <w:spacing w:after="20" w:line="223" w:lineRule="auto"/>
        <w:jc w:val="right"/>
        <w:bidi/>
      </w:pPr>
      <w:r>
        <w:rPr>
          <w:rFonts w:ascii="Arial" w:hAnsi="Arial"/>
          <w:sz w:val="16"/>
        </w:rPr>
        <w:t>291.20  تیم‌های تصمیم‌گیری.</w:t>
      </w:r>
    </w:p>
    <w:p>
      <w:pPr>
        <w:spacing w:after="28" w:line="216" w:lineRule="auto"/>
        <w:ind w:left="259"/>
        <w:jc w:val="left"/>
      </w:pPr>
      <w:r>
        <w:rPr>
          <w:rFonts w:ascii="Arial" w:hAnsi="Arial"/>
          <w:color w:val="525252"/>
          <w:sz w:val="13"/>
        </w:rPr>
        <w:t>Decision-Making Teams.</w:t>
      </w:r>
    </w:p>
    <w:p>
      <w:pPr>
        <w:spacing w:after="20" w:line="223" w:lineRule="auto"/>
        <w:jc w:val="right"/>
        <w:bidi/>
      </w:pPr>
      <w:r>
        <w:rPr>
          <w:rFonts w:ascii="Arial" w:hAnsi="Arial"/>
          <w:sz w:val="16"/>
        </w:rPr>
        <w:t>291.21  هنگام ایجاد یا مشاهده ویژگی‌های تیم‌های خوب، به دنبال افرادی باشید که می‌توانند دیگران را در میان جمعیت تحت تأثیر قرار دهند.</w:t>
      </w:r>
    </w:p>
    <w:p>
      <w:pPr>
        <w:spacing w:after="28" w:line="216" w:lineRule="auto"/>
        <w:ind w:left="259"/>
        <w:jc w:val="left"/>
      </w:pPr>
      <w:r>
        <w:rPr>
          <w:rFonts w:ascii="Arial" w:hAnsi="Arial"/>
          <w:color w:val="525252"/>
          <w:sz w:val="13"/>
        </w:rPr>
        <w:t>When creating or observing qualities of good teams, look for individuals who are able to sway others in the crowd.</w:t>
      </w:r>
    </w:p>
    <w:p>
      <w:pPr>
        <w:spacing w:after="20" w:line="223" w:lineRule="auto"/>
        <w:jc w:val="right"/>
        <w:bidi/>
      </w:pPr>
      <w:r>
        <w:rPr>
          <w:rFonts w:ascii="Arial" w:hAnsi="Arial"/>
          <w:sz w:val="16"/>
        </w:rPr>
        <w:t>291.22  به دنبال افرادی باشید که در پویایی گروهی قادر به مشارکت و صحبت هستند.</w:t>
      </w:r>
    </w:p>
    <w:p>
      <w:pPr>
        <w:spacing w:after="28" w:line="216" w:lineRule="auto"/>
        <w:ind w:left="259"/>
        <w:jc w:val="left"/>
      </w:pPr>
      <w:r>
        <w:rPr>
          <w:rFonts w:ascii="Arial" w:hAnsi="Arial"/>
          <w:color w:val="525252"/>
          <w:sz w:val="13"/>
        </w:rPr>
        <w:t>Seek out and encourage individuals who are able to contribute and speak up when in a group dynamic.</w:t>
      </w:r>
    </w:p>
    <w:p>
      <w:pPr>
        <w:spacing w:after="20" w:line="223" w:lineRule="auto"/>
        <w:jc w:val="right"/>
        <w:bidi/>
      </w:pPr>
      <w:r>
        <w:rPr>
          <w:rFonts w:ascii="Arial" w:hAnsi="Arial"/>
          <w:sz w:val="16"/>
        </w:rPr>
        <w:t>291.23  اعضای گروهی که استقلال و توانایی غلبه بر انگ‌های سلسله مراتبی را نشان می‌دهند، اغلب ثابت می‌کنند که اعضای تیم قوی هستند.</w:t>
      </w:r>
    </w:p>
    <w:p>
      <w:pPr>
        <w:spacing w:after="28" w:line="216" w:lineRule="auto"/>
        <w:ind w:left="259"/>
        <w:jc w:val="left"/>
      </w:pPr>
      <w:r>
        <w:rPr>
          <w:rFonts w:ascii="Arial" w:hAnsi="Arial"/>
          <w:color w:val="525252"/>
          <w:sz w:val="13"/>
        </w:rPr>
        <w:t>Group members who demonstrate independence and the ability to overcome hierarchical stigmas will often prove to be strong team members.</w:t>
      </w:r>
    </w:p>
    <w:p>
      <w:pPr>
        <w:spacing w:after="20" w:line="223" w:lineRule="auto"/>
        <w:jc w:val="right"/>
        <w:bidi/>
      </w:pPr>
      <w:r>
        <w:rPr>
          <w:rFonts w:ascii="Arial" w:hAnsi="Arial"/>
          <w:sz w:val="16"/>
        </w:rPr>
        <w:t>291.24  یکی دیگر از ویژگی‌های اعضای گروه این است که تجزیه و تحلیل صادقانه و صادقانه و مشارکت دیگران را تشویق می‌کند، حتی زمانی که با خود آنها همسویی کامل ندارد.</w:t>
      </w:r>
    </w:p>
    <w:p>
      <w:pPr>
        <w:spacing w:after="28" w:line="216" w:lineRule="auto"/>
        <w:ind w:left="259"/>
        <w:jc w:val="left"/>
      </w:pPr>
      <w:r>
        <w:rPr>
          <w:rFonts w:ascii="Arial" w:hAnsi="Arial"/>
          <w:color w:val="525252"/>
          <w:sz w:val="13"/>
        </w:rPr>
        <w:t>Another quality for group members is one that encourages honest, candid analysis and contributions from others, even when not in complete alignment with their own.</w:t>
      </w:r>
    </w:p>
    <w:p>
      <w:pPr>
        <w:spacing w:after="20" w:line="223" w:lineRule="auto"/>
        <w:jc w:val="right"/>
        <w:bidi/>
      </w:pPr>
      <w:r>
        <w:rPr>
          <w:rFonts w:ascii="Arial" w:hAnsi="Arial"/>
          <w:sz w:val="16"/>
        </w:rPr>
        <w:t>291.25  موفق‌ترین گروه‌ها متشکل از تعادل خوبی از افراد هستند که بر بحث‌ها تسلط ندارند، اما دائما در پس‌زمینه باقی نمی‌مانند.</w:t>
      </w:r>
    </w:p>
    <w:p>
      <w:pPr>
        <w:spacing w:after="28" w:line="216" w:lineRule="auto"/>
        <w:ind w:left="259"/>
        <w:jc w:val="left"/>
      </w:pPr>
      <w:r>
        <w:rPr>
          <w:rFonts w:ascii="Arial" w:hAnsi="Arial"/>
          <w:color w:val="525252"/>
          <w:sz w:val="13"/>
        </w:rPr>
        <w:t>The most successful groups will consist of a good balance of individuals who do not dominate discussions, but also do not constantly remain in the background.</w:t>
      </w:r>
    </w:p>
    <w:p>
      <w:pPr>
        <w:spacing w:before="60" w:after="28"/>
        <w:jc w:val="right"/>
        <w:bidi/>
      </w:pPr>
      <w:r>
        <w:rPr>
          <w:b/>
          <w:color w:val="1F4D78"/>
          <w:sz w:val="18"/>
        </w:rPr>
        <w:t>16.8. تفکر گروهی</w:t>
      </w:r>
    </w:p>
    <w:p>
      <w:pPr>
        <w:spacing w:after="20"/>
        <w:ind w:left="259"/>
        <w:jc w:val="left"/>
      </w:pPr>
      <w:r>
        <w:rPr>
          <w:color w:val="555555"/>
          <w:sz w:val="12"/>
        </w:rPr>
        <w:t>16.8. Groupthink</w:t>
      </w:r>
    </w:p>
    <w:p>
      <w:pPr>
        <w:spacing w:after="20" w:line="223" w:lineRule="auto"/>
        <w:jc w:val="right"/>
        <w:bidi/>
      </w:pPr>
      <w:r>
        <w:rPr>
          <w:rFonts w:ascii="Arial" w:hAnsi="Arial"/>
          <w:sz w:val="16"/>
        </w:rPr>
        <w:t>291.27  گروه‌اندیشی یک تله تصمیم‌گیری رایج و یکی از دلایل اصلی تصمیم‌گیری ناقص در گروه‌ها است.</w:t>
      </w:r>
    </w:p>
    <w:p>
      <w:pPr>
        <w:spacing w:after="28" w:line="216" w:lineRule="auto"/>
        <w:ind w:left="259"/>
        <w:jc w:val="left"/>
      </w:pPr>
      <w:r>
        <w:rPr>
          <w:rFonts w:ascii="Arial" w:hAnsi="Arial"/>
          <w:color w:val="525252"/>
          <w:sz w:val="13"/>
        </w:rPr>
        <w:t>Groupthink is a common decision trap and one of the major causes of flawed decision-making in groups.</w:t>
      </w:r>
    </w:p>
    <w:p>
      <w:pPr>
        <w:spacing w:after="20" w:line="223" w:lineRule="auto"/>
        <w:jc w:val="right"/>
        <w:bidi/>
      </w:pPr>
      <w:r>
        <w:rPr>
          <w:rFonts w:ascii="Arial" w:hAnsi="Arial"/>
          <w:sz w:val="16"/>
        </w:rPr>
        <w:t>291.28  گروه‌اندیشی زمانی اتفاق می‌افتد که فشارهای شدید درون تیم، انطباق را می‌طلبد و تمایل شدیدی به اتفاق آرا به قیمت تفکر انتقادی واقعی ابراز می‌کند.</w:t>
      </w:r>
    </w:p>
    <w:p>
      <w:pPr>
        <w:spacing w:after="28" w:line="216" w:lineRule="auto"/>
        <w:ind w:left="259"/>
        <w:jc w:val="left"/>
      </w:pPr>
      <w:r>
        <w:rPr>
          <w:rFonts w:ascii="Arial" w:hAnsi="Arial"/>
          <w:color w:val="525252"/>
          <w:sz w:val="13"/>
        </w:rPr>
        <w:t>Groupthink occurs when tremendous pressures within the team demand conformity and express a strong desire for unanimity at the expense of true critical thinking.</w:t>
      </w:r>
    </w:p>
    <w:p>
      <w:pPr>
        <w:spacing w:after="20" w:line="223" w:lineRule="auto"/>
        <w:jc w:val="right"/>
        <w:bidi/>
      </w:pPr>
      <w:r>
        <w:rPr>
          <w:rFonts w:ascii="Arial" w:hAnsi="Arial"/>
          <w:sz w:val="16"/>
        </w:rPr>
        <w:t>291.29  علل تفکر گروهی می‌تواند ناشی از شخصیت‌ها یا تأثیرات قوی باشد که بر دیگران غلبه می‌کند یا مانع از مشارکت یکسان در گروه می‌شود، یا می‌تواند ناشی از انتخاب افرادی باشد که در یک گروه صحبت نکنند، بنابراین ممکن است به آنها اجازه داده شود بدون ریسک کردن یا قرار گرفتن در معرض نظرات منفی دیگران در گروه شرکت کنند.</w:t>
      </w:r>
    </w:p>
    <w:p>
      <w:pPr>
        <w:spacing w:after="28" w:line="216" w:lineRule="auto"/>
        <w:ind w:left="259"/>
        <w:jc w:val="left"/>
      </w:pPr>
      <w:r>
        <w:rPr>
          <w:rFonts w:ascii="Arial" w:hAnsi="Arial"/>
          <w:color w:val="525252"/>
          <w:sz w:val="13"/>
        </w:rPr>
        <w:t>Causes of groupthink can stem from strong personalities or influences that overpower or hinder others from being equal contributors to the group, or they can stem from individuals choosing not to speak up in a group so they may be allowed to participate without taking risks or exposing themselves to adverse opinions from others in the group.</w:t>
      </w:r>
    </w:p>
    <w:p>
      <w:pPr>
        <w:spacing w:after="20" w:line="223" w:lineRule="auto"/>
        <w:jc w:val="right"/>
        <w:bidi/>
      </w:pPr>
      <w:r>
        <w:rPr>
          <w:rFonts w:ascii="Arial" w:hAnsi="Arial"/>
          <w:sz w:val="16"/>
        </w:rPr>
        <w:t>291.30  دلیل گروه‌اندیشی هر چه که باشد، کل گروه را در مضیقه قرار می‌دهد و باید به سرعت مورد بررسی قرار گیرد تا گروه به مسیر دستیابی بازگردد.</w:t>
      </w:r>
    </w:p>
    <w:p>
      <w:pPr>
        <w:spacing w:after="28" w:line="216" w:lineRule="auto"/>
        <w:ind w:left="259"/>
        <w:jc w:val="left"/>
      </w:pPr>
      <w:r>
        <w:rPr>
          <w:rFonts w:ascii="Arial" w:hAnsi="Arial"/>
          <w:color w:val="525252"/>
          <w:sz w:val="13"/>
        </w:rPr>
        <w:t>Whatever the reason for groupthink, it puts the entire group at a disadvantage and should be addressed quickly to get the group back on track toward achieving</w:t>
      </w:r>
    </w:p>
    <w:p>
      <w:r>
        <w:br w:type="page"/>
      </w:r>
    </w:p>
    <w:p>
      <w:pPr>
        <w:spacing w:after="60"/>
        <w:jc w:val="right"/>
        <w:bidi/>
      </w:pPr>
      <w:r>
        <w:rPr>
          <w:rFonts w:ascii="Arial" w:hAnsi="Arial"/>
          <w:b/>
          <w:color w:val="1F4D78"/>
          <w:sz w:val="19"/>
        </w:rPr>
        <w:t>هفتهٔ 292  |  صفحهٔ منبع: 308</w:t>
      </w:r>
    </w:p>
    <w:p>
      <w:pPr>
        <w:spacing w:after="20" w:line="223" w:lineRule="auto"/>
        <w:jc w:val="right"/>
        <w:bidi/>
      </w:pPr>
      <w:r>
        <w:rPr>
          <w:rFonts w:ascii="Arial" w:hAnsi="Arial"/>
          <w:sz w:val="16"/>
        </w:rPr>
        <w:t>292.01  هدف آن از تشکیل.</w:t>
      </w:r>
    </w:p>
    <w:p>
      <w:pPr>
        <w:spacing w:after="28" w:line="216" w:lineRule="auto"/>
        <w:ind w:left="259"/>
        <w:jc w:val="left"/>
      </w:pPr>
      <w:r>
        <w:rPr>
          <w:rFonts w:ascii="Arial" w:hAnsi="Arial"/>
          <w:color w:val="525252"/>
          <w:sz w:val="13"/>
        </w:rPr>
        <w:t>its purpose for convening.</w:t>
      </w:r>
    </w:p>
    <w:p>
      <w:pPr>
        <w:spacing w:after="20" w:line="223" w:lineRule="auto"/>
        <w:jc w:val="right"/>
        <w:bidi/>
      </w:pPr>
      <w:r>
        <w:rPr>
          <w:rFonts w:ascii="Arial" w:hAnsi="Arial"/>
          <w:sz w:val="16"/>
        </w:rPr>
        <w:t>292.02  علائم تفکر گروهی.</w:t>
      </w:r>
    </w:p>
    <w:p>
      <w:pPr>
        <w:spacing w:after="28" w:line="216" w:lineRule="auto"/>
        <w:ind w:left="259"/>
        <w:jc w:val="left"/>
      </w:pPr>
      <w:r>
        <w:rPr>
          <w:rFonts w:ascii="Arial" w:hAnsi="Arial"/>
          <w:color w:val="525252"/>
          <w:sz w:val="13"/>
        </w:rPr>
        <w:t>Symptoms of Groupthink.</w:t>
      </w:r>
    </w:p>
    <w:p>
      <w:pPr>
        <w:spacing w:after="20" w:line="223" w:lineRule="auto"/>
        <w:jc w:val="right"/>
        <w:bidi/>
      </w:pPr>
      <w:r>
        <w:rPr>
          <w:rFonts w:ascii="Arial" w:hAnsi="Arial"/>
          <w:sz w:val="16"/>
        </w:rPr>
        <w:t>292.03  برای جلوگیری از تفکر گروهی، هوانوردان باید از علائم آن آگاه باشند.</w:t>
      </w:r>
    </w:p>
    <w:p>
      <w:pPr>
        <w:spacing w:after="28" w:line="216" w:lineRule="auto"/>
        <w:ind w:left="259"/>
        <w:jc w:val="left"/>
      </w:pPr>
      <w:r>
        <w:rPr>
          <w:rFonts w:ascii="Arial" w:hAnsi="Arial"/>
          <w:color w:val="525252"/>
          <w:sz w:val="13"/>
        </w:rPr>
        <w:t>To prevent groupthink, Airmen must be aware of the symptoms.</w:t>
      </w:r>
    </w:p>
    <w:p>
      <w:pPr>
        <w:spacing w:after="20" w:line="223" w:lineRule="auto"/>
        <w:jc w:val="right"/>
        <w:bidi/>
      </w:pPr>
      <w:r>
        <w:rPr>
          <w:rFonts w:ascii="Arial" w:hAnsi="Arial"/>
          <w:sz w:val="16"/>
        </w:rPr>
        <w:t>292.04  شاخص‌های رایج تفکر گروهی عبارتند از: گروهی که احساس آسیب‌ناپذیری یا خودمحوری را نشان می‌دهد، تمایل به حذف منطقی داده‌های تأییدکننده و نشانه‌های هشداردهنده قضاوت ناکارآمد یا تفکر انتقادی وجود دارد، گروه موضوعات را با احساس هم‌صدایی به پایان می‌رساند. یا توانایی مشارکت در گروه</w:t>
      </w:r>
    </w:p>
    <w:p>
      <w:pPr>
        <w:spacing w:after="28" w:line="216" w:lineRule="auto"/>
        <w:ind w:left="259"/>
        <w:jc w:val="left"/>
      </w:pPr>
      <w:r>
        <w:rPr>
          <w:rFonts w:ascii="Arial" w:hAnsi="Arial"/>
          <w:color w:val="525252"/>
          <w:sz w:val="13"/>
        </w:rPr>
        <w:t>Common indicators of groupthink include: the group demonstrating a feeling of being invulnerable or egocentric, there is a tendency to rationalize away disconfirming data and warning signs of ineffective judgment or critical thinking, the group concludes topics with a feeling of unanimity regarding particular views, individuals are pressured when they present dissenting views, and group members regress in their desire or ability to contribute to the group.</w:t>
      </w:r>
    </w:p>
    <w:p>
      <w:pPr>
        <w:spacing w:after="20" w:line="223" w:lineRule="auto"/>
        <w:jc w:val="right"/>
        <w:bidi/>
      </w:pPr>
      <w:r>
        <w:rPr>
          <w:rFonts w:ascii="Arial" w:hAnsi="Arial"/>
          <w:sz w:val="16"/>
        </w:rPr>
        <w:t>292.05  کاهش تفکر گروهی.</w:t>
      </w:r>
    </w:p>
    <w:p>
      <w:pPr>
        <w:spacing w:after="28" w:line="216" w:lineRule="auto"/>
        <w:ind w:left="259"/>
        <w:jc w:val="left"/>
      </w:pPr>
      <w:r>
        <w:rPr>
          <w:rFonts w:ascii="Arial" w:hAnsi="Arial"/>
          <w:color w:val="525252"/>
          <w:sz w:val="13"/>
        </w:rPr>
        <w:t>Reducing Groupthink.</w:t>
      </w:r>
    </w:p>
    <w:p>
      <w:pPr>
        <w:spacing w:after="20" w:line="223" w:lineRule="auto"/>
        <w:jc w:val="right"/>
        <w:bidi/>
      </w:pPr>
      <w:r>
        <w:rPr>
          <w:rFonts w:ascii="Arial" w:hAnsi="Arial"/>
          <w:sz w:val="16"/>
        </w:rPr>
        <w:t>292.06  اگر تفکر گروهی وجود داشته باشد، ممکن است برای هدایت گروه در مسیر درست به مشاوره بیرونی نیاز باشد.</w:t>
      </w:r>
    </w:p>
    <w:p>
      <w:pPr>
        <w:spacing w:after="28" w:line="216" w:lineRule="auto"/>
        <w:ind w:left="259"/>
        <w:jc w:val="left"/>
      </w:pPr>
      <w:r>
        <w:rPr>
          <w:rFonts w:ascii="Arial" w:hAnsi="Arial"/>
          <w:color w:val="525252"/>
          <w:sz w:val="13"/>
        </w:rPr>
        <w:t>If groupthink is present, outside consultation may be required to get the group on the right track.</w:t>
      </w:r>
    </w:p>
    <w:p>
      <w:pPr>
        <w:spacing w:after="20" w:line="223" w:lineRule="auto"/>
        <w:jc w:val="right"/>
        <w:bidi/>
      </w:pPr>
      <w:r>
        <w:rPr>
          <w:rFonts w:ascii="Arial" w:hAnsi="Arial"/>
          <w:sz w:val="16"/>
        </w:rPr>
        <w:t>292.07  در موارد دیگر، نیروهای هوایی می‌تواند برای به حداقل رساندن موانع ساختاری برای گفتگوی صریح و کاهش تمایلات گروه‌اندیشی در سازمان خود تلاش کند.</w:t>
      </w:r>
    </w:p>
    <w:p>
      <w:pPr>
        <w:spacing w:after="28" w:line="216" w:lineRule="auto"/>
        <w:ind w:left="259"/>
        <w:jc w:val="left"/>
      </w:pPr>
      <w:r>
        <w:rPr>
          <w:rFonts w:ascii="Arial" w:hAnsi="Arial"/>
          <w:color w:val="525252"/>
          <w:sz w:val="13"/>
        </w:rPr>
        <w:t>In other cases, Airmen can work to minimize structural barriers to candid dialogue and reduce groupthink tendencies within their organization.</w:t>
      </w:r>
    </w:p>
    <w:p>
      <w:pPr>
        <w:spacing w:after="20" w:line="223" w:lineRule="auto"/>
        <w:jc w:val="right"/>
        <w:bidi/>
      </w:pPr>
      <w:r>
        <w:rPr>
          <w:rFonts w:ascii="Arial" w:hAnsi="Arial"/>
          <w:sz w:val="16"/>
        </w:rPr>
        <w:t>292.08  برخی از راه‌های کاهش تفکر گروهی عبارتند از: تعریف نقش‌ها در تیم‌های تصمیم‌گیری با دادن مسئولیت به اعضا در قبال جنبه‌های فرآیند تحلیل و پاسخگو دانستن آنها برای بازنمایی این دیدگاه‌ها در گروه و دعوت از اختلاف نظر سالم در طول فرآیند تجزیه و تحلیل برای تشویق گفتگوی صریح.</w:t>
      </w:r>
    </w:p>
    <w:p>
      <w:pPr>
        <w:spacing w:after="28" w:line="216" w:lineRule="auto"/>
        <w:ind w:left="259"/>
        <w:jc w:val="left"/>
      </w:pPr>
      <w:r>
        <w:rPr>
          <w:rFonts w:ascii="Arial" w:hAnsi="Arial"/>
          <w:color w:val="525252"/>
          <w:sz w:val="13"/>
        </w:rPr>
        <w:t>Some ways to reduce groupthink include: defining roles within decision-making teams by giving responsibility to members for aspects of the analysis process and holding them accountable for representing these perspectives within the group and inviting healthy disagreement during the analysis process to encourage candid dialogue.</w:t>
      </w:r>
    </w:p>
    <w:p>
      <w:pPr>
        <w:spacing w:before="60" w:after="28"/>
        <w:jc w:val="right"/>
        <w:bidi/>
      </w:pPr>
      <w:r>
        <w:rPr>
          <w:b/>
          <w:color w:val="1F4D78"/>
          <w:sz w:val="18"/>
        </w:rPr>
        <w:t>16.9. نفوذ هوانوردان مخالف</w:t>
      </w:r>
    </w:p>
    <w:p>
      <w:pPr>
        <w:spacing w:after="20"/>
        <w:ind w:left="259"/>
        <w:jc w:val="left"/>
      </w:pPr>
      <w:r>
        <w:rPr>
          <w:color w:val="555555"/>
          <w:sz w:val="12"/>
        </w:rPr>
        <w:t>16.9. Influence of Dissenting Airmen</w:t>
      </w:r>
    </w:p>
    <w:p>
      <w:pPr>
        <w:spacing w:after="20" w:line="223" w:lineRule="auto"/>
        <w:jc w:val="right"/>
        <w:bidi/>
      </w:pPr>
      <w:r>
        <w:rPr>
          <w:rFonts w:ascii="Arial" w:hAnsi="Arial"/>
          <w:sz w:val="16"/>
        </w:rPr>
        <w:t>292.10  اگر عضو گروهی هستید و نگران هستید که گروه تصمیم بدی بگیرد، چه کاری باید انجام دهید؟</w:t>
      </w:r>
    </w:p>
    <w:p>
      <w:pPr>
        <w:spacing w:after="28" w:line="216" w:lineRule="auto"/>
        <w:ind w:left="259"/>
        <w:jc w:val="left"/>
      </w:pPr>
      <w:r>
        <w:rPr>
          <w:rFonts w:ascii="Arial" w:hAnsi="Arial"/>
          <w:color w:val="525252"/>
          <w:sz w:val="13"/>
        </w:rPr>
        <w:t>What should you do if you are part of a group, and you are concerned the group will make a bad decision?</w:t>
      </w:r>
    </w:p>
    <w:p>
      <w:pPr>
        <w:spacing w:after="20" w:line="223" w:lineRule="auto"/>
        <w:jc w:val="right"/>
        <w:bidi/>
      </w:pPr>
      <w:r>
        <w:rPr>
          <w:rFonts w:ascii="Arial" w:hAnsi="Arial"/>
          <w:sz w:val="16"/>
        </w:rPr>
        <w:t>292.11  ممکن است بدیهی به نظر برسد، اما مهم است که در طول بحث‌های گروه صحبت کنید.</w:t>
      </w:r>
    </w:p>
    <w:p>
      <w:pPr>
        <w:spacing w:after="28" w:line="216" w:lineRule="auto"/>
        <w:ind w:left="259"/>
        <w:jc w:val="left"/>
      </w:pPr>
      <w:r>
        <w:rPr>
          <w:rFonts w:ascii="Arial" w:hAnsi="Arial"/>
          <w:color w:val="525252"/>
          <w:sz w:val="13"/>
        </w:rPr>
        <w:t>It may seem obvious, but it is important that you speak up during the group’s discussions.</w:t>
      </w:r>
    </w:p>
    <w:p>
      <w:pPr>
        <w:spacing w:after="20" w:line="223" w:lineRule="auto"/>
        <w:jc w:val="right"/>
        <w:bidi/>
      </w:pPr>
      <w:r>
        <w:rPr>
          <w:rFonts w:ascii="Arial" w:hAnsi="Arial"/>
          <w:sz w:val="16"/>
        </w:rPr>
        <w:t>292.12  گروه‌ها زمانی که در معرض دیدگاه مخالف قرار می‌گیرند تصمیم‌های بهتری می‌گیرند، زیرا احتمال اینکه اعضای گروه موقعیت را از زوایای مختلف ببینند، بیشتر می‌شوند.</w:t>
      </w:r>
    </w:p>
    <w:p>
      <w:pPr>
        <w:spacing w:after="28" w:line="216" w:lineRule="auto"/>
        <w:ind w:left="259"/>
        <w:jc w:val="left"/>
      </w:pPr>
      <w:r>
        <w:rPr>
          <w:rFonts w:ascii="Arial" w:hAnsi="Arial"/>
          <w:color w:val="525252"/>
          <w:sz w:val="13"/>
        </w:rPr>
        <w:t>Groups tend to make better decisions when exposed to an opposing view because group members become more likely to see the situation from different angles.</w:t>
      </w:r>
    </w:p>
    <w:p>
      <w:pPr>
        <w:spacing w:after="20" w:line="223" w:lineRule="auto"/>
        <w:jc w:val="right"/>
        <w:bidi/>
      </w:pPr>
      <w:r>
        <w:rPr>
          <w:rFonts w:ascii="Arial" w:hAnsi="Arial"/>
          <w:sz w:val="16"/>
        </w:rPr>
        <w:t>292.13  هنگام تصمیم‌گیری بله/خیر (به‌عنوان مثال، حکم مجرمانه/بی گناه در هیئت منصفه)، گروه‌ها معمولا تصمیماتی می‌گیرند که اکثر اعضای گروه در صورت درخواست مستقل و ناشناس، آن‌ها را توصیه می‌کنند.</w:t>
      </w:r>
    </w:p>
    <w:p>
      <w:pPr>
        <w:spacing w:after="28" w:line="216" w:lineRule="auto"/>
        <w:ind w:left="259"/>
        <w:jc w:val="left"/>
      </w:pPr>
      <w:r>
        <w:rPr>
          <w:rFonts w:ascii="Arial" w:hAnsi="Arial"/>
          <w:color w:val="525252"/>
          <w:sz w:val="13"/>
        </w:rPr>
        <w:t>When making yes/no decisions (e.g., guilty/not-guilty verdict on a jury), groups typically make decisions that the majority of group members would have recommended if asked independently and anonymously.</w:t>
      </w:r>
    </w:p>
    <w:p>
      <w:pPr>
        <w:spacing w:after="20" w:line="223" w:lineRule="auto"/>
        <w:jc w:val="right"/>
        <w:bidi/>
      </w:pPr>
      <w:r>
        <w:rPr>
          <w:rFonts w:ascii="Arial" w:hAnsi="Arial"/>
          <w:sz w:val="16"/>
        </w:rPr>
        <w:t>292.14  به‌عنوان مثال، ۸۵ درصد مواقع اکثریت در اولین رای گیری هیئت منصفه، تصمیم نهایی گروه خواهد بود.</w:t>
      </w:r>
    </w:p>
    <w:p>
      <w:pPr>
        <w:spacing w:after="28" w:line="216" w:lineRule="auto"/>
        <w:ind w:left="259"/>
        <w:jc w:val="left"/>
      </w:pPr>
      <w:r>
        <w:rPr>
          <w:rFonts w:ascii="Arial" w:hAnsi="Arial"/>
          <w:color w:val="525252"/>
          <w:sz w:val="13"/>
        </w:rPr>
        <w:t>For example, 85% of the time the majority position on a jury’s first ballot will end up being the group’s final decision.</w:t>
      </w:r>
    </w:p>
    <w:p>
      <w:pPr>
        <w:spacing w:after="20" w:line="223" w:lineRule="auto"/>
        <w:jc w:val="right"/>
        <w:bidi/>
      </w:pPr>
      <w:r>
        <w:rPr>
          <w:rFonts w:ascii="Arial" w:hAnsi="Arial"/>
          <w:sz w:val="16"/>
        </w:rPr>
        <w:t>292.15  با این حال، در بیشتر زمینه‌های تصمیم‌گیری، جایگزین‌های ممکن زیادی وجود دارد، و حتی یک دیدگاه مخالف می‌تواند گروه‌ها را تشویق کند که طیف وسیع‌تری از گزینه‌های ممکن را در نظر بگیرند.</w:t>
      </w:r>
    </w:p>
    <w:p>
      <w:pPr>
        <w:spacing w:after="28" w:line="216" w:lineRule="auto"/>
        <w:ind w:left="259"/>
        <w:jc w:val="left"/>
      </w:pPr>
      <w:r>
        <w:rPr>
          <w:rFonts w:ascii="Arial" w:hAnsi="Arial"/>
          <w:color w:val="525252"/>
          <w:sz w:val="13"/>
        </w:rPr>
        <w:t>However, in most decision-making contexts, there are many possible alternatives, and even a single opposing view can encourage groups to consider a broader range of possible options.</w:t>
      </w:r>
    </w:p>
    <w:p>
      <w:pPr>
        <w:spacing w:after="20" w:line="223" w:lineRule="auto"/>
        <w:jc w:val="right"/>
        <w:bidi/>
      </w:pPr>
      <w:r>
        <w:rPr>
          <w:rFonts w:ascii="Arial" w:hAnsi="Arial"/>
          <w:sz w:val="16"/>
        </w:rPr>
        <w:t>292.16  برای مثال، تصور کنید فقط دو نامزد غیرنظامی برای یک شغل درخواست داده‌اند.</w:t>
      </w:r>
    </w:p>
    <w:p>
      <w:pPr>
        <w:spacing w:after="28" w:line="216" w:lineRule="auto"/>
        <w:ind w:left="259"/>
        <w:jc w:val="left"/>
      </w:pPr>
      <w:r>
        <w:rPr>
          <w:rFonts w:ascii="Arial" w:hAnsi="Arial"/>
          <w:color w:val="525252"/>
          <w:sz w:val="13"/>
        </w:rPr>
        <w:t>For example, imagine only two civilian candidates applied for a job.</w:t>
      </w:r>
    </w:p>
    <w:p>
      <w:pPr>
        <w:spacing w:after="20" w:line="223" w:lineRule="auto"/>
        <w:jc w:val="right"/>
        <w:bidi/>
      </w:pPr>
      <w:r>
        <w:rPr>
          <w:rFonts w:ascii="Arial" w:hAnsi="Arial"/>
          <w:sz w:val="16"/>
        </w:rPr>
        <w:t>292.17  ممکن است سوال مطرح شده برای گروه در ابتدا به این صورت باشد که "آیا باید کاندید ا را استخدام کنیم یا کاندید ب؟" در حالی که به نظر می‌رسد فقط دو گزینه وجود دارد (شما از کاندید ب حمایت می‌کنید، در حالی که دیگران از کاندید ا حمایت می‌کنند)، احتمالا گزینه‌های دیگری نیز وجود دارد.</w:t>
      </w:r>
    </w:p>
    <w:p>
      <w:pPr>
        <w:spacing w:after="28" w:line="216" w:lineRule="auto"/>
        <w:ind w:left="259"/>
        <w:jc w:val="left"/>
      </w:pPr>
      <w:r>
        <w:rPr>
          <w:rFonts w:ascii="Arial" w:hAnsi="Arial"/>
          <w:color w:val="525252"/>
          <w:sz w:val="13"/>
        </w:rPr>
        <w:t>The question posed to the group may have originally been framed as “Should we hire Candidate A or Candidate B?” While it may seem like there are only two options (you support Candidate B, while others support Candidate A), there are probably other alternatives.</w:t>
      </w:r>
    </w:p>
    <w:p>
      <w:pPr>
        <w:spacing w:after="20" w:line="223" w:lineRule="auto"/>
        <w:jc w:val="right"/>
        <w:bidi/>
      </w:pPr>
      <w:r>
        <w:rPr>
          <w:rFonts w:ascii="Arial" w:hAnsi="Arial"/>
          <w:sz w:val="16"/>
        </w:rPr>
        <w:t>292.18  به‌عنوان مثال، آیا می‌توان این موقعیت را مجددا تبلیغ کرد تا افراد بیشتری را به درخواست تشویق کند؟</w:t>
      </w:r>
    </w:p>
    <w:p>
      <w:pPr>
        <w:spacing w:after="28" w:line="216" w:lineRule="auto"/>
        <w:ind w:left="259"/>
        <w:jc w:val="left"/>
      </w:pPr>
      <w:r>
        <w:rPr>
          <w:rFonts w:ascii="Arial" w:hAnsi="Arial"/>
          <w:color w:val="525252"/>
          <w:sz w:val="13"/>
        </w:rPr>
        <w:t>For example, could the position be re-advertised to encourage more people to apply?</w:t>
      </w:r>
    </w:p>
    <w:p>
      <w:pPr>
        <w:spacing w:after="20" w:line="223" w:lineRule="auto"/>
        <w:jc w:val="right"/>
        <w:bidi/>
      </w:pPr>
      <w:r>
        <w:rPr>
          <w:rFonts w:ascii="Arial" w:hAnsi="Arial"/>
          <w:sz w:val="16"/>
        </w:rPr>
        <w:t>292.19  آیا یکی از کاندیداها می‌تواند موقعیت را با جزئیات مشخص کند تا گروه بتواند بر اساس عملکرد اولیه قبل از تصمیم‌گیری نهایی دوباره ارزیابی کند؟</w:t>
      </w:r>
    </w:p>
    <w:p>
      <w:pPr>
        <w:spacing w:after="28" w:line="216" w:lineRule="auto"/>
        <w:ind w:left="259"/>
        <w:jc w:val="left"/>
      </w:pPr>
      <w:r>
        <w:rPr>
          <w:rFonts w:ascii="Arial" w:hAnsi="Arial"/>
          <w:color w:val="525252"/>
          <w:sz w:val="13"/>
        </w:rPr>
        <w:t>Could one of the candidates be detailed to the position so the group can re-evaluate based on initial performance before making a final decision?</w:t>
      </w:r>
    </w:p>
    <w:p>
      <w:pPr>
        <w:spacing w:after="20" w:line="223" w:lineRule="auto"/>
        <w:jc w:val="right"/>
        <w:bidi/>
      </w:pPr>
      <w:r>
        <w:rPr>
          <w:rFonts w:ascii="Arial" w:hAnsi="Arial"/>
          <w:sz w:val="16"/>
        </w:rPr>
        <w:t>292.20  آیا می‌توان این پست را یک عضو نظامی به جای یک غیرنظامی پر کرد؟</w:t>
      </w:r>
    </w:p>
    <w:p>
      <w:pPr>
        <w:spacing w:after="28" w:line="216" w:lineRule="auto"/>
        <w:ind w:left="259"/>
        <w:jc w:val="left"/>
      </w:pPr>
      <w:r>
        <w:rPr>
          <w:rFonts w:ascii="Arial" w:hAnsi="Arial"/>
          <w:color w:val="525252"/>
          <w:sz w:val="13"/>
        </w:rPr>
        <w:t>Could the position be filled by a military member rather than a civilian?</w:t>
      </w:r>
    </w:p>
    <w:p>
      <w:pPr>
        <w:spacing w:after="20" w:line="223" w:lineRule="auto"/>
        <w:jc w:val="right"/>
        <w:bidi/>
      </w:pPr>
      <w:r>
        <w:rPr>
          <w:rFonts w:ascii="Arial" w:hAnsi="Arial"/>
          <w:sz w:val="16"/>
        </w:rPr>
        <w:t>292.21  حتی یک دیدگاه مخالف می‌تواند تفکر واگرا را تقویت کند (تولید طیف وسیعی از جایگزین‌های ممکن).</w:t>
      </w:r>
    </w:p>
    <w:p>
      <w:pPr>
        <w:spacing w:after="28" w:line="216" w:lineRule="auto"/>
        <w:ind w:left="259"/>
        <w:jc w:val="left"/>
      </w:pPr>
      <w:r>
        <w:rPr>
          <w:rFonts w:ascii="Arial" w:hAnsi="Arial"/>
          <w:color w:val="525252"/>
          <w:sz w:val="13"/>
        </w:rPr>
        <w:t>Even a single opposing view can foster divergent thinking (generation of a range of possible alternatives).</w:t>
      </w:r>
    </w:p>
    <w:p>
      <w:pPr>
        <w:spacing w:after="20" w:line="223" w:lineRule="auto"/>
        <w:jc w:val="right"/>
        <w:bidi/>
      </w:pPr>
      <w:r>
        <w:rPr>
          <w:rFonts w:ascii="Arial" w:hAnsi="Arial"/>
          <w:sz w:val="16"/>
        </w:rPr>
        <w:t>292.22  بنابراین حتی اگر گروهی در نهایت موقعیت خاص شما را اتخاذ نکند (یعنی کاندید ب را استخدام کند)، احتمال بیشتری وجود دارد که اعضای گروه به گزینه‌های احتمالی دیگری فکر کنند که ممکن است در غیر این صورت در نظر نگرفته باشند یا به اشتراک گذاشته باشند.</w:t>
      </w:r>
    </w:p>
    <w:p>
      <w:pPr>
        <w:spacing w:after="28" w:line="216" w:lineRule="auto"/>
        <w:ind w:left="259"/>
        <w:jc w:val="left"/>
      </w:pPr>
      <w:r>
        <w:rPr>
          <w:rFonts w:ascii="Arial" w:hAnsi="Arial"/>
          <w:color w:val="525252"/>
          <w:sz w:val="13"/>
        </w:rPr>
        <w:t>So even if a group does not ultimately adopt your specific position (i.e., hire Candidate B), group members will be more likely to think of other possible alternatives that they may not have otherwise considered or shared.</w:t>
      </w:r>
    </w:p>
    <w:p>
      <w:pPr>
        <w:spacing w:after="20" w:line="223" w:lineRule="auto"/>
        <w:jc w:val="right"/>
        <w:bidi/>
      </w:pPr>
      <w:r>
        <w:rPr>
          <w:rFonts w:ascii="Arial" w:hAnsi="Arial"/>
          <w:sz w:val="16"/>
        </w:rPr>
        <w:t>292.23  در نتیجه، تصمیمات خوب گروهی محتمل‌تر می‌شود.</w:t>
      </w:r>
    </w:p>
    <w:p>
      <w:pPr>
        <w:spacing w:after="28" w:line="216" w:lineRule="auto"/>
        <w:ind w:left="259"/>
        <w:jc w:val="left"/>
      </w:pPr>
      <w:r>
        <w:rPr>
          <w:rFonts w:ascii="Arial" w:hAnsi="Arial"/>
          <w:color w:val="525252"/>
          <w:sz w:val="13"/>
        </w:rPr>
        <w:t>As a result, good group decisions become more likely.</w:t>
      </w:r>
    </w:p>
    <w:p>
      <w:pPr>
        <w:spacing w:before="60" w:after="28"/>
        <w:jc w:val="right"/>
        <w:bidi/>
      </w:pPr>
      <w:r>
        <w:rPr>
          <w:b/>
          <w:color w:val="1F4D78"/>
          <w:sz w:val="18"/>
        </w:rPr>
        <w:t>16.10. قضاوت انتقادی</w:t>
      </w:r>
    </w:p>
    <w:p>
      <w:pPr>
        <w:spacing w:after="20"/>
        <w:ind w:left="259"/>
        <w:jc w:val="left"/>
      </w:pPr>
      <w:r>
        <w:rPr>
          <w:color w:val="555555"/>
          <w:sz w:val="12"/>
        </w:rPr>
        <w:t>16.10. Critical Judgment</w:t>
      </w:r>
    </w:p>
    <w:p>
      <w:pPr>
        <w:spacing w:after="20" w:line="223" w:lineRule="auto"/>
        <w:jc w:val="right"/>
        <w:bidi/>
      </w:pPr>
      <w:r>
        <w:rPr>
          <w:rFonts w:ascii="Arial" w:hAnsi="Arial"/>
          <w:sz w:val="16"/>
        </w:rPr>
        <w:t>292.25  پروفسور اندرو جی. دوبرین، دکترای روانشناسی صنعتی/سازمانی، اظهار داشت که یک تیم با عملکرد بالا نیازمند انتقاد صمیمانه و زیرکانه در میان اعضا است.</w:t>
      </w:r>
    </w:p>
    <w:p>
      <w:pPr>
        <w:spacing w:after="28" w:line="216" w:lineRule="auto"/>
        <w:ind w:left="259"/>
        <w:jc w:val="left"/>
      </w:pPr>
      <w:r>
        <w:rPr>
          <w:rFonts w:ascii="Arial" w:hAnsi="Arial"/>
          <w:color w:val="525252"/>
          <w:sz w:val="13"/>
        </w:rPr>
        <w:t>Professor Andrew J. DuBrin, Doctor of Industrial/Organizational Psychology, stated that a high performance team demands sincere and tactful criticism among members.</w:t>
      </w:r>
    </w:p>
    <w:p>
      <w:pPr>
        <w:spacing w:after="20" w:line="223" w:lineRule="auto"/>
        <w:jc w:val="right"/>
        <w:bidi/>
      </w:pPr>
      <w:r>
        <w:rPr>
          <w:rFonts w:ascii="Arial" w:hAnsi="Arial"/>
          <w:sz w:val="16"/>
        </w:rPr>
        <w:t>292.26  در USAF، ضروری است که بازخورد در میان اعضای تیم و همچنین از طیف وسیعی از منابع مورد استقبال و تشویق قرار گیرد.</w:t>
      </w:r>
    </w:p>
    <w:p>
      <w:pPr>
        <w:spacing w:after="28" w:line="216" w:lineRule="auto"/>
        <w:ind w:left="259"/>
        <w:jc w:val="left"/>
      </w:pPr>
      <w:r>
        <w:rPr>
          <w:rFonts w:ascii="Arial" w:hAnsi="Arial"/>
          <w:color w:val="525252"/>
          <w:sz w:val="13"/>
        </w:rPr>
        <w:t>In the USAF, it is imperative that feedback is welcomed and encouraged among team members, as well as from a broad spectrum of sources.</w:t>
      </w:r>
    </w:p>
    <w:p>
      <w:pPr>
        <w:spacing w:after="20" w:line="223" w:lineRule="auto"/>
        <w:jc w:val="right"/>
        <w:bidi/>
      </w:pPr>
      <w:r>
        <w:rPr>
          <w:rFonts w:ascii="Arial" w:hAnsi="Arial"/>
          <w:sz w:val="16"/>
        </w:rPr>
        <w:t>292.27  دریافت اطلاعات راهی برای توجه به روش‌های جدید، متفاوت و اغلب بهتر است.</w:t>
      </w:r>
    </w:p>
    <w:p>
      <w:pPr>
        <w:spacing w:after="28" w:line="216" w:lineRule="auto"/>
        <w:ind w:left="259"/>
        <w:jc w:val="left"/>
      </w:pPr>
      <w:r>
        <w:rPr>
          <w:rFonts w:ascii="Arial" w:hAnsi="Arial"/>
          <w:color w:val="525252"/>
          <w:sz w:val="13"/>
        </w:rPr>
        <w:t>Receiving information is a way of giving consideration to new, different, and often better ways of performing.</w:t>
      </w:r>
    </w:p>
    <w:p>
      <w:pPr>
        <w:spacing w:after="20" w:line="223" w:lineRule="auto"/>
        <w:jc w:val="right"/>
        <w:bidi/>
      </w:pPr>
      <w:r>
        <w:rPr>
          <w:rFonts w:ascii="Arial" w:hAnsi="Arial"/>
          <w:sz w:val="16"/>
        </w:rPr>
        <w:t>292.28  تمایل به پذیرش و ابراز قدردانی</w:t>
      </w:r>
    </w:p>
    <w:p>
      <w:pPr>
        <w:spacing w:after="28" w:line="216" w:lineRule="auto"/>
        <w:ind w:left="259"/>
        <w:jc w:val="left"/>
      </w:pPr>
      <w:r>
        <w:rPr>
          <w:rFonts w:ascii="Arial" w:hAnsi="Arial"/>
          <w:color w:val="525252"/>
          <w:sz w:val="13"/>
        </w:rPr>
        <w:t>The willingness to accept and show appreciation</w:t>
      </w:r>
    </w:p>
    <w:p>
      <w:r>
        <w:br w:type="page"/>
      </w:r>
    </w:p>
    <w:p>
      <w:pPr>
        <w:spacing w:after="60"/>
        <w:jc w:val="right"/>
        <w:bidi/>
      </w:pPr>
      <w:r>
        <w:rPr>
          <w:rFonts w:ascii="Arial" w:hAnsi="Arial"/>
          <w:b/>
          <w:color w:val="1F4D78"/>
          <w:sz w:val="19"/>
        </w:rPr>
        <w:t>هفتهٔ 293  |  صفحهٔ منبع: 309</w:t>
      </w:r>
    </w:p>
    <w:p>
      <w:pPr>
        <w:spacing w:after="20" w:line="223" w:lineRule="auto"/>
        <w:jc w:val="right"/>
        <w:bidi/>
      </w:pPr>
      <w:r>
        <w:rPr>
          <w:rFonts w:ascii="Arial" w:hAnsi="Arial"/>
          <w:sz w:val="16"/>
        </w:rPr>
        <w:t>293.01  برای انتقاد سازنده، خودآگاهی را افزایش می‌دهد و اثربخشی تیم را بهبود می‌بخشد.</w:t>
      </w:r>
    </w:p>
    <w:p>
      <w:pPr>
        <w:spacing w:after="28" w:line="216" w:lineRule="auto"/>
        <w:ind w:left="259"/>
        <w:jc w:val="left"/>
      </w:pPr>
      <w:r>
        <w:rPr>
          <w:rFonts w:ascii="Arial" w:hAnsi="Arial"/>
          <w:color w:val="525252"/>
          <w:sz w:val="13"/>
        </w:rPr>
        <w:t>for constructive criticism increases self-awareness and improves team effectiveness.</w:t>
      </w:r>
    </w:p>
    <w:p>
      <w:pPr>
        <w:spacing w:after="20" w:line="223" w:lineRule="auto"/>
        <w:jc w:val="right"/>
        <w:bidi/>
      </w:pPr>
      <w:r>
        <w:rPr>
          <w:rFonts w:ascii="Arial" w:hAnsi="Arial"/>
          <w:sz w:val="16"/>
        </w:rPr>
        <w:t>293.02  با تشویق و در نظر گرفتن بازخورد انتقادی، تیم‌ها می‌توانند تمرکز و انرژی را به سمت اصلاح سریع مشکلات هدایت کنند تا اینکه اجازه دهند مشکلات تشدید شوند.</w:t>
      </w:r>
    </w:p>
    <w:p>
      <w:pPr>
        <w:spacing w:after="28" w:line="216" w:lineRule="auto"/>
        <w:ind w:left="259"/>
        <w:jc w:val="left"/>
      </w:pPr>
      <w:r>
        <w:rPr>
          <w:rFonts w:ascii="Arial" w:hAnsi="Arial"/>
          <w:color w:val="525252"/>
          <w:sz w:val="13"/>
        </w:rPr>
        <w:t>By encouraging and considering critical feedback, teams can redirect focus and energy to correct problems quickly rather than allowing them to intensify.</w:t>
      </w:r>
    </w:p>
    <w:p>
      <w:pPr>
        <w:spacing w:after="20" w:line="223" w:lineRule="auto"/>
        <w:jc w:val="right"/>
        <w:bidi/>
      </w:pPr>
      <w:r>
        <w:rPr>
          <w:rFonts w:ascii="Arial" w:hAnsi="Arial"/>
          <w:sz w:val="16"/>
        </w:rPr>
        <w:t>293.03  برای اینکه بازخورد یا انتقاد سازنده باشد، هدف جمعی بازخورد باید این باشد که همه طرف‌های درگیر در نهایت همان نتیجه مورد انتظار را داشته باشند - بهبود فرآیند یا رویه‌ای که به‌طور مثبت به مأموریت کمک می‌کند.</w:t>
      </w:r>
    </w:p>
    <w:p>
      <w:pPr>
        <w:spacing w:after="28" w:line="216" w:lineRule="auto"/>
        <w:ind w:left="259"/>
        <w:jc w:val="left"/>
      </w:pPr>
      <w:r>
        <w:rPr>
          <w:rFonts w:ascii="Arial" w:hAnsi="Arial"/>
          <w:color w:val="525252"/>
          <w:sz w:val="13"/>
        </w:rPr>
        <w:t>For feedback or criticism to be productive, the collective purpose for the feedback must be for all parties involved to ultimately have the same expected outcome - to improve a process or procedure that positively contributes to the mission.</w:t>
      </w:r>
    </w:p>
    <w:p>
      <w:pPr>
        <w:spacing w:after="20" w:line="223" w:lineRule="auto"/>
        <w:jc w:val="right"/>
        <w:bidi/>
      </w:pPr>
      <w:r>
        <w:rPr>
          <w:rFonts w:ascii="Arial" w:hAnsi="Arial"/>
          <w:sz w:val="16"/>
        </w:rPr>
        <w:t>293.04  توجه: صداقت مهم است؛ با این حال، صداقت وحشیانه می‌تواند توهین آمیز باشد.</w:t>
      </w:r>
    </w:p>
    <w:p>
      <w:pPr>
        <w:spacing w:after="28" w:line="216" w:lineRule="auto"/>
        <w:ind w:left="259"/>
        <w:jc w:val="left"/>
      </w:pPr>
      <w:r>
        <w:rPr>
          <w:rFonts w:ascii="Arial" w:hAnsi="Arial"/>
          <w:color w:val="525252"/>
          <w:sz w:val="13"/>
        </w:rPr>
        <w:t>Note: Honesty is important; however, brutal honesty can be offensive.</w:t>
      </w:r>
    </w:p>
    <w:p>
      <w:pPr>
        <w:spacing w:after="20" w:line="223" w:lineRule="auto"/>
        <w:jc w:val="right"/>
        <w:bidi/>
      </w:pPr>
      <w:r>
        <w:rPr>
          <w:rFonts w:ascii="Arial" w:hAnsi="Arial"/>
          <w:sz w:val="16"/>
        </w:rPr>
        <w:t>293.05  ارائه انتقاد سازنده مستلزم تمرکز بر رفع یا بهبود یک مشکل است، نه تمرکز بر مشکلات برای منافع شخصی یا مخالف.</w:t>
      </w:r>
    </w:p>
    <w:p>
      <w:pPr>
        <w:spacing w:after="28" w:line="216" w:lineRule="auto"/>
        <w:ind w:left="259"/>
        <w:jc w:val="left"/>
      </w:pPr>
      <w:r>
        <w:rPr>
          <w:rFonts w:ascii="Arial" w:hAnsi="Arial"/>
          <w:color w:val="525252"/>
          <w:sz w:val="13"/>
        </w:rPr>
        <w:t>Giving constructive criticism requires a focus on fixing or improving upon a problem, not focusing on problems for personal or oppositional gain.</w:t>
      </w:r>
    </w:p>
    <w:p>
      <w:pPr>
        <w:spacing w:before="60" w:after="28"/>
        <w:jc w:val="right"/>
        <w:bidi/>
      </w:pPr>
      <w:r>
        <w:rPr>
          <w:b/>
          <w:color w:val="1F4D78"/>
          <w:sz w:val="18"/>
        </w:rPr>
        <w:t>16.11. برخورد مثبت با تعارض</w:t>
      </w:r>
    </w:p>
    <w:p>
      <w:pPr>
        <w:spacing w:after="20"/>
        <w:ind w:left="259"/>
        <w:jc w:val="left"/>
      </w:pPr>
      <w:r>
        <w:rPr>
          <w:color w:val="555555"/>
          <w:sz w:val="12"/>
        </w:rPr>
        <w:t>16.11. Addressing Conflict Positively</w:t>
      </w:r>
    </w:p>
    <w:p>
      <w:pPr>
        <w:spacing w:after="20" w:line="223" w:lineRule="auto"/>
        <w:jc w:val="right"/>
        <w:bidi/>
      </w:pPr>
      <w:r>
        <w:rPr>
          <w:rFonts w:ascii="Arial" w:hAnsi="Arial"/>
          <w:sz w:val="16"/>
        </w:rPr>
        <w:t>293.07  اختلاف نظر بین شرکت کنندگان در هر فرآیند تصمیم‌گیری برای تحریک تحقیق و تحلیل ضروری است.</w:t>
      </w:r>
    </w:p>
    <w:p>
      <w:pPr>
        <w:spacing w:after="28" w:line="216" w:lineRule="auto"/>
        <w:ind w:left="259"/>
        <w:jc w:val="left"/>
      </w:pPr>
      <w:r>
        <w:rPr>
          <w:rFonts w:ascii="Arial" w:hAnsi="Arial"/>
          <w:color w:val="525252"/>
          <w:sz w:val="13"/>
        </w:rPr>
        <w:t>Disagreement between participants in any decision-making process is necessary to stimulate inquiry and analysis.</w:t>
      </w:r>
    </w:p>
    <w:p>
      <w:pPr>
        <w:spacing w:after="20" w:line="223" w:lineRule="auto"/>
        <w:jc w:val="right"/>
        <w:bidi/>
      </w:pPr>
      <w:r>
        <w:rPr>
          <w:rFonts w:ascii="Arial" w:hAnsi="Arial"/>
          <w:sz w:val="16"/>
        </w:rPr>
        <w:t>293.08  چالش رهبران ایجاد تعارض سازنده در عین حفظ کار تیمی و روابط لازم برای رویدادهای تصمیم‌گیری آینده است.</w:t>
      </w:r>
    </w:p>
    <w:p>
      <w:pPr>
        <w:spacing w:after="28" w:line="216" w:lineRule="auto"/>
        <w:ind w:left="259"/>
        <w:jc w:val="left"/>
      </w:pPr>
      <w:r>
        <w:rPr>
          <w:rFonts w:ascii="Arial" w:hAnsi="Arial"/>
          <w:color w:val="525252"/>
          <w:sz w:val="13"/>
        </w:rPr>
        <w:t>The challenge for leaders is to create constructive conflict while retaining the teamwork and relationships necessary for future decision events.</w:t>
      </w:r>
    </w:p>
    <w:p>
      <w:pPr>
        <w:spacing w:after="20" w:line="223" w:lineRule="auto"/>
        <w:jc w:val="right"/>
        <w:bidi/>
      </w:pPr>
      <w:r>
        <w:rPr>
          <w:rFonts w:ascii="Arial" w:hAnsi="Arial"/>
          <w:sz w:val="16"/>
        </w:rPr>
        <w:t>293.09  در فرآیند تصمیم‌گیری، بحث متمرکز بر موضوعات و ایده‌های مورد نظر (تضاد شناختی) سازنده است.</w:t>
      </w:r>
    </w:p>
    <w:p>
      <w:pPr>
        <w:spacing w:after="28" w:line="216" w:lineRule="auto"/>
        <w:ind w:left="259"/>
        <w:jc w:val="left"/>
      </w:pPr>
      <w:r>
        <w:rPr>
          <w:rFonts w:ascii="Arial" w:hAnsi="Arial"/>
          <w:color w:val="525252"/>
          <w:sz w:val="13"/>
        </w:rPr>
        <w:t>In the decision-making process, debate focused on the issues and ideas at hand (cognitive conflict) is constructive.</w:t>
      </w:r>
    </w:p>
    <w:p>
      <w:pPr>
        <w:spacing w:after="20" w:line="223" w:lineRule="auto"/>
        <w:jc w:val="right"/>
        <w:bidi/>
      </w:pPr>
      <w:r>
        <w:rPr>
          <w:rFonts w:ascii="Arial" w:hAnsi="Arial"/>
          <w:sz w:val="16"/>
        </w:rPr>
        <w:t>293.10  از سوی دیگر، طغیان‌های عاطفی و شخصی (تضاد عاطفی) چنین نیست.</w:t>
      </w:r>
    </w:p>
    <w:p>
      <w:pPr>
        <w:spacing w:after="28" w:line="216" w:lineRule="auto"/>
        <w:ind w:left="259"/>
        <w:jc w:val="left"/>
      </w:pPr>
      <w:r>
        <w:rPr>
          <w:rFonts w:ascii="Arial" w:hAnsi="Arial"/>
          <w:color w:val="525252"/>
          <w:sz w:val="13"/>
        </w:rPr>
        <w:t>On the other hand, emotional and personal outbursts (affective conflict) are not.</w:t>
      </w:r>
    </w:p>
    <w:p>
      <w:pPr>
        <w:spacing w:after="20" w:line="223" w:lineRule="auto"/>
        <w:jc w:val="right"/>
        <w:bidi/>
      </w:pPr>
      <w:r>
        <w:rPr>
          <w:rFonts w:ascii="Arial" w:hAnsi="Arial"/>
          <w:sz w:val="16"/>
        </w:rPr>
        <w:t>293.11  یکی از جنبه‌های کلیدی مدیریت فرآیند تصمیم‌گیری، برانگیختن تعارض شناختی برای حمایت از مواضع و تحلیل‌ها - بحث در مورد مفاهیم، ​​اما نه حمله به شخصی که آنها را نمایندگی می‌کند.</w:t>
      </w:r>
    </w:p>
    <w:p>
      <w:pPr>
        <w:spacing w:after="28" w:line="216" w:lineRule="auto"/>
        <w:ind w:left="259"/>
        <w:jc w:val="left"/>
      </w:pPr>
      <w:r>
        <w:rPr>
          <w:rFonts w:ascii="Arial" w:hAnsi="Arial"/>
          <w:color w:val="525252"/>
          <w:sz w:val="13"/>
        </w:rPr>
        <w:t>A key aspect of managing the decision process is to stimulate cognitive conflict to advocate positions and analysis—debating concepts, but not attacking the person representing them.</w:t>
      </w:r>
    </w:p>
    <w:p>
      <w:pPr>
        <w:spacing w:after="20" w:line="223" w:lineRule="auto"/>
        <w:jc w:val="right"/>
        <w:bidi/>
      </w:pPr>
      <w:r>
        <w:rPr>
          <w:rFonts w:ascii="Arial" w:hAnsi="Arial"/>
          <w:sz w:val="16"/>
        </w:rPr>
        <w:t>293.12  هوانوردان در مناصب رهبری باید به وضوح قوانین اساسی را برای تعامل در طول بحث و گفتگو ایجاد کنند و از شرکت کنندگان بخواهند که به سبک‌های شناختی و تحلیلی یکدیگر احترام بگذارند.</w:t>
      </w:r>
    </w:p>
    <w:p>
      <w:pPr>
        <w:spacing w:after="28" w:line="216" w:lineRule="auto"/>
        <w:ind w:left="259"/>
        <w:jc w:val="left"/>
      </w:pPr>
      <w:r>
        <w:rPr>
          <w:rFonts w:ascii="Arial" w:hAnsi="Arial"/>
          <w:color w:val="525252"/>
          <w:sz w:val="13"/>
        </w:rPr>
        <w:t>Airmen in leadership positions should clearly establish ground rules for interaction during deliberations and require participants to respect each other’s cognitive and analytical styles.</w:t>
      </w:r>
    </w:p>
    <w:p>
      <w:pPr>
        <w:spacing w:before="60" w:after="28"/>
        <w:jc w:val="right"/>
        <w:bidi/>
      </w:pPr>
      <w:r>
        <w:rPr>
          <w:b/>
          <w:color w:val="1F4D78"/>
          <w:sz w:val="18"/>
        </w:rPr>
        <w:t>16.12. بلاتکلیفی</w:t>
      </w:r>
    </w:p>
    <w:p>
      <w:pPr>
        <w:spacing w:after="20"/>
        <w:ind w:left="259"/>
        <w:jc w:val="left"/>
      </w:pPr>
      <w:r>
        <w:rPr>
          <w:color w:val="555555"/>
          <w:sz w:val="12"/>
        </w:rPr>
        <w:t>16.12. Indecision</w:t>
      </w:r>
    </w:p>
    <w:p>
      <w:pPr>
        <w:spacing w:after="20" w:line="223" w:lineRule="auto"/>
        <w:jc w:val="right"/>
        <w:bidi/>
      </w:pPr>
      <w:r>
        <w:rPr>
          <w:rFonts w:ascii="Arial" w:hAnsi="Arial"/>
          <w:sz w:val="16"/>
        </w:rPr>
        <w:t>293.14  بلاتکلیفی تنها یک مشکل رهبران، فرهنگ سازمانی یا موضوعات پیچیده نیست.</w:t>
      </w:r>
    </w:p>
    <w:p>
      <w:pPr>
        <w:spacing w:after="28" w:line="216" w:lineRule="auto"/>
        <w:ind w:left="259"/>
        <w:jc w:val="left"/>
      </w:pPr>
      <w:r>
        <w:rPr>
          <w:rFonts w:ascii="Arial" w:hAnsi="Arial"/>
          <w:color w:val="525252"/>
          <w:sz w:val="13"/>
        </w:rPr>
        <w:t>Indecision is not solely a problem with leaders, organizational cultures, or complex topics.</w:t>
      </w:r>
    </w:p>
    <w:p>
      <w:pPr>
        <w:spacing w:after="20" w:line="223" w:lineRule="auto"/>
        <w:jc w:val="right"/>
        <w:bidi/>
      </w:pPr>
      <w:r>
        <w:rPr>
          <w:rFonts w:ascii="Arial" w:hAnsi="Arial"/>
          <w:sz w:val="16"/>
        </w:rPr>
        <w:t>293.15  بلاتکلیفی اغلب در نتیجه ترکیب هر سه رخ می‌دهد.</w:t>
      </w:r>
    </w:p>
    <w:p>
      <w:pPr>
        <w:spacing w:after="28" w:line="216" w:lineRule="auto"/>
        <w:ind w:left="259"/>
        <w:jc w:val="left"/>
      </w:pPr>
      <w:r>
        <w:rPr>
          <w:rFonts w:ascii="Arial" w:hAnsi="Arial"/>
          <w:color w:val="525252"/>
          <w:sz w:val="13"/>
        </w:rPr>
        <w:t>Indecision often occurs as a result of combinations of all three.</w:t>
      </w:r>
    </w:p>
    <w:p>
      <w:pPr>
        <w:spacing w:after="20" w:line="223" w:lineRule="auto"/>
        <w:jc w:val="right"/>
        <w:bidi/>
      </w:pPr>
      <w:r>
        <w:rPr>
          <w:rFonts w:ascii="Arial" w:hAnsi="Arial"/>
          <w:sz w:val="16"/>
        </w:rPr>
        <w:t>293.16  جنبه فرهنگ سازمانی را می‌توان با شناخت الگوهای رفتاری که ناکارآمدی را در فرآیند تصمیم‌گیری آشکار می‌کند، مورد توجه قرار داد.</w:t>
      </w:r>
    </w:p>
    <w:p>
      <w:pPr>
        <w:spacing w:after="28" w:line="216" w:lineRule="auto"/>
        <w:ind w:left="259"/>
        <w:jc w:val="left"/>
      </w:pPr>
      <w:r>
        <w:rPr>
          <w:rFonts w:ascii="Arial" w:hAnsi="Arial"/>
          <w:color w:val="525252"/>
          <w:sz w:val="13"/>
        </w:rPr>
        <w:t>The aspect of organizational cultures can be addressed by recognizing patterns of behavior that manifest dysfunction within the decision-making process.</w:t>
      </w:r>
    </w:p>
    <w:p>
      <w:pPr>
        <w:spacing w:after="20" w:line="223" w:lineRule="auto"/>
        <w:jc w:val="right"/>
        <w:bidi/>
      </w:pPr>
      <w:r>
        <w:rPr>
          <w:rFonts w:ascii="Arial" w:hAnsi="Arial"/>
          <w:sz w:val="16"/>
        </w:rPr>
        <w:t>293.17  سه فرهنگ سازمانی مضر در اینجا به اختصار توضیح داده شده است.</w:t>
      </w:r>
    </w:p>
    <w:p>
      <w:pPr>
        <w:spacing w:after="28" w:line="216" w:lineRule="auto"/>
        <w:ind w:left="259"/>
        <w:jc w:val="left"/>
      </w:pPr>
      <w:r>
        <w:rPr>
          <w:rFonts w:ascii="Arial" w:hAnsi="Arial"/>
          <w:color w:val="525252"/>
          <w:sz w:val="13"/>
        </w:rPr>
        <w:t>Three harmful organizational cultures are briefly described here.</w:t>
      </w:r>
    </w:p>
    <w:p>
      <w:pPr>
        <w:spacing w:after="20" w:line="223" w:lineRule="auto"/>
        <w:jc w:val="right"/>
        <w:bidi/>
      </w:pPr>
      <w:r>
        <w:rPr>
          <w:rFonts w:ascii="Arial" w:hAnsi="Arial"/>
          <w:sz w:val="16"/>
        </w:rPr>
        <w:t>293.18  فرهنگ تعداد سازمان‌های با فرهنگ نه، فرآیند تصمیم‌گیری را ایجاد کرده‌اند که در آن مخالفان تنها می‌توانند در فرآیند برنامه‌ریزی، عدم موافقت خود را صادر کنند، و به‌طور مؤثر اهداف کلی سازمان را مسدود می‌کنند، زیرا با منافع درون سازمانی در تضاد هستند.</w:t>
      </w:r>
    </w:p>
    <w:p>
      <w:pPr>
        <w:spacing w:after="28" w:line="216" w:lineRule="auto"/>
        <w:ind w:left="259"/>
        <w:jc w:val="left"/>
      </w:pPr>
      <w:r>
        <w:rPr>
          <w:rFonts w:ascii="Arial" w:hAnsi="Arial"/>
          <w:color w:val="525252"/>
          <w:sz w:val="13"/>
        </w:rPr>
        <w:t>The Culture of No. Organizations with a culture of no have established a decision-making process where lone dissenters are able to issue non-concurs within the planning process, effectively blocking overall organizational goals because they conflict with internal sub-organizational interests.</w:t>
      </w:r>
    </w:p>
    <w:p>
      <w:pPr>
        <w:spacing w:after="20" w:line="223" w:lineRule="auto"/>
        <w:jc w:val="right"/>
        <w:bidi/>
      </w:pPr>
      <w:r>
        <w:rPr>
          <w:rFonts w:ascii="Arial" w:hAnsi="Arial"/>
          <w:sz w:val="16"/>
        </w:rPr>
        <w:t>293.19  این فرهنگ می‌تواند در سازمان‌هایی ایجاد شود که جلسات آن به جای بحث و تحلیل واقعی، بر تجزیه و تحلیل پیشنهادات متمرکز است.</w:t>
      </w:r>
    </w:p>
    <w:p>
      <w:pPr>
        <w:spacing w:after="28" w:line="216" w:lineRule="auto"/>
        <w:ind w:left="259"/>
        <w:jc w:val="left"/>
      </w:pPr>
      <w:r>
        <w:rPr>
          <w:rFonts w:ascii="Arial" w:hAnsi="Arial"/>
          <w:color w:val="525252"/>
          <w:sz w:val="13"/>
        </w:rPr>
        <w:t>This culture can arise in organizations where meetings focus on dissections of proposals instead of true debate and analysis.</w:t>
      </w:r>
    </w:p>
    <w:p>
      <w:pPr>
        <w:spacing w:after="20" w:line="223" w:lineRule="auto"/>
        <w:jc w:val="right"/>
        <w:bidi/>
      </w:pPr>
      <w:r>
        <w:rPr>
          <w:rFonts w:ascii="Arial" w:hAnsi="Arial"/>
          <w:sz w:val="16"/>
        </w:rPr>
        <w:t>293.20  رهبرانی که به زیردستان بر اساس توانایی آن‌ها در تشریح ایده‌های دیگران، بدون ارائه روش‌های عمل جایگزین، پاداش می‌دهند، فرهنگ نه را قادر می‌سازند و ترویج می‌کنند.</w:t>
      </w:r>
    </w:p>
    <w:p>
      <w:pPr>
        <w:spacing w:after="28" w:line="216" w:lineRule="auto"/>
        <w:ind w:left="259"/>
        <w:jc w:val="left"/>
      </w:pPr>
      <w:r>
        <w:rPr>
          <w:rFonts w:ascii="Arial" w:hAnsi="Arial"/>
          <w:color w:val="525252"/>
          <w:sz w:val="13"/>
        </w:rPr>
        <w:t>Leaders who reward subordinates based on their ability to dissect other’s ideas without providing alternative courses of action enable and promote a culture of no.</w:t>
      </w:r>
    </w:p>
    <w:p>
      <w:pPr>
        <w:spacing w:after="20" w:line="223" w:lineRule="auto"/>
        <w:jc w:val="right"/>
        <w:bidi/>
      </w:pPr>
      <w:r>
        <w:rPr>
          <w:rFonts w:ascii="Arial" w:hAnsi="Arial"/>
          <w:sz w:val="16"/>
        </w:rPr>
        <w:t>293.21  در فرهنگ نه، مخالفان به جای اینکه یک پیشنهاد را با هدف تقویت آن نقد کنند، پیشنهادها و ایده‌ها را پاره یا مسدود می‌کنند.</w:t>
      </w:r>
    </w:p>
    <w:p>
      <w:pPr>
        <w:spacing w:after="28" w:line="216" w:lineRule="auto"/>
        <w:ind w:left="259"/>
        <w:jc w:val="left"/>
      </w:pPr>
      <w:r>
        <w:rPr>
          <w:rFonts w:ascii="Arial" w:hAnsi="Arial"/>
          <w:color w:val="525252"/>
          <w:sz w:val="13"/>
        </w:rPr>
        <w:t>In a culture of no, dissenters tear down or block proposals and ideas rather than critique a proposal with the intent of strengthening it.</w:t>
      </w:r>
    </w:p>
    <w:p>
      <w:pPr>
        <w:spacing w:after="20" w:line="223" w:lineRule="auto"/>
        <w:jc w:val="right"/>
        <w:bidi/>
      </w:pPr>
      <w:r>
        <w:rPr>
          <w:rFonts w:ascii="Arial" w:hAnsi="Arial"/>
          <w:sz w:val="16"/>
        </w:rPr>
        <w:t>293.22  فرهنگ بله.</w:t>
      </w:r>
    </w:p>
    <w:p>
      <w:pPr>
        <w:spacing w:after="28" w:line="216" w:lineRule="auto"/>
        <w:ind w:left="259"/>
        <w:jc w:val="left"/>
      </w:pPr>
      <w:r>
        <w:rPr>
          <w:rFonts w:ascii="Arial" w:hAnsi="Arial"/>
          <w:color w:val="525252"/>
          <w:sz w:val="13"/>
        </w:rPr>
        <w:t>The Culture of Yes.</w:t>
      </w:r>
    </w:p>
    <w:p>
      <w:pPr>
        <w:spacing w:after="20" w:line="223" w:lineRule="auto"/>
        <w:jc w:val="right"/>
        <w:bidi/>
      </w:pPr>
      <w:r>
        <w:rPr>
          <w:rFonts w:ascii="Arial" w:hAnsi="Arial"/>
          <w:sz w:val="16"/>
        </w:rPr>
        <w:t>293.23  سازمان‌های با فرهنگ بله، محیطی را ایجاد کرده‌اند که مخالفان تمایل به سکوت دارند.</w:t>
      </w:r>
    </w:p>
    <w:p>
      <w:pPr>
        <w:spacing w:after="28" w:line="216" w:lineRule="auto"/>
        <w:ind w:left="259"/>
        <w:jc w:val="left"/>
      </w:pPr>
      <w:r>
        <w:rPr>
          <w:rFonts w:ascii="Arial" w:hAnsi="Arial"/>
          <w:color w:val="525252"/>
          <w:sz w:val="13"/>
        </w:rPr>
        <w:t>Organizations with a culture of yes have established an environment where dissenters tend to stay silent.</w:t>
      </w:r>
    </w:p>
    <w:p>
      <w:pPr>
        <w:spacing w:after="20" w:line="223" w:lineRule="auto"/>
        <w:jc w:val="right"/>
        <w:bidi/>
      </w:pPr>
      <w:r>
        <w:rPr>
          <w:rFonts w:ascii="Arial" w:hAnsi="Arial"/>
          <w:sz w:val="16"/>
        </w:rPr>
        <w:t>293.24  این سکوت بدون بهره مندی از تحلیل و بحث، به تأیید ضمنی پیشنهاد تبدیل می‌شود.</w:t>
      </w:r>
    </w:p>
    <w:p>
      <w:pPr>
        <w:spacing w:after="28" w:line="216" w:lineRule="auto"/>
        <w:ind w:left="259"/>
        <w:jc w:val="left"/>
      </w:pPr>
      <w:r>
        <w:rPr>
          <w:rFonts w:ascii="Arial" w:hAnsi="Arial"/>
          <w:color w:val="525252"/>
          <w:sz w:val="13"/>
        </w:rPr>
        <w:t>This silence becomes a tacit endorsement of the proposal without the benefit of analysis and debate.</w:t>
      </w:r>
    </w:p>
    <w:p>
      <w:pPr>
        <w:spacing w:after="20" w:line="223" w:lineRule="auto"/>
        <w:jc w:val="right"/>
        <w:bidi/>
      </w:pPr>
      <w:r>
        <w:rPr>
          <w:rFonts w:ascii="Arial" w:hAnsi="Arial"/>
          <w:sz w:val="16"/>
        </w:rPr>
        <w:t>293.25  در این شکل از فرهنگ سازمانی، زمانی که تصمیمی گرفته می‌شود، زیردستان بعدا برای فاصله گرفتن از یک تصمیم یا تضعیف اجرای برنامه، ابراز مخالفت می‌کنند.</w:t>
      </w:r>
    </w:p>
    <w:p>
      <w:pPr>
        <w:spacing w:after="28" w:line="216" w:lineRule="auto"/>
        <w:ind w:left="259"/>
        <w:jc w:val="left"/>
      </w:pPr>
      <w:r>
        <w:rPr>
          <w:rFonts w:ascii="Arial" w:hAnsi="Arial"/>
          <w:color w:val="525252"/>
          <w:sz w:val="13"/>
        </w:rPr>
        <w:t>In this form of organizational culture, once a decision is made, subordinates later express disagreement to distance themselves from a decision or to undermine the implementation of the plan.</w:t>
      </w:r>
    </w:p>
    <w:p>
      <w:pPr>
        <w:spacing w:after="20" w:line="223" w:lineRule="auto"/>
        <w:jc w:val="right"/>
        <w:bidi/>
      </w:pPr>
      <w:r>
        <w:rPr>
          <w:rFonts w:ascii="Arial" w:hAnsi="Arial"/>
          <w:sz w:val="16"/>
        </w:rPr>
        <w:t>293.26  هوانوردانی که در این نوع فرهنگ فعالیت می‌کنند باید درک کنند که سکوت به معنای رضایت نیست و مراقب کسانی باشند که در بحث مشارکت ندارند.</w:t>
      </w:r>
    </w:p>
    <w:p>
      <w:pPr>
        <w:spacing w:after="28" w:line="216" w:lineRule="auto"/>
        <w:ind w:left="259"/>
        <w:jc w:val="left"/>
      </w:pPr>
      <w:r>
        <w:rPr>
          <w:rFonts w:ascii="Arial" w:hAnsi="Arial"/>
          <w:color w:val="525252"/>
          <w:sz w:val="13"/>
        </w:rPr>
        <w:t>Airmen operating in this type of culture must understand that silence does not mean assent and watch for those not contributing to the discussion.</w:t>
      </w:r>
    </w:p>
    <w:p>
      <w:pPr>
        <w:spacing w:after="20" w:line="223" w:lineRule="auto"/>
        <w:jc w:val="right"/>
        <w:bidi/>
      </w:pPr>
      <w:r>
        <w:rPr>
          <w:rFonts w:ascii="Arial" w:hAnsi="Arial"/>
          <w:sz w:val="16"/>
        </w:rPr>
        <w:t>293.27  غلبه بر این گرایش فرهنگی به رهبران نیاز دارد که تضاد سازنده را در فرآیند تصمیم‌گیری به سطح بیاورند و نگرانی‌ها و تفسیرهای جایگزین شواهد را تحلیل کنند.</w:t>
      </w:r>
    </w:p>
    <w:p>
      <w:pPr>
        <w:spacing w:after="28" w:line="216" w:lineRule="auto"/>
        <w:ind w:left="259"/>
        <w:jc w:val="left"/>
      </w:pPr>
      <w:r>
        <w:rPr>
          <w:rFonts w:ascii="Arial" w:hAnsi="Arial"/>
          <w:color w:val="525252"/>
          <w:sz w:val="13"/>
        </w:rPr>
        <w:t>Overcoming this cultural tendency requires leaders to bring constructive conflict within the decision process to the surface and analyze concerns and alternative interpretations of evidence.</w:t>
      </w:r>
    </w:p>
    <w:p>
      <w:pPr>
        <w:spacing w:after="20" w:line="223" w:lineRule="auto"/>
        <w:jc w:val="right"/>
        <w:bidi/>
      </w:pPr>
      <w:r>
        <w:rPr>
          <w:rFonts w:ascii="Arial" w:hAnsi="Arial"/>
          <w:sz w:val="16"/>
        </w:rPr>
        <w:t>293.28  فرهنگ شاید.</w:t>
      </w:r>
    </w:p>
    <w:p>
      <w:pPr>
        <w:spacing w:after="28" w:line="216" w:lineRule="auto"/>
        <w:ind w:left="259"/>
        <w:jc w:val="left"/>
      </w:pPr>
      <w:r>
        <w:rPr>
          <w:rFonts w:ascii="Arial" w:hAnsi="Arial"/>
          <w:color w:val="525252"/>
          <w:sz w:val="13"/>
        </w:rPr>
        <w:t>The Culture of Maybe.</w:t>
      </w:r>
    </w:p>
    <w:p>
      <w:pPr>
        <w:spacing w:after="20" w:line="223" w:lineRule="auto"/>
        <w:jc w:val="right"/>
        <w:bidi/>
      </w:pPr>
      <w:r>
        <w:rPr>
          <w:rFonts w:ascii="Arial" w:hAnsi="Arial"/>
          <w:sz w:val="16"/>
        </w:rPr>
        <w:t>293.29  تحت فرهنگ شاید، تصمیم گیرندگان برای جمع‌آوری هرچه بیشتر اطلاعات تلاش می‌کنند، که اغلب منجر به «فلج تحلیل» می‌شود. در شرایط فلج تحلیل، تصمیم‌گیرندگان دائما اقدام را به تأخیر می‌اندازند زیرا فکر می‌کنند اطلاعات و تجزیه و تحلیل بیشتر انتخاب آنها را روشن می‌کند.</w:t>
      </w:r>
    </w:p>
    <w:p>
      <w:pPr>
        <w:spacing w:after="28" w:line="216" w:lineRule="auto"/>
        <w:ind w:left="259"/>
        <w:jc w:val="left"/>
      </w:pPr>
      <w:r>
        <w:rPr>
          <w:rFonts w:ascii="Arial" w:hAnsi="Arial"/>
          <w:color w:val="525252"/>
          <w:sz w:val="13"/>
        </w:rPr>
        <w:t>Under the culture of maybe, decision-makers work to gather as much information as possible, which often results in ‘analysis paralysis.’ Under analysis paralysis, decision-makers constantly delay action because they think more information and analysis will clarify their choice.</w:t>
      </w:r>
    </w:p>
    <w:p>
      <w:pPr>
        <w:spacing w:after="20" w:line="223" w:lineRule="auto"/>
        <w:jc w:val="right"/>
        <w:bidi/>
      </w:pPr>
      <w:r>
        <w:rPr>
          <w:rFonts w:ascii="Arial" w:hAnsi="Arial"/>
          <w:sz w:val="16"/>
        </w:rPr>
        <w:t>293.30  این فرهنگ تمایل دارد در سازمان‌هایی که با موقعیت‌های بسیار مبهم روبرو هستند یا در سازمان‌هایی که بخش‌ها/رهبران رقیب به جای تجزیه و تحلیل و بحث باز، اجتناب از تعارض را تمرین می‌کنند، توسعه یابد.</w:t>
      </w:r>
    </w:p>
    <w:p>
      <w:pPr>
        <w:spacing w:after="28" w:line="216" w:lineRule="auto"/>
        <w:ind w:left="259"/>
        <w:jc w:val="left"/>
      </w:pPr>
      <w:r>
        <w:rPr>
          <w:rFonts w:ascii="Arial" w:hAnsi="Arial"/>
          <w:color w:val="525252"/>
          <w:sz w:val="13"/>
        </w:rPr>
        <w:t>This culture tends to develop in organizations facing highly ambiguous situations or in organizations where competing sections/leaders practice conflict avoidance as opposed to open analysis and debate.</w:t>
      </w:r>
    </w:p>
    <w:p>
      <w:pPr>
        <w:spacing w:after="20" w:line="223" w:lineRule="auto"/>
        <w:jc w:val="right"/>
        <w:bidi/>
      </w:pPr>
      <w:r>
        <w:rPr>
          <w:rFonts w:ascii="Arial" w:hAnsi="Arial"/>
          <w:sz w:val="16"/>
        </w:rPr>
        <w:t>293.31  در این سازمان‌ها، تصمیم‌گیرندگان باید منافع کسب اطلاعات بیشتر را در مقابل بازدهی کاهشی که ارائه می‌کنند، متعادل کنند.</w:t>
      </w:r>
    </w:p>
    <w:p>
      <w:pPr>
        <w:spacing w:after="28" w:line="216" w:lineRule="auto"/>
        <w:ind w:left="259"/>
        <w:jc w:val="left"/>
      </w:pPr>
      <w:r>
        <w:rPr>
          <w:rFonts w:ascii="Arial" w:hAnsi="Arial"/>
          <w:color w:val="525252"/>
          <w:sz w:val="13"/>
        </w:rPr>
        <w:t>In these organizations, decision-makers must balance the benefit of gaining more information against the diminishing returns they provide, as opposed to</w:t>
      </w:r>
    </w:p>
    <w:p>
      <w:r>
        <w:br w:type="page"/>
      </w:r>
    </w:p>
    <w:p>
      <w:pPr>
        <w:spacing w:after="60"/>
        <w:jc w:val="right"/>
        <w:bidi/>
      </w:pPr>
      <w:r>
        <w:rPr>
          <w:rFonts w:ascii="Arial" w:hAnsi="Arial"/>
          <w:b/>
          <w:color w:val="1F4D78"/>
          <w:sz w:val="19"/>
        </w:rPr>
        <w:t>هفتهٔ 294  |  صفحهٔ منبع: 310</w:t>
      </w:r>
    </w:p>
    <w:p>
      <w:pPr>
        <w:spacing w:after="20" w:line="223" w:lineRule="auto"/>
        <w:jc w:val="right"/>
        <w:bidi/>
      </w:pPr>
      <w:r>
        <w:rPr>
          <w:rFonts w:ascii="Arial" w:hAnsi="Arial"/>
          <w:sz w:val="16"/>
        </w:rPr>
        <w:t>294.01  شروع عمل.</w:t>
      </w:r>
    </w:p>
    <w:p>
      <w:pPr>
        <w:spacing w:after="28" w:line="216" w:lineRule="auto"/>
        <w:ind w:left="259"/>
        <w:jc w:val="left"/>
      </w:pPr>
      <w:r>
        <w:rPr>
          <w:rFonts w:ascii="Arial" w:hAnsi="Arial"/>
          <w:color w:val="525252"/>
          <w:sz w:val="13"/>
        </w:rPr>
        <w:t>initiating action.</w:t>
      </w:r>
    </w:p>
    <w:p>
      <w:pPr>
        <w:spacing w:after="20" w:line="223" w:lineRule="auto"/>
        <w:jc w:val="right"/>
        <w:bidi/>
      </w:pPr>
      <w:r>
        <w:rPr>
          <w:rFonts w:ascii="Arial" w:hAnsi="Arial"/>
          <w:sz w:val="16"/>
        </w:rPr>
        <w:t>294.02  در حالی که رهبران به ندرت قادر به محاسبه دقیق هزینه در مقابل سود انتظار برای وضوح بیشتر هستند، قضاوت شهودی به‌عنوان برشی برای تاخیر غیر ضروری عمل می‌کند.</w:t>
      </w:r>
    </w:p>
    <w:p>
      <w:pPr>
        <w:spacing w:after="28" w:line="216" w:lineRule="auto"/>
        <w:ind w:left="259"/>
        <w:jc w:val="left"/>
      </w:pPr>
      <w:r>
        <w:rPr>
          <w:rFonts w:ascii="Arial" w:hAnsi="Arial"/>
          <w:color w:val="525252"/>
          <w:sz w:val="13"/>
        </w:rPr>
        <w:t>While leaders are seldom able to accurately calculate the cost versus benefit of waiting for additional clarity, intuitive judgment serves as a cut-off for unnecessary delay.</w:t>
      </w:r>
    </w:p>
    <w:p>
      <w:pPr>
        <w:spacing w:before="60" w:after="28"/>
        <w:jc w:val="right"/>
        <w:bidi/>
      </w:pPr>
      <w:r>
        <w:rPr>
          <w:b/>
          <w:color w:val="1F4D78"/>
          <w:sz w:val="18"/>
        </w:rPr>
        <w:t>16.13. نتایج تصمیم گیری</w:t>
      </w:r>
    </w:p>
    <w:p>
      <w:pPr>
        <w:spacing w:after="20"/>
        <w:ind w:left="259"/>
        <w:jc w:val="left"/>
      </w:pPr>
      <w:r>
        <w:rPr>
          <w:color w:val="555555"/>
          <w:sz w:val="12"/>
        </w:rPr>
        <w:t>16.13. Decision-Making Outcomes</w:t>
      </w:r>
    </w:p>
    <w:p>
      <w:pPr>
        <w:spacing w:after="20" w:line="223" w:lineRule="auto"/>
        <w:jc w:val="right"/>
        <w:bidi/>
      </w:pPr>
      <w:r>
        <w:rPr>
          <w:rFonts w:ascii="Arial" w:hAnsi="Arial"/>
          <w:sz w:val="16"/>
        </w:rPr>
        <w:t>294.04  عدالت رویه‌ای.</w:t>
      </w:r>
    </w:p>
    <w:p>
      <w:pPr>
        <w:spacing w:after="28" w:line="216" w:lineRule="auto"/>
        <w:ind w:left="259"/>
        <w:jc w:val="left"/>
      </w:pPr>
      <w:r>
        <w:rPr>
          <w:rFonts w:ascii="Arial" w:hAnsi="Arial"/>
          <w:color w:val="525252"/>
          <w:sz w:val="13"/>
        </w:rPr>
        <w:t>Procedural Justice.</w:t>
      </w:r>
    </w:p>
    <w:p>
      <w:pPr>
        <w:spacing w:after="20" w:line="223" w:lineRule="auto"/>
        <w:jc w:val="right"/>
        <w:bidi/>
      </w:pPr>
      <w:r>
        <w:rPr>
          <w:rFonts w:ascii="Arial" w:hAnsi="Arial"/>
          <w:sz w:val="16"/>
        </w:rPr>
        <w:t>294.05  فرآیندی که توسط آن یک تصمیم گرفته می‌شود، به‌طور قابل توجهی بر اجرا و پیگیری راه‌حل تأثیر می‌گذارد.</w:t>
      </w:r>
    </w:p>
    <w:p>
      <w:pPr>
        <w:spacing w:after="28" w:line="216" w:lineRule="auto"/>
        <w:ind w:left="259"/>
        <w:jc w:val="left"/>
      </w:pPr>
      <w:r>
        <w:rPr>
          <w:rFonts w:ascii="Arial" w:hAnsi="Arial"/>
          <w:color w:val="525252"/>
          <w:sz w:val="13"/>
        </w:rPr>
        <w:t>The process by which a decision is made significantly influences implementation and follow-through of the solution.</w:t>
      </w:r>
    </w:p>
    <w:p>
      <w:pPr>
        <w:spacing w:after="20" w:line="223" w:lineRule="auto"/>
        <w:jc w:val="right"/>
        <w:bidi/>
      </w:pPr>
      <w:r>
        <w:rPr>
          <w:rFonts w:ascii="Arial" w:hAnsi="Arial"/>
          <w:sz w:val="16"/>
        </w:rPr>
        <w:t>294.06  جنبه کلیدی در نتیجه یک تصمیم حیاتی، اجماع بین تیم مسئول تصویب است.</w:t>
      </w:r>
    </w:p>
    <w:p>
      <w:pPr>
        <w:spacing w:after="28" w:line="216" w:lineRule="auto"/>
        <w:ind w:left="259"/>
        <w:jc w:val="left"/>
      </w:pPr>
      <w:r>
        <w:rPr>
          <w:rFonts w:ascii="Arial" w:hAnsi="Arial"/>
          <w:color w:val="525252"/>
          <w:sz w:val="13"/>
        </w:rPr>
        <w:t>The key aspect to the outcome of a critical decision is consensus among the team responsible for enactment.</w:t>
      </w:r>
    </w:p>
    <w:p>
      <w:pPr>
        <w:spacing w:after="20" w:line="223" w:lineRule="auto"/>
        <w:jc w:val="right"/>
        <w:bidi/>
      </w:pPr>
      <w:r>
        <w:rPr>
          <w:rFonts w:ascii="Arial" w:hAnsi="Arial"/>
          <w:sz w:val="16"/>
        </w:rPr>
        <w:t>294.07  در بسیاری از موارد، اجماع به معنای اتفاق نظر نیست. اجماع تعهد و درک مشترک از نتیجه مطلوب است.</w:t>
      </w:r>
    </w:p>
    <w:p>
      <w:pPr>
        <w:spacing w:after="28" w:line="216" w:lineRule="auto"/>
        <w:ind w:left="259"/>
        <w:jc w:val="left"/>
      </w:pPr>
      <w:r>
        <w:rPr>
          <w:rFonts w:ascii="Arial" w:hAnsi="Arial"/>
          <w:color w:val="525252"/>
          <w:sz w:val="13"/>
        </w:rPr>
        <w:t>In many cases, consensus does not mean unanimity; consensus is a commitment to, and shared understanding of, the desired outcome.</w:t>
      </w:r>
    </w:p>
    <w:p>
      <w:pPr>
        <w:spacing w:after="20" w:line="223" w:lineRule="auto"/>
        <w:jc w:val="right"/>
        <w:bidi/>
      </w:pPr>
      <w:r>
        <w:rPr>
          <w:rFonts w:ascii="Arial" w:hAnsi="Arial"/>
          <w:sz w:val="16"/>
        </w:rPr>
        <w:t>294.08  انصاف رویه‌ای.</w:t>
      </w:r>
    </w:p>
    <w:p>
      <w:pPr>
        <w:spacing w:after="28" w:line="216" w:lineRule="auto"/>
        <w:ind w:left="259"/>
        <w:jc w:val="left"/>
      </w:pPr>
      <w:r>
        <w:rPr>
          <w:rFonts w:ascii="Arial" w:hAnsi="Arial"/>
          <w:color w:val="525252"/>
          <w:sz w:val="13"/>
        </w:rPr>
        <w:t>Procedural Fairness.</w:t>
      </w:r>
    </w:p>
    <w:p>
      <w:pPr>
        <w:spacing w:after="20" w:line="223" w:lineRule="auto"/>
        <w:jc w:val="right"/>
        <w:bidi/>
      </w:pPr>
      <w:r>
        <w:rPr>
          <w:rFonts w:ascii="Arial" w:hAnsi="Arial"/>
          <w:sz w:val="16"/>
        </w:rPr>
        <w:t>294.09  هوانوردان باید تلاش کنند تا مطمئن شوند که یک فرآیند تصمیم‌گیری منصفانه و مشروع است.</w:t>
      </w:r>
    </w:p>
    <w:p>
      <w:pPr>
        <w:spacing w:after="28" w:line="216" w:lineRule="auto"/>
        <w:ind w:left="259"/>
        <w:jc w:val="left"/>
      </w:pPr>
      <w:r>
        <w:rPr>
          <w:rFonts w:ascii="Arial" w:hAnsi="Arial"/>
          <w:color w:val="525252"/>
          <w:sz w:val="13"/>
        </w:rPr>
        <w:t>Airmen must work to make sure a decision process is fair and legitimate.</w:t>
      </w:r>
    </w:p>
    <w:p>
      <w:pPr>
        <w:spacing w:after="20" w:line="223" w:lineRule="auto"/>
        <w:jc w:val="right"/>
        <w:bidi/>
      </w:pPr>
      <w:r>
        <w:rPr>
          <w:rFonts w:ascii="Arial" w:hAnsi="Arial"/>
          <w:sz w:val="16"/>
        </w:rPr>
        <w:t>294.10  حتی زمانی که شرکت‌کنندگان با روش اقدام انتخابی موافق هستند، اگر فرآیند را مشروع نمی‌دانند، اغلب از نتیجه ناامید می‌شوند.</w:t>
      </w:r>
    </w:p>
    <w:p>
      <w:pPr>
        <w:spacing w:after="28" w:line="216" w:lineRule="auto"/>
        <w:ind w:left="259"/>
        <w:jc w:val="left"/>
      </w:pPr>
      <w:r>
        <w:rPr>
          <w:rFonts w:ascii="Arial" w:hAnsi="Arial"/>
          <w:color w:val="525252"/>
          <w:sz w:val="13"/>
        </w:rPr>
        <w:t>Even when participants agree with the chosen course of action, if they do not see the process as legitimate, they are often disenchanted with the outcome.</w:t>
      </w:r>
    </w:p>
    <w:p>
      <w:pPr>
        <w:spacing w:after="20" w:line="223" w:lineRule="auto"/>
        <w:jc w:val="right"/>
        <w:bidi/>
      </w:pPr>
      <w:r>
        <w:rPr>
          <w:rFonts w:ascii="Arial" w:hAnsi="Arial"/>
          <w:sz w:val="16"/>
        </w:rPr>
        <w:t>294.11  انصاف رویه‌ای از تصمیم گیرندگان حمایت می‌کند، به‌ویژه زمانی که تصمیمات غیرمحبوب می‌گیرند.</w:t>
      </w:r>
    </w:p>
    <w:p>
      <w:pPr>
        <w:spacing w:after="28" w:line="216" w:lineRule="auto"/>
        <w:ind w:left="259"/>
        <w:jc w:val="left"/>
      </w:pPr>
      <w:r>
        <w:rPr>
          <w:rFonts w:ascii="Arial" w:hAnsi="Arial"/>
          <w:color w:val="525252"/>
          <w:sz w:val="13"/>
        </w:rPr>
        <w:t>Procedural fairness provides support to decision-makers, especially when they are making unpopular decisions.</w:t>
      </w:r>
    </w:p>
    <w:p>
      <w:pPr>
        <w:spacing w:after="20" w:line="223" w:lineRule="auto"/>
        <w:jc w:val="right"/>
        <w:bidi/>
      </w:pPr>
      <w:r>
        <w:rPr>
          <w:rFonts w:ascii="Arial" w:hAnsi="Arial"/>
          <w:sz w:val="16"/>
        </w:rPr>
        <w:t>294.12  فرآیندهای منصفانه به ایجاد اجماع کمک می‌کنند، اما مهم‌تر از آن، به اجرا کمک می‌کنند زیرا شرکت‌کنندگان احساس می‌کنند که همه دیدگاه‌ها در نظر گرفته شده و تحلیل شده‌اند.</w:t>
      </w:r>
    </w:p>
    <w:p>
      <w:pPr>
        <w:spacing w:after="28" w:line="216" w:lineRule="auto"/>
        <w:ind w:left="259"/>
        <w:jc w:val="left"/>
      </w:pPr>
      <w:r>
        <w:rPr>
          <w:rFonts w:ascii="Arial" w:hAnsi="Arial"/>
          <w:color w:val="525252"/>
          <w:sz w:val="13"/>
        </w:rPr>
        <w:t>Fair processes help build consensus, but more importantly, aid in implementation because participants feel that all perspectives have been considered and analyzed.</w:t>
      </w:r>
    </w:p>
    <w:p>
      <w:pPr>
        <w:spacing w:after="20" w:line="223" w:lineRule="auto"/>
        <w:jc w:val="right"/>
        <w:bidi/>
      </w:pPr>
      <w:r>
        <w:rPr>
          <w:rFonts w:ascii="Arial" w:hAnsi="Arial"/>
          <w:sz w:val="16"/>
        </w:rPr>
        <w:t>294.13  اگر تصمیم گیرندگان در تحلیل خود ذهنی باشند، شرکت کنندگان اعتماد خود را به فرآیند تصمیم از دست می‌دهند و حمایت از نتیجه را دشوار می‌کند.</w:t>
      </w:r>
    </w:p>
    <w:p>
      <w:pPr>
        <w:spacing w:after="28" w:line="216" w:lineRule="auto"/>
        <w:ind w:left="259"/>
        <w:jc w:val="left"/>
      </w:pPr>
      <w:r>
        <w:rPr>
          <w:rFonts w:ascii="Arial" w:hAnsi="Arial"/>
          <w:color w:val="525252"/>
          <w:sz w:val="13"/>
        </w:rPr>
        <w:t>If decision-makers are subjective in their analysis, participants lose faith in the decision process, making it difficult to support the outcome.</w:t>
      </w:r>
    </w:p>
    <w:p>
      <w:pPr>
        <w:spacing w:after="20" w:line="223" w:lineRule="auto"/>
        <w:jc w:val="right"/>
        <w:bidi/>
      </w:pPr>
      <w:r>
        <w:rPr>
          <w:rFonts w:ascii="Arial" w:hAnsi="Arial"/>
          <w:sz w:val="16"/>
        </w:rPr>
        <w:t>294.14  فراهم کردن زمان و مکان برای شرکت کنندگان برای بیان مواضع خود و یک سیستم شفاف سنجش دیدگاه‌های مختلف مهم است.</w:t>
      </w:r>
    </w:p>
    <w:p>
      <w:pPr>
        <w:spacing w:after="28" w:line="216" w:lineRule="auto"/>
        <w:ind w:left="259"/>
        <w:jc w:val="left"/>
      </w:pPr>
      <w:r>
        <w:rPr>
          <w:rFonts w:ascii="Arial" w:hAnsi="Arial"/>
          <w:color w:val="525252"/>
          <w:sz w:val="13"/>
        </w:rPr>
        <w:t>Providing participants with time and venues to express their positions and a transparent system of weighing different perspectives is important.</w:t>
      </w:r>
    </w:p>
    <w:p>
      <w:pPr>
        <w:spacing w:after="20" w:line="223" w:lineRule="auto"/>
        <w:jc w:val="right"/>
        <w:bidi/>
      </w:pPr>
      <w:r>
        <w:rPr>
          <w:rFonts w:ascii="Arial" w:hAnsi="Arial"/>
          <w:sz w:val="16"/>
        </w:rPr>
        <w:t>294.15  هنگامی که تصمیمات نهایی گرفته می‌شود، عادلانه بودن فرآیند چیزی است که به نیروهای هوایی اجازه می‌دهد در مسیر تعیین‌شده پیش رو جمع شوند، با اطمینان از اینکه تصمیم‌گیرنده قبل از نهایی کردن مسیر اقدامی که باید دنبال کند، همه جوانب را در نظر گرفته است.</w:t>
      </w:r>
    </w:p>
    <w:p>
      <w:pPr>
        <w:spacing w:after="28" w:line="216" w:lineRule="auto"/>
        <w:ind w:left="259"/>
        <w:jc w:val="left"/>
      </w:pPr>
      <w:r>
        <w:rPr>
          <w:rFonts w:ascii="Arial" w:hAnsi="Arial"/>
          <w:color w:val="525252"/>
          <w:sz w:val="13"/>
        </w:rPr>
        <w:t>When final decisions are made, the fairness of the process is what allows Airmen to rally around the designated way ahead with confidence that the decision-maker considered all aspects before finalizing which course of action to pursue.</w:t>
      </w:r>
    </w:p>
    <w:p>
      <w:pPr>
        <w:spacing w:after="20" w:line="223" w:lineRule="auto"/>
        <w:jc w:val="right"/>
        <w:bidi/>
      </w:pPr>
      <w:r>
        <w:rPr>
          <w:rFonts w:ascii="Arial" w:hAnsi="Arial"/>
          <w:sz w:val="16"/>
        </w:rPr>
        <w:t>294.16  توجه: از دیدگاه کاربردی، برخی از رهبران به دنبال اجماع به‌عنوان ابزاری برای توانمندسازی مردم خود هستند. با این حال، این ضرب المثل که "شتر اسبی است که بر اساس توافق ساخته شده است" چندان دور از ذهن نیست.</w:t>
      </w:r>
    </w:p>
    <w:p>
      <w:pPr>
        <w:spacing w:after="28" w:line="216" w:lineRule="auto"/>
        <w:ind w:left="259"/>
        <w:jc w:val="left"/>
      </w:pPr>
      <w:r>
        <w:rPr>
          <w:rFonts w:ascii="Arial" w:hAnsi="Arial"/>
          <w:color w:val="525252"/>
          <w:sz w:val="13"/>
        </w:rPr>
        <w:t>Note: From an application standpoint, some leaders seek consensus as a means of empowering their people; however, the adage that “a camel is a horse built by consensus” is not so farfetched.</w:t>
      </w:r>
    </w:p>
    <w:p>
      <w:pPr>
        <w:spacing w:after="20" w:line="223" w:lineRule="auto"/>
        <w:jc w:val="right"/>
        <w:bidi/>
      </w:pPr>
      <w:r>
        <w:rPr>
          <w:rFonts w:ascii="Arial" w:hAnsi="Arial"/>
          <w:sz w:val="16"/>
        </w:rPr>
        <w:t>294.17  رهبران بزرگ به دنبال اجماع نیستند - آنها آن را می‌سازند.</w:t>
      </w:r>
    </w:p>
    <w:p>
      <w:pPr>
        <w:spacing w:after="28" w:line="216" w:lineRule="auto"/>
        <w:ind w:left="259"/>
        <w:jc w:val="left"/>
      </w:pPr>
      <w:r>
        <w:rPr>
          <w:rFonts w:ascii="Arial" w:hAnsi="Arial"/>
          <w:color w:val="525252"/>
          <w:sz w:val="13"/>
        </w:rPr>
        <w:t>Great leaders do not seek consensus—they build it.</w:t>
      </w:r>
    </w:p>
    <w:p>
      <w:pPr>
        <w:spacing w:after="20" w:line="223" w:lineRule="auto"/>
        <w:jc w:val="right"/>
        <w:bidi/>
      </w:pPr>
      <w:r>
        <w:rPr>
          <w:rFonts w:ascii="Arial" w:hAnsi="Arial"/>
          <w:sz w:val="16"/>
        </w:rPr>
        <w:t>294.18  مشروعیت رویه‌ای.</w:t>
      </w:r>
    </w:p>
    <w:p>
      <w:pPr>
        <w:spacing w:after="28" w:line="216" w:lineRule="auto"/>
        <w:ind w:left="259"/>
        <w:jc w:val="left"/>
      </w:pPr>
      <w:r>
        <w:rPr>
          <w:rFonts w:ascii="Arial" w:hAnsi="Arial"/>
          <w:color w:val="525252"/>
          <w:sz w:val="13"/>
        </w:rPr>
        <w:t>Procedural Legitimacy.</w:t>
      </w:r>
    </w:p>
    <w:p>
      <w:pPr>
        <w:spacing w:after="20" w:line="223" w:lineRule="auto"/>
        <w:jc w:val="right"/>
        <w:bidi/>
      </w:pPr>
      <w:r>
        <w:rPr>
          <w:rFonts w:ascii="Arial" w:hAnsi="Arial"/>
          <w:sz w:val="16"/>
        </w:rPr>
        <w:t>294.19  مشروعیت رویه‌ای در تصمیم‌گیری زمانی رخ می‌دهد که فرآیند تصمیم‌گیری مطابق با هنجارهای پذیرفته شده اجتماعی سازمان و رفتارهای مطلوب تلقی شود.</w:t>
      </w:r>
    </w:p>
    <w:p>
      <w:pPr>
        <w:spacing w:after="28" w:line="216" w:lineRule="auto"/>
        <w:ind w:left="259"/>
        <w:jc w:val="left"/>
      </w:pPr>
      <w:r>
        <w:rPr>
          <w:rFonts w:ascii="Arial" w:hAnsi="Arial"/>
          <w:color w:val="525252"/>
          <w:sz w:val="13"/>
        </w:rPr>
        <w:t>Procedural legitimacy in decision-making occurs when the decision process is perceived to be in line with an organization’s socially accepted norms and desired behaviors.</w:t>
      </w:r>
    </w:p>
    <w:p>
      <w:pPr>
        <w:spacing w:after="20" w:line="223" w:lineRule="auto"/>
        <w:jc w:val="right"/>
        <w:bidi/>
      </w:pPr>
      <w:r>
        <w:rPr>
          <w:rFonts w:ascii="Arial" w:hAnsi="Arial"/>
          <w:sz w:val="16"/>
        </w:rPr>
        <w:t>294.20  برای ایجاد فرهنگ سازمانی مشروعیت تصمیم، رهبران باید نقشه راه فرآیندی را در ابتدای فرآیند تصمیم‌گیری ارائه دهند، ذهنیت باز را تقویت کرده و نشان دهند، درگیر شوند و گوش دادن فعال را تشویق کنند، حمایت را از تجزیه و تحلیل جدا کنند، منطق تصمیم‌گیری را توضیح دهند، از مشارکت همه ابراز قدردانی کنند، و نحوه مشارکت در فرآیند جایگزین را بیان کنند.</w:t>
      </w:r>
    </w:p>
    <w:p>
      <w:pPr>
        <w:spacing w:after="28" w:line="216" w:lineRule="auto"/>
        <w:ind w:left="259"/>
        <w:jc w:val="left"/>
      </w:pPr>
      <w:r>
        <w:rPr>
          <w:rFonts w:ascii="Arial" w:hAnsi="Arial"/>
          <w:color w:val="525252"/>
          <w:sz w:val="13"/>
        </w:rPr>
        <w:t>To create an organizational culture of decision legitimacy, leaders should provide a process roadmap at the beginning of the decision process, reinforce, and demonstrate an open mindset, engage in, and encourage active listening, separate advocacy from analysis, explain the decision rationale once made, express appreciation for everyone’s participation, and express how alternative inputs contributed to the process.</w:t>
      </w:r>
    </w:p>
    <w:p>
      <w:pPr>
        <w:spacing w:before="60" w:after="28"/>
        <w:jc w:val="right"/>
        <w:bidi/>
      </w:pPr>
      <w:r>
        <w:rPr>
          <w:b/>
          <w:color w:val="1F4D78"/>
          <w:sz w:val="18"/>
        </w:rPr>
        <w:t>16.14. حوادث، انحرافات و پیامدها</w:t>
      </w:r>
    </w:p>
    <w:p>
      <w:pPr>
        <w:spacing w:after="20"/>
        <w:ind w:left="259"/>
        <w:jc w:val="left"/>
      </w:pPr>
      <w:r>
        <w:rPr>
          <w:color w:val="555555"/>
          <w:sz w:val="12"/>
        </w:rPr>
        <w:t>16.14. Accidents, Deviance, and Consequences</w:t>
      </w:r>
    </w:p>
    <w:p>
      <w:pPr>
        <w:spacing w:after="20" w:line="223" w:lineRule="auto"/>
        <w:jc w:val="right"/>
        <w:bidi/>
      </w:pPr>
      <w:r>
        <w:rPr>
          <w:rFonts w:ascii="Arial" w:hAnsi="Arial"/>
          <w:sz w:val="16"/>
        </w:rPr>
        <w:t>294.22  در داخل USAF، مانند هر سازمان دیگری، تصمیمات اتخاذ شده در محیط‌های بسیار پیچیده و کاملا یکپارچه ممکن است عواقب پیش بینی نشده‌ای داشته باشد.</w:t>
      </w:r>
    </w:p>
    <w:p>
      <w:pPr>
        <w:spacing w:after="28" w:line="216" w:lineRule="auto"/>
        <w:ind w:left="259"/>
        <w:jc w:val="left"/>
      </w:pPr>
      <w:r>
        <w:rPr>
          <w:rFonts w:ascii="Arial" w:hAnsi="Arial"/>
          <w:color w:val="525252"/>
          <w:sz w:val="13"/>
        </w:rPr>
        <w:t>Within the USAF, like any other organization, decisions made in highly complex, tightly integrated environments may have unanticipated consequences.</w:t>
      </w:r>
    </w:p>
    <w:p>
      <w:pPr>
        <w:spacing w:after="20" w:line="223" w:lineRule="auto"/>
        <w:jc w:val="right"/>
        <w:bidi/>
      </w:pPr>
      <w:r>
        <w:rPr>
          <w:rFonts w:ascii="Arial" w:hAnsi="Arial"/>
          <w:sz w:val="16"/>
        </w:rPr>
        <w:t>294.23  اگر هوانوردان از تصمیمات خود آگاه نباشند، یا نتوانند از طریق تصمیم‌گیری فکر کنند، شکست فاجعه‌بار می‌تواند منجر شود.</w:t>
      </w:r>
    </w:p>
    <w:p>
      <w:pPr>
        <w:spacing w:after="28" w:line="216" w:lineRule="auto"/>
        <w:ind w:left="259"/>
        <w:jc w:val="left"/>
      </w:pPr>
      <w:r>
        <w:rPr>
          <w:rFonts w:ascii="Arial" w:hAnsi="Arial"/>
          <w:color w:val="525252"/>
          <w:sz w:val="13"/>
        </w:rPr>
        <w:t>If Airmen are unaware of, or have failed to think through decisions, catastrophic failure can result.</w:t>
      </w:r>
    </w:p>
    <w:p>
      <w:pPr>
        <w:spacing w:after="20" w:line="223" w:lineRule="auto"/>
        <w:jc w:val="right"/>
        <w:bidi/>
      </w:pPr>
      <w:r>
        <w:rPr>
          <w:rFonts w:ascii="Arial" w:hAnsi="Arial"/>
          <w:sz w:val="16"/>
        </w:rPr>
        <w:t>294.24  با درک نقشی که همه هوانوردان در استفاده از عادات ذهن برای تفکر انتقادی ایفا می‌کنند، بخش‌های زیر دیدگاه‌های مربوط به شکست تصمیم‌گیری را بررسی می‌کنند.</w:t>
      </w:r>
    </w:p>
    <w:p>
      <w:pPr>
        <w:spacing w:after="28" w:line="216" w:lineRule="auto"/>
        <w:ind w:left="259"/>
        <w:jc w:val="left"/>
      </w:pPr>
      <w:r>
        <w:rPr>
          <w:rFonts w:ascii="Arial" w:hAnsi="Arial"/>
          <w:color w:val="525252"/>
          <w:sz w:val="13"/>
        </w:rPr>
        <w:t>With the understanding of the role all Airmen play in using the habits of mind for critical thinking, the following sections examine perspectives on decision-making failure.</w:t>
      </w:r>
    </w:p>
    <w:p>
      <w:pPr>
        <w:spacing w:after="20" w:line="223" w:lineRule="auto"/>
        <w:jc w:val="right"/>
        <w:bidi/>
      </w:pPr>
      <w:r>
        <w:rPr>
          <w:rFonts w:ascii="Arial" w:hAnsi="Arial"/>
          <w:sz w:val="16"/>
        </w:rPr>
        <w:t>294.25  نظریه تصادف عادی - دیدگاه سازه.</w:t>
      </w:r>
    </w:p>
    <w:p>
      <w:pPr>
        <w:spacing w:after="28" w:line="216" w:lineRule="auto"/>
        <w:ind w:left="259"/>
        <w:jc w:val="left"/>
      </w:pPr>
      <w:r>
        <w:rPr>
          <w:rFonts w:ascii="Arial" w:hAnsi="Arial"/>
          <w:color w:val="525252"/>
          <w:sz w:val="13"/>
        </w:rPr>
        <w:t>Normal Accident Theory - Structural Perspective.</w:t>
      </w:r>
    </w:p>
    <w:p>
      <w:pPr>
        <w:spacing w:after="20" w:line="223" w:lineRule="auto"/>
        <w:jc w:val="right"/>
        <w:bidi/>
      </w:pPr>
      <w:r>
        <w:rPr>
          <w:rFonts w:ascii="Arial" w:hAnsi="Arial"/>
          <w:sz w:val="16"/>
        </w:rPr>
        <w:t>294.26  تئوری تصادف عادی بر این فرض استوار است که در هر ساختار سازمانی بسیار پیچیده و پرخطر، شکست تصمیمات اجتناب ناپذیر است.</w:t>
      </w:r>
    </w:p>
    <w:p>
      <w:pPr>
        <w:spacing w:after="28" w:line="216" w:lineRule="auto"/>
        <w:ind w:left="259"/>
        <w:jc w:val="left"/>
      </w:pPr>
      <w:r>
        <w:rPr>
          <w:rFonts w:ascii="Arial" w:hAnsi="Arial"/>
          <w:color w:val="525252"/>
          <w:sz w:val="13"/>
        </w:rPr>
        <w:t>The normal accident theory rests upon the assumption that in any highly complex high-risk organizational structure, decision failures are unavoidable.</w:t>
      </w:r>
    </w:p>
    <w:p>
      <w:pPr>
        <w:spacing w:after="20" w:line="223" w:lineRule="auto"/>
        <w:jc w:val="right"/>
        <w:bidi/>
      </w:pPr>
      <w:r>
        <w:rPr>
          <w:rFonts w:ascii="Arial" w:hAnsi="Arial"/>
          <w:sz w:val="16"/>
        </w:rPr>
        <w:t>294.27  سیستم‌های پرخطر سیستم‌هایی هستند که بر اساس پیچیدگی و جفت شدن چندین فرآیند در ارتباط با یکدیگر طبقه‌بندی می‌شوند.</w:t>
      </w:r>
    </w:p>
    <w:p>
      <w:pPr>
        <w:spacing w:after="28" w:line="216" w:lineRule="auto"/>
        <w:ind w:left="259"/>
        <w:jc w:val="left"/>
      </w:pPr>
      <w:r>
        <w:rPr>
          <w:rFonts w:ascii="Arial" w:hAnsi="Arial"/>
          <w:color w:val="525252"/>
          <w:sz w:val="13"/>
        </w:rPr>
        <w:t>High-risk systems are systems classified by their complexity and the coupling of multiple processes occurring in conjunction with one another.</w:t>
      </w:r>
    </w:p>
    <w:p>
      <w:pPr>
        <w:spacing w:after="20" w:line="223" w:lineRule="auto"/>
        <w:jc w:val="right"/>
        <w:bidi/>
      </w:pPr>
      <w:r>
        <w:rPr>
          <w:rFonts w:ascii="Arial" w:hAnsi="Arial"/>
          <w:sz w:val="16"/>
        </w:rPr>
        <w:t>294.28  سیستم‌هایی که به‌طور تعاملی پیچیده و به‌طور محکم مرتبط هستند، به‌ویژه در برابر شکست فاجعه‌بار ناشی از اشتباهات تصمیم‌گیرندگان، اغلب اشتباهات کوچک، که تشخیص داده نمی‌شوند یا تصحیح نمی‌شوند، آسیب‌پذیر هستند.</w:t>
      </w:r>
    </w:p>
    <w:p>
      <w:pPr>
        <w:spacing w:after="28" w:line="216" w:lineRule="auto"/>
        <w:ind w:left="259"/>
        <w:jc w:val="left"/>
      </w:pPr>
      <w:r>
        <w:rPr>
          <w:rFonts w:ascii="Arial" w:hAnsi="Arial"/>
          <w:color w:val="525252"/>
          <w:sz w:val="13"/>
        </w:rPr>
        <w:t>Systems that are interactively complex and tightly coupled are particularly vulnerable to catastrophic failure stemming from mistakes made by decision-makers, often small mistakes, which go unrecognized or uncorrected.</w:t>
      </w:r>
    </w:p>
    <w:p>
      <w:pPr>
        <w:spacing w:after="20" w:line="223" w:lineRule="auto"/>
        <w:jc w:val="right"/>
        <w:bidi/>
      </w:pPr>
      <w:r>
        <w:rPr>
          <w:rFonts w:ascii="Arial" w:hAnsi="Arial"/>
          <w:sz w:val="16"/>
        </w:rPr>
        <w:t>294.29  در سیستم‌های جفت شده (وابسته متقابل)، فعل و انفعالات فشرده بر اساس تصمیمات ضعیف می‌تواند تصادفات عادی را به شکست در کل سیستم تبدیل کند.</w:t>
      </w:r>
    </w:p>
    <w:p>
      <w:pPr>
        <w:spacing w:after="28" w:line="216" w:lineRule="auto"/>
        <w:ind w:left="259"/>
        <w:jc w:val="left"/>
      </w:pPr>
      <w:r>
        <w:rPr>
          <w:rFonts w:ascii="Arial" w:hAnsi="Arial"/>
          <w:color w:val="525252"/>
          <w:sz w:val="13"/>
        </w:rPr>
        <w:t>In coupled (interdependent) systems, tight interactions based on poor decisions can magnify normal accidents into system-wide failure.</w:t>
      </w:r>
    </w:p>
    <w:p>
      <w:pPr>
        <w:spacing w:after="20" w:line="223" w:lineRule="auto"/>
        <w:jc w:val="right"/>
        <w:bidi/>
      </w:pPr>
      <w:r>
        <w:rPr>
          <w:rFonts w:ascii="Arial" w:hAnsi="Arial"/>
          <w:sz w:val="16"/>
        </w:rPr>
        <w:t>294.30  در فرآیندهای خطی ساده، مانند خط مونتاژ، شکست تأثیر قابل توجهی بر فرآیند بعدی دارد، اما قابل شناسایی و محدود است.</w:t>
      </w:r>
    </w:p>
    <w:p>
      <w:pPr>
        <w:spacing w:after="28" w:line="216" w:lineRule="auto"/>
        <w:ind w:left="259"/>
        <w:jc w:val="left"/>
      </w:pPr>
      <w:r>
        <w:rPr>
          <w:rFonts w:ascii="Arial" w:hAnsi="Arial"/>
          <w:color w:val="525252"/>
          <w:sz w:val="13"/>
        </w:rPr>
        <w:t>In simple linear processes, such as an assembly line, failure has a visible impact on the next process, but is identifiable and limited.</w:t>
      </w:r>
    </w:p>
    <w:p>
      <w:pPr>
        <w:spacing w:after="20" w:line="223" w:lineRule="auto"/>
        <w:jc w:val="right"/>
        <w:bidi/>
      </w:pPr>
      <w:r>
        <w:rPr>
          <w:rFonts w:ascii="Arial" w:hAnsi="Arial"/>
          <w:sz w:val="16"/>
        </w:rPr>
        <w:t>294.31  هنگامی که برهمکنش‌ها غیرخطی هستند و بر انواع سیستم‌های دیگر تأثیر می‌گذارند، خرابی یک جزء غیرقابل پیش بینی است.</w:t>
      </w:r>
    </w:p>
    <w:p>
      <w:pPr>
        <w:spacing w:after="28" w:line="216" w:lineRule="auto"/>
        <w:ind w:left="259"/>
        <w:jc w:val="left"/>
      </w:pPr>
      <w:r>
        <w:rPr>
          <w:rFonts w:ascii="Arial" w:hAnsi="Arial"/>
          <w:color w:val="525252"/>
          <w:sz w:val="13"/>
        </w:rPr>
        <w:t>When interactions are nonlinear and affect a variety of other systems, the failure of one component has unanticipated</w:t>
      </w:r>
    </w:p>
    <w:p>
      <w:r>
        <w:br w:type="page"/>
      </w:r>
    </w:p>
    <w:p>
      <w:pPr>
        <w:spacing w:after="60"/>
        <w:jc w:val="right"/>
        <w:bidi/>
      </w:pPr>
      <w:r>
        <w:rPr>
          <w:rFonts w:ascii="Arial" w:hAnsi="Arial"/>
          <w:b/>
          <w:color w:val="1F4D78"/>
          <w:sz w:val="19"/>
        </w:rPr>
        <w:t>هفتهٔ 295  |  صفحهٔ منبع: 311</w:t>
      </w:r>
    </w:p>
    <w:p>
      <w:pPr>
        <w:spacing w:after="20" w:line="223" w:lineRule="auto"/>
        <w:jc w:val="right"/>
        <w:bidi/>
      </w:pPr>
      <w:r>
        <w:rPr>
          <w:rFonts w:ascii="Arial" w:hAnsi="Arial"/>
          <w:sz w:val="16"/>
        </w:rPr>
        <w:t>295.01  روی بسیاری از زیرسیستم‌ها تأثیر می‌گذارد.</w:t>
      </w:r>
    </w:p>
    <w:p>
      <w:pPr>
        <w:spacing w:after="28" w:line="216" w:lineRule="auto"/>
        <w:ind w:left="259"/>
        <w:jc w:val="left"/>
      </w:pPr>
      <w:r>
        <w:rPr>
          <w:rFonts w:ascii="Arial" w:hAnsi="Arial"/>
          <w:color w:val="525252"/>
          <w:sz w:val="13"/>
        </w:rPr>
        <w:t>effects on many subsystems.</w:t>
      </w:r>
    </w:p>
    <w:p>
      <w:pPr>
        <w:spacing w:after="20" w:line="223" w:lineRule="auto"/>
        <w:jc w:val="right"/>
        <w:bidi/>
      </w:pPr>
      <w:r>
        <w:rPr>
          <w:rFonts w:ascii="Arial" w:hAnsi="Arial"/>
          <w:sz w:val="16"/>
        </w:rPr>
        <w:t>295.02  اگر زیرسیستم‌ها به‌طور محکم جفت شده باشند (به شدت وابسته به یکدیگر) یک شکست به سرعت باعث تغییرات در چندین سیستم تقریبا همزمان می‌شود و تشخیص علائم و تعیین میزان شکست را برای رهبران دشوار می‌کند.</w:t>
      </w:r>
    </w:p>
    <w:p>
      <w:pPr>
        <w:spacing w:after="28" w:line="216" w:lineRule="auto"/>
        <w:ind w:left="259"/>
        <w:jc w:val="left"/>
      </w:pPr>
      <w:r>
        <w:rPr>
          <w:rFonts w:ascii="Arial" w:hAnsi="Arial"/>
          <w:color w:val="525252"/>
          <w:sz w:val="13"/>
        </w:rPr>
        <w:t>If the subsystems are tightly coupled (highly interdependent) a failure quickly causes changes in multiple systems nearly simultaneously, making it hard for leaders to diagnose the symptoms and determine the extent of the failure.</w:t>
      </w:r>
    </w:p>
    <w:p>
      <w:pPr>
        <w:spacing w:after="20" w:line="223" w:lineRule="auto"/>
        <w:jc w:val="right"/>
        <w:bidi/>
      </w:pPr>
      <w:r>
        <w:rPr>
          <w:rFonts w:ascii="Arial" w:hAnsi="Arial"/>
          <w:sz w:val="16"/>
        </w:rPr>
        <w:t>295.03  چون قدرت پروژه نیروهای هوایی در سطح جهانی، پیش‌بینی تأثیر حتی انحرافات جزئی از رویه یا دستورالعمل، بسیار چالش برانگیز است.</w:t>
      </w:r>
    </w:p>
    <w:p>
      <w:pPr>
        <w:spacing w:after="28" w:line="216" w:lineRule="auto"/>
        <w:ind w:left="259"/>
        <w:jc w:val="left"/>
      </w:pPr>
      <w:r>
        <w:rPr>
          <w:rFonts w:ascii="Arial" w:hAnsi="Arial"/>
          <w:color w:val="525252"/>
          <w:sz w:val="13"/>
        </w:rPr>
        <w:t>Because Airmen project power globally, anticipation of the impact from even minor deviations from procedure or instruction, is extremely challenging.</w:t>
      </w:r>
    </w:p>
    <w:p>
      <w:pPr>
        <w:spacing w:after="20" w:line="223" w:lineRule="auto"/>
        <w:jc w:val="right"/>
        <w:bidi/>
      </w:pPr>
      <w:r>
        <w:rPr>
          <w:rFonts w:ascii="Arial" w:hAnsi="Arial"/>
          <w:sz w:val="16"/>
        </w:rPr>
        <w:t>295.04  نظریه انحراف نرمال شده - دیدگاه رفتاری.</w:t>
      </w:r>
    </w:p>
    <w:p>
      <w:pPr>
        <w:spacing w:after="28" w:line="216" w:lineRule="auto"/>
        <w:ind w:left="259"/>
        <w:jc w:val="left"/>
      </w:pPr>
      <w:r>
        <w:rPr>
          <w:rFonts w:ascii="Arial" w:hAnsi="Arial"/>
          <w:color w:val="525252"/>
          <w:sz w:val="13"/>
        </w:rPr>
        <w:t>Normalized Deviance Theory - Behavioral Perspective.</w:t>
      </w:r>
    </w:p>
    <w:p>
      <w:pPr>
        <w:spacing w:after="20" w:line="223" w:lineRule="auto"/>
        <w:jc w:val="right"/>
        <w:bidi/>
      </w:pPr>
      <w:r>
        <w:rPr>
          <w:rFonts w:ascii="Arial" w:hAnsi="Arial"/>
          <w:sz w:val="16"/>
        </w:rPr>
        <w:t>295.05  تئوری انحراف نرمال شده پذیرش تدریجی رویدادها و خطرات غیرمنتظره به‌عنوان یک رفتار عادی در محیط عملیاتی از جمله پذیرش استانداردهای پایین‌تر است.</w:t>
      </w:r>
    </w:p>
    <w:p>
      <w:pPr>
        <w:spacing w:after="28" w:line="216" w:lineRule="auto"/>
        <w:ind w:left="259"/>
        <w:jc w:val="left"/>
      </w:pPr>
      <w:r>
        <w:rPr>
          <w:rFonts w:ascii="Arial" w:hAnsi="Arial"/>
          <w:color w:val="525252"/>
          <w:sz w:val="13"/>
        </w:rPr>
        <w:t>The normalized deviance theory is the gradual acceptance of unexpected events and risks as a normal behavior in the operating environment, including the acceptance of lower standards.</w:t>
      </w:r>
    </w:p>
    <w:p>
      <w:pPr>
        <w:spacing w:after="20" w:line="223" w:lineRule="auto"/>
        <w:jc w:val="right"/>
        <w:bidi/>
      </w:pPr>
      <w:r>
        <w:rPr>
          <w:rFonts w:ascii="Arial" w:hAnsi="Arial"/>
          <w:sz w:val="16"/>
        </w:rPr>
        <w:t>295.06  این عمل ایجاد میانبرها یا تغییرات در رویه‌های عادی در نهایت تا جایی عادی می‌شود که انحراف دیگر متوجه نمی‌شود.</w:t>
      </w:r>
    </w:p>
    <w:p>
      <w:pPr>
        <w:spacing w:after="28" w:line="216" w:lineRule="auto"/>
        <w:ind w:left="259"/>
        <w:jc w:val="left"/>
      </w:pPr>
      <w:r>
        <w:rPr>
          <w:rFonts w:ascii="Arial" w:hAnsi="Arial"/>
          <w:color w:val="525252"/>
          <w:sz w:val="13"/>
        </w:rPr>
        <w:t>This practice of producing shortcuts or variations to normal procedures eventually becomes normalized to the point where the deviance is no longer noticed.</w:t>
      </w:r>
    </w:p>
    <w:p>
      <w:pPr>
        <w:spacing w:after="20" w:line="223" w:lineRule="auto"/>
        <w:jc w:val="right"/>
        <w:bidi/>
      </w:pPr>
      <w:r>
        <w:rPr>
          <w:rFonts w:ascii="Arial" w:hAnsi="Arial"/>
          <w:sz w:val="16"/>
        </w:rPr>
        <w:t>295.07  انحرافات به‌عنوان هنجارهای جدید پذیرفته می‌شوند و دیگر با استفاده از عادات ذهنی لازم برای شناسایی علل و یافتن راه حل ارزیابی نمی‌شوند.</w:t>
      </w:r>
    </w:p>
    <w:p>
      <w:pPr>
        <w:spacing w:after="28" w:line="216" w:lineRule="auto"/>
        <w:ind w:left="259"/>
        <w:jc w:val="left"/>
      </w:pPr>
      <w:r>
        <w:rPr>
          <w:rFonts w:ascii="Arial" w:hAnsi="Arial"/>
          <w:color w:val="525252"/>
          <w:sz w:val="13"/>
        </w:rPr>
        <w:t>Deviations become accepted as new norms and are no longer assessed using the habits of mind necessary to identify causes and find solutions.</w:t>
      </w:r>
    </w:p>
    <w:p>
      <w:pPr>
        <w:spacing w:after="20" w:line="223" w:lineRule="auto"/>
        <w:jc w:val="right"/>
        <w:bidi/>
      </w:pPr>
      <w:r>
        <w:rPr>
          <w:rFonts w:ascii="Arial" w:hAnsi="Arial"/>
          <w:sz w:val="16"/>
        </w:rPr>
        <w:t>295.08  از آنجایی که اعضای سازمان به تکرار ناهنجاری‌های به ظاهر جزئی اما پیش بینی نشده عادت می‌کنند، کمتر نگران اثرات فاجعه بار احتمالی شکست‌های شدیدتر همان سیستم می‌شوند.</w:t>
      </w:r>
    </w:p>
    <w:p>
      <w:pPr>
        <w:spacing w:after="28" w:line="216" w:lineRule="auto"/>
        <w:ind w:left="259"/>
        <w:jc w:val="left"/>
      </w:pPr>
      <w:r>
        <w:rPr>
          <w:rFonts w:ascii="Arial" w:hAnsi="Arial"/>
          <w:color w:val="525252"/>
          <w:sz w:val="13"/>
        </w:rPr>
        <w:t>As organizational members become accustomed to the reoccurrence of seemingly minor but unpredicted anomalies, they become less concerned with the potential catastrophic effects of more severe failures of the same system.</w:t>
      </w:r>
    </w:p>
    <w:p>
      <w:pPr>
        <w:spacing w:after="20" w:line="223" w:lineRule="auto"/>
        <w:jc w:val="right"/>
        <w:bidi/>
      </w:pPr>
      <w:r>
        <w:rPr>
          <w:rFonts w:ascii="Arial" w:hAnsi="Arial"/>
          <w:sz w:val="16"/>
        </w:rPr>
        <w:t>295.09  یک مورد کلاسیک از انحراف نرمال شده، مثالی از فاجعه شاتل فضایی چلنجر است.</w:t>
      </w:r>
    </w:p>
    <w:p>
      <w:pPr>
        <w:spacing w:after="28" w:line="216" w:lineRule="auto"/>
        <w:ind w:left="259"/>
        <w:jc w:val="left"/>
      </w:pPr>
      <w:r>
        <w:rPr>
          <w:rFonts w:ascii="Arial" w:hAnsi="Arial"/>
          <w:color w:val="525252"/>
          <w:sz w:val="13"/>
        </w:rPr>
        <w:t>A classic case of normalized deviance is the example of the Challenger space shuttle disaster.</w:t>
      </w:r>
    </w:p>
    <w:p>
      <w:pPr>
        <w:spacing w:after="20" w:line="223" w:lineRule="auto"/>
        <w:jc w:val="right"/>
        <w:bidi/>
      </w:pPr>
      <w:r>
        <w:rPr>
          <w:rFonts w:ascii="Arial" w:hAnsi="Arial"/>
          <w:sz w:val="16"/>
        </w:rPr>
        <w:t>295.10  در این مورد، فرسایش اورینگ‌ها در حد تحمل قابل قبول نبود.</w:t>
      </w:r>
    </w:p>
    <w:p>
      <w:pPr>
        <w:spacing w:after="28" w:line="216" w:lineRule="auto"/>
        <w:ind w:left="259"/>
        <w:jc w:val="left"/>
      </w:pPr>
      <w:r>
        <w:rPr>
          <w:rFonts w:ascii="Arial" w:hAnsi="Arial"/>
          <w:color w:val="525252"/>
          <w:sz w:val="13"/>
        </w:rPr>
        <w:t>In this case, the erosion of O-rings was not within acceptable tolerances.</w:t>
      </w:r>
    </w:p>
    <w:p>
      <w:pPr>
        <w:spacing w:after="20" w:line="223" w:lineRule="auto"/>
        <w:jc w:val="right"/>
        <w:bidi/>
      </w:pPr>
      <w:r>
        <w:rPr>
          <w:rFonts w:ascii="Arial" w:hAnsi="Arial"/>
          <w:sz w:val="16"/>
        </w:rPr>
        <w:t>295.11  اما پس از وقوع، چندین بار بدون هیچ نتیجه فاجعه‌باری، اعضای سازمان علیرغم انحراف از استانداردهای مهندسی، فرسایش خود را به‌عنوان یک رویداد عادی و قابل قبول پذیرفتند.</w:t>
      </w:r>
    </w:p>
    <w:p>
      <w:pPr>
        <w:spacing w:after="28" w:line="216" w:lineRule="auto"/>
        <w:ind w:left="259"/>
        <w:jc w:val="left"/>
      </w:pPr>
      <w:r>
        <w:rPr>
          <w:rFonts w:ascii="Arial" w:hAnsi="Arial"/>
          <w:color w:val="525252"/>
          <w:sz w:val="13"/>
        </w:rPr>
        <w:t>However, after its occurrence, several times with no catastrophic result, the members of the organization accepted their erosion as a normal and acceptable event, despite deviation from their engineering standards.</w:t>
      </w:r>
    </w:p>
    <w:p>
      <w:pPr>
        <w:spacing w:after="20" w:line="223" w:lineRule="auto"/>
        <w:jc w:val="right"/>
        <w:bidi/>
      </w:pPr>
      <w:r>
        <w:rPr>
          <w:rFonts w:ascii="Arial" w:hAnsi="Arial"/>
          <w:sz w:val="16"/>
        </w:rPr>
        <w:t>295.12  در این مورد، اداره ملی هوانوردی و فضایی، به‌عنوان یک سازمان، سخت در تلاش بود تا پرواز فضایی را عادی جلوه دهد.</w:t>
      </w:r>
    </w:p>
    <w:p>
      <w:pPr>
        <w:spacing w:after="28" w:line="216" w:lineRule="auto"/>
        <w:ind w:left="259"/>
        <w:jc w:val="left"/>
      </w:pPr>
      <w:r>
        <w:rPr>
          <w:rFonts w:ascii="Arial" w:hAnsi="Arial"/>
          <w:color w:val="525252"/>
          <w:sz w:val="13"/>
        </w:rPr>
        <w:t>In this case National Aeronautics and Space Administration, as an organization, was working hard to make space flight feel routine.</w:t>
      </w:r>
    </w:p>
    <w:p>
      <w:pPr>
        <w:spacing w:after="20" w:line="223" w:lineRule="auto"/>
        <w:jc w:val="right"/>
        <w:bidi/>
      </w:pPr>
      <w:r>
        <w:rPr>
          <w:rFonts w:ascii="Arial" w:hAnsi="Arial"/>
          <w:sz w:val="16"/>
        </w:rPr>
        <w:t>295.13  فرهنگ سازمان، همراه با سوگیری شناختی و فشارهای بیرونی، به عادی سازی یک شکست بالقوه فاجعه بار منجر شد.</w:t>
      </w:r>
    </w:p>
    <w:p>
      <w:pPr>
        <w:spacing w:after="28" w:line="216" w:lineRule="auto"/>
        <w:ind w:left="259"/>
        <w:jc w:val="left"/>
      </w:pPr>
      <w:r>
        <w:rPr>
          <w:rFonts w:ascii="Arial" w:hAnsi="Arial"/>
          <w:color w:val="525252"/>
          <w:sz w:val="13"/>
        </w:rPr>
        <w:t>The organization’s culture, combined with cognitive bias and external pressures, led to the normalization of a potentially catastrophic failure.</w:t>
      </w:r>
    </w:p>
    <w:p>
      <w:pPr>
        <w:spacing w:after="20" w:line="223" w:lineRule="auto"/>
        <w:jc w:val="right"/>
        <w:bidi/>
      </w:pPr>
      <w:r>
        <w:rPr>
          <w:rFonts w:ascii="Arial" w:hAnsi="Arial"/>
          <w:sz w:val="16"/>
        </w:rPr>
        <w:t>295.14  هوانوردان باید از نوع سازمانی که در آن فعالیت می‌کنند آگاه باشند و تعاملات پیچیده آن را درک کنند.</w:t>
      </w:r>
    </w:p>
    <w:p>
      <w:pPr>
        <w:spacing w:after="28" w:line="216" w:lineRule="auto"/>
        <w:ind w:left="259"/>
        <w:jc w:val="left"/>
      </w:pPr>
      <w:r>
        <w:rPr>
          <w:rFonts w:ascii="Arial" w:hAnsi="Arial"/>
          <w:color w:val="525252"/>
          <w:sz w:val="13"/>
        </w:rPr>
        <w:t>Airmen must be aware of the type of organization they operate within and understand its complex interactions.</w:t>
      </w:r>
    </w:p>
    <w:p>
      <w:pPr>
        <w:spacing w:after="20" w:line="223" w:lineRule="auto"/>
        <w:jc w:val="right"/>
        <w:bidi/>
      </w:pPr>
      <w:r>
        <w:rPr>
          <w:rFonts w:ascii="Arial" w:hAnsi="Arial"/>
          <w:sz w:val="16"/>
        </w:rPr>
        <w:t>295.15  ما باید با زیر سوال بردن مداوم نحوه انجام تجارت، شناسایی آگاهانه "تماس‌های نزدیک" و انحرافات از عملیات عادی و اطمینان از تجزیه و تحلیل انحراف از استانداردها به‌عنوان بخشی از فرآیند تصمیم‌گیری برای به دست آوردن درک چگونگی بهبود برنامه‌ها و اجرای تصمیمات جدید، در برابر رویه‌های غیر استاندارد محافظت کنیم.</w:t>
      </w:r>
    </w:p>
    <w:p>
      <w:pPr>
        <w:spacing w:after="28" w:line="216" w:lineRule="auto"/>
        <w:ind w:left="259"/>
        <w:jc w:val="left"/>
      </w:pPr>
      <w:r>
        <w:rPr>
          <w:rFonts w:ascii="Arial" w:hAnsi="Arial"/>
          <w:color w:val="525252"/>
          <w:sz w:val="13"/>
        </w:rPr>
        <w:t>We should guard against substandard procedures by continuously questioning the way we do business, consciously identifying the “close-calls” and deviances from normal operations and ensuring deviations from standards are analyzed as part of the decision-making process to gain an understanding of how to improve programs and implement new decisions.</w:t>
      </w:r>
    </w:p>
    <w:p>
      <w:pPr>
        <w:spacing w:after="20" w:line="223" w:lineRule="auto"/>
        <w:jc w:val="right"/>
        <w:bidi/>
      </w:pPr>
      <w:r>
        <w:rPr>
          <w:rFonts w:ascii="Arial" w:hAnsi="Arial"/>
          <w:sz w:val="16"/>
        </w:rPr>
        <w:t>295.16  دریفت عملی.</w:t>
      </w:r>
    </w:p>
    <w:p>
      <w:pPr>
        <w:spacing w:after="28" w:line="216" w:lineRule="auto"/>
        <w:ind w:left="259"/>
        <w:jc w:val="left"/>
      </w:pPr>
      <w:r>
        <w:rPr>
          <w:rFonts w:ascii="Arial" w:hAnsi="Arial"/>
          <w:color w:val="525252"/>
          <w:sz w:val="13"/>
        </w:rPr>
        <w:t>Practical Drift.</w:t>
      </w:r>
    </w:p>
    <w:p>
      <w:pPr>
        <w:spacing w:after="20" w:line="223" w:lineRule="auto"/>
        <w:jc w:val="right"/>
        <w:bidi/>
      </w:pPr>
      <w:r>
        <w:rPr>
          <w:rFonts w:ascii="Arial" w:hAnsi="Arial"/>
          <w:sz w:val="16"/>
        </w:rPr>
        <w:t>295.17  در سازمان‌های بزرگ، رهبران واحدهای فرعی در همه سطوح تصمیم‌گیری می‌کنند تا کارایی را به حداکثر برسانند.</w:t>
      </w:r>
    </w:p>
    <w:p>
      <w:pPr>
        <w:spacing w:after="28" w:line="216" w:lineRule="auto"/>
        <w:ind w:left="259"/>
        <w:jc w:val="left"/>
      </w:pPr>
      <w:r>
        <w:rPr>
          <w:rFonts w:ascii="Arial" w:hAnsi="Arial"/>
          <w:color w:val="525252"/>
          <w:sz w:val="13"/>
        </w:rPr>
        <w:t>Within large organizations, sub-unit leaders at all levels make decisions to maximize efficiency.</w:t>
      </w:r>
    </w:p>
    <w:p>
      <w:pPr>
        <w:spacing w:after="20" w:line="223" w:lineRule="auto"/>
        <w:jc w:val="right"/>
        <w:bidi/>
      </w:pPr>
      <w:r>
        <w:rPr>
          <w:rFonts w:ascii="Arial" w:hAnsi="Arial"/>
          <w:sz w:val="16"/>
        </w:rPr>
        <w:t>295.18  آنها قوانین و رویه‌های بومی سازی شده‌ای را ایجاد می‌کنند که با هدف کلی سازمان مطابقت دارد.</w:t>
      </w:r>
    </w:p>
    <w:p>
      <w:pPr>
        <w:spacing w:after="28" w:line="216" w:lineRule="auto"/>
        <w:ind w:left="259"/>
        <w:jc w:val="left"/>
      </w:pPr>
      <w:r>
        <w:rPr>
          <w:rFonts w:ascii="Arial" w:hAnsi="Arial"/>
          <w:color w:val="525252"/>
          <w:sz w:val="13"/>
        </w:rPr>
        <w:t>They establish localized rules and procedures that comply with the overall intent of the organization.</w:t>
      </w:r>
    </w:p>
    <w:p>
      <w:pPr>
        <w:spacing w:after="20" w:line="223" w:lineRule="auto"/>
        <w:jc w:val="right"/>
        <w:bidi/>
      </w:pPr>
      <w:r>
        <w:rPr>
          <w:rFonts w:ascii="Arial" w:hAnsi="Arial"/>
          <w:sz w:val="16"/>
        </w:rPr>
        <w:t>295.19  با گذشت زمان، این رویه‌ها به یک عمل پذیرفته شده تبدیل می‌شوند.</w:t>
      </w:r>
    </w:p>
    <w:p>
      <w:pPr>
        <w:spacing w:after="28" w:line="216" w:lineRule="auto"/>
        <w:ind w:left="259"/>
        <w:jc w:val="left"/>
      </w:pPr>
      <w:r>
        <w:rPr>
          <w:rFonts w:ascii="Arial" w:hAnsi="Arial"/>
          <w:color w:val="525252"/>
          <w:sz w:val="13"/>
        </w:rPr>
        <w:t>Over time, these procedures become accepted practice.</w:t>
      </w:r>
    </w:p>
    <w:p>
      <w:pPr>
        <w:spacing w:after="20" w:line="223" w:lineRule="auto"/>
        <w:jc w:val="right"/>
        <w:bidi/>
      </w:pPr>
      <w:r>
        <w:rPr>
          <w:rFonts w:ascii="Arial" w:hAnsi="Arial"/>
          <w:sz w:val="16"/>
        </w:rPr>
        <w:t>295.20  مشابه عادی سازی انحراف، این عمل باعث می‌شود هنجارهای سازمانی رانده شوند.</w:t>
      </w:r>
    </w:p>
    <w:p>
      <w:pPr>
        <w:spacing w:after="28" w:line="216" w:lineRule="auto"/>
        <w:ind w:left="259"/>
        <w:jc w:val="left"/>
      </w:pPr>
      <w:r>
        <w:rPr>
          <w:rFonts w:ascii="Arial" w:hAnsi="Arial"/>
          <w:color w:val="525252"/>
          <w:sz w:val="13"/>
        </w:rPr>
        <w:t>Similar to normalizing deviance, this practice causes organizational norms to drift.</w:t>
      </w:r>
    </w:p>
    <w:p>
      <w:pPr>
        <w:spacing w:after="20" w:line="223" w:lineRule="auto"/>
        <w:jc w:val="right"/>
        <w:bidi/>
      </w:pPr>
      <w:r>
        <w:rPr>
          <w:rFonts w:ascii="Arial" w:hAnsi="Arial"/>
          <w:sz w:val="16"/>
        </w:rPr>
        <w:t>295.21  اغلب، این رانش بدون مشکل است. با این حال، تحت شرایط مبهم در محیط‌های تعاملی پیچیده، واگرایی ممکن است منجر به تغییر انتظارات و جریان اطلاعات ضعیف شود (که منجر به شکست فاجعه‌بار سیستم متقابل می‌شود).</w:t>
      </w:r>
    </w:p>
    <w:p>
      <w:pPr>
        <w:spacing w:after="28" w:line="216" w:lineRule="auto"/>
        <w:ind w:left="259"/>
        <w:jc w:val="left"/>
      </w:pPr>
      <w:r>
        <w:rPr>
          <w:rFonts w:ascii="Arial" w:hAnsi="Arial"/>
          <w:color w:val="525252"/>
          <w:sz w:val="13"/>
        </w:rPr>
        <w:t>Often, this drift is unproblematic; however, under ambiguous conditions in complex interactive environments, divergence may lead to altered expectations and poor information flow (resulting in catastrophic cross-system failure).</w:t>
      </w:r>
    </w:p>
    <w:p>
      <w:pPr>
        <w:spacing w:after="20" w:line="223" w:lineRule="auto"/>
        <w:jc w:val="right"/>
        <w:bidi/>
      </w:pPr>
      <w:r>
        <w:rPr>
          <w:rFonts w:ascii="Arial" w:hAnsi="Arial"/>
          <w:sz w:val="16"/>
        </w:rPr>
        <w:t>295.22  هوانوردان باید آگاه باشند که چگونه تصمیمات آنها در سطح محلی با اهداف کلی سازمان، استانداردها و انتظارات مرتبط است.</w:t>
      </w:r>
    </w:p>
    <w:p>
      <w:pPr>
        <w:spacing w:after="28" w:line="216" w:lineRule="auto"/>
        <w:ind w:left="259"/>
        <w:jc w:val="left"/>
      </w:pPr>
      <w:r>
        <w:rPr>
          <w:rFonts w:ascii="Arial" w:hAnsi="Arial"/>
          <w:color w:val="525252"/>
          <w:sz w:val="13"/>
        </w:rPr>
        <w:t>Airmen must be aware of how their decisions at the local level tie in with overall organizational goals, standards, and expectations.</w:t>
      </w:r>
    </w:p>
    <w:p>
      <w:pPr>
        <w:spacing w:after="20" w:line="223" w:lineRule="auto"/>
        <w:jc w:val="right"/>
        <w:bidi/>
      </w:pPr>
      <w:r>
        <w:rPr>
          <w:rFonts w:ascii="Arial" w:hAnsi="Arial"/>
          <w:sz w:val="16"/>
        </w:rPr>
        <w:t>295.23  رهبران باید از آگاهی خود از اهداف و استانداردهای سازمانی برای نظارت بر حرکت عملی در حوزه مسئولیت خود استفاده کنند، ابتکار عمل منظم را تشخیص دهند و استانداردهایی را مطابق با انتظارات بیرونی حفظ کنند.</w:t>
      </w:r>
    </w:p>
    <w:p>
      <w:pPr>
        <w:spacing w:after="28" w:line="216" w:lineRule="auto"/>
        <w:ind w:left="259"/>
        <w:jc w:val="left"/>
      </w:pPr>
      <w:r>
        <w:rPr>
          <w:rFonts w:ascii="Arial" w:hAnsi="Arial"/>
          <w:color w:val="525252"/>
          <w:sz w:val="13"/>
        </w:rPr>
        <w:t>Leaders must use their awareness of organizational goals and standards to monitor practical drift in their areas of responsibility, recognize disciplined initiative, and maintain standards consistent with outside expectations.</w:t>
      </w:r>
    </w:p>
    <w:p>
      <w:pPr>
        <w:spacing w:after="20" w:line="223" w:lineRule="auto"/>
        <w:jc w:val="right"/>
        <w:bidi/>
      </w:pPr>
      <w:r>
        <w:rPr>
          <w:rFonts w:ascii="Arial" w:hAnsi="Arial"/>
          <w:sz w:val="16"/>
        </w:rPr>
        <w:t>295.24  هوانوردان در پست‌های مسئولیت باید تلاش کنند تا رانش عملی را تعدیل کنند و فرهنگی ایجاد کنند که در آن تفکر انتقادی برای تهدیدات مبهم به کار رود.</w:t>
      </w:r>
    </w:p>
    <w:p>
      <w:pPr>
        <w:spacing w:after="28" w:line="216" w:lineRule="auto"/>
        <w:ind w:left="259"/>
        <w:jc w:val="left"/>
      </w:pPr>
      <w:r>
        <w:rPr>
          <w:rFonts w:ascii="Arial" w:hAnsi="Arial"/>
          <w:color w:val="525252"/>
          <w:sz w:val="13"/>
        </w:rPr>
        <w:t>Airmen in positions of responsibility must work to temper practical drift and create a culture where critical thinking is applied to ambiguous threats.</w:t>
      </w:r>
    </w:p>
    <w:p>
      <w:pPr>
        <w:spacing w:after="20" w:line="223" w:lineRule="auto"/>
        <w:jc w:val="right"/>
        <w:bidi/>
      </w:pPr>
      <w:r>
        <w:rPr>
          <w:rFonts w:ascii="Arial" w:hAnsi="Arial"/>
          <w:sz w:val="16"/>
        </w:rPr>
        <w:t>295.25  این هدف را می‌توان با توسعه فرآیندهایی برای شناسایی و تجزیه و تحلیل مشکلات و شکست‌های کوچک و برخورد با آنها به‌عنوان شاخص‌های بالقوه مشکلات بزرگتر محقق کرد.</w:t>
      </w:r>
    </w:p>
    <w:p>
      <w:pPr>
        <w:spacing w:after="28" w:line="216" w:lineRule="auto"/>
        <w:ind w:left="259"/>
        <w:jc w:val="left"/>
      </w:pPr>
      <w:r>
        <w:rPr>
          <w:rFonts w:ascii="Arial" w:hAnsi="Arial"/>
          <w:color w:val="525252"/>
          <w:sz w:val="13"/>
        </w:rPr>
        <w:t>This goal can be accomplished by developing processes for identifying and analyzing small problems and failures and treating them as potential indicators of larger problems.</w:t>
      </w:r>
    </w:p>
    <w:p>
      <w:pPr>
        <w:spacing w:after="20" w:line="223" w:lineRule="auto"/>
        <w:jc w:val="right"/>
        <w:bidi/>
      </w:pPr>
      <w:r>
        <w:rPr>
          <w:rFonts w:ascii="Arial" w:hAnsi="Arial"/>
          <w:sz w:val="16"/>
        </w:rPr>
        <w:t>295.26  تکنیک‌های مؤثر شامل توانمندسازی کارکنان خط مقدم و صاف کردن سلسله مراتب برای کاهش فیلتر اطلاعات است.</w:t>
      </w:r>
    </w:p>
    <w:p>
      <w:pPr>
        <w:spacing w:after="28" w:line="216" w:lineRule="auto"/>
        <w:ind w:left="259"/>
        <w:jc w:val="left"/>
      </w:pPr>
      <w:r>
        <w:rPr>
          <w:rFonts w:ascii="Arial" w:hAnsi="Arial"/>
          <w:color w:val="525252"/>
          <w:sz w:val="13"/>
        </w:rPr>
        <w:t>Effective techniques include empowerment of front-line workers and flattening hierarchies to reduce information filtering.</w:t>
      </w:r>
    </w:p>
    <w:p>
      <w:pPr>
        <w:spacing w:after="20" w:line="223" w:lineRule="auto"/>
        <w:jc w:val="right"/>
        <w:bidi/>
      </w:pPr>
      <w:r>
        <w:rPr>
          <w:rFonts w:ascii="Arial" w:hAnsi="Arial"/>
          <w:sz w:val="16"/>
        </w:rPr>
        <w:t>295.27  رهبران می‌توانند مشکلات مربوط به رانش عملی را بیشتر به حداقل برسانند، از طریق: ایجاد و تشویق شفافیت در ساختارها و سیستم‌های سازمانی برای شناسایی حرکت عملی محلی و درک "چرا" پشت استانداردهای محلی.</w:t>
      </w:r>
    </w:p>
    <w:p>
      <w:pPr>
        <w:spacing w:after="28" w:line="216" w:lineRule="auto"/>
        <w:ind w:left="259"/>
        <w:jc w:val="left"/>
      </w:pPr>
      <w:r>
        <w:rPr>
          <w:rFonts w:ascii="Arial" w:hAnsi="Arial"/>
          <w:color w:val="525252"/>
          <w:sz w:val="13"/>
        </w:rPr>
        <w:t>Leaders can further minimize the problems associated with practical drift, by: Creating and encouraging transparency in organizational structures and systems to identify local practical drift and understanding the “why” behind local standards.</w:t>
      </w:r>
    </w:p>
    <w:p>
      <w:pPr>
        <w:spacing w:after="20" w:line="223" w:lineRule="auto"/>
        <w:jc w:val="right"/>
        <w:bidi/>
      </w:pPr>
      <w:r>
        <w:rPr>
          <w:rFonts w:ascii="Arial" w:hAnsi="Arial"/>
          <w:sz w:val="16"/>
        </w:rPr>
        <w:t>295.28  اجتناب از رویکردهای "باند-اید®" برای مشکلات کوچک با رفع علت اصلی در سراسر سیستم، و همچنین ایجاد فضای گفتگوی صریح برای بررسی و بازنگری مجدد استانداردها و جستجو</w:t>
      </w:r>
    </w:p>
    <w:p>
      <w:pPr>
        <w:spacing w:after="28" w:line="216" w:lineRule="auto"/>
        <w:ind w:left="259"/>
        <w:jc w:val="left"/>
      </w:pPr>
      <w:r>
        <w:rPr>
          <w:rFonts w:ascii="Arial" w:hAnsi="Arial"/>
          <w:color w:val="525252"/>
          <w:sz w:val="13"/>
        </w:rPr>
        <w:t>Avoiding ‘Band-Aid®’ approaches to small problems by fixing the root cause across the system, as well as creating a climate of candid dialogue to review and revisit standards and seek</w:t>
      </w:r>
    </w:p>
    <w:p>
      <w:r>
        <w:br w:type="page"/>
      </w:r>
    </w:p>
    <w:p>
      <w:pPr>
        <w:spacing w:after="60"/>
        <w:jc w:val="right"/>
        <w:bidi/>
      </w:pPr>
      <w:r>
        <w:rPr>
          <w:rFonts w:ascii="Arial" w:hAnsi="Arial"/>
          <w:b/>
          <w:color w:val="1F4D78"/>
          <w:sz w:val="19"/>
        </w:rPr>
        <w:t>هفتهٔ 296  |  صفحهٔ منبع: 312</w:t>
      </w:r>
    </w:p>
    <w:p>
      <w:pPr>
        <w:spacing w:after="20" w:line="223" w:lineRule="auto"/>
        <w:jc w:val="right"/>
        <w:bidi/>
      </w:pPr>
      <w:r>
        <w:rPr>
          <w:rFonts w:ascii="Arial" w:hAnsi="Arial"/>
          <w:sz w:val="16"/>
        </w:rPr>
        <w:t>296.01  مشکلات.</w:t>
      </w:r>
    </w:p>
    <w:p>
      <w:pPr>
        <w:spacing w:after="28" w:line="216" w:lineRule="auto"/>
        <w:ind w:left="259"/>
        <w:jc w:val="left"/>
      </w:pPr>
      <w:r>
        <w:rPr>
          <w:rFonts w:ascii="Arial" w:hAnsi="Arial"/>
          <w:color w:val="525252"/>
          <w:sz w:val="13"/>
        </w:rPr>
        <w:t>problems.</w:t>
      </w:r>
    </w:p>
    <w:p>
      <w:pPr>
        <w:spacing w:after="20" w:line="223" w:lineRule="auto"/>
        <w:jc w:val="right"/>
        <w:bidi/>
      </w:pPr>
      <w:r>
        <w:rPr>
          <w:rFonts w:ascii="Arial" w:hAnsi="Arial"/>
          <w:sz w:val="16"/>
        </w:rPr>
        <w:t>296.02  درزهای نظارتی که در آن اطلاعات بین واحدها و سازمان‌ها ارسال می‌شود.</w:t>
      </w:r>
    </w:p>
    <w:p>
      <w:pPr>
        <w:spacing w:after="28" w:line="216" w:lineRule="auto"/>
        <w:ind w:left="259"/>
        <w:jc w:val="left"/>
      </w:pPr>
      <w:r>
        <w:rPr>
          <w:rFonts w:ascii="Arial" w:hAnsi="Arial"/>
          <w:color w:val="525252"/>
          <w:sz w:val="13"/>
        </w:rPr>
        <w:t>Monitoring seams where information is handed off between units and organizations.</w:t>
      </w:r>
    </w:p>
    <w:p>
      <w:pPr>
        <w:spacing w:after="20" w:line="223" w:lineRule="auto"/>
        <w:jc w:val="right"/>
        <w:bidi/>
      </w:pPr>
      <w:r>
        <w:rPr>
          <w:rFonts w:ascii="Arial" w:hAnsi="Arial"/>
          <w:sz w:val="16"/>
        </w:rPr>
        <w:t>296.03  انجام بررسی‌های دقیق پس از اقدام با تمرکز بر بهبود فرآیند.</w:t>
      </w:r>
    </w:p>
    <w:p>
      <w:pPr>
        <w:spacing w:after="28" w:line="216" w:lineRule="auto"/>
        <w:ind w:left="259"/>
        <w:jc w:val="left"/>
      </w:pPr>
      <w:r>
        <w:rPr>
          <w:rFonts w:ascii="Arial" w:hAnsi="Arial"/>
          <w:color w:val="525252"/>
          <w:sz w:val="13"/>
        </w:rPr>
        <w:t>Conducting careful after-action reviews focused on process improvement.</w:t>
      </w:r>
    </w:p>
    <w:p>
      <w:pPr>
        <w:spacing w:after="20" w:line="223" w:lineRule="auto"/>
        <w:jc w:val="right"/>
        <w:bidi/>
      </w:pPr>
      <w:r>
        <w:rPr>
          <w:rFonts w:ascii="Arial" w:hAnsi="Arial"/>
          <w:sz w:val="16"/>
        </w:rPr>
        <w:t>296.04  ابهام.</w:t>
      </w:r>
    </w:p>
    <w:p>
      <w:pPr>
        <w:spacing w:after="28" w:line="216" w:lineRule="auto"/>
        <w:ind w:left="259"/>
        <w:jc w:val="left"/>
      </w:pPr>
      <w:r>
        <w:rPr>
          <w:rFonts w:ascii="Arial" w:hAnsi="Arial"/>
          <w:color w:val="525252"/>
          <w:sz w:val="13"/>
        </w:rPr>
        <w:t>Ambiguity.</w:t>
      </w:r>
    </w:p>
    <w:p>
      <w:pPr>
        <w:spacing w:after="20" w:line="223" w:lineRule="auto"/>
        <w:jc w:val="right"/>
        <w:bidi/>
      </w:pPr>
      <w:r>
        <w:rPr>
          <w:rFonts w:ascii="Arial" w:hAnsi="Arial"/>
          <w:sz w:val="16"/>
        </w:rPr>
        <w:t>296.05  چالش برای هوانوردان در همه رده‌ها این است که تهدیدات مبهم پاسخ‌های سازمانی را تحریک نمی‌کنند.</w:t>
      </w:r>
    </w:p>
    <w:p>
      <w:pPr>
        <w:spacing w:after="28" w:line="216" w:lineRule="auto"/>
        <w:ind w:left="259"/>
        <w:jc w:val="left"/>
      </w:pPr>
      <w:r>
        <w:rPr>
          <w:rFonts w:ascii="Arial" w:hAnsi="Arial"/>
          <w:color w:val="525252"/>
          <w:sz w:val="13"/>
        </w:rPr>
        <w:t>The challenge for Airmen of all ranks is that ambiguous threats do not trigger organizational responses.</w:t>
      </w:r>
    </w:p>
    <w:p>
      <w:pPr>
        <w:spacing w:after="20" w:line="223" w:lineRule="auto"/>
        <w:jc w:val="right"/>
        <w:bidi/>
      </w:pPr>
      <w:r>
        <w:rPr>
          <w:rFonts w:ascii="Arial" w:hAnsi="Arial"/>
          <w:sz w:val="16"/>
        </w:rPr>
        <w:t>296.06  عدم به‌کارگیری تفکر انتقادی برای تهدیدات مبهم به این معنی است که پنجره بازیابی بین ظهور تهدید و وقوع آن به‌عنوان یک شکست فاجعه بار ممکن است باریک شود.</w:t>
      </w:r>
    </w:p>
    <w:p>
      <w:pPr>
        <w:spacing w:after="28" w:line="216" w:lineRule="auto"/>
        <w:ind w:left="259"/>
        <w:jc w:val="left"/>
      </w:pPr>
      <w:r>
        <w:rPr>
          <w:rFonts w:ascii="Arial" w:hAnsi="Arial"/>
          <w:color w:val="525252"/>
          <w:sz w:val="13"/>
        </w:rPr>
        <w:t>The failure to apply critical thinking to ambiguous threats means the recovery window between the emergence of the threat and its occurrence as a catastrophic failure may narrow.</w:t>
      </w:r>
    </w:p>
    <w:p>
      <w:pPr>
        <w:spacing w:after="20" w:line="223" w:lineRule="auto"/>
        <w:jc w:val="right"/>
        <w:bidi/>
      </w:pPr>
      <w:r>
        <w:rPr>
          <w:rFonts w:ascii="Arial" w:hAnsi="Arial"/>
          <w:sz w:val="16"/>
        </w:rPr>
        <w:t>296.07  هوانوردان در تمام سطوح باید آگاه باشند که تهدیدهای مبهم ممکن است به دلیل فیلترهای اطلاعاتی ناشی از پیچیدگی ساختاری و پویایی قدرت بین سازمانی مورد توجه قرار نگیرند.</w:t>
      </w:r>
    </w:p>
    <w:p>
      <w:pPr>
        <w:spacing w:after="28" w:line="216" w:lineRule="auto"/>
        <w:ind w:left="259"/>
        <w:jc w:val="left"/>
      </w:pPr>
      <w:r>
        <w:rPr>
          <w:rFonts w:ascii="Arial" w:hAnsi="Arial"/>
          <w:color w:val="525252"/>
          <w:sz w:val="13"/>
        </w:rPr>
        <w:t>Airmen at all levels must be aware that ambiguous threats may go unaddressed due to information filters caused by structural complexity and inter-organizational power dynamics.</w:t>
      </w:r>
    </w:p>
    <w:p>
      <w:r>
        <w:br w:type="page"/>
      </w:r>
    </w:p>
    <w:p>
      <w:pPr>
        <w:spacing w:after="60"/>
        <w:jc w:val="right"/>
        <w:bidi/>
      </w:pPr>
      <w:r>
        <w:rPr>
          <w:rFonts w:ascii="Arial" w:hAnsi="Arial"/>
          <w:b/>
          <w:color w:val="1F4D78"/>
          <w:sz w:val="19"/>
        </w:rPr>
        <w:t>هفتهٔ 297  |  صفحهٔ منبع: 313</w:t>
      </w:r>
    </w:p>
    <w:p>
      <w:pPr>
        <w:spacing w:before="60" w:after="28"/>
        <w:jc w:val="right"/>
        <w:bidi/>
      </w:pPr>
      <w:r>
        <w:rPr>
          <w:b/>
          <w:color w:val="1F4D78"/>
          <w:sz w:val="18"/>
        </w:rPr>
        <w:t>بخش 16C - تصمیم گیری آگاهانه</w:t>
      </w:r>
    </w:p>
    <w:p>
      <w:pPr>
        <w:spacing w:after="20"/>
        <w:ind w:left="259"/>
        <w:jc w:val="left"/>
      </w:pPr>
      <w:r>
        <w:rPr>
          <w:color w:val="555555"/>
          <w:sz w:val="12"/>
        </w:rPr>
        <w:t>Section 16C—Informed Decision-Making</w:t>
      </w:r>
    </w:p>
    <w:p>
      <w:pPr>
        <w:spacing w:before="60" w:after="28"/>
        <w:jc w:val="right"/>
        <w:bidi/>
      </w:pPr>
      <w:r>
        <w:rPr>
          <w:b/>
          <w:color w:val="1F4D78"/>
          <w:sz w:val="18"/>
        </w:rPr>
        <w:t>16.15. یادگیری قدرت است</w:t>
      </w:r>
    </w:p>
    <w:p>
      <w:pPr>
        <w:spacing w:after="20"/>
        <w:ind w:left="259"/>
        <w:jc w:val="left"/>
      </w:pPr>
      <w:r>
        <w:rPr>
          <w:color w:val="555555"/>
          <w:sz w:val="12"/>
        </w:rPr>
        <w:t>16.15. Learning is Power</w:t>
      </w:r>
    </w:p>
    <w:p>
      <w:pPr>
        <w:spacing w:after="20" w:line="223" w:lineRule="auto"/>
        <w:jc w:val="right"/>
        <w:bidi/>
      </w:pPr>
      <w:r>
        <w:rPr>
          <w:rFonts w:ascii="Arial" w:hAnsi="Arial"/>
          <w:sz w:val="16"/>
        </w:rPr>
        <w:t>297.03  حمل و نقل هوایی مؤثر نیاز به تصمیم‌گیری خوب دارد.</w:t>
      </w:r>
    </w:p>
    <w:p>
      <w:pPr>
        <w:spacing w:after="28" w:line="216" w:lineRule="auto"/>
        <w:ind w:left="259"/>
        <w:jc w:val="left"/>
      </w:pPr>
      <w:r>
        <w:rPr>
          <w:rFonts w:ascii="Arial" w:hAnsi="Arial"/>
          <w:color w:val="525252"/>
          <w:sz w:val="13"/>
        </w:rPr>
        <w:t>Effective Airmanship requires good decision-making.</w:t>
      </w:r>
    </w:p>
    <w:p>
      <w:pPr>
        <w:spacing w:after="20" w:line="223" w:lineRule="auto"/>
        <w:jc w:val="right"/>
        <w:bidi/>
      </w:pPr>
      <w:r>
        <w:rPr>
          <w:rFonts w:ascii="Arial" w:hAnsi="Arial"/>
          <w:sz w:val="16"/>
        </w:rPr>
        <w:t>297.04  از عضو نیروی هوایی باسیک تا گنرال، تصمیماتی که هر یک از ما هر روز می‌گیریم بر تحویل نیروی هوایی تأثیر می‌گذارد.</w:t>
      </w:r>
    </w:p>
    <w:p>
      <w:pPr>
        <w:spacing w:after="28" w:line="216" w:lineRule="auto"/>
        <w:ind w:left="259"/>
        <w:jc w:val="left"/>
      </w:pPr>
      <w:r>
        <w:rPr>
          <w:rFonts w:ascii="Arial" w:hAnsi="Arial"/>
          <w:color w:val="525252"/>
          <w:sz w:val="13"/>
        </w:rPr>
        <w:t>From Airman Basic to General, the decisions each of us make every day impact the delivery of airpower.</w:t>
      </w:r>
    </w:p>
    <w:p>
      <w:pPr>
        <w:spacing w:after="20" w:line="223" w:lineRule="auto"/>
        <w:jc w:val="right"/>
        <w:bidi/>
      </w:pPr>
      <w:r>
        <w:rPr>
          <w:rFonts w:ascii="Arial" w:hAnsi="Arial"/>
          <w:sz w:val="16"/>
        </w:rPr>
        <w:t>297.05  عادات ذهنی لازم برای تبدیل شدن به یک متفکر انتقادی در طول زمان ایجاد می‌شود.</w:t>
      </w:r>
    </w:p>
    <w:p>
      <w:pPr>
        <w:spacing w:after="28" w:line="216" w:lineRule="auto"/>
        <w:ind w:left="259"/>
        <w:jc w:val="left"/>
      </w:pPr>
      <w:r>
        <w:rPr>
          <w:rFonts w:ascii="Arial" w:hAnsi="Arial"/>
          <w:color w:val="525252"/>
          <w:sz w:val="13"/>
        </w:rPr>
        <w:t>The habits of mind necessary for becoming a critical thinker are developed over time.</w:t>
      </w:r>
    </w:p>
    <w:p>
      <w:pPr>
        <w:spacing w:after="20" w:line="223" w:lineRule="auto"/>
        <w:jc w:val="right"/>
        <w:bidi/>
      </w:pPr>
      <w:r>
        <w:rPr>
          <w:rFonts w:ascii="Arial" w:hAnsi="Arial"/>
          <w:sz w:val="16"/>
        </w:rPr>
        <w:t>297.06  هر یک از ما باید هر روز تلاش کنیم تا با به‌کارگیری آگاهانه تحلیل‌های فکری لازم برای توضیح پیچیدگی‌ها، تصمیمات خوبی بگیریم.</w:t>
      </w:r>
    </w:p>
    <w:p>
      <w:pPr>
        <w:spacing w:after="28" w:line="216" w:lineRule="auto"/>
        <w:ind w:left="259"/>
        <w:jc w:val="left"/>
      </w:pPr>
      <w:r>
        <w:rPr>
          <w:rFonts w:ascii="Arial" w:hAnsi="Arial"/>
          <w:color w:val="525252"/>
          <w:sz w:val="13"/>
        </w:rPr>
        <w:t>Each of us must work every day to make good decisions by consciously applying the intellectual analysis necessary to account for complexities.</w:t>
      </w:r>
    </w:p>
    <w:p>
      <w:pPr>
        <w:spacing w:after="20" w:line="223" w:lineRule="auto"/>
        <w:jc w:val="right"/>
        <w:bidi/>
      </w:pPr>
      <w:r>
        <w:rPr>
          <w:rFonts w:ascii="Arial" w:hAnsi="Arial"/>
          <w:sz w:val="16"/>
        </w:rPr>
        <w:t>297.07  فرآیند تصمیم‌گیری به اندازه اطلاعات تحلیل شده مهم است.</w:t>
      </w:r>
    </w:p>
    <w:p>
      <w:pPr>
        <w:spacing w:after="28" w:line="216" w:lineRule="auto"/>
        <w:ind w:left="259"/>
        <w:jc w:val="left"/>
      </w:pPr>
      <w:r>
        <w:rPr>
          <w:rFonts w:ascii="Arial" w:hAnsi="Arial"/>
          <w:color w:val="525252"/>
          <w:sz w:val="13"/>
        </w:rPr>
        <w:t>The process of decision-making is as important as the information analyzed.</w:t>
      </w:r>
    </w:p>
    <w:p>
      <w:pPr>
        <w:spacing w:after="20" w:line="223" w:lineRule="auto"/>
        <w:jc w:val="right"/>
        <w:bidi/>
      </w:pPr>
      <w:r>
        <w:rPr>
          <w:rFonts w:ascii="Arial" w:hAnsi="Arial"/>
          <w:sz w:val="16"/>
        </w:rPr>
        <w:t>297.08  استفاده همیشگی از روش‌های تفکر انتقادی برای جمع‌آوری و تجزیه و تحلیل اطلاعات به کاهش تمایل ناخودآگاه و طبیعی ما برای پذیرش یک گزینه موجود به‌عنوان رضایت‌بخش بدون بررسی واقعی همه گزینه‌های ممکن قبل از تصمیم‌گیری کمک می‌کند.</w:t>
      </w:r>
    </w:p>
    <w:p>
      <w:pPr>
        <w:spacing w:after="28" w:line="216" w:lineRule="auto"/>
        <w:ind w:left="259"/>
        <w:jc w:val="left"/>
      </w:pPr>
      <w:r>
        <w:rPr>
          <w:rFonts w:ascii="Arial" w:hAnsi="Arial"/>
          <w:color w:val="525252"/>
          <w:sz w:val="13"/>
        </w:rPr>
        <w:t>The habitual application of critical thinking methods to the gathering and analysis of information helps reduce our unconscious and natural tendency to accept an available option as satisfactory without actually exploring all feasible options before making a decision.</w:t>
      </w:r>
    </w:p>
    <w:p>
      <w:pPr>
        <w:spacing w:before="60" w:after="28"/>
        <w:jc w:val="right"/>
        <w:bidi/>
      </w:pPr>
      <w:r>
        <w:rPr>
          <w:b/>
          <w:color w:val="1F4D78"/>
          <w:sz w:val="18"/>
        </w:rPr>
        <w:t>16.16. سواد دیجیتال (سواد اطلاعاتی)</w:t>
      </w:r>
    </w:p>
    <w:p>
      <w:pPr>
        <w:spacing w:after="20"/>
        <w:ind w:left="259"/>
        <w:jc w:val="left"/>
      </w:pPr>
      <w:r>
        <w:rPr>
          <w:color w:val="555555"/>
          <w:sz w:val="12"/>
        </w:rPr>
        <w:t>16.16. Digital Literacy (Information Literacy)</w:t>
      </w:r>
    </w:p>
    <w:p>
      <w:pPr>
        <w:spacing w:after="20" w:line="223" w:lineRule="auto"/>
        <w:jc w:val="right"/>
        <w:bidi/>
      </w:pPr>
      <w:r>
        <w:rPr>
          <w:rFonts w:ascii="Arial" w:hAnsi="Arial"/>
          <w:sz w:val="16"/>
        </w:rPr>
        <w:t>297.10  تصمیم گیرندگان باید آگاه باشند و قادر به تشخیص اطلاعات مربوط به تصمیم مورد نظر باشند.</w:t>
      </w:r>
    </w:p>
    <w:p>
      <w:pPr>
        <w:spacing w:after="28" w:line="216" w:lineRule="auto"/>
        <w:ind w:left="259"/>
        <w:jc w:val="left"/>
      </w:pPr>
      <w:r>
        <w:rPr>
          <w:rFonts w:ascii="Arial" w:hAnsi="Arial"/>
          <w:color w:val="525252"/>
          <w:sz w:val="13"/>
        </w:rPr>
        <w:t>Decision makers must be informed and capable of distinguishing information relevant to the decision at hand.</w:t>
      </w:r>
    </w:p>
    <w:p>
      <w:pPr>
        <w:spacing w:after="20" w:line="223" w:lineRule="auto"/>
        <w:jc w:val="right"/>
        <w:bidi/>
      </w:pPr>
      <w:r>
        <w:rPr>
          <w:rFonts w:ascii="Arial" w:hAnsi="Arial"/>
          <w:sz w:val="16"/>
        </w:rPr>
        <w:t>297.11  خوشبختانه، اینترنت اطلاعات بیشتری را نسبت به قبل در دسترس قرار داده است.</w:t>
      </w:r>
    </w:p>
    <w:p>
      <w:pPr>
        <w:spacing w:after="28" w:line="216" w:lineRule="auto"/>
        <w:ind w:left="259"/>
        <w:jc w:val="left"/>
      </w:pPr>
      <w:r>
        <w:rPr>
          <w:rFonts w:ascii="Arial" w:hAnsi="Arial"/>
          <w:color w:val="525252"/>
          <w:sz w:val="13"/>
        </w:rPr>
        <w:t>Fortunately, the internet has made more information available than ever before.</w:t>
      </w:r>
    </w:p>
    <w:p>
      <w:pPr>
        <w:spacing w:after="20" w:line="223" w:lineRule="auto"/>
        <w:jc w:val="right"/>
        <w:bidi/>
      </w:pPr>
      <w:r>
        <w:rPr>
          <w:rFonts w:ascii="Arial" w:hAnsi="Arial"/>
          <w:sz w:val="16"/>
        </w:rPr>
        <w:t>297.12  این امکان دسترسی فوری به اطلاعات از منابع مختلف را فراهم می‌کند و با تغییر شرایط، امکان به‌روزرسانی‌های بلادرنگ را فراهم می‌کند.</w:t>
      </w:r>
    </w:p>
    <w:p>
      <w:pPr>
        <w:spacing w:after="28" w:line="216" w:lineRule="auto"/>
        <w:ind w:left="259"/>
        <w:jc w:val="left"/>
      </w:pPr>
      <w:r>
        <w:rPr>
          <w:rFonts w:ascii="Arial" w:hAnsi="Arial"/>
          <w:color w:val="525252"/>
          <w:sz w:val="13"/>
        </w:rPr>
        <w:t>This allows for immediate access to information from a wide variety of sources and provides the potential for real-time updates as conditions change.</w:t>
      </w:r>
    </w:p>
    <w:p>
      <w:pPr>
        <w:spacing w:after="20" w:line="223" w:lineRule="auto"/>
        <w:jc w:val="right"/>
        <w:bidi/>
      </w:pPr>
      <w:r>
        <w:rPr>
          <w:rFonts w:ascii="Arial" w:hAnsi="Arial"/>
          <w:sz w:val="16"/>
        </w:rPr>
        <w:t>297.13  با این حال، از آنجایی که اطلاعات اینترنتی از نظر کیفیت و دقت تنظیم نمی‌شوند، ارزیابی انتقادی منابع و در نظر گرفتن احتمال نادرستی یا اطلاعات نادرست اهمیت ویژه‌ای دارد.</w:t>
      </w:r>
    </w:p>
    <w:p>
      <w:pPr>
        <w:spacing w:after="28" w:line="216" w:lineRule="auto"/>
        <w:ind w:left="259"/>
        <w:jc w:val="left"/>
      </w:pPr>
      <w:r>
        <w:rPr>
          <w:rFonts w:ascii="Arial" w:hAnsi="Arial"/>
          <w:color w:val="525252"/>
          <w:sz w:val="13"/>
        </w:rPr>
        <w:t>However, because internet information is not regulated for quality and accuracy, it is particularly important to critically evaluate sources and consider the potential for inaccuracy or misinformation.</w:t>
      </w:r>
    </w:p>
    <w:p>
      <w:pPr>
        <w:spacing w:after="20" w:line="223" w:lineRule="auto"/>
        <w:jc w:val="right"/>
        <w:bidi/>
      </w:pPr>
      <w:r>
        <w:rPr>
          <w:rFonts w:ascii="Arial" w:hAnsi="Arial"/>
          <w:sz w:val="16"/>
        </w:rPr>
        <w:t>297.14  برای تبدیل شدن به یک مصرف کننده مهم و کاربر اینترنتی، بهترین روش رایج استفاده از "آزمون CRAAP" است که فهرستی از سوالات برای ارزیابی اطلاعات بالقوه است.</w:t>
      </w:r>
    </w:p>
    <w:p>
      <w:pPr>
        <w:spacing w:after="28" w:line="216" w:lineRule="auto"/>
        <w:ind w:left="259"/>
        <w:jc w:val="left"/>
      </w:pPr>
      <w:r>
        <w:rPr>
          <w:rFonts w:ascii="Arial" w:hAnsi="Arial"/>
          <w:color w:val="525252"/>
          <w:sz w:val="13"/>
        </w:rPr>
        <w:t>To become a critical consumer and internet user, a common best practice is to apply the “CRAAP test,” which is a list of questions to evaluate potential information.</w:t>
      </w:r>
    </w:p>
    <w:p>
      <w:pPr>
        <w:spacing w:after="20" w:line="223" w:lineRule="auto"/>
        <w:jc w:val="right"/>
        <w:bidi/>
      </w:pPr>
      <w:r>
        <w:rPr>
          <w:rFonts w:ascii="Arial" w:hAnsi="Arial"/>
          <w:sz w:val="16"/>
        </w:rPr>
        <w:t>297.15  مخفف CRAAP مخفف کوررنکی، رلوانک، اوتوریتی، اککوراکی، اند پورپوس: کوررنکی (به موقع): چه زمانی اطلاعات منتشر شده یا آخرین به‌روز رسانی شده است؟</w:t>
      </w:r>
    </w:p>
    <w:p>
      <w:pPr>
        <w:spacing w:after="28" w:line="216" w:lineRule="auto"/>
        <w:ind w:left="259"/>
        <w:jc w:val="left"/>
      </w:pPr>
      <w:r>
        <w:rPr>
          <w:rFonts w:ascii="Arial" w:hAnsi="Arial"/>
          <w:color w:val="525252"/>
          <w:sz w:val="13"/>
        </w:rPr>
        <w:t>The CRAAP acronym stands for Currency, Relevance, Authority, Accuracy, and Purpose: Currency (timeliness): When was the information published or last updated?</w:t>
      </w:r>
    </w:p>
    <w:p>
      <w:pPr>
        <w:spacing w:after="20" w:line="223" w:lineRule="auto"/>
        <w:jc w:val="right"/>
        <w:bidi/>
      </w:pPr>
      <w:r>
        <w:rPr>
          <w:rFonts w:ascii="Arial" w:hAnsi="Arial"/>
          <w:sz w:val="16"/>
        </w:rPr>
        <w:t>297.16  آیا مقالات جدیدتری در این زمینه منتشر شده است؟</w:t>
      </w:r>
    </w:p>
    <w:p>
      <w:pPr>
        <w:spacing w:after="28" w:line="216" w:lineRule="auto"/>
        <w:ind w:left="259"/>
        <w:jc w:val="left"/>
      </w:pPr>
      <w:r>
        <w:rPr>
          <w:rFonts w:ascii="Arial" w:hAnsi="Arial"/>
          <w:color w:val="525252"/>
          <w:sz w:val="13"/>
        </w:rPr>
        <w:t>Have newer articles been published on the topic?</w:t>
      </w:r>
    </w:p>
    <w:p>
      <w:pPr>
        <w:spacing w:after="20" w:line="223" w:lineRule="auto"/>
        <w:jc w:val="right"/>
        <w:bidi/>
      </w:pPr>
      <w:r>
        <w:rPr>
          <w:rFonts w:ascii="Arial" w:hAnsi="Arial"/>
          <w:sz w:val="16"/>
        </w:rPr>
        <w:t>297.17  آیا موضوع شما به اطلاعات جدید نیاز دارد یا منابع قدیمی‌تر نیز کار خواهند کرد؟</w:t>
      </w:r>
    </w:p>
    <w:p>
      <w:pPr>
        <w:spacing w:after="28" w:line="216" w:lineRule="auto"/>
        <w:ind w:left="259"/>
        <w:jc w:val="left"/>
      </w:pPr>
      <w:r>
        <w:rPr>
          <w:rFonts w:ascii="Arial" w:hAnsi="Arial"/>
          <w:color w:val="525252"/>
          <w:sz w:val="13"/>
        </w:rPr>
        <w:t>Does your topic require recent information, or will older sources work as well?</w:t>
      </w:r>
    </w:p>
    <w:p>
      <w:pPr>
        <w:spacing w:after="20" w:line="223" w:lineRule="auto"/>
        <w:jc w:val="right"/>
        <w:bidi/>
      </w:pPr>
      <w:r>
        <w:rPr>
          <w:rFonts w:ascii="Arial" w:hAnsi="Arial"/>
          <w:sz w:val="16"/>
        </w:rPr>
        <w:t>297.18  ارتباط (اهمیت اطلاعات برای نیازهای شما): آیا اطلاعات به سوال شما پاسخ می‌دهد؟</w:t>
      </w:r>
    </w:p>
    <w:p>
      <w:pPr>
        <w:spacing w:after="28" w:line="216" w:lineRule="auto"/>
        <w:ind w:left="259"/>
        <w:jc w:val="left"/>
      </w:pPr>
      <w:r>
        <w:rPr>
          <w:rFonts w:ascii="Arial" w:hAnsi="Arial"/>
          <w:color w:val="525252"/>
          <w:sz w:val="13"/>
        </w:rPr>
        <w:t>Relevance (importance of the information for your needs): Does the information answer your question?</w:t>
      </w:r>
    </w:p>
    <w:p>
      <w:pPr>
        <w:spacing w:after="20" w:line="223" w:lineRule="auto"/>
        <w:jc w:val="right"/>
        <w:bidi/>
      </w:pPr>
      <w:r>
        <w:rPr>
          <w:rFonts w:ascii="Arial" w:hAnsi="Arial"/>
          <w:sz w:val="16"/>
        </w:rPr>
        <w:t>297.19  مخاطب مورد نظر کیست؟</w:t>
      </w:r>
    </w:p>
    <w:p>
      <w:pPr>
        <w:spacing w:after="28" w:line="216" w:lineRule="auto"/>
        <w:ind w:left="259"/>
        <w:jc w:val="left"/>
      </w:pPr>
      <w:r>
        <w:rPr>
          <w:rFonts w:ascii="Arial" w:hAnsi="Arial"/>
          <w:color w:val="525252"/>
          <w:sz w:val="13"/>
        </w:rPr>
        <w:t>Who is the intended audience?</w:t>
      </w:r>
    </w:p>
    <w:p>
      <w:pPr>
        <w:spacing w:after="20" w:line="223" w:lineRule="auto"/>
        <w:jc w:val="right"/>
        <w:bidi/>
      </w:pPr>
      <w:r>
        <w:rPr>
          <w:rFonts w:ascii="Arial" w:hAnsi="Arial"/>
          <w:sz w:val="16"/>
        </w:rPr>
        <w:t>297.20  آیا اطلاعات در سطح مناسبی هستند (یعنی برای نیازهای شما خیلی ساده یا بیش از حد فنی نیستند)؟</w:t>
      </w:r>
    </w:p>
    <w:p>
      <w:pPr>
        <w:spacing w:after="28" w:line="216" w:lineRule="auto"/>
        <w:ind w:left="259"/>
        <w:jc w:val="left"/>
      </w:pPr>
      <w:r>
        <w:rPr>
          <w:rFonts w:ascii="Arial" w:hAnsi="Arial"/>
          <w:color w:val="525252"/>
          <w:sz w:val="13"/>
        </w:rPr>
        <w:t>Is the information at an appropriate level (i.e., not too simple, or overly technical for your needs)?</w:t>
      </w:r>
    </w:p>
    <w:p>
      <w:pPr>
        <w:spacing w:after="20" w:line="223" w:lineRule="auto"/>
        <w:jc w:val="right"/>
        <w:bidi/>
      </w:pPr>
      <w:r>
        <w:rPr>
          <w:rFonts w:ascii="Arial" w:hAnsi="Arial"/>
          <w:sz w:val="16"/>
        </w:rPr>
        <w:t>297.21  مرجع (منبع اطلاعات): ناشر یا حامی کیست؟</w:t>
      </w:r>
    </w:p>
    <w:p>
      <w:pPr>
        <w:spacing w:after="28" w:line="216" w:lineRule="auto"/>
        <w:ind w:left="259"/>
        <w:jc w:val="left"/>
      </w:pPr>
      <w:r>
        <w:rPr>
          <w:rFonts w:ascii="Arial" w:hAnsi="Arial"/>
          <w:color w:val="525252"/>
          <w:sz w:val="13"/>
        </w:rPr>
        <w:t>Authority (source of the information): Who is the publisher or sponsor?</w:t>
      </w:r>
    </w:p>
    <w:p>
      <w:pPr>
        <w:spacing w:after="20" w:line="223" w:lineRule="auto"/>
        <w:jc w:val="right"/>
        <w:bidi/>
      </w:pPr>
      <w:r>
        <w:rPr>
          <w:rFonts w:ascii="Arial" w:hAnsi="Arial"/>
          <w:sz w:val="16"/>
        </w:rPr>
        <w:t>297.22  اعتبار نویسنده یا وابستگی‌های سازمانی نویسنده چیست؟</w:t>
      </w:r>
    </w:p>
    <w:p>
      <w:pPr>
        <w:spacing w:after="28" w:line="216" w:lineRule="auto"/>
        <w:ind w:left="259"/>
        <w:jc w:val="left"/>
      </w:pPr>
      <w:r>
        <w:rPr>
          <w:rFonts w:ascii="Arial" w:hAnsi="Arial"/>
          <w:color w:val="525252"/>
          <w:sz w:val="13"/>
        </w:rPr>
        <w:t>What are the author’s credentials or organizational affiliations?</w:t>
      </w:r>
    </w:p>
    <w:p>
      <w:pPr>
        <w:spacing w:after="20" w:line="223" w:lineRule="auto"/>
        <w:jc w:val="right"/>
        <w:bidi/>
      </w:pPr>
      <w:r>
        <w:rPr>
          <w:rFonts w:ascii="Arial" w:hAnsi="Arial"/>
          <w:sz w:val="16"/>
        </w:rPr>
        <w:t>297.23  آیا نویسنده واجد شرایط نوشتن در مورد موضوع است؟</w:t>
      </w:r>
    </w:p>
    <w:p>
      <w:pPr>
        <w:spacing w:after="28" w:line="216" w:lineRule="auto"/>
        <w:ind w:left="259"/>
        <w:jc w:val="left"/>
      </w:pPr>
      <w:r>
        <w:rPr>
          <w:rFonts w:ascii="Arial" w:hAnsi="Arial"/>
          <w:color w:val="525252"/>
          <w:sz w:val="13"/>
        </w:rPr>
        <w:t>Is the author qualified to write on the topic?</w:t>
      </w:r>
    </w:p>
    <w:p>
      <w:pPr>
        <w:spacing w:after="20" w:line="223" w:lineRule="auto"/>
        <w:jc w:val="right"/>
        <w:bidi/>
      </w:pPr>
      <w:r>
        <w:rPr>
          <w:rFonts w:ascii="Arial" w:hAnsi="Arial"/>
          <w:sz w:val="16"/>
        </w:rPr>
        <w:t>297.24  دقت (قابلیت اطمینان، صدق و صحت محتوا): آیا اطلاعات توسط شواهد پشتیبانی می‌شود؟</w:t>
      </w:r>
    </w:p>
    <w:p>
      <w:pPr>
        <w:spacing w:after="28" w:line="216" w:lineRule="auto"/>
        <w:ind w:left="259"/>
        <w:jc w:val="left"/>
      </w:pPr>
      <w:r>
        <w:rPr>
          <w:rFonts w:ascii="Arial" w:hAnsi="Arial"/>
          <w:color w:val="525252"/>
          <w:sz w:val="13"/>
        </w:rPr>
        <w:t>Accuracy (reliability, truthfulness, and correctness of content): Is the information supported by evidence?</w:t>
      </w:r>
    </w:p>
    <w:p>
      <w:pPr>
        <w:spacing w:after="20" w:line="223" w:lineRule="auto"/>
        <w:jc w:val="right"/>
        <w:bidi/>
      </w:pPr>
      <w:r>
        <w:rPr>
          <w:rFonts w:ascii="Arial" w:hAnsi="Arial"/>
          <w:sz w:val="16"/>
        </w:rPr>
        <w:t>297.25  آیا اطلاعات قبل از انتشار توسط ویراستاران یا کارشناسان موضوع بررسی شده است؟</w:t>
      </w:r>
    </w:p>
    <w:p>
      <w:pPr>
        <w:spacing w:after="28" w:line="216" w:lineRule="auto"/>
        <w:ind w:left="259"/>
        <w:jc w:val="left"/>
      </w:pPr>
      <w:r>
        <w:rPr>
          <w:rFonts w:ascii="Arial" w:hAnsi="Arial"/>
          <w:color w:val="525252"/>
          <w:sz w:val="13"/>
        </w:rPr>
        <w:t>Was the information reviewed by editors or subject experts before it was published?</w:t>
      </w:r>
    </w:p>
    <w:p>
      <w:pPr>
        <w:spacing w:after="20" w:line="223" w:lineRule="auto"/>
        <w:jc w:val="right"/>
        <w:bidi/>
      </w:pPr>
      <w:r>
        <w:rPr>
          <w:rFonts w:ascii="Arial" w:hAnsi="Arial"/>
          <w:sz w:val="16"/>
        </w:rPr>
        <w:t>297.26  آیا می‌توانید هر یک از اطلاعات را در منابع دیگر تأیید کنید؟</w:t>
      </w:r>
    </w:p>
    <w:p>
      <w:pPr>
        <w:spacing w:after="28" w:line="216" w:lineRule="auto"/>
        <w:ind w:left="259"/>
        <w:jc w:val="left"/>
      </w:pPr>
      <w:r>
        <w:rPr>
          <w:rFonts w:ascii="Arial" w:hAnsi="Arial"/>
          <w:color w:val="525252"/>
          <w:sz w:val="13"/>
        </w:rPr>
        <w:t>Can you verify any of the information in other sources?</w:t>
      </w:r>
    </w:p>
    <w:p>
      <w:pPr>
        <w:spacing w:after="20" w:line="223" w:lineRule="auto"/>
        <w:jc w:val="right"/>
        <w:bidi/>
      </w:pPr>
      <w:r>
        <w:rPr>
          <w:rFonts w:ascii="Arial" w:hAnsi="Arial"/>
          <w:sz w:val="16"/>
        </w:rPr>
        <w:t>297.27  هدف (دلیل وجود اطلاعات): آیا هدف از اطلاعات اطلاع رسانی است یا آموزش؟</w:t>
      </w:r>
    </w:p>
    <w:p>
      <w:pPr>
        <w:spacing w:after="28" w:line="216" w:lineRule="auto"/>
        <w:ind w:left="259"/>
        <w:jc w:val="left"/>
      </w:pPr>
      <w:r>
        <w:rPr>
          <w:rFonts w:ascii="Arial" w:hAnsi="Arial"/>
          <w:color w:val="525252"/>
          <w:sz w:val="13"/>
        </w:rPr>
        <w:t>Purpose (the reason the information exists): Is the information intended to inform or teach?</w:t>
      </w:r>
    </w:p>
    <w:p>
      <w:pPr>
        <w:spacing w:after="20" w:line="223" w:lineRule="auto"/>
        <w:jc w:val="right"/>
        <w:bidi/>
      </w:pPr>
      <w:r>
        <w:rPr>
          <w:rFonts w:ascii="Arial" w:hAnsi="Arial"/>
          <w:sz w:val="16"/>
        </w:rPr>
        <w:t>297.28  یا برای فروش، سرگرمی یا متقاعد کردن است؟</w:t>
      </w:r>
    </w:p>
    <w:p>
      <w:pPr>
        <w:spacing w:after="28" w:line="216" w:lineRule="auto"/>
        <w:ind w:left="259"/>
        <w:jc w:val="left"/>
      </w:pPr>
      <w:r>
        <w:rPr>
          <w:rFonts w:ascii="Arial" w:hAnsi="Arial"/>
          <w:color w:val="525252"/>
          <w:sz w:val="13"/>
        </w:rPr>
        <w:t>Or is it intended to sell, entertain, or persuade?</w:t>
      </w:r>
    </w:p>
    <w:p>
      <w:pPr>
        <w:spacing w:after="20" w:line="223" w:lineRule="auto"/>
        <w:jc w:val="right"/>
        <w:bidi/>
      </w:pPr>
      <w:r>
        <w:rPr>
          <w:rFonts w:ascii="Arial" w:hAnsi="Arial"/>
          <w:sz w:val="16"/>
        </w:rPr>
        <w:t>297.29  آیا دیدگاه عینی و بی طرفانه به نظر می‌رسد؟</w:t>
      </w:r>
    </w:p>
    <w:p>
      <w:pPr>
        <w:spacing w:after="28" w:line="216" w:lineRule="auto"/>
        <w:ind w:left="259"/>
        <w:jc w:val="left"/>
      </w:pPr>
      <w:r>
        <w:rPr>
          <w:rFonts w:ascii="Arial" w:hAnsi="Arial"/>
          <w:color w:val="525252"/>
          <w:sz w:val="13"/>
        </w:rPr>
        <w:t>Does the point of view appear objective and impartial?</w:t>
      </w:r>
    </w:p>
    <w:p>
      <w:pPr>
        <w:spacing w:after="20" w:line="223" w:lineRule="auto"/>
        <w:jc w:val="right"/>
        <w:bidi/>
      </w:pPr>
      <w:r>
        <w:rPr>
          <w:rFonts w:ascii="Arial" w:hAnsi="Arial"/>
          <w:sz w:val="16"/>
        </w:rPr>
        <w:t>297.30  آیا سوگیری‌های سیاسی، ایدئولوژیک، فرهنگی، مذهبی، نهادی یا شخصی وجود دارد؟</w:t>
      </w:r>
    </w:p>
    <w:p>
      <w:pPr>
        <w:spacing w:after="28" w:line="216" w:lineRule="auto"/>
        <w:ind w:left="259"/>
        <w:jc w:val="left"/>
      </w:pPr>
      <w:r>
        <w:rPr>
          <w:rFonts w:ascii="Arial" w:hAnsi="Arial"/>
          <w:color w:val="525252"/>
          <w:sz w:val="13"/>
        </w:rPr>
        <w:t>Are there political, ideological, cultural, religious, institutional, or personal biases?</w:t>
      </w:r>
    </w:p>
    <w:p>
      <w:pPr>
        <w:spacing w:after="20" w:line="223" w:lineRule="auto"/>
        <w:jc w:val="right"/>
        <w:bidi/>
      </w:pPr>
      <w:r>
        <w:rPr>
          <w:rFonts w:ascii="Arial" w:hAnsi="Arial"/>
          <w:sz w:val="16"/>
        </w:rPr>
        <w:t>297.31  به‌طور کلی، هدف تکیه بر منابعی باشید که انگیزه‌های قوی برای ارائه اطلاعات دقیق دارند.</w:t>
      </w:r>
    </w:p>
    <w:p>
      <w:pPr>
        <w:spacing w:after="28" w:line="216" w:lineRule="auto"/>
        <w:ind w:left="259"/>
        <w:jc w:val="left"/>
      </w:pPr>
      <w:r>
        <w:rPr>
          <w:rFonts w:ascii="Arial" w:hAnsi="Arial"/>
          <w:color w:val="525252"/>
          <w:sz w:val="13"/>
        </w:rPr>
        <w:t>In general, aim to rely on sources that have strong incentives to present accurate information.</w:t>
      </w:r>
    </w:p>
    <w:p>
      <w:pPr>
        <w:spacing w:after="20" w:line="223" w:lineRule="auto"/>
        <w:jc w:val="right"/>
        <w:bidi/>
      </w:pPr>
      <w:r>
        <w:rPr>
          <w:rFonts w:ascii="Arial" w:hAnsi="Arial"/>
          <w:sz w:val="16"/>
        </w:rPr>
        <w:t>297.32  ممکن است پیامد کمی برای نویسنده یک پست وبلاگ یا تابلوی پیام وجود داشته باشد اگر حقایق را اشتباه بگیرد.</w:t>
      </w:r>
    </w:p>
    <w:p>
      <w:pPr>
        <w:spacing w:after="28" w:line="216" w:lineRule="auto"/>
        <w:ind w:left="259"/>
        <w:jc w:val="left"/>
      </w:pPr>
      <w:r>
        <w:rPr>
          <w:rFonts w:ascii="Arial" w:hAnsi="Arial"/>
          <w:color w:val="525252"/>
          <w:sz w:val="13"/>
        </w:rPr>
        <w:t>There may be little consequence to the writer of a blog or message board post if they get facts wrong.</w:t>
      </w:r>
    </w:p>
    <w:p>
      <w:pPr>
        <w:spacing w:after="20" w:line="223" w:lineRule="auto"/>
        <w:jc w:val="right"/>
        <w:bidi/>
      </w:pPr>
      <w:r>
        <w:rPr>
          <w:rFonts w:ascii="Arial" w:hAnsi="Arial"/>
          <w:sz w:val="16"/>
        </w:rPr>
        <w:t>297.33  شرکت‌های انتفاعی ممکن است عمدا برای ارائه مثبت شرکت و محصولات خود گمراه کنند.</w:t>
      </w:r>
    </w:p>
    <w:p>
      <w:pPr>
        <w:spacing w:after="28" w:line="216" w:lineRule="auto"/>
        <w:ind w:left="259"/>
        <w:jc w:val="left"/>
      </w:pPr>
      <w:r>
        <w:rPr>
          <w:rFonts w:ascii="Arial" w:hAnsi="Arial"/>
          <w:color w:val="525252"/>
          <w:sz w:val="13"/>
        </w:rPr>
        <w:t>For-profit companies may purposely mislead in order to present their company and products positively.</w:t>
      </w:r>
    </w:p>
    <w:p>
      <w:pPr>
        <w:spacing w:after="20" w:line="223" w:lineRule="auto"/>
        <w:jc w:val="right"/>
        <w:bidi/>
      </w:pPr>
      <w:r>
        <w:rPr>
          <w:rFonts w:ascii="Arial" w:hAnsi="Arial"/>
          <w:sz w:val="16"/>
        </w:rPr>
        <w:t>297.34  با این حال، اطلاعات در مقالات روزنامه یا مقالات علمی معمولا قابل اعتماد است. خطاهای موجود در این انجمن‌ها می‌تواند به اعتبار نویسنده آسیب جدی وارد کند.</w:t>
      </w:r>
    </w:p>
    <w:p>
      <w:pPr>
        <w:spacing w:after="28" w:line="216" w:lineRule="auto"/>
        <w:ind w:left="259"/>
        <w:jc w:val="left"/>
      </w:pPr>
      <w:r>
        <w:rPr>
          <w:rFonts w:ascii="Arial" w:hAnsi="Arial"/>
          <w:color w:val="525252"/>
          <w:sz w:val="13"/>
        </w:rPr>
        <w:t>However, information in newspaper articles or scientific papers is normally reliable; errors in these forums can seriously damage the author’s reputation.</w:t>
      </w:r>
    </w:p>
    <w:p>
      <w:r>
        <w:br w:type="page"/>
      </w:r>
    </w:p>
    <w:p>
      <w:pPr>
        <w:spacing w:after="60"/>
        <w:jc w:val="right"/>
        <w:bidi/>
      </w:pPr>
      <w:r>
        <w:rPr>
          <w:rFonts w:ascii="Arial" w:hAnsi="Arial"/>
          <w:b/>
          <w:color w:val="1F4D78"/>
          <w:sz w:val="19"/>
        </w:rPr>
        <w:t>هفتهٔ 298  |  صفحهٔ منبع: 314</w:t>
      </w:r>
    </w:p>
    <w:p>
      <w:pPr>
        <w:spacing w:before="60" w:after="28"/>
        <w:jc w:val="right"/>
        <w:bidi/>
      </w:pPr>
      <w:r>
        <w:rPr>
          <w:b/>
          <w:color w:val="1F4D78"/>
          <w:sz w:val="18"/>
        </w:rPr>
        <w:t>16.17. تفکر تحلیلی</w:t>
      </w:r>
    </w:p>
    <w:p>
      <w:pPr>
        <w:spacing w:after="20"/>
        <w:ind w:left="259"/>
        <w:jc w:val="left"/>
      </w:pPr>
      <w:r>
        <w:rPr>
          <w:color w:val="555555"/>
          <w:sz w:val="12"/>
        </w:rPr>
        <w:t>16.17. Analytical Thinking</w:t>
      </w:r>
    </w:p>
    <w:p>
      <w:pPr>
        <w:spacing w:after="20" w:line="223" w:lineRule="auto"/>
        <w:jc w:val="right"/>
        <w:bidi/>
      </w:pPr>
      <w:r>
        <w:rPr>
          <w:rFonts w:ascii="Arial" w:hAnsi="Arial"/>
          <w:sz w:val="16"/>
        </w:rPr>
        <w:t>298.02  تصمیم‌گیری آگاهانه به چیزی بیش از جمع‌آوری و ارزیابی حقایق نیاز دارد.</w:t>
      </w:r>
    </w:p>
    <w:p>
      <w:pPr>
        <w:spacing w:after="28" w:line="216" w:lineRule="auto"/>
        <w:ind w:left="259"/>
        <w:jc w:val="left"/>
      </w:pPr>
      <w:r>
        <w:rPr>
          <w:rFonts w:ascii="Arial" w:hAnsi="Arial"/>
          <w:color w:val="525252"/>
          <w:sz w:val="13"/>
        </w:rPr>
        <w:t>Informed decision making requires more than gathering and evaluating facts.</w:t>
      </w:r>
    </w:p>
    <w:p>
      <w:pPr>
        <w:spacing w:after="20" w:line="223" w:lineRule="auto"/>
        <w:jc w:val="right"/>
        <w:bidi/>
      </w:pPr>
      <w:r>
        <w:rPr>
          <w:rFonts w:ascii="Arial" w:hAnsi="Arial"/>
          <w:sz w:val="16"/>
        </w:rPr>
        <w:t>298.03  برای تفکیک سیستماتیک اطلاعات، مقایسه جنبه‌های مختلف یک مشکل و سازماندهی اطلاعات برای پرداختن به مسائل پیچیده و چند بعدی، به تفکر تحلیلی نیاز دارد.</w:t>
      </w:r>
    </w:p>
    <w:p>
      <w:pPr>
        <w:spacing w:after="28" w:line="216" w:lineRule="auto"/>
        <w:ind w:left="259"/>
        <w:jc w:val="left"/>
      </w:pPr>
      <w:r>
        <w:rPr>
          <w:rFonts w:ascii="Arial" w:hAnsi="Arial"/>
          <w:color w:val="525252"/>
          <w:sz w:val="13"/>
        </w:rPr>
        <w:t>It requires analytical thinking to systematically break information apart, compare different aspects of a problem, and organize information to address complex, multidimensional issues.</w:t>
      </w:r>
    </w:p>
    <w:p>
      <w:pPr>
        <w:spacing w:after="20" w:line="223" w:lineRule="auto"/>
        <w:jc w:val="right"/>
        <w:bidi/>
      </w:pPr>
      <w:r>
        <w:rPr>
          <w:rFonts w:ascii="Arial" w:hAnsi="Arial"/>
          <w:sz w:val="16"/>
        </w:rPr>
        <w:t>298.04  به‌عنوان اولین قدم، شک و تردید سالم داشته باشید و چندین علت بالقوه آنچه را که مشاهده می‌کنید در نظر بگیرید.</w:t>
      </w:r>
    </w:p>
    <w:p>
      <w:pPr>
        <w:spacing w:after="28" w:line="216" w:lineRule="auto"/>
        <w:ind w:left="259"/>
        <w:jc w:val="left"/>
      </w:pPr>
      <w:r>
        <w:rPr>
          <w:rFonts w:ascii="Arial" w:hAnsi="Arial"/>
          <w:color w:val="525252"/>
          <w:sz w:val="13"/>
        </w:rPr>
        <w:t>As a first step, exercise healthy skepticism and consider several potential causes of what you observe.</w:t>
      </w:r>
    </w:p>
    <w:p>
      <w:pPr>
        <w:spacing w:after="20" w:line="223" w:lineRule="auto"/>
        <w:jc w:val="right"/>
        <w:bidi/>
      </w:pPr>
      <w:r>
        <w:rPr>
          <w:rFonts w:ascii="Arial" w:hAnsi="Arial"/>
          <w:sz w:val="16"/>
        </w:rPr>
        <w:t>298.05  اغلب می‌توان با شناخت چند اصل اساسی از اشتباهات در استدلال تحلیلی جلوگیری کرد: محدودیت‌های اندازه‌های نمونه کوچک.</w:t>
      </w:r>
    </w:p>
    <w:p>
      <w:pPr>
        <w:spacing w:after="28" w:line="216" w:lineRule="auto"/>
        <w:ind w:left="259"/>
        <w:jc w:val="left"/>
      </w:pPr>
      <w:r>
        <w:rPr>
          <w:rFonts w:ascii="Arial" w:hAnsi="Arial"/>
          <w:color w:val="525252"/>
          <w:sz w:val="13"/>
        </w:rPr>
        <w:t>One can often avoid errors in analytical reasoning by recognizing a few basic principles: Limitations of Small Sample Sizes.</w:t>
      </w:r>
    </w:p>
    <w:p>
      <w:pPr>
        <w:spacing w:after="20" w:line="223" w:lineRule="auto"/>
        <w:jc w:val="right"/>
        <w:bidi/>
      </w:pPr>
      <w:r>
        <w:rPr>
          <w:rFonts w:ascii="Arial" w:hAnsi="Arial"/>
          <w:sz w:val="16"/>
        </w:rPr>
        <w:t>298.06  قضاوت‌های مبتنی بر تعداد زیادی مشاهدات (تعداد زیاد افراد، رویدادها و غیره) بیشتر از قضاوت‌های مبتنی بر تعداد کمی مشاهدات دقیق هستند.</w:t>
      </w:r>
    </w:p>
    <w:p>
      <w:pPr>
        <w:spacing w:after="28" w:line="216" w:lineRule="auto"/>
        <w:ind w:left="259"/>
        <w:jc w:val="left"/>
      </w:pPr>
      <w:r>
        <w:rPr>
          <w:rFonts w:ascii="Arial" w:hAnsi="Arial"/>
          <w:color w:val="525252"/>
          <w:sz w:val="13"/>
        </w:rPr>
        <w:t>Judgments based on a large number of observations (large number of people, events, etc.) are more likely to be accurate than judgments based on a small number of observations.</w:t>
      </w:r>
    </w:p>
    <w:p>
      <w:pPr>
        <w:spacing w:after="20" w:line="223" w:lineRule="auto"/>
        <w:jc w:val="right"/>
        <w:bidi/>
      </w:pPr>
      <w:r>
        <w:rPr>
          <w:rFonts w:ascii="Arial" w:hAnsi="Arial"/>
          <w:sz w:val="16"/>
        </w:rPr>
        <w:t>298.07  مثال: تصور کنید تصمیم گرفتید به‌عنوان بخشی از رشد شخصی خود مدرک دانشگاهی بگیرید.</w:t>
      </w:r>
    </w:p>
    <w:p>
      <w:pPr>
        <w:spacing w:after="28" w:line="216" w:lineRule="auto"/>
        <w:ind w:left="259"/>
        <w:jc w:val="left"/>
      </w:pPr>
      <w:r>
        <w:rPr>
          <w:rFonts w:ascii="Arial" w:hAnsi="Arial"/>
          <w:color w:val="525252"/>
          <w:sz w:val="13"/>
        </w:rPr>
        <w:t>Example: Imagine you decided to get a college degree as part of your personal growth.</w:t>
      </w:r>
    </w:p>
    <w:p>
      <w:pPr>
        <w:spacing w:after="20" w:line="223" w:lineRule="auto"/>
        <w:jc w:val="right"/>
        <w:bidi/>
      </w:pPr>
      <w:r>
        <w:rPr>
          <w:rFonts w:ascii="Arial" w:hAnsi="Arial"/>
          <w:sz w:val="16"/>
        </w:rPr>
        <w:t>298.08  شما برنامه‌ای در ذهن دارید، اما موسسات آموزشی زیادی برای انتخاب وجود دارد.</w:t>
      </w:r>
    </w:p>
    <w:p>
      <w:pPr>
        <w:spacing w:after="28" w:line="216" w:lineRule="auto"/>
        <w:ind w:left="259"/>
        <w:jc w:val="left"/>
      </w:pPr>
      <w:r>
        <w:rPr>
          <w:rFonts w:ascii="Arial" w:hAnsi="Arial"/>
          <w:color w:val="525252"/>
          <w:sz w:val="13"/>
        </w:rPr>
        <w:t>You have a program in mind, but there are so many educational institutions to choose from.</w:t>
      </w:r>
    </w:p>
    <w:p>
      <w:pPr>
        <w:spacing w:after="20" w:line="223" w:lineRule="auto"/>
        <w:jc w:val="right"/>
        <w:bidi/>
      </w:pPr>
      <w:r>
        <w:rPr>
          <w:rFonts w:ascii="Arial" w:hAnsi="Arial"/>
          <w:sz w:val="16"/>
        </w:rPr>
        <w:t>298.09  انتخاب خود را به دانشگاه ا یا دانشگاه ب محدود کرده‌اید. چندین دوست دارید که در هر مدرسه تحصیل می‌کنند.</w:t>
      </w:r>
    </w:p>
    <w:p>
      <w:pPr>
        <w:spacing w:after="28" w:line="216" w:lineRule="auto"/>
        <w:ind w:left="259"/>
        <w:jc w:val="left"/>
      </w:pPr>
      <w:r>
        <w:rPr>
          <w:rFonts w:ascii="Arial" w:hAnsi="Arial"/>
          <w:color w:val="525252"/>
          <w:sz w:val="13"/>
        </w:rPr>
        <w:t>You have narrowed your choice to University A or University B. You have several friends that attend each school.</w:t>
      </w:r>
    </w:p>
    <w:p>
      <w:pPr>
        <w:spacing w:after="20" w:line="223" w:lineRule="auto"/>
        <w:jc w:val="right"/>
        <w:bidi/>
      </w:pPr>
      <w:r>
        <w:rPr>
          <w:rFonts w:ascii="Arial" w:hAnsi="Arial"/>
          <w:sz w:val="16"/>
        </w:rPr>
        <w:t>298.10  دوستان شما در دانشگاه ا همه واقعا مدرسه را دوست دارند. دوستان شما در دانشگاه ب از مدرسه خود بسیار ناراضی هستند.</w:t>
      </w:r>
    </w:p>
    <w:p>
      <w:pPr>
        <w:spacing w:after="28" w:line="216" w:lineRule="auto"/>
        <w:ind w:left="259"/>
        <w:jc w:val="left"/>
      </w:pPr>
      <w:r>
        <w:rPr>
          <w:rFonts w:ascii="Arial" w:hAnsi="Arial"/>
          <w:color w:val="525252"/>
          <w:sz w:val="13"/>
        </w:rPr>
        <w:t>Your friends at University A all really like the school; your friends at University B are very dissatisfied with their school.</w:t>
      </w:r>
    </w:p>
    <w:p>
      <w:pPr>
        <w:spacing w:after="20" w:line="223" w:lineRule="auto"/>
        <w:jc w:val="right"/>
        <w:bidi/>
      </w:pPr>
      <w:r>
        <w:rPr>
          <w:rFonts w:ascii="Arial" w:hAnsi="Arial"/>
          <w:sz w:val="16"/>
        </w:rPr>
        <w:t>298.11  با این حال، وقتی از دانشگاه ب بازدید می‌کنید، تجربه خوبی دارید و دانشجویان و اساتیدی را که با آنها ملاقات کرده‌اید دوست دارید.</w:t>
      </w:r>
    </w:p>
    <w:p>
      <w:pPr>
        <w:spacing w:after="28" w:line="216" w:lineRule="auto"/>
        <w:ind w:left="259"/>
        <w:jc w:val="left"/>
      </w:pPr>
      <w:r>
        <w:rPr>
          <w:rFonts w:ascii="Arial" w:hAnsi="Arial"/>
          <w:color w:val="525252"/>
          <w:sz w:val="13"/>
        </w:rPr>
        <w:t>However, when you visit University B you have a good experience and like the students and professor that you met with.</w:t>
      </w:r>
    </w:p>
    <w:p>
      <w:pPr>
        <w:spacing w:after="20" w:line="223" w:lineRule="auto"/>
        <w:jc w:val="right"/>
        <w:bidi/>
      </w:pPr>
      <w:r>
        <w:rPr>
          <w:rFonts w:ascii="Arial" w:hAnsi="Arial"/>
          <w:sz w:val="16"/>
        </w:rPr>
        <w:t>298.12  در مقابل، در طول بازدید خود از دانشگاه ا، از استادی که سعی کرده‌اید با او صحبت کنید و با دانشجویانی که ملاقات کرده‌اید «کلیک» نکرده‌اید، براش آف دریافت می‌کنید.</w:t>
      </w:r>
    </w:p>
    <w:p>
      <w:pPr>
        <w:spacing w:after="28" w:line="216" w:lineRule="auto"/>
        <w:ind w:left="259"/>
        <w:jc w:val="left"/>
      </w:pPr>
      <w:r>
        <w:rPr>
          <w:rFonts w:ascii="Arial" w:hAnsi="Arial"/>
          <w:color w:val="525252"/>
          <w:sz w:val="13"/>
        </w:rPr>
        <w:t>In contrast, during your visit to University A, you get the brush-off from the professor you tried to speak with and didn’t “click” with the students you met.</w:t>
      </w:r>
    </w:p>
    <w:p>
      <w:pPr>
        <w:spacing w:after="20" w:line="223" w:lineRule="auto"/>
        <w:jc w:val="right"/>
        <w:bidi/>
      </w:pPr>
      <w:r>
        <w:rPr>
          <w:rFonts w:ascii="Arial" w:hAnsi="Arial"/>
          <w:sz w:val="16"/>
        </w:rPr>
        <w:t>298.13  در کدام مدرسه باید شرکت کنید؟</w:t>
      </w:r>
    </w:p>
    <w:p>
      <w:pPr>
        <w:spacing w:after="28" w:line="216" w:lineRule="auto"/>
        <w:ind w:left="259"/>
        <w:jc w:val="left"/>
      </w:pPr>
      <w:r>
        <w:rPr>
          <w:rFonts w:ascii="Arial" w:hAnsi="Arial"/>
          <w:color w:val="525252"/>
          <w:sz w:val="13"/>
        </w:rPr>
        <w:t>Which school should you attend?</w:t>
      </w:r>
    </w:p>
    <w:p>
      <w:pPr>
        <w:spacing w:after="20" w:line="223" w:lineRule="auto"/>
        <w:jc w:val="right"/>
        <w:bidi/>
      </w:pPr>
      <w:r>
        <w:rPr>
          <w:rFonts w:ascii="Arial" w:hAnsi="Arial"/>
          <w:sz w:val="16"/>
        </w:rPr>
        <w:t>298.14  بسیاری از مردم می‌گویند که شما باید در دانشگاه ب شرکت کنید زیرا شخصا تجربه مثبتی داشته‌اید ("با دل و روده خود بروید").</w:t>
      </w:r>
    </w:p>
    <w:p>
      <w:pPr>
        <w:spacing w:after="28" w:line="216" w:lineRule="auto"/>
        <w:ind w:left="259"/>
        <w:jc w:val="left"/>
      </w:pPr>
      <w:r>
        <w:rPr>
          <w:rFonts w:ascii="Arial" w:hAnsi="Arial"/>
          <w:color w:val="525252"/>
          <w:sz w:val="13"/>
        </w:rPr>
        <w:t>Many people will say you should attend University B because you personally had a positive experience (“go with your gut”).</w:t>
      </w:r>
    </w:p>
    <w:p>
      <w:pPr>
        <w:spacing w:after="20" w:line="223" w:lineRule="auto"/>
        <w:jc w:val="right"/>
        <w:bidi/>
      </w:pPr>
      <w:r>
        <w:rPr>
          <w:rFonts w:ascii="Arial" w:hAnsi="Arial"/>
          <w:sz w:val="16"/>
        </w:rPr>
        <w:t>298.15  اگرچه این لزوما اشتباه نیست، مهم است که مدت زمان محدود بازدید خود را کاملا بشناسید (چه مقدار از مدرسه را دیدید؟</w:t>
      </w:r>
    </w:p>
    <w:p>
      <w:pPr>
        <w:spacing w:after="28" w:line="216" w:lineRule="auto"/>
        <w:ind w:left="259"/>
        <w:jc w:val="left"/>
      </w:pPr>
      <w:r>
        <w:rPr>
          <w:rFonts w:ascii="Arial" w:hAnsi="Arial"/>
          <w:color w:val="525252"/>
          <w:sz w:val="13"/>
        </w:rPr>
        <w:t>While that’s not necessarily wrong, it is important to fully recognize the limited duration of your visit (How much of the school did you see?</w:t>
      </w:r>
    </w:p>
    <w:p>
      <w:pPr>
        <w:spacing w:after="20" w:line="223" w:lineRule="auto"/>
        <w:jc w:val="right"/>
        <w:bidi/>
      </w:pPr>
      <w:r>
        <w:rPr>
          <w:rFonts w:ascii="Arial" w:hAnsi="Arial"/>
          <w:sz w:val="16"/>
        </w:rPr>
        <w:t>298.16  در چند کلاس مختلف نشستید؟</w:t>
      </w:r>
    </w:p>
    <w:p>
      <w:pPr>
        <w:spacing w:after="28" w:line="216" w:lineRule="auto"/>
        <w:ind w:left="259"/>
        <w:jc w:val="left"/>
      </w:pPr>
      <w:r>
        <w:rPr>
          <w:rFonts w:ascii="Arial" w:hAnsi="Arial"/>
          <w:color w:val="525252"/>
          <w:sz w:val="13"/>
        </w:rPr>
        <w:t>How many different classes did you sit in on?</w:t>
      </w:r>
    </w:p>
    <w:p>
      <w:pPr>
        <w:spacing w:after="20" w:line="223" w:lineRule="auto"/>
        <w:jc w:val="right"/>
        <w:bidi/>
      </w:pPr>
      <w:r>
        <w:rPr>
          <w:rFonts w:ascii="Arial" w:hAnsi="Arial"/>
          <w:sz w:val="16"/>
        </w:rPr>
        <w:t>298.17  با چند دانشجو، استاد و غیره تعامل داشتید؟).</w:t>
      </w:r>
    </w:p>
    <w:p>
      <w:pPr>
        <w:spacing w:after="28" w:line="216" w:lineRule="auto"/>
        <w:ind w:left="259"/>
        <w:jc w:val="left"/>
      </w:pPr>
      <w:r>
        <w:rPr>
          <w:rFonts w:ascii="Arial" w:hAnsi="Arial"/>
          <w:color w:val="525252"/>
          <w:sz w:val="13"/>
        </w:rPr>
        <w:t>How many students, professors, etc. did you interact with?).</w:t>
      </w:r>
    </w:p>
    <w:p>
      <w:pPr>
        <w:spacing w:after="20" w:line="223" w:lineRule="auto"/>
        <w:jc w:val="right"/>
        <w:bidi/>
      </w:pPr>
      <w:r>
        <w:rPr>
          <w:rFonts w:ascii="Arial" w:hAnsi="Arial"/>
          <w:sz w:val="16"/>
        </w:rPr>
        <w:t>298.18  در مقایسه، دوستان شما در دانشگاه ب فرصت‌های بسیار گسترده‌تری برای تعامل با بسیاری دیگر در مدرسه در مدت زمان طولانی‌تری خواهند داشت.</w:t>
      </w:r>
    </w:p>
    <w:p>
      <w:pPr>
        <w:spacing w:after="28" w:line="216" w:lineRule="auto"/>
        <w:ind w:left="259"/>
        <w:jc w:val="left"/>
      </w:pPr>
      <w:r>
        <w:rPr>
          <w:rFonts w:ascii="Arial" w:hAnsi="Arial"/>
          <w:color w:val="525252"/>
          <w:sz w:val="13"/>
        </w:rPr>
        <w:t>In comparison, your friends at University B will have had much more extensive opportunities to interact with many others at the school over a longer time period.</w:t>
      </w:r>
    </w:p>
    <w:p>
      <w:pPr>
        <w:spacing w:after="20" w:line="223" w:lineRule="auto"/>
        <w:jc w:val="right"/>
        <w:bidi/>
      </w:pPr>
      <w:r>
        <w:rPr>
          <w:rFonts w:ascii="Arial" w:hAnsi="Arial"/>
          <w:sz w:val="16"/>
        </w:rPr>
        <w:t>298.19  زمانی را برای تصمیم‌گیری خود بر اساس تعداد بیشتری از مشاهدات در صورت امکان اختصاص دهید.</w:t>
      </w:r>
    </w:p>
    <w:p>
      <w:pPr>
        <w:spacing w:after="28" w:line="216" w:lineRule="auto"/>
        <w:ind w:left="259"/>
        <w:jc w:val="left"/>
      </w:pPr>
      <w:r>
        <w:rPr>
          <w:rFonts w:ascii="Arial" w:hAnsi="Arial"/>
          <w:color w:val="525252"/>
          <w:sz w:val="13"/>
        </w:rPr>
        <w:t>Take the time to base your decisions on a larger number of observations when possible.</w:t>
      </w:r>
    </w:p>
    <w:p>
      <w:pPr>
        <w:spacing w:after="20" w:line="223" w:lineRule="auto"/>
        <w:jc w:val="right"/>
        <w:bidi/>
      </w:pPr>
      <w:r>
        <w:rPr>
          <w:rFonts w:ascii="Arial" w:hAnsi="Arial"/>
          <w:sz w:val="16"/>
        </w:rPr>
        <w:t>298.20  برداشت‌های مبتنی بر چند روز یا چند نفر معمولا به اندازه قضاوت‌ها یا داده‌های مبتنی بر تعداد بیشتری از مشاهدات دقیق نیستند.</w:t>
      </w:r>
    </w:p>
    <w:p>
      <w:pPr>
        <w:spacing w:after="28" w:line="216" w:lineRule="auto"/>
        <w:ind w:left="259"/>
        <w:jc w:val="left"/>
      </w:pPr>
      <w:r>
        <w:rPr>
          <w:rFonts w:ascii="Arial" w:hAnsi="Arial"/>
          <w:color w:val="525252"/>
          <w:sz w:val="13"/>
        </w:rPr>
        <w:t>Impressions based on a few days, or a few people will usually not be as accurate as judgments or data based on a larger number of observations.</w:t>
      </w:r>
    </w:p>
    <w:p>
      <w:pPr>
        <w:spacing w:after="20" w:line="223" w:lineRule="auto"/>
        <w:jc w:val="right"/>
        <w:bidi/>
      </w:pPr>
      <w:r>
        <w:rPr>
          <w:rFonts w:ascii="Arial" w:hAnsi="Arial"/>
          <w:sz w:val="16"/>
        </w:rPr>
        <w:t>298.21  همبستگی دلالت بر علیت ندارد.</w:t>
      </w:r>
    </w:p>
    <w:p>
      <w:pPr>
        <w:spacing w:after="28" w:line="216" w:lineRule="auto"/>
        <w:ind w:left="259"/>
        <w:jc w:val="left"/>
      </w:pPr>
      <w:r>
        <w:rPr>
          <w:rFonts w:ascii="Arial" w:hAnsi="Arial"/>
          <w:color w:val="525252"/>
          <w:sz w:val="13"/>
        </w:rPr>
        <w:t>Correlation Doesn’t Imply Causality.</w:t>
      </w:r>
    </w:p>
    <w:p>
      <w:pPr>
        <w:spacing w:after="20" w:line="223" w:lineRule="auto"/>
        <w:jc w:val="right"/>
        <w:bidi/>
      </w:pPr>
      <w:r>
        <w:rPr>
          <w:rFonts w:ascii="Arial" w:hAnsi="Arial"/>
          <w:sz w:val="16"/>
        </w:rPr>
        <w:t>298.22  توجه به اینکه عوامل مختلف چگونه به هم مرتبط هستند و اینکه آیا تغییر (افزایش یا کاهش) یک عامل ممکن است بر دیگران تأثیر بگذارد، مهم است.</w:t>
      </w:r>
    </w:p>
    <w:p>
      <w:pPr>
        <w:spacing w:after="28" w:line="216" w:lineRule="auto"/>
        <w:ind w:left="259"/>
        <w:jc w:val="left"/>
      </w:pPr>
      <w:r>
        <w:rPr>
          <w:rFonts w:ascii="Arial" w:hAnsi="Arial"/>
          <w:color w:val="525252"/>
          <w:sz w:val="13"/>
        </w:rPr>
        <w:t>It is important to consider how different factors are interrelated, and whether changing (increasing or decreasing) one factor may impact others.</w:t>
      </w:r>
    </w:p>
    <w:p>
      <w:pPr>
        <w:spacing w:after="20" w:line="223" w:lineRule="auto"/>
        <w:jc w:val="right"/>
        <w:bidi/>
      </w:pPr>
      <w:r>
        <w:rPr>
          <w:rFonts w:ascii="Arial" w:hAnsi="Arial"/>
          <w:sz w:val="16"/>
        </w:rPr>
        <w:t>298.23  حتی زمانی که دو عامل به وضوح با هم مرتبط هستند، بلافاصله فرض نکنید که یک عامل عامل دیگری است.</w:t>
      </w:r>
    </w:p>
    <w:p>
      <w:pPr>
        <w:spacing w:after="28" w:line="216" w:lineRule="auto"/>
        <w:ind w:left="259"/>
        <w:jc w:val="left"/>
      </w:pPr>
      <w:r>
        <w:rPr>
          <w:rFonts w:ascii="Arial" w:hAnsi="Arial"/>
          <w:color w:val="525252"/>
          <w:sz w:val="13"/>
        </w:rPr>
        <w:t>Even when two factors are clearly related, do not immediately assume that one factor is causing the other.</w:t>
      </w:r>
    </w:p>
    <w:p>
      <w:pPr>
        <w:spacing w:after="20" w:line="223" w:lineRule="auto"/>
        <w:jc w:val="right"/>
        <w:bidi/>
      </w:pPr>
      <w:r>
        <w:rPr>
          <w:rFonts w:ascii="Arial" w:hAnsi="Arial"/>
          <w:sz w:val="16"/>
        </w:rPr>
        <w:t>298.24  برای نتیجه گیری محکم، مطمئن شوید که مقایسه‌های منصفانه‌ای انجام می‌دهید.</w:t>
      </w:r>
    </w:p>
    <w:p>
      <w:pPr>
        <w:spacing w:after="28" w:line="216" w:lineRule="auto"/>
        <w:ind w:left="259"/>
        <w:jc w:val="left"/>
      </w:pPr>
      <w:r>
        <w:rPr>
          <w:rFonts w:ascii="Arial" w:hAnsi="Arial"/>
          <w:color w:val="525252"/>
          <w:sz w:val="13"/>
        </w:rPr>
        <w:t>To make firm conclusions, ensure that you are making fair comparisons.</w:t>
      </w:r>
    </w:p>
    <w:p>
      <w:pPr>
        <w:spacing w:after="20" w:line="223" w:lineRule="auto"/>
        <w:jc w:val="right"/>
        <w:bidi/>
      </w:pPr>
      <w:r>
        <w:rPr>
          <w:rFonts w:ascii="Arial" w:hAnsi="Arial"/>
          <w:sz w:val="16"/>
        </w:rPr>
        <w:t>298.25  در حالی که دنیای واقعی خود را به‌کارآزمایی‌های بالینی تصادفی دوسوکور با دقت طراحی نمی‌کند ("استاندارد طلایی" برای تحقیقات علمی)، استفاده از مفهوم گروه کنترل هنگام قضاوت مهم است.</w:t>
      </w:r>
    </w:p>
    <w:p>
      <w:pPr>
        <w:spacing w:after="28" w:line="216" w:lineRule="auto"/>
        <w:ind w:left="259"/>
        <w:jc w:val="left"/>
      </w:pPr>
      <w:r>
        <w:rPr>
          <w:rFonts w:ascii="Arial" w:hAnsi="Arial"/>
          <w:color w:val="525252"/>
          <w:sz w:val="13"/>
        </w:rPr>
        <w:t>While the real world does not lend itself to carefully designed double-blind randomized clinical trials (the “gold standard” for scientific research), it is important to apply the concept of the control group when making judgments.</w:t>
      </w:r>
    </w:p>
    <w:p>
      <w:pPr>
        <w:spacing w:after="20" w:line="223" w:lineRule="auto"/>
        <w:jc w:val="right"/>
        <w:bidi/>
      </w:pPr>
      <w:r>
        <w:rPr>
          <w:rFonts w:ascii="Arial" w:hAnsi="Arial"/>
          <w:sz w:val="16"/>
        </w:rPr>
        <w:t>298.26  قبل از اینکه دانشمندان تشخیص دهند که یک قرص باعث یک پیامد سلامتی خاص می‌شود، نتایج را برای کسانی که قرص مصرف کرده‌اند با نتایج کسانی که مصرف نکرده‌اند مقایسه می‌کنند.</w:t>
      </w:r>
    </w:p>
    <w:p>
      <w:pPr>
        <w:spacing w:after="28" w:line="216" w:lineRule="auto"/>
        <w:ind w:left="259"/>
        <w:jc w:val="left"/>
      </w:pPr>
      <w:r>
        <w:rPr>
          <w:rFonts w:ascii="Arial" w:hAnsi="Arial"/>
          <w:color w:val="525252"/>
          <w:sz w:val="13"/>
        </w:rPr>
        <w:t>Before scientists determine that a pill causes a certain health outcome, they compare outcomes for those who have taken the pill to outcomes for those who have not.</w:t>
      </w:r>
    </w:p>
    <w:p>
      <w:pPr>
        <w:spacing w:after="20" w:line="223" w:lineRule="auto"/>
        <w:jc w:val="right"/>
        <w:bidi/>
      </w:pPr>
      <w:r>
        <w:rPr>
          <w:rFonts w:ascii="Arial" w:hAnsi="Arial"/>
          <w:sz w:val="16"/>
        </w:rPr>
        <w:t>298.27  قبل از اینکه به این نتیجه برسند که قرص باعث تفاوت در نتایج شده است، یک سوال مهم می‌پرسند: آیا این دو گروه در غیر این صورت (بیشتر) یکسان هستند؟</w:t>
      </w:r>
    </w:p>
    <w:p>
      <w:pPr>
        <w:spacing w:after="28" w:line="216" w:lineRule="auto"/>
        <w:ind w:left="259"/>
        <w:jc w:val="left"/>
      </w:pPr>
      <w:r>
        <w:rPr>
          <w:rFonts w:ascii="Arial" w:hAnsi="Arial"/>
          <w:color w:val="525252"/>
          <w:sz w:val="13"/>
        </w:rPr>
        <w:t>Before concluding that the pill caused the difference in outcomes, they ask an important question: Are the two groups otherwise (mostly) the same?</w:t>
      </w:r>
    </w:p>
    <w:p>
      <w:pPr>
        <w:spacing w:after="20" w:line="223" w:lineRule="auto"/>
        <w:jc w:val="right"/>
        <w:bidi/>
      </w:pPr>
      <w:r>
        <w:rPr>
          <w:rFonts w:ascii="Arial" w:hAnsi="Arial"/>
          <w:sz w:val="16"/>
        </w:rPr>
        <w:t>298.28  به‌عنوان مثال، تصور کنید که یک پایگاه مکمل‌های XYZ را به صورت رایگان به همه اعضای رگاف ارائه می‌دهد.</w:t>
      </w:r>
    </w:p>
    <w:p>
      <w:pPr>
        <w:spacing w:after="28" w:line="216" w:lineRule="auto"/>
        <w:ind w:left="259"/>
        <w:jc w:val="left"/>
      </w:pPr>
      <w:r>
        <w:rPr>
          <w:rFonts w:ascii="Arial" w:hAnsi="Arial"/>
          <w:color w:val="525252"/>
          <w:sz w:val="13"/>
        </w:rPr>
        <w:t>For example, imagine that a base offered XYZ supplements for free to all RegAF members.</w:t>
      </w:r>
    </w:p>
    <w:p>
      <w:pPr>
        <w:spacing w:after="20" w:line="223" w:lineRule="auto"/>
        <w:jc w:val="right"/>
        <w:bidi/>
      </w:pPr>
      <w:r>
        <w:rPr>
          <w:rFonts w:ascii="Arial" w:hAnsi="Arial"/>
          <w:sz w:val="16"/>
        </w:rPr>
        <w:t>298.29  اعضایی که مکمل‌های رایگان را مصرف کردند، نمرات تست آمادگی جسمانی خود را پس از مصرف مکمل‌ها بهبود دادند، در حالی که هیچ تغییری در نمرات تست آمادگی جسمانی دیگران مشاهده نشد.</w:t>
      </w:r>
    </w:p>
    <w:p>
      <w:pPr>
        <w:spacing w:after="28" w:line="216" w:lineRule="auto"/>
        <w:ind w:left="259"/>
        <w:jc w:val="left"/>
      </w:pPr>
      <w:r>
        <w:rPr>
          <w:rFonts w:ascii="Arial" w:hAnsi="Arial"/>
          <w:color w:val="525252"/>
          <w:sz w:val="13"/>
        </w:rPr>
        <w:t>Members who took the free supplements improved their physical fitness test scores after taking the supplements, while there was no change in the physical fitness test scores of others.</w:t>
      </w:r>
    </w:p>
    <w:p>
      <w:pPr>
        <w:spacing w:after="20" w:line="223" w:lineRule="auto"/>
        <w:jc w:val="right"/>
        <w:bidi/>
      </w:pPr>
      <w:r>
        <w:rPr>
          <w:rFonts w:ascii="Arial" w:hAnsi="Arial"/>
          <w:sz w:val="16"/>
        </w:rPr>
        <w:t>298.30  قبل از اینکه نتیجه بگیرید که مکمل‌های XYZ باعث بهبود آمادگی جسمانی می‌شوند، چند سوال بپرسید.</w:t>
      </w:r>
    </w:p>
    <w:p>
      <w:pPr>
        <w:spacing w:after="28" w:line="216" w:lineRule="auto"/>
        <w:ind w:left="259"/>
        <w:jc w:val="left"/>
      </w:pPr>
      <w:r>
        <w:rPr>
          <w:rFonts w:ascii="Arial" w:hAnsi="Arial"/>
          <w:color w:val="525252"/>
          <w:sz w:val="13"/>
        </w:rPr>
        <w:t>Before you conclude that XYZ supplements cause improved physical fitness, ask some questions.</w:t>
      </w:r>
    </w:p>
    <w:p>
      <w:pPr>
        <w:spacing w:after="20" w:line="223" w:lineRule="auto"/>
        <w:jc w:val="right"/>
        <w:bidi/>
      </w:pPr>
      <w:r>
        <w:rPr>
          <w:rFonts w:ascii="Arial" w:hAnsi="Arial"/>
          <w:sz w:val="16"/>
        </w:rPr>
        <w:t>298.31  در نظر بگیرید که آیا افرادی که مکمل XYZ مصرف می‌کردند از نظر مهم با افرادی که مکمل XYZ مصرف نمی‌کردند تفاوت داشتند یا خیر.</w:t>
      </w:r>
    </w:p>
    <w:p>
      <w:pPr>
        <w:spacing w:after="28" w:line="216" w:lineRule="auto"/>
        <w:ind w:left="259"/>
        <w:jc w:val="left"/>
      </w:pPr>
      <w:r>
        <w:rPr>
          <w:rFonts w:ascii="Arial" w:hAnsi="Arial"/>
          <w:color w:val="525252"/>
          <w:sz w:val="13"/>
        </w:rPr>
        <w:t>Consider whether the people who took XYZ supplements differed in important ways from those who didn’t.</w:t>
      </w:r>
    </w:p>
    <w:p>
      <w:pPr>
        <w:spacing w:after="20" w:line="223" w:lineRule="auto"/>
        <w:jc w:val="right"/>
        <w:bidi/>
      </w:pPr>
      <w:r>
        <w:rPr>
          <w:rFonts w:ascii="Arial" w:hAnsi="Arial"/>
          <w:sz w:val="16"/>
        </w:rPr>
        <w:t>298.32  شاید یک سوگیری در انتخاب خود وجود داشته باشد: اعضایی که بیشتر ورزش می‌کردند یا غذاهای سالم‌تری می‌خوردند (یعنی انگیزه بیشتری برای بهبود تناسب اندام خود داشتند) احتمال بیشتری داشت که ویتامین XYZ را انتخاب کنند.</w:t>
      </w:r>
    </w:p>
    <w:p>
      <w:pPr>
        <w:spacing w:after="28" w:line="216" w:lineRule="auto"/>
        <w:ind w:left="259"/>
        <w:jc w:val="left"/>
      </w:pPr>
      <w:r>
        <w:rPr>
          <w:rFonts w:ascii="Arial" w:hAnsi="Arial"/>
          <w:color w:val="525252"/>
          <w:sz w:val="13"/>
        </w:rPr>
        <w:t>Maybe there was a self-selection bias: members who exercised more or ate healthier foods (i.e., were more motivated to improve their fitness) were more likely to choose to take Vitamin XYZ.</w:t>
      </w:r>
    </w:p>
    <w:p>
      <w:pPr>
        <w:spacing w:after="20" w:line="223" w:lineRule="auto"/>
        <w:jc w:val="right"/>
        <w:bidi/>
      </w:pPr>
      <w:r>
        <w:rPr>
          <w:rFonts w:ascii="Arial" w:hAnsi="Arial"/>
          <w:sz w:val="16"/>
        </w:rPr>
        <w:t>298.33  یا شاید مصرف کنندگان ویتامین XYZ جوان‌تر از افرادی بودند که مصرف نمی‌کردند، یا احتمال کمتری داشت</w:t>
      </w:r>
    </w:p>
    <w:p>
      <w:pPr>
        <w:spacing w:after="28" w:line="216" w:lineRule="auto"/>
        <w:ind w:left="259"/>
        <w:jc w:val="left"/>
      </w:pPr>
      <w:r>
        <w:rPr>
          <w:rFonts w:ascii="Arial" w:hAnsi="Arial"/>
          <w:color w:val="525252"/>
          <w:sz w:val="13"/>
        </w:rPr>
        <w:t>Or maybe Vitamin XYZ takers were younger than non-takers, or less likely than</w:t>
      </w:r>
    </w:p>
    <w:p>
      <w:r>
        <w:br w:type="page"/>
      </w:r>
    </w:p>
    <w:p>
      <w:pPr>
        <w:spacing w:after="60"/>
        <w:jc w:val="right"/>
        <w:bidi/>
      </w:pPr>
      <w:r>
        <w:rPr>
          <w:rFonts w:ascii="Arial" w:hAnsi="Arial"/>
          <w:b/>
          <w:color w:val="1F4D78"/>
          <w:sz w:val="19"/>
        </w:rPr>
        <w:t>هفتهٔ 299  |  صفحهٔ منبع: 315</w:t>
      </w:r>
    </w:p>
    <w:p>
      <w:pPr>
        <w:spacing w:after="20" w:line="223" w:lineRule="auto"/>
        <w:jc w:val="right"/>
        <w:bidi/>
      </w:pPr>
      <w:r>
        <w:rPr>
          <w:rFonts w:ascii="Arial" w:hAnsi="Arial"/>
          <w:sz w:val="16"/>
        </w:rPr>
        <w:t>299.01  افرادی که نمی‌گیرند شرایط سلامتی از قبل موجود داشته باشند.</w:t>
      </w:r>
    </w:p>
    <w:p>
      <w:pPr>
        <w:spacing w:after="28" w:line="216" w:lineRule="auto"/>
        <w:ind w:left="259"/>
        <w:jc w:val="left"/>
      </w:pPr>
      <w:r>
        <w:rPr>
          <w:rFonts w:ascii="Arial" w:hAnsi="Arial"/>
          <w:color w:val="525252"/>
          <w:sz w:val="13"/>
        </w:rPr>
        <w:t>non-takers to have pre-existing health conditions.</w:t>
      </w:r>
    </w:p>
    <w:p>
      <w:pPr>
        <w:spacing w:after="20" w:line="223" w:lineRule="auto"/>
        <w:jc w:val="right"/>
        <w:bidi/>
      </w:pPr>
      <w:r>
        <w:rPr>
          <w:rFonts w:ascii="Arial" w:hAnsi="Arial"/>
          <w:sz w:val="16"/>
        </w:rPr>
        <w:t>299.02  هر چه دو گروه شبیه‌تر باشند، منطقی‌تر می‌توان نتیجه گرفت که مکمل‌های XYZ باعث بهبود آمادگی جسمانی می‌شوند.</w:t>
      </w:r>
    </w:p>
    <w:p>
      <w:pPr>
        <w:spacing w:after="28" w:line="216" w:lineRule="auto"/>
        <w:ind w:left="259"/>
        <w:jc w:val="left"/>
      </w:pPr>
      <w:r>
        <w:rPr>
          <w:rFonts w:ascii="Arial" w:hAnsi="Arial"/>
          <w:color w:val="525252"/>
          <w:sz w:val="13"/>
        </w:rPr>
        <w:t>The more similar the two groups, the more reasonable it would be to conclude that XYZ supplements cause improved physical fitness.</w:t>
      </w:r>
    </w:p>
    <w:p>
      <w:pPr>
        <w:spacing w:after="20" w:line="223" w:lineRule="auto"/>
        <w:jc w:val="right"/>
        <w:bidi/>
      </w:pPr>
      <w:r>
        <w:rPr>
          <w:rFonts w:ascii="Arial" w:hAnsi="Arial"/>
          <w:sz w:val="16"/>
        </w:rPr>
        <w:t>299.03  تصمیم به مصرف مکمل‌های XYZ ممکن است ایده خوبی باشد یا نباشد.</w:t>
      </w:r>
    </w:p>
    <w:p>
      <w:pPr>
        <w:spacing w:after="28" w:line="216" w:lineRule="auto"/>
        <w:ind w:left="259"/>
        <w:jc w:val="left"/>
      </w:pPr>
      <w:r>
        <w:rPr>
          <w:rFonts w:ascii="Arial" w:hAnsi="Arial"/>
          <w:color w:val="525252"/>
          <w:sz w:val="13"/>
        </w:rPr>
        <w:t>Deciding to take XYZ supplements may or may not be a good idea.</w:t>
      </w:r>
    </w:p>
    <w:p>
      <w:pPr>
        <w:spacing w:after="20" w:line="223" w:lineRule="auto"/>
        <w:jc w:val="right"/>
        <w:bidi/>
      </w:pPr>
      <w:r>
        <w:rPr>
          <w:rFonts w:ascii="Arial" w:hAnsi="Arial"/>
          <w:sz w:val="16"/>
        </w:rPr>
        <w:t>299.04  اما قبل از اینکه چنین تصمیمی بگیرید، در نظر بگیرید که آیا مقایسه منصفانه‌ای انجام می‌دهید یا خیر.</w:t>
      </w:r>
    </w:p>
    <w:p>
      <w:pPr>
        <w:spacing w:after="28" w:line="216" w:lineRule="auto"/>
        <w:ind w:left="259"/>
        <w:jc w:val="left"/>
      </w:pPr>
      <w:r>
        <w:rPr>
          <w:rFonts w:ascii="Arial" w:hAnsi="Arial"/>
          <w:color w:val="525252"/>
          <w:sz w:val="13"/>
        </w:rPr>
        <w:t>Before you make that decision though, consider whether you’re making a fair comparison.</w:t>
      </w:r>
    </w:p>
    <w:p>
      <w:pPr>
        <w:spacing w:before="60" w:after="28"/>
        <w:jc w:val="right"/>
        <w:bidi/>
      </w:pPr>
      <w:r>
        <w:rPr>
          <w:b/>
          <w:color w:val="1F4D78"/>
          <w:sz w:val="18"/>
        </w:rPr>
        <w:t>16.18. تفکر خلاق و حل خلاقانه مسئله</w:t>
      </w:r>
    </w:p>
    <w:p>
      <w:pPr>
        <w:spacing w:after="20"/>
        <w:ind w:left="259"/>
        <w:jc w:val="left"/>
      </w:pPr>
      <w:r>
        <w:rPr>
          <w:color w:val="555555"/>
          <w:sz w:val="12"/>
        </w:rPr>
        <w:t>16.18. Creative Thinking and Creative Problem Solving</w:t>
      </w:r>
    </w:p>
    <w:p>
      <w:pPr>
        <w:spacing w:after="20" w:line="223" w:lineRule="auto"/>
        <w:jc w:val="right"/>
        <w:bidi/>
      </w:pPr>
      <w:r>
        <w:rPr>
          <w:rFonts w:ascii="Arial" w:hAnsi="Arial"/>
          <w:sz w:val="16"/>
        </w:rPr>
        <w:t>299.06  حل خلاقانه مسئله شامل دو جزء متمایز است: تفکر واگرا و تفکر همگرا.</w:t>
      </w:r>
    </w:p>
    <w:p>
      <w:pPr>
        <w:spacing w:after="28" w:line="216" w:lineRule="auto"/>
        <w:ind w:left="259"/>
        <w:jc w:val="left"/>
      </w:pPr>
      <w:r>
        <w:rPr>
          <w:rFonts w:ascii="Arial" w:hAnsi="Arial"/>
          <w:color w:val="525252"/>
          <w:sz w:val="13"/>
        </w:rPr>
        <w:t>Creative problem solving involves two distinct components: Divergent Thinking and Convergent Thinking.</w:t>
      </w:r>
    </w:p>
    <w:p>
      <w:pPr>
        <w:spacing w:after="20" w:line="223" w:lineRule="auto"/>
        <w:jc w:val="right"/>
        <w:bidi/>
      </w:pPr>
      <w:r>
        <w:rPr>
          <w:rFonts w:ascii="Arial" w:hAnsi="Arial"/>
          <w:sz w:val="16"/>
        </w:rPr>
        <w:t>299.07  تفکر واگرا به‌عنوان توانایی ایجاد چندین راه حل متنوع برای یک مسئله معین تعریف می‌شود.</w:t>
      </w:r>
    </w:p>
    <w:p>
      <w:pPr>
        <w:spacing w:after="28" w:line="216" w:lineRule="auto"/>
        <w:ind w:left="259"/>
        <w:jc w:val="left"/>
      </w:pPr>
      <w:r>
        <w:rPr>
          <w:rFonts w:ascii="Arial" w:hAnsi="Arial"/>
          <w:color w:val="525252"/>
          <w:sz w:val="13"/>
        </w:rPr>
        <w:t>Divergent Thinking is defined as the ability to generate multiple varied solutions to a given problem.</w:t>
      </w:r>
    </w:p>
    <w:p>
      <w:pPr>
        <w:spacing w:after="20" w:line="223" w:lineRule="auto"/>
        <w:jc w:val="right"/>
        <w:bidi/>
      </w:pPr>
      <w:r>
        <w:rPr>
          <w:rFonts w:ascii="Arial" w:hAnsi="Arial"/>
          <w:sz w:val="16"/>
        </w:rPr>
        <w:t>299.08  طوفان فکری یک کار تفکر واگرا است.</w:t>
      </w:r>
    </w:p>
    <w:p>
      <w:pPr>
        <w:spacing w:after="28" w:line="216" w:lineRule="auto"/>
        <w:ind w:left="259"/>
        <w:jc w:val="left"/>
      </w:pPr>
      <w:r>
        <w:rPr>
          <w:rFonts w:ascii="Arial" w:hAnsi="Arial"/>
          <w:color w:val="525252"/>
          <w:sz w:val="13"/>
        </w:rPr>
        <w:t>Brainstorming is a divergent thinking task.</w:t>
      </w:r>
    </w:p>
    <w:p>
      <w:pPr>
        <w:spacing w:after="20" w:line="223" w:lineRule="auto"/>
        <w:jc w:val="right"/>
        <w:bidi/>
      </w:pPr>
      <w:r>
        <w:rPr>
          <w:rFonts w:ascii="Arial" w:hAnsi="Arial"/>
          <w:sz w:val="16"/>
        </w:rPr>
        <w:t>299.09  تفکر همگرا، در مقابل، فرآیندی است که به دنبال راه‌حل صحیح یا بهترین راه‌حل ممکن (از بین احتمالات شناسایی شده) است.</w:t>
      </w:r>
    </w:p>
    <w:p>
      <w:pPr>
        <w:spacing w:after="28" w:line="216" w:lineRule="auto"/>
        <w:ind w:left="259"/>
        <w:jc w:val="left"/>
      </w:pPr>
      <w:r>
        <w:rPr>
          <w:rFonts w:ascii="Arial" w:hAnsi="Arial"/>
          <w:color w:val="525252"/>
          <w:sz w:val="13"/>
        </w:rPr>
        <w:t>Convergent Thinking, in contrast, is a process that seeks out the correct or best possible solution (from identified possibilities).</w:t>
      </w:r>
    </w:p>
    <w:p>
      <w:pPr>
        <w:spacing w:after="20" w:line="223" w:lineRule="auto"/>
        <w:jc w:val="right"/>
        <w:bidi/>
      </w:pPr>
      <w:r>
        <w:rPr>
          <w:rFonts w:ascii="Arial" w:hAnsi="Arial"/>
          <w:sz w:val="16"/>
        </w:rPr>
        <w:t>299.10  با آموزش و آموزش رسمی، ما تمایل به بهبود مهارت‌های تفکر همگرا داریم، اما تمایل به بهبود (حتی ممکن است بدتر) در تفکر واگرا نداریم.</w:t>
      </w:r>
    </w:p>
    <w:p>
      <w:pPr>
        <w:spacing w:after="28" w:line="216" w:lineRule="auto"/>
        <w:ind w:left="259"/>
        <w:jc w:val="left"/>
      </w:pPr>
      <w:r>
        <w:rPr>
          <w:rFonts w:ascii="Arial" w:hAnsi="Arial"/>
          <w:color w:val="525252"/>
          <w:sz w:val="13"/>
        </w:rPr>
        <w:t>With formal education and training, we tend to improve in Convergent Thinking skills, but we tend not to improve (may even worsen) on Divergent Thinking.</w:t>
      </w:r>
    </w:p>
    <w:p>
      <w:pPr>
        <w:spacing w:after="20" w:line="223" w:lineRule="auto"/>
        <w:jc w:val="right"/>
        <w:bidi/>
      </w:pPr>
      <w:r>
        <w:rPr>
          <w:rFonts w:ascii="Arial" w:hAnsi="Arial"/>
          <w:sz w:val="16"/>
        </w:rPr>
        <w:t>299.11  با این حال هر دو فرآیند برای حل مؤثر مشکل مهم هستند.</w:t>
      </w:r>
    </w:p>
    <w:p>
      <w:pPr>
        <w:spacing w:after="28" w:line="216" w:lineRule="auto"/>
        <w:ind w:left="259"/>
        <w:jc w:val="left"/>
      </w:pPr>
      <w:r>
        <w:rPr>
          <w:rFonts w:ascii="Arial" w:hAnsi="Arial"/>
          <w:color w:val="525252"/>
          <w:sz w:val="13"/>
        </w:rPr>
        <w:t>Yet both processes are important for effective problem solving.</w:t>
      </w:r>
    </w:p>
    <w:p>
      <w:pPr>
        <w:spacing w:after="20" w:line="223" w:lineRule="auto"/>
        <w:jc w:val="right"/>
        <w:bidi/>
      </w:pPr>
      <w:r>
        <w:rPr>
          <w:rFonts w:ascii="Arial" w:hAnsi="Arial"/>
          <w:sz w:val="16"/>
        </w:rPr>
        <w:t>299.12  مدل آزبورن-پارنز یکی از رویکردهای توصیه شده برای حل مسئله است که تفکر واگرا و همگرا را در بر می‌گیرد.</w:t>
      </w:r>
    </w:p>
    <w:p>
      <w:pPr>
        <w:spacing w:after="28" w:line="216" w:lineRule="auto"/>
        <w:ind w:left="259"/>
        <w:jc w:val="left"/>
      </w:pPr>
      <w:r>
        <w:rPr>
          <w:rFonts w:ascii="Arial" w:hAnsi="Arial"/>
          <w:color w:val="525252"/>
          <w:sz w:val="13"/>
        </w:rPr>
        <w:t>The Osborn-Parnes model is one recommended problem solving approach that incorporates Divergent and Convergent Thinking.</w:t>
      </w:r>
    </w:p>
    <w:p>
      <w:pPr>
        <w:spacing w:after="20" w:line="223" w:lineRule="auto"/>
        <w:jc w:val="right"/>
        <w:bidi/>
      </w:pPr>
      <w:r>
        <w:rPr>
          <w:rFonts w:ascii="Arial" w:hAnsi="Arial"/>
          <w:sz w:val="16"/>
        </w:rPr>
        <w:t>299.13  محور اصلی این رویکرد، اصل قضاوت معوق است.</w:t>
      </w:r>
    </w:p>
    <w:p>
      <w:pPr>
        <w:spacing w:after="28" w:line="216" w:lineRule="auto"/>
        <w:ind w:left="259"/>
        <w:jc w:val="left"/>
      </w:pPr>
      <w:r>
        <w:rPr>
          <w:rFonts w:ascii="Arial" w:hAnsi="Arial"/>
          <w:color w:val="525252"/>
          <w:sz w:val="13"/>
        </w:rPr>
        <w:t>Central to this approach is the principle of deferred judgment.</w:t>
      </w:r>
    </w:p>
    <w:p>
      <w:pPr>
        <w:spacing w:after="20" w:line="223" w:lineRule="auto"/>
        <w:jc w:val="right"/>
        <w:bidi/>
      </w:pPr>
      <w:r>
        <w:rPr>
          <w:rFonts w:ascii="Arial" w:hAnsi="Arial"/>
          <w:sz w:val="16"/>
        </w:rPr>
        <w:t>299.14  این اصل مستلزم آن است که ما به مدت زمانی اجازه دهیم تا ایده‌ها آزادانه جریان پیدا کنند (تفکر واگرا) بدون ارزیابی داخلی یا خارجی.</w:t>
      </w:r>
    </w:p>
    <w:p>
      <w:pPr>
        <w:spacing w:after="28" w:line="216" w:lineRule="auto"/>
        <w:ind w:left="259"/>
        <w:jc w:val="left"/>
      </w:pPr>
      <w:r>
        <w:rPr>
          <w:rFonts w:ascii="Arial" w:hAnsi="Arial"/>
          <w:color w:val="525252"/>
          <w:sz w:val="13"/>
        </w:rPr>
        <w:t>This principle requires that we allow a period of time to let ideas flow freely (apply Divergent Thinking) without internal or external evaluation.</w:t>
      </w:r>
    </w:p>
    <w:p>
      <w:pPr>
        <w:spacing w:after="20" w:line="223" w:lineRule="auto"/>
        <w:jc w:val="right"/>
        <w:bidi/>
      </w:pPr>
      <w:r>
        <w:rPr>
          <w:rFonts w:ascii="Arial" w:hAnsi="Arial"/>
          <w:sz w:val="16"/>
        </w:rPr>
        <w:t>299.15  فقط پس از اینکه بسیاری از ایده‌های ممکن را شناسایی کردیم، باید آنها را ارزیابی کنیم (تفکر همگرا را اعمال کنیم).</w:t>
      </w:r>
    </w:p>
    <w:p>
      <w:pPr>
        <w:spacing w:after="28" w:line="216" w:lineRule="auto"/>
        <w:ind w:left="259"/>
        <w:jc w:val="left"/>
      </w:pPr>
      <w:r>
        <w:rPr>
          <w:rFonts w:ascii="Arial" w:hAnsi="Arial"/>
          <w:color w:val="525252"/>
          <w:sz w:val="13"/>
        </w:rPr>
        <w:t>Only after we have identified many possible ideas, should we evaluate them (apply Convergent Thinking).</w:t>
      </w:r>
    </w:p>
    <w:p>
      <w:pPr>
        <w:spacing w:after="20" w:line="223" w:lineRule="auto"/>
        <w:jc w:val="right"/>
        <w:bidi/>
      </w:pPr>
      <w:r>
        <w:rPr>
          <w:rFonts w:ascii="Arial" w:hAnsi="Arial"/>
          <w:sz w:val="16"/>
        </w:rPr>
        <w:t>299.16  این مدل از مراحل زیر تشکیل شده است: هر مرحله شامل وظایف متوالی تفکر واگرا و همگرا (در هر مرحله، اجازه دادن آزادانه به ایده‌ها قبل از اعمال قضاوت) است: ۱.</w:t>
      </w:r>
    </w:p>
    <w:p>
      <w:pPr>
        <w:spacing w:after="28" w:line="216" w:lineRule="auto"/>
        <w:ind w:left="259"/>
        <w:jc w:val="left"/>
      </w:pPr>
      <w:r>
        <w:rPr>
          <w:rFonts w:ascii="Arial" w:hAnsi="Arial"/>
          <w:color w:val="525252"/>
          <w:sz w:val="13"/>
        </w:rPr>
        <w:t>The model consists of the following stages: each stage involves successive Divergent and Convergent Thinking tasks (in each stage, letting ideas flow freely before applying judgment): 1.</w:t>
      </w:r>
    </w:p>
    <w:p>
      <w:pPr>
        <w:spacing w:after="20" w:line="223" w:lineRule="auto"/>
        <w:jc w:val="right"/>
        <w:bidi/>
      </w:pPr>
      <w:r>
        <w:rPr>
          <w:rFonts w:ascii="Arial" w:hAnsi="Arial"/>
          <w:sz w:val="16"/>
        </w:rPr>
        <w:t>299.17  آشفتگی پیدا کردن.</w:t>
      </w:r>
    </w:p>
    <w:p>
      <w:pPr>
        <w:spacing w:after="28" w:line="216" w:lineRule="auto"/>
        <w:ind w:left="259"/>
        <w:jc w:val="left"/>
      </w:pPr>
      <w:r>
        <w:rPr>
          <w:rFonts w:ascii="Arial" w:hAnsi="Arial"/>
          <w:color w:val="525252"/>
          <w:sz w:val="13"/>
        </w:rPr>
        <w:t>Mess Finding.</w:t>
      </w:r>
    </w:p>
    <w:p>
      <w:pPr>
        <w:spacing w:after="20" w:line="223" w:lineRule="auto"/>
        <w:jc w:val="right"/>
        <w:bidi/>
      </w:pPr>
      <w:r>
        <w:rPr>
          <w:rFonts w:ascii="Arial" w:hAnsi="Arial"/>
          <w:sz w:val="16"/>
        </w:rPr>
        <w:t>299.18  مشکلی را که می‌خواهید به آن رسیدگی کنید، شناسایی کنید.</w:t>
      </w:r>
    </w:p>
    <w:p>
      <w:pPr>
        <w:spacing w:after="28" w:line="216" w:lineRule="auto"/>
        <w:ind w:left="259"/>
        <w:jc w:val="left"/>
      </w:pPr>
      <w:r>
        <w:rPr>
          <w:rFonts w:ascii="Arial" w:hAnsi="Arial"/>
          <w:color w:val="525252"/>
          <w:sz w:val="13"/>
        </w:rPr>
        <w:t>Identify the problem that you want to address.</w:t>
      </w:r>
    </w:p>
    <w:p>
      <w:pPr>
        <w:spacing w:after="20" w:line="223" w:lineRule="auto"/>
        <w:jc w:val="right"/>
        <w:bidi/>
      </w:pPr>
      <w:r>
        <w:rPr>
          <w:rFonts w:ascii="Arial" w:hAnsi="Arial"/>
          <w:sz w:val="16"/>
        </w:rPr>
        <w:t>299.19  چه چیزی را می‌خواهید تغییر دهید؟</w:t>
      </w:r>
    </w:p>
    <w:p>
      <w:pPr>
        <w:spacing w:after="28" w:line="216" w:lineRule="auto"/>
        <w:ind w:left="259"/>
        <w:jc w:val="left"/>
      </w:pPr>
      <w:r>
        <w:rPr>
          <w:rFonts w:ascii="Arial" w:hAnsi="Arial"/>
          <w:color w:val="525252"/>
          <w:sz w:val="13"/>
        </w:rPr>
        <w:t>What do you want to change?</w:t>
      </w:r>
    </w:p>
    <w:p>
      <w:pPr>
        <w:spacing w:after="20" w:line="223" w:lineRule="auto"/>
        <w:jc w:val="right"/>
        <w:bidi/>
      </w:pPr>
      <w:r>
        <w:rPr>
          <w:rFonts w:ascii="Arial" w:hAnsi="Arial"/>
          <w:sz w:val="16"/>
        </w:rPr>
        <w:t>299.20  مشکل را به‌عنوان یک عبارت «چگونه…» خلاصه کنید (به‌عنوان مثال، «چگونه تعداد مسافرانی را که در حال تماس بیمار هستند کاهش دهیم») ۲.</w:t>
      </w:r>
    </w:p>
    <w:p>
      <w:pPr>
        <w:spacing w:after="28" w:line="216" w:lineRule="auto"/>
        <w:ind w:left="259"/>
        <w:jc w:val="left"/>
      </w:pPr>
      <w:r>
        <w:rPr>
          <w:rFonts w:ascii="Arial" w:hAnsi="Arial"/>
          <w:color w:val="525252"/>
          <w:sz w:val="13"/>
        </w:rPr>
        <w:t>Summarize the problem as a “How to…” statement (e.g., “How to reduce the number of Airmen calling in sick”) 2.</w:t>
      </w:r>
    </w:p>
    <w:p>
      <w:pPr>
        <w:spacing w:after="20" w:line="223" w:lineRule="auto"/>
        <w:jc w:val="right"/>
        <w:bidi/>
      </w:pPr>
      <w:r>
        <w:rPr>
          <w:rFonts w:ascii="Arial" w:hAnsi="Arial"/>
          <w:sz w:val="16"/>
        </w:rPr>
        <w:t>299.21  داده یابی.</w:t>
      </w:r>
    </w:p>
    <w:p>
      <w:pPr>
        <w:spacing w:after="28" w:line="216" w:lineRule="auto"/>
        <w:ind w:left="259"/>
        <w:jc w:val="left"/>
      </w:pPr>
      <w:r>
        <w:rPr>
          <w:rFonts w:ascii="Arial" w:hAnsi="Arial"/>
          <w:color w:val="525252"/>
          <w:sz w:val="13"/>
        </w:rPr>
        <w:t>Data Finding.</w:t>
      </w:r>
    </w:p>
    <w:p>
      <w:pPr>
        <w:spacing w:after="20" w:line="223" w:lineRule="auto"/>
        <w:jc w:val="right"/>
        <w:bidi/>
      </w:pPr>
      <w:r>
        <w:rPr>
          <w:rFonts w:ascii="Arial" w:hAnsi="Arial"/>
          <w:sz w:val="16"/>
        </w:rPr>
        <w:t>299.22  تمام حقایق مربوطه را که در مورد موقعیت صدق می‌کند، جستجو کنید.</w:t>
      </w:r>
    </w:p>
    <w:p>
      <w:pPr>
        <w:spacing w:after="28" w:line="216" w:lineRule="auto"/>
        <w:ind w:left="259"/>
        <w:jc w:val="left"/>
      </w:pPr>
      <w:r>
        <w:rPr>
          <w:rFonts w:ascii="Arial" w:hAnsi="Arial"/>
          <w:color w:val="525252"/>
          <w:sz w:val="13"/>
        </w:rPr>
        <w:t>Seek out all relevant facts that apply to the situation.</w:t>
      </w:r>
    </w:p>
    <w:p>
      <w:pPr>
        <w:spacing w:after="20" w:line="223" w:lineRule="auto"/>
        <w:jc w:val="right"/>
        <w:bidi/>
      </w:pPr>
      <w:r>
        <w:rPr>
          <w:rFonts w:ascii="Arial" w:hAnsi="Arial"/>
          <w:sz w:val="16"/>
        </w:rPr>
        <w:t>299.23  از پنج نفر بپرسید: چه کسی درگیر است؟</w:t>
      </w:r>
    </w:p>
    <w:p>
      <w:pPr>
        <w:spacing w:after="28" w:line="216" w:lineRule="auto"/>
        <w:ind w:left="259"/>
        <w:jc w:val="left"/>
      </w:pPr>
      <w:r>
        <w:rPr>
          <w:rFonts w:ascii="Arial" w:hAnsi="Arial"/>
          <w:color w:val="525252"/>
          <w:sz w:val="13"/>
        </w:rPr>
        <w:t>Ask the five Ws: Who is involved?</w:t>
      </w:r>
    </w:p>
    <w:p>
      <w:pPr>
        <w:spacing w:after="20" w:line="223" w:lineRule="auto"/>
        <w:jc w:val="right"/>
        <w:bidi/>
      </w:pPr>
      <w:r>
        <w:rPr>
          <w:rFonts w:ascii="Arial" w:hAnsi="Arial"/>
          <w:sz w:val="16"/>
        </w:rPr>
        <w:t>299.24  شامل چه چیزی است؟</w:t>
      </w:r>
    </w:p>
    <w:p>
      <w:pPr>
        <w:spacing w:after="28" w:line="216" w:lineRule="auto"/>
        <w:ind w:left="259"/>
        <w:jc w:val="left"/>
      </w:pPr>
      <w:r>
        <w:rPr>
          <w:rFonts w:ascii="Arial" w:hAnsi="Arial"/>
          <w:color w:val="525252"/>
          <w:sz w:val="13"/>
        </w:rPr>
        <w:t>What is involved?</w:t>
      </w:r>
    </w:p>
    <w:p>
      <w:pPr>
        <w:spacing w:after="20" w:line="223" w:lineRule="auto"/>
        <w:jc w:val="right"/>
        <w:bidi/>
      </w:pPr>
      <w:r>
        <w:rPr>
          <w:rFonts w:ascii="Arial" w:hAnsi="Arial"/>
          <w:sz w:val="16"/>
        </w:rPr>
        <w:t>299.25  چند نمونه از مشکل چیست؟</w:t>
      </w:r>
    </w:p>
    <w:p>
      <w:pPr>
        <w:spacing w:after="28" w:line="216" w:lineRule="auto"/>
        <w:ind w:left="259"/>
        <w:jc w:val="left"/>
      </w:pPr>
      <w:r>
        <w:rPr>
          <w:rFonts w:ascii="Arial" w:hAnsi="Arial"/>
          <w:color w:val="525252"/>
          <w:sz w:val="13"/>
        </w:rPr>
        <w:t>What are some examples of the problem?</w:t>
      </w:r>
    </w:p>
    <w:p>
      <w:pPr>
        <w:spacing w:after="20" w:line="223" w:lineRule="auto"/>
        <w:jc w:val="right"/>
        <w:bidi/>
      </w:pPr>
      <w:r>
        <w:rPr>
          <w:rFonts w:ascii="Arial" w:hAnsi="Arial"/>
          <w:sz w:val="16"/>
        </w:rPr>
        <w:t>299.26  چه زمانی اتفاق می‌افتد یا اتفاق خواهد افتاد؟</w:t>
      </w:r>
    </w:p>
    <w:p>
      <w:pPr>
        <w:spacing w:after="28" w:line="216" w:lineRule="auto"/>
        <w:ind w:left="259"/>
        <w:jc w:val="left"/>
      </w:pPr>
      <w:r>
        <w:rPr>
          <w:rFonts w:ascii="Arial" w:hAnsi="Arial"/>
          <w:color w:val="525252"/>
          <w:sz w:val="13"/>
        </w:rPr>
        <w:t>When does it or will it happen?</w:t>
      </w:r>
    </w:p>
    <w:p>
      <w:pPr>
        <w:spacing w:after="20" w:line="223" w:lineRule="auto"/>
        <w:jc w:val="right"/>
        <w:bidi/>
      </w:pPr>
      <w:r>
        <w:rPr>
          <w:rFonts w:ascii="Arial" w:hAnsi="Arial"/>
          <w:sz w:val="16"/>
        </w:rPr>
        <w:t>299.27  کجا اتفاق می‌افتد یا خواهد افتاد؟</w:t>
      </w:r>
    </w:p>
    <w:p>
      <w:pPr>
        <w:spacing w:after="28" w:line="216" w:lineRule="auto"/>
        <w:ind w:left="259"/>
        <w:jc w:val="left"/>
      </w:pPr>
      <w:r>
        <w:rPr>
          <w:rFonts w:ascii="Arial" w:hAnsi="Arial"/>
          <w:color w:val="525252"/>
          <w:sz w:val="13"/>
        </w:rPr>
        <w:t>Where does it or will it happen?</w:t>
      </w:r>
    </w:p>
    <w:p>
      <w:pPr>
        <w:spacing w:after="20" w:line="223" w:lineRule="auto"/>
        <w:jc w:val="right"/>
        <w:bidi/>
      </w:pPr>
      <w:r>
        <w:rPr>
          <w:rFonts w:ascii="Arial" w:hAnsi="Arial"/>
          <w:sz w:val="16"/>
        </w:rPr>
        <w:t>299.28  چرا این اتفاق می‌افتد؟</w:t>
      </w:r>
    </w:p>
    <w:p>
      <w:pPr>
        <w:spacing w:after="28" w:line="216" w:lineRule="auto"/>
        <w:ind w:left="259"/>
        <w:jc w:val="left"/>
      </w:pPr>
      <w:r>
        <w:rPr>
          <w:rFonts w:ascii="Arial" w:hAnsi="Arial"/>
          <w:color w:val="525252"/>
          <w:sz w:val="13"/>
        </w:rPr>
        <w:t>Why does it happen?</w:t>
      </w:r>
    </w:p>
    <w:p>
      <w:pPr>
        <w:spacing w:after="20" w:line="223" w:lineRule="auto"/>
        <w:jc w:val="right"/>
        <w:bidi/>
      </w:pPr>
      <w:r>
        <w:rPr>
          <w:rFonts w:ascii="Arial" w:hAnsi="Arial"/>
          <w:sz w:val="16"/>
        </w:rPr>
        <w:t>299.29  سپس سعی کنید مشخص کنید که چه حقایق اضافی در مورد موقعیت وجود ندارد و کجا می‌توانید آنها را جستجو کنید.</w:t>
      </w:r>
    </w:p>
    <w:p>
      <w:pPr>
        <w:spacing w:after="28" w:line="216" w:lineRule="auto"/>
        <w:ind w:left="259"/>
        <w:jc w:val="left"/>
      </w:pPr>
      <w:r>
        <w:rPr>
          <w:rFonts w:ascii="Arial" w:hAnsi="Arial"/>
          <w:color w:val="525252"/>
          <w:sz w:val="13"/>
        </w:rPr>
        <w:t>Then try to identify what additional facts about the situation are lacking and where you might search for them.</w:t>
      </w:r>
    </w:p>
    <w:p>
      <w:pPr>
        <w:spacing w:after="20" w:line="223" w:lineRule="auto"/>
        <w:jc w:val="right"/>
        <w:bidi/>
      </w:pPr>
      <w:r>
        <w:rPr>
          <w:rFonts w:ascii="Arial" w:hAnsi="Arial"/>
          <w:sz w:val="16"/>
        </w:rPr>
        <w:t>299.30  حقایق را دریافت کنید.</w:t>
      </w:r>
    </w:p>
    <w:p>
      <w:pPr>
        <w:spacing w:after="28" w:line="216" w:lineRule="auto"/>
        <w:ind w:left="259"/>
        <w:jc w:val="left"/>
      </w:pPr>
      <w:r>
        <w:rPr>
          <w:rFonts w:ascii="Arial" w:hAnsi="Arial"/>
          <w:color w:val="525252"/>
          <w:sz w:val="13"/>
        </w:rPr>
        <w:t>Get the facts.</w:t>
      </w:r>
    </w:p>
    <w:p>
      <w:pPr>
        <w:spacing w:after="20" w:line="223" w:lineRule="auto"/>
        <w:jc w:val="right"/>
        <w:bidi/>
      </w:pPr>
      <w:r>
        <w:rPr>
          <w:rFonts w:ascii="Arial" w:hAnsi="Arial"/>
          <w:sz w:val="16"/>
        </w:rPr>
        <w:t>299.31  مشکل یابی.</w:t>
      </w:r>
    </w:p>
    <w:p>
      <w:pPr>
        <w:spacing w:after="28" w:line="216" w:lineRule="auto"/>
        <w:ind w:left="259"/>
        <w:jc w:val="left"/>
      </w:pPr>
      <w:r>
        <w:rPr>
          <w:rFonts w:ascii="Arial" w:hAnsi="Arial"/>
          <w:color w:val="525252"/>
          <w:sz w:val="13"/>
        </w:rPr>
        <w:t>Problem Finding.</w:t>
      </w:r>
    </w:p>
    <w:p>
      <w:pPr>
        <w:spacing w:after="20" w:line="223" w:lineRule="auto"/>
        <w:jc w:val="right"/>
        <w:bidi/>
      </w:pPr>
      <w:r>
        <w:rPr>
          <w:rFonts w:ascii="Arial" w:hAnsi="Arial"/>
          <w:sz w:val="16"/>
        </w:rPr>
        <w:t>299.32  آنچه را که می‌خواهید انجام دهید را با عبارات خاص‌تر توصیف کنید.</w:t>
      </w:r>
    </w:p>
    <w:p>
      <w:pPr>
        <w:spacing w:after="28" w:line="216" w:lineRule="auto"/>
        <w:ind w:left="259"/>
        <w:jc w:val="left"/>
      </w:pPr>
      <w:r>
        <w:rPr>
          <w:rFonts w:ascii="Arial" w:hAnsi="Arial"/>
          <w:color w:val="525252"/>
          <w:sz w:val="13"/>
        </w:rPr>
        <w:t>Describe what you want to accomplish in more specific terms.</w:t>
      </w:r>
    </w:p>
    <w:p>
      <w:pPr>
        <w:spacing w:after="20" w:line="223" w:lineRule="auto"/>
        <w:jc w:val="right"/>
        <w:bidi/>
      </w:pPr>
      <w:r>
        <w:rPr>
          <w:rFonts w:ascii="Arial" w:hAnsi="Arial"/>
          <w:sz w:val="16"/>
        </w:rPr>
        <w:t>299.33  از خود بپرسید: "به چه روش هایی ممکن است..." (IWWMW) به وضعیت رسیدگی کنید.</w:t>
      </w:r>
    </w:p>
    <w:p>
      <w:pPr>
        <w:spacing w:after="28" w:line="216" w:lineRule="auto"/>
        <w:ind w:left="259"/>
        <w:jc w:val="left"/>
      </w:pPr>
      <w:r>
        <w:rPr>
          <w:rFonts w:ascii="Arial" w:hAnsi="Arial"/>
          <w:color w:val="525252"/>
          <w:sz w:val="13"/>
        </w:rPr>
        <w:t>Ask yourself: “In What Ways Might We…” (IWWMW) address the situation.</w:t>
      </w:r>
    </w:p>
    <w:p>
      <w:pPr>
        <w:spacing w:after="20" w:line="223" w:lineRule="auto"/>
        <w:jc w:val="right"/>
        <w:bidi/>
      </w:pPr>
      <w:r>
        <w:rPr>
          <w:rFonts w:ascii="Arial" w:hAnsi="Arial"/>
          <w:sz w:val="16"/>
        </w:rPr>
        <w:t>299.34  بسیاری از اظهارات مشکل را طوفان فکری کنید.</w:t>
      </w:r>
    </w:p>
    <w:p>
      <w:pPr>
        <w:spacing w:after="28" w:line="216" w:lineRule="auto"/>
        <w:ind w:left="259"/>
        <w:jc w:val="left"/>
      </w:pPr>
      <w:r>
        <w:rPr>
          <w:rFonts w:ascii="Arial" w:hAnsi="Arial"/>
          <w:color w:val="525252"/>
          <w:sz w:val="13"/>
        </w:rPr>
        <w:t>Brainstorm many problem statements.</w:t>
      </w:r>
    </w:p>
    <w:p>
      <w:pPr>
        <w:spacing w:after="20" w:line="223" w:lineRule="auto"/>
        <w:jc w:val="right"/>
        <w:bidi/>
      </w:pPr>
      <w:r>
        <w:rPr>
          <w:rFonts w:ascii="Arial" w:hAnsi="Arial"/>
          <w:sz w:val="16"/>
        </w:rPr>
        <w:t>299.35  آنچه در ابتدا فکر می‌کردید می‌خواهید به آن برسید، ممکن است منعکس‌کننده نگرانی، خواسته یا نیاز دیگری باشد.</w:t>
      </w:r>
    </w:p>
    <w:p>
      <w:pPr>
        <w:spacing w:after="28" w:line="216" w:lineRule="auto"/>
        <w:ind w:left="259"/>
        <w:jc w:val="left"/>
      </w:pPr>
      <w:r>
        <w:rPr>
          <w:rFonts w:ascii="Arial" w:hAnsi="Arial"/>
          <w:color w:val="525252"/>
          <w:sz w:val="13"/>
        </w:rPr>
        <w:t>What you initially thought you wanted to accomplish might reflect another concern, desire, or need.</w:t>
      </w:r>
    </w:p>
    <w:p>
      <w:pPr>
        <w:spacing w:after="20" w:line="223" w:lineRule="auto"/>
        <w:jc w:val="right"/>
        <w:bidi/>
      </w:pPr>
      <w:r>
        <w:rPr>
          <w:rFonts w:ascii="Arial" w:hAnsi="Arial"/>
          <w:sz w:val="16"/>
        </w:rPr>
        <w:t>299.36  پس از بازتاب، بیانیه(های) مشکلی را انتخاب کنید که مهم‌ترین یا اساسی‌ترین مشکل را نشان می‌دهد (به‌عنوان مثال، «کاهش شیوع COVID-۱۹ در اسکادران»).</w:t>
      </w:r>
    </w:p>
    <w:p>
      <w:pPr>
        <w:spacing w:after="28" w:line="216" w:lineRule="auto"/>
        <w:ind w:left="259"/>
        <w:jc w:val="left"/>
      </w:pPr>
      <w:r>
        <w:rPr>
          <w:rFonts w:ascii="Arial" w:hAnsi="Arial"/>
          <w:color w:val="525252"/>
          <w:sz w:val="13"/>
        </w:rPr>
        <w:t>After reflection, select the problem statement(s) that captures the most important or underlying problem (e.g., “Decrease the spread of COVID-19 in the squadron”).</w:t>
      </w:r>
    </w:p>
    <w:p>
      <w:r>
        <w:br w:type="page"/>
      </w:r>
    </w:p>
    <w:p>
      <w:pPr>
        <w:spacing w:after="60"/>
        <w:jc w:val="right"/>
        <w:bidi/>
      </w:pPr>
      <w:r>
        <w:rPr>
          <w:rFonts w:ascii="Arial" w:hAnsi="Arial"/>
          <w:b/>
          <w:color w:val="1F4D78"/>
          <w:sz w:val="19"/>
        </w:rPr>
        <w:t>هفتهٔ 300  |  صفحهٔ منبع: 316</w:t>
      </w:r>
    </w:p>
    <w:p>
      <w:pPr>
        <w:spacing w:after="20" w:line="223" w:lineRule="auto"/>
        <w:jc w:val="right"/>
        <w:bidi/>
      </w:pPr>
      <w:r>
        <w:rPr>
          <w:rFonts w:ascii="Arial" w:hAnsi="Arial"/>
          <w:sz w:val="16"/>
        </w:rPr>
        <w:t>300.01  ایده یابی.</w:t>
      </w:r>
    </w:p>
    <w:p>
      <w:pPr>
        <w:spacing w:after="28" w:line="216" w:lineRule="auto"/>
        <w:ind w:left="259"/>
        <w:jc w:val="left"/>
      </w:pPr>
      <w:r>
        <w:rPr>
          <w:rFonts w:ascii="Arial" w:hAnsi="Arial"/>
          <w:color w:val="525252"/>
          <w:sz w:val="13"/>
        </w:rPr>
        <w:t>Idea Finding.</w:t>
      </w:r>
    </w:p>
    <w:p>
      <w:pPr>
        <w:spacing w:after="20" w:line="223" w:lineRule="auto"/>
        <w:jc w:val="right"/>
        <w:bidi/>
      </w:pPr>
      <w:r>
        <w:rPr>
          <w:rFonts w:ascii="Arial" w:hAnsi="Arial"/>
          <w:sz w:val="16"/>
        </w:rPr>
        <w:t>300.02  تا حد امکان راه حل‌های بالقوه برای مشکل را شناسایی کنید.</w:t>
      </w:r>
    </w:p>
    <w:p>
      <w:pPr>
        <w:spacing w:after="28" w:line="216" w:lineRule="auto"/>
        <w:ind w:left="259"/>
        <w:jc w:val="left"/>
      </w:pPr>
      <w:r>
        <w:rPr>
          <w:rFonts w:ascii="Arial" w:hAnsi="Arial"/>
          <w:color w:val="525252"/>
          <w:sz w:val="13"/>
        </w:rPr>
        <w:t>Identify as many potential solutions to the problem as possible.</w:t>
      </w:r>
    </w:p>
    <w:p>
      <w:pPr>
        <w:spacing w:after="20" w:line="223" w:lineRule="auto"/>
        <w:jc w:val="right"/>
        <w:bidi/>
      </w:pPr>
      <w:r>
        <w:rPr>
          <w:rFonts w:ascii="Arial" w:hAnsi="Arial"/>
          <w:sz w:val="16"/>
        </w:rPr>
        <w:t>300.03  اندیشیدن به بسیاری از ایده‌ها (حتی ایده‌های دور، عجیب یا غیرعادی) حیاتی است.</w:t>
      </w:r>
    </w:p>
    <w:p>
      <w:pPr>
        <w:spacing w:after="28" w:line="216" w:lineRule="auto"/>
        <w:ind w:left="259"/>
        <w:jc w:val="left"/>
      </w:pPr>
      <w:r>
        <w:rPr>
          <w:rFonts w:ascii="Arial" w:hAnsi="Arial"/>
          <w:color w:val="525252"/>
          <w:sz w:val="13"/>
        </w:rPr>
        <w:t>Thinking of many ideas (even far-out, odd, or unusual ideas) is critical.</w:t>
      </w:r>
    </w:p>
    <w:p>
      <w:pPr>
        <w:spacing w:after="20" w:line="223" w:lineRule="auto"/>
        <w:jc w:val="right"/>
        <w:bidi/>
      </w:pPr>
      <w:r>
        <w:rPr>
          <w:rFonts w:ascii="Arial" w:hAnsi="Arial"/>
          <w:sz w:val="16"/>
        </w:rPr>
        <w:t>300.04  همه ایده‌ها را یادداشت کنید.</w:t>
      </w:r>
    </w:p>
    <w:p>
      <w:pPr>
        <w:spacing w:after="28" w:line="216" w:lineRule="auto"/>
        <w:ind w:left="259"/>
        <w:jc w:val="left"/>
      </w:pPr>
      <w:r>
        <w:rPr>
          <w:rFonts w:ascii="Arial" w:hAnsi="Arial"/>
          <w:color w:val="525252"/>
          <w:sz w:val="13"/>
        </w:rPr>
        <w:t>Write all the ideas down.</w:t>
      </w:r>
    </w:p>
    <w:p>
      <w:pPr>
        <w:spacing w:after="20" w:line="223" w:lineRule="auto"/>
        <w:jc w:val="right"/>
        <w:bidi/>
      </w:pPr>
      <w:r>
        <w:rPr>
          <w:rFonts w:ascii="Arial" w:hAnsi="Arial"/>
          <w:sz w:val="16"/>
        </w:rPr>
        <w:t>300.05  معمولا قبل از بحث یا بررسی ایده‌ها، تعیین یک هدف عددی (مثلا ۵۰-۷۵ ایده) مفید است.</w:t>
      </w:r>
    </w:p>
    <w:p>
      <w:pPr>
        <w:spacing w:after="28" w:line="216" w:lineRule="auto"/>
        <w:ind w:left="259"/>
        <w:jc w:val="left"/>
      </w:pPr>
      <w:r>
        <w:rPr>
          <w:rFonts w:ascii="Arial" w:hAnsi="Arial"/>
          <w:color w:val="525252"/>
          <w:sz w:val="13"/>
        </w:rPr>
        <w:t>It is often helpful to set a numeric goal (e.g., 50-75 ideas) before you discuss or review the ideas.</w:t>
      </w:r>
    </w:p>
    <w:p>
      <w:pPr>
        <w:spacing w:after="20" w:line="223" w:lineRule="auto"/>
        <w:jc w:val="right"/>
        <w:bidi/>
      </w:pPr>
      <w:r>
        <w:rPr>
          <w:rFonts w:ascii="Arial" w:hAnsi="Arial"/>
          <w:sz w:val="16"/>
        </w:rPr>
        <w:t>300.06  اگر زمان اجازه می‌دهد، انکوبه کنید (روی آن بخوابید، اجازه دهید ذهنتان سرگردان شود) تا ایده‌های بیشتری تولید کنید.</w:t>
      </w:r>
    </w:p>
    <w:p>
      <w:pPr>
        <w:spacing w:after="28" w:line="216" w:lineRule="auto"/>
        <w:ind w:left="259"/>
        <w:jc w:val="left"/>
      </w:pPr>
      <w:r>
        <w:rPr>
          <w:rFonts w:ascii="Arial" w:hAnsi="Arial"/>
          <w:color w:val="525252"/>
          <w:sz w:val="13"/>
        </w:rPr>
        <w:t>If time permits, incubate (sleep on it, let your mind wander) to generate additional ideas.</w:t>
      </w:r>
    </w:p>
    <w:p>
      <w:pPr>
        <w:spacing w:after="20" w:line="223" w:lineRule="auto"/>
        <w:jc w:val="right"/>
        <w:bidi/>
      </w:pPr>
      <w:r>
        <w:rPr>
          <w:rFonts w:ascii="Arial" w:hAnsi="Arial"/>
          <w:sz w:val="16"/>
        </w:rPr>
        <w:t>300.07  خلق و خوی مثبت و استراحت، طوفان فکری را تسهیل می‌کند.</w:t>
      </w:r>
    </w:p>
    <w:p>
      <w:pPr>
        <w:spacing w:after="28" w:line="216" w:lineRule="auto"/>
        <w:ind w:left="259"/>
        <w:jc w:val="left"/>
      </w:pPr>
      <w:r>
        <w:rPr>
          <w:rFonts w:ascii="Arial" w:hAnsi="Arial"/>
          <w:color w:val="525252"/>
          <w:sz w:val="13"/>
        </w:rPr>
        <w:t>Positive mood and rest facilitate brainstorming.</w:t>
      </w:r>
    </w:p>
    <w:p>
      <w:pPr>
        <w:spacing w:after="20" w:line="223" w:lineRule="auto"/>
        <w:jc w:val="right"/>
        <w:bidi/>
      </w:pPr>
      <w:r>
        <w:rPr>
          <w:rFonts w:ascii="Arial" w:hAnsi="Arial"/>
          <w:sz w:val="16"/>
        </w:rPr>
        <w:t>300.08  در یک محیط گروهی، گاهی اوقات می‌تواند کمک کند که اعضا به صورت ناشناس ایده‌های خود را ارائه دهند.</w:t>
      </w:r>
    </w:p>
    <w:p>
      <w:pPr>
        <w:spacing w:after="28" w:line="216" w:lineRule="auto"/>
        <w:ind w:left="259"/>
        <w:jc w:val="left"/>
      </w:pPr>
      <w:r>
        <w:rPr>
          <w:rFonts w:ascii="Arial" w:hAnsi="Arial"/>
          <w:color w:val="525252"/>
          <w:sz w:val="13"/>
        </w:rPr>
        <w:t>In a group setting, it can sometimes help to have members offer ideas anonymously.</w:t>
      </w:r>
    </w:p>
    <w:p>
      <w:pPr>
        <w:spacing w:after="20" w:line="223" w:lineRule="auto"/>
        <w:jc w:val="right"/>
        <w:bidi/>
      </w:pPr>
      <w:r>
        <w:rPr>
          <w:rFonts w:ascii="Arial" w:hAnsi="Arial"/>
          <w:sz w:val="16"/>
        </w:rPr>
        <w:t>300.09  انگیزه‌های بیرونی (مثلا تحت تأثیر قرار دادن دیگران با ایده‌های عالی) می‌تواند تفکر واگرا را تضعیف کند.</w:t>
      </w:r>
    </w:p>
    <w:p>
      <w:pPr>
        <w:spacing w:after="28" w:line="216" w:lineRule="auto"/>
        <w:ind w:left="259"/>
        <w:jc w:val="left"/>
      </w:pPr>
      <w:r>
        <w:rPr>
          <w:rFonts w:ascii="Arial" w:hAnsi="Arial"/>
          <w:color w:val="525252"/>
          <w:sz w:val="13"/>
        </w:rPr>
        <w:t>Extrinsic motivations (e.g., to impress others with great ideas) can undermine divergent thinking.</w:t>
      </w:r>
    </w:p>
    <w:p>
      <w:pPr>
        <w:spacing w:after="20" w:line="223" w:lineRule="auto"/>
        <w:jc w:val="right"/>
        <w:bidi/>
      </w:pPr>
      <w:r>
        <w:rPr>
          <w:rFonts w:ascii="Arial" w:hAnsi="Arial"/>
          <w:sz w:val="16"/>
        </w:rPr>
        <w:t>300.10  ناشناس بودن ممکن است به اعضای گروه کمک کند تا در ارائه ایده‌هایی که فراتر از موارد آزمایش شده و واقعی هستند احساس امنیت کنند.</w:t>
      </w:r>
    </w:p>
    <w:p>
      <w:pPr>
        <w:spacing w:after="28" w:line="216" w:lineRule="auto"/>
        <w:ind w:left="259"/>
        <w:jc w:val="left"/>
      </w:pPr>
      <w:r>
        <w:rPr>
          <w:rFonts w:ascii="Arial" w:hAnsi="Arial"/>
          <w:color w:val="525252"/>
          <w:sz w:val="13"/>
        </w:rPr>
        <w:t>Anonymity may help group members feel safe to put forward ideas that go beyond the tried- and-true.</w:t>
      </w:r>
    </w:p>
    <w:p>
      <w:pPr>
        <w:spacing w:after="20" w:line="223" w:lineRule="auto"/>
        <w:jc w:val="right"/>
        <w:bidi/>
      </w:pPr>
      <w:r>
        <w:rPr>
          <w:rFonts w:ascii="Arial" w:hAnsi="Arial"/>
          <w:sz w:val="16"/>
        </w:rPr>
        <w:t>300.11  فقط پس از اینکه فرصت دادید تا ایده‌های زیادی تولید شود، باید شروع به ارزیابی آنها کنید و فهرست را محدود کنید (به‌عنوان مثال، ۶ تا ۸ ایده را انتخاب کنید که به نظر می‌رسد بیشترین پتانسیل را دارند).</w:t>
      </w:r>
    </w:p>
    <w:p>
      <w:pPr>
        <w:spacing w:after="28" w:line="216" w:lineRule="auto"/>
        <w:ind w:left="259"/>
        <w:jc w:val="left"/>
      </w:pPr>
      <w:r>
        <w:rPr>
          <w:rFonts w:ascii="Arial" w:hAnsi="Arial"/>
          <w:color w:val="525252"/>
          <w:sz w:val="13"/>
        </w:rPr>
        <w:t>Only after you have allowed time to generate many ideas should you begin to evaluate them and narrow the list (e.g., to select 6-8 ideas that seem to have the greatest potential).</w:t>
      </w:r>
    </w:p>
    <w:p>
      <w:pPr>
        <w:spacing w:after="20" w:line="223" w:lineRule="auto"/>
        <w:jc w:val="right"/>
        <w:bidi/>
      </w:pPr>
      <w:r>
        <w:rPr>
          <w:rFonts w:ascii="Arial" w:hAnsi="Arial"/>
          <w:sz w:val="16"/>
        </w:rPr>
        <w:t>300.12  راه حل یابی.</w:t>
      </w:r>
    </w:p>
    <w:p>
      <w:pPr>
        <w:spacing w:after="28" w:line="216" w:lineRule="auto"/>
        <w:ind w:left="259"/>
        <w:jc w:val="left"/>
      </w:pPr>
      <w:r>
        <w:rPr>
          <w:rFonts w:ascii="Arial" w:hAnsi="Arial"/>
          <w:color w:val="525252"/>
          <w:sz w:val="13"/>
        </w:rPr>
        <w:t>Solution Finding.</w:t>
      </w:r>
    </w:p>
    <w:p>
      <w:pPr>
        <w:spacing w:after="20" w:line="223" w:lineRule="auto"/>
        <w:jc w:val="right"/>
        <w:bidi/>
      </w:pPr>
      <w:r>
        <w:rPr>
          <w:rFonts w:ascii="Arial" w:hAnsi="Arial"/>
          <w:sz w:val="16"/>
        </w:rPr>
        <w:t>300.13  از فهرستی از معیارهای انتخاب شده برای انتخاب بهترین راه حل استفاده کنید.</w:t>
      </w:r>
    </w:p>
    <w:p>
      <w:pPr>
        <w:spacing w:after="28" w:line="216" w:lineRule="auto"/>
        <w:ind w:left="259"/>
        <w:jc w:val="left"/>
      </w:pPr>
      <w:r>
        <w:rPr>
          <w:rFonts w:ascii="Arial" w:hAnsi="Arial"/>
          <w:color w:val="525252"/>
          <w:sz w:val="13"/>
        </w:rPr>
        <w:t>Use a list of selected criteria to choose the best solution.</w:t>
      </w:r>
    </w:p>
    <w:p>
      <w:pPr>
        <w:spacing w:after="20" w:line="223" w:lineRule="auto"/>
        <w:jc w:val="right"/>
        <w:bidi/>
      </w:pPr>
      <w:r>
        <w:rPr>
          <w:rFonts w:ascii="Arial" w:hAnsi="Arial"/>
          <w:sz w:val="16"/>
        </w:rPr>
        <w:t>300.14  ابتدا فهرستی مقدماتی از معیارهایی ایجاد کنید که باید برای ارزیابی ایده‌های شما استفاده شود (مانند زمان، هزینه، امکان‌سنجی، ایمنی، تأثیر بر روحیه) مشخص کنید کدام معیار مهم‌تر است و به اهمیت هر یک از معیارها وزن بدهید (مثلا با استفاده از مقیاس ۱-۱۰، جایی که ۱۰ مهم‌تر است).</w:t>
      </w:r>
    </w:p>
    <w:p>
      <w:pPr>
        <w:spacing w:after="28" w:line="216" w:lineRule="auto"/>
        <w:ind w:left="259"/>
        <w:jc w:val="left"/>
      </w:pPr>
      <w:r>
        <w:rPr>
          <w:rFonts w:ascii="Arial" w:hAnsi="Arial"/>
          <w:color w:val="525252"/>
          <w:sz w:val="13"/>
        </w:rPr>
        <w:t>First create a preliminary list of criteria that should be used to evaluate your ideas (e.g., time, cost, feasibility, safety, impact on morale) Identify which criteria are most critical and assign a weight to the importance of each criteria (e.g., using a 1-10 scale, where 10 is most important).</w:t>
      </w:r>
    </w:p>
    <w:p>
      <w:pPr>
        <w:spacing w:after="20" w:line="223" w:lineRule="auto"/>
        <w:jc w:val="right"/>
        <w:bidi/>
      </w:pPr>
      <w:r>
        <w:rPr>
          <w:rFonts w:ascii="Arial" w:hAnsi="Arial"/>
          <w:sz w:val="16"/>
        </w:rPr>
        <w:t>300.15  سپس از یک ماتریس تصمیم، جدول ۱۶.۱، برای رتبه بندی هر ایده (هر راه حل بالقوه) بر اساس هر یک از معیارها استفاده کنید: معیار ۱ معیار ۲ معیار ۳ ایده ۱ ایده ۲ ایده ۳</w:t>
      </w:r>
    </w:p>
    <w:p>
      <w:pPr>
        <w:spacing w:after="28" w:line="216" w:lineRule="auto"/>
        <w:ind w:left="259"/>
        <w:jc w:val="left"/>
      </w:pPr>
      <w:r>
        <w:rPr>
          <w:rFonts w:ascii="Arial" w:hAnsi="Arial"/>
          <w:color w:val="525252"/>
          <w:sz w:val="13"/>
        </w:rPr>
        <w:t>Then use a decision matrix, Table 16.1, to rate each idea (each potential solution) on each of the criteria: Criteria 1 Criteria 2 Criteria 3 Idea 1 Idea 2 Idea 3</w:t>
      </w:r>
    </w:p>
    <w:p>
      <w:pPr>
        <w:spacing w:before="60" w:after="28"/>
        <w:jc w:val="right"/>
        <w:bidi/>
      </w:pPr>
      <w:r>
        <w:rPr>
          <w:b/>
          <w:color w:val="1F4D78"/>
          <w:sz w:val="18"/>
        </w:rPr>
        <w:t>جدول 16.1. مثال ماتریس تصمیم</w:t>
      </w:r>
    </w:p>
    <w:p>
      <w:pPr>
        <w:spacing w:after="20"/>
        <w:ind w:left="259"/>
        <w:jc w:val="left"/>
      </w:pPr>
      <w:r>
        <w:rPr>
          <w:color w:val="555555"/>
          <w:sz w:val="12"/>
        </w:rPr>
        <w:t>Table 16.1. Decision Matrix Example</w:t>
      </w:r>
    </w:p>
    <w:p>
      <w:pPr>
        <w:spacing w:after="20" w:line="223" w:lineRule="auto"/>
        <w:jc w:val="right"/>
        <w:bidi/>
      </w:pPr>
      <w:r>
        <w:rPr>
          <w:rFonts w:ascii="Arial" w:hAnsi="Arial"/>
          <w:sz w:val="16"/>
        </w:rPr>
        <w:t>300.17  امتیازها را در وزن اختصاص داده شده به هر یک از معیارها ضرب کنید.</w:t>
      </w:r>
    </w:p>
    <w:p>
      <w:pPr>
        <w:spacing w:after="28" w:line="216" w:lineRule="auto"/>
        <w:ind w:left="259"/>
        <w:jc w:val="left"/>
      </w:pPr>
      <w:r>
        <w:rPr>
          <w:rFonts w:ascii="Arial" w:hAnsi="Arial"/>
          <w:color w:val="525252"/>
          <w:sz w:val="13"/>
        </w:rPr>
        <w:t>Multiply the ratings by the weight assigned to each of the criteria.</w:t>
      </w:r>
    </w:p>
    <w:p>
      <w:pPr>
        <w:spacing w:after="20" w:line="223" w:lineRule="auto"/>
        <w:jc w:val="right"/>
        <w:bidi/>
      </w:pPr>
      <w:r>
        <w:rPr>
          <w:rFonts w:ascii="Arial" w:hAnsi="Arial"/>
          <w:sz w:val="16"/>
        </w:rPr>
        <w:t>300.18  ایده(هایی) که در بالاترین معیارهای وزنی به بهترین نحو ارزیابی می‌شوند، باید راه حل(های) ترجیحی باشند.</w:t>
      </w:r>
    </w:p>
    <w:p>
      <w:pPr>
        <w:spacing w:after="28" w:line="216" w:lineRule="auto"/>
        <w:ind w:left="259"/>
        <w:jc w:val="left"/>
      </w:pPr>
      <w:r>
        <w:rPr>
          <w:rFonts w:ascii="Arial" w:hAnsi="Arial"/>
          <w:color w:val="525252"/>
          <w:sz w:val="13"/>
        </w:rPr>
        <w:t>Idea(s) that are evaluated most favorably on the highest weighted criteria should be the preferred solution(s).</w:t>
      </w:r>
    </w:p>
    <w:p>
      <w:pPr>
        <w:spacing w:after="20" w:line="223" w:lineRule="auto"/>
        <w:jc w:val="right"/>
        <w:bidi/>
      </w:pPr>
      <w:r>
        <w:rPr>
          <w:rFonts w:ascii="Arial" w:hAnsi="Arial"/>
          <w:sz w:val="16"/>
        </w:rPr>
        <w:t>300.19  پذیرش.</w:t>
      </w:r>
    </w:p>
    <w:p>
      <w:pPr>
        <w:spacing w:after="28" w:line="216" w:lineRule="auto"/>
        <w:ind w:left="259"/>
        <w:jc w:val="left"/>
      </w:pPr>
      <w:r>
        <w:rPr>
          <w:rFonts w:ascii="Arial" w:hAnsi="Arial"/>
          <w:color w:val="525252"/>
          <w:sz w:val="13"/>
        </w:rPr>
        <w:t>Acceptance Finding.</w:t>
      </w:r>
    </w:p>
    <w:p>
      <w:pPr>
        <w:spacing w:after="20" w:line="223" w:lineRule="auto"/>
        <w:jc w:val="right"/>
        <w:bidi/>
      </w:pPr>
      <w:r>
        <w:rPr>
          <w:rFonts w:ascii="Arial" w:hAnsi="Arial"/>
          <w:sz w:val="16"/>
        </w:rPr>
        <w:t>300.20  تلاش برای به دست آوردن پذیرش برای راه حل، توسعه یک برنامه اقدام، و اجرای راه حل (پیگیری).</w:t>
      </w:r>
    </w:p>
    <w:p>
      <w:pPr>
        <w:spacing w:after="28" w:line="216" w:lineRule="auto"/>
        <w:ind w:left="259"/>
        <w:jc w:val="left"/>
      </w:pPr>
      <w:r>
        <w:rPr>
          <w:rFonts w:ascii="Arial" w:hAnsi="Arial"/>
          <w:color w:val="525252"/>
          <w:sz w:val="13"/>
        </w:rPr>
        <w:t>Attempt to gain acceptance for the solution, develop a plan of action, and implement the solution (follow through).</w:t>
      </w:r>
    </w:p>
    <w:p>
      <w:pPr>
        <w:spacing w:before="60" w:after="28"/>
        <w:jc w:val="right"/>
        <w:bidi/>
      </w:pPr>
      <w:r>
        <w:rPr>
          <w:b/>
          <w:color w:val="1F4D78"/>
          <w:sz w:val="18"/>
        </w:rPr>
        <w:t>16.19. مدل تصمیم گیری</w:t>
      </w:r>
    </w:p>
    <w:p>
      <w:pPr>
        <w:spacing w:after="20"/>
        <w:ind w:left="259"/>
        <w:jc w:val="left"/>
      </w:pPr>
      <w:r>
        <w:rPr>
          <w:color w:val="555555"/>
          <w:sz w:val="12"/>
        </w:rPr>
        <w:t>16.19. Decision-Making Model</w:t>
      </w:r>
    </w:p>
    <w:p>
      <w:pPr>
        <w:spacing w:after="20" w:line="223" w:lineRule="auto"/>
        <w:jc w:val="right"/>
        <w:bidi/>
      </w:pPr>
      <w:r>
        <w:rPr>
          <w:rFonts w:ascii="Arial" w:hAnsi="Arial"/>
          <w:sz w:val="16"/>
        </w:rPr>
        <w:t>300.22  طیف وسیعی از مدل‌های تصمیم‌گیری برای رهبران، چه در ساختار نظامی و چه در ساختار سازمانی، در دسترس است.</w:t>
      </w:r>
    </w:p>
    <w:p>
      <w:pPr>
        <w:spacing w:after="28" w:line="216" w:lineRule="auto"/>
        <w:ind w:left="259"/>
        <w:jc w:val="left"/>
      </w:pPr>
      <w:r>
        <w:rPr>
          <w:rFonts w:ascii="Arial" w:hAnsi="Arial"/>
          <w:color w:val="525252"/>
          <w:sz w:val="13"/>
        </w:rPr>
        <w:t>There are a wide range of decision-making models available for leaders, whether in the military or corporate structure.</w:t>
      </w:r>
    </w:p>
    <w:p>
      <w:pPr>
        <w:spacing w:after="20" w:line="223" w:lineRule="auto"/>
        <w:jc w:val="right"/>
        <w:bidi/>
      </w:pPr>
      <w:r>
        <w:rPr>
          <w:rFonts w:ascii="Arial" w:hAnsi="Arial"/>
          <w:sz w:val="16"/>
        </w:rPr>
        <w:t>300.23  یکی از مدل‌های تصمیم‌گیری که توسط ارتش پذیرفته شده است، مدل تصمیم‌گیری وروم-یتتون-جاگو است که برای تصمیم‌گیری درباره نحوه تصمیم‌گیری استفاده می‌شود.</w:t>
      </w:r>
    </w:p>
    <w:p>
      <w:pPr>
        <w:spacing w:after="28" w:line="216" w:lineRule="auto"/>
        <w:ind w:left="259"/>
        <w:jc w:val="left"/>
      </w:pPr>
      <w:r>
        <w:rPr>
          <w:rFonts w:ascii="Arial" w:hAnsi="Arial"/>
          <w:color w:val="525252"/>
          <w:sz w:val="13"/>
        </w:rPr>
        <w:t>One decision-making model that has been adopted by the military is the Vroom-Yetton-Jago Decision-Making Model, used for deciding how to decide.</w:t>
      </w:r>
    </w:p>
    <w:p>
      <w:pPr>
        <w:spacing w:after="20" w:line="223" w:lineRule="auto"/>
        <w:jc w:val="right"/>
        <w:bidi/>
      </w:pPr>
      <w:r>
        <w:rPr>
          <w:rFonts w:ascii="Arial" w:hAnsi="Arial"/>
          <w:sz w:val="16"/>
        </w:rPr>
        <w:t>300.24  طبق این مدل، پنج سطح اولیه تصمیم‌گیری وجود دارد که هر کدام به سطح متفاوتی از مشارکت یا پیچیدگی برای فرآیند تصمیم‌گیری نیاز دارند.</w:t>
      </w:r>
    </w:p>
    <w:p>
      <w:pPr>
        <w:spacing w:after="28" w:line="216" w:lineRule="auto"/>
        <w:ind w:left="259"/>
        <w:jc w:val="left"/>
      </w:pPr>
      <w:r>
        <w:rPr>
          <w:rFonts w:ascii="Arial" w:hAnsi="Arial"/>
          <w:color w:val="525252"/>
          <w:sz w:val="13"/>
        </w:rPr>
        <w:t>According to this model, there are five primary levels of decision-making, each requiring a different level of involvement or complexity for the decision-making process.</w:t>
      </w:r>
    </w:p>
    <w:p>
      <w:pPr>
        <w:spacing w:after="20" w:line="223" w:lineRule="auto"/>
        <w:jc w:val="right"/>
        <w:bidi/>
      </w:pPr>
      <w:r>
        <w:rPr>
          <w:rFonts w:ascii="Arial" w:hAnsi="Arial"/>
          <w:sz w:val="16"/>
        </w:rPr>
        <w:t>300.25  در زیر شرح مختصری از هر یک از پنج سطح تصمیم‌گیری و برخی مزایا و معایب مرتبط با هر سطح ارائه شده است.</w:t>
      </w:r>
    </w:p>
    <w:p>
      <w:pPr>
        <w:spacing w:after="28" w:line="216" w:lineRule="auto"/>
        <w:ind w:left="259"/>
        <w:jc w:val="left"/>
      </w:pPr>
      <w:r>
        <w:rPr>
          <w:rFonts w:ascii="Arial" w:hAnsi="Arial"/>
          <w:color w:val="525252"/>
          <w:sz w:val="13"/>
        </w:rPr>
        <w:t>The following is a brief description of each of the five levels of decision-making and some pros and cons associated with each level.</w:t>
      </w:r>
    </w:p>
    <w:p>
      <w:pPr>
        <w:spacing w:after="20" w:line="223" w:lineRule="auto"/>
        <w:jc w:val="right"/>
        <w:bidi/>
      </w:pPr>
      <w:r>
        <w:rPr>
          <w:rFonts w:ascii="Arial" w:hAnsi="Arial"/>
          <w:sz w:val="16"/>
        </w:rPr>
        <w:t>300.26  سطح ی: تصمیم بگیرید و اعلام کنید.</w:t>
      </w:r>
    </w:p>
    <w:p>
      <w:pPr>
        <w:spacing w:after="28" w:line="216" w:lineRule="auto"/>
        <w:ind w:left="259"/>
        <w:jc w:val="left"/>
      </w:pPr>
      <w:r>
        <w:rPr>
          <w:rFonts w:ascii="Arial" w:hAnsi="Arial"/>
          <w:color w:val="525252"/>
          <w:sz w:val="13"/>
        </w:rPr>
        <w:t>Level I: Decide and Announce.</w:t>
      </w:r>
    </w:p>
    <w:p>
      <w:pPr>
        <w:spacing w:after="20" w:line="223" w:lineRule="auto"/>
        <w:jc w:val="right"/>
        <w:bidi/>
      </w:pPr>
      <w:r>
        <w:rPr>
          <w:rFonts w:ascii="Arial" w:hAnsi="Arial"/>
          <w:sz w:val="16"/>
        </w:rPr>
        <w:t>300.27  در این سطح، رهبران تصمیم می‌گیرند و آن را به گروه یا سازمان اعلام یا ارائه می‌کنند.</w:t>
      </w:r>
    </w:p>
    <w:p>
      <w:pPr>
        <w:spacing w:after="28" w:line="216" w:lineRule="auto"/>
        <w:ind w:left="259"/>
        <w:jc w:val="left"/>
      </w:pPr>
      <w:r>
        <w:rPr>
          <w:rFonts w:ascii="Arial" w:hAnsi="Arial"/>
          <w:color w:val="525252"/>
          <w:sz w:val="13"/>
        </w:rPr>
        <w:t>In this level, leaders make the decision and announce or present it to the group or organization.</w:t>
      </w:r>
    </w:p>
    <w:p>
      <w:pPr>
        <w:spacing w:after="20" w:line="223" w:lineRule="auto"/>
        <w:jc w:val="right"/>
        <w:bidi/>
      </w:pPr>
      <w:r>
        <w:rPr>
          <w:rFonts w:ascii="Arial" w:hAnsi="Arial"/>
          <w:sz w:val="16"/>
        </w:rPr>
        <w:t>300.28  این رویکرد می‌تواند به رهبران این امکان را بدهد که تصمیمات را به سرعت اتخاذ و اجرا کنند، اما از بی‌تفاوتی احتمالی یا عدم انگیزه اجتناب کنند.</w:t>
      </w:r>
    </w:p>
    <w:p>
      <w:pPr>
        <w:spacing w:after="28" w:line="216" w:lineRule="auto"/>
        <w:ind w:left="259"/>
        <w:jc w:val="left"/>
      </w:pPr>
      <w:r>
        <w:rPr>
          <w:rFonts w:ascii="Arial" w:hAnsi="Arial"/>
          <w:color w:val="525252"/>
          <w:sz w:val="13"/>
        </w:rPr>
        <w:t>This approach can allow leaders to make and implement decisions quickly, but to avoid possible indifference or lack of motivation.</w:t>
      </w:r>
    </w:p>
    <w:p>
      <w:pPr>
        <w:spacing w:after="20" w:line="223" w:lineRule="auto"/>
        <w:jc w:val="right"/>
        <w:bidi/>
      </w:pPr>
      <w:r>
        <w:rPr>
          <w:rFonts w:ascii="Arial" w:hAnsi="Arial"/>
          <w:sz w:val="16"/>
        </w:rPr>
        <w:t>300.29  در این رویکرد، رهبر تصمیم و موقعیت را کنترل می‌کند.</w:t>
      </w:r>
    </w:p>
    <w:p>
      <w:pPr>
        <w:spacing w:after="28" w:line="216" w:lineRule="auto"/>
        <w:ind w:left="259"/>
        <w:jc w:val="left"/>
      </w:pPr>
      <w:r>
        <w:rPr>
          <w:rFonts w:ascii="Arial" w:hAnsi="Arial"/>
          <w:color w:val="525252"/>
          <w:sz w:val="13"/>
        </w:rPr>
        <w:t>In this approach, the leader controls the decision and the situation.</w:t>
      </w:r>
    </w:p>
    <w:p>
      <w:pPr>
        <w:spacing w:after="20" w:line="223" w:lineRule="auto"/>
        <w:jc w:val="right"/>
        <w:bidi/>
      </w:pPr>
      <w:r>
        <w:rPr>
          <w:rFonts w:ascii="Arial" w:hAnsi="Arial"/>
          <w:sz w:val="16"/>
        </w:rPr>
        <w:t>300.30  رهبران باید دلیل منطقی بودن این تصمیم را توضیح دهند.</w:t>
      </w:r>
    </w:p>
    <w:p>
      <w:pPr>
        <w:spacing w:after="28" w:line="216" w:lineRule="auto"/>
        <w:ind w:left="259"/>
        <w:jc w:val="left"/>
      </w:pPr>
      <w:r>
        <w:rPr>
          <w:rFonts w:ascii="Arial" w:hAnsi="Arial"/>
          <w:color w:val="525252"/>
          <w:sz w:val="13"/>
        </w:rPr>
        <w:t>Leaders should explain rationale as to why the decision was made unilaterally.</w:t>
      </w:r>
    </w:p>
    <w:p>
      <w:pPr>
        <w:spacing w:after="20" w:line="223" w:lineRule="auto"/>
        <w:jc w:val="right"/>
        <w:bidi/>
      </w:pPr>
      <w:r>
        <w:rPr>
          <w:rFonts w:ascii="Arial" w:hAnsi="Arial"/>
          <w:sz w:val="16"/>
        </w:rPr>
        <w:t>300.31  معایب مرتبط با این رویکرد این است که رهبران ممکن است برای در نظر گرفتن تمام اطلاعات لازم وقت نگذارند.</w:t>
      </w:r>
    </w:p>
    <w:p>
      <w:pPr>
        <w:spacing w:after="28" w:line="216" w:lineRule="auto"/>
        <w:ind w:left="259"/>
        <w:jc w:val="left"/>
      </w:pPr>
      <w:r>
        <w:rPr>
          <w:rFonts w:ascii="Arial" w:hAnsi="Arial"/>
          <w:color w:val="525252"/>
          <w:sz w:val="13"/>
        </w:rPr>
        <w:t>Cons associated with this approach are that leaders may not take the time to consider all the necessary information.</w:t>
      </w:r>
    </w:p>
    <w:p>
      <w:pPr>
        <w:spacing w:after="20" w:line="223" w:lineRule="auto"/>
        <w:jc w:val="right"/>
        <w:bidi/>
      </w:pPr>
      <w:r>
        <w:rPr>
          <w:rFonts w:ascii="Arial" w:hAnsi="Arial"/>
          <w:sz w:val="16"/>
        </w:rPr>
        <w:t>300.32  با وارد نکردن دیگران در فرآیند تصمیم‌گیری، رهبران ممکن است اعضای گروه یا سازمان را بی جهت از خود دور کنند.</w:t>
      </w:r>
    </w:p>
    <w:p>
      <w:pPr>
        <w:spacing w:after="28" w:line="216" w:lineRule="auto"/>
        <w:ind w:left="259"/>
        <w:jc w:val="left"/>
      </w:pPr>
      <w:r>
        <w:rPr>
          <w:rFonts w:ascii="Arial" w:hAnsi="Arial"/>
          <w:color w:val="525252"/>
          <w:sz w:val="13"/>
        </w:rPr>
        <w:t>By not including others in the decision-making process, leaders may alienate members of the group or organization unnecessarily.</w:t>
      </w:r>
    </w:p>
    <w:p>
      <w:pPr>
        <w:spacing w:after="20" w:line="223" w:lineRule="auto"/>
        <w:jc w:val="right"/>
        <w:bidi/>
      </w:pPr>
      <w:r>
        <w:rPr>
          <w:rFonts w:ascii="Arial" w:hAnsi="Arial"/>
          <w:sz w:val="16"/>
        </w:rPr>
        <w:t>300.33  سطح دوم: اطلاعات را از افراد جمع‌آوری کنید و تصمیم بگیرید.</w:t>
      </w:r>
    </w:p>
    <w:p>
      <w:pPr>
        <w:spacing w:after="28" w:line="216" w:lineRule="auto"/>
        <w:ind w:left="259"/>
        <w:jc w:val="left"/>
      </w:pPr>
      <w:r>
        <w:rPr>
          <w:rFonts w:ascii="Arial" w:hAnsi="Arial"/>
          <w:color w:val="525252"/>
          <w:sz w:val="13"/>
        </w:rPr>
        <w:t>Level II: Gather Input from Individuals and Decide.</w:t>
      </w:r>
    </w:p>
    <w:p>
      <w:pPr>
        <w:spacing w:after="20" w:line="223" w:lineRule="auto"/>
        <w:jc w:val="right"/>
        <w:bidi/>
      </w:pPr>
      <w:r>
        <w:rPr>
          <w:rFonts w:ascii="Arial" w:hAnsi="Arial"/>
          <w:sz w:val="16"/>
        </w:rPr>
        <w:t>300.34  در این سطح، رهبران ورودی را از</w:t>
      </w:r>
    </w:p>
    <w:p>
      <w:pPr>
        <w:spacing w:after="28" w:line="216" w:lineRule="auto"/>
        <w:ind w:left="259"/>
        <w:jc w:val="left"/>
      </w:pPr>
      <w:r>
        <w:rPr>
          <w:rFonts w:ascii="Arial" w:hAnsi="Arial"/>
          <w:color w:val="525252"/>
          <w:sz w:val="13"/>
        </w:rPr>
        <w:t>In this level, leaders gather input from</w:t>
      </w:r>
    </w:p>
    <w:p>
      <w:r>
        <w:br w:type="page"/>
      </w:r>
    </w:p>
    <w:p>
      <w:pPr>
        <w:spacing w:after="60"/>
        <w:jc w:val="right"/>
        <w:bidi/>
      </w:pPr>
      <w:r>
        <w:rPr>
          <w:rFonts w:ascii="Arial" w:hAnsi="Arial"/>
          <w:b/>
          <w:color w:val="1F4D78"/>
          <w:sz w:val="19"/>
        </w:rPr>
        <w:t>هفتهٔ 301  |  صفحهٔ منبع: 317</w:t>
      </w:r>
    </w:p>
    <w:p>
      <w:pPr>
        <w:spacing w:after="20" w:line="223" w:lineRule="auto"/>
        <w:jc w:val="right"/>
        <w:bidi/>
      </w:pPr>
      <w:r>
        <w:rPr>
          <w:rFonts w:ascii="Arial" w:hAnsi="Arial"/>
          <w:sz w:val="16"/>
        </w:rPr>
        <w:t>301.01  افراد یا گروه را به صورت جداگانه انتخاب کنید و سپس تصمیم بگیرید.</w:t>
      </w:r>
    </w:p>
    <w:p>
      <w:pPr>
        <w:spacing w:after="28" w:line="216" w:lineRule="auto"/>
        <w:ind w:left="259"/>
        <w:jc w:val="left"/>
      </w:pPr>
      <w:r>
        <w:rPr>
          <w:rFonts w:ascii="Arial" w:hAnsi="Arial"/>
          <w:color w:val="525252"/>
          <w:sz w:val="13"/>
        </w:rPr>
        <w:t>selected individuals, or the group individually and then make the decision.</w:t>
      </w:r>
    </w:p>
    <w:p>
      <w:pPr>
        <w:spacing w:after="20" w:line="223" w:lineRule="auto"/>
        <w:jc w:val="right"/>
        <w:bidi/>
      </w:pPr>
      <w:r>
        <w:rPr>
          <w:rFonts w:ascii="Arial" w:hAnsi="Arial"/>
          <w:sz w:val="16"/>
        </w:rPr>
        <w:t>301.02  این رویکرد می‌تواند به رهبران اجازه دهد تا با کارشناسان شناخته شده مشورت کنند تا اطلاعات بیشتری را برای تصمیم‌گیری آگاهانه‌تر جمع‌آوری کنند، اما نیازی به جلسه با کل گروه ندارد.</w:t>
      </w:r>
    </w:p>
    <w:p>
      <w:pPr>
        <w:spacing w:after="28" w:line="216" w:lineRule="auto"/>
        <w:ind w:left="259"/>
        <w:jc w:val="left"/>
      </w:pPr>
      <w:r>
        <w:rPr>
          <w:rFonts w:ascii="Arial" w:hAnsi="Arial"/>
          <w:color w:val="525252"/>
          <w:sz w:val="13"/>
        </w:rPr>
        <w:t>This approach can allow leaders to consult with recognized experts to gather additional information to make a more informed decision but does not require a meeting with the entire group.</w:t>
      </w:r>
    </w:p>
    <w:p>
      <w:pPr>
        <w:spacing w:after="20" w:line="223" w:lineRule="auto"/>
        <w:jc w:val="right"/>
        <w:bidi/>
      </w:pPr>
      <w:r>
        <w:rPr>
          <w:rFonts w:ascii="Arial" w:hAnsi="Arial"/>
          <w:sz w:val="16"/>
        </w:rPr>
        <w:t>301.03  معایب مرتبط با این رویکرد این است که دیگران در گروه ممکن است تعجب کنند که چرا رهبر با آنها مشورت نکرده است.</w:t>
      </w:r>
    </w:p>
    <w:p>
      <w:pPr>
        <w:spacing w:after="28" w:line="216" w:lineRule="auto"/>
        <w:ind w:left="259"/>
        <w:jc w:val="left"/>
      </w:pPr>
      <w:r>
        <w:rPr>
          <w:rFonts w:ascii="Arial" w:hAnsi="Arial"/>
          <w:color w:val="525252"/>
          <w:sz w:val="13"/>
        </w:rPr>
        <w:t>Cons associated with this approach are that others in the group may wonder why the leader did not consult with them.</w:t>
      </w:r>
    </w:p>
    <w:p>
      <w:pPr>
        <w:spacing w:after="20" w:line="223" w:lineRule="auto"/>
        <w:jc w:val="right"/>
        <w:bidi/>
      </w:pPr>
      <w:r>
        <w:rPr>
          <w:rFonts w:ascii="Arial" w:hAnsi="Arial"/>
          <w:sz w:val="16"/>
        </w:rPr>
        <w:t>301.04  آن‌ها ممکن است رهبر را به‌عنوان بازی‌های مورد علاقه تصور کنند، که می‌تواند منجر به مقاومت گروه یا سازمان در زمان اجرای تصمیم شود.</w:t>
      </w:r>
    </w:p>
    <w:p>
      <w:pPr>
        <w:spacing w:after="28" w:line="216" w:lineRule="auto"/>
        <w:ind w:left="259"/>
        <w:jc w:val="left"/>
      </w:pPr>
      <w:r>
        <w:rPr>
          <w:rFonts w:ascii="Arial" w:hAnsi="Arial"/>
          <w:color w:val="525252"/>
          <w:sz w:val="13"/>
        </w:rPr>
        <w:t>They may perceive the leader as playing favorites, which could result in some resistance from the group or organization when it comes time to implement the decision.</w:t>
      </w:r>
    </w:p>
    <w:p>
      <w:pPr>
        <w:spacing w:after="20" w:line="223" w:lineRule="auto"/>
        <w:jc w:val="right"/>
        <w:bidi/>
      </w:pPr>
      <w:r>
        <w:rPr>
          <w:rFonts w:ascii="Arial" w:hAnsi="Arial"/>
          <w:sz w:val="16"/>
        </w:rPr>
        <w:t>301.05  سطح III: ورودی‌های گروه را جمع‌آوری کنید و تصمیم بگیرید.</w:t>
      </w:r>
    </w:p>
    <w:p>
      <w:pPr>
        <w:spacing w:after="28" w:line="216" w:lineRule="auto"/>
        <w:ind w:left="259"/>
        <w:jc w:val="left"/>
      </w:pPr>
      <w:r>
        <w:rPr>
          <w:rFonts w:ascii="Arial" w:hAnsi="Arial"/>
          <w:color w:val="525252"/>
          <w:sz w:val="13"/>
        </w:rPr>
        <w:t>Level III: Gather Input from the Group and Decide.</w:t>
      </w:r>
    </w:p>
    <w:p>
      <w:pPr>
        <w:spacing w:after="20" w:line="223" w:lineRule="auto"/>
        <w:jc w:val="right"/>
        <w:bidi/>
      </w:pPr>
      <w:r>
        <w:rPr>
          <w:rFonts w:ascii="Arial" w:hAnsi="Arial"/>
          <w:sz w:val="16"/>
        </w:rPr>
        <w:t>301.06  در این سطح، رهبران نظرات گروه را جمع‌آوری می‌کنند و سپس تصمیم می‌گیرند.</w:t>
      </w:r>
    </w:p>
    <w:p>
      <w:pPr>
        <w:spacing w:after="28" w:line="216" w:lineRule="auto"/>
        <w:ind w:left="259"/>
        <w:jc w:val="left"/>
      </w:pPr>
      <w:r>
        <w:rPr>
          <w:rFonts w:ascii="Arial" w:hAnsi="Arial"/>
          <w:color w:val="525252"/>
          <w:sz w:val="13"/>
        </w:rPr>
        <w:t>In this level, leaders gather input from the group and then make a decision.</w:t>
      </w:r>
    </w:p>
    <w:p>
      <w:pPr>
        <w:spacing w:after="20" w:line="223" w:lineRule="auto"/>
        <w:jc w:val="right"/>
        <w:bidi/>
      </w:pPr>
      <w:r>
        <w:rPr>
          <w:rFonts w:ascii="Arial" w:hAnsi="Arial"/>
          <w:sz w:val="16"/>
        </w:rPr>
        <w:t>301.07  این رویکرد شامل کردن گروه در جمع‌آوری داده‌ها، شانس هم افزایی و تصمیم‌گیری آگاهانه‌تر را افزایش می‌دهد.</w:t>
      </w:r>
    </w:p>
    <w:p>
      <w:pPr>
        <w:spacing w:after="28" w:line="216" w:lineRule="auto"/>
        <w:ind w:left="259"/>
        <w:jc w:val="left"/>
      </w:pPr>
      <w:r>
        <w:rPr>
          <w:rFonts w:ascii="Arial" w:hAnsi="Arial"/>
          <w:color w:val="525252"/>
          <w:sz w:val="13"/>
        </w:rPr>
        <w:t>This approach of including the group in gathering the data enhances the chance for synergy and better-informed decision-making.</w:t>
      </w:r>
    </w:p>
    <w:p>
      <w:pPr>
        <w:spacing w:after="20" w:line="223" w:lineRule="auto"/>
        <w:jc w:val="right"/>
        <w:bidi/>
      </w:pPr>
      <w:r>
        <w:rPr>
          <w:rFonts w:ascii="Arial" w:hAnsi="Arial"/>
          <w:sz w:val="16"/>
        </w:rPr>
        <w:t>301.08  معایب مرتبط با این رویکرد این است که اگر یک رهبر تصمیمی متفاوت از آنچه که گروه پیشنهاد می‌کند بگیرد، گروه ممکن است احساس کند که ورودی‌ها یا پیشنهادات آنها ارزش یا قدردانی نشده است.</w:t>
      </w:r>
    </w:p>
    <w:p>
      <w:pPr>
        <w:spacing w:after="28" w:line="216" w:lineRule="auto"/>
        <w:ind w:left="259"/>
        <w:jc w:val="left"/>
      </w:pPr>
      <w:r>
        <w:rPr>
          <w:rFonts w:ascii="Arial" w:hAnsi="Arial"/>
          <w:color w:val="525252"/>
          <w:sz w:val="13"/>
        </w:rPr>
        <w:t>Cons associated with this approach are that if a leader makes a decision different from what the group suggests, the group may feel that their inputs or suggestions were not valued or appreciated.</w:t>
      </w:r>
    </w:p>
    <w:p>
      <w:pPr>
        <w:spacing w:after="20" w:line="223" w:lineRule="auto"/>
        <w:jc w:val="right"/>
        <w:bidi/>
      </w:pPr>
      <w:r>
        <w:rPr>
          <w:rFonts w:ascii="Arial" w:hAnsi="Arial"/>
          <w:sz w:val="16"/>
        </w:rPr>
        <w:t>301.09  گروه ممکن است احساس کند که فرآیند تصمیم‌گیری توسط رهبر از پیش تعیین شده بود و این تعامل ظاهری بود، که احتمالا منجر به تضعیف اعضای گروه در اجرا یا عدم تمایل به مشارکت در تصمیم‌گیری‌های آینده خواهد شد.</w:t>
      </w:r>
    </w:p>
    <w:p>
      <w:pPr>
        <w:spacing w:after="28" w:line="216" w:lineRule="auto"/>
        <w:ind w:left="259"/>
        <w:jc w:val="left"/>
      </w:pPr>
      <w:r>
        <w:rPr>
          <w:rFonts w:ascii="Arial" w:hAnsi="Arial"/>
          <w:color w:val="525252"/>
          <w:sz w:val="13"/>
        </w:rPr>
        <w:t>The group may feel that the decision-making process was predetermined by the leader and that the interaction was a façade, which will likely result in members of the group undermining implementation or being unwilling to participate in future decisions.</w:t>
      </w:r>
    </w:p>
    <w:p>
      <w:pPr>
        <w:spacing w:after="20" w:line="223" w:lineRule="auto"/>
        <w:jc w:val="right"/>
        <w:bidi/>
      </w:pPr>
      <w:r>
        <w:rPr>
          <w:rFonts w:ascii="Arial" w:hAnsi="Arial"/>
          <w:sz w:val="16"/>
        </w:rPr>
        <w:t>301.10  همچنین، این رویکرد زمان بیشتری را برای تصمیم‌گیری رهبر می‌گیرد.</w:t>
      </w:r>
    </w:p>
    <w:p>
      <w:pPr>
        <w:spacing w:after="28" w:line="216" w:lineRule="auto"/>
        <w:ind w:left="259"/>
        <w:jc w:val="left"/>
      </w:pPr>
      <w:r>
        <w:rPr>
          <w:rFonts w:ascii="Arial" w:hAnsi="Arial"/>
          <w:color w:val="525252"/>
          <w:sz w:val="13"/>
        </w:rPr>
        <w:t>Also, this approach does take more time for the leader to make the decision.</w:t>
      </w:r>
    </w:p>
    <w:p>
      <w:pPr>
        <w:spacing w:after="20" w:line="223" w:lineRule="auto"/>
        <w:jc w:val="right"/>
        <w:bidi/>
      </w:pPr>
      <w:r>
        <w:rPr>
          <w:rFonts w:ascii="Arial" w:hAnsi="Arial"/>
          <w:sz w:val="16"/>
        </w:rPr>
        <w:t>301.11  سطح IV: تسهیل اجماع.</w:t>
      </w:r>
    </w:p>
    <w:p>
      <w:pPr>
        <w:spacing w:after="28" w:line="216" w:lineRule="auto"/>
        <w:ind w:left="259"/>
        <w:jc w:val="left"/>
      </w:pPr>
      <w:r>
        <w:rPr>
          <w:rFonts w:ascii="Arial" w:hAnsi="Arial"/>
          <w:color w:val="525252"/>
          <w:sz w:val="13"/>
        </w:rPr>
        <w:t>Level IV: Facilitate Consensus.</w:t>
      </w:r>
    </w:p>
    <w:p>
      <w:pPr>
        <w:spacing w:after="20" w:line="223" w:lineRule="auto"/>
        <w:jc w:val="right"/>
        <w:bidi/>
      </w:pPr>
      <w:r>
        <w:rPr>
          <w:rFonts w:ascii="Arial" w:hAnsi="Arial"/>
          <w:sz w:val="16"/>
        </w:rPr>
        <w:t>301.12  در این سطح، رهبران مسائل یا مشکلات را به گروه ارائه می‌کنند و فرآیند تصمیم‌گیری را در گروه تسهیل می‌کنند.</w:t>
      </w:r>
    </w:p>
    <w:p>
      <w:pPr>
        <w:spacing w:after="28" w:line="216" w:lineRule="auto"/>
        <w:ind w:left="259"/>
        <w:jc w:val="left"/>
      </w:pPr>
      <w:r>
        <w:rPr>
          <w:rFonts w:ascii="Arial" w:hAnsi="Arial"/>
          <w:color w:val="525252"/>
          <w:sz w:val="13"/>
        </w:rPr>
        <w:t>In this level, leaders present issues or problems to the group and facilitate the decision-making process within the group.</w:t>
      </w:r>
    </w:p>
    <w:p>
      <w:pPr>
        <w:spacing w:after="20" w:line="223" w:lineRule="auto"/>
        <w:jc w:val="right"/>
        <w:bidi/>
      </w:pPr>
      <w:r>
        <w:rPr>
          <w:rFonts w:ascii="Arial" w:hAnsi="Arial"/>
          <w:sz w:val="16"/>
        </w:rPr>
        <w:t>301.13  اگر گروه نتواند به اجماع برسد، رهبر این اختیار را دارد که تصمیم بگیرد.</w:t>
      </w:r>
    </w:p>
    <w:p>
      <w:pPr>
        <w:spacing w:after="28" w:line="216" w:lineRule="auto"/>
        <w:ind w:left="259"/>
        <w:jc w:val="left"/>
      </w:pPr>
      <w:r>
        <w:rPr>
          <w:rFonts w:ascii="Arial" w:hAnsi="Arial"/>
          <w:color w:val="525252"/>
          <w:sz w:val="13"/>
        </w:rPr>
        <w:t>If the group is unable to reach consensus, the leader has the option to make the decision.</w:t>
      </w:r>
    </w:p>
    <w:p>
      <w:pPr>
        <w:spacing w:after="20" w:line="223" w:lineRule="auto"/>
        <w:jc w:val="right"/>
        <w:bidi/>
      </w:pPr>
      <w:r>
        <w:rPr>
          <w:rFonts w:ascii="Arial" w:hAnsi="Arial"/>
          <w:sz w:val="16"/>
        </w:rPr>
        <w:t>301.14  این رویکرد به گروه اجازه می‌دهد گزینه‌های تصمیم‌گیری احتمالی را ایجاد کند، خرید و مالکیت اعضای گروه را افزایش می‌دهد، اعضای گروه را آموزش می‌دهد و امکان اجرای سریع‌تر را فراهم می‌کند زیرا افراد بیشتری در مورد فرآیند تصمیم‌گیری و آنچه باید انجام شود آگاه هستند.</w:t>
      </w:r>
    </w:p>
    <w:p>
      <w:pPr>
        <w:spacing w:after="28" w:line="216" w:lineRule="auto"/>
        <w:ind w:left="259"/>
        <w:jc w:val="left"/>
      </w:pPr>
      <w:r>
        <w:rPr>
          <w:rFonts w:ascii="Arial" w:hAnsi="Arial"/>
          <w:color w:val="525252"/>
          <w:sz w:val="13"/>
        </w:rPr>
        <w:t>This approach of allowing the group to generate possible decision options enhances buy-in and ownership of members of the group, educates members of the group, and allows for quicker implementation as more people are knowledgeable about the decision process and what needs to be done.</w:t>
      </w:r>
    </w:p>
    <w:p>
      <w:pPr>
        <w:spacing w:after="20" w:line="223" w:lineRule="auto"/>
        <w:jc w:val="right"/>
        <w:bidi/>
      </w:pPr>
      <w:r>
        <w:rPr>
          <w:rFonts w:ascii="Arial" w:hAnsi="Arial"/>
          <w:sz w:val="16"/>
        </w:rPr>
        <w:t>301.15  این رویکرد به ایجاد و حفظ اعتماد و احترام بین اعضای گروه کمک می‌کند.</w:t>
      </w:r>
    </w:p>
    <w:p>
      <w:pPr>
        <w:spacing w:after="28" w:line="216" w:lineRule="auto"/>
        <w:ind w:left="259"/>
        <w:jc w:val="left"/>
      </w:pPr>
      <w:r>
        <w:rPr>
          <w:rFonts w:ascii="Arial" w:hAnsi="Arial"/>
          <w:color w:val="525252"/>
          <w:sz w:val="13"/>
        </w:rPr>
        <w:t>This approach helps build and sustain trust and respect between group members.</w:t>
      </w:r>
    </w:p>
    <w:p>
      <w:pPr>
        <w:spacing w:after="20" w:line="223" w:lineRule="auto"/>
        <w:jc w:val="right"/>
        <w:bidi/>
      </w:pPr>
      <w:r>
        <w:rPr>
          <w:rFonts w:ascii="Arial" w:hAnsi="Arial"/>
          <w:sz w:val="16"/>
        </w:rPr>
        <w:t>301.16  معایب مرتبط با این رویکرد این است که زمان بیشتری می‌برد.</w:t>
      </w:r>
    </w:p>
    <w:p>
      <w:pPr>
        <w:spacing w:after="28" w:line="216" w:lineRule="auto"/>
        <w:ind w:left="259"/>
        <w:jc w:val="left"/>
      </w:pPr>
      <w:r>
        <w:rPr>
          <w:rFonts w:ascii="Arial" w:hAnsi="Arial"/>
          <w:color w:val="525252"/>
          <w:sz w:val="13"/>
        </w:rPr>
        <w:t>Cons associated with this approach are that it takes more time.</w:t>
      </w:r>
    </w:p>
    <w:p>
      <w:pPr>
        <w:spacing w:after="20" w:line="223" w:lineRule="auto"/>
        <w:jc w:val="right"/>
        <w:bidi/>
      </w:pPr>
      <w:r>
        <w:rPr>
          <w:rFonts w:ascii="Arial" w:hAnsi="Arial"/>
          <w:sz w:val="16"/>
        </w:rPr>
        <w:t>301.17  همچنین، به دلیل ماهیت گروه‌هایی که برای رسیدن به توافق به مصالحه می‌رسند و رهبر نیاز به پذیرش تصمیم یا تسهیل تجزیه و تحلیل تصمیم‌گیری بیشتر دارد، این احتمال وجود دارد که تصمیم کافی باشد، اما بهینه نباشد.</w:t>
      </w:r>
    </w:p>
    <w:p>
      <w:pPr>
        <w:spacing w:after="28" w:line="216" w:lineRule="auto"/>
        <w:ind w:left="259"/>
        <w:jc w:val="left"/>
      </w:pPr>
      <w:r>
        <w:rPr>
          <w:rFonts w:ascii="Arial" w:hAnsi="Arial"/>
          <w:color w:val="525252"/>
          <w:sz w:val="13"/>
        </w:rPr>
        <w:t>Also, there is the possibility that the decision could be one that is adequate, but not optimal due to the nature of groups arriving at a compromise to reach an agreement and the leader needing to accept the decision or facilitate further decision analysis.</w:t>
      </w:r>
    </w:p>
    <w:p>
      <w:pPr>
        <w:spacing w:after="20" w:line="223" w:lineRule="auto"/>
        <w:jc w:val="right"/>
        <w:bidi/>
      </w:pPr>
      <w:r>
        <w:rPr>
          <w:rFonts w:ascii="Arial" w:hAnsi="Arial"/>
          <w:sz w:val="16"/>
        </w:rPr>
        <w:t>301.18  سطح و: تفویض اختیار با محدودیت‌ها.</w:t>
      </w:r>
    </w:p>
    <w:p>
      <w:pPr>
        <w:spacing w:after="28" w:line="216" w:lineRule="auto"/>
        <w:ind w:left="259"/>
        <w:jc w:val="left"/>
      </w:pPr>
      <w:r>
        <w:rPr>
          <w:rFonts w:ascii="Arial" w:hAnsi="Arial"/>
          <w:color w:val="525252"/>
          <w:sz w:val="13"/>
        </w:rPr>
        <w:t>Level V: Delegate with Constraints.</w:t>
      </w:r>
    </w:p>
    <w:p>
      <w:pPr>
        <w:spacing w:after="20" w:line="223" w:lineRule="auto"/>
        <w:jc w:val="right"/>
        <w:bidi/>
      </w:pPr>
      <w:r>
        <w:rPr>
          <w:rFonts w:ascii="Arial" w:hAnsi="Arial"/>
          <w:sz w:val="16"/>
        </w:rPr>
        <w:t>301.19  در این سطح، رهبران مشکل را به گروه محول می‌کنند و به گروه اجازه می‌دهند در محدوده‌های مشخص شده تصمیم بگیرند.</w:t>
      </w:r>
    </w:p>
    <w:p>
      <w:pPr>
        <w:spacing w:after="28" w:line="216" w:lineRule="auto"/>
        <w:ind w:left="259"/>
        <w:jc w:val="left"/>
      </w:pPr>
      <w:r>
        <w:rPr>
          <w:rFonts w:ascii="Arial" w:hAnsi="Arial"/>
          <w:color w:val="525252"/>
          <w:sz w:val="13"/>
        </w:rPr>
        <w:t>In this level, leaders delegate the problem to the group and authorize the group to make the decision within specified boundaries.</w:t>
      </w:r>
    </w:p>
    <w:p>
      <w:pPr>
        <w:spacing w:after="20" w:line="223" w:lineRule="auto"/>
        <w:jc w:val="right"/>
        <w:bidi/>
      </w:pPr>
      <w:r>
        <w:rPr>
          <w:rFonts w:ascii="Arial" w:hAnsi="Arial"/>
          <w:sz w:val="16"/>
        </w:rPr>
        <w:t>301.20  رهبران گروه را رها نمی‌کنند، بلکه پشتیبانی و منابع را برای موفقیت گروه در تصمیم‌گیری تسهیل می‌کنند.</w:t>
      </w:r>
    </w:p>
    <w:p>
      <w:pPr>
        <w:spacing w:after="28" w:line="216" w:lineRule="auto"/>
        <w:ind w:left="259"/>
        <w:jc w:val="left"/>
      </w:pPr>
      <w:r>
        <w:rPr>
          <w:rFonts w:ascii="Arial" w:hAnsi="Arial"/>
          <w:color w:val="525252"/>
          <w:sz w:val="13"/>
        </w:rPr>
        <w:t>Leaders do not abandon the group but facilitate support and resources to enable the group’s success in making a decision.</w:t>
      </w:r>
    </w:p>
    <w:p>
      <w:pPr>
        <w:spacing w:after="20" w:line="223" w:lineRule="auto"/>
        <w:jc w:val="right"/>
        <w:bidi/>
      </w:pPr>
      <w:r>
        <w:rPr>
          <w:rFonts w:ascii="Arial" w:hAnsi="Arial"/>
          <w:sz w:val="16"/>
        </w:rPr>
        <w:t>301.21  این رویکرد برای ایجاد مهارت‌های رهبری تیم خوب است و امکان مالکیت تصمیم را توسط گروه فراهم می‌کند.</w:t>
      </w:r>
    </w:p>
    <w:p>
      <w:pPr>
        <w:spacing w:after="28" w:line="216" w:lineRule="auto"/>
        <w:ind w:left="259"/>
        <w:jc w:val="left"/>
      </w:pPr>
      <w:r>
        <w:rPr>
          <w:rFonts w:ascii="Arial" w:hAnsi="Arial"/>
          <w:color w:val="525252"/>
          <w:sz w:val="13"/>
        </w:rPr>
        <w:t>This approach is good for building team leadership skills and allows ownership of the decision by the group.</w:t>
      </w:r>
    </w:p>
    <w:p>
      <w:pPr>
        <w:spacing w:after="20" w:line="223" w:lineRule="auto"/>
        <w:jc w:val="right"/>
        <w:bidi/>
      </w:pPr>
      <w:r>
        <w:rPr>
          <w:rFonts w:ascii="Arial" w:hAnsi="Arial"/>
          <w:sz w:val="16"/>
        </w:rPr>
        <w:t>301.22  همچنین رهبر را آزاد می‌کند تا روی مسائل دیگر تمرکز کند.</w:t>
      </w:r>
    </w:p>
    <w:p>
      <w:pPr>
        <w:spacing w:after="28" w:line="216" w:lineRule="auto"/>
        <w:ind w:left="259"/>
        <w:jc w:val="left"/>
      </w:pPr>
      <w:r>
        <w:rPr>
          <w:rFonts w:ascii="Arial" w:hAnsi="Arial"/>
          <w:color w:val="525252"/>
          <w:sz w:val="13"/>
        </w:rPr>
        <w:t>It also frees the leader to focus on other issues.</w:t>
      </w:r>
    </w:p>
    <w:p>
      <w:pPr>
        <w:spacing w:after="20" w:line="223" w:lineRule="auto"/>
        <w:jc w:val="right"/>
        <w:bidi/>
      </w:pPr>
      <w:r>
        <w:rPr>
          <w:rFonts w:ascii="Arial" w:hAnsi="Arial"/>
          <w:sz w:val="16"/>
        </w:rPr>
        <w:t>301.23  معایب مرتبط با این رویکرد این است که زمان بیشتری را می‌طلبد، ممکن است منجر به تصمیمی شود که توسط رهبر به‌عنوان بهینه تلقی نمی‌شود، و تیم ممکن است مهارت‌های لازم برای رسیدن به یک تصمیم با کیفیت را نداشته باشد، و در نتیجه به جای غرور در مالکیت بر تصمیم، ناهماهنگی در بین گروه ایجاد می‌شود.</w:t>
      </w:r>
    </w:p>
    <w:p>
      <w:pPr>
        <w:spacing w:after="28" w:line="216" w:lineRule="auto"/>
        <w:ind w:left="259"/>
        <w:jc w:val="left"/>
      </w:pPr>
      <w:r>
        <w:rPr>
          <w:rFonts w:ascii="Arial" w:hAnsi="Arial"/>
          <w:color w:val="525252"/>
          <w:sz w:val="13"/>
        </w:rPr>
        <w:t>Cons associated with this approach are that it takes more time, it may lead to a decision not viewed by the leader as optimal, and the team may not have the skills to reach a quality decision, resulting in disharmony among the group rather than pride in ownership over the decision.</w:t>
      </w:r>
    </w:p>
    <w:p>
      <w:pPr>
        <w:spacing w:after="20" w:line="223" w:lineRule="auto"/>
        <w:jc w:val="right"/>
        <w:bidi/>
      </w:pPr>
      <w:r>
        <w:rPr>
          <w:rFonts w:ascii="Arial" w:hAnsi="Arial"/>
          <w:sz w:val="16"/>
        </w:rPr>
        <w:t>301.24  توجه داشته باشید که فرآیند وسبورن-پارنس بدون توجه به اینکه چه کسی ورودی ارائه می‌کند یا تصمیم نهایی را می‌گیرد، قابل اعمال است.</w:t>
      </w:r>
    </w:p>
    <w:p>
      <w:pPr>
        <w:spacing w:after="28" w:line="216" w:lineRule="auto"/>
        <w:ind w:left="259"/>
        <w:jc w:val="left"/>
      </w:pPr>
      <w:r>
        <w:rPr>
          <w:rFonts w:ascii="Arial" w:hAnsi="Arial"/>
          <w:color w:val="525252"/>
          <w:sz w:val="13"/>
        </w:rPr>
        <w:t>Note that the Osborn-Parnes process can be applied regardless of who provides input or makes the final decision.</w:t>
      </w:r>
    </w:p>
    <w:p>
      <w:pPr>
        <w:spacing w:after="20" w:line="223" w:lineRule="auto"/>
        <w:jc w:val="right"/>
        <w:bidi/>
      </w:pPr>
      <w:r>
        <w:rPr>
          <w:rFonts w:ascii="Arial" w:hAnsi="Arial"/>
          <w:sz w:val="16"/>
        </w:rPr>
        <w:t>301.25  به‌عنوان مثال، رهبران می‌توانند فرآیند آزبورن-پارنز را برای رسیدن به یک تصمیم به‌طور مستقل اعمال کنند (سطح ی: تصمیم‌گیری و اعلام کنید).</w:t>
      </w:r>
    </w:p>
    <w:p>
      <w:pPr>
        <w:spacing w:after="28" w:line="216" w:lineRule="auto"/>
        <w:ind w:left="259"/>
        <w:jc w:val="left"/>
      </w:pPr>
      <w:r>
        <w:rPr>
          <w:rFonts w:ascii="Arial" w:hAnsi="Arial"/>
          <w:color w:val="525252"/>
          <w:sz w:val="13"/>
        </w:rPr>
        <w:t>For example, leaders can apply the Osborn-Parnes process to reach a decision independently (Level I: Decide and Announce).</w:t>
      </w:r>
    </w:p>
    <w:p>
      <w:pPr>
        <w:spacing w:after="20" w:line="223" w:lineRule="auto"/>
        <w:jc w:val="right"/>
        <w:bidi/>
      </w:pPr>
      <w:r>
        <w:rPr>
          <w:rFonts w:ascii="Arial" w:hAnsi="Arial"/>
          <w:sz w:val="16"/>
        </w:rPr>
        <w:t>301.26  آنها می‌توانند دیگران را فقط در ایده‌یابی مشارکت دهند (سطح ی یا II: جمع‌آوری ورودی و تصمیم‌گیری).</w:t>
      </w:r>
    </w:p>
    <w:p>
      <w:pPr>
        <w:spacing w:after="28" w:line="216" w:lineRule="auto"/>
        <w:ind w:left="259"/>
        <w:jc w:val="left"/>
      </w:pPr>
      <w:r>
        <w:rPr>
          <w:rFonts w:ascii="Arial" w:hAnsi="Arial"/>
          <w:color w:val="525252"/>
          <w:sz w:val="13"/>
        </w:rPr>
        <w:t>They can involve others in Idea Finding only (Level I or II: Gather Input and Decide).</w:t>
      </w:r>
    </w:p>
    <w:p>
      <w:pPr>
        <w:spacing w:after="20" w:line="223" w:lineRule="auto"/>
        <w:jc w:val="right"/>
        <w:bidi/>
      </w:pPr>
      <w:r>
        <w:rPr>
          <w:rFonts w:ascii="Arial" w:hAnsi="Arial"/>
          <w:sz w:val="16"/>
        </w:rPr>
        <w:t>301.27  یا می‌توانند دیگران را تشویق کنند که فرآیند آزبورن-پارنز را اعمال کنند (سطح IV یا و: تسهیل اجماع یا تفویض اختیار با محدودیت‌ها).</w:t>
      </w:r>
    </w:p>
    <w:p>
      <w:pPr>
        <w:spacing w:after="28" w:line="216" w:lineRule="auto"/>
        <w:ind w:left="259"/>
        <w:jc w:val="left"/>
      </w:pPr>
      <w:r>
        <w:rPr>
          <w:rFonts w:ascii="Arial" w:hAnsi="Arial"/>
          <w:color w:val="525252"/>
          <w:sz w:val="13"/>
        </w:rPr>
        <w:t>Or they can encourage others to apply the Osborn-Parnes process (Level IV or V: Facilitate Consensus or Delegate with Constraints).</w:t>
      </w:r>
    </w:p>
    <w:p>
      <w:r>
        <w:br w:type="page"/>
      </w:r>
    </w:p>
    <w:p>
      <w:pPr>
        <w:spacing w:after="60"/>
        <w:jc w:val="right"/>
        <w:bidi/>
      </w:pPr>
      <w:r>
        <w:rPr>
          <w:rFonts w:ascii="Arial" w:hAnsi="Arial"/>
          <w:b/>
          <w:color w:val="1F4D78"/>
          <w:sz w:val="19"/>
        </w:rPr>
        <w:t>هفتهٔ 302  |  صفحهٔ منبع: 318</w:t>
      </w:r>
    </w:p>
    <w:p>
      <w:pPr>
        <w:spacing w:before="60" w:after="28"/>
        <w:jc w:val="right"/>
        <w:bidi/>
      </w:pPr>
      <w:r>
        <w:rPr>
          <w:b/>
          <w:color w:val="1F4D78"/>
          <w:sz w:val="18"/>
        </w:rPr>
        <w:t>بخش 16D - آنچه ما نمی دانیم</w:t>
      </w:r>
    </w:p>
    <w:p>
      <w:pPr>
        <w:spacing w:after="20"/>
        <w:ind w:left="259"/>
        <w:jc w:val="left"/>
      </w:pPr>
      <w:r>
        <w:rPr>
          <w:color w:val="555555"/>
          <w:sz w:val="12"/>
        </w:rPr>
        <w:t>Section 16D—What We Don’t Know</w:t>
      </w:r>
    </w:p>
    <w:p>
      <w:pPr>
        <w:spacing w:before="60" w:after="28"/>
        <w:jc w:val="right"/>
        <w:bidi/>
      </w:pPr>
      <w:r>
        <w:rPr>
          <w:b/>
          <w:color w:val="1F4D78"/>
          <w:sz w:val="18"/>
        </w:rPr>
        <w:t>16.20. گسترش</w:t>
      </w:r>
    </w:p>
    <w:p>
      <w:pPr>
        <w:spacing w:after="20"/>
        <w:ind w:left="259"/>
        <w:jc w:val="left"/>
      </w:pPr>
      <w:r>
        <w:rPr>
          <w:color w:val="555555"/>
          <w:sz w:val="12"/>
        </w:rPr>
        <w:t>16.20. Expansion</w:t>
      </w:r>
    </w:p>
    <w:p>
      <w:pPr>
        <w:spacing w:after="20" w:line="223" w:lineRule="auto"/>
        <w:jc w:val="right"/>
        <w:bidi/>
      </w:pPr>
      <w:r>
        <w:rPr>
          <w:rFonts w:ascii="Arial" w:hAnsi="Arial"/>
          <w:sz w:val="16"/>
        </w:rPr>
        <w:t>302.03  نوآوری، برتری فناوری، آموزش مهارت‌های پیشرفته، قابلیت‌های آینده... چگونه مطمئن شویم که برای آینده آماده هستیم؟</w:t>
      </w:r>
    </w:p>
    <w:p>
      <w:pPr>
        <w:spacing w:after="28" w:line="216" w:lineRule="auto"/>
        <w:ind w:left="259"/>
        <w:jc w:val="left"/>
      </w:pPr>
      <w:r>
        <w:rPr>
          <w:rFonts w:ascii="Arial" w:hAnsi="Arial"/>
          <w:color w:val="525252"/>
          <w:sz w:val="13"/>
        </w:rPr>
        <w:t>Innovation, technological edge, advanced skills training, future capabilities… How do we ensure we are prepared for the future?</w:t>
      </w:r>
    </w:p>
    <w:p>
      <w:pPr>
        <w:spacing w:after="20" w:line="223" w:lineRule="auto"/>
        <w:jc w:val="right"/>
        <w:bidi/>
      </w:pPr>
      <w:r>
        <w:rPr>
          <w:rFonts w:ascii="Arial" w:hAnsi="Arial"/>
          <w:sz w:val="16"/>
        </w:rPr>
        <w:t>302.04  روشن کردن آنچه می‌دانیم و آنچه نمی‌دانیم یک نقطه شروع است.</w:t>
      </w:r>
    </w:p>
    <w:p>
      <w:pPr>
        <w:spacing w:after="28" w:line="216" w:lineRule="auto"/>
        <w:ind w:left="259"/>
        <w:jc w:val="left"/>
      </w:pPr>
      <w:r>
        <w:rPr>
          <w:rFonts w:ascii="Arial" w:hAnsi="Arial"/>
          <w:color w:val="525252"/>
          <w:sz w:val="13"/>
        </w:rPr>
        <w:t>Clarifying what we do know and what we don’t know is one place to start.</w:t>
      </w:r>
    </w:p>
    <w:p>
      <w:pPr>
        <w:spacing w:after="20" w:line="223" w:lineRule="auto"/>
        <w:jc w:val="right"/>
        <w:bidi/>
      </w:pPr>
      <w:r>
        <w:rPr>
          <w:rFonts w:ascii="Arial" w:hAnsi="Arial"/>
          <w:sz w:val="16"/>
        </w:rPr>
        <w:t>302.05  در اینجا چند جمله وجود دارد که بر نیاز ما به ماندن در لبه برش تاکید می‌کند.</w:t>
      </w:r>
    </w:p>
    <w:p>
      <w:pPr>
        <w:spacing w:after="28" w:line="216" w:lineRule="auto"/>
        <w:ind w:left="259"/>
        <w:jc w:val="left"/>
      </w:pPr>
      <w:r>
        <w:rPr>
          <w:rFonts w:ascii="Arial" w:hAnsi="Arial"/>
          <w:color w:val="525252"/>
          <w:sz w:val="13"/>
        </w:rPr>
        <w:t>Here are a few statements that emphasize our need to stay on the cutting edge.</w:t>
      </w:r>
    </w:p>
    <w:p>
      <w:pPr>
        <w:spacing w:after="20" w:line="223" w:lineRule="auto"/>
        <w:jc w:val="right"/>
        <w:bidi/>
      </w:pPr>
      <w:r>
        <w:rPr>
          <w:rFonts w:ascii="Arial" w:hAnsi="Arial"/>
          <w:sz w:val="16"/>
        </w:rPr>
        <w:t>302.06  هواپیماهای نسل پنجم برای نفوذ به پدافند هوایی موجود دشمنان حیاتی هستند، اما کشورهای دیگر به سرمایه گذاری در سیستم‌های دفاع هوایی پیشرفته ادامه می‌دهند.</w:t>
      </w:r>
    </w:p>
    <w:p>
      <w:pPr>
        <w:spacing w:after="28" w:line="216" w:lineRule="auto"/>
        <w:ind w:left="259"/>
        <w:jc w:val="left"/>
      </w:pPr>
      <w:r>
        <w:rPr>
          <w:rFonts w:ascii="Arial" w:hAnsi="Arial"/>
          <w:color w:val="525252"/>
          <w:sz w:val="13"/>
        </w:rPr>
        <w:t>Fifth-generation aircraft are critical to penetrate adversaries’ existing air defenses, but other nations continue to invest in advanced air defense systems.</w:t>
      </w:r>
    </w:p>
    <w:p>
      <w:pPr>
        <w:spacing w:after="20" w:line="223" w:lineRule="auto"/>
        <w:jc w:val="right"/>
        <w:bidi/>
      </w:pPr>
      <w:r>
        <w:rPr>
          <w:rFonts w:ascii="Arial" w:hAnsi="Arial"/>
          <w:sz w:val="16"/>
        </w:rPr>
        <w:t>302.07  دشمنان پیرو سریع فناوری آمریکایی هستند، دائما شکاف را کاهش می‌دهند و به دنبال راه‌هایی برای پیشی گرفتن یا شکست دادن نوآوری آمریکایی هستند.</w:t>
      </w:r>
    </w:p>
    <w:p>
      <w:pPr>
        <w:spacing w:after="28" w:line="216" w:lineRule="auto"/>
        <w:ind w:left="259"/>
        <w:jc w:val="left"/>
      </w:pPr>
      <w:r>
        <w:rPr>
          <w:rFonts w:ascii="Arial" w:hAnsi="Arial"/>
          <w:color w:val="525252"/>
          <w:sz w:val="13"/>
        </w:rPr>
        <w:t>Adversaries are fast followers of American technology, constantly narrowing the gap and looking for ways to surpass or defeat American innovation.</w:t>
      </w:r>
    </w:p>
    <w:p>
      <w:pPr>
        <w:spacing w:after="20" w:line="223" w:lineRule="auto"/>
        <w:jc w:val="right"/>
        <w:bidi/>
      </w:pPr>
      <w:r>
        <w:rPr>
          <w:rFonts w:ascii="Arial" w:hAnsi="Arial"/>
          <w:sz w:val="16"/>
        </w:rPr>
        <w:t>302.08  حتی دشمنانی که نمی‌توانند با نیروی هوایی آمریکا در آسمان رقابت کنند، برتری هوایی ما را با استفاده از سیستم‌ها و فناوری‌های زمینی به چالش می‌کشند.</w:t>
      </w:r>
    </w:p>
    <w:p>
      <w:pPr>
        <w:spacing w:after="28" w:line="216" w:lineRule="auto"/>
        <w:ind w:left="259"/>
        <w:jc w:val="left"/>
      </w:pPr>
      <w:r>
        <w:rPr>
          <w:rFonts w:ascii="Arial" w:hAnsi="Arial"/>
          <w:color w:val="525252"/>
          <w:sz w:val="13"/>
        </w:rPr>
        <w:t>Even adversaries who can’t compete with American airpower in the sky challenge our air superiority by using ground-based systems and technology.</w:t>
      </w:r>
    </w:p>
    <w:p>
      <w:pPr>
        <w:spacing w:after="20" w:line="223" w:lineRule="auto"/>
        <w:jc w:val="right"/>
        <w:bidi/>
      </w:pPr>
      <w:r>
        <w:rPr>
          <w:rFonts w:ascii="Arial" w:hAnsi="Arial"/>
          <w:sz w:val="16"/>
        </w:rPr>
        <w:t>302.09  حفظ برتری هوا در آینده مستلزم سرمایه‌گذاری مداوم در فناوری و تحقیقات امروزی است.</w:t>
      </w:r>
    </w:p>
    <w:p>
      <w:pPr>
        <w:spacing w:after="28" w:line="216" w:lineRule="auto"/>
        <w:ind w:left="259"/>
        <w:jc w:val="left"/>
      </w:pPr>
      <w:r>
        <w:rPr>
          <w:rFonts w:ascii="Arial" w:hAnsi="Arial"/>
          <w:color w:val="525252"/>
          <w:sz w:val="13"/>
        </w:rPr>
        <w:t>Maintaining air superiority into the future requires consistent investment in technology and research today.</w:t>
      </w:r>
    </w:p>
    <w:p>
      <w:pPr>
        <w:spacing w:after="20" w:line="223" w:lineRule="auto"/>
        <w:jc w:val="right"/>
        <w:bidi/>
      </w:pPr>
      <w:r>
        <w:rPr>
          <w:rFonts w:ascii="Arial" w:hAnsi="Arial"/>
          <w:sz w:val="16"/>
        </w:rPr>
        <w:t>302.10  از آنجایی که فناوری دشمن شکاف را کاهش می‌دهد، هوانوردان آمریکایی بسیار آموزش دیده این مزیت را فراهم می‌کنند.</w:t>
      </w:r>
    </w:p>
    <w:p>
      <w:pPr>
        <w:spacing w:after="28" w:line="216" w:lineRule="auto"/>
        <w:ind w:left="259"/>
        <w:jc w:val="left"/>
      </w:pPr>
      <w:r>
        <w:rPr>
          <w:rFonts w:ascii="Arial" w:hAnsi="Arial"/>
          <w:color w:val="525252"/>
          <w:sz w:val="13"/>
        </w:rPr>
        <w:t>As adversary technology narrows the gap, highly trained American Airmen provide the advantage.</w:t>
      </w:r>
    </w:p>
    <w:p>
      <w:pPr>
        <w:spacing w:after="20" w:line="223" w:lineRule="auto"/>
        <w:jc w:val="right"/>
        <w:bidi/>
      </w:pPr>
      <w:r>
        <w:rPr>
          <w:rFonts w:ascii="Arial" w:hAnsi="Arial"/>
          <w:sz w:val="16"/>
        </w:rPr>
        <w:t>302.11  آموزش در برابر تهدیدات دقیق و واقع بینانه برای آماده‌سازی هوانوردان برای واکنش در عرض چند ثانیه در طول عملیات در دنیای واقعی حیاتی است.</w:t>
      </w:r>
    </w:p>
    <w:p>
      <w:pPr>
        <w:spacing w:after="28" w:line="216" w:lineRule="auto"/>
        <w:ind w:left="259"/>
        <w:jc w:val="left"/>
      </w:pPr>
      <w:r>
        <w:rPr>
          <w:rFonts w:ascii="Arial" w:hAnsi="Arial"/>
          <w:color w:val="525252"/>
          <w:sz w:val="13"/>
        </w:rPr>
        <w:t>Training against rigorous and realistic threats is vital to prepare Airmen to react within seconds during real world operations.</w:t>
      </w:r>
    </w:p>
    <w:p>
      <w:pPr>
        <w:spacing w:after="20" w:line="223" w:lineRule="auto"/>
        <w:jc w:val="right"/>
        <w:bidi/>
      </w:pPr>
      <w:r>
        <w:rPr>
          <w:rFonts w:ascii="Arial" w:hAnsi="Arial"/>
          <w:sz w:val="16"/>
        </w:rPr>
        <w:t>302.12  فقدان ثبات بودجه و قابلیت پیش‌بینی، نوسازی فناوری و امکانات آموزشی را برای USAF دشوار می‌کند و اطمینان حاصل می‌کند که خلبانان ما برتری خود را در برابر دشمنان حفظ می‌کنند.</w:t>
      </w:r>
    </w:p>
    <w:p>
      <w:pPr>
        <w:spacing w:after="28" w:line="216" w:lineRule="auto"/>
        <w:ind w:left="259"/>
        <w:jc w:val="left"/>
      </w:pPr>
      <w:r>
        <w:rPr>
          <w:rFonts w:ascii="Arial" w:hAnsi="Arial"/>
          <w:color w:val="525252"/>
          <w:sz w:val="13"/>
        </w:rPr>
        <w:t>The lack of budget stability and predictability makes it difficult for the USAF to modernize training technology and facilities and ensure our pilots maintain an edge over adversaries.</w:t>
      </w:r>
    </w:p>
    <w:p>
      <w:pPr>
        <w:spacing w:before="60" w:after="28"/>
        <w:jc w:val="right"/>
        <w:bidi/>
      </w:pPr>
      <w:r>
        <w:rPr>
          <w:b/>
          <w:color w:val="1F4D78"/>
          <w:sz w:val="18"/>
        </w:rPr>
        <w:t>16.21. توانمندسازی</w:t>
      </w:r>
    </w:p>
    <w:p>
      <w:pPr>
        <w:spacing w:after="20"/>
        <w:ind w:left="259"/>
        <w:jc w:val="left"/>
      </w:pPr>
      <w:r>
        <w:rPr>
          <w:color w:val="555555"/>
          <w:sz w:val="12"/>
        </w:rPr>
        <w:t>16.21. Empowerment</w:t>
      </w:r>
    </w:p>
    <w:p>
      <w:pPr>
        <w:spacing w:after="20" w:line="223" w:lineRule="auto"/>
        <w:jc w:val="right"/>
        <w:bidi/>
      </w:pPr>
      <w:r>
        <w:rPr>
          <w:rFonts w:ascii="Arial" w:hAnsi="Arial"/>
          <w:sz w:val="16"/>
        </w:rPr>
        <w:t>302.14  رهبر امروزی وظیفه تقریبا غیرممکنی دارد که با تکنولوژی همیشه در حال تغییر همگام باشد.</w:t>
      </w:r>
    </w:p>
    <w:p>
      <w:pPr>
        <w:spacing w:after="28" w:line="216" w:lineRule="auto"/>
        <w:ind w:left="259"/>
        <w:jc w:val="left"/>
      </w:pPr>
      <w:r>
        <w:rPr>
          <w:rFonts w:ascii="Arial" w:hAnsi="Arial"/>
          <w:color w:val="525252"/>
          <w:sz w:val="13"/>
        </w:rPr>
        <w:t>Today’s leader has the almost impossible task of keeping up with ever-changing technology.</w:t>
      </w:r>
    </w:p>
    <w:p>
      <w:pPr>
        <w:spacing w:after="20" w:line="223" w:lineRule="auto"/>
        <w:jc w:val="right"/>
        <w:bidi/>
      </w:pPr>
      <w:r>
        <w:rPr>
          <w:rFonts w:ascii="Arial" w:hAnsi="Arial"/>
          <w:sz w:val="16"/>
        </w:rPr>
        <w:t>302.15  اعضای جوان امروزی دانش، مهارت‌ها و توانایی‌هایی دارند که فرصت‌های نامحدودی را برای به حداکثر رساندن اثربخشی مرکز کاری باز می‌کنند.</w:t>
      </w:r>
    </w:p>
    <w:p>
      <w:pPr>
        <w:spacing w:after="28" w:line="216" w:lineRule="auto"/>
        <w:ind w:left="259"/>
        <w:jc w:val="left"/>
      </w:pPr>
      <w:r>
        <w:rPr>
          <w:rFonts w:ascii="Arial" w:hAnsi="Arial"/>
          <w:color w:val="525252"/>
          <w:sz w:val="13"/>
        </w:rPr>
        <w:t>Today’s junior members have knowledge, skills, and abilities that open unlimited opportunities to maximize work center effectiveness.</w:t>
      </w:r>
    </w:p>
    <w:p>
      <w:pPr>
        <w:spacing w:after="20" w:line="223" w:lineRule="auto"/>
        <w:jc w:val="right"/>
        <w:bidi/>
      </w:pPr>
      <w:r>
        <w:rPr>
          <w:rFonts w:ascii="Arial" w:hAnsi="Arial"/>
          <w:sz w:val="16"/>
        </w:rPr>
        <w:t>302.16  رهبران باید هوانوردان را تشویق کنند تا قابلیت‌های خود را توسعه دهند و تمایل آنها را برای بهبود اثربخشی سازمانی تقویت کنند.</w:t>
      </w:r>
    </w:p>
    <w:p>
      <w:pPr>
        <w:spacing w:after="28" w:line="216" w:lineRule="auto"/>
        <w:ind w:left="259"/>
        <w:jc w:val="left"/>
      </w:pPr>
      <w:r>
        <w:rPr>
          <w:rFonts w:ascii="Arial" w:hAnsi="Arial"/>
          <w:color w:val="525252"/>
          <w:sz w:val="13"/>
        </w:rPr>
        <w:t>Leaders must encourage Airmen to develop their capabilities and foster their willingness to improve organizational effectiveness.</w:t>
      </w:r>
    </w:p>
    <w:p>
      <w:pPr>
        <w:spacing w:after="20" w:line="223" w:lineRule="auto"/>
        <w:jc w:val="right"/>
        <w:bidi/>
      </w:pPr>
      <w:r>
        <w:rPr>
          <w:rFonts w:ascii="Arial" w:hAnsi="Arial"/>
          <w:sz w:val="16"/>
        </w:rPr>
        <w:t>302.17  پیروی توانمند، مانند انگیزه، نیازمند تلاش مشترک بین رهبران و افرادی است که رهبری می‌کنند.</w:t>
      </w:r>
    </w:p>
    <w:p>
      <w:pPr>
        <w:spacing w:after="28" w:line="216" w:lineRule="auto"/>
        <w:ind w:left="259"/>
        <w:jc w:val="left"/>
      </w:pPr>
      <w:r>
        <w:rPr>
          <w:rFonts w:ascii="Arial" w:hAnsi="Arial"/>
          <w:color w:val="525252"/>
          <w:sz w:val="13"/>
        </w:rPr>
        <w:t>Empowered followership, like motivation, requires a joint effort between leaders and the individuals they lead.</w:t>
      </w:r>
    </w:p>
    <w:p>
      <w:pPr>
        <w:spacing w:after="20" w:line="223" w:lineRule="auto"/>
        <w:jc w:val="right"/>
        <w:bidi/>
      </w:pPr>
      <w:r>
        <w:rPr>
          <w:rFonts w:ascii="Arial" w:hAnsi="Arial"/>
          <w:sz w:val="16"/>
        </w:rPr>
        <w:t>302.18  این تلاش باید به‌طور مستمر ترویج شود.</w:t>
      </w:r>
    </w:p>
    <w:p>
      <w:pPr>
        <w:spacing w:after="28" w:line="216" w:lineRule="auto"/>
        <w:ind w:left="259"/>
        <w:jc w:val="left"/>
      </w:pPr>
      <w:r>
        <w:rPr>
          <w:rFonts w:ascii="Arial" w:hAnsi="Arial"/>
          <w:color w:val="525252"/>
          <w:sz w:val="13"/>
        </w:rPr>
        <w:t>This effort must be continuously promoted.</w:t>
      </w:r>
    </w:p>
    <w:p>
      <w:pPr>
        <w:spacing w:after="20" w:line="223" w:lineRule="auto"/>
        <w:jc w:val="right"/>
        <w:bidi/>
      </w:pPr>
      <w:r>
        <w:rPr>
          <w:rFonts w:ascii="Arial" w:hAnsi="Arial"/>
          <w:sz w:val="16"/>
        </w:rPr>
        <w:t>302.19  زمانی که رهبر به پیروان کمک می‌کند تا ابتکارات خود را توسعه دهند، آنها را تشویق کند تا از قضاوت خود استفاده کنند و به آنها اجازه رشد دهد، این مأموریت به بهترین وجه انجام می‌شود.</w:t>
      </w:r>
    </w:p>
    <w:p>
      <w:pPr>
        <w:spacing w:after="28" w:line="216" w:lineRule="auto"/>
        <w:ind w:left="259"/>
        <w:jc w:val="left"/>
      </w:pPr>
      <w:r>
        <w:rPr>
          <w:rFonts w:ascii="Arial" w:hAnsi="Arial"/>
          <w:color w:val="525252"/>
          <w:sz w:val="13"/>
        </w:rPr>
        <w:t>The mission is best served when the leader helps followers develop their own initiatives, encourages them to use their own judgment, and allows them to grow.</w:t>
      </w:r>
    </w:p>
    <w:p>
      <w:pPr>
        <w:spacing w:after="20" w:line="223" w:lineRule="auto"/>
        <w:jc w:val="right"/>
        <w:bidi/>
      </w:pPr>
      <w:r>
        <w:rPr>
          <w:rFonts w:ascii="Arial" w:hAnsi="Arial"/>
          <w:sz w:val="16"/>
        </w:rPr>
        <w:t>302.20  در نتیجه ارتقاء پیروان قدرتمند، خلاقیت و نوآوری به‌طور چشمگیری بهبود می‌یابد.</w:t>
      </w:r>
    </w:p>
    <w:p>
      <w:pPr>
        <w:spacing w:after="28" w:line="216" w:lineRule="auto"/>
        <w:ind w:left="259"/>
        <w:jc w:val="left"/>
      </w:pPr>
      <w:r>
        <w:rPr>
          <w:rFonts w:ascii="Arial" w:hAnsi="Arial"/>
          <w:color w:val="525252"/>
          <w:sz w:val="13"/>
        </w:rPr>
        <w:t>As a result of promoting empowered followership, creativity and innovativeness improve dramatically.</w:t>
      </w:r>
    </w:p>
    <w:p>
      <w:pPr>
        <w:spacing w:after="20" w:line="223" w:lineRule="auto"/>
        <w:jc w:val="right"/>
        <w:bidi/>
      </w:pPr>
      <w:r>
        <w:rPr>
          <w:rFonts w:ascii="Arial" w:hAnsi="Arial"/>
          <w:sz w:val="16"/>
        </w:rPr>
        <w:t>302.21  توانمندسازی نیرویی است که به افراد انرژی می‌دهد و مسئولیت، مالکیت و کنترل بر کاری که انجام می‌دهند را فراهم می‌کند.</w:t>
      </w:r>
    </w:p>
    <w:p>
      <w:pPr>
        <w:spacing w:after="28" w:line="216" w:lineRule="auto"/>
        <w:ind w:left="259"/>
        <w:jc w:val="left"/>
      </w:pPr>
      <w:r>
        <w:rPr>
          <w:rFonts w:ascii="Arial" w:hAnsi="Arial"/>
          <w:color w:val="525252"/>
          <w:sz w:val="13"/>
        </w:rPr>
        <w:t>Empowerment is a force that energizes people and provides responsibility, ownership, and control over the work they perform.</w:t>
      </w:r>
    </w:p>
    <w:p>
      <w:pPr>
        <w:spacing w:after="20" w:line="223" w:lineRule="auto"/>
        <w:jc w:val="right"/>
        <w:bidi/>
      </w:pPr>
      <w:r>
        <w:rPr>
          <w:rFonts w:ascii="Arial" w:hAnsi="Arial"/>
          <w:sz w:val="16"/>
        </w:rPr>
        <w:t>302.22  تفویض اختیار نیست؛ با این حال، توانمندسازی مؤثر مستلزم تفویض اختیار خوب است.</w:t>
      </w:r>
    </w:p>
    <w:p>
      <w:pPr>
        <w:spacing w:after="28" w:line="216" w:lineRule="auto"/>
        <w:ind w:left="259"/>
        <w:jc w:val="left"/>
      </w:pPr>
      <w:r>
        <w:rPr>
          <w:rFonts w:ascii="Arial" w:hAnsi="Arial"/>
          <w:color w:val="525252"/>
          <w:sz w:val="13"/>
        </w:rPr>
        <w:t>Delegation is not empowerment; however, effective empowerment does require good delegation.</w:t>
      </w:r>
    </w:p>
    <w:p>
      <w:pPr>
        <w:spacing w:after="20" w:line="223" w:lineRule="auto"/>
        <w:jc w:val="right"/>
        <w:bidi/>
      </w:pPr>
      <w:r>
        <w:rPr>
          <w:rFonts w:ascii="Arial" w:hAnsi="Arial"/>
          <w:sz w:val="16"/>
        </w:rPr>
        <w:t>302.23  تعیین وظایف و اجازه دادن به آزادی و اختیار برای انجام خلاقانه آن وظایف، جوهره توانمندسازی است.</w:t>
      </w:r>
    </w:p>
    <w:p>
      <w:pPr>
        <w:spacing w:after="28" w:line="216" w:lineRule="auto"/>
        <w:ind w:left="259"/>
        <w:jc w:val="left"/>
      </w:pPr>
      <w:r>
        <w:rPr>
          <w:rFonts w:ascii="Arial" w:hAnsi="Arial"/>
          <w:color w:val="525252"/>
          <w:sz w:val="13"/>
        </w:rPr>
        <w:t>Assigning tasks and allowing the freedom and authority to creatively accomplish those tasks is the essence of empowerment.</w:t>
      </w:r>
    </w:p>
    <w:p>
      <w:pPr>
        <w:spacing w:after="20" w:line="223" w:lineRule="auto"/>
        <w:jc w:val="right"/>
        <w:bidi/>
      </w:pPr>
      <w:r>
        <w:rPr>
          <w:rFonts w:ascii="Arial" w:hAnsi="Arial"/>
          <w:sz w:val="16"/>
        </w:rPr>
        <w:t>302.24  توانمندسازی به‌کارگران اجازه می‌دهد در چشم انداز سازمان به سهامداران تبدیل شوند.</w:t>
      </w:r>
    </w:p>
    <w:p>
      <w:pPr>
        <w:spacing w:after="28" w:line="216" w:lineRule="auto"/>
        <w:ind w:left="259"/>
        <w:jc w:val="left"/>
      </w:pPr>
      <w:r>
        <w:rPr>
          <w:rFonts w:ascii="Arial" w:hAnsi="Arial"/>
          <w:color w:val="525252"/>
          <w:sz w:val="13"/>
        </w:rPr>
        <w:t>Empowerment allows workers to become stakeholders in the organization’s vision.</w:t>
      </w:r>
    </w:p>
    <w:p>
      <w:pPr>
        <w:spacing w:after="20" w:line="223" w:lineRule="auto"/>
        <w:jc w:val="right"/>
        <w:bidi/>
      </w:pPr>
      <w:r>
        <w:rPr>
          <w:rFonts w:ascii="Arial" w:hAnsi="Arial"/>
          <w:sz w:val="16"/>
        </w:rPr>
        <w:t>302.25  هنگامی که اعضا به چشم انداز متعهد شدند، در شکل دادن و شکل دادن به یک چشم انداز مشترک شرکت می‌کنند.</w:t>
      </w:r>
    </w:p>
    <w:p>
      <w:pPr>
        <w:spacing w:after="28" w:line="216" w:lineRule="auto"/>
        <w:ind w:left="259"/>
        <w:jc w:val="left"/>
      </w:pPr>
      <w:r>
        <w:rPr>
          <w:rFonts w:ascii="Arial" w:hAnsi="Arial"/>
          <w:color w:val="525252"/>
          <w:sz w:val="13"/>
        </w:rPr>
        <w:t>Once committed to the vision, members participate in shaping and fashioning a shared vision.</w:t>
      </w:r>
    </w:p>
    <w:p>
      <w:pPr>
        <w:spacing w:after="20" w:line="223" w:lineRule="auto"/>
        <w:jc w:val="right"/>
        <w:bidi/>
      </w:pPr>
      <w:r>
        <w:rPr>
          <w:rFonts w:ascii="Arial" w:hAnsi="Arial"/>
          <w:sz w:val="16"/>
        </w:rPr>
        <w:t>302.26  این چشم انداز توسعه یافته به‌طور هم افزایی افراد را تشویق می‌کند تا بر آنچه در آینده در انتظارشان است تمرکز کنند، نه فقط به این دلیل که باید، بلکه به این دلیل که می‌خواهند.</w:t>
      </w:r>
    </w:p>
    <w:p>
      <w:pPr>
        <w:spacing w:after="28" w:line="216" w:lineRule="auto"/>
        <w:ind w:left="259"/>
        <w:jc w:val="left"/>
      </w:pPr>
      <w:r>
        <w:rPr>
          <w:rFonts w:ascii="Arial" w:hAnsi="Arial"/>
          <w:color w:val="525252"/>
          <w:sz w:val="13"/>
        </w:rPr>
        <w:t>This synergistically developed vision motivates people to focus on what the future holds, not simply because they must, but because they want to.</w:t>
      </w:r>
    </w:p>
    <w:p>
      <w:pPr>
        <w:spacing w:after="20" w:line="223" w:lineRule="auto"/>
        <w:jc w:val="right"/>
        <w:bidi/>
      </w:pPr>
      <w:r>
        <w:rPr>
          <w:rFonts w:ascii="Arial" w:hAnsi="Arial"/>
          <w:sz w:val="16"/>
        </w:rPr>
        <w:t>302.27  ارتش به‌طور سنتی یک سازمان استبدادی است.</w:t>
      </w:r>
    </w:p>
    <w:p>
      <w:pPr>
        <w:spacing w:after="28" w:line="216" w:lineRule="auto"/>
        <w:ind w:left="259"/>
        <w:jc w:val="left"/>
      </w:pPr>
      <w:r>
        <w:rPr>
          <w:rFonts w:ascii="Arial" w:hAnsi="Arial"/>
          <w:color w:val="525252"/>
          <w:sz w:val="13"/>
        </w:rPr>
        <w:t>The military is traditionally an authoritarian organization.</w:t>
      </w:r>
    </w:p>
    <w:p>
      <w:pPr>
        <w:spacing w:after="20" w:line="223" w:lineRule="auto"/>
        <w:jc w:val="right"/>
        <w:bidi/>
      </w:pPr>
      <w:r>
        <w:rPr>
          <w:rFonts w:ascii="Arial" w:hAnsi="Arial"/>
          <w:sz w:val="16"/>
        </w:rPr>
        <w:t>302.28  نیاز به تصمیم‌گیری سریع و واکنش به بحران معمولا نیازمند یک چارچوب سلسله مراتبی سنتی است. با این حال، چارچوب‌های سلسله مراتبی پیچیده همیشه منجر به تصمیم‌گیری‌های سریع نمی‌شود.</w:t>
      </w:r>
    </w:p>
    <w:p>
      <w:pPr>
        <w:spacing w:after="28" w:line="216" w:lineRule="auto"/>
        <w:ind w:left="259"/>
        <w:jc w:val="left"/>
      </w:pPr>
      <w:r>
        <w:rPr>
          <w:rFonts w:ascii="Arial" w:hAnsi="Arial"/>
          <w:color w:val="525252"/>
          <w:sz w:val="13"/>
        </w:rPr>
        <w:t>The need for rapid decision-making and crisis response normally necessitates a traditional hierarchical framework; however, complex hierarchical frameworks do not always result in rapid decisions.</w:t>
      </w:r>
    </w:p>
    <w:p>
      <w:pPr>
        <w:spacing w:after="20" w:line="223" w:lineRule="auto"/>
        <w:jc w:val="right"/>
        <w:bidi/>
      </w:pPr>
      <w:r>
        <w:rPr>
          <w:rFonts w:ascii="Arial" w:hAnsi="Arial"/>
          <w:sz w:val="16"/>
        </w:rPr>
        <w:t>302.29  علاوه بر این، دگرگونی مستمر نقش‌های رهبر-پیرو، منادی محیطی است که به رهبران و پیروان این امکان را می‌دهد تا اهداف و مقاصد سازمانی را به‌طور مؤثرتری تحقق بخشند.</w:t>
      </w:r>
    </w:p>
    <w:p>
      <w:pPr>
        <w:spacing w:after="28" w:line="216" w:lineRule="auto"/>
        <w:ind w:left="259"/>
        <w:jc w:val="left"/>
      </w:pPr>
      <w:r>
        <w:rPr>
          <w:rFonts w:ascii="Arial" w:hAnsi="Arial"/>
          <w:color w:val="525252"/>
          <w:sz w:val="13"/>
        </w:rPr>
        <w:t>Furthermore, the continual transformation of leader-follower roles is heralding an environment that allows both leaders and followers to more effectively realize organizational goals and objectives.</w:t>
      </w:r>
    </w:p>
    <w:p>
      <w:r>
        <w:br w:type="page"/>
      </w:r>
    </w:p>
    <w:p>
      <w:pPr>
        <w:spacing w:after="60"/>
        <w:jc w:val="right"/>
        <w:bidi/>
      </w:pPr>
      <w:r>
        <w:rPr>
          <w:rFonts w:ascii="Arial" w:hAnsi="Arial"/>
          <w:b/>
          <w:color w:val="1F4D78"/>
          <w:sz w:val="19"/>
        </w:rPr>
        <w:t>هفتهٔ 303  |  صفحهٔ منبع: 319</w:t>
      </w:r>
    </w:p>
    <w:p>
      <w:pPr>
        <w:spacing w:after="20" w:line="223" w:lineRule="auto"/>
        <w:jc w:val="right"/>
        <w:bidi/>
      </w:pPr>
      <w:r>
        <w:rPr>
          <w:rFonts w:ascii="Arial" w:hAnsi="Arial"/>
          <w:sz w:val="16"/>
        </w:rPr>
        <w:t>303.01  از نظر تاریخی، رهبران واقعا بزرگ گذشته هرگز مستقیما به مردم خود نگفتند که چگونه وظایف خود را انجام دهند. در عوض، آنها آنچه را که باید انجام شود توضیح دادند و زمین بازی را ایجاد کردند که به افرادشان اجازه می‌داد به تنهایی به موفقیت برسند.</w:t>
      </w:r>
    </w:p>
    <w:p>
      <w:pPr>
        <w:spacing w:after="28" w:line="216" w:lineRule="auto"/>
        <w:ind w:left="259"/>
        <w:jc w:val="left"/>
      </w:pPr>
      <w:r>
        <w:rPr>
          <w:rFonts w:ascii="Arial" w:hAnsi="Arial"/>
          <w:color w:val="525252"/>
          <w:sz w:val="13"/>
        </w:rPr>
        <w:t>Historically, truly great leaders of the past never directly told their people how to do their jobs; rather, they explained what needed to be done and established a playing field that allowed their people to achieve success on their own.</w:t>
      </w:r>
    </w:p>
    <w:p>
      <w:pPr>
        <w:spacing w:after="20" w:line="223" w:lineRule="auto"/>
        <w:jc w:val="right"/>
        <w:bidi/>
      </w:pPr>
      <w:r>
        <w:rPr>
          <w:rFonts w:ascii="Arial" w:hAnsi="Arial"/>
          <w:sz w:val="16"/>
        </w:rPr>
        <w:t>303.02  در نتیجه، موفقیت پیرو به موفقیت رهبر و سازمان تبدیل شد.</w:t>
      </w:r>
    </w:p>
    <w:p>
      <w:pPr>
        <w:spacing w:after="28" w:line="216" w:lineRule="auto"/>
        <w:ind w:left="259"/>
        <w:jc w:val="left"/>
      </w:pPr>
      <w:r>
        <w:rPr>
          <w:rFonts w:ascii="Arial" w:hAnsi="Arial"/>
          <w:color w:val="525252"/>
          <w:sz w:val="13"/>
        </w:rPr>
        <w:t>Consequently, the follower’s success became a success for the leader and the organization.</w:t>
      </w:r>
    </w:p>
    <w:p>
      <w:pPr>
        <w:spacing w:after="20" w:line="223" w:lineRule="auto"/>
        <w:jc w:val="right"/>
        <w:bidi/>
      </w:pPr>
      <w:r>
        <w:rPr>
          <w:rFonts w:ascii="Arial" w:hAnsi="Arial"/>
          <w:sz w:val="16"/>
        </w:rPr>
        <w:t>303.03  هنگامی که رهبران نظرات خود را درخواست می‌کنند، دانش، علاقه و پارامترهای پشتیبانی را کشف می‌کنند.</w:t>
      </w:r>
    </w:p>
    <w:p>
      <w:pPr>
        <w:spacing w:after="28" w:line="216" w:lineRule="auto"/>
        <w:ind w:left="259"/>
        <w:jc w:val="left"/>
      </w:pPr>
      <w:r>
        <w:rPr>
          <w:rFonts w:ascii="Arial" w:hAnsi="Arial"/>
          <w:color w:val="525252"/>
          <w:sz w:val="13"/>
        </w:rPr>
        <w:t>When leaders solicit input, they discover the knowledge, interest, and parameters of support.</w:t>
      </w:r>
    </w:p>
    <w:p>
      <w:pPr>
        <w:spacing w:after="20" w:line="223" w:lineRule="auto"/>
        <w:jc w:val="right"/>
        <w:bidi/>
      </w:pPr>
      <w:r>
        <w:rPr>
          <w:rFonts w:ascii="Arial" w:hAnsi="Arial"/>
          <w:sz w:val="16"/>
        </w:rPr>
        <w:t>303.04  توانمندسازی عملکرد سازمانی را با ارتقای مشارکت هر یک از اعضای سازمان افزایش می‌دهد.</w:t>
      </w:r>
    </w:p>
    <w:p>
      <w:pPr>
        <w:spacing w:after="28" w:line="216" w:lineRule="auto"/>
        <w:ind w:left="259"/>
        <w:jc w:val="left"/>
      </w:pPr>
      <w:r>
        <w:rPr>
          <w:rFonts w:ascii="Arial" w:hAnsi="Arial"/>
          <w:color w:val="525252"/>
          <w:sz w:val="13"/>
        </w:rPr>
        <w:t>Empowerment enhances organizational performance by promoting contributions from every member of the organization.</w:t>
      </w:r>
    </w:p>
    <w:p>
      <w:pPr>
        <w:spacing w:after="20" w:line="223" w:lineRule="auto"/>
        <w:jc w:val="right"/>
        <w:bidi/>
      </w:pPr>
      <w:r>
        <w:rPr>
          <w:rFonts w:ascii="Arial" w:hAnsi="Arial"/>
          <w:sz w:val="16"/>
        </w:rPr>
        <w:t>303.05  اعتماد سنگ بنای روابط متقابل وابسته است که بین رهبران و پیروان مشترک است. بنابراین، رهبران باید در معرفی توانمندسازی انعطاف پذیر و صبور باشند.</w:t>
      </w:r>
    </w:p>
    <w:p>
      <w:pPr>
        <w:spacing w:after="28" w:line="216" w:lineRule="auto"/>
        <w:ind w:left="259"/>
        <w:jc w:val="left"/>
      </w:pPr>
      <w:r>
        <w:rPr>
          <w:rFonts w:ascii="Arial" w:hAnsi="Arial"/>
          <w:color w:val="525252"/>
          <w:sz w:val="13"/>
        </w:rPr>
        <w:t>Trust is the cornerstone of the mutually dependent relationship shared by leaders and followers; therefore, leaders must be flexible and patient in introducing empowerment.</w:t>
      </w:r>
    </w:p>
    <w:p>
      <w:pPr>
        <w:spacing w:after="20" w:line="223" w:lineRule="auto"/>
        <w:jc w:val="right"/>
        <w:bidi/>
      </w:pPr>
      <w:r>
        <w:rPr>
          <w:rFonts w:ascii="Arial" w:hAnsi="Arial"/>
          <w:sz w:val="16"/>
        </w:rPr>
        <w:t>303.06  با تفویض تصمیمات به نزدیکترین افراد به مسائل و با دادن انعطاف پذیری به نیروهای هوایی در نحوه اجرای چشم انداز، رهبر به دیگران اجازه می‌دهد مالکیت خود را در دست بگیرند و در دستیابی به چشم انداز احساس غرور کنند.</w:t>
      </w:r>
    </w:p>
    <w:p>
      <w:pPr>
        <w:spacing w:after="28" w:line="216" w:lineRule="auto"/>
        <w:ind w:left="259"/>
        <w:jc w:val="left"/>
      </w:pPr>
      <w:r>
        <w:rPr>
          <w:rFonts w:ascii="Arial" w:hAnsi="Arial"/>
          <w:color w:val="525252"/>
          <w:sz w:val="13"/>
        </w:rPr>
        <w:t>By delegating decisions to those closest to the issues and by allowing Airmen flexibility in how they implement the vision the leader successfully allows others to take ownership and experience pride in achieving the vision.</w:t>
      </w:r>
    </w:p>
    <w:p>
      <w:pPr>
        <w:spacing w:after="20" w:line="223" w:lineRule="auto"/>
        <w:jc w:val="right"/>
        <w:bidi/>
      </w:pPr>
      <w:r>
        <w:rPr>
          <w:rFonts w:ascii="Arial" w:hAnsi="Arial"/>
          <w:sz w:val="16"/>
        </w:rPr>
        <w:t>303.07  شناخت یک عامل کلیدی در تداوم پیشرفت‌ها است.</w:t>
      </w:r>
    </w:p>
    <w:p>
      <w:pPr>
        <w:spacing w:after="28" w:line="216" w:lineRule="auto"/>
        <w:ind w:left="259"/>
        <w:jc w:val="left"/>
      </w:pPr>
      <w:r>
        <w:rPr>
          <w:rFonts w:ascii="Arial" w:hAnsi="Arial"/>
          <w:color w:val="525252"/>
          <w:sz w:val="13"/>
        </w:rPr>
        <w:t>Recognition is a key factor in perpetuating improvements.</w:t>
      </w:r>
    </w:p>
    <w:p>
      <w:pPr>
        <w:spacing w:after="20" w:line="223" w:lineRule="auto"/>
        <w:jc w:val="right"/>
        <w:bidi/>
      </w:pPr>
      <w:r>
        <w:rPr>
          <w:rFonts w:ascii="Arial" w:hAnsi="Arial"/>
          <w:sz w:val="16"/>
        </w:rPr>
        <w:t>303.08  از این رو، یکی از جنبه‌های مهم توانمندسازی، شناخت مناسب کمک‌های هوانوردان در به حداکثر رساندن موفقیت مأموریت است.</w:t>
      </w:r>
    </w:p>
    <w:p>
      <w:pPr>
        <w:spacing w:after="28" w:line="216" w:lineRule="auto"/>
        <w:ind w:left="259"/>
        <w:jc w:val="left"/>
      </w:pPr>
      <w:r>
        <w:rPr>
          <w:rFonts w:ascii="Arial" w:hAnsi="Arial"/>
          <w:color w:val="525252"/>
          <w:sz w:val="13"/>
        </w:rPr>
        <w:t>Hence, an important facet of empowerment is the appropriate recognition of contributions Airmen make to maximizing mission success.</w:t>
      </w:r>
    </w:p>
    <w:p>
      <w:pPr>
        <w:spacing w:before="60" w:after="28"/>
        <w:jc w:val="right"/>
        <w:bidi/>
      </w:pPr>
      <w:r>
        <w:rPr>
          <w:b/>
          <w:color w:val="1F4D78"/>
          <w:sz w:val="18"/>
        </w:rPr>
        <w:t>16.22. فرهنگ هوانوردان توانمند</w:t>
      </w:r>
    </w:p>
    <w:p>
      <w:pPr>
        <w:spacing w:after="20"/>
        <w:ind w:left="259"/>
        <w:jc w:val="left"/>
      </w:pPr>
      <w:r>
        <w:rPr>
          <w:color w:val="555555"/>
          <w:sz w:val="12"/>
        </w:rPr>
        <w:t>16.22. Empowered Airmen Culture</w:t>
      </w:r>
    </w:p>
    <w:p>
      <w:pPr>
        <w:spacing w:after="20" w:line="223" w:lineRule="auto"/>
        <w:jc w:val="right"/>
        <w:bidi/>
      </w:pPr>
      <w:r>
        <w:rPr>
          <w:rFonts w:ascii="Arial" w:hAnsi="Arial"/>
          <w:sz w:val="16"/>
        </w:rPr>
        <w:t>303.10  USAF قصد دارد فرهنگی بسازد که در آن نیازهای هوانوردان را شناسایی کنیم، از راه حل‌های آنها دفاع کنیم، موانع جاده را حذف کنیم، مخالفان را عقب برانیم، و طرز فکر نوآورانه را جشن بگیریم.</w:t>
      </w:r>
    </w:p>
    <w:p>
      <w:pPr>
        <w:spacing w:after="28" w:line="216" w:lineRule="auto"/>
        <w:ind w:left="259"/>
        <w:jc w:val="left"/>
      </w:pPr>
      <w:r>
        <w:rPr>
          <w:rFonts w:ascii="Arial" w:hAnsi="Arial"/>
          <w:color w:val="525252"/>
          <w:sz w:val="13"/>
        </w:rPr>
        <w:t>The USAF aims to build a culture where we identify Airmen’s needs, champion their solutions, eliminate roadblocks, push back detractors, and celebrate the innovative mindset.</w:t>
      </w:r>
    </w:p>
    <w:p>
      <w:pPr>
        <w:spacing w:after="20" w:line="223" w:lineRule="auto"/>
        <w:jc w:val="right"/>
        <w:bidi/>
      </w:pPr>
      <w:r>
        <w:rPr>
          <w:rFonts w:ascii="Arial" w:hAnsi="Arial"/>
          <w:sz w:val="16"/>
        </w:rPr>
        <w:t>303.11  هوانوردان امروزی از قبل در فن‌آوری‌های نوآورانه به خوبی آشنا هستند و با ادغام فرآیندهای داده‌محور در هسته عملیات ما، ما را به سمت نیروی هوایی آمریکا در آینده سوق خواهند داد.</w:t>
      </w:r>
    </w:p>
    <w:p>
      <w:pPr>
        <w:spacing w:after="28" w:line="216" w:lineRule="auto"/>
        <w:ind w:left="259"/>
        <w:jc w:val="left"/>
      </w:pPr>
      <w:r>
        <w:rPr>
          <w:rFonts w:ascii="Arial" w:hAnsi="Arial"/>
          <w:color w:val="525252"/>
          <w:sz w:val="13"/>
        </w:rPr>
        <w:t>The Airmen of today are already well-versed in innovative technologies and will propel us into the USAF of tomorrow by integrating data-centric processes at the core of our operations.</w:t>
      </w:r>
    </w:p>
    <w:p>
      <w:pPr>
        <w:spacing w:after="20" w:line="223" w:lineRule="auto"/>
        <w:jc w:val="right"/>
        <w:bidi/>
      </w:pPr>
      <w:r>
        <w:rPr>
          <w:rFonts w:ascii="Arial" w:hAnsi="Arial"/>
          <w:sz w:val="16"/>
        </w:rPr>
        <w:t>303.12  یادگیری ماشینی و فن‌آوری‌های جدید با قرار دادن نیروهای هوایی در حلقه به جای «ین» حلقه، ما را به عصر جدیدی از تیم‌سازی انسان به ماشین هدایت می‌کند.</w:t>
      </w:r>
    </w:p>
    <w:p>
      <w:pPr>
        <w:spacing w:after="28" w:line="216" w:lineRule="auto"/>
        <w:ind w:left="259"/>
        <w:jc w:val="left"/>
      </w:pPr>
      <w:r>
        <w:rPr>
          <w:rFonts w:ascii="Arial" w:hAnsi="Arial"/>
          <w:color w:val="525252"/>
          <w:sz w:val="13"/>
        </w:rPr>
        <w:t>Machine learning and new technologies will lead us to a new age of human-to-machine teaming by putting Airmen ‘on’ the loop instead of ‘in’ the loop.</w:t>
      </w:r>
    </w:p>
    <w:p>
      <w:pPr>
        <w:spacing w:after="20" w:line="223" w:lineRule="auto"/>
        <w:jc w:val="right"/>
        <w:bidi/>
      </w:pPr>
      <w:r>
        <w:rPr>
          <w:rFonts w:ascii="Arial" w:hAnsi="Arial"/>
          <w:sz w:val="16"/>
        </w:rPr>
        <w:t>303.13  USAF در مواردی که مناسب باشد، به‌طور خودکار برای آزاد کردن نیروهای هوایی برای انجام کارهای انسانی در حالی که به ماشین‌ها اجازه می‌دهد کارهای ماشینی انجام دهند، می‌دهد.</w:t>
      </w:r>
    </w:p>
    <w:p>
      <w:pPr>
        <w:spacing w:after="28" w:line="216" w:lineRule="auto"/>
        <w:ind w:left="259"/>
        <w:jc w:val="left"/>
      </w:pPr>
      <w:r>
        <w:rPr>
          <w:rFonts w:ascii="Arial" w:hAnsi="Arial"/>
          <w:color w:val="525252"/>
          <w:sz w:val="13"/>
        </w:rPr>
        <w:t>The USAF will automate where appropriate to free Airmen to do human things while letting machines do machine things.</w:t>
      </w:r>
    </w:p>
    <w:p>
      <w:pPr>
        <w:spacing w:after="20" w:line="223" w:lineRule="auto"/>
        <w:jc w:val="right"/>
        <w:bidi/>
      </w:pPr>
      <w:r>
        <w:rPr>
          <w:rFonts w:ascii="Arial" w:hAnsi="Arial"/>
          <w:sz w:val="16"/>
        </w:rPr>
        <w:t>303.14  حفظ توانایی خود برای انطباق و نوآوری سریع، بزرگترین چالشی است که در آینده با آن روبرو هستیم.</w:t>
      </w:r>
    </w:p>
    <w:p>
      <w:pPr>
        <w:spacing w:after="28" w:line="216" w:lineRule="auto"/>
        <w:ind w:left="259"/>
        <w:jc w:val="left"/>
      </w:pPr>
      <w:r>
        <w:rPr>
          <w:rFonts w:ascii="Arial" w:hAnsi="Arial"/>
          <w:color w:val="525252"/>
          <w:sz w:val="13"/>
        </w:rPr>
        <w:t>Maintaining our ability to adapt and innovate quickly is the greatest challenge we face in the future.</w:t>
      </w:r>
    </w:p>
    <w:p>
      <w:pPr>
        <w:spacing w:after="20" w:line="223" w:lineRule="auto"/>
        <w:jc w:val="right"/>
        <w:bidi/>
      </w:pPr>
      <w:r>
        <w:rPr>
          <w:rFonts w:ascii="Arial" w:hAnsi="Arial"/>
          <w:sz w:val="16"/>
        </w:rPr>
        <w:t>303.15  ما مأموریتی بدون شکست برای ارائه هوشیاری جهانی مؤثر، دسترسی جهانی، و قدرت جهانی - امروز، فردا و آینده داریم.</w:t>
      </w:r>
    </w:p>
    <w:p>
      <w:pPr>
        <w:spacing w:after="28" w:line="216" w:lineRule="auto"/>
        <w:ind w:left="259"/>
        <w:jc w:val="left"/>
      </w:pPr>
      <w:r>
        <w:rPr>
          <w:rFonts w:ascii="Arial" w:hAnsi="Arial"/>
          <w:color w:val="525252"/>
          <w:sz w:val="13"/>
        </w:rPr>
        <w:t>We are charged with a no-fail mission of providing effective Global Vigilance, Global Reach, and Global Power—today, tomorrow, and into the future.</w:t>
      </w:r>
    </w:p>
    <w:p>
      <w:pPr>
        <w:spacing w:after="20" w:line="223" w:lineRule="auto"/>
        <w:jc w:val="right"/>
        <w:bidi/>
      </w:pPr>
      <w:r>
        <w:rPr>
          <w:rFonts w:ascii="Arial" w:hAnsi="Arial"/>
          <w:sz w:val="16"/>
        </w:rPr>
        <w:t>303.16  در جنگ مدرن، هیچ ملت دیگری به چنین مزیت نامتقارن دست نیافته است.</w:t>
      </w:r>
    </w:p>
    <w:p>
      <w:pPr>
        <w:spacing w:after="28" w:line="216" w:lineRule="auto"/>
        <w:ind w:left="259"/>
        <w:jc w:val="left"/>
      </w:pPr>
      <w:r>
        <w:rPr>
          <w:rFonts w:ascii="Arial" w:hAnsi="Arial"/>
          <w:color w:val="525252"/>
          <w:sz w:val="13"/>
        </w:rPr>
        <w:t>In modern war, no other nation has achieved such an asymmetric advantage.</w:t>
      </w:r>
    </w:p>
    <w:p>
      <w:pPr>
        <w:spacing w:after="20" w:line="223" w:lineRule="auto"/>
        <w:jc w:val="right"/>
        <w:bidi/>
      </w:pPr>
      <w:r>
        <w:rPr>
          <w:rFonts w:ascii="Arial" w:hAnsi="Arial"/>
          <w:sz w:val="16"/>
        </w:rPr>
        <w:t>303.17  اگر دو دهه گذشته چیزی به ما آموخته باشد، این است که تقاضا برای نیروی هوایی در حال افزایش است.</w:t>
      </w:r>
    </w:p>
    <w:p>
      <w:pPr>
        <w:spacing w:after="28" w:line="216" w:lineRule="auto"/>
        <w:ind w:left="259"/>
        <w:jc w:val="left"/>
      </w:pPr>
      <w:r>
        <w:rPr>
          <w:rFonts w:ascii="Arial" w:hAnsi="Arial"/>
          <w:color w:val="525252"/>
          <w:sz w:val="13"/>
        </w:rPr>
        <w:t>If the past two decades have taught us anything, it is that the demand for airpower is growing.</w:t>
      </w:r>
    </w:p>
    <w:p>
      <w:pPr>
        <w:spacing w:after="20" w:line="223" w:lineRule="auto"/>
        <w:jc w:val="right"/>
        <w:bidi/>
      </w:pPr>
      <w:r>
        <w:rPr>
          <w:rFonts w:ascii="Arial" w:hAnsi="Arial"/>
          <w:sz w:val="16"/>
        </w:rPr>
        <w:t>303.18  USAF به دنبال افزایش نوآوری و تحقیق در جایی است که ما نیاز به حفظ مزیت رقابتی داریم.</w:t>
      </w:r>
    </w:p>
    <w:p>
      <w:pPr>
        <w:spacing w:after="28" w:line="216" w:lineRule="auto"/>
        <w:ind w:left="259"/>
        <w:jc w:val="left"/>
      </w:pPr>
      <w:r>
        <w:rPr>
          <w:rFonts w:ascii="Arial" w:hAnsi="Arial"/>
          <w:color w:val="525252"/>
          <w:sz w:val="13"/>
        </w:rPr>
        <w:t>The USAF will seek to increase innovation, and research where we need to maintain a competitive advantage.</w:t>
      </w:r>
    </w:p>
    <w:p>
      <w:pPr>
        <w:spacing w:after="20" w:line="223" w:lineRule="auto"/>
        <w:jc w:val="right"/>
        <w:bidi/>
      </w:pPr>
      <w:r>
        <w:rPr>
          <w:rFonts w:ascii="Arial" w:hAnsi="Arial"/>
          <w:sz w:val="16"/>
        </w:rPr>
        <w:t>303.19  تغییر سریع یک هنجار جدید است و آسیب پذیری بزرگی برای کسانی است که قادر به سازگاری نیستند. با این حال، می‌تواند به یک مزیت برای چابکانی تبدیل شود که قادر به توسعه سریع و ارائه راه حل برای مشکلات هستند.</w:t>
      </w:r>
    </w:p>
    <w:p>
      <w:pPr>
        <w:spacing w:after="28" w:line="216" w:lineRule="auto"/>
        <w:ind w:left="259"/>
        <w:jc w:val="left"/>
      </w:pPr>
      <w:r>
        <w:rPr>
          <w:rFonts w:ascii="Arial" w:hAnsi="Arial"/>
          <w:color w:val="525252"/>
          <w:sz w:val="13"/>
        </w:rPr>
        <w:t>Rapid change is the new norm, and it is a major vulnerability to those unable to adapt; however, it can become an advantage to the agile who are able to swiftly develop and field solutions to problems.</w:t>
      </w:r>
    </w:p>
    <w:p>
      <w:pPr>
        <w:spacing w:after="20" w:line="223" w:lineRule="auto"/>
        <w:jc w:val="right"/>
        <w:bidi/>
      </w:pPr>
      <w:r>
        <w:rPr>
          <w:rFonts w:ascii="Arial" w:hAnsi="Arial"/>
          <w:sz w:val="16"/>
        </w:rPr>
        <w:t>303.20  پاسخ به پیچیده‌ترین مسائل امنیتی ما با استفاده از قدرت نوآوران و کارآفرینان در داخل USAF، در سراسر کشور ما و در سراسر جهان ارائه خواهد شد.</w:t>
      </w:r>
    </w:p>
    <w:p>
      <w:pPr>
        <w:spacing w:after="28" w:line="216" w:lineRule="auto"/>
        <w:ind w:left="259"/>
        <w:jc w:val="left"/>
      </w:pPr>
      <w:r>
        <w:rPr>
          <w:rFonts w:ascii="Arial" w:hAnsi="Arial"/>
          <w:color w:val="525252"/>
          <w:sz w:val="13"/>
        </w:rPr>
        <w:t>The answers to our most complex security issues will be delivered by harnessing the power of innovators and entrepreneurs within the USAF, across our country, and throughout the world.</w:t>
      </w:r>
    </w:p>
    <w:p>
      <w:pPr>
        <w:spacing w:after="20" w:line="223" w:lineRule="auto"/>
        <w:jc w:val="right"/>
        <w:bidi/>
      </w:pPr>
      <w:r>
        <w:rPr>
          <w:rFonts w:ascii="Arial" w:hAnsi="Arial"/>
          <w:sz w:val="16"/>
        </w:rPr>
        <w:t>303.21  ما باید برای تأمین امنیت آینده خود، نوآوری را هدایت کنیم.</w:t>
      </w:r>
    </w:p>
    <w:p>
      <w:pPr>
        <w:spacing w:after="28" w:line="216" w:lineRule="auto"/>
        <w:ind w:left="259"/>
        <w:jc w:val="left"/>
      </w:pPr>
      <w:r>
        <w:rPr>
          <w:rFonts w:ascii="Arial" w:hAnsi="Arial"/>
          <w:color w:val="525252"/>
          <w:sz w:val="13"/>
        </w:rPr>
        <w:t>We must drive innovation to secure our future.</w:t>
      </w:r>
    </w:p>
    <w:p>
      <w:pPr>
        <w:spacing w:before="60" w:after="28"/>
        <w:jc w:val="right"/>
        <w:bidi/>
      </w:pPr>
      <w:r>
        <w:rPr>
          <w:b/>
          <w:color w:val="1F4D78"/>
          <w:sz w:val="18"/>
        </w:rPr>
        <w:t>16.23. همکاری باعث نوآوری می شود</w:t>
      </w:r>
    </w:p>
    <w:p>
      <w:pPr>
        <w:spacing w:after="20"/>
        <w:ind w:left="259"/>
        <w:jc w:val="left"/>
      </w:pPr>
      <w:r>
        <w:rPr>
          <w:color w:val="555555"/>
          <w:sz w:val="12"/>
        </w:rPr>
        <w:t>16.23. Collaboration Fosters Innovation</w:t>
      </w:r>
    </w:p>
    <w:p>
      <w:pPr>
        <w:spacing w:after="20" w:line="223" w:lineRule="auto"/>
        <w:jc w:val="right"/>
        <w:bidi/>
      </w:pPr>
      <w:r>
        <w:rPr>
          <w:rFonts w:ascii="Arial" w:hAnsi="Arial"/>
          <w:sz w:val="16"/>
        </w:rPr>
        <w:t>303.23  هوانوردان در همه سطوح در تصمیم‌گیری شرکت می‌کنند.</w:t>
      </w:r>
    </w:p>
    <w:p>
      <w:pPr>
        <w:spacing w:after="28" w:line="216" w:lineRule="auto"/>
        <w:ind w:left="259"/>
        <w:jc w:val="left"/>
      </w:pPr>
      <w:r>
        <w:rPr>
          <w:rFonts w:ascii="Arial" w:hAnsi="Arial"/>
          <w:color w:val="525252"/>
          <w:sz w:val="13"/>
        </w:rPr>
        <w:t>Airmen at all levels participate in decision-making.</w:t>
      </w:r>
    </w:p>
    <w:p>
      <w:pPr>
        <w:spacing w:after="20" w:line="223" w:lineRule="auto"/>
        <w:jc w:val="right"/>
        <w:bidi/>
      </w:pPr>
      <w:r>
        <w:rPr>
          <w:rFonts w:ascii="Arial" w:hAnsi="Arial"/>
          <w:sz w:val="16"/>
        </w:rPr>
        <w:t>303.24  عادات ذهنی لازم برای اطمینان از به‌کارگیری تفکر انتقادی چیزی است که باید آگاهانه پرورش دهیم.</w:t>
      </w:r>
    </w:p>
    <w:p>
      <w:pPr>
        <w:spacing w:after="28" w:line="216" w:lineRule="auto"/>
        <w:ind w:left="259"/>
        <w:jc w:val="left"/>
      </w:pPr>
      <w:r>
        <w:rPr>
          <w:rFonts w:ascii="Arial" w:hAnsi="Arial"/>
          <w:color w:val="525252"/>
          <w:sz w:val="13"/>
        </w:rPr>
        <w:t>The habits of mind necessary to assure we apply critical thought are something we must consciously foster.</w:t>
      </w:r>
    </w:p>
    <w:p>
      <w:pPr>
        <w:spacing w:after="20" w:line="223" w:lineRule="auto"/>
        <w:jc w:val="right"/>
        <w:bidi/>
      </w:pPr>
      <w:r>
        <w:rPr>
          <w:rFonts w:ascii="Arial" w:hAnsi="Arial"/>
          <w:sz w:val="16"/>
        </w:rPr>
        <w:t>303.25  نیروی تحصیلکرده ما، دیدگاه‌ها، تجربیات و توانایی‌های بسیار متنوعی را به میز ارائه می‌دهد. به USAF مخزن عمیقی از استعدادها می‌دهد تا از آن ایده‌ها را استخراج کند.</w:t>
      </w:r>
    </w:p>
    <w:p>
      <w:pPr>
        <w:spacing w:after="28" w:line="216" w:lineRule="auto"/>
        <w:ind w:left="259"/>
        <w:jc w:val="left"/>
      </w:pPr>
      <w:r>
        <w:rPr>
          <w:rFonts w:ascii="Arial" w:hAnsi="Arial"/>
          <w:color w:val="525252"/>
          <w:sz w:val="13"/>
        </w:rPr>
        <w:t>Our highly educated force brings to the table a wide variety of views, experiences, and abilities; providing the USAF a deep pool of talent from which to draw ideas.</w:t>
      </w:r>
    </w:p>
    <w:p>
      <w:pPr>
        <w:spacing w:after="20" w:line="223" w:lineRule="auto"/>
        <w:jc w:val="right"/>
        <w:bidi/>
      </w:pPr>
      <w:r>
        <w:rPr>
          <w:rFonts w:ascii="Arial" w:hAnsi="Arial"/>
          <w:sz w:val="16"/>
        </w:rPr>
        <w:t>303.26  با استفاده از تکنیک‌های تصمیم‌گیری خوب و پرورش عادات ذهنی، ما از آن منبع غنی استعداد بهره می‌بریم.</w:t>
      </w:r>
    </w:p>
    <w:p>
      <w:pPr>
        <w:spacing w:after="28" w:line="216" w:lineRule="auto"/>
        <w:ind w:left="259"/>
        <w:jc w:val="left"/>
      </w:pPr>
      <w:r>
        <w:rPr>
          <w:rFonts w:ascii="Arial" w:hAnsi="Arial"/>
          <w:color w:val="525252"/>
          <w:sz w:val="13"/>
        </w:rPr>
        <w:t>By using the techniques of good decision-making and fostering the development of habits of mind, we tap into that rich pool of talent.</w:t>
      </w:r>
    </w:p>
    <w:p>
      <w:pPr>
        <w:spacing w:after="20" w:line="223" w:lineRule="auto"/>
        <w:jc w:val="right"/>
        <w:bidi/>
      </w:pPr>
      <w:r>
        <w:rPr>
          <w:rFonts w:ascii="Arial" w:hAnsi="Arial"/>
          <w:sz w:val="16"/>
        </w:rPr>
        <w:t>303.27  وقتی زمان اجازه می‌دهد، ما باید آگاهانه فرآیندهایی را ایجاد کنیم تا از طریق تصمیم‌گیری با استفاده از تحلیل انتقادی همه عوامل فکر کنیم و اطمینان حاصل کنیم که بر انجام بهترین کار برای کشور و USAF تمرکز می‌کنیم.</w:t>
      </w:r>
    </w:p>
    <w:p>
      <w:pPr>
        <w:spacing w:after="28" w:line="216" w:lineRule="auto"/>
        <w:ind w:left="259"/>
        <w:jc w:val="left"/>
      </w:pPr>
      <w:r>
        <w:rPr>
          <w:rFonts w:ascii="Arial" w:hAnsi="Arial"/>
          <w:color w:val="525252"/>
          <w:sz w:val="13"/>
        </w:rPr>
        <w:t>When time allows, we must consciously create processes to think through decisions using critical analysis of all factors, ensuring we focus on doing what is best for the nation and the USAF.</w:t>
      </w:r>
    </w:p>
    <w:p>
      <w:pPr>
        <w:spacing w:after="20" w:line="223" w:lineRule="auto"/>
        <w:jc w:val="right"/>
        <w:bidi/>
      </w:pPr>
      <w:r>
        <w:rPr>
          <w:rFonts w:ascii="Arial" w:hAnsi="Arial"/>
          <w:sz w:val="16"/>
        </w:rPr>
        <w:t>303.28  این تلاش برای ایجاد عادات ذهنی زمانی نتیجه می‌دهد که باید سریع و تحت فشار زیاد تصمیم بگیریم.</w:t>
      </w:r>
    </w:p>
    <w:p>
      <w:pPr>
        <w:spacing w:after="28" w:line="216" w:lineRule="auto"/>
        <w:ind w:left="259"/>
        <w:jc w:val="left"/>
      </w:pPr>
      <w:r>
        <w:rPr>
          <w:rFonts w:ascii="Arial" w:hAnsi="Arial"/>
          <w:color w:val="525252"/>
          <w:sz w:val="13"/>
        </w:rPr>
        <w:t>This effort to create habits of mind pays off when we must make decisions quickly and under great pressure.</w:t>
      </w:r>
    </w:p>
    <w:p>
      <w:pPr>
        <w:spacing w:after="20" w:line="223" w:lineRule="auto"/>
        <w:jc w:val="right"/>
        <w:bidi/>
      </w:pPr>
      <w:r>
        <w:rPr>
          <w:rFonts w:ascii="Arial" w:hAnsi="Arial"/>
          <w:sz w:val="16"/>
        </w:rPr>
        <w:t>303.29  در این زمان‌ها، ما به‌طور طبیعی فرآیندهای تصمیم‌گیری را که هر روز استفاده می‌کنیم، اعمال می‌کنیم.</w:t>
      </w:r>
    </w:p>
    <w:p>
      <w:pPr>
        <w:spacing w:after="28" w:line="216" w:lineRule="auto"/>
        <w:ind w:left="259"/>
        <w:jc w:val="left"/>
      </w:pPr>
      <w:r>
        <w:rPr>
          <w:rFonts w:ascii="Arial" w:hAnsi="Arial"/>
          <w:color w:val="525252"/>
          <w:sz w:val="13"/>
        </w:rPr>
        <w:t>During these times we naturally apply the decision-making processes we use every day.</w:t>
      </w:r>
    </w:p>
    <w:p>
      <w:pPr>
        <w:spacing w:after="20" w:line="223" w:lineRule="auto"/>
        <w:jc w:val="right"/>
        <w:bidi/>
      </w:pPr>
      <w:r>
        <w:rPr>
          <w:rFonts w:ascii="Arial" w:hAnsi="Arial"/>
          <w:sz w:val="16"/>
        </w:rPr>
        <w:t>303.30  USAF از کانال‌های زیادی برای توانمندسازی هوانوردان و شرکای صنعتی ما برای ارائه ایده‌ها به‌عنوان بخشی از فرهنگ فراگیر نوآوری ما استفاده می‌کند.</w:t>
      </w:r>
    </w:p>
    <w:p>
      <w:pPr>
        <w:spacing w:after="28" w:line="216" w:lineRule="auto"/>
        <w:ind w:left="259"/>
        <w:jc w:val="left"/>
      </w:pPr>
      <w:r>
        <w:rPr>
          <w:rFonts w:ascii="Arial" w:hAnsi="Arial"/>
          <w:color w:val="525252"/>
          <w:sz w:val="13"/>
        </w:rPr>
        <w:t>The USAF leverages many channels to empower our Airmen and industry partners to submit ideas as part of our overarching culture of innovation.</w:t>
      </w:r>
    </w:p>
    <w:p>
      <w:pPr>
        <w:spacing w:after="20" w:line="223" w:lineRule="auto"/>
        <w:jc w:val="right"/>
        <w:bidi/>
      </w:pPr>
      <w:r>
        <w:rPr>
          <w:rFonts w:ascii="Arial" w:hAnsi="Arial"/>
          <w:sz w:val="16"/>
        </w:rPr>
        <w:t>303.31  همکاری می‌تواند ایده‌ها را تسهیل کند و اغلب تلاش‌ها را به سمت مفاهیم و فناوری‌های نوآورانه هماهنگ کند.</w:t>
      </w:r>
    </w:p>
    <w:p>
      <w:pPr>
        <w:spacing w:after="28" w:line="216" w:lineRule="auto"/>
        <w:ind w:left="259"/>
        <w:jc w:val="left"/>
      </w:pPr>
      <w:r>
        <w:rPr>
          <w:rFonts w:ascii="Arial" w:hAnsi="Arial"/>
          <w:color w:val="525252"/>
          <w:sz w:val="13"/>
        </w:rPr>
        <w:t>Collaboration can facilitate ideas and often align efforts toward innovative concepts and technologies.</w:t>
      </w:r>
    </w:p>
    <w:p>
      <w:pPr>
        <w:spacing w:after="20" w:line="223" w:lineRule="auto"/>
        <w:jc w:val="right"/>
        <w:bidi/>
      </w:pPr>
      <w:r>
        <w:rPr>
          <w:rFonts w:ascii="Arial" w:hAnsi="Arial"/>
          <w:sz w:val="16"/>
        </w:rPr>
        <w:t>303.32  مشارکت با گروه‌های خارجی، از جمله شرکای صنعتی و دانشگاهی سنتی و غیرسنتی، ایده‌های جدیدی را به نوآوری می‌آورد.</w:t>
      </w:r>
    </w:p>
    <w:p>
      <w:pPr>
        <w:spacing w:after="28" w:line="216" w:lineRule="auto"/>
        <w:ind w:left="259"/>
        <w:jc w:val="left"/>
      </w:pPr>
      <w:r>
        <w:rPr>
          <w:rFonts w:ascii="Arial" w:hAnsi="Arial"/>
          <w:color w:val="525252"/>
          <w:sz w:val="13"/>
        </w:rPr>
        <w:t>Partnerships with outside groups, including traditional and non-traditional industry partners and academia, bring new ideas to the innovation</w:t>
      </w:r>
    </w:p>
    <w:p>
      <w:r>
        <w:br w:type="page"/>
      </w:r>
    </w:p>
    <w:p>
      <w:pPr>
        <w:spacing w:after="60"/>
        <w:jc w:val="right"/>
        <w:bidi/>
      </w:pPr>
      <w:r>
        <w:rPr>
          <w:rFonts w:ascii="Arial" w:hAnsi="Arial"/>
          <w:b/>
          <w:color w:val="1F4D78"/>
          <w:sz w:val="19"/>
        </w:rPr>
        <w:t>هفتهٔ 304  |  صفحهٔ منبع: 320</w:t>
      </w:r>
    </w:p>
    <w:p>
      <w:pPr>
        <w:spacing w:after="20" w:line="223" w:lineRule="auto"/>
        <w:jc w:val="right"/>
        <w:bidi/>
      </w:pPr>
      <w:r>
        <w:rPr>
          <w:rFonts w:ascii="Arial" w:hAnsi="Arial"/>
          <w:sz w:val="16"/>
        </w:rPr>
        <w:t>304.01  .</w:t>
      </w:r>
    </w:p>
    <w:p>
      <w:pPr>
        <w:spacing w:after="28" w:line="216" w:lineRule="auto"/>
        <w:ind w:left="259"/>
        <w:jc w:val="left"/>
      </w:pPr>
      <w:r>
        <w:rPr>
          <w:rFonts w:ascii="Arial" w:hAnsi="Arial"/>
          <w:color w:val="525252"/>
          <w:sz w:val="13"/>
        </w:rPr>
        <w:t>process.</w:t>
      </w:r>
    </w:p>
    <w:p>
      <w:pPr>
        <w:spacing w:after="20" w:line="223" w:lineRule="auto"/>
        <w:jc w:val="right"/>
        <w:bidi/>
      </w:pPr>
      <w:r>
        <w:rPr>
          <w:rFonts w:ascii="Arial" w:hAnsi="Arial"/>
          <w:sz w:val="16"/>
        </w:rPr>
        <w:t>304.02  در حالی که USAF از فناوری‌های جدید و موجود برای ارائه راه‌حل‌های سریع و مقرون‌به‌صرفه استفاده می‌کند، در حال سرمایه‌گذاری در فناوری‌های تغییردهنده بازی، مانند سیستم‌های خودمختار، سیستم‌های بدون سرنشین، مافوق صوت، انرژی هدایت‌شده، فناوری نانو، و برانگیختن تفکر جدید در مورد راه‌های آینده نبرد و موفقیت در میدان نبرد است.</w:t>
      </w:r>
    </w:p>
    <w:p>
      <w:pPr>
        <w:spacing w:after="28" w:line="216" w:lineRule="auto"/>
        <w:ind w:left="259"/>
        <w:jc w:val="left"/>
      </w:pPr>
      <w:r>
        <w:rPr>
          <w:rFonts w:ascii="Arial" w:hAnsi="Arial"/>
          <w:color w:val="525252"/>
          <w:sz w:val="13"/>
        </w:rPr>
        <w:t>While the USAF is leveraging new and existing technologies to provide rapid and affordable solutions, it is investing in game-changing technologies, such as autonomous systems, unmanned systems, hypersonic, directed energy, nanotechnology, and stimulating new thinking about future ways of warfighting and battlefield success.</w:t>
      </w:r>
    </w:p>
    <w:p>
      <w:r>
        <w:br w:type="page"/>
      </w:r>
    </w:p>
    <w:p>
      <w:pPr>
        <w:spacing w:after="60"/>
        <w:jc w:val="right"/>
        <w:bidi/>
      </w:pPr>
      <w:r>
        <w:rPr>
          <w:rFonts w:ascii="Arial" w:hAnsi="Arial"/>
          <w:b/>
          <w:color w:val="1F4D78"/>
          <w:sz w:val="19"/>
        </w:rPr>
        <w:t>هفتهٔ 305  |  صفحهٔ منبع: 321</w:t>
      </w:r>
    </w:p>
    <w:p>
      <w:pPr>
        <w:spacing w:before="60" w:after="28"/>
        <w:jc w:val="right"/>
        <w:bidi/>
      </w:pPr>
      <w:r>
        <w:rPr>
          <w:b/>
          <w:color w:val="1F4D78"/>
          <w:sz w:val="18"/>
        </w:rPr>
        <w:t>فصل 17</w:t>
      </w:r>
    </w:p>
    <w:p>
      <w:pPr>
        <w:spacing w:after="20"/>
        <w:ind w:left="259"/>
        <w:jc w:val="left"/>
      </w:pPr>
      <w:r>
        <w:rPr>
          <w:color w:val="555555"/>
          <w:sz w:val="12"/>
        </w:rPr>
        <w:t>Chapter 17</w:t>
      </w:r>
    </w:p>
    <w:p>
      <w:pPr>
        <w:spacing w:before="60" w:after="28"/>
        <w:jc w:val="right"/>
        <w:bidi/>
      </w:pPr>
      <w:r>
        <w:rPr>
          <w:b/>
          <w:color w:val="1F4D78"/>
          <w:sz w:val="18"/>
        </w:rPr>
        <w:t>مدیریت اضطراری</w:t>
      </w:r>
    </w:p>
    <w:p>
      <w:pPr>
        <w:spacing w:after="20"/>
        <w:ind w:left="259"/>
        <w:jc w:val="left"/>
      </w:pPr>
      <w:r>
        <w:rPr>
          <w:color w:val="555555"/>
          <w:sz w:val="12"/>
        </w:rPr>
        <w:t>EMERGENCY MANAGEMENT</w:t>
      </w:r>
    </w:p>
    <w:p>
      <w:pPr>
        <w:spacing w:before="60" w:after="28"/>
        <w:jc w:val="right"/>
        <w:bidi/>
      </w:pPr>
      <w:r>
        <w:rPr>
          <w:b/>
          <w:color w:val="1F4D78"/>
          <w:sz w:val="18"/>
        </w:rPr>
        <w:t>بخش 17A- مدیریت اضطراری USAF</w:t>
      </w:r>
    </w:p>
    <w:p>
      <w:pPr>
        <w:spacing w:after="20"/>
        <w:ind w:left="259"/>
        <w:jc w:val="left"/>
      </w:pPr>
      <w:r>
        <w:rPr>
          <w:color w:val="555555"/>
          <w:sz w:val="12"/>
        </w:rPr>
        <w:t>Section 17A—USAF Emergency Management</w:t>
      </w:r>
    </w:p>
    <w:p>
      <w:pPr>
        <w:spacing w:before="60" w:after="28"/>
        <w:jc w:val="right"/>
        <w:bidi/>
      </w:pPr>
      <w:r>
        <w:rPr>
          <w:b/>
          <w:color w:val="1F4D78"/>
          <w:sz w:val="18"/>
        </w:rPr>
        <w:t>17.1. برنامه مدیریت اضطراری DAF</w:t>
      </w:r>
    </w:p>
    <w:p>
      <w:pPr>
        <w:spacing w:after="20"/>
        <w:ind w:left="259"/>
        <w:jc w:val="left"/>
      </w:pPr>
      <w:r>
        <w:rPr>
          <w:color w:val="555555"/>
          <w:sz w:val="12"/>
        </w:rPr>
        <w:t>17.1. DAF Emergency Management Program</w:t>
      </w:r>
    </w:p>
    <w:p>
      <w:pPr>
        <w:spacing w:after="20" w:line="223" w:lineRule="auto"/>
        <w:jc w:val="right"/>
        <w:bidi/>
      </w:pPr>
      <w:r>
        <w:rPr>
          <w:rFonts w:ascii="Arial" w:hAnsi="Arial"/>
          <w:sz w:val="16"/>
        </w:rPr>
        <w:t>305.05  توانایی DAF برای انجام مأموریت خود در رقابت قدرت‌های بزرگ به‌طور مستقیم به ادامه مأموریت در مواجهه با ناملایمات بستگی دارد.</w:t>
      </w:r>
    </w:p>
    <w:p>
      <w:pPr>
        <w:spacing w:after="28" w:line="216" w:lineRule="auto"/>
        <w:ind w:left="259"/>
        <w:jc w:val="left"/>
      </w:pPr>
      <w:r>
        <w:rPr>
          <w:rFonts w:ascii="Arial" w:hAnsi="Arial"/>
          <w:color w:val="525252"/>
          <w:sz w:val="13"/>
        </w:rPr>
        <w:t>The ability of the DAF to carry out its mission of Great Power Competition directly depends on continuance of the mission in the face of adversity.</w:t>
      </w:r>
    </w:p>
    <w:p>
      <w:pPr>
        <w:spacing w:after="20" w:line="223" w:lineRule="auto"/>
        <w:jc w:val="right"/>
        <w:bidi/>
      </w:pPr>
      <w:r>
        <w:rPr>
          <w:rFonts w:ascii="Arial" w:hAnsi="Arial"/>
          <w:sz w:val="16"/>
        </w:rPr>
        <w:t>305.06  چالش‌ها برای انجام مأموریت ممکن است اشکال مختلفی داشته باشند، از جمله بلایای طبیعی و مصنوعی، استفاده تروریستی از سلاح‌های کشتار جمعی، و حملات خصمانه که ایالات متحده و منافع آن را تهدید می‌کنند.</w:t>
      </w:r>
    </w:p>
    <w:p>
      <w:pPr>
        <w:spacing w:after="28" w:line="216" w:lineRule="auto"/>
        <w:ind w:left="259"/>
        <w:jc w:val="left"/>
      </w:pPr>
      <w:r>
        <w:rPr>
          <w:rFonts w:ascii="Arial" w:hAnsi="Arial"/>
          <w:color w:val="525252"/>
          <w:sz w:val="13"/>
        </w:rPr>
        <w:t>Challenges to mission accomplishment may take on many forms, to include natural and man-made disasters, terrorist use of weapons of mass destruction, and hostile attacks that threaten the United States and its interest.</w:t>
      </w:r>
    </w:p>
    <w:p>
      <w:pPr>
        <w:spacing w:after="20" w:line="223" w:lineRule="auto"/>
        <w:jc w:val="right"/>
        <w:bidi/>
      </w:pPr>
      <w:r>
        <w:rPr>
          <w:rFonts w:ascii="Arial" w:hAnsi="Arial"/>
          <w:sz w:val="16"/>
        </w:rPr>
        <w:t>305.07  برنامه مدیریت اضطراری DAF (EM) برای اطمینان از آمادگی نیروهای ما برای نجات جان افراد ایجاد شده است. به حداقل رساندن از دست دادن یا تخریب منابع؛ و ادامه، حفظ و بازیابی قابلیت عملیاتی در محیط‌های تهدید همه‌خطر در تاسیسات DAF در سراسر جهان.</w:t>
      </w:r>
    </w:p>
    <w:p>
      <w:pPr>
        <w:spacing w:after="28" w:line="216" w:lineRule="auto"/>
        <w:ind w:left="259"/>
        <w:jc w:val="left"/>
      </w:pPr>
      <w:r>
        <w:rPr>
          <w:rFonts w:ascii="Arial" w:hAnsi="Arial"/>
          <w:color w:val="525252"/>
          <w:sz w:val="13"/>
        </w:rPr>
        <w:t>The DAF Emergency Management (EM) Program was developed to ensure the readiness of our forces to save lives; minimize the loss or degradation of resources; and continue, sustain, and restore operational capability in an all-hazards threat environments at DAF installations worldwide.</w:t>
      </w:r>
    </w:p>
    <w:p>
      <w:pPr>
        <w:spacing w:before="60" w:after="28"/>
        <w:jc w:val="right"/>
        <w:bidi/>
      </w:pPr>
      <w:r>
        <w:rPr>
          <w:b/>
          <w:color w:val="1F4D78"/>
          <w:sz w:val="18"/>
        </w:rPr>
        <w:t>17.2. ماموریت برنامه DAF EM</w:t>
      </w:r>
    </w:p>
    <w:p>
      <w:pPr>
        <w:spacing w:after="20"/>
        <w:ind w:left="259"/>
        <w:jc w:val="left"/>
      </w:pPr>
      <w:r>
        <w:rPr>
          <w:color w:val="555555"/>
          <w:sz w:val="12"/>
        </w:rPr>
        <w:t>17.2. DAF EM Program Mission</w:t>
      </w:r>
    </w:p>
    <w:p>
      <w:pPr>
        <w:spacing w:after="20" w:line="223" w:lineRule="auto"/>
        <w:jc w:val="right"/>
        <w:bidi/>
      </w:pPr>
      <w:r>
        <w:rPr>
          <w:rFonts w:ascii="Arial" w:hAnsi="Arial"/>
          <w:sz w:val="16"/>
        </w:rPr>
        <w:t>305.09  مأموریت اصلی برنامه DAF EM پیشگیری، محافظت، آماده‌سازی، پاسخ به و بازیابی از همه خطرات/تهدیدهایی است که بیشترین خطر را برای جان انسان‌ها، منابع کلیدی، امکانات، زیرساخت‌ها و مأموریت‌های عملیاتی ایجاد می‌کنند.</w:t>
      </w:r>
    </w:p>
    <w:p>
      <w:pPr>
        <w:spacing w:after="28" w:line="216" w:lineRule="auto"/>
        <w:ind w:left="259"/>
        <w:jc w:val="left"/>
      </w:pPr>
      <w:r>
        <w:rPr>
          <w:rFonts w:ascii="Arial" w:hAnsi="Arial"/>
          <w:color w:val="525252"/>
          <w:sz w:val="13"/>
        </w:rPr>
        <w:t>The primary mission of the DAF EM Program is to prevent, protect, prepare for, respond to, and recover from all hazards/threats that pose the greatest risk to lives, key resources, facilities, infrastructure, and operational missions.</w:t>
      </w:r>
    </w:p>
    <w:p>
      <w:pPr>
        <w:spacing w:after="20" w:line="223" w:lineRule="auto"/>
        <w:jc w:val="right"/>
        <w:bidi/>
      </w:pPr>
      <w:r>
        <w:rPr>
          <w:rFonts w:ascii="Arial" w:hAnsi="Arial"/>
          <w:sz w:val="16"/>
        </w:rPr>
        <w:t>305.10  مأموریت کمکی از دفاع میهن حمایت می‌کند و از مقامات کشوری و کشور میزبان حمایت می‌کند. برنامه‌های ضد تروریسم؛ و شرکت مقابله با سلاح‌های کشتار جمعی.</w:t>
      </w:r>
    </w:p>
    <w:p>
      <w:pPr>
        <w:spacing w:after="28" w:line="216" w:lineRule="auto"/>
        <w:ind w:left="259"/>
        <w:jc w:val="left"/>
      </w:pPr>
      <w:r>
        <w:rPr>
          <w:rFonts w:ascii="Arial" w:hAnsi="Arial"/>
          <w:color w:val="525252"/>
          <w:sz w:val="13"/>
        </w:rPr>
        <w:t>The ancillary mission supports homeland defense and provide support to civil and host nation authorities; antiterrorism programs; and the countering weapons of mass destruction enterprise.</w:t>
      </w:r>
    </w:p>
    <w:p>
      <w:pPr>
        <w:spacing w:after="20" w:line="223" w:lineRule="auto"/>
        <w:jc w:val="right"/>
        <w:bidi/>
      </w:pPr>
      <w:r>
        <w:rPr>
          <w:rFonts w:ascii="Arial" w:hAnsi="Arial"/>
          <w:sz w:val="16"/>
        </w:rPr>
        <w:t>305.11  برنامه DAF EM این مأموریت‌ها را از طریق هفت ستون آمادگی EM انجام می‌دهد: مدیریت ریسک، چارچوب برنامه‌ریزی، قابلیت‌های هسته مشترک، ارزیابی و اعتبارسنجی قابلیت، بررسی مدیریت برنامه، استراتژی سرمایه گذاری قابلیت و سازگاری از طریق اطلاعات.</w:t>
      </w:r>
    </w:p>
    <w:p>
      <w:pPr>
        <w:spacing w:after="28" w:line="216" w:lineRule="auto"/>
        <w:ind w:left="259"/>
        <w:jc w:val="left"/>
      </w:pPr>
      <w:r>
        <w:rPr>
          <w:rFonts w:ascii="Arial" w:hAnsi="Arial"/>
          <w:color w:val="525252"/>
          <w:sz w:val="13"/>
        </w:rPr>
        <w:t>The DAF EM Program accomplishes these missions through the seven pillars of EM preparedness: Risk Management, Planning Framework, Common Core Capabilities, Capability Evaluation and Validation, Program Management Reviews, Capability Investment Strategy, and Adaptation via Information.</w:t>
      </w:r>
    </w:p>
    <w:p>
      <w:pPr>
        <w:spacing w:after="20" w:line="223" w:lineRule="auto"/>
        <w:jc w:val="right"/>
        <w:bidi/>
      </w:pPr>
      <w:r>
        <w:rPr>
          <w:rFonts w:ascii="Arial" w:hAnsi="Arial"/>
          <w:sz w:val="16"/>
        </w:rPr>
        <w:t>305.12  تعاریف مختصری از حوزه‌های مأموریت برنامه EM در اینجا ارائه شده است: پیشگیری.</w:t>
      </w:r>
    </w:p>
    <w:p>
      <w:pPr>
        <w:spacing w:after="28" w:line="216" w:lineRule="auto"/>
        <w:ind w:left="259"/>
        <w:jc w:val="left"/>
      </w:pPr>
      <w:r>
        <w:rPr>
          <w:rFonts w:ascii="Arial" w:hAnsi="Arial"/>
          <w:color w:val="525252"/>
          <w:sz w:val="13"/>
        </w:rPr>
        <w:t>Brief definitions of the EM Program mission areas are provided here: Prevention.</w:t>
      </w:r>
    </w:p>
    <w:p>
      <w:pPr>
        <w:spacing w:after="20" w:line="223" w:lineRule="auto"/>
        <w:jc w:val="right"/>
        <w:bidi/>
      </w:pPr>
      <w:r>
        <w:rPr>
          <w:rFonts w:ascii="Arial" w:hAnsi="Arial"/>
          <w:sz w:val="16"/>
        </w:rPr>
        <w:t>305.13  اقدامات برای اجتناب از حادثه یا مداخله برای جلوگیری از وقوع حادثه.</w:t>
      </w:r>
    </w:p>
    <w:p>
      <w:pPr>
        <w:spacing w:after="28" w:line="216" w:lineRule="auto"/>
        <w:ind w:left="259"/>
        <w:jc w:val="left"/>
      </w:pPr>
      <w:r>
        <w:rPr>
          <w:rFonts w:ascii="Arial" w:hAnsi="Arial"/>
          <w:color w:val="525252"/>
          <w:sz w:val="13"/>
        </w:rPr>
        <w:t>Actions to avoid an incident or to intervene to stop an incident from occurring.</w:t>
      </w:r>
    </w:p>
    <w:p>
      <w:pPr>
        <w:spacing w:after="20" w:line="223" w:lineRule="auto"/>
        <w:jc w:val="right"/>
        <w:bidi/>
      </w:pPr>
      <w:r>
        <w:rPr>
          <w:rFonts w:ascii="Arial" w:hAnsi="Arial"/>
          <w:sz w:val="16"/>
        </w:rPr>
        <w:t>305.14  پیشگیری شامل اقداماتی برای محافظت از جان و مال است.</w:t>
      </w:r>
    </w:p>
    <w:p>
      <w:pPr>
        <w:spacing w:after="28" w:line="216" w:lineRule="auto"/>
        <w:ind w:left="259"/>
        <w:jc w:val="left"/>
      </w:pPr>
      <w:r>
        <w:rPr>
          <w:rFonts w:ascii="Arial" w:hAnsi="Arial"/>
          <w:color w:val="525252"/>
          <w:sz w:val="13"/>
        </w:rPr>
        <w:t>Prevention involves actions to protect lives and property.</w:t>
      </w:r>
    </w:p>
    <w:p>
      <w:pPr>
        <w:spacing w:after="20" w:line="223" w:lineRule="auto"/>
        <w:jc w:val="right"/>
        <w:bidi/>
      </w:pPr>
      <w:r>
        <w:rPr>
          <w:rFonts w:ascii="Arial" w:hAnsi="Arial"/>
          <w:sz w:val="16"/>
        </w:rPr>
        <w:t>305.15  حفاظت.</w:t>
      </w:r>
    </w:p>
    <w:p>
      <w:pPr>
        <w:spacing w:after="28" w:line="216" w:lineRule="auto"/>
        <w:ind w:left="259"/>
        <w:jc w:val="left"/>
      </w:pPr>
      <w:r>
        <w:rPr>
          <w:rFonts w:ascii="Arial" w:hAnsi="Arial"/>
          <w:color w:val="525252"/>
          <w:sz w:val="13"/>
        </w:rPr>
        <w:t>Protection.</w:t>
      </w:r>
    </w:p>
    <w:p>
      <w:pPr>
        <w:spacing w:after="20" w:line="223" w:lineRule="auto"/>
        <w:jc w:val="right"/>
        <w:bidi/>
      </w:pPr>
      <w:r>
        <w:rPr>
          <w:rFonts w:ascii="Arial" w:hAnsi="Arial"/>
          <w:sz w:val="16"/>
        </w:rPr>
        <w:t>305.16  پروتکتیون قابلیت‌های لازم را برای محافظت از نصب در برابر تمامی تهدیدات، خطرات و بلایای طبیعی یا انسان‌ساز فراهم می‌کند.</w:t>
      </w:r>
    </w:p>
    <w:p>
      <w:pPr>
        <w:spacing w:after="28" w:line="216" w:lineRule="auto"/>
        <w:ind w:left="259"/>
        <w:jc w:val="left"/>
      </w:pPr>
      <w:r>
        <w:rPr>
          <w:rFonts w:ascii="Arial" w:hAnsi="Arial"/>
          <w:color w:val="525252"/>
          <w:sz w:val="13"/>
        </w:rPr>
        <w:t>Protection provides the capabilities necessary to protect the installation against all threats, hazards, and manmade or natural disasters.</w:t>
      </w:r>
    </w:p>
    <w:p>
      <w:pPr>
        <w:spacing w:after="20" w:line="223" w:lineRule="auto"/>
        <w:jc w:val="right"/>
        <w:bidi/>
      </w:pPr>
      <w:r>
        <w:rPr>
          <w:rFonts w:ascii="Arial" w:hAnsi="Arial"/>
          <w:sz w:val="16"/>
        </w:rPr>
        <w:t>305.17  پاسخ.</w:t>
      </w:r>
    </w:p>
    <w:p>
      <w:pPr>
        <w:spacing w:after="28" w:line="216" w:lineRule="auto"/>
        <w:ind w:left="259"/>
        <w:jc w:val="left"/>
      </w:pPr>
      <w:r>
        <w:rPr>
          <w:rFonts w:ascii="Arial" w:hAnsi="Arial"/>
          <w:color w:val="525252"/>
          <w:sz w:val="13"/>
        </w:rPr>
        <w:t>Response.</w:t>
      </w:r>
    </w:p>
    <w:p>
      <w:pPr>
        <w:spacing w:after="20" w:line="223" w:lineRule="auto"/>
        <w:jc w:val="right"/>
        <w:bidi/>
      </w:pPr>
      <w:r>
        <w:rPr>
          <w:rFonts w:ascii="Arial" w:hAnsi="Arial"/>
          <w:sz w:val="16"/>
        </w:rPr>
        <w:t>305.18  فعالیت هایی که به اثرات کوتاه مدت و مستقیم یک حادثه می‌پردازند.</w:t>
      </w:r>
    </w:p>
    <w:p>
      <w:pPr>
        <w:spacing w:after="28" w:line="216" w:lineRule="auto"/>
        <w:ind w:left="259"/>
        <w:jc w:val="left"/>
      </w:pPr>
      <w:r>
        <w:rPr>
          <w:rFonts w:ascii="Arial" w:hAnsi="Arial"/>
          <w:color w:val="525252"/>
          <w:sz w:val="13"/>
        </w:rPr>
        <w:t>Activities that address the short-term, direct effects of an incident.</w:t>
      </w:r>
    </w:p>
    <w:p>
      <w:pPr>
        <w:spacing w:after="20" w:line="223" w:lineRule="auto"/>
        <w:jc w:val="right"/>
        <w:bidi/>
      </w:pPr>
      <w:r>
        <w:rPr>
          <w:rFonts w:ascii="Arial" w:hAnsi="Arial"/>
          <w:sz w:val="16"/>
        </w:rPr>
        <w:t>305.19  پاسخ شامل اقدامات فوری برای نجات جان افراد، حفاظت از اموال و برآوردن نیازهای اساسی انسان است.</w:t>
      </w:r>
    </w:p>
    <w:p>
      <w:pPr>
        <w:spacing w:after="28" w:line="216" w:lineRule="auto"/>
        <w:ind w:left="259"/>
        <w:jc w:val="left"/>
      </w:pPr>
      <w:r>
        <w:rPr>
          <w:rFonts w:ascii="Arial" w:hAnsi="Arial"/>
          <w:color w:val="525252"/>
          <w:sz w:val="13"/>
        </w:rPr>
        <w:t>Response includes immediate actions to save lives, protect property, and meet basic human needs.</w:t>
      </w:r>
    </w:p>
    <w:p>
      <w:pPr>
        <w:spacing w:after="20" w:line="223" w:lineRule="auto"/>
        <w:jc w:val="right"/>
        <w:bidi/>
      </w:pPr>
      <w:r>
        <w:rPr>
          <w:rFonts w:ascii="Arial" w:hAnsi="Arial"/>
          <w:sz w:val="16"/>
        </w:rPr>
        <w:t>305.20  پاسخ همچنین شامل اجرای طرح‌های عملیات اضطراری و فعالیت‌های کاهش حادثه است که برای محدود کردن خسارات جانی، آسیب‌های شخصی، آسیب‌های مالی و سایر پیامدهای نامطلوب طراحی شده‌اند.</w:t>
      </w:r>
    </w:p>
    <w:p>
      <w:pPr>
        <w:spacing w:after="28" w:line="216" w:lineRule="auto"/>
        <w:ind w:left="259"/>
        <w:jc w:val="left"/>
      </w:pPr>
      <w:r>
        <w:rPr>
          <w:rFonts w:ascii="Arial" w:hAnsi="Arial"/>
          <w:color w:val="525252"/>
          <w:sz w:val="13"/>
        </w:rPr>
        <w:t>Response also includes the execution of emergency operations plans and of incident mitigation activities designed to limit the loss of life, personal injury, property damage, and other unfavorable outcomes.</w:t>
      </w:r>
    </w:p>
    <w:p>
      <w:pPr>
        <w:spacing w:after="20" w:line="223" w:lineRule="auto"/>
        <w:jc w:val="right"/>
        <w:bidi/>
      </w:pPr>
      <w:r>
        <w:rPr>
          <w:rFonts w:ascii="Arial" w:hAnsi="Arial"/>
          <w:sz w:val="16"/>
        </w:rPr>
        <w:t>305.21  بازیابی.</w:t>
      </w:r>
    </w:p>
    <w:p>
      <w:pPr>
        <w:spacing w:after="28" w:line="216" w:lineRule="auto"/>
        <w:ind w:left="259"/>
        <w:jc w:val="left"/>
      </w:pPr>
      <w:r>
        <w:rPr>
          <w:rFonts w:ascii="Arial" w:hAnsi="Arial"/>
          <w:color w:val="525252"/>
          <w:sz w:val="13"/>
        </w:rPr>
        <w:t>Recovery.</w:t>
      </w:r>
    </w:p>
    <w:p>
      <w:pPr>
        <w:spacing w:after="20" w:line="223" w:lineRule="auto"/>
        <w:jc w:val="right"/>
        <w:bidi/>
      </w:pPr>
      <w:r>
        <w:rPr>
          <w:rFonts w:ascii="Arial" w:hAnsi="Arial"/>
          <w:sz w:val="16"/>
        </w:rPr>
        <w:t>305.22  توسعه، هماهنگی، و اجرای طرح‌های خدمات و بازسازی مکان برای جوامع آسیب‌دیده و بازسازی عملیات و خدمات دولتی از طریق برنامه‌های کمک‌های فردی، بخش خصوصی، غیر دولتی و عمومی که: نیازها را شناسایی و منابع را تعریف می‌کنند. تأمین مسکن و ترویج مرمت؛ رسیدگی به مراقبت و درمان طولانی مدت افراد آسیب دیده؛ اجرای اقدامات اضافی برای بازسازی جامعه؛ در صورت امکان، تدابیر و تکنیک‌های کاهش‌دهنده را بگنجانید. ارزیابی حادثه برای شناسایی درس‌های آموخته شده؛ و ایجاد ابتکاراتی برای کاهش اثرات حوادث آینده.</w:t>
      </w:r>
    </w:p>
    <w:p>
      <w:pPr>
        <w:spacing w:after="28" w:line="216" w:lineRule="auto"/>
        <w:ind w:left="259"/>
        <w:jc w:val="left"/>
      </w:pPr>
      <w:r>
        <w:rPr>
          <w:rFonts w:ascii="Arial" w:hAnsi="Arial"/>
          <w:color w:val="525252"/>
          <w:sz w:val="13"/>
        </w:rPr>
        <w:t>The development, coordination, and execution of service- and site-restoration plans for impacted communities and the reconstitution of government operations and services through individual, private sector, nongovernmental, and public assistance programs that: identify needs and define resources; provide housing and promote restoration; address long-term care and treatment of affected persons; implement additional measures for community restoration; incorporate mitigation measures and techniques, as feasible; evaluate the incident to identify lessons learned; and develop initiatives to mitigate the effects of future incidents.</w:t>
      </w:r>
    </w:p>
    <w:p>
      <w:pPr>
        <w:spacing w:after="20" w:line="223" w:lineRule="auto"/>
        <w:jc w:val="right"/>
        <w:bidi/>
      </w:pPr>
      <w:r>
        <w:rPr>
          <w:rFonts w:ascii="Arial" w:hAnsi="Arial"/>
          <w:sz w:val="16"/>
        </w:rPr>
        <w:t>305.23  تخفیف.</w:t>
      </w:r>
    </w:p>
    <w:p>
      <w:pPr>
        <w:spacing w:after="28" w:line="216" w:lineRule="auto"/>
        <w:ind w:left="259"/>
        <w:jc w:val="left"/>
      </w:pPr>
      <w:r>
        <w:rPr>
          <w:rFonts w:ascii="Arial" w:hAnsi="Arial"/>
          <w:color w:val="525252"/>
          <w:sz w:val="13"/>
        </w:rPr>
        <w:t>Mitigation.</w:t>
      </w:r>
    </w:p>
    <w:p>
      <w:pPr>
        <w:spacing w:after="20" w:line="223" w:lineRule="auto"/>
        <w:jc w:val="right"/>
        <w:bidi/>
      </w:pPr>
      <w:r>
        <w:rPr>
          <w:rFonts w:ascii="Arial" w:hAnsi="Arial"/>
          <w:sz w:val="16"/>
        </w:rPr>
        <w:t>305.24  فعالیت‌هایی که برای کاهش یا حذف خطرات برای افراد یا دارایی‌ها یا کاهش اثرات یا پیامدهای واقعی یا بالقوه یک حادثه طراحی شده‌اند.</w:t>
      </w:r>
    </w:p>
    <w:p>
      <w:pPr>
        <w:spacing w:after="28" w:line="216" w:lineRule="auto"/>
        <w:ind w:left="259"/>
        <w:jc w:val="left"/>
      </w:pPr>
      <w:r>
        <w:rPr>
          <w:rFonts w:ascii="Arial" w:hAnsi="Arial"/>
          <w:color w:val="525252"/>
          <w:sz w:val="13"/>
        </w:rPr>
        <w:t>Activities designed to reduce or eliminate risks to persons or property or to lessen the actual or potential effects or consequences of an incident.</w:t>
      </w:r>
    </w:p>
    <w:p>
      <w:pPr>
        <w:spacing w:after="20" w:line="223" w:lineRule="auto"/>
        <w:jc w:val="right"/>
        <w:bidi/>
      </w:pPr>
      <w:r>
        <w:rPr>
          <w:rFonts w:ascii="Arial" w:hAnsi="Arial"/>
          <w:sz w:val="16"/>
        </w:rPr>
        <w:t>305.25  اقدامات کاهشی ممکن است قبل، در حین یا بعد از یک حادثه اجرا شود.</w:t>
      </w:r>
    </w:p>
    <w:p>
      <w:pPr>
        <w:spacing w:after="28" w:line="216" w:lineRule="auto"/>
        <w:ind w:left="259"/>
        <w:jc w:val="left"/>
      </w:pPr>
      <w:r>
        <w:rPr>
          <w:rFonts w:ascii="Arial" w:hAnsi="Arial"/>
          <w:color w:val="525252"/>
          <w:sz w:val="13"/>
        </w:rPr>
        <w:t>Mitigation measures may be implemented prior to, during, or after an incident.</w:t>
      </w:r>
    </w:p>
    <w:p>
      <w:pPr>
        <w:spacing w:after="20" w:line="223" w:lineRule="auto"/>
        <w:jc w:val="right"/>
        <w:bidi/>
      </w:pPr>
      <w:r>
        <w:rPr>
          <w:rFonts w:ascii="Arial" w:hAnsi="Arial"/>
          <w:sz w:val="16"/>
        </w:rPr>
        <w:t>305.26  ساختار برنامه DAF EM.</w:t>
      </w:r>
    </w:p>
    <w:p>
      <w:pPr>
        <w:spacing w:after="28" w:line="216" w:lineRule="auto"/>
        <w:ind w:left="259"/>
        <w:jc w:val="left"/>
      </w:pPr>
      <w:r>
        <w:rPr>
          <w:rFonts w:ascii="Arial" w:hAnsi="Arial"/>
          <w:color w:val="525252"/>
          <w:sz w:val="13"/>
        </w:rPr>
        <w:t>DAF EM Program Structure.</w:t>
      </w:r>
    </w:p>
    <w:p>
      <w:pPr>
        <w:spacing w:after="20" w:line="223" w:lineRule="auto"/>
        <w:jc w:val="right"/>
        <w:bidi/>
      </w:pPr>
      <w:r>
        <w:rPr>
          <w:rFonts w:ascii="Arial" w:hAnsi="Arial"/>
          <w:sz w:val="16"/>
        </w:rPr>
        <w:t>305.27  برنامه DAF EM متشکل از پرسنل و سازمانها است</w:t>
      </w:r>
    </w:p>
    <w:p>
      <w:pPr>
        <w:spacing w:after="28" w:line="216" w:lineRule="auto"/>
        <w:ind w:left="259"/>
        <w:jc w:val="left"/>
      </w:pPr>
      <w:r>
        <w:rPr>
          <w:rFonts w:ascii="Arial" w:hAnsi="Arial"/>
          <w:color w:val="525252"/>
          <w:sz w:val="13"/>
        </w:rPr>
        <w:t>The DAF EM Program consists of personnel and organizations</w:t>
      </w:r>
    </w:p>
    <w:p>
      <w:r>
        <w:br w:type="page"/>
      </w:r>
    </w:p>
    <w:p>
      <w:pPr>
        <w:spacing w:after="60"/>
        <w:jc w:val="right"/>
        <w:bidi/>
      </w:pPr>
      <w:r>
        <w:rPr>
          <w:rFonts w:ascii="Arial" w:hAnsi="Arial"/>
          <w:b/>
          <w:color w:val="1F4D78"/>
          <w:sz w:val="19"/>
        </w:rPr>
        <w:t>هفتهٔ 306  |  صفحهٔ منبع: 322</w:t>
      </w:r>
    </w:p>
    <w:p>
      <w:pPr>
        <w:spacing w:after="20" w:line="223" w:lineRule="auto"/>
        <w:jc w:val="right"/>
        <w:bidi/>
      </w:pPr>
      <w:r>
        <w:rPr>
          <w:rFonts w:ascii="Arial" w:hAnsi="Arial"/>
          <w:sz w:val="16"/>
        </w:rPr>
        <w:t>306.01  در نقش‌های مختلفی که قابلیت همکاری را در ۱) سطوح عملیاتی، ۲) برنامه‌ریزی و مدیریت ریسک، ۳) فرماندهی و هماهنگی حادثه، و ۴) فرماندهی و کنترل، ایجاد می‌کنند.</w:t>
      </w:r>
    </w:p>
    <w:p>
      <w:pPr>
        <w:spacing w:after="28" w:line="216" w:lineRule="auto"/>
        <w:ind w:left="259"/>
        <w:jc w:val="left"/>
      </w:pPr>
      <w:r>
        <w:rPr>
          <w:rFonts w:ascii="Arial" w:hAnsi="Arial"/>
          <w:color w:val="525252"/>
          <w:sz w:val="13"/>
        </w:rPr>
        <w:t>aligned in various roles which generate interoperability to and through 1) operational levels, 2) planning and risk management, 3) incident command and coordination, and 4) command and control.</w:t>
      </w:r>
    </w:p>
    <w:p>
      <w:pPr>
        <w:spacing w:after="20" w:line="223" w:lineRule="auto"/>
        <w:jc w:val="right"/>
        <w:bidi/>
      </w:pPr>
      <w:r>
        <w:rPr>
          <w:rFonts w:ascii="Arial" w:hAnsi="Arial"/>
          <w:sz w:val="16"/>
        </w:rPr>
        <w:t>306.02  برنامه DAF EM متشکل از دفاتر سازمانی و پاسخ دهندگان خاص به نام نیروی واکنش در بلایا (DRF) است که به بلایا/حوادث پاسخ می‌دهند و عملیات واکنش را مدیریت و اجرا می‌کنند.</w:t>
      </w:r>
    </w:p>
    <w:p>
      <w:pPr>
        <w:spacing w:after="28" w:line="216" w:lineRule="auto"/>
        <w:ind w:left="259"/>
        <w:jc w:val="left"/>
      </w:pPr>
      <w:r>
        <w:rPr>
          <w:rFonts w:ascii="Arial" w:hAnsi="Arial"/>
          <w:color w:val="525252"/>
          <w:sz w:val="13"/>
        </w:rPr>
        <w:t>The DAF EM Program is comprised of specific organizational offices and responders known as the Disaster Response Force (DRF) that respond to disasters/incidents and manage and conduct response operations.</w:t>
      </w:r>
    </w:p>
    <w:p>
      <w:pPr>
        <w:spacing w:after="20" w:line="223" w:lineRule="auto"/>
        <w:jc w:val="right"/>
        <w:bidi/>
      </w:pPr>
      <w:r>
        <w:rPr>
          <w:rFonts w:ascii="Arial" w:hAnsi="Arial"/>
          <w:sz w:val="16"/>
        </w:rPr>
        <w:t>306.03  این دفاتر خاص و مسئولیت‌های آن‌ها در اینجا و با جزئیات بیشتر در برنامه مدیریت اضطراری DAFI ۱۰-۲۵۰۱ به اختصار توضیح داده شده‌اند.</w:t>
      </w:r>
    </w:p>
    <w:p>
      <w:pPr>
        <w:spacing w:after="28" w:line="216" w:lineRule="auto"/>
        <w:ind w:left="259"/>
        <w:jc w:val="left"/>
      </w:pPr>
      <w:r>
        <w:rPr>
          <w:rFonts w:ascii="Arial" w:hAnsi="Arial"/>
          <w:color w:val="525252"/>
          <w:sz w:val="13"/>
        </w:rPr>
        <w:t>These specific offices and their responsibilities are briefly described here and in further detail in DAFI 10-2501, Emergency Management Program.</w:t>
      </w:r>
    </w:p>
    <w:p>
      <w:pPr>
        <w:spacing w:after="20" w:line="223" w:lineRule="auto"/>
        <w:jc w:val="right"/>
        <w:bidi/>
      </w:pPr>
      <w:r>
        <w:rPr>
          <w:rFonts w:ascii="Arial" w:hAnsi="Arial"/>
          <w:sz w:val="16"/>
        </w:rPr>
        <w:t>306.04  مرکز ارتباطات اضطراری (ECC).</w:t>
      </w:r>
    </w:p>
    <w:p>
      <w:pPr>
        <w:spacing w:after="28" w:line="216" w:lineRule="auto"/>
        <w:ind w:left="259"/>
        <w:jc w:val="left"/>
      </w:pPr>
      <w:r>
        <w:rPr>
          <w:rFonts w:ascii="Arial" w:hAnsi="Arial"/>
          <w:color w:val="525252"/>
          <w:sz w:val="13"/>
        </w:rPr>
        <w:t>Emergency Communications Center (ECC).</w:t>
      </w:r>
    </w:p>
    <w:p>
      <w:pPr>
        <w:spacing w:after="20" w:line="223" w:lineRule="auto"/>
        <w:jc w:val="right"/>
        <w:bidi/>
      </w:pPr>
      <w:r>
        <w:rPr>
          <w:rFonts w:ascii="Arial" w:hAnsi="Arial"/>
          <w:sz w:val="16"/>
        </w:rPr>
        <w:t>306.05  ECC یک عملیات ۲۴ ساعته در روز و هفت روز هفته است و وظایف اصلی خدمات آتش نشانی و اورژانس، نیروهای امنیتی و اعزام پزشکی را در خود جای داده است.</w:t>
      </w:r>
    </w:p>
    <w:p>
      <w:pPr>
        <w:spacing w:after="28" w:line="216" w:lineRule="auto"/>
        <w:ind w:left="259"/>
        <w:jc w:val="left"/>
      </w:pPr>
      <w:r>
        <w:rPr>
          <w:rFonts w:ascii="Arial" w:hAnsi="Arial"/>
          <w:color w:val="525252"/>
          <w:sz w:val="13"/>
        </w:rPr>
        <w:t>The ECC is a 24-hour a day, seven days a week operation and incorporates the core functions of fire and emergency services, security forces, and medical dispatch.</w:t>
      </w:r>
    </w:p>
    <w:p>
      <w:pPr>
        <w:spacing w:after="20" w:line="223" w:lineRule="auto"/>
        <w:jc w:val="right"/>
        <w:bidi/>
      </w:pPr>
      <w:r>
        <w:rPr>
          <w:rFonts w:ascii="Arial" w:hAnsi="Arial"/>
          <w:sz w:val="16"/>
        </w:rPr>
        <w:t>306.06  ECC ارتباطات اضطراری، زنگ هشدار، سنسور، و نظارت تصویری، پشتیبانی از ارتباطات رویداد یا رویداد، تخصیص کانال‌های تاکتیکی، اعلان اضطراری، قابلیت دسترسی پاسخ‌دهنده، و اطلاع‌رسانی اضطراری به مراکز درمانی را ارائه می‌کنند.</w:t>
      </w:r>
    </w:p>
    <w:p>
      <w:pPr>
        <w:spacing w:after="28" w:line="216" w:lineRule="auto"/>
        <w:ind w:left="259"/>
        <w:jc w:val="left"/>
      </w:pPr>
      <w:r>
        <w:rPr>
          <w:rFonts w:ascii="Arial" w:hAnsi="Arial"/>
          <w:color w:val="525252"/>
          <w:sz w:val="13"/>
        </w:rPr>
        <w:t>ECCs provide emergency communications, alarm, sensor, and video monitoring, incident or event communications supports, tactical channel assignments, emergency notification, responder reachback capability, and notification of an emergency to the medical treatment facilities.</w:t>
      </w:r>
    </w:p>
    <w:p>
      <w:pPr>
        <w:spacing w:after="20" w:line="223" w:lineRule="auto"/>
        <w:jc w:val="right"/>
        <w:bidi/>
      </w:pPr>
      <w:r>
        <w:rPr>
          <w:rFonts w:ascii="Arial" w:hAnsi="Arial"/>
          <w:sz w:val="16"/>
        </w:rPr>
        <w:t>306.07  فرمانده حادثه (IC).</w:t>
      </w:r>
    </w:p>
    <w:p>
      <w:pPr>
        <w:spacing w:after="28" w:line="216" w:lineRule="auto"/>
        <w:ind w:left="259"/>
        <w:jc w:val="left"/>
      </w:pPr>
      <w:r>
        <w:rPr>
          <w:rFonts w:ascii="Arial" w:hAnsi="Arial"/>
          <w:color w:val="525252"/>
          <w:sz w:val="13"/>
        </w:rPr>
        <w:t>Incident Commander (IC).</w:t>
      </w:r>
    </w:p>
    <w:p>
      <w:pPr>
        <w:spacing w:after="20" w:line="223" w:lineRule="auto"/>
        <w:jc w:val="right"/>
        <w:bidi/>
      </w:pPr>
      <w:r>
        <w:rPr>
          <w:rFonts w:ascii="Arial" w:hAnsi="Arial"/>
          <w:sz w:val="16"/>
        </w:rPr>
        <w:t>306.08  IC مسئول تمام فعالیت‌های حادثه، از جمله توسعه استراتژی‌ها و تاکتیک‌ها و سفارش و انتشار منابع است.</w:t>
      </w:r>
    </w:p>
    <w:p>
      <w:pPr>
        <w:spacing w:after="28" w:line="216" w:lineRule="auto"/>
        <w:ind w:left="259"/>
        <w:jc w:val="left"/>
      </w:pPr>
      <w:r>
        <w:rPr>
          <w:rFonts w:ascii="Arial" w:hAnsi="Arial"/>
          <w:color w:val="525252"/>
          <w:sz w:val="13"/>
        </w:rPr>
        <w:t>The IC is responsible for all incident activities, including developing strategies and tactics and ordering and releasing resources.</w:t>
      </w:r>
    </w:p>
    <w:p>
      <w:pPr>
        <w:spacing w:after="20" w:line="223" w:lineRule="auto"/>
        <w:jc w:val="right"/>
        <w:bidi/>
      </w:pPr>
      <w:r>
        <w:rPr>
          <w:rFonts w:ascii="Arial" w:hAnsi="Arial"/>
          <w:sz w:val="16"/>
        </w:rPr>
        <w:t>306.09  IC دارای اختیارات و مسئولیت کلی برای انجام و مدیریت عملیات حادثه در محل حادثه است.</w:t>
      </w:r>
    </w:p>
    <w:p>
      <w:pPr>
        <w:spacing w:after="28" w:line="216" w:lineRule="auto"/>
        <w:ind w:left="259"/>
        <w:jc w:val="left"/>
      </w:pPr>
      <w:r>
        <w:rPr>
          <w:rFonts w:ascii="Arial" w:hAnsi="Arial"/>
          <w:color w:val="525252"/>
          <w:sz w:val="13"/>
        </w:rPr>
        <w:t>The IC has overall authority and responsibility for conducting and managing incident operations at the incident site.</w:t>
      </w:r>
    </w:p>
    <w:p>
      <w:pPr>
        <w:spacing w:after="20" w:line="223" w:lineRule="auto"/>
        <w:jc w:val="right"/>
        <w:bidi/>
      </w:pPr>
      <w:r>
        <w:rPr>
          <w:rFonts w:ascii="Arial" w:hAnsi="Arial"/>
          <w:sz w:val="16"/>
        </w:rPr>
        <w:t>306.10  اولین پاسخ دهندگان.</w:t>
      </w:r>
    </w:p>
    <w:p>
      <w:pPr>
        <w:spacing w:after="28" w:line="216" w:lineRule="auto"/>
        <w:ind w:left="259"/>
        <w:jc w:val="left"/>
      </w:pPr>
      <w:r>
        <w:rPr>
          <w:rFonts w:ascii="Arial" w:hAnsi="Arial"/>
          <w:color w:val="525252"/>
          <w:sz w:val="13"/>
        </w:rPr>
        <w:t>First Responders.</w:t>
      </w:r>
    </w:p>
    <w:p>
      <w:pPr>
        <w:spacing w:after="20" w:line="223" w:lineRule="auto"/>
        <w:jc w:val="right"/>
        <w:bidi/>
      </w:pPr>
      <w:r>
        <w:rPr>
          <w:rFonts w:ascii="Arial" w:hAnsi="Arial"/>
          <w:sz w:val="16"/>
        </w:rPr>
        <w:t>306.11  اولین پاسخ دهندگان شامل آتش نشانی و خدمات اضطراری (ف&amp;ES)، پزشکی، نیروهای امنیتی و سایر پرسنل هستند که بلافاصله برای نجات جان افراد، تثبیت حادثه و جلوگیری از آسیب بیشتر به اموال وارد فعالیت می‌شوند.</w:t>
      </w:r>
    </w:p>
    <w:p>
      <w:pPr>
        <w:spacing w:after="28" w:line="216" w:lineRule="auto"/>
        <w:ind w:left="259"/>
        <w:jc w:val="left"/>
      </w:pPr>
      <w:r>
        <w:rPr>
          <w:rFonts w:ascii="Arial" w:hAnsi="Arial"/>
          <w:color w:val="525252"/>
          <w:sz w:val="13"/>
        </w:rPr>
        <w:t>First responders include Fire and Emergency Services (F&amp;ES), medical, security forces, and other personnel who immediately engage in activities to save lives, stabilize the incident, and prevent further property damage.</w:t>
      </w:r>
    </w:p>
    <w:p>
      <w:pPr>
        <w:spacing w:after="20" w:line="223" w:lineRule="auto"/>
        <w:jc w:val="right"/>
        <w:bidi/>
      </w:pPr>
      <w:r>
        <w:rPr>
          <w:rFonts w:ascii="Arial" w:hAnsi="Arial"/>
          <w:sz w:val="16"/>
        </w:rPr>
        <w:t>306.12  پاسخگوهای اضطراری.</w:t>
      </w:r>
    </w:p>
    <w:p>
      <w:pPr>
        <w:spacing w:after="28" w:line="216" w:lineRule="auto"/>
        <w:ind w:left="259"/>
        <w:jc w:val="left"/>
      </w:pPr>
      <w:r>
        <w:rPr>
          <w:rFonts w:ascii="Arial" w:hAnsi="Arial"/>
          <w:color w:val="525252"/>
          <w:sz w:val="13"/>
        </w:rPr>
        <w:t>Emergency Responders.</w:t>
      </w:r>
    </w:p>
    <w:p>
      <w:pPr>
        <w:spacing w:after="20" w:line="223" w:lineRule="auto"/>
        <w:jc w:val="right"/>
        <w:bidi/>
      </w:pPr>
      <w:r>
        <w:rPr>
          <w:rFonts w:ascii="Arial" w:hAnsi="Arial"/>
          <w:sz w:val="16"/>
        </w:rPr>
        <w:t>306.13  پاسخ‌دهنده‌های اضطراری عناصر پاسخ‌دهنده یک DRF هستند که پس از اولین پاسخ‌دهنده‌ها برای گسترش قابلیت‌های IC و انجام عملکردهای پشتیبانی مستقر می‌شوند.</w:t>
      </w:r>
    </w:p>
    <w:p>
      <w:pPr>
        <w:spacing w:after="28" w:line="216" w:lineRule="auto"/>
        <w:ind w:left="259"/>
        <w:jc w:val="left"/>
      </w:pPr>
      <w:r>
        <w:rPr>
          <w:rFonts w:ascii="Arial" w:hAnsi="Arial"/>
          <w:color w:val="525252"/>
          <w:sz w:val="13"/>
        </w:rPr>
        <w:t>Emergency responders are the response elements of a DRF that deploy after the first responders to expand IC capabilities and perform support functions.</w:t>
      </w:r>
    </w:p>
    <w:p>
      <w:pPr>
        <w:spacing w:after="20" w:line="223" w:lineRule="auto"/>
        <w:jc w:val="right"/>
        <w:bidi/>
      </w:pPr>
      <w:r>
        <w:rPr>
          <w:rFonts w:ascii="Arial" w:hAnsi="Arial"/>
          <w:sz w:val="16"/>
        </w:rPr>
        <w:t>306.14  پاسخ‌دهنده‌های اضطراری شامل عناصر بعدی متخصصان EM، مواد شیمیایی، بیولوژیکی، رادیولوژی، دفاع هسته‌ای (CBRN)، پرسنل خنثی‌سازی مهمات منفجره (EOD)، پزشکان، پرستاران، ارائه‌دهندگان درمان پزشکی، و کارمندان امدادرسانی می‌شوند.</w:t>
      </w:r>
    </w:p>
    <w:p>
      <w:pPr>
        <w:spacing w:after="28" w:line="216" w:lineRule="auto"/>
        <w:ind w:left="259"/>
        <w:jc w:val="left"/>
      </w:pPr>
      <w:r>
        <w:rPr>
          <w:rFonts w:ascii="Arial" w:hAnsi="Arial"/>
          <w:color w:val="525252"/>
          <w:sz w:val="13"/>
        </w:rPr>
        <w:t>Emergency responders include but are not limited to the follow-on elements of EM, Chemical, Biological, Radiological, Nuclear (CBRN) defense specialists, Explosive Ordnance Disposal (EOD) personnel, physicians, nurses, medical treatment providers, and mortuary affairs personnel.</w:t>
      </w:r>
    </w:p>
    <w:p>
      <w:pPr>
        <w:spacing w:after="20" w:line="223" w:lineRule="auto"/>
        <w:jc w:val="right"/>
        <w:bidi/>
      </w:pPr>
      <w:r>
        <w:rPr>
          <w:rFonts w:ascii="Arial" w:hAnsi="Arial"/>
          <w:sz w:val="16"/>
        </w:rPr>
        <w:t>306.15  تیم‌های تخصصی و پشتیبانی.</w:t>
      </w:r>
    </w:p>
    <w:p>
      <w:pPr>
        <w:spacing w:after="28" w:line="216" w:lineRule="auto"/>
        <w:ind w:left="259"/>
        <w:jc w:val="left"/>
      </w:pPr>
      <w:r>
        <w:rPr>
          <w:rFonts w:ascii="Arial" w:hAnsi="Arial"/>
          <w:color w:val="525252"/>
          <w:sz w:val="13"/>
        </w:rPr>
        <w:t>Specialized and Support Teams.</w:t>
      </w:r>
    </w:p>
    <w:p>
      <w:pPr>
        <w:spacing w:after="20" w:line="223" w:lineRule="auto"/>
        <w:jc w:val="right"/>
        <w:bidi/>
      </w:pPr>
      <w:r>
        <w:rPr>
          <w:rFonts w:ascii="Arial" w:hAnsi="Arial"/>
          <w:sz w:val="16"/>
        </w:rPr>
        <w:t>306.16  تیم‌هایی از پرسنل نصب و واحد موجود برای پشتیبانی از عملیات واکنش اضطراری و/یا بازیابی تشکیل می‌شوند.</w:t>
      </w:r>
    </w:p>
    <w:p>
      <w:pPr>
        <w:spacing w:after="28" w:line="216" w:lineRule="auto"/>
        <w:ind w:left="259"/>
        <w:jc w:val="left"/>
      </w:pPr>
      <w:r>
        <w:rPr>
          <w:rFonts w:ascii="Arial" w:hAnsi="Arial"/>
          <w:color w:val="525252"/>
          <w:sz w:val="13"/>
        </w:rPr>
        <w:t>Teams are formed from the existing installation and unit personnel to support emergency response and/or recovery operations.</w:t>
      </w:r>
    </w:p>
    <w:p>
      <w:pPr>
        <w:spacing w:after="20" w:line="223" w:lineRule="auto"/>
        <w:jc w:val="right"/>
        <w:bidi/>
      </w:pPr>
      <w:r>
        <w:rPr>
          <w:rFonts w:ascii="Arial" w:hAnsi="Arial"/>
          <w:sz w:val="16"/>
        </w:rPr>
        <w:t>306.17  مثال‌ها عبارتند از ارزیابی خسارت، جستجو و بازیابی، بازیابی آسیب‌دیده یا از کار افتاده سقوط هواپیما، پاسخ به نشت، تیم واکنش هیدرازین، کمک خانواده اضطراری، سلامت روانی در بلایا، تیم‌های واکنش پزشکی، قراردادهای اضطراری، و سایر مهندسین بیوئن.</w:t>
      </w:r>
    </w:p>
    <w:p>
      <w:pPr>
        <w:spacing w:after="28" w:line="216" w:lineRule="auto"/>
        <w:ind w:left="259"/>
        <w:jc w:val="left"/>
      </w:pPr>
      <w:r>
        <w:rPr>
          <w:rFonts w:ascii="Arial" w:hAnsi="Arial"/>
          <w:color w:val="525252"/>
          <w:sz w:val="13"/>
        </w:rPr>
        <w:t>Examples include Damage Assessment, Search and Recovery, Aircraft Crash Damaged or Disabled Recovery, Spill Response, Hydrazine Response Team, Emergency Family Assistance, Disaster Mental Health, Medical Response Teams, Contingency Contracting, Bioenvironmental Engineering, and others.</w:t>
      </w:r>
    </w:p>
    <w:p>
      <w:pPr>
        <w:spacing w:after="20" w:line="223" w:lineRule="auto"/>
        <w:jc w:val="right"/>
        <w:bidi/>
      </w:pPr>
      <w:r>
        <w:rPr>
          <w:rFonts w:ascii="Arial" w:hAnsi="Arial"/>
          <w:sz w:val="16"/>
        </w:rPr>
        <w:t>306.18  مراکز کنترل.</w:t>
      </w:r>
    </w:p>
    <w:p>
      <w:pPr>
        <w:spacing w:after="28" w:line="216" w:lineRule="auto"/>
        <w:ind w:left="259"/>
        <w:jc w:val="left"/>
      </w:pPr>
      <w:r>
        <w:rPr>
          <w:rFonts w:ascii="Arial" w:hAnsi="Arial"/>
          <w:color w:val="525252"/>
          <w:sz w:val="13"/>
        </w:rPr>
        <w:t>Control Centers.</w:t>
      </w:r>
    </w:p>
    <w:p>
      <w:pPr>
        <w:spacing w:after="20" w:line="223" w:lineRule="auto"/>
        <w:jc w:val="right"/>
        <w:bidi/>
      </w:pPr>
      <w:r>
        <w:rPr>
          <w:rFonts w:ascii="Arial" w:hAnsi="Arial"/>
          <w:sz w:val="16"/>
        </w:rPr>
        <w:t>306.19  مراکز کنترل در طول فعال‌سازی EOC فعال می‌شوند و تخصص و پشتیبانی منابع را به مدیر EOC ارائه می‌کنند و به‌عنوان گره فرمان و کنترل برای تمام واحدهای نصب وظیفه‌ای در برنامه مدیریت اضطراری نصب عمل می‌کنند.</w:t>
      </w:r>
    </w:p>
    <w:p>
      <w:pPr>
        <w:spacing w:after="28" w:line="216" w:lineRule="auto"/>
        <w:ind w:left="259"/>
        <w:jc w:val="left"/>
      </w:pPr>
      <w:r>
        <w:rPr>
          <w:rFonts w:ascii="Arial" w:hAnsi="Arial"/>
          <w:color w:val="525252"/>
          <w:sz w:val="13"/>
        </w:rPr>
        <w:t>Control Centers are activated during the EOC activation and provide expertise and resource support to the EOC director and serve as the command and control node for all installation units tasked in the Installation Emergency Management Plan.</w:t>
      </w:r>
    </w:p>
    <w:p>
      <w:pPr>
        <w:spacing w:after="20" w:line="223" w:lineRule="auto"/>
        <w:jc w:val="right"/>
        <w:bidi/>
      </w:pPr>
      <w:r>
        <w:rPr>
          <w:rFonts w:ascii="Arial" w:hAnsi="Arial"/>
          <w:sz w:val="16"/>
        </w:rPr>
        <w:t>306.20  مرکز عملیات اضطراری (EOC).</w:t>
      </w:r>
    </w:p>
    <w:p>
      <w:pPr>
        <w:spacing w:after="28" w:line="216" w:lineRule="auto"/>
        <w:ind w:left="259"/>
        <w:jc w:val="left"/>
      </w:pPr>
      <w:r>
        <w:rPr>
          <w:rFonts w:ascii="Arial" w:hAnsi="Arial"/>
          <w:color w:val="525252"/>
          <w:sz w:val="13"/>
        </w:rPr>
        <w:t>Emergency Operations Center (EOC).</w:t>
      </w:r>
    </w:p>
    <w:p>
      <w:pPr>
        <w:spacing w:after="20" w:line="223" w:lineRule="auto"/>
        <w:jc w:val="right"/>
        <w:bidi/>
      </w:pPr>
      <w:r>
        <w:rPr>
          <w:rFonts w:ascii="Arial" w:hAnsi="Arial"/>
          <w:sz w:val="16"/>
        </w:rPr>
        <w:t>306.21  EOC وظیفه حیاتی نصب برای مقابله با تهدیدات/خطرات قریب الوقوع یا تحقق یافته و هماهنگی پشتیبانی برای فرماندهی حادثه، پرسنل در صحنه و/یا سایر EOCها است.</w:t>
      </w:r>
    </w:p>
    <w:p>
      <w:pPr>
        <w:spacing w:after="28" w:line="216" w:lineRule="auto"/>
        <w:ind w:left="259"/>
        <w:jc w:val="left"/>
      </w:pPr>
      <w:r>
        <w:rPr>
          <w:rFonts w:ascii="Arial" w:hAnsi="Arial"/>
          <w:color w:val="525252"/>
          <w:sz w:val="13"/>
        </w:rPr>
        <w:t>The EOC is the installation’s critical function to address imminent or realized threats/hazards and coordinate support to the incident command, on-scene personnel, and/or other EOCs.</w:t>
      </w:r>
    </w:p>
    <w:p>
      <w:pPr>
        <w:spacing w:after="20" w:line="223" w:lineRule="auto"/>
        <w:jc w:val="right"/>
        <w:bidi/>
      </w:pPr>
      <w:r>
        <w:rPr>
          <w:rFonts w:ascii="Arial" w:hAnsi="Arial"/>
          <w:sz w:val="16"/>
        </w:rPr>
        <w:t>306.22  پست فرمان.</w:t>
      </w:r>
    </w:p>
    <w:p>
      <w:pPr>
        <w:spacing w:after="28" w:line="216" w:lineRule="auto"/>
        <w:ind w:left="259"/>
        <w:jc w:val="left"/>
      </w:pPr>
      <w:r>
        <w:rPr>
          <w:rFonts w:ascii="Arial" w:hAnsi="Arial"/>
          <w:color w:val="525252"/>
          <w:sz w:val="13"/>
        </w:rPr>
        <w:t>Command Post.</w:t>
      </w:r>
    </w:p>
    <w:p>
      <w:pPr>
        <w:spacing w:after="20" w:line="223" w:lineRule="auto"/>
        <w:jc w:val="right"/>
        <w:bidi/>
      </w:pPr>
      <w:r>
        <w:rPr>
          <w:rFonts w:ascii="Arial" w:hAnsi="Arial"/>
          <w:sz w:val="16"/>
        </w:rPr>
        <w:t>306.23  پست فرماندهی یک گره فرماندهی و کنترل (ک۲) تمام وقت، ۲۴ ساعته و ۷ روزه است که مستقیما مسئول فرمانده یا فرماندهان است و به‌عنوان نقطه کانونی عملیات، از جمله دریافت و انتشار دستورات، اطلاعات و درخواست‌های لازم برای ک۲ نیروها و عملیات تعیین شده، عمل می‌کند.</w:t>
      </w:r>
    </w:p>
    <w:p>
      <w:pPr>
        <w:spacing w:after="28" w:line="216" w:lineRule="auto"/>
        <w:ind w:left="259"/>
        <w:jc w:val="left"/>
      </w:pPr>
      <w:r>
        <w:rPr>
          <w:rFonts w:ascii="Arial" w:hAnsi="Arial"/>
          <w:color w:val="525252"/>
          <w:sz w:val="13"/>
        </w:rPr>
        <w:t>The Command Post is a full-time, 24/7 Command and Control (C2) node, directly responsible to commander(s) and serves as the focal point of operations, including the receipt and dissemination of orders, information, and requests necessary for the C2 of assigned forces and operations.</w:t>
      </w:r>
    </w:p>
    <w:p>
      <w:pPr>
        <w:spacing w:after="20" w:line="223" w:lineRule="auto"/>
        <w:jc w:val="right"/>
        <w:bidi/>
      </w:pPr>
      <w:r>
        <w:rPr>
          <w:rFonts w:ascii="Arial" w:hAnsi="Arial"/>
          <w:sz w:val="16"/>
        </w:rPr>
        <w:t>306.24  تیم اقدام بحران (CAT).</w:t>
      </w:r>
    </w:p>
    <w:p>
      <w:pPr>
        <w:spacing w:after="28" w:line="216" w:lineRule="auto"/>
        <w:ind w:left="259"/>
        <w:jc w:val="left"/>
      </w:pPr>
      <w:r>
        <w:rPr>
          <w:rFonts w:ascii="Arial" w:hAnsi="Arial"/>
          <w:color w:val="525252"/>
          <w:sz w:val="13"/>
        </w:rPr>
        <w:t>Crisis Action Team (CAT).</w:t>
      </w:r>
    </w:p>
    <w:p>
      <w:pPr>
        <w:spacing w:after="20" w:line="223" w:lineRule="auto"/>
        <w:jc w:val="right"/>
        <w:bidi/>
      </w:pPr>
      <w:r>
        <w:rPr>
          <w:rFonts w:ascii="Arial" w:hAnsi="Arial"/>
          <w:sz w:val="16"/>
        </w:rPr>
        <w:t>306.25  CAT بالاترین رده در ادامه و تداوم مأموریت نصب است.</w:t>
      </w:r>
    </w:p>
    <w:p>
      <w:pPr>
        <w:spacing w:after="28" w:line="216" w:lineRule="auto"/>
        <w:ind w:left="259"/>
        <w:jc w:val="left"/>
      </w:pPr>
      <w:r>
        <w:rPr>
          <w:rFonts w:ascii="Arial" w:hAnsi="Arial"/>
          <w:color w:val="525252"/>
          <w:sz w:val="13"/>
        </w:rPr>
        <w:t>The CAT is the top echelon of installation mission continuation and sustainment.</w:t>
      </w:r>
    </w:p>
    <w:p>
      <w:pPr>
        <w:spacing w:after="20" w:line="223" w:lineRule="auto"/>
        <w:jc w:val="right"/>
        <w:bidi/>
      </w:pPr>
      <w:r>
        <w:rPr>
          <w:rFonts w:ascii="Arial" w:hAnsi="Arial"/>
          <w:sz w:val="16"/>
        </w:rPr>
        <w:t>306.26  CAT شامل افسران ارشد و رهبران ارشد ثبت‌نام شده در سراسر ا-ستافف و واحدهای پشتیبانی است.</w:t>
      </w:r>
    </w:p>
    <w:p>
      <w:pPr>
        <w:spacing w:after="28" w:line="216" w:lineRule="auto"/>
        <w:ind w:left="259"/>
        <w:jc w:val="left"/>
      </w:pPr>
      <w:r>
        <w:rPr>
          <w:rFonts w:ascii="Arial" w:hAnsi="Arial"/>
          <w:color w:val="525252"/>
          <w:sz w:val="13"/>
        </w:rPr>
        <w:t>The CAT includes senior officers and senior enlisted leaders across the A-Staff and supporting units.</w:t>
      </w:r>
    </w:p>
    <w:p>
      <w:pPr>
        <w:spacing w:after="20" w:line="223" w:lineRule="auto"/>
        <w:jc w:val="right"/>
        <w:bidi/>
      </w:pPr>
      <w:r>
        <w:rPr>
          <w:rFonts w:ascii="Arial" w:hAnsi="Arial"/>
          <w:sz w:val="16"/>
        </w:rPr>
        <w:t>306.27  اعضای شرکای مشترک، غیرنظامی و/یا شرکای کشور میزبان نیز ممکن است حضور داشته باشند.</w:t>
      </w:r>
    </w:p>
    <w:p>
      <w:pPr>
        <w:spacing w:after="28" w:line="216" w:lineRule="auto"/>
        <w:ind w:left="259"/>
        <w:jc w:val="left"/>
      </w:pPr>
      <w:r>
        <w:rPr>
          <w:rFonts w:ascii="Arial" w:hAnsi="Arial"/>
          <w:color w:val="525252"/>
          <w:sz w:val="13"/>
        </w:rPr>
        <w:t>Members of joint, civilian partners, and/or host nation partners may also be present.</w:t>
      </w:r>
    </w:p>
    <w:p>
      <w:pPr>
        <w:spacing w:after="20" w:line="223" w:lineRule="auto"/>
        <w:jc w:val="right"/>
        <w:bidi/>
      </w:pPr>
      <w:r>
        <w:rPr>
          <w:rFonts w:ascii="Arial" w:hAnsi="Arial"/>
          <w:sz w:val="16"/>
        </w:rPr>
        <w:t>306.28  CAT از فرمانده نصب با ارزیابی وضعیت، تعیین اولویت‌های مأموریت و هدایت واحدهای تابعه پشتیبانی می‌کند.</w:t>
      </w:r>
    </w:p>
    <w:p>
      <w:pPr>
        <w:spacing w:after="28" w:line="216" w:lineRule="auto"/>
        <w:ind w:left="259"/>
        <w:jc w:val="left"/>
      </w:pPr>
      <w:r>
        <w:rPr>
          <w:rFonts w:ascii="Arial" w:hAnsi="Arial"/>
          <w:color w:val="525252"/>
          <w:sz w:val="13"/>
        </w:rPr>
        <w:t>The CAT supports the installation commander by assessing the situation, determining mission priorities, and directing subordinate units.</w:t>
      </w:r>
    </w:p>
    <w:p>
      <w:pPr>
        <w:spacing w:after="20" w:line="223" w:lineRule="auto"/>
        <w:jc w:val="right"/>
        <w:bidi/>
      </w:pPr>
      <w:r>
        <w:rPr>
          <w:rFonts w:ascii="Arial" w:hAnsi="Arial"/>
          <w:sz w:val="16"/>
        </w:rPr>
        <w:t>306.29  توجه: هدف CAT تمرکز بر ادامه و تداوم مأموریت است و نه مدیریت حادثه.</w:t>
      </w:r>
    </w:p>
    <w:p>
      <w:pPr>
        <w:spacing w:after="28" w:line="216" w:lineRule="auto"/>
        <w:ind w:left="259"/>
        <w:jc w:val="left"/>
      </w:pPr>
      <w:r>
        <w:rPr>
          <w:rFonts w:ascii="Arial" w:hAnsi="Arial"/>
          <w:color w:val="525252"/>
          <w:sz w:val="13"/>
        </w:rPr>
        <w:t>Note: The CAT is intended to focus on mission continuation and sustainment and not the management of the incident.</w:t>
      </w:r>
    </w:p>
    <w:p>
      <w:r>
        <w:br w:type="page"/>
      </w:r>
    </w:p>
    <w:p>
      <w:pPr>
        <w:spacing w:after="60"/>
        <w:jc w:val="right"/>
        <w:bidi/>
      </w:pPr>
      <w:r>
        <w:rPr>
          <w:rFonts w:ascii="Arial" w:hAnsi="Arial"/>
          <w:b/>
          <w:color w:val="1F4D78"/>
          <w:sz w:val="19"/>
        </w:rPr>
        <w:t>هفتهٔ 307  |  صفحهٔ منبع: 323</w:t>
      </w:r>
    </w:p>
    <w:p>
      <w:pPr>
        <w:spacing w:before="60" w:after="28"/>
        <w:jc w:val="right"/>
        <w:bidi/>
      </w:pPr>
      <w:r>
        <w:rPr>
          <w:b/>
          <w:color w:val="1F4D78"/>
          <w:sz w:val="18"/>
        </w:rPr>
        <w:t>بخش 17B - بلایا، حملات و خطرات</w:t>
      </w:r>
    </w:p>
    <w:p>
      <w:pPr>
        <w:spacing w:after="20"/>
        <w:ind w:left="259"/>
        <w:jc w:val="left"/>
      </w:pPr>
      <w:r>
        <w:rPr>
          <w:color w:val="555555"/>
          <w:sz w:val="12"/>
        </w:rPr>
        <w:t>Section 17B—Disasters, Attacks, and Hazards</w:t>
      </w:r>
    </w:p>
    <w:p>
      <w:pPr>
        <w:spacing w:before="60" w:after="28"/>
        <w:jc w:val="right"/>
        <w:bidi/>
      </w:pPr>
      <w:r>
        <w:rPr>
          <w:b/>
          <w:color w:val="1F4D78"/>
          <w:sz w:val="18"/>
        </w:rPr>
        <w:t>17.3. انتظار غیر منتظره را داشته باشید</w:t>
      </w:r>
    </w:p>
    <w:p>
      <w:pPr>
        <w:spacing w:after="20"/>
        <w:ind w:left="259"/>
        <w:jc w:val="left"/>
      </w:pPr>
      <w:r>
        <w:rPr>
          <w:color w:val="555555"/>
          <w:sz w:val="12"/>
        </w:rPr>
        <w:t>17.3. Expect the Unexpected</w:t>
      </w:r>
    </w:p>
    <w:p>
      <w:pPr>
        <w:spacing w:after="20" w:line="223" w:lineRule="auto"/>
        <w:jc w:val="right"/>
        <w:bidi/>
      </w:pPr>
      <w:r>
        <w:rPr>
          <w:rFonts w:ascii="Arial" w:hAnsi="Arial"/>
          <w:sz w:val="16"/>
        </w:rPr>
        <w:t>307.03  بلایای طبیعی، مخاطرات انسان‌ساز و خطرات تکنولوژیکی می‌توانند شرایط اضطراری را با تنوع، بزرگی، گستره، فوریت، و درجه آسیب و تخریب ایجاد کنند.</w:t>
      </w:r>
    </w:p>
    <w:p>
      <w:pPr>
        <w:spacing w:after="28" w:line="216" w:lineRule="auto"/>
        <w:ind w:left="259"/>
        <w:jc w:val="left"/>
      </w:pPr>
      <w:r>
        <w:rPr>
          <w:rFonts w:ascii="Arial" w:hAnsi="Arial"/>
          <w:color w:val="525252"/>
          <w:sz w:val="13"/>
        </w:rPr>
        <w:t>Natural disasters, man-made hazards, and technological hazards can create emergency conditions in a wide variety, magnitude, scope, urgency, and degree of damage and destruction.</w:t>
      </w:r>
    </w:p>
    <w:p>
      <w:pPr>
        <w:spacing w:after="20" w:line="223" w:lineRule="auto"/>
        <w:jc w:val="right"/>
        <w:bidi/>
      </w:pPr>
      <w:r>
        <w:rPr>
          <w:rFonts w:ascii="Arial" w:hAnsi="Arial"/>
          <w:sz w:val="16"/>
        </w:rPr>
        <w:t>307.04  بلایا یا حوادث ناشی از یک تهدید یا خطر می‌توانند در هر زمانی با اخطار کم یا بدون هشدار قبلی رخ دهند.</w:t>
      </w:r>
    </w:p>
    <w:p>
      <w:pPr>
        <w:spacing w:after="28" w:line="216" w:lineRule="auto"/>
        <w:ind w:left="259"/>
        <w:jc w:val="left"/>
      </w:pPr>
      <w:r>
        <w:rPr>
          <w:rFonts w:ascii="Arial" w:hAnsi="Arial"/>
          <w:color w:val="525252"/>
          <w:sz w:val="13"/>
        </w:rPr>
        <w:t>Disasters or incidents resulting from a threat or hazard can occur at any time with little or no advance warning.</w:t>
      </w:r>
    </w:p>
    <w:p>
      <w:pPr>
        <w:spacing w:after="20" w:line="223" w:lineRule="auto"/>
        <w:jc w:val="right"/>
        <w:bidi/>
      </w:pPr>
      <w:r>
        <w:rPr>
          <w:rFonts w:ascii="Arial" w:hAnsi="Arial"/>
          <w:sz w:val="16"/>
        </w:rPr>
        <w:t>307.05  این حوادث می‌توانند محلی یا گسترده، قابل پیش بینی یا غیرقابل پیش بینی باشند.</w:t>
      </w:r>
    </w:p>
    <w:p>
      <w:pPr>
        <w:spacing w:after="28" w:line="216" w:lineRule="auto"/>
        <w:ind w:left="259"/>
        <w:jc w:val="left"/>
      </w:pPr>
      <w:r>
        <w:rPr>
          <w:rFonts w:ascii="Arial" w:hAnsi="Arial"/>
          <w:color w:val="525252"/>
          <w:sz w:val="13"/>
        </w:rPr>
        <w:t>These incidents can be local or widespread, predictable, or unpredictable.</w:t>
      </w:r>
    </w:p>
    <w:p>
      <w:pPr>
        <w:spacing w:after="20" w:line="223" w:lineRule="auto"/>
        <w:jc w:val="right"/>
        <w:bidi/>
      </w:pPr>
      <w:r>
        <w:rPr>
          <w:rFonts w:ascii="Arial" w:hAnsi="Arial"/>
          <w:sz w:val="16"/>
        </w:rPr>
        <w:t>307.06  طرح‌های اضطراری به آماده‌سازی و کاهش تأثیر این تهدیدات بر تاسیسات، پرسنل و مأموریت کمک می‌کنند.</w:t>
      </w:r>
    </w:p>
    <w:p>
      <w:pPr>
        <w:spacing w:after="28" w:line="216" w:lineRule="auto"/>
        <w:ind w:left="259"/>
        <w:jc w:val="left"/>
      </w:pPr>
      <w:r>
        <w:rPr>
          <w:rFonts w:ascii="Arial" w:hAnsi="Arial"/>
          <w:color w:val="525252"/>
          <w:sz w:val="13"/>
        </w:rPr>
        <w:t>Emergency plans help prepare for and mitigate the impact of these threats on an installation, personnel, and the mission.</w:t>
      </w:r>
    </w:p>
    <w:p>
      <w:pPr>
        <w:spacing w:before="60" w:after="28"/>
        <w:jc w:val="right"/>
        <w:bidi/>
      </w:pPr>
      <w:r>
        <w:rPr>
          <w:b/>
          <w:color w:val="1F4D78"/>
          <w:sz w:val="18"/>
        </w:rPr>
        <w:t>17.4. طرح های اضطراری نصب</w:t>
      </w:r>
    </w:p>
    <w:p>
      <w:pPr>
        <w:spacing w:after="20"/>
        <w:ind w:left="259"/>
        <w:jc w:val="left"/>
      </w:pPr>
      <w:r>
        <w:rPr>
          <w:color w:val="555555"/>
          <w:sz w:val="12"/>
        </w:rPr>
        <w:t>17.4. Installation Emergency Plans</w:t>
      </w:r>
    </w:p>
    <w:p>
      <w:pPr>
        <w:spacing w:after="20" w:line="223" w:lineRule="auto"/>
        <w:jc w:val="right"/>
        <w:bidi/>
      </w:pPr>
      <w:r>
        <w:rPr>
          <w:rFonts w:ascii="Arial" w:hAnsi="Arial"/>
          <w:sz w:val="16"/>
        </w:rPr>
        <w:t>307.08  تاسیسات باید بر اساس روش‌های واکنش مناسب، کاهش و بازیابی، برنامه‌هایی را برای خطراتی که احتمالا بر مناطق آنها تأثیر می‌گذارد، توسعه دهند.</w:t>
      </w:r>
    </w:p>
    <w:p>
      <w:pPr>
        <w:spacing w:after="28" w:line="216" w:lineRule="auto"/>
        <w:ind w:left="259"/>
        <w:jc w:val="left"/>
      </w:pPr>
      <w:r>
        <w:rPr>
          <w:rFonts w:ascii="Arial" w:hAnsi="Arial"/>
          <w:color w:val="525252"/>
          <w:sz w:val="13"/>
        </w:rPr>
        <w:t>Installations must develop plans for the hazards likely to affect their areas based on appropriate response, mitigation, and recovery procedures.</w:t>
      </w:r>
    </w:p>
    <w:p>
      <w:pPr>
        <w:spacing w:after="20" w:line="223" w:lineRule="auto"/>
        <w:jc w:val="right"/>
        <w:bidi/>
      </w:pPr>
      <w:r>
        <w:rPr>
          <w:rFonts w:ascii="Arial" w:hAnsi="Arial"/>
          <w:sz w:val="16"/>
        </w:rPr>
        <w:t>307.09  طرح‌های مدیریت اضطراری نصب، راهنمایی جامعی برای واکنش‌های اضطراری به حوادث مختلف ارائه می‌کنند.</w:t>
      </w:r>
    </w:p>
    <w:p>
      <w:pPr>
        <w:spacing w:after="28" w:line="216" w:lineRule="auto"/>
        <w:ind w:left="259"/>
        <w:jc w:val="left"/>
      </w:pPr>
      <w:r>
        <w:rPr>
          <w:rFonts w:ascii="Arial" w:hAnsi="Arial"/>
          <w:color w:val="525252"/>
          <w:sz w:val="13"/>
        </w:rPr>
        <w:t>Installation emergency management plans provide comprehensive guidance for emergency responses to various incidents.</w:t>
      </w:r>
    </w:p>
    <w:p>
      <w:pPr>
        <w:spacing w:after="20" w:line="223" w:lineRule="auto"/>
        <w:jc w:val="right"/>
        <w:bidi/>
      </w:pPr>
      <w:r>
        <w:rPr>
          <w:rFonts w:ascii="Arial" w:hAnsi="Arial"/>
          <w:sz w:val="16"/>
        </w:rPr>
        <w:t>307.10  اطلاعات مربوط به این نوع خطرات در اینجا ارائه شده است.</w:t>
      </w:r>
    </w:p>
    <w:p>
      <w:pPr>
        <w:spacing w:after="28" w:line="216" w:lineRule="auto"/>
        <w:ind w:left="259"/>
        <w:jc w:val="left"/>
      </w:pPr>
      <w:r>
        <w:rPr>
          <w:rFonts w:ascii="Arial" w:hAnsi="Arial"/>
          <w:color w:val="525252"/>
          <w:sz w:val="13"/>
        </w:rPr>
        <w:t>Information on these types of hazards is provided here.</w:t>
      </w:r>
    </w:p>
    <w:p>
      <w:pPr>
        <w:spacing w:after="20" w:line="223" w:lineRule="auto"/>
        <w:jc w:val="right"/>
        <w:bidi/>
      </w:pPr>
      <w:r>
        <w:rPr>
          <w:rFonts w:ascii="Arial" w:hAnsi="Arial"/>
          <w:sz w:val="16"/>
        </w:rPr>
        <w:t>307.11  بلایای طبیعی.</w:t>
      </w:r>
    </w:p>
    <w:p>
      <w:pPr>
        <w:spacing w:after="28" w:line="216" w:lineRule="auto"/>
        <w:ind w:left="259"/>
        <w:jc w:val="left"/>
      </w:pPr>
      <w:r>
        <w:rPr>
          <w:rFonts w:ascii="Arial" w:hAnsi="Arial"/>
          <w:color w:val="525252"/>
          <w:sz w:val="13"/>
        </w:rPr>
        <w:t>Natural Disasters.</w:t>
      </w:r>
    </w:p>
    <w:p>
      <w:pPr>
        <w:spacing w:after="20" w:line="223" w:lineRule="auto"/>
        <w:jc w:val="right"/>
        <w:bidi/>
      </w:pPr>
      <w:r>
        <w:rPr>
          <w:rFonts w:ascii="Arial" w:hAnsi="Arial"/>
          <w:sz w:val="16"/>
        </w:rPr>
        <w:t>307.12  این نوع بلایا رویدادهای غیر معمولی هستند که رخ می‌دهند و باعث آسیب شدید می‌شوند که ممکن است نیاز به کمک داشته باشد.</w:t>
      </w:r>
    </w:p>
    <w:p>
      <w:pPr>
        <w:spacing w:after="28" w:line="216" w:lineRule="auto"/>
        <w:ind w:left="259"/>
        <w:jc w:val="left"/>
      </w:pPr>
      <w:r>
        <w:rPr>
          <w:rFonts w:ascii="Arial" w:hAnsi="Arial"/>
          <w:color w:val="525252"/>
          <w:sz w:val="13"/>
        </w:rPr>
        <w:t>These types of disasters are non-routine events that occur and cause severe damage that may require assistance.</w:t>
      </w:r>
    </w:p>
    <w:p>
      <w:pPr>
        <w:spacing w:after="20" w:line="223" w:lineRule="auto"/>
        <w:jc w:val="right"/>
        <w:bidi/>
      </w:pPr>
      <w:r>
        <w:rPr>
          <w:rFonts w:ascii="Arial" w:hAnsi="Arial"/>
          <w:sz w:val="16"/>
        </w:rPr>
        <w:t>307.13  این شامل طوفان/طوفان، گردباد، طوفان، پرآب، بادهای شدید، امواج جزر و مدی، سونامی، زلزله، فوران آتشفشانی، رانش زمین، رانش گل، طوفان برف، آتش‌سوزی، سیل، انفجار و خشکسالی است.</w:t>
      </w:r>
    </w:p>
    <w:p>
      <w:pPr>
        <w:spacing w:after="28" w:line="216" w:lineRule="auto"/>
        <w:ind w:left="259"/>
        <w:jc w:val="left"/>
      </w:pPr>
      <w:r>
        <w:rPr>
          <w:rFonts w:ascii="Arial" w:hAnsi="Arial"/>
          <w:color w:val="525252"/>
          <w:sz w:val="13"/>
        </w:rPr>
        <w:t>This includes hurricanes/typhoons, tornadoes, storms, high- water, high winds, tidal waves, tsunamis, earthquakes, volcanic eruptions, landslides, mudslides, snowstorms, fires, floods, explosions, and droughts.</w:t>
      </w:r>
    </w:p>
    <w:p>
      <w:pPr>
        <w:spacing w:after="20" w:line="223" w:lineRule="auto"/>
        <w:jc w:val="right"/>
        <w:bidi/>
      </w:pPr>
      <w:r>
        <w:rPr>
          <w:rFonts w:ascii="Arial" w:hAnsi="Arial"/>
          <w:sz w:val="16"/>
        </w:rPr>
        <w:t>307.14  خطرات تکنولوژیکی.</w:t>
      </w:r>
    </w:p>
    <w:p>
      <w:pPr>
        <w:spacing w:after="28" w:line="216" w:lineRule="auto"/>
        <w:ind w:left="259"/>
        <w:jc w:val="left"/>
      </w:pPr>
      <w:r>
        <w:rPr>
          <w:rFonts w:ascii="Arial" w:hAnsi="Arial"/>
          <w:color w:val="525252"/>
          <w:sz w:val="13"/>
        </w:rPr>
        <w:t>Technological Hazards.</w:t>
      </w:r>
    </w:p>
    <w:p>
      <w:pPr>
        <w:spacing w:after="20" w:line="223" w:lineRule="auto"/>
        <w:jc w:val="right"/>
        <w:bidi/>
      </w:pPr>
      <w:r>
        <w:rPr>
          <w:rFonts w:ascii="Arial" w:hAnsi="Arial"/>
          <w:sz w:val="16"/>
        </w:rPr>
        <w:t>307.15  اینها رویدادهای ساخته دست بشر هستند که به دلیل نقص در یک ساختار تکنولوژیکی یا خطای انسانی در کنترل فناوری ایجاد می‌شوند.</w:t>
      </w:r>
    </w:p>
    <w:p>
      <w:pPr>
        <w:spacing w:after="28" w:line="216" w:lineRule="auto"/>
        <w:ind w:left="259"/>
        <w:jc w:val="left"/>
      </w:pPr>
      <w:r>
        <w:rPr>
          <w:rFonts w:ascii="Arial" w:hAnsi="Arial"/>
          <w:color w:val="525252"/>
          <w:sz w:val="13"/>
        </w:rPr>
        <w:t>These are man-made events caused by a malfunction in a technological structure or human error in controlling the technology.</w:t>
      </w:r>
    </w:p>
    <w:p>
      <w:pPr>
        <w:spacing w:after="20" w:line="223" w:lineRule="auto"/>
        <w:jc w:val="right"/>
        <w:bidi/>
      </w:pPr>
      <w:r>
        <w:rPr>
          <w:rFonts w:ascii="Arial" w:hAnsi="Arial"/>
          <w:sz w:val="16"/>
        </w:rPr>
        <w:t>307.16  بلایای تکنولوژیکی می‌توانند به اندازه یک بلایای طبیعی جدی باشند و می‌توانند باعث تلفات جانی یا جراحتی، خسارت مالی، اختلالات اجتماعی و اقتصادی یا تخریب محیط زیست شوند.</w:t>
      </w:r>
    </w:p>
    <w:p>
      <w:pPr>
        <w:spacing w:after="28" w:line="216" w:lineRule="auto"/>
        <w:ind w:left="259"/>
        <w:jc w:val="left"/>
      </w:pPr>
      <w:r>
        <w:rPr>
          <w:rFonts w:ascii="Arial" w:hAnsi="Arial"/>
          <w:color w:val="525252"/>
          <w:sz w:val="13"/>
        </w:rPr>
        <w:t>Technological disasters can be as serious as a natural disaster and can cause loss of life or injury, property damage, social and economic disruptions, or environmental degradation.</w:t>
      </w:r>
    </w:p>
    <w:p>
      <w:pPr>
        <w:spacing w:after="20" w:line="223" w:lineRule="auto"/>
        <w:jc w:val="right"/>
        <w:bidi/>
      </w:pPr>
      <w:r>
        <w:rPr>
          <w:rFonts w:ascii="Arial" w:hAnsi="Arial"/>
          <w:sz w:val="16"/>
        </w:rPr>
        <w:t>307.17  آنها می‌توانند بدون هیچ هشداری رخ دهند.</w:t>
      </w:r>
    </w:p>
    <w:p>
      <w:pPr>
        <w:spacing w:after="28" w:line="216" w:lineRule="auto"/>
        <w:ind w:left="259"/>
        <w:jc w:val="left"/>
      </w:pPr>
      <w:r>
        <w:rPr>
          <w:rFonts w:ascii="Arial" w:hAnsi="Arial"/>
          <w:color w:val="525252"/>
          <w:sz w:val="13"/>
        </w:rPr>
        <w:t>They can happen with little to no warning.</w:t>
      </w:r>
    </w:p>
    <w:p>
      <w:pPr>
        <w:spacing w:after="20" w:line="223" w:lineRule="auto"/>
        <w:jc w:val="right"/>
        <w:bidi/>
      </w:pPr>
      <w:r>
        <w:rPr>
          <w:rFonts w:ascii="Arial" w:hAnsi="Arial"/>
          <w:sz w:val="16"/>
        </w:rPr>
        <w:t>307.18  به‌عنوان مثال می‌توان به انتشار مواد خطرناک و خرابی نیروگاه هسته‌ای اشاره کرد.</w:t>
      </w:r>
    </w:p>
    <w:p>
      <w:pPr>
        <w:spacing w:after="28" w:line="216" w:lineRule="auto"/>
        <w:ind w:left="259"/>
        <w:jc w:val="left"/>
      </w:pPr>
      <w:r>
        <w:rPr>
          <w:rFonts w:ascii="Arial" w:hAnsi="Arial"/>
          <w:color w:val="525252"/>
          <w:sz w:val="13"/>
        </w:rPr>
        <w:t>Examples include hazardous materials release and nuclear power plant failures.</w:t>
      </w:r>
    </w:p>
    <w:p>
      <w:pPr>
        <w:spacing w:after="20" w:line="223" w:lineRule="auto"/>
        <w:jc w:val="right"/>
        <w:bidi/>
      </w:pPr>
      <w:r>
        <w:rPr>
          <w:rFonts w:ascii="Arial" w:hAnsi="Arial"/>
          <w:sz w:val="16"/>
        </w:rPr>
        <w:t>307.19  خطرات انسان ساز.</w:t>
      </w:r>
    </w:p>
    <w:p>
      <w:pPr>
        <w:spacing w:after="28" w:line="216" w:lineRule="auto"/>
        <w:ind w:left="259"/>
        <w:jc w:val="left"/>
      </w:pPr>
      <w:r>
        <w:rPr>
          <w:rFonts w:ascii="Arial" w:hAnsi="Arial"/>
          <w:color w:val="525252"/>
          <w:sz w:val="13"/>
        </w:rPr>
        <w:t>Man-Made Hazards.</w:t>
      </w:r>
    </w:p>
    <w:p>
      <w:pPr>
        <w:spacing w:after="20" w:line="223" w:lineRule="auto"/>
        <w:jc w:val="right"/>
        <w:bidi/>
      </w:pPr>
      <w:r>
        <w:rPr>
          <w:rFonts w:ascii="Arial" w:hAnsi="Arial"/>
          <w:sz w:val="16"/>
        </w:rPr>
        <w:t>307.20  این رویدادی غیر معمول است و از ظرفیت منطقه آسیب دیده برای پاسخگویی به روشی فراتر می‌رود که جان انسان‌ها را حفظ کند، اموال را حفظ کند و ثبات اجتماعی، اکولوژیکی، اقتصادی و سیاسی منطقه آسیب دیده را حفظ کند.</w:t>
      </w:r>
    </w:p>
    <w:p>
      <w:pPr>
        <w:spacing w:after="28" w:line="216" w:lineRule="auto"/>
        <w:ind w:left="259"/>
        <w:jc w:val="left"/>
      </w:pPr>
      <w:r>
        <w:rPr>
          <w:rFonts w:ascii="Arial" w:hAnsi="Arial"/>
          <w:color w:val="525252"/>
          <w:sz w:val="13"/>
        </w:rPr>
        <w:t>This is an event that is non-routine and exceeds the capacity of the affected area to respond to in a way that saves lives, preserves property, and maintains the affected region’s social, ecological, economic, and political stability.</w:t>
      </w:r>
    </w:p>
    <w:p>
      <w:pPr>
        <w:spacing w:after="20" w:line="223" w:lineRule="auto"/>
        <w:jc w:val="right"/>
        <w:bidi/>
      </w:pPr>
      <w:r>
        <w:rPr>
          <w:rFonts w:ascii="Arial" w:hAnsi="Arial"/>
          <w:sz w:val="16"/>
        </w:rPr>
        <w:t>307.21  این بلایا شامل خطرات تکنولوژیکی مانند انتشار و نشت مواد خطرناک، اقدامات تروریستی، تیراندازان فعال و حوادث هسته‌ای است.</w:t>
      </w:r>
    </w:p>
    <w:p>
      <w:pPr>
        <w:spacing w:after="28" w:line="216" w:lineRule="auto"/>
        <w:ind w:left="259"/>
        <w:jc w:val="left"/>
      </w:pPr>
      <w:r>
        <w:rPr>
          <w:rFonts w:ascii="Arial" w:hAnsi="Arial"/>
          <w:color w:val="525252"/>
          <w:sz w:val="13"/>
        </w:rPr>
        <w:t>These disasters include technological hazards, such as hazardous material releases and spills, acts of terrorism, active shooters, and nuclear accidents.</w:t>
      </w:r>
    </w:p>
    <w:p>
      <w:pPr>
        <w:spacing w:after="20" w:line="223" w:lineRule="auto"/>
        <w:jc w:val="right"/>
        <w:bidi/>
      </w:pPr>
      <w:r>
        <w:rPr>
          <w:rFonts w:ascii="Arial" w:hAnsi="Arial"/>
          <w:sz w:val="16"/>
        </w:rPr>
        <w:t>307.22  نمونه‌های دیگر عبارتند از جنایت، آتش سوزی، بی نظمی مدنی، جنگ، تهدید بیولوژیکی/شیمیایی، حملات سایبری، آلودگی، آتش سوزی، و حوادث حمل و نقل.</w:t>
      </w:r>
    </w:p>
    <w:p>
      <w:pPr>
        <w:spacing w:after="28" w:line="216" w:lineRule="auto"/>
        <w:ind w:left="259"/>
        <w:jc w:val="left"/>
      </w:pPr>
      <w:r>
        <w:rPr>
          <w:rFonts w:ascii="Arial" w:hAnsi="Arial"/>
          <w:color w:val="525252"/>
          <w:sz w:val="13"/>
        </w:rPr>
        <w:t>Other examples include crime, arson, civil disorder, war, biological/chemical threat, cyber-attacks, pollution, fires, and transportation accidents.</w:t>
      </w:r>
    </w:p>
    <w:p>
      <w:pPr>
        <w:spacing w:after="20" w:line="223" w:lineRule="auto"/>
        <w:jc w:val="right"/>
        <w:bidi/>
      </w:pPr>
      <w:r>
        <w:rPr>
          <w:rFonts w:ascii="Arial" w:hAnsi="Arial"/>
          <w:sz w:val="16"/>
        </w:rPr>
        <w:t>307.23  خطرات شیمیایی، بیولوژیکی، رادیولوژیکی و هسته‌ای (CBRN).</w:t>
      </w:r>
    </w:p>
    <w:p>
      <w:pPr>
        <w:spacing w:after="28" w:line="216" w:lineRule="auto"/>
        <w:ind w:left="259"/>
        <w:jc w:val="left"/>
      </w:pPr>
      <w:r>
        <w:rPr>
          <w:rFonts w:ascii="Arial" w:hAnsi="Arial"/>
          <w:color w:val="525252"/>
          <w:sz w:val="13"/>
        </w:rPr>
        <w:t>Chemical, Biological, Radiological, and Nuclear (CBRN) Hazards.</w:t>
      </w:r>
    </w:p>
    <w:p>
      <w:pPr>
        <w:spacing w:after="20" w:line="223" w:lineRule="auto"/>
        <w:jc w:val="right"/>
        <w:bidi/>
      </w:pPr>
      <w:r>
        <w:rPr>
          <w:rFonts w:ascii="Arial" w:hAnsi="Arial"/>
          <w:sz w:val="16"/>
        </w:rPr>
        <w:t>307.24  خطرات CBRN، از جمله مواد شیمیایی سمی صنعتی و مواد سمی صنعتی (TIC/تیمس)، از طریق انتشار و انتشار عمدی باعث ایجاد اثرات نامطلوب می‌شود.</w:t>
      </w:r>
    </w:p>
    <w:p>
      <w:pPr>
        <w:spacing w:after="28" w:line="216" w:lineRule="auto"/>
        <w:ind w:left="259"/>
        <w:jc w:val="left"/>
      </w:pPr>
      <w:r>
        <w:rPr>
          <w:rFonts w:ascii="Arial" w:hAnsi="Arial"/>
          <w:color w:val="525252"/>
          <w:sz w:val="13"/>
        </w:rPr>
        <w:t>CBRN hazards, to include toxic industrial chemicals and toxic industrial materials (TIC/TIMs), cause adverse effects through deliberate release and dissemination.</w:t>
      </w:r>
    </w:p>
    <w:p>
      <w:pPr>
        <w:spacing w:after="20" w:line="223" w:lineRule="auto"/>
        <w:jc w:val="right"/>
        <w:bidi/>
      </w:pPr>
      <w:r>
        <w:rPr>
          <w:rFonts w:ascii="Arial" w:hAnsi="Arial"/>
          <w:sz w:val="16"/>
        </w:rPr>
        <w:t>307.25  تهدید تروریستی یا استفاده از مواد CBRN یک تهدید فراملی نوظهور است که به‌عنوان معیارهای نامتقارن قصد استفاده می‌شود.</w:t>
      </w:r>
    </w:p>
    <w:p>
      <w:pPr>
        <w:spacing w:after="28" w:line="216" w:lineRule="auto"/>
        <w:ind w:left="259"/>
        <w:jc w:val="left"/>
      </w:pPr>
      <w:r>
        <w:rPr>
          <w:rFonts w:ascii="Arial" w:hAnsi="Arial"/>
          <w:color w:val="525252"/>
          <w:sz w:val="13"/>
        </w:rPr>
        <w:t>Terrorist threat or use of CBRN materials are an emerging transnational threat used as asymmetric measures of intent.</w:t>
      </w:r>
    </w:p>
    <w:p>
      <w:pPr>
        <w:spacing w:after="20" w:line="223" w:lineRule="auto"/>
        <w:jc w:val="right"/>
        <w:bidi/>
      </w:pPr>
      <w:r>
        <w:rPr>
          <w:rFonts w:ascii="Arial" w:hAnsi="Arial"/>
          <w:sz w:val="16"/>
        </w:rPr>
        <w:t>307.26  دفاع در برابر این تهدیدات مستلزم برنامه‌ریزی، آماده‌سازی، پاسخگویی و بازیابی از حوادث CBRN است.</w:t>
      </w:r>
    </w:p>
    <w:p>
      <w:pPr>
        <w:spacing w:after="28" w:line="216" w:lineRule="auto"/>
        <w:ind w:left="259"/>
        <w:jc w:val="left"/>
      </w:pPr>
      <w:r>
        <w:rPr>
          <w:rFonts w:ascii="Arial" w:hAnsi="Arial"/>
          <w:color w:val="525252"/>
          <w:sz w:val="13"/>
        </w:rPr>
        <w:t>Defense against these threats requires all DAF personnel to plan, prepare, respond, and recover from CBRN incidents.</w:t>
      </w:r>
    </w:p>
    <w:p>
      <w:pPr>
        <w:spacing w:after="20" w:line="223" w:lineRule="auto"/>
        <w:jc w:val="right"/>
        <w:bidi/>
      </w:pPr>
      <w:r>
        <w:rPr>
          <w:rFonts w:ascii="Arial" w:hAnsi="Arial"/>
          <w:sz w:val="16"/>
        </w:rPr>
        <w:t>307.27  هر عامل تهدید یک خطر منحصر به فرد ارائه می‌دهد، اطلاعات بیشتر در مورد این تهدیدات را می‌توان در DAFI ۱۰-۲۵۰۳، برنامه دفاعی CBRN یافت.</w:t>
      </w:r>
    </w:p>
    <w:p>
      <w:pPr>
        <w:spacing w:after="28" w:line="216" w:lineRule="auto"/>
        <w:ind w:left="259"/>
        <w:jc w:val="left"/>
      </w:pPr>
      <w:r>
        <w:rPr>
          <w:rFonts w:ascii="Arial" w:hAnsi="Arial"/>
          <w:color w:val="525252"/>
          <w:sz w:val="13"/>
        </w:rPr>
        <w:t>Each threat agent presents a unique hazard, more information regarding these threats can be found in DAFI 10-2503, CBRN Defense Program.</w:t>
      </w:r>
    </w:p>
    <w:p>
      <w:pPr>
        <w:spacing w:after="20" w:line="223" w:lineRule="auto"/>
        <w:jc w:val="right"/>
        <w:bidi/>
      </w:pPr>
      <w:r>
        <w:rPr>
          <w:rFonts w:ascii="Arial" w:hAnsi="Arial"/>
          <w:sz w:val="16"/>
        </w:rPr>
        <w:t>307.28  عوامل شیمیایی.</w:t>
      </w:r>
    </w:p>
    <w:p>
      <w:pPr>
        <w:spacing w:after="28" w:line="216" w:lineRule="auto"/>
        <w:ind w:left="259"/>
        <w:jc w:val="left"/>
      </w:pPr>
      <w:r>
        <w:rPr>
          <w:rFonts w:ascii="Arial" w:hAnsi="Arial"/>
          <w:color w:val="525252"/>
          <w:sz w:val="13"/>
        </w:rPr>
        <w:t>Chemical Agents.</w:t>
      </w:r>
    </w:p>
    <w:p>
      <w:pPr>
        <w:spacing w:after="20" w:line="223" w:lineRule="auto"/>
        <w:jc w:val="right"/>
        <w:bidi/>
      </w:pPr>
      <w:r>
        <w:rPr>
          <w:rFonts w:ascii="Arial" w:hAnsi="Arial"/>
          <w:sz w:val="16"/>
        </w:rPr>
        <w:t>307.29  یک ماده شیمیایی که برای استفاده در عملیات نظامی برای کشتن، جراحت جدی یا ناتوانی عمدتا از طریق اثرات فیزیولوژیکی در نظر گرفته شده است.</w:t>
      </w:r>
    </w:p>
    <w:p>
      <w:pPr>
        <w:spacing w:after="28" w:line="216" w:lineRule="auto"/>
        <w:ind w:left="259"/>
        <w:jc w:val="left"/>
      </w:pPr>
      <w:r>
        <w:rPr>
          <w:rFonts w:ascii="Arial" w:hAnsi="Arial"/>
          <w:color w:val="525252"/>
          <w:sz w:val="13"/>
        </w:rPr>
        <w:t>A chemical substance that is intended for use in military operations to kill, seriously injure, or incapacitate mainly through its physiological effects.</w:t>
      </w:r>
    </w:p>
    <w:p>
      <w:pPr>
        <w:spacing w:after="20" w:line="223" w:lineRule="auto"/>
        <w:jc w:val="right"/>
        <w:bidi/>
      </w:pPr>
      <w:r>
        <w:rPr>
          <w:rFonts w:ascii="Arial" w:hAnsi="Arial"/>
          <w:sz w:val="16"/>
        </w:rPr>
        <w:t>307.30  عوامل شیمیایی که بر اساس اثرات فیزیولوژیکی آنها طبقه بندی می‌شوند، شامل عوامل آسیب رسان ریه (خفگی)، عوامل تاول، عوامل خونی، عوامل ناتوان کننده و عوامل عصبی است.</w:t>
      </w:r>
    </w:p>
    <w:p>
      <w:pPr>
        <w:spacing w:after="28" w:line="216" w:lineRule="auto"/>
        <w:ind w:left="259"/>
        <w:jc w:val="left"/>
      </w:pPr>
      <w:r>
        <w:rPr>
          <w:rFonts w:ascii="Arial" w:hAnsi="Arial"/>
          <w:color w:val="525252"/>
          <w:sz w:val="13"/>
        </w:rPr>
        <w:t>Chemical agents, categorized according to their physiological effects, include lung damaging agents (choking), blister agents, blood agents, incapacitating agents, and nerve agents.</w:t>
      </w:r>
    </w:p>
    <w:p>
      <w:pPr>
        <w:spacing w:after="20" w:line="223" w:lineRule="auto"/>
        <w:jc w:val="right"/>
        <w:bidi/>
      </w:pPr>
      <w:r>
        <w:rPr>
          <w:rFonts w:ascii="Arial" w:hAnsi="Arial"/>
          <w:sz w:val="16"/>
        </w:rPr>
        <w:t>307.31  عوامل شیمیایی را می‌توان از طریق ابزارهای مختلفی مانند موشک‌های بالستیک تاکتیکی، بمب، توپخانه، نارنجک، مین و حملات اسپری تحویل داد.</w:t>
      </w:r>
    </w:p>
    <w:p>
      <w:pPr>
        <w:spacing w:after="28" w:line="216" w:lineRule="auto"/>
        <w:ind w:left="259"/>
        <w:jc w:val="left"/>
      </w:pPr>
      <w:r>
        <w:rPr>
          <w:rFonts w:ascii="Arial" w:hAnsi="Arial"/>
          <w:color w:val="525252"/>
          <w:sz w:val="13"/>
        </w:rPr>
        <w:t>Chemical agents can be delivered through a variety of means, such as tactical ballistic missiles, bombs, artillery, grenades, mines, and spray attacks.</w:t>
      </w:r>
    </w:p>
    <w:p>
      <w:pPr>
        <w:spacing w:after="20" w:line="223" w:lineRule="auto"/>
        <w:jc w:val="right"/>
        <w:bidi/>
      </w:pPr>
      <w:r>
        <w:rPr>
          <w:rFonts w:ascii="Arial" w:hAnsi="Arial"/>
          <w:sz w:val="16"/>
        </w:rPr>
        <w:t>307.32  به دلیل ماهیت پایدار، عوامل عصبی و تاول‌ها به‌عنوان یک تهدید اولیه برای پایگاه‌های هوایی محسوب می‌شوند.</w:t>
      </w:r>
    </w:p>
    <w:p>
      <w:pPr>
        <w:spacing w:after="28" w:line="216" w:lineRule="auto"/>
        <w:ind w:left="259"/>
        <w:jc w:val="left"/>
      </w:pPr>
      <w:r>
        <w:rPr>
          <w:rFonts w:ascii="Arial" w:hAnsi="Arial"/>
          <w:color w:val="525252"/>
          <w:sz w:val="13"/>
        </w:rPr>
        <w:t>Due to their persistent nature, nerve and blister agents pose as a primary threat to air bases.</w:t>
      </w:r>
    </w:p>
    <w:p>
      <w:r>
        <w:br w:type="page"/>
      </w:r>
    </w:p>
    <w:p>
      <w:pPr>
        <w:spacing w:after="60"/>
        <w:jc w:val="right"/>
        <w:bidi/>
      </w:pPr>
      <w:r>
        <w:rPr>
          <w:rFonts w:ascii="Arial" w:hAnsi="Arial"/>
          <w:b/>
          <w:color w:val="1F4D78"/>
          <w:sz w:val="19"/>
        </w:rPr>
        <w:t>هفتهٔ 308  |  صفحهٔ منبع: 324</w:t>
      </w:r>
    </w:p>
    <w:p>
      <w:pPr>
        <w:spacing w:after="20" w:line="223" w:lineRule="auto"/>
        <w:jc w:val="right"/>
        <w:bidi/>
      </w:pPr>
      <w:r>
        <w:rPr>
          <w:rFonts w:ascii="Arial" w:hAnsi="Arial"/>
          <w:sz w:val="16"/>
        </w:rPr>
        <w:t>308.01  عوامل بیولوژیکی.</w:t>
      </w:r>
    </w:p>
    <w:p>
      <w:pPr>
        <w:spacing w:after="28" w:line="216" w:lineRule="auto"/>
        <w:ind w:left="259"/>
        <w:jc w:val="left"/>
      </w:pPr>
      <w:r>
        <w:rPr>
          <w:rFonts w:ascii="Arial" w:hAnsi="Arial"/>
          <w:color w:val="525252"/>
          <w:sz w:val="13"/>
        </w:rPr>
        <w:t>Biological Agents.</w:t>
      </w:r>
    </w:p>
    <w:p>
      <w:pPr>
        <w:spacing w:after="20" w:line="223" w:lineRule="auto"/>
        <w:jc w:val="right"/>
        <w:bidi/>
      </w:pPr>
      <w:r>
        <w:rPr>
          <w:rFonts w:ascii="Arial" w:hAnsi="Arial"/>
          <w:sz w:val="16"/>
        </w:rPr>
        <w:t>308.02  میکروارگانیسمی (یا سمی که از آن به دست می‌آید) که باعث بیماری در پرسنل، گیاهان یا حیوانات می‌شود یا باعث خراب شدن مواد می‌شود.</w:t>
      </w:r>
    </w:p>
    <w:p>
      <w:pPr>
        <w:spacing w:after="28" w:line="216" w:lineRule="auto"/>
        <w:ind w:left="259"/>
        <w:jc w:val="left"/>
      </w:pPr>
      <w:r>
        <w:rPr>
          <w:rFonts w:ascii="Arial" w:hAnsi="Arial"/>
          <w:color w:val="525252"/>
          <w:sz w:val="13"/>
        </w:rPr>
        <w:t>A microorganism (or a toxin derived from it) that causes disease in personnel, plants, or animals or causes the deterioration of materiel.</w:t>
      </w:r>
    </w:p>
    <w:p>
      <w:pPr>
        <w:spacing w:after="20" w:line="223" w:lineRule="auto"/>
        <w:jc w:val="right"/>
        <w:bidi/>
      </w:pPr>
      <w:r>
        <w:rPr>
          <w:rFonts w:ascii="Arial" w:hAnsi="Arial"/>
          <w:sz w:val="16"/>
        </w:rPr>
        <w:t>308.03  عوامل بیولوژیکی شامل ویروس‌ها، باکتری‌ها، قارچ‌ها و سموم کشت شده از موجودات زنده است.</w:t>
      </w:r>
    </w:p>
    <w:p>
      <w:pPr>
        <w:spacing w:after="28" w:line="216" w:lineRule="auto"/>
        <w:ind w:left="259"/>
        <w:jc w:val="left"/>
      </w:pPr>
      <w:r>
        <w:rPr>
          <w:rFonts w:ascii="Arial" w:hAnsi="Arial"/>
          <w:color w:val="525252"/>
          <w:sz w:val="13"/>
        </w:rPr>
        <w:t>Biological agents include viruses, bacteria, fungi, and toxins cultured from living organisms.</w:t>
      </w:r>
    </w:p>
    <w:p>
      <w:pPr>
        <w:spacing w:after="20" w:line="223" w:lineRule="auto"/>
        <w:jc w:val="right"/>
        <w:bidi/>
      </w:pPr>
      <w:r>
        <w:rPr>
          <w:rFonts w:ascii="Arial" w:hAnsi="Arial"/>
          <w:sz w:val="16"/>
        </w:rPr>
        <w:t>308.04  این عوامل ممکن است به صورت قطرات مایع، ذرات معلق در هوا یا پودرهای خشک یافت شوند و می‌توانند از طریق هر یک از این اشکال به‌عنوان سلاح‌های متخاصم سازگار و منتشر شوند.</w:t>
      </w:r>
    </w:p>
    <w:p>
      <w:pPr>
        <w:spacing w:after="28" w:line="216" w:lineRule="auto"/>
        <w:ind w:left="259"/>
        <w:jc w:val="left"/>
      </w:pPr>
      <w:r>
        <w:rPr>
          <w:rFonts w:ascii="Arial" w:hAnsi="Arial"/>
          <w:color w:val="525252"/>
          <w:sz w:val="13"/>
        </w:rPr>
        <w:t>These agents may be found as liquid droplets, aerosols, or dry powders, and can be adapted and disseminated through any of these forms as adversarial weapons.</w:t>
      </w:r>
    </w:p>
    <w:p>
      <w:pPr>
        <w:spacing w:after="20" w:line="223" w:lineRule="auto"/>
        <w:jc w:val="right"/>
        <w:bidi/>
      </w:pPr>
      <w:r>
        <w:rPr>
          <w:rFonts w:ascii="Arial" w:hAnsi="Arial"/>
          <w:sz w:val="16"/>
        </w:rPr>
        <w:t>308.05  علائم حملات بیولوژیکی ممکن است بلافاصله پس از تماس مشاهده نشود.</w:t>
      </w:r>
    </w:p>
    <w:p>
      <w:pPr>
        <w:spacing w:after="28" w:line="216" w:lineRule="auto"/>
        <w:ind w:left="259"/>
        <w:jc w:val="left"/>
      </w:pPr>
      <w:r>
        <w:rPr>
          <w:rFonts w:ascii="Arial" w:hAnsi="Arial"/>
          <w:color w:val="525252"/>
          <w:sz w:val="13"/>
        </w:rPr>
        <w:t>Symptoms of biological attacks may not be experienced immediately after contact.</w:t>
      </w:r>
    </w:p>
    <w:p>
      <w:pPr>
        <w:spacing w:after="20" w:line="223" w:lineRule="auto"/>
        <w:jc w:val="right"/>
        <w:bidi/>
      </w:pPr>
      <w:r>
        <w:rPr>
          <w:rFonts w:ascii="Arial" w:hAnsi="Arial"/>
          <w:sz w:val="16"/>
        </w:rPr>
        <w:t>308.06  هر عامل قبل از عفونت، دوره مواجهه (انکوباسیون) متفاوتی دارد.</w:t>
      </w:r>
    </w:p>
    <w:p>
      <w:pPr>
        <w:spacing w:after="28" w:line="216" w:lineRule="auto"/>
        <w:ind w:left="259"/>
        <w:jc w:val="left"/>
      </w:pPr>
      <w:r>
        <w:rPr>
          <w:rFonts w:ascii="Arial" w:hAnsi="Arial"/>
          <w:color w:val="525252"/>
          <w:sz w:val="13"/>
        </w:rPr>
        <w:t>Each agent has a different exposure (incubation) period before infection.</w:t>
      </w:r>
    </w:p>
    <w:p>
      <w:pPr>
        <w:spacing w:after="20" w:line="223" w:lineRule="auto"/>
        <w:jc w:val="right"/>
        <w:bidi/>
      </w:pPr>
      <w:r>
        <w:rPr>
          <w:rFonts w:ascii="Arial" w:hAnsi="Arial"/>
          <w:sz w:val="16"/>
        </w:rPr>
        <w:t>308.07  رادیولوژیک و هسته‌ای.</w:t>
      </w:r>
    </w:p>
    <w:p>
      <w:pPr>
        <w:spacing w:after="28" w:line="216" w:lineRule="auto"/>
        <w:ind w:left="259"/>
        <w:jc w:val="left"/>
      </w:pPr>
      <w:r>
        <w:rPr>
          <w:rFonts w:ascii="Arial" w:hAnsi="Arial"/>
          <w:color w:val="525252"/>
          <w:sz w:val="13"/>
        </w:rPr>
        <w:t>Radiological and Nuclear.</w:t>
      </w:r>
    </w:p>
    <w:p>
      <w:pPr>
        <w:spacing w:after="20" w:line="223" w:lineRule="auto"/>
        <w:jc w:val="right"/>
        <w:bidi/>
      </w:pPr>
      <w:r>
        <w:rPr>
          <w:rFonts w:ascii="Arial" w:hAnsi="Arial"/>
          <w:sz w:val="16"/>
        </w:rPr>
        <w:t>308.08  تشعشع اصطلاح گسترده‌ای است که در طیف وسیعی از پدیده‌ها کاربرد دارد.</w:t>
      </w:r>
    </w:p>
    <w:p>
      <w:pPr>
        <w:spacing w:after="28" w:line="216" w:lineRule="auto"/>
        <w:ind w:left="259"/>
        <w:jc w:val="left"/>
      </w:pPr>
      <w:r>
        <w:rPr>
          <w:rFonts w:ascii="Arial" w:hAnsi="Arial"/>
          <w:color w:val="525252"/>
          <w:sz w:val="13"/>
        </w:rPr>
        <w:t>Radiation is a broad term that applies to a wide range of phenomena.</w:t>
      </w:r>
    </w:p>
    <w:p>
      <w:pPr>
        <w:spacing w:after="20" w:line="223" w:lineRule="auto"/>
        <w:jc w:val="right"/>
        <w:bidi/>
      </w:pPr>
      <w:r>
        <w:rPr>
          <w:rFonts w:ascii="Arial" w:hAnsi="Arial"/>
          <w:sz w:val="16"/>
        </w:rPr>
        <w:t>308.09  نور (مادون قرمز تا ماوراء بنفش)، انتشار فرکانس رادیویی، و امواج مایکروویو همگی اشکال تشعشعی هستند که به‌عنوان تابش غیریونیزان شناخته می‌شوند.</w:t>
      </w:r>
    </w:p>
    <w:p>
      <w:pPr>
        <w:spacing w:after="28" w:line="216" w:lineRule="auto"/>
        <w:ind w:left="259"/>
        <w:jc w:val="left"/>
      </w:pPr>
      <w:r>
        <w:rPr>
          <w:rFonts w:ascii="Arial" w:hAnsi="Arial"/>
          <w:color w:val="525252"/>
          <w:sz w:val="13"/>
        </w:rPr>
        <w:t>Light (infrared to ultraviolet), radiofrequency emissions, and microwaves are all forms of radiation known as nonionizing radiation.</w:t>
      </w:r>
    </w:p>
    <w:p>
      <w:pPr>
        <w:spacing w:after="20" w:line="223" w:lineRule="auto"/>
        <w:jc w:val="right"/>
        <w:bidi/>
      </w:pPr>
      <w:r>
        <w:rPr>
          <w:rFonts w:ascii="Arial" w:hAnsi="Arial"/>
          <w:sz w:val="16"/>
        </w:rPr>
        <w:t>308.10  به‌طور کلی، تشعشعات غیریونیزان هنگام تعامل با بدن گرما تولید می‌کنند.</w:t>
      </w:r>
    </w:p>
    <w:p>
      <w:pPr>
        <w:spacing w:after="28" w:line="216" w:lineRule="auto"/>
        <w:ind w:left="259"/>
        <w:jc w:val="left"/>
      </w:pPr>
      <w:r>
        <w:rPr>
          <w:rFonts w:ascii="Arial" w:hAnsi="Arial"/>
          <w:color w:val="525252"/>
          <w:sz w:val="13"/>
        </w:rPr>
        <w:t>In general, nonionizing radiation produces heat when it interacts with the body.</w:t>
      </w:r>
    </w:p>
    <w:p>
      <w:pPr>
        <w:spacing w:after="20" w:line="223" w:lineRule="auto"/>
        <w:jc w:val="right"/>
        <w:bidi/>
      </w:pPr>
      <w:r>
        <w:rPr>
          <w:rFonts w:ascii="Arial" w:hAnsi="Arial"/>
          <w:sz w:val="16"/>
        </w:rPr>
        <w:t>308.11  در مقابل، پرتوهای یونیزان انرژی کافی برای تولید یون در هنگام برهمکنش با ماده (از جمله بدن انسان) دارند.</w:t>
      </w:r>
    </w:p>
    <w:p>
      <w:pPr>
        <w:spacing w:after="28" w:line="216" w:lineRule="auto"/>
        <w:ind w:left="259"/>
        <w:jc w:val="left"/>
      </w:pPr>
      <w:r>
        <w:rPr>
          <w:rFonts w:ascii="Arial" w:hAnsi="Arial"/>
          <w:color w:val="525252"/>
          <w:sz w:val="13"/>
        </w:rPr>
        <w:t>In contrast, ionizing radiation has sufficient energy to produce ions when it interacts with matter (including the human body).</w:t>
      </w:r>
    </w:p>
    <w:p>
      <w:pPr>
        <w:spacing w:after="20" w:line="223" w:lineRule="auto"/>
        <w:jc w:val="right"/>
        <w:bidi/>
      </w:pPr>
      <w:r>
        <w:rPr>
          <w:rFonts w:ascii="Arial" w:hAnsi="Arial"/>
          <w:sz w:val="16"/>
        </w:rPr>
        <w:t>308.12  تابش اثرات مضری دارد زیرا فرآیندها و ساختارهای سلولی ضروری برای عملکرد طبیعی سلول‌ها را تغییر می‌دهد یا از بین می‌برد.</w:t>
      </w:r>
    </w:p>
    <w:p>
      <w:pPr>
        <w:spacing w:after="28" w:line="216" w:lineRule="auto"/>
        <w:ind w:left="259"/>
        <w:jc w:val="left"/>
      </w:pPr>
      <w:r>
        <w:rPr>
          <w:rFonts w:ascii="Arial" w:hAnsi="Arial"/>
          <w:color w:val="525252"/>
          <w:sz w:val="13"/>
        </w:rPr>
        <w:t>Radiation causes harmful effects as it alters or destroys cell processes and structures essential for the normal functioning of cells.</w:t>
      </w:r>
    </w:p>
    <w:p>
      <w:pPr>
        <w:spacing w:after="20" w:line="223" w:lineRule="auto"/>
        <w:jc w:val="right"/>
        <w:bidi/>
      </w:pPr>
      <w:r>
        <w:rPr>
          <w:rFonts w:ascii="Arial" w:hAnsi="Arial"/>
          <w:sz w:val="16"/>
        </w:rPr>
        <w:t>308.13  دشمنان ممکن است مواد رادیواکتیو را در سراسر یک منطقه بدون انفجار هسته‌ای پخش کنند.</w:t>
      </w:r>
    </w:p>
    <w:p>
      <w:pPr>
        <w:spacing w:after="28" w:line="216" w:lineRule="auto"/>
        <w:ind w:left="259"/>
        <w:jc w:val="left"/>
      </w:pPr>
      <w:r>
        <w:rPr>
          <w:rFonts w:ascii="Arial" w:hAnsi="Arial"/>
          <w:color w:val="525252"/>
          <w:sz w:val="13"/>
        </w:rPr>
        <w:t>Adversaries may disseminate radioactive materials across an area without a nuclear detonation.</w:t>
      </w:r>
    </w:p>
    <w:p>
      <w:pPr>
        <w:spacing w:after="20" w:line="223" w:lineRule="auto"/>
        <w:jc w:val="right"/>
        <w:bidi/>
      </w:pPr>
      <w:r>
        <w:rPr>
          <w:rFonts w:ascii="Arial" w:hAnsi="Arial"/>
          <w:sz w:val="16"/>
        </w:rPr>
        <w:t>308.14  با این حال، دشمنان همچنین ممکن است مواد رادیواکتیو را با منفجر کردن سلاح‌های هسته‌ای در ارتفاعات مختلف از جمله زیرسطحی، سطحی، انفجار هوایی یا ارتفاع بالا منتشر کنند.</w:t>
      </w:r>
    </w:p>
    <w:p>
      <w:pPr>
        <w:spacing w:after="28" w:line="216" w:lineRule="auto"/>
        <w:ind w:left="259"/>
        <w:jc w:val="left"/>
      </w:pPr>
      <w:r>
        <w:rPr>
          <w:rFonts w:ascii="Arial" w:hAnsi="Arial"/>
          <w:color w:val="525252"/>
          <w:sz w:val="13"/>
        </w:rPr>
        <w:t>However, adversaries may also disseminate radioactive materials by detonating nuclear weapons at various altitudes to include subsurface, surface, airburst, or high altitude.</w:t>
      </w:r>
    </w:p>
    <w:p>
      <w:pPr>
        <w:spacing w:after="20" w:line="223" w:lineRule="auto"/>
        <w:jc w:val="right"/>
        <w:bidi/>
      </w:pPr>
      <w:r>
        <w:rPr>
          <w:rFonts w:ascii="Arial" w:hAnsi="Arial"/>
          <w:sz w:val="16"/>
        </w:rPr>
        <w:t>308.15  نگرانی‌های اولیه انفجار هسته‌ای شامل انفجار/شوک، تشعشعات حرارتی (گرما)، تشعشعات یونیزان، و زباله‌های بالستیک برای انفجارهای سطحی و کم عمق زیرسطحی است.</w:t>
      </w:r>
    </w:p>
    <w:p>
      <w:pPr>
        <w:spacing w:after="28" w:line="216" w:lineRule="auto"/>
        <w:ind w:left="259"/>
        <w:jc w:val="left"/>
      </w:pPr>
      <w:r>
        <w:rPr>
          <w:rFonts w:ascii="Arial" w:hAnsi="Arial"/>
          <w:color w:val="525252"/>
          <w:sz w:val="13"/>
        </w:rPr>
        <w:t>The primary concerns of a nuclear detonation include blast/shock, thermal radiation (heat), ionizing radiation, and ballistic debris for surface and shallow subsurface bursts.</w:t>
      </w:r>
    </w:p>
    <w:p>
      <w:pPr>
        <w:spacing w:after="20" w:line="223" w:lineRule="auto"/>
        <w:jc w:val="right"/>
        <w:bidi/>
      </w:pPr>
      <w:r>
        <w:rPr>
          <w:rFonts w:ascii="Arial" w:hAnsi="Arial"/>
          <w:sz w:val="16"/>
        </w:rPr>
        <w:t>308.16  انفجارهای هسته‌ای همچنین ممکن است یک خطر پالس الکترومغناطیسی ایجاد کند که می‌تواند ارتباطات گسترده یا مشکلات الکتریکی ایجاد کند.</w:t>
      </w:r>
    </w:p>
    <w:p>
      <w:pPr>
        <w:spacing w:after="28" w:line="216" w:lineRule="auto"/>
        <w:ind w:left="259"/>
        <w:jc w:val="left"/>
      </w:pPr>
      <w:r>
        <w:rPr>
          <w:rFonts w:ascii="Arial" w:hAnsi="Arial"/>
          <w:color w:val="525252"/>
          <w:sz w:val="13"/>
        </w:rPr>
        <w:t>Nuclear blasts may also pose an electromagnetic pulse hazard that can cause widespread communications or electrical problems.</w:t>
      </w:r>
    </w:p>
    <w:p>
      <w:pPr>
        <w:spacing w:after="20" w:line="223" w:lineRule="auto"/>
        <w:jc w:val="right"/>
        <w:bidi/>
      </w:pPr>
      <w:r>
        <w:rPr>
          <w:rFonts w:ascii="Arial" w:hAnsi="Arial"/>
          <w:sz w:val="16"/>
        </w:rPr>
        <w:t>308.17  شیمیایی صنعتی سمی.</w:t>
      </w:r>
    </w:p>
    <w:p>
      <w:pPr>
        <w:spacing w:after="28" w:line="216" w:lineRule="auto"/>
        <w:ind w:left="259"/>
        <w:jc w:val="left"/>
      </w:pPr>
      <w:r>
        <w:rPr>
          <w:rFonts w:ascii="Arial" w:hAnsi="Arial"/>
          <w:color w:val="525252"/>
          <w:sz w:val="13"/>
        </w:rPr>
        <w:t>Toxic Industrial Chemical.</w:t>
      </w:r>
    </w:p>
    <w:p>
      <w:pPr>
        <w:spacing w:after="20" w:line="223" w:lineRule="auto"/>
        <w:jc w:val="right"/>
        <w:bidi/>
      </w:pPr>
      <w:r>
        <w:rPr>
          <w:rFonts w:ascii="Arial" w:hAnsi="Arial"/>
          <w:sz w:val="16"/>
        </w:rPr>
        <w:t>308.18  یک ماده شیمیایی که برای استفاده در عملیات صنعتی یا تحقیقات صنعتی، دولتی یا دانشگاهی تولید یا ساخته شده و خطرآفرین است.</w:t>
      </w:r>
    </w:p>
    <w:p>
      <w:pPr>
        <w:spacing w:after="28" w:line="216" w:lineRule="auto"/>
        <w:ind w:left="259"/>
        <w:jc w:val="left"/>
      </w:pPr>
      <w:r>
        <w:rPr>
          <w:rFonts w:ascii="Arial" w:hAnsi="Arial"/>
          <w:color w:val="525252"/>
          <w:sz w:val="13"/>
        </w:rPr>
        <w:t>A chemical developed or manufactured for use in industrial operations or research by industry, government, or academia that poses a hazard.</w:t>
      </w:r>
    </w:p>
    <w:p>
      <w:pPr>
        <w:spacing w:after="20" w:line="223" w:lineRule="auto"/>
        <w:jc w:val="right"/>
        <w:bidi/>
      </w:pPr>
      <w:r>
        <w:rPr>
          <w:rFonts w:ascii="Arial" w:hAnsi="Arial"/>
          <w:sz w:val="16"/>
        </w:rPr>
        <w:t>308.19  مواد صنعتی سمی.</w:t>
      </w:r>
    </w:p>
    <w:p>
      <w:pPr>
        <w:spacing w:after="28" w:line="216" w:lineRule="auto"/>
        <w:ind w:left="259"/>
        <w:jc w:val="left"/>
      </w:pPr>
      <w:r>
        <w:rPr>
          <w:rFonts w:ascii="Arial" w:hAnsi="Arial"/>
          <w:color w:val="525252"/>
          <w:sz w:val="13"/>
        </w:rPr>
        <w:t>Toxic Industrial Material.</w:t>
      </w:r>
    </w:p>
    <w:p>
      <w:pPr>
        <w:spacing w:after="20" w:line="223" w:lineRule="auto"/>
        <w:jc w:val="right"/>
        <w:bidi/>
      </w:pPr>
      <w:r>
        <w:rPr>
          <w:rFonts w:ascii="Arial" w:hAnsi="Arial"/>
          <w:sz w:val="16"/>
        </w:rPr>
        <w:t>308.20  اصطلاحی عمومی برای مواد سمی، شیمیایی، بیولوژیکی، یا رادیواکتیو به شکل جامد، مایع، آئروسل یا گاز که ممکن است برای مصارف صنعتی، تجاری، پزشکی، نظامی یا خانگی استفاده یا ذخیره شود.</w:t>
      </w:r>
    </w:p>
    <w:p>
      <w:pPr>
        <w:spacing w:after="28" w:line="216" w:lineRule="auto"/>
        <w:ind w:left="259"/>
        <w:jc w:val="left"/>
      </w:pPr>
      <w:r>
        <w:rPr>
          <w:rFonts w:ascii="Arial" w:hAnsi="Arial"/>
          <w:color w:val="525252"/>
          <w:sz w:val="13"/>
        </w:rPr>
        <w:t>A generic term for toxic, chemical, biological, or radioactive substances in solid, liquid, aerosolized, or gaseous form that may be used, or stored for use, for industrial, commercial, medical, military, or domestic purposes.</w:t>
      </w:r>
    </w:p>
    <w:p>
      <w:pPr>
        <w:spacing w:after="20" w:line="223" w:lineRule="auto"/>
        <w:jc w:val="right"/>
        <w:bidi/>
      </w:pPr>
      <w:r>
        <w:rPr>
          <w:rFonts w:ascii="Arial" w:hAnsi="Arial"/>
          <w:sz w:val="16"/>
        </w:rPr>
        <w:t>308.21  اغلب مواد صنعتی سمی خطر بخار (استنشاق) دارند و همچنین ممکن است غلظت اکسیژن را کمتر از مقدار مورد نیاز برای حفظ حیات کاهش دهند.</w:t>
      </w:r>
    </w:p>
    <w:p>
      <w:pPr>
        <w:spacing w:after="28" w:line="216" w:lineRule="auto"/>
        <w:ind w:left="259"/>
        <w:jc w:val="left"/>
      </w:pPr>
      <w:r>
        <w:rPr>
          <w:rFonts w:ascii="Arial" w:hAnsi="Arial"/>
          <w:color w:val="525252"/>
          <w:sz w:val="13"/>
        </w:rPr>
        <w:t>Most toxic industrial materials present a vapor (inhalation) hazard and may also reduce the oxygen concentration below that required to support life.</w:t>
      </w:r>
    </w:p>
    <w:p>
      <w:pPr>
        <w:spacing w:after="20" w:line="223" w:lineRule="auto"/>
        <w:jc w:val="right"/>
        <w:bidi/>
      </w:pPr>
      <w:r>
        <w:rPr>
          <w:rFonts w:ascii="Arial" w:hAnsi="Arial"/>
          <w:sz w:val="16"/>
        </w:rPr>
        <w:t>308.22  در صورت وقوع یک حادثه مواد صنعتی سمی، مهمترین اقدام این است که در صورت امکان فورا به منطقه خارج از مسیر خطر تخلیه شود.</w:t>
      </w:r>
    </w:p>
    <w:p>
      <w:pPr>
        <w:spacing w:after="28" w:line="216" w:lineRule="auto"/>
        <w:ind w:left="259"/>
        <w:jc w:val="left"/>
      </w:pPr>
      <w:r>
        <w:rPr>
          <w:rFonts w:ascii="Arial" w:hAnsi="Arial"/>
          <w:color w:val="525252"/>
          <w:sz w:val="13"/>
        </w:rPr>
        <w:t>In the event of a toxic industrial material incident, the most important action is to immediately evacuate to an area outside the hazard’s path, if feasible.</w:t>
      </w:r>
    </w:p>
    <w:p>
      <w:pPr>
        <w:spacing w:after="20" w:line="223" w:lineRule="auto"/>
        <w:jc w:val="right"/>
        <w:bidi/>
      </w:pPr>
      <w:r>
        <w:rPr>
          <w:rFonts w:ascii="Arial" w:hAnsi="Arial"/>
          <w:sz w:val="16"/>
        </w:rPr>
        <w:t>308.23  توجه به این نکته مهم است که ماسک محافظ، مجموعه و فیلترهای حفاظت جمعی استاندارد نظامی برای محافظت در برابر مواد سمی صنعتی طراحی نشده‌اند.</w:t>
      </w:r>
    </w:p>
    <w:p>
      <w:pPr>
        <w:spacing w:after="28" w:line="216" w:lineRule="auto"/>
        <w:ind w:left="259"/>
        <w:jc w:val="left"/>
      </w:pPr>
      <w:r>
        <w:rPr>
          <w:rFonts w:ascii="Arial" w:hAnsi="Arial"/>
          <w:color w:val="525252"/>
          <w:sz w:val="13"/>
        </w:rPr>
        <w:t>It is important to be aware that the protective mask, ensemble, and military standard collective protection filters are not designed to provide protection from toxic industrial materials.</w:t>
      </w:r>
    </w:p>
    <w:p>
      <w:pPr>
        <w:spacing w:after="20" w:line="223" w:lineRule="auto"/>
        <w:jc w:val="right"/>
        <w:bidi/>
      </w:pPr>
      <w:r>
        <w:rPr>
          <w:rFonts w:ascii="Arial" w:hAnsi="Arial"/>
          <w:sz w:val="16"/>
        </w:rPr>
        <w:t>308.24  اگر تخلیه غیرعملی است، رویه‌های پناهگاه را در محل اجرا کنید.</w:t>
      </w:r>
    </w:p>
    <w:p>
      <w:pPr>
        <w:spacing w:after="28" w:line="216" w:lineRule="auto"/>
        <w:ind w:left="259"/>
        <w:jc w:val="left"/>
      </w:pPr>
      <w:r>
        <w:rPr>
          <w:rFonts w:ascii="Arial" w:hAnsi="Arial"/>
          <w:color w:val="525252"/>
          <w:sz w:val="13"/>
        </w:rPr>
        <w:t>If evacuation is impractical, implement shelter-in-place procedures.</w:t>
      </w:r>
    </w:p>
    <w:p>
      <w:r>
        <w:br w:type="page"/>
      </w:r>
    </w:p>
    <w:p>
      <w:pPr>
        <w:spacing w:after="60"/>
        <w:jc w:val="right"/>
        <w:bidi/>
      </w:pPr>
      <w:r>
        <w:rPr>
          <w:rFonts w:ascii="Arial" w:hAnsi="Arial"/>
          <w:b/>
          <w:color w:val="1F4D78"/>
          <w:sz w:val="19"/>
        </w:rPr>
        <w:t>هفتهٔ 309  |  صفحهٔ منبع: 325</w:t>
      </w:r>
    </w:p>
    <w:p>
      <w:pPr>
        <w:spacing w:before="60" w:after="28"/>
        <w:jc w:val="right"/>
        <w:bidi/>
      </w:pPr>
      <w:r>
        <w:rPr>
          <w:b/>
          <w:color w:val="1F4D78"/>
          <w:sz w:val="18"/>
        </w:rPr>
        <w:t>بخش 17C - آمادگی و حفاظت</w:t>
      </w:r>
    </w:p>
    <w:p>
      <w:pPr>
        <w:spacing w:after="20"/>
        <w:ind w:left="259"/>
        <w:jc w:val="left"/>
      </w:pPr>
      <w:r>
        <w:rPr>
          <w:color w:val="555555"/>
          <w:sz w:val="12"/>
        </w:rPr>
        <w:t>Section 17C—Preparedness and Protection</w:t>
      </w:r>
    </w:p>
    <w:p>
      <w:pPr>
        <w:spacing w:before="60" w:after="28"/>
        <w:jc w:val="right"/>
        <w:bidi/>
      </w:pPr>
      <w:r>
        <w:rPr>
          <w:b/>
          <w:color w:val="1F4D78"/>
          <w:sz w:val="18"/>
        </w:rPr>
        <w:t>17.5. رویه های آمادگی و حفاظت</w:t>
      </w:r>
    </w:p>
    <w:p>
      <w:pPr>
        <w:spacing w:after="20"/>
        <w:ind w:left="259"/>
        <w:jc w:val="left"/>
      </w:pPr>
      <w:r>
        <w:rPr>
          <w:color w:val="555555"/>
          <w:sz w:val="12"/>
        </w:rPr>
        <w:t>17.5. Preparedness and Protection Procedures</w:t>
      </w:r>
    </w:p>
    <w:p>
      <w:pPr>
        <w:spacing w:after="20" w:line="223" w:lineRule="auto"/>
        <w:jc w:val="right"/>
        <w:bidi/>
      </w:pPr>
      <w:r>
        <w:rPr>
          <w:rFonts w:ascii="Arial" w:hAnsi="Arial"/>
          <w:sz w:val="16"/>
        </w:rPr>
        <w:t>309.03  تاسیسات DAF باید اقداماتی را برای محافظت، آماده‌سازی، پاسخ به، بازیابی و کاهش اثرات یک حمله یا حادثه انجام دهند تا اطمینان حاصل شود که می‌توانیم عملیات سریع، پایدار و قاطع را در یک محیط مورد مناقشه انجام دهیم.</w:t>
      </w:r>
    </w:p>
    <w:p>
      <w:pPr>
        <w:spacing w:after="28" w:line="216" w:lineRule="auto"/>
        <w:ind w:left="259"/>
        <w:jc w:val="left"/>
      </w:pPr>
      <w:r>
        <w:rPr>
          <w:rFonts w:ascii="Arial" w:hAnsi="Arial"/>
          <w:color w:val="525252"/>
          <w:sz w:val="13"/>
        </w:rPr>
        <w:t>DAF installations must take actions to protect, prepare for, respond to, recover from, and mitigate the effects of an attack or incident to ensure we can conduct prompt, sustained, and decisive operations in a contested environment.</w:t>
      </w:r>
    </w:p>
    <w:p>
      <w:pPr>
        <w:spacing w:after="20" w:line="223" w:lineRule="auto"/>
        <w:jc w:val="right"/>
        <w:bidi/>
      </w:pPr>
      <w:r>
        <w:rPr>
          <w:rFonts w:ascii="Arial" w:hAnsi="Arial"/>
          <w:sz w:val="16"/>
        </w:rPr>
        <w:t>309.04  مقابله با سلاح‌های کشتار جمعی و تهدیدات CBRN نیاز به آمادگی فوق‌العاده‌ای دارد.</w:t>
      </w:r>
    </w:p>
    <w:p>
      <w:pPr>
        <w:spacing w:after="28" w:line="216" w:lineRule="auto"/>
        <w:ind w:left="259"/>
        <w:jc w:val="left"/>
      </w:pPr>
      <w:r>
        <w:rPr>
          <w:rFonts w:ascii="Arial" w:hAnsi="Arial"/>
          <w:color w:val="525252"/>
          <w:sz w:val="13"/>
        </w:rPr>
        <w:t>Countering Weapons of Mass Destruction and CBRN threats requires extraordinary preparedness.</w:t>
      </w:r>
    </w:p>
    <w:p>
      <w:pPr>
        <w:spacing w:after="20" w:line="223" w:lineRule="auto"/>
        <w:jc w:val="right"/>
        <w:bidi/>
      </w:pPr>
      <w:r>
        <w:rPr>
          <w:rFonts w:ascii="Arial" w:hAnsi="Arial"/>
          <w:sz w:val="16"/>
        </w:rPr>
        <w:t>309.05  ایجاد و انجام اقدامات آمادگی به‌طور مؤثر و کارآمد، حفاظت از منابع حیاتی مأموریت و بقای نیرو را افزایش می‌دهد.</w:t>
      </w:r>
    </w:p>
    <w:p>
      <w:pPr>
        <w:spacing w:after="28" w:line="216" w:lineRule="auto"/>
        <w:ind w:left="259"/>
        <w:jc w:val="left"/>
      </w:pPr>
      <w:r>
        <w:rPr>
          <w:rFonts w:ascii="Arial" w:hAnsi="Arial"/>
          <w:color w:val="525252"/>
          <w:sz w:val="13"/>
        </w:rPr>
        <w:t>Established and conducting preparedness actions effectively and efficiently will increase the protection of mission critical resources and force survivability.</w:t>
      </w:r>
    </w:p>
    <w:p>
      <w:pPr>
        <w:spacing w:after="20" w:line="223" w:lineRule="auto"/>
        <w:jc w:val="right"/>
        <w:bidi/>
      </w:pPr>
      <w:r>
        <w:rPr>
          <w:rFonts w:ascii="Arial" w:hAnsi="Arial"/>
          <w:sz w:val="16"/>
        </w:rPr>
        <w:t>309.06  اقدامات باید به‌عنوان مأموریت حیاتی در نظر گرفته شوند و زمانی که خطر حمله دشمن زیاد است، اولویت بالایی داشته باشند.</w:t>
      </w:r>
    </w:p>
    <w:p>
      <w:pPr>
        <w:spacing w:after="28" w:line="216" w:lineRule="auto"/>
        <w:ind w:left="259"/>
        <w:jc w:val="left"/>
      </w:pPr>
      <w:r>
        <w:rPr>
          <w:rFonts w:ascii="Arial" w:hAnsi="Arial"/>
          <w:color w:val="525252"/>
          <w:sz w:val="13"/>
        </w:rPr>
        <w:t>Actions should be considered mission critical and given a high priority when the threat of an enemy attack is high.</w:t>
      </w:r>
    </w:p>
    <w:p>
      <w:pPr>
        <w:spacing w:after="20" w:line="223" w:lineRule="auto"/>
        <w:jc w:val="right"/>
        <w:bidi/>
      </w:pPr>
      <w:r>
        <w:rPr>
          <w:rFonts w:ascii="Arial" w:hAnsi="Arial"/>
          <w:sz w:val="16"/>
        </w:rPr>
        <w:t>309.07  نصب‌ها اقدامات متعددی را برای مقابله با این حملات در مرحله آمادگی ایجاد می‌کنند که اغلب به اطلاعات، احتمالات تهدید نصب و توصیه‌های ارائه‌شده توسط کارشناسان موضوع بستگی دارد.</w:t>
      </w:r>
    </w:p>
    <w:p>
      <w:pPr>
        <w:spacing w:after="28" w:line="216" w:lineRule="auto"/>
        <w:ind w:left="259"/>
        <w:jc w:val="left"/>
      </w:pPr>
      <w:r>
        <w:rPr>
          <w:rFonts w:ascii="Arial" w:hAnsi="Arial"/>
          <w:color w:val="525252"/>
          <w:sz w:val="13"/>
        </w:rPr>
        <w:t>Installations will establish multiple actions to counter these attacks during the preparedness phase, often dependent on the intelligence, the installation’s threat probabilities, and recommendations provided by subject matter experts.</w:t>
      </w:r>
    </w:p>
    <w:p>
      <w:pPr>
        <w:spacing w:after="20" w:line="223" w:lineRule="auto"/>
        <w:jc w:val="right"/>
        <w:bidi/>
      </w:pPr>
      <w:r>
        <w:rPr>
          <w:rFonts w:ascii="Arial" w:hAnsi="Arial"/>
          <w:sz w:val="16"/>
        </w:rPr>
        <w:t>309.08  پرسنل DAF باید اهمیت آگاهی از اقدامات آمادگی یک تاسیسات را قبل از حمله به خوبی درک کنند.</w:t>
      </w:r>
    </w:p>
    <w:p>
      <w:pPr>
        <w:spacing w:after="28" w:line="216" w:lineRule="auto"/>
        <w:ind w:left="259"/>
        <w:jc w:val="left"/>
      </w:pPr>
      <w:r>
        <w:rPr>
          <w:rFonts w:ascii="Arial" w:hAnsi="Arial"/>
          <w:color w:val="525252"/>
          <w:sz w:val="13"/>
        </w:rPr>
        <w:t>DAF personnel should understand the importance of knowing an installation’s preparedness actions well before an attack.</w:t>
      </w:r>
    </w:p>
    <w:p>
      <w:pPr>
        <w:spacing w:before="60" w:after="28"/>
        <w:jc w:val="right"/>
        <w:bidi/>
      </w:pPr>
      <w:r>
        <w:rPr>
          <w:b/>
          <w:color w:val="1F4D78"/>
          <w:sz w:val="18"/>
        </w:rPr>
        <w:t>17.6. سیگنال های هشدار و اعلان DAF</w:t>
      </w:r>
    </w:p>
    <w:p>
      <w:pPr>
        <w:spacing w:after="20"/>
        <w:ind w:left="259"/>
        <w:jc w:val="left"/>
      </w:pPr>
      <w:r>
        <w:rPr>
          <w:color w:val="555555"/>
          <w:sz w:val="12"/>
        </w:rPr>
        <w:t>17.6. DAF Warning and Notification Signals</w:t>
      </w:r>
    </w:p>
    <w:p>
      <w:pPr>
        <w:spacing w:after="20" w:line="223" w:lineRule="auto"/>
        <w:jc w:val="right"/>
        <w:bidi/>
      </w:pPr>
      <w:r>
        <w:rPr>
          <w:rFonts w:ascii="Arial" w:hAnsi="Arial"/>
          <w:sz w:val="16"/>
        </w:rPr>
        <w:t>309.10  سیگنال‌های اعلام اضطراری.</w:t>
      </w:r>
    </w:p>
    <w:p>
      <w:pPr>
        <w:spacing w:after="28" w:line="216" w:lineRule="auto"/>
        <w:ind w:left="259"/>
        <w:jc w:val="left"/>
      </w:pPr>
      <w:r>
        <w:rPr>
          <w:rFonts w:ascii="Arial" w:hAnsi="Arial"/>
          <w:color w:val="525252"/>
          <w:sz w:val="13"/>
        </w:rPr>
        <w:t>Emergency Notification Signals.</w:t>
      </w:r>
    </w:p>
    <w:p>
      <w:pPr>
        <w:spacing w:after="20" w:line="223" w:lineRule="auto"/>
        <w:jc w:val="right"/>
        <w:bidi/>
      </w:pPr>
      <w:r>
        <w:rPr>
          <w:rFonts w:ascii="Arial" w:hAnsi="Arial"/>
          <w:sz w:val="16"/>
        </w:rPr>
        <w:t>309.11  هر نصب DAF باید دارای یک سیستم سریع و مؤثر برای انتشار سریع اعلان‌ها و اطلاعات اضطراری مانند ساعت‌ها، هشدارها، مسیرهای تخلیه و اقدامات حفاظتی باشد.</w:t>
      </w:r>
    </w:p>
    <w:p>
      <w:pPr>
        <w:spacing w:after="28" w:line="216" w:lineRule="auto"/>
        <w:ind w:left="259"/>
        <w:jc w:val="left"/>
      </w:pPr>
      <w:r>
        <w:rPr>
          <w:rFonts w:ascii="Arial" w:hAnsi="Arial"/>
          <w:color w:val="525252"/>
          <w:sz w:val="13"/>
        </w:rPr>
        <w:t>Every DAF installation must have a rapid and effective system to quickly disseminate emergency notifications and information such as watches, warning, evacuation routes, and protective actions.</w:t>
      </w:r>
    </w:p>
    <w:p>
      <w:pPr>
        <w:spacing w:after="20" w:line="223" w:lineRule="auto"/>
        <w:jc w:val="right"/>
        <w:bidi/>
      </w:pPr>
      <w:r>
        <w:rPr>
          <w:rFonts w:ascii="Arial" w:hAnsi="Arial"/>
          <w:sz w:val="16"/>
        </w:rPr>
        <w:t>309.12  هنگامی که یک فاجعه یا حادثه‌ای که بر نصب اثر می‌گذارد قریب الوقوع یا در حال انجام است، پرسنل باید به دستورالعمل‌های ارسال شده از طریق سیستم‌های هشدار و اعلان انبوه یا سایر کانال‌های ارتباطی، اعم از دیداری یا شنیداری، پاسخ دهند.</w:t>
      </w:r>
    </w:p>
    <w:p>
      <w:pPr>
        <w:spacing w:after="28" w:line="216" w:lineRule="auto"/>
        <w:ind w:left="259"/>
        <w:jc w:val="left"/>
      </w:pPr>
      <w:r>
        <w:rPr>
          <w:rFonts w:ascii="Arial" w:hAnsi="Arial"/>
          <w:color w:val="525252"/>
          <w:sz w:val="13"/>
        </w:rPr>
        <w:t>When a disaster or incident affecting the installation is imminent or in-progress, personnel must respond to directions communicated over mass warning and notification systems or other communication channels, whether visual or audible.</w:t>
      </w:r>
    </w:p>
    <w:p>
      <w:pPr>
        <w:spacing w:after="20" w:line="223" w:lineRule="auto"/>
        <w:jc w:val="right"/>
        <w:bidi/>
      </w:pPr>
      <w:r>
        <w:rPr>
          <w:rFonts w:ascii="Arial" w:hAnsi="Arial"/>
          <w:sz w:val="16"/>
        </w:rPr>
        <w:t>309.13  پرسنل باید با سیستم‌های هشدار و اعلان نصب آشنا باشند و به شدت تشویق می‌شوند که در اعلان‌های دستگاه تلفن همراه ثبت‌نام کنند تا از پاسخ‌های سریع، آگاهانه و آماده به شرایط اضطراری محلی اطمینان حاصل کنند.</w:t>
      </w:r>
    </w:p>
    <w:p>
      <w:pPr>
        <w:spacing w:after="28" w:line="216" w:lineRule="auto"/>
        <w:ind w:left="259"/>
        <w:jc w:val="left"/>
      </w:pPr>
      <w:r>
        <w:rPr>
          <w:rFonts w:ascii="Arial" w:hAnsi="Arial"/>
          <w:color w:val="525252"/>
          <w:sz w:val="13"/>
        </w:rPr>
        <w:t>Personnel should be familiar with the installation’s warning and notification systems and are highly encouraged to enroll in mobile device notifications to ensure prompt, informed, and ready responses to local emergencies.</w:t>
      </w:r>
    </w:p>
    <w:p>
      <w:pPr>
        <w:spacing w:after="20" w:line="223" w:lineRule="auto"/>
        <w:jc w:val="right"/>
        <w:bidi/>
      </w:pPr>
      <w:r>
        <w:rPr>
          <w:rFonts w:ascii="Arial" w:hAnsi="Arial"/>
          <w:sz w:val="16"/>
        </w:rPr>
        <w:t>309.14  علائم هشدار حمله.</w:t>
      </w:r>
    </w:p>
    <w:p>
      <w:pPr>
        <w:spacing w:after="28" w:line="216" w:lineRule="auto"/>
        <w:ind w:left="259"/>
        <w:jc w:val="left"/>
      </w:pPr>
      <w:r>
        <w:rPr>
          <w:rFonts w:ascii="Arial" w:hAnsi="Arial"/>
          <w:color w:val="525252"/>
          <w:sz w:val="13"/>
        </w:rPr>
        <w:t>Attack Warning Signals.</w:t>
      </w:r>
    </w:p>
    <w:p>
      <w:pPr>
        <w:spacing w:after="20" w:line="223" w:lineRule="auto"/>
        <w:jc w:val="right"/>
        <w:bidi/>
      </w:pPr>
      <w:r>
        <w:rPr>
          <w:rFonts w:ascii="Arial" w:hAnsi="Arial"/>
          <w:sz w:val="16"/>
        </w:rPr>
        <w:t>309.15  این سیگنال‌ها برای اطلاع رسانی به پرسنل از هشدارها یا حملات قریب الوقوع استفاده می‌شود.</w:t>
      </w:r>
    </w:p>
    <w:p>
      <w:pPr>
        <w:spacing w:after="28" w:line="216" w:lineRule="auto"/>
        <w:ind w:left="259"/>
        <w:jc w:val="left"/>
      </w:pPr>
      <w:r>
        <w:rPr>
          <w:rFonts w:ascii="Arial" w:hAnsi="Arial"/>
          <w:color w:val="525252"/>
          <w:sz w:val="13"/>
        </w:rPr>
        <w:t>These signals are used to notify personnel of warnings or impending attacks.</w:t>
      </w:r>
    </w:p>
    <w:p>
      <w:pPr>
        <w:spacing w:after="20" w:line="223" w:lineRule="auto"/>
        <w:jc w:val="right"/>
        <w:bidi/>
      </w:pPr>
      <w:r>
        <w:rPr>
          <w:rFonts w:ascii="Arial" w:hAnsi="Arial"/>
          <w:sz w:val="16"/>
        </w:rPr>
        <w:t>309.16  هشدارها ممکن است از طریق سیستم‌های اعلان و هشدار انبوه، نمایش پرچم‌های وضعیت هشدار، یا از طریق کانال‌های ارتباطی دیگر منتقل شوند.</w:t>
      </w:r>
    </w:p>
    <w:p>
      <w:pPr>
        <w:spacing w:after="28" w:line="216" w:lineRule="auto"/>
        <w:ind w:left="259"/>
        <w:jc w:val="left"/>
      </w:pPr>
      <w:r>
        <w:rPr>
          <w:rFonts w:ascii="Arial" w:hAnsi="Arial"/>
          <w:color w:val="525252"/>
          <w:sz w:val="13"/>
        </w:rPr>
        <w:t>The warnings may be communicated through mass notification and warning systems, display of alarm condition flags, or through other communication channels.</w:t>
      </w:r>
    </w:p>
    <w:p>
      <w:pPr>
        <w:spacing w:after="20" w:line="223" w:lineRule="auto"/>
        <w:jc w:val="right"/>
        <w:bidi/>
      </w:pPr>
      <w:r>
        <w:rPr>
          <w:rFonts w:ascii="Arial" w:hAnsi="Arial"/>
          <w:sz w:val="16"/>
        </w:rPr>
        <w:t>309.17  سیگنال‌های هشدار حمله برای قرار دادن تاسیسات برای حملات، هشدار حملات در حال انجام، شروع اقدامات بازیابی پس از حمله، و بازگرداندن نصب به حالت آماده‌باش استفاده می‌شوند.</w:t>
      </w:r>
    </w:p>
    <w:p>
      <w:pPr>
        <w:spacing w:after="28" w:line="216" w:lineRule="auto"/>
        <w:ind w:left="259"/>
        <w:jc w:val="left"/>
      </w:pPr>
      <w:r>
        <w:rPr>
          <w:rFonts w:ascii="Arial" w:hAnsi="Arial"/>
          <w:color w:val="525252"/>
          <w:sz w:val="13"/>
        </w:rPr>
        <w:t>Attack warning signals are used to posture installations for attacks, warn of attacks in progress, initiate post attack recover actions, and return the installation to normal state of readiness.</w:t>
      </w:r>
    </w:p>
    <w:p>
      <w:pPr>
        <w:spacing w:after="20" w:line="223" w:lineRule="auto"/>
        <w:jc w:val="right"/>
        <w:bidi/>
      </w:pPr>
      <w:r>
        <w:rPr>
          <w:rFonts w:ascii="Arial" w:hAnsi="Arial"/>
          <w:sz w:val="16"/>
        </w:rPr>
        <w:t>309.18  توجه: تغییرات سیگنال هشدار حمله ممکن است در برخی مناطق جغرافیایی استفاده شود.</w:t>
      </w:r>
    </w:p>
    <w:p>
      <w:pPr>
        <w:spacing w:after="28" w:line="216" w:lineRule="auto"/>
        <w:ind w:left="259"/>
        <w:jc w:val="left"/>
      </w:pPr>
      <w:r>
        <w:rPr>
          <w:rFonts w:ascii="Arial" w:hAnsi="Arial"/>
          <w:color w:val="525252"/>
          <w:sz w:val="13"/>
        </w:rPr>
        <w:t>Note: attack warning signal variations may be used in some geographical regions.</w:t>
      </w:r>
    </w:p>
    <w:p>
      <w:pPr>
        <w:spacing w:after="20" w:line="223" w:lineRule="auto"/>
        <w:jc w:val="right"/>
        <w:bidi/>
      </w:pPr>
      <w:r>
        <w:rPr>
          <w:rFonts w:ascii="Arial" w:hAnsi="Arial"/>
          <w:sz w:val="16"/>
        </w:rPr>
        <w:t>309.19  پرسنل از این تغییرات قبل از خروج از ایستگاه اصلی و/یا پس از ورود به منطقه مطلع خواهند شد.</w:t>
      </w:r>
    </w:p>
    <w:p>
      <w:pPr>
        <w:spacing w:after="28" w:line="216" w:lineRule="auto"/>
        <w:ind w:left="259"/>
        <w:jc w:val="left"/>
      </w:pPr>
      <w:r>
        <w:rPr>
          <w:rFonts w:ascii="Arial" w:hAnsi="Arial"/>
          <w:color w:val="525252"/>
          <w:sz w:val="13"/>
        </w:rPr>
        <w:t>Personnel will be notified of these variations before departure of home station and/or upon arrival into the region.</w:t>
      </w:r>
    </w:p>
    <w:p>
      <w:pPr>
        <w:spacing w:after="20" w:line="223" w:lineRule="auto"/>
        <w:jc w:val="right"/>
        <w:bidi/>
      </w:pPr>
      <w:r>
        <w:rPr>
          <w:rFonts w:ascii="Arial" w:hAnsi="Arial"/>
          <w:sz w:val="16"/>
        </w:rPr>
        <w:t>309.20  سه تا پنج دقیقه صدای ثابت.</w:t>
      </w:r>
    </w:p>
    <w:p>
      <w:pPr>
        <w:spacing w:after="28" w:line="216" w:lineRule="auto"/>
        <w:ind w:left="259"/>
        <w:jc w:val="left"/>
      </w:pPr>
      <w:r>
        <w:rPr>
          <w:rFonts w:ascii="Arial" w:hAnsi="Arial"/>
          <w:color w:val="525252"/>
          <w:sz w:val="13"/>
        </w:rPr>
        <w:t>Three to Five Minute Steady Tone.</w:t>
      </w:r>
    </w:p>
    <w:p>
      <w:pPr>
        <w:spacing w:after="20" w:line="223" w:lineRule="auto"/>
        <w:jc w:val="right"/>
        <w:bidi/>
      </w:pPr>
      <w:r>
        <w:rPr>
          <w:rFonts w:ascii="Arial" w:hAnsi="Arial"/>
          <w:sz w:val="16"/>
        </w:rPr>
        <w:t>309.21  صدای ثابت سه تا پنج دقیقه‌ای نشان می‌دهد که یک فاجعه یا حادثه قریب الوقوع یا در حال انجام است.</w:t>
      </w:r>
    </w:p>
    <w:p>
      <w:pPr>
        <w:spacing w:after="28" w:line="216" w:lineRule="auto"/>
        <w:ind w:left="259"/>
        <w:jc w:val="left"/>
      </w:pPr>
      <w:r>
        <w:rPr>
          <w:rFonts w:ascii="Arial" w:hAnsi="Arial"/>
          <w:color w:val="525252"/>
          <w:sz w:val="13"/>
        </w:rPr>
        <w:t>The three-to-five-minute steady tone indicates a disaster or incident is imminent or in progress.</w:t>
      </w:r>
    </w:p>
    <w:p>
      <w:pPr>
        <w:spacing w:after="20" w:line="223" w:lineRule="auto"/>
        <w:jc w:val="right"/>
        <w:bidi/>
      </w:pPr>
      <w:r>
        <w:rPr>
          <w:rFonts w:ascii="Arial" w:hAnsi="Arial"/>
          <w:sz w:val="16"/>
        </w:rPr>
        <w:t>309.22  اقدامات فردی باید هوشیار باشند، تحت پوشش قرار بگیرند یا به محل امن منتقل شوند، دستورالعمل‌ها را دنبال کنند، و پرسنل را در نظر بگیرند.</w:t>
      </w:r>
    </w:p>
    <w:p>
      <w:pPr>
        <w:spacing w:after="28" w:line="216" w:lineRule="auto"/>
        <w:ind w:left="259"/>
        <w:jc w:val="left"/>
      </w:pPr>
      <w:r>
        <w:rPr>
          <w:rFonts w:ascii="Arial" w:hAnsi="Arial"/>
          <w:color w:val="525252"/>
          <w:sz w:val="13"/>
        </w:rPr>
        <w:t>Individual actions are to be alert, take cover or evacuate to safety, follow instructions, and account for personnel.</w:t>
      </w:r>
    </w:p>
    <w:p>
      <w:pPr>
        <w:spacing w:after="20" w:line="223" w:lineRule="auto"/>
        <w:jc w:val="right"/>
        <w:bidi/>
      </w:pPr>
      <w:r>
        <w:rPr>
          <w:rFonts w:ascii="Arial" w:hAnsi="Arial"/>
          <w:sz w:val="16"/>
        </w:rPr>
        <w:t>309.23  سه تا پنج دقیقه لحن متزلزل.</w:t>
      </w:r>
    </w:p>
    <w:p>
      <w:pPr>
        <w:spacing w:after="28" w:line="216" w:lineRule="auto"/>
        <w:ind w:left="259"/>
        <w:jc w:val="left"/>
      </w:pPr>
      <w:r>
        <w:rPr>
          <w:rFonts w:ascii="Arial" w:hAnsi="Arial"/>
          <w:color w:val="525252"/>
          <w:sz w:val="13"/>
        </w:rPr>
        <w:t>Three to Five Minute Wavering Tone.</w:t>
      </w:r>
    </w:p>
    <w:p>
      <w:pPr>
        <w:spacing w:after="20" w:line="223" w:lineRule="auto"/>
        <w:jc w:val="right"/>
        <w:bidi/>
      </w:pPr>
      <w:r>
        <w:rPr>
          <w:rFonts w:ascii="Arial" w:hAnsi="Arial"/>
          <w:sz w:val="16"/>
        </w:rPr>
        <w:t>309.24  لحن متزلزل سه تا پنج دقیقه‌ای نشان می‌دهد که حمله یا اقدام خصمانه قریب الوقوع یا در حال انجام است.</w:t>
      </w:r>
    </w:p>
    <w:p>
      <w:pPr>
        <w:spacing w:after="28" w:line="216" w:lineRule="auto"/>
        <w:ind w:left="259"/>
        <w:jc w:val="left"/>
      </w:pPr>
      <w:r>
        <w:rPr>
          <w:rFonts w:ascii="Arial" w:hAnsi="Arial"/>
          <w:color w:val="525252"/>
          <w:sz w:val="13"/>
        </w:rPr>
        <w:t>The three-to-five-minute wavering tone indicates an attack or hostile act is imminent or in progress.</w:t>
      </w:r>
    </w:p>
    <w:p>
      <w:pPr>
        <w:spacing w:after="20" w:line="223" w:lineRule="auto"/>
        <w:jc w:val="right"/>
        <w:bidi/>
      </w:pPr>
      <w:r>
        <w:rPr>
          <w:rFonts w:ascii="Arial" w:hAnsi="Arial"/>
          <w:sz w:val="16"/>
        </w:rPr>
        <w:t>309.25  اقدامات فردی باید هوشیار باشند، اقدامات امنیتی را اجرا کنند، دستورالعمل‌ها را دنبال کنند و پرسنل را در نظر بگیرند.</w:t>
      </w:r>
    </w:p>
    <w:p>
      <w:pPr>
        <w:spacing w:after="28" w:line="216" w:lineRule="auto"/>
        <w:ind w:left="259"/>
        <w:jc w:val="left"/>
      </w:pPr>
      <w:r>
        <w:rPr>
          <w:rFonts w:ascii="Arial" w:hAnsi="Arial"/>
          <w:color w:val="525252"/>
          <w:sz w:val="13"/>
        </w:rPr>
        <w:t>Individual actions are to be alert, execute security measures, follow instructions, and account for personnel.</w:t>
      </w:r>
    </w:p>
    <w:p>
      <w:pPr>
        <w:spacing w:after="20" w:line="223" w:lineRule="auto"/>
        <w:jc w:val="right"/>
        <w:bidi/>
      </w:pPr>
      <w:r>
        <w:rPr>
          <w:rFonts w:ascii="Arial" w:hAnsi="Arial"/>
          <w:sz w:val="16"/>
        </w:rPr>
        <w:t>309.26  قفل کردن، قفل کردن، قفل کردن.</w:t>
      </w:r>
    </w:p>
    <w:p>
      <w:pPr>
        <w:spacing w:after="28" w:line="216" w:lineRule="auto"/>
        <w:ind w:left="259"/>
        <w:jc w:val="left"/>
      </w:pPr>
      <w:r>
        <w:rPr>
          <w:rFonts w:ascii="Arial" w:hAnsi="Arial"/>
          <w:color w:val="525252"/>
          <w:sz w:val="13"/>
        </w:rPr>
        <w:t>Lockdown, Lockdown, Lockdown.</w:t>
      </w:r>
    </w:p>
    <w:p>
      <w:pPr>
        <w:spacing w:after="20" w:line="223" w:lineRule="auto"/>
        <w:jc w:val="right"/>
        <w:bidi/>
      </w:pPr>
      <w:r>
        <w:rPr>
          <w:rFonts w:ascii="Arial" w:hAnsi="Arial"/>
          <w:sz w:val="16"/>
        </w:rPr>
        <w:t>309.27  اعلام لوککدوون، لوککدوون، لوککدوون نشان می‌دهد که یک حادثه تیرانداز فعال در حال انجام است.</w:t>
      </w:r>
    </w:p>
    <w:p>
      <w:pPr>
        <w:spacing w:after="28" w:line="216" w:lineRule="auto"/>
        <w:ind w:left="259"/>
        <w:jc w:val="left"/>
      </w:pPr>
      <w:r>
        <w:rPr>
          <w:rFonts w:ascii="Arial" w:hAnsi="Arial"/>
          <w:color w:val="525252"/>
          <w:sz w:val="13"/>
        </w:rPr>
        <w:t>The announcement lockdown, lockdown, lockdown indicates an active shooter incident is in progress.</w:t>
      </w:r>
    </w:p>
    <w:p>
      <w:pPr>
        <w:spacing w:after="20" w:line="223" w:lineRule="auto"/>
        <w:jc w:val="right"/>
        <w:bidi/>
      </w:pPr>
      <w:r>
        <w:rPr>
          <w:rFonts w:ascii="Arial" w:hAnsi="Arial"/>
          <w:sz w:val="16"/>
        </w:rPr>
        <w:t>309.28  اقدامات فردی برای حفظ آرامش و اجرای رویه‌های قرنطینه است.</w:t>
      </w:r>
    </w:p>
    <w:p>
      <w:pPr>
        <w:spacing w:after="28" w:line="216" w:lineRule="auto"/>
        <w:ind w:left="259"/>
        <w:jc w:val="left"/>
      </w:pPr>
      <w:r>
        <w:rPr>
          <w:rFonts w:ascii="Arial" w:hAnsi="Arial"/>
          <w:color w:val="525252"/>
          <w:sz w:val="13"/>
        </w:rPr>
        <w:t>Individual actions are to remain calm and implement lockdown procedures.</w:t>
      </w:r>
    </w:p>
    <w:p>
      <w:pPr>
        <w:spacing w:after="20" w:line="223" w:lineRule="auto"/>
        <w:jc w:val="right"/>
        <w:bidi/>
      </w:pPr>
      <w:r>
        <w:rPr>
          <w:rFonts w:ascii="Arial" w:hAnsi="Arial"/>
          <w:sz w:val="16"/>
        </w:rPr>
        <w:t>309.29  سرپناه در محل.</w:t>
      </w:r>
    </w:p>
    <w:p>
      <w:pPr>
        <w:spacing w:after="28" w:line="216" w:lineRule="auto"/>
        <w:ind w:left="259"/>
        <w:jc w:val="left"/>
      </w:pPr>
      <w:r>
        <w:rPr>
          <w:rFonts w:ascii="Arial" w:hAnsi="Arial"/>
          <w:color w:val="525252"/>
          <w:sz w:val="13"/>
        </w:rPr>
        <w:t>Shelter-in-Place.</w:t>
      </w:r>
    </w:p>
    <w:p>
      <w:pPr>
        <w:spacing w:after="20" w:line="223" w:lineRule="auto"/>
        <w:jc w:val="right"/>
        <w:bidi/>
      </w:pPr>
      <w:r>
        <w:rPr>
          <w:rFonts w:ascii="Arial" w:hAnsi="Arial"/>
          <w:sz w:val="16"/>
        </w:rPr>
        <w:t>309.30  اعلامیه هشدار بلایای طبیعی یا هشدار بلایای تکنولوژیکی را نشان می‌دهد که از پرسنل می‌خواهد فورا در داخل خانه پناه گرفته و اقداماتی را مطابق برنامه اقدام اضطراری برای محافظت از پرسنل داخل ساختمان در برابر خطرات انجام دهند.</w:t>
      </w:r>
    </w:p>
    <w:p>
      <w:pPr>
        <w:spacing w:after="28" w:line="216" w:lineRule="auto"/>
        <w:ind w:left="259"/>
        <w:jc w:val="left"/>
      </w:pPr>
      <w:r>
        <w:rPr>
          <w:rFonts w:ascii="Arial" w:hAnsi="Arial"/>
          <w:color w:val="525252"/>
          <w:sz w:val="13"/>
        </w:rPr>
        <w:t>The announcement indicates a natural disaster warning or a technological disaster warning requiring personnel to immediately take shelter indoors and perform actions according to the Emergency Action Plan to protect personnel within the building from the hazards.</w:t>
      </w:r>
    </w:p>
    <w:p>
      <w:r>
        <w:br w:type="page"/>
      </w:r>
    </w:p>
    <w:p>
      <w:pPr>
        <w:spacing w:after="60"/>
        <w:jc w:val="right"/>
        <w:bidi/>
      </w:pPr>
      <w:r>
        <w:rPr>
          <w:rFonts w:ascii="Arial" w:hAnsi="Arial"/>
          <w:b/>
          <w:color w:val="1F4D78"/>
          <w:sz w:val="19"/>
        </w:rPr>
        <w:t>هفتهٔ 310  |  صفحهٔ منبع: 326</w:t>
      </w:r>
    </w:p>
    <w:p>
      <w:pPr>
        <w:spacing w:after="20" w:line="223" w:lineRule="auto"/>
        <w:jc w:val="right"/>
        <w:bidi/>
      </w:pPr>
      <w:r>
        <w:rPr>
          <w:rFonts w:ascii="Arial" w:hAnsi="Arial"/>
          <w:sz w:val="16"/>
        </w:rPr>
        <w:t>310.01  اقدامات برای بلایای طبیعی ممکن است شامل پناه گرفتن در یک اتاق داخلی بدون پنجره و در و پوشش باشد.</w:t>
      </w:r>
    </w:p>
    <w:p>
      <w:pPr>
        <w:spacing w:after="28" w:line="216" w:lineRule="auto"/>
        <w:ind w:left="259"/>
        <w:jc w:val="left"/>
      </w:pPr>
      <w:r>
        <w:rPr>
          <w:rFonts w:ascii="Arial" w:hAnsi="Arial"/>
          <w:color w:val="525252"/>
          <w:sz w:val="13"/>
        </w:rPr>
        <w:t>Actions for natural disasters may include taking refuge in an interior room without windows and doors and taking cover.</w:t>
      </w:r>
    </w:p>
    <w:p>
      <w:pPr>
        <w:spacing w:after="20" w:line="223" w:lineRule="auto"/>
        <w:jc w:val="right"/>
        <w:bidi/>
      </w:pPr>
      <w:r>
        <w:rPr>
          <w:rFonts w:ascii="Arial" w:hAnsi="Arial"/>
          <w:sz w:val="16"/>
        </w:rPr>
        <w:t>310.02  اقدامات برای بلایای تکنولوژیکی ممکن است شامل پناه گرفتن در یک اتاق از پیش تعیین شده، بستن گرمایش، تهویه، و تهویه مطبوع، و پوشاندن دریچه‌ها و درها با پلاستیک باشد.</w:t>
      </w:r>
    </w:p>
    <w:p>
      <w:pPr>
        <w:spacing w:after="28" w:line="216" w:lineRule="auto"/>
        <w:ind w:left="259"/>
        <w:jc w:val="left"/>
      </w:pPr>
      <w:r>
        <w:rPr>
          <w:rFonts w:ascii="Arial" w:hAnsi="Arial"/>
          <w:color w:val="525252"/>
          <w:sz w:val="13"/>
        </w:rPr>
        <w:t>Actions for technological disasters may include taking refuge in a pre- designated room, shutting off heating, ventilation, and air conditioning, and covering vents and doors with plastic.</w:t>
      </w:r>
    </w:p>
    <w:p>
      <w:pPr>
        <w:spacing w:after="20" w:line="223" w:lineRule="auto"/>
        <w:jc w:val="right"/>
        <w:bidi/>
      </w:pPr>
      <w:r>
        <w:rPr>
          <w:rFonts w:ascii="Arial" w:hAnsi="Arial"/>
          <w:sz w:val="16"/>
        </w:rPr>
        <w:t>310.03  زنگ هشدار سبز.</w:t>
      </w:r>
    </w:p>
    <w:p>
      <w:pPr>
        <w:spacing w:after="28" w:line="216" w:lineRule="auto"/>
        <w:ind w:left="259"/>
        <w:jc w:val="left"/>
      </w:pPr>
      <w:r>
        <w:rPr>
          <w:rFonts w:ascii="Arial" w:hAnsi="Arial"/>
          <w:color w:val="525252"/>
          <w:sz w:val="13"/>
        </w:rPr>
        <w:t>Alarm Green.</w:t>
      </w:r>
    </w:p>
    <w:p>
      <w:pPr>
        <w:spacing w:after="20" w:line="223" w:lineRule="auto"/>
        <w:jc w:val="right"/>
        <w:bidi/>
      </w:pPr>
      <w:r>
        <w:rPr>
          <w:rFonts w:ascii="Arial" w:hAnsi="Arial"/>
          <w:sz w:val="16"/>
        </w:rPr>
        <w:t>310.04  حمله محتمل نیست.</w:t>
      </w:r>
    </w:p>
    <w:p>
      <w:pPr>
        <w:spacing w:after="28" w:line="216" w:lineRule="auto"/>
        <w:ind w:left="259"/>
        <w:jc w:val="left"/>
      </w:pPr>
      <w:r>
        <w:rPr>
          <w:rFonts w:ascii="Arial" w:hAnsi="Arial"/>
          <w:color w:val="525252"/>
          <w:sz w:val="13"/>
        </w:rPr>
        <w:t>Attack is not probable.</w:t>
      </w:r>
    </w:p>
    <w:p>
      <w:pPr>
        <w:spacing w:after="20" w:line="223" w:lineRule="auto"/>
        <w:jc w:val="right"/>
        <w:bidi/>
      </w:pPr>
      <w:r>
        <w:rPr>
          <w:rFonts w:ascii="Arial" w:hAnsi="Arial"/>
          <w:sz w:val="16"/>
        </w:rPr>
        <w:t>310.05  MOPP ۰ (یا طبق دستور) شرایط عادی زمان جنگ از سرگیری عملیات ادامه اقدامات بازیابی زنگ هشدار زرد.</w:t>
      </w:r>
    </w:p>
    <w:p>
      <w:pPr>
        <w:spacing w:after="28" w:line="216" w:lineRule="auto"/>
        <w:ind w:left="259"/>
        <w:jc w:val="left"/>
      </w:pPr>
      <w:r>
        <w:rPr>
          <w:rFonts w:ascii="Arial" w:hAnsi="Arial"/>
          <w:color w:val="525252"/>
          <w:sz w:val="13"/>
        </w:rPr>
        <w:t>MOPP 0 (or as directed) Normal Wartime Conditions Resume Operations Continue Recovery Actions Alarm Yellow.</w:t>
      </w:r>
    </w:p>
    <w:p>
      <w:pPr>
        <w:spacing w:after="20" w:line="223" w:lineRule="auto"/>
        <w:jc w:val="right"/>
        <w:bidi/>
      </w:pPr>
      <w:r>
        <w:rPr>
          <w:rFonts w:ascii="Arial" w:hAnsi="Arial"/>
          <w:sz w:val="16"/>
        </w:rPr>
        <w:t>310.06  (حمله در کمتر از ۳۰ دقیقه محتمل است) MOPP ۲ (یا طبق دستور) محافظت و پوشش دارایی‌ها به پناهگاه محافظ بروید یا با زنگ هشدار پوشش بالای سر قرمز/آبی به دنبال بهترین محافظت باشید.</w:t>
      </w:r>
    </w:p>
    <w:p>
      <w:pPr>
        <w:spacing w:after="28" w:line="216" w:lineRule="auto"/>
        <w:ind w:left="259"/>
        <w:jc w:val="left"/>
      </w:pPr>
      <w:r>
        <w:rPr>
          <w:rFonts w:ascii="Arial" w:hAnsi="Arial"/>
          <w:color w:val="525252"/>
          <w:sz w:val="13"/>
        </w:rPr>
        <w:t>(Attack is probable in less than 30 minutes) MOPP 2 (or as directed) Protect and Cover Assets Go to Protective Shelter or Seek Best Protection with Overhead Cover Alarm Red/Blue.</w:t>
      </w:r>
    </w:p>
    <w:p>
      <w:pPr>
        <w:spacing w:after="20" w:line="223" w:lineRule="auto"/>
        <w:jc w:val="right"/>
        <w:bidi/>
      </w:pPr>
      <w:r>
        <w:rPr>
          <w:rFonts w:ascii="Arial" w:hAnsi="Arial"/>
          <w:sz w:val="16"/>
        </w:rPr>
        <w:t>310.07  تغییر "آبی" ممکن است در برخی از تاسیسات در اقیانوس آرام استفاده شود.</w:t>
      </w:r>
    </w:p>
    <w:p>
      <w:pPr>
        <w:spacing w:after="28" w:line="216" w:lineRule="auto"/>
        <w:ind w:left="259"/>
        <w:jc w:val="left"/>
      </w:pPr>
      <w:r>
        <w:rPr>
          <w:rFonts w:ascii="Arial" w:hAnsi="Arial"/>
          <w:color w:val="525252"/>
          <w:sz w:val="13"/>
        </w:rPr>
        <w:t>The “Blue” variation may be utilized at some installations within the Pacific.</w:t>
      </w:r>
    </w:p>
    <w:p>
      <w:pPr>
        <w:spacing w:after="20" w:line="223" w:lineRule="auto"/>
        <w:jc w:val="right"/>
        <w:bidi/>
      </w:pPr>
      <w:r>
        <w:rPr>
          <w:rFonts w:ascii="Arial" w:hAnsi="Arial"/>
          <w:sz w:val="16"/>
        </w:rPr>
        <w:t>310.08  (حمله هوایی یا زمینی قریب الوقوع است یا در حال انجام است) MOPP ۴ (یا طبق دستور) به دنبال حفاظت فوری با گزارش پوشش بالای سر فعالیت مشاهده شده یا هشدار حملات سیاه باشید.</w:t>
      </w:r>
    </w:p>
    <w:p>
      <w:pPr>
        <w:spacing w:after="28" w:line="216" w:lineRule="auto"/>
        <w:ind w:left="259"/>
        <w:jc w:val="left"/>
      </w:pPr>
      <w:r>
        <w:rPr>
          <w:rFonts w:ascii="Arial" w:hAnsi="Arial"/>
          <w:color w:val="525252"/>
          <w:sz w:val="13"/>
        </w:rPr>
        <w:t>(Air or ground attack is imminent or in progress) MOPP 4 (or as directed) Seek Immediate Protection with Overhead Cover Report Observed Activity or Attacks Alarm Black.</w:t>
      </w:r>
    </w:p>
    <w:p>
      <w:pPr>
        <w:spacing w:after="20" w:line="223" w:lineRule="auto"/>
        <w:jc w:val="right"/>
        <w:bidi/>
      </w:pPr>
      <w:r>
        <w:rPr>
          <w:rFonts w:ascii="Arial" w:hAnsi="Arial"/>
          <w:sz w:val="16"/>
        </w:rPr>
        <w:t>310.09  (انتشار اولیه، محدود و عمومی) (حمله تمام شده است و احتمال آلودگی CBRN و/یا خطرات UXO مشکوک است یا وجود دارد) MOPP ۴ (یا طبق دستور) انجام سلف-اید/بوددی کار رماین وندر کوور وورهاد یا ین دین شلتر دیسویس-دیستیتل تیم‌ها (EOD، ارزیابی خسارت، و غیره) *انتشار محدود - تیم‌های شناسایی پس از حمله * انتشار عمومی - فقط پرسنل ضروری مأموریت همه روشن است.</w:t>
      </w:r>
    </w:p>
    <w:p>
      <w:pPr>
        <w:spacing w:after="28" w:line="216" w:lineRule="auto"/>
        <w:ind w:left="259"/>
        <w:jc w:val="left"/>
      </w:pPr>
      <w:r>
        <w:rPr>
          <w:rFonts w:ascii="Arial" w:hAnsi="Arial"/>
          <w:color w:val="525252"/>
          <w:sz w:val="13"/>
        </w:rPr>
        <w:t>(Initial, Limited, and General Release) (Attack is over and CBRN contamination and/or UXO hazards are suspected or present) MOPP 4 (or as directed) Perform Self-Aid/Buddy Care Remain Under Overhead Cover or Within Shelter Unless Directed Otherwise *Initial Release - CBRN and Specialized Teams (EOD, Damage Assessment, etc.) *Limited Release - Post Attack Reconnaissance Teams *General Release - Mission-essential personnel only All Clear.</w:t>
      </w:r>
    </w:p>
    <w:p>
      <w:pPr>
        <w:spacing w:after="20" w:line="223" w:lineRule="auto"/>
        <w:jc w:val="right"/>
        <w:bidi/>
      </w:pPr>
      <w:r>
        <w:rPr>
          <w:rFonts w:ascii="Arial" w:hAnsi="Arial"/>
          <w:sz w:val="16"/>
        </w:rPr>
        <w:t>310.10  اعلامیه کاملا واضح نشان می‌دهد که فاجعه یا تهدید فوری پایان یافته است.</w:t>
      </w:r>
    </w:p>
    <w:p>
      <w:pPr>
        <w:spacing w:after="28" w:line="216" w:lineRule="auto"/>
        <w:ind w:left="259"/>
        <w:jc w:val="left"/>
      </w:pPr>
      <w:r>
        <w:rPr>
          <w:rFonts w:ascii="Arial" w:hAnsi="Arial"/>
          <w:color w:val="525252"/>
          <w:sz w:val="13"/>
        </w:rPr>
        <w:t>The announcement all clear indicates the immediate disaster or threat has ended.</w:t>
      </w:r>
    </w:p>
    <w:p>
      <w:pPr>
        <w:spacing w:after="20" w:line="223" w:lineRule="auto"/>
        <w:jc w:val="right"/>
        <w:bidi/>
      </w:pPr>
      <w:r>
        <w:rPr>
          <w:rFonts w:ascii="Arial" w:hAnsi="Arial"/>
          <w:sz w:val="16"/>
        </w:rPr>
        <w:t>310.11  اقدامات فردی باید هوشیار بمانند، به پرسنل رسیدگی کنند و خطرات، جراحات و خسارات را گزارش کنند.</w:t>
      </w:r>
    </w:p>
    <w:p>
      <w:pPr>
        <w:spacing w:after="28" w:line="216" w:lineRule="auto"/>
        <w:ind w:left="259"/>
        <w:jc w:val="left"/>
      </w:pPr>
      <w:r>
        <w:rPr>
          <w:rFonts w:ascii="Arial" w:hAnsi="Arial"/>
          <w:color w:val="525252"/>
          <w:sz w:val="13"/>
        </w:rPr>
        <w:t>Individual actions are to remain alert, account for personnel, and report hazards, injuries, and damages.</w:t>
      </w:r>
    </w:p>
    <w:p>
      <w:pPr>
        <w:spacing w:before="60" w:after="28"/>
        <w:jc w:val="right"/>
        <w:bidi/>
      </w:pPr>
      <w:r>
        <w:rPr>
          <w:b/>
          <w:color w:val="1F4D78"/>
          <w:sz w:val="18"/>
        </w:rPr>
        <w:t>17.7. سطوح وضعیت محافظتی ماموریت گرا (MOPP).</w:t>
      </w:r>
    </w:p>
    <w:p>
      <w:pPr>
        <w:spacing w:after="20"/>
        <w:ind w:left="259"/>
        <w:jc w:val="left"/>
      </w:pPr>
      <w:r>
        <w:rPr>
          <w:color w:val="555555"/>
          <w:sz w:val="12"/>
        </w:rPr>
        <w:t>17.7. Mission-Oriented Protective Posture (MOPP) Levels</w:t>
      </w:r>
    </w:p>
    <w:p>
      <w:pPr>
        <w:spacing w:after="20" w:line="223" w:lineRule="auto"/>
        <w:jc w:val="right"/>
        <w:bidi/>
      </w:pPr>
      <w:r>
        <w:rPr>
          <w:rFonts w:ascii="Arial" w:hAnsi="Arial"/>
          <w:sz w:val="16"/>
        </w:rPr>
        <w:t>310.13  سطوح MOPP برای ارتباط سریع تجهیزات حفاظتی فردی و سطوح حفاظتی مورد نیاز برای نیروهای در محل ایجاد شده‌اند تا در صورت عملیات CBRN یا شرایط حمله به آنها بپردازند.</w:t>
      </w:r>
    </w:p>
    <w:p>
      <w:pPr>
        <w:spacing w:after="28" w:line="216" w:lineRule="auto"/>
        <w:ind w:left="259"/>
        <w:jc w:val="left"/>
      </w:pPr>
      <w:r>
        <w:rPr>
          <w:rFonts w:ascii="Arial" w:hAnsi="Arial"/>
          <w:color w:val="525252"/>
          <w:sz w:val="13"/>
        </w:rPr>
        <w:t>MOPP levels are established to quickly communicate the required individual protective equipment and protection levels for in-place forces to take in the event of CBRN operations or attack conditions.</w:t>
      </w:r>
    </w:p>
    <w:p>
      <w:pPr>
        <w:spacing w:after="20" w:line="223" w:lineRule="auto"/>
        <w:jc w:val="right"/>
        <w:bidi/>
      </w:pPr>
      <w:r>
        <w:rPr>
          <w:rFonts w:ascii="Arial" w:hAnsi="Arial"/>
          <w:sz w:val="16"/>
        </w:rPr>
        <w:t>310.14  فرمانده نصب، سطح اولیه را بر اساس تحلیل شرایط MOPP تعیین می‌کند و سطوح را به‌عنوان اولویت‌های مأموریت و تغییرات اطلاعاتی تنظیم می‌کند. سطوح MOPP ⟦۰۱۵</w:t>
      </w:r>
    </w:p>
    <w:p>
      <w:pPr>
        <w:spacing w:after="28" w:line="216" w:lineRule="auto"/>
        <w:ind w:left="259"/>
        <w:jc w:val="left"/>
      </w:pPr>
      <w:r>
        <w:rPr>
          <w:rFonts w:ascii="Arial" w:hAnsi="Arial"/>
          <w:color w:val="525252"/>
          <w:sz w:val="13"/>
        </w:rPr>
        <w:t>The installation commander determines the initial level, based on MOPP condition analysis, and adjusts levels as mission priorities and intelligence changes.</w:t>
      </w:r>
    </w:p>
    <w:p>
      <w:pPr>
        <w:spacing w:after="20" w:line="223" w:lineRule="auto"/>
        <w:jc w:val="right"/>
        <w:bidi/>
      </w:pPr>
      <w:r>
        <w:rPr>
          <w:rFonts w:ascii="Arial" w:hAnsi="Arial"/>
          <w:sz w:val="16"/>
        </w:rPr>
        <w:t>310.15  سطوح MOPP</w:t>
      </w:r>
    </w:p>
    <w:p>
      <w:pPr>
        <w:spacing w:after="28" w:line="216" w:lineRule="auto"/>
        <w:ind w:left="259"/>
        <w:jc w:val="left"/>
      </w:pPr>
      <w:r>
        <w:rPr>
          <w:rFonts w:ascii="Arial" w:hAnsi="Arial"/>
          <w:color w:val="525252"/>
          <w:sz w:val="13"/>
        </w:rPr>
        <w:t>MOPP levels</w:t>
      </w:r>
    </w:p>
    <w:p>
      <w:r>
        <w:br w:type="page"/>
      </w:r>
    </w:p>
    <w:p>
      <w:pPr>
        <w:spacing w:after="60"/>
        <w:jc w:val="right"/>
        <w:bidi/>
      </w:pPr>
      <w:r>
        <w:rPr>
          <w:rFonts w:ascii="Arial" w:hAnsi="Arial"/>
          <w:b/>
          <w:color w:val="1F4D78"/>
          <w:sz w:val="19"/>
        </w:rPr>
        <w:t>هفتهٔ 311  |  صفحهٔ منبع: 327</w:t>
      </w:r>
    </w:p>
    <w:p>
      <w:pPr>
        <w:spacing w:after="20" w:line="223" w:lineRule="auto"/>
        <w:jc w:val="right"/>
        <w:bidi/>
      </w:pPr>
      <w:r>
        <w:rPr>
          <w:rFonts w:ascii="Arial" w:hAnsi="Arial"/>
          <w:sz w:val="16"/>
        </w:rPr>
        <w:t>311.01  همراه با شرایط هشدار ذکر شده در بند ۱۷.۶ استفاده می‌شود. برای افزایش یا کاهش سریع حفاظت در برابر تهدیدات.</w:t>
      </w:r>
    </w:p>
    <w:p>
      <w:pPr>
        <w:spacing w:after="28" w:line="216" w:lineRule="auto"/>
        <w:ind w:left="259"/>
        <w:jc w:val="left"/>
      </w:pPr>
      <w:r>
        <w:rPr>
          <w:rFonts w:ascii="Arial" w:hAnsi="Arial"/>
          <w:color w:val="525252"/>
          <w:sz w:val="13"/>
        </w:rPr>
        <w:t>are used in conjunction with alarm conditions listed in paragraph 17.6. to quickly increase or decrease protection against threats.</w:t>
      </w:r>
    </w:p>
    <w:p>
      <w:pPr>
        <w:spacing w:after="20" w:line="223" w:lineRule="auto"/>
        <w:jc w:val="right"/>
        <w:bidi/>
      </w:pPr>
      <w:r>
        <w:rPr>
          <w:rFonts w:ascii="Arial" w:hAnsi="Arial"/>
          <w:sz w:val="16"/>
        </w:rPr>
        <w:t>311.02  اسپلیت MOPP.</w:t>
      </w:r>
    </w:p>
    <w:p>
      <w:pPr>
        <w:spacing w:after="28" w:line="216" w:lineRule="auto"/>
        <w:ind w:left="259"/>
        <w:jc w:val="left"/>
      </w:pPr>
      <w:r>
        <w:rPr>
          <w:rFonts w:ascii="Arial" w:hAnsi="Arial"/>
          <w:color w:val="525252"/>
          <w:sz w:val="13"/>
        </w:rPr>
        <w:t>Split MOPP.</w:t>
      </w:r>
    </w:p>
    <w:p>
      <w:pPr>
        <w:spacing w:after="20" w:line="223" w:lineRule="auto"/>
        <w:jc w:val="right"/>
        <w:bidi/>
      </w:pPr>
      <w:r>
        <w:rPr>
          <w:rFonts w:ascii="Arial" w:hAnsi="Arial"/>
          <w:sz w:val="16"/>
        </w:rPr>
        <w:t>311.03  سپلیت MOPP تاکتیکی است که برای تقسیم یک محل نصب یا عملیات به دو یا چند منطقه CBRN استفاده می‌شود، به‌جای اینکه مجبور باشیم کل نصب را آلوده اعلام کنیم.</w:t>
      </w:r>
    </w:p>
    <w:p>
      <w:pPr>
        <w:spacing w:after="28" w:line="216" w:lineRule="auto"/>
        <w:ind w:left="259"/>
        <w:jc w:val="left"/>
      </w:pPr>
      <w:r>
        <w:rPr>
          <w:rFonts w:ascii="Arial" w:hAnsi="Arial"/>
          <w:color w:val="525252"/>
          <w:sz w:val="13"/>
        </w:rPr>
        <w:t>Split MOPP is a tactic used to divide an installation or operating location into two or more CBRN zones, rather than having to declare the entire installation contaminated.</w:t>
      </w:r>
    </w:p>
    <w:p>
      <w:pPr>
        <w:spacing w:after="20" w:line="223" w:lineRule="auto"/>
        <w:jc w:val="right"/>
        <w:bidi/>
      </w:pPr>
      <w:r>
        <w:rPr>
          <w:rFonts w:ascii="Arial" w:hAnsi="Arial"/>
          <w:sz w:val="16"/>
        </w:rPr>
        <w:t>311.04  اگر حرکت یا سفر بین مناطق ضروری باشد، از نقاط انتقال منطقه برای جلوگیری از آلودگی استفاده می‌شود و در عین حال امکان جابجایی افراد، تجهیزات و لوازم مورد نیاز در داخل و خارج از مناطق ایجاد شده وجود دارد.</w:t>
      </w:r>
    </w:p>
    <w:p>
      <w:pPr>
        <w:spacing w:after="28" w:line="216" w:lineRule="auto"/>
        <w:ind w:left="259"/>
        <w:jc w:val="left"/>
      </w:pPr>
      <w:r>
        <w:rPr>
          <w:rFonts w:ascii="Arial" w:hAnsi="Arial"/>
          <w:color w:val="525252"/>
          <w:sz w:val="13"/>
        </w:rPr>
        <w:t>If movement or travel between zones is necessary, zone transition points are used to contain contamination while allowing the movement of people, equipment, and needed supplies in and out of established zones.</w:t>
      </w:r>
    </w:p>
    <w:p>
      <w:pPr>
        <w:spacing w:before="60" w:after="28"/>
        <w:jc w:val="right"/>
        <w:bidi/>
      </w:pPr>
      <w:r>
        <w:rPr>
          <w:b/>
          <w:color w:val="1F4D78"/>
          <w:sz w:val="18"/>
        </w:rPr>
        <w:t>17.8. حفاظت فردی</w:t>
      </w:r>
    </w:p>
    <w:p>
      <w:pPr>
        <w:spacing w:after="20"/>
        <w:ind w:left="259"/>
        <w:jc w:val="left"/>
      </w:pPr>
      <w:r>
        <w:rPr>
          <w:color w:val="555555"/>
          <w:sz w:val="12"/>
        </w:rPr>
        <w:t>17.8. Individual Protection</w:t>
      </w:r>
    </w:p>
    <w:p>
      <w:pPr>
        <w:spacing w:after="20" w:line="223" w:lineRule="auto"/>
        <w:jc w:val="right"/>
        <w:bidi/>
      </w:pPr>
      <w:r>
        <w:rPr>
          <w:rFonts w:ascii="Arial" w:hAnsi="Arial"/>
          <w:sz w:val="16"/>
        </w:rPr>
        <w:t>311.06  حفاظت فردی شامل استفاده منفرد یا ترکیبی از تجهیزات حفاظتی فردی، واکسیناسیون و پیشگیری، پناهگاه‌های حفاظتی، تخلیه، جابجایی، کنترل قرار گرفتن در معرض، کنترل آلودگی، و سیستم‌های هشدار و اطلاع رسانی است.</w:t>
      </w:r>
    </w:p>
    <w:p>
      <w:pPr>
        <w:spacing w:after="28" w:line="216" w:lineRule="auto"/>
        <w:ind w:left="259"/>
        <w:jc w:val="left"/>
      </w:pPr>
      <w:r>
        <w:rPr>
          <w:rFonts w:ascii="Arial" w:hAnsi="Arial"/>
          <w:color w:val="525252"/>
          <w:sz w:val="13"/>
        </w:rPr>
        <w:t>Individual protection is comprised of singular use or a combination of individual protective equipment, vaccinations and prophylaxes, protective shelters, evacuation, relocation, exposure control, contamination control, and warning and notification systems.</w:t>
      </w:r>
    </w:p>
    <w:p>
      <w:pPr>
        <w:spacing w:after="20" w:line="223" w:lineRule="auto"/>
        <w:jc w:val="right"/>
        <w:bidi/>
      </w:pPr>
      <w:r>
        <w:rPr>
          <w:rFonts w:ascii="Arial" w:hAnsi="Arial"/>
          <w:sz w:val="16"/>
        </w:rPr>
        <w:t>311.07  اقدامات حفاظتی فردی در مراحلی معادل فوریت و ماهیت تهدید انجام می‌شود.</w:t>
      </w:r>
    </w:p>
    <w:p>
      <w:pPr>
        <w:spacing w:after="28" w:line="216" w:lineRule="auto"/>
        <w:ind w:left="259"/>
        <w:jc w:val="left"/>
      </w:pPr>
      <w:r>
        <w:rPr>
          <w:rFonts w:ascii="Arial" w:hAnsi="Arial"/>
          <w:color w:val="525252"/>
          <w:sz w:val="13"/>
        </w:rPr>
        <w:t>Individual protection measures are taken in stages equivalent to the urgency and nature of the threat.</w:t>
      </w:r>
    </w:p>
    <w:p>
      <w:pPr>
        <w:spacing w:after="20" w:line="223" w:lineRule="auto"/>
        <w:jc w:val="right"/>
        <w:bidi/>
      </w:pPr>
      <w:r>
        <w:rPr>
          <w:rFonts w:ascii="Arial" w:hAnsi="Arial"/>
          <w:sz w:val="16"/>
        </w:rPr>
        <w:t>311.08  دستورات و دستورات خاص تئاتر، وضعیت‌های حفاظتی مناسب فردی را هدایت می‌کند.</w:t>
      </w:r>
    </w:p>
    <w:p>
      <w:pPr>
        <w:spacing w:after="28" w:line="216" w:lineRule="auto"/>
        <w:ind w:left="259"/>
        <w:jc w:val="left"/>
      </w:pPr>
      <w:r>
        <w:rPr>
          <w:rFonts w:ascii="Arial" w:hAnsi="Arial"/>
          <w:color w:val="525252"/>
          <w:sz w:val="13"/>
        </w:rPr>
        <w:t>Command and theater-specific instructions will direct the proper individual protective postures.</w:t>
      </w:r>
    </w:p>
    <w:p>
      <w:pPr>
        <w:spacing w:after="20" w:line="223" w:lineRule="auto"/>
        <w:jc w:val="right"/>
        <w:bidi/>
      </w:pPr>
      <w:r>
        <w:rPr>
          <w:rFonts w:ascii="Arial" w:hAnsi="Arial"/>
          <w:sz w:val="16"/>
        </w:rPr>
        <w:t>311.09  گروه خدمه زمینی.</w:t>
      </w:r>
    </w:p>
    <w:p>
      <w:pPr>
        <w:spacing w:after="28" w:line="216" w:lineRule="auto"/>
        <w:ind w:left="259"/>
        <w:jc w:val="left"/>
      </w:pPr>
      <w:r>
        <w:rPr>
          <w:rFonts w:ascii="Arial" w:hAnsi="Arial"/>
          <w:color w:val="525252"/>
          <w:sz w:val="13"/>
        </w:rPr>
        <w:t>Ground Crew Ensemble.</w:t>
      </w:r>
    </w:p>
    <w:p>
      <w:pPr>
        <w:spacing w:after="20" w:line="223" w:lineRule="auto"/>
        <w:jc w:val="right"/>
        <w:bidi/>
      </w:pPr>
      <w:r>
        <w:rPr>
          <w:rFonts w:ascii="Arial" w:hAnsi="Arial"/>
          <w:sz w:val="16"/>
        </w:rPr>
        <w:t>311.10  صرف نظر از نوع عامل، غلظت یا روش حمله، بهترین تجهیزات حفاظتی فوری در برابر عوامل شیمیایی، مجموعه خدمه زمینی است، یک سیستم تمام بدن که از پوشنده در برابر عوامل شیمیایی-بیولوژیکی جنگ، سموم و ذرات رادیولوژیکی محافظت می‌کند.</w:t>
      </w:r>
    </w:p>
    <w:p>
      <w:pPr>
        <w:spacing w:after="28" w:line="216" w:lineRule="auto"/>
        <w:ind w:left="259"/>
        <w:jc w:val="left"/>
      </w:pPr>
      <w:r>
        <w:rPr>
          <w:rFonts w:ascii="Arial" w:hAnsi="Arial"/>
          <w:color w:val="525252"/>
          <w:sz w:val="13"/>
        </w:rPr>
        <w:t>Regardless of the type of agent, concentration, or method of attack, the best immediate protective equipment against chemical agents is the ground crew ensemble, a whole-body system which protects the wearer against chemical-biological warfare agents, toxins, and radiological particulates.</w:t>
      </w:r>
    </w:p>
    <w:p>
      <w:pPr>
        <w:spacing w:after="20" w:line="223" w:lineRule="auto"/>
        <w:jc w:val="right"/>
        <w:bidi/>
      </w:pPr>
      <w:r>
        <w:rPr>
          <w:rFonts w:ascii="Arial" w:hAnsi="Arial"/>
          <w:sz w:val="16"/>
        </w:rPr>
        <w:t>311.11  حفاظت فردی شامل یک ماسک محافظ با فیلترها، روپوش، دستکش‌های محافظ، و روکش کفش یا چکمه است.</w:t>
      </w:r>
    </w:p>
    <w:p>
      <w:pPr>
        <w:spacing w:after="28" w:line="216" w:lineRule="auto"/>
        <w:ind w:left="259"/>
        <w:jc w:val="left"/>
      </w:pPr>
      <w:r>
        <w:rPr>
          <w:rFonts w:ascii="Arial" w:hAnsi="Arial"/>
          <w:color w:val="525252"/>
          <w:sz w:val="13"/>
        </w:rPr>
        <w:t>Individual protection includes a protective mask with filters, overgarment, protective gloves, and footwear covers or overboots.</w:t>
      </w:r>
    </w:p>
    <w:p>
      <w:pPr>
        <w:spacing w:after="20" w:line="223" w:lineRule="auto"/>
        <w:jc w:val="right"/>
        <w:bidi/>
      </w:pPr>
      <w:r>
        <w:rPr>
          <w:rFonts w:ascii="Arial" w:hAnsi="Arial"/>
          <w:sz w:val="16"/>
        </w:rPr>
        <w:t>311.12  همچنین شامل کاغذ آشکارساز م۸ و م۹، لوسیون ضدعفونی کننده واکنشی پوست و کیت‌های ضد عفونی م۲۹۵ است.</w:t>
      </w:r>
    </w:p>
    <w:p>
      <w:pPr>
        <w:spacing w:after="28" w:line="216" w:lineRule="auto"/>
        <w:ind w:left="259"/>
        <w:jc w:val="left"/>
      </w:pPr>
      <w:r>
        <w:rPr>
          <w:rFonts w:ascii="Arial" w:hAnsi="Arial"/>
          <w:color w:val="525252"/>
          <w:sz w:val="13"/>
        </w:rPr>
        <w:t>It also includes M8 and M9 detector paper, reactive skin decontamination lotion, and M295 decontamination kits.</w:t>
      </w:r>
    </w:p>
    <w:p>
      <w:pPr>
        <w:spacing w:after="20" w:line="223" w:lineRule="auto"/>
        <w:jc w:val="right"/>
        <w:bidi/>
      </w:pPr>
      <w:r>
        <w:rPr>
          <w:rFonts w:ascii="Arial" w:hAnsi="Arial"/>
          <w:sz w:val="16"/>
        </w:rPr>
        <w:t>311.13  دانستن دنده خاص MOPP که باید در سطوح مختلف MOPP حمل و/یا پوشیده شود برای اطمینان از بهترین محافظت ممکن در همه شرایط ضروری است.</w:t>
      </w:r>
    </w:p>
    <w:p>
      <w:pPr>
        <w:spacing w:after="28" w:line="216" w:lineRule="auto"/>
        <w:ind w:left="259"/>
        <w:jc w:val="left"/>
      </w:pPr>
      <w:r>
        <w:rPr>
          <w:rFonts w:ascii="Arial" w:hAnsi="Arial"/>
          <w:color w:val="525252"/>
          <w:sz w:val="13"/>
        </w:rPr>
        <w:t>Knowing the specific MOPP gear that must be carried and/or worn during the various MOPP levels is essential to ensuring the best protection possible in all conditions.</w:t>
      </w:r>
    </w:p>
    <w:p>
      <w:pPr>
        <w:spacing w:after="20" w:line="223" w:lineRule="auto"/>
        <w:jc w:val="right"/>
        <w:bidi/>
      </w:pPr>
      <w:r>
        <w:rPr>
          <w:rFonts w:ascii="Arial" w:hAnsi="Arial"/>
          <w:sz w:val="16"/>
        </w:rPr>
        <w:t>311.14  همانطور که توسط مدیریت اضطراری DAF، جدول ۱۷.۱ نشان داده شده است. برای نشان دادن وضعیت‌های محافظ فردی مناسب برای سطوح MOPP ارائه شده است.</w:t>
      </w:r>
    </w:p>
    <w:p>
      <w:pPr>
        <w:spacing w:after="28" w:line="216" w:lineRule="auto"/>
        <w:ind w:left="259"/>
        <w:jc w:val="left"/>
      </w:pPr>
      <w:r>
        <w:rPr>
          <w:rFonts w:ascii="Arial" w:hAnsi="Arial"/>
          <w:color w:val="525252"/>
          <w:sz w:val="13"/>
        </w:rPr>
        <w:t>As depicted by DAF Emergency Management, Table 17.1. is provided to show appropriate individual protective postures for MOPP levels.</w:t>
      </w:r>
    </w:p>
    <w:p>
      <w:r>
        <w:br w:type="page"/>
      </w:r>
    </w:p>
    <w:p>
      <w:pPr>
        <w:spacing w:after="60"/>
        <w:jc w:val="right"/>
        <w:bidi/>
      </w:pPr>
      <w:r>
        <w:rPr>
          <w:rFonts w:ascii="Arial" w:hAnsi="Arial"/>
          <w:b/>
          <w:color w:val="1F4D78"/>
          <w:sz w:val="19"/>
        </w:rPr>
        <w:t>هفتهٔ 312  |  صفحهٔ منبع: 328</w:t>
      </w:r>
    </w:p>
    <w:p>
      <w:pPr>
        <w:spacing w:after="20" w:line="223" w:lineRule="auto"/>
        <w:jc w:val="right"/>
        <w:bidi/>
      </w:pPr>
      <w:r>
        <w:rPr>
          <w:rFonts w:ascii="Arial" w:hAnsi="Arial"/>
          <w:sz w:val="16"/>
        </w:rPr>
        <w:t>312.01  MOPP لول رادی: پوشیدن فیلد گار: فیلد گار (طبق دستورالعمل) وورگارمنت فوتوار ماسک/هود هاندوار MOPP لول زرو حمل: پوشاک روپوش: فیلد گار فوتوار ماسک/هود هاندوار MOPP لول ون وارفوت: لباس دستی MOPP سطح دو حمل: ماسک/کلاه پوشیدن: دنده صحرایی پوشاک روپوش کفش MOPP سطح سه حمل: لباس دستی پوشیدن: ماسک کفش روپوش دنده صحرایی ماسک کفش روپوش پوشاک/هود MOPP سطح چهار حمل: غیر مجاز پوشیدن: روپوش لباس پوشیدنی پوشاک دستی/پوشاک</w:t>
      </w:r>
    </w:p>
    <w:p>
      <w:pPr>
        <w:spacing w:after="28" w:line="216" w:lineRule="auto"/>
        <w:ind w:left="259"/>
        <w:jc w:val="left"/>
      </w:pPr>
      <w:r>
        <w:rPr>
          <w:rFonts w:ascii="Arial" w:hAnsi="Arial"/>
          <w:color w:val="525252"/>
          <w:sz w:val="13"/>
        </w:rPr>
        <w:t>MOPP Level Ready Carry: Field Gear Wear: Field Gear (as directed) Overgarment Footwear Mask/Hood Handwear MOPP Level Zero Carry: Overgarment Wear: Field Gear Footwear Mask/Hood Handwear MOPP Level One Carry: Footwear Wear: Field Gear Mask/Hood Overgarment Handwear MOPP Level Two Carry: Mask/Hood Wear: Field Gear Handwear Overgarment Footwear MOPP Level Three Carry: Handwear Wear: Field Gear Overgarment Footwear Mask/Hood MOPP Level Four Carry: N/A Wear: Field Gear Overgarment Footwear Mask/Hood Handwear</w:t>
      </w:r>
    </w:p>
    <w:p>
      <w:pPr>
        <w:spacing w:before="60" w:after="28"/>
        <w:jc w:val="right"/>
        <w:bidi/>
      </w:pPr>
      <w:r>
        <w:rPr>
          <w:b/>
          <w:color w:val="1F4D78"/>
          <w:sz w:val="18"/>
        </w:rPr>
        <w:t>جدول 17.1. سطوح MOPP و حفاظت فردی</w:t>
      </w:r>
    </w:p>
    <w:p>
      <w:pPr>
        <w:spacing w:after="20"/>
        <w:ind w:left="259"/>
        <w:jc w:val="left"/>
      </w:pPr>
      <w:r>
        <w:rPr>
          <w:color w:val="555555"/>
          <w:sz w:val="12"/>
        </w:rPr>
        <w:t>Table 17.1. MOPP Levels and Individual Protection</w:t>
      </w:r>
    </w:p>
    <w:p>
      <w:pPr>
        <w:spacing w:before="60" w:after="28"/>
        <w:jc w:val="right"/>
        <w:bidi/>
      </w:pPr>
      <w:r>
        <w:rPr>
          <w:b/>
          <w:color w:val="1F4D78"/>
          <w:sz w:val="18"/>
        </w:rPr>
        <w:t>17.9. پناهگاه پرسنل</w:t>
      </w:r>
    </w:p>
    <w:p>
      <w:pPr>
        <w:spacing w:after="20"/>
        <w:ind w:left="259"/>
        <w:jc w:val="left"/>
      </w:pPr>
      <w:r>
        <w:rPr>
          <w:color w:val="555555"/>
          <w:sz w:val="12"/>
        </w:rPr>
        <w:t>17.9. Personnel Sheltering</w:t>
      </w:r>
    </w:p>
    <w:p>
      <w:pPr>
        <w:spacing w:after="20" w:line="223" w:lineRule="auto"/>
        <w:jc w:val="right"/>
        <w:bidi/>
      </w:pPr>
      <w:r>
        <w:rPr>
          <w:rFonts w:ascii="Arial" w:hAnsi="Arial"/>
          <w:sz w:val="16"/>
        </w:rPr>
        <w:t>312.04  همه تاسیسات برای اجرای برنامه‌ریزی پناهگاه مبتنی بر تهدید مورد نیاز هستند.</w:t>
      </w:r>
    </w:p>
    <w:p>
      <w:pPr>
        <w:spacing w:after="28" w:line="216" w:lineRule="auto"/>
        <w:ind w:left="259"/>
        <w:jc w:val="left"/>
      </w:pPr>
      <w:r>
        <w:rPr>
          <w:rFonts w:ascii="Arial" w:hAnsi="Arial"/>
          <w:color w:val="525252"/>
          <w:sz w:val="13"/>
        </w:rPr>
        <w:t>All installations are required to conduct threat-based shelter planning.</w:t>
      </w:r>
    </w:p>
    <w:p>
      <w:pPr>
        <w:spacing w:after="20" w:line="223" w:lineRule="auto"/>
        <w:jc w:val="right"/>
        <w:bidi/>
      </w:pPr>
      <w:r>
        <w:rPr>
          <w:rFonts w:ascii="Arial" w:hAnsi="Arial"/>
          <w:sz w:val="16"/>
        </w:rPr>
        <w:t>312.05  فرمانده نصب مسئول ایجاد یک طرح مدیریت پناهگاه است و باید مسئولیت آماده‌سازی و بهره‌برداری از هر پناهگاه را در هنگام حمله یا حادثه تعیین کند.</w:t>
      </w:r>
    </w:p>
    <w:p>
      <w:pPr>
        <w:spacing w:after="28" w:line="216" w:lineRule="auto"/>
        <w:ind w:left="259"/>
        <w:jc w:val="left"/>
      </w:pPr>
      <w:r>
        <w:rPr>
          <w:rFonts w:ascii="Arial" w:hAnsi="Arial"/>
          <w:color w:val="525252"/>
          <w:sz w:val="13"/>
        </w:rPr>
        <w:t>The installation commander is responsible for establishing a shelter management plan and should designate responsibility for preparing and operating each shelter during an attack or incident.</w:t>
      </w:r>
    </w:p>
    <w:p>
      <w:pPr>
        <w:spacing w:after="20" w:line="223" w:lineRule="auto"/>
        <w:jc w:val="right"/>
        <w:bidi/>
      </w:pPr>
      <w:r>
        <w:rPr>
          <w:rFonts w:ascii="Arial" w:hAnsi="Arial"/>
          <w:sz w:val="16"/>
        </w:rPr>
        <w:t>312.06  پناهگاه‌ها سازه هایی هستند که از پرسنل در برابر اثرات CBRN یا انتشار مواد خطرناک در مدت زمان طولانی محافظت می‌کنند.</w:t>
      </w:r>
    </w:p>
    <w:p>
      <w:pPr>
        <w:spacing w:after="28" w:line="216" w:lineRule="auto"/>
        <w:ind w:left="259"/>
        <w:jc w:val="left"/>
      </w:pPr>
      <w:r>
        <w:rPr>
          <w:rFonts w:ascii="Arial" w:hAnsi="Arial"/>
          <w:color w:val="525252"/>
          <w:sz w:val="13"/>
        </w:rPr>
        <w:t>Shelters are structures that protect personnel from the effects of CBRN or hazardous material release over extended periods.</w:t>
      </w:r>
    </w:p>
    <w:p>
      <w:pPr>
        <w:spacing w:after="20" w:line="223" w:lineRule="auto"/>
        <w:jc w:val="right"/>
        <w:bidi/>
      </w:pPr>
      <w:r>
        <w:rPr>
          <w:rFonts w:ascii="Arial" w:hAnsi="Arial"/>
          <w:sz w:val="16"/>
        </w:rPr>
        <w:t>312.07  انتخاب سرپناه بر اساس قابلیت‌های ساختاری و مسکن پرسنل درباره انواع بلایای احتمالی است.</w:t>
      </w:r>
    </w:p>
    <w:p>
      <w:pPr>
        <w:spacing w:after="28" w:line="216" w:lineRule="auto"/>
        <w:ind w:left="259"/>
        <w:jc w:val="left"/>
      </w:pPr>
      <w:r>
        <w:rPr>
          <w:rFonts w:ascii="Arial" w:hAnsi="Arial"/>
          <w:color w:val="525252"/>
          <w:sz w:val="13"/>
        </w:rPr>
        <w:t>Shelter selection is based on structural and personnel housing capabilities in relation to potential types of disasters.</w:t>
      </w:r>
    </w:p>
    <w:p>
      <w:pPr>
        <w:spacing w:after="20" w:line="223" w:lineRule="auto"/>
        <w:jc w:val="right"/>
        <w:bidi/>
      </w:pPr>
      <w:r>
        <w:rPr>
          <w:rFonts w:ascii="Arial" w:hAnsi="Arial"/>
          <w:sz w:val="16"/>
        </w:rPr>
        <w:t>312.08  در صورتی که نوع یا میزان خطر ناشناخته باشد یا تخلیه در آن زمان خطرناک باشد، ممکن است به پرسنل ملزم شود که در محل پناه بگیرند.</w:t>
      </w:r>
    </w:p>
    <w:p>
      <w:pPr>
        <w:spacing w:after="28" w:line="216" w:lineRule="auto"/>
        <w:ind w:left="259"/>
        <w:jc w:val="left"/>
      </w:pPr>
      <w:r>
        <w:rPr>
          <w:rFonts w:ascii="Arial" w:hAnsi="Arial"/>
          <w:color w:val="525252"/>
          <w:sz w:val="13"/>
        </w:rPr>
        <w:t>Personnel may be required to shelter-in-place in the event the type or extent of the hazard is unknown or evacuation at the time would be dangerous.</w:t>
      </w:r>
    </w:p>
    <w:p>
      <w:pPr>
        <w:spacing w:after="20" w:line="223" w:lineRule="auto"/>
        <w:jc w:val="right"/>
        <w:bidi/>
      </w:pPr>
      <w:r>
        <w:rPr>
          <w:rFonts w:ascii="Arial" w:hAnsi="Arial"/>
          <w:sz w:val="16"/>
        </w:rPr>
        <w:t>312.09  برای اطمینان از آلوده نشدن داخل تاسیسات، سرنشینان تمام پنجره‌ها و درها را می‌بندند و سیستم‌های تهویه را در زمان حمله مشکوک خاموش می‌کنند.</w:t>
      </w:r>
    </w:p>
    <w:p>
      <w:pPr>
        <w:spacing w:after="28" w:line="216" w:lineRule="auto"/>
        <w:ind w:left="259"/>
        <w:jc w:val="left"/>
      </w:pPr>
      <w:r>
        <w:rPr>
          <w:rFonts w:ascii="Arial" w:hAnsi="Arial"/>
          <w:color w:val="525252"/>
          <w:sz w:val="13"/>
        </w:rPr>
        <w:t>To ensure the inside of facilities do not become contaminated, occupants will close all windows and doors, and turn off ventilation systems at the time of the suspected attack.</w:t>
      </w:r>
    </w:p>
    <w:p>
      <w:pPr>
        <w:spacing w:after="20" w:line="223" w:lineRule="auto"/>
        <w:jc w:val="right"/>
        <w:bidi/>
      </w:pPr>
      <w:r>
        <w:rPr>
          <w:rFonts w:ascii="Arial" w:hAnsi="Arial"/>
          <w:sz w:val="16"/>
        </w:rPr>
        <w:t>312.10  برای اطلاعات مربوط به پناهگاه و مدیریت پناهگاه به AFMAN ۱۰-۲۵۰۲، استانداردها و رویه‌های سیستم مدیریت حوادث نیروی هوایی (AFIMS) مراجعه کنید.</w:t>
      </w:r>
    </w:p>
    <w:p>
      <w:pPr>
        <w:spacing w:after="28" w:line="216" w:lineRule="auto"/>
        <w:ind w:left="259"/>
        <w:jc w:val="left"/>
      </w:pPr>
      <w:r>
        <w:rPr>
          <w:rFonts w:ascii="Arial" w:hAnsi="Arial"/>
          <w:color w:val="525252"/>
          <w:sz w:val="13"/>
        </w:rPr>
        <w:t>Refer to AFMAN 10- 2502, Air Force Incident Management System (AFIMS) Standards and Procedures, for shelter- in-place and shelter management information.</w:t>
      </w:r>
    </w:p>
    <w:p>
      <w:pPr>
        <w:spacing w:after="20" w:line="223" w:lineRule="auto"/>
        <w:jc w:val="right"/>
        <w:bidi/>
      </w:pPr>
      <w:r>
        <w:rPr>
          <w:rFonts w:ascii="Arial" w:hAnsi="Arial"/>
          <w:sz w:val="16"/>
        </w:rPr>
        <w:t>312.11  برای اطلاعات بیشتر در مورد پناهگاه و حفاظت جمعی در زمان جنگ به DAFI ۱۰-۲۵۰۳ مراجعه کنید.</w:t>
      </w:r>
    </w:p>
    <w:p>
      <w:pPr>
        <w:spacing w:after="28" w:line="216" w:lineRule="auto"/>
        <w:ind w:left="259"/>
        <w:jc w:val="left"/>
      </w:pPr>
      <w:r>
        <w:rPr>
          <w:rFonts w:ascii="Arial" w:hAnsi="Arial"/>
          <w:color w:val="525252"/>
          <w:sz w:val="13"/>
        </w:rPr>
        <w:t>Refer to DAFI 10-2503 for additional information on wartime sheltering and collective protection.</w:t>
      </w:r>
    </w:p>
    <w:p>
      <w:pPr>
        <w:spacing w:after="20" w:line="223" w:lineRule="auto"/>
        <w:jc w:val="right"/>
        <w:bidi/>
      </w:pPr>
      <w:r>
        <w:rPr>
          <w:rFonts w:ascii="Arial" w:hAnsi="Arial"/>
          <w:sz w:val="16"/>
        </w:rPr>
        <w:t>312.12  سیستم‌های حفاظت جمعی (COLPRO).</w:t>
      </w:r>
    </w:p>
    <w:p>
      <w:pPr>
        <w:spacing w:after="28" w:line="216" w:lineRule="auto"/>
        <w:ind w:left="259"/>
        <w:jc w:val="left"/>
      </w:pPr>
      <w:r>
        <w:rPr>
          <w:rFonts w:ascii="Arial" w:hAnsi="Arial"/>
          <w:color w:val="525252"/>
          <w:sz w:val="13"/>
        </w:rPr>
        <w:t>Collective Protection Systems (COLPRO).</w:t>
      </w:r>
    </w:p>
    <w:p>
      <w:pPr>
        <w:spacing w:after="20" w:line="223" w:lineRule="auto"/>
        <w:jc w:val="right"/>
        <w:bidi/>
      </w:pPr>
      <w:r>
        <w:rPr>
          <w:rFonts w:ascii="Arial" w:hAnsi="Arial"/>
          <w:sz w:val="16"/>
        </w:rPr>
        <w:t>312.13  COLPRO می‌تواند یک مکان ثابت یا مکان اعزامی برای محافظت در برابر عوامل CBRN با استفاده از یک سیستم فشار بیش از حد برای نگه داشتن عوامل تهدید در خارج از تأسیسات خاص باشد، و در نهایت به سرنشینان اجازه می‌دهد بدون پوشیدن وسایل حفاظتی در داخل تأسیسات کار یا استراحت کنند.</w:t>
      </w:r>
    </w:p>
    <w:p>
      <w:pPr>
        <w:spacing w:after="28" w:line="216" w:lineRule="auto"/>
        <w:ind w:left="259"/>
        <w:jc w:val="left"/>
      </w:pPr>
      <w:r>
        <w:rPr>
          <w:rFonts w:ascii="Arial" w:hAnsi="Arial"/>
          <w:color w:val="525252"/>
          <w:sz w:val="13"/>
        </w:rPr>
        <w:t>COLPRO can be a fixed-site or expeditionary location to provide protection from CBRN agents by utilizing an overpressure system to keep threat agents outside of certain facilities, ultimately allowing the occupants to work or rest inside the facility without wearing protective gear.</w:t>
      </w:r>
    </w:p>
    <w:p>
      <w:pPr>
        <w:spacing w:after="20" w:line="223" w:lineRule="auto"/>
        <w:jc w:val="right"/>
        <w:bidi/>
      </w:pPr>
      <w:r>
        <w:rPr>
          <w:rFonts w:ascii="Arial" w:hAnsi="Arial"/>
          <w:sz w:val="16"/>
        </w:rPr>
        <w:t>312.14  بسیاری از این امکانات یکپارچه خواهند بود</w:t>
      </w:r>
    </w:p>
    <w:p>
      <w:pPr>
        <w:spacing w:after="28" w:line="216" w:lineRule="auto"/>
        <w:ind w:left="259"/>
        <w:jc w:val="left"/>
      </w:pPr>
      <w:r>
        <w:rPr>
          <w:rFonts w:ascii="Arial" w:hAnsi="Arial"/>
          <w:color w:val="525252"/>
          <w:sz w:val="13"/>
        </w:rPr>
        <w:t>Many of these facilities will have integrated</w:t>
      </w:r>
    </w:p>
    <w:p>
      <w:r>
        <w:br w:type="page"/>
      </w:r>
    </w:p>
    <w:p>
      <w:pPr>
        <w:spacing w:after="60"/>
        <w:jc w:val="right"/>
        <w:bidi/>
      </w:pPr>
      <w:r>
        <w:rPr>
          <w:rFonts w:ascii="Arial" w:hAnsi="Arial"/>
          <w:b/>
          <w:color w:val="1F4D78"/>
          <w:sz w:val="19"/>
        </w:rPr>
        <w:t>هفتهٔ 313  |  صفحهٔ منبع: 329</w:t>
      </w:r>
    </w:p>
    <w:p>
      <w:pPr>
        <w:spacing w:after="20" w:line="223" w:lineRule="auto"/>
        <w:jc w:val="right"/>
        <w:bidi/>
      </w:pPr>
      <w:r>
        <w:rPr>
          <w:rFonts w:ascii="Arial" w:hAnsi="Arial"/>
          <w:sz w:val="16"/>
        </w:rPr>
        <w:t>313.01  مناطق کنترل آلوده که در آن پرسنل آلوده می‌توانند پس از ضدعفونی کردن و بیرون آوردن لباس‌های بیرونی وارد مرکز شوند.</w:t>
      </w:r>
    </w:p>
    <w:p>
      <w:pPr>
        <w:spacing w:after="28" w:line="216" w:lineRule="auto"/>
        <w:ind w:left="259"/>
        <w:jc w:val="left"/>
      </w:pPr>
      <w:r>
        <w:rPr>
          <w:rFonts w:ascii="Arial" w:hAnsi="Arial"/>
          <w:color w:val="525252"/>
          <w:sz w:val="13"/>
        </w:rPr>
        <w:t>contaminated control areas where contaminated personnel are able to enter the facility once decontaminated and outer garments are removed.</w:t>
      </w:r>
    </w:p>
    <w:p>
      <w:pPr>
        <w:spacing w:before="60" w:after="28"/>
        <w:jc w:val="right"/>
        <w:bidi/>
      </w:pPr>
      <w:r>
        <w:rPr>
          <w:b/>
          <w:color w:val="1F4D78"/>
          <w:sz w:val="18"/>
        </w:rPr>
        <w:t>17.10. حفاظت از منابع حیاتی</w:t>
      </w:r>
    </w:p>
    <w:p>
      <w:pPr>
        <w:spacing w:after="20"/>
        <w:ind w:left="259"/>
        <w:jc w:val="left"/>
      </w:pPr>
      <w:r>
        <w:rPr>
          <w:color w:val="555555"/>
          <w:sz w:val="12"/>
        </w:rPr>
        <w:t>17.10. Critical Resource Protection</w:t>
      </w:r>
    </w:p>
    <w:p>
      <w:pPr>
        <w:spacing w:after="20" w:line="223" w:lineRule="auto"/>
        <w:jc w:val="right"/>
        <w:bidi/>
      </w:pPr>
      <w:r>
        <w:rPr>
          <w:rFonts w:ascii="Arial" w:hAnsi="Arial"/>
          <w:sz w:val="16"/>
        </w:rPr>
        <w:t>313.03  قبل از حمله CBRN، هر تاسیساتی باید تعیین کند که کدام تجهیزات و دارایی‌ها را می‌توان ذخیره، محافظت یا پوشانده تا در برابر آلودگی و آسیب محافظت شود.</w:t>
      </w:r>
    </w:p>
    <w:p>
      <w:pPr>
        <w:spacing w:after="28" w:line="216" w:lineRule="auto"/>
        <w:ind w:left="259"/>
        <w:jc w:val="left"/>
      </w:pPr>
      <w:r>
        <w:rPr>
          <w:rFonts w:ascii="Arial" w:hAnsi="Arial"/>
          <w:color w:val="525252"/>
          <w:sz w:val="13"/>
        </w:rPr>
        <w:t>Prior to a CBRN attack, every installation must determine which equipment and assets can be stored, protected, or covered to shield against contamination and damage.</w:t>
      </w:r>
    </w:p>
    <w:p>
      <w:pPr>
        <w:spacing w:after="20" w:line="223" w:lineRule="auto"/>
        <w:jc w:val="right"/>
        <w:bidi/>
      </w:pPr>
      <w:r>
        <w:rPr>
          <w:rFonts w:ascii="Arial" w:hAnsi="Arial"/>
          <w:sz w:val="16"/>
        </w:rPr>
        <w:t>313.04  حفاظت از این منابع حیاتی، نیاز به پاکسازی آنها را برای استفاده در مأموریت پس از حمله به حداقل رسانده یا به‌طور کامل حذف می‌کند.</w:t>
      </w:r>
    </w:p>
    <w:p>
      <w:pPr>
        <w:spacing w:after="28" w:line="216" w:lineRule="auto"/>
        <w:ind w:left="259"/>
        <w:jc w:val="left"/>
      </w:pPr>
      <w:r>
        <w:rPr>
          <w:rFonts w:ascii="Arial" w:hAnsi="Arial"/>
          <w:color w:val="525252"/>
          <w:sz w:val="13"/>
        </w:rPr>
        <w:t>Protecting these vital resources will minimize, or completely remove, the requirement to decontaminate them for mission use after an attack.</w:t>
      </w:r>
    </w:p>
    <w:p>
      <w:pPr>
        <w:spacing w:after="20" w:line="223" w:lineRule="auto"/>
        <w:jc w:val="right"/>
        <w:bidi/>
      </w:pPr>
      <w:r>
        <w:rPr>
          <w:rFonts w:ascii="Arial" w:hAnsi="Arial"/>
          <w:sz w:val="16"/>
        </w:rPr>
        <w:t>313.05  تا حد امکان، هواپیما، وسایل نقلیه پشتیبانی، تجهیزات زمینی هوافضا و مهمات باید به داخل یا پوشیده شوند.</w:t>
      </w:r>
    </w:p>
    <w:p>
      <w:pPr>
        <w:spacing w:after="28" w:line="216" w:lineRule="auto"/>
        <w:ind w:left="259"/>
        <w:jc w:val="left"/>
      </w:pPr>
      <w:r>
        <w:rPr>
          <w:rFonts w:ascii="Arial" w:hAnsi="Arial"/>
          <w:color w:val="525252"/>
          <w:sz w:val="13"/>
        </w:rPr>
        <w:t>To the maximum extent possible, aircraft, support vehicles, aerospace ground equipment, and munitions should be moved inside or covered.</w:t>
      </w:r>
    </w:p>
    <w:p>
      <w:pPr>
        <w:spacing w:after="20" w:line="223" w:lineRule="auto"/>
        <w:jc w:val="right"/>
        <w:bidi/>
      </w:pPr>
      <w:r>
        <w:rPr>
          <w:rFonts w:ascii="Arial" w:hAnsi="Arial"/>
          <w:sz w:val="16"/>
        </w:rPr>
        <w:t>313.06  لوازم فله باید در پناهگاه‌ها یا زیر پوشش بالای سر قرار داده شود.</w:t>
      </w:r>
    </w:p>
    <w:p>
      <w:pPr>
        <w:spacing w:after="28" w:line="216" w:lineRule="auto"/>
        <w:ind w:left="259"/>
        <w:jc w:val="left"/>
      </w:pPr>
      <w:r>
        <w:rPr>
          <w:rFonts w:ascii="Arial" w:hAnsi="Arial"/>
          <w:color w:val="525252"/>
          <w:sz w:val="13"/>
        </w:rPr>
        <w:t>Bulk supplies should be placed in shelters or under overhead cover.</w:t>
      </w:r>
    </w:p>
    <w:p>
      <w:pPr>
        <w:spacing w:after="20" w:line="223" w:lineRule="auto"/>
        <w:jc w:val="right"/>
        <w:bidi/>
      </w:pPr>
      <w:r>
        <w:rPr>
          <w:rFonts w:ascii="Arial" w:hAnsi="Arial"/>
          <w:sz w:val="16"/>
        </w:rPr>
        <w:t>313.07  اگر تجهیزات را نمی‌توان زیر پوشش بالای سر قرار داد، باید حداقل با یک لایه از مواد مانع پوشانده یا پیچیده شود تا از آلودگی جلوگیری شود.</w:t>
      </w:r>
    </w:p>
    <w:p>
      <w:pPr>
        <w:spacing w:after="28" w:line="216" w:lineRule="auto"/>
        <w:ind w:left="259"/>
        <w:jc w:val="left"/>
      </w:pPr>
      <w:r>
        <w:rPr>
          <w:rFonts w:ascii="Arial" w:hAnsi="Arial"/>
          <w:color w:val="525252"/>
          <w:sz w:val="13"/>
        </w:rPr>
        <w:t>If equipment cannot be placed under overhead cover, it must be covered or wrapped with at least one layer of barrier material to prevent contamination.</w:t>
      </w:r>
    </w:p>
    <w:p>
      <w:pPr>
        <w:spacing w:after="20" w:line="223" w:lineRule="auto"/>
        <w:jc w:val="right"/>
        <w:bidi/>
      </w:pPr>
      <w:r>
        <w:rPr>
          <w:rFonts w:ascii="Arial" w:hAnsi="Arial"/>
          <w:sz w:val="16"/>
        </w:rPr>
        <w:t>313.08  در صورت امکان، از دو لایه مواد مانع برای پوشش بالای وسایل نقلیه و تجهیزات استفاده کنید.</w:t>
      </w:r>
    </w:p>
    <w:p>
      <w:pPr>
        <w:spacing w:after="28" w:line="216" w:lineRule="auto"/>
        <w:ind w:left="259"/>
        <w:jc w:val="left"/>
      </w:pPr>
      <w:r>
        <w:rPr>
          <w:rFonts w:ascii="Arial" w:hAnsi="Arial"/>
          <w:color w:val="525252"/>
          <w:sz w:val="13"/>
        </w:rPr>
        <w:t>When possible, use two layers of barrier material to cover the tops of vehicles and equipment.</w:t>
      </w:r>
    </w:p>
    <w:p>
      <w:pPr>
        <w:spacing w:after="20" w:line="223" w:lineRule="auto"/>
        <w:jc w:val="right"/>
        <w:bidi/>
      </w:pPr>
      <w:r>
        <w:rPr>
          <w:rFonts w:ascii="Arial" w:hAnsi="Arial"/>
          <w:sz w:val="16"/>
        </w:rPr>
        <w:t>313.09  این کار برای اطمینان از حذف آلودگی، دور انداختن ایمن و در صورت لزوم جایگزین می‌شود.</w:t>
      </w:r>
    </w:p>
    <w:p>
      <w:pPr>
        <w:spacing w:after="28" w:line="216" w:lineRule="auto"/>
        <w:ind w:left="259"/>
        <w:jc w:val="left"/>
      </w:pPr>
      <w:r>
        <w:rPr>
          <w:rFonts w:ascii="Arial" w:hAnsi="Arial"/>
          <w:color w:val="525252"/>
          <w:sz w:val="13"/>
        </w:rPr>
        <w:t>This will serve to ensure contamination can be removed, safely discarded, and replaced, as necessary.</w:t>
      </w:r>
    </w:p>
    <w:p>
      <w:pPr>
        <w:spacing w:after="20" w:line="223" w:lineRule="auto"/>
        <w:jc w:val="right"/>
        <w:bidi/>
      </w:pPr>
      <w:r>
        <w:rPr>
          <w:rFonts w:ascii="Arial" w:hAnsi="Arial"/>
          <w:sz w:val="16"/>
        </w:rPr>
        <w:t>313.10  پرسنل باید آموزش ببینند و هنگام برداشتن موانع مراقب باشند تا از انتقال آلودگی جلوگیری شود.</w:t>
      </w:r>
    </w:p>
    <w:p>
      <w:pPr>
        <w:spacing w:after="28" w:line="216" w:lineRule="auto"/>
        <w:ind w:left="259"/>
        <w:jc w:val="left"/>
      </w:pPr>
      <w:r>
        <w:rPr>
          <w:rFonts w:ascii="Arial" w:hAnsi="Arial"/>
          <w:color w:val="525252"/>
          <w:sz w:val="13"/>
        </w:rPr>
        <w:t>Personnel should be trained and take care when removed barriers to prevent contamination transfer.</w:t>
      </w:r>
    </w:p>
    <w:p>
      <w:r>
        <w:br w:type="page"/>
      </w:r>
    </w:p>
    <w:p>
      <w:pPr>
        <w:spacing w:after="60"/>
        <w:jc w:val="right"/>
        <w:bidi/>
      </w:pPr>
      <w:r>
        <w:rPr>
          <w:rFonts w:ascii="Arial" w:hAnsi="Arial"/>
          <w:b/>
          <w:color w:val="1F4D78"/>
          <w:sz w:val="19"/>
        </w:rPr>
        <w:t>هفتهٔ 314  |  صفحهٔ منبع: 330</w:t>
      </w:r>
    </w:p>
    <w:p>
      <w:pPr>
        <w:spacing w:before="60" w:after="28"/>
        <w:jc w:val="right"/>
        <w:bidi/>
      </w:pPr>
      <w:r>
        <w:rPr>
          <w:b/>
          <w:color w:val="1F4D78"/>
          <w:sz w:val="18"/>
        </w:rPr>
        <w:t>بخش 17D - پاسخ به بحران و بازیابی</w:t>
      </w:r>
    </w:p>
    <w:p>
      <w:pPr>
        <w:spacing w:after="20"/>
        <w:ind w:left="259"/>
        <w:jc w:val="left"/>
      </w:pPr>
      <w:r>
        <w:rPr>
          <w:color w:val="555555"/>
          <w:sz w:val="12"/>
        </w:rPr>
        <w:t>Section 17D—Crisis Response and Recovery</w:t>
      </w:r>
    </w:p>
    <w:p>
      <w:pPr>
        <w:spacing w:before="60" w:after="28"/>
        <w:jc w:val="right"/>
        <w:bidi/>
      </w:pPr>
      <w:r>
        <w:rPr>
          <w:b/>
          <w:color w:val="1F4D78"/>
          <w:sz w:val="18"/>
        </w:rPr>
        <w:t>17.11. اقدامات واکنش به بحران</w:t>
      </w:r>
    </w:p>
    <w:p>
      <w:pPr>
        <w:spacing w:after="20"/>
        <w:ind w:left="259"/>
        <w:jc w:val="left"/>
      </w:pPr>
      <w:r>
        <w:rPr>
          <w:color w:val="555555"/>
          <w:sz w:val="12"/>
        </w:rPr>
        <w:t>17.11. Crisis Response Actions</w:t>
      </w:r>
    </w:p>
    <w:p>
      <w:pPr>
        <w:spacing w:after="20" w:line="223" w:lineRule="auto"/>
        <w:jc w:val="right"/>
        <w:bidi/>
      </w:pPr>
      <w:r>
        <w:rPr>
          <w:rFonts w:ascii="Arial" w:hAnsi="Arial"/>
          <w:sz w:val="16"/>
        </w:rPr>
        <w:t>314.03  اقدامات پاسخ به بحران در طول و پس از حمله CBRN، نه تنها برای اطمینان از ادامه مأموریت DAF، بلکه مهم‌تر از آن، برای بقا حیاتی هستند.</w:t>
      </w:r>
    </w:p>
    <w:p>
      <w:pPr>
        <w:spacing w:after="28" w:line="216" w:lineRule="auto"/>
        <w:ind w:left="259"/>
        <w:jc w:val="left"/>
      </w:pPr>
      <w:r>
        <w:rPr>
          <w:rFonts w:ascii="Arial" w:hAnsi="Arial"/>
          <w:color w:val="525252"/>
          <w:sz w:val="13"/>
        </w:rPr>
        <w:t>Crisis response actions during and after a CBRN attack are critical, not only to ensure the DAF mission is continued, but more importantly, for survival.</w:t>
      </w:r>
    </w:p>
    <w:p>
      <w:pPr>
        <w:spacing w:after="20" w:line="223" w:lineRule="auto"/>
        <w:jc w:val="right"/>
        <w:bidi/>
      </w:pPr>
      <w:r>
        <w:rPr>
          <w:rFonts w:ascii="Arial" w:hAnsi="Arial"/>
          <w:sz w:val="16"/>
        </w:rPr>
        <w:t>314.04  در مناطق تهدید، اجتناب از آلودگی کلیدی برای جلوگیری از آلوده شدن دارایی‌ها و پرسنل است.</w:t>
      </w:r>
    </w:p>
    <w:p>
      <w:pPr>
        <w:spacing w:after="28" w:line="216" w:lineRule="auto"/>
        <w:ind w:left="259"/>
        <w:jc w:val="left"/>
      </w:pPr>
      <w:r>
        <w:rPr>
          <w:rFonts w:ascii="Arial" w:hAnsi="Arial"/>
          <w:color w:val="525252"/>
          <w:sz w:val="13"/>
        </w:rPr>
        <w:t>In threat areas, contamination avoidance is the key to keeping assets and personnel from becoming contaminated.</w:t>
      </w:r>
    </w:p>
    <w:p>
      <w:pPr>
        <w:spacing w:after="20" w:line="223" w:lineRule="auto"/>
        <w:jc w:val="right"/>
        <w:bidi/>
      </w:pPr>
      <w:r>
        <w:rPr>
          <w:rFonts w:ascii="Arial" w:hAnsi="Arial"/>
          <w:sz w:val="16"/>
        </w:rPr>
        <w:t>314.05  در طول حملات، تمرکز اولیه جمعیت پایه باید به سمت بقای نیرو باشد تا اطمینان حاصل شود که سیگنال‌های هشدار حمله و سطوح MOPP به سرعت منتشر می‌شوند.</w:t>
      </w:r>
    </w:p>
    <w:p>
      <w:pPr>
        <w:spacing w:after="28" w:line="216" w:lineRule="auto"/>
        <w:ind w:left="259"/>
        <w:jc w:val="left"/>
      </w:pPr>
      <w:r>
        <w:rPr>
          <w:rFonts w:ascii="Arial" w:hAnsi="Arial"/>
          <w:color w:val="525252"/>
          <w:sz w:val="13"/>
        </w:rPr>
        <w:t>During attacks, the primary focus of the base populace should be directed toward force survivability to ensure attack warning signals and MOPP levels are rapidly disseminated.</w:t>
      </w:r>
    </w:p>
    <w:p>
      <w:pPr>
        <w:spacing w:after="20" w:line="223" w:lineRule="auto"/>
        <w:jc w:val="right"/>
        <w:bidi/>
      </w:pPr>
      <w:r>
        <w:rPr>
          <w:rFonts w:ascii="Arial" w:hAnsi="Arial"/>
          <w:sz w:val="16"/>
        </w:rPr>
        <w:t>314.06  به‌طور معمول، پست فرماندهی سیگنال‌های هشدار حمله، سیگنال‌های هشدار و سطوح MOPP را به توصیه مرکز کنترل CBRN در EOC منتشر می‌کند.</w:t>
      </w:r>
    </w:p>
    <w:p>
      <w:pPr>
        <w:spacing w:after="28" w:line="216" w:lineRule="auto"/>
        <w:ind w:left="259"/>
        <w:jc w:val="left"/>
      </w:pPr>
      <w:r>
        <w:rPr>
          <w:rFonts w:ascii="Arial" w:hAnsi="Arial"/>
          <w:color w:val="525252"/>
          <w:sz w:val="13"/>
        </w:rPr>
        <w:t>Typically, the command post will disseminate attack warning signals, alarm signals, and MOPP levels at the recommendation of the CBRN Control Center within the EOC.</w:t>
      </w:r>
    </w:p>
    <w:p>
      <w:pPr>
        <w:spacing w:after="20" w:line="223" w:lineRule="auto"/>
        <w:jc w:val="right"/>
        <w:bidi/>
      </w:pPr>
      <w:r>
        <w:rPr>
          <w:rFonts w:ascii="Arial" w:hAnsi="Arial"/>
          <w:sz w:val="16"/>
        </w:rPr>
        <w:t>314.07  منابع وزارت دفاع، از جمله منابع مرتبط با تاسیسات نظامی واقع در نزدیکترین محل حادثه یا حادثه، به رویداد پاسخ خواهند داد، مگر اینکه توسط ستاد بالاتر دستور دیگری داده شود.</w:t>
      </w:r>
    </w:p>
    <w:p>
      <w:pPr>
        <w:spacing w:after="28" w:line="216" w:lineRule="auto"/>
        <w:ind w:left="259"/>
        <w:jc w:val="left"/>
      </w:pPr>
      <w:r>
        <w:rPr>
          <w:rFonts w:ascii="Arial" w:hAnsi="Arial"/>
          <w:color w:val="525252"/>
          <w:sz w:val="13"/>
        </w:rPr>
        <w:t>Department of Defense resources, including those associated with military installations located nearest the scene of an accident or incident, will respond to the event unless otherwise directed by higher headquarters.</w:t>
      </w:r>
    </w:p>
    <w:p>
      <w:pPr>
        <w:spacing w:after="20" w:line="223" w:lineRule="auto"/>
        <w:jc w:val="right"/>
        <w:bidi/>
      </w:pPr>
      <w:r>
        <w:rPr>
          <w:rFonts w:ascii="Arial" w:hAnsi="Arial"/>
          <w:sz w:val="16"/>
        </w:rPr>
        <w:t>314.08  هنگام مشاهده یک حادثه، پرسنل باید به سایرین در منطقه نزدیک هشدار داده و حادثه را به نیروهای امنیتی، آتش نشانی و خدمات اضطراری یا فرماندهی و کنترل نصب گزارش دهند.</w:t>
      </w:r>
    </w:p>
    <w:p>
      <w:pPr>
        <w:spacing w:after="28" w:line="216" w:lineRule="auto"/>
        <w:ind w:left="259"/>
        <w:jc w:val="left"/>
      </w:pPr>
      <w:r>
        <w:rPr>
          <w:rFonts w:ascii="Arial" w:hAnsi="Arial"/>
          <w:color w:val="525252"/>
          <w:sz w:val="13"/>
        </w:rPr>
        <w:t>Upon witnessing an incident, personnel should alert others in the immediate area and report the incident to security forces, fire and emergency services, or installation command and control.</w:t>
      </w:r>
    </w:p>
    <w:p>
      <w:pPr>
        <w:spacing w:after="20" w:line="223" w:lineRule="auto"/>
        <w:jc w:val="right"/>
        <w:bidi/>
      </w:pPr>
      <w:r>
        <w:rPr>
          <w:rFonts w:ascii="Arial" w:hAnsi="Arial"/>
          <w:sz w:val="16"/>
        </w:rPr>
        <w:t>314.09  پس از گزارش‌دهی، پرسنل باید در سربالایی و مخالف باد بمانند. از استنشاق دود، دود یا بخارات خودداری کنید. تلاش برای نجات و مراقبت از مجروحان؛ از دست زدن به مواد یا اجزای دخیل در حادثه/حادثه خودداری کنید. اگر امداد و نجات یا مهار غیرعملی است یا طبق دستور، منطقه را تخلیه کنید.</w:t>
      </w:r>
    </w:p>
    <w:p>
      <w:pPr>
        <w:spacing w:after="28" w:line="216" w:lineRule="auto"/>
        <w:ind w:left="259"/>
        <w:jc w:val="left"/>
      </w:pPr>
      <w:r>
        <w:rPr>
          <w:rFonts w:ascii="Arial" w:hAnsi="Arial"/>
          <w:color w:val="525252"/>
          <w:sz w:val="13"/>
        </w:rPr>
        <w:t>After reporting, personnel should stay uphill and upwind; avoid inhaling fumes, smoke, or vapors; attempt to rescue and care for casualties; avoid handling any material or component involved in the accident/incident; evacuate the area if rescue or containment is impractical, or as directed.</w:t>
      </w:r>
    </w:p>
    <w:p>
      <w:pPr>
        <w:spacing w:after="20" w:line="223" w:lineRule="auto"/>
        <w:jc w:val="right"/>
        <w:bidi/>
      </w:pPr>
      <w:r>
        <w:rPr>
          <w:rFonts w:ascii="Arial" w:hAnsi="Arial"/>
          <w:sz w:val="16"/>
        </w:rPr>
        <w:t>314.10  توجه: هر موقعیتی متفاوت است و باید با استفاده از رویه‌های تعیین شده همراه با قضاوت خوب مدیریت شود.</w:t>
      </w:r>
    </w:p>
    <w:p>
      <w:pPr>
        <w:spacing w:after="28" w:line="216" w:lineRule="auto"/>
        <w:ind w:left="259"/>
        <w:jc w:val="left"/>
      </w:pPr>
      <w:r>
        <w:rPr>
          <w:rFonts w:ascii="Arial" w:hAnsi="Arial"/>
          <w:color w:val="525252"/>
          <w:sz w:val="13"/>
        </w:rPr>
        <w:t>Note: Every situation is different and should be handled using established procedures coupled with good judgment.</w:t>
      </w:r>
    </w:p>
    <w:p>
      <w:pPr>
        <w:spacing w:after="20" w:line="223" w:lineRule="auto"/>
        <w:jc w:val="right"/>
        <w:bidi/>
      </w:pPr>
      <w:r>
        <w:rPr>
          <w:rFonts w:ascii="Arial" w:hAnsi="Arial"/>
          <w:sz w:val="16"/>
        </w:rPr>
        <w:t>314.11  پرسنل DAF که یک حمله در حال انجام را تشخیص می‌دهند باید بدون توجه به اینکه اطلاع رسانی انبوه منتشر شده است یا خیر، فورا اقدام کنند.</w:t>
      </w:r>
    </w:p>
    <w:p>
      <w:pPr>
        <w:spacing w:after="28" w:line="216" w:lineRule="auto"/>
        <w:ind w:left="259"/>
        <w:jc w:val="left"/>
      </w:pPr>
      <w:r>
        <w:rPr>
          <w:rFonts w:ascii="Arial" w:hAnsi="Arial"/>
          <w:color w:val="525252"/>
          <w:sz w:val="13"/>
        </w:rPr>
        <w:t>DAF personnel who recognize an attack in progress should take immediate action regardless of whether or not mass notification has been disseminated.</w:t>
      </w:r>
    </w:p>
    <w:p>
      <w:pPr>
        <w:spacing w:after="20" w:line="223" w:lineRule="auto"/>
        <w:jc w:val="right"/>
        <w:bidi/>
      </w:pPr>
      <w:r>
        <w:rPr>
          <w:rFonts w:ascii="Arial" w:hAnsi="Arial"/>
          <w:sz w:val="16"/>
        </w:rPr>
        <w:t>314.12  وقتی زنگ هشدار قرمز اعلام شد، یا حمله بدون اطلاع رسانی شروع شد، به زمین بیندازید، ماسک محافظ بزنید (اگر پیش‌تر نپوشیده‌اید)، تا نزدیک‌ترین محافظ موجود بخزید، تجهیزات محافظ فردی باقی‌مانده را بپوشید، و فورا هر عضوی را در منطقه خود بررسی کنید تا مطمئن شوید که آنها محافظت شده‌اند و تجهیزات مناسب را بر تن کرده‌اند.</w:t>
      </w:r>
    </w:p>
    <w:p>
      <w:pPr>
        <w:spacing w:after="28" w:line="216" w:lineRule="auto"/>
        <w:ind w:left="259"/>
        <w:jc w:val="left"/>
      </w:pPr>
      <w:r>
        <w:rPr>
          <w:rFonts w:ascii="Arial" w:hAnsi="Arial"/>
          <w:color w:val="525252"/>
          <w:sz w:val="13"/>
        </w:rPr>
        <w:t>When alarm red is declared, or attack begins without notification, drop to the ground, don protective mask (if not donned already), crawl to closest available protection, don remaining individual protective equipment, and immediately check every member in your immediate area to make sure they are protected and have donned the proper equipment.</w:t>
      </w:r>
    </w:p>
    <w:p>
      <w:pPr>
        <w:spacing w:after="20" w:line="223" w:lineRule="auto"/>
        <w:jc w:val="right"/>
        <w:bidi/>
      </w:pPr>
      <w:r>
        <w:rPr>
          <w:rFonts w:ascii="Arial" w:hAnsi="Arial"/>
          <w:sz w:val="16"/>
        </w:rPr>
        <w:t>314.13  به مجروحان کمک کنید و با احتیاط خودکمک و مراقبت از دوستان را ارائه دهید تا از صدمات بیشتر جلوگیری کنید، به‌ویژه در هنگام زیر آتش.</w:t>
      </w:r>
    </w:p>
    <w:p>
      <w:pPr>
        <w:spacing w:after="28" w:line="216" w:lineRule="auto"/>
        <w:ind w:left="259"/>
        <w:jc w:val="left"/>
      </w:pPr>
      <w:r>
        <w:rPr>
          <w:rFonts w:ascii="Arial" w:hAnsi="Arial"/>
          <w:color w:val="525252"/>
          <w:sz w:val="13"/>
        </w:rPr>
        <w:t>Assist injured and provide self-aid and buddy care with caution to prevent further injuries, particularly when under fire.</w:t>
      </w:r>
    </w:p>
    <w:p>
      <w:pPr>
        <w:spacing w:after="20" w:line="223" w:lineRule="auto"/>
        <w:jc w:val="right"/>
        <w:bidi/>
      </w:pPr>
      <w:r>
        <w:rPr>
          <w:rFonts w:ascii="Arial" w:hAnsi="Arial"/>
          <w:sz w:val="16"/>
        </w:rPr>
        <w:t>314.14  استفاده از بهترین قضاوت در مورد جستجوی پوشش فوری در محل یا خزیدن بلافاصله به یک مکان امن، به‌ویژه زمانی که یک منطقه به‌طور فزاینده‌ای خطرناک می‌شود، ضروری است.</w:t>
      </w:r>
    </w:p>
    <w:p>
      <w:pPr>
        <w:spacing w:after="28" w:line="216" w:lineRule="auto"/>
        <w:ind w:left="259"/>
        <w:jc w:val="left"/>
      </w:pPr>
      <w:r>
        <w:rPr>
          <w:rFonts w:ascii="Arial" w:hAnsi="Arial"/>
          <w:color w:val="525252"/>
          <w:sz w:val="13"/>
        </w:rPr>
        <w:t>Using one’s best judgment is essential regarding seeking immediate cover in place or crawling immediately to a safe location, particularly when an area becomes increasingly dangerous.</w:t>
      </w:r>
    </w:p>
    <w:p>
      <w:pPr>
        <w:spacing w:before="60" w:after="28"/>
        <w:jc w:val="right"/>
        <w:bidi/>
      </w:pPr>
      <w:r>
        <w:rPr>
          <w:b/>
          <w:color w:val="1F4D78"/>
          <w:sz w:val="18"/>
        </w:rPr>
        <w:t>17.12. گزارش حمله</w:t>
      </w:r>
    </w:p>
    <w:p>
      <w:pPr>
        <w:spacing w:after="20"/>
        <w:ind w:left="259"/>
        <w:jc w:val="left"/>
      </w:pPr>
      <w:r>
        <w:rPr>
          <w:color w:val="555555"/>
          <w:sz w:val="12"/>
        </w:rPr>
        <w:t>17.12. Attack Reporting</w:t>
      </w:r>
    </w:p>
    <w:p>
      <w:pPr>
        <w:spacing w:after="20" w:line="223" w:lineRule="auto"/>
        <w:jc w:val="right"/>
        <w:bidi/>
      </w:pPr>
      <w:r>
        <w:rPr>
          <w:rFonts w:ascii="Arial" w:hAnsi="Arial"/>
          <w:sz w:val="16"/>
        </w:rPr>
        <w:t>314.16  اگر حمله یا حرکت دشمن مشاهده شد، فورا آن را به زنجیره فرماندهی گزارش‌دهید.</w:t>
      </w:r>
    </w:p>
    <w:p>
      <w:pPr>
        <w:spacing w:after="28" w:line="216" w:lineRule="auto"/>
        <w:ind w:left="259"/>
        <w:jc w:val="left"/>
      </w:pPr>
      <w:r>
        <w:rPr>
          <w:rFonts w:ascii="Arial" w:hAnsi="Arial"/>
          <w:color w:val="525252"/>
          <w:sz w:val="13"/>
        </w:rPr>
        <w:t>If an attack or enemy movement is observed, report it up the chain of command immediately.</w:t>
      </w:r>
    </w:p>
    <w:p>
      <w:pPr>
        <w:spacing w:after="20" w:line="223" w:lineRule="auto"/>
        <w:jc w:val="right"/>
        <w:bidi/>
      </w:pPr>
      <w:r>
        <w:rPr>
          <w:rFonts w:ascii="Arial" w:hAnsi="Arial"/>
          <w:sz w:val="16"/>
        </w:rPr>
        <w:t>314.17  از روش گزارش‌دهی س-ا-ل-و-ت- همانطور که در جدول ۱۷.۲ نشان داده شده است استفاده کنید. به‌عنوان یک راه سریع و مؤثر برای برقراری ارتباط اطلاعات حمله.</w:t>
      </w:r>
    </w:p>
    <w:p>
      <w:pPr>
        <w:spacing w:after="28" w:line="216" w:lineRule="auto"/>
        <w:ind w:left="259"/>
        <w:jc w:val="left"/>
      </w:pPr>
      <w:r>
        <w:rPr>
          <w:rFonts w:ascii="Arial" w:hAnsi="Arial"/>
          <w:color w:val="525252"/>
          <w:sz w:val="13"/>
        </w:rPr>
        <w:t>Use the S-A-L-U-T-E reporting method as shown in Table 17.2. as a quick and effective way to communicate attack information.</w:t>
      </w:r>
    </w:p>
    <w:p>
      <w:pPr>
        <w:spacing w:after="20" w:line="223" w:lineRule="auto"/>
        <w:jc w:val="right"/>
        <w:bidi/>
      </w:pPr>
      <w:r>
        <w:rPr>
          <w:rFonts w:ascii="Arial" w:hAnsi="Arial"/>
          <w:sz w:val="16"/>
        </w:rPr>
        <w:t>314.18  گزارشات س-ا-ل-و-ت- از طریق مطمئن‌ترین راه به مرکز کنترل یا مرکز کار ارسال می‌شود.</w:t>
      </w:r>
    </w:p>
    <w:p>
      <w:pPr>
        <w:spacing w:after="28" w:line="216" w:lineRule="auto"/>
        <w:ind w:left="259"/>
        <w:jc w:val="left"/>
      </w:pPr>
      <w:r>
        <w:rPr>
          <w:rFonts w:ascii="Arial" w:hAnsi="Arial"/>
          <w:color w:val="525252"/>
          <w:sz w:val="13"/>
        </w:rPr>
        <w:t>S-A-L-U-T-E reports are submitted to the control center or work center through the most secure means.</w:t>
      </w:r>
    </w:p>
    <w:p>
      <w:r>
        <w:br w:type="page"/>
      </w:r>
    </w:p>
    <w:p>
      <w:pPr>
        <w:spacing w:after="60"/>
        <w:jc w:val="right"/>
        <w:bidi/>
      </w:pPr>
      <w:r>
        <w:rPr>
          <w:rFonts w:ascii="Arial" w:hAnsi="Arial"/>
          <w:b/>
          <w:color w:val="1F4D78"/>
          <w:sz w:val="19"/>
        </w:rPr>
        <w:t>هفتهٔ 315  |  صفحهٔ منبع: 331</w:t>
      </w:r>
    </w:p>
    <w:p>
      <w:pPr>
        <w:spacing w:before="60" w:after="28"/>
        <w:jc w:val="right"/>
        <w:bidi/>
      </w:pPr>
      <w:r>
        <w:rPr>
          <w:b/>
          <w:color w:val="1F4D78"/>
          <w:sz w:val="18"/>
        </w:rPr>
        <w:t>گزارش اطلاعات منطقه برای گزارش</w:t>
      </w:r>
    </w:p>
    <w:p>
      <w:pPr>
        <w:spacing w:after="20"/>
        <w:ind w:left="259"/>
        <w:jc w:val="left"/>
      </w:pPr>
      <w:r>
        <w:rPr>
          <w:color w:val="555555"/>
          <w:sz w:val="12"/>
        </w:rPr>
        <w:t>REPORT AREA INFORMATION TO REPORT</w:t>
      </w:r>
    </w:p>
    <w:p>
      <w:pPr>
        <w:spacing w:after="20" w:line="223" w:lineRule="auto"/>
        <w:jc w:val="right"/>
        <w:bidi/>
      </w:pPr>
      <w:r>
        <w:rPr>
          <w:rFonts w:ascii="Arial" w:hAnsi="Arial"/>
          <w:sz w:val="16"/>
        </w:rPr>
        <w:t>315.02  (س) اندازه تعداد افراد و وسایل نقلیه دیده شده یا اندازه یک شی (ا) شرح فعالیت فعالیت دشمن (حمله، فرار، مشاهده) (ل) مکان جایی که دشمن رویت شده است (مختصات شبکه یا نقطه مرجع) علائم متمایز، نمادها، شناسایی روی افراد، وسایل نقلیه، وسایل نقلیه، لباس‌ها، (و) (ت) زمان فعالیت زمان مشاهده شد () تجهیزات تجهیزات و وسایل نقلیه مرتبط با فعالیت</w:t>
      </w:r>
    </w:p>
    <w:p>
      <w:pPr>
        <w:spacing w:after="28" w:line="216" w:lineRule="auto"/>
        <w:ind w:left="259"/>
        <w:jc w:val="left"/>
      </w:pPr>
      <w:r>
        <w:rPr>
          <w:rFonts w:ascii="Arial" w:hAnsi="Arial"/>
          <w:color w:val="525252"/>
          <w:sz w:val="13"/>
        </w:rPr>
        <w:t>(S) Size The number of persons and vehicles seen or the size of an object (A) Activity Description of enemy activity (assaulting, fleeing, observing) (L) Location Where the enemy was sighted (grid coordinate or reference point) Distinctive signs, symbols, identification on people, vehicles, (U) Unit aircraft, or weapons (numbers, patches, clothing type) (T) Time Time activity was observed (E) Equipment Equipment and vehicles associated with the activity</w:t>
      </w:r>
    </w:p>
    <w:p>
      <w:pPr>
        <w:spacing w:before="60" w:after="28"/>
        <w:jc w:val="right"/>
        <w:bidi/>
      </w:pPr>
      <w:r>
        <w:rPr>
          <w:b/>
          <w:color w:val="1F4D78"/>
          <w:sz w:val="18"/>
        </w:rPr>
        <w:t>جدول 17.2. گزارش سلام</w:t>
      </w:r>
    </w:p>
    <w:p>
      <w:pPr>
        <w:spacing w:after="20"/>
        <w:ind w:left="259"/>
        <w:jc w:val="left"/>
      </w:pPr>
      <w:r>
        <w:rPr>
          <w:color w:val="555555"/>
          <w:sz w:val="12"/>
        </w:rPr>
        <w:t>Table 17.2. SALUTE Reporting</w:t>
      </w:r>
    </w:p>
    <w:p>
      <w:pPr>
        <w:spacing w:before="60" w:after="28"/>
        <w:jc w:val="right"/>
        <w:bidi/>
      </w:pPr>
      <w:r>
        <w:rPr>
          <w:b/>
          <w:color w:val="1F4D78"/>
          <w:sz w:val="18"/>
        </w:rPr>
        <w:t>17.13. مراحل بازیابی</w:t>
      </w:r>
    </w:p>
    <w:p>
      <w:pPr>
        <w:spacing w:after="20"/>
        <w:ind w:left="259"/>
        <w:jc w:val="left"/>
      </w:pPr>
      <w:r>
        <w:rPr>
          <w:color w:val="555555"/>
          <w:sz w:val="12"/>
        </w:rPr>
        <w:t>17.13. Recovery Procedures</w:t>
      </w:r>
    </w:p>
    <w:p>
      <w:pPr>
        <w:spacing w:after="20" w:line="223" w:lineRule="auto"/>
        <w:jc w:val="right"/>
        <w:bidi/>
      </w:pPr>
      <w:r>
        <w:rPr>
          <w:rFonts w:ascii="Arial" w:hAnsi="Arial"/>
          <w:sz w:val="16"/>
        </w:rPr>
        <w:t>315.05  اقدامات بازیابی بر نجات جان افراد، شناسایی و کاهش خطرات، بازسازی مأموریت و حفظ تمرکز می‌کند.</w:t>
      </w:r>
    </w:p>
    <w:p>
      <w:pPr>
        <w:spacing w:after="28" w:line="216" w:lineRule="auto"/>
        <w:ind w:left="259"/>
        <w:jc w:val="left"/>
      </w:pPr>
      <w:r>
        <w:rPr>
          <w:rFonts w:ascii="Arial" w:hAnsi="Arial"/>
          <w:color w:val="525252"/>
          <w:sz w:val="13"/>
        </w:rPr>
        <w:t>Recovery actions focuses on saving lives, detecting, and mitigating hazards, mission restoration, and sustainment.</w:t>
      </w:r>
    </w:p>
    <w:p>
      <w:pPr>
        <w:spacing w:after="20" w:line="223" w:lineRule="auto"/>
        <w:jc w:val="right"/>
        <w:bidi/>
      </w:pPr>
      <w:r>
        <w:rPr>
          <w:rFonts w:ascii="Arial" w:hAnsi="Arial"/>
          <w:sz w:val="16"/>
        </w:rPr>
        <w:t>315.06  اقدامات فوری برای درمان تلفات، ارزیابی خسارت و کنترل آلودگی ضروری است.</w:t>
      </w:r>
    </w:p>
    <w:p>
      <w:pPr>
        <w:spacing w:after="28" w:line="216" w:lineRule="auto"/>
        <w:ind w:left="259"/>
        <w:jc w:val="left"/>
      </w:pPr>
      <w:r>
        <w:rPr>
          <w:rFonts w:ascii="Arial" w:hAnsi="Arial"/>
          <w:color w:val="525252"/>
          <w:sz w:val="13"/>
        </w:rPr>
        <w:t>Immediate actions are necessary to treat casualties, assess damage, and control contamination.</w:t>
      </w:r>
    </w:p>
    <w:p>
      <w:pPr>
        <w:spacing w:after="20" w:line="223" w:lineRule="auto"/>
        <w:jc w:val="right"/>
        <w:bidi/>
      </w:pPr>
      <w:r>
        <w:rPr>
          <w:rFonts w:ascii="Arial" w:hAnsi="Arial"/>
          <w:sz w:val="16"/>
        </w:rPr>
        <w:t>315.07  به حداقل رساندن میزان پرسنل در معرض خطرات پس از حمله برای ادامه مأموریت و بقای نیرو بسیار مهم است.</w:t>
      </w:r>
    </w:p>
    <w:p>
      <w:pPr>
        <w:spacing w:after="28" w:line="216" w:lineRule="auto"/>
        <w:ind w:left="259"/>
        <w:jc w:val="left"/>
      </w:pPr>
      <w:r>
        <w:rPr>
          <w:rFonts w:ascii="Arial" w:hAnsi="Arial"/>
          <w:color w:val="525252"/>
          <w:sz w:val="13"/>
        </w:rPr>
        <w:t>Minimizing the amount of personnel exposed to post-attack hazards is critical for mission continuation and force survivability.</w:t>
      </w:r>
    </w:p>
    <w:p>
      <w:pPr>
        <w:spacing w:after="20" w:line="223" w:lineRule="auto"/>
        <w:jc w:val="right"/>
        <w:bidi/>
      </w:pPr>
      <w:r>
        <w:rPr>
          <w:rFonts w:ascii="Arial" w:hAnsi="Arial"/>
          <w:sz w:val="16"/>
        </w:rPr>
        <w:t>315.08  مفهوم بازیابی شامل تلاش ترکیبی از پرسنلی است که برای کار به صورت تیمی آموزش دیده‌اند و قادر به استفاده از تجهیزات تخصصی برای پیشبرد تلاش‌های بازیابی هستند.</w:t>
      </w:r>
    </w:p>
    <w:p>
      <w:pPr>
        <w:spacing w:after="28" w:line="216" w:lineRule="auto"/>
        <w:ind w:left="259"/>
        <w:jc w:val="left"/>
      </w:pPr>
      <w:r>
        <w:rPr>
          <w:rFonts w:ascii="Arial" w:hAnsi="Arial"/>
          <w:color w:val="525252"/>
          <w:sz w:val="13"/>
        </w:rPr>
        <w:t>The recovery concept involves a combined effort from personnel who are trained to operate as a team and are able to use specialized equipment to spearhead recovery efforts.</w:t>
      </w:r>
    </w:p>
    <w:p>
      <w:pPr>
        <w:spacing w:after="20" w:line="223" w:lineRule="auto"/>
        <w:jc w:val="right"/>
        <w:bidi/>
      </w:pPr>
      <w:r>
        <w:rPr>
          <w:rFonts w:ascii="Arial" w:hAnsi="Arial"/>
          <w:sz w:val="16"/>
        </w:rPr>
        <w:t>315.09  برقراری مجدد مأموریت اولویت اصلی است.</w:t>
      </w:r>
    </w:p>
    <w:p>
      <w:pPr>
        <w:spacing w:after="28" w:line="216" w:lineRule="auto"/>
        <w:ind w:left="259"/>
        <w:jc w:val="left"/>
      </w:pPr>
      <w:r>
        <w:rPr>
          <w:rFonts w:ascii="Arial" w:hAnsi="Arial"/>
          <w:color w:val="525252"/>
          <w:sz w:val="13"/>
        </w:rPr>
        <w:t>Reestablishing the mission is a top priority.</w:t>
      </w:r>
    </w:p>
    <w:p>
      <w:pPr>
        <w:spacing w:after="20" w:line="223" w:lineRule="auto"/>
        <w:jc w:val="right"/>
        <w:bidi/>
      </w:pPr>
      <w:r>
        <w:rPr>
          <w:rFonts w:ascii="Arial" w:hAnsi="Arial"/>
          <w:sz w:val="16"/>
        </w:rPr>
        <w:t>315.10  شناسایی.</w:t>
      </w:r>
    </w:p>
    <w:p>
      <w:pPr>
        <w:spacing w:after="28" w:line="216" w:lineRule="auto"/>
        <w:ind w:left="259"/>
        <w:jc w:val="left"/>
      </w:pPr>
      <w:r>
        <w:rPr>
          <w:rFonts w:ascii="Arial" w:hAnsi="Arial"/>
          <w:color w:val="525252"/>
          <w:sz w:val="13"/>
        </w:rPr>
        <w:t>Reconnaissance.</w:t>
      </w:r>
    </w:p>
    <w:p>
      <w:pPr>
        <w:spacing w:after="20" w:line="223" w:lineRule="auto"/>
        <w:jc w:val="right"/>
        <w:bidi/>
      </w:pPr>
      <w:r>
        <w:rPr>
          <w:rFonts w:ascii="Arial" w:hAnsi="Arial"/>
          <w:sz w:val="16"/>
        </w:rPr>
        <w:t>315.11  فرمانده نصب تعیین می‌کند که تیم‌های شناسایی تخصصی و واحد پایگاه، بررسی‌های CBRN پس از حمله را چه زمانی آغاز کنند.</w:t>
      </w:r>
    </w:p>
    <w:p>
      <w:pPr>
        <w:spacing w:after="28" w:line="216" w:lineRule="auto"/>
        <w:ind w:left="259"/>
        <w:jc w:val="left"/>
      </w:pPr>
      <w:r>
        <w:rPr>
          <w:rFonts w:ascii="Arial" w:hAnsi="Arial"/>
          <w:color w:val="525252"/>
          <w:sz w:val="13"/>
        </w:rPr>
        <w:t>The installation commander will determine when base specialized and unit reconnaissance teams begin post-attack CBRN surveys.</w:t>
      </w:r>
    </w:p>
    <w:p>
      <w:pPr>
        <w:spacing w:after="20" w:line="223" w:lineRule="auto"/>
        <w:jc w:val="right"/>
        <w:bidi/>
      </w:pPr>
      <w:r>
        <w:rPr>
          <w:rFonts w:ascii="Arial" w:hAnsi="Arial"/>
          <w:sz w:val="16"/>
        </w:rPr>
        <w:t>315.12  مراکز کنترل هدایت خواهند شد تا تیم‌های شناسایی پس از حمله (PAR) را برای جمع‌آوری اطلاعات درباره اثرات حمله آزاد کنند.</w:t>
      </w:r>
    </w:p>
    <w:p>
      <w:pPr>
        <w:spacing w:after="28" w:line="216" w:lineRule="auto"/>
        <w:ind w:left="259"/>
        <w:jc w:val="left"/>
      </w:pPr>
      <w:r>
        <w:rPr>
          <w:rFonts w:ascii="Arial" w:hAnsi="Arial"/>
          <w:color w:val="525252"/>
          <w:sz w:val="13"/>
        </w:rPr>
        <w:t>Control centers will be directed to release post-attack reconnaissance (PAR) teams to collect information about the effects of the attack.</w:t>
      </w:r>
    </w:p>
    <w:p>
      <w:pPr>
        <w:spacing w:after="20" w:line="223" w:lineRule="auto"/>
        <w:jc w:val="right"/>
        <w:bidi/>
      </w:pPr>
      <w:r>
        <w:rPr>
          <w:rFonts w:ascii="Arial" w:hAnsi="Arial"/>
          <w:sz w:val="16"/>
        </w:rPr>
        <w:t>315.13  تیم‌های PAR یا صاحبان منابع مسئول گزارش اطلاعات به مرکز کنترل مربوطه خود و همچنین علامت گذاری و گزارش آلودگی و تجهیزات آلوده هستند تا اطمینان حاصل شود که پرسنل نزدیک از خطرات مرتبط با منبع آگاه هستند.</w:t>
      </w:r>
    </w:p>
    <w:p>
      <w:pPr>
        <w:spacing w:after="28" w:line="216" w:lineRule="auto"/>
        <w:ind w:left="259"/>
        <w:jc w:val="left"/>
      </w:pPr>
      <w:r>
        <w:rPr>
          <w:rFonts w:ascii="Arial" w:hAnsi="Arial"/>
          <w:color w:val="525252"/>
          <w:sz w:val="13"/>
        </w:rPr>
        <w:t>PAR teams or resource owners are responsible for reporting information to their respective control center as well as marking and reporting contamination and contaminated equipment to ensure approaching personnel are aware of the hazard associated with the resource.</w:t>
      </w:r>
    </w:p>
    <w:p>
      <w:pPr>
        <w:spacing w:after="20" w:line="223" w:lineRule="auto"/>
        <w:jc w:val="right"/>
        <w:bidi/>
      </w:pPr>
      <w:r>
        <w:rPr>
          <w:rFonts w:ascii="Arial" w:hAnsi="Arial"/>
          <w:sz w:val="16"/>
        </w:rPr>
        <w:t>315.14  مرکز کنترل اطلاعات بررسی را به مرکز کنترل CBRN در EOC ارسال خواهد کرد.</w:t>
      </w:r>
    </w:p>
    <w:p>
      <w:pPr>
        <w:spacing w:after="28" w:line="216" w:lineRule="auto"/>
        <w:ind w:left="259"/>
        <w:jc w:val="left"/>
      </w:pPr>
      <w:r>
        <w:rPr>
          <w:rFonts w:ascii="Arial" w:hAnsi="Arial"/>
          <w:color w:val="525252"/>
          <w:sz w:val="13"/>
        </w:rPr>
        <w:t>The control center will forward survey information to the CBRN Control Center within the EOC.</w:t>
      </w:r>
    </w:p>
    <w:p>
      <w:pPr>
        <w:spacing w:after="20" w:line="223" w:lineRule="auto"/>
        <w:jc w:val="right"/>
        <w:bidi/>
      </w:pPr>
      <w:r>
        <w:rPr>
          <w:rFonts w:ascii="Arial" w:hAnsi="Arial"/>
          <w:sz w:val="16"/>
        </w:rPr>
        <w:t>315.15  گزارش پس از حمله.</w:t>
      </w:r>
    </w:p>
    <w:p>
      <w:pPr>
        <w:spacing w:after="28" w:line="216" w:lineRule="auto"/>
        <w:ind w:left="259"/>
        <w:jc w:val="left"/>
      </w:pPr>
      <w:r>
        <w:rPr>
          <w:rFonts w:ascii="Arial" w:hAnsi="Arial"/>
          <w:color w:val="525252"/>
          <w:sz w:val="13"/>
        </w:rPr>
        <w:t>Post-Attack Reporting.</w:t>
      </w:r>
    </w:p>
    <w:p>
      <w:pPr>
        <w:spacing w:after="20" w:line="223" w:lineRule="auto"/>
        <w:jc w:val="right"/>
        <w:bidi/>
      </w:pPr>
      <w:r>
        <w:rPr>
          <w:rFonts w:ascii="Arial" w:hAnsi="Arial"/>
          <w:sz w:val="16"/>
        </w:rPr>
        <w:t>315.16  ارتباط مؤثر بین تیم‌های PAR و رهبری ضروری است.</w:t>
      </w:r>
    </w:p>
    <w:p>
      <w:pPr>
        <w:spacing w:after="28" w:line="216" w:lineRule="auto"/>
        <w:ind w:left="259"/>
        <w:jc w:val="left"/>
      </w:pPr>
      <w:r>
        <w:rPr>
          <w:rFonts w:ascii="Arial" w:hAnsi="Arial"/>
          <w:color w:val="525252"/>
          <w:sz w:val="13"/>
        </w:rPr>
        <w:t>Effective communication between PAR teams and leadership is essential.</w:t>
      </w:r>
    </w:p>
    <w:p>
      <w:pPr>
        <w:spacing w:after="20" w:line="223" w:lineRule="auto"/>
        <w:jc w:val="right"/>
        <w:bidi/>
      </w:pPr>
      <w:r>
        <w:rPr>
          <w:rFonts w:ascii="Arial" w:hAnsi="Arial"/>
          <w:sz w:val="16"/>
        </w:rPr>
        <w:t>315.17  مرکز کنترل CBRN در EOC، عملکرد فرمان و کنترل اولیه برای جمع‌آوری و تجمیع اطلاعات پس از حمله است.</w:t>
      </w:r>
    </w:p>
    <w:p>
      <w:pPr>
        <w:spacing w:after="28" w:line="216" w:lineRule="auto"/>
        <w:ind w:left="259"/>
        <w:jc w:val="left"/>
      </w:pPr>
      <w:r>
        <w:rPr>
          <w:rFonts w:ascii="Arial" w:hAnsi="Arial"/>
          <w:color w:val="525252"/>
          <w:sz w:val="13"/>
        </w:rPr>
        <w:t>The CBRN Control Center within the EOC is the primary command and control function for collecting and consolidating post-attack information.</w:t>
      </w:r>
    </w:p>
    <w:p>
      <w:pPr>
        <w:spacing w:after="20" w:line="223" w:lineRule="auto"/>
        <w:jc w:val="right"/>
        <w:bidi/>
      </w:pPr>
      <w:r>
        <w:rPr>
          <w:rFonts w:ascii="Arial" w:hAnsi="Arial"/>
          <w:sz w:val="16"/>
        </w:rPr>
        <w:t>315.18  مدیر EOC اطلاعات را کانالیزه می‌کند و توصیه‌هایی در مورد سیگنال‌های هشدار و سطوح MOPP به CAT بر اساس اطلاعات جمع‌آوری‌شده توسط تیم‌های تخصصی و PAR ارائه می‌کند.</w:t>
      </w:r>
    </w:p>
    <w:p>
      <w:pPr>
        <w:spacing w:after="28" w:line="216" w:lineRule="auto"/>
        <w:ind w:left="259"/>
        <w:jc w:val="left"/>
      </w:pPr>
      <w:r>
        <w:rPr>
          <w:rFonts w:ascii="Arial" w:hAnsi="Arial"/>
          <w:color w:val="525252"/>
          <w:sz w:val="13"/>
        </w:rPr>
        <w:t>The EOC Director up-channels information and makes recommendations regarding alarm signals and MOPP levels to the CAT based on the information collected by specialized and PAR teams.</w:t>
      </w:r>
    </w:p>
    <w:p>
      <w:pPr>
        <w:spacing w:after="20" w:line="223" w:lineRule="auto"/>
        <w:jc w:val="right"/>
        <w:bidi/>
      </w:pPr>
      <w:r>
        <w:rPr>
          <w:rFonts w:ascii="Arial" w:hAnsi="Arial"/>
          <w:sz w:val="16"/>
        </w:rPr>
        <w:t>315.19  رفع آلودگی.</w:t>
      </w:r>
    </w:p>
    <w:p>
      <w:pPr>
        <w:spacing w:after="28" w:line="216" w:lineRule="auto"/>
        <w:ind w:left="259"/>
        <w:jc w:val="left"/>
      </w:pPr>
      <w:r>
        <w:rPr>
          <w:rFonts w:ascii="Arial" w:hAnsi="Arial"/>
          <w:color w:val="525252"/>
          <w:sz w:val="13"/>
        </w:rPr>
        <w:t>Decontamination.</w:t>
      </w:r>
    </w:p>
    <w:p>
      <w:pPr>
        <w:spacing w:after="20" w:line="223" w:lineRule="auto"/>
        <w:jc w:val="right"/>
        <w:bidi/>
      </w:pPr>
      <w:r>
        <w:rPr>
          <w:rFonts w:ascii="Arial" w:hAnsi="Arial"/>
          <w:sz w:val="16"/>
        </w:rPr>
        <w:t>315.20  برای کسانی که در تیم PAR نیستند، اقدامات بازیابی شامل انجام سریع آلودگی زدایی (در صورت آلودگی) و ماندن در پوشش در یک مکان امن است، مگر اینکه دستور دیگری داده شود.</w:t>
      </w:r>
    </w:p>
    <w:p>
      <w:pPr>
        <w:spacing w:after="28" w:line="216" w:lineRule="auto"/>
        <w:ind w:left="259"/>
        <w:jc w:val="left"/>
      </w:pPr>
      <w:r>
        <w:rPr>
          <w:rFonts w:ascii="Arial" w:hAnsi="Arial"/>
          <w:color w:val="525252"/>
          <w:sz w:val="13"/>
        </w:rPr>
        <w:t>For those not on a PAR team, recovery actions include performing immediate decontamination (if contaminated) and remaining under cover in a safe location unless otherwise directed.</w:t>
      </w:r>
    </w:p>
    <w:p>
      <w:pPr>
        <w:spacing w:after="20" w:line="223" w:lineRule="auto"/>
        <w:jc w:val="right"/>
        <w:bidi/>
      </w:pPr>
      <w:r>
        <w:rPr>
          <w:rFonts w:ascii="Arial" w:hAnsi="Arial"/>
          <w:sz w:val="16"/>
        </w:rPr>
        <w:t>315.21  مراکز کنترل ارزیابی و تعیین خواهند کرد که در صورت وجود، چه روش‌های ضدعفونی را می‌توان به‌طور منطقی به کار برد.</w:t>
      </w:r>
    </w:p>
    <w:p>
      <w:pPr>
        <w:spacing w:after="28" w:line="216" w:lineRule="auto"/>
        <w:ind w:left="259"/>
        <w:jc w:val="left"/>
      </w:pPr>
      <w:r>
        <w:rPr>
          <w:rFonts w:ascii="Arial" w:hAnsi="Arial"/>
          <w:color w:val="525252"/>
          <w:sz w:val="13"/>
        </w:rPr>
        <w:t>Control centers will assess and determine what methods of decontamination, if any, can be reasonably put into action.</w:t>
      </w:r>
    </w:p>
    <w:p>
      <w:pPr>
        <w:spacing w:after="20" w:line="223" w:lineRule="auto"/>
        <w:jc w:val="right"/>
        <w:bidi/>
      </w:pPr>
      <w:r>
        <w:rPr>
          <w:rFonts w:ascii="Arial" w:hAnsi="Arial"/>
          <w:sz w:val="16"/>
        </w:rPr>
        <w:t>315.22  چشم‌ها در مواجهه با عوامل عصبی و تاول بسیار آسیب پذیر هستند.</w:t>
      </w:r>
    </w:p>
    <w:p>
      <w:pPr>
        <w:spacing w:after="28" w:line="216" w:lineRule="auto"/>
        <w:ind w:left="259"/>
        <w:jc w:val="left"/>
      </w:pPr>
      <w:r>
        <w:rPr>
          <w:rFonts w:ascii="Arial" w:hAnsi="Arial"/>
          <w:color w:val="525252"/>
          <w:sz w:val="13"/>
        </w:rPr>
        <w:t>The eyes are very vulnerable when exposed to nerve and blister agents.</w:t>
      </w:r>
    </w:p>
    <w:p>
      <w:pPr>
        <w:spacing w:after="20" w:line="223" w:lineRule="auto"/>
        <w:jc w:val="right"/>
        <w:bidi/>
      </w:pPr>
      <w:r>
        <w:rPr>
          <w:rFonts w:ascii="Arial" w:hAnsi="Arial"/>
          <w:sz w:val="16"/>
        </w:rPr>
        <w:t>315.23  اگر یکی از این عوامل وارد چشم شد، باید چشم را با آب شستشو داد.</w:t>
      </w:r>
    </w:p>
    <w:p>
      <w:pPr>
        <w:spacing w:after="28" w:line="216" w:lineRule="auto"/>
        <w:ind w:left="259"/>
        <w:jc w:val="left"/>
      </w:pPr>
      <w:r>
        <w:rPr>
          <w:rFonts w:ascii="Arial" w:hAnsi="Arial"/>
          <w:color w:val="525252"/>
          <w:sz w:val="13"/>
        </w:rPr>
        <w:t>If one of these agents gets in the eyes, the eyes should be irrigated with water.</w:t>
      </w:r>
    </w:p>
    <w:p>
      <w:pPr>
        <w:spacing w:after="20" w:line="223" w:lineRule="auto"/>
        <w:jc w:val="right"/>
        <w:bidi/>
      </w:pPr>
      <w:r>
        <w:rPr>
          <w:rFonts w:ascii="Arial" w:hAnsi="Arial"/>
          <w:sz w:val="16"/>
        </w:rPr>
        <w:t>315.24  اگر عامل شیمیایی بر روی پوست یا وسایل حفاظتی قرار گرفت، باید فورا آن را برداشت.</w:t>
      </w:r>
    </w:p>
    <w:p>
      <w:pPr>
        <w:spacing w:after="28" w:line="216" w:lineRule="auto"/>
        <w:ind w:left="259"/>
        <w:jc w:val="left"/>
      </w:pPr>
      <w:r>
        <w:rPr>
          <w:rFonts w:ascii="Arial" w:hAnsi="Arial"/>
          <w:color w:val="525252"/>
          <w:sz w:val="13"/>
        </w:rPr>
        <w:t>If a chemical agent gets on the skin or protective equipment, it must be removed immediately.</w:t>
      </w:r>
    </w:p>
    <w:p>
      <w:pPr>
        <w:spacing w:after="20" w:line="223" w:lineRule="auto"/>
        <w:jc w:val="right"/>
        <w:bidi/>
      </w:pPr>
      <w:r>
        <w:rPr>
          <w:rFonts w:ascii="Arial" w:hAnsi="Arial"/>
          <w:sz w:val="16"/>
        </w:rPr>
        <w:t>315.25  لوسیون ضدعفونی کننده واکنشی پوست و کیت‌های ضدعفونی فردی م۲۹۵ مؤثرترین روش‌های حذف عوامل شیمیایی هستند.</w:t>
      </w:r>
    </w:p>
    <w:p>
      <w:pPr>
        <w:spacing w:after="28" w:line="216" w:lineRule="auto"/>
        <w:ind w:left="259"/>
        <w:jc w:val="left"/>
      </w:pPr>
      <w:r>
        <w:rPr>
          <w:rFonts w:ascii="Arial" w:hAnsi="Arial"/>
          <w:color w:val="525252"/>
          <w:sz w:val="13"/>
        </w:rPr>
        <w:t>The reactive skin decontamination lotion and M295 individual decontamination kits are the most effective methods of removing chemical agents.</w:t>
      </w:r>
    </w:p>
    <w:p>
      <w:pPr>
        <w:spacing w:after="20" w:line="223" w:lineRule="auto"/>
        <w:jc w:val="right"/>
        <w:bidi/>
      </w:pPr>
      <w:r>
        <w:rPr>
          <w:rFonts w:ascii="Arial" w:hAnsi="Arial"/>
          <w:sz w:val="16"/>
        </w:rPr>
        <w:t>315.26  در صورت عدم وجود کیت ضدعفونی فردی، پرسنل باید برای توصیه با مرکز کنترل CBRN تماس بگیرند.</w:t>
      </w:r>
    </w:p>
    <w:p>
      <w:pPr>
        <w:spacing w:after="28" w:line="216" w:lineRule="auto"/>
        <w:ind w:left="259"/>
        <w:jc w:val="left"/>
      </w:pPr>
      <w:r>
        <w:rPr>
          <w:rFonts w:ascii="Arial" w:hAnsi="Arial"/>
          <w:color w:val="525252"/>
          <w:sz w:val="13"/>
        </w:rPr>
        <w:t>In the absence of an individual decontamination kit, personnel should contact the CBRN Control Center for recommendations.</w:t>
      </w:r>
    </w:p>
    <w:p>
      <w:pPr>
        <w:spacing w:after="20" w:line="223" w:lineRule="auto"/>
        <w:jc w:val="right"/>
        <w:bidi/>
      </w:pPr>
      <w:r>
        <w:rPr>
          <w:rFonts w:ascii="Arial" w:hAnsi="Arial"/>
          <w:sz w:val="16"/>
        </w:rPr>
        <w:t>315.27  توجه: محلول ۵ درصد کلر برای تجهیزات و محلول کلر ۰.۵ درصد برای ضدعفونی پوست فقط باید پس از مشورت با متخصصان دفاع CBRN استفاده شود زیرا برخی از مواد شیمیایی به کلر واکنش منفی نشان می‌دهند.</w:t>
      </w:r>
    </w:p>
    <w:p>
      <w:pPr>
        <w:spacing w:after="28" w:line="216" w:lineRule="auto"/>
        <w:ind w:left="259"/>
        <w:jc w:val="left"/>
      </w:pPr>
      <w:r>
        <w:rPr>
          <w:rFonts w:ascii="Arial" w:hAnsi="Arial"/>
          <w:color w:val="525252"/>
          <w:sz w:val="13"/>
        </w:rPr>
        <w:t>Note: 5-percent chlorine solution for equipment and 0.5 percent chlorine solution for skin decontamination should only be used after consultation from CBRN Defense Specialists as some chemicals react negatively to chlorine.</w:t>
      </w:r>
    </w:p>
    <w:p>
      <w:r>
        <w:br w:type="page"/>
      </w:r>
    </w:p>
    <w:p>
      <w:pPr>
        <w:spacing w:after="60"/>
        <w:jc w:val="right"/>
        <w:bidi/>
      </w:pPr>
      <w:r>
        <w:rPr>
          <w:rFonts w:ascii="Arial" w:hAnsi="Arial"/>
          <w:b/>
          <w:color w:val="1F4D78"/>
          <w:sz w:val="19"/>
        </w:rPr>
        <w:t>هفتهٔ 316  |  صفحهٔ منبع: 332</w:t>
      </w:r>
    </w:p>
    <w:p>
      <w:pPr>
        <w:spacing w:before="60" w:after="28"/>
        <w:jc w:val="right"/>
        <w:bidi/>
      </w:pPr>
      <w:r>
        <w:rPr>
          <w:b/>
          <w:color w:val="1F4D78"/>
          <w:sz w:val="18"/>
        </w:rPr>
        <w:t>بخش 17E- پیشگیری از حوادث ناگوار USAF</w:t>
      </w:r>
    </w:p>
    <w:p>
      <w:pPr>
        <w:spacing w:after="20"/>
        <w:ind w:left="259"/>
        <w:jc w:val="left"/>
      </w:pPr>
      <w:r>
        <w:rPr>
          <w:color w:val="555555"/>
          <w:sz w:val="12"/>
        </w:rPr>
        <w:t>Section 17E—USAF Mishap Prevention</w:t>
      </w:r>
    </w:p>
    <w:p>
      <w:pPr>
        <w:spacing w:before="60" w:after="28"/>
        <w:jc w:val="right"/>
        <w:bidi/>
      </w:pPr>
      <w:r>
        <w:rPr>
          <w:b/>
          <w:color w:val="1F4D78"/>
          <w:sz w:val="18"/>
        </w:rPr>
        <w:t>17.14. برنامه پیشگیری از حوادث ناگوار USAF</w:t>
      </w:r>
    </w:p>
    <w:p>
      <w:pPr>
        <w:spacing w:after="20"/>
        <w:ind w:left="259"/>
        <w:jc w:val="left"/>
      </w:pPr>
      <w:r>
        <w:rPr>
          <w:color w:val="555555"/>
          <w:sz w:val="12"/>
        </w:rPr>
        <w:t>17.14. USAF Mishap Prevention Program</w:t>
      </w:r>
    </w:p>
    <w:p>
      <w:pPr>
        <w:spacing w:after="20" w:line="223" w:lineRule="auto"/>
        <w:jc w:val="right"/>
        <w:bidi/>
      </w:pPr>
      <w:r>
        <w:rPr>
          <w:rFonts w:ascii="Arial" w:hAnsi="Arial"/>
          <w:sz w:val="16"/>
        </w:rPr>
        <w:t>316.03  سیستم مدیریت ایمنی DAF یک چارچوب پیشگیری از حوادث ناگوار است که توسط DAFI ۹۱-۲۰۲، برنامه پیشگیری از حوادث ناگوار نیروی هوایی ایالات متحده، برای به حداقل رساندن خطر و کاهش وقوع و هزینه جراحات، بیماری‌ها، تلفات و خسارات مالی طراحی شده است.</w:t>
      </w:r>
    </w:p>
    <w:p>
      <w:pPr>
        <w:spacing w:after="28" w:line="216" w:lineRule="auto"/>
        <w:ind w:left="259"/>
        <w:jc w:val="left"/>
      </w:pPr>
      <w:r>
        <w:rPr>
          <w:rFonts w:ascii="Arial" w:hAnsi="Arial"/>
          <w:color w:val="525252"/>
          <w:sz w:val="13"/>
        </w:rPr>
        <w:t>The DAF safety management system is a mishap prevention framework, mandated by DAFI 91- 202, The U.S. Air Force Mishap Prevention Program, designed to minimize risk and reduce the occurrence and cost of injuries, illnesses, fatalities, and property damages.</w:t>
      </w:r>
    </w:p>
    <w:p>
      <w:pPr>
        <w:spacing w:after="20" w:line="223" w:lineRule="auto"/>
        <w:jc w:val="right"/>
        <w:bidi/>
      </w:pPr>
      <w:r>
        <w:rPr>
          <w:rFonts w:ascii="Arial" w:hAnsi="Arial"/>
          <w:sz w:val="16"/>
        </w:rPr>
        <w:t>316.04  چالش استقرار، سیستم‌های رزمی پیشرفته از نظر فن‌آوری، و تغییر الزامات وظیفه نیازمند برنامه‌های قوی پیشگیری از حوادث ناگوار در حین انجام وظیفه است.</w:t>
      </w:r>
    </w:p>
    <w:p>
      <w:pPr>
        <w:spacing w:after="28" w:line="216" w:lineRule="auto"/>
        <w:ind w:left="259"/>
        <w:jc w:val="left"/>
      </w:pPr>
      <w:r>
        <w:rPr>
          <w:rFonts w:ascii="Arial" w:hAnsi="Arial"/>
          <w:color w:val="525252"/>
          <w:sz w:val="13"/>
        </w:rPr>
        <w:t>The challenge of deployments, technologically advanced combat systems, and changing duty requirements demands strong on-duty mishap prevention programs.</w:t>
      </w:r>
    </w:p>
    <w:p>
      <w:pPr>
        <w:spacing w:after="20" w:line="223" w:lineRule="auto"/>
        <w:jc w:val="right"/>
        <w:bidi/>
      </w:pPr>
      <w:r>
        <w:rPr>
          <w:rFonts w:ascii="Arial" w:hAnsi="Arial"/>
          <w:sz w:val="16"/>
        </w:rPr>
        <w:t>316.05  پیشگیری از حوادث خارج از وظیفه نیز باید با چالش‌های ناشی از وسایل نقلیه موتوری، ورزش و تفریح ​​و سایر فعالیت‌های خارج از وظیفه سازگار شود.</w:t>
      </w:r>
    </w:p>
    <w:p>
      <w:pPr>
        <w:spacing w:after="28" w:line="216" w:lineRule="auto"/>
        <w:ind w:left="259"/>
        <w:jc w:val="left"/>
      </w:pPr>
      <w:r>
        <w:rPr>
          <w:rFonts w:ascii="Arial" w:hAnsi="Arial"/>
          <w:color w:val="525252"/>
          <w:sz w:val="13"/>
        </w:rPr>
        <w:t>Off-duty mishap prevention must also adapt to meet the challenges posed by motor vehicles, sports and recreation, and other off-duty activities.</w:t>
      </w:r>
    </w:p>
    <w:p>
      <w:pPr>
        <w:spacing w:after="20" w:line="223" w:lineRule="auto"/>
        <w:jc w:val="right"/>
        <w:bidi/>
      </w:pPr>
      <w:r>
        <w:rPr>
          <w:rFonts w:ascii="Arial" w:hAnsi="Arial"/>
          <w:sz w:val="16"/>
        </w:rPr>
        <w:t>316.06  رهبران DAF سیستم مدیریت ایمنی را با ارائه رهنمودها و اهداف، ایجاد مسئولیت ایمنی و پاسخگویی، اعمال مدیریت ریسک برای همه فعالیت‌ها و ارتقای ایمنی در سراسر سازمان پیاده‌سازی می‌کنند.</w:t>
      </w:r>
    </w:p>
    <w:p>
      <w:pPr>
        <w:spacing w:after="28" w:line="216" w:lineRule="auto"/>
        <w:ind w:left="259"/>
        <w:jc w:val="left"/>
      </w:pPr>
      <w:r>
        <w:rPr>
          <w:rFonts w:ascii="Arial" w:hAnsi="Arial"/>
          <w:color w:val="525252"/>
          <w:sz w:val="13"/>
        </w:rPr>
        <w:t>DAF leaders implement the safety management system by providing guidance and goals, establishing safety responsibility and accountability, applying risk management to all activities, and promoting safety throughout the organization.</w:t>
      </w:r>
    </w:p>
    <w:p>
      <w:pPr>
        <w:spacing w:before="60" w:after="28"/>
        <w:jc w:val="right"/>
        <w:bidi/>
      </w:pPr>
      <w:r>
        <w:rPr>
          <w:b/>
          <w:color w:val="1F4D78"/>
          <w:sz w:val="18"/>
        </w:rPr>
        <w:t>17.15. اشتباه تعریف شده است</w:t>
      </w:r>
    </w:p>
    <w:p>
      <w:pPr>
        <w:spacing w:after="20"/>
        <w:ind w:left="259"/>
        <w:jc w:val="left"/>
      </w:pPr>
      <w:r>
        <w:rPr>
          <w:color w:val="555555"/>
          <w:sz w:val="12"/>
        </w:rPr>
        <w:t>17.15. Mishap Defined</w:t>
      </w:r>
    </w:p>
    <w:p>
      <w:pPr>
        <w:spacing w:after="20" w:line="223" w:lineRule="auto"/>
        <w:jc w:val="right"/>
        <w:bidi/>
      </w:pPr>
      <w:r>
        <w:rPr>
          <w:rFonts w:ascii="Arial" w:hAnsi="Arial"/>
          <w:sz w:val="16"/>
        </w:rPr>
        <w:t>316.08  یک حادثه ناگوار DAF یک رویداد برنامه‌ریزی نشده یا مجموعه‌ای از وقایع است که منجر به بیماری‌های شغلی، مرگ یا جراحت به پرسنل DAF یا آسیب به اموال وزارت دفاع (دود) می‌شود.</w:t>
      </w:r>
    </w:p>
    <w:p>
      <w:pPr>
        <w:spacing w:after="28" w:line="216" w:lineRule="auto"/>
        <w:ind w:left="259"/>
        <w:jc w:val="left"/>
      </w:pPr>
      <w:r>
        <w:rPr>
          <w:rFonts w:ascii="Arial" w:hAnsi="Arial"/>
          <w:color w:val="525252"/>
          <w:sz w:val="13"/>
        </w:rPr>
        <w:t>A DAF mishap is an unplanned occurrence, or series of occurrences, that results in occupational illnesses, death, or injury to DAF personnel, or damage to Department of Defense (DoD) property.</w:t>
      </w:r>
    </w:p>
    <w:p>
      <w:pPr>
        <w:spacing w:after="20" w:line="223" w:lineRule="auto"/>
        <w:jc w:val="right"/>
        <w:bidi/>
      </w:pPr>
      <w:r>
        <w:rPr>
          <w:rFonts w:ascii="Arial" w:hAnsi="Arial"/>
          <w:sz w:val="16"/>
        </w:rPr>
        <w:t>316.09  چهار دسته/طبقه که شدت تصادف را متمایز می‌کنند در اینجا تعریف شده‌اند.</w:t>
      </w:r>
    </w:p>
    <w:p>
      <w:pPr>
        <w:spacing w:after="28" w:line="216" w:lineRule="auto"/>
        <w:ind w:left="259"/>
        <w:jc w:val="left"/>
      </w:pPr>
      <w:r>
        <w:rPr>
          <w:rFonts w:ascii="Arial" w:hAnsi="Arial"/>
          <w:color w:val="525252"/>
          <w:sz w:val="13"/>
        </w:rPr>
        <w:t>Four categories/classes that distinguish mishap severity are defined here.</w:t>
      </w:r>
    </w:p>
    <w:p>
      <w:pPr>
        <w:spacing w:after="20" w:line="223" w:lineRule="auto"/>
        <w:jc w:val="right"/>
        <w:bidi/>
      </w:pPr>
      <w:r>
        <w:rPr>
          <w:rFonts w:ascii="Arial" w:hAnsi="Arial"/>
          <w:sz w:val="16"/>
        </w:rPr>
        <w:t>316.10  بررسی‌های ایمنی DAF فقط برای پیشگیری از حوادث ناگوار است، نه برای اقدامات تنبیهی یا برای ایجاد مسئولیت مالی.</w:t>
      </w:r>
    </w:p>
    <w:p>
      <w:pPr>
        <w:spacing w:after="28" w:line="216" w:lineRule="auto"/>
        <w:ind w:left="259"/>
        <w:jc w:val="left"/>
      </w:pPr>
      <w:r>
        <w:rPr>
          <w:rFonts w:ascii="Arial" w:hAnsi="Arial"/>
          <w:color w:val="525252"/>
          <w:sz w:val="13"/>
        </w:rPr>
        <w:t>DAF safety investigations are for mishap prevention purposes only, not for punitive actions or to establish financial liability.</w:t>
      </w:r>
    </w:p>
    <w:p>
      <w:pPr>
        <w:spacing w:after="20" w:line="223" w:lineRule="auto"/>
        <w:jc w:val="right"/>
        <w:bidi/>
      </w:pPr>
      <w:r>
        <w:rPr>
          <w:rFonts w:ascii="Arial" w:hAnsi="Arial"/>
          <w:sz w:val="16"/>
        </w:rPr>
        <w:t>316.11  بدبختی کلاس ا.</w:t>
      </w:r>
    </w:p>
    <w:p>
      <w:pPr>
        <w:spacing w:after="28" w:line="216" w:lineRule="auto"/>
        <w:ind w:left="259"/>
        <w:jc w:val="left"/>
      </w:pPr>
      <w:r>
        <w:rPr>
          <w:rFonts w:ascii="Arial" w:hAnsi="Arial"/>
          <w:color w:val="525252"/>
          <w:sz w:val="13"/>
        </w:rPr>
        <w:t>Class A Mishap.</w:t>
      </w:r>
    </w:p>
    <w:p>
      <w:pPr>
        <w:spacing w:after="20" w:line="223" w:lineRule="auto"/>
        <w:jc w:val="right"/>
        <w:bidi/>
      </w:pPr>
      <w:r>
        <w:rPr>
          <w:rFonts w:ascii="Arial" w:hAnsi="Arial"/>
          <w:sz w:val="16"/>
        </w:rPr>
        <w:t>316.12  یک حادثه ناگوار کلاس ا شامل هزینه‌های بالغ بر ۲۵۰۰۰۰۰ دلار، انهدام یک هواپیمای وزارت دفاع، یا از کار افتادگی کلی یا دائمی است.</w:t>
      </w:r>
    </w:p>
    <w:p>
      <w:pPr>
        <w:spacing w:after="28" w:line="216" w:lineRule="auto"/>
        <w:ind w:left="259"/>
        <w:jc w:val="left"/>
      </w:pPr>
      <w:r>
        <w:rPr>
          <w:rFonts w:ascii="Arial" w:hAnsi="Arial"/>
          <w:color w:val="525252"/>
          <w:sz w:val="13"/>
        </w:rPr>
        <w:t>A Class A mishap consists of costs totaling $2,500,000, destruction of a Department of Defense aircraft, or a fatality or permanent total disability.</w:t>
      </w:r>
    </w:p>
    <w:p>
      <w:pPr>
        <w:spacing w:after="20" w:line="223" w:lineRule="auto"/>
        <w:jc w:val="right"/>
        <w:bidi/>
      </w:pPr>
      <w:r>
        <w:rPr>
          <w:rFonts w:ascii="Arial" w:hAnsi="Arial"/>
          <w:sz w:val="16"/>
        </w:rPr>
        <w:t>316.13  بدبختی کلاس ب.</w:t>
      </w:r>
    </w:p>
    <w:p>
      <w:pPr>
        <w:spacing w:after="28" w:line="216" w:lineRule="auto"/>
        <w:ind w:left="259"/>
        <w:jc w:val="left"/>
      </w:pPr>
      <w:r>
        <w:rPr>
          <w:rFonts w:ascii="Arial" w:hAnsi="Arial"/>
          <w:color w:val="525252"/>
          <w:sz w:val="13"/>
        </w:rPr>
        <w:t>Class B Mishap.</w:t>
      </w:r>
    </w:p>
    <w:p>
      <w:pPr>
        <w:spacing w:after="20" w:line="223" w:lineRule="auto"/>
        <w:jc w:val="right"/>
        <w:bidi/>
      </w:pPr>
      <w:r>
        <w:rPr>
          <w:rFonts w:ascii="Arial" w:hAnsi="Arial"/>
          <w:sz w:val="16"/>
        </w:rPr>
        <w:t>316.14  یک حادثه ناگوار کلاس ب شامل هزینه‌هایی به مبلغ ۶۰۰۰۰۰ دلار یا بیشتر اما کمتر از ۲۵۰۰۰۰۰ دلار، ناتوانی جزئی دائمی یا بستری شدن در بیمارستان سه یا بیشتر پرسنل است.</w:t>
      </w:r>
    </w:p>
    <w:p>
      <w:pPr>
        <w:spacing w:after="28" w:line="216" w:lineRule="auto"/>
        <w:ind w:left="259"/>
        <w:jc w:val="left"/>
      </w:pPr>
      <w:r>
        <w:rPr>
          <w:rFonts w:ascii="Arial" w:hAnsi="Arial"/>
          <w:color w:val="525252"/>
          <w:sz w:val="13"/>
        </w:rPr>
        <w:t>A Class B mishap consists of costs totaling $600,000 or more but less than $2,500,000, a permanent partial disability, or inpatient hospitalization of three or more personnel.</w:t>
      </w:r>
    </w:p>
    <w:p>
      <w:pPr>
        <w:spacing w:after="20" w:line="223" w:lineRule="auto"/>
        <w:jc w:val="right"/>
        <w:bidi/>
      </w:pPr>
      <w:r>
        <w:rPr>
          <w:rFonts w:ascii="Arial" w:hAnsi="Arial"/>
          <w:sz w:val="16"/>
        </w:rPr>
        <w:t>316.15  بدبختی کلاس ک.</w:t>
      </w:r>
    </w:p>
    <w:p>
      <w:pPr>
        <w:spacing w:after="28" w:line="216" w:lineRule="auto"/>
        <w:ind w:left="259"/>
        <w:jc w:val="left"/>
      </w:pPr>
      <w:r>
        <w:rPr>
          <w:rFonts w:ascii="Arial" w:hAnsi="Arial"/>
          <w:color w:val="525252"/>
          <w:sz w:val="13"/>
        </w:rPr>
        <w:t>Class C Mishap.</w:t>
      </w:r>
    </w:p>
    <w:p>
      <w:pPr>
        <w:spacing w:after="20" w:line="223" w:lineRule="auto"/>
        <w:jc w:val="right"/>
        <w:bidi/>
      </w:pPr>
      <w:r>
        <w:rPr>
          <w:rFonts w:ascii="Arial" w:hAnsi="Arial"/>
          <w:sz w:val="16"/>
        </w:rPr>
        <w:t>316.16  یک حادثه ناگوار کلاس ک شامل هزینه‌هایی است که در مجموع ۶۰۰۰۰ دلار یا بیشتر اما کمتر از ۶۰۰۰۰۰ دلار است، یا یک آسیب یا بیماری غیرکشنده که منجر به یک یا چند روز دوری از کار می‌شود.</w:t>
      </w:r>
    </w:p>
    <w:p>
      <w:pPr>
        <w:spacing w:after="28" w:line="216" w:lineRule="auto"/>
        <w:ind w:left="259"/>
        <w:jc w:val="left"/>
      </w:pPr>
      <w:r>
        <w:rPr>
          <w:rFonts w:ascii="Arial" w:hAnsi="Arial"/>
          <w:color w:val="525252"/>
          <w:sz w:val="13"/>
        </w:rPr>
        <w:t>A Class C mishap consists of costs totaling $60,000 or more but less than $600,000, or a nonfatal injury or illness that results in one or more days away from work.</w:t>
      </w:r>
    </w:p>
    <w:p>
      <w:pPr>
        <w:spacing w:after="20" w:line="223" w:lineRule="auto"/>
        <w:jc w:val="right"/>
        <w:bidi/>
      </w:pPr>
      <w:r>
        <w:rPr>
          <w:rFonts w:ascii="Arial" w:hAnsi="Arial"/>
          <w:sz w:val="16"/>
        </w:rPr>
        <w:t>316.17  بدبختی کلاس د.</w:t>
      </w:r>
    </w:p>
    <w:p>
      <w:pPr>
        <w:spacing w:after="28" w:line="216" w:lineRule="auto"/>
        <w:ind w:left="259"/>
        <w:jc w:val="left"/>
      </w:pPr>
      <w:r>
        <w:rPr>
          <w:rFonts w:ascii="Arial" w:hAnsi="Arial"/>
          <w:color w:val="525252"/>
          <w:sz w:val="13"/>
        </w:rPr>
        <w:t>Class D Mishap.</w:t>
      </w:r>
    </w:p>
    <w:p>
      <w:pPr>
        <w:spacing w:after="20" w:line="223" w:lineRule="auto"/>
        <w:jc w:val="right"/>
        <w:bidi/>
      </w:pPr>
      <w:r>
        <w:rPr>
          <w:rFonts w:ascii="Arial" w:hAnsi="Arial"/>
          <w:sz w:val="16"/>
        </w:rPr>
        <w:t>316.18  یک تصادف کلاس د شامل هزینه‌هایی است که در مجموع ۲۵۰۰۰ دلار یا بیشتر اما کمتر از ۶۰۰۰۰ دلار است، یا یک جراحت یا بیماری قابل ثبت که به‌طور دیگری به‌عنوان تصادف کلاس ا، ب یا ک طبقه‌بندی نشده است.</w:t>
      </w:r>
    </w:p>
    <w:p>
      <w:pPr>
        <w:spacing w:after="28" w:line="216" w:lineRule="auto"/>
        <w:ind w:left="259"/>
        <w:jc w:val="left"/>
      </w:pPr>
      <w:r>
        <w:rPr>
          <w:rFonts w:ascii="Arial" w:hAnsi="Arial"/>
          <w:color w:val="525252"/>
          <w:sz w:val="13"/>
        </w:rPr>
        <w:t>A Class D mishap consists of costs totaling $25,000 or more but less than $60,000, or a recordable injury or illness not otherwise classified as a Class A, B, or C mishap.</w:t>
      </w:r>
    </w:p>
    <w:p>
      <w:pPr>
        <w:spacing w:before="60" w:after="28"/>
        <w:jc w:val="right"/>
        <w:bidi/>
      </w:pPr>
      <w:r>
        <w:rPr>
          <w:b/>
          <w:color w:val="1F4D78"/>
          <w:sz w:val="18"/>
        </w:rPr>
        <w:t>17.16. گزارش خطر</w:t>
      </w:r>
    </w:p>
    <w:p>
      <w:pPr>
        <w:spacing w:after="20"/>
        <w:ind w:left="259"/>
        <w:jc w:val="left"/>
      </w:pPr>
      <w:r>
        <w:rPr>
          <w:color w:val="555555"/>
          <w:sz w:val="12"/>
        </w:rPr>
        <w:t>17.16. Hazard Reporting</w:t>
      </w:r>
    </w:p>
    <w:p>
      <w:pPr>
        <w:spacing w:after="20" w:line="223" w:lineRule="auto"/>
        <w:jc w:val="right"/>
        <w:bidi/>
      </w:pPr>
      <w:r>
        <w:rPr>
          <w:rFonts w:ascii="Arial" w:hAnsi="Arial"/>
          <w:sz w:val="16"/>
        </w:rPr>
        <w:t>316.20  فرم AF ۴۵۷، گزارش خطر USAF، باید در همه مراکز کاری به راحتی در دسترس باشد.</w:t>
      </w:r>
    </w:p>
    <w:p>
      <w:pPr>
        <w:spacing w:after="28" w:line="216" w:lineRule="auto"/>
        <w:ind w:left="259"/>
        <w:jc w:val="left"/>
      </w:pPr>
      <w:r>
        <w:rPr>
          <w:rFonts w:ascii="Arial" w:hAnsi="Arial"/>
          <w:color w:val="525252"/>
          <w:sz w:val="13"/>
        </w:rPr>
        <w:t>The AF Form 457, USAF Hazard Report, must be readily available in all work centers.</w:t>
      </w:r>
    </w:p>
    <w:p>
      <w:pPr>
        <w:spacing w:after="20" w:line="223" w:lineRule="auto"/>
        <w:jc w:val="right"/>
        <w:bidi/>
      </w:pPr>
      <w:r>
        <w:rPr>
          <w:rFonts w:ascii="Arial" w:hAnsi="Arial"/>
          <w:sz w:val="16"/>
        </w:rPr>
        <w:t>316.21  وقتی خطری را نمی‌توان فورا از بین برد، از طریق تلفن یا شخصا به دفتر ایمنی، ناظر مسئول یا آژانس محلی اطلاع دهید و گزارش خطر را ارسال کنید.</w:t>
      </w:r>
    </w:p>
    <w:p>
      <w:pPr>
        <w:spacing w:after="28" w:line="216" w:lineRule="auto"/>
        <w:ind w:left="259"/>
        <w:jc w:val="left"/>
      </w:pPr>
      <w:r>
        <w:rPr>
          <w:rFonts w:ascii="Arial" w:hAnsi="Arial"/>
          <w:color w:val="525252"/>
          <w:sz w:val="13"/>
        </w:rPr>
        <w:t>When a hazard cannot be eliminated immediately, notify the safety office, responsible supervisor, or local agency by telephone or in person, and submit a hazard report.</w:t>
      </w:r>
    </w:p>
    <w:p>
      <w:pPr>
        <w:spacing w:after="20" w:line="223" w:lineRule="auto"/>
        <w:jc w:val="right"/>
        <w:bidi/>
      </w:pPr>
      <w:r>
        <w:rPr>
          <w:rFonts w:ascii="Arial" w:hAnsi="Arial"/>
          <w:sz w:val="16"/>
        </w:rPr>
        <w:t>316.22  افراد صدمات شخصی، آسیب مالی، و هرگونه قرار گرفتن مشکوک در معرض مواد خطرناک را به محض عملی گزارش خواهند کرد، اما حداکثر تا ۲۴ ساعت.</w:t>
      </w:r>
    </w:p>
    <w:p>
      <w:pPr>
        <w:spacing w:after="28" w:line="216" w:lineRule="auto"/>
        <w:ind w:left="259"/>
        <w:jc w:val="left"/>
      </w:pPr>
      <w:r>
        <w:rPr>
          <w:rFonts w:ascii="Arial" w:hAnsi="Arial"/>
          <w:color w:val="525252"/>
          <w:sz w:val="13"/>
        </w:rPr>
        <w:t>Individuals will report personal injury, property damage, and any suspected exposure to hazardous materials as soon as practical, but not to exceed 24 hours.</w:t>
      </w:r>
    </w:p>
    <w:p>
      <w:pPr>
        <w:spacing w:after="20" w:line="223" w:lineRule="auto"/>
        <w:jc w:val="right"/>
        <w:bidi/>
      </w:pPr>
      <w:r>
        <w:rPr>
          <w:rFonts w:ascii="Arial" w:hAnsi="Arial"/>
          <w:sz w:val="16"/>
        </w:rPr>
        <w:t>316.23  افراد باید فورا وضعیت جسمی یا روانی را گزارش دهند که احساس می‌کنند می‌تواند بر عملکرد شغلی ایمن تأثیر بگذارد.</w:t>
      </w:r>
    </w:p>
    <w:p>
      <w:pPr>
        <w:spacing w:after="28" w:line="216" w:lineRule="auto"/>
        <w:ind w:left="259"/>
        <w:jc w:val="left"/>
      </w:pPr>
      <w:r>
        <w:rPr>
          <w:rFonts w:ascii="Arial" w:hAnsi="Arial"/>
          <w:color w:val="525252"/>
          <w:sz w:val="13"/>
        </w:rPr>
        <w:t>Individuals should immediately report a physical or mental condition they feel could impact safe job performance.</w:t>
      </w:r>
    </w:p>
    <w:p>
      <w:pPr>
        <w:spacing w:after="20" w:line="223" w:lineRule="auto"/>
        <w:jc w:val="right"/>
        <w:bidi/>
      </w:pPr>
      <w:r>
        <w:rPr>
          <w:rFonts w:ascii="Arial" w:hAnsi="Arial"/>
          <w:sz w:val="16"/>
        </w:rPr>
        <w:t>316.24  گزارش‌ها را می‌توان به صورت ناشناس ارسال کرد.</w:t>
      </w:r>
    </w:p>
    <w:p>
      <w:pPr>
        <w:spacing w:after="28" w:line="216" w:lineRule="auto"/>
        <w:ind w:left="259"/>
        <w:jc w:val="left"/>
      </w:pPr>
      <w:r>
        <w:rPr>
          <w:rFonts w:ascii="Arial" w:hAnsi="Arial"/>
          <w:color w:val="525252"/>
          <w:sz w:val="13"/>
        </w:rPr>
        <w:t>Reports can be submitted anonymously.</w:t>
      </w:r>
    </w:p>
    <w:p>
      <w:pPr>
        <w:spacing w:after="20" w:line="223" w:lineRule="auto"/>
        <w:jc w:val="right"/>
        <w:bidi/>
      </w:pPr>
      <w:r>
        <w:rPr>
          <w:rFonts w:ascii="Arial" w:hAnsi="Arial"/>
          <w:sz w:val="16"/>
        </w:rPr>
        <w:t>316.25  اگر خطری در محل از بین برود، هیچ اقدام دیگری لازم نیست. با این حال، به اشتراک گذاری اطلاعات با واحدها یا سازمان‌های دیگر برای کمک به جلوگیری از خطرات و کمبودها در جاهای دیگر توصیه می‌شود.</w:t>
      </w:r>
    </w:p>
    <w:p>
      <w:pPr>
        <w:spacing w:after="28" w:line="216" w:lineRule="auto"/>
        <w:ind w:left="259"/>
        <w:jc w:val="left"/>
      </w:pPr>
      <w:r>
        <w:rPr>
          <w:rFonts w:ascii="Arial" w:hAnsi="Arial"/>
          <w:color w:val="525252"/>
          <w:sz w:val="13"/>
        </w:rPr>
        <w:t>If a hazard is eliminated on the spot, no further action is required; however, sharing information with other units or agencies is recommended to help prevent hazards and deficiencies elsewhere.</w:t>
      </w:r>
    </w:p>
    <w:p>
      <w:pPr>
        <w:spacing w:after="20" w:line="223" w:lineRule="auto"/>
        <w:jc w:val="right"/>
        <w:bidi/>
      </w:pPr>
      <w:r>
        <w:rPr>
          <w:rFonts w:ascii="Arial" w:hAnsi="Arial"/>
          <w:sz w:val="16"/>
        </w:rPr>
        <w:t>316.26  بررسی‌های گزارش خطر.</w:t>
      </w:r>
    </w:p>
    <w:p>
      <w:pPr>
        <w:spacing w:after="28" w:line="216" w:lineRule="auto"/>
        <w:ind w:left="259"/>
        <w:jc w:val="left"/>
      </w:pPr>
      <w:r>
        <w:rPr>
          <w:rFonts w:ascii="Arial" w:hAnsi="Arial"/>
          <w:color w:val="525252"/>
          <w:sz w:val="13"/>
        </w:rPr>
        <w:t>Hazard Report Investigations.</w:t>
      </w:r>
    </w:p>
    <w:p>
      <w:pPr>
        <w:spacing w:after="20" w:line="223" w:lineRule="auto"/>
        <w:jc w:val="right"/>
        <w:bidi/>
      </w:pPr>
      <w:r>
        <w:rPr>
          <w:rFonts w:ascii="Arial" w:hAnsi="Arial"/>
          <w:sz w:val="16"/>
        </w:rPr>
        <w:t>316.27  بازرسان باید به صورت کتبی به گزارش‌ها، ظرف مدت ۱۰ روز وظیفه پاسخ دهند و به اقدام یا طرح‌های اصلاحی رسیدگی کنند و تا زمان تکمیل اقدامات اصلاحی، بازبینی‌های بعدی را انجام دهند.</w:t>
      </w:r>
    </w:p>
    <w:p>
      <w:pPr>
        <w:spacing w:after="28" w:line="216" w:lineRule="auto"/>
        <w:ind w:left="259"/>
        <w:jc w:val="left"/>
      </w:pPr>
      <w:r>
        <w:rPr>
          <w:rFonts w:ascii="Arial" w:hAnsi="Arial"/>
          <w:color w:val="525252"/>
          <w:sz w:val="13"/>
        </w:rPr>
        <w:t>Investigators must respond to reports in writing, within 10 duty days, addressing the corrective action or plans, and conduct follow-up reviews until the corrective action is completed.</w:t>
      </w:r>
    </w:p>
    <w:p>
      <w:r>
        <w:br w:type="page"/>
      </w:r>
    </w:p>
    <w:p>
      <w:pPr>
        <w:spacing w:after="60"/>
        <w:jc w:val="right"/>
        <w:bidi/>
      </w:pPr>
      <w:r>
        <w:rPr>
          <w:rFonts w:ascii="Arial" w:hAnsi="Arial"/>
          <w:b/>
          <w:color w:val="1F4D78"/>
          <w:sz w:val="19"/>
        </w:rPr>
        <w:t>هفتهٔ 317  |  صفحهٔ منبع: 333</w:t>
      </w:r>
    </w:p>
    <w:p>
      <w:pPr>
        <w:spacing w:before="60" w:after="28"/>
        <w:jc w:val="right"/>
        <w:bidi/>
      </w:pPr>
      <w:r>
        <w:rPr>
          <w:b/>
          <w:color w:val="1F4D78"/>
          <w:sz w:val="18"/>
        </w:rPr>
        <w:t>17.17. برنامه پیشگیری از حوادث ناگوار USAF-سازمان ایمنی</w:t>
      </w:r>
    </w:p>
    <w:p>
      <w:pPr>
        <w:spacing w:after="20"/>
        <w:ind w:left="259"/>
        <w:jc w:val="left"/>
      </w:pPr>
      <w:r>
        <w:rPr>
          <w:color w:val="555555"/>
          <w:sz w:val="12"/>
        </w:rPr>
        <w:t>17.17. USAF Mishap Prevention Program-Safety Organization</w:t>
      </w:r>
    </w:p>
    <w:p>
      <w:pPr>
        <w:spacing w:after="20" w:line="223" w:lineRule="auto"/>
        <w:jc w:val="right"/>
        <w:bidi/>
      </w:pPr>
      <w:r>
        <w:rPr>
          <w:rFonts w:ascii="Arial" w:hAnsi="Arial"/>
          <w:sz w:val="16"/>
        </w:rPr>
        <w:t>317.02  همه پرسنل DAF از اصول، فرآیندها، ابزارها و تکنیک‌های جامع مدیریت ریسک برای ارزیابی و کاهش ریسک مرتبط با فعالیت‌های حین و خارج از وظیفه استفاده خواهند کرد.</w:t>
      </w:r>
    </w:p>
    <w:p>
      <w:pPr>
        <w:spacing w:after="28" w:line="216" w:lineRule="auto"/>
        <w:ind w:left="259"/>
        <w:jc w:val="left"/>
      </w:pPr>
      <w:r>
        <w:rPr>
          <w:rFonts w:ascii="Arial" w:hAnsi="Arial"/>
          <w:color w:val="525252"/>
          <w:sz w:val="13"/>
        </w:rPr>
        <w:t>All DAF personnel will utilize comprehensive risk management principles, processes, tools, and techniques to assess and mitigate risk associated with both on- and off-duty activities.</w:t>
      </w:r>
    </w:p>
    <w:p>
      <w:pPr>
        <w:spacing w:after="20" w:line="223" w:lineRule="auto"/>
        <w:jc w:val="right"/>
        <w:bidi/>
      </w:pPr>
      <w:r>
        <w:rPr>
          <w:rFonts w:ascii="Arial" w:hAnsi="Arial"/>
          <w:sz w:val="16"/>
        </w:rPr>
        <w:t>317.03  یک برنامه پیشگیری مؤثر از حوادث به افراد بستگی دارد که اصول پیشگیری از حوادث را در هر سطح عملکردی یکپارچه کنند و مسئولیت شخصی و جمعی را برای رعایت و اجرای استانداردهای ایمنی قابل اجرا بر عهده بگیرند.</w:t>
      </w:r>
    </w:p>
    <w:p>
      <w:pPr>
        <w:spacing w:after="28" w:line="216" w:lineRule="auto"/>
        <w:ind w:left="259"/>
        <w:jc w:val="left"/>
      </w:pPr>
      <w:r>
        <w:rPr>
          <w:rFonts w:ascii="Arial" w:hAnsi="Arial"/>
          <w:color w:val="525252"/>
          <w:sz w:val="13"/>
        </w:rPr>
        <w:t>An effective mishap prevention program depends on individuals integrating mishap prevention principles at every functional level and taking personal and collective responsibility for complying with and enforcing applicable safety standards.</w:t>
      </w:r>
    </w:p>
    <w:p>
      <w:pPr>
        <w:spacing w:after="20" w:line="223" w:lineRule="auto"/>
        <w:jc w:val="right"/>
        <w:bidi/>
      </w:pPr>
      <w:r>
        <w:rPr>
          <w:rFonts w:ascii="Arial" w:hAnsi="Arial"/>
          <w:sz w:val="16"/>
        </w:rPr>
        <w:t>317.04  دفتر ایمنی.</w:t>
      </w:r>
    </w:p>
    <w:p>
      <w:pPr>
        <w:spacing w:after="28" w:line="216" w:lineRule="auto"/>
        <w:ind w:left="259"/>
        <w:jc w:val="left"/>
      </w:pPr>
      <w:r>
        <w:rPr>
          <w:rFonts w:ascii="Arial" w:hAnsi="Arial"/>
          <w:color w:val="525252"/>
          <w:sz w:val="13"/>
        </w:rPr>
        <w:t>Safety Office.</w:t>
      </w:r>
    </w:p>
    <w:p>
      <w:pPr>
        <w:spacing w:after="20" w:line="223" w:lineRule="auto"/>
        <w:jc w:val="right"/>
        <w:bidi/>
      </w:pPr>
      <w:r>
        <w:rPr>
          <w:rFonts w:ascii="Arial" w:hAnsi="Arial"/>
          <w:sz w:val="16"/>
        </w:rPr>
        <w:t>317.05  در سطح نصب، کارکنان ایمنی، واحدهای میزبان و مستاجر برنامه‌های پیشگیری از حوادث ناگوار را مطابق با DAFI ۹۱-۲۰۲ و توافق‌نامه‌های پشتیبانی مستاجر میزبان اجرا می‌کنند.</w:t>
      </w:r>
    </w:p>
    <w:p>
      <w:pPr>
        <w:spacing w:after="28" w:line="216" w:lineRule="auto"/>
        <w:ind w:left="259"/>
        <w:jc w:val="left"/>
      </w:pPr>
      <w:r>
        <w:rPr>
          <w:rFonts w:ascii="Arial" w:hAnsi="Arial"/>
          <w:color w:val="525252"/>
          <w:sz w:val="13"/>
        </w:rPr>
        <w:t>At the installation level, safety staffs, host, and tenant units implement mishap prevention programs as prescribed by DAFI 91-202 and applicable host tenant support agreements.</w:t>
      </w:r>
    </w:p>
    <w:p>
      <w:pPr>
        <w:spacing w:after="20" w:line="223" w:lineRule="auto"/>
        <w:jc w:val="right"/>
        <w:bidi/>
      </w:pPr>
      <w:r>
        <w:rPr>
          <w:rFonts w:ascii="Arial" w:hAnsi="Arial"/>
          <w:sz w:val="16"/>
        </w:rPr>
        <w:t>317.06  کارکنان دفتر ایمنی متشکل از متخصصان ایمنی حرفه‌ای هستند که اولین بار و هوانوردان حرفه‌ای هستند که در رستهٔ شغلی ایمنی استخدام شده (AFSC ۱س۰کس۱) و همچنین غیرنظامیان DAF آموزش دیده‌اند.</w:t>
      </w:r>
    </w:p>
    <w:p>
      <w:pPr>
        <w:spacing w:after="28" w:line="216" w:lineRule="auto"/>
        <w:ind w:left="259"/>
        <w:jc w:val="left"/>
      </w:pPr>
      <w:r>
        <w:rPr>
          <w:rFonts w:ascii="Arial" w:hAnsi="Arial"/>
          <w:color w:val="525252"/>
          <w:sz w:val="13"/>
        </w:rPr>
        <w:t>The safety office staff consists of career safety professionals who are first-term and career Airmen trained in the enlisted safety career field (AFSC 1S0X1), as well as DAF civilians.</w:t>
      </w:r>
    </w:p>
    <w:p>
      <w:pPr>
        <w:spacing w:after="20" w:line="223" w:lineRule="auto"/>
        <w:jc w:val="right"/>
        <w:bidi/>
      </w:pPr>
      <w:r>
        <w:rPr>
          <w:rFonts w:ascii="Arial" w:hAnsi="Arial"/>
          <w:sz w:val="16"/>
        </w:rPr>
        <w:t>317.07  هنگام وقوع حوادث ناگوار، کارکنان ایمنی اطمینان حاصل می‌کنند که همه حوادث ناگوار بررسی و گزارش می‌شوند.</w:t>
      </w:r>
    </w:p>
    <w:p>
      <w:pPr>
        <w:spacing w:after="28" w:line="216" w:lineRule="auto"/>
        <w:ind w:left="259"/>
        <w:jc w:val="left"/>
      </w:pPr>
      <w:r>
        <w:rPr>
          <w:rFonts w:ascii="Arial" w:hAnsi="Arial"/>
          <w:color w:val="525252"/>
          <w:sz w:val="13"/>
        </w:rPr>
        <w:t>When mishaps occur, the safety staff ensures all mishaps are investigated and reported.</w:t>
      </w:r>
    </w:p>
    <w:p>
      <w:pPr>
        <w:spacing w:after="20" w:line="223" w:lineRule="auto"/>
        <w:jc w:val="right"/>
        <w:bidi/>
      </w:pPr>
      <w:r>
        <w:rPr>
          <w:rFonts w:ascii="Arial" w:hAnsi="Arial"/>
          <w:sz w:val="16"/>
        </w:rPr>
        <w:t>317.08  با کمک فرماندهان، سرپرستان و افراد، کارکنان دفتر ایمنی میزبان نظارت بر برنامه ایمنی نصب را انجام می‌دهند و پشتیبانی و راهنمایی برای کمک به حذف اعمال یا شرایط ناایمن ارائه می‌دهند.</w:t>
      </w:r>
    </w:p>
    <w:p>
      <w:pPr>
        <w:spacing w:after="28" w:line="216" w:lineRule="auto"/>
        <w:ind w:left="259"/>
        <w:jc w:val="left"/>
      </w:pPr>
      <w:r>
        <w:rPr>
          <w:rFonts w:ascii="Arial" w:hAnsi="Arial"/>
          <w:color w:val="525252"/>
          <w:sz w:val="13"/>
        </w:rPr>
        <w:t>With the assistance of commanders, supervisors, and individuals, the host safety office staff provides oversight of the installation safety program and provides support and guidance to help eliminate unsafe acts or conditions.</w:t>
      </w:r>
    </w:p>
    <w:p>
      <w:pPr>
        <w:spacing w:after="20" w:line="223" w:lineRule="auto"/>
        <w:jc w:val="right"/>
        <w:bidi/>
      </w:pPr>
      <w:r>
        <w:rPr>
          <w:rFonts w:ascii="Arial" w:hAnsi="Arial"/>
          <w:sz w:val="16"/>
        </w:rPr>
        <w:t>317.09  نماینده ایمنی واحد.</w:t>
      </w:r>
    </w:p>
    <w:p>
      <w:pPr>
        <w:spacing w:after="28" w:line="216" w:lineRule="auto"/>
        <w:ind w:left="259"/>
        <w:jc w:val="left"/>
      </w:pPr>
      <w:r>
        <w:rPr>
          <w:rFonts w:ascii="Arial" w:hAnsi="Arial"/>
          <w:color w:val="525252"/>
          <w:sz w:val="13"/>
        </w:rPr>
        <w:t>Unit Safety Representative.</w:t>
      </w:r>
    </w:p>
    <w:p>
      <w:pPr>
        <w:spacing w:after="20" w:line="223" w:lineRule="auto"/>
        <w:jc w:val="right"/>
        <w:bidi/>
      </w:pPr>
      <w:r>
        <w:rPr>
          <w:rFonts w:ascii="Arial" w:hAnsi="Arial"/>
          <w:sz w:val="16"/>
        </w:rPr>
        <w:t>317.10  برای اطمینان از مشارکت فعال هر واحد در پیشگیری از حوادث ناگوار، فرماندهان برنامه‌های ایمنی و بهداشت را اجرا می‌کنند و یک نماینده ایمنی یگان اصلی و جایگزین را برای کمک به آنها در اجرای برنامه‌های ایمنی خود، شامل تهیه و استفاده مناسب از تجهیزات حفاظت فردی، و انطباق کارگر/تجهیزات با استانداردهای قابل‌اجرا تعیین می‌کنند.</w:t>
      </w:r>
    </w:p>
    <w:p>
      <w:pPr>
        <w:spacing w:after="28" w:line="216" w:lineRule="auto"/>
        <w:ind w:left="259"/>
        <w:jc w:val="left"/>
      </w:pPr>
      <w:r>
        <w:rPr>
          <w:rFonts w:ascii="Arial" w:hAnsi="Arial"/>
          <w:color w:val="525252"/>
          <w:sz w:val="13"/>
        </w:rPr>
        <w:t>To ensure each unit is actively engaged in mishap prevention, commanders will implement safety and health programs and appoint a primary and alternate unit safety representative to assist them in implementing their safety programs, to include procurement and proper use of personal protective equipment, and worker/facility compliance with applicable standards.</w:t>
      </w:r>
    </w:p>
    <w:p>
      <w:pPr>
        <w:spacing w:after="20" w:line="223" w:lineRule="auto"/>
        <w:jc w:val="right"/>
        <w:bidi/>
      </w:pPr>
      <w:r>
        <w:rPr>
          <w:rFonts w:ascii="Arial" w:hAnsi="Arial"/>
          <w:sz w:val="16"/>
        </w:rPr>
        <w:t>317.11  نقش‌های تعبیه شده در برنامه‌های ایمنی واحد شامل استفاده از تکنیک‌های مدیریت ریسک برای تجزیه و تحلیل محیط‌های کاری و وظایف شغلی برای خطرات است. ایجاد خطوط کلی آموزشی ایمنی شغلی ویژه مرکز کار در مورد الزامات ایمنی، پیشگیری از آتش سوزی، حفاظت و بهداشت؛ و بازرسی ماهانه نقطه‌ای از مناطق کار.</w:t>
      </w:r>
    </w:p>
    <w:p>
      <w:pPr>
        <w:spacing w:after="28" w:line="216" w:lineRule="auto"/>
        <w:ind w:left="259"/>
        <w:jc w:val="left"/>
      </w:pPr>
      <w:r>
        <w:rPr>
          <w:rFonts w:ascii="Arial" w:hAnsi="Arial"/>
          <w:color w:val="525252"/>
          <w:sz w:val="13"/>
        </w:rPr>
        <w:t>Roles built into unit safety programs include using risk management techniques to analyze work environments and job tasks for hazards; developing work-center-specific job safety training outlines on safety, fire prevention, protection, and health requirements; and monthly spot inspections of the work areas.</w:t>
      </w:r>
    </w:p>
    <w:p>
      <w:pPr>
        <w:spacing w:after="20" w:line="223" w:lineRule="auto"/>
        <w:jc w:val="right"/>
        <w:bidi/>
      </w:pPr>
      <w:r>
        <w:rPr>
          <w:rFonts w:ascii="Arial" w:hAnsi="Arial"/>
          <w:sz w:val="16"/>
        </w:rPr>
        <w:t>317.12  افراد.</w:t>
      </w:r>
    </w:p>
    <w:p>
      <w:pPr>
        <w:spacing w:after="28" w:line="216" w:lineRule="auto"/>
        <w:ind w:left="259"/>
        <w:jc w:val="left"/>
      </w:pPr>
      <w:r>
        <w:rPr>
          <w:rFonts w:ascii="Arial" w:hAnsi="Arial"/>
          <w:color w:val="525252"/>
          <w:sz w:val="13"/>
        </w:rPr>
        <w:t>Individuals.</w:t>
      </w:r>
    </w:p>
    <w:p>
      <w:pPr>
        <w:spacing w:after="20" w:line="223" w:lineRule="auto"/>
        <w:jc w:val="right"/>
        <w:bidi/>
      </w:pPr>
      <w:r>
        <w:rPr>
          <w:rFonts w:ascii="Arial" w:hAnsi="Arial"/>
          <w:sz w:val="16"/>
        </w:rPr>
        <w:t>317.13  همه افراد نقش حیاتی در پیشگیری از حوادث ناگوار دارند.</w:t>
      </w:r>
    </w:p>
    <w:p>
      <w:pPr>
        <w:spacing w:after="28" w:line="216" w:lineRule="auto"/>
        <w:ind w:left="259"/>
        <w:jc w:val="left"/>
      </w:pPr>
      <w:r>
        <w:rPr>
          <w:rFonts w:ascii="Arial" w:hAnsi="Arial"/>
          <w:color w:val="525252"/>
          <w:sz w:val="13"/>
        </w:rPr>
        <w:t>All individuals hold a vital role in preventing mishaps.</w:t>
      </w:r>
    </w:p>
    <w:p>
      <w:pPr>
        <w:spacing w:after="20" w:line="223" w:lineRule="auto"/>
        <w:jc w:val="right"/>
        <w:bidi/>
      </w:pPr>
      <w:r>
        <w:rPr>
          <w:rFonts w:ascii="Arial" w:hAnsi="Arial"/>
          <w:sz w:val="16"/>
        </w:rPr>
        <w:t>317.14  عدم مداخله زمانی که یک عمل ناامن بالقوه شناسایی می‌شود، شکست در محافظت است.</w:t>
      </w:r>
    </w:p>
    <w:p>
      <w:pPr>
        <w:spacing w:after="28" w:line="216" w:lineRule="auto"/>
        <w:ind w:left="259"/>
        <w:jc w:val="left"/>
      </w:pPr>
      <w:r>
        <w:rPr>
          <w:rFonts w:ascii="Arial" w:hAnsi="Arial"/>
          <w:color w:val="525252"/>
          <w:sz w:val="13"/>
        </w:rPr>
        <w:t>A failure to intervene when a potential unsafe act is identified is a failure to protect.</w:t>
      </w:r>
    </w:p>
    <w:p>
      <w:pPr>
        <w:spacing w:after="20" w:line="223" w:lineRule="auto"/>
        <w:jc w:val="right"/>
        <w:bidi/>
      </w:pPr>
      <w:r>
        <w:rPr>
          <w:rFonts w:ascii="Arial" w:hAnsi="Arial"/>
          <w:sz w:val="16"/>
        </w:rPr>
        <w:t>317.15  هر عضو DAF مسئول در نظر گرفتن ایمنی شخصی خود و سایرین هنگام شرکت در فعالیت‌های حین و خارج از وظیفه است.</w:t>
      </w:r>
    </w:p>
    <w:p>
      <w:pPr>
        <w:spacing w:after="28" w:line="216" w:lineRule="auto"/>
        <w:ind w:left="259"/>
        <w:jc w:val="left"/>
      </w:pPr>
      <w:r>
        <w:rPr>
          <w:rFonts w:ascii="Arial" w:hAnsi="Arial"/>
          <w:color w:val="525252"/>
          <w:sz w:val="13"/>
        </w:rPr>
        <w:t>Every DAF member is accountable for considering their personal safety and the safety of others when participating in on- and off-duty activities.</w:t>
      </w:r>
    </w:p>
    <w:p>
      <w:pPr>
        <w:spacing w:after="20" w:line="223" w:lineRule="auto"/>
        <w:jc w:val="right"/>
        <w:bidi/>
      </w:pPr>
      <w:r>
        <w:rPr>
          <w:rFonts w:ascii="Arial" w:hAnsi="Arial"/>
          <w:sz w:val="16"/>
        </w:rPr>
        <w:t>317.16  افراد مسئول رعایت کلیه دستورالعمل‌های ایمنی، دستورات فنی، راهنماهای شغلی و رویه‌های عملیاتی هستند.</w:t>
      </w:r>
    </w:p>
    <w:p>
      <w:pPr>
        <w:spacing w:after="28" w:line="216" w:lineRule="auto"/>
        <w:ind w:left="259"/>
        <w:jc w:val="left"/>
      </w:pPr>
      <w:r>
        <w:rPr>
          <w:rFonts w:ascii="Arial" w:hAnsi="Arial"/>
          <w:color w:val="525252"/>
          <w:sz w:val="13"/>
        </w:rPr>
        <w:t>Individuals are responsible for complying with all safety instructions, technical orders, job guides, and operating procedures.</w:t>
      </w:r>
    </w:p>
    <w:p>
      <w:pPr>
        <w:spacing w:after="20" w:line="223" w:lineRule="auto"/>
        <w:jc w:val="right"/>
        <w:bidi/>
      </w:pPr>
      <w:r>
        <w:rPr>
          <w:rFonts w:ascii="Arial" w:hAnsi="Arial"/>
          <w:sz w:val="16"/>
        </w:rPr>
        <w:t>317.17  آنها شرایط خطرناکی را شناسایی و گزارش می‌کنند که پرسنل یا اموال DAF را در معرض خطر قرار می‌دهد و/یا خطر را با استفاده از فرم AF ۴۵۷ ارسال می‌کند.</w:t>
      </w:r>
    </w:p>
    <w:p>
      <w:pPr>
        <w:spacing w:after="28" w:line="216" w:lineRule="auto"/>
        <w:ind w:left="259"/>
        <w:jc w:val="left"/>
      </w:pPr>
      <w:r>
        <w:rPr>
          <w:rFonts w:ascii="Arial" w:hAnsi="Arial"/>
          <w:color w:val="525252"/>
          <w:sz w:val="13"/>
        </w:rPr>
        <w:t>They identify and report hazardous conditions that place DAF personnel or property at risk to supervision and/or submit the hazard using the AF Form 457.</w:t>
      </w:r>
    </w:p>
    <w:p>
      <w:pPr>
        <w:spacing w:after="20" w:line="223" w:lineRule="auto"/>
        <w:jc w:val="right"/>
        <w:bidi/>
      </w:pPr>
      <w:r>
        <w:rPr>
          <w:rFonts w:ascii="Arial" w:hAnsi="Arial"/>
          <w:sz w:val="16"/>
        </w:rPr>
        <w:t>317.18  مرکز ایمنی نیروی هوایی.</w:t>
      </w:r>
    </w:p>
    <w:p>
      <w:pPr>
        <w:spacing w:after="28" w:line="216" w:lineRule="auto"/>
        <w:ind w:left="259"/>
        <w:jc w:val="left"/>
      </w:pPr>
      <w:r>
        <w:rPr>
          <w:rFonts w:ascii="Arial" w:hAnsi="Arial"/>
          <w:color w:val="525252"/>
          <w:sz w:val="13"/>
        </w:rPr>
        <w:t>Air Force Safety Center.</w:t>
      </w:r>
    </w:p>
    <w:p>
      <w:pPr>
        <w:spacing w:after="20" w:line="223" w:lineRule="auto"/>
        <w:jc w:val="right"/>
        <w:bidi/>
      </w:pPr>
      <w:r>
        <w:rPr>
          <w:rFonts w:ascii="Arial" w:hAnsi="Arial"/>
          <w:sz w:val="16"/>
        </w:rPr>
        <w:t>317.19  به‌عنوان یکی از اجزای کلیدی برنامه پیشگیری از حوادث ناگوار DAF، مرکز ایمنی نیروی هوایی برای تضمین یک محیط امن و طرز فکر ایمنی برای همه هوانوردان و نگهبانان کار می‌کند.</w:t>
      </w:r>
    </w:p>
    <w:p>
      <w:pPr>
        <w:spacing w:after="28" w:line="216" w:lineRule="auto"/>
        <w:ind w:left="259"/>
        <w:jc w:val="left"/>
      </w:pPr>
      <w:r>
        <w:rPr>
          <w:rFonts w:ascii="Arial" w:hAnsi="Arial"/>
          <w:color w:val="525252"/>
          <w:sz w:val="13"/>
        </w:rPr>
        <w:t>As a key component of the DAF Mishap Prevention Program, the Air Force Safety Center works to ensure a safe environment and a safety mindset for all Airmen and Guardians.</w:t>
      </w:r>
    </w:p>
    <w:p>
      <w:pPr>
        <w:spacing w:after="20" w:line="223" w:lineRule="auto"/>
        <w:jc w:val="right"/>
        <w:bidi/>
      </w:pPr>
      <w:r>
        <w:rPr>
          <w:rFonts w:ascii="Arial" w:hAnsi="Arial"/>
          <w:sz w:val="16"/>
        </w:rPr>
        <w:t>317.20  رئیس ایمنی، که عنوان فرمانده، مرکز ایمنی نیروی هوایی را نیز دارد، ریاست سازمان را برعهده دارد و با معاون رئیس ایمنی و کارکنان پشتیبانی در پنتاگون مستقر است.</w:t>
      </w:r>
    </w:p>
    <w:p>
      <w:pPr>
        <w:spacing w:after="28" w:line="216" w:lineRule="auto"/>
        <w:ind w:left="259"/>
        <w:jc w:val="left"/>
      </w:pPr>
      <w:r>
        <w:rPr>
          <w:rFonts w:ascii="Arial" w:hAnsi="Arial"/>
          <w:color w:val="525252"/>
          <w:sz w:val="13"/>
        </w:rPr>
        <w:t>The Chief of Safety, who also holds the title of Commander, Air Force Safety Center, heads the organization and is located at the Pentagon with the Deputy Chief of Safety and support staff.</w:t>
      </w:r>
    </w:p>
    <w:p>
      <w:pPr>
        <w:spacing w:after="20" w:line="223" w:lineRule="auto"/>
        <w:jc w:val="right"/>
        <w:bidi/>
      </w:pPr>
      <w:r>
        <w:rPr>
          <w:rFonts w:ascii="Arial" w:hAnsi="Arial"/>
          <w:sz w:val="16"/>
        </w:rPr>
        <w:t>317.21  مرکز ایمنی نیروی هوایی از معاون فرمانده و ۱۰ لشکر در پایگاه نیروی هوایی کرتلند تشکیل شده است.</w:t>
      </w:r>
    </w:p>
    <w:p>
      <w:pPr>
        <w:spacing w:after="28" w:line="216" w:lineRule="auto"/>
        <w:ind w:left="259"/>
        <w:jc w:val="left"/>
      </w:pPr>
      <w:r>
        <w:rPr>
          <w:rFonts w:ascii="Arial" w:hAnsi="Arial"/>
          <w:color w:val="525252"/>
          <w:sz w:val="13"/>
        </w:rPr>
        <w:t>The Air Force Safety Center is composed of the Vice Commander and 10 divisions at Kirtland Air Force Base.</w:t>
      </w:r>
    </w:p>
    <w:p>
      <w:pPr>
        <w:spacing w:after="20" w:line="223" w:lineRule="auto"/>
        <w:jc w:val="right"/>
        <w:bidi/>
      </w:pPr>
      <w:r>
        <w:rPr>
          <w:rFonts w:ascii="Arial" w:hAnsi="Arial"/>
          <w:sz w:val="16"/>
        </w:rPr>
        <w:t>317.22  آژانس‌های متعددی وجود دارند که مستقیما با مرکز ایمنی نیروی هوایی مرتبط هستند که دارای مسئولیت‌های تخصصی درباره تضمین و حفظ ایمنی در DAF هستند.</w:t>
      </w:r>
    </w:p>
    <w:p>
      <w:pPr>
        <w:spacing w:after="28" w:line="216" w:lineRule="auto"/>
        <w:ind w:left="259"/>
        <w:jc w:val="left"/>
      </w:pPr>
      <w:r>
        <w:rPr>
          <w:rFonts w:ascii="Arial" w:hAnsi="Arial"/>
          <w:color w:val="525252"/>
          <w:sz w:val="13"/>
        </w:rPr>
        <w:t>There are several agencies directly linked to the Air Force Safety Center that have specialized areas of responsibility with regard to ensuring and maintaining safety in the DAF.</w:t>
      </w:r>
    </w:p>
    <w:p>
      <w:pPr>
        <w:spacing w:after="20" w:line="223" w:lineRule="auto"/>
        <w:jc w:val="right"/>
        <w:bidi/>
      </w:pPr>
      <w:r>
        <w:rPr>
          <w:rFonts w:ascii="Arial" w:hAnsi="Arial"/>
          <w:sz w:val="16"/>
        </w:rPr>
        <w:t>317.23  بخش تحلیل و عملیات فضای مجازی.</w:t>
      </w:r>
    </w:p>
    <w:p>
      <w:pPr>
        <w:spacing w:after="28" w:line="216" w:lineRule="auto"/>
        <w:ind w:left="259"/>
        <w:jc w:val="left"/>
      </w:pPr>
      <w:r>
        <w:rPr>
          <w:rFonts w:ascii="Arial" w:hAnsi="Arial"/>
          <w:color w:val="525252"/>
          <w:sz w:val="13"/>
        </w:rPr>
        <w:t>Analysis and Cyberspace Operations Division.</w:t>
      </w:r>
    </w:p>
    <w:p>
      <w:pPr>
        <w:spacing w:after="20" w:line="223" w:lineRule="auto"/>
        <w:jc w:val="right"/>
        <w:bidi/>
      </w:pPr>
      <w:r>
        <w:rPr>
          <w:rFonts w:ascii="Arial" w:hAnsi="Arial"/>
          <w:sz w:val="16"/>
        </w:rPr>
        <w:t>317.24  مأموریت بخش تجزیه و تحلیل و عملیات فضای سایبری، استفاده از فناوری اطلاعات، به روشی مقرون به صرفه، برای حمایت از مأموریت ایمنی برای نیروهای هوایی و فضایی است.</w:t>
      </w:r>
    </w:p>
    <w:p>
      <w:pPr>
        <w:spacing w:after="28" w:line="216" w:lineRule="auto"/>
        <w:ind w:left="259"/>
        <w:jc w:val="left"/>
      </w:pPr>
      <w:r>
        <w:rPr>
          <w:rFonts w:ascii="Arial" w:hAnsi="Arial"/>
          <w:color w:val="525252"/>
          <w:sz w:val="13"/>
        </w:rPr>
        <w:t>The Analysis and Cyberspace Operations Division mission is to leverage information technology, in a cost effective manner, to support the safety mission for the Air and Space Forces.</w:t>
      </w:r>
    </w:p>
    <w:p>
      <w:pPr>
        <w:spacing w:after="20" w:line="223" w:lineRule="auto"/>
        <w:jc w:val="right"/>
        <w:bidi/>
      </w:pPr>
      <w:r>
        <w:rPr>
          <w:rFonts w:ascii="Arial" w:hAnsi="Arial"/>
          <w:sz w:val="16"/>
        </w:rPr>
        <w:t>317.25  این بخش، سیستم گزارش‌دهی ایمنی منحصربه‌فردی به نام سیستم خودکار ایمنی نیروی هوایی (AFSAS) را توسعه داده و حفظ می‌کند که داده‌های مربوط به ایمنی را جمع‌آوری و نگهداری می‌کند، که توسط انجمن‌های ایمنی DAF و وزارت دفاع برای بررسی حوادث ناگوار، و کاهش خطرات برای همه رشته‌های ایمنی استفاده می‌شود.</w:t>
      </w:r>
    </w:p>
    <w:p>
      <w:pPr>
        <w:spacing w:after="28" w:line="216" w:lineRule="auto"/>
        <w:ind w:left="259"/>
        <w:jc w:val="left"/>
      </w:pPr>
      <w:r>
        <w:rPr>
          <w:rFonts w:ascii="Arial" w:hAnsi="Arial"/>
          <w:color w:val="525252"/>
          <w:sz w:val="13"/>
        </w:rPr>
        <w:t>The division develops and sustains the unique safety reporting system called the Air Force Safety Automated System (AFSAS) which collects and maintains safety related data, used by the DAF and DoD safety communities to investigate mishaps, and mitigate hazards for all safety disciplines.</w:t>
      </w:r>
    </w:p>
    <w:p>
      <w:pPr>
        <w:spacing w:after="20" w:line="223" w:lineRule="auto"/>
        <w:jc w:val="right"/>
        <w:bidi/>
      </w:pPr>
      <w:r>
        <w:rPr>
          <w:rFonts w:ascii="Arial" w:hAnsi="Arial"/>
          <w:sz w:val="16"/>
        </w:rPr>
        <w:t>317.26  این سیستم همچنین قابلیت تحلیل و روند را از طریق پایگاه داده ایمنی جامع خود ارائه می‌دهد.</w:t>
      </w:r>
    </w:p>
    <w:p>
      <w:pPr>
        <w:spacing w:after="28" w:line="216" w:lineRule="auto"/>
        <w:ind w:left="259"/>
        <w:jc w:val="left"/>
      </w:pPr>
      <w:r>
        <w:rPr>
          <w:rFonts w:ascii="Arial" w:hAnsi="Arial"/>
          <w:color w:val="525252"/>
          <w:sz w:val="13"/>
        </w:rPr>
        <w:t>This system also provides an analysis and trending capability through its comprehensive safety database.</w:t>
      </w:r>
    </w:p>
    <w:p>
      <w:pPr>
        <w:spacing w:after="20" w:line="223" w:lineRule="auto"/>
        <w:jc w:val="right"/>
        <w:bidi/>
      </w:pPr>
      <w:r>
        <w:rPr>
          <w:rFonts w:ascii="Arial" w:hAnsi="Arial"/>
          <w:sz w:val="16"/>
        </w:rPr>
        <w:t>317.27  این پایگاه داده مرکز ایمنی را قادر می‌سازد تا به سرعت به نیازهای مشتری داخلی و خارجی برای داده‌های ایمنی ناگوار پاسخ دهد.</w:t>
      </w:r>
    </w:p>
    <w:p>
      <w:pPr>
        <w:spacing w:after="28" w:line="216" w:lineRule="auto"/>
        <w:ind w:left="259"/>
        <w:jc w:val="left"/>
      </w:pPr>
      <w:r>
        <w:rPr>
          <w:rFonts w:ascii="Arial" w:hAnsi="Arial"/>
          <w:color w:val="525252"/>
          <w:sz w:val="13"/>
        </w:rPr>
        <w:t>This database enables the safety center to rapidly respond to both internal and external customer requirements for mishap safety data.</w:t>
      </w:r>
    </w:p>
    <w:p>
      <w:pPr>
        <w:spacing w:after="20" w:line="223" w:lineRule="auto"/>
        <w:jc w:val="right"/>
        <w:bidi/>
      </w:pPr>
      <w:r>
        <w:rPr>
          <w:rFonts w:ascii="Arial" w:hAnsi="Arial"/>
          <w:sz w:val="16"/>
        </w:rPr>
        <w:t>317.28  این بخش همچنین از تمامی امنیت سایبری، ارتباطات و فناوری اطلاعات پشتیبانی می‌کند.</w:t>
      </w:r>
    </w:p>
    <w:p>
      <w:pPr>
        <w:spacing w:after="28" w:line="216" w:lineRule="auto"/>
        <w:ind w:left="259"/>
        <w:jc w:val="left"/>
      </w:pPr>
      <w:r>
        <w:rPr>
          <w:rFonts w:ascii="Arial" w:hAnsi="Arial"/>
          <w:color w:val="525252"/>
          <w:sz w:val="13"/>
        </w:rPr>
        <w:t>The division also supports all cyber security, communications, and information technology</w:t>
      </w:r>
    </w:p>
    <w:p>
      <w:r>
        <w:br w:type="page"/>
      </w:r>
    </w:p>
    <w:p>
      <w:pPr>
        <w:spacing w:after="60"/>
        <w:jc w:val="right"/>
        <w:bidi/>
      </w:pPr>
      <w:r>
        <w:rPr>
          <w:rFonts w:ascii="Arial" w:hAnsi="Arial"/>
          <w:b/>
          <w:color w:val="1F4D78"/>
          <w:sz w:val="19"/>
        </w:rPr>
        <w:t>هفتهٔ 318  |  صفحهٔ منبع: 334</w:t>
      </w:r>
    </w:p>
    <w:p>
      <w:pPr>
        <w:spacing w:after="20" w:line="223" w:lineRule="auto"/>
        <w:jc w:val="right"/>
        <w:bidi/>
      </w:pPr>
      <w:r>
        <w:rPr>
          <w:rFonts w:ascii="Arial" w:hAnsi="Arial"/>
          <w:sz w:val="16"/>
        </w:rPr>
        <w:t>318.01  برای کل مرکز ایمنی.</w:t>
      </w:r>
    </w:p>
    <w:p>
      <w:pPr>
        <w:spacing w:after="28" w:line="216" w:lineRule="auto"/>
        <w:ind w:left="259"/>
        <w:jc w:val="left"/>
      </w:pPr>
      <w:r>
        <w:rPr>
          <w:rFonts w:ascii="Arial" w:hAnsi="Arial"/>
          <w:color w:val="525252"/>
          <w:sz w:val="13"/>
        </w:rPr>
        <w:t>systems for the entire safety center.</w:t>
      </w:r>
    </w:p>
    <w:p>
      <w:pPr>
        <w:spacing w:after="20" w:line="223" w:lineRule="auto"/>
        <w:jc w:val="right"/>
        <w:bidi/>
      </w:pPr>
      <w:r>
        <w:rPr>
          <w:rFonts w:ascii="Arial" w:hAnsi="Arial"/>
          <w:sz w:val="16"/>
        </w:rPr>
        <w:t>318.02  بخش ایمنی هوانوردی.</w:t>
      </w:r>
    </w:p>
    <w:p>
      <w:pPr>
        <w:spacing w:after="28" w:line="216" w:lineRule="auto"/>
        <w:ind w:left="259"/>
        <w:jc w:val="left"/>
      </w:pPr>
      <w:r>
        <w:rPr>
          <w:rFonts w:ascii="Arial" w:hAnsi="Arial"/>
          <w:color w:val="525252"/>
          <w:sz w:val="13"/>
        </w:rPr>
        <w:t>Aviation Safety Division.</w:t>
      </w:r>
    </w:p>
    <w:p>
      <w:pPr>
        <w:spacing w:after="20" w:line="223" w:lineRule="auto"/>
        <w:jc w:val="right"/>
        <w:bidi/>
      </w:pPr>
      <w:r>
        <w:rPr>
          <w:rFonts w:ascii="Arial" w:hAnsi="Arial"/>
          <w:sz w:val="16"/>
        </w:rPr>
        <w:t>318.03  بخش ایمنی هوانوردی متشکل از متخصصان آموزش دیده ایمنی است که دامنه پرواز را در بر می‌گیرند.</w:t>
      </w:r>
    </w:p>
    <w:p>
      <w:pPr>
        <w:spacing w:after="28" w:line="216" w:lineRule="auto"/>
        <w:ind w:left="259"/>
        <w:jc w:val="left"/>
      </w:pPr>
      <w:r>
        <w:rPr>
          <w:rFonts w:ascii="Arial" w:hAnsi="Arial"/>
          <w:color w:val="525252"/>
          <w:sz w:val="13"/>
        </w:rPr>
        <w:t>The Aviation Safety Division consists of safety-trained professionals spanning the domain of flight.</w:t>
      </w:r>
    </w:p>
    <w:p>
      <w:pPr>
        <w:spacing w:after="20" w:line="223" w:lineRule="auto"/>
        <w:jc w:val="right"/>
        <w:bidi/>
      </w:pPr>
      <w:r>
        <w:rPr>
          <w:rFonts w:ascii="Arial" w:hAnsi="Arial"/>
          <w:sz w:val="16"/>
        </w:rPr>
        <w:t>318.04  این بخش با ایجاد سیاست ایمنی هوانوردی DAF، ترویج برنامه‌های پیشگیری از حوادث ناگوار برای همه دارایی‌های هوانوردی و از طریق ایجاد برنامه‌های ایمنی پیشگیرانه، توانایی جنگ را حفظ می‌کند.</w:t>
      </w:r>
    </w:p>
    <w:p>
      <w:pPr>
        <w:spacing w:after="28" w:line="216" w:lineRule="auto"/>
        <w:ind w:left="259"/>
        <w:jc w:val="left"/>
      </w:pPr>
      <w:r>
        <w:rPr>
          <w:rFonts w:ascii="Arial" w:hAnsi="Arial"/>
          <w:color w:val="525252"/>
          <w:sz w:val="13"/>
        </w:rPr>
        <w:t>The division preserves warfighting capability by establishing DAF aviation safety policy, promoting mishap prevention programs for all aviation assets and through the establishment of proactive safety programs.</w:t>
      </w:r>
    </w:p>
    <w:p>
      <w:pPr>
        <w:spacing w:after="20" w:line="223" w:lineRule="auto"/>
        <w:jc w:val="right"/>
        <w:bidi/>
      </w:pPr>
      <w:r>
        <w:rPr>
          <w:rFonts w:ascii="Arial" w:hAnsi="Arial"/>
          <w:sz w:val="16"/>
        </w:rPr>
        <w:t>318.05  بر فرآیند بررسی حوادث هوایی، جمع‌آوری و دقت داده‌های ایمنی پرواز و انجام اقدامات کاهش خطر نظارت می‌کند.</w:t>
      </w:r>
    </w:p>
    <w:p>
      <w:pPr>
        <w:spacing w:after="28" w:line="216" w:lineRule="auto"/>
        <w:ind w:left="259"/>
        <w:jc w:val="left"/>
      </w:pPr>
      <w:r>
        <w:rPr>
          <w:rFonts w:ascii="Arial" w:hAnsi="Arial"/>
          <w:color w:val="525252"/>
          <w:sz w:val="13"/>
        </w:rPr>
        <w:t>It oversees the aviation mishap investigative process, the collection and accuracy of flight safety data and the disposition of risk-mitigating actions.</w:t>
      </w:r>
    </w:p>
    <w:p>
      <w:pPr>
        <w:spacing w:after="20" w:line="223" w:lineRule="auto"/>
        <w:jc w:val="right"/>
        <w:bidi/>
      </w:pPr>
      <w:r>
        <w:rPr>
          <w:rFonts w:ascii="Arial" w:hAnsi="Arial"/>
          <w:sz w:val="16"/>
        </w:rPr>
        <w:t>318.06  مهندسی و تحلیل‌های عملیاتی فعال و فعال در مورد مسائل ایمنی پرواز را ارائه می‌دهد.</w:t>
      </w:r>
    </w:p>
    <w:p>
      <w:pPr>
        <w:spacing w:after="28" w:line="216" w:lineRule="auto"/>
        <w:ind w:left="259"/>
        <w:jc w:val="left"/>
      </w:pPr>
      <w:r>
        <w:rPr>
          <w:rFonts w:ascii="Arial" w:hAnsi="Arial"/>
          <w:color w:val="525252"/>
          <w:sz w:val="13"/>
        </w:rPr>
        <w:t>It provides proactive and reactive engineering and operational analyses of flight safety issues.</w:t>
      </w:r>
    </w:p>
    <w:p>
      <w:pPr>
        <w:spacing w:after="20" w:line="223" w:lineRule="auto"/>
        <w:jc w:val="right"/>
        <w:bidi/>
      </w:pPr>
      <w:r>
        <w:rPr>
          <w:rFonts w:ascii="Arial" w:hAnsi="Arial"/>
          <w:sz w:val="16"/>
        </w:rPr>
        <w:t>318.07  به‌علاوه، این بخش، برنامه اطلاعات هواپیمای ضبط شده، برنامه گزارش ترافیک هوایی خطرناک، برنامه خطر حمله هواپیمای پرندگان/حیات وحش و تاسیسات تحلیل و انیمیشن اشتباهات را هدایت می‌کند.</w:t>
      </w:r>
    </w:p>
    <w:p>
      <w:pPr>
        <w:spacing w:after="28" w:line="216" w:lineRule="auto"/>
        <w:ind w:left="259"/>
        <w:jc w:val="left"/>
      </w:pPr>
      <w:r>
        <w:rPr>
          <w:rFonts w:ascii="Arial" w:hAnsi="Arial"/>
          <w:color w:val="525252"/>
          <w:sz w:val="13"/>
        </w:rPr>
        <w:t>Additionally, the division directs the Recorded Aircraft Information Program, the Hazardous Air Traffic Report Program, the Bird/Wildlife Aircraft Strike Hazard Program and the Mishap Analysis and Animation Facility.</w:t>
      </w:r>
    </w:p>
    <w:p>
      <w:pPr>
        <w:spacing w:after="20" w:line="223" w:lineRule="auto"/>
        <w:jc w:val="right"/>
        <w:bidi/>
      </w:pPr>
      <w:r>
        <w:rPr>
          <w:rFonts w:ascii="Arial" w:hAnsi="Arial"/>
          <w:sz w:val="16"/>
        </w:rPr>
        <w:t>318.08  بخش ایمنی شغلی.</w:t>
      </w:r>
    </w:p>
    <w:p>
      <w:pPr>
        <w:spacing w:after="28" w:line="216" w:lineRule="auto"/>
        <w:ind w:left="259"/>
        <w:jc w:val="left"/>
      </w:pPr>
      <w:r>
        <w:rPr>
          <w:rFonts w:ascii="Arial" w:hAnsi="Arial"/>
          <w:color w:val="525252"/>
          <w:sz w:val="13"/>
        </w:rPr>
        <w:t>Occupational Safety Division.</w:t>
      </w:r>
    </w:p>
    <w:p>
      <w:pPr>
        <w:spacing w:after="20" w:line="223" w:lineRule="auto"/>
        <w:jc w:val="right"/>
        <w:bidi/>
      </w:pPr>
      <w:r>
        <w:rPr>
          <w:rFonts w:ascii="Arial" w:hAnsi="Arial"/>
          <w:sz w:val="16"/>
        </w:rPr>
        <w:t>318.09  بخش ایمنی شغلی برنامه ایمنی شغلی DAF شامل عملیاتی، صنعتی، شغلی، ورزشی و تفریحی و ایمنی ترافیک را مدیریت می‌کند.</w:t>
      </w:r>
    </w:p>
    <w:p>
      <w:pPr>
        <w:spacing w:after="28" w:line="216" w:lineRule="auto"/>
        <w:ind w:left="259"/>
        <w:jc w:val="left"/>
      </w:pPr>
      <w:r>
        <w:rPr>
          <w:rFonts w:ascii="Arial" w:hAnsi="Arial"/>
          <w:color w:val="525252"/>
          <w:sz w:val="13"/>
        </w:rPr>
        <w:t>The Occupational Safety Division manages the DAF occupational safety program, including operational, industrial, occupational, sports and recreation, and traffic safety.</w:t>
      </w:r>
    </w:p>
    <w:p>
      <w:pPr>
        <w:spacing w:after="20" w:line="223" w:lineRule="auto"/>
        <w:jc w:val="right"/>
        <w:bidi/>
      </w:pPr>
      <w:r>
        <w:rPr>
          <w:rFonts w:ascii="Arial" w:hAnsi="Arial"/>
          <w:sz w:val="16"/>
        </w:rPr>
        <w:t>318.10  این بخش مسئولیت نظارت بر تلاش‌های برنامه مدیریت ریسک ایمنی برای برنامه پیشگیری از حوادث ناگوار DAF را بر عهده دارد.</w:t>
      </w:r>
    </w:p>
    <w:p>
      <w:pPr>
        <w:spacing w:after="28" w:line="216" w:lineRule="auto"/>
        <w:ind w:left="259"/>
        <w:jc w:val="left"/>
      </w:pPr>
      <w:r>
        <w:rPr>
          <w:rFonts w:ascii="Arial" w:hAnsi="Arial"/>
          <w:color w:val="525252"/>
          <w:sz w:val="13"/>
        </w:rPr>
        <w:t>This division has oversight responsibility for the safety risk management program efforts for the DAF mishap prevention program.</w:t>
      </w:r>
    </w:p>
    <w:p>
      <w:pPr>
        <w:spacing w:after="20" w:line="223" w:lineRule="auto"/>
        <w:jc w:val="right"/>
        <w:bidi/>
      </w:pPr>
      <w:r>
        <w:rPr>
          <w:rFonts w:ascii="Arial" w:hAnsi="Arial"/>
          <w:sz w:val="16"/>
        </w:rPr>
        <w:t>318.11  بر ادغام بازرسی‌های ایمنی، ارزیابی‌ها و سیاست ارزیابی در ارتباط با بازرس کل USAF نظارت می‌کند.</w:t>
      </w:r>
    </w:p>
    <w:p>
      <w:pPr>
        <w:spacing w:after="28" w:line="216" w:lineRule="auto"/>
        <w:ind w:left="259"/>
        <w:jc w:val="left"/>
      </w:pPr>
      <w:r>
        <w:rPr>
          <w:rFonts w:ascii="Arial" w:hAnsi="Arial"/>
          <w:color w:val="525252"/>
          <w:sz w:val="13"/>
        </w:rPr>
        <w:t>It oversees integration of safety inspections, assessments, and evaluation policy in conjunction with the USAF inspector general.</w:t>
      </w:r>
    </w:p>
    <w:p>
      <w:pPr>
        <w:spacing w:after="20" w:line="223" w:lineRule="auto"/>
        <w:jc w:val="right"/>
        <w:bidi/>
      </w:pPr>
      <w:r>
        <w:rPr>
          <w:rFonts w:ascii="Arial" w:hAnsi="Arial"/>
          <w:sz w:val="16"/>
        </w:rPr>
        <w:t>318.12  این بخش استانداردهای ایمنی نیروهای هوایی و فضایی را مدیریت می‌کند و استانداردهای وزارت کار و صنعت را برای اجرا در سراسر DAF تفسیر می‌کند.</w:t>
      </w:r>
    </w:p>
    <w:p>
      <w:pPr>
        <w:spacing w:after="28" w:line="216" w:lineRule="auto"/>
        <w:ind w:left="259"/>
        <w:jc w:val="left"/>
      </w:pPr>
      <w:r>
        <w:rPr>
          <w:rFonts w:ascii="Arial" w:hAnsi="Arial"/>
          <w:color w:val="525252"/>
          <w:sz w:val="13"/>
        </w:rPr>
        <w:t>The division manages Air and Space Forces safety standards and interprets Department of Labor and industry standards for implementation throughout the DAF.</w:t>
      </w:r>
    </w:p>
    <w:p>
      <w:pPr>
        <w:spacing w:after="20" w:line="223" w:lineRule="auto"/>
        <w:jc w:val="right"/>
        <w:bidi/>
      </w:pPr>
      <w:r>
        <w:rPr>
          <w:rFonts w:ascii="Arial" w:hAnsi="Arial"/>
          <w:sz w:val="16"/>
        </w:rPr>
        <w:t>318.13  این بخش ارزیابی‌هایی را از بررسی‌های ناگوار ایمنی شغلی در سطح خدمات انجام می‌دهد و از طریق سرگرد و فرماندهی میدانی والدینشان به بازرسان در میدان مشاوره ارائه می‌دهد.</w:t>
      </w:r>
    </w:p>
    <w:p>
      <w:pPr>
        <w:spacing w:after="28" w:line="216" w:lineRule="auto"/>
        <w:ind w:left="259"/>
        <w:jc w:val="left"/>
      </w:pPr>
      <w:r>
        <w:rPr>
          <w:rFonts w:ascii="Arial" w:hAnsi="Arial"/>
          <w:color w:val="525252"/>
          <w:sz w:val="13"/>
        </w:rPr>
        <w:t>The division conducts evaluations of service-wide occupational safety mishap investigations and provides advice to investigators in the field through their parent Major and Field Commands.</w:t>
      </w:r>
    </w:p>
    <w:p>
      <w:pPr>
        <w:spacing w:after="20" w:line="223" w:lineRule="auto"/>
        <w:jc w:val="right"/>
        <w:bidi/>
      </w:pPr>
      <w:r>
        <w:rPr>
          <w:rFonts w:ascii="Arial" w:hAnsi="Arial"/>
          <w:sz w:val="16"/>
        </w:rPr>
        <w:t>318.14  این بخش مسئول توسعه و محتوای دوره‌های آموزشی رسمی مرتبط با ایمنی شغلی برای سرپرستان و متخصصان ایمنی است.</w:t>
      </w:r>
    </w:p>
    <w:p>
      <w:pPr>
        <w:spacing w:after="28" w:line="216" w:lineRule="auto"/>
        <w:ind w:left="259"/>
        <w:jc w:val="left"/>
      </w:pPr>
      <w:r>
        <w:rPr>
          <w:rFonts w:ascii="Arial" w:hAnsi="Arial"/>
          <w:color w:val="525252"/>
          <w:sz w:val="13"/>
        </w:rPr>
        <w:t>The division is responsible for the development and content of formal occupational safety-related training courses for supervisors and safety professionals.</w:t>
      </w:r>
    </w:p>
    <w:p>
      <w:pPr>
        <w:spacing w:after="20" w:line="223" w:lineRule="auto"/>
        <w:jc w:val="right"/>
        <w:bidi/>
      </w:pPr>
      <w:r>
        <w:rPr>
          <w:rFonts w:ascii="Arial" w:hAnsi="Arial"/>
          <w:sz w:val="16"/>
        </w:rPr>
        <w:t>318.15  خط‌مشی‌ها، برنامه‌ها و رویه‌های ایمنی شغلی را توسعه داده و بر آن نظارت می‌کند تا محیط کار ایمن را فراهم کند و ایمنی هوانوردان و نگهبانان را در زمان خارج از وظیفه افزایش دهد تا به حفظ توانایی و آمادگی رزمی کمک کند.</w:t>
      </w:r>
    </w:p>
    <w:p>
      <w:pPr>
        <w:spacing w:after="28" w:line="216" w:lineRule="auto"/>
        <w:ind w:left="259"/>
        <w:jc w:val="left"/>
      </w:pPr>
      <w:r>
        <w:rPr>
          <w:rFonts w:ascii="Arial" w:hAnsi="Arial"/>
          <w:color w:val="525252"/>
          <w:sz w:val="13"/>
        </w:rPr>
        <w:t>It develops and oversees occupational safety policy, programs, and procedures to provide a safe work environment and enhance the safety of Airmen and Guardians while off duty to help maintain combat capability and readiness.</w:t>
      </w:r>
    </w:p>
    <w:p>
      <w:pPr>
        <w:spacing w:after="20" w:line="223" w:lineRule="auto"/>
        <w:jc w:val="right"/>
        <w:bidi/>
      </w:pPr>
      <w:r>
        <w:rPr>
          <w:rFonts w:ascii="Arial" w:hAnsi="Arial"/>
          <w:sz w:val="16"/>
        </w:rPr>
        <w:t>318.16  این دفتر USAF مسئول کلیه رهنمودها و فرآیندهای مربوط به OSHA برای برخورد با وزارت کار درباره بازرسی‌ها، تحقیقات و نگهداری سوابق است.</w:t>
      </w:r>
    </w:p>
    <w:p>
      <w:pPr>
        <w:spacing w:after="28" w:line="216" w:lineRule="auto"/>
        <w:ind w:left="259"/>
        <w:jc w:val="left"/>
      </w:pPr>
      <w:r>
        <w:rPr>
          <w:rFonts w:ascii="Arial" w:hAnsi="Arial"/>
          <w:color w:val="525252"/>
          <w:sz w:val="13"/>
        </w:rPr>
        <w:t>It is the USAF office of responsibility for all OSHA-related guidance and processes for dealing with the Department of Labor in regard to inspections, investigations, and recordkeeping.</w:t>
      </w:r>
    </w:p>
    <w:p>
      <w:pPr>
        <w:spacing w:after="20" w:line="223" w:lineRule="auto"/>
        <w:jc w:val="right"/>
        <w:bidi/>
      </w:pPr>
      <w:r>
        <w:rPr>
          <w:rFonts w:ascii="Arial" w:hAnsi="Arial"/>
          <w:sz w:val="16"/>
        </w:rPr>
        <w:t>318.17  بخش عملکرد انسانی.</w:t>
      </w:r>
    </w:p>
    <w:p>
      <w:pPr>
        <w:spacing w:after="28" w:line="216" w:lineRule="auto"/>
        <w:ind w:left="259"/>
        <w:jc w:val="left"/>
      </w:pPr>
      <w:r>
        <w:rPr>
          <w:rFonts w:ascii="Arial" w:hAnsi="Arial"/>
          <w:color w:val="525252"/>
          <w:sz w:val="13"/>
        </w:rPr>
        <w:t>Human Performance Division.</w:t>
      </w:r>
    </w:p>
    <w:p>
      <w:pPr>
        <w:spacing w:after="20" w:line="223" w:lineRule="auto"/>
        <w:jc w:val="right"/>
        <w:bidi/>
      </w:pPr>
      <w:r>
        <w:rPr>
          <w:rFonts w:ascii="Arial" w:hAnsi="Arial"/>
          <w:sz w:val="16"/>
        </w:rPr>
        <w:t>318.18  بخش عملکرد انسانی از مأموریت ایمنی DAF برای محافظت از هوانوردان و نگهبانان، حفاظت از منابع و حفظ توانایی رزمی با رسیدگی به علت شماره یک حوادث ناگوار نیروهای هوایی و فضایی: خطای انسانی، پشتیبانی می‌کند.</w:t>
      </w:r>
    </w:p>
    <w:p>
      <w:pPr>
        <w:spacing w:after="28" w:line="216" w:lineRule="auto"/>
        <w:ind w:left="259"/>
        <w:jc w:val="left"/>
      </w:pPr>
      <w:r>
        <w:rPr>
          <w:rFonts w:ascii="Arial" w:hAnsi="Arial"/>
          <w:color w:val="525252"/>
          <w:sz w:val="13"/>
        </w:rPr>
        <w:t>The Human Performance Division supports the DAF safety mission to safeguard Airmen and Guardians, protect resources and preserve combat capability by addressing the number one cause of Air and Space Forces mishaps: human error.</w:t>
      </w:r>
    </w:p>
    <w:p>
      <w:pPr>
        <w:spacing w:after="20" w:line="223" w:lineRule="auto"/>
        <w:jc w:val="right"/>
        <w:bidi/>
      </w:pPr>
      <w:r>
        <w:rPr>
          <w:rFonts w:ascii="Arial" w:hAnsi="Arial"/>
          <w:sz w:val="16"/>
        </w:rPr>
        <w:t>318.19  این بخش شامل کارشناسان پزشکی، فیزیولوژی، روانشناسی، عملیات هواپیما، و تعمیر و نگهداری هواپیما است.</w:t>
      </w:r>
    </w:p>
    <w:p>
      <w:pPr>
        <w:spacing w:after="28" w:line="216" w:lineRule="auto"/>
        <w:ind w:left="259"/>
        <w:jc w:val="left"/>
      </w:pPr>
      <w:r>
        <w:rPr>
          <w:rFonts w:ascii="Arial" w:hAnsi="Arial"/>
          <w:color w:val="525252"/>
          <w:sz w:val="13"/>
        </w:rPr>
        <w:t>The division includes experts from medicine, physiology, psychology, aircraft operations, and aircraft maintenance.</w:t>
      </w:r>
    </w:p>
    <w:p>
      <w:pPr>
        <w:spacing w:after="20" w:line="223" w:lineRule="auto"/>
        <w:jc w:val="right"/>
        <w:bidi/>
      </w:pPr>
      <w:r>
        <w:rPr>
          <w:rFonts w:ascii="Arial" w:hAnsi="Arial"/>
          <w:sz w:val="16"/>
        </w:rPr>
        <w:t>318.20  این کارشناسان به محققان کمک می‌کنند تا بررسی کنند که چگونه رفتار انسان در خطرات و علل ناگوار نقش دارد.</w:t>
      </w:r>
    </w:p>
    <w:p>
      <w:pPr>
        <w:spacing w:after="28" w:line="216" w:lineRule="auto"/>
        <w:ind w:left="259"/>
        <w:jc w:val="left"/>
      </w:pPr>
      <w:r>
        <w:rPr>
          <w:rFonts w:ascii="Arial" w:hAnsi="Arial"/>
          <w:color w:val="525252"/>
          <w:sz w:val="13"/>
        </w:rPr>
        <w:t>These experts help investigators examine how human behavior contributes to mishap risks and causes.</w:t>
      </w:r>
    </w:p>
    <w:p>
      <w:pPr>
        <w:spacing w:after="20" w:line="223" w:lineRule="auto"/>
        <w:jc w:val="right"/>
        <w:bidi/>
      </w:pPr>
      <w:r>
        <w:rPr>
          <w:rFonts w:ascii="Arial" w:hAnsi="Arial"/>
          <w:sz w:val="16"/>
        </w:rPr>
        <w:t>318.21  آنها داده‌های ناگوار را بیشتر تحلیل می‌کنند و توصیه‌های سیاستی را به فرماندهان ارائه می‌کنند.</w:t>
      </w:r>
    </w:p>
    <w:p>
      <w:pPr>
        <w:spacing w:after="28" w:line="216" w:lineRule="auto"/>
        <w:ind w:left="259"/>
        <w:jc w:val="left"/>
      </w:pPr>
      <w:r>
        <w:rPr>
          <w:rFonts w:ascii="Arial" w:hAnsi="Arial"/>
          <w:color w:val="525252"/>
          <w:sz w:val="13"/>
        </w:rPr>
        <w:t>They further analyze mishap data and provide policy recommendations to commanders.</w:t>
      </w:r>
    </w:p>
    <w:p>
      <w:pPr>
        <w:spacing w:after="20" w:line="223" w:lineRule="auto"/>
        <w:jc w:val="right"/>
        <w:bidi/>
      </w:pPr>
      <w:r>
        <w:rPr>
          <w:rFonts w:ascii="Arial" w:hAnsi="Arial"/>
          <w:sz w:val="16"/>
        </w:rPr>
        <w:t>318.22  این بخش، بررسی سیستم کاهش تصادفات ترکیبی نیروی هوایی (AFCMRS) را مدیریت می‌کند و می‌تواند ارزیابی ایمنی سازمانی (OSA) را به فرماندهان ارائه دهد.</w:t>
      </w:r>
    </w:p>
    <w:p>
      <w:pPr>
        <w:spacing w:after="28" w:line="216" w:lineRule="auto"/>
        <w:ind w:left="259"/>
        <w:jc w:val="left"/>
      </w:pPr>
      <w:r>
        <w:rPr>
          <w:rFonts w:ascii="Arial" w:hAnsi="Arial"/>
          <w:color w:val="525252"/>
          <w:sz w:val="13"/>
        </w:rPr>
        <w:t>The division administers the Air Force Combined Mishap Reduction System (AFCMRS) survey and can provide commanders an Organizational Safety Assessment (OSA).</w:t>
      </w:r>
    </w:p>
    <w:p>
      <w:pPr>
        <w:spacing w:after="20" w:line="223" w:lineRule="auto"/>
        <w:jc w:val="right"/>
        <w:bidi/>
      </w:pPr>
      <w:r>
        <w:rPr>
          <w:rFonts w:ascii="Arial" w:hAnsi="Arial"/>
          <w:sz w:val="16"/>
        </w:rPr>
        <w:t>318.23  این بخش متخصصان ایمنی DAF را در اصول عوامل انسانی و در سیستم تجزیه و تحلیل و طبقه‌بندی عوامل انسانی وزارت دفاع آموزش می‌دهد.</w:t>
      </w:r>
    </w:p>
    <w:p>
      <w:pPr>
        <w:spacing w:after="28" w:line="216" w:lineRule="auto"/>
        <w:ind w:left="259"/>
        <w:jc w:val="left"/>
      </w:pPr>
      <w:r>
        <w:rPr>
          <w:rFonts w:ascii="Arial" w:hAnsi="Arial"/>
          <w:color w:val="525252"/>
          <w:sz w:val="13"/>
        </w:rPr>
        <w:t>The division trains DAF safety professionals in human factors principles and in the DoD Human Factors Analysis and Classification System.</w:t>
      </w:r>
    </w:p>
    <w:p>
      <w:pPr>
        <w:spacing w:after="20" w:line="223" w:lineRule="auto"/>
        <w:jc w:val="right"/>
        <w:bidi/>
      </w:pPr>
      <w:r>
        <w:rPr>
          <w:rFonts w:ascii="Arial" w:hAnsi="Arial"/>
          <w:sz w:val="16"/>
        </w:rPr>
        <w:t>318.24  بخش عملکرد انسانی میزبان برنامه‌های آموزشی فلوشیپ برای فیزیولوژیست‌ها و روانشناسان هوانوردی است.</w:t>
      </w:r>
    </w:p>
    <w:p>
      <w:pPr>
        <w:spacing w:after="28" w:line="216" w:lineRule="auto"/>
        <w:ind w:left="259"/>
        <w:jc w:val="left"/>
      </w:pPr>
      <w:r>
        <w:rPr>
          <w:rFonts w:ascii="Arial" w:hAnsi="Arial"/>
          <w:color w:val="525252"/>
          <w:sz w:val="13"/>
        </w:rPr>
        <w:t>The Human Performance Division is home to the fellowship training programs for physiologists and aviation psychologists.</w:t>
      </w:r>
    </w:p>
    <w:p>
      <w:pPr>
        <w:spacing w:after="20" w:line="223" w:lineRule="auto"/>
        <w:jc w:val="right"/>
        <w:bidi/>
      </w:pPr>
      <w:r>
        <w:rPr>
          <w:rFonts w:ascii="Arial" w:hAnsi="Arial"/>
          <w:sz w:val="16"/>
        </w:rPr>
        <w:t>318.25  بخش ایمنی سلاح.</w:t>
      </w:r>
    </w:p>
    <w:p>
      <w:pPr>
        <w:spacing w:after="28" w:line="216" w:lineRule="auto"/>
        <w:ind w:left="259"/>
        <w:jc w:val="left"/>
      </w:pPr>
      <w:r>
        <w:rPr>
          <w:rFonts w:ascii="Arial" w:hAnsi="Arial"/>
          <w:color w:val="525252"/>
          <w:sz w:val="13"/>
        </w:rPr>
        <w:t>Weapons Safety Division.</w:t>
      </w:r>
    </w:p>
    <w:p>
      <w:pPr>
        <w:spacing w:after="20" w:line="223" w:lineRule="auto"/>
        <w:jc w:val="right"/>
        <w:bidi/>
      </w:pPr>
      <w:r>
        <w:rPr>
          <w:rFonts w:ascii="Arial" w:hAnsi="Arial"/>
          <w:sz w:val="16"/>
        </w:rPr>
        <w:t>318.26  بخش ایمنی تسلیحات، ضمانت و سیاست ایمنی هسته‌ای USAF را برای توسعه و استفاده عملیاتی از تمام سیستم‌های تسلیحاتی هسته‌ای، متعارف و انرژی هدایت شده (DE) ایجاد و تعریف می‌کند.</w:t>
      </w:r>
    </w:p>
    <w:p>
      <w:pPr>
        <w:spacing w:after="28" w:line="216" w:lineRule="auto"/>
        <w:ind w:left="259"/>
        <w:jc w:val="left"/>
      </w:pPr>
      <w:r>
        <w:rPr>
          <w:rFonts w:ascii="Arial" w:hAnsi="Arial"/>
          <w:color w:val="525252"/>
          <w:sz w:val="13"/>
        </w:rPr>
        <w:t>The Weapons Safety Division establishes and defines USAF nuclear surety and safety policy for the development and operational use of all nuclear, conventional, and directed energy (DE) weapons systems.</w:t>
      </w:r>
    </w:p>
    <w:p>
      <w:pPr>
        <w:spacing w:after="20" w:line="223" w:lineRule="auto"/>
        <w:jc w:val="right"/>
        <w:bidi/>
      </w:pPr>
      <w:r>
        <w:rPr>
          <w:rFonts w:ascii="Arial" w:hAnsi="Arial"/>
          <w:sz w:val="16"/>
        </w:rPr>
        <w:t>318.27  این بخش بر برنامه تضمین تسلیحات هسته‌ای USAF که از سوی وزیر نیروی هوایی و رئیس ستاد نیروی هوایی تفویض شده است، نظارت می‌کند.</w:t>
      </w:r>
    </w:p>
    <w:p>
      <w:pPr>
        <w:spacing w:after="28" w:line="216" w:lineRule="auto"/>
        <w:ind w:left="259"/>
        <w:jc w:val="left"/>
      </w:pPr>
      <w:r>
        <w:rPr>
          <w:rFonts w:ascii="Arial" w:hAnsi="Arial"/>
          <w:color w:val="525252"/>
          <w:sz w:val="13"/>
        </w:rPr>
        <w:t>The division oversees the USAF Nuclear Weapons Surety Program, delegated from the Secretary of the Air Force and Chief of Staff of the Air Force.</w:t>
      </w:r>
    </w:p>
    <w:p>
      <w:pPr>
        <w:spacing w:after="20" w:line="223" w:lineRule="auto"/>
        <w:jc w:val="right"/>
        <w:bidi/>
      </w:pPr>
      <w:r>
        <w:rPr>
          <w:rFonts w:ascii="Arial" w:hAnsi="Arial"/>
          <w:sz w:val="16"/>
        </w:rPr>
        <w:t>318.28  این بخش گواهی طراحی ایمنی سیستم‌های تسلیحات هسته‌ای، متعارف و DE، گواهی خطر تشعشعات الکترومغناطیسی برای مهمات، استانداردهای ایمنی مواد منفجره USAF، بررسی محل انفجار، مشاوره ایمنی تسلیحات و معافیت‌های وزارت کشاورزی فدرال برای سیستم‌های DE را ارائه می‌دهد.</w:t>
      </w:r>
    </w:p>
    <w:p>
      <w:pPr>
        <w:spacing w:after="28" w:line="216" w:lineRule="auto"/>
        <w:ind w:left="259"/>
        <w:jc w:val="left"/>
      </w:pPr>
      <w:r>
        <w:rPr>
          <w:rFonts w:ascii="Arial" w:hAnsi="Arial"/>
          <w:color w:val="525252"/>
          <w:sz w:val="13"/>
        </w:rPr>
        <w:t>The division provides nuclear, conventional and DE weapons systems safety design certification, Hazard of Electromagnetic Radiation to Ordnance certification, USAF explosives safety standards, explosive siting reviews, weapons safety consultation and Federal Department of Agriculture waivers for DE systems.</w:t>
      </w:r>
    </w:p>
    <w:p>
      <w:pPr>
        <w:spacing w:after="20" w:line="223" w:lineRule="auto"/>
        <w:jc w:val="right"/>
        <w:bidi/>
      </w:pPr>
      <w:r>
        <w:rPr>
          <w:rFonts w:ascii="Arial" w:hAnsi="Arial"/>
          <w:sz w:val="16"/>
        </w:rPr>
        <w:t>318.29  این بخش از اعمال اقدامات اصلاحی و گنجاندن حوادث ناگوار در AFSAS برای حوادث ناگوار مرتبط با سلاح اطمینان حاصل می‌کند.</w:t>
      </w:r>
    </w:p>
    <w:p>
      <w:pPr>
        <w:spacing w:after="28" w:line="216" w:lineRule="auto"/>
        <w:ind w:left="259"/>
        <w:jc w:val="left"/>
      </w:pPr>
      <w:r>
        <w:rPr>
          <w:rFonts w:ascii="Arial" w:hAnsi="Arial"/>
          <w:color w:val="525252"/>
          <w:sz w:val="13"/>
        </w:rPr>
        <w:t>The division ensures application of corrective actions and mishap inclusion to the AFSAS for weapon-related mishaps.</w:t>
      </w:r>
    </w:p>
    <w:p>
      <w:pPr>
        <w:spacing w:after="20" w:line="223" w:lineRule="auto"/>
        <w:jc w:val="right"/>
        <w:bidi/>
      </w:pPr>
      <w:r>
        <w:rPr>
          <w:rFonts w:ascii="Arial" w:hAnsi="Arial"/>
          <w:sz w:val="16"/>
        </w:rPr>
        <w:t>318.30  این بخش همچنین نظارت بر ایمنی تشعشعات، طبقه‌بندی خطر مواد منفجره، برنامه‌های پیشگیری از حوادث، بررسی حوادث و کمک به‌کارکنان را در حوزه‌های مسئولیت خود انجام می‌دهد.</w:t>
      </w:r>
    </w:p>
    <w:p>
      <w:pPr>
        <w:spacing w:after="28" w:line="216" w:lineRule="auto"/>
        <w:ind w:left="259"/>
        <w:jc w:val="left"/>
      </w:pPr>
      <w:r>
        <w:rPr>
          <w:rFonts w:ascii="Arial" w:hAnsi="Arial"/>
          <w:color w:val="525252"/>
          <w:sz w:val="13"/>
        </w:rPr>
        <w:t>The division also performs radiation safety oversight, explosives hazard classifications, mishap prevention programs, mishap investigation, and staff assistance in its areas of responsibility.</w:t>
      </w:r>
    </w:p>
    <w:p>
      <w:pPr>
        <w:spacing w:after="20" w:line="223" w:lineRule="auto"/>
        <w:jc w:val="right"/>
        <w:bidi/>
      </w:pPr>
      <w:r>
        <w:rPr>
          <w:rFonts w:ascii="Arial" w:hAnsi="Arial"/>
          <w:sz w:val="16"/>
        </w:rPr>
        <w:t>318.31  کرسی‌های رهبری بخش</w:t>
      </w:r>
    </w:p>
    <w:p>
      <w:pPr>
        <w:spacing w:after="28" w:line="216" w:lineRule="auto"/>
        <w:ind w:left="259"/>
        <w:jc w:val="left"/>
      </w:pPr>
      <w:r>
        <w:rPr>
          <w:rFonts w:ascii="Arial" w:hAnsi="Arial"/>
          <w:color w:val="525252"/>
          <w:sz w:val="13"/>
        </w:rPr>
        <w:t>The division leadership chairs</w:t>
      </w:r>
    </w:p>
    <w:p>
      <w:r>
        <w:br w:type="page"/>
      </w:r>
    </w:p>
    <w:p>
      <w:pPr>
        <w:spacing w:after="60"/>
        <w:jc w:val="right"/>
        <w:bidi/>
      </w:pPr>
      <w:r>
        <w:rPr>
          <w:rFonts w:ascii="Arial" w:hAnsi="Arial"/>
          <w:b/>
          <w:color w:val="1F4D78"/>
          <w:sz w:val="19"/>
        </w:rPr>
        <w:t>هفتهٔ 319  |  صفحهٔ منبع: 335</w:t>
      </w:r>
    </w:p>
    <w:p>
      <w:pPr>
        <w:spacing w:after="20" w:line="223" w:lineRule="auto"/>
        <w:jc w:val="right"/>
        <w:bidi/>
      </w:pPr>
      <w:r>
        <w:rPr>
          <w:rFonts w:ascii="Arial" w:hAnsi="Arial"/>
          <w:sz w:val="16"/>
        </w:rPr>
        <w:t>319.01  چندین هیئت چند سازمانی که نظارت ایمنی را برای همه سلاح‌های هسته‌ای، متعارف و DE (لیزر و فرکانس رادیویی) انجام می‌دهند.</w:t>
      </w:r>
    </w:p>
    <w:p>
      <w:pPr>
        <w:spacing w:after="28" w:line="216" w:lineRule="auto"/>
        <w:ind w:left="259"/>
        <w:jc w:val="left"/>
      </w:pPr>
      <w:r>
        <w:rPr>
          <w:rFonts w:ascii="Arial" w:hAnsi="Arial"/>
          <w:color w:val="525252"/>
          <w:sz w:val="13"/>
        </w:rPr>
        <w:t>several multi-agency boards performing safety oversight for all nuclear, conventional, and DE (laser and radio- frequency) weapons.</w:t>
      </w:r>
    </w:p>
    <w:p>
      <w:pPr>
        <w:spacing w:after="20" w:line="223" w:lineRule="auto"/>
        <w:jc w:val="right"/>
        <w:bidi/>
      </w:pPr>
      <w:r>
        <w:rPr>
          <w:rFonts w:ascii="Arial" w:hAnsi="Arial"/>
          <w:sz w:val="16"/>
        </w:rPr>
        <w:t>319.02  بخش آموزش و توسعه نیرو.</w:t>
      </w:r>
    </w:p>
    <w:p>
      <w:pPr>
        <w:spacing w:after="28" w:line="216" w:lineRule="auto"/>
        <w:ind w:left="259"/>
        <w:jc w:val="left"/>
      </w:pPr>
      <w:r>
        <w:rPr>
          <w:rFonts w:ascii="Arial" w:hAnsi="Arial"/>
          <w:color w:val="525252"/>
          <w:sz w:val="13"/>
        </w:rPr>
        <w:t>Training and Force Development Division.</w:t>
      </w:r>
    </w:p>
    <w:p>
      <w:pPr>
        <w:spacing w:after="20" w:line="223" w:lineRule="auto"/>
        <w:jc w:val="right"/>
        <w:bidi/>
      </w:pPr>
      <w:r>
        <w:rPr>
          <w:rFonts w:ascii="Arial" w:hAnsi="Arial"/>
          <w:sz w:val="16"/>
        </w:rPr>
        <w:t>319.03  بخش آموزش و توسعه نیرو به‌عنوان پایه و اساس تعالی در حصول اطمینان از توسعه حرفه‌ای مستمر همه پرسنل منصوب به‌کارکنان ایمنی و/یا حمایت از ایمنی در سراسر نیروهای هوایی و فضایی عمل می‌کند.</w:t>
      </w:r>
    </w:p>
    <w:p>
      <w:pPr>
        <w:spacing w:after="28" w:line="216" w:lineRule="auto"/>
        <w:ind w:left="259"/>
        <w:jc w:val="left"/>
      </w:pPr>
      <w:r>
        <w:rPr>
          <w:rFonts w:ascii="Arial" w:hAnsi="Arial"/>
          <w:color w:val="525252"/>
          <w:sz w:val="13"/>
        </w:rPr>
        <w:t>The Training and Force Development Division serves as the foundation of excellence in ensuring the continuous professional development of all personnel assigned to safety staffs and/or supporting safety throughout the Air and Space Forces.</w:t>
      </w:r>
    </w:p>
    <w:p>
      <w:pPr>
        <w:spacing w:after="20" w:line="223" w:lineRule="auto"/>
        <w:jc w:val="right"/>
        <w:bidi/>
      </w:pPr>
      <w:r>
        <w:rPr>
          <w:rFonts w:ascii="Arial" w:hAnsi="Arial"/>
          <w:sz w:val="16"/>
        </w:rPr>
        <w:t>319.04  این برنامه آموزش و آموزش ایمنی لازم را توسعه می‌دهد، آموزش می‌دهد و مدیریت می‌کند تا دانش ایمنی، مهارت‌ها و توانایی‌هایی را افزایش دهد که با حذف حوادث ناگوار از طریق شناسایی پیشگیرانه خطر و مدیریت ریسک، قدرت هوافضا را افزایش می‌دهد.</w:t>
      </w:r>
    </w:p>
    <w:p>
      <w:pPr>
        <w:spacing w:after="28" w:line="216" w:lineRule="auto"/>
        <w:ind w:left="259"/>
        <w:jc w:val="left"/>
      </w:pPr>
      <w:r>
        <w:rPr>
          <w:rFonts w:ascii="Arial" w:hAnsi="Arial"/>
          <w:color w:val="525252"/>
          <w:sz w:val="13"/>
        </w:rPr>
        <w:t>The program develops, teaches, and manages the requisite safety education and training to enhance safety knowledge, skills, and abilities that enhance aerospace power by eliminating mishaps through proactive hazard identification and risk management.</w:t>
      </w:r>
    </w:p>
    <w:p>
      <w:pPr>
        <w:spacing w:after="20" w:line="223" w:lineRule="auto"/>
        <w:jc w:val="right"/>
        <w:bidi/>
      </w:pPr>
      <w:r>
        <w:rPr>
          <w:rFonts w:ascii="Arial" w:hAnsi="Arial"/>
          <w:sz w:val="16"/>
        </w:rPr>
        <w:t>319.05  آموزش و پرورش همه رشته‌های ایمنی را شامل می‌شود: هوانوردی، شغلی، تسلیحات، فضا و موشک. حصول اطمینان از حفظ قابلیت‌های آماده مأموریت برای نیروهای هوایی و فضایی و از طریق ۱۱ دوره حرفه‌ای در ۷۰ جلسه، از سه روز تا هفت هفته، به حدود ۲۰۰۰ دانش‌آموز ارائه می‌شود.</w:t>
      </w:r>
    </w:p>
    <w:p>
      <w:pPr>
        <w:spacing w:after="28" w:line="216" w:lineRule="auto"/>
        <w:ind w:left="259"/>
        <w:jc w:val="left"/>
      </w:pPr>
      <w:r>
        <w:rPr>
          <w:rFonts w:ascii="Arial" w:hAnsi="Arial"/>
          <w:color w:val="525252"/>
          <w:sz w:val="13"/>
        </w:rPr>
        <w:t>The education and training encompass all safety disciplines: aviation, occupational, weapons, space and missiles; ensuring mission-ready capabilities are preserved for the Air and Space Forces and is delivered to approximately 2,000 students through 11 professional courses in 70 sessions, ranging from three days to seven weeks.</w:t>
      </w:r>
    </w:p>
    <w:p>
      <w:pPr>
        <w:spacing w:after="20" w:line="223" w:lineRule="auto"/>
        <w:jc w:val="right"/>
        <w:bidi/>
      </w:pPr>
      <w:r>
        <w:rPr>
          <w:rFonts w:ascii="Arial" w:hAnsi="Arial"/>
          <w:sz w:val="16"/>
        </w:rPr>
        <w:t>319.06  این برنامه تضمین می‌کند که با ارائه آموزش و آموزش تعاملی از طریق ارائه دوره‌های کلاس درس در محل، ارائه دوره‌های مبتنی بر وب و دوره‌های آموزش از راه دور، به الزامات و فرصت‌های پیشگیری از حوادث کنونی و آینده رسیدگی می‌شود.</w:t>
      </w:r>
    </w:p>
    <w:p>
      <w:pPr>
        <w:spacing w:after="28" w:line="216" w:lineRule="auto"/>
        <w:ind w:left="259"/>
        <w:jc w:val="left"/>
      </w:pPr>
      <w:r>
        <w:rPr>
          <w:rFonts w:ascii="Arial" w:hAnsi="Arial"/>
          <w:color w:val="525252"/>
          <w:sz w:val="13"/>
        </w:rPr>
        <w:t>The program ensures current and future mishap prevention requirements and opportunities are addressed by providing interactive education and training through on-site classroom course offerings, web-based course offerings, and distance learning courses.</w:t>
      </w:r>
    </w:p>
    <w:p>
      <w:pPr>
        <w:spacing w:after="20" w:line="223" w:lineRule="auto"/>
        <w:jc w:val="right"/>
        <w:bidi/>
      </w:pPr>
      <w:r>
        <w:rPr>
          <w:rFonts w:ascii="Arial" w:hAnsi="Arial"/>
          <w:sz w:val="16"/>
        </w:rPr>
        <w:t>319.07  رئیس بخش همچنین به‌عنوان مدیر رستهٔ شغلی غیرنظامی ایمنی خدمت می‌کند، خط‌مشی را ایجاد می‌کند و به‌عنوان مدافع روزانه مسائل و نگرانی‌ها خدمت می‌کند.</w:t>
      </w:r>
    </w:p>
    <w:p>
      <w:pPr>
        <w:spacing w:after="28" w:line="216" w:lineRule="auto"/>
        <w:ind w:left="259"/>
        <w:jc w:val="left"/>
      </w:pPr>
      <w:r>
        <w:rPr>
          <w:rFonts w:ascii="Arial" w:hAnsi="Arial"/>
          <w:color w:val="525252"/>
          <w:sz w:val="13"/>
        </w:rPr>
        <w:t>The division chief also serves as the safety civilian career field manager, establishing policy and serving as the day-to-day advocate for issues and concerns.</w:t>
      </w:r>
    </w:p>
    <w:p>
      <w:pPr>
        <w:spacing w:after="20" w:line="223" w:lineRule="auto"/>
        <w:jc w:val="right"/>
        <w:bidi/>
      </w:pPr>
      <w:r>
        <w:rPr>
          <w:rFonts w:ascii="Arial" w:hAnsi="Arial"/>
          <w:sz w:val="16"/>
        </w:rPr>
        <w:t>319.08  بخش پرسنل و منابع.</w:t>
      </w:r>
    </w:p>
    <w:p>
      <w:pPr>
        <w:spacing w:after="28" w:line="216" w:lineRule="auto"/>
        <w:ind w:left="259"/>
        <w:jc w:val="left"/>
      </w:pPr>
      <w:r>
        <w:rPr>
          <w:rFonts w:ascii="Arial" w:hAnsi="Arial"/>
          <w:color w:val="525252"/>
          <w:sz w:val="13"/>
        </w:rPr>
        <w:t>Personnel and Resource Division.</w:t>
      </w:r>
    </w:p>
    <w:p>
      <w:pPr>
        <w:spacing w:after="20" w:line="223" w:lineRule="auto"/>
        <w:jc w:val="right"/>
        <w:bidi/>
      </w:pPr>
      <w:r>
        <w:rPr>
          <w:rFonts w:ascii="Arial" w:hAnsi="Arial"/>
          <w:sz w:val="16"/>
        </w:rPr>
        <w:t>319.09  بخش پرسنل و منابع مسئول خدمات مدیریتی پیچیده مرکز شامل کلیه پرسنل، نیروی انسانی، مدیریت برنامه، عملیات دانش و مدیریت امکانات و همچنین برنامه‌ریزی، برنامه‌ریزی، بودجه و اجرا است.</w:t>
      </w:r>
    </w:p>
    <w:p>
      <w:pPr>
        <w:spacing w:after="28" w:line="216" w:lineRule="auto"/>
        <w:ind w:left="259"/>
        <w:jc w:val="left"/>
      </w:pPr>
      <w:r>
        <w:rPr>
          <w:rFonts w:ascii="Arial" w:hAnsi="Arial"/>
          <w:color w:val="525252"/>
          <w:sz w:val="13"/>
        </w:rPr>
        <w:t>The Personnel and Resource Division is responsible for complex managerial services for the center including all personnel, manpower, program management, knowledge operations, and facilities management, as well as planning, programming, budget, and execution.</w:t>
      </w:r>
    </w:p>
    <w:p>
      <w:pPr>
        <w:spacing w:after="20" w:line="223" w:lineRule="auto"/>
        <w:jc w:val="right"/>
        <w:bidi/>
      </w:pPr>
      <w:r>
        <w:rPr>
          <w:rFonts w:ascii="Arial" w:hAnsi="Arial"/>
          <w:sz w:val="16"/>
        </w:rPr>
        <w:t>319.10  بخش پرسنل و منابع از رئیس ایمنی و کل مرکز ایمنی نیروی هوایی پشتیبانی می‌کند.</w:t>
      </w:r>
    </w:p>
    <w:p>
      <w:pPr>
        <w:spacing w:after="28" w:line="216" w:lineRule="auto"/>
        <w:ind w:left="259"/>
        <w:jc w:val="left"/>
      </w:pPr>
      <w:r>
        <w:rPr>
          <w:rFonts w:ascii="Arial" w:hAnsi="Arial"/>
          <w:color w:val="525252"/>
          <w:sz w:val="13"/>
        </w:rPr>
        <w:t>The Personnel and Resource Division provides support to the Chief of Safety and the entire Air Force Safety Center.</w:t>
      </w:r>
    </w:p>
    <w:p>
      <w:pPr>
        <w:spacing w:after="20" w:line="223" w:lineRule="auto"/>
        <w:jc w:val="right"/>
        <w:bidi/>
      </w:pPr>
      <w:r>
        <w:rPr>
          <w:rFonts w:ascii="Arial" w:hAnsi="Arial"/>
          <w:sz w:val="16"/>
        </w:rPr>
        <w:t>319.11  ستون فقرات مأموریت و پشتیبانی زیرساختی برای اطمینان از تداوم و کارایی در سراسر سازمان است.</w:t>
      </w:r>
    </w:p>
    <w:p>
      <w:pPr>
        <w:spacing w:after="28" w:line="216" w:lineRule="auto"/>
        <w:ind w:left="259"/>
        <w:jc w:val="left"/>
      </w:pPr>
      <w:r>
        <w:rPr>
          <w:rFonts w:ascii="Arial" w:hAnsi="Arial"/>
          <w:color w:val="525252"/>
          <w:sz w:val="13"/>
        </w:rPr>
        <w:t>It is the backbone for mission and infrastructure support to ensure continuity and efficiency across the enterprise.</w:t>
      </w:r>
    </w:p>
    <w:p>
      <w:pPr>
        <w:spacing w:after="20" w:line="223" w:lineRule="auto"/>
        <w:jc w:val="right"/>
        <w:bidi/>
      </w:pPr>
      <w:r>
        <w:rPr>
          <w:rFonts w:ascii="Arial" w:hAnsi="Arial"/>
          <w:sz w:val="16"/>
        </w:rPr>
        <w:t>319.12  دفتر وکیل دادگستری ستاد.</w:t>
      </w:r>
    </w:p>
    <w:p>
      <w:pPr>
        <w:spacing w:after="28" w:line="216" w:lineRule="auto"/>
        <w:ind w:left="259"/>
        <w:jc w:val="left"/>
      </w:pPr>
      <w:r>
        <w:rPr>
          <w:rFonts w:ascii="Arial" w:hAnsi="Arial"/>
          <w:color w:val="525252"/>
          <w:sz w:val="13"/>
        </w:rPr>
        <w:t>Office of the Staff Judge Advocate.</w:t>
      </w:r>
    </w:p>
    <w:p>
      <w:pPr>
        <w:spacing w:after="20" w:line="223" w:lineRule="auto"/>
        <w:jc w:val="right"/>
        <w:bidi/>
      </w:pPr>
      <w:r>
        <w:rPr>
          <w:rFonts w:ascii="Arial" w:hAnsi="Arial"/>
          <w:sz w:val="16"/>
        </w:rPr>
        <w:t>319.13  دفتر وکیل قاضی ستاد، مشاوره حقوقی و مشاوره عمومی در مورد تمام جنبه‌های برنامه‌های پیشگیری از حوادث ناگوار نیروهای هوایی و فضایی و تحقیقات ایمنی ارائه می‌دهد.</w:t>
      </w:r>
    </w:p>
    <w:p>
      <w:pPr>
        <w:spacing w:after="28" w:line="216" w:lineRule="auto"/>
        <w:ind w:left="259"/>
        <w:jc w:val="left"/>
      </w:pPr>
      <w:r>
        <w:rPr>
          <w:rFonts w:ascii="Arial" w:hAnsi="Arial"/>
          <w:color w:val="525252"/>
          <w:sz w:val="13"/>
        </w:rPr>
        <w:t>The Office of the Staff Judge Advocate provides legal advice and general counsel on all aspects of Air and Space Forces mishap prevention programs and safety investigations.</w:t>
      </w:r>
    </w:p>
    <w:p>
      <w:pPr>
        <w:spacing w:after="20" w:line="223" w:lineRule="auto"/>
        <w:jc w:val="right"/>
        <w:bidi/>
      </w:pPr>
      <w:r>
        <w:rPr>
          <w:rFonts w:ascii="Arial" w:hAnsi="Arial"/>
          <w:sz w:val="16"/>
        </w:rPr>
        <w:t>319.14  دفتر تضمین می‌کند که کنترل‌های مناسب بر روی گزارش‌های ایمنی و اطلاعات ممتاز انجام می‌شود.</w:t>
      </w:r>
    </w:p>
    <w:p>
      <w:pPr>
        <w:spacing w:after="28" w:line="216" w:lineRule="auto"/>
        <w:ind w:left="259"/>
        <w:jc w:val="left"/>
      </w:pPr>
      <w:r>
        <w:rPr>
          <w:rFonts w:ascii="Arial" w:hAnsi="Arial"/>
          <w:color w:val="525252"/>
          <w:sz w:val="13"/>
        </w:rPr>
        <w:t>The office ensures proper controls are maintained on safety reports and privileged information.</w:t>
      </w:r>
    </w:p>
    <w:p>
      <w:pPr>
        <w:spacing w:after="20" w:line="223" w:lineRule="auto"/>
        <w:jc w:val="right"/>
        <w:bidi/>
      </w:pPr>
      <w:r>
        <w:rPr>
          <w:rFonts w:ascii="Arial" w:hAnsi="Arial"/>
          <w:sz w:val="16"/>
        </w:rPr>
        <w:t>319.15  همچنین هماهنگی مؤثری در مورد مسائل حقوقی و ایمنی با وزارت دفاع، سایر آژانس‌های فدرال و برنامه‌های ایمنی بین‌المللی فراهم می‌کند.</w:t>
      </w:r>
    </w:p>
    <w:p>
      <w:pPr>
        <w:spacing w:after="28" w:line="216" w:lineRule="auto"/>
        <w:ind w:left="259"/>
        <w:jc w:val="left"/>
      </w:pPr>
      <w:r>
        <w:rPr>
          <w:rFonts w:ascii="Arial" w:hAnsi="Arial"/>
          <w:color w:val="525252"/>
          <w:sz w:val="13"/>
        </w:rPr>
        <w:t>It also provides effective coordination on legal and safety issues with the DoD, other federal agencies, and international safety programs.</w:t>
      </w:r>
    </w:p>
    <w:p>
      <w:pPr>
        <w:spacing w:after="20" w:line="223" w:lineRule="auto"/>
        <w:jc w:val="right"/>
        <w:bidi/>
      </w:pPr>
      <w:r>
        <w:rPr>
          <w:rFonts w:ascii="Arial" w:hAnsi="Arial"/>
          <w:sz w:val="16"/>
        </w:rPr>
        <w:t>319.16  دفتر کتابخانه سوابق مرکز ایمنی نیروی هوایی را نگهداری می‌کند و از بازیابی کارآمد و به موقع گزارش‌های تحقیقات ایمنی برای بررسی و تجزیه و تحلیل اطمینان حاصل می‌کند.</w:t>
      </w:r>
    </w:p>
    <w:p>
      <w:pPr>
        <w:spacing w:after="28" w:line="216" w:lineRule="auto"/>
        <w:ind w:left="259"/>
        <w:jc w:val="left"/>
      </w:pPr>
      <w:r>
        <w:rPr>
          <w:rFonts w:ascii="Arial" w:hAnsi="Arial"/>
          <w:color w:val="525252"/>
          <w:sz w:val="13"/>
        </w:rPr>
        <w:t>The office maintains the Air Force Safety Center records library, ensuring efficient and timely retrieval of safety investigation reports for review and analysis.</w:t>
      </w:r>
    </w:p>
    <w:p>
      <w:pPr>
        <w:spacing w:after="20" w:line="223" w:lineRule="auto"/>
        <w:jc w:val="right"/>
        <w:bidi/>
      </w:pPr>
      <w:r>
        <w:rPr>
          <w:rFonts w:ascii="Arial" w:hAnsi="Arial"/>
          <w:sz w:val="16"/>
        </w:rPr>
        <w:t>319.17  علاوه بر این، به درخواست‌های اطلاعات ایمنی تحت قانون آزادی اطلاعات، درخواست‌های کنگره و سایر درخواست‌های کاربردی پاسخ می‌دهد.</w:t>
      </w:r>
    </w:p>
    <w:p>
      <w:pPr>
        <w:spacing w:after="28" w:line="216" w:lineRule="auto"/>
        <w:ind w:left="259"/>
        <w:jc w:val="left"/>
      </w:pPr>
      <w:r>
        <w:rPr>
          <w:rFonts w:ascii="Arial" w:hAnsi="Arial"/>
          <w:color w:val="525252"/>
          <w:sz w:val="13"/>
        </w:rPr>
        <w:t>In addition, it responds to requests for safety information under the Freedom of Information Act, congressional requests, and other functional requests.</w:t>
      </w:r>
    </w:p>
    <w:p>
      <w:pPr>
        <w:spacing w:after="20" w:line="223" w:lineRule="auto"/>
        <w:jc w:val="right"/>
        <w:bidi/>
      </w:pPr>
      <w:r>
        <w:rPr>
          <w:rFonts w:ascii="Arial" w:hAnsi="Arial"/>
          <w:sz w:val="16"/>
        </w:rPr>
        <w:t>319.18  بخش روابط عمومی.</w:t>
      </w:r>
    </w:p>
    <w:p>
      <w:pPr>
        <w:spacing w:after="28" w:line="216" w:lineRule="auto"/>
        <w:ind w:left="259"/>
        <w:jc w:val="left"/>
      </w:pPr>
      <w:r>
        <w:rPr>
          <w:rFonts w:ascii="Arial" w:hAnsi="Arial"/>
          <w:color w:val="525252"/>
          <w:sz w:val="13"/>
        </w:rPr>
        <w:t>Public Affairs Division.</w:t>
      </w:r>
    </w:p>
    <w:p>
      <w:pPr>
        <w:spacing w:after="20" w:line="223" w:lineRule="auto"/>
        <w:jc w:val="right"/>
        <w:bidi/>
      </w:pPr>
      <w:r>
        <w:rPr>
          <w:rFonts w:ascii="Arial" w:hAnsi="Arial"/>
          <w:sz w:val="16"/>
        </w:rPr>
        <w:t>319.19  بخش روابط عمومی از برنامه ارتباطی رئیس ایمنی با ارائه اطلاعات به موقع و دقیق به اعضای نیروهای مسلح و عموم مردم برای افزایش آگاهی و بهبود درک مأموریت مرکز ایمنی نیروی هوایی و نقش آن در پیشگیری از حوادث ناگوار و ترویج پیشگیری از حوادث ناگوار در سراسر DAF پشتیبانی می‌کند.</w:t>
      </w:r>
    </w:p>
    <w:p>
      <w:pPr>
        <w:spacing w:after="28" w:line="216" w:lineRule="auto"/>
        <w:ind w:left="259"/>
        <w:jc w:val="left"/>
      </w:pPr>
      <w:r>
        <w:rPr>
          <w:rFonts w:ascii="Arial" w:hAnsi="Arial"/>
          <w:color w:val="525252"/>
          <w:sz w:val="13"/>
        </w:rPr>
        <w:t>The Public Affairs Division supports the Chief of Safety’s communication program by providing service members and the general public timely and accurate information to raise awareness and improve understanding of the Air Force Safety Center mission and its role in mishap prevention, and to promote mishap prevention DAF-wide.</w:t>
      </w:r>
    </w:p>
    <w:p>
      <w:pPr>
        <w:spacing w:after="20" w:line="223" w:lineRule="auto"/>
        <w:jc w:val="right"/>
        <w:bidi/>
      </w:pPr>
      <w:r>
        <w:rPr>
          <w:rFonts w:ascii="Arial" w:hAnsi="Arial"/>
          <w:sz w:val="16"/>
        </w:rPr>
        <w:t>319.20  این بخش وب‌سایت عمومی مرکز و برنامه‌های رسانه‌های اجتماعی را مدیریت می‌کند. انتشار اخبار، عکس‌ها و محصولات ویدئویی را برای توزیع در سراسر DAF تولید می‌کند. و با رسانه‌های خبری برای اطمینان از گزارش دقیق برنامه‌های ایمنی و تلاش‌های پیشگیری از حوادث همکاری می‌کند.</w:t>
      </w:r>
    </w:p>
    <w:p>
      <w:pPr>
        <w:spacing w:after="28" w:line="216" w:lineRule="auto"/>
        <w:ind w:left="259"/>
        <w:jc w:val="left"/>
      </w:pPr>
      <w:r>
        <w:rPr>
          <w:rFonts w:ascii="Arial" w:hAnsi="Arial"/>
          <w:color w:val="525252"/>
          <w:sz w:val="13"/>
        </w:rPr>
        <w:t>The division manages the center’s public website and social media programs; generates news releases, photos, and video products for DAF-wide distribution; and engages with the news media to ensure the accurate reporting of safety programs and mishap prevention efforts.</w:t>
      </w:r>
    </w:p>
    <w:p>
      <w:r>
        <w:br w:type="page"/>
      </w:r>
    </w:p>
    <w:p>
      <w:pPr>
        <w:spacing w:after="60"/>
        <w:jc w:val="right"/>
        <w:bidi/>
      </w:pPr>
      <w:r>
        <w:rPr>
          <w:rFonts w:ascii="Arial" w:hAnsi="Arial"/>
          <w:b/>
          <w:color w:val="1F4D78"/>
          <w:sz w:val="19"/>
        </w:rPr>
        <w:t>هفتهٔ 320  |  صفحهٔ منبع: 336</w:t>
      </w:r>
    </w:p>
    <w:p>
      <w:pPr>
        <w:spacing w:before="60" w:after="28"/>
        <w:jc w:val="right"/>
        <w:bidi/>
      </w:pPr>
      <w:r>
        <w:rPr>
          <w:b/>
          <w:color w:val="1F4D78"/>
          <w:sz w:val="18"/>
        </w:rPr>
        <w:t>بخش 17F - مدیریت ریسک</w:t>
      </w:r>
    </w:p>
    <w:p>
      <w:pPr>
        <w:spacing w:after="20"/>
        <w:ind w:left="259"/>
        <w:jc w:val="left"/>
      </w:pPr>
      <w:r>
        <w:rPr>
          <w:color w:val="555555"/>
          <w:sz w:val="12"/>
        </w:rPr>
        <w:t>Section 17F—Risk Management</w:t>
      </w:r>
    </w:p>
    <w:p>
      <w:pPr>
        <w:spacing w:before="60" w:after="28"/>
        <w:jc w:val="right"/>
        <w:bidi/>
      </w:pPr>
      <w:r>
        <w:rPr>
          <w:b/>
          <w:color w:val="1F4D78"/>
          <w:sz w:val="18"/>
        </w:rPr>
        <w:t>17.18. فرآیند تصمیم گیری مدیریت ریسک</w:t>
      </w:r>
    </w:p>
    <w:p>
      <w:pPr>
        <w:spacing w:after="20"/>
        <w:ind w:left="259"/>
        <w:jc w:val="left"/>
      </w:pPr>
      <w:r>
        <w:rPr>
          <w:color w:val="555555"/>
          <w:sz w:val="12"/>
        </w:rPr>
        <w:t>17.18. Risk Management Decision-Making Process</w:t>
      </w:r>
    </w:p>
    <w:p>
      <w:pPr>
        <w:spacing w:after="20" w:line="223" w:lineRule="auto"/>
        <w:jc w:val="right"/>
        <w:bidi/>
      </w:pPr>
      <w:r>
        <w:rPr>
          <w:rFonts w:ascii="Arial" w:hAnsi="Arial"/>
          <w:sz w:val="16"/>
        </w:rPr>
        <w:t>320.03  مدیریت ریسک یک فرآیند تصمیم‌گیری است که برای ارزیابی سیستماتیک دوره‌های عمل احتمالی، شناسایی ریسک‌ها و منافع و تعیین بهترین اقدام برای هر موقعیتی طراحی شده است.</w:t>
      </w:r>
    </w:p>
    <w:p>
      <w:pPr>
        <w:spacing w:after="28" w:line="216" w:lineRule="auto"/>
        <w:ind w:left="259"/>
        <w:jc w:val="left"/>
      </w:pPr>
      <w:r>
        <w:rPr>
          <w:rFonts w:ascii="Arial" w:hAnsi="Arial"/>
          <w:color w:val="525252"/>
          <w:sz w:val="13"/>
        </w:rPr>
        <w:t>Risk management is a decision-making process designed to systematically evaluate possible courses of action, identify risks and benefits, and determine the best course of action for any given situation.</w:t>
      </w:r>
    </w:p>
    <w:p>
      <w:pPr>
        <w:spacing w:after="20" w:line="223" w:lineRule="auto"/>
        <w:jc w:val="right"/>
        <w:bidi/>
      </w:pPr>
      <w:r>
        <w:rPr>
          <w:rFonts w:ascii="Arial" w:hAnsi="Arial"/>
          <w:sz w:val="16"/>
        </w:rPr>
        <w:t>320.04  مدیریت ریسک، فرماندهان، مدیران عملکردی، سرپرستان و افراد را قادر می‌سازد تا توانایی‌ها را به حداکثر برسانند و در عین حال خطرات را از طریق یک فرآیند ساده و سیستماتیک برای همه پرسنل و عملکردها در موقعیت‌های حین و خارج از وظیفه به حداکثر برسانند.</w:t>
      </w:r>
    </w:p>
    <w:p>
      <w:pPr>
        <w:spacing w:after="28" w:line="216" w:lineRule="auto"/>
        <w:ind w:left="259"/>
        <w:jc w:val="left"/>
      </w:pPr>
      <w:r>
        <w:rPr>
          <w:rFonts w:ascii="Arial" w:hAnsi="Arial"/>
          <w:color w:val="525252"/>
          <w:sz w:val="13"/>
        </w:rPr>
        <w:t>Risk management enables commanders, functional managers, supervisors, and individuals to maximize capabilities while limiting risks through a simple, systematic process for all personnel and functions in both on- and off-duty situations.</w:t>
      </w:r>
    </w:p>
    <w:p>
      <w:pPr>
        <w:spacing w:after="20" w:line="223" w:lineRule="auto"/>
        <w:jc w:val="right"/>
        <w:bidi/>
      </w:pPr>
      <w:r>
        <w:rPr>
          <w:rFonts w:ascii="Arial" w:hAnsi="Arial"/>
          <w:sz w:val="16"/>
        </w:rPr>
        <w:t>320.05  استفاده مناسب از مدیریت ریسک، توانایی سازمان و فرد را برای انجام ایمن و مؤثر مأموریت خود و در عین حال حفظ جان و منابع افزایش می‌دهد.</w:t>
      </w:r>
    </w:p>
    <w:p>
      <w:pPr>
        <w:spacing w:after="28" w:line="216" w:lineRule="auto"/>
        <w:ind w:left="259"/>
        <w:jc w:val="left"/>
      </w:pPr>
      <w:r>
        <w:rPr>
          <w:rFonts w:ascii="Arial" w:hAnsi="Arial"/>
          <w:color w:val="525252"/>
          <w:sz w:val="13"/>
        </w:rPr>
        <w:t>Appropriate use of risk management increases an organization’s and individual’s ability to safely and effectively accomplish their mission while preserving lives and resources.</w:t>
      </w:r>
    </w:p>
    <w:p>
      <w:pPr>
        <w:spacing w:after="20" w:line="223" w:lineRule="auto"/>
        <w:jc w:val="right"/>
        <w:bidi/>
      </w:pPr>
      <w:r>
        <w:rPr>
          <w:rFonts w:ascii="Arial" w:hAnsi="Arial"/>
          <w:sz w:val="16"/>
        </w:rPr>
        <w:t>320.06  آموزش ایمنی.</w:t>
      </w:r>
    </w:p>
    <w:p>
      <w:pPr>
        <w:spacing w:after="28" w:line="216" w:lineRule="auto"/>
        <w:ind w:left="259"/>
        <w:jc w:val="left"/>
      </w:pPr>
      <w:r>
        <w:rPr>
          <w:rFonts w:ascii="Arial" w:hAnsi="Arial"/>
          <w:color w:val="525252"/>
          <w:sz w:val="13"/>
        </w:rPr>
        <w:t>Safety Training.</w:t>
      </w:r>
    </w:p>
    <w:p>
      <w:pPr>
        <w:spacing w:after="20" w:line="223" w:lineRule="auto"/>
        <w:jc w:val="right"/>
        <w:bidi/>
      </w:pPr>
      <w:r>
        <w:rPr>
          <w:rFonts w:ascii="Arial" w:hAnsi="Arial"/>
          <w:sz w:val="16"/>
        </w:rPr>
        <w:t>320.07  یکی از بزرگترین تأثیرات انجام موفقیت آمیز مأموریت و یکی از جنبه‌های کلیدی مدیریت ریسک، نیروی کار بسیار آموزش دیده است که اهمیت اقدامات احتیاطی و رویه‌های ایمنی را تشخیص داده و به استانداردهایی که عناصر اساسی مدیریت ریسک را در بر می‌گیرد، پایبند است.</w:t>
      </w:r>
    </w:p>
    <w:p>
      <w:pPr>
        <w:spacing w:after="28" w:line="216" w:lineRule="auto"/>
        <w:ind w:left="259"/>
        <w:jc w:val="left"/>
      </w:pPr>
      <w:r>
        <w:rPr>
          <w:rFonts w:ascii="Arial" w:hAnsi="Arial"/>
          <w:color w:val="525252"/>
          <w:sz w:val="13"/>
        </w:rPr>
        <w:t>One of the greatest influences of successful mission accomplishment, and a key aspect of risk management, is a highly trained workforce that recognizes the importance of safety precautions and procedures and adheres to standards incorporating the basic elements of risk management.</w:t>
      </w:r>
    </w:p>
    <w:p>
      <w:pPr>
        <w:spacing w:after="20" w:line="223" w:lineRule="auto"/>
        <w:jc w:val="right"/>
        <w:bidi/>
      </w:pPr>
      <w:r>
        <w:rPr>
          <w:rFonts w:ascii="Arial" w:hAnsi="Arial"/>
          <w:sz w:val="16"/>
        </w:rPr>
        <w:t>320.08  آموزش ایمنی ممکن است در آموزش عملکرد کار ادغام شود یا به‌طور جداگانه انجام شود.</w:t>
      </w:r>
    </w:p>
    <w:p>
      <w:pPr>
        <w:spacing w:after="28" w:line="216" w:lineRule="auto"/>
        <w:ind w:left="259"/>
        <w:jc w:val="left"/>
      </w:pPr>
      <w:r>
        <w:rPr>
          <w:rFonts w:ascii="Arial" w:hAnsi="Arial"/>
          <w:color w:val="525252"/>
          <w:sz w:val="13"/>
        </w:rPr>
        <w:t>Safety training may be integrated into task performance training or conducted separately.</w:t>
      </w:r>
    </w:p>
    <w:p>
      <w:pPr>
        <w:spacing w:after="20" w:line="223" w:lineRule="auto"/>
        <w:jc w:val="right"/>
        <w:bidi/>
      </w:pPr>
      <w:r>
        <w:rPr>
          <w:rFonts w:ascii="Arial" w:hAnsi="Arial"/>
          <w:sz w:val="16"/>
        </w:rPr>
        <w:t>320.09  تجزیه و تحلیل ایمنی شغلی.</w:t>
      </w:r>
    </w:p>
    <w:p>
      <w:pPr>
        <w:spacing w:after="28" w:line="216" w:lineRule="auto"/>
        <w:ind w:left="259"/>
        <w:jc w:val="left"/>
      </w:pPr>
      <w:r>
        <w:rPr>
          <w:rFonts w:ascii="Arial" w:hAnsi="Arial"/>
          <w:color w:val="525252"/>
          <w:sz w:val="13"/>
        </w:rPr>
        <w:t>Job Safety Analysis.</w:t>
      </w:r>
    </w:p>
    <w:p>
      <w:pPr>
        <w:spacing w:after="20" w:line="223" w:lineRule="auto"/>
        <w:jc w:val="right"/>
        <w:bidi/>
      </w:pPr>
      <w:r>
        <w:rPr>
          <w:rFonts w:ascii="Arial" w:hAnsi="Arial"/>
          <w:sz w:val="16"/>
        </w:rPr>
        <w:t>320.10  تجزیه و تحلیل ایمنی شغلی برای ارزیابی هر وظیفه کاری استفاده می‌شود که توسط یک دستور فنی یا سایر راهنمایی‌های قطعی کنترل نمی‌شود و زمانی که یک وظیفه یا فرآیند کاری جدید به محل کار معرفی می‌شود.</w:t>
      </w:r>
    </w:p>
    <w:p>
      <w:pPr>
        <w:spacing w:after="28" w:line="216" w:lineRule="auto"/>
        <w:ind w:left="259"/>
        <w:jc w:val="left"/>
      </w:pPr>
      <w:r>
        <w:rPr>
          <w:rFonts w:ascii="Arial" w:hAnsi="Arial"/>
          <w:color w:val="525252"/>
          <w:sz w:val="13"/>
        </w:rPr>
        <w:t>A job safety analysis is used to evaluate each work task not governed by a technical order or other definitive guidance and when a new work task or process is introduced into the workplace.</w:t>
      </w:r>
    </w:p>
    <w:p>
      <w:pPr>
        <w:spacing w:after="20" w:line="223" w:lineRule="auto"/>
        <w:jc w:val="right"/>
        <w:bidi/>
      </w:pPr>
      <w:r>
        <w:rPr>
          <w:rFonts w:ascii="Arial" w:hAnsi="Arial"/>
          <w:sz w:val="16"/>
        </w:rPr>
        <w:t>320.11  سرپرستان مسئول آموزش، ایجاد روش کار و دستورالعمل‌های شغلی، تعیین مشاغل و نظارت بر پرسنل هستند.</w:t>
      </w:r>
    </w:p>
    <w:p>
      <w:pPr>
        <w:spacing w:after="28" w:line="216" w:lineRule="auto"/>
        <w:ind w:left="259"/>
        <w:jc w:val="left"/>
      </w:pPr>
      <w:r>
        <w:rPr>
          <w:rFonts w:ascii="Arial" w:hAnsi="Arial"/>
          <w:color w:val="525252"/>
          <w:sz w:val="13"/>
        </w:rPr>
        <w:t>Supervisors are responsible for training, establishing work methods and job instructions, assigning jobs, and supervising personnel.</w:t>
      </w:r>
    </w:p>
    <w:p>
      <w:pPr>
        <w:spacing w:after="20" w:line="223" w:lineRule="auto"/>
        <w:jc w:val="right"/>
        <w:bidi/>
      </w:pPr>
      <w:r>
        <w:rPr>
          <w:rFonts w:ascii="Arial" w:hAnsi="Arial"/>
          <w:sz w:val="16"/>
        </w:rPr>
        <w:t>320.12  قبل از شروع هر عملیات و انجام هر گونه آموزش ایمنی، ناظران باید محل آسیب دیدگی افراد یا آسیب دیدن تجهیزات را تعیین کنند.</w:t>
      </w:r>
    </w:p>
    <w:p>
      <w:pPr>
        <w:spacing w:after="28" w:line="216" w:lineRule="auto"/>
        <w:ind w:left="259"/>
        <w:jc w:val="left"/>
      </w:pPr>
      <w:r>
        <w:rPr>
          <w:rFonts w:ascii="Arial" w:hAnsi="Arial"/>
          <w:color w:val="525252"/>
          <w:sz w:val="13"/>
        </w:rPr>
        <w:t>Before any operation begins and any safety training can take place, supervisors must determine where people may be injured, or equipment may be damaged.</w:t>
      </w:r>
    </w:p>
    <w:p>
      <w:pPr>
        <w:spacing w:after="20" w:line="223" w:lineRule="auto"/>
        <w:jc w:val="right"/>
        <w:bidi/>
      </w:pPr>
      <w:r>
        <w:rPr>
          <w:rFonts w:ascii="Arial" w:hAnsi="Arial"/>
          <w:sz w:val="16"/>
        </w:rPr>
        <w:t>320.13  آنها در بهترین موقعیت برای شناسایی خطرات، ارزیابی خطرات مرتبط با آن خطرات، و اصلاح شیوه‌های کاری ناایمن یا نقص‌های ایمنی که مانع موفقیت مأموریت می‌شوند، هستند.</w:t>
      </w:r>
    </w:p>
    <w:p>
      <w:pPr>
        <w:spacing w:after="28" w:line="216" w:lineRule="auto"/>
        <w:ind w:left="259"/>
        <w:jc w:val="left"/>
      </w:pPr>
      <w:r>
        <w:rPr>
          <w:rFonts w:ascii="Arial" w:hAnsi="Arial"/>
          <w:color w:val="525252"/>
          <w:sz w:val="13"/>
        </w:rPr>
        <w:t>They are in the best position to identify hazards, assess risks associated with those hazards, and correct unsafe work practices or safety deficiencies that would impede mission success.</w:t>
      </w:r>
    </w:p>
    <w:p>
      <w:pPr>
        <w:spacing w:before="60" w:after="28"/>
        <w:jc w:val="right"/>
        <w:bidi/>
      </w:pPr>
      <w:r>
        <w:rPr>
          <w:b/>
          <w:color w:val="1F4D78"/>
          <w:sz w:val="18"/>
        </w:rPr>
        <w:t>17.19. اصول مدیریت ریسک</w:t>
      </w:r>
    </w:p>
    <w:p>
      <w:pPr>
        <w:spacing w:after="20"/>
        <w:ind w:left="259"/>
        <w:jc w:val="left"/>
      </w:pPr>
      <w:r>
        <w:rPr>
          <w:color w:val="555555"/>
          <w:sz w:val="12"/>
        </w:rPr>
        <w:t>17.19. Risk Management Principles</w:t>
      </w:r>
    </w:p>
    <w:p>
      <w:pPr>
        <w:spacing w:after="20" w:line="223" w:lineRule="auto"/>
        <w:jc w:val="right"/>
        <w:bidi/>
      </w:pPr>
      <w:r>
        <w:rPr>
          <w:rFonts w:ascii="Arial" w:hAnsi="Arial"/>
          <w:sz w:val="16"/>
        </w:rPr>
        <w:t>320.15  چهار اصل بر تمامی اقدامات مرتبط با مدیریت ریسک حاکم است.</w:t>
      </w:r>
    </w:p>
    <w:p>
      <w:pPr>
        <w:spacing w:after="28" w:line="216" w:lineRule="auto"/>
        <w:ind w:left="259"/>
        <w:jc w:val="left"/>
      </w:pPr>
      <w:r>
        <w:rPr>
          <w:rFonts w:ascii="Arial" w:hAnsi="Arial"/>
          <w:color w:val="525252"/>
          <w:sz w:val="13"/>
        </w:rPr>
        <w:t>Four principles govern all actions associated with risk management.</w:t>
      </w:r>
    </w:p>
    <w:p>
      <w:pPr>
        <w:spacing w:after="20" w:line="223" w:lineRule="auto"/>
        <w:jc w:val="right"/>
        <w:bidi/>
      </w:pPr>
      <w:r>
        <w:rPr>
          <w:rFonts w:ascii="Arial" w:hAnsi="Arial"/>
          <w:sz w:val="16"/>
        </w:rPr>
        <w:t>320.16  این اصول سنگ بنای مدیریت ریسک مؤثر هستند و در ۲۴ ساعت شبانه روز، ۷ روز هفته، ۳۶۵ روز در سال توسط همه پرسنل، برای کلیه فعالیت‌های حین و خارج از وظیفه قابل اجرا هستند.</w:t>
      </w:r>
    </w:p>
    <w:p>
      <w:pPr>
        <w:spacing w:after="28" w:line="216" w:lineRule="auto"/>
        <w:ind w:left="259"/>
        <w:jc w:val="left"/>
      </w:pPr>
      <w:r>
        <w:rPr>
          <w:rFonts w:ascii="Arial" w:hAnsi="Arial"/>
          <w:color w:val="525252"/>
          <w:sz w:val="13"/>
        </w:rPr>
        <w:t>These principles are the cornerstones of effective risk management and are applicable 24-hours a day, 7-days a week, 365- days a year by all personnel, for all on- and off-duty activities.</w:t>
      </w:r>
    </w:p>
    <w:p>
      <w:pPr>
        <w:spacing w:after="20" w:line="223" w:lineRule="auto"/>
        <w:jc w:val="right"/>
        <w:bidi/>
      </w:pPr>
      <w:r>
        <w:rPr>
          <w:rFonts w:ascii="Arial" w:hAnsi="Arial"/>
          <w:sz w:val="16"/>
        </w:rPr>
        <w:t>320.17  هیچ ریسک غیرضروری را نپذیرید.</w:t>
      </w:r>
    </w:p>
    <w:p>
      <w:pPr>
        <w:spacing w:after="28" w:line="216" w:lineRule="auto"/>
        <w:ind w:left="259"/>
        <w:jc w:val="left"/>
      </w:pPr>
      <w:r>
        <w:rPr>
          <w:rFonts w:ascii="Arial" w:hAnsi="Arial"/>
          <w:color w:val="525252"/>
          <w:sz w:val="13"/>
        </w:rPr>
        <w:t>Accept No Unnecessary Risk.</w:t>
      </w:r>
    </w:p>
    <w:p>
      <w:pPr>
        <w:spacing w:after="20" w:line="223" w:lineRule="auto"/>
        <w:jc w:val="right"/>
        <w:bidi/>
      </w:pPr>
      <w:r>
        <w:rPr>
          <w:rFonts w:ascii="Arial" w:hAnsi="Arial"/>
          <w:sz w:val="16"/>
        </w:rPr>
        <w:t>320.18  تمام مأموریت‌های DAF و روتین‌های روزانه مستلزم خطر هستند.</w:t>
      </w:r>
    </w:p>
    <w:p>
      <w:pPr>
        <w:spacing w:after="28" w:line="216" w:lineRule="auto"/>
        <w:ind w:left="259"/>
        <w:jc w:val="left"/>
      </w:pPr>
      <w:r>
        <w:rPr>
          <w:rFonts w:ascii="Arial" w:hAnsi="Arial"/>
          <w:color w:val="525252"/>
          <w:sz w:val="13"/>
        </w:rPr>
        <w:t>All DAF missions and daily routines involve risk.</w:t>
      </w:r>
    </w:p>
    <w:p>
      <w:pPr>
        <w:spacing w:after="20" w:line="223" w:lineRule="auto"/>
        <w:jc w:val="right"/>
        <w:bidi/>
      </w:pPr>
      <w:r>
        <w:rPr>
          <w:rFonts w:ascii="Arial" w:hAnsi="Arial"/>
          <w:sz w:val="16"/>
        </w:rPr>
        <w:t>320.19  با این حال، ریسک غیرضروری بدون بازدهی متناسب از نظر منافع واقعی یا فرصت‌های موجود به وجود می‌آید.</w:t>
      </w:r>
    </w:p>
    <w:p>
      <w:pPr>
        <w:spacing w:after="28" w:line="216" w:lineRule="auto"/>
        <w:ind w:left="259"/>
        <w:jc w:val="left"/>
      </w:pPr>
      <w:r>
        <w:rPr>
          <w:rFonts w:ascii="Arial" w:hAnsi="Arial"/>
          <w:color w:val="525252"/>
          <w:sz w:val="13"/>
        </w:rPr>
        <w:t>However, unnecessary risk comes without a commensurate return in terms of real benefits or available opportunities.</w:t>
      </w:r>
    </w:p>
    <w:p>
      <w:pPr>
        <w:spacing w:after="20" w:line="223" w:lineRule="auto"/>
        <w:jc w:val="right"/>
        <w:bidi/>
      </w:pPr>
      <w:r>
        <w:rPr>
          <w:rFonts w:ascii="Arial" w:hAnsi="Arial"/>
          <w:sz w:val="16"/>
        </w:rPr>
        <w:t>320.20  منطقی‌ترین انتخاب‌ها یا اقدامات آن‌هایی هستند که تمامی الزامات مأموریت را برآورده می‌کنند و در عین حال پرسنل و منابع را در معرض کمترین خطر قابل قبول ممکن قرار می‌دهند.</w:t>
      </w:r>
    </w:p>
    <w:p>
      <w:pPr>
        <w:spacing w:after="28" w:line="216" w:lineRule="auto"/>
        <w:ind w:left="259"/>
        <w:jc w:val="left"/>
      </w:pPr>
      <w:r>
        <w:rPr>
          <w:rFonts w:ascii="Arial" w:hAnsi="Arial"/>
          <w:color w:val="525252"/>
          <w:sz w:val="13"/>
        </w:rPr>
        <w:t>The most logical choices or actions are those that meet all mission requirements while exposing personnel and resources to the lowest acceptable risk possible.</w:t>
      </w:r>
    </w:p>
    <w:p>
      <w:pPr>
        <w:spacing w:after="20" w:line="223" w:lineRule="auto"/>
        <w:jc w:val="right"/>
        <w:bidi/>
      </w:pPr>
      <w:r>
        <w:rPr>
          <w:rFonts w:ascii="Arial" w:hAnsi="Arial"/>
          <w:sz w:val="16"/>
        </w:rPr>
        <w:t>320.21  با در نظر گرفتن این موضوع، ما نمی‌توانیم و نباید کاملا ریسک گریز باشیم.</w:t>
      </w:r>
    </w:p>
    <w:p>
      <w:pPr>
        <w:spacing w:after="28" w:line="216" w:lineRule="auto"/>
        <w:ind w:left="259"/>
        <w:jc w:val="left"/>
      </w:pPr>
      <w:r>
        <w:rPr>
          <w:rFonts w:ascii="Arial" w:hAnsi="Arial"/>
          <w:color w:val="525252"/>
          <w:sz w:val="13"/>
        </w:rPr>
        <w:t>With this in mind, we cannot and should not be completely risk averse.</w:t>
      </w:r>
    </w:p>
    <w:p>
      <w:pPr>
        <w:spacing w:after="20" w:line="223" w:lineRule="auto"/>
        <w:jc w:val="right"/>
        <w:bidi/>
      </w:pPr>
      <w:r>
        <w:rPr>
          <w:rFonts w:ascii="Arial" w:hAnsi="Arial"/>
          <w:sz w:val="16"/>
        </w:rPr>
        <w:t>320.22  حتی ممکن است تلاش‌های با ریسک بالا زمانی انجام شود که مبنای مستدلی برای این باور وجود داشته باشد که مجموع منافع از مجموع هزینه‌ها بیشتر است.</w:t>
      </w:r>
    </w:p>
    <w:p>
      <w:pPr>
        <w:spacing w:after="28" w:line="216" w:lineRule="auto"/>
        <w:ind w:left="259"/>
        <w:jc w:val="left"/>
      </w:pPr>
      <w:r>
        <w:rPr>
          <w:rFonts w:ascii="Arial" w:hAnsi="Arial"/>
          <w:color w:val="525252"/>
          <w:sz w:val="13"/>
        </w:rPr>
        <w:t>Even high risk endeavors may be undertaken when there is a well-founded basis to believe that the sum of the benefits exceeds the sum of the costs.</w:t>
      </w:r>
    </w:p>
    <w:p>
      <w:pPr>
        <w:spacing w:after="20" w:line="223" w:lineRule="auto"/>
        <w:jc w:val="right"/>
        <w:bidi/>
      </w:pPr>
      <w:r>
        <w:rPr>
          <w:rFonts w:ascii="Arial" w:hAnsi="Arial"/>
          <w:sz w:val="16"/>
        </w:rPr>
        <w:t>320.23  متعادل کردن مزایا و هزینه‌ها یک فرآیند ذهنی است و به‌طور مستقیم با عوامل مؤثر بر مأموریت یا فعالیت مرتبط است.</w:t>
      </w:r>
    </w:p>
    <w:p>
      <w:pPr>
        <w:spacing w:after="28" w:line="216" w:lineRule="auto"/>
        <w:ind w:left="259"/>
        <w:jc w:val="left"/>
      </w:pPr>
      <w:r>
        <w:rPr>
          <w:rFonts w:ascii="Arial" w:hAnsi="Arial"/>
          <w:color w:val="525252"/>
          <w:sz w:val="13"/>
        </w:rPr>
        <w:t>Balancing benefits and costs are a subjective process and tied intimately with the factors affecting the mission or activity.</w:t>
      </w:r>
    </w:p>
    <w:p>
      <w:pPr>
        <w:spacing w:after="20" w:line="223" w:lineRule="auto"/>
        <w:jc w:val="right"/>
        <w:bidi/>
      </w:pPr>
      <w:r>
        <w:rPr>
          <w:rFonts w:ascii="Arial" w:hAnsi="Arial"/>
          <w:sz w:val="16"/>
        </w:rPr>
        <w:t>320.24  پرسنلی با دانش و تجربه قبلی در مورد یک مأموریت یا فعالیت باید در صورت امکان در اتخاذ تصمیمات ریسک مشارکت داشته باشند تا از برقراری تعادل مناسب اطمینان حاصل شود.</w:t>
      </w:r>
    </w:p>
    <w:p>
      <w:pPr>
        <w:spacing w:after="28" w:line="216" w:lineRule="auto"/>
        <w:ind w:left="259"/>
        <w:jc w:val="left"/>
      </w:pPr>
      <w:r>
        <w:rPr>
          <w:rFonts w:ascii="Arial" w:hAnsi="Arial"/>
          <w:color w:val="525252"/>
          <w:sz w:val="13"/>
        </w:rPr>
        <w:t>Personnel with prior knowledge and experience of a mission or activity must be engaged whenever possible in making risk decisions to ensure a proper balance is achieved.</w:t>
      </w:r>
    </w:p>
    <w:p>
      <w:pPr>
        <w:spacing w:after="20" w:line="223" w:lineRule="auto"/>
        <w:jc w:val="right"/>
        <w:bidi/>
      </w:pPr>
      <w:r>
        <w:rPr>
          <w:rFonts w:ascii="Arial" w:hAnsi="Arial"/>
          <w:sz w:val="16"/>
        </w:rPr>
        <w:t>320.25  در سطح مناسب تصمیمات ریسک بگیرید.</w:t>
      </w:r>
    </w:p>
    <w:p>
      <w:pPr>
        <w:spacing w:after="28" w:line="216" w:lineRule="auto"/>
        <w:ind w:left="259"/>
        <w:jc w:val="left"/>
      </w:pPr>
      <w:r>
        <w:rPr>
          <w:rFonts w:ascii="Arial" w:hAnsi="Arial"/>
          <w:color w:val="525252"/>
          <w:sz w:val="13"/>
        </w:rPr>
        <w:t>Make Risk Decisions at the Appropriate Level.</w:t>
      </w:r>
    </w:p>
    <w:p>
      <w:pPr>
        <w:spacing w:after="20" w:line="223" w:lineRule="auto"/>
        <w:jc w:val="right"/>
        <w:bidi/>
      </w:pPr>
      <w:r>
        <w:rPr>
          <w:rFonts w:ascii="Arial" w:hAnsi="Arial"/>
          <w:sz w:val="16"/>
        </w:rPr>
        <w:t>320.26  اگرچه هر کسی می‌تواند تصمیمی برای ریسک اتخاذ کند که بر رفاه شخصی او تأثیر می‌گذارد، برخی از تصمیمات پذیرش ریسک باید توسط یک مرجع تصمیم‌گیر مناسب برای تخصیص مؤثر منابع و اجرای کنترل‌ها برای کاهش یا حذف خطرات مرتبط با یک فعالیت اتخاذ شود.</w:t>
      </w:r>
    </w:p>
    <w:p>
      <w:pPr>
        <w:spacing w:after="28" w:line="216" w:lineRule="auto"/>
        <w:ind w:left="259"/>
        <w:jc w:val="left"/>
      </w:pPr>
      <w:r>
        <w:rPr>
          <w:rFonts w:ascii="Arial" w:hAnsi="Arial"/>
          <w:color w:val="525252"/>
          <w:sz w:val="13"/>
        </w:rPr>
        <w:t>Although anyone can make a risk decision that impacts their personal well-being, some risk acceptance decisions must be made by an appropriate decision-making authority to effectively allocate resources and implement controls to mitigate or eliminate risks associated with an activity.</w:t>
      </w:r>
    </w:p>
    <w:p>
      <w:pPr>
        <w:spacing w:after="20" w:line="223" w:lineRule="auto"/>
        <w:jc w:val="right"/>
        <w:bidi/>
      </w:pPr>
      <w:r>
        <w:rPr>
          <w:rFonts w:ascii="Arial" w:hAnsi="Arial"/>
          <w:sz w:val="16"/>
        </w:rPr>
        <w:t>320.27  اتخاذ تصمیمات ریسک در سطح مناسب نیز مسئولیت پذیری روشنی را ایجاد می‌کند.</w:t>
      </w:r>
    </w:p>
    <w:p>
      <w:pPr>
        <w:spacing w:after="28" w:line="216" w:lineRule="auto"/>
        <w:ind w:left="259"/>
        <w:jc w:val="left"/>
      </w:pPr>
      <w:r>
        <w:rPr>
          <w:rFonts w:ascii="Arial" w:hAnsi="Arial"/>
          <w:color w:val="525252"/>
          <w:sz w:val="13"/>
        </w:rPr>
        <w:t>Making risk decisions at the appropriate level also establishes clear accountability.</w:t>
      </w:r>
    </w:p>
    <w:p>
      <w:pPr>
        <w:spacing w:after="20" w:line="223" w:lineRule="auto"/>
        <w:jc w:val="right"/>
        <w:bidi/>
      </w:pPr>
      <w:r>
        <w:rPr>
          <w:rFonts w:ascii="Arial" w:hAnsi="Arial"/>
          <w:sz w:val="16"/>
        </w:rPr>
        <w:t>320.28  رهبران و افراد باید از میزان ریسکی که می‌توانند بپذیرند و چه زمانی تصمیمات مدیریت ریسک را به سطح بالاتری ارتقا دهند، آگاه باشند.</w:t>
      </w:r>
    </w:p>
    <w:p>
      <w:pPr>
        <w:spacing w:after="28" w:line="216" w:lineRule="auto"/>
        <w:ind w:left="259"/>
        <w:jc w:val="left"/>
      </w:pPr>
      <w:r>
        <w:rPr>
          <w:rFonts w:ascii="Arial" w:hAnsi="Arial"/>
          <w:color w:val="525252"/>
          <w:sz w:val="13"/>
        </w:rPr>
        <w:t>Leaders and individuals must be aware of how much risk they can accept and when to elevate risk management decisions to a higher level.</w:t>
      </w:r>
    </w:p>
    <w:p>
      <w:pPr>
        <w:spacing w:after="20" w:line="223" w:lineRule="auto"/>
        <w:jc w:val="right"/>
        <w:bidi/>
      </w:pPr>
      <w:r>
        <w:rPr>
          <w:rFonts w:ascii="Arial" w:hAnsi="Arial"/>
          <w:sz w:val="16"/>
        </w:rPr>
        <w:t>320.29  مسئولین</w:t>
      </w:r>
    </w:p>
    <w:p>
      <w:pPr>
        <w:spacing w:after="28" w:line="216" w:lineRule="auto"/>
        <w:ind w:left="259"/>
        <w:jc w:val="left"/>
      </w:pPr>
      <w:r>
        <w:rPr>
          <w:rFonts w:ascii="Arial" w:hAnsi="Arial"/>
          <w:color w:val="525252"/>
          <w:sz w:val="13"/>
        </w:rPr>
        <w:t>Those accountable</w:t>
      </w:r>
    </w:p>
    <w:p>
      <w:r>
        <w:br w:type="page"/>
      </w:r>
    </w:p>
    <w:p>
      <w:pPr>
        <w:spacing w:after="60"/>
        <w:jc w:val="right"/>
        <w:bidi/>
      </w:pPr>
      <w:r>
        <w:rPr>
          <w:rFonts w:ascii="Arial" w:hAnsi="Arial"/>
          <w:b/>
          <w:color w:val="1F4D78"/>
          <w:sz w:val="19"/>
        </w:rPr>
        <w:t>هفتهٔ 321  |  صفحهٔ منبع: 337</w:t>
      </w:r>
    </w:p>
    <w:p>
      <w:pPr>
        <w:spacing w:after="20" w:line="223" w:lineRule="auto"/>
        <w:jc w:val="right"/>
        <w:bidi/>
      </w:pPr>
      <w:r>
        <w:rPr>
          <w:rFonts w:ascii="Arial" w:hAnsi="Arial"/>
          <w:sz w:val="16"/>
        </w:rPr>
        <w:t>321.01  برای موفقیت یا شکست یک مأموریت یا فعالیت باید به‌طور کامل در فرآیند تصمیم‌گیری ریسک مشارکت داشته باشد.</w:t>
      </w:r>
    </w:p>
    <w:p>
      <w:pPr>
        <w:spacing w:after="28" w:line="216" w:lineRule="auto"/>
        <w:ind w:left="259"/>
        <w:jc w:val="left"/>
      </w:pPr>
      <w:r>
        <w:rPr>
          <w:rFonts w:ascii="Arial" w:hAnsi="Arial"/>
          <w:color w:val="525252"/>
          <w:sz w:val="13"/>
        </w:rPr>
        <w:t>for the success or failure of a mission or activity must be fully engaged in the risk decision process.</w:t>
      </w:r>
    </w:p>
    <w:p>
      <w:pPr>
        <w:spacing w:after="20" w:line="223" w:lineRule="auto"/>
        <w:jc w:val="right"/>
        <w:bidi/>
      </w:pPr>
      <w:r>
        <w:rPr>
          <w:rFonts w:ascii="Arial" w:hAnsi="Arial"/>
          <w:sz w:val="16"/>
        </w:rPr>
        <w:t>321.02  مدیریت ریسک را در عملیات و برنامه‌ریزی در همه سطوح ادغام کنید.</w:t>
      </w:r>
    </w:p>
    <w:p>
      <w:pPr>
        <w:spacing w:after="28" w:line="216" w:lineRule="auto"/>
        <w:ind w:left="259"/>
        <w:jc w:val="left"/>
      </w:pPr>
      <w:r>
        <w:rPr>
          <w:rFonts w:ascii="Arial" w:hAnsi="Arial"/>
          <w:color w:val="525252"/>
          <w:sz w:val="13"/>
        </w:rPr>
        <w:t>Integrate Risk Management into Operations and Planning at All Levels.</w:t>
      </w:r>
    </w:p>
    <w:p>
      <w:pPr>
        <w:spacing w:after="20" w:line="223" w:lineRule="auto"/>
        <w:jc w:val="right"/>
        <w:bidi/>
      </w:pPr>
      <w:r>
        <w:rPr>
          <w:rFonts w:ascii="Arial" w:hAnsi="Arial"/>
          <w:sz w:val="16"/>
        </w:rPr>
        <w:t>321.03  مدیریت ریسک را در برنامه‌ریزی در همه سطوح و در اسرع وقت ادغام کنید.</w:t>
      </w:r>
    </w:p>
    <w:p>
      <w:pPr>
        <w:spacing w:after="28" w:line="216" w:lineRule="auto"/>
        <w:ind w:left="259"/>
        <w:jc w:val="left"/>
      </w:pPr>
      <w:r>
        <w:rPr>
          <w:rFonts w:ascii="Arial" w:hAnsi="Arial"/>
          <w:color w:val="525252"/>
          <w:sz w:val="13"/>
        </w:rPr>
        <w:t>Integrate risk management into planning at all levels and as early as possible.</w:t>
      </w:r>
    </w:p>
    <w:p>
      <w:pPr>
        <w:spacing w:after="20" w:line="223" w:lineRule="auto"/>
        <w:jc w:val="right"/>
        <w:bidi/>
      </w:pPr>
      <w:r>
        <w:rPr>
          <w:rFonts w:ascii="Arial" w:hAnsi="Arial"/>
          <w:sz w:val="16"/>
        </w:rPr>
        <w:t>321.04  این بزرگترین فرصت را برای تصمیم‌گیری آگاهانه در مورد ریسک و اجرای کنترل‌های ریسک مؤثر فراهم می‌کند.</w:t>
      </w:r>
    </w:p>
    <w:p>
      <w:pPr>
        <w:spacing w:after="28" w:line="216" w:lineRule="auto"/>
        <w:ind w:left="259"/>
        <w:jc w:val="left"/>
      </w:pPr>
      <w:r>
        <w:rPr>
          <w:rFonts w:ascii="Arial" w:hAnsi="Arial"/>
          <w:color w:val="525252"/>
          <w:sz w:val="13"/>
        </w:rPr>
        <w:t>This provides the greatest opportunity to make informed risk decisions and implement effective risk controls.</w:t>
      </w:r>
    </w:p>
    <w:p>
      <w:pPr>
        <w:spacing w:after="20" w:line="223" w:lineRule="auto"/>
        <w:jc w:val="right"/>
        <w:bidi/>
      </w:pPr>
      <w:r>
        <w:rPr>
          <w:rFonts w:ascii="Arial" w:hAnsi="Arial"/>
          <w:sz w:val="16"/>
        </w:rPr>
        <w:t>321.05  برای اعمال مؤثر مدیریت ریسک، فرماندهان، سرپرستان و پرسنل باید زمان و منابعی را برای ادغام اصول مدیریت ریسک در برنامه‌ریزی، فرآیندهای عملیاتی و فعالیت‌های روزمره اختصاص دهند.</w:t>
      </w:r>
    </w:p>
    <w:p>
      <w:pPr>
        <w:spacing w:after="28" w:line="216" w:lineRule="auto"/>
        <w:ind w:left="259"/>
        <w:jc w:val="left"/>
      </w:pPr>
      <w:r>
        <w:rPr>
          <w:rFonts w:ascii="Arial" w:hAnsi="Arial"/>
          <w:color w:val="525252"/>
          <w:sz w:val="13"/>
        </w:rPr>
        <w:t>To effectively apply risk management, commanders, supervisors, and personnel must dedicate time and resources to integrate risk management principles into planning, operational processes, and day- to-day activities.</w:t>
      </w:r>
    </w:p>
    <w:p>
      <w:pPr>
        <w:spacing w:after="20" w:line="223" w:lineRule="auto"/>
        <w:jc w:val="right"/>
        <w:bidi/>
      </w:pPr>
      <w:r>
        <w:rPr>
          <w:rFonts w:ascii="Arial" w:hAnsi="Arial"/>
          <w:sz w:val="16"/>
        </w:rPr>
        <w:t>321.06  ارزیابی ریسک عملیات و فعالیت‌ها زمانی بسیار موفق است که عمدا در توالی عادی رویدادها (طراحی از قبل یک مأموریت یا فعالیت) توسط افرادی که مستقیما درگیر این رویداد هستند، گنجانده شوند، و نه به‌عنوان یک فرآیند لحظه آخری یا اضافی.</w:t>
      </w:r>
    </w:p>
    <w:p>
      <w:pPr>
        <w:spacing w:after="28" w:line="216" w:lineRule="auto"/>
        <w:ind w:left="259"/>
        <w:jc w:val="left"/>
      </w:pPr>
      <w:r>
        <w:rPr>
          <w:rFonts w:ascii="Arial" w:hAnsi="Arial"/>
          <w:color w:val="525252"/>
          <w:sz w:val="13"/>
        </w:rPr>
        <w:t>Risk assessments of operations and activities are most successful when incorporated deliberately in the normal sequence of events (the pre-planning of a mission or activity) by individuals directly involved in the event, and not as a last minute or add-on process.</w:t>
      </w:r>
    </w:p>
    <w:p>
      <w:pPr>
        <w:spacing w:after="20" w:line="223" w:lineRule="auto"/>
        <w:jc w:val="right"/>
        <w:bidi/>
      </w:pPr>
      <w:r>
        <w:rPr>
          <w:rFonts w:ascii="Arial" w:hAnsi="Arial"/>
          <w:sz w:val="16"/>
        </w:rPr>
        <w:t>321.07  برنامه‌ریزی مدیریت ریسک، حتی در یک محیط با محدودیت زمانی، بهتر از عدم برنامه‌ریزی است.</w:t>
      </w:r>
    </w:p>
    <w:p>
      <w:pPr>
        <w:spacing w:after="28" w:line="216" w:lineRule="auto"/>
        <w:ind w:left="259"/>
        <w:jc w:val="left"/>
      </w:pPr>
      <w:r>
        <w:rPr>
          <w:rFonts w:ascii="Arial" w:hAnsi="Arial"/>
          <w:color w:val="525252"/>
          <w:sz w:val="13"/>
        </w:rPr>
        <w:t>Risk management planning, even in a time-constrained environment, is better than no planning at all.</w:t>
      </w:r>
    </w:p>
    <w:p>
      <w:pPr>
        <w:spacing w:after="20" w:line="223" w:lineRule="auto"/>
        <w:jc w:val="right"/>
        <w:bidi/>
      </w:pPr>
      <w:r>
        <w:rPr>
          <w:rFonts w:ascii="Arial" w:hAnsi="Arial"/>
          <w:sz w:val="16"/>
        </w:rPr>
        <w:t>321.08  فرآیند مدیریت ریسک را به صورت دوره‌ای و پیوسته اعمال کنید.</w:t>
      </w:r>
    </w:p>
    <w:p>
      <w:pPr>
        <w:spacing w:after="28" w:line="216" w:lineRule="auto"/>
        <w:ind w:left="259"/>
        <w:jc w:val="left"/>
      </w:pPr>
      <w:r>
        <w:rPr>
          <w:rFonts w:ascii="Arial" w:hAnsi="Arial"/>
          <w:color w:val="525252"/>
          <w:sz w:val="13"/>
        </w:rPr>
        <w:t>Apply the Risk Management Process Cyclically and Continuously.</w:t>
      </w:r>
    </w:p>
    <w:p>
      <w:pPr>
        <w:spacing w:after="20" w:line="223" w:lineRule="auto"/>
        <w:jc w:val="right"/>
        <w:bidi/>
      </w:pPr>
      <w:r>
        <w:rPr>
          <w:rFonts w:ascii="Arial" w:hAnsi="Arial"/>
          <w:sz w:val="16"/>
        </w:rPr>
        <w:t>321.09  مدیریت ریسک فرآیندی مستمر است که در طیف کامل آموزش و عملیات نظامی، عملکردهای عملیات پایگاه، و فعالیت‌ها و رویدادهای روزانه در حین و خارج از وظیفه اعمال می‌شود.</w:t>
      </w:r>
    </w:p>
    <w:p>
      <w:pPr>
        <w:spacing w:after="28" w:line="216" w:lineRule="auto"/>
        <w:ind w:left="259"/>
        <w:jc w:val="left"/>
      </w:pPr>
      <w:r>
        <w:rPr>
          <w:rFonts w:ascii="Arial" w:hAnsi="Arial"/>
          <w:color w:val="525252"/>
          <w:sz w:val="13"/>
        </w:rPr>
        <w:t>Risk management is a continuous process applied across the full spectrum of military training and operations, base operations functions, and day-to-day activities and events both on- and off-duty.</w:t>
      </w:r>
    </w:p>
    <w:p>
      <w:pPr>
        <w:spacing w:after="20" w:line="223" w:lineRule="auto"/>
        <w:jc w:val="right"/>
        <w:bidi/>
      </w:pPr>
      <w:r>
        <w:rPr>
          <w:rFonts w:ascii="Arial" w:hAnsi="Arial"/>
          <w:sz w:val="16"/>
        </w:rPr>
        <w:t>321.10  این فرآیند چرخه‌ای برای شناسایی و ارزیابی مستمر خطرات، توسعه و اجرای کنترل‌ها، ارزیابی نتایج، و ارائه بازخورد به هوانوردان و نگهبانان برای نجات جان‌ها و حفظ منابع رزمی استفاده می‌شود.</w:t>
      </w:r>
    </w:p>
    <w:p>
      <w:pPr>
        <w:spacing w:after="28" w:line="216" w:lineRule="auto"/>
        <w:ind w:left="259"/>
        <w:jc w:val="left"/>
      </w:pPr>
      <w:r>
        <w:rPr>
          <w:rFonts w:ascii="Arial" w:hAnsi="Arial"/>
          <w:color w:val="525252"/>
          <w:sz w:val="13"/>
        </w:rPr>
        <w:t>This cyclic process is used to continuously identify and assess hazards, develop, and implement controls, evaluate outcomes, and provide feedback to our Airmen and Guardians to save lives and preserve combat resources.</w:t>
      </w:r>
    </w:p>
    <w:p>
      <w:pPr>
        <w:spacing w:before="60" w:after="28"/>
        <w:jc w:val="right"/>
        <w:bidi/>
      </w:pPr>
      <w:r>
        <w:rPr>
          <w:b/>
          <w:color w:val="1F4D78"/>
          <w:sz w:val="18"/>
        </w:rPr>
        <w:t>17.20. سطوح مدیریت ریسک</w:t>
      </w:r>
    </w:p>
    <w:p>
      <w:pPr>
        <w:spacing w:after="20"/>
        <w:ind w:left="259"/>
        <w:jc w:val="left"/>
      </w:pPr>
      <w:r>
        <w:rPr>
          <w:color w:val="555555"/>
          <w:sz w:val="12"/>
        </w:rPr>
        <w:t>17.20. Risk Management Levels</w:t>
      </w:r>
    </w:p>
    <w:p>
      <w:pPr>
        <w:spacing w:after="20" w:line="223" w:lineRule="auto"/>
        <w:jc w:val="right"/>
        <w:bidi/>
      </w:pPr>
      <w:r>
        <w:rPr>
          <w:rFonts w:ascii="Arial" w:hAnsi="Arial"/>
          <w:sz w:val="16"/>
        </w:rPr>
        <w:t>321.12  اصول، اهداف و مفاهیم اساسی مدیریت ریسک، کاربرد جهانی مدیریت ریسک را هم در حین و هم در خارج از وظیفه برجسته می‌کند.</w:t>
      </w:r>
    </w:p>
    <w:p>
      <w:pPr>
        <w:spacing w:after="28" w:line="216" w:lineRule="auto"/>
        <w:ind w:left="259"/>
        <w:jc w:val="left"/>
      </w:pPr>
      <w:r>
        <w:rPr>
          <w:rFonts w:ascii="Arial" w:hAnsi="Arial"/>
          <w:color w:val="525252"/>
          <w:sz w:val="13"/>
        </w:rPr>
        <w:t>The principles, goals, and fundamental concepts of risk management highlight the universal application of risk management both on- and off-duty.</w:t>
      </w:r>
    </w:p>
    <w:p>
      <w:pPr>
        <w:spacing w:after="20" w:line="223" w:lineRule="auto"/>
        <w:jc w:val="right"/>
        <w:bidi/>
      </w:pPr>
      <w:r>
        <w:rPr>
          <w:rFonts w:ascii="Arial" w:hAnsi="Arial"/>
          <w:sz w:val="16"/>
        </w:rPr>
        <w:t>321.13  دو سطح اصلی مدیریت ریسک وجود دارد: عمدی و زمان واقعی.</w:t>
      </w:r>
    </w:p>
    <w:p>
      <w:pPr>
        <w:spacing w:after="28" w:line="216" w:lineRule="auto"/>
        <w:ind w:left="259"/>
        <w:jc w:val="left"/>
      </w:pPr>
      <w:r>
        <w:rPr>
          <w:rFonts w:ascii="Arial" w:hAnsi="Arial"/>
          <w:color w:val="525252"/>
          <w:sz w:val="13"/>
        </w:rPr>
        <w:t>There are two primary levels of risk management: deliberate and real-time.</w:t>
      </w:r>
    </w:p>
    <w:p>
      <w:pPr>
        <w:spacing w:after="20" w:line="223" w:lineRule="auto"/>
        <w:jc w:val="right"/>
        <w:bidi/>
      </w:pPr>
      <w:r>
        <w:rPr>
          <w:rFonts w:ascii="Arial" w:hAnsi="Arial"/>
          <w:sz w:val="16"/>
        </w:rPr>
        <w:t>321.14  مدیریت ریسک عمدی و در زمان واقعی هنگام تصمیم‌گیری در مورد مدیریت ریسک به هم مرتبط هستند.</w:t>
      </w:r>
    </w:p>
    <w:p>
      <w:pPr>
        <w:spacing w:after="28" w:line="216" w:lineRule="auto"/>
        <w:ind w:left="259"/>
        <w:jc w:val="left"/>
      </w:pPr>
      <w:r>
        <w:rPr>
          <w:rFonts w:ascii="Arial" w:hAnsi="Arial"/>
          <w:color w:val="525252"/>
          <w:sz w:val="13"/>
        </w:rPr>
        <w:t>Deliberate and real-time risk management are interrelated when making risk management decisions.</w:t>
      </w:r>
    </w:p>
    <w:p>
      <w:pPr>
        <w:spacing w:after="20" w:line="223" w:lineRule="auto"/>
        <w:jc w:val="right"/>
        <w:bidi/>
      </w:pPr>
      <w:r>
        <w:rPr>
          <w:rFonts w:ascii="Arial" w:hAnsi="Arial"/>
          <w:sz w:val="16"/>
        </w:rPr>
        <w:t>321.15  آنها فقط در نقطه‌ای که برنامه‌ریزی به اجرای مأموریت یا فعالیت منتقل می‌شود از هم جدا می‌شوند.</w:t>
      </w:r>
    </w:p>
    <w:p>
      <w:pPr>
        <w:spacing w:after="28" w:line="216" w:lineRule="auto"/>
        <w:ind w:left="259"/>
        <w:jc w:val="left"/>
      </w:pPr>
      <w:r>
        <w:rPr>
          <w:rFonts w:ascii="Arial" w:hAnsi="Arial"/>
          <w:color w:val="525252"/>
          <w:sz w:val="13"/>
        </w:rPr>
        <w:t>They are separated only at the point where planning transitions to execution of the mission or activity.</w:t>
      </w:r>
    </w:p>
    <w:p>
      <w:pPr>
        <w:spacing w:after="20" w:line="223" w:lineRule="auto"/>
        <w:jc w:val="right"/>
        <w:bidi/>
      </w:pPr>
      <w:r>
        <w:rPr>
          <w:rFonts w:ascii="Arial" w:hAnsi="Arial"/>
          <w:sz w:val="16"/>
        </w:rPr>
        <w:t>321.16  یک فرآیند مدیریت ریسک قوی و مؤثر شامل برنامه‌ریزی مشورتی دقیق همراه با مدیریت ریسک در زمان واقعی است.</w:t>
      </w:r>
    </w:p>
    <w:p>
      <w:pPr>
        <w:spacing w:after="28" w:line="216" w:lineRule="auto"/>
        <w:ind w:left="259"/>
        <w:jc w:val="left"/>
      </w:pPr>
      <w:r>
        <w:rPr>
          <w:rFonts w:ascii="Arial" w:hAnsi="Arial"/>
          <w:color w:val="525252"/>
          <w:sz w:val="13"/>
        </w:rPr>
        <w:t>A strong, effective risk management process involves careful deliberative planning coupled with effective real-time risk management.</w:t>
      </w:r>
    </w:p>
    <w:p>
      <w:pPr>
        <w:spacing w:after="20" w:line="223" w:lineRule="auto"/>
        <w:jc w:val="right"/>
        <w:bidi/>
      </w:pPr>
      <w:r>
        <w:rPr>
          <w:rFonts w:ascii="Arial" w:hAnsi="Arial"/>
          <w:sz w:val="16"/>
        </w:rPr>
        <w:t>321.17  این رویکرد دوگانه کاهش ریسک جامع و احتمال موفقیت مأموریت یا فعالیت را تضمین می‌کند.</w:t>
      </w:r>
    </w:p>
    <w:p>
      <w:pPr>
        <w:spacing w:after="28" w:line="216" w:lineRule="auto"/>
        <w:ind w:left="259"/>
        <w:jc w:val="left"/>
      </w:pPr>
      <w:r>
        <w:rPr>
          <w:rFonts w:ascii="Arial" w:hAnsi="Arial"/>
          <w:color w:val="525252"/>
          <w:sz w:val="13"/>
        </w:rPr>
        <w:t>This dual approach ensures comprehensive risk mitigation and the likelihood of mission or activity success.</w:t>
      </w:r>
    </w:p>
    <w:p>
      <w:pPr>
        <w:spacing w:after="20" w:line="223" w:lineRule="auto"/>
        <w:jc w:val="right"/>
        <w:bidi/>
      </w:pPr>
      <w:r>
        <w:rPr>
          <w:rFonts w:ascii="Arial" w:hAnsi="Arial"/>
          <w:sz w:val="16"/>
        </w:rPr>
        <w:t>321.18  مدیریت ریسک عمدی.</w:t>
      </w:r>
    </w:p>
    <w:p>
      <w:pPr>
        <w:spacing w:after="28" w:line="216" w:lineRule="auto"/>
        <w:ind w:left="259"/>
        <w:jc w:val="left"/>
      </w:pPr>
      <w:r>
        <w:rPr>
          <w:rFonts w:ascii="Arial" w:hAnsi="Arial"/>
          <w:color w:val="525252"/>
          <w:sz w:val="13"/>
        </w:rPr>
        <w:t>Deliberate Risk Management.</w:t>
      </w:r>
    </w:p>
    <w:p>
      <w:pPr>
        <w:spacing w:after="20" w:line="223" w:lineRule="auto"/>
        <w:jc w:val="right"/>
        <w:bidi/>
      </w:pPr>
      <w:r>
        <w:rPr>
          <w:rFonts w:ascii="Arial" w:hAnsi="Arial"/>
          <w:sz w:val="16"/>
        </w:rPr>
        <w:t>321.19  مدیریت ریسک عمدی ممکن است شامل استفاده کامل و رسمی از فرآیند مدیریت ریسک پنج مرحله‌ای کامل، از شناسایی کامل خطر، تحقیقات دقیق داده‌ها، نمودار و ابزار تحلیل، آزمایش رسمی و ردیابی طولانی مدت خطرات مرتبط با یک عملیات، فعالیت یا سیستم باشد.</w:t>
      </w:r>
    </w:p>
    <w:p>
      <w:pPr>
        <w:spacing w:after="28" w:line="216" w:lineRule="auto"/>
        <w:ind w:left="259"/>
        <w:jc w:val="left"/>
      </w:pPr>
      <w:r>
        <w:rPr>
          <w:rFonts w:ascii="Arial" w:hAnsi="Arial"/>
          <w:color w:val="525252"/>
          <w:sz w:val="13"/>
        </w:rPr>
        <w:t>Deliberate risk management may involve the full, formal application of the complete five-step risk management process, ranging from thorough hazard identification, detailed data research, diagram and analysis tools, formal testing, and long-term tracking of the risks associated with an operation, activity, or system.</w:t>
      </w:r>
    </w:p>
    <w:p>
      <w:pPr>
        <w:spacing w:after="20" w:line="223" w:lineRule="auto"/>
        <w:jc w:val="right"/>
        <w:bidi/>
      </w:pPr>
      <w:r>
        <w:rPr>
          <w:rFonts w:ascii="Arial" w:hAnsi="Arial"/>
          <w:sz w:val="16"/>
        </w:rPr>
        <w:t>321.20  مدیریت ریسک عمدی ممکن است به سادگی شامل عملیات عادی روزانه یا برنامه‌ریزی فعالیت باشد که از همان فرآیند مدیریت ریسک پنج مرحله‌ای استفاده می‌کند اما برای تکمیل به زمان و منابع کمتری نیاز دارد.</w:t>
      </w:r>
    </w:p>
    <w:p>
      <w:pPr>
        <w:spacing w:after="28" w:line="216" w:lineRule="auto"/>
        <w:ind w:left="259"/>
        <w:jc w:val="left"/>
      </w:pPr>
      <w:r>
        <w:rPr>
          <w:rFonts w:ascii="Arial" w:hAnsi="Arial"/>
          <w:color w:val="525252"/>
          <w:sz w:val="13"/>
        </w:rPr>
        <w:t>Deliberate risk management may simply involve normal day-to-day operations or activity planning that utilize the same five- step risk management process but require less time and resources to complete.</w:t>
      </w:r>
    </w:p>
    <w:p>
      <w:pPr>
        <w:spacing w:after="20" w:line="223" w:lineRule="auto"/>
        <w:jc w:val="right"/>
        <w:bidi/>
      </w:pPr>
      <w:r>
        <w:rPr>
          <w:rFonts w:ascii="Arial" w:hAnsi="Arial"/>
          <w:sz w:val="16"/>
        </w:rPr>
        <w:t>321.21  برنامه‌ریزی عمیق مدیریت ریسک.</w:t>
      </w:r>
    </w:p>
    <w:p>
      <w:pPr>
        <w:spacing w:after="28" w:line="216" w:lineRule="auto"/>
        <w:ind w:left="259"/>
        <w:jc w:val="left"/>
      </w:pPr>
      <w:r>
        <w:rPr>
          <w:rFonts w:ascii="Arial" w:hAnsi="Arial"/>
          <w:color w:val="525252"/>
          <w:sz w:val="13"/>
        </w:rPr>
        <w:t>In-Depth Risk Management Planning.</w:t>
      </w:r>
    </w:p>
    <w:p>
      <w:pPr>
        <w:spacing w:after="20" w:line="223" w:lineRule="auto"/>
        <w:jc w:val="right"/>
        <w:bidi/>
      </w:pPr>
      <w:r>
        <w:rPr>
          <w:rFonts w:ascii="Arial" w:hAnsi="Arial"/>
          <w:sz w:val="16"/>
        </w:rPr>
        <w:t>321.22  جنبه دیگری از مدیریت ریسک عمدی که به‌طور کلی با برنامه‌ریزی در سطح استراتژیک مرتبط است، به‌عنوان برنامه‌ریزی مدیریت ریسک عمیق نامیده می‌شود.</w:t>
      </w:r>
    </w:p>
    <w:p>
      <w:pPr>
        <w:spacing w:after="28" w:line="216" w:lineRule="auto"/>
        <w:ind w:left="259"/>
        <w:jc w:val="left"/>
      </w:pPr>
      <w:r>
        <w:rPr>
          <w:rFonts w:ascii="Arial" w:hAnsi="Arial"/>
          <w:color w:val="525252"/>
          <w:sz w:val="13"/>
        </w:rPr>
        <w:t>Another aspect of deliberate risk management that is generally associated with strategic-level planning is referred to as in-depth risk management planning.</w:t>
      </w:r>
    </w:p>
    <w:p>
      <w:pPr>
        <w:spacing w:after="20" w:line="223" w:lineRule="auto"/>
        <w:jc w:val="right"/>
        <w:bidi/>
      </w:pPr>
      <w:r>
        <w:rPr>
          <w:rFonts w:ascii="Arial" w:hAnsi="Arial"/>
          <w:sz w:val="16"/>
        </w:rPr>
        <w:t>321.23  برای عملیات‌ها و سیستم‌های پیچیده و همچنین موقعیت‌ها یا شرایطی با اولویت بالا و دید بالا که در آن خطرات به خوبی درک نشده یا به راحتی قابل پیش بینی نیستند، رزرو شده است.</w:t>
      </w:r>
    </w:p>
    <w:p>
      <w:pPr>
        <w:spacing w:after="28" w:line="216" w:lineRule="auto"/>
        <w:ind w:left="259"/>
        <w:jc w:val="left"/>
      </w:pPr>
      <w:r>
        <w:rPr>
          <w:rFonts w:ascii="Arial" w:hAnsi="Arial"/>
          <w:color w:val="525252"/>
          <w:sz w:val="13"/>
        </w:rPr>
        <w:t>It is reserved for complex operations and systems, as well as high priority and high visibility situations or circumstances in which hazards are not well understood or easily predictable.</w:t>
      </w:r>
    </w:p>
    <w:p>
      <w:pPr>
        <w:spacing w:after="20" w:line="223" w:lineRule="auto"/>
        <w:jc w:val="right"/>
        <w:bidi/>
      </w:pPr>
      <w:r>
        <w:rPr>
          <w:rFonts w:ascii="Arial" w:hAnsi="Arial"/>
          <w:sz w:val="16"/>
        </w:rPr>
        <w:t>321.24  مدیریت ریسک عمیق معمولا قبل از یک سیستم، مأموریت، رویداد یا فعالیت برنامه‌ریزی‌شده اجرا می‌شود و معمولا برای تلاش‌های پیچیده‌تر و مخاطره‌آمیزتر، مانند جابجایی نیروها، برنامه‌ریزی نمایش هوایی، یا تاکتیک‌ها و توسعه برنامه‌های آموزشی در نظر گرفته می‌شود.</w:t>
      </w:r>
    </w:p>
    <w:p>
      <w:pPr>
        <w:spacing w:after="28" w:line="216" w:lineRule="auto"/>
        <w:ind w:left="259"/>
        <w:jc w:val="left"/>
      </w:pPr>
      <w:r>
        <w:rPr>
          <w:rFonts w:ascii="Arial" w:hAnsi="Arial"/>
          <w:color w:val="525252"/>
          <w:sz w:val="13"/>
        </w:rPr>
        <w:t>In-depth risk management is normally implemented well in advance of a planned system, mission, event, or activity, and is normally reserved for more complex and risky efforts, such as large troop movements, airshow planning, or tactics and training curricula development.</w:t>
      </w:r>
    </w:p>
    <w:p>
      <w:pPr>
        <w:spacing w:before="60" w:after="28"/>
        <w:jc w:val="right"/>
        <w:bidi/>
      </w:pPr>
      <w:r>
        <w:rPr>
          <w:b/>
          <w:color w:val="1F4D78"/>
          <w:sz w:val="18"/>
        </w:rPr>
        <w:t>17.21. فرآیند مدیریت ریسک پنج مرحله ای</w:t>
      </w:r>
    </w:p>
    <w:p>
      <w:pPr>
        <w:spacing w:after="20"/>
        <w:ind w:left="259"/>
        <w:jc w:val="left"/>
      </w:pPr>
      <w:r>
        <w:rPr>
          <w:color w:val="555555"/>
          <w:sz w:val="12"/>
        </w:rPr>
        <w:t>17.21. Five-Step Risk Management Process</w:t>
      </w:r>
    </w:p>
    <w:p>
      <w:pPr>
        <w:spacing w:after="20" w:line="223" w:lineRule="auto"/>
        <w:jc w:val="right"/>
        <w:bidi/>
      </w:pPr>
      <w:r>
        <w:rPr>
          <w:rFonts w:ascii="Arial" w:hAnsi="Arial"/>
          <w:sz w:val="16"/>
        </w:rPr>
        <w:t>321.26  مدیریت ریسک یک فرآیند تصمیم‌گیری مستمر و سیستماتیک است که شامل پنج مرحله است که عمدتا با برنامه‌ریزی عمدی مدیریت ریسک مرتبط است که مبنای ملاحظات فرآیند مدیریت ریسک در زمان واقعی را تشکیل می‌دهد.</w:t>
      </w:r>
    </w:p>
    <w:p>
      <w:pPr>
        <w:spacing w:after="28" w:line="216" w:lineRule="auto"/>
        <w:ind w:left="259"/>
        <w:jc w:val="left"/>
      </w:pPr>
      <w:r>
        <w:rPr>
          <w:rFonts w:ascii="Arial" w:hAnsi="Arial"/>
          <w:color w:val="525252"/>
          <w:sz w:val="13"/>
        </w:rPr>
        <w:t>Risk management is a continuous, systematic decision process consisting of five steps primarily associated with deliberate risk management planning that forms the basis for real-time risk management process considerations.</w:t>
      </w:r>
    </w:p>
    <w:p>
      <w:pPr>
        <w:spacing w:after="20" w:line="223" w:lineRule="auto"/>
        <w:jc w:val="right"/>
        <w:bidi/>
      </w:pPr>
      <w:r>
        <w:rPr>
          <w:rFonts w:ascii="Arial" w:hAnsi="Arial"/>
          <w:sz w:val="16"/>
        </w:rPr>
        <w:t>321.27  شرح زیر شرح مختصری از فرآیند مدیریت ریسک پنج مرحله‌ای است و در شکل ۱۷.۱ نشان داده شده است.</w:t>
      </w:r>
    </w:p>
    <w:p>
      <w:pPr>
        <w:spacing w:after="28" w:line="216" w:lineRule="auto"/>
        <w:ind w:left="259"/>
        <w:jc w:val="left"/>
      </w:pPr>
      <w:r>
        <w:rPr>
          <w:rFonts w:ascii="Arial" w:hAnsi="Arial"/>
          <w:color w:val="525252"/>
          <w:sz w:val="13"/>
        </w:rPr>
        <w:t>The following is a brief description of the Five-Step Risk Management Process and is illustrated in Figure 17.1.:</w:t>
      </w:r>
    </w:p>
    <w:p>
      <w:r>
        <w:br w:type="page"/>
      </w:r>
    </w:p>
    <w:p>
      <w:pPr>
        <w:spacing w:after="60"/>
        <w:jc w:val="right"/>
        <w:bidi/>
      </w:pPr>
      <w:r>
        <w:rPr>
          <w:rFonts w:ascii="Arial" w:hAnsi="Arial"/>
          <w:b/>
          <w:color w:val="1F4D78"/>
          <w:sz w:val="19"/>
        </w:rPr>
        <w:t>هفتهٔ 322  |  صفحهٔ منبع: 338</w:t>
      </w:r>
    </w:p>
    <w:p>
      <w:pPr>
        <w:spacing w:after="20" w:line="223" w:lineRule="auto"/>
        <w:jc w:val="right"/>
        <w:bidi/>
      </w:pPr>
      <w:r>
        <w:rPr>
          <w:rFonts w:ascii="Arial" w:hAnsi="Arial"/>
          <w:sz w:val="16"/>
        </w:rPr>
        <w:t>322.01  مرحله ۱.</w:t>
      </w:r>
    </w:p>
    <w:p>
      <w:pPr>
        <w:spacing w:after="28" w:line="216" w:lineRule="auto"/>
        <w:ind w:left="259"/>
        <w:jc w:val="left"/>
      </w:pPr>
      <w:r>
        <w:rPr>
          <w:rFonts w:ascii="Arial" w:hAnsi="Arial"/>
          <w:color w:val="525252"/>
          <w:sz w:val="13"/>
        </w:rPr>
        <w:t>Step 1.</w:t>
      </w:r>
    </w:p>
    <w:p>
      <w:pPr>
        <w:spacing w:after="20" w:line="223" w:lineRule="auto"/>
        <w:jc w:val="right"/>
        <w:bidi/>
      </w:pPr>
      <w:r>
        <w:rPr>
          <w:rFonts w:ascii="Arial" w:hAnsi="Arial"/>
          <w:sz w:val="16"/>
        </w:rPr>
        <w:t>322.02  خطرات را شناسایی کنید.</w:t>
      </w:r>
    </w:p>
    <w:p>
      <w:pPr>
        <w:spacing w:after="28" w:line="216" w:lineRule="auto"/>
        <w:ind w:left="259"/>
        <w:jc w:val="left"/>
      </w:pPr>
      <w:r>
        <w:rPr>
          <w:rFonts w:ascii="Arial" w:hAnsi="Arial"/>
          <w:color w:val="525252"/>
          <w:sz w:val="13"/>
        </w:rPr>
        <w:t>Identify the Hazards.</w:t>
      </w:r>
    </w:p>
    <w:p>
      <w:pPr>
        <w:spacing w:after="20" w:line="223" w:lineRule="auto"/>
        <w:jc w:val="right"/>
        <w:bidi/>
      </w:pPr>
      <w:r>
        <w:rPr>
          <w:rFonts w:ascii="Arial" w:hAnsi="Arial"/>
          <w:sz w:val="16"/>
        </w:rPr>
        <w:t>322.03  مرحله ۱ فرآیند مدیریت ریسک پنج مرحله‌ای، شناسایی خطرات است.</w:t>
      </w:r>
    </w:p>
    <w:p>
      <w:pPr>
        <w:spacing w:after="28" w:line="216" w:lineRule="auto"/>
        <w:ind w:left="259"/>
        <w:jc w:val="left"/>
      </w:pPr>
      <w:r>
        <w:rPr>
          <w:rFonts w:ascii="Arial" w:hAnsi="Arial"/>
          <w:color w:val="525252"/>
          <w:sz w:val="13"/>
        </w:rPr>
        <w:t>Step 1 of the Five-Step Risk Management Process is to identify the hazards.</w:t>
      </w:r>
    </w:p>
    <w:p>
      <w:pPr>
        <w:spacing w:after="20" w:line="223" w:lineRule="auto"/>
        <w:jc w:val="right"/>
        <w:bidi/>
      </w:pPr>
      <w:r>
        <w:rPr>
          <w:rFonts w:ascii="Arial" w:hAnsi="Arial"/>
          <w:sz w:val="16"/>
        </w:rPr>
        <w:t>322.04  شناسایی خطرات شامل بکارگیری تکنیک‌های شناسایی خطر مناسب برای شناسایی خطرات مرتبط با عملیات یا فعالیت است.</w:t>
      </w:r>
    </w:p>
    <w:p>
      <w:pPr>
        <w:spacing w:after="28" w:line="216" w:lineRule="auto"/>
        <w:ind w:left="259"/>
        <w:jc w:val="left"/>
      </w:pPr>
      <w:r>
        <w:rPr>
          <w:rFonts w:ascii="Arial" w:hAnsi="Arial"/>
          <w:color w:val="525252"/>
          <w:sz w:val="13"/>
        </w:rPr>
        <w:t>Identifying the hazards involves application of appropriate hazard identification techniques to identify hazards associated with the operation or activity.</w:t>
      </w:r>
    </w:p>
    <w:p>
      <w:pPr>
        <w:spacing w:after="20" w:line="223" w:lineRule="auto"/>
        <w:jc w:val="right"/>
        <w:bidi/>
      </w:pPr>
      <w:r>
        <w:rPr>
          <w:rFonts w:ascii="Arial" w:hAnsi="Arial"/>
          <w:sz w:val="16"/>
        </w:rPr>
        <w:t>322.05  خطرات را می‌توان به‌عنوان هر شرایط واقعی یا بالقوه‌ای تعریف کرد که می‌تواند باعث تخریب مأموریت، جراحت، بیماری، مرگ پرسنل، یا آسیب یا از دست دادن تجهیزات یا دارایی شود.</w:t>
      </w:r>
    </w:p>
    <w:p>
      <w:pPr>
        <w:spacing w:after="28" w:line="216" w:lineRule="auto"/>
        <w:ind w:left="259"/>
        <w:jc w:val="left"/>
      </w:pPr>
      <w:r>
        <w:rPr>
          <w:rFonts w:ascii="Arial" w:hAnsi="Arial"/>
          <w:color w:val="525252"/>
          <w:sz w:val="13"/>
        </w:rPr>
        <w:t>Hazards can be defined as any real or potential condition that can cause mission degradation, injury, illness, death to personnel, or damage to or loss of equipment or property.</w:t>
      </w:r>
    </w:p>
    <w:p>
      <w:pPr>
        <w:spacing w:after="20" w:line="223" w:lineRule="auto"/>
        <w:jc w:val="right"/>
        <w:bidi/>
      </w:pPr>
      <w:r>
        <w:rPr>
          <w:rFonts w:ascii="Arial" w:hAnsi="Arial"/>
          <w:sz w:val="16"/>
        </w:rPr>
        <w:t>322.06  اجرای مرحله ۱ شامل (۱) بررسی عملیات و وظایف جاری و برنامه‌ریزی شده مرتبط با مأموریت یا فعالیت، (۲) شناسایی و فهرست کردن خطرات و عواملی که ممکن است منجر به خطرات و خطرات مرتبط با عملیات یا فعالیت شود، و (۳) فهرست کردن علل مرتبط با هر یک</w:t>
      </w:r>
    </w:p>
    <w:p>
      <w:pPr>
        <w:spacing w:after="28" w:line="216" w:lineRule="auto"/>
        <w:ind w:left="259"/>
        <w:jc w:val="left"/>
      </w:pPr>
      <w:r>
        <w:rPr>
          <w:rFonts w:ascii="Arial" w:hAnsi="Arial"/>
          <w:color w:val="525252"/>
          <w:sz w:val="13"/>
        </w:rPr>
        <w:t>Implementing Step 1 includes (1) reviewing current and planned operations and tasks associated with the mission or activity, (2) identifying and listing hazards and factors that may lead to dangers and risks associated with the operation or activity, and (3) listing the causes associated with each</w:t>
      </w:r>
    </w:p>
    <w:p>
      <w:pPr>
        <w:spacing w:before="60" w:after="28"/>
        <w:jc w:val="right"/>
        <w:bidi/>
      </w:pPr>
      <w:r>
        <w:rPr>
          <w:b/>
          <w:color w:val="1F4D78"/>
          <w:sz w:val="18"/>
        </w:rPr>
        <w:t>شکل 17.1. فرآیند مدیریت ریسک 5 مرحله ای</w:t>
      </w:r>
    </w:p>
    <w:p>
      <w:pPr>
        <w:spacing w:after="20"/>
        <w:ind w:left="259"/>
        <w:jc w:val="left"/>
      </w:pPr>
      <w:r>
        <w:rPr>
          <w:color w:val="555555"/>
          <w:sz w:val="12"/>
        </w:rPr>
        <w:t>Figure 17.1. 5-Step Risk Management Process</w:t>
      </w:r>
    </w:p>
    <w:p>
      <w:pPr>
        <w:spacing w:after="20" w:line="223" w:lineRule="auto"/>
        <w:jc w:val="right"/>
        <w:bidi/>
      </w:pPr>
      <w:r>
        <w:rPr>
          <w:rFonts w:ascii="Arial" w:hAnsi="Arial"/>
          <w:sz w:val="16"/>
        </w:rPr>
        <w:t>322.08  خطر را شناسایی کرد و تلاش کرد تا علت اصلی را شناسایی کند که در برابر آن استراتژی‌های مدیریت ریسک اعمال شود.</w:t>
      </w:r>
    </w:p>
    <w:p>
      <w:pPr>
        <w:spacing w:after="28" w:line="216" w:lineRule="auto"/>
        <w:ind w:left="259"/>
        <w:jc w:val="left"/>
      </w:pPr>
      <w:r>
        <w:rPr>
          <w:rFonts w:ascii="Arial" w:hAnsi="Arial"/>
          <w:color w:val="525252"/>
          <w:sz w:val="13"/>
        </w:rPr>
        <w:t>identified hazard and trying to identify the root cause against which to apply risk management strategies.</w:t>
      </w:r>
    </w:p>
    <w:p>
      <w:pPr>
        <w:spacing w:after="20" w:line="223" w:lineRule="auto"/>
        <w:jc w:val="right"/>
        <w:bidi/>
      </w:pPr>
      <w:r>
        <w:rPr>
          <w:rFonts w:ascii="Arial" w:hAnsi="Arial"/>
          <w:sz w:val="16"/>
        </w:rPr>
        <w:t>322.09  مرحله ۲.</w:t>
      </w:r>
    </w:p>
    <w:p>
      <w:pPr>
        <w:spacing w:after="28" w:line="216" w:lineRule="auto"/>
        <w:ind w:left="259"/>
        <w:jc w:val="left"/>
      </w:pPr>
      <w:r>
        <w:rPr>
          <w:rFonts w:ascii="Arial" w:hAnsi="Arial"/>
          <w:color w:val="525252"/>
          <w:sz w:val="13"/>
        </w:rPr>
        <w:t>Step 2.</w:t>
      </w:r>
    </w:p>
    <w:p>
      <w:pPr>
        <w:spacing w:after="20" w:line="223" w:lineRule="auto"/>
        <w:jc w:val="right"/>
        <w:bidi/>
      </w:pPr>
      <w:r>
        <w:rPr>
          <w:rFonts w:ascii="Arial" w:hAnsi="Arial"/>
          <w:sz w:val="16"/>
        </w:rPr>
        <w:t>322.10  خطرات را ارزیابی کنید.</w:t>
      </w:r>
    </w:p>
    <w:p>
      <w:pPr>
        <w:spacing w:after="28" w:line="216" w:lineRule="auto"/>
        <w:ind w:left="259"/>
        <w:jc w:val="left"/>
      </w:pPr>
      <w:r>
        <w:rPr>
          <w:rFonts w:ascii="Arial" w:hAnsi="Arial"/>
          <w:color w:val="525252"/>
          <w:sz w:val="13"/>
        </w:rPr>
        <w:t>Assess the Hazards.</w:t>
      </w:r>
    </w:p>
    <w:p>
      <w:pPr>
        <w:spacing w:after="20" w:line="223" w:lineRule="auto"/>
        <w:jc w:val="right"/>
        <w:bidi/>
      </w:pPr>
      <w:r>
        <w:rPr>
          <w:rFonts w:ascii="Arial" w:hAnsi="Arial"/>
          <w:sz w:val="16"/>
        </w:rPr>
        <w:t>322.11  مرحله ۲ فرآیند مدیریت ریسک پنج مرحله‌ای، ارزیابی خطرات است.</w:t>
      </w:r>
    </w:p>
    <w:p>
      <w:pPr>
        <w:spacing w:after="28" w:line="216" w:lineRule="auto"/>
        <w:ind w:left="259"/>
        <w:jc w:val="left"/>
      </w:pPr>
      <w:r>
        <w:rPr>
          <w:rFonts w:ascii="Arial" w:hAnsi="Arial"/>
          <w:color w:val="525252"/>
          <w:sz w:val="13"/>
        </w:rPr>
        <w:t>Step 2 of the Five-Step Risk Management Process is to assess the hazards.</w:t>
      </w:r>
    </w:p>
    <w:p>
      <w:pPr>
        <w:spacing w:after="20" w:line="223" w:lineRule="auto"/>
        <w:jc w:val="right"/>
        <w:bidi/>
      </w:pPr>
      <w:r>
        <w:rPr>
          <w:rFonts w:ascii="Arial" w:hAnsi="Arial"/>
          <w:sz w:val="16"/>
        </w:rPr>
        <w:t>322.12  ارزیابی خطرات شامل اعمال اقدامات کمی یا کیفی برای تعیین احتمال و شدت اثرات منفی است که ممکن است از قرار گرفتن در معرض خطرات یا خطرات ناشی شود و مستقیما بر موفقیت مأموریت یا فعالیت تأثیر بگذارد.</w:t>
      </w:r>
    </w:p>
    <w:p>
      <w:pPr>
        <w:spacing w:after="28" w:line="216" w:lineRule="auto"/>
        <w:ind w:left="259"/>
        <w:jc w:val="left"/>
      </w:pPr>
      <w:r>
        <w:rPr>
          <w:rFonts w:ascii="Arial" w:hAnsi="Arial"/>
          <w:color w:val="525252"/>
          <w:sz w:val="13"/>
        </w:rPr>
        <w:t>Assessing the hazards involves the application of quantitative or qualitative measures to determine the probability and severity of negative effects that may result from exposure to risks or hazards and directly affect mission or activity success.</w:t>
      </w:r>
    </w:p>
    <w:p>
      <w:pPr>
        <w:spacing w:after="20" w:line="223" w:lineRule="auto"/>
        <w:jc w:val="right"/>
        <w:bidi/>
      </w:pPr>
      <w:r>
        <w:rPr>
          <w:rFonts w:ascii="Arial" w:hAnsi="Arial"/>
          <w:sz w:val="16"/>
        </w:rPr>
        <w:t>322.13  اجرای مرحله ۲ شامل: (۱) ارزیابی زمان، مجاورت، حجم، یا تکرار مربوط به تعیین سطح قرار گرفتن در معرض خطرات. (۲) تعیین شدت خطر از نظر تأثیر بالقوه بر پرسنل، تجهیزات، یا مأموریت/فعالیت؛ (۳) تعیین احتمال اینکه خطر باعث یک رویداد منفی با شدت ارزیابی شده در بالا شود (احتمال ممکن است از طریق برآوردها یا اعداد واقعی تعیین شود). و (۴) تعیین سطح خطر مرتبط با خطر در ارتباط با شدت و احتمال.</w:t>
      </w:r>
    </w:p>
    <w:p>
      <w:pPr>
        <w:spacing w:after="28" w:line="216" w:lineRule="auto"/>
        <w:ind w:left="259"/>
        <w:jc w:val="left"/>
      </w:pPr>
      <w:r>
        <w:rPr>
          <w:rFonts w:ascii="Arial" w:hAnsi="Arial"/>
          <w:color w:val="525252"/>
          <w:sz w:val="13"/>
        </w:rPr>
        <w:t>Implementing Step 2 includes: (1) evaluating the time, proximity, volume, or repetition involved to determine the level of exposure to hazards; (2) determining severity of the hazard in terms of potential impact on personnel, equipment, or mission/activity; (3) determining the probability that the hazard will cause a negative event of the severity assessed above (probability may be determined through estimates or actual numbers); and (4) determining the level of risk associated with the hazard as related to severity and probability.</w:t>
      </w:r>
    </w:p>
    <w:p>
      <w:pPr>
        <w:spacing w:after="20" w:line="223" w:lineRule="auto"/>
        <w:jc w:val="right"/>
        <w:bidi/>
      </w:pPr>
      <w:r>
        <w:rPr>
          <w:rFonts w:ascii="Arial" w:hAnsi="Arial"/>
          <w:sz w:val="16"/>
        </w:rPr>
        <w:t>322.14  مرتبط با مرحله ۲ فرآیند مدیریت ریسک پنج مرحله‌ای، یک ماتریس ارزیابی ریسک است که می‌تواند برای تشکیل ارزیابی ریسک برای هر خطر با ترکیب احتمال وقوع با شدت مورد استفاده قرار گیرد.</w:t>
      </w:r>
    </w:p>
    <w:p>
      <w:pPr>
        <w:spacing w:after="28" w:line="216" w:lineRule="auto"/>
        <w:ind w:left="259"/>
        <w:jc w:val="left"/>
      </w:pPr>
      <w:r>
        <w:rPr>
          <w:rFonts w:ascii="Arial" w:hAnsi="Arial"/>
          <w:color w:val="525252"/>
          <w:sz w:val="13"/>
        </w:rPr>
        <w:t>Associated with Step 2 of the Five-Step Risk Management Process is a risk assessment matrix that can be used to form a risk assessment for each hazard by combining the probability of occurrence with severity.</w:t>
      </w:r>
    </w:p>
    <w:p>
      <w:pPr>
        <w:spacing w:after="20" w:line="223" w:lineRule="auto"/>
        <w:jc w:val="right"/>
        <w:bidi/>
      </w:pPr>
      <w:r>
        <w:rPr>
          <w:rFonts w:ascii="Arial" w:hAnsi="Arial"/>
          <w:sz w:val="16"/>
        </w:rPr>
        <w:t>322.15  سطوح خطر از "بسیار زیاد" در ارتباط با قرار گرفتن در معرض مکرر و اثرات فاجعه بار تا "کم" در ارتباط با قرار گرفتن در معرض نامحتمل و اثرات ناچیز متفاوت خواهد بود.</w:t>
      </w:r>
    </w:p>
    <w:p>
      <w:pPr>
        <w:spacing w:after="28" w:line="216" w:lineRule="auto"/>
        <w:ind w:left="259"/>
        <w:jc w:val="left"/>
      </w:pPr>
      <w:r>
        <w:rPr>
          <w:rFonts w:ascii="Arial" w:hAnsi="Arial"/>
          <w:color w:val="525252"/>
          <w:sz w:val="13"/>
        </w:rPr>
        <w:t>Risk levels will vary from “extremely high” as associated with frequent exposure and catastrophic effects to “low” as associated with unlikely exposure and negligible effects.</w:t>
      </w:r>
    </w:p>
    <w:p>
      <w:pPr>
        <w:spacing w:after="20" w:line="223" w:lineRule="auto"/>
        <w:jc w:val="right"/>
        <w:bidi/>
      </w:pPr>
      <w:r>
        <w:rPr>
          <w:rFonts w:ascii="Arial" w:hAnsi="Arial"/>
          <w:sz w:val="16"/>
        </w:rPr>
        <w:t>322.16  شرح کامل و عمیق ماتریس ارزیابی ریسک را می‌توان در DAFPAM ۹۰-۸۰۳، دستورالعمل‌ها و ابزارهای مدیریت ریسک (RM) یافت.</w:t>
      </w:r>
    </w:p>
    <w:p>
      <w:pPr>
        <w:spacing w:after="28" w:line="216" w:lineRule="auto"/>
        <w:ind w:left="259"/>
        <w:jc w:val="left"/>
      </w:pPr>
      <w:r>
        <w:rPr>
          <w:rFonts w:ascii="Arial" w:hAnsi="Arial"/>
          <w:color w:val="525252"/>
          <w:sz w:val="13"/>
        </w:rPr>
        <w:t>A complete and in-depth description of the risk assessment matrix can be found in DAFPAM 90-803, Risk Management (RM) Guidelines and Tools.</w:t>
      </w:r>
    </w:p>
    <w:p>
      <w:pPr>
        <w:spacing w:after="20" w:line="223" w:lineRule="auto"/>
        <w:jc w:val="right"/>
        <w:bidi/>
      </w:pPr>
      <w:r>
        <w:rPr>
          <w:rFonts w:ascii="Arial" w:hAnsi="Arial"/>
          <w:sz w:val="16"/>
        </w:rPr>
        <w:t>322.17  مرحله ۳.</w:t>
      </w:r>
    </w:p>
    <w:p>
      <w:pPr>
        <w:spacing w:after="28" w:line="216" w:lineRule="auto"/>
        <w:ind w:left="259"/>
        <w:jc w:val="left"/>
      </w:pPr>
      <w:r>
        <w:rPr>
          <w:rFonts w:ascii="Arial" w:hAnsi="Arial"/>
          <w:color w:val="525252"/>
          <w:sz w:val="13"/>
        </w:rPr>
        <w:t>Step 3.</w:t>
      </w:r>
    </w:p>
    <w:p>
      <w:pPr>
        <w:spacing w:after="20" w:line="223" w:lineRule="auto"/>
        <w:jc w:val="right"/>
        <w:bidi/>
      </w:pPr>
      <w:r>
        <w:rPr>
          <w:rFonts w:ascii="Arial" w:hAnsi="Arial"/>
          <w:sz w:val="16"/>
        </w:rPr>
        <w:t>322.18  کنترل‌ها را توسعه دهید و تصمیم بگیرید.</w:t>
      </w:r>
    </w:p>
    <w:p>
      <w:pPr>
        <w:spacing w:after="28" w:line="216" w:lineRule="auto"/>
        <w:ind w:left="259"/>
        <w:jc w:val="left"/>
      </w:pPr>
      <w:r>
        <w:rPr>
          <w:rFonts w:ascii="Arial" w:hAnsi="Arial"/>
          <w:color w:val="525252"/>
          <w:sz w:val="13"/>
        </w:rPr>
        <w:t>Develop Controls and Make Decisions.</w:t>
      </w:r>
    </w:p>
    <w:p>
      <w:pPr>
        <w:spacing w:after="20" w:line="223" w:lineRule="auto"/>
        <w:jc w:val="right"/>
        <w:bidi/>
      </w:pPr>
      <w:r>
        <w:rPr>
          <w:rFonts w:ascii="Arial" w:hAnsi="Arial"/>
          <w:sz w:val="16"/>
        </w:rPr>
        <w:t>322.19  مرحله ۳ فرآیند مدیریت ریسک پنج مرحله‌ای، توسعه کنترل‌ها و تصمیم‌گیری است.</w:t>
      </w:r>
    </w:p>
    <w:p>
      <w:pPr>
        <w:spacing w:after="28" w:line="216" w:lineRule="auto"/>
        <w:ind w:left="259"/>
        <w:jc w:val="left"/>
      </w:pPr>
      <w:r>
        <w:rPr>
          <w:rFonts w:ascii="Arial" w:hAnsi="Arial"/>
          <w:color w:val="525252"/>
          <w:sz w:val="13"/>
        </w:rPr>
        <w:t>Step 3 of the Five-Step Risk Management Process is to develop controls and make decisions.</w:t>
      </w:r>
    </w:p>
    <w:p>
      <w:pPr>
        <w:spacing w:after="20" w:line="223" w:lineRule="auto"/>
        <w:jc w:val="right"/>
        <w:bidi/>
      </w:pPr>
      <w:r>
        <w:rPr>
          <w:rFonts w:ascii="Arial" w:hAnsi="Arial"/>
          <w:sz w:val="16"/>
        </w:rPr>
        <w:t>322.20  این مرحله شامل توسعه و انتخاب استراتژی‌ها و کنترل‌های خاصی است که ریسک را کاهش یا حذف می‌کند.</w:t>
      </w:r>
    </w:p>
    <w:p>
      <w:pPr>
        <w:spacing w:after="28" w:line="216" w:lineRule="auto"/>
        <w:ind w:left="259"/>
        <w:jc w:val="left"/>
      </w:pPr>
      <w:r>
        <w:rPr>
          <w:rFonts w:ascii="Arial" w:hAnsi="Arial"/>
          <w:color w:val="525252"/>
          <w:sz w:val="13"/>
        </w:rPr>
        <w:t>This step involves the development and selection of specific strategies and controls that reduce or eliminate risk.</w:t>
      </w:r>
    </w:p>
    <w:p>
      <w:pPr>
        <w:spacing w:after="20" w:line="223" w:lineRule="auto"/>
        <w:jc w:val="right"/>
        <w:bidi/>
      </w:pPr>
      <w:r>
        <w:rPr>
          <w:rFonts w:ascii="Arial" w:hAnsi="Arial"/>
          <w:sz w:val="16"/>
        </w:rPr>
        <w:t>322.21  اقدامات کاهش مؤثر یکی از سه مولفه (احتمال، شدت، یا قرار گرفتن در معرض) خطر را کاهش می‌دهد.</w:t>
      </w:r>
    </w:p>
    <w:p>
      <w:pPr>
        <w:spacing w:after="28" w:line="216" w:lineRule="auto"/>
        <w:ind w:left="259"/>
        <w:jc w:val="left"/>
      </w:pPr>
      <w:r>
        <w:rPr>
          <w:rFonts w:ascii="Arial" w:hAnsi="Arial"/>
          <w:color w:val="525252"/>
          <w:sz w:val="13"/>
        </w:rPr>
        <w:t>Effective mitigation measures reduce one of the three components (probability, severity, or exposure) of risk.</w:t>
      </w:r>
    </w:p>
    <w:p>
      <w:pPr>
        <w:spacing w:after="20" w:line="223" w:lineRule="auto"/>
        <w:jc w:val="right"/>
        <w:bidi/>
      </w:pPr>
      <w:r>
        <w:rPr>
          <w:rFonts w:ascii="Arial" w:hAnsi="Arial"/>
          <w:sz w:val="16"/>
        </w:rPr>
        <w:t>322.22  هیچ رویکرد "کوکی برش" یا استاندارد خاصی برای ایجاد سطوح اختیار تصمیم‌گیری مدیریت ریسک در سراسر DAF وجود ندارد.</w:t>
      </w:r>
    </w:p>
    <w:p>
      <w:pPr>
        <w:spacing w:after="28" w:line="216" w:lineRule="auto"/>
        <w:ind w:left="259"/>
        <w:jc w:val="left"/>
      </w:pPr>
      <w:r>
        <w:rPr>
          <w:rFonts w:ascii="Arial" w:hAnsi="Arial"/>
          <w:color w:val="525252"/>
          <w:sz w:val="13"/>
        </w:rPr>
        <w:t>There is no “cookie-cutter” approach or specific standard for establishing levels of risk management decision authority across the DAF.</w:t>
      </w:r>
    </w:p>
    <w:p>
      <w:pPr>
        <w:spacing w:after="20" w:line="223" w:lineRule="auto"/>
        <w:jc w:val="right"/>
        <w:bidi/>
      </w:pPr>
      <w:r>
        <w:rPr>
          <w:rFonts w:ascii="Arial" w:hAnsi="Arial"/>
          <w:sz w:val="16"/>
        </w:rPr>
        <w:t>322.23  هرچه ریسک بالاتر باشد، سطح تصمیم‌گیری باید بالاتر باشد تا اطمینان حاصل شود که تجزیه و تحلیل مناسب از هزینه‌های کلی به منافع به دقت سنجیده شده است.</w:t>
      </w:r>
    </w:p>
    <w:p>
      <w:pPr>
        <w:spacing w:after="28" w:line="216" w:lineRule="auto"/>
        <w:ind w:left="259"/>
        <w:jc w:val="left"/>
      </w:pPr>
      <w:r>
        <w:rPr>
          <w:rFonts w:ascii="Arial" w:hAnsi="Arial"/>
          <w:color w:val="525252"/>
          <w:sz w:val="13"/>
        </w:rPr>
        <w:t>The higher the risk, the higher the decision level needs to be to ensure an appropriate analysis of overall costs to benefits has been carefully weighed.</w:t>
      </w:r>
    </w:p>
    <w:p>
      <w:pPr>
        <w:spacing w:after="20" w:line="223" w:lineRule="auto"/>
        <w:jc w:val="right"/>
        <w:bidi/>
      </w:pPr>
      <w:r>
        <w:rPr>
          <w:rFonts w:ascii="Arial" w:hAnsi="Arial"/>
          <w:sz w:val="16"/>
        </w:rPr>
        <w:t>322.24  بسیار مهم است که رهبران و تصمیم گیرندگان اطمینان حاصل کنند که سطوح اختیار تصمیم‌گیری به‌طور مناسب برای الزامات مأموریت و سطوح تجربه پرسنل انجام عملیات/فعالیت‌های تحت مسئولیت آنها همسو هستند.</w:t>
      </w:r>
    </w:p>
    <w:p>
      <w:pPr>
        <w:spacing w:after="28" w:line="216" w:lineRule="auto"/>
        <w:ind w:left="259"/>
        <w:jc w:val="left"/>
      </w:pPr>
      <w:r>
        <w:rPr>
          <w:rFonts w:ascii="Arial" w:hAnsi="Arial"/>
          <w:color w:val="525252"/>
          <w:sz w:val="13"/>
        </w:rPr>
        <w:t>It is critical that leaders and decision-makers ensure the levels of decision authority are aligned appropriately for mission requirements and experience levels of the personnel conducting operations/activities under their responsibility.</w:t>
      </w:r>
    </w:p>
    <w:p>
      <w:pPr>
        <w:spacing w:after="20" w:line="223" w:lineRule="auto"/>
        <w:jc w:val="right"/>
        <w:bidi/>
      </w:pPr>
      <w:r>
        <w:rPr>
          <w:rFonts w:ascii="Arial" w:hAnsi="Arial"/>
          <w:sz w:val="16"/>
        </w:rPr>
        <w:t>322.25  اجرای مرحله ۳ شامل: (۱) شروع با خطرات با بالاترین خطر همانطور که در مرحله ۲ ارزیابی شده است، و شناسایی تا حد امکان گزینه‌های کنترل ریسک برای هر خطر که می‌تواند به‌طور مؤثری خطر را حذف، اجتناب کند، یا تا حد قابل قبولی کاهش دهد. (۲) تعیین تأثیر هر کنترل بر</w:t>
      </w:r>
    </w:p>
    <w:p>
      <w:pPr>
        <w:spacing w:after="28" w:line="216" w:lineRule="auto"/>
        <w:ind w:left="259"/>
        <w:jc w:val="left"/>
      </w:pPr>
      <w:r>
        <w:rPr>
          <w:rFonts w:ascii="Arial" w:hAnsi="Arial"/>
          <w:color w:val="525252"/>
          <w:sz w:val="13"/>
        </w:rPr>
        <w:t>Implementing Step 3 includes: (1) starting with the highest-risk hazards as assessed in Step 2, and identifying as many risk control options for each hazard as possible that can effectively eliminate, avoid, or reduce the risk to an acceptable level; (2) determining the effect of each control on the</w:t>
      </w:r>
    </w:p>
    <w:p>
      <w:r>
        <w:br w:type="page"/>
      </w:r>
    </w:p>
    <w:p>
      <w:pPr>
        <w:spacing w:after="60"/>
        <w:jc w:val="right"/>
        <w:bidi/>
      </w:pPr>
      <w:r>
        <w:rPr>
          <w:rFonts w:ascii="Arial" w:hAnsi="Arial"/>
          <w:b/>
          <w:color w:val="1F4D78"/>
          <w:sz w:val="19"/>
        </w:rPr>
        <w:t>هفتهٔ 323  |  صفحهٔ منبع: 339</w:t>
      </w:r>
    </w:p>
    <w:p>
      <w:pPr>
        <w:spacing w:after="20" w:line="223" w:lineRule="auto"/>
        <w:jc w:val="right"/>
        <w:bidi/>
      </w:pPr>
      <w:r>
        <w:rPr>
          <w:rFonts w:ascii="Arial" w:hAnsi="Arial"/>
          <w:sz w:val="16"/>
        </w:rPr>
        <w:t>323.01  خطر(های) مرتبط با خطر؛ (۳) اولویت‌بندی کنترل‌های ریسک برای هر خطر که خطر را تا سطح قابل قبولی در چارچوب اهداف مأموریت کاهش می‌دهد و استفاده بهینه از منابع موجود (نیروی انسانی، مواد، تجهیزات، بودجه و زمان) را بهینه می‌کند. (۴) انتخاب آن دسته از کنترل‌های ریسک که خطر را تا سطح قابل قبولی مطابق با اهداف مأموریت یا فعالیت و استفاده بهینه از منابع موجود کاهش دهد. و (۵) تجزیه و تحلیل سطح خطر برای عملیات یا فعالیت با کنترل‌های پیشنهادی، و تعیین اینکه آیا منافع در حال حاضر از سطح خطری که عملیات یا فعالیت ارائه می‌دهد بیشتر است یا خیر.</w:t>
      </w:r>
    </w:p>
    <w:p>
      <w:pPr>
        <w:spacing w:after="28" w:line="216" w:lineRule="auto"/>
        <w:ind w:left="259"/>
        <w:jc w:val="left"/>
      </w:pPr>
      <w:r>
        <w:rPr>
          <w:rFonts w:ascii="Arial" w:hAnsi="Arial"/>
          <w:color w:val="525252"/>
          <w:sz w:val="13"/>
        </w:rPr>
        <w:t>risk(s) associated with the hazard; (3) prioritizing risk controls for each hazard that will reduce the risk to an acceptable level within mission objectives, and optimize use of available resources (manpower, materiel, equipment, funding, and time); (4) selecting those risk controls that will reduce the risk to an acceptable level consistent with mission or activity objectives and optimum use of available resources; and (5) analyzing the level of risk for the operation or activity with the proposed controls in place, and determining if the benefits now exceed the level of risk the operation or activity presents.</w:t>
      </w:r>
    </w:p>
    <w:p>
      <w:pPr>
        <w:spacing w:after="20" w:line="223" w:lineRule="auto"/>
        <w:jc w:val="right"/>
        <w:bidi/>
      </w:pPr>
      <w:r>
        <w:rPr>
          <w:rFonts w:ascii="Arial" w:hAnsi="Arial"/>
          <w:sz w:val="16"/>
        </w:rPr>
        <w:t>323.02  مرحله ۴.</w:t>
      </w:r>
    </w:p>
    <w:p>
      <w:pPr>
        <w:spacing w:after="28" w:line="216" w:lineRule="auto"/>
        <w:ind w:left="259"/>
        <w:jc w:val="left"/>
      </w:pPr>
      <w:r>
        <w:rPr>
          <w:rFonts w:ascii="Arial" w:hAnsi="Arial"/>
          <w:color w:val="525252"/>
          <w:sz w:val="13"/>
        </w:rPr>
        <w:t>Step 4.</w:t>
      </w:r>
    </w:p>
    <w:p>
      <w:pPr>
        <w:spacing w:after="20" w:line="223" w:lineRule="auto"/>
        <w:jc w:val="right"/>
        <w:bidi/>
      </w:pPr>
      <w:r>
        <w:rPr>
          <w:rFonts w:ascii="Arial" w:hAnsi="Arial"/>
          <w:sz w:val="16"/>
        </w:rPr>
        <w:t>323.03  کنترل‌ها را پیاده‌سازی کنید.</w:t>
      </w:r>
    </w:p>
    <w:p>
      <w:pPr>
        <w:spacing w:after="28" w:line="216" w:lineRule="auto"/>
        <w:ind w:left="259"/>
        <w:jc w:val="left"/>
      </w:pPr>
      <w:r>
        <w:rPr>
          <w:rFonts w:ascii="Arial" w:hAnsi="Arial"/>
          <w:color w:val="525252"/>
          <w:sz w:val="13"/>
        </w:rPr>
        <w:t>Implement Controls.</w:t>
      </w:r>
    </w:p>
    <w:p>
      <w:pPr>
        <w:spacing w:after="20" w:line="223" w:lineRule="auto"/>
        <w:jc w:val="right"/>
        <w:bidi/>
      </w:pPr>
      <w:r>
        <w:rPr>
          <w:rFonts w:ascii="Arial" w:hAnsi="Arial"/>
          <w:sz w:val="16"/>
        </w:rPr>
        <w:t>323.04  مرحله ۴ از فرآیند مدیریت ریسک پنج مرحله‌ای، پیاده‌سازی کنترل‌ها است.</w:t>
      </w:r>
    </w:p>
    <w:p>
      <w:pPr>
        <w:spacing w:after="28" w:line="216" w:lineRule="auto"/>
        <w:ind w:left="259"/>
        <w:jc w:val="left"/>
      </w:pPr>
      <w:r>
        <w:rPr>
          <w:rFonts w:ascii="Arial" w:hAnsi="Arial"/>
          <w:color w:val="525252"/>
          <w:sz w:val="13"/>
        </w:rPr>
        <w:t>Step 4 of the Five-Step Risk Management Process is to implement controls.</w:t>
      </w:r>
    </w:p>
    <w:p>
      <w:pPr>
        <w:spacing w:after="20" w:line="223" w:lineRule="auto"/>
        <w:jc w:val="right"/>
        <w:bidi/>
      </w:pPr>
      <w:r>
        <w:rPr>
          <w:rFonts w:ascii="Arial" w:hAnsi="Arial"/>
          <w:sz w:val="16"/>
        </w:rPr>
        <w:t>323.05  هنگامی که اقدامات کنترلی انتخاب شد، یک استراتژی اجرایی باید توسعه و اجرا شود.</w:t>
      </w:r>
    </w:p>
    <w:p>
      <w:pPr>
        <w:spacing w:after="28" w:line="216" w:lineRule="auto"/>
        <w:ind w:left="259"/>
        <w:jc w:val="left"/>
      </w:pPr>
      <w:r>
        <w:rPr>
          <w:rFonts w:ascii="Arial" w:hAnsi="Arial"/>
          <w:color w:val="525252"/>
          <w:sz w:val="13"/>
        </w:rPr>
        <w:t>Once control measures have been selected, an implementation strategy must be developed and carried out.</w:t>
      </w:r>
    </w:p>
    <w:p>
      <w:pPr>
        <w:spacing w:after="20" w:line="223" w:lineRule="auto"/>
        <w:jc w:val="right"/>
        <w:bidi/>
      </w:pPr>
      <w:r>
        <w:rPr>
          <w:rFonts w:ascii="Arial" w:hAnsi="Arial"/>
          <w:sz w:val="16"/>
        </w:rPr>
        <w:t>323.06  استراتژی باید مشخص کند که چه کسی، چه چیزی، چه زمانی، کجا و چه مقدار هزینه با معیار کنترل مرتبط است.</w:t>
      </w:r>
    </w:p>
    <w:p>
      <w:pPr>
        <w:spacing w:after="28" w:line="216" w:lineRule="auto"/>
        <w:ind w:left="259"/>
        <w:jc w:val="left"/>
      </w:pPr>
      <w:r>
        <w:rPr>
          <w:rFonts w:ascii="Arial" w:hAnsi="Arial"/>
          <w:color w:val="525252"/>
          <w:sz w:val="13"/>
        </w:rPr>
        <w:t>The strategy must identify who, what, when, where, and how much cost is associated with the control measure.</w:t>
      </w:r>
    </w:p>
    <w:p>
      <w:pPr>
        <w:spacing w:after="20" w:line="223" w:lineRule="auto"/>
        <w:jc w:val="right"/>
        <w:bidi/>
      </w:pPr>
      <w:r>
        <w:rPr>
          <w:rFonts w:ascii="Arial" w:hAnsi="Arial"/>
          <w:sz w:val="16"/>
        </w:rPr>
        <w:t>323.07  برای کنترل‌های مرتبط با مأموریت، مسئولیت‌پذیری باید در تمام سطوح رهبری و پرسنل مرتبط با اقدام مورد تاکید قرار گیرد تا درک روشنی از خطرات و مسئولیت‌های فرماندهان و زیردستان وجود داشته باشد.</w:t>
      </w:r>
    </w:p>
    <w:p>
      <w:pPr>
        <w:spacing w:after="28" w:line="216" w:lineRule="auto"/>
        <w:ind w:left="259"/>
        <w:jc w:val="left"/>
      </w:pPr>
      <w:r>
        <w:rPr>
          <w:rFonts w:ascii="Arial" w:hAnsi="Arial"/>
          <w:color w:val="525252"/>
          <w:sz w:val="13"/>
        </w:rPr>
        <w:t>For mission-related controls, accountability must be emphasized across all levels of leadership and personnel associated with the action so there is a clear understanding of the risks and responsibilities of commanders and subordinates alike.</w:t>
      </w:r>
    </w:p>
    <w:p>
      <w:pPr>
        <w:spacing w:after="20" w:line="223" w:lineRule="auto"/>
        <w:jc w:val="right"/>
        <w:bidi/>
      </w:pPr>
      <w:r>
        <w:rPr>
          <w:rFonts w:ascii="Arial" w:hAnsi="Arial"/>
          <w:sz w:val="16"/>
        </w:rPr>
        <w:t>323.08  همیشه باید در قبال پذیرش ریسک بدون توجه به شرایط، مسئولیت پذیر باشد.</w:t>
      </w:r>
    </w:p>
    <w:p>
      <w:pPr>
        <w:spacing w:after="28" w:line="216" w:lineRule="auto"/>
        <w:ind w:left="259"/>
        <w:jc w:val="left"/>
      </w:pPr>
      <w:r>
        <w:rPr>
          <w:rFonts w:ascii="Arial" w:hAnsi="Arial"/>
          <w:color w:val="525252"/>
          <w:sz w:val="13"/>
        </w:rPr>
        <w:t>There must always be accountability for acceptance of risk regardless of circumstances.</w:t>
      </w:r>
    </w:p>
    <w:p>
      <w:pPr>
        <w:spacing w:after="20" w:line="223" w:lineRule="auto"/>
        <w:jc w:val="right"/>
        <w:bidi/>
      </w:pPr>
      <w:r>
        <w:rPr>
          <w:rFonts w:ascii="Arial" w:hAnsi="Arial"/>
          <w:sz w:val="16"/>
        </w:rPr>
        <w:t>323.09  پیاده‌سازی مرحله ۴ شامل: (۱) ارائه یک نقشه راه برای پیاده‌سازی، چشم انداز وضعیت نهایی، و شرح اجرای موفق. (۲) ایجاد مسئولیت برای تصمیم‌گیری و تعیین اینکه چه کسی در سطح واحد یا اجرا مسئول اجرای کنترل ریسک است. و (۳) تأمین پرسنل و منابع لازم برای اجرای اقدامات کنترلی.</w:t>
      </w:r>
    </w:p>
    <w:p>
      <w:pPr>
        <w:spacing w:after="28" w:line="216" w:lineRule="auto"/>
        <w:ind w:left="259"/>
        <w:jc w:val="left"/>
      </w:pPr>
      <w:r>
        <w:rPr>
          <w:rFonts w:ascii="Arial" w:hAnsi="Arial"/>
          <w:color w:val="525252"/>
          <w:sz w:val="13"/>
        </w:rPr>
        <w:t>Implementing Step 4 includes: (1) providing a roadmap for implementation, a vision of the end state, and a description of successful implementation; (2) establishing accountability for making the decision and determining who is responsible at the unit or execution level for implementation of the risk control; and (3) providing the personnel and resources necessary to implement the control measures.</w:t>
      </w:r>
    </w:p>
    <w:p>
      <w:pPr>
        <w:spacing w:after="20" w:line="223" w:lineRule="auto"/>
        <w:jc w:val="right"/>
        <w:bidi/>
      </w:pPr>
      <w:r>
        <w:rPr>
          <w:rFonts w:ascii="Arial" w:hAnsi="Arial"/>
          <w:sz w:val="16"/>
        </w:rPr>
        <w:t>323.10  از ابتدا پایداری را در نظر بگیرید و مطمئن شوید که معیار کنترل را همراه با مکانیزم بازخوردی به کار می‌گیرید که اطلاعاتی را در مورد اینکه آیا معیار کنترلی به هدف مورد نظر دست می‌یابد ارائه می‌دهد.</w:t>
      </w:r>
    </w:p>
    <w:p>
      <w:pPr>
        <w:spacing w:after="28" w:line="216" w:lineRule="auto"/>
        <w:ind w:left="259"/>
        <w:jc w:val="left"/>
      </w:pPr>
      <w:r>
        <w:rPr>
          <w:rFonts w:ascii="Arial" w:hAnsi="Arial"/>
          <w:color w:val="525252"/>
          <w:sz w:val="13"/>
        </w:rPr>
        <w:t>Incorporate sustainability from the beginning and be sure to deploy the control measure along with a feedback mechanism that will provide information on whether the control measure is achieving the intended purpose.</w:t>
      </w:r>
    </w:p>
    <w:p>
      <w:pPr>
        <w:spacing w:after="20" w:line="223" w:lineRule="auto"/>
        <w:jc w:val="right"/>
        <w:bidi/>
      </w:pPr>
      <w:r>
        <w:rPr>
          <w:rFonts w:ascii="Arial" w:hAnsi="Arial"/>
          <w:sz w:val="16"/>
        </w:rPr>
        <w:t>323.11  مرحله ۵.</w:t>
      </w:r>
    </w:p>
    <w:p>
      <w:pPr>
        <w:spacing w:after="28" w:line="216" w:lineRule="auto"/>
        <w:ind w:left="259"/>
        <w:jc w:val="left"/>
      </w:pPr>
      <w:r>
        <w:rPr>
          <w:rFonts w:ascii="Arial" w:hAnsi="Arial"/>
          <w:color w:val="525252"/>
          <w:sz w:val="13"/>
        </w:rPr>
        <w:t>Step 5.</w:t>
      </w:r>
    </w:p>
    <w:p>
      <w:pPr>
        <w:spacing w:after="20" w:line="223" w:lineRule="auto"/>
        <w:jc w:val="right"/>
        <w:bidi/>
      </w:pPr>
      <w:r>
        <w:rPr>
          <w:rFonts w:ascii="Arial" w:hAnsi="Arial"/>
          <w:sz w:val="16"/>
        </w:rPr>
        <w:t>323.12  نظارت و ارزیابی.</w:t>
      </w:r>
    </w:p>
    <w:p>
      <w:pPr>
        <w:spacing w:after="28" w:line="216" w:lineRule="auto"/>
        <w:ind w:left="259"/>
        <w:jc w:val="left"/>
      </w:pPr>
      <w:r>
        <w:rPr>
          <w:rFonts w:ascii="Arial" w:hAnsi="Arial"/>
          <w:color w:val="525252"/>
          <w:sz w:val="13"/>
        </w:rPr>
        <w:t>Supervise and Evaluate.</w:t>
      </w:r>
    </w:p>
    <w:p>
      <w:pPr>
        <w:spacing w:after="20" w:line="223" w:lineRule="auto"/>
        <w:jc w:val="right"/>
        <w:bidi/>
      </w:pPr>
      <w:r>
        <w:rPr>
          <w:rFonts w:ascii="Arial" w:hAnsi="Arial"/>
          <w:sz w:val="16"/>
        </w:rPr>
        <w:t>323.13  مرحله ۵ از فرآیند مدیریت ریسک پنج مرحله‌ای، نظارت و ارزیابی است.</w:t>
      </w:r>
    </w:p>
    <w:p>
      <w:pPr>
        <w:spacing w:after="28" w:line="216" w:lineRule="auto"/>
        <w:ind w:left="259"/>
        <w:jc w:val="left"/>
      </w:pPr>
      <w:r>
        <w:rPr>
          <w:rFonts w:ascii="Arial" w:hAnsi="Arial"/>
          <w:color w:val="525252"/>
          <w:sz w:val="13"/>
        </w:rPr>
        <w:t>Step 5 of the Five-Step Risk Management Process is to supervise and evaluate.</w:t>
      </w:r>
    </w:p>
    <w:p>
      <w:pPr>
        <w:spacing w:after="20" w:line="223" w:lineRule="auto"/>
        <w:jc w:val="right"/>
        <w:bidi/>
      </w:pPr>
      <w:r>
        <w:rPr>
          <w:rFonts w:ascii="Arial" w:hAnsi="Arial"/>
          <w:sz w:val="16"/>
        </w:rPr>
        <w:t>323.14  رهبران و ناظران در هر سطحی باید نقش‌های مربوطه خود را انجام دهند تا اطمینان حاصل شود که کنترل‌ها در طول زمان تداوم دارند.</w:t>
      </w:r>
    </w:p>
    <w:p>
      <w:pPr>
        <w:spacing w:after="28" w:line="216" w:lineRule="auto"/>
        <w:ind w:left="259"/>
        <w:jc w:val="left"/>
      </w:pPr>
      <w:r>
        <w:rPr>
          <w:rFonts w:ascii="Arial" w:hAnsi="Arial"/>
          <w:color w:val="525252"/>
          <w:sz w:val="13"/>
        </w:rPr>
        <w:t>Leaders and supervisors at every level must fulfill their respective roles to ensure controls are sustained over time.</w:t>
      </w:r>
    </w:p>
    <w:p>
      <w:pPr>
        <w:spacing w:after="20" w:line="223" w:lineRule="auto"/>
        <w:jc w:val="right"/>
        <w:bidi/>
      </w:pPr>
      <w:r>
        <w:rPr>
          <w:rFonts w:ascii="Arial" w:hAnsi="Arial"/>
          <w:sz w:val="16"/>
        </w:rPr>
        <w:t>323.15  اجرای مرحله ۵ شامل: (۱) نظارت و نظارت بر عملیات یا فعالیت، و (۲) بررسی و ارزیابی برای اطمینان از تعادل ریسک و هزینه.</w:t>
      </w:r>
    </w:p>
    <w:p>
      <w:pPr>
        <w:spacing w:after="28" w:line="216" w:lineRule="auto"/>
        <w:ind w:left="259"/>
        <w:jc w:val="left"/>
      </w:pPr>
      <w:r>
        <w:rPr>
          <w:rFonts w:ascii="Arial" w:hAnsi="Arial"/>
          <w:color w:val="525252"/>
          <w:sz w:val="13"/>
        </w:rPr>
        <w:t>Implementing Step 5 includes: (1) supervising and monitoring the operation or activity, and (2) reviewing and evaluating to ensure risk and cost are in balance.</w:t>
      </w:r>
    </w:p>
    <w:p>
      <w:pPr>
        <w:spacing w:after="20" w:line="223" w:lineRule="auto"/>
        <w:jc w:val="right"/>
        <w:bidi/>
      </w:pPr>
      <w:r>
        <w:rPr>
          <w:rFonts w:ascii="Arial" w:hAnsi="Arial"/>
          <w:sz w:val="16"/>
        </w:rPr>
        <w:t>323.16  تغییرات مهم در سیستم شناسایی شده و کنترل‌های مدیریت ریسک مناسب، در صورت لزوم، مجددا برای کنترل ریسک‌ها اعمال می‌شوند.</w:t>
      </w:r>
    </w:p>
    <w:p>
      <w:pPr>
        <w:spacing w:after="28" w:line="216" w:lineRule="auto"/>
        <w:ind w:left="259"/>
        <w:jc w:val="left"/>
      </w:pPr>
      <w:r>
        <w:rPr>
          <w:rFonts w:ascii="Arial" w:hAnsi="Arial"/>
          <w:color w:val="525252"/>
          <w:sz w:val="13"/>
        </w:rPr>
        <w:t>Significant changes in the system are recognized and appropriate risk management controls are reapplied, as necessary, to control the risks.</w:t>
      </w:r>
    </w:p>
    <w:p>
      <w:pPr>
        <w:spacing w:after="20" w:line="223" w:lineRule="auto"/>
        <w:jc w:val="right"/>
        <w:bidi/>
      </w:pPr>
      <w:r>
        <w:rPr>
          <w:rFonts w:ascii="Arial" w:hAnsi="Arial"/>
          <w:sz w:val="16"/>
        </w:rPr>
        <w:t>323.17  بررسی و ارزیابی مؤثر همچنین مشخص می‌کند که آیا هزینه‌های واقعی مطابق با انتظارات است و چگونه کنترل‌ها بر عملکرد مأموریت (خوب یا بد) تأثیر گذاشته‌اند.</w:t>
      </w:r>
    </w:p>
    <w:p>
      <w:pPr>
        <w:spacing w:after="28" w:line="216" w:lineRule="auto"/>
        <w:ind w:left="259"/>
        <w:jc w:val="left"/>
      </w:pPr>
      <w:r>
        <w:rPr>
          <w:rFonts w:ascii="Arial" w:hAnsi="Arial"/>
          <w:color w:val="525252"/>
          <w:sz w:val="13"/>
        </w:rPr>
        <w:t>Effective review and evaluation will also identify whether actual costs are in line with expectations and how the controls have affected mission performance (good or bad).</w:t>
      </w:r>
    </w:p>
    <w:p>
      <w:pPr>
        <w:spacing w:after="20" w:line="223" w:lineRule="auto"/>
        <w:jc w:val="right"/>
        <w:bidi/>
      </w:pPr>
      <w:r>
        <w:rPr>
          <w:rFonts w:ascii="Arial" w:hAnsi="Arial"/>
          <w:sz w:val="16"/>
        </w:rPr>
        <w:t>323.18  توجه: زمانی که تحلیل ریسک حاوی خطا باشد، شناسایی و تصحیح آن خطاها مهم است.</w:t>
      </w:r>
    </w:p>
    <w:p>
      <w:pPr>
        <w:spacing w:after="28" w:line="216" w:lineRule="auto"/>
        <w:ind w:left="259"/>
        <w:jc w:val="left"/>
      </w:pPr>
      <w:r>
        <w:rPr>
          <w:rFonts w:ascii="Arial" w:hAnsi="Arial"/>
          <w:color w:val="525252"/>
          <w:sz w:val="13"/>
        </w:rPr>
        <w:t>Note: When risk analysis contains errors, it is important for those errors to be identified and corrected.</w:t>
      </w:r>
    </w:p>
    <w:p>
      <w:pPr>
        <w:spacing w:after="20" w:line="223" w:lineRule="auto"/>
        <w:jc w:val="right"/>
        <w:bidi/>
      </w:pPr>
      <w:r>
        <w:rPr>
          <w:rFonts w:ascii="Arial" w:hAnsi="Arial"/>
          <w:sz w:val="16"/>
        </w:rPr>
        <w:t>323.19  همچنین، گزارش‌های پس از اقدام، نظرسنجی‌ها و بررسی‌های در حال انجام ابزارهای عالی برای اندازه‌گیری هستند.</w:t>
      </w:r>
    </w:p>
    <w:p>
      <w:pPr>
        <w:spacing w:after="28" w:line="216" w:lineRule="auto"/>
        <w:ind w:left="259"/>
        <w:jc w:val="left"/>
      </w:pPr>
      <w:r>
        <w:rPr>
          <w:rFonts w:ascii="Arial" w:hAnsi="Arial"/>
          <w:color w:val="525252"/>
          <w:sz w:val="13"/>
        </w:rPr>
        <w:t>Also, after-action reports, surveys, and in-progress reviews are excellent tools for measurements.</w:t>
      </w:r>
    </w:p>
    <w:p>
      <w:pPr>
        <w:spacing w:after="20" w:line="223" w:lineRule="auto"/>
        <w:jc w:val="right"/>
        <w:bidi/>
      </w:pPr>
      <w:r>
        <w:rPr>
          <w:rFonts w:ascii="Arial" w:hAnsi="Arial"/>
          <w:sz w:val="16"/>
        </w:rPr>
        <w:t>323.20  یک سیستم بازخورد باید ایجاد شود تا اطمینان حاصل شود که اقدامات اصلاحی یا پیشگیرانه انجام شده مؤثر بوده و خطرات تازه کشف شده شناسایی شده تجزیه و تحلیل شده و اقدامات اصلاحی بعدی انجام می‌شود.</w:t>
      </w:r>
    </w:p>
    <w:p>
      <w:pPr>
        <w:spacing w:after="28" w:line="216" w:lineRule="auto"/>
        <w:ind w:left="259"/>
        <w:jc w:val="left"/>
      </w:pPr>
      <w:r>
        <w:rPr>
          <w:rFonts w:ascii="Arial" w:hAnsi="Arial"/>
          <w:color w:val="525252"/>
          <w:sz w:val="13"/>
        </w:rPr>
        <w:t>A feedback system must be established to ensure that the corrective or preventative action taken was effective and that any newly discovered hazards identified are analyzed and subsequent corrective action taken.</w:t>
      </w:r>
    </w:p>
    <w:p>
      <w:pPr>
        <w:spacing w:before="60" w:after="28"/>
        <w:jc w:val="right"/>
        <w:bidi/>
      </w:pPr>
      <w:r>
        <w:rPr>
          <w:b/>
          <w:color w:val="1F4D78"/>
          <w:sz w:val="18"/>
        </w:rPr>
        <w:t>17.22. زمان واقعی RM</w:t>
      </w:r>
    </w:p>
    <w:p>
      <w:pPr>
        <w:spacing w:after="20"/>
        <w:ind w:left="259"/>
        <w:jc w:val="left"/>
      </w:pPr>
      <w:r>
        <w:rPr>
          <w:color w:val="555555"/>
          <w:sz w:val="12"/>
        </w:rPr>
        <w:t>17.22. Real-Time RM</w:t>
      </w:r>
    </w:p>
    <w:p>
      <w:pPr>
        <w:spacing w:after="20" w:line="223" w:lineRule="auto"/>
        <w:jc w:val="right"/>
        <w:bidi/>
      </w:pPr>
      <w:r>
        <w:rPr>
          <w:rFonts w:ascii="Arial" w:hAnsi="Arial"/>
          <w:sz w:val="16"/>
        </w:rPr>
        <w:t>323.22  مدیریت ریسک بلادرنگ یک ارزیابی ریسک کمتر رسمی با استفاده از مراحل اولیه فرآیند RM برای شناسایی و کاهش خطرات در یک موقعیت جدید یا در حال تغییر است.</w:t>
      </w:r>
    </w:p>
    <w:p>
      <w:pPr>
        <w:spacing w:after="28" w:line="216" w:lineRule="auto"/>
        <w:ind w:left="259"/>
        <w:jc w:val="left"/>
      </w:pPr>
      <w:r>
        <w:rPr>
          <w:rFonts w:ascii="Arial" w:hAnsi="Arial"/>
          <w:color w:val="525252"/>
          <w:sz w:val="13"/>
        </w:rPr>
        <w:t>Real-Time Risk Management is a less formal risk assessment using basic RM process steps to identify and mitigate hazards in a new or changing situation.</w:t>
      </w:r>
    </w:p>
    <w:p>
      <w:pPr>
        <w:spacing w:after="20" w:line="223" w:lineRule="auto"/>
        <w:jc w:val="right"/>
        <w:bidi/>
      </w:pPr>
      <w:r>
        <w:rPr>
          <w:rFonts w:ascii="Arial" w:hAnsi="Arial"/>
          <w:sz w:val="16"/>
        </w:rPr>
        <w:t>323.23  اگرچه مدیریت ریسک بلادرنگ بر اساس فرآیند ۵ مرحله‌ای RM بنا شده است، ساده‌سازی مراحل در موقعیت‌هایی که تصمیمات ریسک باید سریع و در زمان واقعی اتخاذ شوند ضروری است.</w:t>
      </w:r>
    </w:p>
    <w:p>
      <w:pPr>
        <w:spacing w:after="28" w:line="216" w:lineRule="auto"/>
        <w:ind w:left="259"/>
        <w:jc w:val="left"/>
      </w:pPr>
      <w:r>
        <w:rPr>
          <w:rFonts w:ascii="Arial" w:hAnsi="Arial"/>
          <w:color w:val="525252"/>
          <w:sz w:val="13"/>
        </w:rPr>
        <w:t>Although Real-Time Risk Management is founded on the 5-Step RM Process, streamlining the steps is essential in situations where risk decisions need to be made quickly and in Real-Time.</w:t>
      </w:r>
    </w:p>
    <w:p>
      <w:pPr>
        <w:spacing w:after="20" w:line="223" w:lineRule="auto"/>
        <w:jc w:val="right"/>
        <w:bidi/>
      </w:pPr>
      <w:r>
        <w:rPr>
          <w:rFonts w:ascii="Arial" w:hAnsi="Arial"/>
          <w:sz w:val="16"/>
        </w:rPr>
        <w:t>323.24  شناسایی و ارزیابی خطرات.</w:t>
      </w:r>
    </w:p>
    <w:p>
      <w:pPr>
        <w:spacing w:after="28" w:line="216" w:lineRule="auto"/>
        <w:ind w:left="259"/>
        <w:jc w:val="left"/>
      </w:pPr>
      <w:r>
        <w:rPr>
          <w:rFonts w:ascii="Arial" w:hAnsi="Arial"/>
          <w:color w:val="525252"/>
          <w:sz w:val="13"/>
        </w:rPr>
        <w:t>Identifying and Assessing Hazards.</w:t>
      </w:r>
    </w:p>
    <w:p>
      <w:pPr>
        <w:spacing w:after="20" w:line="223" w:lineRule="auto"/>
        <w:jc w:val="right"/>
        <w:bidi/>
      </w:pPr>
      <w:r>
        <w:rPr>
          <w:rFonts w:ascii="Arial" w:hAnsi="Arial"/>
          <w:sz w:val="16"/>
        </w:rPr>
        <w:t>323.25  شناسایی و ارزیابی خطرات در یک محیط بحرانی زمانی معمولا زمانی اتفاق می‌افتد که یک فعالیت برنامه‌ریزی‌شده در حال انجام باشد یا زمانی که پیچیدگی یا درک ریسک کلی کم باشد.</w:t>
      </w:r>
    </w:p>
    <w:p>
      <w:pPr>
        <w:spacing w:after="28" w:line="216" w:lineRule="auto"/>
        <w:ind w:left="259"/>
        <w:jc w:val="left"/>
      </w:pPr>
      <w:r>
        <w:rPr>
          <w:rFonts w:ascii="Arial" w:hAnsi="Arial"/>
          <w:color w:val="525252"/>
          <w:sz w:val="13"/>
        </w:rPr>
        <w:t>Identifying and assessing hazards in a time-critical environment typically occurs when a planned activity is already underway or when the complexity or perception of overall risk is low.</w:t>
      </w:r>
    </w:p>
    <w:p>
      <w:pPr>
        <w:spacing w:after="20" w:line="223" w:lineRule="auto"/>
        <w:jc w:val="right"/>
        <w:bidi/>
      </w:pPr>
      <w:r>
        <w:rPr>
          <w:rFonts w:ascii="Arial" w:hAnsi="Arial"/>
          <w:sz w:val="16"/>
        </w:rPr>
        <w:t>323.26  شناسایی و ارزیابی مؤثر مستلزم عناصر کلیدی شناسایی خطر و ریسک و درک اثرات منفی مرتبط با آن خطرات و خطرات است.</w:t>
      </w:r>
    </w:p>
    <w:p>
      <w:pPr>
        <w:spacing w:after="28" w:line="216" w:lineRule="auto"/>
        <w:ind w:left="259"/>
        <w:jc w:val="left"/>
      </w:pPr>
      <w:r>
        <w:rPr>
          <w:rFonts w:ascii="Arial" w:hAnsi="Arial"/>
          <w:color w:val="525252"/>
          <w:sz w:val="13"/>
        </w:rPr>
        <w:t>Effective identification and assessment requires the key elements of hazard and risk identification and understanding the negative effects associated with those hazards and risks.</w:t>
      </w:r>
    </w:p>
    <w:p>
      <w:pPr>
        <w:spacing w:after="20" w:line="223" w:lineRule="auto"/>
        <w:jc w:val="right"/>
        <w:bidi/>
      </w:pPr>
      <w:r>
        <w:rPr>
          <w:rFonts w:ascii="Arial" w:hAnsi="Arial"/>
          <w:sz w:val="16"/>
        </w:rPr>
        <w:t>323.27  ضروری است که افراد به‌طور جدی فعالیت یا اقدامی را که قرار است در آن شرکت کنند در نظر بگیرند و راهبردهای کاهش مناسب را برای رسیدگی به خطراتی که شناسایی می‌کنند انتخاب کنند.</w:t>
      </w:r>
    </w:p>
    <w:p>
      <w:pPr>
        <w:spacing w:after="28" w:line="216" w:lineRule="auto"/>
        <w:ind w:left="259"/>
        <w:jc w:val="left"/>
      </w:pPr>
      <w:r>
        <w:rPr>
          <w:rFonts w:ascii="Arial" w:hAnsi="Arial"/>
          <w:color w:val="525252"/>
          <w:sz w:val="13"/>
        </w:rPr>
        <w:t>It is essential for individuals to seriously consider the activity or action in which they are about to engage and choose appropriate mitigation strategies to address the hazards they identify.</w:t>
      </w:r>
    </w:p>
    <w:p>
      <w:pPr>
        <w:spacing w:after="20" w:line="223" w:lineRule="auto"/>
        <w:jc w:val="right"/>
        <w:bidi/>
      </w:pPr>
      <w:r>
        <w:rPr>
          <w:rFonts w:ascii="Arial" w:hAnsi="Arial"/>
          <w:sz w:val="16"/>
        </w:rPr>
        <w:t>323.28  در مدیریت ریسک بلادرنگ، ارزیابی کامل موقعیت مستلزم سه مرحله آگاهی از موقعیت در زمان نسبتا کوتاه است: (الف) درک آنچه اتفاق می‌افتد، (ب) یکپارچه‌سازی اطلاعات و اهداف، و (ج) پیش‌بینی به آینده.</w:t>
      </w:r>
    </w:p>
    <w:p>
      <w:pPr>
        <w:spacing w:after="28" w:line="216" w:lineRule="auto"/>
        <w:ind w:left="259"/>
        <w:jc w:val="left"/>
      </w:pPr>
      <w:r>
        <w:rPr>
          <w:rFonts w:ascii="Arial" w:hAnsi="Arial"/>
          <w:color w:val="525252"/>
          <w:sz w:val="13"/>
        </w:rPr>
        <w:t>In Real-Time Risk Management, a complete assessment of the situation requires three stages of situational awareness in a relatively short time: (a) Perception of what is happening, (b) Integration of information and goals, and (c) Projection into the future.</w:t>
      </w:r>
    </w:p>
    <w:p>
      <w:pPr>
        <w:spacing w:after="20" w:line="223" w:lineRule="auto"/>
        <w:jc w:val="right"/>
        <w:bidi/>
      </w:pPr>
      <w:r>
        <w:rPr>
          <w:rFonts w:ascii="Arial" w:hAnsi="Arial"/>
          <w:sz w:val="16"/>
        </w:rPr>
        <w:t>323.29  بر خلاف</w:t>
      </w:r>
    </w:p>
    <w:p>
      <w:pPr>
        <w:spacing w:after="28" w:line="216" w:lineRule="auto"/>
        <w:ind w:left="259"/>
        <w:jc w:val="left"/>
      </w:pPr>
      <w:r>
        <w:rPr>
          <w:rFonts w:ascii="Arial" w:hAnsi="Arial"/>
          <w:color w:val="525252"/>
          <w:sz w:val="13"/>
        </w:rPr>
        <w:t>Unlike</w:t>
      </w:r>
    </w:p>
    <w:p>
      <w:r>
        <w:br w:type="page"/>
      </w:r>
    </w:p>
    <w:p>
      <w:pPr>
        <w:spacing w:after="60"/>
        <w:jc w:val="right"/>
        <w:bidi/>
      </w:pPr>
      <w:r>
        <w:rPr>
          <w:rFonts w:ascii="Arial" w:hAnsi="Arial"/>
          <w:b/>
          <w:color w:val="1F4D78"/>
          <w:sz w:val="19"/>
        </w:rPr>
        <w:t>هفتهٔ 324  |  صفحهٔ منبع: 340</w:t>
      </w:r>
    </w:p>
    <w:p>
      <w:pPr>
        <w:spacing w:after="20" w:line="223" w:lineRule="auto"/>
        <w:jc w:val="right"/>
        <w:bidi/>
      </w:pPr>
      <w:r>
        <w:rPr>
          <w:rFonts w:ascii="Arial" w:hAnsi="Arial"/>
          <w:sz w:val="16"/>
        </w:rPr>
        <w:t>324.01  RM عمدی، جایی که زمان کافی برای ارزیابی موقعیت‌های بالقوه وجود دارد، توانایی فرد برای تشخیص موقعیت و استفاده سریع و مؤثر از منابع موجود است که می‌تواند به معنای تفاوت بین موفقیت یا شکست باشد.</w:t>
      </w:r>
    </w:p>
    <w:p>
      <w:pPr>
        <w:spacing w:after="28" w:line="216" w:lineRule="auto"/>
        <w:ind w:left="259"/>
        <w:jc w:val="left"/>
      </w:pPr>
      <w:r>
        <w:rPr>
          <w:rFonts w:ascii="Arial" w:hAnsi="Arial"/>
          <w:color w:val="525252"/>
          <w:sz w:val="13"/>
        </w:rPr>
        <w:t>Deliberate RM, where there is ample time to assess potential situations, it is an individual’s ability to discern the situation and apply available resources quickly and effectively that can mean the difference between success or failure.</w:t>
      </w:r>
    </w:p>
    <w:p>
      <w:pPr>
        <w:spacing w:after="20" w:line="223" w:lineRule="auto"/>
        <w:jc w:val="right"/>
        <w:bidi/>
      </w:pPr>
      <w:r>
        <w:rPr>
          <w:rFonts w:ascii="Arial" w:hAnsi="Arial"/>
          <w:sz w:val="16"/>
        </w:rPr>
        <w:t>324.02  در حال توسعه کنترل‌ها.</w:t>
      </w:r>
    </w:p>
    <w:p>
      <w:pPr>
        <w:spacing w:after="28" w:line="216" w:lineRule="auto"/>
        <w:ind w:left="259"/>
        <w:jc w:val="left"/>
      </w:pPr>
      <w:r>
        <w:rPr>
          <w:rFonts w:ascii="Arial" w:hAnsi="Arial"/>
          <w:color w:val="525252"/>
          <w:sz w:val="13"/>
        </w:rPr>
        <w:t>Developing Controls.</w:t>
      </w:r>
    </w:p>
    <w:p>
      <w:pPr>
        <w:spacing w:after="20" w:line="223" w:lineRule="auto"/>
        <w:jc w:val="right"/>
        <w:bidi/>
      </w:pPr>
      <w:r>
        <w:rPr>
          <w:rFonts w:ascii="Arial" w:hAnsi="Arial"/>
          <w:sz w:val="16"/>
        </w:rPr>
        <w:t>324.03  پس از ارزیابی وضعیت، پرسنل باید تمامی کنترل‌ها (منابع) موجود را برای تسهیل موفقیت مأموریت یا فعالیت و نحوه مدیریت مؤثر آنها در نظر بگیرند.</w:t>
      </w:r>
    </w:p>
    <w:p>
      <w:pPr>
        <w:spacing w:after="28" w:line="216" w:lineRule="auto"/>
        <w:ind w:left="259"/>
        <w:jc w:val="left"/>
      </w:pPr>
      <w:r>
        <w:rPr>
          <w:rFonts w:ascii="Arial" w:hAnsi="Arial"/>
          <w:color w:val="525252"/>
          <w:sz w:val="13"/>
        </w:rPr>
        <w:t>After assessing the situation, personnel must consider all available controls (resources) to facilitate mission or activity success and how to manage them effectively.</w:t>
      </w:r>
    </w:p>
    <w:p>
      <w:pPr>
        <w:spacing w:after="20" w:line="223" w:lineRule="auto"/>
        <w:jc w:val="right"/>
        <w:bidi/>
      </w:pPr>
      <w:r>
        <w:rPr>
          <w:rFonts w:ascii="Arial" w:hAnsi="Arial"/>
          <w:sz w:val="16"/>
        </w:rPr>
        <w:t>324.04  کنترل‌ها و منابع می‌توانند از نظر دامنه و در دسترس بودن از موقعیتی به موقعیت دیگر متفاوت باشند.</w:t>
      </w:r>
    </w:p>
    <w:p>
      <w:pPr>
        <w:spacing w:after="28" w:line="216" w:lineRule="auto"/>
        <w:ind w:left="259"/>
        <w:jc w:val="left"/>
      </w:pPr>
      <w:r>
        <w:rPr>
          <w:rFonts w:ascii="Arial" w:hAnsi="Arial"/>
          <w:color w:val="525252"/>
          <w:sz w:val="13"/>
        </w:rPr>
        <w:t>Controls and resources can vary in scope and availability from situation to situation.</w:t>
      </w:r>
    </w:p>
    <w:p>
      <w:pPr>
        <w:spacing w:after="20" w:line="223" w:lineRule="auto"/>
        <w:jc w:val="right"/>
        <w:bidi/>
      </w:pPr>
      <w:r>
        <w:rPr>
          <w:rFonts w:ascii="Arial" w:hAnsi="Arial"/>
          <w:sz w:val="16"/>
        </w:rPr>
        <w:t>324.05  هرچه افراد آماده‌تر قبل از یک فعالیت باشند، احتمال بیشتری وجود دارد که کنترل‌ها و منابع بیشتری برای ایجاد افزونگی‌ها یا "بلاک‌های" متعدد برای حذف یا کاهش مؤثر خطرات احتمالی در زمان واقعی داشته باشند.</w:t>
      </w:r>
    </w:p>
    <w:p>
      <w:pPr>
        <w:spacing w:after="28" w:line="216" w:lineRule="auto"/>
        <w:ind w:left="259"/>
        <w:jc w:val="left"/>
      </w:pPr>
      <w:r>
        <w:rPr>
          <w:rFonts w:ascii="Arial" w:hAnsi="Arial"/>
          <w:color w:val="525252"/>
          <w:sz w:val="13"/>
        </w:rPr>
        <w:t>The better prepared individuals are prior to an activity, the more likely they will have more controls and resources available to create multiple redundancies or “blocks” to effectively eliminate or mitigate potential risks in real-time.</w:t>
      </w:r>
    </w:p>
    <w:p>
      <w:pPr>
        <w:spacing w:after="20" w:line="223" w:lineRule="auto"/>
        <w:jc w:val="right"/>
        <w:bidi/>
      </w:pPr>
      <w:r>
        <w:rPr>
          <w:rFonts w:ascii="Arial" w:hAnsi="Arial"/>
          <w:sz w:val="16"/>
        </w:rPr>
        <w:t>324.06  مثال‌ها عبارتند از داشتن درک خوب از موقعیت، آموزش مناسب، پوشیدن تجهیزات حفاظت فردی صحیح، دانستن محدودیت‌های شخصی، و داشتن یک "وینگمان" برای حمایت از تلاش‌ها.</w:t>
      </w:r>
    </w:p>
    <w:p>
      <w:pPr>
        <w:spacing w:after="28" w:line="216" w:lineRule="auto"/>
        <w:ind w:left="259"/>
        <w:jc w:val="left"/>
      </w:pPr>
      <w:r>
        <w:rPr>
          <w:rFonts w:ascii="Arial" w:hAnsi="Arial"/>
          <w:color w:val="525252"/>
          <w:sz w:val="13"/>
        </w:rPr>
        <w:t>Examples include having a good understanding of the situation, being properly trained, wearing correct personal protective equipment, knowing personal limitations, and having a “Wingman” to support their effort(s).</w:t>
      </w:r>
    </w:p>
    <w:p>
      <w:pPr>
        <w:spacing w:after="20" w:line="223" w:lineRule="auto"/>
        <w:jc w:val="right"/>
        <w:bidi/>
      </w:pPr>
      <w:r>
        <w:rPr>
          <w:rFonts w:ascii="Arial" w:hAnsi="Arial"/>
          <w:sz w:val="16"/>
        </w:rPr>
        <w:t>324.07  هر یک از این کنترل‌ها و منابع به‌عنوان لایه‌ای از حفاظت عمل می‌کنند و توانایی تصمیم گیرندگان را برای ایجاد تعادل مؤثر بین ریسک در مقابل پاداش از طریق آماده‌سازی و درک مناسب از موقعیت و گزینه‌ها افزایش می‌دهند.</w:t>
      </w:r>
    </w:p>
    <w:p>
      <w:pPr>
        <w:spacing w:after="28" w:line="216" w:lineRule="auto"/>
        <w:ind w:left="259"/>
        <w:jc w:val="left"/>
      </w:pPr>
      <w:r>
        <w:rPr>
          <w:rFonts w:ascii="Arial" w:hAnsi="Arial"/>
          <w:color w:val="525252"/>
          <w:sz w:val="13"/>
        </w:rPr>
        <w:t>Each of these controls and resources serves as a layer of protection and enhances a decision maker’s ability to effectively balance risk versus reward through proper preparation and understanding of the situation and options.</w:t>
      </w:r>
    </w:p>
    <w:p>
      <w:pPr>
        <w:spacing w:after="20" w:line="223" w:lineRule="auto"/>
        <w:jc w:val="right"/>
        <w:bidi/>
      </w:pPr>
      <w:r>
        <w:rPr>
          <w:rFonts w:ascii="Arial" w:hAnsi="Arial"/>
          <w:sz w:val="16"/>
        </w:rPr>
        <w:t>324.08  هنگام انجام این ملاحظات، همچنین ضروری است که هوانوردان و نگهبانان با تیم و رهبری خود در ارتباط باشند تا اطمینان حاصل شود که از همه گزینه‌ها و منابع به‌طور مؤثر در تصمیم‌گیری صحیح و در عین حال به موقع در مورد ریسک استفاده می‌شود.</w:t>
      </w:r>
    </w:p>
    <w:p>
      <w:pPr>
        <w:spacing w:after="28" w:line="216" w:lineRule="auto"/>
        <w:ind w:left="259"/>
        <w:jc w:val="left"/>
      </w:pPr>
      <w:r>
        <w:rPr>
          <w:rFonts w:ascii="Arial" w:hAnsi="Arial"/>
          <w:color w:val="525252"/>
          <w:sz w:val="13"/>
        </w:rPr>
        <w:t>When making these considerations it is also essential that Airmen and Guardians communicate with their team and leadership to ensure all options and resources are effectively utilized in making a sound yet timely risk decision.</w:t>
      </w:r>
    </w:p>
    <w:p>
      <w:pPr>
        <w:spacing w:after="20" w:line="223" w:lineRule="auto"/>
        <w:jc w:val="right"/>
        <w:bidi/>
      </w:pPr>
      <w:r>
        <w:rPr>
          <w:rFonts w:ascii="Arial" w:hAnsi="Arial"/>
          <w:sz w:val="16"/>
        </w:rPr>
        <w:t>324.09  برقراری ارتباط.</w:t>
      </w:r>
    </w:p>
    <w:p>
      <w:pPr>
        <w:spacing w:after="28" w:line="216" w:lineRule="auto"/>
        <w:ind w:left="259"/>
        <w:jc w:val="left"/>
      </w:pPr>
      <w:r>
        <w:rPr>
          <w:rFonts w:ascii="Arial" w:hAnsi="Arial"/>
          <w:color w:val="525252"/>
          <w:sz w:val="13"/>
        </w:rPr>
        <w:t>Communicating.</w:t>
      </w:r>
    </w:p>
    <w:p>
      <w:pPr>
        <w:spacing w:after="20" w:line="223" w:lineRule="auto"/>
        <w:jc w:val="right"/>
        <w:bidi/>
      </w:pPr>
      <w:r>
        <w:rPr>
          <w:rFonts w:ascii="Arial" w:hAnsi="Arial"/>
          <w:sz w:val="16"/>
        </w:rPr>
        <w:t>324.10  ارتباطات می‌تواند اشکال مختلفی داشته باشد، مانند ارتباط بی‌درنگ با رهبری برای بحث در مورد مشکلات و نیات، ارتباطات داخلی تیم و خدمه می‌تواند خطرات و گزینه‌های کاهش را در زمان واقعی بررسی کند، یا فردی که وضعیت فعلی خود را درونی می‌کند و زمانی را برای ارزیابی اینکه آیا در مسیر درستی قرار دارد یا خیر.</w:t>
      </w:r>
    </w:p>
    <w:p>
      <w:pPr>
        <w:spacing w:after="28" w:line="216" w:lineRule="auto"/>
        <w:ind w:left="259"/>
        <w:jc w:val="left"/>
      </w:pPr>
      <w:r>
        <w:rPr>
          <w:rFonts w:ascii="Arial" w:hAnsi="Arial"/>
          <w:color w:val="525252"/>
          <w:sz w:val="13"/>
        </w:rPr>
        <w:t>Communication can take various forms such as real-time communication with leadership to discuss problems and intentions, internal team and crew communication can address real-time hazards and mitigation options, or an individual internalizing their current situation and taking time to evaluate if they are heading down the right path.</w:t>
      </w:r>
    </w:p>
    <w:p>
      <w:pPr>
        <w:spacing w:after="20" w:line="223" w:lineRule="auto"/>
        <w:jc w:val="right"/>
        <w:bidi/>
      </w:pPr>
      <w:r>
        <w:rPr>
          <w:rFonts w:ascii="Arial" w:hAnsi="Arial"/>
          <w:sz w:val="16"/>
        </w:rPr>
        <w:t>324.11  این عمل فرض می‌کند که افراد یا تیم‌ها به دقت گزینه‌ها و کنترل‌های موجود در موقعیت‌های بلادرنگ را در نظر می‌گیرند.</w:t>
      </w:r>
    </w:p>
    <w:p>
      <w:pPr>
        <w:spacing w:after="28" w:line="216" w:lineRule="auto"/>
        <w:ind w:left="259"/>
        <w:jc w:val="left"/>
      </w:pPr>
      <w:r>
        <w:rPr>
          <w:rFonts w:ascii="Arial" w:hAnsi="Arial"/>
          <w:color w:val="525252"/>
          <w:sz w:val="13"/>
        </w:rPr>
        <w:t>This action assumes individuals or teams carefully consider options and controls available to them in real-time situations.</w:t>
      </w:r>
    </w:p>
    <w:p>
      <w:pPr>
        <w:spacing w:after="20" w:line="223" w:lineRule="auto"/>
        <w:jc w:val="right"/>
        <w:bidi/>
      </w:pPr>
      <w:r>
        <w:rPr>
          <w:rFonts w:ascii="Arial" w:hAnsi="Arial"/>
          <w:sz w:val="16"/>
        </w:rPr>
        <w:t>324.12  آنها باید از چگونگی تغییر ادراک و مهارت‌های ارتباطی در محیط‌های پیش بینی نشده و در حال تغییر آگاه باشند.</w:t>
      </w:r>
    </w:p>
    <w:p>
      <w:pPr>
        <w:spacing w:after="28" w:line="216" w:lineRule="auto"/>
        <w:ind w:left="259"/>
        <w:jc w:val="left"/>
      </w:pPr>
      <w:r>
        <w:rPr>
          <w:rFonts w:ascii="Arial" w:hAnsi="Arial"/>
          <w:color w:val="525252"/>
          <w:sz w:val="13"/>
        </w:rPr>
        <w:t>They should be aware of how perception and communication skills change in unanticipated and changing environments.</w:t>
      </w:r>
    </w:p>
    <w:p>
      <w:pPr>
        <w:spacing w:after="20" w:line="223" w:lineRule="auto"/>
        <w:jc w:val="right"/>
        <w:bidi/>
      </w:pPr>
      <w:r>
        <w:rPr>
          <w:rFonts w:ascii="Arial" w:hAnsi="Arial"/>
          <w:sz w:val="16"/>
        </w:rPr>
        <w:t>324.13  ادراک و مهارت‌های ارتباطی تحت تأثیر نامطلوب قرار می‌گیرند زیرا افراد به‌طور فزاینده استرس می‌گیرند و آگاهی موقعیتی را از دست می‌دهند.</w:t>
      </w:r>
    </w:p>
    <w:p>
      <w:pPr>
        <w:spacing w:after="28" w:line="216" w:lineRule="auto"/>
        <w:ind w:left="259"/>
        <w:jc w:val="left"/>
      </w:pPr>
      <w:r>
        <w:rPr>
          <w:rFonts w:ascii="Arial" w:hAnsi="Arial"/>
          <w:color w:val="525252"/>
          <w:sz w:val="13"/>
        </w:rPr>
        <w:t>Perception and communication skills are adversely affected as individuals become increasingly stressed and lose situational awareness.</w:t>
      </w:r>
    </w:p>
    <w:p>
      <w:pPr>
        <w:spacing w:after="20" w:line="223" w:lineRule="auto"/>
        <w:jc w:val="right"/>
        <w:bidi/>
      </w:pPr>
      <w:r>
        <w:rPr>
          <w:rFonts w:ascii="Arial" w:hAnsi="Arial"/>
          <w:sz w:val="16"/>
        </w:rPr>
        <w:t>324.14  احساس فشار بی مورد برای موفقیت یا ادامه برنامه زمانی که شرایط پیش‌بینی‌شده نیاز به تغییرات «میانگین» دارد، می‌تواند تأثیرات مشابهی بر افراد یا اعضای تیم داشته باشد، زیرا تلاش می‌کنند جبران کنند.</w:t>
      </w:r>
    </w:p>
    <w:p>
      <w:pPr>
        <w:spacing w:after="28" w:line="216" w:lineRule="auto"/>
        <w:ind w:left="259"/>
        <w:jc w:val="left"/>
      </w:pPr>
      <w:r>
        <w:rPr>
          <w:rFonts w:ascii="Arial" w:hAnsi="Arial"/>
          <w:color w:val="525252"/>
          <w:sz w:val="13"/>
        </w:rPr>
        <w:t>Feeling undue pressure to succeed or to continue with a plan when anticipated conditions require “mid-stream” changes can have similar effects on individuals or team members as they try to compensate.</w:t>
      </w:r>
    </w:p>
    <w:p>
      <w:pPr>
        <w:spacing w:after="20" w:line="223" w:lineRule="auto"/>
        <w:jc w:val="right"/>
        <w:bidi/>
      </w:pPr>
      <w:r>
        <w:rPr>
          <w:rFonts w:ascii="Arial" w:hAnsi="Arial"/>
          <w:sz w:val="16"/>
        </w:rPr>
        <w:t>324.15  در این موقعیت‌های پر استرس، مهارت‌های ارتباطی کاهش می‌یابد زیرا افراد توجه را کانالیزه می‌کنند و آگاهی از وضعیت کلی را از دست می‌دهند.</w:t>
      </w:r>
    </w:p>
    <w:p>
      <w:pPr>
        <w:spacing w:after="28" w:line="216" w:lineRule="auto"/>
        <w:ind w:left="259"/>
        <w:jc w:val="left"/>
      </w:pPr>
      <w:r>
        <w:rPr>
          <w:rFonts w:ascii="Arial" w:hAnsi="Arial"/>
          <w:color w:val="525252"/>
          <w:sz w:val="13"/>
        </w:rPr>
        <w:t>In these high stress situations, communication skills diminish as individuals channelize attention and lose awareness of the overall situation.</w:t>
      </w:r>
    </w:p>
    <w:p>
      <w:pPr>
        <w:spacing w:after="20" w:line="223" w:lineRule="auto"/>
        <w:jc w:val="right"/>
        <w:bidi/>
      </w:pPr>
      <w:r>
        <w:rPr>
          <w:rFonts w:ascii="Arial" w:hAnsi="Arial"/>
          <w:sz w:val="16"/>
        </w:rPr>
        <w:t>324.16  آن‌ها می‌توانند دید تونلی را تجربه کنند و برای مقابله با شرایط در حال تغییر قادر به انجام چند کار مؤثر نباشند.</w:t>
      </w:r>
    </w:p>
    <w:p>
      <w:pPr>
        <w:spacing w:after="28" w:line="216" w:lineRule="auto"/>
        <w:ind w:left="259"/>
        <w:jc w:val="left"/>
      </w:pPr>
      <w:r>
        <w:rPr>
          <w:rFonts w:ascii="Arial" w:hAnsi="Arial"/>
          <w:color w:val="525252"/>
          <w:sz w:val="13"/>
        </w:rPr>
        <w:t>They can experience tunnel vision and be unable to multitask effectively to deal with the changing circumstances.</w:t>
      </w:r>
    </w:p>
    <w:p>
      <w:pPr>
        <w:spacing w:after="20" w:line="223" w:lineRule="auto"/>
        <w:jc w:val="right"/>
        <w:bidi/>
      </w:pPr>
      <w:r>
        <w:rPr>
          <w:rFonts w:ascii="Arial" w:hAnsi="Arial"/>
          <w:sz w:val="16"/>
        </w:rPr>
        <w:t>324.17  با درک این موضوع، افراد و تیم‌هایی که وارد این موقعیت‌ها می‌شوند، می‌توانند بهتر آماده شوند، پیش‌بینی کنند و تشخیص دهند که آیا آنها یا دیگران آگاهی موقعیتی را از دست می‌دهند یا خیر و اصلاحات را انجام دهند.</w:t>
      </w:r>
    </w:p>
    <w:p>
      <w:pPr>
        <w:spacing w:after="28" w:line="216" w:lineRule="auto"/>
        <w:ind w:left="259"/>
        <w:jc w:val="left"/>
      </w:pPr>
      <w:r>
        <w:rPr>
          <w:rFonts w:ascii="Arial" w:hAnsi="Arial"/>
          <w:color w:val="525252"/>
          <w:sz w:val="13"/>
        </w:rPr>
        <w:t>Understanding this, individuals and teams thrust into these situations can better prepare, anticipate, and identify if they or others are losing situational awareness and make corrections.</w:t>
      </w:r>
    </w:p>
    <w:p>
      <w:pPr>
        <w:spacing w:after="20" w:line="223" w:lineRule="auto"/>
        <w:jc w:val="right"/>
        <w:bidi/>
      </w:pPr>
      <w:r>
        <w:rPr>
          <w:rFonts w:ascii="Arial" w:hAnsi="Arial"/>
          <w:sz w:val="16"/>
        </w:rPr>
        <w:t>324.18  این آگاهی افراد را قادر می‌سازد تا به‌طور مؤثرتری با هم‌تیمی‌ها و رهبری در موقعیت‌های بلادرنگ ارتباط برقرار کنند.</w:t>
      </w:r>
    </w:p>
    <w:p>
      <w:pPr>
        <w:spacing w:after="28" w:line="216" w:lineRule="auto"/>
        <w:ind w:left="259"/>
        <w:jc w:val="left"/>
      </w:pPr>
      <w:r>
        <w:rPr>
          <w:rFonts w:ascii="Arial" w:hAnsi="Arial"/>
          <w:color w:val="525252"/>
          <w:sz w:val="13"/>
        </w:rPr>
        <w:t>This awareness enables individuals to more effectively communicate with teammates and leadership in Real-Time situations.</w:t>
      </w:r>
    </w:p>
    <w:p>
      <w:pPr>
        <w:spacing w:after="20" w:line="223" w:lineRule="auto"/>
        <w:jc w:val="right"/>
        <w:bidi/>
      </w:pPr>
      <w:r>
        <w:rPr>
          <w:rFonts w:ascii="Arial" w:hAnsi="Arial"/>
          <w:sz w:val="16"/>
        </w:rPr>
        <w:t>324.19  به آن‌ها اجازه می‌دهد یک گام به عقب بردارند و گزینه‌ها را دوباره ارزیابی کنند.</w:t>
      </w:r>
    </w:p>
    <w:p>
      <w:pPr>
        <w:spacing w:after="28" w:line="216" w:lineRule="auto"/>
        <w:ind w:left="259"/>
        <w:jc w:val="left"/>
      </w:pPr>
      <w:r>
        <w:rPr>
          <w:rFonts w:ascii="Arial" w:hAnsi="Arial"/>
          <w:color w:val="525252"/>
          <w:sz w:val="13"/>
        </w:rPr>
        <w:t>It allows them to take a step back and reevaluate options.</w:t>
      </w:r>
    </w:p>
    <w:p>
      <w:pPr>
        <w:spacing w:after="20" w:line="223" w:lineRule="auto"/>
        <w:jc w:val="right"/>
        <w:bidi/>
      </w:pPr>
      <w:r>
        <w:rPr>
          <w:rFonts w:ascii="Arial" w:hAnsi="Arial"/>
          <w:sz w:val="16"/>
        </w:rPr>
        <w:t>324.20  پرسیدن سوالاتی مانند: "چه کسی باید در مورد وضعیت بداند؟" "چه کسی می‌تواند کمک یا کمک کند؟" "چه کسی می‌تواند پشتیبان تهیه کند؟" یا "آیا می‌توان این کار را متفاوت انجام داد" تنها چند نمونه از ملاحظاتی است که باید قبل از اجرای یک استراتژی کاهش در زمان واقعی انجام شود.</w:t>
      </w:r>
    </w:p>
    <w:p>
      <w:pPr>
        <w:spacing w:after="28" w:line="216" w:lineRule="auto"/>
        <w:ind w:left="259"/>
        <w:jc w:val="left"/>
      </w:pPr>
      <w:r>
        <w:rPr>
          <w:rFonts w:ascii="Arial" w:hAnsi="Arial"/>
          <w:color w:val="525252"/>
          <w:sz w:val="13"/>
        </w:rPr>
        <w:t>Asking questions such as: “Who needs to know about the situation?” “Who can help or assist?” “Who can provide back-up?” or “Can this be done differently” are just a few examples of the considerations that must be made prior to implementing a mitigation strategy in Real-Time.</w:t>
      </w:r>
    </w:p>
    <w:p>
      <w:pPr>
        <w:spacing w:after="20" w:line="223" w:lineRule="auto"/>
        <w:jc w:val="right"/>
        <w:bidi/>
      </w:pPr>
      <w:r>
        <w:rPr>
          <w:rFonts w:ascii="Arial" w:hAnsi="Arial"/>
          <w:sz w:val="16"/>
        </w:rPr>
        <w:t>324.21  تصمیم‌گیری.</w:t>
      </w:r>
    </w:p>
    <w:p>
      <w:pPr>
        <w:spacing w:after="28" w:line="216" w:lineRule="auto"/>
        <w:ind w:left="259"/>
        <w:jc w:val="left"/>
      </w:pPr>
      <w:r>
        <w:rPr>
          <w:rFonts w:ascii="Arial" w:hAnsi="Arial"/>
          <w:color w:val="525252"/>
          <w:sz w:val="13"/>
        </w:rPr>
        <w:t>Making Decisions.</w:t>
      </w:r>
    </w:p>
    <w:p>
      <w:pPr>
        <w:spacing w:after="20" w:line="223" w:lineRule="auto"/>
        <w:jc w:val="right"/>
        <w:bidi/>
      </w:pPr>
      <w:r>
        <w:rPr>
          <w:rFonts w:ascii="Arial" w:hAnsi="Arial"/>
          <w:sz w:val="16"/>
        </w:rPr>
        <w:t>324.22  بر خلاف سطح RM مشورتی که در آن یک استراتژی پیاده‌سازی با دقت توسعه داده می‌شود و از طریق شناسایی چه کسی، چه چیزی، چه زمانی، کجا و هزینه مرتبط با کنترل قبل از یک فعالیت انجام می‌شود، مدیریت ریسک بلادرنگ متکی است که فرد یا گروه کوچک اقدام فوری یا تقریبا فوری برای کاهش خطر(های) در زمان واقعی انجام می‌دهند.</w:t>
      </w:r>
    </w:p>
    <w:p>
      <w:pPr>
        <w:spacing w:after="28" w:line="216" w:lineRule="auto"/>
        <w:ind w:left="259"/>
        <w:jc w:val="left"/>
      </w:pPr>
      <w:r>
        <w:rPr>
          <w:rFonts w:ascii="Arial" w:hAnsi="Arial"/>
          <w:color w:val="525252"/>
          <w:sz w:val="13"/>
        </w:rPr>
        <w:t>Unlike the deliberative RM level where an implementation strategy is carefully developed and carried out through identification of the who, what, when, where and cost associated with the control prior to an activity, Real-Time Risk Management relies on the individual or small group taking immediate or near immediate action to mitigate risk(s) in Real- Time.</w:t>
      </w:r>
    </w:p>
    <w:p>
      <w:pPr>
        <w:spacing w:after="20" w:line="223" w:lineRule="auto"/>
        <w:jc w:val="right"/>
        <w:bidi/>
      </w:pPr>
      <w:r>
        <w:rPr>
          <w:rFonts w:ascii="Arial" w:hAnsi="Arial"/>
          <w:sz w:val="16"/>
        </w:rPr>
        <w:t>324.23  این جنبه به تنهایی می‌تواند تصمیمات مدیریت ریسک بلادرنگ را از تصمیمات عمدی RM پرخطرتر کند.</w:t>
      </w:r>
    </w:p>
    <w:p>
      <w:pPr>
        <w:spacing w:after="28" w:line="216" w:lineRule="auto"/>
        <w:ind w:left="259"/>
        <w:jc w:val="left"/>
      </w:pPr>
      <w:r>
        <w:rPr>
          <w:rFonts w:ascii="Arial" w:hAnsi="Arial"/>
          <w:color w:val="525252"/>
          <w:sz w:val="13"/>
        </w:rPr>
        <w:t>This aspect alone can make Real-Time Risk Management decisions riskier than deliberate RM decisions.</w:t>
      </w:r>
    </w:p>
    <w:p>
      <w:pPr>
        <w:spacing w:after="20" w:line="223" w:lineRule="auto"/>
        <w:jc w:val="right"/>
        <w:bidi/>
      </w:pPr>
      <w:r>
        <w:rPr>
          <w:rFonts w:ascii="Arial" w:hAnsi="Arial"/>
          <w:sz w:val="16"/>
        </w:rPr>
        <w:t>324.24  افراد باید این را درک کنند و تمام تلاش خود را برای سنجش عمدی تصمیمات ریسک قبل از اقدام انجام دهند تا مطمئن شوند که بهترین روش اقدام را انتخاب می‌کنند.</w:t>
      </w:r>
    </w:p>
    <w:p>
      <w:pPr>
        <w:spacing w:after="28" w:line="216" w:lineRule="auto"/>
        <w:ind w:left="259"/>
        <w:jc w:val="left"/>
      </w:pPr>
      <w:r>
        <w:rPr>
          <w:rFonts w:ascii="Arial" w:hAnsi="Arial"/>
          <w:color w:val="525252"/>
          <w:sz w:val="13"/>
        </w:rPr>
        <w:t>Individuals must realize this and make every effort to deliberately weigh risk decisions before taking action to ensure they are selecting the best course of action.</w:t>
      </w:r>
    </w:p>
    <w:p>
      <w:pPr>
        <w:spacing w:after="20" w:line="223" w:lineRule="auto"/>
        <w:jc w:val="right"/>
        <w:bidi/>
      </w:pPr>
      <w:r>
        <w:rPr>
          <w:rFonts w:ascii="Arial" w:hAnsi="Arial"/>
          <w:sz w:val="16"/>
        </w:rPr>
        <w:t>324.25  اجرای کنترل.</w:t>
      </w:r>
    </w:p>
    <w:p>
      <w:pPr>
        <w:spacing w:after="28" w:line="216" w:lineRule="auto"/>
        <w:ind w:left="259"/>
        <w:jc w:val="left"/>
      </w:pPr>
      <w:r>
        <w:rPr>
          <w:rFonts w:ascii="Arial" w:hAnsi="Arial"/>
          <w:color w:val="525252"/>
          <w:sz w:val="13"/>
        </w:rPr>
        <w:t>Implementing Controls.</w:t>
      </w:r>
    </w:p>
    <w:p>
      <w:pPr>
        <w:spacing w:after="20" w:line="223" w:lineRule="auto"/>
        <w:jc w:val="right"/>
        <w:bidi/>
      </w:pPr>
      <w:r>
        <w:rPr>
          <w:rFonts w:ascii="Arial" w:hAnsi="Arial"/>
          <w:sz w:val="16"/>
        </w:rPr>
        <w:t>324.26  گاهی اوقات برنامه اصلی باید اصلاح یا تغییر شود تا مسائل پیش‌بینی نشده را در نظر بگیرد تا از موفقیت اطمینان حاصل شود.</w:t>
      </w:r>
    </w:p>
    <w:p>
      <w:pPr>
        <w:spacing w:after="28" w:line="216" w:lineRule="auto"/>
        <w:ind w:left="259"/>
        <w:jc w:val="left"/>
      </w:pPr>
      <w:r>
        <w:rPr>
          <w:rFonts w:ascii="Arial" w:hAnsi="Arial"/>
          <w:color w:val="525252"/>
          <w:sz w:val="13"/>
        </w:rPr>
        <w:t>Sometimes the original plan must be modified or changed to account for unforeseen issues in order to assure success.</w:t>
      </w:r>
    </w:p>
    <w:p>
      <w:pPr>
        <w:spacing w:after="20" w:line="223" w:lineRule="auto"/>
        <w:jc w:val="right"/>
        <w:bidi/>
      </w:pPr>
      <w:r>
        <w:rPr>
          <w:rFonts w:ascii="Arial" w:hAnsi="Arial"/>
          <w:sz w:val="16"/>
        </w:rPr>
        <w:t>324.27  اگرچه تغییرات یا اصلاحات جزئی در ا</w:t>
      </w:r>
    </w:p>
    <w:p>
      <w:pPr>
        <w:spacing w:after="28" w:line="216" w:lineRule="auto"/>
        <w:ind w:left="259"/>
        <w:jc w:val="left"/>
      </w:pPr>
      <w:r>
        <w:rPr>
          <w:rFonts w:ascii="Arial" w:hAnsi="Arial"/>
          <w:color w:val="525252"/>
          <w:sz w:val="13"/>
        </w:rPr>
        <w:t>Although minor changes or modifications to a</w:t>
      </w:r>
    </w:p>
    <w:p>
      <w:r>
        <w:br w:type="page"/>
      </w:r>
    </w:p>
    <w:p>
      <w:pPr>
        <w:spacing w:after="60"/>
        <w:jc w:val="right"/>
        <w:bidi/>
      </w:pPr>
      <w:r>
        <w:rPr>
          <w:rFonts w:ascii="Arial" w:hAnsi="Arial"/>
          <w:b/>
          <w:color w:val="1F4D78"/>
          <w:sz w:val="19"/>
        </w:rPr>
        <w:t>هفتهٔ 325  |  صفحهٔ منبع: 341</w:t>
      </w:r>
    </w:p>
    <w:p>
      <w:pPr>
        <w:spacing w:after="20" w:line="223" w:lineRule="auto"/>
        <w:jc w:val="right"/>
        <w:bidi/>
      </w:pPr>
      <w:r>
        <w:rPr>
          <w:rFonts w:ascii="Arial" w:hAnsi="Arial"/>
          <w:sz w:val="16"/>
        </w:rPr>
        <w:t>325.01  ممکن است به راحتی اجرا شود، سایرین ممکن است به مقامات بالاتری (در صورت وجود) نیاز داشته باشند تا ریسک را به درستی سنجیده و بهترین مسیر اقدام را تعیین کنند.</w:t>
      </w:r>
    </w:p>
    <w:p>
      <w:pPr>
        <w:spacing w:after="28" w:line="216" w:lineRule="auto"/>
        <w:ind w:left="259"/>
        <w:jc w:val="left"/>
      </w:pPr>
      <w:r>
        <w:rPr>
          <w:rFonts w:ascii="Arial" w:hAnsi="Arial"/>
          <w:color w:val="525252"/>
          <w:sz w:val="13"/>
        </w:rPr>
        <w:t>plan or strategy may be easily implemented, others may require higher authority (if available) to properly weigh the risk and determine the best course of action.</w:t>
      </w:r>
    </w:p>
    <w:p>
      <w:pPr>
        <w:spacing w:after="20" w:line="223" w:lineRule="auto"/>
        <w:jc w:val="right"/>
        <w:bidi/>
      </w:pPr>
      <w:r>
        <w:rPr>
          <w:rFonts w:ascii="Arial" w:hAnsi="Arial"/>
          <w:sz w:val="16"/>
        </w:rPr>
        <w:t>325.02  پاسخگویی در این شرایط صرفا بر عهده فرد یا افراد درگیر در فعالیت است.</w:t>
      </w:r>
    </w:p>
    <w:p>
      <w:pPr>
        <w:spacing w:after="28" w:line="216" w:lineRule="auto"/>
        <w:ind w:left="259"/>
        <w:jc w:val="left"/>
      </w:pPr>
      <w:r>
        <w:rPr>
          <w:rFonts w:ascii="Arial" w:hAnsi="Arial"/>
          <w:color w:val="525252"/>
          <w:sz w:val="13"/>
        </w:rPr>
        <w:t>Accountability under these circumstances rests solely with the individual(s) involved in the activity.</w:t>
      </w:r>
    </w:p>
    <w:p>
      <w:pPr>
        <w:spacing w:after="20" w:line="223" w:lineRule="auto"/>
        <w:jc w:val="right"/>
        <w:bidi/>
      </w:pPr>
      <w:r>
        <w:rPr>
          <w:rFonts w:ascii="Arial" w:hAnsi="Arial"/>
          <w:sz w:val="16"/>
        </w:rPr>
        <w:t>325.03  این مسئولیت آنهاست که دامنه و محدودیت‌های تصمیم گو/نو-گو خود را کاملا درک کنند و بر اساس آن عمل کنند.</w:t>
      </w:r>
    </w:p>
    <w:p>
      <w:pPr>
        <w:spacing w:after="28" w:line="216" w:lineRule="auto"/>
        <w:ind w:left="259"/>
        <w:jc w:val="left"/>
      </w:pPr>
      <w:r>
        <w:rPr>
          <w:rFonts w:ascii="Arial" w:hAnsi="Arial"/>
          <w:color w:val="525252"/>
          <w:sz w:val="13"/>
        </w:rPr>
        <w:t>It is their responsibility to fully understand the scope and limits of their Go/No-Go decision and act accordingly.</w:t>
      </w:r>
    </w:p>
    <w:p>
      <w:pPr>
        <w:spacing w:after="20" w:line="223" w:lineRule="auto"/>
        <w:jc w:val="right"/>
        <w:bidi/>
      </w:pPr>
      <w:r>
        <w:rPr>
          <w:rFonts w:ascii="Arial" w:hAnsi="Arial"/>
          <w:sz w:val="16"/>
        </w:rPr>
        <w:t>325.04  به این ترتیب، پذیرش خطر و پیامدهای مرتبط با آن باید جدی گرفته شود، با این درک که هر گونه پیامد نامطلوب از یک اقدام انتخاب شده ممکن است نه تنها بر فرد تأثیر بگذارد، بلکه تأثیر زیادی بر خانواده، دوستان، همکاران و توانایی فرد برای مشارکت در مأموریت DAF دارد.</w:t>
      </w:r>
    </w:p>
    <w:p>
      <w:pPr>
        <w:spacing w:after="28" w:line="216" w:lineRule="auto"/>
        <w:ind w:left="259"/>
        <w:jc w:val="left"/>
      </w:pPr>
      <w:r>
        <w:rPr>
          <w:rFonts w:ascii="Arial" w:hAnsi="Arial"/>
          <w:color w:val="525252"/>
          <w:sz w:val="13"/>
        </w:rPr>
        <w:t>As such, the acceptance of risk and associated consequences needs to be taken seriously with the understanding that any adverse outcome from a selected course of action may not only affect the individual, but greatly impact family, friends, coworkers, and the individual’s ability to contribute to the DAF mission.</w:t>
      </w:r>
    </w:p>
    <w:p>
      <w:pPr>
        <w:spacing w:after="20" w:line="223" w:lineRule="auto"/>
        <w:jc w:val="right"/>
        <w:bidi/>
      </w:pPr>
      <w:r>
        <w:rPr>
          <w:rFonts w:ascii="Arial" w:hAnsi="Arial"/>
          <w:sz w:val="16"/>
        </w:rPr>
        <w:t>325.05  هدف برای هر مأموریت یا فعالیت، عملیات ایمن و دستیابی به موفقیت است.</w:t>
      </w:r>
    </w:p>
    <w:p>
      <w:pPr>
        <w:spacing w:after="28" w:line="216" w:lineRule="auto"/>
        <w:ind w:left="259"/>
        <w:jc w:val="left"/>
      </w:pPr>
      <w:r>
        <w:rPr>
          <w:rFonts w:ascii="Arial" w:hAnsi="Arial"/>
          <w:color w:val="525252"/>
          <w:sz w:val="13"/>
        </w:rPr>
        <w:t>The goal for any mission or activity is to operate safely and achieve success.</w:t>
      </w:r>
    </w:p>
    <w:p>
      <w:pPr>
        <w:spacing w:after="20" w:line="223" w:lineRule="auto"/>
        <w:jc w:val="right"/>
        <w:bidi/>
      </w:pPr>
      <w:r>
        <w:rPr>
          <w:rFonts w:ascii="Arial" w:hAnsi="Arial"/>
          <w:sz w:val="16"/>
        </w:rPr>
        <w:t>325.06  با این حال، همه هوانوردان و نگهبانان باید احتمال رها کردن مأموریت یا فعالیت را در صورتی که وضعیت برای ادامه بسیار خطرناک یا پرهزینه به نظر برسد، در نظر بگیرند.</w:t>
      </w:r>
    </w:p>
    <w:p>
      <w:pPr>
        <w:spacing w:after="28" w:line="216" w:lineRule="auto"/>
        <w:ind w:left="259"/>
        <w:jc w:val="left"/>
      </w:pPr>
      <w:r>
        <w:rPr>
          <w:rFonts w:ascii="Arial" w:hAnsi="Arial"/>
          <w:color w:val="525252"/>
          <w:sz w:val="13"/>
        </w:rPr>
        <w:t>However, all Airmen and Guardians must consider the possibility of abandoning the mission or activity if the situation appears too risky or too costly to continue.</w:t>
      </w:r>
    </w:p>
    <w:p>
      <w:pPr>
        <w:spacing w:after="20" w:line="223" w:lineRule="auto"/>
        <w:jc w:val="right"/>
        <w:bidi/>
      </w:pPr>
      <w:r>
        <w:rPr>
          <w:rFonts w:ascii="Arial" w:hAnsi="Arial"/>
          <w:sz w:val="16"/>
        </w:rPr>
        <w:t>325.07  به‌ویژه زمانی که هیچ گزینه یا استراتژی معقولی برای تغییر یا تغییر شرایط در زمان باقی مانده برای انجام مأموریت یا فعالیت وجود نداشته باشد.</w:t>
      </w:r>
    </w:p>
    <w:p>
      <w:pPr>
        <w:spacing w:after="28" w:line="216" w:lineRule="auto"/>
        <w:ind w:left="259"/>
        <w:jc w:val="left"/>
      </w:pPr>
      <w:r>
        <w:rPr>
          <w:rFonts w:ascii="Arial" w:hAnsi="Arial"/>
          <w:color w:val="525252"/>
          <w:sz w:val="13"/>
        </w:rPr>
        <w:t>Particularly when there are no reasonable options or strategies to change or alter the circumstances in the time remaining to conduct the mission or activity.</w:t>
      </w:r>
    </w:p>
    <w:p>
      <w:pPr>
        <w:spacing w:after="20" w:line="223" w:lineRule="auto"/>
        <w:jc w:val="right"/>
        <w:bidi/>
      </w:pPr>
      <w:r>
        <w:rPr>
          <w:rFonts w:ascii="Arial" w:hAnsi="Arial"/>
          <w:sz w:val="16"/>
        </w:rPr>
        <w:t>325.08  نظارت و ارزیابی.</w:t>
      </w:r>
    </w:p>
    <w:p>
      <w:pPr>
        <w:spacing w:after="28" w:line="216" w:lineRule="auto"/>
        <w:ind w:left="259"/>
        <w:jc w:val="left"/>
      </w:pPr>
      <w:r>
        <w:rPr>
          <w:rFonts w:ascii="Arial" w:hAnsi="Arial"/>
          <w:color w:val="525252"/>
          <w:sz w:val="13"/>
        </w:rPr>
        <w:t>Supervising and Evaluating.</w:t>
      </w:r>
    </w:p>
    <w:p>
      <w:pPr>
        <w:spacing w:after="20" w:line="223" w:lineRule="auto"/>
        <w:jc w:val="right"/>
        <w:bidi/>
      </w:pPr>
      <w:r>
        <w:rPr>
          <w:rFonts w:ascii="Arial" w:hAnsi="Arial"/>
          <w:sz w:val="16"/>
        </w:rPr>
        <w:t>325.09  ضروری است که هم رهبری و هم پرسنل درگیر در یک مأموریت یا فعالیت اطمینان حاصل کنند که حلقه بازخورد یا جنبه "ارزیابی" فرآیند RM انجام می‌شود.</w:t>
      </w:r>
    </w:p>
    <w:p>
      <w:pPr>
        <w:spacing w:after="28" w:line="216" w:lineRule="auto"/>
        <w:ind w:left="259"/>
        <w:jc w:val="left"/>
      </w:pPr>
      <w:r>
        <w:rPr>
          <w:rFonts w:ascii="Arial" w:hAnsi="Arial"/>
          <w:color w:val="525252"/>
          <w:sz w:val="13"/>
        </w:rPr>
        <w:t>It is essential that both leadership and personnel involved in a mission or activity ensure that the feedback loop or “Evaluate” aspect of the RM process is performed.</w:t>
      </w:r>
    </w:p>
    <w:p>
      <w:pPr>
        <w:spacing w:after="20" w:line="223" w:lineRule="auto"/>
        <w:jc w:val="right"/>
        <w:bidi/>
      </w:pPr>
      <w:r>
        <w:rPr>
          <w:rFonts w:ascii="Arial" w:hAnsi="Arial"/>
          <w:sz w:val="16"/>
        </w:rPr>
        <w:t>325.10  این مرحله فرآیند حیاتی به افراد اطمینان می‌دهد که فرآیند ۵ مرحله‌ای را با شناسایی مواردی که مؤثر بوده، چه چیزی مؤثر نبوده، دنبال کرده و تکمیل می‌کنند و اطمینان حاصل می‌کند که درس‌های مستند آموخته شده منتشر می‌شوند.</w:t>
      </w:r>
    </w:p>
    <w:p>
      <w:pPr>
        <w:spacing w:after="28" w:line="216" w:lineRule="auto"/>
        <w:ind w:left="259"/>
        <w:jc w:val="left"/>
      </w:pPr>
      <w:r>
        <w:rPr>
          <w:rFonts w:ascii="Arial" w:hAnsi="Arial"/>
          <w:color w:val="525252"/>
          <w:sz w:val="13"/>
        </w:rPr>
        <w:t>This vital process step ensures individuals follow through and complete the 5-Step process by identifying what worked, what did not work, and ensures documented lessons learned are disseminated.</w:t>
      </w:r>
    </w:p>
    <w:p>
      <w:pPr>
        <w:spacing w:after="20" w:line="223" w:lineRule="auto"/>
        <w:jc w:val="right"/>
        <w:bidi/>
      </w:pPr>
      <w:r>
        <w:rPr>
          <w:rFonts w:ascii="Arial" w:hAnsi="Arial"/>
          <w:sz w:val="16"/>
        </w:rPr>
        <w:t>325.11  توضیحات عملکرد را بهبود می‌بخشد، خطرات را در فعالیت‌های آینده کاهش می‌دهد و در تکمیل فرآیند ۵ مرحله‌ای RM ضروری است.</w:t>
      </w:r>
    </w:p>
    <w:p>
      <w:pPr>
        <w:spacing w:after="28" w:line="216" w:lineRule="auto"/>
        <w:ind w:left="259"/>
        <w:jc w:val="left"/>
      </w:pPr>
      <w:r>
        <w:rPr>
          <w:rFonts w:ascii="Arial" w:hAnsi="Arial"/>
          <w:color w:val="525252"/>
          <w:sz w:val="13"/>
        </w:rPr>
        <w:t>Debriefs will improve performance, mitigate risks in future activities, and are essential in completing the RM 5-Step process.</w:t>
      </w:r>
    </w:p>
    <w:p>
      <w:pPr>
        <w:spacing w:after="20" w:line="223" w:lineRule="auto"/>
        <w:jc w:val="right"/>
        <w:bidi/>
      </w:pPr>
      <w:r>
        <w:rPr>
          <w:rFonts w:ascii="Arial" w:hAnsi="Arial"/>
          <w:sz w:val="16"/>
        </w:rPr>
        <w:t>325.12  پرسیدن سوالاتی مانند: "آیا ارزیابی ما دقیق بود؟" "آیا ما خوش شانس بودیم؟" "چقدر از کنترل‌ها و منابع استفاده کردیم؟" "آیا ارتباط مؤثر بود؟" و "برای بهبود رویدادهای آینده چه کاری می‌توانیم انجام دهیم؟" چند نمونه از سوالاتی است که رهبران، خدمه و تیم‌ها و افراد می‌توانند به صورت خلاصه از آنها بپرسند تا از بهبود فعالیت‌های آینده و کاهش خطرات اطمینان حاصل کنند.</w:t>
      </w:r>
    </w:p>
    <w:p>
      <w:pPr>
        <w:spacing w:after="28" w:line="216" w:lineRule="auto"/>
        <w:ind w:left="259"/>
        <w:jc w:val="left"/>
      </w:pPr>
      <w:r>
        <w:rPr>
          <w:rFonts w:ascii="Arial" w:hAnsi="Arial"/>
          <w:color w:val="525252"/>
          <w:sz w:val="13"/>
        </w:rPr>
        <w:t>Asking questions such as: “Was our assessment accurate?” “Were we lucky?” “How well did we use the controls and resources?” “Was the communication effective?” and “What can we do to improve the events in the future?” are a few examples of questions that leaders, crews and teams, and individuals can ask in debriefs to ensure future activities are improved and risks are reduced.</w:t>
      </w:r>
    </w:p>
    <w:p>
      <w:pPr>
        <w:spacing w:after="20" w:line="223" w:lineRule="auto"/>
        <w:jc w:val="right"/>
        <w:bidi/>
      </w:pPr>
      <w:r>
        <w:rPr>
          <w:rFonts w:ascii="Arial" w:hAnsi="Arial"/>
          <w:sz w:val="16"/>
        </w:rPr>
        <w:t>325.13  مفاهیم کنوکک-یت-وفف و تیمووت.</w:t>
      </w:r>
    </w:p>
    <w:p>
      <w:pPr>
        <w:spacing w:after="28" w:line="216" w:lineRule="auto"/>
        <w:ind w:left="259"/>
        <w:jc w:val="left"/>
      </w:pPr>
      <w:r>
        <w:rPr>
          <w:rFonts w:ascii="Arial" w:hAnsi="Arial"/>
          <w:color w:val="525252"/>
          <w:sz w:val="13"/>
        </w:rPr>
        <w:t>Knock-it-off and Timeout Concepts.</w:t>
      </w:r>
    </w:p>
    <w:p>
      <w:pPr>
        <w:spacing w:after="20" w:line="223" w:lineRule="auto"/>
        <w:jc w:val="right"/>
        <w:bidi/>
      </w:pPr>
      <w:r>
        <w:rPr>
          <w:rFonts w:ascii="Arial" w:hAnsi="Arial"/>
          <w:sz w:val="16"/>
        </w:rPr>
        <w:t>325.14  جزء یکپارچه مدیریت ریسک در زمان واقعی، مفاهیم "کنوکک-یت-وفف" و "تیمووت" در طول یک عملیات یا فعالیت در حال انجام است.</w:t>
      </w:r>
    </w:p>
    <w:p>
      <w:pPr>
        <w:spacing w:after="28" w:line="216" w:lineRule="auto"/>
        <w:ind w:left="259"/>
        <w:jc w:val="left"/>
      </w:pPr>
      <w:r>
        <w:rPr>
          <w:rFonts w:ascii="Arial" w:hAnsi="Arial"/>
          <w:color w:val="525252"/>
          <w:sz w:val="13"/>
        </w:rPr>
        <w:t>Integral to Real-Time Risk Management are the concepts of "Knock-it-off" and "Timeout" during an ongoing operation or activity.</w:t>
      </w:r>
    </w:p>
    <w:p>
      <w:pPr>
        <w:spacing w:after="20" w:line="223" w:lineRule="auto"/>
        <w:jc w:val="right"/>
        <w:bidi/>
      </w:pPr>
      <w:r>
        <w:rPr>
          <w:rFonts w:ascii="Arial" w:hAnsi="Arial"/>
          <w:sz w:val="16"/>
        </w:rPr>
        <w:t>325.15  این مفاهیم برای حصول اطمینان از اینکه همه پرسنل در هر موقعیتی صدایی برای شناسایی نگرانی‌ها یا اطلاع دیگران از وضعیت خطرناک در حال توسعه دارند، ضروری هستند.</w:t>
      </w:r>
    </w:p>
    <w:p>
      <w:pPr>
        <w:spacing w:after="28" w:line="216" w:lineRule="auto"/>
        <w:ind w:left="259"/>
        <w:jc w:val="left"/>
      </w:pPr>
      <w:r>
        <w:rPr>
          <w:rFonts w:ascii="Arial" w:hAnsi="Arial"/>
          <w:color w:val="525252"/>
          <w:sz w:val="13"/>
        </w:rPr>
        <w:t>These concepts are essential to ensuring that all personnel have a voice in any situation to identify concerns or to inform others of a developing hazardous situation.</w:t>
      </w:r>
    </w:p>
    <w:p>
      <w:pPr>
        <w:spacing w:after="20" w:line="223" w:lineRule="auto"/>
        <w:jc w:val="right"/>
        <w:bidi/>
      </w:pPr>
      <w:r>
        <w:rPr>
          <w:rFonts w:ascii="Arial" w:hAnsi="Arial"/>
          <w:sz w:val="16"/>
        </w:rPr>
        <w:t>325.16  شفاهی هر یک از این اصطلاحات، پیامی را به دست اندرکاران یک اقدام خاص می‌فرستد که توقف کنند، لحظه‌ای برای تنظیم مجدد و ارزیابی مجدد وضعیت فعلی وقت بگذارند.</w:t>
      </w:r>
    </w:p>
    <w:p>
      <w:pPr>
        <w:spacing w:after="28" w:line="216" w:lineRule="auto"/>
        <w:ind w:left="259"/>
        <w:jc w:val="left"/>
      </w:pPr>
      <w:r>
        <w:rPr>
          <w:rFonts w:ascii="Arial" w:hAnsi="Arial"/>
          <w:color w:val="525252"/>
          <w:sz w:val="13"/>
        </w:rPr>
        <w:t>Verbalizing either of these terms sends a message to those involved in a specific action to stop, take a moment to reset, and reevaluate the current situation.</w:t>
      </w:r>
    </w:p>
    <w:p>
      <w:pPr>
        <w:spacing w:after="20" w:line="223" w:lineRule="auto"/>
        <w:jc w:val="right"/>
        <w:bidi/>
      </w:pPr>
      <w:r>
        <w:rPr>
          <w:rFonts w:ascii="Arial" w:hAnsi="Arial"/>
          <w:sz w:val="16"/>
        </w:rPr>
        <w:t>325.17  شرایط باید به‌عنوان بخشی ضروری از همه عملیات‌ها و فعالیت‌های حین و خارج از وظیفه ادغام شوند.</w:t>
      </w:r>
    </w:p>
    <w:p>
      <w:pPr>
        <w:spacing w:after="28" w:line="216" w:lineRule="auto"/>
        <w:ind w:left="259"/>
        <w:jc w:val="left"/>
      </w:pPr>
      <w:r>
        <w:rPr>
          <w:rFonts w:ascii="Arial" w:hAnsi="Arial"/>
          <w:color w:val="525252"/>
          <w:sz w:val="13"/>
        </w:rPr>
        <w:t>The terms should be integrated as an essential part of all on- and off-duty operations and activities.</w:t>
      </w:r>
    </w:p>
    <w:p>
      <w:pPr>
        <w:spacing w:after="20" w:line="223" w:lineRule="auto"/>
        <w:jc w:val="right"/>
        <w:bidi/>
      </w:pPr>
      <w:r>
        <w:rPr>
          <w:rFonts w:ascii="Arial" w:hAnsi="Arial"/>
          <w:sz w:val="16"/>
        </w:rPr>
        <w:t>325.18  جنبه‌های کلیدی این دو عبارت عبارتند از: همه هوانوردان و نگهبانان (صرف نظر از رتبه یا مقام) این اختیار را دارند که از این اصطلاحات بدون ترس از عواقب استفاده کنند.</w:t>
      </w:r>
    </w:p>
    <w:p>
      <w:pPr>
        <w:spacing w:after="28" w:line="216" w:lineRule="auto"/>
        <w:ind w:left="259"/>
        <w:jc w:val="left"/>
      </w:pPr>
      <w:r>
        <w:rPr>
          <w:rFonts w:ascii="Arial" w:hAnsi="Arial"/>
          <w:color w:val="525252"/>
          <w:sz w:val="13"/>
        </w:rPr>
        <w:t>Key aspects of these two terms include: All Airmen and Guardians (regardless of rank or position) are empowered to use these terms without any fear of repercussions.</w:t>
      </w:r>
    </w:p>
    <w:p>
      <w:pPr>
        <w:spacing w:after="20" w:line="223" w:lineRule="auto"/>
        <w:jc w:val="right"/>
        <w:bidi/>
      </w:pPr>
      <w:r>
        <w:rPr>
          <w:rFonts w:ascii="Arial" w:hAnsi="Arial"/>
          <w:sz w:val="16"/>
        </w:rPr>
        <w:t>325.19  هنگامی که از هر یک از اصطلاحات استفاده می‌شود، تمام اقدامات فعلی فورا متوقف می‌شوند و وضعیت به یک موقعیت امن تثبیت می‌شود تا ارزیابی شود که نگرانی خاص چیست. این غیرقابل مذاکره است و نمی‌تواند توسط مقام فرماندهی نادیده گرفته شود.</w:t>
      </w:r>
    </w:p>
    <w:p>
      <w:pPr>
        <w:spacing w:after="28" w:line="216" w:lineRule="auto"/>
        <w:ind w:left="259"/>
        <w:jc w:val="left"/>
      </w:pPr>
      <w:r>
        <w:rPr>
          <w:rFonts w:ascii="Arial" w:hAnsi="Arial"/>
          <w:color w:val="525252"/>
          <w:sz w:val="13"/>
        </w:rPr>
        <w:t>When either term is used, all current actions are immediately halted, and the situation is stabilized to a safe position in order to evaluate what the specific concern is; this is nonnegotiable and cannot be overridden by command authority.</w:t>
      </w:r>
    </w:p>
    <w:p>
      <w:pPr>
        <w:spacing w:after="20" w:line="223" w:lineRule="auto"/>
        <w:jc w:val="right"/>
        <w:bidi/>
      </w:pPr>
      <w:r>
        <w:rPr>
          <w:rFonts w:ascii="Arial" w:hAnsi="Arial"/>
          <w:sz w:val="16"/>
        </w:rPr>
        <w:t>325.20  پس از تماس کنوکک-یت-وفف یا تیمووت، تعیین واضحی انجام می‌شود که آیا اقدام فعلی ممکن است به‌طور ایمن ادامه یابد، نیاز به تغییر دارد یا باید بر اساس نگرانی(ها) یا خطر(های) درک شده خاتمه یابد.</w:t>
      </w:r>
    </w:p>
    <w:p>
      <w:pPr>
        <w:spacing w:after="28" w:line="216" w:lineRule="auto"/>
        <w:ind w:left="259"/>
        <w:jc w:val="left"/>
      </w:pPr>
      <w:r>
        <w:rPr>
          <w:rFonts w:ascii="Arial" w:hAnsi="Arial"/>
          <w:color w:val="525252"/>
          <w:sz w:val="13"/>
        </w:rPr>
        <w:t>After the Knock-it-off or Timeout call, a clear determination is made whether the current action may be continued safely, requires change, or must be terminated based upon the perceived concern(s) or hazard(s).</w:t>
      </w:r>
    </w:p>
    <w:p>
      <w:pPr>
        <w:spacing w:after="20" w:line="223" w:lineRule="auto"/>
        <w:jc w:val="right"/>
        <w:bidi/>
      </w:pPr>
      <w:r>
        <w:rPr>
          <w:rFonts w:ascii="Arial" w:hAnsi="Arial"/>
          <w:sz w:val="16"/>
        </w:rPr>
        <w:t>325.21  هشدارهای ارائه شده با استفاده از این اصطلاحات، پس از رفع نگرانی‌های ایمنی و خطر، از ادامه اقدامات جلوگیری نمی‌کند، اما راهی را برای همه پرسنل فراهم می‌کند تا از طریق مداخله فوری در هر عملیات یا فعالیت در حال تحول، خطر را به‌طور مؤثر کاهش دهند.</w:t>
      </w:r>
    </w:p>
    <w:p>
      <w:pPr>
        <w:spacing w:after="28" w:line="216" w:lineRule="auto"/>
        <w:ind w:left="259"/>
        <w:jc w:val="left"/>
      </w:pPr>
      <w:r>
        <w:rPr>
          <w:rFonts w:ascii="Arial" w:hAnsi="Arial"/>
          <w:color w:val="525252"/>
          <w:sz w:val="13"/>
        </w:rPr>
        <w:t>The alerts provided by the use of those terms do not prevent actions from continuing, once safety and risk concerns are addressed, but provide all personnel with an avenue to effectively mitigate risk through immediate intervention in any evolving operation or activity.</w:t>
      </w:r>
    </w:p>
    <w:p>
      <w:r>
        <w:br w:type="page"/>
      </w:r>
    </w:p>
    <w:p>
      <w:pPr>
        <w:spacing w:after="60"/>
        <w:jc w:val="right"/>
        <w:bidi/>
      </w:pPr>
      <w:r>
        <w:rPr>
          <w:rFonts w:ascii="Arial" w:hAnsi="Arial"/>
          <w:b/>
          <w:color w:val="1F4D78"/>
          <w:sz w:val="19"/>
        </w:rPr>
        <w:t>هفتهٔ 326  |  صفحهٔ منبع: 342</w:t>
      </w:r>
    </w:p>
    <w:p>
      <w:pPr>
        <w:spacing w:before="60" w:after="28"/>
        <w:jc w:val="right"/>
        <w:bidi/>
      </w:pPr>
      <w:r>
        <w:rPr>
          <w:b/>
          <w:color w:val="1F4D78"/>
          <w:sz w:val="18"/>
        </w:rPr>
        <w:t>فصل 18</w:t>
      </w:r>
    </w:p>
    <w:p>
      <w:pPr>
        <w:spacing w:after="20"/>
        <w:ind w:left="259"/>
        <w:jc w:val="left"/>
      </w:pPr>
      <w:r>
        <w:rPr>
          <w:color w:val="555555"/>
          <w:sz w:val="12"/>
        </w:rPr>
        <w:t>Chapter 18</w:t>
      </w:r>
    </w:p>
    <w:p>
      <w:pPr>
        <w:spacing w:before="60" w:after="28"/>
        <w:jc w:val="right"/>
        <w:bidi/>
      </w:pPr>
      <w:r>
        <w:rPr>
          <w:b/>
          <w:color w:val="1F4D78"/>
          <w:sz w:val="18"/>
        </w:rPr>
        <w:t>امنیت</w:t>
      </w:r>
    </w:p>
    <w:p>
      <w:pPr>
        <w:spacing w:after="20"/>
        <w:ind w:left="259"/>
        <w:jc w:val="left"/>
      </w:pPr>
      <w:r>
        <w:rPr>
          <w:color w:val="555555"/>
          <w:sz w:val="12"/>
        </w:rPr>
        <w:t>SECURITY</w:t>
      </w:r>
    </w:p>
    <w:p>
      <w:pPr>
        <w:spacing w:before="60" w:after="28"/>
        <w:jc w:val="right"/>
        <w:bidi/>
      </w:pPr>
      <w:r>
        <w:rPr>
          <w:b/>
          <w:color w:val="1F4D78"/>
          <w:sz w:val="18"/>
        </w:rPr>
        <w:t>بخش 18A - دفاع یکپارچه</w:t>
      </w:r>
    </w:p>
    <w:p>
      <w:pPr>
        <w:spacing w:after="20"/>
        <w:ind w:left="259"/>
        <w:jc w:val="left"/>
      </w:pPr>
      <w:r>
        <w:rPr>
          <w:color w:val="555555"/>
          <w:sz w:val="12"/>
        </w:rPr>
        <w:t>Section 18A—Integrated Defense</w:t>
      </w:r>
    </w:p>
    <w:p>
      <w:pPr>
        <w:spacing w:before="60" w:after="28"/>
        <w:jc w:val="right"/>
        <w:bidi/>
      </w:pPr>
      <w:r>
        <w:rPr>
          <w:b/>
          <w:color w:val="1F4D78"/>
          <w:sz w:val="18"/>
        </w:rPr>
        <w:t>18.1. مزیت را حفظ کنید</w:t>
      </w:r>
    </w:p>
    <w:p>
      <w:pPr>
        <w:spacing w:after="20"/>
        <w:ind w:left="259"/>
        <w:jc w:val="left"/>
      </w:pPr>
      <w:r>
        <w:rPr>
          <w:color w:val="555555"/>
          <w:sz w:val="12"/>
        </w:rPr>
        <w:t>18.1. Maintain the Advantage</w:t>
      </w:r>
    </w:p>
    <w:p>
      <w:pPr>
        <w:spacing w:after="20" w:line="223" w:lineRule="auto"/>
        <w:jc w:val="right"/>
        <w:bidi/>
      </w:pPr>
      <w:r>
        <w:rPr>
          <w:rFonts w:ascii="Arial" w:hAnsi="Arial"/>
          <w:sz w:val="16"/>
        </w:rPr>
        <w:t>326.05  هدف از امنیت این است که هرگز به دشمن اجازه ندهد که مزیتی غیرمنتظره به دست آورد.</w:t>
      </w:r>
    </w:p>
    <w:p>
      <w:pPr>
        <w:spacing w:after="28" w:line="216" w:lineRule="auto"/>
        <w:ind w:left="259"/>
        <w:jc w:val="left"/>
      </w:pPr>
      <w:r>
        <w:rPr>
          <w:rFonts w:ascii="Arial" w:hAnsi="Arial"/>
          <w:color w:val="525252"/>
          <w:sz w:val="13"/>
        </w:rPr>
        <w:t>The purpose of security is to never permit the enemy to acquire an unexpected advantage.</w:t>
      </w:r>
    </w:p>
    <w:p>
      <w:pPr>
        <w:spacing w:after="20" w:line="223" w:lineRule="auto"/>
        <w:jc w:val="right"/>
        <w:bidi/>
      </w:pPr>
      <w:r>
        <w:rPr>
          <w:rFonts w:ascii="Arial" w:hAnsi="Arial"/>
          <w:sz w:val="16"/>
        </w:rPr>
        <w:t>326.06  پیامدهای مرگبار حمله دشمن، امنیت نیروهای دوست را به یک نگرانی اساسی تبدیل می‌کند.</w:t>
      </w:r>
    </w:p>
    <w:p>
      <w:pPr>
        <w:spacing w:after="28" w:line="216" w:lineRule="auto"/>
        <w:ind w:left="259"/>
        <w:jc w:val="left"/>
      </w:pPr>
      <w:r>
        <w:rPr>
          <w:rFonts w:ascii="Arial" w:hAnsi="Arial"/>
          <w:color w:val="525252"/>
          <w:sz w:val="13"/>
        </w:rPr>
        <w:t>The lethal consequences of enemy attack make the security of friendly forces a paramount concern.</w:t>
      </w:r>
    </w:p>
    <w:p>
      <w:pPr>
        <w:spacing w:after="20" w:line="223" w:lineRule="auto"/>
        <w:jc w:val="right"/>
        <w:bidi/>
      </w:pPr>
      <w:r>
        <w:rPr>
          <w:rFonts w:ascii="Arial" w:hAnsi="Arial"/>
          <w:sz w:val="16"/>
        </w:rPr>
        <w:t>326.07  امنیت برای همه اعضای USAF در همه زمان‌ها اعمال می‌شود، مانند تعدد امنیت با توجه به مأموریت USAF و حفاظت از همه منابع.</w:t>
      </w:r>
    </w:p>
    <w:p>
      <w:pPr>
        <w:spacing w:after="28" w:line="216" w:lineRule="auto"/>
        <w:ind w:left="259"/>
        <w:jc w:val="left"/>
      </w:pPr>
      <w:r>
        <w:rPr>
          <w:rFonts w:ascii="Arial" w:hAnsi="Arial"/>
          <w:color w:val="525252"/>
          <w:sz w:val="13"/>
        </w:rPr>
        <w:t>Security applies to all members of the USAF at all times, such is the multiplicity of security with regard to the USAF mission and the protection of all resources.</w:t>
      </w:r>
    </w:p>
    <w:p>
      <w:pPr>
        <w:spacing w:after="20" w:line="223" w:lineRule="auto"/>
        <w:jc w:val="right"/>
        <w:bidi/>
      </w:pPr>
      <w:r>
        <w:rPr>
          <w:rFonts w:ascii="Arial" w:hAnsi="Arial"/>
          <w:sz w:val="16"/>
        </w:rPr>
        <w:t>326.08  دفاع یکپارچه برای محافظت از پرسنل و منابع به تنهایی ناست. برنامه ریزان با هماهنگی با سایر برنامه‌های وزارت دفاع و وزارت دفاع USAF یک برنامه امنیتی مؤثر ایجاد می‌کنند.</w:t>
      </w:r>
    </w:p>
    <w:p>
      <w:pPr>
        <w:spacing w:after="28" w:line="216" w:lineRule="auto"/>
        <w:ind w:left="259"/>
        <w:jc w:val="left"/>
      </w:pPr>
      <w:r>
        <w:rPr>
          <w:rFonts w:ascii="Arial" w:hAnsi="Arial"/>
          <w:color w:val="525252"/>
          <w:sz w:val="13"/>
        </w:rPr>
        <w:t>Integrated defense does not stand alone to protect personnel and resources; planners create an effective security program by coordinating with other Department of Defense and Department of the USAF programs.</w:t>
      </w:r>
    </w:p>
    <w:p>
      <w:pPr>
        <w:spacing w:after="20" w:line="223" w:lineRule="auto"/>
        <w:jc w:val="right"/>
        <w:bidi/>
      </w:pPr>
      <w:r>
        <w:rPr>
          <w:rFonts w:ascii="Arial" w:hAnsi="Arial"/>
          <w:sz w:val="16"/>
        </w:rPr>
        <w:t>326.09  علاوه بر این، حفاظت و دفاع از پایگاه‌های هوایی مستلزم تلاش هماهنگ مدیریت اضطراری، ضد تروریسم و ​​سایر نیروهای عملیاتی پشتیبانی از مأموریت تحت چتر تضمین مأموریت است.</w:t>
      </w:r>
    </w:p>
    <w:p>
      <w:pPr>
        <w:spacing w:after="28" w:line="216" w:lineRule="auto"/>
        <w:ind w:left="259"/>
        <w:jc w:val="left"/>
      </w:pPr>
      <w:r>
        <w:rPr>
          <w:rFonts w:ascii="Arial" w:hAnsi="Arial"/>
          <w:color w:val="525252"/>
          <w:sz w:val="13"/>
        </w:rPr>
        <w:t>Furthermore, the protection and defense of air bases requires the coordinated effort of emergency management, antiterrorism, and other mission support function forces under the mission assurance umbrella.</w:t>
      </w:r>
    </w:p>
    <w:p>
      <w:pPr>
        <w:spacing w:after="20" w:line="223" w:lineRule="auto"/>
        <w:jc w:val="right"/>
        <w:bidi/>
      </w:pPr>
      <w:r>
        <w:rPr>
          <w:rFonts w:ascii="Arial" w:hAnsi="Arial"/>
          <w:sz w:val="16"/>
        </w:rPr>
        <w:t>326.10  این برنامه‌ریزی هماهنگ، پیشرفت یکپارچه برنامه‌های تضمین مأموریت را فراهم می‌کند و تصویر عمیق دفاعی نصب را تکمیل می‌کند.</w:t>
      </w:r>
    </w:p>
    <w:p>
      <w:pPr>
        <w:spacing w:after="28" w:line="216" w:lineRule="auto"/>
        <w:ind w:left="259"/>
        <w:jc w:val="left"/>
      </w:pPr>
      <w:r>
        <w:rPr>
          <w:rFonts w:ascii="Arial" w:hAnsi="Arial"/>
          <w:color w:val="525252"/>
          <w:sz w:val="13"/>
        </w:rPr>
        <w:t>This coordinated planning provides a seamless progression of mission assurance programs and completes the installation’s defense in-depth picture.</w:t>
      </w:r>
    </w:p>
    <w:p>
      <w:pPr>
        <w:spacing w:before="60" w:after="28"/>
        <w:jc w:val="right"/>
        <w:bidi/>
      </w:pPr>
      <w:r>
        <w:rPr>
          <w:b/>
          <w:color w:val="1F4D78"/>
          <w:sz w:val="18"/>
        </w:rPr>
        <w:t>18.2. برنامه دفاع یکپارچه</w:t>
      </w:r>
    </w:p>
    <w:p>
      <w:pPr>
        <w:spacing w:after="20"/>
        <w:ind w:left="259"/>
        <w:jc w:val="left"/>
      </w:pPr>
      <w:r>
        <w:rPr>
          <w:color w:val="555555"/>
          <w:sz w:val="12"/>
        </w:rPr>
        <w:t>18.2. Integrated Defense Program</w:t>
      </w:r>
    </w:p>
    <w:p>
      <w:pPr>
        <w:spacing w:after="20" w:line="223" w:lineRule="auto"/>
        <w:jc w:val="right"/>
        <w:bidi/>
      </w:pPr>
      <w:r>
        <w:rPr>
          <w:rFonts w:ascii="Arial" w:hAnsi="Arial"/>
          <w:sz w:val="16"/>
        </w:rPr>
        <w:t>326.12  برنامه دفاع یکپارچه USAF ادغام قابلیت‌های چند رشته‌ای فعال و غیرفعال، تهاجمی و دفاعی است که برای کاهش خطرات احتمالی و شکست تهدیدهای دشمن علیه عملیات‌های USAF به کار می‌رود.</w:t>
      </w:r>
    </w:p>
    <w:p>
      <w:pPr>
        <w:spacing w:after="28" w:line="216" w:lineRule="auto"/>
        <w:ind w:left="259"/>
        <w:jc w:val="left"/>
      </w:pPr>
      <w:r>
        <w:rPr>
          <w:rFonts w:ascii="Arial" w:hAnsi="Arial"/>
          <w:color w:val="525252"/>
          <w:sz w:val="13"/>
        </w:rPr>
        <w:t>The USAF Integrated Defense Program is the integration of multidisciplinary active and passive, offensive, and defensive capabilities, employed to mitigate potential risks and defeat adversary threats to USAF operations.</w:t>
      </w:r>
    </w:p>
    <w:p>
      <w:pPr>
        <w:spacing w:after="20" w:line="223" w:lineRule="auto"/>
        <w:jc w:val="right"/>
        <w:bidi/>
      </w:pPr>
      <w:r>
        <w:rPr>
          <w:rFonts w:ascii="Arial" w:hAnsi="Arial"/>
          <w:sz w:val="16"/>
        </w:rPr>
        <w:t>326.13  هدف دفاع یکپارچه خنثی کردن تهدیدات امنیتی در مرز پایگاه و منطقه امنیتی پایگاه برای اطمینان از عملیات بدون مانع USAF است.</w:t>
      </w:r>
    </w:p>
    <w:p>
      <w:pPr>
        <w:spacing w:after="28" w:line="216" w:lineRule="auto"/>
        <w:ind w:left="259"/>
        <w:jc w:val="left"/>
      </w:pPr>
      <w:r>
        <w:rPr>
          <w:rFonts w:ascii="Arial" w:hAnsi="Arial"/>
          <w:color w:val="525252"/>
          <w:sz w:val="13"/>
        </w:rPr>
        <w:t>The goal of integrated defense is to neutralize security threats within the base boundary and the base security zone to ensure unhindered USAF operations.</w:t>
      </w:r>
    </w:p>
    <w:p>
      <w:pPr>
        <w:spacing w:after="20" w:line="223" w:lineRule="auto"/>
        <w:jc w:val="right"/>
        <w:bidi/>
      </w:pPr>
      <w:r>
        <w:rPr>
          <w:rFonts w:ascii="Arial" w:hAnsi="Arial"/>
          <w:sz w:val="16"/>
        </w:rPr>
        <w:t>326.14  عوامل تهدید شامل تروریست‌ها، خودی‌ها، جنایتکاران، اطلاعات خارجی و سرویس‌های امنیتی، اما محدود به آنها نیستند.</w:t>
      </w:r>
    </w:p>
    <w:p>
      <w:pPr>
        <w:spacing w:after="28" w:line="216" w:lineRule="auto"/>
        <w:ind w:left="259"/>
        <w:jc w:val="left"/>
      </w:pPr>
      <w:r>
        <w:rPr>
          <w:rFonts w:ascii="Arial" w:hAnsi="Arial"/>
          <w:color w:val="525252"/>
          <w:sz w:val="13"/>
        </w:rPr>
        <w:t>Threat actors include, but are not limited to terrorists, insiders, criminals, foreign intelligence, and security services.</w:t>
      </w:r>
    </w:p>
    <w:p>
      <w:pPr>
        <w:spacing w:before="60" w:after="28"/>
        <w:jc w:val="right"/>
        <w:bidi/>
      </w:pPr>
      <w:r>
        <w:rPr>
          <w:b/>
          <w:color w:val="1F4D78"/>
          <w:sz w:val="18"/>
        </w:rPr>
        <w:t>شکل 18.1.</w:t>
      </w:r>
    </w:p>
    <w:p>
      <w:pPr>
        <w:spacing w:after="20"/>
        <w:ind w:left="259"/>
        <w:jc w:val="left"/>
      </w:pPr>
      <w:r>
        <w:rPr>
          <w:color w:val="555555"/>
          <w:sz w:val="12"/>
        </w:rPr>
        <w:t>Figure 18.1.</w:t>
      </w:r>
    </w:p>
    <w:p>
      <w:pPr>
        <w:spacing w:after="20" w:line="223" w:lineRule="auto"/>
        <w:jc w:val="right"/>
        <w:bidi/>
      </w:pPr>
      <w:r>
        <w:rPr>
          <w:rFonts w:ascii="Arial" w:hAnsi="Arial"/>
          <w:sz w:val="16"/>
        </w:rPr>
        <w:t>326.16  پیکربندی مرز پایه خطرات بالقوه برای یک تاسیسات شامل حملات شیمیایی، بیولوژیکی، رادیولوژیکی و انفجاری با عملکرد بالا هسته‌ای است، اما محدود به آنها نیست. بلایای طبیعی و انسانی؛ حوادث بزرگ؛ و انتشار تصادفی یا عمدی مواد خطرناک، مواد صنعتی سمی یا مواد شیمیایی.</w:t>
      </w:r>
    </w:p>
    <w:p>
      <w:pPr>
        <w:spacing w:after="28" w:line="216" w:lineRule="auto"/>
        <w:ind w:left="259"/>
        <w:jc w:val="left"/>
      </w:pPr>
      <w:r>
        <w:rPr>
          <w:rFonts w:ascii="Arial" w:hAnsi="Arial"/>
          <w:color w:val="525252"/>
          <w:sz w:val="13"/>
        </w:rPr>
        <w:t>Base Boundary Configuration Potential hazards to an installation include, but are not limited to chemical, biological, radiological, nuclear-high yield explosive attacks; natural and man-made disasters; major accidents; and accidental or deliberate release of hazardous materials, toxic industrial materials, or chemicals.</w:t>
      </w:r>
    </w:p>
    <w:p>
      <w:pPr>
        <w:spacing w:after="20" w:line="223" w:lineRule="auto"/>
        <w:jc w:val="right"/>
        <w:bidi/>
      </w:pPr>
      <w:r>
        <w:rPr>
          <w:rFonts w:ascii="Arial" w:hAnsi="Arial"/>
          <w:sz w:val="16"/>
        </w:rPr>
        <w:t>326.17  دفاع یکپارچه یک برنامه "همه هوانوردان" است.</w:t>
      </w:r>
    </w:p>
    <w:p>
      <w:pPr>
        <w:spacing w:after="28" w:line="216" w:lineRule="auto"/>
        <w:ind w:left="259"/>
        <w:jc w:val="left"/>
      </w:pPr>
      <w:r>
        <w:rPr>
          <w:rFonts w:ascii="Arial" w:hAnsi="Arial"/>
          <w:color w:val="525252"/>
          <w:sz w:val="13"/>
        </w:rPr>
        <w:t>Integrated defense is an “All Airmen” program.</w:t>
      </w:r>
    </w:p>
    <w:p>
      <w:pPr>
        <w:spacing w:after="20" w:line="223" w:lineRule="auto"/>
        <w:jc w:val="right"/>
        <w:bidi/>
      </w:pPr>
      <w:r>
        <w:rPr>
          <w:rFonts w:ascii="Arial" w:hAnsi="Arial"/>
          <w:sz w:val="16"/>
        </w:rPr>
        <w:t>326.18  تیمی شدن نیروهای دفاعی یکپارچه، دفاعی یکپارچه و یکپارچه را ایجاد می‌کند که قوی‌تر از تلاش‌های دفاعی افراد یا واحدهای فردی است.</w:t>
      </w:r>
    </w:p>
    <w:p>
      <w:pPr>
        <w:spacing w:after="28" w:line="216" w:lineRule="auto"/>
        <w:ind w:left="259"/>
        <w:jc w:val="left"/>
      </w:pPr>
      <w:r>
        <w:rPr>
          <w:rFonts w:ascii="Arial" w:hAnsi="Arial"/>
          <w:color w:val="525252"/>
          <w:sz w:val="13"/>
        </w:rPr>
        <w:t>The teaming of integrated defense forces creates a united, seamless defense, stronger than the defensive efforts of individuals or individual units.</w:t>
      </w:r>
    </w:p>
    <w:p>
      <w:pPr>
        <w:spacing w:after="20" w:line="223" w:lineRule="auto"/>
        <w:jc w:val="right"/>
        <w:bidi/>
      </w:pPr>
      <w:r>
        <w:rPr>
          <w:rFonts w:ascii="Arial" w:hAnsi="Arial"/>
          <w:sz w:val="16"/>
        </w:rPr>
        <w:t>326.19  این تلاش تضمین می‌کند که همه هوانوردان برای دفاع از خود و ادغام در عملیات دفاعی در پادگان یا مستقر آموزش دیده‌اند.</w:t>
      </w:r>
    </w:p>
    <w:p>
      <w:pPr>
        <w:spacing w:after="28" w:line="216" w:lineRule="auto"/>
        <w:ind w:left="259"/>
        <w:jc w:val="left"/>
      </w:pPr>
      <w:r>
        <w:rPr>
          <w:rFonts w:ascii="Arial" w:hAnsi="Arial"/>
          <w:color w:val="525252"/>
          <w:sz w:val="13"/>
        </w:rPr>
        <w:t>This effort ensures all Airmen are trained to defend themselves and integrate into defense operations while in garrison or deployed.</w:t>
      </w:r>
    </w:p>
    <w:p>
      <w:pPr>
        <w:spacing w:after="20" w:line="223" w:lineRule="auto"/>
        <w:jc w:val="right"/>
        <w:bidi/>
      </w:pPr>
      <w:r>
        <w:rPr>
          <w:rFonts w:ascii="Arial" w:hAnsi="Arial"/>
          <w:sz w:val="16"/>
        </w:rPr>
        <w:t>326.20  برای اطلاعات بیشتر در مورد دفاع یکپارچه، به AFPD ۳۱-۱، دفاع یکپارچه مراجعه کنید.</w:t>
      </w:r>
    </w:p>
    <w:p>
      <w:pPr>
        <w:spacing w:after="28" w:line="216" w:lineRule="auto"/>
        <w:ind w:left="259"/>
        <w:jc w:val="left"/>
      </w:pPr>
      <w:r>
        <w:rPr>
          <w:rFonts w:ascii="Arial" w:hAnsi="Arial"/>
          <w:color w:val="525252"/>
          <w:sz w:val="13"/>
        </w:rPr>
        <w:t>For additional information on integrated defense, refer to AFPD 31-1, Integrated Defense.</w:t>
      </w:r>
    </w:p>
    <w:p>
      <w:pPr>
        <w:spacing w:after="20" w:line="223" w:lineRule="auto"/>
        <w:jc w:val="right"/>
        <w:bidi/>
      </w:pPr>
      <w:r>
        <w:rPr>
          <w:rFonts w:ascii="Arial" w:hAnsi="Arial"/>
          <w:sz w:val="16"/>
        </w:rPr>
        <w:t>326.21  محیط پایه.</w:t>
      </w:r>
    </w:p>
    <w:p>
      <w:pPr>
        <w:spacing w:after="28" w:line="216" w:lineRule="auto"/>
        <w:ind w:left="259"/>
        <w:jc w:val="left"/>
      </w:pPr>
      <w:r>
        <w:rPr>
          <w:rFonts w:ascii="Arial" w:hAnsi="Arial"/>
          <w:color w:val="525252"/>
          <w:sz w:val="13"/>
        </w:rPr>
        <w:t>Base Perimeter.</w:t>
      </w:r>
    </w:p>
    <w:p>
      <w:pPr>
        <w:spacing w:after="20" w:line="223" w:lineRule="auto"/>
        <w:jc w:val="right"/>
        <w:bidi/>
      </w:pPr>
      <w:r>
        <w:rPr>
          <w:rFonts w:ascii="Arial" w:hAnsi="Arial"/>
          <w:sz w:val="16"/>
        </w:rPr>
        <w:t>326.22  مرز فیزیکی نصب.</w:t>
      </w:r>
    </w:p>
    <w:p>
      <w:pPr>
        <w:spacing w:after="28" w:line="216" w:lineRule="auto"/>
        <w:ind w:left="259"/>
        <w:jc w:val="left"/>
      </w:pPr>
      <w:r>
        <w:rPr>
          <w:rFonts w:ascii="Arial" w:hAnsi="Arial"/>
          <w:color w:val="525252"/>
          <w:sz w:val="13"/>
        </w:rPr>
        <w:t>The physical boundary of the installation.</w:t>
      </w:r>
    </w:p>
    <w:p>
      <w:pPr>
        <w:spacing w:after="20" w:line="223" w:lineRule="auto"/>
        <w:jc w:val="right"/>
        <w:bidi/>
      </w:pPr>
      <w:r>
        <w:rPr>
          <w:rFonts w:ascii="Arial" w:hAnsi="Arial"/>
          <w:sz w:val="16"/>
        </w:rPr>
        <w:t>326.23  مرز پایه.</w:t>
      </w:r>
    </w:p>
    <w:p>
      <w:pPr>
        <w:spacing w:after="28" w:line="216" w:lineRule="auto"/>
        <w:ind w:left="259"/>
        <w:jc w:val="left"/>
      </w:pPr>
      <w:r>
        <w:rPr>
          <w:rFonts w:ascii="Arial" w:hAnsi="Arial"/>
          <w:color w:val="525252"/>
          <w:sz w:val="13"/>
        </w:rPr>
        <w:t>Base Boundary.</w:t>
      </w:r>
    </w:p>
    <w:p>
      <w:pPr>
        <w:spacing w:after="20" w:line="223" w:lineRule="auto"/>
        <w:jc w:val="right"/>
        <w:bidi/>
      </w:pPr>
      <w:r>
        <w:rPr>
          <w:rFonts w:ascii="Arial" w:hAnsi="Arial"/>
          <w:sz w:val="16"/>
        </w:rPr>
        <w:t>326.24  JP ۳-۱۰، عملیات امنیتی مشترک در تئاتر، مرز پایه را به‌عنوان خطی تعریف می‌کند که سطح یک پایگاه را برای تسهیل هماهنگی و عدم تعارض عملیات بین واحدها، تشکیلات یا مناطق مجاور مشخص می‌کند.</w:t>
      </w:r>
    </w:p>
    <w:p>
      <w:pPr>
        <w:spacing w:after="28" w:line="216" w:lineRule="auto"/>
        <w:ind w:left="259"/>
        <w:jc w:val="left"/>
      </w:pPr>
      <w:r>
        <w:rPr>
          <w:rFonts w:ascii="Arial" w:hAnsi="Arial"/>
          <w:color w:val="525252"/>
          <w:sz w:val="13"/>
        </w:rPr>
        <w:t>JP 3-10, Joint Security Operations in Theater, defines the base boundary as a line that delineates the surface area of a base for the purpose of facilitating coordination and deconfliction of operations between adjacent units, formations, or areas.</w:t>
      </w:r>
    </w:p>
    <w:p>
      <w:pPr>
        <w:spacing w:after="20" w:line="223" w:lineRule="auto"/>
        <w:jc w:val="right"/>
        <w:bidi/>
      </w:pPr>
      <w:r>
        <w:rPr>
          <w:rFonts w:ascii="Arial" w:hAnsi="Arial"/>
          <w:sz w:val="16"/>
        </w:rPr>
        <w:t>326.25  مرز پایه باید</w:t>
      </w:r>
    </w:p>
    <w:p>
      <w:pPr>
        <w:spacing w:after="28" w:line="216" w:lineRule="auto"/>
        <w:ind w:left="259"/>
        <w:jc w:val="left"/>
      </w:pPr>
      <w:r>
        <w:rPr>
          <w:rFonts w:ascii="Arial" w:hAnsi="Arial"/>
          <w:color w:val="525252"/>
          <w:sz w:val="13"/>
        </w:rPr>
        <w:t>The base boundary should</w:t>
      </w:r>
    </w:p>
    <w:p>
      <w:r>
        <w:br w:type="page"/>
      </w:r>
    </w:p>
    <w:p>
      <w:pPr>
        <w:spacing w:after="60"/>
        <w:jc w:val="right"/>
        <w:bidi/>
      </w:pPr>
      <w:r>
        <w:rPr>
          <w:rFonts w:ascii="Arial" w:hAnsi="Arial"/>
          <w:b/>
          <w:color w:val="1F4D78"/>
          <w:sz w:val="19"/>
        </w:rPr>
        <w:t>هفتهٔ 327  |  صفحهٔ منبع: 343</w:t>
      </w:r>
    </w:p>
    <w:p>
      <w:pPr>
        <w:spacing w:after="20" w:line="223" w:lineRule="auto"/>
        <w:jc w:val="right"/>
        <w:bidi/>
      </w:pPr>
      <w:r>
        <w:rPr>
          <w:rFonts w:ascii="Arial" w:hAnsi="Arial"/>
          <w:sz w:val="16"/>
        </w:rPr>
        <w:t>327.01  با در نظر گرفتن مأموریت، دشمن، زمین و آب و هوا، زمان، نیروهای در دسترس و ملاحظات غیرنظامی (METT-TC) ایجاد می‌شود، به‌طور خاص بین نیاز نیروهای دفاعی یکپارچه برای کنترل زمین‌های کلیدی و توانایی انجام مأموریت متعادل می‌شود.</w:t>
      </w:r>
    </w:p>
    <w:p>
      <w:pPr>
        <w:spacing w:after="28" w:line="216" w:lineRule="auto"/>
        <w:ind w:left="259"/>
        <w:jc w:val="left"/>
      </w:pPr>
      <w:r>
        <w:rPr>
          <w:rFonts w:ascii="Arial" w:hAnsi="Arial"/>
          <w:color w:val="525252"/>
          <w:sz w:val="13"/>
        </w:rPr>
        <w:t>be established with consideration for mission, enemy, terrain and weather, time, troops available, and civil considerations (METT-TC), specifically balancing the need of the integrated defense forces to control key terrain with the ability to accomplish the mission.</w:t>
      </w:r>
    </w:p>
    <w:p>
      <w:pPr>
        <w:spacing w:after="20" w:line="223" w:lineRule="auto"/>
        <w:jc w:val="right"/>
        <w:bidi/>
      </w:pPr>
      <w:r>
        <w:rPr>
          <w:rFonts w:ascii="Arial" w:hAnsi="Arial"/>
          <w:sz w:val="16"/>
        </w:rPr>
        <w:t>327.02  ممکن است مرزها لزوما با محیط حصارکشی شده، خطوط املاک یا مرزهای قانونی منطبق نباشند.</w:t>
      </w:r>
    </w:p>
    <w:p>
      <w:pPr>
        <w:spacing w:after="28" w:line="216" w:lineRule="auto"/>
        <w:ind w:left="259"/>
        <w:jc w:val="left"/>
      </w:pPr>
      <w:r>
        <w:rPr>
          <w:rFonts w:ascii="Arial" w:hAnsi="Arial"/>
          <w:color w:val="525252"/>
          <w:sz w:val="13"/>
        </w:rPr>
        <w:t>Boundaries may not necessarily coincide with the fenced perimeter, property lines, or legal boundaries.</w:t>
      </w:r>
    </w:p>
    <w:p>
      <w:pPr>
        <w:spacing w:after="20" w:line="223" w:lineRule="auto"/>
        <w:jc w:val="right"/>
        <w:bidi/>
      </w:pPr>
      <w:r>
        <w:rPr>
          <w:rFonts w:ascii="Arial" w:hAnsi="Arial"/>
          <w:sz w:val="16"/>
        </w:rPr>
        <w:t>327.03  منطقه امنیتی پایه.</w:t>
      </w:r>
    </w:p>
    <w:p>
      <w:pPr>
        <w:spacing w:after="28" w:line="216" w:lineRule="auto"/>
        <w:ind w:left="259"/>
        <w:jc w:val="left"/>
      </w:pPr>
      <w:r>
        <w:rPr>
          <w:rFonts w:ascii="Arial" w:hAnsi="Arial"/>
          <w:color w:val="525252"/>
          <w:sz w:val="13"/>
        </w:rPr>
        <w:t>Base Security Zone.</w:t>
      </w:r>
    </w:p>
    <w:p>
      <w:pPr>
        <w:spacing w:after="20" w:line="223" w:lineRule="auto"/>
        <w:jc w:val="right"/>
        <w:bidi/>
      </w:pPr>
      <w:r>
        <w:rPr>
          <w:rFonts w:ascii="Arial" w:hAnsi="Arial"/>
          <w:sz w:val="16"/>
        </w:rPr>
        <w:t>327.04  منطقه امنیتی پایه یک مفهوم و اصطلاح منحصر به فرد USAF است که فقط در داخل سرویس استفاده می‌شود.</w:t>
      </w:r>
    </w:p>
    <w:p>
      <w:pPr>
        <w:spacing w:after="28" w:line="216" w:lineRule="auto"/>
        <w:ind w:left="259"/>
        <w:jc w:val="left"/>
      </w:pPr>
      <w:r>
        <w:rPr>
          <w:rFonts w:ascii="Arial" w:hAnsi="Arial"/>
          <w:color w:val="525252"/>
          <w:sz w:val="13"/>
        </w:rPr>
        <w:t>The base security zone is a USAF unique concept and term to be used intra- service only.</w:t>
      </w:r>
    </w:p>
    <w:p>
      <w:pPr>
        <w:spacing w:after="20" w:line="223" w:lineRule="auto"/>
        <w:jc w:val="right"/>
        <w:bidi/>
      </w:pPr>
      <w:r>
        <w:rPr>
          <w:rFonts w:ascii="Arial" w:hAnsi="Arial"/>
          <w:sz w:val="16"/>
        </w:rPr>
        <w:t>327.05  USAF از اصطلاح برنامه‌ریزی منطقه امنیتی پایگاه برای توصیف منطقه مورد نگرانی در اطراف یک پایگاه هوایی و حمایت از ایجاد و تنظیم مرز پایگاه استفاده می‌کند.</w:t>
      </w:r>
    </w:p>
    <w:p>
      <w:pPr>
        <w:spacing w:after="28" w:line="216" w:lineRule="auto"/>
        <w:ind w:left="259"/>
        <w:jc w:val="left"/>
      </w:pPr>
      <w:r>
        <w:rPr>
          <w:rFonts w:ascii="Arial" w:hAnsi="Arial"/>
          <w:color w:val="525252"/>
          <w:sz w:val="13"/>
        </w:rPr>
        <w:t>The USAF uses the planning term base security zone to describe the area of concern around an air base and to support the establishment and adjustment of the base boundary.</w:t>
      </w:r>
    </w:p>
    <w:p>
      <w:pPr>
        <w:spacing w:after="20" w:line="223" w:lineRule="auto"/>
        <w:jc w:val="right"/>
        <w:bidi/>
      </w:pPr>
      <w:r>
        <w:rPr>
          <w:rFonts w:ascii="Arial" w:hAnsi="Arial"/>
          <w:sz w:val="16"/>
        </w:rPr>
        <w:t>327.06  منطقه امنیتی پایگاه، منطقه‌ای خارج از محیط پایگاه است که پایگاه ممکن است از آن در برابر سلاح‌های ایستاده (خمپاره، راکت و سیستم‌های دفاع هوایی قابل حمل انسان) و تهدیدات موجود در آب آسیب پذیر باشد.</w:t>
      </w:r>
    </w:p>
    <w:p>
      <w:pPr>
        <w:spacing w:after="28" w:line="216" w:lineRule="auto"/>
        <w:ind w:left="259"/>
        <w:jc w:val="left"/>
      </w:pPr>
      <w:r>
        <w:rPr>
          <w:rFonts w:ascii="Arial" w:hAnsi="Arial"/>
          <w:color w:val="525252"/>
          <w:sz w:val="13"/>
        </w:rPr>
        <w:t>The base security zone is the area outside the base perimeter from which the base may be vulnerable from standoff weapons (mortars, rockets, and man portable air defense systems) and waterborne threats.</w:t>
      </w:r>
    </w:p>
    <w:p>
      <w:pPr>
        <w:spacing w:after="20" w:line="223" w:lineRule="auto"/>
        <w:jc w:val="right"/>
        <w:bidi/>
      </w:pPr>
      <w:r>
        <w:rPr>
          <w:rFonts w:ascii="Arial" w:hAnsi="Arial"/>
          <w:sz w:val="16"/>
        </w:rPr>
        <w:t>327.07  فرمانده نصب باید شناسایی و ترتیبی دهد که منطقه امنیتی پایگاه به‌عنوان مرز پایگاه شناخته شود.</w:t>
      </w:r>
    </w:p>
    <w:p>
      <w:pPr>
        <w:spacing w:after="28" w:line="216" w:lineRule="auto"/>
        <w:ind w:left="259"/>
        <w:jc w:val="left"/>
      </w:pPr>
      <w:r>
        <w:rPr>
          <w:rFonts w:ascii="Arial" w:hAnsi="Arial"/>
          <w:color w:val="525252"/>
          <w:sz w:val="13"/>
        </w:rPr>
        <w:t>The installation commander should identify and arrange to have the base security zone recognized as the base boundary.</w:t>
      </w:r>
    </w:p>
    <w:p>
      <w:pPr>
        <w:spacing w:after="20" w:line="223" w:lineRule="auto"/>
        <w:jc w:val="right"/>
        <w:bidi/>
      </w:pPr>
      <w:r>
        <w:rPr>
          <w:rFonts w:ascii="Arial" w:hAnsi="Arial"/>
          <w:sz w:val="16"/>
        </w:rPr>
        <w:t>327.08  اگر مرز پایگاه شامل تمام زمین‌های منطقه امنیتی پایگاه نباشد، فرمانده نصب مسئول کاهش (از طریق هماهنگی با آژانس‌های محلی، ایالتی، فدرال، یا کشور میزبان یا فرمانده منطقه) و یا پذیرش خطرات حمله دشمن از زمین خارج از مرز پایگاه است.</w:t>
      </w:r>
    </w:p>
    <w:p>
      <w:pPr>
        <w:spacing w:after="28" w:line="216" w:lineRule="auto"/>
        <w:ind w:left="259"/>
        <w:jc w:val="left"/>
      </w:pPr>
      <w:r>
        <w:rPr>
          <w:rFonts w:ascii="Arial" w:hAnsi="Arial"/>
          <w:color w:val="525252"/>
          <w:sz w:val="13"/>
        </w:rPr>
        <w:t>If the base boundary does not include all of the terrain of the base security zone, the installation commander is responsible for either mitigating (through coordination with local, state, federal agencies, or the host nation or area commander) or accepting the risks of enemy attack from the terrain outside the base boundary.</w:t>
      </w:r>
    </w:p>
    <w:p>
      <w:pPr>
        <w:spacing w:before="60" w:after="28"/>
        <w:jc w:val="right"/>
        <w:bidi/>
      </w:pPr>
      <w:r>
        <w:rPr>
          <w:b/>
          <w:color w:val="1F4D78"/>
          <w:sz w:val="18"/>
        </w:rPr>
        <w:t>شکل 18.1. برای نشان دادن نمونه ای از محیط پایه، مرز پایه و پیکربندی منطقه امنیتی پایه ارائه شده است.</w:t>
      </w:r>
    </w:p>
    <w:p>
      <w:pPr>
        <w:spacing w:after="20"/>
        <w:ind w:left="259"/>
        <w:jc w:val="left"/>
      </w:pPr>
      <w:r>
        <w:rPr>
          <w:color w:val="555555"/>
          <w:sz w:val="12"/>
        </w:rPr>
        <w:t>Figure 18.1. is provided to show an example of a base perimeter, base boundary, and base security zone configuration.</w:t>
      </w:r>
    </w:p>
    <w:p>
      <w:pPr>
        <w:spacing w:before="60" w:after="28"/>
        <w:jc w:val="right"/>
        <w:bidi/>
      </w:pPr>
      <w:r>
        <w:rPr>
          <w:b/>
          <w:color w:val="1F4D78"/>
          <w:sz w:val="18"/>
        </w:rPr>
        <w:t>18.3. اثرات دفاعی یکپارچه</w:t>
      </w:r>
    </w:p>
    <w:p>
      <w:pPr>
        <w:spacing w:after="20"/>
        <w:ind w:left="259"/>
        <w:jc w:val="left"/>
      </w:pPr>
      <w:r>
        <w:rPr>
          <w:color w:val="555555"/>
          <w:sz w:val="12"/>
        </w:rPr>
        <w:t>18.3. Integrated Defense Effects</w:t>
      </w:r>
    </w:p>
    <w:p>
      <w:pPr>
        <w:spacing w:after="20" w:line="223" w:lineRule="auto"/>
        <w:jc w:val="right"/>
        <w:bidi/>
      </w:pPr>
      <w:r>
        <w:rPr>
          <w:rFonts w:ascii="Arial" w:hAnsi="Arial"/>
          <w:sz w:val="16"/>
        </w:rPr>
        <w:t>327.11  فرماندهان پدافند یکپارچه را با هدف دستیابی به ۹ اثر مطلوب بر اساس فرآیند مدیریت ریسک اجرا می‌کنند.</w:t>
      </w:r>
    </w:p>
    <w:p>
      <w:pPr>
        <w:spacing w:after="28" w:line="216" w:lineRule="auto"/>
        <w:ind w:left="259"/>
        <w:jc w:val="left"/>
      </w:pPr>
      <w:r>
        <w:rPr>
          <w:rFonts w:ascii="Arial" w:hAnsi="Arial"/>
          <w:color w:val="525252"/>
          <w:sz w:val="13"/>
        </w:rPr>
        <w:t>Commanders execute integrated defense with the objective of achieving nine desired effects based on the risk management process.</w:t>
      </w:r>
    </w:p>
    <w:p>
      <w:pPr>
        <w:spacing w:after="20" w:line="223" w:lineRule="auto"/>
        <w:jc w:val="right"/>
        <w:bidi/>
      </w:pPr>
      <w:r>
        <w:rPr>
          <w:rFonts w:ascii="Arial" w:hAnsi="Arial"/>
          <w:sz w:val="16"/>
        </w:rPr>
        <w:t>327.12  آن اثرات به‌طور خلاصه در اینجا توضیح داده شده است.</w:t>
      </w:r>
    </w:p>
    <w:p>
      <w:pPr>
        <w:spacing w:after="28" w:line="216" w:lineRule="auto"/>
        <w:ind w:left="259"/>
        <w:jc w:val="left"/>
      </w:pPr>
      <w:r>
        <w:rPr>
          <w:rFonts w:ascii="Arial" w:hAnsi="Arial"/>
          <w:color w:val="525252"/>
          <w:sz w:val="13"/>
        </w:rPr>
        <w:t>Those effects are briefly described here.</w:t>
      </w:r>
    </w:p>
    <w:p>
      <w:pPr>
        <w:spacing w:after="20" w:line="223" w:lineRule="auto"/>
        <w:jc w:val="right"/>
        <w:bidi/>
      </w:pPr>
      <w:r>
        <w:rPr>
          <w:rFonts w:ascii="Arial" w:hAnsi="Arial"/>
          <w:sz w:val="16"/>
        </w:rPr>
        <w:t>327.13  پیش بینی کنید.</w:t>
      </w:r>
    </w:p>
    <w:p>
      <w:pPr>
        <w:spacing w:after="28" w:line="216" w:lineRule="auto"/>
        <w:ind w:left="259"/>
        <w:jc w:val="left"/>
      </w:pPr>
      <w:r>
        <w:rPr>
          <w:rFonts w:ascii="Arial" w:hAnsi="Arial"/>
          <w:color w:val="525252"/>
          <w:sz w:val="13"/>
        </w:rPr>
        <w:t>Anticipate.</w:t>
      </w:r>
    </w:p>
    <w:p>
      <w:pPr>
        <w:spacing w:after="20" w:line="223" w:lineRule="auto"/>
        <w:jc w:val="right"/>
        <w:bidi/>
      </w:pPr>
      <w:r>
        <w:rPr>
          <w:rFonts w:ascii="Arial" w:hAnsi="Arial"/>
          <w:sz w:val="16"/>
        </w:rPr>
        <w:t>327.14  اهداف و اقدامات تهدید را پیش بینی کنید (آماده‌سازی اطلاعاتی محیط عملیاتی یا تحلیل روند جرم).</w:t>
      </w:r>
    </w:p>
    <w:p>
      <w:pPr>
        <w:spacing w:after="28" w:line="216" w:lineRule="auto"/>
        <w:ind w:left="259"/>
        <w:jc w:val="left"/>
      </w:pPr>
      <w:r>
        <w:rPr>
          <w:rFonts w:ascii="Arial" w:hAnsi="Arial"/>
          <w:color w:val="525252"/>
          <w:sz w:val="13"/>
        </w:rPr>
        <w:t>Anticipate threat intentions and actions (intelligence preparation of the operational environment or crime trend analysis).</w:t>
      </w:r>
    </w:p>
    <w:p>
      <w:pPr>
        <w:spacing w:after="20" w:line="223" w:lineRule="auto"/>
        <w:jc w:val="right"/>
        <w:bidi/>
      </w:pPr>
      <w:r>
        <w:rPr>
          <w:rFonts w:ascii="Arial" w:hAnsi="Arial"/>
          <w:sz w:val="16"/>
        </w:rPr>
        <w:t>327.15  بازدارنده.</w:t>
      </w:r>
    </w:p>
    <w:p>
      <w:pPr>
        <w:spacing w:after="28" w:line="216" w:lineRule="auto"/>
        <w:ind w:left="259"/>
        <w:jc w:val="left"/>
      </w:pPr>
      <w:r>
        <w:rPr>
          <w:rFonts w:ascii="Arial" w:hAnsi="Arial"/>
          <w:color w:val="525252"/>
          <w:sz w:val="13"/>
        </w:rPr>
        <w:t>Deter.</w:t>
      </w:r>
    </w:p>
    <w:p>
      <w:pPr>
        <w:spacing w:after="20" w:line="223" w:lineRule="auto"/>
        <w:jc w:val="right"/>
        <w:bidi/>
      </w:pPr>
      <w:r>
        <w:rPr>
          <w:rFonts w:ascii="Arial" w:hAnsi="Arial"/>
          <w:sz w:val="16"/>
        </w:rPr>
        <w:t>327.16  از طریق پلیس اجتماعی فعال، کنترل مرزها و گردش داخلی، علامت‌گذاری منطقه کنترل‌شده و اقدامات امنیتی فیزیکی محتاطانه، از فعالیت تهدید جلوگیری کنید.</w:t>
      </w:r>
    </w:p>
    <w:p>
      <w:pPr>
        <w:spacing w:after="28" w:line="216" w:lineRule="auto"/>
        <w:ind w:left="259"/>
        <w:jc w:val="left"/>
      </w:pPr>
      <w:r>
        <w:rPr>
          <w:rFonts w:ascii="Arial" w:hAnsi="Arial"/>
          <w:color w:val="525252"/>
          <w:sz w:val="13"/>
        </w:rPr>
        <w:t>Deter threat activity through active community policing, boundary and internal circulation control, controlled area marking, and prudent physical security measures.</w:t>
      </w:r>
    </w:p>
    <w:p>
      <w:pPr>
        <w:spacing w:after="20" w:line="223" w:lineRule="auto"/>
        <w:jc w:val="right"/>
        <w:bidi/>
      </w:pPr>
      <w:r>
        <w:rPr>
          <w:rFonts w:ascii="Arial" w:hAnsi="Arial"/>
          <w:sz w:val="16"/>
        </w:rPr>
        <w:t>327.17  شناسایی.</w:t>
      </w:r>
    </w:p>
    <w:p>
      <w:pPr>
        <w:spacing w:after="28" w:line="216" w:lineRule="auto"/>
        <w:ind w:left="259"/>
        <w:jc w:val="left"/>
      </w:pPr>
      <w:r>
        <w:rPr>
          <w:rFonts w:ascii="Arial" w:hAnsi="Arial"/>
          <w:color w:val="525252"/>
          <w:sz w:val="13"/>
        </w:rPr>
        <w:t>Detect.</w:t>
      </w:r>
    </w:p>
    <w:p>
      <w:pPr>
        <w:spacing w:after="20" w:line="223" w:lineRule="auto"/>
        <w:jc w:val="right"/>
        <w:bidi/>
      </w:pPr>
      <w:r>
        <w:rPr>
          <w:rFonts w:ascii="Arial" w:hAnsi="Arial"/>
          <w:sz w:val="16"/>
        </w:rPr>
        <w:t>327.18  تهدیدها را با استفاده از روشنایی، سیستم‌های تشخیص نفوذ/سیستم‌های هشدار اولیه و تلویزیون مدار بسته و غیره شناسایی کنید.</w:t>
      </w:r>
    </w:p>
    <w:p>
      <w:pPr>
        <w:spacing w:after="28" w:line="216" w:lineRule="auto"/>
        <w:ind w:left="259"/>
        <w:jc w:val="left"/>
      </w:pPr>
      <w:r>
        <w:rPr>
          <w:rFonts w:ascii="Arial" w:hAnsi="Arial"/>
          <w:color w:val="525252"/>
          <w:sz w:val="13"/>
        </w:rPr>
        <w:t>Detect threats through the use of lighting, intrusion detection systems/early warning systems, and closed-circuit television, etc.</w:t>
      </w:r>
    </w:p>
    <w:p>
      <w:pPr>
        <w:spacing w:after="20" w:line="223" w:lineRule="auto"/>
        <w:jc w:val="right"/>
        <w:bidi/>
      </w:pPr>
      <w:r>
        <w:rPr>
          <w:rFonts w:ascii="Arial" w:hAnsi="Arial"/>
          <w:sz w:val="16"/>
        </w:rPr>
        <w:t>327.19  ارزیابی کنید.</w:t>
      </w:r>
    </w:p>
    <w:p>
      <w:pPr>
        <w:spacing w:after="28" w:line="216" w:lineRule="auto"/>
        <w:ind w:left="259"/>
        <w:jc w:val="left"/>
      </w:pPr>
      <w:r>
        <w:rPr>
          <w:rFonts w:ascii="Arial" w:hAnsi="Arial"/>
          <w:color w:val="525252"/>
          <w:sz w:val="13"/>
        </w:rPr>
        <w:t>Assess.</w:t>
      </w:r>
    </w:p>
    <w:p>
      <w:pPr>
        <w:spacing w:after="20" w:line="223" w:lineRule="auto"/>
        <w:jc w:val="right"/>
        <w:bidi/>
      </w:pPr>
      <w:r>
        <w:rPr>
          <w:rFonts w:ascii="Arial" w:hAnsi="Arial"/>
          <w:sz w:val="16"/>
        </w:rPr>
        <w:t>327.20  ارزیابی برای شناسایی دوست یا دشمن با استفاده از دوربین‌ها، نگهبانان پست شده، نیروهای پاسخ، و سیستم‌های تشخیص نفوذ و غیره.</w:t>
      </w:r>
    </w:p>
    <w:p>
      <w:pPr>
        <w:spacing w:after="28" w:line="216" w:lineRule="auto"/>
        <w:ind w:left="259"/>
        <w:jc w:val="left"/>
      </w:pPr>
      <w:r>
        <w:rPr>
          <w:rFonts w:ascii="Arial" w:hAnsi="Arial"/>
          <w:color w:val="525252"/>
          <w:sz w:val="13"/>
        </w:rPr>
        <w:t>Assess to identify friend or foe using cameras, posted sentries, response forces, and intrusion detection systems, etc.</w:t>
      </w:r>
    </w:p>
    <w:p>
      <w:pPr>
        <w:spacing w:after="20" w:line="223" w:lineRule="auto"/>
        <w:jc w:val="right"/>
        <w:bidi/>
      </w:pPr>
      <w:r>
        <w:rPr>
          <w:rFonts w:ascii="Arial" w:hAnsi="Arial"/>
          <w:sz w:val="16"/>
        </w:rPr>
        <w:t>327.21  هشدار.</w:t>
      </w:r>
    </w:p>
    <w:p>
      <w:pPr>
        <w:spacing w:after="28" w:line="216" w:lineRule="auto"/>
        <w:ind w:left="259"/>
        <w:jc w:val="left"/>
      </w:pPr>
      <w:r>
        <w:rPr>
          <w:rFonts w:ascii="Arial" w:hAnsi="Arial"/>
          <w:color w:val="525252"/>
          <w:sz w:val="13"/>
        </w:rPr>
        <w:t>Warn.</w:t>
      </w:r>
    </w:p>
    <w:p>
      <w:pPr>
        <w:spacing w:after="20" w:line="223" w:lineRule="auto"/>
        <w:jc w:val="right"/>
        <w:bidi/>
      </w:pPr>
      <w:r>
        <w:rPr>
          <w:rFonts w:ascii="Arial" w:hAnsi="Arial"/>
          <w:sz w:val="16"/>
        </w:rPr>
        <w:t>327.22  از طریق سیستم‌هایی مانند اطلاع‌رسانی جمعی، رادیو، آدرس عمومی، کانال‌های دسترسی فرمانده، سیگنال‌های صوتی، دست و بازو، و تلفن‌های همراه، و پیام‌رسان فوری/پیام کوتاه، به نیروهای دوست درباره فعالیت‌های دشمن هشدار دهید.</w:t>
      </w:r>
    </w:p>
    <w:p>
      <w:pPr>
        <w:spacing w:after="28" w:line="216" w:lineRule="auto"/>
        <w:ind w:left="259"/>
        <w:jc w:val="left"/>
      </w:pPr>
      <w:r>
        <w:rPr>
          <w:rFonts w:ascii="Arial" w:hAnsi="Arial"/>
          <w:color w:val="525252"/>
          <w:sz w:val="13"/>
        </w:rPr>
        <w:t>Warn friendly forces of adversary activity through systems, such as mass notification, radio, public address, commander’s access channels, voice, hand and arm signals, and cellular telephones, and instant messenger/short message system texting.</w:t>
      </w:r>
    </w:p>
    <w:p>
      <w:pPr>
        <w:spacing w:after="20" w:line="223" w:lineRule="auto"/>
        <w:jc w:val="right"/>
        <w:bidi/>
      </w:pPr>
      <w:r>
        <w:rPr>
          <w:rFonts w:ascii="Arial" w:hAnsi="Arial"/>
          <w:sz w:val="16"/>
        </w:rPr>
        <w:t>327.23  شکست.</w:t>
      </w:r>
    </w:p>
    <w:p>
      <w:pPr>
        <w:spacing w:after="28" w:line="216" w:lineRule="auto"/>
        <w:ind w:left="259"/>
        <w:jc w:val="left"/>
      </w:pPr>
      <w:r>
        <w:rPr>
          <w:rFonts w:ascii="Arial" w:hAnsi="Arial"/>
          <w:color w:val="525252"/>
          <w:sz w:val="13"/>
        </w:rPr>
        <w:t>Defeat.</w:t>
      </w:r>
    </w:p>
    <w:p>
      <w:pPr>
        <w:spacing w:after="20" w:line="223" w:lineRule="auto"/>
        <w:jc w:val="right"/>
        <w:bidi/>
      </w:pPr>
      <w:r>
        <w:rPr>
          <w:rFonts w:ascii="Arial" w:hAnsi="Arial"/>
          <w:sz w:val="16"/>
        </w:rPr>
        <w:t>327.24  تهدیدها را از طریق اعمال نیروی مناسب و پیشرونده، پاسخ هماهنگ نیروهای امنیتی و ادغام نیروها شکست دهید.</w:t>
      </w:r>
    </w:p>
    <w:p>
      <w:pPr>
        <w:spacing w:after="28" w:line="216" w:lineRule="auto"/>
        <w:ind w:left="259"/>
        <w:jc w:val="left"/>
      </w:pPr>
      <w:r>
        <w:rPr>
          <w:rFonts w:ascii="Arial" w:hAnsi="Arial"/>
          <w:color w:val="525252"/>
          <w:sz w:val="13"/>
        </w:rPr>
        <w:t>Defeat threats through appropriate, progressive force application, coordinated security force response, and integration of forces.</w:t>
      </w:r>
    </w:p>
    <w:p>
      <w:pPr>
        <w:spacing w:after="20" w:line="223" w:lineRule="auto"/>
        <w:jc w:val="right"/>
        <w:bidi/>
      </w:pPr>
      <w:r>
        <w:rPr>
          <w:rFonts w:ascii="Arial" w:hAnsi="Arial"/>
          <w:sz w:val="16"/>
        </w:rPr>
        <w:t>327.25  تاخیر.</w:t>
      </w:r>
    </w:p>
    <w:p>
      <w:pPr>
        <w:spacing w:after="28" w:line="216" w:lineRule="auto"/>
        <w:ind w:left="259"/>
        <w:jc w:val="left"/>
      </w:pPr>
      <w:r>
        <w:rPr>
          <w:rFonts w:ascii="Arial" w:hAnsi="Arial"/>
          <w:color w:val="525252"/>
          <w:sz w:val="13"/>
        </w:rPr>
        <w:t>Delay.</w:t>
      </w:r>
    </w:p>
    <w:p>
      <w:pPr>
        <w:spacing w:after="20" w:line="223" w:lineRule="auto"/>
        <w:jc w:val="right"/>
        <w:bidi/>
      </w:pPr>
      <w:r>
        <w:rPr>
          <w:rFonts w:ascii="Arial" w:hAnsi="Arial"/>
          <w:sz w:val="16"/>
        </w:rPr>
        <w:t>327.26  با استفاده از کاربرد لایه‌ای از موانع، موانع، فناوری، اقدامات امنیتی فیزیکی و نیروها، دشمنان را به تاخیر بیندازید.</w:t>
      </w:r>
    </w:p>
    <w:p>
      <w:pPr>
        <w:spacing w:after="28" w:line="216" w:lineRule="auto"/>
        <w:ind w:left="259"/>
        <w:jc w:val="left"/>
      </w:pPr>
      <w:r>
        <w:rPr>
          <w:rFonts w:ascii="Arial" w:hAnsi="Arial"/>
          <w:color w:val="525252"/>
          <w:sz w:val="13"/>
        </w:rPr>
        <w:t>Delay adversaries using a layered application of barriers, obstacles, technology, physical security measures, and forces.</w:t>
      </w:r>
    </w:p>
    <w:p>
      <w:pPr>
        <w:spacing w:after="20" w:line="223" w:lineRule="auto"/>
        <w:jc w:val="right"/>
        <w:bidi/>
      </w:pPr>
      <w:r>
        <w:rPr>
          <w:rFonts w:ascii="Arial" w:hAnsi="Arial"/>
          <w:sz w:val="16"/>
        </w:rPr>
        <w:t>327.27  روش دیگر برای بیان این موضوع، اعمال روش‌های دفاعی عمیق است.</w:t>
      </w:r>
    </w:p>
    <w:p>
      <w:pPr>
        <w:spacing w:after="28" w:line="216" w:lineRule="auto"/>
        <w:ind w:left="259"/>
        <w:jc w:val="left"/>
      </w:pPr>
      <w:r>
        <w:rPr>
          <w:rFonts w:ascii="Arial" w:hAnsi="Arial"/>
          <w:color w:val="525252"/>
          <w:sz w:val="13"/>
        </w:rPr>
        <w:t>Another way to say this is to apply defense-in-depth procedures.</w:t>
      </w:r>
    </w:p>
    <w:p>
      <w:pPr>
        <w:spacing w:after="20" w:line="223" w:lineRule="auto"/>
        <w:jc w:val="right"/>
        <w:bidi/>
      </w:pPr>
      <w:r>
        <w:rPr>
          <w:rFonts w:ascii="Arial" w:hAnsi="Arial"/>
          <w:sz w:val="16"/>
        </w:rPr>
        <w:t>327.28  دفاع کنید.</w:t>
      </w:r>
    </w:p>
    <w:p>
      <w:pPr>
        <w:spacing w:after="28" w:line="216" w:lineRule="auto"/>
        <w:ind w:left="259"/>
        <w:jc w:val="left"/>
      </w:pPr>
      <w:r>
        <w:rPr>
          <w:rFonts w:ascii="Arial" w:hAnsi="Arial"/>
          <w:color w:val="525252"/>
          <w:sz w:val="13"/>
        </w:rPr>
        <w:t>Defend.</w:t>
      </w:r>
    </w:p>
    <w:p>
      <w:pPr>
        <w:spacing w:after="20" w:line="223" w:lineRule="auto"/>
        <w:jc w:val="right"/>
        <w:bidi/>
      </w:pPr>
      <w:r>
        <w:rPr>
          <w:rFonts w:ascii="Arial" w:hAnsi="Arial"/>
          <w:sz w:val="16"/>
        </w:rPr>
        <w:t>327.29  از دارایی‌ها از طریق برنامه‌ریزی مبتنی بر تهدید و اثرات دفاع کنید که تمام نیروهای دوست را در یک طرح واحد و جامع با حصول اطمینان از اینکه نیروهای دوست آموزش دیده و واجد شرایط تسلیح و استفاده از زور هستند، ادغام می‌کند.</w:t>
      </w:r>
    </w:p>
    <w:p>
      <w:pPr>
        <w:spacing w:after="28" w:line="216" w:lineRule="auto"/>
        <w:ind w:left="259"/>
        <w:jc w:val="left"/>
      </w:pPr>
      <w:r>
        <w:rPr>
          <w:rFonts w:ascii="Arial" w:hAnsi="Arial"/>
          <w:color w:val="525252"/>
          <w:sz w:val="13"/>
        </w:rPr>
        <w:t>Defend assets through threat- and effects-based planning that integrates all friendly forces into a single, comprehensive plan by ensuring friendly forces are trained and qualified on arming and use of force.</w:t>
      </w:r>
    </w:p>
    <w:p>
      <w:pPr>
        <w:spacing w:after="20" w:line="223" w:lineRule="auto"/>
        <w:jc w:val="right"/>
        <w:bidi/>
      </w:pPr>
      <w:r>
        <w:rPr>
          <w:rFonts w:ascii="Arial" w:hAnsi="Arial"/>
          <w:sz w:val="16"/>
        </w:rPr>
        <w:t>327.30  همچنین، بر اساس تجزیه و تحلیل ریسک، از ایجاد موقعیت‌های جنگی در جایی که محتاطانه عمل می‌کنند، اطمینان حاصل کنید.</w:t>
      </w:r>
    </w:p>
    <w:p>
      <w:pPr>
        <w:spacing w:after="28" w:line="216" w:lineRule="auto"/>
        <w:ind w:left="259"/>
        <w:jc w:val="left"/>
      </w:pPr>
      <w:r>
        <w:rPr>
          <w:rFonts w:ascii="Arial" w:hAnsi="Arial"/>
          <w:color w:val="525252"/>
          <w:sz w:val="13"/>
        </w:rPr>
        <w:t>Also, ensure the fighting positions are established where prudent, based on risk analyses.</w:t>
      </w:r>
    </w:p>
    <w:p>
      <w:pPr>
        <w:spacing w:after="20" w:line="223" w:lineRule="auto"/>
        <w:jc w:val="right"/>
        <w:bidi/>
      </w:pPr>
      <w:r>
        <w:rPr>
          <w:rFonts w:ascii="Arial" w:hAnsi="Arial"/>
          <w:sz w:val="16"/>
        </w:rPr>
        <w:t>327.31  بازیابی.</w:t>
      </w:r>
    </w:p>
    <w:p>
      <w:pPr>
        <w:spacing w:after="28" w:line="216" w:lineRule="auto"/>
        <w:ind w:left="259"/>
        <w:jc w:val="left"/>
      </w:pPr>
      <w:r>
        <w:rPr>
          <w:rFonts w:ascii="Arial" w:hAnsi="Arial"/>
          <w:color w:val="525252"/>
          <w:sz w:val="13"/>
        </w:rPr>
        <w:t>Recover.</w:t>
      </w:r>
    </w:p>
    <w:p>
      <w:pPr>
        <w:spacing w:after="20" w:line="223" w:lineRule="auto"/>
        <w:jc w:val="right"/>
        <w:bidi/>
      </w:pPr>
      <w:r>
        <w:rPr>
          <w:rFonts w:ascii="Arial" w:hAnsi="Arial"/>
          <w:sz w:val="16"/>
        </w:rPr>
        <w:t>327.32  با اعمال فرماندهی و کنترل مؤثر و تدوین و اجرای برنامه جامع مدیریت اضطراری ۱۰-۲ از رویدادهای متخاصم خلاص شوید.</w:t>
      </w:r>
    </w:p>
    <w:p>
      <w:pPr>
        <w:spacing w:after="28" w:line="216" w:lineRule="auto"/>
        <w:ind w:left="259"/>
        <w:jc w:val="left"/>
      </w:pPr>
      <w:r>
        <w:rPr>
          <w:rFonts w:ascii="Arial" w:hAnsi="Arial"/>
          <w:color w:val="525252"/>
          <w:sz w:val="13"/>
        </w:rPr>
        <w:t>Recover from adversarial events by applying effective command and control, and developing and exercising Comprehensive Emergency Management Plan 10-2.</w:t>
      </w:r>
    </w:p>
    <w:p>
      <w:pPr>
        <w:spacing w:after="20" w:line="223" w:lineRule="auto"/>
        <w:jc w:val="right"/>
        <w:bidi/>
      </w:pPr>
      <w:r>
        <w:rPr>
          <w:rFonts w:ascii="Arial" w:hAnsi="Arial"/>
          <w:sz w:val="16"/>
        </w:rPr>
        <w:t>327.33  کاربرد اثرات مطلوب دفاعی یکپارچه.</w:t>
      </w:r>
    </w:p>
    <w:p>
      <w:pPr>
        <w:spacing w:after="28" w:line="216" w:lineRule="auto"/>
        <w:ind w:left="259"/>
        <w:jc w:val="left"/>
      </w:pPr>
      <w:r>
        <w:rPr>
          <w:rFonts w:ascii="Arial" w:hAnsi="Arial"/>
          <w:color w:val="525252"/>
          <w:sz w:val="13"/>
        </w:rPr>
        <w:t>Application of Integrated Defense Desired Effects.</w:t>
      </w:r>
    </w:p>
    <w:p>
      <w:pPr>
        <w:spacing w:after="20" w:line="223" w:lineRule="auto"/>
        <w:jc w:val="right"/>
        <w:bidi/>
      </w:pPr>
      <w:r>
        <w:rPr>
          <w:rFonts w:ascii="Arial" w:hAnsi="Arial"/>
          <w:sz w:val="16"/>
        </w:rPr>
        <w:t>327.34  اثرات مورد نظر دفاع یکپارچه به‌طور تصادفی در یک نصب اعمال نمی‌شود. آنها عمدا از طریق تاکتیک‌ها، تکنیک‌ها و رویه‌های نوآورانه و قابل اعتماد مبتنی بر فرآیند مدیریت ریسک دفاعی و تحلیل یکپارچه به دست می‌آیند.</w:t>
      </w:r>
    </w:p>
    <w:p>
      <w:pPr>
        <w:spacing w:after="28" w:line="216" w:lineRule="auto"/>
        <w:ind w:left="259"/>
        <w:jc w:val="left"/>
      </w:pPr>
      <w:r>
        <w:rPr>
          <w:rFonts w:ascii="Arial" w:hAnsi="Arial"/>
          <w:color w:val="525252"/>
          <w:sz w:val="13"/>
        </w:rPr>
        <w:t>Integrated defense desired effects are not randomly applied to an installation; they are deliberately achieved through innovative and reliable tactics, techniques, and procedures based on integrated defense risk management process and analysis.</w:t>
      </w:r>
    </w:p>
    <w:p>
      <w:pPr>
        <w:spacing w:after="20" w:line="223" w:lineRule="auto"/>
        <w:jc w:val="right"/>
        <w:bidi/>
      </w:pPr>
      <w:r>
        <w:rPr>
          <w:rFonts w:ascii="Arial" w:hAnsi="Arial"/>
          <w:sz w:val="16"/>
        </w:rPr>
        <w:t>327.35  به‌عنوان مثال، کاربرد سیستماتیک دفاع یکپارچه برای دستیابی به اثرات مطلوب</w:t>
      </w:r>
    </w:p>
    <w:p>
      <w:pPr>
        <w:spacing w:after="28" w:line="216" w:lineRule="auto"/>
        <w:ind w:left="259"/>
        <w:jc w:val="left"/>
      </w:pPr>
      <w:r>
        <w:rPr>
          <w:rFonts w:ascii="Arial" w:hAnsi="Arial"/>
          <w:color w:val="525252"/>
          <w:sz w:val="13"/>
        </w:rPr>
        <w:t>As an example, systematic application of integrated defense to achieve desired effects</w:t>
      </w:r>
    </w:p>
    <w:p>
      <w:r>
        <w:br w:type="page"/>
      </w:r>
    </w:p>
    <w:p>
      <w:pPr>
        <w:spacing w:after="60"/>
        <w:jc w:val="right"/>
        <w:bidi/>
      </w:pPr>
      <w:r>
        <w:rPr>
          <w:rFonts w:ascii="Arial" w:hAnsi="Arial"/>
          <w:b/>
          <w:color w:val="1F4D78"/>
          <w:sz w:val="19"/>
        </w:rPr>
        <w:t>هفتهٔ 328  |  صفحهٔ منبع: 344</w:t>
      </w:r>
    </w:p>
    <w:p>
      <w:pPr>
        <w:spacing w:after="20" w:line="223" w:lineRule="auto"/>
        <w:jc w:val="right"/>
        <w:bidi/>
      </w:pPr>
      <w:r>
        <w:rPr>
          <w:rFonts w:ascii="Arial" w:hAnsi="Arial"/>
          <w:sz w:val="16"/>
        </w:rPr>
        <w:t>328.01  می‌تواند شامل شرایطی باشد که ترجیح داده می‌شود از یک تهدید جلوگیری شود. اما اگر موفق نشد، اثر ایده آل بعدی شناسایی تهدید خواهد بود.</w:t>
      </w:r>
    </w:p>
    <w:p>
      <w:pPr>
        <w:spacing w:after="28" w:line="216" w:lineRule="auto"/>
        <w:ind w:left="259"/>
        <w:jc w:val="left"/>
      </w:pPr>
      <w:r>
        <w:rPr>
          <w:rFonts w:ascii="Arial" w:hAnsi="Arial"/>
          <w:color w:val="525252"/>
          <w:sz w:val="13"/>
        </w:rPr>
        <w:t>could involve a situation when it would be preferred to deter a threat; but if that does not succeed, the next ideal effect would be to detect the threat.</w:t>
      </w:r>
    </w:p>
    <w:p>
      <w:pPr>
        <w:spacing w:after="20" w:line="223" w:lineRule="auto"/>
        <w:jc w:val="right"/>
        <w:bidi/>
      </w:pPr>
      <w:r>
        <w:rPr>
          <w:rFonts w:ascii="Arial" w:hAnsi="Arial"/>
          <w:sz w:val="16"/>
        </w:rPr>
        <w:t>328.02  پس از شناسایی تهدید، ارزیابی توسط نیروها انجام می‌شود.</w:t>
      </w:r>
    </w:p>
    <w:p>
      <w:pPr>
        <w:spacing w:after="28" w:line="216" w:lineRule="auto"/>
        <w:ind w:left="259"/>
        <w:jc w:val="left"/>
      </w:pPr>
      <w:r>
        <w:rPr>
          <w:rFonts w:ascii="Arial" w:hAnsi="Arial"/>
          <w:color w:val="525252"/>
          <w:sz w:val="13"/>
        </w:rPr>
        <w:t>Once the threat is detected, assessment by forces occurs.</w:t>
      </w:r>
    </w:p>
    <w:p>
      <w:pPr>
        <w:spacing w:after="20" w:line="223" w:lineRule="auto"/>
        <w:jc w:val="right"/>
        <w:bidi/>
      </w:pPr>
      <w:r>
        <w:rPr>
          <w:rFonts w:ascii="Arial" w:hAnsi="Arial"/>
          <w:sz w:val="16"/>
        </w:rPr>
        <w:t>328.03  سپس به نیروهای دوست در مورد تهدید هشدار داده می‌شود و تلاش برای شکست یا از بین بردن تهدید انجام می‌شود.</w:t>
      </w:r>
    </w:p>
    <w:p>
      <w:pPr>
        <w:spacing w:after="28" w:line="216" w:lineRule="auto"/>
        <w:ind w:left="259"/>
        <w:jc w:val="left"/>
      </w:pPr>
      <w:r>
        <w:rPr>
          <w:rFonts w:ascii="Arial" w:hAnsi="Arial"/>
          <w:color w:val="525252"/>
          <w:sz w:val="13"/>
        </w:rPr>
        <w:t>Friendly forces are then warned of the threat and attempts are made to defeat or eliminate the threat.</w:t>
      </w:r>
    </w:p>
    <w:p>
      <w:pPr>
        <w:spacing w:after="20" w:line="223" w:lineRule="auto"/>
        <w:jc w:val="right"/>
        <w:bidi/>
      </w:pPr>
      <w:r>
        <w:rPr>
          <w:rFonts w:ascii="Arial" w:hAnsi="Arial"/>
          <w:sz w:val="16"/>
        </w:rPr>
        <w:t>328.04  اگر تهدید را نمی‌توان شکست داد، باید آن را به تعویق انداخت.</w:t>
      </w:r>
    </w:p>
    <w:p>
      <w:pPr>
        <w:spacing w:after="28" w:line="216" w:lineRule="auto"/>
        <w:ind w:left="259"/>
        <w:jc w:val="left"/>
      </w:pPr>
      <w:r>
        <w:rPr>
          <w:rFonts w:ascii="Arial" w:hAnsi="Arial"/>
          <w:color w:val="525252"/>
          <w:sz w:val="13"/>
        </w:rPr>
        <w:t>If the threat cannot be defeated, it must be delayed.</w:t>
      </w:r>
    </w:p>
    <w:p>
      <w:pPr>
        <w:spacing w:after="20" w:line="223" w:lineRule="auto"/>
        <w:jc w:val="right"/>
        <w:bidi/>
      </w:pPr>
      <w:r>
        <w:rPr>
          <w:rFonts w:ascii="Arial" w:hAnsi="Arial"/>
          <w:sz w:val="16"/>
        </w:rPr>
        <w:t>328.05  اگر تاخیر امکان پذیر نباشد، باید اقدامات دفاعی برای کاهش اثرات تهدید انجام شود.</w:t>
      </w:r>
    </w:p>
    <w:p>
      <w:pPr>
        <w:spacing w:after="28" w:line="216" w:lineRule="auto"/>
        <w:ind w:left="259"/>
        <w:jc w:val="left"/>
      </w:pPr>
      <w:r>
        <w:rPr>
          <w:rFonts w:ascii="Arial" w:hAnsi="Arial"/>
          <w:color w:val="525252"/>
          <w:sz w:val="13"/>
        </w:rPr>
        <w:t>If delay is not possible, defensive measures must be taken to mitigate the effects of the threat.</w:t>
      </w:r>
    </w:p>
    <w:p>
      <w:pPr>
        <w:spacing w:after="20" w:line="223" w:lineRule="auto"/>
        <w:jc w:val="right"/>
        <w:bidi/>
      </w:pPr>
      <w:r>
        <w:rPr>
          <w:rFonts w:ascii="Arial" w:hAnsi="Arial"/>
          <w:sz w:val="16"/>
        </w:rPr>
        <w:t>328.06  سپس اقدامات بازیابی برای تجمیع و سازماندهی مجدد نیروهای دوست و بازگرداندن عملیات اجرا می‌شود.</w:t>
      </w:r>
    </w:p>
    <w:p>
      <w:pPr>
        <w:spacing w:after="28" w:line="216" w:lineRule="auto"/>
        <w:ind w:left="259"/>
        <w:jc w:val="left"/>
      </w:pPr>
      <w:r>
        <w:rPr>
          <w:rFonts w:ascii="Arial" w:hAnsi="Arial"/>
          <w:color w:val="525252"/>
          <w:sz w:val="13"/>
        </w:rPr>
        <w:t>Recovery actions are then implemented to consolidate and reorganize friendly forces and restore operations.</w:t>
      </w:r>
    </w:p>
    <w:p>
      <w:pPr>
        <w:spacing w:before="60" w:after="28"/>
        <w:jc w:val="right"/>
        <w:bidi/>
      </w:pPr>
      <w:r>
        <w:rPr>
          <w:b/>
          <w:color w:val="1F4D78"/>
          <w:sz w:val="18"/>
        </w:rPr>
        <w:t>18.4. مرکز عملیات دفاعی پایگاه</w:t>
      </w:r>
    </w:p>
    <w:p>
      <w:pPr>
        <w:spacing w:after="20"/>
        <w:ind w:left="259"/>
        <w:jc w:val="left"/>
      </w:pPr>
      <w:r>
        <w:rPr>
          <w:color w:val="555555"/>
          <w:sz w:val="12"/>
        </w:rPr>
        <w:t>18.4. Base Defense Operations Center</w:t>
      </w:r>
    </w:p>
    <w:p>
      <w:pPr>
        <w:spacing w:after="20" w:line="223" w:lineRule="auto"/>
        <w:jc w:val="right"/>
        <w:bidi/>
      </w:pPr>
      <w:r>
        <w:rPr>
          <w:rFonts w:ascii="Arial" w:hAnsi="Arial"/>
          <w:sz w:val="16"/>
        </w:rPr>
        <w:t>328.08  مرکز عملیات پدافندی پایگاه، مرکز فرماندهی و کنترل عملیات پدافند یکپارچه در حین عملیات روتین و اضطراری است.</w:t>
      </w:r>
    </w:p>
    <w:p>
      <w:pPr>
        <w:spacing w:after="28" w:line="216" w:lineRule="auto"/>
        <w:ind w:left="259"/>
        <w:jc w:val="left"/>
      </w:pPr>
      <w:r>
        <w:rPr>
          <w:rFonts w:ascii="Arial" w:hAnsi="Arial"/>
          <w:color w:val="525252"/>
          <w:sz w:val="13"/>
        </w:rPr>
        <w:t>The base defense operations center is the command and control center for integrated defense operations during routine and emergency operations.</w:t>
      </w:r>
    </w:p>
    <w:p>
      <w:pPr>
        <w:spacing w:after="20" w:line="223" w:lineRule="auto"/>
        <w:jc w:val="right"/>
        <w:bidi/>
      </w:pPr>
      <w:r>
        <w:rPr>
          <w:rFonts w:ascii="Arial" w:hAnsi="Arial"/>
          <w:sz w:val="16"/>
        </w:rPr>
        <w:t>328.09  فرمانده نیروی دفاعی یک مرکز عملیات پدافندی پایگاه را برای هماهنگی و هدایت، از طریق زنجیره فرماندهی عملیاتی، کنترل تاکتیکی نیروهای دفاعی یکپارچه و قابلیت‌های پشتیبانی ایجاد می‌کند.</w:t>
      </w:r>
    </w:p>
    <w:p>
      <w:pPr>
        <w:spacing w:after="28" w:line="216" w:lineRule="auto"/>
        <w:ind w:left="259"/>
        <w:jc w:val="left"/>
      </w:pPr>
      <w:r>
        <w:rPr>
          <w:rFonts w:ascii="Arial" w:hAnsi="Arial"/>
          <w:color w:val="525252"/>
          <w:sz w:val="13"/>
        </w:rPr>
        <w:t>The defense force commander will establish a base defense operations center to coordinate and direct, via the operational chain of command, the tactical control of integrated defense forces and supporting capabilities.</w:t>
      </w:r>
    </w:p>
    <w:p>
      <w:pPr>
        <w:spacing w:after="20" w:line="223" w:lineRule="auto"/>
        <w:jc w:val="right"/>
        <w:bidi/>
      </w:pPr>
      <w:r>
        <w:rPr>
          <w:rFonts w:ascii="Arial" w:hAnsi="Arial"/>
          <w:sz w:val="16"/>
        </w:rPr>
        <w:t>328.10  کنترل امنیتی مرکزی، میز اجرای قانون و سایر مراکز کنترل نیروهای امنیتی تحت کنترل مرکز عملیات دفاعی پایگاه در همه مکان‌ها عمل خواهند کرد، تا عملیات در ایستگاه اصلی و مستقر را شامل شود.</w:t>
      </w:r>
    </w:p>
    <w:p>
      <w:pPr>
        <w:spacing w:after="28" w:line="216" w:lineRule="auto"/>
        <w:ind w:left="259"/>
        <w:jc w:val="left"/>
      </w:pPr>
      <w:r>
        <w:rPr>
          <w:rFonts w:ascii="Arial" w:hAnsi="Arial"/>
          <w:color w:val="525252"/>
          <w:sz w:val="13"/>
        </w:rPr>
        <w:t>Central security control, the law enforcement desk, and other security forces control centers will operate under control of the base defense operations center at all locations, to include operations at home station and deployed.</w:t>
      </w:r>
    </w:p>
    <w:p>
      <w:pPr>
        <w:spacing w:before="60" w:after="28"/>
        <w:jc w:val="right"/>
        <w:bidi/>
      </w:pPr>
      <w:r>
        <w:rPr>
          <w:b/>
          <w:color w:val="1F4D78"/>
          <w:sz w:val="18"/>
        </w:rPr>
        <w:t>18.5. فرآیند یکپارچه مدیریت ریسک دفاعی</w:t>
      </w:r>
    </w:p>
    <w:p>
      <w:pPr>
        <w:spacing w:after="20"/>
        <w:ind w:left="259"/>
        <w:jc w:val="left"/>
      </w:pPr>
      <w:r>
        <w:rPr>
          <w:color w:val="555555"/>
          <w:sz w:val="12"/>
        </w:rPr>
        <w:t>18.5. Integrated Defense Risk Management Process</w:t>
      </w:r>
    </w:p>
    <w:p>
      <w:pPr>
        <w:spacing w:after="20" w:line="223" w:lineRule="auto"/>
        <w:jc w:val="right"/>
        <w:bidi/>
      </w:pPr>
      <w:r>
        <w:rPr>
          <w:rFonts w:ascii="Arial" w:hAnsi="Arial"/>
          <w:sz w:val="16"/>
        </w:rPr>
        <w:t>328.12  فرآیند مدیریت ریسک دفاعی یکپارچه به فرماندهان نصب، گروه‌های کاری دفاعی یکپارچه، فرماندهان نیروی دفاعی و برنامه‌ریزان دفاعی، توانایی تولید طرح‌های دفاعی یکپارچه مبتنی بر اثرات را با استفاده از یک مدل استاندارد برای شناسایی ریسک‌ها و توسعه استراتژی‌های مدیریت ریسک ارائه می‌دهد.</w:t>
      </w:r>
    </w:p>
    <w:p>
      <w:pPr>
        <w:spacing w:after="28" w:line="216" w:lineRule="auto"/>
        <w:ind w:left="259"/>
        <w:jc w:val="left"/>
      </w:pPr>
      <w:r>
        <w:rPr>
          <w:rFonts w:ascii="Arial" w:hAnsi="Arial"/>
          <w:color w:val="525252"/>
          <w:sz w:val="13"/>
        </w:rPr>
        <w:t>The integrated defense risk management process provides installation commanders, integrated defense working groups, defense force commanders, and defense planners, the ability to produce effects-based, integrated defense plans by using a standardized model to identify risks and develop risk management strategies.</w:t>
      </w:r>
    </w:p>
    <w:p>
      <w:pPr>
        <w:spacing w:after="20" w:line="223" w:lineRule="auto"/>
        <w:jc w:val="right"/>
        <w:bidi/>
      </w:pPr>
      <w:r>
        <w:rPr>
          <w:rFonts w:ascii="Arial" w:hAnsi="Arial"/>
          <w:sz w:val="16"/>
        </w:rPr>
        <w:t>328.13  این استراتژی‌ها از منابع محدود در برابر تهدیدات تطبیقی ​​برای محافظت از منابع و پرسنل USAF استفاده می‌کنند.</w:t>
      </w:r>
    </w:p>
    <w:p>
      <w:pPr>
        <w:spacing w:after="28" w:line="216" w:lineRule="auto"/>
        <w:ind w:left="259"/>
        <w:jc w:val="left"/>
      </w:pPr>
      <w:r>
        <w:rPr>
          <w:rFonts w:ascii="Arial" w:hAnsi="Arial"/>
          <w:color w:val="525252"/>
          <w:sz w:val="13"/>
        </w:rPr>
        <w:t>These strategies leverage finite resources against adaptive threats to protect USAF resources and personnel.</w:t>
      </w:r>
    </w:p>
    <w:p>
      <w:pPr>
        <w:spacing w:after="20" w:line="223" w:lineRule="auto"/>
        <w:jc w:val="right"/>
        <w:bidi/>
      </w:pPr>
      <w:r>
        <w:rPr>
          <w:rFonts w:ascii="Arial" w:hAnsi="Arial"/>
          <w:sz w:val="16"/>
        </w:rPr>
        <w:t>328.14  فرآیند مدیریت ریسک دفاعی یکپارچه، دارایی‌های در معرض خطر را شناسایی می‌کند و به گروه‌های کاری دفاعی یکپارچه در ایجاد ارزیابی بحرانی و محصولات ارزیابی ریسک کمک می‌کند.</w:t>
      </w:r>
    </w:p>
    <w:p>
      <w:pPr>
        <w:spacing w:after="28" w:line="216" w:lineRule="auto"/>
        <w:ind w:left="259"/>
        <w:jc w:val="left"/>
      </w:pPr>
      <w:r>
        <w:rPr>
          <w:rFonts w:ascii="Arial" w:hAnsi="Arial"/>
          <w:color w:val="525252"/>
          <w:sz w:val="13"/>
        </w:rPr>
        <w:t>The integrated defense risk management process identifies at-risk assets and aids the integrated defense working groups in generating the criticality assessment and the risk assessment products.</w:t>
      </w:r>
    </w:p>
    <w:p>
      <w:pPr>
        <w:spacing w:after="20" w:line="223" w:lineRule="auto"/>
        <w:jc w:val="right"/>
        <w:bidi/>
      </w:pPr>
      <w:r>
        <w:rPr>
          <w:rFonts w:ascii="Arial" w:hAnsi="Arial"/>
          <w:sz w:val="16"/>
        </w:rPr>
        <w:t>328.15  یک تصمیم کاهش ریسک بر اساس درک روشنی از آنچه مهم است، تهدید برآورد شده، و چگونگی آسیب یا تخریب دارایی، سپس از طریق یک فرآیند منطقی شامل ارزیابی بحرانی دارایی، تهدید و آسیب‌پذیری ایجاد می‌شود.</w:t>
      </w:r>
    </w:p>
    <w:p>
      <w:pPr>
        <w:spacing w:after="28" w:line="216" w:lineRule="auto"/>
        <w:ind w:left="259"/>
        <w:jc w:val="left"/>
      </w:pPr>
      <w:r>
        <w:rPr>
          <w:rFonts w:ascii="Arial" w:hAnsi="Arial"/>
          <w:color w:val="525252"/>
          <w:sz w:val="13"/>
        </w:rPr>
        <w:t>A risk reduction decision based on a clear understanding of what is important, the estimated threat, and how the asset might be damaged or destroyed, is then developed through a logical process involving asset criticality, threat, and vulnerability assessments.</w:t>
      </w:r>
    </w:p>
    <w:p>
      <w:pPr>
        <w:spacing w:before="60" w:after="28"/>
        <w:jc w:val="right"/>
        <w:bidi/>
      </w:pPr>
      <w:r>
        <w:rPr>
          <w:b/>
          <w:color w:val="1F4D78"/>
          <w:sz w:val="18"/>
        </w:rPr>
        <w:t>18.6. سطوح حفاظت امنیتی</w:t>
      </w:r>
    </w:p>
    <w:p>
      <w:pPr>
        <w:spacing w:after="20"/>
        <w:ind w:left="259"/>
        <w:jc w:val="left"/>
      </w:pPr>
      <w:r>
        <w:rPr>
          <w:color w:val="555555"/>
          <w:sz w:val="12"/>
        </w:rPr>
        <w:t>18.6. Security Protection Levels</w:t>
      </w:r>
    </w:p>
    <w:p>
      <w:pPr>
        <w:spacing w:after="20" w:line="223" w:lineRule="auto"/>
        <w:jc w:val="right"/>
        <w:bidi/>
      </w:pPr>
      <w:r>
        <w:rPr>
          <w:rFonts w:ascii="Arial" w:hAnsi="Arial"/>
          <w:sz w:val="16"/>
        </w:rPr>
        <w:t>328.17  سطح حفاظت ۱.</w:t>
      </w:r>
    </w:p>
    <w:p>
      <w:pPr>
        <w:spacing w:after="28" w:line="216" w:lineRule="auto"/>
        <w:ind w:left="259"/>
        <w:jc w:val="left"/>
      </w:pPr>
      <w:r>
        <w:rPr>
          <w:rFonts w:ascii="Arial" w:hAnsi="Arial"/>
          <w:color w:val="525252"/>
          <w:sz w:val="13"/>
        </w:rPr>
        <w:t>Protection Level 1.</w:t>
      </w:r>
    </w:p>
    <w:p>
      <w:pPr>
        <w:spacing w:after="20" w:line="223" w:lineRule="auto"/>
        <w:jc w:val="right"/>
        <w:bidi/>
      </w:pPr>
      <w:r>
        <w:rPr>
          <w:rFonts w:ascii="Arial" w:hAnsi="Arial"/>
          <w:sz w:val="16"/>
        </w:rPr>
        <w:t>328.18  سطح حفاظت ۱ (PL۱) به منابعی اختصاص می‌یابد که از دست دادن، سرقت، تخریب، آسیب، سوء استفاده یا سازش منجر به تنزل غیرقابل قبول مأموریت به توانایی استراتژیک ایالات متحده یا پیامدهای فاجعه‌بار برای کشور شود.</w:t>
      </w:r>
    </w:p>
    <w:p>
      <w:pPr>
        <w:spacing w:after="28" w:line="216" w:lineRule="auto"/>
        <w:ind w:left="259"/>
        <w:jc w:val="left"/>
      </w:pPr>
      <w:r>
        <w:rPr>
          <w:rFonts w:ascii="Arial" w:hAnsi="Arial"/>
          <w:color w:val="525252"/>
          <w:sz w:val="13"/>
        </w:rPr>
        <w:t>Protection level 1 (PL1) is assigned to those resources for which the loss, theft, destruction, damage, misuse, or compromise would result in unacceptable mission degradation to the strategic capability of the United States or catastrophic consequences for the nation.</w:t>
      </w:r>
    </w:p>
    <w:p>
      <w:pPr>
        <w:spacing w:after="20" w:line="223" w:lineRule="auto"/>
        <w:jc w:val="right"/>
        <w:bidi/>
      </w:pPr>
      <w:r>
        <w:rPr>
          <w:rFonts w:ascii="Arial" w:hAnsi="Arial"/>
          <w:sz w:val="16"/>
        </w:rPr>
        <w:t>328.19  امنیت PL۱ باید به بیشترین بازدارندگی ممکن در برابر اعمال خصمانه منجر شود.</w:t>
      </w:r>
    </w:p>
    <w:p>
      <w:pPr>
        <w:spacing w:after="28" w:line="216" w:lineRule="auto"/>
        <w:ind w:left="259"/>
        <w:jc w:val="left"/>
      </w:pPr>
      <w:r>
        <w:rPr>
          <w:rFonts w:ascii="Arial" w:hAnsi="Arial"/>
          <w:color w:val="525252"/>
          <w:sz w:val="13"/>
        </w:rPr>
        <w:t>PL1 security must result in the greatest possible deterrence against hostile acts.</w:t>
      </w:r>
    </w:p>
    <w:p>
      <w:pPr>
        <w:spacing w:after="20" w:line="223" w:lineRule="auto"/>
        <w:jc w:val="right"/>
        <w:bidi/>
      </w:pPr>
      <w:r>
        <w:rPr>
          <w:rFonts w:ascii="Arial" w:hAnsi="Arial"/>
          <w:sz w:val="16"/>
        </w:rPr>
        <w:t>328.20  این سطح از امنیت حداکثر ابزار را برای شناسایی و شکست یک نیروی متخاصم قبل از اینکه بتواند منابع را تصرف، آسیب یا نابود کند، فراهم می‌کند.</w:t>
      </w:r>
    </w:p>
    <w:p>
      <w:pPr>
        <w:spacing w:after="28" w:line="216" w:lineRule="auto"/>
        <w:ind w:left="259"/>
        <w:jc w:val="left"/>
      </w:pPr>
      <w:r>
        <w:rPr>
          <w:rFonts w:ascii="Arial" w:hAnsi="Arial"/>
          <w:color w:val="525252"/>
          <w:sz w:val="13"/>
        </w:rPr>
        <w:t>This level of security will provide maximum means to detect and defeat a hostile force before it is able to seize, damage, or destroy resources.</w:t>
      </w:r>
    </w:p>
    <w:p>
      <w:pPr>
        <w:spacing w:after="20" w:line="223" w:lineRule="auto"/>
        <w:jc w:val="right"/>
        <w:bidi/>
      </w:pPr>
      <w:r>
        <w:rPr>
          <w:rFonts w:ascii="Arial" w:hAnsi="Arial"/>
          <w:sz w:val="16"/>
        </w:rPr>
        <w:t>328.21  نمونه‌های PL ۱ شامل سلاح‌های هسته‌ای در انبار و متصل به سیستم تحویل یا در حال حمل و نقل است. تجهیزات فرماندهی، کنترل و ارتباطات تعیین شده؛ و هواپیماهای تعیین شده برای انتقال رئیس جمهور ایالات متحده.</w:t>
      </w:r>
    </w:p>
    <w:p>
      <w:pPr>
        <w:spacing w:after="28" w:line="216" w:lineRule="auto"/>
        <w:ind w:left="259"/>
        <w:jc w:val="left"/>
      </w:pPr>
      <w:r>
        <w:rPr>
          <w:rFonts w:ascii="Arial" w:hAnsi="Arial"/>
          <w:color w:val="525252"/>
          <w:sz w:val="13"/>
        </w:rPr>
        <w:t>PL 1 examples include nuclear weapons in storage mated to a delivery system or in transit; designated command, control, and communications facilities; and aircraft designated to transport the U.S. President.</w:t>
      </w:r>
    </w:p>
    <w:p>
      <w:pPr>
        <w:spacing w:after="20" w:line="223" w:lineRule="auto"/>
        <w:jc w:val="right"/>
        <w:bidi/>
      </w:pPr>
      <w:r>
        <w:rPr>
          <w:rFonts w:ascii="Arial" w:hAnsi="Arial"/>
          <w:sz w:val="16"/>
        </w:rPr>
        <w:t>328.22  سطح حفاظت ۲.</w:t>
      </w:r>
    </w:p>
    <w:p>
      <w:pPr>
        <w:spacing w:after="28" w:line="216" w:lineRule="auto"/>
        <w:ind w:left="259"/>
        <w:jc w:val="left"/>
      </w:pPr>
      <w:r>
        <w:rPr>
          <w:rFonts w:ascii="Arial" w:hAnsi="Arial"/>
          <w:color w:val="525252"/>
          <w:sz w:val="13"/>
        </w:rPr>
        <w:t>Protection Level 2.</w:t>
      </w:r>
    </w:p>
    <w:p>
      <w:pPr>
        <w:spacing w:after="20" w:line="223" w:lineRule="auto"/>
        <w:jc w:val="right"/>
        <w:bidi/>
      </w:pPr>
      <w:r>
        <w:rPr>
          <w:rFonts w:ascii="Arial" w:hAnsi="Arial"/>
          <w:sz w:val="16"/>
        </w:rPr>
        <w:t>328.23  سطح حفاظت ۲ (PL۲) به منابعی اختصاص می‌یابد که از دست دادن، سرقت، تخریب، آسیب، سوء استفاده یا سازش منجر به تنزل قابل توجه مأموریت در توانایی جنگی ایالات متحده می‌شود.</w:t>
      </w:r>
    </w:p>
    <w:p>
      <w:pPr>
        <w:spacing w:after="28" w:line="216" w:lineRule="auto"/>
        <w:ind w:left="259"/>
        <w:jc w:val="left"/>
      </w:pPr>
      <w:r>
        <w:rPr>
          <w:rFonts w:ascii="Arial" w:hAnsi="Arial"/>
          <w:color w:val="525252"/>
          <w:sz w:val="13"/>
        </w:rPr>
        <w:t>Protection level 2 (PL2) is assigned to resources for which the loss, theft, destruction, damage, misuse, or compromise would result in significant mission degradation to the war fighting capability of the United States.</w:t>
      </w:r>
    </w:p>
    <w:p>
      <w:pPr>
        <w:spacing w:after="20" w:line="223" w:lineRule="auto"/>
        <w:jc w:val="right"/>
        <w:bidi/>
      </w:pPr>
      <w:r>
        <w:rPr>
          <w:rFonts w:ascii="Arial" w:hAnsi="Arial"/>
          <w:sz w:val="16"/>
        </w:rPr>
        <w:t>328.24  امنیت PL۲ باید به بازدارندگی قابل توجهی در برابر اعمال خصمانه منجر شود.</w:t>
      </w:r>
    </w:p>
    <w:p>
      <w:pPr>
        <w:spacing w:after="28" w:line="216" w:lineRule="auto"/>
        <w:ind w:left="259"/>
        <w:jc w:val="left"/>
      </w:pPr>
      <w:r>
        <w:rPr>
          <w:rFonts w:ascii="Arial" w:hAnsi="Arial"/>
          <w:color w:val="525252"/>
          <w:sz w:val="13"/>
        </w:rPr>
        <w:t>PL2 security must result in significant deterrence against hostile acts.</w:t>
      </w:r>
    </w:p>
    <w:p>
      <w:pPr>
        <w:spacing w:after="20" w:line="223" w:lineRule="auto"/>
        <w:jc w:val="right"/>
        <w:bidi/>
      </w:pPr>
      <w:r>
        <w:rPr>
          <w:rFonts w:ascii="Arial" w:hAnsi="Arial"/>
          <w:sz w:val="16"/>
        </w:rPr>
        <w:t>328.25  این سطح از امنیت احتمال قابل توجهی از شناسایی و شکست یک نیروی متخاصم را قبل از اینکه بتواند منابع را تصرف، آسیب یا نابود کند، تضمین می‌کند.</w:t>
      </w:r>
    </w:p>
    <w:p>
      <w:pPr>
        <w:spacing w:after="28" w:line="216" w:lineRule="auto"/>
        <w:ind w:left="259"/>
        <w:jc w:val="left"/>
      </w:pPr>
      <w:r>
        <w:rPr>
          <w:rFonts w:ascii="Arial" w:hAnsi="Arial"/>
          <w:color w:val="525252"/>
          <w:sz w:val="13"/>
        </w:rPr>
        <w:t>This level of security will ensure a significant probability of detecting and defeating a hostile force before it is able to seize, damage, or destroy resources.</w:t>
      </w:r>
    </w:p>
    <w:p>
      <w:pPr>
        <w:spacing w:after="20" w:line="223" w:lineRule="auto"/>
        <w:jc w:val="right"/>
        <w:bidi/>
      </w:pPr>
      <w:r>
        <w:rPr>
          <w:rFonts w:ascii="Arial" w:hAnsi="Arial"/>
          <w:sz w:val="16"/>
        </w:rPr>
        <w:t>328.26  نمونه‌های PL ۲ شامل نیروهای هشدار غیرهسته‌ای است. فضای تعیین شده و سیستم‌های پرتاب؛ گران، تعداد کمی، یا سیستم‌ها یا امکانات منحصر به فرد؛ و سیستم‌های جمع‌آوری اطلاعات</w:t>
      </w:r>
    </w:p>
    <w:p>
      <w:pPr>
        <w:spacing w:after="28" w:line="216" w:lineRule="auto"/>
        <w:ind w:left="259"/>
        <w:jc w:val="left"/>
      </w:pPr>
      <w:r>
        <w:rPr>
          <w:rFonts w:ascii="Arial" w:hAnsi="Arial"/>
          <w:color w:val="525252"/>
          <w:sz w:val="13"/>
        </w:rPr>
        <w:t>PL 2 examples include nonnuclear alert forces; designated space and launch systems; expensive, few in number, or one-of-a-kind systems or facilities; and intelligence-gathering systems.</w:t>
      </w:r>
    </w:p>
    <w:p>
      <w:pPr>
        <w:spacing w:after="20" w:line="223" w:lineRule="auto"/>
        <w:jc w:val="right"/>
        <w:bidi/>
      </w:pPr>
      <w:r>
        <w:rPr>
          <w:rFonts w:ascii="Arial" w:hAnsi="Arial"/>
          <w:sz w:val="16"/>
        </w:rPr>
        <w:t>328.27  سطح حفاظت ۳.</w:t>
      </w:r>
    </w:p>
    <w:p>
      <w:pPr>
        <w:spacing w:after="28" w:line="216" w:lineRule="auto"/>
        <w:ind w:left="259"/>
        <w:jc w:val="left"/>
      </w:pPr>
      <w:r>
        <w:rPr>
          <w:rFonts w:ascii="Arial" w:hAnsi="Arial"/>
          <w:color w:val="525252"/>
          <w:sz w:val="13"/>
        </w:rPr>
        <w:t>Protection Level 3.</w:t>
      </w:r>
    </w:p>
    <w:p>
      <w:pPr>
        <w:spacing w:after="20" w:line="223" w:lineRule="auto"/>
        <w:jc w:val="right"/>
        <w:bidi/>
      </w:pPr>
      <w:r>
        <w:rPr>
          <w:rFonts w:ascii="Arial" w:hAnsi="Arial"/>
          <w:sz w:val="16"/>
        </w:rPr>
        <w:t>328.28  سطح حفاظت ۳ (PL۳) به منابعی اختصاص داده می‌شود که از دست دادن، سرقت، تخریب، آسیب، سوء استفاده یا سازش منجر به تنزل مأموریت به توانایی جنگی ایالات متحده می‌شود.</w:t>
      </w:r>
    </w:p>
    <w:p>
      <w:pPr>
        <w:spacing w:after="28" w:line="216" w:lineRule="auto"/>
        <w:ind w:left="259"/>
        <w:jc w:val="left"/>
      </w:pPr>
      <w:r>
        <w:rPr>
          <w:rFonts w:ascii="Arial" w:hAnsi="Arial"/>
          <w:color w:val="525252"/>
          <w:sz w:val="13"/>
        </w:rPr>
        <w:t>Protection level 3 (PL3) is assigned to resources for which the loss, theft, destruction, damage, misuse, or compromise would result in mission degradation to the United States warfighting capability.</w:t>
      </w:r>
    </w:p>
    <w:p>
      <w:pPr>
        <w:spacing w:after="20" w:line="223" w:lineRule="auto"/>
        <w:jc w:val="right"/>
        <w:bidi/>
      </w:pPr>
      <w:r>
        <w:rPr>
          <w:rFonts w:ascii="Arial" w:hAnsi="Arial"/>
          <w:sz w:val="16"/>
        </w:rPr>
        <w:t>328.29  امنیت PL۳ باید به درجه معقولی از بازدارندگی در برابر اعمال خصمانه منجر شود.</w:t>
      </w:r>
    </w:p>
    <w:p>
      <w:pPr>
        <w:spacing w:after="28" w:line="216" w:lineRule="auto"/>
        <w:ind w:left="259"/>
        <w:jc w:val="left"/>
      </w:pPr>
      <w:r>
        <w:rPr>
          <w:rFonts w:ascii="Arial" w:hAnsi="Arial"/>
          <w:color w:val="525252"/>
          <w:sz w:val="13"/>
        </w:rPr>
        <w:t>PL3 security must result in a reasonable degree of deterrence against hostile acts.</w:t>
      </w:r>
    </w:p>
    <w:p>
      <w:pPr>
        <w:spacing w:after="20" w:line="223" w:lineRule="auto"/>
        <w:jc w:val="right"/>
        <w:bidi/>
      </w:pPr>
      <w:r>
        <w:rPr>
          <w:rFonts w:ascii="Arial" w:hAnsi="Arial"/>
          <w:sz w:val="16"/>
        </w:rPr>
        <w:t>328.30  این سطح از امنیت توانایی جلوگیری از یک نیروی متخاصم و محدود کردن آسیب را تضمین می‌کند.</w:t>
      </w:r>
    </w:p>
    <w:p>
      <w:pPr>
        <w:spacing w:after="28" w:line="216" w:lineRule="auto"/>
        <w:ind w:left="259"/>
        <w:jc w:val="left"/>
      </w:pPr>
      <w:r>
        <w:rPr>
          <w:rFonts w:ascii="Arial" w:hAnsi="Arial"/>
          <w:color w:val="525252"/>
          <w:sz w:val="13"/>
        </w:rPr>
        <w:t>This level of security ensures the capability to impede a hostile force and limit damage</w:t>
      </w:r>
    </w:p>
    <w:p>
      <w:r>
        <w:br w:type="page"/>
      </w:r>
    </w:p>
    <w:p>
      <w:pPr>
        <w:spacing w:after="60"/>
        <w:jc w:val="right"/>
        <w:bidi/>
      </w:pPr>
      <w:r>
        <w:rPr>
          <w:rFonts w:ascii="Arial" w:hAnsi="Arial"/>
          <w:b/>
          <w:color w:val="1F4D78"/>
          <w:sz w:val="19"/>
        </w:rPr>
        <w:t>هفتهٔ 329  |  صفحهٔ منبع: 345</w:t>
      </w:r>
    </w:p>
    <w:p>
      <w:pPr>
        <w:spacing w:after="20" w:line="223" w:lineRule="auto"/>
        <w:jc w:val="right"/>
        <w:bidi/>
      </w:pPr>
      <w:r>
        <w:rPr>
          <w:rFonts w:ascii="Arial" w:hAnsi="Arial"/>
          <w:sz w:val="16"/>
        </w:rPr>
        <w:t>329.01  به منابع. نمونه‌های</w:t>
      </w:r>
    </w:p>
    <w:p>
      <w:pPr>
        <w:spacing w:after="28" w:line="216" w:lineRule="auto"/>
        <w:ind w:left="259"/>
        <w:jc w:val="left"/>
      </w:pPr>
      <w:r>
        <w:rPr>
          <w:rFonts w:ascii="Arial" w:hAnsi="Arial"/>
          <w:color w:val="525252"/>
          <w:sz w:val="13"/>
        </w:rPr>
        <w:t>to resources.</w:t>
      </w:r>
    </w:p>
    <w:p>
      <w:pPr>
        <w:spacing w:after="20" w:line="223" w:lineRule="auto"/>
        <w:jc w:val="right"/>
        <w:bidi/>
      </w:pPr>
      <w:r>
        <w:rPr>
          <w:rFonts w:ascii="Arial" w:hAnsi="Arial"/>
          <w:sz w:val="16"/>
        </w:rPr>
        <w:t>329.02  PL ۳ شامل منابع غیرهشدار هستند که می‌توانند برای وضعیت هشدار تولید شوند. تجهیزات، سیستم‌ها و تجهیزات فرماندهی، کنترل و ارتباطات انتخاب شده؛ و سیستم‌های پرتاب فضایی غیر بحرانی یا غیر منحصر به فرد.</w:t>
      </w:r>
    </w:p>
    <w:p>
      <w:pPr>
        <w:spacing w:after="28" w:line="216" w:lineRule="auto"/>
        <w:ind w:left="259"/>
        <w:jc w:val="left"/>
      </w:pPr>
      <w:r>
        <w:rPr>
          <w:rFonts w:ascii="Arial" w:hAnsi="Arial"/>
          <w:color w:val="525252"/>
          <w:sz w:val="13"/>
        </w:rPr>
        <w:t>PL 3 examples include non-alert resources that can be generated to alert status; selected command, control, and communications facilities, systems, and equipment; and non- launch-critical or non-unique space launch systems.</w:t>
      </w:r>
    </w:p>
    <w:p>
      <w:pPr>
        <w:spacing w:after="20" w:line="223" w:lineRule="auto"/>
        <w:jc w:val="right"/>
        <w:bidi/>
      </w:pPr>
      <w:r>
        <w:rPr>
          <w:rFonts w:ascii="Arial" w:hAnsi="Arial"/>
          <w:sz w:val="16"/>
        </w:rPr>
        <w:t>329.03  سطح حفاظت ۴.</w:t>
      </w:r>
    </w:p>
    <w:p>
      <w:pPr>
        <w:spacing w:after="28" w:line="216" w:lineRule="auto"/>
        <w:ind w:left="259"/>
        <w:jc w:val="left"/>
      </w:pPr>
      <w:r>
        <w:rPr>
          <w:rFonts w:ascii="Arial" w:hAnsi="Arial"/>
          <w:color w:val="525252"/>
          <w:sz w:val="13"/>
        </w:rPr>
        <w:t>Protection Level 4.</w:t>
      </w:r>
    </w:p>
    <w:p>
      <w:pPr>
        <w:spacing w:after="20" w:line="223" w:lineRule="auto"/>
        <w:jc w:val="right"/>
        <w:bidi/>
      </w:pPr>
      <w:r>
        <w:rPr>
          <w:rFonts w:ascii="Arial" w:hAnsi="Arial"/>
          <w:sz w:val="16"/>
        </w:rPr>
        <w:t>329.04  سطح حفاظت ۴ (PL۴) به منابع پشتیبانی عملیاتی یا مأموریتی اختصاص داده می‌شود که به‌طور مستقیم یا غیرمستقیم از دارایی‌های پیش‌بینی نیرو و مأموریت جنگی پشتیبانی می‌کند که از دست دادن، سرقت، تخریب، سوء استفاده یا سازش بر قابلیت مأموریت تأثیر منفی می‌گذارد.</w:t>
      </w:r>
    </w:p>
    <w:p>
      <w:pPr>
        <w:spacing w:after="28" w:line="216" w:lineRule="auto"/>
        <w:ind w:left="259"/>
        <w:jc w:val="left"/>
      </w:pPr>
      <w:r>
        <w:rPr>
          <w:rFonts w:ascii="Arial" w:hAnsi="Arial"/>
          <w:color w:val="525252"/>
          <w:sz w:val="13"/>
        </w:rPr>
        <w:t>Protection level 4 (PL4) is assigned to operational or mission support resources that directly or indirectly support power projection assets and the war fighting mission for which the loss, theft, destruction, misuse, or compromise would adversely affect mission capability.</w:t>
      </w:r>
    </w:p>
    <w:p>
      <w:pPr>
        <w:spacing w:after="20" w:line="223" w:lineRule="auto"/>
        <w:jc w:val="right"/>
        <w:bidi/>
      </w:pPr>
      <w:r>
        <w:rPr>
          <w:rFonts w:ascii="Arial" w:hAnsi="Arial"/>
          <w:sz w:val="16"/>
        </w:rPr>
        <w:t>329.05  منابع PL۴ با قرار دادن آنها در مناطق کنترل شده ایمن می‌شوند و مالکان یا کاربران مسئول امنیت هستند.</w:t>
      </w:r>
    </w:p>
    <w:p>
      <w:pPr>
        <w:spacing w:after="28" w:line="216" w:lineRule="auto"/>
        <w:ind w:left="259"/>
        <w:jc w:val="left"/>
      </w:pPr>
      <w:r>
        <w:rPr>
          <w:rFonts w:ascii="Arial" w:hAnsi="Arial"/>
          <w:color w:val="525252"/>
          <w:sz w:val="13"/>
        </w:rPr>
        <w:t>PL4 resources are secured by containing them in controlled areas with owners or users being responsible for security.</w:t>
      </w:r>
    </w:p>
    <w:p>
      <w:pPr>
        <w:spacing w:after="20" w:line="223" w:lineRule="auto"/>
        <w:jc w:val="right"/>
        <w:bidi/>
      </w:pPr>
      <w:r>
        <w:rPr>
          <w:rFonts w:ascii="Arial" w:hAnsi="Arial"/>
          <w:sz w:val="16"/>
        </w:rPr>
        <w:t>329.06  نیروهای امنیتی به تهدیدها پاسخ می‌دهند.</w:t>
      </w:r>
    </w:p>
    <w:p>
      <w:pPr>
        <w:spacing w:after="28" w:line="216" w:lineRule="auto"/>
        <w:ind w:left="259"/>
        <w:jc w:val="left"/>
      </w:pPr>
      <w:r>
        <w:rPr>
          <w:rFonts w:ascii="Arial" w:hAnsi="Arial"/>
          <w:color w:val="525252"/>
          <w:sz w:val="13"/>
        </w:rPr>
        <w:t>Security forces provide response to threats.</w:t>
      </w:r>
    </w:p>
    <w:p>
      <w:pPr>
        <w:spacing w:after="20" w:line="223" w:lineRule="auto"/>
        <w:jc w:val="right"/>
        <w:bidi/>
      </w:pPr>
      <w:r>
        <w:rPr>
          <w:rFonts w:ascii="Arial" w:hAnsi="Arial"/>
          <w:sz w:val="16"/>
        </w:rPr>
        <w:t>329.07  این سطح از امنیت باید فرصت سرقت یا آسیب رساندن به منابع را کاهش دهد. نمونه‌های</w:t>
      </w:r>
    </w:p>
    <w:p>
      <w:pPr>
        <w:spacing w:after="28" w:line="216" w:lineRule="auto"/>
        <w:ind w:left="259"/>
        <w:jc w:val="left"/>
      </w:pPr>
      <w:r>
        <w:rPr>
          <w:rFonts w:ascii="Arial" w:hAnsi="Arial"/>
          <w:color w:val="525252"/>
          <w:sz w:val="13"/>
        </w:rPr>
        <w:t>This level of security must reduce the opportunity for theft of or damage to resources.</w:t>
      </w:r>
    </w:p>
    <w:p>
      <w:pPr>
        <w:spacing w:after="20" w:line="223" w:lineRule="auto"/>
        <w:jc w:val="right"/>
        <w:bidi/>
      </w:pPr>
      <w:r>
        <w:rPr>
          <w:rFonts w:ascii="Arial" w:hAnsi="Arial"/>
          <w:sz w:val="16"/>
        </w:rPr>
        <w:t>329.08  PL ۴ شامل تأسیسات ذخیره‌سازی سلاح‌های حساس متعارف، مهمات و مواد منفجره رده ی، II، یا III است. مناطق ذخیره سوخت و اکسیژن مایع؛ و مناطق خزانه حسابداری و مالی USAF.</w:t>
      </w:r>
    </w:p>
    <w:p>
      <w:pPr>
        <w:spacing w:after="28" w:line="216" w:lineRule="auto"/>
        <w:ind w:left="259"/>
        <w:jc w:val="left"/>
      </w:pPr>
      <w:r>
        <w:rPr>
          <w:rFonts w:ascii="Arial" w:hAnsi="Arial"/>
          <w:color w:val="525252"/>
          <w:sz w:val="13"/>
        </w:rPr>
        <w:t>PL 4 examples include facilities storing Category I, II, or III sensitive conventional arms, ammunition, and explosives; fuels and liquid oxygen storage areas; and USAF accounting and finance vault areas.</w:t>
      </w:r>
    </w:p>
    <w:p>
      <w:r>
        <w:br w:type="page"/>
      </w:r>
    </w:p>
    <w:p>
      <w:pPr>
        <w:spacing w:after="60"/>
        <w:jc w:val="right"/>
        <w:bidi/>
      </w:pPr>
      <w:r>
        <w:rPr>
          <w:rFonts w:ascii="Arial" w:hAnsi="Arial"/>
          <w:b/>
          <w:color w:val="1F4D78"/>
          <w:sz w:val="19"/>
        </w:rPr>
        <w:t>هفتهٔ 330  |  صفحهٔ منبع: 346</w:t>
      </w:r>
    </w:p>
    <w:p>
      <w:pPr>
        <w:spacing w:before="60" w:after="28"/>
        <w:jc w:val="right"/>
        <w:bidi/>
      </w:pPr>
      <w:r>
        <w:rPr>
          <w:b/>
          <w:color w:val="1F4D78"/>
          <w:sz w:val="18"/>
        </w:rPr>
        <w:t>بخش 18B—امنیت عملیات</w:t>
      </w:r>
    </w:p>
    <w:p>
      <w:pPr>
        <w:spacing w:after="20"/>
        <w:ind w:left="259"/>
        <w:jc w:val="left"/>
      </w:pPr>
      <w:r>
        <w:rPr>
          <w:color w:val="555555"/>
          <w:sz w:val="12"/>
        </w:rPr>
        <w:t>Section 18B—Operations Security</w:t>
      </w:r>
    </w:p>
    <w:p>
      <w:pPr>
        <w:spacing w:before="60" w:after="28"/>
        <w:jc w:val="right"/>
        <w:bidi/>
      </w:pPr>
      <w:r>
        <w:rPr>
          <w:b/>
          <w:color w:val="1F4D78"/>
          <w:sz w:val="18"/>
        </w:rPr>
        <w:t>18.7. برنامه امنیتی عملیات USAF</w:t>
      </w:r>
    </w:p>
    <w:p>
      <w:pPr>
        <w:spacing w:after="20"/>
        <w:ind w:left="259"/>
        <w:jc w:val="left"/>
      </w:pPr>
      <w:r>
        <w:rPr>
          <w:color w:val="555555"/>
          <w:sz w:val="12"/>
        </w:rPr>
        <w:t>18.7. USAF Operations Security Program</w:t>
      </w:r>
    </w:p>
    <w:p>
      <w:pPr>
        <w:spacing w:after="20" w:line="223" w:lineRule="auto"/>
        <w:jc w:val="right"/>
        <w:bidi/>
      </w:pPr>
      <w:r>
        <w:rPr>
          <w:rFonts w:ascii="Arial" w:hAnsi="Arial"/>
          <w:sz w:val="16"/>
        </w:rPr>
        <w:t>330.03  هدف از امنیت عملیات کاهش آسیب پذیری مأموریت‌های USAF با حذف یا کاهش جمع‌آوری موفق دشمن و بهره‌برداری از اطلاعات حیاتی است.</w:t>
      </w:r>
    </w:p>
    <w:p>
      <w:pPr>
        <w:spacing w:after="28" w:line="216" w:lineRule="auto"/>
        <w:ind w:left="259"/>
        <w:jc w:val="left"/>
      </w:pPr>
      <w:r>
        <w:rPr>
          <w:rFonts w:ascii="Arial" w:hAnsi="Arial"/>
          <w:color w:val="525252"/>
          <w:sz w:val="13"/>
        </w:rPr>
        <w:t>The purpose of operations security is to reduce the vulnerability of USAF missions by eliminating or reducing successful adversary collection and exploitation of critical information.</w:t>
      </w:r>
    </w:p>
    <w:p>
      <w:pPr>
        <w:spacing w:after="20" w:line="223" w:lineRule="auto"/>
        <w:jc w:val="right"/>
        <w:bidi/>
      </w:pPr>
      <w:r>
        <w:rPr>
          <w:rFonts w:ascii="Arial" w:hAnsi="Arial"/>
          <w:sz w:val="16"/>
        </w:rPr>
        <w:t>330.04  امنیت عملیات از چرخه‌ای برای شناسایی، تجزیه و تحلیل و کنترل اطلاعات حیاتی استفاده می‌کند که برای همه فعالیت‌هایی که برای آماده‌سازی، حفظ یا بکارگیری نیروها در تمام مراحل عملیات استفاده می‌شوند، اعمال می‌شود.</w:t>
      </w:r>
    </w:p>
    <w:p>
      <w:pPr>
        <w:spacing w:after="28" w:line="216" w:lineRule="auto"/>
        <w:ind w:left="259"/>
        <w:jc w:val="left"/>
      </w:pPr>
      <w:r>
        <w:rPr>
          <w:rFonts w:ascii="Arial" w:hAnsi="Arial"/>
          <w:color w:val="525252"/>
          <w:sz w:val="13"/>
        </w:rPr>
        <w:t>Operations security uses a cycle to identify, analyze, and control critical information that applies to all activities used to prepare, sustain, or employ forces during all phases of operations.</w:t>
      </w:r>
    </w:p>
    <w:p>
      <w:pPr>
        <w:spacing w:after="20" w:line="223" w:lineRule="auto"/>
        <w:jc w:val="right"/>
        <w:bidi/>
      </w:pPr>
      <w:r>
        <w:rPr>
          <w:rFonts w:ascii="Arial" w:hAnsi="Arial"/>
          <w:sz w:val="16"/>
        </w:rPr>
        <w:t>330.05  پرسنل USAF می‌توانند در پایگاه‌ها و مکان‌های خود در زمان صلح، در تمرینات یا تمرین‌ها، در حین حرکت، یا هنگام استقرار و انجام عملیات‌های رزمی تحت نظر باشند.</w:t>
      </w:r>
    </w:p>
    <w:p>
      <w:pPr>
        <w:spacing w:after="28" w:line="216" w:lineRule="auto"/>
        <w:ind w:left="259"/>
        <w:jc w:val="left"/>
      </w:pPr>
      <w:r>
        <w:rPr>
          <w:rFonts w:ascii="Arial" w:hAnsi="Arial"/>
          <w:color w:val="525252"/>
          <w:sz w:val="13"/>
        </w:rPr>
        <w:t>USAF personnel can be under observation at their peacetime bases and locations, in training or exercises, while moving, or when deployed and conducting combat operations.</w:t>
      </w:r>
    </w:p>
    <w:p>
      <w:pPr>
        <w:spacing w:after="20" w:line="223" w:lineRule="auto"/>
        <w:jc w:val="right"/>
        <w:bidi/>
      </w:pPr>
      <w:r>
        <w:rPr>
          <w:rFonts w:ascii="Arial" w:hAnsi="Arial"/>
          <w:sz w:val="16"/>
        </w:rPr>
        <w:t>330.06  واحدهای USAF از یک فرآیند پروفایل برای شناسایی آسیب‌پذیری‌ها و شاخص‌های فعالیت‌های روزانه خود استفاده می‌کنند.</w:t>
      </w:r>
    </w:p>
    <w:p>
      <w:pPr>
        <w:spacing w:after="28" w:line="216" w:lineRule="auto"/>
        <w:ind w:left="259"/>
        <w:jc w:val="left"/>
      </w:pPr>
      <w:r>
        <w:rPr>
          <w:rFonts w:ascii="Arial" w:hAnsi="Arial"/>
          <w:color w:val="525252"/>
          <w:sz w:val="13"/>
        </w:rPr>
        <w:t>USAF units utilize a profiling process to identify vulnerabilities and indicators of their day-to-day activities.</w:t>
      </w:r>
    </w:p>
    <w:p>
      <w:pPr>
        <w:spacing w:after="20" w:line="223" w:lineRule="auto"/>
        <w:jc w:val="right"/>
        <w:bidi/>
      </w:pPr>
      <w:r>
        <w:rPr>
          <w:rFonts w:ascii="Arial" w:hAnsi="Arial"/>
          <w:sz w:val="16"/>
        </w:rPr>
        <w:t>330.07  با این درک، مدیران برنامه امنیتی عملیات و مدیران امضا از روش مدیریت امضا برای اعمال اقدامات یا اقدامات متقابل برای پنهان کردن، کنترل یا شبیه‌سازی شاخص‌ها استفاده می‌کنند.</w:t>
      </w:r>
    </w:p>
    <w:p>
      <w:pPr>
        <w:spacing w:after="28" w:line="216" w:lineRule="auto"/>
        <w:ind w:left="259"/>
        <w:jc w:val="left"/>
      </w:pPr>
      <w:r>
        <w:rPr>
          <w:rFonts w:ascii="Arial" w:hAnsi="Arial"/>
          <w:color w:val="525252"/>
          <w:sz w:val="13"/>
        </w:rPr>
        <w:t>With this understanding, operations security program managers and signature managers use the signature management methodology to apply measures or countermeasures to hide, control, or simulate indicators.</w:t>
      </w:r>
    </w:p>
    <w:p>
      <w:pPr>
        <w:spacing w:after="20" w:line="223" w:lineRule="auto"/>
        <w:jc w:val="right"/>
        <w:bidi/>
      </w:pPr>
      <w:r>
        <w:rPr>
          <w:rFonts w:ascii="Arial" w:hAnsi="Arial"/>
          <w:sz w:val="16"/>
        </w:rPr>
        <w:t>330.08  مدیران امضای امنیتی عملیات همچنین اصلاح فعالیت‌های روزانه در یک تاسیسات یا سازمان را برای ایجاد تغییرات در وضعیت موجود توصیه می‌کنند.</w:t>
      </w:r>
    </w:p>
    <w:p>
      <w:pPr>
        <w:spacing w:after="28" w:line="216" w:lineRule="auto"/>
        <w:ind w:left="259"/>
        <w:jc w:val="left"/>
      </w:pPr>
      <w:r>
        <w:rPr>
          <w:rFonts w:ascii="Arial" w:hAnsi="Arial"/>
          <w:color w:val="525252"/>
          <w:sz w:val="13"/>
        </w:rPr>
        <w:t>Operations security signature managers also recommend modifying the day-to-day activities at an installation or organization to create variations in the status quo.</w:t>
      </w:r>
    </w:p>
    <w:p>
      <w:pPr>
        <w:spacing w:after="20" w:line="223" w:lineRule="auto"/>
        <w:jc w:val="right"/>
        <w:bidi/>
      </w:pPr>
      <w:r>
        <w:rPr>
          <w:rFonts w:ascii="Arial" w:hAnsi="Arial"/>
          <w:sz w:val="16"/>
        </w:rPr>
        <w:t>330.09  امنیت عملیات مستلزم توجه به موارد زیر است: شناسایی آن دسته از اقداماتی که توسط سیستم‌های اطلاعاتی دشمن قابل مشاهده است.</w:t>
      </w:r>
    </w:p>
    <w:p>
      <w:pPr>
        <w:spacing w:after="28" w:line="216" w:lineRule="auto"/>
        <w:ind w:left="259"/>
        <w:jc w:val="left"/>
      </w:pPr>
      <w:r>
        <w:rPr>
          <w:rFonts w:ascii="Arial" w:hAnsi="Arial"/>
          <w:color w:val="525252"/>
          <w:sz w:val="13"/>
        </w:rPr>
        <w:t>Operations security involves attentiveness to: Identify those actions that can be observed by adversary intelligence systems.</w:t>
      </w:r>
    </w:p>
    <w:p>
      <w:pPr>
        <w:spacing w:after="20" w:line="223" w:lineRule="auto"/>
        <w:jc w:val="right"/>
        <w:bidi/>
      </w:pPr>
      <w:r>
        <w:rPr>
          <w:rFonts w:ascii="Arial" w:hAnsi="Arial"/>
          <w:sz w:val="16"/>
        </w:rPr>
        <w:t>330.10  تعیین کنید که چه نشانه‌های خاصی را می‌توان جمع‌آوری، تجزیه و تحلیل و تفسیر کرد تا اطلاعات حیاتی را به موقع بدست آورد تا برای دشمنان مفید باشد.</w:t>
      </w:r>
    </w:p>
    <w:p>
      <w:pPr>
        <w:spacing w:after="28" w:line="216" w:lineRule="auto"/>
        <w:ind w:left="259"/>
        <w:jc w:val="left"/>
      </w:pPr>
      <w:r>
        <w:rPr>
          <w:rFonts w:ascii="Arial" w:hAnsi="Arial"/>
          <w:color w:val="525252"/>
          <w:sz w:val="13"/>
        </w:rPr>
        <w:t>Determine what specific indications could be collected, analyzed, and interpreted to derive critical information in time to be useful to adversaries.</w:t>
      </w:r>
    </w:p>
    <w:p>
      <w:pPr>
        <w:spacing w:after="20" w:line="223" w:lineRule="auto"/>
        <w:jc w:val="right"/>
        <w:bidi/>
      </w:pPr>
      <w:r>
        <w:rPr>
          <w:rFonts w:ascii="Arial" w:hAnsi="Arial"/>
          <w:sz w:val="16"/>
        </w:rPr>
        <w:t>330.11  اقداماتی را انتخاب و اجرا کنید که آسیب‌پذیری‌های اقدامات دوستانه در برابر استثمار دشمن را حذف یا تا حد قابل قبولی کاهش دهد.</w:t>
      </w:r>
    </w:p>
    <w:p>
      <w:pPr>
        <w:spacing w:after="28" w:line="216" w:lineRule="auto"/>
        <w:ind w:left="259"/>
        <w:jc w:val="left"/>
      </w:pPr>
      <w:r>
        <w:rPr>
          <w:rFonts w:ascii="Arial" w:hAnsi="Arial"/>
          <w:color w:val="525252"/>
          <w:sz w:val="13"/>
        </w:rPr>
        <w:t>Select and execute measures that eliminate or reduce to an acceptable level the vulnerabilities of friendly actions to adversary exploitation.</w:t>
      </w:r>
    </w:p>
    <w:p>
      <w:pPr>
        <w:spacing w:after="20" w:line="223" w:lineRule="auto"/>
        <w:jc w:val="right"/>
        <w:bidi/>
      </w:pPr>
      <w:r>
        <w:rPr>
          <w:rFonts w:ascii="Arial" w:hAnsi="Arial"/>
          <w:sz w:val="16"/>
        </w:rPr>
        <w:t>330.12  اثربخشی عملیاتی.</w:t>
      </w:r>
    </w:p>
    <w:p>
      <w:pPr>
        <w:spacing w:after="28" w:line="216" w:lineRule="auto"/>
        <w:ind w:left="259"/>
        <w:jc w:val="left"/>
      </w:pPr>
      <w:r>
        <w:rPr>
          <w:rFonts w:ascii="Arial" w:hAnsi="Arial"/>
          <w:color w:val="525252"/>
          <w:sz w:val="13"/>
        </w:rPr>
        <w:t>Operational Effectiveness.</w:t>
      </w:r>
    </w:p>
    <w:p>
      <w:pPr>
        <w:spacing w:after="20" w:line="223" w:lineRule="auto"/>
        <w:jc w:val="right"/>
        <w:bidi/>
      </w:pPr>
      <w:r>
        <w:rPr>
          <w:rFonts w:ascii="Arial" w:hAnsi="Arial"/>
          <w:sz w:val="16"/>
        </w:rPr>
        <w:t>330.13  امنیت عملیات شامل مجموعه‌ای از تحلیل‌ها برای بررسی مراحل برنامه‌ریزی، آماده‌سازی، اجرا و پس از اجرا هر عملیات یا فعالیت در کل طیف عملیات نظامی و در هر محیط عملیاتی است.</w:t>
      </w:r>
    </w:p>
    <w:p>
      <w:pPr>
        <w:spacing w:after="28" w:line="216" w:lineRule="auto"/>
        <w:ind w:left="259"/>
        <w:jc w:val="left"/>
      </w:pPr>
      <w:r>
        <w:rPr>
          <w:rFonts w:ascii="Arial" w:hAnsi="Arial"/>
          <w:color w:val="525252"/>
          <w:sz w:val="13"/>
        </w:rPr>
        <w:t>Operations security involves a series of analyses to examine the planning, preparation, execution, and post-execution phases of any operation or activity across the entire spectrum of military action and in any operational environment.</w:t>
      </w:r>
    </w:p>
    <w:p>
      <w:pPr>
        <w:spacing w:after="20" w:line="223" w:lineRule="auto"/>
        <w:jc w:val="right"/>
        <w:bidi/>
      </w:pPr>
      <w:r>
        <w:rPr>
          <w:rFonts w:ascii="Arial" w:hAnsi="Arial"/>
          <w:sz w:val="16"/>
        </w:rPr>
        <w:t>330.14  تجزیه و تحلیل امنیت عملیات به تصمیم گیرندگان وسیله‌ای برای سنجش ریسک عملیات خود ارائه می‌دهد.</w:t>
      </w:r>
    </w:p>
    <w:p>
      <w:pPr>
        <w:spacing w:after="28" w:line="216" w:lineRule="auto"/>
        <w:ind w:left="259"/>
        <w:jc w:val="left"/>
      </w:pPr>
      <w:r>
        <w:rPr>
          <w:rFonts w:ascii="Arial" w:hAnsi="Arial"/>
          <w:color w:val="525252"/>
          <w:sz w:val="13"/>
        </w:rPr>
        <w:t>Operations security analysis provides decision-makers with a means of weighing the risk to their operations.</w:t>
      </w:r>
    </w:p>
    <w:p>
      <w:pPr>
        <w:spacing w:after="20" w:line="223" w:lineRule="auto"/>
        <w:jc w:val="right"/>
        <w:bidi/>
      </w:pPr>
      <w:r>
        <w:rPr>
          <w:rFonts w:ascii="Arial" w:hAnsi="Arial"/>
          <w:sz w:val="16"/>
        </w:rPr>
        <w:t>330.15  تصمیم گیرندگان باید میزان ریسکی را که مایلند در شرایط عملیاتی خاص بپذیرند، به همان شیوه‌ای که مدیریت ریسک عملیاتی به فرماندهان اجازه می‌دهد ریسک را در برنامه‌ریزی مأموریت ارزیابی کنند، تعیین کنند.</w:t>
      </w:r>
    </w:p>
    <w:p>
      <w:pPr>
        <w:spacing w:after="28" w:line="216" w:lineRule="auto"/>
        <w:ind w:left="259"/>
        <w:jc w:val="left"/>
      </w:pPr>
      <w:r>
        <w:rPr>
          <w:rFonts w:ascii="Arial" w:hAnsi="Arial"/>
          <w:color w:val="525252"/>
          <w:sz w:val="13"/>
        </w:rPr>
        <w:t>Decision-makers must determine the amount of risk they are willing to accept in particular operational circumstances in the same way as operational risk management allows commanders to assess risk in mission planning.</w:t>
      </w:r>
    </w:p>
    <w:p>
      <w:pPr>
        <w:spacing w:after="20" w:line="223" w:lineRule="auto"/>
        <w:jc w:val="right"/>
        <w:bidi/>
      </w:pPr>
      <w:r>
        <w:rPr>
          <w:rFonts w:ascii="Arial" w:hAnsi="Arial"/>
          <w:sz w:val="16"/>
        </w:rPr>
        <w:t>330.16  زمانی که فرماندهان و سایر تصمیم گیرندگان امنیت عملیات را از اولین مراحل برنامه‌ریزی اعمال کنند، اثربخشی عملیاتی افزایش می‌یابد.</w:t>
      </w:r>
    </w:p>
    <w:p>
      <w:pPr>
        <w:spacing w:after="28" w:line="216" w:lineRule="auto"/>
        <w:ind w:left="259"/>
        <w:jc w:val="left"/>
      </w:pPr>
      <w:r>
        <w:rPr>
          <w:rFonts w:ascii="Arial" w:hAnsi="Arial"/>
          <w:color w:val="525252"/>
          <w:sz w:val="13"/>
        </w:rPr>
        <w:t>Operational effectiveness is enhanced when commanders and other decision-makers apply operations security from the earliest stages of planning.</w:t>
      </w:r>
    </w:p>
    <w:p>
      <w:pPr>
        <w:spacing w:after="20" w:line="223" w:lineRule="auto"/>
        <w:jc w:val="right"/>
        <w:bidi/>
      </w:pPr>
      <w:r>
        <w:rPr>
          <w:rFonts w:ascii="Arial" w:hAnsi="Arial"/>
          <w:sz w:val="16"/>
        </w:rPr>
        <w:t>330.17  اصول امنیت عملیات.</w:t>
      </w:r>
    </w:p>
    <w:p>
      <w:pPr>
        <w:spacing w:after="28" w:line="216" w:lineRule="auto"/>
        <w:ind w:left="259"/>
        <w:jc w:val="left"/>
      </w:pPr>
      <w:r>
        <w:rPr>
          <w:rFonts w:ascii="Arial" w:hAnsi="Arial"/>
          <w:color w:val="525252"/>
          <w:sz w:val="13"/>
        </w:rPr>
        <w:t>Operations Security Principles.</w:t>
      </w:r>
    </w:p>
    <w:p>
      <w:pPr>
        <w:spacing w:after="20" w:line="223" w:lineRule="auto"/>
        <w:jc w:val="right"/>
        <w:bidi/>
      </w:pPr>
      <w:r>
        <w:rPr>
          <w:rFonts w:ascii="Arial" w:hAnsi="Arial"/>
          <w:sz w:val="16"/>
        </w:rPr>
        <w:t>330.18  اصول امنیتی عملیات باید در عملیاتی، پشتیبانی، تمرین، برنامه‌ریزی اکتساب و فعالیت‌های روزانه ادغام شود تا از انتقال یکپارچه به عملیات اضطراری اطمینان حاصل شود.</w:t>
      </w:r>
    </w:p>
    <w:p>
      <w:pPr>
        <w:spacing w:after="28" w:line="216" w:lineRule="auto"/>
        <w:ind w:left="259"/>
        <w:jc w:val="left"/>
      </w:pPr>
      <w:r>
        <w:rPr>
          <w:rFonts w:ascii="Arial" w:hAnsi="Arial"/>
          <w:color w:val="525252"/>
          <w:sz w:val="13"/>
        </w:rPr>
        <w:t>Operations security principles must be integrated into operational, support, exercise, acquisition planning, and day-to-day activities to ensure a seamless transition to contingency operations.</w:t>
      </w:r>
    </w:p>
    <w:p>
      <w:pPr>
        <w:spacing w:after="20" w:line="223" w:lineRule="auto"/>
        <w:jc w:val="right"/>
        <w:bidi/>
      </w:pPr>
      <w:r>
        <w:rPr>
          <w:rFonts w:ascii="Arial" w:hAnsi="Arial"/>
          <w:sz w:val="16"/>
        </w:rPr>
        <w:t>330.19  چرخه امنیتی عملیات شامل اقدامات متمایز زیر است: شناسایی اطلاعات حیاتی.</w:t>
      </w:r>
    </w:p>
    <w:p>
      <w:pPr>
        <w:spacing w:after="28" w:line="216" w:lineRule="auto"/>
        <w:ind w:left="259"/>
        <w:jc w:val="left"/>
      </w:pPr>
      <w:r>
        <w:rPr>
          <w:rFonts w:ascii="Arial" w:hAnsi="Arial"/>
          <w:color w:val="525252"/>
          <w:sz w:val="13"/>
        </w:rPr>
        <w:t>The operations security cycle consists of the following distinct actions: Identify critical information.</w:t>
      </w:r>
    </w:p>
    <w:p>
      <w:pPr>
        <w:spacing w:after="20" w:line="223" w:lineRule="auto"/>
        <w:jc w:val="right"/>
        <w:bidi/>
      </w:pPr>
      <w:r>
        <w:rPr>
          <w:rFonts w:ascii="Arial" w:hAnsi="Arial"/>
          <w:sz w:val="16"/>
        </w:rPr>
        <w:t>330.20  تهدیدات را تحلیل کنید.</w:t>
      </w:r>
    </w:p>
    <w:p>
      <w:pPr>
        <w:spacing w:after="28" w:line="216" w:lineRule="auto"/>
        <w:ind w:left="259"/>
        <w:jc w:val="left"/>
      </w:pPr>
      <w:r>
        <w:rPr>
          <w:rFonts w:ascii="Arial" w:hAnsi="Arial"/>
          <w:color w:val="525252"/>
          <w:sz w:val="13"/>
        </w:rPr>
        <w:t>Analyze threats.</w:t>
      </w:r>
    </w:p>
    <w:p>
      <w:pPr>
        <w:spacing w:after="20" w:line="223" w:lineRule="auto"/>
        <w:jc w:val="right"/>
        <w:bidi/>
      </w:pPr>
      <w:r>
        <w:rPr>
          <w:rFonts w:ascii="Arial" w:hAnsi="Arial"/>
          <w:sz w:val="16"/>
        </w:rPr>
        <w:t>330.21  آسیب پذیری‌ها را تجزیه و تحلیل کنید.</w:t>
      </w:r>
    </w:p>
    <w:p>
      <w:pPr>
        <w:spacing w:after="28" w:line="216" w:lineRule="auto"/>
        <w:ind w:left="259"/>
        <w:jc w:val="left"/>
      </w:pPr>
      <w:r>
        <w:rPr>
          <w:rFonts w:ascii="Arial" w:hAnsi="Arial"/>
          <w:color w:val="525252"/>
          <w:sz w:val="13"/>
        </w:rPr>
        <w:t>Analyze vulnerabilities.</w:t>
      </w:r>
    </w:p>
    <w:p>
      <w:pPr>
        <w:spacing w:after="20" w:line="223" w:lineRule="auto"/>
        <w:jc w:val="right"/>
        <w:bidi/>
      </w:pPr>
      <w:r>
        <w:rPr>
          <w:rFonts w:ascii="Arial" w:hAnsi="Arial"/>
          <w:sz w:val="16"/>
        </w:rPr>
        <w:t>330.22  ریسک را ارزیابی کنید.</w:t>
      </w:r>
    </w:p>
    <w:p>
      <w:pPr>
        <w:spacing w:after="28" w:line="216" w:lineRule="auto"/>
        <w:ind w:left="259"/>
        <w:jc w:val="left"/>
      </w:pPr>
      <w:r>
        <w:rPr>
          <w:rFonts w:ascii="Arial" w:hAnsi="Arial"/>
          <w:color w:val="525252"/>
          <w:sz w:val="13"/>
        </w:rPr>
        <w:t>Assess risk.</w:t>
      </w:r>
    </w:p>
    <w:p>
      <w:pPr>
        <w:spacing w:after="20" w:line="223" w:lineRule="auto"/>
        <w:jc w:val="right"/>
        <w:bidi/>
      </w:pPr>
      <w:r>
        <w:rPr>
          <w:rFonts w:ascii="Arial" w:hAnsi="Arial"/>
          <w:sz w:val="16"/>
        </w:rPr>
        <w:t>330.23  اقدامات متقابل امنیتی عملیاتی مناسب را اعمال کنید.</w:t>
      </w:r>
    </w:p>
    <w:p>
      <w:pPr>
        <w:spacing w:after="28" w:line="216" w:lineRule="auto"/>
        <w:ind w:left="259"/>
        <w:jc w:val="left"/>
      </w:pPr>
      <w:r>
        <w:rPr>
          <w:rFonts w:ascii="Arial" w:hAnsi="Arial"/>
          <w:color w:val="525252"/>
          <w:sz w:val="13"/>
        </w:rPr>
        <w:t>Apply appropriate operations security countermeasures.</w:t>
      </w:r>
    </w:p>
    <w:p>
      <w:pPr>
        <w:spacing w:before="60" w:after="28"/>
        <w:jc w:val="right"/>
        <w:bidi/>
      </w:pPr>
      <w:r>
        <w:rPr>
          <w:b/>
          <w:color w:val="1F4D78"/>
          <w:sz w:val="18"/>
        </w:rPr>
        <w:t>18.8. شاخص های امنیتی عملیات</w:t>
      </w:r>
    </w:p>
    <w:p>
      <w:pPr>
        <w:spacing w:after="20"/>
        <w:ind w:left="259"/>
        <w:jc w:val="left"/>
      </w:pPr>
      <w:r>
        <w:rPr>
          <w:color w:val="555555"/>
          <w:sz w:val="12"/>
        </w:rPr>
        <w:t>18.8. Operations Security Indicators</w:t>
      </w:r>
    </w:p>
    <w:p>
      <w:pPr>
        <w:spacing w:after="20" w:line="223" w:lineRule="auto"/>
        <w:jc w:val="right"/>
        <w:bidi/>
      </w:pPr>
      <w:r>
        <w:rPr>
          <w:rFonts w:ascii="Arial" w:hAnsi="Arial"/>
          <w:sz w:val="16"/>
        </w:rPr>
        <w:t>330.25  شاخص‌های امنیتی عملیات، اقدامات دوستانه، قابل شناسایی و اطلاعات منبع باز هستند که می‌توانند توسط یک دشمن تفسیر یا ترکیب شوند تا اطلاعات حیاتی به دست آورند.</w:t>
      </w:r>
    </w:p>
    <w:p>
      <w:pPr>
        <w:spacing w:after="28" w:line="216" w:lineRule="auto"/>
        <w:ind w:left="259"/>
        <w:jc w:val="left"/>
      </w:pPr>
      <w:r>
        <w:rPr>
          <w:rFonts w:ascii="Arial" w:hAnsi="Arial"/>
          <w:color w:val="525252"/>
          <w:sz w:val="13"/>
        </w:rPr>
        <w:t>Operations security indicators are friendly, detectable actions and open-source information that can be interpreted or pieced together by an adversary to derive critical information.</w:t>
      </w:r>
    </w:p>
    <w:p>
      <w:pPr>
        <w:spacing w:after="20" w:line="223" w:lineRule="auto"/>
        <w:jc w:val="right"/>
        <w:bidi/>
      </w:pPr>
      <w:r>
        <w:rPr>
          <w:rFonts w:ascii="Arial" w:hAnsi="Arial"/>
          <w:sz w:val="16"/>
        </w:rPr>
        <w:t>330.26  پنج پایه</w:t>
      </w:r>
    </w:p>
    <w:p>
      <w:pPr>
        <w:spacing w:after="28" w:line="216" w:lineRule="auto"/>
        <w:ind w:left="259"/>
        <w:jc w:val="left"/>
      </w:pPr>
      <w:r>
        <w:rPr>
          <w:rFonts w:ascii="Arial" w:hAnsi="Arial"/>
          <w:color w:val="525252"/>
          <w:sz w:val="13"/>
        </w:rPr>
        <w:t>The five basic</w:t>
      </w:r>
    </w:p>
    <w:p>
      <w:r>
        <w:br w:type="page"/>
      </w:r>
    </w:p>
    <w:p>
      <w:pPr>
        <w:spacing w:after="60"/>
        <w:jc w:val="right"/>
        <w:bidi/>
      </w:pPr>
      <w:r>
        <w:rPr>
          <w:rFonts w:ascii="Arial" w:hAnsi="Arial"/>
          <w:b/>
          <w:color w:val="1F4D78"/>
          <w:sz w:val="19"/>
        </w:rPr>
        <w:t>هفتهٔ 331  |  صفحهٔ منبع: 347</w:t>
      </w:r>
    </w:p>
    <w:p>
      <w:pPr>
        <w:spacing w:after="20" w:line="223" w:lineRule="auto"/>
        <w:jc w:val="right"/>
        <w:bidi/>
      </w:pPr>
      <w:r>
        <w:rPr>
          <w:rFonts w:ascii="Arial" w:hAnsi="Arial"/>
          <w:sz w:val="16"/>
        </w:rPr>
        <w:t>331.01  شاخص‌های امنیتی عملیات که آنها را به‌طور بالقوه برای دشمن ارزشمند می‌سازد، در اینجا به اختصار توضیح داده شده‌اند.</w:t>
      </w:r>
    </w:p>
    <w:p>
      <w:pPr>
        <w:spacing w:after="28" w:line="216" w:lineRule="auto"/>
        <w:ind w:left="259"/>
        <w:jc w:val="left"/>
      </w:pPr>
      <w:r>
        <w:rPr>
          <w:rFonts w:ascii="Arial" w:hAnsi="Arial"/>
          <w:color w:val="525252"/>
          <w:sz w:val="13"/>
        </w:rPr>
        <w:t>characteristics of operations security indicators that make them potentially valuable to an adversary are briefly described here.</w:t>
      </w:r>
    </w:p>
    <w:p>
      <w:pPr>
        <w:spacing w:after="20" w:line="223" w:lineRule="auto"/>
        <w:jc w:val="right"/>
        <w:bidi/>
      </w:pPr>
      <w:r>
        <w:rPr>
          <w:rFonts w:ascii="Arial" w:hAnsi="Arial"/>
          <w:sz w:val="16"/>
        </w:rPr>
        <w:t>331.02  امضاها.</w:t>
      </w:r>
    </w:p>
    <w:p>
      <w:pPr>
        <w:spacing w:after="28" w:line="216" w:lineRule="auto"/>
        <w:ind w:left="259"/>
        <w:jc w:val="left"/>
      </w:pPr>
      <w:r>
        <w:rPr>
          <w:rFonts w:ascii="Arial" w:hAnsi="Arial"/>
          <w:color w:val="525252"/>
          <w:sz w:val="13"/>
        </w:rPr>
        <w:t>Signatures.</w:t>
      </w:r>
    </w:p>
    <w:p>
      <w:pPr>
        <w:spacing w:after="20" w:line="223" w:lineRule="auto"/>
        <w:jc w:val="right"/>
        <w:bidi/>
      </w:pPr>
      <w:r>
        <w:rPr>
          <w:rFonts w:ascii="Arial" w:hAnsi="Arial"/>
          <w:sz w:val="16"/>
        </w:rPr>
        <w:t>331.03  امضاها فعالیت‌ها و روندهای عملیاتی قابل مشاهده هستند که اطلاعات مهم را برای مجموعه اطلاعاتی دشمن آشکار می‌کنند.</w:t>
      </w:r>
    </w:p>
    <w:p>
      <w:pPr>
        <w:spacing w:after="28" w:line="216" w:lineRule="auto"/>
        <w:ind w:left="259"/>
        <w:jc w:val="left"/>
      </w:pPr>
      <w:r>
        <w:rPr>
          <w:rFonts w:ascii="Arial" w:hAnsi="Arial"/>
          <w:color w:val="525252"/>
          <w:sz w:val="13"/>
        </w:rPr>
        <w:t>Signatures are observable activities and operational trends that reveal critical information to adversary intelligence collection.</w:t>
      </w:r>
    </w:p>
    <w:p>
      <w:pPr>
        <w:spacing w:after="20" w:line="223" w:lineRule="auto"/>
        <w:jc w:val="right"/>
        <w:bidi/>
      </w:pPr>
      <w:r>
        <w:rPr>
          <w:rFonts w:ascii="Arial" w:hAnsi="Arial"/>
          <w:sz w:val="16"/>
        </w:rPr>
        <w:t>331.04  مدیریت امضا یک رویکرد سیستماتیک برای شناسایی، اولویت‌بندی و مدیریت شاخص‌های فیزیکی، فنی و اداری پروفایل‌های عملیاتی نیروهای دوست است که در صورت نادیده گرفتن، توسط دشمن برای دستیابی به مزیت عملیاتی نسبت به اهداف نیروی دوست مورد سوء استفاده قرار می‌گیرد.</w:t>
      </w:r>
    </w:p>
    <w:p>
      <w:pPr>
        <w:spacing w:after="28" w:line="216" w:lineRule="auto"/>
        <w:ind w:left="259"/>
        <w:jc w:val="left"/>
      </w:pPr>
      <w:r>
        <w:rPr>
          <w:rFonts w:ascii="Arial" w:hAnsi="Arial"/>
          <w:color w:val="525252"/>
          <w:sz w:val="13"/>
        </w:rPr>
        <w:t>Signature management is a systematic approach to identify, prioritize, and manage physical, technical, and administrative indicators of friendly forces’ operational profiles that, if ignored, will be exploited by an adversary to achieve an operational advantage over friendly force objectives.</w:t>
      </w:r>
    </w:p>
    <w:p>
      <w:pPr>
        <w:spacing w:after="20" w:line="223" w:lineRule="auto"/>
        <w:jc w:val="right"/>
        <w:bidi/>
      </w:pPr>
      <w:r>
        <w:rPr>
          <w:rFonts w:ascii="Arial" w:hAnsi="Arial"/>
          <w:sz w:val="16"/>
        </w:rPr>
        <w:t>331.05  دفاع از پروفایل‌های عملیاتی با اجرای اقداماتی برای رد جمع‌آوری اطلاعات حیاتی دشمن انجام می‌شود.</w:t>
      </w:r>
    </w:p>
    <w:p>
      <w:pPr>
        <w:spacing w:after="28" w:line="216" w:lineRule="auto"/>
        <w:ind w:left="259"/>
        <w:jc w:val="left"/>
      </w:pPr>
      <w:r>
        <w:rPr>
          <w:rFonts w:ascii="Arial" w:hAnsi="Arial"/>
          <w:color w:val="525252"/>
          <w:sz w:val="13"/>
        </w:rPr>
        <w:t>Defense of operational profiles is accomplished by implementing measures to deny adversary collection of critical information.</w:t>
      </w:r>
    </w:p>
    <w:p>
      <w:pPr>
        <w:spacing w:after="20" w:line="223" w:lineRule="auto"/>
        <w:jc w:val="right"/>
        <w:bidi/>
      </w:pPr>
      <w:r>
        <w:rPr>
          <w:rFonts w:ascii="Arial" w:hAnsi="Arial"/>
          <w:sz w:val="16"/>
        </w:rPr>
        <w:t>331.06  انجمن‌ها.</w:t>
      </w:r>
    </w:p>
    <w:p>
      <w:pPr>
        <w:spacing w:after="28" w:line="216" w:lineRule="auto"/>
        <w:ind w:left="259"/>
        <w:jc w:val="left"/>
      </w:pPr>
      <w:r>
        <w:rPr>
          <w:rFonts w:ascii="Arial" w:hAnsi="Arial"/>
          <w:color w:val="525252"/>
          <w:sz w:val="13"/>
        </w:rPr>
        <w:t>Associations.</w:t>
      </w:r>
    </w:p>
    <w:p>
      <w:pPr>
        <w:spacing w:after="20" w:line="223" w:lineRule="auto"/>
        <w:jc w:val="right"/>
        <w:bidi/>
      </w:pPr>
      <w:r>
        <w:rPr>
          <w:rFonts w:ascii="Arial" w:hAnsi="Arial"/>
          <w:sz w:val="16"/>
        </w:rPr>
        <w:t>331.07  تداعی رابطه یک شاخص با اطلاعات یا فعالیت‌های دیگر است.</w:t>
      </w:r>
    </w:p>
    <w:p>
      <w:pPr>
        <w:spacing w:after="28" w:line="216" w:lineRule="auto"/>
        <w:ind w:left="259"/>
        <w:jc w:val="left"/>
      </w:pPr>
      <w:r>
        <w:rPr>
          <w:rFonts w:ascii="Arial" w:hAnsi="Arial"/>
          <w:color w:val="525252"/>
          <w:sz w:val="13"/>
        </w:rPr>
        <w:t>An association is the relationship of an indicator to other information or activities.</w:t>
      </w:r>
    </w:p>
    <w:p>
      <w:pPr>
        <w:spacing w:after="20" w:line="223" w:lineRule="auto"/>
        <w:jc w:val="right"/>
        <w:bidi/>
      </w:pPr>
      <w:r>
        <w:rPr>
          <w:rFonts w:ascii="Arial" w:hAnsi="Arial"/>
          <w:sz w:val="16"/>
        </w:rPr>
        <w:t>331.08  ویژگی‌های رابطه آن را قابل شناسایی می‌کند یا باعث برجسته شدن آن می‌شود.</w:t>
      </w:r>
    </w:p>
    <w:p>
      <w:pPr>
        <w:spacing w:after="28" w:line="216" w:lineRule="auto"/>
        <w:ind w:left="259"/>
        <w:jc w:val="left"/>
      </w:pPr>
      <w:r>
        <w:rPr>
          <w:rFonts w:ascii="Arial" w:hAnsi="Arial"/>
          <w:color w:val="525252"/>
          <w:sz w:val="13"/>
        </w:rPr>
        <w:t>The characteristics of the relationship make it identifiable or causes it to stand out.</w:t>
      </w:r>
    </w:p>
    <w:p>
      <w:pPr>
        <w:spacing w:after="20" w:line="223" w:lineRule="auto"/>
        <w:jc w:val="right"/>
        <w:bidi/>
      </w:pPr>
      <w:r>
        <w:rPr>
          <w:rFonts w:ascii="Arial" w:hAnsi="Arial"/>
          <w:sz w:val="16"/>
        </w:rPr>
        <w:t>331.09  پروفایل‌ها.</w:t>
      </w:r>
    </w:p>
    <w:p>
      <w:pPr>
        <w:spacing w:after="28" w:line="216" w:lineRule="auto"/>
        <w:ind w:left="259"/>
        <w:jc w:val="left"/>
      </w:pPr>
      <w:r>
        <w:rPr>
          <w:rFonts w:ascii="Arial" w:hAnsi="Arial"/>
          <w:color w:val="525252"/>
          <w:sz w:val="13"/>
        </w:rPr>
        <w:t>Profiles.</w:t>
      </w:r>
    </w:p>
    <w:p>
      <w:pPr>
        <w:spacing w:after="20" w:line="223" w:lineRule="auto"/>
        <w:jc w:val="right"/>
        <w:bidi/>
      </w:pPr>
      <w:r>
        <w:rPr>
          <w:rFonts w:ascii="Arial" w:hAnsi="Arial"/>
          <w:sz w:val="16"/>
        </w:rPr>
        <w:t>331.10  هر فعالیت عملکردی مجموعه‌ای از امضاها و تداعی‌های کمابیش منحصربه‌فرد خود را ایجاد می‌کند.</w:t>
      </w:r>
    </w:p>
    <w:p>
      <w:pPr>
        <w:spacing w:after="28" w:line="216" w:lineRule="auto"/>
        <w:ind w:left="259"/>
        <w:jc w:val="left"/>
      </w:pPr>
      <w:r>
        <w:rPr>
          <w:rFonts w:ascii="Arial" w:hAnsi="Arial"/>
          <w:color w:val="525252"/>
          <w:sz w:val="13"/>
        </w:rPr>
        <w:t>Each functional activity generates its own set of more-or-less unique signatures and associations.</w:t>
      </w:r>
    </w:p>
    <w:p>
      <w:pPr>
        <w:spacing w:after="20" w:line="223" w:lineRule="auto"/>
        <w:jc w:val="right"/>
        <w:bidi/>
      </w:pPr>
      <w:r>
        <w:rPr>
          <w:rFonts w:ascii="Arial" w:hAnsi="Arial"/>
          <w:sz w:val="16"/>
        </w:rPr>
        <w:t>331.11  مجموع این امضاها و انجمن‌ها نمایه فعالیت است.</w:t>
      </w:r>
    </w:p>
    <w:p>
      <w:pPr>
        <w:spacing w:after="28" w:line="216" w:lineRule="auto"/>
        <w:ind w:left="259"/>
        <w:jc w:val="left"/>
      </w:pPr>
      <w:r>
        <w:rPr>
          <w:rFonts w:ascii="Arial" w:hAnsi="Arial"/>
          <w:color w:val="525252"/>
          <w:sz w:val="13"/>
        </w:rPr>
        <w:t>The sum of these signatures and associations is the activity’s profile.</w:t>
      </w:r>
    </w:p>
    <w:p>
      <w:pPr>
        <w:spacing w:after="20" w:line="223" w:lineRule="auto"/>
        <w:jc w:val="right"/>
        <w:bidi/>
      </w:pPr>
      <w:r>
        <w:rPr>
          <w:rFonts w:ascii="Arial" w:hAnsi="Arial"/>
          <w:sz w:val="16"/>
        </w:rPr>
        <w:t>331.12  یک فرآیند پروفایل برای نقشه‌برداری از محیط عملیاتی محلی و گرفتن نقاط فرآیندی که امضاها و پروفایل‌های کلیدی را با ارزش اطلاعات حیاتی ارائه می‌دهند، استفاده می‌شود.</w:t>
      </w:r>
    </w:p>
    <w:p>
      <w:pPr>
        <w:spacing w:after="28" w:line="216" w:lineRule="auto"/>
        <w:ind w:left="259"/>
        <w:jc w:val="left"/>
      </w:pPr>
      <w:r>
        <w:rPr>
          <w:rFonts w:ascii="Arial" w:hAnsi="Arial"/>
          <w:color w:val="525252"/>
          <w:sz w:val="13"/>
        </w:rPr>
        <w:t>A profiling process is used to map the local operating environment and capture process points that present key signatures and profiles with critical information value.</w:t>
      </w:r>
    </w:p>
    <w:p>
      <w:pPr>
        <w:spacing w:after="20" w:line="223" w:lineRule="auto"/>
        <w:jc w:val="right"/>
        <w:bidi/>
      </w:pPr>
      <w:r>
        <w:rPr>
          <w:rFonts w:ascii="Arial" w:hAnsi="Arial"/>
          <w:sz w:val="16"/>
        </w:rPr>
        <w:t>331.13  تضادها.</w:t>
      </w:r>
    </w:p>
    <w:p>
      <w:pPr>
        <w:spacing w:after="28" w:line="216" w:lineRule="auto"/>
        <w:ind w:left="259"/>
        <w:jc w:val="left"/>
      </w:pPr>
      <w:r>
        <w:rPr>
          <w:rFonts w:ascii="Arial" w:hAnsi="Arial"/>
          <w:color w:val="525252"/>
          <w:sz w:val="13"/>
        </w:rPr>
        <w:t>Contrasts.</w:t>
      </w:r>
    </w:p>
    <w:p>
      <w:pPr>
        <w:spacing w:after="20" w:line="223" w:lineRule="auto"/>
        <w:jc w:val="right"/>
        <w:bidi/>
      </w:pPr>
      <w:r>
        <w:rPr>
          <w:rFonts w:ascii="Arial" w:hAnsi="Arial"/>
          <w:sz w:val="16"/>
        </w:rPr>
        <w:t>331.14  تضاد هر تفاوتی است که بین نمایه استاندارد یک فعالیت و آخرین یا فعلی‌ترین اقدامات مشاهده می‌شود.</w:t>
      </w:r>
    </w:p>
    <w:p>
      <w:pPr>
        <w:spacing w:after="28" w:line="216" w:lineRule="auto"/>
        <w:ind w:left="259"/>
        <w:jc w:val="left"/>
      </w:pPr>
      <w:r>
        <w:rPr>
          <w:rFonts w:ascii="Arial" w:hAnsi="Arial"/>
          <w:color w:val="525252"/>
          <w:sz w:val="13"/>
        </w:rPr>
        <w:t>A contrast is any difference observed between an activity’s standard profile and most recent or current actions.</w:t>
      </w:r>
    </w:p>
    <w:p>
      <w:pPr>
        <w:spacing w:after="20" w:line="223" w:lineRule="auto"/>
        <w:jc w:val="right"/>
        <w:bidi/>
      </w:pPr>
      <w:r>
        <w:rPr>
          <w:rFonts w:ascii="Arial" w:hAnsi="Arial"/>
          <w:sz w:val="16"/>
        </w:rPr>
        <w:t>331.15  قرار گرفتن در معرض.</w:t>
      </w:r>
    </w:p>
    <w:p>
      <w:pPr>
        <w:spacing w:after="28" w:line="216" w:lineRule="auto"/>
        <w:ind w:left="259"/>
        <w:jc w:val="left"/>
      </w:pPr>
      <w:r>
        <w:rPr>
          <w:rFonts w:ascii="Arial" w:hAnsi="Arial"/>
          <w:color w:val="525252"/>
          <w:sz w:val="13"/>
        </w:rPr>
        <w:t>Exposure.</w:t>
      </w:r>
    </w:p>
    <w:p>
      <w:pPr>
        <w:spacing w:after="20" w:line="223" w:lineRule="auto"/>
        <w:jc w:val="right"/>
        <w:bidi/>
      </w:pPr>
      <w:r>
        <w:rPr>
          <w:rFonts w:ascii="Arial" w:hAnsi="Arial"/>
          <w:sz w:val="16"/>
        </w:rPr>
        <w:t>331.16  نوردهی به زمان و مدت زمان مشاهده یک شاخص اشاره دارد.</w:t>
      </w:r>
    </w:p>
    <w:p>
      <w:pPr>
        <w:spacing w:after="28" w:line="216" w:lineRule="auto"/>
        <w:ind w:left="259"/>
        <w:jc w:val="left"/>
      </w:pPr>
      <w:r>
        <w:rPr>
          <w:rFonts w:ascii="Arial" w:hAnsi="Arial"/>
          <w:color w:val="525252"/>
          <w:sz w:val="13"/>
        </w:rPr>
        <w:t>Exposure refers to when and for how long an indicator is observed.</w:t>
      </w:r>
    </w:p>
    <w:p>
      <w:pPr>
        <w:spacing w:after="20" w:line="223" w:lineRule="auto"/>
        <w:jc w:val="right"/>
        <w:bidi/>
      </w:pPr>
      <w:r>
        <w:rPr>
          <w:rFonts w:ascii="Arial" w:hAnsi="Arial"/>
          <w:sz w:val="16"/>
        </w:rPr>
        <w:t>331.17  هر چه یک شاخص طولانی‌تر مشاهده شود، شانس بیشتری برای دشمن ایجاد می‌کند که بتواند انجمن‌هایی تشکیل دهد و نمایه فعالیت‌های عملیاتی را به‌روزرسانی کند.</w:t>
      </w:r>
    </w:p>
    <w:p>
      <w:pPr>
        <w:spacing w:after="28" w:line="216" w:lineRule="auto"/>
        <w:ind w:left="259"/>
        <w:jc w:val="left"/>
      </w:pPr>
      <w:r>
        <w:rPr>
          <w:rFonts w:ascii="Arial" w:hAnsi="Arial"/>
          <w:color w:val="525252"/>
          <w:sz w:val="13"/>
        </w:rPr>
        <w:t>The longer an indicator is observed, the better chance an adversary can form associations and update the profile of operational activities.</w:t>
      </w:r>
    </w:p>
    <w:p>
      <w:r>
        <w:br w:type="page"/>
      </w:r>
    </w:p>
    <w:p>
      <w:pPr>
        <w:spacing w:after="60"/>
        <w:jc w:val="right"/>
        <w:bidi/>
      </w:pPr>
      <w:r>
        <w:rPr>
          <w:rFonts w:ascii="Arial" w:hAnsi="Arial"/>
          <w:b/>
          <w:color w:val="1F4D78"/>
          <w:sz w:val="19"/>
        </w:rPr>
        <w:t>هفتهٔ 332  |  صفحهٔ منبع: 348</w:t>
      </w:r>
    </w:p>
    <w:p>
      <w:pPr>
        <w:spacing w:before="60" w:after="28"/>
        <w:jc w:val="right"/>
        <w:bidi/>
      </w:pPr>
      <w:r>
        <w:rPr>
          <w:b/>
          <w:color w:val="1F4D78"/>
          <w:sz w:val="18"/>
        </w:rPr>
        <w:t>بخش 18C — حفاظت از اطلاعات</w:t>
      </w:r>
    </w:p>
    <w:p>
      <w:pPr>
        <w:spacing w:after="20"/>
        <w:ind w:left="259"/>
        <w:jc w:val="left"/>
      </w:pPr>
      <w:r>
        <w:rPr>
          <w:color w:val="555555"/>
          <w:sz w:val="12"/>
        </w:rPr>
        <w:t>Section 18C—Information Protection</w:t>
      </w:r>
    </w:p>
    <w:p>
      <w:pPr>
        <w:spacing w:before="60" w:after="28"/>
        <w:jc w:val="right"/>
        <w:bidi/>
      </w:pPr>
      <w:r>
        <w:rPr>
          <w:b/>
          <w:color w:val="1F4D78"/>
          <w:sz w:val="18"/>
        </w:rPr>
        <w:t>18.9. رویه های حفاظت از اطلاعات</w:t>
      </w:r>
    </w:p>
    <w:p>
      <w:pPr>
        <w:spacing w:after="20"/>
        <w:ind w:left="259"/>
        <w:jc w:val="left"/>
      </w:pPr>
      <w:r>
        <w:rPr>
          <w:color w:val="555555"/>
          <w:sz w:val="12"/>
        </w:rPr>
        <w:t>18.9. Information Protection Procedures</w:t>
      </w:r>
    </w:p>
    <w:p>
      <w:pPr>
        <w:spacing w:after="20" w:line="223" w:lineRule="auto"/>
        <w:jc w:val="right"/>
        <w:bidi/>
      </w:pPr>
      <w:r>
        <w:rPr>
          <w:rFonts w:ascii="Arial" w:hAnsi="Arial"/>
          <w:sz w:val="16"/>
        </w:rPr>
        <w:t>332.03  حفاظت از اطلاعات زیرمجموعه‌ای از شرکت امنیتی USAF است و شامل رشته‌های امنیتی اصلی (پرسنل، صنعتی و امنیت اطلاعات) است که برای تعیین صلاحیت پرسنل نظامی، غیرنظامی و پیمانکاری برای دسترسی به اطلاعات طبقه بندی شده، اطمینان از حفاظت از اطلاعات طبقه بندی شده منتشر شده یا افشا شده به صنعت در ارتباط با قراردادهای طبقه بندی شده، و محافظت از اطلاعات طبقه بندی شده، اطلاعات طبقه بندی شده و اطلاعات طبقه بندی نشده (اگر اطلاعات کنترل نشده) استفاده می‌شود. به‌طور منطقی می‌توان انتظار داشت که به امنیت ملی آسیب برساند.</w:t>
      </w:r>
    </w:p>
    <w:p>
      <w:pPr>
        <w:spacing w:after="28" w:line="216" w:lineRule="auto"/>
        <w:ind w:left="259"/>
        <w:jc w:val="left"/>
      </w:pPr>
      <w:r>
        <w:rPr>
          <w:rFonts w:ascii="Arial" w:hAnsi="Arial"/>
          <w:color w:val="525252"/>
          <w:sz w:val="13"/>
        </w:rPr>
        <w:t>Information protection is a subset of the USAF security enterprise and consists of the core security disciplines (personnel, industrial, and information security) used to determine military, civilian, and contractor personnel eligibility to access classified information, ensure the protection of classified information released or disclosed to industry in connection with classified contracts, and protect classified information and Controlled Unclassified Information (CUI) that, if subject to unauthorized disclosure, could reasonably be expected to cause damage to national security.</w:t>
      </w:r>
    </w:p>
    <w:p>
      <w:pPr>
        <w:spacing w:before="60" w:after="28"/>
        <w:jc w:val="right"/>
        <w:bidi/>
      </w:pPr>
      <w:r>
        <w:rPr>
          <w:b/>
          <w:color w:val="1F4D78"/>
          <w:sz w:val="18"/>
        </w:rPr>
        <w:t>18.10. امنیت اطلاعات</w:t>
      </w:r>
    </w:p>
    <w:p>
      <w:pPr>
        <w:spacing w:after="20"/>
        <w:ind w:left="259"/>
        <w:jc w:val="left"/>
      </w:pPr>
      <w:r>
        <w:rPr>
          <w:color w:val="555555"/>
          <w:sz w:val="12"/>
        </w:rPr>
        <w:t>18.10. Information Security</w:t>
      </w:r>
    </w:p>
    <w:p>
      <w:pPr>
        <w:spacing w:after="20" w:line="223" w:lineRule="auto"/>
        <w:jc w:val="right"/>
        <w:bidi/>
      </w:pPr>
      <w:r>
        <w:rPr>
          <w:rFonts w:ascii="Arial" w:hAnsi="Arial"/>
          <w:sz w:val="16"/>
        </w:rPr>
        <w:t>332.05  همه پرسنل در USAF مسئول حفاظت از اطلاعات طبقه بندی شده و CUI تحت نظارت و کنترل خود هستند.</w:t>
      </w:r>
    </w:p>
    <w:p>
      <w:pPr>
        <w:spacing w:after="28" w:line="216" w:lineRule="auto"/>
        <w:ind w:left="259"/>
        <w:jc w:val="left"/>
      </w:pPr>
      <w:r>
        <w:rPr>
          <w:rFonts w:ascii="Arial" w:hAnsi="Arial"/>
          <w:color w:val="525252"/>
          <w:sz w:val="13"/>
        </w:rPr>
        <w:t>All personnel in the USAF are responsible for protecting classified information and CUI under their custody and control.</w:t>
      </w:r>
    </w:p>
    <w:p>
      <w:pPr>
        <w:spacing w:after="20" w:line="223" w:lineRule="auto"/>
        <w:jc w:val="right"/>
        <w:bidi/>
      </w:pPr>
      <w:r>
        <w:rPr>
          <w:rFonts w:ascii="Arial" w:hAnsi="Arial"/>
          <w:sz w:val="16"/>
        </w:rPr>
        <w:t>332.06  دودم۵۲۰۰.۰۱و۱_DAFMAN۱۶-۱۴۰۴و۱، برنامه امنیت اطلاعات: مرور کلی، طبقه بندی و طبقه بندی، راهنمایی برای مدیریت اطلاعات طبقه بندی شده و CUI ارائه می‌کند.</w:t>
      </w:r>
    </w:p>
    <w:p>
      <w:pPr>
        <w:spacing w:after="28" w:line="216" w:lineRule="auto"/>
        <w:ind w:left="259"/>
        <w:jc w:val="left"/>
      </w:pPr>
      <w:r>
        <w:rPr>
          <w:rFonts w:ascii="Arial" w:hAnsi="Arial"/>
          <w:color w:val="525252"/>
          <w:sz w:val="13"/>
        </w:rPr>
        <w:t>DoDM5200.01V1_DAFMAN16-1404V1, Information Security Program: Overview, Classification, and Declassification, provide the guidance for managing classified information and CUI.</w:t>
      </w:r>
    </w:p>
    <w:p>
      <w:pPr>
        <w:spacing w:after="20" w:line="223" w:lineRule="auto"/>
        <w:jc w:val="right"/>
        <w:bidi/>
      </w:pPr>
      <w:r>
        <w:rPr>
          <w:rFonts w:ascii="Arial" w:hAnsi="Arial"/>
          <w:sz w:val="16"/>
        </w:rPr>
        <w:t>332.07  اطلاعات طبقه بندی شده.</w:t>
      </w:r>
    </w:p>
    <w:p>
      <w:pPr>
        <w:spacing w:after="28" w:line="216" w:lineRule="auto"/>
        <w:ind w:left="259"/>
        <w:jc w:val="left"/>
      </w:pPr>
      <w:r>
        <w:rPr>
          <w:rFonts w:ascii="Arial" w:hAnsi="Arial"/>
          <w:color w:val="525252"/>
          <w:sz w:val="13"/>
        </w:rPr>
        <w:t>Classified Information.</w:t>
      </w:r>
    </w:p>
    <w:p>
      <w:pPr>
        <w:spacing w:after="20" w:line="223" w:lineRule="auto"/>
        <w:jc w:val="right"/>
        <w:bidi/>
      </w:pPr>
      <w:r>
        <w:rPr>
          <w:rFonts w:ascii="Arial" w:hAnsi="Arial"/>
          <w:sz w:val="16"/>
        </w:rPr>
        <w:t>332.08  اطلاعات طبقه بندی شده بر این اساس برای حفاظت از امنیت ملی تعیین شده است.</w:t>
      </w:r>
    </w:p>
    <w:p>
      <w:pPr>
        <w:spacing w:after="28" w:line="216" w:lineRule="auto"/>
        <w:ind w:left="259"/>
        <w:jc w:val="left"/>
      </w:pPr>
      <w:r>
        <w:rPr>
          <w:rFonts w:ascii="Arial" w:hAnsi="Arial"/>
          <w:color w:val="525252"/>
          <w:sz w:val="13"/>
        </w:rPr>
        <w:t>Classified information is designated accordingly to protect national security.</w:t>
      </w:r>
    </w:p>
    <w:p>
      <w:pPr>
        <w:spacing w:after="20" w:line="223" w:lineRule="auto"/>
        <w:jc w:val="right"/>
        <w:bidi/>
      </w:pPr>
      <w:r>
        <w:rPr>
          <w:rFonts w:ascii="Arial" w:hAnsi="Arial"/>
          <w:sz w:val="16"/>
        </w:rPr>
        <w:t>332.09  سه سطح طبقه بندی وجود دارد: فوق سری، محرمانه و محرمانه.</w:t>
      </w:r>
    </w:p>
    <w:p>
      <w:pPr>
        <w:spacing w:after="28" w:line="216" w:lineRule="auto"/>
        <w:ind w:left="259"/>
        <w:jc w:val="left"/>
      </w:pPr>
      <w:r>
        <w:rPr>
          <w:rFonts w:ascii="Arial" w:hAnsi="Arial"/>
          <w:color w:val="525252"/>
          <w:sz w:val="13"/>
        </w:rPr>
        <w:t>There are three levels of classification: Top Secret, Secret, and Confidential.</w:t>
      </w:r>
    </w:p>
    <w:p>
      <w:pPr>
        <w:spacing w:after="20" w:line="223" w:lineRule="auto"/>
        <w:jc w:val="right"/>
        <w:bidi/>
      </w:pPr>
      <w:r>
        <w:rPr>
          <w:rFonts w:ascii="Arial" w:hAnsi="Arial"/>
          <w:sz w:val="16"/>
        </w:rPr>
        <w:t>332.10  هر فردی مسئول ارائه حفاظت‌های مناسب برای اطلاعات طبقه بندی شده، گزارش حوادث امنیتی و درک تحریم‌ها برای عدم رعایت است.</w:t>
      </w:r>
    </w:p>
    <w:p>
      <w:pPr>
        <w:spacing w:after="28" w:line="216" w:lineRule="auto"/>
        <w:ind w:left="259"/>
        <w:jc w:val="left"/>
      </w:pPr>
      <w:r>
        <w:rPr>
          <w:rFonts w:ascii="Arial" w:hAnsi="Arial"/>
          <w:color w:val="525252"/>
          <w:sz w:val="13"/>
        </w:rPr>
        <w:t>Each individual is responsible for providing the proper safeguards for classified information, reporting security incidents, and understanding the sanctions for noncompliance.</w:t>
      </w:r>
    </w:p>
    <w:p>
      <w:pPr>
        <w:spacing w:after="20" w:line="223" w:lineRule="auto"/>
        <w:jc w:val="right"/>
        <w:bidi/>
      </w:pPr>
      <w:r>
        <w:rPr>
          <w:rFonts w:ascii="Arial" w:hAnsi="Arial"/>
          <w:sz w:val="16"/>
        </w:rPr>
        <w:t>332.11  فوق سری.</w:t>
      </w:r>
    </w:p>
    <w:p>
      <w:pPr>
        <w:spacing w:after="28" w:line="216" w:lineRule="auto"/>
        <w:ind w:left="259"/>
        <w:jc w:val="left"/>
      </w:pPr>
      <w:r>
        <w:rPr>
          <w:rFonts w:ascii="Arial" w:hAnsi="Arial"/>
          <w:color w:val="525252"/>
          <w:sz w:val="13"/>
        </w:rPr>
        <w:t>Top Secret.</w:t>
      </w:r>
    </w:p>
    <w:p>
      <w:pPr>
        <w:spacing w:after="20" w:line="223" w:lineRule="auto"/>
        <w:jc w:val="right"/>
        <w:bidi/>
      </w:pPr>
      <w:r>
        <w:rPr>
          <w:rFonts w:ascii="Arial" w:hAnsi="Arial"/>
          <w:sz w:val="16"/>
        </w:rPr>
        <w:t>332.12  کاملا محرمانه باید در مورد اطلاعاتی اعمال شود که افشای غیرمجاز آنها به‌طور منطقی انتظار می‌رود به امنیت ملی آسیب جدی وارد کند که مرجع طبقه‌بندی اصلی قادر به شناسایی یا توصیف آن باشد.</w:t>
      </w:r>
    </w:p>
    <w:p>
      <w:pPr>
        <w:spacing w:after="28" w:line="216" w:lineRule="auto"/>
        <w:ind w:left="259"/>
        <w:jc w:val="left"/>
      </w:pPr>
      <w:r>
        <w:rPr>
          <w:rFonts w:ascii="Arial" w:hAnsi="Arial"/>
          <w:color w:val="525252"/>
          <w:sz w:val="13"/>
        </w:rPr>
        <w:t>Top Secret shall be applied to information that the unauthorized disclosure of which reasonably could be expected to cause exceptionally grave damage to the national security that the original classification authority is able to identify or describe.</w:t>
      </w:r>
    </w:p>
    <w:p>
      <w:pPr>
        <w:spacing w:after="20" w:line="223" w:lineRule="auto"/>
        <w:jc w:val="right"/>
        <w:bidi/>
      </w:pPr>
      <w:r>
        <w:rPr>
          <w:rFonts w:ascii="Arial" w:hAnsi="Arial"/>
          <w:sz w:val="16"/>
        </w:rPr>
        <w:t>332.13  راز.</w:t>
      </w:r>
    </w:p>
    <w:p>
      <w:pPr>
        <w:spacing w:after="28" w:line="216" w:lineRule="auto"/>
        <w:ind w:left="259"/>
        <w:jc w:val="left"/>
      </w:pPr>
      <w:r>
        <w:rPr>
          <w:rFonts w:ascii="Arial" w:hAnsi="Arial"/>
          <w:color w:val="525252"/>
          <w:sz w:val="13"/>
        </w:rPr>
        <w:t>Secret.</w:t>
      </w:r>
    </w:p>
    <w:p>
      <w:pPr>
        <w:spacing w:after="20" w:line="223" w:lineRule="auto"/>
        <w:jc w:val="right"/>
        <w:bidi/>
      </w:pPr>
      <w:r>
        <w:rPr>
          <w:rFonts w:ascii="Arial" w:hAnsi="Arial"/>
          <w:sz w:val="16"/>
        </w:rPr>
        <w:t>332.14  راز باید در مورد اطلاعاتی اعمال شود که افشای غیرمجاز آنها به‌طور منطقی انتظار می‌رود به امنیت ملی آسیب جدی وارد کند که مرجع طبقه بندی اصلی قادر به شناسایی یا توصیف آن است.</w:t>
      </w:r>
    </w:p>
    <w:p>
      <w:pPr>
        <w:spacing w:after="28" w:line="216" w:lineRule="auto"/>
        <w:ind w:left="259"/>
        <w:jc w:val="left"/>
      </w:pPr>
      <w:r>
        <w:rPr>
          <w:rFonts w:ascii="Arial" w:hAnsi="Arial"/>
          <w:color w:val="525252"/>
          <w:sz w:val="13"/>
        </w:rPr>
        <w:t>Secret shall be applied to information that the unauthorized disclosure of which reasonably could be expected to cause serious damage to the national security that the original classification authority is able to identify or describe.</w:t>
      </w:r>
    </w:p>
    <w:p>
      <w:pPr>
        <w:spacing w:after="20" w:line="223" w:lineRule="auto"/>
        <w:jc w:val="right"/>
        <w:bidi/>
      </w:pPr>
      <w:r>
        <w:rPr>
          <w:rFonts w:ascii="Arial" w:hAnsi="Arial"/>
          <w:sz w:val="16"/>
        </w:rPr>
        <w:t>332.15  محرمانه.</w:t>
      </w:r>
    </w:p>
    <w:p>
      <w:pPr>
        <w:spacing w:after="28" w:line="216" w:lineRule="auto"/>
        <w:ind w:left="259"/>
        <w:jc w:val="left"/>
      </w:pPr>
      <w:r>
        <w:rPr>
          <w:rFonts w:ascii="Arial" w:hAnsi="Arial"/>
          <w:color w:val="525252"/>
          <w:sz w:val="13"/>
        </w:rPr>
        <w:t>Confidential.</w:t>
      </w:r>
    </w:p>
    <w:p>
      <w:pPr>
        <w:spacing w:after="20" w:line="223" w:lineRule="auto"/>
        <w:jc w:val="right"/>
        <w:bidi/>
      </w:pPr>
      <w:r>
        <w:rPr>
          <w:rFonts w:ascii="Arial" w:hAnsi="Arial"/>
          <w:sz w:val="16"/>
        </w:rPr>
        <w:t>332.16  محرمانه باید در مورد اطلاعاتی اعمال شود که افشای غیرمجاز آنها به‌طور منطقی انتظار می‌رود به امنیت ملی آسیب وارد کند که مرجع طبقه بندی اصلی قادر به شناسایی یا توصیف آن است.</w:t>
      </w:r>
    </w:p>
    <w:p>
      <w:pPr>
        <w:spacing w:after="28" w:line="216" w:lineRule="auto"/>
        <w:ind w:left="259"/>
        <w:jc w:val="left"/>
      </w:pPr>
      <w:r>
        <w:rPr>
          <w:rFonts w:ascii="Arial" w:hAnsi="Arial"/>
          <w:color w:val="525252"/>
          <w:sz w:val="13"/>
        </w:rPr>
        <w:t>Confidential shall be applied to information that the unauthorized disclosure of which reasonably could be expected to cause damage to the national security that the original classification authority is able to identify or describe.</w:t>
      </w:r>
    </w:p>
    <w:p>
      <w:pPr>
        <w:spacing w:after="20" w:line="223" w:lineRule="auto"/>
        <w:jc w:val="right"/>
        <w:bidi/>
      </w:pPr>
      <w:r>
        <w:rPr>
          <w:rFonts w:ascii="Arial" w:hAnsi="Arial"/>
          <w:sz w:val="16"/>
        </w:rPr>
        <w:t>332.17  ۱۸.۱۱. اطلاعات طبقه بندی نشده کنترل شده (CUI).</w:t>
      </w:r>
    </w:p>
    <w:p>
      <w:pPr>
        <w:spacing w:after="28" w:line="216" w:lineRule="auto"/>
        <w:ind w:left="259"/>
        <w:jc w:val="left"/>
      </w:pPr>
      <w:r>
        <w:rPr>
          <w:rFonts w:ascii="Arial" w:hAnsi="Arial"/>
          <w:color w:val="525252"/>
          <w:sz w:val="13"/>
        </w:rPr>
        <w:t>18.11. Controlled Unclassified Information (CUI).</w:t>
      </w:r>
    </w:p>
    <w:p>
      <w:pPr>
        <w:spacing w:after="20" w:line="223" w:lineRule="auto"/>
        <w:jc w:val="right"/>
        <w:bidi/>
      </w:pPr>
      <w:r>
        <w:rPr>
          <w:rFonts w:ascii="Arial" w:hAnsi="Arial"/>
          <w:sz w:val="16"/>
        </w:rPr>
        <w:t>332.18  CUI اطلاعاتی است که دولت ایجاد می‌کند یا در اختیار دارد، یا یک نهاد برای یا از طرف دولت ایجاد یا در اختیار دارد، که یک قانون، مقررات، یا خط‌مشی سراسری دولت، آژانس را ملزم می‌کند یا به آن اجازه می‌دهد با استفاده از کنترل‌های حفاظتی یا انتشار آن را مدیریت کند.</w:t>
      </w:r>
    </w:p>
    <w:p>
      <w:pPr>
        <w:spacing w:after="28" w:line="216" w:lineRule="auto"/>
        <w:ind w:left="259"/>
        <w:jc w:val="left"/>
      </w:pPr>
      <w:r>
        <w:rPr>
          <w:rFonts w:ascii="Arial" w:hAnsi="Arial"/>
          <w:color w:val="525252"/>
          <w:sz w:val="13"/>
        </w:rPr>
        <w:t>CUI is information the government creates or possesses, or that an entity creates or possesses for or on behalf of the government, that a law, regulation, or Government-wide policy requires or permits an agency to handle using safeguarding or dissemination controls.</w:t>
      </w:r>
    </w:p>
    <w:p>
      <w:pPr>
        <w:spacing w:after="20" w:line="223" w:lineRule="auto"/>
        <w:jc w:val="right"/>
        <w:bidi/>
      </w:pPr>
      <w:r>
        <w:rPr>
          <w:rFonts w:ascii="Arial" w:hAnsi="Arial"/>
          <w:sz w:val="16"/>
        </w:rPr>
        <w:t>332.19  الزامات، کنترل‌ها و اقدامات حفاظتی توسعه‌یافته برای این مواد در دودی ۵۲۰۰.۴۸_AFI ۱۶-۱۴۰۳، اطلاعات طبقه‌بندی نشده کنترل‌شده یافت می‌شود.</w:t>
      </w:r>
    </w:p>
    <w:p>
      <w:pPr>
        <w:spacing w:after="28" w:line="216" w:lineRule="auto"/>
        <w:ind w:left="259"/>
        <w:jc w:val="left"/>
      </w:pPr>
      <w:r>
        <w:rPr>
          <w:rFonts w:ascii="Arial" w:hAnsi="Arial"/>
          <w:color w:val="525252"/>
          <w:sz w:val="13"/>
        </w:rPr>
        <w:t>Requirements, controls, and protective measures developed for these materials are found in DoDI 5200.48_AFI 16-1403, Controlled Unclassified Information.</w:t>
      </w:r>
    </w:p>
    <w:p>
      <w:pPr>
        <w:spacing w:after="20" w:line="223" w:lineRule="auto"/>
        <w:jc w:val="right"/>
        <w:bidi/>
      </w:pPr>
      <w:r>
        <w:rPr>
          <w:rFonts w:ascii="Arial" w:hAnsi="Arial"/>
          <w:sz w:val="16"/>
        </w:rPr>
        <w:t>332.20  طبقه بندی اصلی.</w:t>
      </w:r>
    </w:p>
    <w:p>
      <w:pPr>
        <w:spacing w:after="28" w:line="216" w:lineRule="auto"/>
        <w:ind w:left="259"/>
        <w:jc w:val="left"/>
      </w:pPr>
      <w:r>
        <w:rPr>
          <w:rFonts w:ascii="Arial" w:hAnsi="Arial"/>
          <w:color w:val="525252"/>
          <w:sz w:val="13"/>
        </w:rPr>
        <w:t>Original Classification.</w:t>
      </w:r>
    </w:p>
    <w:p>
      <w:pPr>
        <w:spacing w:after="20" w:line="223" w:lineRule="auto"/>
        <w:jc w:val="right"/>
        <w:bidi/>
      </w:pPr>
      <w:r>
        <w:rPr>
          <w:rFonts w:ascii="Arial" w:hAnsi="Arial"/>
          <w:sz w:val="16"/>
        </w:rPr>
        <w:t>332.21  طبقه‌بندی اصلی تصمیم اولیه توسط یک مرجع طبقه‌بندی اصلی است مبنی بر اینکه به‌طور منطقی انتظار می‌رود که یک مورد از اطلاعات آسیب قابل شناسایی یا توصیفی را به امنیت ملی وارد کند که در معرض افشای غیرمجاز قرار دارد و به حفاظت از منافع امنیت ملی نیاز دارد.</w:t>
      </w:r>
    </w:p>
    <w:p>
      <w:pPr>
        <w:spacing w:after="28" w:line="216" w:lineRule="auto"/>
        <w:ind w:left="259"/>
        <w:jc w:val="left"/>
      </w:pPr>
      <w:r>
        <w:rPr>
          <w:rFonts w:ascii="Arial" w:hAnsi="Arial"/>
          <w:color w:val="525252"/>
          <w:sz w:val="13"/>
        </w:rPr>
        <w:t>Original classification is the initial decision by an original classification authority that an item of information could reasonably be expected to cause identifiable or describable damage to the national security subjected to unauthorized disclosure and requires protection in the interest of national security.</w:t>
      </w:r>
    </w:p>
    <w:p>
      <w:pPr>
        <w:spacing w:after="20" w:line="223" w:lineRule="auto"/>
        <w:jc w:val="right"/>
        <w:bidi/>
      </w:pPr>
      <w:r>
        <w:rPr>
          <w:rFonts w:ascii="Arial" w:hAnsi="Arial"/>
          <w:sz w:val="16"/>
        </w:rPr>
        <w:t>332.22  فقط مقاماتی که به صورت کتبی تعیین شده‌اند می‌توانند تصمیمات اصلی طبقه‌بندی را اتخاذ کنند.</w:t>
      </w:r>
    </w:p>
    <w:p>
      <w:pPr>
        <w:spacing w:after="28" w:line="216" w:lineRule="auto"/>
        <w:ind w:left="259"/>
        <w:jc w:val="left"/>
      </w:pPr>
      <w:r>
        <w:rPr>
          <w:rFonts w:ascii="Arial" w:hAnsi="Arial"/>
          <w:color w:val="525252"/>
          <w:sz w:val="13"/>
        </w:rPr>
        <w:t>Only officials designated in writing may make original classification decisions.</w:t>
      </w:r>
    </w:p>
    <w:p>
      <w:pPr>
        <w:spacing w:after="20" w:line="223" w:lineRule="auto"/>
        <w:jc w:val="right"/>
        <w:bidi/>
      </w:pPr>
      <w:r>
        <w:rPr>
          <w:rFonts w:ascii="Arial" w:hAnsi="Arial"/>
          <w:sz w:val="16"/>
        </w:rPr>
        <w:t>332.23  طبقه بندی مشتق.</w:t>
      </w:r>
    </w:p>
    <w:p>
      <w:pPr>
        <w:spacing w:after="28" w:line="216" w:lineRule="auto"/>
        <w:ind w:left="259"/>
        <w:jc w:val="left"/>
      </w:pPr>
      <w:r>
        <w:rPr>
          <w:rFonts w:ascii="Arial" w:hAnsi="Arial"/>
          <w:color w:val="525252"/>
          <w:sz w:val="13"/>
        </w:rPr>
        <w:t>Derivative Classification.</w:t>
      </w:r>
    </w:p>
    <w:p>
      <w:pPr>
        <w:spacing w:after="20" w:line="223" w:lineRule="auto"/>
        <w:jc w:val="right"/>
        <w:bidi/>
      </w:pPr>
      <w:r>
        <w:rPr>
          <w:rFonts w:ascii="Arial" w:hAnsi="Arial"/>
          <w:sz w:val="16"/>
        </w:rPr>
        <w:t>332.24  سیاست USAF شناسایی، طبقه‌بندی، تنزل رتبه، طبقه‌بندی، علامت‌گذاری و حفاظت از اطلاعات و سوابق طبقه‌بندی‌شده و از بین بردن سوابق طبقه‌بندی شده حاوی اطلاعات طبقه‌بندی شده، مطابق با سیاست ملی است.</w:t>
      </w:r>
    </w:p>
    <w:p>
      <w:pPr>
        <w:spacing w:after="28" w:line="216" w:lineRule="auto"/>
        <w:ind w:left="259"/>
        <w:jc w:val="left"/>
      </w:pPr>
      <w:r>
        <w:rPr>
          <w:rFonts w:ascii="Arial" w:hAnsi="Arial"/>
          <w:color w:val="525252"/>
          <w:sz w:val="13"/>
        </w:rPr>
        <w:t>USAF policy is to identify, classify, downgrade, declassify, mark, and protect classified information and records, and to destroy classified records containing classified information, consistent with national policy.</w:t>
      </w:r>
    </w:p>
    <w:p>
      <w:pPr>
        <w:spacing w:after="20" w:line="223" w:lineRule="auto"/>
        <w:jc w:val="right"/>
        <w:bidi/>
      </w:pPr>
      <w:r>
        <w:rPr>
          <w:rFonts w:ascii="Arial" w:hAnsi="Arial"/>
          <w:sz w:val="16"/>
        </w:rPr>
        <w:t>332.25  CUI نیز طبق خط‌مشی ملی محافظت خواهد شد.</w:t>
      </w:r>
    </w:p>
    <w:p>
      <w:pPr>
        <w:spacing w:after="28" w:line="216" w:lineRule="auto"/>
        <w:ind w:left="259"/>
        <w:jc w:val="left"/>
      </w:pPr>
      <w:r>
        <w:rPr>
          <w:rFonts w:ascii="Arial" w:hAnsi="Arial"/>
          <w:color w:val="525252"/>
          <w:sz w:val="13"/>
        </w:rPr>
        <w:t>CUI will also be protected per national policy.</w:t>
      </w:r>
    </w:p>
    <w:p>
      <w:pPr>
        <w:spacing w:after="20" w:line="223" w:lineRule="auto"/>
        <w:jc w:val="right"/>
        <w:bidi/>
      </w:pPr>
      <w:r>
        <w:rPr>
          <w:rFonts w:ascii="Arial" w:hAnsi="Arial"/>
          <w:sz w:val="16"/>
        </w:rPr>
        <w:t>332.26  در داخل</w:t>
      </w:r>
    </w:p>
    <w:p>
      <w:pPr>
        <w:spacing w:after="28" w:line="216" w:lineRule="auto"/>
        <w:ind w:left="259"/>
        <w:jc w:val="left"/>
      </w:pPr>
      <w:r>
        <w:rPr>
          <w:rFonts w:ascii="Arial" w:hAnsi="Arial"/>
          <w:color w:val="525252"/>
          <w:sz w:val="13"/>
        </w:rPr>
        <w:t>Within</w:t>
      </w:r>
    </w:p>
    <w:p>
      <w:r>
        <w:br w:type="page"/>
      </w:r>
    </w:p>
    <w:p>
      <w:pPr>
        <w:spacing w:after="60"/>
        <w:jc w:val="right"/>
        <w:bidi/>
      </w:pPr>
      <w:r>
        <w:rPr>
          <w:rFonts w:ascii="Arial" w:hAnsi="Arial"/>
          <w:b/>
          <w:color w:val="1F4D78"/>
          <w:sz w:val="19"/>
        </w:rPr>
        <w:t>هفتهٔ 333  |  صفحهٔ منبع: 349</w:t>
      </w:r>
    </w:p>
    <w:p>
      <w:pPr>
        <w:spacing w:after="20" w:line="223" w:lineRule="auto"/>
        <w:jc w:val="right"/>
        <w:bidi/>
      </w:pPr>
      <w:r>
        <w:rPr>
          <w:rFonts w:ascii="Arial" w:hAnsi="Arial"/>
          <w:sz w:val="16"/>
        </w:rPr>
        <w:t>333.01  وزارت دفاع همه پرسنل تسویه شده مجاز به طبقه بندی اشتقاقی اطلاعات هستند، در صورتی که: ۱) قبل از تصمیم‌گیری در مورد طبقه بندی مشتق، آموزش اولیه را دیده باشند، و ۲) هر سال آموزش تجدید پذیر گیرنده را داشته باشند.</w:t>
      </w:r>
    </w:p>
    <w:p>
      <w:pPr>
        <w:spacing w:after="28" w:line="216" w:lineRule="auto"/>
        <w:ind w:left="259"/>
        <w:jc w:val="left"/>
      </w:pPr>
      <w:r>
        <w:rPr>
          <w:rFonts w:ascii="Arial" w:hAnsi="Arial"/>
          <w:color w:val="525252"/>
          <w:sz w:val="13"/>
        </w:rPr>
        <w:t>the Department of Defense all cleared personnel are authorized to derivatively classify information, if: 1) they have received initial training before making derivative classification decisions, and 2) they have receiver refresher training every year.</w:t>
      </w:r>
    </w:p>
    <w:p>
      <w:pPr>
        <w:spacing w:after="20" w:line="223" w:lineRule="auto"/>
        <w:jc w:val="right"/>
        <w:bidi/>
      </w:pPr>
      <w:r>
        <w:rPr>
          <w:rFonts w:ascii="Arial" w:hAnsi="Arial"/>
          <w:sz w:val="16"/>
        </w:rPr>
        <w:t>333.02  طبقه‌بندی مشتق عبارت است از ترکیب، بازنویسی، بیان مجدد یا تولید اطلاعات طبقه‌بندی شده در فرم یا سند جدید.</w:t>
      </w:r>
    </w:p>
    <w:p>
      <w:pPr>
        <w:spacing w:after="28" w:line="216" w:lineRule="auto"/>
        <w:ind w:left="259"/>
        <w:jc w:val="left"/>
      </w:pPr>
      <w:r>
        <w:rPr>
          <w:rFonts w:ascii="Arial" w:hAnsi="Arial"/>
          <w:color w:val="525252"/>
          <w:sz w:val="13"/>
        </w:rPr>
        <w:t>Derivative classification is the incorporating, paraphrasing, restating, or generating classified information in a new form or document.</w:t>
      </w:r>
    </w:p>
    <w:p>
      <w:pPr>
        <w:spacing w:after="20" w:line="223" w:lineRule="auto"/>
        <w:jc w:val="right"/>
        <w:bidi/>
      </w:pPr>
      <w:r>
        <w:rPr>
          <w:rFonts w:ascii="Arial" w:hAnsi="Arial"/>
          <w:sz w:val="16"/>
        </w:rPr>
        <w:t>333.03  طبقه‌بندی‌کننده‌های مشتق باید از انواع منابع مجاز برای تصمیم‌گیری استفاده کنند.</w:t>
      </w:r>
    </w:p>
    <w:p>
      <w:pPr>
        <w:spacing w:after="28" w:line="216" w:lineRule="auto"/>
        <w:ind w:left="259"/>
        <w:jc w:val="left"/>
      </w:pPr>
      <w:r>
        <w:rPr>
          <w:rFonts w:ascii="Arial" w:hAnsi="Arial"/>
          <w:color w:val="525252"/>
          <w:sz w:val="13"/>
        </w:rPr>
        <w:t>Derivative classifiers must use authorized types of sources for making decisions.</w:t>
      </w:r>
    </w:p>
    <w:p>
      <w:pPr>
        <w:spacing w:after="20" w:line="223" w:lineRule="auto"/>
        <w:jc w:val="right"/>
        <w:bidi/>
      </w:pPr>
      <w:r>
        <w:rPr>
          <w:rFonts w:ascii="Arial" w:hAnsi="Arial"/>
          <w:sz w:val="16"/>
        </w:rPr>
        <w:t>333.04  یکی از مهمترین مسئولیت‌های طبقه بندی کننده مشتق، رعایت و احترام به تشخیص‌های طبقه بندی انجام شده توسط یک مرجع طبقه بندی اصلی است.</w:t>
      </w:r>
    </w:p>
    <w:p>
      <w:pPr>
        <w:spacing w:after="28" w:line="216" w:lineRule="auto"/>
        <w:ind w:left="259"/>
        <w:jc w:val="left"/>
      </w:pPr>
      <w:r>
        <w:rPr>
          <w:rFonts w:ascii="Arial" w:hAnsi="Arial"/>
          <w:color w:val="525252"/>
          <w:sz w:val="13"/>
        </w:rPr>
        <w:t>One of the most important responsibilities of the derivative classifier is to observe and respect the classification determinations made by an original classification authority.</w:t>
      </w:r>
    </w:p>
    <w:p>
      <w:pPr>
        <w:spacing w:after="20" w:line="223" w:lineRule="auto"/>
        <w:jc w:val="right"/>
        <w:bidi/>
      </w:pPr>
      <w:r>
        <w:rPr>
          <w:rFonts w:ascii="Arial" w:hAnsi="Arial"/>
          <w:sz w:val="16"/>
        </w:rPr>
        <w:t>333.05  علامت گذاری اطلاعات طبقه بندی شده.</w:t>
      </w:r>
    </w:p>
    <w:p>
      <w:pPr>
        <w:spacing w:after="28" w:line="216" w:lineRule="auto"/>
        <w:ind w:left="259"/>
        <w:jc w:val="left"/>
      </w:pPr>
      <w:r>
        <w:rPr>
          <w:rFonts w:ascii="Arial" w:hAnsi="Arial"/>
          <w:color w:val="525252"/>
          <w:sz w:val="13"/>
        </w:rPr>
        <w:t>Marking Classified Information.</w:t>
      </w:r>
    </w:p>
    <w:p>
      <w:pPr>
        <w:spacing w:after="20" w:line="223" w:lineRule="auto"/>
        <w:jc w:val="right"/>
        <w:bidi/>
      </w:pPr>
      <w:r>
        <w:rPr>
          <w:rFonts w:ascii="Arial" w:hAnsi="Arial"/>
          <w:sz w:val="16"/>
        </w:rPr>
        <w:t>333.06  تمام اطلاعات طبقه بندی شده باید به وضوح با علامت گذاری، نامگذاری، یا برچسب گذاری الکترونیکی مطابق با دودم۵۲۰۰.۰۱و۲_AFMAN۱۶- ۱۴۰۴و۲، برنامه امنیت اطلاعات: علامت گذاری اطلاعات طبقه بندی شده مشخص شود.</w:t>
      </w:r>
    </w:p>
    <w:p>
      <w:pPr>
        <w:spacing w:after="28" w:line="216" w:lineRule="auto"/>
        <w:ind w:left="259"/>
        <w:jc w:val="left"/>
      </w:pPr>
      <w:r>
        <w:rPr>
          <w:rFonts w:ascii="Arial" w:hAnsi="Arial"/>
          <w:color w:val="525252"/>
          <w:sz w:val="13"/>
        </w:rPr>
        <w:t>All classified information shall be clearly identified by marking, designation, or electronic labelling in accordance with DoDM5200.01V2_AFMAN16- 1404V2, Information Security Program: Marking of Classified Information.</w:t>
      </w:r>
    </w:p>
    <w:p>
      <w:pPr>
        <w:spacing w:after="20" w:line="223" w:lineRule="auto"/>
        <w:jc w:val="right"/>
        <w:bidi/>
      </w:pPr>
      <w:r>
        <w:rPr>
          <w:rFonts w:ascii="Arial" w:hAnsi="Arial"/>
          <w:sz w:val="16"/>
        </w:rPr>
        <w:t>333.07  علامت‌گذاری اطلاعات طبقه‌بندی شده برای: هشدار به دارندگان در مورد وجود اطلاعات طبقه‌بندی شده. شناسایی اطلاعات نیاز به حفاظت؛ سطح طبقه بندی اختصاص داده شده به اطلاعات را نشان می‌دهد. ارائه راهنمایی در مورد تنزل رتبه (در صورت وجود) و حذف طبقه بندی؛ اطلاعاتی در مورد منابع و دلایل طبقه بندی ارائه دهید. به دارندگان دسترسی، کنترل، یا الزامات حفاظتی ویژه اطلاع دهید. و ترویج به اشتراک گذاری اطلاعات، تسهیل استفاده عاقلانه از منابع، و ساده سازی مدیریت از طریق اجرای فرآیندهای یکسان و استاندارد.</w:t>
      </w:r>
    </w:p>
    <w:p>
      <w:pPr>
        <w:spacing w:after="28" w:line="216" w:lineRule="auto"/>
        <w:ind w:left="259"/>
        <w:jc w:val="left"/>
      </w:pPr>
      <w:r>
        <w:rPr>
          <w:rFonts w:ascii="Arial" w:hAnsi="Arial"/>
          <w:color w:val="525252"/>
          <w:sz w:val="13"/>
        </w:rPr>
        <w:t>Marking classified information serves to: alert holders to the presence of classified information; identify the information needing protection; indicate the level of classification assigned to the information; provide guidance on downgrading (if any) and declassification; give information on the sources of and reasons for classification; notify holders of special access, control, or safeguarding requirements; and promote information sharing, facilitate judicious use of resources, and simplify management through implementation of uniform and standardized processes.</w:t>
      </w:r>
    </w:p>
    <w:p>
      <w:pPr>
        <w:spacing w:after="20" w:line="223" w:lineRule="auto"/>
        <w:jc w:val="right"/>
        <w:bidi/>
      </w:pPr>
      <w:r>
        <w:rPr>
          <w:rFonts w:ascii="Arial" w:hAnsi="Arial"/>
          <w:sz w:val="16"/>
        </w:rPr>
        <w:t>333.08  علامت گذاری‌های خاص روی اسناد.</w:t>
      </w:r>
    </w:p>
    <w:p>
      <w:pPr>
        <w:spacing w:after="28" w:line="216" w:lineRule="auto"/>
        <w:ind w:left="259"/>
        <w:jc w:val="left"/>
      </w:pPr>
      <w:r>
        <w:rPr>
          <w:rFonts w:ascii="Arial" w:hAnsi="Arial"/>
          <w:color w:val="525252"/>
          <w:sz w:val="13"/>
        </w:rPr>
        <w:t>Specific Markings on Documents.</w:t>
      </w:r>
    </w:p>
    <w:p>
      <w:pPr>
        <w:spacing w:after="20" w:line="223" w:lineRule="auto"/>
        <w:jc w:val="right"/>
        <w:bidi/>
      </w:pPr>
      <w:r>
        <w:rPr>
          <w:rFonts w:ascii="Arial" w:hAnsi="Arial"/>
          <w:sz w:val="16"/>
        </w:rPr>
        <w:t>333.09  هر سند طبقه بندی شده باید علامت گذاری شود تا بالاترین طبقه بندی اطلاعات موجود در سند را نشان دهد.</w:t>
      </w:r>
    </w:p>
    <w:p>
      <w:pPr>
        <w:spacing w:after="28" w:line="216" w:lineRule="auto"/>
        <w:ind w:left="259"/>
        <w:jc w:val="left"/>
      </w:pPr>
      <w:r>
        <w:rPr>
          <w:rFonts w:ascii="Arial" w:hAnsi="Arial"/>
          <w:color w:val="525252"/>
          <w:sz w:val="13"/>
        </w:rPr>
        <w:t>Every classified document must be marked to show the highest classification of information contained within the document.</w:t>
      </w:r>
    </w:p>
    <w:p>
      <w:pPr>
        <w:spacing w:after="20" w:line="223" w:lineRule="auto"/>
        <w:jc w:val="right"/>
        <w:bidi/>
      </w:pPr>
      <w:r>
        <w:rPr>
          <w:rFonts w:ascii="Arial" w:hAnsi="Arial"/>
          <w:sz w:val="16"/>
        </w:rPr>
        <w:t>333.10  علامت گذاری باید به اندازه کافی مشخص باشد تا به هر کسی که سند را مدیریت می‌کند هشدار دهد که سند طبقه بندی شده است.</w:t>
      </w:r>
    </w:p>
    <w:p>
      <w:pPr>
        <w:spacing w:after="28" w:line="216" w:lineRule="auto"/>
        <w:ind w:left="259"/>
        <w:jc w:val="left"/>
      </w:pPr>
      <w:r>
        <w:rPr>
          <w:rFonts w:ascii="Arial" w:hAnsi="Arial"/>
          <w:color w:val="525252"/>
          <w:sz w:val="13"/>
        </w:rPr>
        <w:t>The marking must be conspicuous enough to alert anyone handling the document that the document is classified.</w:t>
      </w:r>
    </w:p>
    <w:p>
      <w:pPr>
        <w:spacing w:after="20" w:line="223" w:lineRule="auto"/>
        <w:jc w:val="right"/>
        <w:bidi/>
      </w:pPr>
      <w:r>
        <w:rPr>
          <w:rFonts w:ascii="Arial" w:hAnsi="Arial"/>
          <w:sz w:val="16"/>
        </w:rPr>
        <w:t>333.11  هر سند حاوی طبقه‌بندی کلی سند، خطوط بنر، علامت‌های قسمتی است که سطح طبقه‌بندی اطلاعات طبقه‌بندی شده خاص را در سند، بلوک مرجع طبقه‌بندی، تاریخ مبدا، و دستورالعمل‌های کاهش رتبه، در صورت وجود، و دستورالعمل‌های طبقه‌بندی را نشان می‌دهد.</w:t>
      </w:r>
    </w:p>
    <w:p>
      <w:pPr>
        <w:spacing w:after="28" w:line="216" w:lineRule="auto"/>
        <w:ind w:left="259"/>
        <w:jc w:val="left"/>
      </w:pPr>
      <w:r>
        <w:rPr>
          <w:rFonts w:ascii="Arial" w:hAnsi="Arial"/>
          <w:color w:val="525252"/>
          <w:sz w:val="13"/>
        </w:rPr>
        <w:t>Every document will contain the overall classification of the document, banner lines, portion markings indicating the classification level of specific classified information within the document, the classification authority block, date of origin, and downgrading instructions, if any, and declassification instructions.</w:t>
      </w:r>
    </w:p>
    <w:p>
      <w:pPr>
        <w:spacing w:after="20" w:line="223" w:lineRule="auto"/>
        <w:jc w:val="right"/>
        <w:bidi/>
      </w:pPr>
      <w:r>
        <w:rPr>
          <w:rFonts w:ascii="Arial" w:hAnsi="Arial"/>
          <w:sz w:val="16"/>
        </w:rPr>
        <w:t>333.12  سه علامت گذاری رایج در یک سند طبقه بندی شده عبارتند از خطوط بنر، علامت گذاری بخش، و بلوک مرجع طبقه بندی.</w:t>
      </w:r>
    </w:p>
    <w:p>
      <w:pPr>
        <w:spacing w:after="28" w:line="216" w:lineRule="auto"/>
        <w:ind w:left="259"/>
        <w:jc w:val="left"/>
      </w:pPr>
      <w:r>
        <w:rPr>
          <w:rFonts w:ascii="Arial" w:hAnsi="Arial"/>
          <w:color w:val="525252"/>
          <w:sz w:val="13"/>
        </w:rPr>
        <w:t>The three most common markings on a classified document are the banner lines, portion markings, and the classification authority block.</w:t>
      </w:r>
    </w:p>
    <w:p>
      <w:pPr>
        <w:spacing w:after="20" w:line="223" w:lineRule="auto"/>
        <w:jc w:val="right"/>
        <w:bidi/>
      </w:pPr>
      <w:r>
        <w:rPr>
          <w:rFonts w:ascii="Arial" w:hAnsi="Arial"/>
          <w:sz w:val="16"/>
        </w:rPr>
        <w:t>333.13  برای اطلاعات بیشتر و تصاویر علامت گذاری به دودم۵۲۰۰.۰۱و۲_DAFMAN۱۶-۱۴۰۴و۲ مراجعه کنید.</w:t>
      </w:r>
    </w:p>
    <w:p>
      <w:pPr>
        <w:spacing w:after="28" w:line="216" w:lineRule="auto"/>
        <w:ind w:left="259"/>
        <w:jc w:val="left"/>
      </w:pPr>
      <w:r>
        <w:rPr>
          <w:rFonts w:ascii="Arial" w:hAnsi="Arial"/>
          <w:color w:val="525252"/>
          <w:sz w:val="13"/>
        </w:rPr>
        <w:t>Refer to DoDM5200.01V2_DAFMAN16-1404V2, for additional information and marking illustrations.</w:t>
      </w:r>
    </w:p>
    <w:p>
      <w:pPr>
        <w:spacing w:after="20" w:line="223" w:lineRule="auto"/>
        <w:jc w:val="right"/>
        <w:bidi/>
      </w:pPr>
      <w:r>
        <w:rPr>
          <w:rFonts w:ascii="Arial" w:hAnsi="Arial"/>
          <w:sz w:val="16"/>
        </w:rPr>
        <w:t>333.14  حفاظت از اطلاعات طبقه بندی شده.</w:t>
      </w:r>
    </w:p>
    <w:p>
      <w:pPr>
        <w:spacing w:after="28" w:line="216" w:lineRule="auto"/>
        <w:ind w:left="259"/>
        <w:jc w:val="left"/>
      </w:pPr>
      <w:r>
        <w:rPr>
          <w:rFonts w:ascii="Arial" w:hAnsi="Arial"/>
          <w:color w:val="525252"/>
          <w:sz w:val="13"/>
        </w:rPr>
        <w:t>Safeguarding Classified Information.</w:t>
      </w:r>
    </w:p>
    <w:p>
      <w:pPr>
        <w:spacing w:after="20" w:line="223" w:lineRule="auto"/>
        <w:jc w:val="right"/>
        <w:bidi/>
      </w:pPr>
      <w:r>
        <w:rPr>
          <w:rFonts w:ascii="Arial" w:hAnsi="Arial"/>
          <w:sz w:val="16"/>
        </w:rPr>
        <w:t>333.15  هر فردی که با اطلاعات طبقه بندی شده کار می‌کند شخصا مسئول انجام اقدامات احتیاطی مناسب برای اطمینان از عدم دسترسی افراد غیرمجاز به اطلاعات طبقه بندی شده است.</w:t>
      </w:r>
    </w:p>
    <w:p>
      <w:pPr>
        <w:spacing w:after="28" w:line="216" w:lineRule="auto"/>
        <w:ind w:left="259"/>
        <w:jc w:val="left"/>
      </w:pPr>
      <w:r>
        <w:rPr>
          <w:rFonts w:ascii="Arial" w:hAnsi="Arial"/>
          <w:color w:val="525252"/>
          <w:sz w:val="13"/>
        </w:rPr>
        <w:t>Everyone who works with classified information is personally responsible for taking proper precautions to ensure unauthorized persons do not gain access to classified information.</w:t>
      </w:r>
    </w:p>
    <w:p>
      <w:pPr>
        <w:spacing w:after="20" w:line="223" w:lineRule="auto"/>
        <w:jc w:val="right"/>
        <w:bidi/>
      </w:pPr>
      <w:r>
        <w:rPr>
          <w:rFonts w:ascii="Arial" w:hAnsi="Arial"/>
          <w:sz w:val="16"/>
        </w:rPr>
        <w:t>333.16  قبل از اعطای دسترسی به اطلاعات طبقه بندی شده، فرد باید: (۱) واجد شرایط بودن گواهینامه امنیتی، (۲) فرم استاندارد امضا شده (SF) ۳۱۲، توافقنامه عدم افشای اطلاعات طبقه بندی شده، و (۳) نیاز به دانستن را داشته باشد.</w:t>
      </w:r>
    </w:p>
    <w:p>
      <w:pPr>
        <w:spacing w:after="28" w:line="216" w:lineRule="auto"/>
        <w:ind w:left="259"/>
        <w:jc w:val="left"/>
      </w:pPr>
      <w:r>
        <w:rPr>
          <w:rFonts w:ascii="Arial" w:hAnsi="Arial"/>
          <w:color w:val="525252"/>
          <w:sz w:val="13"/>
        </w:rPr>
        <w:t>Before granting access to classified information, the person must have: (1) security clearance eligibility, (2) a signed Standard Form (SF) 312, Classified Information Non-Disclosure Agreement, and (3) a need-to-know.</w:t>
      </w:r>
    </w:p>
    <w:p>
      <w:pPr>
        <w:spacing w:after="20" w:line="223" w:lineRule="auto"/>
        <w:jc w:val="right"/>
        <w:bidi/>
      </w:pPr>
      <w:r>
        <w:rPr>
          <w:rFonts w:ascii="Arial" w:hAnsi="Arial"/>
          <w:sz w:val="16"/>
        </w:rPr>
        <w:t>333.17  فردی که دارای اطلاعات، دانش یا کنترل مجاز است، باید تعیین کند که آیا به فردی که اطلاعات را دریافت می‌کند، مجوز امنیتی مناسب توسط مقام مناسب داده شده است یا خیر.</w:t>
      </w:r>
    </w:p>
    <w:p>
      <w:pPr>
        <w:spacing w:after="28" w:line="216" w:lineRule="auto"/>
        <w:ind w:left="259"/>
        <w:jc w:val="left"/>
      </w:pPr>
      <w:r>
        <w:rPr>
          <w:rFonts w:ascii="Arial" w:hAnsi="Arial"/>
          <w:color w:val="525252"/>
          <w:sz w:val="13"/>
        </w:rPr>
        <w:t>The individual with authorized possession, knowledge, or control of the information must determine whether the person receiving the information has been granted the appropriate security clearance access by proper authority.</w:t>
      </w:r>
    </w:p>
    <w:p>
      <w:pPr>
        <w:spacing w:after="20" w:line="223" w:lineRule="auto"/>
        <w:jc w:val="right"/>
        <w:bidi/>
      </w:pPr>
      <w:r>
        <w:rPr>
          <w:rFonts w:ascii="Arial" w:hAnsi="Arial"/>
          <w:sz w:val="16"/>
        </w:rPr>
        <w:t>333.18  یک شخص مجاز باید مواد طبقه بندی شده را از انبار خارج کرده و تحت نظارت دائمی نگه دارد.</w:t>
      </w:r>
    </w:p>
    <w:p>
      <w:pPr>
        <w:spacing w:after="28" w:line="216" w:lineRule="auto"/>
        <w:ind w:left="259"/>
        <w:jc w:val="left"/>
      </w:pPr>
      <w:r>
        <w:rPr>
          <w:rFonts w:ascii="Arial" w:hAnsi="Arial"/>
          <w:color w:val="525252"/>
          <w:sz w:val="13"/>
        </w:rPr>
        <w:t>An authorized person shall keep classified material removed from storage under constant surveillance.</w:t>
      </w:r>
    </w:p>
    <w:p>
      <w:pPr>
        <w:spacing w:after="20" w:line="223" w:lineRule="auto"/>
        <w:jc w:val="right"/>
        <w:bidi/>
      </w:pPr>
      <w:r>
        <w:rPr>
          <w:rFonts w:ascii="Arial" w:hAnsi="Arial"/>
          <w:sz w:val="16"/>
        </w:rPr>
        <w:t>333.19  شخص مجاز باید برگه‌های پوششی را روی اسناد طبقه بندی شده قرار دهد که در انبار امن نیستند تا از مشاهده اطلاعات توسط افراد غیرمجاز جلوگیری شود.</w:t>
      </w:r>
    </w:p>
    <w:p>
      <w:pPr>
        <w:spacing w:after="28" w:line="216" w:lineRule="auto"/>
        <w:ind w:left="259"/>
        <w:jc w:val="left"/>
      </w:pPr>
      <w:r>
        <w:rPr>
          <w:rFonts w:ascii="Arial" w:hAnsi="Arial"/>
          <w:color w:val="525252"/>
          <w:sz w:val="13"/>
        </w:rPr>
        <w:t>The authorized person must place coversheets on classified documents not in secure storage to prevent unauthorized persons from viewing the information.</w:t>
      </w:r>
    </w:p>
    <w:p>
      <w:pPr>
        <w:spacing w:after="20" w:line="223" w:lineRule="auto"/>
        <w:jc w:val="right"/>
        <w:bidi/>
      </w:pPr>
      <w:r>
        <w:rPr>
          <w:rFonts w:ascii="Arial" w:hAnsi="Arial"/>
          <w:sz w:val="16"/>
        </w:rPr>
        <w:t>333.20  از فرم‌های زیر برای پوشش اطلاعات طبقه‌بندی‌شده خارج از فضای ذخیره‌سازی استفاده می‌شود: SF ۷۰۳، فوق سری (برگ جلد)، SF ۷۰۴، سری (برگه جلد)، و SF ۷۰۵، محرمانه (برگ جلد).</w:t>
      </w:r>
    </w:p>
    <w:p>
      <w:pPr>
        <w:spacing w:after="28" w:line="216" w:lineRule="auto"/>
        <w:ind w:left="259"/>
        <w:jc w:val="left"/>
      </w:pPr>
      <w:r>
        <w:rPr>
          <w:rFonts w:ascii="Arial" w:hAnsi="Arial"/>
          <w:color w:val="525252"/>
          <w:sz w:val="13"/>
        </w:rPr>
        <w:t>The following forms will be used to cover classified information outside of storage: SF 703, Top Secret (Cover Sheet), SF 704, Secret (Cover Sheet), and SF 705, Confidential (Cover Sheet).</w:t>
      </w:r>
    </w:p>
    <w:p>
      <w:pPr>
        <w:spacing w:after="20" w:line="223" w:lineRule="auto"/>
        <w:jc w:val="right"/>
        <w:bidi/>
      </w:pPr>
      <w:r>
        <w:rPr>
          <w:rFonts w:ascii="Arial" w:hAnsi="Arial"/>
          <w:sz w:val="16"/>
        </w:rPr>
        <w:t>333.21  بررسی‌های امنیتی پایان روز.</w:t>
      </w:r>
    </w:p>
    <w:p>
      <w:pPr>
        <w:spacing w:after="28" w:line="216" w:lineRule="auto"/>
        <w:ind w:left="259"/>
        <w:jc w:val="left"/>
      </w:pPr>
      <w:r>
        <w:rPr>
          <w:rFonts w:ascii="Arial" w:hAnsi="Arial"/>
          <w:color w:val="525252"/>
          <w:sz w:val="13"/>
        </w:rPr>
        <w:t>End-of-Day Security Checks.</w:t>
      </w:r>
    </w:p>
    <w:p>
      <w:pPr>
        <w:spacing w:after="20" w:line="223" w:lineRule="auto"/>
        <w:jc w:val="right"/>
        <w:bidi/>
      </w:pPr>
      <w:r>
        <w:rPr>
          <w:rFonts w:ascii="Arial" w:hAnsi="Arial"/>
          <w:sz w:val="16"/>
        </w:rPr>
        <w:t>333.22  از SF ۷۰۱، اکتیویتی سکوریتی چککلیست، برای ثبت بررسی‌های امنیتی پایان روز استفاده کنید.</w:t>
      </w:r>
    </w:p>
    <w:p>
      <w:pPr>
        <w:spacing w:after="28" w:line="216" w:lineRule="auto"/>
        <w:ind w:left="259"/>
        <w:jc w:val="left"/>
      </w:pPr>
      <w:r>
        <w:rPr>
          <w:rFonts w:ascii="Arial" w:hAnsi="Arial"/>
          <w:color w:val="525252"/>
          <w:sz w:val="13"/>
        </w:rPr>
        <w:t>Use SF 701, Activity Security Checklist, to record the end of the day security checks.</w:t>
      </w:r>
    </w:p>
    <w:p>
      <w:pPr>
        <w:spacing w:after="20" w:line="223" w:lineRule="auto"/>
        <w:jc w:val="right"/>
        <w:bidi/>
      </w:pPr>
      <w:r>
        <w:rPr>
          <w:rFonts w:ascii="Arial" w:hAnsi="Arial"/>
          <w:sz w:val="16"/>
        </w:rPr>
        <w:t>333.23  این فرم برای هر منطقه‌ای که اطلاعات طبقه بندی شده در آن استفاده یا ذخیره می‌شود مورد نیاز است.</w:t>
      </w:r>
    </w:p>
    <w:p>
      <w:pPr>
        <w:spacing w:after="28" w:line="216" w:lineRule="auto"/>
        <w:ind w:left="259"/>
        <w:jc w:val="left"/>
      </w:pPr>
      <w:r>
        <w:rPr>
          <w:rFonts w:ascii="Arial" w:hAnsi="Arial"/>
          <w:color w:val="525252"/>
          <w:sz w:val="13"/>
        </w:rPr>
        <w:t>This form is required for any area where classified information is used or stored.</w:t>
      </w:r>
    </w:p>
    <w:p>
      <w:pPr>
        <w:spacing w:after="20" w:line="223" w:lineRule="auto"/>
        <w:jc w:val="right"/>
        <w:bidi/>
      </w:pPr>
      <w:r>
        <w:rPr>
          <w:rFonts w:ascii="Arial" w:hAnsi="Arial"/>
          <w:sz w:val="16"/>
        </w:rPr>
        <w:t>333.24  مطمئن شوید که تمام انبارها، اتاق‌های امن و ظروف مورد استفاده برای نگهداری مواد طبقه‌بندی شده بررسی شده‌اند.</w:t>
      </w:r>
    </w:p>
    <w:p>
      <w:pPr>
        <w:spacing w:after="28" w:line="216" w:lineRule="auto"/>
        <w:ind w:left="259"/>
        <w:jc w:val="left"/>
      </w:pPr>
      <w:r>
        <w:rPr>
          <w:rFonts w:ascii="Arial" w:hAnsi="Arial"/>
          <w:color w:val="525252"/>
          <w:sz w:val="13"/>
        </w:rPr>
        <w:t>Ensure all vaults, secure rooms, and containers used for storing classified material are checked.</w:t>
      </w:r>
    </w:p>
    <w:p>
      <w:pPr>
        <w:spacing w:after="20" w:line="223" w:lineRule="auto"/>
        <w:jc w:val="right"/>
        <w:bidi/>
      </w:pPr>
      <w:r>
        <w:rPr>
          <w:rFonts w:ascii="Arial" w:hAnsi="Arial"/>
          <w:sz w:val="16"/>
        </w:rPr>
        <w:t>333.25  سیستم‌های اطلاعات طبقه‌بندی شده باید به‌طور خاص در یک اداره خدمات عمومی مورد تأیید امن یا در ساختمان‌ها یا مناطقی که برای ذخیره‌سازی باز طبقه‌بندی‌شده پاکسازی شده‌اند، ذخیره شوند.</w:t>
      </w:r>
    </w:p>
    <w:p>
      <w:pPr>
        <w:spacing w:after="28" w:line="216" w:lineRule="auto"/>
        <w:ind w:left="259"/>
        <w:jc w:val="left"/>
      </w:pPr>
      <w:r>
        <w:rPr>
          <w:rFonts w:ascii="Arial" w:hAnsi="Arial"/>
          <w:color w:val="525252"/>
          <w:sz w:val="13"/>
        </w:rPr>
        <w:t>Classified information systems should specifically be stored in a general services administration approved safe or in buildings or areas cleared for open storage of classified.</w:t>
      </w:r>
    </w:p>
    <w:p>
      <w:pPr>
        <w:spacing w:before="60" w:after="28"/>
        <w:jc w:val="right"/>
        <w:bidi/>
      </w:pPr>
      <w:r>
        <w:rPr>
          <w:b/>
          <w:color w:val="1F4D78"/>
          <w:sz w:val="18"/>
        </w:rPr>
        <w:t>18.12. حوادث امنیتی شامل اطلاعات طبقه بندی شده</w:t>
      </w:r>
    </w:p>
    <w:p>
      <w:pPr>
        <w:spacing w:after="20"/>
        <w:ind w:left="259"/>
        <w:jc w:val="left"/>
      </w:pPr>
      <w:r>
        <w:rPr>
          <w:color w:val="555555"/>
          <w:sz w:val="12"/>
        </w:rPr>
        <w:t>18.12. Security Incidents Involving Classified Information</w:t>
      </w:r>
    </w:p>
    <w:p>
      <w:pPr>
        <w:spacing w:after="20" w:line="223" w:lineRule="auto"/>
        <w:jc w:val="right"/>
        <w:bidi/>
      </w:pPr>
      <w:r>
        <w:rPr>
          <w:rFonts w:ascii="Arial" w:hAnsi="Arial"/>
          <w:sz w:val="16"/>
        </w:rPr>
        <w:t>333.27  هرکسی که مواد طبقه بندی شده را خارج از کنترل مناسب پیدا می‌کند، باید از مطالب محافظت و نگهداری کند و فورا به فرمانده، سرپرست یا مدیر امنیتی خود اطلاع دهد.</w:t>
      </w:r>
    </w:p>
    <w:p>
      <w:pPr>
        <w:spacing w:after="28" w:line="216" w:lineRule="auto"/>
        <w:ind w:left="259"/>
        <w:jc w:val="left"/>
      </w:pPr>
      <w:r>
        <w:rPr>
          <w:rFonts w:ascii="Arial" w:hAnsi="Arial"/>
          <w:color w:val="525252"/>
          <w:sz w:val="13"/>
        </w:rPr>
        <w:t>Anyone finding classified material out of proper control must take custody of and safeguard the material and immediately notify their commander, supervisor, or security manager.</w:t>
      </w:r>
    </w:p>
    <w:p>
      <w:pPr>
        <w:spacing w:after="20" w:line="223" w:lineRule="auto"/>
        <w:jc w:val="right"/>
        <w:bidi/>
      </w:pPr>
      <w:r>
        <w:rPr>
          <w:rFonts w:ascii="Arial" w:hAnsi="Arial"/>
          <w:sz w:val="16"/>
        </w:rPr>
        <w:t>333.28  اصطلاحات مرتبط با حوادث امنیتی به‌طور رسمی در دودم۵۲۰۰.۰۱و۳_DAFMAN۱۶- تعریف شده است.</w:t>
      </w:r>
    </w:p>
    <w:p>
      <w:pPr>
        <w:spacing w:after="28" w:line="216" w:lineRule="auto"/>
        <w:ind w:left="259"/>
        <w:jc w:val="left"/>
      </w:pPr>
      <w:r>
        <w:rPr>
          <w:rFonts w:ascii="Arial" w:hAnsi="Arial"/>
          <w:color w:val="525252"/>
          <w:sz w:val="13"/>
        </w:rPr>
        <w:t>The terms associated with security incidents are formally defined in DoDM5200.01V3_DAFMAN16-</w:t>
      </w:r>
    </w:p>
    <w:p>
      <w:r>
        <w:br w:type="page"/>
      </w:r>
    </w:p>
    <w:p>
      <w:pPr>
        <w:spacing w:after="60"/>
        <w:jc w:val="right"/>
        <w:bidi/>
      </w:pPr>
      <w:r>
        <w:rPr>
          <w:rFonts w:ascii="Arial" w:hAnsi="Arial"/>
          <w:b/>
          <w:color w:val="1F4D78"/>
          <w:sz w:val="19"/>
        </w:rPr>
        <w:t>هفتهٔ 334  |  صفحهٔ منبع: 350</w:t>
      </w:r>
    </w:p>
    <w:p>
      <w:pPr>
        <w:spacing w:after="20" w:line="223" w:lineRule="auto"/>
        <w:jc w:val="right"/>
        <w:bidi/>
      </w:pPr>
      <w:r>
        <w:rPr>
          <w:rFonts w:ascii="Arial" w:hAnsi="Arial"/>
          <w:sz w:val="16"/>
        </w:rPr>
        <w:t>334.01  ۱۴۰۴و۳، برنامه امنیت اطلاعات وزارت دفاع: حفاظت از اطلاعات طبقه بندی شده.</w:t>
      </w:r>
    </w:p>
    <w:p>
      <w:pPr>
        <w:spacing w:after="28" w:line="216" w:lineRule="auto"/>
        <w:ind w:left="259"/>
        <w:jc w:val="left"/>
      </w:pPr>
      <w:r>
        <w:rPr>
          <w:rFonts w:ascii="Arial" w:hAnsi="Arial"/>
          <w:color w:val="525252"/>
          <w:sz w:val="13"/>
        </w:rPr>
        <w:t>1404V3, DoD Information Security Program: Protection of Classified Information.</w:t>
      </w:r>
    </w:p>
    <w:p>
      <w:pPr>
        <w:spacing w:after="20" w:line="223" w:lineRule="auto"/>
        <w:jc w:val="right"/>
        <w:bidi/>
      </w:pPr>
      <w:r>
        <w:rPr>
          <w:rFonts w:ascii="Arial" w:hAnsi="Arial"/>
          <w:sz w:val="16"/>
        </w:rPr>
        <w:t>334.02  ویژگی‌های عمومی حادثه امنیتی در اینجا به اختصار توضیح داده شده است.</w:t>
      </w:r>
    </w:p>
    <w:p>
      <w:pPr>
        <w:spacing w:after="28" w:line="216" w:lineRule="auto"/>
        <w:ind w:left="259"/>
        <w:jc w:val="left"/>
      </w:pPr>
      <w:r>
        <w:rPr>
          <w:rFonts w:ascii="Arial" w:hAnsi="Arial"/>
          <w:color w:val="525252"/>
          <w:sz w:val="13"/>
        </w:rPr>
        <w:t>The general security incident characteristics are briefly described here.</w:t>
      </w:r>
    </w:p>
    <w:p>
      <w:pPr>
        <w:spacing w:after="20" w:line="223" w:lineRule="auto"/>
        <w:jc w:val="right"/>
        <w:bidi/>
      </w:pPr>
      <w:r>
        <w:rPr>
          <w:rFonts w:ascii="Arial" w:hAnsi="Arial"/>
          <w:sz w:val="16"/>
        </w:rPr>
        <w:t>334.03  تخلف.</w:t>
      </w:r>
    </w:p>
    <w:p>
      <w:pPr>
        <w:spacing w:after="28" w:line="216" w:lineRule="auto"/>
        <w:ind w:left="259"/>
        <w:jc w:val="left"/>
      </w:pPr>
      <w:r>
        <w:rPr>
          <w:rFonts w:ascii="Arial" w:hAnsi="Arial"/>
          <w:color w:val="525252"/>
          <w:sz w:val="13"/>
        </w:rPr>
        <w:t>Infraction.</w:t>
      </w:r>
    </w:p>
    <w:p>
      <w:pPr>
        <w:spacing w:after="20" w:line="223" w:lineRule="auto"/>
        <w:jc w:val="right"/>
        <w:bidi/>
      </w:pPr>
      <w:r>
        <w:rPr>
          <w:rFonts w:ascii="Arial" w:hAnsi="Arial"/>
          <w:sz w:val="16"/>
        </w:rPr>
        <w:t>334.04  نقض یک حادثه امنیتی است که شامل عدم رعایت الزامات (یعنی مفاد مراجع (د) و (و)، این کتابچه راهنمای کاربر یا سایر سیاست‌های امنیتی قابل اجرا) است که به‌طور منطقی نمی‌توان انتظار داشت سوابق طبقه‌بندی‌شده یا اطلاعات مشکوک یا واقعی اطلاعات طبقه‌بندی شده را از دست بدهد، و منجر به از بین رفتن اطلاعات طبقه‌بندی شده نمی‌شود.</w:t>
      </w:r>
    </w:p>
    <w:p>
      <w:pPr>
        <w:spacing w:after="28" w:line="216" w:lineRule="auto"/>
        <w:ind w:left="259"/>
        <w:jc w:val="left"/>
      </w:pPr>
      <w:r>
        <w:rPr>
          <w:rFonts w:ascii="Arial" w:hAnsi="Arial"/>
          <w:color w:val="525252"/>
          <w:sz w:val="13"/>
        </w:rPr>
        <w:t>An infraction is a security incident involving failure to comply with requirements (i.e., the provisions of References (d) and (f), this Manual or other applicable security policy) which cannot reasonably be expected to, and does not, result in the loss, of classified records, or in the suspected or actual compromise of classified information.</w:t>
      </w:r>
    </w:p>
    <w:p>
      <w:pPr>
        <w:spacing w:after="20" w:line="223" w:lineRule="auto"/>
        <w:jc w:val="right"/>
        <w:bidi/>
      </w:pPr>
      <w:r>
        <w:rPr>
          <w:rFonts w:ascii="Arial" w:hAnsi="Arial"/>
          <w:sz w:val="16"/>
        </w:rPr>
        <w:t>334.05  تخلف ممکن است غیرعمدی یا سهوی باشد.</w:t>
      </w:r>
    </w:p>
    <w:p>
      <w:pPr>
        <w:spacing w:after="28" w:line="216" w:lineRule="auto"/>
        <w:ind w:left="259"/>
        <w:jc w:val="left"/>
      </w:pPr>
      <w:r>
        <w:rPr>
          <w:rFonts w:ascii="Arial" w:hAnsi="Arial"/>
          <w:color w:val="525252"/>
          <w:sz w:val="13"/>
        </w:rPr>
        <w:t>An infraction may be unintentional or inadvertent.</w:t>
      </w:r>
    </w:p>
    <w:p>
      <w:pPr>
        <w:spacing w:after="20" w:line="223" w:lineRule="auto"/>
        <w:jc w:val="right"/>
        <w:bidi/>
      </w:pPr>
      <w:r>
        <w:rPr>
          <w:rFonts w:ascii="Arial" w:hAnsi="Arial"/>
          <w:sz w:val="16"/>
        </w:rPr>
        <w:t>334.06  در حالی که نقض امنیتی محسوب نمی‌شود، اگر اصلاح نشود، می‌تواند منجر به نقض امنیتی یا سازش شود.</w:t>
      </w:r>
    </w:p>
    <w:p>
      <w:pPr>
        <w:spacing w:after="28" w:line="216" w:lineRule="auto"/>
        <w:ind w:left="259"/>
        <w:jc w:val="left"/>
      </w:pPr>
      <w:r>
        <w:rPr>
          <w:rFonts w:ascii="Arial" w:hAnsi="Arial"/>
          <w:color w:val="525252"/>
          <w:sz w:val="13"/>
        </w:rPr>
        <w:t>While it does not constitute a security violation, if left uncorrected, can lead to security violations or compromises.</w:t>
      </w:r>
    </w:p>
    <w:p>
      <w:pPr>
        <w:spacing w:after="20" w:line="223" w:lineRule="auto"/>
        <w:jc w:val="right"/>
        <w:bidi/>
      </w:pPr>
      <w:r>
        <w:rPr>
          <w:rFonts w:ascii="Arial" w:hAnsi="Arial"/>
          <w:sz w:val="16"/>
        </w:rPr>
        <w:t>334.07  برای تسهیل اقدامات اصلاحی فوری نیاز به تحقیق دارد، اما نیازی به بررسی عمیق ندارد.</w:t>
      </w:r>
    </w:p>
    <w:p>
      <w:pPr>
        <w:spacing w:after="28" w:line="216" w:lineRule="auto"/>
        <w:ind w:left="259"/>
        <w:jc w:val="left"/>
      </w:pPr>
      <w:r>
        <w:rPr>
          <w:rFonts w:ascii="Arial" w:hAnsi="Arial"/>
          <w:color w:val="525252"/>
          <w:sz w:val="13"/>
        </w:rPr>
        <w:t>It requires an inquiry to facilitate immediate corrective action but does not require an in-depth investigation.</w:t>
      </w:r>
    </w:p>
    <w:p>
      <w:pPr>
        <w:spacing w:after="20" w:line="223" w:lineRule="auto"/>
        <w:jc w:val="right"/>
        <w:bidi/>
      </w:pPr>
      <w:r>
        <w:rPr>
          <w:rFonts w:ascii="Arial" w:hAnsi="Arial"/>
          <w:sz w:val="16"/>
        </w:rPr>
        <w:t>334.08  تخلف.</w:t>
      </w:r>
    </w:p>
    <w:p>
      <w:pPr>
        <w:spacing w:after="28" w:line="216" w:lineRule="auto"/>
        <w:ind w:left="259"/>
        <w:jc w:val="left"/>
      </w:pPr>
      <w:r>
        <w:rPr>
          <w:rFonts w:ascii="Arial" w:hAnsi="Arial"/>
          <w:color w:val="525252"/>
          <w:sz w:val="13"/>
        </w:rPr>
        <w:t>Violation.</w:t>
      </w:r>
    </w:p>
    <w:p>
      <w:pPr>
        <w:spacing w:after="20" w:line="223" w:lineRule="auto"/>
        <w:jc w:val="right"/>
        <w:bidi/>
      </w:pPr>
      <w:r>
        <w:rPr>
          <w:rFonts w:ascii="Arial" w:hAnsi="Arial"/>
          <w:sz w:val="16"/>
        </w:rPr>
        <w:t>334.09  تخلفات، حوادث امنیتی هستند که حاکی از آگاهی، عمد و سهل انگاری در مورد مقررات امنیتی است و منجر به از بین رفتن سوابق طبقه بندی شده یا به خطر افتادن اطلاعات طبقه بندی شده می‌شود یا می‌توان انتظار داشت که منجر شود.</w:t>
      </w:r>
    </w:p>
    <w:p>
      <w:pPr>
        <w:spacing w:after="28" w:line="216" w:lineRule="auto"/>
        <w:ind w:left="259"/>
        <w:jc w:val="left"/>
      </w:pPr>
      <w:r>
        <w:rPr>
          <w:rFonts w:ascii="Arial" w:hAnsi="Arial"/>
          <w:color w:val="525252"/>
          <w:sz w:val="13"/>
        </w:rPr>
        <w:t>Violations are security incidents that indicate knowing, willful, and negligent for security regulations, and result in, or could be expected to result in the loss of classified records or the compromise of classified information.</w:t>
      </w:r>
    </w:p>
    <w:p>
      <w:pPr>
        <w:spacing w:after="20" w:line="223" w:lineRule="auto"/>
        <w:jc w:val="right"/>
        <w:bidi/>
      </w:pPr>
      <w:r>
        <w:rPr>
          <w:rFonts w:ascii="Arial" w:hAnsi="Arial"/>
          <w:sz w:val="16"/>
        </w:rPr>
        <w:t>334.10  نقض امنیتی نیاز به استعلام و/یا بررسی مصالحه دارد.</w:t>
      </w:r>
    </w:p>
    <w:p>
      <w:pPr>
        <w:spacing w:after="28" w:line="216" w:lineRule="auto"/>
        <w:ind w:left="259"/>
        <w:jc w:val="left"/>
      </w:pPr>
      <w:r>
        <w:rPr>
          <w:rFonts w:ascii="Arial" w:hAnsi="Arial"/>
          <w:color w:val="525252"/>
          <w:sz w:val="13"/>
        </w:rPr>
        <w:t>Security violations require an inquiry and/or investigation Compromise.</w:t>
      </w:r>
    </w:p>
    <w:p>
      <w:pPr>
        <w:spacing w:after="20" w:line="223" w:lineRule="auto"/>
        <w:jc w:val="right"/>
        <w:bidi/>
      </w:pPr>
      <w:r>
        <w:rPr>
          <w:rFonts w:ascii="Arial" w:hAnsi="Arial"/>
          <w:sz w:val="16"/>
        </w:rPr>
        <w:t>334.11  مصالحه یک حادثه امنیتی (به‌طور خاص، نقض) است که در آن افشای غیرمجاز اطلاعات طبقه‌بندی شده (یعنی افشای شخص یا اشخاصی که مجوز معتبر، دسترسی مجاز، یا نیاز به دانستن ندارند) وجود دارد.</w:t>
      </w:r>
    </w:p>
    <w:p>
      <w:pPr>
        <w:spacing w:after="28" w:line="216" w:lineRule="auto"/>
        <w:ind w:left="259"/>
        <w:jc w:val="left"/>
      </w:pPr>
      <w:r>
        <w:rPr>
          <w:rFonts w:ascii="Arial" w:hAnsi="Arial"/>
          <w:color w:val="525252"/>
          <w:sz w:val="13"/>
        </w:rPr>
        <w:t>A compromise is a security incident (more specifically, a violation) in which there is an unauthorized disclosure of classified information (i.e., disclosure to a person(s) who does not have a valid clearance, authorized access, or a need to know).</w:t>
      </w:r>
    </w:p>
    <w:p>
      <w:pPr>
        <w:spacing w:after="20" w:line="223" w:lineRule="auto"/>
        <w:jc w:val="right"/>
        <w:bidi/>
      </w:pPr>
      <w:r>
        <w:rPr>
          <w:rFonts w:ascii="Arial" w:hAnsi="Arial"/>
          <w:sz w:val="16"/>
        </w:rPr>
        <w:t>334.12  ضرر.</w:t>
      </w:r>
    </w:p>
    <w:p>
      <w:pPr>
        <w:spacing w:after="28" w:line="216" w:lineRule="auto"/>
        <w:ind w:left="259"/>
        <w:jc w:val="left"/>
      </w:pPr>
      <w:r>
        <w:rPr>
          <w:rFonts w:ascii="Arial" w:hAnsi="Arial"/>
          <w:color w:val="525252"/>
          <w:sz w:val="13"/>
        </w:rPr>
        <w:t>Loss.</w:t>
      </w:r>
    </w:p>
    <w:p>
      <w:pPr>
        <w:spacing w:after="20" w:line="223" w:lineRule="auto"/>
        <w:jc w:val="right"/>
        <w:bidi/>
      </w:pPr>
      <w:r>
        <w:rPr>
          <w:rFonts w:ascii="Arial" w:hAnsi="Arial"/>
          <w:sz w:val="16"/>
        </w:rPr>
        <w:t>334.13  زمانی که سوابق حاوی اطلاعات طبقه بندی شده به صورت فیزیکی قابل شناسایی یا حسابداری نباشند، ضرر رخ می‌دهد.</w:t>
      </w:r>
    </w:p>
    <w:p>
      <w:pPr>
        <w:spacing w:after="28" w:line="216" w:lineRule="auto"/>
        <w:ind w:left="259"/>
        <w:jc w:val="left"/>
      </w:pPr>
      <w:r>
        <w:rPr>
          <w:rFonts w:ascii="Arial" w:hAnsi="Arial"/>
          <w:color w:val="525252"/>
          <w:sz w:val="13"/>
        </w:rPr>
        <w:t>A loss occurs when records containing classified information cannot be physically located or accounted for.</w:t>
      </w:r>
    </w:p>
    <w:p>
      <w:pPr>
        <w:spacing w:after="20" w:line="223" w:lineRule="auto"/>
        <w:jc w:val="right"/>
        <w:bidi/>
      </w:pPr>
      <w:r>
        <w:rPr>
          <w:rFonts w:ascii="Arial" w:hAnsi="Arial"/>
          <w:sz w:val="16"/>
        </w:rPr>
        <w:t>334.14  این می‌تواند شامل سوابق طبقه‌بندی‌شده باشد/تجهیزاتی که در طول ممیزی مفقود شده‌اند و نمی‌توانند فورا پیدا شوند.</w:t>
      </w:r>
    </w:p>
    <w:p>
      <w:pPr>
        <w:spacing w:after="28" w:line="216" w:lineRule="auto"/>
        <w:ind w:left="259"/>
        <w:jc w:val="left"/>
      </w:pPr>
      <w:r>
        <w:rPr>
          <w:rFonts w:ascii="Arial" w:hAnsi="Arial"/>
          <w:color w:val="525252"/>
          <w:sz w:val="13"/>
        </w:rPr>
        <w:t>This could include classified records/equipment is discovered missing during an audit and which cannot be immediately located.</w:t>
      </w:r>
    </w:p>
    <w:p>
      <w:pPr>
        <w:spacing w:after="20" w:line="223" w:lineRule="auto"/>
        <w:jc w:val="right"/>
        <w:bidi/>
      </w:pPr>
      <w:r>
        <w:rPr>
          <w:rFonts w:ascii="Arial" w:hAnsi="Arial"/>
          <w:sz w:val="16"/>
        </w:rPr>
        <w:t>334.15  نشت داده‌ها.</w:t>
      </w:r>
    </w:p>
    <w:p>
      <w:pPr>
        <w:spacing w:after="28" w:line="216" w:lineRule="auto"/>
        <w:ind w:left="259"/>
        <w:jc w:val="left"/>
      </w:pPr>
      <w:r>
        <w:rPr>
          <w:rFonts w:ascii="Arial" w:hAnsi="Arial"/>
          <w:color w:val="525252"/>
          <w:sz w:val="13"/>
        </w:rPr>
        <w:t>Data Spills.</w:t>
      </w:r>
    </w:p>
    <w:p>
      <w:pPr>
        <w:spacing w:after="20" w:line="223" w:lineRule="auto"/>
        <w:jc w:val="right"/>
        <w:bidi/>
      </w:pPr>
      <w:r>
        <w:rPr>
          <w:rFonts w:ascii="Arial" w:hAnsi="Arial"/>
          <w:sz w:val="16"/>
        </w:rPr>
        <w:t>334.16  نشت داده‌های طبقه‌بندی‌شده زمانی رخ می‌دهد که داده‌های طبقه‌بندی‌شده یا بر روی یک سیستم اطلاعات طبقه‌بندی‌نشده یا به یک سیستم اطلاعاتی با سطح طبقه‌بندی پایین‌تر، یا به سیستمی که برای پردازش داده‌های آن دسته محدود کننده معتبر نیست، معرفی شود.</w:t>
      </w:r>
    </w:p>
    <w:p>
      <w:pPr>
        <w:spacing w:after="28" w:line="216" w:lineRule="auto"/>
        <w:ind w:left="259"/>
        <w:jc w:val="left"/>
      </w:pPr>
      <w:r>
        <w:rPr>
          <w:rFonts w:ascii="Arial" w:hAnsi="Arial"/>
          <w:color w:val="525252"/>
          <w:sz w:val="13"/>
        </w:rPr>
        <w:t>Classified data spills occur when classified data is introduced either onto an unclassified information system or to an information system with a lower level of classification, or to a system not accredited to process data of that restrictive category.</w:t>
      </w:r>
    </w:p>
    <w:p>
      <w:pPr>
        <w:spacing w:after="20" w:line="223" w:lineRule="auto"/>
        <w:jc w:val="right"/>
        <w:bidi/>
      </w:pPr>
      <w:r>
        <w:rPr>
          <w:rFonts w:ascii="Arial" w:hAnsi="Arial"/>
          <w:sz w:val="16"/>
        </w:rPr>
        <w:t>334.17  اگرچه ممکن است هیچ افشای غیرمجاز رخ نداده باشد، اما نشت داده‌های طبقه‌بندی‌شده به‌عنوان خطر احتمالی اطلاعات طبقه‌بندی‌شده شامل سیستم‌های اطلاعاتی، شبکه‌ها و تجهیزات رایانه‌ای در نظر گرفته می‌شود تا زمانی که پرس و جو مشخص کند که آیا افشای غیرمجاز رخ داده است یا نه.</w:t>
      </w:r>
    </w:p>
    <w:p>
      <w:pPr>
        <w:spacing w:after="28" w:line="216" w:lineRule="auto"/>
        <w:ind w:left="259"/>
        <w:jc w:val="left"/>
      </w:pPr>
      <w:r>
        <w:rPr>
          <w:rFonts w:ascii="Arial" w:hAnsi="Arial"/>
          <w:color w:val="525252"/>
          <w:sz w:val="13"/>
        </w:rPr>
        <w:t>Although it is possible that no unauthorized disclosure occurred, classified data spills are considered and handled as a possible compromise of classified information involving information systems, networks, and computer equipment until the inquiry determines whether an unauthorized disclosure did or did not occur.</w:t>
      </w:r>
    </w:p>
    <w:p>
      <w:pPr>
        <w:spacing w:after="20" w:line="223" w:lineRule="auto"/>
        <w:jc w:val="right"/>
        <w:bidi/>
      </w:pPr>
      <w:r>
        <w:rPr>
          <w:rFonts w:ascii="Arial" w:hAnsi="Arial"/>
          <w:sz w:val="16"/>
        </w:rPr>
        <w:t>334.18  اطلاع رسانی در رسانه‌های عمومی.</w:t>
      </w:r>
    </w:p>
    <w:p>
      <w:pPr>
        <w:spacing w:after="28" w:line="216" w:lineRule="auto"/>
        <w:ind w:left="259"/>
        <w:jc w:val="left"/>
      </w:pPr>
      <w:r>
        <w:rPr>
          <w:rFonts w:ascii="Arial" w:hAnsi="Arial"/>
          <w:color w:val="525252"/>
          <w:sz w:val="13"/>
        </w:rPr>
        <w:t>Information in the Public Media.</w:t>
      </w:r>
    </w:p>
    <w:p>
      <w:pPr>
        <w:spacing w:after="20" w:line="223" w:lineRule="auto"/>
        <w:jc w:val="right"/>
        <w:bidi/>
      </w:pPr>
      <w:r>
        <w:rPr>
          <w:rFonts w:ascii="Arial" w:hAnsi="Arial"/>
          <w:sz w:val="16"/>
        </w:rPr>
        <w:t>334.19  اگر اطلاعات طبقه بندی شده در رسانه‌های عمومی، از جمله در سایت‌های اینترنتی عمومی، ظاهر شود، یا اگر نماینده رسانه به آنها مراجعه کند، پرسنل وزارت دفاع باید مراقب باشند که هیچ اظهارنظر یا نظری که صحت یا تأیید اطلاعاتی را که نیاز به حفاظت دارد، بیان نکنند.</w:t>
      </w:r>
    </w:p>
    <w:p>
      <w:pPr>
        <w:spacing w:after="28" w:line="216" w:lineRule="auto"/>
        <w:ind w:left="259"/>
        <w:jc w:val="left"/>
      </w:pPr>
      <w:r>
        <w:rPr>
          <w:rFonts w:ascii="Arial" w:hAnsi="Arial"/>
          <w:color w:val="525252"/>
          <w:sz w:val="13"/>
        </w:rPr>
        <w:t>If classified information appears in the public media, including on public Internet sites, or if approached by a representative of the media, DoD personnel shall be careful not to make any statement or comment that confirms the accuracy of or verifies the information requiring protection.</w:t>
      </w:r>
    </w:p>
    <w:p>
      <w:pPr>
        <w:spacing w:after="20" w:line="223" w:lineRule="auto"/>
        <w:jc w:val="right"/>
        <w:bidi/>
      </w:pPr>
      <w:r>
        <w:rPr>
          <w:rFonts w:ascii="Arial" w:hAnsi="Arial"/>
          <w:sz w:val="16"/>
        </w:rPr>
        <w:t>334.20  موضوع را طبق دستورالعمل مربوط به بخش وزارت دفاع گزارش‌دهید، اما در مورد آن با کسی که در مورد اطلاعات طبقه بندی شده، مجوز امنیتی مناسبی ندارد و نیاز به دانستن ندارد، بحث نکنید.</w:t>
      </w:r>
    </w:p>
    <w:p>
      <w:pPr>
        <w:spacing w:after="28" w:line="216" w:lineRule="auto"/>
        <w:ind w:left="259"/>
        <w:jc w:val="left"/>
      </w:pPr>
      <w:r>
        <w:rPr>
          <w:rFonts w:ascii="Arial" w:hAnsi="Arial"/>
          <w:color w:val="525252"/>
          <w:sz w:val="13"/>
        </w:rPr>
        <w:t>Report the matter as instructed by the appropriate DoD Component guidance, but do not discuss it with anyone who does not, in the case of classified information, have an appropriate security clearance and need to know.</w:t>
      </w:r>
    </w:p>
    <w:p>
      <w:pPr>
        <w:spacing w:before="60" w:after="28"/>
        <w:jc w:val="right"/>
        <w:bidi/>
      </w:pPr>
      <w:r>
        <w:rPr>
          <w:b/>
          <w:color w:val="1F4D78"/>
          <w:sz w:val="18"/>
        </w:rPr>
        <w:t>18.13. امنیت صنعتی</w:t>
      </w:r>
    </w:p>
    <w:p>
      <w:pPr>
        <w:spacing w:after="20"/>
        <w:ind w:left="259"/>
        <w:jc w:val="left"/>
      </w:pPr>
      <w:r>
        <w:rPr>
          <w:color w:val="555555"/>
          <w:sz w:val="12"/>
        </w:rPr>
        <w:t>18.13. Industrial Security</w:t>
      </w:r>
    </w:p>
    <w:p>
      <w:pPr>
        <w:spacing w:after="20" w:line="223" w:lineRule="auto"/>
        <w:jc w:val="right"/>
        <w:bidi/>
      </w:pPr>
      <w:r>
        <w:rPr>
          <w:rFonts w:ascii="Arial" w:hAnsi="Arial"/>
          <w:sz w:val="16"/>
        </w:rPr>
        <w:t>334.22  سیاست USAF عبارت است از شناسایی، در قراردادهای طبقه بندی شده، اطلاعات خاص و منابع حساسی که باید در برابر خطر یا از دست دادن در حالی که به صنعت سپرده می‌شود محافظت شوند.</w:t>
      </w:r>
    </w:p>
    <w:p>
      <w:pPr>
        <w:spacing w:after="28" w:line="216" w:lineRule="auto"/>
        <w:ind w:left="259"/>
        <w:jc w:val="left"/>
      </w:pPr>
      <w:r>
        <w:rPr>
          <w:rFonts w:ascii="Arial" w:hAnsi="Arial"/>
          <w:color w:val="525252"/>
          <w:sz w:val="13"/>
        </w:rPr>
        <w:t>USAF policy is to identify, in classified contracts, specific information and sensitive resources that must be protected against compromise or loss while entrusted to industry.</w:t>
      </w:r>
    </w:p>
    <w:p>
      <w:pPr>
        <w:spacing w:after="20" w:line="223" w:lineRule="auto"/>
        <w:jc w:val="right"/>
        <w:bidi/>
      </w:pPr>
      <w:r>
        <w:rPr>
          <w:rFonts w:ascii="Arial" w:hAnsi="Arial"/>
          <w:sz w:val="16"/>
        </w:rPr>
        <w:t>334.23  سیاست‌ها، الزامات و رویه‌های امنیتی برای پرسنل USAF و پیمانکاران وزارت دفاع مستقر که خدمات را تحت شرایط یک قرارداد به درستی اجرا شده و توافقنامه امنیتی مرتبط یا سند مشابه انجام می‌دهند، که توسط فرمانده نصب تعیین می‌شود، اعمال می‌شود.</w:t>
      </w:r>
    </w:p>
    <w:p>
      <w:pPr>
        <w:spacing w:after="28" w:line="216" w:lineRule="auto"/>
        <w:ind w:left="259"/>
        <w:jc w:val="left"/>
      </w:pPr>
      <w:r>
        <w:rPr>
          <w:rFonts w:ascii="Arial" w:hAnsi="Arial"/>
          <w:color w:val="525252"/>
          <w:sz w:val="13"/>
        </w:rPr>
        <w:t>Security policies, requirements, and procedures are applicable to USAF personnel and on-base Department of Defense contractors performing services under the terms of a properly executed contract and associated security agreement or similar document, as determined by the installation commander.</w:t>
      </w:r>
    </w:p>
    <w:p>
      <w:pPr>
        <w:spacing w:before="60" w:after="28"/>
        <w:jc w:val="right"/>
        <w:bidi/>
      </w:pPr>
      <w:r>
        <w:rPr>
          <w:b/>
          <w:color w:val="1F4D78"/>
          <w:sz w:val="18"/>
        </w:rPr>
        <w:t>18.14. امنیت پرسنل</w:t>
      </w:r>
    </w:p>
    <w:p>
      <w:pPr>
        <w:spacing w:after="20"/>
        <w:ind w:left="259"/>
        <w:jc w:val="left"/>
      </w:pPr>
      <w:r>
        <w:rPr>
          <w:color w:val="555555"/>
          <w:sz w:val="12"/>
        </w:rPr>
        <w:t>18.14. Personnel Security</w:t>
      </w:r>
    </w:p>
    <w:p>
      <w:pPr>
        <w:spacing w:after="20" w:line="223" w:lineRule="auto"/>
        <w:jc w:val="right"/>
        <w:bidi/>
      </w:pPr>
      <w:r>
        <w:rPr>
          <w:rFonts w:ascii="Arial" w:hAnsi="Arial"/>
          <w:sz w:val="16"/>
        </w:rPr>
        <w:t>334.25  برنامه امنیت پرسنل مستلزم سیاست‌ها و رویه‌هایی است که تضمین می‌کند پرسنل نظامی، غیرنظامی و پیمانکاری که به اطلاعات طبقه‌بندی‌شده دسترسی دارند یا موقعیت حساسی را اشغال می‌کنند، با منافع امنیت ملی سازگار است.</w:t>
      </w:r>
    </w:p>
    <w:p>
      <w:pPr>
        <w:spacing w:after="28" w:line="216" w:lineRule="auto"/>
        <w:ind w:left="259"/>
        <w:jc w:val="left"/>
      </w:pPr>
      <w:r>
        <w:rPr>
          <w:rFonts w:ascii="Arial" w:hAnsi="Arial"/>
          <w:color w:val="525252"/>
          <w:sz w:val="13"/>
        </w:rPr>
        <w:t>The Personnel Security Program entails policies and procedures that ensure military, civilian, and contractor personnel who access classified information or occupy a sensitive position are consistent with interests of national security.</w:t>
      </w:r>
    </w:p>
    <w:p>
      <w:pPr>
        <w:spacing w:after="20" w:line="223" w:lineRule="auto"/>
        <w:jc w:val="right"/>
        <w:bidi/>
      </w:pPr>
      <w:r>
        <w:rPr>
          <w:rFonts w:ascii="Arial" w:hAnsi="Arial"/>
          <w:sz w:val="16"/>
        </w:rPr>
        <w:t>334.26  برای اکثر پرسنل، این شامل رویه هایی برای به دست آوردن مجوزهای امنیتی مناسب مورد نیاز برای انجام وظایف رسمی است.</w:t>
      </w:r>
    </w:p>
    <w:p>
      <w:pPr>
        <w:spacing w:after="28" w:line="216" w:lineRule="auto"/>
        <w:ind w:left="259"/>
        <w:jc w:val="left"/>
      </w:pPr>
      <w:r>
        <w:rPr>
          <w:rFonts w:ascii="Arial" w:hAnsi="Arial"/>
          <w:color w:val="525252"/>
          <w:sz w:val="13"/>
        </w:rPr>
        <w:t>For most personnel, this involves procedures for obtaining proper security clearances required for performing official duties.</w:t>
      </w:r>
    </w:p>
    <w:p>
      <w:pPr>
        <w:spacing w:after="20" w:line="223" w:lineRule="auto"/>
        <w:jc w:val="right"/>
        <w:bidi/>
      </w:pPr>
      <w:r>
        <w:rPr>
          <w:rFonts w:ascii="Arial" w:hAnsi="Arial"/>
          <w:sz w:val="16"/>
        </w:rPr>
        <w:t>334.27  شامل فرآیند تحقیق، قضاوت (تصویب) برای واجد شرایط بودن، و ارزیابی مستمر برای</w:t>
      </w:r>
    </w:p>
    <w:p>
      <w:pPr>
        <w:spacing w:after="28" w:line="216" w:lineRule="auto"/>
        <w:ind w:left="259"/>
        <w:jc w:val="left"/>
      </w:pPr>
      <w:r>
        <w:rPr>
          <w:rFonts w:ascii="Arial" w:hAnsi="Arial"/>
          <w:color w:val="525252"/>
          <w:sz w:val="13"/>
        </w:rPr>
        <w:t>It involves the investigation process, adjudication (approval) for eligibility, and the continuous evaluation for</w:t>
      </w:r>
    </w:p>
    <w:p>
      <w:r>
        <w:br w:type="page"/>
      </w:r>
    </w:p>
    <w:p>
      <w:pPr>
        <w:spacing w:after="60"/>
        <w:jc w:val="right"/>
        <w:bidi/>
      </w:pPr>
      <w:r>
        <w:rPr>
          <w:rFonts w:ascii="Arial" w:hAnsi="Arial"/>
          <w:b/>
          <w:color w:val="1F4D78"/>
          <w:sz w:val="19"/>
        </w:rPr>
        <w:t>هفتهٔ 335  |  صفحهٔ منبع: 351</w:t>
      </w:r>
    </w:p>
    <w:p>
      <w:pPr>
        <w:spacing w:after="20" w:line="223" w:lineRule="auto"/>
        <w:jc w:val="right"/>
        <w:bidi/>
      </w:pPr>
      <w:r>
        <w:rPr>
          <w:rFonts w:ascii="Arial" w:hAnsi="Arial"/>
          <w:sz w:val="16"/>
        </w:rPr>
        <w:t>335.01  حفظ صلاحیت.</w:t>
      </w:r>
    </w:p>
    <w:p>
      <w:pPr>
        <w:spacing w:after="28" w:line="216" w:lineRule="auto"/>
        <w:ind w:left="259"/>
        <w:jc w:val="left"/>
      </w:pPr>
      <w:r>
        <w:rPr>
          <w:rFonts w:ascii="Arial" w:hAnsi="Arial"/>
          <w:color w:val="525252"/>
          <w:sz w:val="13"/>
        </w:rPr>
        <w:t>maintaining eligibility.</w:t>
      </w:r>
    </w:p>
    <w:p>
      <w:pPr>
        <w:spacing w:after="20" w:line="223" w:lineRule="auto"/>
        <w:jc w:val="right"/>
        <w:bidi/>
      </w:pPr>
      <w:r>
        <w:rPr>
          <w:rFonts w:ascii="Arial" w:hAnsi="Arial"/>
          <w:sz w:val="16"/>
        </w:rPr>
        <w:t>335.02  فرماندهان و ناظران باید به‌طور مستمر زیردستان خود را با توجه به این معیارها مشاهده و ارزیابی کنند و هر گونه رفتار یا شرایط نامطلوب را که ممکن است بر قابلیت اعتماد و صلاحیت زیردستان برای اشغال یک پست حساس یا واجد شرایط بودن برای اطلاعات طبقه بندی شده باشد، بلافاصله گزارش دهند.</w:t>
      </w:r>
    </w:p>
    <w:p>
      <w:pPr>
        <w:spacing w:after="28" w:line="216" w:lineRule="auto"/>
        <w:ind w:left="259"/>
        <w:jc w:val="left"/>
      </w:pPr>
      <w:r>
        <w:rPr>
          <w:rFonts w:ascii="Arial" w:hAnsi="Arial"/>
          <w:color w:val="525252"/>
          <w:sz w:val="13"/>
        </w:rPr>
        <w:t>Commanders and supervisors must continually observe and evaluate their subordinates with respect to these criteria and immediately report any unfavorable conduct or conditions that might bear on the subordinates’ trustworthiness and eligibility to occupy a sensitive position or have eligibility to classified information.</w:t>
      </w:r>
    </w:p>
    <w:p>
      <w:pPr>
        <w:spacing w:after="20" w:line="223" w:lineRule="auto"/>
        <w:jc w:val="right"/>
        <w:bidi/>
      </w:pPr>
      <w:r>
        <w:rPr>
          <w:rFonts w:ascii="Arial" w:hAnsi="Arial"/>
          <w:sz w:val="16"/>
        </w:rPr>
        <w:t>335.03  دستورالعمل قضاوت.</w:t>
      </w:r>
    </w:p>
    <w:p>
      <w:pPr>
        <w:spacing w:after="28" w:line="216" w:lineRule="auto"/>
        <w:ind w:left="259"/>
        <w:jc w:val="left"/>
      </w:pPr>
      <w:r>
        <w:rPr>
          <w:rFonts w:ascii="Arial" w:hAnsi="Arial"/>
          <w:color w:val="525252"/>
          <w:sz w:val="13"/>
        </w:rPr>
        <w:t>Adjudicative Guidelines.</w:t>
      </w:r>
    </w:p>
    <w:p>
      <w:pPr>
        <w:spacing w:after="20" w:line="223" w:lineRule="auto"/>
        <w:jc w:val="right"/>
        <w:bidi/>
      </w:pPr>
      <w:r>
        <w:rPr>
          <w:rFonts w:ascii="Arial" w:hAnsi="Arial"/>
          <w:sz w:val="16"/>
        </w:rPr>
        <w:t>335.04  مرکز داوری مرکزی وزارت دفاع، مرجع تعیین شده برای اعطا، رد و لغو صلاحیت گواهینامه امنیتی با استفاده از دستورالعمل‌های قضایی وزارت دفاع ۱۳ است، در حالی که مفهوم کل شخص و عوامل کاهش‌دهنده را به کار می‌گیرد.</w:t>
      </w:r>
    </w:p>
    <w:p>
      <w:pPr>
        <w:spacing w:after="28" w:line="216" w:lineRule="auto"/>
        <w:ind w:left="259"/>
        <w:jc w:val="left"/>
      </w:pPr>
      <w:r>
        <w:rPr>
          <w:rFonts w:ascii="Arial" w:hAnsi="Arial"/>
          <w:color w:val="525252"/>
          <w:sz w:val="13"/>
        </w:rPr>
        <w:t>The Department of Defense Central Adjudication Facility is the designated authority to grant, deny, and revoke security clearance eligibility using the Department of Defense 13 adjudicative guidelines, while applying the whole person concept and mitigating factors.</w:t>
      </w:r>
    </w:p>
    <w:p>
      <w:pPr>
        <w:spacing w:after="20" w:line="223" w:lineRule="auto"/>
        <w:jc w:val="right"/>
        <w:bidi/>
      </w:pPr>
      <w:r>
        <w:rPr>
          <w:rFonts w:ascii="Arial" w:hAnsi="Arial"/>
          <w:sz w:val="16"/>
        </w:rPr>
        <w:t>335.05  افراد دارای روند قانونی هستند و در صورت رد یا ابطال صلاحیت تأییدیه امنیتی، می‌توانند اعتراض کنند.</w:t>
      </w:r>
    </w:p>
    <w:p>
      <w:pPr>
        <w:spacing w:after="28" w:line="216" w:lineRule="auto"/>
        <w:ind w:left="259"/>
        <w:jc w:val="left"/>
      </w:pPr>
      <w:r>
        <w:rPr>
          <w:rFonts w:ascii="Arial" w:hAnsi="Arial"/>
          <w:color w:val="525252"/>
          <w:sz w:val="13"/>
        </w:rPr>
        <w:t>Individuals are granted due process and may appeal if the security clearance eligibility is denied or revoked.</w:t>
      </w:r>
    </w:p>
    <w:p>
      <w:pPr>
        <w:spacing w:after="20" w:line="223" w:lineRule="auto"/>
        <w:jc w:val="right"/>
        <w:bidi/>
      </w:pPr>
      <w:r>
        <w:rPr>
          <w:rFonts w:ascii="Arial" w:hAnsi="Arial"/>
          <w:sz w:val="16"/>
        </w:rPr>
        <w:t>335.06  برای جزئیات بیشتر، به دودم ۵۲۰۰.۰۲_AFMAN ۱۶-۱۴۰۵، برنامه امنیت پرسنل نیروی هوایی مراجعه کنید.</w:t>
      </w:r>
    </w:p>
    <w:p>
      <w:pPr>
        <w:spacing w:after="28" w:line="216" w:lineRule="auto"/>
        <w:ind w:left="259"/>
        <w:jc w:val="left"/>
      </w:pPr>
      <w:r>
        <w:rPr>
          <w:rFonts w:ascii="Arial" w:hAnsi="Arial"/>
          <w:color w:val="525252"/>
          <w:sz w:val="13"/>
        </w:rPr>
        <w:t>For additional details, refer to the DoDM 5200.02_AFMAN 16-1405, Air Force Personnel Security Program.</w:t>
      </w:r>
    </w:p>
    <w:p>
      <w:pPr>
        <w:spacing w:after="20" w:line="223" w:lineRule="auto"/>
        <w:jc w:val="right"/>
        <w:bidi/>
      </w:pPr>
      <w:r>
        <w:rPr>
          <w:rFonts w:ascii="Arial" w:hAnsi="Arial"/>
          <w:sz w:val="16"/>
        </w:rPr>
        <w:t>335.07  ۱۳ دستورالعمل قضاوتی عبارتند از: وفاداری به ایالات متحده مصرف الکل تأثیر خارجی دخالت مواد مخدر اولویت خارجی شرایط روانی رفتار جنسی رفتار مجرمانه رفتار شخصی رفتار با اطلاعات محافظت شده ملاحظات مالی - وفاداری به همه ایالات متحده باید بدون وفاداری به ایالات متحده باشد.</w:t>
      </w:r>
    </w:p>
    <w:p>
      <w:pPr>
        <w:spacing w:after="28" w:line="216" w:lineRule="auto"/>
        <w:ind w:left="259"/>
        <w:jc w:val="left"/>
      </w:pPr>
      <w:r>
        <w:rPr>
          <w:rFonts w:ascii="Arial" w:hAnsi="Arial"/>
          <w:color w:val="525252"/>
          <w:sz w:val="13"/>
        </w:rPr>
        <w:t>The 13 Adjudicative Guidelines include: Allegiance to the United States Alcohol Consumption Foreign Influence Drug Involvement Foreign Preference Psychological Conditions Sexual Behavior Criminal Conduct Personal Conduct Handling Protected Information Financial Considerations Allegiance to the United States - An individual must be of unquestioned allegiance to the United States.</w:t>
      </w:r>
    </w:p>
    <w:p>
      <w:pPr>
        <w:spacing w:after="20" w:line="223" w:lineRule="auto"/>
        <w:jc w:val="right"/>
        <w:bidi/>
      </w:pPr>
      <w:r>
        <w:rPr>
          <w:rFonts w:ascii="Arial" w:hAnsi="Arial"/>
          <w:sz w:val="16"/>
        </w:rPr>
        <w:t>335.08  اگر دلیلی برای مشکوک بودن به وفاداری یک فرد به ایالات متحده وجود داشته باشد، تمایل به حفاظت از اطلاعات طبقه بندی شده مورد تردید است.</w:t>
      </w:r>
    </w:p>
    <w:p>
      <w:pPr>
        <w:spacing w:after="28" w:line="216" w:lineRule="auto"/>
        <w:ind w:left="259"/>
        <w:jc w:val="left"/>
      </w:pPr>
      <w:r>
        <w:rPr>
          <w:rFonts w:ascii="Arial" w:hAnsi="Arial"/>
          <w:color w:val="525252"/>
          <w:sz w:val="13"/>
        </w:rPr>
        <w:t>The willingness to safeguard classified information is in doubt if there is any reason to suspect an individual's allegiance to the United States.</w:t>
      </w:r>
    </w:p>
    <w:p>
      <w:pPr>
        <w:spacing w:after="20" w:line="223" w:lineRule="auto"/>
        <w:jc w:val="right"/>
        <w:bidi/>
      </w:pPr>
      <w:r>
        <w:rPr>
          <w:rFonts w:ascii="Arial" w:hAnsi="Arial"/>
          <w:sz w:val="16"/>
        </w:rPr>
        <w:t>335.09  نفوذ خارجی - اگر فرد وفاداری‌ها یا منافع مالی خارجی را تقسیم کرده باشد، ممکن است برای کمک به یک فرد، گروه، سازمان یا دولت خارجی به گونه‌ای که در راستای منافع ایالات متحده نیست، دستکاری یا وادار شود، یا در معرض فشار یا اجبار توسط منافع خارجی آسیب‌پذیر باشد، تماس‌ها و منافع خارجی ممکن است یک نگرانی امنیتی باشد.</w:t>
      </w:r>
    </w:p>
    <w:p>
      <w:pPr>
        <w:spacing w:after="28" w:line="216" w:lineRule="auto"/>
        <w:ind w:left="259"/>
        <w:jc w:val="left"/>
      </w:pPr>
      <w:r>
        <w:rPr>
          <w:rFonts w:ascii="Arial" w:hAnsi="Arial"/>
          <w:color w:val="525252"/>
          <w:sz w:val="13"/>
        </w:rPr>
        <w:t>Foreign Influence - Foreign contacts and interests may be a security concern if the individual has divided loyalties or foreign financial interests, may be manipulated or induced to help a foreign person, group, organization, or government in a way that is not in U.S. interests, or is vulnerable to pressure or coercion by any foreign interest.</w:t>
      </w:r>
    </w:p>
    <w:p>
      <w:pPr>
        <w:spacing w:after="20" w:line="223" w:lineRule="auto"/>
        <w:jc w:val="right"/>
        <w:bidi/>
      </w:pPr>
      <w:r>
        <w:rPr>
          <w:rFonts w:ascii="Arial" w:hAnsi="Arial"/>
          <w:sz w:val="16"/>
        </w:rPr>
        <w:t>335.10  ترجیح خارجی - وقتی فردی به گونه‌ای عمل می‌کند که نشان دهنده ترجیح یک کشور خارجی نسبت به ایالات متحده باشد، ممکن است مستعد ارائه اطلاعات یا تصمیم‌گیری‌هایی باشد که برای منافع ایالات متحده مضر است.</w:t>
      </w:r>
    </w:p>
    <w:p>
      <w:pPr>
        <w:spacing w:after="28" w:line="216" w:lineRule="auto"/>
        <w:ind w:left="259"/>
        <w:jc w:val="left"/>
      </w:pPr>
      <w:r>
        <w:rPr>
          <w:rFonts w:ascii="Arial" w:hAnsi="Arial"/>
          <w:color w:val="525252"/>
          <w:sz w:val="13"/>
        </w:rPr>
        <w:t>Foreign Preference - When an individual acts in such a way as to indicate a preference for a foreign country over the United States, then be or she may be prone to provide information or make decisions that are harmful to the interests of the United States.</w:t>
      </w:r>
    </w:p>
    <w:p>
      <w:pPr>
        <w:spacing w:after="20" w:line="223" w:lineRule="auto"/>
        <w:jc w:val="right"/>
        <w:bidi/>
      </w:pPr>
      <w:r>
        <w:rPr>
          <w:rFonts w:ascii="Arial" w:hAnsi="Arial"/>
          <w:sz w:val="16"/>
        </w:rPr>
        <w:t>335.11  رفتار جنسی - رفتار جنسی که شامل یک جرم جنایی است، نشان دهنده یک اختلال شخصیتی یا عاطفی است، منعکس کننده عدم قضاوت یا صلاحدید است، یا ممکن است فرد را در معرض نفوذ یا اجبار ناروا، استثمار، یا اجبار قرار دهد، می‌تواند سوالاتی را در مورد قابلیت اطمینان، قابلیت اعتماد به اطلاعات طبقه‌بندی شده و اطلاعات طبقه‌بندی شده ایجاد کند.</w:t>
      </w:r>
    </w:p>
    <w:p>
      <w:pPr>
        <w:spacing w:after="28" w:line="216" w:lineRule="auto"/>
        <w:ind w:left="259"/>
        <w:jc w:val="left"/>
      </w:pPr>
      <w:r>
        <w:rPr>
          <w:rFonts w:ascii="Arial" w:hAnsi="Arial"/>
          <w:color w:val="525252"/>
          <w:sz w:val="13"/>
        </w:rPr>
        <w:t>Sexual Behavior - Sexual behavior that involves a criminal offense, indicates a personality or emotional disorder, reflects lack of judgment or discretion, or which may subject the individual to undue influence or coercion, exploitation, or duress can raise questions about an individual's reliability, trustworthiness and ability to protect classified information.</w:t>
      </w:r>
    </w:p>
    <w:p>
      <w:pPr>
        <w:spacing w:after="20" w:line="223" w:lineRule="auto"/>
        <w:jc w:val="right"/>
        <w:bidi/>
      </w:pPr>
      <w:r>
        <w:rPr>
          <w:rFonts w:ascii="Arial" w:hAnsi="Arial"/>
          <w:sz w:val="16"/>
        </w:rPr>
        <w:t>335.12  هیچ استنتاج نامطلوبی در مورد استانداردهای این دستورالعمل نمی‌تواند صرفا بر اساس گرایش جنسی فرد مطرح شود.</w:t>
      </w:r>
    </w:p>
    <w:p>
      <w:pPr>
        <w:spacing w:after="28" w:line="216" w:lineRule="auto"/>
        <w:ind w:left="259"/>
        <w:jc w:val="left"/>
      </w:pPr>
      <w:r>
        <w:rPr>
          <w:rFonts w:ascii="Arial" w:hAnsi="Arial"/>
          <w:color w:val="525252"/>
          <w:sz w:val="13"/>
        </w:rPr>
        <w:t>No adverse inference concerning the standards in this Guideline may be raised solely on the basis of the sexual orientation of the individual.</w:t>
      </w:r>
    </w:p>
    <w:p>
      <w:pPr>
        <w:spacing w:after="20" w:line="223" w:lineRule="auto"/>
        <w:jc w:val="right"/>
        <w:bidi/>
      </w:pPr>
      <w:r>
        <w:rPr>
          <w:rFonts w:ascii="Arial" w:hAnsi="Arial"/>
          <w:sz w:val="16"/>
        </w:rPr>
        <w:t>335.13  رفتار شخصی - رفتاری که شامل قضاوت مشکوک، فقدان صراحت، عدم صداقت، یا عدم تمایل به رعایت قوانین و مقررات می‌شود، می‌تواند سوالاتی را در مورد قابلیت اطمینان، قابل اعتماد بودن و توانایی فرد در حفاظت از اطلاعات طبقه‌بندی شده ایجاد کند.</w:t>
      </w:r>
    </w:p>
    <w:p>
      <w:pPr>
        <w:spacing w:after="28" w:line="216" w:lineRule="auto"/>
        <w:ind w:left="259"/>
        <w:jc w:val="left"/>
      </w:pPr>
      <w:r>
        <w:rPr>
          <w:rFonts w:ascii="Arial" w:hAnsi="Arial"/>
          <w:color w:val="525252"/>
          <w:sz w:val="13"/>
        </w:rPr>
        <w:t>Personal Conduct - Conduct involving questionable judgment, lack of candor, dishonesty, or unwillingness to comply with rules and regulations can raise questions about an individual's reliability, trustworthiness and ability to protect classified information.</w:t>
      </w:r>
    </w:p>
    <w:p>
      <w:pPr>
        <w:spacing w:after="20" w:line="223" w:lineRule="auto"/>
        <w:jc w:val="right"/>
        <w:bidi/>
      </w:pPr>
      <w:r>
        <w:rPr>
          <w:rFonts w:ascii="Arial" w:hAnsi="Arial"/>
          <w:sz w:val="16"/>
        </w:rPr>
        <w:t>335.14  ملاحظات مالی - ناتوانی یا ناتوانی در زندگی در حد توان، پرداخت بدهی‌ها و انجام تعهدات مالی ممکن است نشان دهنده ضعف خودکنترلی، عدم قضاوت، یا عدم تمایل به رعایت قوانین و مقررات باشد، که همه اینها می‌تواند سوالاتی را در مورد قابلیت اطمینان، قابل اعتماد بودن اطلاعات طبقه بندی شده و اطلاعات طبقه بندی شده ایجاد کند.</w:t>
      </w:r>
    </w:p>
    <w:p>
      <w:pPr>
        <w:spacing w:after="28" w:line="216" w:lineRule="auto"/>
        <w:ind w:left="259"/>
        <w:jc w:val="left"/>
      </w:pPr>
      <w:r>
        <w:rPr>
          <w:rFonts w:ascii="Arial" w:hAnsi="Arial"/>
          <w:color w:val="525252"/>
          <w:sz w:val="13"/>
        </w:rPr>
        <w:t>Financial Considerations - Failure or inability to live within one's means, satisfy debts, and meet financial obligations may indicate poor self-control, lack of judgment, or unwillingness to abide by rules and regulations, all of which can raise questions about an individual's reliability, trustworthiness and ability to protect classified information.</w:t>
      </w:r>
    </w:p>
    <w:p>
      <w:pPr>
        <w:spacing w:after="20" w:line="223" w:lineRule="auto"/>
        <w:jc w:val="right"/>
        <w:bidi/>
      </w:pPr>
      <w:r>
        <w:rPr>
          <w:rFonts w:ascii="Arial" w:hAnsi="Arial"/>
          <w:sz w:val="16"/>
        </w:rPr>
        <w:t>335.15  فردی که از نظر مالی بیش از حد تمدید شده است در معرض خطر شرکت در اعمال غیرقانونی برای تولید وجوه است.</w:t>
      </w:r>
    </w:p>
    <w:p>
      <w:pPr>
        <w:spacing w:after="28" w:line="216" w:lineRule="auto"/>
        <w:ind w:left="259"/>
        <w:jc w:val="left"/>
      </w:pPr>
      <w:r>
        <w:rPr>
          <w:rFonts w:ascii="Arial" w:hAnsi="Arial"/>
          <w:color w:val="525252"/>
          <w:sz w:val="13"/>
        </w:rPr>
        <w:t>An individual who is financially overextended is at risk of having to engage in illegal acts to generate funds.</w:t>
      </w:r>
    </w:p>
    <w:p>
      <w:pPr>
        <w:spacing w:after="20" w:line="223" w:lineRule="auto"/>
        <w:jc w:val="right"/>
        <w:bidi/>
      </w:pPr>
      <w:r>
        <w:rPr>
          <w:rFonts w:ascii="Arial" w:hAnsi="Arial"/>
          <w:sz w:val="16"/>
        </w:rPr>
        <w:t>335.16  اجباری</w:t>
      </w:r>
    </w:p>
    <w:p>
      <w:pPr>
        <w:spacing w:after="28" w:line="216" w:lineRule="auto"/>
        <w:ind w:left="259"/>
        <w:jc w:val="left"/>
      </w:pPr>
      <w:r>
        <w:rPr>
          <w:rFonts w:ascii="Arial" w:hAnsi="Arial"/>
          <w:color w:val="525252"/>
          <w:sz w:val="13"/>
        </w:rPr>
        <w:t>Compulsive</w:t>
      </w:r>
    </w:p>
    <w:p>
      <w:r>
        <w:br w:type="page"/>
      </w:r>
    </w:p>
    <w:p>
      <w:pPr>
        <w:spacing w:after="60"/>
        <w:jc w:val="right"/>
        <w:bidi/>
      </w:pPr>
      <w:r>
        <w:rPr>
          <w:rFonts w:ascii="Arial" w:hAnsi="Arial"/>
          <w:b/>
          <w:color w:val="1F4D78"/>
          <w:sz w:val="19"/>
        </w:rPr>
        <w:t>هفتهٔ 336  |  صفحهٔ منبع: 352</w:t>
      </w:r>
    </w:p>
    <w:p>
      <w:pPr>
        <w:spacing w:after="20" w:line="223" w:lineRule="auto"/>
        <w:jc w:val="right"/>
        <w:bidi/>
      </w:pPr>
      <w:r>
        <w:rPr>
          <w:rFonts w:ascii="Arial" w:hAnsi="Arial"/>
          <w:sz w:val="16"/>
        </w:rPr>
        <w:t>336.01  قمار یک نگرانی است زیرا ممکن است منجر به جرایم مالی از جمله جاسوسی شود.</w:t>
      </w:r>
    </w:p>
    <w:p>
      <w:pPr>
        <w:spacing w:after="28" w:line="216" w:lineRule="auto"/>
        <w:ind w:left="259"/>
        <w:jc w:val="left"/>
      </w:pPr>
      <w:r>
        <w:rPr>
          <w:rFonts w:ascii="Arial" w:hAnsi="Arial"/>
          <w:color w:val="525252"/>
          <w:sz w:val="13"/>
        </w:rPr>
        <w:t>gambling is a concern as it may lead to financial crimes including espionage.</w:t>
      </w:r>
    </w:p>
    <w:p>
      <w:pPr>
        <w:spacing w:after="20" w:line="223" w:lineRule="auto"/>
        <w:jc w:val="right"/>
        <w:bidi/>
      </w:pPr>
      <w:r>
        <w:rPr>
          <w:rFonts w:ascii="Arial" w:hAnsi="Arial"/>
          <w:sz w:val="16"/>
        </w:rPr>
        <w:t>336.02  ثروتی که با منابع شناخته شده درآمد قابل توضیح نیست نیز یک نگرانی امنیتی است.</w:t>
      </w:r>
    </w:p>
    <w:p>
      <w:pPr>
        <w:spacing w:after="28" w:line="216" w:lineRule="auto"/>
        <w:ind w:left="259"/>
        <w:jc w:val="left"/>
      </w:pPr>
      <w:r>
        <w:rPr>
          <w:rFonts w:ascii="Arial" w:hAnsi="Arial"/>
          <w:color w:val="525252"/>
          <w:sz w:val="13"/>
        </w:rPr>
        <w:t>Affluence that cannot be explained by known sources of income is also a security concern.</w:t>
      </w:r>
    </w:p>
    <w:p>
      <w:pPr>
        <w:spacing w:after="20" w:line="223" w:lineRule="auto"/>
        <w:jc w:val="right"/>
        <w:bidi/>
      </w:pPr>
      <w:r>
        <w:rPr>
          <w:rFonts w:ascii="Arial" w:hAnsi="Arial"/>
          <w:sz w:val="16"/>
        </w:rPr>
        <w:t>336.03  ممکن است عواید حاصل از اعمال مجرمانه سودآور مالی را نشان دهد.</w:t>
      </w:r>
    </w:p>
    <w:p>
      <w:pPr>
        <w:spacing w:after="28" w:line="216" w:lineRule="auto"/>
        <w:ind w:left="259"/>
        <w:jc w:val="left"/>
      </w:pPr>
      <w:r>
        <w:rPr>
          <w:rFonts w:ascii="Arial" w:hAnsi="Arial"/>
          <w:color w:val="525252"/>
          <w:sz w:val="13"/>
        </w:rPr>
        <w:t>It may indicate proceeds from financially profitable criminal acts.</w:t>
      </w:r>
    </w:p>
    <w:p>
      <w:pPr>
        <w:spacing w:after="20" w:line="223" w:lineRule="auto"/>
        <w:jc w:val="right"/>
        <w:bidi/>
      </w:pPr>
      <w:r>
        <w:rPr>
          <w:rFonts w:ascii="Arial" w:hAnsi="Arial"/>
          <w:sz w:val="16"/>
        </w:rPr>
        <w:t>336.04  مصرف الکل - مصرف بیش از حد الکل اغلب منجر به اعمال قضاوت مشکوک یا ناتوانی در کنترل تکانه‌ها می‌شود و می‌تواند سوالاتی را در مورد قابلیت اطمینان و قابل اعتماد بودن فرد ایجاد کند.</w:t>
      </w:r>
    </w:p>
    <w:p>
      <w:pPr>
        <w:spacing w:after="28" w:line="216" w:lineRule="auto"/>
        <w:ind w:left="259"/>
        <w:jc w:val="left"/>
      </w:pPr>
      <w:r>
        <w:rPr>
          <w:rFonts w:ascii="Arial" w:hAnsi="Arial"/>
          <w:color w:val="525252"/>
          <w:sz w:val="13"/>
        </w:rPr>
        <w:t>Alcohol Consumption - Excessive alcohol consumption often leads to the exercise of questionable judgment or the failure to control impulses and can raise questions about an individual's reliability and trustworthiness.</w:t>
      </w:r>
    </w:p>
    <w:p>
      <w:pPr>
        <w:spacing w:after="20" w:line="223" w:lineRule="auto"/>
        <w:jc w:val="right"/>
        <w:bidi/>
      </w:pPr>
      <w:r>
        <w:rPr>
          <w:rFonts w:ascii="Arial" w:hAnsi="Arial"/>
          <w:sz w:val="16"/>
        </w:rPr>
        <w:t>336.05  دخالت مواد مخدر - استفاده از یک داروی غیرقانونی یا استفاده نادرست از یک داروی تجویزی می‌تواند سوالاتی را در مورد قابلیت اطمینان و قابل اعتماد بودن فرد ایجاد کند، هم به این دلیل که ممکن است قضاوت را مختل کند و هم به این دلیل که سوالاتی در مورد توانایی یا تمایل فرد برای پیروی از قوانین، قوانین و مقررات ایجاد می‌کند.</w:t>
      </w:r>
    </w:p>
    <w:p>
      <w:pPr>
        <w:spacing w:after="28" w:line="216" w:lineRule="auto"/>
        <w:ind w:left="259"/>
        <w:jc w:val="left"/>
      </w:pPr>
      <w:r>
        <w:rPr>
          <w:rFonts w:ascii="Arial" w:hAnsi="Arial"/>
          <w:color w:val="525252"/>
          <w:sz w:val="13"/>
        </w:rPr>
        <w:t>Drug Involvement - Use of an illegal drug or misuse of a prescription drug can raise questions about an individual's reliability and trustworthiness, both because it may impair judgment and because it raises questions about a person's ability or willingness to comply with laws, rules, and regulations.</w:t>
      </w:r>
    </w:p>
    <w:p>
      <w:pPr>
        <w:spacing w:after="20" w:line="223" w:lineRule="auto"/>
        <w:jc w:val="right"/>
        <w:bidi/>
      </w:pPr>
      <w:r>
        <w:rPr>
          <w:rFonts w:ascii="Arial" w:hAnsi="Arial"/>
          <w:sz w:val="16"/>
        </w:rPr>
        <w:t>336.06  شرایط روانی - برخی شرایط عاطفی، ذهنی و شخصیتی می‌توانند قضاوت، قابلیت اطمینان یا قابل اعتماد بودن را مختل کنند.</w:t>
      </w:r>
    </w:p>
    <w:p>
      <w:pPr>
        <w:spacing w:after="28" w:line="216" w:lineRule="auto"/>
        <w:ind w:left="259"/>
        <w:jc w:val="left"/>
      </w:pPr>
      <w:r>
        <w:rPr>
          <w:rFonts w:ascii="Arial" w:hAnsi="Arial"/>
          <w:color w:val="525252"/>
          <w:sz w:val="13"/>
        </w:rPr>
        <w:t>Psychological Conditions - Certain emotional, mental, and personality conditions can impair judgment, reliability, or trustworthiness.</w:t>
      </w:r>
    </w:p>
    <w:p>
      <w:pPr>
        <w:spacing w:after="20" w:line="223" w:lineRule="auto"/>
        <w:jc w:val="right"/>
        <w:bidi/>
      </w:pPr>
      <w:r>
        <w:rPr>
          <w:rFonts w:ascii="Arial" w:hAnsi="Arial"/>
          <w:sz w:val="16"/>
        </w:rPr>
        <w:t>336.07  تشخیص رسمی یک اختلال برای وجود نگرانی در این دستورالعمل لازم نیست.</w:t>
      </w:r>
    </w:p>
    <w:p>
      <w:pPr>
        <w:spacing w:after="28" w:line="216" w:lineRule="auto"/>
        <w:ind w:left="259"/>
        <w:jc w:val="left"/>
      </w:pPr>
      <w:r>
        <w:rPr>
          <w:rFonts w:ascii="Arial" w:hAnsi="Arial"/>
          <w:color w:val="525252"/>
          <w:sz w:val="13"/>
        </w:rPr>
        <w:t>A formal diagnosis of a disorder is not required for there to be a concern under this guideline.</w:t>
      </w:r>
    </w:p>
    <w:p>
      <w:pPr>
        <w:spacing w:after="20" w:line="223" w:lineRule="auto"/>
        <w:jc w:val="right"/>
        <w:bidi/>
      </w:pPr>
      <w:r>
        <w:rPr>
          <w:rFonts w:ascii="Arial" w:hAnsi="Arial"/>
          <w:sz w:val="16"/>
        </w:rPr>
        <w:t>336.08  هنگام ارزیابی اطلاعات بالقوه رد صلاحیت و کاهش صلاحیت تحت این دستورالعمل، باید با یک متخصص بهداشت روانی واجد شرایط (مانند روانشناس بالینی یا روانپزشک) که توسط دولت ایالات متحده استخدام شده یا مورد قبول و تأیید آن است، مشورت شود.</w:t>
      </w:r>
    </w:p>
    <w:p>
      <w:pPr>
        <w:spacing w:after="28" w:line="216" w:lineRule="auto"/>
        <w:ind w:left="259"/>
        <w:jc w:val="left"/>
      </w:pPr>
      <w:r>
        <w:rPr>
          <w:rFonts w:ascii="Arial" w:hAnsi="Arial"/>
          <w:color w:val="525252"/>
          <w:sz w:val="13"/>
        </w:rPr>
        <w:t>A duly qualified mental health professional (e.g., clinical psychologist or psychiatrist) employed by, or acceptable to and approved by the U.S. Government, should be consulted when evaluating potentially disqualifying and mitigating information under this guideline.</w:t>
      </w:r>
    </w:p>
    <w:p>
      <w:pPr>
        <w:spacing w:after="20" w:line="223" w:lineRule="auto"/>
        <w:jc w:val="right"/>
        <w:bidi/>
      </w:pPr>
      <w:r>
        <w:rPr>
          <w:rFonts w:ascii="Arial" w:hAnsi="Arial"/>
          <w:sz w:val="16"/>
        </w:rPr>
        <w:t>336.09  هیچ استنتاج منفی در مورد استانداردهای این دستورالعمل نمی‌تواند صرفا بر اساس مشاوره سلامت روان مطرح شود.</w:t>
      </w:r>
    </w:p>
    <w:p>
      <w:pPr>
        <w:spacing w:after="28" w:line="216" w:lineRule="auto"/>
        <w:ind w:left="259"/>
        <w:jc w:val="left"/>
      </w:pPr>
      <w:r>
        <w:rPr>
          <w:rFonts w:ascii="Arial" w:hAnsi="Arial"/>
          <w:color w:val="525252"/>
          <w:sz w:val="13"/>
        </w:rPr>
        <w:t>No negative inference concerning the standards in this Guideline may be raised solely on the basis of seeking mental health counseling.</w:t>
      </w:r>
    </w:p>
    <w:p>
      <w:pPr>
        <w:spacing w:after="20" w:line="223" w:lineRule="auto"/>
        <w:jc w:val="right"/>
        <w:bidi/>
      </w:pPr>
      <w:r>
        <w:rPr>
          <w:rFonts w:ascii="Arial" w:hAnsi="Arial"/>
          <w:sz w:val="16"/>
        </w:rPr>
        <w:t>336.10  رفتار مجرمانه - فعالیت مجرمانه در مورد قضاوت، قابلیت اطمینان و قابل اعتماد بودن فرد شک ایجاد می‌کند.</w:t>
      </w:r>
    </w:p>
    <w:p>
      <w:pPr>
        <w:spacing w:after="28" w:line="216" w:lineRule="auto"/>
        <w:ind w:left="259"/>
        <w:jc w:val="left"/>
      </w:pPr>
      <w:r>
        <w:rPr>
          <w:rFonts w:ascii="Arial" w:hAnsi="Arial"/>
          <w:color w:val="525252"/>
          <w:sz w:val="13"/>
        </w:rPr>
        <w:t>Criminal Conduct - Criminal activity creates doubt about a person's judgment, reliability, and trustworthiness.</w:t>
      </w:r>
    </w:p>
    <w:p>
      <w:pPr>
        <w:spacing w:after="20" w:line="223" w:lineRule="auto"/>
        <w:jc w:val="right"/>
        <w:bidi/>
      </w:pPr>
      <w:r>
        <w:rPr>
          <w:rFonts w:ascii="Arial" w:hAnsi="Arial"/>
          <w:sz w:val="16"/>
        </w:rPr>
        <w:t>336.11  به دلیل ماهیت خود، توانایی یا تمایل یک فرد را برای پیروی از قوانین، قوانین و مقررات زیر سوال می‌برد. رسیدگی به اطلاعات حفاظت‌شده - عدم رعایت عمدی یا سهل‌انگیز قوانین و مقررات برای حفاظت از اطلاعات طبقه‌بندی‌شده یا سایر اطلاعات حساس، باعث ایجاد شک در مورد قابل اعتماد بودن، قضاوت، امنیت و اراده جدی یک فرد می‌شود. نگرانی فعالیت‌های بیرونی - درگیر شدن در انواع خاصی از مشاغل یا فعالیت‌های خارجی در صورتی که تضاد منافع با مسئولیت‌های امنیتی فرد ایجاد کند و خطر افشای غیرمجاز اطلاعات طبقه‌بندی‌شده را افزایش دهد، یک نگرانی امنیتی است.</w:t>
      </w:r>
    </w:p>
    <w:p>
      <w:pPr>
        <w:spacing w:after="28" w:line="216" w:lineRule="auto"/>
        <w:ind w:left="259"/>
        <w:jc w:val="left"/>
      </w:pPr>
      <w:r>
        <w:rPr>
          <w:rFonts w:ascii="Arial" w:hAnsi="Arial"/>
          <w:color w:val="525252"/>
          <w:sz w:val="13"/>
        </w:rPr>
        <w:t>By its very nature, it calls into question a person's ability or willingness to comply with laws, rules and regulations Handling Protected Information - Deliberate or negligent failure to comply with rules and regulations for protecting classified or other sensitive information raises doubt about an individual's trustworthiness, judgment, reliability, or willingness and ability to safeguard such information, and is a serious security concern Outside Activities - Involvement in certain types of outside employment or activities is of security concern if it poses a conflict of interest with an individual's security responsibilities and could create an increased risk of unauthorized disclosure of classified information.</w:t>
      </w:r>
    </w:p>
    <w:p>
      <w:pPr>
        <w:spacing w:after="20" w:line="223" w:lineRule="auto"/>
        <w:jc w:val="right"/>
        <w:bidi/>
      </w:pPr>
      <w:r>
        <w:rPr>
          <w:rFonts w:ascii="Arial" w:hAnsi="Arial"/>
          <w:sz w:val="16"/>
        </w:rPr>
        <w:t>336.12  استفاده از فناوری اطلاعات - عدم انطباق با قوانین، رویه‌ها، دستورالعمل‌ها یا مقررات مربوط به سیستم‌های فناوری اطلاعات ممکن است نگرانی‌های امنیتی را در مورد قابلیت اطمینان و قابل اعتماد بودن افراد ایجاد کند و تمایل یا توانایی برای محافظت صحیح از سیستم‌ها، شبکه‌ها و اطلاعات حساس را زیر سوال ببرد.</w:t>
      </w:r>
    </w:p>
    <w:p>
      <w:pPr>
        <w:spacing w:after="28" w:line="216" w:lineRule="auto"/>
        <w:ind w:left="259"/>
        <w:jc w:val="left"/>
      </w:pPr>
      <w:r>
        <w:rPr>
          <w:rFonts w:ascii="Arial" w:hAnsi="Arial"/>
          <w:color w:val="525252"/>
          <w:sz w:val="13"/>
        </w:rPr>
        <w:t>Use of Information Technology - Noncompliance with rules, procedures, guidelines or regulations pertaining to information technology systems may raise security concerns about an individual's reliability and trustworthiness, calling into question the willingness or ability to properly protect sensitive systems, networks, and information.</w:t>
      </w:r>
    </w:p>
    <w:p>
      <w:pPr>
        <w:spacing w:after="20" w:line="223" w:lineRule="auto"/>
        <w:jc w:val="right"/>
        <w:bidi/>
      </w:pPr>
      <w:r>
        <w:rPr>
          <w:rFonts w:ascii="Arial" w:hAnsi="Arial"/>
          <w:sz w:val="16"/>
        </w:rPr>
        <w:t>336.13  سیستم‌های فناوری اطلاعات شامل تمام سخت‌افزار، نرم‌افزار، سفت‌افزار و داده‌های مرتبط رایانه‌ای است که برای ارتباط، انتقال، پردازش، دستکاری، ذخیره‌سازی یا حفاظت از اطلاعات استفاده می‌شود.</w:t>
      </w:r>
    </w:p>
    <w:p>
      <w:pPr>
        <w:spacing w:after="28" w:line="216" w:lineRule="auto"/>
        <w:ind w:left="259"/>
        <w:jc w:val="left"/>
      </w:pPr>
      <w:r>
        <w:rPr>
          <w:rFonts w:ascii="Arial" w:hAnsi="Arial"/>
          <w:color w:val="525252"/>
          <w:sz w:val="13"/>
        </w:rPr>
        <w:t>Information Technology Systems include all related computer hardware, software, firmware, and data used for the communication, transmission, processing, manipulation, storage, or protection of information.</w:t>
      </w:r>
    </w:p>
    <w:p>
      <w:r>
        <w:br w:type="page"/>
      </w:r>
    </w:p>
    <w:p>
      <w:pPr>
        <w:spacing w:after="60"/>
        <w:jc w:val="right"/>
        <w:bidi/>
      </w:pPr>
      <w:r>
        <w:rPr>
          <w:rFonts w:ascii="Arial" w:hAnsi="Arial"/>
          <w:b/>
          <w:color w:val="1F4D78"/>
          <w:sz w:val="19"/>
        </w:rPr>
        <w:t>هفتهٔ 337  |  صفحهٔ منبع: 353</w:t>
      </w:r>
    </w:p>
    <w:p>
      <w:pPr>
        <w:spacing w:before="60" w:after="28"/>
        <w:jc w:val="right"/>
        <w:bidi/>
      </w:pPr>
      <w:r>
        <w:rPr>
          <w:b/>
          <w:color w:val="1F4D78"/>
          <w:sz w:val="18"/>
        </w:rPr>
        <w:t>بخش 18D - دسترسی به اطلاعات، امنیت سایبری و تحرک</w:t>
      </w:r>
    </w:p>
    <w:p>
      <w:pPr>
        <w:spacing w:after="20"/>
        <w:ind w:left="259"/>
        <w:jc w:val="left"/>
      </w:pPr>
      <w:r>
        <w:rPr>
          <w:color w:val="555555"/>
          <w:sz w:val="12"/>
        </w:rPr>
        <w:t>Section 18D—Information Access, Cyber Security, and Mobility</w:t>
      </w:r>
    </w:p>
    <w:p>
      <w:pPr>
        <w:spacing w:before="60" w:after="28"/>
        <w:jc w:val="right"/>
        <w:bidi/>
      </w:pPr>
      <w:r>
        <w:rPr>
          <w:b/>
          <w:color w:val="1F4D78"/>
          <w:sz w:val="18"/>
        </w:rPr>
        <w:t>18.15. قانون حفظ حریم خصوصی</w:t>
      </w:r>
    </w:p>
    <w:p>
      <w:pPr>
        <w:spacing w:after="20"/>
        <w:ind w:left="259"/>
        <w:jc w:val="left"/>
      </w:pPr>
      <w:r>
        <w:rPr>
          <w:color w:val="555555"/>
          <w:sz w:val="12"/>
        </w:rPr>
        <w:t>18.15. The Privacy Act</w:t>
      </w:r>
    </w:p>
    <w:p>
      <w:pPr>
        <w:spacing w:after="20" w:line="223" w:lineRule="auto"/>
        <w:jc w:val="right"/>
        <w:bidi/>
      </w:pPr>
      <w:r>
        <w:rPr>
          <w:rFonts w:ascii="Arial" w:hAnsi="Arial"/>
          <w:sz w:val="16"/>
        </w:rPr>
        <w:t>337.03  قانون حفظ حریم خصوصی سال ۱۹۷۴ (به‌عنوان اصلاح شده) یک کد از شیوه‌های اطلاعاتی منصفانه را ایجاد می‌کند که بر جمع‌آوری، نگهداری، استفاده و انتشار اطلاعات شخصی افراد که در سیستمی از سوابق توسط آژانس‌های فدرال نگهداری می‌شوند، نظارت می‌کند.</w:t>
      </w:r>
    </w:p>
    <w:p>
      <w:pPr>
        <w:spacing w:after="28" w:line="216" w:lineRule="auto"/>
        <w:ind w:left="259"/>
        <w:jc w:val="left"/>
      </w:pPr>
      <w:r>
        <w:rPr>
          <w:rFonts w:ascii="Arial" w:hAnsi="Arial"/>
          <w:color w:val="525252"/>
          <w:sz w:val="13"/>
        </w:rPr>
        <w:t>The Privacy Act of 1974 (as amended) establishes a code of fair information practices that govern the collection, maintenance, use, and dissemination of personal information about individuals that is maintained in a system of records by federal agencies.</w:t>
      </w:r>
    </w:p>
    <w:p>
      <w:pPr>
        <w:spacing w:after="20" w:line="223" w:lineRule="auto"/>
        <w:jc w:val="right"/>
        <w:bidi/>
      </w:pPr>
      <w:r>
        <w:rPr>
          <w:rFonts w:ascii="Arial" w:hAnsi="Arial"/>
          <w:sz w:val="16"/>
        </w:rPr>
        <w:t>337.04  قانون حفظ حریم خصوصی ابزاری را برای افراد فراهم می‌کند تا از طریق آن به سوابق خود دسترسی داشته باشند و آن‌ها را اصلاح کنند و الزامات نگهداری سوابق آژانس را تعیین می‌کند.</w:t>
      </w:r>
    </w:p>
    <w:p>
      <w:pPr>
        <w:spacing w:after="28" w:line="216" w:lineRule="auto"/>
        <w:ind w:left="259"/>
        <w:jc w:val="left"/>
      </w:pPr>
      <w:r>
        <w:rPr>
          <w:rFonts w:ascii="Arial" w:hAnsi="Arial"/>
          <w:color w:val="525252"/>
          <w:sz w:val="13"/>
        </w:rPr>
        <w:t>The Privacy Act provides individuals with a means by which to seek access to and amend their records and sets forth agency record- keeping requirements.</w:t>
      </w:r>
    </w:p>
    <w:p>
      <w:pPr>
        <w:spacing w:after="20" w:line="223" w:lineRule="auto"/>
        <w:jc w:val="right"/>
        <w:bidi/>
      </w:pPr>
      <w:r>
        <w:rPr>
          <w:rFonts w:ascii="Arial" w:hAnsi="Arial"/>
          <w:sz w:val="16"/>
        </w:rPr>
        <w:t>337.05  افشای اطلاعات.</w:t>
      </w:r>
    </w:p>
    <w:p>
      <w:pPr>
        <w:spacing w:after="28" w:line="216" w:lineRule="auto"/>
        <w:ind w:left="259"/>
        <w:jc w:val="left"/>
      </w:pPr>
      <w:r>
        <w:rPr>
          <w:rFonts w:ascii="Arial" w:hAnsi="Arial"/>
          <w:color w:val="525252"/>
          <w:sz w:val="13"/>
        </w:rPr>
        <w:t>Disclosure of Information.</w:t>
      </w:r>
    </w:p>
    <w:p>
      <w:pPr>
        <w:spacing w:after="20" w:line="223" w:lineRule="auto"/>
        <w:jc w:val="right"/>
        <w:bidi/>
      </w:pPr>
      <w:r>
        <w:rPr>
          <w:rFonts w:ascii="Arial" w:hAnsi="Arial"/>
          <w:sz w:val="16"/>
        </w:rPr>
        <w:t>337.06  حقوق قانون حریم خصوصی برای فردی است که موضوع پرونده است و نمی‌توان آن را به‌طور مشتق شده توسط دیگران ادعا کرد.</w:t>
      </w:r>
    </w:p>
    <w:p>
      <w:pPr>
        <w:spacing w:after="28" w:line="216" w:lineRule="auto"/>
        <w:ind w:left="259"/>
        <w:jc w:val="left"/>
      </w:pPr>
      <w:r>
        <w:rPr>
          <w:rFonts w:ascii="Arial" w:hAnsi="Arial"/>
          <w:color w:val="525252"/>
          <w:sz w:val="13"/>
        </w:rPr>
        <w:t>Privacy Act rights are personal to the individual who is the subject of the record and cannot be asserted derivatively by others.</w:t>
      </w:r>
    </w:p>
    <w:p>
      <w:pPr>
        <w:spacing w:after="20" w:line="223" w:lineRule="auto"/>
        <w:jc w:val="right"/>
        <w:bidi/>
      </w:pPr>
      <w:r>
        <w:rPr>
          <w:rFonts w:ascii="Arial" w:hAnsi="Arial"/>
          <w:sz w:val="16"/>
        </w:rPr>
        <w:t>337.07  قانون حفظ حریم خصوصی، افشای اطلاعات از یک سیستم سوابق را بدون رضایت کتبی فرد موضوع ممنوع می‌کند.</w:t>
      </w:r>
    </w:p>
    <w:p>
      <w:pPr>
        <w:spacing w:after="28" w:line="216" w:lineRule="auto"/>
        <w:ind w:left="259"/>
        <w:jc w:val="left"/>
      </w:pPr>
      <w:r>
        <w:rPr>
          <w:rFonts w:ascii="Arial" w:hAnsi="Arial"/>
          <w:color w:val="525252"/>
          <w:sz w:val="13"/>
        </w:rPr>
        <w:t>The Privacy Act prohibits the disclosure of information from a system of records without the written consent of the subject individual.</w:t>
      </w:r>
    </w:p>
    <w:p>
      <w:pPr>
        <w:spacing w:after="20" w:line="223" w:lineRule="auto"/>
        <w:jc w:val="right"/>
        <w:bidi/>
      </w:pPr>
      <w:r>
        <w:rPr>
          <w:rFonts w:ascii="Arial" w:hAnsi="Arial"/>
          <w:sz w:val="16"/>
        </w:rPr>
        <w:t>337.08  افراد حق درخواست دسترسی یا اصلاح سوابق خود در یک سیستم را دارند.</w:t>
      </w:r>
    </w:p>
    <w:p>
      <w:pPr>
        <w:spacing w:after="28" w:line="216" w:lineRule="auto"/>
        <w:ind w:left="259"/>
        <w:jc w:val="left"/>
      </w:pPr>
      <w:r>
        <w:rPr>
          <w:rFonts w:ascii="Arial" w:hAnsi="Arial"/>
          <w:color w:val="525252"/>
          <w:sz w:val="13"/>
        </w:rPr>
        <w:t>Individuals have the right to request access or amendment to their records in a system.</w:t>
      </w:r>
    </w:p>
    <w:p>
      <w:pPr>
        <w:spacing w:after="20" w:line="223" w:lineRule="auto"/>
        <w:jc w:val="right"/>
        <w:bidi/>
      </w:pPr>
      <w:r>
        <w:rPr>
          <w:rFonts w:ascii="Arial" w:hAnsi="Arial"/>
          <w:sz w:val="16"/>
        </w:rPr>
        <w:t>337.09  والدین هر صغیر، یا قیم قانونی یک فرد فاقد صلاحیت، می‌توانند از طرف آن فرد اقدام کنند.</w:t>
      </w:r>
    </w:p>
    <w:p>
      <w:pPr>
        <w:spacing w:after="28" w:line="216" w:lineRule="auto"/>
        <w:ind w:left="259"/>
        <w:jc w:val="left"/>
      </w:pPr>
      <w:r>
        <w:rPr>
          <w:rFonts w:ascii="Arial" w:hAnsi="Arial"/>
          <w:color w:val="525252"/>
          <w:sz w:val="13"/>
        </w:rPr>
        <w:t>The parent of any minor, or the legal guardian of an incompetent, may act on behalf of that individual.</w:t>
      </w:r>
    </w:p>
    <w:p>
      <w:pPr>
        <w:spacing w:after="20" w:line="223" w:lineRule="auto"/>
        <w:jc w:val="right"/>
        <w:bidi/>
      </w:pPr>
      <w:r>
        <w:rPr>
          <w:rFonts w:ascii="Arial" w:hAnsi="Arial"/>
          <w:sz w:val="16"/>
        </w:rPr>
        <w:t>337.10  مجموعه اطلاعات.</w:t>
      </w:r>
    </w:p>
    <w:p>
      <w:pPr>
        <w:spacing w:after="28" w:line="216" w:lineRule="auto"/>
        <w:ind w:left="259"/>
        <w:jc w:val="left"/>
      </w:pPr>
      <w:r>
        <w:rPr>
          <w:rFonts w:ascii="Arial" w:hAnsi="Arial"/>
          <w:color w:val="525252"/>
          <w:sz w:val="13"/>
        </w:rPr>
        <w:t>Collection of Information.</w:t>
      </w:r>
    </w:p>
    <w:p>
      <w:pPr>
        <w:spacing w:after="20" w:line="223" w:lineRule="auto"/>
        <w:jc w:val="right"/>
        <w:bidi/>
      </w:pPr>
      <w:r>
        <w:rPr>
          <w:rFonts w:ascii="Arial" w:hAnsi="Arial"/>
          <w:sz w:val="16"/>
        </w:rPr>
        <w:t>337.11  قانون حفظ حریم خصوصی جمع‌آوری اطلاعات را به آنچه قانون یا دستورات اجرایی مجاز می‌داند محدود می‌کند.</w:t>
      </w:r>
    </w:p>
    <w:p>
      <w:pPr>
        <w:spacing w:after="28" w:line="216" w:lineRule="auto"/>
        <w:ind w:left="259"/>
        <w:jc w:val="left"/>
      </w:pPr>
      <w:r>
        <w:rPr>
          <w:rFonts w:ascii="Arial" w:hAnsi="Arial"/>
          <w:color w:val="525252"/>
          <w:sz w:val="13"/>
        </w:rPr>
        <w:t>The Privacy Act limits the collection of information to what the law or executive orders authorize.</w:t>
      </w:r>
    </w:p>
    <w:p>
      <w:pPr>
        <w:spacing w:after="20" w:line="223" w:lineRule="auto"/>
        <w:jc w:val="right"/>
        <w:bidi/>
      </w:pPr>
      <w:r>
        <w:rPr>
          <w:rFonts w:ascii="Arial" w:hAnsi="Arial"/>
          <w:sz w:val="16"/>
        </w:rPr>
        <w:t>337.12  اعلامیه‌های سیستم سوابق (SORN) باید در ثبت فدرال منتشر شود که به عموم اجازه می‌دهد یک دوره ۳۰ روزه نظر بدهند.</w:t>
      </w:r>
    </w:p>
    <w:p>
      <w:pPr>
        <w:spacing w:after="28" w:line="216" w:lineRule="auto"/>
        <w:ind w:left="259"/>
        <w:jc w:val="left"/>
      </w:pPr>
      <w:r>
        <w:rPr>
          <w:rFonts w:ascii="Arial" w:hAnsi="Arial"/>
          <w:color w:val="525252"/>
          <w:sz w:val="13"/>
        </w:rPr>
        <w:t>System of Records Notices (SORNs) must be published in the federal register allowing the public a 30-day comment period.</w:t>
      </w:r>
    </w:p>
    <w:p>
      <w:pPr>
        <w:spacing w:after="20" w:line="223" w:lineRule="auto"/>
        <w:jc w:val="right"/>
        <w:bidi/>
      </w:pPr>
      <w:r>
        <w:rPr>
          <w:rFonts w:ascii="Arial" w:hAnsi="Arial"/>
          <w:sz w:val="16"/>
        </w:rPr>
        <w:t>337.13  چنین مجموعه‌ای نباید با حقوق تضمین شده توسط اولین متمم قانون اساسی ایالات متحده تضاد داشته باشد.</w:t>
      </w:r>
    </w:p>
    <w:p>
      <w:pPr>
        <w:spacing w:after="28" w:line="216" w:lineRule="auto"/>
        <w:ind w:left="259"/>
        <w:jc w:val="left"/>
      </w:pPr>
      <w:r>
        <w:rPr>
          <w:rFonts w:ascii="Arial" w:hAnsi="Arial"/>
          <w:color w:val="525252"/>
          <w:sz w:val="13"/>
        </w:rPr>
        <w:t>Such collection must not conflict with the rights guaranteed by the First Amendment to the U.S. Constitution.</w:t>
      </w:r>
    </w:p>
    <w:p>
      <w:pPr>
        <w:spacing w:after="20" w:line="223" w:lineRule="auto"/>
        <w:jc w:val="right"/>
        <w:bidi/>
      </w:pPr>
      <w:r>
        <w:rPr>
          <w:rFonts w:ascii="Arial" w:hAnsi="Arial"/>
          <w:sz w:val="16"/>
        </w:rPr>
        <w:t>337.14  زمانی که از افراد خواسته می‌شود اطلاعات شخصی خود را برای جمع‌آوری در سیستمی از سوابق ارائه دهند، باید بیانیه قانون حفظ حریم خصوصی ارائه شود.</w:t>
      </w:r>
    </w:p>
    <w:p>
      <w:pPr>
        <w:spacing w:after="28" w:line="216" w:lineRule="auto"/>
        <w:ind w:left="259"/>
        <w:jc w:val="left"/>
      </w:pPr>
      <w:r>
        <w:rPr>
          <w:rFonts w:ascii="Arial" w:hAnsi="Arial"/>
          <w:color w:val="525252"/>
          <w:sz w:val="13"/>
        </w:rPr>
        <w:t>A Privacy Act statement must be given when individuals are asked to provide personal information about themselves for collection in a system of records.</w:t>
      </w:r>
    </w:p>
    <w:p>
      <w:pPr>
        <w:spacing w:after="20" w:line="223" w:lineRule="auto"/>
        <w:jc w:val="right"/>
        <w:bidi/>
      </w:pPr>
      <w:r>
        <w:rPr>
          <w:rFonts w:ascii="Arial" w:hAnsi="Arial"/>
          <w:sz w:val="16"/>
        </w:rPr>
        <w:t>337.15  سیستم نگهداری سوابق.</w:t>
      </w:r>
    </w:p>
    <w:p>
      <w:pPr>
        <w:spacing w:after="28" w:line="216" w:lineRule="auto"/>
        <w:ind w:left="259"/>
        <w:jc w:val="left"/>
      </w:pPr>
      <w:r>
        <w:rPr>
          <w:rFonts w:ascii="Arial" w:hAnsi="Arial"/>
          <w:color w:val="525252"/>
          <w:sz w:val="13"/>
        </w:rPr>
        <w:t>System of Records Maintenance.</w:t>
      </w:r>
    </w:p>
    <w:p>
      <w:pPr>
        <w:spacing w:after="20" w:line="223" w:lineRule="auto"/>
        <w:jc w:val="right"/>
        <w:bidi/>
      </w:pPr>
      <w:r>
        <w:rPr>
          <w:rFonts w:ascii="Arial" w:hAnsi="Arial"/>
          <w:sz w:val="16"/>
        </w:rPr>
        <w:t>337.16  سیستم سوابق قانون حفظ حریم خصوصی مجموعه‌ای از هرگونه سوابق تحت کنترل هر سازمانی است که اطلاعات با نام، شماره یا شناسه منحصربه‌فرد فرد بازیابی می‌شود.</w:t>
      </w:r>
    </w:p>
    <w:p>
      <w:pPr>
        <w:spacing w:after="28" w:line="216" w:lineRule="auto"/>
        <w:ind w:left="259"/>
        <w:jc w:val="left"/>
      </w:pPr>
      <w:r>
        <w:rPr>
          <w:rFonts w:ascii="Arial" w:hAnsi="Arial"/>
          <w:color w:val="525252"/>
          <w:sz w:val="13"/>
        </w:rPr>
        <w:t>Privacy Act system of records is a group of any records under the control of any agency from which information is retrieved by the individual’s name, number, or unique identifier.</w:t>
      </w:r>
    </w:p>
    <w:p>
      <w:pPr>
        <w:spacing w:after="20" w:line="223" w:lineRule="auto"/>
        <w:jc w:val="right"/>
        <w:bidi/>
      </w:pPr>
      <w:r>
        <w:rPr>
          <w:rFonts w:ascii="Arial" w:hAnsi="Arial"/>
          <w:sz w:val="16"/>
        </w:rPr>
        <w:t>337.17  توجه: پرسنل وزارت دفاع ممکن است سوابق خود را به دفاتر دیگر در وزارت دفاع در مواقعی که "نیاز رسمی به دانستن" وجود دارد و سایر سازمان‌های دولت فدرال یا افراد در صورتی که افشای سوابق یک "استفاده معمول" است منتشر شده در SORN ها یا مطابق با مجوز قانون حفظ حریم خصوصی باشد، افشا کنند.</w:t>
      </w:r>
    </w:p>
    <w:p>
      <w:pPr>
        <w:spacing w:after="28" w:line="216" w:lineRule="auto"/>
        <w:ind w:left="259"/>
        <w:jc w:val="left"/>
      </w:pPr>
      <w:r>
        <w:rPr>
          <w:rFonts w:ascii="Arial" w:hAnsi="Arial"/>
          <w:color w:val="525252"/>
          <w:sz w:val="13"/>
        </w:rPr>
        <w:t>Note: Department of Defense personnel may disclose records to other offices in the Department of Defense when there is “an official need to know” and to other federal government agencies or individuals when a discloser of record is a “routine use” published in the SORNs or as authorized by a Privacy Act exception.</w:t>
      </w:r>
    </w:p>
    <w:p>
      <w:pPr>
        <w:spacing w:after="20" w:line="223" w:lineRule="auto"/>
        <w:jc w:val="right"/>
        <w:bidi/>
      </w:pPr>
      <w:r>
        <w:rPr>
          <w:rFonts w:ascii="Arial" w:hAnsi="Arial"/>
          <w:sz w:val="16"/>
        </w:rPr>
        <w:t>337.18  به‌علاوه، ممکن است اطلاعات برای یک هدف مشخص افشا شده با رضایت شخص منتشر شود.</w:t>
      </w:r>
    </w:p>
    <w:p>
      <w:pPr>
        <w:spacing w:after="28" w:line="216" w:lineRule="auto"/>
        <w:ind w:left="259"/>
        <w:jc w:val="left"/>
      </w:pPr>
      <w:r>
        <w:rPr>
          <w:rFonts w:ascii="Arial" w:hAnsi="Arial"/>
          <w:color w:val="525252"/>
          <w:sz w:val="13"/>
        </w:rPr>
        <w:t>In addition, information may be released for a disclosed specified purpose with the subject’s consent.</w:t>
      </w:r>
    </w:p>
    <w:p>
      <w:pPr>
        <w:spacing w:after="20" w:line="223" w:lineRule="auto"/>
        <w:jc w:val="right"/>
        <w:bidi/>
      </w:pPr>
      <w:r>
        <w:rPr>
          <w:rFonts w:ascii="Arial" w:hAnsi="Arial"/>
          <w:sz w:val="16"/>
        </w:rPr>
        <w:t>337.19  دفتر مسئولیت اصلی داده‌ها باید حسابی از تمام اطلاعاتی که منتشر کرده است نگه دارد.</w:t>
      </w:r>
    </w:p>
    <w:p>
      <w:pPr>
        <w:spacing w:after="28" w:line="216" w:lineRule="auto"/>
        <w:ind w:left="259"/>
        <w:jc w:val="left"/>
      </w:pPr>
      <w:r>
        <w:rPr>
          <w:rFonts w:ascii="Arial" w:hAnsi="Arial"/>
          <w:color w:val="525252"/>
          <w:sz w:val="13"/>
        </w:rPr>
        <w:t>The office of primary responsibility of the data should keep an account of all information they’ve released.</w:t>
      </w:r>
    </w:p>
    <w:p>
      <w:pPr>
        <w:spacing w:after="20" w:line="223" w:lineRule="auto"/>
        <w:jc w:val="right"/>
        <w:bidi/>
      </w:pPr>
      <w:r>
        <w:rPr>
          <w:rFonts w:ascii="Arial" w:hAnsi="Arial"/>
          <w:sz w:val="16"/>
        </w:rPr>
        <w:t>337.20  اطلاعات قابل شناسایی شخصی.</w:t>
      </w:r>
    </w:p>
    <w:p>
      <w:pPr>
        <w:spacing w:after="28" w:line="216" w:lineRule="auto"/>
        <w:ind w:left="259"/>
        <w:jc w:val="left"/>
      </w:pPr>
      <w:r>
        <w:rPr>
          <w:rFonts w:ascii="Arial" w:hAnsi="Arial"/>
          <w:color w:val="525252"/>
          <w:sz w:val="13"/>
        </w:rPr>
        <w:t>Personally Identifiable Information.</w:t>
      </w:r>
    </w:p>
    <w:p>
      <w:pPr>
        <w:spacing w:after="20" w:line="223" w:lineRule="auto"/>
        <w:jc w:val="right"/>
        <w:bidi/>
      </w:pPr>
      <w:r>
        <w:rPr>
          <w:rFonts w:ascii="Arial" w:hAnsi="Arial"/>
          <w:sz w:val="16"/>
        </w:rPr>
        <w:t>337.21  اطلاعات شناسایی شخصی در یک سیستم سوابق باید محافظت شود تا از دسترسی "نیاز رسمی به دانستن" به سوابق اطمینان حاصل شود و از اقداماتی که می‌تواند منجر به آسیب، شرمساری یا بی عدالتی برای فرد شود، جلوگیری شود.</w:t>
      </w:r>
    </w:p>
    <w:p>
      <w:pPr>
        <w:spacing w:after="28" w:line="216" w:lineRule="auto"/>
        <w:ind w:left="259"/>
        <w:jc w:val="left"/>
      </w:pPr>
      <w:r>
        <w:rPr>
          <w:rFonts w:ascii="Arial" w:hAnsi="Arial"/>
          <w:color w:val="525252"/>
          <w:sz w:val="13"/>
        </w:rPr>
        <w:t>Personally identifiable information in a system of records must be safeguarded to ensure “an official need to know” access of the records and to avoid actions that could result in harm, embarrassment, or unfairness to the individual.</w:t>
      </w:r>
    </w:p>
    <w:p>
      <w:pPr>
        <w:spacing w:after="20" w:line="223" w:lineRule="auto"/>
        <w:jc w:val="right"/>
        <w:bidi/>
      </w:pPr>
      <w:r>
        <w:rPr>
          <w:rFonts w:ascii="Arial" w:hAnsi="Arial"/>
          <w:sz w:val="16"/>
        </w:rPr>
        <w:t>337.22  دفتر مدیریت و بودجه نقض اطلاعات شخصی قابل شناسایی را اینگونه تعریف می‌کند: «از دست دادن کنترل، مصالحه، افشای غیرمجاز، کسب غیرمجاز، دسترسی غیرمجاز، یا هر اصطلاح مشابهی که به موقعیت‌هایی اشاره می‌کند که در آن اشخاصی غیر از کاربران مجاز و برای هدفی غیر از دسترسی فیزیکی یا بالقوه مجاز به اطلاعات شخصی، الکترونیکی یا مجاز، دسترسی دارند.» برای اطلاعات بیشتر، تعاریف، معافیت‌ها، استثناها، یا مسئولیت‌ها و روش‌های حفاظت و گزارش نقض اطلاعات شخصی قابل شناسایی، به AFI ۳۳-۳۳۲ مراجعه کنید.</w:t>
      </w:r>
    </w:p>
    <w:p>
      <w:pPr>
        <w:spacing w:after="28" w:line="216" w:lineRule="auto"/>
        <w:ind w:left="259"/>
        <w:jc w:val="left"/>
      </w:pPr>
      <w:r>
        <w:rPr>
          <w:rFonts w:ascii="Arial" w:hAnsi="Arial"/>
          <w:color w:val="525252"/>
          <w:sz w:val="13"/>
        </w:rPr>
        <w:t>The Office of Management and Budget defines a personally identifiable information breach as, “A loss of control, compromise, unauthorized disclosure, unauthorized acquisition, unauthorized access, or any similar term referring to situations where persons other than authorized users and for an other than authorized purpose have access or potential access to personally identifiable information, whether physical or electronic.” For further information, definitions, exemptions, exceptions, or responsibilities and procedures for safeguarding and reporting of personally identifiable information breaches, refer to AFI 33-332.</w:t>
      </w:r>
    </w:p>
    <w:p>
      <w:pPr>
        <w:spacing w:before="60" w:after="28"/>
        <w:jc w:val="right"/>
        <w:bidi/>
      </w:pPr>
      <w:r>
        <w:rPr>
          <w:b/>
          <w:color w:val="1F4D78"/>
          <w:sz w:val="18"/>
        </w:rPr>
        <w:t>18.16. قانون آزادی اطلاعات</w:t>
      </w:r>
    </w:p>
    <w:p>
      <w:pPr>
        <w:spacing w:after="20"/>
        <w:ind w:left="259"/>
        <w:jc w:val="left"/>
      </w:pPr>
      <w:r>
        <w:rPr>
          <w:color w:val="555555"/>
          <w:sz w:val="12"/>
        </w:rPr>
        <w:t>18.16. Freedom of Information Act</w:t>
      </w:r>
    </w:p>
    <w:p>
      <w:pPr>
        <w:spacing w:after="20" w:line="223" w:lineRule="auto"/>
        <w:jc w:val="right"/>
        <w:bidi/>
      </w:pPr>
      <w:r>
        <w:rPr>
          <w:rFonts w:ascii="Arial" w:hAnsi="Arial"/>
          <w:sz w:val="16"/>
        </w:rPr>
        <w:t>337.24  قانون آزادی اطلاعات دسترسی به سوابق آژانس فدرال (یا بخش‌هایی از این سوابق) را به جز مواردی که با معافیت‌های خاص از انتشار محافظت می‌شوند، فراهم می‌کند.</w:t>
      </w:r>
    </w:p>
    <w:p>
      <w:pPr>
        <w:spacing w:after="28" w:line="216" w:lineRule="auto"/>
        <w:ind w:left="259"/>
        <w:jc w:val="left"/>
      </w:pPr>
      <w:r>
        <w:rPr>
          <w:rFonts w:ascii="Arial" w:hAnsi="Arial"/>
          <w:color w:val="525252"/>
          <w:sz w:val="13"/>
        </w:rPr>
        <w:t>The Freedom of Information Act provides access to federal agency records (or parts of these records) except those protected from release by specific exemptions.</w:t>
      </w:r>
    </w:p>
    <w:p>
      <w:pPr>
        <w:spacing w:after="20" w:line="223" w:lineRule="auto"/>
        <w:jc w:val="right"/>
        <w:bidi/>
      </w:pPr>
      <w:r>
        <w:rPr>
          <w:rFonts w:ascii="Arial" w:hAnsi="Arial"/>
          <w:sz w:val="16"/>
        </w:rPr>
        <w:t>337.25  درخواست‌های قانون آزادی اطلاعات، درخواست‌های کتبی هستند که به قانون آزادی اطلاعات استناد می‌کنند یا متضمن آن هستند.</w:t>
      </w:r>
    </w:p>
    <w:p>
      <w:pPr>
        <w:spacing w:after="28" w:line="216" w:lineRule="auto"/>
        <w:ind w:left="259"/>
        <w:jc w:val="left"/>
      </w:pPr>
      <w:r>
        <w:rPr>
          <w:rFonts w:ascii="Arial" w:hAnsi="Arial"/>
          <w:color w:val="525252"/>
          <w:sz w:val="13"/>
        </w:rPr>
        <w:t>Freedom of Information Act requests are written requests that cite or imply the Freedom of Information Act.</w:t>
      </w:r>
    </w:p>
    <w:p>
      <w:pPr>
        <w:spacing w:after="20" w:line="223" w:lineRule="auto"/>
        <w:jc w:val="right"/>
        <w:bidi/>
      </w:pPr>
      <w:r>
        <w:rPr>
          <w:rFonts w:ascii="Arial" w:hAnsi="Arial"/>
          <w:sz w:val="16"/>
        </w:rPr>
        <w:t>337.26  قانون محدودیت‌های زمانی سختی را برای پاسخ به درخواست‌کنندگان تعیین می‌کند و در موارد خاص اجازه ارزیابی هزینه‌ها را می‌دهد.</w:t>
      </w:r>
    </w:p>
    <w:p>
      <w:pPr>
        <w:spacing w:after="28" w:line="216" w:lineRule="auto"/>
        <w:ind w:left="259"/>
        <w:jc w:val="left"/>
      </w:pPr>
      <w:r>
        <w:rPr>
          <w:rFonts w:ascii="Arial" w:hAnsi="Arial"/>
          <w:color w:val="525252"/>
          <w:sz w:val="13"/>
        </w:rPr>
        <w:t>The law establishes rigid time limits for replying to requesters and permits assessing fees in certain instances.</w:t>
      </w:r>
    </w:p>
    <w:p>
      <w:pPr>
        <w:spacing w:after="20" w:line="223" w:lineRule="auto"/>
        <w:jc w:val="right"/>
        <w:bidi/>
      </w:pPr>
      <w:r>
        <w:rPr>
          <w:rFonts w:ascii="Arial" w:hAnsi="Arial"/>
          <w:sz w:val="16"/>
        </w:rPr>
        <w:t>337.27  قانون آزادی اطلاعات محدودیت‌های زمانی اجباری ۲۰ روز کاری را برای رد هر یک از آنها اعمال می‌کند.</w:t>
      </w:r>
    </w:p>
    <w:p>
      <w:pPr>
        <w:spacing w:after="28" w:line="216" w:lineRule="auto"/>
        <w:ind w:left="259"/>
        <w:jc w:val="left"/>
      </w:pPr>
      <w:r>
        <w:rPr>
          <w:rFonts w:ascii="Arial" w:hAnsi="Arial"/>
          <w:color w:val="525252"/>
          <w:sz w:val="13"/>
        </w:rPr>
        <w:t>The Freedom of Information Act imposes mandatory time limits of 20 workdays to either deny the</w:t>
      </w:r>
    </w:p>
    <w:p>
      <w:r>
        <w:br w:type="page"/>
      </w:r>
    </w:p>
    <w:p>
      <w:pPr>
        <w:spacing w:after="60"/>
        <w:jc w:val="right"/>
        <w:bidi/>
      </w:pPr>
      <w:r>
        <w:rPr>
          <w:rFonts w:ascii="Arial" w:hAnsi="Arial"/>
          <w:b/>
          <w:color w:val="1F4D78"/>
          <w:sz w:val="19"/>
        </w:rPr>
        <w:t>هفتهٔ 338  |  صفحهٔ منبع: 354</w:t>
      </w:r>
    </w:p>
    <w:p>
      <w:pPr>
        <w:spacing w:after="20" w:line="223" w:lineRule="auto"/>
        <w:jc w:val="right"/>
        <w:bidi/>
      </w:pPr>
      <w:r>
        <w:rPr>
          <w:rFonts w:ascii="Arial" w:hAnsi="Arial"/>
          <w:sz w:val="16"/>
        </w:rPr>
        <w:t>338.01  سوابق درخواستی را درخواست یا منتشر کنید.</w:t>
      </w:r>
    </w:p>
    <w:p>
      <w:pPr>
        <w:spacing w:after="28" w:line="216" w:lineRule="auto"/>
        <w:ind w:left="259"/>
        <w:jc w:val="left"/>
      </w:pPr>
      <w:r>
        <w:rPr>
          <w:rFonts w:ascii="Arial" w:hAnsi="Arial"/>
          <w:color w:val="525252"/>
          <w:sz w:val="13"/>
        </w:rPr>
        <w:t>request or release the requested records.</w:t>
      </w:r>
    </w:p>
    <w:p>
      <w:pPr>
        <w:spacing w:after="20" w:line="223" w:lineRule="auto"/>
        <w:jc w:val="right"/>
        <w:bidi/>
      </w:pPr>
      <w:r>
        <w:rPr>
          <w:rFonts w:ascii="Arial" w:hAnsi="Arial"/>
          <w:sz w:val="16"/>
        </w:rPr>
        <w:t>338.02  قانون اجازه می‌دهد در صورت وجود شرایط غیرعادی خاص، ۱۰ روز کاری اضافی تمدید شود.</w:t>
      </w:r>
    </w:p>
    <w:p>
      <w:pPr>
        <w:spacing w:after="28" w:line="216" w:lineRule="auto"/>
        <w:ind w:left="259"/>
        <w:jc w:val="left"/>
      </w:pPr>
      <w:r>
        <w:rPr>
          <w:rFonts w:ascii="Arial" w:hAnsi="Arial"/>
          <w:color w:val="525252"/>
          <w:sz w:val="13"/>
        </w:rPr>
        <w:t>The law permits an additional 10-workday extension in the event that specific unusual circumstances exist.</w:t>
      </w:r>
    </w:p>
    <w:p>
      <w:pPr>
        <w:spacing w:after="20" w:line="223" w:lineRule="auto"/>
        <w:jc w:val="right"/>
        <w:bidi/>
      </w:pPr>
      <w:r>
        <w:rPr>
          <w:rFonts w:ascii="Arial" w:hAnsi="Arial"/>
          <w:sz w:val="16"/>
        </w:rPr>
        <w:t>338.03  توجه: عدم پذیرش مستلزم اطلاع از حقوق تجدیدنظر است.</w:t>
      </w:r>
    </w:p>
    <w:p>
      <w:pPr>
        <w:spacing w:after="28" w:line="216" w:lineRule="auto"/>
        <w:ind w:left="259"/>
        <w:jc w:val="left"/>
      </w:pPr>
      <w:r>
        <w:rPr>
          <w:rFonts w:ascii="Arial" w:hAnsi="Arial"/>
          <w:color w:val="525252"/>
          <w:sz w:val="13"/>
        </w:rPr>
        <w:t>Note: Denials require notification of appeal rights.</w:t>
      </w:r>
    </w:p>
    <w:p>
      <w:pPr>
        <w:spacing w:after="20" w:line="223" w:lineRule="auto"/>
        <w:jc w:val="right"/>
        <w:bidi/>
      </w:pPr>
      <w:r>
        <w:rPr>
          <w:rFonts w:ascii="Arial" w:hAnsi="Arial"/>
          <w:sz w:val="16"/>
        </w:rPr>
        <w:t>338.04  متقاضیان می‌توانند درخواست تجدیدنظر یا طرح دعوی کنند.</w:t>
      </w:r>
    </w:p>
    <w:p>
      <w:pPr>
        <w:spacing w:after="28" w:line="216" w:lineRule="auto"/>
        <w:ind w:left="259"/>
        <w:jc w:val="left"/>
      </w:pPr>
      <w:r>
        <w:rPr>
          <w:rFonts w:ascii="Arial" w:hAnsi="Arial"/>
          <w:color w:val="525252"/>
          <w:sz w:val="13"/>
        </w:rPr>
        <w:t>Requesters can file an appeal or litigate.</w:t>
      </w:r>
    </w:p>
    <w:p>
      <w:pPr>
        <w:spacing w:after="20" w:line="223" w:lineRule="auto"/>
        <w:jc w:val="right"/>
        <w:bidi/>
      </w:pPr>
      <w:r>
        <w:rPr>
          <w:rFonts w:ascii="Arial" w:hAnsi="Arial"/>
          <w:sz w:val="16"/>
        </w:rPr>
        <w:t>338.05  برای خط‌مشی و رویه‌های خاص در مورد قانون آزادی اطلاعات و برای راهنمایی در مورد افشای سوابق به عموم، به دودم ۵۴۰۰.۰۷-ر_AFMAN ۳۳-۳۰۲ مراجعه کنید.</w:t>
      </w:r>
    </w:p>
    <w:p>
      <w:pPr>
        <w:spacing w:after="28" w:line="216" w:lineRule="auto"/>
        <w:ind w:left="259"/>
        <w:jc w:val="left"/>
      </w:pPr>
      <w:r>
        <w:rPr>
          <w:rFonts w:ascii="Arial" w:hAnsi="Arial"/>
          <w:color w:val="525252"/>
          <w:sz w:val="13"/>
        </w:rPr>
        <w:t>Refer to DoDM 5400.07-R_AFMAN 33-302 for specific policy and procedures on the Freedom of Information Act and for guidance on disclosing records to the public.</w:t>
      </w:r>
    </w:p>
    <w:p>
      <w:pPr>
        <w:spacing w:before="60" w:after="28"/>
        <w:jc w:val="right"/>
        <w:bidi/>
      </w:pPr>
      <w:r>
        <w:rPr>
          <w:b/>
          <w:color w:val="1F4D78"/>
          <w:sz w:val="18"/>
        </w:rPr>
        <w:t>18.17. امنیت سایبری</w:t>
      </w:r>
    </w:p>
    <w:p>
      <w:pPr>
        <w:spacing w:after="20"/>
        <w:ind w:left="259"/>
        <w:jc w:val="left"/>
      </w:pPr>
      <w:r>
        <w:rPr>
          <w:color w:val="555555"/>
          <w:sz w:val="12"/>
        </w:rPr>
        <w:t>18.17. Cybersecurity</w:t>
      </w:r>
    </w:p>
    <w:p>
      <w:pPr>
        <w:spacing w:after="20" w:line="223" w:lineRule="auto"/>
        <w:jc w:val="right"/>
        <w:bidi/>
      </w:pPr>
      <w:r>
        <w:rPr>
          <w:rFonts w:ascii="Arial" w:hAnsi="Arial"/>
          <w:sz w:val="16"/>
        </w:rPr>
        <w:t>338.07  امنیت سایبری به‌عنوان جلوگیری از آسیب، حفاظت و بازیابی رایانه‌ها، سیستم‌های ارتباطات الکترونیکی، ارتباطات سیمی و ارتباطات الکترونیکی، از جمله اطلاعات موجود در آن، برای اطمینان از در دسترس بودن، یکپارچگی، احراز هویت، محرمانه بودن و عدم انکار آن تعریف می‌شود.</w:t>
      </w:r>
    </w:p>
    <w:p>
      <w:pPr>
        <w:spacing w:after="28" w:line="216" w:lineRule="auto"/>
        <w:ind w:left="259"/>
        <w:jc w:val="left"/>
      </w:pPr>
      <w:r>
        <w:rPr>
          <w:rFonts w:ascii="Arial" w:hAnsi="Arial"/>
          <w:color w:val="525252"/>
          <w:sz w:val="13"/>
        </w:rPr>
        <w:t>Cybersecurity is defined as the prevention of damage to, protection of, and restoration of computers, electronic communications systems, wire communication, and electronic communication, including information contained therein, to ensure its availability, integrity, authentication, confidentiality, and nonrepudiation.</w:t>
      </w:r>
    </w:p>
    <w:p>
      <w:pPr>
        <w:spacing w:after="20" w:line="223" w:lineRule="auto"/>
        <w:jc w:val="right"/>
        <w:bidi/>
      </w:pPr>
      <w:r>
        <w:rPr>
          <w:rFonts w:ascii="Arial" w:hAnsi="Arial"/>
          <w:sz w:val="16"/>
        </w:rPr>
        <w:t>338.08  رشته‌های امنیت سایبری شامل چارچوب مدیریت ریسک نیروی هوایی، کنترل‌های فناوری اطلاعات/مقابله‌های متقابل، امنیت ارتباطات، TEMPEST (که پیش‌تر به‌عنوان امنیت انتشار شناخته می‌شد)، ارزیابی و مجوز AF (که پیش‌تر به‌عنوان برنامه صدور گواهی و اعتبار شناخته می‌شد)، و ارتقای برنامه امنیت سایبری.</w:t>
      </w:r>
    </w:p>
    <w:p>
      <w:pPr>
        <w:spacing w:after="28" w:line="216" w:lineRule="auto"/>
        <w:ind w:left="259"/>
        <w:jc w:val="left"/>
      </w:pPr>
      <w:r>
        <w:rPr>
          <w:rFonts w:ascii="Arial" w:hAnsi="Arial"/>
          <w:color w:val="525252"/>
          <w:sz w:val="13"/>
        </w:rPr>
        <w:t>Cybersecurity disciplines include Air Force Risk Management Framework, IT controls/countermeasures, communications security, TEMPEST (formerly known as emissions security), AF Assessment and Authorization (formerly known as Certification and Accreditation Program), and Cybersecurity Workforce Improvement Program.</w:t>
      </w:r>
    </w:p>
    <w:p>
      <w:pPr>
        <w:spacing w:after="20" w:line="223" w:lineRule="auto"/>
        <w:jc w:val="right"/>
        <w:bidi/>
      </w:pPr>
      <w:r>
        <w:rPr>
          <w:rFonts w:ascii="Arial" w:hAnsi="Arial"/>
          <w:sz w:val="16"/>
        </w:rPr>
        <w:t>338.09  AFI ۱۷-۱۳۰، مدیریت برنامه امنیت سایبری، مدیریت ریسک و امنیت سایبری را به‌عنوان نمایشی از مجموعه‌های پویا و چند رشته‌ای از چالش‌ها توصیف می‌کند.</w:t>
      </w:r>
    </w:p>
    <w:p>
      <w:pPr>
        <w:spacing w:after="28" w:line="216" w:lineRule="auto"/>
        <w:ind w:left="259"/>
        <w:jc w:val="left"/>
      </w:pPr>
      <w:r>
        <w:rPr>
          <w:rFonts w:ascii="Arial" w:hAnsi="Arial"/>
          <w:color w:val="525252"/>
          <w:sz w:val="13"/>
        </w:rPr>
        <w:t>AFI 17-130, Cybersecurity Program Management, describes risk management and cybersecurity as representations of dynamic, multi-disciplinary sets of challenges.</w:t>
      </w:r>
    </w:p>
    <w:p>
      <w:pPr>
        <w:spacing w:after="20" w:line="223" w:lineRule="auto"/>
        <w:jc w:val="right"/>
        <w:bidi/>
      </w:pPr>
      <w:r>
        <w:rPr>
          <w:rFonts w:ascii="Arial" w:hAnsi="Arial"/>
          <w:sz w:val="16"/>
        </w:rPr>
        <w:t>338.10  فرآیندها و شیوه‌ها باید به‌طور مداوم تکامل یافته و بهبود یابند تا با محیط تهدید در حال تغییر مطابقت داشته باشند.</w:t>
      </w:r>
    </w:p>
    <w:p>
      <w:pPr>
        <w:spacing w:after="28" w:line="216" w:lineRule="auto"/>
        <w:ind w:left="259"/>
        <w:jc w:val="left"/>
      </w:pPr>
      <w:r>
        <w:rPr>
          <w:rFonts w:ascii="Arial" w:hAnsi="Arial"/>
          <w:color w:val="525252"/>
          <w:sz w:val="13"/>
        </w:rPr>
        <w:t>Processes and practices must continuously evolve and improve to match the ever- changing threat environment.</w:t>
      </w:r>
    </w:p>
    <w:p>
      <w:pPr>
        <w:spacing w:after="20" w:line="223" w:lineRule="auto"/>
        <w:jc w:val="right"/>
        <w:bidi/>
      </w:pPr>
      <w:r>
        <w:rPr>
          <w:rFonts w:ascii="Arial" w:hAnsi="Arial"/>
          <w:sz w:val="16"/>
        </w:rPr>
        <w:t>338.11  استراتژی مدیریت ریسک برنامه امنیت سایبری.</w:t>
      </w:r>
    </w:p>
    <w:p>
      <w:pPr>
        <w:spacing w:after="28" w:line="216" w:lineRule="auto"/>
        <w:ind w:left="259"/>
        <w:jc w:val="left"/>
      </w:pPr>
      <w:r>
        <w:rPr>
          <w:rFonts w:ascii="Arial" w:hAnsi="Arial"/>
          <w:color w:val="525252"/>
          <w:sz w:val="13"/>
        </w:rPr>
        <w:t>Cybersecurity Program Risk Management Strategy.</w:t>
      </w:r>
    </w:p>
    <w:p>
      <w:pPr>
        <w:spacing w:after="20" w:line="223" w:lineRule="auto"/>
        <w:jc w:val="right"/>
        <w:bidi/>
      </w:pPr>
      <w:r>
        <w:rPr>
          <w:rFonts w:ascii="Arial" w:hAnsi="Arial"/>
          <w:sz w:val="16"/>
        </w:rPr>
        <w:t>338.12  استراتژی مدیریت ریسک برنامه امنیت سایبری USAF باید اطمینان حاصل کند که محرمانه بودن، یکپارچگی و در دسترس بودن کلیه اطلاعات متعلق به یا مورد اعتماد USAF محافظت می‌شود.</w:t>
      </w:r>
    </w:p>
    <w:p>
      <w:pPr>
        <w:spacing w:after="28" w:line="216" w:lineRule="auto"/>
        <w:ind w:left="259"/>
        <w:jc w:val="left"/>
      </w:pPr>
      <w:r>
        <w:rPr>
          <w:rFonts w:ascii="Arial" w:hAnsi="Arial"/>
          <w:color w:val="525252"/>
          <w:sz w:val="13"/>
        </w:rPr>
        <w:t>The USAF’s Cybersecurity Program’s risk management strategy must ensure that the confidentiality, integrity, and availability of all information owned or held in trust by the USAF is protected.</w:t>
      </w:r>
    </w:p>
    <w:p>
      <w:pPr>
        <w:spacing w:after="20" w:line="223" w:lineRule="auto"/>
        <w:jc w:val="right"/>
        <w:bidi/>
      </w:pPr>
      <w:r>
        <w:rPr>
          <w:rFonts w:ascii="Arial" w:hAnsi="Arial"/>
          <w:sz w:val="16"/>
        </w:rPr>
        <w:t>338.13  استراتژی برنامه همچنین باید در تمام مأموریت‌های کلیدی و فرآیندهای تجاری ادغام شود.</w:t>
      </w:r>
    </w:p>
    <w:p>
      <w:pPr>
        <w:spacing w:after="28" w:line="216" w:lineRule="auto"/>
        <w:ind w:left="259"/>
        <w:jc w:val="left"/>
      </w:pPr>
      <w:r>
        <w:rPr>
          <w:rFonts w:ascii="Arial" w:hAnsi="Arial"/>
          <w:color w:val="525252"/>
          <w:sz w:val="13"/>
        </w:rPr>
        <w:t>The program strategy must also be integrated into all key mission and business processes.</w:t>
      </w:r>
    </w:p>
    <w:p>
      <w:pPr>
        <w:spacing w:after="20" w:line="223" w:lineRule="auto"/>
        <w:jc w:val="right"/>
        <w:bidi/>
      </w:pPr>
      <w:r>
        <w:rPr>
          <w:rFonts w:ascii="Arial" w:hAnsi="Arial"/>
          <w:sz w:val="16"/>
        </w:rPr>
        <w:t>338.14  برای اطمینان از چابکی عملیاتی، قابلیت‌های امنیت سایبری متوازن خواهد شد که شامل ایمنی، قابلیت اطمینان، قابلیت همکاری و سهولت استفاده، در عین به حداکثر رساندن عملکرد، و همچنین ارتقای شفافیت و قابلیت همکاری با شرکای مأموریت USAF می‌شود.</w:t>
      </w:r>
    </w:p>
    <w:p>
      <w:pPr>
        <w:spacing w:after="28" w:line="216" w:lineRule="auto"/>
        <w:ind w:left="259"/>
        <w:jc w:val="left"/>
      </w:pPr>
      <w:r>
        <w:rPr>
          <w:rFonts w:ascii="Arial" w:hAnsi="Arial"/>
          <w:color w:val="525252"/>
          <w:sz w:val="13"/>
        </w:rPr>
        <w:t>To ensure operational agility, cybersecurity capabilities will be balanced to include safety, reliability, interoperability, and ease of use, while maximizing performance, as well as promoting transparency and interoperability with USAF mission partners.</w:t>
      </w:r>
    </w:p>
    <w:p>
      <w:pPr>
        <w:spacing w:after="20" w:line="223" w:lineRule="auto"/>
        <w:jc w:val="right"/>
        <w:bidi/>
      </w:pPr>
      <w:r>
        <w:rPr>
          <w:rFonts w:ascii="Arial" w:hAnsi="Arial"/>
          <w:sz w:val="16"/>
        </w:rPr>
        <w:t>338.15  تمام پرسنل USAF موظفند قبل از دسترسی به سیستم و پس از آن سالانه آموزش آگاهی از تضمین اطلاعات را تکمیل کنند.</w:t>
      </w:r>
    </w:p>
    <w:p>
      <w:pPr>
        <w:spacing w:after="28" w:line="216" w:lineRule="auto"/>
        <w:ind w:left="259"/>
        <w:jc w:val="left"/>
      </w:pPr>
      <w:r>
        <w:rPr>
          <w:rFonts w:ascii="Arial" w:hAnsi="Arial"/>
          <w:color w:val="525252"/>
          <w:sz w:val="13"/>
        </w:rPr>
        <w:t>All USAF personnel are required to complete Information Assurance Awareness training prior to system access and annually thereafter.</w:t>
      </w:r>
    </w:p>
    <w:p>
      <w:pPr>
        <w:spacing w:after="20" w:line="223" w:lineRule="auto"/>
        <w:jc w:val="right"/>
        <w:bidi/>
      </w:pPr>
      <w:r>
        <w:rPr>
          <w:rFonts w:ascii="Arial" w:hAnsi="Arial"/>
          <w:sz w:val="16"/>
        </w:rPr>
        <w:t>338.16  پنج عملکرد برنامه امنیت سایبری USAF.</w:t>
      </w:r>
    </w:p>
    <w:p>
      <w:pPr>
        <w:spacing w:after="28" w:line="216" w:lineRule="auto"/>
        <w:ind w:left="259"/>
        <w:jc w:val="left"/>
      </w:pPr>
      <w:r>
        <w:rPr>
          <w:rFonts w:ascii="Arial" w:hAnsi="Arial"/>
          <w:color w:val="525252"/>
          <w:sz w:val="13"/>
        </w:rPr>
        <w:t>Five Functions of the USAF Cybersecurity Program.</w:t>
      </w:r>
    </w:p>
    <w:p>
      <w:pPr>
        <w:spacing w:after="20" w:line="223" w:lineRule="auto"/>
        <w:jc w:val="right"/>
        <w:bidi/>
      </w:pPr>
      <w:r>
        <w:rPr>
          <w:rFonts w:ascii="Arial" w:hAnsi="Arial"/>
          <w:sz w:val="16"/>
        </w:rPr>
        <w:t>338.17  برنامه امنیت سایبری USAF شامل پنج عملکرد است که به‌طور خلاصه در اینجا توضیح داده شده است.</w:t>
      </w:r>
    </w:p>
    <w:p>
      <w:pPr>
        <w:spacing w:after="28" w:line="216" w:lineRule="auto"/>
        <w:ind w:left="259"/>
        <w:jc w:val="left"/>
      </w:pPr>
      <w:r>
        <w:rPr>
          <w:rFonts w:ascii="Arial" w:hAnsi="Arial"/>
          <w:color w:val="525252"/>
          <w:sz w:val="13"/>
        </w:rPr>
        <w:t>The USAF Cybersecurity Program encompasses the five functions briefly described here.</w:t>
      </w:r>
    </w:p>
    <w:p>
      <w:pPr>
        <w:spacing w:after="20" w:line="223" w:lineRule="auto"/>
        <w:jc w:val="right"/>
        <w:bidi/>
      </w:pPr>
      <w:r>
        <w:rPr>
          <w:rFonts w:ascii="Arial" w:hAnsi="Arial"/>
          <w:sz w:val="16"/>
        </w:rPr>
        <w:t>338.18  شناسایی کنید.</w:t>
      </w:r>
    </w:p>
    <w:p>
      <w:pPr>
        <w:spacing w:after="28" w:line="216" w:lineRule="auto"/>
        <w:ind w:left="259"/>
        <w:jc w:val="left"/>
      </w:pPr>
      <w:r>
        <w:rPr>
          <w:rFonts w:ascii="Arial" w:hAnsi="Arial"/>
          <w:color w:val="525252"/>
          <w:sz w:val="13"/>
        </w:rPr>
        <w:t>Identify.</w:t>
      </w:r>
    </w:p>
    <w:p>
      <w:pPr>
        <w:spacing w:after="20" w:line="223" w:lineRule="auto"/>
        <w:jc w:val="right"/>
        <w:bidi/>
      </w:pPr>
      <w:r>
        <w:rPr>
          <w:rFonts w:ascii="Arial" w:hAnsi="Arial"/>
          <w:sz w:val="16"/>
        </w:rPr>
        <w:t>338.19  توسعه و حفظ درک سازمانی مورد نیاز برای مدیریت ریسک امنیت سایبری.</w:t>
      </w:r>
    </w:p>
    <w:p>
      <w:pPr>
        <w:spacing w:after="28" w:line="216" w:lineRule="auto"/>
        <w:ind w:left="259"/>
        <w:jc w:val="left"/>
      </w:pPr>
      <w:r>
        <w:rPr>
          <w:rFonts w:ascii="Arial" w:hAnsi="Arial"/>
          <w:color w:val="525252"/>
          <w:sz w:val="13"/>
        </w:rPr>
        <w:t>Develop and maintain the organizational understanding required to manage cybersecurity risk.</w:t>
      </w:r>
    </w:p>
    <w:p>
      <w:pPr>
        <w:spacing w:after="20" w:line="223" w:lineRule="auto"/>
        <w:jc w:val="right"/>
        <w:bidi/>
      </w:pPr>
      <w:r>
        <w:rPr>
          <w:rFonts w:ascii="Arial" w:hAnsi="Arial"/>
          <w:sz w:val="16"/>
        </w:rPr>
        <w:t>338.20  محافظت کنید.</w:t>
      </w:r>
    </w:p>
    <w:p>
      <w:pPr>
        <w:spacing w:after="28" w:line="216" w:lineRule="auto"/>
        <w:ind w:left="259"/>
        <w:jc w:val="left"/>
      </w:pPr>
      <w:r>
        <w:rPr>
          <w:rFonts w:ascii="Arial" w:hAnsi="Arial"/>
          <w:color w:val="525252"/>
          <w:sz w:val="13"/>
        </w:rPr>
        <w:t>Protect.</w:t>
      </w:r>
    </w:p>
    <w:p>
      <w:pPr>
        <w:spacing w:after="20" w:line="223" w:lineRule="auto"/>
        <w:jc w:val="right"/>
        <w:bidi/>
      </w:pPr>
      <w:r>
        <w:rPr>
          <w:rFonts w:ascii="Arial" w:hAnsi="Arial"/>
          <w:sz w:val="16"/>
        </w:rPr>
        <w:t>338.21  برای اطمینان از ارائه خدمات زیرساختی حیاتی مأموریت، کنترل‌هایی را اجرا کنید.</w:t>
      </w:r>
    </w:p>
    <w:p>
      <w:pPr>
        <w:spacing w:after="28" w:line="216" w:lineRule="auto"/>
        <w:ind w:left="259"/>
        <w:jc w:val="left"/>
      </w:pPr>
      <w:r>
        <w:rPr>
          <w:rFonts w:ascii="Arial" w:hAnsi="Arial"/>
          <w:color w:val="525252"/>
          <w:sz w:val="13"/>
        </w:rPr>
        <w:t>Implement controls to ensure the delivery of mission critical infrastructure services.</w:t>
      </w:r>
    </w:p>
    <w:p>
      <w:pPr>
        <w:spacing w:after="20" w:line="223" w:lineRule="auto"/>
        <w:jc w:val="right"/>
        <w:bidi/>
      </w:pPr>
      <w:r>
        <w:rPr>
          <w:rFonts w:ascii="Arial" w:hAnsi="Arial"/>
          <w:sz w:val="16"/>
        </w:rPr>
        <w:t>338.22  شناسایی.</w:t>
      </w:r>
    </w:p>
    <w:p>
      <w:pPr>
        <w:spacing w:after="28" w:line="216" w:lineRule="auto"/>
        <w:ind w:left="259"/>
        <w:jc w:val="left"/>
      </w:pPr>
      <w:r>
        <w:rPr>
          <w:rFonts w:ascii="Arial" w:hAnsi="Arial"/>
          <w:color w:val="525252"/>
          <w:sz w:val="13"/>
        </w:rPr>
        <w:t>Detect.</w:t>
      </w:r>
    </w:p>
    <w:p>
      <w:pPr>
        <w:spacing w:after="20" w:line="223" w:lineRule="auto"/>
        <w:jc w:val="right"/>
        <w:bidi/>
      </w:pPr>
      <w:r>
        <w:rPr>
          <w:rFonts w:ascii="Arial" w:hAnsi="Arial"/>
          <w:sz w:val="16"/>
        </w:rPr>
        <w:t>338.23  دارای توانایی تشخیص رویدادهای امنیت سایبری در هنگام وقوع.</w:t>
      </w:r>
    </w:p>
    <w:p>
      <w:pPr>
        <w:spacing w:after="28" w:line="216" w:lineRule="auto"/>
        <w:ind w:left="259"/>
        <w:jc w:val="left"/>
      </w:pPr>
      <w:r>
        <w:rPr>
          <w:rFonts w:ascii="Arial" w:hAnsi="Arial"/>
          <w:color w:val="525252"/>
          <w:sz w:val="13"/>
        </w:rPr>
        <w:t>Possess the ability to detect cybersecurity events when they occur.</w:t>
      </w:r>
    </w:p>
    <w:p>
      <w:pPr>
        <w:spacing w:after="20" w:line="223" w:lineRule="auto"/>
        <w:jc w:val="right"/>
        <w:bidi/>
      </w:pPr>
      <w:r>
        <w:rPr>
          <w:rFonts w:ascii="Arial" w:hAnsi="Arial"/>
          <w:sz w:val="16"/>
        </w:rPr>
        <w:t>338.24  پاسخ دهید.</w:t>
      </w:r>
    </w:p>
    <w:p>
      <w:pPr>
        <w:spacing w:after="28" w:line="216" w:lineRule="auto"/>
        <w:ind w:left="259"/>
        <w:jc w:val="left"/>
      </w:pPr>
      <w:r>
        <w:rPr>
          <w:rFonts w:ascii="Arial" w:hAnsi="Arial"/>
          <w:color w:val="525252"/>
          <w:sz w:val="13"/>
        </w:rPr>
        <w:t>Respond.</w:t>
      </w:r>
    </w:p>
    <w:p>
      <w:pPr>
        <w:spacing w:after="20" w:line="223" w:lineRule="auto"/>
        <w:jc w:val="right"/>
        <w:bidi/>
      </w:pPr>
      <w:r>
        <w:rPr>
          <w:rFonts w:ascii="Arial" w:hAnsi="Arial"/>
          <w:sz w:val="16"/>
        </w:rPr>
        <w:t>338.25  دارای توانایی انجام اقدام در مورد رویدادهای امنیت سایبری شناسایی شده.</w:t>
      </w:r>
    </w:p>
    <w:p>
      <w:pPr>
        <w:spacing w:after="28" w:line="216" w:lineRule="auto"/>
        <w:ind w:left="259"/>
        <w:jc w:val="left"/>
      </w:pPr>
      <w:r>
        <w:rPr>
          <w:rFonts w:ascii="Arial" w:hAnsi="Arial"/>
          <w:color w:val="525252"/>
          <w:sz w:val="13"/>
        </w:rPr>
        <w:t>Possess the ability to take action regarding detected cybersecurity events.</w:t>
      </w:r>
    </w:p>
    <w:p>
      <w:pPr>
        <w:spacing w:after="20" w:line="223" w:lineRule="auto"/>
        <w:jc w:val="right"/>
        <w:bidi/>
      </w:pPr>
      <w:r>
        <w:rPr>
          <w:rFonts w:ascii="Arial" w:hAnsi="Arial"/>
          <w:sz w:val="16"/>
        </w:rPr>
        <w:t>338.26  بازیابی.</w:t>
      </w:r>
    </w:p>
    <w:p>
      <w:pPr>
        <w:spacing w:after="28" w:line="216" w:lineRule="auto"/>
        <w:ind w:left="259"/>
        <w:jc w:val="left"/>
      </w:pPr>
      <w:r>
        <w:rPr>
          <w:rFonts w:ascii="Arial" w:hAnsi="Arial"/>
          <w:color w:val="525252"/>
          <w:sz w:val="13"/>
        </w:rPr>
        <w:t>Recover.</w:t>
      </w:r>
    </w:p>
    <w:p>
      <w:pPr>
        <w:spacing w:after="20" w:line="223" w:lineRule="auto"/>
        <w:jc w:val="right"/>
        <w:bidi/>
      </w:pPr>
      <w:r>
        <w:rPr>
          <w:rFonts w:ascii="Arial" w:hAnsi="Arial"/>
          <w:sz w:val="16"/>
        </w:rPr>
        <w:t>338.27  دارای توانایی انعطاف‌پذیری عملیاتی و بازیابی قابلیت‌ها یا خدماتی است که به دلیل رویدادهای امنیت سایبری دچار اختلال شده‌اند.</w:t>
      </w:r>
    </w:p>
    <w:p>
      <w:pPr>
        <w:spacing w:after="28" w:line="216" w:lineRule="auto"/>
        <w:ind w:left="259"/>
        <w:jc w:val="left"/>
      </w:pPr>
      <w:r>
        <w:rPr>
          <w:rFonts w:ascii="Arial" w:hAnsi="Arial"/>
          <w:color w:val="525252"/>
          <w:sz w:val="13"/>
        </w:rPr>
        <w:t>Possess the ability to remain operationally resilient and to restore capabilities or services that were impaired due to cybersecurity events.</w:t>
      </w:r>
    </w:p>
    <w:p>
      <w:pPr>
        <w:spacing w:before="60" w:after="28"/>
        <w:jc w:val="right"/>
        <w:bidi/>
      </w:pPr>
      <w:r>
        <w:rPr>
          <w:b/>
          <w:color w:val="1F4D78"/>
          <w:sz w:val="18"/>
        </w:rPr>
        <w:t>18.18. امنیت کامپیوتر</w:t>
      </w:r>
    </w:p>
    <w:p>
      <w:pPr>
        <w:spacing w:after="20"/>
        <w:ind w:left="259"/>
        <w:jc w:val="left"/>
      </w:pPr>
      <w:r>
        <w:rPr>
          <w:color w:val="555555"/>
          <w:sz w:val="12"/>
        </w:rPr>
        <w:t>18.18. Computer Security</w:t>
      </w:r>
    </w:p>
    <w:p>
      <w:pPr>
        <w:spacing w:after="20" w:line="223" w:lineRule="auto"/>
        <w:jc w:val="right"/>
        <w:bidi/>
      </w:pPr>
      <w:r>
        <w:rPr>
          <w:rFonts w:ascii="Arial" w:hAnsi="Arial"/>
          <w:sz w:val="16"/>
        </w:rPr>
        <w:t>338.29  امنیت رایانه شامل اقدامات و کنترل‌هایی است که محرمانه بودن، یکپارچگی و در دسترس بودن دارایی‌های سیستم‌های اطلاعاتی از جمله سخت‌افزار، نرم‌افزار، سفت‌افزار و اطلاعات در حال پردازش، ذخیره‌سازی و ارتباط را تضمین می‌کند.</w:t>
      </w:r>
    </w:p>
    <w:p>
      <w:pPr>
        <w:spacing w:after="28" w:line="216" w:lineRule="auto"/>
        <w:ind w:left="259"/>
        <w:jc w:val="left"/>
      </w:pPr>
      <w:r>
        <w:rPr>
          <w:rFonts w:ascii="Arial" w:hAnsi="Arial"/>
          <w:color w:val="525252"/>
          <w:sz w:val="13"/>
        </w:rPr>
        <w:t>Computer security consists of measures and controls that ensure confidentiality, integrity, and availability of information systems assets including hardware, software, firmware, and information being processed, stored, and communicated.</w:t>
      </w:r>
    </w:p>
    <w:p>
      <w:pPr>
        <w:spacing w:after="20" w:line="223" w:lineRule="auto"/>
        <w:jc w:val="right"/>
        <w:bidi/>
      </w:pPr>
      <w:r>
        <w:rPr>
          <w:rFonts w:ascii="Arial" w:hAnsi="Arial"/>
          <w:sz w:val="16"/>
        </w:rPr>
        <w:t>338.30  استفاده شخصی مجاز محدود.</w:t>
      </w:r>
    </w:p>
    <w:p>
      <w:pPr>
        <w:spacing w:after="28" w:line="216" w:lineRule="auto"/>
        <w:ind w:left="259"/>
        <w:jc w:val="left"/>
      </w:pPr>
      <w:r>
        <w:rPr>
          <w:rFonts w:ascii="Arial" w:hAnsi="Arial"/>
          <w:color w:val="525252"/>
          <w:sz w:val="13"/>
        </w:rPr>
        <w:t>Limited Authorized Personal Use.</w:t>
      </w:r>
    </w:p>
    <w:p>
      <w:pPr>
        <w:spacing w:after="20" w:line="223" w:lineRule="auto"/>
        <w:jc w:val="right"/>
        <w:bidi/>
      </w:pPr>
      <w:r>
        <w:rPr>
          <w:rFonts w:ascii="Arial" w:hAnsi="Arial"/>
          <w:sz w:val="16"/>
        </w:rPr>
        <w:t>338.31  سخت افزار و نرم افزار ارائه شده توسط دولت فقط برای استفاده رسمی و فقط برای استفاده شخصی مجاز است.</w:t>
      </w:r>
    </w:p>
    <w:p>
      <w:pPr>
        <w:spacing w:after="28" w:line="216" w:lineRule="auto"/>
        <w:ind w:left="259"/>
        <w:jc w:val="left"/>
      </w:pPr>
      <w:r>
        <w:rPr>
          <w:rFonts w:ascii="Arial" w:hAnsi="Arial"/>
          <w:color w:val="525252"/>
          <w:sz w:val="13"/>
        </w:rPr>
        <w:t>Government-provided hardware and software are for official use and limited authorized personal use only.</w:t>
      </w:r>
    </w:p>
    <w:p>
      <w:pPr>
        <w:spacing w:after="20" w:line="223" w:lineRule="auto"/>
        <w:jc w:val="right"/>
        <w:bidi/>
      </w:pPr>
      <w:r>
        <w:rPr>
          <w:rFonts w:ascii="Arial" w:hAnsi="Arial"/>
          <w:sz w:val="16"/>
        </w:rPr>
        <w:t>338.32  استفاده شخصی محدود باید دارای مدت زمان و دفعات معقولی باشد که توسط ناظر یا خط‌مشی دفتر تأیید شده باشد و بر عملکرد وظایف رسمی تأثیر منفی نگذارد، سیستم‌ها را سنگین کند، یا تأثیر منفی بر USAF یا وزارت دفاع نداشته باشد.</w:t>
      </w:r>
    </w:p>
    <w:p>
      <w:pPr>
        <w:spacing w:after="28" w:line="216" w:lineRule="auto"/>
        <w:ind w:left="259"/>
        <w:jc w:val="left"/>
      </w:pPr>
      <w:r>
        <w:rPr>
          <w:rFonts w:ascii="Arial" w:hAnsi="Arial"/>
          <w:color w:val="525252"/>
          <w:sz w:val="13"/>
        </w:rPr>
        <w:t>Limited personal use must be of reasonable duration and frequency that has been approved by the supervisor or office policy and does not adversely affect performance of official duties, overburden systems, or reflect adversely on the USAF or the Department of Defense.</w:t>
      </w:r>
    </w:p>
    <w:p>
      <w:pPr>
        <w:spacing w:after="20" w:line="223" w:lineRule="auto"/>
        <w:jc w:val="right"/>
        <w:bidi/>
      </w:pPr>
      <w:r>
        <w:rPr>
          <w:rFonts w:ascii="Arial" w:hAnsi="Arial"/>
          <w:sz w:val="16"/>
        </w:rPr>
        <w:t>338.33  قابلیت‌های مبتنی بر اینترنت شامل ابزارهای مشارکتی، مانند سرویس اطلاع رسانی ساده، رسانه‌های اجتماعی، محتوای تولید شده توسط کاربر، ایمیل، پیام‌رسانی فوری و آنلاین است.</w:t>
      </w:r>
    </w:p>
    <w:p>
      <w:pPr>
        <w:spacing w:after="28" w:line="216" w:lineRule="auto"/>
        <w:ind w:left="259"/>
        <w:jc w:val="left"/>
      </w:pPr>
      <w:r>
        <w:rPr>
          <w:rFonts w:ascii="Arial" w:hAnsi="Arial"/>
          <w:color w:val="525252"/>
          <w:sz w:val="13"/>
        </w:rPr>
        <w:t>Internet-based capabilities include collaborative tools, such as simple notification service, social media, user-generated content, e-mail, instant messaging, and online</w:t>
      </w:r>
    </w:p>
    <w:p>
      <w:r>
        <w:br w:type="page"/>
      </w:r>
    </w:p>
    <w:p>
      <w:pPr>
        <w:spacing w:after="60"/>
        <w:jc w:val="right"/>
        <w:bidi/>
      </w:pPr>
      <w:r>
        <w:rPr>
          <w:rFonts w:ascii="Arial" w:hAnsi="Arial"/>
          <w:b/>
          <w:color w:val="1F4D78"/>
          <w:sz w:val="19"/>
        </w:rPr>
        <w:t>هفتهٔ 339  |  صفحهٔ منبع: 355</w:t>
      </w:r>
    </w:p>
    <w:p>
      <w:pPr>
        <w:spacing w:after="20" w:line="223" w:lineRule="auto"/>
        <w:jc w:val="right"/>
        <w:bidi/>
      </w:pPr>
      <w:r>
        <w:rPr>
          <w:rFonts w:ascii="Arial" w:hAnsi="Arial"/>
          <w:sz w:val="16"/>
        </w:rPr>
        <w:t>339.01  تالارهای گفتگو.</w:t>
      </w:r>
    </w:p>
    <w:p>
      <w:pPr>
        <w:spacing w:after="28" w:line="216" w:lineRule="auto"/>
        <w:ind w:left="259"/>
        <w:jc w:val="left"/>
      </w:pPr>
      <w:r>
        <w:rPr>
          <w:rFonts w:ascii="Arial" w:hAnsi="Arial"/>
          <w:color w:val="525252"/>
          <w:sz w:val="13"/>
        </w:rPr>
        <w:t>discussion forums.</w:t>
      </w:r>
    </w:p>
    <w:p>
      <w:pPr>
        <w:spacing w:after="20" w:line="223" w:lineRule="auto"/>
        <w:jc w:val="right"/>
        <w:bidi/>
      </w:pPr>
      <w:r>
        <w:rPr>
          <w:rFonts w:ascii="Arial" w:hAnsi="Arial"/>
          <w:sz w:val="16"/>
        </w:rPr>
        <w:t>339.02  هنگام دسترسی به قابلیت‌های مبتنی بر اینترنت با استفاده از منابع دولت فدرال در ظرفیت شخصی یا غیر رسمی مجاز، افراد باید از دستورالعمل‌های امنیتی عملیات در AFI ۱۰-۷۰۱ پیروی کنند و باید با الزامات مقررات اخلاقی مشترک مطابقت داشته باشند.</w:t>
      </w:r>
    </w:p>
    <w:p>
      <w:pPr>
        <w:spacing w:after="28" w:line="216" w:lineRule="auto"/>
        <w:ind w:left="259"/>
        <w:jc w:val="left"/>
      </w:pPr>
      <w:r>
        <w:rPr>
          <w:rFonts w:ascii="Arial" w:hAnsi="Arial"/>
          <w:color w:val="525252"/>
          <w:sz w:val="13"/>
        </w:rPr>
        <w:t>When accessing internet-based capabilities using federal government resources in an authorized personal or unofficial capacity, individuals shall comply with operations security guidance in AFI 10-701, and must be compliant with the requirements of the Joint Ethics Regulation.</w:t>
      </w:r>
    </w:p>
    <w:p>
      <w:pPr>
        <w:spacing w:before="60" w:after="28"/>
        <w:jc w:val="right"/>
        <w:bidi/>
      </w:pPr>
      <w:r>
        <w:rPr>
          <w:b/>
          <w:color w:val="1F4D78"/>
          <w:sz w:val="18"/>
        </w:rPr>
        <w:t>18.19. سیستم های اطلاعاتی</w:t>
      </w:r>
    </w:p>
    <w:p>
      <w:pPr>
        <w:spacing w:after="20"/>
        <w:ind w:left="259"/>
        <w:jc w:val="left"/>
      </w:pPr>
      <w:r>
        <w:rPr>
          <w:color w:val="555555"/>
          <w:sz w:val="12"/>
        </w:rPr>
        <w:t>18.19. Information Systems</w:t>
      </w:r>
    </w:p>
    <w:p>
      <w:pPr>
        <w:spacing w:after="20" w:line="223" w:lineRule="auto"/>
        <w:jc w:val="right"/>
        <w:bidi/>
      </w:pPr>
      <w:r>
        <w:rPr>
          <w:rFonts w:ascii="Arial" w:hAnsi="Arial"/>
          <w:sz w:val="16"/>
        </w:rPr>
        <w:t>339.04  یک سیستم اطلاعاتی مجموعه‌ای مجزا از منابع اطلاعاتی است که برای جمع‌آوری، پردازش، نگهداری، استفاده، اشتراک‌گذاری، انتشار یا توزیع اطلاعات سازماندهی شده‌اند.</w:t>
      </w:r>
    </w:p>
    <w:p>
      <w:pPr>
        <w:spacing w:after="28" w:line="216" w:lineRule="auto"/>
        <w:ind w:left="259"/>
        <w:jc w:val="left"/>
      </w:pPr>
      <w:r>
        <w:rPr>
          <w:rFonts w:ascii="Arial" w:hAnsi="Arial"/>
          <w:color w:val="525252"/>
          <w:sz w:val="13"/>
        </w:rPr>
        <w:t>An information system is a discrete set of information resources organized for the collection, processing, maintenance, use, sharing, dissemination, or disposition of information.</w:t>
      </w:r>
    </w:p>
    <w:p>
      <w:pPr>
        <w:spacing w:after="20" w:line="223" w:lineRule="auto"/>
        <w:jc w:val="right"/>
        <w:bidi/>
      </w:pPr>
      <w:r>
        <w:rPr>
          <w:rFonts w:ascii="Arial" w:hAnsi="Arial"/>
          <w:sz w:val="16"/>
        </w:rPr>
        <w:t>339.05  سیستم‌های اطلاعاتی همچنین شامل سیستم‌های تخصصی، مانند کنترل‌های صنعتی/فرایند، سوئیچینگ تلفن و سیستم‌های شاخه خصوصی و کنترل‌های محیطی می‌شوند.</w:t>
      </w:r>
    </w:p>
    <w:p>
      <w:pPr>
        <w:spacing w:after="28" w:line="216" w:lineRule="auto"/>
        <w:ind w:left="259"/>
        <w:jc w:val="left"/>
      </w:pPr>
      <w:r>
        <w:rPr>
          <w:rFonts w:ascii="Arial" w:hAnsi="Arial"/>
          <w:color w:val="525252"/>
          <w:sz w:val="13"/>
        </w:rPr>
        <w:t>Information systems also include specialized systems, such as industrial/process controls, telephone switching and private branch systems, and environmental controls.</w:t>
      </w:r>
    </w:p>
    <w:p>
      <w:pPr>
        <w:spacing w:after="20" w:line="223" w:lineRule="auto"/>
        <w:jc w:val="right"/>
        <w:bidi/>
      </w:pPr>
      <w:r>
        <w:rPr>
          <w:rFonts w:ascii="Arial" w:hAnsi="Arial"/>
          <w:sz w:val="16"/>
        </w:rPr>
        <w:t>339.06  همه کاربران مجاز باید از سیستم‌های اطلاعاتی در برابر دستکاری، سرقت و از دست دادن محافظت کنند.</w:t>
      </w:r>
    </w:p>
    <w:p>
      <w:pPr>
        <w:spacing w:after="28" w:line="216" w:lineRule="auto"/>
        <w:ind w:left="259"/>
        <w:jc w:val="left"/>
      </w:pPr>
      <w:r>
        <w:rPr>
          <w:rFonts w:ascii="Arial" w:hAnsi="Arial"/>
          <w:color w:val="525252"/>
          <w:sz w:val="13"/>
        </w:rPr>
        <w:t>All authorized users must protect information systems against tampering, theft, and loss.</w:t>
      </w:r>
    </w:p>
    <w:p>
      <w:pPr>
        <w:spacing w:after="20" w:line="223" w:lineRule="auto"/>
        <w:jc w:val="right"/>
        <w:bidi/>
      </w:pPr>
      <w:r>
        <w:rPr>
          <w:rFonts w:ascii="Arial" w:hAnsi="Arial"/>
          <w:sz w:val="16"/>
        </w:rPr>
        <w:t>339.07  حفاظت با کنترل دسترسی فیزیکی به امکانات و داده‌ها انجام می‌شود. حصول اطمینان از دسترسی کاربر به منابع سیستم اطلاعاتی بر اساس بررسی پیشینه مطلوب، مجوز امنیتی و نیاز به دانستن (برای طبقه بندی)؛ و تضمین حفاظت از اطلاعات طبقه بندی نشده، حساس و طبقه بندی شده قابل اجرا از طریق رمزگذاری، طبق استاندارد قابل اجرا پردازش اطلاعات فدرال (FIPS) انتشار ۱۴۰-۲، الزامات امنیتی برای ماژول‌های رمزنگاری.</w:t>
      </w:r>
    </w:p>
    <w:p>
      <w:pPr>
        <w:spacing w:after="28" w:line="216" w:lineRule="auto"/>
        <w:ind w:left="259"/>
        <w:jc w:val="left"/>
      </w:pPr>
      <w:r>
        <w:rPr>
          <w:rFonts w:ascii="Arial" w:hAnsi="Arial"/>
          <w:color w:val="525252"/>
          <w:sz w:val="13"/>
        </w:rPr>
        <w:t>Protection occurs by controlling physical access to facilities and data; ensuring user access to information system resources is based upon a favorable background investigation, security clearance, and need to know (for classified); and ensuring protection of applicable unclassified, sensitive, and classified information through encryption, according to the applicable Federal Information Processing Standard (FIPS) Publication 140-2, Security Requirements for Cryptographic Modules.</w:t>
      </w:r>
    </w:p>
    <w:p>
      <w:pPr>
        <w:spacing w:after="20" w:line="223" w:lineRule="auto"/>
        <w:jc w:val="right"/>
        <w:bidi/>
      </w:pPr>
      <w:r>
        <w:rPr>
          <w:rFonts w:ascii="Arial" w:hAnsi="Arial"/>
          <w:sz w:val="16"/>
        </w:rPr>
        <w:t>339.08  اقدامات متقابل.</w:t>
      </w:r>
    </w:p>
    <w:p>
      <w:pPr>
        <w:spacing w:after="28" w:line="216" w:lineRule="auto"/>
        <w:ind w:left="259"/>
        <w:jc w:val="left"/>
      </w:pPr>
      <w:r>
        <w:rPr>
          <w:rFonts w:ascii="Arial" w:hAnsi="Arial"/>
          <w:color w:val="525252"/>
          <w:sz w:val="13"/>
        </w:rPr>
        <w:t>Countermeasures.</w:t>
      </w:r>
    </w:p>
    <w:p>
      <w:pPr>
        <w:spacing w:after="20" w:line="223" w:lineRule="auto"/>
        <w:jc w:val="right"/>
        <w:bidi/>
      </w:pPr>
      <w:r>
        <w:rPr>
          <w:rFonts w:ascii="Arial" w:hAnsi="Arial"/>
          <w:sz w:val="16"/>
        </w:rPr>
        <w:t>339.09  اقدام متقابل به هر اقدام، وسیله، رویه یا تکنیکی گفته می‌شود که با یک تهدید، آسیب‌پذیری یا حمله از طریق حذف، پیشگیری، یا به حداقل رساندن آسیب، یا با کشف و گزارش رویداد به گونه‌ای که بتوان اقدام اصلاحی انجام داد، با یک تهدید، آسیب‌پذیری یا حمله مقابله یا مقابله کند.</w:t>
      </w:r>
    </w:p>
    <w:p>
      <w:pPr>
        <w:spacing w:after="28" w:line="216" w:lineRule="auto"/>
        <w:ind w:left="259"/>
        <w:jc w:val="left"/>
      </w:pPr>
      <w:r>
        <w:rPr>
          <w:rFonts w:ascii="Arial" w:hAnsi="Arial"/>
          <w:color w:val="525252"/>
          <w:sz w:val="13"/>
        </w:rPr>
        <w:t>A countermeasure is any action, device, procedure, or technique that meets or opposes (counters) a threat, vulnerability, or attack by eliminating, preventing, or minimizing damage, or by discovering and reporting the event so corrective action can be taken.</w:t>
      </w:r>
    </w:p>
    <w:p>
      <w:pPr>
        <w:spacing w:after="20" w:line="223" w:lineRule="auto"/>
        <w:jc w:val="right"/>
        <w:bidi/>
      </w:pPr>
      <w:r>
        <w:rPr>
          <w:rFonts w:ascii="Arial" w:hAnsi="Arial"/>
          <w:sz w:val="16"/>
        </w:rPr>
        <w:t>339.10  تهدیدها.</w:t>
      </w:r>
    </w:p>
    <w:p>
      <w:pPr>
        <w:spacing w:after="28" w:line="216" w:lineRule="auto"/>
        <w:ind w:left="259"/>
        <w:jc w:val="left"/>
      </w:pPr>
      <w:r>
        <w:rPr>
          <w:rFonts w:ascii="Arial" w:hAnsi="Arial"/>
          <w:color w:val="525252"/>
          <w:sz w:val="13"/>
        </w:rPr>
        <w:t>Threats.</w:t>
      </w:r>
    </w:p>
    <w:p>
      <w:pPr>
        <w:spacing w:after="20" w:line="223" w:lineRule="auto"/>
        <w:jc w:val="right"/>
        <w:bidi/>
      </w:pPr>
      <w:r>
        <w:rPr>
          <w:rFonts w:ascii="Arial" w:hAnsi="Arial"/>
          <w:sz w:val="16"/>
        </w:rPr>
        <w:t>339.11  هر سیستم اطلاعاتی USAF دارای آسیب‌پذیری است و مستعد بهره‌برداری است.</w:t>
      </w:r>
    </w:p>
    <w:p>
      <w:pPr>
        <w:spacing w:after="28" w:line="216" w:lineRule="auto"/>
        <w:ind w:left="259"/>
        <w:jc w:val="left"/>
      </w:pPr>
      <w:r>
        <w:rPr>
          <w:rFonts w:ascii="Arial" w:hAnsi="Arial"/>
          <w:color w:val="525252"/>
          <w:sz w:val="13"/>
        </w:rPr>
        <w:t>Every USAF information system has vulnerabilities and is susceptible to exploitation.</w:t>
      </w:r>
    </w:p>
    <w:p>
      <w:pPr>
        <w:spacing w:after="20" w:line="223" w:lineRule="auto"/>
        <w:jc w:val="right"/>
        <w:bidi/>
      </w:pPr>
      <w:r>
        <w:rPr>
          <w:rFonts w:ascii="Arial" w:hAnsi="Arial"/>
          <w:sz w:val="16"/>
        </w:rPr>
        <w:t>339.12  تهدیدهای سیستم‌های اطلاعاتی شامل، اما محدود به آن، هر شرایط یا رویدادی با پتانسیل تأثیر نامطلوب بر هر عملیات یا عملکردی از طریق یک سیستم اطلاعاتی از طریق دسترسی غیرمجاز، تخریب، افشای، اصلاح اطلاعات یا انکار سرویس است.</w:t>
      </w:r>
    </w:p>
    <w:p>
      <w:pPr>
        <w:spacing w:after="28" w:line="216" w:lineRule="auto"/>
        <w:ind w:left="259"/>
        <w:jc w:val="left"/>
      </w:pPr>
      <w:r>
        <w:rPr>
          <w:rFonts w:ascii="Arial" w:hAnsi="Arial"/>
          <w:color w:val="525252"/>
          <w:sz w:val="13"/>
        </w:rPr>
        <w:t>Threats to information systems include, but are not limited to, any circumstance or event with the potential to adversely impact any operation or function through an information system via unauthorized access, destruction, disclosure, modification of information, or denial of service.</w:t>
      </w:r>
    </w:p>
    <w:p>
      <w:pPr>
        <w:spacing w:after="20" w:line="223" w:lineRule="auto"/>
        <w:jc w:val="right"/>
        <w:bidi/>
      </w:pPr>
      <w:r>
        <w:rPr>
          <w:rFonts w:ascii="Arial" w:hAnsi="Arial"/>
          <w:sz w:val="16"/>
        </w:rPr>
        <w:t>339.13  سه مرحله برای محافظت از سیستم‌های اطلاعاتی در برابر ویروس‌ها و سایر اشکال منطق مخرب وجود دارد.</w:t>
      </w:r>
    </w:p>
    <w:p>
      <w:pPr>
        <w:spacing w:after="28" w:line="216" w:lineRule="auto"/>
        <w:ind w:left="259"/>
        <w:jc w:val="left"/>
      </w:pPr>
      <w:r>
        <w:rPr>
          <w:rFonts w:ascii="Arial" w:hAnsi="Arial"/>
          <w:color w:val="525252"/>
          <w:sz w:val="13"/>
        </w:rPr>
        <w:t>There are three steps involved in protecting information systems from viruses and other forms of malicious logic.</w:t>
      </w:r>
    </w:p>
    <w:p>
      <w:pPr>
        <w:spacing w:after="20" w:line="223" w:lineRule="auto"/>
        <w:jc w:val="right"/>
        <w:bidi/>
      </w:pPr>
      <w:r>
        <w:rPr>
          <w:rFonts w:ascii="Arial" w:hAnsi="Arial"/>
          <w:sz w:val="16"/>
        </w:rPr>
        <w:t>339.14  این مراحل شامل ترکیبی از اقدامات متقابل انسانی و فناوری برای اطمینان از حفظ حفاظت در طول چرخه حیات سیستم اطلاعاتی است.</w:t>
      </w:r>
    </w:p>
    <w:p>
      <w:pPr>
        <w:spacing w:after="28" w:line="216" w:lineRule="auto"/>
        <w:ind w:left="259"/>
        <w:jc w:val="left"/>
      </w:pPr>
      <w:r>
        <w:rPr>
          <w:rFonts w:ascii="Arial" w:hAnsi="Arial"/>
          <w:color w:val="525252"/>
          <w:sz w:val="13"/>
        </w:rPr>
        <w:t>These steps include a combination of human and technological countermeasures to ensure the protection is maintained throughout the lifecycle of the information system.</w:t>
      </w:r>
    </w:p>
    <w:p>
      <w:pPr>
        <w:spacing w:after="20" w:line="223" w:lineRule="auto"/>
        <w:jc w:val="right"/>
        <w:bidi/>
      </w:pPr>
      <w:r>
        <w:rPr>
          <w:rFonts w:ascii="Arial" w:hAnsi="Arial"/>
          <w:sz w:val="16"/>
        </w:rPr>
        <w:t>339.15  عفونت.</w:t>
      </w:r>
    </w:p>
    <w:p>
      <w:pPr>
        <w:spacing w:after="28" w:line="216" w:lineRule="auto"/>
        <w:ind w:left="259"/>
        <w:jc w:val="left"/>
      </w:pPr>
      <w:r>
        <w:rPr>
          <w:rFonts w:ascii="Arial" w:hAnsi="Arial"/>
          <w:color w:val="525252"/>
          <w:sz w:val="13"/>
        </w:rPr>
        <w:t>Infection.</w:t>
      </w:r>
    </w:p>
    <w:p>
      <w:pPr>
        <w:spacing w:after="20" w:line="223" w:lineRule="auto"/>
        <w:jc w:val="right"/>
        <w:bidi/>
      </w:pPr>
      <w:r>
        <w:rPr>
          <w:rFonts w:ascii="Arial" w:hAnsi="Arial"/>
          <w:sz w:val="16"/>
        </w:rPr>
        <w:t>339.16  عفونت عبارت است از تهاجم یک ویروس یا کد بدافزار به برنامه‌ها، فرآیندها یا سرویس‌های سیستم اطلاعاتی که باعث اختلال در عملکرد سیستم اطلاعاتی می‌شود.</w:t>
      </w:r>
    </w:p>
    <w:p>
      <w:pPr>
        <w:spacing w:after="28" w:line="216" w:lineRule="auto"/>
        <w:ind w:left="259"/>
        <w:jc w:val="left"/>
      </w:pPr>
      <w:r>
        <w:rPr>
          <w:rFonts w:ascii="Arial" w:hAnsi="Arial"/>
          <w:color w:val="525252"/>
          <w:sz w:val="13"/>
        </w:rPr>
        <w:t>Infection is the invasion of information system applications, processes, or services by a virus or malware code causing the information system to malfunction.</w:t>
      </w:r>
    </w:p>
    <w:p>
      <w:pPr>
        <w:spacing w:after="20" w:line="223" w:lineRule="auto"/>
        <w:jc w:val="right"/>
        <w:bidi/>
      </w:pPr>
      <w:r>
        <w:rPr>
          <w:rFonts w:ascii="Arial" w:hAnsi="Arial"/>
          <w:sz w:val="16"/>
        </w:rPr>
        <w:t>339.17  تشخیص.</w:t>
      </w:r>
    </w:p>
    <w:p>
      <w:pPr>
        <w:spacing w:after="28" w:line="216" w:lineRule="auto"/>
        <w:ind w:left="259"/>
        <w:jc w:val="left"/>
      </w:pPr>
      <w:r>
        <w:rPr>
          <w:rFonts w:ascii="Arial" w:hAnsi="Arial"/>
          <w:color w:val="525252"/>
          <w:sz w:val="13"/>
        </w:rPr>
        <w:t>Detection.</w:t>
      </w:r>
    </w:p>
    <w:p>
      <w:pPr>
        <w:spacing w:after="20" w:line="223" w:lineRule="auto"/>
        <w:jc w:val="right"/>
        <w:bidi/>
      </w:pPr>
      <w:r>
        <w:rPr>
          <w:rFonts w:ascii="Arial" w:hAnsi="Arial"/>
          <w:sz w:val="16"/>
        </w:rPr>
        <w:t>339.18  دتکتیون یک سیستم آنتی ویروس مبتنی بر امضا یا رفتار است که هنگام بروز ناهنجاری ناشی از ویروس یا بدافزار سیگنال می‌دهد.</w:t>
      </w:r>
    </w:p>
    <w:p>
      <w:pPr>
        <w:spacing w:after="28" w:line="216" w:lineRule="auto"/>
        <w:ind w:left="259"/>
        <w:jc w:val="left"/>
      </w:pPr>
      <w:r>
        <w:rPr>
          <w:rFonts w:ascii="Arial" w:hAnsi="Arial"/>
          <w:color w:val="525252"/>
          <w:sz w:val="13"/>
        </w:rPr>
        <w:t>Detection is a signature or behavior-based antivirus system that signals when an anomaly caused by a virus or malware occurs.</w:t>
      </w:r>
    </w:p>
    <w:p>
      <w:pPr>
        <w:spacing w:after="20" w:line="223" w:lineRule="auto"/>
        <w:jc w:val="right"/>
        <w:bidi/>
      </w:pPr>
      <w:r>
        <w:rPr>
          <w:rFonts w:ascii="Arial" w:hAnsi="Arial"/>
          <w:sz w:val="16"/>
        </w:rPr>
        <w:t>339.19  واکنش.</w:t>
      </w:r>
    </w:p>
    <w:p>
      <w:pPr>
        <w:spacing w:after="28" w:line="216" w:lineRule="auto"/>
        <w:ind w:left="259"/>
        <w:jc w:val="left"/>
      </w:pPr>
      <w:r>
        <w:rPr>
          <w:rFonts w:ascii="Arial" w:hAnsi="Arial"/>
          <w:color w:val="525252"/>
          <w:sz w:val="13"/>
        </w:rPr>
        <w:t>Reaction.</w:t>
      </w:r>
    </w:p>
    <w:p>
      <w:pPr>
        <w:spacing w:after="20" w:line="223" w:lineRule="auto"/>
        <w:jc w:val="right"/>
        <w:bidi/>
      </w:pPr>
      <w:r>
        <w:rPr>
          <w:rFonts w:ascii="Arial" w:hAnsi="Arial"/>
          <w:sz w:val="16"/>
        </w:rPr>
        <w:t>339.20  هنگامی که از شناسایی ویروس یا بدافزار مطلع می‌شوید، با اطلاع فوری به افسر امنیت سیستم اطلاعاتی خود و پیروی از رویه‌های محلی واکنش نشان دهید.</w:t>
      </w:r>
    </w:p>
    <w:p>
      <w:pPr>
        <w:spacing w:after="28" w:line="216" w:lineRule="auto"/>
        <w:ind w:left="259"/>
        <w:jc w:val="left"/>
      </w:pPr>
      <w:r>
        <w:rPr>
          <w:rFonts w:ascii="Arial" w:hAnsi="Arial"/>
          <w:color w:val="525252"/>
          <w:sz w:val="13"/>
        </w:rPr>
        <w:t>When notified of a virus or malware detection, react by immediately notifying your information system security officer and following local procedures.</w:t>
      </w:r>
    </w:p>
    <w:p>
      <w:pPr>
        <w:spacing w:before="60" w:after="28"/>
        <w:jc w:val="right"/>
        <w:bidi/>
      </w:pPr>
      <w:r>
        <w:rPr>
          <w:b/>
          <w:color w:val="1F4D78"/>
          <w:sz w:val="18"/>
        </w:rPr>
        <w:t>18.20. دستگاه های محاسباتی سیار</w:t>
      </w:r>
    </w:p>
    <w:p>
      <w:pPr>
        <w:spacing w:after="20"/>
        <w:ind w:left="259"/>
        <w:jc w:val="left"/>
      </w:pPr>
      <w:r>
        <w:rPr>
          <w:color w:val="555555"/>
          <w:sz w:val="12"/>
        </w:rPr>
        <w:t>18.20. Mobile Computing Devices</w:t>
      </w:r>
    </w:p>
    <w:p>
      <w:pPr>
        <w:spacing w:after="20" w:line="223" w:lineRule="auto"/>
        <w:jc w:val="right"/>
        <w:bidi/>
      </w:pPr>
      <w:r>
        <w:rPr>
          <w:rFonts w:ascii="Arial" w:hAnsi="Arial"/>
          <w:sz w:val="16"/>
        </w:rPr>
        <w:t>339.22  دستگاه‌های محاسباتی سیار، سیستم‌های اطلاعاتی هستند، مانند دستگاه‌های الکترونیکی قابل حمل، لپ‌تاپ، تلفن‌های هوشمند و سایر دستگاه‌های دستی که می‌توانند داده‌ها را به صورت محلی ذخیره کنند و از طریق قابلیت‌های دسترسی موبایل به شبکه‌های مدیریت شده USAF دسترسی داشته باشند.</w:t>
      </w:r>
    </w:p>
    <w:p>
      <w:pPr>
        <w:spacing w:after="28" w:line="216" w:lineRule="auto"/>
        <w:ind w:left="259"/>
        <w:jc w:val="left"/>
      </w:pPr>
      <w:r>
        <w:rPr>
          <w:rFonts w:ascii="Arial" w:hAnsi="Arial"/>
          <w:color w:val="525252"/>
          <w:sz w:val="13"/>
        </w:rPr>
        <w:t>Mobile computing devices are information systems, such as portable electronic devices, laptops, smartphones, and other handheld devices that can store data locally and access USAF managed networks through mobile access capabilities.</w:t>
      </w:r>
    </w:p>
    <w:p>
      <w:pPr>
        <w:spacing w:after="20" w:line="223" w:lineRule="auto"/>
        <w:jc w:val="right"/>
        <w:bidi/>
      </w:pPr>
      <w:r>
        <w:rPr>
          <w:rFonts w:ascii="Arial" w:hAnsi="Arial"/>
          <w:sz w:val="16"/>
        </w:rPr>
        <w:t>339.23  همه سیستم‌های بی‌سیم (از جمله دستگاه‌های جانبی مرتبط، سیستم‌های عامل، برنامه‌های کاربردی، روش‌های اتصال شبکه و خدمات) باید قبل از پردازش اطلاعات وزارت دفاع تأیید شوند.</w:t>
      </w:r>
    </w:p>
    <w:p>
      <w:pPr>
        <w:spacing w:after="28" w:line="216" w:lineRule="auto"/>
        <w:ind w:left="259"/>
        <w:jc w:val="left"/>
      </w:pPr>
      <w:r>
        <w:rPr>
          <w:rFonts w:ascii="Arial" w:hAnsi="Arial"/>
          <w:color w:val="525252"/>
          <w:sz w:val="13"/>
        </w:rPr>
        <w:t>All wireless systems (including associated peripheral devices, operating systems, applications, network connection methods, and services) must be approved prior to processing Department of Defense information.</w:t>
      </w:r>
    </w:p>
    <w:p>
      <w:pPr>
        <w:spacing w:after="20" w:line="223" w:lineRule="auto"/>
        <w:jc w:val="right"/>
        <w:bidi/>
      </w:pPr>
      <w:r>
        <w:rPr>
          <w:rFonts w:ascii="Arial" w:hAnsi="Arial"/>
          <w:sz w:val="16"/>
        </w:rPr>
        <w:t>339.24  مسئول امنیت سیستم‌های اطلاعاتی، مجوز تأیید اسناد و اطلاعات موجودی را در تمام دستگاه‌های تأیید شده حفظ خواهد کرد.</w:t>
      </w:r>
    </w:p>
    <w:p>
      <w:pPr>
        <w:spacing w:after="28" w:line="216" w:lineRule="auto"/>
        <w:ind w:left="259"/>
        <w:jc w:val="left"/>
      </w:pPr>
      <w:r>
        <w:rPr>
          <w:rFonts w:ascii="Arial" w:hAnsi="Arial"/>
          <w:color w:val="525252"/>
          <w:sz w:val="13"/>
        </w:rPr>
        <w:t>The information systems security officer will maintain documented approval authority and inventory information on all approved devices.</w:t>
      </w:r>
    </w:p>
    <w:p>
      <w:pPr>
        <w:spacing w:after="20" w:line="223" w:lineRule="auto"/>
        <w:jc w:val="right"/>
        <w:bidi/>
      </w:pPr>
      <w:r>
        <w:rPr>
          <w:rFonts w:ascii="Arial" w:hAnsi="Arial"/>
          <w:sz w:val="16"/>
        </w:rPr>
        <w:t>339.25  همه دستگاه‌های محاسباتی سیار که اختصاص داده نشده یا استفاده نمی‌شوند باید ایمن شوند تا از دستکاری یا سرقت جلوگیری شود.</w:t>
      </w:r>
    </w:p>
    <w:p>
      <w:pPr>
        <w:spacing w:after="28" w:line="216" w:lineRule="auto"/>
        <w:ind w:left="259"/>
        <w:jc w:val="left"/>
      </w:pPr>
      <w:r>
        <w:rPr>
          <w:rFonts w:ascii="Arial" w:hAnsi="Arial"/>
          <w:color w:val="525252"/>
          <w:sz w:val="13"/>
        </w:rPr>
        <w:t>All mobile computing devices not assigned or in use must be secured to prevent tampering or theft.</w:t>
      </w:r>
    </w:p>
    <w:p>
      <w:pPr>
        <w:spacing w:after="20" w:line="223" w:lineRule="auto"/>
        <w:jc w:val="right"/>
        <w:bidi/>
      </w:pPr>
      <w:r>
        <w:rPr>
          <w:rFonts w:ascii="Arial" w:hAnsi="Arial"/>
          <w:sz w:val="16"/>
        </w:rPr>
        <w:t>339.26  کاربران دستگاه‌های تلفن همراه یک توافقنامه کاربری دقیق را امضا می‌کنند که مسئولیت‌ها و محدودیت‌های استفاده را مشخص می‌کند.</w:t>
      </w:r>
    </w:p>
    <w:p>
      <w:pPr>
        <w:spacing w:after="28" w:line="216" w:lineRule="auto"/>
        <w:ind w:left="259"/>
        <w:jc w:val="left"/>
      </w:pPr>
      <w:r>
        <w:rPr>
          <w:rFonts w:ascii="Arial" w:hAnsi="Arial"/>
          <w:color w:val="525252"/>
          <w:sz w:val="13"/>
        </w:rPr>
        <w:t>Users of mobile devices will sign a detailed user agreement outlining the responsibilities and restrictions for use.</w:t>
      </w:r>
    </w:p>
    <w:p>
      <w:pPr>
        <w:spacing w:before="60" w:after="28"/>
        <w:jc w:val="right"/>
        <w:bidi/>
      </w:pPr>
      <w:r>
        <w:rPr>
          <w:b/>
          <w:color w:val="1F4D78"/>
          <w:sz w:val="18"/>
        </w:rPr>
        <w:t>18.21. تسهیلات یا خدمات محاسباتی عمومی</w:t>
      </w:r>
    </w:p>
    <w:p>
      <w:pPr>
        <w:spacing w:after="20"/>
        <w:ind w:left="259"/>
        <w:jc w:val="left"/>
      </w:pPr>
      <w:r>
        <w:rPr>
          <w:color w:val="555555"/>
          <w:sz w:val="12"/>
        </w:rPr>
        <w:t>18.21. Public Computing Facilities or Services</w:t>
      </w:r>
    </w:p>
    <w:p>
      <w:pPr>
        <w:spacing w:after="20" w:line="223" w:lineRule="auto"/>
        <w:jc w:val="right"/>
        <w:bidi/>
      </w:pPr>
      <w:r>
        <w:rPr>
          <w:rFonts w:ascii="Arial" w:hAnsi="Arial"/>
          <w:sz w:val="16"/>
        </w:rPr>
        <w:t>339.28  از امکانات یا خدمات محاسباتی عمومی، مانند مراکز تجاری هتل، برای پردازش استفاده نکنید</w:t>
      </w:r>
    </w:p>
    <w:p>
      <w:pPr>
        <w:spacing w:after="28" w:line="216" w:lineRule="auto"/>
        <w:ind w:left="259"/>
        <w:jc w:val="left"/>
      </w:pPr>
      <w:r>
        <w:rPr>
          <w:rFonts w:ascii="Arial" w:hAnsi="Arial"/>
          <w:color w:val="525252"/>
          <w:sz w:val="13"/>
        </w:rPr>
        <w:t>Do not use public computing facilities or services, such as hotel business centers, to process</w:t>
      </w:r>
    </w:p>
    <w:p>
      <w:r>
        <w:br w:type="page"/>
      </w:r>
    </w:p>
    <w:p>
      <w:pPr>
        <w:spacing w:after="60"/>
        <w:jc w:val="right"/>
        <w:bidi/>
      </w:pPr>
      <w:r>
        <w:rPr>
          <w:rFonts w:ascii="Arial" w:hAnsi="Arial"/>
          <w:b/>
          <w:color w:val="1F4D78"/>
          <w:sz w:val="19"/>
        </w:rPr>
        <w:t>هفتهٔ 340  |  صفحهٔ منبع: 356</w:t>
      </w:r>
    </w:p>
    <w:p>
      <w:pPr>
        <w:spacing w:after="20" w:line="223" w:lineRule="auto"/>
        <w:jc w:val="right"/>
        <w:bidi/>
      </w:pPr>
      <w:r>
        <w:rPr>
          <w:rFonts w:ascii="Arial" w:hAnsi="Arial"/>
          <w:sz w:val="16"/>
        </w:rPr>
        <w:t>340.01  اطلاعات طبقه بندی نشده، حساس یا طبقه بندی شده متعلق به دولت.</w:t>
      </w:r>
    </w:p>
    <w:p>
      <w:pPr>
        <w:spacing w:after="28" w:line="216" w:lineRule="auto"/>
        <w:ind w:left="259"/>
        <w:jc w:val="left"/>
      </w:pPr>
      <w:r>
        <w:rPr>
          <w:rFonts w:ascii="Arial" w:hAnsi="Arial"/>
          <w:color w:val="525252"/>
          <w:sz w:val="13"/>
        </w:rPr>
        <w:t>government-owned unclassified, sensitive, or classified information.</w:t>
      </w:r>
    </w:p>
    <w:p>
      <w:pPr>
        <w:spacing w:after="20" w:line="223" w:lineRule="auto"/>
        <w:jc w:val="right"/>
        <w:bidi/>
      </w:pPr>
      <w:r>
        <w:rPr>
          <w:rFonts w:ascii="Arial" w:hAnsi="Arial"/>
          <w:sz w:val="16"/>
        </w:rPr>
        <w:t>340.02  امکانات یا خدمات محاسباتی عمومی شامل هر گونه منابع فناوری اطلاعاتی است که تحت کنترل خصوصی یا دولتی ایالات متحده نیست.</w:t>
      </w:r>
    </w:p>
    <w:p>
      <w:pPr>
        <w:spacing w:after="28" w:line="216" w:lineRule="auto"/>
        <w:ind w:left="259"/>
        <w:jc w:val="left"/>
      </w:pPr>
      <w:r>
        <w:rPr>
          <w:rFonts w:ascii="Arial" w:hAnsi="Arial"/>
          <w:color w:val="525252"/>
          <w:sz w:val="13"/>
        </w:rPr>
        <w:t>Public computing facilities or services include any information technology resources not under your private or U.S. Governmental control.</w:t>
      </w:r>
    </w:p>
    <w:p>
      <w:pPr>
        <w:spacing w:after="20" w:line="223" w:lineRule="auto"/>
        <w:jc w:val="right"/>
        <w:bidi/>
      </w:pPr>
      <w:r>
        <w:rPr>
          <w:rFonts w:ascii="Arial" w:hAnsi="Arial"/>
          <w:sz w:val="16"/>
        </w:rPr>
        <w:t>340.03  استفاده از برنامه‌های ایمیل، نرم‌افزارهای پیام‌رسان یا برنامه‌های کاربردی وب برای دسترسی به خدمات دولتی مبتنی بر وب، اعتبار ورود به سیستم را به خطر می‌اندازد و باید به‌عنوان یک حادثه امنیتی گزارش شود.</w:t>
      </w:r>
    </w:p>
    <w:p>
      <w:pPr>
        <w:spacing w:after="28" w:line="216" w:lineRule="auto"/>
        <w:ind w:left="259"/>
        <w:jc w:val="left"/>
      </w:pPr>
      <w:r>
        <w:rPr>
          <w:rFonts w:ascii="Arial" w:hAnsi="Arial"/>
          <w:color w:val="525252"/>
          <w:sz w:val="13"/>
        </w:rPr>
        <w:t>Use of e-mail applications, messaging software, or web applications to access web-based government services constitutes a compromise of login credentials and must be reported as a security incident.</w:t>
      </w:r>
    </w:p>
    <w:p>
      <w:pPr>
        <w:spacing w:before="60" w:after="28"/>
        <w:jc w:val="right"/>
        <w:bidi/>
      </w:pPr>
      <w:r>
        <w:rPr>
          <w:b/>
          <w:color w:val="1F4D78"/>
          <w:sz w:val="18"/>
        </w:rPr>
        <w:t>18.22. امنیت ارتباطات</w:t>
      </w:r>
    </w:p>
    <w:p>
      <w:pPr>
        <w:spacing w:after="20"/>
        <w:ind w:left="259"/>
        <w:jc w:val="left"/>
      </w:pPr>
      <w:r>
        <w:rPr>
          <w:color w:val="555555"/>
          <w:sz w:val="12"/>
        </w:rPr>
        <w:t>18.22. Communications Security</w:t>
      </w:r>
    </w:p>
    <w:p>
      <w:pPr>
        <w:spacing w:after="20" w:line="223" w:lineRule="auto"/>
        <w:jc w:val="right"/>
        <w:bidi/>
      </w:pPr>
      <w:r>
        <w:rPr>
          <w:rFonts w:ascii="Arial" w:hAnsi="Arial"/>
          <w:sz w:val="16"/>
        </w:rPr>
        <w:t>340.05  امنیت ارتباطات به اقدامات و کنترل‌هایی اطلاق می‌شود که برای جلوگیری از اطلاعات افراد غیرمجاز ناشی از سیستم‌های اطلاعاتی دولت ایالات متحده مرتبط با امنیت ملی و برای اطمینان از صحت چنین سیستم‌های اطلاعاتی انجام می‌شود.</w:t>
      </w:r>
    </w:p>
    <w:p>
      <w:pPr>
        <w:spacing w:after="28" w:line="216" w:lineRule="auto"/>
        <w:ind w:left="259"/>
        <w:jc w:val="left"/>
      </w:pPr>
      <w:r>
        <w:rPr>
          <w:rFonts w:ascii="Arial" w:hAnsi="Arial"/>
          <w:color w:val="525252"/>
          <w:sz w:val="13"/>
        </w:rPr>
        <w:t>Communications security refers to measures and controls taken to deny unauthorized persons information derived from information systems of the U.S. Government related to national security and to ensure the authenticity of such information systems.</w:t>
      </w:r>
    </w:p>
    <w:p>
      <w:pPr>
        <w:spacing w:after="20" w:line="223" w:lineRule="auto"/>
        <w:jc w:val="right"/>
        <w:bidi/>
      </w:pPr>
      <w:r>
        <w:rPr>
          <w:rFonts w:ascii="Arial" w:hAnsi="Arial"/>
          <w:sz w:val="16"/>
        </w:rPr>
        <w:t>340.06  حفاظت از امنیت ارتباطات ناشی از اعمال تدابیر امنیتی برای ارتباطات و سیستم‌های اطلاعاتی است که تولید، مدیریت، ذخیره، پردازش یا استفاده از اطلاعات طبقه‌بندی‌شده یا حساس را انجام می‌دهند، که از دست دادن آن‌ها می‌تواند بر منافع امنیت ملی تأثیر منفی بگذارد.</w:t>
      </w:r>
    </w:p>
    <w:p>
      <w:pPr>
        <w:spacing w:after="28" w:line="216" w:lineRule="auto"/>
        <w:ind w:left="259"/>
        <w:jc w:val="left"/>
      </w:pPr>
      <w:r>
        <w:rPr>
          <w:rFonts w:ascii="Arial" w:hAnsi="Arial"/>
          <w:color w:val="525252"/>
          <w:sz w:val="13"/>
        </w:rPr>
        <w:t>Communications security protection results from applying security measures to communications and information systems generating, handling, storing, processing, or using classified or sensitive information, the loss of which could adversely affect national security interests.</w:t>
      </w:r>
    </w:p>
    <w:p>
      <w:pPr>
        <w:spacing w:after="20" w:line="223" w:lineRule="auto"/>
        <w:jc w:val="right"/>
        <w:bidi/>
      </w:pPr>
      <w:r>
        <w:rPr>
          <w:rFonts w:ascii="Arial" w:hAnsi="Arial"/>
          <w:sz w:val="16"/>
        </w:rPr>
        <w:t>340.07  امنیت ارتباطات همچنین مستلزم اعمال اقدامات امنیتی فیزیکی برای اطلاعات یا مواد امنیتی ارتباطات است.</w:t>
      </w:r>
    </w:p>
    <w:p>
      <w:pPr>
        <w:spacing w:after="28" w:line="216" w:lineRule="auto"/>
        <w:ind w:left="259"/>
        <w:jc w:val="left"/>
      </w:pPr>
      <w:r>
        <w:rPr>
          <w:rFonts w:ascii="Arial" w:hAnsi="Arial"/>
          <w:color w:val="525252"/>
          <w:sz w:val="13"/>
        </w:rPr>
        <w:t>Communications security also entails applying physical security measures to communications security information or materials.</w:t>
      </w:r>
    </w:p>
    <w:p>
      <w:pPr>
        <w:spacing w:after="20" w:line="223" w:lineRule="auto"/>
        <w:jc w:val="right"/>
        <w:bidi/>
      </w:pPr>
      <w:r>
        <w:rPr>
          <w:rFonts w:ascii="Arial" w:hAnsi="Arial"/>
          <w:sz w:val="16"/>
        </w:rPr>
        <w:t>340.08  امنیت رمزنگاری شده.</w:t>
      </w:r>
    </w:p>
    <w:p>
      <w:pPr>
        <w:spacing w:after="28" w:line="216" w:lineRule="auto"/>
        <w:ind w:left="259"/>
        <w:jc w:val="left"/>
      </w:pPr>
      <w:r>
        <w:rPr>
          <w:rFonts w:ascii="Arial" w:hAnsi="Arial"/>
          <w:color w:val="525252"/>
          <w:sz w:val="13"/>
        </w:rPr>
        <w:t>Cryptosecurity.</w:t>
      </w:r>
    </w:p>
    <w:p>
      <w:pPr>
        <w:spacing w:after="20" w:line="223" w:lineRule="auto"/>
        <w:jc w:val="right"/>
        <w:bidi/>
      </w:pPr>
      <w:r>
        <w:rPr>
          <w:rFonts w:ascii="Arial" w:hAnsi="Arial"/>
          <w:sz w:val="16"/>
        </w:rPr>
        <w:t>340.09  امنیت رمز یکی از اجزای امنیت ارتباطات است که ناشی از ارائه و استفاده مناسب از سیستم‌های رمزنگاری فنی سالم است.</w:t>
      </w:r>
    </w:p>
    <w:p>
      <w:pPr>
        <w:spacing w:after="28" w:line="216" w:lineRule="auto"/>
        <w:ind w:left="259"/>
        <w:jc w:val="left"/>
      </w:pPr>
      <w:r>
        <w:rPr>
          <w:rFonts w:ascii="Arial" w:hAnsi="Arial"/>
          <w:color w:val="525252"/>
          <w:sz w:val="13"/>
        </w:rPr>
        <w:t>Cryptosecurity is a component of communications security resulting from the provision and proper use of technically sound cryptosystems.</w:t>
      </w:r>
    </w:p>
    <w:p>
      <w:pPr>
        <w:spacing w:after="20" w:line="223" w:lineRule="auto"/>
        <w:jc w:val="right"/>
        <w:bidi/>
      </w:pPr>
      <w:r>
        <w:rPr>
          <w:rFonts w:ascii="Arial" w:hAnsi="Arial"/>
          <w:sz w:val="16"/>
        </w:rPr>
        <w:t>340.10  امنیت انتقال.</w:t>
      </w:r>
    </w:p>
    <w:p>
      <w:pPr>
        <w:spacing w:after="28" w:line="216" w:lineRule="auto"/>
        <w:ind w:left="259"/>
        <w:jc w:val="left"/>
      </w:pPr>
      <w:r>
        <w:rPr>
          <w:rFonts w:ascii="Arial" w:hAnsi="Arial"/>
          <w:color w:val="525252"/>
          <w:sz w:val="13"/>
        </w:rPr>
        <w:t>Transmission Security.</w:t>
      </w:r>
    </w:p>
    <w:p>
      <w:pPr>
        <w:spacing w:after="20" w:line="223" w:lineRule="auto"/>
        <w:jc w:val="right"/>
        <w:bidi/>
      </w:pPr>
      <w:r>
        <w:rPr>
          <w:rFonts w:ascii="Arial" w:hAnsi="Arial"/>
          <w:sz w:val="16"/>
        </w:rPr>
        <w:t>340.11  امنیت انتقال بخشی از امنیت ارتباطات است که از بکارگیری اقدامات طراحی شده برای محافظت از انتقال در برابر رهگیری و بهره‌برداری با وسایلی غیر از تحلیل رمزنگاری شده است.</w:t>
      </w:r>
    </w:p>
    <w:p>
      <w:pPr>
        <w:spacing w:after="28" w:line="216" w:lineRule="auto"/>
        <w:ind w:left="259"/>
        <w:jc w:val="left"/>
      </w:pPr>
      <w:r>
        <w:rPr>
          <w:rFonts w:ascii="Arial" w:hAnsi="Arial"/>
          <w:color w:val="525252"/>
          <w:sz w:val="13"/>
        </w:rPr>
        <w:t>Transmission security is a component of communications security resulting from the application of measures designed to protect transmissions from interception and exploitation by means other than cryptoanalysis.</w:t>
      </w:r>
    </w:p>
    <w:p>
      <w:pPr>
        <w:spacing w:after="20" w:line="223" w:lineRule="auto"/>
        <w:jc w:val="right"/>
        <w:bidi/>
      </w:pPr>
      <w:r>
        <w:rPr>
          <w:rFonts w:ascii="Arial" w:hAnsi="Arial"/>
          <w:sz w:val="16"/>
        </w:rPr>
        <w:t>340.12  نمونه‌هایی از اقدامات امنیتی انتقال شامل استفاده از سیستم‌های ارتباطی ایمن، پست ثبت‌شده، تجهیزات تلفن و فکس ایمن، سیستم‌های رمزنگاری دستی، علائم تماس یا احراز هویت برای انتقال اطلاعات طبقه‌بندی شده است.</w:t>
      </w:r>
    </w:p>
    <w:p>
      <w:pPr>
        <w:spacing w:after="28" w:line="216" w:lineRule="auto"/>
        <w:ind w:left="259"/>
        <w:jc w:val="left"/>
      </w:pPr>
      <w:r>
        <w:rPr>
          <w:rFonts w:ascii="Arial" w:hAnsi="Arial"/>
          <w:color w:val="525252"/>
          <w:sz w:val="13"/>
        </w:rPr>
        <w:t>Examples of transmission security measures include using secured communications systems, registered mail, secure telephone and facsimile equipment, manual cryptosystems, call signs, or authentication to transmit classified information.</w:t>
      </w:r>
    </w:p>
    <w:p>
      <w:pPr>
        <w:spacing w:after="20" w:line="223" w:lineRule="auto"/>
        <w:jc w:val="right"/>
        <w:bidi/>
      </w:pPr>
      <w:r>
        <w:rPr>
          <w:rFonts w:ascii="Arial" w:hAnsi="Arial"/>
          <w:sz w:val="16"/>
        </w:rPr>
        <w:t>340.13  امنیت فیزیکی.</w:t>
      </w:r>
    </w:p>
    <w:p>
      <w:pPr>
        <w:spacing w:after="28" w:line="216" w:lineRule="auto"/>
        <w:ind w:left="259"/>
        <w:jc w:val="left"/>
      </w:pPr>
      <w:r>
        <w:rPr>
          <w:rFonts w:ascii="Arial" w:hAnsi="Arial"/>
          <w:color w:val="525252"/>
          <w:sz w:val="13"/>
        </w:rPr>
        <w:t>Physical Security.</w:t>
      </w:r>
    </w:p>
    <w:p>
      <w:pPr>
        <w:spacing w:after="20" w:line="223" w:lineRule="auto"/>
        <w:jc w:val="right"/>
        <w:bidi/>
      </w:pPr>
      <w:r>
        <w:rPr>
          <w:rFonts w:ascii="Arial" w:hAnsi="Arial"/>
          <w:sz w:val="16"/>
        </w:rPr>
        <w:t>340.14  امنیت فیزیکی، امنیت ارتباطات ناشی از استفاده از تمام اقدامات فیزیکی لازم برای محافظت از مواد امنیتی ارتباطات از دسترسی افراد غیرمجاز است.</w:t>
      </w:r>
    </w:p>
    <w:p>
      <w:pPr>
        <w:spacing w:after="28" w:line="216" w:lineRule="auto"/>
        <w:ind w:left="259"/>
        <w:jc w:val="left"/>
      </w:pPr>
      <w:r>
        <w:rPr>
          <w:rFonts w:ascii="Arial" w:hAnsi="Arial"/>
          <w:color w:val="525252"/>
          <w:sz w:val="13"/>
        </w:rPr>
        <w:t>Physical security is communications security resulting from the use of all physical measures necessary to safeguard communications security material from access by unauthorized persons.</w:t>
      </w:r>
    </w:p>
    <w:p>
      <w:pPr>
        <w:spacing w:after="20" w:line="223" w:lineRule="auto"/>
        <w:jc w:val="right"/>
        <w:bidi/>
      </w:pPr>
      <w:r>
        <w:rPr>
          <w:rFonts w:ascii="Arial" w:hAnsi="Arial"/>
          <w:sz w:val="16"/>
        </w:rPr>
        <w:t>340.15  اقدامات امنیتی فیزیکی شامل اعمال روشهای کنترلی و موانع فیزیکی است.</w:t>
      </w:r>
    </w:p>
    <w:p>
      <w:pPr>
        <w:spacing w:after="28" w:line="216" w:lineRule="auto"/>
        <w:ind w:left="259"/>
        <w:jc w:val="left"/>
      </w:pPr>
      <w:r>
        <w:rPr>
          <w:rFonts w:ascii="Arial" w:hAnsi="Arial"/>
          <w:color w:val="525252"/>
          <w:sz w:val="13"/>
        </w:rPr>
        <w:t>Physical security measures include the application of control procedures and physical barriers.</w:t>
      </w:r>
    </w:p>
    <w:p>
      <w:pPr>
        <w:spacing w:after="20" w:line="223" w:lineRule="auto"/>
        <w:jc w:val="right"/>
        <w:bidi/>
      </w:pPr>
      <w:r>
        <w:rPr>
          <w:rFonts w:ascii="Arial" w:hAnsi="Arial"/>
          <w:sz w:val="16"/>
        </w:rPr>
        <w:t>340.16  امنیت فیزیکی همچنین یکپارچگی مستمر را تضمین می‌کند، از دسترسی افراد غیرمجاز جلوگیری می‌کند و گسترش تکنیک‌ها و فناوری‌های امنیتی ارتباطات را در زمانی که به نفع ایالات متحده و متحدان ما نیست، کنترل می‌کند.</w:t>
      </w:r>
    </w:p>
    <w:p>
      <w:pPr>
        <w:spacing w:after="28" w:line="216" w:lineRule="auto"/>
        <w:ind w:left="259"/>
        <w:jc w:val="left"/>
      </w:pPr>
      <w:r>
        <w:rPr>
          <w:rFonts w:ascii="Arial" w:hAnsi="Arial"/>
          <w:color w:val="525252"/>
          <w:sz w:val="13"/>
        </w:rPr>
        <w:t>Physical security also ensures continued integrity, prevents access by unauthorized persons, and controls the spread of communications security techniques and technology when not in the best interest of the United States and our allies.</w:t>
      </w:r>
    </w:p>
    <w:p>
      <w:pPr>
        <w:spacing w:after="20" w:line="223" w:lineRule="auto"/>
        <w:jc w:val="right"/>
        <w:bidi/>
      </w:pPr>
      <w:r>
        <w:rPr>
          <w:rFonts w:ascii="Arial" w:hAnsi="Arial"/>
          <w:sz w:val="16"/>
        </w:rPr>
        <w:t>340.17  اقدامات رایج امنیتی فیزیکی شامل تأیید نیاز به اطلاع و مجوز دسترسی پرسنل، پیروی از روش‌های نگهداری و جابجایی مناسب، حساب‌داری دقیق همه مواد، حمل و نقل مواد با استفاده از وسایل مجاز، و گزارش فوری از دست دادن یا خطر احتمالی مواد است.</w:t>
      </w:r>
    </w:p>
    <w:p>
      <w:pPr>
        <w:spacing w:after="28" w:line="216" w:lineRule="auto"/>
        <w:ind w:left="259"/>
        <w:jc w:val="left"/>
      </w:pPr>
      <w:r>
        <w:rPr>
          <w:rFonts w:ascii="Arial" w:hAnsi="Arial"/>
          <w:color w:val="525252"/>
          <w:sz w:val="13"/>
        </w:rPr>
        <w:t>Common physical security measures include verifying the need to know and clearance of personnel granted access, following proper storage, and handling procedures, accurately accounting for all materials, transporting materials using authorized means, and immediately reporting the loss or possible compromise of materials.</w:t>
      </w:r>
    </w:p>
    <w:p>
      <w:pPr>
        <w:spacing w:before="60" w:after="28"/>
        <w:jc w:val="right"/>
        <w:bidi/>
      </w:pPr>
      <w:r>
        <w:rPr>
          <w:b/>
          <w:color w:val="1F4D78"/>
          <w:sz w:val="18"/>
        </w:rPr>
        <w:t>18.23. طوفان</w:t>
      </w:r>
    </w:p>
    <w:p>
      <w:pPr>
        <w:spacing w:after="20"/>
        <w:ind w:left="259"/>
        <w:jc w:val="left"/>
      </w:pPr>
      <w:r>
        <w:rPr>
          <w:color w:val="555555"/>
          <w:sz w:val="12"/>
        </w:rPr>
        <w:t>18.23. TEMPEST</w:t>
      </w:r>
    </w:p>
    <w:p>
      <w:pPr>
        <w:spacing w:after="20" w:line="223" w:lineRule="auto"/>
        <w:jc w:val="right"/>
        <w:bidi/>
      </w:pPr>
      <w:r>
        <w:rPr>
          <w:rFonts w:ascii="Arial" w:hAnsi="Arial"/>
          <w:sz w:val="16"/>
        </w:rPr>
        <w:t>340.19  TEMPEST، که پیش‌تر به‌عنوان امنیت انتشار شناخته می‌شد، حفاظتی است که از تمام اقدامات انجام شده برای رد اطلاعات ارزشمند افراد غیرمجاز که ممکن است از رهگیری و تجزیه و تحلیل انتشارات مخرب از تجهیزات رمزنگاری، سیستم‌های اطلاعاتی و سیستم‌های مخابراتی به دست آمده باشد، حاصل می‌شود.</w:t>
      </w:r>
    </w:p>
    <w:p>
      <w:pPr>
        <w:spacing w:after="28" w:line="216" w:lineRule="auto"/>
        <w:ind w:left="259"/>
        <w:jc w:val="left"/>
      </w:pPr>
      <w:r>
        <w:rPr>
          <w:rFonts w:ascii="Arial" w:hAnsi="Arial"/>
          <w:color w:val="525252"/>
          <w:sz w:val="13"/>
        </w:rPr>
        <w:t>TEMPEST, formerly known as emissions security, is protection resulting from all measures taken to deny unauthorized persons information of value that may be derived from the interception and analysis of compromising emanations from cryptographic equipment, information systems, and telecommunications systems.</w:t>
      </w:r>
    </w:p>
    <w:p>
      <w:pPr>
        <w:spacing w:after="20" w:line="223" w:lineRule="auto"/>
        <w:jc w:val="right"/>
        <w:bidi/>
      </w:pPr>
      <w:r>
        <w:rPr>
          <w:rFonts w:ascii="Arial" w:hAnsi="Arial"/>
          <w:sz w:val="16"/>
        </w:rPr>
        <w:t>340.20  هدف TEMPEST ممانعت از دسترسی به اطلاعات طبقه بندی شده و در برخی موارد طبقه بندی نشده است که حاوی تراوشات مخرب در یک فضای قابل بازرسی است.</w:t>
      </w:r>
    </w:p>
    <w:p>
      <w:pPr>
        <w:spacing w:after="28" w:line="216" w:lineRule="auto"/>
        <w:ind w:left="259"/>
        <w:jc w:val="left"/>
      </w:pPr>
      <w:r>
        <w:rPr>
          <w:rFonts w:ascii="Arial" w:hAnsi="Arial"/>
          <w:color w:val="525252"/>
          <w:sz w:val="13"/>
        </w:rPr>
        <w:t>The objective of TEMPEST is to deny access to classified, and in some instances unclassified, information that contains compromising emanations within an inspectable space.</w:t>
      </w:r>
    </w:p>
    <w:p>
      <w:pPr>
        <w:spacing w:after="20" w:line="223" w:lineRule="auto"/>
        <w:jc w:val="right"/>
        <w:bidi/>
      </w:pPr>
      <w:r>
        <w:rPr>
          <w:rFonts w:ascii="Arial" w:hAnsi="Arial"/>
          <w:sz w:val="16"/>
        </w:rPr>
        <w:t>340.21  فضای قابل بازرسی منطقه‌ای در نظر گرفته می‌شود که در آن برای یک دشمن با تجهیزات تخصصی تلاش برای رهگیری تراوشات مخرب بدون شناسایی دشوار است.</w:t>
      </w:r>
    </w:p>
    <w:p>
      <w:pPr>
        <w:spacing w:after="28" w:line="216" w:lineRule="auto"/>
        <w:ind w:left="259"/>
        <w:jc w:val="left"/>
      </w:pPr>
      <w:r>
        <w:rPr>
          <w:rFonts w:ascii="Arial" w:hAnsi="Arial"/>
          <w:color w:val="525252"/>
          <w:sz w:val="13"/>
        </w:rPr>
        <w:t>The inspectable space is considered the area in which it would be difficult for an adversary with specialized equipment to attempt to intercept compromising emanations without being detected.</w:t>
      </w:r>
    </w:p>
    <w:p>
      <w:pPr>
        <w:spacing w:after="20" w:line="223" w:lineRule="auto"/>
        <w:jc w:val="right"/>
        <w:bidi/>
      </w:pPr>
      <w:r>
        <w:rPr>
          <w:rFonts w:ascii="Arial" w:hAnsi="Arial"/>
          <w:sz w:val="16"/>
        </w:rPr>
        <w:t>340.22  اقدامات متقابل TEMPEST، مانند جداسازی تجهیزات طبقه بندی شده و طبقه بندی نشده، محافظ، و زمین، برای کاهش خطر به خطر افتادن انتشارات اجرا می‌شود.</w:t>
      </w:r>
    </w:p>
    <w:p>
      <w:pPr>
        <w:spacing w:after="28" w:line="216" w:lineRule="auto"/>
        <w:ind w:left="259"/>
        <w:jc w:val="left"/>
      </w:pPr>
      <w:r>
        <w:rPr>
          <w:rFonts w:ascii="Arial" w:hAnsi="Arial"/>
          <w:color w:val="525252"/>
          <w:sz w:val="13"/>
        </w:rPr>
        <w:t>TEMPEST countermeasures, such as classified and unclassified equipment separation, shielding, and grounding, are implemented to reduce the risk of compromising emanations.</w:t>
      </w:r>
    </w:p>
    <w:p>
      <w:r>
        <w:br w:type="page"/>
      </w:r>
    </w:p>
    <w:p>
      <w:pPr>
        <w:spacing w:after="60"/>
        <w:jc w:val="right"/>
        <w:bidi/>
      </w:pPr>
      <w:r>
        <w:rPr>
          <w:rFonts w:ascii="Arial" w:hAnsi="Arial"/>
          <w:b/>
          <w:color w:val="1F4D78"/>
          <w:sz w:val="19"/>
        </w:rPr>
        <w:t>هفتهٔ 341  |  صفحهٔ منبع: 357</w:t>
      </w:r>
    </w:p>
    <w:p>
      <w:pPr>
        <w:spacing w:before="60" w:after="28"/>
        <w:jc w:val="right"/>
        <w:bidi/>
      </w:pPr>
      <w:r>
        <w:rPr>
          <w:b/>
          <w:color w:val="1F4D78"/>
          <w:sz w:val="18"/>
        </w:rPr>
        <w:t>بخش 18E - ضد تروریسم</w:t>
      </w:r>
    </w:p>
    <w:p>
      <w:pPr>
        <w:spacing w:after="20"/>
        <w:ind w:left="259"/>
        <w:jc w:val="left"/>
      </w:pPr>
      <w:r>
        <w:rPr>
          <w:color w:val="555555"/>
          <w:sz w:val="12"/>
        </w:rPr>
        <w:t>Section 18E—Antiterrorism</w:t>
      </w:r>
    </w:p>
    <w:p>
      <w:pPr>
        <w:spacing w:before="60" w:after="28"/>
        <w:jc w:val="right"/>
        <w:bidi/>
      </w:pPr>
      <w:r>
        <w:rPr>
          <w:b/>
          <w:color w:val="1F4D78"/>
          <w:sz w:val="18"/>
        </w:rPr>
        <w:t>18.24. تلاش های ضد تروریسم</w:t>
      </w:r>
    </w:p>
    <w:p>
      <w:pPr>
        <w:spacing w:after="20"/>
        <w:ind w:left="259"/>
        <w:jc w:val="left"/>
      </w:pPr>
      <w:r>
        <w:rPr>
          <w:color w:val="555555"/>
          <w:sz w:val="12"/>
        </w:rPr>
        <w:t>18.24. Antiterrorism Efforts</w:t>
      </w:r>
    </w:p>
    <w:p>
      <w:pPr>
        <w:spacing w:after="20" w:line="223" w:lineRule="auto"/>
        <w:jc w:val="right"/>
        <w:bidi/>
      </w:pPr>
      <w:r>
        <w:rPr>
          <w:rFonts w:ascii="Arial" w:hAnsi="Arial"/>
          <w:sz w:val="16"/>
        </w:rPr>
        <w:t>341.03  USAF با ارائه راهنمایی برای جمع‌آوری و انتشار به موقع اطلاعات تهدیدات، ارائه آموزش به همه اعضای USAF، توسعه طرح‌های جامع برای بازدارندگی و مقابله با حوادث تروریستی، تخصیص بودجه و پرسنل، و اجرای اقدامات ضد تروریسم، به دنبال جلوگیری یا محدود کردن اثرات اقدامات تروریستی است.</w:t>
      </w:r>
    </w:p>
    <w:p>
      <w:pPr>
        <w:spacing w:after="28" w:line="216" w:lineRule="auto"/>
        <w:ind w:left="259"/>
        <w:jc w:val="left"/>
      </w:pPr>
      <w:r>
        <w:rPr>
          <w:rFonts w:ascii="Arial" w:hAnsi="Arial"/>
          <w:color w:val="525252"/>
          <w:sz w:val="13"/>
        </w:rPr>
        <w:t>The USAF seeks to deter or limit the effects of terrorist acts by giving guidance on collecting and disseminating timely threat information, providing training to all USAF members, developing comprehensive plans to deter and counter terrorist incidents, allocating funds and personnel, and implementing antiterrorism measures.</w:t>
      </w:r>
    </w:p>
    <w:p>
      <w:pPr>
        <w:spacing w:after="20" w:line="223" w:lineRule="auto"/>
        <w:jc w:val="right"/>
        <w:bidi/>
      </w:pPr>
      <w:r>
        <w:rPr>
          <w:rFonts w:ascii="Arial" w:hAnsi="Arial"/>
          <w:sz w:val="16"/>
        </w:rPr>
        <w:t>341.04  HAF.</w:t>
      </w:r>
    </w:p>
    <w:p>
      <w:pPr>
        <w:spacing w:after="28" w:line="216" w:lineRule="auto"/>
        <w:ind w:left="259"/>
        <w:jc w:val="left"/>
      </w:pPr>
      <w:r>
        <w:rPr>
          <w:rFonts w:ascii="Arial" w:hAnsi="Arial"/>
          <w:color w:val="525252"/>
          <w:sz w:val="13"/>
        </w:rPr>
        <w:t>HAF.</w:t>
      </w:r>
    </w:p>
    <w:p>
      <w:pPr>
        <w:spacing w:after="20" w:line="223" w:lineRule="auto"/>
        <w:jc w:val="right"/>
        <w:bidi/>
      </w:pPr>
      <w:r>
        <w:rPr>
          <w:rFonts w:ascii="Arial" w:hAnsi="Arial"/>
          <w:sz w:val="16"/>
        </w:rPr>
        <w:t>341.05  در سطح راهبردی، معاونت عملیات اطلاعات، شناسایی نظارتی و عملیات اثرات سایبری (HAF/ا۲/۶) و مدیر اطلاعات، مراقبت، شناسایی و عملیات، مسئولیت حصول اطمینان از جمع‌آوری به موقع، پردازش اطلاعات ملی، تجزیه و تحلیل اطلاعات جاسوسی، تولید و تولید به موقع اطلاعات خارجی را بر عهده دارند. فعالیت‌های تروریستی، سازمان‌های تروریستی و مسائل مربوط به حفاظت از نیرو.</w:t>
      </w:r>
    </w:p>
    <w:p>
      <w:pPr>
        <w:spacing w:after="28" w:line="216" w:lineRule="auto"/>
        <w:ind w:left="259"/>
        <w:jc w:val="left"/>
      </w:pPr>
      <w:r>
        <w:rPr>
          <w:rFonts w:ascii="Arial" w:hAnsi="Arial"/>
          <w:color w:val="525252"/>
          <w:sz w:val="13"/>
        </w:rPr>
        <w:t>At the strategic level, the Deputy Chief of Staff for Intelligence, Surveillance Reconnaissance, and Cyber Effects Operations (HAF/A2/6) and the Director for Intelligence, Surveillance, Reconnaissance, and Operations, are responsible for ensuring the timely collection processing, analysis, production, and dissemination of foreign intelligence, current intelligence, and national-level intelligence information concerning terrorist activities, terrorist organizations, and force protection issues.</w:t>
      </w:r>
    </w:p>
    <w:p>
      <w:pPr>
        <w:spacing w:after="20" w:line="223" w:lineRule="auto"/>
        <w:jc w:val="right"/>
        <w:bidi/>
      </w:pPr>
      <w:r>
        <w:rPr>
          <w:rFonts w:ascii="Arial" w:hAnsi="Arial"/>
          <w:sz w:val="16"/>
        </w:rPr>
        <w:t>341.06  دفتر تحقیقات ویژه نیروی هوایی.</w:t>
      </w:r>
    </w:p>
    <w:p>
      <w:pPr>
        <w:spacing w:after="28" w:line="216" w:lineRule="auto"/>
        <w:ind w:left="259"/>
        <w:jc w:val="left"/>
      </w:pPr>
      <w:r>
        <w:rPr>
          <w:rFonts w:ascii="Arial" w:hAnsi="Arial"/>
          <w:color w:val="525252"/>
          <w:sz w:val="13"/>
        </w:rPr>
        <w:t>The Air Force Office of Special Investigations.</w:t>
      </w:r>
    </w:p>
    <w:p>
      <w:pPr>
        <w:spacing w:after="20" w:line="223" w:lineRule="auto"/>
        <w:jc w:val="right"/>
        <w:bidi/>
      </w:pPr>
      <w:r>
        <w:rPr>
          <w:rFonts w:ascii="Arial" w:hAnsi="Arial"/>
          <w:sz w:val="16"/>
        </w:rPr>
        <w:t>341.07  دفتر تحقیقات ویژه نیروی هوایی (AFOSI) آژانس اصلی USAF برای جمع‌آوری، تحقیق، تجزیه و تحلیل و پاسخ به تهدیدات ناشی از تروریست‌ها، فعالیت‌های جنایی، اطلاعات خارجی و سرویس‌های امنیتی است.</w:t>
      </w:r>
    </w:p>
    <w:p>
      <w:pPr>
        <w:spacing w:after="28" w:line="216" w:lineRule="auto"/>
        <w:ind w:left="259"/>
        <w:jc w:val="left"/>
      </w:pPr>
      <w:r>
        <w:rPr>
          <w:rFonts w:ascii="Arial" w:hAnsi="Arial"/>
          <w:color w:val="525252"/>
          <w:sz w:val="13"/>
        </w:rPr>
        <w:t>Air Force Office of Special Investigations (AFOSI) is the lead USAF agency for collection, investigation, analysis, and response for threats arising from terrorists, criminal activity, foreign intelligence, and security services.</w:t>
      </w:r>
    </w:p>
    <w:p>
      <w:pPr>
        <w:spacing w:after="20" w:line="223" w:lineRule="auto"/>
        <w:jc w:val="right"/>
        <w:bidi/>
      </w:pPr>
      <w:r>
        <w:rPr>
          <w:rFonts w:ascii="Arial" w:hAnsi="Arial"/>
          <w:sz w:val="16"/>
        </w:rPr>
        <w:t>341.08  AFOSI در درجه اول بر مقابله با فعالیت‌های جمع‌آوری اطلاعاتی دشمن علیه نیروهای مسلح ایالات متحده متمرکز است و به‌عنوان نقطه تماس واحد USAF با مجری قانون، ضدجاسوسی و آژانس‌های امنیتی فدرال، ایالتی، محلی و کشورهای خارجی عمل می‌کند.</w:t>
      </w:r>
    </w:p>
    <w:p>
      <w:pPr>
        <w:spacing w:after="28" w:line="216" w:lineRule="auto"/>
        <w:ind w:left="259"/>
        <w:jc w:val="left"/>
      </w:pPr>
      <w:r>
        <w:rPr>
          <w:rFonts w:ascii="Arial" w:hAnsi="Arial"/>
          <w:color w:val="525252"/>
          <w:sz w:val="13"/>
        </w:rPr>
        <w:t>AFOSI is primarily focused on countering adversary intelligence collection activities against U.S. Armed Forces and will act as the USAF single point of contact with federal, state, local, and foreign nation law enforcement, counterintelligence, and security agencies.</w:t>
      </w:r>
    </w:p>
    <w:p>
      <w:pPr>
        <w:spacing w:after="20" w:line="223" w:lineRule="auto"/>
        <w:jc w:val="right"/>
        <w:bidi/>
      </w:pPr>
      <w:r>
        <w:rPr>
          <w:rFonts w:ascii="Arial" w:hAnsi="Arial"/>
          <w:sz w:val="16"/>
        </w:rPr>
        <w:t>341.09  فرماندهان.</w:t>
      </w:r>
    </w:p>
    <w:p>
      <w:pPr>
        <w:spacing w:after="28" w:line="216" w:lineRule="auto"/>
        <w:ind w:left="259"/>
        <w:jc w:val="left"/>
      </w:pPr>
      <w:r>
        <w:rPr>
          <w:rFonts w:ascii="Arial" w:hAnsi="Arial"/>
          <w:color w:val="525252"/>
          <w:sz w:val="13"/>
        </w:rPr>
        <w:t>Commanders.</w:t>
      </w:r>
    </w:p>
    <w:p>
      <w:pPr>
        <w:spacing w:after="20" w:line="223" w:lineRule="auto"/>
        <w:jc w:val="right"/>
        <w:bidi/>
      </w:pPr>
      <w:r>
        <w:rPr>
          <w:rFonts w:ascii="Arial" w:hAnsi="Arial"/>
          <w:sz w:val="16"/>
        </w:rPr>
        <w:t>341.10  فرماندهان در تمام سطوحی که تهدید را درک می‌کنند، می‌توانند توانایی خود را برای جلوگیری، بقا و آماده شدن برای پاسخ به حمله ارزیابی کنند.</w:t>
      </w:r>
    </w:p>
    <w:p>
      <w:pPr>
        <w:spacing w:after="28" w:line="216" w:lineRule="auto"/>
        <w:ind w:left="259"/>
        <w:jc w:val="left"/>
      </w:pPr>
      <w:r>
        <w:rPr>
          <w:rFonts w:ascii="Arial" w:hAnsi="Arial"/>
          <w:color w:val="525252"/>
          <w:sz w:val="13"/>
        </w:rPr>
        <w:t>Commanders at all levels who understand the threat can assess their ability to prevent, survive, and prepare to respond to an attack.</w:t>
      </w:r>
    </w:p>
    <w:p>
      <w:pPr>
        <w:spacing w:after="20" w:line="223" w:lineRule="auto"/>
        <w:jc w:val="right"/>
        <w:bidi/>
      </w:pPr>
      <w:r>
        <w:rPr>
          <w:rFonts w:ascii="Arial" w:hAnsi="Arial"/>
          <w:sz w:val="16"/>
        </w:rPr>
        <w:t>341.11  ارزیابی تهدید تروریسم مستلزم شناسایی طیف کاملی از قابلیت‌های تهدید تروریستی شناخته شده یا تخمین زده شده است (شامل استفاده یا تهدید به استفاده از مواد منفجره و سلاح‌های کشتار جمعی شیمیایی، بیولوژیکی، رادیولوژیکی، هسته‌ای یا پربازده).</w:t>
      </w:r>
    </w:p>
    <w:p>
      <w:pPr>
        <w:spacing w:after="28" w:line="216" w:lineRule="auto"/>
        <w:ind w:left="259"/>
        <w:jc w:val="left"/>
      </w:pPr>
      <w:r>
        <w:rPr>
          <w:rFonts w:ascii="Arial" w:hAnsi="Arial"/>
          <w:color w:val="525252"/>
          <w:sz w:val="13"/>
        </w:rPr>
        <w:t>A terrorism threat assessment requires the identification of a full range of known or estimated terrorist threat capabilities (including the use or threat of use of chemical, biological, radiological, nuclear, or high-yield explosives and weapons of mass destruction).</w:t>
      </w:r>
    </w:p>
    <w:p>
      <w:pPr>
        <w:spacing w:after="20" w:line="223" w:lineRule="auto"/>
        <w:jc w:val="right"/>
        <w:bidi/>
      </w:pPr>
      <w:r>
        <w:rPr>
          <w:rFonts w:ascii="Arial" w:hAnsi="Arial"/>
          <w:sz w:val="16"/>
        </w:rPr>
        <w:t>341.12  علاوه بر وظیفه سازمان‌های مربوطه برای جمع‌آوری اطلاعات، فرماندهان در همه سطوح باید پرسنل تحت فرمان خود را تشویق کنند تا اطلاعات مربوط به افراد، رویدادها یا موقعیت‌هایی را که می‌تواند تهدیدی برای امنیت پرسنل، خانواده‌ها، امکانات و منابع وزارت دفاع باشد، گزارش دهند.</w:t>
      </w:r>
    </w:p>
    <w:p>
      <w:pPr>
        <w:spacing w:after="28" w:line="216" w:lineRule="auto"/>
        <w:ind w:left="259"/>
        <w:jc w:val="left"/>
      </w:pPr>
      <w:r>
        <w:rPr>
          <w:rFonts w:ascii="Arial" w:hAnsi="Arial"/>
          <w:color w:val="525252"/>
          <w:sz w:val="13"/>
        </w:rPr>
        <w:t>In addition to tasking appropriate agencies to collect information, commanders at all levels should encourage personnel under their command to report information on individuals, events, or situations that could pose a threat to the security of Department of Defense personnel, families, facilities, and resources.</w:t>
      </w:r>
    </w:p>
    <w:p>
      <w:pPr>
        <w:spacing w:after="20" w:line="223" w:lineRule="auto"/>
        <w:jc w:val="right"/>
        <w:bidi/>
      </w:pPr>
      <w:r>
        <w:rPr>
          <w:rFonts w:ascii="Arial" w:hAnsi="Arial"/>
          <w:sz w:val="16"/>
        </w:rPr>
        <w:t>341.13  آموزش ضد تروریسم.</w:t>
      </w:r>
    </w:p>
    <w:p>
      <w:pPr>
        <w:spacing w:after="28" w:line="216" w:lineRule="auto"/>
        <w:ind w:left="259"/>
        <w:jc w:val="left"/>
      </w:pPr>
      <w:r>
        <w:rPr>
          <w:rFonts w:ascii="Arial" w:hAnsi="Arial"/>
          <w:color w:val="525252"/>
          <w:sz w:val="13"/>
        </w:rPr>
        <w:t>Antiterrorism Training.</w:t>
      </w:r>
    </w:p>
    <w:p>
      <w:pPr>
        <w:spacing w:after="20" w:line="223" w:lineRule="auto"/>
        <w:jc w:val="right"/>
        <w:bidi/>
      </w:pPr>
      <w:r>
        <w:rPr>
          <w:rFonts w:ascii="Arial" w:hAnsi="Arial"/>
          <w:sz w:val="16"/>
        </w:rPr>
        <w:t>341.14  حداقل سالیانه، فرماندهان آموزش‌های میدانی و کارکنان جامعی را برای اجرای طرح‌های ضد تروریسم، شامل اقدامات امنیتی فیزیکی ضد تروریسم، تداوم عملیات، مدیریت ریسک دارایی‌های حیاتی، و برنامه‌های مدیریت اضطراری انجام می‌دهند.</w:t>
      </w:r>
    </w:p>
    <w:p>
      <w:pPr>
        <w:spacing w:after="28" w:line="216" w:lineRule="auto"/>
        <w:ind w:left="259"/>
        <w:jc w:val="left"/>
      </w:pPr>
      <w:r>
        <w:rPr>
          <w:rFonts w:ascii="Arial" w:hAnsi="Arial"/>
          <w:color w:val="525252"/>
          <w:sz w:val="13"/>
        </w:rPr>
        <w:t>At least annually, commanders conduct comprehensive field and staff training to exercise antiterrorism plans, to include antiterrorism physical security measures, continuity of operations, critical asset risk management, and emergency management plans.</w:t>
      </w:r>
    </w:p>
    <w:p>
      <w:pPr>
        <w:spacing w:after="20" w:line="223" w:lineRule="auto"/>
        <w:jc w:val="right"/>
        <w:bidi/>
      </w:pPr>
      <w:r>
        <w:rPr>
          <w:rFonts w:ascii="Arial" w:hAnsi="Arial"/>
          <w:sz w:val="16"/>
        </w:rPr>
        <w:t>341.15  آموزش ضد تروریسم باید شامل سناریوهای تروریستی خاص محل باشد و بر اساس تاکتیک‌ها، تکنیک‌ها، رویه‌ها و درس‌های آموخته شده دشمن باشد.</w:t>
      </w:r>
    </w:p>
    <w:p>
      <w:pPr>
        <w:spacing w:after="28" w:line="216" w:lineRule="auto"/>
        <w:ind w:left="259"/>
        <w:jc w:val="left"/>
      </w:pPr>
      <w:r>
        <w:rPr>
          <w:rFonts w:ascii="Arial" w:hAnsi="Arial"/>
          <w:color w:val="525252"/>
          <w:sz w:val="13"/>
        </w:rPr>
        <w:t>Antiterrorism training should include terrorism scenarios specific to the location and be based on current enemy tactics, techniques, procedures, and lessons learned.</w:t>
      </w:r>
    </w:p>
    <w:p>
      <w:pPr>
        <w:spacing w:after="20" w:line="223" w:lineRule="auto"/>
        <w:jc w:val="right"/>
        <w:bidi/>
      </w:pPr>
      <w:r>
        <w:rPr>
          <w:rFonts w:ascii="Arial" w:hAnsi="Arial"/>
          <w:sz w:val="16"/>
        </w:rPr>
        <w:t>341.16  به‌علاوه، اقدامات "چارلی" از طریق شرایط حفاظت نیرو، خط پایه فعلی باید سالانه در تاسیسات و تاسیسات جداگانه خودپشتیبانی اعمال شود.</w:t>
      </w:r>
    </w:p>
    <w:p>
      <w:pPr>
        <w:spacing w:after="28" w:line="216" w:lineRule="auto"/>
        <w:ind w:left="259"/>
        <w:jc w:val="left"/>
      </w:pPr>
      <w:r>
        <w:rPr>
          <w:rFonts w:ascii="Arial" w:hAnsi="Arial"/>
          <w:color w:val="525252"/>
          <w:sz w:val="13"/>
        </w:rPr>
        <w:t>Additionally, the current baseline through force protection condition ‘Charlie’ measures shall be exercised annually at installations and self-supported separate facilities.</w:t>
      </w:r>
    </w:p>
    <w:p>
      <w:pPr>
        <w:spacing w:after="20" w:line="223" w:lineRule="auto"/>
        <w:jc w:val="right"/>
        <w:bidi/>
      </w:pPr>
      <w:r>
        <w:rPr>
          <w:rFonts w:ascii="Arial" w:hAnsi="Arial"/>
          <w:sz w:val="16"/>
        </w:rPr>
        <w:t>341.17  برنامه اقدامات تصادفی ضد تروریسم فرماندهان نصب باید یک برنامه اقدامات تصادفی ضد تروریسم را ایجاد و اجرا کنند که شامل تمام واحدهای نصب شده باشد.</w:t>
      </w:r>
    </w:p>
    <w:p>
      <w:pPr>
        <w:spacing w:after="28" w:line="216" w:lineRule="auto"/>
        <w:ind w:left="259"/>
        <w:jc w:val="left"/>
      </w:pPr>
      <w:r>
        <w:rPr>
          <w:rFonts w:ascii="Arial" w:hAnsi="Arial"/>
          <w:color w:val="525252"/>
          <w:sz w:val="13"/>
        </w:rPr>
        <w:t>Random Antiterrorism Measures Program Installation commanders shall develop and implement a random antiterrorism measures program that will include all units on the installation.</w:t>
      </w:r>
    </w:p>
    <w:p>
      <w:pPr>
        <w:spacing w:after="20" w:line="223" w:lineRule="auto"/>
        <w:jc w:val="right"/>
        <w:bidi/>
      </w:pPr>
      <w:r>
        <w:rPr>
          <w:rFonts w:ascii="Arial" w:hAnsi="Arial"/>
          <w:sz w:val="16"/>
        </w:rPr>
        <w:t>341.18  هدف این برنامه ارائه اقدامات امنیتی تصادفی و چندگانه است که به‌طور مداوم ظاهر برنامه ضد تروریستی یک تاسیسات را تغییر می‌دهد.</w:t>
      </w:r>
    </w:p>
    <w:p>
      <w:pPr>
        <w:spacing w:after="28" w:line="216" w:lineRule="auto"/>
        <w:ind w:left="259"/>
        <w:jc w:val="left"/>
      </w:pPr>
      <w:r>
        <w:rPr>
          <w:rFonts w:ascii="Arial" w:hAnsi="Arial"/>
          <w:color w:val="525252"/>
          <w:sz w:val="13"/>
        </w:rPr>
        <w:t>The intent of the program is to provide random, multiple security measures that consistently change the look of an installation’s antiterrorism program.</w:t>
      </w:r>
    </w:p>
    <w:p>
      <w:pPr>
        <w:spacing w:after="20" w:line="223" w:lineRule="auto"/>
        <w:jc w:val="right"/>
        <w:bidi/>
      </w:pPr>
      <w:r>
        <w:rPr>
          <w:rFonts w:ascii="Arial" w:hAnsi="Arial"/>
          <w:sz w:val="16"/>
        </w:rPr>
        <w:t>341.19  اقدامات ضد تروریسم تصادفی، عدم قطعیت را در برنامه کلی حفاظت نیروی یک تاسیسات ایجاد می‌کند تا تلاش‌های نظارتی را شکست دهد و اقدامات ضدتروریسم تصادفی را برای یک تروریست برای پیش‌بینی دقیق اقدامات ما دشوار کند.</w:t>
      </w:r>
    </w:p>
    <w:p>
      <w:pPr>
        <w:spacing w:after="28" w:line="216" w:lineRule="auto"/>
        <w:ind w:left="259"/>
        <w:jc w:val="left"/>
      </w:pPr>
      <w:r>
        <w:rPr>
          <w:rFonts w:ascii="Arial" w:hAnsi="Arial"/>
          <w:color w:val="525252"/>
          <w:sz w:val="13"/>
        </w:rPr>
        <w:t>Random antiterrorism measures introduce uncertainty to an installation’s overall force protection program to defeat surveillance attempts and to make random antiterrorism measures difficult for a terrorist to accurately predict our actions.</w:t>
      </w:r>
    </w:p>
    <w:p>
      <w:pPr>
        <w:spacing w:after="20" w:line="223" w:lineRule="auto"/>
        <w:jc w:val="right"/>
        <w:bidi/>
      </w:pPr>
      <w:r>
        <w:rPr>
          <w:rFonts w:ascii="Arial" w:hAnsi="Arial"/>
          <w:sz w:val="16"/>
        </w:rPr>
        <w:t>341.20  این برنامه باید در طرح‌های ضد تروریسم گنجانده شود</w:t>
      </w:r>
    </w:p>
    <w:p>
      <w:pPr>
        <w:spacing w:after="28" w:line="216" w:lineRule="auto"/>
        <w:ind w:left="259"/>
        <w:jc w:val="left"/>
      </w:pPr>
      <w:r>
        <w:rPr>
          <w:rFonts w:ascii="Arial" w:hAnsi="Arial"/>
          <w:color w:val="525252"/>
          <w:sz w:val="13"/>
        </w:rPr>
        <w:t>The program shall be included in antiterrorism plans and</w:t>
      </w:r>
    </w:p>
    <w:p>
      <w:r>
        <w:br w:type="page"/>
      </w:r>
    </w:p>
    <w:p>
      <w:pPr>
        <w:spacing w:after="60"/>
        <w:jc w:val="right"/>
        <w:bidi/>
      </w:pPr>
      <w:r>
        <w:rPr>
          <w:rFonts w:ascii="Arial" w:hAnsi="Arial"/>
          <w:b/>
          <w:color w:val="1F4D78"/>
          <w:sz w:val="19"/>
        </w:rPr>
        <w:t>هفتهٔ 342  |  صفحهٔ منبع: 358</w:t>
      </w:r>
    </w:p>
    <w:p>
      <w:pPr>
        <w:spacing w:after="20" w:line="223" w:lineRule="auto"/>
        <w:jc w:val="right"/>
        <w:bidi/>
      </w:pPr>
      <w:r>
        <w:rPr>
          <w:rFonts w:ascii="Arial" w:hAnsi="Arial"/>
          <w:sz w:val="16"/>
        </w:rPr>
        <w:t>342.01  مستقیما با تمام شرایط حفاظت از نیرو، از جمله شرایط حفاظت از نیرو "عادی"، برای اطمینان از تداوم و استانداردسازی، در صورتی که تهدیدها به اجرای گسترده USAF نیاز داشته باشند، مرتبط است.</w:t>
      </w:r>
    </w:p>
    <w:p>
      <w:pPr>
        <w:spacing w:after="28" w:line="216" w:lineRule="auto"/>
        <w:ind w:left="259"/>
        <w:jc w:val="left"/>
      </w:pPr>
      <w:r>
        <w:rPr>
          <w:rFonts w:ascii="Arial" w:hAnsi="Arial"/>
          <w:color w:val="525252"/>
          <w:sz w:val="13"/>
        </w:rPr>
        <w:t>tie directly with all force protection conditions, including force protection condition ‘normal’, to ensure continuity and standardization, should threats require USAF-wide implementation.</w:t>
      </w:r>
    </w:p>
    <w:p>
      <w:pPr>
        <w:spacing w:after="20" w:line="223" w:lineRule="auto"/>
        <w:jc w:val="right"/>
        <w:bidi/>
      </w:pPr>
      <w:r>
        <w:rPr>
          <w:rFonts w:ascii="Arial" w:hAnsi="Arial"/>
          <w:sz w:val="16"/>
        </w:rPr>
        <w:t>342.02  زمان اجرا، مکان و مدت اقدامات تصادفی ضد تروریسم باید به‌طور منظم تغییر کند تا از قابلیت پیش‌بینی جلوگیری شود.</w:t>
      </w:r>
    </w:p>
    <w:p>
      <w:pPr>
        <w:spacing w:after="28" w:line="216" w:lineRule="auto"/>
        <w:ind w:left="259"/>
        <w:jc w:val="left"/>
      </w:pPr>
      <w:r>
        <w:rPr>
          <w:rFonts w:ascii="Arial" w:hAnsi="Arial"/>
          <w:color w:val="525252"/>
          <w:sz w:val="13"/>
        </w:rPr>
        <w:t>Times for implementation, location, and duration of random antiterrorism measures shall be regularly changed to avoid predictability.</w:t>
      </w:r>
    </w:p>
    <w:p>
      <w:pPr>
        <w:spacing w:after="20" w:line="223" w:lineRule="auto"/>
        <w:jc w:val="right"/>
        <w:bidi/>
      </w:pPr>
      <w:r>
        <w:rPr>
          <w:rFonts w:ascii="Arial" w:hAnsi="Arial"/>
          <w:sz w:val="16"/>
        </w:rPr>
        <w:t>342.03  اجرای اقدامات تصادفی ضد تروریسم باید مبتنی بر گستردگی بوده و تمامی واحدها و پرسنل را شامل شود.</w:t>
      </w:r>
    </w:p>
    <w:p>
      <w:pPr>
        <w:spacing w:after="28" w:line="216" w:lineRule="auto"/>
        <w:ind w:left="259"/>
        <w:jc w:val="left"/>
      </w:pPr>
      <w:r>
        <w:rPr>
          <w:rFonts w:ascii="Arial" w:hAnsi="Arial"/>
          <w:color w:val="525252"/>
          <w:sz w:val="13"/>
        </w:rPr>
        <w:t>Execution of random antiterrorism measures shall be broad based and involve all units and personnel.</w:t>
      </w:r>
    </w:p>
    <w:p>
      <w:pPr>
        <w:spacing w:before="60" w:after="28"/>
        <w:jc w:val="right"/>
        <w:bidi/>
      </w:pPr>
      <w:r>
        <w:rPr>
          <w:b/>
          <w:color w:val="1F4D78"/>
          <w:sz w:val="18"/>
        </w:rPr>
        <w:t>18.25. امنیت حمل و نقل زمینی</w:t>
      </w:r>
    </w:p>
    <w:p>
      <w:pPr>
        <w:spacing w:after="20"/>
        <w:ind w:left="259"/>
        <w:jc w:val="left"/>
      </w:pPr>
      <w:r>
        <w:rPr>
          <w:color w:val="555555"/>
          <w:sz w:val="12"/>
        </w:rPr>
        <w:t>18.25. Ground Transportation Security</w:t>
      </w:r>
    </w:p>
    <w:p>
      <w:pPr>
        <w:spacing w:after="20" w:line="223" w:lineRule="auto"/>
        <w:jc w:val="right"/>
        <w:bidi/>
      </w:pPr>
      <w:r>
        <w:rPr>
          <w:rFonts w:ascii="Arial" w:hAnsi="Arial"/>
          <w:sz w:val="16"/>
        </w:rPr>
        <w:t>342.05  اعمال جنایی و تروریستی علیه افراد معمولا در خارج از خانه و پس از ایجاد عادات قربانی اتفاق می‌افتد.</w:t>
      </w:r>
    </w:p>
    <w:p>
      <w:pPr>
        <w:spacing w:after="28" w:line="216" w:lineRule="auto"/>
        <w:ind w:left="259"/>
        <w:jc w:val="left"/>
      </w:pPr>
      <w:r>
        <w:rPr>
          <w:rFonts w:ascii="Arial" w:hAnsi="Arial"/>
          <w:color w:val="525252"/>
          <w:sz w:val="13"/>
        </w:rPr>
        <w:t>Criminal and terrorist acts against individuals usually occur outside the home and after the victim’s habits have been established.</w:t>
      </w:r>
    </w:p>
    <w:p>
      <w:pPr>
        <w:spacing w:after="20" w:line="223" w:lineRule="auto"/>
        <w:jc w:val="right"/>
        <w:bidi/>
      </w:pPr>
      <w:r>
        <w:rPr>
          <w:rFonts w:ascii="Arial" w:hAnsi="Arial"/>
          <w:sz w:val="16"/>
        </w:rPr>
        <w:t>342.06  قابل پیش بینی‌ترین عادت شما مسیری است که به‌طور منظم طی می‌کنید.</w:t>
      </w:r>
    </w:p>
    <w:p>
      <w:pPr>
        <w:spacing w:after="28" w:line="216" w:lineRule="auto"/>
        <w:ind w:left="259"/>
        <w:jc w:val="left"/>
      </w:pPr>
      <w:r>
        <w:rPr>
          <w:rFonts w:ascii="Arial" w:hAnsi="Arial"/>
          <w:color w:val="525252"/>
          <w:sz w:val="13"/>
        </w:rPr>
        <w:t>Your most predictable habit is the route you travel on a regular basis.</w:t>
      </w:r>
    </w:p>
    <w:p>
      <w:pPr>
        <w:spacing w:after="20" w:line="223" w:lineRule="auto"/>
        <w:jc w:val="right"/>
        <w:bidi/>
      </w:pPr>
      <w:r>
        <w:rPr>
          <w:rFonts w:ascii="Arial" w:hAnsi="Arial"/>
          <w:sz w:val="16"/>
        </w:rPr>
        <w:t>342.07  همیشه اثر انگشت، لک، یا دستکاری داخل و بیرون خودرو از جمله لاستیک‌ها و صندوق عقب را بررسی کنید.</w:t>
      </w:r>
    </w:p>
    <w:p>
      <w:pPr>
        <w:spacing w:after="28" w:line="216" w:lineRule="auto"/>
        <w:ind w:left="259"/>
        <w:jc w:val="left"/>
      </w:pPr>
      <w:r>
        <w:rPr>
          <w:rFonts w:ascii="Arial" w:hAnsi="Arial"/>
          <w:color w:val="525252"/>
          <w:sz w:val="13"/>
        </w:rPr>
        <w:t>Always check for fingerprints, smudges, or tampering of the interior and exterior of your vehicle, including the tires and trunk.</w:t>
      </w:r>
    </w:p>
    <w:p>
      <w:pPr>
        <w:spacing w:after="20" w:line="223" w:lineRule="auto"/>
        <w:jc w:val="right"/>
        <w:bidi/>
      </w:pPr>
      <w:r>
        <w:rPr>
          <w:rFonts w:ascii="Arial" w:hAnsi="Arial"/>
          <w:sz w:val="16"/>
        </w:rPr>
        <w:t>342.08  اگر چیزی غیرعادی تشخیص دادید، به چیزی دست نزنید.</w:t>
      </w:r>
    </w:p>
    <w:p>
      <w:pPr>
        <w:spacing w:after="28" w:line="216" w:lineRule="auto"/>
        <w:ind w:left="259"/>
        <w:jc w:val="left"/>
      </w:pPr>
      <w:r>
        <w:rPr>
          <w:rFonts w:ascii="Arial" w:hAnsi="Arial"/>
          <w:color w:val="525252"/>
          <w:sz w:val="13"/>
        </w:rPr>
        <w:t>If you detect something out of the ordinary, do not touch anything.</w:t>
      </w:r>
    </w:p>
    <w:p>
      <w:pPr>
        <w:spacing w:after="20" w:line="223" w:lineRule="auto"/>
        <w:jc w:val="right"/>
        <w:bidi/>
      </w:pPr>
      <w:r>
        <w:rPr>
          <w:rFonts w:ascii="Arial" w:hAnsi="Arial"/>
          <w:sz w:val="16"/>
        </w:rPr>
        <w:t>342.09  فورا با مقامات محلی تماس بگیرید.</w:t>
      </w:r>
    </w:p>
    <w:p>
      <w:pPr>
        <w:spacing w:after="28" w:line="216" w:lineRule="auto"/>
        <w:ind w:left="259"/>
        <w:jc w:val="left"/>
      </w:pPr>
      <w:r>
        <w:rPr>
          <w:rFonts w:ascii="Arial" w:hAnsi="Arial"/>
          <w:color w:val="525252"/>
          <w:sz w:val="13"/>
        </w:rPr>
        <w:t>Immediately contact the local authorities.</w:t>
      </w:r>
    </w:p>
    <w:p>
      <w:pPr>
        <w:spacing w:after="20" w:line="223" w:lineRule="auto"/>
        <w:jc w:val="right"/>
        <w:bidi/>
      </w:pPr>
      <w:r>
        <w:rPr>
          <w:rFonts w:ascii="Arial" w:hAnsi="Arial"/>
          <w:sz w:val="16"/>
        </w:rPr>
        <w:t>342.10  وقتی خارج از کشور هستید، با یک همراه سفر کنید.</w:t>
      </w:r>
    </w:p>
    <w:p>
      <w:pPr>
        <w:spacing w:after="28" w:line="216" w:lineRule="auto"/>
        <w:ind w:left="259"/>
        <w:jc w:val="left"/>
      </w:pPr>
      <w:r>
        <w:rPr>
          <w:rFonts w:ascii="Arial" w:hAnsi="Arial"/>
          <w:color w:val="525252"/>
          <w:sz w:val="13"/>
        </w:rPr>
        <w:t>When overseas, travel with a companion.</w:t>
      </w:r>
    </w:p>
    <w:p>
      <w:pPr>
        <w:spacing w:after="20" w:line="223" w:lineRule="auto"/>
        <w:jc w:val="right"/>
        <w:bidi/>
      </w:pPr>
      <w:r>
        <w:rPr>
          <w:rFonts w:ascii="Arial" w:hAnsi="Arial"/>
          <w:sz w:val="16"/>
        </w:rPr>
        <w:t>342.11  یک ماشین ساده انتخاب کنید و در صورت امکان از استفاده از وسایل نقلیه دولتی خودداری کنید.</w:t>
      </w:r>
    </w:p>
    <w:p>
      <w:pPr>
        <w:spacing w:after="28" w:line="216" w:lineRule="auto"/>
        <w:ind w:left="259"/>
        <w:jc w:val="left"/>
      </w:pPr>
      <w:r>
        <w:rPr>
          <w:rFonts w:ascii="Arial" w:hAnsi="Arial"/>
          <w:color w:val="525252"/>
          <w:sz w:val="13"/>
        </w:rPr>
        <w:t>Select a plain car and avoid using government vehicles, when possible.</w:t>
      </w:r>
    </w:p>
    <w:p>
      <w:pPr>
        <w:spacing w:after="20" w:line="223" w:lineRule="auto"/>
        <w:jc w:val="right"/>
        <w:bidi/>
      </w:pPr>
      <w:r>
        <w:rPr>
          <w:rFonts w:ascii="Arial" w:hAnsi="Arial"/>
          <w:sz w:val="16"/>
        </w:rPr>
        <w:t>342.12  تجهیزات نظامی یا عکس برگردان‌های وابسته به ارتش را آشکارا نمایش ندهید.</w:t>
      </w:r>
    </w:p>
    <w:p>
      <w:pPr>
        <w:spacing w:after="28" w:line="216" w:lineRule="auto"/>
        <w:ind w:left="259"/>
        <w:jc w:val="left"/>
      </w:pPr>
      <w:r>
        <w:rPr>
          <w:rFonts w:ascii="Arial" w:hAnsi="Arial"/>
          <w:color w:val="525252"/>
          <w:sz w:val="13"/>
        </w:rPr>
        <w:t>Do not openly display military equipment or decals with military affiliations.</w:t>
      </w:r>
    </w:p>
    <w:p>
      <w:pPr>
        <w:spacing w:after="20" w:line="223" w:lineRule="auto"/>
        <w:jc w:val="right"/>
        <w:bidi/>
      </w:pPr>
      <w:r>
        <w:rPr>
          <w:rFonts w:ascii="Arial" w:hAnsi="Arial"/>
          <w:sz w:val="16"/>
        </w:rPr>
        <w:t>342.13  درها را همیشه قفل نگه دارید.</w:t>
      </w:r>
    </w:p>
    <w:p>
      <w:pPr>
        <w:spacing w:after="28" w:line="216" w:lineRule="auto"/>
        <w:ind w:left="259"/>
        <w:jc w:val="left"/>
      </w:pPr>
      <w:r>
        <w:rPr>
          <w:rFonts w:ascii="Arial" w:hAnsi="Arial"/>
          <w:color w:val="525252"/>
          <w:sz w:val="13"/>
        </w:rPr>
        <w:t>Keep doors locked at all times.</w:t>
      </w:r>
    </w:p>
    <w:p>
      <w:pPr>
        <w:spacing w:after="20" w:line="223" w:lineRule="auto"/>
        <w:jc w:val="right"/>
        <w:bidi/>
      </w:pPr>
      <w:r>
        <w:rPr>
          <w:rFonts w:ascii="Arial" w:hAnsi="Arial"/>
          <w:sz w:val="16"/>
        </w:rPr>
        <w:t>342.14  اجازه ندهید کسی که نمی‌شناسید شما را به سمت تاکسی خاصی راهنمایی کند.</w:t>
      </w:r>
    </w:p>
    <w:p>
      <w:pPr>
        <w:spacing w:after="28" w:line="216" w:lineRule="auto"/>
        <w:ind w:left="259"/>
        <w:jc w:val="left"/>
      </w:pPr>
      <w:r>
        <w:rPr>
          <w:rFonts w:ascii="Arial" w:hAnsi="Arial"/>
          <w:color w:val="525252"/>
          <w:sz w:val="13"/>
        </w:rPr>
        <w:t>Do not let someone you do not know direct you to a specific taxi.</w:t>
      </w:r>
    </w:p>
    <w:p>
      <w:pPr>
        <w:spacing w:after="20" w:line="223" w:lineRule="auto"/>
        <w:jc w:val="right"/>
        <w:bidi/>
      </w:pPr>
      <w:r>
        <w:rPr>
          <w:rFonts w:ascii="Arial" w:hAnsi="Arial"/>
          <w:sz w:val="16"/>
        </w:rPr>
        <w:t>342.15  مطمئن شوید که تاکسی‌ها دارای مجوز و تجهیزات ایمنی هستند (کمربند ایمنی حداقل).</w:t>
      </w:r>
    </w:p>
    <w:p>
      <w:pPr>
        <w:spacing w:after="28" w:line="216" w:lineRule="auto"/>
        <w:ind w:left="259"/>
        <w:jc w:val="left"/>
      </w:pPr>
      <w:r>
        <w:rPr>
          <w:rFonts w:ascii="Arial" w:hAnsi="Arial"/>
          <w:color w:val="525252"/>
          <w:sz w:val="13"/>
        </w:rPr>
        <w:t>Ensure taxis are licensed and have safety equipment (seat belts at a minimum).</w:t>
      </w:r>
    </w:p>
    <w:p>
      <w:pPr>
        <w:spacing w:after="20" w:line="223" w:lineRule="auto"/>
        <w:jc w:val="right"/>
        <w:bidi/>
      </w:pPr>
      <w:r>
        <w:rPr>
          <w:rFonts w:ascii="Arial" w:hAnsi="Arial"/>
          <w:sz w:val="16"/>
        </w:rPr>
        <w:t>342.16  مطمئن شوید که چهره راننده تاکسی و تصویر روی گواهینامه یکسان است.</w:t>
      </w:r>
    </w:p>
    <w:p>
      <w:pPr>
        <w:spacing w:after="28" w:line="216" w:lineRule="auto"/>
        <w:ind w:left="259"/>
        <w:jc w:val="left"/>
      </w:pPr>
      <w:r>
        <w:rPr>
          <w:rFonts w:ascii="Arial" w:hAnsi="Arial"/>
          <w:color w:val="525252"/>
          <w:sz w:val="13"/>
        </w:rPr>
        <w:t>Ensure that the face of the taxi driver and the picture on the license are the same.</w:t>
      </w:r>
    </w:p>
    <w:p>
      <w:pPr>
        <w:spacing w:before="60" w:after="28"/>
        <w:jc w:val="right"/>
        <w:bidi/>
      </w:pPr>
      <w:r>
        <w:rPr>
          <w:b/>
          <w:color w:val="1F4D78"/>
          <w:sz w:val="18"/>
        </w:rPr>
        <w:t>18.26. امنیت حمل و نقل هوایی تجاری در خارج از کشور</w:t>
      </w:r>
    </w:p>
    <w:p>
      <w:pPr>
        <w:spacing w:after="20"/>
        <w:ind w:left="259"/>
        <w:jc w:val="left"/>
      </w:pPr>
      <w:r>
        <w:rPr>
          <w:color w:val="555555"/>
          <w:sz w:val="12"/>
        </w:rPr>
        <w:t>18.26. Commercial Air Transportation Security Overseas</w:t>
      </w:r>
    </w:p>
    <w:p>
      <w:pPr>
        <w:spacing w:after="20" w:line="223" w:lineRule="auto"/>
        <w:jc w:val="right"/>
        <w:bidi/>
      </w:pPr>
      <w:r>
        <w:rPr>
          <w:rFonts w:ascii="Arial" w:hAnsi="Arial"/>
          <w:sz w:val="16"/>
        </w:rPr>
        <w:t>342.18  قبل از سفر به خارج از کشور، با راهنمای ترخیص خارجی مشورت کنید تا مطمئن شوید که تمام شرایط لازم برای سفر به یک کشور خاص را دارید.</w:t>
      </w:r>
    </w:p>
    <w:p>
      <w:pPr>
        <w:spacing w:after="28" w:line="216" w:lineRule="auto"/>
        <w:ind w:left="259"/>
        <w:jc w:val="left"/>
      </w:pPr>
      <w:r>
        <w:rPr>
          <w:rFonts w:ascii="Arial" w:hAnsi="Arial"/>
          <w:color w:val="525252"/>
          <w:sz w:val="13"/>
        </w:rPr>
        <w:t>Before traveling overseas, consult the Foreign Clearance Guide to ensure you meet all requirements for travel to a particular country.</w:t>
      </w:r>
    </w:p>
    <w:p>
      <w:pPr>
        <w:spacing w:after="20" w:line="223" w:lineRule="auto"/>
        <w:jc w:val="right"/>
        <w:bidi/>
      </w:pPr>
      <w:r>
        <w:rPr>
          <w:rFonts w:ascii="Arial" w:hAnsi="Arial"/>
          <w:sz w:val="16"/>
        </w:rPr>
        <w:t>342.19  ظرف سه ماه قبل از سفر به خارج از کشور، از افسر امنیتی، افسران ضد تروریسم، یا سازمان ضد جاسوسی یا امنیتی مناسب، گزارش تهدید مربوط به "منطقه مسئولیت" مورد نیاز را دریافت کنید.</w:t>
      </w:r>
    </w:p>
    <w:p>
      <w:pPr>
        <w:spacing w:after="28" w:line="216" w:lineRule="auto"/>
        <w:ind w:left="259"/>
        <w:jc w:val="left"/>
      </w:pPr>
      <w:r>
        <w:rPr>
          <w:rFonts w:ascii="Arial" w:hAnsi="Arial"/>
          <w:color w:val="525252"/>
          <w:sz w:val="13"/>
        </w:rPr>
        <w:t>Get the required ‘area of responsibility’ threat briefing from your security officer, antiterrorism officers, or the appropriate counterintelligence or security organization within three months prior to traveling overseas.</w:t>
      </w:r>
    </w:p>
    <w:p>
      <w:pPr>
        <w:spacing w:after="20" w:line="223" w:lineRule="auto"/>
        <w:jc w:val="right"/>
        <w:bidi/>
      </w:pPr>
      <w:r>
        <w:rPr>
          <w:rFonts w:ascii="Arial" w:hAnsi="Arial"/>
          <w:sz w:val="16"/>
        </w:rPr>
        <w:t>342.20  اگر کلمه توضیحات بیانگر موقعیت حساسی است از نمادهای اداری در اسناد سفر استفاده کنید.</w:t>
      </w:r>
    </w:p>
    <w:p>
      <w:pPr>
        <w:spacing w:after="28" w:line="216" w:lineRule="auto"/>
        <w:ind w:left="259"/>
        <w:jc w:val="left"/>
      </w:pPr>
      <w:r>
        <w:rPr>
          <w:rFonts w:ascii="Arial" w:hAnsi="Arial"/>
          <w:color w:val="525252"/>
          <w:sz w:val="13"/>
        </w:rPr>
        <w:t>Use office symbols on travel documents if the word description denotes a sensitive position.</w:t>
      </w:r>
    </w:p>
    <w:p>
      <w:pPr>
        <w:spacing w:after="20" w:line="223" w:lineRule="auto"/>
        <w:jc w:val="right"/>
        <w:bidi/>
      </w:pPr>
      <w:r>
        <w:rPr>
          <w:rFonts w:ascii="Arial" w:hAnsi="Arial"/>
          <w:sz w:val="16"/>
        </w:rPr>
        <w:t>342.21  از حامل‌های پرچم قراردادی نظامی استفاده کنید.</w:t>
      </w:r>
    </w:p>
    <w:p>
      <w:pPr>
        <w:spacing w:after="28" w:line="216" w:lineRule="auto"/>
        <w:ind w:left="259"/>
        <w:jc w:val="left"/>
      </w:pPr>
      <w:r>
        <w:rPr>
          <w:rFonts w:ascii="Arial" w:hAnsi="Arial"/>
          <w:color w:val="525252"/>
          <w:sz w:val="13"/>
        </w:rPr>
        <w:t>Use military contracted flag carriers.</w:t>
      </w:r>
    </w:p>
    <w:p>
      <w:pPr>
        <w:spacing w:after="20" w:line="223" w:lineRule="auto"/>
        <w:jc w:val="right"/>
        <w:bidi/>
      </w:pPr>
      <w:r>
        <w:rPr>
          <w:rFonts w:ascii="Arial" w:hAnsi="Arial"/>
          <w:sz w:val="16"/>
        </w:rPr>
        <w:t>342.22  از سفر در مناطق پرخطر خودداری کنید.</w:t>
      </w:r>
    </w:p>
    <w:p>
      <w:pPr>
        <w:spacing w:after="28" w:line="216" w:lineRule="auto"/>
        <w:ind w:left="259"/>
        <w:jc w:val="left"/>
      </w:pPr>
      <w:r>
        <w:rPr>
          <w:rFonts w:ascii="Arial" w:hAnsi="Arial"/>
          <w:color w:val="525252"/>
          <w:sz w:val="13"/>
        </w:rPr>
        <w:t>Avoid traveling through high-risk areas.</w:t>
      </w:r>
    </w:p>
    <w:p>
      <w:pPr>
        <w:spacing w:after="20" w:line="223" w:lineRule="auto"/>
        <w:jc w:val="right"/>
        <w:bidi/>
      </w:pPr>
      <w:r>
        <w:rPr>
          <w:rFonts w:ascii="Arial" w:hAnsi="Arial"/>
          <w:sz w:val="16"/>
        </w:rPr>
        <w:t>342.23  از نشانی درجه یا سربازی در بلیط استفاده نکنید.</w:t>
      </w:r>
    </w:p>
    <w:p>
      <w:pPr>
        <w:spacing w:after="28" w:line="216" w:lineRule="auto"/>
        <w:ind w:left="259"/>
        <w:jc w:val="left"/>
      </w:pPr>
      <w:r>
        <w:rPr>
          <w:rFonts w:ascii="Arial" w:hAnsi="Arial"/>
          <w:color w:val="525252"/>
          <w:sz w:val="13"/>
        </w:rPr>
        <w:t>Do not use rank or military address on tickets.</w:t>
      </w:r>
    </w:p>
    <w:p>
      <w:pPr>
        <w:spacing w:after="20" w:line="223" w:lineRule="auto"/>
        <w:jc w:val="right"/>
        <w:bidi/>
      </w:pPr>
      <w:r>
        <w:rPr>
          <w:rFonts w:ascii="Arial" w:hAnsi="Arial"/>
          <w:sz w:val="16"/>
        </w:rPr>
        <w:t>342.24  در مورد وابستگی نظامی بحث نکنید.</w:t>
      </w:r>
    </w:p>
    <w:p>
      <w:pPr>
        <w:spacing w:after="28" w:line="216" w:lineRule="auto"/>
        <w:ind w:left="259"/>
        <w:jc w:val="left"/>
      </w:pPr>
      <w:r>
        <w:rPr>
          <w:rFonts w:ascii="Arial" w:hAnsi="Arial"/>
          <w:color w:val="525252"/>
          <w:sz w:val="13"/>
        </w:rPr>
        <w:t>Do not discuss military affiliation.</w:t>
      </w:r>
    </w:p>
    <w:p>
      <w:pPr>
        <w:spacing w:after="20" w:line="223" w:lineRule="auto"/>
        <w:jc w:val="right"/>
        <w:bidi/>
      </w:pPr>
      <w:r>
        <w:rPr>
          <w:rFonts w:ascii="Arial" w:hAnsi="Arial"/>
          <w:sz w:val="16"/>
        </w:rPr>
        <w:t>342.25  دارای شناسه مناسب برای نشان دادن مقامات هواپیمایی و مهاجرت.</w:t>
      </w:r>
    </w:p>
    <w:p>
      <w:pPr>
        <w:spacing w:after="28" w:line="216" w:lineRule="auto"/>
        <w:ind w:left="259"/>
        <w:jc w:val="left"/>
      </w:pPr>
      <w:r>
        <w:rPr>
          <w:rFonts w:ascii="Arial" w:hAnsi="Arial"/>
          <w:color w:val="525252"/>
          <w:sz w:val="13"/>
        </w:rPr>
        <w:t>Have proper identification to show airline and immigration officials.</w:t>
      </w:r>
    </w:p>
    <w:p>
      <w:pPr>
        <w:spacing w:after="20" w:line="223" w:lineRule="auto"/>
        <w:jc w:val="right"/>
        <w:bidi/>
      </w:pPr>
      <w:r>
        <w:rPr>
          <w:rFonts w:ascii="Arial" w:hAnsi="Arial"/>
          <w:sz w:val="16"/>
        </w:rPr>
        <w:t>342.26  اسناد طبقه بندی شده همراه نداشته باشید مگر اینکه مأموریت کاملا ضروری باشد.</w:t>
      </w:r>
    </w:p>
    <w:p>
      <w:pPr>
        <w:spacing w:after="28" w:line="216" w:lineRule="auto"/>
        <w:ind w:left="259"/>
        <w:jc w:val="left"/>
      </w:pPr>
      <w:r>
        <w:rPr>
          <w:rFonts w:ascii="Arial" w:hAnsi="Arial"/>
          <w:color w:val="525252"/>
          <w:sz w:val="13"/>
        </w:rPr>
        <w:t>Do not carry classified documents unless absolutely mission essential.</w:t>
      </w:r>
    </w:p>
    <w:p>
      <w:pPr>
        <w:spacing w:after="20" w:line="223" w:lineRule="auto"/>
        <w:jc w:val="right"/>
        <w:bidi/>
      </w:pPr>
      <w:r>
        <w:rPr>
          <w:rFonts w:ascii="Arial" w:hAnsi="Arial"/>
          <w:sz w:val="16"/>
        </w:rPr>
        <w:t>342.27  محافظه کارانه لباس بپوشید.</w:t>
      </w:r>
    </w:p>
    <w:p>
      <w:pPr>
        <w:spacing w:after="28" w:line="216" w:lineRule="auto"/>
        <w:ind w:left="259"/>
        <w:jc w:val="left"/>
      </w:pPr>
      <w:r>
        <w:rPr>
          <w:rFonts w:ascii="Arial" w:hAnsi="Arial"/>
          <w:color w:val="525252"/>
          <w:sz w:val="13"/>
        </w:rPr>
        <w:t>Dress conservatively.</w:t>
      </w:r>
    </w:p>
    <w:p>
      <w:pPr>
        <w:spacing w:after="20" w:line="223" w:lineRule="auto"/>
        <w:jc w:val="right"/>
        <w:bidi/>
      </w:pPr>
      <w:r>
        <w:rPr>
          <w:rFonts w:ascii="Arial" w:hAnsi="Arial"/>
          <w:sz w:val="16"/>
        </w:rPr>
        <w:t>342.28  لباسی بپوشید که خالکوبی‌های نظامی یا وابسته به ایالات متحده را بپوشاند.</w:t>
      </w:r>
    </w:p>
    <w:p>
      <w:pPr>
        <w:spacing w:after="28" w:line="216" w:lineRule="auto"/>
        <w:ind w:left="259"/>
        <w:jc w:val="left"/>
      </w:pPr>
      <w:r>
        <w:rPr>
          <w:rFonts w:ascii="Arial" w:hAnsi="Arial"/>
          <w:color w:val="525252"/>
          <w:sz w:val="13"/>
        </w:rPr>
        <w:t>Wear clothing that covers military or United States-affiliated tattoos.</w:t>
      </w:r>
    </w:p>
    <w:p>
      <w:pPr>
        <w:spacing w:after="20" w:line="223" w:lineRule="auto"/>
        <w:jc w:val="right"/>
        <w:bidi/>
      </w:pPr>
      <w:r>
        <w:rPr>
          <w:rFonts w:ascii="Arial" w:hAnsi="Arial"/>
          <w:sz w:val="16"/>
        </w:rPr>
        <w:t>342.29  بار غیرنظامی ساده را حمل کنید.</w:t>
      </w:r>
    </w:p>
    <w:p>
      <w:pPr>
        <w:spacing w:after="28" w:line="216" w:lineRule="auto"/>
        <w:ind w:left="259"/>
        <w:jc w:val="left"/>
      </w:pPr>
      <w:r>
        <w:rPr>
          <w:rFonts w:ascii="Arial" w:hAnsi="Arial"/>
          <w:color w:val="525252"/>
          <w:sz w:val="13"/>
        </w:rPr>
        <w:t>Carry plain civilian luggage.</w:t>
      </w:r>
    </w:p>
    <w:p>
      <w:pPr>
        <w:spacing w:after="20" w:line="223" w:lineRule="auto"/>
        <w:jc w:val="right"/>
        <w:bidi/>
      </w:pPr>
      <w:r>
        <w:rPr>
          <w:rFonts w:ascii="Arial" w:hAnsi="Arial"/>
          <w:sz w:val="16"/>
        </w:rPr>
        <w:t>342.30  از پوشیدن و حمل وسایل نظامی متمایز خودداری کنید.</w:t>
      </w:r>
    </w:p>
    <w:p>
      <w:pPr>
        <w:spacing w:after="28" w:line="216" w:lineRule="auto"/>
        <w:ind w:left="259"/>
        <w:jc w:val="left"/>
      </w:pPr>
      <w:r>
        <w:rPr>
          <w:rFonts w:ascii="Arial" w:hAnsi="Arial"/>
          <w:color w:val="525252"/>
          <w:sz w:val="13"/>
        </w:rPr>
        <w:t>Do not wear or carry distinct military items.</w:t>
      </w:r>
    </w:p>
    <w:p>
      <w:pPr>
        <w:spacing w:before="60" w:after="28"/>
        <w:jc w:val="right"/>
        <w:bidi/>
      </w:pPr>
      <w:r>
        <w:rPr>
          <w:b/>
          <w:color w:val="1F4D78"/>
          <w:sz w:val="18"/>
        </w:rPr>
        <w:t>18.27. بسته ها یا نامه های مشکوک</w:t>
      </w:r>
    </w:p>
    <w:p>
      <w:pPr>
        <w:spacing w:after="20"/>
        <w:ind w:left="259"/>
        <w:jc w:val="left"/>
      </w:pPr>
      <w:r>
        <w:rPr>
          <w:color w:val="555555"/>
          <w:sz w:val="12"/>
        </w:rPr>
        <w:t>18.27. Suspicious Packages or Mail</w:t>
      </w:r>
    </w:p>
    <w:p>
      <w:pPr>
        <w:spacing w:after="20" w:line="223" w:lineRule="auto"/>
        <w:jc w:val="right"/>
        <w:bidi/>
      </w:pPr>
      <w:r>
        <w:rPr>
          <w:rFonts w:ascii="Arial" w:hAnsi="Arial"/>
          <w:sz w:val="16"/>
        </w:rPr>
        <w:t>342.32  به دنبال یک مکان مبدأ غیرمعمول یا ناشناخته باشید. بدون آدرس بازگشت؛ هزینه پست بیش از حد؛ اندازه یا شکل غیر طبیعی؛ رشته‌های بیرون زده؛ فویل آلومینیومی؛ سیم؛ کلمات غلط املایی؛ آدرس برگشتی و مهر پست متفاوت؛ برچسب‌های دست نویس؛ بوی غیر معمول؛ وزن غیرعادی یا نامتعادل؛ فنری در بالا یا پایین؛ انعطاف ناپذیری؛ علائم چین؛ تغییر رنگ یا لکه‌های روغنی؛ عنوان یا عنوان نادرست بدون نام؛ مواد امنیتی بیش از حد؛ تیک تیک، بیپ، یا صداهای دیگر؛ یا علامت‌های دستورالعمل ویژه، مانند «شخصی، عجله، تأخیر نکنید، یا محرمانه» روی هر بسته یا نامه دریافتی.</w:t>
      </w:r>
    </w:p>
    <w:p>
      <w:pPr>
        <w:spacing w:after="28" w:line="216" w:lineRule="auto"/>
        <w:ind w:left="259"/>
        <w:jc w:val="left"/>
      </w:pPr>
      <w:r>
        <w:rPr>
          <w:rFonts w:ascii="Arial" w:hAnsi="Arial"/>
          <w:color w:val="525252"/>
          <w:sz w:val="13"/>
        </w:rPr>
        <w:t>Look for an unusual or unknown place of origin; no return address; excessive amount of postage; abnormal size or shape; protruding strings; aluminum foil; wires; misspelled words; differing return address and postmark; handwritten labels; unusual odor; unusual or unbalanced weight; springiness in the top or bottom; inflexibility; crease marks; discoloration or oily stains; incorrect titles or title with no name; excessive security material; ticking, beeping, or other sounds; or special instruction markings, such as “personal, rush, do not delay, or confidential” on any packages or mail received.</w:t>
      </w:r>
    </w:p>
    <w:p>
      <w:pPr>
        <w:spacing w:after="20" w:line="223" w:lineRule="auto"/>
        <w:jc w:val="right"/>
        <w:bidi/>
      </w:pPr>
      <w:r>
        <w:rPr>
          <w:rFonts w:ascii="Arial" w:hAnsi="Arial"/>
          <w:sz w:val="16"/>
        </w:rPr>
        <w:t>342.33  مراقب شواهد وجود پودر یا سایر آلاینده‌ها باشید.</w:t>
      </w:r>
    </w:p>
    <w:p>
      <w:pPr>
        <w:spacing w:after="28" w:line="216" w:lineRule="auto"/>
        <w:ind w:left="259"/>
        <w:jc w:val="left"/>
      </w:pPr>
      <w:r>
        <w:rPr>
          <w:rFonts w:ascii="Arial" w:hAnsi="Arial"/>
          <w:color w:val="525252"/>
          <w:sz w:val="13"/>
        </w:rPr>
        <w:t>Be vigilant for evidence of powder or other contaminants.</w:t>
      </w:r>
    </w:p>
    <w:p>
      <w:pPr>
        <w:spacing w:after="20" w:line="223" w:lineRule="auto"/>
        <w:jc w:val="right"/>
        <w:bidi/>
      </w:pPr>
      <w:r>
        <w:rPr>
          <w:rFonts w:ascii="Arial" w:hAnsi="Arial"/>
          <w:sz w:val="16"/>
        </w:rPr>
        <w:t>342.34  هرگز نوار، رشته‌ها یا سایر بسته بندی‌ها را روی بسته‌های مشکوک نبرید.</w:t>
      </w:r>
    </w:p>
    <w:p>
      <w:pPr>
        <w:spacing w:after="28" w:line="216" w:lineRule="auto"/>
        <w:ind w:left="259"/>
        <w:jc w:val="left"/>
      </w:pPr>
      <w:r>
        <w:rPr>
          <w:rFonts w:ascii="Arial" w:hAnsi="Arial"/>
          <w:color w:val="525252"/>
          <w:sz w:val="13"/>
        </w:rPr>
        <w:t>Never cut tape, strings, or other wrappings on a suspect package.</w:t>
      </w:r>
    </w:p>
    <w:p>
      <w:pPr>
        <w:spacing w:after="20" w:line="223" w:lineRule="auto"/>
        <w:jc w:val="right"/>
        <w:bidi/>
      </w:pPr>
      <w:r>
        <w:rPr>
          <w:rFonts w:ascii="Arial" w:hAnsi="Arial"/>
          <w:sz w:val="16"/>
        </w:rPr>
        <w:t>342.35  اگر بسته جابجا شده است، بسته را در یک کیسه پلاستیکی قرار دهید تا از نشت محتویات جلوگیری شود.</w:t>
      </w:r>
    </w:p>
    <w:p>
      <w:pPr>
        <w:spacing w:after="28" w:line="216" w:lineRule="auto"/>
        <w:ind w:left="259"/>
        <w:jc w:val="left"/>
      </w:pPr>
      <w:r>
        <w:rPr>
          <w:rFonts w:ascii="Arial" w:hAnsi="Arial"/>
          <w:color w:val="525252"/>
          <w:sz w:val="13"/>
        </w:rPr>
        <w:t>If the package has been moved, place the package in a plastic bag to prevent any leakage of contents.</w:t>
      </w:r>
    </w:p>
    <w:p>
      <w:pPr>
        <w:spacing w:after="20" w:line="223" w:lineRule="auto"/>
        <w:jc w:val="right"/>
        <w:bidi/>
      </w:pPr>
      <w:r>
        <w:rPr>
          <w:rFonts w:ascii="Arial" w:hAnsi="Arial"/>
          <w:sz w:val="16"/>
        </w:rPr>
        <w:t>342.36  در صورت دست زدن به نامه مشکوک به داشتن آلاینده‌های شیمیایی یا بیولوژیکی، دست‌ها را کاملا با آب و صابون بشویید.</w:t>
      </w:r>
    </w:p>
    <w:p>
      <w:pPr>
        <w:spacing w:after="28" w:line="216" w:lineRule="auto"/>
        <w:ind w:left="259"/>
        <w:jc w:val="left"/>
      </w:pPr>
      <w:r>
        <w:rPr>
          <w:rFonts w:ascii="Arial" w:hAnsi="Arial"/>
          <w:color w:val="525252"/>
          <w:sz w:val="13"/>
        </w:rPr>
        <w:t>If handling mail suspected of containing chemical or biological contaminants, wash hands thoroughly with soap and water.</w:t>
      </w:r>
    </w:p>
    <w:p>
      <w:pPr>
        <w:spacing w:after="20" w:line="223" w:lineRule="auto"/>
        <w:jc w:val="right"/>
        <w:bidi/>
      </w:pPr>
      <w:r>
        <w:rPr>
          <w:rFonts w:ascii="Arial" w:hAnsi="Arial"/>
          <w:sz w:val="16"/>
        </w:rPr>
        <w:t>342.37  فورا نامه مشکوک را گزارش‌دهید و لیستی از پرسنلی تهیه کنید که هنگام شناسایی پاکت یا بسته مشکوک در اتاق بودند.</w:t>
      </w:r>
    </w:p>
    <w:p>
      <w:pPr>
        <w:spacing w:after="28" w:line="216" w:lineRule="auto"/>
        <w:ind w:left="259"/>
        <w:jc w:val="left"/>
      </w:pPr>
      <w:r>
        <w:rPr>
          <w:rFonts w:ascii="Arial" w:hAnsi="Arial"/>
          <w:color w:val="525252"/>
          <w:sz w:val="13"/>
        </w:rPr>
        <w:t>Report suspicious mail immediately and make a list of personnel who were in the room when the suspicious envelope or package was identified.</w:t>
      </w:r>
    </w:p>
    <w:p>
      <w:pPr>
        <w:spacing w:before="60" w:after="28"/>
        <w:jc w:val="right"/>
        <w:bidi/>
      </w:pPr>
      <w:r>
        <w:rPr>
          <w:b/>
          <w:color w:val="1F4D78"/>
          <w:sz w:val="18"/>
        </w:rPr>
        <w:t>18.28. حفاظت شخصی عمومی ضد تروریسم</w:t>
      </w:r>
    </w:p>
    <w:p>
      <w:pPr>
        <w:spacing w:after="20"/>
        <w:ind w:left="259"/>
        <w:jc w:val="left"/>
      </w:pPr>
      <w:r>
        <w:rPr>
          <w:color w:val="555555"/>
          <w:sz w:val="12"/>
        </w:rPr>
        <w:t>18.28. General Antiterrorism Personal Protection</w:t>
      </w:r>
    </w:p>
    <w:p>
      <w:pPr>
        <w:spacing w:after="20" w:line="223" w:lineRule="auto"/>
        <w:jc w:val="right"/>
        <w:bidi/>
      </w:pPr>
      <w:r>
        <w:rPr>
          <w:rFonts w:ascii="Arial" w:hAnsi="Arial"/>
          <w:sz w:val="16"/>
        </w:rPr>
        <w:t>342.39  هوشیاری فردی جزء جدایی ناپذیر برنامه ضد تروریسم است، چه در داخل کشور و چه در خارج از کشور.</w:t>
      </w:r>
    </w:p>
    <w:p>
      <w:pPr>
        <w:spacing w:after="28" w:line="216" w:lineRule="auto"/>
        <w:ind w:left="259"/>
        <w:jc w:val="left"/>
      </w:pPr>
      <w:r>
        <w:rPr>
          <w:rFonts w:ascii="Arial" w:hAnsi="Arial"/>
          <w:color w:val="525252"/>
          <w:sz w:val="13"/>
        </w:rPr>
        <w:t>Individual vigilance is integral to the antiterrorism program, whether stateside or overseas.</w:t>
      </w:r>
    </w:p>
    <w:p>
      <w:pPr>
        <w:spacing w:after="20" w:line="223" w:lineRule="auto"/>
        <w:jc w:val="right"/>
        <w:bidi/>
      </w:pPr>
      <w:r>
        <w:rPr>
          <w:rFonts w:ascii="Arial" w:hAnsi="Arial"/>
          <w:sz w:val="16"/>
        </w:rPr>
        <w:t>342.40  اقدامات متعددی در اینجا برای کمک به تضمین حفاظت فردی ارائه شده است.</w:t>
      </w:r>
    </w:p>
    <w:p>
      <w:pPr>
        <w:spacing w:after="28" w:line="216" w:lineRule="auto"/>
        <w:ind w:left="259"/>
        <w:jc w:val="left"/>
      </w:pPr>
      <w:r>
        <w:rPr>
          <w:rFonts w:ascii="Arial" w:hAnsi="Arial"/>
          <w:color w:val="525252"/>
          <w:sz w:val="13"/>
        </w:rPr>
        <w:t>Several actions are provided here to help ensure individual protection.</w:t>
      </w:r>
    </w:p>
    <w:p>
      <w:pPr>
        <w:spacing w:after="20" w:line="223" w:lineRule="auto"/>
        <w:jc w:val="right"/>
        <w:bidi/>
      </w:pPr>
      <w:r>
        <w:rPr>
          <w:rFonts w:ascii="Arial" w:hAnsi="Arial"/>
          <w:sz w:val="16"/>
        </w:rPr>
        <w:t>342.41  طوری لباس بپوشید و رفتار کنید که جلب توجه نکند.</w:t>
      </w:r>
    </w:p>
    <w:p>
      <w:pPr>
        <w:spacing w:after="28" w:line="216" w:lineRule="auto"/>
        <w:ind w:left="259"/>
        <w:jc w:val="left"/>
      </w:pPr>
      <w:r>
        <w:rPr>
          <w:rFonts w:ascii="Arial" w:hAnsi="Arial"/>
          <w:color w:val="525252"/>
          <w:sz w:val="13"/>
        </w:rPr>
        <w:t>Dress and behave in a way that does not draw attention.</w:t>
      </w:r>
    </w:p>
    <w:p>
      <w:pPr>
        <w:spacing w:after="20" w:line="223" w:lineRule="auto"/>
        <w:jc w:val="right"/>
        <w:bidi/>
      </w:pPr>
      <w:r>
        <w:rPr>
          <w:rFonts w:ascii="Arial" w:hAnsi="Arial"/>
          <w:sz w:val="16"/>
        </w:rPr>
        <w:t>342.42  نامحسوس باشید و از تبلیغات بپرهیزید.</w:t>
      </w:r>
    </w:p>
    <w:p>
      <w:pPr>
        <w:spacing w:after="28" w:line="216" w:lineRule="auto"/>
        <w:ind w:left="259"/>
        <w:jc w:val="left"/>
      </w:pPr>
      <w:r>
        <w:rPr>
          <w:rFonts w:ascii="Arial" w:hAnsi="Arial"/>
          <w:color w:val="525252"/>
          <w:sz w:val="13"/>
        </w:rPr>
        <w:t>Be inconspicuous and avoid publicity.</w:t>
      </w:r>
    </w:p>
    <w:p>
      <w:r>
        <w:br w:type="page"/>
      </w:r>
    </w:p>
    <w:p>
      <w:pPr>
        <w:spacing w:after="60"/>
        <w:jc w:val="right"/>
        <w:bidi/>
      </w:pPr>
      <w:r>
        <w:rPr>
          <w:rFonts w:ascii="Arial" w:hAnsi="Arial"/>
          <w:b/>
          <w:color w:val="1F4D78"/>
          <w:sz w:val="19"/>
        </w:rPr>
        <w:t>هفتهٔ 343  |  صفحهٔ منبع: 359</w:t>
      </w:r>
    </w:p>
    <w:p>
      <w:pPr>
        <w:spacing w:after="20" w:line="223" w:lineRule="auto"/>
        <w:jc w:val="right"/>
        <w:bidi/>
      </w:pPr>
      <w:r>
        <w:rPr>
          <w:rFonts w:ascii="Arial" w:hAnsi="Arial"/>
          <w:sz w:val="16"/>
        </w:rPr>
        <w:t>343.01  در گروه‌های کوچک سفر کنید.</w:t>
      </w:r>
    </w:p>
    <w:p>
      <w:pPr>
        <w:spacing w:after="28" w:line="216" w:lineRule="auto"/>
        <w:ind w:left="259"/>
        <w:jc w:val="left"/>
      </w:pPr>
      <w:r>
        <w:rPr>
          <w:rFonts w:ascii="Arial" w:hAnsi="Arial"/>
          <w:color w:val="525252"/>
          <w:sz w:val="13"/>
        </w:rPr>
        <w:t>Travel in small groups.</w:t>
      </w:r>
    </w:p>
    <w:p>
      <w:pPr>
        <w:spacing w:after="20" w:line="223" w:lineRule="auto"/>
        <w:jc w:val="right"/>
        <w:bidi/>
      </w:pPr>
      <w:r>
        <w:rPr>
          <w:rFonts w:ascii="Arial" w:hAnsi="Arial"/>
          <w:sz w:val="16"/>
        </w:rPr>
        <w:t>343.02  از تجمع یا تظاهرات خودجوش خودداری کنید.</w:t>
      </w:r>
    </w:p>
    <w:p>
      <w:pPr>
        <w:spacing w:after="28" w:line="216" w:lineRule="auto"/>
        <w:ind w:left="259"/>
        <w:jc w:val="left"/>
      </w:pPr>
      <w:r>
        <w:rPr>
          <w:rFonts w:ascii="Arial" w:hAnsi="Arial"/>
          <w:color w:val="525252"/>
          <w:sz w:val="13"/>
        </w:rPr>
        <w:t>Avoid spontaneous gatherings or demonstrations.</w:t>
      </w:r>
    </w:p>
    <w:p>
      <w:pPr>
        <w:spacing w:after="20" w:line="223" w:lineRule="auto"/>
        <w:jc w:val="right"/>
        <w:bidi/>
      </w:pPr>
      <w:r>
        <w:rPr>
          <w:rFonts w:ascii="Arial" w:hAnsi="Arial"/>
          <w:sz w:val="16"/>
        </w:rPr>
        <w:t>343.03  غیرقابل پیش بینی باشید.</w:t>
      </w:r>
    </w:p>
    <w:p>
      <w:pPr>
        <w:spacing w:after="28" w:line="216" w:lineRule="auto"/>
        <w:ind w:left="259"/>
        <w:jc w:val="left"/>
      </w:pPr>
      <w:r>
        <w:rPr>
          <w:rFonts w:ascii="Arial" w:hAnsi="Arial"/>
          <w:color w:val="525252"/>
          <w:sz w:val="13"/>
        </w:rPr>
        <w:t>Be unpredictable.</w:t>
      </w:r>
    </w:p>
    <w:p>
      <w:pPr>
        <w:spacing w:after="20" w:line="223" w:lineRule="auto"/>
        <w:jc w:val="right"/>
        <w:bidi/>
      </w:pPr>
      <w:r>
        <w:rPr>
          <w:rFonts w:ascii="Arial" w:hAnsi="Arial"/>
          <w:sz w:val="16"/>
        </w:rPr>
        <w:t>343.04  روال روزانه را به/از خانه و محل کار تغییر دهید.</w:t>
      </w:r>
    </w:p>
    <w:p>
      <w:pPr>
        <w:spacing w:after="28" w:line="216" w:lineRule="auto"/>
        <w:ind w:left="259"/>
        <w:jc w:val="left"/>
      </w:pPr>
      <w:r>
        <w:rPr>
          <w:rFonts w:ascii="Arial" w:hAnsi="Arial"/>
          <w:color w:val="525252"/>
          <w:sz w:val="13"/>
        </w:rPr>
        <w:t>Vary daily routines to/from home and work.</w:t>
      </w:r>
    </w:p>
    <w:p>
      <w:pPr>
        <w:spacing w:after="20" w:line="223" w:lineRule="auto"/>
        <w:jc w:val="right"/>
        <w:bidi/>
      </w:pPr>
      <w:r>
        <w:rPr>
          <w:rFonts w:ascii="Arial" w:hAnsi="Arial"/>
          <w:sz w:val="16"/>
        </w:rPr>
        <w:t>343.05  در مورد هر چیزی مشکوک یا نامناسب هوشیار باشید.</w:t>
      </w:r>
    </w:p>
    <w:p>
      <w:pPr>
        <w:spacing w:after="28" w:line="216" w:lineRule="auto"/>
        <w:ind w:left="259"/>
        <w:jc w:val="left"/>
      </w:pPr>
      <w:r>
        <w:rPr>
          <w:rFonts w:ascii="Arial" w:hAnsi="Arial"/>
          <w:color w:val="525252"/>
          <w:sz w:val="13"/>
        </w:rPr>
        <w:t>Be alert for anything suspicious or out of place.</w:t>
      </w:r>
    </w:p>
    <w:p>
      <w:pPr>
        <w:spacing w:after="20" w:line="223" w:lineRule="auto"/>
        <w:jc w:val="right"/>
        <w:bidi/>
      </w:pPr>
      <w:r>
        <w:rPr>
          <w:rFonts w:ascii="Arial" w:hAnsi="Arial"/>
          <w:sz w:val="16"/>
        </w:rPr>
        <w:t>343.06  از دادن اطلاعات شخصی غیرضروری به هر کسی خودداری کنید، مگر اینکه هویت او تأیید شود.</w:t>
      </w:r>
    </w:p>
    <w:p>
      <w:pPr>
        <w:spacing w:after="28" w:line="216" w:lineRule="auto"/>
        <w:ind w:left="259"/>
        <w:jc w:val="left"/>
      </w:pPr>
      <w:r>
        <w:rPr>
          <w:rFonts w:ascii="Arial" w:hAnsi="Arial"/>
          <w:color w:val="525252"/>
          <w:sz w:val="13"/>
        </w:rPr>
        <w:t>Avoid giving unnecessary personal details to anyone unless their identity can be verified.</w:t>
      </w:r>
    </w:p>
    <w:p>
      <w:pPr>
        <w:spacing w:after="20" w:line="223" w:lineRule="auto"/>
        <w:jc w:val="right"/>
        <w:bidi/>
      </w:pPr>
      <w:r>
        <w:rPr>
          <w:rFonts w:ascii="Arial" w:hAnsi="Arial"/>
          <w:sz w:val="16"/>
        </w:rPr>
        <w:t>343.07  مراقب غریبه هایی باشید که بدون هیچ دلیلی در اموال دولتی هستند.</w:t>
      </w:r>
    </w:p>
    <w:p>
      <w:pPr>
        <w:spacing w:after="28" w:line="216" w:lineRule="auto"/>
        <w:ind w:left="259"/>
        <w:jc w:val="left"/>
      </w:pPr>
      <w:r>
        <w:rPr>
          <w:rFonts w:ascii="Arial" w:hAnsi="Arial"/>
          <w:color w:val="525252"/>
          <w:sz w:val="13"/>
        </w:rPr>
        <w:t>Be alert to strangers who are on government property for no apparent reason.</w:t>
      </w:r>
    </w:p>
    <w:p>
      <w:pPr>
        <w:spacing w:after="20" w:line="223" w:lineRule="auto"/>
        <w:jc w:val="right"/>
        <w:bidi/>
      </w:pPr>
      <w:r>
        <w:rPr>
          <w:rFonts w:ascii="Arial" w:hAnsi="Arial"/>
          <w:sz w:val="16"/>
        </w:rPr>
        <w:t>343.08  از ملاقات با افراد غریبه در خارج از محل کار خودداری کنید.</w:t>
      </w:r>
    </w:p>
    <w:p>
      <w:pPr>
        <w:spacing w:after="28" w:line="216" w:lineRule="auto"/>
        <w:ind w:left="259"/>
        <w:jc w:val="left"/>
      </w:pPr>
      <w:r>
        <w:rPr>
          <w:rFonts w:ascii="Arial" w:hAnsi="Arial"/>
          <w:color w:val="525252"/>
          <w:sz w:val="13"/>
        </w:rPr>
        <w:t>Refuse to meet with strangers outside your workplace.</w:t>
      </w:r>
    </w:p>
    <w:p>
      <w:pPr>
        <w:spacing w:after="20" w:line="223" w:lineRule="auto"/>
        <w:jc w:val="right"/>
        <w:bidi/>
      </w:pPr>
      <w:r>
        <w:rPr>
          <w:rFonts w:ascii="Arial" w:hAnsi="Arial"/>
          <w:sz w:val="16"/>
        </w:rPr>
        <w:t>343.09  همیشه به همکاران یا اعضای خانواده خود در مورد مقصد و زمان پیش‌بینی شده ورود خود اطلاع دهید.</w:t>
      </w:r>
    </w:p>
    <w:p>
      <w:pPr>
        <w:spacing w:after="28" w:line="216" w:lineRule="auto"/>
        <w:ind w:left="259"/>
        <w:jc w:val="left"/>
      </w:pPr>
      <w:r>
        <w:rPr>
          <w:rFonts w:ascii="Arial" w:hAnsi="Arial"/>
          <w:color w:val="525252"/>
          <w:sz w:val="13"/>
        </w:rPr>
        <w:t>Always advise associates or family members of your destination and anticipated time of arrival.</w:t>
      </w:r>
    </w:p>
    <w:p>
      <w:pPr>
        <w:spacing w:after="20" w:line="223" w:lineRule="auto"/>
        <w:jc w:val="right"/>
        <w:bidi/>
      </w:pPr>
      <w:r>
        <w:rPr>
          <w:rFonts w:ascii="Arial" w:hAnsi="Arial"/>
          <w:sz w:val="16"/>
        </w:rPr>
        <w:t>343.10  تماس‌های ناخواسته را به مقامات گزارش‌دهید.</w:t>
      </w:r>
    </w:p>
    <w:p>
      <w:pPr>
        <w:spacing w:after="28" w:line="216" w:lineRule="auto"/>
        <w:ind w:left="259"/>
        <w:jc w:val="left"/>
      </w:pPr>
      <w:r>
        <w:rPr>
          <w:rFonts w:ascii="Arial" w:hAnsi="Arial"/>
          <w:color w:val="525252"/>
          <w:sz w:val="13"/>
        </w:rPr>
        <w:t>Report unsolicited contacts to authorities.</w:t>
      </w:r>
    </w:p>
    <w:p>
      <w:pPr>
        <w:spacing w:after="20" w:line="223" w:lineRule="auto"/>
        <w:jc w:val="right"/>
        <w:bidi/>
      </w:pPr>
      <w:r>
        <w:rPr>
          <w:rFonts w:ascii="Arial" w:hAnsi="Arial"/>
          <w:sz w:val="16"/>
        </w:rPr>
        <w:t>343.11  درها را به روی غریبه‌ها باز نکنید.</w:t>
      </w:r>
    </w:p>
    <w:p>
      <w:pPr>
        <w:spacing w:after="28" w:line="216" w:lineRule="auto"/>
        <w:ind w:left="259"/>
        <w:jc w:val="left"/>
      </w:pPr>
      <w:r>
        <w:rPr>
          <w:rFonts w:ascii="Arial" w:hAnsi="Arial"/>
          <w:color w:val="525252"/>
          <w:sz w:val="13"/>
        </w:rPr>
        <w:t>Do not open doors to strangers.</w:t>
      </w:r>
    </w:p>
    <w:p>
      <w:pPr>
        <w:spacing w:after="20" w:line="223" w:lineRule="auto"/>
        <w:jc w:val="right"/>
        <w:bidi/>
      </w:pPr>
      <w:r>
        <w:rPr>
          <w:rFonts w:ascii="Arial" w:hAnsi="Arial"/>
          <w:sz w:val="16"/>
        </w:rPr>
        <w:t>343.12  شماره تلفن‌های کلیدی و دستورالعمل‌های شماره گیری را به خاطر بسپارید.</w:t>
      </w:r>
    </w:p>
    <w:p>
      <w:pPr>
        <w:spacing w:after="28" w:line="216" w:lineRule="auto"/>
        <w:ind w:left="259"/>
        <w:jc w:val="left"/>
      </w:pPr>
      <w:r>
        <w:rPr>
          <w:rFonts w:ascii="Arial" w:hAnsi="Arial"/>
          <w:color w:val="525252"/>
          <w:sz w:val="13"/>
        </w:rPr>
        <w:t>Memorize key telephone numbers and dialing instructions.</w:t>
      </w:r>
    </w:p>
    <w:p>
      <w:pPr>
        <w:spacing w:after="20" w:line="223" w:lineRule="auto"/>
        <w:jc w:val="right"/>
        <w:bidi/>
      </w:pPr>
      <w:r>
        <w:rPr>
          <w:rFonts w:ascii="Arial" w:hAnsi="Arial"/>
          <w:sz w:val="16"/>
        </w:rPr>
        <w:t>343.13  در دادن اطلاعات مربوط به سفرهای خانوادگی یا اقدامات امنیتی محتاط باشید.</w:t>
      </w:r>
    </w:p>
    <w:p>
      <w:pPr>
        <w:spacing w:after="28" w:line="216" w:lineRule="auto"/>
        <w:ind w:left="259"/>
        <w:jc w:val="left"/>
      </w:pPr>
      <w:r>
        <w:rPr>
          <w:rFonts w:ascii="Arial" w:hAnsi="Arial"/>
          <w:color w:val="525252"/>
          <w:sz w:val="13"/>
        </w:rPr>
        <w:t>Be cautious about giving information regarding family travel or security measures.</w:t>
      </w:r>
    </w:p>
    <w:p>
      <w:pPr>
        <w:spacing w:after="20" w:line="223" w:lineRule="auto"/>
        <w:jc w:val="right"/>
        <w:bidi/>
      </w:pPr>
      <w:r>
        <w:rPr>
          <w:rFonts w:ascii="Arial" w:hAnsi="Arial"/>
          <w:sz w:val="16"/>
        </w:rPr>
        <w:t>343.14  وقتی در خارج از کشور هستید، چند عبارت کلیدی را به زبان محلی یاد بگیرید و تمرین کنید.</w:t>
      </w:r>
    </w:p>
    <w:p>
      <w:pPr>
        <w:spacing w:after="28" w:line="216" w:lineRule="auto"/>
        <w:ind w:left="259"/>
        <w:jc w:val="left"/>
      </w:pPr>
      <w:r>
        <w:rPr>
          <w:rFonts w:ascii="Arial" w:hAnsi="Arial"/>
          <w:color w:val="525252"/>
          <w:sz w:val="13"/>
        </w:rPr>
        <w:t>When overseas, learn and practice a few key phrases in the local language.</w:t>
      </w:r>
    </w:p>
    <w:p>
      <w:pPr>
        <w:spacing w:before="60" w:after="28"/>
        <w:jc w:val="right"/>
        <w:bidi/>
      </w:pPr>
      <w:r>
        <w:rPr>
          <w:b/>
          <w:color w:val="1F4D78"/>
          <w:sz w:val="18"/>
        </w:rPr>
        <w:t>18.29. امنیت خانه و خانواده</w:t>
      </w:r>
    </w:p>
    <w:p>
      <w:pPr>
        <w:spacing w:after="20"/>
        <w:ind w:left="259"/>
        <w:jc w:val="left"/>
      </w:pPr>
      <w:r>
        <w:rPr>
          <w:color w:val="555555"/>
          <w:sz w:val="12"/>
        </w:rPr>
        <w:t>18.29. Home and Family Security</w:t>
      </w:r>
    </w:p>
    <w:p>
      <w:pPr>
        <w:spacing w:after="20" w:line="223" w:lineRule="auto"/>
        <w:jc w:val="right"/>
        <w:bidi/>
      </w:pPr>
      <w:r>
        <w:rPr>
          <w:rFonts w:ascii="Arial" w:hAnsi="Arial"/>
          <w:sz w:val="16"/>
        </w:rPr>
        <w:t>343.16  همسران و فرزندان همیشه باید اقدامات احتیاطی اولیه را برای امنیت شخصی انجام دهند.</w:t>
      </w:r>
    </w:p>
    <w:p>
      <w:pPr>
        <w:spacing w:after="28" w:line="216" w:lineRule="auto"/>
        <w:ind w:left="259"/>
        <w:jc w:val="left"/>
      </w:pPr>
      <w:r>
        <w:rPr>
          <w:rFonts w:ascii="Arial" w:hAnsi="Arial"/>
          <w:color w:val="525252"/>
          <w:sz w:val="13"/>
        </w:rPr>
        <w:t>Spouses and children should always practice basic precautions for personal security.</w:t>
      </w:r>
    </w:p>
    <w:p>
      <w:pPr>
        <w:spacing w:after="20" w:line="223" w:lineRule="auto"/>
        <w:jc w:val="right"/>
        <w:bidi/>
      </w:pPr>
      <w:r>
        <w:rPr>
          <w:rFonts w:ascii="Arial" w:hAnsi="Arial"/>
          <w:sz w:val="16"/>
        </w:rPr>
        <w:t>343.17  اعضای خانواده را با تهدید تروریستی محلی آشنا کنید و به‌طور منظم اقدامات و تکنیک‌های حفاظتی را مرور کنید.</w:t>
      </w:r>
    </w:p>
    <w:p>
      <w:pPr>
        <w:spacing w:after="28" w:line="216" w:lineRule="auto"/>
        <w:ind w:left="259"/>
        <w:jc w:val="left"/>
      </w:pPr>
      <w:r>
        <w:rPr>
          <w:rFonts w:ascii="Arial" w:hAnsi="Arial"/>
          <w:color w:val="525252"/>
          <w:sz w:val="13"/>
        </w:rPr>
        <w:t>Familiarize family members with the local terrorist threat and regularly review protective measures and techniques.</w:t>
      </w:r>
    </w:p>
    <w:p>
      <w:pPr>
        <w:spacing w:after="20" w:line="223" w:lineRule="auto"/>
        <w:jc w:val="right"/>
        <w:bidi/>
      </w:pPr>
      <w:r>
        <w:rPr>
          <w:rFonts w:ascii="Arial" w:hAnsi="Arial"/>
          <w:sz w:val="16"/>
        </w:rPr>
        <w:t>343.18  مطمئن شوید که اعضای خانواده می‌دانند در هر نوع اضطراری چه کاری انجام دهند.</w:t>
      </w:r>
    </w:p>
    <w:p>
      <w:pPr>
        <w:spacing w:after="28" w:line="216" w:lineRule="auto"/>
        <w:ind w:left="259"/>
        <w:jc w:val="left"/>
      </w:pPr>
      <w:r>
        <w:rPr>
          <w:rFonts w:ascii="Arial" w:hAnsi="Arial"/>
          <w:color w:val="525252"/>
          <w:sz w:val="13"/>
        </w:rPr>
        <w:t>Ensure family members know what to do in any type of emergency.</w:t>
      </w:r>
    </w:p>
    <w:p>
      <w:pPr>
        <w:spacing w:after="20" w:line="223" w:lineRule="auto"/>
        <w:jc w:val="right"/>
        <w:bidi/>
      </w:pPr>
      <w:r>
        <w:rPr>
          <w:rFonts w:ascii="Arial" w:hAnsi="Arial"/>
          <w:sz w:val="16"/>
        </w:rPr>
        <w:t>343.19  در اینجا اقدامات متعددی برای کمک به تضمین امنیت خانه و خانواده ارائه شده است.</w:t>
      </w:r>
    </w:p>
    <w:p>
      <w:pPr>
        <w:spacing w:after="28" w:line="216" w:lineRule="auto"/>
        <w:ind w:left="259"/>
        <w:jc w:val="left"/>
      </w:pPr>
      <w:r>
        <w:rPr>
          <w:rFonts w:ascii="Arial" w:hAnsi="Arial"/>
          <w:color w:val="525252"/>
          <w:sz w:val="13"/>
        </w:rPr>
        <w:t>Several actions are provided here to help ensure home and family security.</w:t>
      </w:r>
    </w:p>
    <w:p>
      <w:pPr>
        <w:spacing w:after="20" w:line="223" w:lineRule="auto"/>
        <w:jc w:val="right"/>
        <w:bidi/>
      </w:pPr>
      <w:r>
        <w:rPr>
          <w:rFonts w:ascii="Arial" w:hAnsi="Arial"/>
          <w:sz w:val="16"/>
        </w:rPr>
        <w:t>343.20  محدود کردن داشتن کلید خانه.</w:t>
      </w:r>
    </w:p>
    <w:p>
      <w:pPr>
        <w:spacing w:after="28" w:line="216" w:lineRule="auto"/>
        <w:ind w:left="259"/>
        <w:jc w:val="left"/>
      </w:pPr>
      <w:r>
        <w:rPr>
          <w:rFonts w:ascii="Arial" w:hAnsi="Arial"/>
          <w:color w:val="525252"/>
          <w:sz w:val="13"/>
        </w:rPr>
        <w:t>Restrict the possession of house keys.</w:t>
      </w:r>
    </w:p>
    <w:p>
      <w:pPr>
        <w:spacing w:after="20" w:line="223" w:lineRule="auto"/>
        <w:jc w:val="right"/>
        <w:bidi/>
      </w:pPr>
      <w:r>
        <w:rPr>
          <w:rFonts w:ascii="Arial" w:hAnsi="Arial"/>
          <w:sz w:val="16"/>
        </w:rPr>
        <w:t>343.21  شبانه تمام ورودی‌ها از جمله گاراژ را قفل کنید.</w:t>
      </w:r>
    </w:p>
    <w:p>
      <w:pPr>
        <w:spacing w:after="28" w:line="216" w:lineRule="auto"/>
        <w:ind w:left="259"/>
        <w:jc w:val="left"/>
      </w:pPr>
      <w:r>
        <w:rPr>
          <w:rFonts w:ascii="Arial" w:hAnsi="Arial"/>
          <w:color w:val="525252"/>
          <w:sz w:val="13"/>
        </w:rPr>
        <w:t>Lock all entrances at night, including the garage.</w:t>
      </w:r>
    </w:p>
    <w:p>
      <w:pPr>
        <w:spacing w:after="20" w:line="223" w:lineRule="auto"/>
        <w:jc w:val="right"/>
        <w:bidi/>
      </w:pPr>
      <w:r>
        <w:rPr>
          <w:rFonts w:ascii="Arial" w:hAnsi="Arial"/>
          <w:sz w:val="16"/>
        </w:rPr>
        <w:t>343.22  خانه را قفل نگه دارید، حتی اگر در خانه هستید.</w:t>
      </w:r>
    </w:p>
    <w:p>
      <w:pPr>
        <w:spacing w:after="28" w:line="216" w:lineRule="auto"/>
        <w:ind w:left="259"/>
        <w:jc w:val="left"/>
      </w:pPr>
      <w:r>
        <w:rPr>
          <w:rFonts w:ascii="Arial" w:hAnsi="Arial"/>
          <w:color w:val="525252"/>
          <w:sz w:val="13"/>
        </w:rPr>
        <w:t>Keep the house locked, even if you are home.</w:t>
      </w:r>
    </w:p>
    <w:p>
      <w:pPr>
        <w:spacing w:after="20" w:line="223" w:lineRule="auto"/>
        <w:jc w:val="right"/>
        <w:bidi/>
      </w:pPr>
      <w:r>
        <w:rPr>
          <w:rFonts w:ascii="Arial" w:hAnsi="Arial"/>
          <w:sz w:val="16"/>
        </w:rPr>
        <w:t>343.23  تمام پاکت‌ها یا سایر مواردی که نام، رتبه یا سایر اطلاعات شخصی شما را نشان می‌دهد را از بین ببرید.</w:t>
      </w:r>
    </w:p>
    <w:p>
      <w:pPr>
        <w:spacing w:after="28" w:line="216" w:lineRule="auto"/>
        <w:ind w:left="259"/>
        <w:jc w:val="left"/>
      </w:pPr>
      <w:r>
        <w:rPr>
          <w:rFonts w:ascii="Arial" w:hAnsi="Arial"/>
          <w:color w:val="525252"/>
          <w:sz w:val="13"/>
        </w:rPr>
        <w:t>Destroy all envelopes or other items that show your name, rank, or other personal information.</w:t>
      </w:r>
    </w:p>
    <w:p>
      <w:pPr>
        <w:spacing w:after="20" w:line="223" w:lineRule="auto"/>
        <w:jc w:val="right"/>
        <w:bidi/>
      </w:pPr>
      <w:r>
        <w:rPr>
          <w:rFonts w:ascii="Arial" w:hAnsi="Arial"/>
          <w:sz w:val="16"/>
        </w:rPr>
        <w:t>343.24  حذف نام و رتبه از صندوق پست.</w:t>
      </w:r>
    </w:p>
    <w:p>
      <w:pPr>
        <w:spacing w:after="28" w:line="216" w:lineRule="auto"/>
        <w:ind w:left="259"/>
        <w:jc w:val="left"/>
      </w:pPr>
      <w:r>
        <w:rPr>
          <w:rFonts w:ascii="Arial" w:hAnsi="Arial"/>
          <w:color w:val="525252"/>
          <w:sz w:val="13"/>
        </w:rPr>
        <w:t>Remove names and rank from mailboxes.</w:t>
      </w:r>
    </w:p>
    <w:p>
      <w:pPr>
        <w:spacing w:after="20" w:line="223" w:lineRule="auto"/>
        <w:jc w:val="right"/>
        <w:bidi/>
      </w:pPr>
      <w:r>
        <w:rPr>
          <w:rFonts w:ascii="Arial" w:hAnsi="Arial"/>
          <w:sz w:val="16"/>
        </w:rPr>
        <w:t>343.25  مراقب وسایل نقلیه ناآشنا باشید که در حال تردد یا پارک مکرر در منطقه هستند، به خصوص اگر یک یا چند سرنشین برای مدت طولانی در خودرو باقی بمانند.</w:t>
      </w:r>
    </w:p>
    <w:p>
      <w:pPr>
        <w:spacing w:after="28" w:line="216" w:lineRule="auto"/>
        <w:ind w:left="259"/>
        <w:jc w:val="left"/>
      </w:pPr>
      <w:r>
        <w:rPr>
          <w:rFonts w:ascii="Arial" w:hAnsi="Arial"/>
          <w:color w:val="525252"/>
          <w:sz w:val="13"/>
        </w:rPr>
        <w:t>Watch for unfamiliar vehicles cruising or parked frequently in the area, particularly if one or more occupants remain in the vehicle for extended periods.</w:t>
      </w:r>
    </w:p>
    <w:p>
      <w:pPr>
        <w:spacing w:after="20" w:line="223" w:lineRule="auto"/>
        <w:jc w:val="right"/>
        <w:bidi/>
      </w:pPr>
      <w:r>
        <w:rPr>
          <w:rFonts w:ascii="Arial" w:hAnsi="Arial"/>
          <w:sz w:val="16"/>
        </w:rPr>
        <w:t>343.26  شماره تلفن‌های اضطراری را برای دسترسی فوری ارسال یا از قبل برنامه‌ریزی کنید.</w:t>
      </w:r>
    </w:p>
    <w:p>
      <w:pPr>
        <w:spacing w:after="28" w:line="216" w:lineRule="auto"/>
        <w:ind w:left="259"/>
        <w:jc w:val="left"/>
      </w:pPr>
      <w:r>
        <w:rPr>
          <w:rFonts w:ascii="Arial" w:hAnsi="Arial"/>
          <w:color w:val="525252"/>
          <w:sz w:val="13"/>
        </w:rPr>
        <w:t>Post or preprogram emergency telephone numbers for immediate access.</w:t>
      </w:r>
    </w:p>
    <w:p>
      <w:pPr>
        <w:spacing w:after="20" w:line="223" w:lineRule="auto"/>
        <w:jc w:val="right"/>
        <w:bidi/>
      </w:pPr>
      <w:r>
        <w:rPr>
          <w:rFonts w:ascii="Arial" w:hAnsi="Arial"/>
          <w:sz w:val="16"/>
        </w:rPr>
        <w:t>343.27  همه تماس‌های تلفنی تهدیدآمیز را به مقامات امنیتی و شرکت تلفن گزارش‌دهید و هر گونه صدای پس زمینه، لهجه، ملیت یا موقعیت مکانی را یادداشت کنید.</w:t>
      </w:r>
    </w:p>
    <w:p>
      <w:pPr>
        <w:spacing w:after="28" w:line="216" w:lineRule="auto"/>
        <w:ind w:left="259"/>
        <w:jc w:val="left"/>
      </w:pPr>
      <w:r>
        <w:rPr>
          <w:rFonts w:ascii="Arial" w:hAnsi="Arial"/>
          <w:color w:val="525252"/>
          <w:sz w:val="13"/>
        </w:rPr>
        <w:t>Report all threatening phone calls to security officials and the telephone company, making note of any background noise, accent, nationality, or location.</w:t>
      </w:r>
    </w:p>
    <w:p>
      <w:pPr>
        <w:spacing w:before="60" w:after="28"/>
        <w:jc w:val="right"/>
        <w:bidi/>
      </w:pPr>
      <w:r>
        <w:rPr>
          <w:b/>
          <w:color w:val="1F4D78"/>
          <w:sz w:val="18"/>
        </w:rPr>
        <w:t>18.30. هوش انسانی و ضد جاسوسی</w:t>
      </w:r>
    </w:p>
    <w:p>
      <w:pPr>
        <w:spacing w:after="20"/>
        <w:ind w:left="259"/>
        <w:jc w:val="left"/>
      </w:pPr>
      <w:r>
        <w:rPr>
          <w:color w:val="555555"/>
          <w:sz w:val="12"/>
        </w:rPr>
        <w:t>18.30. Human Intelligence and Counterintelligence</w:t>
      </w:r>
    </w:p>
    <w:p>
      <w:pPr>
        <w:spacing w:after="20" w:line="223" w:lineRule="auto"/>
        <w:jc w:val="right"/>
        <w:bidi/>
      </w:pPr>
      <w:r>
        <w:rPr>
          <w:rFonts w:ascii="Arial" w:hAnsi="Arial"/>
          <w:sz w:val="16"/>
        </w:rPr>
        <w:t>343.29  هوش انسانی مقوله‌ای از هوش است که از اطلاعات جمع‌آوری‌شده و ارائه‌شده توسط منابع انسانی و گردآورنده‌ها به دست می‌آید و در آن انسان ابزار اولیه جمع‌آوری است.</w:t>
      </w:r>
    </w:p>
    <w:p>
      <w:pPr>
        <w:spacing w:after="28" w:line="216" w:lineRule="auto"/>
        <w:ind w:left="259"/>
        <w:jc w:val="left"/>
      </w:pPr>
      <w:r>
        <w:rPr>
          <w:rFonts w:ascii="Arial" w:hAnsi="Arial"/>
          <w:color w:val="525252"/>
          <w:sz w:val="13"/>
        </w:rPr>
        <w:t>Human intelligence is a category of intelligence derived from information collected and provided by human sources and collectors, and where the human being is the primary collection instrument.</w:t>
      </w:r>
    </w:p>
    <w:p>
      <w:pPr>
        <w:spacing w:after="20" w:line="223" w:lineRule="auto"/>
        <w:jc w:val="right"/>
        <w:bidi/>
      </w:pPr>
      <w:r>
        <w:rPr>
          <w:rFonts w:ascii="Arial" w:hAnsi="Arial"/>
          <w:sz w:val="16"/>
        </w:rPr>
        <w:t>343.30  ضد جاسوسی اطلاعاتی است که جمع‌آوری و فعالیت هایی برای محافظت در برابر چنین تهدیداتی انجام می‌شود.</w:t>
      </w:r>
    </w:p>
    <w:p>
      <w:pPr>
        <w:spacing w:after="28" w:line="216" w:lineRule="auto"/>
        <w:ind w:left="259"/>
        <w:jc w:val="left"/>
      </w:pPr>
      <w:r>
        <w:rPr>
          <w:rFonts w:ascii="Arial" w:hAnsi="Arial"/>
          <w:color w:val="525252"/>
          <w:sz w:val="13"/>
        </w:rPr>
        <w:t>Counterintelligence is information gathered and activities conducted to protect against such threats.</w:t>
      </w:r>
    </w:p>
    <w:p>
      <w:pPr>
        <w:spacing w:after="20" w:line="223" w:lineRule="auto"/>
        <w:jc w:val="right"/>
        <w:bidi/>
      </w:pPr>
      <w:r>
        <w:rPr>
          <w:rFonts w:ascii="Arial" w:hAnsi="Arial"/>
          <w:sz w:val="16"/>
        </w:rPr>
        <w:t>343.31  چند تلاش اولیه برای جمع‌آوری اطلاعات انسانی در اینجا به اختصار توضیح داده شده است.</w:t>
      </w:r>
    </w:p>
    <w:p>
      <w:pPr>
        <w:spacing w:after="28" w:line="216" w:lineRule="auto"/>
        <w:ind w:left="259"/>
        <w:jc w:val="left"/>
      </w:pPr>
      <w:r>
        <w:rPr>
          <w:rFonts w:ascii="Arial" w:hAnsi="Arial"/>
          <w:color w:val="525252"/>
          <w:sz w:val="13"/>
        </w:rPr>
        <w:t>A few primary human intelligence collection efforts are briefly described here.</w:t>
      </w:r>
    </w:p>
    <w:p>
      <w:pPr>
        <w:spacing w:after="20" w:line="223" w:lineRule="auto"/>
        <w:jc w:val="right"/>
        <w:bidi/>
      </w:pPr>
      <w:r>
        <w:rPr>
          <w:rFonts w:ascii="Arial" w:hAnsi="Arial"/>
          <w:sz w:val="16"/>
        </w:rPr>
        <w:t>343.32  بازجویی.</w:t>
      </w:r>
    </w:p>
    <w:p>
      <w:pPr>
        <w:spacing w:after="28" w:line="216" w:lineRule="auto"/>
        <w:ind w:left="259"/>
        <w:jc w:val="left"/>
      </w:pPr>
      <w:r>
        <w:rPr>
          <w:rFonts w:ascii="Arial" w:hAnsi="Arial"/>
          <w:color w:val="525252"/>
          <w:sz w:val="13"/>
        </w:rPr>
        <w:t>Interrogation.</w:t>
      </w:r>
    </w:p>
    <w:p>
      <w:pPr>
        <w:spacing w:after="20" w:line="223" w:lineRule="auto"/>
        <w:jc w:val="right"/>
        <w:bidi/>
      </w:pPr>
      <w:r>
        <w:rPr>
          <w:rFonts w:ascii="Arial" w:hAnsi="Arial"/>
          <w:sz w:val="16"/>
        </w:rPr>
        <w:t>343.33  بازجویی عبارت است از تلاش سیستماتیک برای به دست آوردن اطلاعات برای پاسخگویی به الزامات جمع‌آوری خاص با تکنیک‌های پرسشگری مستقیم و غیرمستقیم از فردی که در بازداشت نیروهایی است که بازجویی را انجام می‌دهند.</w:t>
      </w:r>
    </w:p>
    <w:p>
      <w:pPr>
        <w:spacing w:after="28" w:line="216" w:lineRule="auto"/>
        <w:ind w:left="259"/>
        <w:jc w:val="left"/>
      </w:pPr>
      <w:r>
        <w:rPr>
          <w:rFonts w:ascii="Arial" w:hAnsi="Arial"/>
          <w:color w:val="525252"/>
          <w:sz w:val="13"/>
        </w:rPr>
        <w:t>Interrogation is the systematic effort to procure information to answer specific collection requirements by direct and indirect questioning techniques of a person who is in the custody of the forces conducting the questioning.</w:t>
      </w:r>
    </w:p>
    <w:p>
      <w:pPr>
        <w:spacing w:after="20" w:line="223" w:lineRule="auto"/>
        <w:jc w:val="right"/>
        <w:bidi/>
      </w:pPr>
      <w:r>
        <w:rPr>
          <w:rFonts w:ascii="Arial" w:hAnsi="Arial"/>
          <w:sz w:val="16"/>
        </w:rPr>
        <w:t>343.34  بازجویی صحیح از رزمندگان دشمن، اسرای جنگی دشمن یا سایر بازداشت شدگان توسط بازجویان آموزش دیده و تأیید شده وزارت دفاع</w:t>
      </w:r>
    </w:p>
    <w:p>
      <w:pPr>
        <w:spacing w:after="28" w:line="216" w:lineRule="auto"/>
        <w:ind w:left="259"/>
        <w:jc w:val="left"/>
      </w:pPr>
      <w:r>
        <w:rPr>
          <w:rFonts w:ascii="Arial" w:hAnsi="Arial"/>
          <w:color w:val="525252"/>
          <w:sz w:val="13"/>
        </w:rPr>
        <w:t>Proper questioning of enemy combatants, enemy prisoners of war, or other detainees by trained and certified Department of Defense interrogators</w:t>
      </w:r>
    </w:p>
    <w:p>
      <w:r>
        <w:br w:type="page"/>
      </w:r>
    </w:p>
    <w:p>
      <w:pPr>
        <w:spacing w:after="60"/>
        <w:jc w:val="right"/>
        <w:bidi/>
      </w:pPr>
      <w:r>
        <w:rPr>
          <w:rFonts w:ascii="Arial" w:hAnsi="Arial"/>
          <w:b/>
          <w:color w:val="1F4D78"/>
          <w:sz w:val="19"/>
        </w:rPr>
        <w:t>هفتهٔ 344  |  صفحهٔ منبع: 360</w:t>
      </w:r>
    </w:p>
    <w:p>
      <w:pPr>
        <w:spacing w:after="20" w:line="223" w:lineRule="auto"/>
        <w:jc w:val="right"/>
        <w:bidi/>
      </w:pPr>
      <w:r>
        <w:rPr>
          <w:rFonts w:ascii="Arial" w:hAnsi="Arial"/>
          <w:sz w:val="16"/>
        </w:rPr>
        <w:t>344.01  ممکن است منجر به ارائه اطلاعات خواسته یا ناخواسته شود.</w:t>
      </w:r>
    </w:p>
    <w:p>
      <w:pPr>
        <w:spacing w:after="28" w:line="216" w:lineRule="auto"/>
        <w:ind w:left="259"/>
        <w:jc w:val="left"/>
      </w:pPr>
      <w:r>
        <w:rPr>
          <w:rFonts w:ascii="Arial" w:hAnsi="Arial"/>
          <w:color w:val="525252"/>
          <w:sz w:val="13"/>
        </w:rPr>
        <w:t>may result in information provided either willingly or unwittingly.</w:t>
      </w:r>
    </w:p>
    <w:p>
      <w:pPr>
        <w:spacing w:after="20" w:line="223" w:lineRule="auto"/>
        <w:jc w:val="right"/>
        <w:bidi/>
      </w:pPr>
      <w:r>
        <w:rPr>
          <w:rFonts w:ascii="Arial" w:hAnsi="Arial"/>
          <w:sz w:val="16"/>
        </w:rPr>
        <w:t>344.02  عملیات منبع.</w:t>
      </w:r>
    </w:p>
    <w:p>
      <w:pPr>
        <w:spacing w:after="28" w:line="216" w:lineRule="auto"/>
        <w:ind w:left="259"/>
        <w:jc w:val="left"/>
      </w:pPr>
      <w:r>
        <w:rPr>
          <w:rFonts w:ascii="Arial" w:hAnsi="Arial"/>
          <w:color w:val="525252"/>
          <w:sz w:val="13"/>
        </w:rPr>
        <w:t>Source Operations.</w:t>
      </w:r>
    </w:p>
    <w:p>
      <w:pPr>
        <w:spacing w:after="20" w:line="223" w:lineRule="auto"/>
        <w:jc w:val="right"/>
        <w:bidi/>
      </w:pPr>
      <w:r>
        <w:rPr>
          <w:rFonts w:ascii="Arial" w:hAnsi="Arial"/>
          <w:sz w:val="16"/>
        </w:rPr>
        <w:t>344.03  پرسنل جمع‌آوری اطلاعات انسانی نظامی تعیین‌شده و کاملا آموزش‌دیده ممکن است اطلاعاتی را از طریق استخراج منابع ایجاد کنند که شامل موارد زیر می‌شود: منابع "راهپیمایی" که بدون درخواست، اولین تماس را با پرسنل اطلاعات انسانی برقرار می‌کنند. منابع توسعه یافته‌ای که طی یک دوره زمانی برآورده شده و اطلاعاتی را بر اساس نیازهای عملیاتی ارائه می‌دهند. افراد ناخواسته با دسترسی به اطلاعات حساس</w:t>
      </w:r>
    </w:p>
    <w:p>
      <w:pPr>
        <w:spacing w:after="28" w:line="216" w:lineRule="auto"/>
        <w:ind w:left="259"/>
        <w:jc w:val="left"/>
      </w:pPr>
      <w:r>
        <w:rPr>
          <w:rFonts w:ascii="Arial" w:hAnsi="Arial"/>
          <w:color w:val="525252"/>
          <w:sz w:val="13"/>
        </w:rPr>
        <w:t>Designated and fully trained military human intelligence collection personnel may develop information through the elicitation of sources, to include: “walk-in” sources who, without solicitation, make the first contact with human intelligence personnel; developed sources who are met over a period of time and provide information based on operational requirements; unwitting persons with access to sensitive information.</w:t>
      </w:r>
    </w:p>
    <w:p>
      <w:pPr>
        <w:spacing w:after="20" w:line="223" w:lineRule="auto"/>
        <w:jc w:val="right"/>
        <w:bidi/>
      </w:pPr>
      <w:r>
        <w:rPr>
          <w:rFonts w:ascii="Arial" w:hAnsi="Arial"/>
          <w:sz w:val="16"/>
        </w:rPr>
        <w:t>344.04  تشریح.</w:t>
      </w:r>
    </w:p>
    <w:p>
      <w:pPr>
        <w:spacing w:after="28" w:line="216" w:lineRule="auto"/>
        <w:ind w:left="259"/>
        <w:jc w:val="left"/>
      </w:pPr>
      <w:r>
        <w:rPr>
          <w:rFonts w:ascii="Arial" w:hAnsi="Arial"/>
          <w:color w:val="525252"/>
          <w:sz w:val="13"/>
        </w:rPr>
        <w:t>Debriefing.</w:t>
      </w:r>
    </w:p>
    <w:p>
      <w:pPr>
        <w:spacing w:after="20" w:line="223" w:lineRule="auto"/>
        <w:jc w:val="right"/>
        <w:bidi/>
      </w:pPr>
      <w:r>
        <w:rPr>
          <w:rFonts w:ascii="Arial" w:hAnsi="Arial"/>
          <w:sz w:val="16"/>
        </w:rPr>
        <w:t>344.05  بازنگری فرآیند پرسش از منابع انسانی همکار برای برآوردن الزامات اطلاعاتی، مطابق با قوانین قابل اجرا است.</w:t>
      </w:r>
    </w:p>
    <w:p>
      <w:pPr>
        <w:spacing w:after="28" w:line="216" w:lineRule="auto"/>
        <w:ind w:left="259"/>
        <w:jc w:val="left"/>
      </w:pPr>
      <w:r>
        <w:rPr>
          <w:rFonts w:ascii="Arial" w:hAnsi="Arial"/>
          <w:color w:val="525252"/>
          <w:sz w:val="13"/>
        </w:rPr>
        <w:t>Debriefing is the process of questioning cooperating human sources to satisfy intelligence requirements, consistent with applicable law.</w:t>
      </w:r>
    </w:p>
    <w:p>
      <w:pPr>
        <w:spacing w:after="20" w:line="223" w:lineRule="auto"/>
        <w:jc w:val="right"/>
        <w:bidi/>
      </w:pPr>
      <w:r>
        <w:rPr>
          <w:rFonts w:ascii="Arial" w:hAnsi="Arial"/>
          <w:sz w:val="16"/>
        </w:rPr>
        <w:t>344.06  منبع معمولا در بازداشت نیست و معمولا مایل به همکاری است.</w:t>
      </w:r>
    </w:p>
    <w:p>
      <w:pPr>
        <w:spacing w:after="28" w:line="216" w:lineRule="auto"/>
        <w:ind w:left="259"/>
        <w:jc w:val="left"/>
      </w:pPr>
      <w:r>
        <w:rPr>
          <w:rFonts w:ascii="Arial" w:hAnsi="Arial"/>
          <w:color w:val="525252"/>
          <w:sz w:val="13"/>
        </w:rPr>
        <w:t>The source usually is not in custody and is usually willing to cooperate.</w:t>
      </w:r>
    </w:p>
    <w:p>
      <w:pPr>
        <w:spacing w:after="20" w:line="223" w:lineRule="auto"/>
        <w:jc w:val="right"/>
        <w:bidi/>
      </w:pPr>
      <w:r>
        <w:rPr>
          <w:rFonts w:ascii="Arial" w:hAnsi="Arial"/>
          <w:sz w:val="16"/>
        </w:rPr>
        <w:t>344.07  بازبینی ممکن است در همه سطوح و در همه محیط‌های عملیاتی انجام شود.</w:t>
      </w:r>
    </w:p>
    <w:p>
      <w:pPr>
        <w:spacing w:after="28" w:line="216" w:lineRule="auto"/>
        <w:ind w:left="259"/>
        <w:jc w:val="left"/>
      </w:pPr>
      <w:r>
        <w:rPr>
          <w:rFonts w:ascii="Arial" w:hAnsi="Arial"/>
          <w:color w:val="525252"/>
          <w:sz w:val="13"/>
        </w:rPr>
        <w:t>Debriefing may be conducted at all echelons and in all operational environments.</w:t>
      </w:r>
    </w:p>
    <w:p>
      <w:pPr>
        <w:spacing w:after="20" w:line="223" w:lineRule="auto"/>
        <w:jc w:val="right"/>
        <w:bidi/>
      </w:pPr>
      <w:r>
        <w:rPr>
          <w:rFonts w:ascii="Arial" w:hAnsi="Arial"/>
          <w:sz w:val="16"/>
        </w:rPr>
        <w:t>344.08  از طریق جمع‌بندی، ملاقات‌های رو در رو، مکالمه و استنباط، اطلاعات را می‌توان از منابع انسانی مختلف به‌دست آورد.</w:t>
      </w:r>
    </w:p>
    <w:p>
      <w:pPr>
        <w:spacing w:after="28" w:line="216" w:lineRule="auto"/>
        <w:ind w:left="259"/>
        <w:jc w:val="left"/>
      </w:pPr>
      <w:r>
        <w:rPr>
          <w:rFonts w:ascii="Arial" w:hAnsi="Arial"/>
          <w:color w:val="525252"/>
          <w:sz w:val="13"/>
        </w:rPr>
        <w:t>Through debriefing, face-to-face meetings, conversations, and elicitation, information may be obtained from a variety of human sources.</w:t>
      </w:r>
    </w:p>
    <w:p>
      <w:pPr>
        <w:spacing w:after="20" w:line="223" w:lineRule="auto"/>
        <w:jc w:val="right"/>
        <w:bidi/>
      </w:pPr>
      <w:r>
        <w:rPr>
          <w:rFonts w:ascii="Arial" w:hAnsi="Arial"/>
          <w:sz w:val="16"/>
        </w:rPr>
        <w:t>344.09  سند و بهره‌برداری رسانه‌ای.</w:t>
      </w:r>
    </w:p>
    <w:p>
      <w:pPr>
        <w:spacing w:after="28" w:line="216" w:lineRule="auto"/>
        <w:ind w:left="259"/>
        <w:jc w:val="left"/>
      </w:pPr>
      <w:r>
        <w:rPr>
          <w:rFonts w:ascii="Arial" w:hAnsi="Arial"/>
          <w:color w:val="525252"/>
          <w:sz w:val="13"/>
        </w:rPr>
        <w:t>Document and Media Exploitation.</w:t>
      </w:r>
    </w:p>
    <w:p>
      <w:pPr>
        <w:spacing w:after="20" w:line="223" w:lineRule="auto"/>
        <w:jc w:val="right"/>
        <w:bidi/>
      </w:pPr>
      <w:r>
        <w:rPr>
          <w:rFonts w:ascii="Arial" w:hAnsi="Arial"/>
          <w:sz w:val="16"/>
        </w:rPr>
        <w:t>344.10  اسناد و رسانه‌های ضبط شده، زمانی که به درستی پردازش و بهره‌برداری شوند، ممکن است اطلاعات ارزشمندی مانند نقشه‌ها و نیات دشمن، مکان نیروها، قابلیت‌های تجهیزات و وضعیت لجستیکی را ارائه دهند.</w:t>
      </w:r>
    </w:p>
    <w:p>
      <w:pPr>
        <w:spacing w:after="28" w:line="216" w:lineRule="auto"/>
        <w:ind w:left="259"/>
        <w:jc w:val="left"/>
      </w:pPr>
      <w:r>
        <w:rPr>
          <w:rFonts w:ascii="Arial" w:hAnsi="Arial"/>
          <w:color w:val="525252"/>
          <w:sz w:val="13"/>
        </w:rPr>
        <w:t>Captured documents and media, when properly processed and exploited, may provide valuable information, such as adversary plans and intentions, force locations, equipment capabilities, and logistical status.</w:t>
      </w:r>
    </w:p>
    <w:p>
      <w:pPr>
        <w:spacing w:after="20" w:line="223" w:lineRule="auto"/>
        <w:jc w:val="right"/>
        <w:bidi/>
      </w:pPr>
      <w:r>
        <w:rPr>
          <w:rFonts w:ascii="Arial" w:hAnsi="Arial"/>
          <w:sz w:val="16"/>
        </w:rPr>
        <w:t>344.11  دسته "اسناد و رسانه‌های ضبط شده" شامل تمام رسانه هایی است که قادر به ذخیره اطلاعات ثابت و همچنین مواد ذخیره سازی رایانه هستند.</w:t>
      </w:r>
    </w:p>
    <w:p>
      <w:pPr>
        <w:spacing w:after="28" w:line="216" w:lineRule="auto"/>
        <w:ind w:left="259"/>
        <w:jc w:val="left"/>
      </w:pPr>
      <w:r>
        <w:rPr>
          <w:rFonts w:ascii="Arial" w:hAnsi="Arial"/>
          <w:color w:val="525252"/>
          <w:sz w:val="13"/>
        </w:rPr>
        <w:t>The category of “captured documents and media” includes all media capable of storing fixed information, as well as computer storage material.</w:t>
      </w:r>
    </w:p>
    <w:p>
      <w:pPr>
        <w:spacing w:after="20" w:line="223" w:lineRule="auto"/>
        <w:jc w:val="right"/>
        <w:bidi/>
      </w:pPr>
      <w:r>
        <w:rPr>
          <w:rFonts w:ascii="Arial" w:hAnsi="Arial"/>
          <w:sz w:val="16"/>
        </w:rPr>
        <w:t>344.12  این عملیات یک عملکرد اولیه هوش انسانی نیست، اما ممکن است توسط هر پرسنل اطلاعاتی با پشتیبانی زبانی مناسب انجام شود.</w:t>
      </w:r>
    </w:p>
    <w:p>
      <w:pPr>
        <w:spacing w:after="28" w:line="216" w:lineRule="auto"/>
        <w:ind w:left="259"/>
        <w:jc w:val="left"/>
      </w:pPr>
      <w:r>
        <w:rPr>
          <w:rFonts w:ascii="Arial" w:hAnsi="Arial"/>
          <w:color w:val="525252"/>
          <w:sz w:val="13"/>
        </w:rPr>
        <w:t>This operation is not a primary human intelligence function but may be conducted by any intelligence personnel with appropriate language support.</w:t>
      </w:r>
    </w:p>
    <w:p>
      <w:pPr>
        <w:spacing w:after="20" w:line="223" w:lineRule="auto"/>
        <w:jc w:val="right"/>
        <w:bidi/>
      </w:pPr>
      <w:r>
        <w:rPr>
          <w:rFonts w:ascii="Arial" w:hAnsi="Arial"/>
          <w:sz w:val="16"/>
        </w:rPr>
        <w:t>344.13  مناطق تهدید اطلاعات انسانی.</w:t>
      </w:r>
    </w:p>
    <w:p>
      <w:pPr>
        <w:spacing w:after="28" w:line="216" w:lineRule="auto"/>
        <w:ind w:left="259"/>
        <w:jc w:val="left"/>
      </w:pPr>
      <w:r>
        <w:rPr>
          <w:rFonts w:ascii="Arial" w:hAnsi="Arial"/>
          <w:color w:val="525252"/>
          <w:sz w:val="13"/>
        </w:rPr>
        <w:t>Human Intelligence Threat Areas.</w:t>
      </w:r>
    </w:p>
    <w:p>
      <w:pPr>
        <w:spacing w:after="20" w:line="223" w:lineRule="auto"/>
        <w:jc w:val="right"/>
        <w:bidi/>
      </w:pPr>
      <w:r>
        <w:rPr>
          <w:rFonts w:ascii="Arial" w:hAnsi="Arial"/>
          <w:sz w:val="16"/>
        </w:rPr>
        <w:t>344.14  چند منطقه تهدید اولیه در اینجا به اختصار توضیح داده شده است.</w:t>
      </w:r>
    </w:p>
    <w:p>
      <w:pPr>
        <w:spacing w:after="28" w:line="216" w:lineRule="auto"/>
        <w:ind w:left="259"/>
        <w:jc w:val="left"/>
      </w:pPr>
      <w:r>
        <w:rPr>
          <w:rFonts w:ascii="Arial" w:hAnsi="Arial"/>
          <w:color w:val="525252"/>
          <w:sz w:val="13"/>
        </w:rPr>
        <w:t>A few primary threat areas are briefly described here.</w:t>
      </w:r>
    </w:p>
    <w:p>
      <w:pPr>
        <w:spacing w:after="20" w:line="223" w:lineRule="auto"/>
        <w:jc w:val="right"/>
        <w:bidi/>
      </w:pPr>
      <w:r>
        <w:rPr>
          <w:rFonts w:ascii="Arial" w:hAnsi="Arial"/>
          <w:sz w:val="16"/>
        </w:rPr>
        <w:t>344.15  جاسوسی.</w:t>
      </w:r>
    </w:p>
    <w:p>
      <w:pPr>
        <w:spacing w:after="28" w:line="216" w:lineRule="auto"/>
        <w:ind w:left="259"/>
        <w:jc w:val="left"/>
      </w:pPr>
      <w:r>
        <w:rPr>
          <w:rFonts w:ascii="Arial" w:hAnsi="Arial"/>
          <w:color w:val="525252"/>
          <w:sz w:val="13"/>
        </w:rPr>
        <w:t>Espionage.</w:t>
      </w:r>
    </w:p>
    <w:p>
      <w:pPr>
        <w:spacing w:after="20" w:line="223" w:lineRule="auto"/>
        <w:jc w:val="right"/>
        <w:bidi/>
      </w:pPr>
      <w:r>
        <w:rPr>
          <w:rFonts w:ascii="Arial" w:hAnsi="Arial"/>
          <w:sz w:val="16"/>
        </w:rPr>
        <w:t>344.16  عمل به دست آوردن، تحویل، انتقال، برقراری ارتباط، یا دریافت اطلاعات در مورد دفاع ملی با قصد یا دلیلی مبنی بر اینکه این اطلاعات ممکن است برای آسیب رساندن به ایالات متحده یا به نفع هر کشور خارجی استفاده شود.</w:t>
      </w:r>
    </w:p>
    <w:p>
      <w:pPr>
        <w:spacing w:after="28" w:line="216" w:lineRule="auto"/>
        <w:ind w:left="259"/>
        <w:jc w:val="left"/>
      </w:pPr>
      <w:r>
        <w:rPr>
          <w:rFonts w:ascii="Arial" w:hAnsi="Arial"/>
          <w:color w:val="525252"/>
          <w:sz w:val="13"/>
        </w:rPr>
        <w:t>The act of obtaining, delivering, transmitting, communicating, or receiving information about national defense with intent or reason to believe the information may be used to the injury of the United States or to the advantage of any foreign nation.</w:t>
      </w:r>
    </w:p>
    <w:p>
      <w:pPr>
        <w:spacing w:after="20" w:line="223" w:lineRule="auto"/>
        <w:jc w:val="right"/>
        <w:bidi/>
      </w:pPr>
      <w:r>
        <w:rPr>
          <w:rFonts w:ascii="Arial" w:hAnsi="Arial"/>
          <w:sz w:val="16"/>
        </w:rPr>
        <w:t>344.17  براندازی.</w:t>
      </w:r>
    </w:p>
    <w:p>
      <w:pPr>
        <w:spacing w:after="28" w:line="216" w:lineRule="auto"/>
        <w:ind w:left="259"/>
        <w:jc w:val="left"/>
      </w:pPr>
      <w:r>
        <w:rPr>
          <w:rFonts w:ascii="Arial" w:hAnsi="Arial"/>
          <w:color w:val="525252"/>
          <w:sz w:val="13"/>
        </w:rPr>
        <w:t>Subversion.</w:t>
      </w:r>
    </w:p>
    <w:p>
      <w:pPr>
        <w:spacing w:after="20" w:line="223" w:lineRule="auto"/>
        <w:jc w:val="right"/>
        <w:bidi/>
      </w:pPr>
      <w:r>
        <w:rPr>
          <w:rFonts w:ascii="Arial" w:hAnsi="Arial"/>
          <w:sz w:val="16"/>
        </w:rPr>
        <w:t>344.18  اقدام یا اعمالی که کارکنان نظامی یا غیرنظامی وزارت دفاع را به نقض قوانین، سرپیچی از دستورات یا مقررات قانونی، یا اخلال در فعالیت‌های نظامی با نیت عمدی تحریک می‌کند، در نتیجه وفاداری، روحیه یا انضباط نیروهای مسلح ایالات متحده را مختل می‌کند.</w:t>
      </w:r>
    </w:p>
    <w:p>
      <w:pPr>
        <w:spacing w:after="28" w:line="216" w:lineRule="auto"/>
        <w:ind w:left="259"/>
        <w:jc w:val="left"/>
      </w:pPr>
      <w:r>
        <w:rPr>
          <w:rFonts w:ascii="Arial" w:hAnsi="Arial"/>
          <w:color w:val="525252"/>
          <w:sz w:val="13"/>
        </w:rPr>
        <w:t>An act or acts inciting military or civilian personnel of the Department of Defense to violate laws, disobey lawful orders or regulations, or disrupt military activities with the willful intent, thereby to interfere with or impair the loyalty, morale, or discipline of the U.S. Armed Forces.</w:t>
      </w:r>
    </w:p>
    <w:p>
      <w:pPr>
        <w:spacing w:after="20" w:line="223" w:lineRule="auto"/>
        <w:jc w:val="right"/>
        <w:bidi/>
      </w:pPr>
      <w:r>
        <w:rPr>
          <w:rFonts w:ascii="Arial" w:hAnsi="Arial"/>
          <w:sz w:val="16"/>
        </w:rPr>
        <w:t>344.19  خرابکاری.</w:t>
      </w:r>
    </w:p>
    <w:p>
      <w:pPr>
        <w:spacing w:after="28" w:line="216" w:lineRule="auto"/>
        <w:ind w:left="259"/>
        <w:jc w:val="left"/>
      </w:pPr>
      <w:r>
        <w:rPr>
          <w:rFonts w:ascii="Arial" w:hAnsi="Arial"/>
          <w:color w:val="525252"/>
          <w:sz w:val="13"/>
        </w:rPr>
        <w:t>Sabotage.</w:t>
      </w:r>
    </w:p>
    <w:p>
      <w:pPr>
        <w:spacing w:after="20" w:line="223" w:lineRule="auto"/>
        <w:jc w:val="right"/>
        <w:bidi/>
      </w:pPr>
      <w:r>
        <w:rPr>
          <w:rFonts w:ascii="Arial" w:hAnsi="Arial"/>
          <w:sz w:val="16"/>
        </w:rPr>
        <w:t>344.20  عمل یا اعمالی به قصد صدمه زدن، مداخله یا مانع تراشی در دفاع ملی یک کشور از طریق صدمه زدن یا تخریب عمدی یا تلاش برای آسیب رساندن یا تخریب هرگونه مواد دفاعی ملی یا جنگی، اماکن یا تاسیسات و نیز منابع انسانی و طبیعی.</w:t>
      </w:r>
    </w:p>
    <w:p>
      <w:pPr>
        <w:spacing w:after="28" w:line="216" w:lineRule="auto"/>
        <w:ind w:left="259"/>
        <w:jc w:val="left"/>
      </w:pPr>
      <w:r>
        <w:rPr>
          <w:rFonts w:ascii="Arial" w:hAnsi="Arial"/>
          <w:color w:val="525252"/>
          <w:sz w:val="13"/>
        </w:rPr>
        <w:t>An act or acts with intent to injure, interfere with, or obstruct the national defense of a country by willfully injuring or destroying, or attempting to injure or destroy, any national defense or war material, premises, or utilities, as well as human and natural resources.</w:t>
      </w:r>
    </w:p>
    <w:p>
      <w:pPr>
        <w:spacing w:after="20" w:line="223" w:lineRule="auto"/>
        <w:jc w:val="right"/>
        <w:bidi/>
      </w:pPr>
      <w:r>
        <w:rPr>
          <w:rFonts w:ascii="Arial" w:hAnsi="Arial"/>
          <w:sz w:val="16"/>
        </w:rPr>
        <w:t>344.21  تروریسم.</w:t>
      </w:r>
    </w:p>
    <w:p>
      <w:pPr>
        <w:spacing w:after="28" w:line="216" w:lineRule="auto"/>
        <w:ind w:left="259"/>
        <w:jc w:val="left"/>
      </w:pPr>
      <w:r>
        <w:rPr>
          <w:rFonts w:ascii="Arial" w:hAnsi="Arial"/>
          <w:color w:val="525252"/>
          <w:sz w:val="13"/>
        </w:rPr>
        <w:t>Terrorism.</w:t>
      </w:r>
    </w:p>
    <w:p>
      <w:pPr>
        <w:spacing w:after="20" w:line="223" w:lineRule="auto"/>
        <w:jc w:val="right"/>
        <w:bidi/>
      </w:pPr>
      <w:r>
        <w:rPr>
          <w:rFonts w:ascii="Arial" w:hAnsi="Arial"/>
          <w:sz w:val="16"/>
        </w:rPr>
        <w:t>344.22  استفاده حساب شده از خشونت غیرقانونی یا تهدید به خشونت غیرقانونی برای القای ترس برای اجبار یا ارعاب دولت‌ها یا جوامع در تعقیب اهدافی که عموما سیاسی، مذهبی یا ایدئولوژیک هستند.</w:t>
      </w:r>
    </w:p>
    <w:p>
      <w:pPr>
        <w:spacing w:after="28" w:line="216" w:lineRule="auto"/>
        <w:ind w:left="259"/>
        <w:jc w:val="left"/>
      </w:pPr>
      <w:r>
        <w:rPr>
          <w:rFonts w:ascii="Arial" w:hAnsi="Arial"/>
          <w:color w:val="525252"/>
          <w:sz w:val="13"/>
        </w:rPr>
        <w:t>The calculated use of unlawful violence or threat of unlawful violence to inculcate fear intended to coerce or intimidate governments or societies in the pursuit of goals that are generally political, religious, or ideological.</w:t>
      </w:r>
    </w:p>
    <w:p>
      <w:pPr>
        <w:spacing w:before="60" w:after="28"/>
        <w:jc w:val="right"/>
        <w:bidi/>
      </w:pPr>
      <w:r>
        <w:rPr>
          <w:b/>
          <w:color w:val="1F4D78"/>
          <w:sz w:val="18"/>
        </w:rPr>
        <w:t>18.31. گزارش حوادث</w:t>
      </w:r>
    </w:p>
    <w:p>
      <w:pPr>
        <w:spacing w:after="20"/>
        <w:ind w:left="259"/>
        <w:jc w:val="left"/>
      </w:pPr>
      <w:r>
        <w:rPr>
          <w:color w:val="555555"/>
          <w:sz w:val="12"/>
        </w:rPr>
        <w:t>18.31. Incident Reporting</w:t>
      </w:r>
    </w:p>
    <w:p>
      <w:pPr>
        <w:spacing w:after="20" w:line="223" w:lineRule="auto"/>
        <w:jc w:val="right"/>
        <w:bidi/>
      </w:pPr>
      <w:r>
        <w:rPr>
          <w:rFonts w:ascii="Arial" w:hAnsi="Arial"/>
          <w:sz w:val="16"/>
        </w:rPr>
        <w:t>344.24  AFI ۷۱-۱۰۱، جلد ۴، ضد جاسوسی، از افرادی که دارای مخاطبین قابل گزارش هستند یا اطلاعات قابل گزارشی را کسب می‌کنند، می‌خواهد که فورا (در عرض ۳۰ روز از تماس) تماس یا اطلاعات را به صورت شفاهی یا کتبی به AFOSI گزارش دهند.</w:t>
      </w:r>
    </w:p>
    <w:p>
      <w:pPr>
        <w:spacing w:after="28" w:line="216" w:lineRule="auto"/>
        <w:ind w:left="259"/>
        <w:jc w:val="left"/>
      </w:pPr>
      <w:r>
        <w:rPr>
          <w:rFonts w:ascii="Arial" w:hAnsi="Arial"/>
          <w:color w:val="525252"/>
          <w:sz w:val="13"/>
        </w:rPr>
        <w:t>AFI 71-101, Volume 4, Counterintelligence, requires individuals who have reportable contacts or acquire reportable information, to immediately (within 30 days of the contact) report the contact or information either verbally or in writing to AFOSI.</w:t>
      </w:r>
    </w:p>
    <w:p>
      <w:pPr>
        <w:spacing w:after="20" w:line="223" w:lineRule="auto"/>
        <w:jc w:val="right"/>
        <w:bidi/>
      </w:pPr>
      <w:r>
        <w:rPr>
          <w:rFonts w:ascii="Arial" w:hAnsi="Arial"/>
          <w:sz w:val="16"/>
        </w:rPr>
        <w:t>344.25  AFOSI تمام تحقیقات ضد جاسوسی، عملیات، جمع‌آوری و سایر فعالیت‌های مرتبط را برای USAF آغاز و انجام می‌دهد.</w:t>
      </w:r>
    </w:p>
    <w:p>
      <w:pPr>
        <w:spacing w:after="28" w:line="216" w:lineRule="auto"/>
        <w:ind w:left="259"/>
        <w:jc w:val="left"/>
      </w:pPr>
      <w:r>
        <w:rPr>
          <w:rFonts w:ascii="Arial" w:hAnsi="Arial"/>
          <w:color w:val="525252"/>
          <w:sz w:val="13"/>
        </w:rPr>
        <w:t>The AFOSI initiates and conducts all counterintelligence investigations, operations, collections, and other related activities for the USAF.</w:t>
      </w:r>
    </w:p>
    <w:p>
      <w:pPr>
        <w:spacing w:after="20" w:line="223" w:lineRule="auto"/>
        <w:jc w:val="right"/>
        <w:bidi/>
      </w:pPr>
      <w:r>
        <w:rPr>
          <w:rFonts w:ascii="Arial" w:hAnsi="Arial"/>
          <w:sz w:val="16"/>
        </w:rPr>
        <w:t>344.26  در صورت لزوم، یا در خارج از کشور، AFOSI این فعالیت‌ها را با آژانس اطلاعات مرکزی و دفتر تحقیقات فدرال هماهنگ می‌کند.</w:t>
      </w:r>
    </w:p>
    <w:p>
      <w:pPr>
        <w:spacing w:after="28" w:line="216" w:lineRule="auto"/>
        <w:ind w:left="259"/>
        <w:jc w:val="left"/>
      </w:pPr>
      <w:r>
        <w:rPr>
          <w:rFonts w:ascii="Arial" w:hAnsi="Arial"/>
          <w:color w:val="525252"/>
          <w:sz w:val="13"/>
        </w:rPr>
        <w:t>When appropriate, or when overseas, AFOSI coordinates these activities with the Central Intelligence Agency and the Federal Bureau of Investigation.</w:t>
      </w:r>
    </w:p>
    <w:p>
      <w:pPr>
        <w:spacing w:after="20" w:line="223" w:lineRule="auto"/>
        <w:jc w:val="right"/>
        <w:bidi/>
      </w:pPr>
      <w:r>
        <w:rPr>
          <w:rFonts w:ascii="Arial" w:hAnsi="Arial"/>
          <w:sz w:val="16"/>
        </w:rPr>
        <w:t>344.27  AFOSI همچنین آژانس آموزشی در سطح نصب برای جلسات توجیهی آگاهی ضد جاسوسی است و تنها مخزن USAF برای جمع‌آوری و نگهداری اطلاعات قابل گزارش است.</w:t>
      </w:r>
    </w:p>
    <w:p>
      <w:pPr>
        <w:spacing w:after="28" w:line="216" w:lineRule="auto"/>
        <w:ind w:left="259"/>
        <w:jc w:val="left"/>
      </w:pPr>
      <w:r>
        <w:rPr>
          <w:rFonts w:ascii="Arial" w:hAnsi="Arial"/>
          <w:color w:val="525252"/>
          <w:sz w:val="13"/>
        </w:rPr>
        <w:t>The AFOSI is also the installation- level training agency for counterintelligence awareness briefings and is the sole USAF repository for the collection and retention of reportable information.</w:t>
      </w:r>
    </w:p>
    <w:p>
      <w:pPr>
        <w:spacing w:after="20" w:line="223" w:lineRule="auto"/>
        <w:jc w:val="right"/>
        <w:bidi/>
      </w:pPr>
      <w:r>
        <w:rPr>
          <w:rFonts w:ascii="Arial" w:hAnsi="Arial"/>
          <w:sz w:val="16"/>
        </w:rPr>
        <w:t>344.28  تماس به هرگونه تبادل اطلاعاتی که به یک فرد ارسال می‌شود، از جمله تماس‌های تلفنی خواسته یا ناخواسته، ایمیل، تماس رادیویی و ملاقات‌های حضوری تعریف می‌شود.</w:t>
      </w:r>
    </w:p>
    <w:p>
      <w:pPr>
        <w:spacing w:after="28" w:line="216" w:lineRule="auto"/>
        <w:ind w:left="259"/>
        <w:jc w:val="left"/>
      </w:pPr>
      <w:r>
        <w:rPr>
          <w:rFonts w:ascii="Arial" w:hAnsi="Arial"/>
          <w:color w:val="525252"/>
          <w:sz w:val="13"/>
        </w:rPr>
        <w:t>Contact is defined as any exchange of information directed to an individual, including solicited or unsolicited telephone calls, e-mail, radio contact, and face-to-face meetings.</w:t>
      </w:r>
    </w:p>
    <w:p>
      <w:pPr>
        <w:spacing w:after="20" w:line="223" w:lineRule="auto"/>
        <w:jc w:val="right"/>
        <w:bidi/>
      </w:pPr>
      <w:r>
        <w:rPr>
          <w:rFonts w:ascii="Arial" w:hAnsi="Arial"/>
          <w:sz w:val="16"/>
        </w:rPr>
        <w:t>344.29  مثالها عبارتند از: تماس با یک نهاد دیپلماتیک خارجی. درخواست هر کسی برای دسترسی غیرقانونی یا غیرمجاز به اطلاعات کنترل شده طبقه بندی شده یا طبقه بندی نشده؛ تماس شخصی با هر فردی</w:t>
      </w:r>
    </w:p>
    <w:p>
      <w:pPr>
        <w:spacing w:after="28" w:line="216" w:lineRule="auto"/>
        <w:ind w:left="259"/>
        <w:jc w:val="left"/>
      </w:pPr>
      <w:r>
        <w:rPr>
          <w:rFonts w:ascii="Arial" w:hAnsi="Arial"/>
          <w:color w:val="525252"/>
          <w:sz w:val="13"/>
        </w:rPr>
        <w:t>Examples include: contact with a foreign diplomatic establishment; a request by anyone for illegal or unauthorized access to classified or unclassified controlled information; personal contact with any individual</w:t>
      </w:r>
    </w:p>
    <w:p>
      <w:r>
        <w:br w:type="page"/>
      </w:r>
    </w:p>
    <w:p>
      <w:pPr>
        <w:spacing w:after="60"/>
        <w:jc w:val="right"/>
        <w:bidi/>
      </w:pPr>
      <w:r>
        <w:rPr>
          <w:rFonts w:ascii="Arial" w:hAnsi="Arial"/>
          <w:b/>
          <w:color w:val="1F4D78"/>
          <w:sz w:val="19"/>
        </w:rPr>
        <w:t>هفتهٔ 345  |  صفحهٔ منبع: 361</w:t>
      </w:r>
    </w:p>
    <w:p>
      <w:pPr>
        <w:spacing w:after="20" w:line="223" w:lineRule="auto"/>
        <w:jc w:val="right"/>
        <w:bidi/>
      </w:pPr>
      <w:r>
        <w:rPr>
          <w:rFonts w:ascii="Arial" w:hAnsi="Arial"/>
          <w:sz w:val="16"/>
        </w:rPr>
        <w:t>345.01  که پیشنهاد می‌کند یک سازمان اطلاعاتی خارجی یا هر سازمان تروریستی ممکن است او یا دیگران را برای بهره‌برداری اطلاعاتی احتمالی هدف قرار داده باشد. یا دریافت اطلاعاتی که نشان می‌دهد اعضای نظامی، کارمندان غیرنظامی یا پیمانکاران وزارت دفاع به مصالحه عمدی یا انتشار غیرمجاز اطلاعات کنترل شده طبقه بندی شده یا طبقه بندی نشده فکر کرده‌اند، تلاش کرده‌اند، یا انجام داده‌اند.</w:t>
      </w:r>
    </w:p>
    <w:p>
      <w:pPr>
        <w:spacing w:after="28" w:line="216" w:lineRule="auto"/>
        <w:ind w:left="259"/>
        <w:jc w:val="left"/>
      </w:pPr>
      <w:r>
        <w:rPr>
          <w:rFonts w:ascii="Arial" w:hAnsi="Arial"/>
          <w:color w:val="525252"/>
          <w:sz w:val="13"/>
        </w:rPr>
        <w:t>who suggests that a foreign intelligence or any terrorist organization may have targeted him or her or others for possible intelligence exploitation; or receipt of information indicating military members, civilian employees, or Department of Defense contractors have contemplated, attempted, or effected the deliberate compromise or unauthorized release of classified or unclassified controlled information.</w:t>
      </w:r>
    </w:p>
    <w:p>
      <w:pPr>
        <w:spacing w:after="20" w:line="223" w:lineRule="auto"/>
        <w:jc w:val="right"/>
        <w:bidi/>
      </w:pPr>
      <w:r>
        <w:rPr>
          <w:rFonts w:ascii="Arial" w:hAnsi="Arial"/>
          <w:sz w:val="16"/>
        </w:rPr>
        <w:t>345.02  ضد تروریسم USAF چشم و گوش همه نظامیان، غیرنظامیان، پیمانکاران و وابستگان USAF را جلب می‌کند.</w:t>
      </w:r>
    </w:p>
    <w:p>
      <w:pPr>
        <w:spacing w:after="28" w:line="216" w:lineRule="auto"/>
        <w:ind w:left="259"/>
        <w:jc w:val="left"/>
      </w:pPr>
      <w:r>
        <w:rPr>
          <w:rFonts w:ascii="Arial" w:hAnsi="Arial"/>
          <w:color w:val="525252"/>
          <w:sz w:val="13"/>
        </w:rPr>
        <w:t>USAF antiterrorism enlists the eyes and ears of all USAF military, civilians, contractors, and dependents.</w:t>
      </w:r>
    </w:p>
    <w:p>
      <w:pPr>
        <w:spacing w:after="20" w:line="223" w:lineRule="auto"/>
        <w:jc w:val="right"/>
        <w:bidi/>
      </w:pPr>
      <w:r>
        <w:rPr>
          <w:rFonts w:ascii="Arial" w:hAnsi="Arial"/>
          <w:sz w:val="16"/>
        </w:rPr>
        <w:t>345.03  هر یک از تاسیسات، رویه‌هایی را در طرح ضدتروریسم نصب خود در مورد نحوه دریافت و ثبت گزارش‌های فعالیت مشکوک و گزارش‌های حوادث مشکوک و ارسال سریع آن گزارش‌ها به AFOSI سرویس‌دهنده خود شرح می‌دهد.</w:t>
      </w:r>
    </w:p>
    <w:p>
      <w:pPr>
        <w:spacing w:after="28" w:line="216" w:lineRule="auto"/>
        <w:ind w:left="259"/>
        <w:jc w:val="left"/>
      </w:pPr>
      <w:r>
        <w:rPr>
          <w:rFonts w:ascii="Arial" w:hAnsi="Arial"/>
          <w:color w:val="525252"/>
          <w:sz w:val="13"/>
        </w:rPr>
        <w:t>Each installation outlines procedures in their installation antiterrorism plan on how to receive and log suspicious activity reports and suspicious incident reports and pass those reports expeditiously to their servicing AFOSI.</w:t>
      </w:r>
    </w:p>
    <w:p>
      <w:pPr>
        <w:spacing w:before="60" w:after="28"/>
        <w:jc w:val="right"/>
        <w:bidi/>
      </w:pPr>
      <w:r>
        <w:rPr>
          <w:b/>
          <w:color w:val="1F4D78"/>
          <w:sz w:val="18"/>
        </w:rPr>
        <w:t>18.32. حمایت از رئیس جمهور و دیگران</w:t>
      </w:r>
    </w:p>
    <w:p>
      <w:pPr>
        <w:spacing w:after="20"/>
        <w:ind w:left="259"/>
        <w:jc w:val="left"/>
      </w:pPr>
      <w:r>
        <w:rPr>
          <w:color w:val="555555"/>
          <w:sz w:val="12"/>
        </w:rPr>
        <w:t>18.32. Protection of the President and Others</w:t>
      </w:r>
    </w:p>
    <w:p>
      <w:pPr>
        <w:spacing w:after="20" w:line="223" w:lineRule="auto"/>
        <w:jc w:val="right"/>
        <w:bidi/>
      </w:pPr>
      <w:r>
        <w:rPr>
          <w:rFonts w:ascii="Arial" w:hAnsi="Arial"/>
          <w:sz w:val="16"/>
        </w:rPr>
        <w:t>345.05  همانطور که در AFI ۷۱-۱۰۱، جلد ۲، امور خدمات حفاظتی بیان شده است، به دلیل توافق رسمی بین وزارت دفاع و سرویس مخفی ایالات متحده، افراد وابسته به نیروهای مسلح ایالات متحده موظفند اطلاعات مربوط به ایمنی و حفاظت از سرویس مخفی ایالات متحده یا هر شخص دیگری را که تحت حمایت سرویس مخفی ایالات متحده است گزارش دهند.</w:t>
      </w:r>
    </w:p>
    <w:p>
      <w:pPr>
        <w:spacing w:after="28" w:line="216" w:lineRule="auto"/>
        <w:ind w:left="259"/>
        <w:jc w:val="left"/>
      </w:pPr>
      <w:r>
        <w:rPr>
          <w:rFonts w:ascii="Arial" w:hAnsi="Arial"/>
          <w:color w:val="525252"/>
          <w:sz w:val="13"/>
        </w:rPr>
        <w:t>As stated in AFI 71-101, Volume 2, Protective Service Matters, because of a formal agreement between the Department of Defense and U.S. Secret Service, individuals affiliated with the U.S. Armed Forces have a special obligation to report information regarding the safety and protection of the U.S. President or anyone else under the protection of the U.S. Secret Service.</w:t>
      </w:r>
    </w:p>
    <w:p>
      <w:pPr>
        <w:spacing w:after="20" w:line="223" w:lineRule="auto"/>
        <w:jc w:val="right"/>
        <w:bidi/>
      </w:pPr>
      <w:r>
        <w:rPr>
          <w:rFonts w:ascii="Arial" w:hAnsi="Arial"/>
          <w:sz w:val="16"/>
        </w:rPr>
        <w:t>345.06  این شامل معاون رئیس جمهور، رئیس جمهور و معاون رئیس جمهور منتخب، و سران کشورهای خارجی یا دولت‌های خارجی می‌شود.</w:t>
      </w:r>
    </w:p>
    <w:p>
      <w:pPr>
        <w:spacing w:after="28" w:line="216" w:lineRule="auto"/>
        <w:ind w:left="259"/>
        <w:jc w:val="left"/>
      </w:pPr>
      <w:r>
        <w:rPr>
          <w:rFonts w:ascii="Arial" w:hAnsi="Arial"/>
          <w:color w:val="525252"/>
          <w:sz w:val="13"/>
        </w:rPr>
        <w:t>This includes the Vice President, the President- and Vice President-elect, and visiting heads of foreign states or foreign governments.</w:t>
      </w:r>
    </w:p>
    <w:p>
      <w:pPr>
        <w:spacing w:after="20" w:line="223" w:lineRule="auto"/>
        <w:jc w:val="right"/>
        <w:bidi/>
      </w:pPr>
      <w:r>
        <w:rPr>
          <w:rFonts w:ascii="Arial" w:hAnsi="Arial"/>
          <w:sz w:val="16"/>
        </w:rPr>
        <w:t>345.07  در بیشتر موارد، روسای جمهور سابق و همسرانشان نیز از خدمات مخفی ایالات متحده حمایت مادام العمر برخوردار می‌شوند.</w:t>
      </w:r>
    </w:p>
    <w:p>
      <w:pPr>
        <w:spacing w:after="28" w:line="216" w:lineRule="auto"/>
        <w:ind w:left="259"/>
        <w:jc w:val="left"/>
      </w:pPr>
      <w:r>
        <w:rPr>
          <w:rFonts w:ascii="Arial" w:hAnsi="Arial"/>
          <w:color w:val="525252"/>
          <w:sz w:val="13"/>
        </w:rPr>
        <w:t>In most cases, former Presidents and their spouses are also afforded lifetime protection of the U.S. Secret Service.</w:t>
      </w:r>
    </w:p>
    <w:p>
      <w:r>
        <w:br w:type="page"/>
      </w:r>
    </w:p>
    <w:p>
      <w:pPr>
        <w:spacing w:after="60"/>
        <w:jc w:val="right"/>
        <w:bidi/>
      </w:pPr>
      <w:r>
        <w:rPr>
          <w:rFonts w:ascii="Arial" w:hAnsi="Arial"/>
          <w:b/>
          <w:color w:val="1F4D78"/>
          <w:sz w:val="19"/>
        </w:rPr>
        <w:t>هفتهٔ 346  |  صفحهٔ منبع: 362</w:t>
      </w:r>
    </w:p>
    <w:p>
      <w:pPr>
        <w:spacing w:before="60" w:after="28"/>
        <w:jc w:val="right"/>
        <w:bidi/>
      </w:pPr>
      <w:r>
        <w:rPr>
          <w:b/>
          <w:color w:val="1F4D78"/>
          <w:sz w:val="18"/>
        </w:rPr>
        <w:t>فصل 19</w:t>
      </w:r>
    </w:p>
    <w:p>
      <w:pPr>
        <w:spacing w:after="20"/>
        <w:ind w:left="259"/>
        <w:jc w:val="left"/>
      </w:pPr>
      <w:r>
        <w:rPr>
          <w:color w:val="555555"/>
          <w:sz w:val="12"/>
        </w:rPr>
        <w:t>Chapter 19</w:t>
      </w:r>
    </w:p>
    <w:p>
      <w:pPr>
        <w:spacing w:before="60" w:after="28"/>
        <w:jc w:val="right"/>
        <w:bidi/>
      </w:pPr>
      <w:r>
        <w:rPr>
          <w:b/>
          <w:color w:val="1F4D78"/>
          <w:sz w:val="18"/>
        </w:rPr>
        <w:t>استانداردهای رفتار</w:t>
      </w:r>
    </w:p>
    <w:p>
      <w:pPr>
        <w:spacing w:after="20"/>
        <w:ind w:left="259"/>
        <w:jc w:val="left"/>
      </w:pPr>
      <w:r>
        <w:rPr>
          <w:color w:val="555555"/>
          <w:sz w:val="12"/>
        </w:rPr>
        <w:t>STANDARDS OF CONDUCT</w:t>
      </w:r>
    </w:p>
    <w:p>
      <w:pPr>
        <w:spacing w:before="60" w:after="28"/>
        <w:jc w:val="right"/>
        <w:bidi/>
      </w:pPr>
      <w:r>
        <w:rPr>
          <w:b/>
          <w:color w:val="1F4D78"/>
          <w:sz w:val="18"/>
        </w:rPr>
        <w:t>بخش 19A - راه زندگی</w:t>
      </w:r>
    </w:p>
    <w:p>
      <w:pPr>
        <w:spacing w:after="20"/>
        <w:ind w:left="259"/>
        <w:jc w:val="left"/>
      </w:pPr>
      <w:r>
        <w:rPr>
          <w:color w:val="555555"/>
          <w:sz w:val="12"/>
        </w:rPr>
        <w:t>Section 19A—Way of Life</w:t>
      </w:r>
    </w:p>
    <w:p>
      <w:pPr>
        <w:spacing w:before="60" w:after="28"/>
        <w:jc w:val="right"/>
        <w:bidi/>
      </w:pPr>
      <w:r>
        <w:rPr>
          <w:b/>
          <w:color w:val="1F4D78"/>
          <w:sz w:val="18"/>
        </w:rPr>
        <w:t>19.1. راه زندگی USAF</w:t>
      </w:r>
    </w:p>
    <w:p>
      <w:pPr>
        <w:spacing w:after="20"/>
        <w:ind w:left="259"/>
        <w:jc w:val="left"/>
      </w:pPr>
      <w:r>
        <w:rPr>
          <w:color w:val="555555"/>
          <w:sz w:val="12"/>
        </w:rPr>
        <w:t>19.1. USAF Way of Life</w:t>
      </w:r>
    </w:p>
    <w:p>
      <w:pPr>
        <w:spacing w:after="20" w:line="223" w:lineRule="auto"/>
        <w:jc w:val="right"/>
        <w:bidi/>
      </w:pPr>
      <w:r>
        <w:rPr>
          <w:rFonts w:ascii="Arial" w:hAnsi="Arial"/>
          <w:sz w:val="16"/>
        </w:rPr>
        <w:t>346.05  کارمندان USAF ملزم به رعایت استانداردهای رفتاری تجویز شده در تمام امور رسمی و همچنین در زمان خارج از وظیفه هستند.</w:t>
      </w:r>
    </w:p>
    <w:p>
      <w:pPr>
        <w:spacing w:after="28" w:line="216" w:lineRule="auto"/>
        <w:ind w:left="259"/>
        <w:jc w:val="left"/>
      </w:pPr>
      <w:r>
        <w:rPr>
          <w:rFonts w:ascii="Arial" w:hAnsi="Arial"/>
          <w:color w:val="525252"/>
          <w:sz w:val="13"/>
        </w:rPr>
        <w:t>USAF employees are required to comply with prescribed standards of conduct in all official matters, as well as when off-duty.</w:t>
      </w:r>
    </w:p>
    <w:p>
      <w:pPr>
        <w:spacing w:after="20" w:line="223" w:lineRule="auto"/>
        <w:jc w:val="right"/>
        <w:bidi/>
      </w:pPr>
      <w:r>
        <w:rPr>
          <w:rFonts w:ascii="Arial" w:hAnsi="Arial"/>
          <w:sz w:val="16"/>
        </w:rPr>
        <w:t>346.06  این بدان معناست که از هوانوردان نظامی و غیرنظامی (رگاف، نیروهای رزرو نیروی هوایی، و گارد ملی هوایی) انتظار می‌رود که استانداردهای بالایی از صداقت، مسئولیت‌پذیری و مسئولیت‌پذیری را حفظ کنند، و همچنین به ارزش‌های اصلی USAF مانند صداقت، خدمات قبل از خود، و برتری در هر کاری که انجام می‌دهیم پایبند باشند.</w:t>
      </w:r>
    </w:p>
    <w:p>
      <w:pPr>
        <w:spacing w:after="28" w:line="216" w:lineRule="auto"/>
        <w:ind w:left="259"/>
        <w:jc w:val="left"/>
      </w:pPr>
      <w:r>
        <w:rPr>
          <w:rFonts w:ascii="Arial" w:hAnsi="Arial"/>
          <w:color w:val="525252"/>
          <w:sz w:val="13"/>
        </w:rPr>
        <w:t>This means military and civilian Airmen (RegAF, Air Force Reserve, and Air National Guard) are all expected to maintain high standards of honesty, responsibility, and accountability, as well as adhere to the USAF core values of Integrity First, Service Before Self, and Excellence In All We Do.</w:t>
      </w:r>
    </w:p>
    <w:p>
      <w:pPr>
        <w:spacing w:after="20" w:line="223" w:lineRule="auto"/>
        <w:jc w:val="right"/>
        <w:bidi/>
      </w:pPr>
      <w:r>
        <w:rPr>
          <w:rFonts w:ascii="Arial" w:hAnsi="Arial"/>
          <w:sz w:val="16"/>
        </w:rPr>
        <w:t>346.07  به‌عنوان هوانورد، ما به استانداردهای بالای خود افتخار می‌کنیم، به آنها پایبند هستیم و هموطنان خود را مسئول می‌دانیم.</w:t>
      </w:r>
    </w:p>
    <w:p>
      <w:pPr>
        <w:spacing w:after="28" w:line="216" w:lineRule="auto"/>
        <w:ind w:left="259"/>
        <w:jc w:val="left"/>
      </w:pPr>
      <w:r>
        <w:rPr>
          <w:rFonts w:ascii="Arial" w:hAnsi="Arial"/>
          <w:color w:val="525252"/>
          <w:sz w:val="13"/>
        </w:rPr>
        <w:t>As Airmen, we are proud of our high standards, adhere to them, and hold our fellow Airmen accountable.</w:t>
      </w:r>
    </w:p>
    <w:p>
      <w:pPr>
        <w:spacing w:after="20" w:line="223" w:lineRule="auto"/>
        <w:jc w:val="right"/>
        <w:bidi/>
      </w:pPr>
      <w:r>
        <w:rPr>
          <w:rFonts w:ascii="Arial" w:hAnsi="Arial"/>
          <w:sz w:val="16"/>
        </w:rPr>
        <w:t>346.08  استانداردهای نیروی هوایی.</w:t>
      </w:r>
    </w:p>
    <w:p>
      <w:pPr>
        <w:spacing w:after="28" w:line="216" w:lineRule="auto"/>
        <w:ind w:left="259"/>
        <w:jc w:val="left"/>
      </w:pPr>
      <w:r>
        <w:rPr>
          <w:rFonts w:ascii="Arial" w:hAnsi="Arial"/>
          <w:color w:val="525252"/>
          <w:sz w:val="13"/>
        </w:rPr>
        <w:t>Air Force Standards.</w:t>
      </w:r>
    </w:p>
    <w:p>
      <w:pPr>
        <w:spacing w:after="20" w:line="223" w:lineRule="auto"/>
        <w:jc w:val="right"/>
        <w:bidi/>
      </w:pPr>
      <w:r>
        <w:rPr>
          <w:rFonts w:ascii="Arial" w:hAnsi="Arial"/>
          <w:sz w:val="16"/>
        </w:rPr>
        <w:t>346.09  مأموریت USAF برای امنیت ملی، ثبات جهانی و روابط بین‌المللی حیاتی است.</w:t>
      </w:r>
    </w:p>
    <w:p>
      <w:pPr>
        <w:spacing w:after="28" w:line="216" w:lineRule="auto"/>
        <w:ind w:left="259"/>
        <w:jc w:val="left"/>
      </w:pPr>
      <w:r>
        <w:rPr>
          <w:rFonts w:ascii="Arial" w:hAnsi="Arial"/>
          <w:color w:val="525252"/>
          <w:sz w:val="13"/>
        </w:rPr>
        <w:t>The USAF’s mission is critical to national security, global stability, and international relations.</w:t>
      </w:r>
    </w:p>
    <w:p>
      <w:pPr>
        <w:spacing w:after="20" w:line="223" w:lineRule="auto"/>
        <w:jc w:val="right"/>
        <w:bidi/>
      </w:pPr>
      <w:r>
        <w:rPr>
          <w:rFonts w:ascii="Arial" w:hAnsi="Arial"/>
          <w:sz w:val="16"/>
        </w:rPr>
        <w:t>346.10  هر یک از اعضا وظایف خاصی برای انجام وظیفه خود در مأموریت دارد.</w:t>
      </w:r>
    </w:p>
    <w:p>
      <w:pPr>
        <w:spacing w:after="28" w:line="216" w:lineRule="auto"/>
        <w:ind w:left="259"/>
        <w:jc w:val="left"/>
      </w:pPr>
      <w:r>
        <w:rPr>
          <w:rFonts w:ascii="Arial" w:hAnsi="Arial"/>
          <w:color w:val="525252"/>
          <w:sz w:val="13"/>
        </w:rPr>
        <w:t>Each member has specific responsibilities for accomplishing his or her part in the mission.</w:t>
      </w:r>
    </w:p>
    <w:p>
      <w:pPr>
        <w:spacing w:after="20" w:line="223" w:lineRule="auto"/>
        <w:jc w:val="right"/>
        <w:bidi/>
      </w:pPr>
      <w:r>
        <w:rPr>
          <w:rFonts w:ascii="Arial" w:hAnsi="Arial"/>
          <w:sz w:val="16"/>
        </w:rPr>
        <w:t>346.11  AFI ۱-۱ بیان می‌کند که اهمیت مأموریت USAF و مسئولیت ذاتی آن در قبال کشور، اعضای آن را ملزم می‌کند که استانداردهای بالاتر از استانداردهای مورد انتظار در زندگی غیرنظامی را رعایت کنند.</w:t>
      </w:r>
    </w:p>
    <w:p>
      <w:pPr>
        <w:spacing w:after="28" w:line="216" w:lineRule="auto"/>
        <w:ind w:left="259"/>
        <w:jc w:val="left"/>
      </w:pPr>
      <w:r>
        <w:rPr>
          <w:rFonts w:ascii="Arial" w:hAnsi="Arial"/>
          <w:color w:val="525252"/>
          <w:sz w:val="13"/>
        </w:rPr>
        <w:t>AFI 1-1 states that the importance of the USAF’s mission and its inherent responsibility to the nation require its members to adhere to higher standards than those expected in civilian life.</w:t>
      </w:r>
    </w:p>
    <w:p>
      <w:pPr>
        <w:spacing w:after="20" w:line="223" w:lineRule="auto"/>
        <w:jc w:val="right"/>
        <w:bidi/>
      </w:pPr>
      <w:r>
        <w:rPr>
          <w:rFonts w:ascii="Arial" w:hAnsi="Arial"/>
          <w:sz w:val="16"/>
        </w:rPr>
        <w:t>346.12  در حالی که سیاست‌های فعلی وزارت دفاع و USAF رهنمودهای خاصی را در مورد استانداردها ارائه می‌دهند، رهبران باید اطمینان حاصل کنند که اعضا از استانداردهای USAF مطلع می‌شوند و اقدامات به موقع و مناسب برای اطمینان از مطابقت استانداردها با روح و هدف سیاست USAF در مورد رفتار صحیح انجام می‌دهند.</w:t>
      </w:r>
    </w:p>
    <w:p>
      <w:pPr>
        <w:spacing w:after="28" w:line="216" w:lineRule="auto"/>
        <w:ind w:left="259"/>
        <w:jc w:val="left"/>
      </w:pPr>
      <w:r>
        <w:rPr>
          <w:rFonts w:ascii="Arial" w:hAnsi="Arial"/>
          <w:color w:val="525252"/>
          <w:sz w:val="13"/>
        </w:rPr>
        <w:t>While current Department of Defense and USAF policies provide specific guidance on standards, leaders must ensure members are kept informed of the USAF standards and take timely and appropriate actions to ensure standards meet the spirit and intent of USAF policy on proper conduct.</w:t>
      </w:r>
    </w:p>
    <w:p>
      <w:pPr>
        <w:spacing w:before="60" w:after="28"/>
        <w:jc w:val="right"/>
        <w:bidi/>
      </w:pPr>
      <w:r>
        <w:rPr>
          <w:b/>
          <w:color w:val="1F4D78"/>
          <w:sz w:val="18"/>
        </w:rPr>
        <w:t>19.2. فرآیند انتشارات USAF</w:t>
      </w:r>
    </w:p>
    <w:p>
      <w:pPr>
        <w:spacing w:after="20"/>
        <w:ind w:left="259"/>
        <w:jc w:val="left"/>
      </w:pPr>
      <w:r>
        <w:rPr>
          <w:color w:val="555555"/>
          <w:sz w:val="12"/>
        </w:rPr>
        <w:t>19.2. USAF Publications Process</w:t>
      </w:r>
    </w:p>
    <w:p>
      <w:pPr>
        <w:spacing w:after="20" w:line="223" w:lineRule="auto"/>
        <w:jc w:val="right"/>
        <w:bidi/>
      </w:pPr>
      <w:r>
        <w:rPr>
          <w:rFonts w:ascii="Arial" w:hAnsi="Arial"/>
          <w:sz w:val="16"/>
        </w:rPr>
        <w:t>346.14  USAF باید تمام نشریات را مطابق با DAFI ۹۰-۱۶۰، انتشارات و مدیریت فرم‌ها آماده کند.</w:t>
      </w:r>
    </w:p>
    <w:p>
      <w:pPr>
        <w:spacing w:after="28" w:line="216" w:lineRule="auto"/>
        <w:ind w:left="259"/>
        <w:jc w:val="left"/>
      </w:pPr>
      <w:r>
        <w:rPr>
          <w:rFonts w:ascii="Arial" w:hAnsi="Arial"/>
          <w:color w:val="525252"/>
          <w:sz w:val="13"/>
        </w:rPr>
        <w:t>The USAF shall prepare all publications in accordance with DAFI 90-160, Publications and Forms Management.</w:t>
      </w:r>
    </w:p>
    <w:p>
      <w:pPr>
        <w:spacing w:after="20" w:line="223" w:lineRule="auto"/>
        <w:jc w:val="right"/>
        <w:bidi/>
      </w:pPr>
      <w:r>
        <w:rPr>
          <w:rFonts w:ascii="Arial" w:hAnsi="Arial"/>
          <w:sz w:val="16"/>
        </w:rPr>
        <w:t>346.15  این شامل دستورالعمل‌های خط‌مشی، دستورالعمل‌ها، دستورالعمل‌ها، دستورالعمل‌های مأموریت، و دستورالعمل‌های عملیاتی است، اما محدود به آن‌ها نیست.</w:t>
      </w:r>
    </w:p>
    <w:p>
      <w:pPr>
        <w:spacing w:after="28" w:line="216" w:lineRule="auto"/>
        <w:ind w:left="259"/>
        <w:jc w:val="left"/>
      </w:pPr>
      <w:r>
        <w:rPr>
          <w:rFonts w:ascii="Arial" w:hAnsi="Arial"/>
          <w:color w:val="525252"/>
          <w:sz w:val="13"/>
        </w:rPr>
        <w:t>This includes, but is not limited to, policy directives, instructions, manuals, mission directives, and operating instructions.</w:t>
      </w:r>
    </w:p>
    <w:p>
      <w:pPr>
        <w:spacing w:after="20" w:line="223" w:lineRule="auto"/>
        <w:jc w:val="right"/>
        <w:bidi/>
      </w:pPr>
      <w:r>
        <w:rPr>
          <w:rFonts w:ascii="Arial" w:hAnsi="Arial"/>
          <w:sz w:val="16"/>
        </w:rPr>
        <w:t>346.16  رهنمودهای اضافی در مورد تهیه پیش‌نویس دستورالعمل‌های مأموریت و دستورالعمل‌های عملیاتی موجود در این یادداشت راهنمایی، شامل دستورالعمل‌های مأموریتی نمی‌شود که توسط دستورالعمل‌های عملیات ستادی (HOI) ۹۰-۱، دستورالعمل‌های مأموریت نیروی هوایی ستاد و دستورالعمل‌های وزارت دفاع یا برنامه‌های سازمان دفاع۱۰، ا۱۰-۳۸ اداره می‌شوند.</w:t>
      </w:r>
    </w:p>
    <w:p>
      <w:pPr>
        <w:spacing w:after="28" w:line="216" w:lineRule="auto"/>
        <w:ind w:left="259"/>
        <w:jc w:val="left"/>
      </w:pPr>
      <w:r>
        <w:rPr>
          <w:rFonts w:ascii="Arial" w:hAnsi="Arial"/>
          <w:color w:val="525252"/>
          <w:sz w:val="13"/>
        </w:rPr>
        <w:t>Additional guidance regarding the drafting of mission directives and operating instructions found in this guidance memorandum does not apply to mission directives, which are governed by Headquarters Operating Instruction (HOI) 90-1, Headquarters Air Force Mission Directives and Department of Defense Issuances Program or AFI 38-101, Manpower and Organization.</w:t>
      </w:r>
    </w:p>
    <w:p>
      <w:pPr>
        <w:spacing w:after="20" w:line="223" w:lineRule="auto"/>
        <w:jc w:val="right"/>
        <w:bidi/>
      </w:pPr>
      <w:r>
        <w:rPr>
          <w:rFonts w:ascii="Arial" w:hAnsi="Arial"/>
          <w:sz w:val="16"/>
        </w:rPr>
        <w:t>346.17  دستورالعمل سیاست DAF (DAFPD).</w:t>
      </w:r>
    </w:p>
    <w:p>
      <w:pPr>
        <w:spacing w:after="28" w:line="216" w:lineRule="auto"/>
        <w:ind w:left="259"/>
        <w:jc w:val="left"/>
      </w:pPr>
      <w:r>
        <w:rPr>
          <w:rFonts w:ascii="Arial" w:hAnsi="Arial"/>
          <w:color w:val="525252"/>
          <w:sz w:val="13"/>
        </w:rPr>
        <w:t>DAF Policy Directive (DAFPD).</w:t>
      </w:r>
    </w:p>
    <w:p>
      <w:pPr>
        <w:spacing w:after="20" w:line="223" w:lineRule="auto"/>
        <w:jc w:val="right"/>
        <w:bidi/>
      </w:pPr>
      <w:r>
        <w:rPr>
          <w:rFonts w:ascii="Arial" w:hAnsi="Arial"/>
          <w:sz w:val="16"/>
        </w:rPr>
        <w:t>346.18  DAFPD دستورات وزیر نیروی هوایی است و حاوی بیانیه‌های خط‌مشی دستورالعملی است که اداره نیروی هوایی را به اجرای احکام وزارت دفاع یا سایر مقامات خارج از کشور هدایت می‌کند، اما برای وزارت نیروی هوایی که نیازمند اقدام وزارت نیروی هوایی است الزام‌آور است.</w:t>
      </w:r>
    </w:p>
    <w:p>
      <w:pPr>
        <w:spacing w:after="28" w:line="216" w:lineRule="auto"/>
        <w:ind w:left="259"/>
        <w:jc w:val="left"/>
      </w:pPr>
      <w:r>
        <w:rPr>
          <w:rFonts w:ascii="Arial" w:hAnsi="Arial"/>
          <w:color w:val="525252"/>
          <w:sz w:val="13"/>
        </w:rPr>
        <w:t>DAFPDs are orders of the Secretary of the Air Force and contain directive policy statements that guide Department of the Air Force implementation of Department of Defense issuances or other authorities outside but binding on the Department of Air Force that require Department of Air Force action.</w:t>
      </w:r>
    </w:p>
    <w:p>
      <w:pPr>
        <w:spacing w:after="20" w:line="223" w:lineRule="auto"/>
        <w:jc w:val="right"/>
        <w:bidi/>
      </w:pPr>
      <w:r>
        <w:rPr>
          <w:rFonts w:ascii="Arial" w:hAnsi="Arial"/>
          <w:sz w:val="16"/>
        </w:rPr>
        <w:t>346.19  آنها همچنین فعالیت‌های وزارت نیروی هوایی را آغاز می‌کنند، اداره می‌کنند، اختیارات/مسئولیت‌ها را تفویض می‌کنند و/یا اقداماتی را در حوزه‌های مسئولیت مشخص شده تنظیم می‌کنند.</w:t>
      </w:r>
    </w:p>
    <w:p>
      <w:pPr>
        <w:spacing w:after="28" w:line="216" w:lineRule="auto"/>
        <w:ind w:left="259"/>
        <w:jc w:val="left"/>
      </w:pPr>
      <w:r>
        <w:rPr>
          <w:rFonts w:ascii="Arial" w:hAnsi="Arial"/>
          <w:color w:val="525252"/>
          <w:sz w:val="13"/>
        </w:rPr>
        <w:t>They also initiate, govern, delegate authorities/responsibilities, and/or regulate actions within specified areas of responsibility by Department of Air Force activities.</w:t>
      </w:r>
    </w:p>
    <w:p>
      <w:pPr>
        <w:spacing w:after="20" w:line="223" w:lineRule="auto"/>
        <w:jc w:val="right"/>
        <w:bidi/>
      </w:pPr>
      <w:r>
        <w:rPr>
          <w:rFonts w:ascii="Arial" w:hAnsi="Arial"/>
          <w:sz w:val="16"/>
        </w:rPr>
        <w:t>346.20  DAFPD ها به‌طور واضح و مختصر و به گونه‌ای نوشته می‌شوند که یک متخصص هوا و فضای متوسط ​​بتواند آن را درک کند.</w:t>
      </w:r>
    </w:p>
    <w:p>
      <w:pPr>
        <w:spacing w:after="28" w:line="216" w:lineRule="auto"/>
        <w:ind w:left="259"/>
        <w:jc w:val="left"/>
      </w:pPr>
      <w:r>
        <w:rPr>
          <w:rFonts w:ascii="Arial" w:hAnsi="Arial"/>
          <w:color w:val="525252"/>
          <w:sz w:val="13"/>
        </w:rPr>
        <w:t>DAFPDs are written clearly and concisely and in a manner that an average Air and Space Professional can understand.</w:t>
      </w:r>
    </w:p>
    <w:p>
      <w:pPr>
        <w:spacing w:after="20" w:line="223" w:lineRule="auto"/>
        <w:jc w:val="right"/>
        <w:bidi/>
      </w:pPr>
      <w:r>
        <w:rPr>
          <w:rFonts w:ascii="Arial" w:hAnsi="Arial"/>
          <w:sz w:val="16"/>
        </w:rPr>
        <w:t>346.21  دافیس، افیس، و دستورالعمل‌های نیروی فضایی (سپفیس).</w:t>
      </w:r>
    </w:p>
    <w:p>
      <w:pPr>
        <w:spacing w:after="28" w:line="216" w:lineRule="auto"/>
        <w:ind w:left="259"/>
        <w:jc w:val="left"/>
      </w:pPr>
      <w:r>
        <w:rPr>
          <w:rFonts w:ascii="Arial" w:hAnsi="Arial"/>
          <w:color w:val="525252"/>
          <w:sz w:val="13"/>
        </w:rPr>
        <w:t>DAFIs, AFIs, and Space Force Instructions (SPFIs).</w:t>
      </w:r>
    </w:p>
    <w:p>
      <w:pPr>
        <w:spacing w:after="20" w:line="223" w:lineRule="auto"/>
        <w:jc w:val="right"/>
        <w:bidi/>
      </w:pPr>
      <w:r>
        <w:rPr>
          <w:rFonts w:ascii="Arial" w:hAnsi="Arial"/>
          <w:sz w:val="16"/>
        </w:rPr>
        <w:t>346.22  DAFIها، AFIها و SPFIها دستورات وزیر نیروی هوایی است و در سطح DAF گواهی و تأیید شده است. ⟦ ۰۲۳</w:t>
      </w:r>
    </w:p>
    <w:p>
      <w:pPr>
        <w:spacing w:after="28" w:line="216" w:lineRule="auto"/>
        <w:ind w:left="259"/>
        <w:jc w:val="left"/>
      </w:pPr>
      <w:r>
        <w:rPr>
          <w:rFonts w:ascii="Arial" w:hAnsi="Arial"/>
          <w:color w:val="525252"/>
          <w:sz w:val="13"/>
        </w:rPr>
        <w:t>DAFIs, AFIs, and SPFIs are orders of the Secretary of the Air Force and are certified and approved at the DAF level.</w:t>
      </w:r>
    </w:p>
    <w:p>
      <w:pPr>
        <w:spacing w:after="20" w:line="223" w:lineRule="auto"/>
        <w:jc w:val="right"/>
        <w:bidi/>
      </w:pPr>
      <w:r>
        <w:rPr>
          <w:rFonts w:ascii="Arial" w:hAnsi="Arial"/>
          <w:sz w:val="16"/>
        </w:rPr>
        <w:t>346.23  DAFIها، AFIها، و SPFIها به‌طور کلی به خوانندگان آموزش می‌دهند که "چه کاری انجام دهند"، به‌عنوان مثال، اقدام مستقیم، اطمینان از انطباق با اقدامات استاندارد در سراسر DAF.</w:t>
      </w:r>
    </w:p>
    <w:p>
      <w:pPr>
        <w:spacing w:after="28" w:line="216" w:lineRule="auto"/>
        <w:ind w:left="259"/>
        <w:jc w:val="left"/>
      </w:pPr>
      <w:r>
        <w:rPr>
          <w:rFonts w:ascii="Arial" w:hAnsi="Arial"/>
          <w:color w:val="525252"/>
          <w:sz w:val="13"/>
        </w:rPr>
        <w:t>DAFIs, AFIs, and SPFIs generally instruct readers on “what to do,” i.e., direct action, ensure compliance to standard actions across the DAF.</w:t>
      </w:r>
    </w:p>
    <w:p>
      <w:pPr>
        <w:spacing w:after="20" w:line="223" w:lineRule="auto"/>
        <w:jc w:val="right"/>
        <w:bidi/>
      </w:pPr>
      <w:r>
        <w:rPr>
          <w:rFonts w:ascii="Arial" w:hAnsi="Arial"/>
          <w:sz w:val="16"/>
        </w:rPr>
        <w:t>346.24  DAFIها، AFIها و SPFIها به‌طور واضح و مختصر و به نحوی نوشته شده‌اند که یک متخصص هوا و فضای متوسط ​​بتواند آن را درک کند.</w:t>
      </w:r>
    </w:p>
    <w:p>
      <w:pPr>
        <w:spacing w:after="28" w:line="216" w:lineRule="auto"/>
        <w:ind w:left="259"/>
        <w:jc w:val="left"/>
      </w:pPr>
      <w:r>
        <w:rPr>
          <w:rFonts w:ascii="Arial" w:hAnsi="Arial"/>
          <w:color w:val="525252"/>
          <w:sz w:val="13"/>
        </w:rPr>
        <w:t>DAFIs, AFIs, and SPFIs are written clearly and concisely and in a manner that an average Air and Space Professional can understand.</w:t>
      </w:r>
    </w:p>
    <w:p>
      <w:pPr>
        <w:spacing w:after="20" w:line="223" w:lineRule="auto"/>
        <w:jc w:val="right"/>
        <w:bidi/>
      </w:pPr>
      <w:r>
        <w:rPr>
          <w:rFonts w:ascii="Arial" w:hAnsi="Arial"/>
          <w:sz w:val="16"/>
        </w:rPr>
        <w:t>346.25  DAFIها، AFIها و SPFIها ممکن است در هر سطحی کمتر از DAF تکمیل شوند، مگر اینکه در نشریه طور دیگری ذکر شده باشد.</w:t>
      </w:r>
    </w:p>
    <w:p>
      <w:pPr>
        <w:spacing w:after="28" w:line="216" w:lineRule="auto"/>
        <w:ind w:left="259"/>
        <w:jc w:val="left"/>
      </w:pPr>
      <w:r>
        <w:rPr>
          <w:rFonts w:ascii="Arial" w:hAnsi="Arial"/>
          <w:color w:val="525252"/>
          <w:sz w:val="13"/>
        </w:rPr>
        <w:t>DAFIs, AFIs, and SPFIs may be supplemented at any level below the DAF unless otherwise stated in the publication.</w:t>
      </w:r>
    </w:p>
    <w:p>
      <w:pPr>
        <w:spacing w:after="20" w:line="223" w:lineRule="auto"/>
        <w:jc w:val="right"/>
        <w:bidi/>
      </w:pPr>
      <w:r>
        <w:rPr>
          <w:rFonts w:ascii="Arial" w:hAnsi="Arial"/>
          <w:sz w:val="16"/>
        </w:rPr>
        <w:t>346.26  دفترچه راهنمای DAF DAFMAN، AFMAN یا دفترچه راهنمای نیروی فضایی (SPFMAN).</w:t>
      </w:r>
    </w:p>
    <w:p>
      <w:pPr>
        <w:spacing w:after="28" w:line="216" w:lineRule="auto"/>
        <w:ind w:left="259"/>
        <w:jc w:val="left"/>
      </w:pPr>
      <w:r>
        <w:rPr>
          <w:rFonts w:ascii="Arial" w:hAnsi="Arial"/>
          <w:color w:val="525252"/>
          <w:sz w:val="13"/>
        </w:rPr>
        <w:t>DAF Manual DAFMAN, AFMAN or Space Force Manual (SPFMAN).</w:t>
      </w:r>
    </w:p>
    <w:p>
      <w:pPr>
        <w:spacing w:after="20" w:line="223" w:lineRule="auto"/>
        <w:jc w:val="right"/>
        <w:bidi/>
      </w:pPr>
      <w:r>
        <w:rPr>
          <w:rFonts w:ascii="Arial" w:hAnsi="Arial"/>
          <w:sz w:val="16"/>
        </w:rPr>
        <w:t>346.27  DAFMAN، AFMAN، و SPFMAN دستورات وزیر نیروی هوایی است و به‌طور کلی دستور می‌دهد.</w:t>
      </w:r>
    </w:p>
    <w:p>
      <w:pPr>
        <w:spacing w:after="28" w:line="216" w:lineRule="auto"/>
        <w:ind w:left="259"/>
        <w:jc w:val="left"/>
      </w:pPr>
      <w:r>
        <w:rPr>
          <w:rFonts w:ascii="Arial" w:hAnsi="Arial"/>
          <w:color w:val="525252"/>
          <w:sz w:val="13"/>
        </w:rPr>
        <w:t>DAFMANs, AFMANs, and SPFMANs are Orders of the Secretary of the Air Force and generally instruct</w:t>
      </w:r>
    </w:p>
    <w:p>
      <w:r>
        <w:br w:type="page"/>
      </w:r>
    </w:p>
    <w:p>
      <w:pPr>
        <w:spacing w:after="60"/>
        <w:jc w:val="right"/>
        <w:bidi/>
      </w:pPr>
      <w:r>
        <w:rPr>
          <w:rFonts w:ascii="Arial" w:hAnsi="Arial"/>
          <w:b/>
          <w:color w:val="1F4D78"/>
          <w:sz w:val="19"/>
        </w:rPr>
        <w:t>هفتهٔ 347  |  صفحهٔ منبع: 363</w:t>
      </w:r>
    </w:p>
    <w:p>
      <w:pPr>
        <w:spacing w:after="20" w:line="223" w:lineRule="auto"/>
        <w:jc w:val="right"/>
        <w:bidi/>
      </w:pPr>
      <w:r>
        <w:rPr>
          <w:rFonts w:ascii="Arial" w:hAnsi="Arial"/>
          <w:sz w:val="16"/>
        </w:rPr>
        <w:t>347.01  خوانندگان در مورد "چگونه" و ممکن است: ۱) توسعه یک DAFI، AFI، یا SPFI، ارائه روش دقیق و راهنمایی فنی اضافی برای انجام وظایف استاندارد، یا پشتیبانی از برنامه‌های آموزشی و آموزشی، یا ۲) جایگزینی برای DAFI، AFI، یا SPFI، در صورت لزوم.</w:t>
      </w:r>
    </w:p>
    <w:p>
      <w:pPr>
        <w:spacing w:after="28" w:line="216" w:lineRule="auto"/>
        <w:ind w:left="259"/>
        <w:jc w:val="left"/>
      </w:pPr>
      <w:r>
        <w:rPr>
          <w:rFonts w:ascii="Arial" w:hAnsi="Arial"/>
          <w:color w:val="525252"/>
          <w:sz w:val="13"/>
        </w:rPr>
        <w:t>readers on “how to” and may be either: 1) an extension of a DAFI, AFI, or SPFI, providing detailed procedure and additional technical guidance for performing standard tasks, or supporting education and training programs, or 2) an alternative to a DAFI, AFI, or SPFI, if appropriate.</w:t>
      </w:r>
    </w:p>
    <w:p>
      <w:pPr>
        <w:spacing w:after="20" w:line="223" w:lineRule="auto"/>
        <w:jc w:val="right"/>
        <w:bidi/>
      </w:pPr>
      <w:r>
        <w:rPr>
          <w:rFonts w:ascii="Arial" w:hAnsi="Arial"/>
          <w:sz w:val="16"/>
        </w:rPr>
        <w:t>347.02  DAFMAN، AFMAN، و SPFMAN که فقط برای استفاده توسط متخصصان هوا و فضایی که از مدارس خاص فارغ‌التحصیل شده‌اند (مانند آموزشگاه‌های آموزشی پرواز، اطلاعات، یا تعمیر و نگهداری) ممکن است شامل زبان تخصصی و فنی بیشتری باشد.</w:t>
      </w:r>
    </w:p>
    <w:p>
      <w:pPr>
        <w:spacing w:after="28" w:line="216" w:lineRule="auto"/>
        <w:ind w:left="259"/>
        <w:jc w:val="left"/>
      </w:pPr>
      <w:r>
        <w:rPr>
          <w:rFonts w:ascii="Arial" w:hAnsi="Arial"/>
          <w:color w:val="525252"/>
          <w:sz w:val="13"/>
        </w:rPr>
        <w:t>DAFMANs, AFMANs, and SPFMANs intended for use only by Air and Space Professionals who have graduated from special schools (such as flight training, intelligence, or maintenance schools) may include more specialized and technical language.</w:t>
      </w:r>
    </w:p>
    <w:p>
      <w:pPr>
        <w:spacing w:after="20" w:line="223" w:lineRule="auto"/>
        <w:jc w:val="right"/>
        <w:bidi/>
      </w:pPr>
      <w:r>
        <w:rPr>
          <w:rFonts w:ascii="Arial" w:hAnsi="Arial"/>
          <w:sz w:val="16"/>
        </w:rPr>
        <w:t>347.03  شماره سری انتشارات.</w:t>
      </w:r>
    </w:p>
    <w:p>
      <w:pPr>
        <w:spacing w:after="28" w:line="216" w:lineRule="auto"/>
        <w:ind w:left="259"/>
        <w:jc w:val="left"/>
      </w:pPr>
      <w:r>
        <w:rPr>
          <w:rFonts w:ascii="Arial" w:hAnsi="Arial"/>
          <w:color w:val="525252"/>
          <w:sz w:val="13"/>
        </w:rPr>
        <w:t>Publication Series Numbers.</w:t>
      </w:r>
    </w:p>
    <w:p>
      <w:pPr>
        <w:spacing w:after="20" w:line="223" w:lineRule="auto"/>
        <w:jc w:val="right"/>
        <w:bidi/>
      </w:pPr>
      <w:r>
        <w:rPr>
          <w:rFonts w:ascii="Arial" w:hAnsi="Arial"/>
          <w:sz w:val="16"/>
        </w:rPr>
        <w:t>347.04  تعداد سری نشریات بر اساس کد تخصصی USAF سازماندهی شده است.</w:t>
      </w:r>
    </w:p>
    <w:p>
      <w:pPr>
        <w:spacing w:after="28" w:line="216" w:lineRule="auto"/>
        <w:ind w:left="259"/>
        <w:jc w:val="left"/>
      </w:pPr>
      <w:r>
        <w:rPr>
          <w:rFonts w:ascii="Arial" w:hAnsi="Arial"/>
          <w:color w:val="525252"/>
          <w:sz w:val="13"/>
        </w:rPr>
        <w:t>Series numbers of publications are organized based on USAF Specialty Code.</w:t>
      </w:r>
    </w:p>
    <w:p>
      <w:pPr>
        <w:spacing w:before="60" w:after="28"/>
        <w:jc w:val="right"/>
        <w:bidi/>
      </w:pPr>
      <w:r>
        <w:rPr>
          <w:b/>
          <w:color w:val="1F4D78"/>
          <w:sz w:val="18"/>
        </w:rPr>
        <w:t>جدول 19.1. در اینجا به عنوان یک مرجع سریع ارائه شده است.</w:t>
      </w:r>
    </w:p>
    <w:p>
      <w:pPr>
        <w:spacing w:after="20"/>
        <w:ind w:left="259"/>
        <w:jc w:val="left"/>
      </w:pPr>
      <w:r>
        <w:rPr>
          <w:color w:val="555555"/>
          <w:sz w:val="12"/>
        </w:rPr>
        <w:t>Table 19.1. is provided here as a quick reference.</w:t>
      </w:r>
    </w:p>
    <w:p>
      <w:pPr>
        <w:spacing w:after="20" w:line="223" w:lineRule="auto"/>
        <w:jc w:val="right"/>
        <w:bidi/>
      </w:pPr>
      <w:r>
        <w:rPr>
          <w:rFonts w:ascii="Arial" w:hAnsi="Arial"/>
          <w:sz w:val="16"/>
        </w:rPr>
        <w:t>347.06  ۱—فرهنگ نیروی هوایی ۴۰—فرماندهی پزشکی ۱۰—عملیات ۴۱—خدمات بهداشتی ۱۱—عملیات پروازی ۴۴—پزشکی ۱۳—عملیات هسته‌ای، فضایی، موشکی، یا ک۲ ۴۶ — پرستاری ۱۴—ینتللیگنک ۱۴—ینتللیگنک ۴۸—پزشکی هوافضا ۱۶—پشتیبانی عملیات ۵۱—قانون ۱۷—عملیات فضای مجازی ۵۲—امور مذهبی ۲۰—تدارکات ۶۰—استانداردسازی ۲۱—نگهداری ۶۱—تحقیق و توسعه علمی ۲۳—مدیریت مواد ۶۲—توسعه فنی و مهندسی ۲۵—کارکنان تدارکات ۶۴—پیمانکاری ۳۱—امنیت ۶۵—مدیریت مالی ۳۲—مهندسی عمران ۷۱—تحقیقات ویژه ۳۳—ارتباطات و اطلاعات ۸۴—تاریخچه ۳۴—خدمات ۹۰—مدیریت ویژه ۳۵—امور عمومی ۹۱۹—امور عمومی ارزیابی ۳۸-نیروی انسانی و سازمان</w:t>
      </w:r>
    </w:p>
    <w:p>
      <w:pPr>
        <w:spacing w:after="28" w:line="216" w:lineRule="auto"/>
        <w:ind w:left="259"/>
        <w:jc w:val="left"/>
      </w:pPr>
      <w:r>
        <w:rPr>
          <w:rFonts w:ascii="Arial" w:hAnsi="Arial"/>
          <w:color w:val="525252"/>
          <w:sz w:val="13"/>
        </w:rPr>
        <w:t>1—Air Force Culture 40—Medical Command 10—Operations 41—Health Services 11—Flying Operations 44—Medical 13—Nuclear, Space, Missile, or C2 Operations 46—Nursing 14—Intelligence 47—Dental 15—Weather 48—Aerospace Medicine 16—Operations Support 51—Law 17—Cyberspace Operations 52—Religious Affairs 20—Logistics 60—Standardization 21—Maintenance 61—Scientific Research and Development 23—Materiel Management 62—Developmental Engineering 24—Transportation 63—Acquisition 25—Logistics Staff 64—Contracting 31—Security 65—Financial Management 32—Civil Engineering 71—Special Investigations 33—Communications and Information 84—History 34—Services 90—Special Management 35—Public Affairs 91—Safety 36—Personnel 99—Test and Evaluation 38—Manpower and Organization</w:t>
      </w:r>
    </w:p>
    <w:p>
      <w:pPr>
        <w:spacing w:before="60" w:after="28"/>
        <w:jc w:val="right"/>
        <w:bidi/>
      </w:pPr>
      <w:r>
        <w:rPr>
          <w:b/>
          <w:color w:val="1F4D78"/>
          <w:sz w:val="18"/>
        </w:rPr>
        <w:t>جدول 19.1. شماره های سری انتشارات</w:t>
      </w:r>
    </w:p>
    <w:p>
      <w:pPr>
        <w:spacing w:after="20"/>
        <w:ind w:left="259"/>
        <w:jc w:val="left"/>
      </w:pPr>
      <w:r>
        <w:rPr>
          <w:color w:val="555555"/>
          <w:sz w:val="12"/>
        </w:rPr>
        <w:t>Table 19.1. Publication Series Numbers</w:t>
      </w:r>
    </w:p>
    <w:p>
      <w:pPr>
        <w:spacing w:after="20" w:line="223" w:lineRule="auto"/>
        <w:jc w:val="right"/>
        <w:bidi/>
      </w:pPr>
      <w:r>
        <w:rPr>
          <w:rFonts w:ascii="Arial" w:hAnsi="Arial"/>
          <w:sz w:val="16"/>
        </w:rPr>
        <w:t>347.08  انتشارات غیر مستقیم.</w:t>
      </w:r>
    </w:p>
    <w:p>
      <w:pPr>
        <w:spacing w:after="28" w:line="216" w:lineRule="auto"/>
        <w:ind w:left="259"/>
        <w:jc w:val="left"/>
      </w:pPr>
      <w:r>
        <w:rPr>
          <w:rFonts w:ascii="Arial" w:hAnsi="Arial"/>
          <w:color w:val="525252"/>
          <w:sz w:val="13"/>
        </w:rPr>
        <w:t>Nondirective Publications.</w:t>
      </w:r>
    </w:p>
    <w:p>
      <w:pPr>
        <w:spacing w:after="20" w:line="223" w:lineRule="auto"/>
        <w:jc w:val="right"/>
        <w:bidi/>
      </w:pPr>
      <w:r>
        <w:rPr>
          <w:rFonts w:ascii="Arial" w:hAnsi="Arial"/>
          <w:sz w:val="16"/>
        </w:rPr>
        <w:t>347.09  انتشارات غیر مستقیم اطلاعاتی هستند و راهنمایی هایی را پیشنهاد می‌کنند که ممکن است به‌طور مناسب برای تناسب با شرایط موجود یا پیش بینی شده اصلاح شوند.</w:t>
      </w:r>
    </w:p>
    <w:p>
      <w:pPr>
        <w:spacing w:after="28" w:line="216" w:lineRule="auto"/>
        <w:ind w:left="259"/>
        <w:jc w:val="left"/>
      </w:pPr>
      <w:r>
        <w:rPr>
          <w:rFonts w:ascii="Arial" w:hAnsi="Arial"/>
          <w:color w:val="525252"/>
          <w:sz w:val="13"/>
        </w:rPr>
        <w:t>Nondirective publications are informational and suggest guidance that may be modified appropriately to fit existing or forecasted circumstances.</w:t>
      </w:r>
    </w:p>
    <w:p>
      <w:pPr>
        <w:spacing w:after="20" w:line="223" w:lineRule="auto"/>
        <w:jc w:val="right"/>
        <w:bidi/>
      </w:pPr>
      <w:r>
        <w:rPr>
          <w:rFonts w:ascii="Arial" w:hAnsi="Arial"/>
          <w:sz w:val="16"/>
        </w:rPr>
        <w:t>347.10  رعایت نشریات این دسته مورد انتظار است، اما اجباری نیست.</w:t>
      </w:r>
    </w:p>
    <w:p>
      <w:pPr>
        <w:spacing w:after="28" w:line="216" w:lineRule="auto"/>
        <w:ind w:left="259"/>
        <w:jc w:val="left"/>
      </w:pPr>
      <w:r>
        <w:rPr>
          <w:rFonts w:ascii="Arial" w:hAnsi="Arial"/>
          <w:color w:val="525252"/>
          <w:sz w:val="13"/>
        </w:rPr>
        <w:t>Complying with publications in this category is expected, but not mandatory.</w:t>
      </w:r>
    </w:p>
    <w:p>
      <w:pPr>
        <w:spacing w:after="20" w:line="223" w:lineRule="auto"/>
        <w:jc w:val="right"/>
        <w:bidi/>
      </w:pPr>
      <w:r>
        <w:rPr>
          <w:rFonts w:ascii="Arial" w:hAnsi="Arial"/>
          <w:sz w:val="16"/>
        </w:rPr>
        <w:t>347.11  پرسنل USAF از این نشریات به‌عنوان کمک‌های مرجع یا راهنما استفاده می‌کنند.</w:t>
      </w:r>
    </w:p>
    <w:p>
      <w:pPr>
        <w:spacing w:after="28" w:line="216" w:lineRule="auto"/>
        <w:ind w:left="259"/>
        <w:jc w:val="left"/>
      </w:pPr>
      <w:r>
        <w:rPr>
          <w:rFonts w:ascii="Arial" w:hAnsi="Arial"/>
          <w:color w:val="525252"/>
          <w:sz w:val="13"/>
        </w:rPr>
        <w:t>USAF personnel use these publications as reference aids or guides.</w:t>
      </w:r>
    </w:p>
    <w:p>
      <w:pPr>
        <w:spacing w:after="20" w:line="223" w:lineRule="auto"/>
        <w:jc w:val="right"/>
        <w:bidi/>
      </w:pPr>
      <w:r>
        <w:rPr>
          <w:rFonts w:ascii="Arial" w:hAnsi="Arial"/>
          <w:sz w:val="16"/>
        </w:rPr>
        <w:t>347.12  انتشارات غیر مستقیم شامل جزوه‌ها است. دکترین اساسی و عملیاتی؛ اسناد تاکتیک‌ها، تکنیک‌ها و رویه‌ها؛ دایرکتوری‌ها کتاب‌های راهنما؛ کاتالوگ ها؛ کمک بصری؛ و اطلاعیه‌های محصول</w:t>
      </w:r>
    </w:p>
    <w:p>
      <w:pPr>
        <w:spacing w:after="28" w:line="216" w:lineRule="auto"/>
        <w:ind w:left="259"/>
        <w:jc w:val="left"/>
      </w:pPr>
      <w:r>
        <w:rPr>
          <w:rFonts w:ascii="Arial" w:hAnsi="Arial"/>
          <w:color w:val="525252"/>
          <w:sz w:val="13"/>
        </w:rPr>
        <w:t>Nondirective publications include pamphlets; basic and operational doctrine; tactics, techniques, and procedures documents; directories; handbooks; catalogs; visual aids; and product announcements.</w:t>
      </w:r>
    </w:p>
    <w:p>
      <w:r>
        <w:br w:type="page"/>
      </w:r>
    </w:p>
    <w:p>
      <w:pPr>
        <w:spacing w:after="60"/>
        <w:jc w:val="right"/>
        <w:bidi/>
      </w:pPr>
      <w:r>
        <w:rPr>
          <w:rFonts w:ascii="Arial" w:hAnsi="Arial"/>
          <w:b/>
          <w:color w:val="1F4D78"/>
          <w:sz w:val="19"/>
        </w:rPr>
        <w:t>هفتهٔ 348  |  صفحهٔ منبع: 364</w:t>
      </w:r>
    </w:p>
    <w:p>
      <w:pPr>
        <w:spacing w:before="60" w:after="28"/>
        <w:jc w:val="right"/>
        <w:bidi/>
      </w:pPr>
      <w:r>
        <w:rPr>
          <w:b/>
          <w:color w:val="1F4D78"/>
          <w:sz w:val="18"/>
        </w:rPr>
        <w:t>19.3. در وظیفه بیست و چهار/هفت</w:t>
      </w:r>
    </w:p>
    <w:p>
      <w:pPr>
        <w:spacing w:after="20"/>
        <w:ind w:left="259"/>
        <w:jc w:val="left"/>
      </w:pPr>
      <w:r>
        <w:rPr>
          <w:color w:val="555555"/>
          <w:sz w:val="12"/>
        </w:rPr>
        <w:t>19.3. On Duty Twenty-Four/Seven</w:t>
      </w:r>
    </w:p>
    <w:p>
      <w:pPr>
        <w:spacing w:after="20" w:line="223" w:lineRule="auto"/>
        <w:jc w:val="right"/>
        <w:bidi/>
      </w:pPr>
      <w:r>
        <w:rPr>
          <w:rFonts w:ascii="Arial" w:hAnsi="Arial"/>
          <w:sz w:val="16"/>
        </w:rPr>
        <w:t>348.02  همانطور که در AFI ۱-۱ بیان شد، مأموریت باید انجام شود، حتی در معرض خطر بزرگ و فداکاری شخصی.</w:t>
      </w:r>
    </w:p>
    <w:p>
      <w:pPr>
        <w:spacing w:after="28" w:line="216" w:lineRule="auto"/>
        <w:ind w:left="259"/>
        <w:jc w:val="left"/>
      </w:pPr>
      <w:r>
        <w:rPr>
          <w:rFonts w:ascii="Arial" w:hAnsi="Arial"/>
          <w:color w:val="525252"/>
          <w:sz w:val="13"/>
        </w:rPr>
        <w:t>As stated in AFI 1-1, the mission must be accomplished, even at great risk and personal sacrifice.</w:t>
      </w:r>
    </w:p>
    <w:p>
      <w:pPr>
        <w:spacing w:after="20" w:line="223" w:lineRule="auto"/>
        <w:jc w:val="right"/>
        <w:bidi/>
      </w:pPr>
      <w:r>
        <w:rPr>
          <w:rFonts w:ascii="Arial" w:hAnsi="Arial"/>
          <w:sz w:val="16"/>
        </w:rPr>
        <w:t>348.03  هوانوردان همیشه مشمول وظیفه هستند، از جمله آخر هفته، تعطیلات، و در مرخصی.</w:t>
      </w:r>
    </w:p>
    <w:p>
      <w:pPr>
        <w:spacing w:after="28" w:line="216" w:lineRule="auto"/>
        <w:ind w:left="259"/>
        <w:jc w:val="left"/>
      </w:pPr>
      <w:r>
        <w:rPr>
          <w:rFonts w:ascii="Arial" w:hAnsi="Arial"/>
          <w:color w:val="525252"/>
          <w:sz w:val="13"/>
        </w:rPr>
        <w:t>Airmen are always subject to duty, including weekends, holidays, and while on leave.</w:t>
      </w:r>
    </w:p>
    <w:p>
      <w:pPr>
        <w:spacing w:after="20" w:line="223" w:lineRule="auto"/>
        <w:jc w:val="right"/>
        <w:bidi/>
      </w:pPr>
      <w:r>
        <w:rPr>
          <w:rFonts w:ascii="Arial" w:hAnsi="Arial"/>
          <w:sz w:val="16"/>
        </w:rPr>
        <w:t>348.04  هوانوردان، در صورت دستور مقام صالح، باید در هر زمان، در هر مکان و تا زمانی که لازم باشد، برای انجام وظیفه حاضر شوند.</w:t>
      </w:r>
    </w:p>
    <w:p>
      <w:pPr>
        <w:spacing w:after="28" w:line="216" w:lineRule="auto"/>
        <w:ind w:left="259"/>
        <w:jc w:val="left"/>
      </w:pPr>
      <w:r>
        <w:rPr>
          <w:rFonts w:ascii="Arial" w:hAnsi="Arial"/>
          <w:color w:val="525252"/>
          <w:sz w:val="13"/>
        </w:rPr>
        <w:t>Airmen, if so directed by a competent authority, must report for duty at any time, at any location, for as long as necessary.</w:t>
      </w:r>
    </w:p>
    <w:p>
      <w:pPr>
        <w:spacing w:after="20" w:line="223" w:lineRule="auto"/>
        <w:jc w:val="right"/>
        <w:bidi/>
      </w:pPr>
      <w:r>
        <w:rPr>
          <w:rFonts w:ascii="Arial" w:hAnsi="Arial"/>
          <w:sz w:val="16"/>
        </w:rPr>
        <w:t>348.05  برای موفقیت مأموریت، ما باید همیشه بهترین تلاش خود را بکنیم.</w:t>
      </w:r>
    </w:p>
    <w:p>
      <w:pPr>
        <w:spacing w:after="28" w:line="216" w:lineRule="auto"/>
        <w:ind w:left="259"/>
        <w:jc w:val="left"/>
      </w:pPr>
      <w:r>
        <w:rPr>
          <w:rFonts w:ascii="Arial" w:hAnsi="Arial"/>
          <w:color w:val="525252"/>
          <w:sz w:val="13"/>
        </w:rPr>
        <w:t>For the mission to succeed, we must always give our best.</w:t>
      </w:r>
    </w:p>
    <w:p>
      <w:pPr>
        <w:spacing w:after="20" w:line="223" w:lineRule="auto"/>
        <w:jc w:val="right"/>
        <w:bidi/>
      </w:pPr>
      <w:r>
        <w:rPr>
          <w:rFonts w:ascii="Arial" w:hAnsi="Arial"/>
          <w:sz w:val="16"/>
        </w:rPr>
        <w:t>348.06  ما باید تلاش کنیم تا انعطاف پذیر باشیم - از نظر جسمی، ذهنی، عاطفی و روحی - و برای مقابله با چالش‌های ذاتی عضویت در یک نیروی جنگی، هم در محیط مستقر و هم در ایستگاه خانگی آماده باشیم.</w:t>
      </w:r>
    </w:p>
    <w:p>
      <w:pPr>
        <w:spacing w:after="28" w:line="216" w:lineRule="auto"/>
        <w:ind w:left="259"/>
        <w:jc w:val="left"/>
      </w:pPr>
      <w:r>
        <w:rPr>
          <w:rFonts w:ascii="Arial" w:hAnsi="Arial"/>
          <w:color w:val="525252"/>
          <w:sz w:val="13"/>
        </w:rPr>
        <w:t>We must strive to be resilient—physically, mentally, emotionally, and spiritually— and be prepared to meet the challenges inherent to being a member of a fighting force, both in the deployed environment and at home station.</w:t>
      </w:r>
    </w:p>
    <w:p>
      <w:pPr>
        <w:spacing w:after="20" w:line="223" w:lineRule="auto"/>
        <w:jc w:val="right"/>
        <w:bidi/>
      </w:pPr>
      <w:r>
        <w:rPr>
          <w:rFonts w:ascii="Arial" w:hAnsi="Arial"/>
          <w:sz w:val="16"/>
        </w:rPr>
        <w:t>348.07  با توجه به اهمیت مأموریت USAF، خطرات مرتبط با خدمت نظامی، تأثیرات ملی و بین‌المللی و پیامدهای بالقوه مرتبط با عملیات جهانی، USAF قوانین محدودکننده‌تر و استانداردهای بالاتری را نسبت به جامعه غیرنظامی اعمال می‌کند.</w:t>
      </w:r>
    </w:p>
    <w:p>
      <w:pPr>
        <w:spacing w:after="28" w:line="216" w:lineRule="auto"/>
        <w:ind w:left="259"/>
        <w:jc w:val="left"/>
      </w:pPr>
      <w:r>
        <w:rPr>
          <w:rFonts w:ascii="Arial" w:hAnsi="Arial"/>
          <w:color w:val="525252"/>
          <w:sz w:val="13"/>
        </w:rPr>
        <w:t>Due to the importance of the USAF mission, the dangers associated with military service, national and international influences, and potential implications relevant to global operations, the USAF enforces more restrictive rules and elevated standards than those of the civilian community.</w:t>
      </w:r>
    </w:p>
    <w:p>
      <w:pPr>
        <w:spacing w:after="20" w:line="223" w:lineRule="auto"/>
        <w:jc w:val="right"/>
        <w:bidi/>
      </w:pPr>
      <w:r>
        <w:rPr>
          <w:rFonts w:ascii="Arial" w:hAnsi="Arial"/>
          <w:sz w:val="16"/>
        </w:rPr>
        <w:t>348.08  سفارشات عمومی.</w:t>
      </w:r>
    </w:p>
    <w:p>
      <w:pPr>
        <w:spacing w:after="28" w:line="216" w:lineRule="auto"/>
        <w:ind w:left="259"/>
        <w:jc w:val="left"/>
      </w:pPr>
      <w:r>
        <w:rPr>
          <w:rFonts w:ascii="Arial" w:hAnsi="Arial"/>
          <w:color w:val="525252"/>
          <w:sz w:val="13"/>
        </w:rPr>
        <w:t>General Orders.</w:t>
      </w:r>
    </w:p>
    <w:p>
      <w:pPr>
        <w:spacing w:after="20" w:line="223" w:lineRule="auto"/>
        <w:jc w:val="right"/>
        <w:bidi/>
      </w:pPr>
      <w:r>
        <w:rPr>
          <w:rFonts w:ascii="Arial" w:hAnsi="Arial"/>
          <w:sz w:val="16"/>
        </w:rPr>
        <w:t>348.09  دستورات عمومی اغلب برای ارائه راهنمایی روشن و مختصر به‌طور خاص برای حفظ نظم و انضباط خوب در محیط مستقر منتشر می‌شوند.</w:t>
      </w:r>
    </w:p>
    <w:p>
      <w:pPr>
        <w:spacing w:after="28" w:line="216" w:lineRule="auto"/>
        <w:ind w:left="259"/>
        <w:jc w:val="left"/>
      </w:pPr>
      <w:r>
        <w:rPr>
          <w:rFonts w:ascii="Arial" w:hAnsi="Arial"/>
          <w:color w:val="525252"/>
          <w:sz w:val="13"/>
        </w:rPr>
        <w:t>General Orders are often published to provide clear and concise guidance specifically tailored to maintaining good order and discipline in the deployed setting.</w:t>
      </w:r>
    </w:p>
    <w:p>
      <w:pPr>
        <w:spacing w:after="20" w:line="223" w:lineRule="auto"/>
        <w:jc w:val="right"/>
        <w:bidi/>
      </w:pPr>
      <w:r>
        <w:rPr>
          <w:rFonts w:ascii="Arial" w:hAnsi="Arial"/>
          <w:sz w:val="16"/>
        </w:rPr>
        <w:t>348.10  عملیات فعلی ما ما را در مناطقی قرار می‌دهد که قوانین محلی و آداب و رسوم یا الزامات مأموریت، فعالیت‌های خاصی را که عموما در جامعه ما مجاز هستند ممنوع یا محدود می‌کند.</w:t>
      </w:r>
    </w:p>
    <w:p>
      <w:pPr>
        <w:spacing w:after="28" w:line="216" w:lineRule="auto"/>
        <w:ind w:left="259"/>
        <w:jc w:val="left"/>
      </w:pPr>
      <w:r>
        <w:rPr>
          <w:rFonts w:ascii="Arial" w:hAnsi="Arial"/>
          <w:color w:val="525252"/>
          <w:sz w:val="13"/>
        </w:rPr>
        <w:t>Our current operations place us in areas where local laws and customs or mission requirements prohibit or restrict certain activities that are generally permissible in our society.</w:t>
      </w:r>
    </w:p>
    <w:p>
      <w:pPr>
        <w:spacing w:after="20" w:line="223" w:lineRule="auto"/>
        <w:jc w:val="right"/>
        <w:bidi/>
      </w:pPr>
      <w:r>
        <w:rPr>
          <w:rFonts w:ascii="Arial" w:hAnsi="Arial"/>
          <w:sz w:val="16"/>
        </w:rPr>
        <w:t>348.11  ما باید برای حفظ روابط با کشور میزبان و حمایت از عملیات نظامی با نیروهای دوست، به این محدودیت‌ها احترام بگذاریم و از آنها تبعیت کنیم.</w:t>
      </w:r>
    </w:p>
    <w:p>
      <w:pPr>
        <w:spacing w:after="28" w:line="216" w:lineRule="auto"/>
        <w:ind w:left="259"/>
        <w:jc w:val="left"/>
      </w:pPr>
      <w:r>
        <w:rPr>
          <w:rFonts w:ascii="Arial" w:hAnsi="Arial"/>
          <w:color w:val="525252"/>
          <w:sz w:val="13"/>
        </w:rPr>
        <w:t>We must respect and abide by these restrictions to preserve relations with our host nation and support military operations with friendly forces.</w:t>
      </w:r>
    </w:p>
    <w:p>
      <w:pPr>
        <w:spacing w:after="20" w:line="223" w:lineRule="auto"/>
        <w:jc w:val="right"/>
        <w:bidi/>
      </w:pPr>
      <w:r>
        <w:rPr>
          <w:rFonts w:ascii="Arial" w:hAnsi="Arial"/>
          <w:sz w:val="16"/>
        </w:rPr>
        <w:t>348.12  هیچ مأموریتی، به‌ویژه یک مأموریت رزمی، بدون نظم و انضباط و انعطاف پذیری حاصل از رعایت دقیق این قوانین نمی‌تواند موفق شود.</w:t>
      </w:r>
    </w:p>
    <w:p>
      <w:pPr>
        <w:spacing w:after="28" w:line="216" w:lineRule="auto"/>
        <w:ind w:left="259"/>
        <w:jc w:val="left"/>
      </w:pPr>
      <w:r>
        <w:rPr>
          <w:rFonts w:ascii="Arial" w:hAnsi="Arial"/>
          <w:color w:val="525252"/>
          <w:sz w:val="13"/>
        </w:rPr>
        <w:t>No mission, particularly a combat mission, can succeed without the discipline and resilience produced by strict compliance with these rules.</w:t>
      </w:r>
    </w:p>
    <w:p>
      <w:pPr>
        <w:spacing w:after="20" w:line="223" w:lineRule="auto"/>
        <w:jc w:val="right"/>
        <w:bidi/>
      </w:pPr>
      <w:r>
        <w:rPr>
          <w:rFonts w:ascii="Arial" w:hAnsi="Arial"/>
          <w:sz w:val="16"/>
        </w:rPr>
        <w:t>348.13  اعضایی که از دستورات عمومی پیروی نکنند ممکن است طبق قانون یکسان عدالت نظامی با اقدامات اداری نامطلوب، مجازات غیرقضایی یا پیگرد کیفری روبرو شوند.</w:t>
      </w:r>
    </w:p>
    <w:p>
      <w:pPr>
        <w:spacing w:after="28" w:line="216" w:lineRule="auto"/>
        <w:ind w:left="259"/>
        <w:jc w:val="left"/>
      </w:pPr>
      <w:r>
        <w:rPr>
          <w:rFonts w:ascii="Arial" w:hAnsi="Arial"/>
          <w:color w:val="525252"/>
          <w:sz w:val="13"/>
        </w:rPr>
        <w:t>Members who fail to comply with General Orders may face adverse administrative action, non-judicial punishment, or criminal prosecution pursuant to the Uniform Code of Military Justice.</w:t>
      </w:r>
    </w:p>
    <w:p>
      <w:pPr>
        <w:spacing w:before="60" w:after="28"/>
        <w:jc w:val="right"/>
        <w:bidi/>
      </w:pPr>
      <w:r>
        <w:rPr>
          <w:b/>
          <w:color w:val="1F4D78"/>
          <w:sz w:val="18"/>
        </w:rPr>
        <w:t>19.4. مسئولیت</w:t>
      </w:r>
    </w:p>
    <w:p>
      <w:pPr>
        <w:spacing w:after="20"/>
        <w:ind w:left="259"/>
        <w:jc w:val="left"/>
      </w:pPr>
      <w:r>
        <w:rPr>
          <w:color w:val="555555"/>
          <w:sz w:val="12"/>
        </w:rPr>
        <w:t>19.4. Responsibility</w:t>
      </w:r>
    </w:p>
    <w:p>
      <w:pPr>
        <w:spacing w:after="20" w:line="223" w:lineRule="auto"/>
        <w:jc w:val="right"/>
        <w:bidi/>
      </w:pPr>
      <w:r>
        <w:rPr>
          <w:rFonts w:ascii="Arial" w:hAnsi="Arial"/>
          <w:sz w:val="16"/>
        </w:rPr>
        <w:t>348.15  استانداردهای USAF باید به‌طور یکسان شناخته شده، به‌طور پیوسته اعمال شوند و به‌طور انتخابی اجرا نشوند.</w:t>
      </w:r>
    </w:p>
    <w:p>
      <w:pPr>
        <w:spacing w:after="28" w:line="216" w:lineRule="auto"/>
        <w:ind w:left="259"/>
        <w:jc w:val="left"/>
      </w:pPr>
      <w:r>
        <w:rPr>
          <w:rFonts w:ascii="Arial" w:hAnsi="Arial"/>
          <w:color w:val="525252"/>
          <w:sz w:val="13"/>
        </w:rPr>
        <w:t>USAF standards must be uniformly known, consistently applied, and non-selectively enforced.</w:t>
      </w:r>
    </w:p>
    <w:p>
      <w:pPr>
        <w:spacing w:after="20" w:line="223" w:lineRule="auto"/>
        <w:jc w:val="right"/>
        <w:bidi/>
      </w:pPr>
      <w:r>
        <w:rPr>
          <w:rFonts w:ascii="Arial" w:hAnsi="Arial"/>
          <w:sz w:val="16"/>
        </w:rPr>
        <w:t>348.16  پاسخگویی برای نظم و انضباط خوب نیرو بسیار مهم است.</w:t>
      </w:r>
    </w:p>
    <w:p>
      <w:pPr>
        <w:spacing w:after="28" w:line="216" w:lineRule="auto"/>
        <w:ind w:left="259"/>
        <w:jc w:val="left"/>
      </w:pPr>
      <w:r>
        <w:rPr>
          <w:rFonts w:ascii="Arial" w:hAnsi="Arial"/>
          <w:color w:val="525252"/>
          <w:sz w:val="13"/>
        </w:rPr>
        <w:t>Accountability is critically important to good order and discipline of the force.</w:t>
      </w:r>
    </w:p>
    <w:p>
      <w:pPr>
        <w:spacing w:after="20" w:line="223" w:lineRule="auto"/>
        <w:jc w:val="right"/>
        <w:bidi/>
      </w:pPr>
      <w:r>
        <w:rPr>
          <w:rFonts w:ascii="Arial" w:hAnsi="Arial"/>
          <w:sz w:val="16"/>
        </w:rPr>
        <w:t>348.17  عدم اطمینان از پاسخگویی مانع اعتماد مردم آمریکا خواهد شد، همان افرادی که تحت قانون اساسی زندگی می‌کنند که ما سوگند یاد کرده‌ایم از آن حمایت و از آن دفاع کنیم، و به ما، اعضای USAF کشورشان، نگاه می‌کنند تا استانداردهایی را که بالاتر از استانداردهای جامعه‌ای است که ما به آن خدمت می‌کنیم، بپذیریم و زندگی کنیم.</w:t>
      </w:r>
    </w:p>
    <w:p>
      <w:pPr>
        <w:spacing w:after="28" w:line="216" w:lineRule="auto"/>
        <w:ind w:left="259"/>
        <w:jc w:val="left"/>
      </w:pPr>
      <w:r>
        <w:rPr>
          <w:rFonts w:ascii="Arial" w:hAnsi="Arial"/>
          <w:color w:val="525252"/>
          <w:sz w:val="13"/>
        </w:rPr>
        <w:t>Failure to ensure accountability will hinder the trust of the American public, the very people living under the Constitution we swore to support and defend, and who look to us, the members of their nation's USAF, to embrace and live by the standards that are higher than those in the society we serve.</w:t>
      </w:r>
    </w:p>
    <w:p>
      <w:pPr>
        <w:spacing w:after="20" w:line="223" w:lineRule="auto"/>
        <w:jc w:val="right"/>
        <w:bidi/>
      </w:pPr>
      <w:r>
        <w:rPr>
          <w:rFonts w:ascii="Arial" w:hAnsi="Arial"/>
          <w:sz w:val="16"/>
        </w:rPr>
        <w:t>348.18  هوانوردان موظفند این استانداردها را به خوبی یاد بگیرند نه تنها از آنها پیروی کنند، بلکه آنها را به وضوح برای زیردستان بیان کنند و سایر اعضا را رعایت کنند.</w:t>
      </w:r>
    </w:p>
    <w:p>
      <w:pPr>
        <w:spacing w:after="28" w:line="216" w:lineRule="auto"/>
        <w:ind w:left="259"/>
        <w:jc w:val="left"/>
      </w:pPr>
      <w:r>
        <w:rPr>
          <w:rFonts w:ascii="Arial" w:hAnsi="Arial"/>
          <w:color w:val="525252"/>
          <w:sz w:val="13"/>
        </w:rPr>
        <w:t>Airmen have a responsibility to learn these standards well enough not only to follow them, but to articulate them clearly to subordinates and enforce proper observation by other members.</w:t>
      </w:r>
    </w:p>
    <w:p>
      <w:pPr>
        <w:spacing w:after="20" w:line="223" w:lineRule="auto"/>
        <w:jc w:val="right"/>
        <w:bidi/>
      </w:pPr>
      <w:r>
        <w:rPr>
          <w:rFonts w:ascii="Arial" w:hAnsi="Arial"/>
          <w:sz w:val="16"/>
        </w:rPr>
        <w:t>348.19  برای اطلاعات بیشتر در مورد استانداردهای رفتار، به ۵ CFR ۲۶۳۵، استانداردهای رفتار اخلاقی برای کارکنان شعبه اجرایی، مقررات اخلاقی مشترک، و AFI ۱-۱ مراجعه کنید.</w:t>
      </w:r>
    </w:p>
    <w:p>
      <w:pPr>
        <w:spacing w:after="28" w:line="216" w:lineRule="auto"/>
        <w:ind w:left="259"/>
        <w:jc w:val="left"/>
      </w:pPr>
      <w:r>
        <w:rPr>
          <w:rFonts w:ascii="Arial" w:hAnsi="Arial"/>
          <w:color w:val="525252"/>
          <w:sz w:val="13"/>
        </w:rPr>
        <w:t>For additional information on standards of conduct, refer to 5 CFR 2635, Standards of Ethical Conduct for Employees of the Executive Branch, the Joint Ethics Regulation, and AFI 1-1.</w:t>
      </w:r>
    </w:p>
    <w:p>
      <w:r>
        <w:br w:type="page"/>
      </w:r>
    </w:p>
    <w:p>
      <w:pPr>
        <w:spacing w:after="60"/>
        <w:jc w:val="right"/>
        <w:bidi/>
      </w:pPr>
      <w:r>
        <w:rPr>
          <w:rFonts w:ascii="Arial" w:hAnsi="Arial"/>
          <w:b/>
          <w:color w:val="1F4D78"/>
          <w:sz w:val="19"/>
        </w:rPr>
        <w:t>هفتهٔ 349  |  صفحهٔ منبع: 365</w:t>
      </w:r>
    </w:p>
    <w:p>
      <w:pPr>
        <w:spacing w:before="60" w:after="28"/>
        <w:jc w:val="right"/>
        <w:bidi/>
      </w:pPr>
      <w:r>
        <w:rPr>
          <w:b/>
          <w:color w:val="1F4D78"/>
          <w:sz w:val="18"/>
        </w:rPr>
        <w:t>بخش 19B - قانون جنگ</w:t>
      </w:r>
    </w:p>
    <w:p>
      <w:pPr>
        <w:spacing w:after="20"/>
        <w:ind w:left="259"/>
        <w:jc w:val="left"/>
      </w:pPr>
      <w:r>
        <w:rPr>
          <w:color w:val="555555"/>
          <w:sz w:val="12"/>
        </w:rPr>
        <w:t>Section 19B—Law of War</w:t>
      </w:r>
    </w:p>
    <w:p>
      <w:pPr>
        <w:spacing w:before="60" w:after="28"/>
        <w:jc w:val="right"/>
        <w:bidi/>
      </w:pPr>
      <w:r>
        <w:rPr>
          <w:b/>
          <w:color w:val="1F4D78"/>
          <w:sz w:val="18"/>
        </w:rPr>
        <w:t>19.5. قانون جنگ تعریف شده است</w:t>
      </w:r>
    </w:p>
    <w:p>
      <w:pPr>
        <w:spacing w:after="20"/>
        <w:ind w:left="259"/>
        <w:jc w:val="left"/>
      </w:pPr>
      <w:r>
        <w:rPr>
          <w:color w:val="555555"/>
          <w:sz w:val="12"/>
        </w:rPr>
        <w:t>19.5. Law of War Defined</w:t>
      </w:r>
    </w:p>
    <w:p>
      <w:pPr>
        <w:spacing w:after="20" w:line="223" w:lineRule="auto"/>
        <w:jc w:val="right"/>
        <w:bidi/>
      </w:pPr>
      <w:r>
        <w:rPr>
          <w:rFonts w:ascii="Arial" w:hAnsi="Arial"/>
          <w:sz w:val="16"/>
        </w:rPr>
        <w:t>349.03  قانون جنگ که قانون درگیری مسلحانه (LOAC) نیز نامیده می‌شود، توسط وزارت دفاع به‌عنوان معاهدات و قوانین بین‌المللی عرفی الزام‌آور برای ایالات متحده تعریف می‌شود که این موارد را تنظیم می‌کند: توسل به نیروی مسلح. انجام خصومت‌ها و حمایت از قربانیان جنگ در درگیری‌های مسلحانه بین المللی و غیر بین المللی؛ اشغال جنگ طلب؛ و روابط بین کشورهای متخاصم، بی طرف و غیر متخاصم.</w:t>
      </w:r>
    </w:p>
    <w:p>
      <w:pPr>
        <w:spacing w:after="28" w:line="216" w:lineRule="auto"/>
        <w:ind w:left="259"/>
        <w:jc w:val="left"/>
      </w:pPr>
      <w:r>
        <w:rPr>
          <w:rFonts w:ascii="Arial" w:hAnsi="Arial"/>
          <w:color w:val="525252"/>
          <w:sz w:val="13"/>
        </w:rPr>
        <w:t>The law of war, also called the Law of Armed Conflict (LOAC), is defined by the Department of Defense as the treaties and customary international law binding on the United States, that regulate: the resort to armed force; the conduct of hostilities and the protection of war victims in international and non-international armed conflict; belligerent occupation; and the relationships between belligerent, neutral, and non-belligerent states.</w:t>
      </w:r>
    </w:p>
    <w:p>
      <w:pPr>
        <w:spacing w:after="20" w:line="223" w:lineRule="auto"/>
        <w:jc w:val="right"/>
        <w:bidi/>
      </w:pPr>
      <w:r>
        <w:rPr>
          <w:rFonts w:ascii="Arial" w:hAnsi="Arial"/>
          <w:sz w:val="16"/>
        </w:rPr>
        <w:t>349.04  هدف قانون جنگ.</w:t>
      </w:r>
    </w:p>
    <w:p>
      <w:pPr>
        <w:spacing w:after="28" w:line="216" w:lineRule="auto"/>
        <w:ind w:left="259"/>
        <w:jc w:val="left"/>
      </w:pPr>
      <w:r>
        <w:rPr>
          <w:rFonts w:ascii="Arial" w:hAnsi="Arial"/>
          <w:color w:val="525252"/>
          <w:sz w:val="13"/>
        </w:rPr>
        <w:t>Purpose of the Law of War.</w:t>
      </w:r>
    </w:p>
    <w:p>
      <w:pPr>
        <w:spacing w:after="20" w:line="223" w:lineRule="auto"/>
        <w:jc w:val="right"/>
        <w:bidi/>
      </w:pPr>
      <w:r>
        <w:rPr>
          <w:rFonts w:ascii="Arial" w:hAnsi="Arial"/>
          <w:sz w:val="16"/>
        </w:rPr>
        <w:t>349.05  قانون جنگ از تمایل بشردوستانه کشورهای متمدن برای کاهش اثرات درگیری‌ها ناشی می‌شود.</w:t>
      </w:r>
    </w:p>
    <w:p>
      <w:pPr>
        <w:spacing w:after="28" w:line="216" w:lineRule="auto"/>
        <w:ind w:left="259"/>
        <w:jc w:val="left"/>
      </w:pPr>
      <w:r>
        <w:rPr>
          <w:rFonts w:ascii="Arial" w:hAnsi="Arial"/>
          <w:color w:val="525252"/>
          <w:sz w:val="13"/>
        </w:rPr>
        <w:t>The law of war arises from civilized nations’ humanitarian desire to lessen the effects of conflicts.</w:t>
      </w:r>
    </w:p>
    <w:p>
      <w:pPr>
        <w:spacing w:after="20" w:line="223" w:lineRule="auto"/>
        <w:jc w:val="right"/>
        <w:bidi/>
      </w:pPr>
      <w:r>
        <w:rPr>
          <w:rFonts w:ascii="Arial" w:hAnsi="Arial"/>
          <w:sz w:val="16"/>
        </w:rPr>
        <w:t>349.06  قانون جنگ از رزمندگان و غیرنظامیان، از جمله غیرنظامیان، در برابر رنج‌های غیرضروری محافظت می‌کند و برای افرادی که به دست دشمن می‌افتند، به‌ویژه اسیران جنگی، غیرنظامیان و مجروحان، بیماران و کشتی‌های غرق شده، حمایت‌های اساسی ایجاد می‌کند.</w:t>
      </w:r>
    </w:p>
    <w:p>
      <w:pPr>
        <w:spacing w:after="28" w:line="216" w:lineRule="auto"/>
        <w:ind w:left="259"/>
        <w:jc w:val="left"/>
      </w:pPr>
      <w:r>
        <w:rPr>
          <w:rFonts w:ascii="Arial" w:hAnsi="Arial"/>
          <w:color w:val="525252"/>
          <w:sz w:val="13"/>
        </w:rPr>
        <w:t>The law of war protects combatants and noncombatants, including civilians, from unnecessary suffering, and provides fundamental protections for persons who fall into the hands of the enemy, particularly prisoners of war, civilians, and military wounded, sick, and shipwrecked.</w:t>
      </w:r>
    </w:p>
    <w:p>
      <w:pPr>
        <w:spacing w:after="20" w:line="223" w:lineRule="auto"/>
        <w:jc w:val="right"/>
        <w:bidi/>
      </w:pPr>
      <w:r>
        <w:rPr>
          <w:rFonts w:ascii="Arial" w:hAnsi="Arial"/>
          <w:sz w:val="16"/>
        </w:rPr>
        <w:t>349.07  هدف قانون جنگ این است که درگیری‌ها را از تبدیل شدن به وحشیگری و وحشیگری دور نگه دارد و در نتیجه به بازگرداندن صلح کمک کند.</w:t>
      </w:r>
    </w:p>
    <w:p>
      <w:pPr>
        <w:spacing w:after="28" w:line="216" w:lineRule="auto"/>
        <w:ind w:left="259"/>
        <w:jc w:val="left"/>
      </w:pPr>
      <w:r>
        <w:rPr>
          <w:rFonts w:ascii="Arial" w:hAnsi="Arial"/>
          <w:color w:val="525252"/>
          <w:sz w:val="13"/>
        </w:rPr>
        <w:t>The law of war aims to keep conflicts from degenerating into savagery and brutality, thereby helping restore peace.</w:t>
      </w:r>
    </w:p>
    <w:p>
      <w:pPr>
        <w:spacing w:after="20" w:line="223" w:lineRule="auto"/>
        <w:jc w:val="right"/>
        <w:bidi/>
      </w:pPr>
      <w:r>
        <w:rPr>
          <w:rFonts w:ascii="Arial" w:hAnsi="Arial"/>
          <w:sz w:val="16"/>
        </w:rPr>
        <w:t>349.08  قانون جنگ همچنین برای کمک به فرماندهان در حصول اطمینان از استفاده منظم و کارآمد از نیروی نظامی و حفظ حرفه‌ای بودن و انسانیت رزمندگان است.</w:t>
      </w:r>
    </w:p>
    <w:p>
      <w:pPr>
        <w:spacing w:after="28" w:line="216" w:lineRule="auto"/>
        <w:ind w:left="259"/>
        <w:jc w:val="left"/>
      </w:pPr>
      <w:r>
        <w:rPr>
          <w:rFonts w:ascii="Arial" w:hAnsi="Arial"/>
          <w:color w:val="525252"/>
          <w:sz w:val="13"/>
        </w:rPr>
        <w:t>The law of war also serves to assist commanders in ensuring the disciplined and efficient use of military force and preserving the professionalism and humanity of combatants.</w:t>
      </w:r>
    </w:p>
    <w:p>
      <w:pPr>
        <w:spacing w:after="20" w:line="223" w:lineRule="auto"/>
        <w:jc w:val="right"/>
        <w:bidi/>
      </w:pPr>
      <w:r>
        <w:rPr>
          <w:rFonts w:ascii="Arial" w:hAnsi="Arial"/>
          <w:sz w:val="16"/>
        </w:rPr>
        <w:t>349.09  قانون آموزش جنگ.</w:t>
      </w:r>
    </w:p>
    <w:p>
      <w:pPr>
        <w:spacing w:after="28" w:line="216" w:lineRule="auto"/>
        <w:ind w:left="259"/>
        <w:jc w:val="left"/>
      </w:pPr>
      <w:r>
        <w:rPr>
          <w:rFonts w:ascii="Arial" w:hAnsi="Arial"/>
          <w:color w:val="525252"/>
          <w:sz w:val="13"/>
        </w:rPr>
        <w:t>Law of War Training.</w:t>
      </w:r>
    </w:p>
    <w:p>
      <w:pPr>
        <w:spacing w:after="20" w:line="223" w:lineRule="auto"/>
        <w:jc w:val="right"/>
        <w:bidi/>
      </w:pPr>
      <w:r>
        <w:rPr>
          <w:rFonts w:ascii="Arial" w:hAnsi="Arial"/>
          <w:sz w:val="16"/>
        </w:rPr>
        <w:t>349.10  دودد ۲۳۱۱.۰۱، برنامه قانون جنگ وزارت دفاع، هر بخش نظامی را ملزم می‌کند تا برنامه‌های مؤثری را اجرا کند که رعایت قانون جنگ را تضمین کند، از تخلفات جلوگیری کند، گزارش سریع تخلفات ادعا شده را تضمین کند، و همه نیروها را به‌طور مناسب آموزش دهد.</w:t>
      </w:r>
    </w:p>
    <w:p>
      <w:pPr>
        <w:spacing w:after="28" w:line="216" w:lineRule="auto"/>
        <w:ind w:left="259"/>
        <w:jc w:val="left"/>
      </w:pPr>
      <w:r>
        <w:rPr>
          <w:rFonts w:ascii="Arial" w:hAnsi="Arial"/>
          <w:color w:val="525252"/>
          <w:sz w:val="13"/>
        </w:rPr>
        <w:t>DoDD 2311.01, Department of Defense Law of War Program, requires each military department to implement effective programs that ensure law of war observance, prevent violations, ensure prompt reporting of alleged violations, and appropriately train all forces.</w:t>
      </w:r>
    </w:p>
    <w:p>
      <w:pPr>
        <w:spacing w:after="20" w:line="223" w:lineRule="auto"/>
        <w:jc w:val="right"/>
        <w:bidi/>
      </w:pPr>
      <w:r>
        <w:rPr>
          <w:rFonts w:ascii="Arial" w:hAnsi="Arial"/>
          <w:sz w:val="16"/>
        </w:rPr>
        <w:t>349.11  قانون آموزش جنگ بر اساس مفاد کنوانسیون ژنو ۱۹۴۹، سایر قوانین جنگ و حقوق بین‌الملل عرفی، تعهدات ایالات متحده است.</w:t>
      </w:r>
    </w:p>
    <w:p>
      <w:pPr>
        <w:spacing w:after="28" w:line="216" w:lineRule="auto"/>
        <w:ind w:left="259"/>
        <w:jc w:val="left"/>
      </w:pPr>
      <w:r>
        <w:rPr>
          <w:rFonts w:ascii="Arial" w:hAnsi="Arial"/>
          <w:color w:val="525252"/>
          <w:sz w:val="13"/>
        </w:rPr>
        <w:t>Law of war training is an obligation of the United States under provisions of the 1949 Geneva Conventions, other law of war treaties, and customary international law.</w:t>
      </w:r>
    </w:p>
    <w:p>
      <w:pPr>
        <w:spacing w:after="20" w:line="223" w:lineRule="auto"/>
        <w:jc w:val="right"/>
        <w:bidi/>
      </w:pPr>
      <w:r>
        <w:rPr>
          <w:rFonts w:ascii="Arial" w:hAnsi="Arial"/>
          <w:sz w:val="16"/>
        </w:rPr>
        <w:t>349.12  پرسنل USAF متناسب با وظایف و مسئولیت‌های خود آموزش قانون جنگ دریافت می‌کنند.</w:t>
      </w:r>
    </w:p>
    <w:p>
      <w:pPr>
        <w:spacing w:after="28" w:line="216" w:lineRule="auto"/>
        <w:ind w:left="259"/>
        <w:jc w:val="left"/>
      </w:pPr>
      <w:r>
        <w:rPr>
          <w:rFonts w:ascii="Arial" w:hAnsi="Arial"/>
          <w:color w:val="525252"/>
          <w:sz w:val="13"/>
        </w:rPr>
        <w:t>USAF personnel receive law of war training commensurate with their duties and responsibilities.</w:t>
      </w:r>
    </w:p>
    <w:p>
      <w:pPr>
        <w:spacing w:after="20" w:line="223" w:lineRule="auto"/>
        <w:jc w:val="right"/>
        <w:bidi/>
      </w:pPr>
      <w:r>
        <w:rPr>
          <w:rFonts w:ascii="Arial" w:hAnsi="Arial"/>
          <w:sz w:val="16"/>
        </w:rPr>
        <w:t>349.13  گروه‌های خاصی مانند خدمه هوایی، پرسنل پزشکی و نیروهای امنیتی، آموزش‌های تخصصی برای رسیدگی به موقعیت‌های منحصربه‌فردی که ممکن است با آن‌ها مواجه شوند، دریافت می‌کنند.</w:t>
      </w:r>
    </w:p>
    <w:p>
      <w:pPr>
        <w:spacing w:after="28" w:line="216" w:lineRule="auto"/>
        <w:ind w:left="259"/>
        <w:jc w:val="left"/>
      </w:pPr>
      <w:r>
        <w:rPr>
          <w:rFonts w:ascii="Arial" w:hAnsi="Arial"/>
          <w:color w:val="525252"/>
          <w:sz w:val="13"/>
        </w:rPr>
        <w:t>Certain groups, such as aircrews, medical personnel, and security forces, receive specialized training to address unique situations they may encounter.</w:t>
      </w:r>
    </w:p>
    <w:p>
      <w:pPr>
        <w:spacing w:after="20" w:line="223" w:lineRule="auto"/>
        <w:jc w:val="right"/>
        <w:bidi/>
      </w:pPr>
      <w:r>
        <w:rPr>
          <w:rFonts w:ascii="Arial" w:hAnsi="Arial"/>
          <w:sz w:val="16"/>
        </w:rPr>
        <w:t>349.14  قانون تعهدات پیمان جنگ.</w:t>
      </w:r>
    </w:p>
    <w:p>
      <w:pPr>
        <w:spacing w:after="28" w:line="216" w:lineRule="auto"/>
        <w:ind w:left="259"/>
        <w:jc w:val="left"/>
      </w:pPr>
      <w:r>
        <w:rPr>
          <w:rFonts w:ascii="Arial" w:hAnsi="Arial"/>
          <w:color w:val="525252"/>
          <w:sz w:val="13"/>
        </w:rPr>
        <w:t>Law of War Treaty Obligations.</w:t>
      </w:r>
    </w:p>
    <w:p>
      <w:pPr>
        <w:spacing w:after="20" w:line="223" w:lineRule="auto"/>
        <w:jc w:val="right"/>
        <w:bidi/>
      </w:pPr>
      <w:r>
        <w:rPr>
          <w:rFonts w:ascii="Arial" w:hAnsi="Arial"/>
          <w:sz w:val="16"/>
        </w:rPr>
        <w:t>349.15  ماده شش قانون اساسی ایالات متحده بیان می‌کند که تعهدات معاهده ایالات متحده "برترین قانون سرزمین" است و دیوان عالی ایالات متحده اعلام کرده است که تعهدات حقوقی بین المللی، از جمله عرف، بخشی از قوانین ایالات متحده است.</w:t>
      </w:r>
    </w:p>
    <w:p>
      <w:pPr>
        <w:spacing w:after="28" w:line="216" w:lineRule="auto"/>
        <w:ind w:left="259"/>
        <w:jc w:val="left"/>
      </w:pPr>
      <w:r>
        <w:rPr>
          <w:rFonts w:ascii="Arial" w:hAnsi="Arial"/>
          <w:color w:val="525252"/>
          <w:sz w:val="13"/>
        </w:rPr>
        <w:t>Article six of the U.S. Constitution states that treaty obligations of the United States are the “supreme law of the land,” and the U.S. Supreme Court has held that international legal obligations, to include custom, is part of U.S. law.</w:t>
      </w:r>
    </w:p>
    <w:p>
      <w:pPr>
        <w:spacing w:after="20" w:line="223" w:lineRule="auto"/>
        <w:jc w:val="right"/>
        <w:bidi/>
      </w:pPr>
      <w:r>
        <w:rPr>
          <w:rFonts w:ascii="Arial" w:hAnsi="Arial"/>
          <w:sz w:val="16"/>
        </w:rPr>
        <w:t>349.16  این بدان معناست که معاهدات و موافقتنامه‌های بین‌المللی که ایالات متحده یکی از آنها است، با قوانین مصوب کنگره و امضای رئیس‌جمهور از وضعیت برابری برخوردار است.</w:t>
      </w:r>
    </w:p>
    <w:p>
      <w:pPr>
        <w:spacing w:after="28" w:line="216" w:lineRule="auto"/>
        <w:ind w:left="259"/>
        <w:jc w:val="left"/>
      </w:pPr>
      <w:r>
        <w:rPr>
          <w:rFonts w:ascii="Arial" w:hAnsi="Arial"/>
          <w:color w:val="525252"/>
          <w:sz w:val="13"/>
        </w:rPr>
        <w:t>This means that treaties and international agreements to which the United States is a party, enjoy equal status to laws passed by Congress and signed by the President.</w:t>
      </w:r>
    </w:p>
    <w:p>
      <w:pPr>
        <w:spacing w:after="20" w:line="223" w:lineRule="auto"/>
        <w:jc w:val="right"/>
        <w:bidi/>
      </w:pPr>
      <w:r>
        <w:rPr>
          <w:rFonts w:ascii="Arial" w:hAnsi="Arial"/>
          <w:sz w:val="16"/>
        </w:rPr>
        <w:t>349.17  بنابراین، همه افرادی که مشمول قوانین ایالات متحده هستند باید تعهدات قانون جنگ و همچنین پرسنل نظامی، غیرنظامیان و پیمانکارانی را که مجاز به همراهی با نیروهای مسلح ایالات متحده در هنگام برنامه‌ریزی یا اجرای عملیات هستند، رعایت کنند.</w:t>
      </w:r>
    </w:p>
    <w:p>
      <w:pPr>
        <w:spacing w:after="28" w:line="216" w:lineRule="auto"/>
        <w:ind w:left="259"/>
        <w:jc w:val="left"/>
      </w:pPr>
      <w:r>
        <w:rPr>
          <w:rFonts w:ascii="Arial" w:hAnsi="Arial"/>
          <w:color w:val="525252"/>
          <w:sz w:val="13"/>
        </w:rPr>
        <w:t>Therefore, all persons subject to United States law must observe law of war obligations, as well as military personnel, civilians, and contractors authorized to accompany the U.S. Armed Forces when planning or executing operations.</w:t>
      </w:r>
    </w:p>
    <w:p>
      <w:pPr>
        <w:spacing w:before="60" w:after="28"/>
        <w:jc w:val="right"/>
        <w:bidi/>
      </w:pPr>
      <w:r>
        <w:rPr>
          <w:b/>
          <w:color w:val="1F4D78"/>
          <w:sz w:val="18"/>
        </w:rPr>
        <w:t>19.6. اصول قانون جنگ</w:t>
      </w:r>
    </w:p>
    <w:p>
      <w:pPr>
        <w:spacing w:after="20"/>
        <w:ind w:left="259"/>
        <w:jc w:val="left"/>
      </w:pPr>
      <w:r>
        <w:rPr>
          <w:color w:val="555555"/>
          <w:sz w:val="12"/>
        </w:rPr>
        <w:t>19.6. Law of War Principles</w:t>
      </w:r>
    </w:p>
    <w:p>
      <w:pPr>
        <w:spacing w:after="20" w:line="223" w:lineRule="auto"/>
        <w:jc w:val="right"/>
        <w:bidi/>
      </w:pPr>
      <w:r>
        <w:rPr>
          <w:rFonts w:ascii="Arial" w:hAnsi="Arial"/>
          <w:sz w:val="16"/>
        </w:rPr>
        <w:t>349.19  پنج اصل مهم قانون جنگ بر منازعات مسلحانه حاکم است و در اینجا به آنها پرداخته می‌شود: ضرورت نظامی.</w:t>
      </w:r>
    </w:p>
    <w:p>
      <w:pPr>
        <w:spacing w:after="28" w:line="216" w:lineRule="auto"/>
        <w:ind w:left="259"/>
        <w:jc w:val="left"/>
      </w:pPr>
      <w:r>
        <w:rPr>
          <w:rFonts w:ascii="Arial" w:hAnsi="Arial"/>
          <w:color w:val="525252"/>
          <w:sz w:val="13"/>
        </w:rPr>
        <w:t>Five important law of war principles govern armed conflict, and are addressed here: Military Necessity.</w:t>
      </w:r>
    </w:p>
    <w:p>
      <w:pPr>
        <w:spacing w:after="20" w:line="223" w:lineRule="auto"/>
        <w:jc w:val="right"/>
        <w:bidi/>
      </w:pPr>
      <w:r>
        <w:rPr>
          <w:rFonts w:ascii="Arial" w:hAnsi="Arial"/>
          <w:sz w:val="16"/>
        </w:rPr>
        <w:t>349.20  ضرورت نظامی، اصل قانون جنگ است که استفاده از تمام اقدامات لازم برای شکست هرچه سریعتر و کارآمد دشمن را که توسط قانون جنگ منع نشده است، توجیه می‌کند.</w:t>
      </w:r>
    </w:p>
    <w:p>
      <w:pPr>
        <w:spacing w:after="28" w:line="216" w:lineRule="auto"/>
        <w:ind w:left="259"/>
        <w:jc w:val="left"/>
      </w:pPr>
      <w:r>
        <w:rPr>
          <w:rFonts w:ascii="Arial" w:hAnsi="Arial"/>
          <w:color w:val="525252"/>
          <w:sz w:val="13"/>
        </w:rPr>
        <w:t>Military necessity is the law of war principle that justifies the use of all measures needed to defeat the enemy as quickly and efficiently as possible, that are not prohibited by the law of war.</w:t>
      </w:r>
    </w:p>
    <w:p>
      <w:pPr>
        <w:spacing w:after="20" w:line="223" w:lineRule="auto"/>
        <w:jc w:val="right"/>
        <w:bidi/>
      </w:pPr>
      <w:r>
        <w:rPr>
          <w:rFonts w:ascii="Arial" w:hAnsi="Arial"/>
          <w:sz w:val="16"/>
        </w:rPr>
        <w:t>349.21  حملات باید محدود به اهداف نظامی باشد.</w:t>
      </w:r>
    </w:p>
    <w:p>
      <w:pPr>
        <w:spacing w:after="28" w:line="216" w:lineRule="auto"/>
        <w:ind w:left="259"/>
        <w:jc w:val="left"/>
      </w:pPr>
      <w:r>
        <w:rPr>
          <w:rFonts w:ascii="Arial" w:hAnsi="Arial"/>
          <w:color w:val="525252"/>
          <w:sz w:val="13"/>
        </w:rPr>
        <w:t>Attacks must be limited to military objectives.</w:t>
      </w:r>
    </w:p>
    <w:p>
      <w:pPr>
        <w:spacing w:after="20" w:line="223" w:lineRule="auto"/>
        <w:jc w:val="right"/>
        <w:bidi/>
      </w:pPr>
      <w:r>
        <w:rPr>
          <w:rFonts w:ascii="Arial" w:hAnsi="Arial"/>
          <w:sz w:val="16"/>
        </w:rPr>
        <w:t>349.22  جنگجویان، متخاصمین بی امتیاز و غیرنظامیانی که مستقیما در خصومت‌ها شرکت می‌کنند، اهداف نظامی هستند و ممکن است هدف حمله قرار گیرند.</w:t>
      </w:r>
    </w:p>
    <w:p>
      <w:pPr>
        <w:spacing w:after="28" w:line="216" w:lineRule="auto"/>
        <w:ind w:left="259"/>
        <w:jc w:val="left"/>
      </w:pPr>
      <w:r>
        <w:rPr>
          <w:rFonts w:ascii="Arial" w:hAnsi="Arial"/>
          <w:color w:val="525252"/>
          <w:sz w:val="13"/>
        </w:rPr>
        <w:t>Combatants, unprivileged belligerents, and civilians taking a direct part in hostilities, are military objectives and may be made the object of attack.</w:t>
      </w:r>
    </w:p>
    <w:p>
      <w:pPr>
        <w:spacing w:after="20" w:line="223" w:lineRule="auto"/>
        <w:jc w:val="right"/>
        <w:bidi/>
      </w:pPr>
      <w:r>
        <w:rPr>
          <w:rFonts w:ascii="Arial" w:hAnsi="Arial"/>
          <w:sz w:val="16"/>
        </w:rPr>
        <w:t>349.23  اهداف نظامی، تا آنجا که به اشیاء مربوط می‌شود، شامل اشیایی است که به دلیل ماهیت، مکان، هدف یا استفاده خود کمک مؤثری به اقدام نظامی می‌کنند و تخریب، تصرف یا خنثی سازی کلی یا جزئی آنها در آن زمان، مزیت نظامی مشخصی را ارائه می‌دهد.</w:t>
      </w:r>
    </w:p>
    <w:p>
      <w:pPr>
        <w:spacing w:after="28" w:line="216" w:lineRule="auto"/>
        <w:ind w:left="259"/>
        <w:jc w:val="left"/>
      </w:pPr>
      <w:r>
        <w:rPr>
          <w:rFonts w:ascii="Arial" w:hAnsi="Arial"/>
          <w:color w:val="525252"/>
          <w:sz w:val="13"/>
        </w:rPr>
        <w:t>Military objectives, insofar as objects are concerned, include objects which by their nature, location, purpose, or use make an effective contribution to military action and whose total or partial destruction, capture, or neutralization, at the time, offer a definite military advantage.</w:t>
      </w:r>
    </w:p>
    <w:p>
      <w:pPr>
        <w:spacing w:after="20" w:line="223" w:lineRule="auto"/>
        <w:jc w:val="right"/>
        <w:bidi/>
      </w:pPr>
      <w:r>
        <w:rPr>
          <w:rFonts w:ascii="Arial" w:hAnsi="Arial"/>
          <w:sz w:val="16"/>
        </w:rPr>
        <w:t>349.24  نمونه هایی از این اشیاء عموما شامل تانک‌ها، هواپیماهای نظامی، پایگاه‌ها، تدارکات، خطوط</w:t>
      </w:r>
    </w:p>
    <w:p>
      <w:pPr>
        <w:spacing w:after="28" w:line="216" w:lineRule="auto"/>
        <w:ind w:left="259"/>
        <w:jc w:val="left"/>
      </w:pPr>
      <w:r>
        <w:rPr>
          <w:rFonts w:ascii="Arial" w:hAnsi="Arial"/>
          <w:color w:val="525252"/>
          <w:sz w:val="13"/>
        </w:rPr>
        <w:t>Examples of these objects generally include tanks, military aircraft, bases, supplies, lines of</w:t>
      </w:r>
    </w:p>
    <w:p>
      <w:r>
        <w:br w:type="page"/>
      </w:r>
    </w:p>
    <w:p>
      <w:pPr>
        <w:spacing w:after="60"/>
        <w:jc w:val="right"/>
        <w:bidi/>
      </w:pPr>
      <w:r>
        <w:rPr>
          <w:rFonts w:ascii="Arial" w:hAnsi="Arial"/>
          <w:b/>
          <w:color w:val="1F4D78"/>
          <w:sz w:val="19"/>
        </w:rPr>
        <w:t>هفتهٔ 350  |  صفحهٔ منبع: 366</w:t>
      </w:r>
    </w:p>
    <w:p>
      <w:pPr>
        <w:spacing w:after="20" w:line="223" w:lineRule="auto"/>
        <w:jc w:val="right"/>
        <w:bidi/>
      </w:pPr>
      <w:r>
        <w:rPr>
          <w:rFonts w:ascii="Arial" w:hAnsi="Arial"/>
          <w:sz w:val="16"/>
        </w:rPr>
        <w:t>350.01  ارتباطات، و ستاد.</w:t>
      </w:r>
    </w:p>
    <w:p>
      <w:pPr>
        <w:spacing w:after="28" w:line="216" w:lineRule="auto"/>
        <w:ind w:left="259"/>
        <w:jc w:val="left"/>
      </w:pPr>
      <w:r>
        <w:rPr>
          <w:rFonts w:ascii="Arial" w:hAnsi="Arial"/>
          <w:color w:val="525252"/>
          <w:sz w:val="13"/>
        </w:rPr>
        <w:t>communication, and headquarters.</w:t>
      </w:r>
    </w:p>
    <w:p>
      <w:pPr>
        <w:spacing w:after="20" w:line="223" w:lineRule="auto"/>
        <w:jc w:val="right"/>
        <w:bidi/>
      </w:pPr>
      <w:r>
        <w:rPr>
          <w:rFonts w:ascii="Arial" w:hAnsi="Arial"/>
          <w:sz w:val="16"/>
        </w:rPr>
        <w:t>350.02  ضرورت نظامی اجازه هرگونه اقدام نظامی و تخریب را نمی‌دهد.</w:t>
      </w:r>
    </w:p>
    <w:p>
      <w:pPr>
        <w:spacing w:after="28" w:line="216" w:lineRule="auto"/>
        <w:ind w:left="259"/>
        <w:jc w:val="left"/>
      </w:pPr>
      <w:r>
        <w:rPr>
          <w:rFonts w:ascii="Arial" w:hAnsi="Arial"/>
          <w:color w:val="525252"/>
          <w:sz w:val="13"/>
        </w:rPr>
        <w:t>Military necessity does not authorize all military action and destruction.</w:t>
      </w:r>
    </w:p>
    <w:p>
      <w:pPr>
        <w:spacing w:after="20" w:line="223" w:lineRule="auto"/>
        <w:jc w:val="right"/>
        <w:bidi/>
      </w:pPr>
      <w:r>
        <w:rPr>
          <w:rFonts w:ascii="Arial" w:hAnsi="Arial"/>
          <w:sz w:val="16"/>
        </w:rPr>
        <w:t>350.03  تحت هیچ شرایطی ضرورت نظامی نمی‌تواند اعمالی را که به‌طور خاص توسط قانون جنگ ممنوع شده است، مجاز کند، مانند قتل اسیران جنگی، بدرفتاری با اسیران جنگی یا بازداشت‌شدگان، گروگان‌گیری، یا اعدام یا انتقام‌جویی علیه شخص یا شیئی که به‌طور خاص از انتقام محافظت می‌شود.</w:t>
      </w:r>
    </w:p>
    <w:p>
      <w:pPr>
        <w:spacing w:after="28" w:line="216" w:lineRule="auto"/>
        <w:ind w:left="259"/>
        <w:jc w:val="left"/>
      </w:pPr>
      <w:r>
        <w:rPr>
          <w:rFonts w:ascii="Arial" w:hAnsi="Arial"/>
          <w:color w:val="525252"/>
          <w:sz w:val="13"/>
        </w:rPr>
        <w:t>Under no circumstances may military necessity authorize actions specifically prohibited by the law of war, such as the murder of prisoners of war, ill treatment of prisoners of war or internees, the taking of hostages, or execution or reprisal against a person or object specifically protected from reprisal.</w:t>
      </w:r>
    </w:p>
    <w:p>
      <w:pPr>
        <w:spacing w:after="20" w:line="223" w:lineRule="auto"/>
        <w:jc w:val="right"/>
        <w:bidi/>
      </w:pPr>
      <w:r>
        <w:rPr>
          <w:rFonts w:ascii="Arial" w:hAnsi="Arial"/>
          <w:sz w:val="16"/>
        </w:rPr>
        <w:t>350.04  انسانیت.</w:t>
      </w:r>
    </w:p>
    <w:p>
      <w:pPr>
        <w:spacing w:after="28" w:line="216" w:lineRule="auto"/>
        <w:ind w:left="259"/>
        <w:jc w:val="left"/>
      </w:pPr>
      <w:r>
        <w:rPr>
          <w:rFonts w:ascii="Arial" w:hAnsi="Arial"/>
          <w:color w:val="525252"/>
          <w:sz w:val="13"/>
        </w:rPr>
        <w:t>Humanity.</w:t>
      </w:r>
    </w:p>
    <w:p>
      <w:pPr>
        <w:spacing w:after="20" w:line="223" w:lineRule="auto"/>
        <w:jc w:val="right"/>
        <w:bidi/>
      </w:pPr>
      <w:r>
        <w:rPr>
          <w:rFonts w:ascii="Arial" w:hAnsi="Arial"/>
          <w:sz w:val="16"/>
        </w:rPr>
        <w:t>350.05  اصل قانون جنگ بشریت تحمیل رنج، جراحت یا تخریب غیرضروری برای انجام یک هدف نظامی مشروع را ممنوع می‌کند.</w:t>
      </w:r>
    </w:p>
    <w:p>
      <w:pPr>
        <w:spacing w:after="28" w:line="216" w:lineRule="auto"/>
        <w:ind w:left="259"/>
        <w:jc w:val="left"/>
      </w:pPr>
      <w:r>
        <w:rPr>
          <w:rFonts w:ascii="Arial" w:hAnsi="Arial"/>
          <w:color w:val="525252"/>
          <w:sz w:val="13"/>
        </w:rPr>
        <w:t>The law of war principle of humanity forbids the infliction of suffering, injury, or destruction unnecessary to accomplish a legitimate military purpose.</w:t>
      </w:r>
    </w:p>
    <w:p>
      <w:pPr>
        <w:spacing w:after="20" w:line="223" w:lineRule="auto"/>
        <w:jc w:val="right"/>
        <w:bidi/>
      </w:pPr>
      <w:r>
        <w:rPr>
          <w:rFonts w:ascii="Arial" w:hAnsi="Arial"/>
          <w:sz w:val="16"/>
        </w:rPr>
        <w:t>350.06  اگرچه ضرورت نظامی اقدامات خاصی را که برای شکست هرچه سریعتر و کارآمدتر دشمن ضروری است را توجیه می‌کند، اما ضرورت نظامی نمی‌تواند اقدامات غیر ضروری برای دستیابی به این هدف را توجیه کند.</w:t>
      </w:r>
    </w:p>
    <w:p>
      <w:pPr>
        <w:spacing w:after="28" w:line="216" w:lineRule="auto"/>
        <w:ind w:left="259"/>
        <w:jc w:val="left"/>
      </w:pPr>
      <w:r>
        <w:rPr>
          <w:rFonts w:ascii="Arial" w:hAnsi="Arial"/>
          <w:color w:val="525252"/>
          <w:sz w:val="13"/>
        </w:rPr>
        <w:t>Although military necessity justifies certain actions necessary to defeat the enemy as quickly and efficiently as possible, military necessity cannot justify actions not necessary to achieving this purpose.</w:t>
      </w:r>
    </w:p>
    <w:p>
      <w:pPr>
        <w:spacing w:after="20" w:line="223" w:lineRule="auto"/>
        <w:jc w:val="right"/>
        <w:bidi/>
      </w:pPr>
      <w:r>
        <w:rPr>
          <w:rFonts w:ascii="Arial" w:hAnsi="Arial"/>
          <w:sz w:val="16"/>
        </w:rPr>
        <w:t>350.07  علاوه بر این، هنگامی که یک هدف نظامی محقق شد، تحمیل رنج بیشتر غیرضروری است و باید از آن اجتناب کرد.</w:t>
      </w:r>
    </w:p>
    <w:p>
      <w:pPr>
        <w:spacing w:after="28" w:line="216" w:lineRule="auto"/>
        <w:ind w:left="259"/>
        <w:jc w:val="left"/>
      </w:pPr>
      <w:r>
        <w:rPr>
          <w:rFonts w:ascii="Arial" w:hAnsi="Arial"/>
          <w:color w:val="525252"/>
          <w:sz w:val="13"/>
        </w:rPr>
        <w:t>Moreover, once a military purpose has been achieved, inflicting more suffering is unnecessary and must be avoided.</w:t>
      </w:r>
    </w:p>
    <w:p>
      <w:pPr>
        <w:spacing w:after="20" w:line="223" w:lineRule="auto"/>
        <w:jc w:val="right"/>
        <w:bidi/>
      </w:pPr>
      <w:r>
        <w:rPr>
          <w:rFonts w:ascii="Arial" w:hAnsi="Arial"/>
          <w:sz w:val="16"/>
        </w:rPr>
        <w:t>350.08  به‌عنوان مثال، اگر هر یک از مبارزان دشمن از طریق ناتوانی و مجروح شدن شدید یا اسیر شدن در حالت هورس د کومبات قرار گرفته باشد (به عبارت دیگر، از نبرد خارج شده باشد)، با ادامه حمله به او، هیچ هدف نظامی محقق نمی‌شود.</w:t>
      </w:r>
    </w:p>
    <w:p>
      <w:pPr>
        <w:spacing w:after="28" w:line="216" w:lineRule="auto"/>
        <w:ind w:left="259"/>
        <w:jc w:val="left"/>
      </w:pPr>
      <w:r>
        <w:rPr>
          <w:rFonts w:ascii="Arial" w:hAnsi="Arial"/>
          <w:color w:val="525252"/>
          <w:sz w:val="13"/>
        </w:rPr>
        <w:t>For example, if any enemy combatant has been placed hors de combat (in other words, taken out of the fight) through incapacitation by being severely wounded or captured, no military purpose is served by continuing to attack him or her.</w:t>
      </w:r>
    </w:p>
    <w:p>
      <w:pPr>
        <w:spacing w:after="20" w:line="223" w:lineRule="auto"/>
        <w:jc w:val="right"/>
        <w:bidi/>
      </w:pPr>
      <w:r>
        <w:rPr>
          <w:rFonts w:ascii="Arial" w:hAnsi="Arial"/>
          <w:sz w:val="16"/>
        </w:rPr>
        <w:t>350.09  به‌طور مشابه، اصل انسانیت به‌عنوان منبع مصونیت جمعیت غیرنظامی از تبدیل شدن به هدف حمله تلقی شده است، زیرا ویژگی غیرتهاجمی و بی ضرر آنها به این معنی است که هدف نظامی از حمله به آنها وجود ندارد.</w:t>
      </w:r>
    </w:p>
    <w:p>
      <w:pPr>
        <w:spacing w:after="28" w:line="216" w:lineRule="auto"/>
        <w:ind w:left="259"/>
        <w:jc w:val="left"/>
      </w:pPr>
      <w:r>
        <w:rPr>
          <w:rFonts w:ascii="Arial" w:hAnsi="Arial"/>
          <w:color w:val="525252"/>
          <w:sz w:val="13"/>
        </w:rPr>
        <w:t>Similarly, the principle of humanity has been viewed as the source of the civilian population’s immunity from being made the object of attack because their inoffensive and harmless character means there is no military purpose served by attacking them.</w:t>
      </w:r>
    </w:p>
    <w:p>
      <w:pPr>
        <w:spacing w:after="20" w:line="223" w:lineRule="auto"/>
        <w:jc w:val="right"/>
        <w:bidi/>
      </w:pPr>
      <w:r>
        <w:rPr>
          <w:rFonts w:ascii="Arial" w:hAnsi="Arial"/>
          <w:sz w:val="16"/>
        </w:rPr>
        <w:t>350.10  تمایز.</w:t>
      </w:r>
    </w:p>
    <w:p>
      <w:pPr>
        <w:spacing w:after="28" w:line="216" w:lineRule="auto"/>
        <w:ind w:left="259"/>
        <w:jc w:val="left"/>
      </w:pPr>
      <w:r>
        <w:rPr>
          <w:rFonts w:ascii="Arial" w:hAnsi="Arial"/>
          <w:color w:val="525252"/>
          <w:sz w:val="13"/>
        </w:rPr>
        <w:t>Distinction.</w:t>
      </w:r>
    </w:p>
    <w:p>
      <w:pPr>
        <w:spacing w:after="20" w:line="223" w:lineRule="auto"/>
        <w:jc w:val="right"/>
        <w:bidi/>
      </w:pPr>
      <w:r>
        <w:rPr>
          <w:rFonts w:ascii="Arial" w:hAnsi="Arial"/>
          <w:sz w:val="16"/>
        </w:rPr>
        <w:t>350.11  اصل تمایز قانون جنگ الزامی را برای تمایز (تبعیض) بین نیروهای نظامی و جمعیت غیرنظامی و بین اشیاء محافظت نشده و محافظت شده تحمیل می‌کند.</w:t>
      </w:r>
    </w:p>
    <w:p>
      <w:pPr>
        <w:spacing w:after="28" w:line="216" w:lineRule="auto"/>
        <w:ind w:left="259"/>
        <w:jc w:val="left"/>
      </w:pPr>
      <w:r>
        <w:rPr>
          <w:rFonts w:ascii="Arial" w:hAnsi="Arial"/>
          <w:color w:val="525252"/>
          <w:sz w:val="13"/>
        </w:rPr>
        <w:t>The law of war principle of distinction imposes a requirement to distinguish (discriminate) between the military forces and the civilian population, and between unprotected and protected objects.</w:t>
      </w:r>
    </w:p>
    <w:p>
      <w:pPr>
        <w:spacing w:after="20" w:line="223" w:lineRule="auto"/>
        <w:jc w:val="right"/>
        <w:bidi/>
      </w:pPr>
      <w:r>
        <w:rPr>
          <w:rFonts w:ascii="Arial" w:hAnsi="Arial"/>
          <w:sz w:val="16"/>
        </w:rPr>
        <w:t>350.12  نیروی نظامی ممکن است فقط علیه اهداف نظامی باشد و نه علیه اشیاء غیرنظامی.</w:t>
      </w:r>
    </w:p>
    <w:p>
      <w:pPr>
        <w:spacing w:after="28" w:line="216" w:lineRule="auto"/>
        <w:ind w:left="259"/>
        <w:jc w:val="left"/>
      </w:pPr>
      <w:r>
        <w:rPr>
          <w:rFonts w:ascii="Arial" w:hAnsi="Arial"/>
          <w:color w:val="525252"/>
          <w:sz w:val="13"/>
        </w:rPr>
        <w:t>Military force may be directed only against military objectives, and not against civilian objects.</w:t>
      </w:r>
    </w:p>
    <w:p>
      <w:pPr>
        <w:spacing w:after="20" w:line="223" w:lineRule="auto"/>
        <w:jc w:val="right"/>
        <w:bidi/>
      </w:pPr>
      <w:r>
        <w:rPr>
          <w:rFonts w:ascii="Arial" w:hAnsi="Arial"/>
          <w:sz w:val="16"/>
        </w:rPr>
        <w:t>350.13  اشیاء غیرنظامی، مانند عبادتگاه‌ها، مدارس، بیمارستان‌ها و خانه‌ها از حمله محافظت می‌شوند.</w:t>
      </w:r>
    </w:p>
    <w:p>
      <w:pPr>
        <w:spacing w:after="28" w:line="216" w:lineRule="auto"/>
        <w:ind w:left="259"/>
        <w:jc w:val="left"/>
      </w:pPr>
      <w:r>
        <w:rPr>
          <w:rFonts w:ascii="Arial" w:hAnsi="Arial"/>
          <w:color w:val="525252"/>
          <w:sz w:val="13"/>
        </w:rPr>
        <w:t>Civilian objects, such as places of worship, schools, hospitals, and dwellings, are protected from attack.</w:t>
      </w:r>
    </w:p>
    <w:p>
      <w:pPr>
        <w:spacing w:after="20" w:line="223" w:lineRule="auto"/>
        <w:jc w:val="right"/>
        <w:bidi/>
      </w:pPr>
      <w:r>
        <w:rPr>
          <w:rFonts w:ascii="Arial" w:hAnsi="Arial"/>
          <w:sz w:val="16"/>
        </w:rPr>
        <w:t>350.14  یک مدافع موظف است غیرنظامیان و اشیاء غیرنظامی (چه در کشور مدافع یا در منطقه اشغالی) را از اهداف نظامی جدا کند.</w:t>
      </w:r>
    </w:p>
    <w:p>
      <w:pPr>
        <w:spacing w:after="28" w:line="216" w:lineRule="auto"/>
        <w:ind w:left="259"/>
        <w:jc w:val="left"/>
      </w:pPr>
      <w:r>
        <w:rPr>
          <w:rFonts w:ascii="Arial" w:hAnsi="Arial"/>
          <w:color w:val="525252"/>
          <w:sz w:val="13"/>
        </w:rPr>
        <w:t>A defender has an obligation to separate civilians and civilian objects (either in the defender’s country or in an occupied area) from military objectives.</w:t>
      </w:r>
    </w:p>
    <w:p>
      <w:pPr>
        <w:spacing w:after="20" w:line="223" w:lineRule="auto"/>
        <w:jc w:val="right"/>
        <w:bidi/>
      </w:pPr>
      <w:r>
        <w:rPr>
          <w:rFonts w:ascii="Arial" w:hAnsi="Arial"/>
          <w:sz w:val="16"/>
        </w:rPr>
        <w:t>350.15  با این حال، اشیاء غیرنظامی می‌توانند وضعیت حفاظت شده خود را از دست بدهند اگر از آنها برای کمک مؤثر به اقدام نظامی استفاده شود.</w:t>
      </w:r>
    </w:p>
    <w:p>
      <w:pPr>
        <w:spacing w:after="28" w:line="216" w:lineRule="auto"/>
        <w:ind w:left="259"/>
        <w:jc w:val="left"/>
      </w:pPr>
      <w:r>
        <w:rPr>
          <w:rFonts w:ascii="Arial" w:hAnsi="Arial"/>
          <w:color w:val="525252"/>
          <w:sz w:val="13"/>
        </w:rPr>
        <w:t>However, civilian objects can lose their protected status if they are used to make an effective contribution to military action.</w:t>
      </w:r>
    </w:p>
    <w:p>
      <w:pPr>
        <w:spacing w:after="20" w:line="223" w:lineRule="auto"/>
        <w:jc w:val="right"/>
        <w:bidi/>
      </w:pPr>
      <w:r>
        <w:rPr>
          <w:rFonts w:ascii="Arial" w:hAnsi="Arial"/>
          <w:sz w:val="16"/>
        </w:rPr>
        <w:t>350.16  استفاده از سپرهای انسانی داوطلبانه یا غیرارادی برای حفاظت از اهداف نظامی یا واحدهای نظامی یا پرسنل منفرد، نقض اساسی اصل تمایز قانون جنگ است.</w:t>
      </w:r>
    </w:p>
    <w:p>
      <w:pPr>
        <w:spacing w:after="28" w:line="216" w:lineRule="auto"/>
        <w:ind w:left="259"/>
        <w:jc w:val="left"/>
      </w:pPr>
      <w:r>
        <w:rPr>
          <w:rFonts w:ascii="Arial" w:hAnsi="Arial"/>
          <w:color w:val="525252"/>
          <w:sz w:val="13"/>
        </w:rPr>
        <w:t>Employment of voluntary or involuntary human shields to protect military objectives or individual military units or personnel is a fundamental violation of the law of war principle of distinction.</w:t>
      </w:r>
    </w:p>
    <w:p>
      <w:pPr>
        <w:spacing w:after="20" w:line="223" w:lineRule="auto"/>
        <w:jc w:val="right"/>
        <w:bidi/>
      </w:pPr>
      <w:r>
        <w:rPr>
          <w:rFonts w:ascii="Arial" w:hAnsi="Arial"/>
          <w:sz w:val="16"/>
        </w:rPr>
        <w:t>350.17  طرف‌های درگیری نباید نیروهای نظامی خود را به‌عنوان غیرنظامیان یا سایر دسته‌های حفاظت شده افراد برای کشتن یا زخمی کردن نیروهای مخالف پنهان کنند.</w:t>
      </w:r>
    </w:p>
    <w:p>
      <w:pPr>
        <w:spacing w:after="28" w:line="216" w:lineRule="auto"/>
        <w:ind w:left="259"/>
        <w:jc w:val="left"/>
      </w:pPr>
      <w:r>
        <w:rPr>
          <w:rFonts w:ascii="Arial" w:hAnsi="Arial"/>
          <w:color w:val="525252"/>
          <w:sz w:val="13"/>
        </w:rPr>
        <w:t>Parties to a conflict must not disguise their military forces as civilians or as other protected categories of persons to kill or wound opposing forces.</w:t>
      </w:r>
    </w:p>
    <w:p>
      <w:pPr>
        <w:spacing w:after="20" w:line="223" w:lineRule="auto"/>
        <w:jc w:val="right"/>
        <w:bidi/>
      </w:pPr>
      <w:r>
        <w:rPr>
          <w:rFonts w:ascii="Arial" w:hAnsi="Arial"/>
          <w:sz w:val="16"/>
        </w:rPr>
        <w:t>350.18  تناسب.</w:t>
      </w:r>
    </w:p>
    <w:p>
      <w:pPr>
        <w:spacing w:after="28" w:line="216" w:lineRule="auto"/>
        <w:ind w:left="259"/>
        <w:jc w:val="left"/>
      </w:pPr>
      <w:r>
        <w:rPr>
          <w:rFonts w:ascii="Arial" w:hAnsi="Arial"/>
          <w:color w:val="525252"/>
          <w:sz w:val="13"/>
        </w:rPr>
        <w:t>Proportionality.</w:t>
      </w:r>
    </w:p>
    <w:p>
      <w:pPr>
        <w:spacing w:after="20" w:line="223" w:lineRule="auto"/>
        <w:jc w:val="right"/>
        <w:bidi/>
      </w:pPr>
      <w:r>
        <w:rPr>
          <w:rFonts w:ascii="Arial" w:hAnsi="Arial"/>
          <w:sz w:val="16"/>
        </w:rPr>
        <w:t>350.19  تناسب، به‌عنوان یک اصل از قانون جنگ، ممکن است به این انتظار تعبیر شود که حتی در جایی که فرد موجه عمل می‌کند، نباید به گونه‌ای عمل کند که غیرمنطقی یا افراط باشد.</w:t>
      </w:r>
    </w:p>
    <w:p>
      <w:pPr>
        <w:spacing w:after="28" w:line="216" w:lineRule="auto"/>
        <w:ind w:left="259"/>
        <w:jc w:val="left"/>
      </w:pPr>
      <w:r>
        <w:rPr>
          <w:rFonts w:ascii="Arial" w:hAnsi="Arial"/>
          <w:color w:val="525252"/>
          <w:sz w:val="13"/>
        </w:rPr>
        <w:t>Proportionality, as a principle of the law of war, may be defined as the expectation that even where one is justified in acting, one must not act in a way that is unreasonable or excessive.</w:t>
      </w:r>
    </w:p>
    <w:p>
      <w:pPr>
        <w:spacing w:after="20" w:line="223" w:lineRule="auto"/>
        <w:jc w:val="right"/>
        <w:bidi/>
      </w:pPr>
      <w:r>
        <w:rPr>
          <w:rFonts w:ascii="Arial" w:hAnsi="Arial"/>
          <w:sz w:val="16"/>
        </w:rPr>
        <w:t>350.20  تناسب عموما توجیه عمل در برابر آسیب‌های مورد انتظار را می‌سنجد تا مشخص شود که آیا دومی در مقایسه با اولی نامتناسب است یا خیر.</w:t>
      </w:r>
    </w:p>
    <w:p>
      <w:pPr>
        <w:spacing w:after="28" w:line="216" w:lineRule="auto"/>
        <w:ind w:left="259"/>
        <w:jc w:val="left"/>
      </w:pPr>
      <w:r>
        <w:rPr>
          <w:rFonts w:ascii="Arial" w:hAnsi="Arial"/>
          <w:color w:val="525252"/>
          <w:sz w:val="13"/>
        </w:rPr>
        <w:t>Proportionality generally weighs the justification for acting against expected harms to determine whether the latter are disproportionate in comparison to the former.</w:t>
      </w:r>
    </w:p>
    <w:p>
      <w:pPr>
        <w:spacing w:after="20" w:line="223" w:lineRule="auto"/>
        <w:jc w:val="right"/>
        <w:bidi/>
      </w:pPr>
      <w:r>
        <w:rPr>
          <w:rFonts w:ascii="Arial" w:hAnsi="Arial"/>
          <w:sz w:val="16"/>
        </w:rPr>
        <w:t>350.21  در جنگ، آسیب‌های اتفاقی به جمعیت غیرنظامی و اشیاء غیرنظامی تاسف بار و غم انگیز است، اما اغلب اجتناب ناپذیر است.</w:t>
      </w:r>
    </w:p>
    <w:p>
      <w:pPr>
        <w:spacing w:after="28" w:line="216" w:lineRule="auto"/>
        <w:ind w:left="259"/>
        <w:jc w:val="left"/>
      </w:pPr>
      <w:r>
        <w:rPr>
          <w:rFonts w:ascii="Arial" w:hAnsi="Arial"/>
          <w:color w:val="525252"/>
          <w:sz w:val="13"/>
        </w:rPr>
        <w:t>In war, incidental damage to the civilian population and civilian objects is unfortunate and tragic, but often inevitable.</w:t>
      </w:r>
    </w:p>
    <w:p>
      <w:pPr>
        <w:spacing w:after="20" w:line="223" w:lineRule="auto"/>
        <w:jc w:val="right"/>
        <w:bidi/>
      </w:pPr>
      <w:r>
        <w:rPr>
          <w:rFonts w:ascii="Arial" w:hAnsi="Arial"/>
          <w:sz w:val="16"/>
        </w:rPr>
        <w:t>350.22  اعمال قانون تناسب در انجام حملات مستلزم این نیست که هیچ آسیب تصادفی از حملات ایجاد نشود.</w:t>
      </w:r>
    </w:p>
    <w:p>
      <w:pPr>
        <w:spacing w:after="28" w:line="216" w:lineRule="auto"/>
        <w:ind w:left="259"/>
        <w:jc w:val="left"/>
      </w:pPr>
      <w:r>
        <w:rPr>
          <w:rFonts w:ascii="Arial" w:hAnsi="Arial"/>
          <w:color w:val="525252"/>
          <w:sz w:val="13"/>
        </w:rPr>
        <w:t>Applying the proportionality rule in conducting attacks does not require that no incidental damage result from attacks.</w:t>
      </w:r>
    </w:p>
    <w:p>
      <w:pPr>
        <w:spacing w:after="20" w:line="223" w:lineRule="auto"/>
        <w:jc w:val="right"/>
        <w:bidi/>
      </w:pPr>
      <w:r>
        <w:rPr>
          <w:rFonts w:ascii="Arial" w:hAnsi="Arial"/>
          <w:sz w:val="16"/>
        </w:rPr>
        <w:t>350.23  در عوض، این قانون تعهداتی را ایجاد می‌کند که از حملاتی که آسیب مورد انتظار ناشی از چنین حملاتی درباره مزیت نظامی مشخص و مستقیمی که به دست می‌آید بیش از حد تلقی می‌شود، خودداری شود و اقدامات احتیاطی ممکن در برنامه‌ریزی و اجرای حملات برای کاهش خطر آسیب به غیرنظامیان و سایر افراد و اشیاء محافظت‌شده انجام شود.</w:t>
      </w:r>
    </w:p>
    <w:p>
      <w:pPr>
        <w:spacing w:after="28" w:line="216" w:lineRule="auto"/>
        <w:ind w:left="259"/>
        <w:jc w:val="left"/>
      </w:pPr>
      <w:r>
        <w:rPr>
          <w:rFonts w:ascii="Arial" w:hAnsi="Arial"/>
          <w:color w:val="525252"/>
          <w:sz w:val="13"/>
        </w:rPr>
        <w:t>Rather, this rule creates obligations to refrain from attacks where the expected harm incidental to such attacks would be considered excessive in relation to the concrete and direct military advantage anticipated to be gained, and to take feasible precautions in planning and conducting attacks to reduce the risk of harm to civilians and other protected persons and objects.</w:t>
      </w:r>
    </w:p>
    <w:p>
      <w:pPr>
        <w:spacing w:after="20" w:line="223" w:lineRule="auto"/>
        <w:jc w:val="right"/>
        <w:bidi/>
      </w:pPr>
      <w:r>
        <w:rPr>
          <w:rFonts w:ascii="Arial" w:hAnsi="Arial"/>
          <w:sz w:val="16"/>
        </w:rPr>
        <w:t>350.24  افتخار.</w:t>
      </w:r>
    </w:p>
    <w:p>
      <w:pPr>
        <w:spacing w:after="28" w:line="216" w:lineRule="auto"/>
        <w:ind w:left="259"/>
        <w:jc w:val="left"/>
      </w:pPr>
      <w:r>
        <w:rPr>
          <w:rFonts w:ascii="Arial" w:hAnsi="Arial"/>
          <w:color w:val="525252"/>
          <w:sz w:val="13"/>
        </w:rPr>
        <w:t>Honor.</w:t>
      </w:r>
    </w:p>
    <w:p>
      <w:pPr>
        <w:spacing w:after="20" w:line="223" w:lineRule="auto"/>
        <w:jc w:val="right"/>
        <w:bidi/>
      </w:pPr>
      <w:r>
        <w:rPr>
          <w:rFonts w:ascii="Arial" w:hAnsi="Arial"/>
          <w:sz w:val="16"/>
        </w:rPr>
        <w:t>350.25  شرافت یک اصل از قانون جنگ است که مستلزم انصاف معین در حمله و دفاع و احترام متقابل معینی بین نیروهای نظامی مخالف است.</w:t>
      </w:r>
    </w:p>
    <w:p>
      <w:pPr>
        <w:spacing w:after="28" w:line="216" w:lineRule="auto"/>
        <w:ind w:left="259"/>
        <w:jc w:val="left"/>
      </w:pPr>
      <w:r>
        <w:rPr>
          <w:rFonts w:ascii="Arial" w:hAnsi="Arial"/>
          <w:color w:val="525252"/>
          <w:sz w:val="13"/>
        </w:rPr>
        <w:t>Honor is a principle of the law of war that requires a certain amount of fairness in offense and defense and a certain mutual respect between opposing military forces.</w:t>
      </w:r>
    </w:p>
    <w:p>
      <w:pPr>
        <w:spacing w:after="20" w:line="223" w:lineRule="auto"/>
        <w:jc w:val="right"/>
        <w:bidi/>
      </w:pPr>
      <w:r>
        <w:rPr>
          <w:rFonts w:ascii="Arial" w:hAnsi="Arial"/>
          <w:sz w:val="16"/>
        </w:rPr>
        <w:t>350.26  در انجام این کار، افتخار منعکس کننده این اصل است که طرفین درگیری باید محدودیت‌های خاصی را در مورد توانایی خود برای انجام خصومت بپذیرند.</w:t>
      </w:r>
    </w:p>
    <w:p>
      <w:pPr>
        <w:spacing w:after="28" w:line="216" w:lineRule="auto"/>
        <w:ind w:left="259"/>
        <w:jc w:val="left"/>
      </w:pPr>
      <w:r>
        <w:rPr>
          <w:rFonts w:ascii="Arial" w:hAnsi="Arial"/>
          <w:color w:val="525252"/>
          <w:sz w:val="13"/>
        </w:rPr>
        <w:t>In doing so, honor reflects the principle that parties to a conflict must accept certain limits on their ability to conduct hostilities.</w:t>
      </w:r>
    </w:p>
    <w:p>
      <w:pPr>
        <w:spacing w:after="20" w:line="223" w:lineRule="auto"/>
        <w:jc w:val="right"/>
        <w:bidi/>
      </w:pPr>
      <w:r>
        <w:rPr>
          <w:rFonts w:ascii="Arial" w:hAnsi="Arial"/>
          <w:sz w:val="16"/>
        </w:rPr>
        <w:t>350.27  عزت نیز توسل به وسایل، مصلحت یا رفتاری را که موجب نقض اعتماد دشمن باشد، ممنوع می‌کند.</w:t>
      </w:r>
    </w:p>
    <w:p>
      <w:pPr>
        <w:spacing w:after="28" w:line="216" w:lineRule="auto"/>
        <w:ind w:left="259"/>
        <w:jc w:val="left"/>
      </w:pPr>
      <w:r>
        <w:rPr>
          <w:rFonts w:ascii="Arial" w:hAnsi="Arial"/>
          <w:color w:val="525252"/>
          <w:sz w:val="13"/>
        </w:rPr>
        <w:t>Honor also forbids the resort to means, expedients, or conduct that would constitute a breach of trust with the enemy.</w:t>
      </w:r>
    </w:p>
    <w:p>
      <w:pPr>
        <w:spacing w:after="20" w:line="223" w:lineRule="auto"/>
        <w:jc w:val="right"/>
        <w:bidi/>
      </w:pPr>
      <w:r>
        <w:rPr>
          <w:rFonts w:ascii="Arial" w:hAnsi="Arial"/>
          <w:sz w:val="16"/>
        </w:rPr>
        <w:t>350.28  دشمنان باید در روابط غیر خصمانه خود با حسن نیت با یکدیگر برخورد کنند.</w:t>
      </w:r>
    </w:p>
    <w:p>
      <w:pPr>
        <w:spacing w:after="28" w:line="216" w:lineRule="auto"/>
        <w:ind w:left="259"/>
        <w:jc w:val="left"/>
      </w:pPr>
      <w:r>
        <w:rPr>
          <w:rFonts w:ascii="Arial" w:hAnsi="Arial"/>
          <w:color w:val="525252"/>
          <w:sz w:val="13"/>
        </w:rPr>
        <w:t>Enemies must deal with one another in good faith in their non- hostile relations.</w:t>
      </w:r>
    </w:p>
    <w:p>
      <w:pPr>
        <w:spacing w:after="20" w:line="223" w:lineRule="auto"/>
        <w:jc w:val="right"/>
        <w:bidi/>
      </w:pPr>
      <w:r>
        <w:rPr>
          <w:rFonts w:ascii="Arial" w:hAnsi="Arial"/>
          <w:sz w:val="16"/>
        </w:rPr>
        <w:t>350.29  حتی در انجام خصومت، حسن نیت منع می‌کند: (۱) کشتن یا زخمی کردن افراد دشمن با توسل به خیانت (خیانت)، (۲) استفاده نادرست از برخی علائم، (۳) جنگیدن در لباس دشمن، (۴) تظاهر به روابط غیر خصمانه برای کسب مزیت نظامی، و (۵) اتباع رقیب.</w:t>
      </w:r>
    </w:p>
    <w:p>
      <w:pPr>
        <w:spacing w:after="28" w:line="216" w:lineRule="auto"/>
        <w:ind w:left="259"/>
        <w:jc w:val="left"/>
      </w:pPr>
      <w:r>
        <w:rPr>
          <w:rFonts w:ascii="Arial" w:hAnsi="Arial"/>
          <w:color w:val="525252"/>
          <w:sz w:val="13"/>
        </w:rPr>
        <w:t>Even in the conduct of hostilities, good faith prohibits: (1) killing or wounding enemy persons by resort to perfidy (treachery), (2) misusing certain signs, (3) fighting in the enemy’s uniform, (4) feigning non-hostile relations to seek a military advantage, and (5) compelling nationals of a</w:t>
      </w:r>
    </w:p>
    <w:p>
      <w:r>
        <w:br w:type="page"/>
      </w:r>
    </w:p>
    <w:p>
      <w:pPr>
        <w:spacing w:after="60"/>
        <w:jc w:val="right"/>
        <w:bidi/>
      </w:pPr>
      <w:r>
        <w:rPr>
          <w:rFonts w:ascii="Arial" w:hAnsi="Arial"/>
          <w:b/>
          <w:color w:val="1F4D78"/>
          <w:sz w:val="19"/>
        </w:rPr>
        <w:t>هفتهٔ 351  |  صفحهٔ منبع: 367</w:t>
      </w:r>
    </w:p>
    <w:p>
      <w:pPr>
        <w:spacing w:after="20" w:line="223" w:lineRule="auto"/>
        <w:jc w:val="right"/>
        <w:bidi/>
      </w:pPr>
      <w:r>
        <w:rPr>
          <w:rFonts w:ascii="Arial" w:hAnsi="Arial"/>
          <w:sz w:val="16"/>
        </w:rPr>
        <w:t>351.01  طرف متخاصم برای شرکت در عملیات جنگی علیه کشور خود.</w:t>
      </w:r>
    </w:p>
    <w:p>
      <w:pPr>
        <w:spacing w:after="28" w:line="216" w:lineRule="auto"/>
        <w:ind w:left="259"/>
        <w:jc w:val="left"/>
      </w:pPr>
      <w:r>
        <w:rPr>
          <w:rFonts w:ascii="Arial" w:hAnsi="Arial"/>
          <w:color w:val="525252"/>
          <w:sz w:val="13"/>
        </w:rPr>
        <w:t>hostile party to take part in the operations of war directed against their own country.</w:t>
      </w:r>
    </w:p>
    <w:p>
      <w:pPr>
        <w:spacing w:after="20" w:line="223" w:lineRule="auto"/>
        <w:jc w:val="right"/>
        <w:bidi/>
      </w:pPr>
      <w:r>
        <w:rPr>
          <w:rFonts w:ascii="Arial" w:hAnsi="Arial"/>
          <w:sz w:val="16"/>
        </w:rPr>
        <w:t>351.02  اما ناموس، احزاب را از به کار بردن حیله‌ها و دیگر فریب‌های قانونی که دشمن باید در برابر آن اقدامات لازم را برای محافظت از خود انجام دهد، منع نمی‌کند.</w:t>
      </w:r>
    </w:p>
    <w:p>
      <w:pPr>
        <w:spacing w:after="28" w:line="216" w:lineRule="auto"/>
        <w:ind w:left="259"/>
        <w:jc w:val="left"/>
      </w:pPr>
      <w:r>
        <w:rPr>
          <w:rFonts w:ascii="Arial" w:hAnsi="Arial"/>
          <w:color w:val="525252"/>
          <w:sz w:val="13"/>
        </w:rPr>
        <w:t>Honor, however, does not forbid parties from using ruses and other lawful deceptions against which the enemy ought to take measures to protect itself.</w:t>
      </w:r>
    </w:p>
    <w:p>
      <w:pPr>
        <w:spacing w:before="60" w:after="28"/>
        <w:jc w:val="right"/>
        <w:bidi/>
      </w:pPr>
      <w:r>
        <w:rPr>
          <w:b/>
          <w:color w:val="1F4D78"/>
          <w:sz w:val="18"/>
        </w:rPr>
        <w:t>19.7. حمایت از قربانیان جنگ و طبقات افراد</w:t>
      </w:r>
    </w:p>
    <w:p>
      <w:pPr>
        <w:spacing w:after="20"/>
        <w:ind w:left="259"/>
        <w:jc w:val="left"/>
      </w:pPr>
      <w:r>
        <w:rPr>
          <w:color w:val="555555"/>
          <w:sz w:val="12"/>
        </w:rPr>
        <w:t>19.7. The Protection of War Victims and Classes of Persons</w:t>
      </w:r>
    </w:p>
    <w:p>
      <w:pPr>
        <w:spacing w:after="20" w:line="223" w:lineRule="auto"/>
        <w:jc w:val="right"/>
        <w:bidi/>
      </w:pPr>
      <w:r>
        <w:rPr>
          <w:rFonts w:ascii="Arial" w:hAnsi="Arial"/>
          <w:sz w:val="16"/>
        </w:rPr>
        <w:t>351.04  کنوانسیون ژنو ۱۹۴۹ متشکل از چهار معاهده بین‌المللی مجزا است که هدف آن حفاظت از تمامی افرادی است که در خصومت‌ها شرکت نمی‌کنند، از جمله اعضای نیروهای نظامی که سلاح‌های خود را زمین گذاشته‌اند و آن دسته از رزمندگانی که به دلیل بیماری، جراحات، بازداشت یا هر علت دیگر از جنگ خارج شده‌اند.</w:t>
      </w:r>
    </w:p>
    <w:p>
      <w:pPr>
        <w:spacing w:after="28" w:line="216" w:lineRule="auto"/>
        <w:ind w:left="259"/>
        <w:jc w:val="left"/>
      </w:pPr>
      <w:r>
        <w:rPr>
          <w:rFonts w:ascii="Arial" w:hAnsi="Arial"/>
          <w:color w:val="525252"/>
          <w:sz w:val="13"/>
        </w:rPr>
        <w:t>The Geneva Conventions of 1949 consist of four separate international treaties that aim to protect all persons taking no active part in hostilities, including members of military forces who have laid down their arms and those combatants placed out of the fight due to sickness, wounds, detention, or any other cause.</w:t>
      </w:r>
    </w:p>
    <w:p>
      <w:pPr>
        <w:spacing w:after="20" w:line="223" w:lineRule="auto"/>
        <w:jc w:val="right"/>
        <w:bidi/>
      </w:pPr>
      <w:r>
        <w:rPr>
          <w:rFonts w:ascii="Arial" w:hAnsi="Arial"/>
          <w:sz w:val="16"/>
        </w:rPr>
        <w:t>351.05  این معاهدات همچنین به دنبال محافظت از غیرنظامیان و اموال خصوصی هستند.</w:t>
      </w:r>
    </w:p>
    <w:p>
      <w:pPr>
        <w:spacing w:after="28" w:line="216" w:lineRule="auto"/>
        <w:ind w:left="259"/>
        <w:jc w:val="left"/>
      </w:pPr>
      <w:r>
        <w:rPr>
          <w:rFonts w:ascii="Arial" w:hAnsi="Arial"/>
          <w:color w:val="525252"/>
          <w:sz w:val="13"/>
        </w:rPr>
        <w:t>These treaties also seek to protect civilians and private property.</w:t>
      </w:r>
    </w:p>
    <w:p>
      <w:pPr>
        <w:spacing w:after="20" w:line="223" w:lineRule="auto"/>
        <w:jc w:val="right"/>
        <w:bidi/>
      </w:pPr>
      <w:r>
        <w:rPr>
          <w:rFonts w:ascii="Arial" w:hAnsi="Arial"/>
          <w:sz w:val="16"/>
        </w:rPr>
        <w:t>351.06  کنوانسیون ژنو همچنین بین رزمندگان، غیرنظامیان و غیرنظامیان تمایز قائل می‌شود.</w:t>
      </w:r>
    </w:p>
    <w:p>
      <w:pPr>
        <w:spacing w:after="28" w:line="216" w:lineRule="auto"/>
        <w:ind w:left="259"/>
        <w:jc w:val="left"/>
      </w:pPr>
      <w:r>
        <w:rPr>
          <w:rFonts w:ascii="Arial" w:hAnsi="Arial"/>
          <w:color w:val="525252"/>
          <w:sz w:val="13"/>
        </w:rPr>
        <w:t>The Geneva Conventions also distinguish between combatants, noncombatants, and civilians.</w:t>
      </w:r>
    </w:p>
    <w:p>
      <w:pPr>
        <w:spacing w:after="20" w:line="223" w:lineRule="auto"/>
        <w:jc w:val="right"/>
        <w:bidi/>
      </w:pPr>
      <w:r>
        <w:rPr>
          <w:rFonts w:ascii="Arial" w:hAnsi="Arial"/>
          <w:sz w:val="16"/>
        </w:rPr>
        <w:t>351.07  اگر شک داشته باشید که یک فرد اسیر یک جنگجوی قانونی، غیر جنگنده یا یک متخاصم غیرمجاز است، تا زمانی که وضعیت واقعی آنها مشخص شود، از حمایت‌های کنوانسیون اسیران جنگی ژنو برخوردار خواهد شد.</w:t>
      </w:r>
    </w:p>
    <w:p>
      <w:pPr>
        <w:spacing w:after="28" w:line="216" w:lineRule="auto"/>
        <w:ind w:left="259"/>
        <w:jc w:val="left"/>
      </w:pPr>
      <w:r>
        <w:rPr>
          <w:rFonts w:ascii="Arial" w:hAnsi="Arial"/>
          <w:color w:val="525252"/>
          <w:sz w:val="13"/>
        </w:rPr>
        <w:t>Should doubt exist as to whether a captured individual is a lawful combatant, noncombatant, or an unprivileged belligerent, the individual will receive the protections of the Geneva Prisoner of War Convention until their actual status is determined.</w:t>
      </w:r>
    </w:p>
    <w:p>
      <w:pPr>
        <w:spacing w:after="20" w:line="223" w:lineRule="auto"/>
        <w:jc w:val="right"/>
        <w:bidi/>
      </w:pPr>
      <w:r>
        <w:rPr>
          <w:rFonts w:ascii="Arial" w:hAnsi="Arial"/>
          <w:sz w:val="16"/>
        </w:rPr>
        <w:t>351.08  رزمندگان.</w:t>
      </w:r>
    </w:p>
    <w:p>
      <w:pPr>
        <w:spacing w:after="28" w:line="216" w:lineRule="auto"/>
        <w:ind w:left="259"/>
        <w:jc w:val="left"/>
      </w:pPr>
      <w:r>
        <w:rPr>
          <w:rFonts w:ascii="Arial" w:hAnsi="Arial"/>
          <w:color w:val="525252"/>
          <w:sz w:val="13"/>
        </w:rPr>
        <w:t>Combatants.</w:t>
      </w:r>
    </w:p>
    <w:p>
      <w:pPr>
        <w:spacing w:after="20" w:line="223" w:lineRule="auto"/>
        <w:jc w:val="right"/>
        <w:bidi/>
      </w:pPr>
      <w:r>
        <w:rPr>
          <w:rFonts w:ascii="Arial" w:hAnsi="Arial"/>
          <w:sz w:val="16"/>
        </w:rPr>
        <w:t>351.09  رزمندگان قانونی یا "ممتاز" عبارتند از: (۱) اعضای نیروهای نظامی کشوری که طرف درگیری است، به غیر از دسته‌های خاصی از پرسنل پزشکی و مذهبی. (۲) تحت شرایط خاص، اعضای شبه نظامیان یا سپاه داوطلب که بخشی از نیروهای نظامی یک ایالت نیستند، اما متعلق به یک دولت هستند. و (۳) ساکنان یک منطقه که در نوعی قیام مردمی برای دفاع در برابر مهاجمان خارجی شرکت می‌کنند که به‌عنوان یک لوé به‌طور دسته جمعی شناخته می‌شود.</w:t>
      </w:r>
    </w:p>
    <w:p>
      <w:pPr>
        <w:spacing w:after="28" w:line="216" w:lineRule="auto"/>
        <w:ind w:left="259"/>
        <w:jc w:val="left"/>
      </w:pPr>
      <w:r>
        <w:rPr>
          <w:rFonts w:ascii="Arial" w:hAnsi="Arial"/>
          <w:color w:val="525252"/>
          <w:sz w:val="13"/>
        </w:rPr>
        <w:t>Lawful or “privileged” combatants are: (1) members of the military forces of a state that is a party to a conflict, aside from certain categories of medical and religious personnel; (2) under certain conditions, members of militia or volunteer corps who are not part of the military forces of a state, but belong to a state; and (3) inhabitants of an area who participate in a kind of popular uprising to defend against foreign invaders, known as a levée en masse.</w:t>
      </w:r>
    </w:p>
    <w:p>
      <w:pPr>
        <w:spacing w:after="20" w:line="223" w:lineRule="auto"/>
        <w:jc w:val="right"/>
        <w:bidi/>
      </w:pPr>
      <w:r>
        <w:rPr>
          <w:rFonts w:ascii="Arial" w:hAnsi="Arial"/>
          <w:sz w:val="16"/>
        </w:rPr>
        <w:t>351.10  یک رزمنده توسط فردی که مسئول زیردستان است فرماندهی می‌شود، نشان‌ها/ لباس‌های مشخص مشخصی را می‌پوشد که از فاصله دور قابل تشخیص است، آشکارا اسلحه حمل می‌کند و عملیات رزمی خود را طبق قانون جنگ انجام می‌دهد.</w:t>
      </w:r>
    </w:p>
    <w:p>
      <w:pPr>
        <w:spacing w:after="28" w:line="216" w:lineRule="auto"/>
        <w:ind w:left="259"/>
        <w:jc w:val="left"/>
      </w:pPr>
      <w:r>
        <w:rPr>
          <w:rFonts w:ascii="Arial" w:hAnsi="Arial"/>
          <w:color w:val="525252"/>
          <w:sz w:val="13"/>
        </w:rPr>
        <w:t>A combatant is commanded by a person responsible for subordinates, wears fixed distinctive emblems/uniforms recognizable at a distance, carries arms openly, and conducts his or her combat operations according to the law of war.</w:t>
      </w:r>
    </w:p>
    <w:p>
      <w:pPr>
        <w:spacing w:after="20" w:line="223" w:lineRule="auto"/>
        <w:jc w:val="right"/>
        <w:bidi/>
      </w:pPr>
      <w:r>
        <w:rPr>
          <w:rFonts w:ascii="Arial" w:hAnsi="Arial"/>
          <w:sz w:val="16"/>
        </w:rPr>
        <w:t>351.11  رزمندگان قانونی به‌عنوان اسیر جنگی توسط نیروهای نظامی مخالف دستگیر و بازداشت می‌شوند.</w:t>
      </w:r>
    </w:p>
    <w:p>
      <w:pPr>
        <w:spacing w:after="28" w:line="216" w:lineRule="auto"/>
        <w:ind w:left="259"/>
        <w:jc w:val="left"/>
      </w:pPr>
      <w:r>
        <w:rPr>
          <w:rFonts w:ascii="Arial" w:hAnsi="Arial"/>
          <w:color w:val="525252"/>
          <w:sz w:val="13"/>
        </w:rPr>
        <w:t>Lawful combatants are subject to capture and detention as prisoners of war by opposing military forces.</w:t>
      </w:r>
    </w:p>
    <w:p>
      <w:pPr>
        <w:spacing w:after="20" w:line="223" w:lineRule="auto"/>
        <w:jc w:val="right"/>
        <w:bidi/>
      </w:pPr>
      <w:r>
        <w:rPr>
          <w:rFonts w:ascii="Arial" w:hAnsi="Arial"/>
          <w:sz w:val="16"/>
        </w:rPr>
        <w:t>351.12  رزمندگان دارای وضعیت حقوقی ویژه و همچنین حقوق، تکالیف و تعهدات خاصی هستند.</w:t>
      </w:r>
    </w:p>
    <w:p>
      <w:pPr>
        <w:spacing w:after="28" w:line="216" w:lineRule="auto"/>
        <w:ind w:left="259"/>
        <w:jc w:val="left"/>
      </w:pPr>
      <w:r>
        <w:rPr>
          <w:rFonts w:ascii="Arial" w:hAnsi="Arial"/>
          <w:color w:val="525252"/>
          <w:sz w:val="13"/>
        </w:rPr>
        <w:t>Combatants have a special legal status, as well as certain rights, duties, and liabilities.</w:t>
      </w:r>
    </w:p>
    <w:p>
      <w:pPr>
        <w:spacing w:after="20" w:line="223" w:lineRule="auto"/>
        <w:jc w:val="right"/>
        <w:bidi/>
      </w:pPr>
      <w:r>
        <w:rPr>
          <w:rFonts w:ascii="Arial" w:hAnsi="Arial"/>
          <w:sz w:val="16"/>
        </w:rPr>
        <w:t>351.13  اگر در جریان درگیری‌های مسلحانه بین‌المللی به قدرت دشمن بیفتند، حق برخورداری از وضعیت اسیر جنگی را دارند.</w:t>
      </w:r>
    </w:p>
    <w:p>
      <w:pPr>
        <w:spacing w:after="28" w:line="216" w:lineRule="auto"/>
        <w:ind w:left="259"/>
        <w:jc w:val="left"/>
      </w:pPr>
      <w:r>
        <w:rPr>
          <w:rFonts w:ascii="Arial" w:hAnsi="Arial"/>
          <w:color w:val="525252"/>
          <w:sz w:val="13"/>
        </w:rPr>
        <w:t>They have the right to prisoner of war status if they fall into the power of the enemy during international armed conflict.</w:t>
      </w:r>
    </w:p>
    <w:p>
      <w:pPr>
        <w:spacing w:after="20" w:line="223" w:lineRule="auto"/>
        <w:jc w:val="right"/>
        <w:bidi/>
      </w:pPr>
      <w:r>
        <w:rPr>
          <w:rFonts w:ascii="Arial" w:hAnsi="Arial"/>
          <w:sz w:val="16"/>
        </w:rPr>
        <w:t>351.14  رزمندگان برای اعمالی که تحت اختیارات نظامی و مطابق با قانون جنگ انجام می‌شوند، از مصونیت قانونی در برابر قوانین داخلی برخوردارند.</w:t>
      </w:r>
    </w:p>
    <w:p>
      <w:pPr>
        <w:spacing w:after="28" w:line="216" w:lineRule="auto"/>
        <w:ind w:left="259"/>
        <w:jc w:val="left"/>
      </w:pPr>
      <w:r>
        <w:rPr>
          <w:rFonts w:ascii="Arial" w:hAnsi="Arial"/>
          <w:color w:val="525252"/>
          <w:sz w:val="13"/>
        </w:rPr>
        <w:t>Combatants have legal immunity from domestic law for acts done under military authority and in accordance with the law of war.</w:t>
      </w:r>
    </w:p>
    <w:p>
      <w:pPr>
        <w:spacing w:after="20" w:line="223" w:lineRule="auto"/>
        <w:jc w:val="right"/>
        <w:bidi/>
      </w:pPr>
      <w:r>
        <w:rPr>
          <w:rFonts w:ascii="Arial" w:hAnsi="Arial"/>
          <w:sz w:val="16"/>
        </w:rPr>
        <w:t>351.15  غیر رزمندگان.</w:t>
      </w:r>
    </w:p>
    <w:p>
      <w:pPr>
        <w:spacing w:after="28" w:line="216" w:lineRule="auto"/>
        <w:ind w:left="259"/>
        <w:jc w:val="left"/>
      </w:pPr>
      <w:r>
        <w:rPr>
          <w:rFonts w:ascii="Arial" w:hAnsi="Arial"/>
          <w:color w:val="525252"/>
          <w:sz w:val="13"/>
        </w:rPr>
        <w:t>Noncombatants.</w:t>
      </w:r>
    </w:p>
    <w:p>
      <w:pPr>
        <w:spacing w:after="20" w:line="223" w:lineRule="auto"/>
        <w:jc w:val="right"/>
        <w:bidi/>
      </w:pPr>
      <w:r>
        <w:rPr>
          <w:rFonts w:ascii="Arial" w:hAnsi="Arial"/>
          <w:sz w:val="16"/>
        </w:rPr>
        <w:t>351.16  افراد غیر رزمی شامل پرسنل نظامی خاصی هستند که اعضای نیروهای نظامی هستند که مجاز به شرکت در فعالیت‌های رزمی نیستند، مانند پرسنل دائمی پزشکی و مذهبی.</w:t>
      </w:r>
    </w:p>
    <w:p>
      <w:pPr>
        <w:spacing w:after="28" w:line="216" w:lineRule="auto"/>
        <w:ind w:left="259"/>
        <w:jc w:val="left"/>
      </w:pPr>
      <w:r>
        <w:rPr>
          <w:rFonts w:ascii="Arial" w:hAnsi="Arial"/>
          <w:color w:val="525252"/>
          <w:sz w:val="13"/>
        </w:rPr>
        <w:t>Noncombatants include certain military personnel who are members of the military forces not authorized to engage in combatant activities, such as permanent medical and religious personnel.</w:t>
      </w:r>
    </w:p>
    <w:p>
      <w:pPr>
        <w:spacing w:after="20" w:line="223" w:lineRule="auto"/>
        <w:jc w:val="right"/>
        <w:bidi/>
      </w:pPr>
      <w:r>
        <w:rPr>
          <w:rFonts w:ascii="Arial" w:hAnsi="Arial"/>
          <w:sz w:val="16"/>
        </w:rPr>
        <w:t>351.17  افراد غیر رزمی باید مورد احترام و محافظت قرار گیرند و نباید مورد حمله قرار گیرند.</w:t>
      </w:r>
    </w:p>
    <w:p>
      <w:pPr>
        <w:spacing w:after="28" w:line="216" w:lineRule="auto"/>
        <w:ind w:left="259"/>
        <w:jc w:val="left"/>
      </w:pPr>
      <w:r>
        <w:rPr>
          <w:rFonts w:ascii="Arial" w:hAnsi="Arial"/>
          <w:color w:val="525252"/>
          <w:sz w:val="13"/>
        </w:rPr>
        <w:t>Noncombatants must be respected and protected and may not be made the object of attack.</w:t>
      </w:r>
    </w:p>
    <w:p>
      <w:pPr>
        <w:spacing w:after="20" w:line="223" w:lineRule="auto"/>
        <w:jc w:val="right"/>
        <w:bidi/>
      </w:pPr>
      <w:r>
        <w:rPr>
          <w:rFonts w:ascii="Arial" w:hAnsi="Arial"/>
          <w:sz w:val="16"/>
        </w:rPr>
        <w:t>351.18  غیرنظامیان.</w:t>
      </w:r>
    </w:p>
    <w:p>
      <w:pPr>
        <w:spacing w:after="28" w:line="216" w:lineRule="auto"/>
        <w:ind w:left="259"/>
        <w:jc w:val="left"/>
      </w:pPr>
      <w:r>
        <w:rPr>
          <w:rFonts w:ascii="Arial" w:hAnsi="Arial"/>
          <w:color w:val="525252"/>
          <w:sz w:val="13"/>
        </w:rPr>
        <w:t>Civilians.</w:t>
      </w:r>
    </w:p>
    <w:p>
      <w:pPr>
        <w:spacing w:after="20" w:line="223" w:lineRule="auto"/>
        <w:jc w:val="right"/>
        <w:bidi/>
      </w:pPr>
      <w:r>
        <w:rPr>
          <w:rFonts w:ascii="Arial" w:hAnsi="Arial"/>
          <w:sz w:val="16"/>
        </w:rPr>
        <w:t>351.19  غیرنظامیان، نوعی غیرنظامیان، افراد محافظت شده هستند و ممکن است هدف حمله مستقیم قرار نگیرند.</w:t>
      </w:r>
    </w:p>
    <w:p>
      <w:pPr>
        <w:spacing w:after="28" w:line="216" w:lineRule="auto"/>
        <w:ind w:left="259"/>
        <w:jc w:val="left"/>
      </w:pPr>
      <w:r>
        <w:rPr>
          <w:rFonts w:ascii="Arial" w:hAnsi="Arial"/>
          <w:color w:val="525252"/>
          <w:sz w:val="13"/>
        </w:rPr>
        <w:t>Civilians, a type of non-combatants, are protected persons and may not be made the object of direct attack.</w:t>
      </w:r>
    </w:p>
    <w:p>
      <w:pPr>
        <w:spacing w:after="20" w:line="223" w:lineRule="auto"/>
        <w:jc w:val="right"/>
        <w:bidi/>
      </w:pPr>
      <w:r>
        <w:rPr>
          <w:rFonts w:ascii="Arial" w:hAnsi="Arial"/>
          <w:sz w:val="16"/>
        </w:rPr>
        <w:t>351.20  ممکن است؛ با این حال، اگر حمله مستقیم به یک هدف نظامی، بدون نقض قانون جنگ، به یک هدف قانونی و با رعایت اصل تناسب باشد، متحمل جراحت یا حادثه مرگ شود.</w:t>
      </w:r>
    </w:p>
    <w:p>
      <w:pPr>
        <w:spacing w:after="28" w:line="216" w:lineRule="auto"/>
        <w:ind w:left="259"/>
        <w:jc w:val="left"/>
      </w:pPr>
      <w:r>
        <w:rPr>
          <w:rFonts w:ascii="Arial" w:hAnsi="Arial"/>
          <w:color w:val="525252"/>
          <w:sz w:val="13"/>
        </w:rPr>
        <w:t>They may; however, suffer injury or death incident to a direct attack on a military objective without such an attack violating the law of war, if such attack is on a lawful target by lawful means and adheres to the principle of proportionality.</w:t>
      </w:r>
    </w:p>
    <w:p>
      <w:pPr>
        <w:spacing w:after="20" w:line="223" w:lineRule="auto"/>
        <w:jc w:val="right"/>
        <w:bidi/>
      </w:pPr>
      <w:r>
        <w:rPr>
          <w:rFonts w:ascii="Arial" w:hAnsi="Arial"/>
          <w:sz w:val="16"/>
        </w:rPr>
        <w:t>351.21  به استثنای دسته جمعی، قانون جنگ غیرنظامیان را مجاز به مشارکت فعال یا مستقیم در خصومت‌ها نمی‌کند.</w:t>
      </w:r>
    </w:p>
    <w:p>
      <w:pPr>
        <w:spacing w:after="28" w:line="216" w:lineRule="auto"/>
        <w:ind w:left="259"/>
        <w:jc w:val="left"/>
      </w:pPr>
      <w:r>
        <w:rPr>
          <w:rFonts w:ascii="Arial" w:hAnsi="Arial"/>
          <w:color w:val="525252"/>
          <w:sz w:val="13"/>
        </w:rPr>
        <w:t>With the exception of the levée en masse, the law of war does not authorize civilians to take an active or direct part in hostilities.</w:t>
      </w:r>
    </w:p>
    <w:p>
      <w:pPr>
        <w:spacing w:after="20" w:line="223" w:lineRule="auto"/>
        <w:jc w:val="right"/>
        <w:bidi/>
      </w:pPr>
      <w:r>
        <w:rPr>
          <w:rFonts w:ascii="Arial" w:hAnsi="Arial"/>
          <w:sz w:val="16"/>
        </w:rPr>
        <w:t>351.22  غیرنظامیانی که به‌طور فعال یا مستقیم در خصومت‌ها شرکت می‌کنند، از اینکه هدف حمله قرار بگیرند، حفاظت را از دست می‌دهند.</w:t>
      </w:r>
    </w:p>
    <w:p>
      <w:pPr>
        <w:spacing w:after="28" w:line="216" w:lineRule="auto"/>
        <w:ind w:left="259"/>
        <w:jc w:val="left"/>
      </w:pPr>
      <w:r>
        <w:rPr>
          <w:rFonts w:ascii="Arial" w:hAnsi="Arial"/>
          <w:color w:val="525252"/>
          <w:sz w:val="13"/>
        </w:rPr>
        <w:t>Civilians who take an active or direct part in hostilities forfeit protection from being made the object of attack.</w:t>
      </w:r>
    </w:p>
    <w:p>
      <w:pPr>
        <w:spacing w:after="20" w:line="223" w:lineRule="auto"/>
        <w:jc w:val="right"/>
        <w:bidi/>
      </w:pPr>
      <w:r>
        <w:rPr>
          <w:rFonts w:ascii="Arial" w:hAnsi="Arial"/>
          <w:sz w:val="16"/>
        </w:rPr>
        <w:t>351.23  متخاصمان بی‌منافع: تمایزی که در کنوانسیون‌های ژنو ایجاد نشده است.</w:t>
      </w:r>
    </w:p>
    <w:p>
      <w:pPr>
        <w:spacing w:after="28" w:line="216" w:lineRule="auto"/>
        <w:ind w:left="259"/>
        <w:jc w:val="left"/>
      </w:pPr>
      <w:r>
        <w:rPr>
          <w:rFonts w:ascii="Arial" w:hAnsi="Arial"/>
          <w:color w:val="525252"/>
          <w:sz w:val="13"/>
        </w:rPr>
        <w:t>Unprivileged Belligerents: A Distinction Not Made by the Geneva Conventions.</w:t>
      </w:r>
    </w:p>
    <w:p>
      <w:pPr>
        <w:spacing w:after="20" w:line="223" w:lineRule="auto"/>
        <w:jc w:val="right"/>
        <w:bidi/>
      </w:pPr>
      <w:r>
        <w:rPr>
          <w:rFonts w:ascii="Arial" w:hAnsi="Arial"/>
          <w:sz w:val="16"/>
        </w:rPr>
        <w:t>351.24  اصطلاح متخاصم غیرمجاز در کنوانسیون‌های ژنو استفاده نمی‌شود، اما در کتابچه راهنمای قانون جنگ وزارت دفاع تعریف شده است که شامل «جنگجویان قانونی که امتیازات وضعیت رزمنده را با مشارکت در جاسوسی یا خرابکاری از دست داده‌اند، و افراد خصوصی که به‌واسطه یک یا چند نفر از میزبانان، وضعیت دفاع غیرنظامی را از دست داده‌اند» تعریف شده است. متخاصم غیرمجاز فردی است که توسط کشوری که طرف درگیری است مجاز به شرکت در خصومت‌ها نیست اما به هر حال این کار را انجام می‌دهد.</w:t>
      </w:r>
    </w:p>
    <w:p>
      <w:pPr>
        <w:spacing w:after="28" w:line="216" w:lineRule="auto"/>
        <w:ind w:left="259"/>
        <w:jc w:val="left"/>
      </w:pPr>
      <w:r>
        <w:rPr>
          <w:rFonts w:ascii="Arial" w:hAnsi="Arial"/>
          <w:color w:val="525252"/>
          <w:sz w:val="13"/>
        </w:rPr>
        <w:t>The term unprivileged belligerent is not used in the Geneva Conventions but is defined in the DoD Law of War Manual to include “lawful combatants who have forfeited the privileges of combatant status by engaging in spying or sabotage, and private persons who have forfeited one or more of the protections of civilian status by engaging in hostilities.” An unprivileged belligerent is an individual who is not authorized by a state that is party to a conflict to take part in hostilities but does so anyway.</w:t>
      </w:r>
    </w:p>
    <w:p>
      <w:pPr>
        <w:spacing w:before="60" w:after="28"/>
        <w:jc w:val="right"/>
        <w:bidi/>
      </w:pPr>
      <w:r>
        <w:rPr>
          <w:b/>
          <w:color w:val="1F4D78"/>
          <w:sz w:val="18"/>
        </w:rPr>
        <w:t>19.8. اهداف نظامی</w:t>
      </w:r>
    </w:p>
    <w:p>
      <w:pPr>
        <w:spacing w:after="20"/>
        <w:ind w:left="259"/>
        <w:jc w:val="left"/>
      </w:pPr>
      <w:r>
        <w:rPr>
          <w:color w:val="555555"/>
          <w:sz w:val="12"/>
        </w:rPr>
        <w:t>19.8. Military Objectives</w:t>
      </w:r>
    </w:p>
    <w:p>
      <w:pPr>
        <w:spacing w:after="20" w:line="223" w:lineRule="auto"/>
        <w:jc w:val="right"/>
        <w:bidi/>
      </w:pPr>
      <w:r>
        <w:rPr>
          <w:rFonts w:ascii="Arial" w:hAnsi="Arial"/>
          <w:sz w:val="16"/>
        </w:rPr>
        <w:t>351.26  اهداف نظامی شامل هر شیئی است که به دلیل ماهیت، مکان، هدف یا استفاده خود، کمک مؤثری به اقدام نظامی می‌کند و تخریب، تصرف یا تصرف کامل یا جزئی آن.</w:t>
      </w:r>
    </w:p>
    <w:p>
      <w:pPr>
        <w:spacing w:after="28" w:line="216" w:lineRule="auto"/>
        <w:ind w:left="259"/>
        <w:jc w:val="left"/>
      </w:pPr>
      <w:r>
        <w:rPr>
          <w:rFonts w:ascii="Arial" w:hAnsi="Arial"/>
          <w:color w:val="525252"/>
          <w:sz w:val="13"/>
        </w:rPr>
        <w:t>Military objectives include any object which by its nature, location, purpose, or use, makes an effective contribution to military action and whose total or partial destruction, capture, or</w:t>
      </w:r>
    </w:p>
    <w:p>
      <w:r>
        <w:br w:type="page"/>
      </w:r>
    </w:p>
    <w:p>
      <w:pPr>
        <w:spacing w:after="60"/>
        <w:jc w:val="right"/>
        <w:bidi/>
      </w:pPr>
      <w:r>
        <w:rPr>
          <w:rFonts w:ascii="Arial" w:hAnsi="Arial"/>
          <w:b/>
          <w:color w:val="1F4D78"/>
          <w:sz w:val="19"/>
        </w:rPr>
        <w:t>هفتهٔ 352  |  صفحهٔ منبع: 368</w:t>
      </w:r>
    </w:p>
    <w:p>
      <w:pPr>
        <w:spacing w:after="20" w:line="223" w:lineRule="auto"/>
        <w:jc w:val="right"/>
        <w:bidi/>
      </w:pPr>
      <w:r>
        <w:rPr>
          <w:rFonts w:ascii="Arial" w:hAnsi="Arial"/>
          <w:sz w:val="16"/>
        </w:rPr>
        <w:t>352.01  در شرایط حاکم بر آن زمان، یک مزیت نظامی قطعی ارائه می‌دهد.</w:t>
      </w:r>
    </w:p>
    <w:p>
      <w:pPr>
        <w:spacing w:after="28" w:line="216" w:lineRule="auto"/>
        <w:ind w:left="259"/>
        <w:jc w:val="left"/>
      </w:pPr>
      <w:r>
        <w:rPr>
          <w:rFonts w:ascii="Arial" w:hAnsi="Arial"/>
          <w:color w:val="525252"/>
          <w:sz w:val="13"/>
        </w:rPr>
        <w:t>neutralization in the circumstances ruling at the time, offers a definite military advantage.</w:t>
      </w:r>
    </w:p>
    <w:p>
      <w:pPr>
        <w:spacing w:after="20" w:line="223" w:lineRule="auto"/>
        <w:jc w:val="right"/>
        <w:bidi/>
      </w:pPr>
      <w:r>
        <w:rPr>
          <w:rFonts w:ascii="Arial" w:hAnsi="Arial"/>
          <w:sz w:val="16"/>
        </w:rPr>
        <w:t>352.02  حفاظت از غیرنظامیان و اشیاء غیرنظامی.</w:t>
      </w:r>
    </w:p>
    <w:p>
      <w:pPr>
        <w:spacing w:after="28" w:line="216" w:lineRule="auto"/>
        <w:ind w:left="259"/>
        <w:jc w:val="left"/>
      </w:pPr>
      <w:r>
        <w:rPr>
          <w:rFonts w:ascii="Arial" w:hAnsi="Arial"/>
          <w:color w:val="525252"/>
          <w:sz w:val="13"/>
        </w:rPr>
        <w:t>Protection of Civilians and Civilian Objects.</w:t>
      </w:r>
    </w:p>
    <w:p>
      <w:pPr>
        <w:spacing w:after="20" w:line="223" w:lineRule="auto"/>
        <w:jc w:val="right"/>
        <w:bidi/>
      </w:pPr>
      <w:r>
        <w:rPr>
          <w:rFonts w:ascii="Arial" w:hAnsi="Arial"/>
          <w:sz w:val="16"/>
        </w:rPr>
        <w:t>352.03  اهداف نظامی ممکن است مورد حمله قرار نگیرند که تلفات اتفاقی مورد انتظار غیرنظامیان، صدمه به غیرنظامیان، و آسیب به اشیاء غیرنظامی درباره مزیت واقعی و مستقیم نظامی که انتظار می‌رود به دست آید بیش از حد باشد.</w:t>
      </w:r>
    </w:p>
    <w:p>
      <w:pPr>
        <w:spacing w:after="28" w:line="216" w:lineRule="auto"/>
        <w:ind w:left="259"/>
        <w:jc w:val="left"/>
      </w:pPr>
      <w:r>
        <w:rPr>
          <w:rFonts w:ascii="Arial" w:hAnsi="Arial"/>
          <w:color w:val="525252"/>
          <w:sz w:val="13"/>
        </w:rPr>
        <w:t>Military objectives may not be attacked when the expected incidental loss of civilian life, injury to civilians, and damage to civilian objects would be excessive in relation to the concrete and direct military advantage expected to be gained.</w:t>
      </w:r>
    </w:p>
    <w:p>
      <w:pPr>
        <w:spacing w:after="20" w:line="223" w:lineRule="auto"/>
        <w:jc w:val="right"/>
        <w:bidi/>
      </w:pPr>
      <w:r>
        <w:rPr>
          <w:rFonts w:ascii="Arial" w:hAnsi="Arial"/>
          <w:sz w:val="16"/>
        </w:rPr>
        <w:t>352.04  به‌طور کلی، عملیات نظامی نباید علیه غیرنظامیان باشد.</w:t>
      </w:r>
    </w:p>
    <w:p>
      <w:pPr>
        <w:spacing w:after="28" w:line="216" w:lineRule="auto"/>
        <w:ind w:left="259"/>
        <w:jc w:val="left"/>
      </w:pPr>
      <w:r>
        <w:rPr>
          <w:rFonts w:ascii="Arial" w:hAnsi="Arial"/>
          <w:color w:val="525252"/>
          <w:sz w:val="13"/>
        </w:rPr>
        <w:t>In general, military operations must not be directed against civilians.</w:t>
      </w:r>
    </w:p>
    <w:p>
      <w:pPr>
        <w:spacing w:after="20" w:line="223" w:lineRule="auto"/>
        <w:jc w:val="right"/>
        <w:bidi/>
      </w:pPr>
      <w:r>
        <w:rPr>
          <w:rFonts w:ascii="Arial" w:hAnsi="Arial"/>
          <w:sz w:val="16"/>
        </w:rPr>
        <w:t>352.05  به ویژه، غیرنظامیان نباید هدف حمله قرار گیرند و نباید به‌عنوان سپر یا گروگان استفاده شوند.</w:t>
      </w:r>
    </w:p>
    <w:p>
      <w:pPr>
        <w:spacing w:after="28" w:line="216" w:lineRule="auto"/>
        <w:ind w:left="259"/>
        <w:jc w:val="left"/>
      </w:pPr>
      <w:r>
        <w:rPr>
          <w:rFonts w:ascii="Arial" w:hAnsi="Arial"/>
          <w:color w:val="525252"/>
          <w:sz w:val="13"/>
        </w:rPr>
        <w:t>In particular, civilians must not be made the object of attack and must not be used as shields or hostages.</w:t>
      </w:r>
    </w:p>
    <w:p>
      <w:pPr>
        <w:spacing w:after="20" w:line="223" w:lineRule="auto"/>
        <w:jc w:val="right"/>
        <w:bidi/>
      </w:pPr>
      <w:r>
        <w:rPr>
          <w:rFonts w:ascii="Arial" w:hAnsi="Arial"/>
          <w:sz w:val="16"/>
        </w:rPr>
        <w:t>352.06  اقدامات ارعاب یا تروریسم علیه مردم غیرنظامی، از جمله اعمال یا تهدید به خشونت با هدف اصلی گسترش ترور ممنوع است.</w:t>
      </w:r>
    </w:p>
    <w:p>
      <w:pPr>
        <w:spacing w:after="28" w:line="216" w:lineRule="auto"/>
        <w:ind w:left="259"/>
        <w:jc w:val="left"/>
      </w:pPr>
      <w:r>
        <w:rPr>
          <w:rFonts w:ascii="Arial" w:hAnsi="Arial"/>
          <w:color w:val="525252"/>
          <w:sz w:val="13"/>
        </w:rPr>
        <w:t>Measures of intimidation or terrorism against the civilian population are prohibited, including acts or threats of violence with the primary purpose of spreading terror.</w:t>
      </w:r>
    </w:p>
    <w:p>
      <w:pPr>
        <w:spacing w:after="20" w:line="223" w:lineRule="auto"/>
        <w:jc w:val="right"/>
        <w:bidi/>
      </w:pPr>
      <w:r>
        <w:rPr>
          <w:rFonts w:ascii="Arial" w:hAnsi="Arial"/>
          <w:sz w:val="16"/>
        </w:rPr>
        <w:t>352.07  این اصل که عملیات نظامی نباید علیه غیرنظامیان انجام شود، عملیات نظامی را که از نظر نظامی ضروری هستند، به جز خشونت ممنوع نمی‌کند.</w:t>
      </w:r>
    </w:p>
    <w:p>
      <w:pPr>
        <w:spacing w:after="28" w:line="216" w:lineRule="auto"/>
        <w:ind w:left="259"/>
        <w:jc w:val="left"/>
      </w:pPr>
      <w:r>
        <w:rPr>
          <w:rFonts w:ascii="Arial" w:hAnsi="Arial"/>
          <w:color w:val="525252"/>
          <w:sz w:val="13"/>
        </w:rPr>
        <w:t>The principle, that military operations must not be directed against civilians, does not prohibit military operations, short of violence, that are militarily necessary.</w:t>
      </w:r>
    </w:p>
    <w:p>
      <w:pPr>
        <w:spacing w:after="20" w:line="223" w:lineRule="auto"/>
        <w:jc w:val="right"/>
        <w:bidi/>
      </w:pPr>
      <w:r>
        <w:rPr>
          <w:rFonts w:ascii="Arial" w:hAnsi="Arial"/>
          <w:sz w:val="16"/>
        </w:rPr>
        <w:t>352.08  برای مثال، چنین عملیاتی ممکن است شامل توقف و جستجوی غیرنظامیان برای یافتن سلاح و تأیید غیرنظامی بودن آنها باشد. بازداشت موقت غیرنظامیان به دلایل انجام مأموریت، دفاع از خود یا برای امنیت خود؛ جمع‌آوری اطلاعات از غیرنظامیان، از جمله بازجویی از غیرنظامیان؛ محدود کردن رفت و آمد غیرنظامیان یا هدایت حرکت آنها از عملیات نظامی برای حفاظت از خود؛ یا به دنبال تأثیرگذاری بر غیرنظامیان دشمن با تبلیغات است.</w:t>
      </w:r>
    </w:p>
    <w:p>
      <w:pPr>
        <w:spacing w:after="28" w:line="216" w:lineRule="auto"/>
        <w:ind w:left="259"/>
        <w:jc w:val="left"/>
      </w:pPr>
      <w:r>
        <w:rPr>
          <w:rFonts w:ascii="Arial" w:hAnsi="Arial"/>
          <w:color w:val="525252"/>
          <w:sz w:val="13"/>
        </w:rPr>
        <w:t>For example, such operations may include stopping and searching civilians for weapons and verifying that they are civilians; temporarily detaining civilians for reasons of mission accomplishment, self-defense, or for their own safety; collecting intelligence from civilians, including interrogating civilians; restricting the movement of civilians, or directing their movement away from military operations for their own protection; or seeking to influence enemy civilians with propaganda.</w:t>
      </w:r>
    </w:p>
    <w:p>
      <w:pPr>
        <w:spacing w:after="20" w:line="223" w:lineRule="auto"/>
        <w:jc w:val="right"/>
        <w:bidi/>
      </w:pPr>
      <w:r>
        <w:rPr>
          <w:rFonts w:ascii="Arial" w:hAnsi="Arial"/>
          <w:sz w:val="16"/>
        </w:rPr>
        <w:t>352.09  هنگام برنامه‌ریزی و اجرای حملات و در ارتباط با انواع خاصی از سلاح‌ها، اقدامات احتیاطی ممکن برای کاهش خطر آسیب به غیرنظامیان و اشیاء غیرنظامی باید انجام شود.</w:t>
      </w:r>
    </w:p>
    <w:p>
      <w:pPr>
        <w:spacing w:after="28" w:line="216" w:lineRule="auto"/>
        <w:ind w:left="259"/>
        <w:jc w:val="left"/>
      </w:pPr>
      <w:r>
        <w:rPr>
          <w:rFonts w:ascii="Arial" w:hAnsi="Arial"/>
          <w:color w:val="525252"/>
          <w:sz w:val="13"/>
        </w:rPr>
        <w:t>Feasible precautions to reduce the risk of harm to civilians and civilian objects must be taken when planning and conducting attacks, and in connection with certain types of weapons.</w:t>
      </w:r>
    </w:p>
    <w:p>
      <w:pPr>
        <w:spacing w:after="20" w:line="223" w:lineRule="auto"/>
        <w:jc w:val="right"/>
        <w:bidi/>
      </w:pPr>
      <w:r>
        <w:rPr>
          <w:rFonts w:ascii="Arial" w:hAnsi="Arial"/>
          <w:sz w:val="16"/>
        </w:rPr>
        <w:t>352.10  همچنین، باید اقدامات احتیاطی ممکن برای کاهش بار غیرنظامیان هنگام تصرف یا تخریب اموال دشمن انجام شود.</w:t>
      </w:r>
    </w:p>
    <w:p>
      <w:pPr>
        <w:spacing w:after="28" w:line="216" w:lineRule="auto"/>
        <w:ind w:left="259"/>
        <w:jc w:val="left"/>
      </w:pPr>
      <w:r>
        <w:rPr>
          <w:rFonts w:ascii="Arial" w:hAnsi="Arial"/>
          <w:color w:val="525252"/>
          <w:sz w:val="13"/>
        </w:rPr>
        <w:t>Also, feasible precautions should be taken to mitigate the burden on civilians when seizing or destroying enemy property.</w:t>
      </w:r>
    </w:p>
    <w:p>
      <w:pPr>
        <w:spacing w:after="20" w:line="223" w:lineRule="auto"/>
        <w:jc w:val="right"/>
        <w:bidi/>
      </w:pPr>
      <w:r>
        <w:rPr>
          <w:rFonts w:ascii="Arial" w:hAnsi="Arial"/>
          <w:sz w:val="16"/>
        </w:rPr>
        <w:t>352.11  فرماندهان و سایر تصمیم گیرندگان باید با حسن نیت و بر اساس اطلاعاتی که در اختیار دارند تصمیم بگیرند.</w:t>
      </w:r>
    </w:p>
    <w:p>
      <w:pPr>
        <w:spacing w:after="28" w:line="216" w:lineRule="auto"/>
        <w:ind w:left="259"/>
        <w:jc w:val="left"/>
      </w:pPr>
      <w:r>
        <w:rPr>
          <w:rFonts w:ascii="Arial" w:hAnsi="Arial"/>
          <w:color w:val="525252"/>
          <w:sz w:val="13"/>
        </w:rPr>
        <w:t>Commanders and other decision-makers must make decisions in good faith and based on the information available to them.</w:t>
      </w:r>
    </w:p>
    <w:p>
      <w:pPr>
        <w:spacing w:after="20" w:line="223" w:lineRule="auto"/>
        <w:jc w:val="right"/>
        <w:bidi/>
      </w:pPr>
      <w:r>
        <w:rPr>
          <w:rFonts w:ascii="Arial" w:hAnsi="Arial"/>
          <w:sz w:val="16"/>
        </w:rPr>
        <w:t>352.12  حتی زمانی که اطلاعات ناقص یا ناقص باشد، همانطور که غالبا در جریان درگیری‌های مسلحانه اتفاق می‌افتد، فرماندهان و سایر تصمیم‌گیرندگان ممکن است عملیات نظامی را هدایت و اجرا کنند، تا زمانی که با حسن نیت اطلاعاتی را که در آن زمان در دسترس هستند ارزیابی کنند.</w:t>
      </w:r>
    </w:p>
    <w:p>
      <w:pPr>
        <w:spacing w:after="28" w:line="216" w:lineRule="auto"/>
        <w:ind w:left="259"/>
        <w:jc w:val="left"/>
      </w:pPr>
      <w:r>
        <w:rPr>
          <w:rFonts w:ascii="Arial" w:hAnsi="Arial"/>
          <w:color w:val="525252"/>
          <w:sz w:val="13"/>
        </w:rPr>
        <w:t>Even when information is imperfect or lacking, as will frequently be the case during armed conflict, commanders and other decision-makers may direct and conduct military operations, so long as they make a good faith assessment of the information that is available to them at the time.</w:t>
      </w:r>
    </w:p>
    <w:p>
      <w:pPr>
        <w:spacing w:after="20" w:line="223" w:lineRule="auto"/>
        <w:jc w:val="right"/>
        <w:bidi/>
      </w:pPr>
      <w:r>
        <w:rPr>
          <w:rFonts w:ascii="Arial" w:hAnsi="Arial"/>
          <w:sz w:val="16"/>
        </w:rPr>
        <w:t>352.13  حامیان قاضی، پرسنل اطلاعاتی و عملیات نقش مهمی در تعیین مناسب بودن یک هدف و انتخاب سلاح مورد استفاده تحت شرایط خاص شناخته شده برای فرمانده هنگام برنامه‌ریزی حمله ایفا می‌کنند.</w:t>
      </w:r>
    </w:p>
    <w:p>
      <w:pPr>
        <w:spacing w:after="28" w:line="216" w:lineRule="auto"/>
        <w:ind w:left="259"/>
        <w:jc w:val="left"/>
      </w:pPr>
      <w:r>
        <w:rPr>
          <w:rFonts w:ascii="Arial" w:hAnsi="Arial"/>
          <w:color w:val="525252"/>
          <w:sz w:val="13"/>
        </w:rPr>
        <w:t>Judge advocates, intelligence, and operations personnel play a critical role in determining the propriety of a target and the choice of weapon to be used under the particular circumstances known to the commander when planning an attack.</w:t>
      </w:r>
    </w:p>
    <w:p>
      <w:pPr>
        <w:spacing w:after="20" w:line="223" w:lineRule="auto"/>
        <w:jc w:val="right"/>
        <w:bidi/>
      </w:pPr>
      <w:r>
        <w:rPr>
          <w:rFonts w:ascii="Arial" w:hAnsi="Arial"/>
          <w:sz w:val="16"/>
        </w:rPr>
        <w:t>352.14  اشیاء محافظت شده.</w:t>
      </w:r>
    </w:p>
    <w:p>
      <w:pPr>
        <w:spacing w:after="28" w:line="216" w:lineRule="auto"/>
        <w:ind w:left="259"/>
        <w:jc w:val="left"/>
      </w:pPr>
      <w:r>
        <w:rPr>
          <w:rFonts w:ascii="Arial" w:hAnsi="Arial"/>
          <w:color w:val="525252"/>
          <w:sz w:val="13"/>
        </w:rPr>
        <w:t>Protected Objects.</w:t>
      </w:r>
    </w:p>
    <w:p>
      <w:pPr>
        <w:spacing w:after="20" w:line="223" w:lineRule="auto"/>
        <w:jc w:val="right"/>
        <w:bidi/>
      </w:pPr>
      <w:r>
        <w:rPr>
          <w:rFonts w:ascii="Arial" w:hAnsi="Arial"/>
          <w:sz w:val="16"/>
        </w:rPr>
        <w:t>352.15  قانون جنگ از اشیاء خاص، از جمله واحدها یا موسسات پزشکی حمایت خاصی می‌کند. حمل و نقل پرسنل مجروح و بیمار؛ کشتی‌های بیمارستانی نظامی و غیرنظامی؛ مناطق ایمنی ایجاد شده بر اساس کنوانسیون ژنو؛ ساختمان‌های مذهبی، فرهنگی و خیریه؛ بناهای تاریخی؛ و اردوگاه اسیران جنگی</w:t>
      </w:r>
    </w:p>
    <w:p>
      <w:pPr>
        <w:spacing w:after="28" w:line="216" w:lineRule="auto"/>
        <w:ind w:left="259"/>
        <w:jc w:val="left"/>
      </w:pPr>
      <w:r>
        <w:rPr>
          <w:rFonts w:ascii="Arial" w:hAnsi="Arial"/>
          <w:color w:val="525252"/>
          <w:sz w:val="13"/>
        </w:rPr>
        <w:t>The law of war provides specific protection to certain objects, including medical units or establishments; transports of wounded and sick personnel; military and civilian hospital ships; safety zones established under the Geneva Conventions; religious, cultural, and charitable buildings; monuments; and prisoner of war camps.</w:t>
      </w:r>
    </w:p>
    <w:p>
      <w:pPr>
        <w:spacing w:after="20" w:line="223" w:lineRule="auto"/>
        <w:jc w:val="right"/>
        <w:bidi/>
      </w:pPr>
      <w:r>
        <w:rPr>
          <w:rFonts w:ascii="Arial" w:hAnsi="Arial"/>
          <w:sz w:val="16"/>
        </w:rPr>
        <w:t>352.16  با این حال، اگر این اشیاء محافظت شده برای مقاصد نظامی استفاده شوند، ممکن است وضعیت حفاظت شده خود را از دست بدهند.</w:t>
      </w:r>
    </w:p>
    <w:p>
      <w:pPr>
        <w:spacing w:after="28" w:line="216" w:lineRule="auto"/>
        <w:ind w:left="259"/>
        <w:jc w:val="left"/>
      </w:pPr>
      <w:r>
        <w:rPr>
          <w:rFonts w:ascii="Arial" w:hAnsi="Arial"/>
          <w:color w:val="525252"/>
          <w:sz w:val="13"/>
        </w:rPr>
        <w:t>However, if these protected objects are used for military purposes, they may lose their protected status.</w:t>
      </w:r>
    </w:p>
    <w:p>
      <w:pPr>
        <w:spacing w:after="20" w:line="223" w:lineRule="auto"/>
        <w:jc w:val="right"/>
        <w:bidi/>
      </w:pPr>
      <w:r>
        <w:rPr>
          <w:rFonts w:ascii="Arial" w:hAnsi="Arial"/>
          <w:sz w:val="16"/>
        </w:rPr>
        <w:t>352.17  حمله به اشیاء حفاظت شده در نزدیکی اهداف نظامی قانونی، که در صورت درگیر شدن قانونی اهداف نظامی مجاور متحمل خسارت جانبی می‌شوند، با رعایت اصل تناسب، قانون جنگ را نقض نمی‌کند.</w:t>
      </w:r>
    </w:p>
    <w:p>
      <w:pPr>
        <w:spacing w:after="28" w:line="216" w:lineRule="auto"/>
        <w:ind w:left="259"/>
        <w:jc w:val="left"/>
      </w:pPr>
      <w:r>
        <w:rPr>
          <w:rFonts w:ascii="Arial" w:hAnsi="Arial"/>
          <w:color w:val="525252"/>
          <w:sz w:val="13"/>
        </w:rPr>
        <w:t>An attack on protected objects near lawful military objectives, that suffer collateral damage when the nearby military objectives are lawfully engaged, does not violate the law of war, subject to adherence to the principle of proportionality.</w:t>
      </w:r>
    </w:p>
    <w:p>
      <w:pPr>
        <w:spacing w:after="20" w:line="223" w:lineRule="auto"/>
        <w:jc w:val="right"/>
        <w:bidi/>
      </w:pPr>
      <w:r>
        <w:rPr>
          <w:rFonts w:ascii="Arial" w:hAnsi="Arial"/>
          <w:sz w:val="16"/>
        </w:rPr>
        <w:t>352.18  هواپیما و خدمه هواپیمای دشمن.</w:t>
      </w:r>
    </w:p>
    <w:p>
      <w:pPr>
        <w:spacing w:after="28" w:line="216" w:lineRule="auto"/>
        <w:ind w:left="259"/>
        <w:jc w:val="left"/>
      </w:pPr>
      <w:r>
        <w:rPr>
          <w:rFonts w:ascii="Arial" w:hAnsi="Arial"/>
          <w:color w:val="525252"/>
          <w:sz w:val="13"/>
        </w:rPr>
        <w:t>Enemy Aircraft and Aircrew.</w:t>
      </w:r>
    </w:p>
    <w:p>
      <w:pPr>
        <w:spacing w:after="20" w:line="223" w:lineRule="auto"/>
        <w:jc w:val="right"/>
        <w:bidi/>
      </w:pPr>
      <w:r>
        <w:rPr>
          <w:rFonts w:ascii="Arial" w:hAnsi="Arial"/>
          <w:sz w:val="16"/>
        </w:rPr>
        <w:t>352.19  هواپیماهای نظامی دشمن ممکن است مورد حمله و نابودی قرار گیرند، مگر اینکه در حریم هوایی یا قلمرو بی طرف باشند.</w:t>
      </w:r>
    </w:p>
    <w:p>
      <w:pPr>
        <w:spacing w:after="28" w:line="216" w:lineRule="auto"/>
        <w:ind w:left="259"/>
        <w:jc w:val="left"/>
      </w:pPr>
      <w:r>
        <w:rPr>
          <w:rFonts w:ascii="Arial" w:hAnsi="Arial"/>
          <w:color w:val="525252"/>
          <w:sz w:val="13"/>
        </w:rPr>
        <w:t>Enemy military aircraft may be attacked and destroyed, unless in neutral airspace or territory.</w:t>
      </w:r>
    </w:p>
    <w:p>
      <w:pPr>
        <w:spacing w:after="20" w:line="223" w:lineRule="auto"/>
        <w:jc w:val="right"/>
        <w:bidi/>
      </w:pPr>
      <w:r>
        <w:rPr>
          <w:rFonts w:ascii="Arial" w:hAnsi="Arial"/>
          <w:sz w:val="16"/>
        </w:rPr>
        <w:t>352.20  هوایی که از هواپیمای معلول چتر نجات می‌زند و هیچ مقاومتی نشان نمی‌دهد، ممکن است مورد حمله قرار نگیرد.</w:t>
      </w:r>
    </w:p>
    <w:p>
      <w:pPr>
        <w:spacing w:after="28" w:line="216" w:lineRule="auto"/>
        <w:ind w:left="259"/>
        <w:jc w:val="left"/>
      </w:pPr>
      <w:r>
        <w:rPr>
          <w:rFonts w:ascii="Arial" w:hAnsi="Arial"/>
          <w:color w:val="525252"/>
          <w:sz w:val="13"/>
        </w:rPr>
        <w:t>Airmen who parachute from a disabled aircraft and offer no resistance may not be attacked.</w:t>
      </w:r>
    </w:p>
    <w:p>
      <w:pPr>
        <w:spacing w:after="20" w:line="223" w:lineRule="auto"/>
        <w:jc w:val="right"/>
        <w:bidi/>
      </w:pPr>
      <w:r>
        <w:rPr>
          <w:rFonts w:ascii="Arial" w:hAnsi="Arial"/>
          <w:sz w:val="16"/>
        </w:rPr>
        <w:t>352.21  هوانیروزهایی که در هنگام فرود مقاومت می‌کنند یا در پشت خطوط خود سرنگون می‌شوند و به مبارزه ادامه می‌دهند ممکن است مورد حمله قرار گیرند.</w:t>
      </w:r>
    </w:p>
    <w:p>
      <w:pPr>
        <w:spacing w:after="28" w:line="216" w:lineRule="auto"/>
        <w:ind w:left="259"/>
        <w:jc w:val="left"/>
      </w:pPr>
      <w:r>
        <w:rPr>
          <w:rFonts w:ascii="Arial" w:hAnsi="Arial"/>
          <w:color w:val="525252"/>
          <w:sz w:val="13"/>
        </w:rPr>
        <w:t>Airmen who resist in descent or are downed behind their own lines and who continue to fight may be subject to attack.</w:t>
      </w:r>
    </w:p>
    <w:p>
      <w:pPr>
        <w:spacing w:after="20" w:line="223" w:lineRule="auto"/>
        <w:jc w:val="right"/>
        <w:bidi/>
      </w:pPr>
      <w:r>
        <w:rPr>
          <w:rFonts w:ascii="Arial" w:hAnsi="Arial"/>
          <w:sz w:val="16"/>
        </w:rPr>
        <w:t>352.22  قوانین درگیری برای یک عملیات خاص اغلب شامل راهنمایی اضافی برای حمله به هواپیمای دشمن مطابق با قانون تعهدات جنگی است.</w:t>
      </w:r>
    </w:p>
    <w:p>
      <w:pPr>
        <w:spacing w:after="28" w:line="216" w:lineRule="auto"/>
        <w:ind w:left="259"/>
        <w:jc w:val="left"/>
      </w:pPr>
      <w:r>
        <w:rPr>
          <w:rFonts w:ascii="Arial" w:hAnsi="Arial"/>
          <w:color w:val="525252"/>
          <w:sz w:val="13"/>
        </w:rPr>
        <w:t>The rules of engagement for a particular operation often include additional guidance for attacking enemy aircraft consistent with law of war obligations.</w:t>
      </w:r>
    </w:p>
    <w:p>
      <w:pPr>
        <w:spacing w:after="20" w:line="223" w:lineRule="auto"/>
        <w:jc w:val="right"/>
        <w:bidi/>
      </w:pPr>
      <w:r>
        <w:rPr>
          <w:rFonts w:ascii="Arial" w:hAnsi="Arial"/>
          <w:sz w:val="16"/>
        </w:rPr>
        <w:t>352.23  هواپیماهای غیرنظامی عمومی و خصوصی دشمن معمولا مورد حمله قرار نمی‌گیرند مگر اینکه برای اهداف نظامی استفاده شوند.</w:t>
      </w:r>
    </w:p>
    <w:p>
      <w:pPr>
        <w:spacing w:after="28" w:line="216" w:lineRule="auto"/>
        <w:ind w:left="259"/>
        <w:jc w:val="left"/>
      </w:pPr>
      <w:r>
        <w:rPr>
          <w:rFonts w:ascii="Arial" w:hAnsi="Arial"/>
          <w:color w:val="525252"/>
          <w:sz w:val="13"/>
        </w:rPr>
        <w:t>An enemy’s public and private nonmilitary aircraft are generally not subject to attack unless used for a military purpose.</w:t>
      </w:r>
    </w:p>
    <w:p>
      <w:pPr>
        <w:spacing w:after="20" w:line="223" w:lineRule="auto"/>
        <w:jc w:val="right"/>
        <w:bidi/>
      </w:pPr>
      <w:r>
        <w:rPr>
          <w:rFonts w:ascii="Arial" w:hAnsi="Arial"/>
          <w:sz w:val="16"/>
        </w:rPr>
        <w:t>352.24  اگر یک هواپیمای غیرنظامی حمله را آغاز کند، ممکن است یک تهدید نظامی فوری در نظر گرفته شود و ممکن است به‌طور قانونی مورد حمله قرار گیرد (بر اساس اینکه به‌عنوان یک هدف نظامی واجد شرایط باشد).</w:t>
      </w:r>
    </w:p>
    <w:p>
      <w:pPr>
        <w:spacing w:after="28" w:line="216" w:lineRule="auto"/>
        <w:ind w:left="259"/>
        <w:jc w:val="left"/>
      </w:pPr>
      <w:r>
        <w:rPr>
          <w:rFonts w:ascii="Arial" w:hAnsi="Arial"/>
          <w:color w:val="525252"/>
          <w:sz w:val="13"/>
        </w:rPr>
        <w:t>If a civil aircraft initiates an attack, it may be considered an immediate military threat and may be lawfully attacked (on the basis it qualifies as a military objective).</w:t>
      </w:r>
    </w:p>
    <w:p>
      <w:pPr>
        <w:spacing w:after="20" w:line="223" w:lineRule="auto"/>
        <w:jc w:val="right"/>
        <w:bidi/>
      </w:pPr>
      <w:r>
        <w:rPr>
          <w:rFonts w:ascii="Arial" w:hAnsi="Arial"/>
          <w:sz w:val="16"/>
        </w:rPr>
        <w:t>352.25  تهدید نظامی فوری که یک حمله را توجیه می‌کند، ممکن است در مواقعی نیز وجود داشته باشد که سوء ظن منطقی به قصد خصمانه وجود داشته باشد، مانند زمانی که یک هواپیمای غیرنظامی با سرعت زیاد به یک پایگاه نظامی نزدیک می‌شود یا بدون اجازه وارد خاک دشمن می‌شود و به سیگنال‌ها یا هشدارها برای فرود یا رفتن به مکان تعیین‌شده توجهی نمی‌کند.</w:t>
      </w:r>
    </w:p>
    <w:p>
      <w:pPr>
        <w:spacing w:after="28" w:line="216" w:lineRule="auto"/>
        <w:ind w:left="259"/>
        <w:jc w:val="left"/>
      </w:pPr>
      <w:r>
        <w:rPr>
          <w:rFonts w:ascii="Arial" w:hAnsi="Arial"/>
          <w:color w:val="525252"/>
          <w:sz w:val="13"/>
        </w:rPr>
        <w:t>An immediate military threat justifying an attack may also exist when reasonable suspicion exists of a hostile intent, such as when a civil aircraft approaches a military base at high speed or enters enemy territory without permission and disregards signals or warnings to land or proceed to a designated place.</w:t>
      </w:r>
    </w:p>
    <w:p>
      <w:pPr>
        <w:spacing w:after="20" w:line="223" w:lineRule="auto"/>
        <w:jc w:val="right"/>
        <w:bidi/>
      </w:pPr>
      <w:r>
        <w:rPr>
          <w:rFonts w:ascii="Arial" w:hAnsi="Arial"/>
          <w:sz w:val="16"/>
        </w:rPr>
        <w:t>352.26  هواپیماهای پزشکی نظامی منحصرا برای جابجایی مجروحان و بیماران و برای</w:t>
      </w:r>
    </w:p>
    <w:p>
      <w:pPr>
        <w:spacing w:after="28" w:line="216" w:lineRule="auto"/>
        <w:ind w:left="259"/>
        <w:jc w:val="left"/>
      </w:pPr>
      <w:r>
        <w:rPr>
          <w:rFonts w:ascii="Arial" w:hAnsi="Arial"/>
          <w:color w:val="525252"/>
          <w:sz w:val="13"/>
        </w:rPr>
        <w:t>Military medical aircraft are used exclusively for the removal of the wounded and sick and for</w:t>
      </w:r>
    </w:p>
    <w:p>
      <w:r>
        <w:br w:type="page"/>
      </w:r>
    </w:p>
    <w:p>
      <w:pPr>
        <w:spacing w:after="60"/>
        <w:jc w:val="right"/>
        <w:bidi/>
      </w:pPr>
      <w:r>
        <w:rPr>
          <w:rFonts w:ascii="Arial" w:hAnsi="Arial"/>
          <w:b/>
          <w:color w:val="1F4D78"/>
          <w:sz w:val="19"/>
        </w:rPr>
        <w:t>هفتهٔ 353  |  صفحهٔ منبع: 369</w:t>
      </w:r>
    </w:p>
    <w:p>
      <w:pPr>
        <w:spacing w:after="20" w:line="223" w:lineRule="auto"/>
        <w:jc w:val="right"/>
        <w:bidi/>
      </w:pPr>
      <w:r>
        <w:rPr>
          <w:rFonts w:ascii="Arial" w:hAnsi="Arial"/>
          <w:sz w:val="16"/>
        </w:rPr>
        <w:t>353.01  حمل و نقل پرسنل و تجهیزات پزشکی.</w:t>
      </w:r>
    </w:p>
    <w:p>
      <w:pPr>
        <w:spacing w:after="28" w:line="216" w:lineRule="auto"/>
        <w:ind w:left="259"/>
        <w:jc w:val="left"/>
      </w:pPr>
      <w:r>
        <w:rPr>
          <w:rFonts w:ascii="Arial" w:hAnsi="Arial"/>
          <w:color w:val="525252"/>
          <w:sz w:val="13"/>
        </w:rPr>
        <w:t>the transport of medical personnel and equipment.</w:t>
      </w:r>
    </w:p>
    <w:p>
      <w:pPr>
        <w:spacing w:after="20" w:line="223" w:lineRule="auto"/>
        <w:jc w:val="right"/>
        <w:bidi/>
      </w:pPr>
      <w:r>
        <w:rPr>
          <w:rFonts w:ascii="Arial" w:hAnsi="Arial"/>
          <w:sz w:val="16"/>
        </w:rPr>
        <w:t>353.02  هواپیماهای پزشکی نظامی در حین پرواز در ارتفاعات، زمان‌ها و مسیرهایی که به‌طور خاص بین طرفین درگیری بر سر آنها توافق شده است، حق محافظت در برابر حمله جنگجویان دشمن را دارند.</w:t>
      </w:r>
    </w:p>
    <w:p>
      <w:pPr>
        <w:spacing w:after="28" w:line="216" w:lineRule="auto"/>
        <w:ind w:left="259"/>
        <w:jc w:val="left"/>
      </w:pPr>
      <w:r>
        <w:rPr>
          <w:rFonts w:ascii="Arial" w:hAnsi="Arial"/>
          <w:color w:val="525252"/>
          <w:sz w:val="13"/>
        </w:rPr>
        <w:t>Military medical aircraft are entitled to protection from attack by enemy combatants while flying at heights, times, and on routes specifically agreed upon between the parties to the conflict.</w:t>
      </w:r>
    </w:p>
    <w:p>
      <w:pPr>
        <w:spacing w:after="20" w:line="223" w:lineRule="auto"/>
        <w:jc w:val="right"/>
        <w:bidi/>
      </w:pPr>
      <w:r>
        <w:rPr>
          <w:rFonts w:ascii="Arial" w:hAnsi="Arial"/>
          <w:sz w:val="16"/>
        </w:rPr>
        <w:t>353.03  بر اساس قانون جنگ، هواپیمای پزشکی نظامی که نقض توافقات تعیین شده است، می‌تواند به‌طور قانونی مورد حمله قرار گیرد و پس از اتمام سایر ابزارهای کنترلی (مانند هدایت هواپیما به فرود و تسلیم به جستجو) مورد حمله قرار گیرد و منهدم شود.</w:t>
      </w:r>
    </w:p>
    <w:p>
      <w:pPr>
        <w:spacing w:after="28" w:line="216" w:lineRule="auto"/>
        <w:ind w:left="259"/>
        <w:jc w:val="left"/>
      </w:pPr>
      <w:r>
        <w:rPr>
          <w:rFonts w:ascii="Arial" w:hAnsi="Arial"/>
          <w:color w:val="525252"/>
          <w:sz w:val="13"/>
        </w:rPr>
        <w:t>Under the law of war, a military medical aircraft found to be in violation of established agreements could be lawfully attacked and destroyed after all other means of control (such as directing the aircraft to land and submit to search) have been exhausted.</w:t>
      </w:r>
    </w:p>
    <w:p>
      <w:pPr>
        <w:spacing w:before="60" w:after="28"/>
        <w:jc w:val="right"/>
        <w:bidi/>
      </w:pPr>
      <w:r>
        <w:rPr>
          <w:b/>
          <w:color w:val="1F4D78"/>
          <w:sz w:val="18"/>
        </w:rPr>
        <w:t>19.9. اجرای قوانین جنگ</w:t>
      </w:r>
    </w:p>
    <w:p>
      <w:pPr>
        <w:spacing w:after="20"/>
        <w:ind w:left="259"/>
        <w:jc w:val="left"/>
      </w:pPr>
      <w:r>
        <w:rPr>
          <w:color w:val="555555"/>
          <w:sz w:val="12"/>
        </w:rPr>
        <w:t>19.9. Enforcing Law of War Rules</w:t>
      </w:r>
    </w:p>
    <w:p>
      <w:pPr>
        <w:spacing w:after="20" w:line="223" w:lineRule="auto"/>
        <w:jc w:val="right"/>
        <w:bidi/>
      </w:pPr>
      <w:r>
        <w:rPr>
          <w:rFonts w:ascii="Arial" w:hAnsi="Arial"/>
          <w:sz w:val="16"/>
        </w:rPr>
        <w:t>353.05  همه پرسنل وزارت دفاع، از جمله پیمانکاران در صورت منصوب شدن یا همراهی با نیروهای مسلح مستقر، در طول تمام درگیری‌های مسلحانه و عملیات نظامی از قانون جنگ پیروی می‌کنند.</w:t>
      </w:r>
    </w:p>
    <w:p>
      <w:pPr>
        <w:spacing w:after="28" w:line="216" w:lineRule="auto"/>
        <w:ind w:left="259"/>
        <w:jc w:val="left"/>
      </w:pPr>
      <w:r>
        <w:rPr>
          <w:rFonts w:ascii="Arial" w:hAnsi="Arial"/>
          <w:color w:val="525252"/>
          <w:sz w:val="13"/>
        </w:rPr>
        <w:t>All Department of Defense personnel, including contractors when assigned to or accompanying deployed armed forces, comply with the law of war during all armed conflicts and military operations.</w:t>
      </w:r>
    </w:p>
    <w:p>
      <w:pPr>
        <w:spacing w:after="20" w:line="223" w:lineRule="auto"/>
        <w:jc w:val="right"/>
        <w:bidi/>
      </w:pPr>
      <w:r>
        <w:rPr>
          <w:rFonts w:ascii="Arial" w:hAnsi="Arial"/>
          <w:sz w:val="16"/>
        </w:rPr>
        <w:t>353.06  اصول و قواعد قانون جنگ با دکترین نظامی برای یک حرفهٔ نظامی سازگار است و مبنای عملیات رزمی مؤثر است.</w:t>
      </w:r>
    </w:p>
    <w:p>
      <w:pPr>
        <w:spacing w:after="28" w:line="216" w:lineRule="auto"/>
        <w:ind w:left="259"/>
        <w:jc w:val="left"/>
      </w:pPr>
      <w:r>
        <w:rPr>
          <w:rFonts w:ascii="Arial" w:hAnsi="Arial"/>
          <w:color w:val="525252"/>
          <w:sz w:val="13"/>
        </w:rPr>
        <w:t>Law of war principles and rules are consistent with military doctrine for a profession of arms and is the basis for effective combat operations.</w:t>
      </w:r>
    </w:p>
    <w:p>
      <w:pPr>
        <w:spacing w:after="20" w:line="223" w:lineRule="auto"/>
        <w:jc w:val="right"/>
        <w:bidi/>
      </w:pPr>
      <w:r>
        <w:rPr>
          <w:rFonts w:ascii="Arial" w:hAnsi="Arial"/>
          <w:sz w:val="16"/>
        </w:rPr>
        <w:t>353.07  پیروی از رهنمودهای اعتقادی، مانند دقت هدف گیری، تمرکز تلاش، به حداکثر رساندن مزیت نظامی، حفظ منابع، اجتناب از آسیب‌های جانبی بیش از حد، و صرفه جویی در زور، با قانون جنگ سازگار است و انطباق را تقویت می‌کند.</w:t>
      </w:r>
    </w:p>
    <w:p>
      <w:pPr>
        <w:spacing w:after="28" w:line="216" w:lineRule="auto"/>
        <w:ind w:left="259"/>
        <w:jc w:val="left"/>
      </w:pPr>
      <w:r>
        <w:rPr>
          <w:rFonts w:ascii="Arial" w:hAnsi="Arial"/>
          <w:color w:val="525252"/>
          <w:sz w:val="13"/>
        </w:rPr>
        <w:t>Following doctrinal guidance, such as accuracy of targeting, concentration of effort, maximization of military advantage, conservation of resources, avoidance of excessive collateral damage, and economy of force, is consistent with the law of war and reinforces compliance.</w:t>
      </w:r>
    </w:p>
    <w:p>
      <w:pPr>
        <w:spacing w:after="20" w:line="223" w:lineRule="auto"/>
        <w:jc w:val="right"/>
        <w:bidi/>
      </w:pPr>
      <w:r>
        <w:rPr>
          <w:rFonts w:ascii="Arial" w:hAnsi="Arial"/>
          <w:sz w:val="16"/>
        </w:rPr>
        <w:t>353.08  هر یک از اعضای نیروهای مسلح وظیفه دارد از قانون جنگ پیروی کند، که شامل امتناع از پیروی از دستورات آشکارا غیرقانونی برای ارتکاب نقض قانون جنگ است.</w:t>
      </w:r>
    </w:p>
    <w:p>
      <w:pPr>
        <w:spacing w:after="28" w:line="216" w:lineRule="auto"/>
        <w:ind w:left="259"/>
        <w:jc w:val="left"/>
      </w:pPr>
      <w:r>
        <w:rPr>
          <w:rFonts w:ascii="Arial" w:hAnsi="Arial"/>
          <w:color w:val="525252"/>
          <w:sz w:val="13"/>
        </w:rPr>
        <w:t>Each member of the armed services has a duty to comply with the law of war, which includes the refusal to comply with clearly illegal orders to commit law of war violations.</w:t>
      </w:r>
    </w:p>
    <w:p>
      <w:pPr>
        <w:spacing w:after="20" w:line="223" w:lineRule="auto"/>
        <w:jc w:val="right"/>
        <w:bidi/>
      </w:pPr>
      <w:r>
        <w:rPr>
          <w:rFonts w:ascii="Arial" w:hAnsi="Arial"/>
          <w:sz w:val="16"/>
        </w:rPr>
        <w:t>353.09  برای نقض قوانین جنگ، اعضا ممکن است توسط دادگاه‌های نظامی تحت قانون یکسان عدالت نظامی یا از طریق یک دادگاه نظامی بین المللی تحت تعقیب قرار گیرند.</w:t>
      </w:r>
    </w:p>
    <w:p>
      <w:pPr>
        <w:spacing w:after="28" w:line="216" w:lineRule="auto"/>
        <w:ind w:left="259"/>
        <w:jc w:val="left"/>
      </w:pPr>
      <w:r>
        <w:rPr>
          <w:rFonts w:ascii="Arial" w:hAnsi="Arial"/>
          <w:color w:val="525252"/>
          <w:sz w:val="13"/>
        </w:rPr>
        <w:t>For law of war violations, members may be prosecuted by courts-martial under the Uniform Code of Military Justice or through an international military tribunal.</w:t>
      </w:r>
    </w:p>
    <w:p>
      <w:pPr>
        <w:spacing w:after="20" w:line="223" w:lineRule="auto"/>
        <w:jc w:val="right"/>
        <w:bidi/>
      </w:pPr>
      <w:r>
        <w:rPr>
          <w:rFonts w:ascii="Arial" w:hAnsi="Arial"/>
          <w:sz w:val="16"/>
        </w:rPr>
        <w:t>353.10  گزارش تخلفات.</w:t>
      </w:r>
    </w:p>
    <w:p>
      <w:pPr>
        <w:spacing w:after="28" w:line="216" w:lineRule="auto"/>
        <w:ind w:left="259"/>
        <w:jc w:val="left"/>
      </w:pPr>
      <w:r>
        <w:rPr>
          <w:rFonts w:ascii="Arial" w:hAnsi="Arial"/>
          <w:color w:val="525252"/>
          <w:sz w:val="13"/>
        </w:rPr>
        <w:t>Reporting Violations.</w:t>
      </w:r>
    </w:p>
    <w:p>
      <w:pPr>
        <w:spacing w:after="20" w:line="223" w:lineRule="auto"/>
        <w:jc w:val="right"/>
        <w:bidi/>
      </w:pPr>
      <w:r>
        <w:rPr>
          <w:rFonts w:ascii="Arial" w:hAnsi="Arial"/>
          <w:sz w:val="16"/>
        </w:rPr>
        <w:t>353.11  پرسنل وزارت دفاع که مشکوک هستند یا اطلاعاتی دارند که ممکن است به‌طور منطقی به‌عنوان نقض قانون جنگ توسط یا علیه پرسنل ایالات متحده، پرسنل دشمن، یا هر فرد دیگری تلقی شود، باید سریعا تخلف را به فرمانده فوری خود یا مقام مربوطه گزارش دهند.</w:t>
      </w:r>
    </w:p>
    <w:p>
      <w:pPr>
        <w:spacing w:after="28" w:line="216" w:lineRule="auto"/>
        <w:ind w:left="259"/>
        <w:jc w:val="left"/>
      </w:pPr>
      <w:r>
        <w:rPr>
          <w:rFonts w:ascii="Arial" w:hAnsi="Arial"/>
          <w:color w:val="525252"/>
          <w:sz w:val="13"/>
        </w:rPr>
        <w:t>Department of Defense personnel who suspect or have information which might reasonably be viewed as a violation of the law of war committed by or against U.S. personnel, enemy personnel, or any other individual, shall promptly report the violation to their immediate commander or the proper authority.</w:t>
      </w:r>
    </w:p>
    <w:p>
      <w:pPr>
        <w:spacing w:after="20" w:line="223" w:lineRule="auto"/>
        <w:jc w:val="right"/>
        <w:bidi/>
      </w:pPr>
      <w:r>
        <w:rPr>
          <w:rFonts w:ascii="Arial" w:hAnsi="Arial"/>
          <w:sz w:val="16"/>
        </w:rPr>
        <w:t>353.12  این شامل موارد نقض توسط دشمن، متحدان، نیروهای مسلح ایالات متحده، یا دیگران است.</w:t>
      </w:r>
    </w:p>
    <w:p>
      <w:pPr>
        <w:spacing w:after="28" w:line="216" w:lineRule="auto"/>
        <w:ind w:left="259"/>
        <w:jc w:val="left"/>
      </w:pPr>
      <w:r>
        <w:rPr>
          <w:rFonts w:ascii="Arial" w:hAnsi="Arial"/>
          <w:color w:val="525252"/>
          <w:sz w:val="13"/>
        </w:rPr>
        <w:t>This includes violations by the enemy, allies, U.S. Armed Forces, or others.</w:t>
      </w:r>
    </w:p>
    <w:p>
      <w:pPr>
        <w:spacing w:after="20" w:line="223" w:lineRule="auto"/>
        <w:jc w:val="right"/>
        <w:bidi/>
      </w:pPr>
      <w:r>
        <w:rPr>
          <w:rFonts w:ascii="Arial" w:hAnsi="Arial"/>
          <w:sz w:val="16"/>
        </w:rPr>
        <w:t>353.13  اگر ادعا مربوط به یک فرمانده ایالات متحده باشد یا ممکن است مربوط به آن باشد، گزارش باید به مقام بالاتر فرماندهی ایالات متحده ارائه شود.</w:t>
      </w:r>
    </w:p>
    <w:p>
      <w:pPr>
        <w:spacing w:after="28" w:line="216" w:lineRule="auto"/>
        <w:ind w:left="259"/>
        <w:jc w:val="left"/>
      </w:pPr>
      <w:r>
        <w:rPr>
          <w:rFonts w:ascii="Arial" w:hAnsi="Arial"/>
          <w:color w:val="525252"/>
          <w:sz w:val="13"/>
        </w:rPr>
        <w:t>If the allegation involves or may involve a U.S. commander, the report should be made to the next higher United States command authority.</w:t>
      </w:r>
    </w:p>
    <w:p>
      <w:pPr>
        <w:spacing w:after="20" w:line="223" w:lineRule="auto"/>
        <w:jc w:val="right"/>
        <w:bidi/>
      </w:pPr>
      <w:r>
        <w:rPr>
          <w:rFonts w:ascii="Arial" w:hAnsi="Arial"/>
          <w:sz w:val="16"/>
        </w:rPr>
        <w:t>353.14  شرایط خاص ممکن است ایجاب کند که گزارش به نزدیکترین وکیل قاضی، بازرس کل، مامور ویژه در دفتر تحقیقات ویژه یا یکی از اعضای نیروهای امنیتی ارائه شود.</w:t>
      </w:r>
    </w:p>
    <w:p>
      <w:pPr>
        <w:spacing w:after="28" w:line="216" w:lineRule="auto"/>
        <w:ind w:left="259"/>
        <w:jc w:val="left"/>
      </w:pPr>
      <w:r>
        <w:rPr>
          <w:rFonts w:ascii="Arial" w:hAnsi="Arial"/>
          <w:color w:val="525252"/>
          <w:sz w:val="13"/>
        </w:rPr>
        <w:t>Particular circumstances may require that the report be made to the nearest judge advocate, inspector general, a special agent in the Office of Special Investigations, or a security forces member.</w:t>
      </w:r>
    </w:p>
    <w:p>
      <w:pPr>
        <w:spacing w:before="60" w:after="28"/>
        <w:jc w:val="right"/>
        <w:bidi/>
      </w:pPr>
      <w:r>
        <w:rPr>
          <w:b/>
          <w:color w:val="1F4D78"/>
          <w:sz w:val="18"/>
        </w:rPr>
        <w:t>19.10. قوانین نامزدی</w:t>
      </w:r>
    </w:p>
    <w:p>
      <w:pPr>
        <w:spacing w:after="20"/>
        <w:ind w:left="259"/>
        <w:jc w:val="left"/>
      </w:pPr>
      <w:r>
        <w:rPr>
          <w:color w:val="555555"/>
          <w:sz w:val="12"/>
        </w:rPr>
        <w:t>19.10. Rules of Engagement</w:t>
      </w:r>
    </w:p>
    <w:p>
      <w:pPr>
        <w:spacing w:after="20" w:line="223" w:lineRule="auto"/>
        <w:jc w:val="right"/>
        <w:bidi/>
      </w:pPr>
      <w:r>
        <w:rPr>
          <w:rFonts w:ascii="Arial" w:hAnsi="Arial"/>
          <w:sz w:val="16"/>
        </w:rPr>
        <w:t>353.16  قوانین تعامل وجود دارد تا اطمینان حاصل شود که استفاده از زور در یک عملیات مطابق با اهداف سیاست ملی، الزامات مأموریت و حاکمیت قانون صورت می‌گیرد.</w:t>
      </w:r>
    </w:p>
    <w:p>
      <w:pPr>
        <w:spacing w:after="28" w:line="216" w:lineRule="auto"/>
        <w:ind w:left="259"/>
        <w:jc w:val="left"/>
      </w:pPr>
      <w:r>
        <w:rPr>
          <w:rFonts w:ascii="Arial" w:hAnsi="Arial"/>
          <w:color w:val="525252"/>
          <w:sz w:val="13"/>
        </w:rPr>
        <w:t>Rules of engagement exist to ensure use of force in an operation occurs according to national policy goals, mission requirements, and the rule of law.</w:t>
      </w:r>
    </w:p>
    <w:p>
      <w:pPr>
        <w:spacing w:after="20" w:line="223" w:lineRule="auto"/>
        <w:jc w:val="right"/>
        <w:bidi/>
      </w:pPr>
      <w:r>
        <w:rPr>
          <w:rFonts w:ascii="Arial" w:hAnsi="Arial"/>
          <w:sz w:val="16"/>
        </w:rPr>
        <w:t>353.17  به‌طور کلی، قوانین درگیری پارامترهایی را برای زمان، کجا، چگونه، چرا و علیه چه کسی فرماندهان و هوانوردان آنها می‌توانند از زور استفاده کنند، تعیین می‌کند.</w:t>
      </w:r>
    </w:p>
    <w:p>
      <w:pPr>
        <w:spacing w:after="28" w:line="216" w:lineRule="auto"/>
        <w:ind w:left="259"/>
        <w:jc w:val="left"/>
      </w:pPr>
      <w:r>
        <w:rPr>
          <w:rFonts w:ascii="Arial" w:hAnsi="Arial"/>
          <w:color w:val="525252"/>
          <w:sz w:val="13"/>
        </w:rPr>
        <w:t>In general, rules of engagement set parameters for when, where, how, why, and against whom commanders and their Airmen may use force.</w:t>
      </w:r>
    </w:p>
    <w:p>
      <w:pPr>
        <w:spacing w:after="20" w:line="223" w:lineRule="auto"/>
        <w:jc w:val="right"/>
        <w:bidi/>
      </w:pPr>
      <w:r>
        <w:rPr>
          <w:rFonts w:ascii="Arial" w:hAnsi="Arial"/>
          <w:sz w:val="16"/>
        </w:rPr>
        <w:t>353.18  همه هوانوردان وظیفه و الزام قانونی به درک، به خاطر سپردن و اعمال قوانین تعامل دارند.</w:t>
      </w:r>
    </w:p>
    <w:p>
      <w:pPr>
        <w:spacing w:after="28" w:line="216" w:lineRule="auto"/>
        <w:ind w:left="259"/>
        <w:jc w:val="left"/>
      </w:pPr>
      <w:r>
        <w:rPr>
          <w:rFonts w:ascii="Arial" w:hAnsi="Arial"/>
          <w:color w:val="525252"/>
          <w:sz w:val="13"/>
        </w:rPr>
        <w:t>All Airmen have a duty and a legal obligation to understand, remember, and apply rules of engagement.</w:t>
      </w:r>
    </w:p>
    <w:p>
      <w:pPr>
        <w:spacing w:after="20" w:line="223" w:lineRule="auto"/>
        <w:jc w:val="right"/>
        <w:bidi/>
      </w:pPr>
      <w:r>
        <w:rPr>
          <w:rFonts w:ascii="Arial" w:hAnsi="Arial"/>
          <w:sz w:val="16"/>
        </w:rPr>
        <w:t>353.19  قوانین دائمی تعامل توسط رئیس جمهور و وزیر دفاع ایالات متحده تأیید شده و توسط رئیس ستاد مشترک صادر می‌شود.</w:t>
      </w:r>
    </w:p>
    <w:p>
      <w:pPr>
        <w:spacing w:after="28" w:line="216" w:lineRule="auto"/>
        <w:ind w:left="259"/>
        <w:jc w:val="left"/>
      </w:pPr>
      <w:r>
        <w:rPr>
          <w:rFonts w:ascii="Arial" w:hAnsi="Arial"/>
          <w:color w:val="525252"/>
          <w:sz w:val="13"/>
        </w:rPr>
        <w:t>The standing rules of engagement are approved by the U.S. President and Secretary of Defense and are issued by the Chairman of the Joint Chiefs of Staff.</w:t>
      </w:r>
    </w:p>
    <w:p>
      <w:pPr>
        <w:spacing w:after="20" w:line="223" w:lineRule="auto"/>
        <w:jc w:val="right"/>
        <w:bidi/>
      </w:pPr>
      <w:r>
        <w:rPr>
          <w:rFonts w:ascii="Arial" w:hAnsi="Arial"/>
          <w:sz w:val="16"/>
        </w:rPr>
        <w:t>353.20  آنها راهنمایی‌های اجرایی در مورد حق ذاتی دفاع از خود و اعمال زور برای انجام مأموریت ارائه می‌دهند.</w:t>
      </w:r>
    </w:p>
    <w:p>
      <w:pPr>
        <w:spacing w:after="28" w:line="216" w:lineRule="auto"/>
        <w:ind w:left="259"/>
        <w:jc w:val="left"/>
      </w:pPr>
      <w:r>
        <w:rPr>
          <w:rFonts w:ascii="Arial" w:hAnsi="Arial"/>
          <w:color w:val="525252"/>
          <w:sz w:val="13"/>
        </w:rPr>
        <w:t>They provide implementation guidance on the inherent right of self-defense and the application of force for mission accomplishment.</w:t>
      </w:r>
    </w:p>
    <w:p>
      <w:pPr>
        <w:spacing w:after="20" w:line="223" w:lineRule="auto"/>
        <w:jc w:val="right"/>
        <w:bidi/>
      </w:pPr>
      <w:r>
        <w:rPr>
          <w:rFonts w:ascii="Arial" w:hAnsi="Arial"/>
          <w:sz w:val="16"/>
        </w:rPr>
        <w:t>353.21  توجه: قواعد درگیری ویژه مأموریت، کاربرد خاص تری از اصول حقوق جنگ را ارائه می‌دهد که متناسب با ماهیت سیاسی و نظامی یک مأموریت است که عموما در ضمیمه دستورات اجرا، برنامه‌های عملیات و دستورات عملیات آمده است.</w:t>
      </w:r>
    </w:p>
    <w:p>
      <w:pPr>
        <w:spacing w:after="28" w:line="216" w:lineRule="auto"/>
        <w:ind w:left="259"/>
        <w:jc w:val="left"/>
      </w:pPr>
      <w:r>
        <w:rPr>
          <w:rFonts w:ascii="Arial" w:hAnsi="Arial"/>
          <w:color w:val="525252"/>
          <w:sz w:val="13"/>
        </w:rPr>
        <w:t>Note: Mission-specific rules of engagement present a more specific application of law of war principles tailored to the political and military nature of a mission which are generally contained in an annex to execution orders, operations plans, and operations orders.</w:t>
      </w:r>
    </w:p>
    <w:p>
      <w:pPr>
        <w:spacing w:after="20" w:line="223" w:lineRule="auto"/>
        <w:jc w:val="right"/>
        <w:bidi/>
      </w:pPr>
      <w:r>
        <w:rPr>
          <w:rFonts w:ascii="Arial" w:hAnsi="Arial"/>
          <w:sz w:val="16"/>
        </w:rPr>
        <w:t>353.22  فرماندهان در هر رده موظفند اطمینان حاصل کنند که تمام عملیات‌ها با قوانین مأموریت درگیری و/یا با قوانین دائمی درگیری مطابقت دارند.</w:t>
      </w:r>
    </w:p>
    <w:p>
      <w:pPr>
        <w:spacing w:after="28" w:line="216" w:lineRule="auto"/>
        <w:ind w:left="259"/>
        <w:jc w:val="left"/>
      </w:pPr>
      <w:r>
        <w:rPr>
          <w:rFonts w:ascii="Arial" w:hAnsi="Arial"/>
          <w:color w:val="525252"/>
          <w:sz w:val="13"/>
        </w:rPr>
        <w:t>Commanders at every echelon have an obligation to ensure that all operations comply with the mission rules of engagement and/or with the standing rules of engagement, as applicable.</w:t>
      </w:r>
    </w:p>
    <w:p>
      <w:pPr>
        <w:spacing w:after="20" w:line="223" w:lineRule="auto"/>
        <w:jc w:val="right"/>
        <w:bidi/>
      </w:pPr>
      <w:r>
        <w:rPr>
          <w:rFonts w:ascii="Arial" w:hAnsi="Arial"/>
          <w:sz w:val="16"/>
        </w:rPr>
        <w:t>353.23  دفاع شخصی.</w:t>
      </w:r>
    </w:p>
    <w:p>
      <w:pPr>
        <w:spacing w:after="28" w:line="216" w:lineRule="auto"/>
        <w:ind w:left="259"/>
        <w:jc w:val="left"/>
      </w:pPr>
      <w:r>
        <w:rPr>
          <w:rFonts w:ascii="Arial" w:hAnsi="Arial"/>
          <w:color w:val="525252"/>
          <w:sz w:val="13"/>
        </w:rPr>
        <w:t>Self Defense.</w:t>
      </w:r>
    </w:p>
    <w:p>
      <w:pPr>
        <w:spacing w:after="20" w:line="223" w:lineRule="auto"/>
        <w:jc w:val="right"/>
        <w:bidi/>
      </w:pPr>
      <w:r>
        <w:rPr>
          <w:rFonts w:ascii="Arial" w:hAnsi="Arial"/>
          <w:sz w:val="16"/>
        </w:rPr>
        <w:t>353.24  سیاست اساسی ایالات متحده در مورد دفاع از خود مکررا در سراسر قوانین دائمی درگیری بیان شده است، "این قوانین اختیارات و تعهد ذاتی یک فرمانده را برای استفاده از همه ابزارهای لازم برای انجام همه اقدامات مناسب برای دفاع از خود واحد فرمانده و سایر نیروهای مسلح ایالات متحده در مجاورت محدود نمی‌کند." اعضای نظامی می‌توانند در دفاع شخصی انفرادی عمل کنند مگر اینکه دستور دیگری توسط فرمانده یگان داده شود.</w:t>
      </w:r>
    </w:p>
    <w:p>
      <w:pPr>
        <w:spacing w:after="28" w:line="216" w:lineRule="auto"/>
        <w:ind w:left="259"/>
        <w:jc w:val="left"/>
      </w:pPr>
      <w:r>
        <w:rPr>
          <w:rFonts w:ascii="Arial" w:hAnsi="Arial"/>
          <w:color w:val="525252"/>
          <w:sz w:val="13"/>
        </w:rPr>
        <w:t>The fundamental U.S. policy on self-defense is repeatedly stated throughout the standing rules of engagement, “These rules do not limit a commander’s inherent authority and obligation to use all necessary means available to take all appropriate actions in self-defense of the commander’s unit and other U.S. Armed Forces in the vicinity.” Military members may act in individual self-defense unless otherwise directed by a unit commander.</w:t>
      </w:r>
    </w:p>
    <w:p>
      <w:pPr>
        <w:spacing w:after="20" w:line="223" w:lineRule="auto"/>
        <w:jc w:val="right"/>
        <w:bidi/>
      </w:pPr>
      <w:r>
        <w:rPr>
          <w:rFonts w:ascii="Arial" w:hAnsi="Arial"/>
          <w:sz w:val="16"/>
        </w:rPr>
        <w:t>353.25  قبل از استفاده از زور در دفاع شخصی واحد یا انفرادی باید عوامل متعددی در نظر گرفته شود.</w:t>
      </w:r>
    </w:p>
    <w:p>
      <w:pPr>
        <w:spacing w:after="28" w:line="216" w:lineRule="auto"/>
        <w:ind w:left="259"/>
        <w:jc w:val="left"/>
      </w:pPr>
      <w:r>
        <w:rPr>
          <w:rFonts w:ascii="Arial" w:hAnsi="Arial"/>
          <w:color w:val="525252"/>
          <w:sz w:val="13"/>
        </w:rPr>
        <w:t>Several factors must be considered before the use of force in unit or individual self-defense.</w:t>
      </w:r>
    </w:p>
    <w:p>
      <w:pPr>
        <w:spacing w:after="20" w:line="223" w:lineRule="auto"/>
        <w:jc w:val="right"/>
        <w:bidi/>
      </w:pPr>
      <w:r>
        <w:rPr>
          <w:rFonts w:ascii="Arial" w:hAnsi="Arial"/>
          <w:sz w:val="16"/>
        </w:rPr>
        <w:t>353.26  تنش زدایی.</w:t>
      </w:r>
    </w:p>
    <w:p>
      <w:pPr>
        <w:spacing w:after="28" w:line="216" w:lineRule="auto"/>
        <w:ind w:left="259"/>
        <w:jc w:val="left"/>
      </w:pPr>
      <w:r>
        <w:rPr>
          <w:rFonts w:ascii="Arial" w:hAnsi="Arial"/>
          <w:color w:val="525252"/>
          <w:sz w:val="13"/>
        </w:rPr>
        <w:t>De-escalation.</w:t>
      </w:r>
    </w:p>
    <w:p>
      <w:pPr>
        <w:spacing w:after="20" w:line="223" w:lineRule="auto"/>
        <w:jc w:val="right"/>
        <w:bidi/>
      </w:pPr>
      <w:r>
        <w:rPr>
          <w:rFonts w:ascii="Arial" w:hAnsi="Arial"/>
          <w:sz w:val="16"/>
        </w:rPr>
        <w:t>353.27  وقتی زمان و شرایط اجازه می‌دهد، باید به نیروهایی که مرتکب اعمال خصمانه یا نشان دادن قصد خصمانه می‌شوند هشدار داده شود و فرصت خروج یا توقف داده شود.</w:t>
      </w:r>
    </w:p>
    <w:p>
      <w:pPr>
        <w:spacing w:after="28" w:line="216" w:lineRule="auto"/>
        <w:ind w:left="259"/>
        <w:jc w:val="left"/>
      </w:pPr>
      <w:r>
        <w:rPr>
          <w:rFonts w:ascii="Arial" w:hAnsi="Arial"/>
          <w:color w:val="525252"/>
          <w:sz w:val="13"/>
        </w:rPr>
        <w:t>When time and circumstances permit, the forces committing hostile acts or demonstrating hostile intent should be warned and given the opportunity to withdraw or cease</w:t>
      </w:r>
    </w:p>
    <w:p>
      <w:r>
        <w:br w:type="page"/>
      </w:r>
    </w:p>
    <w:p>
      <w:pPr>
        <w:spacing w:after="60"/>
        <w:jc w:val="right"/>
        <w:bidi/>
      </w:pPr>
      <w:r>
        <w:rPr>
          <w:rFonts w:ascii="Arial" w:hAnsi="Arial"/>
          <w:b/>
          <w:color w:val="1F4D78"/>
          <w:sz w:val="19"/>
        </w:rPr>
        <w:t>هفتهٔ 354  |  صفحهٔ منبع: 370</w:t>
      </w:r>
    </w:p>
    <w:p>
      <w:pPr>
        <w:spacing w:after="20" w:line="223" w:lineRule="auto"/>
        <w:jc w:val="right"/>
        <w:bidi/>
      </w:pPr>
      <w:r>
        <w:rPr>
          <w:rFonts w:ascii="Arial" w:hAnsi="Arial"/>
          <w:sz w:val="16"/>
        </w:rPr>
        <w:t>354.01  اقدامات تهدیدآمیز.</w:t>
      </w:r>
    </w:p>
    <w:p>
      <w:pPr>
        <w:spacing w:after="28" w:line="216" w:lineRule="auto"/>
        <w:ind w:left="259"/>
        <w:jc w:val="left"/>
      </w:pPr>
      <w:r>
        <w:rPr>
          <w:rFonts w:ascii="Arial" w:hAnsi="Arial"/>
          <w:color w:val="525252"/>
          <w:sz w:val="13"/>
        </w:rPr>
        <w:t>threatening actions.</w:t>
      </w:r>
    </w:p>
    <w:p>
      <w:pPr>
        <w:spacing w:after="20" w:line="223" w:lineRule="auto"/>
        <w:jc w:val="right"/>
        <w:bidi/>
      </w:pPr>
      <w:r>
        <w:rPr>
          <w:rFonts w:ascii="Arial" w:hAnsi="Arial"/>
          <w:sz w:val="16"/>
        </w:rPr>
        <w:t>354.02  ضرورت.</w:t>
      </w:r>
    </w:p>
    <w:p>
      <w:pPr>
        <w:spacing w:after="28" w:line="216" w:lineRule="auto"/>
        <w:ind w:left="259"/>
        <w:jc w:val="left"/>
      </w:pPr>
      <w:r>
        <w:rPr>
          <w:rFonts w:ascii="Arial" w:hAnsi="Arial"/>
          <w:color w:val="525252"/>
          <w:sz w:val="13"/>
        </w:rPr>
        <w:t>Necessity.</w:t>
      </w:r>
    </w:p>
    <w:p>
      <w:pPr>
        <w:spacing w:after="20" w:line="223" w:lineRule="auto"/>
        <w:jc w:val="right"/>
        <w:bidi/>
      </w:pPr>
      <w:r>
        <w:rPr>
          <w:rFonts w:ascii="Arial" w:hAnsi="Arial"/>
          <w:sz w:val="16"/>
        </w:rPr>
        <w:t>354.03  ضرورت در چارچوب دفاع از خود تحت قوانین درگیری بر تهدیدی که توسط فرد درک می‌شود، متمرکز می‌شود، یعنی اینکه آیا فرد احساس می‌کند که یک عمل خصمانه رخ داده است یا قصد خصمانه نشان داده می‌شود.</w:t>
      </w:r>
    </w:p>
    <w:p>
      <w:pPr>
        <w:spacing w:after="28" w:line="216" w:lineRule="auto"/>
        <w:ind w:left="259"/>
        <w:jc w:val="left"/>
      </w:pPr>
      <w:r>
        <w:rPr>
          <w:rFonts w:ascii="Arial" w:hAnsi="Arial"/>
          <w:color w:val="525252"/>
          <w:sz w:val="13"/>
        </w:rPr>
        <w:t>Necessity in the context of self-defense under the rules of engagement focuses on the threat perceived by an individual, that is whether the individual perceives a hostile act has occurred, or hostile intent is being demonstrated.</w:t>
      </w:r>
    </w:p>
    <w:p>
      <w:pPr>
        <w:spacing w:after="20" w:line="223" w:lineRule="auto"/>
        <w:jc w:val="right"/>
        <w:bidi/>
      </w:pPr>
      <w:r>
        <w:rPr>
          <w:rFonts w:ascii="Arial" w:hAnsi="Arial"/>
          <w:sz w:val="16"/>
        </w:rPr>
        <w:t>354.04  اقدام خصمانه و نیت خصمانه شامل زور یا تهدید به زور است که علیه ایالات متحده، نیروهای مسلح ایالات متحده، افراد و دارایی‌های تعیین شده یا با هدف ممانعت از مأموریت نیروهای مسلح ایالات متحده استفاده می‌شود.</w:t>
      </w:r>
    </w:p>
    <w:p>
      <w:pPr>
        <w:spacing w:after="28" w:line="216" w:lineRule="auto"/>
        <w:ind w:left="259"/>
        <w:jc w:val="left"/>
      </w:pPr>
      <w:r>
        <w:rPr>
          <w:rFonts w:ascii="Arial" w:hAnsi="Arial"/>
          <w:color w:val="525252"/>
          <w:sz w:val="13"/>
        </w:rPr>
        <w:t>Hostile act and hostile intent includes force or threats of force used against the United States, U.S. Armed Forces, designated persons and property, or intended to impede the mission of U.S. Armed Forces.</w:t>
      </w:r>
    </w:p>
    <w:p>
      <w:pPr>
        <w:spacing w:after="20" w:line="223" w:lineRule="auto"/>
        <w:jc w:val="right"/>
        <w:bidi/>
      </w:pPr>
      <w:r>
        <w:rPr>
          <w:rFonts w:ascii="Arial" w:hAnsi="Arial"/>
          <w:sz w:val="16"/>
        </w:rPr>
        <w:t>354.05  تناسب.</w:t>
      </w:r>
    </w:p>
    <w:p>
      <w:pPr>
        <w:spacing w:after="28" w:line="216" w:lineRule="auto"/>
        <w:ind w:left="259"/>
        <w:jc w:val="left"/>
      </w:pPr>
      <w:r>
        <w:rPr>
          <w:rFonts w:ascii="Arial" w:hAnsi="Arial"/>
          <w:color w:val="525252"/>
          <w:sz w:val="13"/>
        </w:rPr>
        <w:t>Proportionality.</w:t>
      </w:r>
    </w:p>
    <w:p>
      <w:pPr>
        <w:spacing w:after="20" w:line="223" w:lineRule="auto"/>
        <w:jc w:val="right"/>
        <w:bidi/>
      </w:pPr>
      <w:r>
        <w:rPr>
          <w:rFonts w:ascii="Arial" w:hAnsi="Arial"/>
          <w:sz w:val="16"/>
        </w:rPr>
        <w:t>354.06  تناسب در زمینه دفاع از خود تحت قوانین درگیری به معقول بودن پاسخ به تهدید مربوط می‌شود.</w:t>
      </w:r>
    </w:p>
    <w:p>
      <w:pPr>
        <w:spacing w:after="28" w:line="216" w:lineRule="auto"/>
        <w:ind w:left="259"/>
        <w:jc w:val="left"/>
      </w:pPr>
      <w:r>
        <w:rPr>
          <w:rFonts w:ascii="Arial" w:hAnsi="Arial"/>
          <w:color w:val="525252"/>
          <w:sz w:val="13"/>
        </w:rPr>
        <w:t>Proportionality in the context of self-defense under the rules of engagement relates to the reasonableness of the response to a threat.</w:t>
      </w:r>
    </w:p>
    <w:p>
      <w:pPr>
        <w:spacing w:after="20" w:line="223" w:lineRule="auto"/>
        <w:jc w:val="right"/>
        <w:bidi/>
      </w:pPr>
      <w:r>
        <w:rPr>
          <w:rFonts w:ascii="Arial" w:hAnsi="Arial"/>
          <w:sz w:val="16"/>
        </w:rPr>
        <w:t>354.07  در دفاع از خود، نیروهای مسلح ایالات متحده فقط می‌توانند از مقدار نیروی لازم برای مقابله قاطع با یک اقدام خصمانه یا نمایش نیت خصمانه و تضمین تداوم امنیت نیروهای مسلح ایالات متحده یا سایر افراد و دارایی‌های تعیین شده استفاده کنند.</w:t>
      </w:r>
    </w:p>
    <w:p>
      <w:pPr>
        <w:spacing w:after="28" w:line="216" w:lineRule="auto"/>
        <w:ind w:left="259"/>
        <w:jc w:val="left"/>
      </w:pPr>
      <w:r>
        <w:rPr>
          <w:rFonts w:ascii="Arial" w:hAnsi="Arial"/>
          <w:color w:val="525252"/>
          <w:sz w:val="13"/>
        </w:rPr>
        <w:t>In self-defense, U.S. Armed Forces may only use the amount of force necessary to decisively counter a hostile act or a demonstration of hostile intent and ensure the continued safety of U.S. Armed Forces or other designated persons and property.</w:t>
      </w:r>
    </w:p>
    <w:p>
      <w:pPr>
        <w:spacing w:after="20" w:line="223" w:lineRule="auto"/>
        <w:jc w:val="right"/>
        <w:bidi/>
      </w:pPr>
      <w:r>
        <w:rPr>
          <w:rFonts w:ascii="Arial" w:hAnsi="Arial"/>
          <w:sz w:val="16"/>
        </w:rPr>
        <w:t>354.08  نیروی مورد استفاده باید از نظر ماهیت، مدت و دامنه در مقایسه با تهدید بر اساس حقایق شناخته شده برای فرد در آن زمان معقول باشد.</w:t>
      </w:r>
    </w:p>
    <w:p>
      <w:pPr>
        <w:spacing w:after="28" w:line="216" w:lineRule="auto"/>
        <w:ind w:left="259"/>
        <w:jc w:val="left"/>
      </w:pPr>
      <w:r>
        <w:rPr>
          <w:rFonts w:ascii="Arial" w:hAnsi="Arial"/>
          <w:color w:val="525252"/>
          <w:sz w:val="13"/>
        </w:rPr>
        <w:t>Force used must be reasonable in nature, duration and scope compared to the threat based on facts known to the individual at the time.</w:t>
      </w:r>
    </w:p>
    <w:p>
      <w:pPr>
        <w:spacing w:after="20" w:line="223" w:lineRule="auto"/>
        <w:jc w:val="right"/>
        <w:bidi/>
      </w:pPr>
      <w:r>
        <w:rPr>
          <w:rFonts w:ascii="Arial" w:hAnsi="Arial"/>
          <w:sz w:val="16"/>
        </w:rPr>
        <w:t>354.09  تعقیب. اگر این نیروها به اقدامات خصمانه یا نشان دادن قصد خصمانه ادامه دهند، نیروهای مسلح ایالات متحده می‌توانند نیروهای متخاصمی را که مرتکب عمل خصمانه شده یا قصد خصمانه‌ای از خود نشان داده است، تعقیب و درگیر شوند.</w:t>
      </w:r>
    </w:p>
    <w:p>
      <w:pPr>
        <w:spacing w:after="28" w:line="216" w:lineRule="auto"/>
        <w:ind w:left="259"/>
        <w:jc w:val="left"/>
      </w:pPr>
      <w:r>
        <w:rPr>
          <w:rFonts w:ascii="Arial" w:hAnsi="Arial"/>
          <w:color w:val="525252"/>
          <w:sz w:val="13"/>
        </w:rPr>
        <w:t>Pursuit. U.S. Armed Forces can pursue and engage a hostile force that has committed a hostile act or demonstrated a hostile intent if those forces continue to commit hostile acts or demonstrate hostile intent.</w:t>
      </w:r>
    </w:p>
    <w:p>
      <w:pPr>
        <w:spacing w:after="20" w:line="223" w:lineRule="auto"/>
        <w:jc w:val="right"/>
        <w:bidi/>
      </w:pPr>
      <w:r>
        <w:rPr>
          <w:rFonts w:ascii="Arial" w:hAnsi="Arial"/>
          <w:sz w:val="16"/>
        </w:rPr>
        <w:t>354.10  قوانین قابل اجرا درگیری ممکن است توانایی نیروهای مسلح ایالات متحده برای تعقیب یا درگیر شدن با یک نیروی متخاصم را در سراسر مرزهای بین‌المللی محدود یا محدود کند.</w:t>
      </w:r>
    </w:p>
    <w:p>
      <w:pPr>
        <w:spacing w:after="28" w:line="216" w:lineRule="auto"/>
        <w:ind w:left="259"/>
        <w:jc w:val="left"/>
      </w:pPr>
      <w:r>
        <w:rPr>
          <w:rFonts w:ascii="Arial" w:hAnsi="Arial"/>
          <w:color w:val="525252"/>
          <w:sz w:val="13"/>
        </w:rPr>
        <w:t>Applicable rules of engagement may restrict or place limitations on U.S. Armed Forces’ ability to pursue or engage a hostile force across an international border.</w:t>
      </w:r>
    </w:p>
    <w:p>
      <w:r>
        <w:br w:type="page"/>
      </w:r>
    </w:p>
    <w:p>
      <w:pPr>
        <w:spacing w:after="60"/>
        <w:jc w:val="right"/>
        <w:bidi/>
      </w:pPr>
      <w:r>
        <w:rPr>
          <w:rFonts w:ascii="Arial" w:hAnsi="Arial"/>
          <w:b/>
          <w:color w:val="1F4D78"/>
          <w:sz w:val="19"/>
        </w:rPr>
        <w:t>هفتهٔ 355  |  صفحهٔ منبع: 371</w:t>
      </w:r>
    </w:p>
    <w:p>
      <w:pPr>
        <w:spacing w:before="60" w:after="28"/>
        <w:jc w:val="right"/>
        <w:bidi/>
      </w:pPr>
      <w:r>
        <w:rPr>
          <w:b/>
          <w:color w:val="1F4D78"/>
          <w:sz w:val="18"/>
        </w:rPr>
        <w:t>بخش 19C — آیین نامه رفتار</w:t>
      </w:r>
    </w:p>
    <w:p>
      <w:pPr>
        <w:spacing w:after="20"/>
        <w:ind w:left="259"/>
        <w:jc w:val="left"/>
      </w:pPr>
      <w:r>
        <w:rPr>
          <w:color w:val="555555"/>
          <w:sz w:val="12"/>
        </w:rPr>
        <w:t>Section 19C—Code of Conduct</w:t>
      </w:r>
    </w:p>
    <w:p>
      <w:pPr>
        <w:spacing w:before="60" w:after="28"/>
        <w:jc w:val="right"/>
        <w:bidi/>
      </w:pPr>
      <w:r>
        <w:rPr>
          <w:b/>
          <w:color w:val="1F4D78"/>
          <w:sz w:val="18"/>
        </w:rPr>
        <w:t>19.11. مسئولیت ها بر اساس آیین نامه رفتار</w:t>
      </w:r>
    </w:p>
    <w:p>
      <w:pPr>
        <w:spacing w:after="20"/>
        <w:ind w:left="259"/>
        <w:jc w:val="left"/>
      </w:pPr>
      <w:r>
        <w:rPr>
          <w:color w:val="555555"/>
          <w:sz w:val="12"/>
        </w:rPr>
        <w:t>19.11. Responsibilities under the Code of Conduct</w:t>
      </w:r>
    </w:p>
    <w:p>
      <w:pPr>
        <w:spacing w:after="20" w:line="223" w:lineRule="auto"/>
        <w:jc w:val="right"/>
        <w:bidi/>
      </w:pPr>
      <w:r>
        <w:rPr>
          <w:rFonts w:ascii="Arial" w:hAnsi="Arial"/>
          <w:sz w:val="16"/>
        </w:rPr>
        <w:t>355.03  آیین نامه رفتار یک آیین نامه اخلاقی است که برای ارائه استانداردهای رفتاری به پرسنل نظامی ایالات متحده طراحی شده است که انتظار می‌رود همه اعضا آن را مطابقت دهند.</w:t>
      </w:r>
    </w:p>
    <w:p>
      <w:pPr>
        <w:spacing w:after="28" w:line="216" w:lineRule="auto"/>
        <w:ind w:left="259"/>
        <w:jc w:val="left"/>
      </w:pPr>
      <w:r>
        <w:rPr>
          <w:rFonts w:ascii="Arial" w:hAnsi="Arial"/>
          <w:color w:val="525252"/>
          <w:sz w:val="13"/>
        </w:rPr>
        <w:t>The Code of Conduct is a moral code designed to provide U.S. military personnel with a standard of conduct that all members are expected to measure up to.</w:t>
      </w:r>
    </w:p>
    <w:p>
      <w:pPr>
        <w:spacing w:after="20" w:line="223" w:lineRule="auto"/>
        <w:jc w:val="right"/>
        <w:bidi/>
      </w:pPr>
      <w:r>
        <w:rPr>
          <w:rFonts w:ascii="Arial" w:hAnsi="Arial"/>
          <w:sz w:val="16"/>
        </w:rPr>
        <w:t>355.04  شش ماده آیین نامه رفتار برای رسیدگی به موقعیت هایی طراحی شده‌اند که هر عضوی می‌تواند تا حدی با آن مواجه شود.</w:t>
      </w:r>
    </w:p>
    <w:p>
      <w:pPr>
        <w:spacing w:after="28" w:line="216" w:lineRule="auto"/>
        <w:ind w:left="259"/>
        <w:jc w:val="left"/>
      </w:pPr>
      <w:r>
        <w:rPr>
          <w:rFonts w:ascii="Arial" w:hAnsi="Arial"/>
          <w:color w:val="525252"/>
          <w:sz w:val="13"/>
        </w:rPr>
        <w:t>The six articles of the Code of Conduct were designed to address situations that any member could encounter to some degree.</w:t>
      </w:r>
    </w:p>
    <w:p>
      <w:pPr>
        <w:spacing w:after="20" w:line="223" w:lineRule="auto"/>
        <w:jc w:val="right"/>
        <w:bidi/>
      </w:pPr>
      <w:r>
        <w:rPr>
          <w:rFonts w:ascii="Arial" w:hAnsi="Arial"/>
          <w:sz w:val="16"/>
        </w:rPr>
        <w:t>355.05  شامل اطلاعات اساسی مفید برای اسیران جنگی است تا به آنها کمک کند تا در عین مقاومت در برابر تلاش‌های اسیرکنندگان برای استثمار آنها، شرافتمندانه زنده بمانند.</w:t>
      </w:r>
    </w:p>
    <w:p>
      <w:pPr>
        <w:spacing w:after="28" w:line="216" w:lineRule="auto"/>
        <w:ind w:left="259"/>
        <w:jc w:val="left"/>
      </w:pPr>
      <w:r>
        <w:rPr>
          <w:rFonts w:ascii="Arial" w:hAnsi="Arial"/>
          <w:color w:val="525252"/>
          <w:sz w:val="13"/>
        </w:rPr>
        <w:t>It includes basic information useful to prisoners of war to help them survive honorably while resisting captors’ efforts to exploit them.</w:t>
      </w:r>
    </w:p>
    <w:p>
      <w:pPr>
        <w:spacing w:after="20" w:line="223" w:lineRule="auto"/>
        <w:jc w:val="right"/>
        <w:bidi/>
      </w:pPr>
      <w:r>
        <w:rPr>
          <w:rFonts w:ascii="Arial" w:hAnsi="Arial"/>
          <w:sz w:val="16"/>
        </w:rPr>
        <w:t>355.06  همچنین برای اعضای نیروهای مسلحی که در معرض سایر بازداشت‌های خصمانه هستند، مانند سناریوهای گروگان‌گیری نیز قابل اجرا است.</w:t>
      </w:r>
    </w:p>
    <w:p>
      <w:pPr>
        <w:spacing w:after="28" w:line="216" w:lineRule="auto"/>
        <w:ind w:left="259"/>
        <w:jc w:val="left"/>
      </w:pPr>
      <w:r>
        <w:rPr>
          <w:rFonts w:ascii="Arial" w:hAnsi="Arial"/>
          <w:color w:val="525252"/>
          <w:sz w:val="13"/>
        </w:rPr>
        <w:t>It is also applicable to service members subject to other hostile detention, such as hostage scenarios.</w:t>
      </w:r>
    </w:p>
    <w:p>
      <w:pPr>
        <w:spacing w:after="20" w:line="223" w:lineRule="auto"/>
        <w:jc w:val="right"/>
        <w:bidi/>
      </w:pPr>
      <w:r>
        <w:rPr>
          <w:rFonts w:ascii="Arial" w:hAnsi="Arial"/>
          <w:sz w:val="16"/>
        </w:rPr>
        <w:t>355.07  بقا و مقاومت در شرایط خصمانه مستلزم آگاهی و درک مواد شش گانه است.</w:t>
      </w:r>
    </w:p>
    <w:p>
      <w:pPr>
        <w:spacing w:after="28" w:line="216" w:lineRule="auto"/>
        <w:ind w:left="259"/>
        <w:jc w:val="left"/>
      </w:pPr>
      <w:r>
        <w:rPr>
          <w:rFonts w:ascii="Arial" w:hAnsi="Arial"/>
          <w:color w:val="525252"/>
          <w:sz w:val="13"/>
        </w:rPr>
        <w:t>Survival and resistance in hostile situations requires knowledge and understanding of the six articles.</w:t>
      </w:r>
    </w:p>
    <w:p>
      <w:pPr>
        <w:spacing w:after="20" w:line="223" w:lineRule="auto"/>
        <w:jc w:val="right"/>
        <w:bidi/>
      </w:pPr>
      <w:r>
        <w:rPr>
          <w:rFonts w:ascii="Arial" w:hAnsi="Arial"/>
          <w:sz w:val="16"/>
        </w:rPr>
        <w:t>355.08  نقض قوانین رفتار به خودی خود مجازات کیفری ندارد، اما اقداماتی که قوانین یکسان عدالت نظامی (UCMJ) را نیز نقض می‌کنند، ممکن است اعضا را در معرض اقدامات انضباطی قرار دهند.</w:t>
      </w:r>
    </w:p>
    <w:p>
      <w:pPr>
        <w:spacing w:after="28" w:line="216" w:lineRule="auto"/>
        <w:ind w:left="259"/>
        <w:jc w:val="left"/>
      </w:pPr>
      <w:r>
        <w:rPr>
          <w:rFonts w:ascii="Arial" w:hAnsi="Arial"/>
          <w:color w:val="525252"/>
          <w:sz w:val="13"/>
        </w:rPr>
        <w:t>Violations of the Code of Conduct are not criminally punishable per se, but actions that also violate the Uniform Code of Military Justice (UCMJ) may subject members to disciplinary action.</w:t>
      </w:r>
    </w:p>
    <w:p>
      <w:pPr>
        <w:spacing w:after="20" w:line="223" w:lineRule="auto"/>
        <w:jc w:val="right"/>
        <w:bidi/>
      </w:pPr>
      <w:r>
        <w:rPr>
          <w:rFonts w:ascii="Arial" w:hAnsi="Arial"/>
          <w:sz w:val="16"/>
        </w:rPr>
        <w:t>355.09  آموزش آیین نامه رفتار.</w:t>
      </w:r>
    </w:p>
    <w:p>
      <w:pPr>
        <w:spacing w:after="28" w:line="216" w:lineRule="auto"/>
        <w:ind w:left="259"/>
        <w:jc w:val="left"/>
      </w:pPr>
      <w:r>
        <w:rPr>
          <w:rFonts w:ascii="Arial" w:hAnsi="Arial"/>
          <w:color w:val="525252"/>
          <w:sz w:val="13"/>
        </w:rPr>
        <w:t>Code of Conduct Training.</w:t>
      </w:r>
    </w:p>
    <w:p>
      <w:pPr>
        <w:spacing w:after="20" w:line="223" w:lineRule="auto"/>
        <w:jc w:val="right"/>
        <w:bidi/>
      </w:pPr>
      <w:r>
        <w:rPr>
          <w:rFonts w:ascii="Arial" w:hAnsi="Arial"/>
          <w:sz w:val="16"/>
        </w:rPr>
        <w:t>355.10  پرسنل وزارت دفاع که اعضای نیروهای مسلح ایالات متحده را برنامه‌ریزی، برنامه‌ریزی، متعهد یا کنترل می‌کنند، باید قوانین رفتاری را کاملا درک کنند و اطمینان حاصل کنند که پرسنل آموزش و آموزش لازم برای رعایت آن را دارند.</w:t>
      </w:r>
    </w:p>
    <w:p>
      <w:pPr>
        <w:spacing w:after="28" w:line="216" w:lineRule="auto"/>
        <w:ind w:left="259"/>
        <w:jc w:val="left"/>
      </w:pPr>
      <w:r>
        <w:rPr>
          <w:rFonts w:ascii="Arial" w:hAnsi="Arial"/>
          <w:color w:val="525252"/>
          <w:sz w:val="13"/>
        </w:rPr>
        <w:t>Department of Defense personnel who plan, schedule, commit, or control members of the U.S. Armed Forces must fully understand the Code of Conduct and ensure personnel have the training and education necessary to abide by it.</w:t>
      </w:r>
    </w:p>
    <w:p>
      <w:pPr>
        <w:spacing w:after="20" w:line="223" w:lineRule="auto"/>
        <w:jc w:val="right"/>
        <w:bidi/>
      </w:pPr>
      <w:r>
        <w:rPr>
          <w:rFonts w:ascii="Arial" w:hAnsi="Arial"/>
          <w:sz w:val="16"/>
        </w:rPr>
        <w:t>355.11  سطح دانش مورد نیاز اعضا بستگی به این دارد که چقدر احتمال دارد به دست بیاورند، قرار گرفتن آنها در معرض اطلاعات حساس، و اینکه اسیرکننده چقدر آنها را مفید یا ارزشمند می‌داند. آموزش کد رفتاری</w:t>
      </w:r>
    </w:p>
    <w:p>
      <w:pPr>
        <w:spacing w:after="28" w:line="216" w:lineRule="auto"/>
        <w:ind w:left="259"/>
        <w:jc w:val="left"/>
      </w:pPr>
      <w:r>
        <w:rPr>
          <w:rFonts w:ascii="Arial" w:hAnsi="Arial"/>
          <w:color w:val="525252"/>
          <w:sz w:val="13"/>
        </w:rPr>
        <w:t>The level of knowledge members need depends on how likely they are to be captured, their exposure to sensitive information, and how useful or valuable a captor considers them to be.</w:t>
      </w:r>
    </w:p>
    <w:p>
      <w:pPr>
        <w:spacing w:after="20" w:line="223" w:lineRule="auto"/>
        <w:jc w:val="right"/>
        <w:bidi/>
      </w:pPr>
      <w:r>
        <w:rPr>
          <w:rFonts w:ascii="Arial" w:hAnsi="Arial"/>
          <w:sz w:val="16"/>
        </w:rPr>
        <w:t>355.12  در سه سطح انجام می‌شود که در اینجا به اختصار توضیح داده شده است.</w:t>
      </w:r>
    </w:p>
    <w:p>
      <w:pPr>
        <w:spacing w:after="28" w:line="216" w:lineRule="auto"/>
        <w:ind w:left="259"/>
        <w:jc w:val="left"/>
      </w:pPr>
      <w:r>
        <w:rPr>
          <w:rFonts w:ascii="Arial" w:hAnsi="Arial"/>
          <w:color w:val="525252"/>
          <w:sz w:val="13"/>
        </w:rPr>
        <w:t>Code of Conduct training is conducted at three levels, briefly described here.</w:t>
      </w:r>
    </w:p>
    <w:p>
      <w:pPr>
        <w:spacing w:after="20" w:line="223" w:lineRule="auto"/>
        <w:jc w:val="right"/>
        <w:bidi/>
      </w:pPr>
      <w:r>
        <w:rPr>
          <w:rFonts w:ascii="Arial" w:hAnsi="Arial"/>
          <w:sz w:val="16"/>
        </w:rPr>
        <w:t>355.13  سطح ا— آموزش سطح ورودی.</w:t>
      </w:r>
    </w:p>
    <w:p>
      <w:pPr>
        <w:spacing w:after="28" w:line="216" w:lineRule="auto"/>
        <w:ind w:left="259"/>
        <w:jc w:val="left"/>
      </w:pPr>
      <w:r>
        <w:rPr>
          <w:rFonts w:ascii="Arial" w:hAnsi="Arial"/>
          <w:color w:val="525252"/>
          <w:sz w:val="13"/>
        </w:rPr>
        <w:t>Level A—Entry Level Training.</w:t>
      </w:r>
    </w:p>
    <w:p>
      <w:pPr>
        <w:spacing w:after="20" w:line="223" w:lineRule="auto"/>
        <w:jc w:val="right"/>
        <w:bidi/>
      </w:pPr>
      <w:r>
        <w:rPr>
          <w:rFonts w:ascii="Arial" w:hAnsi="Arial"/>
          <w:sz w:val="16"/>
        </w:rPr>
        <w:t>355.14  آموزش سطح ا نشان دهنده حداقل سطح درک مورد نیاز برای همه اعضای نیروهای مسلح ایالات متحده است.</w:t>
      </w:r>
    </w:p>
    <w:p>
      <w:pPr>
        <w:spacing w:after="28" w:line="216" w:lineRule="auto"/>
        <w:ind w:left="259"/>
        <w:jc w:val="left"/>
      </w:pPr>
      <w:r>
        <w:rPr>
          <w:rFonts w:ascii="Arial" w:hAnsi="Arial"/>
          <w:color w:val="525252"/>
          <w:sz w:val="13"/>
        </w:rPr>
        <w:t>Level A training represents the minimum level of understanding needed for all members of the U.S. Armed Forces.</w:t>
      </w:r>
    </w:p>
    <w:p>
      <w:pPr>
        <w:spacing w:after="20" w:line="223" w:lineRule="auto"/>
        <w:jc w:val="right"/>
        <w:bidi/>
      </w:pPr>
      <w:r>
        <w:rPr>
          <w:rFonts w:ascii="Arial" w:hAnsi="Arial"/>
          <w:sz w:val="16"/>
        </w:rPr>
        <w:t>355.15  این سطح در طول آموزش ورودی به همه پرسنل داده می‌شود.</w:t>
      </w:r>
    </w:p>
    <w:p>
      <w:pPr>
        <w:spacing w:after="28" w:line="216" w:lineRule="auto"/>
        <w:ind w:left="259"/>
        <w:jc w:val="left"/>
      </w:pPr>
      <w:r>
        <w:rPr>
          <w:rFonts w:ascii="Arial" w:hAnsi="Arial"/>
          <w:color w:val="525252"/>
          <w:sz w:val="13"/>
        </w:rPr>
        <w:t>This level is imparted to all personnel during entry training.</w:t>
      </w:r>
    </w:p>
    <w:p>
      <w:pPr>
        <w:spacing w:after="20" w:line="223" w:lineRule="auto"/>
        <w:jc w:val="right"/>
        <w:bidi/>
      </w:pPr>
      <w:r>
        <w:rPr>
          <w:rFonts w:ascii="Arial" w:hAnsi="Arial"/>
          <w:sz w:val="16"/>
        </w:rPr>
        <w:t>355.16  سطح ب - آموزش پس از قبول وظیفه واجد شرایط بودن.</w:t>
      </w:r>
    </w:p>
    <w:p>
      <w:pPr>
        <w:spacing w:after="28" w:line="216" w:lineRule="auto"/>
        <w:ind w:left="259"/>
        <w:jc w:val="left"/>
      </w:pPr>
      <w:r>
        <w:rPr>
          <w:rFonts w:ascii="Arial" w:hAnsi="Arial"/>
          <w:color w:val="525252"/>
          <w:sz w:val="13"/>
        </w:rPr>
        <w:t>Level B—Training After Assumption of Duty Eligibility.</w:t>
      </w:r>
    </w:p>
    <w:p>
      <w:pPr>
        <w:spacing w:after="20" w:line="223" w:lineRule="auto"/>
        <w:jc w:val="right"/>
        <w:bidi/>
      </w:pPr>
      <w:r>
        <w:rPr>
          <w:rFonts w:ascii="Arial" w:hAnsi="Arial"/>
          <w:sz w:val="16"/>
        </w:rPr>
        <w:t>355.17  آموزش سطح ب نسخه پیشرفته آموزش از سطح ا است. این حداقل سطح درک مورد نیاز برای سربازانی است که مشاغل نظامی، تخصص‌ها یا تکالیف آنها مستلزم خطر متوسط ​​اسیر است، مانند اعضای واحدهای رزم زمینی.</w:t>
      </w:r>
    </w:p>
    <w:p>
      <w:pPr>
        <w:spacing w:after="28" w:line="216" w:lineRule="auto"/>
        <w:ind w:left="259"/>
        <w:jc w:val="left"/>
      </w:pPr>
      <w:r>
        <w:rPr>
          <w:rFonts w:ascii="Arial" w:hAnsi="Arial"/>
          <w:color w:val="525252"/>
          <w:sz w:val="13"/>
        </w:rPr>
        <w:t>Level B training is an enhanced version of training from Level A. It is the minimum level of understanding needed for service members whose military jobs, specialties, or assignments entail moderate risk of capture, such as members of ground combat units.</w:t>
      </w:r>
    </w:p>
    <w:p>
      <w:pPr>
        <w:spacing w:after="20" w:line="223" w:lineRule="auto"/>
        <w:jc w:val="right"/>
        <w:bidi/>
      </w:pPr>
      <w:r>
        <w:rPr>
          <w:rFonts w:ascii="Arial" w:hAnsi="Arial"/>
          <w:sz w:val="16"/>
        </w:rPr>
        <w:t>355.18  آموزش برای این قبیل خدمتگزاران به محض اینکه بر عهده گرفتن وظیفه آنها را واجد شرایط کند، انجام می‌شود.</w:t>
      </w:r>
    </w:p>
    <w:p>
      <w:pPr>
        <w:spacing w:after="28" w:line="216" w:lineRule="auto"/>
        <w:ind w:left="259"/>
        <w:jc w:val="left"/>
      </w:pPr>
      <w:r>
        <w:rPr>
          <w:rFonts w:ascii="Arial" w:hAnsi="Arial"/>
          <w:color w:val="525252"/>
          <w:sz w:val="13"/>
        </w:rPr>
        <w:t>Training is conducted for such service members as soon as their assumption of duty makes them eligible.</w:t>
      </w:r>
    </w:p>
    <w:p>
      <w:pPr>
        <w:spacing w:after="20" w:line="223" w:lineRule="auto"/>
        <w:jc w:val="right"/>
        <w:bidi/>
      </w:pPr>
      <w:r>
        <w:rPr>
          <w:rFonts w:ascii="Arial" w:hAnsi="Arial"/>
          <w:sz w:val="16"/>
        </w:rPr>
        <w:t>355.19  سطح ک - آموزش بر عهده گرفتن وظایف یا مسئولیت‌ها.</w:t>
      </w:r>
    </w:p>
    <w:p>
      <w:pPr>
        <w:spacing w:after="28" w:line="216" w:lineRule="auto"/>
        <w:ind w:left="259"/>
        <w:jc w:val="left"/>
      </w:pPr>
      <w:r>
        <w:rPr>
          <w:rFonts w:ascii="Arial" w:hAnsi="Arial"/>
          <w:color w:val="525252"/>
          <w:sz w:val="13"/>
        </w:rPr>
        <w:t>Level C—Training Upon Assumption of Duties or Responsibilities.</w:t>
      </w:r>
    </w:p>
    <w:p>
      <w:pPr>
        <w:spacing w:after="20" w:line="223" w:lineRule="auto"/>
        <w:jc w:val="right"/>
        <w:bidi/>
      </w:pPr>
      <w:r>
        <w:rPr>
          <w:rFonts w:ascii="Arial" w:hAnsi="Arial"/>
          <w:sz w:val="16"/>
        </w:rPr>
        <w:t>355.20  آموزش سطح ک یک نسخه پیشرفته از آموزش از سطوح ا و ب است. این حداقل سطح درک مورد نیاز برای سربازانی است که مشاغل نظامی، تخصص‌ها یا تکالیف آنها مستلزم خطر مهم یا زیاد دستگیری است و موقعیت، رتبه یا ارشدیت آنها در برابر تلاش‌های استثمارگر آنها را در برابر بیش از حد متوسط ​​آسیب‌پذیر می‌کند.</w:t>
      </w:r>
    </w:p>
    <w:p>
      <w:pPr>
        <w:spacing w:after="28" w:line="216" w:lineRule="auto"/>
        <w:ind w:left="259"/>
        <w:jc w:val="left"/>
      </w:pPr>
      <w:r>
        <w:rPr>
          <w:rFonts w:ascii="Arial" w:hAnsi="Arial"/>
          <w:color w:val="525252"/>
          <w:sz w:val="13"/>
        </w:rPr>
        <w:t>Level C training is an enhanced version of training from Levels A and B. It is the minimum level of understanding needed for military service members whose military jobs, specialties, or assignments entail significant or high risk of capture and whose position, rank, or seniority makes them vulnerable to greater-than-average exploitation efforts by a captor.</w:t>
      </w:r>
    </w:p>
    <w:p>
      <w:pPr>
        <w:spacing w:after="20" w:line="223" w:lineRule="auto"/>
        <w:jc w:val="right"/>
        <w:bidi/>
      </w:pPr>
      <w:r>
        <w:rPr>
          <w:rFonts w:ascii="Arial" w:hAnsi="Arial"/>
          <w:sz w:val="16"/>
        </w:rPr>
        <w:t>355.21  نمونه‌هایی شامل خدمه هوایی و نیروهای مأموریت ویژه، مانند تیم‌های نجات نجات است.</w:t>
      </w:r>
    </w:p>
    <w:p>
      <w:pPr>
        <w:spacing w:after="28" w:line="216" w:lineRule="auto"/>
        <w:ind w:left="259"/>
        <w:jc w:val="left"/>
      </w:pPr>
      <w:r>
        <w:rPr>
          <w:rFonts w:ascii="Arial" w:hAnsi="Arial"/>
          <w:color w:val="525252"/>
          <w:sz w:val="13"/>
        </w:rPr>
        <w:t>Examples include aircrews and special mission forces, such as pararescue teams.</w:t>
      </w:r>
    </w:p>
    <w:p>
      <w:pPr>
        <w:spacing w:after="20" w:line="223" w:lineRule="auto"/>
        <w:jc w:val="right"/>
        <w:bidi/>
      </w:pPr>
      <w:r>
        <w:rPr>
          <w:rFonts w:ascii="Arial" w:hAnsi="Arial"/>
          <w:sz w:val="16"/>
        </w:rPr>
        <w:t>355.22  آموزش برای این اعضا با قبول وظایف یا مسئولیت هایی که آنها را واجد شرایط می‌کند انجام می‌شود.</w:t>
      </w:r>
    </w:p>
    <w:p>
      <w:pPr>
        <w:spacing w:after="28" w:line="216" w:lineRule="auto"/>
        <w:ind w:left="259"/>
        <w:jc w:val="left"/>
      </w:pPr>
      <w:r>
        <w:rPr>
          <w:rFonts w:ascii="Arial" w:hAnsi="Arial"/>
          <w:color w:val="525252"/>
          <w:sz w:val="13"/>
        </w:rPr>
        <w:t>Training for these members is conducted upon their assumption of the duties or responsibilities that make them eligible.</w:t>
      </w:r>
    </w:p>
    <w:p>
      <w:pPr>
        <w:spacing w:before="60" w:after="28"/>
        <w:jc w:val="right"/>
        <w:bidi/>
      </w:pPr>
      <w:r>
        <w:rPr>
          <w:b/>
          <w:color w:val="1F4D78"/>
          <w:sz w:val="18"/>
        </w:rPr>
        <w:t>19.12. مواد آیین نامه رفتار</w:t>
      </w:r>
    </w:p>
    <w:p>
      <w:pPr>
        <w:spacing w:after="20"/>
        <w:ind w:left="259"/>
        <w:jc w:val="left"/>
      </w:pPr>
      <w:r>
        <w:rPr>
          <w:color w:val="555555"/>
          <w:sz w:val="12"/>
        </w:rPr>
        <w:t>19.12. The Articles of the Code of Conduct</w:t>
      </w:r>
    </w:p>
    <w:p>
      <w:pPr>
        <w:spacing w:after="20" w:line="223" w:lineRule="auto"/>
        <w:jc w:val="right"/>
        <w:bidi/>
      </w:pPr>
      <w:r>
        <w:rPr>
          <w:rFonts w:ascii="Arial" w:hAnsi="Arial"/>
          <w:sz w:val="16"/>
        </w:rPr>
        <w:t>355.24  رئیس جمهور دوایت دی. آیزنهاور برای اولین بار در ۱۷ اوت ۱۹۵۵ منشور رفتاری را برای اعضای نیروهای مسلح ایالات متحده منتشر کرد.</w:t>
      </w:r>
    </w:p>
    <w:p>
      <w:pPr>
        <w:spacing w:after="28" w:line="216" w:lineRule="auto"/>
        <w:ind w:left="259"/>
        <w:jc w:val="left"/>
      </w:pPr>
      <w:r>
        <w:rPr>
          <w:rFonts w:ascii="Arial" w:hAnsi="Arial"/>
          <w:color w:val="525252"/>
          <w:sz w:val="13"/>
        </w:rPr>
        <w:t>President Dwight D. Eisenhower first published the Code of Conduct for members of the U.S. Armed Forces on 17 August 1955.</w:t>
      </w:r>
    </w:p>
    <w:p>
      <w:pPr>
        <w:spacing w:after="20" w:line="223" w:lineRule="auto"/>
        <w:jc w:val="right"/>
        <w:bidi/>
      </w:pPr>
      <w:r>
        <w:rPr>
          <w:rFonts w:ascii="Arial" w:hAnsi="Arial"/>
          <w:sz w:val="16"/>
        </w:rPr>
        <w:t>355.25  در مارس ۱۹۸۸، رئیس جمهور رونالد دبلیو ریگان این کد را با زبانی بی طرف از جنسیت اصلاح کرد.</w:t>
      </w:r>
    </w:p>
    <w:p>
      <w:pPr>
        <w:spacing w:after="28" w:line="216" w:lineRule="auto"/>
        <w:ind w:left="259"/>
        <w:jc w:val="left"/>
      </w:pPr>
      <w:r>
        <w:rPr>
          <w:rFonts w:ascii="Arial" w:hAnsi="Arial"/>
          <w:color w:val="525252"/>
          <w:sz w:val="13"/>
        </w:rPr>
        <w:t>In March 1988, President Ronald W. Reagan amended the code with gender-neutral language.</w:t>
      </w:r>
    </w:p>
    <w:p>
      <w:pPr>
        <w:spacing w:after="20" w:line="223" w:lineRule="auto"/>
        <w:jc w:val="right"/>
        <w:bidi/>
      </w:pPr>
      <w:r>
        <w:rPr>
          <w:rFonts w:ascii="Arial" w:hAnsi="Arial"/>
          <w:sz w:val="16"/>
        </w:rPr>
        <w:t>355.26  شش ماده آئین نامه رفتار در زیر فهرست شده و به دنبال آن هر ماده و جنبه‌های مهم آن ماده توضیح داده شده است.</w:t>
      </w:r>
    </w:p>
    <w:p>
      <w:pPr>
        <w:spacing w:after="28" w:line="216" w:lineRule="auto"/>
        <w:ind w:left="259"/>
        <w:jc w:val="left"/>
      </w:pPr>
      <w:r>
        <w:rPr>
          <w:rFonts w:ascii="Arial" w:hAnsi="Arial"/>
          <w:color w:val="525252"/>
          <w:sz w:val="13"/>
        </w:rPr>
        <w:t>The six articles of the Code of Conduct are listed below, followed by an explanation of each article and significant aspects of that article.</w:t>
      </w:r>
    </w:p>
    <w:p>
      <w:r>
        <w:br w:type="page"/>
      </w:r>
    </w:p>
    <w:p>
      <w:pPr>
        <w:spacing w:after="60"/>
        <w:jc w:val="right"/>
        <w:bidi/>
      </w:pPr>
      <w:r>
        <w:rPr>
          <w:rFonts w:ascii="Arial" w:hAnsi="Arial"/>
          <w:b/>
          <w:color w:val="1F4D78"/>
          <w:sz w:val="19"/>
        </w:rPr>
        <w:t>هفتهٔ 356  |  صفحهٔ منبع: 372</w:t>
      </w:r>
    </w:p>
    <w:p>
      <w:pPr>
        <w:spacing w:before="60" w:after="28"/>
        <w:jc w:val="right"/>
        <w:bidi/>
      </w:pPr>
      <w:r>
        <w:rPr>
          <w:b/>
          <w:color w:val="1F4D78"/>
          <w:sz w:val="18"/>
        </w:rPr>
        <w:t>ماده اول</w:t>
      </w:r>
    </w:p>
    <w:p>
      <w:pPr>
        <w:spacing w:after="20"/>
        <w:ind w:left="259"/>
        <w:jc w:val="left"/>
      </w:pPr>
      <w:r>
        <w:rPr>
          <w:color w:val="555555"/>
          <w:sz w:val="12"/>
        </w:rPr>
        <w:t>ARTICLE I</w:t>
      </w:r>
    </w:p>
    <w:p>
      <w:pPr>
        <w:spacing w:after="20" w:line="223" w:lineRule="auto"/>
        <w:jc w:val="right"/>
        <w:bidi/>
      </w:pPr>
      <w:r>
        <w:rPr>
          <w:rFonts w:ascii="Arial" w:hAnsi="Arial"/>
          <w:sz w:val="16"/>
        </w:rPr>
        <w:t>356.02  من یک آمریکایی هستم و در نیروهایی که از کشور من و شیوه زندگی ما محافظت می‌کنند می‌جنگم.</w:t>
      </w:r>
    </w:p>
    <w:p>
      <w:pPr>
        <w:spacing w:after="28" w:line="216" w:lineRule="auto"/>
        <w:ind w:left="259"/>
        <w:jc w:val="left"/>
      </w:pPr>
      <w:r>
        <w:rPr>
          <w:rFonts w:ascii="Arial" w:hAnsi="Arial"/>
          <w:color w:val="525252"/>
          <w:sz w:val="13"/>
        </w:rPr>
        <w:t>I am an American, fighting in the forces which guard my country and our way of life.</w:t>
      </w:r>
    </w:p>
    <w:p>
      <w:pPr>
        <w:spacing w:after="20" w:line="223" w:lineRule="auto"/>
        <w:jc w:val="right"/>
        <w:bidi/>
      </w:pPr>
      <w:r>
        <w:rPr>
          <w:rFonts w:ascii="Arial" w:hAnsi="Arial"/>
          <w:sz w:val="16"/>
        </w:rPr>
        <w:t>356.03  حاضرم جانم را در دفاع از آنها بدهم.</w:t>
      </w:r>
    </w:p>
    <w:p>
      <w:pPr>
        <w:spacing w:after="28" w:line="216" w:lineRule="auto"/>
        <w:ind w:left="259"/>
        <w:jc w:val="left"/>
      </w:pPr>
      <w:r>
        <w:rPr>
          <w:rFonts w:ascii="Arial" w:hAnsi="Arial"/>
          <w:color w:val="525252"/>
          <w:sz w:val="13"/>
        </w:rPr>
        <w:t>I am prepared to give my life in their defense.</w:t>
      </w:r>
    </w:p>
    <w:p>
      <w:pPr>
        <w:spacing w:before="60" w:after="28"/>
        <w:jc w:val="right"/>
        <w:bidi/>
      </w:pPr>
      <w:r>
        <w:rPr>
          <w:b/>
          <w:color w:val="1F4D78"/>
          <w:sz w:val="18"/>
        </w:rPr>
        <w:t>ماده دوم</w:t>
      </w:r>
    </w:p>
    <w:p>
      <w:pPr>
        <w:spacing w:after="20"/>
        <w:ind w:left="259"/>
        <w:jc w:val="left"/>
      </w:pPr>
      <w:r>
        <w:rPr>
          <w:color w:val="555555"/>
          <w:sz w:val="12"/>
        </w:rPr>
        <w:t>ARTICLE II</w:t>
      </w:r>
    </w:p>
    <w:p>
      <w:pPr>
        <w:spacing w:after="20" w:line="223" w:lineRule="auto"/>
        <w:jc w:val="right"/>
        <w:bidi/>
      </w:pPr>
      <w:r>
        <w:rPr>
          <w:rFonts w:ascii="Arial" w:hAnsi="Arial"/>
          <w:sz w:val="16"/>
        </w:rPr>
        <w:t>356.05  من هرگز به میل خود تسلیم نخواهم شد.</w:t>
      </w:r>
    </w:p>
    <w:p>
      <w:pPr>
        <w:spacing w:after="28" w:line="216" w:lineRule="auto"/>
        <w:ind w:left="259"/>
        <w:jc w:val="left"/>
      </w:pPr>
      <w:r>
        <w:rPr>
          <w:rFonts w:ascii="Arial" w:hAnsi="Arial"/>
          <w:color w:val="525252"/>
          <w:sz w:val="13"/>
        </w:rPr>
        <w:t>I will never surrender of my own free will.</w:t>
      </w:r>
    </w:p>
    <w:p>
      <w:pPr>
        <w:spacing w:after="20" w:line="223" w:lineRule="auto"/>
        <w:jc w:val="right"/>
        <w:bidi/>
      </w:pPr>
      <w:r>
        <w:rPr>
          <w:rFonts w:ascii="Arial" w:hAnsi="Arial"/>
          <w:sz w:val="16"/>
        </w:rPr>
        <w:t>356.06  اگر فرماندهی کنم، هرگز اعضای فرماندهی خود را تسلیم نخواهم کرد، در حالی که آنها هنوز ابزار مقاومت را دارند.</w:t>
      </w:r>
    </w:p>
    <w:p>
      <w:pPr>
        <w:spacing w:after="28" w:line="216" w:lineRule="auto"/>
        <w:ind w:left="259"/>
        <w:jc w:val="left"/>
      </w:pPr>
      <w:r>
        <w:rPr>
          <w:rFonts w:ascii="Arial" w:hAnsi="Arial"/>
          <w:color w:val="525252"/>
          <w:sz w:val="13"/>
        </w:rPr>
        <w:t>If in command, I will never surrender the members of my command while they still have the means to resist.</w:t>
      </w:r>
    </w:p>
    <w:p>
      <w:pPr>
        <w:spacing w:before="60" w:after="28"/>
        <w:jc w:val="right"/>
        <w:bidi/>
      </w:pPr>
      <w:r>
        <w:rPr>
          <w:b/>
          <w:color w:val="1F4D78"/>
          <w:sz w:val="18"/>
        </w:rPr>
        <w:t>ماده سوم</w:t>
      </w:r>
    </w:p>
    <w:p>
      <w:pPr>
        <w:spacing w:after="20"/>
        <w:ind w:left="259"/>
        <w:jc w:val="left"/>
      </w:pPr>
      <w:r>
        <w:rPr>
          <w:color w:val="555555"/>
          <w:sz w:val="12"/>
        </w:rPr>
        <w:t>ARTICLE III</w:t>
      </w:r>
    </w:p>
    <w:p>
      <w:pPr>
        <w:spacing w:after="20" w:line="223" w:lineRule="auto"/>
        <w:jc w:val="right"/>
        <w:bidi/>
      </w:pPr>
      <w:r>
        <w:rPr>
          <w:rFonts w:ascii="Arial" w:hAnsi="Arial"/>
          <w:sz w:val="16"/>
        </w:rPr>
        <w:t>356.08  اگر اسیر شوم، با تمام امکانات به مقاومت ادامه خواهم داد.</w:t>
      </w:r>
    </w:p>
    <w:p>
      <w:pPr>
        <w:spacing w:after="28" w:line="216" w:lineRule="auto"/>
        <w:ind w:left="259"/>
        <w:jc w:val="left"/>
      </w:pPr>
      <w:r>
        <w:rPr>
          <w:rFonts w:ascii="Arial" w:hAnsi="Arial"/>
          <w:color w:val="525252"/>
          <w:sz w:val="13"/>
        </w:rPr>
        <w:t>If I am captured, I will continue to resist by all means available.</w:t>
      </w:r>
    </w:p>
    <w:p>
      <w:pPr>
        <w:spacing w:after="20" w:line="223" w:lineRule="auto"/>
        <w:jc w:val="right"/>
        <w:bidi/>
      </w:pPr>
      <w:r>
        <w:rPr>
          <w:rFonts w:ascii="Arial" w:hAnsi="Arial"/>
          <w:sz w:val="16"/>
        </w:rPr>
        <w:t>356.09  من تمام تلاش خود را برای فرار خواهم کرد و به دیگران برای فرار کمک خواهم کرد.</w:t>
      </w:r>
    </w:p>
    <w:p>
      <w:pPr>
        <w:spacing w:after="28" w:line="216" w:lineRule="auto"/>
        <w:ind w:left="259"/>
        <w:jc w:val="left"/>
      </w:pPr>
      <w:r>
        <w:rPr>
          <w:rFonts w:ascii="Arial" w:hAnsi="Arial"/>
          <w:color w:val="525252"/>
          <w:sz w:val="13"/>
        </w:rPr>
        <w:t>I will make every effort to escape and aid others to escape.</w:t>
      </w:r>
    </w:p>
    <w:p>
      <w:pPr>
        <w:spacing w:after="20" w:line="223" w:lineRule="auto"/>
        <w:jc w:val="right"/>
        <w:bidi/>
      </w:pPr>
      <w:r>
        <w:rPr>
          <w:rFonts w:ascii="Arial" w:hAnsi="Arial"/>
          <w:sz w:val="16"/>
        </w:rPr>
        <w:t>356.10  نه آزادی مشروط و نه عنایت ویژه دشمن را می‌پذیرم.</w:t>
      </w:r>
    </w:p>
    <w:p>
      <w:pPr>
        <w:spacing w:after="28" w:line="216" w:lineRule="auto"/>
        <w:ind w:left="259"/>
        <w:jc w:val="left"/>
      </w:pPr>
      <w:r>
        <w:rPr>
          <w:rFonts w:ascii="Arial" w:hAnsi="Arial"/>
          <w:color w:val="525252"/>
          <w:sz w:val="13"/>
        </w:rPr>
        <w:t>I will accept neither parole nor special favors from the enemy.</w:t>
      </w:r>
    </w:p>
    <w:p>
      <w:pPr>
        <w:spacing w:before="60" w:after="28"/>
        <w:jc w:val="right"/>
        <w:bidi/>
      </w:pPr>
      <w:r>
        <w:rPr>
          <w:b/>
          <w:color w:val="1F4D78"/>
          <w:sz w:val="18"/>
        </w:rPr>
        <w:t>ماده چهارم</w:t>
      </w:r>
    </w:p>
    <w:p>
      <w:pPr>
        <w:spacing w:after="20"/>
        <w:ind w:left="259"/>
        <w:jc w:val="left"/>
      </w:pPr>
      <w:r>
        <w:rPr>
          <w:color w:val="555555"/>
          <w:sz w:val="12"/>
        </w:rPr>
        <w:t>ARTICLE IV</w:t>
      </w:r>
    </w:p>
    <w:p>
      <w:pPr>
        <w:spacing w:after="20" w:line="223" w:lineRule="auto"/>
        <w:jc w:val="right"/>
        <w:bidi/>
      </w:pPr>
      <w:r>
        <w:rPr>
          <w:rFonts w:ascii="Arial" w:hAnsi="Arial"/>
          <w:sz w:val="16"/>
        </w:rPr>
        <w:t>356.12  اگر اسیر جنگی شوم، با هم‌اسیرانم ایمان خواهم داشت.</w:t>
      </w:r>
    </w:p>
    <w:p>
      <w:pPr>
        <w:spacing w:after="28" w:line="216" w:lineRule="auto"/>
        <w:ind w:left="259"/>
        <w:jc w:val="left"/>
      </w:pPr>
      <w:r>
        <w:rPr>
          <w:rFonts w:ascii="Arial" w:hAnsi="Arial"/>
          <w:color w:val="525252"/>
          <w:sz w:val="13"/>
        </w:rPr>
        <w:t>If I become a prisoner of war, I will keep faith with my fellow prisoners.</w:t>
      </w:r>
    </w:p>
    <w:p>
      <w:pPr>
        <w:spacing w:after="20" w:line="223" w:lineRule="auto"/>
        <w:jc w:val="right"/>
        <w:bidi/>
      </w:pPr>
      <w:r>
        <w:rPr>
          <w:rFonts w:ascii="Arial" w:hAnsi="Arial"/>
          <w:sz w:val="16"/>
        </w:rPr>
        <w:t>356.13  من هیچ اطلاعی نخواهم داد و در هیچ اقدامی که ممکن است برای رفقایم مضر باشد شرکت نخواهم کرد.</w:t>
      </w:r>
    </w:p>
    <w:p>
      <w:pPr>
        <w:spacing w:after="28" w:line="216" w:lineRule="auto"/>
        <w:ind w:left="259"/>
        <w:jc w:val="left"/>
      </w:pPr>
      <w:r>
        <w:rPr>
          <w:rFonts w:ascii="Arial" w:hAnsi="Arial"/>
          <w:color w:val="525252"/>
          <w:sz w:val="13"/>
        </w:rPr>
        <w:t>I will give no information or take part in any action which might be harmful to my comrades.</w:t>
      </w:r>
    </w:p>
    <w:p>
      <w:pPr>
        <w:spacing w:after="20" w:line="223" w:lineRule="auto"/>
        <w:jc w:val="right"/>
        <w:bidi/>
      </w:pPr>
      <w:r>
        <w:rPr>
          <w:rFonts w:ascii="Arial" w:hAnsi="Arial"/>
          <w:sz w:val="16"/>
        </w:rPr>
        <w:t>356.14  اگر ارشد باشم، فرماندهی می‌کنم.</w:t>
      </w:r>
    </w:p>
    <w:p>
      <w:pPr>
        <w:spacing w:after="28" w:line="216" w:lineRule="auto"/>
        <w:ind w:left="259"/>
        <w:jc w:val="left"/>
      </w:pPr>
      <w:r>
        <w:rPr>
          <w:rFonts w:ascii="Arial" w:hAnsi="Arial"/>
          <w:color w:val="525252"/>
          <w:sz w:val="13"/>
        </w:rPr>
        <w:t>If I am senior, I will take command.</w:t>
      </w:r>
    </w:p>
    <w:p>
      <w:pPr>
        <w:spacing w:after="20" w:line="223" w:lineRule="auto"/>
        <w:jc w:val="right"/>
        <w:bidi/>
      </w:pPr>
      <w:r>
        <w:rPr>
          <w:rFonts w:ascii="Arial" w:hAnsi="Arial"/>
          <w:sz w:val="16"/>
        </w:rPr>
        <w:t>356.15  در غیر این صورت از دستورات قانونی کسانی که بر خود منصوب شده‌اند اطاعت می‌کنم و از هر جهت از آنها حمایت می‌کنم.</w:t>
      </w:r>
    </w:p>
    <w:p>
      <w:pPr>
        <w:spacing w:after="28" w:line="216" w:lineRule="auto"/>
        <w:ind w:left="259"/>
        <w:jc w:val="left"/>
      </w:pPr>
      <w:r>
        <w:rPr>
          <w:rFonts w:ascii="Arial" w:hAnsi="Arial"/>
          <w:color w:val="525252"/>
          <w:sz w:val="13"/>
        </w:rPr>
        <w:t>If not, I will obey the lawful orders of those appointed over me and will back them up in every way.</w:t>
      </w:r>
    </w:p>
    <w:p>
      <w:pPr>
        <w:spacing w:before="60" w:after="28"/>
        <w:jc w:val="right"/>
        <w:bidi/>
      </w:pPr>
      <w:r>
        <w:rPr>
          <w:b/>
          <w:color w:val="1F4D78"/>
          <w:sz w:val="18"/>
        </w:rPr>
        <w:t>ماده پنجم</w:t>
      </w:r>
    </w:p>
    <w:p>
      <w:pPr>
        <w:spacing w:after="20"/>
        <w:ind w:left="259"/>
        <w:jc w:val="left"/>
      </w:pPr>
      <w:r>
        <w:rPr>
          <w:color w:val="555555"/>
          <w:sz w:val="12"/>
        </w:rPr>
        <w:t>ARTICLE V</w:t>
      </w:r>
    </w:p>
    <w:p>
      <w:pPr>
        <w:spacing w:after="20" w:line="223" w:lineRule="auto"/>
        <w:jc w:val="right"/>
        <w:bidi/>
      </w:pPr>
      <w:r>
        <w:rPr>
          <w:rFonts w:ascii="Arial" w:hAnsi="Arial"/>
          <w:sz w:val="16"/>
        </w:rPr>
        <w:t>356.17  وقتی از من سوال می‌شود که آیا اسیر جنگی شوم، باید نام، رتبه، شماره خدمت و تاریخ تولد را ذکر کنم.</w:t>
      </w:r>
    </w:p>
    <w:p>
      <w:pPr>
        <w:spacing w:after="28" w:line="216" w:lineRule="auto"/>
        <w:ind w:left="259"/>
        <w:jc w:val="left"/>
      </w:pPr>
      <w:r>
        <w:rPr>
          <w:rFonts w:ascii="Arial" w:hAnsi="Arial"/>
          <w:color w:val="525252"/>
          <w:sz w:val="13"/>
        </w:rPr>
        <w:t>When questioned, should I become a prisoner of war, I am required to give name, rank, service number, and date of birth.</w:t>
      </w:r>
    </w:p>
    <w:p>
      <w:pPr>
        <w:spacing w:after="20" w:line="223" w:lineRule="auto"/>
        <w:jc w:val="right"/>
        <w:bidi/>
      </w:pPr>
      <w:r>
        <w:rPr>
          <w:rFonts w:ascii="Arial" w:hAnsi="Arial"/>
          <w:sz w:val="16"/>
        </w:rPr>
        <w:t>356.18  تا حد توانم از پاسخ دادن به سوالات بیشتر طفره میروم.</w:t>
      </w:r>
    </w:p>
    <w:p>
      <w:pPr>
        <w:spacing w:after="28" w:line="216" w:lineRule="auto"/>
        <w:ind w:left="259"/>
        <w:jc w:val="left"/>
      </w:pPr>
      <w:r>
        <w:rPr>
          <w:rFonts w:ascii="Arial" w:hAnsi="Arial"/>
          <w:color w:val="525252"/>
          <w:sz w:val="13"/>
        </w:rPr>
        <w:t>I will evade answering further questions to the utmost of my ability.</w:t>
      </w:r>
    </w:p>
    <w:p>
      <w:pPr>
        <w:spacing w:after="20" w:line="223" w:lineRule="auto"/>
        <w:jc w:val="right"/>
        <w:bidi/>
      </w:pPr>
      <w:r>
        <w:rPr>
          <w:rFonts w:ascii="Arial" w:hAnsi="Arial"/>
          <w:sz w:val="16"/>
        </w:rPr>
        <w:t>356.19  من هیچ اظهارات شفاهی یا کتبی غیر وفاداری به کشورم و متحدانش یا مضر به آرمان آنها را نخواهم داد.</w:t>
      </w:r>
    </w:p>
    <w:p>
      <w:pPr>
        <w:spacing w:after="28" w:line="216" w:lineRule="auto"/>
        <w:ind w:left="259"/>
        <w:jc w:val="left"/>
      </w:pPr>
      <w:r>
        <w:rPr>
          <w:rFonts w:ascii="Arial" w:hAnsi="Arial"/>
          <w:color w:val="525252"/>
          <w:sz w:val="13"/>
        </w:rPr>
        <w:t>I will make no oral or written statements disloyal to my country and its allies or harmful to their cause.</w:t>
      </w:r>
    </w:p>
    <w:p>
      <w:pPr>
        <w:spacing w:before="60" w:after="28"/>
        <w:jc w:val="right"/>
        <w:bidi/>
      </w:pPr>
      <w:r>
        <w:rPr>
          <w:b/>
          <w:color w:val="1F4D78"/>
          <w:sz w:val="18"/>
        </w:rPr>
        <w:t>ماده ششم</w:t>
      </w:r>
    </w:p>
    <w:p>
      <w:pPr>
        <w:spacing w:after="20"/>
        <w:ind w:left="259"/>
        <w:jc w:val="left"/>
      </w:pPr>
      <w:r>
        <w:rPr>
          <w:color w:val="555555"/>
          <w:sz w:val="12"/>
        </w:rPr>
        <w:t>ARTICLE VI</w:t>
      </w:r>
    </w:p>
    <w:p>
      <w:pPr>
        <w:spacing w:after="20" w:line="223" w:lineRule="auto"/>
        <w:jc w:val="right"/>
        <w:bidi/>
      </w:pPr>
      <w:r>
        <w:rPr>
          <w:rFonts w:ascii="Arial" w:hAnsi="Arial"/>
          <w:sz w:val="16"/>
        </w:rPr>
        <w:t>356.21  هرگز فراموش نمی‌کنم که من یک آمریکایی هستم، برای آزادی می‌جنگم، مسئول اعمالم هستم و به اصولی که کشورم را آزاد کرده‌اند، پایبندم.</w:t>
      </w:r>
    </w:p>
    <w:p>
      <w:pPr>
        <w:spacing w:after="28" w:line="216" w:lineRule="auto"/>
        <w:ind w:left="259"/>
        <w:jc w:val="left"/>
      </w:pPr>
      <w:r>
        <w:rPr>
          <w:rFonts w:ascii="Arial" w:hAnsi="Arial"/>
          <w:color w:val="525252"/>
          <w:sz w:val="13"/>
        </w:rPr>
        <w:t>I will never forget that I am an American, fighting for freedom, responsible for my actions, and dedicated to the principles which made my country free.</w:t>
      </w:r>
    </w:p>
    <w:p>
      <w:pPr>
        <w:spacing w:after="20" w:line="223" w:lineRule="auto"/>
        <w:jc w:val="right"/>
        <w:bidi/>
      </w:pPr>
      <w:r>
        <w:rPr>
          <w:rFonts w:ascii="Arial" w:hAnsi="Arial"/>
          <w:sz w:val="16"/>
        </w:rPr>
        <w:t>356.22  به خدای خود و به ایالات متحده آمریکا اعتماد خواهم کرد.</w:t>
      </w:r>
    </w:p>
    <w:p>
      <w:pPr>
        <w:spacing w:after="28" w:line="216" w:lineRule="auto"/>
        <w:ind w:left="259"/>
        <w:jc w:val="left"/>
      </w:pPr>
      <w:r>
        <w:rPr>
          <w:rFonts w:ascii="Arial" w:hAnsi="Arial"/>
          <w:color w:val="525252"/>
          <w:sz w:val="13"/>
        </w:rPr>
        <w:t>I will trust in my God and in the United States of America.</w:t>
      </w:r>
    </w:p>
    <w:p>
      <w:pPr>
        <w:spacing w:after="20" w:line="223" w:lineRule="auto"/>
        <w:jc w:val="right"/>
        <w:bidi/>
      </w:pPr>
      <w:r>
        <w:rPr>
          <w:rFonts w:ascii="Arial" w:hAnsi="Arial"/>
          <w:sz w:val="16"/>
        </w:rPr>
        <w:t>356.23  ماده اول. ماده اول در همه زمان‌ها برای همه اعضا اعمال می‌شود.</w:t>
      </w:r>
    </w:p>
    <w:p>
      <w:pPr>
        <w:spacing w:after="28" w:line="216" w:lineRule="auto"/>
        <w:ind w:left="259"/>
        <w:jc w:val="left"/>
      </w:pPr>
      <w:r>
        <w:rPr>
          <w:rFonts w:ascii="Arial" w:hAnsi="Arial"/>
          <w:color w:val="525252"/>
          <w:sz w:val="13"/>
        </w:rPr>
        <w:t>ARTICLE I. Article I applies to all members at all times.</w:t>
      </w:r>
    </w:p>
    <w:p>
      <w:pPr>
        <w:spacing w:after="20" w:line="223" w:lineRule="auto"/>
        <w:jc w:val="right"/>
        <w:bidi/>
      </w:pPr>
      <w:r>
        <w:rPr>
          <w:rFonts w:ascii="Arial" w:hAnsi="Arial"/>
          <w:sz w:val="16"/>
        </w:rPr>
        <w:t>356.24  یکی از اعضای نیروهای مسلح ایالات متحده وظیفه دارد از منافع ایالات متحده حمایت کند و با دشمنان ایالات متحده بدون توجه به شرایط، چه در جنگ فعال یا در اسارت، مخالفت کند.</w:t>
      </w:r>
    </w:p>
    <w:p>
      <w:pPr>
        <w:spacing w:after="28" w:line="216" w:lineRule="auto"/>
        <w:ind w:left="259"/>
        <w:jc w:val="left"/>
      </w:pPr>
      <w:r>
        <w:rPr>
          <w:rFonts w:ascii="Arial" w:hAnsi="Arial"/>
          <w:color w:val="525252"/>
          <w:sz w:val="13"/>
        </w:rPr>
        <w:t>A member of the U.S. Armed Forces has a duty to support U.S. interests and oppose U.S. enemies regardless of the circumstances, whether in active combat or captivity.</w:t>
      </w:r>
    </w:p>
    <w:p>
      <w:pPr>
        <w:spacing w:after="20" w:line="223" w:lineRule="auto"/>
        <w:jc w:val="right"/>
        <w:bidi/>
      </w:pPr>
      <w:r>
        <w:rPr>
          <w:rFonts w:ascii="Arial" w:hAnsi="Arial"/>
          <w:sz w:val="16"/>
        </w:rPr>
        <w:t>356.25  تجربیات گذشته آمریکایی‌های اسیر شده نشان می‌دهد که بقای شرافتمندانه در اسارت مستلزم درجه بالایی از فداکاری و انگیزه است.</w:t>
      </w:r>
    </w:p>
    <w:p>
      <w:pPr>
        <w:spacing w:after="28" w:line="216" w:lineRule="auto"/>
        <w:ind w:left="259"/>
        <w:jc w:val="left"/>
      </w:pPr>
      <w:r>
        <w:rPr>
          <w:rFonts w:ascii="Arial" w:hAnsi="Arial"/>
          <w:color w:val="525252"/>
          <w:sz w:val="13"/>
        </w:rPr>
        <w:t>Past experiences of captured Americans reveals that honorable survival in captivity requires a high degree of dedication and motivation.</w:t>
      </w:r>
    </w:p>
    <w:p>
      <w:pPr>
        <w:spacing w:after="20" w:line="223" w:lineRule="auto"/>
        <w:jc w:val="right"/>
        <w:bidi/>
      </w:pPr>
      <w:r>
        <w:rPr>
          <w:rFonts w:ascii="Arial" w:hAnsi="Arial"/>
          <w:sz w:val="16"/>
        </w:rPr>
        <w:t>356.26  حفظ این ویژگی‌ها مستلزم دانش و اعتقاد قوی به مزایای نهادها و مفاهیم دموکراتیک آمریکایی است.</w:t>
      </w:r>
    </w:p>
    <w:p>
      <w:pPr>
        <w:spacing w:after="28" w:line="216" w:lineRule="auto"/>
        <w:ind w:left="259"/>
        <w:jc w:val="left"/>
      </w:pPr>
      <w:r>
        <w:rPr>
          <w:rFonts w:ascii="Arial" w:hAnsi="Arial"/>
          <w:color w:val="525252"/>
          <w:sz w:val="13"/>
        </w:rPr>
        <w:t>Maintaining these qualities requires knowledge of and a strong belief in the advantages of American democratic institutions and concepts.</w:t>
      </w:r>
    </w:p>
    <w:p>
      <w:pPr>
        <w:spacing w:after="20" w:line="223" w:lineRule="auto"/>
        <w:jc w:val="right"/>
        <w:bidi/>
      </w:pPr>
      <w:r>
        <w:rPr>
          <w:rFonts w:ascii="Arial" w:hAnsi="Arial"/>
          <w:sz w:val="16"/>
        </w:rPr>
        <w:t>356.27  حفظ این ویژگی‌ها همچنین مستلزم عشق و ایمان به ایالات متحده و اعتقاد به اینکه آرمان ایالات متحده عادلانه است.</w:t>
      </w:r>
    </w:p>
    <w:p>
      <w:pPr>
        <w:spacing w:after="28" w:line="216" w:lineRule="auto"/>
        <w:ind w:left="259"/>
        <w:jc w:val="left"/>
      </w:pPr>
      <w:r>
        <w:rPr>
          <w:rFonts w:ascii="Arial" w:hAnsi="Arial"/>
          <w:color w:val="525252"/>
          <w:sz w:val="13"/>
        </w:rPr>
        <w:t>Maintaining these qualities also requires a love of and faith in the United States and a conviction that the United States’ cause is just.</w:t>
      </w:r>
    </w:p>
    <w:p>
      <w:pPr>
        <w:spacing w:after="20" w:line="223" w:lineRule="auto"/>
        <w:jc w:val="right"/>
        <w:bidi/>
      </w:pPr>
      <w:r>
        <w:rPr>
          <w:rFonts w:ascii="Arial" w:hAnsi="Arial"/>
          <w:sz w:val="16"/>
        </w:rPr>
        <w:t>356.28  بقای شرافتمندانه در اسارت در گرو ایمان و وفاداری به سایر اسیران جنگی است.</w:t>
      </w:r>
    </w:p>
    <w:p>
      <w:pPr>
        <w:spacing w:after="28" w:line="216" w:lineRule="auto"/>
        <w:ind w:left="259"/>
        <w:jc w:val="left"/>
      </w:pPr>
      <w:r>
        <w:rPr>
          <w:rFonts w:ascii="Arial" w:hAnsi="Arial"/>
          <w:color w:val="525252"/>
          <w:sz w:val="13"/>
        </w:rPr>
        <w:t>Honorable survival in captivity depends on faith in, and loyalty to, fellow prisoners of war.</w:t>
      </w:r>
    </w:p>
    <w:p>
      <w:pPr>
        <w:spacing w:after="20" w:line="223" w:lineRule="auto"/>
        <w:jc w:val="right"/>
        <w:bidi/>
      </w:pPr>
      <w:r>
        <w:rPr>
          <w:rFonts w:ascii="Arial" w:hAnsi="Arial"/>
          <w:sz w:val="16"/>
        </w:rPr>
        <w:t>356.29  توجه: داشتن فداکاری و انگیزه ناشی از چنین اعتقادات و اعتمادی ممکن است به اسیران جنگی کمک کند تا در دوره‌های طولانی و پر استرس اسارت زنده بمانند و به بسیاری کمک کرده است که با عزت و عزت نفس سالم به کشور و خانواده خود بازگردند.</w:t>
      </w:r>
    </w:p>
    <w:p>
      <w:pPr>
        <w:spacing w:after="28" w:line="216" w:lineRule="auto"/>
        <w:ind w:left="259"/>
        <w:jc w:val="left"/>
      </w:pPr>
      <w:r>
        <w:rPr>
          <w:rFonts w:ascii="Arial" w:hAnsi="Arial"/>
          <w:color w:val="525252"/>
          <w:sz w:val="13"/>
        </w:rPr>
        <w:t>Note: Possessing the dedication and motivation fostered by such beliefs and trust may help prisoners of war survive long, stressful periods of captivity, and has helped many return to their country and families with their honor and self-esteem intact.</w:t>
      </w:r>
    </w:p>
    <w:p>
      <w:r>
        <w:br w:type="page"/>
      </w:r>
    </w:p>
    <w:p>
      <w:pPr>
        <w:spacing w:after="60"/>
        <w:jc w:val="right"/>
        <w:bidi/>
      </w:pPr>
      <w:r>
        <w:rPr>
          <w:rFonts w:ascii="Arial" w:hAnsi="Arial"/>
          <w:b/>
          <w:color w:val="1F4D78"/>
          <w:sz w:val="19"/>
        </w:rPr>
        <w:t>هفتهٔ 357  |  صفحهٔ منبع: 373</w:t>
      </w:r>
    </w:p>
    <w:p>
      <w:pPr>
        <w:spacing w:before="60" w:after="28"/>
        <w:jc w:val="right"/>
        <w:bidi/>
      </w:pPr>
      <w:r>
        <w:rPr>
          <w:b/>
          <w:color w:val="1F4D78"/>
          <w:sz w:val="18"/>
        </w:rPr>
        <w:t>ماده دوم.</w:t>
      </w:r>
    </w:p>
    <w:p>
      <w:pPr>
        <w:spacing w:after="20"/>
        <w:ind w:left="259"/>
        <w:jc w:val="left"/>
      </w:pPr>
      <w:r>
        <w:rPr>
          <w:color w:val="555555"/>
          <w:sz w:val="12"/>
        </w:rPr>
        <w:t>ARTICLE II.</w:t>
      </w:r>
    </w:p>
    <w:p>
      <w:pPr>
        <w:spacing w:after="20" w:line="223" w:lineRule="auto"/>
        <w:jc w:val="right"/>
        <w:bidi/>
      </w:pPr>
      <w:r>
        <w:rPr>
          <w:rFonts w:ascii="Arial" w:hAnsi="Arial"/>
          <w:sz w:val="16"/>
        </w:rPr>
        <w:t>357.02  اعضای نیروهای مسلح ایالات متحده ممکن است هرگز داوطلبانه تسلیم نشوند.</w:t>
      </w:r>
    </w:p>
    <w:p>
      <w:pPr>
        <w:spacing w:after="28" w:line="216" w:lineRule="auto"/>
        <w:ind w:left="259"/>
        <w:jc w:val="left"/>
      </w:pPr>
      <w:r>
        <w:rPr>
          <w:rFonts w:ascii="Arial" w:hAnsi="Arial"/>
          <w:color w:val="525252"/>
          <w:sz w:val="13"/>
        </w:rPr>
        <w:t>Members of the U.S. Armed Forces may never surrender voluntarily.</w:t>
      </w:r>
    </w:p>
    <w:p>
      <w:pPr>
        <w:spacing w:after="20" w:line="223" w:lineRule="auto"/>
        <w:jc w:val="right"/>
        <w:bidi/>
      </w:pPr>
      <w:r>
        <w:rPr>
          <w:rFonts w:ascii="Arial" w:hAnsi="Arial"/>
          <w:sz w:val="16"/>
        </w:rPr>
        <w:t>357.03  حتی زمانی که منزوی هستند و دیگر قادر به وارد کردن تلفات به دشمن یا دفاع از خود نیستند، وظیفه آنها فرار از دستگیری و پیوستن مجدد به نزدیکترین نیروی دوست است.</w:t>
      </w:r>
    </w:p>
    <w:p>
      <w:pPr>
        <w:spacing w:after="28" w:line="216" w:lineRule="auto"/>
        <w:ind w:left="259"/>
        <w:jc w:val="left"/>
      </w:pPr>
      <w:r>
        <w:rPr>
          <w:rFonts w:ascii="Arial" w:hAnsi="Arial"/>
          <w:color w:val="525252"/>
          <w:sz w:val="13"/>
        </w:rPr>
        <w:t>Even when isolated and no longer able to inflict casualties on the enemy or otherwise defend themselves, their duty is to evade capture and rejoin the nearest friendly force.</w:t>
      </w:r>
    </w:p>
    <w:p>
      <w:pPr>
        <w:spacing w:after="20" w:line="223" w:lineRule="auto"/>
        <w:jc w:val="right"/>
        <w:bidi/>
      </w:pPr>
      <w:r>
        <w:rPr>
          <w:rFonts w:ascii="Arial" w:hAnsi="Arial"/>
          <w:sz w:val="16"/>
        </w:rPr>
        <w:t>357.04  تسلیم عمل عمدی تسلیم شدن خود در برابر دشمن است.</w:t>
      </w:r>
    </w:p>
    <w:p>
      <w:pPr>
        <w:spacing w:after="28" w:line="216" w:lineRule="auto"/>
        <w:ind w:left="259"/>
        <w:jc w:val="left"/>
      </w:pPr>
      <w:r>
        <w:rPr>
          <w:rFonts w:ascii="Arial" w:hAnsi="Arial"/>
          <w:color w:val="525252"/>
          <w:sz w:val="13"/>
        </w:rPr>
        <w:t>Surrender is the willful act of giving oneself up to the enemy.</w:t>
      </w:r>
    </w:p>
    <w:p>
      <w:pPr>
        <w:spacing w:after="20" w:line="223" w:lineRule="auto"/>
        <w:jc w:val="right"/>
        <w:bidi/>
      </w:pPr>
      <w:r>
        <w:rPr>
          <w:rFonts w:ascii="Arial" w:hAnsi="Arial"/>
          <w:sz w:val="16"/>
        </w:rPr>
        <w:t>357.05  در مقابل، دستگیری زمانی اتفاق می‌افتد که یک عضو ابزاری برای مقاومت نداشته باشد، فرار غیرممکن است و جنگ بیشتر منجر به مرگ عضو ایالات متحده بدون ضرر قابل توجهی برای دشمن می‌شود.</w:t>
      </w:r>
    </w:p>
    <w:p>
      <w:pPr>
        <w:spacing w:after="28" w:line="216" w:lineRule="auto"/>
        <w:ind w:left="259"/>
        <w:jc w:val="left"/>
      </w:pPr>
      <w:r>
        <w:rPr>
          <w:rFonts w:ascii="Arial" w:hAnsi="Arial"/>
          <w:color w:val="525252"/>
          <w:sz w:val="13"/>
        </w:rPr>
        <w:t>In contrast, capture occurs when a member has no means to resist, evasion is impossible, and further fighting would lead to death of the U.S. member with no significant loss to the enemy.</w:t>
      </w:r>
    </w:p>
    <w:p>
      <w:pPr>
        <w:spacing w:after="20" w:line="223" w:lineRule="auto"/>
        <w:jc w:val="right"/>
        <w:bidi/>
      </w:pPr>
      <w:r>
        <w:rPr>
          <w:rFonts w:ascii="Arial" w:hAnsi="Arial"/>
          <w:sz w:val="16"/>
        </w:rPr>
        <w:t>357.06  تسخیر دیکته شده توسط قدرت طاقت فرسا دشمن و بیهوده بودن جنگ، مایه شرف نیست.</w:t>
      </w:r>
    </w:p>
    <w:p>
      <w:pPr>
        <w:spacing w:after="28" w:line="216" w:lineRule="auto"/>
        <w:ind w:left="259"/>
        <w:jc w:val="left"/>
      </w:pPr>
      <w:r>
        <w:rPr>
          <w:rFonts w:ascii="Arial" w:hAnsi="Arial"/>
          <w:color w:val="525252"/>
          <w:sz w:val="13"/>
        </w:rPr>
        <w:t>Capture dictated by overwhelming enemy strength and the futility of fighting is not dishonorable.</w:t>
      </w:r>
    </w:p>
    <w:p>
      <w:pPr>
        <w:spacing w:after="20" w:line="223" w:lineRule="auto"/>
        <w:jc w:val="right"/>
        <w:bidi/>
      </w:pPr>
      <w:r>
        <w:rPr>
          <w:rFonts w:ascii="Arial" w:hAnsi="Arial"/>
          <w:sz w:val="16"/>
        </w:rPr>
        <w:t>357.07  اعضای سرویس باید روش‌ها و تکنیک‌های نجات نیروهای جستجو و بازیابی و روش‌های مناسب مقصد فرار را درک کرده و به آن اعتماد داشته باشند.</w:t>
      </w:r>
    </w:p>
    <w:p>
      <w:pPr>
        <w:spacing w:after="28" w:line="216" w:lineRule="auto"/>
        <w:ind w:left="259"/>
        <w:jc w:val="left"/>
      </w:pPr>
      <w:r>
        <w:rPr>
          <w:rFonts w:ascii="Arial" w:hAnsi="Arial"/>
          <w:color w:val="525252"/>
          <w:sz w:val="13"/>
        </w:rPr>
        <w:t>Service members must understand and have confidence in search and recovery forces rescue procedures and techniques, and proper evasion destination procedures.</w:t>
      </w:r>
    </w:p>
    <w:p>
      <w:pPr>
        <w:spacing w:after="20" w:line="223" w:lineRule="auto"/>
        <w:jc w:val="right"/>
        <w:bidi/>
      </w:pPr>
      <w:r>
        <w:rPr>
          <w:rFonts w:ascii="Arial" w:hAnsi="Arial"/>
          <w:sz w:val="16"/>
        </w:rPr>
        <w:t>357.08  توجه: بر اساس UCMJ، یک فرمانده آمریکایی که با شرمساری به دشمن تسلیم شود، هر فرماندهی یا مکانی که وظیفه دفاع از او باشد، مشمول مجازات است.</w:t>
      </w:r>
    </w:p>
    <w:p>
      <w:pPr>
        <w:spacing w:after="28" w:line="216" w:lineRule="auto"/>
        <w:ind w:left="259"/>
        <w:jc w:val="left"/>
      </w:pPr>
      <w:r>
        <w:rPr>
          <w:rFonts w:ascii="Arial" w:hAnsi="Arial"/>
          <w:color w:val="525252"/>
          <w:sz w:val="13"/>
        </w:rPr>
        <w:t>Note: Under the UCMJ, a U.S. commander who shamefully surrenders to the enemy, any command or place that is his or her duty to defend, is subject to punishment.</w:t>
      </w:r>
    </w:p>
    <w:p>
      <w:pPr>
        <w:spacing w:after="20" w:line="223" w:lineRule="auto"/>
        <w:jc w:val="right"/>
        <w:bidi/>
      </w:pPr>
      <w:r>
        <w:rPr>
          <w:rFonts w:ascii="Arial" w:hAnsi="Arial"/>
          <w:sz w:val="16"/>
        </w:rPr>
        <w:t>357.09  به‌علاوه، هر شخص مشمول UCMJ که فرمانده هر مکان، شناور، هواپیما، یا سایر اموال نظامی یا هر یک از اعضای نیروهای مسلح را مجبور کند یا بخواهد آن را به تسلیم دشمن یا ترک آن وادار کند یا بدون داشتن اختیار مناسب، رنگ یا پرچم را به دشمن بزند، مشمول مجازات می‌شود.</w:t>
      </w:r>
    </w:p>
    <w:p>
      <w:pPr>
        <w:spacing w:after="28" w:line="216" w:lineRule="auto"/>
        <w:ind w:left="259"/>
        <w:jc w:val="left"/>
      </w:pPr>
      <w:r>
        <w:rPr>
          <w:rFonts w:ascii="Arial" w:hAnsi="Arial"/>
          <w:color w:val="525252"/>
          <w:sz w:val="13"/>
        </w:rPr>
        <w:t>In addition, any person subject to the UCMJ who compels or attempts to compel a commander of any place, vessel, aircraft, or other military property, or of any body of members of the Armed Forces, to give it up to an enemy or to abandon it, or who strikes the colors or flag to an enemy without proper authority, is subject to punishment.</w:t>
      </w:r>
    </w:p>
    <w:p>
      <w:pPr>
        <w:spacing w:before="60" w:after="28"/>
        <w:jc w:val="right"/>
        <w:bidi/>
      </w:pPr>
      <w:r>
        <w:rPr>
          <w:b/>
          <w:color w:val="1F4D78"/>
          <w:sz w:val="18"/>
        </w:rPr>
        <w:t>ماده سوم.</w:t>
      </w:r>
    </w:p>
    <w:p>
      <w:pPr>
        <w:spacing w:after="20"/>
        <w:ind w:left="259"/>
        <w:jc w:val="left"/>
      </w:pPr>
      <w:r>
        <w:rPr>
          <w:color w:val="555555"/>
          <w:sz w:val="12"/>
        </w:rPr>
        <w:t>ARTICLE III.</w:t>
      </w:r>
    </w:p>
    <w:p>
      <w:pPr>
        <w:spacing w:after="20" w:line="223" w:lineRule="auto"/>
        <w:jc w:val="right"/>
        <w:bidi/>
      </w:pPr>
      <w:r>
        <w:rPr>
          <w:rFonts w:ascii="Arial" w:hAnsi="Arial"/>
          <w:sz w:val="16"/>
        </w:rPr>
        <w:t>357.11  وظیفه یک عضو نیروهای مسلح ایالات متحده برای ادامه مقاومت در برابر استثمار دشمن با تمام ابزارهای موجود، با بدبختی دستگیری کاهش نمی‌یابد.</w:t>
      </w:r>
    </w:p>
    <w:p>
      <w:pPr>
        <w:spacing w:after="28" w:line="216" w:lineRule="auto"/>
        <w:ind w:left="259"/>
        <w:jc w:val="left"/>
      </w:pPr>
      <w:r>
        <w:rPr>
          <w:rFonts w:ascii="Arial" w:hAnsi="Arial"/>
          <w:color w:val="525252"/>
          <w:sz w:val="13"/>
        </w:rPr>
        <w:t>A U.S. Armed Forces member’s duty to continue to resist enemy exploitation by all means available is not lessened by the misfortune of capture.</w:t>
      </w:r>
    </w:p>
    <w:p>
      <w:pPr>
        <w:spacing w:after="20" w:line="223" w:lineRule="auto"/>
        <w:jc w:val="right"/>
        <w:bidi/>
      </w:pPr>
      <w:r>
        <w:rPr>
          <w:rFonts w:ascii="Arial" w:hAnsi="Arial"/>
          <w:sz w:val="16"/>
        </w:rPr>
        <w:t>357.12  بر خلاف کنوانسیون ۱۹۴۹ ژنو، دشمنانی که نیروهای ایالات متحده از سال ۱۹۴۹ با آنها درگیر شده‌اند، اسیران جنگی را به‌عنوان یک گسترش میدان نبرد تلقی می‌کنند.</w:t>
      </w:r>
    </w:p>
    <w:p>
      <w:pPr>
        <w:spacing w:after="28" w:line="216" w:lineRule="auto"/>
        <w:ind w:left="259"/>
        <w:jc w:val="left"/>
      </w:pPr>
      <w:r>
        <w:rPr>
          <w:rFonts w:ascii="Arial" w:hAnsi="Arial"/>
          <w:color w:val="525252"/>
          <w:sz w:val="13"/>
        </w:rPr>
        <w:t>Contrary to the 1949 Geneva Conventions, enemies that United States forces have engaged since 1949 have treated the prisoner of war compound as an extension of the battlefield.</w:t>
      </w:r>
    </w:p>
    <w:p>
      <w:pPr>
        <w:spacing w:after="20" w:line="223" w:lineRule="auto"/>
        <w:jc w:val="right"/>
        <w:bidi/>
      </w:pPr>
      <w:r>
        <w:rPr>
          <w:rFonts w:ascii="Arial" w:hAnsi="Arial"/>
          <w:sz w:val="16"/>
        </w:rPr>
        <w:t>357.13  اسیر جنگی باید برای این کار آماده باشد.</w:t>
      </w:r>
    </w:p>
    <w:p>
      <w:pPr>
        <w:spacing w:after="28" w:line="216" w:lineRule="auto"/>
        <w:ind w:left="259"/>
        <w:jc w:val="left"/>
      </w:pPr>
      <w:r>
        <w:rPr>
          <w:rFonts w:ascii="Arial" w:hAnsi="Arial"/>
          <w:color w:val="525252"/>
          <w:sz w:val="13"/>
        </w:rPr>
        <w:t>The prisoner of war must be prepared for this.</w:t>
      </w:r>
    </w:p>
    <w:p>
      <w:pPr>
        <w:spacing w:after="20" w:line="223" w:lineRule="auto"/>
        <w:jc w:val="right"/>
        <w:bidi/>
      </w:pPr>
      <w:r>
        <w:rPr>
          <w:rFonts w:ascii="Arial" w:hAnsi="Arial"/>
          <w:sz w:val="16"/>
        </w:rPr>
        <w:t>357.14  دشمنان علیرغم ممنوعیت‌های کنوانسیون ژنو، از تاکتیک‌های مختلفی برای بهره‌برداری از اسیران جنگی برای اهداف تبلیغاتی یا کسب اطلاعات نظامی استفاده کرده‌اند. آزار و اذیت جسمی و روحی، بدرفتاری عمومی، شکنجه، بی‌توجهی به پزشکی و تلقینات سیاسی همگی استفاده شده‌اند و دشمن سعی کرده اسیران جنگی را وسوسه کند که در ازای اظهارات یا اطلاعات و یا تعهد اسیران جنگی مبنی بر عدم اقدام به فرار، امتیازات یا امتیازات ویژه را بپذیرند.</w:t>
      </w:r>
    </w:p>
    <w:p>
      <w:pPr>
        <w:spacing w:after="28" w:line="216" w:lineRule="auto"/>
        <w:ind w:left="259"/>
        <w:jc w:val="left"/>
      </w:pPr>
      <w:r>
        <w:rPr>
          <w:rFonts w:ascii="Arial" w:hAnsi="Arial"/>
          <w:color w:val="525252"/>
          <w:sz w:val="13"/>
        </w:rPr>
        <w:t>Enemies have used a variety of tactics to exploit prisoners of war for propaganda purposes or to obtain military information, in spite of Geneva Conventions prohibitions.</w:t>
      </w:r>
    </w:p>
    <w:p>
      <w:pPr>
        <w:spacing w:after="20" w:line="223" w:lineRule="auto"/>
        <w:jc w:val="right"/>
        <w:bidi/>
      </w:pPr>
      <w:r>
        <w:rPr>
          <w:rFonts w:ascii="Arial" w:hAnsi="Arial"/>
          <w:sz w:val="16"/>
        </w:rPr>
        <w:t>357.15  آزار و اذیت جسمی و روحی، بدرفتاری عمومی، شکنجه، بی‌توجهی به پزشکی و تلقین‌های سیاسی همگی استفاده شده‌اند و دشمن سعی کرده اسیران جنگی را وسوسه کند که در ازای اظهارات یا اطلاعات یا تعهد اسیران جنگی مبنی بر عدم اقدام به فرار، امتیازات یا امتیازات ویژه را بپذیرند.</w:t>
      </w:r>
    </w:p>
    <w:p>
      <w:pPr>
        <w:spacing w:after="28" w:line="216" w:lineRule="auto"/>
        <w:ind w:left="259"/>
        <w:jc w:val="left"/>
      </w:pPr>
      <w:r>
        <w:rPr>
          <w:rFonts w:ascii="Arial" w:hAnsi="Arial"/>
          <w:color w:val="525252"/>
          <w:sz w:val="13"/>
        </w:rPr>
        <w:t>Physical and mental harassment, general mistreatment, torture, medical neglect, and political indoctrination have all been used, and the enemy has tried to tempt prisoners of war to accept special favors or privileges in return for statements or information, or for a pledge by the prisoner of war not to attempt escape.</w:t>
      </w:r>
    </w:p>
    <w:p>
      <w:pPr>
        <w:spacing w:after="20" w:line="223" w:lineRule="auto"/>
        <w:jc w:val="right"/>
        <w:bidi/>
      </w:pPr>
      <w:r>
        <w:rPr>
          <w:rFonts w:ascii="Arial" w:hAnsi="Arial"/>
          <w:sz w:val="16"/>
        </w:rPr>
        <w:t>357.16  یک اسیر جنگی نباید به دنبال امتیازات ویژه باشد و یا به ازای سایر اسیران جنگی، لطف خاصی بپذیرد.</w:t>
      </w:r>
    </w:p>
    <w:p>
      <w:pPr>
        <w:spacing w:after="28" w:line="216" w:lineRule="auto"/>
        <w:ind w:left="259"/>
        <w:jc w:val="left"/>
      </w:pPr>
      <w:r>
        <w:rPr>
          <w:rFonts w:ascii="Arial" w:hAnsi="Arial"/>
          <w:color w:val="525252"/>
          <w:sz w:val="13"/>
        </w:rPr>
        <w:t>A prisoner of war must not seek special privileges or accept special favors at the expense of fellow prisoners of war.</w:t>
      </w:r>
    </w:p>
    <w:p>
      <w:pPr>
        <w:spacing w:after="20" w:line="223" w:lineRule="auto"/>
        <w:jc w:val="right"/>
        <w:bidi/>
      </w:pPr>
      <w:r>
        <w:rPr>
          <w:rFonts w:ascii="Arial" w:hAnsi="Arial"/>
          <w:sz w:val="16"/>
        </w:rPr>
        <w:t>357.17  تحت هدایت و نظارت فرد ارشد نظامی، اسیر جنگی باید برای استفاده از فرصت‌های فرار آماده شود.</w:t>
      </w:r>
    </w:p>
    <w:p>
      <w:pPr>
        <w:spacing w:after="28" w:line="216" w:lineRule="auto"/>
        <w:ind w:left="259"/>
        <w:jc w:val="left"/>
      </w:pPr>
      <w:r>
        <w:rPr>
          <w:rFonts w:ascii="Arial" w:hAnsi="Arial"/>
          <w:color w:val="525252"/>
          <w:sz w:val="13"/>
        </w:rPr>
        <w:t>Under the guidance and supervision of the senior military person, the prisoner of war must be prepared to take advantage of escape opportunities.</w:t>
      </w:r>
    </w:p>
    <w:p>
      <w:pPr>
        <w:spacing w:after="20" w:line="223" w:lineRule="auto"/>
        <w:jc w:val="right"/>
        <w:bidi/>
      </w:pPr>
      <w:r>
        <w:rPr>
          <w:rFonts w:ascii="Arial" w:hAnsi="Arial"/>
          <w:sz w:val="16"/>
        </w:rPr>
        <w:t>357.18  در بازداشتگاه‌های جمعی، رفاه اسیران جنگی که در عقب مانده‌اند باید در نظر گرفته شود.</w:t>
      </w:r>
    </w:p>
    <w:p>
      <w:pPr>
        <w:spacing w:after="28" w:line="216" w:lineRule="auto"/>
        <w:ind w:left="259"/>
        <w:jc w:val="left"/>
      </w:pPr>
      <w:r>
        <w:rPr>
          <w:rFonts w:ascii="Arial" w:hAnsi="Arial"/>
          <w:color w:val="525252"/>
          <w:sz w:val="13"/>
        </w:rPr>
        <w:t>In communal detention, the welfare of the prisoners of war who remain behind must be considered.</w:t>
      </w:r>
    </w:p>
    <w:p>
      <w:pPr>
        <w:spacing w:after="20" w:line="223" w:lineRule="auto"/>
        <w:jc w:val="right"/>
        <w:bidi/>
      </w:pPr>
      <w:r>
        <w:rPr>
          <w:rFonts w:ascii="Arial" w:hAnsi="Arial"/>
          <w:sz w:val="16"/>
        </w:rPr>
        <w:t>357.19  علاوه بر این، اسیران جنگی نباید قرارداد آزادی مشروط را امضا کنند یا منعقد کنند.</w:t>
      </w:r>
    </w:p>
    <w:p>
      <w:pPr>
        <w:spacing w:after="28" w:line="216" w:lineRule="auto"/>
        <w:ind w:left="259"/>
        <w:jc w:val="left"/>
      </w:pPr>
      <w:r>
        <w:rPr>
          <w:rFonts w:ascii="Arial" w:hAnsi="Arial"/>
          <w:color w:val="525252"/>
          <w:sz w:val="13"/>
        </w:rPr>
        <w:t>Additionally, prisoners of war should not sign or enter into a parole agreement.</w:t>
      </w:r>
    </w:p>
    <w:p>
      <w:pPr>
        <w:spacing w:after="20" w:line="223" w:lineRule="auto"/>
        <w:jc w:val="right"/>
        <w:bidi/>
      </w:pPr>
      <w:r>
        <w:rPr>
          <w:rFonts w:ascii="Arial" w:hAnsi="Arial"/>
          <w:sz w:val="16"/>
        </w:rPr>
        <w:t>357.20  قراردادهای آزادی مشروط وعده‌هایی هستند که اسیران جنگی به اسیران برای انجام شرایط اعلام شده، مانند عدم حمل سلاح، در ازای امتیازات ویژه مانند آزادی یا کاهش محدودیت می‌دهند.</w:t>
      </w:r>
    </w:p>
    <w:p>
      <w:pPr>
        <w:spacing w:after="28" w:line="216" w:lineRule="auto"/>
        <w:ind w:left="259"/>
        <w:jc w:val="left"/>
      </w:pPr>
      <w:r>
        <w:rPr>
          <w:rFonts w:ascii="Arial" w:hAnsi="Arial"/>
          <w:color w:val="525252"/>
          <w:sz w:val="13"/>
        </w:rPr>
        <w:t>Parole agreements are promises the prisoners of war make to the captor to fulfill stated conditions, such as not to bear arms, in exchange for special privileges, such as release or lessened restraint.</w:t>
      </w:r>
    </w:p>
    <w:p>
      <w:pPr>
        <w:spacing w:after="20" w:line="223" w:lineRule="auto"/>
        <w:jc w:val="right"/>
        <w:bidi/>
      </w:pPr>
      <w:r>
        <w:rPr>
          <w:rFonts w:ascii="Arial" w:hAnsi="Arial"/>
          <w:sz w:val="16"/>
        </w:rPr>
        <w:t>357.21  اعضا باید درک کنند که اسارت مستلزم کنترل مستمر توسط اسیرکننده است که ممکن است سعی کند از اسیران جنگی به‌عنوان منبع اطلاعات برای اهداف سیاسی یا به‌عنوان موضوعی بالقوه برای تلقینات سیاسی استفاده کند.</w:t>
      </w:r>
    </w:p>
    <w:p>
      <w:pPr>
        <w:spacing w:after="28" w:line="216" w:lineRule="auto"/>
        <w:ind w:left="259"/>
        <w:jc w:val="left"/>
      </w:pPr>
      <w:r>
        <w:rPr>
          <w:rFonts w:ascii="Arial" w:hAnsi="Arial"/>
          <w:color w:val="525252"/>
          <w:sz w:val="13"/>
        </w:rPr>
        <w:t>Members should understand that captivity involves continuous control by a captor who may attempt to use the prisoner of war as a source of information for political purposes or as a potential subject for political indoctrination.</w:t>
      </w:r>
    </w:p>
    <w:p>
      <w:pPr>
        <w:spacing w:after="20" w:line="223" w:lineRule="auto"/>
        <w:jc w:val="right"/>
        <w:bidi/>
      </w:pPr>
      <w:r>
        <w:rPr>
          <w:rFonts w:ascii="Arial" w:hAnsi="Arial"/>
          <w:sz w:val="16"/>
        </w:rPr>
        <w:t>357.22  اعضا باید با حقوق و تعهدات اسیران جنگی و اسیرکنندگان تحت کنوانسیون ژنو آشنا شوند، زیرا برخی از اسراها اسیران جنگی را صرفا به این دلیل که علیه آنها جنگ کرده‌اند متهم به جنایت جنگی می‌کنند.</w:t>
      </w:r>
    </w:p>
    <w:p>
      <w:pPr>
        <w:spacing w:after="28" w:line="216" w:lineRule="auto"/>
        <w:ind w:left="259"/>
        <w:jc w:val="left"/>
      </w:pPr>
      <w:r>
        <w:rPr>
          <w:rFonts w:ascii="Arial" w:hAnsi="Arial"/>
          <w:color w:val="525252"/>
          <w:sz w:val="13"/>
        </w:rPr>
        <w:t>Members must familiarize themselves with prisoner of war and captor rights and obligations under the Geneva Conventions, understanding that some captors have accused prisoners of war of being war criminals simply because they waged war against them.</w:t>
      </w:r>
    </w:p>
    <w:p>
      <w:pPr>
        <w:spacing w:after="20" w:line="223" w:lineRule="auto"/>
        <w:jc w:val="right"/>
        <w:bidi/>
      </w:pPr>
      <w:r>
        <w:rPr>
          <w:rFonts w:ascii="Arial" w:hAnsi="Arial"/>
          <w:sz w:val="16"/>
        </w:rPr>
        <w:t>357.23  ادامه تلاش‌ها برای فرار بسیار مهم است زیرا یک فرار موفق باعث می‌شود که دشمن نیروهایی را که ممکن است در حال جنگ هستند منحرف کند، اطلاعات ارزشمندی درباره دشمن و سایر اسیران جنگی در اختیار ایالات متحده قرار می‌دهد و به‌عنوان یک نمونه مثبت برای همه اعضای نیروهای مسلح ایالات متحده عمل می‌کند.</w:t>
      </w:r>
    </w:p>
    <w:p>
      <w:pPr>
        <w:spacing w:after="28" w:line="216" w:lineRule="auto"/>
        <w:ind w:left="259"/>
        <w:jc w:val="left"/>
      </w:pPr>
      <w:r>
        <w:rPr>
          <w:rFonts w:ascii="Arial" w:hAnsi="Arial"/>
          <w:color w:val="525252"/>
          <w:sz w:val="13"/>
        </w:rPr>
        <w:t>Continued efforts to escape are critical because a successful escape causes the enemy to divert forces that may otherwise be fighting, provides the United States valuable information about the enemy and other prisoners of war, and serves as a positive example to all members of the U.S. Armed Forces.</w:t>
      </w:r>
    </w:p>
    <w:p>
      <w:pPr>
        <w:spacing w:before="60" w:after="28"/>
        <w:jc w:val="right"/>
        <w:bidi/>
      </w:pPr>
      <w:r>
        <w:rPr>
          <w:b/>
          <w:color w:val="1F4D78"/>
          <w:sz w:val="18"/>
        </w:rPr>
        <w:t>ماده چهارم.</w:t>
      </w:r>
    </w:p>
    <w:p>
      <w:pPr>
        <w:spacing w:after="20"/>
        <w:ind w:left="259"/>
        <w:jc w:val="left"/>
      </w:pPr>
      <w:r>
        <w:rPr>
          <w:color w:val="555555"/>
          <w:sz w:val="12"/>
        </w:rPr>
        <w:t>ARTICLE IV.</w:t>
      </w:r>
    </w:p>
    <w:p>
      <w:pPr>
        <w:spacing w:after="20" w:line="223" w:lineRule="auto"/>
        <w:jc w:val="right"/>
        <w:bidi/>
      </w:pPr>
      <w:r>
        <w:rPr>
          <w:rFonts w:ascii="Arial" w:hAnsi="Arial"/>
          <w:sz w:val="16"/>
        </w:rPr>
        <w:t>357.25  افسران و اعضای ثبت‌نام همچنان به انجام مسئولیت و اعمال اقتدار در اسارت ادامه می‌دهند.</w:t>
      </w:r>
    </w:p>
    <w:p>
      <w:pPr>
        <w:spacing w:after="28" w:line="216" w:lineRule="auto"/>
        <w:ind w:left="259"/>
        <w:jc w:val="left"/>
      </w:pPr>
      <w:r>
        <w:rPr>
          <w:rFonts w:ascii="Arial" w:hAnsi="Arial"/>
          <w:color w:val="525252"/>
          <w:sz w:val="13"/>
        </w:rPr>
        <w:t>Officers and enlisted members continue to carry out their responsibilities and exercise authority in captivity.</w:t>
      </w:r>
    </w:p>
    <w:p>
      <w:pPr>
        <w:spacing w:after="20" w:line="223" w:lineRule="auto"/>
        <w:jc w:val="right"/>
        <w:bidi/>
      </w:pPr>
      <w:r>
        <w:rPr>
          <w:rFonts w:ascii="Arial" w:hAnsi="Arial"/>
          <w:sz w:val="16"/>
        </w:rPr>
        <w:t>357.26  اطلاع رسانی یا هر اقدام دیگری که به ضرر هم اسیر باشد، مذموم و صریحا حرام است.</w:t>
      </w:r>
    </w:p>
    <w:p>
      <w:pPr>
        <w:spacing w:after="28" w:line="216" w:lineRule="auto"/>
        <w:ind w:left="259"/>
        <w:jc w:val="left"/>
      </w:pPr>
      <w:r>
        <w:rPr>
          <w:rFonts w:ascii="Arial" w:hAnsi="Arial"/>
          <w:color w:val="525252"/>
          <w:sz w:val="13"/>
        </w:rPr>
        <w:t>Informing, or any other action detrimental to a fellow prisoner of war, is despicable and expressly forbidden.</w:t>
      </w:r>
    </w:p>
    <w:p>
      <w:pPr>
        <w:spacing w:after="20" w:line="223" w:lineRule="auto"/>
        <w:jc w:val="right"/>
        <w:bidi/>
      </w:pPr>
      <w:r>
        <w:rPr>
          <w:rFonts w:ascii="Arial" w:hAnsi="Arial"/>
          <w:sz w:val="16"/>
        </w:rPr>
        <w:t>357.27  اسیران جنگی باید از کمک به دشمن در شناسایی اسیران جنگی که ممکن است دانش ارزشمندی برای دشمن داشته باشند، اجتناب کنند.</w:t>
      </w:r>
    </w:p>
    <w:p>
      <w:pPr>
        <w:spacing w:after="28" w:line="216" w:lineRule="auto"/>
        <w:ind w:left="259"/>
        <w:jc w:val="left"/>
      </w:pPr>
      <w:r>
        <w:rPr>
          <w:rFonts w:ascii="Arial" w:hAnsi="Arial"/>
          <w:color w:val="525252"/>
          <w:sz w:val="13"/>
        </w:rPr>
        <w:t>Prisoners of war must avoid helping the enemy identify fellow prisoners of war who may have valuable knowledge to the enemy.</w:t>
      </w:r>
    </w:p>
    <w:p>
      <w:pPr>
        <w:spacing w:after="20" w:line="223" w:lineRule="auto"/>
        <w:jc w:val="right"/>
        <w:bidi/>
      </w:pPr>
      <w:r>
        <w:rPr>
          <w:rFonts w:ascii="Arial" w:hAnsi="Arial"/>
          <w:sz w:val="16"/>
        </w:rPr>
        <w:t>357.28  رهبری قوی برای نظم و انضباط ضروری است.</w:t>
      </w:r>
    </w:p>
    <w:p>
      <w:pPr>
        <w:spacing w:after="28" w:line="216" w:lineRule="auto"/>
        <w:ind w:left="259"/>
        <w:jc w:val="left"/>
      </w:pPr>
      <w:r>
        <w:rPr>
          <w:rFonts w:ascii="Arial" w:hAnsi="Arial"/>
          <w:color w:val="525252"/>
          <w:sz w:val="13"/>
        </w:rPr>
        <w:t>Strong leadership is essential to discipline.</w:t>
      </w:r>
    </w:p>
    <w:p>
      <w:pPr>
        <w:spacing w:after="20" w:line="223" w:lineRule="auto"/>
        <w:jc w:val="right"/>
        <w:bidi/>
      </w:pPr>
      <w:r>
        <w:rPr>
          <w:rFonts w:ascii="Arial" w:hAnsi="Arial"/>
          <w:sz w:val="16"/>
        </w:rPr>
        <w:t>357.29  بدون نظم و انضباط، سازماندهی اردو، مقاومت و حتی بقا ممکن است غیرممکن باشد.</w:t>
      </w:r>
    </w:p>
    <w:p>
      <w:pPr>
        <w:spacing w:after="28" w:line="216" w:lineRule="auto"/>
        <w:ind w:left="259"/>
        <w:jc w:val="left"/>
      </w:pPr>
      <w:r>
        <w:rPr>
          <w:rFonts w:ascii="Arial" w:hAnsi="Arial"/>
          <w:color w:val="525252"/>
          <w:sz w:val="13"/>
        </w:rPr>
        <w:t>Without discipline, camp organization, resistance, and even survival may be impossible.</w:t>
      </w:r>
    </w:p>
    <w:p>
      <w:pPr>
        <w:spacing w:after="20" w:line="223" w:lineRule="auto"/>
        <w:jc w:val="right"/>
        <w:bidi/>
      </w:pPr>
      <w:r>
        <w:rPr>
          <w:rFonts w:ascii="Arial" w:hAnsi="Arial"/>
          <w:sz w:val="16"/>
        </w:rPr>
        <w:t>357.30  رعایت بهداشت فردی، نظافت کمپ و مراقبت از بیماران و مجروحان ضروری است.</w:t>
      </w:r>
    </w:p>
    <w:p>
      <w:pPr>
        <w:spacing w:after="28" w:line="216" w:lineRule="auto"/>
        <w:ind w:left="259"/>
        <w:jc w:val="left"/>
      </w:pPr>
      <w:r>
        <w:rPr>
          <w:rFonts w:ascii="Arial" w:hAnsi="Arial"/>
          <w:color w:val="525252"/>
          <w:sz w:val="13"/>
        </w:rPr>
        <w:t>Personal hygiene, camp sanitation, and care of the sick and wounded are imperative.</w:t>
      </w:r>
    </w:p>
    <w:p>
      <w:pPr>
        <w:spacing w:after="20" w:line="223" w:lineRule="auto"/>
        <w:jc w:val="right"/>
        <w:bidi/>
      </w:pPr>
      <w:r>
        <w:rPr>
          <w:rFonts w:ascii="Arial" w:hAnsi="Arial"/>
          <w:sz w:val="16"/>
        </w:rPr>
        <w:t>357.31  در هر کجا که باشد، اسیران جنگی باید بدون توجه به خدمت سربازی، به شیوه نظامی زیر نظر اسیر ارشد نظامی سازماندهی کنند.</w:t>
      </w:r>
    </w:p>
    <w:p>
      <w:pPr>
        <w:spacing w:after="28" w:line="216" w:lineRule="auto"/>
        <w:ind w:left="259"/>
        <w:jc w:val="left"/>
      </w:pPr>
      <w:r>
        <w:rPr>
          <w:rFonts w:ascii="Arial" w:hAnsi="Arial"/>
          <w:color w:val="525252"/>
          <w:sz w:val="13"/>
        </w:rPr>
        <w:t>Wherever located, prisoners of war must organize in a military manner under the senior military prisoner of war, regardless of military service.</w:t>
      </w:r>
    </w:p>
    <w:p>
      <w:pPr>
        <w:spacing w:after="20" w:line="223" w:lineRule="auto"/>
        <w:jc w:val="right"/>
        <w:bidi/>
      </w:pPr>
      <w:r>
        <w:rPr>
          <w:rFonts w:ascii="Arial" w:hAnsi="Arial"/>
          <w:sz w:val="16"/>
        </w:rPr>
        <w:t>357.32  اگر اسیر ارشد جنگی ناتوان باشد یا قادر به انجام کار نباشد، اسیر ارشد بعدی فرماندهی را بر عهده می‌گیرد.</w:t>
      </w:r>
    </w:p>
    <w:p>
      <w:pPr>
        <w:spacing w:after="28" w:line="216" w:lineRule="auto"/>
        <w:ind w:left="259"/>
        <w:jc w:val="left"/>
      </w:pPr>
      <w:r>
        <w:rPr>
          <w:rFonts w:ascii="Arial" w:hAnsi="Arial"/>
          <w:color w:val="525252"/>
          <w:sz w:val="13"/>
        </w:rPr>
        <w:t>If the senior prisoner of war is incapacitated or otherwise unable to act, the next senior prisoner of war assumes command.</w:t>
      </w:r>
    </w:p>
    <w:p>
      <w:r>
        <w:br w:type="page"/>
      </w:r>
    </w:p>
    <w:p>
      <w:pPr>
        <w:spacing w:after="60"/>
        <w:jc w:val="right"/>
        <w:bidi/>
      </w:pPr>
      <w:r>
        <w:rPr>
          <w:rFonts w:ascii="Arial" w:hAnsi="Arial"/>
          <w:b/>
          <w:color w:val="1F4D78"/>
          <w:sz w:val="19"/>
        </w:rPr>
        <w:t>هفتهٔ 358  |  صفحهٔ منبع: 374</w:t>
      </w:r>
    </w:p>
    <w:p>
      <w:pPr>
        <w:spacing w:after="20" w:line="223" w:lineRule="auto"/>
        <w:jc w:val="right"/>
        <w:bidi/>
      </w:pPr>
      <w:r>
        <w:rPr>
          <w:rFonts w:ascii="Arial" w:hAnsi="Arial"/>
          <w:sz w:val="16"/>
        </w:rPr>
        <w:t>358.01  اعضا باید برای درک و پذیرش رهبری از سوی فرماندهان و پیروی از تصمیمات اسیران ارشد جنگی بدون توجه به خدمت سربازی آموزش ببینند.</w:t>
      </w:r>
    </w:p>
    <w:p>
      <w:pPr>
        <w:spacing w:after="28" w:line="216" w:lineRule="auto"/>
        <w:ind w:left="259"/>
        <w:jc w:val="left"/>
      </w:pPr>
      <w:r>
        <w:rPr>
          <w:rFonts w:ascii="Arial" w:hAnsi="Arial"/>
          <w:color w:val="525252"/>
          <w:sz w:val="13"/>
        </w:rPr>
        <w:t>Members must be trained to understand and accept leadership from those in command and abide by the decisions of the senior prisoner of war, regardless of military service.</w:t>
      </w:r>
    </w:p>
    <w:p>
      <w:pPr>
        <w:spacing w:after="20" w:line="223" w:lineRule="auto"/>
        <w:jc w:val="right"/>
        <w:bidi/>
      </w:pPr>
      <w:r>
        <w:rPr>
          <w:rFonts w:ascii="Arial" w:hAnsi="Arial"/>
          <w:sz w:val="16"/>
        </w:rPr>
        <w:t>358.02  عدم انجام این کار ممکن است منجر به مجازات تحت UCMJ شود.</w:t>
      </w:r>
    </w:p>
    <w:p>
      <w:pPr>
        <w:spacing w:after="28" w:line="216" w:lineRule="auto"/>
        <w:ind w:left="259"/>
        <w:jc w:val="left"/>
      </w:pPr>
      <w:r>
        <w:rPr>
          <w:rFonts w:ascii="Arial" w:hAnsi="Arial"/>
          <w:color w:val="525252"/>
          <w:sz w:val="13"/>
        </w:rPr>
        <w:t>Failing to do so may result in punishment under the UCMJ.</w:t>
      </w:r>
    </w:p>
    <w:p>
      <w:pPr>
        <w:spacing w:after="20" w:line="223" w:lineRule="auto"/>
        <w:jc w:val="right"/>
        <w:bidi/>
      </w:pPr>
      <w:r>
        <w:rPr>
          <w:rFonts w:ascii="Arial" w:hAnsi="Arial"/>
          <w:sz w:val="16"/>
        </w:rPr>
        <w:t>358.03  علاوه بر این، اسیر جنگی که داوطلبانه اسیرکننده را اطلاع یا همکاری می‌کند، خائن به ایالات متحده و سایر اسیران جنگی است و پس از بازگرداندن به کشور، مشمول مجازات طبق UCMJ می‌شود.</w:t>
      </w:r>
    </w:p>
    <w:p>
      <w:pPr>
        <w:spacing w:after="28" w:line="216" w:lineRule="auto"/>
        <w:ind w:left="259"/>
        <w:jc w:val="left"/>
      </w:pPr>
      <w:r>
        <w:rPr>
          <w:rFonts w:ascii="Arial" w:hAnsi="Arial"/>
          <w:color w:val="525252"/>
          <w:sz w:val="13"/>
        </w:rPr>
        <w:t>Additionally, a prisoner of war who voluntarily informs or collaborates with the captor is a traitor to the United States and fellow prisoners of war, and after repatriation, is subject to punishment under the UCMJ.</w:t>
      </w:r>
    </w:p>
    <w:p>
      <w:pPr>
        <w:spacing w:after="20" w:line="223" w:lineRule="auto"/>
        <w:jc w:val="right"/>
        <w:bidi/>
      </w:pPr>
      <w:r>
        <w:rPr>
          <w:rFonts w:ascii="Arial" w:hAnsi="Arial"/>
          <w:sz w:val="16"/>
        </w:rPr>
        <w:t>358.04  اعضای نیروهای مسلح باید با اصول بهداشت، بهداشت، حفظ سلامت، کمک‌های اولیه، تهویه فیزیکی و استفاده از غذا آشنا باشند.</w:t>
      </w:r>
    </w:p>
    <w:p>
      <w:pPr>
        <w:spacing w:after="28" w:line="216" w:lineRule="auto"/>
        <w:ind w:left="259"/>
        <w:jc w:val="left"/>
      </w:pPr>
      <w:r>
        <w:rPr>
          <w:rFonts w:ascii="Arial" w:hAnsi="Arial"/>
          <w:color w:val="525252"/>
          <w:sz w:val="13"/>
        </w:rPr>
        <w:t>Service members must be familiar with the principles of hygiene, sanitation, health maintenance, first aid, physical conditioning, and food utilization.</w:t>
      </w:r>
    </w:p>
    <w:p>
      <w:pPr>
        <w:spacing w:after="20" w:line="223" w:lineRule="auto"/>
        <w:jc w:val="right"/>
        <w:bidi/>
      </w:pPr>
      <w:r>
        <w:rPr>
          <w:rFonts w:ascii="Arial" w:hAnsi="Arial"/>
          <w:sz w:val="16"/>
        </w:rPr>
        <w:t>358.05  ماده پنجم. در زمان بازجویی، یک اسیر جنگی طبق کنوانسیون ژنو ملزم است و توسط UCMJ مجاز است نام، رتبه، شماره خدمت و تاریخ تولد را ذکر کند.</w:t>
      </w:r>
    </w:p>
    <w:p>
      <w:pPr>
        <w:spacing w:after="28" w:line="216" w:lineRule="auto"/>
        <w:ind w:left="259"/>
        <w:jc w:val="left"/>
      </w:pPr>
      <w:r>
        <w:rPr>
          <w:rFonts w:ascii="Arial" w:hAnsi="Arial"/>
          <w:color w:val="525252"/>
          <w:sz w:val="13"/>
        </w:rPr>
        <w:t>ARTICLE V. When questioned, a prisoner of war is required by the Geneva Conventions, and permitted by the UCMJ, to give name, rank, service number, and date of birth.</w:t>
      </w:r>
    </w:p>
    <w:p>
      <w:pPr>
        <w:spacing w:after="20" w:line="223" w:lineRule="auto"/>
        <w:jc w:val="right"/>
        <w:bidi/>
      </w:pPr>
      <w:r>
        <w:rPr>
          <w:rFonts w:ascii="Arial" w:hAnsi="Arial"/>
          <w:sz w:val="16"/>
        </w:rPr>
        <w:t>358.06  بر اساس کنوانسیون ژنو، دشمن حق ندارد اسیر جنگی را مجبور به ارائه اطلاعات اضافی کند.</w:t>
      </w:r>
    </w:p>
    <w:p>
      <w:pPr>
        <w:spacing w:after="28" w:line="216" w:lineRule="auto"/>
        <w:ind w:left="259"/>
        <w:jc w:val="left"/>
      </w:pPr>
      <w:r>
        <w:rPr>
          <w:rFonts w:ascii="Arial" w:hAnsi="Arial"/>
          <w:color w:val="525252"/>
          <w:sz w:val="13"/>
        </w:rPr>
        <w:t>Under the Geneva Conventions, the enemy has no right to try to force a prisoner of war to provide any additional information.</w:t>
      </w:r>
    </w:p>
    <w:p>
      <w:pPr>
        <w:spacing w:after="20" w:line="223" w:lineRule="auto"/>
        <w:jc w:val="right"/>
        <w:bidi/>
      </w:pPr>
      <w:r>
        <w:rPr>
          <w:rFonts w:ascii="Arial" w:hAnsi="Arial"/>
          <w:sz w:val="16"/>
        </w:rPr>
        <w:t>358.07  با این حال، غیرواقعی است که انتظار داشته باشیم یک اسیر جنگی سال‌ها در حبس بماند و فقط نام، رتبه، شماره خدمت و تاریخ تولد را بگوید.</w:t>
      </w:r>
    </w:p>
    <w:p>
      <w:pPr>
        <w:spacing w:after="28" w:line="216" w:lineRule="auto"/>
        <w:ind w:left="259"/>
        <w:jc w:val="left"/>
      </w:pPr>
      <w:r>
        <w:rPr>
          <w:rFonts w:ascii="Arial" w:hAnsi="Arial"/>
          <w:color w:val="525252"/>
          <w:sz w:val="13"/>
        </w:rPr>
        <w:t>However, it is unrealistic to expect a prisoner of war to remain confined for years reciting only name, rank, service number, and date of birth.</w:t>
      </w:r>
    </w:p>
    <w:p>
      <w:pPr>
        <w:spacing w:after="20" w:line="223" w:lineRule="auto"/>
        <w:jc w:val="right"/>
        <w:bidi/>
      </w:pPr>
      <w:r>
        <w:rPr>
          <w:rFonts w:ascii="Arial" w:hAnsi="Arial"/>
          <w:sz w:val="16"/>
        </w:rPr>
        <w:t>358.08  بسیاری از موقعیت‌های اردوگاه اسیران جنگی وجود دارد که در آن انواع خاصی از گفتگو با دشمن مجاز است.</w:t>
      </w:r>
    </w:p>
    <w:p>
      <w:pPr>
        <w:spacing w:after="28" w:line="216" w:lineRule="auto"/>
        <w:ind w:left="259"/>
        <w:jc w:val="left"/>
      </w:pPr>
      <w:r>
        <w:rPr>
          <w:rFonts w:ascii="Arial" w:hAnsi="Arial"/>
          <w:color w:val="525252"/>
          <w:sz w:val="13"/>
        </w:rPr>
        <w:t>Many prisoner of war camp situations exist in which certain types of conversation with the enemy are permitted.</w:t>
      </w:r>
    </w:p>
    <w:p>
      <w:pPr>
        <w:spacing w:after="20" w:line="223" w:lineRule="auto"/>
        <w:jc w:val="right"/>
        <w:bidi/>
      </w:pPr>
      <w:r>
        <w:rPr>
          <w:rFonts w:ascii="Arial" w:hAnsi="Arial"/>
          <w:sz w:val="16"/>
        </w:rPr>
        <w:t>358.09  به‌عنوان مثال، یک اسیر جنگی مجاز است، اما طبق قوانین رفتار، UCMJ یا کنوانسیون‌های ژنو، نیازی به پر کردن کارت ضبط کنوانسیون‌های ژنو، نوشتن نامه به خانه، و برقراری ارتباط با اسیرکنندگان در مورد مسائل بهداشتی و رفاهی دارد.</w:t>
      </w:r>
    </w:p>
    <w:p>
      <w:pPr>
        <w:spacing w:after="28" w:line="216" w:lineRule="auto"/>
        <w:ind w:left="259"/>
        <w:jc w:val="left"/>
      </w:pPr>
      <w:r>
        <w:rPr>
          <w:rFonts w:ascii="Arial" w:hAnsi="Arial"/>
          <w:color w:val="525252"/>
          <w:sz w:val="13"/>
        </w:rPr>
        <w:t>For example, a prisoner of war is allowed, but not required by the Code of Conduct, the UCMJ, or the Geneva Conventions, to fill out a Geneva Conventions capture card, to write letters home, and to communicate with captors on matters of health and welfare.</w:t>
      </w:r>
    </w:p>
    <w:p>
      <w:pPr>
        <w:spacing w:after="20" w:line="223" w:lineRule="auto"/>
        <w:jc w:val="right"/>
        <w:bidi/>
      </w:pPr>
      <w:r>
        <w:rPr>
          <w:rFonts w:ascii="Arial" w:hAnsi="Arial"/>
          <w:sz w:val="16"/>
        </w:rPr>
        <w:t>358.10  اسیر ارشد موظف است در امور اداره اردوگاه، بهداشت، رفاه و شکایات، وکالت اسیران جنگی را داشته باشد.</w:t>
      </w:r>
    </w:p>
    <w:p>
      <w:pPr>
        <w:spacing w:after="28" w:line="216" w:lineRule="auto"/>
        <w:ind w:left="259"/>
        <w:jc w:val="left"/>
      </w:pPr>
      <w:r>
        <w:rPr>
          <w:rFonts w:ascii="Arial" w:hAnsi="Arial"/>
          <w:color w:val="525252"/>
          <w:sz w:val="13"/>
        </w:rPr>
        <w:t>The senior prisoner of war is required to represent prisoners of war in matters of camp administration, health, welfare, and grievances.</w:t>
      </w:r>
    </w:p>
    <w:p>
      <w:pPr>
        <w:spacing w:after="20" w:line="223" w:lineRule="auto"/>
        <w:jc w:val="right"/>
        <w:bidi/>
      </w:pPr>
      <w:r>
        <w:rPr>
          <w:rFonts w:ascii="Arial" w:hAnsi="Arial"/>
          <w:sz w:val="16"/>
        </w:rPr>
        <w:t>358.11  یک اسیر جنگی باید در برابر تمام تلاش‌های دشمن برای ایمن کردن اظهارات یا اقداماتی که ممکن است به اهداف دشمن کمک کند، مقاومت کند، از آن اجتناب کند، یا حتی در صورت اجبار جسمی و روحی، اجتناب کند.</w:t>
      </w:r>
    </w:p>
    <w:p>
      <w:pPr>
        <w:spacing w:after="28" w:line="216" w:lineRule="auto"/>
        <w:ind w:left="259"/>
        <w:jc w:val="left"/>
      </w:pPr>
      <w:r>
        <w:rPr>
          <w:rFonts w:ascii="Arial" w:hAnsi="Arial"/>
          <w:color w:val="525252"/>
          <w:sz w:val="13"/>
        </w:rPr>
        <w:t>A prisoner of war must resist, avoid, or evade, even when physically and mentally coerced, all enemy efforts to secure statements or actions that may further the enemy’s cause.</w:t>
      </w:r>
    </w:p>
    <w:p>
      <w:pPr>
        <w:spacing w:after="20" w:line="223" w:lineRule="auto"/>
        <w:jc w:val="right"/>
        <w:bidi/>
      </w:pPr>
      <w:r>
        <w:rPr>
          <w:rFonts w:ascii="Arial" w:hAnsi="Arial"/>
          <w:sz w:val="16"/>
        </w:rPr>
        <w:t>358.12  نمونه‌هایی از اظهارات یا اقداماتی که اسیران جنگی باید در برابر آن مقاومت کنند عبارتند از اعترافات شفاهی یا کتبی، پاسخ به پرسش‌نامه‌ها، ارائه بیانیه‌های تاریخچه شخصی، و ضبط تبلیغاتی و درخواست‌های پخش از سایر اسیران جنگی برای انجام خواسته‌های نادرست اسیر.</w:t>
      </w:r>
    </w:p>
    <w:p>
      <w:pPr>
        <w:spacing w:after="28" w:line="216" w:lineRule="auto"/>
        <w:ind w:left="259"/>
        <w:jc w:val="left"/>
      </w:pPr>
      <w:r>
        <w:rPr>
          <w:rFonts w:ascii="Arial" w:hAnsi="Arial"/>
          <w:color w:val="525252"/>
          <w:sz w:val="13"/>
        </w:rPr>
        <w:t>Examples of statements or actions prisoners of war should resist include giving oral or written confessions, answering questionnaires, providing personal history statements, and making propaganda recordings and broadcast appeals to other prisoners of war to comply with improper captor demands.</w:t>
      </w:r>
    </w:p>
    <w:p>
      <w:pPr>
        <w:spacing w:after="20" w:line="223" w:lineRule="auto"/>
        <w:jc w:val="right"/>
        <w:bidi/>
      </w:pPr>
      <w:r>
        <w:rPr>
          <w:rFonts w:ascii="Arial" w:hAnsi="Arial"/>
          <w:sz w:val="16"/>
        </w:rPr>
        <w:t>358.13  علاوه بر این، اسیران جنگی باید در برابر درخواست تسلیم یا آزادی مشروط ایالات متحده مقاومت کنند. درگیر شدن در انتقاد از خود؛ یا ارائه اظهارات یا ارتباطات شفاهی یا کتبی که برای ایالات متحده، متحدانش، نیروهای مسلح ایالات متحده یا سایر اسیران جنگی مضر است.</w:t>
      </w:r>
    </w:p>
    <w:p>
      <w:pPr>
        <w:spacing w:after="28" w:line="216" w:lineRule="auto"/>
        <w:ind w:left="259"/>
        <w:jc w:val="left"/>
      </w:pPr>
      <w:r>
        <w:rPr>
          <w:rFonts w:ascii="Arial" w:hAnsi="Arial"/>
          <w:color w:val="525252"/>
          <w:sz w:val="13"/>
        </w:rPr>
        <w:t>Additionally, prisoners of war should resist appealing for United States surrender or parole; engaging in self-criticism; or providing oral or written statements or communication that are harmful to the United States, its allies, the U.S. Armed Forces, or other prisoners of war.</w:t>
      </w:r>
    </w:p>
    <w:p>
      <w:pPr>
        <w:spacing w:after="20" w:line="223" w:lineRule="auto"/>
        <w:jc w:val="right"/>
        <w:bidi/>
      </w:pPr>
      <w:r>
        <w:rPr>
          <w:rFonts w:ascii="Arial" w:hAnsi="Arial"/>
          <w:sz w:val="16"/>
        </w:rPr>
        <w:t>358.14  تجربه نشان داده است که اگرچه جلسات بازجویی دشمن ممکن است خشن و بی رحمانه باشد، اما اسیر جنگی معمولا در صورت تمایل به مقاومت می‌تواند مقاومت کند.</w:t>
      </w:r>
    </w:p>
    <w:p>
      <w:pPr>
        <w:spacing w:after="28" w:line="216" w:lineRule="auto"/>
        <w:ind w:left="259"/>
        <w:jc w:val="left"/>
      </w:pPr>
      <w:r>
        <w:rPr>
          <w:rFonts w:ascii="Arial" w:hAnsi="Arial"/>
          <w:color w:val="525252"/>
          <w:sz w:val="13"/>
        </w:rPr>
        <w:t>Experience has shown that, although enemy interrogation sessions may be harsh and cruel, a prisoner of war can usually resist if there is a will to resist.</w:t>
      </w:r>
    </w:p>
    <w:p>
      <w:pPr>
        <w:spacing w:after="20" w:line="223" w:lineRule="auto"/>
        <w:jc w:val="right"/>
        <w:bidi/>
      </w:pPr>
      <w:r>
        <w:rPr>
          <w:rFonts w:ascii="Arial" w:hAnsi="Arial"/>
          <w:sz w:val="16"/>
        </w:rPr>
        <w:t>358.15  بهترین راه برای یک اسیر جنگی برای حفظ ایمان به اسیران جنگی ایالات متحده و خودش این است که اطلاعات کمتری را در اختیار دشمن قرار دهد.</w:t>
      </w:r>
    </w:p>
    <w:p>
      <w:pPr>
        <w:spacing w:after="28" w:line="216" w:lineRule="auto"/>
        <w:ind w:left="259"/>
        <w:jc w:val="left"/>
      </w:pPr>
      <w:r>
        <w:rPr>
          <w:rFonts w:ascii="Arial" w:hAnsi="Arial"/>
          <w:color w:val="525252"/>
          <w:sz w:val="13"/>
        </w:rPr>
        <w:t>The best way for a prisoner of war to keep faith with the United States fellow prisoners of war, and him or herself, is to provide the enemy with as little information as possible.</w:t>
      </w:r>
    </w:p>
    <w:p>
      <w:pPr>
        <w:spacing w:after="20" w:line="223" w:lineRule="auto"/>
        <w:jc w:val="right"/>
        <w:bidi/>
      </w:pPr>
      <w:r>
        <w:rPr>
          <w:rFonts w:ascii="Arial" w:hAnsi="Arial"/>
          <w:sz w:val="16"/>
        </w:rPr>
        <w:t>358.16  اعضای سرویس خود را با جنبه‌های مختلف بازجویی، از جمله مراحل، رویه‌ها، روش‌ها و تکنیک‌ها، و همچنین اهداف، نقاط قوت و ضعف بازجو آشنا می‌کنند.</w:t>
      </w:r>
    </w:p>
    <w:p>
      <w:pPr>
        <w:spacing w:after="28" w:line="216" w:lineRule="auto"/>
        <w:ind w:left="259"/>
        <w:jc w:val="left"/>
      </w:pPr>
      <w:r>
        <w:rPr>
          <w:rFonts w:ascii="Arial" w:hAnsi="Arial"/>
          <w:color w:val="525252"/>
          <w:sz w:val="13"/>
        </w:rPr>
        <w:t>Service members familiarize themselves with the various aspects of interrogation, including phases, procedures, methods, and techniques, as well as the interrogator’s goals, strengths, and weaknesses.</w:t>
      </w:r>
    </w:p>
    <w:p>
      <w:pPr>
        <w:spacing w:after="20" w:line="223" w:lineRule="auto"/>
        <w:jc w:val="right"/>
        <w:bidi/>
      </w:pPr>
      <w:r>
        <w:rPr>
          <w:rFonts w:ascii="Arial" w:hAnsi="Arial"/>
          <w:sz w:val="16"/>
        </w:rPr>
        <w:t>358.17  اعضا باید از افشای اطلاعات با تکنیک هایی مانند ادعای عدم توانایی در ارائه اطلاعات به دلیل سفارشات قبلی، حافظه ضعیف، ناآگاهی یا عدم درک مطلب خودداری کنند.</w:t>
      </w:r>
    </w:p>
    <w:p>
      <w:pPr>
        <w:spacing w:after="28" w:line="216" w:lineRule="auto"/>
        <w:ind w:left="259"/>
        <w:jc w:val="left"/>
      </w:pPr>
      <w:r>
        <w:rPr>
          <w:rFonts w:ascii="Arial" w:hAnsi="Arial"/>
          <w:color w:val="525252"/>
          <w:sz w:val="13"/>
        </w:rPr>
        <w:t>Members should avoid disclosing information by such techniques as claiming inability to furnish information because of previous orders, poor memory, ignorance, or lack of comprehension.</w:t>
      </w:r>
    </w:p>
    <w:p>
      <w:pPr>
        <w:spacing w:after="20" w:line="223" w:lineRule="auto"/>
        <w:jc w:val="right"/>
        <w:bidi/>
      </w:pPr>
      <w:r>
        <w:rPr>
          <w:rFonts w:ascii="Arial" w:hAnsi="Arial"/>
          <w:sz w:val="16"/>
        </w:rPr>
        <w:t>358.18  آنها باید درک کنند که در صورت مرگ، بعید است که یک اسیر جنگی بتواند بازجوی ماهر دشمن را با استفاده از تمام روش‌های روانی و فیزیکی اجبار موجود، از دستیابی به درجه‌ای از تبعیت باز دارد.</w:t>
      </w:r>
    </w:p>
    <w:p>
      <w:pPr>
        <w:spacing w:after="28" w:line="216" w:lineRule="auto"/>
        <w:ind w:left="259"/>
        <w:jc w:val="left"/>
      </w:pPr>
      <w:r>
        <w:rPr>
          <w:rFonts w:ascii="Arial" w:hAnsi="Arial"/>
          <w:color w:val="525252"/>
          <w:sz w:val="13"/>
        </w:rPr>
        <w:t>They should understand that, short of death, it is unlikely that a prisoner of war will prevent a skilled enemy interrogator, using all available psychological and physical methods of coercion, from obtaining some degree of compliance.</w:t>
      </w:r>
    </w:p>
    <w:p>
      <w:pPr>
        <w:spacing w:after="20" w:line="223" w:lineRule="auto"/>
        <w:jc w:val="right"/>
        <w:bidi/>
      </w:pPr>
      <w:r>
        <w:rPr>
          <w:rFonts w:ascii="Arial" w:hAnsi="Arial"/>
          <w:sz w:val="16"/>
        </w:rPr>
        <w:t>358.19  با این حال، اسیر جنگی باید هر چه سریعتر بهبود یابد و در برابر تلاش‌های پی در پی حداکثر مقاومت کند.</w:t>
      </w:r>
    </w:p>
    <w:p>
      <w:pPr>
        <w:spacing w:after="28" w:line="216" w:lineRule="auto"/>
        <w:ind w:left="259"/>
        <w:jc w:val="left"/>
      </w:pPr>
      <w:r>
        <w:rPr>
          <w:rFonts w:ascii="Arial" w:hAnsi="Arial"/>
          <w:color w:val="525252"/>
          <w:sz w:val="13"/>
        </w:rPr>
        <w:t>However, the prisoner of war must recover as quickly as possible and resist successive efforts to the utmost.</w:t>
      </w:r>
    </w:p>
    <w:p>
      <w:pPr>
        <w:spacing w:before="60" w:after="28"/>
        <w:jc w:val="right"/>
        <w:bidi/>
      </w:pPr>
      <w:r>
        <w:rPr>
          <w:b/>
          <w:color w:val="1F4D78"/>
          <w:sz w:val="18"/>
        </w:rPr>
        <w:t>ماده ششم.</w:t>
      </w:r>
    </w:p>
    <w:p>
      <w:pPr>
        <w:spacing w:after="20"/>
        <w:ind w:left="259"/>
        <w:jc w:val="left"/>
      </w:pPr>
      <w:r>
        <w:rPr>
          <w:color w:val="555555"/>
          <w:sz w:val="12"/>
        </w:rPr>
        <w:t>ARTICLE VI.</w:t>
      </w:r>
    </w:p>
    <w:p>
      <w:pPr>
        <w:spacing w:after="20" w:line="223" w:lineRule="auto"/>
        <w:jc w:val="right"/>
        <w:bidi/>
      </w:pPr>
      <w:r>
        <w:rPr>
          <w:rFonts w:ascii="Arial" w:hAnsi="Arial"/>
          <w:sz w:val="16"/>
        </w:rPr>
        <w:t>358.21  یکی از اعضای نیروهای مسلح ایالات متحده همیشه مسئول اعمال شخصی است.</w:t>
      </w:r>
    </w:p>
    <w:p>
      <w:pPr>
        <w:spacing w:after="28" w:line="216" w:lineRule="auto"/>
        <w:ind w:left="259"/>
        <w:jc w:val="left"/>
      </w:pPr>
      <w:r>
        <w:rPr>
          <w:rFonts w:ascii="Arial" w:hAnsi="Arial"/>
          <w:color w:val="525252"/>
          <w:sz w:val="13"/>
        </w:rPr>
        <w:t>A member of the U.S. Armed Forces remains responsible for personal actions at all times.</w:t>
      </w:r>
    </w:p>
    <w:p>
      <w:pPr>
        <w:spacing w:after="20" w:line="223" w:lineRule="auto"/>
        <w:jc w:val="right"/>
        <w:bidi/>
      </w:pPr>
      <w:r>
        <w:rPr>
          <w:rFonts w:ascii="Arial" w:hAnsi="Arial"/>
          <w:sz w:val="16"/>
        </w:rPr>
        <w:t>358.22  هنگام بازگرداندن، اسیران جنگی می‌توانند انتظار داشته باشند که اعمالشان مورد بازبینی قرار گیرد، از جمله شرایط دستگیری و رفتار در حین بازداشت.</w:t>
      </w:r>
    </w:p>
    <w:p>
      <w:pPr>
        <w:spacing w:after="28" w:line="216" w:lineRule="auto"/>
        <w:ind w:left="259"/>
        <w:jc w:val="left"/>
      </w:pPr>
      <w:r>
        <w:rPr>
          <w:rFonts w:ascii="Arial" w:hAnsi="Arial"/>
          <w:color w:val="525252"/>
          <w:sz w:val="13"/>
        </w:rPr>
        <w:t>When repatriated, prisoners of war can expect their actions to be subject to review, including both circumstances of capture and conduct during detention.</w:t>
      </w:r>
    </w:p>
    <w:p>
      <w:pPr>
        <w:spacing w:after="20" w:line="223" w:lineRule="auto"/>
        <w:jc w:val="right"/>
        <w:bidi/>
      </w:pPr>
      <w:r>
        <w:rPr>
          <w:rFonts w:ascii="Arial" w:hAnsi="Arial"/>
          <w:sz w:val="16"/>
        </w:rPr>
        <w:t>358.23  هدف از چنین بازبینی، شناسایی عملکرد شایسته و در صورت لزوم، بررسی هرگونه ادعای سوء رفتار است.</w:t>
      </w:r>
    </w:p>
    <w:p>
      <w:pPr>
        <w:spacing w:after="28" w:line="216" w:lineRule="auto"/>
        <w:ind w:left="259"/>
        <w:jc w:val="left"/>
      </w:pPr>
      <w:r>
        <w:rPr>
          <w:rFonts w:ascii="Arial" w:hAnsi="Arial"/>
          <w:color w:val="525252"/>
          <w:sz w:val="13"/>
        </w:rPr>
        <w:t>The purpose of such a review is to recognize meritorious performance and, if necessary, investigate any allegations of misconduct.</w:t>
      </w:r>
    </w:p>
    <w:p>
      <w:pPr>
        <w:spacing w:after="20" w:line="223" w:lineRule="auto"/>
        <w:jc w:val="right"/>
        <w:bidi/>
      </w:pPr>
      <w:r>
        <w:rPr>
          <w:rFonts w:ascii="Arial" w:hAnsi="Arial"/>
          <w:sz w:val="16"/>
        </w:rPr>
        <w:t>358.24  چنین بررسی هایی با توجه به حقوق افراد و در نظر گرفتن شرایط اسارت انجام می‌شود.</w:t>
      </w:r>
    </w:p>
    <w:p>
      <w:pPr>
        <w:spacing w:after="28" w:line="216" w:lineRule="auto"/>
        <w:ind w:left="259"/>
        <w:jc w:val="left"/>
      </w:pPr>
      <w:r>
        <w:rPr>
          <w:rFonts w:ascii="Arial" w:hAnsi="Arial"/>
          <w:color w:val="525252"/>
          <w:sz w:val="13"/>
        </w:rPr>
        <w:t>Such reviews are conducted with due regard for the rights of the individual and consideration for the conditions of captivity.</w:t>
      </w:r>
    </w:p>
    <w:p>
      <w:pPr>
        <w:spacing w:after="20" w:line="223" w:lineRule="auto"/>
        <w:jc w:val="right"/>
        <w:bidi/>
      </w:pPr>
      <w:r>
        <w:rPr>
          <w:rFonts w:ascii="Arial" w:hAnsi="Arial"/>
          <w:sz w:val="16"/>
        </w:rPr>
        <w:t>358.25  اعضا باید تفاوت بین کد رفتار به‌عنوان یک کد اخلاقی و UCMJ به‌عنوان یک کد قانونی را درک کنند.</w:t>
      </w:r>
    </w:p>
    <w:p>
      <w:pPr>
        <w:spacing w:after="28" w:line="216" w:lineRule="auto"/>
        <w:ind w:left="259"/>
        <w:jc w:val="left"/>
      </w:pPr>
      <w:r>
        <w:rPr>
          <w:rFonts w:ascii="Arial" w:hAnsi="Arial"/>
          <w:color w:val="525252"/>
          <w:sz w:val="13"/>
        </w:rPr>
        <w:t>Members should understand the difference between the Code of Conduct as a moral code and the UCMJ as a legal code.</w:t>
      </w:r>
    </w:p>
    <w:p>
      <w:pPr>
        <w:spacing w:after="20" w:line="223" w:lineRule="auto"/>
        <w:jc w:val="right"/>
        <w:bidi/>
      </w:pPr>
      <w:r>
        <w:rPr>
          <w:rFonts w:ascii="Arial" w:hAnsi="Arial"/>
          <w:sz w:val="16"/>
        </w:rPr>
        <w:t>358.26  اعضا باید بدانند که عدم پیروی از کد رفتار می‌تواند در نهایت منجر به ارتکاب رفتار نادرست شود که طبق UCMJ مجازات می‌شود.</w:t>
      </w:r>
    </w:p>
    <w:p>
      <w:pPr>
        <w:spacing w:after="28" w:line="216" w:lineRule="auto"/>
        <w:ind w:left="259"/>
        <w:jc w:val="left"/>
      </w:pPr>
      <w:r>
        <w:rPr>
          <w:rFonts w:ascii="Arial" w:hAnsi="Arial"/>
          <w:color w:val="525252"/>
          <w:sz w:val="13"/>
        </w:rPr>
        <w:t>Members should understand that failure to follow the Code of Conduct could ultimately lead them to commit misconduct punishable under the UCMJ.</w:t>
      </w:r>
    </w:p>
    <w:p>
      <w:pPr>
        <w:spacing w:after="20" w:line="223" w:lineRule="auto"/>
        <w:jc w:val="right"/>
        <w:bidi/>
      </w:pPr>
      <w:r>
        <w:rPr>
          <w:rFonts w:ascii="Arial" w:hAnsi="Arial"/>
          <w:sz w:val="16"/>
        </w:rPr>
        <w:t>358.27  اعضا همچنین باید درک کنند که دولت ایالات متحده از هر ابزار موجود برای برقراری تماس با اسیران جنگی، حمایت از آنها و آزادی آنها استفاده خواهد کرد.</w:t>
      </w:r>
    </w:p>
    <w:p>
      <w:pPr>
        <w:spacing w:after="28" w:line="216" w:lineRule="auto"/>
        <w:ind w:left="259"/>
        <w:jc w:val="left"/>
      </w:pPr>
      <w:r>
        <w:rPr>
          <w:rFonts w:ascii="Arial" w:hAnsi="Arial"/>
          <w:color w:val="525252"/>
          <w:sz w:val="13"/>
        </w:rPr>
        <w:t>Members should also understand that the U.S. Government will use every available means to establish contact with prisoners of war, to support them, and to obtain their release.</w:t>
      </w:r>
    </w:p>
    <w:p>
      <w:pPr>
        <w:spacing w:after="20" w:line="223" w:lineRule="auto"/>
        <w:jc w:val="right"/>
        <w:bidi/>
      </w:pPr>
      <w:r>
        <w:rPr>
          <w:rFonts w:ascii="Arial" w:hAnsi="Arial"/>
          <w:sz w:val="16"/>
        </w:rPr>
        <w:t>358.28  به‌علاوه، قوانین ایالات متحده حمایت و مراقبت از وابستگان نیروهای مسلح ایالات متحده، از جمله اعضای خانواده اسیران جنگی را فراهم می‌کند.</w:t>
      </w:r>
    </w:p>
    <w:p>
      <w:pPr>
        <w:spacing w:after="28" w:line="216" w:lineRule="auto"/>
        <w:ind w:left="259"/>
        <w:jc w:val="left"/>
      </w:pPr>
      <w:r>
        <w:rPr>
          <w:rFonts w:ascii="Arial" w:hAnsi="Arial"/>
          <w:color w:val="525252"/>
          <w:sz w:val="13"/>
        </w:rPr>
        <w:t>Furthermore, U.S. laws provide for the support and care of dependents of the U.S. Armed Forces, including prisoners of war family members.</w:t>
      </w:r>
    </w:p>
    <w:p>
      <w:pPr>
        <w:spacing w:after="20" w:line="223" w:lineRule="auto"/>
        <w:jc w:val="right"/>
        <w:bidi/>
      </w:pPr>
      <w:r>
        <w:rPr>
          <w:rFonts w:ascii="Arial" w:hAnsi="Arial"/>
          <w:sz w:val="16"/>
        </w:rPr>
        <w:t>358.29  اعضای نظامی باید از خود اطمینان حاصل کنند</w:t>
      </w:r>
    </w:p>
    <w:p>
      <w:pPr>
        <w:spacing w:after="28" w:line="216" w:lineRule="auto"/>
        <w:ind w:left="259"/>
        <w:jc w:val="left"/>
      </w:pPr>
      <w:r>
        <w:rPr>
          <w:rFonts w:ascii="Arial" w:hAnsi="Arial"/>
          <w:color w:val="525252"/>
          <w:sz w:val="13"/>
        </w:rPr>
        <w:t>Military members must ensure their</w:t>
      </w:r>
    </w:p>
    <w:p>
      <w:r>
        <w:br w:type="page"/>
      </w:r>
    </w:p>
    <w:p>
      <w:pPr>
        <w:spacing w:after="60"/>
        <w:jc w:val="right"/>
        <w:bidi/>
      </w:pPr>
      <w:r>
        <w:rPr>
          <w:rFonts w:ascii="Arial" w:hAnsi="Arial"/>
          <w:b/>
          <w:color w:val="1F4D78"/>
          <w:sz w:val="19"/>
        </w:rPr>
        <w:t>هفتهٔ 359  |  صفحهٔ منبع: 375</w:t>
      </w:r>
    </w:p>
    <w:p>
      <w:pPr>
        <w:spacing w:after="20" w:line="223" w:lineRule="auto"/>
        <w:jc w:val="right"/>
        <w:bidi/>
      </w:pPr>
      <w:r>
        <w:rPr>
          <w:rFonts w:ascii="Arial" w:hAnsi="Arial"/>
          <w:sz w:val="16"/>
        </w:rPr>
        <w:t>359.01  امور شخصی و مسائل خانوادگی همیشه به‌روز هستند.</w:t>
      </w:r>
    </w:p>
    <w:p>
      <w:pPr>
        <w:spacing w:after="28" w:line="216" w:lineRule="auto"/>
        <w:ind w:left="259"/>
        <w:jc w:val="left"/>
      </w:pPr>
      <w:r>
        <w:rPr>
          <w:rFonts w:ascii="Arial" w:hAnsi="Arial"/>
          <w:color w:val="525252"/>
          <w:sz w:val="13"/>
        </w:rPr>
        <w:t>personal affairs and family matters are up to date at all times.</w:t>
      </w:r>
    </w:p>
    <w:p>
      <w:pPr>
        <w:spacing w:after="20" w:line="223" w:lineRule="auto"/>
        <w:jc w:val="right"/>
        <w:bidi/>
      </w:pPr>
      <w:r>
        <w:rPr>
          <w:rFonts w:ascii="Arial" w:hAnsi="Arial"/>
          <w:sz w:val="16"/>
        </w:rPr>
        <w:t>359.02  توجه: هیچ اسیر جنگی ایالات متحده فراموش نخواهد شد.</w:t>
      </w:r>
    </w:p>
    <w:p>
      <w:pPr>
        <w:spacing w:after="28" w:line="216" w:lineRule="auto"/>
        <w:ind w:left="259"/>
        <w:jc w:val="left"/>
      </w:pPr>
      <w:r>
        <w:rPr>
          <w:rFonts w:ascii="Arial" w:hAnsi="Arial"/>
          <w:color w:val="525252"/>
          <w:sz w:val="13"/>
        </w:rPr>
        <w:t>Note: No United States prisoner of war will be forgotten.</w:t>
      </w:r>
    </w:p>
    <w:p>
      <w:pPr>
        <w:spacing w:after="20" w:line="223" w:lineRule="auto"/>
        <w:jc w:val="right"/>
        <w:bidi/>
      </w:pPr>
      <w:r>
        <w:rPr>
          <w:rFonts w:ascii="Arial" w:hAnsi="Arial"/>
          <w:sz w:val="16"/>
        </w:rPr>
        <w:t>359.03  از هر وسیله موجود برای برقراری تماس، حمایت و آزادی تمامی اسیران جنگی ما در ایالات متحده استفاده خواهد شد.</w:t>
      </w:r>
    </w:p>
    <w:p>
      <w:pPr>
        <w:spacing w:after="28" w:line="216" w:lineRule="auto"/>
        <w:ind w:left="259"/>
        <w:jc w:val="left"/>
      </w:pPr>
      <w:r>
        <w:rPr>
          <w:rFonts w:ascii="Arial" w:hAnsi="Arial"/>
          <w:color w:val="525252"/>
          <w:sz w:val="13"/>
        </w:rPr>
        <w:t>Every available means will be employed to establish contact with, support, and obtain the release of all our U.S. prisoners of war.</w:t>
      </w:r>
    </w:p>
    <w:p>
      <w:pPr>
        <w:spacing w:after="20" w:line="223" w:lineRule="auto"/>
        <w:jc w:val="right"/>
        <w:bidi/>
      </w:pPr>
      <w:r>
        <w:rPr>
          <w:rFonts w:ascii="Arial" w:hAnsi="Arial"/>
          <w:sz w:val="16"/>
        </w:rPr>
        <w:t>359.04  ۱۹.۱۳. بازداشت پرسنل نظامی ایالات متحده در عملیاتی غیر از جنگ</w:t>
      </w:r>
    </w:p>
    <w:p>
      <w:pPr>
        <w:spacing w:after="28" w:line="216" w:lineRule="auto"/>
        <w:ind w:left="259"/>
        <w:jc w:val="left"/>
      </w:pPr>
      <w:r>
        <w:rPr>
          <w:rFonts w:ascii="Arial" w:hAnsi="Arial"/>
          <w:color w:val="525252"/>
          <w:sz w:val="13"/>
        </w:rPr>
        <w:t>19.13. Detention of U.S. Military Personnel in Operations Other than War</w:t>
      </w:r>
    </w:p>
    <w:p>
      <w:pPr>
        <w:spacing w:after="20" w:line="223" w:lineRule="auto"/>
        <w:jc w:val="right"/>
        <w:bidi/>
      </w:pPr>
      <w:r>
        <w:rPr>
          <w:rFonts w:ascii="Arial" w:hAnsi="Arial"/>
          <w:sz w:val="16"/>
        </w:rPr>
        <w:t>359.05  پرسنل نظامی ایالات متحده که از کنترل ایالات متحده منزوی شده‌اند هنوز هم باید تمام تلاش خود را برای پیروی از سیاست وزارت دفاع و USAF انجام دهند و با افتخار زنده بمانند.</w:t>
      </w:r>
    </w:p>
    <w:p>
      <w:pPr>
        <w:spacing w:after="28" w:line="216" w:lineRule="auto"/>
        <w:ind w:left="259"/>
        <w:jc w:val="left"/>
      </w:pPr>
      <w:r>
        <w:rPr>
          <w:rFonts w:ascii="Arial" w:hAnsi="Arial"/>
          <w:color w:val="525252"/>
          <w:sz w:val="13"/>
        </w:rPr>
        <w:t>U.S. military personnel isolated from U.S. control are still required to do everything in their power to follow Department of Defense and USAF policy and survive with honor.</w:t>
      </w:r>
    </w:p>
    <w:p>
      <w:pPr>
        <w:spacing w:after="20" w:line="223" w:lineRule="auto"/>
        <w:jc w:val="right"/>
        <w:bidi/>
      </w:pPr>
      <w:r>
        <w:rPr>
          <w:rFonts w:ascii="Arial" w:hAnsi="Arial"/>
          <w:sz w:val="16"/>
        </w:rPr>
        <w:t>359.06  حفاظت‌های اساسی موجود برای اسیران جنگی تحت کنوانسیون ژنو را نمی‌توان در طول عملیات‌های غیر از جنگ رعایت کرد. بنابراین، پرسنل بازداشت شده ممکن است مشمول قوانین کیفری داخلی کشور بازداشت شونده باشند.</w:t>
      </w:r>
    </w:p>
    <w:p>
      <w:pPr>
        <w:spacing w:after="28" w:line="216" w:lineRule="auto"/>
        <w:ind w:left="259"/>
        <w:jc w:val="left"/>
      </w:pPr>
      <w:r>
        <w:rPr>
          <w:rFonts w:ascii="Arial" w:hAnsi="Arial"/>
          <w:color w:val="525252"/>
          <w:sz w:val="13"/>
        </w:rPr>
        <w:t>Basic protections available to prisoners of war under the Geneva Conventions may not be adhered to during operations other than war; thus, personnel detained may be subject to the domestic criminal laws of the detaining nation.</w:t>
      </w:r>
    </w:p>
    <w:p>
      <w:pPr>
        <w:spacing w:after="20" w:line="223" w:lineRule="auto"/>
        <w:jc w:val="right"/>
        <w:bidi/>
      </w:pPr>
      <w:r>
        <w:rPr>
          <w:rFonts w:ascii="Arial" w:hAnsi="Arial"/>
          <w:sz w:val="16"/>
        </w:rPr>
        <w:t>359.07  این پرسنل باید از کد رفتار به‌عنوان یک راهنمای اخلاقی استفاده کنند تا به آنها کمک کند تا از آرمان‌های سیاست وزارت دفاع دفاع کنند و با افتخار از مصیبت خود جان سالم به در ببرند.</w:t>
      </w:r>
    </w:p>
    <w:p>
      <w:pPr>
        <w:spacing w:after="28" w:line="216" w:lineRule="auto"/>
        <w:ind w:left="259"/>
        <w:jc w:val="left"/>
      </w:pPr>
      <w:r>
        <w:rPr>
          <w:rFonts w:ascii="Arial" w:hAnsi="Arial"/>
          <w:color w:val="525252"/>
          <w:sz w:val="13"/>
        </w:rPr>
        <w:t>These personnel should use the Code of Conduct as a moral guide to assist them to uphold the ideals of Department of Defense policy and survive their ordeal with honor.</w:t>
      </w:r>
    </w:p>
    <w:p>
      <w:pPr>
        <w:spacing w:after="20" w:line="223" w:lineRule="auto"/>
        <w:jc w:val="right"/>
        <w:bidi/>
      </w:pPr>
      <w:r>
        <w:rPr>
          <w:rFonts w:ascii="Arial" w:hAnsi="Arial"/>
          <w:sz w:val="16"/>
        </w:rPr>
        <w:t>359.08  دلیل.</w:t>
      </w:r>
    </w:p>
    <w:p>
      <w:pPr>
        <w:spacing w:after="28" w:line="216" w:lineRule="auto"/>
        <w:ind w:left="259"/>
        <w:jc w:val="left"/>
      </w:pPr>
      <w:r>
        <w:rPr>
          <w:rFonts w:ascii="Arial" w:hAnsi="Arial"/>
          <w:color w:val="525252"/>
          <w:sz w:val="13"/>
        </w:rPr>
        <w:t>Rationale.</w:t>
      </w:r>
    </w:p>
    <w:p>
      <w:pPr>
        <w:spacing w:after="20" w:line="223" w:lineRule="auto"/>
        <w:jc w:val="right"/>
        <w:bidi/>
      </w:pPr>
      <w:r>
        <w:rPr>
          <w:rFonts w:ascii="Arial" w:hAnsi="Arial"/>
          <w:sz w:val="16"/>
        </w:rPr>
        <w:t>359.09  پرسنل نظامی ایالات متحده به دلیل طیف وسیعی از فعالیت‌های خود، توسط دولت‌های غیردوست بازداشت یا توسط گروه‌های تروریستی اسیر می‌شوند.</w:t>
      </w:r>
    </w:p>
    <w:p>
      <w:pPr>
        <w:spacing w:after="28" w:line="216" w:lineRule="auto"/>
        <w:ind w:left="259"/>
        <w:jc w:val="left"/>
      </w:pPr>
      <w:r>
        <w:rPr>
          <w:rFonts w:ascii="Arial" w:hAnsi="Arial"/>
          <w:color w:val="525252"/>
          <w:sz w:val="13"/>
        </w:rPr>
        <w:t>Because of their wide range of activities, U.S. military personnel are subject to detention by unfriendly governments or captivity by terrorist groups.</w:t>
      </w:r>
    </w:p>
    <w:p>
      <w:pPr>
        <w:spacing w:after="20" w:line="223" w:lineRule="auto"/>
        <w:jc w:val="right"/>
        <w:bidi/>
      </w:pPr>
      <w:r>
        <w:rPr>
          <w:rFonts w:ascii="Arial" w:hAnsi="Arial"/>
          <w:sz w:val="16"/>
        </w:rPr>
        <w:t>359.10  هنگامی که یک دولت متخاصم یا گروه تروریستی پرسنل نظامی ایالات متحده را بازداشت یا دستگیر می‌کند، اسیر کننده اغلب سعی می‌کند از فرد و دولت ایالات متحده برای اهداف خود سوء استفاده کند.</w:t>
      </w:r>
    </w:p>
    <w:p>
      <w:pPr>
        <w:spacing w:after="28" w:line="216" w:lineRule="auto"/>
        <w:ind w:left="259"/>
        <w:jc w:val="left"/>
      </w:pPr>
      <w:r>
        <w:rPr>
          <w:rFonts w:ascii="Arial" w:hAnsi="Arial"/>
          <w:color w:val="525252"/>
          <w:sz w:val="13"/>
        </w:rPr>
        <w:t>When a hostile government or terrorist group detains or captures U.S. military personnel, the captor is often attempting to exploit both the individual and the U.S. Government for its own purposes.</w:t>
      </w:r>
    </w:p>
    <w:p>
      <w:pPr>
        <w:spacing w:after="20" w:line="223" w:lineRule="auto"/>
        <w:jc w:val="right"/>
        <w:bidi/>
      </w:pPr>
      <w:r>
        <w:rPr>
          <w:rFonts w:ascii="Arial" w:hAnsi="Arial"/>
          <w:sz w:val="16"/>
        </w:rPr>
        <w:t>359.11  همانطور که تاریخ نشان داده است، بهره‌کشی می‌تواند شکل‌های مختلفی داشته باشد، مانند اعتراف گروگان به جنایت‌هایی که هرگز مرتکب نشده‌اند، بهره‌برداری از رسانه‌های خبری بین‌المللی، و باج‌خواهی‌های قابل توجه، که همگی می‌توانند منجر به افزایش اعتبار و حمایت از بازداشت‌شونده شوند.</w:t>
      </w:r>
    </w:p>
    <w:p>
      <w:pPr>
        <w:spacing w:after="28" w:line="216" w:lineRule="auto"/>
        <w:ind w:left="259"/>
        <w:jc w:val="left"/>
      </w:pPr>
      <w:r>
        <w:rPr>
          <w:rFonts w:ascii="Arial" w:hAnsi="Arial"/>
          <w:color w:val="525252"/>
          <w:sz w:val="13"/>
        </w:rPr>
        <w:t>As history has shown, exploitation can take many forms, such as hostage confessions to crimes never committed, international news media exploitation, and substantial ransom demands, all of which can lead to increased credibility and support for the detainer.</w:t>
      </w:r>
    </w:p>
    <w:p>
      <w:pPr>
        <w:spacing w:after="20" w:line="223" w:lineRule="auto"/>
        <w:jc w:val="right"/>
        <w:bidi/>
      </w:pPr>
      <w:r>
        <w:rPr>
          <w:rFonts w:ascii="Arial" w:hAnsi="Arial"/>
          <w:sz w:val="16"/>
        </w:rPr>
        <w:t>359.12  مسئولیت. پرسنل نظامی ایالات متحده که توسط دولت‌های غیردوست بازداشت شده‌اند یا توسط یک گروه تروریستی گروگان گرفته شده‌اند، باید تمام تلاش خود را برای زنده ماندن با افتخار انجام دهند.</w:t>
      </w:r>
    </w:p>
    <w:p>
      <w:pPr>
        <w:spacing w:after="28" w:line="216" w:lineRule="auto"/>
        <w:ind w:left="259"/>
        <w:jc w:val="left"/>
      </w:pPr>
      <w:r>
        <w:rPr>
          <w:rFonts w:ascii="Arial" w:hAnsi="Arial"/>
          <w:color w:val="525252"/>
          <w:sz w:val="13"/>
        </w:rPr>
        <w:t>Responsibility. U.S. military personnel detained by unfriendly governments or held hostage by a terrorist group must do everything in their power to survive with honor.</w:t>
      </w:r>
    </w:p>
    <w:p>
      <w:pPr>
        <w:spacing w:after="20" w:line="223" w:lineRule="auto"/>
        <w:jc w:val="right"/>
        <w:bidi/>
      </w:pPr>
      <w:r>
        <w:rPr>
          <w:rFonts w:ascii="Arial" w:hAnsi="Arial"/>
          <w:sz w:val="16"/>
        </w:rPr>
        <w:t>359.13  علاوه بر این، چه پرسنل نظامی ایالات متحده بازداشت شوند یا گروگان گرفته شوند، می‌توانند مطمئن باشند که دولت ایالات متحده تمام تلاش خود را برای آزادی آنها به کار خواهد گرفت.</w:t>
      </w:r>
    </w:p>
    <w:p>
      <w:pPr>
        <w:spacing w:after="28" w:line="216" w:lineRule="auto"/>
        <w:ind w:left="259"/>
        <w:jc w:val="left"/>
      </w:pPr>
      <w:r>
        <w:rPr>
          <w:rFonts w:ascii="Arial" w:hAnsi="Arial"/>
          <w:color w:val="525252"/>
          <w:sz w:val="13"/>
        </w:rPr>
        <w:t>Furthermore, whether United States military personnel are detained or held hostage, they can be sure the U.S. Government will make every effort to obtain their release.</w:t>
      </w:r>
    </w:p>
    <w:p>
      <w:pPr>
        <w:spacing w:after="20" w:line="223" w:lineRule="auto"/>
        <w:jc w:val="right"/>
        <w:bidi/>
      </w:pPr>
      <w:r>
        <w:rPr>
          <w:rFonts w:ascii="Arial" w:hAnsi="Arial"/>
          <w:sz w:val="16"/>
        </w:rPr>
        <w:t>359.14  برای زنده ماندن از این وضعیت، پرسنل نظامی باید به کشور خود، به هم نوعان خود در بازداشت یا اسیر و مهم‌تر از همه به خود ایمان داشته باشند.</w:t>
      </w:r>
    </w:p>
    <w:p>
      <w:pPr>
        <w:spacing w:after="28" w:line="216" w:lineRule="auto"/>
        <w:ind w:left="259"/>
        <w:jc w:val="left"/>
      </w:pPr>
      <w:r>
        <w:rPr>
          <w:rFonts w:ascii="Arial" w:hAnsi="Arial"/>
          <w:color w:val="525252"/>
          <w:sz w:val="13"/>
        </w:rPr>
        <w:t>To best survive the situation, military personnel must maintain faith in their country, in fellow detainees or captives, and most importantly, in themselves.</w:t>
      </w:r>
    </w:p>
    <w:p>
      <w:pPr>
        <w:spacing w:after="20" w:line="223" w:lineRule="auto"/>
        <w:jc w:val="right"/>
        <w:bidi/>
      </w:pPr>
      <w:r>
        <w:rPr>
          <w:rFonts w:ascii="Arial" w:hAnsi="Arial"/>
          <w:sz w:val="16"/>
        </w:rPr>
        <w:t>359.15  در هر وضعیت اسارت گروهی، اسرای نظامی باید تا حد امکان زیر نظر عضو ارشد نظامی حاضر سازماندهی کنند.</w:t>
      </w:r>
    </w:p>
    <w:p>
      <w:pPr>
        <w:spacing w:after="28" w:line="216" w:lineRule="auto"/>
        <w:ind w:left="259"/>
        <w:jc w:val="left"/>
      </w:pPr>
      <w:r>
        <w:rPr>
          <w:rFonts w:ascii="Arial" w:hAnsi="Arial"/>
          <w:color w:val="525252"/>
          <w:sz w:val="13"/>
        </w:rPr>
        <w:t>In any group captivity situation, military captives must organize to the fullest extent possible under the senior military member present.</w:t>
      </w:r>
    </w:p>
    <w:p>
      <w:pPr>
        <w:spacing w:after="20" w:line="223" w:lineRule="auto"/>
        <w:jc w:val="right"/>
        <w:bidi/>
      </w:pPr>
      <w:r>
        <w:rPr>
          <w:rFonts w:ascii="Arial" w:hAnsi="Arial"/>
          <w:sz w:val="16"/>
        </w:rPr>
        <w:t>359.16  اگر غیرنظامیان بخشی از گروه هستند، باید آنها را تشویق به مشارکت کرد.</w:t>
      </w:r>
    </w:p>
    <w:p>
      <w:pPr>
        <w:spacing w:after="28" w:line="216" w:lineRule="auto"/>
        <w:ind w:left="259"/>
        <w:jc w:val="left"/>
      </w:pPr>
      <w:r>
        <w:rPr>
          <w:rFonts w:ascii="Arial" w:hAnsi="Arial"/>
          <w:color w:val="525252"/>
          <w:sz w:val="13"/>
        </w:rPr>
        <w:t>If civilians are part of the group, they should be encouraged to participate.</w:t>
      </w:r>
    </w:p>
    <w:p>
      <w:pPr>
        <w:spacing w:after="20" w:line="223" w:lineRule="auto"/>
        <w:jc w:val="right"/>
        <w:bidi/>
      </w:pPr>
      <w:r>
        <w:rPr>
          <w:rFonts w:ascii="Arial" w:hAnsi="Arial"/>
          <w:sz w:val="16"/>
        </w:rPr>
        <w:t>359.17  پرسنل نظامی ایالات متحده باید تمام تلاش منطقی را برای جلوگیری از استثمار ربوده‌کنندگان از آنها و دولت ایالات متحده انجام دهند.</w:t>
      </w:r>
    </w:p>
    <w:p>
      <w:pPr>
        <w:spacing w:after="28" w:line="216" w:lineRule="auto"/>
        <w:ind w:left="259"/>
        <w:jc w:val="left"/>
      </w:pPr>
      <w:r>
        <w:rPr>
          <w:rFonts w:ascii="Arial" w:hAnsi="Arial"/>
          <w:color w:val="525252"/>
          <w:sz w:val="13"/>
        </w:rPr>
        <w:t>United States military personnel must make every reasonable effort to prevent captors from exploiting them and the U.S. Government.</w:t>
      </w:r>
    </w:p>
    <w:p>
      <w:pPr>
        <w:spacing w:after="20" w:line="223" w:lineRule="auto"/>
        <w:jc w:val="right"/>
        <w:bidi/>
      </w:pPr>
      <w:r>
        <w:rPr>
          <w:rFonts w:ascii="Arial" w:hAnsi="Arial"/>
          <w:sz w:val="16"/>
        </w:rPr>
        <w:t>359.18  اگر نتوان از استثمار جلوگیری کرد، اعضای نظامی باید تلاش کنند تا آن را محدود کنند.</w:t>
      </w:r>
    </w:p>
    <w:p>
      <w:pPr>
        <w:spacing w:after="28" w:line="216" w:lineRule="auto"/>
        <w:ind w:left="259"/>
        <w:jc w:val="left"/>
      </w:pPr>
      <w:r>
        <w:rPr>
          <w:rFonts w:ascii="Arial" w:hAnsi="Arial"/>
          <w:color w:val="525252"/>
          <w:sz w:val="13"/>
        </w:rPr>
        <w:t>If exploitation cannot be prevented, military members must attempt to limit it.</w:t>
      </w:r>
    </w:p>
    <w:p>
      <w:pPr>
        <w:spacing w:after="20" w:line="223" w:lineRule="auto"/>
        <w:jc w:val="right"/>
        <w:bidi/>
      </w:pPr>
      <w:r>
        <w:rPr>
          <w:rFonts w:ascii="Arial" w:hAnsi="Arial"/>
          <w:sz w:val="16"/>
        </w:rPr>
        <w:t>359.19  اگر بازداشت‌شدگان اسیرکنندگان خود را به ارزش تبلیغاتی پایین خود متقاعد کنند، اسیرکنندگان ممکن است به دنبال پایان سریع وضعیت باشند.</w:t>
      </w:r>
    </w:p>
    <w:p>
      <w:pPr>
        <w:spacing w:after="28" w:line="216" w:lineRule="auto"/>
        <w:ind w:left="259"/>
        <w:jc w:val="left"/>
      </w:pPr>
      <w:r>
        <w:rPr>
          <w:rFonts w:ascii="Arial" w:hAnsi="Arial"/>
          <w:color w:val="525252"/>
          <w:sz w:val="13"/>
        </w:rPr>
        <w:t>If detainees convince their captors of their low propaganda value, the captors may seek a quick end to the situation.</w:t>
      </w:r>
    </w:p>
    <w:p>
      <w:pPr>
        <w:spacing w:after="20" w:line="223" w:lineRule="auto"/>
        <w:jc w:val="right"/>
        <w:bidi/>
      </w:pPr>
      <w:r>
        <w:rPr>
          <w:rFonts w:ascii="Arial" w:hAnsi="Arial"/>
          <w:sz w:val="16"/>
        </w:rPr>
        <w:t>359.20  هنگامی که یک وضعیت بازداشت یا گروگان به پایان می‌رسد، اعضای نظامی که صادقانه می‌توانند بگویند که تمام تلاش خود را برای مقاومت در برابر استثمار انجام داده‌اند، از سیاست وزارت دفاع، اصول بنیادی ایالات متحده و بالاترین سنت‌های خدمت سربازی حمایت خواهند کرد.</w:t>
      </w:r>
    </w:p>
    <w:p>
      <w:pPr>
        <w:spacing w:after="28" w:line="216" w:lineRule="auto"/>
        <w:ind w:left="259"/>
        <w:jc w:val="left"/>
      </w:pPr>
      <w:r>
        <w:rPr>
          <w:rFonts w:ascii="Arial" w:hAnsi="Arial"/>
          <w:color w:val="525252"/>
          <w:sz w:val="13"/>
        </w:rPr>
        <w:t>When a detention or hostage situation ends, military members who can honestly say they did their utmost to resist exploitation will have upheld Department of Defense policy, the founding principles of the United States, and the highest traditions of military service.</w:t>
      </w:r>
    </w:p>
    <w:p>
      <w:pPr>
        <w:spacing w:after="20" w:line="223" w:lineRule="auto"/>
        <w:jc w:val="right"/>
        <w:bidi/>
      </w:pPr>
      <w:r>
        <w:rPr>
          <w:rFonts w:ascii="Arial" w:hAnsi="Arial"/>
          <w:sz w:val="16"/>
        </w:rPr>
        <w:t>359.21  باربری و ادب. پرسنل نظامی ایالات متحده بدون توجه به نوع بازداشت یا اسارت یا رفتار وحشیانه، باید رفتار نظامی خود را حفظ کنند.</w:t>
      </w:r>
    </w:p>
    <w:p>
      <w:pPr>
        <w:spacing w:after="28" w:line="216" w:lineRule="auto"/>
        <w:ind w:left="259"/>
        <w:jc w:val="left"/>
      </w:pPr>
      <w:r>
        <w:rPr>
          <w:rFonts w:ascii="Arial" w:hAnsi="Arial"/>
          <w:color w:val="525252"/>
          <w:sz w:val="13"/>
        </w:rPr>
        <w:t>Military Bearing and Courtesy. U.S. military personnel shall maintain military bearing, regardless of the type of detention or captivity, or brutality of treatment.</w:t>
      </w:r>
    </w:p>
    <w:p>
      <w:pPr>
        <w:spacing w:after="20" w:line="223" w:lineRule="auto"/>
        <w:jc w:val="right"/>
        <w:bidi/>
      </w:pPr>
      <w:r>
        <w:rPr>
          <w:rFonts w:ascii="Arial" w:hAnsi="Arial"/>
          <w:sz w:val="16"/>
        </w:rPr>
        <w:t>359.22  آن‌ها باید تمام تلاش خود را برای حفظ آرامش و مودب بودن، به نمایش گذاشتن حیثیت شخصی، به‌ویژه در طول فرآیند دستگیری و مراحل اولیه اسارت، زمانی که اسیرکنندگان ممکن است از کنترل خود بر اسیران نامطمئن باشند، بکار گیرند.</w:t>
      </w:r>
    </w:p>
    <w:p>
      <w:pPr>
        <w:spacing w:after="28" w:line="216" w:lineRule="auto"/>
        <w:ind w:left="259"/>
        <w:jc w:val="left"/>
      </w:pPr>
      <w:r>
        <w:rPr>
          <w:rFonts w:ascii="Arial" w:hAnsi="Arial"/>
          <w:color w:val="525252"/>
          <w:sz w:val="13"/>
        </w:rPr>
        <w:t>They should make every effort to remain calm and courteous, and project personal dignity, particularly during the process of capture and the early stages of internment when captors may be uncertain of their control over the captives.</w:t>
      </w:r>
    </w:p>
    <w:p>
      <w:pPr>
        <w:spacing w:after="20" w:line="223" w:lineRule="auto"/>
        <w:jc w:val="right"/>
        <w:bidi/>
      </w:pPr>
      <w:r>
        <w:rPr>
          <w:rFonts w:ascii="Arial" w:hAnsi="Arial"/>
          <w:sz w:val="16"/>
        </w:rPr>
        <w:t>359.23  رفتار غیر نظامی و غیراخلاقی به ندرت منافع دراز مدت یک زندانی یا گروگان را تأمین می‌کند و اغلب منجر به مجازات غیرضروری می‌شود که هیچ هدف مفیدی ندارد.</w:t>
      </w:r>
    </w:p>
    <w:p>
      <w:pPr>
        <w:spacing w:after="28" w:line="216" w:lineRule="auto"/>
        <w:ind w:left="259"/>
        <w:jc w:val="left"/>
      </w:pPr>
      <w:r>
        <w:rPr>
          <w:rFonts w:ascii="Arial" w:hAnsi="Arial"/>
          <w:color w:val="525252"/>
          <w:sz w:val="13"/>
        </w:rPr>
        <w:t>Discourteous, nonmilitary behavior seldom serves long-term interests of a detainee or hostage and often results in unnecessary punishment that serves no useful purpose.</w:t>
      </w:r>
    </w:p>
    <w:p>
      <w:pPr>
        <w:spacing w:after="20" w:line="223" w:lineRule="auto"/>
        <w:jc w:val="right"/>
        <w:bidi/>
      </w:pPr>
      <w:r>
        <w:rPr>
          <w:rFonts w:ascii="Arial" w:hAnsi="Arial"/>
          <w:sz w:val="16"/>
        </w:rPr>
        <w:t>359.24  چنین رفتاری ممکن است بقا را به خطر بیندازد و تلاش‌ها برای آزادی بازداشت‌شده یا گروگان را پیچیده کند.</w:t>
      </w:r>
    </w:p>
    <w:p>
      <w:pPr>
        <w:spacing w:after="28" w:line="216" w:lineRule="auto"/>
        <w:ind w:left="259"/>
        <w:jc w:val="left"/>
      </w:pPr>
      <w:r>
        <w:rPr>
          <w:rFonts w:ascii="Arial" w:hAnsi="Arial"/>
          <w:color w:val="525252"/>
          <w:sz w:val="13"/>
        </w:rPr>
        <w:t>Such behavior may jeopardize survival and complicate efforts to gain release of the detainee or hostage.</w:t>
      </w:r>
    </w:p>
    <w:p>
      <w:pPr>
        <w:spacing w:after="20" w:line="223" w:lineRule="auto"/>
        <w:jc w:val="right"/>
        <w:bidi/>
      </w:pPr>
      <w:r>
        <w:rPr>
          <w:rFonts w:ascii="Arial" w:hAnsi="Arial"/>
          <w:sz w:val="16"/>
        </w:rPr>
        <w:t>359.25  راهنمای بازداشت توسط دولت‌ها.</w:t>
      </w:r>
    </w:p>
    <w:p>
      <w:pPr>
        <w:spacing w:after="28" w:line="216" w:lineRule="auto"/>
        <w:ind w:left="259"/>
        <w:jc w:val="left"/>
      </w:pPr>
      <w:r>
        <w:rPr>
          <w:rFonts w:ascii="Arial" w:hAnsi="Arial"/>
          <w:color w:val="525252"/>
          <w:sz w:val="13"/>
        </w:rPr>
        <w:t>Guidance for Detention by Governments.</w:t>
      </w:r>
    </w:p>
    <w:p>
      <w:pPr>
        <w:spacing w:after="20" w:line="223" w:lineRule="auto"/>
        <w:jc w:val="right"/>
        <w:bidi/>
      </w:pPr>
      <w:r>
        <w:rPr>
          <w:rFonts w:ascii="Arial" w:hAnsi="Arial"/>
          <w:sz w:val="16"/>
        </w:rPr>
        <w:t>359.26  بازداشت شدگان در بازداشت یک دولت غیردوست، صرف نظر از شرایطی که منجر به بازداشت شده است، تابع قوانین آن دولت هستند.</w:t>
      </w:r>
    </w:p>
    <w:p>
      <w:pPr>
        <w:spacing w:after="28" w:line="216" w:lineRule="auto"/>
        <w:ind w:left="259"/>
        <w:jc w:val="left"/>
      </w:pPr>
      <w:r>
        <w:rPr>
          <w:rFonts w:ascii="Arial" w:hAnsi="Arial"/>
          <w:color w:val="525252"/>
          <w:sz w:val="13"/>
        </w:rPr>
        <w:t>Detainees in the custody of an unfriendly government, regardless of the circumstances that resulted in the detention, are subject to the laws of that government.</w:t>
      </w:r>
    </w:p>
    <w:p>
      <w:pPr>
        <w:spacing w:after="20" w:line="223" w:lineRule="auto"/>
        <w:jc w:val="right"/>
        <w:bidi/>
      </w:pPr>
      <w:r>
        <w:rPr>
          <w:rFonts w:ascii="Arial" w:hAnsi="Arial"/>
          <w:sz w:val="16"/>
        </w:rPr>
        <w:t>359.27  زندانیان باید رفتار نظامی خود را حفظ کنند و از رفتار تهاجمی، جنگی یا غیرقانونی که ممکن است وضعیت، وضعیت قانونی یا تلاش برای مذاکره برای آزادی سریع آنها را پیچیده کند، اجتناب کنند.</w:t>
      </w:r>
    </w:p>
    <w:p>
      <w:pPr>
        <w:spacing w:after="28" w:line="216" w:lineRule="auto"/>
        <w:ind w:left="259"/>
        <w:jc w:val="left"/>
      </w:pPr>
      <w:r>
        <w:rPr>
          <w:rFonts w:ascii="Arial" w:hAnsi="Arial"/>
          <w:color w:val="525252"/>
          <w:sz w:val="13"/>
        </w:rPr>
        <w:t>Detainees must maintain military bearing and avoid aggressive, combative, or illegal behavior that may complicate their situation, legal status, or efforts to negotiate a rapid release.</w:t>
      </w:r>
    </w:p>
    <w:p>
      <w:pPr>
        <w:spacing w:after="20" w:line="223" w:lineRule="auto"/>
        <w:jc w:val="right"/>
        <w:bidi/>
      </w:pPr>
      <w:r>
        <w:rPr>
          <w:rFonts w:ascii="Arial" w:hAnsi="Arial"/>
          <w:sz w:val="16"/>
        </w:rPr>
        <w:t>359.28  به‌عنوان شهروندان آمریکایی، بازداشت شدگان باید فورا و به‌طور مستمر از پرسنل سفارت ایالات متحده یا نماینده یک دولت متحد یا بی طرف بخواهند.</w:t>
      </w:r>
    </w:p>
    <w:p>
      <w:pPr>
        <w:spacing w:after="28" w:line="216" w:lineRule="auto"/>
        <w:ind w:left="259"/>
        <w:jc w:val="left"/>
      </w:pPr>
      <w:r>
        <w:rPr>
          <w:rFonts w:ascii="Arial" w:hAnsi="Arial"/>
          <w:color w:val="525252"/>
          <w:sz w:val="13"/>
        </w:rPr>
        <w:t>As American citizens, detainees should ask immediately and continually to see United States embassy personnel or a representative of an allied or neutral government.</w:t>
      </w:r>
    </w:p>
    <w:p>
      <w:pPr>
        <w:spacing w:after="20" w:line="223" w:lineRule="auto"/>
        <w:jc w:val="right"/>
        <w:bidi/>
      </w:pPr>
      <w:r>
        <w:rPr>
          <w:rFonts w:ascii="Arial" w:hAnsi="Arial"/>
          <w:sz w:val="16"/>
        </w:rPr>
        <w:t>359.29  پرسنل نظامی ایالات متحده که در طی عملیاتی غیر از جنگ در یک کشور خارجی غیردوستانه گم یا منزوی شوند، در طول تلاش برای فرار به‌عنوان جنگجو عمل نخواهند کرد.</w:t>
      </w:r>
    </w:p>
    <w:p>
      <w:pPr>
        <w:spacing w:after="28" w:line="216" w:lineRule="auto"/>
        <w:ind w:left="259"/>
        <w:jc w:val="left"/>
      </w:pPr>
      <w:r>
        <w:rPr>
          <w:rFonts w:ascii="Arial" w:hAnsi="Arial"/>
          <w:color w:val="525252"/>
          <w:sz w:val="13"/>
        </w:rPr>
        <w:t>United States military personnel who become lost or isolated in an unfriendly foreign country during operations other than war will not act as combatants during evasion attempts.</w:t>
      </w:r>
    </w:p>
    <w:p>
      <w:pPr>
        <w:spacing w:after="20" w:line="223" w:lineRule="auto"/>
        <w:jc w:val="right"/>
        <w:bidi/>
      </w:pPr>
      <w:r>
        <w:rPr>
          <w:rFonts w:ascii="Arial" w:hAnsi="Arial"/>
          <w:sz w:val="16"/>
        </w:rPr>
        <w:t>359.30  در طول عملیات غیر از جنگ، وجود ندارد</w:t>
      </w:r>
    </w:p>
    <w:p>
      <w:pPr>
        <w:spacing w:after="28" w:line="216" w:lineRule="auto"/>
        <w:ind w:left="259"/>
        <w:jc w:val="left"/>
      </w:pPr>
      <w:r>
        <w:rPr>
          <w:rFonts w:ascii="Arial" w:hAnsi="Arial"/>
          <w:color w:val="525252"/>
          <w:sz w:val="13"/>
        </w:rPr>
        <w:t>During operations other than war, there is no</w:t>
      </w:r>
    </w:p>
    <w:p>
      <w:r>
        <w:br w:type="page"/>
      </w:r>
    </w:p>
    <w:p>
      <w:pPr>
        <w:spacing w:after="60"/>
        <w:jc w:val="right"/>
        <w:bidi/>
      </w:pPr>
      <w:r>
        <w:rPr>
          <w:rFonts w:ascii="Arial" w:hAnsi="Arial"/>
          <w:b/>
          <w:color w:val="1F4D78"/>
          <w:sz w:val="19"/>
        </w:rPr>
        <w:t>هفتهٔ 360  |  صفحهٔ منبع: 376</w:t>
      </w:r>
    </w:p>
    <w:p>
      <w:pPr>
        <w:spacing w:after="20" w:line="223" w:lineRule="auto"/>
        <w:jc w:val="right"/>
        <w:bidi/>
      </w:pPr>
      <w:r>
        <w:rPr>
          <w:rFonts w:ascii="Arial" w:hAnsi="Arial"/>
          <w:sz w:val="16"/>
        </w:rPr>
        <w:t>360.01  حفاظت ارائه شده بر اساس کنوانسیون ژنو.</w:t>
      </w:r>
    </w:p>
    <w:p>
      <w:pPr>
        <w:spacing w:after="28" w:line="216" w:lineRule="auto"/>
        <w:ind w:left="259"/>
        <w:jc w:val="left"/>
      </w:pPr>
      <w:r>
        <w:rPr>
          <w:rFonts w:ascii="Arial" w:hAnsi="Arial"/>
          <w:color w:val="525252"/>
          <w:sz w:val="13"/>
        </w:rPr>
        <w:t>protection afforded under the Geneva Conventions.</w:t>
      </w:r>
    </w:p>
    <w:p>
      <w:pPr>
        <w:spacing w:after="20" w:line="223" w:lineRule="auto"/>
        <w:jc w:val="right"/>
        <w:bidi/>
      </w:pPr>
      <w:r>
        <w:rPr>
          <w:rFonts w:ascii="Arial" w:hAnsi="Arial"/>
          <w:sz w:val="16"/>
        </w:rPr>
        <w:t>360.02  قوانین مدنی آن کشور اعمال می‌شود.</w:t>
      </w:r>
    </w:p>
    <w:p>
      <w:pPr>
        <w:spacing w:after="28" w:line="216" w:lineRule="auto"/>
        <w:ind w:left="259"/>
        <w:jc w:val="left"/>
      </w:pPr>
      <w:r>
        <w:rPr>
          <w:rFonts w:ascii="Arial" w:hAnsi="Arial"/>
          <w:color w:val="525252"/>
          <w:sz w:val="13"/>
        </w:rPr>
        <w:t>The civil laws of that country apply.</w:t>
      </w:r>
    </w:p>
    <w:p>
      <w:pPr>
        <w:spacing w:after="20" w:line="223" w:lineRule="auto"/>
        <w:jc w:val="right"/>
        <w:bidi/>
      </w:pPr>
      <w:r>
        <w:rPr>
          <w:rFonts w:ascii="Arial" w:hAnsi="Arial"/>
          <w:sz w:val="16"/>
        </w:rPr>
        <w:t>360.03  هدف یک زندانی ممکن است حداکثر بهره‌برداری سیاسی باشد.</w:t>
      </w:r>
    </w:p>
    <w:p>
      <w:pPr>
        <w:spacing w:after="28" w:line="216" w:lineRule="auto"/>
        <w:ind w:left="259"/>
        <w:jc w:val="left"/>
      </w:pPr>
      <w:r>
        <w:rPr>
          <w:rFonts w:ascii="Arial" w:hAnsi="Arial"/>
          <w:color w:val="525252"/>
          <w:sz w:val="13"/>
        </w:rPr>
        <w:t>A detainer’s goal may be maximum political exploitation.</w:t>
      </w:r>
    </w:p>
    <w:p>
      <w:pPr>
        <w:spacing w:after="20" w:line="223" w:lineRule="auto"/>
        <w:jc w:val="right"/>
        <w:bidi/>
      </w:pPr>
      <w:r>
        <w:rPr>
          <w:rFonts w:ascii="Arial" w:hAnsi="Arial"/>
          <w:sz w:val="16"/>
        </w:rPr>
        <w:t>360.04  پرسنل نظامی بازداشت شده ایالات متحده باید در هر کاری که می‌گویند و انجام می‌دهند محتاط باشند.</w:t>
      </w:r>
    </w:p>
    <w:p>
      <w:pPr>
        <w:spacing w:after="28" w:line="216" w:lineRule="auto"/>
        <w:ind w:left="259"/>
        <w:jc w:val="left"/>
      </w:pPr>
      <w:r>
        <w:rPr>
          <w:rFonts w:ascii="Arial" w:hAnsi="Arial"/>
          <w:color w:val="525252"/>
          <w:sz w:val="13"/>
        </w:rPr>
        <w:t>Detained U.S. military personnel must be cautious in all they say and do.</w:t>
      </w:r>
    </w:p>
    <w:p>
      <w:pPr>
        <w:spacing w:after="20" w:line="223" w:lineRule="auto"/>
        <w:jc w:val="right"/>
        <w:bidi/>
      </w:pPr>
      <w:r>
        <w:rPr>
          <w:rFonts w:ascii="Arial" w:hAnsi="Arial"/>
          <w:sz w:val="16"/>
        </w:rPr>
        <w:t>360.05  علاوه بر درخواست نماینده ایالات متحده، بازداشت شدگان باید نام، رتبه، شماره خدمت، تاریخ تولد و شرایط بی گناهی که منجر به بازداشت آنها شده است را ارائه دهند.</w:t>
      </w:r>
    </w:p>
    <w:p>
      <w:pPr>
        <w:spacing w:after="28" w:line="216" w:lineRule="auto"/>
        <w:ind w:left="259"/>
        <w:jc w:val="left"/>
      </w:pPr>
      <w:r>
        <w:rPr>
          <w:rFonts w:ascii="Arial" w:hAnsi="Arial"/>
          <w:color w:val="525252"/>
          <w:sz w:val="13"/>
        </w:rPr>
        <w:t>In addition to asking for a U.S. representative, detainees should provide name, rank, service number, date of birth, and the innocent circumstances leading to their detention.</w:t>
      </w:r>
    </w:p>
    <w:p>
      <w:pPr>
        <w:spacing w:after="20" w:line="223" w:lineRule="auto"/>
        <w:jc w:val="right"/>
        <w:bidi/>
      </w:pPr>
      <w:r>
        <w:rPr>
          <w:rFonts w:ascii="Arial" w:hAnsi="Arial"/>
          <w:sz w:val="16"/>
        </w:rPr>
        <w:t>360.06  آنها باید بحث‌های بیشتر را به مسائل بهداشتی و رفاهی، شرایط هم نوعان خود و رفتن به خانه محدود کنند.</w:t>
      </w:r>
    </w:p>
    <w:p>
      <w:pPr>
        <w:spacing w:after="28" w:line="216" w:lineRule="auto"/>
        <w:ind w:left="259"/>
        <w:jc w:val="left"/>
      </w:pPr>
      <w:r>
        <w:rPr>
          <w:rFonts w:ascii="Arial" w:hAnsi="Arial"/>
          <w:color w:val="525252"/>
          <w:sz w:val="13"/>
        </w:rPr>
        <w:t>They should limit further discussions to health and welfare matters, conditions of their fellow detainees, and going home.</w:t>
      </w:r>
    </w:p>
    <w:p>
      <w:pPr>
        <w:spacing w:after="20" w:line="223" w:lineRule="auto"/>
        <w:jc w:val="right"/>
        <w:bidi/>
      </w:pPr>
      <w:r>
        <w:rPr>
          <w:rFonts w:ascii="Arial" w:hAnsi="Arial"/>
          <w:sz w:val="16"/>
        </w:rPr>
        <w:t>360.07  بازداشت شدگان باید از امضای اسناد یا اظهارنامه خودداری کنند.</w:t>
      </w:r>
    </w:p>
    <w:p>
      <w:pPr>
        <w:spacing w:after="28" w:line="216" w:lineRule="auto"/>
        <w:ind w:left="259"/>
        <w:jc w:val="left"/>
      </w:pPr>
      <w:r>
        <w:rPr>
          <w:rFonts w:ascii="Arial" w:hAnsi="Arial"/>
          <w:color w:val="525252"/>
          <w:sz w:val="13"/>
        </w:rPr>
        <w:t>Detainees should avoid signing documents or making statements.</w:t>
      </w:r>
    </w:p>
    <w:p>
      <w:pPr>
        <w:spacing w:after="20" w:line="223" w:lineRule="auto"/>
        <w:jc w:val="right"/>
        <w:bidi/>
      </w:pPr>
      <w:r>
        <w:rPr>
          <w:rFonts w:ascii="Arial" w:hAnsi="Arial"/>
          <w:sz w:val="16"/>
        </w:rPr>
        <w:t>360.08  در صورت اجبار، باید تا حد امکان اطلاعات کمتری ارائه دهند. زندانیان ارتش ایالات متحده نباید از آزادی امتناع کنند، مگر اینکه انجام این کار مستلزم به خطر انداختن آبروی خود یا آسیب رساندن به دولت ایالات متحده یا متحدان آن باشد.</w:t>
      </w:r>
    </w:p>
    <w:p>
      <w:pPr>
        <w:spacing w:after="28" w:line="216" w:lineRule="auto"/>
        <w:ind w:left="259"/>
        <w:jc w:val="left"/>
      </w:pPr>
      <w:r>
        <w:rPr>
          <w:rFonts w:ascii="Arial" w:hAnsi="Arial"/>
          <w:color w:val="525252"/>
          <w:sz w:val="13"/>
        </w:rPr>
        <w:t>If forced, they must provide as little information as possible. U.S. military detainees should not refuse release, unless doing so requires them to compromise their honor or cause damage to the U.S. Government or its allies.</w:t>
      </w:r>
    </w:p>
    <w:p>
      <w:pPr>
        <w:spacing w:after="20" w:line="223" w:lineRule="auto"/>
        <w:jc w:val="right"/>
        <w:bidi/>
      </w:pPr>
      <w:r>
        <w:rPr>
          <w:rFonts w:ascii="Arial" w:hAnsi="Arial"/>
          <w:sz w:val="16"/>
        </w:rPr>
        <w:t>360.09  تلاش برای فرار توسط دولت‌های غیردوست توسط سیاست وزارت دفاع توصیه نمی‌شود مگر در شرایط تهدید کننده زندگی.</w:t>
      </w:r>
    </w:p>
    <w:p>
      <w:pPr>
        <w:spacing w:after="28" w:line="216" w:lineRule="auto"/>
        <w:ind w:left="259"/>
        <w:jc w:val="left"/>
      </w:pPr>
      <w:r>
        <w:rPr>
          <w:rFonts w:ascii="Arial" w:hAnsi="Arial"/>
          <w:color w:val="525252"/>
          <w:sz w:val="13"/>
        </w:rPr>
        <w:t>Attempting to escape by unfriendly governments is not recommended by Department of Defense policy except under life threatening circumstances.</w:t>
      </w:r>
    </w:p>
    <w:p>
      <w:pPr>
        <w:spacing w:after="20" w:line="223" w:lineRule="auto"/>
        <w:jc w:val="right"/>
        <w:bidi/>
      </w:pPr>
      <w:r>
        <w:rPr>
          <w:rFonts w:ascii="Arial" w:hAnsi="Arial"/>
          <w:sz w:val="16"/>
        </w:rPr>
        <w:t>360.10  زیرا تلاش یا فرار واقعی از یک مرکز حبس دولتی احتمالا نقض قوانین جزایی دولت غیردوستانه است و ممکن است فراری را تحت تعقیب کیفری افزایش دهد.</w:t>
      </w:r>
    </w:p>
    <w:p>
      <w:pPr>
        <w:spacing w:after="28" w:line="216" w:lineRule="auto"/>
        <w:ind w:left="259"/>
        <w:jc w:val="left"/>
      </w:pPr>
      <w:r>
        <w:rPr>
          <w:rFonts w:ascii="Arial" w:hAnsi="Arial"/>
          <w:color w:val="525252"/>
          <w:sz w:val="13"/>
        </w:rPr>
        <w:t>This is because attempted or actual escape from a government confinement facility will likely constitute a violation of the unfriendly government’s criminal law and may subject the escapee to increased criminal prosecution.</w:t>
      </w:r>
    </w:p>
    <w:p>
      <w:pPr>
        <w:spacing w:after="20" w:line="223" w:lineRule="auto"/>
        <w:jc w:val="right"/>
        <w:bidi/>
      </w:pPr>
      <w:r>
        <w:rPr>
          <w:rFonts w:ascii="Arial" w:hAnsi="Arial"/>
          <w:sz w:val="16"/>
        </w:rPr>
        <w:t>360.11  گروگان تروریست.</w:t>
      </w:r>
    </w:p>
    <w:p>
      <w:pPr>
        <w:spacing w:after="28" w:line="216" w:lineRule="auto"/>
        <w:ind w:left="259"/>
        <w:jc w:val="left"/>
      </w:pPr>
      <w:r>
        <w:rPr>
          <w:rFonts w:ascii="Arial" w:hAnsi="Arial"/>
          <w:color w:val="525252"/>
          <w:sz w:val="13"/>
        </w:rPr>
        <w:t>Terrorist Hostage.</w:t>
      </w:r>
    </w:p>
    <w:p>
      <w:pPr>
        <w:spacing w:after="20" w:line="223" w:lineRule="auto"/>
        <w:jc w:val="right"/>
        <w:bidi/>
      </w:pPr>
      <w:r>
        <w:rPr>
          <w:rFonts w:ascii="Arial" w:hAnsi="Arial"/>
          <w:sz w:val="16"/>
        </w:rPr>
        <w:t>360.12  دستگیری توسط تروریست‌ها عموما کمترین پیش بینی و ساختارمندترین شکل عملیات است.</w:t>
      </w:r>
    </w:p>
    <w:p>
      <w:pPr>
        <w:spacing w:after="28" w:line="216" w:lineRule="auto"/>
        <w:ind w:left="259"/>
        <w:jc w:val="left"/>
      </w:pPr>
      <w:r>
        <w:rPr>
          <w:rFonts w:ascii="Arial" w:hAnsi="Arial"/>
          <w:color w:val="525252"/>
          <w:sz w:val="13"/>
        </w:rPr>
        <w:t>Capture by terrorists is generally the least predictable and structured form of operations.</w:t>
      </w:r>
    </w:p>
    <w:p>
      <w:pPr>
        <w:spacing w:after="20" w:line="223" w:lineRule="auto"/>
        <w:jc w:val="right"/>
        <w:bidi/>
      </w:pPr>
      <w:r>
        <w:rPr>
          <w:rFonts w:ascii="Arial" w:hAnsi="Arial"/>
          <w:sz w:val="16"/>
        </w:rPr>
        <w:t>360.13  ضبط می‌تواند از یک آدم ربایی خود به خود تا یک هواپیماربایی با برنامه‌ریزی دقیق باشد.</w:t>
      </w:r>
    </w:p>
    <w:p>
      <w:pPr>
        <w:spacing w:after="28" w:line="216" w:lineRule="auto"/>
        <w:ind w:left="259"/>
        <w:jc w:val="left"/>
      </w:pPr>
      <w:r>
        <w:rPr>
          <w:rFonts w:ascii="Arial" w:hAnsi="Arial"/>
          <w:color w:val="525252"/>
          <w:sz w:val="13"/>
        </w:rPr>
        <w:t>Capture can range from a spontaneous kidnapping to a carefully planned hijacking.</w:t>
      </w:r>
    </w:p>
    <w:p>
      <w:pPr>
        <w:spacing w:after="20" w:line="223" w:lineRule="auto"/>
        <w:jc w:val="right"/>
        <w:bidi/>
      </w:pPr>
      <w:r>
        <w:rPr>
          <w:rFonts w:ascii="Arial" w:hAnsi="Arial"/>
          <w:sz w:val="16"/>
        </w:rPr>
        <w:t>360.14  در هر شرایطی، گروگان‌ها نقش مهمی در تعیین سرنوشت خود ایفا می‌کنند، زیرا تروریست‌ها به ندرت انتظار دارند برای ارائه رفتار خوب یا آزاد کردن قربانیان بدون آسیب، پاداش دریافت کنند. اعضای ارتش ایالات متحده باید تصور کنند که اسیرکنندگان آنها تروریست‌های واقعی هستند، زمانی که مشخص نیست آنها جانشین یک دولت هستند یا خیر.</w:t>
      </w:r>
    </w:p>
    <w:p>
      <w:pPr>
        <w:spacing w:after="28" w:line="216" w:lineRule="auto"/>
        <w:ind w:left="259"/>
        <w:jc w:val="left"/>
      </w:pPr>
      <w:r>
        <w:rPr>
          <w:rFonts w:ascii="Arial" w:hAnsi="Arial"/>
          <w:color w:val="525252"/>
          <w:sz w:val="13"/>
        </w:rPr>
        <w:t>In either situation, hostages play an important role in determining their own fate because terrorists rarely expect to receive rewards for providing good treatment or releasing victims unharmed. U.S. military members should assume their captors are genuine terrorists when it is unclear if they are surrogates of a government.</w:t>
      </w:r>
    </w:p>
    <w:p>
      <w:pPr>
        <w:spacing w:after="20" w:line="223" w:lineRule="auto"/>
        <w:jc w:val="right"/>
        <w:bidi/>
      </w:pPr>
      <w:r>
        <w:rPr>
          <w:rFonts w:ascii="Arial" w:hAnsi="Arial"/>
          <w:sz w:val="16"/>
        </w:rPr>
        <w:t>360.15  وضعیت گروگانگیری تروریستی بی ثبات‌تر از بازداشت دولتی است، بنابراین اعضا باید اقداماتی را انجام دهند تا احتمال کشتن بی رویه گروگان‌ها توسط یک تروریست را کاهش دهند.</w:t>
      </w:r>
    </w:p>
    <w:p>
      <w:pPr>
        <w:spacing w:after="28" w:line="216" w:lineRule="auto"/>
        <w:ind w:left="259"/>
        <w:jc w:val="left"/>
      </w:pPr>
      <w:r>
        <w:rPr>
          <w:rFonts w:ascii="Arial" w:hAnsi="Arial"/>
          <w:color w:val="525252"/>
          <w:sz w:val="13"/>
        </w:rPr>
        <w:t>A terrorist hostage situation is more volatile than a government detention, so members must take steps to lessen the chance of a terrorist indiscriminately killing hostages.</w:t>
      </w:r>
    </w:p>
    <w:p>
      <w:pPr>
        <w:spacing w:after="20" w:line="223" w:lineRule="auto"/>
        <w:jc w:val="right"/>
        <w:bidi/>
      </w:pPr>
      <w:r>
        <w:rPr>
          <w:rFonts w:ascii="Arial" w:hAnsi="Arial"/>
          <w:sz w:val="16"/>
        </w:rPr>
        <w:t>360.16  در چنین شرایطی، سیاست وزارت دفاع تلاش‌ها را برای ایجاد رابطه بین گروگان‌های ایالات متحده و تروریست‌ها برای تثبیت خود به‌عنوان افرادی در ذهن تروریست‌ها، به جای نمادی کلیشه‌ای از کشوری که تروریست ممکن است از آن متنفر باشد، می‌پذیرد و ترویج می‌کند.</w:t>
      </w:r>
    </w:p>
    <w:p>
      <w:pPr>
        <w:spacing w:after="28" w:line="216" w:lineRule="auto"/>
        <w:ind w:left="259"/>
        <w:jc w:val="left"/>
      </w:pPr>
      <w:r>
        <w:rPr>
          <w:rFonts w:ascii="Arial" w:hAnsi="Arial"/>
          <w:color w:val="525252"/>
          <w:sz w:val="13"/>
        </w:rPr>
        <w:t>In such a situation, Department of Defense policy accepts and promotes efforts to establish rapport between United States hostages and the terrorists to establish themselves as people in the terrorist’s mind, rather than a stereotypical symbol of a country the terrorist may hate.</w:t>
      </w:r>
    </w:p>
    <w:p>
      <w:pPr>
        <w:spacing w:after="20" w:line="223" w:lineRule="auto"/>
        <w:jc w:val="right"/>
        <w:bidi/>
      </w:pPr>
      <w:r>
        <w:rPr>
          <w:rFonts w:ascii="Arial" w:hAnsi="Arial"/>
          <w:sz w:val="16"/>
        </w:rPr>
        <w:t>360.17  سیاست وزارت دفاع توصیه می‌کند که پرسنل ایالات متحده از موضوعاتی که می‌توانند حساسیت‌های تروریستی را شعله‌ور کنند، مانند هدف، سیاست یا مذهب آنها دوری کنند.</w:t>
      </w:r>
    </w:p>
    <w:p>
      <w:pPr>
        <w:spacing w:after="28" w:line="216" w:lineRule="auto"/>
        <w:ind w:left="259"/>
        <w:jc w:val="left"/>
      </w:pPr>
      <w:r>
        <w:rPr>
          <w:rFonts w:ascii="Arial" w:hAnsi="Arial"/>
          <w:color w:val="525252"/>
          <w:sz w:val="13"/>
        </w:rPr>
        <w:t>Department of Defense policy recommends U.S. personnel stay away from topics that could inflame terrorist sensibilities, such as their cause, politics, or religion.</w:t>
      </w:r>
    </w:p>
    <w:p>
      <w:pPr>
        <w:spacing w:after="20" w:line="223" w:lineRule="auto"/>
        <w:jc w:val="right"/>
        <w:bidi/>
      </w:pPr>
      <w:r>
        <w:rPr>
          <w:rFonts w:ascii="Arial" w:hAnsi="Arial"/>
          <w:sz w:val="16"/>
        </w:rPr>
        <w:t>360.18  هنگامی که بقا در خطر است، گوش دادن می‌تواند بسیار مهم باشد.</w:t>
      </w:r>
    </w:p>
    <w:p>
      <w:pPr>
        <w:spacing w:after="28" w:line="216" w:lineRule="auto"/>
        <w:ind w:left="259"/>
        <w:jc w:val="left"/>
      </w:pPr>
      <w:r>
        <w:rPr>
          <w:rFonts w:ascii="Arial" w:hAnsi="Arial"/>
          <w:color w:val="525252"/>
          <w:sz w:val="13"/>
        </w:rPr>
        <w:t>Listening can be vitally important when survival is at stake.</w:t>
      </w:r>
    </w:p>
    <w:p>
      <w:pPr>
        <w:spacing w:after="20" w:line="223" w:lineRule="auto"/>
        <w:jc w:val="right"/>
        <w:bidi/>
      </w:pPr>
      <w:r>
        <w:rPr>
          <w:rFonts w:ascii="Arial" w:hAnsi="Arial"/>
          <w:sz w:val="16"/>
        </w:rPr>
        <w:t>360.19  اعضا نباید با ربوده‌کنندگان مشاجره، حمایت یا مناظره کنند.</w:t>
      </w:r>
    </w:p>
    <w:p>
      <w:pPr>
        <w:spacing w:after="28" w:line="216" w:lineRule="auto"/>
        <w:ind w:left="259"/>
        <w:jc w:val="left"/>
      </w:pPr>
      <w:r>
        <w:rPr>
          <w:rFonts w:ascii="Arial" w:hAnsi="Arial"/>
          <w:color w:val="525252"/>
          <w:sz w:val="13"/>
        </w:rPr>
        <w:t>Members should not argue, patronize, or debate issues with the captors.</w:t>
      </w:r>
    </w:p>
    <w:p>
      <w:pPr>
        <w:spacing w:after="20" w:line="223" w:lineRule="auto"/>
        <w:jc w:val="right"/>
        <w:bidi/>
      </w:pPr>
      <w:r>
        <w:rPr>
          <w:rFonts w:ascii="Arial" w:hAnsi="Arial"/>
          <w:sz w:val="16"/>
        </w:rPr>
        <w:t>360.20  در طول تلاش‌های نجات، گروگان‌ها باید پناه بگیرند، در صورت امکان ثابت بمانند و برای کمک به امدادگران تلاش نکنند.</w:t>
      </w:r>
    </w:p>
    <w:p>
      <w:pPr>
        <w:spacing w:after="28" w:line="216" w:lineRule="auto"/>
        <w:ind w:left="259"/>
        <w:jc w:val="left"/>
      </w:pPr>
      <w:r>
        <w:rPr>
          <w:rFonts w:ascii="Arial" w:hAnsi="Arial"/>
          <w:color w:val="525252"/>
          <w:sz w:val="13"/>
        </w:rPr>
        <w:t>During rescue attempts, hostages should take cover, remain stationary when practicable, and not attempt to help rescuers.</w:t>
      </w:r>
    </w:p>
    <w:p>
      <w:pPr>
        <w:spacing w:after="20" w:line="223" w:lineRule="auto"/>
        <w:jc w:val="right"/>
        <w:bidi/>
      </w:pPr>
      <w:r>
        <w:rPr>
          <w:rFonts w:ascii="Arial" w:hAnsi="Arial"/>
          <w:sz w:val="16"/>
        </w:rPr>
        <w:t>360.21  گروگان‌ها ممکن است با برخورد خشن امدادگران مواجه شوند تا زمانی که امدادگران تروریست‌ها را از گروگان‌ها جدا کنند.</w:t>
      </w:r>
    </w:p>
    <w:p>
      <w:pPr>
        <w:spacing w:after="28" w:line="216" w:lineRule="auto"/>
        <w:ind w:left="259"/>
        <w:jc w:val="left"/>
      </w:pPr>
      <w:r>
        <w:rPr>
          <w:rFonts w:ascii="Arial" w:hAnsi="Arial"/>
          <w:color w:val="525252"/>
          <w:sz w:val="13"/>
        </w:rPr>
        <w:t>Hostages may experience rough handling from the rescuers until the rescuers separate the terrorists from the hostages.</w:t>
      </w:r>
    </w:p>
    <w:p>
      <w:r>
        <w:br w:type="page"/>
      </w:r>
    </w:p>
    <w:p>
      <w:pPr>
        <w:spacing w:after="60"/>
        <w:jc w:val="right"/>
        <w:bidi/>
      </w:pPr>
      <w:r>
        <w:rPr>
          <w:rFonts w:ascii="Arial" w:hAnsi="Arial"/>
          <w:b/>
          <w:color w:val="1F4D78"/>
          <w:sz w:val="19"/>
        </w:rPr>
        <w:t>هفتهٔ 361  |  صفحهٔ منبع: 377</w:t>
      </w:r>
    </w:p>
    <w:p>
      <w:pPr>
        <w:spacing w:before="60" w:after="28"/>
        <w:jc w:val="right"/>
        <w:bidi/>
      </w:pPr>
      <w:r>
        <w:rPr>
          <w:b/>
          <w:color w:val="1F4D78"/>
          <w:sz w:val="18"/>
        </w:rPr>
        <w:t>فصل 20</w:t>
      </w:r>
    </w:p>
    <w:p>
      <w:pPr>
        <w:spacing w:after="20"/>
        <w:ind w:left="259"/>
        <w:jc w:val="left"/>
      </w:pPr>
      <w:r>
        <w:rPr>
          <w:color w:val="555555"/>
          <w:sz w:val="12"/>
        </w:rPr>
        <w:t>Chapter 20</w:t>
      </w:r>
    </w:p>
    <w:p>
      <w:pPr>
        <w:spacing w:before="60" w:after="28"/>
        <w:jc w:val="right"/>
        <w:bidi/>
      </w:pPr>
      <w:r>
        <w:rPr>
          <w:b/>
          <w:color w:val="1F4D78"/>
          <w:sz w:val="18"/>
        </w:rPr>
        <w:t>اجرای استانداردهای نظامی</w:t>
      </w:r>
    </w:p>
    <w:p>
      <w:pPr>
        <w:spacing w:after="20"/>
        <w:ind w:left="259"/>
        <w:jc w:val="left"/>
      </w:pPr>
      <w:r>
        <w:rPr>
          <w:color w:val="555555"/>
          <w:sz w:val="12"/>
        </w:rPr>
        <w:t>ENFORCING MILITARY STANDARDS</w:t>
      </w:r>
    </w:p>
    <w:p>
      <w:pPr>
        <w:spacing w:before="60" w:after="28"/>
        <w:jc w:val="right"/>
        <w:bidi/>
      </w:pPr>
      <w:r>
        <w:rPr>
          <w:b/>
          <w:color w:val="1F4D78"/>
          <w:sz w:val="18"/>
        </w:rPr>
        <w:t>بخش 20A - سیستم بازرسی نیروی هوایی</w:t>
      </w:r>
    </w:p>
    <w:p>
      <w:pPr>
        <w:spacing w:after="20"/>
        <w:ind w:left="259"/>
        <w:jc w:val="left"/>
      </w:pPr>
      <w:r>
        <w:rPr>
          <w:color w:val="555555"/>
          <w:sz w:val="12"/>
        </w:rPr>
        <w:t>Section 20A—Air Force Inspection System</w:t>
      </w:r>
    </w:p>
    <w:p>
      <w:pPr>
        <w:spacing w:before="60" w:after="28"/>
        <w:jc w:val="right"/>
        <w:bidi/>
      </w:pPr>
      <w:r>
        <w:rPr>
          <w:b/>
          <w:color w:val="1F4D78"/>
          <w:sz w:val="18"/>
        </w:rPr>
        <w:t>20.1. برنامه بازرسی فرمانده (CCIP)</w:t>
      </w:r>
    </w:p>
    <w:p>
      <w:pPr>
        <w:spacing w:after="20"/>
        <w:ind w:left="259"/>
        <w:jc w:val="left"/>
      </w:pPr>
      <w:r>
        <w:rPr>
          <w:color w:val="555555"/>
          <w:sz w:val="12"/>
        </w:rPr>
        <w:t>20.1. Commander’s Inspection Program (CCIP)</w:t>
      </w:r>
    </w:p>
    <w:p>
      <w:pPr>
        <w:spacing w:after="20" w:line="223" w:lineRule="auto"/>
        <w:jc w:val="right"/>
        <w:bidi/>
      </w:pPr>
      <w:r>
        <w:rPr>
          <w:rFonts w:ascii="Arial" w:hAnsi="Arial"/>
          <w:sz w:val="16"/>
        </w:rPr>
        <w:t>361.05  سیستم بازرسی دپارتمان نیروی هوایی (AFIS) یک فرآیند ارزیابی مستقل و معتبر را برای فرماندهان فراهم می‌کند تا با آن قابلیت‌های نیروهای تعیین‌شده را اندازه‌گیری کنند.</w:t>
      </w:r>
    </w:p>
    <w:p>
      <w:pPr>
        <w:spacing w:after="28" w:line="216" w:lineRule="auto"/>
        <w:ind w:left="259"/>
        <w:jc w:val="left"/>
      </w:pPr>
      <w:r>
        <w:rPr>
          <w:rFonts w:ascii="Arial" w:hAnsi="Arial"/>
          <w:color w:val="525252"/>
          <w:sz w:val="13"/>
        </w:rPr>
        <w:t>The Inspection System of the Department of the Air Force (AFIS) provides commanders with a credible, independent assessment process with which to measure the capabilities of assigned forces.</w:t>
      </w:r>
    </w:p>
    <w:p>
      <w:pPr>
        <w:spacing w:after="20" w:line="223" w:lineRule="auto"/>
        <w:jc w:val="right"/>
        <w:bidi/>
      </w:pPr>
      <w:r>
        <w:rPr>
          <w:rFonts w:ascii="Arial" w:hAnsi="Arial"/>
          <w:sz w:val="16"/>
        </w:rPr>
        <w:t>361.06  همانطور که در DAFI ۹۰-۳۰۲ بیان شد، هدف AFIS فعال کردن و تقویت اثربخشی و کارایی مأموریت فرماندهان است. ایجاد انگیزه و ترویج نظم و انضباط نظامی؛ بهبود عملکرد واحد و تعالی مدیریت در سراسر زنجیره فرماندهی؛ و مسائلی را که با آمادگی، صرفه جویی، کارایی، نظم و انضباط، اثربخشی، انطباق، عملکرد و تضمین تداخل دارند، شناسایی، گزارش و تجزیه و تحلیل کنند.</w:t>
      </w:r>
    </w:p>
    <w:p>
      <w:pPr>
        <w:spacing w:after="28" w:line="216" w:lineRule="auto"/>
        <w:ind w:left="259"/>
        <w:jc w:val="left"/>
      </w:pPr>
      <w:r>
        <w:rPr>
          <w:rFonts w:ascii="Arial" w:hAnsi="Arial"/>
          <w:color w:val="525252"/>
          <w:sz w:val="13"/>
        </w:rPr>
        <w:t>As stated in DAFI 90-302, the purpose of AFIS is to enable and strengthen commanders’ mission effectiveness and efficiency; motivate and promote military discipline; improve unit performance and management excellence throughout the chain of command; and identify, report on, and analyze issues interfering with readiness, economy, efficiency, discipline, effectiveness, compliance, performance, and surety.</w:t>
      </w:r>
    </w:p>
    <w:p>
      <w:pPr>
        <w:spacing w:after="20" w:line="223" w:lineRule="auto"/>
        <w:jc w:val="right"/>
        <w:bidi/>
      </w:pPr>
      <w:r>
        <w:rPr>
          <w:rFonts w:ascii="Arial" w:hAnsi="Arial"/>
          <w:sz w:val="16"/>
        </w:rPr>
        <w:t>361.07  فرماندهان در تمامی سطوح ملزم به ارزیابی مستمر آمادگی نیرو و همچنین صرفه جویی، کارایی و اثربخشی سازمانی هستند.</w:t>
      </w:r>
    </w:p>
    <w:p>
      <w:pPr>
        <w:spacing w:after="28" w:line="216" w:lineRule="auto"/>
        <w:ind w:left="259"/>
        <w:jc w:val="left"/>
      </w:pPr>
      <w:r>
        <w:rPr>
          <w:rFonts w:ascii="Arial" w:hAnsi="Arial"/>
          <w:color w:val="525252"/>
          <w:sz w:val="13"/>
        </w:rPr>
        <w:t>Commanders at all levels are required to continuously evaluate force readiness, as well as organizational economy, efficiency, and effectiveness.</w:t>
      </w:r>
    </w:p>
    <w:p>
      <w:pPr>
        <w:spacing w:after="20" w:line="223" w:lineRule="auto"/>
        <w:jc w:val="right"/>
        <w:bidi/>
      </w:pPr>
      <w:r>
        <w:rPr>
          <w:rFonts w:ascii="Arial" w:hAnsi="Arial"/>
          <w:sz w:val="16"/>
        </w:rPr>
        <w:t>361.08  سرپرستان در تمام سطوح از طریق ارزیابی مستمر پرسنل، برنامه‌ها و حوزه‌های مسئولیت آن‌ها، نقش مهمی در این فرآیند دارند.</w:t>
      </w:r>
    </w:p>
    <w:p>
      <w:pPr>
        <w:spacing w:after="28" w:line="216" w:lineRule="auto"/>
        <w:ind w:left="259"/>
        <w:jc w:val="left"/>
      </w:pPr>
      <w:r>
        <w:rPr>
          <w:rFonts w:ascii="Arial" w:hAnsi="Arial"/>
          <w:color w:val="525252"/>
          <w:sz w:val="13"/>
        </w:rPr>
        <w:t>Supervisors at all levels play an integral part in this process through continual assessment of personnel, programs, and their areas of responsibility.</w:t>
      </w:r>
    </w:p>
    <w:p>
      <w:pPr>
        <w:spacing w:before="60" w:after="28"/>
        <w:jc w:val="right"/>
        <w:bidi/>
      </w:pPr>
      <w:r>
        <w:rPr>
          <w:b/>
          <w:color w:val="1F4D78"/>
          <w:sz w:val="18"/>
        </w:rPr>
        <w:t>20.2. بازرس کل و مأموریت</w:t>
      </w:r>
    </w:p>
    <w:p>
      <w:pPr>
        <w:spacing w:after="20"/>
        <w:ind w:left="259"/>
        <w:jc w:val="left"/>
      </w:pPr>
      <w:r>
        <w:rPr>
          <w:color w:val="555555"/>
          <w:sz w:val="12"/>
        </w:rPr>
        <w:t>20.2. The Inspector General and Mission</w:t>
      </w:r>
    </w:p>
    <w:p>
      <w:pPr>
        <w:spacing w:after="20" w:line="223" w:lineRule="auto"/>
        <w:jc w:val="right"/>
        <w:bidi/>
      </w:pPr>
      <w:r>
        <w:rPr>
          <w:rFonts w:ascii="Arial" w:hAnsi="Arial"/>
          <w:sz w:val="16"/>
        </w:rPr>
        <w:t>361.10  بازرس کل (TIG).</w:t>
      </w:r>
    </w:p>
    <w:p>
      <w:pPr>
        <w:spacing w:after="28" w:line="216" w:lineRule="auto"/>
        <w:ind w:left="259"/>
        <w:jc w:val="left"/>
      </w:pPr>
      <w:r>
        <w:rPr>
          <w:rFonts w:ascii="Arial" w:hAnsi="Arial"/>
          <w:color w:val="525252"/>
          <w:sz w:val="13"/>
        </w:rPr>
        <w:t>The Inspector General (TIG).</w:t>
      </w:r>
    </w:p>
    <w:p>
      <w:pPr>
        <w:spacing w:after="20" w:line="223" w:lineRule="auto"/>
        <w:jc w:val="right"/>
        <w:bidi/>
      </w:pPr>
      <w:r>
        <w:rPr>
          <w:rFonts w:ascii="Arial" w:hAnsi="Arial"/>
          <w:sz w:val="16"/>
        </w:rPr>
        <w:t>361.11  به‌عنوان مدافع عملکرد و مدیریت نیرو برای سیستم DAF IG عمل می‌کند و مستقیما با سکاف، رئیس ستاد نیروی هوایی، رئیس عملیات فضایی، و سایر عناصر فرماندهی USAF و USSF در مورد مسائل IG ارتباط برقرار می‌کند.</w:t>
      </w:r>
    </w:p>
    <w:p>
      <w:pPr>
        <w:spacing w:after="28" w:line="216" w:lineRule="auto"/>
        <w:ind w:left="259"/>
        <w:jc w:val="left"/>
      </w:pPr>
      <w:r>
        <w:rPr>
          <w:rFonts w:ascii="Arial" w:hAnsi="Arial"/>
          <w:color w:val="525252"/>
          <w:sz w:val="13"/>
        </w:rPr>
        <w:t>Serves as the functional and force management proponent for the DAF IG system, and communicates directly with the SecAF, Chief of Staff of the Air Force, Chief of Space Operations, and all other USAF and USSF command elements on IG matters.</w:t>
      </w:r>
    </w:p>
    <w:p>
      <w:pPr>
        <w:spacing w:after="20" w:line="223" w:lineRule="auto"/>
        <w:jc w:val="right"/>
        <w:bidi/>
      </w:pPr>
      <w:r>
        <w:rPr>
          <w:rFonts w:ascii="Arial" w:hAnsi="Arial"/>
          <w:sz w:val="16"/>
        </w:rPr>
        <w:t>361.12  TIG همچنین به آژانس بازرسی نیروی هوایی (AFIA) و AFOSI راهنمایی و نظارت می‌کند.</w:t>
      </w:r>
    </w:p>
    <w:p>
      <w:pPr>
        <w:spacing w:after="28" w:line="216" w:lineRule="auto"/>
        <w:ind w:left="259"/>
        <w:jc w:val="left"/>
      </w:pPr>
      <w:r>
        <w:rPr>
          <w:rFonts w:ascii="Arial" w:hAnsi="Arial"/>
          <w:color w:val="525252"/>
          <w:sz w:val="13"/>
        </w:rPr>
        <w:t>TIG also provides guidance and oversight to the Air Force Inspection Agency (AFIA) and the AFOSI.</w:t>
      </w:r>
    </w:p>
    <w:p>
      <w:pPr>
        <w:spacing w:after="20" w:line="223" w:lineRule="auto"/>
        <w:jc w:val="right"/>
        <w:bidi/>
      </w:pPr>
      <w:r>
        <w:rPr>
          <w:rFonts w:ascii="Arial" w:hAnsi="Arial"/>
          <w:sz w:val="16"/>
        </w:rPr>
        <w:t>361.13  TIG همچنین در تعدادی از پانل‌ها، گروه‌ها و شوراها درباره مسائل و برنامه‌های USAF خدمت می‌کند.</w:t>
      </w:r>
    </w:p>
    <w:p>
      <w:pPr>
        <w:spacing w:after="28" w:line="216" w:lineRule="auto"/>
        <w:ind w:left="259"/>
        <w:jc w:val="left"/>
      </w:pPr>
      <w:r>
        <w:rPr>
          <w:rFonts w:ascii="Arial" w:hAnsi="Arial"/>
          <w:color w:val="525252"/>
          <w:sz w:val="13"/>
        </w:rPr>
        <w:t>TIG also serves on a number of panels, groups, and councils regarding USAF issues and programs.</w:t>
      </w:r>
    </w:p>
    <w:p>
      <w:pPr>
        <w:spacing w:after="20" w:line="223" w:lineRule="auto"/>
        <w:jc w:val="right"/>
        <w:bidi/>
      </w:pPr>
      <w:r>
        <w:rPr>
          <w:rFonts w:ascii="Arial" w:hAnsi="Arial"/>
          <w:sz w:val="16"/>
        </w:rPr>
        <w:t>361.14  مأموریت.</w:t>
      </w:r>
    </w:p>
    <w:p>
      <w:pPr>
        <w:spacing w:after="28" w:line="216" w:lineRule="auto"/>
        <w:ind w:left="259"/>
        <w:jc w:val="left"/>
      </w:pPr>
      <w:r>
        <w:rPr>
          <w:rFonts w:ascii="Arial" w:hAnsi="Arial"/>
          <w:color w:val="525252"/>
          <w:sz w:val="13"/>
        </w:rPr>
        <w:t>Mission.</w:t>
      </w:r>
    </w:p>
    <w:p>
      <w:pPr>
        <w:spacing w:after="20" w:line="223" w:lineRule="auto"/>
        <w:jc w:val="right"/>
        <w:bidi/>
      </w:pPr>
      <w:r>
        <w:rPr>
          <w:rFonts w:ascii="Arial" w:hAnsi="Arial"/>
          <w:sz w:val="16"/>
        </w:rPr>
        <w:t>361.15  مأموریت IG ارزیابی و گزارش مستقل از نظم، آمادگی، صرفه جویی، کارایی و آمادگی کلی DAF به سکاف از طریق پرس و جوها، تحقیقات و بازرسی‌های مشخص است.</w:t>
      </w:r>
    </w:p>
    <w:p>
      <w:pPr>
        <w:spacing w:after="28" w:line="216" w:lineRule="auto"/>
        <w:ind w:left="259"/>
        <w:jc w:val="left"/>
      </w:pPr>
      <w:r>
        <w:rPr>
          <w:rFonts w:ascii="Arial" w:hAnsi="Arial"/>
          <w:color w:val="525252"/>
          <w:sz w:val="13"/>
        </w:rPr>
        <w:t>The IG mission is to independently assess and report on the discipline, readiness, economy, efficiency, and overall readiness of the DAF to the SecAF through specified inquiries, investigations, and inspections.</w:t>
      </w:r>
    </w:p>
    <w:p>
      <w:pPr>
        <w:spacing w:after="20" w:line="223" w:lineRule="auto"/>
        <w:jc w:val="right"/>
        <w:bidi/>
      </w:pPr>
      <w:r>
        <w:rPr>
          <w:rFonts w:ascii="Arial" w:hAnsi="Arial"/>
          <w:sz w:val="16"/>
        </w:rPr>
        <w:t>361.16  برنامه هایی که برای اطمینان از دستیابی به این مسئولیت ایجاد شده‌اند عبارتند از: AFIS؛ برنامه حل و فصل شکایات؛ بخش هایی از تهدیدات داخلی و برنامه‌های ضد تروریسم.</w:t>
      </w:r>
    </w:p>
    <w:p>
      <w:pPr>
        <w:spacing w:after="28" w:line="216" w:lineRule="auto"/>
        <w:ind w:left="259"/>
        <w:jc w:val="left"/>
      </w:pPr>
      <w:r>
        <w:rPr>
          <w:rFonts w:ascii="Arial" w:hAnsi="Arial"/>
          <w:color w:val="525252"/>
          <w:sz w:val="13"/>
        </w:rPr>
        <w:t>Programs established to ensure this responsibility is achieved include: AFIS; the Complaints Resolution Program; portions of the Insider Threat and Antiterrorism Programs.</w:t>
      </w:r>
    </w:p>
    <w:p>
      <w:pPr>
        <w:spacing w:before="60" w:after="28"/>
        <w:jc w:val="right"/>
        <w:bidi/>
      </w:pPr>
      <w:r>
        <w:rPr>
          <w:b/>
          <w:color w:val="1F4D78"/>
          <w:sz w:val="18"/>
        </w:rPr>
        <w:t>20.3. نقش بازرس کل</w:t>
      </w:r>
    </w:p>
    <w:p>
      <w:pPr>
        <w:spacing w:after="20"/>
        <w:ind w:left="259"/>
        <w:jc w:val="left"/>
      </w:pPr>
      <w:r>
        <w:rPr>
          <w:color w:val="555555"/>
          <w:sz w:val="12"/>
        </w:rPr>
        <w:t>20.3. Inspector General Role</w:t>
      </w:r>
    </w:p>
    <w:p>
      <w:pPr>
        <w:spacing w:after="20" w:line="223" w:lineRule="auto"/>
        <w:jc w:val="right"/>
        <w:bidi/>
      </w:pPr>
      <w:r>
        <w:rPr>
          <w:rFonts w:ascii="Arial" w:hAnsi="Arial"/>
          <w:sz w:val="16"/>
        </w:rPr>
        <w:t>361.18  در حالی که IGها در همه سطوح "چشم و گوش" فرمانده هستند، نقش آنها برای حذف تضاد منافع، عدم استقلال، یا دلهره پرسنل DAF درباره زنجیره فرماندهی هماهنگ است.</w:t>
      </w:r>
    </w:p>
    <w:p>
      <w:pPr>
        <w:spacing w:after="28" w:line="216" w:lineRule="auto"/>
        <w:ind w:left="259"/>
        <w:jc w:val="left"/>
      </w:pPr>
      <w:r>
        <w:rPr>
          <w:rFonts w:ascii="Arial" w:hAnsi="Arial"/>
          <w:color w:val="525252"/>
          <w:sz w:val="13"/>
        </w:rPr>
        <w:t>While IGs at all levels are the “eyes and ears” of the commander, their role is aligned to remove perceived conflicts of interest, lack of independence, or apprehension by DAF personnel with regard to the chain of command.</w:t>
      </w:r>
    </w:p>
    <w:p>
      <w:pPr>
        <w:spacing w:after="20" w:line="223" w:lineRule="auto"/>
        <w:jc w:val="right"/>
        <w:bidi/>
      </w:pPr>
      <w:r>
        <w:rPr>
          <w:rFonts w:ascii="Arial" w:hAnsi="Arial"/>
          <w:sz w:val="16"/>
        </w:rPr>
        <w:t>361.19  وظیفه اصلی IG حفظ یک سیستم معتبر DAF IG با اطمینان از وجود راه حل‌های پاسخگوی شکایت، از جمله تحقیقات، با عینیت، صداقت و بی طرفی است.</w:t>
      </w:r>
    </w:p>
    <w:p>
      <w:pPr>
        <w:spacing w:after="28" w:line="216" w:lineRule="auto"/>
        <w:ind w:left="259"/>
        <w:jc w:val="left"/>
      </w:pPr>
      <w:r>
        <w:rPr>
          <w:rFonts w:ascii="Arial" w:hAnsi="Arial"/>
          <w:color w:val="525252"/>
          <w:sz w:val="13"/>
        </w:rPr>
        <w:t>The primary charge of the IG is to sustain a credible DAF IG system by ensuring the existence of responsive complaint resolutions, including investigations, characterized by objectivity, integrity, and impartiality.</w:t>
      </w:r>
    </w:p>
    <w:p>
      <w:pPr>
        <w:spacing w:after="20" w:line="223" w:lineRule="auto"/>
        <w:jc w:val="right"/>
        <w:bidi/>
      </w:pPr>
      <w:r>
        <w:rPr>
          <w:rFonts w:ascii="Arial" w:hAnsi="Arial"/>
          <w:sz w:val="16"/>
        </w:rPr>
        <w:t>361.20  IG نگرانی‌های اعضای رگاف، رزرو و گارد را تضمین می‌کند. کارمندان غیرنظامی، اعضای خانواده و بازنشستگان؛ و بهترین منافع DAF از طریق حقیقت یاب عینی مورد توجه قرار می‌گیرد.</w:t>
      </w:r>
    </w:p>
    <w:p>
      <w:pPr>
        <w:spacing w:after="28" w:line="216" w:lineRule="auto"/>
        <w:ind w:left="259"/>
        <w:jc w:val="left"/>
      </w:pPr>
      <w:r>
        <w:rPr>
          <w:rFonts w:ascii="Arial" w:hAnsi="Arial"/>
          <w:color w:val="525252"/>
          <w:sz w:val="13"/>
        </w:rPr>
        <w:t>The IG ensures the concerns of RegAF, Reserve, and Guard members; civilian employees, family members, and retirees; and the best interests of the DAF, are addressed through objective fact-finding.</w:t>
      </w:r>
    </w:p>
    <w:p>
      <w:pPr>
        <w:spacing w:after="20" w:line="223" w:lineRule="auto"/>
        <w:jc w:val="right"/>
        <w:bidi/>
      </w:pPr>
      <w:r>
        <w:rPr>
          <w:rFonts w:ascii="Arial" w:hAnsi="Arial"/>
          <w:sz w:val="16"/>
        </w:rPr>
        <w:t>361.21  بال، دلتا، و IGهای معادل، برنامه بازرسی فرمانده را اجرا می‌کنند، ارزیابی‌های خود واحد را تأیید و تأیید می‌کنند و ارزیابی مستقلی از اثربخشی واحد به فرمانده ارائه می‌دهند.</w:t>
      </w:r>
    </w:p>
    <w:p>
      <w:pPr>
        <w:spacing w:after="28" w:line="216" w:lineRule="auto"/>
        <w:ind w:left="259"/>
        <w:jc w:val="left"/>
      </w:pPr>
      <w:r>
        <w:rPr>
          <w:rFonts w:ascii="Arial" w:hAnsi="Arial"/>
          <w:color w:val="525252"/>
          <w:sz w:val="13"/>
        </w:rPr>
        <w:t>Wing, Delta, and equivalent IGs execute the commander’s inspection program, validate, and verify unit self-assessments, and provide the commander an independent assessment of unit effectiveness.</w:t>
      </w:r>
    </w:p>
    <w:p>
      <w:pPr>
        <w:spacing w:after="20" w:line="223" w:lineRule="auto"/>
        <w:jc w:val="right"/>
        <w:bidi/>
      </w:pPr>
      <w:r>
        <w:rPr>
          <w:rFonts w:ascii="Arial" w:hAnsi="Arial"/>
          <w:sz w:val="16"/>
        </w:rPr>
        <w:t>361.22  آنها فرمانده را از مناطق بالقوه نگرانی که توسط روند منعکس شده است، مطلع می‌کنند. به‌عنوان حقیقت یاب و دلال صادق در حل و فصل شکایات عمل کنید. آموزش و آموزش فرماندهان و اعضای جمعیت پایگاه در مورد حقوق و مسئولیت هایشان درباره سیستم DAF IG. و به فرماندهان کمک کند تا از FWA و سوء مدیریت جلوگیری، شناسایی و تصحیح کنند.</w:t>
      </w:r>
    </w:p>
    <w:p>
      <w:pPr>
        <w:spacing w:after="28" w:line="216" w:lineRule="auto"/>
        <w:ind w:left="259"/>
        <w:jc w:val="left"/>
      </w:pPr>
      <w:r>
        <w:rPr>
          <w:rFonts w:ascii="Arial" w:hAnsi="Arial"/>
          <w:color w:val="525252"/>
          <w:sz w:val="13"/>
        </w:rPr>
        <w:t>They inform the commander of potential areas of concern as reflected by trends; function as the fact finder and honest broker in the resolution of complaints; educate and train commanders and members of the base population on their rights and responsibilities in regard to the DAF IG system; and help commanders prevent, detect, and correct FWA and mismanagement.</w:t>
      </w:r>
    </w:p>
    <w:p>
      <w:pPr>
        <w:spacing w:after="20" w:line="223" w:lineRule="auto"/>
        <w:jc w:val="right"/>
        <w:bidi/>
      </w:pPr>
      <w:r>
        <w:rPr>
          <w:rFonts w:ascii="Arial" w:hAnsi="Arial"/>
          <w:sz w:val="16"/>
        </w:rPr>
        <w:t>361.23  هوانوردان و نگهبانان در همه سطوح ممکن است ضعف‌های سیستماتیک، برنامه‌ای یا رویه‌ای مشکوک را گزارش کنند یا با تماس با دفتر IG به دنبال اطمینان بیشتر از استفاده مؤثر و کارآمد از منابع باشند.</w:t>
      </w:r>
    </w:p>
    <w:p>
      <w:pPr>
        <w:spacing w:after="28" w:line="216" w:lineRule="auto"/>
        <w:ind w:left="259"/>
        <w:jc w:val="left"/>
      </w:pPr>
      <w:r>
        <w:rPr>
          <w:rFonts w:ascii="Arial" w:hAnsi="Arial"/>
          <w:color w:val="525252"/>
          <w:sz w:val="13"/>
        </w:rPr>
        <w:t>Airmen and Guardians at all levels may report suspected systematic, programmatic, or procedural weaknesses, or seek further assurance that resources are used effectively and efficiently by contacting the IG office.</w:t>
      </w:r>
    </w:p>
    <w:p>
      <w:r>
        <w:br w:type="page"/>
      </w:r>
    </w:p>
    <w:p>
      <w:pPr>
        <w:spacing w:after="60"/>
        <w:jc w:val="right"/>
        <w:bidi/>
      </w:pPr>
      <w:r>
        <w:rPr>
          <w:rFonts w:ascii="Arial" w:hAnsi="Arial"/>
          <w:b/>
          <w:color w:val="1F4D78"/>
          <w:sz w:val="19"/>
        </w:rPr>
        <w:t>هفتهٔ 362  |  صفحهٔ منبع: 378</w:t>
      </w:r>
    </w:p>
    <w:p>
      <w:pPr>
        <w:spacing w:before="60" w:after="28"/>
        <w:jc w:val="right"/>
        <w:bidi/>
      </w:pPr>
      <w:r>
        <w:rPr>
          <w:b/>
          <w:color w:val="1F4D78"/>
          <w:sz w:val="18"/>
        </w:rPr>
        <w:t>20.4. انتخاب بازرس کل</w:t>
      </w:r>
    </w:p>
    <w:p>
      <w:pPr>
        <w:spacing w:after="20"/>
        <w:ind w:left="259"/>
        <w:jc w:val="left"/>
      </w:pPr>
      <w:r>
        <w:rPr>
          <w:color w:val="555555"/>
          <w:sz w:val="12"/>
        </w:rPr>
        <w:t>20.4. Inspector General Selection</w:t>
      </w:r>
    </w:p>
    <w:p>
      <w:pPr>
        <w:spacing w:after="20" w:line="223" w:lineRule="auto"/>
        <w:jc w:val="right"/>
        <w:bidi/>
      </w:pPr>
      <w:r>
        <w:rPr>
          <w:rFonts w:ascii="Arial" w:hAnsi="Arial"/>
          <w:sz w:val="16"/>
        </w:rPr>
        <w:t>362.02  پرسنل واجد شرایط برای یک مأموریت DAF IG به‌عنوان کارشناسان عملکردی با تجربه گسترده معاصر از سراسر USAF انتخاب می‌شوند.</w:t>
      </w:r>
    </w:p>
    <w:p>
      <w:pPr>
        <w:spacing w:after="28" w:line="216" w:lineRule="auto"/>
        <w:ind w:left="259"/>
        <w:jc w:val="left"/>
      </w:pPr>
      <w:r>
        <w:rPr>
          <w:rFonts w:ascii="Arial" w:hAnsi="Arial"/>
          <w:color w:val="525252"/>
          <w:sz w:val="13"/>
        </w:rPr>
        <w:t>Eligible personnel are selected for a DAF IG assignment as functional experts with broad contemporary experience from across the USAF.</w:t>
      </w:r>
    </w:p>
    <w:p>
      <w:pPr>
        <w:spacing w:after="20" w:line="223" w:lineRule="auto"/>
        <w:jc w:val="right"/>
        <w:bidi/>
      </w:pPr>
      <w:r>
        <w:rPr>
          <w:rFonts w:ascii="Arial" w:hAnsi="Arial"/>
          <w:sz w:val="16"/>
        </w:rPr>
        <w:t>362.03  علاوه بر معیارهای شغلی خاص ذکر شده در DAFI ۹۰-۳۰۲، هوانوردان و نگهبانانی که برای وظایف IG انتخاب می‌شوند باید دارای ویژگی‌هایی از بالاترین استانداردهای حرفه‌ای و خصوصیات اخلاقی باشند، پتانسیل خدمات آینده و ارتقاء مستمر را نشان دهند و برای آن دسته از هوانوردان، نگهبانان، اعضای خانواده و غیرنظامیانی که به دنبال کمک IG هستند، اعتبار ارائه دهند.</w:t>
      </w:r>
    </w:p>
    <w:p>
      <w:pPr>
        <w:spacing w:after="28" w:line="216" w:lineRule="auto"/>
        <w:ind w:left="259"/>
        <w:jc w:val="left"/>
      </w:pPr>
      <w:r>
        <w:rPr>
          <w:rFonts w:ascii="Arial" w:hAnsi="Arial"/>
          <w:color w:val="525252"/>
          <w:sz w:val="13"/>
        </w:rPr>
        <w:t>In addition to specific job requirement criteria listed in DAFI 90-302, Airmen and Guardians selected for IG duties should possess attributes of the highest professional standards and moral character, demonstrate potential for future service and continued promotion, and provide credibility for those Airmen, Guardians, family members, and civilians who seek IG assistance.</w:t>
      </w:r>
    </w:p>
    <w:p>
      <w:pPr>
        <w:spacing w:after="20" w:line="223" w:lineRule="auto"/>
        <w:jc w:val="right"/>
        <w:bidi/>
      </w:pPr>
      <w:r>
        <w:rPr>
          <w:rFonts w:ascii="Arial" w:hAnsi="Arial"/>
          <w:sz w:val="16"/>
        </w:rPr>
        <w:t>362.04  مدارک اضافی شامل توانایی کسب و داشتن گواهینامه امنیتی متناسب با وظایف مورد نیاز به‌عنوان بازرس IG، نداشتن سابقه محکومیت مدنی به جز جرائم جزئی، عدم محکومیت دادگاه نظامی، مجازات غیر قضایی، یا داشتن پرونده اطلاعات نامطلوب در پرونده رسمی و حضور افراد نظامی خوب.</w:t>
      </w:r>
    </w:p>
    <w:p>
      <w:pPr>
        <w:spacing w:after="28" w:line="216" w:lineRule="auto"/>
        <w:ind w:left="259"/>
        <w:jc w:val="left"/>
      </w:pPr>
      <w:r>
        <w:rPr>
          <w:rFonts w:ascii="Arial" w:hAnsi="Arial"/>
          <w:color w:val="525252"/>
          <w:sz w:val="13"/>
        </w:rPr>
        <w:t>Additional qualifications include the ability to attain and hold a security clearance commensurate with the duties required as an IG inspector, have no record of civil conviction except for minor offenses, have neither conviction by court-martial, non-judicial punishment, or Unfavorable Information File in the official military personnel file, and present good military bearing and appearance.</w:t>
      </w:r>
    </w:p>
    <w:p>
      <w:pPr>
        <w:spacing w:after="20" w:line="223" w:lineRule="auto"/>
        <w:jc w:val="right"/>
        <w:bidi/>
      </w:pPr>
      <w:r>
        <w:rPr>
          <w:rFonts w:ascii="Arial" w:hAnsi="Arial"/>
          <w:sz w:val="16"/>
        </w:rPr>
        <w:t>362.05  توجه: بازرسان بازرسی ضمانت هسته‌ای قبل از انتصاب به‌عنوان بازرس هسته‌ای دارای تجربه یا تجربه قبلی مربوط به سیستم‌های فعلی در MAJCOM مربوطه خواهند بود.</w:t>
      </w:r>
    </w:p>
    <w:p>
      <w:pPr>
        <w:spacing w:after="28" w:line="216" w:lineRule="auto"/>
        <w:ind w:left="259"/>
        <w:jc w:val="left"/>
      </w:pPr>
      <w:r>
        <w:rPr>
          <w:rFonts w:ascii="Arial" w:hAnsi="Arial"/>
          <w:color w:val="525252"/>
          <w:sz w:val="13"/>
        </w:rPr>
        <w:t>Note: Nuclear surety inspection inspectors will have prior nuclear experience or experience applicable to current systems in the respective MAJCOM prior to assignment as a nuclear inspector.</w:t>
      </w:r>
    </w:p>
    <w:p>
      <w:pPr>
        <w:spacing w:before="60" w:after="28"/>
        <w:jc w:val="right"/>
        <w:bidi/>
      </w:pPr>
      <w:r>
        <w:rPr>
          <w:b/>
          <w:color w:val="1F4D78"/>
          <w:sz w:val="18"/>
        </w:rPr>
        <w:t>20.5. فرآیند برنامه ریزی بازرسی نیروی هوایی (دروازه بانان)</w:t>
      </w:r>
    </w:p>
    <w:p>
      <w:pPr>
        <w:spacing w:after="20"/>
        <w:ind w:left="259"/>
        <w:jc w:val="left"/>
      </w:pPr>
      <w:r>
        <w:rPr>
          <w:color w:val="555555"/>
          <w:sz w:val="12"/>
        </w:rPr>
        <w:t>20.5. Air Force Inspection Scheduling Process (Gatekeepers)</w:t>
      </w:r>
    </w:p>
    <w:p>
      <w:pPr>
        <w:spacing w:after="20" w:line="223" w:lineRule="auto"/>
        <w:jc w:val="right"/>
        <w:bidi/>
      </w:pPr>
      <w:r>
        <w:rPr>
          <w:rFonts w:ascii="Arial" w:hAnsi="Arial"/>
          <w:sz w:val="16"/>
        </w:rPr>
        <w:t>362.07  هدف از فرآیند برنامه‌ریزی نیروی هوایی (گاتکیپر) همگام‌سازی تلاش‌های بازرسی برای به حداکثر رساندن روزهای آموزشی واحد و استفاده از منابع بازرسی، ایجاد برنامه‌های سالیانه، و همسو کردن الزامات بازرسی غیر AF است.</w:t>
      </w:r>
    </w:p>
    <w:p>
      <w:pPr>
        <w:spacing w:after="28" w:line="216" w:lineRule="auto"/>
        <w:ind w:left="259"/>
        <w:jc w:val="left"/>
      </w:pPr>
      <w:r>
        <w:rPr>
          <w:rFonts w:ascii="Arial" w:hAnsi="Arial"/>
          <w:color w:val="525252"/>
          <w:sz w:val="13"/>
        </w:rPr>
        <w:t>The purpose of the Air Force Scheduling Process (Gatekeeper) is to synchronize inspection efforts to maximize unit training days available and inspection resource usage, build out year schedules, and align non-AF inspection requirements.</w:t>
      </w:r>
    </w:p>
    <w:p>
      <w:pPr>
        <w:spacing w:after="20" w:line="223" w:lineRule="auto"/>
        <w:jc w:val="right"/>
        <w:bidi/>
      </w:pPr>
      <w:r>
        <w:rPr>
          <w:rFonts w:ascii="Arial" w:hAnsi="Arial"/>
          <w:sz w:val="16"/>
        </w:rPr>
        <w:t>362.08  دروازه بانان اطمینان حاصل می‌کنند که سیستم بازرسی قادر است واحدها را به‌طور مستقل و کارآمد از طرف زنجیره فرماندهی بازرسی کند و اطمینان حاصل کند که اولویت‌های یک فرمانده بر فعالیت‌های ضروری غیر مأموریتی هر واحد یا سازمانی ارجحیت دارد.</w:t>
      </w:r>
    </w:p>
    <w:p>
      <w:pPr>
        <w:spacing w:after="28" w:line="216" w:lineRule="auto"/>
        <w:ind w:left="259"/>
        <w:jc w:val="left"/>
      </w:pPr>
      <w:r>
        <w:rPr>
          <w:rFonts w:ascii="Arial" w:hAnsi="Arial"/>
          <w:color w:val="525252"/>
          <w:sz w:val="13"/>
        </w:rPr>
        <w:t>Gatekeepers ensure the inspection system is able to inspect units independently and efficiently on behalf of the command chain and ensure a commander’s priorities take precedence over non-mission essential activities of any unit or organization.</w:t>
      </w:r>
    </w:p>
    <w:p>
      <w:pPr>
        <w:spacing w:after="20" w:line="223" w:lineRule="auto"/>
        <w:jc w:val="right"/>
        <w:bidi/>
      </w:pPr>
      <w:r>
        <w:rPr>
          <w:rFonts w:ascii="Arial" w:hAnsi="Arial"/>
          <w:sz w:val="16"/>
        </w:rPr>
        <w:t>362.09  دروازه بانان این اختیار را دارند که از طرف فرماندهان خود، تأیید، رد، برنامه‌ریزی، رفع تعارض و حذف موارد تکراری بین تمامی فعالیت‌های نوع بازرسی را انجام دهند.</w:t>
      </w:r>
    </w:p>
    <w:p>
      <w:pPr>
        <w:spacing w:after="28" w:line="216" w:lineRule="auto"/>
        <w:ind w:left="259"/>
        <w:jc w:val="left"/>
      </w:pPr>
      <w:r>
        <w:rPr>
          <w:rFonts w:ascii="Arial" w:hAnsi="Arial"/>
          <w:color w:val="525252"/>
          <w:sz w:val="13"/>
        </w:rPr>
        <w:t>Gatekeepers have the authority to approve, disapprove, schedule, deconflict, and eliminate duplication between all inspection-type activities on behalf of their commanders.</w:t>
      </w:r>
    </w:p>
    <w:p>
      <w:pPr>
        <w:spacing w:before="60" w:after="28"/>
        <w:jc w:val="right"/>
        <w:bidi/>
      </w:pPr>
      <w:r>
        <w:rPr>
          <w:b/>
          <w:color w:val="1F4D78"/>
          <w:sz w:val="18"/>
        </w:rPr>
        <w:t>20.6. انواع بازرسی</w:t>
      </w:r>
    </w:p>
    <w:p>
      <w:pPr>
        <w:spacing w:after="20"/>
        <w:ind w:left="259"/>
        <w:jc w:val="left"/>
      </w:pPr>
      <w:r>
        <w:rPr>
          <w:color w:val="555555"/>
          <w:sz w:val="12"/>
        </w:rPr>
        <w:t>20.6. Inspection Types</w:t>
      </w:r>
    </w:p>
    <w:p>
      <w:pPr>
        <w:spacing w:after="20" w:line="223" w:lineRule="auto"/>
        <w:jc w:val="right"/>
        <w:bidi/>
      </w:pPr>
      <w:r>
        <w:rPr>
          <w:rFonts w:ascii="Arial" w:hAnsi="Arial"/>
          <w:sz w:val="16"/>
        </w:rPr>
        <w:t>362.11  برنامه بازرسی فرمانده.</w:t>
      </w:r>
    </w:p>
    <w:p>
      <w:pPr>
        <w:spacing w:after="28" w:line="216" w:lineRule="auto"/>
        <w:ind w:left="259"/>
        <w:jc w:val="left"/>
      </w:pPr>
      <w:r>
        <w:rPr>
          <w:rFonts w:ascii="Arial" w:hAnsi="Arial"/>
          <w:color w:val="525252"/>
          <w:sz w:val="13"/>
        </w:rPr>
        <w:t>Commander’s Inspection Program.</w:t>
      </w:r>
    </w:p>
    <w:p>
      <w:pPr>
        <w:spacing w:after="20" w:line="223" w:lineRule="auto"/>
        <w:jc w:val="right"/>
        <w:bidi/>
      </w:pPr>
      <w:r>
        <w:rPr>
          <w:rFonts w:ascii="Arial" w:hAnsi="Arial"/>
          <w:sz w:val="16"/>
        </w:rPr>
        <w:t>362.12  یک CCIP معتبر، دقیق و قابل اعتماد سنگ بنای سیستم بازرسی نیروی هوایی است.</w:t>
      </w:r>
    </w:p>
    <w:p>
      <w:pPr>
        <w:spacing w:after="28" w:line="216" w:lineRule="auto"/>
        <w:ind w:left="259"/>
        <w:jc w:val="left"/>
      </w:pPr>
      <w:r>
        <w:rPr>
          <w:rFonts w:ascii="Arial" w:hAnsi="Arial"/>
          <w:color w:val="525252"/>
          <w:sz w:val="13"/>
        </w:rPr>
        <w:t>A validated, accurate, and trusted CCIP is the cornerstone of the Air Force Inspection System.</w:t>
      </w:r>
    </w:p>
    <w:p>
      <w:pPr>
        <w:spacing w:after="20" w:line="223" w:lineRule="auto"/>
        <w:jc w:val="right"/>
        <w:bidi/>
      </w:pPr>
      <w:r>
        <w:rPr>
          <w:rFonts w:ascii="Arial" w:hAnsi="Arial"/>
          <w:sz w:val="16"/>
        </w:rPr>
        <w:t>362.13  یک CCIP مؤثر باید اطلاعات مناسب را در زمان مناسب به فرمانده جناح، فرماندهان زیردستان و هوانوردان و نگهبانان برای ارزیابی مناسب خطر، شناسایی مناطق برای بهبود، تعیین علل ریشه‌ای، و تمرکز دقیق منابع محدود ارائه دهد - همه اینها با اولویت‌های فرمانده در جدول زمانی فرمانده همسو هستند.</w:t>
      </w:r>
    </w:p>
    <w:p>
      <w:pPr>
        <w:spacing w:after="28" w:line="216" w:lineRule="auto"/>
        <w:ind w:left="259"/>
        <w:jc w:val="left"/>
      </w:pPr>
      <w:r>
        <w:rPr>
          <w:rFonts w:ascii="Arial" w:hAnsi="Arial"/>
          <w:color w:val="525252"/>
          <w:sz w:val="13"/>
        </w:rPr>
        <w:t>An effective CCIP should provide the Wing commander, subordinate commanders, and Airmen and Guardians the right information at the right time to appropriately assess risk, identify areas for improvement, determine root causes, and precisely focus limited resources—all aligned with the Commander’s priorities on the Commander’s timeline.</w:t>
      </w:r>
    </w:p>
    <w:p>
      <w:pPr>
        <w:spacing w:after="20" w:line="223" w:lineRule="auto"/>
        <w:jc w:val="right"/>
        <w:bidi/>
      </w:pPr>
      <w:r>
        <w:rPr>
          <w:rFonts w:ascii="Arial" w:hAnsi="Arial"/>
          <w:sz w:val="16"/>
        </w:rPr>
        <w:t>362.14  هدف CCIP بهبود آمادگی، کارایی، نظم و انضباط، اثربخشی، انطباق و تضمین در سطح بال است.</w:t>
      </w:r>
    </w:p>
    <w:p>
      <w:pPr>
        <w:spacing w:after="28" w:line="216" w:lineRule="auto"/>
        <w:ind w:left="259"/>
        <w:jc w:val="left"/>
      </w:pPr>
      <w:r>
        <w:rPr>
          <w:rFonts w:ascii="Arial" w:hAnsi="Arial"/>
          <w:color w:val="525252"/>
          <w:sz w:val="13"/>
        </w:rPr>
        <w:t>The purpose of the CCIP is to improve readiness, efficiency, discipline, effectiveness, compliance, and surety at the Wing level.</w:t>
      </w:r>
    </w:p>
    <w:p>
      <w:pPr>
        <w:spacing w:after="20" w:line="223" w:lineRule="auto"/>
        <w:jc w:val="right"/>
        <w:bidi/>
      </w:pPr>
      <w:r>
        <w:rPr>
          <w:rFonts w:ascii="Arial" w:hAnsi="Arial"/>
          <w:sz w:val="16"/>
        </w:rPr>
        <w:t>362.15  هدف از ارزیابی این مؤلفه‌ها ارائه داده‌های حیاتی به رهبری در مورد کفایت خط‌مشی، آموزش، نیروی انسانی و پرسنل، بودجه، تجهیزات و امکانات است.</w:t>
      </w:r>
    </w:p>
    <w:p>
      <w:pPr>
        <w:spacing w:after="28" w:line="216" w:lineRule="auto"/>
        <w:ind w:left="259"/>
        <w:jc w:val="left"/>
      </w:pPr>
      <w:r>
        <w:rPr>
          <w:rFonts w:ascii="Arial" w:hAnsi="Arial"/>
          <w:color w:val="525252"/>
          <w:sz w:val="13"/>
        </w:rPr>
        <w:t>The intent of assessing these components is to provide critical data to leadership about the adequacy of policy, training, manpower and personnel, funds, equipment, and facilities.</w:t>
      </w:r>
    </w:p>
    <w:p>
      <w:pPr>
        <w:spacing w:after="20" w:line="223" w:lineRule="auto"/>
        <w:jc w:val="right"/>
        <w:bidi/>
      </w:pPr>
      <w:r>
        <w:rPr>
          <w:rFonts w:ascii="Arial" w:hAnsi="Arial"/>
          <w:sz w:val="16"/>
        </w:rPr>
        <w:t>362.16  بازرسی تضمینی هسته‌ای (NSI).</w:t>
      </w:r>
    </w:p>
    <w:p>
      <w:pPr>
        <w:spacing w:after="28" w:line="216" w:lineRule="auto"/>
        <w:ind w:left="259"/>
        <w:jc w:val="left"/>
      </w:pPr>
      <w:r>
        <w:rPr>
          <w:rFonts w:ascii="Arial" w:hAnsi="Arial"/>
          <w:color w:val="525252"/>
          <w:sz w:val="13"/>
        </w:rPr>
        <w:t>Nuclear Surety Inspection (NSI).</w:t>
      </w:r>
    </w:p>
    <w:p>
      <w:pPr>
        <w:spacing w:after="20" w:line="223" w:lineRule="auto"/>
        <w:jc w:val="right"/>
        <w:bidi/>
      </w:pPr>
      <w:r>
        <w:rPr>
          <w:rFonts w:ascii="Arial" w:hAnsi="Arial"/>
          <w:sz w:val="16"/>
        </w:rPr>
        <w:t>362.17  سیستم‌های تسلیحات هسته‌ای و واحدهایی که به آن‌ها اختصاص داده شده‌اند، به دلیل اهمیت سیاسی و نظامی، قدرت مخرب و پیامدهای احتمالی حادثه یا حادثه تسلیحات هسته‌ای، نیازمند توجه ویژه هستند.</w:t>
      </w:r>
    </w:p>
    <w:p>
      <w:pPr>
        <w:spacing w:after="28" w:line="216" w:lineRule="auto"/>
        <w:ind w:left="259"/>
        <w:jc w:val="left"/>
      </w:pPr>
      <w:r>
        <w:rPr>
          <w:rFonts w:ascii="Arial" w:hAnsi="Arial"/>
          <w:color w:val="525252"/>
          <w:sz w:val="13"/>
        </w:rPr>
        <w:t>Nuclear weapon systems and the units to which they are assigned require special consideration because of political and military importance, destructive power, and the potential consequences of a nuclear weapons incident or accident.</w:t>
      </w:r>
    </w:p>
    <w:p>
      <w:pPr>
        <w:spacing w:after="20" w:line="223" w:lineRule="auto"/>
        <w:jc w:val="right"/>
        <w:bidi/>
      </w:pPr>
      <w:r>
        <w:rPr>
          <w:rFonts w:ascii="Arial" w:hAnsi="Arial"/>
          <w:sz w:val="16"/>
        </w:rPr>
        <w:t>362.18  MAJCOM IGها بازرسی‌های هسته‌ای را به‌عنوان جزئی از بازرسی اثربخشی واحد از طریق بازرسی‌های مبتنی بر عملکرد و انطباق برای ارزیابی توانایی یک واحد برای مدیریت منابع هسته‌ای در حالی که با تمام استانداردهای تضمین هسته‌ای مطابقت دارد، اجرا می‌کنند.</w:t>
      </w:r>
    </w:p>
    <w:p>
      <w:pPr>
        <w:spacing w:after="28" w:line="216" w:lineRule="auto"/>
        <w:ind w:left="259"/>
        <w:jc w:val="left"/>
      </w:pPr>
      <w:r>
        <w:rPr>
          <w:rFonts w:ascii="Arial" w:hAnsi="Arial"/>
          <w:color w:val="525252"/>
          <w:sz w:val="13"/>
        </w:rPr>
        <w:t>MAJCOM IGs execute nuclear inspections as a component of the Unit Effectiveness Inspection via performance and compliance-based inspections to evaluate a unit’s ability to manage nuclear resources while complying with all nuclear surety standards.</w:t>
      </w:r>
    </w:p>
    <w:p>
      <w:pPr>
        <w:spacing w:after="20" w:line="223" w:lineRule="auto"/>
        <w:jc w:val="right"/>
        <w:bidi/>
      </w:pPr>
      <w:r>
        <w:rPr>
          <w:rFonts w:ascii="Arial" w:hAnsi="Arial"/>
          <w:sz w:val="16"/>
        </w:rPr>
        <w:t>362.19  هدف NSI ارزیابی توانایی یک واحد دارای مجوز هسته‌ای برای مدیریت منابع هسته‌ای اختصاص یافته و اجرای مأموریت‌های هسته‌ای به شیوه‌ای ایمن، ایمن و قابل اعتماد است.</w:t>
      </w:r>
    </w:p>
    <w:p>
      <w:pPr>
        <w:spacing w:after="28" w:line="216" w:lineRule="auto"/>
        <w:ind w:left="259"/>
        <w:jc w:val="left"/>
      </w:pPr>
      <w:r>
        <w:rPr>
          <w:rFonts w:ascii="Arial" w:hAnsi="Arial"/>
          <w:color w:val="525252"/>
          <w:sz w:val="13"/>
        </w:rPr>
        <w:t>The purpose of the NSI is to evaluate a certified nuclear-capable unit’s ability to manage assigned nuclear resources and execute nuclear missions in a safe, secure, and reliable manner.</w:t>
      </w:r>
    </w:p>
    <w:p>
      <w:pPr>
        <w:spacing w:after="20" w:line="223" w:lineRule="auto"/>
        <w:jc w:val="right"/>
        <w:bidi/>
      </w:pPr>
      <w:r>
        <w:rPr>
          <w:rFonts w:ascii="Arial" w:hAnsi="Arial"/>
          <w:sz w:val="16"/>
        </w:rPr>
        <w:t>362.20  بازرسی اثربخشی واحد (UEI).</w:t>
      </w:r>
    </w:p>
    <w:p>
      <w:pPr>
        <w:spacing w:after="28" w:line="216" w:lineRule="auto"/>
        <w:ind w:left="259"/>
        <w:jc w:val="left"/>
      </w:pPr>
      <w:r>
        <w:rPr>
          <w:rFonts w:ascii="Arial" w:hAnsi="Arial"/>
          <w:color w:val="525252"/>
          <w:sz w:val="13"/>
        </w:rPr>
        <w:t>Unit Effectiveness Inspection (UEI).</w:t>
      </w:r>
    </w:p>
    <w:p>
      <w:pPr>
        <w:spacing w:after="20" w:line="223" w:lineRule="auto"/>
        <w:jc w:val="right"/>
        <w:bidi/>
      </w:pPr>
      <w:r>
        <w:rPr>
          <w:rFonts w:ascii="Arial" w:hAnsi="Arial"/>
          <w:sz w:val="16"/>
        </w:rPr>
        <w:t>362.21  UEI یک ارزیابی خارجی مستمر چند ساله از عملکرد بال است که بر اساس چهار منطقه درجه‌بندی اصلی (MGA) توسط MAJCOM یگس و DAFIA بر روی بال‌ها و معادل‌های بال انجام شده است.</w:t>
      </w:r>
    </w:p>
    <w:p>
      <w:pPr>
        <w:spacing w:after="28" w:line="216" w:lineRule="auto"/>
        <w:ind w:left="259"/>
        <w:jc w:val="left"/>
      </w:pPr>
      <w:r>
        <w:rPr>
          <w:rFonts w:ascii="Arial" w:hAnsi="Arial"/>
          <w:color w:val="525252"/>
          <w:sz w:val="13"/>
        </w:rPr>
        <w:t>The UEI is a multi-year external continual evaluation of Wing performance based on the four Major Graded Areas (MGA) conducted by MAJCOM IGs and the DAFIA on wings and wing-equivalents.</w:t>
      </w:r>
    </w:p>
    <w:p>
      <w:pPr>
        <w:spacing w:after="20" w:line="223" w:lineRule="auto"/>
        <w:jc w:val="right"/>
        <w:bidi/>
      </w:pPr>
      <w:r>
        <w:rPr>
          <w:rFonts w:ascii="Arial" w:hAnsi="Arial"/>
          <w:sz w:val="16"/>
        </w:rPr>
        <w:t>362.22  در نظر گرفته شده است که به فرمانده بال کمک کند تا مناطقی را که بیشترین خطر ناشی از عدم انطباق کشف نشده را درک کند.</w:t>
      </w:r>
    </w:p>
    <w:p>
      <w:pPr>
        <w:spacing w:after="28" w:line="216" w:lineRule="auto"/>
        <w:ind w:left="259"/>
        <w:jc w:val="left"/>
      </w:pPr>
      <w:r>
        <w:rPr>
          <w:rFonts w:ascii="Arial" w:hAnsi="Arial"/>
          <w:color w:val="525252"/>
          <w:sz w:val="13"/>
        </w:rPr>
        <w:t>It is intended to help the wing commander understand the areas of greatest risk from undetected non-compliance.</w:t>
      </w:r>
    </w:p>
    <w:p>
      <w:pPr>
        <w:spacing w:after="20" w:line="223" w:lineRule="auto"/>
        <w:jc w:val="right"/>
        <w:bidi/>
      </w:pPr>
      <w:r>
        <w:rPr>
          <w:rFonts w:ascii="Arial" w:hAnsi="Arial"/>
          <w:sz w:val="16"/>
        </w:rPr>
        <w:t>362.23  UEI CCIP را از نظر دقت، کفایت و ارتباط ارزیابی می‌کند، در حالی که ارزیابی مستقلی از مدیریت منابع، رهبری، تلاش‌های بهبود فرآیند و توانایی اجرا ارائه می‌کند.</w:t>
      </w:r>
    </w:p>
    <w:p>
      <w:pPr>
        <w:spacing w:after="28" w:line="216" w:lineRule="auto"/>
        <w:ind w:left="259"/>
        <w:jc w:val="left"/>
      </w:pPr>
      <w:r>
        <w:rPr>
          <w:rFonts w:ascii="Arial" w:hAnsi="Arial"/>
          <w:color w:val="525252"/>
          <w:sz w:val="13"/>
        </w:rPr>
        <w:t>The UEI evaluates the CCIP for accuracy, adequacy, and relevance, while providing an independent assessment of the Wing’s resource management, leadership, process improvement efforts, and the ability to execute</w:t>
      </w:r>
    </w:p>
    <w:p>
      <w:r>
        <w:br w:type="page"/>
      </w:r>
    </w:p>
    <w:p>
      <w:pPr>
        <w:spacing w:after="60"/>
        <w:jc w:val="right"/>
        <w:bidi/>
      </w:pPr>
      <w:r>
        <w:rPr>
          <w:rFonts w:ascii="Arial" w:hAnsi="Arial"/>
          <w:b/>
          <w:color w:val="1F4D78"/>
          <w:sz w:val="19"/>
        </w:rPr>
        <w:t>هفتهٔ 363  |  صفحهٔ منبع: 379</w:t>
      </w:r>
    </w:p>
    <w:p>
      <w:pPr>
        <w:spacing w:after="20" w:line="223" w:lineRule="auto"/>
        <w:jc w:val="right"/>
        <w:bidi/>
      </w:pPr>
      <w:r>
        <w:rPr>
          <w:rFonts w:ascii="Arial" w:hAnsi="Arial"/>
          <w:sz w:val="16"/>
        </w:rPr>
        <w:t>363.01  مأموریت.</w:t>
      </w:r>
    </w:p>
    <w:p>
      <w:pPr>
        <w:spacing w:after="28" w:line="216" w:lineRule="auto"/>
        <w:ind w:left="259"/>
        <w:jc w:val="left"/>
      </w:pPr>
      <w:r>
        <w:rPr>
          <w:rFonts w:ascii="Arial" w:hAnsi="Arial"/>
          <w:color w:val="525252"/>
          <w:sz w:val="13"/>
        </w:rPr>
        <w:t>the mission.</w:t>
      </w:r>
    </w:p>
    <w:p>
      <w:pPr>
        <w:spacing w:after="20" w:line="223" w:lineRule="auto"/>
        <w:jc w:val="right"/>
        <w:bidi/>
      </w:pPr>
      <w:r>
        <w:rPr>
          <w:rFonts w:ascii="Arial" w:hAnsi="Arial"/>
          <w:sz w:val="16"/>
        </w:rPr>
        <w:t>363.02  چهار MGA مدیریت منابع، رهبری افراد، بهبود واحد و اجرای مأموریت هستند.</w:t>
      </w:r>
    </w:p>
    <w:p>
      <w:pPr>
        <w:spacing w:after="28" w:line="216" w:lineRule="auto"/>
        <w:ind w:left="259"/>
        <w:jc w:val="left"/>
      </w:pPr>
      <w:r>
        <w:rPr>
          <w:rFonts w:ascii="Arial" w:hAnsi="Arial"/>
          <w:color w:val="525252"/>
          <w:sz w:val="13"/>
        </w:rPr>
        <w:t>The four MGAs are managing resources, leading people, improving the unit, and executing the mission.</w:t>
      </w:r>
    </w:p>
    <w:p>
      <w:pPr>
        <w:spacing w:before="60" w:after="28"/>
        <w:jc w:val="right"/>
        <w:bidi/>
      </w:pPr>
      <w:r>
        <w:rPr>
          <w:b/>
          <w:color w:val="1F4D78"/>
          <w:sz w:val="18"/>
        </w:rPr>
        <w:t>20.7. برنامه خود ارزیابی واحد (USAP)</w:t>
      </w:r>
    </w:p>
    <w:p>
      <w:pPr>
        <w:spacing w:after="20"/>
        <w:ind w:left="259"/>
        <w:jc w:val="left"/>
      </w:pPr>
      <w:r>
        <w:rPr>
          <w:color w:val="555555"/>
          <w:sz w:val="12"/>
        </w:rPr>
        <w:t>20.7. Unit Self-Assessment Program (USAP)</w:t>
      </w:r>
    </w:p>
    <w:p>
      <w:pPr>
        <w:spacing w:after="20" w:line="223" w:lineRule="auto"/>
        <w:jc w:val="right"/>
        <w:bidi/>
      </w:pPr>
      <w:r>
        <w:rPr>
          <w:rFonts w:ascii="Arial" w:hAnsi="Arial"/>
          <w:sz w:val="16"/>
        </w:rPr>
        <w:t>363.04  یکی از اهداف اولیه AFIS، پرورش فرهنگ خودارزیابی انتقادی و بهبود مستمر و کاهش اتکا به تیم‌های بازرسی خارجی است.</w:t>
      </w:r>
    </w:p>
    <w:p>
      <w:pPr>
        <w:spacing w:after="28" w:line="216" w:lineRule="auto"/>
        <w:ind w:left="259"/>
        <w:jc w:val="left"/>
      </w:pPr>
      <w:r>
        <w:rPr>
          <w:rFonts w:ascii="Arial" w:hAnsi="Arial"/>
          <w:color w:val="525252"/>
          <w:sz w:val="13"/>
        </w:rPr>
        <w:t>One of the primary objectives of the AFIS is to foster a culture of critical self-assessment and continuous improvement and reduce reliance on external inspection teams.</w:t>
      </w:r>
    </w:p>
    <w:p>
      <w:pPr>
        <w:spacing w:after="20" w:line="223" w:lineRule="auto"/>
        <w:jc w:val="right"/>
        <w:bidi/>
      </w:pPr>
      <w:r>
        <w:rPr>
          <w:rFonts w:ascii="Arial" w:hAnsi="Arial"/>
          <w:sz w:val="16"/>
        </w:rPr>
        <w:t>363.05  به‌طور مشابه، هدف اصلی برنامه خودارزیابی شناسایی دقیق و گزارش مسائل به زنجیره فرماندهی به گونه‌ای است که باعث شود هوانوردان احساس کنند می‌توانند با خیال راحت آنچه را که درست است گزارش دهند، نه آنچه را که فرمانده یا IG انتظار دارند گزارش دهند.</w:t>
      </w:r>
    </w:p>
    <w:p>
      <w:pPr>
        <w:spacing w:after="28" w:line="216" w:lineRule="auto"/>
        <w:ind w:left="259"/>
        <w:jc w:val="left"/>
      </w:pPr>
      <w:r>
        <w:rPr>
          <w:rFonts w:ascii="Arial" w:hAnsi="Arial"/>
          <w:color w:val="525252"/>
          <w:sz w:val="13"/>
        </w:rPr>
        <w:t>Similarly, the primary purpose of the self-assessment program is to accurately identify and report issues to the command chain in such a manner that makes Airmen feel they can safely report what’s true, not what they believe their commander or IG expects them to report.</w:t>
      </w:r>
    </w:p>
    <w:p>
      <w:pPr>
        <w:spacing w:after="20" w:line="223" w:lineRule="auto"/>
        <w:jc w:val="right"/>
        <w:bidi/>
      </w:pPr>
      <w:r>
        <w:rPr>
          <w:rFonts w:ascii="Arial" w:hAnsi="Arial"/>
          <w:sz w:val="16"/>
        </w:rPr>
        <w:t>363.06  یک USAP مؤثر بستگی به این دارد که هوانوردان و نگهبانان وضعیت مطابقت با دستورالعمل‌ها را گزارش کنند، و زمانی که نمی‌توانند رعایت کنند، گزارش دهند که چه محدودیت‌هایی مانع از انجام این کار می‌شوند.</w:t>
      </w:r>
    </w:p>
    <w:p>
      <w:pPr>
        <w:spacing w:after="28" w:line="216" w:lineRule="auto"/>
        <w:ind w:left="259"/>
        <w:jc w:val="left"/>
      </w:pPr>
      <w:r>
        <w:rPr>
          <w:rFonts w:ascii="Arial" w:hAnsi="Arial"/>
          <w:color w:val="525252"/>
          <w:sz w:val="13"/>
        </w:rPr>
        <w:t>An effective USAP depends on Airmen and Guardians reporting the status of compliance with directives, and when they cannot comply, reporting what constraints prevent them from doing so.</w:t>
      </w:r>
    </w:p>
    <w:p>
      <w:pPr>
        <w:spacing w:after="20" w:line="223" w:lineRule="auto"/>
        <w:jc w:val="right"/>
        <w:bidi/>
      </w:pPr>
      <w:r>
        <w:rPr>
          <w:rFonts w:ascii="Arial" w:hAnsi="Arial"/>
          <w:sz w:val="16"/>
        </w:rPr>
        <w:t>363.07  مجموعه ابزار کنترل داخلی مدیریت (MICT).</w:t>
      </w:r>
    </w:p>
    <w:p>
      <w:pPr>
        <w:spacing w:after="28" w:line="216" w:lineRule="auto"/>
        <w:ind w:left="259"/>
        <w:jc w:val="left"/>
      </w:pPr>
      <w:r>
        <w:rPr>
          <w:rFonts w:ascii="Arial" w:hAnsi="Arial"/>
          <w:color w:val="525252"/>
          <w:sz w:val="13"/>
        </w:rPr>
        <w:t>Management Internal Control Toolset (MICT).</w:t>
      </w:r>
    </w:p>
    <w:p>
      <w:pPr>
        <w:spacing w:after="20" w:line="223" w:lineRule="auto"/>
        <w:jc w:val="right"/>
        <w:bidi/>
      </w:pPr>
      <w:r>
        <w:rPr>
          <w:rFonts w:ascii="Arial" w:hAnsi="Arial"/>
          <w:sz w:val="16"/>
        </w:rPr>
        <w:t>363.08  MICT یک برنامه رکورددار USAF است و ابزاری برای مدیریت USAP ها است.</w:t>
      </w:r>
    </w:p>
    <w:p>
      <w:pPr>
        <w:spacing w:after="28" w:line="216" w:lineRule="auto"/>
        <w:ind w:left="259"/>
        <w:jc w:val="left"/>
      </w:pPr>
      <w:r>
        <w:rPr>
          <w:rFonts w:ascii="Arial" w:hAnsi="Arial"/>
          <w:color w:val="525252"/>
          <w:sz w:val="13"/>
        </w:rPr>
        <w:t>MICT is a USAF program of record and is a tool for managing USAPs.</w:t>
      </w:r>
    </w:p>
    <w:p>
      <w:pPr>
        <w:spacing w:after="20" w:line="223" w:lineRule="auto"/>
        <w:jc w:val="right"/>
        <w:bidi/>
      </w:pPr>
      <w:r>
        <w:rPr>
          <w:rFonts w:ascii="Arial" w:hAnsi="Arial"/>
          <w:sz w:val="16"/>
        </w:rPr>
        <w:t>363.09  USAP ممکن است شامل ارتباط از طریق ارتباط دهنده‌های خودارزیابی (SAC) در MICT باشد.</w:t>
      </w:r>
    </w:p>
    <w:p>
      <w:pPr>
        <w:spacing w:after="28" w:line="216" w:lineRule="auto"/>
        <w:ind w:left="259"/>
        <w:jc w:val="left"/>
      </w:pPr>
      <w:r>
        <w:rPr>
          <w:rFonts w:ascii="Arial" w:hAnsi="Arial"/>
          <w:color w:val="525252"/>
          <w:sz w:val="13"/>
        </w:rPr>
        <w:t>The USAP may include communication from self-assessment communicators (SAC) within the MICT.</w:t>
      </w:r>
    </w:p>
    <w:p>
      <w:pPr>
        <w:spacing w:after="20" w:line="223" w:lineRule="auto"/>
        <w:jc w:val="right"/>
        <w:bidi/>
      </w:pPr>
      <w:r>
        <w:rPr>
          <w:rFonts w:ascii="Arial" w:hAnsi="Arial"/>
          <w:sz w:val="16"/>
        </w:rPr>
        <w:t>363.10  خودارزیابی ارتباط دهنده (SAC).</w:t>
      </w:r>
    </w:p>
    <w:p>
      <w:pPr>
        <w:spacing w:after="28" w:line="216" w:lineRule="auto"/>
        <w:ind w:left="259"/>
        <w:jc w:val="left"/>
      </w:pPr>
      <w:r>
        <w:rPr>
          <w:rFonts w:ascii="Arial" w:hAnsi="Arial"/>
          <w:color w:val="525252"/>
          <w:sz w:val="13"/>
        </w:rPr>
        <w:t>Self-Assessment Communicator (SAC).</w:t>
      </w:r>
    </w:p>
    <w:p>
      <w:pPr>
        <w:spacing w:after="20" w:line="223" w:lineRule="auto"/>
        <w:jc w:val="right"/>
        <w:bidi/>
      </w:pPr>
      <w:r>
        <w:rPr>
          <w:rFonts w:ascii="Arial" w:hAnsi="Arial"/>
          <w:sz w:val="16"/>
        </w:rPr>
        <w:t>363.11  SAC ها ابزاری هستند که برای بهبود انطباق با دستورالعمل‌های منتشر شده و ارتباط خطر و سلامت برنامه در بالا و پایین زنجیره فرماندهی طراحی شده‌اند.</w:t>
      </w:r>
    </w:p>
    <w:p>
      <w:pPr>
        <w:spacing w:after="28" w:line="216" w:lineRule="auto"/>
        <w:ind w:left="259"/>
        <w:jc w:val="left"/>
      </w:pPr>
      <w:r>
        <w:rPr>
          <w:rFonts w:ascii="Arial" w:hAnsi="Arial"/>
          <w:color w:val="525252"/>
          <w:sz w:val="13"/>
        </w:rPr>
        <w:t>SACs are a tool designed to improve compliance with published guidance and communicate risk and program health up and down the chain of command.</w:t>
      </w:r>
    </w:p>
    <w:p>
      <w:pPr>
        <w:spacing w:after="20" w:line="223" w:lineRule="auto"/>
        <w:jc w:val="right"/>
        <w:bidi/>
      </w:pPr>
      <w:r>
        <w:rPr>
          <w:rFonts w:ascii="Arial" w:hAnsi="Arial"/>
          <w:sz w:val="16"/>
        </w:rPr>
        <w:t>363.12  به‌عنوان یک ابزار خودارزیابی، SAC ها از هوانوردان و نگهبانان در سطح فروشگاه می‌خواهند که مطابقت یا عدم انطباق را خود گزارش دهند.</w:t>
      </w:r>
    </w:p>
    <w:p>
      <w:pPr>
        <w:spacing w:after="28" w:line="216" w:lineRule="auto"/>
        <w:ind w:left="259"/>
        <w:jc w:val="left"/>
      </w:pPr>
      <w:r>
        <w:rPr>
          <w:rFonts w:ascii="Arial" w:hAnsi="Arial"/>
          <w:color w:val="525252"/>
          <w:sz w:val="13"/>
        </w:rPr>
        <w:t>As a self-assessment tool, SACs ask Airmen and Guardians at the shop-level to self- report compliance or non- compliance.</w:t>
      </w:r>
    </w:p>
    <w:p>
      <w:pPr>
        <w:spacing w:after="20" w:line="223" w:lineRule="auto"/>
        <w:jc w:val="right"/>
        <w:bidi/>
      </w:pPr>
      <w:r>
        <w:rPr>
          <w:rFonts w:ascii="Arial" w:hAnsi="Arial"/>
          <w:sz w:val="16"/>
        </w:rPr>
        <w:t>363.13  SACها ممکن است در پایین‌ترین سطوح اداری وینگ طراحی شوند که به واحدها اجازه می‌دهد در مورد مرتبط‌ترین سؤالات انعطاف‌پذیری را دنبال کنند.</w:t>
      </w:r>
    </w:p>
    <w:p>
      <w:pPr>
        <w:spacing w:after="28" w:line="216" w:lineRule="auto"/>
        <w:ind w:left="259"/>
        <w:jc w:val="left"/>
      </w:pPr>
      <w:r>
        <w:rPr>
          <w:rFonts w:ascii="Arial" w:hAnsi="Arial"/>
          <w:color w:val="525252"/>
          <w:sz w:val="13"/>
        </w:rPr>
        <w:t>SACs may be tailored at the lowest Wing administrative levels allowing units the flexibility to track on the most relevant questions.</w:t>
      </w:r>
    </w:p>
    <w:p>
      <w:pPr>
        <w:spacing w:before="60" w:after="28"/>
        <w:jc w:val="right"/>
        <w:bidi/>
      </w:pPr>
      <w:r>
        <w:rPr>
          <w:b/>
          <w:color w:val="1F4D78"/>
          <w:sz w:val="18"/>
        </w:rPr>
        <w:t>20.8. گزارش یافته های بازرسی</w:t>
      </w:r>
    </w:p>
    <w:p>
      <w:pPr>
        <w:spacing w:after="20"/>
        <w:ind w:left="259"/>
        <w:jc w:val="left"/>
      </w:pPr>
      <w:r>
        <w:rPr>
          <w:color w:val="555555"/>
          <w:sz w:val="12"/>
        </w:rPr>
        <w:t>20.8. Reporting Inspection Findings</w:t>
      </w:r>
    </w:p>
    <w:p>
      <w:pPr>
        <w:spacing w:after="20" w:line="223" w:lineRule="auto"/>
        <w:jc w:val="right"/>
        <w:bidi/>
      </w:pPr>
      <w:r>
        <w:rPr>
          <w:rFonts w:ascii="Arial" w:hAnsi="Arial"/>
          <w:sz w:val="16"/>
        </w:rPr>
        <w:t>363.15  IGها اطمینان حاصل می‌کنند که گزارش‌های بازرسی، یافته‌های فعالیت بازرسی را مستند می‌کنند، از جمله ایمنی، تضمین یا مسائل مربوط به انضباط نظامی.</w:t>
      </w:r>
    </w:p>
    <w:p>
      <w:pPr>
        <w:spacing w:after="28" w:line="216" w:lineRule="auto"/>
        <w:ind w:left="259"/>
        <w:jc w:val="left"/>
      </w:pPr>
      <w:r>
        <w:rPr>
          <w:rFonts w:ascii="Arial" w:hAnsi="Arial"/>
          <w:color w:val="525252"/>
          <w:sz w:val="13"/>
        </w:rPr>
        <w:t>IGs will ensure inspection reports document inspection activity findings, including safety, surety, or issues of military discipline.</w:t>
      </w:r>
    </w:p>
    <w:p>
      <w:pPr>
        <w:spacing w:after="20" w:line="223" w:lineRule="auto"/>
        <w:jc w:val="right"/>
        <w:bidi/>
      </w:pPr>
      <w:r>
        <w:rPr>
          <w:rFonts w:ascii="Arial" w:hAnsi="Arial"/>
          <w:sz w:val="16"/>
        </w:rPr>
        <w:t>363.16  پس از تکمیل بازرسی‌ها، IG اطمینان حاصل می‌کند که گزارش‌های بازرسی شامل داده‌های معتبر طبقه‌بندی شده به‌عنوان نقاط قوت، کمبودها، یا زمینه‌های بهبود توصیه شده باشد.</w:t>
      </w:r>
    </w:p>
    <w:p>
      <w:pPr>
        <w:spacing w:after="28" w:line="216" w:lineRule="auto"/>
        <w:ind w:left="259"/>
        <w:jc w:val="left"/>
      </w:pPr>
      <w:r>
        <w:rPr>
          <w:rFonts w:ascii="Arial" w:hAnsi="Arial"/>
          <w:color w:val="525252"/>
          <w:sz w:val="13"/>
        </w:rPr>
        <w:t>Upon completion of inspections, the IG will ensure inspection reports include validated data categorized as strengths, deficiencies, or recommended improvement areas.</w:t>
      </w:r>
    </w:p>
    <w:p>
      <w:pPr>
        <w:spacing w:after="20" w:line="223" w:lineRule="auto"/>
        <w:jc w:val="right"/>
        <w:bidi/>
      </w:pPr>
      <w:r>
        <w:rPr>
          <w:rFonts w:ascii="Arial" w:hAnsi="Arial"/>
          <w:sz w:val="16"/>
        </w:rPr>
        <w:t>363.17  IGها در همه سطوح نباید نقص‌ها یا مشاهداتی را که پیش‌تر در سیستم مدیریت ارزیابی بازرس کل (IGEMS)، MICT یا سایر اسناد خودارزیابی یا روش‌های ردیابی توسط سازمان بازرسی شده وارد شده است تکرار کنند.</w:t>
      </w:r>
    </w:p>
    <w:p>
      <w:pPr>
        <w:spacing w:after="28" w:line="216" w:lineRule="auto"/>
        <w:ind w:left="259"/>
        <w:jc w:val="left"/>
      </w:pPr>
      <w:r>
        <w:rPr>
          <w:rFonts w:ascii="Arial" w:hAnsi="Arial"/>
          <w:color w:val="525252"/>
          <w:sz w:val="13"/>
        </w:rPr>
        <w:t>IGs at all levels should not duplicate deficiencies or observations which are already entered into the Inspector General Evaluation Management System (IGEMS), MICT or other self-assessment documentation or tracking methods by the inspected organization.</w:t>
      </w:r>
    </w:p>
    <w:p>
      <w:r>
        <w:br w:type="page"/>
      </w:r>
    </w:p>
    <w:p>
      <w:pPr>
        <w:spacing w:after="60"/>
        <w:jc w:val="right"/>
        <w:bidi/>
      </w:pPr>
      <w:r>
        <w:rPr>
          <w:rFonts w:ascii="Arial" w:hAnsi="Arial"/>
          <w:b/>
          <w:color w:val="1F4D78"/>
          <w:sz w:val="19"/>
        </w:rPr>
        <w:t>هفتهٔ 364  |  صفحهٔ منبع: 380</w:t>
      </w:r>
    </w:p>
    <w:p>
      <w:pPr>
        <w:spacing w:before="60" w:after="28"/>
        <w:jc w:val="right"/>
        <w:bidi/>
      </w:pPr>
      <w:r>
        <w:rPr>
          <w:b/>
          <w:color w:val="1F4D78"/>
          <w:sz w:val="18"/>
        </w:rPr>
        <w:t>بخش 20B - پاسخگویی فردی</w:t>
      </w:r>
    </w:p>
    <w:p>
      <w:pPr>
        <w:spacing w:after="20"/>
        <w:ind w:left="259"/>
        <w:jc w:val="left"/>
      </w:pPr>
      <w:r>
        <w:rPr>
          <w:color w:val="555555"/>
          <w:sz w:val="12"/>
        </w:rPr>
        <w:t>Section 20B—Individual Accountability</w:t>
      </w:r>
    </w:p>
    <w:p>
      <w:pPr>
        <w:spacing w:before="60" w:after="28"/>
        <w:jc w:val="right"/>
        <w:bidi/>
      </w:pPr>
      <w:r>
        <w:rPr>
          <w:b/>
          <w:color w:val="1F4D78"/>
          <w:sz w:val="18"/>
        </w:rPr>
        <w:t>20.9. اجرای استانداردها</w:t>
      </w:r>
    </w:p>
    <w:p>
      <w:pPr>
        <w:spacing w:after="20"/>
        <w:ind w:left="259"/>
        <w:jc w:val="left"/>
      </w:pPr>
      <w:r>
        <w:rPr>
          <w:color w:val="555555"/>
          <w:sz w:val="12"/>
        </w:rPr>
        <w:t>20.9. Enforcing Standards</w:t>
      </w:r>
    </w:p>
    <w:p>
      <w:pPr>
        <w:spacing w:after="20" w:line="223" w:lineRule="auto"/>
        <w:jc w:val="right"/>
        <w:bidi/>
      </w:pPr>
      <w:r>
        <w:rPr>
          <w:rFonts w:ascii="Arial" w:hAnsi="Arial"/>
          <w:sz w:val="16"/>
        </w:rPr>
        <w:t>364.03  اجرای استانداردهای نظامی با مسئولیت پذیری فردی آغاز می‌شود.</w:t>
      </w:r>
    </w:p>
    <w:p>
      <w:pPr>
        <w:spacing w:after="28" w:line="216" w:lineRule="auto"/>
        <w:ind w:left="259"/>
        <w:jc w:val="left"/>
      </w:pPr>
      <w:r>
        <w:rPr>
          <w:rFonts w:ascii="Arial" w:hAnsi="Arial"/>
          <w:color w:val="525252"/>
          <w:sz w:val="13"/>
        </w:rPr>
        <w:t>Enforcing military standards begins with individual accountability.</w:t>
      </w:r>
    </w:p>
    <w:p>
      <w:pPr>
        <w:spacing w:after="20" w:line="223" w:lineRule="auto"/>
        <w:jc w:val="right"/>
        <w:bidi/>
      </w:pPr>
      <w:r>
        <w:rPr>
          <w:rFonts w:ascii="Arial" w:hAnsi="Arial"/>
          <w:sz w:val="16"/>
        </w:rPr>
        <w:t>364.04  برخی از فعالیت‌ها و رفتارها وجود دارند که اگرچه غیرقانونی نیستند، اما با حفظ نظم و انضباط ناسازگار هستند.</w:t>
      </w:r>
    </w:p>
    <w:p>
      <w:pPr>
        <w:spacing w:after="28" w:line="216" w:lineRule="auto"/>
        <w:ind w:left="259"/>
        <w:jc w:val="left"/>
      </w:pPr>
      <w:r>
        <w:rPr>
          <w:rFonts w:ascii="Arial" w:hAnsi="Arial"/>
          <w:color w:val="525252"/>
          <w:sz w:val="13"/>
        </w:rPr>
        <w:t>There are some activities and behaviors that, while arguably not illegal, are nevertheless inconsistent with maintaining good order and discipline.</w:t>
      </w:r>
    </w:p>
    <w:p>
      <w:pPr>
        <w:spacing w:after="20" w:line="223" w:lineRule="auto"/>
        <w:jc w:val="right"/>
        <w:bidi/>
      </w:pPr>
      <w:r>
        <w:rPr>
          <w:rFonts w:ascii="Arial" w:hAnsi="Arial"/>
          <w:sz w:val="16"/>
        </w:rPr>
        <w:t>364.05  درک محدودیت‌ها و مسئولیت‌های ما برای پایبندی به استانداردهای USAF به جلوگیری از نیاز به تقویت این استانداردها کمک می‌کند.</w:t>
      </w:r>
    </w:p>
    <w:p>
      <w:pPr>
        <w:spacing w:after="28" w:line="216" w:lineRule="auto"/>
        <w:ind w:left="259"/>
        <w:jc w:val="left"/>
      </w:pPr>
      <w:r>
        <w:rPr>
          <w:rFonts w:ascii="Arial" w:hAnsi="Arial"/>
          <w:color w:val="525252"/>
          <w:sz w:val="13"/>
        </w:rPr>
        <w:t>Understanding the restrictions and our responsibilities for adhering to USAF standards will help prevent the need to reinforce these standards.</w:t>
      </w:r>
    </w:p>
    <w:p>
      <w:pPr>
        <w:spacing w:after="20" w:line="223" w:lineRule="auto"/>
        <w:jc w:val="right"/>
        <w:bidi/>
      </w:pPr>
      <w:r>
        <w:rPr>
          <w:rFonts w:ascii="Arial" w:hAnsi="Arial"/>
          <w:sz w:val="16"/>
        </w:rPr>
        <w:t>364.06  برنامه حل و فصل شکایات نیروی هوایی.</w:t>
      </w:r>
    </w:p>
    <w:p>
      <w:pPr>
        <w:spacing w:after="28" w:line="216" w:lineRule="auto"/>
        <w:ind w:left="259"/>
        <w:jc w:val="left"/>
      </w:pPr>
      <w:r>
        <w:rPr>
          <w:rFonts w:ascii="Arial" w:hAnsi="Arial"/>
          <w:color w:val="525252"/>
          <w:sz w:val="13"/>
        </w:rPr>
        <w:t>The Air Force Complaints Resolution Program.</w:t>
      </w:r>
    </w:p>
    <w:p>
      <w:pPr>
        <w:spacing w:after="20" w:line="223" w:lineRule="auto"/>
        <w:jc w:val="right"/>
        <w:bidi/>
      </w:pPr>
      <w:r>
        <w:rPr>
          <w:rFonts w:ascii="Arial" w:hAnsi="Arial"/>
          <w:sz w:val="16"/>
        </w:rPr>
        <w:t>364.07  برنامه حل و فصل شکایات نیروی هوایی یک ابزار رهبری است که نشان می‌دهد برای تصحیح نقاط ضعف سیستماتیک، برنامه‌ای یا رویه‌ای به دخالت فرماندهی نیاز است.</w:t>
      </w:r>
    </w:p>
    <w:p>
      <w:pPr>
        <w:spacing w:after="28" w:line="216" w:lineRule="auto"/>
        <w:ind w:left="259"/>
        <w:jc w:val="left"/>
      </w:pPr>
      <w:r>
        <w:rPr>
          <w:rFonts w:ascii="Arial" w:hAnsi="Arial"/>
          <w:color w:val="525252"/>
          <w:sz w:val="13"/>
        </w:rPr>
        <w:t>The Air Force Complaints Resolution Program is a leadership tool that indicates where command involvement is needed to correct systematic, programmatic, or procedural weaknesses.</w:t>
      </w:r>
    </w:p>
    <w:p>
      <w:pPr>
        <w:spacing w:after="20" w:line="223" w:lineRule="auto"/>
        <w:jc w:val="right"/>
        <w:bidi/>
      </w:pPr>
      <w:r>
        <w:rPr>
          <w:rFonts w:ascii="Arial" w:hAnsi="Arial"/>
          <w:sz w:val="16"/>
        </w:rPr>
        <w:t>364.08  رفع علت اصلی شکایت ممکن است از علائم شدیدتر یا عواقب پرهزینه مانند کاهش عملکرد، تصادفات، کار با کیفیت پایین یا روحیه ضعیف جلوگیری کند.</w:t>
      </w:r>
    </w:p>
    <w:p>
      <w:pPr>
        <w:spacing w:after="28" w:line="216" w:lineRule="auto"/>
        <w:ind w:left="259"/>
        <w:jc w:val="left"/>
      </w:pPr>
      <w:r>
        <w:rPr>
          <w:rFonts w:ascii="Arial" w:hAnsi="Arial"/>
          <w:color w:val="525252"/>
          <w:sz w:val="13"/>
        </w:rPr>
        <w:t>Resolving the underlying cause of a complaint may prevent more severe symptoms or costly consequences, such as reduced performance, accidents, poor quality work, or poor morale.</w:t>
      </w:r>
    </w:p>
    <w:p>
      <w:pPr>
        <w:spacing w:after="20" w:line="223" w:lineRule="auto"/>
        <w:jc w:val="right"/>
        <w:bidi/>
      </w:pPr>
      <w:r>
        <w:rPr>
          <w:rFonts w:ascii="Arial" w:hAnsi="Arial"/>
          <w:sz w:val="16"/>
        </w:rPr>
        <w:t>364.09  این برنامه همچنین استفاده مؤثر و کارآمد از منابع را تضمین می‌کند، مشکلاتی را که بر مأموریت نیروی هوایی تأثیر می‌گذارد به‌سرعت و عینی حل می‌کند، فضای اعتمادی را ایجاد می‌کند که در آن مسائل می‌توانند به‌طور عینی و کامل بدون انتقام یا ترس از انتقام حل شوند، و به فرماندهان در القای اعتماد به رهبری نیروی هوایی کمک می‌کند.</w:t>
      </w:r>
    </w:p>
    <w:p>
      <w:pPr>
        <w:spacing w:after="28" w:line="216" w:lineRule="auto"/>
        <w:ind w:left="259"/>
        <w:jc w:val="left"/>
      </w:pPr>
      <w:r>
        <w:rPr>
          <w:rFonts w:ascii="Arial" w:hAnsi="Arial"/>
          <w:color w:val="525252"/>
          <w:sz w:val="13"/>
        </w:rPr>
        <w:t>The program also ensures the effective and efficient use of resources, resolves problems affecting the Air Force mission promptly and objectively, creates an atmosphere of trust in which issues can be objectively and fully resolved without retaliation or fear of reprisal, and assists commanders in instilling confidence in Air Force leadership.</w:t>
      </w:r>
    </w:p>
    <w:p>
      <w:pPr>
        <w:spacing w:after="20" w:line="223" w:lineRule="auto"/>
        <w:jc w:val="right"/>
        <w:bidi/>
      </w:pPr>
      <w:r>
        <w:rPr>
          <w:rFonts w:ascii="Arial" w:hAnsi="Arial"/>
          <w:sz w:val="16"/>
        </w:rPr>
        <w:t>364.10  حتی اگر ادعاها قابل اثبات نباشند، شواهد یا یافته‌های تحقیقات ممکن است مشکلات سیستماتیک، روحی یا سایر مشکلاتی را که مانع کارایی و اثربخشی مأموریت می‌شوند، آشکار کند.</w:t>
      </w:r>
    </w:p>
    <w:p>
      <w:pPr>
        <w:spacing w:after="28" w:line="216" w:lineRule="auto"/>
        <w:ind w:left="259"/>
        <w:jc w:val="left"/>
      </w:pPr>
      <w:r>
        <w:rPr>
          <w:rFonts w:ascii="Arial" w:hAnsi="Arial"/>
          <w:color w:val="525252"/>
          <w:sz w:val="13"/>
        </w:rPr>
        <w:t>Even though allegations may not be substantiated, the evidence or investigation findings may reveal systematic, morale, or other problems impeding efficiency and mission effectiveness.</w:t>
      </w:r>
    </w:p>
    <w:p>
      <w:pPr>
        <w:spacing w:after="20" w:line="223" w:lineRule="auto"/>
        <w:jc w:val="right"/>
        <w:bidi/>
      </w:pPr>
      <w:r>
        <w:rPr>
          <w:rFonts w:ascii="Arial" w:hAnsi="Arial"/>
          <w:sz w:val="16"/>
        </w:rPr>
        <w:t>364.11  ارسال شکایات.</w:t>
      </w:r>
    </w:p>
    <w:p>
      <w:pPr>
        <w:spacing w:after="28" w:line="216" w:lineRule="auto"/>
        <w:ind w:left="259"/>
        <w:jc w:val="left"/>
      </w:pPr>
      <w:r>
        <w:rPr>
          <w:rFonts w:ascii="Arial" w:hAnsi="Arial"/>
          <w:color w:val="525252"/>
          <w:sz w:val="13"/>
        </w:rPr>
        <w:t>Submitting Complaints.</w:t>
      </w:r>
    </w:p>
    <w:p>
      <w:pPr>
        <w:spacing w:after="20" w:line="223" w:lineRule="auto"/>
        <w:jc w:val="right"/>
        <w:bidi/>
      </w:pPr>
      <w:r>
        <w:rPr>
          <w:rFonts w:ascii="Arial" w:hAnsi="Arial"/>
          <w:sz w:val="16"/>
        </w:rPr>
        <w:t>364.12  تحت برنامه حل و فصل شکایات نیروی هوایی، یک عضو حق ارائه شکایت بدون ترس از انتقام دارد و در دستورالعمل‌ها و دستورالعمل‌های راهنمایی وزارت دفاع و نیروی هوایی مدون شده است.</w:t>
      </w:r>
    </w:p>
    <w:p>
      <w:pPr>
        <w:spacing w:after="28" w:line="216" w:lineRule="auto"/>
        <w:ind w:left="259"/>
        <w:jc w:val="left"/>
      </w:pPr>
      <w:r>
        <w:rPr>
          <w:rFonts w:ascii="Arial" w:hAnsi="Arial"/>
          <w:color w:val="525252"/>
          <w:sz w:val="13"/>
        </w:rPr>
        <w:t>Under the Air Force Complaints Resolution Program, a member has the right to present a complaint without fear of reprisal and is codified in Department of Defense and Air Force guidance directives and instructions.</w:t>
      </w:r>
    </w:p>
    <w:p>
      <w:pPr>
        <w:spacing w:after="20" w:line="223" w:lineRule="auto"/>
        <w:jc w:val="right"/>
        <w:bidi/>
      </w:pPr>
      <w:r>
        <w:rPr>
          <w:rFonts w:ascii="Arial" w:hAnsi="Arial"/>
          <w:sz w:val="16"/>
        </w:rPr>
        <w:t>364.13  شکایات ممکن است شخصا، از طریق تلفن، از طریق وسایل الکترونیکی، یا به صورت کتبی به سرپرستان، گروهبانان یکم، فرماندهان، اعضای هر سطحی از سیستم IG، فردی بالاتر در زنجیره فرماندهی، یا اعضای کنگره ارسال شود.</w:t>
      </w:r>
    </w:p>
    <w:p>
      <w:pPr>
        <w:spacing w:after="28" w:line="216" w:lineRule="auto"/>
        <w:ind w:left="259"/>
        <w:jc w:val="left"/>
      </w:pPr>
      <w:r>
        <w:rPr>
          <w:rFonts w:ascii="Arial" w:hAnsi="Arial"/>
          <w:color w:val="525252"/>
          <w:sz w:val="13"/>
        </w:rPr>
        <w:t>Complaints may be submitted in person, by phone, through electronic means, or in writing to supervisors, first sergeants, commanders, members of any level of the IG system, someone higher in the chain of command, or members of Congress.</w:t>
      </w:r>
    </w:p>
    <w:p>
      <w:pPr>
        <w:spacing w:after="20" w:line="223" w:lineRule="auto"/>
        <w:jc w:val="right"/>
        <w:bidi/>
      </w:pPr>
      <w:r>
        <w:rPr>
          <w:rFonts w:ascii="Arial" w:hAnsi="Arial"/>
          <w:sz w:val="16"/>
        </w:rPr>
        <w:t>364.14  در حالی که اعضا باید قبل از ارجاع شکایات به فرماندهی سطح بالاتر یا IG تلاش کنند تا شکایات را در پایین‌ترین سطح ممکن حل و فصل کنند، قانون عمومی بیان می‌کند که هیچ شخصی نمی‌تواند یک عضو نظامی را از برقراری ارتباط قانونی با یک IG یا عضو کنگره محدود کند.</w:t>
      </w:r>
    </w:p>
    <w:p>
      <w:pPr>
        <w:spacing w:after="28" w:line="216" w:lineRule="auto"/>
        <w:ind w:left="259"/>
        <w:jc w:val="left"/>
      </w:pPr>
      <w:r>
        <w:rPr>
          <w:rFonts w:ascii="Arial" w:hAnsi="Arial"/>
          <w:color w:val="525252"/>
          <w:sz w:val="13"/>
        </w:rPr>
        <w:t>While members should attempt to resolve complaints at the lowest possible level before addressing them to higher level command or the IG, public law states that no person may restrict a military member from making a lawful communication to an IG or member of Congress.</w:t>
      </w:r>
    </w:p>
    <w:p>
      <w:pPr>
        <w:spacing w:after="20" w:line="223" w:lineRule="auto"/>
        <w:jc w:val="right"/>
        <w:bidi/>
      </w:pPr>
      <w:r>
        <w:rPr>
          <w:rFonts w:ascii="Arial" w:hAnsi="Arial"/>
          <w:sz w:val="16"/>
        </w:rPr>
        <w:t>364.15  علاوه بر داشتن حق ارائه شکایات شخصی، یک عضو مسئولیت گزارش FWA یا سوء مدیریت فاحش را نیز دارد. نقض قانون، خط‌مشی، رویه‌ها، دستورالعمل‌ها یا مقررات؛ یک بی عدالتی؛ هرگونه سوء استفاده از قدرت؛ رفتار نامناسب؛ یا سوء رفتار از طریق کانال‌های نظارتی مناسب یا IG.</w:t>
      </w:r>
    </w:p>
    <w:p>
      <w:pPr>
        <w:spacing w:after="28" w:line="216" w:lineRule="auto"/>
        <w:ind w:left="259"/>
        <w:jc w:val="left"/>
      </w:pPr>
      <w:r>
        <w:rPr>
          <w:rFonts w:ascii="Arial" w:hAnsi="Arial"/>
          <w:color w:val="525252"/>
          <w:sz w:val="13"/>
        </w:rPr>
        <w:t>In addition to having the right to present personal complaints, a member has the responsibility to report FWA, or gross mismanagement; a violation of law, policy, procedures, instructions, or regulations; an injustice; any abuse of authority; inappropriate conduct; or misconduct through appropriate supervisory channels or the IG.</w:t>
      </w:r>
    </w:p>
    <w:p>
      <w:pPr>
        <w:spacing w:after="20" w:line="223" w:lineRule="auto"/>
        <w:jc w:val="right"/>
        <w:bidi/>
      </w:pPr>
      <w:r>
        <w:rPr>
          <w:rFonts w:ascii="Arial" w:hAnsi="Arial"/>
          <w:sz w:val="16"/>
        </w:rPr>
        <w:t>364.16  توجه: فقط IG می‌تواند ادعاهای تلافی‌جویانه و محدودیت‌های تحت قانون حفاظت از افشاگران نظامی را بررسی کند.</w:t>
      </w:r>
    </w:p>
    <w:p>
      <w:pPr>
        <w:spacing w:after="28" w:line="216" w:lineRule="auto"/>
        <w:ind w:left="259"/>
        <w:jc w:val="left"/>
      </w:pPr>
      <w:r>
        <w:rPr>
          <w:rFonts w:ascii="Arial" w:hAnsi="Arial"/>
          <w:color w:val="525252"/>
          <w:sz w:val="13"/>
        </w:rPr>
        <w:t>Note: Only the IG may investigate allegations of reprisal and restriction under the Military Whistleblower’s Protection Act.</w:t>
      </w:r>
    </w:p>
    <w:p>
      <w:pPr>
        <w:spacing w:after="20" w:line="223" w:lineRule="auto"/>
        <w:jc w:val="right"/>
        <w:bidi/>
      </w:pPr>
      <w:r>
        <w:rPr>
          <w:rFonts w:ascii="Arial" w:hAnsi="Arial"/>
          <w:sz w:val="16"/>
        </w:rPr>
        <w:t>364.17  شکایاتی که توسط کانال‌های دیگر شکایت یا تجدیدنظر رسیدگی می‌شود.</w:t>
      </w:r>
    </w:p>
    <w:p>
      <w:pPr>
        <w:spacing w:after="28" w:line="216" w:lineRule="auto"/>
        <w:ind w:left="259"/>
        <w:jc w:val="left"/>
      </w:pPr>
      <w:r>
        <w:rPr>
          <w:rFonts w:ascii="Arial" w:hAnsi="Arial"/>
          <w:color w:val="525252"/>
          <w:sz w:val="13"/>
        </w:rPr>
        <w:t>Complaints Addressed By Other Grievance or Appeal Channels.</w:t>
      </w:r>
    </w:p>
    <w:p>
      <w:pPr>
        <w:spacing w:after="20" w:line="223" w:lineRule="auto"/>
        <w:jc w:val="right"/>
        <w:bidi/>
      </w:pPr>
      <w:r>
        <w:rPr>
          <w:rFonts w:ascii="Arial" w:hAnsi="Arial"/>
          <w:sz w:val="16"/>
        </w:rPr>
        <w:t>364.18  مواردی که معمولا از طریق کانال‌های دیگر شکایت یا تجدیدنظر مطرح می‌شوند، ممکن است به کانال شکایت یا تجدیدنظر مربوطه ارجاع داده شوند، مگر اینکه شواهدی وجود داشته باشد که این کانال‌ها به موضوع یا فرآیند رسیدگی نادرست کرده‌اند.</w:t>
      </w:r>
    </w:p>
    <w:p>
      <w:pPr>
        <w:spacing w:after="28" w:line="216" w:lineRule="auto"/>
        <w:ind w:left="259"/>
        <w:jc w:val="left"/>
      </w:pPr>
      <w:r>
        <w:rPr>
          <w:rFonts w:ascii="Arial" w:hAnsi="Arial"/>
          <w:color w:val="525252"/>
          <w:sz w:val="13"/>
        </w:rPr>
        <w:t>Matters normally addressed through other established grievance or appeal channels may be referred back to the appropriate grievance or appeal channel unless there is evidence these channels mishandled the matter or process.</w:t>
      </w:r>
    </w:p>
    <w:p>
      <w:pPr>
        <w:spacing w:after="20" w:line="223" w:lineRule="auto"/>
        <w:jc w:val="right"/>
        <w:bidi/>
      </w:pPr>
      <w:r>
        <w:rPr>
          <w:rFonts w:ascii="Arial" w:hAnsi="Arial"/>
          <w:sz w:val="16"/>
        </w:rPr>
        <w:t>364.19  قبل از اینکه یک کانال IG به شکایت سوء مدیریت رسیدگی کند، شاکیان باید شواهد مرتبطی را ارائه کنند که نشان می‌دهد فرآیند به‌طور نادرست مدیریت شده یا به‌طور غیرقانونی انجام شده است.</w:t>
      </w:r>
    </w:p>
    <w:p>
      <w:pPr>
        <w:spacing w:after="28" w:line="216" w:lineRule="auto"/>
        <w:ind w:left="259"/>
        <w:jc w:val="left"/>
      </w:pPr>
      <w:r>
        <w:rPr>
          <w:rFonts w:ascii="Arial" w:hAnsi="Arial"/>
          <w:color w:val="525252"/>
          <w:sz w:val="13"/>
        </w:rPr>
        <w:t>Complainants must provide some relevant evidence that the process was mishandled or handled prejudicially before an IG channel will process a complaint of mishandling.</w:t>
      </w:r>
    </w:p>
    <w:p>
      <w:pPr>
        <w:spacing w:after="20" w:line="223" w:lineRule="auto"/>
        <w:jc w:val="right"/>
        <w:bidi/>
      </w:pPr>
      <w:r>
        <w:rPr>
          <w:rFonts w:ascii="Arial" w:hAnsi="Arial"/>
          <w:sz w:val="16"/>
        </w:rPr>
        <w:t>364.20  نارضایتی یا مخالفت با نتیجه یا یافته‌های فرآیند شکایت یا تجدیدنظر جایگزین، مبنای کافی برای تضمین تحقیقات IG نیست.</w:t>
      </w:r>
    </w:p>
    <w:p>
      <w:pPr>
        <w:spacing w:after="28" w:line="216" w:lineRule="auto"/>
        <w:ind w:left="259"/>
        <w:jc w:val="left"/>
      </w:pPr>
      <w:r>
        <w:rPr>
          <w:rFonts w:ascii="Arial" w:hAnsi="Arial"/>
          <w:color w:val="525252"/>
          <w:sz w:val="13"/>
        </w:rPr>
        <w:t>Dissatisfaction or disagreement with the outcome or findings of an alternative grievance or appeal process is not a sufficient basis to warrant an IG investigation.</w:t>
      </w:r>
    </w:p>
    <w:p>
      <w:pPr>
        <w:spacing w:after="20" w:line="223" w:lineRule="auto"/>
        <w:jc w:val="right"/>
        <w:bidi/>
      </w:pPr>
      <w:r>
        <w:rPr>
          <w:rFonts w:ascii="Arial" w:hAnsi="Arial"/>
          <w:sz w:val="16"/>
        </w:rPr>
        <w:t>364.21  برای اطلاعات بیشتر در مورد مراحل ثبت شکایت IG و جزئیات بیشتر در مورد برنامه، به DAFI ۹۰-۳۰۱، قطعنامه شکایات بازرس کل مراجعه کنید.</w:t>
      </w:r>
    </w:p>
    <w:p>
      <w:pPr>
        <w:spacing w:after="28" w:line="216" w:lineRule="auto"/>
        <w:ind w:left="259"/>
        <w:jc w:val="left"/>
      </w:pPr>
      <w:r>
        <w:rPr>
          <w:rFonts w:ascii="Arial" w:hAnsi="Arial"/>
          <w:color w:val="525252"/>
          <w:sz w:val="13"/>
        </w:rPr>
        <w:t>For additional information on procedures for filing an IG complaint and further details regarding the program, refer to DAFI 90-301, Inspector General Complaints Resolution.</w:t>
      </w:r>
    </w:p>
    <w:p>
      <w:pPr>
        <w:spacing w:before="60" w:after="28"/>
        <w:jc w:val="right"/>
        <w:bidi/>
      </w:pPr>
      <w:r>
        <w:rPr>
          <w:b/>
          <w:color w:val="1F4D78"/>
          <w:sz w:val="18"/>
        </w:rPr>
        <w:t>20.10. اختیارات و مسئولیت فرمانده</w:t>
      </w:r>
    </w:p>
    <w:p>
      <w:pPr>
        <w:spacing w:after="20"/>
        <w:ind w:left="259"/>
        <w:jc w:val="left"/>
      </w:pPr>
      <w:r>
        <w:rPr>
          <w:color w:val="555555"/>
          <w:sz w:val="12"/>
        </w:rPr>
        <w:t>20.10. Commander’s Authority and Responsibility</w:t>
      </w:r>
    </w:p>
    <w:p>
      <w:pPr>
        <w:spacing w:after="20" w:line="223" w:lineRule="auto"/>
        <w:jc w:val="right"/>
        <w:bidi/>
      </w:pPr>
      <w:r>
        <w:rPr>
          <w:rFonts w:ascii="Arial" w:hAnsi="Arial"/>
          <w:sz w:val="16"/>
        </w:rPr>
        <w:t>364.23  با حفظ حداکثر حق بیان یک هوانیروز، فرماندهان نیروی هوایی دارای اختیار و مسئولیت ذاتی هستند که برای اطمینان از انجام مأموریت اقدام کنند.</w:t>
      </w:r>
    </w:p>
    <w:p>
      <w:pPr>
        <w:spacing w:after="28" w:line="216" w:lineRule="auto"/>
        <w:ind w:left="259"/>
        <w:jc w:val="left"/>
      </w:pPr>
      <w:r>
        <w:rPr>
          <w:rFonts w:ascii="Arial" w:hAnsi="Arial"/>
          <w:color w:val="525252"/>
          <w:sz w:val="13"/>
        </w:rPr>
        <w:t>While preserving an Airman’s right of expression to the maximum extent possible, Air Force commanders have the inherent authority and responsibility to take action to ensure the mission is</w:t>
      </w:r>
    </w:p>
    <w:p>
      <w:r>
        <w:br w:type="page"/>
      </w:r>
    </w:p>
    <w:p>
      <w:pPr>
        <w:spacing w:after="60"/>
        <w:jc w:val="right"/>
        <w:bidi/>
      </w:pPr>
      <w:r>
        <w:rPr>
          <w:rFonts w:ascii="Arial" w:hAnsi="Arial"/>
          <w:b/>
          <w:color w:val="1F4D78"/>
          <w:sz w:val="19"/>
        </w:rPr>
        <w:t>هفتهٔ 365  |  صفحهٔ منبع: 381</w:t>
      </w:r>
    </w:p>
    <w:p>
      <w:pPr>
        <w:spacing w:after="20" w:line="223" w:lineRule="auto"/>
        <w:jc w:val="right"/>
        <w:bidi/>
      </w:pPr>
      <w:r>
        <w:rPr>
          <w:rFonts w:ascii="Arial" w:hAnsi="Arial"/>
          <w:sz w:val="16"/>
        </w:rPr>
        <w:t>365.01  انجام شد.</w:t>
      </w:r>
    </w:p>
    <w:p>
      <w:pPr>
        <w:spacing w:after="28" w:line="216" w:lineRule="auto"/>
        <w:ind w:left="259"/>
        <w:jc w:val="left"/>
      </w:pPr>
      <w:r>
        <w:rPr>
          <w:rFonts w:ascii="Arial" w:hAnsi="Arial"/>
          <w:color w:val="525252"/>
          <w:sz w:val="13"/>
        </w:rPr>
        <w:t>performed.</w:t>
      </w:r>
    </w:p>
    <w:p>
      <w:pPr>
        <w:spacing w:after="20" w:line="223" w:lineRule="auto"/>
        <w:jc w:val="right"/>
        <w:bidi/>
      </w:pPr>
      <w:r>
        <w:rPr>
          <w:rFonts w:ascii="Arial" w:hAnsi="Arial"/>
          <w:sz w:val="16"/>
        </w:rPr>
        <w:t>365.02  این اختیار و مسئولیت شامل ایجاد محدودیت قانونی برای شرکت در فعالیت‌های مخالف و اعتراضی است. نوشتن، توزیع، انتشار یا ارسال هرگونه مطلب غیرمجاز؛ رفت و آمد به موسساتی که به‌عنوان «خارج از محدودیت» تعیین شده‌اند؛ شرکت در هر گونه فعالیت تبعیض غیرقانونی یا هر فعالیتی که به نظر یک فرمانده برای نظم، انضباط یا انجام مأموریت مضر است. دخالت در مأموریت یا نظم و قانون USAF؛ یا خطری آشکار برای وفاداری، انضباط یا روحیه اعضای نیروهای مسلح ایالات متحده ایجاد کند.</w:t>
      </w:r>
    </w:p>
    <w:p>
      <w:pPr>
        <w:spacing w:after="28" w:line="216" w:lineRule="auto"/>
        <w:ind w:left="259"/>
        <w:jc w:val="left"/>
      </w:pPr>
      <w:r>
        <w:rPr>
          <w:rFonts w:ascii="Arial" w:hAnsi="Arial"/>
          <w:color w:val="525252"/>
          <w:sz w:val="13"/>
        </w:rPr>
        <w:t>This authority and responsibility includes placing lawful restriction on engaging in dissident and protest activities; writing, distributing, publishing, or posting any unauthorized material; frequenting establishments that have been designated as ‘off limits’; participating in any activities of illegal discrimination or any activities that a commander finds to be detrimental to good order, discipline, or mission accomplishment; interfering with the USAF mission or law and order; or presenting a clear danger to loyalty, discipline, or morale of members of the U.S. Armed Forces.</w:t>
      </w:r>
    </w:p>
    <w:p>
      <w:pPr>
        <w:spacing w:before="60" w:after="28"/>
        <w:jc w:val="right"/>
        <w:bidi/>
      </w:pPr>
      <w:r>
        <w:rPr>
          <w:b/>
          <w:color w:val="1F4D78"/>
          <w:sz w:val="18"/>
        </w:rPr>
        <w:t>20.11. بیانیه های عمومی</w:t>
      </w:r>
    </w:p>
    <w:p>
      <w:pPr>
        <w:spacing w:after="20"/>
        <w:ind w:left="259"/>
        <w:jc w:val="left"/>
      </w:pPr>
      <w:r>
        <w:rPr>
          <w:color w:val="555555"/>
          <w:sz w:val="12"/>
        </w:rPr>
        <w:t>20.11. Public Statements</w:t>
      </w:r>
    </w:p>
    <w:p>
      <w:pPr>
        <w:spacing w:after="20" w:line="223" w:lineRule="auto"/>
        <w:jc w:val="right"/>
        <w:bidi/>
      </w:pPr>
      <w:r>
        <w:rPr>
          <w:rFonts w:ascii="Arial" w:hAnsi="Arial"/>
          <w:sz w:val="16"/>
        </w:rPr>
        <w:t>365.04  طبق AFI ۱-۱، صدور بیانیه‌های عمومی در مورد مسائل رسمی USAF بر عهده فرماندهان واحد یا نصب و نمایندگان امور عمومی آنها است.</w:t>
      </w:r>
    </w:p>
    <w:p>
      <w:pPr>
        <w:spacing w:after="28" w:line="216" w:lineRule="auto"/>
        <w:ind w:left="259"/>
        <w:jc w:val="left"/>
      </w:pPr>
      <w:r>
        <w:rPr>
          <w:rFonts w:ascii="Arial" w:hAnsi="Arial"/>
          <w:color w:val="525252"/>
          <w:sz w:val="13"/>
        </w:rPr>
        <w:t>According to AFI 1-1, the issuance of public statements on official USAF matters is the responsibility of cognizant unit or installation commanders and their public affairs representatives.</w:t>
      </w:r>
    </w:p>
    <w:p>
      <w:pPr>
        <w:spacing w:after="20" w:line="223" w:lineRule="auto"/>
        <w:jc w:val="right"/>
        <w:bidi/>
      </w:pPr>
      <w:r>
        <w:rPr>
          <w:rFonts w:ascii="Arial" w:hAnsi="Arial"/>
          <w:sz w:val="16"/>
        </w:rPr>
        <w:t>365.05  حصول اطمینان از اینکه بیانیه‌های رسمی به درستی بیان و تأیید می‌شوند، از اظهاراتی که منعکس‌کننده سیاست رسمی USAF نیستند یا اگر خارج از متن برداشته شوند ممکن است برای عموم گمراه‌کننده باشند، اجتناب می‌شود.</w:t>
      </w:r>
    </w:p>
    <w:p>
      <w:pPr>
        <w:spacing w:after="28" w:line="216" w:lineRule="auto"/>
        <w:ind w:left="259"/>
        <w:jc w:val="left"/>
      </w:pPr>
      <w:r>
        <w:rPr>
          <w:rFonts w:ascii="Arial" w:hAnsi="Arial"/>
          <w:color w:val="525252"/>
          <w:sz w:val="13"/>
        </w:rPr>
        <w:t>Ensuring that official statements are properly worded and approved, avoids statements that do not reflect official USAF policy or that could be misleading to the public if taken out of context.</w:t>
      </w:r>
    </w:p>
    <w:p>
      <w:pPr>
        <w:spacing w:after="20" w:line="223" w:lineRule="auto"/>
        <w:jc w:val="right"/>
        <w:bidi/>
      </w:pPr>
      <w:r>
        <w:rPr>
          <w:rFonts w:ascii="Arial" w:hAnsi="Arial"/>
          <w:sz w:val="16"/>
        </w:rPr>
        <w:t>365.06  برای اطمینان از ارائه حرفه‌ای اطلاعات رسمی USAF، پرسنل باید مطمئن شوند که دقیق، سریع و واقعی هستند. محدود به حوزه‌های تخصصی خاص آنها است. اجتناب از ماهیت فرضی و گمانه زنی؛ به‌طور دقیق سیاست USAF را منعکس می‌کند. ساده و صادقانه ارائه می‌شود. و مطابق با روح و متن اصول وزیر دفاع برای اطلاعات عمومی است.</w:t>
      </w:r>
    </w:p>
    <w:p>
      <w:pPr>
        <w:spacing w:after="28" w:line="216" w:lineRule="auto"/>
        <w:ind w:left="259"/>
        <w:jc w:val="left"/>
      </w:pPr>
      <w:r>
        <w:rPr>
          <w:rFonts w:ascii="Arial" w:hAnsi="Arial"/>
          <w:color w:val="525252"/>
          <w:sz w:val="13"/>
        </w:rPr>
        <w:t>To ensure USAF official information is presented professionally, personnel should make certain it is accurate, prompt, and factual; is confined to their particular areas of expertise; avoids a hypothetical and speculative nature; accurately reflects USAF policy; is presented simply and honestly; and complies with the spirit and letter of the Secretary of Defense’s principles for public information.</w:t>
      </w:r>
    </w:p>
    <w:p>
      <w:pPr>
        <w:spacing w:after="20" w:line="223" w:lineRule="auto"/>
        <w:jc w:val="right"/>
        <w:bidi/>
      </w:pPr>
      <w:r>
        <w:rPr>
          <w:rFonts w:ascii="Arial" w:hAnsi="Arial"/>
          <w:sz w:val="16"/>
        </w:rPr>
        <w:t>365.07  برای اطلاعات بیشتر به AFI ۳۵-۱۰۱ مراجعه کنید.</w:t>
      </w:r>
    </w:p>
    <w:p>
      <w:pPr>
        <w:spacing w:after="28" w:line="216" w:lineRule="auto"/>
        <w:ind w:left="259"/>
        <w:jc w:val="left"/>
      </w:pPr>
      <w:r>
        <w:rPr>
          <w:rFonts w:ascii="Arial" w:hAnsi="Arial"/>
          <w:color w:val="525252"/>
          <w:sz w:val="13"/>
        </w:rPr>
        <w:t>For additional information, refer to AFI 35-101.</w:t>
      </w:r>
    </w:p>
    <w:p>
      <w:pPr>
        <w:spacing w:after="20" w:line="223" w:lineRule="auto"/>
        <w:jc w:val="right"/>
        <w:bidi/>
      </w:pPr>
      <w:r>
        <w:rPr>
          <w:rFonts w:ascii="Arial" w:hAnsi="Arial"/>
          <w:sz w:val="16"/>
        </w:rPr>
        <w:t>365.08  به‌عنوان نمایندگان سرویس در تماس رسمی و غیر رسمی با مردم، اعضا فرصت‌های زیادی برای کمک به افکار عمومی مثبت نسبت به USAF دارند.</w:t>
      </w:r>
    </w:p>
    <w:p>
      <w:pPr>
        <w:spacing w:after="28" w:line="216" w:lineRule="auto"/>
        <w:ind w:left="259"/>
        <w:jc w:val="left"/>
      </w:pPr>
      <w:r>
        <w:rPr>
          <w:rFonts w:ascii="Arial" w:hAnsi="Arial"/>
          <w:color w:val="525252"/>
          <w:sz w:val="13"/>
        </w:rPr>
        <w:t>As representatives of the service in both official and unofficial contact with the public, members have many opportunities to contribute to positive public opinion toward the USAF.</w:t>
      </w:r>
    </w:p>
    <w:p>
      <w:pPr>
        <w:spacing w:after="20" w:line="223" w:lineRule="auto"/>
        <w:jc w:val="right"/>
        <w:bidi/>
      </w:pPr>
      <w:r>
        <w:rPr>
          <w:rFonts w:ascii="Arial" w:hAnsi="Arial"/>
          <w:sz w:val="16"/>
        </w:rPr>
        <w:t>365.09  هر یک از اعضای USAF قبل از انتشار هرگونه بیانیه، متن یا تصویر پیشنهادی برای عموم، مسئول دریافت بازبینی و مجوز لازم، از امور عمومی است.</w:t>
      </w:r>
    </w:p>
    <w:p>
      <w:pPr>
        <w:spacing w:after="28" w:line="216" w:lineRule="auto"/>
        <w:ind w:left="259"/>
        <w:jc w:val="left"/>
      </w:pPr>
      <w:r>
        <w:rPr>
          <w:rFonts w:ascii="Arial" w:hAnsi="Arial"/>
          <w:color w:val="525252"/>
          <w:sz w:val="13"/>
        </w:rPr>
        <w:t>Each USAF member is responsible for obtaining the necessary review and clearance, starting with public affairs, before releasing any proposed statement, text, or imagery to the public.</w:t>
      </w:r>
    </w:p>
    <w:p>
      <w:pPr>
        <w:spacing w:after="20" w:line="223" w:lineRule="auto"/>
        <w:jc w:val="right"/>
        <w:bidi/>
      </w:pPr>
      <w:r>
        <w:rPr>
          <w:rFonts w:ascii="Arial" w:hAnsi="Arial"/>
          <w:sz w:val="16"/>
        </w:rPr>
        <w:t>365.10  این شامل بارگیری محصولات دیجیتال در یک وب‌سایت نامحدود می‌شود.</w:t>
      </w:r>
    </w:p>
    <w:p>
      <w:pPr>
        <w:spacing w:after="28" w:line="216" w:lineRule="auto"/>
        <w:ind w:left="259"/>
        <w:jc w:val="left"/>
      </w:pPr>
      <w:r>
        <w:rPr>
          <w:rFonts w:ascii="Arial" w:hAnsi="Arial"/>
          <w:color w:val="525252"/>
          <w:sz w:val="13"/>
        </w:rPr>
        <w:t>This includes digital products being loaded on an unrestricted website.</w:t>
      </w:r>
    </w:p>
    <w:p>
      <w:pPr>
        <w:spacing w:after="20" w:line="223" w:lineRule="auto"/>
        <w:jc w:val="right"/>
        <w:bidi/>
      </w:pPr>
      <w:r>
        <w:rPr>
          <w:rFonts w:ascii="Arial" w:hAnsi="Arial"/>
          <w:sz w:val="16"/>
        </w:rPr>
        <w:t>365.11  اعضا باید اطمینان حاصل کنند که اطلاعات افشا شده، اعم از رسمی یا غیر رسمی، برای انتشار مطابق با الزامات طبقه بندی در دودم۵۲۰۰.۰۱و۱_DAFMAN۱۶-۱۴۰۴و۱ مناسب است.</w:t>
      </w:r>
    </w:p>
    <w:p>
      <w:pPr>
        <w:spacing w:after="28" w:line="216" w:lineRule="auto"/>
        <w:ind w:left="259"/>
        <w:jc w:val="left"/>
      </w:pPr>
      <w:r>
        <w:rPr>
          <w:rFonts w:ascii="Arial" w:hAnsi="Arial"/>
          <w:color w:val="525252"/>
          <w:sz w:val="13"/>
        </w:rPr>
        <w:t>Members must ensure the information revealed, whether official or unofficial, is appropriate for release according to classification requirements in DoDM5200.01V1_DAFMAN16-1404V1.</w:t>
      </w:r>
    </w:p>
    <w:p>
      <w:pPr>
        <w:spacing w:before="60" w:after="28"/>
        <w:jc w:val="right"/>
        <w:bidi/>
      </w:pPr>
      <w:r>
        <w:rPr>
          <w:b/>
          <w:color w:val="1F4D78"/>
          <w:sz w:val="18"/>
        </w:rPr>
        <w:t>20.12. ورزش رایگان مذهبی و اسکان مذهبی</w:t>
      </w:r>
    </w:p>
    <w:p>
      <w:pPr>
        <w:spacing w:after="20"/>
        <w:ind w:left="259"/>
        <w:jc w:val="left"/>
      </w:pPr>
      <w:r>
        <w:rPr>
          <w:color w:val="555555"/>
          <w:sz w:val="12"/>
        </w:rPr>
        <w:t>20.12. Free Exercise of Religion and Religious Accommodation</w:t>
      </w:r>
    </w:p>
    <w:p>
      <w:pPr>
        <w:spacing w:after="20" w:line="223" w:lineRule="auto"/>
        <w:jc w:val="right"/>
        <w:bidi/>
      </w:pPr>
      <w:r>
        <w:rPr>
          <w:rFonts w:ascii="Arial" w:hAnsi="Arial"/>
          <w:sz w:val="16"/>
        </w:rPr>
        <w:t>365.13  هر هوانوردی حق بیان فردی از باورهای صادقانه را دارد که شامل وجدان، اصول اخلاقی یا اعتقادات مذهبی باشد، مگر اینکه این عبارات تأثیر نامطلوبی بر آمادگی نظامی، انسجام واحد، نظم خوب، نظم، سلامت و ایمنی، یا انجام مأموریت داشته باشد.</w:t>
      </w:r>
    </w:p>
    <w:p>
      <w:pPr>
        <w:spacing w:after="28" w:line="216" w:lineRule="auto"/>
        <w:ind w:left="259"/>
        <w:jc w:val="left"/>
      </w:pPr>
      <w:r>
        <w:rPr>
          <w:rFonts w:ascii="Arial" w:hAnsi="Arial"/>
          <w:color w:val="525252"/>
          <w:sz w:val="13"/>
        </w:rPr>
        <w:t>Every Airman has the right to individual expressions of sincerely held beliefs, to include conscience, moral principles, or religious beliefs, unless those expressions would have an adverse impact on military readiness, unit cohesion, good order, discipline, health and safety, or mission accomplishment.</w:t>
      </w:r>
    </w:p>
    <w:p>
      <w:pPr>
        <w:spacing w:after="20" w:line="223" w:lineRule="auto"/>
        <w:jc w:val="right"/>
        <w:bidi/>
      </w:pPr>
      <w:r>
        <w:rPr>
          <w:rFonts w:ascii="Arial" w:hAnsi="Arial"/>
          <w:sz w:val="16"/>
        </w:rPr>
        <w:t>365.14  طبق AFI ۱-۱، رهبران در همه سطوح باید بین حمایت‌های قانون اساسی برای اعمال آزادانه دین خود، از جمله بیان فردی باورهای مذهبی، و ممنوعیت قانون اساسی علیه تأسیس دولتی دین، تعادل ایجاد کنند.</w:t>
      </w:r>
    </w:p>
    <w:p>
      <w:pPr>
        <w:spacing w:after="28" w:line="216" w:lineRule="auto"/>
        <w:ind w:left="259"/>
        <w:jc w:val="left"/>
      </w:pPr>
      <w:r>
        <w:rPr>
          <w:rFonts w:ascii="Arial" w:hAnsi="Arial"/>
          <w:color w:val="525252"/>
          <w:sz w:val="13"/>
        </w:rPr>
        <w:t>According to AFI 1-1, leaders at all levels must balance constitutional protections for their own free exercise of religion, including individual expressions of religious beliefs, and the constitutional prohibition against governmental establishment of religion.</w:t>
      </w:r>
    </w:p>
    <w:p>
      <w:pPr>
        <w:spacing w:after="20" w:line="223" w:lineRule="auto"/>
        <w:jc w:val="right"/>
        <w:bidi/>
      </w:pPr>
      <w:r>
        <w:rPr>
          <w:rFonts w:ascii="Arial" w:hAnsi="Arial"/>
          <w:sz w:val="16"/>
        </w:rPr>
        <w:t>365.15  آن‌ها باید اطمینان حاصل کنند که سخنان و اعمالشان نمی‌تواند به‌طور منطقی به‌عنوان تأیید رسمی، رد یا گسترش رفتار ترجیحی برای هر گونه ایمان، عقیده یا عدم اعتقاد تعبیر شود.</w:t>
      </w:r>
    </w:p>
    <w:p>
      <w:pPr>
        <w:spacing w:after="28" w:line="216" w:lineRule="auto"/>
        <w:ind w:left="259"/>
        <w:jc w:val="left"/>
      </w:pPr>
      <w:r>
        <w:rPr>
          <w:rFonts w:ascii="Arial" w:hAnsi="Arial"/>
          <w:color w:val="525252"/>
          <w:sz w:val="13"/>
        </w:rPr>
        <w:t>They must ensure their words and actions cannot reasonably be construed to be officially endorsing, disapproving, or extending preferential treatment for any faith, belief, or absence of belief.</w:t>
      </w:r>
    </w:p>
    <w:p>
      <w:pPr>
        <w:spacing w:after="20" w:line="223" w:lineRule="auto"/>
        <w:jc w:val="right"/>
        <w:bidi/>
      </w:pPr>
      <w:r>
        <w:rPr>
          <w:rFonts w:ascii="Arial" w:hAnsi="Arial"/>
          <w:sz w:val="16"/>
        </w:rPr>
        <w:t>365.16  مطابق با DAFI ۵۲-۲۰۱، آزادی مذهبی در وزارت نیروی هوایی، هوانوردانی که درخواست اقامتگاه مذهبی می‌کنند باید تا زمان تأیید درخواست، از دستورالعمل‌ها، دستورالعمل‌ها و دستورات قانونی پیروی کنند.</w:t>
      </w:r>
    </w:p>
    <w:p>
      <w:pPr>
        <w:spacing w:after="28" w:line="216" w:lineRule="auto"/>
        <w:ind w:left="259"/>
        <w:jc w:val="left"/>
      </w:pPr>
      <w:r>
        <w:rPr>
          <w:rFonts w:ascii="Arial" w:hAnsi="Arial"/>
          <w:color w:val="525252"/>
          <w:sz w:val="13"/>
        </w:rPr>
        <w:t>In accordance with DAFI 52-201, Religious Freedom in the Department of the Air Force, Airmen requesting religious accommodation must continue to comply with directives, instructions, and lawful orders until the request is approved.</w:t>
      </w:r>
    </w:p>
    <w:p>
      <w:pPr>
        <w:spacing w:after="20" w:line="223" w:lineRule="auto"/>
        <w:jc w:val="right"/>
        <w:bidi/>
      </w:pPr>
      <w:r>
        <w:rPr>
          <w:rFonts w:ascii="Arial" w:hAnsi="Arial"/>
          <w:sz w:val="16"/>
        </w:rPr>
        <w:t>365.17  در صورت عدم تأیید درخواست، تصمیم باید بر اساس حقایق ارائه شده باشد. باید مستقیما به منافع قانع کننده دولت در مورد آمادگی نظامی، انسجام واحد، نظم خوب، نظم، سلامت، ایمنی یا انجام مأموریت مربوط باشد. و باید با کمترین محدودیت لازم برای جلوگیری از تأثیر نامطلوب باشد.</w:t>
      </w:r>
    </w:p>
    <w:p>
      <w:pPr>
        <w:spacing w:after="28" w:line="216" w:lineRule="auto"/>
        <w:ind w:left="259"/>
        <w:jc w:val="left"/>
      </w:pPr>
      <w:r>
        <w:rPr>
          <w:rFonts w:ascii="Arial" w:hAnsi="Arial"/>
          <w:color w:val="525252"/>
          <w:sz w:val="13"/>
        </w:rPr>
        <w:t>If the request is not approved, the decision must be based on the facts presented; must directly relate to the compelling government interest of military readiness, unit cohesion, good order, discipline, health, safety, or mission accomplishment; and must be by the least restrictive means necessary to avoid the adverse impact.</w:t>
      </w:r>
    </w:p>
    <w:p>
      <w:pPr>
        <w:spacing w:before="60" w:after="28"/>
        <w:jc w:val="right"/>
        <w:bidi/>
      </w:pPr>
      <w:r>
        <w:rPr>
          <w:b/>
          <w:color w:val="1F4D78"/>
          <w:sz w:val="18"/>
        </w:rPr>
        <w:t>20.13. فعالیت های سیاسی</w:t>
      </w:r>
    </w:p>
    <w:p>
      <w:pPr>
        <w:spacing w:after="20"/>
        <w:ind w:left="259"/>
        <w:jc w:val="left"/>
      </w:pPr>
      <w:r>
        <w:rPr>
          <w:color w:val="555555"/>
          <w:sz w:val="12"/>
        </w:rPr>
        <w:t>20.13. Political Activities</w:t>
      </w:r>
    </w:p>
    <w:p>
      <w:pPr>
        <w:spacing w:after="20" w:line="223" w:lineRule="auto"/>
        <w:jc w:val="right"/>
        <w:bidi/>
      </w:pPr>
      <w:r>
        <w:rPr>
          <w:rFonts w:ascii="Arial" w:hAnsi="Arial"/>
          <w:sz w:val="16"/>
        </w:rPr>
        <w:t>365.19  طبق AFI ۱-۱، به‌طور کلی، به‌عنوان یک فرد، شما از حقوق یکسانی برخوردار هستید و مانند سایر شهروندان دارای مسئولیت‌هایی هستید.</w:t>
      </w:r>
    </w:p>
    <w:p>
      <w:pPr>
        <w:spacing w:after="28" w:line="216" w:lineRule="auto"/>
        <w:ind w:left="259"/>
        <w:jc w:val="left"/>
      </w:pPr>
      <w:r>
        <w:rPr>
          <w:rFonts w:ascii="Arial" w:hAnsi="Arial"/>
          <w:color w:val="525252"/>
          <w:sz w:val="13"/>
        </w:rPr>
        <w:t>According to AFI 1-1, generally, as an individual, you enjoy the same rights and have the same responsibilities as other citizens.</w:t>
      </w:r>
    </w:p>
    <w:p>
      <w:pPr>
        <w:spacing w:after="20" w:line="223" w:lineRule="auto"/>
        <w:jc w:val="right"/>
        <w:bidi/>
      </w:pPr>
      <w:r>
        <w:rPr>
          <w:rFonts w:ascii="Arial" w:hAnsi="Arial"/>
          <w:sz w:val="16"/>
        </w:rPr>
        <w:t>365.20  با این حال، به‌عنوان یکی از اعضای USAF، نحوه اعمال حقوق خود در برخی موارد محدود است.</w:t>
      </w:r>
    </w:p>
    <w:p>
      <w:pPr>
        <w:spacing w:after="28" w:line="216" w:lineRule="auto"/>
        <w:ind w:left="259"/>
        <w:jc w:val="left"/>
      </w:pPr>
      <w:r>
        <w:rPr>
          <w:rFonts w:ascii="Arial" w:hAnsi="Arial"/>
          <w:color w:val="525252"/>
          <w:sz w:val="13"/>
        </w:rPr>
        <w:t>However, as a member of the USAF, the manner in which you exercise your rights is limited in some cases.</w:t>
      </w:r>
    </w:p>
    <w:p>
      <w:pPr>
        <w:spacing w:after="20" w:line="223" w:lineRule="auto"/>
        <w:jc w:val="right"/>
        <w:bidi/>
      </w:pPr>
      <w:r>
        <w:rPr>
          <w:rFonts w:ascii="Arial" w:hAnsi="Arial"/>
          <w:sz w:val="16"/>
        </w:rPr>
        <w:t>365.21  در حین حضور در وضعیت رگاف، اعضا از شرکت در برخی فعالیت‌های سیاسی برای حفظ نظم و انضباط و جلوگیری از تضاد منافع و ظاهر شدن تأیید نادرست در مسائل سیاسی منع می‌شوند.</w:t>
      </w:r>
    </w:p>
    <w:p>
      <w:pPr>
        <w:spacing w:after="28" w:line="216" w:lineRule="auto"/>
        <w:ind w:left="259"/>
        <w:jc w:val="left"/>
      </w:pPr>
      <w:r>
        <w:rPr>
          <w:rFonts w:ascii="Arial" w:hAnsi="Arial"/>
          <w:color w:val="525252"/>
          <w:sz w:val="13"/>
        </w:rPr>
        <w:t>While on RegAF status, members are prohibited from engaging in certain political activities to maintain good order and discipline and to avoid conflicts of interest and the appearance of improper endorsement in political matters.</w:t>
      </w:r>
    </w:p>
    <w:p>
      <w:pPr>
        <w:spacing w:after="20" w:line="223" w:lineRule="auto"/>
        <w:jc w:val="right"/>
        <w:bidi/>
      </w:pPr>
      <w:r>
        <w:rPr>
          <w:rFonts w:ascii="Arial" w:hAnsi="Arial"/>
          <w:sz w:val="16"/>
        </w:rPr>
        <w:t>365.22  در حالی که اعضای USAF</w:t>
      </w:r>
    </w:p>
    <w:p>
      <w:pPr>
        <w:spacing w:after="28" w:line="216" w:lineRule="auto"/>
        <w:ind w:left="259"/>
        <w:jc w:val="left"/>
      </w:pPr>
      <w:r>
        <w:rPr>
          <w:rFonts w:ascii="Arial" w:hAnsi="Arial"/>
          <w:color w:val="525252"/>
          <w:sz w:val="13"/>
        </w:rPr>
        <w:t>While USAF members</w:t>
      </w:r>
    </w:p>
    <w:p>
      <w:r>
        <w:br w:type="page"/>
      </w:r>
    </w:p>
    <w:p>
      <w:pPr>
        <w:spacing w:after="60"/>
        <w:jc w:val="right"/>
        <w:bidi/>
      </w:pPr>
      <w:r>
        <w:rPr>
          <w:rFonts w:ascii="Arial" w:hAnsi="Arial"/>
          <w:b/>
          <w:color w:val="1F4D78"/>
          <w:sz w:val="19"/>
        </w:rPr>
        <w:t>هفتهٔ 366  |  صفحهٔ منبع: 382</w:t>
      </w:r>
    </w:p>
    <w:p>
      <w:pPr>
        <w:spacing w:after="20" w:line="223" w:lineRule="auto"/>
        <w:jc w:val="right"/>
        <w:bidi/>
      </w:pPr>
      <w:r>
        <w:rPr>
          <w:rFonts w:ascii="Arial" w:hAnsi="Arial"/>
          <w:sz w:val="16"/>
        </w:rPr>
        <w:t>366.01  به‌عنوان شهروندان آمریکایی حق و وظیفه داریم که در مورد مسائل سیاسی رای دهند و نظرات خود را ابراز کنند، ما باید مراقب باشیم که نظرات و فعالیت‌های شخصی مستقیما یا به‌طور ضمنی به‌عنوان نظرات USAF ارائه نشود.</w:t>
      </w:r>
    </w:p>
    <w:p>
      <w:pPr>
        <w:spacing w:after="28" w:line="216" w:lineRule="auto"/>
        <w:ind w:left="259"/>
        <w:jc w:val="left"/>
      </w:pPr>
      <w:r>
        <w:rPr>
          <w:rFonts w:ascii="Arial" w:hAnsi="Arial"/>
          <w:color w:val="525252"/>
          <w:sz w:val="13"/>
        </w:rPr>
        <w:t>do have the right and duty as American citizens to vote and voice opinions concerning political matters, we must be careful that personal opinions and activities are not directly, or by implication, represented as those of the USAF.</w:t>
      </w:r>
    </w:p>
    <w:p>
      <w:pPr>
        <w:spacing w:after="20" w:line="223" w:lineRule="auto"/>
        <w:jc w:val="right"/>
        <w:bidi/>
      </w:pPr>
      <w:r>
        <w:rPr>
          <w:rFonts w:ascii="Arial" w:hAnsi="Arial"/>
          <w:sz w:val="16"/>
        </w:rPr>
        <w:t>366.02  فعالیت‌های ممنوعه.</w:t>
      </w:r>
    </w:p>
    <w:p>
      <w:pPr>
        <w:spacing w:after="28" w:line="216" w:lineRule="auto"/>
        <w:ind w:left="259"/>
        <w:jc w:val="left"/>
      </w:pPr>
      <w:r>
        <w:rPr>
          <w:rFonts w:ascii="Arial" w:hAnsi="Arial"/>
          <w:color w:val="525252"/>
          <w:sz w:val="13"/>
        </w:rPr>
        <w:t>Prohibited Activities.</w:t>
      </w:r>
    </w:p>
    <w:p>
      <w:pPr>
        <w:spacing w:after="20" w:line="223" w:lineRule="auto"/>
        <w:jc w:val="right"/>
        <w:bidi/>
      </w:pPr>
      <w:r>
        <w:rPr>
          <w:rFonts w:ascii="Arial" w:hAnsi="Arial"/>
          <w:sz w:val="16"/>
        </w:rPr>
        <w:t>366.03  اعضای USAF نمی‌توانند در فعالیت‌های جمع‌آوری کمک‌های سیاسی حزبی، گردهمایی‌ها، کنوانسیون‌ها (از جمله سخنرانی در جریان آن)، مدیریت کمپین‌ها یا مناظره‌ها، چه از طرف خود یا از طرف دیگری شرکت کنند.</w:t>
      </w:r>
    </w:p>
    <w:p>
      <w:pPr>
        <w:spacing w:after="28" w:line="216" w:lineRule="auto"/>
        <w:ind w:left="259"/>
        <w:jc w:val="left"/>
      </w:pPr>
      <w:r>
        <w:rPr>
          <w:rFonts w:ascii="Arial" w:hAnsi="Arial"/>
          <w:color w:val="525252"/>
          <w:sz w:val="13"/>
        </w:rPr>
        <w:t>USAF members may not participate in partisan political fundraising activities, rallies, conventions (including making speeches in the course thereof), management of campaigns, or debates, either on one’s own behalf or on that of another.</w:t>
      </w:r>
    </w:p>
    <w:p>
      <w:pPr>
        <w:spacing w:after="20" w:line="223" w:lineRule="auto"/>
        <w:jc w:val="right"/>
        <w:bidi/>
      </w:pPr>
      <w:r>
        <w:rPr>
          <w:rFonts w:ascii="Arial" w:hAnsi="Arial"/>
          <w:sz w:val="16"/>
        </w:rPr>
        <w:t>366.04  این ممنوعیت اعم از اینکه فرد در لباس فرم باشد یا نباشد، و صرف نظر از اینکه ممکن است استنباط یا ظاهری مبنی بر حمایت، تأیید یا تأیید رسمی صورت گرفته باشد، اعمال می‌شود.</w:t>
      </w:r>
    </w:p>
    <w:p>
      <w:pPr>
        <w:spacing w:after="28" w:line="216" w:lineRule="auto"/>
        <w:ind w:left="259"/>
        <w:jc w:val="left"/>
      </w:pPr>
      <w:r>
        <w:rPr>
          <w:rFonts w:ascii="Arial" w:hAnsi="Arial"/>
          <w:color w:val="525252"/>
          <w:sz w:val="13"/>
        </w:rPr>
        <w:t>This prohibition applies whether the individual is in uniform or not, and regardless of whether an inference or appearance of official sponsorship, approval, or endorsement may be drawn.</w:t>
      </w:r>
    </w:p>
    <w:p>
      <w:pPr>
        <w:spacing w:after="20" w:line="223" w:lineRule="auto"/>
        <w:jc w:val="right"/>
        <w:bidi/>
      </w:pPr>
      <w:r>
        <w:rPr>
          <w:rFonts w:ascii="Arial" w:hAnsi="Arial"/>
          <w:sz w:val="16"/>
        </w:rPr>
        <w:t>366.05  مشارکت شامل بیش از حضور صرف به‌عنوان یک تماشاگر است.</w:t>
      </w:r>
    </w:p>
    <w:p>
      <w:pPr>
        <w:spacing w:after="28" w:line="216" w:lineRule="auto"/>
        <w:ind w:left="259"/>
        <w:jc w:val="left"/>
      </w:pPr>
      <w:r>
        <w:rPr>
          <w:rFonts w:ascii="Arial" w:hAnsi="Arial"/>
          <w:color w:val="525252"/>
          <w:sz w:val="13"/>
        </w:rPr>
        <w:t>Participation includes more than mere attendance as a spectator.</w:t>
      </w:r>
    </w:p>
    <w:p>
      <w:pPr>
        <w:spacing w:after="20" w:line="223" w:lineRule="auto"/>
        <w:jc w:val="right"/>
        <w:bidi/>
      </w:pPr>
      <w:r>
        <w:rPr>
          <w:rFonts w:ascii="Arial" w:hAnsi="Arial"/>
          <w:sz w:val="16"/>
        </w:rPr>
        <w:t>366.06  اعضای USAF از پوشیدن یونیفورم خود در یک رویداد سیاسی، در حین سخنرانی یا مصاحبه عمومی، در حین راه رفتن در خطوط اعتصاب، یا راهپیمایی در یک تجمع یا تظاهرات عمومی دیگر ممنوع هستند.</w:t>
      </w:r>
    </w:p>
    <w:p>
      <w:pPr>
        <w:spacing w:after="28" w:line="216" w:lineRule="auto"/>
        <w:ind w:left="259"/>
        <w:jc w:val="left"/>
      </w:pPr>
      <w:r>
        <w:rPr>
          <w:rFonts w:ascii="Arial" w:hAnsi="Arial"/>
          <w:color w:val="525252"/>
          <w:sz w:val="13"/>
        </w:rPr>
        <w:t>USAF members are prohibited from wearing their uniform at a political event, while making a public speech or interview, while walking picket lines, or marching in a rally or other public demonstration.</w:t>
      </w:r>
    </w:p>
    <w:p>
      <w:pPr>
        <w:spacing w:after="20" w:line="223" w:lineRule="auto"/>
        <w:jc w:val="right"/>
        <w:bidi/>
      </w:pPr>
      <w:r>
        <w:rPr>
          <w:rFonts w:ascii="Arial" w:hAnsi="Arial"/>
          <w:sz w:val="16"/>
        </w:rPr>
        <w:t>366.07  به‌علاوه، اعضای USAF نمی‌توانند از اختیارات یا نفوذ رسمی برای مداخله در انتخابات، تأثیرگذاری بر روند یا نتیجه آن، درخواست رأی برای یک نامزد یا موضوع خاص، یا درخواست یا درخواست مشارکت سیاسی از دیگران استفاده کنند.</w:t>
      </w:r>
    </w:p>
    <w:p>
      <w:pPr>
        <w:spacing w:after="28" w:line="216" w:lineRule="auto"/>
        <w:ind w:left="259"/>
        <w:jc w:val="left"/>
      </w:pPr>
      <w:r>
        <w:rPr>
          <w:rFonts w:ascii="Arial" w:hAnsi="Arial"/>
          <w:color w:val="525252"/>
          <w:sz w:val="13"/>
        </w:rPr>
        <w:t>In addition, USAF members may not use official authority or influence to interfere with an election, to affect its course or outcome, to solicit votes for a particular candidate or issue, or to require or solicit political contributions from others.</w:t>
      </w:r>
    </w:p>
    <w:p>
      <w:pPr>
        <w:spacing w:after="20" w:line="223" w:lineRule="auto"/>
        <w:jc w:val="right"/>
        <w:bidi/>
      </w:pPr>
      <w:r>
        <w:rPr>
          <w:rFonts w:ascii="Arial" w:hAnsi="Arial"/>
          <w:sz w:val="16"/>
        </w:rPr>
        <w:t>366.08  پرسنل نظامی نباید به‌طور فعال از دکترین، ایدئولوژی یا اهداف باند تبهکار، افراطی یا تبهکار حمایت کنند، از جمله مواردی که تبعیض غیرقانونی را بر اساس نژاد، عقیده، رنگ، جنس، مذهب، قومیت، یا منشاء ملی پیش می‌برند، تشویق می‌کنند، یا از فعالیت‌های مجرمانه حمایت می‌کنند. از حقوق مدنی آنها</w:t>
      </w:r>
    </w:p>
    <w:p>
      <w:pPr>
        <w:spacing w:after="28" w:line="216" w:lineRule="auto"/>
        <w:ind w:left="259"/>
        <w:jc w:val="left"/>
      </w:pPr>
      <w:r>
        <w:rPr>
          <w:rFonts w:ascii="Arial" w:hAnsi="Arial"/>
          <w:color w:val="525252"/>
          <w:sz w:val="13"/>
        </w:rPr>
        <w:t>Military personnel must not actively advocate supremacist, extremist, or criminal gang doctrine, ideology, or causes, including those that advance, encourage, or advocate illegal discrimination based on race, creed, color, sex, religion, ethnicity, or national origin or those that advance, encourage, or advocate the use of force, violence, or criminal activity or otherwise advance efforts to deprive individuals of their civil rights.</w:t>
      </w:r>
    </w:p>
    <w:p>
      <w:pPr>
        <w:spacing w:after="20" w:line="223" w:lineRule="auto"/>
        <w:jc w:val="right"/>
        <w:bidi/>
      </w:pPr>
      <w:r>
        <w:rPr>
          <w:rFonts w:ascii="Arial" w:hAnsi="Arial"/>
          <w:sz w:val="16"/>
        </w:rPr>
        <w:t>366.09  قبل از درگیر شدن در هر گونه فعالیت سیاسی، حتما دستورالعمل‌ها و راهنمایی‌های قابل اجرا USAF را مرور کنید.</w:t>
      </w:r>
    </w:p>
    <w:p>
      <w:pPr>
        <w:spacing w:after="28" w:line="216" w:lineRule="auto"/>
        <w:ind w:left="259"/>
        <w:jc w:val="left"/>
      </w:pPr>
      <w:r>
        <w:rPr>
          <w:rFonts w:ascii="Arial" w:hAnsi="Arial"/>
          <w:color w:val="525252"/>
          <w:sz w:val="13"/>
        </w:rPr>
        <w:t>Before engaging in any political activities, be sure to review applicable USAF instructions and guidance.</w:t>
      </w:r>
    </w:p>
    <w:p>
      <w:pPr>
        <w:spacing w:after="20" w:line="223" w:lineRule="auto"/>
        <w:jc w:val="right"/>
        <w:bidi/>
      </w:pPr>
      <w:r>
        <w:rPr>
          <w:rFonts w:ascii="Arial" w:hAnsi="Arial"/>
          <w:sz w:val="16"/>
        </w:rPr>
        <w:t>366.10  DAFI ۵۱-۵۰۸ اطلاعات مفصلی را در مورد آنچه که اعضای USAF ممکن است مجاز به انجام یا عدم انجام فعالیت‌های سیاسی باشند ارائه می‌دهد.</w:t>
      </w:r>
    </w:p>
    <w:p>
      <w:pPr>
        <w:spacing w:after="28" w:line="216" w:lineRule="auto"/>
        <w:ind w:left="259"/>
        <w:jc w:val="left"/>
      </w:pPr>
      <w:r>
        <w:rPr>
          <w:rFonts w:ascii="Arial" w:hAnsi="Arial"/>
          <w:color w:val="525252"/>
          <w:sz w:val="13"/>
        </w:rPr>
        <w:t>DAFI 51-508 provides detailed information on what USAF members may or may not be allowed to do regarding political activities.</w:t>
      </w:r>
    </w:p>
    <w:p>
      <w:pPr>
        <w:spacing w:after="20" w:line="223" w:lineRule="auto"/>
        <w:jc w:val="right"/>
        <w:bidi/>
      </w:pPr>
      <w:r>
        <w:rPr>
          <w:rFonts w:ascii="Arial" w:hAnsi="Arial"/>
          <w:sz w:val="16"/>
        </w:rPr>
        <w:t>366.11  دستورالعمل وزارت دفاع ۱۳۴۴.۱۰، فعالیت‌های سیاسی توسط اعضای نیروهای مسلح، شامل راهنمایی در مورد فعالیت‌های سیاسی برای همه نیروهای مسلح ایالات متحده است.</w:t>
      </w:r>
    </w:p>
    <w:p>
      <w:pPr>
        <w:spacing w:after="28" w:line="216" w:lineRule="auto"/>
        <w:ind w:left="259"/>
        <w:jc w:val="left"/>
      </w:pPr>
      <w:r>
        <w:rPr>
          <w:rFonts w:ascii="Arial" w:hAnsi="Arial"/>
          <w:color w:val="525252"/>
          <w:sz w:val="13"/>
        </w:rPr>
        <w:t>DoD Directive 1344.10, Political Activities by Members of the Armed Forces, includes guidance on political activities for all U.S. Armed Forces.</w:t>
      </w:r>
    </w:p>
    <w:p>
      <w:pPr>
        <w:spacing w:after="20" w:line="223" w:lineRule="auto"/>
        <w:jc w:val="right"/>
        <w:bidi/>
      </w:pPr>
      <w:r>
        <w:rPr>
          <w:rFonts w:ascii="Arial" w:hAnsi="Arial"/>
          <w:sz w:val="16"/>
        </w:rPr>
        <w:t>366.12  همچنین به دودی ۱۳۲۵.۰۶، رسیدگی به اعتراضات، فعالیت‌های باند افراطی و جنایتکارانه در میان اعضای نیروهای مسلح و DAFI ۵۲-۲۰۱، آزادی مذهبی در وزارت نیروی هوایی مراجعه کنید.</w:t>
      </w:r>
    </w:p>
    <w:p>
      <w:pPr>
        <w:spacing w:after="28" w:line="216" w:lineRule="auto"/>
        <w:ind w:left="259"/>
        <w:jc w:val="left"/>
      </w:pPr>
      <w:r>
        <w:rPr>
          <w:rFonts w:ascii="Arial" w:hAnsi="Arial"/>
          <w:color w:val="525252"/>
          <w:sz w:val="13"/>
        </w:rPr>
        <w:t>Also reference DoDI 1325.06, Handling Protest, Extremist, and Criminal Gang Activities Among Members of the Armed Forces and DAFI 52-201, Religious Freedom in the Department of the Air Force.</w:t>
      </w:r>
    </w:p>
    <w:p>
      <w:pPr>
        <w:spacing w:after="20" w:line="223" w:lineRule="auto"/>
        <w:jc w:val="right"/>
        <w:bidi/>
      </w:pPr>
      <w:r>
        <w:rPr>
          <w:rFonts w:ascii="Arial" w:hAnsi="Arial"/>
          <w:sz w:val="16"/>
        </w:rPr>
        <w:t>366.13  توجه: اعضای نظامی که در فعالیت‌های ممنوعه خاص ذکر شده در وزارت دفاع ۱۳۴۴.۱۰ و DAFI ۵۱-۵۰۸ شرکت می‌کنند، علاوه بر سایر مقررات قابل اجرا UCMJ یا قانون فدرال، مشمول تعقیب قانونی بر اساس ماده ۹۲ UCMJ هستند.</w:t>
      </w:r>
    </w:p>
    <w:p>
      <w:pPr>
        <w:spacing w:after="28" w:line="216" w:lineRule="auto"/>
        <w:ind w:left="259"/>
        <w:jc w:val="left"/>
      </w:pPr>
      <w:r>
        <w:rPr>
          <w:rFonts w:ascii="Arial" w:hAnsi="Arial"/>
          <w:color w:val="525252"/>
          <w:sz w:val="13"/>
        </w:rPr>
        <w:t>Note: Military members who engage in specific prohibited activities listed in DoDD 1344.10 and DAFI 51-508 are subject to prosecution under Article 92, UCMJ, in addition to any other applicable provision of the UCMJ or Federal law.</w:t>
      </w:r>
    </w:p>
    <w:p>
      <w:pPr>
        <w:spacing w:after="20" w:line="223" w:lineRule="auto"/>
        <w:jc w:val="right"/>
        <w:bidi/>
      </w:pPr>
      <w:r>
        <w:rPr>
          <w:rFonts w:ascii="Arial" w:hAnsi="Arial"/>
          <w:sz w:val="16"/>
        </w:rPr>
        <w:t>366.14  سازمان‌های تحقیقات جنایی نظامی، پلیس امنیت، فرماندهان نظامی، و سایر سازمان‌ها و مقامات نظامی باید تمامی ادعاها را حداکثر تا ۳۰ روز تقویمی پس از دریافت ادعایی مبنی بر اینکه یک نیروی هوایی یا نگهبان در فعالیت‌هایی که طبق دودی ۱۳۲.۰۰ منع شده است، به وینگ، دلتا یا دفتر خدمات IG گزارش دهند.</w:t>
      </w:r>
    </w:p>
    <w:p>
      <w:pPr>
        <w:spacing w:after="28" w:line="216" w:lineRule="auto"/>
        <w:ind w:left="259"/>
        <w:jc w:val="left"/>
      </w:pPr>
      <w:r>
        <w:rPr>
          <w:rFonts w:ascii="Arial" w:hAnsi="Arial"/>
          <w:color w:val="525252"/>
          <w:sz w:val="13"/>
        </w:rPr>
        <w:t>Military Criminal Investigative Organizations, Security Police, military commanders, and other military organizations and officials must report all allegations to Wing, Delta, or servicing IG office no later than 30 calendar days after receiving an allegation that an Airman or Guardian engaged in an activity prohibited under DoDI 1325.06.</w:t>
      </w:r>
    </w:p>
    <w:p>
      <w:pPr>
        <w:spacing w:after="20" w:line="223" w:lineRule="auto"/>
        <w:jc w:val="right"/>
        <w:bidi/>
      </w:pPr>
      <w:r>
        <w:rPr>
          <w:rFonts w:ascii="Arial" w:hAnsi="Arial"/>
          <w:sz w:val="16"/>
        </w:rPr>
        <w:t>366.15  برای مقامات جزء رزرو، ارسال حداکثر تا ۶۰ روز تقویمی لازم است.</w:t>
      </w:r>
    </w:p>
    <w:p>
      <w:pPr>
        <w:spacing w:after="28" w:line="216" w:lineRule="auto"/>
        <w:ind w:left="259"/>
        <w:jc w:val="left"/>
      </w:pPr>
      <w:r>
        <w:rPr>
          <w:rFonts w:ascii="Arial" w:hAnsi="Arial"/>
          <w:color w:val="525252"/>
          <w:sz w:val="13"/>
        </w:rPr>
        <w:t>For Reserve Component officials, transmission is required not later than 60 calendar days.</w:t>
      </w:r>
    </w:p>
    <w:p>
      <w:pPr>
        <w:spacing w:before="60" w:after="28"/>
        <w:jc w:val="right"/>
        <w:bidi/>
      </w:pPr>
      <w:r>
        <w:rPr>
          <w:b/>
          <w:color w:val="1F4D78"/>
          <w:sz w:val="18"/>
        </w:rPr>
        <w:t>20.14. سوء مصرف الکل</w:t>
      </w:r>
    </w:p>
    <w:p>
      <w:pPr>
        <w:spacing w:after="20"/>
        <w:ind w:left="259"/>
        <w:jc w:val="left"/>
      </w:pPr>
      <w:r>
        <w:rPr>
          <w:color w:val="555555"/>
          <w:sz w:val="12"/>
        </w:rPr>
        <w:t>20.14. Alcohol Abuse</w:t>
      </w:r>
    </w:p>
    <w:p>
      <w:pPr>
        <w:spacing w:after="20" w:line="223" w:lineRule="auto"/>
        <w:jc w:val="right"/>
        <w:bidi/>
      </w:pPr>
      <w:r>
        <w:rPr>
          <w:rFonts w:ascii="Arial" w:hAnsi="Arial"/>
          <w:sz w:val="16"/>
        </w:rPr>
        <w:t>366.17  سیاست USAF تشخیص می‌دهد که سوء مصرف الکل بر رفتار عمومی، عملکرد وظایف و سلامت جسمی و روانی تأثیر منفی می‌گذارد.</w:t>
      </w:r>
    </w:p>
    <w:p>
      <w:pPr>
        <w:spacing w:after="28" w:line="216" w:lineRule="auto"/>
        <w:ind w:left="259"/>
        <w:jc w:val="left"/>
      </w:pPr>
      <w:r>
        <w:rPr>
          <w:rFonts w:ascii="Arial" w:hAnsi="Arial"/>
          <w:color w:val="525252"/>
          <w:sz w:val="13"/>
        </w:rPr>
        <w:t>USAF policy recognizes that alcohol abuse negatively affects public behavior, duty performance, and physical and mental health.</w:t>
      </w:r>
    </w:p>
    <w:p>
      <w:pPr>
        <w:spacing w:after="20" w:line="223" w:lineRule="auto"/>
        <w:jc w:val="right"/>
        <w:bidi/>
      </w:pPr>
      <w:r>
        <w:rPr>
          <w:rFonts w:ascii="Arial" w:hAnsi="Arial"/>
          <w:sz w:val="16"/>
        </w:rPr>
        <w:t>366.18  USAF کمک‌های بالینی جامعی را به ذینفعان واجد شرایطی که به دنبال کمک برای مشکل الکل هستند ارائه می‌دهد.</w:t>
      </w:r>
    </w:p>
    <w:p>
      <w:pPr>
        <w:spacing w:after="28" w:line="216" w:lineRule="auto"/>
        <w:ind w:left="259"/>
        <w:jc w:val="left"/>
      </w:pPr>
      <w:r>
        <w:rPr>
          <w:rFonts w:ascii="Arial" w:hAnsi="Arial"/>
          <w:color w:val="525252"/>
          <w:sz w:val="13"/>
        </w:rPr>
        <w:t>The USAF provides comprehensive clinical assistance to eligible beneficiaries seeking help for an alcohol problem.</w:t>
      </w:r>
    </w:p>
    <w:p>
      <w:pPr>
        <w:spacing w:after="20" w:line="223" w:lineRule="auto"/>
        <w:jc w:val="right"/>
        <w:bidi/>
      </w:pPr>
      <w:r>
        <w:rPr>
          <w:rFonts w:ascii="Arial" w:hAnsi="Arial"/>
          <w:sz w:val="16"/>
        </w:rPr>
        <w:t>366.19  طبق AFI ۱-۱، سیاست USAF جلوگیری از سوء مصرف الکل و اعتیاد به الکل در بین پرسنل و وابستگان خود است. کمک به پرسنل USAF در حل مشکلات مربوط به الکل؛ و تضمین مدیریت انسانی و رفتار اداری کسانی که قادر نیستند یا نمی‌خواهند به عملکرد کامل و مؤثر بازگردانده شوند.</w:t>
      </w:r>
    </w:p>
    <w:p>
      <w:pPr>
        <w:spacing w:after="28" w:line="216" w:lineRule="auto"/>
        <w:ind w:left="259"/>
        <w:jc w:val="left"/>
      </w:pPr>
      <w:r>
        <w:rPr>
          <w:rFonts w:ascii="Arial" w:hAnsi="Arial"/>
          <w:color w:val="525252"/>
          <w:sz w:val="13"/>
        </w:rPr>
        <w:t>According to AFI 1-1, USAF policy is to prevent alcohol abuse and alcoholism among its personnel and dependents; to assist USAF personnel in resolving alcohol-related problems; and to ensure humane management and administrative disposition of those who are unable or unwilling to be restored to full, effective functioning.</w:t>
      </w:r>
    </w:p>
    <w:p>
      <w:pPr>
        <w:spacing w:after="20" w:line="223" w:lineRule="auto"/>
        <w:jc w:val="right"/>
        <w:bidi/>
      </w:pPr>
      <w:r>
        <w:rPr>
          <w:rFonts w:ascii="Arial" w:hAnsi="Arial"/>
          <w:sz w:val="16"/>
        </w:rPr>
        <w:t>366.20  همه هوانوردان مسئول قضاوت خوب در استفاده از الکل هستند.</w:t>
      </w:r>
    </w:p>
    <w:p>
      <w:pPr>
        <w:spacing w:after="28" w:line="216" w:lineRule="auto"/>
        <w:ind w:left="259"/>
        <w:jc w:val="left"/>
      </w:pPr>
      <w:r>
        <w:rPr>
          <w:rFonts w:ascii="Arial" w:hAnsi="Arial"/>
          <w:color w:val="525252"/>
          <w:sz w:val="13"/>
        </w:rPr>
        <w:t>All Airmen are responsible for exercising good judgment in the use of alcohol.</w:t>
      </w:r>
    </w:p>
    <w:p>
      <w:pPr>
        <w:spacing w:after="20" w:line="223" w:lineRule="auto"/>
        <w:jc w:val="right"/>
        <w:bidi/>
      </w:pPr>
      <w:r>
        <w:rPr>
          <w:rFonts w:ascii="Arial" w:hAnsi="Arial"/>
          <w:sz w:val="16"/>
        </w:rPr>
        <w:t>366.21  قوانین مربوط به سن نوشیدن الکل در ایالت‌ها و کشورهای خارجی، از جمله قوانینی که در محیط مستقر هستند، باید هم در حین و هم در خارج از وظیفه رعایت شوند.</w:t>
      </w:r>
    </w:p>
    <w:p>
      <w:pPr>
        <w:spacing w:after="28" w:line="216" w:lineRule="auto"/>
        <w:ind w:left="259"/>
        <w:jc w:val="left"/>
      </w:pPr>
      <w:r>
        <w:rPr>
          <w:rFonts w:ascii="Arial" w:hAnsi="Arial"/>
          <w:color w:val="525252"/>
          <w:sz w:val="13"/>
        </w:rPr>
        <w:t>State and foreign country drinking age laws, including those in a deployed environment, must be obeyed both on- and off-duty.</w:t>
      </w:r>
    </w:p>
    <w:p>
      <w:pPr>
        <w:spacing w:after="20" w:line="223" w:lineRule="auto"/>
        <w:jc w:val="right"/>
        <w:bidi/>
      </w:pPr>
      <w:r>
        <w:rPr>
          <w:rFonts w:ascii="Arial" w:hAnsi="Arial"/>
          <w:sz w:val="16"/>
        </w:rPr>
        <w:t>366.22  استفاده از الکل نباید بر عملکرد وظیفه یا رفتار در حین یا خارج از وظیفه تأثیر منفی بگذارد، تا در صورت نیاز خاص، (هنگام خدمت در وضعیت آماده باش) در طول زمان برنامه‌ریزی شده خارج از خدمت، قابلیت فراخوانی را نیز شامل شود.</w:t>
      </w:r>
    </w:p>
    <w:p>
      <w:pPr>
        <w:spacing w:after="28" w:line="216" w:lineRule="auto"/>
        <w:ind w:left="259"/>
        <w:jc w:val="left"/>
      </w:pPr>
      <w:r>
        <w:rPr>
          <w:rFonts w:ascii="Arial" w:hAnsi="Arial"/>
          <w:color w:val="525252"/>
          <w:sz w:val="13"/>
        </w:rPr>
        <w:t>Use of alcohol must not adversely affect duty performance or conduct on- or off-duty, to include the ability to be recalled, if specifically required, (when serving in an on- call status) during scheduled off-duty time.</w:t>
      </w:r>
    </w:p>
    <w:p>
      <w:pPr>
        <w:spacing w:after="20" w:line="223" w:lineRule="auto"/>
        <w:jc w:val="right"/>
        <w:bidi/>
      </w:pPr>
      <w:r>
        <w:rPr>
          <w:rFonts w:ascii="Arial" w:hAnsi="Arial"/>
          <w:sz w:val="16"/>
        </w:rPr>
        <w:t>366.23  همچنین مرجع DAFI ۳۴-۱۰۷، برنامه نوشیدنی الکلی.</w:t>
      </w:r>
    </w:p>
    <w:p>
      <w:pPr>
        <w:spacing w:after="28" w:line="216" w:lineRule="auto"/>
        <w:ind w:left="259"/>
        <w:jc w:val="left"/>
      </w:pPr>
      <w:r>
        <w:rPr>
          <w:rFonts w:ascii="Arial" w:hAnsi="Arial"/>
          <w:color w:val="525252"/>
          <w:sz w:val="13"/>
        </w:rPr>
        <w:t>Also reference DAFI 34-107, Alcoholic Beverage Program.</w:t>
      </w:r>
    </w:p>
    <w:p>
      <w:pPr>
        <w:spacing w:after="20" w:line="223" w:lineRule="auto"/>
        <w:jc w:val="right"/>
        <w:bidi/>
      </w:pPr>
      <w:r>
        <w:rPr>
          <w:rFonts w:ascii="Arial" w:hAnsi="Arial"/>
          <w:sz w:val="16"/>
        </w:rPr>
        <w:t>366.24  رانندگی در حالت مستی.</w:t>
      </w:r>
    </w:p>
    <w:p>
      <w:pPr>
        <w:spacing w:after="28" w:line="216" w:lineRule="auto"/>
        <w:ind w:left="259"/>
        <w:jc w:val="left"/>
      </w:pPr>
      <w:r>
        <w:rPr>
          <w:rFonts w:ascii="Arial" w:hAnsi="Arial"/>
          <w:color w:val="525252"/>
          <w:sz w:val="13"/>
        </w:rPr>
        <w:t>Drunk Driving.</w:t>
      </w:r>
    </w:p>
    <w:p>
      <w:pPr>
        <w:spacing w:after="20" w:line="223" w:lineRule="auto"/>
        <w:jc w:val="right"/>
        <w:bidi/>
      </w:pPr>
      <w:r>
        <w:rPr>
          <w:rFonts w:ascii="Arial" w:hAnsi="Arial"/>
          <w:sz w:val="16"/>
        </w:rPr>
        <w:t>366.25  رانندگی در حالت مستی می‌تواند منجر به اقدامات انضباطی، از جمله تعقیب کیفری بر اساس قانون یکپارچه عدالت نظامی (UCMJ) و قوانین کیفری محلی و ایالتی شود.</w:t>
      </w:r>
    </w:p>
    <w:p>
      <w:pPr>
        <w:spacing w:after="28" w:line="216" w:lineRule="auto"/>
        <w:ind w:left="259"/>
        <w:jc w:val="left"/>
      </w:pPr>
      <w:r>
        <w:rPr>
          <w:rFonts w:ascii="Arial" w:hAnsi="Arial"/>
          <w:color w:val="525252"/>
          <w:sz w:val="13"/>
        </w:rPr>
        <w:t>Drunk driving can lead to disciplinary action, including criminal prosecution under the Uniform Code of Military Justice (UCMJ) and local and state criminal laws.</w:t>
      </w:r>
    </w:p>
    <w:p>
      <w:pPr>
        <w:spacing w:after="20" w:line="223" w:lineRule="auto"/>
        <w:jc w:val="right"/>
        <w:bidi/>
      </w:pPr>
      <w:r>
        <w:rPr>
          <w:rFonts w:ascii="Arial" w:hAnsi="Arial"/>
          <w:sz w:val="16"/>
        </w:rPr>
        <w:t>366.26  AFI ۳۱-</w:t>
      </w:r>
    </w:p>
    <w:p>
      <w:pPr>
        <w:spacing w:after="28" w:line="216" w:lineRule="auto"/>
        <w:ind w:left="259"/>
        <w:jc w:val="left"/>
      </w:pPr>
      <w:r>
        <w:rPr>
          <w:rFonts w:ascii="Arial" w:hAnsi="Arial"/>
          <w:color w:val="525252"/>
          <w:sz w:val="13"/>
        </w:rPr>
        <w:t>AFI 31-</w:t>
      </w:r>
    </w:p>
    <w:p>
      <w:r>
        <w:br w:type="page"/>
      </w:r>
    </w:p>
    <w:p>
      <w:pPr>
        <w:spacing w:after="60"/>
        <w:jc w:val="right"/>
        <w:bidi/>
      </w:pPr>
      <w:r>
        <w:rPr>
          <w:rFonts w:ascii="Arial" w:hAnsi="Arial"/>
          <w:b/>
          <w:color w:val="1F4D78"/>
          <w:sz w:val="19"/>
        </w:rPr>
        <w:t>هفتهٔ 367  |  صفحهٔ منبع: 383</w:t>
      </w:r>
    </w:p>
    <w:p>
      <w:pPr>
        <w:spacing w:after="20" w:line="223" w:lineRule="auto"/>
        <w:jc w:val="right"/>
        <w:bidi/>
      </w:pPr>
      <w:r>
        <w:rPr>
          <w:rFonts w:ascii="Arial" w:hAnsi="Arial"/>
          <w:sz w:val="16"/>
        </w:rPr>
        <w:t>367.01  ۲۱۸، نظارت بر ترافیک وسایل نقلیه موتوری، برای همه افرادی که امتیازات رانندگی تاسیسات نظامی دارند اعمال می‌شود.</w:t>
      </w:r>
    </w:p>
    <w:p>
      <w:pPr>
        <w:spacing w:after="28" w:line="216" w:lineRule="auto"/>
        <w:ind w:left="259"/>
        <w:jc w:val="left"/>
      </w:pPr>
      <w:r>
        <w:rPr>
          <w:rFonts w:ascii="Arial" w:hAnsi="Arial"/>
          <w:color w:val="525252"/>
          <w:sz w:val="13"/>
        </w:rPr>
        <w:t>218, Motor Vehicle Traffic Supervision, applies to everyone with military installation driving privileges.</w:t>
      </w:r>
    </w:p>
    <w:p>
      <w:pPr>
        <w:spacing w:after="20" w:line="223" w:lineRule="auto"/>
        <w:jc w:val="right"/>
        <w:bidi/>
      </w:pPr>
      <w:r>
        <w:rPr>
          <w:rFonts w:ascii="Arial" w:hAnsi="Arial"/>
          <w:sz w:val="16"/>
        </w:rPr>
        <w:t>367.02  فردی با غلظت الکل خون بیشتر از ۰.۰۸، حتی بدون هیچ مدرک دیگری، دچار اختلال در نظر گرفته می‌شود.</w:t>
      </w:r>
    </w:p>
    <w:p>
      <w:pPr>
        <w:spacing w:after="28" w:line="216" w:lineRule="auto"/>
        <w:ind w:left="259"/>
        <w:jc w:val="left"/>
      </w:pPr>
      <w:r>
        <w:rPr>
          <w:rFonts w:ascii="Arial" w:hAnsi="Arial"/>
          <w:color w:val="525252"/>
          <w:sz w:val="13"/>
        </w:rPr>
        <w:t>A person with a blood alcohol concentration greater than .08 is considered impaired, even without any other evidence.</w:t>
      </w:r>
    </w:p>
    <w:p>
      <w:pPr>
        <w:spacing w:after="20" w:line="223" w:lineRule="auto"/>
        <w:jc w:val="right"/>
        <w:bidi/>
      </w:pPr>
      <w:r>
        <w:rPr>
          <w:rFonts w:ascii="Arial" w:hAnsi="Arial"/>
          <w:sz w:val="16"/>
        </w:rPr>
        <w:t>367.03  اگر یک عضو دارای درصد الکل خون ۰.۰۵ اما کمتر از ۰.۰۸ باشد، ممکن است فرض شود که فرد دچار اختلال شده است.</w:t>
      </w:r>
    </w:p>
    <w:p>
      <w:pPr>
        <w:spacing w:after="28" w:line="216" w:lineRule="auto"/>
        <w:ind w:left="259"/>
        <w:jc w:val="left"/>
      </w:pPr>
      <w:r>
        <w:rPr>
          <w:rFonts w:ascii="Arial" w:hAnsi="Arial"/>
          <w:color w:val="525252"/>
          <w:sz w:val="13"/>
        </w:rPr>
        <w:t>If a member has a blood alcohol percentage of 0.05 but less than 0.08, the person may be presumed to be impaired.</w:t>
      </w:r>
    </w:p>
    <w:p>
      <w:pPr>
        <w:spacing w:after="20" w:line="223" w:lineRule="auto"/>
        <w:jc w:val="right"/>
        <w:bidi/>
      </w:pPr>
      <w:r>
        <w:rPr>
          <w:rFonts w:ascii="Arial" w:hAnsi="Arial"/>
          <w:sz w:val="16"/>
        </w:rPr>
        <w:t>367.04  این استاندارد ممکن است همراه با سایر شواهد صالح در تعیین اینکه آیا فرد تحت تأثیر الکل است در نظر گرفته شود.</w:t>
      </w:r>
    </w:p>
    <w:p>
      <w:pPr>
        <w:spacing w:after="28" w:line="216" w:lineRule="auto"/>
        <w:ind w:left="259"/>
        <w:jc w:val="left"/>
      </w:pPr>
      <w:r>
        <w:rPr>
          <w:rFonts w:ascii="Arial" w:hAnsi="Arial"/>
          <w:color w:val="525252"/>
          <w:sz w:val="13"/>
        </w:rPr>
        <w:t>This standard may be considered with other competent evidence in determining whether the person is under the influence of alcohol.</w:t>
      </w:r>
    </w:p>
    <w:p>
      <w:pPr>
        <w:spacing w:after="20" w:line="223" w:lineRule="auto"/>
        <w:jc w:val="right"/>
        <w:bidi/>
      </w:pPr>
      <w:r>
        <w:rPr>
          <w:rFonts w:ascii="Arial" w:hAnsi="Arial"/>
          <w:sz w:val="16"/>
        </w:rPr>
        <w:t>367.05  برای رانندگی یا کنترل فیزیکی وسیله نقلیه موتوری در حالی که تحت تأثیر مشروبات الکلی مست کننده با غلظت الکل خون ۰.۰۸ درصد یا بیشتر هستید، یک سال تعلیق امتیاز رانندگی وجود دارد.</w:t>
      </w:r>
    </w:p>
    <w:p>
      <w:pPr>
        <w:spacing w:after="28" w:line="216" w:lineRule="auto"/>
        <w:ind w:left="259"/>
        <w:jc w:val="left"/>
      </w:pPr>
      <w:r>
        <w:rPr>
          <w:rFonts w:ascii="Arial" w:hAnsi="Arial"/>
          <w:color w:val="525252"/>
          <w:sz w:val="13"/>
        </w:rPr>
        <w:t>There is a one-year driving privilege suspension for driving or being in physical control of a motor vehicle while under the influence of intoxicating liquor at a blood alcohol concentration of 0.08 percent or greater.</w:t>
      </w:r>
    </w:p>
    <w:p>
      <w:pPr>
        <w:spacing w:before="60" w:after="28"/>
        <w:jc w:val="right"/>
        <w:bidi/>
      </w:pPr>
      <w:r>
        <w:rPr>
          <w:b/>
          <w:color w:val="1F4D78"/>
          <w:sz w:val="18"/>
        </w:rPr>
        <w:t>20.15. استفاده/سوء استفاده از مواد</w:t>
      </w:r>
    </w:p>
    <w:p>
      <w:pPr>
        <w:spacing w:after="20"/>
        <w:ind w:left="259"/>
        <w:jc w:val="left"/>
      </w:pPr>
      <w:r>
        <w:rPr>
          <w:color w:val="555555"/>
          <w:sz w:val="12"/>
        </w:rPr>
        <w:t>20.15. Substance Use/Misuse</w:t>
      </w:r>
    </w:p>
    <w:p>
      <w:pPr>
        <w:spacing w:after="20" w:line="223" w:lineRule="auto"/>
        <w:jc w:val="right"/>
        <w:bidi/>
      </w:pPr>
      <w:r>
        <w:rPr>
          <w:rFonts w:ascii="Arial" w:hAnsi="Arial"/>
          <w:sz w:val="16"/>
        </w:rPr>
        <w:t>367.07  سیاست وزارت دفاع پیشگیری و حذف مصرف مواد مشکل ساز در وزارت دفاع است.</w:t>
      </w:r>
    </w:p>
    <w:p>
      <w:pPr>
        <w:spacing w:after="28" w:line="216" w:lineRule="auto"/>
        <w:ind w:left="259"/>
        <w:jc w:val="left"/>
      </w:pPr>
      <w:r>
        <w:rPr>
          <w:rFonts w:ascii="Arial" w:hAnsi="Arial"/>
          <w:color w:val="525252"/>
          <w:sz w:val="13"/>
        </w:rPr>
        <w:t>Department of Defense policy is to prevent and eliminate problematic substance use in the Department of Defense.</w:t>
      </w:r>
    </w:p>
    <w:p>
      <w:pPr>
        <w:spacing w:after="20" w:line="223" w:lineRule="auto"/>
        <w:jc w:val="right"/>
        <w:bidi/>
      </w:pPr>
      <w:r>
        <w:rPr>
          <w:rFonts w:ascii="Arial" w:hAnsi="Arial"/>
          <w:sz w:val="16"/>
        </w:rPr>
        <w:t>367.08  استفاده و سوء مصرف مواد با ارزش‌های اصلی USAF، حفظ استانداردهای بالای رفتار، عملکرد، آمادگی و نظم و انضباط لازم برای انجام مأموریت نیروی هوایی ناسازگار است.</w:t>
      </w:r>
    </w:p>
    <w:p>
      <w:pPr>
        <w:spacing w:after="28" w:line="216" w:lineRule="auto"/>
        <w:ind w:left="259"/>
        <w:jc w:val="left"/>
      </w:pPr>
      <w:r>
        <w:rPr>
          <w:rFonts w:ascii="Arial" w:hAnsi="Arial"/>
          <w:color w:val="525252"/>
          <w:sz w:val="13"/>
        </w:rPr>
        <w:t>Substance use and abuse is incompatible with USAF core values, maintenance of high standards of behavior, performance, readiness, and the discipline necessary to accomplish the Air Force mission.</w:t>
      </w:r>
    </w:p>
    <w:p>
      <w:pPr>
        <w:spacing w:after="20" w:line="223" w:lineRule="auto"/>
        <w:jc w:val="right"/>
        <w:bidi/>
      </w:pPr>
      <w:r>
        <w:rPr>
          <w:rFonts w:ascii="Arial" w:hAnsi="Arial"/>
          <w:sz w:val="16"/>
        </w:rPr>
        <w:t>367.09  علاوه بر این، سوء مصرف و سوء مصرف مواد می‌تواند باعث مشکلات جدی سلامت جسمی و روانی شود و ایمنی را به خطر بیندازد.</w:t>
      </w:r>
    </w:p>
    <w:p>
      <w:pPr>
        <w:spacing w:after="28" w:line="216" w:lineRule="auto"/>
        <w:ind w:left="259"/>
        <w:jc w:val="left"/>
      </w:pPr>
      <w:r>
        <w:rPr>
          <w:rFonts w:ascii="Arial" w:hAnsi="Arial"/>
          <w:color w:val="525252"/>
          <w:sz w:val="13"/>
        </w:rPr>
        <w:t>Additionally, substance abuse and misuse can cause serious physical and mental health problems and jeopardize safety.</w:t>
      </w:r>
    </w:p>
    <w:p>
      <w:pPr>
        <w:spacing w:after="20" w:line="223" w:lineRule="auto"/>
        <w:jc w:val="right"/>
        <w:bidi/>
      </w:pPr>
      <w:r>
        <w:rPr>
          <w:rFonts w:ascii="Arial" w:hAnsi="Arial"/>
          <w:sz w:val="16"/>
        </w:rPr>
        <w:t>367.10  طبق AFI ۱-۱، استفاده غیرقانونی از مواد مخدر، یا استفاده نادرست از داروهای قانونی ممنوع است و قابل تحمل نخواهد بود.</w:t>
      </w:r>
    </w:p>
    <w:p>
      <w:pPr>
        <w:spacing w:after="28" w:line="216" w:lineRule="auto"/>
        <w:ind w:left="259"/>
        <w:jc w:val="left"/>
      </w:pPr>
      <w:r>
        <w:rPr>
          <w:rFonts w:ascii="Arial" w:hAnsi="Arial"/>
          <w:color w:val="525252"/>
          <w:sz w:val="13"/>
        </w:rPr>
        <w:t>According to AFI 1-1, the illegal use of drugs, or improper use of legal drugs, is prohibited and will not be tolerated.</w:t>
      </w:r>
    </w:p>
    <w:p>
      <w:pPr>
        <w:spacing w:after="20" w:line="223" w:lineRule="auto"/>
        <w:jc w:val="right"/>
        <w:bidi/>
      </w:pPr>
      <w:r>
        <w:rPr>
          <w:rFonts w:ascii="Arial" w:hAnsi="Arial"/>
          <w:sz w:val="16"/>
        </w:rPr>
        <w:t>367.11  در DAFMAN ۴۴-۱۹۷، برنامه کاهش تقاضای مواد مخدر نظامی، سوء مصرف مواد مخدر به‌عنوان استفاده نادرست، در اختیار داشتن، توزیع، یا ورود غیرقانونی به تأسیسات نظامی یا سایر اموال یا تأسیسات تحت نظارت نظامی، یک ماده کنترل شده، داروهای تجویزی، داروهای بدون نسخه (داروی بدون نسخه، یا مواد مسموم کننده) توصیف می‌شود.</w:t>
      </w:r>
    </w:p>
    <w:p>
      <w:pPr>
        <w:spacing w:after="28" w:line="216" w:lineRule="auto"/>
        <w:ind w:left="259"/>
        <w:jc w:val="left"/>
      </w:pPr>
      <w:r>
        <w:rPr>
          <w:rFonts w:ascii="Arial" w:hAnsi="Arial"/>
          <w:color w:val="525252"/>
          <w:sz w:val="13"/>
        </w:rPr>
        <w:t>In DAFMAN 44-197, Military Drug Demand Reduction Program, drug abuse is described as the wrongful use, possession, distribution, or introduction onto a military installation or other property or facility under military supervision, of a controlled substance, prescription medication, over-the-counter medication, or intoxicating substance (other than alcohol).</w:t>
      </w:r>
    </w:p>
    <w:p>
      <w:pPr>
        <w:spacing w:after="20" w:line="223" w:lineRule="auto"/>
        <w:jc w:val="right"/>
        <w:bidi/>
      </w:pPr>
      <w:r>
        <w:rPr>
          <w:rFonts w:ascii="Arial" w:hAnsi="Arial"/>
          <w:sz w:val="16"/>
        </w:rPr>
        <w:t>367.12  «اشتباه» به معنای بدون توجیه یا عذر قانونی است و شامل استفاده بر خلاف دستورات سازنده یا تجویزکننده ارائه‌دهنده مراقبت‌های بهداشتی و استفاده از هر ماده مسموم‌کننده‌ای است که برای بلعیدن انسان در نظر گرفته نشده است.</w:t>
      </w:r>
    </w:p>
    <w:p>
      <w:pPr>
        <w:spacing w:after="28" w:line="216" w:lineRule="auto"/>
        <w:ind w:left="259"/>
        <w:jc w:val="left"/>
      </w:pPr>
      <w:r>
        <w:rPr>
          <w:rFonts w:ascii="Arial" w:hAnsi="Arial"/>
          <w:color w:val="525252"/>
          <w:sz w:val="13"/>
        </w:rPr>
        <w:t>“Wrongful” means without legal justification or excuse, and includes use contrary to the directions of the manufacturer or prescribing healthcare provider, and use of any intoxicating substance not intended for human ingestion.</w:t>
      </w:r>
    </w:p>
    <w:p>
      <w:pPr>
        <w:spacing w:after="20" w:line="223" w:lineRule="auto"/>
        <w:jc w:val="right"/>
        <w:bidi/>
      </w:pPr>
      <w:r>
        <w:rPr>
          <w:rFonts w:ascii="Arial" w:hAnsi="Arial"/>
          <w:sz w:val="16"/>
        </w:rPr>
        <w:t>367.13  سوء مصرف مواد مخدر همچنین شامل سوء مصرف مواد استنشاقی (گاهی اوقات به‌عنوان هافینگ) و استفاده از استروئیدها غیر از مواردی است که به‌طور خاص توسط یک مقام پزشکی صالح تجویز شده است.</w:t>
      </w:r>
    </w:p>
    <w:p>
      <w:pPr>
        <w:spacing w:after="28" w:line="216" w:lineRule="auto"/>
        <w:ind w:left="259"/>
        <w:jc w:val="left"/>
      </w:pPr>
      <w:r>
        <w:rPr>
          <w:rFonts w:ascii="Arial" w:hAnsi="Arial"/>
          <w:color w:val="525252"/>
          <w:sz w:val="13"/>
        </w:rPr>
        <w:t>Drug abuse also includes inhalant abuse (sometimes referred to as huffing) and steroid use, other than that specifically prescribed by a competent medical authority.</w:t>
      </w:r>
    </w:p>
    <w:p>
      <w:pPr>
        <w:spacing w:after="20" w:line="223" w:lineRule="auto"/>
        <w:jc w:val="right"/>
        <w:bidi/>
      </w:pPr>
      <w:r>
        <w:rPr>
          <w:rFonts w:ascii="Arial" w:hAnsi="Arial"/>
          <w:sz w:val="16"/>
        </w:rPr>
        <w:t>367.14  متخلفان مشمول اقدامات تنبیهی تحت UCMJ و همچنین اقدامات اداری نامطلوب، تا و از جمله جدایی اداری هستند.</w:t>
      </w:r>
    </w:p>
    <w:p>
      <w:pPr>
        <w:spacing w:after="28" w:line="216" w:lineRule="auto"/>
        <w:ind w:left="259"/>
        <w:jc w:val="left"/>
      </w:pPr>
      <w:r>
        <w:rPr>
          <w:rFonts w:ascii="Arial" w:hAnsi="Arial"/>
          <w:color w:val="525252"/>
          <w:sz w:val="13"/>
        </w:rPr>
        <w:t>Violators are subject to punitive action under the UCMJ as well as adverse administrative actions, up to and including administrative separation.</w:t>
      </w:r>
    </w:p>
    <w:p>
      <w:pPr>
        <w:spacing w:after="20" w:line="223" w:lineRule="auto"/>
        <w:jc w:val="right"/>
        <w:bidi/>
      </w:pPr>
      <w:r>
        <w:rPr>
          <w:rFonts w:ascii="Arial" w:hAnsi="Arial"/>
          <w:sz w:val="16"/>
        </w:rPr>
        <w:t>367.15  استفاده آگاهانه از هر گونه ماده مسموم کننده (غیر از استفاده قانونی از الکل، فرآورده‌های تنباکو یا داروهای تجویزی) که به هر طریقی برای تغییر خلق و خو یا عملکرد به بدن استنشاق، تزریق، مصرف یا وارد می‌شود، ممنوع است و قابل تحمل نخواهد بود.</w:t>
      </w:r>
    </w:p>
    <w:p>
      <w:pPr>
        <w:spacing w:after="28" w:line="216" w:lineRule="auto"/>
        <w:ind w:left="259"/>
        <w:jc w:val="left"/>
      </w:pPr>
      <w:r>
        <w:rPr>
          <w:rFonts w:ascii="Arial" w:hAnsi="Arial"/>
          <w:color w:val="525252"/>
          <w:sz w:val="13"/>
        </w:rPr>
        <w:t>The knowing use of any intoxicating substance (other than the lawful use of alcohol, tobacco products, or prescription drugs), which is inhaled, injected, consumed, or introduced into the body in any manner to alter mood or function, is prohibited and will not be tolerated.</w:t>
      </w:r>
    </w:p>
    <w:p>
      <w:pPr>
        <w:spacing w:after="20" w:line="223" w:lineRule="auto"/>
        <w:jc w:val="right"/>
        <w:bidi/>
      </w:pPr>
      <w:r>
        <w:rPr>
          <w:rFonts w:ascii="Arial" w:hAnsi="Arial"/>
          <w:sz w:val="16"/>
        </w:rPr>
        <w:t>367.16  داشتن ماده مسکر کننده به قصد استفاده به نحوی که مزاج یا عملکرد آن را تغییر دهد بدون مجوز قانونی ممنوع بوده و قابل تحمل نخواهد بود.</w:t>
      </w:r>
    </w:p>
    <w:p>
      <w:pPr>
        <w:spacing w:after="28" w:line="216" w:lineRule="auto"/>
        <w:ind w:left="259"/>
        <w:jc w:val="left"/>
      </w:pPr>
      <w:r>
        <w:rPr>
          <w:rFonts w:ascii="Arial" w:hAnsi="Arial"/>
          <w:color w:val="525252"/>
          <w:sz w:val="13"/>
        </w:rPr>
        <w:t>The possession of an intoxicating substance with the intent to use in a manner that would alter mood or function, without legal authorization, is prohibited and will not be tolerated.</w:t>
      </w:r>
    </w:p>
    <w:p>
      <w:pPr>
        <w:spacing w:after="20" w:line="223" w:lineRule="auto"/>
        <w:jc w:val="right"/>
        <w:bidi/>
      </w:pPr>
      <w:r>
        <w:rPr>
          <w:rFonts w:ascii="Arial" w:hAnsi="Arial"/>
          <w:sz w:val="16"/>
        </w:rPr>
        <w:t>367.17  عدم رعایت این ممنوعیت‌ها توسط پرسنل نظامی ممکن است منجر به پیگرد قانونی تحت UCMJ یا قوانین ایالتی و محلی و همچنین اقدامات اداری نامطلوب تا و از جمله جدایی اداری شود.</w:t>
      </w:r>
    </w:p>
    <w:p>
      <w:pPr>
        <w:spacing w:after="28" w:line="216" w:lineRule="auto"/>
        <w:ind w:left="259"/>
        <w:jc w:val="left"/>
      </w:pPr>
      <w:r>
        <w:rPr>
          <w:rFonts w:ascii="Arial" w:hAnsi="Arial"/>
          <w:color w:val="525252"/>
          <w:sz w:val="13"/>
        </w:rPr>
        <w:t>Failure by military personnel to comply with these prohibitions may result in prosecution under the UCMJ or state and local laws, as well as adverse administrative actions up to and including administrative separation.</w:t>
      </w:r>
    </w:p>
    <w:p>
      <w:pPr>
        <w:spacing w:after="20" w:line="223" w:lineRule="auto"/>
        <w:jc w:val="right"/>
        <w:bidi/>
      </w:pPr>
      <w:r>
        <w:rPr>
          <w:rFonts w:ascii="Arial" w:hAnsi="Arial"/>
          <w:sz w:val="16"/>
        </w:rPr>
        <w:t>367.18  توجه: اعضای USAF با مشکلات سوء مصرف مواد تشویق می‌شوند که از طریق برنامه پیشگیری و درمان سوء مصرف الکل و مواد مخدر (ADAPT) از فرمانده واحد، گروهبان یکم، مشاور سوء مصرف مواد یا یک متخصص پزشکی نظامی کمک بگیرند.</w:t>
      </w:r>
    </w:p>
    <w:p>
      <w:pPr>
        <w:spacing w:after="28" w:line="216" w:lineRule="auto"/>
        <w:ind w:left="259"/>
        <w:jc w:val="left"/>
      </w:pPr>
      <w:r>
        <w:rPr>
          <w:rFonts w:ascii="Arial" w:hAnsi="Arial"/>
          <w:color w:val="525252"/>
          <w:sz w:val="13"/>
        </w:rPr>
        <w:t>Note: USAF members with substance abuse problems are encouraged to seek assistance from the unit commander, first sergeant, substance abuse counselor, or a military medical professional through the Alcohol and Drug Abuse Prevention and Treatment (ADAPT) Program.</w:t>
      </w:r>
    </w:p>
    <w:p>
      <w:pPr>
        <w:spacing w:after="20" w:line="223" w:lineRule="auto"/>
        <w:jc w:val="right"/>
        <w:bidi/>
      </w:pPr>
      <w:r>
        <w:rPr>
          <w:rFonts w:ascii="Arial" w:hAnsi="Arial"/>
          <w:sz w:val="16"/>
        </w:rPr>
        <w:t>367.19  برنامه‌های ADAPT و کاهش تقاضای دارو شامل پیشگیری از مصرف/سوء مصرف مواد، آموزش، درمان و آزمایش ادرار است.</w:t>
      </w:r>
    </w:p>
    <w:p>
      <w:pPr>
        <w:spacing w:after="28" w:line="216" w:lineRule="auto"/>
        <w:ind w:left="259"/>
        <w:jc w:val="left"/>
      </w:pPr>
      <w:r>
        <w:rPr>
          <w:rFonts w:ascii="Arial" w:hAnsi="Arial"/>
          <w:color w:val="525252"/>
          <w:sz w:val="13"/>
        </w:rPr>
        <w:t>ADAPT and drug demand reduction programs include substance use/misuse prevention, education, treatment, and urinalysis testing.</w:t>
      </w:r>
    </w:p>
    <w:p>
      <w:pPr>
        <w:spacing w:after="20" w:line="223" w:lineRule="auto"/>
        <w:jc w:val="right"/>
        <w:bidi/>
      </w:pPr>
      <w:r>
        <w:rPr>
          <w:rFonts w:ascii="Arial" w:hAnsi="Arial"/>
          <w:sz w:val="16"/>
        </w:rPr>
        <w:t>367.20  اعضا از بالاترین استانداردهای انضباط و رفتار، چه در حین و چه در خارج از وظیفه نگهداری می‌شوند.</w:t>
      </w:r>
    </w:p>
    <w:p>
      <w:pPr>
        <w:spacing w:after="28" w:line="216" w:lineRule="auto"/>
        <w:ind w:left="259"/>
        <w:jc w:val="left"/>
      </w:pPr>
      <w:r>
        <w:rPr>
          <w:rFonts w:ascii="Arial" w:hAnsi="Arial"/>
          <w:color w:val="525252"/>
          <w:sz w:val="13"/>
        </w:rPr>
        <w:t>Members are held to the highest standards of discipline and behavior, both on- and off-duty.</w:t>
      </w:r>
    </w:p>
    <w:p>
      <w:pPr>
        <w:spacing w:after="20" w:line="223" w:lineRule="auto"/>
        <w:jc w:val="right"/>
        <w:bidi/>
      </w:pPr>
      <w:r>
        <w:rPr>
          <w:rFonts w:ascii="Arial" w:hAnsi="Arial"/>
          <w:sz w:val="16"/>
        </w:rPr>
        <w:t>367.21  همه بیمارانی که مبتلا به اختلال مصرف مواد تشخیص داده شده و وارد ADAPT شده‌اند، برای انجام وظایف محدود توصیه می‌شوند، که نشان می‌دهد بیمار واجد شرایط جهانی نیست.</w:t>
      </w:r>
    </w:p>
    <w:p>
      <w:pPr>
        <w:spacing w:after="28" w:line="216" w:lineRule="auto"/>
        <w:ind w:left="259"/>
        <w:jc w:val="left"/>
      </w:pPr>
      <w:r>
        <w:rPr>
          <w:rFonts w:ascii="Arial" w:hAnsi="Arial"/>
          <w:color w:val="525252"/>
          <w:sz w:val="13"/>
        </w:rPr>
        <w:t>All patients diagnosed with a substance use disorder and entered into ADAPT will be recommended for limited duty, indicating the patient is not worldwide qualified.</w:t>
      </w:r>
    </w:p>
    <w:p>
      <w:pPr>
        <w:spacing w:after="20" w:line="223" w:lineRule="auto"/>
        <w:jc w:val="right"/>
        <w:bidi/>
      </w:pPr>
      <w:r>
        <w:rPr>
          <w:rFonts w:ascii="Arial" w:hAnsi="Arial"/>
          <w:sz w:val="16"/>
        </w:rPr>
        <w:t>367.22  افرادی که مشکلات مربوط به مصرف/سوء مصرف مواد را تجربه می‌کنند، در صورت نیاز مشاوره و درمان دریافت خواهند کرد. با این حال، همه اعضای USAF برای رفتار غیرقابل قبول مسئول هستند.</w:t>
      </w:r>
    </w:p>
    <w:p>
      <w:pPr>
        <w:spacing w:after="28" w:line="216" w:lineRule="auto"/>
        <w:ind w:left="259"/>
        <w:jc w:val="left"/>
      </w:pPr>
      <w:r>
        <w:rPr>
          <w:rFonts w:ascii="Arial" w:hAnsi="Arial"/>
          <w:color w:val="525252"/>
          <w:sz w:val="13"/>
        </w:rPr>
        <w:t>Individuals who experience problems related to substance use/misuse will receive counseling and treatment as needed; however, all USAF members are held accountable for unacceptable behavior.</w:t>
      </w:r>
    </w:p>
    <w:p>
      <w:pPr>
        <w:spacing w:after="20" w:line="223" w:lineRule="auto"/>
        <w:jc w:val="right"/>
        <w:bidi/>
      </w:pPr>
      <w:r>
        <w:rPr>
          <w:rFonts w:ascii="Arial" w:hAnsi="Arial"/>
          <w:sz w:val="16"/>
        </w:rPr>
        <w:t>367.23  شناسایی فرمانده.</w:t>
      </w:r>
    </w:p>
    <w:p>
      <w:pPr>
        <w:spacing w:after="28" w:line="216" w:lineRule="auto"/>
        <w:ind w:left="259"/>
        <w:jc w:val="left"/>
      </w:pPr>
      <w:r>
        <w:rPr>
          <w:rFonts w:ascii="Arial" w:hAnsi="Arial"/>
          <w:color w:val="525252"/>
          <w:sz w:val="13"/>
        </w:rPr>
        <w:t>Commander’s Identification.</w:t>
      </w:r>
    </w:p>
    <w:p>
      <w:pPr>
        <w:spacing w:after="20" w:line="223" w:lineRule="auto"/>
        <w:jc w:val="right"/>
        <w:bidi/>
      </w:pPr>
      <w:r>
        <w:rPr>
          <w:rFonts w:ascii="Arial" w:hAnsi="Arial"/>
          <w:sz w:val="16"/>
        </w:rPr>
        <w:t>367.24  فرماندهان یگان، زمانی که مشکوک به استفاده از مواد یا سوء استفاده از مواد به‌عنوان عاملی در هر گونه رفتار نادرست باشد، تمامی اعضای نیروهای مسلح را برای ارزیابی ارجاع خواهند داد.</w:t>
      </w:r>
    </w:p>
    <w:p>
      <w:pPr>
        <w:spacing w:after="28" w:line="216" w:lineRule="auto"/>
        <w:ind w:left="259"/>
        <w:jc w:val="left"/>
      </w:pPr>
      <w:r>
        <w:rPr>
          <w:rFonts w:ascii="Arial" w:hAnsi="Arial"/>
          <w:color w:val="525252"/>
          <w:sz w:val="13"/>
        </w:rPr>
        <w:t>Unit commanders will refer all service members for assessment when substance use or misuse is suspected to be a contributing factor in any misconduct.</w:t>
      </w:r>
    </w:p>
    <w:p>
      <w:pPr>
        <w:spacing w:after="20" w:line="223" w:lineRule="auto"/>
        <w:jc w:val="right"/>
        <w:bidi/>
      </w:pPr>
      <w:r>
        <w:rPr>
          <w:rFonts w:ascii="Arial" w:hAnsi="Arial"/>
          <w:sz w:val="16"/>
        </w:rPr>
        <w:t>367.25  مثال‌ها شامل رانندگی تحت تأثیر، مستی عمومی، مستی و رفتار بی‌نظم، سوء‌رفتار و بدرفتاری با همسر یا کودک، نوشیدن مشروبات الکلی زیر سن قانونی، مثبت بودن تست مواد مخدر، یا در صورت اطلاع پرسنل پزشکی است.</w:t>
      </w:r>
    </w:p>
    <w:p>
      <w:pPr>
        <w:spacing w:after="28" w:line="216" w:lineRule="auto"/>
        <w:ind w:left="259"/>
        <w:jc w:val="left"/>
      </w:pPr>
      <w:r>
        <w:rPr>
          <w:rFonts w:ascii="Arial" w:hAnsi="Arial"/>
          <w:color w:val="525252"/>
          <w:sz w:val="13"/>
        </w:rPr>
        <w:t>Examples include driving under the influence, public intoxication, drunk and disorderly conduct, spouse or child abuse and maltreatment, underage drinking, positive drug test, or when notified by medical personnel.</w:t>
      </w:r>
    </w:p>
    <w:p>
      <w:pPr>
        <w:spacing w:after="20" w:line="223" w:lineRule="auto"/>
        <w:jc w:val="right"/>
        <w:bidi/>
      </w:pPr>
      <w:r>
        <w:rPr>
          <w:rFonts w:ascii="Arial" w:hAnsi="Arial"/>
          <w:sz w:val="16"/>
        </w:rPr>
        <w:t>367.26  فرماندهانی که از این الزام پیروی نمی‌کنند، عضو را در معرض خطر بیشتر برای ایجاد مشکلات شدید مواد قرار می‌دهند و ممکن است ایمنی دیگران را به خطر بیندازند و</w:t>
      </w:r>
    </w:p>
    <w:p>
      <w:pPr>
        <w:spacing w:after="28" w:line="216" w:lineRule="auto"/>
        <w:ind w:left="259"/>
        <w:jc w:val="left"/>
      </w:pPr>
      <w:r>
        <w:rPr>
          <w:rFonts w:ascii="Arial" w:hAnsi="Arial"/>
          <w:color w:val="525252"/>
          <w:sz w:val="13"/>
        </w:rPr>
        <w:t>Commanders who fail to comply with this requirement place the member at increased risk for developing severe substance problems and may jeopardize the safety of others and</w:t>
      </w:r>
    </w:p>
    <w:p>
      <w:r>
        <w:br w:type="page"/>
      </w:r>
    </w:p>
    <w:p>
      <w:pPr>
        <w:spacing w:after="60"/>
        <w:jc w:val="right"/>
        <w:bidi/>
      </w:pPr>
      <w:r>
        <w:rPr>
          <w:rFonts w:ascii="Arial" w:hAnsi="Arial"/>
          <w:b/>
          <w:color w:val="1F4D78"/>
          <w:sz w:val="19"/>
        </w:rPr>
        <w:t>هفتهٔ 368  |  صفحهٔ منبع: 384</w:t>
      </w:r>
    </w:p>
    <w:p>
      <w:pPr>
        <w:spacing w:after="20" w:line="223" w:lineRule="auto"/>
        <w:jc w:val="right"/>
        <w:bidi/>
      </w:pPr>
      <w:r>
        <w:rPr>
          <w:rFonts w:ascii="Arial" w:hAnsi="Arial"/>
          <w:sz w:val="16"/>
        </w:rPr>
        <w:t>368.01  در نهایت انجام مأموریت.</w:t>
      </w:r>
    </w:p>
    <w:p>
      <w:pPr>
        <w:spacing w:after="28" w:line="216" w:lineRule="auto"/>
        <w:ind w:left="259"/>
        <w:jc w:val="left"/>
      </w:pPr>
      <w:r>
        <w:rPr>
          <w:rFonts w:ascii="Arial" w:hAnsi="Arial"/>
          <w:color w:val="525252"/>
          <w:sz w:val="13"/>
        </w:rPr>
        <w:t>ultimately mission accomplishment.</w:t>
      </w:r>
    </w:p>
    <w:p>
      <w:pPr>
        <w:spacing w:before="60" w:after="28"/>
        <w:jc w:val="right"/>
        <w:bidi/>
      </w:pPr>
      <w:r>
        <w:rPr>
          <w:b/>
          <w:color w:val="1F4D78"/>
          <w:sz w:val="18"/>
        </w:rPr>
        <w:t>20.16. آزمایش مواد مخدر</w:t>
      </w:r>
    </w:p>
    <w:p>
      <w:pPr>
        <w:spacing w:after="20"/>
        <w:ind w:left="259"/>
        <w:jc w:val="left"/>
      </w:pPr>
      <w:r>
        <w:rPr>
          <w:color w:val="555555"/>
          <w:sz w:val="12"/>
        </w:rPr>
        <w:t>20.16. Drug Testing</w:t>
      </w:r>
    </w:p>
    <w:p>
      <w:pPr>
        <w:spacing w:after="20" w:line="223" w:lineRule="auto"/>
        <w:jc w:val="right"/>
        <w:bidi/>
      </w:pPr>
      <w:r>
        <w:rPr>
          <w:rFonts w:ascii="Arial" w:hAnsi="Arial"/>
          <w:sz w:val="16"/>
        </w:rPr>
        <w:t>368.03  USAF بر اساس DAFMAN ۴۴-۱۹۷ آزمایش مواد مخدر را از پرسنل انجام می‌دهد.</w:t>
      </w:r>
    </w:p>
    <w:p>
      <w:pPr>
        <w:spacing w:after="28" w:line="216" w:lineRule="auto"/>
        <w:ind w:left="259"/>
        <w:jc w:val="left"/>
      </w:pPr>
      <w:r>
        <w:rPr>
          <w:rFonts w:ascii="Arial" w:hAnsi="Arial"/>
          <w:color w:val="525252"/>
          <w:sz w:val="13"/>
        </w:rPr>
        <w:t>The USAF conducts drug testing of personnel according to DAFMAN 44-197.</w:t>
      </w:r>
    </w:p>
    <w:p>
      <w:pPr>
        <w:spacing w:after="20" w:line="223" w:lineRule="auto"/>
        <w:jc w:val="right"/>
        <w:bidi/>
      </w:pPr>
      <w:r>
        <w:rPr>
          <w:rFonts w:ascii="Arial" w:hAnsi="Arial"/>
          <w:sz w:val="16"/>
        </w:rPr>
        <w:t>368.04  آزمایش مواد مخدر یک بازدارنده مؤثر برای مصرف غیرقانونی مواد است. بنابراین، اعضای نظامی USAF بدون در نظر گرفتن درجه، وضعیت یا موقعیت تحت آزمایش قرار می‌گیرند.</w:t>
      </w:r>
    </w:p>
    <w:p>
      <w:pPr>
        <w:spacing w:after="28" w:line="216" w:lineRule="auto"/>
        <w:ind w:left="259"/>
        <w:jc w:val="left"/>
      </w:pPr>
      <w:r>
        <w:rPr>
          <w:rFonts w:ascii="Arial" w:hAnsi="Arial"/>
          <w:color w:val="525252"/>
          <w:sz w:val="13"/>
        </w:rPr>
        <w:t>Drug testing is an effective deterrent for the illegal use of drugs; therefore, USAF military members are subject to testing regardless of grade, status, or position.</w:t>
      </w:r>
    </w:p>
    <w:p>
      <w:pPr>
        <w:spacing w:after="20" w:line="223" w:lineRule="auto"/>
        <w:jc w:val="right"/>
        <w:bidi/>
      </w:pPr>
      <w:r>
        <w:rPr>
          <w:rFonts w:ascii="Arial" w:hAnsi="Arial"/>
          <w:sz w:val="16"/>
        </w:rPr>
        <w:t>368.05  اعضای نظامی ممکن است در هر زمانی دستور دریافت کنند یا داوطلبانه با ارائه نمونه ادرار موافقت کنند.</w:t>
      </w:r>
    </w:p>
    <w:p>
      <w:pPr>
        <w:spacing w:after="28" w:line="216" w:lineRule="auto"/>
        <w:ind w:left="259"/>
        <w:jc w:val="left"/>
      </w:pPr>
      <w:r>
        <w:rPr>
          <w:rFonts w:ascii="Arial" w:hAnsi="Arial"/>
          <w:color w:val="525252"/>
          <w:sz w:val="13"/>
        </w:rPr>
        <w:t>Military members may receive an order or may voluntarily consent to provide urine samples at any time.</w:t>
      </w:r>
    </w:p>
    <w:p>
      <w:pPr>
        <w:spacing w:after="20" w:line="223" w:lineRule="auto"/>
        <w:jc w:val="right"/>
        <w:bidi/>
      </w:pPr>
      <w:r>
        <w:rPr>
          <w:rFonts w:ascii="Arial" w:hAnsi="Arial"/>
          <w:sz w:val="16"/>
        </w:rPr>
        <w:t>368.06  اعضای نظامی که از دستور ارائه نمونه ادرار پیروی نکنند، تحت مجازات UCMJ قرار دارند.</w:t>
      </w:r>
    </w:p>
    <w:p>
      <w:pPr>
        <w:spacing w:after="28" w:line="216" w:lineRule="auto"/>
        <w:ind w:left="259"/>
        <w:jc w:val="left"/>
      </w:pPr>
      <w:r>
        <w:rPr>
          <w:rFonts w:ascii="Arial" w:hAnsi="Arial"/>
          <w:color w:val="525252"/>
          <w:sz w:val="13"/>
        </w:rPr>
        <w:t>Military members who fail to comply with an order to provide a urine sample are subject to punitive action under the UCMJ.</w:t>
      </w:r>
    </w:p>
    <w:p>
      <w:pPr>
        <w:spacing w:after="20" w:line="223" w:lineRule="auto"/>
        <w:jc w:val="right"/>
        <w:bidi/>
      </w:pPr>
      <w:r>
        <w:rPr>
          <w:rFonts w:ascii="Arial" w:hAnsi="Arial"/>
          <w:sz w:val="16"/>
        </w:rPr>
        <w:t>368.07  توجه: آزمایش فرماندهی فقط باید به‌عنوان آخرین راه حل مورد استفاده قرار گیرد زیرا نتایج ممکن است برای اقدامات انضباطی تحت UCMJ یا برای مشخص کردن یک تخلیه اداری مورد استفاده قرار نگیرد.</w:t>
      </w:r>
    </w:p>
    <w:p>
      <w:pPr>
        <w:spacing w:after="28" w:line="216" w:lineRule="auto"/>
        <w:ind w:left="259"/>
        <w:jc w:val="left"/>
      </w:pPr>
      <w:r>
        <w:rPr>
          <w:rFonts w:ascii="Arial" w:hAnsi="Arial"/>
          <w:color w:val="525252"/>
          <w:sz w:val="13"/>
        </w:rPr>
        <w:t>Note: Commander-directed testing should only be used as a last resort because the results may not be used for disciplinary action under the UCMJ or to characterize an administrative discharge.</w:t>
      </w:r>
    </w:p>
    <w:p>
      <w:pPr>
        <w:spacing w:after="20" w:line="223" w:lineRule="auto"/>
        <w:jc w:val="right"/>
        <w:bidi/>
      </w:pPr>
      <w:r>
        <w:rPr>
          <w:rFonts w:ascii="Arial" w:hAnsi="Arial"/>
          <w:sz w:val="16"/>
        </w:rPr>
        <w:t>368.08  بازرسی بر اساس قاعده نظامی ۳۱۳.</w:t>
      </w:r>
    </w:p>
    <w:p>
      <w:pPr>
        <w:spacing w:after="28" w:line="216" w:lineRule="auto"/>
        <w:ind w:left="259"/>
        <w:jc w:val="left"/>
      </w:pPr>
      <w:r>
        <w:rPr>
          <w:rFonts w:ascii="Arial" w:hAnsi="Arial"/>
          <w:color w:val="525252"/>
          <w:sz w:val="13"/>
        </w:rPr>
        <w:t>Inspection under Military Rule of Evidence 313.</w:t>
      </w:r>
    </w:p>
    <w:p>
      <w:pPr>
        <w:spacing w:after="20" w:line="223" w:lineRule="auto"/>
        <w:jc w:val="right"/>
        <w:bidi/>
      </w:pPr>
      <w:r>
        <w:rPr>
          <w:rFonts w:ascii="Arial" w:hAnsi="Arial"/>
          <w:sz w:val="16"/>
        </w:rPr>
        <w:t>368.09  به‌طور کلی، بازرسی معاینه‌ای است که به‌عنوان یک حادثه فرماندهی انجام می‌شود و هدف اصلی آن تعیین و اطمینان از امنیت، آمادگی نظامی یا نظم و انضباط یک واحد، سازمان یا تاسیسات است.</w:t>
      </w:r>
    </w:p>
    <w:p>
      <w:pPr>
        <w:spacing w:after="28" w:line="216" w:lineRule="auto"/>
        <w:ind w:left="259"/>
        <w:jc w:val="left"/>
      </w:pPr>
      <w:r>
        <w:rPr>
          <w:rFonts w:ascii="Arial" w:hAnsi="Arial"/>
          <w:color w:val="525252"/>
          <w:sz w:val="13"/>
        </w:rPr>
        <w:t>In general, an inspection is an examination conducted as an incident of command, the primary purpose of which is to determine and ensure the security, military fitness, or good order and discipline of a unit, organization, or installation.</w:t>
      </w:r>
    </w:p>
    <w:p>
      <w:pPr>
        <w:spacing w:after="20" w:line="223" w:lineRule="auto"/>
        <w:jc w:val="right"/>
        <w:bidi/>
      </w:pPr>
      <w:r>
        <w:rPr>
          <w:rFonts w:ascii="Arial" w:hAnsi="Arial"/>
          <w:sz w:val="16"/>
        </w:rPr>
        <w:t>368.10  بازرسی‌ها ممکن است از هرگونه کمک طبیعی یا تکنولوژیکی منطقی استفاده کنند و ممکن است با یا بدون اطلاع رسانی به بازرسی‌شوندگان انجام شوند.</w:t>
      </w:r>
    </w:p>
    <w:p>
      <w:pPr>
        <w:spacing w:after="28" w:line="216" w:lineRule="auto"/>
        <w:ind w:left="259"/>
        <w:jc w:val="left"/>
      </w:pPr>
      <w:r>
        <w:rPr>
          <w:rFonts w:ascii="Arial" w:hAnsi="Arial"/>
          <w:color w:val="525252"/>
          <w:sz w:val="13"/>
        </w:rPr>
        <w:t>Inspections may utilize any reasonable natural or technological aid and may be conducted with or without notice to those inspected.</w:t>
      </w:r>
    </w:p>
    <w:p>
      <w:pPr>
        <w:spacing w:after="20" w:line="223" w:lineRule="auto"/>
        <w:jc w:val="right"/>
        <w:bidi/>
      </w:pPr>
      <w:r>
        <w:rPr>
          <w:rFonts w:ascii="Arial" w:hAnsi="Arial"/>
          <w:sz w:val="16"/>
        </w:rPr>
        <w:t>368.11  نتیجه مثبت یک نمونه ادرار ممکن است برای ارجاع یک عضو برای ارزیابی مصرف مواد، به‌عنوان شواهدی برای حمایت از اقدامات انضباطی تحت UCMJ یا اقدام ترخیص اداری، و به‌عنوان ملاحظاتی در مورد خصوصیات ترشحات در ترخیص‌های اداری استفاده شود.</w:t>
      </w:r>
    </w:p>
    <w:p>
      <w:pPr>
        <w:spacing w:after="28" w:line="216" w:lineRule="auto"/>
        <w:ind w:left="259"/>
        <w:jc w:val="left"/>
      </w:pPr>
      <w:r>
        <w:rPr>
          <w:rFonts w:ascii="Arial" w:hAnsi="Arial"/>
          <w:color w:val="525252"/>
          <w:sz w:val="13"/>
        </w:rPr>
        <w:t>The positive result of a urine sample may be used to refer a member for a substance use evaluation, as evidence to support disciplinary action under the UCMJ or administrative discharge action, and as a consideration on the issue of characterization of discharge in administrative discharges.</w:t>
      </w:r>
    </w:p>
    <w:p>
      <w:pPr>
        <w:spacing w:after="20" w:line="223" w:lineRule="auto"/>
        <w:jc w:val="right"/>
        <w:bidi/>
      </w:pPr>
      <w:r>
        <w:rPr>
          <w:rFonts w:ascii="Arial" w:hAnsi="Arial"/>
          <w:sz w:val="16"/>
        </w:rPr>
        <w:t>368.12  جستجوی علت احتمالی تحت قاعده شواهد نظامی ۳۱۵.</w:t>
      </w:r>
    </w:p>
    <w:p>
      <w:pPr>
        <w:spacing w:after="28" w:line="216" w:lineRule="auto"/>
        <w:ind w:left="259"/>
        <w:jc w:val="left"/>
      </w:pPr>
      <w:r>
        <w:rPr>
          <w:rFonts w:ascii="Arial" w:hAnsi="Arial"/>
          <w:color w:val="525252"/>
          <w:sz w:val="13"/>
        </w:rPr>
        <w:t>Probable Cause Search under Military Rule of Evidence 315.</w:t>
      </w:r>
    </w:p>
    <w:p>
      <w:pPr>
        <w:spacing w:after="20" w:line="223" w:lineRule="auto"/>
        <w:jc w:val="right"/>
        <w:bidi/>
      </w:pPr>
      <w:r>
        <w:rPr>
          <w:rFonts w:ascii="Arial" w:hAnsi="Arial"/>
          <w:sz w:val="16"/>
        </w:rPr>
        <w:t>368.13  جستجوی علت احتمالی به مجوز تفتیش و توقیف از فرمانده مربوطه، قاضی نظامی، قاضی نظامی یا سایر مراجع ذیصلاح تفتیش برای ضبط نمونه ادرار نیاز دارد.</w:t>
      </w:r>
    </w:p>
    <w:p>
      <w:pPr>
        <w:spacing w:after="28" w:line="216" w:lineRule="auto"/>
        <w:ind w:left="259"/>
        <w:jc w:val="left"/>
      </w:pPr>
      <w:r>
        <w:rPr>
          <w:rFonts w:ascii="Arial" w:hAnsi="Arial"/>
          <w:color w:val="525252"/>
          <w:sz w:val="13"/>
        </w:rPr>
        <w:t>A probable cause search requires a search and seizure authorization from the appropriate commander, military judge, military magistrate, or other competent search authority in order to seize a urine specimen.</w:t>
      </w:r>
    </w:p>
    <w:p>
      <w:pPr>
        <w:spacing w:after="20" w:line="223" w:lineRule="auto"/>
        <w:jc w:val="right"/>
        <w:bidi/>
      </w:pPr>
      <w:r>
        <w:rPr>
          <w:rFonts w:ascii="Arial" w:hAnsi="Arial"/>
          <w:sz w:val="16"/>
        </w:rPr>
        <w:t>368.14  علت احتمالی زمانی وجود دارد که باور معقولی وجود داشته باشد که شواهدی مبنی بر مصرف غیرقانونی مواد مخدر در سیستم عضو مورد آزمایش یافت شود.</w:t>
      </w:r>
    </w:p>
    <w:p>
      <w:pPr>
        <w:spacing w:after="28" w:line="216" w:lineRule="auto"/>
        <w:ind w:left="259"/>
        <w:jc w:val="left"/>
      </w:pPr>
      <w:r>
        <w:rPr>
          <w:rFonts w:ascii="Arial" w:hAnsi="Arial"/>
          <w:color w:val="525252"/>
          <w:sz w:val="13"/>
        </w:rPr>
        <w:t>Probable cause exists when there is a reasonable belief that evidence of illegal drug use will be found in the system of the member to be tested.</w:t>
      </w:r>
    </w:p>
    <w:p>
      <w:pPr>
        <w:spacing w:after="20" w:line="223" w:lineRule="auto"/>
        <w:jc w:val="right"/>
        <w:bidi/>
      </w:pPr>
      <w:r>
        <w:rPr>
          <w:rFonts w:ascii="Arial" w:hAnsi="Arial"/>
          <w:sz w:val="16"/>
        </w:rPr>
        <w:t>368.15  نتایج ممکن است به‌عنوان شواهدی برای حمایت از اقدامات انضباطی تحت UCMJ یا در یک اقدام تخلیه اداری استفاده شود.</w:t>
      </w:r>
    </w:p>
    <w:p>
      <w:pPr>
        <w:spacing w:after="28" w:line="216" w:lineRule="auto"/>
        <w:ind w:left="259"/>
        <w:jc w:val="left"/>
      </w:pPr>
      <w:r>
        <w:rPr>
          <w:rFonts w:ascii="Arial" w:hAnsi="Arial"/>
          <w:color w:val="525252"/>
          <w:sz w:val="13"/>
        </w:rPr>
        <w:t>Results may be used as evidence to support disciplinary action under the UCMJ, or in an administrative discharge action.</w:t>
      </w:r>
    </w:p>
    <w:p>
      <w:pPr>
        <w:spacing w:after="20" w:line="223" w:lineRule="auto"/>
        <w:jc w:val="right"/>
        <w:bidi/>
      </w:pPr>
      <w:r>
        <w:rPr>
          <w:rFonts w:ascii="Arial" w:hAnsi="Arial"/>
          <w:sz w:val="16"/>
        </w:rPr>
        <w:t>368.16  اهداف پزشکی.</w:t>
      </w:r>
    </w:p>
    <w:p>
      <w:pPr>
        <w:spacing w:after="28" w:line="216" w:lineRule="auto"/>
        <w:ind w:left="259"/>
        <w:jc w:val="left"/>
      </w:pPr>
      <w:r>
        <w:rPr>
          <w:rFonts w:ascii="Arial" w:hAnsi="Arial"/>
          <w:color w:val="525252"/>
          <w:sz w:val="13"/>
        </w:rPr>
        <w:t>Medical Purposes.</w:t>
      </w:r>
    </w:p>
    <w:p>
      <w:pPr>
        <w:spacing w:after="20" w:line="223" w:lineRule="auto"/>
        <w:jc w:val="right"/>
        <w:bidi/>
      </w:pPr>
      <w:r>
        <w:rPr>
          <w:rFonts w:ascii="Arial" w:hAnsi="Arial"/>
          <w:sz w:val="16"/>
        </w:rPr>
        <w:t>368.17  نتایج هر معاینه‌ای که برای اهداف پزشکی معتبر انجام می‌شود، از جمله درمان فوری پزشکی، معاینه فیزیکی دوره‌ای، و سایر معاینات از این قبیل که برای اهداف تشخیصی یا درمانی ضروری است، ممکن است برای شناسایی سوء مصرف کنندگان استفاده شود.</w:t>
      </w:r>
    </w:p>
    <w:p>
      <w:pPr>
        <w:spacing w:after="28" w:line="216" w:lineRule="auto"/>
        <w:ind w:left="259"/>
        <w:jc w:val="left"/>
      </w:pPr>
      <w:r>
        <w:rPr>
          <w:rFonts w:ascii="Arial" w:hAnsi="Arial"/>
          <w:color w:val="525252"/>
          <w:sz w:val="13"/>
        </w:rPr>
        <w:t>Results of any examination conducted for a valid medical purpose, including emergency medical treatment, periodic physical examination, and other such examinations necessary for diagnostic or treatment purposes, may be used to identify drug abusers.</w:t>
      </w:r>
    </w:p>
    <w:p>
      <w:pPr>
        <w:spacing w:after="20" w:line="223" w:lineRule="auto"/>
        <w:jc w:val="right"/>
        <w:bidi/>
      </w:pPr>
      <w:r>
        <w:rPr>
          <w:rFonts w:ascii="Arial" w:hAnsi="Arial"/>
          <w:sz w:val="16"/>
        </w:rPr>
        <w:t>368.18  نتایج ممکن است به‌عنوان شواهدی برای حمایت از اقدامات انضباطی تحت UCMJ یا در اقدام تخلیه اداری استفاده شود.</w:t>
      </w:r>
    </w:p>
    <w:p>
      <w:pPr>
        <w:spacing w:after="28" w:line="216" w:lineRule="auto"/>
        <w:ind w:left="259"/>
        <w:jc w:val="left"/>
      </w:pPr>
      <w:r>
        <w:rPr>
          <w:rFonts w:ascii="Arial" w:hAnsi="Arial"/>
          <w:color w:val="525252"/>
          <w:sz w:val="13"/>
        </w:rPr>
        <w:t>Results may be used as evidence to support disciplinary action under the UCMJ or in administrative discharge action.</w:t>
      </w:r>
    </w:p>
    <w:p>
      <w:pPr>
        <w:spacing w:after="20" w:line="223" w:lineRule="auto"/>
        <w:jc w:val="right"/>
        <w:bidi/>
      </w:pPr>
      <w:r>
        <w:rPr>
          <w:rFonts w:ascii="Arial" w:hAnsi="Arial"/>
          <w:sz w:val="16"/>
        </w:rPr>
        <w:t>368.19  خودشناسی.</w:t>
      </w:r>
    </w:p>
    <w:p>
      <w:pPr>
        <w:spacing w:after="28" w:line="216" w:lineRule="auto"/>
        <w:ind w:left="259"/>
        <w:jc w:val="left"/>
      </w:pPr>
      <w:r>
        <w:rPr>
          <w:rFonts w:ascii="Arial" w:hAnsi="Arial"/>
          <w:color w:val="525252"/>
          <w:sz w:val="13"/>
        </w:rPr>
        <w:t>Self-identification.</w:t>
      </w:r>
    </w:p>
    <w:p>
      <w:pPr>
        <w:spacing w:after="20" w:line="223" w:lineRule="auto"/>
        <w:jc w:val="right"/>
        <w:bidi/>
      </w:pPr>
      <w:r>
        <w:rPr>
          <w:rFonts w:ascii="Arial" w:hAnsi="Arial"/>
          <w:sz w:val="16"/>
        </w:rPr>
        <w:t>368.20  اعضای USAF (در حال حاضر تحت تحقیق یا در انتظار اقدام نیستند)، با مشکلات الکل، مشکلات مصرف مواد، یا استفاده شخصی یا داشتن مواد مخدر، تشویق می‌شوند از فرمانده واحد، گروهبان یکم، مشاور مصرف مواد یا یک متخصص پزشکی نظامی کمک بگیرند.</w:t>
      </w:r>
    </w:p>
    <w:p>
      <w:pPr>
        <w:spacing w:after="28" w:line="216" w:lineRule="auto"/>
        <w:ind w:left="259"/>
        <w:jc w:val="left"/>
      </w:pPr>
      <w:r>
        <w:rPr>
          <w:rFonts w:ascii="Arial" w:hAnsi="Arial"/>
          <w:color w:val="525252"/>
          <w:sz w:val="13"/>
        </w:rPr>
        <w:t>USAF members (not currently under investigation or pending action), with alcohol problems, substance use problems, or personal drug use or possession, are encouraged to seek assistance from the unit commander, first sergeant, substance use counselor, or a military medical professional.</w:t>
      </w:r>
    </w:p>
    <w:p>
      <w:pPr>
        <w:spacing w:after="20" w:line="223" w:lineRule="auto"/>
        <w:jc w:val="right"/>
        <w:bidi/>
      </w:pPr>
      <w:r>
        <w:rPr>
          <w:rFonts w:ascii="Arial" w:hAnsi="Arial"/>
          <w:sz w:val="16"/>
        </w:rPr>
        <w:t>368.21  پس از ارزیابی، مدیر برنامه ADAPT با تیم درمان مشورت می‌کند و یک اقدام بالینی مناسب را تعیین می‌کند.</w:t>
      </w:r>
    </w:p>
    <w:p>
      <w:pPr>
        <w:spacing w:after="28" w:line="216" w:lineRule="auto"/>
        <w:ind w:left="259"/>
        <w:jc w:val="left"/>
      </w:pPr>
      <w:r>
        <w:rPr>
          <w:rFonts w:ascii="Arial" w:hAnsi="Arial"/>
          <w:color w:val="525252"/>
          <w:sz w:val="13"/>
        </w:rPr>
        <w:t>Following an assessment, the ADAPT program manager will consult with the treatment team and determine an appropriate clinical course of action.</w:t>
      </w:r>
    </w:p>
    <w:p>
      <w:pPr>
        <w:spacing w:after="20" w:line="223" w:lineRule="auto"/>
        <w:jc w:val="right"/>
        <w:bidi/>
      </w:pPr>
      <w:r>
        <w:rPr>
          <w:rFonts w:ascii="Arial" w:hAnsi="Arial"/>
          <w:sz w:val="16"/>
        </w:rPr>
        <w:t>368.22  فرماندهان نمی‌توانند از شناسایی داوطلبانه مشکل مصرف مواد علیه یک عضو در اقدامی تحت قانون UCMJ یا هنگام تعیین ویژگی‌های مناسب خدمات در یک اقدام تخلیه اداری استفاده کنند.</w:t>
      </w:r>
    </w:p>
    <w:p>
      <w:pPr>
        <w:spacing w:after="28" w:line="216" w:lineRule="auto"/>
        <w:ind w:left="259"/>
        <w:jc w:val="left"/>
      </w:pPr>
      <w:r>
        <w:rPr>
          <w:rFonts w:ascii="Arial" w:hAnsi="Arial"/>
          <w:color w:val="525252"/>
          <w:sz w:val="13"/>
        </w:rPr>
        <w:t>Commanders may not use voluntary self-identification of a substance use problem against a member in an action under the UCMJ or when determining the appropriate characterization of service in an administrative discharge action.</w:t>
      </w:r>
    </w:p>
    <w:p>
      <w:r>
        <w:br w:type="page"/>
      </w:r>
    </w:p>
    <w:p>
      <w:pPr>
        <w:spacing w:after="60"/>
        <w:jc w:val="right"/>
        <w:bidi/>
      </w:pPr>
      <w:r>
        <w:rPr>
          <w:rFonts w:ascii="Arial" w:hAnsi="Arial"/>
          <w:b/>
          <w:color w:val="1F4D78"/>
          <w:sz w:val="19"/>
        </w:rPr>
        <w:t>هفتهٔ 369  |  صفحهٔ منبع: 385</w:t>
      </w:r>
    </w:p>
    <w:p>
      <w:pPr>
        <w:spacing w:before="60" w:after="28"/>
        <w:jc w:val="right"/>
        <w:bidi/>
      </w:pPr>
      <w:r>
        <w:rPr>
          <w:b/>
          <w:color w:val="1F4D78"/>
          <w:sz w:val="18"/>
        </w:rPr>
        <w:t>بخش 20C-روابط کاری مناسب</w:t>
      </w:r>
    </w:p>
    <w:p>
      <w:pPr>
        <w:spacing w:after="20"/>
        <w:ind w:left="259"/>
        <w:jc w:val="left"/>
      </w:pPr>
      <w:r>
        <w:rPr>
          <w:color w:val="555555"/>
          <w:sz w:val="12"/>
        </w:rPr>
        <w:t>Section 20C—Appropriate Working Relationships</w:t>
      </w:r>
    </w:p>
    <w:p>
      <w:pPr>
        <w:spacing w:before="60" w:after="28"/>
        <w:jc w:val="right"/>
        <w:bidi/>
      </w:pPr>
      <w:r>
        <w:rPr>
          <w:b/>
          <w:color w:val="1F4D78"/>
          <w:sz w:val="18"/>
        </w:rPr>
        <w:t>20.17. روابط کاری</w:t>
      </w:r>
    </w:p>
    <w:p>
      <w:pPr>
        <w:spacing w:after="20"/>
        <w:ind w:left="259"/>
        <w:jc w:val="left"/>
      </w:pPr>
      <w:r>
        <w:rPr>
          <w:color w:val="555555"/>
          <w:sz w:val="12"/>
        </w:rPr>
        <w:t>20.17. Working Relationships</w:t>
      </w:r>
    </w:p>
    <w:p>
      <w:pPr>
        <w:spacing w:after="20" w:line="223" w:lineRule="auto"/>
        <w:jc w:val="right"/>
        <w:bidi/>
      </w:pPr>
      <w:r>
        <w:rPr>
          <w:rFonts w:ascii="Arial" w:hAnsi="Arial"/>
          <w:sz w:val="16"/>
        </w:rPr>
        <w:t>369.03  تعامل اجتماعی که به‌طور مناسب به انسجام و اثربخشی واحد کمک می‌کند تشویق می‌شود.</w:t>
      </w:r>
    </w:p>
    <w:p>
      <w:pPr>
        <w:spacing w:after="28" w:line="216" w:lineRule="auto"/>
        <w:ind w:left="259"/>
        <w:jc w:val="left"/>
      </w:pPr>
      <w:r>
        <w:rPr>
          <w:rFonts w:ascii="Arial" w:hAnsi="Arial"/>
          <w:color w:val="525252"/>
          <w:sz w:val="13"/>
        </w:rPr>
        <w:t>Social interaction that contributes appropriately to unit cohesiveness and effectiveness is encouraged.</w:t>
      </w:r>
    </w:p>
    <w:p>
      <w:pPr>
        <w:spacing w:after="20" w:line="223" w:lineRule="auto"/>
        <w:jc w:val="right"/>
        <w:bidi/>
      </w:pPr>
      <w:r>
        <w:rPr>
          <w:rFonts w:ascii="Arial" w:hAnsi="Arial"/>
          <w:sz w:val="16"/>
        </w:rPr>
        <w:t>369.04  اعضای نظامی از همه درجه‌ها باید روابط حرفه‌ای با کارمندان غیرنظامی و پرسنل پیمانکاری دولتی که با آنها کار، نظارت یا هدایت می‌کنند، حفظ کنند و باید از روابطی که بر روحیه، نظم و انضباط، احترام به اقتدار، و انسجام واحد تأثیر منفی می‌گذارد، یا قوانین یا مقررات را نقض می‌کند، اجتناب کنند.</w:t>
      </w:r>
    </w:p>
    <w:p>
      <w:pPr>
        <w:spacing w:after="28" w:line="216" w:lineRule="auto"/>
        <w:ind w:left="259"/>
        <w:jc w:val="left"/>
      </w:pPr>
      <w:r>
        <w:rPr>
          <w:rFonts w:ascii="Arial" w:hAnsi="Arial"/>
          <w:color w:val="525252"/>
          <w:sz w:val="13"/>
        </w:rPr>
        <w:t>Military members of all grades must maintain professional relationships with civilian employees and government contractor personnel they work with, supervise, or direct, and must avoid relationships that adversely affect or are perceived to adversely affect morale, discipline, respect for authority, and unit cohesion, or that violate law or regulation.</w:t>
      </w:r>
    </w:p>
    <w:p>
      <w:pPr>
        <w:spacing w:after="20" w:line="223" w:lineRule="auto"/>
        <w:jc w:val="right"/>
        <w:bidi/>
      </w:pPr>
      <w:r>
        <w:rPr>
          <w:rFonts w:ascii="Arial" w:hAnsi="Arial"/>
          <w:sz w:val="16"/>
        </w:rPr>
        <w:t>369.05  در حالی که روابط شخصی بین اعضای USAF معمولا موضوعاتی است که به انتخاب و قضاوت فردی بستگی دارد، زمانی که با از بین بردن روحیه، نظم خوب، انضباط، احترام به اقتدار، انسجام واحد، یا انجام مأموریت، تأثیر نامطلوب بر نیروهای USAF داشته باشد یا دارای پتانسیل منطقی برای تأثیرگذاری باشد، تبدیل به موضوع نگرانی رسمی می‌شود.</w:t>
      </w:r>
    </w:p>
    <w:p>
      <w:pPr>
        <w:spacing w:after="28" w:line="216" w:lineRule="auto"/>
        <w:ind w:left="259"/>
        <w:jc w:val="left"/>
      </w:pPr>
      <w:r>
        <w:rPr>
          <w:rFonts w:ascii="Arial" w:hAnsi="Arial"/>
          <w:color w:val="525252"/>
          <w:sz w:val="13"/>
        </w:rPr>
        <w:t>While personal relationships between USAF members are normally matters of individual choice and judgment, they become matters of official concern when they adversely affect or have the reasonable potential to affect the USAF by eroding morale, good order, discipline, respect for authority, unit cohesion, or mission accomplishment.</w:t>
      </w:r>
    </w:p>
    <w:p>
      <w:pPr>
        <w:spacing w:after="20" w:line="223" w:lineRule="auto"/>
        <w:jc w:val="right"/>
        <w:bidi/>
      </w:pPr>
      <w:r>
        <w:rPr>
          <w:rFonts w:ascii="Arial" w:hAnsi="Arial"/>
          <w:sz w:val="16"/>
        </w:rPr>
        <w:t>369.06  روابط حرفه‌ای.</w:t>
      </w:r>
    </w:p>
    <w:p>
      <w:pPr>
        <w:spacing w:after="28" w:line="216" w:lineRule="auto"/>
        <w:ind w:left="259"/>
        <w:jc w:val="left"/>
      </w:pPr>
      <w:r>
        <w:rPr>
          <w:rFonts w:ascii="Arial" w:hAnsi="Arial"/>
          <w:color w:val="525252"/>
          <w:sz w:val="13"/>
        </w:rPr>
        <w:t>Professional Relationships.</w:t>
      </w:r>
    </w:p>
    <w:p>
      <w:pPr>
        <w:spacing w:after="20" w:line="223" w:lineRule="auto"/>
        <w:jc w:val="right"/>
        <w:bidi/>
      </w:pPr>
      <w:r>
        <w:rPr>
          <w:rFonts w:ascii="Arial" w:hAnsi="Arial"/>
          <w:sz w:val="16"/>
        </w:rPr>
        <w:t>369.07  همانطور که در AFI ۱-۱ بیان شد، روابط حرفه‌ای مناسب برای عملکرد مؤثر همه سازمان‌ها و حفظ نظم و انضباط ضروری است.</w:t>
      </w:r>
    </w:p>
    <w:p>
      <w:pPr>
        <w:spacing w:after="28" w:line="216" w:lineRule="auto"/>
        <w:ind w:left="259"/>
        <w:jc w:val="left"/>
      </w:pPr>
      <w:r>
        <w:rPr>
          <w:rFonts w:ascii="Arial" w:hAnsi="Arial"/>
          <w:color w:val="525252"/>
          <w:sz w:val="13"/>
        </w:rPr>
        <w:t>As stated in AFI 1-1, appropriate professional relationships are vital to the effective operation of all organizations and to maintaining good order and discipline.</w:t>
      </w:r>
    </w:p>
    <w:p>
      <w:pPr>
        <w:spacing w:after="20" w:line="223" w:lineRule="auto"/>
        <w:jc w:val="right"/>
        <w:bidi/>
      </w:pPr>
      <w:r>
        <w:rPr>
          <w:rFonts w:ascii="Arial" w:hAnsi="Arial"/>
          <w:sz w:val="16"/>
        </w:rPr>
        <w:t>369.08  ماهیت مأموریت نظامی مستلزم اعتماد کامل به فرماندهی و پایبندی بی دریغ به دستوراتی است که ممکن است منجر به ناراحتی، سختی و در مواقعی جراحت یا مرگ شود.</w:t>
      </w:r>
    </w:p>
    <w:p>
      <w:pPr>
        <w:spacing w:after="28" w:line="216" w:lineRule="auto"/>
        <w:ind w:left="259"/>
        <w:jc w:val="left"/>
      </w:pPr>
      <w:r>
        <w:rPr>
          <w:rFonts w:ascii="Arial" w:hAnsi="Arial"/>
          <w:color w:val="525252"/>
          <w:sz w:val="13"/>
        </w:rPr>
        <w:t>The nature of the military mission requires absolute confidence in command and an unhesitating adherence to orders that may result in inconvenience, hardships, and at times, injury, or death.</w:t>
      </w:r>
    </w:p>
    <w:p>
      <w:pPr>
        <w:spacing w:after="20" w:line="223" w:lineRule="auto"/>
        <w:jc w:val="right"/>
        <w:bidi/>
      </w:pPr>
      <w:r>
        <w:rPr>
          <w:rFonts w:ascii="Arial" w:hAnsi="Arial"/>
          <w:sz w:val="16"/>
        </w:rPr>
        <w:t>369.09  این تمایز حفظ روابط حرفه‌ای در ارتش را مهم‌تر از سازمان‌های غیرنظامی می‌کند.</w:t>
      </w:r>
    </w:p>
    <w:p>
      <w:pPr>
        <w:spacing w:after="28" w:line="216" w:lineRule="auto"/>
        <w:ind w:left="259"/>
        <w:jc w:val="left"/>
      </w:pPr>
      <w:r>
        <w:rPr>
          <w:rFonts w:ascii="Arial" w:hAnsi="Arial"/>
          <w:color w:val="525252"/>
          <w:sz w:val="13"/>
        </w:rPr>
        <w:t>This distinction makes the maintenance of professional relationships in the military more critical than in civilian organizations.</w:t>
      </w:r>
    </w:p>
    <w:p>
      <w:pPr>
        <w:spacing w:after="20" w:line="223" w:lineRule="auto"/>
        <w:jc w:val="right"/>
        <w:bidi/>
      </w:pPr>
      <w:r>
        <w:rPr>
          <w:rFonts w:ascii="Arial" w:hAnsi="Arial"/>
          <w:sz w:val="16"/>
        </w:rPr>
        <w:t>369.10  AFI ۳۶-۲۹۰۹، روابط و رفتار حرفه‌ای نیروی هوایی، مسئولیت هایی را برای حفظ روابط حرفه‌ای ایجاد می‌کند.</w:t>
      </w:r>
    </w:p>
    <w:p>
      <w:pPr>
        <w:spacing w:after="28" w:line="216" w:lineRule="auto"/>
        <w:ind w:left="259"/>
        <w:jc w:val="left"/>
      </w:pPr>
      <w:r>
        <w:rPr>
          <w:rFonts w:ascii="Arial" w:hAnsi="Arial"/>
          <w:color w:val="525252"/>
          <w:sz w:val="13"/>
        </w:rPr>
        <w:t>AFI 36-2909, Air Force Professional Relationships and Conduct, establishes responsibilities for maintaining professional relationships.</w:t>
      </w:r>
    </w:p>
    <w:p>
      <w:pPr>
        <w:spacing w:after="20" w:line="223" w:lineRule="auto"/>
        <w:jc w:val="right"/>
        <w:bidi/>
      </w:pPr>
      <w:r>
        <w:rPr>
          <w:rFonts w:ascii="Arial" w:hAnsi="Arial"/>
          <w:sz w:val="16"/>
        </w:rPr>
        <w:t>369.11  روابط غیرحرفه‌ای.</w:t>
      </w:r>
    </w:p>
    <w:p>
      <w:pPr>
        <w:spacing w:after="28" w:line="216" w:lineRule="auto"/>
        <w:ind w:left="259"/>
        <w:jc w:val="left"/>
      </w:pPr>
      <w:r>
        <w:rPr>
          <w:rFonts w:ascii="Arial" w:hAnsi="Arial"/>
          <w:color w:val="525252"/>
          <w:sz w:val="13"/>
        </w:rPr>
        <w:t>Unprofessional Relationships.</w:t>
      </w:r>
    </w:p>
    <w:p>
      <w:pPr>
        <w:spacing w:after="20" w:line="223" w:lineRule="auto"/>
        <w:jc w:val="right"/>
        <w:bidi/>
      </w:pPr>
      <w:r>
        <w:rPr>
          <w:rFonts w:ascii="Arial" w:hAnsi="Arial"/>
          <w:sz w:val="16"/>
        </w:rPr>
        <w:t>369.12  روابط غیرحرفه‌ای، خواه در حین انجام وظیفه یا خارج از وظیفه، روابطی هستند که از اختیارات مافوق می‌کاهد، یا منجر به طرفداری، سوء استفاده از مقام یا موقعیت، یا کنار گذاشتن اهداف سازمانی برای منافع شخصی می‌شود یا به‌طور منطقی ظاهر می‌شود.</w:t>
      </w:r>
    </w:p>
    <w:p>
      <w:pPr>
        <w:spacing w:after="28" w:line="216" w:lineRule="auto"/>
        <w:ind w:left="259"/>
        <w:jc w:val="left"/>
      </w:pPr>
      <w:r>
        <w:rPr>
          <w:rFonts w:ascii="Arial" w:hAnsi="Arial"/>
          <w:color w:val="525252"/>
          <w:sz w:val="13"/>
        </w:rPr>
        <w:t>Unprofessional relationships, whether pursued on- or off-duty, are those relationships that detract from the authority of superiors, or result in, or reasonably create the appearance of, favoritism, misuse of office or position, or the abandonment of organizational goals for personal interests.</w:t>
      </w:r>
    </w:p>
    <w:p>
      <w:pPr>
        <w:spacing w:after="20" w:line="223" w:lineRule="auto"/>
        <w:jc w:val="right"/>
        <w:bidi/>
      </w:pPr>
      <w:r>
        <w:rPr>
          <w:rFonts w:ascii="Arial" w:hAnsi="Arial"/>
          <w:sz w:val="16"/>
        </w:rPr>
        <w:t>369.13  پس از برقراری روابط غیرحرفه‌ای، مانند روابط شخصی نامناسب و طرفداری، از دید سایر اعضای یک واحد غافل نمی‌شود و بی طرفی مافوق نسبت به زیردستان و همتایان او را زیر سوال می‌برد.</w:t>
      </w:r>
    </w:p>
    <w:p>
      <w:pPr>
        <w:spacing w:after="28" w:line="216" w:lineRule="auto"/>
        <w:ind w:left="259"/>
        <w:jc w:val="left"/>
      </w:pPr>
      <w:r>
        <w:rPr>
          <w:rFonts w:ascii="Arial" w:hAnsi="Arial"/>
          <w:color w:val="525252"/>
          <w:sz w:val="13"/>
        </w:rPr>
        <w:t>Once established, unprofessional relationships, such as inappropriate personal relationships and favoritism, do not go unnoticed by other members of a unit, and call into question the superior’s impartiality toward the subordinate and his or her peers.</w:t>
      </w:r>
    </w:p>
    <w:p>
      <w:pPr>
        <w:spacing w:after="20" w:line="223" w:lineRule="auto"/>
        <w:jc w:val="right"/>
        <w:bidi/>
      </w:pPr>
      <w:r>
        <w:rPr>
          <w:rFonts w:ascii="Arial" w:hAnsi="Arial"/>
          <w:sz w:val="16"/>
        </w:rPr>
        <w:t>369.14  باید از روابط غیرحرفه‌ای بین افسران، بین اعضای ثبت‌نام شده، بین افسران و اعضای ثبت‌نام شده، بین پرسنل نظامی و کارمندان غیرنظامی یا پرسنل پیمانکاری، و همچنین در داخل و بین شاخه‌های نظامی اجتناب شود.</w:t>
      </w:r>
    </w:p>
    <w:p>
      <w:pPr>
        <w:spacing w:after="28" w:line="216" w:lineRule="auto"/>
        <w:ind w:left="259"/>
        <w:jc w:val="left"/>
      </w:pPr>
      <w:r>
        <w:rPr>
          <w:rFonts w:ascii="Arial" w:hAnsi="Arial"/>
          <w:color w:val="525252"/>
          <w:sz w:val="13"/>
        </w:rPr>
        <w:t>Unprofessional relationships must be avoided between officers, between enlisted members, between officers and enlisted members, between military personnel and civilian employees or contractor personnel, as well as within and across the military branches.</w:t>
      </w:r>
    </w:p>
    <w:p>
      <w:pPr>
        <w:spacing w:after="20" w:line="223" w:lineRule="auto"/>
        <w:jc w:val="right"/>
        <w:bidi/>
      </w:pPr>
      <w:r>
        <w:rPr>
          <w:rFonts w:ascii="Arial" w:hAnsi="Arial"/>
          <w:sz w:val="16"/>
        </w:rPr>
        <w:t>369.15  روابطی که در آن یکی از اعضا بر دیگری اختیار نظارت یا فرماندهی را اعمال می‌کند، پتانسیل غیرحرفه‌ای شدن را دارد.</w:t>
      </w:r>
    </w:p>
    <w:p>
      <w:pPr>
        <w:spacing w:after="28" w:line="216" w:lineRule="auto"/>
        <w:ind w:left="259"/>
        <w:jc w:val="left"/>
      </w:pPr>
      <w:r>
        <w:rPr>
          <w:rFonts w:ascii="Arial" w:hAnsi="Arial"/>
          <w:color w:val="525252"/>
          <w:sz w:val="13"/>
        </w:rPr>
        <w:t>Relationships in which one member exercises supervisory or command authority over another have the potential for becoming unprofessional.</w:t>
      </w:r>
    </w:p>
    <w:p>
      <w:pPr>
        <w:spacing w:after="20" w:line="223" w:lineRule="auto"/>
        <w:jc w:val="right"/>
        <w:bidi/>
      </w:pPr>
      <w:r>
        <w:rPr>
          <w:rFonts w:ascii="Arial" w:hAnsi="Arial"/>
          <w:sz w:val="16"/>
        </w:rPr>
        <w:t>369.16  به‌طور مشابه، تفاوت در درجه، خطر غیرحرفه‌ای بودن یا تلقی یک رابطه را افزایش می‌دهد، زیرا اعضای ارشد در سازمان‌های نظامی نفوذ سازمانی مستقیم یا غیرمستقیم بر وظایف و مشاغل اعضای پایین‌تر دارند.</w:t>
      </w:r>
    </w:p>
    <w:p>
      <w:pPr>
        <w:spacing w:after="28" w:line="216" w:lineRule="auto"/>
        <w:ind w:left="259"/>
        <w:jc w:val="left"/>
      </w:pPr>
      <w:r>
        <w:rPr>
          <w:rFonts w:ascii="Arial" w:hAnsi="Arial"/>
          <w:color w:val="525252"/>
          <w:sz w:val="13"/>
        </w:rPr>
        <w:t>Similarly, differences in grade increase the risk that a relationship will be, or will be perceived to be, unprofessional because senior members in military organizations have direct or indirect organizational influence over the duties and careers of junior members.</w:t>
      </w:r>
    </w:p>
    <w:p>
      <w:pPr>
        <w:spacing w:after="20" w:line="223" w:lineRule="auto"/>
        <w:jc w:val="right"/>
        <w:bidi/>
      </w:pPr>
      <w:r>
        <w:rPr>
          <w:rFonts w:ascii="Arial" w:hAnsi="Arial"/>
          <w:sz w:val="16"/>
        </w:rPr>
        <w:t>369.17  توانایی عضو ارشد برای تأثیر مستقیم یا غیرمستقیم بر تکالیف، توصیه‌های ارتقاء، وظایف، جوایز و سایر امتیازات و مزایا، هم عضو ارشد و هم عضو جوان را در موقعیت‌های حساس قرار می‌دهد.</w:t>
      </w:r>
    </w:p>
    <w:p>
      <w:pPr>
        <w:spacing w:after="28" w:line="216" w:lineRule="auto"/>
        <w:ind w:left="259"/>
        <w:jc w:val="left"/>
      </w:pPr>
      <w:r>
        <w:rPr>
          <w:rFonts w:ascii="Arial" w:hAnsi="Arial"/>
          <w:color w:val="525252"/>
          <w:sz w:val="13"/>
        </w:rPr>
        <w:t>The ability of the senior member to directly or indirectly influence assignments, promotion recommendations, duties, awards, and other privileges and benefits, places both the senior member and the junior member in susceptible situations.</w:t>
      </w:r>
    </w:p>
    <w:p>
      <w:pPr>
        <w:spacing w:after="20" w:line="223" w:lineRule="auto"/>
        <w:jc w:val="right"/>
        <w:bidi/>
      </w:pPr>
      <w:r>
        <w:rPr>
          <w:rFonts w:ascii="Arial" w:hAnsi="Arial"/>
          <w:sz w:val="16"/>
        </w:rPr>
        <w:t>369.18  برادری.</w:t>
      </w:r>
    </w:p>
    <w:p>
      <w:pPr>
        <w:spacing w:after="28" w:line="216" w:lineRule="auto"/>
        <w:ind w:left="259"/>
        <w:jc w:val="left"/>
      </w:pPr>
      <w:r>
        <w:rPr>
          <w:rFonts w:ascii="Arial" w:hAnsi="Arial"/>
          <w:color w:val="525252"/>
          <w:sz w:val="13"/>
        </w:rPr>
        <w:t>Fraternization.</w:t>
      </w:r>
    </w:p>
    <w:p>
      <w:pPr>
        <w:spacing w:after="20" w:line="223" w:lineRule="auto"/>
        <w:jc w:val="right"/>
        <w:bidi/>
      </w:pPr>
      <w:r>
        <w:rPr>
          <w:rFonts w:ascii="Arial" w:hAnsi="Arial"/>
          <w:sz w:val="16"/>
        </w:rPr>
        <w:t>369.19  برادری یک رابطه غیرحرفه‌ای بین یک افسر و عضو سرباز است که به‌طور خاص توسط ماده ۱۳۴ قانون یکسان عدالت نظامی ممنوع شده است.</w:t>
      </w:r>
    </w:p>
    <w:p>
      <w:pPr>
        <w:spacing w:after="28" w:line="216" w:lineRule="auto"/>
        <w:ind w:left="259"/>
        <w:jc w:val="left"/>
      </w:pPr>
      <w:r>
        <w:rPr>
          <w:rFonts w:ascii="Arial" w:hAnsi="Arial"/>
          <w:color w:val="525252"/>
          <w:sz w:val="13"/>
        </w:rPr>
        <w:t>Fraternization is an unprofessional relationship between an officer and enlisted member specifically prohibited by Article 134, Uniform Code of Military Justice.</w:t>
      </w:r>
    </w:p>
    <w:p>
      <w:pPr>
        <w:spacing w:after="20" w:line="223" w:lineRule="auto"/>
        <w:jc w:val="right"/>
        <w:bidi/>
      </w:pPr>
      <w:r>
        <w:rPr>
          <w:rFonts w:ascii="Arial" w:hAnsi="Arial"/>
          <w:sz w:val="16"/>
        </w:rPr>
        <w:t>369.20  برادری زمانی وجود دارد که یک رابطه بین یک افسر و یک عضو ثبت‌نام شده، عضو ثبت‌نام شده را در شرایط برابری نظامی با افسر قرار دهد، به نحوی که نظم و انضباط را در نیروهای مسلح ایالات متحده پیش داوری کند یا باعث بی اعتباری نیروهای مسلح ایالات متحده شود.</w:t>
      </w:r>
    </w:p>
    <w:p>
      <w:pPr>
        <w:spacing w:after="28" w:line="216" w:lineRule="auto"/>
        <w:ind w:left="259"/>
        <w:jc w:val="left"/>
      </w:pPr>
      <w:r>
        <w:rPr>
          <w:rFonts w:ascii="Arial" w:hAnsi="Arial"/>
          <w:color w:val="525252"/>
          <w:sz w:val="13"/>
        </w:rPr>
        <w:t>Fraternization exists when a relationship between an officer and an enlisted member puts the enlisted member on terms of military equality with the officer in a way that prejudices good order and discipline in the U.S. Armed Forces or brings discredit upon the U.S. Armed Forces.</w:t>
      </w:r>
    </w:p>
    <w:p>
      <w:pPr>
        <w:spacing w:after="20" w:line="223" w:lineRule="auto"/>
        <w:jc w:val="right"/>
        <w:bidi/>
      </w:pPr>
      <w:r>
        <w:rPr>
          <w:rFonts w:ascii="Arial" w:hAnsi="Arial"/>
          <w:sz w:val="16"/>
        </w:rPr>
        <w:t>369.21  این رسم خدمت تشخیص می‌دهد که افسران با اعضای ثبت‌نام شده از نظر برابری نظامی، چه در حین یا خارج از خدمت، روابط شخصی برقرار نخواهند کرد.</w:t>
      </w:r>
    </w:p>
    <w:p>
      <w:pPr>
        <w:spacing w:after="28" w:line="216" w:lineRule="auto"/>
        <w:ind w:left="259"/>
        <w:jc w:val="left"/>
      </w:pPr>
      <w:r>
        <w:rPr>
          <w:rFonts w:ascii="Arial" w:hAnsi="Arial"/>
          <w:color w:val="525252"/>
          <w:sz w:val="13"/>
        </w:rPr>
        <w:t>This custom of the service recognizes that officers will not form personal relationships with enlisted members on terms of military equality, whether on- or off-duty.</w:t>
      </w:r>
    </w:p>
    <w:p>
      <w:pPr>
        <w:spacing w:after="20" w:line="223" w:lineRule="auto"/>
        <w:jc w:val="right"/>
        <w:bidi/>
      </w:pPr>
      <w:r>
        <w:rPr>
          <w:rFonts w:ascii="Arial" w:hAnsi="Arial"/>
          <w:sz w:val="16"/>
        </w:rPr>
        <w:t>369.22  اینکه آیا یک تماس یا انجمن برادری را تشکیل می‌دهد به شرایط اطراف بستگی دارد، مانند اینکه آیا</w:t>
      </w:r>
    </w:p>
    <w:p>
      <w:pPr>
        <w:spacing w:after="28" w:line="216" w:lineRule="auto"/>
        <w:ind w:left="259"/>
        <w:jc w:val="left"/>
      </w:pPr>
      <w:r>
        <w:rPr>
          <w:rFonts w:ascii="Arial" w:hAnsi="Arial"/>
          <w:color w:val="525252"/>
          <w:sz w:val="13"/>
        </w:rPr>
        <w:t>Whether a contact or association constitutes fraternization depends on the surrounding circumstances, such as whether</w:t>
      </w:r>
    </w:p>
    <w:p>
      <w:r>
        <w:br w:type="page"/>
      </w:r>
    </w:p>
    <w:p>
      <w:pPr>
        <w:spacing w:after="60"/>
        <w:jc w:val="right"/>
        <w:bidi/>
      </w:pPr>
      <w:r>
        <w:rPr>
          <w:rFonts w:ascii="Arial" w:hAnsi="Arial"/>
          <w:b/>
          <w:color w:val="1F4D78"/>
          <w:sz w:val="19"/>
        </w:rPr>
        <w:t>هفتهٔ 370  |  صفحهٔ منبع: 386</w:t>
      </w:r>
    </w:p>
    <w:p>
      <w:pPr>
        <w:spacing w:after="20" w:line="223" w:lineRule="auto"/>
        <w:jc w:val="right"/>
        <w:bidi/>
      </w:pPr>
      <w:r>
        <w:rPr>
          <w:rFonts w:ascii="Arial" w:hAnsi="Arial"/>
          <w:sz w:val="16"/>
        </w:rPr>
        <w:t>370.01  این رفتار زنجیره فرماندهی را به خطر انداخته است. منجر به ظاهر جزئی شده است. یا نظم، انضباط، اقتدار یا روحیه خوب را تضعیف کرده است.</w:t>
      </w:r>
    </w:p>
    <w:p>
      <w:pPr>
        <w:spacing w:after="28" w:line="216" w:lineRule="auto"/>
        <w:ind w:left="259"/>
        <w:jc w:val="left"/>
      </w:pPr>
      <w:r>
        <w:rPr>
          <w:rFonts w:ascii="Arial" w:hAnsi="Arial"/>
          <w:color w:val="525252"/>
          <w:sz w:val="13"/>
        </w:rPr>
        <w:t>the conduct has compromised the chain of command; has resulted in the appearance of partiality; or has otherwise undermined good order, discipline, authority, or morale.</w:t>
      </w:r>
    </w:p>
    <w:p>
      <w:pPr>
        <w:spacing w:after="20" w:line="223" w:lineRule="auto"/>
        <w:jc w:val="right"/>
        <w:bidi/>
      </w:pPr>
      <w:r>
        <w:rPr>
          <w:rFonts w:ascii="Arial" w:hAnsi="Arial"/>
          <w:sz w:val="16"/>
        </w:rPr>
        <w:t>370.02  ممنوعیت برادری فراتر از خطوط فرماندهی سازمانی و زنجیره‌ای گسترش می‌یابد تا اعضا را در میان یا در میان سرویس‌های مختلف شامل شود.</w:t>
      </w:r>
    </w:p>
    <w:p>
      <w:pPr>
        <w:spacing w:after="28" w:line="216" w:lineRule="auto"/>
        <w:ind w:left="259"/>
        <w:jc w:val="left"/>
      </w:pPr>
      <w:r>
        <w:rPr>
          <w:rFonts w:ascii="Arial" w:hAnsi="Arial"/>
          <w:color w:val="525252"/>
          <w:sz w:val="13"/>
        </w:rPr>
        <w:t>The prohibition on fraternization extends beyond organizational and chain of command lines to include members among or across different services.</w:t>
      </w:r>
    </w:p>
    <w:p>
      <w:pPr>
        <w:spacing w:after="20" w:line="223" w:lineRule="auto"/>
        <w:jc w:val="right"/>
        <w:bidi/>
      </w:pPr>
      <w:r>
        <w:rPr>
          <w:rFonts w:ascii="Arial" w:hAnsi="Arial"/>
          <w:sz w:val="16"/>
        </w:rPr>
        <w:t>370.03  به‌طور خلاصه، این امر به همه روابط افسری و سربازی گسترش می‌یابد.</w:t>
      </w:r>
    </w:p>
    <w:p>
      <w:pPr>
        <w:spacing w:after="28" w:line="216" w:lineRule="auto"/>
        <w:ind w:left="259"/>
        <w:jc w:val="left"/>
      </w:pPr>
      <w:r>
        <w:rPr>
          <w:rFonts w:ascii="Arial" w:hAnsi="Arial"/>
          <w:color w:val="525252"/>
          <w:sz w:val="13"/>
        </w:rPr>
        <w:t>In short, it extends to all officer and enlisted relationships.</w:t>
      </w:r>
    </w:p>
    <w:p>
      <w:pPr>
        <w:spacing w:after="20" w:line="223" w:lineRule="auto"/>
        <w:jc w:val="right"/>
        <w:bidi/>
      </w:pPr>
      <w:r>
        <w:rPr>
          <w:rFonts w:ascii="Arial" w:hAnsi="Arial"/>
          <w:sz w:val="16"/>
        </w:rPr>
        <w:t>370.04  هنگامی که برادری اتفاق می‌افتد، افسر مسئول اصلی خواهد بود و تنها عضوی است که به دلیل برادری طبق ماده ۱۳۴ UCMJ تحت مجازات انضباطی قرار می‌گیرد. با این حال، یک عضو استخدام شده درگیر در برادری توافقی هنوز درگیر یک رابطه غیرحرفه‌ای است و به همین ترتیب مشمول انضباط طبق ماده ۹۲ UCMJ است.</w:t>
      </w:r>
    </w:p>
    <w:p>
      <w:pPr>
        <w:spacing w:after="28" w:line="216" w:lineRule="auto"/>
        <w:ind w:left="259"/>
        <w:jc w:val="left"/>
      </w:pPr>
      <w:r>
        <w:rPr>
          <w:rFonts w:ascii="Arial" w:hAnsi="Arial"/>
          <w:color w:val="525252"/>
          <w:sz w:val="13"/>
        </w:rPr>
        <w:t>When fraternization occurs, the officer will be held primarily responsible, and is the only member subject to disciplinary action for fraternization under Article 134, UCMJ; however, an enlisted member involved in consensual fraternization is still engaged in an unprofessional relationship and is likewise subject to discipline under Article 92, UCMJ.</w:t>
      </w:r>
    </w:p>
    <w:p>
      <w:pPr>
        <w:spacing w:before="60" w:after="28"/>
        <w:jc w:val="right"/>
        <w:bidi/>
      </w:pPr>
      <w:r>
        <w:rPr>
          <w:b/>
          <w:color w:val="1F4D78"/>
          <w:sz w:val="18"/>
        </w:rPr>
        <w:t>20.18. فرصت برابر</w:t>
      </w:r>
    </w:p>
    <w:p>
      <w:pPr>
        <w:spacing w:after="20"/>
        <w:ind w:left="259"/>
        <w:jc w:val="left"/>
      </w:pPr>
      <w:r>
        <w:rPr>
          <w:color w:val="555555"/>
          <w:sz w:val="12"/>
        </w:rPr>
        <w:t>20.18. Equal Opportunity</w:t>
      </w:r>
    </w:p>
    <w:p>
      <w:pPr>
        <w:spacing w:after="20" w:line="223" w:lineRule="auto"/>
        <w:jc w:val="right"/>
        <w:bidi/>
      </w:pPr>
      <w:r>
        <w:rPr>
          <w:rFonts w:ascii="Arial" w:hAnsi="Arial"/>
          <w:sz w:val="16"/>
        </w:rPr>
        <w:t>370.06  برنامه فرصت‌های برابر USAF فرصت‌های برابر را تقویت و حمایت می‌کند و باید در اقدامات روزمره همه پرسنل انجام شود.</w:t>
      </w:r>
    </w:p>
    <w:p>
      <w:pPr>
        <w:spacing w:after="28" w:line="216" w:lineRule="auto"/>
        <w:ind w:left="259"/>
        <w:jc w:val="left"/>
      </w:pPr>
      <w:r>
        <w:rPr>
          <w:rFonts w:ascii="Arial" w:hAnsi="Arial"/>
          <w:color w:val="525252"/>
          <w:sz w:val="13"/>
        </w:rPr>
        <w:t>The USAF Equal Opportunity Program fosters and supports equal opportunity and must be carried out in the day-to-day actions of all personnel.</w:t>
      </w:r>
    </w:p>
    <w:p>
      <w:pPr>
        <w:spacing w:after="20" w:line="223" w:lineRule="auto"/>
        <w:jc w:val="right"/>
        <w:bidi/>
      </w:pPr>
      <w:r>
        <w:rPr>
          <w:rFonts w:ascii="Arial" w:hAnsi="Arial"/>
          <w:sz w:val="16"/>
        </w:rPr>
        <w:t>370.07  USAF تبعیض غیرقانونی، آزار و اذیت یا انتقام علیه افرادی را که در فعالیت‌های محافظت شده شرکت می‌کنند را تحمل نخواهد کرد.</w:t>
      </w:r>
    </w:p>
    <w:p>
      <w:pPr>
        <w:spacing w:after="28" w:line="216" w:lineRule="auto"/>
        <w:ind w:left="259"/>
        <w:jc w:val="left"/>
      </w:pPr>
      <w:r>
        <w:rPr>
          <w:rFonts w:ascii="Arial" w:hAnsi="Arial"/>
          <w:color w:val="525252"/>
          <w:sz w:val="13"/>
        </w:rPr>
        <w:t>The USAF will not tolerate unlawful discrimination, harassment, or reprisal against individuals who engage in protected activity.</w:t>
      </w:r>
    </w:p>
    <w:p>
      <w:pPr>
        <w:spacing w:after="20" w:line="223" w:lineRule="auto"/>
        <w:jc w:val="right"/>
        <w:bidi/>
      </w:pPr>
      <w:r>
        <w:rPr>
          <w:rFonts w:ascii="Arial" w:hAnsi="Arial"/>
          <w:sz w:val="16"/>
        </w:rPr>
        <w:t>370.08  هوانوردان باید به‌طور فعال حرفه‌ای بودن در محل کار را در اولویت اصلی خود قرار دهند و اقدامات پیشگیرانه‌ای را برای جلوگیری و حذف رفتارهای تبعیض آمیز یا آزاردهنده غیرقانونی انجام دهند.</w:t>
      </w:r>
    </w:p>
    <w:p>
      <w:pPr>
        <w:spacing w:after="28" w:line="216" w:lineRule="auto"/>
        <w:ind w:left="259"/>
        <w:jc w:val="left"/>
      </w:pPr>
      <w:r>
        <w:rPr>
          <w:rFonts w:ascii="Arial" w:hAnsi="Arial"/>
          <w:color w:val="525252"/>
          <w:sz w:val="13"/>
        </w:rPr>
        <w:t>Airmen must actively make workplace professionalism a top priority and take proactive steps to prevent and eliminate unlawful discriminatory or harassment behavior.</w:t>
      </w:r>
    </w:p>
    <w:p>
      <w:pPr>
        <w:spacing w:after="20" w:line="223" w:lineRule="auto"/>
        <w:jc w:val="right"/>
        <w:bidi/>
      </w:pPr>
      <w:r>
        <w:rPr>
          <w:rFonts w:ascii="Arial" w:hAnsi="Arial"/>
          <w:sz w:val="16"/>
        </w:rPr>
        <w:t>370.09  فرماندهان و ناظران موظفند اقدامات فوری و مناسب را برای رسیدگی به رفتارها یا اتهامات نامناسب به محض اطلاع از آنها انجام دهند و تشویق می‌شوند قبل از شروع اقدام برای حل چنین نگرانی‌هایی با دفتر فرصت‌های برابر محلی خود مشورت کنند.</w:t>
      </w:r>
    </w:p>
    <w:p>
      <w:pPr>
        <w:spacing w:after="28" w:line="216" w:lineRule="auto"/>
        <w:ind w:left="259"/>
        <w:jc w:val="left"/>
      </w:pPr>
      <w:r>
        <w:rPr>
          <w:rFonts w:ascii="Arial" w:hAnsi="Arial"/>
          <w:color w:val="525252"/>
          <w:sz w:val="13"/>
        </w:rPr>
        <w:t>Commanders and supervisors are charged with taking immediate and appropriate actions to address inappropriate behaviors or allegations once they are made aware and are encouraged to consult with their local equal opportunity office before initiating action to resolve such concerns.</w:t>
      </w:r>
    </w:p>
    <w:p>
      <w:pPr>
        <w:spacing w:after="20" w:line="223" w:lineRule="auto"/>
        <w:jc w:val="right"/>
        <w:bidi/>
      </w:pPr>
      <w:r>
        <w:rPr>
          <w:rFonts w:ascii="Arial" w:hAnsi="Arial"/>
          <w:sz w:val="16"/>
        </w:rPr>
        <w:t>370.10  برای اطلاعات بیشتر به AFI ۳۶-۲۷۱۰، برنامه فرصت برابر مراجعه کنید.</w:t>
      </w:r>
    </w:p>
    <w:p>
      <w:pPr>
        <w:spacing w:after="28" w:line="216" w:lineRule="auto"/>
        <w:ind w:left="259"/>
        <w:jc w:val="left"/>
      </w:pPr>
      <w:r>
        <w:rPr>
          <w:rFonts w:ascii="Arial" w:hAnsi="Arial"/>
          <w:color w:val="525252"/>
          <w:sz w:val="13"/>
        </w:rPr>
        <w:t>Refer to AFI 36-2710, Equal Opportunity Program, for additional information.</w:t>
      </w:r>
    </w:p>
    <w:p>
      <w:pPr>
        <w:spacing w:after="20" w:line="223" w:lineRule="auto"/>
        <w:jc w:val="right"/>
        <w:bidi/>
      </w:pPr>
      <w:r>
        <w:rPr>
          <w:rFonts w:ascii="Arial" w:hAnsi="Arial"/>
          <w:sz w:val="16"/>
        </w:rPr>
        <w:t>370.11  توجه: آزار و اذیت جنسی/تبعیض غیرقانونی (۲۴ ساعته) نیروی هوایی (۱-۸۸۸-۲۳۱-۴۰۵۸)، ایجاد شده است تا اطمینان حاصل شود که پرسنل USAF می‌توانند به راحتی و آزادانه هرگونه ادعای آزار و اذیت جنسی یا اطلاعات مربوط به تبعیض جنسی را به مقامات مناسب فرصت برابر گزارش دهند.</w:t>
      </w:r>
    </w:p>
    <w:p>
      <w:pPr>
        <w:spacing w:after="28" w:line="216" w:lineRule="auto"/>
        <w:ind w:left="259"/>
        <w:jc w:val="left"/>
      </w:pPr>
      <w:r>
        <w:rPr>
          <w:rFonts w:ascii="Arial" w:hAnsi="Arial"/>
          <w:color w:val="525252"/>
          <w:sz w:val="13"/>
        </w:rPr>
        <w:t>Note: The Air Force Sexual Harassment/Unlawful Discrimination (24- hour) Hotline (1-888-231-4058), is established to ensure USAF personnel can easily and freely report to proper Equal Opportunity authorities any allegations of sexual harassment or discrimination and provide information on sexual harassment and equal opportunity issues.</w:t>
      </w:r>
    </w:p>
    <w:p>
      <w:pPr>
        <w:spacing w:after="20" w:line="223" w:lineRule="auto"/>
        <w:jc w:val="right"/>
        <w:bidi/>
      </w:pPr>
      <w:r>
        <w:rPr>
          <w:rFonts w:ascii="Arial" w:hAnsi="Arial"/>
          <w:sz w:val="16"/>
        </w:rPr>
        <w:t>370.12  اهداف برنامه فرصت برابر.</w:t>
      </w:r>
    </w:p>
    <w:p>
      <w:pPr>
        <w:spacing w:after="28" w:line="216" w:lineRule="auto"/>
        <w:ind w:left="259"/>
        <w:jc w:val="left"/>
      </w:pPr>
      <w:r>
        <w:rPr>
          <w:rFonts w:ascii="Arial" w:hAnsi="Arial"/>
          <w:color w:val="525252"/>
          <w:sz w:val="13"/>
        </w:rPr>
        <w:t>Equal Opportunity Program Objectives.</w:t>
      </w:r>
    </w:p>
    <w:p>
      <w:pPr>
        <w:spacing w:after="20" w:line="223" w:lineRule="auto"/>
        <w:jc w:val="right"/>
        <w:bidi/>
      </w:pPr>
      <w:r>
        <w:rPr>
          <w:rFonts w:ascii="Arial" w:hAnsi="Arial"/>
          <w:sz w:val="16"/>
        </w:rPr>
        <w:t>370.13  هدف اولیه برنامه فرصت برابر، ریشه کن کردن تبعیض غیرقانونی و ایجاد یک محیط مثبت روابط انسانی است.</w:t>
      </w:r>
    </w:p>
    <w:p>
      <w:pPr>
        <w:spacing w:after="28" w:line="216" w:lineRule="auto"/>
        <w:ind w:left="259"/>
        <w:jc w:val="left"/>
      </w:pPr>
      <w:r>
        <w:rPr>
          <w:rFonts w:ascii="Arial" w:hAnsi="Arial"/>
          <w:color w:val="525252"/>
          <w:sz w:val="13"/>
        </w:rPr>
        <w:t>The primary objective of the Equal Opportunity Program is to eradicate unlawful discrimination and foster a positive human relations environment.</w:t>
      </w:r>
    </w:p>
    <w:p>
      <w:pPr>
        <w:spacing w:after="20" w:line="223" w:lineRule="auto"/>
        <w:jc w:val="right"/>
        <w:bidi/>
      </w:pPr>
      <w:r>
        <w:rPr>
          <w:rFonts w:ascii="Arial" w:hAnsi="Arial"/>
          <w:sz w:val="16"/>
        </w:rPr>
        <w:t>370.14  برای این منظور، دفاتر فرصت برابر در هر تاسیساتی آماده کمک به افراد، سرپرستان و فرماندهان برای ریشه کن کردن هر نوع تبعیض و آزار غیرقانونی از محل کار هستند.</w:t>
      </w:r>
    </w:p>
    <w:p>
      <w:pPr>
        <w:spacing w:after="28" w:line="216" w:lineRule="auto"/>
        <w:ind w:left="259"/>
        <w:jc w:val="left"/>
      </w:pPr>
      <w:r>
        <w:rPr>
          <w:rFonts w:ascii="Arial" w:hAnsi="Arial"/>
          <w:color w:val="525252"/>
          <w:sz w:val="13"/>
        </w:rPr>
        <w:t>To this end, Equal Opportunity offices at every installation stand ready to assist individuals, supervisors, and commanders with eradicating every form of unlawful discrimination and harassment from the workplace.</w:t>
      </w:r>
    </w:p>
    <w:p>
      <w:pPr>
        <w:spacing w:after="20" w:line="223" w:lineRule="auto"/>
        <w:jc w:val="right"/>
        <w:bidi/>
      </w:pPr>
      <w:r>
        <w:rPr>
          <w:rFonts w:ascii="Arial" w:hAnsi="Arial"/>
          <w:sz w:val="16"/>
        </w:rPr>
        <w:t>370.15  برای بهبود محیط روابط انسانی USAF، دفاتر فرصت برابر مجموعه‌ای از خدمات مشاوره، میانجیگری، آموزش، ارزیابی، آموزش، کمک عمومی و حل شکایات را ارائه می‌دهند.</w:t>
      </w:r>
    </w:p>
    <w:p>
      <w:pPr>
        <w:spacing w:after="28" w:line="216" w:lineRule="auto"/>
        <w:ind w:left="259"/>
        <w:jc w:val="left"/>
      </w:pPr>
      <w:r>
        <w:rPr>
          <w:rFonts w:ascii="Arial" w:hAnsi="Arial"/>
          <w:color w:val="525252"/>
          <w:sz w:val="13"/>
        </w:rPr>
        <w:t>To improve the USAF human relations environment, Equal Opportunity offices offer an array of counseling, mediation, education, assessment, training, general assistance, and complaint resolution services.</w:t>
      </w:r>
    </w:p>
    <w:p>
      <w:pPr>
        <w:spacing w:after="20" w:line="223" w:lineRule="auto"/>
        <w:jc w:val="right"/>
        <w:bidi/>
      </w:pPr>
      <w:r>
        <w:rPr>
          <w:rFonts w:ascii="Arial" w:hAnsi="Arial"/>
          <w:sz w:val="16"/>
        </w:rPr>
        <w:t>370.16  تبعیض غیرقانونی.</w:t>
      </w:r>
    </w:p>
    <w:p>
      <w:pPr>
        <w:spacing w:after="28" w:line="216" w:lineRule="auto"/>
        <w:ind w:left="259"/>
        <w:jc w:val="left"/>
      </w:pPr>
      <w:r>
        <w:rPr>
          <w:rFonts w:ascii="Arial" w:hAnsi="Arial"/>
          <w:color w:val="525252"/>
          <w:sz w:val="13"/>
        </w:rPr>
        <w:t>Unlawful Discrimination.</w:t>
      </w:r>
    </w:p>
    <w:p>
      <w:pPr>
        <w:spacing w:after="20" w:line="223" w:lineRule="auto"/>
        <w:jc w:val="right"/>
        <w:bidi/>
      </w:pPr>
      <w:r>
        <w:rPr>
          <w:rFonts w:ascii="Arial" w:hAnsi="Arial"/>
          <w:sz w:val="16"/>
        </w:rPr>
        <w:t>370.17  تبعیض غیرقانونی می‌تواند شامل استفاده از اصطلاحات تحقیرآمیز در مورد زادگاه، اصل و نسب، فرهنگ، یا ویژگی‌های زبانی مشترک در یک گروه قومی خاص باشد.</w:t>
      </w:r>
    </w:p>
    <w:p>
      <w:pPr>
        <w:spacing w:after="28" w:line="216" w:lineRule="auto"/>
        <w:ind w:left="259"/>
        <w:jc w:val="left"/>
      </w:pPr>
      <w:r>
        <w:rPr>
          <w:rFonts w:ascii="Arial" w:hAnsi="Arial"/>
          <w:color w:val="525252"/>
          <w:sz w:val="13"/>
        </w:rPr>
        <w:t>Unlawful discrimination can include the use of disparaging terms regarding an individual’s birthplace, ancestry, culture, or the linguistic characteristics common to a specific ethnic group.</w:t>
      </w:r>
    </w:p>
    <w:p>
      <w:pPr>
        <w:spacing w:after="20" w:line="223" w:lineRule="auto"/>
        <w:jc w:val="right"/>
        <w:bidi/>
      </w:pPr>
      <w:r>
        <w:rPr>
          <w:rFonts w:ascii="Arial" w:hAnsi="Arial"/>
          <w:sz w:val="16"/>
        </w:rPr>
        <w:t>370.18  استفاده از عباراتی که گزاره‌های منفی مربوط به نژاد، رنگ، مذهب، منشاء ملی، جنسیت، سن، اطلاعات ژنتیکی، و ناتوانی ذهنی یا جسمی را تحقیر می‌کند یا دلالت می‌کند، می‌تواند تبعیض غیرقانونی باشد.</w:t>
      </w:r>
    </w:p>
    <w:p>
      <w:pPr>
        <w:spacing w:after="28" w:line="216" w:lineRule="auto"/>
        <w:ind w:left="259"/>
        <w:jc w:val="left"/>
      </w:pPr>
      <w:r>
        <w:rPr>
          <w:rFonts w:ascii="Arial" w:hAnsi="Arial"/>
          <w:color w:val="525252"/>
          <w:sz w:val="13"/>
        </w:rPr>
        <w:t>The use of terms that degrade or connote negative statements pertaining to race, color, religion, national origin, sex, age, genetic information, and mental or physical disability, can constitute unlawful discrimination.</w:t>
      </w:r>
    </w:p>
    <w:p>
      <w:pPr>
        <w:spacing w:after="20" w:line="223" w:lineRule="auto"/>
        <w:jc w:val="right"/>
        <w:bidi/>
      </w:pPr>
      <w:r>
        <w:rPr>
          <w:rFonts w:ascii="Arial" w:hAnsi="Arial"/>
          <w:sz w:val="16"/>
        </w:rPr>
        <w:t>370.19  این اصطلاحات شامل توهین، مطالب چاپی، مطالب بصری، علائم، نمادها، پوسترها یا نشان‌ها می‌شود.</w:t>
      </w:r>
    </w:p>
    <w:p>
      <w:pPr>
        <w:spacing w:after="28" w:line="216" w:lineRule="auto"/>
        <w:ind w:left="259"/>
        <w:jc w:val="left"/>
      </w:pPr>
      <w:r>
        <w:rPr>
          <w:rFonts w:ascii="Arial" w:hAnsi="Arial"/>
          <w:color w:val="525252"/>
          <w:sz w:val="13"/>
        </w:rPr>
        <w:t>These terms include insults, printed material, visual material, signs, symbols, posters, or insignia.</w:t>
      </w:r>
    </w:p>
    <w:p>
      <w:pPr>
        <w:spacing w:after="20" w:line="223" w:lineRule="auto"/>
        <w:jc w:val="right"/>
        <w:bidi/>
      </w:pPr>
      <w:r>
        <w:rPr>
          <w:rFonts w:ascii="Arial" w:hAnsi="Arial"/>
          <w:sz w:val="16"/>
        </w:rPr>
        <w:t>370.20  تبعیض غیرقانونی علیه اعضای نظامی.</w:t>
      </w:r>
    </w:p>
    <w:p>
      <w:pPr>
        <w:spacing w:after="28" w:line="216" w:lineRule="auto"/>
        <w:ind w:left="259"/>
        <w:jc w:val="left"/>
      </w:pPr>
      <w:r>
        <w:rPr>
          <w:rFonts w:ascii="Arial" w:hAnsi="Arial"/>
          <w:color w:val="525252"/>
          <w:sz w:val="13"/>
        </w:rPr>
        <w:t>Unlawful Discrimination Against Military Members.</w:t>
      </w:r>
    </w:p>
    <w:p>
      <w:pPr>
        <w:spacing w:after="20" w:line="223" w:lineRule="auto"/>
        <w:jc w:val="right"/>
        <w:bidi/>
      </w:pPr>
      <w:r>
        <w:rPr>
          <w:rFonts w:ascii="Arial" w:hAnsi="Arial"/>
          <w:sz w:val="16"/>
        </w:rPr>
        <w:t>370.21  تبعیض غیرقانونی علیه اعضای ارتش شامل هرگونه اقدام غیرقانونی است که فرصت‌های برابر را از افراد یا گروه‌ها بر اساس نژاد، رنگ، مذهب، منشاء ملی، جنسیت سلب می‌کند.</w:t>
      </w:r>
    </w:p>
    <w:p>
      <w:pPr>
        <w:spacing w:after="28" w:line="216" w:lineRule="auto"/>
        <w:ind w:left="259"/>
        <w:jc w:val="left"/>
      </w:pPr>
      <w:r>
        <w:rPr>
          <w:rFonts w:ascii="Arial" w:hAnsi="Arial"/>
          <w:color w:val="525252"/>
          <w:sz w:val="13"/>
        </w:rPr>
        <w:t>Unlawful discrimination against military members includes any unlawful action that denies equal opportunities to persons or groups based on their race, color, religion, national origin, sex.</w:t>
      </w:r>
    </w:p>
    <w:p>
      <w:pPr>
        <w:spacing w:after="20" w:line="223" w:lineRule="auto"/>
        <w:jc w:val="right"/>
        <w:bidi/>
      </w:pPr>
      <w:r>
        <w:rPr>
          <w:rFonts w:ascii="Arial" w:hAnsi="Arial"/>
          <w:sz w:val="16"/>
        </w:rPr>
        <w:t>370.22  این نوع تبعیض شامل اشکال کلامی، فیزیکی و غیرکلامی و همچنین رسانه‌های اجتماعی است.</w:t>
      </w:r>
    </w:p>
    <w:p>
      <w:pPr>
        <w:spacing w:after="28" w:line="216" w:lineRule="auto"/>
        <w:ind w:left="259"/>
        <w:jc w:val="left"/>
      </w:pPr>
      <w:r>
        <w:rPr>
          <w:rFonts w:ascii="Arial" w:hAnsi="Arial"/>
          <w:color w:val="525252"/>
          <w:sz w:val="13"/>
        </w:rPr>
        <w:t>This type of discrimination includes verbal, physical, and non-verbal forms, as well as social media.</w:t>
      </w:r>
    </w:p>
    <w:p>
      <w:pPr>
        <w:spacing w:after="20" w:line="223" w:lineRule="auto"/>
        <w:jc w:val="right"/>
        <w:bidi/>
      </w:pPr>
      <w:r>
        <w:rPr>
          <w:rFonts w:ascii="Arial" w:hAnsi="Arial"/>
          <w:sz w:val="16"/>
        </w:rPr>
        <w:t>370.23  برای اعضای نظامی، تبعیض غیرقانونی، در پایگاه یا خارج از پایگاه، ۲۴ ساعت شبانه روز قابل قبول نیست.</w:t>
      </w:r>
    </w:p>
    <w:p>
      <w:pPr>
        <w:spacing w:after="28" w:line="216" w:lineRule="auto"/>
        <w:ind w:left="259"/>
        <w:jc w:val="left"/>
      </w:pPr>
      <w:r>
        <w:rPr>
          <w:rFonts w:ascii="Arial" w:hAnsi="Arial"/>
          <w:color w:val="525252"/>
          <w:sz w:val="13"/>
        </w:rPr>
        <w:t>For military members, unlawful discrimination is unacceptable, on- or off-base, 24 hours a day.</w:t>
      </w:r>
    </w:p>
    <w:p>
      <w:pPr>
        <w:spacing w:after="20" w:line="223" w:lineRule="auto"/>
        <w:jc w:val="right"/>
        <w:bidi/>
      </w:pPr>
      <w:r>
        <w:rPr>
          <w:rFonts w:ascii="Arial" w:hAnsi="Arial"/>
          <w:sz w:val="16"/>
        </w:rPr>
        <w:t>370.24  تبعیض غیرقانونی علیه کارمندان ملکی وزارت دفاع.</w:t>
      </w:r>
    </w:p>
    <w:p>
      <w:pPr>
        <w:spacing w:after="28" w:line="216" w:lineRule="auto"/>
        <w:ind w:left="259"/>
        <w:jc w:val="left"/>
      </w:pPr>
      <w:r>
        <w:rPr>
          <w:rFonts w:ascii="Arial" w:hAnsi="Arial"/>
          <w:color w:val="525252"/>
          <w:sz w:val="13"/>
        </w:rPr>
        <w:t>Unlawful Discrimination Against Department of Defense Civilian Employees.</w:t>
      </w:r>
    </w:p>
    <w:p>
      <w:pPr>
        <w:spacing w:after="20" w:line="223" w:lineRule="auto"/>
        <w:jc w:val="right"/>
        <w:bidi/>
      </w:pPr>
      <w:r>
        <w:rPr>
          <w:rFonts w:ascii="Arial" w:hAnsi="Arial"/>
          <w:sz w:val="16"/>
        </w:rPr>
        <w:t>370.25  تبعیض غیرقانونی علیه کارمندان غیرنظامی شامل هر نوع شیوه شغلی غیرقانونی است که زمانی رخ می‌دهد که کارفرما از استخدام یا ارتقاء شغلی خودداری می‌کند. اخراج یا تبعیض علیه هر فردی با توجه به غرامت، شرایط، شرایط، یا امتیازات شغلی؛ کارکنان یا متقاضیان استخدام را محدود، تفکیک یا طبقه‌بندی می‌کند، به گونه‌ای که هر فردی را از فرصت‌های شغلی محروم می‌کند یا تمایل به سلب آن دارد یا به‌دلیل نژاد بر وضعیت وی به‌عنوان کارمند تأثیر منفی می‌گذارد.</w:t>
      </w:r>
    </w:p>
    <w:p>
      <w:pPr>
        <w:spacing w:after="28" w:line="216" w:lineRule="auto"/>
        <w:ind w:left="259"/>
        <w:jc w:val="left"/>
      </w:pPr>
      <w:r>
        <w:rPr>
          <w:rFonts w:ascii="Arial" w:hAnsi="Arial"/>
          <w:color w:val="525252"/>
          <w:sz w:val="13"/>
        </w:rPr>
        <w:t>Unlawful discrimination against civilian employees includes any unlawful employment practice that occurs when an employer fails or refuses to hire or promote; discharges or otherwise discriminates against any individual with respect to compensation, terms, conditions, or privileges of employment; limits, segregates, or classifies employees or applicants for employment in a way that deprives or tends to deprive any individual of employment opportunities or otherwise adversely affects his/her status as an employee because of race,</w:t>
      </w:r>
    </w:p>
    <w:p>
      <w:r>
        <w:br w:type="page"/>
      </w:r>
    </w:p>
    <w:p>
      <w:pPr>
        <w:spacing w:after="60"/>
        <w:jc w:val="right"/>
        <w:bidi/>
      </w:pPr>
      <w:r>
        <w:rPr>
          <w:rFonts w:ascii="Arial" w:hAnsi="Arial"/>
          <w:b/>
          <w:color w:val="1F4D78"/>
          <w:sz w:val="19"/>
        </w:rPr>
        <w:t>هفتهٔ 371  |  صفحهٔ منبع: 387</w:t>
      </w:r>
    </w:p>
    <w:p>
      <w:pPr>
        <w:spacing w:after="20" w:line="223" w:lineRule="auto"/>
        <w:jc w:val="right"/>
        <w:bidi/>
      </w:pPr>
      <w:r>
        <w:rPr>
          <w:rFonts w:ascii="Arial" w:hAnsi="Arial"/>
          <w:sz w:val="16"/>
        </w:rPr>
        <w:t>371.01  رنگ، مذهب، منشاء ملی، جنس، سن (۴۰ یا بیشتر)، اطلاعات ژنتیکی، ناتوانی جسمی یا ذهنی، یا تلافی جویانه).</w:t>
      </w:r>
    </w:p>
    <w:p>
      <w:pPr>
        <w:spacing w:after="28" w:line="216" w:lineRule="auto"/>
        <w:ind w:left="259"/>
        <w:jc w:val="left"/>
      </w:pPr>
      <w:r>
        <w:rPr>
          <w:rFonts w:ascii="Arial" w:hAnsi="Arial"/>
          <w:color w:val="525252"/>
          <w:sz w:val="13"/>
        </w:rPr>
        <w:t>color, religion, national origin, sex, age (40 or older), genetic information, physical or mental disability, or reprisal).</w:t>
      </w:r>
    </w:p>
    <w:p>
      <w:pPr>
        <w:spacing w:before="60" w:after="28"/>
        <w:jc w:val="right"/>
        <w:bidi/>
      </w:pPr>
      <w:r>
        <w:rPr>
          <w:b/>
          <w:color w:val="1F4D78"/>
          <w:sz w:val="18"/>
        </w:rPr>
        <w:t>20.19. آزار و اذیت</w:t>
      </w:r>
    </w:p>
    <w:p>
      <w:pPr>
        <w:spacing w:after="20"/>
        <w:ind w:left="259"/>
        <w:jc w:val="left"/>
      </w:pPr>
      <w:r>
        <w:rPr>
          <w:color w:val="555555"/>
          <w:sz w:val="12"/>
        </w:rPr>
        <w:t>20.19. Harassment</w:t>
      </w:r>
    </w:p>
    <w:p>
      <w:pPr>
        <w:spacing w:after="20" w:line="223" w:lineRule="auto"/>
        <w:jc w:val="right"/>
        <w:bidi/>
      </w:pPr>
      <w:r>
        <w:rPr>
          <w:rFonts w:ascii="Arial" w:hAnsi="Arial"/>
          <w:sz w:val="16"/>
        </w:rPr>
        <w:t>371.03  آزار و اذیت علیه اعضای نظامی یا کارمندان غیرنظامی شامل هر رفتاری است که برای یک فرد منطقی ناخوشایند یا توهین‌آمیز باشد، خواه شفاهی، کتبی یا فیزیکی، که محیطی ترسناک، خصمانه یا توهین‌آمیز ایجاد می‌کند.</w:t>
      </w:r>
    </w:p>
    <w:p>
      <w:pPr>
        <w:spacing w:after="28" w:line="216" w:lineRule="auto"/>
        <w:ind w:left="259"/>
        <w:jc w:val="left"/>
      </w:pPr>
      <w:r>
        <w:rPr>
          <w:rFonts w:ascii="Arial" w:hAnsi="Arial"/>
          <w:color w:val="525252"/>
          <w:sz w:val="13"/>
        </w:rPr>
        <w:t>Harassment against military members or civilian employees includes any behavior that is unwelcome or offensive to a reasonable person, whether oral, written, or physical, that creates an intimidating, hostile, or offensive environment.</w:t>
      </w:r>
    </w:p>
    <w:p>
      <w:pPr>
        <w:spacing w:after="20" w:line="223" w:lineRule="auto"/>
        <w:jc w:val="right"/>
        <w:bidi/>
      </w:pPr>
      <w:r>
        <w:rPr>
          <w:rFonts w:ascii="Arial" w:hAnsi="Arial"/>
          <w:sz w:val="16"/>
        </w:rPr>
        <w:t>371.04  آزار و اذیت شامل استفاده از ارتباطات الکترونیکی، رسانه‌های اجتماعی، سایر اشکال ارتباطی و حضوری است.</w:t>
      </w:r>
    </w:p>
    <w:p>
      <w:pPr>
        <w:spacing w:after="28" w:line="216" w:lineRule="auto"/>
        <w:ind w:left="259"/>
        <w:jc w:val="left"/>
      </w:pPr>
      <w:r>
        <w:rPr>
          <w:rFonts w:ascii="Arial" w:hAnsi="Arial"/>
          <w:color w:val="525252"/>
          <w:sz w:val="13"/>
        </w:rPr>
        <w:t>Harassment includes use of electronic communications, social media, other forms of communication, and in person.</w:t>
      </w:r>
    </w:p>
    <w:p>
      <w:pPr>
        <w:spacing w:after="20" w:line="223" w:lineRule="auto"/>
        <w:jc w:val="right"/>
        <w:bidi/>
      </w:pPr>
      <w:r>
        <w:rPr>
          <w:rFonts w:ascii="Arial" w:hAnsi="Arial"/>
          <w:sz w:val="16"/>
        </w:rPr>
        <w:t>371.05  آزار و اذیت ممکن است شامل جوک‌های توهین‌آمیز، القاب، تمسخر یا تمسخر، توهین، یا تحقیر، نمایش اشیاء یا تصاویر توهین‌آمیز، کلیشه‌سازی، اعمال ارعاب‌کننده، تهدید پنهان به خشونت، اظهارات تهدیدآمیز یا تحریک‌آمیز، اظهارات نژادپرستانه یا دیگر رفتارهای توهین‌آمیز باشد. نمادهای توهین آمیز نژادی</w:t>
      </w:r>
    </w:p>
    <w:p>
      <w:pPr>
        <w:spacing w:after="28" w:line="216" w:lineRule="auto"/>
        <w:ind w:left="259"/>
        <w:jc w:val="left"/>
      </w:pPr>
      <w:r>
        <w:rPr>
          <w:rFonts w:ascii="Arial" w:hAnsi="Arial"/>
          <w:color w:val="525252"/>
          <w:sz w:val="13"/>
        </w:rPr>
        <w:t>Harassment may include offensive jokes, epithets, ridicule or mockery, insults, or put-downs, displays of offensive objects or imagery, stereotyping, intimidating acts, veiled threats of violence, threatening or provoking remarks, racial or other slurs, derogatory remarks about a person’s accent, or displays of racially offensive symbols.</w:t>
      </w:r>
    </w:p>
    <w:p>
      <w:pPr>
        <w:spacing w:after="20" w:line="223" w:lineRule="auto"/>
        <w:jc w:val="right"/>
        <w:bidi/>
      </w:pPr>
      <w:r>
        <w:rPr>
          <w:rFonts w:ascii="Arial" w:hAnsi="Arial"/>
          <w:sz w:val="16"/>
        </w:rPr>
        <w:t>371.06  فعالیت‌ها یا اقداماتی که برای اهداف نظامی یا دولتی مناسب انجام می‌شوند، مانند آموزش بقای رزمی، آزار و اذیت محسوب نمی‌شوند.</w:t>
      </w:r>
    </w:p>
    <w:p>
      <w:pPr>
        <w:spacing w:after="28" w:line="216" w:lineRule="auto"/>
        <w:ind w:left="259"/>
        <w:jc w:val="left"/>
      </w:pPr>
      <w:r>
        <w:rPr>
          <w:rFonts w:ascii="Arial" w:hAnsi="Arial"/>
          <w:color w:val="525252"/>
          <w:sz w:val="13"/>
        </w:rPr>
        <w:t>Activities or actions undertaken for a proper military or governmental purpose, such as combat survival training, are not considered harassment.</w:t>
      </w:r>
    </w:p>
    <w:p>
      <w:pPr>
        <w:spacing w:after="20" w:line="223" w:lineRule="auto"/>
        <w:jc w:val="right"/>
        <w:bidi/>
      </w:pPr>
      <w:r>
        <w:rPr>
          <w:rFonts w:ascii="Arial" w:hAnsi="Arial"/>
          <w:sz w:val="16"/>
        </w:rPr>
        <w:t>371.07  شش شکل متمایز آزار و اذیت.</w:t>
      </w:r>
    </w:p>
    <w:p>
      <w:pPr>
        <w:spacing w:after="28" w:line="216" w:lineRule="auto"/>
        <w:ind w:left="259"/>
        <w:jc w:val="left"/>
      </w:pPr>
      <w:r>
        <w:rPr>
          <w:rFonts w:ascii="Arial" w:hAnsi="Arial"/>
          <w:color w:val="525252"/>
          <w:sz w:val="13"/>
        </w:rPr>
        <w:t>Six Distinct Forms of Harassment.</w:t>
      </w:r>
    </w:p>
    <w:p>
      <w:pPr>
        <w:spacing w:after="20" w:line="223" w:lineRule="auto"/>
        <w:jc w:val="right"/>
        <w:bidi/>
      </w:pPr>
      <w:r>
        <w:rPr>
          <w:rFonts w:ascii="Arial" w:hAnsi="Arial"/>
          <w:sz w:val="16"/>
        </w:rPr>
        <w:t>371.08  برنامه فرصت‌های برابر نیروی هوایی شش شکل متمایز آزار و اذیت را پوشش می‌دهد: تبعیض‌آمیز، جنسی، قلدری، توهین، تلافی و تلافی.</w:t>
      </w:r>
    </w:p>
    <w:p>
      <w:pPr>
        <w:spacing w:after="28" w:line="216" w:lineRule="auto"/>
        <w:ind w:left="259"/>
        <w:jc w:val="left"/>
      </w:pPr>
      <w:r>
        <w:rPr>
          <w:rFonts w:ascii="Arial" w:hAnsi="Arial"/>
          <w:color w:val="525252"/>
          <w:sz w:val="13"/>
        </w:rPr>
        <w:t>The Air Force Equal Opportunity Program covers six distinct forms of harassment: discriminatory, sexual, bullying, hazing, retaliation, and reprisal.</w:t>
      </w:r>
    </w:p>
    <w:p>
      <w:pPr>
        <w:spacing w:after="20" w:line="223" w:lineRule="auto"/>
        <w:jc w:val="right"/>
        <w:bidi/>
      </w:pPr>
      <w:r>
        <w:rPr>
          <w:rFonts w:ascii="Arial" w:hAnsi="Arial"/>
          <w:sz w:val="16"/>
        </w:rPr>
        <w:t>371.09  در اینجا به اختصار توضیح داده شده است.</w:t>
      </w:r>
    </w:p>
    <w:p>
      <w:pPr>
        <w:spacing w:after="28" w:line="216" w:lineRule="auto"/>
        <w:ind w:left="259"/>
        <w:jc w:val="left"/>
      </w:pPr>
      <w:r>
        <w:rPr>
          <w:rFonts w:ascii="Arial" w:hAnsi="Arial"/>
          <w:color w:val="525252"/>
          <w:sz w:val="13"/>
        </w:rPr>
        <w:t>They are briefly described here.</w:t>
      </w:r>
    </w:p>
    <w:p>
      <w:pPr>
        <w:spacing w:after="20" w:line="223" w:lineRule="auto"/>
        <w:jc w:val="right"/>
        <w:bidi/>
      </w:pPr>
      <w:r>
        <w:rPr>
          <w:rFonts w:ascii="Arial" w:hAnsi="Arial"/>
          <w:sz w:val="16"/>
        </w:rPr>
        <w:t>371.10  آزار و اذیت تبعیض آمیز.</w:t>
      </w:r>
    </w:p>
    <w:p>
      <w:pPr>
        <w:spacing w:after="28" w:line="216" w:lineRule="auto"/>
        <w:ind w:left="259"/>
        <w:jc w:val="left"/>
      </w:pPr>
      <w:r>
        <w:rPr>
          <w:rFonts w:ascii="Arial" w:hAnsi="Arial"/>
          <w:color w:val="525252"/>
          <w:sz w:val="13"/>
        </w:rPr>
        <w:t>Discriminatory Harassment.</w:t>
      </w:r>
    </w:p>
    <w:p>
      <w:pPr>
        <w:spacing w:after="20" w:line="223" w:lineRule="auto"/>
        <w:jc w:val="right"/>
        <w:bidi/>
      </w:pPr>
      <w:r>
        <w:rPr>
          <w:rFonts w:ascii="Arial" w:hAnsi="Arial"/>
          <w:sz w:val="16"/>
        </w:rPr>
        <w:t>371.11  آزار و اذیت تبعیض آمیز رفتاری است که بر اساس نژاد، رنگ، مذهب، جنسیت و منشاء ملی ناخواسته است.</w:t>
      </w:r>
    </w:p>
    <w:p>
      <w:pPr>
        <w:spacing w:after="28" w:line="216" w:lineRule="auto"/>
        <w:ind w:left="259"/>
        <w:jc w:val="left"/>
      </w:pPr>
      <w:r>
        <w:rPr>
          <w:rFonts w:ascii="Arial" w:hAnsi="Arial"/>
          <w:color w:val="525252"/>
          <w:sz w:val="13"/>
        </w:rPr>
        <w:t>Discriminatory harassment is conduct that is unwelcome based on race, color, religion, sex, and national origin.</w:t>
      </w:r>
    </w:p>
    <w:p>
      <w:pPr>
        <w:spacing w:after="20" w:line="223" w:lineRule="auto"/>
        <w:jc w:val="right"/>
        <w:bidi/>
      </w:pPr>
      <w:r>
        <w:rPr>
          <w:rFonts w:ascii="Arial" w:hAnsi="Arial"/>
          <w:sz w:val="16"/>
        </w:rPr>
        <w:t>371.12  آزار و اذیت جنسی.</w:t>
      </w:r>
    </w:p>
    <w:p>
      <w:pPr>
        <w:spacing w:after="28" w:line="216" w:lineRule="auto"/>
        <w:ind w:left="259"/>
        <w:jc w:val="left"/>
      </w:pPr>
      <w:r>
        <w:rPr>
          <w:rFonts w:ascii="Arial" w:hAnsi="Arial"/>
          <w:color w:val="525252"/>
          <w:sz w:val="13"/>
        </w:rPr>
        <w:t>Sexual Harassment.</w:t>
      </w:r>
    </w:p>
    <w:p>
      <w:pPr>
        <w:spacing w:after="20" w:line="223" w:lineRule="auto"/>
        <w:jc w:val="right"/>
        <w:bidi/>
      </w:pPr>
      <w:r>
        <w:rPr>
          <w:rFonts w:ascii="Arial" w:hAnsi="Arial"/>
          <w:sz w:val="16"/>
        </w:rPr>
        <w:t>371.13  آزار جنسی رفتاری است که شامل پیشرفت‌های جنسی ناخواسته، درخواست‌های محبت‌های جنسی، و نظرات یا حرکات توهین‌آمیز عمدی یا مکرر یا حرکات جنسی با ماهیت جنسی است، زمانی که (۱) تسلیم چنین رفتاری، صراحتا یا ضمنی، شرط یا شرط شغلی، پرداختی یا اعاده شغلی یک فرد است (۲) از شغل، پرداخت یا اعاده‌کردن یک شخص برای شغل، پرداخت یا اعاده کردن رفتار، استفاده می‌شود. مبنایی برای تصمیمات شغلی یا شغلی که بر آن شخص تأثیر می‌گذارد. یا (۳) چنین رفتاری هدف یا اثر آن مداخله غیرمنطقی در عملکرد کاری فرد یا ایجاد یک محیط کاری ترسناک، خصمانه یا توهین آمیز است و آنقدر شدید یا فراگیر است که یک فرد منطقی محیط را خصمانه یا توهین آمیز درک می‌کند.</w:t>
      </w:r>
    </w:p>
    <w:p>
      <w:pPr>
        <w:spacing w:after="28" w:line="216" w:lineRule="auto"/>
        <w:ind w:left="259"/>
        <w:jc w:val="left"/>
      </w:pPr>
      <w:r>
        <w:rPr>
          <w:rFonts w:ascii="Arial" w:hAnsi="Arial"/>
          <w:color w:val="525252"/>
          <w:sz w:val="13"/>
        </w:rPr>
        <w:t>Sexual harassment is conduct that involves unwelcome sexual advances, requests for sexual favors, and deliberate or repeated offensive comments or gestures of a sexual nature when (1) submission to such conduct is, either explicitly or implicitly, made a term or condition of a person’s job, pay, or career, (2) submission to or rejection of such conduct by a person is used as a basis for career or employment decisions affecting that person; or (3) such conduct has the purpose or effect of unreasonably interfering with an individual’s work performance or creates an intimidating, hostile, or offensive working environment and is so severe or pervasive that a reasonable person would perceive the environment as hostile or offensive.</w:t>
      </w:r>
    </w:p>
    <w:p>
      <w:pPr>
        <w:spacing w:after="20" w:line="223" w:lineRule="auto"/>
        <w:jc w:val="right"/>
        <w:bidi/>
      </w:pPr>
      <w:r>
        <w:rPr>
          <w:rFonts w:ascii="Arial" w:hAnsi="Arial"/>
          <w:sz w:val="16"/>
        </w:rPr>
        <w:t>371.14  هر گونه استفاده یا اغماض، توسط هر فردی که در سمت نظارت یا فرماندهی قرار دارد، از هر شکلی از رفتار جنسی برای کنترل، تأثیرگذاری یا تأثیرگذاری بر شغل، دستمزد، یا شغل یکی از اعضای نیروهای مسلح یا یک کارمند غیرنظامی وزارت دفاع.</w:t>
      </w:r>
    </w:p>
    <w:p>
      <w:pPr>
        <w:spacing w:after="28" w:line="216" w:lineRule="auto"/>
        <w:ind w:left="259"/>
        <w:jc w:val="left"/>
      </w:pPr>
      <w:r>
        <w:rPr>
          <w:rFonts w:ascii="Arial" w:hAnsi="Arial"/>
          <w:color w:val="525252"/>
          <w:sz w:val="13"/>
        </w:rPr>
        <w:t>Any use or condonation, by any person in a supervisory or command position, of any form of sexual behavior to control, influence, or affect the career, pay, or job of a member of the Armed Forces or a DoD civilian employee.</w:t>
      </w:r>
    </w:p>
    <w:p>
      <w:pPr>
        <w:spacing w:after="20" w:line="223" w:lineRule="auto"/>
        <w:jc w:val="right"/>
        <w:bidi/>
      </w:pPr>
      <w:r>
        <w:rPr>
          <w:rFonts w:ascii="Arial" w:hAnsi="Arial"/>
          <w:sz w:val="16"/>
        </w:rPr>
        <w:t>371.15  هر گونه اظهار نظر شفاهی عمدی یا مکرر ناخواسته یا حرکات جنسی با ماهیت جنسی توسط یکی از اعضای نیروهای مسلح یا یک کارمند غیرنظامی وزارت دفاع.</w:t>
      </w:r>
    </w:p>
    <w:p>
      <w:pPr>
        <w:spacing w:after="28" w:line="216" w:lineRule="auto"/>
        <w:ind w:left="259"/>
        <w:jc w:val="left"/>
      </w:pPr>
      <w:r>
        <w:rPr>
          <w:rFonts w:ascii="Arial" w:hAnsi="Arial"/>
          <w:color w:val="525252"/>
          <w:sz w:val="13"/>
        </w:rPr>
        <w:t>Any deliberate or repeated unwelcome verbal comments or gestures of a sexual nature by any member of the Armed Forces or a DoD civilian employee.</w:t>
      </w:r>
    </w:p>
    <w:p>
      <w:pPr>
        <w:spacing w:after="20" w:line="223" w:lineRule="auto"/>
        <w:jc w:val="right"/>
        <w:bidi/>
      </w:pPr>
      <w:r>
        <w:rPr>
          <w:rFonts w:ascii="Arial" w:hAnsi="Arial"/>
          <w:sz w:val="16"/>
        </w:rPr>
        <w:t>371.16  هیچ الزامی برای آسیب روانی مشخص به شاکی وجود ندارد زیرا رفتاری که باعث آزار جنسی شود.</w:t>
      </w:r>
    </w:p>
    <w:p>
      <w:pPr>
        <w:spacing w:after="28" w:line="216" w:lineRule="auto"/>
        <w:ind w:left="259"/>
        <w:jc w:val="left"/>
      </w:pPr>
      <w:r>
        <w:rPr>
          <w:rFonts w:ascii="Arial" w:hAnsi="Arial"/>
          <w:color w:val="525252"/>
          <w:sz w:val="13"/>
        </w:rPr>
        <w:t>There is no requirement for concrete psychological harm to the complainant for behavior to constitute sexual harassment.</w:t>
      </w:r>
    </w:p>
    <w:p>
      <w:pPr>
        <w:spacing w:after="20" w:line="223" w:lineRule="auto"/>
        <w:jc w:val="right"/>
        <w:bidi/>
      </w:pPr>
      <w:r>
        <w:rPr>
          <w:rFonts w:ascii="Arial" w:hAnsi="Arial"/>
          <w:sz w:val="16"/>
        </w:rPr>
        <w:t>371.17  اگر به قدری شدید یا فراگیر باشد که یک فرد معقول درک کند و شاکی محیط را خصمانه یا توهین آمیز بداند، برای ایجاد آزار جنسی کافی است.</w:t>
      </w:r>
    </w:p>
    <w:p>
      <w:pPr>
        <w:spacing w:after="28" w:line="216" w:lineRule="auto"/>
        <w:ind w:left="259"/>
        <w:jc w:val="left"/>
      </w:pPr>
      <w:r>
        <w:rPr>
          <w:rFonts w:ascii="Arial" w:hAnsi="Arial"/>
          <w:color w:val="525252"/>
          <w:sz w:val="13"/>
        </w:rPr>
        <w:t>Behavior is sufficient to constitute sexual harassment if it is so severe or pervasive that a reasonable person would perceive, and the complainant does perceive, the environment as hostile or offensive.</w:t>
      </w:r>
    </w:p>
    <w:p>
      <w:pPr>
        <w:spacing w:after="20" w:line="223" w:lineRule="auto"/>
        <w:jc w:val="right"/>
        <w:bidi/>
      </w:pPr>
      <w:r>
        <w:rPr>
          <w:rFonts w:ascii="Arial" w:hAnsi="Arial"/>
          <w:sz w:val="16"/>
        </w:rPr>
        <w:t>371.18  آزار و اذیت جنسی می‌تواند از طریق ارتباطات الکترونیکی، از جمله رسانه‌های اجتماعی، سایر اشکال ارتباطی و حضوری رخ دهد.</w:t>
      </w:r>
    </w:p>
    <w:p>
      <w:pPr>
        <w:spacing w:after="28" w:line="216" w:lineRule="auto"/>
        <w:ind w:left="259"/>
        <w:jc w:val="left"/>
      </w:pPr>
      <w:r>
        <w:rPr>
          <w:rFonts w:ascii="Arial" w:hAnsi="Arial"/>
          <w:color w:val="525252"/>
          <w:sz w:val="13"/>
        </w:rPr>
        <w:t>Sexual harassment can occur through electronic communications, including social media, other forms of communication, and in person.</w:t>
      </w:r>
    </w:p>
    <w:p>
      <w:pPr>
        <w:spacing w:after="20" w:line="223" w:lineRule="auto"/>
        <w:jc w:val="right"/>
        <w:bidi/>
      </w:pPr>
      <w:r>
        <w:rPr>
          <w:rFonts w:ascii="Arial" w:hAnsi="Arial"/>
          <w:sz w:val="16"/>
        </w:rPr>
        <w:t>371.19  برای نشان دادن شدت نقض آزار جنسی در ارتش، در ژانویه ۲۰۲۲، رئیس جمهور جوزف بایدن فرمان اجرایی را امضا کرد که آزار و اذیت جنسی را به‌عنوان یک جرم خاص تحت قانون یکسان عدالت نظامی معرفی می‌کند.</w:t>
      </w:r>
    </w:p>
    <w:p>
      <w:pPr>
        <w:spacing w:after="28" w:line="216" w:lineRule="auto"/>
        <w:ind w:left="259"/>
        <w:jc w:val="left"/>
      </w:pPr>
      <w:r>
        <w:rPr>
          <w:rFonts w:ascii="Arial" w:hAnsi="Arial"/>
          <w:color w:val="525252"/>
          <w:sz w:val="13"/>
        </w:rPr>
        <w:t>To demonstrate the severity of sexual harassment violations in the military, in January 2022, President Joseph Biden signed an executive order that establishes sexual harassment as a specific crime under the Uniform Code of Military Justice.</w:t>
      </w:r>
    </w:p>
    <w:p>
      <w:pPr>
        <w:spacing w:after="20" w:line="223" w:lineRule="auto"/>
        <w:jc w:val="right"/>
        <w:bidi/>
      </w:pPr>
      <w:r>
        <w:rPr>
          <w:rFonts w:ascii="Arial" w:hAnsi="Arial"/>
          <w:sz w:val="16"/>
        </w:rPr>
        <w:t>371.20  برای انجام تحقیقات جنایی در مورد شکایات رسمی آزار جنسی طبق رویه‌های ۱۰ USC § ۱۵۶۱، آزار جنسی به‌عنوان رفتاری تعریف می‌شود که جرم آزار و اذیت جنسی را طبق ماده ۱۳۴، UCMJ مجازات می‌کند.</w:t>
      </w:r>
    </w:p>
    <w:p>
      <w:pPr>
        <w:spacing w:after="28" w:line="216" w:lineRule="auto"/>
        <w:ind w:left="259"/>
        <w:jc w:val="left"/>
      </w:pPr>
      <w:r>
        <w:rPr>
          <w:rFonts w:ascii="Arial" w:hAnsi="Arial"/>
          <w:color w:val="525252"/>
          <w:sz w:val="13"/>
        </w:rPr>
        <w:t>For purposes of conducting criminal investigations of formal complaints of sexual harassment pursuant to the procedures in 10 USC § 1561, sexual harassment is defined as conduct that constitutes the offense of sexual harassment as punishable under Article 134, UCMJ.</w:t>
      </w:r>
    </w:p>
    <w:p>
      <w:pPr>
        <w:spacing w:after="20" w:line="223" w:lineRule="auto"/>
        <w:jc w:val="right"/>
        <w:bidi/>
      </w:pPr>
      <w:r>
        <w:rPr>
          <w:rFonts w:ascii="Arial" w:hAnsi="Arial"/>
          <w:sz w:val="16"/>
        </w:rPr>
        <w:t>371.21  قلدری.</w:t>
      </w:r>
    </w:p>
    <w:p>
      <w:pPr>
        <w:spacing w:after="28" w:line="216" w:lineRule="auto"/>
        <w:ind w:left="259"/>
        <w:jc w:val="left"/>
      </w:pPr>
      <w:r>
        <w:rPr>
          <w:rFonts w:ascii="Arial" w:hAnsi="Arial"/>
          <w:color w:val="525252"/>
          <w:sz w:val="13"/>
        </w:rPr>
        <w:t>Bullying.</w:t>
      </w:r>
    </w:p>
    <w:p>
      <w:pPr>
        <w:spacing w:after="20" w:line="223" w:lineRule="auto"/>
        <w:jc w:val="right"/>
        <w:bidi/>
      </w:pPr>
      <w:r>
        <w:rPr>
          <w:rFonts w:ascii="Arial" w:hAnsi="Arial"/>
          <w:sz w:val="16"/>
        </w:rPr>
        <w:t>371.22  نوعی آزار و اذیت که شامل اعمال تجاوزکارانه توسط یک عضو نظامی یا غیرنظامی است.</w:t>
      </w:r>
    </w:p>
    <w:p>
      <w:pPr>
        <w:spacing w:after="28" w:line="216" w:lineRule="auto"/>
        <w:ind w:left="259"/>
        <w:jc w:val="left"/>
      </w:pPr>
      <w:r>
        <w:rPr>
          <w:rFonts w:ascii="Arial" w:hAnsi="Arial"/>
          <w:color w:val="525252"/>
          <w:sz w:val="13"/>
        </w:rPr>
        <w:t>A form of harassment that includes acts of aggression by a military member or civilian</w:t>
      </w:r>
    </w:p>
    <w:p>
      <w:r>
        <w:br w:type="page"/>
      </w:r>
    </w:p>
    <w:p>
      <w:pPr>
        <w:spacing w:after="60"/>
        <w:jc w:val="right"/>
        <w:bidi/>
      </w:pPr>
      <w:r>
        <w:rPr>
          <w:rFonts w:ascii="Arial" w:hAnsi="Arial"/>
          <w:b/>
          <w:color w:val="1F4D78"/>
          <w:sz w:val="19"/>
        </w:rPr>
        <w:t>هفتهٔ 372  |  صفحهٔ منبع: 388</w:t>
      </w:r>
    </w:p>
    <w:p>
      <w:pPr>
        <w:spacing w:after="20" w:line="223" w:lineRule="auto"/>
        <w:jc w:val="right"/>
        <w:bidi/>
      </w:pPr>
      <w:r>
        <w:rPr>
          <w:rFonts w:ascii="Arial" w:hAnsi="Arial"/>
          <w:sz w:val="16"/>
        </w:rPr>
        <w:t>372.01  کارمندی که با خدمت سربازی مرتبط است، به قصد آسیب رساندن به یک سرباز، اعم از جسمی یا روانی، بدون هدف نظامی مناسب یا سایر اهداف دولتی.</w:t>
      </w:r>
    </w:p>
    <w:p>
      <w:pPr>
        <w:spacing w:after="28" w:line="216" w:lineRule="auto"/>
        <w:ind w:left="259"/>
        <w:jc w:val="left"/>
      </w:pPr>
      <w:r>
        <w:rPr>
          <w:rFonts w:ascii="Arial" w:hAnsi="Arial"/>
          <w:color w:val="525252"/>
          <w:sz w:val="13"/>
        </w:rPr>
        <w:t>employee with a nexus to military service, with the intent of harming a service member either physically or psychologically, without a proper military or other governmental purpose.</w:t>
      </w:r>
    </w:p>
    <w:p>
      <w:pPr>
        <w:spacing w:after="20" w:line="223" w:lineRule="auto"/>
        <w:jc w:val="right"/>
        <w:bidi/>
      </w:pPr>
      <w:r>
        <w:rPr>
          <w:rFonts w:ascii="Arial" w:hAnsi="Arial"/>
          <w:sz w:val="16"/>
        </w:rPr>
        <w:t>372.02  قلدری ممکن است شامل جداکردن یک فرد از همکاران یا واحدش برای تمسخر باشد زیرا او را متفاوت یا ضعیف می‌دانند.</w:t>
      </w:r>
    </w:p>
    <w:p>
      <w:pPr>
        <w:spacing w:after="28" w:line="216" w:lineRule="auto"/>
        <w:ind w:left="259"/>
        <w:jc w:val="left"/>
      </w:pPr>
      <w:r>
        <w:rPr>
          <w:rFonts w:ascii="Arial" w:hAnsi="Arial"/>
          <w:color w:val="525252"/>
          <w:sz w:val="13"/>
        </w:rPr>
        <w:t>Bullying may involve the singling out of an individual from his or her coworkers, or unit, for ridicule because he or she is considered different or weak.</w:t>
      </w:r>
    </w:p>
    <w:p>
      <w:pPr>
        <w:spacing w:after="20" w:line="223" w:lineRule="auto"/>
        <w:jc w:val="right"/>
        <w:bidi/>
      </w:pPr>
      <w:r>
        <w:rPr>
          <w:rFonts w:ascii="Arial" w:hAnsi="Arial"/>
          <w:sz w:val="16"/>
        </w:rPr>
        <w:t>372.03  اغلب شامل عدم تعادل قدرت بین متجاوز و قربانی است.</w:t>
      </w:r>
    </w:p>
    <w:p>
      <w:pPr>
        <w:spacing w:after="28" w:line="216" w:lineRule="auto"/>
        <w:ind w:left="259"/>
        <w:jc w:val="left"/>
      </w:pPr>
      <w:r>
        <w:rPr>
          <w:rFonts w:ascii="Arial" w:hAnsi="Arial"/>
          <w:color w:val="525252"/>
          <w:sz w:val="13"/>
        </w:rPr>
        <w:t>It often involves an imbalance of power between the aggressor and the victim.</w:t>
      </w:r>
    </w:p>
    <w:p>
      <w:pPr>
        <w:spacing w:after="20" w:line="223" w:lineRule="auto"/>
        <w:jc w:val="right"/>
        <w:bidi/>
      </w:pPr>
      <w:r>
        <w:rPr>
          <w:rFonts w:ascii="Arial" w:hAnsi="Arial"/>
          <w:sz w:val="16"/>
        </w:rPr>
        <w:t>372.04  قلدری می‌تواند از طریق وسایل الکترونیکی یا ارتباطات، و با ابزارهای دیگر از جمله رسانه‌های اجتماعی و همچنین شخصا انجام شود.</w:t>
      </w:r>
    </w:p>
    <w:p>
      <w:pPr>
        <w:spacing w:after="28" w:line="216" w:lineRule="auto"/>
        <w:ind w:left="259"/>
        <w:jc w:val="left"/>
      </w:pPr>
      <w:r>
        <w:rPr>
          <w:rFonts w:ascii="Arial" w:hAnsi="Arial"/>
          <w:color w:val="525252"/>
          <w:sz w:val="13"/>
        </w:rPr>
        <w:t>Bullying can be conducted through electronic devices or communications, and by other means including social media, as well as in person.</w:t>
      </w:r>
    </w:p>
    <w:p>
      <w:pPr>
        <w:spacing w:after="20" w:line="223" w:lineRule="auto"/>
        <w:jc w:val="right"/>
        <w:bidi/>
      </w:pPr>
      <w:r>
        <w:rPr>
          <w:rFonts w:ascii="Arial" w:hAnsi="Arial"/>
          <w:sz w:val="16"/>
        </w:rPr>
        <w:t>372.05  اعضای سرویس ممکن است مسئول عمل قلدری باشند حتی اگر رضایت واقعی یا ضمنی قربانی وجود داشته باشد و فارغ از درجه یا رتبه، وضعیت یا خدمات قربانی.</w:t>
      </w:r>
    </w:p>
    <w:p>
      <w:pPr>
        <w:spacing w:after="28" w:line="216" w:lineRule="auto"/>
        <w:ind w:left="259"/>
        <w:jc w:val="left"/>
      </w:pPr>
      <w:r>
        <w:rPr>
          <w:rFonts w:ascii="Arial" w:hAnsi="Arial"/>
          <w:color w:val="525252"/>
          <w:sz w:val="13"/>
        </w:rPr>
        <w:t>Service members may be responsible for an act of bullying even if there was actual or implied consent from the victim and regardless of the grade or rank, status, or service of the victim.</w:t>
      </w:r>
    </w:p>
    <w:p>
      <w:pPr>
        <w:spacing w:after="20" w:line="223" w:lineRule="auto"/>
        <w:jc w:val="right"/>
        <w:bidi/>
      </w:pPr>
      <w:r>
        <w:rPr>
          <w:rFonts w:ascii="Arial" w:hAnsi="Arial"/>
          <w:sz w:val="16"/>
        </w:rPr>
        <w:t>372.06  قلدری در همه شرایط و محیط‌ها، از جمله عملکردها و تنظیمات واحد خارج از وظیفه یا "غیر رسمی" ممنوع است.</w:t>
      </w:r>
    </w:p>
    <w:p>
      <w:pPr>
        <w:spacing w:after="28" w:line="216" w:lineRule="auto"/>
        <w:ind w:left="259"/>
        <w:jc w:val="left"/>
      </w:pPr>
      <w:r>
        <w:rPr>
          <w:rFonts w:ascii="Arial" w:hAnsi="Arial"/>
          <w:color w:val="525252"/>
          <w:sz w:val="13"/>
        </w:rPr>
        <w:t>Bullying is prohibited in all circumstances and environments, including off-duty or “unofficial” unit functions and settings.</w:t>
      </w:r>
    </w:p>
    <w:p>
      <w:pPr>
        <w:spacing w:after="20" w:line="223" w:lineRule="auto"/>
        <w:jc w:val="right"/>
        <w:bidi/>
      </w:pPr>
      <w:r>
        <w:rPr>
          <w:rFonts w:ascii="Arial" w:hAnsi="Arial"/>
          <w:sz w:val="16"/>
        </w:rPr>
        <w:t>372.07  توجه: قلدری شامل فعالیت‌های فرماندهی یا سازمانی که به درستی برای اهداف نظامی یا دیگر دولتی انجام می‌شوند، یا فعالیت‌های آموزشی لازم برای آماده‌سازی برای این فعالیت‌ها، مانند آموزش بدنی مجاز توسط فرماندهی، نمی‌شود.</w:t>
      </w:r>
    </w:p>
    <w:p>
      <w:pPr>
        <w:spacing w:after="28" w:line="216" w:lineRule="auto"/>
        <w:ind w:left="259"/>
        <w:jc w:val="left"/>
      </w:pPr>
      <w:r>
        <w:rPr>
          <w:rFonts w:ascii="Arial" w:hAnsi="Arial"/>
          <w:color w:val="525252"/>
          <w:sz w:val="13"/>
        </w:rPr>
        <w:t>Note: Bullying does not include properly directed command or organizational activities that serve a proper military or other governmental purpose, or the requisite training activities required to prepare for these activities, such as command- authorized physical training.</w:t>
      </w:r>
    </w:p>
    <w:p>
      <w:pPr>
        <w:spacing w:after="20" w:line="223" w:lineRule="auto"/>
        <w:jc w:val="right"/>
        <w:bidi/>
      </w:pPr>
      <w:r>
        <w:rPr>
          <w:rFonts w:ascii="Arial" w:hAnsi="Arial"/>
          <w:sz w:val="16"/>
        </w:rPr>
        <w:t>372.08  هیزینگ.</w:t>
      </w:r>
    </w:p>
    <w:p>
      <w:pPr>
        <w:spacing w:after="28" w:line="216" w:lineRule="auto"/>
        <w:ind w:left="259"/>
        <w:jc w:val="left"/>
      </w:pPr>
      <w:r>
        <w:rPr>
          <w:rFonts w:ascii="Arial" w:hAnsi="Arial"/>
          <w:color w:val="525252"/>
          <w:sz w:val="13"/>
        </w:rPr>
        <w:t>Hazing.</w:t>
      </w:r>
    </w:p>
    <w:p>
      <w:pPr>
        <w:spacing w:after="20" w:line="223" w:lineRule="auto"/>
        <w:jc w:val="right"/>
        <w:bidi/>
      </w:pPr>
      <w:r>
        <w:rPr>
          <w:rFonts w:ascii="Arial" w:hAnsi="Arial"/>
          <w:sz w:val="16"/>
        </w:rPr>
        <w:t>372.09  شکلی از آزار و اذیت که شامل رفتاری است که از طریق آن اعضای نظامی یا کارمندان غیرنظامی، بدون هدف نظامی مناسب یا سایر اهداف دولتی، اما مرتبط با خدمت سربازی، از نظر جسمی یا روانی آسیب می‌رسانند یا خطر آسیب جسمی یا روانی را به اعضای خدمت می‌رسانند برای: شروع به‌کار، پذیرش، وابستگی، تغییر در وضعیت عضویت یا موقعیت نظامی در سازمان، تغییر در وضعیت یا موقعیت نظامی در سازمان یا پست.</w:t>
      </w:r>
    </w:p>
    <w:p>
      <w:pPr>
        <w:spacing w:after="28" w:line="216" w:lineRule="auto"/>
        <w:ind w:left="259"/>
        <w:jc w:val="left"/>
      </w:pPr>
      <w:r>
        <w:rPr>
          <w:rFonts w:ascii="Arial" w:hAnsi="Arial"/>
          <w:color w:val="525252"/>
          <w:sz w:val="13"/>
        </w:rPr>
        <w:t>A form of harassment that includes conduct through which military members or civilian employees, without a proper military or other governmental purpose but with a nexus to military service, physically or psychologically injure or create a risk of physical or psychological injury to service members for the purpose of: initiation into, admission into, affiliation with, change in status or position within, or a condition for continued membership in any military or Department of Defense civilian organization.</w:t>
      </w:r>
    </w:p>
    <w:p>
      <w:pPr>
        <w:spacing w:after="20" w:line="223" w:lineRule="auto"/>
        <w:jc w:val="right"/>
        <w:bidi/>
      </w:pPr>
      <w:r>
        <w:rPr>
          <w:rFonts w:ascii="Arial" w:hAnsi="Arial"/>
          <w:sz w:val="16"/>
        </w:rPr>
        <w:t>372.10  هزینگ را می‌توان از طریق استفاده از وسایل الکترونیکی یا ارتباطات، و با وسایل دیگر از جمله رسانه‌های اجتماعی و همچنین شخصا انجام داد.</w:t>
      </w:r>
    </w:p>
    <w:p>
      <w:pPr>
        <w:spacing w:after="28" w:line="216" w:lineRule="auto"/>
        <w:ind w:left="259"/>
        <w:jc w:val="left"/>
      </w:pPr>
      <w:r>
        <w:rPr>
          <w:rFonts w:ascii="Arial" w:hAnsi="Arial"/>
          <w:color w:val="525252"/>
          <w:sz w:val="13"/>
        </w:rPr>
        <w:t>Hazing can be conducted through the use of electronic devices or communications, and by other means including social media, as well as in person.</w:t>
      </w:r>
    </w:p>
    <w:p>
      <w:pPr>
        <w:spacing w:after="20" w:line="223" w:lineRule="auto"/>
        <w:jc w:val="right"/>
        <w:bidi/>
      </w:pPr>
      <w:r>
        <w:rPr>
          <w:rFonts w:ascii="Arial" w:hAnsi="Arial"/>
          <w:sz w:val="16"/>
        </w:rPr>
        <w:t>372.11  اعضای نیروهای مسلح ممکن است مسئول یک عمل هزینگ باشند حتی اگر رضایت واقعی یا ضمنی قربانی وجود داشته باشد و صرف نظر از درجه یا رتبه، وضعیت یا خدمات قربانی.</w:t>
      </w:r>
    </w:p>
    <w:p>
      <w:pPr>
        <w:spacing w:after="28" w:line="216" w:lineRule="auto"/>
        <w:ind w:left="259"/>
        <w:jc w:val="left"/>
      </w:pPr>
      <w:r>
        <w:rPr>
          <w:rFonts w:ascii="Arial" w:hAnsi="Arial"/>
          <w:color w:val="525252"/>
          <w:sz w:val="13"/>
        </w:rPr>
        <w:t>Service members may be responsible for an act of hazing even if there was actual or implied consent from the victim and regardless of the grade or rank, status, or service of the victim.</w:t>
      </w:r>
    </w:p>
    <w:p>
      <w:pPr>
        <w:spacing w:after="20" w:line="223" w:lineRule="auto"/>
        <w:jc w:val="right"/>
        <w:bidi/>
      </w:pPr>
      <w:r>
        <w:rPr>
          <w:rFonts w:ascii="Arial" w:hAnsi="Arial"/>
          <w:sz w:val="16"/>
        </w:rPr>
        <w:t>372.12  در همه شرایط و محیط‌ها از جمله عملکردها و تنظیمات واحد غیر رسمی یا غیر رسمی ممنوع است.</w:t>
      </w:r>
    </w:p>
    <w:p>
      <w:pPr>
        <w:spacing w:after="28" w:line="216" w:lineRule="auto"/>
        <w:ind w:left="259"/>
        <w:jc w:val="left"/>
      </w:pPr>
      <w:r>
        <w:rPr>
          <w:rFonts w:ascii="Arial" w:hAnsi="Arial"/>
          <w:color w:val="525252"/>
          <w:sz w:val="13"/>
        </w:rPr>
        <w:t>Hazing is prohibited in all circumstances and environments including off-duty or “unofficial” unit functions and settings.</w:t>
      </w:r>
    </w:p>
    <w:p>
      <w:pPr>
        <w:spacing w:after="20" w:line="223" w:lineRule="auto"/>
        <w:jc w:val="right"/>
        <w:bidi/>
      </w:pPr>
      <w:r>
        <w:rPr>
          <w:rFonts w:ascii="Arial" w:hAnsi="Arial"/>
          <w:sz w:val="16"/>
        </w:rPr>
        <w:t>372.13  توجه: هیزینگ شامل فعالیت‌های فرماندهی یا سازمانی که به درستی هدایت می‌شوند و اهداف نظامی یا دولتی دیگر را انجام می‌دهند، یا فعالیت‌های آموزشی لازم برای آماده‌سازی برای این فعالیت‌ها، مانند اقدامات اصلاحی اداری، دستورالعمل‌های نظامی اضافی، یا آموزش بدنی مجاز فرماندهی را شامل نمی‌شود.</w:t>
      </w:r>
    </w:p>
    <w:p>
      <w:pPr>
        <w:spacing w:after="28" w:line="216" w:lineRule="auto"/>
        <w:ind w:left="259"/>
        <w:jc w:val="left"/>
      </w:pPr>
      <w:r>
        <w:rPr>
          <w:rFonts w:ascii="Arial" w:hAnsi="Arial"/>
          <w:color w:val="525252"/>
          <w:sz w:val="13"/>
        </w:rPr>
        <w:t>Note: Hazing does not include properly directed command or organizational activities that serve a proper military or other governmental purpose, or the requisite training activities required to prepare for these activities, such as, administrative corrective measures, extra military instruction, or command-authorized physical training.</w:t>
      </w:r>
    </w:p>
    <w:p>
      <w:pPr>
        <w:spacing w:after="20" w:line="223" w:lineRule="auto"/>
        <w:jc w:val="right"/>
        <w:bidi/>
      </w:pPr>
      <w:r>
        <w:rPr>
          <w:rFonts w:ascii="Arial" w:hAnsi="Arial"/>
          <w:sz w:val="16"/>
        </w:rPr>
        <w:t>372.14  قصاص.</w:t>
      </w:r>
    </w:p>
    <w:p>
      <w:pPr>
        <w:spacing w:after="28" w:line="216" w:lineRule="auto"/>
        <w:ind w:left="259"/>
        <w:jc w:val="left"/>
      </w:pPr>
      <w:r>
        <w:rPr>
          <w:rFonts w:ascii="Arial" w:hAnsi="Arial"/>
          <w:color w:val="525252"/>
          <w:sz w:val="13"/>
        </w:rPr>
        <w:t>Retaliation.</w:t>
      </w:r>
    </w:p>
    <w:p>
      <w:pPr>
        <w:spacing w:after="20" w:line="223" w:lineRule="auto"/>
        <w:jc w:val="right"/>
        <w:bidi/>
      </w:pPr>
      <w:r>
        <w:rPr>
          <w:rFonts w:ascii="Arial" w:hAnsi="Arial"/>
          <w:sz w:val="16"/>
        </w:rPr>
        <w:t>372.15  تلافی جویانه عبارت است از انجام یا تهدید به انجام اقدام نامطلوب پرسنل علیه یک شخص، یا خودداری یا تهدید نادرست از اقدام مساعد پرسنل درباره یک شخص، در نتیجه گزارش آن شخص از یک جرم جنایی یا برقراری ارتباط محافظت شده یا برنامه‌ریزی برای انجام هر یک از آنها.</w:t>
      </w:r>
    </w:p>
    <w:p>
      <w:pPr>
        <w:spacing w:after="28" w:line="216" w:lineRule="auto"/>
        <w:ind w:left="259"/>
        <w:jc w:val="left"/>
      </w:pPr>
      <w:r>
        <w:rPr>
          <w:rFonts w:ascii="Arial" w:hAnsi="Arial"/>
          <w:color w:val="525252"/>
          <w:sz w:val="13"/>
        </w:rPr>
        <w:t>Retaliation is taking or threatening to take an adverse personnel action against a person, or wrongfully withholding or threatening to withhold a favorable personnel action with respect to a person, as a result of that person reporting a criminal offense or making a protected communication or planning to do either.</w:t>
      </w:r>
    </w:p>
    <w:p>
      <w:pPr>
        <w:spacing w:after="20" w:line="223" w:lineRule="auto"/>
        <w:jc w:val="right"/>
        <w:bidi/>
      </w:pPr>
      <w:r>
        <w:rPr>
          <w:rFonts w:ascii="Arial" w:hAnsi="Arial"/>
          <w:sz w:val="16"/>
        </w:rPr>
        <w:t>372.16  ارتباطات محافظت شده، ارتباطی است که با یکی از اعضای کنگره یا بازرس کل، یا برخی از مقامات دیگر، زمانی که در این ارتباط شواهدی مبنی بر نقض قانون یا مقررات، از جمله آزار جنسی و تبعیض غیرقانونی فاش می‌شود، برقرار می‌شود.</w:t>
      </w:r>
    </w:p>
    <w:p>
      <w:pPr>
        <w:spacing w:after="28" w:line="216" w:lineRule="auto"/>
        <w:ind w:left="259"/>
        <w:jc w:val="left"/>
      </w:pPr>
      <w:r>
        <w:rPr>
          <w:rFonts w:ascii="Arial" w:hAnsi="Arial"/>
          <w:color w:val="525252"/>
          <w:sz w:val="13"/>
        </w:rPr>
        <w:t>A protected communication is a communication made to a Member of Congress or an Inspector General, or to certain other authorities when the communication discloses evidence of a violation of law or regulation, including sexual harassment and unlawful discrimination.</w:t>
      </w:r>
    </w:p>
    <w:p>
      <w:pPr>
        <w:spacing w:after="20" w:line="223" w:lineRule="auto"/>
        <w:jc w:val="right"/>
        <w:bidi/>
      </w:pPr>
      <w:r>
        <w:rPr>
          <w:rFonts w:ascii="Arial" w:hAnsi="Arial"/>
          <w:sz w:val="16"/>
        </w:rPr>
        <w:t>372.17  یک ارتباط محافظت شده همچنین ممکن است به سوءمدیریت فاحش، کلاهبرداری، اتلاف، و سوء استفاده یا یک خطر اساسی برای سلامت و ایمنی عمومی مرتبط باشد.</w:t>
      </w:r>
    </w:p>
    <w:p>
      <w:pPr>
        <w:spacing w:after="28" w:line="216" w:lineRule="auto"/>
        <w:ind w:left="259"/>
        <w:jc w:val="left"/>
      </w:pPr>
      <w:r>
        <w:rPr>
          <w:rFonts w:ascii="Arial" w:hAnsi="Arial"/>
          <w:color w:val="525252"/>
          <w:sz w:val="13"/>
        </w:rPr>
        <w:t>A protected communication may also relate to gross mismanagement, fraud, waste, and abuse or a substantial danger to public health and safety.</w:t>
      </w:r>
    </w:p>
    <w:p>
      <w:pPr>
        <w:spacing w:after="20" w:line="223" w:lineRule="auto"/>
        <w:jc w:val="right"/>
        <w:bidi/>
      </w:pPr>
      <w:r>
        <w:rPr>
          <w:rFonts w:ascii="Arial" w:hAnsi="Arial"/>
          <w:sz w:val="16"/>
        </w:rPr>
        <w:t>372.18  قصاص طبق ماده ۱۳۲ UCMJ ممنوع است.</w:t>
      </w:r>
    </w:p>
    <w:p>
      <w:pPr>
        <w:spacing w:after="28" w:line="216" w:lineRule="auto"/>
        <w:ind w:left="259"/>
        <w:jc w:val="left"/>
      </w:pPr>
      <w:r>
        <w:rPr>
          <w:rFonts w:ascii="Arial" w:hAnsi="Arial"/>
          <w:color w:val="525252"/>
          <w:sz w:val="13"/>
        </w:rPr>
        <w:t>Retaliation is prohibited by Article 132, UCMJ.</w:t>
      </w:r>
    </w:p>
    <w:p>
      <w:pPr>
        <w:spacing w:before="60" w:after="28"/>
        <w:jc w:val="right"/>
        <w:bidi/>
      </w:pPr>
      <w:r>
        <w:rPr>
          <w:b/>
          <w:color w:val="1F4D78"/>
          <w:sz w:val="18"/>
        </w:rPr>
        <w:t>20.20. فرآیند شکایت فرصت های برابر نظامی</w:t>
      </w:r>
    </w:p>
    <w:p>
      <w:pPr>
        <w:spacing w:after="20"/>
        <w:ind w:left="259"/>
        <w:jc w:val="left"/>
      </w:pPr>
      <w:r>
        <w:rPr>
          <w:color w:val="555555"/>
          <w:sz w:val="12"/>
        </w:rPr>
        <w:t>20.20. Military Equal Opportunity Complaint Process</w:t>
      </w:r>
    </w:p>
    <w:p>
      <w:pPr>
        <w:spacing w:after="20" w:line="223" w:lineRule="auto"/>
        <w:jc w:val="right"/>
        <w:bidi/>
      </w:pPr>
      <w:r>
        <w:rPr>
          <w:rFonts w:ascii="Arial" w:hAnsi="Arial"/>
          <w:sz w:val="16"/>
        </w:rPr>
        <w:t>372.20  فقط پرسنل نظامی، اعضای خانواده آنها و بازنشستگان می‌توانند شکایت فرصت‌های برابر نظامی را ارائه کنند.</w:t>
      </w:r>
    </w:p>
    <w:p>
      <w:pPr>
        <w:spacing w:after="28" w:line="216" w:lineRule="auto"/>
        <w:ind w:left="259"/>
        <w:jc w:val="left"/>
      </w:pPr>
      <w:r>
        <w:rPr>
          <w:rFonts w:ascii="Arial" w:hAnsi="Arial"/>
          <w:color w:val="525252"/>
          <w:sz w:val="13"/>
        </w:rPr>
        <w:t>Only military personnel, their family members, and retirees may file military Equal Opportunity complaints.</w:t>
      </w:r>
    </w:p>
    <w:p>
      <w:pPr>
        <w:spacing w:after="20" w:line="223" w:lineRule="auto"/>
        <w:jc w:val="right"/>
        <w:bidi/>
      </w:pPr>
      <w:r>
        <w:rPr>
          <w:rFonts w:ascii="Arial" w:hAnsi="Arial"/>
          <w:sz w:val="16"/>
        </w:rPr>
        <w:t>372.21  برای ثبت شکایت، فرد باید مورد تبعیض غیرقانونی یا آزار جنسی قرار گیرد.</w:t>
      </w:r>
    </w:p>
    <w:p>
      <w:pPr>
        <w:spacing w:after="28" w:line="216" w:lineRule="auto"/>
        <w:ind w:left="259"/>
        <w:jc w:val="left"/>
      </w:pPr>
      <w:r>
        <w:rPr>
          <w:rFonts w:ascii="Arial" w:hAnsi="Arial"/>
          <w:color w:val="525252"/>
          <w:sz w:val="13"/>
        </w:rPr>
        <w:t>To file a complaint, the individual must be the subject of the alleged unlawful discrimination or sexual harassment.</w:t>
      </w:r>
    </w:p>
    <w:p>
      <w:pPr>
        <w:spacing w:after="20" w:line="223" w:lineRule="auto"/>
        <w:jc w:val="right"/>
        <w:bidi/>
      </w:pPr>
      <w:r>
        <w:rPr>
          <w:rFonts w:ascii="Arial" w:hAnsi="Arial"/>
          <w:sz w:val="16"/>
        </w:rPr>
        <w:t>372.22  اشخاص ثالث، از جمله فرماندهان، سرپرستان یا همکاران، نمی‌توانند از طرف شخص دیگری شکایت کنند.</w:t>
      </w:r>
    </w:p>
    <w:p>
      <w:pPr>
        <w:spacing w:after="28" w:line="216" w:lineRule="auto"/>
        <w:ind w:left="259"/>
        <w:jc w:val="left"/>
      </w:pPr>
      <w:r>
        <w:rPr>
          <w:rFonts w:ascii="Arial" w:hAnsi="Arial"/>
          <w:color w:val="525252"/>
          <w:sz w:val="13"/>
        </w:rPr>
        <w:t>Third parties, to include commanders, supervisors, or co- workers, may not file a complaint on behalf of another individual.</w:t>
      </w:r>
    </w:p>
    <w:p>
      <w:pPr>
        <w:spacing w:after="20" w:line="223" w:lineRule="auto"/>
        <w:jc w:val="right"/>
        <w:bidi/>
      </w:pPr>
      <w:r>
        <w:rPr>
          <w:rFonts w:ascii="Arial" w:hAnsi="Arial"/>
          <w:sz w:val="16"/>
        </w:rPr>
        <w:t>372.23  دفتر فرصت‌های برابر، همه افراد شخص ثالثی را که از اتهامات خاص در مورد نقض خط‌مشی فرصت‌های برابر نظامی آگاه هستند، به زنجیره فرماندهی مربوطه ارجاع می‌دهد.</w:t>
      </w:r>
    </w:p>
    <w:p>
      <w:pPr>
        <w:spacing w:after="28" w:line="216" w:lineRule="auto"/>
        <w:ind w:left="259"/>
        <w:jc w:val="left"/>
      </w:pPr>
      <w:r>
        <w:rPr>
          <w:rFonts w:ascii="Arial" w:hAnsi="Arial"/>
          <w:color w:val="525252"/>
          <w:sz w:val="13"/>
        </w:rPr>
        <w:t>The Equal Opportunity office will refer all third party individuals who are aware of specific allegations of military Equal Opportunity policy violations to their respective chain of command.</w:t>
      </w:r>
    </w:p>
    <w:p>
      <w:pPr>
        <w:spacing w:after="20" w:line="223" w:lineRule="auto"/>
        <w:jc w:val="right"/>
        <w:bidi/>
      </w:pPr>
      <w:r>
        <w:rPr>
          <w:rFonts w:ascii="Arial" w:hAnsi="Arial"/>
          <w:sz w:val="16"/>
        </w:rPr>
        <w:t>372.24  اگر نگرانی‌ها مربوط به استخدام غیرنظامی در خارج از پایگاه یا وزارت دفاع باشد، دفتر فرصت‌های برابر شکایات نظامی از اعضای نظامی، اعضای خانواده یا بازنشستگان را نمی‌پذیرد.</w:t>
      </w:r>
    </w:p>
    <w:p>
      <w:pPr>
        <w:spacing w:after="28" w:line="216" w:lineRule="auto"/>
        <w:ind w:left="259"/>
        <w:jc w:val="left"/>
      </w:pPr>
      <w:r>
        <w:rPr>
          <w:rFonts w:ascii="Arial" w:hAnsi="Arial"/>
          <w:color w:val="525252"/>
          <w:sz w:val="13"/>
        </w:rPr>
        <w:t>The Equal Opportunity office will not accept military complaints from military members, family members, or retirees if the concerns are related to off-base or Department of Defense civilian employment.</w:t>
      </w:r>
    </w:p>
    <w:p>
      <w:pPr>
        <w:spacing w:after="20" w:line="223" w:lineRule="auto"/>
        <w:jc w:val="right"/>
        <w:bidi/>
      </w:pPr>
      <w:r>
        <w:rPr>
          <w:rFonts w:ascii="Arial" w:hAnsi="Arial"/>
          <w:sz w:val="16"/>
        </w:rPr>
        <w:t>372.25  رویه‌های شکایت غیررسمی نظامی.</w:t>
      </w:r>
    </w:p>
    <w:p>
      <w:pPr>
        <w:spacing w:after="28" w:line="216" w:lineRule="auto"/>
        <w:ind w:left="259"/>
        <w:jc w:val="left"/>
      </w:pPr>
      <w:r>
        <w:rPr>
          <w:rFonts w:ascii="Arial" w:hAnsi="Arial"/>
          <w:color w:val="525252"/>
          <w:sz w:val="13"/>
        </w:rPr>
        <w:t>Military Informal Complaint Procedures.</w:t>
      </w:r>
    </w:p>
    <w:p>
      <w:pPr>
        <w:spacing w:after="20" w:line="223" w:lineRule="auto"/>
        <w:jc w:val="right"/>
        <w:bidi/>
      </w:pPr>
      <w:r>
        <w:rPr>
          <w:rFonts w:ascii="Arial" w:hAnsi="Arial"/>
          <w:sz w:val="16"/>
        </w:rPr>
        <w:t>372.26  هدف از شکایت غیررسمی نظامی</w:t>
      </w:r>
    </w:p>
    <w:p>
      <w:pPr>
        <w:spacing w:after="28" w:line="216" w:lineRule="auto"/>
        <w:ind w:left="259"/>
        <w:jc w:val="left"/>
      </w:pPr>
      <w:r>
        <w:rPr>
          <w:rFonts w:ascii="Arial" w:hAnsi="Arial"/>
          <w:color w:val="525252"/>
          <w:sz w:val="13"/>
        </w:rPr>
        <w:t>The purpose of the military informal complaint</w:t>
      </w:r>
    </w:p>
    <w:p>
      <w:r>
        <w:br w:type="page"/>
      </w:r>
    </w:p>
    <w:p>
      <w:pPr>
        <w:spacing w:after="60"/>
        <w:jc w:val="right"/>
        <w:bidi/>
      </w:pPr>
      <w:r>
        <w:rPr>
          <w:rFonts w:ascii="Arial" w:hAnsi="Arial"/>
          <w:b/>
          <w:color w:val="1F4D78"/>
          <w:sz w:val="19"/>
        </w:rPr>
        <w:t>هفتهٔ 373  |  صفحهٔ منبع: 389</w:t>
      </w:r>
    </w:p>
    <w:p>
      <w:pPr>
        <w:spacing w:after="20" w:line="223" w:lineRule="auto"/>
        <w:jc w:val="right"/>
        <w:bidi/>
      </w:pPr>
      <w:r>
        <w:rPr>
          <w:rFonts w:ascii="Arial" w:hAnsi="Arial"/>
          <w:sz w:val="16"/>
        </w:rPr>
        <w:t>373.01  تلاش برای حل و فصل در پایین‌ترین سطح ممکن است.</w:t>
      </w:r>
    </w:p>
    <w:p>
      <w:pPr>
        <w:spacing w:after="28" w:line="216" w:lineRule="auto"/>
        <w:ind w:left="259"/>
        <w:jc w:val="left"/>
      </w:pPr>
      <w:r>
        <w:rPr>
          <w:rFonts w:ascii="Arial" w:hAnsi="Arial"/>
          <w:color w:val="525252"/>
          <w:sz w:val="13"/>
        </w:rPr>
        <w:t>process is to attempt resolution at the lowest possible level.</w:t>
      </w:r>
    </w:p>
    <w:p>
      <w:pPr>
        <w:spacing w:after="20" w:line="223" w:lineRule="auto"/>
        <w:jc w:val="right"/>
        <w:bidi/>
      </w:pPr>
      <w:r>
        <w:rPr>
          <w:rFonts w:ascii="Arial" w:hAnsi="Arial"/>
          <w:sz w:val="16"/>
        </w:rPr>
        <w:t>373.02  برای حل و فصل غیرقانونی شکایات مربوط به تبعیض غیرقانونی و آزار جنسی، افراد می‌توانند به صورت شفاهی یا مکاتبه‌ای کتبی با مجرم ادعا شده ارسال کنند، درخواست مداخله یک همکار کنند، استفاده از فرآیند حل اختلاف جایگزین را انتخاب کنند، یا از زنجیره فرماندهی استفاده کنند، مانند درخواست کمک از سرپرست، گروهبان اول، یا فرمانده.</w:t>
      </w:r>
    </w:p>
    <w:p>
      <w:pPr>
        <w:spacing w:after="28" w:line="216" w:lineRule="auto"/>
        <w:ind w:left="259"/>
        <w:jc w:val="left"/>
      </w:pPr>
      <w:r>
        <w:rPr>
          <w:rFonts w:ascii="Arial" w:hAnsi="Arial"/>
          <w:color w:val="525252"/>
          <w:sz w:val="13"/>
        </w:rPr>
        <w:t>To informally resolve unlawful discrimination and sexual harassment complaints, individuals may orally address or prepare written correspondence to the alleged offender, request intervention by a coworker, opt to use the alternate dispute resolution process, or use the chain of command, such as requesting assistance from the supervisor, first sergeant, or commander.</w:t>
      </w:r>
    </w:p>
    <w:p>
      <w:pPr>
        <w:spacing w:after="20" w:line="223" w:lineRule="auto"/>
        <w:jc w:val="right"/>
        <w:bidi/>
      </w:pPr>
      <w:r>
        <w:rPr>
          <w:rFonts w:ascii="Arial" w:hAnsi="Arial"/>
          <w:sz w:val="16"/>
        </w:rPr>
        <w:t>373.03  هیچ محدودیت زمانی برای طرح شکایات غیررسمی و هیچ الزامی برای تأیید فرمانده قبل از پذیرش شکایات غیررسمی وجود ندارد.</w:t>
      </w:r>
    </w:p>
    <w:p>
      <w:pPr>
        <w:spacing w:after="28" w:line="216" w:lineRule="auto"/>
        <w:ind w:left="259"/>
        <w:jc w:val="left"/>
      </w:pPr>
      <w:r>
        <w:rPr>
          <w:rFonts w:ascii="Arial" w:hAnsi="Arial"/>
          <w:color w:val="525252"/>
          <w:sz w:val="13"/>
        </w:rPr>
        <w:t>There is no time limit for filing informal complaints and no requirement for commander approval before accepting informal complaints.</w:t>
      </w:r>
    </w:p>
    <w:p>
      <w:pPr>
        <w:spacing w:after="20" w:line="223" w:lineRule="auto"/>
        <w:jc w:val="right"/>
        <w:bidi/>
      </w:pPr>
      <w:r>
        <w:rPr>
          <w:rFonts w:ascii="Arial" w:hAnsi="Arial"/>
          <w:sz w:val="16"/>
        </w:rPr>
        <w:t>373.04  رویه‌های شکایت رسمی نظامی.</w:t>
      </w:r>
    </w:p>
    <w:p>
      <w:pPr>
        <w:spacing w:after="28" w:line="216" w:lineRule="auto"/>
        <w:ind w:left="259"/>
        <w:jc w:val="left"/>
      </w:pPr>
      <w:r>
        <w:rPr>
          <w:rFonts w:ascii="Arial" w:hAnsi="Arial"/>
          <w:color w:val="525252"/>
          <w:sz w:val="13"/>
        </w:rPr>
        <w:t>Military Formal Complaint Procedures.</w:t>
      </w:r>
    </w:p>
    <w:p>
      <w:pPr>
        <w:spacing w:after="20" w:line="223" w:lineRule="auto"/>
        <w:jc w:val="right"/>
        <w:bidi/>
      </w:pPr>
      <w:r>
        <w:rPr>
          <w:rFonts w:ascii="Arial" w:hAnsi="Arial"/>
          <w:sz w:val="16"/>
        </w:rPr>
        <w:t>373.05  هدف از فرآیند شکایت رسمی ارتش این است که اعضای نظامی، بازنشستگان و اعضای خانواده آنها را قادر سازد تا به‌طور رسمی ادعاهای تبعیض غیرقانونی را به دفتر فرصت برابر با هدف تلاش برای حل و فصل از طریق فرآیند شفاف سازی شکایت ارائه کنند.</w:t>
      </w:r>
    </w:p>
    <w:p>
      <w:pPr>
        <w:spacing w:after="28" w:line="216" w:lineRule="auto"/>
        <w:ind w:left="259"/>
        <w:jc w:val="left"/>
      </w:pPr>
      <w:r>
        <w:rPr>
          <w:rFonts w:ascii="Arial" w:hAnsi="Arial"/>
          <w:color w:val="525252"/>
          <w:sz w:val="13"/>
        </w:rPr>
        <w:t>The purpose of the military formal complaint process is to enable military members, retirees, and their family members to formally present allegations of unlawful discrimination to the Equal Opportunity office with the goal of attempting resolution through a complaint clarification process.</w:t>
      </w:r>
    </w:p>
    <w:p>
      <w:pPr>
        <w:spacing w:after="20" w:line="223" w:lineRule="auto"/>
        <w:jc w:val="right"/>
        <w:bidi/>
      </w:pPr>
      <w:r>
        <w:rPr>
          <w:rFonts w:ascii="Arial" w:hAnsi="Arial"/>
          <w:sz w:val="16"/>
        </w:rPr>
        <w:t>373.06  فرآیند شفاف‌سازی شکایت شامل جمع‌آوری اطلاعات در مورد شکایت رسمی نظامی یا شکایت خط تلفنی است تا مشخص شود که آیا «تغلب شواهد» وجود دارد که نشان دهد تبعیض غیرقانونی رخ داده است یا خیر.</w:t>
      </w:r>
    </w:p>
    <w:p>
      <w:pPr>
        <w:spacing w:after="28" w:line="216" w:lineRule="auto"/>
        <w:ind w:left="259"/>
        <w:jc w:val="left"/>
      </w:pPr>
      <w:r>
        <w:rPr>
          <w:rFonts w:ascii="Arial" w:hAnsi="Arial"/>
          <w:color w:val="525252"/>
          <w:sz w:val="13"/>
        </w:rPr>
        <w:t>The complaint clarification process involves gathering information regarding a formal military complaint or hotline complaint to determine whether a ‘preponderance of evidence’ exists to demonstrate that unlawful discrimination occurred.</w:t>
      </w:r>
    </w:p>
    <w:p>
      <w:pPr>
        <w:spacing w:after="20" w:line="223" w:lineRule="auto"/>
        <w:jc w:val="right"/>
        <w:bidi/>
      </w:pPr>
      <w:r>
        <w:rPr>
          <w:rFonts w:ascii="Arial" w:hAnsi="Arial"/>
          <w:sz w:val="16"/>
        </w:rPr>
        <w:t>373.07  شفاف سازی شکایت شامل مصاحبه یا گرفتن اظهارات از شاکیان، شاهدان احتمالی، مجرمان ادعایی، و هرکس دیگری که ممکن است اطلاعات مرتبط با پرونده را داشته باشد، می‌شود.</w:t>
      </w:r>
    </w:p>
    <w:p>
      <w:pPr>
        <w:spacing w:after="28" w:line="216" w:lineRule="auto"/>
        <w:ind w:left="259"/>
        <w:jc w:val="left"/>
      </w:pPr>
      <w:r>
        <w:rPr>
          <w:rFonts w:ascii="Arial" w:hAnsi="Arial"/>
          <w:color w:val="525252"/>
          <w:sz w:val="13"/>
        </w:rPr>
        <w:t>The complaint clarification includes interviewing or taking statements from complainants, potential witnesses, alleged offenders, and anyone else who may have information relevant to the case.</w:t>
      </w:r>
    </w:p>
    <w:p>
      <w:pPr>
        <w:spacing w:after="20" w:line="223" w:lineRule="auto"/>
        <w:jc w:val="right"/>
        <w:bidi/>
      </w:pPr>
      <w:r>
        <w:rPr>
          <w:rFonts w:ascii="Arial" w:hAnsi="Arial"/>
          <w:sz w:val="16"/>
        </w:rPr>
        <w:t>373.08  دفتر فرصت‌های برابر ممکن است از اطلاعات جمع‌آوری‌شده از تحقیقات دیگر در ارتباط با فرآیند شفاف‌سازی خود، اما نه به جای فرآیند شفاف‌سازی خود، برای تثبیت شواهد معتبر استفاده کند.</w:t>
      </w:r>
    </w:p>
    <w:p>
      <w:pPr>
        <w:spacing w:after="28" w:line="216" w:lineRule="auto"/>
        <w:ind w:left="259"/>
        <w:jc w:val="left"/>
      </w:pPr>
      <w:r>
        <w:rPr>
          <w:rFonts w:ascii="Arial" w:hAnsi="Arial"/>
          <w:color w:val="525252"/>
          <w:sz w:val="13"/>
        </w:rPr>
        <w:t>The Equal Opportunity office may use information gathered from other investigations in conjunction with, but not in lieu of, their own clarification process to establish a preponderance of credible evidence.</w:t>
      </w:r>
    </w:p>
    <w:p>
      <w:pPr>
        <w:spacing w:after="20" w:line="223" w:lineRule="auto"/>
        <w:jc w:val="right"/>
        <w:bidi/>
      </w:pPr>
      <w:r>
        <w:rPr>
          <w:rFonts w:ascii="Arial" w:hAnsi="Arial"/>
          <w:sz w:val="16"/>
        </w:rPr>
        <w:t>373.09  نتایج شفاف سازی برای بررسی کفایت قانونی به وکیل دادگستری ستاد ارسال می‌شود.</w:t>
      </w:r>
    </w:p>
    <w:p>
      <w:pPr>
        <w:spacing w:after="28" w:line="216" w:lineRule="auto"/>
        <w:ind w:left="259"/>
        <w:jc w:val="left"/>
      </w:pPr>
      <w:r>
        <w:rPr>
          <w:rFonts w:ascii="Arial" w:hAnsi="Arial"/>
          <w:color w:val="525252"/>
          <w:sz w:val="13"/>
        </w:rPr>
        <w:t>The clarification results are forwarded to the Staff Judge Advocate for a legal sufficiency review.</w:t>
      </w:r>
    </w:p>
    <w:p>
      <w:pPr>
        <w:spacing w:after="20" w:line="223" w:lineRule="auto"/>
        <w:jc w:val="right"/>
        <w:bidi/>
      </w:pPr>
      <w:r>
        <w:rPr>
          <w:rFonts w:ascii="Arial" w:hAnsi="Arial"/>
          <w:sz w:val="16"/>
        </w:rPr>
        <w:t>373.10  پس از تکمیل بازبینی، فرمانده متخلف مورد ادعا شکایت را برای اقدام نهایی، در صورت لزوم، دریافت می‌کند.</w:t>
      </w:r>
    </w:p>
    <w:p>
      <w:pPr>
        <w:spacing w:after="28" w:line="216" w:lineRule="auto"/>
        <w:ind w:left="259"/>
        <w:jc w:val="left"/>
      </w:pPr>
      <w:r>
        <w:rPr>
          <w:rFonts w:ascii="Arial" w:hAnsi="Arial"/>
          <w:color w:val="525252"/>
          <w:sz w:val="13"/>
        </w:rPr>
        <w:t>Once the review is complete, the alleged offender’s commander receives the complaint for final action, if appropriate.</w:t>
      </w:r>
    </w:p>
    <w:p>
      <w:pPr>
        <w:spacing w:after="20" w:line="223" w:lineRule="auto"/>
        <w:jc w:val="right"/>
        <w:bidi/>
      </w:pPr>
      <w:r>
        <w:rPr>
          <w:rFonts w:ascii="Arial" w:hAnsi="Arial"/>
          <w:sz w:val="16"/>
        </w:rPr>
        <w:t>373.11  شکایات رسمی نظامی باید ظرف ۶۰ روز تقویمی پس از وقوع جرم مورد ادعا ثبت شود.</w:t>
      </w:r>
    </w:p>
    <w:p>
      <w:pPr>
        <w:spacing w:after="28" w:line="216" w:lineRule="auto"/>
        <w:ind w:left="259"/>
        <w:jc w:val="left"/>
      </w:pPr>
      <w:r>
        <w:rPr>
          <w:rFonts w:ascii="Arial" w:hAnsi="Arial"/>
          <w:color w:val="525252"/>
          <w:sz w:val="13"/>
        </w:rPr>
        <w:t>Military formal complaints must be filed within 60 calendar days of the alleged offense.</w:t>
      </w:r>
    </w:p>
    <w:p>
      <w:pPr>
        <w:spacing w:after="20" w:line="223" w:lineRule="auto"/>
        <w:jc w:val="right"/>
        <w:bidi/>
      </w:pPr>
      <w:r>
        <w:rPr>
          <w:rFonts w:ascii="Arial" w:hAnsi="Arial"/>
          <w:sz w:val="16"/>
        </w:rPr>
        <w:t>373.12  فرمانده نصب ممکن است بر اساس یادداشتی با توجیه کافی ارائه شده توسط شاکی و ارائه شده از طریق دفتر فرصت برابر، از محدودیت‌های زمانی صرف نظر کند.</w:t>
      </w:r>
    </w:p>
    <w:p>
      <w:pPr>
        <w:spacing w:after="28" w:line="216" w:lineRule="auto"/>
        <w:ind w:left="259"/>
        <w:jc w:val="left"/>
      </w:pPr>
      <w:r>
        <w:rPr>
          <w:rFonts w:ascii="Arial" w:hAnsi="Arial"/>
          <w:color w:val="525252"/>
          <w:sz w:val="13"/>
        </w:rPr>
        <w:t>The installation commander may waive the time limits for good cause based on a memorandum with sufficient justification provided by the complainant and submitted through the Equal Opportunity office.</w:t>
      </w:r>
    </w:p>
    <w:p>
      <w:pPr>
        <w:spacing w:after="20" w:line="223" w:lineRule="auto"/>
        <w:jc w:val="right"/>
        <w:bidi/>
      </w:pPr>
      <w:r>
        <w:rPr>
          <w:rFonts w:ascii="Arial" w:hAnsi="Arial"/>
          <w:sz w:val="16"/>
        </w:rPr>
        <w:t>373.13  شکایات رسمی آزار جنسی به نیروهای امنیتی (SF) برای تحقیقات مستقل بر اساس رویه‌های ۱۰ کد ایالات متحده (USC) § ۱۵۶۱ ارجاع می‌شوند.</w:t>
      </w:r>
    </w:p>
    <w:p>
      <w:pPr>
        <w:spacing w:after="28" w:line="216" w:lineRule="auto"/>
        <w:ind w:left="259"/>
        <w:jc w:val="left"/>
      </w:pPr>
      <w:r>
        <w:rPr>
          <w:rFonts w:ascii="Arial" w:hAnsi="Arial"/>
          <w:color w:val="525252"/>
          <w:sz w:val="13"/>
        </w:rPr>
        <w:t>Formal complaints of sexual harassment are referred to security forces (SF) for an independent investigation pursuant to the procedures in 10 United States Code (USC) § 1561.</w:t>
      </w:r>
    </w:p>
    <w:p>
      <w:pPr>
        <w:spacing w:before="60" w:after="28"/>
        <w:jc w:val="right"/>
        <w:bidi/>
      </w:pPr>
      <w:r>
        <w:rPr>
          <w:b/>
          <w:color w:val="1F4D78"/>
          <w:sz w:val="18"/>
        </w:rPr>
        <w:t>20.21. روند شکایت فرصت های برابر ملکی</w:t>
      </w:r>
    </w:p>
    <w:p>
      <w:pPr>
        <w:spacing w:after="20"/>
        <w:ind w:left="259"/>
        <w:jc w:val="left"/>
      </w:pPr>
      <w:r>
        <w:rPr>
          <w:color w:val="555555"/>
          <w:sz w:val="12"/>
        </w:rPr>
        <w:t>20.21. Civilian Equal Opportunity Complaint Process</w:t>
      </w:r>
    </w:p>
    <w:p>
      <w:pPr>
        <w:spacing w:after="20" w:line="223" w:lineRule="auto"/>
        <w:jc w:val="right"/>
        <w:bidi/>
      </w:pPr>
      <w:r>
        <w:rPr>
          <w:rFonts w:ascii="Arial" w:hAnsi="Arial"/>
          <w:sz w:val="16"/>
        </w:rPr>
        <w:t>373.15  فقط کارمندان USAF، کارمندان سابق، و متقاضیان استخدام می‌توانند شکایت‌های غیرنظامی فرصت برابر ارائه دهند.</w:t>
      </w:r>
    </w:p>
    <w:p>
      <w:pPr>
        <w:spacing w:after="28" w:line="216" w:lineRule="auto"/>
        <w:ind w:left="259"/>
        <w:jc w:val="left"/>
      </w:pPr>
      <w:r>
        <w:rPr>
          <w:rFonts w:ascii="Arial" w:hAnsi="Arial"/>
          <w:color w:val="525252"/>
          <w:sz w:val="13"/>
        </w:rPr>
        <w:t>Only USAF employees, former employees, and applicants for employment may file civilian Equal Opportunity complaints.</w:t>
      </w:r>
    </w:p>
    <w:p>
      <w:pPr>
        <w:spacing w:after="20" w:line="223" w:lineRule="auto"/>
        <w:jc w:val="right"/>
        <w:bidi/>
      </w:pPr>
      <w:r>
        <w:rPr>
          <w:rFonts w:ascii="Arial" w:hAnsi="Arial"/>
          <w:sz w:val="16"/>
        </w:rPr>
        <w:t>373.16  اگر فرد آسیب دیده بر اساس نژاد، رنگ، مذهب، جنسیت، منشاء ملی، سن (۴۰ سال به بالا) یا معلولیت تبعیض قائل شود، یا به دلیل مخالفت با تبعیض یا شرکت در روند شکایت مورد آزار و اذیت جنسی قرار گیرد، می‌تواند شکایت کند.</w:t>
      </w:r>
    </w:p>
    <w:p>
      <w:pPr>
        <w:spacing w:after="28" w:line="216" w:lineRule="auto"/>
        <w:ind w:left="259"/>
        <w:jc w:val="left"/>
      </w:pPr>
      <w:r>
        <w:rPr>
          <w:rFonts w:ascii="Arial" w:hAnsi="Arial"/>
          <w:color w:val="525252"/>
          <w:sz w:val="13"/>
        </w:rPr>
        <w:t>An aggrieved person can file a complaint if discriminated against on the basis of race, color, religion, sex, national origin, age (40 and older), or disability, or if subjected to sexual harassment or retaliated against for opposing discrimination or for participating in the complaint process.</w:t>
      </w:r>
    </w:p>
    <w:p>
      <w:pPr>
        <w:spacing w:after="20" w:line="223" w:lineRule="auto"/>
        <w:jc w:val="right"/>
        <w:bidi/>
      </w:pPr>
      <w:r>
        <w:rPr>
          <w:rFonts w:ascii="Arial" w:hAnsi="Arial"/>
          <w:sz w:val="16"/>
        </w:rPr>
        <w:t>373.17  علاوه بر این، یک کارمند می‌تواند بر اساس عنوان دوم قانون عمومی ۱۱۰-۲۳۳، قانون عدم تبعیض اطلاعات ژنتیکی سال ۲۰۰۸، شکایت کند، که تبعیض اطلاعات ژنتیکی را برای هر جنبه‌ای از استخدام، از جمله استخدام، اخراج، پرداخت، انتساب شغلی، ارتقاء، اخراج یا شرایط شغلی دیگر، آموزش، ممنوع می‌کند.</w:t>
      </w:r>
    </w:p>
    <w:p>
      <w:pPr>
        <w:spacing w:after="28" w:line="216" w:lineRule="auto"/>
        <w:ind w:left="259"/>
        <w:jc w:val="left"/>
      </w:pPr>
      <w:r>
        <w:rPr>
          <w:rFonts w:ascii="Arial" w:hAnsi="Arial"/>
          <w:color w:val="525252"/>
          <w:sz w:val="13"/>
        </w:rPr>
        <w:t>Additionally, an employee can file a complaint under Title II of the Public Law 110-233, Genetic Information Nondiscrimination Act of 2008, which prohibits genetic information discrimination for any aspect of employment, including hiring, firing, pay, job assignment, promotion, layoff, training, fringe benefits, or any other term or condition of employment.</w:t>
      </w:r>
    </w:p>
    <w:p>
      <w:pPr>
        <w:spacing w:after="20" w:line="223" w:lineRule="auto"/>
        <w:jc w:val="right"/>
        <w:bidi/>
      </w:pPr>
      <w:r>
        <w:rPr>
          <w:rFonts w:ascii="Arial" w:hAnsi="Arial"/>
          <w:sz w:val="16"/>
        </w:rPr>
        <w:t>373.18  آزار و اذیت یا انتقام جویی از یک فرد به دلیل اطلاعات ژنتیکی وی بر اساس قانون عدم تبعیض اطلاعات ژنتیکی غیرقانونی است.</w:t>
      </w:r>
    </w:p>
    <w:p>
      <w:pPr>
        <w:spacing w:after="28" w:line="216" w:lineRule="auto"/>
        <w:ind w:left="259"/>
        <w:jc w:val="left"/>
      </w:pPr>
      <w:r>
        <w:rPr>
          <w:rFonts w:ascii="Arial" w:hAnsi="Arial"/>
          <w:color w:val="525252"/>
          <w:sz w:val="13"/>
        </w:rPr>
        <w:t>To harass or retaliate against a person because of his or her genetic information is illegal under the Genetic Information Nondiscrimination Act.</w:t>
      </w:r>
    </w:p>
    <w:p>
      <w:pPr>
        <w:spacing w:after="20" w:line="223" w:lineRule="auto"/>
        <w:jc w:val="right"/>
        <w:bidi/>
      </w:pPr>
      <w:r>
        <w:rPr>
          <w:rFonts w:ascii="Arial" w:hAnsi="Arial"/>
          <w:sz w:val="16"/>
        </w:rPr>
        <w:t>373.19  رویه‌های شکایت غیر رسمی غیر نظامی.</w:t>
      </w:r>
    </w:p>
    <w:p>
      <w:pPr>
        <w:spacing w:after="28" w:line="216" w:lineRule="auto"/>
        <w:ind w:left="259"/>
        <w:jc w:val="left"/>
      </w:pPr>
      <w:r>
        <w:rPr>
          <w:rFonts w:ascii="Arial" w:hAnsi="Arial"/>
          <w:color w:val="525252"/>
          <w:sz w:val="13"/>
        </w:rPr>
        <w:t>Civilian Informal Complaint Procedures.</w:t>
      </w:r>
    </w:p>
    <w:p>
      <w:pPr>
        <w:spacing w:after="20" w:line="223" w:lineRule="auto"/>
        <w:jc w:val="right"/>
        <w:bidi/>
      </w:pPr>
      <w:r>
        <w:rPr>
          <w:rFonts w:ascii="Arial" w:hAnsi="Arial"/>
          <w:sz w:val="16"/>
        </w:rPr>
        <w:t>373.20  هدف از فرآیند شکایت غیر رسمی غیرنظامی، ارائه رسیدگی سریع، منصفانه و بی طرفانه، و حل و فصل شکایات، مطابق با تعهدات قانونی تحت عنوان ۲۹، کد مقررات فدرال، قسمت ۱۶۱۴، فرصت شغلی برابر بخش فدرال است.</w:t>
      </w:r>
    </w:p>
    <w:p>
      <w:pPr>
        <w:spacing w:after="28" w:line="216" w:lineRule="auto"/>
        <w:ind w:left="259"/>
        <w:jc w:val="left"/>
      </w:pPr>
      <w:r>
        <w:rPr>
          <w:rFonts w:ascii="Arial" w:hAnsi="Arial"/>
          <w:color w:val="525252"/>
          <w:sz w:val="13"/>
        </w:rPr>
        <w:t>The purpose of the civilian informal complaint process is to provide for the prompt, fair, and impartial processing, and resolution of complaints, consistent with legal obligations under Title 29, Code of Federal Regulations, Part 1614, Federal Sector Equal Employment Opportunity.</w:t>
      </w:r>
    </w:p>
    <w:p>
      <w:pPr>
        <w:spacing w:after="20" w:line="223" w:lineRule="auto"/>
        <w:jc w:val="right"/>
        <w:bidi/>
      </w:pPr>
      <w:r>
        <w:rPr>
          <w:rFonts w:ascii="Arial" w:hAnsi="Arial"/>
          <w:sz w:val="16"/>
        </w:rPr>
        <w:t>373.21  هدف جستجوی فرصت هایی برای حل مسائل در پایین‌ترین سطح سازمانی در اولین زمان ممکن است.</w:t>
      </w:r>
    </w:p>
    <w:p>
      <w:pPr>
        <w:spacing w:after="28" w:line="216" w:lineRule="auto"/>
        <w:ind w:left="259"/>
        <w:jc w:val="left"/>
      </w:pPr>
      <w:r>
        <w:rPr>
          <w:rFonts w:ascii="Arial" w:hAnsi="Arial"/>
          <w:color w:val="525252"/>
          <w:sz w:val="13"/>
        </w:rPr>
        <w:t>The objective is to seek opportunities to resolve issues at the lowest organizational level at the earliest possible time.</w:t>
      </w:r>
    </w:p>
    <w:p>
      <w:pPr>
        <w:spacing w:after="20" w:line="223" w:lineRule="auto"/>
        <w:jc w:val="right"/>
        <w:bidi/>
      </w:pPr>
      <w:r>
        <w:rPr>
          <w:rFonts w:ascii="Arial" w:hAnsi="Arial"/>
          <w:sz w:val="16"/>
        </w:rPr>
        <w:t>373.22  دفتر فرصت برابر با مدیریت و وکیل قاضی کارکنان در تلاش برای رفع نگرانی‌های شاکی کار خواهد کرد.</w:t>
      </w:r>
    </w:p>
    <w:p>
      <w:pPr>
        <w:spacing w:after="28" w:line="216" w:lineRule="auto"/>
        <w:ind w:left="259"/>
        <w:jc w:val="left"/>
      </w:pPr>
      <w:r>
        <w:rPr>
          <w:rFonts w:ascii="Arial" w:hAnsi="Arial"/>
          <w:color w:val="525252"/>
          <w:sz w:val="13"/>
        </w:rPr>
        <w:t>The Equal Opportunity office will work with management and the Staff Judge Advocate in an attempt to resolve the complainant’s concerns.</w:t>
      </w:r>
    </w:p>
    <w:p>
      <w:pPr>
        <w:spacing w:after="20" w:line="223" w:lineRule="auto"/>
        <w:jc w:val="right"/>
        <w:bidi/>
      </w:pPr>
      <w:r>
        <w:rPr>
          <w:rFonts w:ascii="Arial" w:hAnsi="Arial"/>
          <w:sz w:val="16"/>
        </w:rPr>
        <w:t>373.23  دفتر فرصت برابر باید فرآیند شکایت غیررسمی را ظرف ۳۰ روز تقویمی پس از ثبت شکایت تکمیل کند، مگر اینکه شاکی تمدید کند تا بیش از ۶۰ روز تقویمی اضافی نباشد.</w:t>
      </w:r>
    </w:p>
    <w:p>
      <w:pPr>
        <w:spacing w:after="28" w:line="216" w:lineRule="auto"/>
        <w:ind w:left="259"/>
        <w:jc w:val="left"/>
      </w:pPr>
      <w:r>
        <w:rPr>
          <w:rFonts w:ascii="Arial" w:hAnsi="Arial"/>
          <w:color w:val="525252"/>
          <w:sz w:val="13"/>
        </w:rPr>
        <w:t>The Equal Opportunity office must complete the informal complaint process within 30 calendar days of the complaint being filed unless the complainant grants an extension not to exceed 60 additional calendar days.</w:t>
      </w:r>
    </w:p>
    <w:p>
      <w:pPr>
        <w:spacing w:after="20" w:line="223" w:lineRule="auto"/>
        <w:jc w:val="right"/>
        <w:bidi/>
      </w:pPr>
      <w:r>
        <w:rPr>
          <w:rFonts w:ascii="Arial" w:hAnsi="Arial"/>
          <w:sz w:val="16"/>
        </w:rPr>
        <w:t>373.24  در صورتی که قبل از پایان مهلت مجاز، از جمله تمدید، موضوع مورد رضایت شاکی حل نشود، اخطاریه حق شکایت برای شاکی صادر می‌شود.</w:t>
      </w:r>
    </w:p>
    <w:p>
      <w:pPr>
        <w:spacing w:after="28" w:line="216" w:lineRule="auto"/>
        <w:ind w:left="259"/>
        <w:jc w:val="left"/>
      </w:pPr>
      <w:r>
        <w:rPr>
          <w:rFonts w:ascii="Arial" w:hAnsi="Arial"/>
          <w:color w:val="525252"/>
          <w:sz w:val="13"/>
        </w:rPr>
        <w:t>If the matter is not resolved to the complainant’s satisfaction before the end of the authorized period, including extensions, the complainant is issued a notice of right to file a formal complaint.</w:t>
      </w:r>
    </w:p>
    <w:p>
      <w:pPr>
        <w:spacing w:after="20" w:line="223" w:lineRule="auto"/>
        <w:jc w:val="right"/>
        <w:bidi/>
      </w:pPr>
      <w:r>
        <w:rPr>
          <w:rFonts w:ascii="Arial" w:hAnsi="Arial"/>
          <w:sz w:val="16"/>
        </w:rPr>
        <w:t>373.25  رویه‌های رسمی شکایت غیرنظامی.</w:t>
      </w:r>
    </w:p>
    <w:p>
      <w:pPr>
        <w:spacing w:after="28" w:line="216" w:lineRule="auto"/>
        <w:ind w:left="259"/>
        <w:jc w:val="left"/>
      </w:pPr>
      <w:r>
        <w:rPr>
          <w:rFonts w:ascii="Arial" w:hAnsi="Arial"/>
          <w:color w:val="525252"/>
          <w:sz w:val="13"/>
        </w:rPr>
        <w:t>Civilian Formal Complaint Procedures.</w:t>
      </w:r>
    </w:p>
    <w:p>
      <w:pPr>
        <w:spacing w:after="20" w:line="223" w:lineRule="auto"/>
        <w:jc w:val="right"/>
        <w:bidi/>
      </w:pPr>
      <w:r>
        <w:rPr>
          <w:rFonts w:ascii="Arial" w:hAnsi="Arial"/>
          <w:sz w:val="16"/>
        </w:rPr>
        <w:t>373.26  یک شکایت رسمی باید در محل نصب ثبت شود</w:t>
      </w:r>
    </w:p>
    <w:p>
      <w:pPr>
        <w:spacing w:after="28" w:line="216" w:lineRule="auto"/>
        <w:ind w:left="259"/>
        <w:jc w:val="left"/>
      </w:pPr>
      <w:r>
        <w:rPr>
          <w:rFonts w:ascii="Arial" w:hAnsi="Arial"/>
          <w:color w:val="525252"/>
          <w:sz w:val="13"/>
        </w:rPr>
        <w:t>A formal complaint must be filed at the installation</w:t>
      </w:r>
    </w:p>
    <w:p>
      <w:r>
        <w:br w:type="page"/>
      </w:r>
    </w:p>
    <w:p>
      <w:pPr>
        <w:spacing w:after="60"/>
        <w:jc w:val="right"/>
        <w:bidi/>
      </w:pPr>
      <w:r>
        <w:rPr>
          <w:rFonts w:ascii="Arial" w:hAnsi="Arial"/>
          <w:b/>
          <w:color w:val="1F4D78"/>
          <w:sz w:val="19"/>
        </w:rPr>
        <w:t>هفتهٔ 374  |  صفحهٔ منبع: 390</w:t>
      </w:r>
    </w:p>
    <w:p>
      <w:pPr>
        <w:spacing w:after="20" w:line="223" w:lineRule="auto"/>
        <w:jc w:val="right"/>
        <w:bidi/>
      </w:pPr>
      <w:r>
        <w:rPr>
          <w:rFonts w:ascii="Arial" w:hAnsi="Arial"/>
          <w:sz w:val="16"/>
        </w:rPr>
        <w:t>374.01  جایی که تبعیض ادعا شده رخ داده است.</w:t>
      </w:r>
    </w:p>
    <w:p>
      <w:pPr>
        <w:spacing w:after="28" w:line="216" w:lineRule="auto"/>
        <w:ind w:left="259"/>
        <w:jc w:val="left"/>
      </w:pPr>
      <w:r>
        <w:rPr>
          <w:rFonts w:ascii="Arial" w:hAnsi="Arial"/>
          <w:color w:val="525252"/>
          <w:sz w:val="13"/>
        </w:rPr>
        <w:t>where the alleged discrimination occurred.</w:t>
      </w:r>
    </w:p>
    <w:p>
      <w:pPr>
        <w:spacing w:after="20" w:line="223" w:lineRule="auto"/>
        <w:jc w:val="right"/>
        <w:bidi/>
      </w:pPr>
      <w:r>
        <w:rPr>
          <w:rFonts w:ascii="Arial" w:hAnsi="Arial"/>
          <w:sz w:val="16"/>
        </w:rPr>
        <w:t>374.02  برای رسیدگی به شکایت در مرحله رسمی، تماس اولیه باید ظرف ۴۵ روز تقویمی از تاریخ موضوعی که ادعا می‌شود تبعیض‌آمیز است، یا در مورد اقدام پرسنلی، ظرف ۴۵ روز تقویمی از تاریخ لازم‌الاجرا شدن یا زمانی که او از اقدام پرسنل مطلع می‌شود، باشد.</w:t>
      </w:r>
    </w:p>
    <w:p>
      <w:pPr>
        <w:spacing w:after="28" w:line="216" w:lineRule="auto"/>
        <w:ind w:left="259"/>
        <w:jc w:val="left"/>
      </w:pPr>
      <w:r>
        <w:rPr>
          <w:rFonts w:ascii="Arial" w:hAnsi="Arial"/>
          <w:color w:val="525252"/>
          <w:sz w:val="13"/>
        </w:rPr>
        <w:t>For the complaint to be processed at the formal stage, the initial contact must be within 45 calendar days of the date of the matter alleged to be discriminatory or, in the case of a personnel action, within 45 calendar days of the effective date or when he or she becomes aware of the personnel action.</w:t>
      </w:r>
    </w:p>
    <w:p>
      <w:pPr>
        <w:spacing w:after="20" w:line="223" w:lineRule="auto"/>
        <w:jc w:val="right"/>
        <w:bidi/>
      </w:pPr>
      <w:r>
        <w:rPr>
          <w:rFonts w:ascii="Arial" w:hAnsi="Arial"/>
          <w:sz w:val="16"/>
        </w:rPr>
        <w:t>374.03  شکایت باید اقدامات یا اقداماتی را که اساس شکایتی را تشکیل می‌دهند که در طول فرآیند شکایت غیررسمی با دفتر فرصت‌های برابر بحث شده است، توصیف کند.</w:t>
      </w:r>
    </w:p>
    <w:p>
      <w:pPr>
        <w:spacing w:after="28" w:line="216" w:lineRule="auto"/>
        <w:ind w:left="259"/>
        <w:jc w:val="left"/>
      </w:pPr>
      <w:r>
        <w:rPr>
          <w:rFonts w:ascii="Arial" w:hAnsi="Arial"/>
          <w:color w:val="525252"/>
          <w:sz w:val="13"/>
        </w:rPr>
        <w:t>The complaint must describe the actions or practices that form the basis of the complaint that was discussed with the Equal Opportunity office during the informal complaint process.</w:t>
      </w:r>
    </w:p>
    <w:p>
      <w:pPr>
        <w:spacing w:after="20" w:line="223" w:lineRule="auto"/>
        <w:jc w:val="right"/>
        <w:bidi/>
      </w:pPr>
      <w:r>
        <w:rPr>
          <w:rFonts w:ascii="Arial" w:hAnsi="Arial"/>
          <w:sz w:val="16"/>
        </w:rPr>
        <w:t>374.04  شکایت باید ظرف ۱۵ روز تقویمی پس از دریافت اخطار حق شکایت رسمی توسط شاکی، نزد مدیر فرصت برابر یا منصوب شود.</w:t>
      </w:r>
    </w:p>
    <w:p>
      <w:pPr>
        <w:spacing w:after="28" w:line="216" w:lineRule="auto"/>
        <w:ind w:left="259"/>
        <w:jc w:val="left"/>
      </w:pPr>
      <w:r>
        <w:rPr>
          <w:rFonts w:ascii="Arial" w:hAnsi="Arial"/>
          <w:color w:val="525252"/>
          <w:sz w:val="13"/>
        </w:rPr>
        <w:t>The complaint must be filed with the Equal Opportunity director or designee within 15 calendar days of the complainant receiving the notice of right to file a formal complaint.</w:t>
      </w:r>
    </w:p>
    <w:p>
      <w:pPr>
        <w:spacing w:after="20" w:line="223" w:lineRule="auto"/>
        <w:jc w:val="right"/>
        <w:bidi/>
      </w:pPr>
      <w:r>
        <w:rPr>
          <w:rFonts w:ascii="Arial" w:hAnsi="Arial"/>
          <w:sz w:val="16"/>
        </w:rPr>
        <w:t>374.05  USAF موظف است به شکایات رسمی غیرنظامی فرصت‌های برابر مطابق با عنوان ۲۹، کد مقررات فدرال، بخش ۱۶۱۴، بخش فدرال بخش فدرال، دستورالعمل مدیریت فرصت‌های شغلی برابر ۱۱۰ رسیدگی کند.</w:t>
      </w:r>
    </w:p>
    <w:p>
      <w:pPr>
        <w:spacing w:after="28" w:line="216" w:lineRule="auto"/>
        <w:ind w:left="259"/>
        <w:jc w:val="left"/>
      </w:pPr>
      <w:r>
        <w:rPr>
          <w:rFonts w:ascii="Arial" w:hAnsi="Arial"/>
          <w:color w:val="525252"/>
          <w:sz w:val="13"/>
        </w:rPr>
        <w:t>The USAF is required to process civilian formal Equal Opportunity complaints in accordance with Title 29, Code of Federal Regulations, Part 1614, Federal Sector Equal Employment Opportunity Management Directive 110.</w:t>
      </w:r>
    </w:p>
    <w:p>
      <w:pPr>
        <w:spacing w:after="20" w:line="223" w:lineRule="auto"/>
        <w:jc w:val="right"/>
        <w:bidi/>
      </w:pPr>
      <w:r>
        <w:rPr>
          <w:rFonts w:ascii="Arial" w:hAnsi="Arial"/>
          <w:sz w:val="16"/>
        </w:rPr>
        <w:t>374.06  کمیسیون فرصت‌های شغلی برابر از آژانس‌های فدرال می‌خواهد پس از ثبت شکایت رسمی غیرنظامی فرصت‌های برابر، مسئولیت‌های خاصی را انجام دهند.</w:t>
      </w:r>
    </w:p>
    <w:p>
      <w:pPr>
        <w:spacing w:after="28" w:line="216" w:lineRule="auto"/>
        <w:ind w:left="259"/>
        <w:jc w:val="left"/>
      </w:pPr>
      <w:r>
        <w:rPr>
          <w:rFonts w:ascii="Arial" w:hAnsi="Arial"/>
          <w:color w:val="525252"/>
          <w:sz w:val="13"/>
        </w:rPr>
        <w:t>The Equal Employment Opportunity Commission requires federal agencies to discharge certain responsibilities once a civilian formal Equal Opportunity complaint is filed.</w:t>
      </w:r>
    </w:p>
    <w:p>
      <w:pPr>
        <w:spacing w:after="20" w:line="223" w:lineRule="auto"/>
        <w:jc w:val="right"/>
        <w:bidi/>
      </w:pPr>
      <w:r>
        <w:rPr>
          <w:rFonts w:ascii="Arial" w:hAnsi="Arial"/>
          <w:sz w:val="16"/>
        </w:rPr>
        <w:t>374.07  دفتر فرصت برابر باید همه شکایات رسمی را به سرعت بررسی کند و تصمیم بگیرد که شکایت یا بخشی از شکایت را بپذیرد، رد کند یا بخشی از آن را رد کند تا اجازه دهد تحقیقات ظرف ۱۸۰ روز تقویمی از تاریخ ثبت تکمیل شود.</w:t>
      </w:r>
    </w:p>
    <w:p>
      <w:pPr>
        <w:spacing w:after="28" w:line="216" w:lineRule="auto"/>
        <w:ind w:left="259"/>
        <w:jc w:val="left"/>
      </w:pPr>
      <w:r>
        <w:rPr>
          <w:rFonts w:ascii="Arial" w:hAnsi="Arial"/>
          <w:color w:val="525252"/>
          <w:sz w:val="13"/>
        </w:rPr>
        <w:t>The Equal Opportunity office must process all formal complaints expeditiously and make a determination whether to accept, dismiss, or partially dismiss a complaint or portion of a complaint to allow an investigation to be completed within 180 calendar days from the date filed.</w:t>
      </w:r>
    </w:p>
    <w:p>
      <w:pPr>
        <w:spacing w:before="60" w:after="28"/>
        <w:jc w:val="right"/>
        <w:bidi/>
      </w:pPr>
      <w:r>
        <w:rPr>
          <w:b/>
          <w:color w:val="1F4D78"/>
          <w:sz w:val="18"/>
        </w:rPr>
        <w:t>20.22. پیشگیری و مقابله با تجاوز جنسی</w:t>
      </w:r>
    </w:p>
    <w:p>
      <w:pPr>
        <w:spacing w:after="20"/>
        <w:ind w:left="259"/>
        <w:jc w:val="left"/>
      </w:pPr>
      <w:r>
        <w:rPr>
          <w:color w:val="555555"/>
          <w:sz w:val="12"/>
        </w:rPr>
        <w:t>20.22. Sexual Assault Prevention and Response</w:t>
      </w:r>
    </w:p>
    <w:p>
      <w:pPr>
        <w:spacing w:after="20" w:line="223" w:lineRule="auto"/>
        <w:jc w:val="right"/>
        <w:bidi/>
      </w:pPr>
      <w:r>
        <w:rPr>
          <w:rFonts w:ascii="Arial" w:hAnsi="Arial"/>
          <w:sz w:val="16"/>
        </w:rPr>
        <w:t>374.09  دفتر پیشگیری و پاسخ به تجاوز جنسی (SAPR) مسئول نظارت بر سیاست تجاوز جنسی وزارت دفاع است و دست در دست خدمات و جامعه غیرنظامی برای توسعه و اجرای برنامه‌های پیشگیری و واکنش نوآورانه کار می‌کند.</w:t>
      </w:r>
    </w:p>
    <w:p>
      <w:pPr>
        <w:spacing w:after="28" w:line="216" w:lineRule="auto"/>
        <w:ind w:left="259"/>
        <w:jc w:val="left"/>
      </w:pPr>
      <w:r>
        <w:rPr>
          <w:rFonts w:ascii="Arial" w:hAnsi="Arial"/>
          <w:color w:val="525252"/>
          <w:sz w:val="13"/>
        </w:rPr>
        <w:t>The Sexual Assault Prevention and Response (SAPR) Office is responsible for oversight of the Department of Defense sexual assault policy and works hand-in-hand with the services and the civilian community to develop and implement innovative prevention and response programs.</w:t>
      </w:r>
    </w:p>
    <w:p>
      <w:pPr>
        <w:spacing w:after="20" w:line="223" w:lineRule="auto"/>
        <w:jc w:val="right"/>
        <w:bidi/>
      </w:pPr>
      <w:r>
        <w:rPr>
          <w:rFonts w:ascii="Arial" w:hAnsi="Arial"/>
          <w:sz w:val="16"/>
        </w:rPr>
        <w:t>374.10  برای جزئیات در مورد برنامه USAF SAPR به AFI ۹۰-۶۰۰۶، برنامه پیشگیری و پاسخ به تجاوز جنسی (SAPR) مراجعه کنید.</w:t>
      </w:r>
    </w:p>
    <w:p>
      <w:pPr>
        <w:spacing w:after="28" w:line="216" w:lineRule="auto"/>
        <w:ind w:left="259"/>
        <w:jc w:val="left"/>
      </w:pPr>
      <w:r>
        <w:rPr>
          <w:rFonts w:ascii="Arial" w:hAnsi="Arial"/>
          <w:color w:val="525252"/>
          <w:sz w:val="13"/>
        </w:rPr>
        <w:t>Refer to AFI 90-6006, Sexual Assault Prevention and Response (SAPR) Program, for details regarding the USAF SAPR program.</w:t>
      </w:r>
    </w:p>
    <w:p>
      <w:pPr>
        <w:spacing w:after="20" w:line="223" w:lineRule="auto"/>
        <w:jc w:val="right"/>
        <w:bidi/>
      </w:pPr>
      <w:r>
        <w:rPr>
          <w:rFonts w:ascii="Arial" w:hAnsi="Arial"/>
          <w:sz w:val="16"/>
        </w:rPr>
        <w:t>374.11  هماهنگ کننده پاسخگویی به تجاوز جنسی.</w:t>
      </w:r>
    </w:p>
    <w:p>
      <w:pPr>
        <w:spacing w:after="28" w:line="216" w:lineRule="auto"/>
        <w:ind w:left="259"/>
        <w:jc w:val="left"/>
      </w:pPr>
      <w:r>
        <w:rPr>
          <w:rFonts w:ascii="Arial" w:hAnsi="Arial"/>
          <w:color w:val="525252"/>
          <w:sz w:val="13"/>
        </w:rPr>
        <w:t>Installation Sexual Assault Response Coordinator.</w:t>
      </w:r>
    </w:p>
    <w:p>
      <w:pPr>
        <w:spacing w:after="20" w:line="223" w:lineRule="auto"/>
        <w:jc w:val="right"/>
        <w:bidi/>
      </w:pPr>
      <w:r>
        <w:rPr>
          <w:rFonts w:ascii="Arial" w:hAnsi="Arial"/>
          <w:sz w:val="16"/>
        </w:rPr>
        <w:t>374.12  هماهنگ‌کننده پاسخ به تجاوز جنسی نصب شده (SARC) تنها نقطه تماس در یک تاسیسات یا در یک منطقه جغرافیایی است که به فرمانده نصب گزارش می‌دهد، که بر آموزش آگاهی، پیشگیری و پاسخ درباره تجاوز جنسی نظارت می‌کند. هماهنگی درمان پزشکی، از جمله مراقبت‌های اضطراری برای قربانیان تجاوز جنسی؛ و خدمات ارائه شده به قربانی تجاوز جنسی را از گزارش اولیه تا حل و فصل نهایی ردیابی می‌کند.</w:t>
      </w:r>
    </w:p>
    <w:p>
      <w:pPr>
        <w:spacing w:after="28" w:line="216" w:lineRule="auto"/>
        <w:ind w:left="259"/>
        <w:jc w:val="left"/>
      </w:pPr>
      <w:r>
        <w:rPr>
          <w:rFonts w:ascii="Arial" w:hAnsi="Arial"/>
          <w:color w:val="525252"/>
          <w:sz w:val="13"/>
        </w:rPr>
        <w:t>The installation Sexual Assault Response Coordinator (SARC) is the single point of contact at an installation or within a geographic area reporting to the installation commander, who oversees sexual assault awareness, prevention, and response training; coordinates medical treatment, including emergency care for sexual assault victims; and tracks the services provided to a victim of sexual assault from the initial report through final disposition and resolution.</w:t>
      </w:r>
    </w:p>
    <w:p>
      <w:pPr>
        <w:spacing w:after="20" w:line="223" w:lineRule="auto"/>
        <w:jc w:val="right"/>
        <w:bidi/>
      </w:pPr>
      <w:r>
        <w:rPr>
          <w:rFonts w:ascii="Arial" w:hAnsi="Arial"/>
          <w:sz w:val="16"/>
        </w:rPr>
        <w:t>374.13  توجه: USAF SARC های نظامی آموزش دیده و همچنین SARC های غیرنظامی آموزش دیده یا SAPR ویکتیم ادووکاتس (SAPR VA) را برای پشتیبانی چرخشی از عملیات‌ها و استقرارهای اضطراری جهانی شناسایی می‌کند.</w:t>
      </w:r>
    </w:p>
    <w:p>
      <w:pPr>
        <w:spacing w:after="28" w:line="216" w:lineRule="auto"/>
        <w:ind w:left="259"/>
        <w:jc w:val="left"/>
      </w:pPr>
      <w:r>
        <w:rPr>
          <w:rFonts w:ascii="Arial" w:hAnsi="Arial"/>
          <w:color w:val="525252"/>
          <w:sz w:val="13"/>
        </w:rPr>
        <w:t>Note: The USAF will identify trained military SARCs, as well as trained civilian SARCs or SAPR Victim Advocates (SAPR VA), for rotational support of global contingency operations and deployments.</w:t>
      </w:r>
    </w:p>
    <w:p>
      <w:pPr>
        <w:spacing w:after="20" w:line="223" w:lineRule="auto"/>
        <w:jc w:val="right"/>
        <w:bidi/>
      </w:pPr>
      <w:r>
        <w:rPr>
          <w:rFonts w:ascii="Arial" w:hAnsi="Arial"/>
          <w:sz w:val="16"/>
        </w:rPr>
        <w:t>374.14  به‌طور معمول، هر بال اعزامی هوایی حداقل یک موقعیت SARC و یک موقعیت SAPR VA را تضمین می‌کند.</w:t>
      </w:r>
    </w:p>
    <w:p>
      <w:pPr>
        <w:spacing w:after="28" w:line="216" w:lineRule="auto"/>
        <w:ind w:left="259"/>
        <w:jc w:val="left"/>
      </w:pPr>
      <w:r>
        <w:rPr>
          <w:rFonts w:ascii="Arial" w:hAnsi="Arial"/>
          <w:color w:val="525252"/>
          <w:sz w:val="13"/>
        </w:rPr>
        <w:t>Normally, each air expeditionary wing will warrant at least one SARC and one SAPR VA position.</w:t>
      </w:r>
    </w:p>
    <w:p>
      <w:pPr>
        <w:spacing w:after="20" w:line="223" w:lineRule="auto"/>
        <w:jc w:val="right"/>
        <w:bidi/>
      </w:pPr>
      <w:r>
        <w:rPr>
          <w:rFonts w:ascii="Arial" w:hAnsi="Arial"/>
          <w:sz w:val="16"/>
        </w:rPr>
        <w:t>374.15  برای استقرارهای کوچکتر از یک نیروی اعزامی هوایی، فرماندهان مستقر باید قابلیت پاسخگویی به تجاوز جنسی را مطابق با الزامات USAF ارائه دهند.</w:t>
      </w:r>
    </w:p>
    <w:p>
      <w:pPr>
        <w:spacing w:after="28" w:line="216" w:lineRule="auto"/>
        <w:ind w:left="259"/>
        <w:jc w:val="left"/>
      </w:pPr>
      <w:r>
        <w:rPr>
          <w:rFonts w:ascii="Arial" w:hAnsi="Arial"/>
          <w:color w:val="525252"/>
          <w:sz w:val="13"/>
        </w:rPr>
        <w:t>For deployments smaller than an air expeditionary force, deployed commanders must provide a sexual assault response capability consistent with USAF requirements.</w:t>
      </w:r>
    </w:p>
    <w:p>
      <w:pPr>
        <w:spacing w:after="20" w:line="223" w:lineRule="auto"/>
        <w:jc w:val="right"/>
        <w:bidi/>
      </w:pPr>
      <w:r>
        <w:rPr>
          <w:rFonts w:ascii="Arial" w:hAnsi="Arial"/>
          <w:sz w:val="16"/>
        </w:rPr>
        <w:t>374.16  وکیل قربانیان.</w:t>
      </w:r>
    </w:p>
    <w:p>
      <w:pPr>
        <w:spacing w:after="28" w:line="216" w:lineRule="auto"/>
        <w:ind w:left="259"/>
        <w:jc w:val="left"/>
      </w:pPr>
      <w:r>
        <w:rPr>
          <w:rFonts w:ascii="Arial" w:hAnsi="Arial"/>
          <w:color w:val="525252"/>
          <w:sz w:val="13"/>
        </w:rPr>
        <w:t>Victims’ Counsel.</w:t>
      </w:r>
    </w:p>
    <w:p>
      <w:pPr>
        <w:spacing w:after="20" w:line="223" w:lineRule="auto"/>
        <w:jc w:val="right"/>
        <w:bidi/>
      </w:pPr>
      <w:r>
        <w:rPr>
          <w:rFonts w:ascii="Arial" w:hAnsi="Arial"/>
          <w:sz w:val="16"/>
        </w:rPr>
        <w:t>374.17  وکیل قربانیان (VC) یک وکیل نظامی است که مجاز به ارائه وکالت قانونی مستقل برای قربانیان واجد شرایط تجاوز جنسی، سوء رفتار جنسی، تعقیب و سایر جرایم مشابه است.</w:t>
      </w:r>
    </w:p>
    <w:p>
      <w:pPr>
        <w:spacing w:after="28" w:line="216" w:lineRule="auto"/>
        <w:ind w:left="259"/>
        <w:jc w:val="left"/>
      </w:pPr>
      <w:r>
        <w:rPr>
          <w:rFonts w:ascii="Arial" w:hAnsi="Arial"/>
          <w:color w:val="525252"/>
          <w:sz w:val="13"/>
        </w:rPr>
        <w:t>The Victims’ Counsel (VC) is a military attorney who is authorized to provide independent legal representation to eligible victims of sexual assault, sexual misconduct, stalking, and other similar crimes.</w:t>
      </w:r>
    </w:p>
    <w:p>
      <w:pPr>
        <w:spacing w:after="20" w:line="223" w:lineRule="auto"/>
        <w:jc w:val="right"/>
        <w:bidi/>
      </w:pPr>
      <w:r>
        <w:rPr>
          <w:rFonts w:ascii="Arial" w:hAnsi="Arial"/>
          <w:sz w:val="16"/>
        </w:rPr>
        <w:t>374.18  مسئولیت اصلی یک VC در قبال مشتری است.</w:t>
      </w:r>
    </w:p>
    <w:p>
      <w:pPr>
        <w:spacing w:after="28" w:line="216" w:lineRule="auto"/>
        <w:ind w:left="259"/>
        <w:jc w:val="left"/>
      </w:pPr>
      <w:r>
        <w:rPr>
          <w:rFonts w:ascii="Arial" w:hAnsi="Arial"/>
          <w:color w:val="525252"/>
          <w:sz w:val="13"/>
        </w:rPr>
        <w:t>A VC’s primary responsibility is to their client.</w:t>
      </w:r>
    </w:p>
    <w:p>
      <w:pPr>
        <w:spacing w:after="20" w:line="223" w:lineRule="auto"/>
        <w:jc w:val="right"/>
        <w:bidi/>
      </w:pPr>
      <w:r>
        <w:rPr>
          <w:rFonts w:ascii="Arial" w:hAnsi="Arial"/>
          <w:sz w:val="16"/>
        </w:rPr>
        <w:t>374.19  VC ۳ نقش اصلی دارد: (۱) وکیل - برای حمایت از قربانیان با محافظت از حقوق آنها. (۲) توصیه - ارائه مشاوره حقوقی با توسعه درک قربانیان از سیستم قضایی اغلب پیچیده تحقیقاتی و نظامی؛ (۳) توانمندسازی - با رفع موانع مشارکت کامل آنها در روند عدالت نظامی.</w:t>
      </w:r>
    </w:p>
    <w:p>
      <w:pPr>
        <w:spacing w:after="28" w:line="216" w:lineRule="auto"/>
        <w:ind w:left="259"/>
        <w:jc w:val="left"/>
      </w:pPr>
      <w:r>
        <w:rPr>
          <w:rFonts w:ascii="Arial" w:hAnsi="Arial"/>
          <w:color w:val="525252"/>
          <w:sz w:val="13"/>
        </w:rPr>
        <w:t>The VC has 3 main roles: (1) Advocate - to provide victims zealous advocacy by protecting their rights; (2) Advise - to provide legal advice by developing victims’ understanding of the often complex investigatory and military justice system; (3) Empower - by removing barriers to their full participation in the military justice process.</w:t>
      </w:r>
    </w:p>
    <w:p>
      <w:pPr>
        <w:spacing w:after="20" w:line="223" w:lineRule="auto"/>
        <w:jc w:val="right"/>
        <w:bidi/>
      </w:pPr>
      <w:r>
        <w:rPr>
          <w:rFonts w:ascii="Arial" w:hAnsi="Arial"/>
          <w:sz w:val="16"/>
        </w:rPr>
        <w:t>374.20  تجاوز جنسی.</w:t>
      </w:r>
    </w:p>
    <w:p>
      <w:pPr>
        <w:spacing w:after="28" w:line="216" w:lineRule="auto"/>
        <w:ind w:left="259"/>
        <w:jc w:val="left"/>
      </w:pPr>
      <w:r>
        <w:rPr>
          <w:rFonts w:ascii="Arial" w:hAnsi="Arial"/>
          <w:color w:val="525252"/>
          <w:sz w:val="13"/>
        </w:rPr>
        <w:t>Sexual Assault.</w:t>
      </w:r>
    </w:p>
    <w:p>
      <w:pPr>
        <w:spacing w:after="20" w:line="223" w:lineRule="auto"/>
        <w:jc w:val="right"/>
        <w:bidi/>
      </w:pPr>
      <w:r>
        <w:rPr>
          <w:rFonts w:ascii="Arial" w:hAnsi="Arial"/>
          <w:sz w:val="16"/>
        </w:rPr>
        <w:t>374.21  تجاوز جنسی، رفتاری مجرمانه است که استانداردهایی را که ایالات متحده آمریکا از مردان و زنانی که در USAF خدمت می‌کنند، نقض می‌کند و با ارزش‌های اصلی ما یعنی صداقت، خدمات قبل از خود، و برتری در هر کاری که انجام می‌دهیم ناسازگار است.</w:t>
      </w:r>
    </w:p>
    <w:p>
      <w:pPr>
        <w:spacing w:after="28" w:line="216" w:lineRule="auto"/>
        <w:ind w:left="259"/>
        <w:jc w:val="left"/>
      </w:pPr>
      <w:r>
        <w:rPr>
          <w:rFonts w:ascii="Arial" w:hAnsi="Arial"/>
          <w:color w:val="525252"/>
          <w:sz w:val="13"/>
        </w:rPr>
        <w:t>Sexual assault is criminal conduct that violates the standards the United States of America expects of the men and women serving in the USAF and is inconsistent with our core values of Integrity First, Service Before Self, and Excellence In All We Do.</w:t>
      </w:r>
    </w:p>
    <w:p>
      <w:pPr>
        <w:spacing w:after="20" w:line="223" w:lineRule="auto"/>
        <w:jc w:val="right"/>
        <w:bidi/>
      </w:pPr>
      <w:r>
        <w:rPr>
          <w:rFonts w:ascii="Arial" w:hAnsi="Arial"/>
          <w:sz w:val="16"/>
        </w:rPr>
        <w:t>374.22  ذاتی این ارزشهای اصلی احترام است: احترام به خود، احترام متقابل و احترام به USAF به‌عنوان یک نهاد.</w:t>
      </w:r>
    </w:p>
    <w:p>
      <w:pPr>
        <w:spacing w:after="28" w:line="216" w:lineRule="auto"/>
        <w:ind w:left="259"/>
        <w:jc w:val="left"/>
      </w:pPr>
      <w:r>
        <w:rPr>
          <w:rFonts w:ascii="Arial" w:hAnsi="Arial"/>
          <w:color w:val="525252"/>
          <w:sz w:val="13"/>
        </w:rPr>
        <w:t>Inherent in these core values is respect: self-respect, mutual respect, and respect for the USAF as an institution.</w:t>
      </w:r>
    </w:p>
    <w:p>
      <w:pPr>
        <w:spacing w:after="20" w:line="223" w:lineRule="auto"/>
        <w:jc w:val="right"/>
        <w:bidi/>
      </w:pPr>
      <w:r>
        <w:rPr>
          <w:rFonts w:ascii="Arial" w:hAnsi="Arial"/>
          <w:sz w:val="16"/>
        </w:rPr>
        <w:t>374.23  تجاوز جنسی یک تماس جنسی عمدی است که با استفاده از زور، تهدید، ارعاب، سوء استفاده از قدرت، یا زمانی که قربانی رضایت نمی‌دهد یا نمی‌تواند مشخص شود.</w:t>
      </w:r>
    </w:p>
    <w:p>
      <w:pPr>
        <w:spacing w:after="28" w:line="216" w:lineRule="auto"/>
        <w:ind w:left="259"/>
        <w:jc w:val="left"/>
      </w:pPr>
      <w:r>
        <w:rPr>
          <w:rFonts w:ascii="Arial" w:hAnsi="Arial"/>
          <w:color w:val="525252"/>
          <w:sz w:val="13"/>
        </w:rPr>
        <w:t>Sexual assault is an intentional sexual contact, characterized by the use of force, threats, intimidation, abuse of authority, or when the victim does not or cannot consent.</w:t>
      </w:r>
    </w:p>
    <w:p>
      <w:pPr>
        <w:spacing w:after="20" w:line="223" w:lineRule="auto"/>
        <w:jc w:val="right"/>
        <w:bidi/>
      </w:pPr>
      <w:r>
        <w:rPr>
          <w:rFonts w:ascii="Arial" w:hAnsi="Arial"/>
          <w:sz w:val="16"/>
        </w:rPr>
        <w:t>374.24  اصطلاح تجاوز جنسی شامل طیفی از جرائم جنسی است که به‌طور خاص توسط مواد ۱۲۰، ۱۲۰ ب و ۸۰ ممنوع شده است.</w:t>
      </w:r>
    </w:p>
    <w:p>
      <w:pPr>
        <w:spacing w:after="28" w:line="216" w:lineRule="auto"/>
        <w:ind w:left="259"/>
        <w:jc w:val="left"/>
      </w:pPr>
      <w:r>
        <w:rPr>
          <w:rFonts w:ascii="Arial" w:hAnsi="Arial"/>
          <w:color w:val="525252"/>
          <w:sz w:val="13"/>
        </w:rPr>
        <w:t>The term sexual assault encompasses a range of sexual offenses specifically prohibited by Articles 120, 120b, and 80 of</w:t>
      </w:r>
    </w:p>
    <w:p>
      <w:r>
        <w:br w:type="page"/>
      </w:r>
    </w:p>
    <w:p>
      <w:pPr>
        <w:spacing w:after="60"/>
        <w:jc w:val="right"/>
        <w:bidi/>
      </w:pPr>
      <w:r>
        <w:rPr>
          <w:rFonts w:ascii="Arial" w:hAnsi="Arial"/>
          <w:b/>
          <w:color w:val="1F4D78"/>
          <w:sz w:val="19"/>
        </w:rPr>
        <w:t>هفتهٔ 375  |  صفحهٔ منبع: 391</w:t>
      </w:r>
    </w:p>
    <w:p>
      <w:pPr>
        <w:spacing w:after="20" w:line="223" w:lineRule="auto"/>
        <w:jc w:val="right"/>
        <w:bidi/>
      </w:pPr>
      <w:r>
        <w:rPr>
          <w:rFonts w:ascii="Arial" w:hAnsi="Arial"/>
          <w:sz w:val="16"/>
        </w:rPr>
        <w:t>375.01  قانون یکسان عدالت نظامی، شامل تجاوز جنسی، تجاوز جنسی، تماس جنسی تشدید شده، تماس جنسی آزاردهنده، لواط اجباری، یا تلاش برای ارتکاب هر یک از این جرایم.</w:t>
      </w:r>
    </w:p>
    <w:p>
      <w:pPr>
        <w:spacing w:after="28" w:line="216" w:lineRule="auto"/>
        <w:ind w:left="259"/>
        <w:jc w:val="left"/>
      </w:pPr>
      <w:r>
        <w:rPr>
          <w:rFonts w:ascii="Arial" w:hAnsi="Arial"/>
          <w:color w:val="525252"/>
          <w:sz w:val="13"/>
        </w:rPr>
        <w:t>the Uniform Code of Military Justice, to include rape, sexual assault, aggravated sexual contact, abusive sexual contact, forcible sodomy, or attempts to commit any of these offenses.</w:t>
      </w:r>
    </w:p>
    <w:p>
      <w:pPr>
        <w:spacing w:after="20" w:line="223" w:lineRule="auto"/>
        <w:jc w:val="right"/>
        <w:bidi/>
      </w:pPr>
      <w:r>
        <w:rPr>
          <w:rFonts w:ascii="Arial" w:hAnsi="Arial"/>
          <w:sz w:val="16"/>
        </w:rPr>
        <w:t>375.02  رضایت.</w:t>
      </w:r>
    </w:p>
    <w:p>
      <w:pPr>
        <w:spacing w:after="28" w:line="216" w:lineRule="auto"/>
        <w:ind w:left="259"/>
        <w:jc w:val="left"/>
      </w:pPr>
      <w:r>
        <w:rPr>
          <w:rFonts w:ascii="Arial" w:hAnsi="Arial"/>
          <w:color w:val="525252"/>
          <w:sz w:val="13"/>
        </w:rPr>
        <w:t>Consent.</w:t>
      </w:r>
    </w:p>
    <w:p>
      <w:pPr>
        <w:spacing w:after="20" w:line="223" w:lineRule="auto"/>
        <w:jc w:val="right"/>
        <w:bidi/>
      </w:pPr>
      <w:r>
        <w:rPr>
          <w:rFonts w:ascii="Arial" w:hAnsi="Arial"/>
          <w:sz w:val="16"/>
        </w:rPr>
        <w:t>375.03  رضایت به‌عنوان کلمات یا اعمال آشکاری تعریف می‌شود که نشان‌دهنده توافق آزادانه با رفتار جنسی توسط یک فرد صالح است.</w:t>
      </w:r>
    </w:p>
    <w:p>
      <w:pPr>
        <w:spacing w:after="28" w:line="216" w:lineRule="auto"/>
        <w:ind w:left="259"/>
        <w:jc w:val="left"/>
      </w:pPr>
      <w:r>
        <w:rPr>
          <w:rFonts w:ascii="Arial" w:hAnsi="Arial"/>
          <w:color w:val="525252"/>
          <w:sz w:val="13"/>
        </w:rPr>
        <w:t>Consent is defined as words or overt acts indicating a freely given agreement to the sexual conduct by a competent person.</w:t>
      </w:r>
    </w:p>
    <w:p>
      <w:pPr>
        <w:spacing w:after="20" w:line="223" w:lineRule="auto"/>
        <w:jc w:val="right"/>
        <w:bidi/>
      </w:pPr>
      <w:r>
        <w:rPr>
          <w:rFonts w:ascii="Arial" w:hAnsi="Arial"/>
          <w:sz w:val="16"/>
        </w:rPr>
        <w:t>375.04  بیان عدم رضایت از طریق کلمات یا رفتار به معنای عدم رضایت است.</w:t>
      </w:r>
    </w:p>
    <w:p>
      <w:pPr>
        <w:spacing w:after="28" w:line="216" w:lineRule="auto"/>
        <w:ind w:left="259"/>
        <w:jc w:val="left"/>
      </w:pPr>
      <w:r>
        <w:rPr>
          <w:rFonts w:ascii="Arial" w:hAnsi="Arial"/>
          <w:color w:val="525252"/>
          <w:sz w:val="13"/>
        </w:rPr>
        <w:t>An expression of lack of consent through words or conduct means there is no consent.</w:t>
      </w:r>
    </w:p>
    <w:p>
      <w:pPr>
        <w:spacing w:after="20" w:line="223" w:lineRule="auto"/>
        <w:jc w:val="right"/>
        <w:bidi/>
      </w:pPr>
      <w:r>
        <w:rPr>
          <w:rFonts w:ascii="Arial" w:hAnsi="Arial"/>
          <w:sz w:val="16"/>
        </w:rPr>
        <w:t>375.05  عدم مقاومت یا تسلیم کلامی یا فیزیکی ناشی از توسل به زور، تهدید به زور یا ترساندن شخص دیگری از سوی متهم، به منزله رضایت نیست.</w:t>
      </w:r>
    </w:p>
    <w:p>
      <w:pPr>
        <w:spacing w:after="28" w:line="216" w:lineRule="auto"/>
        <w:ind w:left="259"/>
        <w:jc w:val="left"/>
      </w:pPr>
      <w:r>
        <w:rPr>
          <w:rFonts w:ascii="Arial" w:hAnsi="Arial"/>
          <w:color w:val="525252"/>
          <w:sz w:val="13"/>
        </w:rPr>
        <w:t>Lack of verbal or physical resistance or submission resulting from the accused’s use of force, threat of force, or placing another person in fear, does not constitute consent.</w:t>
      </w:r>
    </w:p>
    <w:p>
      <w:pPr>
        <w:spacing w:after="20" w:line="223" w:lineRule="auto"/>
        <w:jc w:val="right"/>
        <w:bidi/>
      </w:pPr>
      <w:r>
        <w:rPr>
          <w:rFonts w:ascii="Arial" w:hAnsi="Arial"/>
          <w:sz w:val="16"/>
        </w:rPr>
        <w:t>375.06  رابطه فعلی یا قبلی یا نحوه لباس پوشیدن شخص درگیر با متهم در رفتار جنسی مورد نظر، به منزله رضایت نیست.</w:t>
      </w:r>
    </w:p>
    <w:p>
      <w:pPr>
        <w:spacing w:after="28" w:line="216" w:lineRule="auto"/>
        <w:ind w:left="259"/>
        <w:jc w:val="left"/>
      </w:pPr>
      <w:r>
        <w:rPr>
          <w:rFonts w:ascii="Arial" w:hAnsi="Arial"/>
          <w:color w:val="525252"/>
          <w:sz w:val="13"/>
        </w:rPr>
        <w:t>A current or previous relationship, or the manner of dress of the person involved with the accused in the sexual conduct at issue, shall not constitute consent.</w:t>
      </w:r>
    </w:p>
    <w:p>
      <w:pPr>
        <w:spacing w:after="20" w:line="223" w:lineRule="auto"/>
        <w:jc w:val="right"/>
        <w:bidi/>
      </w:pPr>
      <w:r>
        <w:rPr>
          <w:rFonts w:ascii="Arial" w:hAnsi="Arial"/>
          <w:sz w:val="16"/>
        </w:rPr>
        <w:t>375.07  در مواردی که فرد در خواب یا ناتوانی است، از جمله به دلیل سن، الکل یا مواد مخدر، یا ناتوانی ذهنی، رضایتی وجود ندارد.</w:t>
      </w:r>
    </w:p>
    <w:p>
      <w:pPr>
        <w:spacing w:after="28" w:line="216" w:lineRule="auto"/>
        <w:ind w:left="259"/>
        <w:jc w:val="left"/>
      </w:pPr>
      <w:r>
        <w:rPr>
          <w:rFonts w:ascii="Arial" w:hAnsi="Arial"/>
          <w:color w:val="525252"/>
          <w:sz w:val="13"/>
        </w:rPr>
        <w:t>There is no consent where the person is sleeping or incapacitated, such as due to age, alcohol or drugs, or mental incapacity.</w:t>
      </w:r>
    </w:p>
    <w:p>
      <w:pPr>
        <w:spacing w:after="20" w:line="223" w:lineRule="auto"/>
        <w:jc w:val="right"/>
        <w:bidi/>
      </w:pPr>
      <w:r>
        <w:rPr>
          <w:rFonts w:ascii="Arial" w:hAnsi="Arial"/>
          <w:sz w:val="16"/>
        </w:rPr>
        <w:t>375.08  پاسخ به یک ادعای تجاوز جنسی.</w:t>
      </w:r>
    </w:p>
    <w:p>
      <w:pPr>
        <w:spacing w:after="28" w:line="216" w:lineRule="auto"/>
        <w:ind w:left="259"/>
        <w:jc w:val="left"/>
      </w:pPr>
      <w:r>
        <w:rPr>
          <w:rFonts w:ascii="Arial" w:hAnsi="Arial"/>
          <w:color w:val="525252"/>
          <w:sz w:val="13"/>
        </w:rPr>
        <w:t>Response to an Allegation of Sexual Assault.</w:t>
      </w:r>
    </w:p>
    <w:p>
      <w:pPr>
        <w:spacing w:after="20" w:line="223" w:lineRule="auto"/>
        <w:jc w:val="right"/>
        <w:bidi/>
      </w:pPr>
      <w:r>
        <w:rPr>
          <w:rFonts w:ascii="Arial" w:hAnsi="Arial"/>
          <w:sz w:val="16"/>
        </w:rPr>
        <w:t>375.09  هر عضو نظامی یا کارمند غیرنظامی، به غیر از آنهایی که مجاز به دریافت ارتباطات محرمانه هستند یا به موجب قانون، مقررات یا سیاست مستثنی شده‌اند، که گزارشی از یک حادثه تجاوز جنسی در مورد یکی از زیردستان در زنجیره نظارت فرد دریافت می‌کند، موضوع را به فرمانده، SARC و دفتر سرمایه‌گذاری ویژه نیروی هوایی گزارش می‌دهد.</w:t>
      </w:r>
    </w:p>
    <w:p>
      <w:pPr>
        <w:spacing w:after="28" w:line="216" w:lineRule="auto"/>
        <w:ind w:left="259"/>
        <w:jc w:val="left"/>
      </w:pPr>
      <w:r>
        <w:rPr>
          <w:rFonts w:ascii="Arial" w:hAnsi="Arial"/>
          <w:color w:val="525252"/>
          <w:sz w:val="13"/>
        </w:rPr>
        <w:t>Any military member or civilian employee, other than those authorized to receive confidential communications or otherwise exempted by law, regulation, or policy, who receives a report of a sexual assault incident about a subordinate in the individual’s supervisory chain, will report the matter to the commander, the SARC, and the Air Force Office of Special Investigations.</w:t>
      </w:r>
    </w:p>
    <w:p>
      <w:pPr>
        <w:spacing w:after="20" w:line="223" w:lineRule="auto"/>
        <w:jc w:val="right"/>
        <w:bidi/>
      </w:pPr>
      <w:r>
        <w:rPr>
          <w:rFonts w:ascii="Arial" w:hAnsi="Arial"/>
          <w:sz w:val="16"/>
        </w:rPr>
        <w:t>375.10  اعضای نظامی یا کارمندان غیرنظامی که از یک حادثه تجاوز جنسی آگاه می‌شوند، بدون اینکه زیردستان در زنجیره نظارت دخالت داشته باشند، به شدت تشویق می‌شوند، اما لازم نیست، حادثه را به SARC گزارش دهند یا قربانی را تشویق به انجام آن کنند.</w:t>
      </w:r>
    </w:p>
    <w:p>
      <w:pPr>
        <w:spacing w:after="28" w:line="216" w:lineRule="auto"/>
        <w:ind w:left="259"/>
        <w:jc w:val="left"/>
      </w:pPr>
      <w:r>
        <w:rPr>
          <w:rFonts w:ascii="Arial" w:hAnsi="Arial"/>
          <w:color w:val="525252"/>
          <w:sz w:val="13"/>
        </w:rPr>
        <w:t>Military members or civilian employees who become aware of a sexual assault incident, not involving a subordinate in the supervisory chain, are strongly encouraged, but not required, to report the incident to the SARC or encourage the victim to do so.</w:t>
      </w:r>
    </w:p>
    <w:p>
      <w:pPr>
        <w:spacing w:before="60" w:after="28"/>
        <w:jc w:val="right"/>
        <w:bidi/>
      </w:pPr>
      <w:r>
        <w:rPr>
          <w:b/>
          <w:color w:val="1F4D78"/>
          <w:sz w:val="18"/>
        </w:rPr>
        <w:t>20.23. گزینه های گزارش تجاوز جنسی</w:t>
      </w:r>
    </w:p>
    <w:p>
      <w:pPr>
        <w:spacing w:after="20"/>
        <w:ind w:left="259"/>
        <w:jc w:val="left"/>
      </w:pPr>
      <w:r>
        <w:rPr>
          <w:color w:val="555555"/>
          <w:sz w:val="12"/>
        </w:rPr>
        <w:t>20.23. Sexual Assault Reporting Options</w:t>
      </w:r>
    </w:p>
    <w:p>
      <w:pPr>
        <w:spacing w:after="20" w:line="223" w:lineRule="auto"/>
        <w:jc w:val="right"/>
        <w:bidi/>
      </w:pPr>
      <w:r>
        <w:rPr>
          <w:rFonts w:ascii="Arial" w:hAnsi="Arial"/>
          <w:sz w:val="16"/>
        </w:rPr>
        <w:t>375.12  USAF دو گزینه گزارش‌دهی دارد: گزارش نامحدود و محدود.</w:t>
      </w:r>
    </w:p>
    <w:p>
      <w:pPr>
        <w:spacing w:after="28" w:line="216" w:lineRule="auto"/>
        <w:ind w:left="259"/>
        <w:jc w:val="left"/>
      </w:pPr>
      <w:r>
        <w:rPr>
          <w:rFonts w:ascii="Arial" w:hAnsi="Arial"/>
          <w:color w:val="525252"/>
          <w:sz w:val="13"/>
        </w:rPr>
        <w:t>The USAF has two reporting options: unrestricted and restricted reporting.</w:t>
      </w:r>
    </w:p>
    <w:p>
      <w:pPr>
        <w:spacing w:after="20" w:line="223" w:lineRule="auto"/>
        <w:jc w:val="right"/>
        <w:bidi/>
      </w:pPr>
      <w:r>
        <w:rPr>
          <w:rFonts w:ascii="Arial" w:hAnsi="Arial"/>
          <w:sz w:val="16"/>
        </w:rPr>
        <w:t>375.13  USAF تمام تلاش خود را می‌کند تا با قربانیان تجاوز جنسی با عزت و احترام رفتار کند، از حریم خصوصی آنها تا حد اکثر قانون محافظت کند، و حمایت، حمایت و مراقبت را ارائه دهد.</w:t>
      </w:r>
    </w:p>
    <w:p>
      <w:pPr>
        <w:spacing w:after="28" w:line="216" w:lineRule="auto"/>
        <w:ind w:left="259"/>
        <w:jc w:val="left"/>
      </w:pPr>
      <w:r>
        <w:rPr>
          <w:rFonts w:ascii="Arial" w:hAnsi="Arial"/>
          <w:color w:val="525252"/>
          <w:sz w:val="13"/>
        </w:rPr>
        <w:t>The USAF makes every effort to treat victims of sexual assault with dignity and respect, to protect their privacy to the maximum extent of the law, and provide support, advocacy, and care.</w:t>
      </w:r>
    </w:p>
    <w:p>
      <w:pPr>
        <w:spacing w:after="20" w:line="223" w:lineRule="auto"/>
        <w:jc w:val="right"/>
        <w:bidi/>
      </w:pPr>
      <w:r>
        <w:rPr>
          <w:rFonts w:ascii="Arial" w:hAnsi="Arial"/>
          <w:sz w:val="16"/>
        </w:rPr>
        <w:t>375.14  صرف نظر از اینکه قربانی گزارش محدود یا نامحدود را انتخاب کند، محرمانه بودن اطلاعات پزشکی حفظ خواهد شد.</w:t>
      </w:r>
    </w:p>
    <w:p>
      <w:pPr>
        <w:spacing w:after="28" w:line="216" w:lineRule="auto"/>
        <w:ind w:left="259"/>
        <w:jc w:val="left"/>
      </w:pPr>
      <w:r>
        <w:rPr>
          <w:rFonts w:ascii="Arial" w:hAnsi="Arial"/>
          <w:color w:val="525252"/>
          <w:sz w:val="13"/>
        </w:rPr>
        <w:t>Regardless of whether the victim elects restricted or unrestricted reporting, confidentiality of medical information will be maintained.</w:t>
      </w:r>
    </w:p>
    <w:p>
      <w:pPr>
        <w:spacing w:after="20" w:line="223" w:lineRule="auto"/>
        <w:jc w:val="right"/>
        <w:bidi/>
      </w:pPr>
      <w:r>
        <w:rPr>
          <w:rFonts w:ascii="Arial" w:hAnsi="Arial"/>
          <w:sz w:val="16"/>
        </w:rPr>
        <w:t>375.15  گزارشات محدود.</w:t>
      </w:r>
    </w:p>
    <w:p>
      <w:pPr>
        <w:spacing w:after="28" w:line="216" w:lineRule="auto"/>
        <w:ind w:left="259"/>
        <w:jc w:val="left"/>
      </w:pPr>
      <w:r>
        <w:rPr>
          <w:rFonts w:ascii="Arial" w:hAnsi="Arial"/>
          <w:color w:val="525252"/>
          <w:sz w:val="13"/>
        </w:rPr>
        <w:t>Restricted Reports.</w:t>
      </w:r>
    </w:p>
    <w:p>
      <w:pPr>
        <w:spacing w:after="20" w:line="223" w:lineRule="auto"/>
        <w:jc w:val="right"/>
        <w:bidi/>
      </w:pPr>
      <w:r>
        <w:rPr>
          <w:rFonts w:ascii="Arial" w:hAnsi="Arial"/>
          <w:sz w:val="16"/>
        </w:rPr>
        <w:t>375.16  وزارت دفاع اجرای محرمانگی را در قالب یک گزینه گزارش محدود انجام داده است که قربانیان واجد شرایط را قادر می‌سازد تا ادعاهای تجاوز جنسی را به پرسنل مشخص گزارش کنند، بدون اینکه تحقیقاتی آغاز شود.</w:t>
      </w:r>
    </w:p>
    <w:p>
      <w:pPr>
        <w:spacing w:after="28" w:line="216" w:lineRule="auto"/>
        <w:ind w:left="259"/>
        <w:jc w:val="left"/>
      </w:pPr>
      <w:r>
        <w:rPr>
          <w:rFonts w:ascii="Arial" w:hAnsi="Arial"/>
          <w:color w:val="525252"/>
          <w:sz w:val="13"/>
        </w:rPr>
        <w:t>The Department of Defense has directed the implementation of confidentiality in the form of a restricted reporting option that enables eligible victims to report allegations of sexual assault to specified personnel, without triggering an investigation.</w:t>
      </w:r>
    </w:p>
    <w:p>
      <w:pPr>
        <w:spacing w:after="20" w:line="223" w:lineRule="auto"/>
        <w:jc w:val="right"/>
        <w:bidi/>
      </w:pPr>
      <w:r>
        <w:rPr>
          <w:rFonts w:ascii="Arial" w:hAnsi="Arial"/>
          <w:sz w:val="16"/>
        </w:rPr>
        <w:t>375.17  این گزینه گزارش‌دهی برای رفع موانع مراقبت و پشتیبانی پزشکی در نظر گرفته شده است و در عین حال به قربانی زمان بیشتری می‌دهد و کنترل بیشتری بر انتشار و مدیریت اطلاعات شخصی دارد.</w:t>
      </w:r>
    </w:p>
    <w:p>
      <w:pPr>
        <w:spacing w:after="28" w:line="216" w:lineRule="auto"/>
        <w:ind w:left="259"/>
        <w:jc w:val="left"/>
      </w:pPr>
      <w:r>
        <w:rPr>
          <w:rFonts w:ascii="Arial" w:hAnsi="Arial"/>
          <w:color w:val="525252"/>
          <w:sz w:val="13"/>
        </w:rPr>
        <w:t>This reporting option is intended to remove barriers to medical care and support while giving the victim additional time and increased control over the release and management of personal information.</w:t>
      </w:r>
    </w:p>
    <w:p>
      <w:pPr>
        <w:spacing w:after="20" w:line="223" w:lineRule="auto"/>
        <w:jc w:val="right"/>
        <w:bidi/>
      </w:pPr>
      <w:r>
        <w:rPr>
          <w:rFonts w:ascii="Arial" w:hAnsi="Arial"/>
          <w:sz w:val="16"/>
        </w:rPr>
        <w:t>375.18  فقط SARC ها، SAPR واس، وواس، و پرسنل مراقبت‌های بهداشتی ممکن است گزارش‌های محدودی از تجاوز جنسی دریافت کنند.</w:t>
      </w:r>
    </w:p>
    <w:p>
      <w:pPr>
        <w:spacing w:after="28" w:line="216" w:lineRule="auto"/>
        <w:ind w:left="259"/>
        <w:jc w:val="left"/>
      </w:pPr>
      <w:r>
        <w:rPr>
          <w:rFonts w:ascii="Arial" w:hAnsi="Arial"/>
          <w:color w:val="525252"/>
          <w:sz w:val="13"/>
        </w:rPr>
        <w:t>Only SARCs, SAPR VAs, VVAs, and healthcare personnel may receive restricted reports of sexual assault.</w:t>
      </w:r>
    </w:p>
    <w:p>
      <w:pPr>
        <w:spacing w:after="20" w:line="223" w:lineRule="auto"/>
        <w:jc w:val="right"/>
        <w:bidi/>
      </w:pPr>
      <w:r>
        <w:rPr>
          <w:rFonts w:ascii="Arial" w:hAnsi="Arial"/>
          <w:sz w:val="16"/>
        </w:rPr>
        <w:t>375.19  اگر قربانی این گزینه گزارش‌دهی را انتخاب کند، قربانی می‌تواند در هر زمانی یک گزارش محدود را به گزارش نامحدود تبدیل کند.</w:t>
      </w:r>
    </w:p>
    <w:p>
      <w:pPr>
        <w:spacing w:after="28" w:line="216" w:lineRule="auto"/>
        <w:ind w:left="259"/>
        <w:jc w:val="left"/>
      </w:pPr>
      <w:r>
        <w:rPr>
          <w:rFonts w:ascii="Arial" w:hAnsi="Arial"/>
          <w:color w:val="525252"/>
          <w:sz w:val="13"/>
        </w:rPr>
        <w:t>If a victim elects this reporting option, a victim may convert a restricted report to an unrestricted report at any time.</w:t>
      </w:r>
    </w:p>
    <w:p>
      <w:pPr>
        <w:spacing w:after="20" w:line="223" w:lineRule="auto"/>
        <w:jc w:val="right"/>
        <w:bidi/>
      </w:pPr>
      <w:r>
        <w:rPr>
          <w:rFonts w:ascii="Arial" w:hAnsi="Arial"/>
          <w:sz w:val="16"/>
        </w:rPr>
        <w:t>375.20  کشیشان، وکلای کمک حقوقی، و VC دارای حق ارتباطات ممتاز، گزارش محدود تجاوز جنسی را نمی‌پذیرند.</w:t>
      </w:r>
    </w:p>
    <w:p>
      <w:pPr>
        <w:spacing w:after="28" w:line="216" w:lineRule="auto"/>
        <w:ind w:left="259"/>
        <w:jc w:val="left"/>
      </w:pPr>
      <w:r>
        <w:rPr>
          <w:rFonts w:ascii="Arial" w:hAnsi="Arial"/>
          <w:color w:val="525252"/>
          <w:sz w:val="13"/>
        </w:rPr>
        <w:t>Chaplains, legal assistance attorneys, and VC entitled to privileged communications will not accept a restricted report of sexual assault.</w:t>
      </w:r>
    </w:p>
    <w:p>
      <w:pPr>
        <w:spacing w:after="20" w:line="223" w:lineRule="auto"/>
        <w:jc w:val="right"/>
        <w:bidi/>
      </w:pPr>
      <w:r>
        <w:rPr>
          <w:rFonts w:ascii="Arial" w:hAnsi="Arial"/>
          <w:sz w:val="16"/>
        </w:rPr>
        <w:t>375.21  با این حال، در جریان ارتباطات ممتاز با کشیشان، وکلای کمک حقوقی، و VC، قربانی ممکن است نشان دهد که می‌خواهد گزارشی محدود ارائه کند.</w:t>
      </w:r>
    </w:p>
    <w:p>
      <w:pPr>
        <w:spacing w:after="28" w:line="216" w:lineRule="auto"/>
        <w:ind w:left="259"/>
        <w:jc w:val="left"/>
      </w:pPr>
      <w:r>
        <w:rPr>
          <w:rFonts w:ascii="Arial" w:hAnsi="Arial"/>
          <w:color w:val="525252"/>
          <w:sz w:val="13"/>
        </w:rPr>
        <w:t>However, in the course of otherwise privileged communications with chaplains, legal assistance attorneys, and VC, a victim may indicate that he or she wishes to file a restricted report.</w:t>
      </w:r>
    </w:p>
    <w:p>
      <w:pPr>
        <w:spacing w:after="20" w:line="223" w:lineRule="auto"/>
        <w:jc w:val="right"/>
        <w:bidi/>
      </w:pPr>
      <w:r>
        <w:rPr>
          <w:rFonts w:ascii="Arial" w:hAnsi="Arial"/>
          <w:sz w:val="16"/>
        </w:rPr>
        <w:t>375.22  اگر این اتفاق بیفتد، کشیشان، وکلای کمک حقوقی، و VC تماس با SARC، SAPR VA، یا VVA را برای اطمینان از ارائه خدمات SAPR به قربانی تسهیل می‌کنند.</w:t>
      </w:r>
    </w:p>
    <w:p>
      <w:pPr>
        <w:spacing w:after="28" w:line="216" w:lineRule="auto"/>
        <w:ind w:left="259"/>
        <w:jc w:val="left"/>
      </w:pPr>
      <w:r>
        <w:rPr>
          <w:rFonts w:ascii="Arial" w:hAnsi="Arial"/>
          <w:color w:val="525252"/>
          <w:sz w:val="13"/>
        </w:rPr>
        <w:t>If this occurs, the chaplains, legal assistance attorneys, and VC will facilitate contact with a SARC, SAPR VA, or VVA to ensure that a victim is offered SAPR services.</w:t>
      </w:r>
    </w:p>
    <w:p>
      <w:pPr>
        <w:spacing w:after="20" w:line="223" w:lineRule="auto"/>
        <w:jc w:val="right"/>
        <w:bidi/>
      </w:pPr>
      <w:r>
        <w:rPr>
          <w:rFonts w:ascii="Arial" w:hAnsi="Arial"/>
          <w:sz w:val="16"/>
        </w:rPr>
        <w:t>375.23  گزارش‌های نامحدود.</w:t>
      </w:r>
    </w:p>
    <w:p>
      <w:pPr>
        <w:spacing w:after="28" w:line="216" w:lineRule="auto"/>
        <w:ind w:left="259"/>
        <w:jc w:val="left"/>
      </w:pPr>
      <w:r>
        <w:rPr>
          <w:rFonts w:ascii="Arial" w:hAnsi="Arial"/>
          <w:color w:val="525252"/>
          <w:sz w:val="13"/>
        </w:rPr>
        <w:t>Unrestricted Reports.</w:t>
      </w:r>
    </w:p>
    <w:p>
      <w:pPr>
        <w:spacing w:after="20" w:line="223" w:lineRule="auto"/>
        <w:jc w:val="right"/>
        <w:bidi/>
      </w:pPr>
      <w:r>
        <w:rPr>
          <w:rFonts w:ascii="Arial" w:hAnsi="Arial"/>
          <w:sz w:val="16"/>
        </w:rPr>
        <w:t>375.24  هرگونه گزارش تجاوز جنسی توسط قربانی از طریق کانال‌های گزارش‌دهی عادی، از جمله زنجیره فرماندهی قربانی، مجری قانون، و دفتر تحقیقات ویژه نیروی هوایی یا سایر خدمات تحقیقات جنایی، گزارش نامحدود تلقی می‌شود.</w:t>
      </w:r>
    </w:p>
    <w:p>
      <w:pPr>
        <w:spacing w:after="28" w:line="216" w:lineRule="auto"/>
        <w:ind w:left="259"/>
        <w:jc w:val="left"/>
      </w:pPr>
      <w:r>
        <w:rPr>
          <w:rFonts w:ascii="Arial" w:hAnsi="Arial"/>
          <w:color w:val="525252"/>
          <w:sz w:val="13"/>
        </w:rPr>
        <w:t>Any report of a sexual assault made by the victim through normal reporting channels, including the victim’s chain of command, law enforcement, and the Air Force Office of Special Investigations or other criminal investigative services, is considered an unrestricted report.</w:t>
      </w:r>
    </w:p>
    <w:p>
      <w:pPr>
        <w:spacing w:after="20" w:line="223" w:lineRule="auto"/>
        <w:jc w:val="right"/>
        <w:bidi/>
      </w:pPr>
      <w:r>
        <w:rPr>
          <w:rFonts w:ascii="Arial" w:hAnsi="Arial"/>
          <w:sz w:val="16"/>
        </w:rPr>
        <w:t>375.25  اگر قربانی این گزینه گزارش‌دهی را انتخاب کند، قربانی مجاز نخواهد بود از گزارش نامحدود به گزارش محدود تغییر کند.</w:t>
      </w:r>
    </w:p>
    <w:p>
      <w:pPr>
        <w:spacing w:after="28" w:line="216" w:lineRule="auto"/>
        <w:ind w:left="259"/>
        <w:jc w:val="left"/>
      </w:pPr>
      <w:r>
        <w:rPr>
          <w:rFonts w:ascii="Arial" w:hAnsi="Arial"/>
          <w:color w:val="525252"/>
          <w:sz w:val="13"/>
        </w:rPr>
        <w:t>If a victim elects this reporting option, a victim will not be permitted to change from unrestricted to a restricted report.</w:t>
      </w:r>
    </w:p>
    <w:p>
      <w:pPr>
        <w:spacing w:after="20" w:line="223" w:lineRule="auto"/>
        <w:jc w:val="right"/>
        <w:bidi/>
      </w:pPr>
      <w:r>
        <w:rPr>
          <w:rFonts w:ascii="Arial" w:hAnsi="Arial"/>
          <w:sz w:val="16"/>
        </w:rPr>
        <w:t>375.26  فردی که به او گزارش نامحدود داده می‌شود، SARC را مطلع می‌کند.</w:t>
      </w:r>
    </w:p>
    <w:p>
      <w:pPr>
        <w:spacing w:after="28" w:line="216" w:lineRule="auto"/>
        <w:ind w:left="259"/>
        <w:jc w:val="left"/>
      </w:pPr>
      <w:r>
        <w:rPr>
          <w:rFonts w:ascii="Arial" w:hAnsi="Arial"/>
          <w:color w:val="525252"/>
          <w:sz w:val="13"/>
        </w:rPr>
        <w:t>The individual to whom an unrestricted report is made will notify the SARC.</w:t>
      </w:r>
    </w:p>
    <w:p>
      <w:pPr>
        <w:spacing w:after="20" w:line="223" w:lineRule="auto"/>
        <w:jc w:val="right"/>
        <w:bidi/>
      </w:pPr>
      <w:r>
        <w:rPr>
          <w:rFonts w:ascii="Arial" w:hAnsi="Arial"/>
          <w:sz w:val="16"/>
        </w:rPr>
        <w:t>375.27  هرگونه گزارش تجاوز جنسی که از طریق SARC، SAPR VA، VVA، یا پرسنل مراقبت‌های بهداشتی توسط فردی که گزارش نامحدودی را انتخاب کرده و آن را به صورت کتبی تعیین می‌کند، به دفتر تحقیقات ویژه نیروی هوایی ارسال می‌شود.</w:t>
      </w:r>
    </w:p>
    <w:p>
      <w:pPr>
        <w:spacing w:after="28" w:line="216" w:lineRule="auto"/>
        <w:ind w:left="259"/>
        <w:jc w:val="left"/>
      </w:pPr>
      <w:r>
        <w:rPr>
          <w:rFonts w:ascii="Arial" w:hAnsi="Arial"/>
          <w:color w:val="525252"/>
          <w:sz w:val="13"/>
        </w:rPr>
        <w:t>Any report of sexual assault made through the SARC, SAPR VA, VVA, or healthcare personnel by an individual who elects an unrestricted report and designates so in writing, will be forwarded to the Air Force Office of Special Investigations.</w:t>
      </w:r>
    </w:p>
    <w:p>
      <w:pPr>
        <w:spacing w:after="20" w:line="223" w:lineRule="auto"/>
        <w:jc w:val="right"/>
        <w:bidi/>
      </w:pPr>
      <w:r>
        <w:rPr>
          <w:rFonts w:ascii="Arial" w:hAnsi="Arial"/>
          <w:sz w:val="16"/>
        </w:rPr>
        <w:t>375.28  قربانیان می‌توانند همیشه گزارش محدودی از تجاوز جنسی ارائه کنند، به استثنای مواردی که قربانی شخصا حادثه را به مجریان قانون (از جمله مکیوس) گزارش کرده یا پیش‌تر یک گزارش نامحدود با فرم DD امضا شده ۲۹۱۰ برای همان حادثه ارائه کرده است.</w:t>
      </w:r>
    </w:p>
    <w:p>
      <w:pPr>
        <w:spacing w:after="28" w:line="216" w:lineRule="auto"/>
        <w:ind w:left="259"/>
        <w:jc w:val="left"/>
      </w:pPr>
      <w:r>
        <w:rPr>
          <w:rFonts w:ascii="Arial" w:hAnsi="Arial"/>
          <w:color w:val="525252"/>
          <w:sz w:val="13"/>
        </w:rPr>
        <w:t>Victims may elect to make a restricted report of sexual assault at all times, except in cases where the victim personally reported the incident to law enforcement (including MCIOs) or previously filed an Unrestricted Report with a signed DD Form 2910 for the same incident.</w:t>
      </w:r>
    </w:p>
    <w:p>
      <w:pPr>
        <w:spacing w:after="20" w:line="223" w:lineRule="auto"/>
        <w:jc w:val="right"/>
        <w:bidi/>
      </w:pPr>
      <w:r>
        <w:rPr>
          <w:rFonts w:ascii="Arial" w:hAnsi="Arial"/>
          <w:sz w:val="16"/>
        </w:rPr>
        <w:t>375.29  قربانیان می‌توانند یک گزارش محدود ارائه کنند، حتی اگر این ادعا</w:t>
      </w:r>
    </w:p>
    <w:p>
      <w:pPr>
        <w:spacing w:after="28" w:line="216" w:lineRule="auto"/>
        <w:ind w:left="259"/>
        <w:jc w:val="left"/>
      </w:pPr>
      <w:r>
        <w:rPr>
          <w:rFonts w:ascii="Arial" w:hAnsi="Arial"/>
          <w:color w:val="525252"/>
          <w:sz w:val="13"/>
        </w:rPr>
        <w:t>Victims can file a Restricted Report even if the allegation has</w:t>
      </w:r>
    </w:p>
    <w:p>
      <w:r>
        <w:br w:type="page"/>
      </w:r>
    </w:p>
    <w:p>
      <w:pPr>
        <w:spacing w:after="60"/>
        <w:jc w:val="right"/>
        <w:bidi/>
      </w:pPr>
      <w:r>
        <w:rPr>
          <w:rFonts w:ascii="Arial" w:hAnsi="Arial"/>
          <w:b/>
          <w:color w:val="1F4D78"/>
          <w:sz w:val="19"/>
        </w:rPr>
        <w:t>هفتهٔ 376  |  صفحهٔ منبع: 392</w:t>
      </w:r>
    </w:p>
    <w:p>
      <w:pPr>
        <w:spacing w:after="20" w:line="223" w:lineRule="auto"/>
        <w:jc w:val="right"/>
        <w:bidi/>
      </w:pPr>
      <w:r>
        <w:rPr>
          <w:rFonts w:ascii="Arial" w:hAnsi="Arial"/>
          <w:sz w:val="16"/>
        </w:rPr>
        <w:t>376.01  سهوا یا پیش‌تر توسط قربانی، مظنون یا شخص ثالث به فرماندهی فاش شده است. یا این موضوع به مجریان قانون گزارش شده است، که شامل MCIOها، توسط هر کسی غیر از قربانی است. یا تحقیقاتی آغاز شده، در حال انجام است، یا بسته شده است.</w:t>
      </w:r>
    </w:p>
    <w:p>
      <w:pPr>
        <w:spacing w:after="28" w:line="216" w:lineRule="auto"/>
        <w:ind w:left="259"/>
        <w:jc w:val="left"/>
      </w:pPr>
      <w:r>
        <w:rPr>
          <w:rFonts w:ascii="Arial" w:hAnsi="Arial"/>
          <w:color w:val="525252"/>
          <w:sz w:val="13"/>
        </w:rPr>
        <w:t>been inadvertently or previously disclosed to command by the victim, suspect, or third party; or he matter has been reported to law enforcement, to include MCIOs, by anyone other than the victim; or an investigation is initiated, in progress, or closed.</w:t>
      </w:r>
    </w:p>
    <w:p>
      <w:pPr>
        <w:spacing w:after="20" w:line="223" w:lineRule="auto"/>
        <w:jc w:val="right"/>
        <w:bidi/>
      </w:pPr>
      <w:r>
        <w:rPr>
          <w:rFonts w:ascii="Arial" w:hAnsi="Arial"/>
          <w:sz w:val="16"/>
        </w:rPr>
        <w:t>376.02  در موارد گزارش نامحدود تجاوز جنسی یا اطلاعات مربوط به تجاوز جنسی، اطلاعات مربوط به قربانی و جرم تنها در اختیار نهادهای دولتی یا اشخاصی قرار می‌گیرد که یک مقام رسمی باید بداند.</w:t>
      </w:r>
    </w:p>
    <w:p>
      <w:pPr>
        <w:spacing w:after="28" w:line="216" w:lineRule="auto"/>
        <w:ind w:left="259"/>
        <w:jc w:val="left"/>
      </w:pPr>
      <w:r>
        <w:rPr>
          <w:rFonts w:ascii="Arial" w:hAnsi="Arial"/>
          <w:color w:val="525252"/>
          <w:sz w:val="13"/>
        </w:rPr>
        <w:t>In cases of an unrestricted report of a sexual assault or information concerning a sexual assault, information concerning the victim and the offense will only be provided to governmental entities or persons with an established official need to know.</w:t>
      </w:r>
    </w:p>
    <w:p>
      <w:pPr>
        <w:spacing w:after="20" w:line="223" w:lineRule="auto"/>
        <w:jc w:val="right"/>
        <w:bidi/>
      </w:pPr>
      <w:r>
        <w:rPr>
          <w:rFonts w:ascii="Arial" w:hAnsi="Arial"/>
          <w:sz w:val="16"/>
        </w:rPr>
        <w:t>376.03  کسانی که به نظر می‌رسد دارای یک مقام رسمی هستند، برای انجام وظایف مربوطه خود باید در USAF بدانند، معمولا عبارتند از: مجری قانون، فرماندهان، گروهبانان اول قربانی و فرد مهاجم، پرسنل حقوقی، SARC، SAPR VA، VVA، و ارائه دهندگان مراقبت‌های بهداشتی، در صورت لزوم.</w:t>
      </w:r>
    </w:p>
    <w:p>
      <w:pPr>
        <w:spacing w:after="28" w:line="216" w:lineRule="auto"/>
        <w:ind w:left="259"/>
        <w:jc w:val="left"/>
      </w:pPr>
      <w:r>
        <w:rPr>
          <w:rFonts w:ascii="Arial" w:hAnsi="Arial"/>
          <w:color w:val="525252"/>
          <w:sz w:val="13"/>
        </w:rPr>
        <w:t>Those who are deemed to have an official need to know in the USAF to perform their respective duties, routinely include: law enforcement, commanders, and first sergeants of the victim and the alleged assailant, legal personnel, the SARC, SAPR VA, VVA, and healthcare providers, as required.</w:t>
      </w:r>
    </w:p>
    <w:p>
      <w:pPr>
        <w:spacing w:after="20" w:line="223" w:lineRule="auto"/>
        <w:jc w:val="right"/>
        <w:bidi/>
      </w:pPr>
      <w:r>
        <w:rPr>
          <w:rFonts w:ascii="Arial" w:hAnsi="Arial"/>
          <w:sz w:val="16"/>
        </w:rPr>
        <w:t>376.04  فرماندهانی که از طریق گزارش نامحدود از تجاوز جنسی مطلع می‌شوند باید اقدامات فوری را برای اطمینان از تأمین امنیت جسمی، امنیت عاطفی و نیازهای درمانی پزشکی قربانی انجام دهند و به دفتر تحقیقات ویژه نیروی هوایی یا آژانس تحقیقات جنایی مناسب و SARC اطلاع داده شود.</w:t>
      </w:r>
    </w:p>
    <w:p>
      <w:pPr>
        <w:spacing w:after="28" w:line="216" w:lineRule="auto"/>
        <w:ind w:left="259"/>
        <w:jc w:val="left"/>
      </w:pPr>
      <w:r>
        <w:rPr>
          <w:rFonts w:ascii="Arial" w:hAnsi="Arial"/>
          <w:color w:val="525252"/>
          <w:sz w:val="13"/>
        </w:rPr>
        <w:t>Commanders notified of a sexual assault through an unrestricted report must take immediate steps to ensure the victim’s physical safety, emotional security, and medical treatment needs are met and that the Air Force Office of Special Investigations or appropriate criminal investigative agency and SARC are notified.</w:t>
      </w:r>
    </w:p>
    <w:p>
      <w:pPr>
        <w:spacing w:after="20" w:line="223" w:lineRule="auto"/>
        <w:jc w:val="right"/>
        <w:bidi/>
      </w:pPr>
      <w:r>
        <w:rPr>
          <w:rFonts w:ascii="Arial" w:hAnsi="Arial"/>
          <w:sz w:val="16"/>
        </w:rPr>
        <w:t>376.05  صلاحیت گزارش.</w:t>
      </w:r>
    </w:p>
    <w:p>
      <w:pPr>
        <w:spacing w:after="28" w:line="216" w:lineRule="auto"/>
        <w:ind w:left="259"/>
        <w:jc w:val="left"/>
      </w:pPr>
      <w:r>
        <w:rPr>
          <w:rFonts w:ascii="Arial" w:hAnsi="Arial"/>
          <w:color w:val="525252"/>
          <w:sz w:val="13"/>
        </w:rPr>
        <w:t>Reporting Eligibility.</w:t>
      </w:r>
    </w:p>
    <w:p>
      <w:pPr>
        <w:spacing w:after="20" w:line="223" w:lineRule="auto"/>
        <w:jc w:val="right"/>
        <w:bidi/>
      </w:pPr>
      <w:r>
        <w:rPr>
          <w:rFonts w:ascii="Arial" w:hAnsi="Arial"/>
          <w:sz w:val="16"/>
        </w:rPr>
        <w:t>376.06  افراد زیر برای هر دو گزینه گزارش‌دهی محدود و نامحدود در برنامه SARC واجد شرایط هستند.</w:t>
      </w:r>
    </w:p>
    <w:p>
      <w:pPr>
        <w:spacing w:after="28" w:line="216" w:lineRule="auto"/>
        <w:ind w:left="259"/>
        <w:jc w:val="left"/>
      </w:pPr>
      <w:r>
        <w:rPr>
          <w:rFonts w:ascii="Arial" w:hAnsi="Arial"/>
          <w:color w:val="525252"/>
          <w:sz w:val="13"/>
        </w:rPr>
        <w:t>The following individuals are eligible for both the restricted and unrestricted reporting option within the SARC program.</w:t>
      </w:r>
    </w:p>
    <w:p>
      <w:pPr>
        <w:spacing w:after="20" w:line="223" w:lineRule="auto"/>
        <w:jc w:val="right"/>
        <w:bidi/>
      </w:pPr>
      <w:r>
        <w:rPr>
          <w:rFonts w:ascii="Arial" w:hAnsi="Arial"/>
          <w:sz w:val="16"/>
        </w:rPr>
        <w:t>376.07  اعضای رگاف که قربانیان تجاوز جنسی توسط شخصی غیر از همسر قربانی بودند.</w:t>
      </w:r>
    </w:p>
    <w:p>
      <w:pPr>
        <w:spacing w:after="28" w:line="216" w:lineRule="auto"/>
        <w:ind w:left="259"/>
        <w:jc w:val="left"/>
      </w:pPr>
      <w:r>
        <w:rPr>
          <w:rFonts w:ascii="Arial" w:hAnsi="Arial"/>
          <w:color w:val="525252"/>
          <w:sz w:val="13"/>
        </w:rPr>
        <w:t>RegAF members who were sexual assault victims perpetrated by someone other than the victim’s spouse.</w:t>
      </w:r>
    </w:p>
    <w:p>
      <w:pPr>
        <w:spacing w:after="20" w:line="223" w:lineRule="auto"/>
        <w:jc w:val="right"/>
        <w:bidi/>
      </w:pPr>
      <w:r>
        <w:rPr>
          <w:rFonts w:ascii="Arial" w:hAnsi="Arial"/>
          <w:sz w:val="16"/>
        </w:rPr>
        <w:t>376.08  اعضای نظامی، که در وضعیت رگاف هستند، اما قبل از ثبت‌نام یا مأموریت، قربانی تجاوز جنسی بوده‌اند، واجد شرایط دریافت خدمات SAPR تحت هر یک از گزینه‌های گزارش‌دهی هستند.</w:t>
      </w:r>
    </w:p>
    <w:p>
      <w:pPr>
        <w:spacing w:after="28" w:line="216" w:lineRule="auto"/>
        <w:ind w:left="259"/>
        <w:jc w:val="left"/>
      </w:pPr>
      <w:r>
        <w:rPr>
          <w:rFonts w:ascii="Arial" w:hAnsi="Arial"/>
          <w:color w:val="525252"/>
          <w:sz w:val="13"/>
        </w:rPr>
        <w:t>Military members, who are on RegAF status, but who were sexual assault victims prior to enlistment or commissioning, are eligible to receive SAPR services under either reporting option.</w:t>
      </w:r>
    </w:p>
    <w:p>
      <w:pPr>
        <w:spacing w:after="20" w:line="223" w:lineRule="auto"/>
        <w:jc w:val="right"/>
        <w:bidi/>
      </w:pPr>
      <w:r>
        <w:rPr>
          <w:rFonts w:ascii="Arial" w:hAnsi="Arial"/>
          <w:sz w:val="16"/>
        </w:rPr>
        <w:t>376.09  پشتیبانی از یک عضو در وضعیت رگاف صرف نظر از زمان و مکان وقوع تجاوز جنسی در دسترس است.</w:t>
      </w:r>
    </w:p>
    <w:p>
      <w:pPr>
        <w:spacing w:after="28" w:line="216" w:lineRule="auto"/>
        <w:ind w:left="259"/>
        <w:jc w:val="left"/>
      </w:pPr>
      <w:r>
        <w:rPr>
          <w:rFonts w:ascii="Arial" w:hAnsi="Arial"/>
          <w:color w:val="525252"/>
          <w:sz w:val="13"/>
        </w:rPr>
        <w:t>Support to a member on RegAF status is available regardless of when or where the sexual assault took place.</w:t>
      </w:r>
    </w:p>
    <w:p>
      <w:pPr>
        <w:spacing w:after="20" w:line="223" w:lineRule="auto"/>
        <w:jc w:val="right"/>
        <w:bidi/>
      </w:pPr>
      <w:r>
        <w:rPr>
          <w:rFonts w:ascii="Arial" w:hAnsi="Arial"/>
          <w:sz w:val="16"/>
        </w:rPr>
        <w:t>376.10  افراد تحت تکفل اعضای نیروهای مسلح، ۱۸ سال و بالاتر، که واجد شرایط درمان در سیستم بهداشتی نظامی در تأسیسات در ایالات متحده قاره و خارج از قاره ایالات متحده هستند، و قربانیان تجاوز جنسی توسط شخصی غیر از همسر قربانی بوده‌اند.</w:t>
      </w:r>
    </w:p>
    <w:p>
      <w:pPr>
        <w:spacing w:after="28" w:line="216" w:lineRule="auto"/>
        <w:ind w:left="259"/>
        <w:jc w:val="left"/>
      </w:pPr>
      <w:r>
        <w:rPr>
          <w:rFonts w:ascii="Arial" w:hAnsi="Arial"/>
          <w:color w:val="525252"/>
          <w:sz w:val="13"/>
        </w:rPr>
        <w:t>Service members’ dependents, 18 years of age and older, who are eligible for treatment in the military health system at installations in the Continental United States and outside of the Continental United States, and who were sexual assault victims perpetrated by someone other than the victim’s spouse.</w:t>
      </w:r>
    </w:p>
    <w:p>
      <w:pPr>
        <w:spacing w:after="20" w:line="223" w:lineRule="auto"/>
        <w:jc w:val="right"/>
        <w:bidi/>
      </w:pPr>
      <w:r>
        <w:rPr>
          <w:rFonts w:ascii="Arial" w:hAnsi="Arial"/>
          <w:sz w:val="16"/>
        </w:rPr>
        <w:t>376.11  اعضای ذخیره نیروی هوایی و گارد ملی هوایی که هنگام انجام آموزش‌های خدمت فعال و غیرفعال مورد تجاوز جنسی قرار می‌گیرند.</w:t>
      </w:r>
    </w:p>
    <w:p>
      <w:pPr>
        <w:spacing w:after="28" w:line="216" w:lineRule="auto"/>
        <w:ind w:left="259"/>
        <w:jc w:val="left"/>
      </w:pPr>
      <w:r>
        <w:rPr>
          <w:rFonts w:ascii="Arial" w:hAnsi="Arial"/>
          <w:color w:val="525252"/>
          <w:sz w:val="13"/>
        </w:rPr>
        <w:t>Air Force Reserve and Air National Guard members who are sexually assaulted when performing active service and inactive duty training.</w:t>
      </w:r>
    </w:p>
    <w:p>
      <w:pPr>
        <w:spacing w:after="20" w:line="223" w:lineRule="auto"/>
        <w:jc w:val="right"/>
        <w:bidi/>
      </w:pPr>
      <w:r>
        <w:rPr>
          <w:rFonts w:ascii="Arial" w:hAnsi="Arial"/>
          <w:sz w:val="16"/>
        </w:rPr>
        <w:t>376.12  کارمندان غیرنظامی وزارت دفاع به خدمات کامل SAPR که به اعضای نیروهای مسلح ارائه می‌شود دسترسی خواهند داشت.</w:t>
      </w:r>
    </w:p>
    <w:p>
      <w:pPr>
        <w:spacing w:after="28" w:line="216" w:lineRule="auto"/>
        <w:ind w:left="259"/>
        <w:jc w:val="left"/>
      </w:pPr>
      <w:r>
        <w:rPr>
          <w:rFonts w:ascii="Arial" w:hAnsi="Arial"/>
          <w:color w:val="525252"/>
          <w:sz w:val="13"/>
        </w:rPr>
        <w:t>Department of Defense civilian employees will have access to full SAPR services that are offered to service members.</w:t>
      </w:r>
    </w:p>
    <w:p>
      <w:pPr>
        <w:spacing w:after="20" w:line="223" w:lineRule="auto"/>
        <w:jc w:val="right"/>
        <w:bidi/>
      </w:pPr>
      <w:r>
        <w:rPr>
          <w:rFonts w:ascii="Arial" w:hAnsi="Arial"/>
          <w:sz w:val="16"/>
        </w:rPr>
        <w:t>376.13  این شامل حقوق اضافی پزشکی یا خدمات حقوقی که پیش‌تر توسط قانون یا خط‌مشی مجاز به آن‌ها نبوده است، نمی‌شود.</w:t>
      </w:r>
    </w:p>
    <w:p>
      <w:pPr>
        <w:spacing w:after="28" w:line="216" w:lineRule="auto"/>
        <w:ind w:left="259"/>
        <w:jc w:val="left"/>
      </w:pPr>
      <w:r>
        <w:rPr>
          <w:rFonts w:ascii="Arial" w:hAnsi="Arial"/>
          <w:color w:val="525252"/>
          <w:sz w:val="13"/>
        </w:rPr>
        <w:t>This does not include additional medical entitlements or legal services to which they are not already authorized by law or policy.</w:t>
      </w:r>
    </w:p>
    <w:p>
      <w:pPr>
        <w:spacing w:after="20" w:line="223" w:lineRule="auto"/>
        <w:jc w:val="right"/>
        <w:bidi/>
      </w:pPr>
      <w:r>
        <w:rPr>
          <w:rFonts w:ascii="Arial" w:hAnsi="Arial"/>
          <w:sz w:val="16"/>
        </w:rPr>
        <w:t>376.14  سوء رفتار جانبی در موارد تجاوز جنسی.</w:t>
      </w:r>
    </w:p>
    <w:p>
      <w:pPr>
        <w:spacing w:after="28" w:line="216" w:lineRule="auto"/>
        <w:ind w:left="259"/>
        <w:jc w:val="left"/>
      </w:pPr>
      <w:r>
        <w:rPr>
          <w:rFonts w:ascii="Arial" w:hAnsi="Arial"/>
          <w:color w:val="525252"/>
          <w:sz w:val="13"/>
        </w:rPr>
        <w:t>Collateral Misconduct in Sexual Assault Cases.</w:t>
      </w:r>
    </w:p>
    <w:p>
      <w:pPr>
        <w:spacing w:after="20" w:line="223" w:lineRule="auto"/>
        <w:jc w:val="right"/>
        <w:bidi/>
      </w:pPr>
      <w:r>
        <w:rPr>
          <w:rFonts w:ascii="Arial" w:hAnsi="Arial"/>
          <w:sz w:val="16"/>
        </w:rPr>
        <w:t>376.15  تحقیق در مورد حقایق و شرایط مربوط به تجاوز جنسی ادعایی ممکن است شواهدی را ارائه دهد که نشان می‌دهد قربانی مرتکب رفتار نادرست شده است.</w:t>
      </w:r>
    </w:p>
    <w:p>
      <w:pPr>
        <w:spacing w:after="28" w:line="216" w:lineRule="auto"/>
        <w:ind w:left="259"/>
        <w:jc w:val="left"/>
      </w:pPr>
      <w:r>
        <w:rPr>
          <w:rFonts w:ascii="Arial" w:hAnsi="Arial"/>
          <w:color w:val="525252"/>
          <w:sz w:val="13"/>
        </w:rPr>
        <w:t>An investigation into the facts and circumstances surrounding an alleged sexual assault may produce evidence that the victim engaged in misconduct.</w:t>
      </w:r>
    </w:p>
    <w:p>
      <w:pPr>
        <w:spacing w:after="20" w:line="223" w:lineRule="auto"/>
        <w:jc w:val="right"/>
        <w:bidi/>
      </w:pPr>
      <w:r>
        <w:rPr>
          <w:rFonts w:ascii="Arial" w:hAnsi="Arial"/>
          <w:sz w:val="16"/>
        </w:rPr>
        <w:t>376.16  سوء رفتار جانبی توسط قربانی تجاوز جنسی، به دلیل ترس قربانی از مجازات، مانع مهمی برای گزارش دادن است.</w:t>
      </w:r>
    </w:p>
    <w:p>
      <w:pPr>
        <w:spacing w:after="28" w:line="216" w:lineRule="auto"/>
        <w:ind w:left="259"/>
        <w:jc w:val="left"/>
      </w:pPr>
      <w:r>
        <w:rPr>
          <w:rFonts w:ascii="Arial" w:hAnsi="Arial"/>
          <w:color w:val="525252"/>
          <w:sz w:val="13"/>
        </w:rPr>
        <w:t>Collateral misconduct by a sexual assault victim is a significant barrier to reporting because of the victim’s fear of punishment.</w:t>
      </w:r>
    </w:p>
    <w:p>
      <w:pPr>
        <w:spacing w:after="20" w:line="223" w:lineRule="auto"/>
        <w:jc w:val="right"/>
        <w:bidi/>
      </w:pPr>
      <w:r>
        <w:rPr>
          <w:rFonts w:ascii="Arial" w:hAnsi="Arial"/>
          <w:sz w:val="16"/>
        </w:rPr>
        <w:t>376.17  برخی از تجاوزات جنسی گزارش‌شده شامل شرایطی است که قربانی ممکن است به نوعی از رفتار نادرست مانند مصرف مشروبات الکلی یا سایر جرایم مرتبط با الکل، زنا، سوء مصرف مواد مخدر، برادری، یا سایر نقض دستورالعمل‌ها یا دستورات دست زده باشد.</w:t>
      </w:r>
    </w:p>
    <w:p>
      <w:pPr>
        <w:spacing w:after="28" w:line="216" w:lineRule="auto"/>
        <w:ind w:left="259"/>
        <w:jc w:val="left"/>
      </w:pPr>
      <w:r>
        <w:rPr>
          <w:rFonts w:ascii="Arial" w:hAnsi="Arial"/>
          <w:color w:val="525252"/>
          <w:sz w:val="13"/>
        </w:rPr>
        <w:t>Some reported sexual assaults involve circumstances where the victim may have engaged in some form of misconduct like underage drinking or other related alcohol offenses, adultery, drug abuse, fraternization, or other violations of instructions or orders.</w:t>
      </w:r>
    </w:p>
    <w:p>
      <w:pPr>
        <w:spacing w:after="20" w:line="223" w:lineRule="auto"/>
        <w:jc w:val="right"/>
        <w:bidi/>
      </w:pPr>
      <w:r>
        <w:rPr>
          <w:rFonts w:ascii="Arial" w:hAnsi="Arial"/>
          <w:sz w:val="16"/>
        </w:rPr>
        <w:t>376.18  مطابق با قانون یکسان عدالت نظامی، کتابچه راهنمای دادگاه‌های نظامی و دستورالعمل‌های USAF، فرماندهان مسئول رسیدگی به تخلفات به شیوه‌ای سازگار و مناسب با شرایط هستند.</w:t>
      </w:r>
    </w:p>
    <w:p>
      <w:pPr>
        <w:spacing w:after="28" w:line="216" w:lineRule="auto"/>
        <w:ind w:left="259"/>
        <w:jc w:val="left"/>
      </w:pPr>
      <w:r>
        <w:rPr>
          <w:rFonts w:ascii="Arial" w:hAnsi="Arial"/>
          <w:color w:val="525252"/>
          <w:sz w:val="13"/>
        </w:rPr>
        <w:t>In accordance with the Uniform Code of Military Justice, the Manual for Courts-Martial, and USAF instructions, commanders are responsible for addressing misconduct in a manner that is consistent and appropriate to the circumstances.</w:t>
      </w:r>
    </w:p>
    <w:p>
      <w:pPr>
        <w:spacing w:after="20" w:line="223" w:lineRule="auto"/>
        <w:jc w:val="right"/>
        <w:bidi/>
      </w:pPr>
      <w:r>
        <w:rPr>
          <w:rFonts w:ascii="Arial" w:hAnsi="Arial"/>
          <w:sz w:val="16"/>
        </w:rPr>
        <w:t>376.19  با این حال، قانون دادگاه‌های نظامی ۳۰۶ به فرماندهان مافوق اجازه می‌دهد از اختیارات انضباطی فرماندهان زیردست برای موارد فردی، انواع پرونده‌ها یا به‌طور کلی خودداری کنند.</w:t>
      </w:r>
    </w:p>
    <w:p>
      <w:pPr>
        <w:spacing w:after="28" w:line="216" w:lineRule="auto"/>
        <w:ind w:left="259"/>
        <w:jc w:val="left"/>
      </w:pPr>
      <w:r>
        <w:rPr>
          <w:rFonts w:ascii="Arial" w:hAnsi="Arial"/>
          <w:color w:val="525252"/>
          <w:sz w:val="13"/>
        </w:rPr>
        <w:t>However, Rule for Courts-Martial 306 permits superior commanders to withhold disciplinary authority from subordinate commanders for individual cases, types of cases, or generally.</w:t>
      </w:r>
    </w:p>
    <w:p>
      <w:pPr>
        <w:spacing w:after="20" w:line="223" w:lineRule="auto"/>
        <w:jc w:val="right"/>
        <w:bidi/>
      </w:pPr>
      <w:r>
        <w:rPr>
          <w:rFonts w:ascii="Arial" w:hAnsi="Arial"/>
          <w:sz w:val="16"/>
        </w:rPr>
        <w:t>376.20  طبق DAFI ۵۱-۲۰۱، اداره دادگستری نظامی، صلاحیت دفع سوء رفتارهای جانبی در پرونده‌های تجاوز جنسی در ابتدا به مرجع ویژه دادگاه نظامی محفوظ است.</w:t>
      </w:r>
    </w:p>
    <w:p>
      <w:pPr>
        <w:spacing w:after="28" w:line="216" w:lineRule="auto"/>
        <w:ind w:left="259"/>
        <w:jc w:val="left"/>
      </w:pPr>
      <w:r>
        <w:rPr>
          <w:rFonts w:ascii="Arial" w:hAnsi="Arial"/>
          <w:color w:val="525252"/>
          <w:sz w:val="13"/>
        </w:rPr>
        <w:t>Pursuant to DAFI 51-201, Administration of Military Justice, the authority to dispose of collateral misconduct in sexual assault cases is initially reserved to the special court-martial convening authority.</w:t>
      </w:r>
    </w:p>
    <w:p>
      <w:pPr>
        <w:spacing w:after="20" w:line="223" w:lineRule="auto"/>
        <w:jc w:val="right"/>
        <w:bidi/>
      </w:pPr>
      <w:r>
        <w:rPr>
          <w:rFonts w:ascii="Arial" w:hAnsi="Arial"/>
          <w:sz w:val="16"/>
        </w:rPr>
        <w:t>376.21  در این موارد، فرمانده زیرمجموعه پرونده را همراه با توصیه کتبی به دستور اولیه ارسال می‌کند.</w:t>
      </w:r>
    </w:p>
    <w:p>
      <w:pPr>
        <w:spacing w:after="28" w:line="216" w:lineRule="auto"/>
        <w:ind w:left="259"/>
        <w:jc w:val="left"/>
      </w:pPr>
      <w:r>
        <w:rPr>
          <w:rFonts w:ascii="Arial" w:hAnsi="Arial"/>
          <w:color w:val="525252"/>
          <w:sz w:val="13"/>
        </w:rPr>
        <w:t>In those cases, the subordinate commander forwards the case file, along with a written recommendation, to the initial disposition</w:t>
      </w:r>
    </w:p>
    <w:p>
      <w:r>
        <w:br w:type="page"/>
      </w:r>
    </w:p>
    <w:p>
      <w:pPr>
        <w:spacing w:after="60"/>
        <w:jc w:val="right"/>
        <w:bidi/>
      </w:pPr>
      <w:r>
        <w:rPr>
          <w:rFonts w:ascii="Arial" w:hAnsi="Arial"/>
          <w:b/>
          <w:color w:val="1F4D78"/>
          <w:sz w:val="19"/>
        </w:rPr>
        <w:t>هفتهٔ 377  |  صفحهٔ منبع: 393</w:t>
      </w:r>
    </w:p>
    <w:p>
      <w:pPr>
        <w:spacing w:after="20" w:line="223" w:lineRule="auto"/>
        <w:jc w:val="right"/>
        <w:bidi/>
      </w:pPr>
      <w:r>
        <w:rPr>
          <w:rFonts w:ascii="Arial" w:hAnsi="Arial"/>
          <w:sz w:val="16"/>
        </w:rPr>
        <w:t>377.01  مقام.</w:t>
      </w:r>
    </w:p>
    <w:p>
      <w:pPr>
        <w:spacing w:after="28" w:line="216" w:lineRule="auto"/>
        <w:ind w:left="259"/>
        <w:jc w:val="left"/>
      </w:pPr>
      <w:r>
        <w:rPr>
          <w:rFonts w:ascii="Arial" w:hAnsi="Arial"/>
          <w:color w:val="525252"/>
          <w:sz w:val="13"/>
        </w:rPr>
        <w:t>authority.</w:t>
      </w:r>
    </w:p>
    <w:p>
      <w:pPr>
        <w:spacing w:after="20" w:line="223" w:lineRule="auto"/>
        <w:jc w:val="right"/>
        <w:bidi/>
      </w:pPr>
      <w:r>
        <w:rPr>
          <w:rFonts w:ascii="Arial" w:hAnsi="Arial"/>
          <w:sz w:val="16"/>
        </w:rPr>
        <w:t>377.02  مقام دفع اولیه ممکن است خودش تخلفات وثیقه را برطرف کند یا پرونده را به فرمانده زیردست بازگرداند و به او اجازه اقدام بدهد.</w:t>
      </w:r>
    </w:p>
    <w:p>
      <w:pPr>
        <w:spacing w:after="28" w:line="216" w:lineRule="auto"/>
        <w:ind w:left="259"/>
        <w:jc w:val="left"/>
      </w:pPr>
      <w:r>
        <w:rPr>
          <w:rFonts w:ascii="Arial" w:hAnsi="Arial"/>
          <w:color w:val="525252"/>
          <w:sz w:val="13"/>
        </w:rPr>
        <w:t>The initial disposition authority may dispose of the collateral misconduct himself or herself or may return the case file to the subordinate commander and permit him or her to take action.</w:t>
      </w:r>
    </w:p>
    <w:p>
      <w:pPr>
        <w:spacing w:after="20" w:line="223" w:lineRule="auto"/>
        <w:jc w:val="right"/>
        <w:bidi/>
      </w:pPr>
      <w:r>
        <w:rPr>
          <w:rFonts w:ascii="Arial" w:hAnsi="Arial"/>
          <w:sz w:val="16"/>
        </w:rPr>
        <w:t>377.03  خط‌مشی ایمن برای گزارش.</w:t>
      </w:r>
    </w:p>
    <w:p>
      <w:pPr>
        <w:spacing w:after="28" w:line="216" w:lineRule="auto"/>
        <w:ind w:left="259"/>
        <w:jc w:val="left"/>
      </w:pPr>
      <w:r>
        <w:rPr>
          <w:rFonts w:ascii="Arial" w:hAnsi="Arial"/>
          <w:color w:val="525252"/>
          <w:sz w:val="13"/>
        </w:rPr>
        <w:t>Safe-to-Report Policy.</w:t>
      </w:r>
    </w:p>
    <w:p>
      <w:pPr>
        <w:spacing w:after="20" w:line="223" w:lineRule="auto"/>
        <w:jc w:val="right"/>
        <w:bidi/>
      </w:pPr>
      <w:r>
        <w:rPr>
          <w:rFonts w:ascii="Arial" w:hAnsi="Arial"/>
          <w:sz w:val="16"/>
        </w:rPr>
        <w:t>377.04  خط‌مشی گزارش ایمن برای هرگونه ادعای تجاوز جنسی، صرف نظر از اینکه قربانی گزارشی محدود یا نامحدود ارائه کرده باشد، قابل اجرا است.</w:t>
      </w:r>
    </w:p>
    <w:p>
      <w:pPr>
        <w:spacing w:after="28" w:line="216" w:lineRule="auto"/>
        <w:ind w:left="259"/>
        <w:jc w:val="left"/>
      </w:pPr>
      <w:r>
        <w:rPr>
          <w:rFonts w:ascii="Arial" w:hAnsi="Arial"/>
          <w:color w:val="525252"/>
          <w:sz w:val="13"/>
        </w:rPr>
        <w:t>The Safe-to-Report Policy is applicable to any allegation of sexual assault, regardless of whether the victim has filed a restricted or unrestricted report.</w:t>
      </w:r>
    </w:p>
    <w:p>
      <w:pPr>
        <w:spacing w:after="20" w:line="223" w:lineRule="auto"/>
        <w:jc w:val="right"/>
        <w:bidi/>
      </w:pPr>
      <w:r>
        <w:rPr>
          <w:rFonts w:ascii="Arial" w:hAnsi="Arial"/>
          <w:sz w:val="16"/>
        </w:rPr>
        <w:t>377.05  مسئله آستانه برای قابل اجرا بودن خط‌مشی گزارش ایمن، تعیین این است که آیا سوءرفتار وثیقه ادعایی مورد بحث، "صغیر" یا "غیر جزئی" است. همانطور که در DAFI ۵۱-۲۰۱، اداره دادگستری نظامی، پاراگراف ۱۰.۵.۱، بیان شده است، اختیار چنین تصمیمی در اختیار مرجع تنظیم اولیه (IDA) قرار دارد.</w:t>
      </w:r>
    </w:p>
    <w:p>
      <w:pPr>
        <w:spacing w:after="28" w:line="216" w:lineRule="auto"/>
        <w:ind w:left="259"/>
        <w:jc w:val="left"/>
      </w:pPr>
      <w:r>
        <w:rPr>
          <w:rFonts w:ascii="Arial" w:hAnsi="Arial"/>
          <w:color w:val="525252"/>
          <w:sz w:val="13"/>
        </w:rPr>
        <w:t>The threshold issue for the applicability of the Safe-to-Report Policy is determining whether the alleged collateral misconduct in question is “minor” or “non-minor.” The authority to make such a determination is withheld to the Initial Disposition Authority (IDA), as outlined in DAFI 51-201, Administration of Military Justice, paragraph 10.5.1.</w:t>
      </w:r>
    </w:p>
    <w:p>
      <w:pPr>
        <w:spacing w:after="20" w:line="223" w:lineRule="auto"/>
        <w:jc w:val="right"/>
        <w:bidi/>
      </w:pPr>
      <w:r>
        <w:rPr>
          <w:rFonts w:ascii="Arial" w:hAnsi="Arial"/>
          <w:sz w:val="16"/>
        </w:rPr>
        <w:t>377.06  تصمیم IDA بر اساس مجموع شرایط درگیر در پرونده اختیاری است، اما IDA باید تخلفات وثیقه ادعایی را در برابر شرایط تشدیدکننده و تخفیف‌دهنده مشخص شده حداقل ارزیابی کند.</w:t>
      </w:r>
    </w:p>
    <w:p>
      <w:pPr>
        <w:spacing w:after="28" w:line="216" w:lineRule="auto"/>
        <w:ind w:left="259"/>
        <w:jc w:val="left"/>
      </w:pPr>
      <w:r>
        <w:rPr>
          <w:rFonts w:ascii="Arial" w:hAnsi="Arial"/>
          <w:color w:val="525252"/>
          <w:sz w:val="13"/>
        </w:rPr>
        <w:t>The IDA’s determination is discretionary based on the totality of the circumstances involved in the case, but the IDA must assess the alleged collateral misconduct against the delineated aggravating and mitigating circumstances at a minimum.</w:t>
      </w:r>
    </w:p>
    <w:p>
      <w:pPr>
        <w:spacing w:after="20" w:line="223" w:lineRule="auto"/>
        <w:jc w:val="right"/>
        <w:bidi/>
      </w:pPr>
      <w:r>
        <w:rPr>
          <w:rFonts w:ascii="Arial" w:hAnsi="Arial"/>
          <w:sz w:val="16"/>
        </w:rPr>
        <w:t>377.07  اگر تخلف جانبی ادعا شده جزئی تلقی شود، خط‌مشی گزارش ایمن اعمال می‌شود و قربانی تنبیه نخواهد شد.</w:t>
      </w:r>
    </w:p>
    <w:p>
      <w:pPr>
        <w:spacing w:after="28" w:line="216" w:lineRule="auto"/>
        <w:ind w:left="259"/>
        <w:jc w:val="left"/>
      </w:pPr>
      <w:r>
        <w:rPr>
          <w:rFonts w:ascii="Arial" w:hAnsi="Arial"/>
          <w:color w:val="525252"/>
          <w:sz w:val="13"/>
        </w:rPr>
        <w:t>If the alleged collateral misconduct is deemed minor, then the Safe-to-Report Policy applies and the victim will not be disciplined.</w:t>
      </w:r>
    </w:p>
    <w:p>
      <w:pPr>
        <w:spacing w:after="20" w:line="223" w:lineRule="auto"/>
        <w:jc w:val="right"/>
        <w:bidi/>
      </w:pPr>
      <w:r>
        <w:rPr>
          <w:rFonts w:ascii="Arial" w:hAnsi="Arial"/>
          <w:sz w:val="16"/>
        </w:rPr>
        <w:t>377.08  اگر سوء رفتار وثیقه ادعا شده جزئی نباشد، خط‌مشی گزارش ایمن اعمال نمی‌شود و قربانی ممکن است مشمول اقدامات انضباطی شود.</w:t>
      </w:r>
    </w:p>
    <w:p>
      <w:pPr>
        <w:spacing w:after="28" w:line="216" w:lineRule="auto"/>
        <w:ind w:left="259"/>
        <w:jc w:val="left"/>
      </w:pPr>
      <w:r>
        <w:rPr>
          <w:rFonts w:ascii="Arial" w:hAnsi="Arial"/>
          <w:color w:val="525252"/>
          <w:sz w:val="13"/>
        </w:rPr>
        <w:t>If the alleged collateral misconduct is non-minor, then the Safe-to-Report Policy does NOT apply, and the victim could be subject to disciplinary action.</w:t>
      </w:r>
    </w:p>
    <w:p>
      <w:r>
        <w:br w:type="page"/>
      </w:r>
    </w:p>
    <w:p>
      <w:pPr>
        <w:spacing w:after="60"/>
        <w:jc w:val="right"/>
        <w:bidi/>
      </w:pPr>
      <w:r>
        <w:rPr>
          <w:rFonts w:ascii="Arial" w:hAnsi="Arial"/>
          <w:b/>
          <w:color w:val="1F4D78"/>
          <w:sz w:val="19"/>
        </w:rPr>
        <w:t>هفتهٔ 378  |  صفحهٔ منبع: 394</w:t>
      </w:r>
    </w:p>
    <w:p>
      <w:pPr>
        <w:spacing w:before="60" w:after="28"/>
        <w:jc w:val="right"/>
        <w:bidi/>
      </w:pPr>
      <w:r>
        <w:rPr>
          <w:b/>
          <w:color w:val="1F4D78"/>
          <w:sz w:val="18"/>
        </w:rPr>
        <w:t>بخش 20D - رسیدگی به تخلفات</w:t>
      </w:r>
    </w:p>
    <w:p>
      <w:pPr>
        <w:spacing w:after="20"/>
        <w:ind w:left="259"/>
        <w:jc w:val="left"/>
      </w:pPr>
      <w:r>
        <w:rPr>
          <w:color w:val="555555"/>
          <w:sz w:val="12"/>
        </w:rPr>
        <w:t>Section 20D—Addressing Misconduct</w:t>
      </w:r>
    </w:p>
    <w:p>
      <w:pPr>
        <w:spacing w:before="60" w:after="28"/>
        <w:jc w:val="right"/>
        <w:bidi/>
      </w:pPr>
      <w:r>
        <w:rPr>
          <w:b/>
          <w:color w:val="1F4D78"/>
          <w:sz w:val="18"/>
        </w:rPr>
        <w:t>20.24. اقدامات اصلاحی</w:t>
      </w:r>
    </w:p>
    <w:p>
      <w:pPr>
        <w:spacing w:after="20"/>
        <w:ind w:left="259"/>
        <w:jc w:val="left"/>
      </w:pPr>
      <w:r>
        <w:rPr>
          <w:color w:val="555555"/>
          <w:sz w:val="12"/>
        </w:rPr>
        <w:t>20.24. Corrective Actions</w:t>
      </w:r>
    </w:p>
    <w:p>
      <w:pPr>
        <w:spacing w:after="20" w:line="223" w:lineRule="auto"/>
        <w:jc w:val="right"/>
        <w:bidi/>
      </w:pPr>
      <w:r>
        <w:rPr>
          <w:rFonts w:ascii="Arial" w:hAnsi="Arial"/>
          <w:sz w:val="16"/>
        </w:rPr>
        <w:t>378.03  فرماندهان، ناظران و سایر افراد مسئول می‌توانند مشاوره اداری، تذکرات و توبیخ هایی را صادر کنند که برای بهبود، اصلاح و آموزش زیردستانی است که از استانداردهای عملکرد، رفتار، رفتار و درستی، در حین یا خارج از وظیفه خارج می‌شوند و اقدامات آنها باعث تحقیر فرد و واحد می‌شود.</w:t>
      </w:r>
    </w:p>
    <w:p>
      <w:pPr>
        <w:spacing w:after="28" w:line="216" w:lineRule="auto"/>
        <w:ind w:left="259"/>
        <w:jc w:val="left"/>
      </w:pPr>
      <w:r>
        <w:rPr>
          <w:rFonts w:ascii="Arial" w:hAnsi="Arial"/>
          <w:color w:val="525252"/>
          <w:sz w:val="13"/>
        </w:rPr>
        <w:t>Commanders, supervisors, and other persons in authority can issue administrative counseling, admonitions, and reprimands that are intended to improve, correct, and instruct subordinates who depart from standards of performance, conduct, bearing, and integrity, on- or off-duty, and whose actions degrade the individual and the unit mission.</w:t>
      </w:r>
    </w:p>
    <w:p>
      <w:pPr>
        <w:spacing w:after="20" w:line="223" w:lineRule="auto"/>
        <w:jc w:val="right"/>
        <w:bidi/>
      </w:pPr>
      <w:r>
        <w:rPr>
          <w:rFonts w:ascii="Arial" w:hAnsi="Arial"/>
          <w:sz w:val="16"/>
        </w:rPr>
        <w:t>378.04  فایل اطلاعات پرسنل.</w:t>
      </w:r>
    </w:p>
    <w:p>
      <w:pPr>
        <w:spacing w:after="28" w:line="216" w:lineRule="auto"/>
        <w:ind w:left="259"/>
        <w:jc w:val="left"/>
      </w:pPr>
      <w:r>
        <w:rPr>
          <w:rFonts w:ascii="Arial" w:hAnsi="Arial"/>
          <w:color w:val="525252"/>
          <w:sz w:val="13"/>
        </w:rPr>
        <w:t>Personnel Information File.</w:t>
      </w:r>
    </w:p>
    <w:p>
      <w:pPr>
        <w:spacing w:after="20" w:line="223" w:lineRule="auto"/>
        <w:jc w:val="right"/>
        <w:bidi/>
      </w:pPr>
      <w:r>
        <w:rPr>
          <w:rFonts w:ascii="Arial" w:hAnsi="Arial"/>
          <w:sz w:val="16"/>
        </w:rPr>
        <w:t>378.05  فرماندهان و سرپرستان بسیاری از وظایف مدیریت پرسنل را انجام می‌دهند که از آن‌ها می‌خواهد فایل‌های اطلاعات پرسنل (PIF) را روی پرسنل تعیین‌شده نگهداری کنند.</w:t>
      </w:r>
    </w:p>
    <w:p>
      <w:pPr>
        <w:spacing w:after="28" w:line="216" w:lineRule="auto"/>
        <w:ind w:left="259"/>
        <w:jc w:val="left"/>
      </w:pPr>
      <w:r>
        <w:rPr>
          <w:rFonts w:ascii="Arial" w:hAnsi="Arial"/>
          <w:color w:val="525252"/>
          <w:sz w:val="13"/>
        </w:rPr>
        <w:t>Commanders and supervisors perform many personnel management functions requiring them to keep Personnel Information Files (PIF) on assigned personnel.</w:t>
      </w:r>
    </w:p>
    <w:p>
      <w:pPr>
        <w:spacing w:after="20" w:line="223" w:lineRule="auto"/>
        <w:jc w:val="right"/>
        <w:bidi/>
      </w:pPr>
      <w:r>
        <w:rPr>
          <w:rFonts w:ascii="Arial" w:hAnsi="Arial"/>
          <w:sz w:val="16"/>
        </w:rPr>
        <w:t>378.06  DAFI ۳۶-۲۶۰۸، سیستم سوابق پرسنل نظامی، اجازه استفاده و نگهداری از PIF ها را توسط فرماندهان و سرپرستان می‌دهد.</w:t>
      </w:r>
    </w:p>
    <w:p>
      <w:pPr>
        <w:spacing w:after="28" w:line="216" w:lineRule="auto"/>
        <w:ind w:left="259"/>
        <w:jc w:val="left"/>
      </w:pPr>
      <w:r>
        <w:rPr>
          <w:rFonts w:ascii="Arial" w:hAnsi="Arial"/>
          <w:color w:val="525252"/>
          <w:sz w:val="13"/>
        </w:rPr>
        <w:t>DAFI 36-2608, Military Personnel Records System, authorizes the use and maintenance of PIFs by commanders and supervisors.</w:t>
      </w:r>
    </w:p>
    <w:p>
      <w:pPr>
        <w:spacing w:after="20" w:line="223" w:lineRule="auto"/>
        <w:jc w:val="right"/>
        <w:bidi/>
      </w:pPr>
      <w:r>
        <w:rPr>
          <w:rFonts w:ascii="Arial" w:hAnsi="Arial"/>
          <w:sz w:val="16"/>
        </w:rPr>
        <w:t>378.07  در صورت ایجاد PIF، از فرم AF ۱۰ا، فایل اطلاعات پرسنل، سابقه عملکرد استفاده کنید. گروه ضبط انتخاب فرماندهی افسر (پوشه)، مورد نیاز است.</w:t>
      </w:r>
    </w:p>
    <w:p>
      <w:pPr>
        <w:spacing w:after="28" w:line="216" w:lineRule="auto"/>
        <w:ind w:left="259"/>
        <w:jc w:val="left"/>
      </w:pPr>
      <w:r>
        <w:rPr>
          <w:rFonts w:ascii="Arial" w:hAnsi="Arial"/>
          <w:color w:val="525252"/>
          <w:sz w:val="13"/>
        </w:rPr>
        <w:t>If a PIF is established, use of AF Form 10A, Personnel Information File, Record of Performance; Officer Command Selection Record Group (Folder), is required.</w:t>
      </w:r>
    </w:p>
    <w:p>
      <w:pPr>
        <w:spacing w:after="20" w:line="223" w:lineRule="auto"/>
        <w:jc w:val="right"/>
        <w:bidi/>
      </w:pPr>
      <w:r>
        <w:rPr>
          <w:rFonts w:ascii="Arial" w:hAnsi="Arial"/>
          <w:sz w:val="16"/>
        </w:rPr>
        <w:t>378.08  نگهبانان باید PIF ها را در یک منطقه یا کانتینر قفل شده جاری و ایمن نگه دارند تا از سوء استفاده یا دسترسی غیرمجاز محافظت کنند.</w:t>
      </w:r>
    </w:p>
    <w:p>
      <w:pPr>
        <w:spacing w:after="28" w:line="216" w:lineRule="auto"/>
        <w:ind w:left="259"/>
        <w:jc w:val="left"/>
      </w:pPr>
      <w:r>
        <w:rPr>
          <w:rFonts w:ascii="Arial" w:hAnsi="Arial"/>
          <w:color w:val="525252"/>
          <w:sz w:val="13"/>
        </w:rPr>
        <w:t>Custodians must keep PIFs current and secured in a locked area or container to protect against misuse or unauthorized access.</w:t>
      </w:r>
    </w:p>
    <w:p>
      <w:pPr>
        <w:spacing w:after="20" w:line="223" w:lineRule="auto"/>
        <w:jc w:val="right"/>
        <w:bidi/>
      </w:pPr>
      <w:r>
        <w:rPr>
          <w:rFonts w:ascii="Arial" w:hAnsi="Arial"/>
          <w:sz w:val="16"/>
        </w:rPr>
        <w:t>378.09  عضو می‌تواند در هر زمانی به PIF خود در AFI ۳۳-۳۳۲ دسترسی پیدا کند.</w:t>
      </w:r>
    </w:p>
    <w:p>
      <w:pPr>
        <w:spacing w:after="28" w:line="216" w:lineRule="auto"/>
        <w:ind w:left="259"/>
        <w:jc w:val="left"/>
      </w:pPr>
      <w:r>
        <w:rPr>
          <w:rFonts w:ascii="Arial" w:hAnsi="Arial"/>
          <w:color w:val="525252"/>
          <w:sz w:val="13"/>
        </w:rPr>
        <w:t>The member may gain access to their PIF at any time per AFI 33- 332.</w:t>
      </w:r>
    </w:p>
    <w:p>
      <w:pPr>
        <w:spacing w:after="20" w:line="223" w:lineRule="auto"/>
        <w:jc w:val="right"/>
        <w:bidi/>
      </w:pPr>
      <w:r>
        <w:rPr>
          <w:rFonts w:ascii="Arial" w:hAnsi="Arial"/>
          <w:sz w:val="16"/>
        </w:rPr>
        <w:t>378.10  محتویات PIF باید در اختیار فرماندهان، رتبه‌دهندگان، گروهبانان یکم، رتبه‌دهندگان ارشد، دفتر تحقیقات ویژه نیروی هوایی، و پرسنل وکیل دادگستری ستاد قرار گیرد.</w:t>
      </w:r>
    </w:p>
    <w:p>
      <w:pPr>
        <w:spacing w:after="28" w:line="216" w:lineRule="auto"/>
        <w:ind w:left="259"/>
        <w:jc w:val="left"/>
      </w:pPr>
      <w:r>
        <w:rPr>
          <w:rFonts w:ascii="Arial" w:hAnsi="Arial"/>
          <w:color w:val="525252"/>
          <w:sz w:val="13"/>
        </w:rPr>
        <w:t>Contents of the PIF must be available to commanders, raters, first sergeants, senior raters, Air Force Office of Special Investigations, and Staff Judge Advocate personnel, as warranted.</w:t>
      </w:r>
    </w:p>
    <w:p>
      <w:pPr>
        <w:spacing w:after="20" w:line="223" w:lineRule="auto"/>
        <w:jc w:val="right"/>
        <w:bidi/>
      </w:pPr>
      <w:r>
        <w:rPr>
          <w:rFonts w:ascii="Arial" w:hAnsi="Arial"/>
          <w:sz w:val="16"/>
        </w:rPr>
        <w:t>378.11  انتشار و بررسی محتوای PIF در این موارد برای تجارت رسمی یا استفاده معمول است.</w:t>
      </w:r>
    </w:p>
    <w:p>
      <w:pPr>
        <w:spacing w:after="28" w:line="216" w:lineRule="auto"/>
        <w:ind w:left="259"/>
        <w:jc w:val="left"/>
      </w:pPr>
      <w:r>
        <w:rPr>
          <w:rFonts w:ascii="Arial" w:hAnsi="Arial"/>
          <w:color w:val="525252"/>
          <w:sz w:val="13"/>
        </w:rPr>
        <w:t>The release and review of the PIF contents in these instances are for official business or routine use.</w:t>
      </w:r>
    </w:p>
    <w:p>
      <w:pPr>
        <w:spacing w:after="20" w:line="223" w:lineRule="auto"/>
        <w:jc w:val="right"/>
        <w:bidi/>
      </w:pPr>
      <w:r>
        <w:rPr>
          <w:rFonts w:ascii="Arial" w:hAnsi="Arial"/>
          <w:sz w:val="16"/>
        </w:rPr>
        <w:t>378.12  فایل اطلاعات نامطلوب.</w:t>
      </w:r>
    </w:p>
    <w:p>
      <w:pPr>
        <w:spacing w:after="28" w:line="216" w:lineRule="auto"/>
        <w:ind w:left="259"/>
        <w:jc w:val="left"/>
      </w:pPr>
      <w:r>
        <w:rPr>
          <w:rFonts w:ascii="Arial" w:hAnsi="Arial"/>
          <w:color w:val="525252"/>
          <w:sz w:val="13"/>
        </w:rPr>
        <w:t>Unfavorable Information File.</w:t>
      </w:r>
    </w:p>
    <w:p>
      <w:pPr>
        <w:spacing w:after="20" w:line="223" w:lineRule="auto"/>
        <w:jc w:val="right"/>
        <w:bidi/>
      </w:pPr>
      <w:r>
        <w:rPr>
          <w:rFonts w:ascii="Arial" w:hAnsi="Arial"/>
          <w:sz w:val="16"/>
        </w:rPr>
        <w:t>378.13  فایل اطلاعات نامطلوب (UIF) یک وسیله رسمی و واحد برای بایگانی اطلاعات تحقیرآمیز مربوط به رفتار و عملکرد شخصی اعضای USAF در اختیار فرماندهان قرار می‌دهد.</w:t>
      </w:r>
    </w:p>
    <w:p>
      <w:pPr>
        <w:spacing w:after="28" w:line="216" w:lineRule="auto"/>
        <w:ind w:left="259"/>
        <w:jc w:val="left"/>
      </w:pPr>
      <w:r>
        <w:rPr>
          <w:rFonts w:ascii="Arial" w:hAnsi="Arial"/>
          <w:color w:val="525252"/>
          <w:sz w:val="13"/>
        </w:rPr>
        <w:t>The Unfavorable Information File (UIF) provides commanders with an official and single means of filing derogatory data concerning a USAF member’s personal conduct and duty performance.</w:t>
      </w:r>
    </w:p>
    <w:p>
      <w:pPr>
        <w:spacing w:after="20" w:line="223" w:lineRule="auto"/>
        <w:jc w:val="right"/>
        <w:bidi/>
      </w:pPr>
      <w:r>
        <w:rPr>
          <w:rFonts w:ascii="Arial" w:hAnsi="Arial"/>
          <w:sz w:val="16"/>
        </w:rPr>
        <w:t>378.14  به استثنای برخی موارد، فرمانده در مورد اینکه چه چیزی باید در یک UIF قرار داده شود و چه چیزی باید حذف شود، اختیار گسترده‌ای دارد.</w:t>
      </w:r>
    </w:p>
    <w:p>
      <w:pPr>
        <w:spacing w:after="28" w:line="216" w:lineRule="auto"/>
        <w:ind w:left="259"/>
        <w:jc w:val="left"/>
      </w:pPr>
      <w:r>
        <w:rPr>
          <w:rFonts w:ascii="Arial" w:hAnsi="Arial"/>
          <w:color w:val="525252"/>
          <w:sz w:val="13"/>
        </w:rPr>
        <w:t>With some exceptions, the commander has wide discretion as to what should be placed in a UIF and what should be removed.</w:t>
      </w:r>
    </w:p>
    <w:p>
      <w:pPr>
        <w:spacing w:after="20" w:line="223" w:lineRule="auto"/>
        <w:jc w:val="right"/>
        <w:bidi/>
      </w:pPr>
      <w:r>
        <w:rPr>
          <w:rFonts w:ascii="Arial" w:hAnsi="Arial"/>
          <w:sz w:val="16"/>
        </w:rPr>
        <w:t>378.15  اسناد اجباری در UIFها شامل مجازات تعلیقی یا تعلیق نشده ماده ۱۵ بیش از یک ماه (۳۱ روز یا بیشتر)، محکومیت دادگاه نظامی، محکومیت غیرنظامی است که در آن مجازات یا اقداماتی معادل مجرم شناخته شدن جرمی است که منجر به حبس بیش از یک سال یا بیشتر از یک سال یا بیشتر شود. مرگ، و کنترل اقدامات فهرست.</w:t>
      </w:r>
    </w:p>
    <w:p>
      <w:pPr>
        <w:spacing w:after="28" w:line="216" w:lineRule="auto"/>
        <w:ind w:left="259"/>
        <w:jc w:val="left"/>
      </w:pPr>
      <w:r>
        <w:rPr>
          <w:rFonts w:ascii="Arial" w:hAnsi="Arial"/>
          <w:color w:val="525252"/>
          <w:sz w:val="13"/>
        </w:rPr>
        <w:t>Mandatory documents in UIFs include suspended or unsuspended Article 15 punishment of more than one month (31 days or more), court-martial conviction, civilian conviction where the penalty or actions equivalent to a finding of guilty of an offense which resulted in confinement of one year or more or could have resulted in a penalty of confinement for more than one year or death, and control roster actions.</w:t>
      </w:r>
    </w:p>
    <w:p>
      <w:pPr>
        <w:spacing w:after="20" w:line="223" w:lineRule="auto"/>
        <w:jc w:val="right"/>
        <w:bidi/>
      </w:pPr>
      <w:r>
        <w:rPr>
          <w:rFonts w:ascii="Arial" w:hAnsi="Arial"/>
          <w:sz w:val="16"/>
        </w:rPr>
        <w:t>378.16  اسناد اختیاری ممکن است تا یک سال در UIF ها گنجانده شوند.</w:t>
      </w:r>
    </w:p>
    <w:p>
      <w:pPr>
        <w:spacing w:after="28" w:line="216" w:lineRule="auto"/>
        <w:ind w:left="259"/>
        <w:jc w:val="left"/>
      </w:pPr>
      <w:r>
        <w:rPr>
          <w:rFonts w:ascii="Arial" w:hAnsi="Arial"/>
          <w:color w:val="525252"/>
          <w:sz w:val="13"/>
        </w:rPr>
        <w:t>Optional documents may be included in UIFs for up to one year.</w:t>
      </w:r>
    </w:p>
    <w:p>
      <w:pPr>
        <w:spacing w:after="20" w:line="223" w:lineRule="auto"/>
        <w:jc w:val="right"/>
        <w:bidi/>
      </w:pPr>
      <w:r>
        <w:rPr>
          <w:rFonts w:ascii="Arial" w:hAnsi="Arial"/>
          <w:sz w:val="16"/>
        </w:rPr>
        <w:t>378.17  افراد سه روز وظیفه دارند تا قبل از تصمیم نهایی فرمانده، اطلاعات مربوطه را تأیید و ارائه دهند.</w:t>
      </w:r>
    </w:p>
    <w:p>
      <w:pPr>
        <w:spacing w:after="28" w:line="216" w:lineRule="auto"/>
        <w:ind w:left="259"/>
        <w:jc w:val="left"/>
      </w:pPr>
      <w:r>
        <w:rPr>
          <w:rFonts w:ascii="Arial" w:hAnsi="Arial"/>
          <w:color w:val="525252"/>
          <w:sz w:val="13"/>
        </w:rPr>
        <w:t>Individuals have three duty days to acknowledge and provide pertinent information before the commander makes the final decision.</w:t>
      </w:r>
    </w:p>
    <w:p>
      <w:pPr>
        <w:spacing w:after="20" w:line="223" w:lineRule="auto"/>
        <w:jc w:val="right"/>
        <w:bidi/>
      </w:pPr>
      <w:r>
        <w:rPr>
          <w:rFonts w:ascii="Arial" w:hAnsi="Arial"/>
          <w:sz w:val="16"/>
        </w:rPr>
        <w:t>378.18  فرمانده تصمیم نهایی را به فرد توصیه می‌کند.</w:t>
      </w:r>
    </w:p>
    <w:p>
      <w:pPr>
        <w:spacing w:after="28" w:line="216" w:lineRule="auto"/>
        <w:ind w:left="259"/>
        <w:jc w:val="left"/>
      </w:pPr>
      <w:r>
        <w:rPr>
          <w:rFonts w:ascii="Arial" w:hAnsi="Arial"/>
          <w:color w:val="525252"/>
          <w:sz w:val="13"/>
        </w:rPr>
        <w:t>The commander advises the individual of the final decision.</w:t>
      </w:r>
    </w:p>
    <w:p>
      <w:pPr>
        <w:spacing w:after="20" w:line="223" w:lineRule="auto"/>
        <w:jc w:val="right"/>
        <w:bidi/>
      </w:pPr>
      <w:r>
        <w:rPr>
          <w:rFonts w:ascii="Arial" w:hAnsi="Arial"/>
          <w:sz w:val="16"/>
        </w:rPr>
        <w:t>378.19  اگر فرمانده تصمیم بگیرد اطلاعات را در یک UIF بایگانی کند، پاسخ فرد نیز ثبت می‌شود.</w:t>
      </w:r>
    </w:p>
    <w:p>
      <w:pPr>
        <w:spacing w:after="28" w:line="216" w:lineRule="auto"/>
        <w:ind w:left="259"/>
        <w:jc w:val="left"/>
      </w:pPr>
      <w:r>
        <w:rPr>
          <w:rFonts w:ascii="Arial" w:hAnsi="Arial"/>
          <w:color w:val="525252"/>
          <w:sz w:val="13"/>
        </w:rPr>
        <w:t>If the commander decides to file the information in a UIF, the individual’s response is also filed.</w:t>
      </w:r>
    </w:p>
    <w:p>
      <w:pPr>
        <w:spacing w:after="20" w:line="223" w:lineRule="auto"/>
        <w:jc w:val="right"/>
        <w:bidi/>
      </w:pPr>
      <w:r>
        <w:rPr>
          <w:rFonts w:ascii="Arial" w:hAnsi="Arial"/>
          <w:sz w:val="16"/>
        </w:rPr>
        <w:t>378.20  فرماندهان یگان باید تمام UIF ها را ظرف ۹۰ روز پس از تصدی یا منصوب شدن به فرماندهی بررسی کنند. زمانی که افراد برای ترفیع، ثبت‌نام مجدد، تغییر دائم ایستگاه یا مأموریت، و طبقه بندی مجدد یا بازآموزی در نظر گرفته می‌شوند.</w:t>
      </w:r>
    </w:p>
    <w:p>
      <w:pPr>
        <w:spacing w:after="28" w:line="216" w:lineRule="auto"/>
        <w:ind w:left="259"/>
        <w:jc w:val="left"/>
      </w:pPr>
      <w:r>
        <w:rPr>
          <w:rFonts w:ascii="Arial" w:hAnsi="Arial"/>
          <w:color w:val="525252"/>
          <w:sz w:val="13"/>
        </w:rPr>
        <w:t>Unit commanders must review all UIFs within 90 days of assuming or being appointed to command; when individuals are considered for promotion, reenlistment, permanent change of station or assignment, and reclassification or retraining.</w:t>
      </w:r>
    </w:p>
    <w:p>
      <w:pPr>
        <w:spacing w:after="20" w:line="223" w:lineRule="auto"/>
        <w:jc w:val="right"/>
        <w:bidi/>
      </w:pPr>
      <w:r>
        <w:rPr>
          <w:rFonts w:ascii="Arial" w:hAnsi="Arial"/>
          <w:sz w:val="16"/>
        </w:rPr>
        <w:t>378.21  فرماندهان همچنین UIF ها را سالانه با کمک قاضی وکیل ستاد بررسی می‌کنند.</w:t>
      </w:r>
    </w:p>
    <w:p>
      <w:pPr>
        <w:spacing w:after="28" w:line="216" w:lineRule="auto"/>
        <w:ind w:left="259"/>
        <w:jc w:val="left"/>
      </w:pPr>
      <w:r>
        <w:rPr>
          <w:rFonts w:ascii="Arial" w:hAnsi="Arial"/>
          <w:color w:val="525252"/>
          <w:sz w:val="13"/>
        </w:rPr>
        <w:t>Commanders also review UIFs annually, with the assistance of the Staff Judge Advocate.</w:t>
      </w:r>
    </w:p>
    <w:p>
      <w:pPr>
        <w:spacing w:after="20" w:line="223" w:lineRule="auto"/>
        <w:jc w:val="right"/>
        <w:bidi/>
      </w:pPr>
      <w:r>
        <w:rPr>
          <w:rFonts w:ascii="Arial" w:hAnsi="Arial"/>
          <w:sz w:val="16"/>
        </w:rPr>
        <w:t>378.22  فرماندهان UIF را برای دوره دفع نگه می‌دارند مگر اینکه حذف زودهنگام به وضوح تضمین شده باشد.</w:t>
      </w:r>
    </w:p>
    <w:p>
      <w:pPr>
        <w:spacing w:after="28" w:line="216" w:lineRule="auto"/>
        <w:ind w:left="259"/>
        <w:jc w:val="left"/>
      </w:pPr>
      <w:r>
        <w:rPr>
          <w:rFonts w:ascii="Arial" w:hAnsi="Arial"/>
          <w:color w:val="525252"/>
          <w:sz w:val="13"/>
        </w:rPr>
        <w:t>Commanders keep the UIF for the disposition period unless early removal is clearly warranted.</w:t>
      </w:r>
    </w:p>
    <w:p>
      <w:pPr>
        <w:spacing w:after="20" w:line="223" w:lineRule="auto"/>
        <w:jc w:val="right"/>
        <w:bidi/>
      </w:pPr>
      <w:r>
        <w:rPr>
          <w:rFonts w:ascii="Arial" w:hAnsi="Arial"/>
          <w:sz w:val="16"/>
        </w:rPr>
        <w:t>378.23  در حین انجام وظایف USAF، افراد زیر مجاز به دسترسی به UIF اعضا هستند: عضو، فرمانده، گروهبان یکم، مقامات گزارش عملکرد و درجه‌بندی ثبت‌نام شده، پرسنل اسکادران پشتیبانی نیرو، بازرس کل، تیم بازرسی، پرسنل دفتر حقوقی، پرسنل فرصت برابر نظامی، پرسنل سوء استفاده از مواد مخدر، کارکنان مجری قانون.</w:t>
      </w:r>
    </w:p>
    <w:p>
      <w:pPr>
        <w:spacing w:after="28" w:line="216" w:lineRule="auto"/>
        <w:ind w:left="259"/>
        <w:jc w:val="left"/>
      </w:pPr>
      <w:r>
        <w:rPr>
          <w:rFonts w:ascii="Arial" w:hAnsi="Arial"/>
          <w:color w:val="525252"/>
          <w:sz w:val="13"/>
        </w:rPr>
        <w:t>In the course of their USAF duties, the following individuals are authorized access to a member’s UIF: the member, commander, first sergeant, enlisted performance report reporting and rating officials, force support squadron personnel, inspector general, inspection team, legal office personnel, military equal opportunity personnel, law enforcement personnel, and substance abuse counselors.</w:t>
      </w:r>
    </w:p>
    <w:p>
      <w:pPr>
        <w:spacing w:after="20" w:line="223" w:lineRule="auto"/>
        <w:jc w:val="right"/>
        <w:bidi/>
      </w:pPr>
      <w:r>
        <w:rPr>
          <w:rFonts w:ascii="Arial" w:hAnsi="Arial"/>
          <w:sz w:val="16"/>
        </w:rPr>
        <w:t>378.24  برای اطلاعات بیشتر در مورد برنامه UIF، به DAFI ۳۶-۲۹۰۷، اقدامات اداری نامطلوب مراجعه کنید.</w:t>
      </w:r>
    </w:p>
    <w:p>
      <w:pPr>
        <w:spacing w:after="28" w:line="216" w:lineRule="auto"/>
        <w:ind w:left="259"/>
        <w:jc w:val="left"/>
      </w:pPr>
      <w:r>
        <w:rPr>
          <w:rFonts w:ascii="Arial" w:hAnsi="Arial"/>
          <w:color w:val="525252"/>
          <w:sz w:val="13"/>
        </w:rPr>
        <w:t>For additional information regarding the UIF program, refer to DAFI 36-2907, Adverse Administrative Actions.</w:t>
      </w:r>
    </w:p>
    <w:p>
      <w:pPr>
        <w:spacing w:after="20" w:line="223" w:lineRule="auto"/>
        <w:jc w:val="right"/>
        <w:bidi/>
      </w:pPr>
      <w:r>
        <w:rPr>
          <w:rFonts w:ascii="Arial" w:hAnsi="Arial"/>
          <w:sz w:val="16"/>
        </w:rPr>
        <w:t>378.25  فهرست کنترل.</w:t>
      </w:r>
    </w:p>
    <w:p>
      <w:pPr>
        <w:spacing w:after="28" w:line="216" w:lineRule="auto"/>
        <w:ind w:left="259"/>
        <w:jc w:val="left"/>
      </w:pPr>
      <w:r>
        <w:rPr>
          <w:rFonts w:ascii="Arial" w:hAnsi="Arial"/>
          <w:color w:val="525252"/>
          <w:sz w:val="13"/>
        </w:rPr>
        <w:t>Control Roster.</w:t>
      </w:r>
    </w:p>
    <w:p>
      <w:pPr>
        <w:spacing w:after="20" w:line="223" w:lineRule="auto"/>
        <w:jc w:val="right"/>
        <w:bidi/>
      </w:pPr>
      <w:r>
        <w:rPr>
          <w:rFonts w:ascii="Arial" w:hAnsi="Arial"/>
          <w:sz w:val="16"/>
        </w:rPr>
        <w:t>378.26  فهرستهای کنترل توسط فرماندهان برای ایجاد یک دوره مشاهده به‌عنوان یک ابزار توانبخشی برای افرادی استفاده می‌شود که عملکرد آنها غیراستاندارد است یا در رعایت یا حفظ استانداردهای USAF در مورد رفتار، تحمل و یکپارچگی، در حین یا خارج از وظیفه، ناتوان هستند.</w:t>
      </w:r>
    </w:p>
    <w:p>
      <w:pPr>
        <w:spacing w:after="28" w:line="216" w:lineRule="auto"/>
        <w:ind w:left="259"/>
        <w:jc w:val="left"/>
      </w:pPr>
      <w:r>
        <w:rPr>
          <w:rFonts w:ascii="Arial" w:hAnsi="Arial"/>
          <w:color w:val="525252"/>
          <w:sz w:val="13"/>
        </w:rPr>
        <w:t>Control rosters are used by commanders to establish an observation period as a rehabilitative tool for individuals whose duty performance is substandard or who fail to meet or maintain USAF standards of conduct, bearing, and integrity, on- or off-duty.</w:t>
      </w:r>
    </w:p>
    <w:p>
      <w:pPr>
        <w:spacing w:after="20" w:line="223" w:lineRule="auto"/>
        <w:jc w:val="right"/>
        <w:bidi/>
      </w:pPr>
      <w:r>
        <w:rPr>
          <w:rFonts w:ascii="Arial" w:hAnsi="Arial"/>
          <w:sz w:val="16"/>
        </w:rPr>
        <w:t>378.27  فرماندهان باید هنگام استقرار حوادث، اعمال، شکست‌ها، مشاوره‌ها و تلاش‌های توانبخشی قبلی را در نظر بگیرند.</w:t>
      </w:r>
    </w:p>
    <w:p>
      <w:pPr>
        <w:spacing w:after="28" w:line="216" w:lineRule="auto"/>
        <w:ind w:left="259"/>
        <w:jc w:val="left"/>
      </w:pPr>
      <w:r>
        <w:rPr>
          <w:rFonts w:ascii="Arial" w:hAnsi="Arial"/>
          <w:color w:val="525252"/>
          <w:sz w:val="13"/>
        </w:rPr>
        <w:t>Commanders should consider prior incidents, acts, failures, counseling, and rehabilitative efforts when establishing</w:t>
      </w:r>
    </w:p>
    <w:p>
      <w:r>
        <w:br w:type="page"/>
      </w:r>
    </w:p>
    <w:p>
      <w:pPr>
        <w:spacing w:after="60"/>
        <w:jc w:val="right"/>
        <w:bidi/>
      </w:pPr>
      <w:r>
        <w:rPr>
          <w:rFonts w:ascii="Arial" w:hAnsi="Arial"/>
          <w:b/>
          <w:color w:val="1F4D78"/>
          <w:sz w:val="19"/>
        </w:rPr>
        <w:t>هفتهٔ 379  |  صفحهٔ منبع: 395</w:t>
      </w:r>
    </w:p>
    <w:p>
      <w:pPr>
        <w:spacing w:after="20" w:line="223" w:lineRule="auto"/>
        <w:jc w:val="right"/>
        <w:bidi/>
      </w:pPr>
      <w:r>
        <w:rPr>
          <w:rFonts w:ascii="Arial" w:hAnsi="Arial"/>
          <w:sz w:val="16"/>
        </w:rPr>
        <w:t>379.01  فهرست‌های کنترل.</w:t>
      </w:r>
    </w:p>
    <w:p>
      <w:pPr>
        <w:spacing w:after="28" w:line="216" w:lineRule="auto"/>
        <w:ind w:left="259"/>
        <w:jc w:val="left"/>
      </w:pPr>
      <w:r>
        <w:rPr>
          <w:rFonts w:ascii="Arial" w:hAnsi="Arial"/>
          <w:color w:val="525252"/>
          <w:sz w:val="13"/>
        </w:rPr>
        <w:t>control rosters.</w:t>
      </w:r>
    </w:p>
    <w:p>
      <w:pPr>
        <w:spacing w:after="20" w:line="223" w:lineRule="auto"/>
        <w:jc w:val="right"/>
        <w:bidi/>
      </w:pPr>
      <w:r>
        <w:rPr>
          <w:rFonts w:ascii="Arial" w:hAnsi="Arial"/>
          <w:sz w:val="16"/>
        </w:rPr>
        <w:t>379.02  یک اتفاق واحد از عملکرد نامرغوب یا یک نقض مجزا از استانداردها که احتمال تکرار آن وجود ندارد، معمولا مبنایی برای اقدام فهرست کنترلی نیست.</w:t>
      </w:r>
    </w:p>
    <w:p>
      <w:pPr>
        <w:spacing w:after="28" w:line="216" w:lineRule="auto"/>
        <w:ind w:left="259"/>
        <w:jc w:val="left"/>
      </w:pPr>
      <w:r>
        <w:rPr>
          <w:rFonts w:ascii="Arial" w:hAnsi="Arial"/>
          <w:color w:val="525252"/>
          <w:sz w:val="13"/>
        </w:rPr>
        <w:t>A single incident of substandard performance or an isolated breach of standards not likely to be repeated, is not ordinarily a basis for a control roster action.</w:t>
      </w:r>
    </w:p>
    <w:p>
      <w:pPr>
        <w:spacing w:after="20" w:line="223" w:lineRule="auto"/>
        <w:jc w:val="right"/>
        <w:bidi/>
      </w:pPr>
      <w:r>
        <w:rPr>
          <w:rFonts w:ascii="Arial" w:hAnsi="Arial"/>
          <w:sz w:val="16"/>
        </w:rPr>
        <w:t>379.03  فرماندهان با استفاده از فرم ۱۰۵۸ DAF، اقدام فایل اطلاعات نامطلوب، یک فرد را در فهرست کنترل قرار می‌دهند، که به عضو اطلاع می‌دهد که عملکرد و رفتار او باید بهبود یابد، در غیر این صورت با اقدامات اداری یا مجازات شدیدتری مواجه خواهد شد.</w:t>
      </w:r>
    </w:p>
    <w:p>
      <w:pPr>
        <w:spacing w:after="28" w:line="216" w:lineRule="auto"/>
        <w:ind w:left="259"/>
        <w:jc w:val="left"/>
      </w:pPr>
      <w:r>
        <w:rPr>
          <w:rFonts w:ascii="Arial" w:hAnsi="Arial"/>
          <w:color w:val="525252"/>
          <w:sz w:val="13"/>
        </w:rPr>
        <w:t>Commanders place an individual on the control roster by using DAF Form 1058, Unfavorable Information File Action, which puts the member on notice that his/her performance and behavior must improve, or he/she will face more severe administrative action or punishment.</w:t>
      </w:r>
    </w:p>
    <w:p>
      <w:pPr>
        <w:spacing w:after="20" w:line="223" w:lineRule="auto"/>
        <w:jc w:val="right"/>
        <w:bidi/>
      </w:pPr>
      <w:r>
        <w:rPr>
          <w:rFonts w:ascii="Arial" w:hAnsi="Arial"/>
          <w:sz w:val="16"/>
        </w:rPr>
        <w:t>379.04  فرد دریافت اقدام را تأیید می‌کند و سه روز وظیفه دارد تا قبل از نهایی شدن اقدام، پاسخ دهد و از طرف خود بیانیه‌ای ارائه کند.</w:t>
      </w:r>
    </w:p>
    <w:p>
      <w:pPr>
        <w:spacing w:after="28" w:line="216" w:lineRule="auto"/>
        <w:ind w:left="259"/>
        <w:jc w:val="left"/>
      </w:pPr>
      <w:r>
        <w:rPr>
          <w:rFonts w:ascii="Arial" w:hAnsi="Arial"/>
          <w:color w:val="525252"/>
          <w:sz w:val="13"/>
        </w:rPr>
        <w:t>The individual acknowledges receipt of the action and has three duty days to respond and submit a statement on his or her behalf before the action is finalized.</w:t>
      </w:r>
    </w:p>
    <w:p>
      <w:pPr>
        <w:spacing w:after="20" w:line="223" w:lineRule="auto"/>
        <w:jc w:val="right"/>
        <w:bidi/>
      </w:pPr>
      <w:r>
        <w:rPr>
          <w:rFonts w:ascii="Arial" w:hAnsi="Arial"/>
          <w:sz w:val="16"/>
        </w:rPr>
        <w:t>379.05  قرار دادن در فهرست کنترل یک ورودی UIF اجباری است و در ابتدا به مدت شش ماه برقرار است، اما با صلاحدید فرمانده می‌تواند زودتر حذف شود.</w:t>
      </w:r>
    </w:p>
    <w:p>
      <w:pPr>
        <w:spacing w:after="28" w:line="216" w:lineRule="auto"/>
        <w:ind w:left="259"/>
        <w:jc w:val="left"/>
      </w:pPr>
      <w:r>
        <w:rPr>
          <w:rFonts w:ascii="Arial" w:hAnsi="Arial"/>
          <w:color w:val="525252"/>
          <w:sz w:val="13"/>
        </w:rPr>
        <w:t>Placement on the control roster is a mandatory UIF entry and is initially instated for six months, but it can be removed early at the commander’s discretion.</w:t>
      </w:r>
    </w:p>
    <w:p>
      <w:pPr>
        <w:spacing w:after="20" w:line="223" w:lineRule="auto"/>
        <w:jc w:val="right"/>
        <w:bidi/>
      </w:pPr>
      <w:r>
        <w:rPr>
          <w:rFonts w:ascii="Arial" w:hAnsi="Arial"/>
          <w:sz w:val="16"/>
        </w:rPr>
        <w:t>379.06  اگر عضوی در مدت شش ماه پس از قرار گرفتن در فهرست کنترل، بازسازی نشود، فرمانده اقدامات شدیدتری را آغاز می‌کند.</w:t>
      </w:r>
    </w:p>
    <w:p>
      <w:pPr>
        <w:spacing w:after="28" w:line="216" w:lineRule="auto"/>
        <w:ind w:left="259"/>
        <w:jc w:val="left"/>
      </w:pPr>
      <w:r>
        <w:rPr>
          <w:rFonts w:ascii="Arial" w:hAnsi="Arial"/>
          <w:color w:val="525252"/>
          <w:sz w:val="13"/>
        </w:rPr>
        <w:t>If a member is not rehabilitated within six months of being placed on the control roster, the commander initiates more severe action.</w:t>
      </w:r>
    </w:p>
    <w:p>
      <w:pPr>
        <w:spacing w:after="20" w:line="223" w:lineRule="auto"/>
        <w:jc w:val="right"/>
        <w:bidi/>
      </w:pPr>
      <w:r>
        <w:rPr>
          <w:rFonts w:ascii="Arial" w:hAnsi="Arial"/>
          <w:sz w:val="16"/>
        </w:rPr>
        <w:t>379.07  دوره زمانی شش ماهه UIF از روز نهایی شدن فرم ۱۰۵۸ DAF آغاز می‌شود و شش ماه بعد در ساعت ۲۴۰۰ به پایان می‌رسد.</w:t>
      </w:r>
    </w:p>
    <w:p>
      <w:pPr>
        <w:spacing w:after="28" w:line="216" w:lineRule="auto"/>
        <w:ind w:left="259"/>
        <w:jc w:val="left"/>
      </w:pPr>
      <w:r>
        <w:rPr>
          <w:rFonts w:ascii="Arial" w:hAnsi="Arial"/>
          <w:color w:val="525252"/>
          <w:sz w:val="13"/>
        </w:rPr>
        <w:t>The UIF six-month time period begins the day the DAF Form 1058 is finalized and ends at 2400 hours six months later.</w:t>
      </w:r>
    </w:p>
    <w:p>
      <w:pPr>
        <w:spacing w:after="20" w:line="223" w:lineRule="auto"/>
        <w:jc w:val="right"/>
        <w:bidi/>
      </w:pPr>
      <w:r>
        <w:rPr>
          <w:rFonts w:ascii="Arial" w:hAnsi="Arial"/>
          <w:sz w:val="16"/>
        </w:rPr>
        <w:t>379.08  توجه: فهرست کنترل نباید توسط فرماندهان به‌عنوان جایگزینی برای اقدامات اداری، قضایی یا غیر قضایی مناسب‌تر استفاده شود.</w:t>
      </w:r>
    </w:p>
    <w:p>
      <w:pPr>
        <w:spacing w:after="28" w:line="216" w:lineRule="auto"/>
        <w:ind w:left="259"/>
        <w:jc w:val="left"/>
      </w:pPr>
      <w:r>
        <w:rPr>
          <w:rFonts w:ascii="Arial" w:hAnsi="Arial"/>
          <w:color w:val="525252"/>
          <w:sz w:val="13"/>
        </w:rPr>
        <w:t>Note: The control roster is not to be used by commanders as a substitute for more appropriate administrative, judicial, or nonjudicial action.</w:t>
      </w:r>
    </w:p>
    <w:p>
      <w:pPr>
        <w:spacing w:before="60" w:after="28"/>
        <w:jc w:val="right"/>
        <w:bidi/>
      </w:pPr>
      <w:r>
        <w:rPr>
          <w:b/>
          <w:color w:val="1F4D78"/>
          <w:sz w:val="18"/>
        </w:rPr>
        <w:t>20.25. مشاوره اداری، تذکر و توبیخ</w:t>
      </w:r>
    </w:p>
    <w:p>
      <w:pPr>
        <w:spacing w:after="20"/>
        <w:ind w:left="259"/>
        <w:jc w:val="left"/>
      </w:pPr>
      <w:r>
        <w:rPr>
          <w:color w:val="555555"/>
          <w:sz w:val="12"/>
        </w:rPr>
        <w:t>20.25. Administrative Counseling, Admonitions, and Reprimands</w:t>
      </w:r>
    </w:p>
    <w:p>
      <w:pPr>
        <w:spacing w:after="20" w:line="223" w:lineRule="auto"/>
        <w:jc w:val="right"/>
        <w:bidi/>
      </w:pPr>
      <w:r>
        <w:rPr>
          <w:rFonts w:ascii="Arial" w:hAnsi="Arial"/>
          <w:sz w:val="16"/>
        </w:rPr>
        <w:t>379.10  مشاوره اداری، تذکرات و توبیخ ابزارهای مدیریت نیروی با کیفیت هستند که در اختیار سرپرستان، فرماندهان و سایر افراد مسئول برای کمک به حفظ استانداردهای تثبیت شده USAF و افزایش انجام مأموریت هستند.</w:t>
      </w:r>
    </w:p>
    <w:p>
      <w:pPr>
        <w:spacing w:after="28" w:line="216" w:lineRule="auto"/>
        <w:ind w:left="259"/>
        <w:jc w:val="left"/>
      </w:pPr>
      <w:r>
        <w:rPr>
          <w:rFonts w:ascii="Arial" w:hAnsi="Arial"/>
          <w:color w:val="525252"/>
          <w:sz w:val="13"/>
        </w:rPr>
        <w:t>Administrative counseling, admonitions, and reprimands are quality force management tools available to supervisors, commanders, and other persons in authority to help maintain established USAF standards and enhance mission accomplishment.</w:t>
      </w:r>
    </w:p>
    <w:p>
      <w:pPr>
        <w:spacing w:after="20" w:line="223" w:lineRule="auto"/>
        <w:jc w:val="right"/>
        <w:bidi/>
      </w:pPr>
      <w:r>
        <w:rPr>
          <w:rFonts w:ascii="Arial" w:hAnsi="Arial"/>
          <w:sz w:val="16"/>
        </w:rPr>
        <w:t>379.11  این ابزارها برای بهبود، تصحیح و آموزش زیردستانی طراحی شده است که از استانداردهای عملکرد، رفتار، تحمل و درستکاری در حین یا خارج از وظیفه دور می‌شوند و اقدامات آنها مأموریت فرد و واحد را تنزل می‌دهد.</w:t>
      </w:r>
    </w:p>
    <w:p>
      <w:pPr>
        <w:spacing w:after="28" w:line="216" w:lineRule="auto"/>
        <w:ind w:left="259"/>
        <w:jc w:val="left"/>
      </w:pPr>
      <w:r>
        <w:rPr>
          <w:rFonts w:ascii="Arial" w:hAnsi="Arial"/>
          <w:color w:val="525252"/>
          <w:sz w:val="13"/>
        </w:rPr>
        <w:t>These tools are intended to improve, correct, and instruct subordinates who depart from standards of performance, conduct, bearing, and integrity on- or off-duty, and whose actions degrade the individual and unit’s mission.</w:t>
      </w:r>
    </w:p>
    <w:p>
      <w:pPr>
        <w:spacing w:after="20" w:line="223" w:lineRule="auto"/>
        <w:jc w:val="right"/>
        <w:bidi/>
      </w:pPr>
      <w:r>
        <w:rPr>
          <w:rFonts w:ascii="Arial" w:hAnsi="Arial"/>
          <w:sz w:val="16"/>
        </w:rPr>
        <w:t>379.12  مشاوره، تذکر و توبیخ باید به‌عنوان بخشی از الگوی نظم و انضباط در پاسخ به انحرافات مکرر از استانداردها استفاده شود.</w:t>
      </w:r>
    </w:p>
    <w:p>
      <w:pPr>
        <w:spacing w:after="28" w:line="216" w:lineRule="auto"/>
        <w:ind w:left="259"/>
        <w:jc w:val="left"/>
      </w:pPr>
      <w:r>
        <w:rPr>
          <w:rFonts w:ascii="Arial" w:hAnsi="Arial"/>
          <w:color w:val="525252"/>
          <w:sz w:val="13"/>
        </w:rPr>
        <w:t>Counseling, admonitions, and reprimands should be used as part of a graduated pattern of discipline in response to repeated departures from standards.</w:t>
      </w:r>
    </w:p>
    <w:p>
      <w:pPr>
        <w:spacing w:after="20" w:line="223" w:lineRule="auto"/>
        <w:jc w:val="right"/>
        <w:bidi/>
      </w:pPr>
      <w:r>
        <w:rPr>
          <w:rFonts w:ascii="Arial" w:hAnsi="Arial"/>
          <w:sz w:val="16"/>
        </w:rPr>
        <w:t>379.13  تصمیم برای صدور مشاوره، توصیه یا توبیخ باید اساسا بر اساس ماهیت و جدیت حادثه و سوابق انضباطی قبلی عضو باشد.</w:t>
      </w:r>
    </w:p>
    <w:p>
      <w:pPr>
        <w:spacing w:after="28" w:line="216" w:lineRule="auto"/>
        <w:ind w:left="259"/>
        <w:jc w:val="left"/>
      </w:pPr>
      <w:r>
        <w:rPr>
          <w:rFonts w:ascii="Arial" w:hAnsi="Arial"/>
          <w:color w:val="525252"/>
          <w:sz w:val="13"/>
        </w:rPr>
        <w:t>The decision to issue a letter of counseling, admonition, or reprimand should be based primarily on the nature and seriousness of the incident and on the previous disciplinary record of the member.</w:t>
      </w:r>
    </w:p>
    <w:p>
      <w:pPr>
        <w:spacing w:after="20" w:line="223" w:lineRule="auto"/>
        <w:jc w:val="right"/>
        <w:bidi/>
      </w:pPr>
      <w:r>
        <w:rPr>
          <w:rFonts w:ascii="Arial" w:hAnsi="Arial"/>
          <w:sz w:val="16"/>
        </w:rPr>
        <w:t>379.14  اظهارات مشاوره ممکن است شفاهی یا کتبی باشد، اما اقدامات اصلاحی کتبی برای اعضا معنادارتر است و زمانی که به درستی مستند شود، ممکن است در اقدامات بعدی مورد استفاده قرار گیرد.</w:t>
      </w:r>
    </w:p>
    <w:p>
      <w:pPr>
        <w:spacing w:after="28" w:line="216" w:lineRule="auto"/>
        <w:ind w:left="259"/>
        <w:jc w:val="left"/>
      </w:pPr>
      <w:r>
        <w:rPr>
          <w:rFonts w:ascii="Arial" w:hAnsi="Arial"/>
          <w:color w:val="525252"/>
          <w:sz w:val="13"/>
        </w:rPr>
        <w:t>Counseling statements may be either verbal or written, but written corrective actions are more meaningful to the member, and when documented properly, may be used in subsequent proceedings.</w:t>
      </w:r>
    </w:p>
    <w:p>
      <w:pPr>
        <w:spacing w:after="20" w:line="223" w:lineRule="auto"/>
        <w:jc w:val="right"/>
        <w:bidi/>
      </w:pPr>
      <w:r>
        <w:rPr>
          <w:rFonts w:ascii="Arial" w:hAnsi="Arial"/>
          <w:sz w:val="16"/>
        </w:rPr>
        <w:t>379.15  مشاوره اداری کتبی، تذکرات و توبیخ‌ها مشمول قوانین دسترسی، حفاظت و افشای است که در قانون حریم خصوصی سال ۱۹۷۴ آمده است.</w:t>
      </w:r>
    </w:p>
    <w:p>
      <w:pPr>
        <w:spacing w:after="28" w:line="216" w:lineRule="auto"/>
        <w:ind w:left="259"/>
        <w:jc w:val="left"/>
      </w:pPr>
      <w:r>
        <w:rPr>
          <w:rFonts w:ascii="Arial" w:hAnsi="Arial"/>
          <w:color w:val="525252"/>
          <w:sz w:val="13"/>
        </w:rPr>
        <w:t>Written administrative counseling, admonitions, and reprimands are subject to the rules of access, protection, and disclosure outlined in the Privacy Act of 1974.</w:t>
      </w:r>
    </w:p>
    <w:p>
      <w:pPr>
        <w:spacing w:after="20" w:line="223" w:lineRule="auto"/>
        <w:jc w:val="right"/>
        <w:bidi/>
      </w:pPr>
      <w:r>
        <w:rPr>
          <w:rFonts w:ascii="Arial" w:hAnsi="Arial"/>
          <w:sz w:val="16"/>
        </w:rPr>
        <w:t>379.16  همین قوانین در مورد نسخه‌هایی که توسط سرپرستان و فرماندهان نگهداری می‌شوند و نسخه‌هایی که در یک UIF یا PIF ثبت می‌شوند اعمال می‌شود.</w:t>
      </w:r>
    </w:p>
    <w:p>
      <w:pPr>
        <w:spacing w:after="28" w:line="216" w:lineRule="auto"/>
        <w:ind w:left="259"/>
        <w:jc w:val="left"/>
      </w:pPr>
      <w:r>
        <w:rPr>
          <w:rFonts w:ascii="Arial" w:hAnsi="Arial"/>
          <w:color w:val="525252"/>
          <w:sz w:val="13"/>
        </w:rPr>
        <w:t>The same rules apply to copies kept by supervisors and commanders and those filed in a UIF or PIF.</w:t>
      </w:r>
    </w:p>
    <w:p>
      <w:pPr>
        <w:spacing w:after="20" w:line="223" w:lineRule="auto"/>
        <w:jc w:val="right"/>
        <w:bidi/>
      </w:pPr>
      <w:r>
        <w:rPr>
          <w:rFonts w:ascii="Arial" w:hAnsi="Arial"/>
          <w:sz w:val="16"/>
        </w:rPr>
        <w:t>379.17  غلبه شواهد استانداردی است که باید در مراحل رسیدگی اداری هنگام ارزیابی اینکه آیا شواهد نشان می‌دهد که رفتار نادرست رخ داده است، استفاده می‌شود.</w:t>
      </w:r>
    </w:p>
    <w:p>
      <w:pPr>
        <w:spacing w:after="28" w:line="216" w:lineRule="auto"/>
        <w:ind w:left="259"/>
        <w:jc w:val="left"/>
      </w:pPr>
      <w:r>
        <w:rPr>
          <w:rFonts w:ascii="Arial" w:hAnsi="Arial"/>
          <w:color w:val="525252"/>
          <w:sz w:val="13"/>
        </w:rPr>
        <w:t>Preponderance of the evidence is the standard to utilize in administrative action proceedings when evaluating whether the evidence establishes that misconduct occurred.</w:t>
      </w:r>
    </w:p>
    <w:p>
      <w:pPr>
        <w:spacing w:after="20" w:line="223" w:lineRule="auto"/>
        <w:jc w:val="right"/>
        <w:bidi/>
      </w:pPr>
      <w:r>
        <w:rPr>
          <w:rFonts w:ascii="Arial" w:hAnsi="Arial"/>
          <w:sz w:val="16"/>
        </w:rPr>
        <w:t>379.18  برتری شواهد صرفا به معنای وزن بیشتر شواهد معتبر است.</w:t>
      </w:r>
    </w:p>
    <w:p>
      <w:pPr>
        <w:spacing w:after="28" w:line="216" w:lineRule="auto"/>
        <w:ind w:left="259"/>
        <w:jc w:val="left"/>
      </w:pPr>
      <w:r>
        <w:rPr>
          <w:rFonts w:ascii="Arial" w:hAnsi="Arial"/>
          <w:color w:val="525252"/>
          <w:sz w:val="13"/>
        </w:rPr>
        <w:t>A preponderance of the evidence simply means the greater weight of credible evidence.</w:t>
      </w:r>
    </w:p>
    <w:p>
      <w:pPr>
        <w:spacing w:after="20" w:line="223" w:lineRule="auto"/>
        <w:jc w:val="right"/>
        <w:bidi/>
      </w:pPr>
      <w:r>
        <w:rPr>
          <w:rFonts w:ascii="Arial" w:hAnsi="Arial"/>
          <w:sz w:val="16"/>
        </w:rPr>
        <w:t>379.19  اگر چنین مدرکی وجود نداشته باشد، اقدام اداری مستعد تشخیص غیرقانونی بودن آن است و در نتیجه می‌تواند کنار گذاشته شود.</w:t>
      </w:r>
    </w:p>
    <w:p>
      <w:pPr>
        <w:spacing w:after="28" w:line="216" w:lineRule="auto"/>
        <w:ind w:left="259"/>
        <w:jc w:val="left"/>
      </w:pPr>
      <w:r>
        <w:rPr>
          <w:rFonts w:ascii="Arial" w:hAnsi="Arial"/>
          <w:color w:val="525252"/>
          <w:sz w:val="13"/>
        </w:rPr>
        <w:t>If such proof is lacking, administrative action is susceptible to being found to be legally unsupportable and, as a result, could be set aside.</w:t>
      </w:r>
    </w:p>
    <w:p>
      <w:pPr>
        <w:spacing w:after="20" w:line="223" w:lineRule="auto"/>
        <w:jc w:val="right"/>
        <w:bidi/>
      </w:pPr>
      <w:r>
        <w:rPr>
          <w:rFonts w:ascii="Arial" w:hAnsi="Arial"/>
          <w:sz w:val="16"/>
        </w:rPr>
        <w:t>379.20  نامه مشاوره و اداره نیروی هوایی فرم ۱۷۴، سوابق مشاوره فردی.</w:t>
      </w:r>
    </w:p>
    <w:p>
      <w:pPr>
        <w:spacing w:after="28" w:line="216" w:lineRule="auto"/>
        <w:ind w:left="259"/>
        <w:jc w:val="left"/>
      </w:pPr>
      <w:r>
        <w:rPr>
          <w:rFonts w:ascii="Arial" w:hAnsi="Arial"/>
          <w:color w:val="525252"/>
          <w:sz w:val="13"/>
        </w:rPr>
        <w:t>Letter of Counseling and Department of the Air Force Form 174, Record of Individual Counseling.</w:t>
      </w:r>
    </w:p>
    <w:p>
      <w:pPr>
        <w:spacing w:after="20" w:line="223" w:lineRule="auto"/>
        <w:jc w:val="right"/>
        <w:bidi/>
      </w:pPr>
      <w:r>
        <w:rPr>
          <w:rFonts w:ascii="Arial" w:hAnsi="Arial"/>
          <w:sz w:val="16"/>
        </w:rPr>
        <w:t>379.21  مشاوره توسط سرپرستان خط اول، گروهبانان و فرماندهان برای کمک به هواداران در استفاده از قضاوت خوب، مسئولیت پذیری و رویارویی و حل مشکلات استفاده می‌شود.</w:t>
      </w:r>
    </w:p>
    <w:p>
      <w:pPr>
        <w:spacing w:after="28" w:line="216" w:lineRule="auto"/>
        <w:ind w:left="259"/>
        <w:jc w:val="left"/>
      </w:pPr>
      <w:r>
        <w:rPr>
          <w:rFonts w:ascii="Arial" w:hAnsi="Arial"/>
          <w:color w:val="525252"/>
          <w:sz w:val="13"/>
        </w:rPr>
        <w:t>Counseling is used by first line supervisors, first sergeants, and commanders to help Airmen use good judgment, assume responsibility, and face and solve problems.</w:t>
      </w:r>
    </w:p>
    <w:p>
      <w:pPr>
        <w:spacing w:after="20" w:line="223" w:lineRule="auto"/>
        <w:jc w:val="right"/>
        <w:bidi/>
      </w:pPr>
      <w:r>
        <w:rPr>
          <w:rFonts w:ascii="Arial" w:hAnsi="Arial"/>
          <w:sz w:val="16"/>
        </w:rPr>
        <w:t>379.22  مشاوره، چه به صورت شفاهی یا کتبی انجام شود، به زیردستان کمک می‌کند تا مهارت‌ها، نگرش‌ها و رفتارهای سازگار با حفظ آمادگی USAF را توسعه دهند.</w:t>
      </w:r>
    </w:p>
    <w:p>
      <w:pPr>
        <w:spacing w:after="28" w:line="216" w:lineRule="auto"/>
        <w:ind w:left="259"/>
        <w:jc w:val="left"/>
      </w:pPr>
      <w:r>
        <w:rPr>
          <w:rFonts w:ascii="Arial" w:hAnsi="Arial"/>
          <w:color w:val="525252"/>
          <w:sz w:val="13"/>
        </w:rPr>
        <w:t>Counseling, whether conducted verbally or in writing, helps subordinates develop skills, attitudes, and behaviors consistent with maintaining USAF readiness.</w:t>
      </w:r>
    </w:p>
    <w:p>
      <w:pPr>
        <w:spacing w:after="20" w:line="223" w:lineRule="auto"/>
        <w:jc w:val="right"/>
        <w:bidi/>
      </w:pPr>
      <w:r>
        <w:rPr>
          <w:rFonts w:ascii="Arial" w:hAnsi="Arial"/>
          <w:sz w:val="16"/>
        </w:rPr>
        <w:t>379.23  مشاوره ممکن است در فرم ۱۷۴ DAF، سوابق مشاوره فردی، یا روی کاغذ اوراق قرضه یا سربرگ به‌عنوان یک نامه مشاوره مستند شود.</w:t>
      </w:r>
    </w:p>
    <w:p>
      <w:pPr>
        <w:spacing w:after="28" w:line="216" w:lineRule="auto"/>
        <w:ind w:left="259"/>
        <w:jc w:val="left"/>
      </w:pPr>
      <w:r>
        <w:rPr>
          <w:rFonts w:ascii="Arial" w:hAnsi="Arial"/>
          <w:color w:val="525252"/>
          <w:sz w:val="13"/>
        </w:rPr>
        <w:t>Counseling may be documented on an DAF Form 174, Record of Individual Counseling, or on bond paper or letterhead as a letter of counseling.</w:t>
      </w:r>
    </w:p>
    <w:p>
      <w:pPr>
        <w:spacing w:after="20" w:line="223" w:lineRule="auto"/>
        <w:jc w:val="right"/>
        <w:bidi/>
      </w:pPr>
      <w:r>
        <w:rPr>
          <w:rFonts w:ascii="Arial" w:hAnsi="Arial"/>
          <w:sz w:val="16"/>
        </w:rPr>
        <w:t>379.24  اندرزنامه.</w:t>
      </w:r>
    </w:p>
    <w:p>
      <w:pPr>
        <w:spacing w:after="28" w:line="216" w:lineRule="auto"/>
        <w:ind w:left="259"/>
        <w:jc w:val="left"/>
      </w:pPr>
      <w:r>
        <w:rPr>
          <w:rFonts w:ascii="Arial" w:hAnsi="Arial"/>
          <w:color w:val="525252"/>
          <w:sz w:val="13"/>
        </w:rPr>
        <w:t>Letter of Admonishment.</w:t>
      </w:r>
    </w:p>
    <w:p>
      <w:pPr>
        <w:spacing w:after="20" w:line="223" w:lineRule="auto"/>
        <w:jc w:val="right"/>
        <w:bidi/>
      </w:pPr>
      <w:r>
        <w:rPr>
          <w:rFonts w:ascii="Arial" w:hAnsi="Arial"/>
          <w:sz w:val="16"/>
        </w:rPr>
        <w:t>379.25  از هشدار برای مستندسازی تخلفی استفاده می‌شود که مستلزم اقدام شدیدتر از مشاوره است، اما به اندازه کافی جدی نیست که مستلزم توبیخ باشد.</w:t>
      </w:r>
    </w:p>
    <w:p>
      <w:pPr>
        <w:spacing w:after="28" w:line="216" w:lineRule="auto"/>
        <w:ind w:left="259"/>
        <w:jc w:val="left"/>
      </w:pPr>
      <w:r>
        <w:rPr>
          <w:rFonts w:ascii="Arial" w:hAnsi="Arial"/>
          <w:color w:val="525252"/>
          <w:sz w:val="13"/>
        </w:rPr>
        <w:t>An admonishment is used to document an infraction that warrants more severe action than a counseling, but not serious enough to warrant a reprimand.</w:t>
      </w:r>
    </w:p>
    <w:p>
      <w:pPr>
        <w:spacing w:after="20" w:line="223" w:lineRule="auto"/>
        <w:jc w:val="right"/>
        <w:bidi/>
      </w:pPr>
      <w:r>
        <w:rPr>
          <w:rFonts w:ascii="Arial" w:hAnsi="Arial"/>
          <w:sz w:val="16"/>
        </w:rPr>
        <w:t>379.26  برای پرسنل افسری، در صورتی که تذکر نامه در UIF ثبت نشده باشد، باید در PIF فرد بایگانی شود.</w:t>
      </w:r>
    </w:p>
    <w:p>
      <w:pPr>
        <w:spacing w:after="28" w:line="216" w:lineRule="auto"/>
        <w:ind w:left="259"/>
        <w:jc w:val="left"/>
      </w:pPr>
      <w:r>
        <w:rPr>
          <w:rFonts w:ascii="Arial" w:hAnsi="Arial"/>
          <w:color w:val="525252"/>
          <w:sz w:val="13"/>
        </w:rPr>
        <w:t>For officer personnel, if the letter of admonishment is not filed in the UIF, it must be filed in the individual's PIF.</w:t>
      </w:r>
    </w:p>
    <w:p>
      <w:pPr>
        <w:spacing w:after="20" w:line="223" w:lineRule="auto"/>
        <w:jc w:val="right"/>
        <w:bidi/>
      </w:pPr>
      <w:r>
        <w:rPr>
          <w:rFonts w:ascii="Arial" w:hAnsi="Arial"/>
          <w:sz w:val="16"/>
        </w:rPr>
        <w:t>379.27  توبیخ نامه.</w:t>
      </w:r>
    </w:p>
    <w:p>
      <w:pPr>
        <w:spacing w:after="28" w:line="216" w:lineRule="auto"/>
        <w:ind w:left="259"/>
        <w:jc w:val="left"/>
      </w:pPr>
      <w:r>
        <w:rPr>
          <w:rFonts w:ascii="Arial" w:hAnsi="Arial"/>
          <w:color w:val="525252"/>
          <w:sz w:val="13"/>
        </w:rPr>
        <w:t>Letter of Reprimand.</w:t>
      </w:r>
    </w:p>
    <w:p>
      <w:pPr>
        <w:spacing w:after="20" w:line="223" w:lineRule="auto"/>
        <w:jc w:val="right"/>
        <w:bidi/>
      </w:pPr>
      <w:r>
        <w:rPr>
          <w:rFonts w:ascii="Arial" w:hAnsi="Arial"/>
          <w:sz w:val="16"/>
        </w:rPr>
        <w:t>379.28  توبیخ شدیدتر از نصیحت نامه و اندرزنامه است و نشان دهنده درجه شدیدتر نکوهش رسمی است.</w:t>
      </w:r>
    </w:p>
    <w:p>
      <w:pPr>
        <w:spacing w:after="28" w:line="216" w:lineRule="auto"/>
        <w:ind w:left="259"/>
        <w:jc w:val="left"/>
      </w:pPr>
      <w:r>
        <w:rPr>
          <w:rFonts w:ascii="Arial" w:hAnsi="Arial"/>
          <w:color w:val="525252"/>
          <w:sz w:val="13"/>
        </w:rPr>
        <w:t>A reprimand is more severe than a letter of counseling and letter of admonishment and indicates a stronger degree of official censure.</w:t>
      </w:r>
    </w:p>
    <w:p>
      <w:pPr>
        <w:spacing w:after="20" w:line="223" w:lineRule="auto"/>
        <w:jc w:val="right"/>
        <w:bidi/>
      </w:pPr>
      <w:r>
        <w:rPr>
          <w:rFonts w:ascii="Arial" w:hAnsi="Arial"/>
          <w:sz w:val="16"/>
        </w:rPr>
        <w:t>379.29  فرماندهان ممکن است انتخاب کنند که بایگانی کنند</w:t>
      </w:r>
    </w:p>
    <w:p>
      <w:pPr>
        <w:spacing w:after="28" w:line="216" w:lineRule="auto"/>
        <w:ind w:left="259"/>
        <w:jc w:val="left"/>
      </w:pPr>
      <w:r>
        <w:rPr>
          <w:rFonts w:ascii="Arial" w:hAnsi="Arial"/>
          <w:color w:val="525252"/>
          <w:sz w:val="13"/>
        </w:rPr>
        <w:t>Commanders may elect to file</w:t>
      </w:r>
    </w:p>
    <w:p>
      <w:r>
        <w:br w:type="page"/>
      </w:r>
    </w:p>
    <w:p>
      <w:pPr>
        <w:spacing w:after="60"/>
        <w:jc w:val="right"/>
        <w:bidi/>
      </w:pPr>
      <w:r>
        <w:rPr>
          <w:rFonts w:ascii="Arial" w:hAnsi="Arial"/>
          <w:b/>
          <w:color w:val="1F4D78"/>
          <w:sz w:val="19"/>
        </w:rPr>
        <w:t>هفتهٔ 380  |  صفحهٔ منبع: 396</w:t>
      </w:r>
    </w:p>
    <w:p>
      <w:pPr>
        <w:spacing w:after="20" w:line="223" w:lineRule="auto"/>
        <w:jc w:val="right"/>
        <w:bidi/>
      </w:pPr>
      <w:r>
        <w:rPr>
          <w:rFonts w:ascii="Arial" w:hAnsi="Arial"/>
          <w:sz w:val="16"/>
        </w:rPr>
        <w:t>380.01  توبیخ نامه در یک UIF برای پرسنل استخدام شده.</w:t>
      </w:r>
    </w:p>
    <w:p>
      <w:pPr>
        <w:spacing w:after="28" w:line="216" w:lineRule="auto"/>
        <w:ind w:left="259"/>
        <w:jc w:val="left"/>
      </w:pPr>
      <w:r>
        <w:rPr>
          <w:rFonts w:ascii="Arial" w:hAnsi="Arial"/>
          <w:color w:val="525252"/>
          <w:sz w:val="13"/>
        </w:rPr>
        <w:t>a letter of reprimand in a UIF for enlisted personnel.</w:t>
      </w:r>
    </w:p>
    <w:p>
      <w:pPr>
        <w:spacing w:after="20" w:line="223" w:lineRule="auto"/>
        <w:jc w:val="right"/>
        <w:bidi/>
      </w:pPr>
      <w:r>
        <w:rPr>
          <w:rFonts w:ascii="Arial" w:hAnsi="Arial"/>
          <w:sz w:val="16"/>
        </w:rPr>
        <w:t>380.02  توبیخ نامه برای پرونده در UIF برای پرسنل افسری الزامی است.</w:t>
      </w:r>
    </w:p>
    <w:p>
      <w:pPr>
        <w:spacing w:after="28" w:line="216" w:lineRule="auto"/>
        <w:ind w:left="259"/>
        <w:jc w:val="left"/>
      </w:pPr>
      <w:r>
        <w:rPr>
          <w:rFonts w:ascii="Arial" w:hAnsi="Arial"/>
          <w:color w:val="525252"/>
          <w:sz w:val="13"/>
        </w:rPr>
        <w:t>Letters of reprimand are mandatory for file in the UIF for officer personnel.</w:t>
      </w:r>
    </w:p>
    <w:p>
      <w:pPr>
        <w:spacing w:before="60" w:after="28"/>
        <w:jc w:val="right"/>
        <w:bidi/>
      </w:pPr>
      <w:r>
        <w:rPr>
          <w:b/>
          <w:color w:val="1F4D78"/>
          <w:sz w:val="18"/>
        </w:rPr>
        <w:t>20.26. تنزل اداری هوانوردان</w:t>
      </w:r>
    </w:p>
    <w:p>
      <w:pPr>
        <w:spacing w:after="20"/>
        <w:ind w:left="259"/>
        <w:jc w:val="left"/>
      </w:pPr>
      <w:r>
        <w:rPr>
          <w:color w:val="555555"/>
          <w:sz w:val="12"/>
        </w:rPr>
        <w:t>20.26. Administrative Demotion of Airmen</w:t>
      </w:r>
    </w:p>
    <w:p>
      <w:pPr>
        <w:spacing w:after="20" w:line="223" w:lineRule="auto"/>
        <w:jc w:val="right"/>
        <w:bidi/>
      </w:pPr>
      <w:r>
        <w:rPr>
          <w:rFonts w:ascii="Arial" w:hAnsi="Arial"/>
          <w:sz w:val="16"/>
        </w:rPr>
        <w:t>380.04  تنزل مقام اداری یک هواپیمای هوایی ابزاری است که به دلایل خاصی در دسترس فرماندهان است.</w:t>
      </w:r>
    </w:p>
    <w:p>
      <w:pPr>
        <w:spacing w:after="28" w:line="216" w:lineRule="auto"/>
        <w:ind w:left="259"/>
        <w:jc w:val="left"/>
      </w:pPr>
      <w:r>
        <w:rPr>
          <w:rFonts w:ascii="Arial" w:hAnsi="Arial"/>
          <w:color w:val="525252"/>
          <w:sz w:val="13"/>
        </w:rPr>
        <w:t>Administrative demotion of an Airman is a tool available for commanders for certain reasons.</w:t>
      </w:r>
    </w:p>
    <w:p>
      <w:pPr>
        <w:spacing w:after="20" w:line="223" w:lineRule="auto"/>
        <w:jc w:val="right"/>
        <w:bidi/>
      </w:pPr>
      <w:r>
        <w:rPr>
          <w:rFonts w:ascii="Arial" w:hAnsi="Arial"/>
          <w:sz w:val="16"/>
        </w:rPr>
        <w:t>380.05  تنزل مقام اداری نباید جایگزین اقدام تحت UCMJ شود.</w:t>
      </w:r>
    </w:p>
    <w:p>
      <w:pPr>
        <w:spacing w:after="28" w:line="216" w:lineRule="auto"/>
        <w:ind w:left="259"/>
        <w:jc w:val="left"/>
      </w:pPr>
      <w:r>
        <w:rPr>
          <w:rFonts w:ascii="Arial" w:hAnsi="Arial"/>
          <w:color w:val="525252"/>
          <w:sz w:val="13"/>
        </w:rPr>
        <w:t>Administrative demotions should not replace action under the UCMJ.</w:t>
      </w:r>
    </w:p>
    <w:p>
      <w:pPr>
        <w:spacing w:after="20" w:line="223" w:lineRule="auto"/>
        <w:jc w:val="right"/>
        <w:bidi/>
      </w:pPr>
      <w:r>
        <w:rPr>
          <w:rFonts w:ascii="Arial" w:hAnsi="Arial"/>
          <w:sz w:val="16"/>
        </w:rPr>
        <w:t>380.06  دلایل متعددی برای تنزل رتبه وجود دارد، مانند ناتوانی در انجام مسئولیت‌های نیروهای هوایی/NCO/SNCO، عدم تناسب اندام، و خاتمه وضعیت دانشجویی.</w:t>
      </w:r>
    </w:p>
    <w:p>
      <w:pPr>
        <w:spacing w:after="28" w:line="216" w:lineRule="auto"/>
        <w:ind w:left="259"/>
        <w:jc w:val="left"/>
      </w:pPr>
      <w:r>
        <w:rPr>
          <w:rFonts w:ascii="Arial" w:hAnsi="Arial"/>
          <w:color w:val="525252"/>
          <w:sz w:val="13"/>
        </w:rPr>
        <w:t>There are a number of reasons to demote, such as failing to fulfill Airmen/NCO/SNCO responsibilities, failure to keep fit, and student status termination.</w:t>
      </w:r>
    </w:p>
    <w:p>
      <w:pPr>
        <w:spacing w:after="20" w:line="223" w:lineRule="auto"/>
        <w:jc w:val="right"/>
        <w:bidi/>
      </w:pPr>
      <w:r>
        <w:rPr>
          <w:rFonts w:ascii="Arial" w:hAnsi="Arial"/>
          <w:sz w:val="16"/>
        </w:rPr>
        <w:t>380.07  در صورت اقتضا، باید به هوانوردان فرصتی داده شود تا قبل از شروع اقدام برای تنزیل، بر کمبودهای خود غلبه کنند.</w:t>
      </w:r>
    </w:p>
    <w:p>
      <w:pPr>
        <w:spacing w:after="28" w:line="216" w:lineRule="auto"/>
        <w:ind w:left="259"/>
        <w:jc w:val="left"/>
      </w:pPr>
      <w:r>
        <w:rPr>
          <w:rFonts w:ascii="Arial" w:hAnsi="Arial"/>
          <w:color w:val="525252"/>
          <w:sz w:val="13"/>
        </w:rPr>
        <w:t>When appropriate, Airmen should be given an opportunity to overcome their deficiencies before demotion action is initiated.</w:t>
      </w:r>
    </w:p>
    <w:p>
      <w:pPr>
        <w:spacing w:after="20" w:line="223" w:lineRule="auto"/>
        <w:jc w:val="right"/>
        <w:bidi/>
      </w:pPr>
      <w:r>
        <w:rPr>
          <w:rFonts w:ascii="Arial" w:hAnsi="Arial"/>
          <w:sz w:val="16"/>
        </w:rPr>
        <w:t>380.08  روند تنزل اداری در AFI ۳۶-۲۵۰۲ ثبت شده است.</w:t>
      </w:r>
    </w:p>
    <w:p>
      <w:pPr>
        <w:spacing w:after="28" w:line="216" w:lineRule="auto"/>
        <w:ind w:left="259"/>
        <w:jc w:val="left"/>
      </w:pPr>
      <w:r>
        <w:rPr>
          <w:rFonts w:ascii="Arial" w:hAnsi="Arial"/>
          <w:color w:val="525252"/>
          <w:sz w:val="13"/>
        </w:rPr>
        <w:t>The administrative demotion process is captured in AFI 36-2502.</w:t>
      </w:r>
    </w:p>
    <w:p>
      <w:pPr>
        <w:spacing w:before="60" w:after="28"/>
        <w:jc w:val="right"/>
        <w:bidi/>
      </w:pPr>
      <w:r>
        <w:rPr>
          <w:b/>
          <w:color w:val="1F4D78"/>
          <w:sz w:val="18"/>
        </w:rPr>
        <w:t>20.27. تفکیک اداری</w:t>
      </w:r>
    </w:p>
    <w:p>
      <w:pPr>
        <w:spacing w:after="20"/>
        <w:ind w:left="259"/>
        <w:jc w:val="left"/>
      </w:pPr>
      <w:r>
        <w:rPr>
          <w:color w:val="555555"/>
          <w:sz w:val="12"/>
        </w:rPr>
        <w:t>20.27. Administrative Separations</w:t>
      </w:r>
    </w:p>
    <w:p>
      <w:pPr>
        <w:spacing w:after="20" w:line="223" w:lineRule="auto"/>
        <w:jc w:val="right"/>
        <w:bidi/>
      </w:pPr>
      <w:r>
        <w:rPr>
          <w:rFonts w:ascii="Arial" w:hAnsi="Arial"/>
          <w:sz w:val="16"/>
        </w:rPr>
        <w:t>380.10  هوانوردان حق دارند در انقضای مدت خدمت خود جدا شوند مگر اینکه مرجع خاصی برای حفظ وجود داشته باشد.</w:t>
      </w:r>
    </w:p>
    <w:p>
      <w:pPr>
        <w:spacing w:after="28" w:line="216" w:lineRule="auto"/>
        <w:ind w:left="259"/>
        <w:jc w:val="left"/>
      </w:pPr>
      <w:r>
        <w:rPr>
          <w:rFonts w:ascii="Arial" w:hAnsi="Arial"/>
          <w:color w:val="525252"/>
          <w:sz w:val="13"/>
        </w:rPr>
        <w:t>Airmen are entitled to separate at their expiration of term of service unless there is a specific authority for retention.</w:t>
      </w:r>
    </w:p>
    <w:p>
      <w:pPr>
        <w:spacing w:after="20" w:line="223" w:lineRule="auto"/>
        <w:jc w:val="right"/>
        <w:bidi/>
      </w:pPr>
      <w:r>
        <w:rPr>
          <w:rFonts w:ascii="Arial" w:hAnsi="Arial"/>
          <w:sz w:val="16"/>
        </w:rPr>
        <w:t>380.11  به‌عنوان یک قاعده، مسافران هوایی در تاریخ انقضای مدت خدمتشان از هم جدا می‌شوند، اما جدایی آنها به صورت خودکار نیست.</w:t>
      </w:r>
    </w:p>
    <w:p>
      <w:pPr>
        <w:spacing w:after="28" w:line="216" w:lineRule="auto"/>
        <w:ind w:left="259"/>
        <w:jc w:val="left"/>
      </w:pPr>
      <w:r>
        <w:rPr>
          <w:rFonts w:ascii="Arial" w:hAnsi="Arial"/>
          <w:color w:val="525252"/>
          <w:sz w:val="13"/>
        </w:rPr>
        <w:t>As a rule, Airmen separate on the date their expiration of term of service occurs, but their separation is not automatic.</w:t>
      </w:r>
    </w:p>
    <w:p>
      <w:pPr>
        <w:spacing w:after="20" w:line="223" w:lineRule="auto"/>
        <w:jc w:val="right"/>
        <w:bidi/>
      </w:pPr>
      <w:r>
        <w:rPr>
          <w:rFonts w:ascii="Arial" w:hAnsi="Arial"/>
          <w:sz w:val="16"/>
        </w:rPr>
        <w:t>380.12  هوانوردان تا زمانی که با اقدام اداری از هم جدا نشوند، اعضای USAF هستند.</w:t>
      </w:r>
    </w:p>
    <w:p>
      <w:pPr>
        <w:spacing w:after="28" w:line="216" w:lineRule="auto"/>
        <w:ind w:left="259"/>
        <w:jc w:val="left"/>
      </w:pPr>
      <w:r>
        <w:rPr>
          <w:rFonts w:ascii="Arial" w:hAnsi="Arial"/>
          <w:color w:val="525252"/>
          <w:sz w:val="13"/>
        </w:rPr>
        <w:t>Airmen are members of the USAF until they are separated by administrative action.</w:t>
      </w:r>
    </w:p>
    <w:p>
      <w:pPr>
        <w:spacing w:after="20" w:line="223" w:lineRule="auto"/>
        <w:jc w:val="right"/>
        <w:bidi/>
      </w:pPr>
      <w:r>
        <w:rPr>
          <w:rFonts w:ascii="Arial" w:hAnsi="Arial"/>
          <w:sz w:val="16"/>
        </w:rPr>
        <w:t>380.13  دلایل مختلفی برای جدایی وجود دارد.</w:t>
      </w:r>
    </w:p>
    <w:p>
      <w:pPr>
        <w:spacing w:after="28" w:line="216" w:lineRule="auto"/>
        <w:ind w:left="259"/>
        <w:jc w:val="left"/>
      </w:pPr>
      <w:r>
        <w:rPr>
          <w:rFonts w:ascii="Arial" w:hAnsi="Arial"/>
          <w:color w:val="525252"/>
          <w:sz w:val="13"/>
        </w:rPr>
        <w:t>Many different reasons for separation exist.</w:t>
      </w:r>
    </w:p>
    <w:p>
      <w:pPr>
        <w:spacing w:after="20" w:line="223" w:lineRule="auto"/>
        <w:jc w:val="right"/>
        <w:bidi/>
      </w:pPr>
      <w:r>
        <w:rPr>
          <w:rFonts w:ascii="Arial" w:hAnsi="Arial"/>
          <w:sz w:val="16"/>
        </w:rPr>
        <w:t>380.14  شایستگی افراد برای خدمت در USAF بر اساس رفتار آنها و توانایی آنها برای برآورده کردن استانداردهای لازم برای انجام وظیفه و نظم و انضباط ارزیابی می‌شود.</w:t>
      </w:r>
    </w:p>
    <w:p>
      <w:pPr>
        <w:spacing w:after="28" w:line="216" w:lineRule="auto"/>
        <w:ind w:left="259"/>
        <w:jc w:val="left"/>
      </w:pPr>
      <w:r>
        <w:rPr>
          <w:rFonts w:ascii="Arial" w:hAnsi="Arial"/>
          <w:color w:val="525252"/>
          <w:sz w:val="13"/>
        </w:rPr>
        <w:t>The suitability of persons to serve in the USAF is judged on the basis of their conduct and their ability to meet required standards of duty performance and discipline.</w:t>
      </w:r>
    </w:p>
    <w:p>
      <w:pPr>
        <w:spacing w:after="20" w:line="223" w:lineRule="auto"/>
        <w:jc w:val="right"/>
        <w:bidi/>
      </w:pPr>
      <w:r>
        <w:rPr>
          <w:rFonts w:ascii="Arial" w:hAnsi="Arial"/>
          <w:sz w:val="16"/>
        </w:rPr>
        <w:t>380.15  فرماندهان و ناظران باید اعضای ثبت‌نام شده‌ای را که احتمال جدایی زودهنگام را نشان می‌دهند شناسایی کرده و تلاش‌های منطقی برای کمک به این اعضا برای برآورده کردن استانداردهای USAF انجام دهند.</w:t>
      </w:r>
    </w:p>
    <w:p>
      <w:pPr>
        <w:spacing w:after="28" w:line="216" w:lineRule="auto"/>
        <w:ind w:left="259"/>
        <w:jc w:val="left"/>
      </w:pPr>
      <w:r>
        <w:rPr>
          <w:rFonts w:ascii="Arial" w:hAnsi="Arial"/>
          <w:color w:val="525252"/>
          <w:sz w:val="13"/>
        </w:rPr>
        <w:t>Commanders and supervisors must identify enlisted members who show a likelihood for early separation and make reasonable efforts to help these members meet USAF standards.</w:t>
      </w:r>
    </w:p>
    <w:p>
      <w:pPr>
        <w:spacing w:after="20" w:line="223" w:lineRule="auto"/>
        <w:jc w:val="right"/>
        <w:bidi/>
      </w:pPr>
      <w:r>
        <w:rPr>
          <w:rFonts w:ascii="Arial" w:hAnsi="Arial"/>
          <w:sz w:val="16"/>
        </w:rPr>
        <w:t>380.16  اعضایی که پتانسیل لازم برای خدمات بیشتر را نشان نمی‌دهند باید ترخیص شوند.</w:t>
      </w:r>
    </w:p>
    <w:p>
      <w:pPr>
        <w:spacing w:after="28" w:line="216" w:lineRule="auto"/>
        <w:ind w:left="259"/>
        <w:jc w:val="left"/>
      </w:pPr>
      <w:r>
        <w:rPr>
          <w:rFonts w:ascii="Arial" w:hAnsi="Arial"/>
          <w:color w:val="525252"/>
          <w:sz w:val="13"/>
        </w:rPr>
        <w:t>Members who do not show potential for further service should be discharged.</w:t>
      </w:r>
    </w:p>
    <w:p>
      <w:pPr>
        <w:spacing w:after="20" w:line="223" w:lineRule="auto"/>
        <w:jc w:val="right"/>
        <w:bidi/>
      </w:pPr>
      <w:r>
        <w:rPr>
          <w:rFonts w:ascii="Arial" w:hAnsi="Arial"/>
          <w:sz w:val="16"/>
        </w:rPr>
        <w:t>380.17  فرماندهان باید قبل از شروع جدایی غیرارادی یکی از اعضا، با وکیل دادگستری کارکنان و پرواز پرسنل نظامی مشورت کنند.</w:t>
      </w:r>
    </w:p>
    <w:p>
      <w:pPr>
        <w:spacing w:after="28" w:line="216" w:lineRule="auto"/>
        <w:ind w:left="259"/>
        <w:jc w:val="left"/>
      </w:pPr>
      <w:r>
        <w:rPr>
          <w:rFonts w:ascii="Arial" w:hAnsi="Arial"/>
          <w:color w:val="525252"/>
          <w:sz w:val="13"/>
        </w:rPr>
        <w:t>Commanders must consult the servicing Staff Judge Advocate and military personnel flight before initiating the involuntary separation of a member.</w:t>
      </w:r>
    </w:p>
    <w:p>
      <w:pPr>
        <w:spacing w:after="20" w:line="223" w:lineRule="auto"/>
        <w:jc w:val="right"/>
        <w:bidi/>
      </w:pPr>
      <w:r>
        <w:rPr>
          <w:rFonts w:ascii="Arial" w:hAnsi="Arial"/>
          <w:sz w:val="16"/>
        </w:rPr>
        <w:t>380.18  جداسازی الزامی.</w:t>
      </w:r>
    </w:p>
    <w:p>
      <w:pPr>
        <w:spacing w:after="28" w:line="216" w:lineRule="auto"/>
        <w:ind w:left="259"/>
        <w:jc w:val="left"/>
      </w:pPr>
      <w:r>
        <w:rPr>
          <w:rFonts w:ascii="Arial" w:hAnsi="Arial"/>
          <w:color w:val="525252"/>
          <w:sz w:val="13"/>
        </w:rPr>
        <w:t>Required Separation.</w:t>
      </w:r>
    </w:p>
    <w:p>
      <w:pPr>
        <w:spacing w:after="20" w:line="223" w:lineRule="auto"/>
        <w:jc w:val="right"/>
        <w:bidi/>
      </w:pPr>
      <w:r>
        <w:rPr>
          <w:rFonts w:ascii="Arial" w:hAnsi="Arial"/>
          <w:sz w:val="16"/>
        </w:rPr>
        <w:t>380.19  هوانوردانی که در وضعیت نظامی دیگری به خدمت خود ادامه خواهند داد باید از هم جدا شوند. برای مثال، یک هواپیمای مسافربری ممکن است برای خدمت در نیروهای رزرو نیروی هوایی یا گارد ملی هوایی جدا شود.</w:t>
      </w:r>
    </w:p>
    <w:p>
      <w:pPr>
        <w:spacing w:after="28" w:line="216" w:lineRule="auto"/>
        <w:ind w:left="259"/>
        <w:jc w:val="left"/>
      </w:pPr>
      <w:r>
        <w:rPr>
          <w:rFonts w:ascii="Arial" w:hAnsi="Arial"/>
          <w:color w:val="525252"/>
          <w:sz w:val="13"/>
        </w:rPr>
        <w:t>Airmen who will continue to serve in another military status must separate; for example, an Airman may separate to serve with the Air Force Reserve or Air National Guard.</w:t>
      </w:r>
    </w:p>
    <w:p>
      <w:pPr>
        <w:spacing w:after="20" w:line="223" w:lineRule="auto"/>
        <w:jc w:val="right"/>
        <w:bidi/>
      </w:pPr>
      <w:r>
        <w:rPr>
          <w:rFonts w:ascii="Arial" w:hAnsi="Arial"/>
          <w:sz w:val="16"/>
        </w:rPr>
        <w:t>380.20  همچنین ممکن است یک نیروی هوایی برای پذیرفتن قرار ملاقات به‌عنوان افسر مأمور نیروی هوایی ایالات متحده یا پذیرش قرار ملاقات به‌عنوان ضمانت نامه یا افسر مأمور در شاخه دیگری از خدمات جدا شود.</w:t>
      </w:r>
    </w:p>
    <w:p>
      <w:pPr>
        <w:spacing w:after="28" w:line="216" w:lineRule="auto"/>
        <w:ind w:left="259"/>
        <w:jc w:val="left"/>
      </w:pPr>
      <w:r>
        <w:rPr>
          <w:rFonts w:ascii="Arial" w:hAnsi="Arial"/>
          <w:color w:val="525252"/>
          <w:sz w:val="13"/>
        </w:rPr>
        <w:t>An Airman may also separate to accept an appointment as a commissioned officer of the USAF or to accept an appointment as a warrant or commissioned officer of another branch of service.</w:t>
      </w:r>
    </w:p>
    <w:p>
      <w:pPr>
        <w:spacing w:after="20" w:line="223" w:lineRule="auto"/>
        <w:jc w:val="right"/>
        <w:bidi/>
      </w:pPr>
      <w:r>
        <w:rPr>
          <w:rFonts w:ascii="Arial" w:hAnsi="Arial"/>
          <w:sz w:val="16"/>
        </w:rPr>
        <w:t>380.21  جدایی داوطلبانه.</w:t>
      </w:r>
    </w:p>
    <w:p>
      <w:pPr>
        <w:spacing w:after="28" w:line="216" w:lineRule="auto"/>
        <w:ind w:left="259"/>
        <w:jc w:val="left"/>
      </w:pPr>
      <w:r>
        <w:rPr>
          <w:rFonts w:ascii="Arial" w:hAnsi="Arial"/>
          <w:color w:val="525252"/>
          <w:sz w:val="13"/>
        </w:rPr>
        <w:t>Voluntary Separation.</w:t>
      </w:r>
    </w:p>
    <w:p>
      <w:pPr>
        <w:spacing w:after="20" w:line="223" w:lineRule="auto"/>
        <w:jc w:val="right"/>
        <w:bidi/>
      </w:pPr>
      <w:r>
        <w:rPr>
          <w:rFonts w:ascii="Arial" w:hAnsi="Arial"/>
          <w:sz w:val="16"/>
        </w:rPr>
        <w:t>380.22  هوانوردان در صورت داشتن معیارها ممکن است برای راحتی دولت درخواست جدایی زودهنگام کنند.</w:t>
      </w:r>
    </w:p>
    <w:p>
      <w:pPr>
        <w:spacing w:after="28" w:line="216" w:lineRule="auto"/>
        <w:ind w:left="259"/>
        <w:jc w:val="left"/>
      </w:pPr>
      <w:r>
        <w:rPr>
          <w:rFonts w:ascii="Arial" w:hAnsi="Arial"/>
          <w:color w:val="525252"/>
          <w:sz w:val="13"/>
        </w:rPr>
        <w:t>Airmen may ask for early separation for the convenience of the government if they meet the criteria.</w:t>
      </w:r>
    </w:p>
    <w:p>
      <w:pPr>
        <w:spacing w:after="20" w:line="223" w:lineRule="auto"/>
        <w:jc w:val="right"/>
        <w:bidi/>
      </w:pPr>
      <w:r>
        <w:rPr>
          <w:rFonts w:ascii="Arial" w:hAnsi="Arial"/>
          <w:sz w:val="16"/>
        </w:rPr>
        <w:t>380.23  ورود به برنامه آموزشی افسری، حاملگی، مخالفت وجدانی، سختی و مرخصی زودهنگام برای حضور در مدرسه از دلایلی است که ممکن است به اعضا اجازه جدایی داده شود.</w:t>
      </w:r>
    </w:p>
    <w:p>
      <w:pPr>
        <w:spacing w:after="28" w:line="216" w:lineRule="auto"/>
        <w:ind w:left="259"/>
        <w:jc w:val="left"/>
      </w:pPr>
      <w:r>
        <w:rPr>
          <w:rFonts w:ascii="Arial" w:hAnsi="Arial"/>
          <w:color w:val="525252"/>
          <w:sz w:val="13"/>
        </w:rPr>
        <w:t>Entering an officer training program, pregnancy, conscientious objection, hardship, and early release to attend school are some of the reasons for which members may be allowed to separate.</w:t>
      </w:r>
    </w:p>
    <w:p>
      <w:pPr>
        <w:spacing w:after="20" w:line="223" w:lineRule="auto"/>
        <w:jc w:val="right"/>
        <w:bidi/>
      </w:pPr>
      <w:r>
        <w:rPr>
          <w:rFonts w:ascii="Arial" w:hAnsi="Arial"/>
          <w:sz w:val="16"/>
        </w:rPr>
        <w:t>380.24  جدایی غیرارادی.</w:t>
      </w:r>
    </w:p>
    <w:p>
      <w:pPr>
        <w:spacing w:after="28" w:line="216" w:lineRule="auto"/>
        <w:ind w:left="259"/>
        <w:jc w:val="left"/>
      </w:pPr>
      <w:r>
        <w:rPr>
          <w:rFonts w:ascii="Arial" w:hAnsi="Arial"/>
          <w:color w:val="525252"/>
          <w:sz w:val="13"/>
        </w:rPr>
        <w:t>Involuntary Separation.</w:t>
      </w:r>
    </w:p>
    <w:p>
      <w:pPr>
        <w:spacing w:after="20" w:line="223" w:lineRule="auto"/>
        <w:jc w:val="right"/>
        <w:bidi/>
      </w:pPr>
      <w:r>
        <w:rPr>
          <w:rFonts w:ascii="Arial" w:hAnsi="Arial"/>
          <w:sz w:val="16"/>
        </w:rPr>
        <w:t>380.25  شرایط فیزیکی که با انجام وظیفه یا در دسترس بودن تکلیف تداخل می‌کند، ناتوانی در انجام مسئولیت‌های والدین یا وظیفه نظامی، یا حفظ ناکافی برای بازآموزی مورد نیاز، دلایلی برای ترخیص غیرارادی برای راحتی دولت است.</w:t>
      </w:r>
    </w:p>
    <w:p>
      <w:pPr>
        <w:spacing w:after="28" w:line="216" w:lineRule="auto"/>
        <w:ind w:left="259"/>
        <w:jc w:val="left"/>
      </w:pPr>
      <w:r>
        <w:rPr>
          <w:rFonts w:ascii="Arial" w:hAnsi="Arial"/>
          <w:color w:val="525252"/>
          <w:sz w:val="13"/>
        </w:rPr>
        <w:t>Physical conditions that interfere with duty performance or assignment availability, inability to cope with parental responsibilities or military duty, or insufficient retainability for required retraining, are reasons for involuntary discharge for the convenience of the government.</w:t>
      </w:r>
    </w:p>
    <w:p>
      <w:pPr>
        <w:spacing w:after="20" w:line="223" w:lineRule="auto"/>
        <w:jc w:val="right"/>
        <w:bidi/>
      </w:pPr>
      <w:r>
        <w:rPr>
          <w:rFonts w:ascii="Arial" w:hAnsi="Arial"/>
          <w:sz w:val="16"/>
        </w:rPr>
        <w:t>380.26  سربازگیری معیوب (تقلبی یا اشتباه) نیز مبنای ترخیص است.</w:t>
      </w:r>
    </w:p>
    <w:p>
      <w:pPr>
        <w:spacing w:after="28" w:line="216" w:lineRule="auto"/>
        <w:ind w:left="259"/>
        <w:jc w:val="left"/>
      </w:pPr>
      <w:r>
        <w:rPr>
          <w:rFonts w:ascii="Arial" w:hAnsi="Arial"/>
          <w:color w:val="525252"/>
          <w:sz w:val="13"/>
        </w:rPr>
        <w:t>Defective enlistment (fraudulent or erroneous) is also a basis for discharge.</w:t>
      </w:r>
    </w:p>
    <w:p>
      <w:pPr>
        <w:spacing w:after="20" w:line="223" w:lineRule="auto"/>
        <w:jc w:val="right"/>
        <w:bidi/>
      </w:pPr>
      <w:r>
        <w:rPr>
          <w:rFonts w:ascii="Arial" w:hAnsi="Arial"/>
          <w:sz w:val="16"/>
        </w:rPr>
        <w:t>380.27  هوانوردان بر اساس عواملی مانند عملکرد نامطلوب، سوء مصرف مواد، سوء رفتار یا به نفع امنیت ملی مشمول ترخیص می‌شوند.</w:t>
      </w:r>
    </w:p>
    <w:p>
      <w:pPr>
        <w:spacing w:after="28" w:line="216" w:lineRule="auto"/>
        <w:ind w:left="259"/>
        <w:jc w:val="left"/>
      </w:pPr>
      <w:r>
        <w:rPr>
          <w:rFonts w:ascii="Arial" w:hAnsi="Arial"/>
          <w:color w:val="525252"/>
          <w:sz w:val="13"/>
        </w:rPr>
        <w:t>Airmen are subject to discharge for cause based on such factors as unsatisfactory performance, substance abuse, misconduct, or in the interest of national security.</w:t>
      </w:r>
    </w:p>
    <w:p>
      <w:pPr>
        <w:spacing w:before="60" w:after="28"/>
        <w:jc w:val="right"/>
        <w:bidi/>
      </w:pPr>
      <w:r>
        <w:rPr>
          <w:b/>
          <w:color w:val="1F4D78"/>
          <w:sz w:val="18"/>
        </w:rPr>
        <w:t>20.28. ویژگی های خدمات</w:t>
      </w:r>
    </w:p>
    <w:p>
      <w:pPr>
        <w:spacing w:after="20"/>
        <w:ind w:left="259"/>
        <w:jc w:val="left"/>
      </w:pPr>
      <w:r>
        <w:rPr>
          <w:color w:val="555555"/>
          <w:sz w:val="12"/>
        </w:rPr>
        <w:t>20.28. Service Characterization</w:t>
      </w:r>
    </w:p>
    <w:p>
      <w:pPr>
        <w:spacing w:after="20" w:line="223" w:lineRule="auto"/>
        <w:jc w:val="right"/>
        <w:bidi/>
      </w:pPr>
      <w:r>
        <w:rPr>
          <w:rFonts w:ascii="Arial" w:hAnsi="Arial"/>
          <w:sz w:val="16"/>
        </w:rPr>
        <w:t>380.29  هوانوردانی که واجد شرایط ثبت‌نام مجدد نیستند، بدون در نظر گرفتن تعهدات خدمت سربازی باقیمانده، ترخیص می‌شوند.</w:t>
      </w:r>
    </w:p>
    <w:p>
      <w:pPr>
        <w:spacing w:after="28" w:line="216" w:lineRule="auto"/>
        <w:ind w:left="259"/>
        <w:jc w:val="left"/>
      </w:pPr>
      <w:r>
        <w:rPr>
          <w:rFonts w:ascii="Arial" w:hAnsi="Arial"/>
          <w:color w:val="525252"/>
          <w:sz w:val="13"/>
        </w:rPr>
        <w:t>Airmen who do not qualify for reenlistment receive a discharge without regard to their remaining military service obligation.</w:t>
      </w:r>
    </w:p>
    <w:p>
      <w:pPr>
        <w:spacing w:after="20" w:line="223" w:lineRule="auto"/>
        <w:jc w:val="right"/>
        <w:bidi/>
      </w:pPr>
      <w:r>
        <w:rPr>
          <w:rFonts w:ascii="Arial" w:hAnsi="Arial"/>
          <w:sz w:val="16"/>
        </w:rPr>
        <w:t>380.30  مشخصه خدمت به دلیل ترخیص و سابقه سربازی عضو در خدمت یا دوره خدمت فعلی بستگی دارد.</w:t>
      </w:r>
    </w:p>
    <w:p>
      <w:pPr>
        <w:spacing w:after="28" w:line="216" w:lineRule="auto"/>
        <w:ind w:left="259"/>
        <w:jc w:val="left"/>
      </w:pPr>
      <w:r>
        <w:rPr>
          <w:rFonts w:ascii="Arial" w:hAnsi="Arial"/>
          <w:color w:val="525252"/>
          <w:sz w:val="13"/>
        </w:rPr>
        <w:t>The service characterization depends upon the reason for the discharge and the member’s military record in the current enlistment or period of service.</w:t>
      </w:r>
    </w:p>
    <w:p>
      <w:pPr>
        <w:spacing w:after="20" w:line="223" w:lineRule="auto"/>
        <w:jc w:val="right"/>
        <w:bidi/>
      </w:pPr>
      <w:r>
        <w:rPr>
          <w:rFonts w:ascii="Arial" w:hAnsi="Arial"/>
          <w:sz w:val="16"/>
        </w:rPr>
        <w:t>380.31  خدمت اعضایی که طبق DAFI ۳۶-۳۲۱۱، جدایی‌های نظامی از کار برکنار شده‌اند، ممکن است به‌عنوان شرافتمندانه، عمومی (تحت شرایط شرافتمندانه) یا تحت شرایط غیر از شرافت شناخته شوند.</w:t>
      </w:r>
    </w:p>
    <w:p>
      <w:pPr>
        <w:spacing w:after="28" w:line="216" w:lineRule="auto"/>
        <w:ind w:left="259"/>
        <w:jc w:val="left"/>
      </w:pPr>
      <w:r>
        <w:rPr>
          <w:rFonts w:ascii="Arial" w:hAnsi="Arial"/>
          <w:color w:val="525252"/>
          <w:sz w:val="13"/>
        </w:rPr>
        <w:t>The service of members administratively discharged under DAFI 36-3211, Military Separations, may be characterized as honorable, general (under honorable conditions), or under other than honorable conditions.</w:t>
      </w:r>
    </w:p>
    <w:p>
      <w:pPr>
        <w:spacing w:after="20" w:line="223" w:lineRule="auto"/>
        <w:jc w:val="right"/>
        <w:bidi/>
      </w:pPr>
      <w:r>
        <w:rPr>
          <w:rFonts w:ascii="Arial" w:hAnsi="Arial"/>
          <w:sz w:val="16"/>
        </w:rPr>
        <w:t>380.32  محترم.</w:t>
      </w:r>
    </w:p>
    <w:p>
      <w:pPr>
        <w:spacing w:after="28" w:line="216" w:lineRule="auto"/>
        <w:ind w:left="259"/>
        <w:jc w:val="left"/>
      </w:pPr>
      <w:r>
        <w:rPr>
          <w:rFonts w:ascii="Arial" w:hAnsi="Arial"/>
          <w:color w:val="525252"/>
          <w:sz w:val="13"/>
        </w:rPr>
        <w:t>Honorable.</w:t>
      </w:r>
    </w:p>
    <w:p>
      <w:pPr>
        <w:spacing w:after="20" w:line="223" w:lineRule="auto"/>
        <w:jc w:val="right"/>
        <w:bidi/>
      </w:pPr>
      <w:r>
        <w:rPr>
          <w:rFonts w:ascii="Arial" w:hAnsi="Arial"/>
          <w:sz w:val="16"/>
        </w:rPr>
        <w:t>380.33  اعضایی که در انقضای مدت خدمت خود از هم جدا می‌شوند یا داوطلبانه یا غیرارادی برای راحتی دولت جدا می‌شوند، محترم شناخته می‌شوند.</w:t>
      </w:r>
    </w:p>
    <w:p>
      <w:pPr>
        <w:spacing w:after="28" w:line="216" w:lineRule="auto"/>
        <w:ind w:left="259"/>
        <w:jc w:val="left"/>
      </w:pPr>
      <w:r>
        <w:rPr>
          <w:rFonts w:ascii="Arial" w:hAnsi="Arial"/>
          <w:color w:val="525252"/>
          <w:sz w:val="13"/>
        </w:rPr>
        <w:t>Members separating at their expiration of term of service, or voluntarily or involuntarily separating for the convenience of the government, are characterized as honorable.</w:t>
      </w:r>
    </w:p>
    <w:p>
      <w:pPr>
        <w:spacing w:after="20" w:line="223" w:lineRule="auto"/>
        <w:jc w:val="right"/>
        <w:bidi/>
      </w:pPr>
      <w:r>
        <w:rPr>
          <w:rFonts w:ascii="Arial" w:hAnsi="Arial"/>
          <w:sz w:val="16"/>
        </w:rPr>
        <w:t>380.34  زمانی که کیفیت خدمات اعضا به‌طور کلی با USAF مطابقت داشته باشد، ترخیص محترمانه داده می‌شود.</w:t>
      </w:r>
    </w:p>
    <w:p>
      <w:pPr>
        <w:spacing w:after="28" w:line="216" w:lineRule="auto"/>
        <w:ind w:left="259"/>
        <w:jc w:val="left"/>
      </w:pPr>
      <w:r>
        <w:rPr>
          <w:rFonts w:ascii="Arial" w:hAnsi="Arial"/>
          <w:color w:val="525252"/>
          <w:sz w:val="13"/>
        </w:rPr>
        <w:t>An honorable discharge is given when the quality of the member’s service generally has met USAF</w:t>
      </w:r>
    </w:p>
    <w:p>
      <w:r>
        <w:br w:type="page"/>
      </w:r>
    </w:p>
    <w:p>
      <w:pPr>
        <w:spacing w:after="60"/>
        <w:jc w:val="right"/>
        <w:bidi/>
      </w:pPr>
      <w:r>
        <w:rPr>
          <w:rFonts w:ascii="Arial" w:hAnsi="Arial"/>
          <w:b/>
          <w:color w:val="1F4D78"/>
          <w:sz w:val="19"/>
        </w:rPr>
        <w:t>هفتهٔ 381  |  صفحهٔ منبع: 397</w:t>
      </w:r>
    </w:p>
    <w:p>
      <w:pPr>
        <w:spacing w:after="20" w:line="223" w:lineRule="auto"/>
        <w:jc w:val="right"/>
        <w:bidi/>
      </w:pPr>
      <w:r>
        <w:rPr>
          <w:rFonts w:ascii="Arial" w:hAnsi="Arial"/>
          <w:sz w:val="16"/>
        </w:rPr>
        <w:t>381.01  استانداردهای رفتار و انجام وظیفه قابل قبول، یا خدمات یک عضو در غیر این صورت آنقدر شایسته است که هر توصیف دیگری نامناسب خواهد بود.</w:t>
      </w:r>
    </w:p>
    <w:p>
      <w:pPr>
        <w:spacing w:after="28" w:line="216" w:lineRule="auto"/>
        <w:ind w:left="259"/>
        <w:jc w:val="left"/>
      </w:pPr>
      <w:r>
        <w:rPr>
          <w:rFonts w:ascii="Arial" w:hAnsi="Arial"/>
          <w:color w:val="525252"/>
          <w:sz w:val="13"/>
        </w:rPr>
        <w:t>standards of acceptable conduct and performance of duty, or a member’s service is otherwise so meritorious that any other characterization would be inappropriate.</w:t>
      </w:r>
    </w:p>
    <w:p>
      <w:pPr>
        <w:spacing w:after="20" w:line="223" w:lineRule="auto"/>
        <w:jc w:val="right"/>
        <w:bidi/>
      </w:pPr>
      <w:r>
        <w:rPr>
          <w:rFonts w:ascii="Arial" w:hAnsi="Arial"/>
          <w:sz w:val="16"/>
        </w:rPr>
        <w:t>381.02  ژنرال (در شرایط محترم).</w:t>
      </w:r>
    </w:p>
    <w:p>
      <w:pPr>
        <w:spacing w:after="28" w:line="216" w:lineRule="auto"/>
        <w:ind w:left="259"/>
        <w:jc w:val="left"/>
      </w:pPr>
      <w:r>
        <w:rPr>
          <w:rFonts w:ascii="Arial" w:hAnsi="Arial"/>
          <w:color w:val="525252"/>
          <w:sz w:val="13"/>
        </w:rPr>
        <w:t>General (under honorable conditions).</w:t>
      </w:r>
    </w:p>
    <w:p>
      <w:pPr>
        <w:spacing w:after="20" w:line="223" w:lineRule="auto"/>
        <w:jc w:val="right"/>
        <w:bidi/>
      </w:pPr>
      <w:r>
        <w:rPr>
          <w:rFonts w:ascii="Arial" w:hAnsi="Arial"/>
          <w:sz w:val="16"/>
        </w:rPr>
        <w:t>381.03  زمانی که خدمت یک عضو صادقانه و وفادار باشد، مرخصی عمومی (تحت شرایط شرافتمندانه) انجام می‌شود، اما جنبه‌های منفی مهم رفتار یا عملکرد عضو بر جنبه‌های مثبت سوابق نظامی او بیشتر است.</w:t>
      </w:r>
    </w:p>
    <w:p>
      <w:pPr>
        <w:spacing w:after="28" w:line="216" w:lineRule="auto"/>
        <w:ind w:left="259"/>
        <w:jc w:val="left"/>
      </w:pPr>
      <w:r>
        <w:rPr>
          <w:rFonts w:ascii="Arial" w:hAnsi="Arial"/>
          <w:color w:val="525252"/>
          <w:sz w:val="13"/>
        </w:rPr>
        <w:t>A general (under honorable conditions) discharge is given when a member’s service has been determined to be honest and faithful, but significant negative aspects of the member’s conduct or performance outweigh positive aspects of the Airman’s military record.</w:t>
      </w:r>
    </w:p>
    <w:p>
      <w:pPr>
        <w:spacing w:after="20" w:line="223" w:lineRule="auto"/>
        <w:jc w:val="right"/>
        <w:bidi/>
      </w:pPr>
      <w:r>
        <w:rPr>
          <w:rFonts w:ascii="Arial" w:hAnsi="Arial"/>
          <w:sz w:val="16"/>
        </w:rPr>
        <w:t>381.04  تحت شرایط غیر از شرافت.</w:t>
      </w:r>
    </w:p>
    <w:p>
      <w:pPr>
        <w:spacing w:after="28" w:line="216" w:lineRule="auto"/>
        <w:ind w:left="259"/>
        <w:jc w:val="left"/>
      </w:pPr>
      <w:r>
        <w:rPr>
          <w:rFonts w:ascii="Arial" w:hAnsi="Arial"/>
          <w:color w:val="525252"/>
          <w:sz w:val="13"/>
        </w:rPr>
        <w:t>Under Other Than Honorable Conditions.</w:t>
      </w:r>
    </w:p>
    <w:p>
      <w:pPr>
        <w:spacing w:after="20" w:line="223" w:lineRule="auto"/>
        <w:jc w:val="right"/>
        <w:bidi/>
      </w:pPr>
      <w:r>
        <w:rPr>
          <w:rFonts w:ascii="Arial" w:hAnsi="Arial"/>
          <w:sz w:val="16"/>
        </w:rPr>
        <w:t>381.05  بر اساس یک الگوی رفتاری، یا یک یا چند فعل یا کوتاهی، که باعث انحراف قابل توجهی از رفتار مورد انتظار یک هواپیمای مسافرتی می‌شود، تحت شرایط غیر شرافتمندانه مرخص می‌شود.</w:t>
      </w:r>
    </w:p>
    <w:p>
      <w:pPr>
        <w:spacing w:after="28" w:line="216" w:lineRule="auto"/>
        <w:ind w:left="259"/>
        <w:jc w:val="left"/>
      </w:pPr>
      <w:r>
        <w:rPr>
          <w:rFonts w:ascii="Arial" w:hAnsi="Arial"/>
          <w:color w:val="525252"/>
          <w:sz w:val="13"/>
        </w:rPr>
        <w:t>An under other than honorable conditions discharge is given based upon a pattern of behavior, or one or more acts or omissions, that constitute a significant departure from the conduct expected of an Airman.</w:t>
      </w:r>
    </w:p>
    <w:p>
      <w:pPr>
        <w:spacing w:after="20" w:line="223" w:lineRule="auto"/>
        <w:jc w:val="right"/>
        <w:bidi/>
      </w:pPr>
      <w:r>
        <w:rPr>
          <w:rFonts w:ascii="Arial" w:hAnsi="Arial"/>
          <w:sz w:val="16"/>
        </w:rPr>
        <w:t>381.06  این توصیف تنها در صورتی می‌تواند ارائه شود که به عضو هیئت مدیره معافیت اداری پیشنهاد شود یا اگر بدون قید و شرط به جای محاکمه توسط دادگاه نظامی درخواست برکناری داده شود.</w:t>
      </w:r>
    </w:p>
    <w:p>
      <w:pPr>
        <w:spacing w:after="28" w:line="216" w:lineRule="auto"/>
        <w:ind w:left="259"/>
        <w:jc w:val="left"/>
      </w:pPr>
      <w:r>
        <w:rPr>
          <w:rFonts w:ascii="Arial" w:hAnsi="Arial"/>
          <w:color w:val="525252"/>
          <w:sz w:val="13"/>
        </w:rPr>
        <w:t>This characterization can be given only if the member is offered an administrative discharge board or if a discharge is unconditionally requested in lieu of trial by court-martial.</w:t>
      </w:r>
    </w:p>
    <w:p>
      <w:pPr>
        <w:spacing w:after="20" w:line="223" w:lineRule="auto"/>
        <w:jc w:val="right"/>
        <w:bidi/>
      </w:pPr>
      <w:r>
        <w:rPr>
          <w:rFonts w:ascii="Arial" w:hAnsi="Arial"/>
          <w:sz w:val="16"/>
        </w:rPr>
        <w:t>381.07  اخراج به جای محاکمه توسط دادگاه نظامی.</w:t>
      </w:r>
    </w:p>
    <w:p>
      <w:pPr>
        <w:spacing w:after="28" w:line="216" w:lineRule="auto"/>
        <w:ind w:left="259"/>
        <w:jc w:val="left"/>
      </w:pPr>
      <w:r>
        <w:rPr>
          <w:rFonts w:ascii="Arial" w:hAnsi="Arial"/>
          <w:color w:val="525252"/>
          <w:sz w:val="13"/>
        </w:rPr>
        <w:t>Discharge in Lieu of Trial by Court-Martial.</w:t>
      </w:r>
    </w:p>
    <w:p>
      <w:pPr>
        <w:spacing w:after="20" w:line="223" w:lineRule="auto"/>
        <w:jc w:val="right"/>
        <w:bidi/>
      </w:pPr>
      <w:r>
        <w:rPr>
          <w:rFonts w:ascii="Arial" w:hAnsi="Arial"/>
          <w:sz w:val="16"/>
        </w:rPr>
        <w:t>381.08  اگر اتهامات علیه یک نیروی هوایی ترجیح داده شده باشد و اگر قانون یکپارچه عدالت نظامی، اخراج کیفری را به‌عنوان مجازات برای هر یک از جرایم ترجیحی مجاز می‌داند، هوانورد می‌تواند به جای محاکمه در دادگاه نظامی، درخواست اخراج اداری کند.</w:t>
      </w:r>
    </w:p>
    <w:p>
      <w:pPr>
        <w:spacing w:after="28" w:line="216" w:lineRule="auto"/>
        <w:ind w:left="259"/>
        <w:jc w:val="left"/>
      </w:pPr>
      <w:r>
        <w:rPr>
          <w:rFonts w:ascii="Arial" w:hAnsi="Arial"/>
          <w:color w:val="525252"/>
          <w:sz w:val="13"/>
        </w:rPr>
        <w:t>If charges have been preferred against an Airman and if the Uniform Code of Military Justice authorizes punitive discharge as punishment for any of the offenses preferred, the Airman may request an administrative discharge instead of trial by court-martial.</w:t>
      </w:r>
    </w:p>
    <w:p>
      <w:pPr>
        <w:spacing w:after="20" w:line="223" w:lineRule="auto"/>
        <w:jc w:val="right"/>
        <w:bidi/>
      </w:pPr>
      <w:r>
        <w:rPr>
          <w:rFonts w:ascii="Arial" w:hAnsi="Arial"/>
          <w:sz w:val="16"/>
        </w:rPr>
        <w:t>381.09  هیچ تضمینی وجود ندارد. با این حال، درخواست هواپیمای هوایی پذیرفته خواهد شد.</w:t>
      </w:r>
    </w:p>
    <w:p>
      <w:pPr>
        <w:spacing w:after="28" w:line="216" w:lineRule="auto"/>
        <w:ind w:left="259"/>
        <w:jc w:val="left"/>
      </w:pPr>
      <w:r>
        <w:rPr>
          <w:rFonts w:ascii="Arial" w:hAnsi="Arial"/>
          <w:color w:val="525252"/>
          <w:sz w:val="13"/>
        </w:rPr>
        <w:t>There is no guarantee; however, that the Airman’s request will be granted.</w:t>
      </w:r>
    </w:p>
    <w:p>
      <w:pPr>
        <w:spacing w:before="60" w:after="28"/>
        <w:jc w:val="right"/>
        <w:bidi/>
      </w:pPr>
      <w:r>
        <w:rPr>
          <w:b/>
          <w:color w:val="1F4D78"/>
          <w:sz w:val="18"/>
        </w:rPr>
        <w:t>20.29. هیئت بررسی تخلیه نیروی هوایی</w:t>
      </w:r>
    </w:p>
    <w:p>
      <w:pPr>
        <w:spacing w:after="20"/>
        <w:ind w:left="259"/>
        <w:jc w:val="left"/>
      </w:pPr>
      <w:r>
        <w:rPr>
          <w:color w:val="555555"/>
          <w:sz w:val="12"/>
        </w:rPr>
        <w:t>20.29. Air Force Discharge Review Board</w:t>
      </w:r>
    </w:p>
    <w:p>
      <w:pPr>
        <w:spacing w:after="20" w:line="223" w:lineRule="auto"/>
        <w:jc w:val="right"/>
        <w:bidi/>
      </w:pPr>
      <w:r>
        <w:rPr>
          <w:rFonts w:ascii="Arial" w:hAnsi="Arial"/>
          <w:sz w:val="16"/>
        </w:rPr>
        <w:t>381.11  هیئت بازبینی تخلیه نیروی هوایی به اعضای سابق USAF این فرصت را می‌دهد تا در مدت ۱۵ سال پس از تاریخ جدایی، درخواست بازنگری در مورد اخراج خود (به استثنای اخراج با رفتار نامناسب، اخراج غیرقانونی یا اخراج توسط دادگاه نظامی عمومی) کنند.</w:t>
      </w:r>
    </w:p>
    <w:p>
      <w:pPr>
        <w:spacing w:after="28" w:line="216" w:lineRule="auto"/>
        <w:ind w:left="259"/>
        <w:jc w:val="left"/>
      </w:pPr>
      <w:r>
        <w:rPr>
          <w:rFonts w:ascii="Arial" w:hAnsi="Arial"/>
          <w:color w:val="525252"/>
          <w:sz w:val="13"/>
        </w:rPr>
        <w:t>The Air Force Discharge Review Board affords former USAF members the opportunity to request review of their discharge (except for a bad-conduct discharge, dishonorable discharge, or dismissal by general court-martial) within 15 years of the date of separation.</w:t>
      </w:r>
    </w:p>
    <w:p>
      <w:pPr>
        <w:spacing w:after="20" w:line="223" w:lineRule="auto"/>
        <w:jc w:val="right"/>
        <w:bidi/>
      </w:pPr>
      <w:r>
        <w:rPr>
          <w:rFonts w:ascii="Arial" w:hAnsi="Arial"/>
          <w:sz w:val="16"/>
        </w:rPr>
        <w:t>381.12  هدف از بررسی ترخیص، بررسی ترخیص اداری متقاضی و در نظر گرفتن تغییر مشخصات خدمت، دلیل ترخیص، و کد ثبت‌نام مجدد (در صورت لزوم)، بر اساس استانداردهای درستی یا انصاف است.</w:t>
      </w:r>
    </w:p>
    <w:p>
      <w:pPr>
        <w:spacing w:after="28" w:line="216" w:lineRule="auto"/>
        <w:ind w:left="259"/>
        <w:jc w:val="left"/>
      </w:pPr>
      <w:r>
        <w:rPr>
          <w:rFonts w:ascii="Arial" w:hAnsi="Arial"/>
          <w:color w:val="525252"/>
          <w:sz w:val="13"/>
        </w:rPr>
        <w:t>The objective of a discharge review is to examine an applicant’s administrative discharge and consider changing the characterization of service, the reason for discharge, and the re-enlistment code (when applicable), based on standards of propriety or equity.</w:t>
      </w:r>
    </w:p>
    <w:p>
      <w:pPr>
        <w:spacing w:after="20" w:line="223" w:lineRule="auto"/>
        <w:jc w:val="right"/>
        <w:bidi/>
      </w:pPr>
      <w:r>
        <w:rPr>
          <w:rFonts w:ascii="Arial" w:hAnsi="Arial"/>
          <w:sz w:val="16"/>
        </w:rPr>
        <w:t>381.13  هوانوردان تحت شرایطی (به استثنای بازنشستگی) که آنها را واجد شرایط ثبت‌نام مجدد نمی‌کند و افسرانی که در شرایط نامطلوب مرخص می‌شوند از هم جدا می‌شوند، در زمان ترخیص توسط بخش پرسنل نظامی در مورد روند هیئت بازنگری ترخیص مطلع می‌شوند.</w:t>
      </w:r>
    </w:p>
    <w:p>
      <w:pPr>
        <w:spacing w:after="28" w:line="216" w:lineRule="auto"/>
        <w:ind w:left="259"/>
        <w:jc w:val="left"/>
      </w:pPr>
      <w:r>
        <w:rPr>
          <w:rFonts w:ascii="Arial" w:hAnsi="Arial"/>
          <w:color w:val="525252"/>
          <w:sz w:val="13"/>
        </w:rPr>
        <w:t>Airmen separated under circumstances (except retirement) that make them ineligible for reenlistment, and officers discharged under adverse conditions, are briefed by the military personnel section at the time of their discharge about the discharge review board process.</w:t>
      </w:r>
    </w:p>
    <w:p>
      <w:pPr>
        <w:spacing w:after="20" w:line="223" w:lineRule="auto"/>
        <w:jc w:val="right"/>
        <w:bidi/>
      </w:pPr>
      <w:r>
        <w:rPr>
          <w:rFonts w:ascii="Arial" w:hAnsi="Arial"/>
          <w:sz w:val="16"/>
        </w:rPr>
        <w:t>381.14  برگه اطلاعات بررسی ترخیص و درخواست، DD فورم ۲۹۳، اپپلیکاتیون فور رویو وف کسچارگ از نیروهای مسلح ایالات متحده به آنها ارائه شده است.</w:t>
      </w:r>
    </w:p>
    <w:p>
      <w:pPr>
        <w:spacing w:after="28" w:line="216" w:lineRule="auto"/>
        <w:ind w:left="259"/>
        <w:jc w:val="left"/>
      </w:pPr>
      <w:r>
        <w:rPr>
          <w:rFonts w:ascii="Arial" w:hAnsi="Arial"/>
          <w:color w:val="525252"/>
          <w:sz w:val="13"/>
        </w:rPr>
        <w:t>They are provided with a discharge review fact sheet and an application, DD Form 293, Application for the Review of Discharge from the Armed Forces of the United States.</w:t>
      </w:r>
    </w:p>
    <w:p>
      <w:pPr>
        <w:spacing w:after="20" w:line="223" w:lineRule="auto"/>
        <w:jc w:val="right"/>
        <w:bidi/>
      </w:pPr>
      <w:r>
        <w:rPr>
          <w:rFonts w:ascii="Arial" w:hAnsi="Arial"/>
          <w:sz w:val="16"/>
        </w:rPr>
        <w:t>381.15  حضور شخصی در هیئت بررسی ترخیص یک حق قانونی است.</w:t>
      </w:r>
    </w:p>
    <w:p>
      <w:pPr>
        <w:spacing w:after="28" w:line="216" w:lineRule="auto"/>
        <w:ind w:left="259"/>
        <w:jc w:val="left"/>
      </w:pPr>
      <w:r>
        <w:rPr>
          <w:rFonts w:ascii="Arial" w:hAnsi="Arial"/>
          <w:color w:val="525252"/>
          <w:sz w:val="13"/>
        </w:rPr>
        <w:t>A personal appearance before the discharge review board is a statutory right.</w:t>
      </w:r>
    </w:p>
    <w:p>
      <w:pPr>
        <w:spacing w:after="20" w:line="223" w:lineRule="auto"/>
        <w:jc w:val="right"/>
        <w:bidi/>
      </w:pPr>
      <w:r>
        <w:rPr>
          <w:rFonts w:ascii="Arial" w:hAnsi="Arial"/>
          <w:sz w:val="16"/>
        </w:rPr>
        <w:t>381.16  متقاضی یا وکیل متقاضی می‌تواند در هیئت مدیره حاضر شود یا از طریق ویدئو کنفرانس تلفنی در هیئت مدیره صحبت کند.</w:t>
      </w:r>
    </w:p>
    <w:p>
      <w:pPr>
        <w:spacing w:after="28" w:line="216" w:lineRule="auto"/>
        <w:ind w:left="259"/>
        <w:jc w:val="left"/>
      </w:pPr>
      <w:r>
        <w:rPr>
          <w:rFonts w:ascii="Arial" w:hAnsi="Arial"/>
          <w:color w:val="525252"/>
          <w:sz w:val="13"/>
        </w:rPr>
        <w:t>The applicant or the applicant’s counsel may appear before the board or address the board via video teleconference.</w:t>
      </w:r>
    </w:p>
    <w:p>
      <w:pPr>
        <w:spacing w:after="20" w:line="223" w:lineRule="auto"/>
        <w:jc w:val="right"/>
        <w:bidi/>
      </w:pPr>
      <w:r>
        <w:rPr>
          <w:rFonts w:ascii="Arial" w:hAnsi="Arial"/>
          <w:sz w:val="16"/>
        </w:rPr>
        <w:t>381.17  رویه‌ها به متقاضی اجازه می‌دهد مدارک، شهود و شهادت در حمایت از پرونده متقاضی را ارائه دهد.</w:t>
      </w:r>
    </w:p>
    <w:p>
      <w:pPr>
        <w:spacing w:after="28" w:line="216" w:lineRule="auto"/>
        <w:ind w:left="259"/>
        <w:jc w:val="left"/>
      </w:pPr>
      <w:r>
        <w:rPr>
          <w:rFonts w:ascii="Arial" w:hAnsi="Arial"/>
          <w:color w:val="525252"/>
          <w:sz w:val="13"/>
        </w:rPr>
        <w:t>Procedures allow the applicant latitude in presenting evidence, witnesses, and testimony in support of the applicant’s case.</w:t>
      </w:r>
    </w:p>
    <w:p>
      <w:pPr>
        <w:spacing w:after="20" w:line="223" w:lineRule="auto"/>
        <w:jc w:val="right"/>
        <w:bidi/>
      </w:pPr>
      <w:r>
        <w:rPr>
          <w:rFonts w:ascii="Arial" w:hAnsi="Arial"/>
          <w:sz w:val="16"/>
        </w:rPr>
        <w:t>381.18  هیئت همچنین می‌تواند پرونده را بر اساس مستندات موجود در سوابق نظامی و هرگونه شواهد اضافی ارائه شده توسط متقاضی بررسی کند.</w:t>
      </w:r>
    </w:p>
    <w:p>
      <w:pPr>
        <w:spacing w:after="28" w:line="216" w:lineRule="auto"/>
        <w:ind w:left="259"/>
        <w:jc w:val="left"/>
      </w:pPr>
      <w:r>
        <w:rPr>
          <w:rFonts w:ascii="Arial" w:hAnsi="Arial"/>
          <w:color w:val="525252"/>
          <w:sz w:val="13"/>
        </w:rPr>
        <w:t>A board may also review the case based on documentation in the military record and any additional evidence provided by the applicant.</w:t>
      </w:r>
    </w:p>
    <w:p>
      <w:pPr>
        <w:spacing w:before="60" w:after="28"/>
        <w:jc w:val="right"/>
        <w:bidi/>
      </w:pPr>
      <w:r>
        <w:rPr>
          <w:b/>
          <w:color w:val="1F4D78"/>
          <w:sz w:val="18"/>
        </w:rPr>
        <w:t>20.30. هیئت تصحیح سوابق نظامی نیروی هوایی</w:t>
      </w:r>
    </w:p>
    <w:p>
      <w:pPr>
        <w:spacing w:after="20"/>
        <w:ind w:left="259"/>
        <w:jc w:val="left"/>
      </w:pPr>
      <w:r>
        <w:rPr>
          <w:color w:val="555555"/>
          <w:sz w:val="12"/>
        </w:rPr>
        <w:t>20.30. Air Force Board for Correction of Military Records</w:t>
      </w:r>
    </w:p>
    <w:p>
      <w:pPr>
        <w:spacing w:after="20" w:line="223" w:lineRule="auto"/>
        <w:jc w:val="right"/>
        <w:bidi/>
      </w:pPr>
      <w:r>
        <w:rPr>
          <w:rFonts w:ascii="Arial" w:hAnsi="Arial"/>
          <w:sz w:val="16"/>
        </w:rPr>
        <w:t>381.20  هیئت تصحیح سوابق نظامی نیروی هوایی بالاترین سطح بررسی اداری برای تصحیح سوابق نظامی است.</w:t>
      </w:r>
    </w:p>
    <w:p>
      <w:pPr>
        <w:spacing w:after="28" w:line="216" w:lineRule="auto"/>
        <w:ind w:left="259"/>
        <w:jc w:val="left"/>
      </w:pPr>
      <w:r>
        <w:rPr>
          <w:rFonts w:ascii="Arial" w:hAnsi="Arial"/>
          <w:color w:val="525252"/>
          <w:sz w:val="13"/>
        </w:rPr>
        <w:t>The Air Force Board for Correction of Military Records is the highest level of administrative review for correcting military records.</w:t>
      </w:r>
    </w:p>
    <w:p>
      <w:pPr>
        <w:spacing w:after="20" w:line="223" w:lineRule="auto"/>
        <w:jc w:val="right"/>
        <w:bidi/>
      </w:pPr>
      <w:r>
        <w:rPr>
          <w:rFonts w:ascii="Arial" w:hAnsi="Arial"/>
          <w:sz w:val="16"/>
        </w:rPr>
        <w:t>381.21  در بیشتر موارد، متقاضیان عضو یا اعضای سابق USAF هستند.</w:t>
      </w:r>
    </w:p>
    <w:p>
      <w:pPr>
        <w:spacing w:after="28" w:line="216" w:lineRule="auto"/>
        <w:ind w:left="259"/>
        <w:jc w:val="left"/>
      </w:pPr>
      <w:r>
        <w:rPr>
          <w:rFonts w:ascii="Arial" w:hAnsi="Arial"/>
          <w:color w:val="525252"/>
          <w:sz w:val="13"/>
        </w:rPr>
        <w:t>In most cases, applicants are members or former members of the USAF.</w:t>
      </w:r>
    </w:p>
    <w:p>
      <w:pPr>
        <w:spacing w:after="20" w:line="223" w:lineRule="auto"/>
        <w:jc w:val="right"/>
        <w:bidi/>
      </w:pPr>
      <w:r>
        <w:rPr>
          <w:rFonts w:ascii="Arial" w:hAnsi="Arial"/>
          <w:sz w:val="16"/>
        </w:rPr>
        <w:t>381.22  در برخی شرایط، یکی از اعضای خانواده، وارث، یا نماینده قانونی (مانند قیم یا وصی) عضو یا عضو سابق با منافع مناسب، ممکن است درخواست تصحیح سوابق نظامی شخص دیگری را در زمانی که آن شخص قادر به اقدام از جانب خود نیست، مفقود شده یا فوت شده است، درخواست کند.</w:t>
      </w:r>
    </w:p>
    <w:p>
      <w:pPr>
        <w:spacing w:after="28" w:line="216" w:lineRule="auto"/>
        <w:ind w:left="259"/>
        <w:jc w:val="left"/>
      </w:pPr>
      <w:r>
        <w:rPr>
          <w:rFonts w:ascii="Arial" w:hAnsi="Arial"/>
          <w:color w:val="525252"/>
          <w:sz w:val="13"/>
        </w:rPr>
        <w:t>In some situations, a family member, heir, or legal representative (such as a guardian or executor) of the member or former member with a proper interest, may request correction of another person's military records when that person is incapable of acting on his or her own behalf, is missing, or is deceased.</w:t>
      </w:r>
    </w:p>
    <w:p>
      <w:pPr>
        <w:spacing w:after="20" w:line="223" w:lineRule="auto"/>
        <w:jc w:val="right"/>
        <w:bidi/>
      </w:pPr>
      <w:r>
        <w:rPr>
          <w:rFonts w:ascii="Arial" w:hAnsi="Arial"/>
          <w:sz w:val="16"/>
        </w:rPr>
        <w:t>381.23  به استثنای چند مورد، اکثر رکوردهای ایجاد شده توسط USAF ممکن است توسط هیئت مدیره تصحیح شود.</w:t>
      </w:r>
    </w:p>
    <w:p>
      <w:pPr>
        <w:spacing w:after="28" w:line="216" w:lineRule="auto"/>
        <w:ind w:left="259"/>
        <w:jc w:val="left"/>
      </w:pPr>
      <w:r>
        <w:rPr>
          <w:rFonts w:ascii="Arial" w:hAnsi="Arial"/>
          <w:color w:val="525252"/>
          <w:sz w:val="13"/>
        </w:rPr>
        <w:t>With a few exceptions, most records generated by the USAF may be corrected by the board.</w:t>
      </w:r>
    </w:p>
    <w:p>
      <w:pPr>
        <w:spacing w:after="20" w:line="223" w:lineRule="auto"/>
        <w:jc w:val="right"/>
        <w:bidi/>
      </w:pPr>
      <w:r>
        <w:rPr>
          <w:rFonts w:ascii="Arial" w:hAnsi="Arial"/>
          <w:sz w:val="16"/>
        </w:rPr>
        <w:t>381.24  سوابقی که برای تغییر مورد بررسی قرار می‌گیرند شامل گزارش‌های عملکرد ثبت‌شده، نتایج آزمون تناسب اندام، بدهی‌های متحمل شده، ترخیص و کدهای صلاحیت ثبت‌نام مجدد/ورود مجدد، طرح‌های مزایای بازمانده، روزهای مرخصی انباشته، اقدامات ماده ۱۵، و بازگرداندن به USAF هستند، اما محدود به آنها نیست.</w:t>
      </w:r>
    </w:p>
    <w:p>
      <w:pPr>
        <w:spacing w:after="28" w:line="216" w:lineRule="auto"/>
        <w:ind w:left="259"/>
        <w:jc w:val="left"/>
      </w:pPr>
      <w:r>
        <w:rPr>
          <w:rFonts w:ascii="Arial" w:hAnsi="Arial"/>
          <w:color w:val="525252"/>
          <w:sz w:val="13"/>
        </w:rPr>
        <w:t>Records addressed for change include, but are not limited to enlisted performance reports, fitness test results, debts incurred, discharges and reenlistment/reentry eligibility codes, survivor benefit plans, accumulated leave days, Article 15 actions, and reinstatement into the USAF.</w:t>
      </w:r>
    </w:p>
    <w:p>
      <w:pPr>
        <w:spacing w:after="20" w:line="223" w:lineRule="auto"/>
        <w:jc w:val="right"/>
        <w:bidi/>
      </w:pPr>
      <w:r>
        <w:rPr>
          <w:rFonts w:ascii="Arial" w:hAnsi="Arial"/>
          <w:sz w:val="16"/>
        </w:rPr>
        <w:t>381.25  سوابق ممکن است در صورت لزوم تغییر، باطل یا ایجاد شوند تا یک خطا را تصحیح کنند یا یک بی عدالتی را حذف کنند.</w:t>
      </w:r>
    </w:p>
    <w:p>
      <w:pPr>
        <w:spacing w:after="28" w:line="216" w:lineRule="auto"/>
        <w:ind w:left="259"/>
        <w:jc w:val="left"/>
      </w:pPr>
      <w:r>
        <w:rPr>
          <w:rFonts w:ascii="Arial" w:hAnsi="Arial"/>
          <w:color w:val="525252"/>
          <w:sz w:val="13"/>
        </w:rPr>
        <w:t>Records may be changed, voided, or created as necessary to correct an error or to remove an injustice.</w:t>
      </w:r>
    </w:p>
    <w:p>
      <w:pPr>
        <w:spacing w:after="20" w:line="223" w:lineRule="auto"/>
        <w:jc w:val="right"/>
        <w:bidi/>
      </w:pPr>
      <w:r>
        <w:rPr>
          <w:rFonts w:ascii="Arial" w:hAnsi="Arial"/>
          <w:sz w:val="16"/>
        </w:rPr>
        <w:t>381.26  مزایای پولی قابل اعمال بر اساس سوابق تغییر یافته مجددا محاسبه می‌شود.</w:t>
      </w:r>
    </w:p>
    <w:p>
      <w:pPr>
        <w:spacing w:after="28" w:line="216" w:lineRule="auto"/>
        <w:ind w:left="259"/>
        <w:jc w:val="left"/>
      </w:pPr>
      <w:r>
        <w:rPr>
          <w:rFonts w:ascii="Arial" w:hAnsi="Arial"/>
          <w:color w:val="525252"/>
          <w:sz w:val="13"/>
        </w:rPr>
        <w:t>Applicable monetary benefits are recomputed based on the records changed.</w:t>
      </w:r>
    </w:p>
    <w:p>
      <w:pPr>
        <w:spacing w:after="20" w:line="223" w:lineRule="auto"/>
        <w:jc w:val="right"/>
        <w:bidi/>
      </w:pPr>
      <w:r>
        <w:rPr>
          <w:rFonts w:ascii="Arial" w:hAnsi="Arial"/>
          <w:sz w:val="16"/>
        </w:rPr>
        <w:t>381.27  هیئت مدیره یک نهاد توصیه‌کننده است و به اعطای، تا حدی اعطا یا رد رای خواهد داد.</w:t>
      </w:r>
    </w:p>
    <w:p>
      <w:pPr>
        <w:spacing w:after="28" w:line="216" w:lineRule="auto"/>
        <w:ind w:left="259"/>
        <w:jc w:val="left"/>
      </w:pPr>
      <w:r>
        <w:rPr>
          <w:rFonts w:ascii="Arial" w:hAnsi="Arial"/>
          <w:color w:val="525252"/>
          <w:sz w:val="13"/>
        </w:rPr>
        <w:t>The board is a recommending body and will vote to grant, partially grant, or deny</w:t>
      </w:r>
    </w:p>
    <w:p>
      <w:r>
        <w:br w:type="page"/>
      </w:r>
    </w:p>
    <w:p>
      <w:pPr>
        <w:spacing w:after="60"/>
        <w:jc w:val="right"/>
        <w:bidi/>
      </w:pPr>
      <w:r>
        <w:rPr>
          <w:rFonts w:ascii="Arial" w:hAnsi="Arial"/>
          <w:b/>
          <w:color w:val="1F4D78"/>
          <w:sz w:val="19"/>
        </w:rPr>
        <w:t>هفتهٔ 382  |  صفحهٔ منبع: 398</w:t>
      </w:r>
    </w:p>
    <w:p>
      <w:pPr>
        <w:spacing w:after="20" w:line="223" w:lineRule="auto"/>
        <w:jc w:val="right"/>
        <w:bidi/>
      </w:pPr>
      <w:r>
        <w:rPr>
          <w:rFonts w:ascii="Arial" w:hAnsi="Arial"/>
          <w:sz w:val="16"/>
        </w:rPr>
        <w:t>382.01  امداد درخواستی.</w:t>
      </w:r>
    </w:p>
    <w:p>
      <w:pPr>
        <w:spacing w:after="28" w:line="216" w:lineRule="auto"/>
        <w:ind w:left="259"/>
        <w:jc w:val="left"/>
      </w:pPr>
      <w:r>
        <w:rPr>
          <w:rFonts w:ascii="Arial" w:hAnsi="Arial"/>
          <w:color w:val="525252"/>
          <w:sz w:val="13"/>
        </w:rPr>
        <w:t>the requested relief.</w:t>
      </w:r>
    </w:p>
    <w:p>
      <w:pPr>
        <w:spacing w:after="20" w:line="223" w:lineRule="auto"/>
        <w:jc w:val="right"/>
        <w:bidi/>
      </w:pPr>
      <w:r>
        <w:rPr>
          <w:rFonts w:ascii="Arial" w:hAnsi="Arial"/>
          <w:sz w:val="16"/>
        </w:rPr>
        <w:t>382.02  اگر هیئت امداد مطلوب را توصیه کند، پرونده برای تصمیم‌گیری نهایی به وزیر نیروی هوایی یا شخص تعیین شده آنها ارسال می‌شود.</w:t>
      </w:r>
    </w:p>
    <w:p>
      <w:pPr>
        <w:spacing w:after="28" w:line="216" w:lineRule="auto"/>
        <w:ind w:left="259"/>
        <w:jc w:val="left"/>
      </w:pPr>
      <w:r>
        <w:rPr>
          <w:rFonts w:ascii="Arial" w:hAnsi="Arial"/>
          <w:color w:val="525252"/>
          <w:sz w:val="13"/>
        </w:rPr>
        <w:t>If the board recommends favorable relief, the case is forwarded to the Secretary of the Air Force or their designee for final decision.</w:t>
      </w:r>
    </w:p>
    <w:p>
      <w:pPr>
        <w:spacing w:after="20" w:line="223" w:lineRule="auto"/>
        <w:jc w:val="right"/>
        <w:bidi/>
      </w:pPr>
      <w:r>
        <w:rPr>
          <w:rFonts w:ascii="Arial" w:hAnsi="Arial"/>
          <w:sz w:val="16"/>
        </w:rPr>
        <w:t>382.03  مگر اینکه با تقلب تهیه شود، تصمیم آنها برای همه مقامات USAF و سازمان‌های دولتی لازم الاجرا است.</w:t>
      </w:r>
    </w:p>
    <w:p>
      <w:pPr>
        <w:spacing w:after="28" w:line="216" w:lineRule="auto"/>
        <w:ind w:left="259"/>
        <w:jc w:val="left"/>
      </w:pPr>
      <w:r>
        <w:rPr>
          <w:rFonts w:ascii="Arial" w:hAnsi="Arial"/>
          <w:color w:val="525252"/>
          <w:sz w:val="13"/>
        </w:rPr>
        <w:t>Unless procured by fraud, their decision is final and binding on all USAF officials and government agencies.</w:t>
      </w:r>
    </w:p>
    <w:p>
      <w:pPr>
        <w:spacing w:after="20" w:line="223" w:lineRule="auto"/>
        <w:jc w:val="right"/>
        <w:bidi/>
      </w:pPr>
      <w:r>
        <w:rPr>
          <w:rFonts w:ascii="Arial" w:hAnsi="Arial"/>
          <w:sz w:val="16"/>
        </w:rPr>
        <w:t>382.04  حضور شخصی برای ارائه درخواست به هیئت اصلاح سوابق نظامی نیروی هوایی یک حق قانونی نیست و صرفا بنا به صلاحدید هیئت اعطا می‌شود و بر اساس یافتن حضور متقاضی، با یا بدون وکیل، به درک هیئت از موضوع(های) مربوطه می‌افزاید.</w:t>
      </w:r>
    </w:p>
    <w:p>
      <w:pPr>
        <w:spacing w:after="28" w:line="216" w:lineRule="auto"/>
        <w:ind w:left="259"/>
        <w:jc w:val="left"/>
      </w:pPr>
      <w:r>
        <w:rPr>
          <w:rFonts w:ascii="Arial" w:hAnsi="Arial"/>
          <w:color w:val="525252"/>
          <w:sz w:val="13"/>
        </w:rPr>
        <w:t>Personal appearance to present an application to the Air Force Board for Correction of Military Records is not a statutory right and is granted solely at the discretion of the board, predicated on finding the applicant’s presence, with or without counsel, will materially add to the board’s understanding of the issue(s) involved.</w:t>
      </w:r>
    </w:p>
    <w:p>
      <w:pPr>
        <w:spacing w:after="20" w:line="223" w:lineRule="auto"/>
        <w:jc w:val="right"/>
        <w:bidi/>
      </w:pPr>
      <w:r>
        <w:rPr>
          <w:rFonts w:ascii="Arial" w:hAnsi="Arial"/>
          <w:sz w:val="16"/>
        </w:rPr>
        <w:t>382.05  اطلاعات مربوط به اختیارات، حوزه قضایی و خط‌مشی هیئت را می‌توان در DAFI ۳۶-۲۶۰۳، هیئت تصحیح سوابق نظامی نیروی هوایی (AFBCMR) یافت.</w:t>
      </w:r>
    </w:p>
    <w:p>
      <w:pPr>
        <w:spacing w:after="28" w:line="216" w:lineRule="auto"/>
        <w:ind w:left="259"/>
        <w:jc w:val="left"/>
      </w:pPr>
      <w:r>
        <w:rPr>
          <w:rFonts w:ascii="Arial" w:hAnsi="Arial"/>
          <w:color w:val="525252"/>
          <w:sz w:val="13"/>
        </w:rPr>
        <w:t>Information on the board’s authority, jurisdiction, and policy can be found in DAFI 36-2603, Air Force Board for Correction of Military Records (AFBCMR).</w:t>
      </w:r>
    </w:p>
    <w:p>
      <w:pPr>
        <w:spacing w:after="20" w:line="223" w:lineRule="auto"/>
        <w:jc w:val="right"/>
        <w:bidi/>
      </w:pPr>
      <w:r>
        <w:rPr>
          <w:rFonts w:ascii="Arial" w:hAnsi="Arial"/>
          <w:sz w:val="16"/>
        </w:rPr>
        <w:t>382.06  توجه: متقاضیان باید قبل از درخواست برای AFBCMR، سایر راه‌های امداد اداری در دسترس را به کار گیرند.</w:t>
      </w:r>
    </w:p>
    <w:p>
      <w:pPr>
        <w:spacing w:after="28" w:line="216" w:lineRule="auto"/>
        <w:ind w:left="259"/>
        <w:jc w:val="left"/>
      </w:pPr>
      <w:r>
        <w:rPr>
          <w:rFonts w:ascii="Arial" w:hAnsi="Arial"/>
          <w:color w:val="525252"/>
          <w:sz w:val="13"/>
        </w:rPr>
        <w:t>Note: Applicants must exhaust other reasonably available administrative avenues of relief prior to applying to the AFBCMRs.</w:t>
      </w:r>
    </w:p>
    <w:p>
      <w:pPr>
        <w:spacing w:after="20" w:line="223" w:lineRule="auto"/>
        <w:jc w:val="right"/>
        <w:bidi/>
      </w:pPr>
      <w:r>
        <w:rPr>
          <w:rFonts w:ascii="Arial" w:hAnsi="Arial"/>
          <w:sz w:val="16"/>
        </w:rPr>
        <w:t>382.07  اگر سایر اقدامات اداری قبل از درخواست به درستی تکمیل نشده باشد، درخواست، فرم DD ۱۴۹، درخواست تصحیح سوابق نظامی بر اساس مفاد عنوان ۱۰، کد ایالات متحده، بخش ۱۵۵۲، بدون اقدام مسترد خواهد شد.</w:t>
      </w:r>
    </w:p>
    <w:p>
      <w:pPr>
        <w:spacing w:after="28" w:line="216" w:lineRule="auto"/>
        <w:ind w:left="259"/>
        <w:jc w:val="left"/>
      </w:pPr>
      <w:r>
        <w:rPr>
          <w:rFonts w:ascii="Arial" w:hAnsi="Arial"/>
          <w:color w:val="525252"/>
          <w:sz w:val="13"/>
        </w:rPr>
        <w:t>If other administrative remedies have not been properly exhausted before applying, the application, DD Form 149, Application for Correction of Military Record Under the Provisions of Title 10, United States Code, Section 1552, will be returned without action.</w:t>
      </w:r>
    </w:p>
    <w:p>
      <w:r>
        <w:br w:type="page"/>
      </w:r>
    </w:p>
    <w:p>
      <w:pPr>
        <w:spacing w:after="60"/>
        <w:jc w:val="right"/>
        <w:bidi/>
      </w:pPr>
      <w:r>
        <w:rPr>
          <w:rFonts w:ascii="Arial" w:hAnsi="Arial"/>
          <w:b/>
          <w:color w:val="1F4D78"/>
          <w:sz w:val="19"/>
        </w:rPr>
        <w:t>هفتهٔ 383  |  صفحهٔ منبع: 399</w:t>
      </w:r>
    </w:p>
    <w:p>
      <w:pPr>
        <w:spacing w:before="60" w:after="28"/>
        <w:jc w:val="right"/>
        <w:bidi/>
      </w:pPr>
      <w:r>
        <w:rPr>
          <w:b/>
          <w:color w:val="1F4D78"/>
          <w:sz w:val="18"/>
        </w:rPr>
        <w:t>فصل 21</w:t>
      </w:r>
    </w:p>
    <w:p>
      <w:pPr>
        <w:spacing w:after="20"/>
        <w:ind w:left="259"/>
        <w:jc w:val="left"/>
      </w:pPr>
      <w:r>
        <w:rPr>
          <w:color w:val="555555"/>
          <w:sz w:val="12"/>
        </w:rPr>
        <w:t>Chapter 21</w:t>
      </w:r>
    </w:p>
    <w:p>
      <w:pPr>
        <w:spacing w:before="60" w:after="28"/>
        <w:jc w:val="right"/>
        <w:bidi/>
      </w:pPr>
      <w:r>
        <w:rPr>
          <w:b/>
          <w:color w:val="1F4D78"/>
          <w:sz w:val="18"/>
        </w:rPr>
        <w:t>عدالت نظامی</w:t>
      </w:r>
    </w:p>
    <w:p>
      <w:pPr>
        <w:spacing w:after="20"/>
        <w:ind w:left="259"/>
        <w:jc w:val="left"/>
      </w:pPr>
      <w:r>
        <w:rPr>
          <w:color w:val="555555"/>
          <w:sz w:val="12"/>
        </w:rPr>
        <w:t>MILITARY JUSTICE</w:t>
      </w:r>
    </w:p>
    <w:p>
      <w:pPr>
        <w:spacing w:before="60" w:after="28"/>
        <w:jc w:val="right"/>
        <w:bidi/>
      </w:pPr>
      <w:r>
        <w:rPr>
          <w:b/>
          <w:color w:val="1F4D78"/>
          <w:sz w:val="18"/>
        </w:rPr>
        <w:t>بخش 21 الف - قانون نظامی</w:t>
      </w:r>
    </w:p>
    <w:p>
      <w:pPr>
        <w:spacing w:after="20"/>
        <w:ind w:left="259"/>
        <w:jc w:val="left"/>
      </w:pPr>
      <w:r>
        <w:rPr>
          <w:color w:val="555555"/>
          <w:sz w:val="12"/>
        </w:rPr>
        <w:t>Section 21A—Military Law</w:t>
      </w:r>
    </w:p>
    <w:p>
      <w:pPr>
        <w:spacing w:before="60" w:after="28"/>
        <w:jc w:val="right"/>
        <w:bidi/>
      </w:pPr>
      <w:r>
        <w:rPr>
          <w:b/>
          <w:color w:val="1F4D78"/>
          <w:sz w:val="18"/>
        </w:rPr>
        <w:t>21.1. نظام حقوقی نظامی</w:t>
      </w:r>
    </w:p>
    <w:p>
      <w:pPr>
        <w:spacing w:after="20"/>
        <w:ind w:left="259"/>
        <w:jc w:val="left"/>
      </w:pPr>
      <w:r>
        <w:rPr>
          <w:color w:val="555555"/>
          <w:sz w:val="12"/>
        </w:rPr>
        <w:t>21.1. Military Legal System</w:t>
      </w:r>
    </w:p>
    <w:p>
      <w:pPr>
        <w:spacing w:after="20" w:line="223" w:lineRule="auto"/>
        <w:jc w:val="right"/>
        <w:bidi/>
      </w:pPr>
      <w:r>
        <w:rPr>
          <w:rFonts w:ascii="Arial" w:hAnsi="Arial"/>
          <w:sz w:val="16"/>
        </w:rPr>
        <w:t>383.05  قدرت ارتش بستگی به نیروهای نظامی منظم دارد که آماده نبرد و پیروزی در جنگ‌های کشور ما هستند.</w:t>
      </w:r>
    </w:p>
    <w:p>
      <w:pPr>
        <w:spacing w:after="28" w:line="216" w:lineRule="auto"/>
        <w:ind w:left="259"/>
        <w:jc w:val="left"/>
      </w:pPr>
      <w:r>
        <w:rPr>
          <w:rFonts w:ascii="Arial" w:hAnsi="Arial"/>
          <w:color w:val="525252"/>
          <w:sz w:val="13"/>
        </w:rPr>
        <w:t>The strength of the military depends on disciplined service members, ready to fight and win our nation’s wars.</w:t>
      </w:r>
    </w:p>
    <w:p>
      <w:pPr>
        <w:spacing w:after="20" w:line="223" w:lineRule="auto"/>
        <w:jc w:val="right"/>
        <w:bidi/>
      </w:pPr>
      <w:r>
        <w:rPr>
          <w:rFonts w:ascii="Arial" w:hAnsi="Arial"/>
          <w:sz w:val="16"/>
        </w:rPr>
        <w:t>383.06  همانطور که در AFI ۱-۱ بیان شد، از آنجا که نظم و انضباط نظامی توانایی رزمی را افزایش می‌دهد، زیرا محیط و وظایف نظامی منحصربه‌فرد است و از آنجایی که پرسنل نظامی در سراسر جهان خدمت می‌کنند، برای حفظ نظم و انضباط نظامی به سیستم خاصی از قوانین و دادگاه‌ها نیاز است.</w:t>
      </w:r>
    </w:p>
    <w:p>
      <w:pPr>
        <w:spacing w:after="28" w:line="216" w:lineRule="auto"/>
        <w:ind w:left="259"/>
        <w:jc w:val="left"/>
      </w:pPr>
      <w:r>
        <w:rPr>
          <w:rFonts w:ascii="Arial" w:hAnsi="Arial"/>
          <w:color w:val="525252"/>
          <w:sz w:val="13"/>
        </w:rPr>
        <w:t>As stated in AFI 1-1, because military discipline enhances combat capability, because the military environment and duties are unique, and because military personnel serve throughout the world, a special system of laws and courts is required to maintain good order and military discipline.</w:t>
      </w:r>
    </w:p>
    <w:p>
      <w:pPr>
        <w:spacing w:after="20" w:line="223" w:lineRule="auto"/>
        <w:jc w:val="right"/>
        <w:bidi/>
      </w:pPr>
      <w:r>
        <w:rPr>
          <w:rFonts w:ascii="Arial" w:hAnsi="Arial"/>
          <w:sz w:val="16"/>
        </w:rPr>
        <w:t>383.07  نظم و انضباط خوب برای حفظ توانایی جنگی ضروری است.</w:t>
      </w:r>
    </w:p>
    <w:p>
      <w:pPr>
        <w:spacing w:after="28" w:line="216" w:lineRule="auto"/>
        <w:ind w:left="259"/>
        <w:jc w:val="left"/>
      </w:pPr>
      <w:r>
        <w:rPr>
          <w:rFonts w:ascii="Arial" w:hAnsi="Arial"/>
          <w:color w:val="525252"/>
          <w:sz w:val="13"/>
        </w:rPr>
        <w:t>Good order and discipline are essential to maintaining a warfighting capability.</w:t>
      </w:r>
    </w:p>
    <w:p>
      <w:pPr>
        <w:spacing w:after="20" w:line="223" w:lineRule="auto"/>
        <w:jc w:val="right"/>
        <w:bidi/>
      </w:pPr>
      <w:r>
        <w:rPr>
          <w:rFonts w:ascii="Arial" w:hAnsi="Arial"/>
          <w:sz w:val="16"/>
        </w:rPr>
        <w:t>383.08  به همان اندازه مهم، یک سیستم عدالت نظامی عادلانه و بی طرف از روحیه کسانی محافظت می‌کند که جان خود را در خدمت به ملت خود به خطر می‌اندازند.</w:t>
      </w:r>
    </w:p>
    <w:p>
      <w:pPr>
        <w:spacing w:after="28" w:line="216" w:lineRule="auto"/>
        <w:ind w:left="259"/>
        <w:jc w:val="left"/>
      </w:pPr>
      <w:r>
        <w:rPr>
          <w:rFonts w:ascii="Arial" w:hAnsi="Arial"/>
          <w:color w:val="525252"/>
          <w:sz w:val="13"/>
        </w:rPr>
        <w:t>Just as importantly, a fair and impartial system of military justice safeguards the morale of those who risk their lives in service to their nation.</w:t>
      </w:r>
    </w:p>
    <w:p>
      <w:pPr>
        <w:spacing w:after="20" w:line="223" w:lineRule="auto"/>
        <w:jc w:val="right"/>
        <w:bidi/>
      </w:pPr>
      <w:r>
        <w:rPr>
          <w:rFonts w:ascii="Arial" w:hAnsi="Arial"/>
          <w:sz w:val="16"/>
        </w:rPr>
        <w:t>383.09  هیچ سیستم قضایی دیگری چنین پوشش گسترده‌ای در سراسر جهان یا هدف قطعی ارائه نمی‌دهد.</w:t>
      </w:r>
    </w:p>
    <w:p>
      <w:pPr>
        <w:spacing w:after="28" w:line="216" w:lineRule="auto"/>
        <w:ind w:left="259"/>
        <w:jc w:val="left"/>
      </w:pPr>
      <w:r>
        <w:rPr>
          <w:rFonts w:ascii="Arial" w:hAnsi="Arial"/>
          <w:color w:val="525252"/>
          <w:sz w:val="13"/>
        </w:rPr>
        <w:t>No other judicial system provides such expansive worldwide coverage or definitive purpose.</w:t>
      </w:r>
    </w:p>
    <w:p>
      <w:pPr>
        <w:spacing w:before="60" w:after="28"/>
        <w:jc w:val="right"/>
        <w:bidi/>
      </w:pPr>
      <w:r>
        <w:rPr>
          <w:b/>
          <w:color w:val="1F4D78"/>
          <w:sz w:val="18"/>
        </w:rPr>
        <w:t>21.2. مسئولیت های فرمانده</w:t>
      </w:r>
    </w:p>
    <w:p>
      <w:pPr>
        <w:spacing w:after="20"/>
        <w:ind w:left="259"/>
        <w:jc w:val="left"/>
      </w:pPr>
      <w:r>
        <w:rPr>
          <w:color w:val="555555"/>
          <w:sz w:val="12"/>
        </w:rPr>
        <w:t>21.2. Commander Responsibilities</w:t>
      </w:r>
    </w:p>
    <w:p>
      <w:pPr>
        <w:spacing w:after="20" w:line="223" w:lineRule="auto"/>
        <w:jc w:val="right"/>
        <w:bidi/>
      </w:pPr>
      <w:r>
        <w:rPr>
          <w:rFonts w:ascii="Arial" w:hAnsi="Arial"/>
          <w:sz w:val="16"/>
        </w:rPr>
        <w:t>383.11  رهبری مؤثر مطلوب‌ترین وسیله برای حفظ استانداردها است.</w:t>
      </w:r>
    </w:p>
    <w:p>
      <w:pPr>
        <w:spacing w:after="28" w:line="216" w:lineRule="auto"/>
        <w:ind w:left="259"/>
        <w:jc w:val="left"/>
      </w:pPr>
      <w:r>
        <w:rPr>
          <w:rFonts w:ascii="Arial" w:hAnsi="Arial"/>
          <w:color w:val="525252"/>
          <w:sz w:val="13"/>
        </w:rPr>
        <w:t>Effective leadership is the most desirable means of maintaining standards.</w:t>
      </w:r>
    </w:p>
    <w:p>
      <w:pPr>
        <w:spacing w:after="20" w:line="223" w:lineRule="auto"/>
        <w:jc w:val="right"/>
        <w:bidi/>
      </w:pPr>
      <w:r>
        <w:rPr>
          <w:rFonts w:ascii="Arial" w:hAnsi="Arial"/>
          <w:sz w:val="16"/>
        </w:rPr>
        <w:t>383.12  قانون نظامی ابزارهای خاصی از جمله مجازات‌های دادگاه نظامی و غیرقانونی را برای رسیدگی به تخلفات در اختیار فرماندهان قرار می‌دهد.</w:t>
      </w:r>
    </w:p>
    <w:p>
      <w:pPr>
        <w:spacing w:after="28" w:line="216" w:lineRule="auto"/>
        <w:ind w:left="259"/>
        <w:jc w:val="left"/>
      </w:pPr>
      <w:r>
        <w:rPr>
          <w:rFonts w:ascii="Arial" w:hAnsi="Arial"/>
          <w:color w:val="525252"/>
          <w:sz w:val="13"/>
        </w:rPr>
        <w:t>Military law provides commanders certain tools, including court-martial and nonjudicial punishment, to address misconduct.</w:t>
      </w:r>
    </w:p>
    <w:p>
      <w:pPr>
        <w:spacing w:after="20" w:line="223" w:lineRule="auto"/>
        <w:jc w:val="right"/>
        <w:bidi/>
      </w:pPr>
      <w:r>
        <w:rPr>
          <w:rFonts w:ascii="Arial" w:hAnsi="Arial"/>
          <w:sz w:val="16"/>
        </w:rPr>
        <w:t>383.13  فرماندهان نظامی مسئول حفظ نظم و قانون در جوامعی که بر آنها اقتدار دارند و حفظ نظم و انضباط نیروی رزمی را بر عهده دارند.</w:t>
      </w:r>
    </w:p>
    <w:p>
      <w:pPr>
        <w:spacing w:after="28" w:line="216" w:lineRule="auto"/>
        <w:ind w:left="259"/>
        <w:jc w:val="left"/>
      </w:pPr>
      <w:r>
        <w:rPr>
          <w:rFonts w:ascii="Arial" w:hAnsi="Arial"/>
          <w:color w:val="525252"/>
          <w:sz w:val="13"/>
        </w:rPr>
        <w:t>Military commanders are responsible for maintaining law and order in the communities over which they have authority, and for maintaining the discipline of the fighting force.</w:t>
      </w:r>
    </w:p>
    <w:p>
      <w:pPr>
        <w:spacing w:after="20" w:line="223" w:lineRule="auto"/>
        <w:jc w:val="right"/>
        <w:bidi/>
      </w:pPr>
      <w:r>
        <w:rPr>
          <w:rFonts w:ascii="Arial" w:hAnsi="Arial"/>
          <w:sz w:val="16"/>
        </w:rPr>
        <w:t>383.14  معمولا فرمانده فوری نحوه دفع تخلف را تعیین می‌کند. با این حال، یک فرمانده مافوق ممکن است از آن اختیار خودداری کند، و در دسته بندی‌های خاصی از موارد، مانند تجاوزات جنسی و سوء رفتارهای مرتبط با تجاوز جنسی، قانون اختیارات خاصی را به دفتر وکیل دادرسی ویژه می‌دهد.</w:t>
      </w:r>
    </w:p>
    <w:p>
      <w:pPr>
        <w:spacing w:after="28" w:line="216" w:lineRule="auto"/>
        <w:ind w:left="259"/>
        <w:jc w:val="left"/>
      </w:pPr>
      <w:r>
        <w:rPr>
          <w:rFonts w:ascii="Arial" w:hAnsi="Arial"/>
          <w:color w:val="525252"/>
          <w:sz w:val="13"/>
        </w:rPr>
        <w:t>Ordinarily, the immediate commander determines how to dispose of an offense; however, a superior commander may withhold that authority, and, in certain categories of cases, such as sexual assaults and related misconduct arising from a sexual assault, the law gives specific authorities to the Office of the Special Trial Counsel.</w:t>
      </w:r>
    </w:p>
    <w:p>
      <w:pPr>
        <w:spacing w:after="20" w:line="223" w:lineRule="auto"/>
        <w:jc w:val="right"/>
        <w:bidi/>
      </w:pPr>
      <w:r>
        <w:rPr>
          <w:rFonts w:ascii="Arial" w:hAnsi="Arial"/>
          <w:sz w:val="16"/>
        </w:rPr>
        <w:t>383.15  وکیل قاضی کارکنان برای ارائه مشاوره در مورد مسائل مربوط به تخلفات ادعایی در دسترس است.</w:t>
      </w:r>
    </w:p>
    <w:p>
      <w:pPr>
        <w:spacing w:after="28" w:line="216" w:lineRule="auto"/>
        <w:ind w:left="259"/>
        <w:jc w:val="left"/>
      </w:pPr>
      <w:r>
        <w:rPr>
          <w:rFonts w:ascii="Arial" w:hAnsi="Arial"/>
          <w:color w:val="525252"/>
          <w:sz w:val="13"/>
        </w:rPr>
        <w:t>The Staff Judge Advocate is available to provide advice regarding issues of alleged misconduct.</w:t>
      </w:r>
    </w:p>
    <w:p>
      <w:pPr>
        <w:spacing w:after="20" w:line="223" w:lineRule="auto"/>
        <w:jc w:val="right"/>
        <w:bidi/>
      </w:pPr>
      <w:r>
        <w:rPr>
          <w:rFonts w:ascii="Arial" w:hAnsi="Arial"/>
          <w:sz w:val="16"/>
        </w:rPr>
        <w:t>383.16  فرمانده صلاحدید.</w:t>
      </w:r>
    </w:p>
    <w:p>
      <w:pPr>
        <w:spacing w:after="28" w:line="216" w:lineRule="auto"/>
        <w:ind w:left="259"/>
        <w:jc w:val="left"/>
      </w:pPr>
      <w:r>
        <w:rPr>
          <w:rFonts w:ascii="Arial" w:hAnsi="Arial"/>
          <w:color w:val="525252"/>
          <w:sz w:val="13"/>
        </w:rPr>
        <w:t>Commander Discretion.</w:t>
      </w:r>
    </w:p>
    <w:p>
      <w:pPr>
        <w:spacing w:after="20" w:line="223" w:lineRule="auto"/>
        <w:jc w:val="right"/>
        <w:bidi/>
      </w:pPr>
      <w:r>
        <w:rPr>
          <w:rFonts w:ascii="Arial" w:hAnsi="Arial"/>
          <w:sz w:val="16"/>
        </w:rPr>
        <w:t>383.17  یکی از بزرگترین اختیارات فرمانده در اجرای عدالت نظامی، اعمال صلاحدید است، برای تصمیم‌گیری در مورد نحوه رفع سوء رفتار توسط یکی از اعضای فرماندهی خود.</w:t>
      </w:r>
    </w:p>
    <w:p>
      <w:pPr>
        <w:spacing w:after="28" w:line="216" w:lineRule="auto"/>
        <w:ind w:left="259"/>
        <w:jc w:val="left"/>
      </w:pPr>
      <w:r>
        <w:rPr>
          <w:rFonts w:ascii="Arial" w:hAnsi="Arial"/>
          <w:color w:val="525252"/>
          <w:sz w:val="13"/>
        </w:rPr>
        <w:t>One of the commander’s greatest powers in the administration of military justice is the exercise of discretion, to decide how misconduct committed by a member of his or her command will be resolved.</w:t>
      </w:r>
    </w:p>
    <w:p>
      <w:pPr>
        <w:spacing w:after="20" w:line="223" w:lineRule="auto"/>
        <w:jc w:val="right"/>
        <w:bidi/>
      </w:pPr>
      <w:r>
        <w:rPr>
          <w:rFonts w:ascii="Arial" w:hAnsi="Arial"/>
          <w:sz w:val="16"/>
        </w:rPr>
        <w:t>383.18  هر فرمانده در زنجیره فرماندهی دارای اختیارات مستقل و در عین حال همپوشانی برای دفع تخلفات در محدوده اختیارات آن افسر است.</w:t>
      </w:r>
    </w:p>
    <w:p>
      <w:pPr>
        <w:spacing w:after="28" w:line="216" w:lineRule="auto"/>
        <w:ind w:left="259"/>
        <w:jc w:val="left"/>
      </w:pPr>
      <w:r>
        <w:rPr>
          <w:rFonts w:ascii="Arial" w:hAnsi="Arial"/>
          <w:color w:val="525252"/>
          <w:sz w:val="13"/>
        </w:rPr>
        <w:t>Each commander in the chain of command has independent yet overlapping discretion to dispose of offenses within the limits of that officer’s authority.</w:t>
      </w:r>
    </w:p>
    <w:p>
      <w:pPr>
        <w:spacing w:after="20" w:line="223" w:lineRule="auto"/>
        <w:jc w:val="right"/>
        <w:bidi/>
      </w:pPr>
      <w:r>
        <w:rPr>
          <w:rFonts w:ascii="Arial" w:hAnsi="Arial"/>
          <w:sz w:val="16"/>
        </w:rPr>
        <w:t>383.19  یک فرمانده ممکن است با اقدامی نکردن، اقدام اداری علیه عضو، پیشنهاد مجازات غیرقانونی به عضو، یا ترجیح دادن اتهامات دادگاه نظامی، به پرونده رسیدگی کند.</w:t>
      </w:r>
    </w:p>
    <w:p>
      <w:pPr>
        <w:spacing w:after="28" w:line="216" w:lineRule="auto"/>
        <w:ind w:left="259"/>
        <w:jc w:val="left"/>
      </w:pPr>
      <w:r>
        <w:rPr>
          <w:rFonts w:ascii="Arial" w:hAnsi="Arial"/>
          <w:color w:val="525252"/>
          <w:sz w:val="13"/>
        </w:rPr>
        <w:t>A commander may dispose of a case by taking no action, initiating administrative action against the member, offering the member nonjudicial punishment, or preferring court-martial charges.</w:t>
      </w:r>
    </w:p>
    <w:p>
      <w:pPr>
        <w:spacing w:after="20" w:line="223" w:lineRule="auto"/>
        <w:jc w:val="right"/>
        <w:bidi/>
      </w:pPr>
      <w:r>
        <w:rPr>
          <w:rFonts w:ascii="Arial" w:hAnsi="Arial"/>
          <w:sz w:val="16"/>
        </w:rPr>
        <w:t>383.20  با این حال، طبق تغییرات اخیر کنگره در UCMJ، برخی از جرایم، که به‌عنوان «جرایم تحت پوشش» شناخته می‌شوند، از جمله تجاوز جنسی، قتل، خشونت خانگی، هرزه‌نگاری کودکان، و بسیاری از جرایم جدی دیگر، مطابق با ماده ۲۴ا، UCJ، تحت اختیارات انحصاری دادگاه نظامی دفتر وکیل دادگاه ویژه قرار دارند.</w:t>
      </w:r>
    </w:p>
    <w:p>
      <w:pPr>
        <w:spacing w:after="28" w:line="216" w:lineRule="auto"/>
        <w:ind w:left="259"/>
        <w:jc w:val="left"/>
      </w:pPr>
      <w:r>
        <w:rPr>
          <w:rFonts w:ascii="Arial" w:hAnsi="Arial"/>
          <w:color w:val="525252"/>
          <w:sz w:val="13"/>
        </w:rPr>
        <w:t>However, under recent changes to the UCMJ by Congress, certain offenses, known as “covered offenses,” including sexual assault, murder, domestic violence, child pornography, and many other serious offenses, are under the exclusive court-martial authority of the Office of Special Trial Counsel in accordance with Article 24a, UCMJ.</w:t>
      </w:r>
    </w:p>
    <w:p>
      <w:pPr>
        <w:spacing w:after="20" w:line="223" w:lineRule="auto"/>
        <w:jc w:val="right"/>
        <w:bidi/>
      </w:pPr>
      <w:r>
        <w:rPr>
          <w:rFonts w:ascii="Arial" w:hAnsi="Arial"/>
          <w:sz w:val="16"/>
        </w:rPr>
        <w:t>383.21  اگر فرماندهی معتقد است که جرایم غیر تحت پوشش باید توسط دادگاه نظامی رفع شود، فرمانده ممکن است اتهامات را ترجیح دهد و اتهامات را به مرجع دعوت کننده ارسال کند.</w:t>
      </w:r>
    </w:p>
    <w:p>
      <w:pPr>
        <w:spacing w:after="28" w:line="216" w:lineRule="auto"/>
        <w:ind w:left="259"/>
        <w:jc w:val="left"/>
      </w:pPr>
      <w:r>
        <w:rPr>
          <w:rFonts w:ascii="Arial" w:hAnsi="Arial"/>
          <w:color w:val="525252"/>
          <w:sz w:val="13"/>
        </w:rPr>
        <w:t>If a commander believes non-covered offenses should be disposed of by court-martial, the commander may prefer charges and forward the charges to the convening authority.</w:t>
      </w:r>
    </w:p>
    <w:p>
      <w:pPr>
        <w:spacing w:after="20" w:line="223" w:lineRule="auto"/>
        <w:jc w:val="right"/>
        <w:bidi/>
      </w:pPr>
      <w:r>
        <w:rPr>
          <w:rFonts w:ascii="Arial" w:hAnsi="Arial"/>
          <w:sz w:val="16"/>
        </w:rPr>
        <w:t>383.22  مرجع دعوت کننده باید شخصا تصمیم به ارجاع پرونده به محاکمه توسط دادگاه نظامی اتخاذ کند.</w:t>
      </w:r>
    </w:p>
    <w:p>
      <w:pPr>
        <w:spacing w:after="28" w:line="216" w:lineRule="auto"/>
        <w:ind w:left="259"/>
        <w:jc w:val="left"/>
      </w:pPr>
      <w:r>
        <w:rPr>
          <w:rFonts w:ascii="Arial" w:hAnsi="Arial"/>
          <w:color w:val="525252"/>
          <w:sz w:val="13"/>
        </w:rPr>
        <w:t>The convening authority must personally make the decision to refer a case to trial by court-martial.</w:t>
      </w:r>
    </w:p>
    <w:p>
      <w:pPr>
        <w:spacing w:after="20" w:line="223" w:lineRule="auto"/>
        <w:jc w:val="right"/>
        <w:bidi/>
      </w:pPr>
      <w:r>
        <w:rPr>
          <w:rFonts w:ascii="Arial" w:hAnsi="Arial"/>
          <w:sz w:val="16"/>
        </w:rPr>
        <w:t>383.23  اتهامات ممکن است به یکی از سه نوع دادگاه نظامی ارجاع شود: خلاصه، خاص یا عمومی.</w:t>
      </w:r>
    </w:p>
    <w:p>
      <w:pPr>
        <w:spacing w:after="28" w:line="216" w:lineRule="auto"/>
        <w:ind w:left="259"/>
        <w:jc w:val="left"/>
      </w:pPr>
      <w:r>
        <w:rPr>
          <w:rFonts w:ascii="Arial" w:hAnsi="Arial"/>
          <w:color w:val="525252"/>
          <w:sz w:val="13"/>
        </w:rPr>
        <w:t>Charges may be referred to one of three types of court- martial: summary, special, or general.</w:t>
      </w:r>
    </w:p>
    <w:p>
      <w:pPr>
        <w:spacing w:after="20" w:line="223" w:lineRule="auto"/>
        <w:jc w:val="right"/>
        <w:bidi/>
      </w:pPr>
      <w:r>
        <w:rPr>
          <w:rFonts w:ascii="Arial" w:hAnsi="Arial"/>
          <w:sz w:val="16"/>
        </w:rPr>
        <w:t>383.24  انواع دادگاه‌های نظامی در ادامه این فصل با جزئیات بیشتری مورد بحث قرار خواهند گرفت.</w:t>
      </w:r>
    </w:p>
    <w:p>
      <w:pPr>
        <w:spacing w:after="28" w:line="216" w:lineRule="auto"/>
        <w:ind w:left="259"/>
        <w:jc w:val="left"/>
      </w:pPr>
      <w:r>
        <w:rPr>
          <w:rFonts w:ascii="Arial" w:hAnsi="Arial"/>
          <w:color w:val="525252"/>
          <w:sz w:val="13"/>
        </w:rPr>
        <w:t>The types of courts-martial are discussed in greater detail later in this chapter.</w:t>
      </w:r>
    </w:p>
    <w:p>
      <w:pPr>
        <w:spacing w:before="60" w:after="28"/>
        <w:jc w:val="right"/>
        <w:bidi/>
      </w:pPr>
      <w:r>
        <w:rPr>
          <w:b/>
          <w:color w:val="1F4D78"/>
          <w:sz w:val="18"/>
        </w:rPr>
        <w:t>21.3. مسئولیت های فردی</w:t>
      </w:r>
    </w:p>
    <w:p>
      <w:pPr>
        <w:spacing w:after="20"/>
        <w:ind w:left="259"/>
        <w:jc w:val="left"/>
      </w:pPr>
      <w:r>
        <w:rPr>
          <w:color w:val="555555"/>
          <w:sz w:val="12"/>
        </w:rPr>
        <w:t>21.3. Individual Responsibilities</w:t>
      </w:r>
    </w:p>
    <w:p>
      <w:pPr>
        <w:spacing w:after="20" w:line="223" w:lineRule="auto"/>
        <w:jc w:val="right"/>
        <w:bidi/>
      </w:pPr>
      <w:r>
        <w:rPr>
          <w:rFonts w:ascii="Arial" w:hAnsi="Arial"/>
          <w:sz w:val="16"/>
        </w:rPr>
        <w:t>383.26  سیستم قضایی نظامی ابزاری است که برای اصلاح و مجازات نقض نظم و انضباط استفاده می‌شود.</w:t>
      </w:r>
    </w:p>
    <w:p>
      <w:pPr>
        <w:spacing w:after="28" w:line="216" w:lineRule="auto"/>
        <w:ind w:left="259"/>
        <w:jc w:val="left"/>
      </w:pPr>
      <w:r>
        <w:rPr>
          <w:rFonts w:ascii="Arial" w:hAnsi="Arial"/>
          <w:color w:val="525252"/>
          <w:sz w:val="13"/>
        </w:rPr>
        <w:t>The military justice system is a tool used to correct and punish breaches of discipline.</w:t>
      </w:r>
    </w:p>
    <w:p>
      <w:pPr>
        <w:spacing w:after="20" w:line="223" w:lineRule="auto"/>
        <w:jc w:val="right"/>
        <w:bidi/>
      </w:pPr>
      <w:r>
        <w:rPr>
          <w:rFonts w:ascii="Arial" w:hAnsi="Arial"/>
          <w:sz w:val="16"/>
        </w:rPr>
        <w:t>383.27  کلیه هوانوردان مسؤولیت کلی آشنایی با نظام دادگستری نظامی، صحیح رفتار حاشیه‌ای یا غیراستاندارد یا انجام وظیفه زیردستان و حمایت از فرمانده خود در اعمال نظام قضایی نظامی برای حفظ نظم و انضباط را دارند.</w:t>
      </w:r>
    </w:p>
    <w:p>
      <w:pPr>
        <w:spacing w:after="28" w:line="216" w:lineRule="auto"/>
        <w:ind w:left="259"/>
        <w:jc w:val="left"/>
      </w:pPr>
      <w:r>
        <w:rPr>
          <w:rFonts w:ascii="Arial" w:hAnsi="Arial"/>
          <w:color w:val="525252"/>
          <w:sz w:val="13"/>
        </w:rPr>
        <w:t>All Airmen have a general responsibility to be familiar with the military justice system, correct marginal or substandard behavior or duty performance of their subordinates and support their commander in the application of the military justice system for maintaining good order and discipline.</w:t>
      </w:r>
    </w:p>
    <w:p>
      <w:pPr>
        <w:spacing w:after="20" w:line="223" w:lineRule="auto"/>
        <w:jc w:val="right"/>
        <w:bidi/>
      </w:pPr>
      <w:r>
        <w:rPr>
          <w:rFonts w:ascii="Arial" w:hAnsi="Arial"/>
          <w:sz w:val="16"/>
        </w:rPr>
        <w:t>383.28  این</w:t>
      </w:r>
    </w:p>
    <w:p>
      <w:pPr>
        <w:spacing w:after="28" w:line="216" w:lineRule="auto"/>
        <w:ind w:left="259"/>
        <w:jc w:val="left"/>
      </w:pPr>
      <w:r>
        <w:rPr>
          <w:rFonts w:ascii="Arial" w:hAnsi="Arial"/>
          <w:color w:val="525252"/>
          <w:sz w:val="13"/>
        </w:rPr>
        <w:t>This</w:t>
      </w:r>
    </w:p>
    <w:p>
      <w:r>
        <w:br w:type="page"/>
      </w:r>
    </w:p>
    <w:p>
      <w:pPr>
        <w:spacing w:after="60"/>
        <w:jc w:val="right"/>
        <w:bidi/>
      </w:pPr>
      <w:r>
        <w:rPr>
          <w:rFonts w:ascii="Arial" w:hAnsi="Arial"/>
          <w:b/>
          <w:color w:val="1F4D78"/>
          <w:sz w:val="19"/>
        </w:rPr>
        <w:t>هفتهٔ 384  |  صفحهٔ منبع: 400</w:t>
      </w:r>
    </w:p>
    <w:p>
      <w:pPr>
        <w:spacing w:after="20" w:line="223" w:lineRule="auto"/>
        <w:jc w:val="right"/>
        <w:bidi/>
      </w:pPr>
      <w:r>
        <w:rPr>
          <w:rFonts w:ascii="Arial" w:hAnsi="Arial"/>
          <w:sz w:val="16"/>
        </w:rPr>
        <w:t>384.01  مستلزم درگیر شدن در هنگام وقوع تخلف از نظم و گزارش تمام این تخلفات به مقامات مربوطه است.</w:t>
      </w:r>
    </w:p>
    <w:p>
      <w:pPr>
        <w:spacing w:after="28" w:line="216" w:lineRule="auto"/>
        <w:ind w:left="259"/>
        <w:jc w:val="left"/>
      </w:pPr>
      <w:r>
        <w:rPr>
          <w:rFonts w:ascii="Arial" w:hAnsi="Arial"/>
          <w:color w:val="525252"/>
          <w:sz w:val="13"/>
        </w:rPr>
        <w:t>requires becoming involved when breaches of discipline occur and reporting all such violations to the proper authorities.</w:t>
      </w:r>
    </w:p>
    <w:p>
      <w:pPr>
        <w:spacing w:after="20" w:line="223" w:lineRule="auto"/>
        <w:jc w:val="right"/>
        <w:bidi/>
      </w:pPr>
      <w:r>
        <w:rPr>
          <w:rFonts w:ascii="Arial" w:hAnsi="Arial"/>
          <w:sz w:val="16"/>
        </w:rPr>
        <w:t>384.02  افراد باید در صورت دستور برای بررسی حوادث آماده باشند.</w:t>
      </w:r>
    </w:p>
    <w:p>
      <w:pPr>
        <w:spacing w:after="28" w:line="216" w:lineRule="auto"/>
        <w:ind w:left="259"/>
        <w:jc w:val="left"/>
      </w:pPr>
      <w:r>
        <w:rPr>
          <w:rFonts w:ascii="Arial" w:hAnsi="Arial"/>
          <w:color w:val="525252"/>
          <w:sz w:val="13"/>
        </w:rPr>
        <w:t>Individuals should be prepared to investigate incidents when ordered to do so.</w:t>
      </w:r>
    </w:p>
    <w:p>
      <w:pPr>
        <w:spacing w:after="20" w:line="223" w:lineRule="auto"/>
        <w:jc w:val="right"/>
        <w:bidi/>
      </w:pPr>
      <w:r>
        <w:rPr>
          <w:rFonts w:ascii="Arial" w:hAnsi="Arial"/>
          <w:sz w:val="16"/>
        </w:rPr>
        <w:t>384.03  برای همه هوانوردان مهم است که با حق علیه خود مجرمی طبق ماده ۳۱ قانون یکسان عدالت نظامی آشنا باشند، منابع موجود برای کمک به انجام تحقیقات قانونی را بدانند و قبل از اقدام از وکیل قاضی یا وکلای مدافع منطقه مشاوره بگیرند.</w:t>
      </w:r>
    </w:p>
    <w:p>
      <w:pPr>
        <w:spacing w:after="28" w:line="216" w:lineRule="auto"/>
        <w:ind w:left="259"/>
        <w:jc w:val="left"/>
      </w:pPr>
      <w:r>
        <w:rPr>
          <w:rFonts w:ascii="Arial" w:hAnsi="Arial"/>
          <w:color w:val="525252"/>
          <w:sz w:val="13"/>
        </w:rPr>
        <w:t>It is important for all Airmen to be familiar with the right against self-incrimination under Article 31 of the Uniform Code of Military Justice, know the resources available to assist in conducting legal investigations, and seek advice from servicing judge advocates or Area Defense Counsels before acting.</w:t>
      </w:r>
    </w:p>
    <w:p>
      <w:pPr>
        <w:spacing w:after="20" w:line="223" w:lineRule="auto"/>
        <w:jc w:val="right"/>
        <w:bidi/>
      </w:pPr>
      <w:r>
        <w:rPr>
          <w:rFonts w:ascii="Arial" w:hAnsi="Arial"/>
          <w:sz w:val="16"/>
        </w:rPr>
        <w:t>384.04  خود گزارشی از محکومیت کیفری.</w:t>
      </w:r>
    </w:p>
    <w:p>
      <w:pPr>
        <w:spacing w:after="28" w:line="216" w:lineRule="auto"/>
        <w:ind w:left="259"/>
        <w:jc w:val="left"/>
      </w:pPr>
      <w:r>
        <w:rPr>
          <w:rFonts w:ascii="Arial" w:hAnsi="Arial"/>
          <w:color w:val="525252"/>
          <w:sz w:val="13"/>
        </w:rPr>
        <w:t>Self-Reporting of Criminal Conviction.</w:t>
      </w:r>
    </w:p>
    <w:p>
      <w:pPr>
        <w:spacing w:after="20" w:line="223" w:lineRule="auto"/>
        <w:jc w:val="right"/>
        <w:bidi/>
      </w:pPr>
      <w:r>
        <w:rPr>
          <w:rFonts w:ascii="Arial" w:hAnsi="Arial"/>
          <w:sz w:val="16"/>
        </w:rPr>
        <w:t>384.05  بر اساس DAFPD ۳۶-۲۹، استانداردهای نظامی، همه افسران مأمور و اعضای ثبت‌نام شده که در رگاف هستند یا در یک وضعیت فعال در یک جزء ذخیره هستند، هر گونه محکومیت برای نقض قوانین جزایی ایالات متحده را به صورت کتبی به ناظر نظامی خط اول خود یا مقام مناسب تعیین شده از تاریخ محکومیت خود در مدت ۴۵ روز گزارش خواهند کرد.</w:t>
      </w:r>
    </w:p>
    <w:p>
      <w:pPr>
        <w:spacing w:after="28" w:line="216" w:lineRule="auto"/>
        <w:ind w:left="259"/>
        <w:jc w:val="left"/>
      </w:pPr>
      <w:r>
        <w:rPr>
          <w:rFonts w:ascii="Arial" w:hAnsi="Arial"/>
          <w:color w:val="525252"/>
          <w:sz w:val="13"/>
        </w:rPr>
        <w:t>According to DAFPD 36-29, Military Standards, all commissioned officers and enlisted members who are on RegAF or in an active status in a Reserve Component will report, in writing, any conviction for a violation of a U. S. criminal law to their first-line military supervisor or the appropriate designated official within 45 days of the date of conviction.</w:t>
      </w:r>
    </w:p>
    <w:p>
      <w:pPr>
        <w:spacing w:after="20" w:line="223" w:lineRule="auto"/>
        <w:jc w:val="right"/>
        <w:bidi/>
      </w:pPr>
      <w:r>
        <w:rPr>
          <w:rFonts w:ascii="Arial" w:hAnsi="Arial"/>
          <w:sz w:val="16"/>
        </w:rPr>
        <w:t>384.06  به‌علاوه، طبق AFI ۱-۱، هوانوردان بالاتر از درجه حقوق -۶، در رگاف، یا در وضعیت فعال در یک جزء رزرو باید هر گونه نقض قوانین جزایی غیرنظامی را به صورت کتبی به سرپرست خط اول خود ظرف ۱۵ روز از تاریخ محکومیت گزارش کنند.</w:t>
      </w:r>
    </w:p>
    <w:p>
      <w:pPr>
        <w:spacing w:after="28" w:line="216" w:lineRule="auto"/>
        <w:ind w:left="259"/>
        <w:jc w:val="left"/>
      </w:pPr>
      <w:r>
        <w:rPr>
          <w:rFonts w:ascii="Arial" w:hAnsi="Arial"/>
          <w:color w:val="525252"/>
          <w:sz w:val="13"/>
        </w:rPr>
        <w:t>Additionally, pursuant to AFI 1-1, Airmen above the pay grade of E-6, on RegAF, or on active status in a Reserve Component must report any violation of any civilian criminal law, in writing, to their first-line supervisor within 15 days of the date of conviction.</w:t>
      </w:r>
    </w:p>
    <w:p>
      <w:pPr>
        <w:spacing w:before="60" w:after="28"/>
        <w:jc w:val="right"/>
        <w:bidi/>
      </w:pPr>
      <w:r>
        <w:rPr>
          <w:b/>
          <w:color w:val="1F4D78"/>
          <w:sz w:val="18"/>
        </w:rPr>
        <w:t>21.4. ارکان عدالت نظامی</w:t>
      </w:r>
    </w:p>
    <w:p>
      <w:pPr>
        <w:spacing w:after="20"/>
        <w:ind w:left="259"/>
        <w:jc w:val="left"/>
      </w:pPr>
      <w:r>
        <w:rPr>
          <w:color w:val="555555"/>
          <w:sz w:val="12"/>
        </w:rPr>
        <w:t>21.4. Pillars of Military Justice</w:t>
      </w:r>
    </w:p>
    <w:p>
      <w:pPr>
        <w:spacing w:after="20" w:line="223" w:lineRule="auto"/>
        <w:jc w:val="right"/>
        <w:bidi/>
      </w:pPr>
      <w:r>
        <w:rPr>
          <w:rFonts w:ascii="Arial" w:hAnsi="Arial"/>
          <w:sz w:val="16"/>
        </w:rPr>
        <w:t>384.08  چهار جزء اصلی سیستم عدالت نظامی، همانطور که در شکل ۲۱.۱ نشان داده شده است، شامل قانون اساسی ایالات متحده، قانون یکسان عدالت نظامی (UCMJ)، کتابچه راهنمای دادگاه‌های نظامی (MCM)، و سوابق قانونی است.</w:t>
      </w:r>
    </w:p>
    <w:p>
      <w:pPr>
        <w:spacing w:after="28" w:line="216" w:lineRule="auto"/>
        <w:ind w:left="259"/>
        <w:jc w:val="left"/>
      </w:pPr>
      <w:r>
        <w:rPr>
          <w:rFonts w:ascii="Arial" w:hAnsi="Arial"/>
          <w:color w:val="525252"/>
          <w:sz w:val="13"/>
        </w:rPr>
        <w:t>Four primary components of the military justice system, as shown in Figure 21.1., include the U.S. Constitution, the Uniform Code of Military Justice (UCMJ), the Manual for Courts-Martial (MCM), and Legal Precedents.</w:t>
      </w:r>
    </w:p>
    <w:p>
      <w:pPr>
        <w:spacing w:after="20" w:line="223" w:lineRule="auto"/>
        <w:jc w:val="right"/>
        <w:bidi/>
      </w:pPr>
      <w:r>
        <w:rPr>
          <w:rFonts w:ascii="Arial" w:hAnsi="Arial"/>
          <w:sz w:val="16"/>
        </w:rPr>
        <w:t>384.09  این ستون‌ها در اینجا مورد بحث قرار می‌گیرند تا درک درستی از نحوه تأسیس و نحوه شکل‌دهی آنها به سیستم عدالت نظامی ما ارائه شود.</w:t>
      </w:r>
    </w:p>
    <w:p>
      <w:pPr>
        <w:spacing w:after="28" w:line="216" w:lineRule="auto"/>
        <w:ind w:left="259"/>
        <w:jc w:val="left"/>
      </w:pPr>
      <w:r>
        <w:rPr>
          <w:rFonts w:ascii="Arial" w:hAnsi="Arial"/>
          <w:color w:val="525252"/>
          <w:sz w:val="13"/>
        </w:rPr>
        <w:t>These pillars are discussed here to provide an understanding of how they were established and how they shape our military justice system.</w:t>
      </w:r>
    </w:p>
    <w:p>
      <w:pPr>
        <w:spacing w:after="20" w:line="223" w:lineRule="auto"/>
        <w:jc w:val="right"/>
        <w:bidi/>
      </w:pPr>
      <w:r>
        <w:rPr>
          <w:rFonts w:ascii="Arial" w:hAnsi="Arial"/>
          <w:sz w:val="16"/>
        </w:rPr>
        <w:t>384.10  قانون اساسی ایالات متحده.</w:t>
      </w:r>
    </w:p>
    <w:p>
      <w:pPr>
        <w:spacing w:after="28" w:line="216" w:lineRule="auto"/>
        <w:ind w:left="259"/>
        <w:jc w:val="left"/>
      </w:pPr>
      <w:r>
        <w:rPr>
          <w:rFonts w:ascii="Arial" w:hAnsi="Arial"/>
          <w:color w:val="525252"/>
          <w:sz w:val="13"/>
        </w:rPr>
        <w:t>The U.S. Constitution.</w:t>
      </w:r>
    </w:p>
    <w:p>
      <w:pPr>
        <w:spacing w:after="20" w:line="223" w:lineRule="auto"/>
        <w:jc w:val="right"/>
        <w:bidi/>
      </w:pPr>
      <w:r>
        <w:rPr>
          <w:rFonts w:ascii="Arial" w:hAnsi="Arial"/>
          <w:sz w:val="16"/>
        </w:rPr>
        <w:t>384.11  قانون اساسی ایالات متحده، اولین رکن در سیستم قضایی نظامی، منبع نهایی شکل ۲۱.۱ است.</w:t>
      </w:r>
    </w:p>
    <w:p>
      <w:pPr>
        <w:spacing w:after="28" w:line="216" w:lineRule="auto"/>
        <w:ind w:left="259"/>
        <w:jc w:val="left"/>
      </w:pPr>
      <w:r>
        <w:rPr>
          <w:rFonts w:ascii="Arial" w:hAnsi="Arial"/>
          <w:color w:val="525252"/>
          <w:sz w:val="13"/>
        </w:rPr>
        <w:t>The U.S. Constitution, the first pillar in the military justice system, is the ultimate source of Figure 21.1.</w:t>
      </w:r>
    </w:p>
    <w:p>
      <w:pPr>
        <w:spacing w:after="20" w:line="223" w:lineRule="auto"/>
        <w:jc w:val="right"/>
        <w:bidi/>
      </w:pPr>
      <w:r>
        <w:rPr>
          <w:rFonts w:ascii="Arial" w:hAnsi="Arial"/>
          <w:sz w:val="16"/>
        </w:rPr>
        <w:t>384.12  نظام عدالت نظامی، مرجعی است که تمام قوانین نظامی از آن نشأت گرفته است.</w:t>
      </w:r>
    </w:p>
    <w:p>
      <w:pPr>
        <w:spacing w:after="28" w:line="216" w:lineRule="auto"/>
        <w:ind w:left="259"/>
        <w:jc w:val="left"/>
      </w:pPr>
      <w:r>
        <w:rPr>
          <w:rFonts w:ascii="Arial" w:hAnsi="Arial"/>
          <w:color w:val="525252"/>
          <w:sz w:val="13"/>
        </w:rPr>
        <w:t>The Military Justice System Pillars authority from which all military law is derived.</w:t>
      </w:r>
    </w:p>
    <w:p>
      <w:pPr>
        <w:spacing w:after="20" w:line="223" w:lineRule="auto"/>
        <w:jc w:val="right"/>
        <w:bidi/>
      </w:pPr>
      <w:r>
        <w:rPr>
          <w:rFonts w:ascii="Arial" w:hAnsi="Arial"/>
          <w:sz w:val="16"/>
        </w:rPr>
        <w:t>384.13  تدوین کنندگان قانون اساسی ایالات متحده به کنگره این اختیار را دادند که قوانینی برای ارتش وضع کند.</w:t>
      </w:r>
    </w:p>
    <w:p>
      <w:pPr>
        <w:spacing w:after="28" w:line="216" w:lineRule="auto"/>
        <w:ind w:left="259"/>
        <w:jc w:val="left"/>
      </w:pPr>
      <w:r>
        <w:rPr>
          <w:rFonts w:ascii="Arial" w:hAnsi="Arial"/>
          <w:color w:val="525252"/>
          <w:sz w:val="13"/>
        </w:rPr>
        <w:t>The framers of the U.S. Constitution gave Congress the authority to make rules for the military.</w:t>
      </w:r>
    </w:p>
    <w:p>
      <w:pPr>
        <w:spacing w:after="20" w:line="223" w:lineRule="auto"/>
        <w:jc w:val="right"/>
        <w:bidi/>
      </w:pPr>
      <w:r>
        <w:rPr>
          <w:rFonts w:ascii="Arial" w:hAnsi="Arial"/>
          <w:sz w:val="16"/>
        </w:rPr>
        <w:t>384.14  کنگره (قوه مقننه) و رئیس جمهور ایالات متحده (قوه مجریه) از اختیارات ترکیبی خود برای ایجاد سیستم عدالت نظامی که امروز می‌شناسیم استفاده کرده‌اند.</w:t>
      </w:r>
    </w:p>
    <w:p>
      <w:pPr>
        <w:spacing w:after="28" w:line="216" w:lineRule="auto"/>
        <w:ind w:left="259"/>
        <w:jc w:val="left"/>
      </w:pPr>
      <w:r>
        <w:rPr>
          <w:rFonts w:ascii="Arial" w:hAnsi="Arial"/>
          <w:color w:val="525252"/>
          <w:sz w:val="13"/>
        </w:rPr>
        <w:t>Congress (the legislative branch) and the U.S. President (the executive branch) have used their combined authority to create the military justice system we know today.</w:t>
      </w:r>
    </w:p>
    <w:p>
      <w:pPr>
        <w:spacing w:after="20" w:line="223" w:lineRule="auto"/>
        <w:jc w:val="right"/>
        <w:bidi/>
      </w:pPr>
      <w:r>
        <w:rPr>
          <w:rFonts w:ascii="Arial" w:hAnsi="Arial"/>
          <w:sz w:val="16"/>
        </w:rPr>
        <w:t>384.15  این تفکیک قوا، عملکرد کنترل و تعادل را در نظارت بر سیستم قضایی نظامی ما تضمین می‌کند.</w:t>
      </w:r>
    </w:p>
    <w:p>
      <w:pPr>
        <w:spacing w:after="28" w:line="216" w:lineRule="auto"/>
        <w:ind w:left="259"/>
        <w:jc w:val="left"/>
      </w:pPr>
      <w:r>
        <w:rPr>
          <w:rFonts w:ascii="Arial" w:hAnsi="Arial"/>
          <w:color w:val="525252"/>
          <w:sz w:val="13"/>
        </w:rPr>
        <w:t>This separation of powers ensures a checks-and-balances function in overseeing our military justice system.</w:t>
      </w:r>
    </w:p>
    <w:p>
      <w:pPr>
        <w:spacing w:after="20" w:line="223" w:lineRule="auto"/>
        <w:jc w:val="right"/>
        <w:bidi/>
      </w:pPr>
      <w:r>
        <w:rPr>
          <w:rFonts w:ascii="Arial" w:hAnsi="Arial"/>
          <w:sz w:val="16"/>
        </w:rPr>
        <w:t>384.16  اختیارات اعطا شده به کنگره.</w:t>
      </w:r>
    </w:p>
    <w:p>
      <w:pPr>
        <w:spacing w:after="28" w:line="216" w:lineRule="auto"/>
        <w:ind w:left="259"/>
        <w:jc w:val="left"/>
      </w:pPr>
      <w:r>
        <w:rPr>
          <w:rFonts w:ascii="Arial" w:hAnsi="Arial"/>
          <w:color w:val="525252"/>
          <w:sz w:val="13"/>
        </w:rPr>
        <w:t>Powers Granted to Congress.</w:t>
      </w:r>
    </w:p>
    <w:p>
      <w:pPr>
        <w:spacing w:after="20" w:line="223" w:lineRule="auto"/>
        <w:jc w:val="right"/>
        <w:bidi/>
      </w:pPr>
      <w:r>
        <w:rPr>
          <w:rFonts w:ascii="Arial" w:hAnsi="Arial"/>
          <w:sz w:val="16"/>
        </w:rPr>
        <w:t>384.17  قانون اساسی ایالات متحده مقرر می‌دارد که کنگره اختیار اعلام جنگ را دارد. تشکیل و پشتیبانی ارتش؛ تأمین و نگهداری نیروهای دریایی؛ وضع قوانین برای حکومت و مقررات نیروهای زمینی و دریایی. فراخوان شبه نظامیان (گارد ملی) را فراهم کند. شبه نظامیان را سازماندهی، مسلح و منضبط کنید. و بخشی از آنها را که ممکن است در خدمت ایالات متحده به کار گرفته شوند، اداره کنند.</w:t>
      </w:r>
    </w:p>
    <w:p>
      <w:pPr>
        <w:spacing w:after="28" w:line="216" w:lineRule="auto"/>
        <w:ind w:left="259"/>
        <w:jc w:val="left"/>
      </w:pPr>
      <w:r>
        <w:rPr>
          <w:rFonts w:ascii="Arial" w:hAnsi="Arial"/>
          <w:color w:val="525252"/>
          <w:sz w:val="13"/>
        </w:rPr>
        <w:t>The U.S. Constitution provides that Congress is empowered to declare war; raise and support armies; provide and maintain naval forces; make rules for the government and regulation of the land and naval forces; provide for calling forth the militia (National Guard); organize, arm, and discipline the militias; and govern such part of them as may be employed in the service of the United States.</w:t>
      </w:r>
    </w:p>
    <w:p>
      <w:pPr>
        <w:spacing w:after="20" w:line="223" w:lineRule="auto"/>
        <w:jc w:val="right"/>
        <w:bidi/>
      </w:pPr>
      <w:r>
        <w:rPr>
          <w:rFonts w:ascii="Arial" w:hAnsi="Arial"/>
          <w:sz w:val="16"/>
        </w:rPr>
        <w:t>384.18  کنگره همچنین مسئول کلیه قوانینی است که برای اجرای اختیارات فوق و کلیه اختیارات دیگر که توسط قانون اساسی ایالات متحده به دولت ایالات متحده داده شده است، ضروری و مناسب تشخیص داده شده است.</w:t>
      </w:r>
    </w:p>
    <w:p>
      <w:pPr>
        <w:spacing w:after="28" w:line="216" w:lineRule="auto"/>
        <w:ind w:left="259"/>
        <w:jc w:val="left"/>
      </w:pPr>
      <w:r>
        <w:rPr>
          <w:rFonts w:ascii="Arial" w:hAnsi="Arial"/>
          <w:color w:val="525252"/>
          <w:sz w:val="13"/>
        </w:rPr>
        <w:t>Congress is also responsible for all laws deemed necessary and proper for carrying into execution the foregoing powers and all other powers vested by the U.S. Constitution in the U.S. Government.</w:t>
      </w:r>
    </w:p>
    <w:p>
      <w:pPr>
        <w:spacing w:after="20" w:line="223" w:lineRule="auto"/>
        <w:jc w:val="right"/>
        <w:bidi/>
      </w:pPr>
      <w:r>
        <w:rPr>
          <w:rFonts w:ascii="Arial" w:hAnsi="Arial"/>
          <w:sz w:val="16"/>
        </w:rPr>
        <w:t>384.19  اختیارات به رئیس جمهور اعطا شد.</w:t>
      </w:r>
    </w:p>
    <w:p>
      <w:pPr>
        <w:spacing w:after="28" w:line="216" w:lineRule="auto"/>
        <w:ind w:left="259"/>
        <w:jc w:val="left"/>
      </w:pPr>
      <w:r>
        <w:rPr>
          <w:rFonts w:ascii="Arial" w:hAnsi="Arial"/>
          <w:color w:val="525252"/>
          <w:sz w:val="13"/>
        </w:rPr>
        <w:t>Authority Granted to the President.</w:t>
      </w:r>
    </w:p>
    <w:p>
      <w:pPr>
        <w:spacing w:after="20" w:line="223" w:lineRule="auto"/>
        <w:jc w:val="right"/>
        <w:bidi/>
      </w:pPr>
      <w:r>
        <w:rPr>
          <w:rFonts w:ascii="Arial" w:hAnsi="Arial"/>
          <w:sz w:val="16"/>
        </w:rPr>
        <w:t>384.20  قانون اساسی ایالات متحده پیش بینی می‌کند که رئیس جمهور ایالات متحده به‌عنوان فرمانده کل نیروهای مسلح ایالات متحده و شبه نظامیان ایالت‌ها (گارد ملی) در هنگام فراخواندن به خدمات فدرال خدمت می‌کند.</w:t>
      </w:r>
    </w:p>
    <w:p>
      <w:pPr>
        <w:spacing w:after="28" w:line="216" w:lineRule="auto"/>
        <w:ind w:left="259"/>
        <w:jc w:val="left"/>
      </w:pPr>
      <w:r>
        <w:rPr>
          <w:rFonts w:ascii="Arial" w:hAnsi="Arial"/>
          <w:color w:val="525252"/>
          <w:sz w:val="13"/>
        </w:rPr>
        <w:t>The U.S. Constitution provides that the U.S. President serves as Commander in Chief of the U.S. Armed Forces and of the militia of the states (National Guard) when called to federal service.</w:t>
      </w:r>
    </w:p>
    <w:p>
      <w:pPr>
        <w:spacing w:after="20" w:line="223" w:lineRule="auto"/>
        <w:jc w:val="right"/>
        <w:bidi/>
      </w:pPr>
      <w:r>
        <w:rPr>
          <w:rFonts w:ascii="Arial" w:hAnsi="Arial"/>
          <w:sz w:val="16"/>
        </w:rPr>
        <w:t>384.21  بر اساس اختیارات فرماندهی کل قوا، رئیس جمهور ایالات متحده این اختیار را دارد که دستورات اجرایی برای اداره نیروهای مسلح ایالات متحده صادر کند تا زمانی که این دستورات با مقررات اساسی قانون اساسی یا قانونی مغایرت نداشته باشد.</w:t>
      </w:r>
    </w:p>
    <w:p>
      <w:pPr>
        <w:spacing w:after="28" w:line="216" w:lineRule="auto"/>
        <w:ind w:left="259"/>
        <w:jc w:val="left"/>
      </w:pPr>
      <w:r>
        <w:rPr>
          <w:rFonts w:ascii="Arial" w:hAnsi="Arial"/>
          <w:color w:val="525252"/>
          <w:sz w:val="13"/>
        </w:rPr>
        <w:t>By virtue of authority as Commander in Chief, the U.S. President has the power to issue executive orders to govern the U.S. Armed Forces as long as these orders do not conflict with basic constitutional or statutory provisions.</w:t>
      </w:r>
    </w:p>
    <w:p>
      <w:pPr>
        <w:spacing w:after="20" w:line="223" w:lineRule="auto"/>
        <w:jc w:val="right"/>
        <w:bidi/>
      </w:pPr>
      <w:r>
        <w:rPr>
          <w:rFonts w:ascii="Arial" w:hAnsi="Arial"/>
          <w:sz w:val="16"/>
        </w:rPr>
        <w:t>384.22  قانون یکسان عدالت نظامی.</w:t>
      </w:r>
    </w:p>
    <w:p>
      <w:pPr>
        <w:spacing w:after="28" w:line="216" w:lineRule="auto"/>
        <w:ind w:left="259"/>
        <w:jc w:val="left"/>
      </w:pPr>
      <w:r>
        <w:rPr>
          <w:rFonts w:ascii="Arial" w:hAnsi="Arial"/>
          <w:color w:val="525252"/>
          <w:sz w:val="13"/>
        </w:rPr>
        <w:t>Uniform Code of Military Justice.</w:t>
      </w:r>
    </w:p>
    <w:p>
      <w:pPr>
        <w:spacing w:after="20" w:line="223" w:lineRule="auto"/>
        <w:jc w:val="right"/>
        <w:bidi/>
      </w:pPr>
      <w:r>
        <w:rPr>
          <w:rFonts w:ascii="Arial" w:hAnsi="Arial"/>
          <w:sz w:val="16"/>
        </w:rPr>
        <w:t>384.23  UCMJ دومین رکن در سیستم قضایی نظامی است.</w:t>
      </w:r>
    </w:p>
    <w:p>
      <w:pPr>
        <w:spacing w:after="28" w:line="216" w:lineRule="auto"/>
        <w:ind w:left="259"/>
        <w:jc w:val="left"/>
      </w:pPr>
      <w:r>
        <w:rPr>
          <w:rFonts w:ascii="Arial" w:hAnsi="Arial"/>
          <w:color w:val="525252"/>
          <w:sz w:val="13"/>
        </w:rPr>
        <w:t>The UCMJ is the second pillar in the military justice system.</w:t>
      </w:r>
    </w:p>
    <w:p>
      <w:pPr>
        <w:spacing w:after="20" w:line="223" w:lineRule="auto"/>
        <w:jc w:val="right"/>
        <w:bidi/>
      </w:pPr>
      <w:r>
        <w:rPr>
          <w:rFonts w:ascii="Arial" w:hAnsi="Arial"/>
          <w:sz w:val="16"/>
        </w:rPr>
        <w:t>384.24  در سال ۱۹۴۷، پس از جنگ جهانی دوم، و پس از اتحاد نیروهای مسلح تحت وزارت دفاع، وزیر دفاع، جیمز وی. فارستال، اولین وزیر دفاع،</w:t>
      </w:r>
    </w:p>
    <w:p>
      <w:pPr>
        <w:spacing w:after="28" w:line="216" w:lineRule="auto"/>
        <w:ind w:left="259"/>
        <w:jc w:val="left"/>
      </w:pPr>
      <w:r>
        <w:rPr>
          <w:rFonts w:ascii="Arial" w:hAnsi="Arial"/>
          <w:color w:val="525252"/>
          <w:sz w:val="13"/>
        </w:rPr>
        <w:t>In 1947, in the aftermath of the Second World War, and after unification of the Armed Services under the Department of Defense, Secretary James V. Forrestal, the first Secretary of Defense,</w:t>
      </w:r>
    </w:p>
    <w:p>
      <w:r>
        <w:br w:type="page"/>
      </w:r>
    </w:p>
    <w:p>
      <w:pPr>
        <w:spacing w:after="60"/>
        <w:jc w:val="right"/>
        <w:bidi/>
      </w:pPr>
      <w:r>
        <w:rPr>
          <w:rFonts w:ascii="Arial" w:hAnsi="Arial"/>
          <w:b/>
          <w:color w:val="1F4D78"/>
          <w:sz w:val="19"/>
        </w:rPr>
        <w:t>هفتهٔ 385  |  صفحهٔ منبع: 401</w:t>
      </w:r>
    </w:p>
    <w:p>
      <w:pPr>
        <w:spacing w:after="20" w:line="223" w:lineRule="auto"/>
        <w:jc w:val="right"/>
        <w:bidi/>
      </w:pPr>
      <w:r>
        <w:rPr>
          <w:rFonts w:ascii="Arial" w:hAnsi="Arial"/>
          <w:sz w:val="16"/>
        </w:rPr>
        <w:t>385.01  خواستار یک کد قانونی یکسان بود که برای همه خدمات اعمال شود.</w:t>
      </w:r>
    </w:p>
    <w:p>
      <w:pPr>
        <w:spacing w:after="28" w:line="216" w:lineRule="auto"/>
        <w:ind w:left="259"/>
        <w:jc w:val="left"/>
      </w:pPr>
      <w:r>
        <w:rPr>
          <w:rFonts w:ascii="Arial" w:hAnsi="Arial"/>
          <w:color w:val="525252"/>
          <w:sz w:val="13"/>
        </w:rPr>
        <w:t>desired a uniform legal code that would apply to all services.</w:t>
      </w:r>
    </w:p>
    <w:p>
      <w:pPr>
        <w:spacing w:after="20" w:line="223" w:lineRule="auto"/>
        <w:jc w:val="right"/>
        <w:bidi/>
      </w:pPr>
      <w:r>
        <w:rPr>
          <w:rFonts w:ascii="Arial" w:hAnsi="Arial"/>
          <w:sz w:val="16"/>
        </w:rPr>
        <w:t>385.02  تلاش‌های او زمینه را برای یک سیستم نظم و انضباط یکسان فراهم کرد که کنگره در سال ۱۹۵۰ به‌عنوان UCMJ تصویب کرد.</w:t>
      </w:r>
    </w:p>
    <w:p>
      <w:pPr>
        <w:spacing w:after="28" w:line="216" w:lineRule="auto"/>
        <w:ind w:left="259"/>
        <w:jc w:val="left"/>
      </w:pPr>
      <w:r>
        <w:rPr>
          <w:rFonts w:ascii="Arial" w:hAnsi="Arial"/>
          <w:color w:val="525252"/>
          <w:sz w:val="13"/>
        </w:rPr>
        <w:t>His efforts set the stage for a uniform system of discipline that Congress enacted in 1950 as the UCMJ.</w:t>
      </w:r>
    </w:p>
    <w:p>
      <w:pPr>
        <w:spacing w:after="20" w:line="223" w:lineRule="auto"/>
        <w:jc w:val="right"/>
        <w:bidi/>
      </w:pPr>
      <w:r>
        <w:rPr>
          <w:rFonts w:ascii="Arial" w:hAnsi="Arial"/>
          <w:sz w:val="16"/>
        </w:rPr>
        <w:t>385.03  که توسط رئیس جمهور هری ترومن امضا شد، UCMJ در سال ۱۹۵۱ لازم الاجرا شد و ضمانت‌های رویه‌ای قابل توجهی را برای یک روند باز و منصفانه ارائه کرد که امروز نیز ادامه دارد.</w:t>
      </w:r>
    </w:p>
    <w:p>
      <w:pPr>
        <w:spacing w:after="28" w:line="216" w:lineRule="auto"/>
        <w:ind w:left="259"/>
        <w:jc w:val="left"/>
      </w:pPr>
      <w:r>
        <w:rPr>
          <w:rFonts w:ascii="Arial" w:hAnsi="Arial"/>
          <w:color w:val="525252"/>
          <w:sz w:val="13"/>
        </w:rPr>
        <w:t>Signed into law by President Harry S. Truman, the UCMJ became effective in 1951 and provided substantial procedural guarantees for an open and fair process that continues today.</w:t>
      </w:r>
    </w:p>
    <w:p>
      <w:pPr>
        <w:spacing w:after="20" w:line="223" w:lineRule="auto"/>
        <w:jc w:val="right"/>
        <w:bidi/>
      </w:pPr>
      <w:r>
        <w:rPr>
          <w:rFonts w:ascii="Arial" w:hAnsi="Arial"/>
          <w:sz w:val="16"/>
        </w:rPr>
        <w:t>385.04  UCMJ شامل انواع جرایم غیرقانونی در همه حوزه‌های قضایی، مانند قتل، آتش‌سوزی، سرقت، و غیره و جنایاتی است که عمدتا منحصر به محیط نظامی است.</w:t>
      </w:r>
    </w:p>
    <w:p>
      <w:pPr>
        <w:spacing w:after="28" w:line="216" w:lineRule="auto"/>
        <w:ind w:left="259"/>
        <w:jc w:val="left"/>
      </w:pPr>
      <w:r>
        <w:rPr>
          <w:rFonts w:ascii="Arial" w:hAnsi="Arial"/>
          <w:color w:val="525252"/>
          <w:sz w:val="13"/>
        </w:rPr>
        <w:t>The UCMJ encompasses the sorts of crimes outlawed in all jurisdictions, such as murder, arson, larceny, etc., and crimes largely unique to the military environment.</w:t>
      </w:r>
    </w:p>
    <w:p>
      <w:pPr>
        <w:spacing w:after="20" w:line="223" w:lineRule="auto"/>
        <w:jc w:val="right"/>
        <w:bidi/>
      </w:pPr>
      <w:r>
        <w:rPr>
          <w:rFonts w:ascii="Arial" w:hAnsi="Arial"/>
          <w:sz w:val="16"/>
        </w:rPr>
        <w:t>385.05  جرایم نظامی منحصربه‌فردی که تحت UCMJ به آنها رسیدگی می‌شود شامل جرائمی مانند فرار از خدمت، غیبت بدون مرخصی، بی‌احترامی به مافوق، عدم اطاعت از دستورات، ترک وظیفه، تصرف نادرست اموال نظامی، مستی در حین انجام وظیفه، تجاوز جنسی، و رفتار نامناسب یک افسر است.</w:t>
      </w:r>
    </w:p>
    <w:p>
      <w:pPr>
        <w:spacing w:after="28" w:line="216" w:lineRule="auto"/>
        <w:ind w:left="259"/>
        <w:jc w:val="left"/>
      </w:pPr>
      <w:r>
        <w:rPr>
          <w:rFonts w:ascii="Arial" w:hAnsi="Arial"/>
          <w:color w:val="525252"/>
          <w:sz w:val="13"/>
        </w:rPr>
        <w:t>Unique military crimes addressed under the UCMJ include such offenses as desertion, absence without leave, disrespect toward superiors, failure to obey orders, dereliction of duty, wrongful disposition of military property, drunk while on-duty, malingering, and conduct unbecoming an officer.</w:t>
      </w:r>
    </w:p>
    <w:p>
      <w:pPr>
        <w:spacing w:after="20" w:line="223" w:lineRule="auto"/>
        <w:jc w:val="right"/>
        <w:bidi/>
      </w:pPr>
      <w:r>
        <w:rPr>
          <w:rFonts w:ascii="Arial" w:hAnsi="Arial"/>
          <w:sz w:val="16"/>
        </w:rPr>
        <w:t>385.06  UCMJ همچنین شامل مقرراتی در مورد مجازات رفتار نادرست در برابر دشمن، استفاده نادرست از علامت متقابل، رفتار نادرست نگهبان، سوء رفتار به‌عنوان زندانی، کمک به دشمن، جاسوسی و جاسوسی است.</w:t>
      </w:r>
    </w:p>
    <w:p>
      <w:pPr>
        <w:spacing w:after="28" w:line="216" w:lineRule="auto"/>
        <w:ind w:left="259"/>
        <w:jc w:val="left"/>
      </w:pPr>
      <w:r>
        <w:rPr>
          <w:rFonts w:ascii="Arial" w:hAnsi="Arial"/>
          <w:color w:val="525252"/>
          <w:sz w:val="13"/>
        </w:rPr>
        <w:t>The UCMJ also includes provisions regarding punishing misbehavior before the enemy, improper use of countersign, misbehavior of a sentinel, misconduct as a prisoner, aiding the enemy, spying, and espionage.</w:t>
      </w:r>
    </w:p>
    <w:p>
      <w:pPr>
        <w:spacing w:after="20" w:line="223" w:lineRule="auto"/>
        <w:jc w:val="right"/>
        <w:bidi/>
      </w:pPr>
      <w:r>
        <w:rPr>
          <w:rFonts w:ascii="Arial" w:hAnsi="Arial"/>
          <w:sz w:val="16"/>
        </w:rPr>
        <w:t>385.07  از زمان تصویب، UCMJ دستخوش چندین تغییر مهم شده است، که عمدتا برای ارائه حقوق اضافی فرآیند عادلانه به اعضای نیروهای مسلح در دادرسی کیفری طراحی شده است.</w:t>
      </w:r>
    </w:p>
    <w:p>
      <w:pPr>
        <w:spacing w:after="28" w:line="216" w:lineRule="auto"/>
        <w:ind w:left="259"/>
        <w:jc w:val="left"/>
      </w:pPr>
      <w:r>
        <w:rPr>
          <w:rFonts w:ascii="Arial" w:hAnsi="Arial"/>
          <w:color w:val="525252"/>
          <w:sz w:val="13"/>
        </w:rPr>
        <w:t>Since its enactment, the UCMJ has undergone several significant changes, largely designed to provide service members with additional due process rights in criminal proceedings.</w:t>
      </w:r>
    </w:p>
    <w:p>
      <w:pPr>
        <w:spacing w:after="20" w:line="223" w:lineRule="auto"/>
        <w:jc w:val="right"/>
        <w:bidi/>
      </w:pPr>
      <w:r>
        <w:rPr>
          <w:rFonts w:ascii="Arial" w:hAnsi="Arial"/>
          <w:sz w:val="16"/>
        </w:rPr>
        <w:t>385.08  حقوقی که امروزه برای اعضای نیروهای مسلح اعطا می‌شود تا حد زیادی منعکس کننده ضمانت‌های دادرسی دادگاه‌های غیرنظامی است و در برخی جنبه‌ها، حتی گسترده‌تر از حقوقی است که غیرنظامیان از آن برخوردار هستند.</w:t>
      </w:r>
    </w:p>
    <w:p>
      <w:pPr>
        <w:spacing w:after="28" w:line="216" w:lineRule="auto"/>
        <w:ind w:left="259"/>
        <w:jc w:val="left"/>
      </w:pPr>
      <w:r>
        <w:rPr>
          <w:rFonts w:ascii="Arial" w:hAnsi="Arial"/>
          <w:color w:val="525252"/>
          <w:sz w:val="13"/>
        </w:rPr>
        <w:t>The rights afforded to service members today largely mirror the due process safeguards of civilian courts, and in certain aspects, are even more expansive than those enjoyed by civilians.</w:t>
      </w:r>
    </w:p>
    <w:p>
      <w:pPr>
        <w:spacing w:after="20" w:line="223" w:lineRule="auto"/>
        <w:jc w:val="right"/>
        <w:bidi/>
      </w:pPr>
      <w:r>
        <w:rPr>
          <w:rFonts w:ascii="Arial" w:hAnsi="Arial"/>
          <w:sz w:val="16"/>
        </w:rPr>
        <w:t>385.09  راهنمای دادگاه‌های نظامی.</w:t>
      </w:r>
    </w:p>
    <w:p>
      <w:pPr>
        <w:spacing w:after="28" w:line="216" w:lineRule="auto"/>
        <w:ind w:left="259"/>
        <w:jc w:val="left"/>
      </w:pPr>
      <w:r>
        <w:rPr>
          <w:rFonts w:ascii="Arial" w:hAnsi="Arial"/>
          <w:color w:val="525252"/>
          <w:sz w:val="13"/>
        </w:rPr>
        <w:t>Manual for Courts-Martial.</w:t>
      </w:r>
    </w:p>
    <w:p>
      <w:pPr>
        <w:spacing w:after="20" w:line="223" w:lineRule="auto"/>
        <w:jc w:val="right"/>
        <w:bidi/>
      </w:pPr>
      <w:r>
        <w:rPr>
          <w:rFonts w:ascii="Arial" w:hAnsi="Arial"/>
          <w:sz w:val="16"/>
        </w:rPr>
        <w:t>385.10  MCM یک نشریه است که تقریبا تمام جنبه‌های حقوق جزای نظامی را پوشش می‌دهد و به‌عنوان یک کتابچه راهنمای جامع یا کتاب راهنما برای تسهیل عدالت نظامی در سراسر جهان در نظر گرفته شده است.</w:t>
      </w:r>
    </w:p>
    <w:p>
      <w:pPr>
        <w:spacing w:after="28" w:line="216" w:lineRule="auto"/>
        <w:ind w:left="259"/>
        <w:jc w:val="left"/>
      </w:pPr>
      <w:r>
        <w:rPr>
          <w:rFonts w:ascii="Arial" w:hAnsi="Arial"/>
          <w:color w:val="525252"/>
          <w:sz w:val="13"/>
        </w:rPr>
        <w:t>The MCM is a publication, covering virtually all aspects of military criminal law, which is intended to serve as a comprehensive manual or guidebook for facilitating military justice worldwide.</w:t>
      </w:r>
    </w:p>
    <w:p>
      <w:pPr>
        <w:spacing w:after="20" w:line="223" w:lineRule="auto"/>
        <w:jc w:val="right"/>
        <w:bidi/>
      </w:pPr>
      <w:r>
        <w:rPr>
          <w:rFonts w:ascii="Arial" w:hAnsi="Arial"/>
          <w:sz w:val="16"/>
        </w:rPr>
        <w:t>385.11  حاوی نسخه فعلی UCMJ، قوانین دادگاه‌های نظامی، و قواعد شواهد نظامی، و همچنین الگوها، اسکریپت‌ها و تجزیه و تحلیل برای استفاده توسط پزشکان عدالت نظامی در این زمینه است.</w:t>
      </w:r>
    </w:p>
    <w:p>
      <w:pPr>
        <w:spacing w:after="28" w:line="216" w:lineRule="auto"/>
        <w:ind w:left="259"/>
        <w:jc w:val="left"/>
      </w:pPr>
      <w:r>
        <w:rPr>
          <w:rFonts w:ascii="Arial" w:hAnsi="Arial"/>
          <w:color w:val="525252"/>
          <w:sz w:val="13"/>
        </w:rPr>
        <w:t>It contains the current version of the UCMJ, Rules for Courts-Martial, and Military Rules of Evidence, as well as templates, scripts, and analysis for use by military justice practitioners in the field.</w:t>
      </w:r>
    </w:p>
    <w:p>
      <w:pPr>
        <w:spacing w:after="20" w:line="223" w:lineRule="auto"/>
        <w:jc w:val="right"/>
        <w:bidi/>
      </w:pPr>
      <w:r>
        <w:rPr>
          <w:rFonts w:ascii="Arial" w:hAnsi="Arial"/>
          <w:sz w:val="16"/>
        </w:rPr>
        <w:t>385.12  MCM به پنج بخش تقسیم می‌شود که به‌عنوان مرجع الزام‌آور برای تمرین‌کنندگان عمل می‌کند.</w:t>
      </w:r>
    </w:p>
    <w:p>
      <w:pPr>
        <w:spacing w:after="28" w:line="216" w:lineRule="auto"/>
        <w:ind w:left="259"/>
        <w:jc w:val="left"/>
      </w:pPr>
      <w:r>
        <w:rPr>
          <w:rFonts w:ascii="Arial" w:hAnsi="Arial"/>
          <w:color w:val="525252"/>
          <w:sz w:val="13"/>
        </w:rPr>
        <w:t>The MCM is divided into five parts that serve as binding authority for practitioners.</w:t>
      </w:r>
    </w:p>
    <w:p>
      <w:pPr>
        <w:spacing w:after="20" w:line="223" w:lineRule="auto"/>
        <w:jc w:val="right"/>
        <w:bidi/>
      </w:pPr>
      <w:r>
        <w:rPr>
          <w:rFonts w:ascii="Arial" w:hAnsi="Arial"/>
          <w:sz w:val="16"/>
        </w:rPr>
        <w:t>385.13  قسمت اول مقدمه است و منابع اختیار و ساختار MCM را توضیح می‌دهد.</w:t>
      </w:r>
    </w:p>
    <w:p>
      <w:pPr>
        <w:spacing w:after="28" w:line="216" w:lineRule="auto"/>
        <w:ind w:left="259"/>
        <w:jc w:val="left"/>
      </w:pPr>
      <w:r>
        <w:rPr>
          <w:rFonts w:ascii="Arial" w:hAnsi="Arial"/>
          <w:color w:val="525252"/>
          <w:sz w:val="13"/>
        </w:rPr>
        <w:t>Part I is the Preamble and explains the sources of authority for and structure of the MCM.</w:t>
      </w:r>
    </w:p>
    <w:p>
      <w:pPr>
        <w:spacing w:after="20" w:line="223" w:lineRule="auto"/>
        <w:jc w:val="right"/>
        <w:bidi/>
      </w:pPr>
      <w:r>
        <w:rPr>
          <w:rFonts w:ascii="Arial" w:hAnsi="Arial"/>
          <w:sz w:val="16"/>
        </w:rPr>
        <w:t>385.14  بخش دوم، قوانین دادگاه‌های نظامی (RCM) است که مشابه قوانین فدرال دادرسی کیفری است که در دادگاه‌های غیرنظامی استفاده می‌شود.</w:t>
      </w:r>
    </w:p>
    <w:p>
      <w:pPr>
        <w:spacing w:after="28" w:line="216" w:lineRule="auto"/>
        <w:ind w:left="259"/>
        <w:jc w:val="left"/>
      </w:pPr>
      <w:r>
        <w:rPr>
          <w:rFonts w:ascii="Arial" w:hAnsi="Arial"/>
          <w:color w:val="525252"/>
          <w:sz w:val="13"/>
        </w:rPr>
        <w:t>Part II is the Rules for Courts-Martial (RCM), which are similar to the Federal Rules of Criminal Procedure used in civilian courts.</w:t>
      </w:r>
    </w:p>
    <w:p>
      <w:pPr>
        <w:spacing w:after="20" w:line="223" w:lineRule="auto"/>
        <w:jc w:val="right"/>
        <w:bidi/>
      </w:pPr>
      <w:r>
        <w:rPr>
          <w:rFonts w:ascii="Arial" w:hAnsi="Arial"/>
          <w:sz w:val="16"/>
        </w:rPr>
        <w:t>385.15  RCM عمدتا برای هدایت رویه دادگاه نظامی خدمت می‌کند.</w:t>
      </w:r>
    </w:p>
    <w:p>
      <w:pPr>
        <w:spacing w:after="28" w:line="216" w:lineRule="auto"/>
        <w:ind w:left="259"/>
        <w:jc w:val="left"/>
      </w:pPr>
      <w:r>
        <w:rPr>
          <w:rFonts w:ascii="Arial" w:hAnsi="Arial"/>
          <w:color w:val="525252"/>
          <w:sz w:val="13"/>
        </w:rPr>
        <w:t>The RCM largely serve to guide court-martial procedure.</w:t>
      </w:r>
    </w:p>
    <w:p>
      <w:pPr>
        <w:spacing w:after="20" w:line="223" w:lineRule="auto"/>
        <w:jc w:val="right"/>
        <w:bidi/>
      </w:pPr>
      <w:r>
        <w:rPr>
          <w:rFonts w:ascii="Arial" w:hAnsi="Arial"/>
          <w:sz w:val="16"/>
        </w:rPr>
        <w:t>385.16  قسمت سوم، قواعد شواهد نظامی (MRE) است که بسیار شبیه قوانین فدرال شواهد است و برای ترویج عدالت در نحوه پذیرش و استفاده از شواهد در دادگاه‌های نظامی طراحی شده است.</w:t>
      </w:r>
    </w:p>
    <w:p>
      <w:pPr>
        <w:spacing w:after="28" w:line="216" w:lineRule="auto"/>
        <w:ind w:left="259"/>
        <w:jc w:val="left"/>
      </w:pPr>
      <w:r>
        <w:rPr>
          <w:rFonts w:ascii="Arial" w:hAnsi="Arial"/>
          <w:color w:val="525252"/>
          <w:sz w:val="13"/>
        </w:rPr>
        <w:t>Part III is the Military Rules of Evidence (MRE), which closely resemble Federal Rules of Evidence and are designed to promote fairness in how evidence is admitted and used in courts- martial.</w:t>
      </w:r>
    </w:p>
    <w:p>
      <w:pPr>
        <w:spacing w:after="20" w:line="223" w:lineRule="auto"/>
        <w:jc w:val="right"/>
        <w:bidi/>
      </w:pPr>
      <w:r>
        <w:rPr>
          <w:rFonts w:ascii="Arial" w:hAnsi="Arial"/>
          <w:sz w:val="16"/>
        </w:rPr>
        <w:t>385.17  قسمت چهارم به تشریح مواد تنبیهی UCMJ می‌پردازد، یعنی موادی که اعضای نیروهای مسلح ممکن است در دادگاه نظامی متهم به نقض آنها شوند.</w:t>
      </w:r>
    </w:p>
    <w:p>
      <w:pPr>
        <w:spacing w:after="28" w:line="216" w:lineRule="auto"/>
        <w:ind w:left="259"/>
        <w:jc w:val="left"/>
      </w:pPr>
      <w:r>
        <w:rPr>
          <w:rFonts w:ascii="Arial" w:hAnsi="Arial"/>
          <w:color w:val="525252"/>
          <w:sz w:val="13"/>
        </w:rPr>
        <w:t>Part IV outlines the punitive articles of the UCMJ, that is, the articles that service members may be charged with violating at a court-martial.</w:t>
      </w:r>
    </w:p>
    <w:p>
      <w:pPr>
        <w:spacing w:after="20" w:line="223" w:lineRule="auto"/>
        <w:jc w:val="right"/>
        <w:bidi/>
      </w:pPr>
      <w:r>
        <w:rPr>
          <w:rFonts w:ascii="Arial" w:hAnsi="Arial"/>
          <w:sz w:val="16"/>
        </w:rPr>
        <w:t>385.18  قسمت پنجم قوانین و رویه‌های ماده ۱۵، مجازات غیرقانونی را تشریح می‌کند.</w:t>
      </w:r>
    </w:p>
    <w:p>
      <w:pPr>
        <w:spacing w:after="28" w:line="216" w:lineRule="auto"/>
        <w:ind w:left="259"/>
        <w:jc w:val="left"/>
      </w:pPr>
      <w:r>
        <w:rPr>
          <w:rFonts w:ascii="Arial" w:hAnsi="Arial"/>
          <w:color w:val="525252"/>
          <w:sz w:val="13"/>
        </w:rPr>
        <w:t>Part V describes the rules and procedures for Article 15, nonjudicial punishment.</w:t>
      </w:r>
    </w:p>
    <w:p>
      <w:pPr>
        <w:spacing w:after="20" w:line="223" w:lineRule="auto"/>
        <w:jc w:val="right"/>
        <w:bidi/>
      </w:pPr>
      <w:r>
        <w:rPr>
          <w:rFonts w:ascii="Arial" w:hAnsi="Arial"/>
          <w:sz w:val="16"/>
        </w:rPr>
        <w:t>385.19  علاوه بر این، MCM حاوی تعدادی ضمیمه غیر الزام آور است، از جمله تجزیه و تحلیل مقالات تنبیهی، جدول حداکثر مجازات برای مقالات تنبیهی، و الگوها و اسکریپت‌های مختلف.</w:t>
      </w:r>
    </w:p>
    <w:p>
      <w:pPr>
        <w:spacing w:after="28" w:line="216" w:lineRule="auto"/>
        <w:ind w:left="259"/>
        <w:jc w:val="left"/>
      </w:pPr>
      <w:r>
        <w:rPr>
          <w:rFonts w:ascii="Arial" w:hAnsi="Arial"/>
          <w:color w:val="525252"/>
          <w:sz w:val="13"/>
        </w:rPr>
        <w:t>Additionally, the MCM contains a number of non-binding appendices, including analysis of the punitive articles, a maximum punishment table for the punitive articles, and various templates and scripts.</w:t>
      </w:r>
    </w:p>
    <w:p>
      <w:pPr>
        <w:spacing w:after="20" w:line="223" w:lineRule="auto"/>
        <w:jc w:val="right"/>
        <w:bidi/>
      </w:pPr>
      <w:r>
        <w:rPr>
          <w:rFonts w:ascii="Arial" w:hAnsi="Arial"/>
          <w:sz w:val="16"/>
        </w:rPr>
        <w:t>385.20  این ضمیمه‌ها به گونه‌ای طراحی شده‌اند که به‌عنوان راهنمایی مفید برای تمرین‌کنندگان عدالت نظامی در حین آماده‌سازی یا اجرای دادگاه‌های نظامی باشند.</w:t>
      </w:r>
    </w:p>
    <w:p>
      <w:pPr>
        <w:spacing w:after="28" w:line="216" w:lineRule="auto"/>
        <w:ind w:left="259"/>
        <w:jc w:val="left"/>
      </w:pPr>
      <w:r>
        <w:rPr>
          <w:rFonts w:ascii="Arial" w:hAnsi="Arial"/>
          <w:color w:val="525252"/>
          <w:sz w:val="13"/>
        </w:rPr>
        <w:t>These appendices are designed to serve as helpful guidance for military justice practitioners as they prepare for or conduct courts-martial.</w:t>
      </w:r>
    </w:p>
    <w:p>
      <w:pPr>
        <w:spacing w:after="20" w:line="223" w:lineRule="auto"/>
        <w:jc w:val="right"/>
        <w:bidi/>
      </w:pPr>
      <w:r>
        <w:rPr>
          <w:rFonts w:ascii="Arial" w:hAnsi="Arial"/>
          <w:sz w:val="16"/>
        </w:rPr>
        <w:t>385.21  پیشینیان.</w:t>
      </w:r>
    </w:p>
    <w:p>
      <w:pPr>
        <w:spacing w:after="28" w:line="216" w:lineRule="auto"/>
        <w:ind w:left="259"/>
        <w:jc w:val="left"/>
      </w:pPr>
      <w:r>
        <w:rPr>
          <w:rFonts w:ascii="Arial" w:hAnsi="Arial"/>
          <w:color w:val="525252"/>
          <w:sz w:val="13"/>
        </w:rPr>
        <w:t>Precedents.</w:t>
      </w:r>
    </w:p>
    <w:p>
      <w:pPr>
        <w:spacing w:after="20" w:line="223" w:lineRule="auto"/>
        <w:jc w:val="right"/>
        <w:bidi/>
      </w:pPr>
      <w:r>
        <w:rPr>
          <w:rFonts w:ascii="Arial" w:hAnsi="Arial"/>
          <w:sz w:val="16"/>
        </w:rPr>
        <w:t>385.22  سوابق، رکن چهارم در نظام قضایی نظامی، به تصمیمات قبلی دادگاه‌های تجدیدنظر نیروهای مسلح و همچنین تصمیمات دادگاه‌های فدرال و ایالتی در موارد خاص اشاره دارد.</w:t>
      </w:r>
    </w:p>
    <w:p>
      <w:pPr>
        <w:spacing w:after="28" w:line="216" w:lineRule="auto"/>
        <w:ind w:left="259"/>
        <w:jc w:val="left"/>
      </w:pPr>
      <w:r>
        <w:rPr>
          <w:rFonts w:ascii="Arial" w:hAnsi="Arial"/>
          <w:color w:val="525252"/>
          <w:sz w:val="13"/>
        </w:rPr>
        <w:t>Precedents, the fourth pillar in the military justice system, refer to the prior decisions of appellate courts of the armed forces, as well as decisions of federal and state courts in certain instances.</w:t>
      </w:r>
    </w:p>
    <w:p>
      <w:pPr>
        <w:spacing w:after="20" w:line="223" w:lineRule="auto"/>
        <w:jc w:val="right"/>
        <w:bidi/>
      </w:pPr>
      <w:r>
        <w:rPr>
          <w:rFonts w:ascii="Arial" w:hAnsi="Arial"/>
          <w:sz w:val="16"/>
        </w:rPr>
        <w:t>385.23  یکی از وظایف اصلی دادگاه‌های استیناف، حل و فصل سوالات بحث‌انگیز در مورد اینکه آیا قانون به درستی در مورد واقعیات هر دادگاه نظامی فردی اعمال شده است یا خیر.</w:t>
      </w:r>
    </w:p>
    <w:p>
      <w:pPr>
        <w:spacing w:after="28" w:line="216" w:lineRule="auto"/>
        <w:ind w:left="259"/>
        <w:jc w:val="left"/>
      </w:pPr>
      <w:r>
        <w:rPr>
          <w:rFonts w:ascii="Arial" w:hAnsi="Arial"/>
          <w:color w:val="525252"/>
          <w:sz w:val="13"/>
        </w:rPr>
        <w:t>One of the primary functions of appellate courts is to resolve contentious questions about whether the law was correctly applied to facts of any individual court-martial.</w:t>
      </w:r>
    </w:p>
    <w:p>
      <w:pPr>
        <w:spacing w:after="20" w:line="223" w:lineRule="auto"/>
        <w:jc w:val="right"/>
        <w:bidi/>
      </w:pPr>
      <w:r>
        <w:rPr>
          <w:rFonts w:ascii="Arial" w:hAnsi="Arial"/>
          <w:sz w:val="16"/>
        </w:rPr>
        <w:t>385.24  تصمیم دادگاه تجدیدنظر کیفری نیروی هوایی یا دادگاه مافوق آن، دادگاه تجدیدنظر نیروهای مسلح، معمولا به‌عنوان سابقه الزام آور در دادگاه‌های نظامی یا تجدیدنظر آتی که همان موضوع مطرح می‌شود، عمل می‌کند.</w:t>
      </w:r>
    </w:p>
    <w:p>
      <w:pPr>
        <w:spacing w:after="28" w:line="216" w:lineRule="auto"/>
        <w:ind w:left="259"/>
        <w:jc w:val="left"/>
      </w:pPr>
      <w:r>
        <w:rPr>
          <w:rFonts w:ascii="Arial" w:hAnsi="Arial"/>
          <w:color w:val="525252"/>
          <w:sz w:val="13"/>
        </w:rPr>
        <w:t>A decision of the Air Force Court of Criminal Appeals, or its superior court, the Court of Appeals for the Armed Forces, normally serves as binding precedent in future courts-martial or appeals where the same issue arises.</w:t>
      </w:r>
    </w:p>
    <w:p>
      <w:pPr>
        <w:spacing w:after="20" w:line="223" w:lineRule="auto"/>
        <w:jc w:val="right"/>
        <w:bidi/>
      </w:pPr>
      <w:r>
        <w:rPr>
          <w:rFonts w:ascii="Arial" w:hAnsi="Arial"/>
          <w:sz w:val="16"/>
        </w:rPr>
        <w:t>385.25  به‌علاوه، تصمیمات سایر دادگاه‌های نیروهای مسلح، به‌عنوان مثال، دادگاه تجدیدنظر جنایی ارتش، ممکن است به‌عنوان مرجع متقاعدکننده برای قضات و تمرین‌کنندگانی که موضوعات مشابه را بررسی می‌کنند، عمل کند.</w:t>
      </w:r>
    </w:p>
    <w:p>
      <w:pPr>
        <w:spacing w:after="28" w:line="216" w:lineRule="auto"/>
        <w:ind w:left="259"/>
        <w:jc w:val="left"/>
      </w:pPr>
      <w:r>
        <w:rPr>
          <w:rFonts w:ascii="Arial" w:hAnsi="Arial"/>
          <w:color w:val="525252"/>
          <w:sz w:val="13"/>
        </w:rPr>
        <w:t>Additionally, the decisions of other armed forces courts, e.g., the Army Court of Criminal Appeals, may serve as persuasive authority for judges and practitioners considering similar issues.</w:t>
      </w:r>
    </w:p>
    <w:p>
      <w:pPr>
        <w:spacing w:after="20" w:line="223" w:lineRule="auto"/>
        <w:jc w:val="right"/>
        <w:bidi/>
      </w:pPr>
      <w:r>
        <w:rPr>
          <w:rFonts w:ascii="Arial" w:hAnsi="Arial"/>
          <w:sz w:val="16"/>
        </w:rPr>
        <w:t>385.26  از نظر عملی، مواد تنبیهی، RCM و MRE قادر به رسیدگی به هر موضوع حقوقی احتمالی که ممکن است در دادگاه نظامی ایجاد شود، نیستند.</w:t>
      </w:r>
    </w:p>
    <w:p>
      <w:pPr>
        <w:spacing w:after="28" w:line="216" w:lineRule="auto"/>
        <w:ind w:left="259"/>
        <w:jc w:val="left"/>
      </w:pPr>
      <w:r>
        <w:rPr>
          <w:rFonts w:ascii="Arial" w:hAnsi="Arial"/>
          <w:color w:val="525252"/>
          <w:sz w:val="13"/>
        </w:rPr>
        <w:t>As a matter of practicality, the punitive articles, RCM, and MRE are unable to address every possible legal issue that can arise in a court-martial.</w:t>
      </w:r>
    </w:p>
    <w:p>
      <w:pPr>
        <w:spacing w:after="20" w:line="223" w:lineRule="auto"/>
        <w:jc w:val="right"/>
        <w:bidi/>
      </w:pPr>
      <w:r>
        <w:rPr>
          <w:rFonts w:ascii="Arial" w:hAnsi="Arial"/>
          <w:sz w:val="16"/>
        </w:rPr>
        <w:t>385.27  سوابق برای پرکردن این شکاف‌ها خدمت می‌کنند.</w:t>
      </w:r>
    </w:p>
    <w:p>
      <w:pPr>
        <w:spacing w:after="28" w:line="216" w:lineRule="auto"/>
        <w:ind w:left="259"/>
        <w:jc w:val="left"/>
      </w:pPr>
      <w:r>
        <w:rPr>
          <w:rFonts w:ascii="Arial" w:hAnsi="Arial"/>
          <w:color w:val="525252"/>
          <w:sz w:val="13"/>
        </w:rPr>
        <w:t>Precedents serve to fill those gaps.</w:t>
      </w:r>
    </w:p>
    <w:p>
      <w:pPr>
        <w:spacing w:before="60" w:after="28"/>
        <w:jc w:val="right"/>
        <w:bidi/>
      </w:pPr>
      <w:r>
        <w:rPr>
          <w:b/>
          <w:color w:val="1F4D78"/>
          <w:sz w:val="18"/>
        </w:rPr>
        <w:t>21.5. حقوق قانونی</w:t>
      </w:r>
    </w:p>
    <w:p>
      <w:pPr>
        <w:spacing w:after="20"/>
        <w:ind w:left="259"/>
        <w:jc w:val="left"/>
      </w:pPr>
      <w:r>
        <w:rPr>
          <w:color w:val="555555"/>
          <w:sz w:val="12"/>
        </w:rPr>
        <w:t>21.5. Legal Rights</w:t>
      </w:r>
    </w:p>
    <w:p>
      <w:pPr>
        <w:spacing w:after="20" w:line="223" w:lineRule="auto"/>
        <w:jc w:val="right"/>
        <w:bidi/>
      </w:pPr>
      <w:r>
        <w:rPr>
          <w:rFonts w:ascii="Arial" w:hAnsi="Arial"/>
          <w:sz w:val="16"/>
        </w:rPr>
        <w:t>385.29  اعضای نیروهای مسلح ایالات متحده از اکثر حقوق دادرسی دادرسی که غیرنظامیان در پرونده‌های جنایی از آن برخوردارند، از جمله حفاظت در برابر خود-مجرم سازی غیرارادی و حق برخورداری از وکیل، برخوردار هستند.</w:t>
      </w:r>
    </w:p>
    <w:p>
      <w:pPr>
        <w:spacing w:after="28" w:line="216" w:lineRule="auto"/>
        <w:ind w:left="259"/>
        <w:jc w:val="left"/>
      </w:pPr>
      <w:r>
        <w:rPr>
          <w:rFonts w:ascii="Arial" w:hAnsi="Arial"/>
          <w:color w:val="525252"/>
          <w:sz w:val="13"/>
        </w:rPr>
        <w:t>Members of the U.S. Armed Forces are afforded most of the procedural due process rights enjoyed by civilians in criminal cases, including protection against involuntary self-incrimination and the right to counsel.</w:t>
      </w:r>
    </w:p>
    <w:p>
      <w:pPr>
        <w:spacing w:after="20" w:line="223" w:lineRule="auto"/>
        <w:jc w:val="right"/>
        <w:bidi/>
      </w:pPr>
      <w:r>
        <w:rPr>
          <w:rFonts w:ascii="Arial" w:hAnsi="Arial"/>
          <w:sz w:val="16"/>
        </w:rPr>
        <w:t>385.30  با این حال، دادگاه عالی و دادگاه‌های تجدیدنظر نظامی بارها اعلام کرده‌اند که قانون اساسی و منشور حقوق به‌طور کامل در مورد دادگاه‌های نظامی اعمال نمی‌شود.</w:t>
      </w:r>
    </w:p>
    <w:p>
      <w:pPr>
        <w:spacing w:after="28" w:line="216" w:lineRule="auto"/>
        <w:ind w:left="259"/>
        <w:jc w:val="left"/>
      </w:pPr>
      <w:r>
        <w:rPr>
          <w:rFonts w:ascii="Arial" w:hAnsi="Arial"/>
          <w:color w:val="525252"/>
          <w:sz w:val="13"/>
        </w:rPr>
        <w:t>However, the Supreme Court and military appellate courts have repeatedly held that the Constitution and Bill of Rights do not apply in their entirety to courts-martial.</w:t>
      </w:r>
    </w:p>
    <w:p>
      <w:pPr>
        <w:spacing w:after="20" w:line="223" w:lineRule="auto"/>
        <w:jc w:val="right"/>
        <w:bidi/>
      </w:pPr>
      <w:r>
        <w:rPr>
          <w:rFonts w:ascii="Arial" w:hAnsi="Arial"/>
          <w:sz w:val="16"/>
        </w:rPr>
        <w:t>385.31  به‌عنوان مثال،</w:t>
      </w:r>
    </w:p>
    <w:p>
      <w:pPr>
        <w:spacing w:after="28" w:line="216" w:lineRule="auto"/>
        <w:ind w:left="259"/>
        <w:jc w:val="left"/>
      </w:pPr>
      <w:r>
        <w:rPr>
          <w:rFonts w:ascii="Arial" w:hAnsi="Arial"/>
          <w:color w:val="525252"/>
          <w:sz w:val="13"/>
        </w:rPr>
        <w:t>For instance,</w:t>
      </w:r>
    </w:p>
    <w:p>
      <w:r>
        <w:br w:type="page"/>
      </w:r>
    </w:p>
    <w:p>
      <w:pPr>
        <w:spacing w:after="60"/>
        <w:jc w:val="right"/>
        <w:bidi/>
      </w:pPr>
      <w:r>
        <w:rPr>
          <w:rFonts w:ascii="Arial" w:hAnsi="Arial"/>
          <w:b/>
          <w:color w:val="1F4D78"/>
          <w:sz w:val="19"/>
        </w:rPr>
        <w:t>هفتهٔ 386  |  صفحهٔ منبع: 402</w:t>
      </w:r>
    </w:p>
    <w:p>
      <w:pPr>
        <w:spacing w:after="20" w:line="223" w:lineRule="auto"/>
        <w:jc w:val="right"/>
        <w:bidi/>
      </w:pPr>
      <w:r>
        <w:rPr>
          <w:rFonts w:ascii="Arial" w:hAnsi="Arial"/>
          <w:sz w:val="16"/>
        </w:rPr>
        <w:t>386.01  هیئت‌های منصفه دادگاه نظامی - که هیئت‌ها نامیده می‌شوند - برای محکوم کردن اعضای یک جرم کیفری (به استثنای موارد مرگ، به معنای مواردی که مجازات اعدام یک مجازات مجاز است) لازم نیست به اتفاق آرا رأی صادر کنند.</w:t>
      </w:r>
    </w:p>
    <w:p>
      <w:pPr>
        <w:spacing w:after="28" w:line="216" w:lineRule="auto"/>
        <w:ind w:left="259"/>
        <w:jc w:val="left"/>
      </w:pPr>
      <w:r>
        <w:rPr>
          <w:rFonts w:ascii="Arial" w:hAnsi="Arial"/>
          <w:color w:val="525252"/>
          <w:sz w:val="13"/>
        </w:rPr>
        <w:t>court-martial juries—called panels—are not required to reach a unanimous verdict in order to convict members of a criminal offense (with the exception of capital cases, meaning cases where the death penalty is an authorized punishment).</w:t>
      </w:r>
    </w:p>
    <w:p>
      <w:pPr>
        <w:spacing w:after="20" w:line="223" w:lineRule="auto"/>
        <w:jc w:val="right"/>
        <w:bidi/>
      </w:pPr>
      <w:r>
        <w:rPr>
          <w:rFonts w:ascii="Arial" w:hAnsi="Arial"/>
          <w:sz w:val="16"/>
        </w:rPr>
        <w:t>386.02  شکایت از اشتباهات موضوع ماده ۱۳۸.</w:t>
      </w:r>
    </w:p>
    <w:p>
      <w:pPr>
        <w:spacing w:after="28" w:line="216" w:lineRule="auto"/>
        <w:ind w:left="259"/>
        <w:jc w:val="left"/>
      </w:pPr>
      <w:r>
        <w:rPr>
          <w:rFonts w:ascii="Arial" w:hAnsi="Arial"/>
          <w:color w:val="525252"/>
          <w:sz w:val="13"/>
        </w:rPr>
        <w:t>Complaints of Wrongs under Article 138.</w:t>
      </w:r>
    </w:p>
    <w:p>
      <w:pPr>
        <w:spacing w:after="20" w:line="223" w:lineRule="auto"/>
        <w:jc w:val="right"/>
        <w:bidi/>
      </w:pPr>
      <w:r>
        <w:rPr>
          <w:rFonts w:ascii="Arial" w:hAnsi="Arial"/>
          <w:sz w:val="16"/>
        </w:rPr>
        <w:t>386.03  ماده ۱۳۸، UCMJ، حکمی برای حمایت از حقوق اعضا و رسیدگی به شکایات است.</w:t>
      </w:r>
    </w:p>
    <w:p>
      <w:pPr>
        <w:spacing w:after="28" w:line="216" w:lineRule="auto"/>
        <w:ind w:left="259"/>
        <w:jc w:val="left"/>
      </w:pPr>
      <w:r>
        <w:rPr>
          <w:rFonts w:ascii="Arial" w:hAnsi="Arial"/>
          <w:color w:val="525252"/>
          <w:sz w:val="13"/>
        </w:rPr>
        <w:t>Article 138, UCMJ, is a provision for protecting members’ rights and for addressing grievances.</w:t>
      </w:r>
    </w:p>
    <w:p>
      <w:pPr>
        <w:spacing w:after="20" w:line="223" w:lineRule="auto"/>
        <w:jc w:val="right"/>
        <w:bidi/>
      </w:pPr>
      <w:r>
        <w:rPr>
          <w:rFonts w:ascii="Arial" w:hAnsi="Arial"/>
          <w:sz w:val="16"/>
        </w:rPr>
        <w:t>386.04  اعضای نیروهای مسلح ایالات متحده که معتقدند توسط افسر فرمانده خود مورد ظلم قرار گرفته‌اند، می‌توانند به‌طور غیررسمی از افسر فرمانده و در صورت رد درخواست آنها از مقام مافوق جبران خسارت کنند.</w:t>
      </w:r>
    </w:p>
    <w:p>
      <w:pPr>
        <w:spacing w:after="28" w:line="216" w:lineRule="auto"/>
        <w:ind w:left="259"/>
        <w:jc w:val="left"/>
      </w:pPr>
      <w:r>
        <w:rPr>
          <w:rFonts w:ascii="Arial" w:hAnsi="Arial"/>
          <w:color w:val="525252"/>
          <w:sz w:val="13"/>
        </w:rPr>
        <w:t>Members of the U.S. Armed Forces who believe they have been wronged by their commanding officer may seek redress with the commanding officer informally, and then with a superior authority if their request is denied.</w:t>
      </w:r>
    </w:p>
    <w:p>
      <w:pPr>
        <w:spacing w:after="20" w:line="223" w:lineRule="auto"/>
        <w:jc w:val="right"/>
        <w:bidi/>
      </w:pPr>
      <w:r>
        <w:rPr>
          <w:rFonts w:ascii="Arial" w:hAnsi="Arial"/>
          <w:sz w:val="16"/>
        </w:rPr>
        <w:t>386.05  شکایت ماده ۱۳۸ که به نحو مقتضی تنظیم شده باشد، نهایتا با رسیدگی و اقدام مرجع تشکیل دهنده دادگاه نظامی عمومی صلاحیتدار فرماندهی که اقدامات موضوع شکایت است، خاتمه می‌یابد.</w:t>
      </w:r>
    </w:p>
    <w:p>
      <w:pPr>
        <w:spacing w:after="28" w:line="216" w:lineRule="auto"/>
        <w:ind w:left="259"/>
        <w:jc w:val="left"/>
      </w:pPr>
      <w:r>
        <w:rPr>
          <w:rFonts w:ascii="Arial" w:hAnsi="Arial"/>
          <w:color w:val="525252"/>
          <w:sz w:val="13"/>
        </w:rPr>
        <w:t>A properly filed Article 138 complaint ultimately ends with review and action by the general court-martial convening authority with jurisdiction over the commanding officer whose actions are the subject of the complaint.</w:t>
      </w:r>
    </w:p>
    <w:p>
      <w:pPr>
        <w:spacing w:after="20" w:line="223" w:lineRule="auto"/>
        <w:jc w:val="right"/>
        <w:bidi/>
      </w:pPr>
      <w:r>
        <w:rPr>
          <w:rFonts w:ascii="Arial" w:hAnsi="Arial"/>
          <w:sz w:val="16"/>
        </w:rPr>
        <w:t>386.06  با این حال، همه شکایات برای رسیدگی از طریق شکایت ماده ۱۳۸ مناسب نیستند.</w:t>
      </w:r>
    </w:p>
    <w:p>
      <w:pPr>
        <w:spacing w:after="28" w:line="216" w:lineRule="auto"/>
        <w:ind w:left="259"/>
        <w:jc w:val="left"/>
      </w:pPr>
      <w:r>
        <w:rPr>
          <w:rFonts w:ascii="Arial" w:hAnsi="Arial"/>
          <w:color w:val="525252"/>
          <w:sz w:val="13"/>
        </w:rPr>
        <w:t>However, not all grievances are appropriate for redress through an Article 138 complaint.</w:t>
      </w:r>
    </w:p>
    <w:p>
      <w:pPr>
        <w:spacing w:after="20" w:line="223" w:lineRule="auto"/>
        <w:jc w:val="right"/>
        <w:bidi/>
      </w:pPr>
      <w:r>
        <w:rPr>
          <w:rFonts w:ascii="Arial" w:hAnsi="Arial"/>
          <w:sz w:val="16"/>
        </w:rPr>
        <w:t>386.07  هر حادثه نامطلوبی که مراحل تجدیدنظر و رسیدگی خاص خود را داشته باشد به‌طور معمول نمی‌تواند موضوع شکایت ماده ۱۳۸ باشد.</w:t>
      </w:r>
    </w:p>
    <w:p>
      <w:pPr>
        <w:spacing w:after="28" w:line="216" w:lineRule="auto"/>
        <w:ind w:left="259"/>
        <w:jc w:val="left"/>
      </w:pPr>
      <w:r>
        <w:rPr>
          <w:rFonts w:ascii="Arial" w:hAnsi="Arial"/>
          <w:color w:val="525252"/>
          <w:sz w:val="13"/>
        </w:rPr>
        <w:t>Any adverse event that has its own procedures for appeal and redress normally cannot be made the subject of an Article 138 complaint.</w:t>
      </w:r>
    </w:p>
    <w:p>
      <w:pPr>
        <w:spacing w:after="20" w:line="223" w:lineRule="auto"/>
        <w:jc w:val="right"/>
        <w:bidi/>
      </w:pPr>
      <w:r>
        <w:rPr>
          <w:rFonts w:ascii="Arial" w:hAnsi="Arial"/>
          <w:sz w:val="16"/>
        </w:rPr>
        <w:t>386.08  به‌عنوان مثال، محکومیت در دادگاه نظامی، مجازات غیرقانونی ماده ۱۵، یا گزارش ارزیابی نامطلوب ثبت‌نام شده، همه فرآیندهای خاص خود را برای تجدید نظر دارند.</w:t>
      </w:r>
    </w:p>
    <w:p>
      <w:pPr>
        <w:spacing w:after="28" w:line="216" w:lineRule="auto"/>
        <w:ind w:left="259"/>
        <w:jc w:val="left"/>
      </w:pPr>
      <w:r>
        <w:rPr>
          <w:rFonts w:ascii="Arial" w:hAnsi="Arial"/>
          <w:color w:val="525252"/>
          <w:sz w:val="13"/>
        </w:rPr>
        <w:t>For instance, a conviction at court-martial, Article 15 nonjudicial punishment, or poor enlisted evaluation report, all have their own processes for appeal.</w:t>
      </w:r>
    </w:p>
    <w:p>
      <w:pPr>
        <w:spacing w:after="20" w:line="223" w:lineRule="auto"/>
        <w:jc w:val="right"/>
        <w:bidi/>
      </w:pPr>
      <w:r>
        <w:rPr>
          <w:rFonts w:ascii="Arial" w:hAnsi="Arial"/>
          <w:sz w:val="16"/>
        </w:rPr>
        <w:t>386.09  شکایت ماده ۱۳۸ در مورد نتیجه چنین رویدادی قابل بررسی نیست.</w:t>
      </w:r>
    </w:p>
    <w:p>
      <w:pPr>
        <w:spacing w:after="28" w:line="216" w:lineRule="auto"/>
        <w:ind w:left="259"/>
        <w:jc w:val="left"/>
      </w:pPr>
      <w:r>
        <w:rPr>
          <w:rFonts w:ascii="Arial" w:hAnsi="Arial"/>
          <w:color w:val="525252"/>
          <w:sz w:val="13"/>
        </w:rPr>
        <w:t>An Article 138 complaint about the outcome of such an event is not eligible for review.</w:t>
      </w:r>
    </w:p>
    <w:p>
      <w:pPr>
        <w:spacing w:after="20" w:line="223" w:lineRule="auto"/>
        <w:jc w:val="right"/>
        <w:bidi/>
      </w:pPr>
      <w:r>
        <w:rPr>
          <w:rFonts w:ascii="Arial" w:hAnsi="Arial"/>
          <w:sz w:val="16"/>
        </w:rPr>
        <w:t>386.10  در غیاب شرایط غیرعادی، عضو باید ظرف ۹۰ روز تقویمی پس از کشف اشتباه مورد شکایت، درخواست جبران خسارت کند و شکایت باید حاوی تمام شواهد پشتیبان موجود باشد.</w:t>
      </w:r>
    </w:p>
    <w:p>
      <w:pPr>
        <w:spacing w:after="28" w:line="216" w:lineRule="auto"/>
        <w:ind w:left="259"/>
        <w:jc w:val="left"/>
      </w:pPr>
      <w:r>
        <w:rPr>
          <w:rFonts w:ascii="Arial" w:hAnsi="Arial"/>
          <w:color w:val="525252"/>
          <w:sz w:val="13"/>
        </w:rPr>
        <w:t>Absent unusual circumstances, the member must apply for redress within 90 calendar days of the discovery of the wrong complained of, and the complaint should contain all available supporting evidence.</w:t>
      </w:r>
    </w:p>
    <w:p>
      <w:pPr>
        <w:spacing w:after="20" w:line="223" w:lineRule="auto"/>
        <w:jc w:val="right"/>
        <w:bidi/>
      </w:pPr>
      <w:r>
        <w:rPr>
          <w:rFonts w:ascii="Arial" w:hAnsi="Arial"/>
          <w:sz w:val="16"/>
        </w:rPr>
        <w:t>386.11  AFI ۵۱-۵۰۵، شکایات از اشتباهات طبق ماده ۱۳۸، قانون متحدالشکل عدالت نظامی، حاوی راهنمایی دقیق در مورد الزامات ماهوی و رویه‌ای برای طرح شکایت ماده ۱۳۸ است.</w:t>
      </w:r>
    </w:p>
    <w:p>
      <w:pPr>
        <w:spacing w:after="28" w:line="216" w:lineRule="auto"/>
        <w:ind w:left="259"/>
        <w:jc w:val="left"/>
      </w:pPr>
      <w:r>
        <w:rPr>
          <w:rFonts w:ascii="Arial" w:hAnsi="Arial"/>
          <w:color w:val="525252"/>
          <w:sz w:val="13"/>
        </w:rPr>
        <w:t>AFI 51-505, Complaints of Wrongs Under Article 138, Uniform Code of Military Justice, contains detailed guidance of the substantive and procedural requirements for filing an Article 138 complaint.</w:t>
      </w:r>
    </w:p>
    <w:p>
      <w:pPr>
        <w:spacing w:after="20" w:line="223" w:lineRule="auto"/>
        <w:jc w:val="right"/>
        <w:bidi/>
      </w:pPr>
      <w:r>
        <w:rPr>
          <w:rFonts w:ascii="Arial" w:hAnsi="Arial"/>
          <w:sz w:val="16"/>
        </w:rPr>
        <w:t>386.12  هوانوردانی که این اقدام را در نظر می‌گیرند، ممکن است برای مشاوره با وکیل مدافع منطقه خدماتی خود مشورت کنند و باید اطمینان حاصل کنند که آنها کاملا با الزامات AFI ۵۱-۵۰۵ مطابقت دارند.</w:t>
      </w:r>
    </w:p>
    <w:p>
      <w:pPr>
        <w:spacing w:after="28" w:line="216" w:lineRule="auto"/>
        <w:ind w:left="259"/>
        <w:jc w:val="left"/>
      </w:pPr>
      <w:r>
        <w:rPr>
          <w:rFonts w:ascii="Arial" w:hAnsi="Arial"/>
          <w:color w:val="525252"/>
          <w:sz w:val="13"/>
        </w:rPr>
        <w:t>Airmen considering this action may consult their servicing Area Defense Counsel for advice and should ensure that they comply strictly with the requirements of AFI 51- 505.</w:t>
      </w:r>
    </w:p>
    <w:p>
      <w:pPr>
        <w:spacing w:after="20" w:line="223" w:lineRule="auto"/>
        <w:jc w:val="right"/>
        <w:bidi/>
      </w:pPr>
      <w:r>
        <w:rPr>
          <w:rFonts w:ascii="Arial" w:hAnsi="Arial"/>
          <w:sz w:val="16"/>
        </w:rPr>
        <w:t>386.13  خودسرزنش اجباری ممنوع.</w:t>
      </w:r>
    </w:p>
    <w:p>
      <w:pPr>
        <w:spacing w:after="28" w:line="216" w:lineRule="auto"/>
        <w:ind w:left="259"/>
        <w:jc w:val="left"/>
      </w:pPr>
      <w:r>
        <w:rPr>
          <w:rFonts w:ascii="Arial" w:hAnsi="Arial"/>
          <w:color w:val="525252"/>
          <w:sz w:val="13"/>
        </w:rPr>
        <w:t>Compulsory Self-incrimination Prohibited.</w:t>
      </w:r>
    </w:p>
    <w:p>
      <w:pPr>
        <w:spacing w:after="20" w:line="223" w:lineRule="auto"/>
        <w:jc w:val="right"/>
        <w:bidi/>
      </w:pPr>
      <w:r>
        <w:rPr>
          <w:rFonts w:ascii="Arial" w:hAnsi="Arial"/>
          <w:sz w:val="16"/>
        </w:rPr>
        <w:t>386.14  پنجمین متمم قانون اساسی ایالات متحده می‌گوید که هیچ شخصی نباید مجبور شود علیه خود شاهد باشد.</w:t>
      </w:r>
    </w:p>
    <w:p>
      <w:pPr>
        <w:spacing w:after="28" w:line="216" w:lineRule="auto"/>
        <w:ind w:left="259"/>
        <w:jc w:val="left"/>
      </w:pPr>
      <w:r>
        <w:rPr>
          <w:rFonts w:ascii="Arial" w:hAnsi="Arial"/>
          <w:color w:val="525252"/>
          <w:sz w:val="13"/>
        </w:rPr>
        <w:t>The Fifth Amendment to the U.S. Constitution states that no person shall be compelled to be a witness against him or herself.</w:t>
      </w:r>
    </w:p>
    <w:p>
      <w:pPr>
        <w:spacing w:after="20" w:line="223" w:lineRule="auto"/>
        <w:jc w:val="right"/>
        <w:bidi/>
      </w:pPr>
      <w:r>
        <w:rPr>
          <w:rFonts w:ascii="Arial" w:hAnsi="Arial"/>
          <w:sz w:val="16"/>
        </w:rPr>
        <w:t>386.15  به همین ترتیب، ماده ۳۱ UCMJ این حق را منعکس می‌کند و استفاده از اظهارات غیرارادی علیه متهم را ممنوع می‌کند.</w:t>
      </w:r>
    </w:p>
    <w:p>
      <w:pPr>
        <w:spacing w:after="28" w:line="216" w:lineRule="auto"/>
        <w:ind w:left="259"/>
        <w:jc w:val="left"/>
      </w:pPr>
      <w:r>
        <w:rPr>
          <w:rFonts w:ascii="Arial" w:hAnsi="Arial"/>
          <w:color w:val="525252"/>
          <w:sz w:val="13"/>
        </w:rPr>
        <w:t>Similarly, Article 31, UCMJ, reflects this right and prohibits involuntary statements from being used against an accused.</w:t>
      </w:r>
    </w:p>
    <w:p>
      <w:pPr>
        <w:spacing w:after="20" w:line="223" w:lineRule="auto"/>
        <w:jc w:val="right"/>
        <w:bidi/>
      </w:pPr>
      <w:r>
        <w:rPr>
          <w:rFonts w:ascii="Arial" w:hAnsi="Arial"/>
          <w:sz w:val="16"/>
        </w:rPr>
        <w:t>386.16  بیانیه زمانی «غیرارادی» است که بر خلاف اصلاحیه پنجم، ماده ۳۱، یا از طریق استفاده از اجبار، نفوذ غیرقانونی، یا تحریک غیرقانونی به دست آمده باشد.</w:t>
      </w:r>
    </w:p>
    <w:p>
      <w:pPr>
        <w:spacing w:after="28" w:line="216" w:lineRule="auto"/>
        <w:ind w:left="259"/>
        <w:jc w:val="left"/>
      </w:pPr>
      <w:r>
        <w:rPr>
          <w:rFonts w:ascii="Arial" w:hAnsi="Arial"/>
          <w:color w:val="525252"/>
          <w:sz w:val="13"/>
        </w:rPr>
        <w:t>A statement is “involuntary” when obtained in violation of the Fifth Amendment, Article 31, or through the use of coercion, unlawful influence, or unlawful inducement.</w:t>
      </w:r>
    </w:p>
    <w:p>
      <w:pPr>
        <w:spacing w:after="20" w:line="223" w:lineRule="auto"/>
        <w:jc w:val="right"/>
        <w:bidi/>
      </w:pPr>
      <w:r>
        <w:rPr>
          <w:rFonts w:ascii="Arial" w:hAnsi="Arial"/>
          <w:sz w:val="16"/>
        </w:rPr>
        <w:t>386.17  UCMJ ایجاب می‌کند که قبل از بازجویی یا هرگونه درخواست برای بیانیه‌ای از سوی یک فرد مظنون به جرم، ابتدا باید ماهیت اتهام را به شخص گفته شود، توصیه شود که او مجبور نیست هیچ اظهاراتی در مورد جرم ارائه دهد، و هر اظهاراتی که می‌کند می‌تواند به‌عنوان مدرکی علیه او در دادگاه نظامی مورد استفاده قرار گیرد.</w:t>
      </w:r>
    </w:p>
    <w:p>
      <w:pPr>
        <w:spacing w:after="28" w:line="216" w:lineRule="auto"/>
        <w:ind w:left="259"/>
        <w:jc w:val="left"/>
      </w:pPr>
      <w:r>
        <w:rPr>
          <w:rFonts w:ascii="Arial" w:hAnsi="Arial"/>
          <w:color w:val="525252"/>
          <w:sz w:val="13"/>
        </w:rPr>
        <w:t>The UCMJ requires that prior to interrogation or any requests for a statement from a person suspected of an offense, the person must be first told of the nature of the accusation, advised that he or she does not have to make any statement regarding the offense, and that any statement he or she makes may be used as evidence against him or her in a trial by court-martial.</w:t>
      </w:r>
    </w:p>
    <w:p>
      <w:pPr>
        <w:spacing w:after="20" w:line="223" w:lineRule="auto"/>
        <w:jc w:val="right"/>
        <w:bidi/>
      </w:pPr>
      <w:r>
        <w:rPr>
          <w:rFonts w:ascii="Arial" w:hAnsi="Arial"/>
          <w:sz w:val="16"/>
        </w:rPr>
        <w:t>386.18  قبل از بازجویی، مظنون حق دارد با وکیل مدافع نظامی مشورت کند و چنین وکیلی در هنگام بازجویی حضور داشته باشد.</w:t>
      </w:r>
    </w:p>
    <w:p>
      <w:pPr>
        <w:spacing w:after="28" w:line="216" w:lineRule="auto"/>
        <w:ind w:left="259"/>
        <w:jc w:val="left"/>
      </w:pPr>
      <w:r>
        <w:rPr>
          <w:rFonts w:ascii="Arial" w:hAnsi="Arial"/>
          <w:color w:val="525252"/>
          <w:sz w:val="13"/>
        </w:rPr>
        <w:t>Prior to interrogation, the suspect is entitled to consult with military defense counsel and to have such counsel present at the questioning.</w:t>
      </w:r>
    </w:p>
    <w:p>
      <w:pPr>
        <w:spacing w:after="20" w:line="223" w:lineRule="auto"/>
        <w:jc w:val="right"/>
        <w:bidi/>
      </w:pPr>
      <w:r>
        <w:rPr>
          <w:rFonts w:ascii="Arial" w:hAnsi="Arial"/>
          <w:sz w:val="16"/>
        </w:rPr>
        <w:t>386.19  در صورت درخواست وکیل، بازجویی باید تا حضور وکیل متوقف شود.</w:t>
      </w:r>
    </w:p>
    <w:p>
      <w:pPr>
        <w:spacing w:after="28" w:line="216" w:lineRule="auto"/>
        <w:ind w:left="259"/>
        <w:jc w:val="left"/>
      </w:pPr>
      <w:r>
        <w:rPr>
          <w:rFonts w:ascii="Arial" w:hAnsi="Arial"/>
          <w:color w:val="525252"/>
          <w:sz w:val="13"/>
        </w:rPr>
        <w:t>If counsel is requested, questioning must cease until counsel is present.</w:t>
      </w:r>
    </w:p>
    <w:p>
      <w:pPr>
        <w:spacing w:after="20" w:line="223" w:lineRule="auto"/>
        <w:jc w:val="right"/>
        <w:bidi/>
      </w:pPr>
      <w:r>
        <w:rPr>
          <w:rFonts w:ascii="Arial" w:hAnsi="Arial"/>
          <w:sz w:val="16"/>
        </w:rPr>
        <w:t>386.20  هنگامی که شخص به درستی از حقوق خود مطلع شد، ممکن است از این حقوق چشم پوشی کند و تصمیم بگیرد که بیانیه بدهد.</w:t>
      </w:r>
    </w:p>
    <w:p>
      <w:pPr>
        <w:spacing w:after="28" w:line="216" w:lineRule="auto"/>
        <w:ind w:left="259"/>
        <w:jc w:val="left"/>
      </w:pPr>
      <w:r>
        <w:rPr>
          <w:rFonts w:ascii="Arial" w:hAnsi="Arial"/>
          <w:color w:val="525252"/>
          <w:sz w:val="13"/>
        </w:rPr>
        <w:t>Once properly advised of his or her rights, a person may waive these rights and choose to make a statement.</w:t>
      </w:r>
    </w:p>
    <w:p>
      <w:pPr>
        <w:spacing w:after="20" w:line="223" w:lineRule="auto"/>
        <w:jc w:val="right"/>
        <w:bidi/>
      </w:pPr>
      <w:r>
        <w:rPr>
          <w:rFonts w:ascii="Arial" w:hAnsi="Arial"/>
          <w:sz w:val="16"/>
        </w:rPr>
        <w:t>386.21  با فرض اینکه این معافیت آزادانه، آگاهانه و هوشمندانه انجام شود، هر اظهارات بعدی می‌تواند به‌عنوان مدرک در دادگاه نظامی یا سایر اقدامات قضایی یا اداری استفاده شود.</w:t>
      </w:r>
    </w:p>
    <w:p>
      <w:pPr>
        <w:spacing w:after="28" w:line="216" w:lineRule="auto"/>
        <w:ind w:left="259"/>
        <w:jc w:val="left"/>
      </w:pPr>
      <w:r>
        <w:rPr>
          <w:rFonts w:ascii="Arial" w:hAnsi="Arial"/>
          <w:color w:val="525252"/>
          <w:sz w:val="13"/>
        </w:rPr>
        <w:t>Assuming this waiver is made freely, knowingly, and intelligently, any subsequent statement can be used as evidence in a court-martial or other judicial or administrative proceedings.</w:t>
      </w:r>
    </w:p>
    <w:p>
      <w:pPr>
        <w:spacing w:after="20" w:line="223" w:lineRule="auto"/>
        <w:jc w:val="right"/>
        <w:bidi/>
      </w:pPr>
      <w:r>
        <w:rPr>
          <w:rFonts w:ascii="Arial" w:hAnsi="Arial"/>
          <w:sz w:val="16"/>
        </w:rPr>
        <w:t>386.22  حق وکالت.</w:t>
      </w:r>
    </w:p>
    <w:p>
      <w:pPr>
        <w:spacing w:after="28" w:line="216" w:lineRule="auto"/>
        <w:ind w:left="259"/>
        <w:jc w:val="left"/>
      </w:pPr>
      <w:r>
        <w:rPr>
          <w:rFonts w:ascii="Arial" w:hAnsi="Arial"/>
          <w:color w:val="525252"/>
          <w:sz w:val="13"/>
        </w:rPr>
        <w:t>Right to Counsel.</w:t>
      </w:r>
    </w:p>
    <w:p>
      <w:pPr>
        <w:spacing w:after="20" w:line="223" w:lineRule="auto"/>
        <w:jc w:val="right"/>
        <w:bidi/>
      </w:pPr>
      <w:r>
        <w:rPr>
          <w:rFonts w:ascii="Arial" w:hAnsi="Arial"/>
          <w:sz w:val="16"/>
        </w:rPr>
        <w:t>386.23  UCMJ به متهم این حق را می‌دهد که توسط یک وکیل مدافع نظامی در دادگاه‌های عمومی نظامی، دادگاه‌های ویژه نظامی و هر جلسه رسیدگی مقدماتی ماده ۳۲ وکالت داشته باشد.</w:t>
      </w:r>
    </w:p>
    <w:p>
      <w:pPr>
        <w:spacing w:after="28" w:line="216" w:lineRule="auto"/>
        <w:ind w:left="259"/>
        <w:jc w:val="left"/>
      </w:pPr>
      <w:r>
        <w:rPr>
          <w:rFonts w:ascii="Arial" w:hAnsi="Arial"/>
          <w:color w:val="525252"/>
          <w:sz w:val="13"/>
        </w:rPr>
        <w:t>The UCMJ provides an accused the right to be represented by a military defense counsel at general courts-martial, special courts-martial, and any Article 32 preliminary hearing.</w:t>
      </w:r>
    </w:p>
    <w:p>
      <w:pPr>
        <w:spacing w:after="20" w:line="223" w:lineRule="auto"/>
        <w:jc w:val="right"/>
        <w:bidi/>
      </w:pPr>
      <w:r>
        <w:rPr>
          <w:rFonts w:ascii="Arial" w:hAnsi="Arial"/>
          <w:sz w:val="16"/>
        </w:rPr>
        <w:t>386.24  اگرچه UCMJ به متهم حق داشتن وکیل در دادگاه‌های نظامی خلاصه نمی‌کند، یا در صورت مواجهه با مجازات غیرقانونی طبق ماده ۱۵، USAF عموما به‌عنوان یک موضوع خط‌مشی، وکیل دفاعی نظامی را در این انجمن‌ها ارائه می‌کند.</w:t>
      </w:r>
    </w:p>
    <w:p>
      <w:pPr>
        <w:spacing w:after="28" w:line="216" w:lineRule="auto"/>
        <w:ind w:left="259"/>
        <w:jc w:val="left"/>
      </w:pPr>
      <w:r>
        <w:rPr>
          <w:rFonts w:ascii="Arial" w:hAnsi="Arial"/>
          <w:color w:val="525252"/>
          <w:sz w:val="13"/>
        </w:rPr>
        <w:t>Although the UCMJ does not grant an accused the right to counsel at summary courts-martial, or when facing nonjudicial punishment under Article 15, the USAF generally provides military defense counsel in these forums as a matter of policy.</w:t>
      </w:r>
    </w:p>
    <w:p>
      <w:pPr>
        <w:spacing w:after="20" w:line="223" w:lineRule="auto"/>
        <w:jc w:val="right"/>
        <w:bidi/>
      </w:pPr>
      <w:r>
        <w:rPr>
          <w:rFonts w:ascii="Arial" w:hAnsi="Arial"/>
          <w:sz w:val="16"/>
        </w:rPr>
        <w:t>386.25  وکیل مدافع منطقه به اعضای USAF نمایندگی قانونی مستقل ارائه می‌کند.</w:t>
      </w:r>
    </w:p>
    <w:p>
      <w:pPr>
        <w:spacing w:after="28" w:line="216" w:lineRule="auto"/>
        <w:ind w:left="259"/>
        <w:jc w:val="left"/>
      </w:pPr>
      <w:r>
        <w:rPr>
          <w:rFonts w:ascii="Arial" w:hAnsi="Arial"/>
          <w:color w:val="525252"/>
          <w:sz w:val="13"/>
        </w:rPr>
        <w:t>The Area Defense Counsel provides USAF members independent legal representation.</w:t>
      </w:r>
    </w:p>
    <w:p>
      <w:pPr>
        <w:spacing w:after="20" w:line="223" w:lineRule="auto"/>
        <w:jc w:val="right"/>
        <w:bidi/>
      </w:pPr>
      <w:r>
        <w:rPr>
          <w:rFonts w:ascii="Arial" w:hAnsi="Arial"/>
          <w:sz w:val="16"/>
        </w:rPr>
        <w:t>386.26  همه وکیل مدافع منطقه، وکلای قاضی هستند که فارغ‌التحصیل یک دانشکده حقوق معتبر، اعضای وکلای یک دادگاه فدرال یا بالاترین دادگاه یک ایالت هستند و دارای گواهینامه انجام وظایف دفاعی توسط قاضی وکیل کل نیروی هوایی هستند.</w:t>
      </w:r>
    </w:p>
    <w:p>
      <w:pPr>
        <w:spacing w:after="28" w:line="216" w:lineRule="auto"/>
        <w:ind w:left="259"/>
        <w:jc w:val="left"/>
      </w:pPr>
      <w:r>
        <w:rPr>
          <w:rFonts w:ascii="Arial" w:hAnsi="Arial"/>
          <w:color w:val="525252"/>
          <w:sz w:val="13"/>
        </w:rPr>
        <w:t>All Area Defense Counsel are judge advocates who are graduates of an accredited law school, members of the bar of a federal court or highest court of a State and who are certified to perform defense duties by The Judge Advocate General of the Air Force.</w:t>
      </w:r>
    </w:p>
    <w:p>
      <w:pPr>
        <w:spacing w:after="20" w:line="223" w:lineRule="auto"/>
        <w:jc w:val="right"/>
        <w:bidi/>
      </w:pPr>
      <w:r>
        <w:rPr>
          <w:rFonts w:ascii="Arial" w:hAnsi="Arial"/>
          <w:sz w:val="16"/>
        </w:rPr>
        <w:t>386.27  هوانوردان مشکوک به تخلف یا مواجهه با اقدامات اداری نامطلوب، مشاوره حقوقی محرمانه و رایگان از یک وکیل قاضی مجرب خارج از زنجیره فرماندهی محلی دریافت می‌کنند که از تضاد منافع یا نفوذ فرماندهی محافظت می‌کند.</w:t>
      </w:r>
    </w:p>
    <w:p>
      <w:pPr>
        <w:spacing w:after="28" w:line="216" w:lineRule="auto"/>
        <w:ind w:left="259"/>
        <w:jc w:val="left"/>
      </w:pPr>
      <w:r>
        <w:rPr>
          <w:rFonts w:ascii="Arial" w:hAnsi="Arial"/>
          <w:color w:val="525252"/>
          <w:sz w:val="13"/>
        </w:rPr>
        <w:t>Airmen suspected of an offense or facing adverse administrative actions receive free, confidential legal advice from an experienced judge advocate outside the local chain of command, which guards against conflicts of interest or command influence.</w:t>
      </w:r>
    </w:p>
    <w:p>
      <w:pPr>
        <w:spacing w:after="20" w:line="223" w:lineRule="auto"/>
        <w:jc w:val="right"/>
        <w:bidi/>
      </w:pPr>
      <w:r>
        <w:rPr>
          <w:rFonts w:ascii="Arial" w:hAnsi="Arial"/>
          <w:sz w:val="16"/>
        </w:rPr>
        <w:t>386.28  اگرچه در اکثر پایگاه‌های اصلی مستقر هستند، اما مشاوران دفاع منطقه برای یک زنجیره فرماندهی جداگانه کار می‌کنند و مستقیما به وکلای دفاعی ارشد گزارش می‌دهند.</w:t>
      </w:r>
    </w:p>
    <w:p>
      <w:pPr>
        <w:spacing w:after="28" w:line="216" w:lineRule="auto"/>
        <w:ind w:left="259"/>
        <w:jc w:val="left"/>
      </w:pPr>
      <w:r>
        <w:rPr>
          <w:rFonts w:ascii="Arial" w:hAnsi="Arial"/>
          <w:color w:val="525252"/>
          <w:sz w:val="13"/>
        </w:rPr>
        <w:t>Although located at most major bases, Area Defense Counsel work for a separate chain of command and report directly to senior defense attorneys.</w:t>
      </w:r>
    </w:p>
    <w:p>
      <w:pPr>
        <w:spacing w:after="20" w:line="223" w:lineRule="auto"/>
        <w:jc w:val="right"/>
        <w:bidi/>
      </w:pPr>
      <w:r>
        <w:rPr>
          <w:rFonts w:ascii="Arial" w:hAnsi="Arial"/>
          <w:sz w:val="16"/>
        </w:rPr>
        <w:t>386.29  وکیل مدافع منطقه به هیچ‌کس در سطح پایگاه گزارش نمی‌دهد، از جمله</w:t>
      </w:r>
    </w:p>
    <w:p>
      <w:pPr>
        <w:spacing w:after="28" w:line="216" w:lineRule="auto"/>
        <w:ind w:left="259"/>
        <w:jc w:val="left"/>
      </w:pPr>
      <w:r>
        <w:rPr>
          <w:rFonts w:ascii="Arial" w:hAnsi="Arial"/>
          <w:color w:val="525252"/>
          <w:sz w:val="13"/>
        </w:rPr>
        <w:t>The Area Defense Counsel does not report to anyone at base level, including</w:t>
      </w:r>
    </w:p>
    <w:p>
      <w:r>
        <w:br w:type="page"/>
      </w:r>
    </w:p>
    <w:p>
      <w:pPr>
        <w:spacing w:after="60"/>
        <w:jc w:val="right"/>
        <w:bidi/>
      </w:pPr>
      <w:r>
        <w:rPr>
          <w:rFonts w:ascii="Arial" w:hAnsi="Arial"/>
          <w:b/>
          <w:color w:val="1F4D78"/>
          <w:sz w:val="19"/>
        </w:rPr>
        <w:t>هفتهٔ 387  |  صفحهٔ منبع: 403</w:t>
      </w:r>
    </w:p>
    <w:p>
      <w:pPr>
        <w:spacing w:after="20" w:line="223" w:lineRule="auto"/>
        <w:jc w:val="right"/>
        <w:bidi/>
      </w:pPr>
      <w:r>
        <w:rPr>
          <w:rFonts w:ascii="Arial" w:hAnsi="Arial"/>
          <w:sz w:val="16"/>
        </w:rPr>
        <w:t>387.01  فرمانده جناح یا وکیل دادگستری ستاد.</w:t>
      </w:r>
    </w:p>
    <w:p>
      <w:pPr>
        <w:spacing w:after="28" w:line="216" w:lineRule="auto"/>
        <w:ind w:left="259"/>
        <w:jc w:val="left"/>
      </w:pPr>
      <w:r>
        <w:rPr>
          <w:rFonts w:ascii="Arial" w:hAnsi="Arial"/>
          <w:color w:val="525252"/>
          <w:sz w:val="13"/>
        </w:rPr>
        <w:t>the wing commander or the base Staff Judge Advocate.</w:t>
      </w:r>
    </w:p>
    <w:p>
      <w:pPr>
        <w:spacing w:after="20" w:line="223" w:lineRule="auto"/>
        <w:jc w:val="right"/>
        <w:bidi/>
      </w:pPr>
      <w:r>
        <w:rPr>
          <w:rFonts w:ascii="Arial" w:hAnsi="Arial"/>
          <w:sz w:val="16"/>
        </w:rPr>
        <w:t>387.02  این زنجیره فرماندهی مجزا وفاداری کامل به مشتری را تضمین می‌کند.</w:t>
      </w:r>
    </w:p>
    <w:p>
      <w:pPr>
        <w:spacing w:after="28" w:line="216" w:lineRule="auto"/>
        <w:ind w:left="259"/>
        <w:jc w:val="left"/>
      </w:pPr>
      <w:r>
        <w:rPr>
          <w:rFonts w:ascii="Arial" w:hAnsi="Arial"/>
          <w:color w:val="525252"/>
          <w:sz w:val="13"/>
        </w:rPr>
        <w:t>This separate chain of command ensures undivided loyalty to the client.</w:t>
      </w:r>
    </w:p>
    <w:p>
      <w:r>
        <w:br w:type="page"/>
      </w:r>
    </w:p>
    <w:p>
      <w:pPr>
        <w:spacing w:after="60"/>
        <w:jc w:val="right"/>
        <w:bidi/>
      </w:pPr>
      <w:r>
        <w:rPr>
          <w:rFonts w:ascii="Arial" w:hAnsi="Arial"/>
          <w:b/>
          <w:color w:val="1F4D78"/>
          <w:sz w:val="19"/>
        </w:rPr>
        <w:t>هفتهٔ 388  |  صفحهٔ منبع: 404</w:t>
      </w:r>
    </w:p>
    <w:p>
      <w:pPr>
        <w:spacing w:before="60" w:after="28"/>
        <w:jc w:val="right"/>
        <w:bidi/>
      </w:pPr>
      <w:r>
        <w:rPr>
          <w:b/>
          <w:color w:val="1F4D78"/>
          <w:sz w:val="18"/>
        </w:rPr>
        <w:t>بخش 21B-اجرای قانونی</w:t>
      </w:r>
    </w:p>
    <w:p>
      <w:pPr>
        <w:spacing w:after="20"/>
        <w:ind w:left="259"/>
        <w:jc w:val="left"/>
      </w:pPr>
      <w:r>
        <w:rPr>
          <w:color w:val="555555"/>
          <w:sz w:val="12"/>
        </w:rPr>
        <w:t>Section 21B—Legal Enforcement</w:t>
      </w:r>
    </w:p>
    <w:p>
      <w:pPr>
        <w:spacing w:before="60" w:after="28"/>
        <w:jc w:val="right"/>
        <w:bidi/>
      </w:pPr>
      <w:r>
        <w:rPr>
          <w:b/>
          <w:color w:val="1F4D78"/>
          <w:sz w:val="18"/>
        </w:rPr>
        <w:t>21.6. وظایف اجرای قانون</w:t>
      </w:r>
    </w:p>
    <w:p>
      <w:pPr>
        <w:spacing w:after="20"/>
        <w:ind w:left="259"/>
        <w:jc w:val="left"/>
      </w:pPr>
      <w:r>
        <w:rPr>
          <w:color w:val="555555"/>
          <w:sz w:val="12"/>
        </w:rPr>
        <w:t>21.6. Law Enforcement Duties</w:t>
      </w:r>
    </w:p>
    <w:p>
      <w:pPr>
        <w:spacing w:after="20" w:line="223" w:lineRule="auto"/>
        <w:jc w:val="right"/>
        <w:bidi/>
      </w:pPr>
      <w:r>
        <w:rPr>
          <w:rFonts w:ascii="Arial" w:hAnsi="Arial"/>
          <w:sz w:val="16"/>
        </w:rPr>
        <w:t>388.03  همه هوانوردان باید با قوانین دستگیری، دستگیری و حبس متخلفان قانون متحدالشکل عدالت نظامی (UCMJ) آشنا باشند.</w:t>
      </w:r>
    </w:p>
    <w:p>
      <w:pPr>
        <w:spacing w:after="28" w:line="216" w:lineRule="auto"/>
        <w:ind w:left="259"/>
        <w:jc w:val="left"/>
      </w:pPr>
      <w:r>
        <w:rPr>
          <w:rFonts w:ascii="Arial" w:hAnsi="Arial"/>
          <w:color w:val="525252"/>
          <w:sz w:val="13"/>
        </w:rPr>
        <w:t>All Airmen should be familiar with the rules for apprehending, arresting, and confining violators of the Uniform Code of Military Justice (UCMJ).</w:t>
      </w:r>
    </w:p>
    <w:p>
      <w:pPr>
        <w:spacing w:after="20" w:line="223" w:lineRule="auto"/>
        <w:jc w:val="right"/>
        <w:bidi/>
      </w:pPr>
      <w:r>
        <w:rPr>
          <w:rFonts w:ascii="Arial" w:hAnsi="Arial"/>
          <w:sz w:val="16"/>
        </w:rPr>
        <w:t>388.04  دلهره.</w:t>
      </w:r>
    </w:p>
    <w:p>
      <w:pPr>
        <w:spacing w:after="28" w:line="216" w:lineRule="auto"/>
        <w:ind w:left="259"/>
        <w:jc w:val="left"/>
      </w:pPr>
      <w:r>
        <w:rPr>
          <w:rFonts w:ascii="Arial" w:hAnsi="Arial"/>
          <w:color w:val="525252"/>
          <w:sz w:val="13"/>
        </w:rPr>
        <w:t>Apprehension.</w:t>
      </w:r>
    </w:p>
    <w:p>
      <w:pPr>
        <w:spacing w:after="20" w:line="223" w:lineRule="auto"/>
        <w:jc w:val="right"/>
        <w:bidi/>
      </w:pPr>
      <w:r>
        <w:rPr>
          <w:rFonts w:ascii="Arial" w:hAnsi="Arial"/>
          <w:sz w:val="16"/>
        </w:rPr>
        <w:t>388.05  دستگیری عبارت است از بازداشت شخص و معادل دستگیری غیرنظامی.</w:t>
      </w:r>
    </w:p>
    <w:p>
      <w:pPr>
        <w:spacing w:after="28" w:line="216" w:lineRule="auto"/>
        <w:ind w:left="259"/>
        <w:jc w:val="left"/>
      </w:pPr>
      <w:r>
        <w:rPr>
          <w:rFonts w:ascii="Arial" w:hAnsi="Arial"/>
          <w:color w:val="525252"/>
          <w:sz w:val="13"/>
        </w:rPr>
        <w:t>Apprehension is the act of taking a person into custody and the equivalent of a civilian arrest.</w:t>
      </w:r>
    </w:p>
    <w:p>
      <w:pPr>
        <w:spacing w:after="20" w:line="223" w:lineRule="auto"/>
        <w:jc w:val="right"/>
        <w:bidi/>
      </w:pPr>
      <w:r>
        <w:rPr>
          <w:rFonts w:ascii="Arial" w:hAnsi="Arial"/>
          <w:sz w:val="16"/>
        </w:rPr>
        <w:t>388.06  با اطلاع صریح به شخص، شفاهی یا کتبی، مبنی بر اینکه در بازداشت است، دلهره ایجاد می‌شود.</w:t>
      </w:r>
    </w:p>
    <w:p>
      <w:pPr>
        <w:spacing w:after="28" w:line="216" w:lineRule="auto"/>
        <w:ind w:left="259"/>
        <w:jc w:val="left"/>
      </w:pPr>
      <w:r>
        <w:rPr>
          <w:rFonts w:ascii="Arial" w:hAnsi="Arial"/>
          <w:color w:val="525252"/>
          <w:sz w:val="13"/>
        </w:rPr>
        <w:t>An apprehension is made by clearly notifying the person, orally or in writing, that he or she is in custody.</w:t>
      </w:r>
    </w:p>
    <w:p>
      <w:pPr>
        <w:spacing w:after="20" w:line="223" w:lineRule="auto"/>
        <w:jc w:val="right"/>
        <w:bidi/>
      </w:pPr>
      <w:r>
        <w:rPr>
          <w:rFonts w:ascii="Arial" w:hAnsi="Arial"/>
          <w:sz w:val="16"/>
        </w:rPr>
        <w:t>388.07  عبارت ساده، "شما تحت دلهره هستید" معمولا برای ارائه اطلاع کافی است.</w:t>
      </w:r>
    </w:p>
    <w:p>
      <w:pPr>
        <w:spacing w:after="28" w:line="216" w:lineRule="auto"/>
        <w:ind w:left="259"/>
        <w:jc w:val="left"/>
      </w:pPr>
      <w:r>
        <w:rPr>
          <w:rFonts w:ascii="Arial" w:hAnsi="Arial"/>
          <w:color w:val="525252"/>
          <w:sz w:val="13"/>
        </w:rPr>
        <w:t>The simple statement, “You are under apprehension,” is usually sufficient to provide notice.</w:t>
      </w:r>
    </w:p>
    <w:p>
      <w:pPr>
        <w:spacing w:after="20" w:line="223" w:lineRule="auto"/>
        <w:jc w:val="right"/>
        <w:bidi/>
      </w:pPr>
      <w:r>
        <w:rPr>
          <w:rFonts w:ascii="Arial" w:hAnsi="Arial"/>
          <w:sz w:val="16"/>
        </w:rPr>
        <w:t>388.08  در حین دستگیری، نیروها و وسایلی که در شرایط معقول لازم است تا بر دستگیری تأثیر بگذارد، مجاز است.</w:t>
      </w:r>
    </w:p>
    <w:p>
      <w:pPr>
        <w:spacing w:after="28" w:line="216" w:lineRule="auto"/>
        <w:ind w:left="259"/>
        <w:jc w:val="left"/>
      </w:pPr>
      <w:r>
        <w:rPr>
          <w:rFonts w:ascii="Arial" w:hAnsi="Arial"/>
          <w:color w:val="525252"/>
          <w:sz w:val="13"/>
        </w:rPr>
        <w:t>During apprehension, such force and means as are reasonably necessary under the circumstances to affect the apprehension, are authorized.</w:t>
      </w:r>
    </w:p>
    <w:p>
      <w:pPr>
        <w:spacing w:after="20" w:line="223" w:lineRule="auto"/>
        <w:jc w:val="right"/>
        <w:bidi/>
      </w:pPr>
      <w:r>
        <w:rPr>
          <w:rFonts w:ascii="Arial" w:hAnsi="Arial"/>
          <w:sz w:val="16"/>
        </w:rPr>
        <w:t>388.09  افسران مجری قانون نظامی، بازرسان جنایی نظامی، و افرادی که نگهبان یا انجام وظایف پلیس هستند، مجاز به دستگیری افراد مشمول صلاحیت UCMJ هستند.</w:t>
      </w:r>
    </w:p>
    <w:p>
      <w:pPr>
        <w:spacing w:after="28" w:line="216" w:lineRule="auto"/>
        <w:ind w:left="259"/>
        <w:jc w:val="left"/>
      </w:pPr>
      <w:r>
        <w:rPr>
          <w:rFonts w:ascii="Arial" w:hAnsi="Arial"/>
          <w:color w:val="525252"/>
          <w:sz w:val="13"/>
        </w:rPr>
        <w:t>Military law enforcement officers, military criminal investigators, and persons on guard or performing police duties, are authorized to apprehend persons subject to UCMJ jurisdiction.</w:t>
      </w:r>
    </w:p>
    <w:p>
      <w:pPr>
        <w:spacing w:after="20" w:line="223" w:lineRule="auto"/>
        <w:jc w:val="right"/>
        <w:bidi/>
      </w:pPr>
      <w:r>
        <w:rPr>
          <w:rFonts w:ascii="Arial" w:hAnsi="Arial"/>
          <w:sz w:val="16"/>
        </w:rPr>
        <w:t>388.10  اگرچه همه اعضای مأمور، حکم، جزئی و ثبت‌نام در وضعیت رگاف ممکن است افرادی را که تحت صلاحیت UCMJ هستند، در غیاب شرایط ضروری (فوری یا ضروری) دستگیر کنند، دستگیری غیرنظامیان باید توسط پرسنل اجرای قانون انجام شود.</w:t>
      </w:r>
    </w:p>
    <w:p>
      <w:pPr>
        <w:spacing w:after="28" w:line="216" w:lineRule="auto"/>
        <w:ind w:left="259"/>
        <w:jc w:val="left"/>
      </w:pPr>
      <w:r>
        <w:rPr>
          <w:rFonts w:ascii="Arial" w:hAnsi="Arial"/>
          <w:color w:val="525252"/>
          <w:sz w:val="13"/>
        </w:rPr>
        <w:t>Although all commissioned, warrant, petty, and enlisted members on RegAF status may apprehend persons subject to UCMJ jurisdiction, absent exigent (urgent or necessary) circumstances, the apprehension of civilians should be done by law enforcement personnel.</w:t>
      </w:r>
    </w:p>
    <w:p>
      <w:pPr>
        <w:spacing w:after="20" w:line="223" w:lineRule="auto"/>
        <w:jc w:val="right"/>
        <w:bidi/>
      </w:pPr>
      <w:r>
        <w:rPr>
          <w:rFonts w:ascii="Arial" w:hAnsi="Arial"/>
          <w:sz w:val="16"/>
        </w:rPr>
        <w:t>388.11  اعضای سربازگیری که به نحو دیگری وظایف اجرای قانون را انجام نمی‌دهند، می‌توانند افسران مأمور را فقط بر اساس دستورات خاص یک افسر مأمور یا زمانی که چنین دستگیری مانع از رسوایی خدمت یا جلوگیری از ارتکاب جرم جدی یا فرار شخصی که مرتکب تخلف جدی شده است، دستگیر کنند.</w:t>
      </w:r>
    </w:p>
    <w:p>
      <w:pPr>
        <w:spacing w:after="28" w:line="216" w:lineRule="auto"/>
        <w:ind w:left="259"/>
        <w:jc w:val="left"/>
      </w:pPr>
      <w:r>
        <w:rPr>
          <w:rFonts w:ascii="Arial" w:hAnsi="Arial"/>
          <w:color w:val="525252"/>
          <w:sz w:val="13"/>
        </w:rPr>
        <w:t>Enlisted members not otherwise performing law enforcement duties may apprehend commissioned or warrant officers only on specific orders from a commissioned officer or when such apprehension prevents disgrace to the service or to prevent the commission of a serious offense or escape of someone who has committed a serious offense.</w:t>
      </w:r>
    </w:p>
    <w:p>
      <w:pPr>
        <w:spacing w:after="20" w:line="223" w:lineRule="auto"/>
        <w:jc w:val="right"/>
        <w:bidi/>
      </w:pPr>
      <w:r>
        <w:rPr>
          <w:rFonts w:ascii="Arial" w:hAnsi="Arial"/>
          <w:sz w:val="16"/>
        </w:rPr>
        <w:t>388.12  باید سریعا به فرماندهی یک فرد دستگیر شده اطلاع داده شود.</w:t>
      </w:r>
    </w:p>
    <w:p>
      <w:pPr>
        <w:spacing w:after="28" w:line="216" w:lineRule="auto"/>
        <w:ind w:left="259"/>
        <w:jc w:val="left"/>
      </w:pPr>
      <w:r>
        <w:rPr>
          <w:rFonts w:ascii="Arial" w:hAnsi="Arial"/>
          <w:color w:val="525252"/>
          <w:sz w:val="13"/>
        </w:rPr>
        <w:t>The immediate commander of an apprehended person should be promptly notified.</w:t>
      </w:r>
    </w:p>
    <w:p>
      <w:pPr>
        <w:spacing w:after="20" w:line="223" w:lineRule="auto"/>
        <w:jc w:val="right"/>
        <w:bidi/>
      </w:pPr>
      <w:r>
        <w:rPr>
          <w:rFonts w:ascii="Arial" w:hAnsi="Arial"/>
          <w:sz w:val="16"/>
        </w:rPr>
        <w:t>388.13  محدودیت پیش از محاکمه.</w:t>
      </w:r>
    </w:p>
    <w:p>
      <w:pPr>
        <w:spacing w:after="28" w:line="216" w:lineRule="auto"/>
        <w:ind w:left="259"/>
        <w:jc w:val="left"/>
      </w:pPr>
      <w:r>
        <w:rPr>
          <w:rFonts w:ascii="Arial" w:hAnsi="Arial"/>
          <w:color w:val="525252"/>
          <w:sz w:val="13"/>
        </w:rPr>
        <w:t>Pretrial Restraint.</w:t>
      </w:r>
    </w:p>
    <w:p>
      <w:pPr>
        <w:spacing w:after="20" w:line="223" w:lineRule="auto"/>
        <w:jc w:val="right"/>
        <w:bidi/>
      </w:pPr>
      <w:r>
        <w:rPr>
          <w:rFonts w:ascii="Arial" w:hAnsi="Arial"/>
          <w:sz w:val="16"/>
        </w:rPr>
        <w:t>388.14  محدودیت پیش از محاکمه، محدودیت اخلاقی یا جسمی بر آزادی شخص است که قبل و در حین رسیدگی به جرم اعمال می‌شود.</w:t>
      </w:r>
    </w:p>
    <w:p>
      <w:pPr>
        <w:spacing w:after="28" w:line="216" w:lineRule="auto"/>
        <w:ind w:left="259"/>
        <w:jc w:val="left"/>
      </w:pPr>
      <w:r>
        <w:rPr>
          <w:rFonts w:ascii="Arial" w:hAnsi="Arial"/>
          <w:color w:val="525252"/>
          <w:sz w:val="13"/>
        </w:rPr>
        <w:t>Pretrial restraint is moral or physical restraint on a person’s liberty that is imposed before and during the disposition of offenses.</w:t>
      </w:r>
    </w:p>
    <w:p>
      <w:pPr>
        <w:spacing w:after="20" w:line="223" w:lineRule="auto"/>
        <w:jc w:val="right"/>
        <w:bidi/>
      </w:pPr>
      <w:r>
        <w:rPr>
          <w:rFonts w:ascii="Arial" w:hAnsi="Arial"/>
          <w:sz w:val="16"/>
        </w:rPr>
        <w:t>388.15  فقط در صورتی می‌توان به منع قبل از محاکمه دستور داد که اعتقاد معقولی وجود داشته باشد که شخص مرتکب جرمی شده است که توسط دادگاه نظامی قابل رسیدگی است، و اگر شرایط مستلزم محدودیت باشد.</w:t>
      </w:r>
    </w:p>
    <w:p>
      <w:pPr>
        <w:spacing w:after="28" w:line="216" w:lineRule="auto"/>
        <w:ind w:left="259"/>
        <w:jc w:val="left"/>
      </w:pPr>
      <w:r>
        <w:rPr>
          <w:rFonts w:ascii="Arial" w:hAnsi="Arial"/>
          <w:color w:val="525252"/>
          <w:sz w:val="13"/>
        </w:rPr>
        <w:t>Pretrial restraint may only be ordered if there is a reasonable belief that the person committed an offense triable by court-martial, and if the circumstances require restraint.</w:t>
      </w:r>
    </w:p>
    <w:p>
      <w:pPr>
        <w:spacing w:after="20" w:line="223" w:lineRule="auto"/>
        <w:jc w:val="right"/>
        <w:bidi/>
      </w:pPr>
      <w:r>
        <w:rPr>
          <w:rFonts w:ascii="Arial" w:hAnsi="Arial"/>
          <w:sz w:val="16"/>
        </w:rPr>
        <w:t>388.16  عواملی که در صدور قرار منع تعقیب باید در نظر گرفته شوند عبارتند از اینکه آیا می‌توان پیش بینی کرد که شخص در دادگاه حاضر نمی‌شود یا در انتظار دادگاه نظامی مرتکب تخلفات جنایی جدی می‌شود.</w:t>
      </w:r>
    </w:p>
    <w:p>
      <w:pPr>
        <w:spacing w:after="28" w:line="216" w:lineRule="auto"/>
        <w:ind w:left="259"/>
        <w:jc w:val="left"/>
      </w:pPr>
      <w:r>
        <w:rPr>
          <w:rFonts w:ascii="Arial" w:hAnsi="Arial"/>
          <w:color w:val="525252"/>
          <w:sz w:val="13"/>
        </w:rPr>
        <w:t>Factors to consider in ordering pretrial restraint include whether one can foresee that the person will not appear at trial or will engage in serious criminal misconduct while awaiting court-martial.</w:t>
      </w:r>
    </w:p>
    <w:p>
      <w:pPr>
        <w:spacing w:after="20" w:line="223" w:lineRule="auto"/>
        <w:jc w:val="right"/>
        <w:bidi/>
      </w:pPr>
      <w:r>
        <w:rPr>
          <w:rFonts w:ascii="Arial" w:hAnsi="Arial"/>
          <w:sz w:val="16"/>
        </w:rPr>
        <w:t>388.17  محدودیت پیش از محاکمه نباید سختگیرانه‌تر از آن چیزی باشد که شرایط ایجاب می‌کند.</w:t>
      </w:r>
    </w:p>
    <w:p>
      <w:pPr>
        <w:spacing w:after="28" w:line="216" w:lineRule="auto"/>
        <w:ind w:left="259"/>
        <w:jc w:val="left"/>
      </w:pPr>
      <w:r>
        <w:rPr>
          <w:rFonts w:ascii="Arial" w:hAnsi="Arial"/>
          <w:color w:val="525252"/>
          <w:sz w:val="13"/>
        </w:rPr>
        <w:t>Pretrial restraint should not be more rigorous than the circumstances require.</w:t>
      </w:r>
    </w:p>
    <w:p>
      <w:pPr>
        <w:spacing w:after="20" w:line="223" w:lineRule="auto"/>
        <w:jc w:val="right"/>
        <w:bidi/>
      </w:pPr>
      <w:r>
        <w:rPr>
          <w:rFonts w:ascii="Arial" w:hAnsi="Arial"/>
          <w:sz w:val="16"/>
        </w:rPr>
        <w:t>388.18  فقط فرمانده یک افسر می‌تواند دستور بازداشت پیش از محاکمه یک افسر را صادر کند. این اختیار قابل تفویض نیست.</w:t>
      </w:r>
    </w:p>
    <w:p>
      <w:pPr>
        <w:spacing w:after="28" w:line="216" w:lineRule="auto"/>
        <w:ind w:left="259"/>
        <w:jc w:val="left"/>
      </w:pPr>
      <w:r>
        <w:rPr>
          <w:rFonts w:ascii="Arial" w:hAnsi="Arial"/>
          <w:color w:val="525252"/>
          <w:sz w:val="13"/>
        </w:rPr>
        <w:t>Only an officer’s commander can order pretrial restraint of an officer; this authority cannot be delegated.</w:t>
      </w:r>
    </w:p>
    <w:p>
      <w:pPr>
        <w:spacing w:after="20" w:line="223" w:lineRule="auto"/>
        <w:jc w:val="right"/>
        <w:bidi/>
      </w:pPr>
      <w:r>
        <w:rPr>
          <w:rFonts w:ascii="Arial" w:hAnsi="Arial"/>
          <w:sz w:val="16"/>
        </w:rPr>
        <w:t>388.19  هر افسر مأمور می‌تواند برای هر فرد ثبت‌نامی دستور بازداشت موقت بدهد.</w:t>
      </w:r>
    </w:p>
    <w:p>
      <w:pPr>
        <w:spacing w:after="28" w:line="216" w:lineRule="auto"/>
        <w:ind w:left="259"/>
        <w:jc w:val="left"/>
      </w:pPr>
      <w:r>
        <w:rPr>
          <w:rFonts w:ascii="Arial" w:hAnsi="Arial"/>
          <w:color w:val="525252"/>
          <w:sz w:val="13"/>
        </w:rPr>
        <w:t>Any commissioned officer may order pretrial restraint of any enlisted person.</w:t>
      </w:r>
    </w:p>
    <w:p>
      <w:pPr>
        <w:spacing w:after="20" w:line="223" w:lineRule="auto"/>
        <w:jc w:val="right"/>
        <w:bidi/>
      </w:pPr>
      <w:r>
        <w:rPr>
          <w:rFonts w:ascii="Arial" w:hAnsi="Arial"/>
          <w:sz w:val="16"/>
        </w:rPr>
        <w:t>388.20  فرمانده یک فرد ثبت‌نام شده همچنین می‌تواند چنین اختیارات مهاری را به یک عضو ثبت‌نام تفویض کند.</w:t>
      </w:r>
    </w:p>
    <w:p>
      <w:pPr>
        <w:spacing w:after="28" w:line="216" w:lineRule="auto"/>
        <w:ind w:left="259"/>
        <w:jc w:val="left"/>
      </w:pPr>
      <w:r>
        <w:rPr>
          <w:rFonts w:ascii="Arial" w:hAnsi="Arial"/>
          <w:color w:val="525252"/>
          <w:sz w:val="13"/>
        </w:rPr>
        <w:t>An enlisted person’s commander may also delegate such restraint authority to an enlisted member.</w:t>
      </w:r>
    </w:p>
    <w:p>
      <w:pPr>
        <w:spacing w:after="20" w:line="223" w:lineRule="auto"/>
        <w:jc w:val="right"/>
        <w:bidi/>
      </w:pPr>
      <w:r>
        <w:rPr>
          <w:rFonts w:ascii="Arial" w:hAnsi="Arial"/>
          <w:sz w:val="16"/>
        </w:rPr>
        <w:t>388.21  محدودیت پیش از محاکمه ممکن است شامل شرایط آزادی، محدودیت‌هایی به جای دستگیری، دستگیری یا حبس باشد که در اینجا به اختصار توضیح داده شده است.</w:t>
      </w:r>
    </w:p>
    <w:p>
      <w:pPr>
        <w:spacing w:after="28" w:line="216" w:lineRule="auto"/>
        <w:ind w:left="259"/>
        <w:jc w:val="left"/>
      </w:pPr>
      <w:r>
        <w:rPr>
          <w:rFonts w:ascii="Arial" w:hAnsi="Arial"/>
          <w:color w:val="525252"/>
          <w:sz w:val="13"/>
        </w:rPr>
        <w:t>Pretrial restraint may include conditions on liberty, restrictions in lieu of arrest, arrest, or confinement, as briefly described here.</w:t>
      </w:r>
    </w:p>
    <w:p>
      <w:pPr>
        <w:spacing w:after="20" w:line="223" w:lineRule="auto"/>
        <w:jc w:val="right"/>
        <w:bidi/>
      </w:pPr>
      <w:r>
        <w:rPr>
          <w:rFonts w:ascii="Arial" w:hAnsi="Arial"/>
          <w:sz w:val="16"/>
        </w:rPr>
        <w:t>388.22  شرایط آزادی.</w:t>
      </w:r>
    </w:p>
    <w:p>
      <w:pPr>
        <w:spacing w:after="28" w:line="216" w:lineRule="auto"/>
        <w:ind w:left="259"/>
        <w:jc w:val="left"/>
      </w:pPr>
      <w:r>
        <w:rPr>
          <w:rFonts w:ascii="Arial" w:hAnsi="Arial"/>
          <w:color w:val="525252"/>
          <w:sz w:val="13"/>
        </w:rPr>
        <w:t>Conditions on Liberty.</w:t>
      </w:r>
    </w:p>
    <w:p>
      <w:pPr>
        <w:spacing w:after="20" w:line="223" w:lineRule="auto"/>
        <w:jc w:val="right"/>
        <w:bidi/>
      </w:pPr>
      <w:r>
        <w:rPr>
          <w:rFonts w:ascii="Arial" w:hAnsi="Arial"/>
          <w:sz w:val="16"/>
        </w:rPr>
        <w:t>388.23  شرایط آزادی به‌عنوان محدودیت پیش از محاکمه با دستور دادن شخص به انجام یا خودداری از انجام اعمال مشخص تعیین می‌شود.</w:t>
      </w:r>
    </w:p>
    <w:p>
      <w:pPr>
        <w:spacing w:after="28" w:line="216" w:lineRule="auto"/>
        <w:ind w:left="259"/>
        <w:jc w:val="left"/>
      </w:pPr>
      <w:r>
        <w:rPr>
          <w:rFonts w:ascii="Arial" w:hAnsi="Arial"/>
          <w:color w:val="525252"/>
          <w:sz w:val="13"/>
        </w:rPr>
        <w:t>Conditions on liberty as a pretrial restraint are imposed by directing a person to do or refrain from doing specified acts.</w:t>
      </w:r>
    </w:p>
    <w:p>
      <w:pPr>
        <w:spacing w:after="20" w:line="223" w:lineRule="auto"/>
        <w:jc w:val="right"/>
        <w:bidi/>
      </w:pPr>
      <w:r>
        <w:rPr>
          <w:rFonts w:ascii="Arial" w:hAnsi="Arial"/>
          <w:sz w:val="16"/>
        </w:rPr>
        <w:t>388.24  مثال‌ها عبارتند از دستورهای گزارش دوره‌ای به یک مقام مشخص، دستورات برای دور ماندن از یک مکان خاص (مانند صحنه جرم ادعایی)، و دستور عدم ارتباط با افراد مشخص شده (مانند قربانی ادعایی یا شاهدان احتمالی).</w:t>
      </w:r>
    </w:p>
    <w:p>
      <w:pPr>
        <w:spacing w:after="28" w:line="216" w:lineRule="auto"/>
        <w:ind w:left="259"/>
        <w:jc w:val="left"/>
      </w:pPr>
      <w:r>
        <w:rPr>
          <w:rFonts w:ascii="Arial" w:hAnsi="Arial"/>
          <w:color w:val="525252"/>
          <w:sz w:val="13"/>
        </w:rPr>
        <w:t>Examples include orders to report periodically to a specified official, orders to stay away from a certain place (such as the scene of the alleged offense), and orders not to associate with specified persons (such as the alleged victim or potential witnesses).</w:t>
      </w:r>
    </w:p>
    <w:p>
      <w:pPr>
        <w:spacing w:after="20" w:line="223" w:lineRule="auto"/>
        <w:jc w:val="right"/>
        <w:bidi/>
      </w:pPr>
      <w:r>
        <w:rPr>
          <w:rFonts w:ascii="Arial" w:hAnsi="Arial"/>
          <w:sz w:val="16"/>
        </w:rPr>
        <w:t>388.25  شرایط آزادی نباید مانع آمادگی قبل از محاکمه شود.</w:t>
      </w:r>
    </w:p>
    <w:p>
      <w:pPr>
        <w:spacing w:after="28" w:line="216" w:lineRule="auto"/>
        <w:ind w:left="259"/>
        <w:jc w:val="left"/>
      </w:pPr>
      <w:r>
        <w:rPr>
          <w:rFonts w:ascii="Arial" w:hAnsi="Arial"/>
          <w:color w:val="525252"/>
          <w:sz w:val="13"/>
        </w:rPr>
        <w:t>Conditions on liberty must not hinder pretrial preparation.</w:t>
      </w:r>
    </w:p>
    <w:p>
      <w:pPr>
        <w:spacing w:after="20" w:line="223" w:lineRule="auto"/>
        <w:jc w:val="right"/>
        <w:bidi/>
      </w:pPr>
      <w:r>
        <w:rPr>
          <w:rFonts w:ascii="Arial" w:hAnsi="Arial"/>
          <w:sz w:val="16"/>
        </w:rPr>
        <w:t>388.26  محدودیت به جای دستگیری.</w:t>
      </w:r>
    </w:p>
    <w:p>
      <w:pPr>
        <w:spacing w:after="28" w:line="216" w:lineRule="auto"/>
        <w:ind w:left="259"/>
        <w:jc w:val="left"/>
      </w:pPr>
      <w:r>
        <w:rPr>
          <w:rFonts w:ascii="Arial" w:hAnsi="Arial"/>
          <w:color w:val="525252"/>
          <w:sz w:val="13"/>
        </w:rPr>
        <w:t>Restrictions in Lieu of Arrest.</w:t>
      </w:r>
    </w:p>
    <w:p>
      <w:pPr>
        <w:spacing w:after="20" w:line="223" w:lineRule="auto"/>
        <w:jc w:val="right"/>
        <w:bidi/>
      </w:pPr>
      <w:r>
        <w:rPr>
          <w:rFonts w:ascii="Arial" w:hAnsi="Arial"/>
          <w:sz w:val="16"/>
        </w:rPr>
        <w:t>388.27  محدودیت‌ها به‌جای دستگیری به‌عنوان محدودیت‌های فردی با دستورات شفاهی یا کتبی اعمال می‌شوند که به فرد دستور می‌دهند در محدوده‌های مشخص شده باقی بمانند، اما در حدی کمتر از دستگیری.</w:t>
      </w:r>
    </w:p>
    <w:p>
      <w:pPr>
        <w:spacing w:after="28" w:line="216" w:lineRule="auto"/>
        <w:ind w:left="259"/>
        <w:jc w:val="left"/>
      </w:pPr>
      <w:r>
        <w:rPr>
          <w:rFonts w:ascii="Arial" w:hAnsi="Arial"/>
          <w:color w:val="525252"/>
          <w:sz w:val="13"/>
        </w:rPr>
        <w:t>Restrictions in lieu of arrest are imposed as the restraint of a person by oral or written orders directing the person to remain within specified limits, but to a less severe level than arrest.</w:t>
      </w:r>
    </w:p>
    <w:p>
      <w:pPr>
        <w:spacing w:after="20" w:line="223" w:lineRule="auto"/>
        <w:jc w:val="right"/>
        <w:bidi/>
      </w:pPr>
      <w:r>
        <w:rPr>
          <w:rFonts w:ascii="Arial" w:hAnsi="Arial"/>
          <w:sz w:val="16"/>
        </w:rPr>
        <w:t>388.28  محدودیت‌های جغرافیایی معمولا گسترده‌تر هستند (مثلا محدودیت به محدودیت‌های نصب).</w:t>
      </w:r>
    </w:p>
    <w:p>
      <w:pPr>
        <w:spacing w:after="28" w:line="216" w:lineRule="auto"/>
        <w:ind w:left="259"/>
        <w:jc w:val="left"/>
      </w:pPr>
      <w:r>
        <w:rPr>
          <w:rFonts w:ascii="Arial" w:hAnsi="Arial"/>
          <w:color w:val="525252"/>
          <w:sz w:val="13"/>
        </w:rPr>
        <w:t>The geographic limits are usually broader (for example, restriction to the limits of the installation).</w:t>
      </w:r>
    </w:p>
    <w:p>
      <w:pPr>
        <w:spacing w:after="20" w:line="223" w:lineRule="auto"/>
        <w:jc w:val="right"/>
        <w:bidi/>
      </w:pPr>
      <w:r>
        <w:rPr>
          <w:rFonts w:ascii="Arial" w:hAnsi="Arial"/>
          <w:sz w:val="16"/>
        </w:rPr>
        <w:t>388.29  در طول محدودیت‌ها به جای دستگیری، مجرم مظنون وظایف نظامی را به‌طور کامل انجام می‌دهد، مگر اینکه دستور دیگری داده شود.</w:t>
      </w:r>
    </w:p>
    <w:p>
      <w:pPr>
        <w:spacing w:after="28" w:line="216" w:lineRule="auto"/>
        <w:ind w:left="259"/>
        <w:jc w:val="left"/>
      </w:pPr>
      <w:r>
        <w:rPr>
          <w:rFonts w:ascii="Arial" w:hAnsi="Arial"/>
          <w:color w:val="525252"/>
          <w:sz w:val="13"/>
        </w:rPr>
        <w:t>During restrictions in lieu of arrest, the alleged offender will perform full military duties, unless otherwise directed.</w:t>
      </w:r>
    </w:p>
    <w:p>
      <w:pPr>
        <w:spacing w:after="20" w:line="223" w:lineRule="auto"/>
        <w:jc w:val="right"/>
        <w:bidi/>
      </w:pPr>
      <w:r>
        <w:rPr>
          <w:rFonts w:ascii="Arial" w:hAnsi="Arial"/>
          <w:sz w:val="16"/>
        </w:rPr>
        <w:t>388.30  دستگیری.</w:t>
      </w:r>
    </w:p>
    <w:p>
      <w:pPr>
        <w:spacing w:after="28" w:line="216" w:lineRule="auto"/>
        <w:ind w:left="259"/>
        <w:jc w:val="left"/>
      </w:pPr>
      <w:r>
        <w:rPr>
          <w:rFonts w:ascii="Arial" w:hAnsi="Arial"/>
          <w:color w:val="525252"/>
          <w:sz w:val="13"/>
        </w:rPr>
        <w:t>Arrest.</w:t>
      </w:r>
    </w:p>
    <w:p>
      <w:pPr>
        <w:spacing w:after="20" w:line="223" w:lineRule="auto"/>
        <w:jc w:val="right"/>
        <w:bidi/>
      </w:pPr>
      <w:r>
        <w:rPr>
          <w:rFonts w:ascii="Arial" w:hAnsi="Arial"/>
          <w:sz w:val="16"/>
        </w:rPr>
        <w:t>388.31  در نیروهای مسلح ایالات متحده، اصطلاح "دستگیری" به معنای محدود کردن آزادی یک فرد است.</w:t>
      </w:r>
    </w:p>
    <w:p>
      <w:pPr>
        <w:spacing w:after="28" w:line="216" w:lineRule="auto"/>
        <w:ind w:left="259"/>
        <w:jc w:val="left"/>
      </w:pPr>
      <w:r>
        <w:rPr>
          <w:rFonts w:ascii="Arial" w:hAnsi="Arial"/>
          <w:color w:val="525252"/>
          <w:sz w:val="13"/>
        </w:rPr>
        <w:t>In the U.S. Armed Forces, the term “arrest” means the limiting of a person’s liberty.</w:t>
      </w:r>
    </w:p>
    <w:p>
      <w:pPr>
        <w:spacing w:after="20" w:line="223" w:lineRule="auto"/>
        <w:jc w:val="right"/>
        <w:bidi/>
      </w:pPr>
      <w:r>
        <w:rPr>
          <w:rFonts w:ascii="Arial" w:hAnsi="Arial"/>
          <w:sz w:val="16"/>
        </w:rPr>
        <w:t>388.32  بازداشت به‌عنوان محدودیت پیش از محاکمه به‌عنوان مجازات برای یک جرم اعمال نمی‌شود، اما باعث می‌شود که فرد در محدوده‌های مشخص باقی بماند.</w:t>
      </w:r>
    </w:p>
    <w:p>
      <w:pPr>
        <w:spacing w:after="28" w:line="216" w:lineRule="auto"/>
        <w:ind w:left="259"/>
        <w:jc w:val="left"/>
      </w:pPr>
      <w:r>
        <w:rPr>
          <w:rFonts w:ascii="Arial" w:hAnsi="Arial"/>
          <w:color w:val="525252"/>
          <w:sz w:val="13"/>
        </w:rPr>
        <w:t>Arrest as a pretrial restraint is not imposed as punishment for an offense, but it does direct a person to remain within specified limits.</w:t>
      </w:r>
    </w:p>
    <w:p>
      <w:pPr>
        <w:spacing w:after="20" w:line="223" w:lineRule="auto"/>
        <w:jc w:val="right"/>
        <w:bidi/>
      </w:pPr>
      <w:r>
        <w:rPr>
          <w:rFonts w:ascii="Arial" w:hAnsi="Arial"/>
          <w:sz w:val="16"/>
        </w:rPr>
        <w:t>388.33  دستگیری یک مهار اخلاقی است؛ هیچ محدودیت فیزیکی وجود ندارد</w:t>
      </w:r>
    </w:p>
    <w:p>
      <w:pPr>
        <w:spacing w:after="28" w:line="216" w:lineRule="auto"/>
        <w:ind w:left="259"/>
        <w:jc w:val="left"/>
      </w:pPr>
      <w:r>
        <w:rPr>
          <w:rFonts w:ascii="Arial" w:hAnsi="Arial"/>
          <w:color w:val="525252"/>
          <w:sz w:val="13"/>
        </w:rPr>
        <w:t>Arrest is a moral restraint; no physical restraint is</w:t>
      </w:r>
    </w:p>
    <w:p>
      <w:r>
        <w:br w:type="page"/>
      </w:r>
    </w:p>
    <w:p>
      <w:pPr>
        <w:spacing w:after="60"/>
        <w:jc w:val="right"/>
        <w:bidi/>
      </w:pPr>
      <w:r>
        <w:rPr>
          <w:rFonts w:ascii="Arial" w:hAnsi="Arial"/>
          <w:b/>
          <w:color w:val="1F4D78"/>
          <w:sz w:val="19"/>
        </w:rPr>
        <w:t>هفتهٔ 389  |  صفحهٔ منبع: 405</w:t>
      </w:r>
    </w:p>
    <w:p>
      <w:pPr>
        <w:spacing w:after="20" w:line="223" w:lineRule="auto"/>
        <w:jc w:val="right"/>
        <w:bidi/>
      </w:pPr>
      <w:r>
        <w:rPr>
          <w:rFonts w:ascii="Arial" w:hAnsi="Arial"/>
          <w:sz w:val="16"/>
        </w:rPr>
        <w:t>389.01  برای جلوگیری از شکستن دستگیری یک فرد تمرین شده است.</w:t>
      </w:r>
    </w:p>
    <w:p>
      <w:pPr>
        <w:spacing w:after="28" w:line="216" w:lineRule="auto"/>
        <w:ind w:left="259"/>
        <w:jc w:val="left"/>
      </w:pPr>
      <w:r>
        <w:rPr>
          <w:rFonts w:ascii="Arial" w:hAnsi="Arial"/>
          <w:color w:val="525252"/>
          <w:sz w:val="13"/>
        </w:rPr>
        <w:t>exercised to prevent a person from breaking arrest.</w:t>
      </w:r>
    </w:p>
    <w:p>
      <w:pPr>
        <w:spacing w:after="20" w:line="223" w:lineRule="auto"/>
        <w:jc w:val="right"/>
        <w:bidi/>
      </w:pPr>
      <w:r>
        <w:rPr>
          <w:rFonts w:ascii="Arial" w:hAnsi="Arial"/>
          <w:sz w:val="16"/>
        </w:rPr>
        <w:t>389.02  انتظار نمی‌رود فردی که دستگیر شده است وظایف نظامی را به‌طور کامل انجام دهد.</w:t>
      </w:r>
    </w:p>
    <w:p>
      <w:pPr>
        <w:spacing w:after="28" w:line="216" w:lineRule="auto"/>
        <w:ind w:left="259"/>
        <w:jc w:val="left"/>
      </w:pPr>
      <w:r>
        <w:rPr>
          <w:rFonts w:ascii="Arial" w:hAnsi="Arial"/>
          <w:color w:val="525252"/>
          <w:sz w:val="13"/>
        </w:rPr>
        <w:t>A person in arrest is not expected to perform full military duties.</w:t>
      </w:r>
    </w:p>
    <w:p>
      <w:pPr>
        <w:spacing w:after="20" w:line="223" w:lineRule="auto"/>
        <w:jc w:val="right"/>
        <w:bidi/>
      </w:pPr>
      <w:r>
        <w:rPr>
          <w:rFonts w:ascii="Arial" w:hAnsi="Arial"/>
          <w:sz w:val="16"/>
        </w:rPr>
        <w:t>389.03  حصر.</w:t>
      </w:r>
    </w:p>
    <w:p>
      <w:pPr>
        <w:spacing w:after="28" w:line="216" w:lineRule="auto"/>
        <w:ind w:left="259"/>
        <w:jc w:val="left"/>
      </w:pPr>
      <w:r>
        <w:rPr>
          <w:rFonts w:ascii="Arial" w:hAnsi="Arial"/>
          <w:color w:val="525252"/>
          <w:sz w:val="13"/>
        </w:rPr>
        <w:t>Confinement.</w:t>
      </w:r>
    </w:p>
    <w:p>
      <w:pPr>
        <w:spacing w:after="20" w:line="223" w:lineRule="auto"/>
        <w:jc w:val="right"/>
        <w:bidi/>
      </w:pPr>
      <w:r>
        <w:rPr>
          <w:rFonts w:ascii="Arial" w:hAnsi="Arial"/>
          <w:sz w:val="16"/>
        </w:rPr>
        <w:t>389.04  حبس عبارت است از محدودیت فیزیکی و پیش از محاکمه‌ای که به دستور مقام صلاحیتدار اعمال می‌شود و فرد را از آزادی در انتظار رفع اتهام محروم می‌کند.</w:t>
      </w:r>
    </w:p>
    <w:p>
      <w:pPr>
        <w:spacing w:after="28" w:line="216" w:lineRule="auto"/>
        <w:ind w:left="259"/>
        <w:jc w:val="left"/>
      </w:pPr>
      <w:r>
        <w:rPr>
          <w:rFonts w:ascii="Arial" w:hAnsi="Arial"/>
          <w:color w:val="525252"/>
          <w:sz w:val="13"/>
        </w:rPr>
        <w:t>Confinement is the pretrial, physical restraint imposed by order of competent authority, depriving a person of freedom pending disposition of charges.</w:t>
      </w:r>
    </w:p>
    <w:p>
      <w:pPr>
        <w:spacing w:after="20" w:line="223" w:lineRule="auto"/>
        <w:jc w:val="right"/>
        <w:bidi/>
      </w:pPr>
      <w:r>
        <w:rPr>
          <w:rFonts w:ascii="Arial" w:hAnsi="Arial"/>
          <w:sz w:val="16"/>
        </w:rPr>
        <w:t>389.05  هیچ فردی را نمی‌توان به حبس موقت محکوم کرد مگر به دلیل احتمالی.</w:t>
      </w:r>
    </w:p>
    <w:p>
      <w:pPr>
        <w:spacing w:after="28" w:line="216" w:lineRule="auto"/>
        <w:ind w:left="259"/>
        <w:jc w:val="left"/>
      </w:pPr>
      <w:r>
        <w:rPr>
          <w:rFonts w:ascii="Arial" w:hAnsi="Arial"/>
          <w:color w:val="525252"/>
          <w:sz w:val="13"/>
        </w:rPr>
        <w:t>No person may be ordered into pretrial confinement except for upon probable cause.</w:t>
      </w:r>
    </w:p>
    <w:p>
      <w:pPr>
        <w:spacing w:after="20" w:line="223" w:lineRule="auto"/>
        <w:jc w:val="right"/>
        <w:bidi/>
      </w:pPr>
      <w:r>
        <w:rPr>
          <w:rFonts w:ascii="Arial" w:hAnsi="Arial"/>
          <w:sz w:val="16"/>
        </w:rPr>
        <w:t>389.06  علت محتمل دستور حبس قبل از محاکمه زمانی وجود دارد که باور معقولی وجود داشته باشد که: (۱) جرمی که توسط دادگاه نظامی قابل محاکمه است، ارتکاب یافته است، (۲) شخص محصور مرتکب آن شده است، و (۳) حبس بنا به شرایط لازم است.</w:t>
      </w:r>
    </w:p>
    <w:p>
      <w:pPr>
        <w:spacing w:after="28" w:line="216" w:lineRule="auto"/>
        <w:ind w:left="259"/>
        <w:jc w:val="left"/>
      </w:pPr>
      <w:r>
        <w:rPr>
          <w:rFonts w:ascii="Arial" w:hAnsi="Arial"/>
          <w:color w:val="525252"/>
          <w:sz w:val="13"/>
        </w:rPr>
        <w:t>Probable cause to order pretrial confinement exists when there is reasonable belief that: (1) an offense triable by court-martial has been committed, (2) the person confined committed it, and (3) confinement is required by the circumstances.</w:t>
      </w:r>
    </w:p>
    <w:p>
      <w:pPr>
        <w:spacing w:after="20" w:line="223" w:lineRule="auto"/>
        <w:jc w:val="right"/>
        <w:bidi/>
      </w:pPr>
      <w:r>
        <w:rPr>
          <w:rFonts w:ascii="Arial" w:hAnsi="Arial"/>
          <w:sz w:val="16"/>
        </w:rPr>
        <w:t>389.07  هر فرد محبوس باید فورا از موارد زیر مطلع شود: (۱) ماهیت جرایمی که برای آنها انجام شده است، (۲) حق سکوت و اینکه هر اظهاراتی که توسط شخص صادر می‌شود ممکن است علیه شخص مورد استفاده قرار گیرد، (۳) حق حفظ وکیل غیرنظامی بدون هیچ هزینه‌ای برای ایالات متحده و حق درخواست انتساب، محاکمه قبل از محاکمه و دادگاه نظامی (۴) بررسی شد.</w:t>
      </w:r>
    </w:p>
    <w:p>
      <w:pPr>
        <w:spacing w:after="28" w:line="216" w:lineRule="auto"/>
        <w:ind w:left="259"/>
        <w:jc w:val="left"/>
      </w:pPr>
      <w:r>
        <w:rPr>
          <w:rFonts w:ascii="Arial" w:hAnsi="Arial"/>
          <w:color w:val="525252"/>
          <w:sz w:val="13"/>
        </w:rPr>
        <w:t>Each person confined shall promptly be informed of: (1) the nature of the offenses for which held, (2) the right to remain silent and that any statement made by the person may be used against the person, (3) the right to retain civilian counsel at no expense to the United States and the right to request assignment of military counsel, and (4) the procedures by which pretrial confinement will be reviewed.</w:t>
      </w:r>
    </w:p>
    <w:p>
      <w:pPr>
        <w:spacing w:before="60" w:after="28"/>
        <w:jc w:val="right"/>
        <w:bidi/>
      </w:pPr>
      <w:r>
        <w:rPr>
          <w:b/>
          <w:color w:val="1F4D78"/>
          <w:sz w:val="18"/>
        </w:rPr>
        <w:t>21.7. جستجو و توقیف</w:t>
      </w:r>
    </w:p>
    <w:p>
      <w:pPr>
        <w:spacing w:after="20"/>
        <w:ind w:left="259"/>
        <w:jc w:val="left"/>
      </w:pPr>
      <w:r>
        <w:rPr>
          <w:color w:val="555555"/>
          <w:sz w:val="12"/>
        </w:rPr>
        <w:t>21.7. Search and Seizure</w:t>
      </w:r>
    </w:p>
    <w:p>
      <w:pPr>
        <w:spacing w:after="20" w:line="223" w:lineRule="auto"/>
        <w:jc w:val="right"/>
        <w:bidi/>
      </w:pPr>
      <w:r>
        <w:rPr>
          <w:rFonts w:ascii="Arial" w:hAnsi="Arial"/>
          <w:sz w:val="16"/>
        </w:rPr>
        <w:t>389.09  چهارمین متمم قانون اساسی ایالات متحده از جستجوها و تشنج‌های غیرمنطقی محافظت می‌کند.</w:t>
      </w:r>
    </w:p>
    <w:p>
      <w:pPr>
        <w:spacing w:after="28" w:line="216" w:lineRule="auto"/>
        <w:ind w:left="259"/>
        <w:jc w:val="left"/>
      </w:pPr>
      <w:r>
        <w:rPr>
          <w:rFonts w:ascii="Arial" w:hAnsi="Arial"/>
          <w:color w:val="525252"/>
          <w:sz w:val="13"/>
        </w:rPr>
        <w:t>The Fourth Amendment to the U.S. Constitution protects against unreasonable searches and seizures.</w:t>
      </w:r>
    </w:p>
    <w:p>
      <w:pPr>
        <w:spacing w:after="20" w:line="223" w:lineRule="auto"/>
        <w:jc w:val="right"/>
        <w:bidi/>
      </w:pPr>
      <w:r>
        <w:rPr>
          <w:rFonts w:ascii="Arial" w:hAnsi="Arial"/>
          <w:sz w:val="16"/>
        </w:rPr>
        <w:t>389.10  مجوز جستجو باید بر اساس علت احتمالی باشد، به‌ویژه توصیف مکان مورد بازرسی، و توصیف افراد یا چیزهایی که باید توقیف شوند.</w:t>
      </w:r>
    </w:p>
    <w:p>
      <w:pPr>
        <w:spacing w:after="28" w:line="216" w:lineRule="auto"/>
        <w:ind w:left="259"/>
        <w:jc w:val="left"/>
      </w:pPr>
      <w:r>
        <w:rPr>
          <w:rFonts w:ascii="Arial" w:hAnsi="Arial"/>
          <w:color w:val="525252"/>
          <w:sz w:val="13"/>
        </w:rPr>
        <w:t>The authorization to search must be based on probable cause, particularly describe the place to be searched, and describe the persons or things to be seized.</w:t>
      </w:r>
    </w:p>
    <w:p>
      <w:pPr>
        <w:spacing w:after="20" w:line="223" w:lineRule="auto"/>
        <w:jc w:val="right"/>
        <w:bidi/>
      </w:pPr>
      <w:r>
        <w:rPr>
          <w:rFonts w:ascii="Arial" w:hAnsi="Arial"/>
          <w:sz w:val="16"/>
        </w:rPr>
        <w:t>389.11  علت احتمالی جستجو زمانی وجود دارد که اعتقاد معقولی وجود داشته باشد که شخص، اموال یا شواهد مورد جستجو در محل یا روی شخص مورد جستجو قرار دارد.</w:t>
      </w:r>
    </w:p>
    <w:p>
      <w:pPr>
        <w:spacing w:after="28" w:line="216" w:lineRule="auto"/>
        <w:ind w:left="259"/>
        <w:jc w:val="left"/>
      </w:pPr>
      <w:r>
        <w:rPr>
          <w:rFonts w:ascii="Arial" w:hAnsi="Arial"/>
          <w:color w:val="525252"/>
          <w:sz w:val="13"/>
        </w:rPr>
        <w:t>Probable cause to search exists when there is a reasonable belief that the person, property, or evidence sought is located in the place or on the person to be searched.</w:t>
      </w:r>
    </w:p>
    <w:p>
      <w:pPr>
        <w:spacing w:after="20" w:line="223" w:lineRule="auto"/>
        <w:jc w:val="right"/>
        <w:bidi/>
      </w:pPr>
      <w:r>
        <w:rPr>
          <w:rFonts w:ascii="Arial" w:hAnsi="Arial"/>
          <w:sz w:val="16"/>
        </w:rPr>
        <w:t>389.12  «مجوز جستجو» معادل نظامی حکم جستجوی غیرنظامی است.</w:t>
      </w:r>
    </w:p>
    <w:p>
      <w:pPr>
        <w:spacing w:after="28" w:line="216" w:lineRule="auto"/>
        <w:ind w:left="259"/>
        <w:jc w:val="left"/>
      </w:pPr>
      <w:r>
        <w:rPr>
          <w:rFonts w:ascii="Arial" w:hAnsi="Arial"/>
          <w:color w:val="525252"/>
          <w:sz w:val="13"/>
        </w:rPr>
        <w:t>“Authorization to search” is the military equivalent of a civilian search warrant.</w:t>
      </w:r>
    </w:p>
    <w:p>
      <w:pPr>
        <w:spacing w:after="20" w:line="223" w:lineRule="auto"/>
        <w:jc w:val="right"/>
        <w:bidi/>
      </w:pPr>
      <w:r>
        <w:rPr>
          <w:rFonts w:ascii="Arial" w:hAnsi="Arial"/>
          <w:sz w:val="16"/>
        </w:rPr>
        <w:t>389.13  مجوز تفتیش عبارت است از اجازه صریح، کتبی یا شفاهی، که توسط یک مقام نظامی ذیصلاح برای تفتیش یک شخص یا منطقه برای یافتن اموال یا شواهد مشخص، یا جستجوی شخص خاصی و ضبط اموال، شواهد یا اشخاص صادر می‌شود.</w:t>
      </w:r>
    </w:p>
    <w:p>
      <w:pPr>
        <w:spacing w:after="28" w:line="216" w:lineRule="auto"/>
        <w:ind w:left="259"/>
        <w:jc w:val="left"/>
      </w:pPr>
      <w:r>
        <w:rPr>
          <w:rFonts w:ascii="Arial" w:hAnsi="Arial"/>
          <w:color w:val="525252"/>
          <w:sz w:val="13"/>
        </w:rPr>
        <w:t>A search authorization is an express permission, written or oral, issued by a competent military authority to search a person or an area for specified property or evidence, or to search for a specific person and to seize such property, evidence, or person.</w:t>
      </w:r>
    </w:p>
    <w:p>
      <w:pPr>
        <w:spacing w:after="20" w:line="223" w:lineRule="auto"/>
        <w:jc w:val="right"/>
        <w:bidi/>
      </w:pPr>
      <w:r>
        <w:rPr>
          <w:rFonts w:ascii="Arial" w:hAnsi="Arial"/>
          <w:sz w:val="16"/>
        </w:rPr>
        <w:t>389.14  فرماندهان، قضات نظامی و قضات ممکن است مجاز به بازرسی از افراد و اموال تحت امر خود باشند و اجازه تفتیش و توقیف با علت احتمالی را در مورد هر کسی که مشمول قانون نظامی یا در هر مکانی در یک تاسیسات است، بدهند.</w:t>
      </w:r>
    </w:p>
    <w:p>
      <w:pPr>
        <w:spacing w:after="28" w:line="216" w:lineRule="auto"/>
        <w:ind w:left="259"/>
        <w:jc w:val="left"/>
      </w:pPr>
      <w:r>
        <w:rPr>
          <w:rFonts w:ascii="Arial" w:hAnsi="Arial"/>
          <w:color w:val="525252"/>
          <w:sz w:val="13"/>
        </w:rPr>
        <w:t>Commanders, military judges, and magistrates may be authorized to direct inspections of persons and property under their command authority and to authorize probable cause searches and seizures over anyone subject to military law or at any place on an installation.</w:t>
      </w:r>
    </w:p>
    <w:p>
      <w:pPr>
        <w:spacing w:after="20" w:line="223" w:lineRule="auto"/>
        <w:jc w:val="right"/>
        <w:bidi/>
      </w:pPr>
      <w:r>
        <w:rPr>
          <w:rFonts w:ascii="Arial" w:hAnsi="Arial"/>
          <w:sz w:val="16"/>
        </w:rPr>
        <w:t>389.15  فرماندهی که اجازه تفتیش یا توقیف را می‌دهد باید بی‌طرف و از قضیه و واقعیت‌ها جدا باشد.</w:t>
      </w:r>
    </w:p>
    <w:p>
      <w:pPr>
        <w:spacing w:after="28" w:line="216" w:lineRule="auto"/>
        <w:ind w:left="259"/>
        <w:jc w:val="left"/>
      </w:pPr>
      <w:r>
        <w:rPr>
          <w:rFonts w:ascii="Arial" w:hAnsi="Arial"/>
          <w:color w:val="525252"/>
          <w:sz w:val="13"/>
        </w:rPr>
        <w:t>A commander who authorizes a search or seizure must be neutral and detached from the case and facts.</w:t>
      </w:r>
    </w:p>
    <w:p>
      <w:pPr>
        <w:spacing w:after="20" w:line="223" w:lineRule="auto"/>
        <w:jc w:val="right"/>
        <w:bidi/>
      </w:pPr>
      <w:r>
        <w:rPr>
          <w:rFonts w:ascii="Arial" w:hAnsi="Arial"/>
          <w:sz w:val="16"/>
        </w:rPr>
        <w:t>389.16  بنابراین، وظایف فرماندهی جمع‌آوری حقایق و حفظ نظم کلی نظامی باید از تصمیم قانونی برای اعطای مجوز جستجو جدا باقی بماند.</w:t>
      </w:r>
    </w:p>
    <w:p>
      <w:pPr>
        <w:spacing w:after="28" w:line="216" w:lineRule="auto"/>
        <w:ind w:left="259"/>
        <w:jc w:val="left"/>
      </w:pPr>
      <w:r>
        <w:rPr>
          <w:rFonts w:ascii="Arial" w:hAnsi="Arial"/>
          <w:color w:val="525252"/>
          <w:sz w:val="13"/>
        </w:rPr>
        <w:t>Therefore, the command functions of gathering facts and maintaining overall military discipline must remain separate from the legal decision to grant search authorization.</w:t>
      </w:r>
    </w:p>
    <w:p>
      <w:pPr>
        <w:spacing w:before="60" w:after="28"/>
        <w:jc w:val="right"/>
        <w:bidi/>
      </w:pPr>
      <w:r>
        <w:rPr>
          <w:b/>
          <w:color w:val="1F4D78"/>
          <w:sz w:val="18"/>
        </w:rPr>
        <w:t>21.8. بازرسی ها</w:t>
      </w:r>
    </w:p>
    <w:p>
      <w:pPr>
        <w:spacing w:after="20"/>
        <w:ind w:left="259"/>
        <w:jc w:val="left"/>
      </w:pPr>
      <w:r>
        <w:rPr>
          <w:color w:val="555555"/>
          <w:sz w:val="12"/>
        </w:rPr>
        <w:t>21.8. Inspections</w:t>
      </w:r>
    </w:p>
    <w:p>
      <w:pPr>
        <w:spacing w:after="20" w:line="223" w:lineRule="auto"/>
        <w:jc w:val="right"/>
        <w:bidi/>
      </w:pPr>
      <w:r>
        <w:rPr>
          <w:rFonts w:ascii="Arial" w:hAnsi="Arial"/>
          <w:sz w:val="16"/>
        </w:rPr>
        <w:t>389.18  بازرسی از یک شخص، اموال یا اماکن برای تعیین و اطمینان از امنیت، آمادگی نظامی یا نظم و انضباط یک واحد، سازمان یا تأسیسات است.</w:t>
      </w:r>
    </w:p>
    <w:p>
      <w:pPr>
        <w:spacing w:after="28" w:line="216" w:lineRule="auto"/>
        <w:ind w:left="259"/>
        <w:jc w:val="left"/>
      </w:pPr>
      <w:r>
        <w:rPr>
          <w:rFonts w:ascii="Arial" w:hAnsi="Arial"/>
          <w:color w:val="525252"/>
          <w:sz w:val="13"/>
        </w:rPr>
        <w:t>An inspection is of a person, property, or premises for the primary purpose of determining and ensuring the security, military fitness, or good order and discipline of a unit, organization, or installation.</w:t>
      </w:r>
    </w:p>
    <w:p>
      <w:pPr>
        <w:spacing w:after="20" w:line="223" w:lineRule="auto"/>
        <w:jc w:val="right"/>
        <w:bidi/>
      </w:pPr>
      <w:r>
        <w:rPr>
          <w:rFonts w:ascii="Arial" w:hAnsi="Arial"/>
          <w:sz w:val="16"/>
        </w:rPr>
        <w:t>389.19  فرماندهان ممکن است از واحدهای خود بازرسی انجام دهند.</w:t>
      </w:r>
    </w:p>
    <w:p>
      <w:pPr>
        <w:spacing w:after="28" w:line="216" w:lineRule="auto"/>
        <w:ind w:left="259"/>
        <w:jc w:val="left"/>
      </w:pPr>
      <w:r>
        <w:rPr>
          <w:rFonts w:ascii="Arial" w:hAnsi="Arial"/>
          <w:color w:val="525252"/>
          <w:sz w:val="13"/>
        </w:rPr>
        <w:t>Commanders may conduct inspections of their units.</w:t>
      </w:r>
    </w:p>
    <w:p>
      <w:pPr>
        <w:spacing w:after="20" w:line="223" w:lineRule="auto"/>
        <w:jc w:val="right"/>
        <w:bidi/>
      </w:pPr>
      <w:r>
        <w:rPr>
          <w:rFonts w:ascii="Arial" w:hAnsi="Arial"/>
          <w:sz w:val="16"/>
        </w:rPr>
        <w:t>389.20  بازرسی‌ها جستجو نیستند.</w:t>
      </w:r>
    </w:p>
    <w:p>
      <w:pPr>
        <w:spacing w:after="28" w:line="216" w:lineRule="auto"/>
        <w:ind w:left="259"/>
        <w:jc w:val="left"/>
      </w:pPr>
      <w:r>
        <w:rPr>
          <w:rFonts w:ascii="Arial" w:hAnsi="Arial"/>
          <w:color w:val="525252"/>
          <w:sz w:val="13"/>
        </w:rPr>
        <w:t>Inspections are not searches.</w:t>
      </w:r>
    </w:p>
    <w:p>
      <w:pPr>
        <w:spacing w:after="20" w:line="223" w:lineRule="auto"/>
        <w:jc w:val="right"/>
        <w:bidi/>
      </w:pPr>
      <w:r>
        <w:rPr>
          <w:rFonts w:ascii="Arial" w:hAnsi="Arial"/>
          <w:sz w:val="16"/>
        </w:rPr>
        <w:t>389.21  تمایز بین تفتیش و بازرسی در این است که بازرسی برای هدف اولیه به دست آوردن شواهد برای استفاده در محاکمه یا سایر اقدامات انضباطی انجام نمی‌شود و بر مظنون یا فرد خاصی تمرکز نمی‌کند.</w:t>
      </w:r>
    </w:p>
    <w:p>
      <w:pPr>
        <w:spacing w:after="28" w:line="216" w:lineRule="auto"/>
        <w:ind w:left="259"/>
        <w:jc w:val="left"/>
      </w:pPr>
      <w:r>
        <w:rPr>
          <w:rFonts w:ascii="Arial" w:hAnsi="Arial"/>
          <w:color w:val="525252"/>
          <w:sz w:val="13"/>
        </w:rPr>
        <w:t>The distinction between a search and an inspection is that an inspection is not conducted for the primary purpose of obtaining evidence for use in a trial or other disciplinary proceedings and does not focus on a particular suspect or individual.</w:t>
      </w:r>
    </w:p>
    <w:p>
      <w:pPr>
        <w:spacing w:after="20" w:line="223" w:lineRule="auto"/>
        <w:jc w:val="right"/>
        <w:bidi/>
      </w:pPr>
      <w:r>
        <w:rPr>
          <w:rFonts w:ascii="Arial" w:hAnsi="Arial"/>
          <w:sz w:val="16"/>
        </w:rPr>
        <w:t>389.22  کالای قاچاق کشف شده در طی بازرسی (به‌عنوان مثال، بررسی ورود خودرو و آزمایش تصادفی مواد مخدر) در دادگاه قابل قبول است.</w:t>
      </w:r>
    </w:p>
    <w:p>
      <w:pPr>
        <w:spacing w:after="28" w:line="216" w:lineRule="auto"/>
        <w:ind w:left="259"/>
        <w:jc w:val="left"/>
      </w:pPr>
      <w:r>
        <w:rPr>
          <w:rFonts w:ascii="Arial" w:hAnsi="Arial"/>
          <w:color w:val="525252"/>
          <w:sz w:val="13"/>
        </w:rPr>
        <w:t>Contraband seized during an inspection (for example, vehicle entry checks and random drug testing) is admissible in court.</w:t>
      </w:r>
    </w:p>
    <w:p>
      <w:r>
        <w:br w:type="page"/>
      </w:r>
    </w:p>
    <w:p>
      <w:pPr>
        <w:spacing w:after="60"/>
        <w:jc w:val="right"/>
        <w:bidi/>
      </w:pPr>
      <w:r>
        <w:rPr>
          <w:rFonts w:ascii="Arial" w:hAnsi="Arial"/>
          <w:b/>
          <w:color w:val="1F4D78"/>
          <w:sz w:val="19"/>
        </w:rPr>
        <w:t>هفتهٔ 390  |  صفحهٔ منبع: 406</w:t>
      </w:r>
    </w:p>
    <w:p>
      <w:pPr>
        <w:spacing w:before="60" w:after="28"/>
        <w:jc w:val="right"/>
        <w:bidi/>
      </w:pPr>
      <w:r>
        <w:rPr>
          <w:b/>
          <w:color w:val="1F4D78"/>
          <w:sz w:val="18"/>
        </w:rPr>
        <w:t>بخش 21C-مجازات غیرقانونی</w:t>
      </w:r>
    </w:p>
    <w:p>
      <w:pPr>
        <w:spacing w:after="20"/>
        <w:ind w:left="259"/>
        <w:jc w:val="left"/>
      </w:pPr>
      <w:r>
        <w:rPr>
          <w:color w:val="555555"/>
          <w:sz w:val="12"/>
        </w:rPr>
        <w:t>Section 21C—Nonjudicial Punishment</w:t>
      </w:r>
    </w:p>
    <w:p>
      <w:pPr>
        <w:spacing w:before="60" w:after="28"/>
        <w:jc w:val="right"/>
        <w:bidi/>
      </w:pPr>
      <w:r>
        <w:rPr>
          <w:b/>
          <w:color w:val="1F4D78"/>
          <w:sz w:val="18"/>
        </w:rPr>
        <w:t>21.9. رویه های اداری</w:t>
      </w:r>
    </w:p>
    <w:p>
      <w:pPr>
        <w:spacing w:after="20"/>
        <w:ind w:left="259"/>
        <w:jc w:val="left"/>
      </w:pPr>
      <w:r>
        <w:rPr>
          <w:color w:val="555555"/>
          <w:sz w:val="12"/>
        </w:rPr>
        <w:t>21.9. Administrative Procedures</w:t>
      </w:r>
    </w:p>
    <w:p>
      <w:pPr>
        <w:spacing w:after="20" w:line="223" w:lineRule="auto"/>
        <w:jc w:val="right"/>
        <w:bidi/>
      </w:pPr>
      <w:r>
        <w:rPr>
          <w:rFonts w:ascii="Arial" w:hAnsi="Arial"/>
          <w:sz w:val="16"/>
        </w:rPr>
        <w:t>390.03  مجازات غیرقانونی بر اساس ماده ۱۵، قانون یکسان عدالت نظامی (UCMJ) مجاز است.</w:t>
      </w:r>
    </w:p>
    <w:p>
      <w:pPr>
        <w:spacing w:after="28" w:line="216" w:lineRule="auto"/>
        <w:ind w:left="259"/>
        <w:jc w:val="left"/>
      </w:pPr>
      <w:r>
        <w:rPr>
          <w:rFonts w:ascii="Arial" w:hAnsi="Arial"/>
          <w:color w:val="525252"/>
          <w:sz w:val="13"/>
        </w:rPr>
        <w:t>Nonjudicial punishment is authorized under Article 15, Uniform Code of Military Justice (UCMJ).</w:t>
      </w:r>
    </w:p>
    <w:p>
      <w:pPr>
        <w:spacing w:after="20" w:line="223" w:lineRule="auto"/>
        <w:jc w:val="right"/>
        <w:bidi/>
      </w:pPr>
      <w:r>
        <w:rPr>
          <w:rFonts w:ascii="Arial" w:hAnsi="Arial"/>
          <w:sz w:val="16"/>
        </w:rPr>
        <w:t>390.04  که غالبا به‌عنوان ماده ۱۵ از آن یاد می‌شود، مجازات غیرقانونی ابزار ضروری و سریع برای حفظ نظم و انضباط را برای فرماندهان فراهم می‌کند و تغییرات رفتاری مثبت را در اعضای خدمت بدون انگ محکومیت دادگاه نظامی ترویج می‌کند.</w:t>
      </w:r>
    </w:p>
    <w:p>
      <w:pPr>
        <w:spacing w:after="28" w:line="216" w:lineRule="auto"/>
        <w:ind w:left="259"/>
        <w:jc w:val="left"/>
      </w:pPr>
      <w:r>
        <w:rPr>
          <w:rFonts w:ascii="Arial" w:hAnsi="Arial"/>
          <w:color w:val="525252"/>
          <w:sz w:val="13"/>
        </w:rPr>
        <w:t>Often referred to as an Article 15, nonjudicial punishment provides commanders with an essential and prompt means of maintaining good order and discipline and promotes positive behavior changes in service members without the stigma of a court-martial conviction.</w:t>
      </w:r>
    </w:p>
    <w:p>
      <w:pPr>
        <w:spacing w:after="20" w:line="223" w:lineRule="auto"/>
        <w:jc w:val="right"/>
        <w:bidi/>
      </w:pPr>
      <w:r>
        <w:rPr>
          <w:rFonts w:ascii="Arial" w:hAnsi="Arial"/>
          <w:sz w:val="16"/>
        </w:rPr>
        <w:t>390.05  هر عضو USAF را می‌توان به موجب ماده ۱۵ مجازات کرد.</w:t>
      </w:r>
    </w:p>
    <w:p>
      <w:pPr>
        <w:spacing w:after="28" w:line="216" w:lineRule="auto"/>
        <w:ind w:left="259"/>
        <w:jc w:val="left"/>
      </w:pPr>
      <w:r>
        <w:rPr>
          <w:rFonts w:ascii="Arial" w:hAnsi="Arial"/>
          <w:color w:val="525252"/>
          <w:sz w:val="13"/>
        </w:rPr>
        <w:t>Any USAF member can be punished by Article 15.</w:t>
      </w:r>
    </w:p>
    <w:p>
      <w:pPr>
        <w:spacing w:after="20" w:line="223" w:lineRule="auto"/>
        <w:jc w:val="right"/>
        <w:bidi/>
      </w:pPr>
      <w:r>
        <w:rPr>
          <w:rFonts w:ascii="Arial" w:hAnsi="Arial"/>
          <w:sz w:val="16"/>
        </w:rPr>
        <w:t>390.06  به‌طور کلی، مجازات غیرقانونی باید برای "جرایم جزئی" تحت UCMJ در نظر گرفته شود.</w:t>
      </w:r>
    </w:p>
    <w:p>
      <w:pPr>
        <w:spacing w:after="28" w:line="216" w:lineRule="auto"/>
        <w:ind w:left="259"/>
        <w:jc w:val="left"/>
      </w:pPr>
      <w:r>
        <w:rPr>
          <w:rFonts w:ascii="Arial" w:hAnsi="Arial"/>
          <w:color w:val="525252"/>
          <w:sz w:val="13"/>
        </w:rPr>
        <w:t>Generally, nonjudicial punishment should be reserved for “minor offenses” under the UCMJ.</w:t>
      </w:r>
    </w:p>
    <w:p>
      <w:pPr>
        <w:spacing w:after="20" w:line="223" w:lineRule="auto"/>
        <w:jc w:val="right"/>
        <w:bidi/>
      </w:pPr>
      <w:r>
        <w:rPr>
          <w:rFonts w:ascii="Arial" w:hAnsi="Arial"/>
          <w:sz w:val="16"/>
        </w:rPr>
        <w:t>390.07  فرماندهان تشویق می‌شوند، اما ملزم نیستند، قبل از توسل به فرآیند ماده ۱۵، مشاوره و توبیخ اداری ارائه دهند.</w:t>
      </w:r>
    </w:p>
    <w:p>
      <w:pPr>
        <w:spacing w:after="28" w:line="216" w:lineRule="auto"/>
        <w:ind w:left="259"/>
        <w:jc w:val="left"/>
      </w:pPr>
      <w:r>
        <w:rPr>
          <w:rFonts w:ascii="Arial" w:hAnsi="Arial"/>
          <w:color w:val="525252"/>
          <w:sz w:val="13"/>
        </w:rPr>
        <w:t>Commanders are encouraged, but not required, to offer counseling and administrative reprimands before resorting to the Article 15 process.</w:t>
      </w:r>
    </w:p>
    <w:p>
      <w:pPr>
        <w:spacing w:after="20" w:line="223" w:lineRule="auto"/>
        <w:jc w:val="right"/>
        <w:bidi/>
      </w:pPr>
      <w:r>
        <w:rPr>
          <w:rFonts w:ascii="Arial" w:hAnsi="Arial"/>
          <w:sz w:val="16"/>
        </w:rPr>
        <w:t>390.08  تخلف جزئی.</w:t>
      </w:r>
    </w:p>
    <w:p>
      <w:pPr>
        <w:spacing w:after="28" w:line="216" w:lineRule="auto"/>
        <w:ind w:left="259"/>
        <w:jc w:val="left"/>
      </w:pPr>
      <w:r>
        <w:rPr>
          <w:rFonts w:ascii="Arial" w:hAnsi="Arial"/>
          <w:color w:val="525252"/>
          <w:sz w:val="13"/>
        </w:rPr>
        <w:t>Minor Offense.</w:t>
      </w:r>
    </w:p>
    <w:p>
      <w:pPr>
        <w:spacing w:after="20" w:line="223" w:lineRule="auto"/>
        <w:jc w:val="right"/>
        <w:bidi/>
      </w:pPr>
      <w:r>
        <w:rPr>
          <w:rFonts w:ascii="Arial" w:hAnsi="Arial"/>
          <w:sz w:val="16"/>
        </w:rPr>
        <w:t>390.09  جزئی بودن یا نبودن یک تخلف به عوامل متعددی بستگی دارد و موضوعی است که به صلاحدید فرمانده تحمیل کننده واگذار شده است.</w:t>
      </w:r>
    </w:p>
    <w:p>
      <w:pPr>
        <w:spacing w:after="28" w:line="216" w:lineRule="auto"/>
        <w:ind w:left="259"/>
        <w:jc w:val="left"/>
      </w:pPr>
      <w:r>
        <w:rPr>
          <w:rFonts w:ascii="Arial" w:hAnsi="Arial"/>
          <w:color w:val="525252"/>
          <w:sz w:val="13"/>
        </w:rPr>
        <w:t>Whether or not an offense is minor depends on several factors and is a matter left to the imposing commander’s discretion.</w:t>
      </w:r>
    </w:p>
    <w:p>
      <w:pPr>
        <w:spacing w:after="20" w:line="223" w:lineRule="auto"/>
        <w:jc w:val="right"/>
        <w:bidi/>
      </w:pPr>
      <w:r>
        <w:rPr>
          <w:rFonts w:ascii="Arial" w:hAnsi="Arial"/>
          <w:sz w:val="16"/>
        </w:rPr>
        <w:t>390.10  علاوه بر ماهیت جرم، فرمانده باید سن، درجه، تکالیف، سوابق، تجربه و حداکثر مجازاتی را که در صورت محاکمه در دادگاه نظامی عمومی برای جرم قابل اعمال است، در نظر بگیرد.</w:t>
      </w:r>
    </w:p>
    <w:p>
      <w:pPr>
        <w:spacing w:after="28" w:line="216" w:lineRule="auto"/>
        <w:ind w:left="259"/>
        <w:jc w:val="left"/>
      </w:pPr>
      <w:r>
        <w:rPr>
          <w:rFonts w:ascii="Arial" w:hAnsi="Arial"/>
          <w:color w:val="525252"/>
          <w:sz w:val="13"/>
        </w:rPr>
        <w:t>Besides the nature of the offense, the commander should also consider the alleged offender’s age, grade, duty assignments, record, experience, and the maximum sentence imposable for the offense if tried by a general court-martial.</w:t>
      </w:r>
    </w:p>
    <w:p>
      <w:pPr>
        <w:spacing w:after="20" w:line="223" w:lineRule="auto"/>
        <w:jc w:val="right"/>
        <w:bidi/>
      </w:pPr>
      <w:r>
        <w:rPr>
          <w:rFonts w:ascii="Arial" w:hAnsi="Arial"/>
          <w:sz w:val="16"/>
        </w:rPr>
        <w:t>390.11  معمولا جرم صغیر جرمی است که حداکثر مجازات مجاز برای آن در صورت محاکمه در دادگاه نظامی عمومی شامل ترخیص غیر شرافتمندانه یا حبس بیش از یک سال نخواهد بود.</w:t>
      </w:r>
    </w:p>
    <w:p>
      <w:pPr>
        <w:spacing w:after="28" w:line="216" w:lineRule="auto"/>
        <w:ind w:left="259"/>
        <w:jc w:val="left"/>
      </w:pPr>
      <w:r>
        <w:rPr>
          <w:rFonts w:ascii="Arial" w:hAnsi="Arial"/>
          <w:color w:val="525252"/>
          <w:sz w:val="13"/>
        </w:rPr>
        <w:t>Ordinarily, a minor offense is an offense for which the maximum sentence authorized would not include a dishonorable discharge or confinement for more than one year if tried by a general court-martial.</w:t>
      </w:r>
    </w:p>
    <w:p>
      <w:pPr>
        <w:spacing w:after="20" w:line="223" w:lineRule="auto"/>
        <w:jc w:val="right"/>
        <w:bidi/>
      </w:pPr>
      <w:r>
        <w:rPr>
          <w:rFonts w:ascii="Arial" w:hAnsi="Arial"/>
          <w:sz w:val="16"/>
        </w:rPr>
        <w:t>390.12  رویه‌ها.</w:t>
      </w:r>
    </w:p>
    <w:p>
      <w:pPr>
        <w:spacing w:after="28" w:line="216" w:lineRule="auto"/>
        <w:ind w:left="259"/>
        <w:jc w:val="left"/>
      </w:pPr>
      <w:r>
        <w:rPr>
          <w:rFonts w:ascii="Arial" w:hAnsi="Arial"/>
          <w:color w:val="525252"/>
          <w:sz w:val="13"/>
        </w:rPr>
        <w:t>Procedures.</w:t>
      </w:r>
    </w:p>
    <w:p>
      <w:pPr>
        <w:spacing w:after="20" w:line="223" w:lineRule="auto"/>
        <w:jc w:val="right"/>
        <w:bidi/>
      </w:pPr>
      <w:r>
        <w:rPr>
          <w:rFonts w:ascii="Arial" w:hAnsi="Arial"/>
          <w:sz w:val="16"/>
        </w:rPr>
        <w:t>390.13  فرماندهان باید قبل از شروع رسیدگی به مجازات غیرقانونی و قبل از اعمال مجازات با وکیل قاضی ستاد یا یکی از افراد تعیین شده مشورت کنند.</w:t>
      </w:r>
    </w:p>
    <w:p>
      <w:pPr>
        <w:spacing w:after="28" w:line="216" w:lineRule="auto"/>
        <w:ind w:left="259"/>
        <w:jc w:val="left"/>
      </w:pPr>
      <w:r>
        <w:rPr>
          <w:rFonts w:ascii="Arial" w:hAnsi="Arial"/>
          <w:color w:val="525252"/>
          <w:sz w:val="13"/>
        </w:rPr>
        <w:t>Commanders must confer with the Staff Judge Advocate, or a designee, before initiating nonjudicial punishment proceedings and before imposing punishment.</w:t>
      </w:r>
    </w:p>
    <w:p>
      <w:pPr>
        <w:spacing w:after="20" w:line="223" w:lineRule="auto"/>
        <w:jc w:val="right"/>
        <w:bidi/>
      </w:pPr>
      <w:r>
        <w:rPr>
          <w:rFonts w:ascii="Arial" w:hAnsi="Arial"/>
          <w:sz w:val="16"/>
        </w:rPr>
        <w:t>390.14  وکیل قاضی ستاد به فرمانده کمک می‌کند تا حقایق را ارزیابی کرده و تعیین کند که آیا و چه تخلفی مرتکب شده است.</w:t>
      </w:r>
    </w:p>
    <w:p>
      <w:pPr>
        <w:spacing w:after="28" w:line="216" w:lineRule="auto"/>
        <w:ind w:left="259"/>
        <w:jc w:val="left"/>
      </w:pPr>
      <w:r>
        <w:rPr>
          <w:rFonts w:ascii="Arial" w:hAnsi="Arial"/>
          <w:color w:val="525252"/>
          <w:sz w:val="13"/>
        </w:rPr>
        <w:t>The Staff Judge Advocate advises and helps the commander evaluate the facts and determine whether and what offense was committed.</w:t>
      </w:r>
    </w:p>
    <w:p>
      <w:pPr>
        <w:spacing w:after="20" w:line="223" w:lineRule="auto"/>
        <w:jc w:val="right"/>
        <w:bidi/>
      </w:pPr>
      <w:r>
        <w:rPr>
          <w:rFonts w:ascii="Arial" w:hAnsi="Arial"/>
          <w:sz w:val="16"/>
        </w:rPr>
        <w:t>390.15  بر خلاف اقدامات اداری، اقدامات مجازات غیرقانونی فقط ممکن است ادعای نقض یک ماده تنبیهی قانون یکسان عدالت نظامی را داشته باشند.</w:t>
      </w:r>
    </w:p>
    <w:p>
      <w:pPr>
        <w:spacing w:after="28" w:line="216" w:lineRule="auto"/>
        <w:ind w:left="259"/>
        <w:jc w:val="left"/>
      </w:pPr>
      <w:r>
        <w:rPr>
          <w:rFonts w:ascii="Arial" w:hAnsi="Arial"/>
          <w:color w:val="525252"/>
          <w:sz w:val="13"/>
        </w:rPr>
        <w:t>Unlike administrative actions, nonjudicial punishment actions may only allege violations of a punitive article of the Uniform Code of Military Justice.</w:t>
      </w:r>
    </w:p>
    <w:p>
      <w:pPr>
        <w:spacing w:after="20" w:line="223" w:lineRule="auto"/>
        <w:jc w:val="right"/>
        <w:bidi/>
      </w:pPr>
      <w:r>
        <w:rPr>
          <w:rFonts w:ascii="Arial" w:hAnsi="Arial"/>
          <w:sz w:val="16"/>
        </w:rPr>
        <w:t>390.16  معیار اثباتی که فرماندهان باید در تعیین گناه اعمال کنند، غلبه بر مدارک است.</w:t>
      </w:r>
    </w:p>
    <w:p>
      <w:pPr>
        <w:spacing w:after="28" w:line="216" w:lineRule="auto"/>
        <w:ind w:left="259"/>
        <w:jc w:val="left"/>
      </w:pPr>
      <w:r>
        <w:rPr>
          <w:rFonts w:ascii="Arial" w:hAnsi="Arial"/>
          <w:color w:val="525252"/>
          <w:sz w:val="13"/>
        </w:rPr>
        <w:t>The standard of proof that commanders must apply in determining guilt is preponderance of the evidence.</w:t>
      </w:r>
    </w:p>
    <w:p>
      <w:pPr>
        <w:spacing w:after="20" w:line="223" w:lineRule="auto"/>
        <w:jc w:val="right"/>
        <w:bidi/>
      </w:pPr>
      <w:r>
        <w:rPr>
          <w:rFonts w:ascii="Arial" w:hAnsi="Arial"/>
          <w:sz w:val="16"/>
        </w:rPr>
        <w:t>390.17  این به این معنی است که یک فرمانده باید بر اساس شواهد در نظر گرفته شده تعیین کند که احتمال اینکه آن عضو مرتکب جرم ادعایی شده باشد بیشتر است.</w:t>
      </w:r>
    </w:p>
    <w:p>
      <w:pPr>
        <w:spacing w:after="28" w:line="216" w:lineRule="auto"/>
        <w:ind w:left="259"/>
        <w:jc w:val="left"/>
      </w:pPr>
      <w:r>
        <w:rPr>
          <w:rFonts w:ascii="Arial" w:hAnsi="Arial"/>
          <w:color w:val="525252"/>
          <w:sz w:val="13"/>
        </w:rPr>
        <w:t>This means that a commander must determine, based on the evidence considered, that it is more likely than not that the member committed the alleged offense.</w:t>
      </w:r>
    </w:p>
    <w:p>
      <w:pPr>
        <w:spacing w:after="20" w:line="223" w:lineRule="auto"/>
        <w:jc w:val="right"/>
        <w:bidi/>
      </w:pPr>
      <w:r>
        <w:rPr>
          <w:rFonts w:ascii="Arial" w:hAnsi="Arial"/>
          <w:sz w:val="16"/>
        </w:rPr>
        <w:t>390.18  فرماندهان مافوق که به‌عنوان مرجع تجدیدنظر خدمت می‌کنند باید از همان استاندارد استفاده کنند.</w:t>
      </w:r>
    </w:p>
    <w:p>
      <w:pPr>
        <w:spacing w:after="28" w:line="216" w:lineRule="auto"/>
        <w:ind w:left="259"/>
        <w:jc w:val="left"/>
      </w:pPr>
      <w:r>
        <w:rPr>
          <w:rFonts w:ascii="Arial" w:hAnsi="Arial"/>
          <w:color w:val="525252"/>
          <w:sz w:val="13"/>
        </w:rPr>
        <w:t>Superior commanders serving as appeal authority must apply the same standard.</w:t>
      </w:r>
    </w:p>
    <w:p>
      <w:pPr>
        <w:spacing w:after="20" w:line="223" w:lineRule="auto"/>
        <w:jc w:val="right"/>
        <w:bidi/>
      </w:pPr>
      <w:r>
        <w:rPr>
          <w:rFonts w:ascii="Arial" w:hAnsi="Arial"/>
          <w:sz w:val="16"/>
        </w:rPr>
        <w:t>390.19  سابقه مجازات غیرقانونی.</w:t>
      </w:r>
    </w:p>
    <w:p>
      <w:pPr>
        <w:spacing w:after="28" w:line="216" w:lineRule="auto"/>
        <w:ind w:left="259"/>
        <w:jc w:val="left"/>
      </w:pPr>
      <w:r>
        <w:rPr>
          <w:rFonts w:ascii="Arial" w:hAnsi="Arial"/>
          <w:color w:val="525252"/>
          <w:sz w:val="13"/>
        </w:rPr>
        <w:t>Record of Nonjudicial Punishment.</w:t>
      </w:r>
    </w:p>
    <w:p>
      <w:pPr>
        <w:spacing w:after="20" w:line="223" w:lineRule="auto"/>
        <w:jc w:val="right"/>
        <w:bidi/>
      </w:pPr>
      <w:r>
        <w:rPr>
          <w:rFonts w:ascii="Arial" w:hAnsi="Arial"/>
          <w:sz w:val="16"/>
        </w:rPr>
        <w:t>390.20  اگر فرمانده تشخیص دهد که مجازات غیرقانونی مناسب است، وکیل دادگستری کارکنان یا بخش عدالت نظامی دفتر حقوقی پایگاه اسناد مناسب را آماده می‌کند: AF فورم ۳۰۷۰ا، سوابق دادرسی مجازات غیرقانونی (AB ترو SSgt) AF فورم ۳۰۷۰ب. از طریق CMSgt) AF فورم ۳۰۷۰ک، سابقه رسیدگی به مجازات غیرقانونی (افسر) فرمانده با امضای فرم AF مناسب ۳۰۷۰ و ارائه آن به عضو، به عضو اطلاع می‌دهد که در حال بررسی مجازات طبق ماده ۱۵ است.</w:t>
      </w:r>
    </w:p>
    <w:p>
      <w:pPr>
        <w:spacing w:after="28" w:line="216" w:lineRule="auto"/>
        <w:ind w:left="259"/>
        <w:jc w:val="left"/>
      </w:pPr>
      <w:r>
        <w:rPr>
          <w:rFonts w:ascii="Arial" w:hAnsi="Arial"/>
          <w:color w:val="525252"/>
          <w:sz w:val="13"/>
        </w:rPr>
        <w:t>If the commander does determine that nonjudicial punishment is appropriate, the Staff Judge Advocate or military justice section of the base legal office prepares the appropriate documentation: AF Form 3070A, Record of Nonjudicial Punishment Proceedings (AB thru SSgt) AF Form 3070B, Record of Nonjudicial Punishment Proceedings (TSgt thru CMSgt) AF Form 3070C, Record of Nonjudicial Punishment Proceedings (Officer) The commander notifies the member that he or she is considering punishment under Article 15 by signing the appropriate AF Form 3070 and providing it to the member.</w:t>
      </w:r>
    </w:p>
    <w:p>
      <w:pPr>
        <w:spacing w:after="20" w:line="223" w:lineRule="auto"/>
        <w:jc w:val="right"/>
        <w:bidi/>
      </w:pPr>
      <w:r>
        <w:rPr>
          <w:rFonts w:ascii="Arial" w:hAnsi="Arial"/>
          <w:sz w:val="16"/>
        </w:rPr>
        <w:t>390.21  این فرم شامل بیانیه‌ای از جرم(های) ادعا شده، حقوق اعضا و حداکثر مجازات مجاز است.</w:t>
      </w:r>
    </w:p>
    <w:p>
      <w:pPr>
        <w:spacing w:after="28" w:line="216" w:lineRule="auto"/>
        <w:ind w:left="259"/>
        <w:jc w:val="left"/>
      </w:pPr>
      <w:r>
        <w:rPr>
          <w:rFonts w:ascii="Arial" w:hAnsi="Arial"/>
          <w:color w:val="525252"/>
          <w:sz w:val="13"/>
        </w:rPr>
        <w:t>The form includes a statement of the alleged offense(s), the member’s rights, and the maximum punishment allowable.</w:t>
      </w:r>
    </w:p>
    <w:p>
      <w:pPr>
        <w:spacing w:after="20" w:line="223" w:lineRule="auto"/>
        <w:jc w:val="right"/>
        <w:bidi/>
      </w:pPr>
      <w:r>
        <w:rPr>
          <w:rFonts w:ascii="Arial" w:hAnsi="Arial"/>
          <w:sz w:val="16"/>
        </w:rPr>
        <w:t>390.22  پس از دریافت فرم، عضو حق دارد کلیه اظهارات و مدارک موجود در اختیار فرمانده را بررسی کند و ملزم به قبول یا رد مجازات غیر قضایی زودتر از ۷۲ ساعت پس از ابلاغ نیست.</w:t>
      </w:r>
    </w:p>
    <w:p>
      <w:pPr>
        <w:spacing w:after="28" w:line="216" w:lineRule="auto"/>
        <w:ind w:left="259"/>
        <w:jc w:val="left"/>
      </w:pPr>
      <w:r>
        <w:rPr>
          <w:rFonts w:ascii="Arial" w:hAnsi="Arial"/>
          <w:color w:val="525252"/>
          <w:sz w:val="13"/>
        </w:rPr>
        <w:t>After receiving the form, the member has a right to examine all statements and evidence available to the commander and is not required to accept or reject nonjudicial punishment sooner than 72 hours following notification.</w:t>
      </w:r>
    </w:p>
    <w:p>
      <w:pPr>
        <w:spacing w:after="20" w:line="223" w:lineRule="auto"/>
        <w:jc w:val="right"/>
        <w:bidi/>
      </w:pPr>
      <w:r>
        <w:rPr>
          <w:rFonts w:ascii="Arial" w:hAnsi="Arial"/>
          <w:sz w:val="16"/>
        </w:rPr>
        <w:t>390.23  فرمانده آغازگر می‌تواند بنا به درخواست کتبی، تمدید را به دلایل خوب اعطا کند.</w:t>
      </w:r>
    </w:p>
    <w:p>
      <w:pPr>
        <w:spacing w:after="28" w:line="216" w:lineRule="auto"/>
        <w:ind w:left="259"/>
        <w:jc w:val="left"/>
      </w:pPr>
      <w:r>
        <w:rPr>
          <w:rFonts w:ascii="Arial" w:hAnsi="Arial"/>
          <w:color w:val="525252"/>
          <w:sz w:val="13"/>
        </w:rPr>
        <w:t>The initiating commander may, upon written application, grant an extension for good cause.</w:t>
      </w:r>
    </w:p>
    <w:p>
      <w:pPr>
        <w:spacing w:after="20" w:line="223" w:lineRule="auto"/>
        <w:jc w:val="right"/>
        <w:bidi/>
      </w:pPr>
      <w:r>
        <w:rPr>
          <w:rFonts w:ascii="Arial" w:hAnsi="Arial"/>
          <w:sz w:val="16"/>
        </w:rPr>
        <w:t>390.24  پذیرش مجازات غیرقانونی توسط یک عضو، انتخاب انجمن است، نه پذیرش گناه.</w:t>
      </w:r>
    </w:p>
    <w:p>
      <w:pPr>
        <w:spacing w:after="28" w:line="216" w:lineRule="auto"/>
        <w:ind w:left="259"/>
        <w:jc w:val="left"/>
      </w:pPr>
      <w:r>
        <w:rPr>
          <w:rFonts w:ascii="Arial" w:hAnsi="Arial"/>
          <w:color w:val="525252"/>
          <w:sz w:val="13"/>
        </w:rPr>
        <w:t>Acceptance of nonjudicial punishment by a member is a choice of forum, not an acceptance of guilt.</w:t>
      </w:r>
    </w:p>
    <w:p>
      <w:pPr>
        <w:spacing w:after="20" w:line="223" w:lineRule="auto"/>
        <w:jc w:val="right"/>
        <w:bidi/>
      </w:pPr>
      <w:r>
        <w:rPr>
          <w:rFonts w:ascii="Arial" w:hAnsi="Arial"/>
          <w:sz w:val="16"/>
        </w:rPr>
        <w:t>390.25  هواپیمایی که مجازات غیرقانونی سپری می‌شود، حق دارد مجازات غیرقانونی را «نپذیرفته» و برای جرمی که به آن متهم است، از دادگاه نظامی محاکمه کند.</w:t>
      </w:r>
    </w:p>
    <w:p>
      <w:pPr>
        <w:spacing w:after="28" w:line="216" w:lineRule="auto"/>
        <w:ind w:left="259"/>
        <w:jc w:val="left"/>
      </w:pPr>
      <w:r>
        <w:rPr>
          <w:rFonts w:ascii="Arial" w:hAnsi="Arial"/>
          <w:color w:val="525252"/>
          <w:sz w:val="13"/>
        </w:rPr>
        <w:t>An Airman who is served nonjudicial punishment has the right to “turn down” the nonjudicial punishment and demand trial by court-martial for the offense(s) he or she is accused of.</w:t>
      </w:r>
    </w:p>
    <w:p>
      <w:pPr>
        <w:spacing w:after="20" w:line="223" w:lineRule="auto"/>
        <w:jc w:val="right"/>
        <w:bidi/>
      </w:pPr>
      <w:r>
        <w:rPr>
          <w:rFonts w:ascii="Arial" w:hAnsi="Arial"/>
          <w:sz w:val="16"/>
        </w:rPr>
        <w:t>390.26  به‌علاوه، عضو حق دارد قبل از هر تصمیمی با یک وکیل مدافع منطقه مشورت کند و یک وکیل مدافع منطقه یا وکیل غیرنظامی که با هزینه خود عضو ارائه می‌شود، می‌تواند در طول مراحل مجازات غیرقانونی به عضو کمک کند.</w:t>
      </w:r>
    </w:p>
    <w:p>
      <w:pPr>
        <w:spacing w:after="28" w:line="216" w:lineRule="auto"/>
        <w:ind w:left="259"/>
        <w:jc w:val="left"/>
      </w:pPr>
      <w:r>
        <w:rPr>
          <w:rFonts w:ascii="Arial" w:hAnsi="Arial"/>
          <w:color w:val="525252"/>
          <w:sz w:val="13"/>
        </w:rPr>
        <w:t>Additionally, the member has a right to consult an Area Defense Counsel before making any decisions, and an Area Defense Counsel, or civilian attorney provided at the member’s own expense, may assist the member throughout the nonjudicial punishment proceedings.</w:t>
      </w:r>
    </w:p>
    <w:p>
      <w:pPr>
        <w:spacing w:after="20" w:line="223" w:lineRule="auto"/>
        <w:jc w:val="right"/>
        <w:bidi/>
      </w:pPr>
      <w:r>
        <w:rPr>
          <w:rFonts w:ascii="Arial" w:hAnsi="Arial"/>
          <w:sz w:val="16"/>
        </w:rPr>
        <w:t>390.27  اگر الف</w:t>
      </w:r>
    </w:p>
    <w:p>
      <w:pPr>
        <w:spacing w:after="28" w:line="216" w:lineRule="auto"/>
        <w:ind w:left="259"/>
        <w:jc w:val="left"/>
      </w:pPr>
      <w:r>
        <w:rPr>
          <w:rFonts w:ascii="Arial" w:hAnsi="Arial"/>
          <w:color w:val="525252"/>
          <w:sz w:val="13"/>
        </w:rPr>
        <w:t>If a</w:t>
      </w:r>
    </w:p>
    <w:p>
      <w:r>
        <w:br w:type="page"/>
      </w:r>
    </w:p>
    <w:p>
      <w:pPr>
        <w:spacing w:after="60"/>
        <w:jc w:val="right"/>
        <w:bidi/>
      </w:pPr>
      <w:r>
        <w:rPr>
          <w:rFonts w:ascii="Arial" w:hAnsi="Arial"/>
          <w:b/>
          <w:color w:val="1F4D78"/>
          <w:sz w:val="19"/>
        </w:rPr>
        <w:t>هفتهٔ 391  |  صفحهٔ منبع: 407</w:t>
      </w:r>
    </w:p>
    <w:p>
      <w:pPr>
        <w:spacing w:after="20" w:line="223" w:lineRule="auto"/>
        <w:jc w:val="right"/>
        <w:bidi/>
      </w:pPr>
      <w:r>
        <w:rPr>
          <w:rFonts w:ascii="Arial" w:hAnsi="Arial"/>
          <w:sz w:val="16"/>
        </w:rPr>
        <w:t>391.01  عضو مجمع مجازات غیرقانونی را می‌پذیرد، او حق دارد مواردی را در دفاع، تخفیف یا تخفیف از طرف خود به فرمانده ارائه دهد و شخصا در مقابل فرمانده ظاهر شود، مگر در شرایط فوق‌العاده یا زمانی که فرمانده در دسترس نباشد.</w:t>
      </w:r>
    </w:p>
    <w:p>
      <w:pPr>
        <w:spacing w:after="28" w:line="216" w:lineRule="auto"/>
        <w:ind w:left="259"/>
        <w:jc w:val="left"/>
      </w:pPr>
      <w:r>
        <w:rPr>
          <w:rFonts w:ascii="Arial" w:hAnsi="Arial"/>
          <w:color w:val="525252"/>
          <w:sz w:val="13"/>
        </w:rPr>
        <w:t>member does accept the nonjudicial punishment forum, he or she has the right to present matters in defense, extenuation, or mitigation to the commander on his or her own behalf and make a personal appearance before the commander, except in extraordinary circumstances or when the commander is unavailable.</w:t>
      </w:r>
    </w:p>
    <w:p>
      <w:pPr>
        <w:spacing w:before="60" w:after="28"/>
        <w:jc w:val="right"/>
        <w:bidi/>
      </w:pPr>
      <w:r>
        <w:rPr>
          <w:b/>
          <w:color w:val="1F4D78"/>
          <w:sz w:val="18"/>
        </w:rPr>
        <w:t>21.10. مجازات های ماده 15</w:t>
      </w:r>
    </w:p>
    <w:p>
      <w:pPr>
        <w:spacing w:after="20"/>
        <w:ind w:left="259"/>
        <w:jc w:val="left"/>
      </w:pPr>
      <w:r>
        <w:rPr>
          <w:color w:val="555555"/>
          <w:sz w:val="12"/>
        </w:rPr>
        <w:t>21.10. Punishments Under Article 15</w:t>
      </w:r>
    </w:p>
    <w:p>
      <w:pPr>
        <w:spacing w:after="20" w:line="223" w:lineRule="auto"/>
        <w:jc w:val="right"/>
        <w:bidi/>
      </w:pPr>
      <w:r>
        <w:rPr>
          <w:rFonts w:ascii="Arial" w:hAnsi="Arial"/>
          <w:sz w:val="16"/>
        </w:rPr>
        <w:t>391.03  اگر فرمانده متوجه شود که عضو مرتکب تخلف شده است، مجازات مناسب را تعیین می‌کند، تصمیم خود را به عضو می‌رساند و حق تجدید نظر را به عضو اطلاع می‌دهد.</w:t>
      </w:r>
    </w:p>
    <w:p>
      <w:pPr>
        <w:spacing w:after="28" w:line="216" w:lineRule="auto"/>
        <w:ind w:left="259"/>
        <w:jc w:val="left"/>
      </w:pPr>
      <w:r>
        <w:rPr>
          <w:rFonts w:ascii="Arial" w:hAnsi="Arial"/>
          <w:color w:val="525252"/>
          <w:sz w:val="13"/>
        </w:rPr>
        <w:t>If the commander finds the member committed an offense, he or she will determine the appropriate punishment, serve his or her decision upon the member, and notify the member of the right to appeal.</w:t>
      </w:r>
    </w:p>
    <w:p>
      <w:pPr>
        <w:spacing w:after="20" w:line="223" w:lineRule="auto"/>
        <w:jc w:val="right"/>
        <w:bidi/>
      </w:pPr>
      <w:r>
        <w:rPr>
          <w:rFonts w:ascii="Arial" w:hAnsi="Arial"/>
          <w:sz w:val="16"/>
        </w:rPr>
        <w:t>391.04  مجازات‌ها ممکن است شامل کاهش درجه، محرومیت از حقوق، محدودیت‌ها، وظایف اضافی و بازداشت اصلاحی باشد.</w:t>
      </w:r>
    </w:p>
    <w:p>
      <w:pPr>
        <w:spacing w:after="28" w:line="216" w:lineRule="auto"/>
        <w:ind w:left="259"/>
        <w:jc w:val="left"/>
      </w:pPr>
      <w:r>
        <w:rPr>
          <w:rFonts w:ascii="Arial" w:hAnsi="Arial"/>
          <w:color w:val="525252"/>
          <w:sz w:val="13"/>
        </w:rPr>
        <w:t>Punishments may include reduction in grade, forfeiture of pay, restrictions, extra duties, and correctional custody.</w:t>
      </w:r>
    </w:p>
    <w:p>
      <w:pPr>
        <w:spacing w:after="20" w:line="223" w:lineRule="auto"/>
        <w:jc w:val="right"/>
        <w:bidi/>
      </w:pPr>
      <w:r>
        <w:rPr>
          <w:rFonts w:ascii="Arial" w:hAnsi="Arial"/>
          <w:sz w:val="16"/>
        </w:rPr>
        <w:t>391.05  نوع و میزان مجاز مجازات با درجه فرمانده تحمیل کننده و درجه مجرم ادعایی محدود می‌شود.</w:t>
      </w:r>
    </w:p>
    <w:p>
      <w:pPr>
        <w:spacing w:after="28" w:line="216" w:lineRule="auto"/>
        <w:ind w:left="259"/>
        <w:jc w:val="left"/>
      </w:pPr>
      <w:r>
        <w:rPr>
          <w:rFonts w:ascii="Arial" w:hAnsi="Arial"/>
          <w:color w:val="525252"/>
          <w:sz w:val="13"/>
        </w:rPr>
        <w:t>The type and permissible extent of punishment are limited by the imposing commander’s grade and the alleged offender’s grade.</w:t>
      </w:r>
    </w:p>
    <w:p>
      <w:pPr>
        <w:spacing w:before="60" w:after="28"/>
        <w:jc w:val="right"/>
        <w:bidi/>
      </w:pPr>
      <w:r>
        <w:rPr>
          <w:b/>
          <w:color w:val="1F4D78"/>
          <w:sz w:val="18"/>
        </w:rPr>
        <w:t>جدول 21.1. در اینجا به عنوان یک مرجع کلی ارائه شده است. با این حال، برای اطلاعات دقیق و خاص در مورد مجازات های مندرج در ماده 15، به AFI 36-2502 و DAFI 51-202، مجازات غیر قضایی مراجعه کنید.</w:t>
      </w:r>
    </w:p>
    <w:p>
      <w:pPr>
        <w:spacing w:after="20"/>
        <w:ind w:left="259"/>
        <w:jc w:val="left"/>
      </w:pPr>
      <w:r>
        <w:rPr>
          <w:color w:val="555555"/>
          <w:sz w:val="12"/>
        </w:rPr>
        <w:t>Table 21.1. is provided here as a generalized reference; however, for detailed, specific information regarding punishments under Article 15, refer to AFI 36-2502 and DAFI 51-202, Nonjudicial Punishment.</w:t>
      </w:r>
    </w:p>
    <w:p>
      <w:pPr>
        <w:spacing w:after="20" w:line="223" w:lineRule="auto"/>
        <w:jc w:val="right"/>
        <w:bidi/>
      </w:pPr>
      <w:r>
        <w:rPr>
          <w:rFonts w:ascii="Arial" w:hAnsi="Arial"/>
          <w:sz w:val="16"/>
        </w:rPr>
        <w:t>391.07  ر تحمیل شده توسط و تحمیل شده توسط ستوان مجازات تحمیل شده توسط سرگرد سرهنگ ل یا کاپیتان یا بالاتر از ممکن است اعمال نشود ممکن است اعمال نشود به تبصره ۲ برای غیرقانونی مراجعه کنید ۱ محدودیت‌های اضافی مجازات غیرقانونی کاهش مجازات CMSgt در CMSgt یا SMSgt در SMSgt در CMSgt یا CMSgt حضانت تا ۷ روز ۳۰ روز ۳۰ روز کاهش ۳ CMSgt نو نو نوت ۲ در گرید ۴ SMSgt نو نو نوت ۲ ۵ MSgt نو ون درجه ۶ TSgt بدون درجه یک درجه ۷ SSgt یک درجه یک درجه یک درجه ۸ سرا یک درجه به عضو نیروی هوایی باسیک تو عضو نیروی هوایی درجه باسیک ون تومان ا باسیک تو عضو نیروی هوایی درجه یک پایه ۹ ا تو عضو نیروی هوایی باسیک تو عضو نیروی هوایی باسیک ۱۲ توبیخ بله بله ۱۳ محدودیت ۱۴ روز ۶۰ روز ۶۰ روز ۱۴ وظایف اضافی ۱۴ روز ۴۵ روز ۴۵ روز ½ از ۱ ماه حقوق ½ از ۱ ماه حقوق به ازای هر ۱۵ حقوق ضبط ۷ روز برای ۲ ماه در هر ماه به مدت ۲ ماه</w:t>
      </w:r>
    </w:p>
    <w:p>
      <w:pPr>
        <w:spacing w:after="28" w:line="216" w:lineRule="auto"/>
        <w:ind w:left="259"/>
        <w:jc w:val="left"/>
      </w:pPr>
      <w:r>
        <w:rPr>
          <w:rFonts w:ascii="Arial" w:hAnsi="Arial"/>
          <w:color w:val="525252"/>
          <w:sz w:val="13"/>
        </w:rPr>
        <w:t>R Imposed by U Imposed by Lieutenant Punishment Imposed by Major Lieutenant Colonel L or Captain or Above E May not impose May not impose See Note 2 for nonjudicial 1 Additional restrictions nonjudicial punishment reduction of CMSgt punishment on CMSgt on CMSgt or SMSgt or SMSgt or SMSgt 2 Correctional custody Up to 7 days 30 days 30 days Reduction 3 CMSgt No No Note 2 in Grade 4 SMSgt No No Note 2 5 MSgt No No One grade 6 TSgt No One grade One grade 7 SSgt One grade One grade One grade 8 SrA One grade To Airman Basic To Airman Basic 9 A1C One grade To Airman Basic To Airman Basic 10 Amn One grade To Airman Basic To Airman Basic 12 Reprimand Yes Yes Yes 13 Restriction 14 days 60 days 60 days 14 Extra duties 14 days 45 days 45 days ½ of 1 month’s pay ½ of 1 month’s pay per 15 Forfeiture 7 day’s per month for 2 month for 2 months pay months</w:t>
      </w:r>
    </w:p>
    <w:p>
      <w:r>
        <w:br w:type="page"/>
      </w:r>
    </w:p>
    <w:p>
      <w:pPr>
        <w:spacing w:after="60"/>
        <w:jc w:val="right"/>
        <w:bidi/>
      </w:pPr>
      <w:r>
        <w:rPr>
          <w:rFonts w:ascii="Arial" w:hAnsi="Arial"/>
          <w:b/>
          <w:color w:val="1F4D78"/>
          <w:sz w:val="19"/>
        </w:rPr>
        <w:t>هفتهٔ 392  |  صفحهٔ منبع: 408</w:t>
      </w:r>
    </w:p>
    <w:p>
      <w:pPr>
        <w:spacing w:after="20" w:line="223" w:lineRule="auto"/>
        <w:jc w:val="right"/>
        <w:bidi/>
      </w:pPr>
      <w:r>
        <w:rPr>
          <w:rFonts w:ascii="Arial" w:hAnsi="Arial"/>
          <w:sz w:val="16"/>
        </w:rPr>
        <w:t>392.01  نکات: برای محدودیت‌های بیشتر در مورد ترکیب مجازات‌ها به کتابچه راهنمای دادگاه‌های نظامی، بخش و، بند ۵د مراجعه کنید.</w:t>
      </w:r>
    </w:p>
    <w:p>
      <w:pPr>
        <w:spacing w:after="28" w:line="216" w:lineRule="auto"/>
        <w:ind w:left="259"/>
        <w:jc w:val="left"/>
      </w:pPr>
      <w:r>
        <w:rPr>
          <w:rFonts w:ascii="Arial" w:hAnsi="Arial"/>
          <w:color w:val="525252"/>
          <w:sz w:val="13"/>
        </w:rPr>
        <w:t>Notes: See Manual for Courts-Martial, part V, paragraph 5d, for further limitations on combinations of punishments.</w:t>
      </w:r>
    </w:p>
    <w:p>
      <w:pPr>
        <w:spacing w:after="20" w:line="223" w:lineRule="auto"/>
        <w:jc w:val="right"/>
        <w:bidi/>
      </w:pPr>
      <w:r>
        <w:rPr>
          <w:rFonts w:ascii="Arial" w:hAnsi="Arial"/>
          <w:sz w:val="16"/>
        </w:rPr>
        <w:t>392.02  CMSgt یا SMSgt فقط توسط فرماندهان MAJCOM، فرماندهان فرماندهان یکپارچه یا مشخص، یا فرماندهانی که اختیار ارتقاء به این درجات به آنها تفویض شده است، ممکن است یک درجه کاهش یابد.</w:t>
      </w:r>
    </w:p>
    <w:p>
      <w:pPr>
        <w:spacing w:after="28" w:line="216" w:lineRule="auto"/>
        <w:ind w:left="259"/>
        <w:jc w:val="left"/>
      </w:pPr>
      <w:r>
        <w:rPr>
          <w:rFonts w:ascii="Arial" w:hAnsi="Arial"/>
          <w:color w:val="525252"/>
          <w:sz w:val="13"/>
        </w:rPr>
        <w:t>CMSgt or SMSgt may be reduced one grade only by MAJCOM commanders, commanders of unified or specified commands, or commanders to whom promotion authority to these grades has been delegated.</w:t>
      </w:r>
    </w:p>
    <w:p>
      <w:pPr>
        <w:spacing w:after="20" w:line="223" w:lineRule="auto"/>
        <w:jc w:val="right"/>
        <w:bidi/>
      </w:pPr>
      <w:r>
        <w:rPr>
          <w:rFonts w:ascii="Arial" w:hAnsi="Arial"/>
          <w:sz w:val="16"/>
        </w:rPr>
        <w:t>392.03  به AFI ۳۶-۲۵۰۲ مراجعه کنید.</w:t>
      </w:r>
    </w:p>
    <w:p>
      <w:pPr>
        <w:spacing w:after="28" w:line="216" w:lineRule="auto"/>
        <w:ind w:left="259"/>
        <w:jc w:val="left"/>
      </w:pPr>
      <w:r>
        <w:rPr>
          <w:rFonts w:ascii="Arial" w:hAnsi="Arial"/>
          <w:color w:val="525252"/>
          <w:sz w:val="13"/>
        </w:rPr>
        <w:t>See AFI 36-2502.</w:t>
      </w:r>
    </w:p>
    <w:p>
      <w:pPr>
        <w:spacing w:after="20" w:line="223" w:lineRule="auto"/>
        <w:jc w:val="right"/>
        <w:bidi/>
      </w:pPr>
      <w:r>
        <w:rPr>
          <w:rFonts w:ascii="Arial" w:hAnsi="Arial"/>
          <w:sz w:val="16"/>
        </w:rPr>
        <w:t>392.04  DAFI ۵۱-۲۰۲، جدول ۳.۱.</w:t>
      </w:r>
    </w:p>
    <w:p>
      <w:pPr>
        <w:spacing w:after="28" w:line="216" w:lineRule="auto"/>
        <w:ind w:left="259"/>
        <w:jc w:val="left"/>
      </w:pPr>
      <w:r>
        <w:rPr>
          <w:rFonts w:ascii="Arial" w:hAnsi="Arial"/>
          <w:color w:val="525252"/>
          <w:sz w:val="13"/>
        </w:rPr>
        <w:t>DAFI 51-202, Table 3.1.</w:t>
      </w:r>
    </w:p>
    <w:p>
      <w:pPr>
        <w:spacing w:after="20" w:line="223" w:lineRule="auto"/>
        <w:jc w:val="right"/>
        <w:bidi/>
      </w:pPr>
      <w:r>
        <w:rPr>
          <w:rFonts w:ascii="Arial" w:hAnsi="Arial"/>
          <w:sz w:val="16"/>
        </w:rPr>
        <w:t>392.05  مجازات نان و آب و جیره تخفیف مجاز نیست.</w:t>
      </w:r>
    </w:p>
    <w:p>
      <w:pPr>
        <w:spacing w:after="28" w:line="216" w:lineRule="auto"/>
        <w:ind w:left="259"/>
        <w:jc w:val="left"/>
      </w:pPr>
      <w:r>
        <w:rPr>
          <w:rFonts w:ascii="Arial" w:hAnsi="Arial"/>
          <w:color w:val="525252"/>
          <w:sz w:val="13"/>
        </w:rPr>
        <w:t>Bread and water and diminished rations punishments are not authorized.</w:t>
      </w:r>
    </w:p>
    <w:p>
      <w:pPr>
        <w:spacing w:after="20" w:line="223" w:lineRule="auto"/>
        <w:jc w:val="right"/>
        <w:bidi/>
      </w:pPr>
      <w:r>
        <w:rPr>
          <w:rFonts w:ascii="Arial" w:hAnsi="Arial"/>
          <w:sz w:val="16"/>
        </w:rPr>
        <w:t>392.06  فرماندهان فروککد فقط می‌توانند از اختیارات مرتبط با درجه حقوق واقعی خود استفاده کنند.</w:t>
      </w:r>
    </w:p>
    <w:p>
      <w:pPr>
        <w:spacing w:after="28" w:line="216" w:lineRule="auto"/>
        <w:ind w:left="259"/>
        <w:jc w:val="left"/>
      </w:pPr>
      <w:r>
        <w:rPr>
          <w:rFonts w:ascii="Arial" w:hAnsi="Arial"/>
          <w:color w:val="525252"/>
          <w:sz w:val="13"/>
        </w:rPr>
        <w:t>Frocked commanders may exercise only that authority associated with their actual pay grade.</w:t>
      </w:r>
    </w:p>
    <w:p>
      <w:pPr>
        <w:spacing w:after="20" w:line="223" w:lineRule="auto"/>
        <w:jc w:val="right"/>
        <w:bidi/>
      </w:pPr>
      <w:r>
        <w:rPr>
          <w:rFonts w:ascii="Arial" w:hAnsi="Arial"/>
          <w:sz w:val="16"/>
        </w:rPr>
        <w:t>392.07  هیچ اختیاری از طرف درجه فروکش اعطا نمی‌شود.</w:t>
      </w:r>
    </w:p>
    <w:p>
      <w:pPr>
        <w:spacing w:after="28" w:line="216" w:lineRule="auto"/>
        <w:ind w:left="259"/>
        <w:jc w:val="left"/>
      </w:pPr>
      <w:r>
        <w:rPr>
          <w:rFonts w:ascii="Arial" w:hAnsi="Arial"/>
          <w:color w:val="525252"/>
          <w:sz w:val="13"/>
        </w:rPr>
        <w:t>No authority is conferred by the frocked grade.</w:t>
      </w:r>
    </w:p>
    <w:p>
      <w:pPr>
        <w:spacing w:before="60" w:after="28"/>
        <w:jc w:val="right"/>
        <w:bidi/>
      </w:pPr>
      <w:r>
        <w:rPr>
          <w:b/>
          <w:color w:val="1F4D78"/>
          <w:sz w:val="18"/>
        </w:rPr>
        <w:t>جدول 21.1. مجازات های غیرقانونی مجاز برای اعضای ثبت نام شده (یادداشت های 1، 2، 3، و 4)</w:t>
      </w:r>
    </w:p>
    <w:p>
      <w:pPr>
        <w:spacing w:after="20"/>
        <w:ind w:left="259"/>
        <w:jc w:val="left"/>
      </w:pPr>
      <w:r>
        <w:rPr>
          <w:color w:val="555555"/>
          <w:sz w:val="12"/>
        </w:rPr>
        <w:t>Table 21.1. Permissible Nonjudicial Punishments on Enlisted Members (Notes 1, 2, 3, and 4)</w:t>
      </w:r>
    </w:p>
    <w:p>
      <w:pPr>
        <w:spacing w:after="20" w:line="223" w:lineRule="auto"/>
        <w:jc w:val="right"/>
        <w:bidi/>
      </w:pPr>
      <w:r>
        <w:rPr>
          <w:rFonts w:ascii="Arial" w:hAnsi="Arial"/>
          <w:sz w:val="16"/>
        </w:rPr>
        <w:t>392.09  حق تجدیدنظر اعضا.</w:t>
      </w:r>
    </w:p>
    <w:p>
      <w:pPr>
        <w:spacing w:after="28" w:line="216" w:lineRule="auto"/>
        <w:ind w:left="259"/>
        <w:jc w:val="left"/>
      </w:pPr>
      <w:r>
        <w:rPr>
          <w:rFonts w:ascii="Arial" w:hAnsi="Arial"/>
          <w:color w:val="525252"/>
          <w:sz w:val="13"/>
        </w:rPr>
        <w:t>Member’s Right to Appeal.</w:t>
      </w:r>
    </w:p>
    <w:p>
      <w:pPr>
        <w:spacing w:after="20" w:line="223" w:lineRule="auto"/>
        <w:jc w:val="right"/>
        <w:bidi/>
      </w:pPr>
      <w:r>
        <w:rPr>
          <w:rFonts w:ascii="Arial" w:hAnsi="Arial"/>
          <w:sz w:val="16"/>
        </w:rPr>
        <w:t>392.10  اعضا حق دارند نسبت به مجازات غیرقانونی به مقام مافوق بعدی در زنجیره فرماندهی استیناف کنند.</w:t>
      </w:r>
    </w:p>
    <w:p>
      <w:pPr>
        <w:spacing w:after="28" w:line="216" w:lineRule="auto"/>
        <w:ind w:left="259"/>
        <w:jc w:val="left"/>
      </w:pPr>
      <w:r>
        <w:rPr>
          <w:rFonts w:ascii="Arial" w:hAnsi="Arial"/>
          <w:color w:val="525252"/>
          <w:sz w:val="13"/>
        </w:rPr>
        <w:t>Members are entitled to appeal nonjudicial punishment to the next superior authority in the commander’s chain of command.</w:t>
      </w:r>
    </w:p>
    <w:p>
      <w:pPr>
        <w:spacing w:after="20" w:line="223" w:lineRule="auto"/>
        <w:jc w:val="right"/>
        <w:bidi/>
      </w:pPr>
      <w:r>
        <w:rPr>
          <w:rFonts w:ascii="Arial" w:hAnsi="Arial"/>
          <w:sz w:val="16"/>
        </w:rPr>
        <w:t>392.11  وقتی عضوی که مجازات را ناعادلانه یا نامتناسب با جرم بداند، می‌تواند درخواست تجدیدنظر کند.</w:t>
      </w:r>
    </w:p>
    <w:p>
      <w:pPr>
        <w:spacing w:after="28" w:line="216" w:lineRule="auto"/>
        <w:ind w:left="259"/>
        <w:jc w:val="left"/>
      </w:pPr>
      <w:r>
        <w:rPr>
          <w:rFonts w:ascii="Arial" w:hAnsi="Arial"/>
          <w:color w:val="525252"/>
          <w:sz w:val="13"/>
        </w:rPr>
        <w:t>The member may appeal when he or she considers the punishment to be unjust or disproportionate to the offense.</w:t>
      </w:r>
    </w:p>
    <w:p>
      <w:pPr>
        <w:spacing w:after="20" w:line="223" w:lineRule="auto"/>
        <w:jc w:val="right"/>
        <w:bidi/>
      </w:pPr>
      <w:r>
        <w:rPr>
          <w:rFonts w:ascii="Arial" w:hAnsi="Arial"/>
          <w:sz w:val="16"/>
        </w:rPr>
        <w:t>392.12  یکی از اعضا ممکن است ادعا کند که مجازات ناعادلانه بوده است زیرا تخلف انجام نشده است.</w:t>
      </w:r>
    </w:p>
    <w:p>
      <w:pPr>
        <w:spacing w:after="28" w:line="216" w:lineRule="auto"/>
        <w:ind w:left="259"/>
        <w:jc w:val="left"/>
      </w:pPr>
      <w:r>
        <w:rPr>
          <w:rFonts w:ascii="Arial" w:hAnsi="Arial"/>
          <w:color w:val="525252"/>
          <w:sz w:val="13"/>
        </w:rPr>
        <w:t>A member may assert the punishment was unjust because the offense was not committed.</w:t>
      </w:r>
    </w:p>
    <w:p>
      <w:pPr>
        <w:spacing w:after="20" w:line="223" w:lineRule="auto"/>
        <w:jc w:val="right"/>
        <w:bidi/>
      </w:pPr>
      <w:r>
        <w:rPr>
          <w:rFonts w:ascii="Arial" w:hAnsi="Arial"/>
          <w:sz w:val="16"/>
        </w:rPr>
        <w:t>392.13  بنابراین، تشخیص مجرم، مجازات یا هر دو قابل تجدیدنظر است.</w:t>
      </w:r>
    </w:p>
    <w:p>
      <w:pPr>
        <w:spacing w:after="28" w:line="216" w:lineRule="auto"/>
        <w:ind w:left="259"/>
        <w:jc w:val="left"/>
      </w:pPr>
      <w:r>
        <w:rPr>
          <w:rFonts w:ascii="Arial" w:hAnsi="Arial"/>
          <w:color w:val="525252"/>
          <w:sz w:val="13"/>
        </w:rPr>
        <w:t>Thus, the guilty finding, the punishment, or both, may be appealed.</w:t>
      </w:r>
    </w:p>
    <w:p>
      <w:pPr>
        <w:spacing w:after="20" w:line="223" w:lineRule="auto"/>
        <w:jc w:val="right"/>
        <w:bidi/>
      </w:pPr>
      <w:r>
        <w:rPr>
          <w:rFonts w:ascii="Arial" w:hAnsi="Arial"/>
          <w:sz w:val="16"/>
        </w:rPr>
        <w:t>392.14  عضو پنج روز تقویمی فرصت دارد تا درخواست تجدیدنظر کتبی ارسال کند - اظهارات شفاهی قابل قبول نیست.</w:t>
      </w:r>
    </w:p>
    <w:p>
      <w:pPr>
        <w:spacing w:after="28" w:line="216" w:lineRule="auto"/>
        <w:ind w:left="259"/>
        <w:jc w:val="left"/>
      </w:pPr>
      <w:r>
        <w:rPr>
          <w:rFonts w:ascii="Arial" w:hAnsi="Arial"/>
          <w:color w:val="525252"/>
          <w:sz w:val="13"/>
        </w:rPr>
        <w:t>The member has five calendar days to submit a written appeal—an oral statement is not acceptable.</w:t>
      </w:r>
    </w:p>
    <w:p>
      <w:pPr>
        <w:spacing w:after="20" w:line="223" w:lineRule="auto"/>
        <w:jc w:val="right"/>
        <w:bidi/>
      </w:pPr>
      <w:r>
        <w:rPr>
          <w:rFonts w:ascii="Arial" w:hAnsi="Arial"/>
          <w:sz w:val="16"/>
        </w:rPr>
        <w:t>392.15  مجازات‌ها در طول فرآیند تجدیدنظر متوقف نمی‌شوند (تعلیق یا متوقف می‌شوند). با این حال، اگر فرمانده یا مرجع استیناف ظرف پنج روز پس از تسلیم، نسبت به درخواست تجدیدنظر اقدام نکند، و در صورت درخواست عضو، هرگونه مجازات اجرا نشده که شامل محدودیت یا وظایف اضافی باشد، تا پس از تجدید نظر به تعویق خواهد افتاد.</w:t>
      </w:r>
    </w:p>
    <w:p>
      <w:pPr>
        <w:spacing w:after="28" w:line="216" w:lineRule="auto"/>
        <w:ind w:left="259"/>
        <w:jc w:val="left"/>
      </w:pPr>
      <w:r>
        <w:rPr>
          <w:rFonts w:ascii="Arial" w:hAnsi="Arial"/>
          <w:color w:val="525252"/>
          <w:sz w:val="13"/>
        </w:rPr>
        <w:t>Punishments are not stayed (suspended or halted) during the appeal process; however, if the commander or appellate authority fail to take action on an appeal within five days after submission, and if the member so requests, any unexecuted punishment involving restraint or extra duties will be delayed until after appeal.</w:t>
      </w:r>
    </w:p>
    <w:p>
      <w:pPr>
        <w:spacing w:after="20" w:line="223" w:lineRule="auto"/>
        <w:jc w:val="right"/>
        <w:bidi/>
      </w:pPr>
      <w:r>
        <w:rPr>
          <w:rFonts w:ascii="Arial" w:hAnsi="Arial"/>
          <w:sz w:val="16"/>
        </w:rPr>
        <w:t>392.16  مرجع استیناف می‌تواند تمام معافیت‌ها را رد کند، تخفیف جزئی اعطا کند، یا تمام معافیت‌های درخواستی عضو را اعطا کند.</w:t>
      </w:r>
    </w:p>
    <w:p>
      <w:pPr>
        <w:spacing w:after="28" w:line="216" w:lineRule="auto"/>
        <w:ind w:left="259"/>
        <w:jc w:val="left"/>
      </w:pPr>
      <w:r>
        <w:rPr>
          <w:rFonts w:ascii="Arial" w:hAnsi="Arial"/>
          <w:color w:val="525252"/>
          <w:sz w:val="13"/>
        </w:rPr>
        <w:t>The appellate authority may deny all relief, grant partial relief, or grant all relief requested by the member.</w:t>
      </w:r>
    </w:p>
    <w:p>
      <w:pPr>
        <w:spacing w:after="20" w:line="223" w:lineRule="auto"/>
        <w:jc w:val="right"/>
        <w:bidi/>
      </w:pPr>
      <w:r>
        <w:rPr>
          <w:rFonts w:ascii="Arial" w:hAnsi="Arial"/>
          <w:sz w:val="16"/>
        </w:rPr>
        <w:t>392.17  رای مرجع تجدیدنظر قطعی است.</w:t>
      </w:r>
    </w:p>
    <w:p>
      <w:pPr>
        <w:spacing w:after="28" w:line="216" w:lineRule="auto"/>
        <w:ind w:left="259"/>
        <w:jc w:val="left"/>
      </w:pPr>
      <w:r>
        <w:rPr>
          <w:rFonts w:ascii="Arial" w:hAnsi="Arial"/>
          <w:color w:val="525252"/>
          <w:sz w:val="13"/>
        </w:rPr>
        <w:t>The appellate authority’s decision is final.</w:t>
      </w:r>
    </w:p>
    <w:p>
      <w:pPr>
        <w:spacing w:before="60" w:after="28"/>
        <w:jc w:val="right"/>
        <w:bidi/>
      </w:pPr>
      <w:r>
        <w:rPr>
          <w:b/>
          <w:color w:val="1F4D78"/>
          <w:sz w:val="18"/>
        </w:rPr>
        <w:t>21.11. اقدامات تعلیق، بهبودی، تخفیف و کنار گذاشتن</w:t>
      </w:r>
    </w:p>
    <w:p>
      <w:pPr>
        <w:spacing w:after="20"/>
        <w:ind w:left="259"/>
        <w:jc w:val="left"/>
      </w:pPr>
      <w:r>
        <w:rPr>
          <w:color w:val="555555"/>
          <w:sz w:val="12"/>
        </w:rPr>
        <w:t>21.11. Suspension, Remission, Mitigation, and Set-Aside Actions</w:t>
      </w:r>
    </w:p>
    <w:p>
      <w:pPr>
        <w:spacing w:after="20" w:line="223" w:lineRule="auto"/>
        <w:jc w:val="right"/>
        <w:bidi/>
      </w:pPr>
      <w:r>
        <w:rPr>
          <w:rFonts w:ascii="Arial" w:hAnsi="Arial"/>
          <w:sz w:val="16"/>
        </w:rPr>
        <w:t>392.19  فرمانده اختیار تعلیق، گذشت، تخفیف یا لغو مجازات ماده ۱۵ را دارد.</w:t>
      </w:r>
    </w:p>
    <w:p>
      <w:pPr>
        <w:spacing w:after="28" w:line="216" w:lineRule="auto"/>
        <w:ind w:left="259"/>
        <w:jc w:val="left"/>
      </w:pPr>
      <w:r>
        <w:rPr>
          <w:rFonts w:ascii="Arial" w:hAnsi="Arial"/>
          <w:color w:val="525252"/>
          <w:sz w:val="13"/>
        </w:rPr>
        <w:t>A commander has the power to suspend, remit, mitigate, or set aside punishment of an Article 15.</w:t>
      </w:r>
    </w:p>
    <w:p>
      <w:pPr>
        <w:spacing w:after="20" w:line="223" w:lineRule="auto"/>
        <w:jc w:val="right"/>
        <w:bidi/>
      </w:pPr>
      <w:r>
        <w:rPr>
          <w:rFonts w:ascii="Arial" w:hAnsi="Arial"/>
          <w:sz w:val="16"/>
        </w:rPr>
        <w:t>392.20  تعلیق.</w:t>
      </w:r>
    </w:p>
    <w:p>
      <w:pPr>
        <w:spacing w:after="28" w:line="216" w:lineRule="auto"/>
        <w:ind w:left="259"/>
        <w:jc w:val="left"/>
      </w:pPr>
      <w:r>
        <w:rPr>
          <w:rFonts w:ascii="Arial" w:hAnsi="Arial"/>
          <w:color w:val="525252"/>
          <w:sz w:val="13"/>
        </w:rPr>
        <w:t>Suspension.</w:t>
      </w:r>
    </w:p>
    <w:p>
      <w:pPr>
        <w:spacing w:after="20" w:line="223" w:lineRule="auto"/>
        <w:jc w:val="right"/>
        <w:bidi/>
      </w:pPr>
      <w:r>
        <w:rPr>
          <w:rFonts w:ascii="Arial" w:hAnsi="Arial"/>
          <w:sz w:val="16"/>
        </w:rPr>
        <w:t>392.21  تعلیق مجازات به تعویق انداختن اعمال تمام یا بخشی از یک دوره آزمایشی خاص است با این درک که اگر عضو مرتکب تخلف بیشتر نشود، مجازات در پایان این دوره به‌طور خودکار لغو (لغو) خواهد شد.</w:t>
      </w:r>
    </w:p>
    <w:p>
      <w:pPr>
        <w:spacing w:after="28" w:line="216" w:lineRule="auto"/>
        <w:ind w:left="259"/>
        <w:jc w:val="left"/>
      </w:pPr>
      <w:r>
        <w:rPr>
          <w:rFonts w:ascii="Arial" w:hAnsi="Arial"/>
          <w:color w:val="525252"/>
          <w:sz w:val="13"/>
        </w:rPr>
        <w:t>To suspend punishment is to postpone application of all or part of a specific probationary period with the understanding that the punishment will be automatically remitted (canceled) at the end of this period if the member does not engage in further misconduct.</w:t>
      </w:r>
    </w:p>
    <w:p>
      <w:pPr>
        <w:spacing w:after="20" w:line="223" w:lineRule="auto"/>
        <w:jc w:val="right"/>
        <w:bidi/>
      </w:pPr>
      <w:r>
        <w:rPr>
          <w:rFonts w:ascii="Arial" w:hAnsi="Arial"/>
          <w:sz w:val="16"/>
        </w:rPr>
        <w:t>392.22  دوره آزمایشی ممکن است بیش از شش ماه نباشد.</w:t>
      </w:r>
    </w:p>
    <w:p>
      <w:pPr>
        <w:spacing w:after="28" w:line="216" w:lineRule="auto"/>
        <w:ind w:left="259"/>
        <w:jc w:val="left"/>
      </w:pPr>
      <w:r>
        <w:rPr>
          <w:rFonts w:ascii="Arial" w:hAnsi="Arial"/>
          <w:color w:val="525252"/>
          <w:sz w:val="13"/>
        </w:rPr>
        <w:t>The probationary period may not exceed six months.</w:t>
      </w:r>
    </w:p>
    <w:p>
      <w:pPr>
        <w:spacing w:after="20" w:line="223" w:lineRule="auto"/>
        <w:jc w:val="right"/>
        <w:bidi/>
      </w:pPr>
      <w:r>
        <w:rPr>
          <w:rFonts w:ascii="Arial" w:hAnsi="Arial"/>
          <w:sz w:val="16"/>
        </w:rPr>
        <w:t>392.23  تعلیق ممکن است زمانی رخ دهد که فرمانده مجازات را اعمال کند یا ظرف چهار ماه پس از اجرای مجازات.</w:t>
      </w:r>
    </w:p>
    <w:p>
      <w:pPr>
        <w:spacing w:after="28" w:line="216" w:lineRule="auto"/>
        <w:ind w:left="259"/>
        <w:jc w:val="left"/>
      </w:pPr>
      <w:r>
        <w:rPr>
          <w:rFonts w:ascii="Arial" w:hAnsi="Arial"/>
          <w:color w:val="525252"/>
          <w:sz w:val="13"/>
        </w:rPr>
        <w:t>Suspension may occur when the commander imposes the punishment or within four months of executing the punishment.</w:t>
      </w:r>
    </w:p>
    <w:p>
      <w:pPr>
        <w:spacing w:after="20" w:line="223" w:lineRule="auto"/>
        <w:jc w:val="right"/>
        <w:bidi/>
      </w:pPr>
      <w:r>
        <w:rPr>
          <w:rFonts w:ascii="Arial" w:hAnsi="Arial"/>
          <w:sz w:val="16"/>
        </w:rPr>
        <w:t>392.24  سیاست USAF استفاده از احکام تعلیقی را به‌عنوان ابزار اصلاحی برای مجرمان بار اول تشویق می‌کند تا یک دوره نظارت و انگیزه برای رفتار خوب فراهم کند.</w:t>
      </w:r>
    </w:p>
    <w:p>
      <w:pPr>
        <w:spacing w:after="28" w:line="216" w:lineRule="auto"/>
        <w:ind w:left="259"/>
        <w:jc w:val="left"/>
      </w:pPr>
      <w:r>
        <w:rPr>
          <w:rFonts w:ascii="Arial" w:hAnsi="Arial"/>
          <w:color w:val="525252"/>
          <w:sz w:val="13"/>
        </w:rPr>
        <w:t>USAF policy encourages the use of suspended sentences as a corrective tool for first-time offenders to provide an observation period and an incentive for good behavior.</w:t>
      </w:r>
    </w:p>
    <w:p>
      <w:pPr>
        <w:spacing w:after="20" w:line="223" w:lineRule="auto"/>
        <w:jc w:val="right"/>
        <w:bidi/>
      </w:pPr>
      <w:r>
        <w:rPr>
          <w:rFonts w:ascii="Arial" w:hAnsi="Arial"/>
          <w:sz w:val="16"/>
        </w:rPr>
        <w:t>392.25  بهبودی.</w:t>
      </w:r>
    </w:p>
    <w:p>
      <w:pPr>
        <w:spacing w:after="28" w:line="216" w:lineRule="auto"/>
        <w:ind w:left="259"/>
        <w:jc w:val="left"/>
      </w:pPr>
      <w:r>
        <w:rPr>
          <w:rFonts w:ascii="Arial" w:hAnsi="Arial"/>
          <w:color w:val="525252"/>
          <w:sz w:val="13"/>
        </w:rPr>
        <w:t>Remission.</w:t>
      </w:r>
    </w:p>
    <w:p>
      <w:pPr>
        <w:spacing w:after="20" w:line="223" w:lineRule="auto"/>
        <w:jc w:val="right"/>
        <w:bidi/>
      </w:pPr>
      <w:r>
        <w:rPr>
          <w:rFonts w:ascii="Arial" w:hAnsi="Arial"/>
          <w:sz w:val="16"/>
        </w:rPr>
        <w:t>392.26  عفو عملی است که به موجب آن هر بخشی از مجازات اجرا نشده لغو می‌شود، معمولا به‌عنوان پاداش برای رفتار خوب یا زمانی که مشخص شود مجازات اعمال‌شده برای آن جرم خاص خیلی شدید بوده است.</w:t>
      </w:r>
    </w:p>
    <w:p>
      <w:pPr>
        <w:spacing w:after="28" w:line="216" w:lineRule="auto"/>
        <w:ind w:left="259"/>
        <w:jc w:val="left"/>
      </w:pPr>
      <w:r>
        <w:rPr>
          <w:rFonts w:ascii="Arial" w:hAnsi="Arial"/>
          <w:color w:val="525252"/>
          <w:sz w:val="13"/>
        </w:rPr>
        <w:t>Remission is an action whereby any portion of the unexecuted punishment is canceled, normally used as a reward for good behavior or when determined the punishment imposed was too severe for the particular offense.</w:t>
      </w:r>
    </w:p>
    <w:p>
      <w:pPr>
        <w:spacing w:after="20" w:line="223" w:lineRule="auto"/>
        <w:jc w:val="right"/>
        <w:bidi/>
      </w:pPr>
      <w:r>
        <w:rPr>
          <w:rFonts w:ascii="Arial" w:hAnsi="Arial"/>
          <w:sz w:val="16"/>
        </w:rPr>
        <w:t>392.27  تخفیف.</w:t>
      </w:r>
    </w:p>
    <w:p>
      <w:pPr>
        <w:spacing w:after="28" w:line="216" w:lineRule="auto"/>
        <w:ind w:left="259"/>
        <w:jc w:val="left"/>
      </w:pPr>
      <w:r>
        <w:rPr>
          <w:rFonts w:ascii="Arial" w:hAnsi="Arial"/>
          <w:color w:val="525252"/>
          <w:sz w:val="13"/>
        </w:rPr>
        <w:t>Mitigation.</w:t>
      </w:r>
    </w:p>
    <w:p>
      <w:pPr>
        <w:spacing w:after="20" w:line="223" w:lineRule="auto"/>
        <w:jc w:val="right"/>
        <w:bidi/>
      </w:pPr>
      <w:r>
        <w:rPr>
          <w:rFonts w:ascii="Arial" w:hAnsi="Arial"/>
          <w:sz w:val="16"/>
        </w:rPr>
        <w:t>392.28  تخفیف عبارت است از کاهش در کمیت یا کیفیت مجازات.</w:t>
      </w:r>
    </w:p>
    <w:p>
      <w:pPr>
        <w:spacing w:after="28" w:line="216" w:lineRule="auto"/>
        <w:ind w:left="259"/>
        <w:jc w:val="left"/>
      </w:pPr>
      <w:r>
        <w:rPr>
          <w:rFonts w:ascii="Arial" w:hAnsi="Arial"/>
          <w:color w:val="525252"/>
          <w:sz w:val="13"/>
        </w:rPr>
        <w:t>Mitigation is a reduction in either the quantity or quality of a punishment.</w:t>
      </w:r>
    </w:p>
    <w:p>
      <w:pPr>
        <w:spacing w:after="20" w:line="223" w:lineRule="auto"/>
        <w:jc w:val="right"/>
        <w:bidi/>
      </w:pPr>
      <w:r>
        <w:rPr>
          <w:rFonts w:ascii="Arial" w:hAnsi="Arial"/>
          <w:sz w:val="16"/>
        </w:rPr>
        <w:t>392.29  فرماندهان می‌توانند در هر زمانی که بخواهند قسمت یا مقداری از قسمت اجرا نشده مجازات را با تغییر به شکل کمتر شدید یا کاهش مقدار آن تخفیف دهند.</w:t>
      </w:r>
    </w:p>
    <w:p>
      <w:pPr>
        <w:spacing w:after="28" w:line="216" w:lineRule="auto"/>
        <w:ind w:left="259"/>
        <w:jc w:val="left"/>
      </w:pPr>
      <w:r>
        <w:rPr>
          <w:rFonts w:ascii="Arial" w:hAnsi="Arial"/>
          <w:color w:val="525252"/>
          <w:sz w:val="13"/>
        </w:rPr>
        <w:t>Commanders may, at any time, mitigate any part or amount of the unexecuted portion of the punishment by changing to a less severe form or reducing the quantity.</w:t>
      </w:r>
    </w:p>
    <w:p>
      <w:pPr>
        <w:spacing w:after="20" w:line="223" w:lineRule="auto"/>
        <w:jc w:val="right"/>
        <w:bidi/>
      </w:pPr>
      <w:r>
        <w:rPr>
          <w:rFonts w:ascii="Arial" w:hAnsi="Arial"/>
          <w:sz w:val="16"/>
        </w:rPr>
        <w:t>392.30  به‌عنوان مثال، کاهش در نمره را می‌توان به کاهش دستمزد کاهش داد.</w:t>
      </w:r>
    </w:p>
    <w:p>
      <w:pPr>
        <w:spacing w:after="28" w:line="216" w:lineRule="auto"/>
        <w:ind w:left="259"/>
        <w:jc w:val="left"/>
      </w:pPr>
      <w:r>
        <w:rPr>
          <w:rFonts w:ascii="Arial" w:hAnsi="Arial"/>
          <w:color w:val="525252"/>
          <w:sz w:val="13"/>
        </w:rPr>
        <w:t>For example, a reduction in grade can be mitigated to a forfeiture of pay.</w:t>
      </w:r>
    </w:p>
    <w:p>
      <w:pPr>
        <w:spacing w:after="20" w:line="223" w:lineRule="auto"/>
        <w:jc w:val="right"/>
        <w:bidi/>
      </w:pPr>
      <w:r>
        <w:rPr>
          <w:rFonts w:ascii="Arial" w:hAnsi="Arial"/>
          <w:sz w:val="16"/>
        </w:rPr>
        <w:t>392.31  کنار بگذارید.</w:t>
      </w:r>
    </w:p>
    <w:p>
      <w:pPr>
        <w:spacing w:after="28" w:line="216" w:lineRule="auto"/>
        <w:ind w:left="259"/>
        <w:jc w:val="left"/>
      </w:pPr>
      <w:r>
        <w:rPr>
          <w:rFonts w:ascii="Arial" w:hAnsi="Arial"/>
          <w:color w:val="525252"/>
          <w:sz w:val="13"/>
        </w:rPr>
        <w:t>Set Aside.</w:t>
      </w:r>
    </w:p>
    <w:p>
      <w:pPr>
        <w:spacing w:after="20" w:line="223" w:lineRule="auto"/>
        <w:jc w:val="right"/>
        <w:bidi/>
      </w:pPr>
      <w:r>
        <w:rPr>
          <w:rFonts w:ascii="Arial" w:hAnsi="Arial"/>
          <w:sz w:val="16"/>
        </w:rPr>
        <w:t>392.32  کنار گذاشتن عملی است که به موجب آن مجازات اعم از اجرا شده یا اجرا نشده کنار گذاشته می‌شود و هر گونه اموال، امتیاز یا حقوقی که از قسمتی از مجازات ساقط شده متأثر می‌شود، اعاده می‌شود.</w:t>
      </w:r>
    </w:p>
    <w:p>
      <w:pPr>
        <w:spacing w:after="28" w:line="216" w:lineRule="auto"/>
        <w:ind w:left="259"/>
        <w:jc w:val="left"/>
      </w:pPr>
      <w:r>
        <w:rPr>
          <w:rFonts w:ascii="Arial" w:hAnsi="Arial"/>
          <w:color w:val="525252"/>
          <w:sz w:val="13"/>
        </w:rPr>
        <w:t>Setting aside is an action whereby the punishment, whether executed or unexecuted, is set aside and any property, privilege, or rights affected by the portion of the punishment set aside are restored.</w:t>
      </w:r>
    </w:p>
    <w:p>
      <w:pPr>
        <w:spacing w:after="20" w:line="223" w:lineRule="auto"/>
        <w:jc w:val="right"/>
        <w:bidi/>
      </w:pPr>
      <w:r>
        <w:rPr>
          <w:rFonts w:ascii="Arial" w:hAnsi="Arial"/>
          <w:sz w:val="16"/>
        </w:rPr>
        <w:t>392.33  فرماندهان تنها زمانی از این اقدام استفاده می‌کنند که معتقد باشند، در تمام شرایط قضیه، مجازات منجر به ظلم آشکار شده است.</w:t>
      </w:r>
    </w:p>
    <w:p>
      <w:pPr>
        <w:spacing w:after="28" w:line="216" w:lineRule="auto"/>
        <w:ind w:left="259"/>
        <w:jc w:val="left"/>
      </w:pPr>
      <w:r>
        <w:rPr>
          <w:rFonts w:ascii="Arial" w:hAnsi="Arial"/>
          <w:color w:val="525252"/>
          <w:sz w:val="13"/>
        </w:rPr>
        <w:t>Commanders use this action only when they believe, under all the circumstances of the case, the punishment has resulted in clear injustice.</w:t>
      </w:r>
    </w:p>
    <w:p>
      <w:r>
        <w:br w:type="page"/>
      </w:r>
    </w:p>
    <w:p>
      <w:pPr>
        <w:spacing w:after="60"/>
        <w:jc w:val="right"/>
        <w:bidi/>
      </w:pPr>
      <w:r>
        <w:rPr>
          <w:rFonts w:ascii="Arial" w:hAnsi="Arial"/>
          <w:b/>
          <w:color w:val="1F4D78"/>
          <w:sz w:val="19"/>
        </w:rPr>
        <w:t>هفتهٔ 393  |  صفحهٔ منبع: 409</w:t>
      </w:r>
    </w:p>
    <w:p>
      <w:pPr>
        <w:spacing w:before="60" w:after="28"/>
        <w:jc w:val="right"/>
        <w:bidi/>
      </w:pPr>
      <w:r>
        <w:rPr>
          <w:b/>
          <w:color w:val="1F4D78"/>
          <w:sz w:val="18"/>
        </w:rPr>
        <w:t>بخش 21D - دادگاه‌های نظامی</w:t>
      </w:r>
    </w:p>
    <w:p>
      <w:pPr>
        <w:spacing w:after="20"/>
        <w:ind w:left="259"/>
        <w:jc w:val="left"/>
      </w:pPr>
      <w:r>
        <w:rPr>
          <w:color w:val="555555"/>
          <w:sz w:val="12"/>
        </w:rPr>
        <w:t>Section 21D—Courts-Martial</w:t>
      </w:r>
    </w:p>
    <w:p>
      <w:pPr>
        <w:spacing w:before="60" w:after="28"/>
        <w:jc w:val="right"/>
        <w:bidi/>
      </w:pPr>
      <w:r>
        <w:rPr>
          <w:b/>
          <w:color w:val="1F4D78"/>
          <w:sz w:val="18"/>
        </w:rPr>
        <w:t>21.12. مواد تنبیهی قانون یکسان عدالت نظامی</w:t>
      </w:r>
    </w:p>
    <w:p>
      <w:pPr>
        <w:spacing w:after="20"/>
        <w:ind w:left="259"/>
        <w:jc w:val="left"/>
      </w:pPr>
      <w:r>
        <w:rPr>
          <w:color w:val="555555"/>
          <w:sz w:val="12"/>
        </w:rPr>
        <w:t>21.12. Uniform Code of Military Justice Punitive Articles</w:t>
      </w:r>
    </w:p>
    <w:p>
      <w:pPr>
        <w:spacing w:after="20" w:line="223" w:lineRule="auto"/>
        <w:jc w:val="right"/>
        <w:bidi/>
      </w:pPr>
      <w:r>
        <w:rPr>
          <w:rFonts w:ascii="Arial" w:hAnsi="Arial"/>
          <w:sz w:val="16"/>
        </w:rPr>
        <w:t>393.03  مواد تنبیهی شامل مواد ۷۷ تا ۱۳۴، قانون متحدالشکل عدالت نظامی (UCMJ) است که تخلف از آن مجازات دادگاه نظامی دارد.</w:t>
      </w:r>
    </w:p>
    <w:p>
      <w:pPr>
        <w:spacing w:after="28" w:line="216" w:lineRule="auto"/>
        <w:ind w:left="259"/>
        <w:jc w:val="left"/>
      </w:pPr>
      <w:r>
        <w:rPr>
          <w:rFonts w:ascii="Arial" w:hAnsi="Arial"/>
          <w:color w:val="525252"/>
          <w:sz w:val="13"/>
        </w:rPr>
        <w:t>Punitive articles consist of Articles 77 through 134, Uniform Code of Military Justice (UCMJ), violations of which are punishable by court-martial.</w:t>
      </w:r>
    </w:p>
    <w:p>
      <w:pPr>
        <w:spacing w:after="20" w:line="223" w:lineRule="auto"/>
        <w:jc w:val="right"/>
        <w:bidi/>
      </w:pPr>
      <w:r>
        <w:rPr>
          <w:rFonts w:ascii="Arial" w:hAnsi="Arial"/>
          <w:sz w:val="16"/>
        </w:rPr>
        <w:t>393.04  مقالات تنبیهی به گونه‌ای نوشته می‌شوند که شامل افعال خاصی باشد تا توضیحاتی در مورد متن مقاله (شرح مختصر جرم)، عناصر جرم، توضیح، جرایم خفیف‌تر، حداکثر مجازات و مشخصات نمونه در مورد جرم قابل مجازات ارائه شود.</w:t>
      </w:r>
    </w:p>
    <w:p>
      <w:pPr>
        <w:spacing w:after="28" w:line="216" w:lineRule="auto"/>
        <w:ind w:left="259"/>
        <w:jc w:val="left"/>
      </w:pPr>
      <w:r>
        <w:rPr>
          <w:rFonts w:ascii="Arial" w:hAnsi="Arial"/>
          <w:color w:val="525252"/>
          <w:sz w:val="13"/>
        </w:rPr>
        <w:t>The punitive articles are written to include certain verbiage to provide clarification regarding the text of the article (brief description of the offense), elements of the offense, explanation, lesser included offenses, maximum punishment, and sample specifications regarding the punishable offense.</w:t>
      </w:r>
    </w:p>
    <w:p>
      <w:pPr>
        <w:spacing w:after="20" w:line="223" w:lineRule="auto"/>
        <w:jc w:val="right"/>
        <w:bidi/>
      </w:pPr>
      <w:r>
        <w:rPr>
          <w:rFonts w:ascii="Arial" w:hAnsi="Arial"/>
          <w:sz w:val="16"/>
        </w:rPr>
        <w:t>393.05  برای تشریح کامل مواد تنبیهی، حداکثر مجازات در خصوص ترخیص، ضبط حقوق و کمک هزینه، حبس. و مشخصات مربوط به شرایط، به کتابچه راهنمای دادگاههای نظامی (MCM)، بخش چهارم، مقالات مجازات مراجعه کنید.</w:t>
      </w:r>
    </w:p>
    <w:p>
      <w:pPr>
        <w:spacing w:after="28" w:line="216" w:lineRule="auto"/>
        <w:ind w:left="259"/>
        <w:jc w:val="left"/>
      </w:pPr>
      <w:r>
        <w:rPr>
          <w:rFonts w:ascii="Arial" w:hAnsi="Arial"/>
          <w:color w:val="525252"/>
          <w:sz w:val="13"/>
        </w:rPr>
        <w:t>For full descriptions of punitive articles, maximum punishments regarding applicable discharge, forfeiture of pay and allowances, confinement; and specifications regarding the circumstances, refer to Manual for Courts-Martial (MCM), Part IV, Punitive Articles.</w:t>
      </w:r>
    </w:p>
    <w:p>
      <w:pPr>
        <w:spacing w:after="20" w:line="223" w:lineRule="auto"/>
        <w:jc w:val="right"/>
        <w:bidi/>
      </w:pPr>
      <w:r>
        <w:rPr>
          <w:rFonts w:ascii="Arial" w:hAnsi="Arial"/>
          <w:sz w:val="16"/>
        </w:rPr>
        <w:t>393.06  تبصره: ماده ۱۳۴ برای رسیدگی به جرایم نامشخصی که «اختلال و بی‌توجهی» نامیده می‌شود و به دلیل اینکه نظم و نظم و انضباط را مخدوش می‌کند و یا به نحوی دیگر موجب بی‌اعتباری نیروهای مسلح از نظر جامعه می‌شود، مجازات دارد.</w:t>
      </w:r>
    </w:p>
    <w:p>
      <w:pPr>
        <w:spacing w:after="28" w:line="216" w:lineRule="auto"/>
        <w:ind w:left="259"/>
        <w:jc w:val="left"/>
      </w:pPr>
      <w:r>
        <w:rPr>
          <w:rFonts w:ascii="Arial" w:hAnsi="Arial"/>
          <w:color w:val="525252"/>
          <w:sz w:val="13"/>
        </w:rPr>
        <w:t>Note: Article 134 is designed to address unspecified offenses, termed “disorders and neglects,” that are punishable because they either prejudice good order and discipline or otherwise discredit the armed forces in the view of society.</w:t>
      </w:r>
    </w:p>
    <w:p>
      <w:pPr>
        <w:spacing w:after="20" w:line="223" w:lineRule="auto"/>
        <w:jc w:val="right"/>
        <w:bidi/>
      </w:pPr>
      <w:r>
        <w:rPr>
          <w:rFonts w:ascii="Arial" w:hAnsi="Arial"/>
          <w:sz w:val="16"/>
        </w:rPr>
        <w:t>393.07  ماده ۱۳۴ همچنین عناصر و تعاریفی را برای جرایم خاص نظامی ارائه می‌کند که در جای دیگری در مواد تنبیهی UCMJ به آن اشاره نشده است.</w:t>
      </w:r>
    </w:p>
    <w:p>
      <w:pPr>
        <w:spacing w:after="28" w:line="216" w:lineRule="auto"/>
        <w:ind w:left="259"/>
        <w:jc w:val="left"/>
      </w:pPr>
      <w:r>
        <w:rPr>
          <w:rFonts w:ascii="Arial" w:hAnsi="Arial"/>
          <w:color w:val="525252"/>
          <w:sz w:val="13"/>
        </w:rPr>
        <w:t>Article 134 also provides elements and definitions for certain military-specific offenses not addressed elsewhere in the punitive articles of the UCMJ.</w:t>
      </w:r>
    </w:p>
    <w:p>
      <w:pPr>
        <w:spacing w:before="60" w:after="28"/>
        <w:jc w:val="right"/>
        <w:bidi/>
      </w:pPr>
      <w:r>
        <w:rPr>
          <w:b/>
          <w:color w:val="1F4D78"/>
          <w:sz w:val="18"/>
        </w:rPr>
        <w:t>21.13. انواع دادگاه های نظامی</w:t>
      </w:r>
    </w:p>
    <w:p>
      <w:pPr>
        <w:spacing w:after="20"/>
        <w:ind w:left="259"/>
        <w:jc w:val="left"/>
      </w:pPr>
      <w:r>
        <w:rPr>
          <w:color w:val="555555"/>
          <w:sz w:val="12"/>
        </w:rPr>
        <w:t>21.13. Types of Courts-Martial</w:t>
      </w:r>
    </w:p>
    <w:p>
      <w:pPr>
        <w:spacing w:after="20" w:line="223" w:lineRule="auto"/>
        <w:jc w:val="right"/>
        <w:bidi/>
      </w:pPr>
      <w:r>
        <w:rPr>
          <w:rFonts w:ascii="Arial" w:hAnsi="Arial"/>
          <w:sz w:val="16"/>
        </w:rPr>
        <w:t>393.09  کنگره سه سطح دادگاه نظامی ایجاد کرد: عمومی (GCM)، ویژه (SPCM) و خلاصه (SCM).</w:t>
      </w:r>
    </w:p>
    <w:p>
      <w:pPr>
        <w:spacing w:after="28" w:line="216" w:lineRule="auto"/>
        <w:ind w:left="259"/>
        <w:jc w:val="left"/>
      </w:pPr>
      <w:r>
        <w:rPr>
          <w:rFonts w:ascii="Arial" w:hAnsi="Arial"/>
          <w:color w:val="525252"/>
          <w:sz w:val="13"/>
        </w:rPr>
        <w:t>Congress established three levels of courts-martial: General (GCM), Special (SPCM) and Summary (SCM).</w:t>
      </w:r>
    </w:p>
    <w:p>
      <w:pPr>
        <w:spacing w:after="20" w:line="223" w:lineRule="auto"/>
        <w:jc w:val="right"/>
        <w:bidi/>
      </w:pPr>
      <w:r>
        <w:rPr>
          <w:rFonts w:ascii="Arial" w:hAnsi="Arial"/>
          <w:sz w:val="16"/>
        </w:rPr>
        <w:t>393.10  سطوح با توجه به محدودیت‌های مجازاتی که می‌تواند توسط هر یک اعمال شود متفاوت است.</w:t>
      </w:r>
    </w:p>
    <w:p>
      <w:pPr>
        <w:spacing w:after="28" w:line="216" w:lineRule="auto"/>
        <w:ind w:left="259"/>
        <w:jc w:val="left"/>
      </w:pPr>
      <w:r>
        <w:rPr>
          <w:rFonts w:ascii="Arial" w:hAnsi="Arial"/>
          <w:color w:val="525252"/>
          <w:sz w:val="13"/>
        </w:rPr>
        <w:t>The levels differ according to the limitations upon punishment that can be imposed by each.</w:t>
      </w:r>
    </w:p>
    <w:p>
      <w:pPr>
        <w:spacing w:after="20" w:line="223" w:lineRule="auto"/>
        <w:jc w:val="right"/>
        <w:bidi/>
      </w:pPr>
      <w:r>
        <w:rPr>
          <w:rFonts w:ascii="Arial" w:hAnsi="Arial"/>
          <w:sz w:val="16"/>
        </w:rPr>
        <w:t>393.11  در اینجا سه ​​نوع توضیح داده شده است.</w:t>
      </w:r>
    </w:p>
    <w:p>
      <w:pPr>
        <w:spacing w:after="28" w:line="216" w:lineRule="auto"/>
        <w:ind w:left="259"/>
        <w:jc w:val="left"/>
      </w:pPr>
      <w:r>
        <w:rPr>
          <w:rFonts w:ascii="Arial" w:hAnsi="Arial"/>
          <w:color w:val="525252"/>
          <w:sz w:val="13"/>
        </w:rPr>
        <w:t>The three types are described here.</w:t>
      </w:r>
    </w:p>
    <w:p>
      <w:pPr>
        <w:spacing w:after="20" w:line="223" w:lineRule="auto"/>
        <w:jc w:val="right"/>
        <w:bidi/>
      </w:pPr>
      <w:r>
        <w:rPr>
          <w:rFonts w:ascii="Arial" w:hAnsi="Arial"/>
          <w:sz w:val="16"/>
        </w:rPr>
        <w:t>393.12  خلاصه دادگاه نظامی.</w:t>
      </w:r>
    </w:p>
    <w:p>
      <w:pPr>
        <w:spacing w:after="28" w:line="216" w:lineRule="auto"/>
        <w:ind w:left="259"/>
        <w:jc w:val="left"/>
      </w:pPr>
      <w:r>
        <w:rPr>
          <w:rFonts w:ascii="Arial" w:hAnsi="Arial"/>
          <w:color w:val="525252"/>
          <w:sz w:val="13"/>
        </w:rPr>
        <w:t>Summary Court-Martial.</w:t>
      </w:r>
    </w:p>
    <w:p>
      <w:pPr>
        <w:spacing w:after="20" w:line="223" w:lineRule="auto"/>
        <w:jc w:val="right"/>
        <w:bidi/>
      </w:pPr>
      <w:r>
        <w:rPr>
          <w:rFonts w:ascii="Arial" w:hAnsi="Arial"/>
          <w:sz w:val="16"/>
        </w:rPr>
        <w:t>393.13  خلاصه دادگاه‌های نظامی صلاحیت محاکمه اعضای ثبت‌نام شده مشمول UCMJ را دارند که متهم به هرگونه جرم غیر سرمایه‌ای که توسط UCMJ مجازات شده است.</w:t>
      </w:r>
    </w:p>
    <w:p>
      <w:pPr>
        <w:spacing w:after="28" w:line="216" w:lineRule="auto"/>
        <w:ind w:left="259"/>
        <w:jc w:val="left"/>
      </w:pPr>
      <w:r>
        <w:rPr>
          <w:rFonts w:ascii="Arial" w:hAnsi="Arial"/>
          <w:color w:val="525252"/>
          <w:sz w:val="13"/>
        </w:rPr>
        <w:t>Summary courts-martial have jurisdiction to try enlisted members subject to the UCMJ accused of any noncapital offense made punishable by the UCMJ.</w:t>
      </w:r>
    </w:p>
    <w:p>
      <w:pPr>
        <w:spacing w:after="20" w:line="223" w:lineRule="auto"/>
        <w:jc w:val="right"/>
        <w:bidi/>
      </w:pPr>
      <w:r>
        <w:rPr>
          <w:rFonts w:ascii="Arial" w:hAnsi="Arial"/>
          <w:sz w:val="16"/>
        </w:rPr>
        <w:t>393.14  هیچ فردی را که دادگاه‌های نظامی مختص به او صلاحیت دارند، در صورت اعتراض نمی‌توانند در دادگاه اجمالی محاکمه شوند.</w:t>
      </w:r>
    </w:p>
    <w:p>
      <w:pPr>
        <w:spacing w:after="28" w:line="216" w:lineRule="auto"/>
        <w:ind w:left="259"/>
        <w:jc w:val="left"/>
      </w:pPr>
      <w:r>
        <w:rPr>
          <w:rFonts w:ascii="Arial" w:hAnsi="Arial"/>
          <w:color w:val="525252"/>
          <w:sz w:val="13"/>
        </w:rPr>
        <w:t>No person with respect to whom summary courts-martial have jurisdiction may be brought to trial before a summary court-martial if he or she objects.</w:t>
      </w:r>
    </w:p>
    <w:p>
      <w:pPr>
        <w:spacing w:after="20" w:line="223" w:lineRule="auto"/>
        <w:jc w:val="right"/>
        <w:bidi/>
      </w:pPr>
      <w:r>
        <w:rPr>
          <w:rFonts w:ascii="Arial" w:hAnsi="Arial"/>
          <w:sz w:val="16"/>
        </w:rPr>
        <w:t>393.15  در صورت اعتراض به محاکمه توسط دادگاه نظامی اختصاری، حسب مورد ممکن است دستور دادرسی توسط دادگاه نظامی خاص یا عمومی صادر شود.</w:t>
      </w:r>
    </w:p>
    <w:p>
      <w:pPr>
        <w:spacing w:after="28" w:line="216" w:lineRule="auto"/>
        <w:ind w:left="259"/>
        <w:jc w:val="left"/>
      </w:pPr>
      <w:r>
        <w:rPr>
          <w:rFonts w:ascii="Arial" w:hAnsi="Arial"/>
          <w:color w:val="525252"/>
          <w:sz w:val="13"/>
        </w:rPr>
        <w:t>If objection to trial by summary court-martial is made, trial may be ordered by special or general court-martial, as appropriate.</w:t>
      </w:r>
    </w:p>
    <w:p>
      <w:pPr>
        <w:spacing w:after="20" w:line="223" w:lineRule="auto"/>
        <w:jc w:val="right"/>
        <w:bidi/>
      </w:pPr>
      <w:r>
        <w:rPr>
          <w:rFonts w:ascii="Arial" w:hAnsi="Arial"/>
          <w:sz w:val="16"/>
        </w:rPr>
        <w:t>393.16  خلاصه دادگاه‌های نظامی، تحت محدودیت‌هایی که رئیس‌جمهور ایالات متحده تجویز می‌کند، می‌توانند هر مجازاتی را که توسط UCMJ ممنوع نشده است، به جز اعدام، اخراج، ترخیص غیرقانونی یا بد رفتاری، حبس بیش از یک ماه، کار سخت و بدون حبس، محدودیت برای بیش از ۴ روز، محدودیت برای بیش از ۴ روز تعیین کنند. رد بیش از دو سوم حقوق یک ماه.</w:t>
      </w:r>
    </w:p>
    <w:p>
      <w:pPr>
        <w:spacing w:after="28" w:line="216" w:lineRule="auto"/>
        <w:ind w:left="259"/>
        <w:jc w:val="left"/>
      </w:pPr>
      <w:r>
        <w:rPr>
          <w:rFonts w:ascii="Arial" w:hAnsi="Arial"/>
          <w:color w:val="525252"/>
          <w:sz w:val="13"/>
        </w:rPr>
        <w:t>Summary courts-martial may, under such limitations as the U.S. President may prescribe, adjudge any punishment not forbidden by the UCMJ except death, dismissal, dishonorable or bad-conduct discharge, confinement for more than one month, hard-labor without confinement for more than 45 days, restriction to specified limits for more than two months, or forfeiture of more than two-thirds of one month’s pay.</w:t>
      </w:r>
    </w:p>
    <w:p>
      <w:pPr>
        <w:spacing w:after="20" w:line="223" w:lineRule="auto"/>
        <w:jc w:val="right"/>
        <w:bidi/>
      </w:pPr>
      <w:r>
        <w:rPr>
          <w:rFonts w:ascii="Arial" w:hAnsi="Arial"/>
          <w:sz w:val="16"/>
        </w:rPr>
        <w:t>393.17  دادگاه نظامی خلاصه از یک افسر مأمور تشکیل شده است و یک دادگاه غیر کیفری است.</w:t>
      </w:r>
    </w:p>
    <w:p>
      <w:pPr>
        <w:spacing w:after="28" w:line="216" w:lineRule="auto"/>
        <w:ind w:left="259"/>
        <w:jc w:val="left"/>
      </w:pPr>
      <w:r>
        <w:rPr>
          <w:rFonts w:ascii="Arial" w:hAnsi="Arial"/>
          <w:color w:val="525252"/>
          <w:sz w:val="13"/>
        </w:rPr>
        <w:t>A summary court-martial consists of one commissioned officer and is a non- criminal forum.</w:t>
      </w:r>
    </w:p>
    <w:p>
      <w:pPr>
        <w:spacing w:after="20" w:line="223" w:lineRule="auto"/>
        <w:jc w:val="right"/>
        <w:bidi/>
      </w:pPr>
      <w:r>
        <w:rPr>
          <w:rFonts w:ascii="Arial" w:hAnsi="Arial"/>
          <w:sz w:val="16"/>
        </w:rPr>
        <w:t>393.18  احراز مجرم بودن در دادگاه نظامی خلاصه محکومیت کیفری محسوب نمی‌شود.</w:t>
      </w:r>
    </w:p>
    <w:p>
      <w:pPr>
        <w:spacing w:after="28" w:line="216" w:lineRule="auto"/>
        <w:ind w:left="259"/>
        <w:jc w:val="left"/>
      </w:pPr>
      <w:r>
        <w:rPr>
          <w:rFonts w:ascii="Arial" w:hAnsi="Arial"/>
          <w:color w:val="525252"/>
          <w:sz w:val="13"/>
        </w:rPr>
        <w:t>A finding of guilty at a summary court-martial does not constitute a criminal conviction.</w:t>
      </w:r>
    </w:p>
    <w:p>
      <w:pPr>
        <w:spacing w:after="20" w:line="223" w:lineRule="auto"/>
        <w:jc w:val="right"/>
        <w:bidi/>
      </w:pPr>
      <w:r>
        <w:rPr>
          <w:rFonts w:ascii="Arial" w:hAnsi="Arial"/>
          <w:sz w:val="16"/>
        </w:rPr>
        <w:t>393.19  دادگاه ویژه نظامی.</w:t>
      </w:r>
    </w:p>
    <w:p>
      <w:pPr>
        <w:spacing w:after="28" w:line="216" w:lineRule="auto"/>
        <w:ind w:left="259"/>
        <w:jc w:val="left"/>
      </w:pPr>
      <w:r>
        <w:rPr>
          <w:rFonts w:ascii="Arial" w:hAnsi="Arial"/>
          <w:color w:val="525252"/>
          <w:sz w:val="13"/>
        </w:rPr>
        <w:t>Special Court-Martial.</w:t>
      </w:r>
    </w:p>
    <w:p>
      <w:pPr>
        <w:spacing w:after="20" w:line="223" w:lineRule="auto"/>
        <w:jc w:val="right"/>
        <w:bidi/>
      </w:pPr>
      <w:r>
        <w:rPr>
          <w:rFonts w:ascii="Arial" w:hAnsi="Arial"/>
          <w:sz w:val="16"/>
        </w:rPr>
        <w:t>393.20  دادگاه‌های نظامی ویژه صلاحیت محاکمه اعضای مشمول UCMJ را برای هرگونه جرم غیرمجاز که توسط UCMJ مجازات می‌شود، و طبق مقرراتی که رئیس‌جمهور ایالات متحده ممکن است تجویز کند، برای جرایم مرگبار دارند.</w:t>
      </w:r>
    </w:p>
    <w:p>
      <w:pPr>
        <w:spacing w:after="28" w:line="216" w:lineRule="auto"/>
        <w:ind w:left="259"/>
        <w:jc w:val="left"/>
      </w:pPr>
      <w:r>
        <w:rPr>
          <w:rFonts w:ascii="Arial" w:hAnsi="Arial"/>
          <w:color w:val="525252"/>
          <w:sz w:val="13"/>
        </w:rPr>
        <w:t>Special courts-martial have jurisdiction to try members subject to the UCMJ for any noncapital offense made punishable by the UCMJ, and under such regulations as the U.S. President may prescribe, for capital offenses.</w:t>
      </w:r>
    </w:p>
    <w:p>
      <w:pPr>
        <w:spacing w:after="20" w:line="223" w:lineRule="auto"/>
        <w:jc w:val="right"/>
        <w:bidi/>
      </w:pPr>
      <w:r>
        <w:rPr>
          <w:rFonts w:ascii="Arial" w:hAnsi="Arial"/>
          <w:sz w:val="16"/>
        </w:rPr>
        <w:t>393.21  دادگاه‌های نظامی ویژه می‌توانند تحت محدودیت‌هایی که رئیس‌جمهور تجویز می‌کند، هر گونه مجازاتی را که توسط UCMJ ممنوع نشده است، به جز اعدام، اخراج غیرقانونی، اخراج، حبس بیش از یک سال، کار شاقه بدون حبس بیش از سه ماه، ابطال دستمزد بیش از یک ماه، یا پرداخت بیش از یک‌ماه از حقوق برای هر یک سوم، مورد قضاوت قرار دهند.</w:t>
      </w:r>
    </w:p>
    <w:p>
      <w:pPr>
        <w:spacing w:after="28" w:line="216" w:lineRule="auto"/>
        <w:ind w:left="259"/>
        <w:jc w:val="left"/>
      </w:pPr>
      <w:r>
        <w:rPr>
          <w:rFonts w:ascii="Arial" w:hAnsi="Arial"/>
          <w:color w:val="525252"/>
          <w:sz w:val="13"/>
        </w:rPr>
        <w:t>Special courts-martial may, under such limitations as the President may prescribe, adjudge any punishment not forbidden by the UCMJ except death, dishonorable discharge, dismissal, confinement for more than one year, hard labor without confinement for more than three months, forfeiture of pay exceeding two-thirds pay per month, or forfeiture of pay for more than one year.</w:t>
      </w:r>
    </w:p>
    <w:p>
      <w:pPr>
        <w:spacing w:after="20" w:line="223" w:lineRule="auto"/>
        <w:jc w:val="right"/>
        <w:bidi/>
      </w:pPr>
      <w:r>
        <w:rPr>
          <w:rFonts w:ascii="Arial" w:hAnsi="Arial"/>
          <w:sz w:val="16"/>
        </w:rPr>
        <w:t>393.22  دادگاه نظامی ویژه ممکن است متشکل از یک قاضی نظامی با هیئتی متشکل از چهار عضو (به اضافه اعضای علی البدل در صورت تأیید مرجع دعوت)، یک قاضی نظامی به تنهایی، یا در برخی موارد، با رضایت طرفین درگیر، یک قاضی نظامی باشد.</w:t>
      </w:r>
    </w:p>
    <w:p>
      <w:pPr>
        <w:spacing w:after="28" w:line="216" w:lineRule="auto"/>
        <w:ind w:left="259"/>
        <w:jc w:val="left"/>
      </w:pPr>
      <w:r>
        <w:rPr>
          <w:rFonts w:ascii="Arial" w:hAnsi="Arial"/>
          <w:color w:val="525252"/>
          <w:sz w:val="13"/>
        </w:rPr>
        <w:t>A special court-martial may consist of a military judge with a panel of four members (plus alternate members if authorized by the convening authority), a military judge alone, or in some cases, with the consent of the parties involved, a military magistrate.</w:t>
      </w:r>
    </w:p>
    <w:p>
      <w:pPr>
        <w:spacing w:after="20" w:line="223" w:lineRule="auto"/>
        <w:jc w:val="right"/>
        <w:bidi/>
      </w:pPr>
      <w:r>
        <w:rPr>
          <w:rFonts w:ascii="Arial" w:hAnsi="Arial"/>
          <w:sz w:val="16"/>
        </w:rPr>
        <w:t>393.23  یکی از زیرمجموعه‌های دادگاه نظامی ویژه، دادگاه نظامی ویژه قاضی تنها است.</w:t>
      </w:r>
    </w:p>
    <w:p>
      <w:pPr>
        <w:spacing w:after="28" w:line="216" w:lineRule="auto"/>
        <w:ind w:left="259"/>
        <w:jc w:val="left"/>
      </w:pPr>
      <w:r>
        <w:rPr>
          <w:rFonts w:ascii="Arial" w:hAnsi="Arial"/>
          <w:color w:val="525252"/>
          <w:sz w:val="13"/>
        </w:rPr>
        <w:t>A subset of Special Court-Martial is the Judge-Alone Special Court-Martial.</w:t>
      </w:r>
    </w:p>
    <w:p>
      <w:pPr>
        <w:spacing w:after="20" w:line="223" w:lineRule="auto"/>
        <w:jc w:val="right"/>
        <w:bidi/>
      </w:pPr>
      <w:r>
        <w:rPr>
          <w:rFonts w:ascii="Arial" w:hAnsi="Arial"/>
          <w:sz w:val="16"/>
        </w:rPr>
        <w:t>393.24  در صورتی که اتهامات به تنهایی به دادگاه ویژه نظامی ارجاع شود، حداکثر مجازات‌های ویژه سنتی</w:t>
      </w:r>
    </w:p>
    <w:p>
      <w:pPr>
        <w:spacing w:after="28" w:line="216" w:lineRule="auto"/>
        <w:ind w:left="259"/>
        <w:jc w:val="left"/>
      </w:pPr>
      <w:r>
        <w:rPr>
          <w:rFonts w:ascii="Arial" w:hAnsi="Arial"/>
          <w:color w:val="525252"/>
          <w:sz w:val="13"/>
        </w:rPr>
        <w:t>If charges are referred to a judge-alone special court-martial, the maximum punishments of a traditional special</w:t>
      </w:r>
    </w:p>
    <w:p>
      <w:r>
        <w:br w:type="page"/>
      </w:r>
    </w:p>
    <w:p>
      <w:pPr>
        <w:spacing w:after="60"/>
        <w:jc w:val="right"/>
        <w:bidi/>
      </w:pPr>
      <w:r>
        <w:rPr>
          <w:rFonts w:ascii="Arial" w:hAnsi="Arial"/>
          <w:b/>
          <w:color w:val="1F4D78"/>
          <w:sz w:val="19"/>
        </w:rPr>
        <w:t>هفتهٔ 394  |  صفحهٔ منبع: 410</w:t>
      </w:r>
    </w:p>
    <w:p>
      <w:pPr>
        <w:spacing w:after="20" w:line="223" w:lineRule="auto"/>
        <w:jc w:val="right"/>
        <w:bidi/>
      </w:pPr>
      <w:r>
        <w:rPr>
          <w:rFonts w:ascii="Arial" w:hAnsi="Arial"/>
          <w:sz w:val="16"/>
        </w:rPr>
        <w:t>394.01  دادگاه نظامی نیز محدود به حبس حداکثر از شش ماه و کسری از دستمزد حداکثر بیش از شش ماه است.</w:t>
      </w:r>
    </w:p>
    <w:p>
      <w:pPr>
        <w:spacing w:after="28" w:line="216" w:lineRule="auto"/>
        <w:ind w:left="259"/>
        <w:jc w:val="left"/>
      </w:pPr>
      <w:r>
        <w:rPr>
          <w:rFonts w:ascii="Arial" w:hAnsi="Arial"/>
          <w:color w:val="525252"/>
          <w:sz w:val="13"/>
        </w:rPr>
        <w:t>court-martial are further limited to confinement of no more than six months and forfeitures of pay of no more than six months.</w:t>
      </w:r>
    </w:p>
    <w:p>
      <w:pPr>
        <w:spacing w:after="20" w:line="223" w:lineRule="auto"/>
        <w:jc w:val="right"/>
        <w:bidi/>
      </w:pPr>
      <w:r>
        <w:rPr>
          <w:rFonts w:ascii="Arial" w:hAnsi="Arial"/>
          <w:sz w:val="16"/>
        </w:rPr>
        <w:t>394.02  اگر اتهامات به تنهایی به دادگاه نظامی ویژه ارجاع شود، حداکثر مجازات دادگاه نظامی ویژه سنتی محدود به حبس بیش از شش ماه و رد حقوق حداکثر از شش ماه خواهد بود.</w:t>
      </w:r>
    </w:p>
    <w:p>
      <w:pPr>
        <w:spacing w:after="28" w:line="216" w:lineRule="auto"/>
        <w:ind w:left="259"/>
        <w:jc w:val="left"/>
      </w:pPr>
      <w:r>
        <w:rPr>
          <w:rFonts w:ascii="Arial" w:hAnsi="Arial"/>
          <w:color w:val="525252"/>
          <w:sz w:val="13"/>
        </w:rPr>
        <w:t>If charges are referred to a judge-alone special court-martial, the maximum punishments of a traditional special court-martial are further limited to confinement of no more than six months and forfeitures of pay of no more than six months.</w:t>
      </w:r>
    </w:p>
    <w:p>
      <w:pPr>
        <w:spacing w:after="20" w:line="223" w:lineRule="auto"/>
        <w:jc w:val="right"/>
        <w:bidi/>
      </w:pPr>
      <w:r>
        <w:rPr>
          <w:rFonts w:ascii="Arial" w:hAnsi="Arial"/>
          <w:sz w:val="16"/>
        </w:rPr>
        <w:t>394.03  به‌علاوه، ممکن است تخلیه کیفری اعمال نشود.</w:t>
      </w:r>
    </w:p>
    <w:p>
      <w:pPr>
        <w:spacing w:after="28" w:line="216" w:lineRule="auto"/>
        <w:ind w:left="259"/>
        <w:jc w:val="left"/>
      </w:pPr>
      <w:r>
        <w:rPr>
          <w:rFonts w:ascii="Arial" w:hAnsi="Arial"/>
          <w:color w:val="525252"/>
          <w:sz w:val="13"/>
        </w:rPr>
        <w:t>Further, a punitive discharge may not be imposed.</w:t>
      </w:r>
    </w:p>
    <w:p>
      <w:pPr>
        <w:spacing w:after="20" w:line="223" w:lineRule="auto"/>
        <w:jc w:val="right"/>
        <w:bidi/>
      </w:pPr>
      <w:r>
        <w:rPr>
          <w:rFonts w:ascii="Arial" w:hAnsi="Arial"/>
          <w:sz w:val="16"/>
        </w:rPr>
        <w:t>394.04  دادگاه نظامی عمومی.</w:t>
      </w:r>
    </w:p>
    <w:p>
      <w:pPr>
        <w:spacing w:after="28" w:line="216" w:lineRule="auto"/>
        <w:ind w:left="259"/>
        <w:jc w:val="left"/>
      </w:pPr>
      <w:r>
        <w:rPr>
          <w:rFonts w:ascii="Arial" w:hAnsi="Arial"/>
          <w:color w:val="525252"/>
          <w:sz w:val="13"/>
        </w:rPr>
        <w:t>General Court-Martial.</w:t>
      </w:r>
    </w:p>
    <w:p>
      <w:pPr>
        <w:spacing w:after="20" w:line="223" w:lineRule="auto"/>
        <w:jc w:val="right"/>
        <w:bidi/>
      </w:pPr>
      <w:r>
        <w:rPr>
          <w:rFonts w:ascii="Arial" w:hAnsi="Arial"/>
          <w:sz w:val="16"/>
        </w:rPr>
        <w:t>394.05  دادگاه‌های نظامی عمومی صلاحیت محاکمه افراد مشمول UCMJ را برای هر جرمی که توسط UCMJ مجازات می‌شود را دارند و می‌توانند تحت محدودیت‌هایی که رئیس‌جمهور ایالات متحده تجویز می‌کند، هر گونه مجازاتی را که توسط UCMJ ممنوع نشده است، از جمله مجازات اعدام در صورتی که به‌طور خاص توسط UCMJ مجاز باشد، مورد قضاوت قرار دهند.</w:t>
      </w:r>
    </w:p>
    <w:p>
      <w:pPr>
        <w:spacing w:after="28" w:line="216" w:lineRule="auto"/>
        <w:ind w:left="259"/>
        <w:jc w:val="left"/>
      </w:pPr>
      <w:r>
        <w:rPr>
          <w:rFonts w:ascii="Arial" w:hAnsi="Arial"/>
          <w:color w:val="525252"/>
          <w:sz w:val="13"/>
        </w:rPr>
        <w:t>General courts-martial have jurisdiction to try persons subject to the UCMJ for any offense made punishable by the UCMJ and may, under such limitations as the U.S. President may prescribe, adjudge any punishment not forbidden by the UCMJ, including the penalty of death when specifically authorized by the UCMJ.</w:t>
      </w:r>
    </w:p>
    <w:p>
      <w:pPr>
        <w:spacing w:after="20" w:line="223" w:lineRule="auto"/>
        <w:jc w:val="right"/>
        <w:bidi/>
      </w:pPr>
      <w:r>
        <w:rPr>
          <w:rFonts w:ascii="Arial" w:hAnsi="Arial"/>
          <w:sz w:val="16"/>
        </w:rPr>
        <w:t>394.06  دادگاه‌های نظامی عمومی نیز صلاحیت محاکمه هر فردی را دارند که طبق قانون جنگ، توسط دادگاه نظامی محاکمه می‌شوند و می‌توانند هر گونه مجازاتی را که قانون جنگ مجاز بداند، قضاوت کنند.</w:t>
      </w:r>
    </w:p>
    <w:p>
      <w:pPr>
        <w:spacing w:after="28" w:line="216" w:lineRule="auto"/>
        <w:ind w:left="259"/>
        <w:jc w:val="left"/>
      </w:pPr>
      <w:r>
        <w:rPr>
          <w:rFonts w:ascii="Arial" w:hAnsi="Arial"/>
          <w:color w:val="525252"/>
          <w:sz w:val="13"/>
        </w:rPr>
        <w:t>General courts-martial also have jurisdiction to try any person who, by the law of war, is subject to trial by a military tribunal, and may adjudge any punishment permitted by the law of war.</w:t>
      </w:r>
    </w:p>
    <w:p>
      <w:pPr>
        <w:spacing w:after="20" w:line="223" w:lineRule="auto"/>
        <w:jc w:val="right"/>
        <w:bidi/>
      </w:pPr>
      <w:r>
        <w:rPr>
          <w:rFonts w:ascii="Arial" w:hAnsi="Arial"/>
          <w:sz w:val="16"/>
        </w:rPr>
        <w:t>394.07  با این حال، در شرایط خاص، دادگاه‌های نظامی عمومی صلاحیت محاکمه شخصی را برای هر جرمی که ممکن است مجازات اعدام برای آن صادر شود، ندارند، مگر اینکه پرونده پیش‌تر به‌عنوان یک پرونده غیراساسی به محاکمه ارجاع شده باشد.</w:t>
      </w:r>
    </w:p>
    <w:p>
      <w:pPr>
        <w:spacing w:after="28" w:line="216" w:lineRule="auto"/>
        <w:ind w:left="259"/>
        <w:jc w:val="left"/>
      </w:pPr>
      <w:r>
        <w:rPr>
          <w:rFonts w:ascii="Arial" w:hAnsi="Arial"/>
          <w:color w:val="525252"/>
          <w:sz w:val="13"/>
        </w:rPr>
        <w:t>However, in certain circumstances, general courts-martial shall not have jurisdiction to try any person for any offense for which the death penalty may be adjudged unless the case has been previously referred to trial as a noncapital case.</w:t>
      </w:r>
    </w:p>
    <w:p>
      <w:pPr>
        <w:spacing w:after="20" w:line="223" w:lineRule="auto"/>
        <w:jc w:val="right"/>
        <w:bidi/>
      </w:pPr>
      <w:r>
        <w:rPr>
          <w:rFonts w:ascii="Arial" w:hAnsi="Arial"/>
          <w:sz w:val="16"/>
        </w:rPr>
        <w:t>394.08  دادگاه نظامی عمومی ممکن است متشکل از یک قاضی نظامی با هیئتی متشکل از هشت نفر یا بیشتر، یک قاضی نظامی به تنهایی، یا در موارد مهم، یک قاضی نظامی با هیاتی متشکل از دوازده نفر باشد.</w:t>
      </w:r>
    </w:p>
    <w:p>
      <w:pPr>
        <w:spacing w:after="28" w:line="216" w:lineRule="auto"/>
        <w:ind w:left="259"/>
        <w:jc w:val="left"/>
      </w:pPr>
      <w:r>
        <w:rPr>
          <w:rFonts w:ascii="Arial" w:hAnsi="Arial"/>
          <w:color w:val="525252"/>
          <w:sz w:val="13"/>
        </w:rPr>
        <w:t>A general court-martial may consist of a military judge with a panel of eight or more members, a military judge alone, or in capital cases, a military judge with a panel of twelve members.</w:t>
      </w:r>
    </w:p>
    <w:p>
      <w:pPr>
        <w:spacing w:before="60" w:after="28"/>
        <w:jc w:val="right"/>
        <w:bidi/>
      </w:pPr>
      <w:r>
        <w:rPr>
          <w:b/>
          <w:color w:val="1F4D78"/>
          <w:sz w:val="18"/>
        </w:rPr>
        <w:t>21.14. تعیین صلاحیت دادگاه نظامی</w:t>
      </w:r>
    </w:p>
    <w:p>
      <w:pPr>
        <w:spacing w:after="20"/>
        <w:ind w:left="259"/>
        <w:jc w:val="left"/>
      </w:pPr>
      <w:r>
        <w:rPr>
          <w:color w:val="555555"/>
          <w:sz w:val="12"/>
        </w:rPr>
        <w:t>21.14. Determining Court-Martial Jurisdiction</w:t>
      </w:r>
    </w:p>
    <w:p>
      <w:pPr>
        <w:spacing w:after="20" w:line="223" w:lineRule="auto"/>
        <w:jc w:val="right"/>
        <w:bidi/>
      </w:pPr>
      <w:r>
        <w:rPr>
          <w:rFonts w:ascii="Arial" w:hAnsi="Arial"/>
          <w:sz w:val="16"/>
        </w:rPr>
        <w:t>394.10  صلاحیت دادگاه‌های نظامی با دو سوال مرتبط است: صلاحیت شخصی (آیا متهم یک شخص مشمول UCMJ است؟) صلاحیت موضوعی (آیا این رفتار توسط UCMJ ممنوع است؟) اگر پاسخ در هر دو مورد "بله" است، پس و تنها پس از آن دادگاه صلاحیت قضایی دارد.</w:t>
      </w:r>
    </w:p>
    <w:p>
      <w:pPr>
        <w:spacing w:after="28" w:line="216" w:lineRule="auto"/>
        <w:ind w:left="259"/>
        <w:jc w:val="left"/>
      </w:pPr>
      <w:r>
        <w:rPr>
          <w:rFonts w:ascii="Arial" w:hAnsi="Arial"/>
          <w:color w:val="525252"/>
          <w:sz w:val="13"/>
        </w:rPr>
        <w:t>Courts-martial jurisdiction is concerned with two questions: Personal jurisdiction (Is the accused a person subject to the UCMJ?) Subject-matter jurisdiction (Is the conduct prohibited by the UCMJ?) If the answer is “yes” in both instances, then and only then does a court-martial have jurisdiction to decide the case.</w:t>
      </w:r>
    </w:p>
    <w:p>
      <w:pPr>
        <w:spacing w:after="20" w:line="223" w:lineRule="auto"/>
        <w:jc w:val="right"/>
        <w:bidi/>
      </w:pPr>
      <w:r>
        <w:rPr>
          <w:rFonts w:ascii="Arial" w:hAnsi="Arial"/>
          <w:sz w:val="16"/>
        </w:rPr>
        <w:t>394.11  صلاحیت شخصی.</w:t>
      </w:r>
    </w:p>
    <w:p>
      <w:pPr>
        <w:spacing w:after="28" w:line="216" w:lineRule="auto"/>
        <w:ind w:left="259"/>
        <w:jc w:val="left"/>
      </w:pPr>
      <w:r>
        <w:rPr>
          <w:rFonts w:ascii="Arial" w:hAnsi="Arial"/>
          <w:color w:val="525252"/>
          <w:sz w:val="13"/>
        </w:rPr>
        <w:t>Personal Jurisdiction.</w:t>
      </w:r>
    </w:p>
    <w:p>
      <w:pPr>
        <w:spacing w:after="20" w:line="223" w:lineRule="auto"/>
        <w:jc w:val="right"/>
        <w:bidi/>
      </w:pPr>
      <w:r>
        <w:rPr>
          <w:rFonts w:ascii="Arial" w:hAnsi="Arial"/>
          <w:sz w:val="16"/>
        </w:rPr>
        <w:t>394.12  صلاحیت شخصی مستلزم وضعیت است، به این معنا که متهم باید دارای وضعیت حقوقی یک عضو نیروهای مسلح یا شخصی باشد که در غیر این صورت مشمول قانون UCMJ باشد قبل از اینکه صلاحیت شخصی ضمیمه شود.</w:t>
      </w:r>
    </w:p>
    <w:p>
      <w:pPr>
        <w:spacing w:after="28" w:line="216" w:lineRule="auto"/>
        <w:ind w:left="259"/>
        <w:jc w:val="left"/>
      </w:pPr>
      <w:r>
        <w:rPr>
          <w:rFonts w:ascii="Arial" w:hAnsi="Arial"/>
          <w:color w:val="525252"/>
          <w:sz w:val="13"/>
        </w:rPr>
        <w:t>Personal jurisdiction involves status, that is, the accused must possess the legal status of a service member or a person otherwise subject to the UCMJ before personal jurisdiction can attach.</w:t>
      </w:r>
    </w:p>
    <w:p>
      <w:pPr>
        <w:spacing w:after="20" w:line="223" w:lineRule="auto"/>
        <w:jc w:val="right"/>
        <w:bidi/>
      </w:pPr>
      <w:r>
        <w:rPr>
          <w:rFonts w:ascii="Arial" w:hAnsi="Arial"/>
          <w:sz w:val="16"/>
        </w:rPr>
        <w:t>394.13  ماده ۲، UCMJ، شامل افراد زیر به‌عنوان افراد مشمول صلاحیت دادگاه نظامی می‌شود: (۱) اعضای یک جزء منظم از نیروهای مسلح ایالات متحده، از جمله آنهایی که پس از پایان دوره سربازی خود در انتظار اخراج هستند. (۲) کادت‌ها، کادت‌های هوانوردی، و میان‌نشینان؛ (۳) در هنگام آموزش وظیفه غیرفعال، اعضای یک جزء ذخیره و اعضای گارد ملی هوایی، اما فقط زمانی که در خدمت فدرال هستند. (۴) اعضای بازنشسته یک جزء منظم از نیروهای مسلح ایالات متحده که حق پرداخت دارند؛ (۵) اعضای بازنشسته یک جزء ذخیره که از نیروهای مسلح در بیمارستان بستری می‌شوند. (۶) اعضای ذخیره ناوگان یا ذخیره نیروی دریایی ناوگان؛ (۷) افرادی که در بازداشت نیروهای مسلح ایالات متحده هستند که در حال گذراندن مجازات تعیین شده توسط دادگاه نظامی هستند. (۸) اعضای اداره ملی اقیانوسی و جوی، خدمات بهداشت عمومی و سایر سازمان‌ها، در صورت منصوب شدن و خدمت در نیروهای مسلح؛ (۹) اسرای جنگی در بازداشت نیروهای مسلح. (۱۰) در زمان اعلام جنگ یا عملیات اضطراری، افرادی که با یک نیروی مسلح در میدان خدمت یا همراهی می‌کنند. (۱۱) مشروط به هر معاهده یا توافقی که ایالات متحده طرف آن است یا ممکن است طرف آن باشد یا هر قاعده پذیرفته شده حقوق بین الملل، افرادی که در خارج از ایالات متحده و خارج از مشترک المنافع پورتوریکو، گوام و جزایر ویرجین با نیروهای مسلح ایالات متحده خدمت می‌کنند، شاغل یا همراه آن هستند. (۱۲) مشروط به هر معاهده یا توافقی که ایالات متحده طرف آن است یا ممکن است طرف آن باشد یا هر قاعده پذیرفته شده حقوق بین الملل، اشخاصی در منطقه‌ای که توسط ایالات متحده اجاره شده یا به نحوی دیگر برای استفاده از ایالات متحده رزرو یا به دست آورده‌اند که تحت کنترل وزیر مربوطه است و خارج از ایالات متحده و خارج از کشورهای مشترک المنافع پورتوریکو، گوام و جزایر ویرجین است. (۱۳) افراد متعلق به یکی از هشت دسته مندرج در ماده ۴ کنوانسیون مربوط به رفتار با اسیران جنگی، که در ۱۲ اوت ۱۹۴۹ ژنو انجام شد، که قانون جنگ را نقض می‌کنند.</w:t>
      </w:r>
    </w:p>
    <w:p>
      <w:pPr>
        <w:spacing w:after="28" w:line="216" w:lineRule="auto"/>
        <w:ind w:left="259"/>
        <w:jc w:val="left"/>
      </w:pPr>
      <w:r>
        <w:rPr>
          <w:rFonts w:ascii="Arial" w:hAnsi="Arial"/>
          <w:color w:val="525252"/>
          <w:sz w:val="13"/>
        </w:rPr>
        <w:t>Article 2, UCMJ, includes the following as persons subject to court-martial jurisdiction: (1) members of a Regular Component of the U.S. Armed Forces, including those awaiting discharge after expiration of their terms of enlistment; (2) cadets, aviation cadets, and midshipmen; (3) while on inactive duty training, members of a Reserve Component and members of the Air National Guard, but only when in Federal service; (4) retired members of a Regular Component of the U.S. Armed Forces who are entitled to pay; (5) retired members of a Reserve Component who are receiving hospitalization from an armed force; (6) members of the Fleet Reserve or Fleet Marine Corps Reserve; (7) persons in custody of the U.S. Armed Forces serving a sentence imposed by a court-martial; (8) members of the National Oceanic and Atmospheric Administration, Public Health Service, and other organizations, when assigned to and serving with the Armed Forces; (9) prisoners of war in custody of the Armed Forces; (10) in time of declared war or contingency operation, persons serving with or accompanying an armed force in the field; (11) subject to any treaty or agreement to which the United States is or may be a party or to any accepted rule of international law, persons serving with, employed by, or accompanying the U.S. Armed Forces outside the United States and outside the Commonwealth of Puerto Rico, Guam, and the Virgin Islands; (12) subject to any treaty or agreement to which the United States is or may be a party or to any accepted rule of international law, persons within an area leased by or otherwise reserved or acquired for the use of the United States which is under the control of the Secretary concerned and which is outside the United States and outside the Commonwealth of Puerto Rico, Guam and the Virgin Islands; (13) individuals belonging to one of the eight categories enumerated in Article 4 of the Convention Relative to the Treatment of Prisoners of War, done at Geneva August 12, 1949, who violate the law of war.</w:t>
      </w:r>
    </w:p>
    <w:p>
      <w:r>
        <w:br w:type="page"/>
      </w:r>
    </w:p>
    <w:p>
      <w:pPr>
        <w:spacing w:after="60"/>
        <w:jc w:val="right"/>
        <w:bidi/>
      </w:pPr>
      <w:r>
        <w:rPr>
          <w:rFonts w:ascii="Arial" w:hAnsi="Arial"/>
          <w:b/>
          <w:color w:val="1F4D78"/>
          <w:sz w:val="19"/>
        </w:rPr>
        <w:t>هفتهٔ 395  |  صفحهٔ منبع: 411</w:t>
      </w:r>
    </w:p>
    <w:p>
      <w:pPr>
        <w:spacing w:after="20" w:line="223" w:lineRule="auto"/>
        <w:jc w:val="right"/>
        <w:bidi/>
      </w:pPr>
      <w:r>
        <w:rPr>
          <w:rFonts w:ascii="Arial" w:hAnsi="Arial"/>
          <w:sz w:val="16"/>
        </w:rPr>
        <w:t>395.01  حوزه قضایی موضوعی.</w:t>
      </w:r>
    </w:p>
    <w:p>
      <w:pPr>
        <w:spacing w:after="28" w:line="216" w:lineRule="auto"/>
        <w:ind w:left="259"/>
        <w:jc w:val="left"/>
      </w:pPr>
      <w:r>
        <w:rPr>
          <w:rFonts w:ascii="Arial" w:hAnsi="Arial"/>
          <w:color w:val="525252"/>
          <w:sz w:val="13"/>
        </w:rPr>
        <w:t>Subject-Matter Jurisdiction.</w:t>
      </w:r>
    </w:p>
    <w:p>
      <w:pPr>
        <w:spacing w:after="20" w:line="223" w:lineRule="auto"/>
        <w:jc w:val="right"/>
        <w:bidi/>
      </w:pPr>
      <w:r>
        <w:rPr>
          <w:rFonts w:ascii="Arial" w:hAnsi="Arial"/>
          <w:sz w:val="16"/>
        </w:rPr>
        <w:t>395.02  دادگاه‌های نظامی این اختیار را دارند که طبق قانون UCMJ هر جرمی را محاکمه کنند، مگر در مواردی که قانون اساسی ایالات متحده از انجام آن منع شده باشد.</w:t>
      </w:r>
    </w:p>
    <w:p>
      <w:pPr>
        <w:spacing w:after="28" w:line="216" w:lineRule="auto"/>
        <w:ind w:left="259"/>
        <w:jc w:val="left"/>
      </w:pPr>
      <w:r>
        <w:rPr>
          <w:rFonts w:ascii="Arial" w:hAnsi="Arial"/>
          <w:color w:val="525252"/>
          <w:sz w:val="13"/>
        </w:rPr>
        <w:t>Courts-martial have the power to try any offense under the UCMJ except when prohibited from doing so by the U.S. Constitution.</w:t>
      </w:r>
    </w:p>
    <w:p>
      <w:pPr>
        <w:spacing w:after="20" w:line="223" w:lineRule="auto"/>
        <w:jc w:val="right"/>
        <w:bidi/>
      </w:pPr>
      <w:r>
        <w:rPr>
          <w:rFonts w:ascii="Arial" w:hAnsi="Arial"/>
          <w:sz w:val="16"/>
        </w:rPr>
        <w:t>395.03  دادگاه‌های نظامی زمانی صلاحیت انحصاری دارند که یک جرم صرفا نظامی، مانند فرار از خدمت، عدم اطاعت از دستورات، یا بی‌احترامی نسبت به مافوق، در میان باشد.</w:t>
      </w:r>
    </w:p>
    <w:p>
      <w:pPr>
        <w:spacing w:after="28" w:line="216" w:lineRule="auto"/>
        <w:ind w:left="259"/>
        <w:jc w:val="left"/>
      </w:pPr>
      <w:r>
        <w:rPr>
          <w:rFonts w:ascii="Arial" w:hAnsi="Arial"/>
          <w:color w:val="525252"/>
          <w:sz w:val="13"/>
        </w:rPr>
        <w:t>Courts-martial have exclusive jurisdiction when a purely military offense, such as desertion, failure to obey orders, or disrespect toward superiors, is involved.</w:t>
      </w:r>
    </w:p>
    <w:p>
      <w:pPr>
        <w:spacing w:after="20" w:line="223" w:lineRule="auto"/>
        <w:jc w:val="right"/>
        <w:bidi/>
      </w:pPr>
      <w:r>
        <w:rPr>
          <w:rFonts w:ascii="Arial" w:hAnsi="Arial"/>
          <w:sz w:val="16"/>
        </w:rPr>
        <w:t>395.04  با این حال، اگر این جرم هم قانون UCMJ و هم یک قانون غیرنظامی را نقض کند، ممکن است صلاحیت همزمان وجود داشته باشد.</w:t>
      </w:r>
    </w:p>
    <w:p>
      <w:pPr>
        <w:spacing w:after="28" w:line="216" w:lineRule="auto"/>
        <w:ind w:left="259"/>
        <w:jc w:val="left"/>
      </w:pPr>
      <w:r>
        <w:rPr>
          <w:rFonts w:ascii="Arial" w:hAnsi="Arial"/>
          <w:color w:val="525252"/>
          <w:sz w:val="13"/>
        </w:rPr>
        <w:t>However, if the offense violates both the UCMJ and a civilian code, concurrent jurisdiction may exist.</w:t>
      </w:r>
    </w:p>
    <w:p>
      <w:pPr>
        <w:spacing w:after="20" w:line="223" w:lineRule="auto"/>
        <w:jc w:val="right"/>
        <w:bidi/>
      </w:pPr>
      <w:r>
        <w:rPr>
          <w:rFonts w:ascii="Arial" w:hAnsi="Arial"/>
          <w:sz w:val="16"/>
        </w:rPr>
        <w:t>395.05  برای مثال، اگر یکی از اعضای نظامی رگاف در حال دزدی از مغازه در یک تاجر خارج از پایگاه دستگیر شود، می‌توان آن عضو را به دلیل سرقت بر خلاف ماده ۱۲۱، UCMJ توسط دادگاه نظامی محاکمه کرد و توسط یک دادگاه غیرنظامی به دلیل یک جرم سرقت که در حوزه قضایی محلی به رسمیت شناخته شده است محاکمه شود.</w:t>
      </w:r>
    </w:p>
    <w:p>
      <w:pPr>
        <w:spacing w:after="28" w:line="216" w:lineRule="auto"/>
        <w:ind w:left="259"/>
        <w:jc w:val="left"/>
      </w:pPr>
      <w:r>
        <w:rPr>
          <w:rFonts w:ascii="Arial" w:hAnsi="Arial"/>
          <w:color w:val="525252"/>
          <w:sz w:val="13"/>
        </w:rPr>
        <w:t>For example, if a RegAF military member is caught shoplifting at an off-base merchant, the member can be tried by court-martial for larceny in violation of Article 121, UCMJ, and tried by a civilian court for a larceny offense recognized in the local jurisdiction.</w:t>
      </w:r>
    </w:p>
    <w:p>
      <w:pPr>
        <w:spacing w:after="20" w:line="223" w:lineRule="auto"/>
        <w:jc w:val="right"/>
        <w:bidi/>
      </w:pPr>
      <w:r>
        <w:rPr>
          <w:rFonts w:ascii="Arial" w:hAnsi="Arial"/>
          <w:sz w:val="16"/>
        </w:rPr>
        <w:t>395.06  تعیین اینکه آیا یک مقام نظامی یا غیرنظامی عضو را محاکمه خواهد کرد معمولا از طریق مشورت یا توافق قبلی بین مقامات نظامی مناسب (معمولا وکیل دادگستری کارکنان) و مقامات غیرنظامی مناسب انجام می‌شود.</w:t>
      </w:r>
    </w:p>
    <w:p>
      <w:pPr>
        <w:spacing w:after="28" w:line="216" w:lineRule="auto"/>
        <w:ind w:left="259"/>
        <w:jc w:val="left"/>
      </w:pPr>
      <w:r>
        <w:rPr>
          <w:rFonts w:ascii="Arial" w:hAnsi="Arial"/>
          <w:color w:val="525252"/>
          <w:sz w:val="13"/>
        </w:rPr>
        <w:t>The determination as to whether a military or a civilian authority will try the member is normally made through consultation or prior agreement between appropriate military authorities (ordinarily the Staff Judge Advocate) and appropriate civilian authorities.</w:t>
      </w:r>
    </w:p>
    <w:p>
      <w:pPr>
        <w:spacing w:after="20" w:line="223" w:lineRule="auto"/>
        <w:jc w:val="right"/>
        <w:bidi/>
      </w:pPr>
      <w:r>
        <w:rPr>
          <w:rFonts w:ascii="Arial" w:hAnsi="Arial"/>
          <w:sz w:val="16"/>
        </w:rPr>
        <w:t>395.07  عضوی که برای یک عمل توسط دادگاه نظامی و دادگاه ایالتی محاکمه شود، طبق قانون اساسی مجاز است. با این حال، عضوی که توسط یک دادگاه ایالتی محاکمه شده است معمولا برای همان عمل توسط دادگاه نظامی محاکمه نمی‌شود.</w:t>
      </w:r>
    </w:p>
    <w:p>
      <w:pPr>
        <w:spacing w:after="28" w:line="216" w:lineRule="auto"/>
        <w:ind w:left="259"/>
        <w:jc w:val="left"/>
      </w:pPr>
      <w:r>
        <w:rPr>
          <w:rFonts w:ascii="Arial" w:hAnsi="Arial"/>
          <w:color w:val="525252"/>
          <w:sz w:val="13"/>
        </w:rPr>
        <w:t>A member to be tried by both a court-martial and a state court for the same act is constitutionally permissible; however, a member who has been tried by a state court normally will not be tried by court-martial for the same act.</w:t>
      </w:r>
    </w:p>
    <w:p>
      <w:pPr>
        <w:spacing w:after="20" w:line="223" w:lineRule="auto"/>
        <w:jc w:val="right"/>
        <w:bidi/>
      </w:pPr>
      <w:r>
        <w:rPr>
          <w:rFonts w:ascii="Arial" w:hAnsi="Arial"/>
          <w:sz w:val="16"/>
        </w:rPr>
        <w:t>395.08  فقط سکاف می‌تواند چنین پیگردهایی را تأیید کند، و تنها در غیرعادی‌ترین مواردی که به هیچ وجه نمی‌توان به اهداف عدالت و انضباط رسید.</w:t>
      </w:r>
    </w:p>
    <w:p>
      <w:pPr>
        <w:spacing w:after="28" w:line="216" w:lineRule="auto"/>
        <w:ind w:left="259"/>
        <w:jc w:val="left"/>
      </w:pPr>
      <w:r>
        <w:rPr>
          <w:rFonts w:ascii="Arial" w:hAnsi="Arial"/>
          <w:color w:val="525252"/>
          <w:sz w:val="13"/>
        </w:rPr>
        <w:t>Only SecAF may approve such prosecutions, and only in the most unusual cases when the ends of justice and discipline can be met in no other way.</w:t>
      </w:r>
    </w:p>
    <w:p>
      <w:pPr>
        <w:spacing w:before="60" w:after="28"/>
        <w:jc w:val="right"/>
        <w:bidi/>
      </w:pPr>
      <w:r>
        <w:rPr>
          <w:b/>
          <w:color w:val="1F4D78"/>
          <w:sz w:val="18"/>
        </w:rPr>
        <w:t>21.15. محاکمه</w:t>
      </w:r>
    </w:p>
    <w:p>
      <w:pPr>
        <w:spacing w:after="20"/>
        <w:ind w:left="259"/>
        <w:jc w:val="left"/>
      </w:pPr>
      <w:r>
        <w:rPr>
          <w:color w:val="555555"/>
          <w:sz w:val="12"/>
        </w:rPr>
        <w:t>21.15. Trial</w:t>
      </w:r>
    </w:p>
    <w:p>
      <w:pPr>
        <w:spacing w:after="20" w:line="223" w:lineRule="auto"/>
        <w:jc w:val="right"/>
        <w:bidi/>
      </w:pPr>
      <w:r>
        <w:rPr>
          <w:rFonts w:ascii="Arial" w:hAnsi="Arial"/>
          <w:sz w:val="16"/>
        </w:rPr>
        <w:t>395.10  هنگامی که پرونده‌ای به محاکمه ارجاع می‌شود، مرجع دعوت کننده، عموما فرمانده بال یا شماره دار نیروی هوایی، اعضایی را که به نظر خود به دلیل سن، تحصیلات، آموزش، تجربه، مدت خدمت و خلق و خوی قضایی بهترین واجد شرایط برای انجام وظیفه هستند، مشخص می‌کند.</w:t>
      </w:r>
    </w:p>
    <w:p>
      <w:pPr>
        <w:spacing w:after="28" w:line="216" w:lineRule="auto"/>
        <w:ind w:left="259"/>
        <w:jc w:val="left"/>
      </w:pPr>
      <w:r>
        <w:rPr>
          <w:rFonts w:ascii="Arial" w:hAnsi="Arial"/>
          <w:color w:val="525252"/>
          <w:sz w:val="13"/>
        </w:rPr>
        <w:t>When a case is referred to trial, the convening authority, generally the wing or Numbered Air Force commander, details members in his or her opinion, who are the best qualified for the duty by reason of age, education, training, experience, length of service, and judicial temperament.</w:t>
      </w:r>
    </w:p>
    <w:p>
      <w:pPr>
        <w:spacing w:after="20" w:line="223" w:lineRule="auto"/>
        <w:jc w:val="right"/>
        <w:bidi/>
      </w:pPr>
      <w:r>
        <w:rPr>
          <w:rFonts w:ascii="Arial" w:hAnsi="Arial"/>
          <w:sz w:val="16"/>
        </w:rPr>
        <w:t>395.11  هیچ عضوی واجد شرایط عضویت در دادگاه نظامی عمومی یا ویژه نیست که متهم یا شاهد تعقیب باشد یا به‌عنوان افسر تحقیق، افسر دادرسی مقدماتی یا وکیل در همان پرونده عمل کرده باشد.</w:t>
      </w:r>
    </w:p>
    <w:p>
      <w:pPr>
        <w:spacing w:after="28" w:line="216" w:lineRule="auto"/>
        <w:ind w:left="259"/>
        <w:jc w:val="left"/>
      </w:pPr>
      <w:r>
        <w:rPr>
          <w:rFonts w:ascii="Arial" w:hAnsi="Arial"/>
          <w:color w:val="525252"/>
          <w:sz w:val="13"/>
        </w:rPr>
        <w:t>No members are eligible to serve as a member of a general or special court-martial when they are the accuser or witness for the prosecution or have acted as an investigating officer, preliminary hearing officer, or as counsel in the same case.</w:t>
      </w:r>
    </w:p>
    <w:p>
      <w:pPr>
        <w:spacing w:after="20" w:line="223" w:lineRule="auto"/>
        <w:jc w:val="right"/>
        <w:bidi/>
      </w:pPr>
      <w:r>
        <w:rPr>
          <w:rFonts w:ascii="Arial" w:hAnsi="Arial"/>
          <w:sz w:val="16"/>
        </w:rPr>
        <w:t>395.12  وقتی بتوان از آن اجتناب کرد، هیچ یک از اعضای هیأت نباید از نظر رتبه یا درجه از متهم کمتر باشد.</w:t>
      </w:r>
    </w:p>
    <w:p>
      <w:pPr>
        <w:spacing w:after="28" w:line="216" w:lineRule="auto"/>
        <w:ind w:left="259"/>
        <w:jc w:val="left"/>
      </w:pPr>
      <w:r>
        <w:rPr>
          <w:rFonts w:ascii="Arial" w:hAnsi="Arial"/>
          <w:color w:val="525252"/>
          <w:sz w:val="13"/>
        </w:rPr>
        <w:t>When it can be avoided, no panel member should be junior in rank or grade to the accused.</w:t>
      </w:r>
    </w:p>
    <w:p>
      <w:pPr>
        <w:spacing w:after="20" w:line="223" w:lineRule="auto"/>
        <w:jc w:val="right"/>
        <w:bidi/>
      </w:pPr>
      <w:r>
        <w:rPr>
          <w:rFonts w:ascii="Arial" w:hAnsi="Arial"/>
          <w:sz w:val="16"/>
        </w:rPr>
        <w:t>395.13  در طول مراحل دادگاه نظامی، فرماندهان، مقامات دعوت کننده و سایر افراد مشمول UCMJ صراحتا از اعمال هر گونه تأثیر نادرست بر عملکرد دادگاه منع می‌شوند.</w:t>
      </w:r>
    </w:p>
    <w:p>
      <w:pPr>
        <w:spacing w:after="28" w:line="216" w:lineRule="auto"/>
        <w:ind w:left="259"/>
        <w:jc w:val="left"/>
      </w:pPr>
      <w:r>
        <w:rPr>
          <w:rFonts w:ascii="Arial" w:hAnsi="Arial"/>
          <w:color w:val="525252"/>
          <w:sz w:val="13"/>
        </w:rPr>
        <w:t>Throughout the court-martial process, commanders, convening authorities and all other persons subject to the UCMJ are expressly forbidden to exercise any improper influence on the action of the court.</w:t>
      </w:r>
    </w:p>
    <w:p>
      <w:pPr>
        <w:spacing w:after="20" w:line="223" w:lineRule="auto"/>
        <w:jc w:val="right"/>
        <w:bidi/>
      </w:pPr>
      <w:r>
        <w:rPr>
          <w:rFonts w:ascii="Arial" w:hAnsi="Arial"/>
          <w:sz w:val="16"/>
        </w:rPr>
        <w:t>395.14  وکیل محاکمه.</w:t>
      </w:r>
    </w:p>
    <w:p>
      <w:pPr>
        <w:spacing w:after="28" w:line="216" w:lineRule="auto"/>
        <w:ind w:left="259"/>
        <w:jc w:val="left"/>
      </w:pPr>
      <w:r>
        <w:rPr>
          <w:rFonts w:ascii="Arial" w:hAnsi="Arial"/>
          <w:color w:val="525252"/>
          <w:sz w:val="13"/>
        </w:rPr>
        <w:t>Trial Counsel.</w:t>
      </w:r>
    </w:p>
    <w:p>
      <w:pPr>
        <w:spacing w:after="20" w:line="223" w:lineRule="auto"/>
        <w:jc w:val="right"/>
        <w:bidi/>
      </w:pPr>
      <w:r>
        <w:rPr>
          <w:rFonts w:ascii="Arial" w:hAnsi="Arial"/>
          <w:sz w:val="16"/>
        </w:rPr>
        <w:t>395.15  وکلای محاکمه مانند دادستان در محاکمات جنایی غیرنظامی هستند.</w:t>
      </w:r>
    </w:p>
    <w:p>
      <w:pPr>
        <w:spacing w:after="28" w:line="216" w:lineRule="auto"/>
        <w:ind w:left="259"/>
        <w:jc w:val="left"/>
      </w:pPr>
      <w:r>
        <w:rPr>
          <w:rFonts w:ascii="Arial" w:hAnsi="Arial"/>
          <w:color w:val="525252"/>
          <w:sz w:val="13"/>
        </w:rPr>
        <w:t>Trial counsels are similar to prosecutors in civilian criminal trials.</w:t>
      </w:r>
    </w:p>
    <w:p>
      <w:pPr>
        <w:spacing w:after="20" w:line="223" w:lineRule="auto"/>
        <w:jc w:val="right"/>
        <w:bidi/>
      </w:pPr>
      <w:r>
        <w:rPr>
          <w:rFonts w:ascii="Arial" w:hAnsi="Arial"/>
          <w:sz w:val="16"/>
        </w:rPr>
        <w:t>395.16  آنها نماینده حکومت هستند و هدف آنها عدالت است نه صرفا محکومیت.</w:t>
      </w:r>
    </w:p>
    <w:p>
      <w:pPr>
        <w:spacing w:after="28" w:line="216" w:lineRule="auto"/>
        <w:ind w:left="259"/>
        <w:jc w:val="left"/>
      </w:pPr>
      <w:r>
        <w:rPr>
          <w:rFonts w:ascii="Arial" w:hAnsi="Arial"/>
          <w:color w:val="525252"/>
          <w:sz w:val="13"/>
        </w:rPr>
        <w:t>They represent the government, and their objective is justice, not merely securing a conviction.</w:t>
      </w:r>
    </w:p>
    <w:p>
      <w:pPr>
        <w:spacing w:after="20" w:line="223" w:lineRule="auto"/>
        <w:jc w:val="right"/>
        <w:bidi/>
      </w:pPr>
      <w:r>
        <w:rPr>
          <w:rFonts w:ascii="Arial" w:hAnsi="Arial"/>
          <w:sz w:val="16"/>
        </w:rPr>
        <w:t>395.17  وکیل محاکمه شواهدی را ارائه می‌کند که معتقدند قابل قبول است و می‌خواهند دادگاه را متقاعد کنند که متهم جرایم ادعا شده را انجام داده است.</w:t>
      </w:r>
    </w:p>
    <w:p>
      <w:pPr>
        <w:spacing w:after="28" w:line="216" w:lineRule="auto"/>
        <w:ind w:left="259"/>
        <w:jc w:val="left"/>
      </w:pPr>
      <w:r>
        <w:rPr>
          <w:rFonts w:ascii="Arial" w:hAnsi="Arial"/>
          <w:color w:val="525252"/>
          <w:sz w:val="13"/>
        </w:rPr>
        <w:t>Trial counsel present evidence they believe is admissible and seek to persuade the court that the accused committed the alleged offenses.</w:t>
      </w:r>
    </w:p>
    <w:p>
      <w:pPr>
        <w:spacing w:after="20" w:line="223" w:lineRule="auto"/>
        <w:jc w:val="right"/>
        <w:bidi/>
      </w:pPr>
      <w:r>
        <w:rPr>
          <w:rFonts w:ascii="Arial" w:hAnsi="Arial"/>
          <w:sz w:val="16"/>
        </w:rPr>
        <w:t>395.18  وکیل محاکمه استدلال می‌کند که استنباط‌ها به شدت از اتهامات حمایت می‌کنند.</w:t>
      </w:r>
    </w:p>
    <w:p>
      <w:pPr>
        <w:spacing w:after="28" w:line="216" w:lineRule="auto"/>
        <w:ind w:left="259"/>
        <w:jc w:val="left"/>
      </w:pPr>
      <w:r>
        <w:rPr>
          <w:rFonts w:ascii="Arial" w:hAnsi="Arial"/>
          <w:color w:val="525252"/>
          <w:sz w:val="13"/>
        </w:rPr>
        <w:t>Trial counsel argues the inferences most strongly supporting the charges.</w:t>
      </w:r>
    </w:p>
    <w:p>
      <w:pPr>
        <w:spacing w:after="20" w:line="223" w:lineRule="auto"/>
        <w:jc w:val="right"/>
        <w:bidi/>
      </w:pPr>
      <w:r>
        <w:rPr>
          <w:rFonts w:ascii="Arial" w:hAnsi="Arial"/>
          <w:sz w:val="16"/>
        </w:rPr>
        <w:t>395.19  وکیل محاکمه نیز شواهد و دلایلی را برای رسیدگی به دفاعیات مطرح شده از طرف متهم ارائه می‌کند.</w:t>
      </w:r>
    </w:p>
    <w:p>
      <w:pPr>
        <w:spacing w:after="28" w:line="216" w:lineRule="auto"/>
        <w:ind w:left="259"/>
        <w:jc w:val="left"/>
      </w:pPr>
      <w:r>
        <w:rPr>
          <w:rFonts w:ascii="Arial" w:hAnsi="Arial"/>
          <w:color w:val="525252"/>
          <w:sz w:val="13"/>
        </w:rPr>
        <w:t>Trial counsel also presents evidence and arguments to address defenses raised on behalf of the accused.</w:t>
      </w:r>
    </w:p>
    <w:p>
      <w:pPr>
        <w:spacing w:after="20" w:line="223" w:lineRule="auto"/>
        <w:jc w:val="right"/>
        <w:bidi/>
      </w:pPr>
      <w:r>
        <w:rPr>
          <w:rFonts w:ascii="Arial" w:hAnsi="Arial"/>
          <w:sz w:val="16"/>
        </w:rPr>
        <w:t>395.20  وکیل محاکمه ممکن است از نظر اخلاقی اجازه ادامه دعوا علیه متهم را ندهد زیرا می‌داند اتهامات ناشی از دلایل احتمالی پشتیبانی نمی‌شوند.</w:t>
      </w:r>
    </w:p>
    <w:p>
      <w:pPr>
        <w:spacing w:after="28" w:line="216" w:lineRule="auto"/>
        <w:ind w:left="259"/>
        <w:jc w:val="left"/>
      </w:pPr>
      <w:r>
        <w:rPr>
          <w:rFonts w:ascii="Arial" w:hAnsi="Arial"/>
          <w:color w:val="525252"/>
          <w:sz w:val="13"/>
        </w:rPr>
        <w:t>Trial counsel may not ethically permit the continuance of the cause of action against the accused knowing the charges are not supported by probable cause.</w:t>
      </w:r>
    </w:p>
    <w:p>
      <w:pPr>
        <w:spacing w:after="20" w:line="223" w:lineRule="auto"/>
        <w:jc w:val="right"/>
        <w:bidi/>
      </w:pPr>
      <w:r>
        <w:rPr>
          <w:rFonts w:ascii="Arial" w:hAnsi="Arial"/>
          <w:sz w:val="16"/>
        </w:rPr>
        <w:t>395.21  علاوه بر این، وکیل دادگستری موظف است هرگونه مدرکی را که مجرمیت متهم را نفی می‌کند، میزان گناه را کاهش می‌دهد یا به‌طور معقولی در کاهش مجازات متهم به کار می‌گیرد، به دفاع فاش کند.</w:t>
      </w:r>
    </w:p>
    <w:p>
      <w:pPr>
        <w:spacing w:after="28" w:line="216" w:lineRule="auto"/>
        <w:ind w:left="259"/>
        <w:jc w:val="left"/>
      </w:pPr>
      <w:r>
        <w:rPr>
          <w:rFonts w:ascii="Arial" w:hAnsi="Arial"/>
          <w:color w:val="525252"/>
          <w:sz w:val="13"/>
        </w:rPr>
        <w:t>Additionally, trial counsel has an affirmative duty to disclose to the defense any evidence that negates the accused’s guilt, mitigates the degree of guilt, or reasonably tends to reduce the punishment of the accused.</w:t>
      </w:r>
    </w:p>
    <w:p>
      <w:pPr>
        <w:spacing w:after="20" w:line="223" w:lineRule="auto"/>
        <w:jc w:val="right"/>
        <w:bidi/>
      </w:pPr>
      <w:r>
        <w:rPr>
          <w:rFonts w:ascii="Arial" w:hAnsi="Arial"/>
          <w:sz w:val="16"/>
        </w:rPr>
        <w:t>395.22  وکیل مدافع.</w:t>
      </w:r>
    </w:p>
    <w:p>
      <w:pPr>
        <w:spacing w:after="28" w:line="216" w:lineRule="auto"/>
        <w:ind w:left="259"/>
        <w:jc w:val="left"/>
      </w:pPr>
      <w:r>
        <w:rPr>
          <w:rFonts w:ascii="Arial" w:hAnsi="Arial"/>
          <w:color w:val="525252"/>
          <w:sz w:val="13"/>
        </w:rPr>
        <w:t>Defense Counsel.</w:t>
      </w:r>
    </w:p>
    <w:p>
      <w:pPr>
        <w:spacing w:after="20" w:line="223" w:lineRule="auto"/>
        <w:jc w:val="right"/>
        <w:bidi/>
      </w:pPr>
      <w:r>
        <w:rPr>
          <w:rFonts w:ascii="Arial" w:hAnsi="Arial"/>
          <w:sz w:val="16"/>
        </w:rPr>
        <w:t>395.23  وکیل مدافع نظامی مشابه وکلای مدافع در محاکمات جنایی غیرنظامی است.</w:t>
      </w:r>
    </w:p>
    <w:p>
      <w:pPr>
        <w:spacing w:after="28" w:line="216" w:lineRule="auto"/>
        <w:ind w:left="259"/>
        <w:jc w:val="left"/>
      </w:pPr>
      <w:r>
        <w:rPr>
          <w:rFonts w:ascii="Arial" w:hAnsi="Arial"/>
          <w:color w:val="525252"/>
          <w:sz w:val="13"/>
        </w:rPr>
        <w:t>Military defense counsel is similar to defense attorneys in civilian criminal trials.</w:t>
      </w:r>
    </w:p>
    <w:p>
      <w:pPr>
        <w:spacing w:after="20" w:line="223" w:lineRule="auto"/>
        <w:jc w:val="right"/>
        <w:bidi/>
      </w:pPr>
      <w:r>
        <w:rPr>
          <w:rFonts w:ascii="Arial" w:hAnsi="Arial"/>
          <w:sz w:val="16"/>
        </w:rPr>
        <w:t>395.24  در محاکمه از طریق دادگاه نظامی، متهم می‌تواند توسط وکیل مدافع نظامی به صورت رایگان وکالت کند.</w:t>
      </w:r>
    </w:p>
    <w:p>
      <w:pPr>
        <w:spacing w:after="28" w:line="216" w:lineRule="auto"/>
        <w:ind w:left="259"/>
        <w:jc w:val="left"/>
      </w:pPr>
      <w:r>
        <w:rPr>
          <w:rFonts w:ascii="Arial" w:hAnsi="Arial"/>
          <w:color w:val="525252"/>
          <w:sz w:val="13"/>
        </w:rPr>
        <w:t>In a trial by court-martial, the accused may be represented by military defense counsel, free of charge.</w:t>
      </w:r>
    </w:p>
    <w:p>
      <w:pPr>
        <w:spacing w:after="20" w:line="223" w:lineRule="auto"/>
        <w:jc w:val="right"/>
        <w:bidi/>
      </w:pPr>
      <w:r>
        <w:rPr>
          <w:rFonts w:ascii="Arial" w:hAnsi="Arial"/>
          <w:sz w:val="16"/>
        </w:rPr>
        <w:t>395.25  متهم همچنین می‌تواند با هزینه شخصی خود وکیل غیرنظامی استخدام کند.</w:t>
      </w:r>
    </w:p>
    <w:p>
      <w:pPr>
        <w:spacing w:after="28" w:line="216" w:lineRule="auto"/>
        <w:ind w:left="259"/>
        <w:jc w:val="left"/>
      </w:pPr>
      <w:r>
        <w:rPr>
          <w:rFonts w:ascii="Arial" w:hAnsi="Arial"/>
          <w:color w:val="525252"/>
          <w:sz w:val="13"/>
        </w:rPr>
        <w:t>The accused may also hire a civilian lawyer at his or her own expense.</w:t>
      </w:r>
    </w:p>
    <w:p>
      <w:pPr>
        <w:spacing w:after="20" w:line="223" w:lineRule="auto"/>
        <w:jc w:val="right"/>
        <w:bidi/>
      </w:pPr>
      <w:r>
        <w:rPr>
          <w:rFonts w:ascii="Arial" w:hAnsi="Arial"/>
          <w:sz w:val="16"/>
        </w:rPr>
        <w:t>395.26  متهم می‌تواند از یک وکیل نظامی خاص درخواست وکالت کند و اگر آن وکیل به‌طور معقولی در دسترس باشد، برای وکالت متهم توضیح داده می‌شود.</w:t>
      </w:r>
    </w:p>
    <w:p>
      <w:pPr>
        <w:spacing w:after="28" w:line="216" w:lineRule="auto"/>
        <w:ind w:left="259"/>
        <w:jc w:val="left"/>
      </w:pPr>
      <w:r>
        <w:rPr>
          <w:rFonts w:ascii="Arial" w:hAnsi="Arial"/>
          <w:color w:val="525252"/>
          <w:sz w:val="13"/>
        </w:rPr>
        <w:t>An accused may request representation by a particular military lawyer, and if that lawyer is reasonably available, he or she will be detailed to represent the accused.</w:t>
      </w:r>
    </w:p>
    <w:p>
      <w:pPr>
        <w:spacing w:after="20" w:line="223" w:lineRule="auto"/>
        <w:jc w:val="right"/>
        <w:bidi/>
      </w:pPr>
      <w:r>
        <w:rPr>
          <w:rFonts w:ascii="Arial" w:hAnsi="Arial"/>
          <w:sz w:val="16"/>
        </w:rPr>
        <w:t>395.27  وکیل مدافع در حدود قانون با غیرت متهم را وکالت خواهد کرد.</w:t>
      </w:r>
    </w:p>
    <w:p>
      <w:pPr>
        <w:spacing w:after="28" w:line="216" w:lineRule="auto"/>
        <w:ind w:left="259"/>
        <w:jc w:val="left"/>
      </w:pPr>
      <w:r>
        <w:rPr>
          <w:rFonts w:ascii="Arial" w:hAnsi="Arial"/>
          <w:color w:val="525252"/>
          <w:sz w:val="13"/>
        </w:rPr>
        <w:t>Defense counsel will, within the bounds of the law, zealously represent the accused.</w:t>
      </w:r>
    </w:p>
    <w:p>
      <w:pPr>
        <w:spacing w:after="20" w:line="223" w:lineRule="auto"/>
        <w:jc w:val="right"/>
        <w:bidi/>
      </w:pPr>
      <w:r>
        <w:rPr>
          <w:rFonts w:ascii="Arial" w:hAnsi="Arial"/>
          <w:sz w:val="16"/>
        </w:rPr>
        <w:t>395.28  دفتر دادرسی ویژه (OSTC).</w:t>
      </w:r>
    </w:p>
    <w:p>
      <w:pPr>
        <w:spacing w:after="28" w:line="216" w:lineRule="auto"/>
        <w:ind w:left="259"/>
        <w:jc w:val="left"/>
      </w:pPr>
      <w:r>
        <w:rPr>
          <w:rFonts w:ascii="Arial" w:hAnsi="Arial"/>
          <w:color w:val="525252"/>
          <w:sz w:val="13"/>
        </w:rPr>
        <w:t>Office of Special Trial Counsel (OSTC).</w:t>
      </w:r>
    </w:p>
    <w:p>
      <w:pPr>
        <w:spacing w:after="20" w:line="223" w:lineRule="auto"/>
        <w:jc w:val="right"/>
        <w:bidi/>
      </w:pPr>
      <w:r>
        <w:rPr>
          <w:rFonts w:ascii="Arial" w:hAnsi="Arial"/>
          <w:sz w:val="16"/>
        </w:rPr>
        <w:t>395.29  نمایندگی متخصص، تخصصی، مستقل و اخلاقی از ایالات متحده، تحت کنترل مستقیم غیرنظامی سکاف، در رسیدگی و رسیدگی به دعاوی در سطح محاکمه جرایم تحت پوشش، همانطور که در ماده ۱(۱۷)، UCMJ، و سایر جرائمی که این دفتر بر اساس ماده UJM،ک.</w:t>
      </w:r>
    </w:p>
    <w:p>
      <w:pPr>
        <w:spacing w:after="28" w:line="216" w:lineRule="auto"/>
        <w:ind w:left="259"/>
        <w:jc w:val="left"/>
      </w:pPr>
      <w:r>
        <w:rPr>
          <w:rFonts w:ascii="Arial" w:hAnsi="Arial"/>
          <w:color w:val="525252"/>
          <w:sz w:val="13"/>
        </w:rPr>
        <w:t>Provides expert, specialized, independent, and ethical representation of the United States, under the direct civilian control of the SecAF, in the investigation and trial-level litigation of covered offenses, as prescribed by Article 1(17), UCMJ, and other offenses over which the office exercises authority pursuant to Article 24a, UCMJ.</w:t>
      </w:r>
    </w:p>
    <w:p>
      <w:pPr>
        <w:spacing w:after="20" w:line="223" w:lineRule="auto"/>
        <w:jc w:val="right"/>
        <w:bidi/>
      </w:pPr>
      <w:r>
        <w:rPr>
          <w:rFonts w:ascii="Arial" w:hAnsi="Arial"/>
          <w:sz w:val="16"/>
        </w:rPr>
        <w:t>395.30  OSTC مستقیما بدون هیچ مرجع مداخله‌ای به سکاف گزارش می‌دهد.</w:t>
      </w:r>
    </w:p>
    <w:p>
      <w:pPr>
        <w:spacing w:after="28" w:line="216" w:lineRule="auto"/>
        <w:ind w:left="259"/>
        <w:jc w:val="left"/>
      </w:pPr>
      <w:r>
        <w:rPr>
          <w:rFonts w:ascii="Arial" w:hAnsi="Arial"/>
          <w:color w:val="525252"/>
          <w:sz w:val="13"/>
        </w:rPr>
        <w:t>OSTC reports directly to SecAF with no intervening authority.</w:t>
      </w:r>
    </w:p>
    <w:p>
      <w:pPr>
        <w:spacing w:after="20" w:line="223" w:lineRule="auto"/>
        <w:jc w:val="right"/>
        <w:bidi/>
      </w:pPr>
      <w:r>
        <w:rPr>
          <w:rFonts w:ascii="Arial" w:hAnsi="Arial"/>
          <w:sz w:val="16"/>
        </w:rPr>
        <w:t>395.31  قاضی نظامی.</w:t>
      </w:r>
    </w:p>
    <w:p>
      <w:pPr>
        <w:spacing w:after="28" w:line="216" w:lineRule="auto"/>
        <w:ind w:left="259"/>
        <w:jc w:val="left"/>
      </w:pPr>
      <w:r>
        <w:rPr>
          <w:rFonts w:ascii="Arial" w:hAnsi="Arial"/>
          <w:color w:val="525252"/>
          <w:sz w:val="13"/>
        </w:rPr>
        <w:t>Military Judge.</w:t>
      </w:r>
    </w:p>
    <w:p>
      <w:pPr>
        <w:spacing w:after="20" w:line="223" w:lineRule="auto"/>
        <w:jc w:val="right"/>
        <w:bidi/>
      </w:pPr>
      <w:r>
        <w:rPr>
          <w:rFonts w:ascii="Arial" w:hAnsi="Arial"/>
          <w:sz w:val="16"/>
        </w:rPr>
        <w:t>395.32  یک قاضی محاکمه نظامی ریاست هر جلسه علنی دادگاه نظامی را بر عهده دارد.</w:t>
      </w:r>
    </w:p>
    <w:p>
      <w:pPr>
        <w:spacing w:after="28" w:line="216" w:lineRule="auto"/>
        <w:ind w:left="259"/>
        <w:jc w:val="left"/>
      </w:pPr>
      <w:r>
        <w:rPr>
          <w:rFonts w:ascii="Arial" w:hAnsi="Arial"/>
          <w:color w:val="525252"/>
          <w:sz w:val="13"/>
        </w:rPr>
        <w:t>A military trial judge presides over each open session of the court-martial.</w:t>
      </w:r>
    </w:p>
    <w:p>
      <w:pPr>
        <w:spacing w:after="20" w:line="223" w:lineRule="auto"/>
        <w:jc w:val="right"/>
        <w:bidi/>
      </w:pPr>
      <w:r>
        <w:rPr>
          <w:rFonts w:ascii="Arial" w:hAnsi="Arial"/>
          <w:sz w:val="16"/>
        </w:rPr>
        <w:t>395.33  قضات محاکمه نظامی از میان وکلای قضات مجرب و واجد شرایط انتخاب می‌شوند.</w:t>
      </w:r>
    </w:p>
    <w:p>
      <w:pPr>
        <w:spacing w:after="28" w:line="216" w:lineRule="auto"/>
        <w:ind w:left="259"/>
        <w:jc w:val="left"/>
      </w:pPr>
      <w:r>
        <w:rPr>
          <w:rFonts w:ascii="Arial" w:hAnsi="Arial"/>
          <w:color w:val="525252"/>
          <w:sz w:val="13"/>
        </w:rPr>
        <w:t>Military trial judges are selected from highly qualified, experienced judge advocates.</w:t>
      </w:r>
    </w:p>
    <w:p>
      <w:pPr>
        <w:spacing w:after="20" w:line="223" w:lineRule="auto"/>
        <w:jc w:val="right"/>
        <w:bidi/>
      </w:pPr>
      <w:r>
        <w:rPr>
          <w:rFonts w:ascii="Arial" w:hAnsi="Arial"/>
          <w:sz w:val="16"/>
        </w:rPr>
        <w:t>395.34  ارتش</w:t>
      </w:r>
    </w:p>
    <w:p>
      <w:pPr>
        <w:spacing w:after="28" w:line="216" w:lineRule="auto"/>
        <w:ind w:left="259"/>
        <w:jc w:val="left"/>
      </w:pPr>
      <w:r>
        <w:rPr>
          <w:rFonts w:ascii="Arial" w:hAnsi="Arial"/>
          <w:color w:val="525252"/>
          <w:sz w:val="13"/>
        </w:rPr>
        <w:t>The military</w:t>
      </w:r>
    </w:p>
    <w:p>
      <w:r>
        <w:br w:type="page"/>
      </w:r>
    </w:p>
    <w:p>
      <w:pPr>
        <w:spacing w:after="60"/>
        <w:jc w:val="right"/>
        <w:bidi/>
      </w:pPr>
      <w:r>
        <w:rPr>
          <w:rFonts w:ascii="Arial" w:hAnsi="Arial"/>
          <w:b/>
          <w:color w:val="1F4D78"/>
          <w:sz w:val="19"/>
        </w:rPr>
        <w:t>هفتهٔ 396  |  صفحهٔ منبع: 412</w:t>
      </w:r>
    </w:p>
    <w:p>
      <w:pPr>
        <w:spacing w:after="20" w:line="223" w:lineRule="auto"/>
        <w:jc w:val="right"/>
        <w:bidi/>
      </w:pPr>
      <w:r>
        <w:rPr>
          <w:rFonts w:ascii="Arial" w:hAnsi="Arial"/>
          <w:sz w:val="16"/>
        </w:rPr>
        <w:t>396.01  قاضی دادگاه نظامی نمی‌تواند با اعضای دادگاه مشورت کند مگر با حضور متهم، وکیل و وکیل مدافع و همچنین با اعضای دادگاه رای نمی‌دهد.</w:t>
      </w:r>
    </w:p>
    <w:p>
      <w:pPr>
        <w:spacing w:after="28" w:line="216" w:lineRule="auto"/>
        <w:ind w:left="259"/>
        <w:jc w:val="left"/>
      </w:pPr>
      <w:r>
        <w:rPr>
          <w:rFonts w:ascii="Arial" w:hAnsi="Arial"/>
          <w:color w:val="525252"/>
          <w:sz w:val="13"/>
        </w:rPr>
        <w:t>judge of a court-martial may not consult with members of the court except in the presence of the accused, trial counsel, and defense counsel, nor does he or she vote with the members of the court.</w:t>
      </w:r>
    </w:p>
    <w:p>
      <w:pPr>
        <w:spacing w:after="20" w:line="223" w:lineRule="auto"/>
        <w:jc w:val="right"/>
        <w:bidi/>
      </w:pPr>
      <w:r>
        <w:rPr>
          <w:rFonts w:ascii="Arial" w:hAnsi="Arial"/>
          <w:sz w:val="16"/>
        </w:rPr>
        <w:t>396.02  وکیل قربانیان.</w:t>
      </w:r>
    </w:p>
    <w:p>
      <w:pPr>
        <w:spacing w:after="28" w:line="216" w:lineRule="auto"/>
        <w:ind w:left="259"/>
        <w:jc w:val="left"/>
      </w:pPr>
      <w:r>
        <w:rPr>
          <w:rFonts w:ascii="Arial" w:hAnsi="Arial"/>
          <w:color w:val="525252"/>
          <w:sz w:val="13"/>
        </w:rPr>
        <w:t>Victims’ Counsel.</w:t>
      </w:r>
    </w:p>
    <w:p>
      <w:pPr>
        <w:spacing w:after="20" w:line="223" w:lineRule="auto"/>
        <w:jc w:val="right"/>
        <w:bidi/>
      </w:pPr>
      <w:r>
        <w:rPr>
          <w:rFonts w:ascii="Arial" w:hAnsi="Arial"/>
          <w:sz w:val="16"/>
        </w:rPr>
        <w:t>396.03  علاوه بر شرح مختصری از وکیل قربانیان (VC) درباره برنامه پیشگیری و پاسخ به تجاوز جنسی، سپاه دادستان عمومی قاضی USAF برنامه آزمایشی VC را در سال ۲۰۱۳ ایجاد کرد.</w:t>
      </w:r>
    </w:p>
    <w:p>
      <w:pPr>
        <w:spacing w:after="28" w:line="216" w:lineRule="auto"/>
        <w:ind w:left="259"/>
        <w:jc w:val="left"/>
      </w:pPr>
      <w:r>
        <w:rPr>
          <w:rFonts w:ascii="Arial" w:hAnsi="Arial"/>
          <w:color w:val="525252"/>
          <w:sz w:val="13"/>
        </w:rPr>
        <w:t>In addition to the brief description of the Victims’ Counsel (VC) regarding the Sexual Assault Prevention and Response Program, the USAF Judge Advocate General Corps created the VC pilot program in 2013.</w:t>
      </w:r>
    </w:p>
    <w:p>
      <w:pPr>
        <w:spacing w:after="20" w:line="223" w:lineRule="auto"/>
        <w:jc w:val="right"/>
        <w:bidi/>
      </w:pPr>
      <w:r>
        <w:rPr>
          <w:rFonts w:ascii="Arial" w:hAnsi="Arial"/>
          <w:sz w:val="16"/>
        </w:rPr>
        <w:t>396.04  از آن زمان، این سازمان به ۱۰۱ پرسنل در سراسر جهان با یک زنجیره فرماندهی مستقل گسترش یافته است.</w:t>
      </w:r>
    </w:p>
    <w:p>
      <w:pPr>
        <w:spacing w:after="28" w:line="216" w:lineRule="auto"/>
        <w:ind w:left="259"/>
        <w:jc w:val="left"/>
      </w:pPr>
      <w:r>
        <w:rPr>
          <w:rFonts w:ascii="Arial" w:hAnsi="Arial"/>
          <w:color w:val="525252"/>
          <w:sz w:val="13"/>
        </w:rPr>
        <w:t>Since then, it has expanded to include 101 world-wide personnel with an independent chain of command.</w:t>
      </w:r>
    </w:p>
    <w:p>
      <w:pPr>
        <w:spacing w:after="20" w:line="223" w:lineRule="auto"/>
        <w:jc w:val="right"/>
        <w:bidi/>
      </w:pPr>
      <w:r>
        <w:rPr>
          <w:rFonts w:ascii="Arial" w:hAnsi="Arial"/>
          <w:sz w:val="16"/>
        </w:rPr>
        <w:t>396.05  مسئولیت اصلی VC نسبت به مشتری خود است و VC متعهد به مسئولیت‌های اخلاقی حرفه‌ای در قبال او است.</w:t>
      </w:r>
    </w:p>
    <w:p>
      <w:pPr>
        <w:spacing w:after="28" w:line="216" w:lineRule="auto"/>
        <w:ind w:left="259"/>
        <w:jc w:val="left"/>
      </w:pPr>
      <w:r>
        <w:rPr>
          <w:rFonts w:ascii="Arial" w:hAnsi="Arial"/>
          <w:color w:val="525252"/>
          <w:sz w:val="13"/>
        </w:rPr>
        <w:t>The VC’s primary responsibility is to his or her client and the VC is bound by professional ethical responsibilities to him or her.</w:t>
      </w:r>
    </w:p>
    <w:p>
      <w:pPr>
        <w:spacing w:after="20" w:line="223" w:lineRule="auto"/>
        <w:jc w:val="right"/>
        <w:bidi/>
      </w:pPr>
      <w:r>
        <w:rPr>
          <w:rFonts w:ascii="Arial" w:hAnsi="Arial"/>
          <w:sz w:val="16"/>
        </w:rPr>
        <w:t>396.06  VCها نمایندگی قانونی مستقلی را ارائه می‌کنند، که ممکن است شامل مخالفت با دولت ایالات متحده برای ارتقای منافع فردی مشتریان خود بدون توجه به اینکه چگونه اقدامات آنها ممکن است بر USAF به‌عنوان یک موسسه تأثیر بگذارد، باشد.</w:t>
      </w:r>
    </w:p>
    <w:p>
      <w:pPr>
        <w:spacing w:after="28" w:line="216" w:lineRule="auto"/>
        <w:ind w:left="259"/>
        <w:jc w:val="left"/>
      </w:pPr>
      <w:r>
        <w:rPr>
          <w:rFonts w:ascii="Arial" w:hAnsi="Arial"/>
          <w:color w:val="525252"/>
          <w:sz w:val="13"/>
        </w:rPr>
        <w:t>VCs provide independent legal representation, which might include opposing the government of the United States to promote the individual interests of their clients without regard to how their actions might otherwise affect the USAF as an institution.</w:t>
      </w:r>
    </w:p>
    <w:p>
      <w:pPr>
        <w:spacing w:after="20" w:line="223" w:lineRule="auto"/>
        <w:jc w:val="right"/>
        <w:bidi/>
      </w:pPr>
      <w:r>
        <w:rPr>
          <w:rFonts w:ascii="Arial" w:hAnsi="Arial"/>
          <w:sz w:val="16"/>
        </w:rPr>
        <w:t>396.07  وکالت قانونی VC شامل وکالت از نهادهای مربوطه در USAF، وکالت در دادرسی دادگاه‌های نظامی، بررسی پس از محاکمه و استیناف، و وکالت یا کمک در مورد موضوعات مرتبط خارج از فرآیند عدالت نظامی است.</w:t>
      </w:r>
    </w:p>
    <w:p>
      <w:pPr>
        <w:spacing w:after="28" w:line="216" w:lineRule="auto"/>
        <w:ind w:left="259"/>
        <w:jc w:val="left"/>
      </w:pPr>
      <w:r>
        <w:rPr>
          <w:rFonts w:ascii="Arial" w:hAnsi="Arial"/>
          <w:color w:val="525252"/>
          <w:sz w:val="13"/>
        </w:rPr>
        <w:t>An VC’s legal representation includes advocacy to relevant entities within the USAF, representation in courts-martial proceedings, post-trial and appellate review, and advocacy or assistance regarding related matters outside the military justice process.</w:t>
      </w:r>
    </w:p>
    <w:p>
      <w:pPr>
        <w:spacing w:after="20" w:line="223" w:lineRule="auto"/>
        <w:jc w:val="right"/>
        <w:bidi/>
      </w:pPr>
      <w:r>
        <w:rPr>
          <w:rFonts w:ascii="Arial" w:hAnsi="Arial"/>
          <w:sz w:val="16"/>
        </w:rPr>
        <w:t>396.08  یافته‌ها و جمله.</w:t>
      </w:r>
    </w:p>
    <w:p>
      <w:pPr>
        <w:spacing w:after="28" w:line="216" w:lineRule="auto"/>
        <w:ind w:left="259"/>
        <w:jc w:val="left"/>
      </w:pPr>
      <w:r>
        <w:rPr>
          <w:rFonts w:ascii="Arial" w:hAnsi="Arial"/>
          <w:color w:val="525252"/>
          <w:sz w:val="13"/>
        </w:rPr>
        <w:t>Findings and Sentence.</w:t>
      </w:r>
    </w:p>
    <w:p>
      <w:pPr>
        <w:spacing w:after="20" w:line="223" w:lineRule="auto"/>
        <w:jc w:val="right"/>
        <w:bidi/>
      </w:pPr>
      <w:r>
        <w:rPr>
          <w:rFonts w:ascii="Arial" w:hAnsi="Arial"/>
          <w:sz w:val="16"/>
        </w:rPr>
        <w:t>396.09  حکم دادگاه نظامی را یافته‌ها می‌گویند.</w:t>
      </w:r>
    </w:p>
    <w:p>
      <w:pPr>
        <w:spacing w:after="28" w:line="216" w:lineRule="auto"/>
        <w:ind w:left="259"/>
        <w:jc w:val="left"/>
      </w:pPr>
      <w:r>
        <w:rPr>
          <w:rFonts w:ascii="Arial" w:hAnsi="Arial"/>
          <w:color w:val="525252"/>
          <w:sz w:val="13"/>
        </w:rPr>
        <w:t>The verdict of a court-martial is called the findings.</w:t>
      </w:r>
    </w:p>
    <w:p>
      <w:pPr>
        <w:spacing w:after="20" w:line="223" w:lineRule="auto"/>
        <w:jc w:val="right"/>
        <w:bidi/>
      </w:pPr>
      <w:r>
        <w:rPr>
          <w:rFonts w:ascii="Arial" w:hAnsi="Arial"/>
          <w:sz w:val="16"/>
        </w:rPr>
        <w:t>396.10  متهم را نمی‌توان مجرم شناخت مگر اینکه مجرمیت او فراتر از شک معقول ثابت شود.</w:t>
      </w:r>
    </w:p>
    <w:p>
      <w:pPr>
        <w:spacing w:after="28" w:line="216" w:lineRule="auto"/>
        <w:ind w:left="259"/>
        <w:jc w:val="left"/>
      </w:pPr>
      <w:r>
        <w:rPr>
          <w:rFonts w:ascii="Arial" w:hAnsi="Arial"/>
          <w:color w:val="525252"/>
          <w:sz w:val="13"/>
        </w:rPr>
        <w:t>An accused cannot be found guilty unless guilt is proved beyond a reasonable doubt.</w:t>
      </w:r>
    </w:p>
    <w:p>
      <w:pPr>
        <w:spacing w:after="20" w:line="223" w:lineRule="auto"/>
        <w:jc w:val="right"/>
        <w:bidi/>
      </w:pPr>
      <w:r>
        <w:rPr>
          <w:rFonts w:ascii="Arial" w:hAnsi="Arial"/>
          <w:sz w:val="16"/>
        </w:rPr>
        <w:t>396.11  برای تشخیص مجرم بودن نیازی به توافق اتفاق آرا نیست، بلکه مستلزم آن است که حداقل سه چهارم اعضا به مجرم شناخته شدن رأی دهند.</w:t>
      </w:r>
    </w:p>
    <w:p>
      <w:pPr>
        <w:spacing w:after="28" w:line="216" w:lineRule="auto"/>
        <w:ind w:left="259"/>
        <w:jc w:val="left"/>
      </w:pPr>
      <w:r>
        <w:rPr>
          <w:rFonts w:ascii="Arial" w:hAnsi="Arial"/>
          <w:color w:val="525252"/>
          <w:sz w:val="13"/>
        </w:rPr>
        <w:t>A finding of guilty does not require a unanimous agreement but requires at least three-fourths of the members to vote for a finding of guilty.</w:t>
      </w:r>
    </w:p>
    <w:p>
      <w:pPr>
        <w:spacing w:after="20" w:line="223" w:lineRule="auto"/>
        <w:jc w:val="right"/>
        <w:bidi/>
      </w:pPr>
      <w:r>
        <w:rPr>
          <w:rFonts w:ascii="Arial" w:hAnsi="Arial"/>
          <w:sz w:val="16"/>
        </w:rPr>
        <w:t>396.12  رای گیری با رای کتبی مخفی است.</w:t>
      </w:r>
    </w:p>
    <w:p>
      <w:pPr>
        <w:spacing w:after="28" w:line="216" w:lineRule="auto"/>
        <w:ind w:left="259"/>
        <w:jc w:val="left"/>
      </w:pPr>
      <w:r>
        <w:rPr>
          <w:rFonts w:ascii="Arial" w:hAnsi="Arial"/>
          <w:color w:val="525252"/>
          <w:sz w:val="13"/>
        </w:rPr>
        <w:t>Voting is by secret written ballot.</w:t>
      </w:r>
    </w:p>
    <w:p>
      <w:pPr>
        <w:spacing w:after="20" w:line="223" w:lineRule="auto"/>
        <w:jc w:val="right"/>
        <w:bidi/>
      </w:pPr>
      <w:r>
        <w:rPr>
          <w:rFonts w:ascii="Arial" w:hAnsi="Arial"/>
          <w:sz w:val="16"/>
        </w:rPr>
        <w:t>396.13  در صورت صدور رای بی گناهی (برائت)، محاکمه خاتمه می‌یابد.</w:t>
      </w:r>
    </w:p>
    <w:p>
      <w:pPr>
        <w:spacing w:after="28" w:line="216" w:lineRule="auto"/>
        <w:ind w:left="259"/>
        <w:jc w:val="left"/>
      </w:pPr>
      <w:r>
        <w:rPr>
          <w:rFonts w:ascii="Arial" w:hAnsi="Arial"/>
          <w:color w:val="525252"/>
          <w:sz w:val="13"/>
        </w:rPr>
        <w:t>In the event of a not-guilty verdict (acquittal), the trial ends.</w:t>
      </w:r>
    </w:p>
    <w:p>
      <w:pPr>
        <w:spacing w:after="20" w:line="223" w:lineRule="auto"/>
        <w:jc w:val="right"/>
        <w:bidi/>
      </w:pPr>
      <w:r>
        <w:rPr>
          <w:rFonts w:ascii="Arial" w:hAnsi="Arial"/>
          <w:sz w:val="16"/>
        </w:rPr>
        <w:t>396.14  اگر مجرم شناخته شود، یک روند پیش از صدور حکم بلافاصله دنبال می‌شود تا به دادگاه کمک کند تا حکم مناسب را تعیین کند.</w:t>
      </w:r>
    </w:p>
    <w:p>
      <w:pPr>
        <w:spacing w:after="28" w:line="216" w:lineRule="auto"/>
        <w:ind w:left="259"/>
        <w:jc w:val="left"/>
      </w:pPr>
      <w:r>
        <w:rPr>
          <w:rFonts w:ascii="Arial" w:hAnsi="Arial"/>
          <w:color w:val="525252"/>
          <w:sz w:val="13"/>
        </w:rPr>
        <w:t>If there is a finding of guilty, a pre-sentencing procedure follows immediately to help the court determine an appropriate sentence.</w:t>
      </w:r>
    </w:p>
    <w:p>
      <w:pPr>
        <w:spacing w:after="20" w:line="223" w:lineRule="auto"/>
        <w:jc w:val="right"/>
        <w:bidi/>
      </w:pPr>
      <w:r>
        <w:rPr>
          <w:rFonts w:ascii="Arial" w:hAnsi="Arial"/>
          <w:sz w:val="16"/>
        </w:rPr>
        <w:t>396.15  حکم اعدام مستلزم رای وحدت رویه توسط اعضای هیأت هم در مورد مجرمیت و هم مناسب بودن اعدام به‌عنوان مجازات است.</w:t>
      </w:r>
    </w:p>
    <w:p>
      <w:pPr>
        <w:spacing w:after="28" w:line="216" w:lineRule="auto"/>
        <w:ind w:left="259"/>
        <w:jc w:val="left"/>
      </w:pPr>
      <w:r>
        <w:rPr>
          <w:rFonts w:ascii="Arial" w:hAnsi="Arial"/>
          <w:color w:val="525252"/>
          <w:sz w:val="13"/>
        </w:rPr>
        <w:t>A sentence of death requires a unanimous vote by panel members on both the findings of guilt and the propriety of death as punishment.</w:t>
      </w:r>
    </w:p>
    <w:p>
      <w:pPr>
        <w:spacing w:before="60" w:after="28"/>
        <w:jc w:val="right"/>
        <w:bidi/>
      </w:pPr>
      <w:r>
        <w:rPr>
          <w:b/>
          <w:color w:val="1F4D78"/>
          <w:sz w:val="18"/>
        </w:rPr>
        <w:t>21.16. بررسی تجدید نظر</w:t>
      </w:r>
    </w:p>
    <w:p>
      <w:pPr>
        <w:spacing w:after="20"/>
        <w:ind w:left="259"/>
        <w:jc w:val="left"/>
      </w:pPr>
      <w:r>
        <w:rPr>
          <w:color w:val="555555"/>
          <w:sz w:val="12"/>
        </w:rPr>
        <w:t>21.16. Appellate Review</w:t>
      </w:r>
    </w:p>
    <w:p>
      <w:pPr>
        <w:spacing w:after="20" w:line="223" w:lineRule="auto"/>
        <w:jc w:val="right"/>
        <w:bidi/>
      </w:pPr>
      <w:r>
        <w:rPr>
          <w:rFonts w:ascii="Arial" w:hAnsi="Arial"/>
          <w:sz w:val="16"/>
        </w:rPr>
        <w:t>396.17  پس از اعلام حکم در دادگاه نظامی، متهم می‌تواند در اعمال اختیارات مرجع دعوت، موضوع را برای رسیدگی به مرجع دعوت کننده ارائه کند.</w:t>
      </w:r>
    </w:p>
    <w:p>
      <w:pPr>
        <w:spacing w:after="28" w:line="216" w:lineRule="auto"/>
        <w:ind w:left="259"/>
        <w:jc w:val="left"/>
      </w:pPr>
      <w:r>
        <w:rPr>
          <w:rFonts w:ascii="Arial" w:hAnsi="Arial"/>
          <w:color w:val="525252"/>
          <w:sz w:val="13"/>
        </w:rPr>
        <w:t>After a sentence is announced in a court-martial, the accused may submit matters to the convening authority for consideration in the exercise of the convening authority’s powers.</w:t>
      </w:r>
    </w:p>
    <w:p>
      <w:pPr>
        <w:spacing w:after="20" w:line="223" w:lineRule="auto"/>
        <w:jc w:val="right"/>
        <w:bidi/>
      </w:pPr>
      <w:r>
        <w:rPr>
          <w:rFonts w:ascii="Arial" w:hAnsi="Arial"/>
          <w:sz w:val="16"/>
        </w:rPr>
        <w:t>396.18  پس از اقدام مرجع دعوت کننده، قاضی نظامی دادگاه نظامی عمومی یا خاص، حکم دادگاه را در صورتجلسه محاکمه ثبت می‌کند.</w:t>
      </w:r>
    </w:p>
    <w:p>
      <w:pPr>
        <w:spacing w:after="28" w:line="216" w:lineRule="auto"/>
        <w:ind w:left="259"/>
        <w:jc w:val="left"/>
      </w:pPr>
      <w:r>
        <w:rPr>
          <w:rFonts w:ascii="Arial" w:hAnsi="Arial"/>
          <w:color w:val="525252"/>
          <w:sz w:val="13"/>
        </w:rPr>
        <w:t>Once the convening authority takes action, the military judge of a general or special court-martial shall enter into the record of trial the judgment of the court.</w:t>
      </w:r>
    </w:p>
    <w:p>
      <w:pPr>
        <w:spacing w:after="20" w:line="223" w:lineRule="auto"/>
        <w:jc w:val="right"/>
        <w:bidi/>
      </w:pPr>
      <w:r>
        <w:rPr>
          <w:rFonts w:ascii="Arial" w:hAnsi="Arial"/>
          <w:sz w:val="16"/>
        </w:rPr>
        <w:t>396.19  حکم منعکس کننده نتیجه دادگاه نظامی است که توسط هر اقدام، حکم یا دستور پس از محاکمه اصلاح شده است.</w:t>
      </w:r>
    </w:p>
    <w:p>
      <w:pPr>
        <w:spacing w:after="28" w:line="216" w:lineRule="auto"/>
        <w:ind w:left="259"/>
        <w:jc w:val="left"/>
      </w:pPr>
      <w:r>
        <w:rPr>
          <w:rFonts w:ascii="Arial" w:hAnsi="Arial"/>
          <w:color w:val="525252"/>
          <w:sz w:val="13"/>
        </w:rPr>
        <w:t>The judgment reflects the result of the court- martial, as modified by any post-trial actions, rulings, or orders.</w:t>
      </w:r>
    </w:p>
    <w:p>
      <w:pPr>
        <w:spacing w:after="20" w:line="223" w:lineRule="auto"/>
        <w:jc w:val="right"/>
        <w:bidi/>
      </w:pPr>
      <w:r>
        <w:rPr>
          <w:rFonts w:ascii="Arial" w:hAnsi="Arial"/>
          <w:sz w:val="16"/>
        </w:rPr>
        <w:t>396.20  ورود حکم موجب خاتمه دادرسی و آغاز روند تجدیدنظر می‌شود.</w:t>
      </w:r>
    </w:p>
    <w:p>
      <w:pPr>
        <w:spacing w:after="28" w:line="216" w:lineRule="auto"/>
        <w:ind w:left="259"/>
        <w:jc w:val="left"/>
      </w:pPr>
      <w:r>
        <w:rPr>
          <w:rFonts w:ascii="Arial" w:hAnsi="Arial"/>
          <w:color w:val="525252"/>
          <w:sz w:val="13"/>
        </w:rPr>
        <w:t>The entry of judgment terminates the trial proceedings and initiates the appellate process.</w:t>
      </w:r>
    </w:p>
    <w:p>
      <w:pPr>
        <w:spacing w:after="20" w:line="223" w:lineRule="auto"/>
        <w:jc w:val="right"/>
        <w:bidi/>
      </w:pPr>
      <w:r>
        <w:rPr>
          <w:rFonts w:ascii="Arial" w:hAnsi="Arial"/>
          <w:sz w:val="16"/>
        </w:rPr>
        <w:t>396.21  قاضی وکیل عمومی.</w:t>
      </w:r>
    </w:p>
    <w:p>
      <w:pPr>
        <w:spacing w:after="28" w:line="216" w:lineRule="auto"/>
        <w:ind w:left="259"/>
        <w:jc w:val="left"/>
      </w:pPr>
      <w:r>
        <w:rPr>
          <w:rFonts w:ascii="Arial" w:hAnsi="Arial"/>
          <w:color w:val="525252"/>
          <w:sz w:val="13"/>
        </w:rPr>
        <w:t>The Judge Advocate General.</w:t>
      </w:r>
    </w:p>
    <w:p>
      <w:pPr>
        <w:spacing w:after="20" w:line="223" w:lineRule="auto"/>
        <w:jc w:val="right"/>
        <w:bidi/>
      </w:pPr>
      <w:r>
        <w:rPr>
          <w:rFonts w:ascii="Arial" w:hAnsi="Arial"/>
          <w:sz w:val="16"/>
        </w:rPr>
        <w:t>396.22  قاضی وکیل دادگستری مرجع رسیدگی کننده در پرونده‌های دادگاه نظامی عمومی است که حکم شامل اعدام، اخراج، اخراج مجازات یا حبس به مدت یک سال یا بیشتر نمی‌شود.</w:t>
      </w:r>
    </w:p>
    <w:p>
      <w:pPr>
        <w:spacing w:after="28" w:line="216" w:lineRule="auto"/>
        <w:ind w:left="259"/>
        <w:jc w:val="left"/>
      </w:pPr>
      <w:r>
        <w:rPr>
          <w:rFonts w:ascii="Arial" w:hAnsi="Arial"/>
          <w:color w:val="525252"/>
          <w:sz w:val="13"/>
        </w:rPr>
        <w:t>The Judge Advocate General is the review authority in general court-martial cases where the sentence does not include death, dismissal, punitive discharge, or confinement for one year or more.</w:t>
      </w:r>
    </w:p>
    <w:p>
      <w:pPr>
        <w:spacing w:after="20" w:line="223" w:lineRule="auto"/>
        <w:jc w:val="right"/>
        <w:bidi/>
      </w:pPr>
      <w:r>
        <w:rPr>
          <w:rFonts w:ascii="Arial" w:hAnsi="Arial"/>
          <w:sz w:val="16"/>
        </w:rPr>
        <w:t>396.23  قاضی وکیل عمومی همچنین ممکن است تصدیق (ارجاع) پرونده را به دادگاه تجدیدنظر جنایی نیروی هوایی انتخاب کند.</w:t>
      </w:r>
    </w:p>
    <w:p>
      <w:pPr>
        <w:spacing w:after="28" w:line="216" w:lineRule="auto"/>
        <w:ind w:left="259"/>
        <w:jc w:val="left"/>
      </w:pPr>
      <w:r>
        <w:rPr>
          <w:rFonts w:ascii="Arial" w:hAnsi="Arial"/>
          <w:color w:val="525252"/>
          <w:sz w:val="13"/>
        </w:rPr>
        <w:t>The Judge Advocate General may also elect to certify (refer) a case to the Air Force Court of Criminal Appeals.</w:t>
      </w:r>
    </w:p>
    <w:p>
      <w:pPr>
        <w:spacing w:after="20" w:line="223" w:lineRule="auto"/>
        <w:jc w:val="right"/>
        <w:bidi/>
      </w:pPr>
      <w:r>
        <w:rPr>
          <w:rFonts w:ascii="Arial" w:hAnsi="Arial"/>
          <w:sz w:val="16"/>
        </w:rPr>
        <w:t>396.24  قاضی وکیل عمومی به مقامات دعوت کننده دستور می‌دهد تا طبق تصمیمات دادگاه اقدام کنند.</w:t>
      </w:r>
    </w:p>
    <w:p>
      <w:pPr>
        <w:spacing w:after="28" w:line="216" w:lineRule="auto"/>
        <w:ind w:left="259"/>
        <w:jc w:val="left"/>
      </w:pPr>
      <w:r>
        <w:rPr>
          <w:rFonts w:ascii="Arial" w:hAnsi="Arial"/>
          <w:color w:val="525252"/>
          <w:sz w:val="13"/>
        </w:rPr>
        <w:t>The Judge Advocate General instructs convening authorities to take action according to the court’s decisions.</w:t>
      </w:r>
    </w:p>
    <w:p>
      <w:pPr>
        <w:spacing w:after="20" w:line="223" w:lineRule="auto"/>
        <w:jc w:val="right"/>
        <w:bidi/>
      </w:pPr>
      <w:r>
        <w:rPr>
          <w:rFonts w:ascii="Arial" w:hAnsi="Arial"/>
          <w:sz w:val="16"/>
        </w:rPr>
        <w:t>396.25  دادگاه تجدیدنظر کیفری نیروی هوایی.</w:t>
      </w:r>
    </w:p>
    <w:p>
      <w:pPr>
        <w:spacing w:after="28" w:line="216" w:lineRule="auto"/>
        <w:ind w:left="259"/>
        <w:jc w:val="left"/>
      </w:pPr>
      <w:r>
        <w:rPr>
          <w:rFonts w:ascii="Arial" w:hAnsi="Arial"/>
          <w:color w:val="525252"/>
          <w:sz w:val="13"/>
        </w:rPr>
        <w:t>Air Force Court of Criminal Appeals.</w:t>
      </w:r>
    </w:p>
    <w:p>
      <w:pPr>
        <w:spacing w:after="20" w:line="223" w:lineRule="auto"/>
        <w:jc w:val="right"/>
        <w:bidi/>
      </w:pPr>
      <w:r>
        <w:rPr>
          <w:rFonts w:ascii="Arial" w:hAnsi="Arial"/>
          <w:sz w:val="16"/>
        </w:rPr>
        <w:t>396.26  دادگاه تجدیدنظر کیفری نیروی هوایی اولین سطح رسیدگی رسمی تجدیدنظر است.</w:t>
      </w:r>
    </w:p>
    <w:p>
      <w:pPr>
        <w:spacing w:after="28" w:line="216" w:lineRule="auto"/>
        <w:ind w:left="259"/>
        <w:jc w:val="left"/>
      </w:pPr>
      <w:r>
        <w:rPr>
          <w:rFonts w:ascii="Arial" w:hAnsi="Arial"/>
          <w:color w:val="525252"/>
          <w:sz w:val="13"/>
        </w:rPr>
        <w:t>The Air Force Court of Criminal Appeals is the first level of formal appellate review.</w:t>
      </w:r>
    </w:p>
    <w:p>
      <w:pPr>
        <w:spacing w:after="20" w:line="223" w:lineRule="auto"/>
        <w:jc w:val="right"/>
        <w:bidi/>
      </w:pPr>
      <w:r>
        <w:rPr>
          <w:rFonts w:ascii="Arial" w:hAnsi="Arial"/>
          <w:sz w:val="16"/>
        </w:rPr>
        <w:t>396.27  این یک نهاد قضایی استیناف مستقل از حداقل سه قاضی استیناف نظامی است که توسط قاضی وکیل عمومی منصوب می‌شوند.</w:t>
      </w:r>
    </w:p>
    <w:p>
      <w:pPr>
        <w:spacing w:after="28" w:line="216" w:lineRule="auto"/>
        <w:ind w:left="259"/>
        <w:jc w:val="left"/>
      </w:pPr>
      <w:r>
        <w:rPr>
          <w:rFonts w:ascii="Arial" w:hAnsi="Arial"/>
          <w:color w:val="525252"/>
          <w:sz w:val="13"/>
        </w:rPr>
        <w:t>It is an independent appellate judicial body of at least three military appellate judges appointed by the Judge Advocate General.</w:t>
      </w:r>
    </w:p>
    <w:p>
      <w:pPr>
        <w:spacing w:after="20" w:line="223" w:lineRule="auto"/>
        <w:jc w:val="right"/>
        <w:bidi/>
      </w:pPr>
      <w:r>
        <w:rPr>
          <w:rFonts w:ascii="Arial" w:hAnsi="Arial"/>
          <w:sz w:val="16"/>
        </w:rPr>
        <w:t>396.28  هر قاضی باید عضو یکی از وکلای یک دادگاه فدرال یا بالاترین دادگاه یک ایالت باشد و باید توسط قاضی دادستان کل به دلیل تحصیلات، آموزش، تجربه و خلق و خوی قضایی واجد شرایط بودن برای انجام وظیفه به‌عنوان قاضی نظامی استیناف باشد.</w:t>
      </w:r>
    </w:p>
    <w:p>
      <w:pPr>
        <w:spacing w:after="28" w:line="216" w:lineRule="auto"/>
        <w:ind w:left="259"/>
        <w:jc w:val="left"/>
      </w:pPr>
      <w:r>
        <w:rPr>
          <w:rFonts w:ascii="Arial" w:hAnsi="Arial"/>
          <w:color w:val="525252"/>
          <w:sz w:val="13"/>
        </w:rPr>
        <w:t>Each judge must be a member of a bar of a federal court or of the highest court of a state and must be certified by the Judge Advocate General as qualified by reason of education, training, experience, and judicial temperament, for duty as an appellate military judge.</w:t>
      </w:r>
    </w:p>
    <w:p>
      <w:pPr>
        <w:spacing w:after="20" w:line="223" w:lineRule="auto"/>
        <w:jc w:val="right"/>
        <w:bidi/>
      </w:pPr>
      <w:r>
        <w:rPr>
          <w:rFonts w:ascii="Arial" w:hAnsi="Arial"/>
          <w:sz w:val="16"/>
        </w:rPr>
        <w:t>396.29  دادگاه تجدیدنظر کیفری نیروی هوایی موارد را از نظر خطای قانونی و از نظر کفایت واقعی زمانی که موضوع کفایت واقعی از سوی فرجام‌خواه مطرح می‌شود، بررسی می‌کند.</w:t>
      </w:r>
    </w:p>
    <w:p>
      <w:pPr>
        <w:spacing w:after="28" w:line="216" w:lineRule="auto"/>
        <w:ind w:left="259"/>
        <w:jc w:val="left"/>
      </w:pPr>
      <w:r>
        <w:rPr>
          <w:rFonts w:ascii="Arial" w:hAnsi="Arial"/>
          <w:color w:val="525252"/>
          <w:sz w:val="13"/>
        </w:rPr>
        <w:t>The Air Force Court of Criminal Appeals reviews cases for legal error and for factual sufficiency when an issue of factual sufficiency is raised by the appellant.</w:t>
      </w:r>
    </w:p>
    <w:p>
      <w:pPr>
        <w:spacing w:after="20" w:line="223" w:lineRule="auto"/>
        <w:jc w:val="right"/>
        <w:bidi/>
      </w:pPr>
      <w:r>
        <w:rPr>
          <w:rFonts w:ascii="Arial" w:hAnsi="Arial"/>
          <w:sz w:val="16"/>
        </w:rPr>
        <w:t>396.30  مگر اینکه تجدیدنظر تجدیدنظر توسط تجدیدنظرخواه صرفنظر شود، دادگاه تجدیدنظر جنایی نیروی هوایی به‌طور خودکار همه مواردی را که شامل حکم اعدام، اخراج یک افسر مأمور، اخراج تنبیهی، یا حبس دو سال یا بیشتر است، بررسی می‌کند.</w:t>
      </w:r>
    </w:p>
    <w:p>
      <w:pPr>
        <w:spacing w:after="28" w:line="216" w:lineRule="auto"/>
        <w:ind w:left="259"/>
        <w:jc w:val="left"/>
      </w:pPr>
      <w:r>
        <w:rPr>
          <w:rFonts w:ascii="Arial" w:hAnsi="Arial"/>
          <w:color w:val="525252"/>
          <w:sz w:val="13"/>
        </w:rPr>
        <w:t>Unless appellate review is waived by an appellant, the Air Force Court of Criminal Appeals automatically reviews all cases involving a sentence that includes death, dismissal of a commissioned officer, a punitive discharge, or confinement of two years or more.</w:t>
      </w:r>
    </w:p>
    <w:p>
      <w:pPr>
        <w:spacing w:after="20" w:line="223" w:lineRule="auto"/>
        <w:jc w:val="right"/>
        <w:bidi/>
      </w:pPr>
      <w:r>
        <w:rPr>
          <w:rFonts w:ascii="Arial" w:hAnsi="Arial"/>
          <w:sz w:val="16"/>
        </w:rPr>
        <w:t>396.31  به‌علاوه، دادگاه تجدیدنظر جنایی نیروی هوایی، درخواست‌های به‌موقع ارائه شده توسط متهم را برای احکام حبس بیش از شش ماه بررسی می‌کند.</w:t>
      </w:r>
    </w:p>
    <w:p>
      <w:pPr>
        <w:spacing w:after="28" w:line="216" w:lineRule="auto"/>
        <w:ind w:left="259"/>
        <w:jc w:val="left"/>
      </w:pPr>
      <w:r>
        <w:rPr>
          <w:rFonts w:ascii="Arial" w:hAnsi="Arial"/>
          <w:color w:val="525252"/>
          <w:sz w:val="13"/>
        </w:rPr>
        <w:t>Additionally, the Air Force Court of Criminal Appeals reviews timely appeals submitted by an accused for sentences to confinement greater than six months.</w:t>
      </w:r>
    </w:p>
    <w:p>
      <w:pPr>
        <w:spacing w:after="20" w:line="223" w:lineRule="auto"/>
        <w:jc w:val="right"/>
        <w:bidi/>
      </w:pPr>
      <w:r>
        <w:rPr>
          <w:rFonts w:ascii="Arial" w:hAnsi="Arial"/>
          <w:sz w:val="16"/>
        </w:rPr>
        <w:t>396.32  در این انجمن، یک وکیل نظامی (رایگان) به شاکی ارائه می‌شود که یک وکیل دادرسی مجرب و یک وکیل استیناف تمام وقت است.</w:t>
      </w:r>
    </w:p>
    <w:p>
      <w:pPr>
        <w:spacing w:after="28" w:line="216" w:lineRule="auto"/>
        <w:ind w:left="259"/>
        <w:jc w:val="left"/>
      </w:pPr>
      <w:r>
        <w:rPr>
          <w:rFonts w:ascii="Arial" w:hAnsi="Arial"/>
          <w:color w:val="525252"/>
          <w:sz w:val="13"/>
        </w:rPr>
        <w:t>In this forum, the appellant is provided a military counsel (free of charge) who is an experienced trial advocate and a full-time appellate counsel.</w:t>
      </w:r>
    </w:p>
    <w:p>
      <w:pPr>
        <w:spacing w:after="20" w:line="223" w:lineRule="auto"/>
        <w:jc w:val="right"/>
        <w:bidi/>
      </w:pPr>
      <w:r>
        <w:rPr>
          <w:rFonts w:ascii="Arial" w:hAnsi="Arial"/>
          <w:sz w:val="16"/>
        </w:rPr>
        <w:t>396.33  وکیل استیناف غیرنظامی ممکن است با هزینه خود شاکی حفظ شود.</w:t>
      </w:r>
    </w:p>
    <w:p>
      <w:pPr>
        <w:spacing w:after="28" w:line="216" w:lineRule="auto"/>
        <w:ind w:left="259"/>
        <w:jc w:val="left"/>
      </w:pPr>
      <w:r>
        <w:rPr>
          <w:rFonts w:ascii="Arial" w:hAnsi="Arial"/>
          <w:color w:val="525252"/>
          <w:sz w:val="13"/>
        </w:rPr>
        <w:t>Civilian appellate counsel may be retained at the appellant’s own expense.</w:t>
      </w:r>
    </w:p>
    <w:p>
      <w:pPr>
        <w:spacing w:after="20" w:line="223" w:lineRule="auto"/>
        <w:jc w:val="right"/>
        <w:bidi/>
      </w:pPr>
      <w:r>
        <w:rPr>
          <w:rFonts w:ascii="Arial" w:hAnsi="Arial"/>
          <w:sz w:val="16"/>
        </w:rPr>
        <w:t>396.34  دولت است</w:t>
      </w:r>
    </w:p>
    <w:p>
      <w:pPr>
        <w:spacing w:after="28" w:line="216" w:lineRule="auto"/>
        <w:ind w:left="259"/>
        <w:jc w:val="left"/>
      </w:pPr>
      <w:r>
        <w:rPr>
          <w:rFonts w:ascii="Arial" w:hAnsi="Arial"/>
          <w:color w:val="525252"/>
          <w:sz w:val="13"/>
        </w:rPr>
        <w:t>The government is</w:t>
      </w:r>
    </w:p>
    <w:p>
      <w:r>
        <w:br w:type="page"/>
      </w:r>
    </w:p>
    <w:p>
      <w:pPr>
        <w:spacing w:after="60"/>
        <w:jc w:val="right"/>
        <w:bidi/>
      </w:pPr>
      <w:r>
        <w:rPr>
          <w:rFonts w:ascii="Arial" w:hAnsi="Arial"/>
          <w:b/>
          <w:color w:val="1F4D78"/>
          <w:sz w:val="19"/>
        </w:rPr>
        <w:t>هفتهٔ 397  |  صفحهٔ منبع: 413</w:t>
      </w:r>
    </w:p>
    <w:p>
      <w:pPr>
        <w:spacing w:after="20" w:line="223" w:lineRule="auto"/>
        <w:jc w:val="right"/>
        <w:bidi/>
      </w:pPr>
      <w:r>
        <w:rPr>
          <w:rFonts w:ascii="Arial" w:hAnsi="Arial"/>
          <w:sz w:val="16"/>
        </w:rPr>
        <w:t>397.01  با وکالت توسط وکیل استیناف دولت.</w:t>
      </w:r>
    </w:p>
    <w:p>
      <w:pPr>
        <w:spacing w:after="28" w:line="216" w:lineRule="auto"/>
        <w:ind w:left="259"/>
        <w:jc w:val="left"/>
      </w:pPr>
      <w:r>
        <w:rPr>
          <w:rFonts w:ascii="Arial" w:hAnsi="Arial"/>
          <w:color w:val="525252"/>
          <w:sz w:val="13"/>
        </w:rPr>
        <w:t>represented by appellate government counsel.</w:t>
      </w:r>
    </w:p>
    <w:p>
      <w:pPr>
        <w:spacing w:after="20" w:line="223" w:lineRule="auto"/>
        <w:jc w:val="right"/>
        <w:bidi/>
      </w:pPr>
      <w:r>
        <w:rPr>
          <w:rFonts w:ascii="Arial" w:hAnsi="Arial"/>
          <w:sz w:val="16"/>
        </w:rPr>
        <w:t>397.02  اگر دادگاه تجدیدنظر جنایی نیروی هوایی علیه شاکی حکم صادر کند، او می‌تواند از دادگاه استیناف نیروهای مسلح ایالات متحده درخواست بررسی کند.</w:t>
      </w:r>
    </w:p>
    <w:p>
      <w:pPr>
        <w:spacing w:after="28" w:line="216" w:lineRule="auto"/>
        <w:ind w:left="259"/>
        <w:jc w:val="left"/>
      </w:pPr>
      <w:r>
        <w:rPr>
          <w:rFonts w:ascii="Arial" w:hAnsi="Arial"/>
          <w:color w:val="525252"/>
          <w:sz w:val="13"/>
        </w:rPr>
        <w:t>If the Air Force Court of Criminal Appeals rules against the appellant, he or she may request review by the U.S. Court of Appeals for the Armed Forces.</w:t>
      </w:r>
    </w:p>
    <w:p>
      <w:pPr>
        <w:spacing w:after="20" w:line="223" w:lineRule="auto"/>
        <w:jc w:val="right"/>
        <w:bidi/>
      </w:pPr>
      <w:r>
        <w:rPr>
          <w:rFonts w:ascii="Arial" w:hAnsi="Arial"/>
          <w:sz w:val="16"/>
        </w:rPr>
        <w:t>397.03  توجه: در پرونده‌های مجازات اعدام نمی‌توان از تجدیدنظرخواهی چشم پوشی کرد. دادگاه استیناف نیروهای مسلح ایالات متحده.</w:t>
      </w:r>
    </w:p>
    <w:p>
      <w:pPr>
        <w:spacing w:after="28" w:line="216" w:lineRule="auto"/>
        <w:ind w:left="259"/>
        <w:jc w:val="left"/>
      </w:pPr>
      <w:r>
        <w:rPr>
          <w:rFonts w:ascii="Arial" w:hAnsi="Arial"/>
          <w:color w:val="525252"/>
          <w:sz w:val="13"/>
        </w:rPr>
        <w:t>Note: Appellate review cannot be waived in death penalty cases. U.S. Court of Appeals for the Armed Forces.</w:t>
      </w:r>
    </w:p>
    <w:p>
      <w:pPr>
        <w:spacing w:after="20" w:line="223" w:lineRule="auto"/>
        <w:jc w:val="right"/>
        <w:bidi/>
      </w:pPr>
      <w:r>
        <w:rPr>
          <w:rFonts w:ascii="Arial" w:hAnsi="Arial"/>
          <w:sz w:val="16"/>
        </w:rPr>
        <w:t>397.04  دادگاه استیناف نیروهای مسلح ایالات متحده متشکل از پنج قاضی غیرنظامی است که توسط رئیس جمهور منصوب می‌شوند.</w:t>
      </w:r>
    </w:p>
    <w:p>
      <w:pPr>
        <w:spacing w:after="28" w:line="216" w:lineRule="auto"/>
        <w:ind w:left="259"/>
        <w:jc w:val="left"/>
      </w:pPr>
      <w:r>
        <w:rPr>
          <w:rFonts w:ascii="Arial" w:hAnsi="Arial"/>
          <w:color w:val="525252"/>
          <w:sz w:val="13"/>
        </w:rPr>
        <w:t>The U.S. Court of Appeals for the Armed Forces is composed of five civilian judges appointed by the President.</w:t>
      </w:r>
    </w:p>
    <w:p>
      <w:pPr>
        <w:spacing w:after="20" w:line="223" w:lineRule="auto"/>
        <w:jc w:val="right"/>
        <w:bidi/>
      </w:pPr>
      <w:r>
        <w:rPr>
          <w:rFonts w:ascii="Arial" w:hAnsi="Arial"/>
          <w:sz w:val="16"/>
        </w:rPr>
        <w:t>397.05  این بالاترین دادگاه تجدیدنظر در سیستم قضایی نظامی است.</w:t>
      </w:r>
    </w:p>
    <w:p>
      <w:pPr>
        <w:spacing w:after="28" w:line="216" w:lineRule="auto"/>
        <w:ind w:left="259"/>
        <w:jc w:val="left"/>
      </w:pPr>
      <w:r>
        <w:rPr>
          <w:rFonts w:ascii="Arial" w:hAnsi="Arial"/>
          <w:color w:val="525252"/>
          <w:sz w:val="13"/>
        </w:rPr>
        <w:t>It is the highest appellate court in the military justice system.</w:t>
      </w:r>
    </w:p>
    <w:p>
      <w:pPr>
        <w:spacing w:after="20" w:line="223" w:lineRule="auto"/>
        <w:jc w:val="right"/>
        <w:bidi/>
      </w:pPr>
      <w:r>
        <w:rPr>
          <w:rFonts w:ascii="Arial" w:hAnsi="Arial"/>
          <w:sz w:val="16"/>
        </w:rPr>
        <w:t>397.06  دادگاه همه پرونده‌هایی را که در آن حکم اعدام صادر شده است، و پرونده‌هایی که پیش‌تر توسط دادگاه تجدیدنظر جنایی نیروی هوایی بررسی شده بود، به دستور قاضی دادستان کل ارسال شده، بررسی می‌کند.</w:t>
      </w:r>
    </w:p>
    <w:p>
      <w:pPr>
        <w:spacing w:after="28" w:line="216" w:lineRule="auto"/>
        <w:ind w:left="259"/>
        <w:jc w:val="left"/>
      </w:pPr>
      <w:r>
        <w:rPr>
          <w:rFonts w:ascii="Arial" w:hAnsi="Arial"/>
          <w:color w:val="525252"/>
          <w:sz w:val="13"/>
        </w:rPr>
        <w:t>The court reviews all cases in which the death sentence was imposed, and cases previously reviewed by the Air Force Court of Criminal Appeals forwarded on the Judge Advocate General’s order.</w:t>
      </w:r>
    </w:p>
    <w:p>
      <w:pPr>
        <w:spacing w:after="20" w:line="223" w:lineRule="auto"/>
        <w:jc w:val="right"/>
        <w:bidi/>
      </w:pPr>
      <w:r>
        <w:rPr>
          <w:rFonts w:ascii="Arial" w:hAnsi="Arial"/>
          <w:sz w:val="16"/>
        </w:rPr>
        <w:t>397.07  رسیدگی در سایر موارد بنا به دادخواست تجدیدنظرخواه و بنا به دلایل موجه صلاحیتدار است.</w:t>
      </w:r>
    </w:p>
    <w:p>
      <w:pPr>
        <w:spacing w:after="28" w:line="216" w:lineRule="auto"/>
        <w:ind w:left="259"/>
        <w:jc w:val="left"/>
      </w:pPr>
      <w:r>
        <w:rPr>
          <w:rFonts w:ascii="Arial" w:hAnsi="Arial"/>
          <w:color w:val="525252"/>
          <w:sz w:val="13"/>
        </w:rPr>
        <w:t>Review in other cases is discretionary upon petition of the appellant and upon good cause shown.</w:t>
      </w:r>
    </w:p>
    <w:p>
      <w:pPr>
        <w:spacing w:after="20" w:line="223" w:lineRule="auto"/>
        <w:jc w:val="right"/>
        <w:bidi/>
      </w:pPr>
      <w:r>
        <w:rPr>
          <w:rFonts w:ascii="Arial" w:hAnsi="Arial"/>
          <w:sz w:val="16"/>
        </w:rPr>
        <w:t>397.08  وکیل دفاعی استیناف نیروی هوایی به نمایندگی از شاکی در دادگاه استیناف نیروهای مسلح ایالات متحده منصوب می‌شود.</w:t>
      </w:r>
    </w:p>
    <w:p>
      <w:pPr>
        <w:spacing w:after="28" w:line="216" w:lineRule="auto"/>
        <w:ind w:left="259"/>
        <w:jc w:val="left"/>
      </w:pPr>
      <w:r>
        <w:rPr>
          <w:rFonts w:ascii="Arial" w:hAnsi="Arial"/>
          <w:color w:val="525252"/>
          <w:sz w:val="13"/>
        </w:rPr>
        <w:t>Air Force appellate defense counsel is appointed to represent the appellant before the U.S. Court of Appeals for the Armed Forces.</w:t>
      </w:r>
    </w:p>
    <w:p>
      <w:pPr>
        <w:spacing w:after="20" w:line="223" w:lineRule="auto"/>
        <w:jc w:val="right"/>
        <w:bidi/>
      </w:pPr>
      <w:r>
        <w:rPr>
          <w:rFonts w:ascii="Arial" w:hAnsi="Arial"/>
          <w:sz w:val="16"/>
        </w:rPr>
        <w:t>397.09  اگر پرونده فرجام‌خواه مورد بررسی قرار گیرد و دادگاه تجدیدنظر نیروهای مسلح ایالات متحده اعطا نکند، شاکی می‌تواند از دادگاه عالی ایالات متحده برای بررسی بیشتر درخواست کند. دادگاه عالی ایالات متحده</w:t>
      </w:r>
    </w:p>
    <w:p>
      <w:pPr>
        <w:spacing w:after="28" w:line="216" w:lineRule="auto"/>
        <w:ind w:left="259"/>
        <w:jc w:val="left"/>
      </w:pPr>
      <w:r>
        <w:rPr>
          <w:rFonts w:ascii="Arial" w:hAnsi="Arial"/>
          <w:color w:val="525252"/>
          <w:sz w:val="13"/>
        </w:rPr>
        <w:t>If an appellant’s case is reviewed and relief is not granted by the U.S. Court of Appeals for the Armed Forces, the appellant may petition the U.S. Supreme Court for further review. U.S. Supreme Court.</w:t>
      </w:r>
    </w:p>
    <w:p>
      <w:pPr>
        <w:spacing w:after="20" w:line="223" w:lineRule="auto"/>
        <w:jc w:val="right"/>
        <w:bidi/>
      </w:pPr>
      <w:r>
        <w:rPr>
          <w:rFonts w:ascii="Arial" w:hAnsi="Arial"/>
          <w:sz w:val="16"/>
        </w:rPr>
        <w:t>397.10  تصمیمات دادگاه استیناف نیروهای مسلح ایالات متحده ممکن است توسط دادگاه عالی ایالات متحده بررسی شود.</w:t>
      </w:r>
    </w:p>
    <w:p>
      <w:pPr>
        <w:spacing w:after="28" w:line="216" w:lineRule="auto"/>
        <w:ind w:left="259"/>
        <w:jc w:val="left"/>
      </w:pPr>
      <w:r>
        <w:rPr>
          <w:rFonts w:ascii="Arial" w:hAnsi="Arial"/>
          <w:color w:val="525252"/>
          <w:sz w:val="13"/>
        </w:rPr>
        <w:t>Decisions of the U.S. Court of Appeals for the Armed Forces may be reviewed by the U.S. Supreme Court.</w:t>
      </w:r>
    </w:p>
    <w:p>
      <w:pPr>
        <w:spacing w:after="20" w:line="223" w:lineRule="auto"/>
        <w:jc w:val="right"/>
        <w:bidi/>
      </w:pPr>
      <w:r>
        <w:rPr>
          <w:rFonts w:ascii="Arial" w:hAnsi="Arial"/>
          <w:sz w:val="16"/>
        </w:rPr>
        <w:t>397.11  متهم می‌تواند بدون پیش‌پرداخت هزینه‌ها و هزینه‌ها یا تضمین، و بدون تسلیم اظهارنامه، از دادگاه عالی ایالات متحده تقاضای صدور گواهینامه (درخواست از دادگاه بدوی برای ارسال تمام اسناد پرونده برای بررسی) کند.</w:t>
      </w:r>
    </w:p>
    <w:p>
      <w:pPr>
        <w:spacing w:after="28" w:line="216" w:lineRule="auto"/>
        <w:ind w:left="259"/>
        <w:jc w:val="left"/>
      </w:pPr>
      <w:r>
        <w:rPr>
          <w:rFonts w:ascii="Arial" w:hAnsi="Arial"/>
          <w:color w:val="525252"/>
          <w:sz w:val="13"/>
        </w:rPr>
        <w:t>The accused may petition the U.S. Supreme Court for a writ of certiorari (request for the lower court to send up all documents in a case for review) without prepayment of fees and costs or security, and without filing the affidavit.</w:t>
      </w:r>
    </w:p>
    <w:p>
      <w:pPr>
        <w:spacing w:after="20" w:line="223" w:lineRule="auto"/>
        <w:jc w:val="right"/>
        <w:bidi/>
      </w:pPr>
      <w:r>
        <w:rPr>
          <w:rFonts w:ascii="Arial" w:hAnsi="Arial"/>
          <w:sz w:val="16"/>
        </w:rPr>
        <w:t>397.12  ختم دادرسی، یافته‌ها و احکام.</w:t>
      </w:r>
    </w:p>
    <w:p>
      <w:pPr>
        <w:spacing w:after="28" w:line="216" w:lineRule="auto"/>
        <w:ind w:left="259"/>
        <w:jc w:val="left"/>
      </w:pPr>
      <w:r>
        <w:rPr>
          <w:rFonts w:ascii="Arial" w:hAnsi="Arial"/>
          <w:color w:val="525252"/>
          <w:sz w:val="13"/>
        </w:rPr>
        <w:t>Finality of Proceedings, Findings, and Sentences.</w:t>
      </w:r>
    </w:p>
    <w:p>
      <w:pPr>
        <w:spacing w:after="20" w:line="223" w:lineRule="auto"/>
        <w:jc w:val="right"/>
        <w:bidi/>
      </w:pPr>
      <w:r>
        <w:rPr>
          <w:rFonts w:ascii="Arial" w:hAnsi="Arial"/>
          <w:sz w:val="16"/>
        </w:rPr>
        <w:t>397.13  بررسی استیناف سوابق محاکمه ارائه شده توسط UCMJ. روند رسیدگی، یافته‌ها و احکام دادگاه‌های نظامی همانطور که توسط UCMJ تأیید، بررسی یا تأیید شده است؛ و تمام اخراج‌ها و اخراج هایی که به موجب احکام دادگاه‌های نظامی پس از تأیید، بررسی یا تأیید مورد نیاز UCMJ اجرا می‌شوند، نهایی و قطعی هستند.</w:t>
      </w:r>
    </w:p>
    <w:p>
      <w:pPr>
        <w:spacing w:after="28" w:line="216" w:lineRule="auto"/>
        <w:ind w:left="259"/>
        <w:jc w:val="left"/>
      </w:pPr>
      <w:r>
        <w:rPr>
          <w:rFonts w:ascii="Arial" w:hAnsi="Arial"/>
          <w:color w:val="525252"/>
          <w:sz w:val="13"/>
        </w:rPr>
        <w:t>The appellate review of records of trial provided by the UCMJ; the proceedings, findings, and sentences of courts-martial as approved, reviewed, or affirmed as required by the UCMJ; and all dismissals and discharges carried into execution under sentences by courts-martial following approval, review, or affirmation as required by the UCMJ, are final and conclusive.</w:t>
      </w:r>
    </w:p>
    <w:p>
      <w:pPr>
        <w:spacing w:after="20" w:line="223" w:lineRule="auto"/>
        <w:jc w:val="right"/>
        <w:bidi/>
      </w:pPr>
      <w:r>
        <w:rPr>
          <w:rFonts w:ascii="Arial" w:hAnsi="Arial"/>
          <w:sz w:val="16"/>
        </w:rPr>
        <w:t>397.14  رای دادگاه نظامی، دستورات انتشار دادرسی دادگاه‌های نظامی، و تمامی اقدامات انجام شده بر اساس آن دادرسی، برای تمامی ادارات، دادگاه‌ها، آژانس‌ها و افسران ایالات متحده الزام‌آور است، تنها مشروط به اقدام بر اساس دادخواست برای محاکمه جدید طبق ماده ۷۳ و ماده ۴، به اقدامی که در ماده ۴ و ماده ۴ ایالات متحده مربوط می‌شود. رئیس جمهور</w:t>
      </w:r>
    </w:p>
    <w:p>
      <w:pPr>
        <w:spacing w:after="28" w:line="216" w:lineRule="auto"/>
        <w:ind w:left="259"/>
        <w:jc w:val="left"/>
      </w:pPr>
      <w:r>
        <w:rPr>
          <w:rFonts w:ascii="Arial" w:hAnsi="Arial"/>
          <w:color w:val="525252"/>
          <w:sz w:val="13"/>
        </w:rPr>
        <w:t>The judgment of a court-martial, orders publishing the proceedings of courts-martial, and all action taken pursuant to those proceedings, are binding upon all departments, courts, agencies, and officers of the United States, subject only to action upon a petition for a new trial under Article 73, to action by the Secretary concerned as provided in Article 74, and the authority of the U.S. President.</w:t>
      </w:r>
    </w:p>
    <w:p>
      <w:r>
        <w:br w:type="page"/>
      </w:r>
    </w:p>
    <w:p>
      <w:pPr>
        <w:spacing w:after="60"/>
        <w:jc w:val="right"/>
        <w:bidi/>
      </w:pPr>
      <w:r>
        <w:rPr>
          <w:rFonts w:ascii="Arial" w:hAnsi="Arial"/>
          <w:b/>
          <w:color w:val="1F4D78"/>
          <w:sz w:val="19"/>
        </w:rPr>
        <w:t>هفتهٔ 398  |  صفحهٔ منبع: 414</w:t>
      </w:r>
    </w:p>
    <w:p>
      <w:pPr>
        <w:spacing w:before="60" w:after="28"/>
        <w:jc w:val="right"/>
        <w:bidi/>
      </w:pPr>
      <w:r>
        <w:rPr>
          <w:b/>
          <w:color w:val="1F4D78"/>
          <w:sz w:val="18"/>
        </w:rPr>
        <w:t>فصل 22</w:t>
      </w:r>
    </w:p>
    <w:p>
      <w:pPr>
        <w:spacing w:after="20"/>
        <w:ind w:left="259"/>
        <w:jc w:val="left"/>
      </w:pPr>
      <w:r>
        <w:rPr>
          <w:color w:val="555555"/>
          <w:sz w:val="12"/>
        </w:rPr>
        <w:t>Chapter 22</w:t>
      </w:r>
    </w:p>
    <w:p>
      <w:pPr>
        <w:spacing w:before="60" w:after="28"/>
        <w:jc w:val="right"/>
        <w:bidi/>
      </w:pPr>
      <w:r>
        <w:rPr>
          <w:b/>
          <w:color w:val="1F4D78"/>
          <w:sz w:val="18"/>
        </w:rPr>
        <w:t>آمادگی و آمادگی</w:t>
      </w:r>
    </w:p>
    <w:p>
      <w:pPr>
        <w:spacing w:after="20"/>
        <w:ind w:left="259"/>
        <w:jc w:val="left"/>
      </w:pPr>
      <w:r>
        <w:rPr>
          <w:color w:val="555555"/>
          <w:sz w:val="12"/>
        </w:rPr>
        <w:t>FITNESS AND READINESS</w:t>
      </w:r>
    </w:p>
    <w:p>
      <w:pPr>
        <w:spacing w:before="60" w:after="28"/>
        <w:jc w:val="right"/>
        <w:bidi/>
      </w:pPr>
      <w:r>
        <w:rPr>
          <w:b/>
          <w:color w:val="1F4D78"/>
          <w:sz w:val="18"/>
        </w:rPr>
        <w:t>بخش 22A - تناسب اندام USAF</w:t>
      </w:r>
    </w:p>
    <w:p>
      <w:pPr>
        <w:spacing w:after="20"/>
        <w:ind w:left="259"/>
        <w:jc w:val="left"/>
      </w:pPr>
      <w:r>
        <w:rPr>
          <w:color w:val="555555"/>
          <w:sz w:val="12"/>
        </w:rPr>
        <w:t>Section 22A—USAF Fitness</w:t>
      </w:r>
    </w:p>
    <w:p>
      <w:pPr>
        <w:spacing w:before="60" w:after="28"/>
        <w:jc w:val="right"/>
        <w:bidi/>
      </w:pPr>
      <w:r>
        <w:rPr>
          <w:b/>
          <w:color w:val="1F4D78"/>
          <w:sz w:val="18"/>
        </w:rPr>
        <w:t>22.1. DAFMAN 36-2905، برنامه آمادگی جسمانی نیروی هوایی</w:t>
      </w:r>
    </w:p>
    <w:p>
      <w:pPr>
        <w:spacing w:after="20"/>
        <w:ind w:left="259"/>
        <w:jc w:val="left"/>
      </w:pPr>
      <w:r>
        <w:rPr>
          <w:color w:val="555555"/>
          <w:sz w:val="12"/>
        </w:rPr>
        <w:t>22.1. DAFMAN 36-2905, Air Force Physical Fitness Program</w:t>
      </w:r>
    </w:p>
    <w:p>
      <w:pPr>
        <w:spacing w:after="20" w:line="223" w:lineRule="auto"/>
        <w:jc w:val="right"/>
        <w:bidi/>
      </w:pPr>
      <w:r>
        <w:rPr>
          <w:rFonts w:ascii="Arial" w:hAnsi="Arial"/>
          <w:sz w:val="16"/>
        </w:rPr>
        <w:t>398.05  طبق AFI ۱-۱، اعضای USAF باید از نظر بدنی برای حمایت از مأموریت USAF آماده باشند.</w:t>
      </w:r>
    </w:p>
    <w:p>
      <w:pPr>
        <w:spacing w:after="28" w:line="216" w:lineRule="auto"/>
        <w:ind w:left="259"/>
        <w:jc w:val="left"/>
      </w:pPr>
      <w:r>
        <w:rPr>
          <w:rFonts w:ascii="Arial" w:hAnsi="Arial"/>
          <w:color w:val="525252"/>
          <w:sz w:val="13"/>
        </w:rPr>
        <w:t>According to AFI 1-1, USAF members must be physically fit to support the USAF mission.</w:t>
      </w:r>
    </w:p>
    <w:p>
      <w:pPr>
        <w:spacing w:after="20" w:line="223" w:lineRule="auto"/>
        <w:jc w:val="right"/>
        <w:bidi/>
      </w:pPr>
      <w:r>
        <w:rPr>
          <w:rFonts w:ascii="Arial" w:hAnsi="Arial"/>
          <w:sz w:val="16"/>
        </w:rPr>
        <w:t>398.06  سبک زندگی فعال بهره وری را افزایش می‌دهد، سلامتی را بهینه می‌کند و غیبت را کاهش می‌دهد، که به حفظ سطح آمادگی بالاتر کمک می‌کند.</w:t>
      </w:r>
    </w:p>
    <w:p>
      <w:pPr>
        <w:spacing w:after="28" w:line="216" w:lineRule="auto"/>
        <w:ind w:left="259"/>
        <w:jc w:val="left"/>
      </w:pPr>
      <w:r>
        <w:rPr>
          <w:rFonts w:ascii="Arial" w:hAnsi="Arial"/>
          <w:color w:val="525252"/>
          <w:sz w:val="13"/>
        </w:rPr>
        <w:t>An active lifestyle increases productivity, optimizes health, and decreases absenteeism, which helps maintain a higher level of readiness.</w:t>
      </w:r>
    </w:p>
    <w:p>
      <w:pPr>
        <w:spacing w:after="20" w:line="223" w:lineRule="auto"/>
        <w:jc w:val="right"/>
        <w:bidi/>
      </w:pPr>
      <w:r>
        <w:rPr>
          <w:rFonts w:ascii="Arial" w:hAnsi="Arial"/>
          <w:sz w:val="16"/>
        </w:rPr>
        <w:t>398.07  با بهبود ترکیب بدن و افزایش سطح فعالیت بدنی و تناسب اندام، مزایای سلامتی و آمادگی افزایش می‌یابد.</w:t>
      </w:r>
    </w:p>
    <w:p>
      <w:pPr>
        <w:spacing w:after="28" w:line="216" w:lineRule="auto"/>
        <w:ind w:left="259"/>
        <w:jc w:val="left"/>
      </w:pPr>
      <w:r>
        <w:rPr>
          <w:rFonts w:ascii="Arial" w:hAnsi="Arial"/>
          <w:color w:val="525252"/>
          <w:sz w:val="13"/>
        </w:rPr>
        <w:t>Health and readiness benefits increase as body composition improves and physical activity and fitness levels increase.</w:t>
      </w:r>
    </w:p>
    <w:p>
      <w:pPr>
        <w:spacing w:after="20" w:line="223" w:lineRule="auto"/>
        <w:jc w:val="right"/>
        <w:bidi/>
      </w:pPr>
      <w:r>
        <w:rPr>
          <w:rFonts w:ascii="Arial" w:hAnsi="Arial"/>
          <w:sz w:val="16"/>
        </w:rPr>
        <w:t>398.08  اعضا تشویق می‌شوند تا با بهبود تناسب اندام خود، وضعیت آمادگی خود را بهینه کنند.</w:t>
      </w:r>
    </w:p>
    <w:p>
      <w:pPr>
        <w:spacing w:after="28" w:line="216" w:lineRule="auto"/>
        <w:ind w:left="259"/>
        <w:jc w:val="left"/>
      </w:pPr>
      <w:r>
        <w:rPr>
          <w:rFonts w:ascii="Arial" w:hAnsi="Arial"/>
          <w:color w:val="525252"/>
          <w:sz w:val="13"/>
        </w:rPr>
        <w:t>Members are encouraged to optimize their readiness status by improving their overall fitness.</w:t>
      </w:r>
    </w:p>
    <w:p>
      <w:pPr>
        <w:spacing w:after="20" w:line="223" w:lineRule="auto"/>
        <w:jc w:val="right"/>
        <w:bidi/>
      </w:pPr>
      <w:r>
        <w:rPr>
          <w:rFonts w:ascii="Arial" w:hAnsi="Arial"/>
          <w:sz w:val="16"/>
        </w:rPr>
        <w:t>398.09  هدف برنامه آمادگی جسمانی (PFP) ایجاد انگیزه در همه هوانوردان برای شرکت در یک برنامه آماده‌سازی بدنی در تمام طول سال است که بر تناسب اندام کامل تاکید دارد و شامل تهویه هوازی مناسب، تمرین تناسب اندام عضلانی و تغذیه سالم است.</w:t>
      </w:r>
    </w:p>
    <w:p>
      <w:pPr>
        <w:spacing w:after="28" w:line="216" w:lineRule="auto"/>
        <w:ind w:left="259"/>
        <w:jc w:val="left"/>
      </w:pPr>
      <w:r>
        <w:rPr>
          <w:rFonts w:ascii="Arial" w:hAnsi="Arial"/>
          <w:color w:val="525252"/>
          <w:sz w:val="13"/>
        </w:rPr>
        <w:t>The goal of the Physical Fitness Program (PFP) is to motivate all Airmen to participate in a year-round physical conditioning program that emphasizes total fitness, to include proper aerobic conditioning, muscular fitness training, and healthy eating.</w:t>
      </w:r>
    </w:p>
    <w:p>
      <w:pPr>
        <w:spacing w:after="20" w:line="223" w:lineRule="auto"/>
        <w:jc w:val="right"/>
        <w:bidi/>
      </w:pPr>
      <w:r>
        <w:rPr>
          <w:rFonts w:ascii="Arial" w:hAnsi="Arial"/>
          <w:sz w:val="16"/>
        </w:rPr>
        <w:t>398.10  توجه: برای اطلاع از جدیدترین استانداردهای تناسب اندام به آخرین نسخه DAFMAN ۳۶-۲۹۰۵ مراجعه کنید.</w:t>
      </w:r>
    </w:p>
    <w:p>
      <w:pPr>
        <w:spacing w:after="28" w:line="216" w:lineRule="auto"/>
        <w:ind w:left="259"/>
        <w:jc w:val="left"/>
      </w:pPr>
      <w:r>
        <w:rPr>
          <w:rFonts w:ascii="Arial" w:hAnsi="Arial"/>
          <w:color w:val="525252"/>
          <w:sz w:val="13"/>
        </w:rPr>
        <w:t>Note: Refer to the latest version of DAFMAN 36-2905 for the most current fitness standards.</w:t>
      </w:r>
    </w:p>
    <w:p>
      <w:pPr>
        <w:spacing w:after="20" w:line="223" w:lineRule="auto"/>
        <w:jc w:val="right"/>
        <w:bidi/>
      </w:pPr>
      <w:r>
        <w:rPr>
          <w:rFonts w:ascii="Arial" w:hAnsi="Arial"/>
          <w:sz w:val="16"/>
        </w:rPr>
        <w:t>398.11  این راهنما برای کل وزارت نیروی هوایی، از جمله اعضای یونیفرم پوش رگاف، نیروهای رزرو نیروی هوایی، گارد ملی هوایی، و نیروی فضایی ایالات متحده قابل اجرا است.</w:t>
      </w:r>
    </w:p>
    <w:p>
      <w:pPr>
        <w:spacing w:after="28" w:line="216" w:lineRule="auto"/>
        <w:ind w:left="259"/>
        <w:jc w:val="left"/>
      </w:pPr>
      <w:r>
        <w:rPr>
          <w:rFonts w:ascii="Arial" w:hAnsi="Arial"/>
          <w:color w:val="525252"/>
          <w:sz w:val="13"/>
        </w:rPr>
        <w:t>This guidance is applicable to the entire Department of the Air Force, including uniformed members of the RegAF, the Air Force Reserve, the Air National Guard, and the United States Space Force.</w:t>
      </w:r>
    </w:p>
    <w:p>
      <w:pPr>
        <w:spacing w:before="60" w:after="28"/>
        <w:jc w:val="right"/>
        <w:bidi/>
      </w:pPr>
      <w:r>
        <w:rPr>
          <w:b/>
          <w:color w:val="1F4D78"/>
          <w:sz w:val="18"/>
        </w:rPr>
        <w:t>22.2. عکس لحظه ای نقش ها و مسئولیت ها</w:t>
      </w:r>
    </w:p>
    <w:p>
      <w:pPr>
        <w:spacing w:after="20"/>
        <w:ind w:left="259"/>
        <w:jc w:val="left"/>
      </w:pPr>
      <w:r>
        <w:rPr>
          <w:color w:val="555555"/>
          <w:sz w:val="12"/>
        </w:rPr>
        <w:t>22.2. Roles &amp; Responsibilities Snapshot</w:t>
      </w:r>
    </w:p>
    <w:p>
      <w:pPr>
        <w:spacing w:after="20" w:line="223" w:lineRule="auto"/>
        <w:jc w:val="right"/>
        <w:bidi/>
      </w:pPr>
      <w:r>
        <w:rPr>
          <w:rFonts w:ascii="Arial" w:hAnsi="Arial"/>
          <w:sz w:val="16"/>
        </w:rPr>
        <w:t>398.13  مرکز پشتیبانی و نصب و راه‌اندازی نیروی هوایی (AFIMSC).</w:t>
      </w:r>
    </w:p>
    <w:p>
      <w:pPr>
        <w:spacing w:after="28" w:line="216" w:lineRule="auto"/>
        <w:ind w:left="259"/>
        <w:jc w:val="left"/>
      </w:pPr>
      <w:r>
        <w:rPr>
          <w:rFonts w:ascii="Arial" w:hAnsi="Arial"/>
          <w:color w:val="525252"/>
          <w:sz w:val="13"/>
        </w:rPr>
        <w:t>Air Force Installation and Mission Support Center (AFIMSC).</w:t>
      </w:r>
    </w:p>
    <w:p>
      <w:pPr>
        <w:spacing w:after="20" w:line="223" w:lineRule="auto"/>
        <w:jc w:val="right"/>
        <w:bidi/>
      </w:pPr>
      <w:r>
        <w:rPr>
          <w:rFonts w:ascii="Arial" w:hAnsi="Arial"/>
          <w:sz w:val="16"/>
        </w:rPr>
        <w:t>398.14  از طریق مرکز خدمات نیروی هوایی، پشتیبانی مؤثر پایه را برای PFP تضمین می‌کند.</w:t>
      </w:r>
    </w:p>
    <w:p>
      <w:pPr>
        <w:spacing w:after="28" w:line="216" w:lineRule="auto"/>
        <w:ind w:left="259"/>
        <w:jc w:val="left"/>
      </w:pPr>
      <w:r>
        <w:rPr>
          <w:rFonts w:ascii="Arial" w:hAnsi="Arial"/>
          <w:color w:val="525252"/>
          <w:sz w:val="13"/>
        </w:rPr>
        <w:t>Ensures effective base support for the PFP, through the Air Force Services Center.</w:t>
      </w:r>
    </w:p>
    <w:p>
      <w:pPr>
        <w:spacing w:after="20" w:line="223" w:lineRule="auto"/>
        <w:jc w:val="right"/>
        <w:bidi/>
      </w:pPr>
      <w:r>
        <w:rPr>
          <w:rFonts w:ascii="Arial" w:hAnsi="Arial"/>
          <w:sz w:val="16"/>
        </w:rPr>
        <w:t>398.15  مرکز تناسب اندام و ورزش خدمات نیروی هوایی (AFSVC/VMSF).</w:t>
      </w:r>
    </w:p>
    <w:p>
      <w:pPr>
        <w:spacing w:after="28" w:line="216" w:lineRule="auto"/>
        <w:ind w:left="259"/>
        <w:jc w:val="left"/>
      </w:pPr>
      <w:r>
        <w:rPr>
          <w:rFonts w:ascii="Arial" w:hAnsi="Arial"/>
          <w:color w:val="525252"/>
          <w:sz w:val="13"/>
        </w:rPr>
        <w:t>Air Force Services Center Fitness and Sports (AFSVC/VMSF).</w:t>
      </w:r>
    </w:p>
    <w:p>
      <w:pPr>
        <w:spacing w:after="20" w:line="223" w:lineRule="auto"/>
        <w:jc w:val="right"/>
        <w:bidi/>
      </w:pPr>
      <w:r>
        <w:rPr>
          <w:rFonts w:ascii="Arial" w:hAnsi="Arial"/>
          <w:sz w:val="16"/>
        </w:rPr>
        <w:t>398.16  در توسعه مواد آموزشی با مشاوره با کارگروه آمادگی جسمانی نیروی هوایی و همچنین کلیه متخصصان سلامت، تناسب اندام و ورزش کمک می‌کند.</w:t>
      </w:r>
    </w:p>
    <w:p>
      <w:pPr>
        <w:spacing w:after="28" w:line="216" w:lineRule="auto"/>
        <w:ind w:left="259"/>
        <w:jc w:val="left"/>
      </w:pPr>
      <w:r>
        <w:rPr>
          <w:rFonts w:ascii="Arial" w:hAnsi="Arial"/>
          <w:color w:val="525252"/>
          <w:sz w:val="13"/>
        </w:rPr>
        <w:t>Assists in developing training materials in consultation with the Air Force Physical Fitness Working Group as well as all health, fitness, and exercise professionals.</w:t>
      </w:r>
    </w:p>
    <w:p>
      <w:pPr>
        <w:spacing w:after="20" w:line="223" w:lineRule="auto"/>
        <w:jc w:val="right"/>
        <w:bidi/>
      </w:pPr>
      <w:r>
        <w:rPr>
          <w:rFonts w:ascii="Arial" w:hAnsi="Arial"/>
          <w:sz w:val="16"/>
        </w:rPr>
        <w:t>398.17  تصمیم در مورد درخواست‌های دسترسی کاربر را به میفیتنسس می‌دهد.</w:t>
      </w:r>
    </w:p>
    <w:p>
      <w:pPr>
        <w:spacing w:after="28" w:line="216" w:lineRule="auto"/>
        <w:ind w:left="259"/>
        <w:jc w:val="left"/>
      </w:pPr>
      <w:r>
        <w:rPr>
          <w:rFonts w:ascii="Arial" w:hAnsi="Arial"/>
          <w:color w:val="525252"/>
          <w:sz w:val="13"/>
        </w:rPr>
        <w:t>Renders decision on user access requests to myFitness.</w:t>
      </w:r>
    </w:p>
    <w:p>
      <w:pPr>
        <w:spacing w:after="20" w:line="223" w:lineRule="auto"/>
        <w:jc w:val="right"/>
        <w:bidi/>
      </w:pPr>
      <w:r>
        <w:rPr>
          <w:rFonts w:ascii="Arial" w:hAnsi="Arial"/>
          <w:sz w:val="16"/>
        </w:rPr>
        <w:t>398.18  ردیابی و نگهداری فرم DD ۲۸۷۵، درخواست دسترسی مجوز سیستم، سفارش کتبی، توافق کاربر، و نامه قرار ملاقات امضا شده برای مدیران اطلاعات تناسب اندام، و نقش‌های کاربری مدیریت ارشد.</w:t>
      </w:r>
    </w:p>
    <w:p>
      <w:pPr>
        <w:spacing w:after="28" w:line="216" w:lineRule="auto"/>
        <w:ind w:left="259"/>
        <w:jc w:val="left"/>
      </w:pPr>
      <w:r>
        <w:rPr>
          <w:rFonts w:ascii="Arial" w:hAnsi="Arial"/>
          <w:color w:val="525252"/>
          <w:sz w:val="13"/>
        </w:rPr>
        <w:t>Tracks and maintains DD Form 2875, System Authorization Access Request, written order, user agreement, and signed appointment letter for Fitness Information Managers, and Senior Management User roles.</w:t>
      </w:r>
    </w:p>
    <w:p>
      <w:pPr>
        <w:spacing w:after="20" w:line="223" w:lineRule="auto"/>
        <w:jc w:val="right"/>
        <w:bidi/>
      </w:pPr>
      <w:r>
        <w:rPr>
          <w:rFonts w:ascii="Arial" w:hAnsi="Arial"/>
          <w:sz w:val="16"/>
        </w:rPr>
        <w:t>398.19  مجموعه ابزار کنترل داخلی مدیریت مدیریت را برای اطمینان از انطباق با خط‌مشی آمادگی جسمانی که در این DAFMAN ۳۶-۲۹۰۵ مشخص شده است، بررسی می‌کند.</w:t>
      </w:r>
    </w:p>
    <w:p>
      <w:pPr>
        <w:spacing w:after="28" w:line="216" w:lineRule="auto"/>
        <w:ind w:left="259"/>
        <w:jc w:val="left"/>
      </w:pPr>
      <w:r>
        <w:rPr>
          <w:rFonts w:ascii="Arial" w:hAnsi="Arial"/>
          <w:color w:val="525252"/>
          <w:sz w:val="13"/>
        </w:rPr>
        <w:t>Reviews unit Management Internal Control Toolset to ensure compliance over physical fitness policy outlined in this DAFMAN 36-2905.</w:t>
      </w:r>
    </w:p>
    <w:p>
      <w:pPr>
        <w:spacing w:after="20" w:line="223" w:lineRule="auto"/>
        <w:jc w:val="right"/>
        <w:bidi/>
      </w:pPr>
      <w:r>
        <w:rPr>
          <w:rFonts w:ascii="Arial" w:hAnsi="Arial"/>
          <w:sz w:val="16"/>
        </w:rPr>
        <w:t>398.20  مدیریت نیروی دفتر گارد ملی (NGB/ا۱پ).</w:t>
      </w:r>
    </w:p>
    <w:p>
      <w:pPr>
        <w:spacing w:after="28" w:line="216" w:lineRule="auto"/>
        <w:ind w:left="259"/>
        <w:jc w:val="left"/>
      </w:pPr>
      <w:r>
        <w:rPr>
          <w:rFonts w:ascii="Arial" w:hAnsi="Arial"/>
          <w:color w:val="525252"/>
          <w:sz w:val="13"/>
        </w:rPr>
        <w:t>National Guard Bureau Force Management (NGB/A1P).</w:t>
      </w:r>
    </w:p>
    <w:p>
      <w:pPr>
        <w:spacing w:after="20" w:line="223" w:lineRule="auto"/>
        <w:jc w:val="right"/>
        <w:bidi/>
      </w:pPr>
      <w:r>
        <w:rPr>
          <w:rFonts w:ascii="Arial" w:hAnsi="Arial"/>
          <w:sz w:val="16"/>
        </w:rPr>
        <w:t>398.21  نقش‌های کاربر مدیر اطلاعات تناسب اندام پرسنل مجاز ANG را به نرم افزار آمادگی جسمانی اختصاص می‌دهد.</w:t>
      </w:r>
    </w:p>
    <w:p>
      <w:pPr>
        <w:spacing w:after="28" w:line="216" w:lineRule="auto"/>
        <w:ind w:left="259"/>
        <w:jc w:val="left"/>
      </w:pPr>
      <w:r>
        <w:rPr>
          <w:rFonts w:ascii="Arial" w:hAnsi="Arial"/>
          <w:color w:val="525252"/>
          <w:sz w:val="13"/>
        </w:rPr>
        <w:t>Assigns authorized ANG personnel Fitness Information Manager user roles to physical fitness software.</w:t>
      </w:r>
    </w:p>
    <w:p>
      <w:pPr>
        <w:spacing w:after="20" w:line="223" w:lineRule="auto"/>
        <w:jc w:val="right"/>
        <w:bidi/>
      </w:pPr>
      <w:r>
        <w:rPr>
          <w:rFonts w:ascii="Arial" w:hAnsi="Arial"/>
          <w:sz w:val="16"/>
        </w:rPr>
        <w:t>398.22  مشاوره‌های مربوط به آمادگی جسمانی را به هیئت نیروی هوایی برای تصحیح سوابق نظامی که بر اعضای ANG تأثیر می‌گذارد، ارائه می‌دهد.</w:t>
      </w:r>
    </w:p>
    <w:p>
      <w:pPr>
        <w:spacing w:after="28" w:line="216" w:lineRule="auto"/>
        <w:ind w:left="259"/>
        <w:jc w:val="left"/>
      </w:pPr>
      <w:r>
        <w:rPr>
          <w:rFonts w:ascii="Arial" w:hAnsi="Arial"/>
          <w:color w:val="525252"/>
          <w:sz w:val="13"/>
        </w:rPr>
        <w:t>Provides physical fitness related advisories to the Air Force Board for the Correction of Military Records affecting ANG members.</w:t>
      </w:r>
    </w:p>
    <w:p>
      <w:pPr>
        <w:spacing w:after="20" w:line="223" w:lineRule="auto"/>
        <w:jc w:val="right"/>
        <w:bidi/>
      </w:pPr>
      <w:r>
        <w:rPr>
          <w:rFonts w:ascii="Arial" w:hAnsi="Arial"/>
          <w:sz w:val="16"/>
        </w:rPr>
        <w:t>398.23  نصب یا فرمانده پایگاه/ فرمانده بال ANG.</w:t>
      </w:r>
    </w:p>
    <w:p>
      <w:pPr>
        <w:spacing w:after="28" w:line="216" w:lineRule="auto"/>
        <w:ind w:left="259"/>
        <w:jc w:val="left"/>
      </w:pPr>
      <w:r>
        <w:rPr>
          <w:rFonts w:ascii="Arial" w:hAnsi="Arial"/>
          <w:color w:val="525252"/>
          <w:sz w:val="13"/>
        </w:rPr>
        <w:t>Installation or Base Commander/ANG Wing Commander.</w:t>
      </w:r>
    </w:p>
    <w:p>
      <w:pPr>
        <w:spacing w:after="20" w:line="223" w:lineRule="auto"/>
        <w:jc w:val="right"/>
        <w:bidi/>
      </w:pPr>
      <w:r>
        <w:rPr>
          <w:rFonts w:ascii="Arial" w:hAnsi="Arial"/>
          <w:sz w:val="16"/>
        </w:rPr>
        <w:t>398.24  بر PFP نظارت دارد و از انطباق با DAFMAN ۳۶-۲۹۰۵ اطمینان حاصل می‌کند.</w:t>
      </w:r>
    </w:p>
    <w:p>
      <w:pPr>
        <w:spacing w:after="28" w:line="216" w:lineRule="auto"/>
        <w:ind w:left="259"/>
        <w:jc w:val="left"/>
      </w:pPr>
      <w:r>
        <w:rPr>
          <w:rFonts w:ascii="Arial" w:hAnsi="Arial"/>
          <w:color w:val="525252"/>
          <w:sz w:val="13"/>
        </w:rPr>
        <w:t>Oversees the PFP and ensures compliance with DAFMAN 36-2905.</w:t>
      </w:r>
    </w:p>
    <w:p>
      <w:pPr>
        <w:spacing w:after="20" w:line="223" w:lineRule="auto"/>
        <w:jc w:val="right"/>
        <w:bidi/>
      </w:pPr>
      <w:r>
        <w:rPr>
          <w:rFonts w:ascii="Arial" w:hAnsi="Arial"/>
          <w:sz w:val="16"/>
        </w:rPr>
        <w:t>398.25  محیطی را فراهم می‌کند که از طریق تناسب اندام و تغذیه بهینه مطابق با AFI ۴۸-۱۰۳، ارتقای سلامت، از یک سبک زندگی سالم حمایت و انگیزه می‌دهد.</w:t>
      </w:r>
    </w:p>
    <w:p>
      <w:pPr>
        <w:spacing w:after="28" w:line="216" w:lineRule="auto"/>
        <w:ind w:left="259"/>
        <w:jc w:val="left"/>
      </w:pPr>
      <w:r>
        <w:rPr>
          <w:rFonts w:ascii="Arial" w:hAnsi="Arial"/>
          <w:color w:val="525252"/>
          <w:sz w:val="13"/>
        </w:rPr>
        <w:t>Provides an environment that supports and motivates a healthy lifestyle through optimal fitness and nutrition in accordance with AFI 48-103, Health Promotion.</w:t>
      </w:r>
    </w:p>
    <w:p>
      <w:pPr>
        <w:spacing w:after="20" w:line="223" w:lineRule="auto"/>
        <w:jc w:val="right"/>
        <w:bidi/>
      </w:pPr>
      <w:r>
        <w:rPr>
          <w:rFonts w:ascii="Arial" w:hAnsi="Arial"/>
          <w:sz w:val="16"/>
        </w:rPr>
        <w:t>398.26  تصمیم نهایی را در مورد برنامه‌هایی برای انتصاب رهبران آموزش فیزیکی معتبر (PTL) و مدیران برنامه تناسب اندام واحد (UFPM) برای تقویت سلول ارزیابی تناسب اندام (FAC) اتخاذ می‌کند.</w:t>
      </w:r>
    </w:p>
    <w:p>
      <w:pPr>
        <w:spacing w:after="28" w:line="216" w:lineRule="auto"/>
        <w:ind w:left="259"/>
        <w:jc w:val="left"/>
      </w:pPr>
      <w:r>
        <w:rPr>
          <w:rFonts w:ascii="Arial" w:hAnsi="Arial"/>
          <w:color w:val="525252"/>
          <w:sz w:val="13"/>
        </w:rPr>
        <w:t>Renders final decision on plans to appoint certified Physical Training Leaders (PTL) and Unit Fitness Program Managers (UFPM) to augment the Fitness Assessment Cell (FAC).</w:t>
      </w:r>
    </w:p>
    <w:p>
      <w:pPr>
        <w:spacing w:after="20" w:line="223" w:lineRule="auto"/>
        <w:jc w:val="right"/>
        <w:bidi/>
      </w:pPr>
      <w:r>
        <w:rPr>
          <w:rFonts w:ascii="Arial" w:hAnsi="Arial"/>
          <w:sz w:val="16"/>
        </w:rPr>
        <w:t>398.27  پس از همکاری با اسکادران محلی مهندسی عمران، اسکادران پشتیبانی نیرو، و ایمنی بال، در مورد دوره‌های ۱.۵ مایلی دو، ۲ کیلومتر پیاده‌روی و دویدن چند شاتل هوازی به ارتفاع ۲۰ متر (HAMR) تصمیم می‌گیرد. و تفاهم نامه تأیید را با FAC ارسال می‌کند.</w:t>
      </w:r>
    </w:p>
    <w:p>
      <w:pPr>
        <w:spacing w:after="28" w:line="216" w:lineRule="auto"/>
        <w:ind w:left="259"/>
        <w:jc w:val="left"/>
      </w:pPr>
      <w:r>
        <w:rPr>
          <w:rFonts w:ascii="Arial" w:hAnsi="Arial"/>
          <w:color w:val="525252"/>
          <w:sz w:val="13"/>
        </w:rPr>
        <w:t>Renders decision on 1.5 Mile Run, 2 Kilometer Walk, and 20-Meter-High Aerobic Multi-Shuttle Run (HAMR) courses after collaboration with the local Civil Engineering Squadron, Force Support Squadron, and Wing Safety; and files approval memorandum with the FAC.</w:t>
      </w:r>
    </w:p>
    <w:p>
      <w:pPr>
        <w:spacing w:after="20" w:line="223" w:lineRule="auto"/>
        <w:jc w:val="right"/>
        <w:bidi/>
      </w:pPr>
      <w:r>
        <w:rPr>
          <w:rFonts w:ascii="Arial" w:hAnsi="Arial"/>
          <w:sz w:val="16"/>
        </w:rPr>
        <w:t>398.28  فرمانده نصب، فرمانده بال ARC، یا مشابه، یک درجه‌دار یا افسر ارشد از هر کد تخصصی USAF را برای خدمت به‌عنوان مدیر اطلاعات تناسب اندام منصوب می‌کند.</w:t>
      </w:r>
    </w:p>
    <w:p>
      <w:pPr>
        <w:spacing w:after="28" w:line="216" w:lineRule="auto"/>
        <w:ind w:left="259"/>
        <w:jc w:val="left"/>
      </w:pPr>
      <w:r>
        <w:rPr>
          <w:rFonts w:ascii="Arial" w:hAnsi="Arial"/>
          <w:color w:val="525252"/>
          <w:sz w:val="13"/>
        </w:rPr>
        <w:t>The installation commander, ARC wing commander, or equivalent, will appoint a noncommissioned officer or senior noncommissioned officer of any USAF specialty code to serve as the Fitness Information Manager.</w:t>
      </w:r>
    </w:p>
    <w:p>
      <w:pPr>
        <w:spacing w:after="20" w:line="223" w:lineRule="auto"/>
        <w:jc w:val="right"/>
        <w:bidi/>
      </w:pPr>
      <w:r>
        <w:rPr>
          <w:rFonts w:ascii="Arial" w:hAnsi="Arial"/>
          <w:sz w:val="16"/>
        </w:rPr>
        <w:t>398.29  همه فرماندهان جناح، راهنمایی‌های محلی را برای فرماندهان یگان‌های تابع در مورد استفاده از زمان وظیفه برای تمرین بدنی در طول جلسات آموزشی یگان، تمرین‌های برنامه‌ریزی شده منظم، ایجاد خواهند کرد.</w:t>
      </w:r>
    </w:p>
    <w:p>
      <w:pPr>
        <w:spacing w:after="28" w:line="216" w:lineRule="auto"/>
        <w:ind w:left="259"/>
        <w:jc w:val="left"/>
      </w:pPr>
      <w:r>
        <w:rPr>
          <w:rFonts w:ascii="Arial" w:hAnsi="Arial"/>
          <w:color w:val="525252"/>
          <w:sz w:val="13"/>
        </w:rPr>
        <w:t>All wing commanders will establish local guidance for subordinate unit commanders regarding use of duty time for physical training during unit training assemblies, regularly scheduled drills,</w:t>
      </w:r>
    </w:p>
    <w:p>
      <w:r>
        <w:br w:type="page"/>
      </w:r>
    </w:p>
    <w:p>
      <w:pPr>
        <w:spacing w:after="60"/>
        <w:jc w:val="right"/>
        <w:bidi/>
      </w:pPr>
      <w:r>
        <w:rPr>
          <w:rFonts w:ascii="Arial" w:hAnsi="Arial"/>
          <w:b/>
          <w:color w:val="1F4D78"/>
          <w:sz w:val="19"/>
        </w:rPr>
        <w:t>هفتهٔ 399  |  صفحهٔ منبع: 415</w:t>
      </w:r>
    </w:p>
    <w:p>
      <w:pPr>
        <w:spacing w:after="20" w:line="223" w:lineRule="auto"/>
        <w:jc w:val="right"/>
        <w:bidi/>
      </w:pPr>
      <w:r>
        <w:rPr>
          <w:rFonts w:ascii="Arial" w:hAnsi="Arial"/>
          <w:sz w:val="16"/>
        </w:rPr>
        <w:t>399.01  تورهای سالانه و تورهای ویژه.</w:t>
      </w:r>
    </w:p>
    <w:p>
      <w:pPr>
        <w:spacing w:after="28" w:line="216" w:lineRule="auto"/>
        <w:ind w:left="259"/>
        <w:jc w:val="left"/>
      </w:pPr>
      <w:r>
        <w:rPr>
          <w:rFonts w:ascii="Arial" w:hAnsi="Arial"/>
          <w:color w:val="525252"/>
          <w:sz w:val="13"/>
        </w:rPr>
        <w:t>annual tours, and special tours.</w:t>
      </w:r>
    </w:p>
    <w:p>
      <w:pPr>
        <w:spacing w:after="20" w:line="223" w:lineRule="auto"/>
        <w:jc w:val="right"/>
        <w:bidi/>
      </w:pPr>
      <w:r>
        <w:rPr>
          <w:rFonts w:ascii="Arial" w:hAnsi="Arial"/>
          <w:sz w:val="16"/>
        </w:rPr>
        <w:t>399.02  اسکادران پشتیبانی نیرو.</w:t>
      </w:r>
    </w:p>
    <w:p>
      <w:pPr>
        <w:spacing w:after="28" w:line="216" w:lineRule="auto"/>
        <w:ind w:left="259"/>
        <w:jc w:val="left"/>
      </w:pPr>
      <w:r>
        <w:rPr>
          <w:rFonts w:ascii="Arial" w:hAnsi="Arial"/>
          <w:color w:val="525252"/>
          <w:sz w:val="13"/>
        </w:rPr>
        <w:t>Force Support Squadron.</w:t>
      </w:r>
    </w:p>
    <w:p>
      <w:pPr>
        <w:spacing w:after="20" w:line="223" w:lineRule="auto"/>
        <w:jc w:val="right"/>
        <w:bidi/>
      </w:pPr>
      <w:r>
        <w:rPr>
          <w:rFonts w:ascii="Arial" w:hAnsi="Arial"/>
          <w:sz w:val="16"/>
        </w:rPr>
        <w:t>399.03  بر عملکرد و مدیریت مرکز تناسب اندام و ورزش و FAC نظارت دارد.</w:t>
      </w:r>
    </w:p>
    <w:p>
      <w:pPr>
        <w:spacing w:after="28" w:line="216" w:lineRule="auto"/>
        <w:ind w:left="259"/>
        <w:jc w:val="left"/>
      </w:pPr>
      <w:r>
        <w:rPr>
          <w:rFonts w:ascii="Arial" w:hAnsi="Arial"/>
          <w:color w:val="525252"/>
          <w:sz w:val="13"/>
        </w:rPr>
        <w:t>Oversees the function and management of the Fitness and Sport Center and the FAC.</w:t>
      </w:r>
    </w:p>
    <w:p>
      <w:pPr>
        <w:spacing w:after="20" w:line="223" w:lineRule="auto"/>
        <w:jc w:val="right"/>
        <w:bidi/>
      </w:pPr>
      <w:r>
        <w:rPr>
          <w:rFonts w:ascii="Arial" w:hAnsi="Arial"/>
          <w:sz w:val="16"/>
        </w:rPr>
        <w:t>399.04  برنامه‌ها، برنامه‌ها، بودجه‌ها و بودجه برای عملیات تناسب اندام ایمن و مؤثر در FAC.</w:t>
      </w:r>
    </w:p>
    <w:p>
      <w:pPr>
        <w:spacing w:after="28" w:line="216" w:lineRule="auto"/>
        <w:ind w:left="259"/>
        <w:jc w:val="left"/>
      </w:pPr>
      <w:r>
        <w:rPr>
          <w:rFonts w:ascii="Arial" w:hAnsi="Arial"/>
          <w:color w:val="525252"/>
          <w:sz w:val="13"/>
        </w:rPr>
        <w:t>Plans, programs, budgets, and funds for safe and effective fitness operations within the FAC.</w:t>
      </w:r>
    </w:p>
    <w:p>
      <w:pPr>
        <w:spacing w:after="20" w:line="223" w:lineRule="auto"/>
        <w:jc w:val="right"/>
        <w:bidi/>
      </w:pPr>
      <w:r>
        <w:rPr>
          <w:rFonts w:ascii="Arial" w:hAnsi="Arial"/>
          <w:sz w:val="16"/>
        </w:rPr>
        <w:t>399.05  تضمین می‌کند که مدیر مرکز تناسب اندام و کارکنان برای پشتیبانی از PFP در ایستگاه اصلی و مکان‌های مستقر آموزش دیده و آماده هستند.</w:t>
      </w:r>
    </w:p>
    <w:p>
      <w:pPr>
        <w:spacing w:after="28" w:line="216" w:lineRule="auto"/>
        <w:ind w:left="259"/>
        <w:jc w:val="left"/>
      </w:pPr>
      <w:r>
        <w:rPr>
          <w:rFonts w:ascii="Arial" w:hAnsi="Arial"/>
          <w:color w:val="525252"/>
          <w:sz w:val="13"/>
        </w:rPr>
        <w:t>Ensures the Fitness Center Manager and staff are trained and prepared to support the PFP at home station and at deployed locations.</w:t>
      </w:r>
    </w:p>
    <w:p>
      <w:pPr>
        <w:spacing w:after="20" w:line="223" w:lineRule="auto"/>
        <w:jc w:val="right"/>
        <w:bidi/>
      </w:pPr>
      <w:r>
        <w:rPr>
          <w:rFonts w:ascii="Arial" w:hAnsi="Arial"/>
          <w:sz w:val="16"/>
        </w:rPr>
        <w:t>399.06  استثنا: کارمندان غیرتخصصی صندوق، غیرنظامیان قراردادی، و کارمندان صندوق اختصاصی که فقط در قسمت جلو، تعمیر و نگهداری و عملیات زمین ورزشی کار می‌کنند.</w:t>
      </w:r>
    </w:p>
    <w:p>
      <w:pPr>
        <w:spacing w:after="28" w:line="216" w:lineRule="auto"/>
        <w:ind w:left="259"/>
        <w:jc w:val="left"/>
      </w:pPr>
      <w:r>
        <w:rPr>
          <w:rFonts w:ascii="Arial" w:hAnsi="Arial"/>
          <w:color w:val="525252"/>
          <w:sz w:val="13"/>
        </w:rPr>
        <w:t>Exception: Non-Appropriated Fund employees, contract civilians, and Appropriated Fund employees who only work the front desk, maintenance, and sports field operations.</w:t>
      </w:r>
    </w:p>
    <w:p>
      <w:pPr>
        <w:spacing w:after="20" w:line="223" w:lineRule="auto"/>
        <w:jc w:val="right"/>
        <w:bidi/>
      </w:pPr>
      <w:r>
        <w:rPr>
          <w:rFonts w:ascii="Arial" w:hAnsi="Arial"/>
          <w:sz w:val="16"/>
        </w:rPr>
        <w:t>399.07  آمار ارزیابی ماهانه را به فرمانده جناح، فرمانده واحد یا فرد تعیین شده گزارش می‌دهد.</w:t>
      </w:r>
    </w:p>
    <w:p>
      <w:pPr>
        <w:spacing w:after="28" w:line="216" w:lineRule="auto"/>
        <w:ind w:left="259"/>
        <w:jc w:val="left"/>
      </w:pPr>
      <w:r>
        <w:rPr>
          <w:rFonts w:ascii="Arial" w:hAnsi="Arial"/>
          <w:color w:val="525252"/>
          <w:sz w:val="13"/>
        </w:rPr>
        <w:t>Reports monthly assessment statistics to wing commander, unit commander or designee.</w:t>
      </w:r>
    </w:p>
    <w:p>
      <w:pPr>
        <w:spacing w:after="20" w:line="223" w:lineRule="auto"/>
        <w:jc w:val="right"/>
        <w:bidi/>
      </w:pPr>
      <w:r>
        <w:rPr>
          <w:rFonts w:ascii="Arial" w:hAnsi="Arial"/>
          <w:sz w:val="16"/>
        </w:rPr>
        <w:t>399.08  دستورات و واحدها.</w:t>
      </w:r>
    </w:p>
    <w:p>
      <w:pPr>
        <w:spacing w:after="28" w:line="216" w:lineRule="auto"/>
        <w:ind w:left="259"/>
        <w:jc w:val="left"/>
      </w:pPr>
      <w:r>
        <w:rPr>
          <w:rFonts w:ascii="Arial" w:hAnsi="Arial"/>
          <w:color w:val="525252"/>
          <w:sz w:val="13"/>
        </w:rPr>
        <w:t>Commands and Units.</w:t>
      </w:r>
    </w:p>
    <w:p>
      <w:pPr>
        <w:spacing w:after="20" w:line="223" w:lineRule="auto"/>
        <w:jc w:val="right"/>
        <w:bidi/>
      </w:pPr>
      <w:r>
        <w:rPr>
          <w:rFonts w:ascii="Arial" w:hAnsi="Arial"/>
          <w:sz w:val="16"/>
        </w:rPr>
        <w:t>399.09  فرماندهان در همه سطوح، محیطی را ایجاد خواهند کرد که از طریق آمادگی جسمانی و تغذیه بهینه، از یک سبک زندگی سالم حمایت، تشویق و انگیزه می‌دهد و انطباق با DAFMAN ۳۶-۲۹۰۵ را تضمین می‌کند.</w:t>
      </w:r>
    </w:p>
    <w:p>
      <w:pPr>
        <w:spacing w:after="28" w:line="216" w:lineRule="auto"/>
        <w:ind w:left="259"/>
        <w:jc w:val="left"/>
      </w:pPr>
      <w:r>
        <w:rPr>
          <w:rFonts w:ascii="Arial" w:hAnsi="Arial"/>
          <w:color w:val="525252"/>
          <w:sz w:val="13"/>
        </w:rPr>
        <w:t>Commanders at all levels will establish an environment that supports, encourages, and motivates a healthy lifestyle through optimal physical fitness and nutrition and ensures compliance with DAFMAN 36-2905.</w:t>
      </w:r>
    </w:p>
    <w:p>
      <w:pPr>
        <w:spacing w:after="20" w:line="223" w:lineRule="auto"/>
        <w:jc w:val="right"/>
        <w:bidi/>
      </w:pPr>
      <w:r>
        <w:rPr>
          <w:rFonts w:ascii="Arial" w:hAnsi="Arial"/>
          <w:sz w:val="16"/>
        </w:rPr>
        <w:t>399.10  فرماندهان باید اطمینان حاصل کنند که هوانوردان در حالی که یونیفرم هستند استانداردهای لباس و ظاهر حرفه‌ای را ارائه می‌دهند.</w:t>
      </w:r>
    </w:p>
    <w:p>
      <w:pPr>
        <w:spacing w:after="28" w:line="216" w:lineRule="auto"/>
        <w:ind w:left="259"/>
        <w:jc w:val="left"/>
      </w:pPr>
      <w:r>
        <w:rPr>
          <w:rFonts w:ascii="Arial" w:hAnsi="Arial"/>
          <w:color w:val="525252"/>
          <w:sz w:val="13"/>
        </w:rPr>
        <w:t>Commanders must ensure Airmen present professional dress and appearance standards while in uniform.</w:t>
      </w:r>
    </w:p>
    <w:p>
      <w:pPr>
        <w:spacing w:after="20" w:line="223" w:lineRule="auto"/>
        <w:jc w:val="right"/>
        <w:bidi/>
      </w:pPr>
      <w:r>
        <w:rPr>
          <w:rFonts w:ascii="Arial" w:hAnsi="Arial"/>
          <w:sz w:val="16"/>
        </w:rPr>
        <w:t>399.11  ایجاد و اجرای یک واحد PFP و اطمینان از انجام اقدامات اداری مناسب در موارد عدم رعایت.</w:t>
      </w:r>
    </w:p>
    <w:p>
      <w:pPr>
        <w:spacing w:after="28" w:line="216" w:lineRule="auto"/>
        <w:ind w:left="259"/>
        <w:jc w:val="left"/>
      </w:pPr>
      <w:r>
        <w:rPr>
          <w:rFonts w:ascii="Arial" w:hAnsi="Arial"/>
          <w:color w:val="525252"/>
          <w:sz w:val="13"/>
        </w:rPr>
        <w:t>Establish and enforce a unit PFP and ensure appropriate administrative action is taken in cases of non-compliance.</w:t>
      </w:r>
    </w:p>
    <w:p>
      <w:pPr>
        <w:spacing w:after="20" w:line="223" w:lineRule="auto"/>
        <w:jc w:val="right"/>
        <w:bidi/>
      </w:pPr>
      <w:r>
        <w:rPr>
          <w:rFonts w:ascii="Arial" w:hAnsi="Arial"/>
          <w:sz w:val="16"/>
        </w:rPr>
        <w:t>399.12  تعیین کنید که آیا ارزیابی آمادگی جسمانی (PFA) برای اعضای آن‌ها به صورت داخلی با UFAC یا با نصب FAC انجام می‌شود.</w:t>
      </w:r>
    </w:p>
    <w:p>
      <w:pPr>
        <w:spacing w:after="28" w:line="216" w:lineRule="auto"/>
        <w:ind w:left="259"/>
        <w:jc w:val="left"/>
      </w:pPr>
      <w:r>
        <w:rPr>
          <w:rFonts w:ascii="Arial" w:hAnsi="Arial"/>
          <w:color w:val="525252"/>
          <w:sz w:val="13"/>
        </w:rPr>
        <w:t>Determine if a Physical Fitness Assessment (PFA) for their members will be conducted internally with a UFAC, or with the installation FAC.</w:t>
      </w:r>
    </w:p>
    <w:p>
      <w:pPr>
        <w:spacing w:after="20" w:line="223" w:lineRule="auto"/>
        <w:jc w:val="right"/>
        <w:bidi/>
      </w:pPr>
      <w:r>
        <w:rPr>
          <w:rFonts w:ascii="Arial" w:hAnsi="Arial"/>
          <w:sz w:val="16"/>
        </w:rPr>
        <w:t>399.13  افراد را به صورت کتبی برای تقویت FAC و اداره آموزش بدنی واحد منصوب کنید. و مطمئن شوید که نامه‌های قرار ملاقات با FAC ثبت شده است.</w:t>
      </w:r>
    </w:p>
    <w:p>
      <w:pPr>
        <w:spacing w:after="28" w:line="216" w:lineRule="auto"/>
        <w:ind w:left="259"/>
        <w:jc w:val="left"/>
      </w:pPr>
      <w:r>
        <w:rPr>
          <w:rFonts w:ascii="Arial" w:hAnsi="Arial"/>
          <w:color w:val="525252"/>
          <w:sz w:val="13"/>
        </w:rPr>
        <w:t>Appoint individuals in writing to augment the FAC and administer unit physical training; and ensure appointment letters are filed with the FAC.</w:t>
      </w:r>
    </w:p>
    <w:p>
      <w:pPr>
        <w:spacing w:after="20" w:line="223" w:lineRule="auto"/>
        <w:jc w:val="right"/>
        <w:bidi/>
      </w:pPr>
      <w:r>
        <w:rPr>
          <w:rFonts w:ascii="Arial" w:hAnsi="Arial"/>
          <w:sz w:val="16"/>
        </w:rPr>
        <w:t>399.14  فرماندهان واحد مستقر اطمینان حاصل خواهند کرد که مدیران PFA که ارزیابی‌های تناسب اندام را انجام می‌دهند دارای گواهینامه PTL توسط اسکادران پشتیبانی نیروی اعزامی هستند.</w:t>
      </w:r>
    </w:p>
    <w:p>
      <w:pPr>
        <w:spacing w:after="28" w:line="216" w:lineRule="auto"/>
        <w:ind w:left="259"/>
        <w:jc w:val="left"/>
      </w:pPr>
      <w:r>
        <w:rPr>
          <w:rFonts w:ascii="Arial" w:hAnsi="Arial"/>
          <w:color w:val="525252"/>
          <w:sz w:val="13"/>
        </w:rPr>
        <w:t>Deployed Unit commanders will ensure PFA Administrators conducting fitness assessments are PTL certified by the Expeditionary Force Support Squadron.</w:t>
      </w:r>
    </w:p>
    <w:p>
      <w:pPr>
        <w:spacing w:after="20" w:line="223" w:lineRule="auto"/>
        <w:jc w:val="right"/>
        <w:bidi/>
      </w:pPr>
      <w:r>
        <w:rPr>
          <w:rFonts w:ascii="Arial" w:hAnsi="Arial"/>
          <w:sz w:val="16"/>
        </w:rPr>
        <w:t>399.15  اطمینان حاصل می‌کند که PTL فرم ۴۴۴۶ DAF امضا شده، کارت امتیاز ارزیابی تناسب اندام نیروی هوایی را آپلود می‌کند و امتیازات را در میفیتنسس (میفسس) وارد می‌کند.</w:t>
      </w:r>
    </w:p>
    <w:p>
      <w:pPr>
        <w:spacing w:after="28" w:line="216" w:lineRule="auto"/>
        <w:ind w:left="259"/>
        <w:jc w:val="left"/>
      </w:pPr>
      <w:r>
        <w:rPr>
          <w:rFonts w:ascii="Arial" w:hAnsi="Arial"/>
          <w:color w:val="525252"/>
          <w:sz w:val="13"/>
        </w:rPr>
        <w:t>Ensures PTLs uploads the signed DAF Form 4446, Air Force Fitness Assessment Scorecard, and inputs scores into myFitness (myFSS).</w:t>
      </w:r>
    </w:p>
    <w:p>
      <w:pPr>
        <w:spacing w:after="20" w:line="223" w:lineRule="auto"/>
        <w:jc w:val="right"/>
        <w:bidi/>
      </w:pPr>
      <w:r>
        <w:rPr>
          <w:rFonts w:ascii="Arial" w:hAnsi="Arial"/>
          <w:sz w:val="16"/>
        </w:rPr>
        <w:t>399.16  فرمانده گروه پزشکی.</w:t>
      </w:r>
    </w:p>
    <w:p>
      <w:pPr>
        <w:spacing w:after="28" w:line="216" w:lineRule="auto"/>
        <w:ind w:left="259"/>
        <w:jc w:val="left"/>
      </w:pPr>
      <w:r>
        <w:rPr>
          <w:rFonts w:ascii="Arial" w:hAnsi="Arial"/>
          <w:color w:val="525252"/>
          <w:sz w:val="13"/>
        </w:rPr>
        <w:t>Medical Group Commander.</w:t>
      </w:r>
    </w:p>
    <w:p>
      <w:pPr>
        <w:spacing w:after="20" w:line="223" w:lineRule="auto"/>
        <w:jc w:val="right"/>
        <w:bidi/>
      </w:pPr>
      <w:r>
        <w:rPr>
          <w:rFonts w:ascii="Arial" w:hAnsi="Arial"/>
          <w:sz w:val="16"/>
        </w:rPr>
        <w:t>399.17  پشتیبانی پزشکی را برای نصب PFP ارائه می‌دهد.</w:t>
      </w:r>
    </w:p>
    <w:p>
      <w:pPr>
        <w:spacing w:after="28" w:line="216" w:lineRule="auto"/>
        <w:ind w:left="259"/>
        <w:jc w:val="left"/>
      </w:pPr>
      <w:r>
        <w:rPr>
          <w:rFonts w:ascii="Arial" w:hAnsi="Arial"/>
          <w:color w:val="525252"/>
          <w:sz w:val="13"/>
        </w:rPr>
        <w:t>Provides medical support for the installation PFP.</w:t>
      </w:r>
    </w:p>
    <w:p>
      <w:pPr>
        <w:spacing w:after="20" w:line="223" w:lineRule="auto"/>
        <w:jc w:val="right"/>
        <w:bidi/>
      </w:pPr>
      <w:r>
        <w:rPr>
          <w:rFonts w:ascii="Arial" w:hAnsi="Arial"/>
          <w:sz w:val="16"/>
        </w:rPr>
        <w:t>399.18  طرح‌ها، برنامه‌ها و بودجه‌های مربوط به مداخلات و برنامه‌های آموزشی پزشکی.</w:t>
      </w:r>
    </w:p>
    <w:p>
      <w:pPr>
        <w:spacing w:after="28" w:line="216" w:lineRule="auto"/>
        <w:ind w:left="259"/>
        <w:jc w:val="left"/>
      </w:pPr>
      <w:r>
        <w:rPr>
          <w:rFonts w:ascii="Arial" w:hAnsi="Arial"/>
          <w:color w:val="525252"/>
          <w:sz w:val="13"/>
        </w:rPr>
        <w:t>Plans, programs, and budgets for medically-related intervention and training programs.</w:t>
      </w:r>
    </w:p>
    <w:p>
      <w:pPr>
        <w:spacing w:after="20" w:line="223" w:lineRule="auto"/>
        <w:jc w:val="right"/>
        <w:bidi/>
      </w:pPr>
      <w:r>
        <w:rPr>
          <w:rFonts w:ascii="Arial" w:hAnsi="Arial"/>
          <w:sz w:val="16"/>
        </w:rPr>
        <w:t>399.19  تضمین می‌کند که ارائه‌دهندگان MTF برای هوانوردان، آموزش‌های تجدید اولیه و سالانه اولیه را در مورد PFP، روش‌های شرایط محدودکننده وظیفه، شرایط پزشکی و داروهایی که ممکن است بر ارزیابی تناسب اندام تأثیر بگذارند، دریافت می‌کنند.</w:t>
      </w:r>
    </w:p>
    <w:p>
      <w:pPr>
        <w:spacing w:after="28" w:line="216" w:lineRule="auto"/>
        <w:ind w:left="259"/>
        <w:jc w:val="left"/>
      </w:pPr>
      <w:r>
        <w:rPr>
          <w:rFonts w:ascii="Arial" w:hAnsi="Arial"/>
          <w:color w:val="525252"/>
          <w:sz w:val="13"/>
        </w:rPr>
        <w:t>Ensures MTF providers for Airmen receive initial and annual refresher training on the PFP, duty limiting conditions procedures, medical conditions, and medications that may affect fitness assessments.</w:t>
      </w:r>
    </w:p>
    <w:p>
      <w:pPr>
        <w:spacing w:after="20" w:line="223" w:lineRule="auto"/>
        <w:jc w:val="right"/>
        <w:bidi/>
      </w:pPr>
      <w:r>
        <w:rPr>
          <w:rFonts w:ascii="Arial" w:hAnsi="Arial"/>
          <w:sz w:val="16"/>
        </w:rPr>
        <w:t>399.20  رئیس، پزشکی هوافضا یا معادل آن.</w:t>
      </w:r>
    </w:p>
    <w:p>
      <w:pPr>
        <w:spacing w:after="28" w:line="216" w:lineRule="auto"/>
        <w:ind w:left="259"/>
        <w:jc w:val="left"/>
      </w:pPr>
      <w:r>
        <w:rPr>
          <w:rFonts w:ascii="Arial" w:hAnsi="Arial"/>
          <w:color w:val="525252"/>
          <w:sz w:val="13"/>
        </w:rPr>
        <w:t>Chief, Aerospace Medicine or Equivalent.</w:t>
      </w:r>
    </w:p>
    <w:p>
      <w:pPr>
        <w:spacing w:after="20" w:line="223" w:lineRule="auto"/>
        <w:jc w:val="right"/>
        <w:bidi/>
      </w:pPr>
      <w:r>
        <w:rPr>
          <w:rFonts w:ascii="Arial" w:hAnsi="Arial"/>
          <w:sz w:val="16"/>
        </w:rPr>
        <w:t>399.21  اطمینان حاصل می‌کند که فرم AF ۴۶۹، گزارش وضعیت محدودیت وظیفه، مربوط به محدودیت‌های تناسب اندام، محدودیت‌های ارزیابی تناسب اندام با AFI ۴۸-۱۳۳، شرایط محدودیت وظیفه مطابقت دارد.</w:t>
      </w:r>
    </w:p>
    <w:p>
      <w:pPr>
        <w:spacing w:after="28" w:line="216" w:lineRule="auto"/>
        <w:ind w:left="259"/>
        <w:jc w:val="left"/>
      </w:pPr>
      <w:r>
        <w:rPr>
          <w:rFonts w:ascii="Arial" w:hAnsi="Arial"/>
          <w:color w:val="525252"/>
          <w:sz w:val="13"/>
        </w:rPr>
        <w:t>Ensures AF Form 469, Duty Limiting Condition Report, related to fitness restrictions, fitness assessment restrictions are in compliance with AFI 48-133, Duty Limiting Conditions.</w:t>
      </w:r>
    </w:p>
    <w:p>
      <w:pPr>
        <w:spacing w:after="20" w:line="223" w:lineRule="auto"/>
        <w:jc w:val="right"/>
        <w:bidi/>
      </w:pPr>
      <w:r>
        <w:rPr>
          <w:rFonts w:ascii="Arial" w:hAnsi="Arial"/>
          <w:sz w:val="16"/>
        </w:rPr>
        <w:t>399.22  توجه: در پایگاه‌های ARC مستقل، فیزیولوژیست ورزش فرم ۴۶۹ AF را تکمیل می‌کند.</w:t>
      </w:r>
    </w:p>
    <w:p>
      <w:pPr>
        <w:spacing w:after="28" w:line="216" w:lineRule="auto"/>
        <w:ind w:left="259"/>
        <w:jc w:val="left"/>
      </w:pPr>
      <w:r>
        <w:rPr>
          <w:rFonts w:ascii="Arial" w:hAnsi="Arial"/>
          <w:color w:val="525252"/>
          <w:sz w:val="13"/>
        </w:rPr>
        <w:t>Note: At stand-alone ARC bases, the Exercise Physiologist will complete the AF Form 469.</w:t>
      </w:r>
    </w:p>
    <w:p>
      <w:pPr>
        <w:spacing w:after="20" w:line="223" w:lineRule="auto"/>
        <w:jc w:val="right"/>
        <w:bidi/>
      </w:pPr>
      <w:r>
        <w:rPr>
          <w:rFonts w:ascii="Arial" w:hAnsi="Arial"/>
          <w:sz w:val="16"/>
        </w:rPr>
        <w:t>399.23  اطمینان حاصل می‌کند که فرم ۴۴۴۶ا DAF پرخطر، پرسشنامه غربالگری آمادگی جسمانی نیروی هوایی (FSQ)، پاسخ‌ها توسط ارائه‌دهندگان پزشکی MTF مطابق با استانداردهای فعلی پزشکی بررسی و تنظیم می‌شوند.</w:t>
      </w:r>
    </w:p>
    <w:p>
      <w:pPr>
        <w:spacing w:after="28" w:line="216" w:lineRule="auto"/>
        <w:ind w:left="259"/>
        <w:jc w:val="left"/>
      </w:pPr>
      <w:r>
        <w:rPr>
          <w:rFonts w:ascii="Arial" w:hAnsi="Arial"/>
          <w:color w:val="525252"/>
          <w:sz w:val="13"/>
        </w:rPr>
        <w:t>Ensures high-risk DAF Form 4446A, Air Force Physical Fitness Screening Questionnaire (FSQ), responses are reviewed and dispositioned by MTF medical providers consistent with current medical practice standards.</w:t>
      </w:r>
    </w:p>
    <w:p>
      <w:pPr>
        <w:spacing w:after="20" w:line="223" w:lineRule="auto"/>
        <w:jc w:val="right"/>
        <w:bidi/>
      </w:pPr>
      <w:r>
        <w:rPr>
          <w:rFonts w:ascii="Arial" w:hAnsi="Arial"/>
          <w:sz w:val="16"/>
        </w:rPr>
        <w:t>399.24  ارائه دهنده مرکز درمانی نظامی (MTF).</w:t>
      </w:r>
    </w:p>
    <w:p>
      <w:pPr>
        <w:spacing w:after="28" w:line="216" w:lineRule="auto"/>
        <w:ind w:left="259"/>
        <w:jc w:val="left"/>
      </w:pPr>
      <w:r>
        <w:rPr>
          <w:rFonts w:ascii="Arial" w:hAnsi="Arial"/>
          <w:color w:val="525252"/>
          <w:sz w:val="13"/>
        </w:rPr>
        <w:t>Military Treatment Facility (MTF) Provider.</w:t>
      </w:r>
    </w:p>
    <w:p>
      <w:pPr>
        <w:spacing w:after="20" w:line="223" w:lineRule="auto"/>
        <w:jc w:val="right"/>
        <w:bidi/>
      </w:pPr>
      <w:r>
        <w:rPr>
          <w:rFonts w:ascii="Arial" w:hAnsi="Arial"/>
          <w:sz w:val="16"/>
        </w:rPr>
        <w:t>399.25  در مورد خط‌مشی برنامه، راهنمایی FSQ، و شرایط پزشکی مؤثر بر ارزیابی تناسب اندام و رویه‌های وضعیت محدودیت وظیفه درباره خط‌مشی به‌روز می‌ماند.</w:t>
      </w:r>
    </w:p>
    <w:p>
      <w:pPr>
        <w:spacing w:after="28" w:line="216" w:lineRule="auto"/>
        <w:ind w:left="259"/>
        <w:jc w:val="left"/>
      </w:pPr>
      <w:r>
        <w:rPr>
          <w:rFonts w:ascii="Arial" w:hAnsi="Arial"/>
          <w:color w:val="525252"/>
          <w:sz w:val="13"/>
        </w:rPr>
        <w:t>Stays up to date on program policy, FSQ guidance, and medical conditions affecting fitness assessments and Duty Limiting Condition procedures as it pertains to policy.</w:t>
      </w:r>
    </w:p>
    <w:p>
      <w:pPr>
        <w:spacing w:after="20" w:line="223" w:lineRule="auto"/>
        <w:jc w:val="right"/>
        <w:bidi/>
      </w:pPr>
      <w:r>
        <w:rPr>
          <w:rFonts w:ascii="Arial" w:hAnsi="Arial"/>
          <w:sz w:val="16"/>
        </w:rPr>
        <w:t>399.26  در هر برخورد با بیمار که در آن شرایط پزشکی بر فعالیت تناسب اندام تأثیر می‌گذارد (شامل ارزیابی و آموزش) تصمیم می‌گیرد.</w:t>
      </w:r>
    </w:p>
    <w:p>
      <w:pPr>
        <w:spacing w:after="28" w:line="216" w:lineRule="auto"/>
        <w:ind w:left="259"/>
        <w:jc w:val="left"/>
      </w:pPr>
      <w:r>
        <w:rPr>
          <w:rFonts w:ascii="Arial" w:hAnsi="Arial"/>
          <w:color w:val="525252"/>
          <w:sz w:val="13"/>
        </w:rPr>
        <w:t>Makes a determination at any patient encounter in which the medical condition impacts fitness activity (to include assessment and training).</w:t>
      </w:r>
    </w:p>
    <w:p>
      <w:pPr>
        <w:spacing w:after="20" w:line="223" w:lineRule="auto"/>
        <w:jc w:val="right"/>
        <w:bidi/>
      </w:pPr>
      <w:r>
        <w:rPr>
          <w:rFonts w:ascii="Arial" w:hAnsi="Arial"/>
          <w:sz w:val="16"/>
        </w:rPr>
        <w:t>399.27  محدودیت‌های اسناد و معافیت‌های ارزیابی تناسب اندام در فرم AF ۴۶۹ مطابق با AFI ۴۸-۱۳۳.</w:t>
      </w:r>
    </w:p>
    <w:p>
      <w:pPr>
        <w:spacing w:after="28" w:line="216" w:lineRule="auto"/>
        <w:ind w:left="259"/>
        <w:jc w:val="left"/>
      </w:pPr>
      <w:r>
        <w:rPr>
          <w:rFonts w:ascii="Arial" w:hAnsi="Arial"/>
          <w:color w:val="525252"/>
          <w:sz w:val="13"/>
        </w:rPr>
        <w:t>Documents limitations and Fitness Assessment exemptions on AF Form 469 in accordance with AFI 48-133.</w:t>
      </w:r>
    </w:p>
    <w:p>
      <w:pPr>
        <w:spacing w:after="20" w:line="223" w:lineRule="auto"/>
        <w:jc w:val="right"/>
        <w:bidi/>
      </w:pPr>
      <w:r>
        <w:rPr>
          <w:rFonts w:ascii="Arial" w:hAnsi="Arial"/>
          <w:sz w:val="16"/>
        </w:rPr>
        <w:t>399.28  هوانوردان را ارزیابی می‌کند تا تعیین کند که آیا یک وضعیت پزشکی مانع از کسب نمره قبولی در ارزیابی تناسب اندام توسط هوانوردان می‌شود.</w:t>
      </w:r>
    </w:p>
    <w:p>
      <w:pPr>
        <w:spacing w:after="28" w:line="216" w:lineRule="auto"/>
        <w:ind w:left="259"/>
        <w:jc w:val="left"/>
      </w:pPr>
      <w:r>
        <w:rPr>
          <w:rFonts w:ascii="Arial" w:hAnsi="Arial"/>
          <w:color w:val="525252"/>
          <w:sz w:val="13"/>
        </w:rPr>
        <w:t>Evaluates Airmen to determine whether a medical condition precludes the Airmen from obtaining a passing score on the fitness assessment.</w:t>
      </w:r>
    </w:p>
    <w:p>
      <w:pPr>
        <w:spacing w:after="20" w:line="223" w:lineRule="auto"/>
        <w:jc w:val="right"/>
        <w:bidi/>
      </w:pPr>
      <w:r>
        <w:rPr>
          <w:rFonts w:ascii="Arial" w:hAnsi="Arial"/>
          <w:sz w:val="16"/>
        </w:rPr>
        <w:t>399.29  کارگروه آمادگی جسمانی نیروی هوایی.</w:t>
      </w:r>
    </w:p>
    <w:p>
      <w:pPr>
        <w:spacing w:after="28" w:line="216" w:lineRule="auto"/>
        <w:ind w:left="259"/>
        <w:jc w:val="left"/>
      </w:pPr>
      <w:r>
        <w:rPr>
          <w:rFonts w:ascii="Arial" w:hAnsi="Arial"/>
          <w:color w:val="525252"/>
          <w:sz w:val="13"/>
        </w:rPr>
        <w:t>Air Force Physical Fitness Working Group.</w:t>
      </w:r>
    </w:p>
    <w:p>
      <w:pPr>
        <w:spacing w:after="20" w:line="223" w:lineRule="auto"/>
        <w:jc w:val="right"/>
        <w:bidi/>
      </w:pPr>
      <w:r>
        <w:rPr>
          <w:rFonts w:ascii="Arial" w:hAnsi="Arial"/>
          <w:sz w:val="16"/>
        </w:rPr>
        <w:t>399.30  کارگروه مشورتی آمادگی جسمانی نیروی هوایی توصیه‌هایی را به رهبران USAF در مورد موضوعات مرتبط با PFP ارائه خواهد کرد.</w:t>
      </w:r>
    </w:p>
    <w:p>
      <w:pPr>
        <w:spacing w:after="28" w:line="216" w:lineRule="auto"/>
        <w:ind w:left="259"/>
        <w:jc w:val="left"/>
      </w:pPr>
      <w:r>
        <w:rPr>
          <w:rFonts w:ascii="Arial" w:hAnsi="Arial"/>
          <w:color w:val="525252"/>
          <w:sz w:val="13"/>
        </w:rPr>
        <w:t>The Air Force Physical Fitness Advisory Working Group will provide USAF leaders recommendations on matters related to the PFP.</w:t>
      </w:r>
    </w:p>
    <w:p>
      <w:pPr>
        <w:spacing w:after="20" w:line="223" w:lineRule="auto"/>
        <w:jc w:val="right"/>
        <w:bidi/>
      </w:pPr>
      <w:r>
        <w:rPr>
          <w:rFonts w:ascii="Arial" w:hAnsi="Arial"/>
          <w:sz w:val="16"/>
        </w:rPr>
        <w:t>399.31  گروه کاری هر چند وقت یکبار که لازم باشد، حضوری یا مجازی تشکیل جلسه می‌دهد و یافته‌ها و/یا توصیه‌ها را به AF/ا۱ گزارش می‌دهد.</w:t>
      </w:r>
    </w:p>
    <w:p>
      <w:pPr>
        <w:spacing w:after="28" w:line="216" w:lineRule="auto"/>
        <w:ind w:left="259"/>
        <w:jc w:val="left"/>
      </w:pPr>
      <w:r>
        <w:rPr>
          <w:rFonts w:ascii="Arial" w:hAnsi="Arial"/>
          <w:color w:val="525252"/>
          <w:sz w:val="13"/>
        </w:rPr>
        <w:t>The working group convenes as often as necessary, either in person or virtually, and reports findings and/or recommendations to the AF/A1.</w:t>
      </w:r>
    </w:p>
    <w:p>
      <w:pPr>
        <w:spacing w:after="20" w:line="223" w:lineRule="auto"/>
        <w:jc w:val="right"/>
        <w:bidi/>
      </w:pPr>
      <w:r>
        <w:rPr>
          <w:rFonts w:ascii="Arial" w:hAnsi="Arial"/>
          <w:sz w:val="16"/>
        </w:rPr>
        <w:t>399.32  مدیر اطلاعات تناسب اندام.</w:t>
      </w:r>
    </w:p>
    <w:p>
      <w:pPr>
        <w:spacing w:after="28" w:line="216" w:lineRule="auto"/>
        <w:ind w:left="259"/>
        <w:jc w:val="left"/>
      </w:pPr>
      <w:r>
        <w:rPr>
          <w:rFonts w:ascii="Arial" w:hAnsi="Arial"/>
          <w:color w:val="525252"/>
          <w:sz w:val="13"/>
        </w:rPr>
        <w:t>Fitness Information Manager.</w:t>
      </w:r>
    </w:p>
    <w:p>
      <w:pPr>
        <w:spacing w:after="20" w:line="223" w:lineRule="auto"/>
        <w:jc w:val="right"/>
        <w:bidi/>
      </w:pPr>
      <w:r>
        <w:rPr>
          <w:rFonts w:ascii="Arial" w:hAnsi="Arial"/>
          <w:sz w:val="16"/>
        </w:rPr>
        <w:t>399.33  به AFSVC/VMSF فرم DD ۲۸۷۵، سفارش کتبی، توافق نامه کاربر و نامه قرار ملاقات امضا شده برای دسترسی به میفسس ارائه می‌دهد.</w:t>
      </w:r>
    </w:p>
    <w:p>
      <w:pPr>
        <w:spacing w:after="28" w:line="216" w:lineRule="auto"/>
        <w:ind w:left="259"/>
        <w:jc w:val="left"/>
      </w:pPr>
      <w:r>
        <w:rPr>
          <w:rFonts w:ascii="Arial" w:hAnsi="Arial"/>
          <w:color w:val="525252"/>
          <w:sz w:val="13"/>
        </w:rPr>
        <w:t>Provides AFSVC/VMSF with a DD Form 2875, written order, user agreement, and signed appointment letter to gain access to myFSS.</w:t>
      </w:r>
    </w:p>
    <w:p>
      <w:pPr>
        <w:spacing w:after="20" w:line="223" w:lineRule="auto"/>
        <w:jc w:val="right"/>
        <w:bidi/>
      </w:pPr>
      <w:r>
        <w:rPr>
          <w:rFonts w:ascii="Arial" w:hAnsi="Arial"/>
          <w:sz w:val="16"/>
        </w:rPr>
        <w:t>399.34  میفسس را با اصلاحات ناشی از: ۱) خطاهای اداری و یا ۲) سوابق تأیید شده از طریق فرآیند تجدید نظر به‌روز می‌کند.</w:t>
      </w:r>
    </w:p>
    <w:p>
      <w:pPr>
        <w:spacing w:after="28" w:line="216" w:lineRule="auto"/>
        <w:ind w:left="259"/>
        <w:jc w:val="left"/>
      </w:pPr>
      <w:r>
        <w:rPr>
          <w:rFonts w:ascii="Arial" w:hAnsi="Arial"/>
          <w:color w:val="525252"/>
          <w:sz w:val="13"/>
        </w:rPr>
        <w:t>Updates myFSS with corrections resulting from: 1) administrative errors, and or 2) records approved through the appeal process.</w:t>
      </w:r>
    </w:p>
    <w:p>
      <w:pPr>
        <w:spacing w:after="20" w:line="223" w:lineRule="auto"/>
        <w:jc w:val="right"/>
        <w:bidi/>
      </w:pPr>
      <w:r>
        <w:rPr>
          <w:rFonts w:ascii="Arial" w:hAnsi="Arial"/>
          <w:sz w:val="16"/>
        </w:rPr>
        <w:t>399.35  مدیر برنامه تناسب اندام.</w:t>
      </w:r>
    </w:p>
    <w:p>
      <w:pPr>
        <w:spacing w:after="28" w:line="216" w:lineRule="auto"/>
        <w:ind w:left="259"/>
        <w:jc w:val="left"/>
      </w:pPr>
      <w:r>
        <w:rPr>
          <w:rFonts w:ascii="Arial" w:hAnsi="Arial"/>
          <w:color w:val="525252"/>
          <w:sz w:val="13"/>
        </w:rPr>
        <w:t>Fitness Program Manager.</w:t>
      </w:r>
    </w:p>
    <w:p>
      <w:pPr>
        <w:spacing w:after="20" w:line="223" w:lineRule="auto"/>
        <w:jc w:val="right"/>
        <w:bidi/>
      </w:pPr>
      <w:r>
        <w:rPr>
          <w:rFonts w:ascii="Arial" w:hAnsi="Arial"/>
          <w:sz w:val="16"/>
        </w:rPr>
        <w:t>399.36  بر نصب PFP نظارت دارد.</w:t>
      </w:r>
    </w:p>
    <w:p>
      <w:pPr>
        <w:spacing w:after="28" w:line="216" w:lineRule="auto"/>
        <w:ind w:left="259"/>
        <w:jc w:val="left"/>
      </w:pPr>
      <w:r>
        <w:rPr>
          <w:rFonts w:ascii="Arial" w:hAnsi="Arial"/>
          <w:color w:val="525252"/>
          <w:sz w:val="13"/>
        </w:rPr>
        <w:t>Oversees the installation PFP.</w:t>
      </w:r>
    </w:p>
    <w:p>
      <w:pPr>
        <w:spacing w:after="20" w:line="223" w:lineRule="auto"/>
        <w:jc w:val="right"/>
        <w:bidi/>
      </w:pPr>
      <w:r>
        <w:rPr>
          <w:rFonts w:ascii="Arial" w:hAnsi="Arial"/>
          <w:sz w:val="16"/>
        </w:rPr>
        <w:t>399.37  آنها به‌عنوان مشاور فرماندهان، ارائه دهندگان، FAC و افراد دارای پشتیبانی اداری خدمت می‌کنند.</w:t>
      </w:r>
    </w:p>
    <w:p>
      <w:pPr>
        <w:spacing w:after="28" w:line="216" w:lineRule="auto"/>
        <w:ind w:left="259"/>
        <w:jc w:val="left"/>
      </w:pPr>
      <w:r>
        <w:rPr>
          <w:rFonts w:ascii="Arial" w:hAnsi="Arial"/>
          <w:color w:val="525252"/>
          <w:sz w:val="13"/>
        </w:rPr>
        <w:t>They serve as a consultant to commanders, providers, FAC, and individuals with administrative support.</w:t>
      </w:r>
    </w:p>
    <w:p>
      <w:pPr>
        <w:spacing w:after="20" w:line="223" w:lineRule="auto"/>
        <w:jc w:val="right"/>
        <w:bidi/>
      </w:pPr>
      <w:r>
        <w:rPr>
          <w:rFonts w:ascii="Arial" w:hAnsi="Arial"/>
          <w:sz w:val="16"/>
        </w:rPr>
        <w:t>399.38  آموزش به</w:t>
      </w:r>
    </w:p>
    <w:p>
      <w:pPr>
        <w:spacing w:after="28" w:line="216" w:lineRule="auto"/>
        <w:ind w:left="259"/>
        <w:jc w:val="left"/>
      </w:pPr>
      <w:r>
        <w:rPr>
          <w:rFonts w:ascii="Arial" w:hAnsi="Arial"/>
          <w:color w:val="525252"/>
          <w:sz w:val="13"/>
        </w:rPr>
        <w:t>Provides training to</w:t>
      </w:r>
    </w:p>
    <w:p>
      <w:r>
        <w:br w:type="page"/>
      </w:r>
    </w:p>
    <w:p>
      <w:pPr>
        <w:spacing w:after="60"/>
        <w:jc w:val="right"/>
        <w:bidi/>
      </w:pPr>
      <w:r>
        <w:rPr>
          <w:rFonts w:ascii="Arial" w:hAnsi="Arial"/>
          <w:b/>
          <w:color w:val="1F4D78"/>
          <w:sz w:val="19"/>
        </w:rPr>
        <w:t>هفتهٔ 400  |  صفحهٔ منبع: 416</w:t>
      </w:r>
    </w:p>
    <w:p>
      <w:pPr>
        <w:spacing w:after="20" w:line="223" w:lineRule="auto"/>
        <w:jc w:val="right"/>
        <w:bidi/>
      </w:pPr>
      <w:r>
        <w:rPr>
          <w:rFonts w:ascii="Arial" w:hAnsi="Arial"/>
          <w:sz w:val="16"/>
        </w:rPr>
        <w:t>400.01  PTLها و افسران رابط پزشکی برنامه تناسب اندام، این شامل آموزش اولیه و تجدید است.</w:t>
      </w:r>
    </w:p>
    <w:p>
      <w:pPr>
        <w:spacing w:after="28" w:line="216" w:lineRule="auto"/>
        <w:ind w:left="259"/>
        <w:jc w:val="left"/>
      </w:pPr>
      <w:r>
        <w:rPr>
          <w:rFonts w:ascii="Arial" w:hAnsi="Arial"/>
          <w:color w:val="525252"/>
          <w:sz w:val="13"/>
        </w:rPr>
        <w:t>PTLs and Fitness Program Medical Liaison Officers, this includes initial and refresher training.</w:t>
      </w:r>
    </w:p>
    <w:p>
      <w:pPr>
        <w:spacing w:after="20" w:line="223" w:lineRule="auto"/>
        <w:jc w:val="right"/>
        <w:bidi/>
      </w:pPr>
      <w:r>
        <w:rPr>
          <w:rFonts w:ascii="Arial" w:hAnsi="Arial"/>
          <w:sz w:val="16"/>
        </w:rPr>
        <w:t>400.02  بازدیدهای کمکی کارکنان را در واحد PFP بنا به درخواست فرماندهان (یا مشابه) انجام می‌دهد.</w:t>
      </w:r>
    </w:p>
    <w:p>
      <w:pPr>
        <w:spacing w:after="28" w:line="216" w:lineRule="auto"/>
        <w:ind w:left="259"/>
        <w:jc w:val="left"/>
      </w:pPr>
      <w:r>
        <w:rPr>
          <w:rFonts w:ascii="Arial" w:hAnsi="Arial"/>
          <w:color w:val="525252"/>
          <w:sz w:val="13"/>
        </w:rPr>
        <w:t>Conducts staff assistance visits on unit PFP at the request of commanders (or equivalent).</w:t>
      </w:r>
    </w:p>
    <w:p>
      <w:pPr>
        <w:spacing w:after="20" w:line="223" w:lineRule="auto"/>
        <w:jc w:val="right"/>
        <w:bidi/>
      </w:pPr>
      <w:r>
        <w:rPr>
          <w:rFonts w:ascii="Arial" w:hAnsi="Arial"/>
          <w:sz w:val="16"/>
        </w:rPr>
        <w:t>400.03  اسناد توصیه‌های مربوط به فرم ۴۲۲ AF، اعلان وضعیت صلاحیت عضو نیروی هوایی، هنگامی که یک هواپیمای توسط ارائه‌دهنده مراقبت‌های بهداشتی، UFPM، فرمانده، یا خود ارجاع داده می‌شود، ارائه می‌شود.</w:t>
      </w:r>
    </w:p>
    <w:p>
      <w:pPr>
        <w:spacing w:after="28" w:line="216" w:lineRule="auto"/>
        <w:ind w:left="259"/>
        <w:jc w:val="left"/>
      </w:pPr>
      <w:r>
        <w:rPr>
          <w:rFonts w:ascii="Arial" w:hAnsi="Arial"/>
          <w:color w:val="525252"/>
          <w:sz w:val="13"/>
        </w:rPr>
        <w:t>Documents exercise recommendations on AF Form 422, Notification of Air Force Member’s Qualification Status, when an Airman is referred by their healthcare provider, UFPM, Commander, or self-referral.</w:t>
      </w:r>
    </w:p>
    <w:p>
      <w:pPr>
        <w:spacing w:after="20" w:line="223" w:lineRule="auto"/>
        <w:jc w:val="right"/>
        <w:bidi/>
      </w:pPr>
      <w:r>
        <w:rPr>
          <w:rFonts w:ascii="Arial" w:hAnsi="Arial"/>
          <w:sz w:val="16"/>
        </w:rPr>
        <w:t>400.04  در کارگروه در دسترس بودن استقرار نصب شرکت می‌کند.</w:t>
      </w:r>
    </w:p>
    <w:p>
      <w:pPr>
        <w:spacing w:after="28" w:line="216" w:lineRule="auto"/>
        <w:ind w:left="259"/>
        <w:jc w:val="left"/>
      </w:pPr>
      <w:r>
        <w:rPr>
          <w:rFonts w:ascii="Arial" w:hAnsi="Arial"/>
          <w:color w:val="525252"/>
          <w:sz w:val="13"/>
        </w:rPr>
        <w:t>Participates in the Installation Deployment Availability Working Group.</w:t>
      </w:r>
    </w:p>
    <w:p>
      <w:pPr>
        <w:spacing w:after="20" w:line="223" w:lineRule="auto"/>
        <w:jc w:val="right"/>
        <w:bidi/>
      </w:pPr>
      <w:r>
        <w:rPr>
          <w:rFonts w:ascii="Arial" w:hAnsi="Arial"/>
          <w:sz w:val="16"/>
        </w:rPr>
        <w:t>400.05  هماهنگ کننده برنامه تناسب اندام فرماندهی رزرو نیروی هوایی (AFRC).</w:t>
      </w:r>
    </w:p>
    <w:p>
      <w:pPr>
        <w:spacing w:after="28" w:line="216" w:lineRule="auto"/>
        <w:ind w:left="259"/>
        <w:jc w:val="left"/>
      </w:pPr>
      <w:r>
        <w:rPr>
          <w:rFonts w:ascii="Arial" w:hAnsi="Arial"/>
          <w:color w:val="525252"/>
          <w:sz w:val="13"/>
        </w:rPr>
        <w:t>Air Force Reserve Command (AFRC) Fitness Program Coordinator.</w:t>
      </w:r>
    </w:p>
    <w:p>
      <w:pPr>
        <w:spacing w:after="20" w:line="223" w:lineRule="auto"/>
        <w:jc w:val="right"/>
        <w:bidi/>
      </w:pPr>
      <w:r>
        <w:rPr>
          <w:rFonts w:ascii="Arial" w:hAnsi="Arial"/>
          <w:sz w:val="16"/>
        </w:rPr>
        <w:t>400.06  افسر ارشد، افسر، یا معادل غیرنظامی منصوب شده توسط AFRC/CC یا AFRC/CD.</w:t>
      </w:r>
    </w:p>
    <w:p>
      <w:pPr>
        <w:spacing w:after="28" w:line="216" w:lineRule="auto"/>
        <w:ind w:left="259"/>
        <w:jc w:val="left"/>
      </w:pPr>
      <w:r>
        <w:rPr>
          <w:rFonts w:ascii="Arial" w:hAnsi="Arial"/>
          <w:color w:val="525252"/>
          <w:sz w:val="13"/>
        </w:rPr>
        <w:t>A senior noncommissioned officer, officer, or civilian equivalent appointed by the AFRC/CC or AFRC/CD.</w:t>
      </w:r>
    </w:p>
    <w:p>
      <w:pPr>
        <w:spacing w:after="20" w:line="223" w:lineRule="auto"/>
        <w:jc w:val="right"/>
        <w:bidi/>
      </w:pPr>
      <w:r>
        <w:rPr>
          <w:rFonts w:ascii="Arial" w:hAnsi="Arial"/>
          <w:sz w:val="16"/>
        </w:rPr>
        <w:t>400.07  رویدادهای نامطلوب مربوط به مشارکت تناسب اندام را به AFRC/SG و AFRC/ا۱ گزارش می‌دهد.</w:t>
      </w:r>
    </w:p>
    <w:p>
      <w:pPr>
        <w:spacing w:after="28" w:line="216" w:lineRule="auto"/>
        <w:ind w:left="259"/>
        <w:jc w:val="left"/>
      </w:pPr>
      <w:r>
        <w:rPr>
          <w:rFonts w:ascii="Arial" w:hAnsi="Arial"/>
          <w:color w:val="525252"/>
          <w:sz w:val="13"/>
        </w:rPr>
        <w:t>Reports adverse events related to fitness participation to AFRC/SG and AFRC/A1.</w:t>
      </w:r>
    </w:p>
    <w:p>
      <w:pPr>
        <w:spacing w:after="20" w:line="223" w:lineRule="auto"/>
        <w:jc w:val="right"/>
        <w:bidi/>
      </w:pPr>
      <w:r>
        <w:rPr>
          <w:rFonts w:ascii="Arial" w:hAnsi="Arial"/>
          <w:sz w:val="16"/>
        </w:rPr>
        <w:t>400.08  نقش‌های UFPM را در میفسس برای AFRC اختصاص می‌دهد.</w:t>
      </w:r>
    </w:p>
    <w:p>
      <w:pPr>
        <w:spacing w:after="28" w:line="216" w:lineRule="auto"/>
        <w:ind w:left="259"/>
        <w:jc w:val="left"/>
      </w:pPr>
      <w:r>
        <w:rPr>
          <w:rFonts w:ascii="Arial" w:hAnsi="Arial"/>
          <w:color w:val="525252"/>
          <w:sz w:val="13"/>
        </w:rPr>
        <w:t>Will assign UFPM roles in myFSS for AFRC.</w:t>
      </w:r>
    </w:p>
    <w:p>
      <w:pPr>
        <w:spacing w:after="20" w:line="223" w:lineRule="auto"/>
        <w:jc w:val="right"/>
        <w:bidi/>
      </w:pPr>
      <w:r>
        <w:rPr>
          <w:rFonts w:ascii="Arial" w:hAnsi="Arial"/>
          <w:sz w:val="16"/>
        </w:rPr>
        <w:t>400.09  اطمینان حاصل می‌کند که مربی PTL گواهینامه‌ها را دنبال می‌کند و فقط آموزش روش ارزیابی تناسب اندام را به افرادی ارائه می‌دهد که کارت گواهینامه احیای قلبی ریوی فعلی را دارند و ارائه می‌دهند.</w:t>
      </w:r>
    </w:p>
    <w:p>
      <w:pPr>
        <w:spacing w:after="28" w:line="216" w:lineRule="auto"/>
        <w:ind w:left="259"/>
        <w:jc w:val="left"/>
      </w:pPr>
      <w:r>
        <w:rPr>
          <w:rFonts w:ascii="Arial" w:hAnsi="Arial"/>
          <w:color w:val="525252"/>
          <w:sz w:val="13"/>
        </w:rPr>
        <w:t>Ensures PTL trainer tracks certifications and only provides fitness assessment procedure training to those individuals who possess and present a current Cardiopulmonary Resuscitation certification card.</w:t>
      </w:r>
    </w:p>
    <w:p>
      <w:pPr>
        <w:spacing w:after="20" w:line="223" w:lineRule="auto"/>
        <w:jc w:val="right"/>
        <w:bidi/>
      </w:pPr>
      <w:r>
        <w:rPr>
          <w:rFonts w:ascii="Arial" w:hAnsi="Arial"/>
          <w:sz w:val="16"/>
        </w:rPr>
        <w:t>400.10  بازدیدهای کمکی ستادی را در برنامه واحد بنا به درخواست فرمانده (یا معادل آن) انجام می‌دهد.</w:t>
      </w:r>
    </w:p>
    <w:p>
      <w:pPr>
        <w:spacing w:after="28" w:line="216" w:lineRule="auto"/>
        <w:ind w:left="259"/>
        <w:jc w:val="left"/>
      </w:pPr>
      <w:r>
        <w:rPr>
          <w:rFonts w:ascii="Arial" w:hAnsi="Arial"/>
          <w:color w:val="525252"/>
          <w:sz w:val="13"/>
        </w:rPr>
        <w:t>Conducts Staff Assistance Visits on the unit program at the request of the commander (or equivalent).</w:t>
      </w:r>
    </w:p>
    <w:p>
      <w:pPr>
        <w:spacing w:after="20" w:line="223" w:lineRule="auto"/>
        <w:jc w:val="right"/>
        <w:bidi/>
      </w:pPr>
      <w:r>
        <w:rPr>
          <w:rFonts w:ascii="Arial" w:hAnsi="Arial"/>
          <w:sz w:val="16"/>
        </w:rPr>
        <w:t>400.11  مدیر برنامه واحد تناسب اندام (UFPM).</w:t>
      </w:r>
    </w:p>
    <w:p>
      <w:pPr>
        <w:spacing w:after="28" w:line="216" w:lineRule="auto"/>
        <w:ind w:left="259"/>
        <w:jc w:val="left"/>
      </w:pPr>
      <w:r>
        <w:rPr>
          <w:rFonts w:ascii="Arial" w:hAnsi="Arial"/>
          <w:color w:val="525252"/>
          <w:sz w:val="13"/>
        </w:rPr>
        <w:t>Unit Fitness Program Manager (UFPM).</w:t>
      </w:r>
    </w:p>
    <w:p>
      <w:pPr>
        <w:spacing w:after="20" w:line="223" w:lineRule="auto"/>
        <w:jc w:val="right"/>
        <w:bidi/>
      </w:pPr>
      <w:r>
        <w:rPr>
          <w:rFonts w:ascii="Arial" w:hAnsi="Arial"/>
          <w:sz w:val="16"/>
        </w:rPr>
        <w:t>400.12  UFPM یک نیروی هوایی است که در برابر فرمانده واحد PFP مسئول است و به‌عنوان رابط بین فرمانده واحد، FAC و مدیر برنامه تناسب اندام عمل می‌کند.</w:t>
      </w:r>
    </w:p>
    <w:p>
      <w:pPr>
        <w:spacing w:after="28" w:line="216" w:lineRule="auto"/>
        <w:ind w:left="259"/>
        <w:jc w:val="left"/>
      </w:pPr>
      <w:r>
        <w:rPr>
          <w:rFonts w:ascii="Arial" w:hAnsi="Arial"/>
          <w:color w:val="525252"/>
          <w:sz w:val="13"/>
        </w:rPr>
        <w:t>The UFPM is a unit Airman who is responsible to the commander for the unit PFP and who serves as the liaison between the unit commander, FAC, and the Fitness Program Manager.</w:t>
      </w:r>
    </w:p>
    <w:p>
      <w:pPr>
        <w:spacing w:after="20" w:line="223" w:lineRule="auto"/>
        <w:jc w:val="right"/>
        <w:bidi/>
      </w:pPr>
      <w:r>
        <w:rPr>
          <w:rFonts w:ascii="Arial" w:hAnsi="Arial"/>
          <w:sz w:val="16"/>
        </w:rPr>
        <w:t>400.13  ممکن است FAC را افزایش دهد تا PFA های رسمی را در صورت آموزش مناسب و منصوب بر اساس DAFMAN ۳۶-۲۹۰۵ انجام دهد.</w:t>
      </w:r>
    </w:p>
    <w:p>
      <w:pPr>
        <w:spacing w:after="28" w:line="216" w:lineRule="auto"/>
        <w:ind w:left="259"/>
        <w:jc w:val="left"/>
      </w:pPr>
      <w:r>
        <w:rPr>
          <w:rFonts w:ascii="Arial" w:hAnsi="Arial"/>
          <w:color w:val="525252"/>
          <w:sz w:val="13"/>
        </w:rPr>
        <w:t>May augment the FAC to conduct official PFAs if properly trained and appointed per DAFMAN 36-2905.</w:t>
      </w:r>
    </w:p>
    <w:p>
      <w:pPr>
        <w:spacing w:after="20" w:line="223" w:lineRule="auto"/>
        <w:jc w:val="right"/>
        <w:bidi/>
      </w:pPr>
      <w:r>
        <w:rPr>
          <w:rFonts w:ascii="Arial" w:hAnsi="Arial"/>
          <w:sz w:val="16"/>
        </w:rPr>
        <w:t>400.14  درخواست‌های زمان‌بندی PFA را در میفیتنسس بررسی و تأیید می‌کند و وضعیت FSQ، AF فورم ۴۶۹ را تأیید می‌کند و معافیت‌ها (در صورت نیاز) را در میفیتنسس وارد می‌کند.</w:t>
      </w:r>
    </w:p>
    <w:p>
      <w:pPr>
        <w:spacing w:after="28" w:line="216" w:lineRule="auto"/>
        <w:ind w:left="259"/>
        <w:jc w:val="left"/>
      </w:pPr>
      <w:r>
        <w:rPr>
          <w:rFonts w:ascii="Arial" w:hAnsi="Arial"/>
          <w:color w:val="525252"/>
          <w:sz w:val="13"/>
        </w:rPr>
        <w:t>Reviews and approves PFA scheduling requests in myFitness and validates FSQ, AF Form 469 status, and enters exemptions (if needed) into myFitness.</w:t>
      </w:r>
    </w:p>
    <w:p>
      <w:pPr>
        <w:spacing w:after="20" w:line="223" w:lineRule="auto"/>
        <w:jc w:val="right"/>
        <w:bidi/>
      </w:pPr>
      <w:r>
        <w:rPr>
          <w:rFonts w:ascii="Arial" w:hAnsi="Arial"/>
          <w:sz w:val="16"/>
        </w:rPr>
        <w:t>400.15  اعضای دارای پاسخ‌های پرخطر در FSQ را به یک ارائه دهنده مناسب برای کمک ارجاع می‌دهد.</w:t>
      </w:r>
    </w:p>
    <w:p>
      <w:pPr>
        <w:spacing w:after="28" w:line="216" w:lineRule="auto"/>
        <w:ind w:left="259"/>
        <w:jc w:val="left"/>
      </w:pPr>
      <w:r>
        <w:rPr>
          <w:rFonts w:ascii="Arial" w:hAnsi="Arial"/>
          <w:color w:val="525252"/>
          <w:sz w:val="13"/>
        </w:rPr>
        <w:t>Refers members with high-risk responses on the FSQ to an appropriate provider for assistance.</w:t>
      </w:r>
    </w:p>
    <w:p>
      <w:pPr>
        <w:spacing w:after="20" w:line="223" w:lineRule="auto"/>
        <w:jc w:val="right"/>
        <w:bidi/>
      </w:pPr>
      <w:r>
        <w:rPr>
          <w:rFonts w:ascii="Arial" w:hAnsi="Arial"/>
          <w:sz w:val="16"/>
        </w:rPr>
        <w:t>400.16  معافیت‌های ورودی در میفیتنسس برای اعضای مستقر شده.</w:t>
      </w:r>
    </w:p>
    <w:p>
      <w:pPr>
        <w:spacing w:after="28" w:line="216" w:lineRule="auto"/>
        <w:ind w:left="259"/>
        <w:jc w:val="left"/>
      </w:pPr>
      <w:r>
        <w:rPr>
          <w:rFonts w:ascii="Arial" w:hAnsi="Arial"/>
          <w:color w:val="525252"/>
          <w:sz w:val="13"/>
        </w:rPr>
        <w:t>Inputs exemptions in myFitness for deployed members.</w:t>
      </w:r>
    </w:p>
    <w:p>
      <w:pPr>
        <w:spacing w:after="20" w:line="223" w:lineRule="auto"/>
        <w:jc w:val="right"/>
        <w:bidi/>
      </w:pPr>
      <w:r>
        <w:rPr>
          <w:rFonts w:ascii="Arial" w:hAnsi="Arial"/>
          <w:sz w:val="16"/>
        </w:rPr>
        <w:t>400.17  به نیروهای هوایی از الزامات برنامه بهبود تناسب اندام (FIP) اطلاع می‌دهد و مشاوره را در میفسس ثبت می‌کند.</w:t>
      </w:r>
    </w:p>
    <w:p>
      <w:pPr>
        <w:spacing w:after="28" w:line="216" w:lineRule="auto"/>
        <w:ind w:left="259"/>
        <w:jc w:val="left"/>
      </w:pPr>
      <w:r>
        <w:rPr>
          <w:rFonts w:ascii="Arial" w:hAnsi="Arial"/>
          <w:color w:val="525252"/>
          <w:sz w:val="13"/>
        </w:rPr>
        <w:t>Informs Airmen of Fitness Improvement Program (FIP) requirements and records counseling in myFSS.</w:t>
      </w:r>
    </w:p>
    <w:p>
      <w:pPr>
        <w:spacing w:after="20" w:line="223" w:lineRule="auto"/>
        <w:jc w:val="right"/>
        <w:bidi/>
      </w:pPr>
      <w:r>
        <w:rPr>
          <w:rFonts w:ascii="Arial" w:hAnsi="Arial"/>
          <w:sz w:val="16"/>
        </w:rPr>
        <w:t>400.18  به فرمانده یگان هوانوردان که برای هر قرار FIP حاضر نشدند، اطلاع می‌دهد.</w:t>
      </w:r>
    </w:p>
    <w:p>
      <w:pPr>
        <w:spacing w:after="28" w:line="216" w:lineRule="auto"/>
        <w:ind w:left="259"/>
        <w:jc w:val="left"/>
      </w:pPr>
      <w:r>
        <w:rPr>
          <w:rFonts w:ascii="Arial" w:hAnsi="Arial"/>
          <w:color w:val="525252"/>
          <w:sz w:val="13"/>
        </w:rPr>
        <w:t>Notifies unit commander of Airmen failing to show for any FIP appointment.</w:t>
      </w:r>
    </w:p>
    <w:p>
      <w:pPr>
        <w:spacing w:after="20" w:line="223" w:lineRule="auto"/>
        <w:jc w:val="right"/>
        <w:bidi/>
      </w:pPr>
      <w:r>
        <w:rPr>
          <w:rFonts w:ascii="Arial" w:hAnsi="Arial"/>
          <w:sz w:val="16"/>
        </w:rPr>
        <w:t>400.19  فایل‌های پرونده PFP را در یک مکان امن راه‌اندازی و نگهداری می‌کند.</w:t>
      </w:r>
    </w:p>
    <w:p>
      <w:pPr>
        <w:spacing w:after="28" w:line="216" w:lineRule="auto"/>
        <w:ind w:left="259"/>
        <w:jc w:val="left"/>
      </w:pPr>
      <w:r>
        <w:rPr>
          <w:rFonts w:ascii="Arial" w:hAnsi="Arial"/>
          <w:color w:val="525252"/>
          <w:sz w:val="13"/>
        </w:rPr>
        <w:t>Initiates and maintains PFP case files in a secured location.</w:t>
      </w:r>
    </w:p>
    <w:p>
      <w:pPr>
        <w:spacing w:after="20" w:line="223" w:lineRule="auto"/>
        <w:jc w:val="right"/>
        <w:bidi/>
      </w:pPr>
      <w:r>
        <w:rPr>
          <w:rFonts w:ascii="Arial" w:hAnsi="Arial"/>
          <w:sz w:val="16"/>
        </w:rPr>
        <w:t>400.20  مطمئن شوید که پرونده‌های باز و بسته تناسب اندام مهر و موم شده و برای فرماندهان نیروی هوایی که به سمت PCS، تغییر دائمی مأموریت یا واحدهای انتقال می‌روند، پست می‌شوند.</w:t>
      </w:r>
    </w:p>
    <w:p>
      <w:pPr>
        <w:spacing w:after="28" w:line="216" w:lineRule="auto"/>
        <w:ind w:left="259"/>
        <w:jc w:val="left"/>
      </w:pPr>
      <w:r>
        <w:rPr>
          <w:rFonts w:ascii="Arial" w:hAnsi="Arial"/>
          <w:color w:val="525252"/>
          <w:sz w:val="13"/>
        </w:rPr>
        <w:t>Ensure open and closed fitness case files are sealed and mailed to the gaining commanders of Airmen departing for PCS, permanent change of assignment, or transferring units.</w:t>
      </w:r>
    </w:p>
    <w:p>
      <w:pPr>
        <w:spacing w:after="20" w:line="223" w:lineRule="auto"/>
        <w:jc w:val="right"/>
        <w:bidi/>
      </w:pPr>
      <w:r>
        <w:rPr>
          <w:rFonts w:ascii="Arial" w:hAnsi="Arial"/>
          <w:sz w:val="16"/>
        </w:rPr>
        <w:t>400.21  UFPM بازنده یک کپی را برای ۹۰ روز تقویمی حفظ خواهد کرد.</w:t>
      </w:r>
    </w:p>
    <w:p>
      <w:pPr>
        <w:spacing w:after="28" w:line="216" w:lineRule="auto"/>
        <w:ind w:left="259"/>
        <w:jc w:val="left"/>
      </w:pPr>
      <w:r>
        <w:rPr>
          <w:rFonts w:ascii="Arial" w:hAnsi="Arial"/>
          <w:color w:val="525252"/>
          <w:sz w:val="13"/>
        </w:rPr>
        <w:t>The losing UFPM will retain a copy for 90 calendar days.</w:t>
      </w:r>
    </w:p>
    <w:p>
      <w:pPr>
        <w:spacing w:after="20" w:line="223" w:lineRule="auto"/>
        <w:jc w:val="right"/>
        <w:bidi/>
      </w:pPr>
      <w:r>
        <w:rPr>
          <w:rFonts w:ascii="Arial" w:hAnsi="Arial"/>
          <w:sz w:val="16"/>
        </w:rPr>
        <w:t>400.22  ماهانه معیارهای تناسب اندام و گزارش وضعیت واحد را به فرمانده واحد و سایر رهبران ارائه می‌دهد.</w:t>
      </w:r>
    </w:p>
    <w:p>
      <w:pPr>
        <w:spacing w:after="28" w:line="216" w:lineRule="auto"/>
        <w:ind w:left="259"/>
        <w:jc w:val="left"/>
      </w:pPr>
      <w:r>
        <w:rPr>
          <w:rFonts w:ascii="Arial" w:hAnsi="Arial"/>
          <w:color w:val="525252"/>
          <w:sz w:val="13"/>
        </w:rPr>
        <w:t>Provides fitness metrics and unit status report to the unit commander and other leaders monthly.</w:t>
      </w:r>
    </w:p>
    <w:p>
      <w:pPr>
        <w:spacing w:after="20" w:line="223" w:lineRule="auto"/>
        <w:jc w:val="right"/>
        <w:bidi/>
      </w:pPr>
      <w:r>
        <w:rPr>
          <w:rFonts w:ascii="Arial" w:hAnsi="Arial"/>
          <w:sz w:val="16"/>
        </w:rPr>
        <w:t>400.23  یک پرونده در مورد هوانوردانی که PFA خود را کامل نکرده‌اند نگهداری می‌کند.</w:t>
      </w:r>
    </w:p>
    <w:p>
      <w:pPr>
        <w:spacing w:after="28" w:line="216" w:lineRule="auto"/>
        <w:ind w:left="259"/>
        <w:jc w:val="left"/>
      </w:pPr>
      <w:r>
        <w:rPr>
          <w:rFonts w:ascii="Arial" w:hAnsi="Arial"/>
          <w:color w:val="525252"/>
          <w:sz w:val="13"/>
        </w:rPr>
        <w:t>Maintains a case file on Airmen who do not complete their PFA.</w:t>
      </w:r>
    </w:p>
    <w:p>
      <w:pPr>
        <w:spacing w:after="20" w:line="223" w:lineRule="auto"/>
        <w:jc w:val="right"/>
        <w:bidi/>
      </w:pPr>
      <w:r>
        <w:rPr>
          <w:rFonts w:ascii="Arial" w:hAnsi="Arial"/>
          <w:sz w:val="16"/>
        </w:rPr>
        <w:t>400.24  ذخیره نیروی هوایی.</w:t>
      </w:r>
    </w:p>
    <w:p>
      <w:pPr>
        <w:spacing w:after="28" w:line="216" w:lineRule="auto"/>
        <w:ind w:left="259"/>
        <w:jc w:val="left"/>
      </w:pPr>
      <w:r>
        <w:rPr>
          <w:rFonts w:ascii="Arial" w:hAnsi="Arial"/>
          <w:color w:val="525252"/>
          <w:sz w:val="13"/>
        </w:rPr>
        <w:t>Air Force Reserve.</w:t>
      </w:r>
    </w:p>
    <w:p>
      <w:pPr>
        <w:spacing w:after="20" w:line="223" w:lineRule="auto"/>
        <w:jc w:val="right"/>
        <w:bidi/>
      </w:pPr>
      <w:r>
        <w:rPr>
          <w:rFonts w:ascii="Arial" w:hAnsi="Arial"/>
          <w:sz w:val="16"/>
        </w:rPr>
        <w:t>400.25  مدیر برنامه تناسب اندام بال (فیزیولوژیست ورزشی در تاسیسات مستقل AF رسرو) به‌عنوان مخاطب PFP برای واحدهای رزرو نیروی هوایی خدمت خواهد کرد.</w:t>
      </w:r>
    </w:p>
    <w:p>
      <w:pPr>
        <w:spacing w:after="28" w:line="216" w:lineRule="auto"/>
        <w:ind w:left="259"/>
        <w:jc w:val="left"/>
      </w:pPr>
      <w:r>
        <w:rPr>
          <w:rFonts w:ascii="Arial" w:hAnsi="Arial"/>
          <w:color w:val="525252"/>
          <w:sz w:val="13"/>
        </w:rPr>
        <w:t>The Wing Fitness Program Manager (Exercise Physiologist at AF Reserve Standalone Installations) will serve as the PFP contact for Air Force Reserve units.</w:t>
      </w:r>
    </w:p>
    <w:p>
      <w:pPr>
        <w:spacing w:after="20" w:line="223" w:lineRule="auto"/>
        <w:jc w:val="right"/>
        <w:bidi/>
      </w:pPr>
      <w:r>
        <w:rPr>
          <w:rFonts w:ascii="Arial" w:hAnsi="Arial"/>
          <w:sz w:val="16"/>
        </w:rPr>
        <w:t>400.26  طبق درخواست فرمانده یگان، راهنمایی و توصیه‌های کلی در مورد برنامه تربیت بدنی واحد ارائه می‌کند.</w:t>
      </w:r>
    </w:p>
    <w:p>
      <w:pPr>
        <w:spacing w:after="28" w:line="216" w:lineRule="auto"/>
        <w:ind w:left="259"/>
        <w:jc w:val="left"/>
      </w:pPr>
      <w:r>
        <w:rPr>
          <w:rFonts w:ascii="Arial" w:hAnsi="Arial"/>
          <w:color w:val="525252"/>
          <w:sz w:val="13"/>
        </w:rPr>
        <w:t>Provides overall guidance and recommendations on unit physical training program as requested by the unit commander.</w:t>
      </w:r>
    </w:p>
    <w:p>
      <w:pPr>
        <w:spacing w:after="20" w:line="223" w:lineRule="auto"/>
        <w:jc w:val="right"/>
        <w:bidi/>
      </w:pPr>
      <w:r>
        <w:rPr>
          <w:rFonts w:ascii="Arial" w:hAnsi="Arial"/>
          <w:sz w:val="16"/>
        </w:rPr>
        <w:t>400.27  با هماهنگ کننده برنامه تناسب اندام فرماندهی رزرو نیروی هوایی برای گزارش رویدادهای نامطلوب مرتبط با مشارکت تناسب اندام هماهنگ می‌کند.</w:t>
      </w:r>
    </w:p>
    <w:p>
      <w:pPr>
        <w:spacing w:after="28" w:line="216" w:lineRule="auto"/>
        <w:ind w:left="259"/>
        <w:jc w:val="left"/>
      </w:pPr>
      <w:r>
        <w:rPr>
          <w:rFonts w:ascii="Arial" w:hAnsi="Arial"/>
          <w:color w:val="525252"/>
          <w:sz w:val="13"/>
        </w:rPr>
        <w:t>Coordinates with Air Force Reserve Command Fitness Program Coordinator to report adverse events related to fitness participation.</w:t>
      </w:r>
    </w:p>
    <w:p>
      <w:pPr>
        <w:spacing w:after="20" w:line="223" w:lineRule="auto"/>
        <w:jc w:val="right"/>
        <w:bidi/>
      </w:pPr>
      <w:r>
        <w:rPr>
          <w:rFonts w:ascii="Arial" w:hAnsi="Arial"/>
          <w:sz w:val="16"/>
        </w:rPr>
        <w:t>400.28  گزارش به AFRC/SGPH و AFRC/ا۱ ارائه شده است.</w:t>
      </w:r>
    </w:p>
    <w:p>
      <w:pPr>
        <w:spacing w:after="28" w:line="216" w:lineRule="auto"/>
        <w:ind w:left="259"/>
        <w:jc w:val="left"/>
      </w:pPr>
      <w:r>
        <w:rPr>
          <w:rFonts w:ascii="Arial" w:hAnsi="Arial"/>
          <w:color w:val="525252"/>
          <w:sz w:val="13"/>
        </w:rPr>
        <w:t>The report is provided to AFRC/SGPH and AFRC/A1.</w:t>
      </w:r>
    </w:p>
    <w:p>
      <w:pPr>
        <w:spacing w:after="20" w:line="223" w:lineRule="auto"/>
        <w:jc w:val="right"/>
        <w:bidi/>
      </w:pPr>
      <w:r>
        <w:rPr>
          <w:rFonts w:ascii="Arial" w:hAnsi="Arial"/>
          <w:sz w:val="16"/>
        </w:rPr>
        <w:t>400.29  نقش‌های میفسس UFPM را به اعضای داخل بال اختصاص می‌دهد.</w:t>
      </w:r>
    </w:p>
    <w:p>
      <w:pPr>
        <w:spacing w:after="28" w:line="216" w:lineRule="auto"/>
        <w:ind w:left="259"/>
        <w:jc w:val="left"/>
      </w:pPr>
      <w:r>
        <w:rPr>
          <w:rFonts w:ascii="Arial" w:hAnsi="Arial"/>
          <w:color w:val="525252"/>
          <w:sz w:val="13"/>
        </w:rPr>
        <w:t>Assigns myFSS UFPM roles for members within the wing.</w:t>
      </w:r>
    </w:p>
    <w:p>
      <w:pPr>
        <w:spacing w:after="20" w:line="223" w:lineRule="auto"/>
        <w:jc w:val="right"/>
        <w:bidi/>
      </w:pPr>
      <w:r>
        <w:rPr>
          <w:rFonts w:ascii="Arial" w:hAnsi="Arial"/>
          <w:sz w:val="16"/>
        </w:rPr>
        <w:t>400.30  فیزیولوژیست ورزش AFR (EP).</w:t>
      </w:r>
    </w:p>
    <w:p>
      <w:pPr>
        <w:spacing w:after="28" w:line="216" w:lineRule="auto"/>
        <w:ind w:left="259"/>
        <w:jc w:val="left"/>
      </w:pPr>
      <w:r>
        <w:rPr>
          <w:rFonts w:ascii="Arial" w:hAnsi="Arial"/>
          <w:color w:val="525252"/>
          <w:sz w:val="13"/>
        </w:rPr>
        <w:t>AFR Exercise Physiologist (EP).</w:t>
      </w:r>
    </w:p>
    <w:p>
      <w:pPr>
        <w:spacing w:after="20" w:line="223" w:lineRule="auto"/>
        <w:jc w:val="right"/>
        <w:bidi/>
      </w:pPr>
      <w:r>
        <w:rPr>
          <w:rFonts w:ascii="Arial" w:hAnsi="Arial"/>
          <w:sz w:val="16"/>
        </w:rPr>
        <w:t>400.31  به‌عنوان مدیر تناسب اندام و ارتقای سلامت نصب مستقل AFR خدمت می‌کند و SME برای برنامه تناسب اندام نصب است.</w:t>
      </w:r>
    </w:p>
    <w:p>
      <w:pPr>
        <w:spacing w:after="28" w:line="216" w:lineRule="auto"/>
        <w:ind w:left="259"/>
        <w:jc w:val="left"/>
      </w:pPr>
      <w:r>
        <w:rPr>
          <w:rFonts w:ascii="Arial" w:hAnsi="Arial"/>
          <w:color w:val="525252"/>
          <w:sz w:val="13"/>
        </w:rPr>
        <w:t>Serves as the AFR Stand-alone Installation Fitness and Health Promotion Manager and is the SME for the Installation Fitness Program.</w:t>
      </w:r>
    </w:p>
    <w:p>
      <w:pPr>
        <w:spacing w:after="20" w:line="223" w:lineRule="auto"/>
        <w:jc w:val="right"/>
        <w:bidi/>
      </w:pPr>
      <w:r>
        <w:rPr>
          <w:rFonts w:ascii="Arial" w:hAnsi="Arial"/>
          <w:sz w:val="16"/>
        </w:rPr>
        <w:t>400.32  مدیر تناسب اندام و ارتقای سلامت، برنامه جامع آمادگی جسمانی/پزشکی ورزشی، ارزیابی تناسب اندام و سلامت، آموزش و برنامه مداخله را با هدف ارتقای آمادگی رزمی اعضای ذخیره AF، یماس، رگاف تعیین شده و ارتقای کلی تناسب اندام/سلامتی (بازنشستگان، بازنشستگان، دپارتمان‌های دفاعی و غیر نظامیان) طراحی، اجرا و گزارش خواهد داد.</w:t>
      </w:r>
    </w:p>
    <w:p>
      <w:pPr>
        <w:spacing w:after="28" w:line="216" w:lineRule="auto"/>
        <w:ind w:left="259"/>
        <w:jc w:val="left"/>
      </w:pPr>
      <w:r>
        <w:rPr>
          <w:rFonts w:ascii="Arial" w:hAnsi="Arial"/>
          <w:color w:val="525252"/>
          <w:sz w:val="13"/>
        </w:rPr>
        <w:t>The Fitness and Health Promotion Manager will design, implement, and report comprehensive physical fitness/sports medicine program, fitness and health assessment, education, and intervention program aimed at enhancing combat readiness of AF Reserve members, IMAs, RegAF assigned and overall fitness/health promotion of dependents, Department of Defense (DoD) civilians, and retirees of the installation.</w:t>
      </w:r>
    </w:p>
    <w:p>
      <w:pPr>
        <w:spacing w:after="20" w:line="223" w:lineRule="auto"/>
        <w:jc w:val="right"/>
        <w:bidi/>
      </w:pPr>
      <w:r>
        <w:rPr>
          <w:rFonts w:ascii="Arial" w:hAnsi="Arial"/>
          <w:sz w:val="16"/>
        </w:rPr>
        <w:t>400.33  مدیر سلول ارزیابی تناسب اندام (FAC).</w:t>
      </w:r>
    </w:p>
    <w:p>
      <w:pPr>
        <w:spacing w:after="28" w:line="216" w:lineRule="auto"/>
        <w:ind w:left="259"/>
        <w:jc w:val="left"/>
      </w:pPr>
      <w:r>
        <w:rPr>
          <w:rFonts w:ascii="Arial" w:hAnsi="Arial"/>
          <w:color w:val="525252"/>
          <w:sz w:val="13"/>
        </w:rPr>
        <w:t>Fitness Assessment Cell (FAC) Manager.</w:t>
      </w:r>
    </w:p>
    <w:p>
      <w:pPr>
        <w:spacing w:after="20" w:line="223" w:lineRule="auto"/>
        <w:jc w:val="right"/>
        <w:bidi/>
      </w:pPr>
      <w:r>
        <w:rPr>
          <w:rFonts w:ascii="Arial" w:hAnsi="Arial"/>
          <w:sz w:val="16"/>
        </w:rPr>
        <w:t>400.34  بر عملکرد FAC های نصب نظارت می‌کند و اطمینان می‌دهد که تمام مراحل با این راهنما مطابقت دارد.</w:t>
      </w:r>
    </w:p>
    <w:p>
      <w:pPr>
        <w:spacing w:after="28" w:line="216" w:lineRule="auto"/>
        <w:ind w:left="259"/>
        <w:jc w:val="left"/>
      </w:pPr>
      <w:r>
        <w:rPr>
          <w:rFonts w:ascii="Arial" w:hAnsi="Arial"/>
          <w:color w:val="525252"/>
          <w:sz w:val="13"/>
        </w:rPr>
        <w:t>Oversees the operation of the installation FACs and ensures all procedures are in compliance with this manual.</w:t>
      </w:r>
    </w:p>
    <w:p>
      <w:pPr>
        <w:spacing w:after="20" w:line="223" w:lineRule="auto"/>
        <w:jc w:val="right"/>
        <w:bidi/>
      </w:pPr>
      <w:r>
        <w:rPr>
          <w:rFonts w:ascii="Arial" w:hAnsi="Arial"/>
          <w:sz w:val="16"/>
        </w:rPr>
        <w:t>400.35  دارای گواهینامه PTL است.</w:t>
      </w:r>
    </w:p>
    <w:p>
      <w:pPr>
        <w:spacing w:after="28" w:line="216" w:lineRule="auto"/>
        <w:ind w:left="259"/>
        <w:jc w:val="left"/>
      </w:pPr>
      <w:r>
        <w:rPr>
          <w:rFonts w:ascii="Arial" w:hAnsi="Arial"/>
          <w:color w:val="525252"/>
          <w:sz w:val="13"/>
        </w:rPr>
        <w:t>Maintains PTL certification.</w:t>
      </w:r>
    </w:p>
    <w:p>
      <w:pPr>
        <w:spacing w:after="20" w:line="223" w:lineRule="auto"/>
        <w:jc w:val="right"/>
        <w:bidi/>
      </w:pPr>
      <w:r>
        <w:rPr>
          <w:rFonts w:ascii="Arial" w:hAnsi="Arial"/>
          <w:sz w:val="16"/>
        </w:rPr>
        <w:t>400.36  توجه: FAC تحت FSS متمرکز است و توسط PTL های نصب تقویت می‌شود.</w:t>
      </w:r>
    </w:p>
    <w:p>
      <w:pPr>
        <w:spacing w:after="28" w:line="216" w:lineRule="auto"/>
        <w:ind w:left="259"/>
        <w:jc w:val="left"/>
      </w:pPr>
      <w:r>
        <w:rPr>
          <w:rFonts w:ascii="Arial" w:hAnsi="Arial"/>
          <w:color w:val="525252"/>
          <w:sz w:val="13"/>
        </w:rPr>
        <w:t>Note: The FAC is centralized under the FSS and augmented by installation PTLs.</w:t>
      </w:r>
    </w:p>
    <w:p>
      <w:pPr>
        <w:spacing w:after="20" w:line="223" w:lineRule="auto"/>
        <w:jc w:val="right"/>
        <w:bidi/>
      </w:pPr>
      <w:r>
        <w:rPr>
          <w:rFonts w:ascii="Arial" w:hAnsi="Arial"/>
          <w:sz w:val="16"/>
        </w:rPr>
        <w:t>400.37  FAC PFA ها را انجام می‌دهد و امتیازات را در میفیتنسس وارد می‌کند.</w:t>
      </w:r>
    </w:p>
    <w:p>
      <w:pPr>
        <w:spacing w:after="28" w:line="216" w:lineRule="auto"/>
        <w:ind w:left="259"/>
        <w:jc w:val="left"/>
      </w:pPr>
      <w:r>
        <w:rPr>
          <w:rFonts w:ascii="Arial" w:hAnsi="Arial"/>
          <w:color w:val="525252"/>
          <w:sz w:val="13"/>
        </w:rPr>
        <w:t>FAC conducts PFAs and inputs scores in myFitness.</w:t>
      </w:r>
    </w:p>
    <w:p>
      <w:pPr>
        <w:spacing w:after="20" w:line="223" w:lineRule="auto"/>
        <w:jc w:val="right"/>
        <w:bidi/>
      </w:pPr>
      <w:r>
        <w:rPr>
          <w:rFonts w:ascii="Arial" w:hAnsi="Arial"/>
          <w:sz w:val="16"/>
        </w:rPr>
        <w:t>400.38  توجه: ممکن است نقش FIM را بر عهده بگیرد.</w:t>
      </w:r>
    </w:p>
    <w:p>
      <w:pPr>
        <w:spacing w:after="28" w:line="216" w:lineRule="auto"/>
        <w:ind w:left="259"/>
        <w:jc w:val="left"/>
      </w:pPr>
      <w:r>
        <w:rPr>
          <w:rFonts w:ascii="Arial" w:hAnsi="Arial"/>
          <w:color w:val="525252"/>
          <w:sz w:val="13"/>
        </w:rPr>
        <w:t>Note: May take the role of FIM.</w:t>
      </w:r>
    </w:p>
    <w:p>
      <w:pPr>
        <w:spacing w:after="20" w:line="223" w:lineRule="auto"/>
        <w:jc w:val="right"/>
        <w:bidi/>
      </w:pPr>
      <w:r>
        <w:rPr>
          <w:rFonts w:ascii="Arial" w:hAnsi="Arial"/>
          <w:sz w:val="16"/>
        </w:rPr>
        <w:t>400.39  درجه‌دار، درجه‌دار ارشد یا افسر درجه صحرایی هر کد تخصصی نیروی هوایی که به‌طور کتبی توسط فرمانده نصب، فرمانده بال ARC یا معادل آن منصوب می‌شود.</w:t>
      </w:r>
    </w:p>
    <w:p>
      <w:pPr>
        <w:spacing w:after="28" w:line="216" w:lineRule="auto"/>
        <w:ind w:left="259"/>
        <w:jc w:val="left"/>
      </w:pPr>
      <w:r>
        <w:rPr>
          <w:rFonts w:ascii="Arial" w:hAnsi="Arial"/>
          <w:color w:val="525252"/>
          <w:sz w:val="13"/>
        </w:rPr>
        <w:t>A noncommissioned officer, senior noncommissioned officer, or field grade officer of any Air Force specialty code appointed in writing by Installation commander, ARC wing commander, or equivalent.</w:t>
      </w:r>
    </w:p>
    <w:p>
      <w:pPr>
        <w:spacing w:after="20" w:line="223" w:lineRule="auto"/>
        <w:jc w:val="right"/>
        <w:bidi/>
      </w:pPr>
      <w:r>
        <w:rPr>
          <w:rFonts w:ascii="Arial" w:hAnsi="Arial"/>
          <w:sz w:val="16"/>
        </w:rPr>
        <w:t>400.40  استثنا: در پایگاه‌های ARC مستقل، فیزیولوژیست ورزش وظایف FIM را انجام خواهد داد.</w:t>
      </w:r>
    </w:p>
    <w:p>
      <w:pPr>
        <w:spacing w:after="28" w:line="216" w:lineRule="auto"/>
        <w:ind w:left="259"/>
        <w:jc w:val="left"/>
      </w:pPr>
      <w:r>
        <w:rPr>
          <w:rFonts w:ascii="Arial" w:hAnsi="Arial"/>
          <w:color w:val="525252"/>
          <w:sz w:val="13"/>
        </w:rPr>
        <w:t>Exception: At stand- alone ARC bases, the Exercise Physiologist will perform the FIM duties.</w:t>
      </w:r>
    </w:p>
    <w:p>
      <w:pPr>
        <w:spacing w:after="20" w:line="223" w:lineRule="auto"/>
        <w:jc w:val="right"/>
        <w:bidi/>
      </w:pPr>
      <w:r>
        <w:rPr>
          <w:rFonts w:ascii="Arial" w:hAnsi="Arial"/>
          <w:sz w:val="16"/>
        </w:rPr>
        <w:t>400.41  UFPM ها و</w:t>
      </w:r>
    </w:p>
    <w:p>
      <w:pPr>
        <w:spacing w:after="28" w:line="216" w:lineRule="auto"/>
        <w:ind w:left="259"/>
        <w:jc w:val="left"/>
      </w:pPr>
      <w:r>
        <w:rPr>
          <w:rFonts w:ascii="Arial" w:hAnsi="Arial"/>
          <w:color w:val="525252"/>
          <w:sz w:val="13"/>
        </w:rPr>
        <w:t>Trains UFPMs and</w:t>
      </w:r>
    </w:p>
    <w:p>
      <w:r>
        <w:br w:type="page"/>
      </w:r>
    </w:p>
    <w:p>
      <w:pPr>
        <w:spacing w:after="60"/>
        <w:jc w:val="right"/>
        <w:bidi/>
      </w:pPr>
      <w:r>
        <w:rPr>
          <w:rFonts w:ascii="Arial" w:hAnsi="Arial"/>
          <w:b/>
          <w:color w:val="1F4D78"/>
          <w:sz w:val="19"/>
        </w:rPr>
        <w:t>هفتهٔ 401  |  صفحهٔ منبع: 417</w:t>
      </w:r>
    </w:p>
    <w:p>
      <w:pPr>
        <w:spacing w:after="20" w:line="223" w:lineRule="auto"/>
        <w:jc w:val="right"/>
        <w:bidi/>
      </w:pPr>
      <w:r>
        <w:rPr>
          <w:rFonts w:ascii="Arial" w:hAnsi="Arial"/>
          <w:sz w:val="16"/>
        </w:rPr>
        <w:t>401.01  UFAC در مورد مسئولیت‌های خود، روش‌های ارزیابی تناسب اندام، میفیتنسس و گزارش‌های واحد متریک.</w:t>
      </w:r>
    </w:p>
    <w:p>
      <w:pPr>
        <w:spacing w:after="28" w:line="216" w:lineRule="auto"/>
        <w:ind w:left="259"/>
        <w:jc w:val="left"/>
      </w:pPr>
      <w:r>
        <w:rPr>
          <w:rFonts w:ascii="Arial" w:hAnsi="Arial"/>
          <w:color w:val="525252"/>
          <w:sz w:val="13"/>
        </w:rPr>
        <w:t>UFACs on their responsibilities, fitness assessment procedures, myFitness, and unit metric reports.</w:t>
      </w:r>
    </w:p>
    <w:p>
      <w:pPr>
        <w:spacing w:after="20" w:line="223" w:lineRule="auto"/>
        <w:jc w:val="right"/>
        <w:bidi/>
      </w:pPr>
      <w:r>
        <w:rPr>
          <w:rFonts w:ascii="Arial" w:hAnsi="Arial"/>
          <w:sz w:val="16"/>
        </w:rPr>
        <w:t>401.02  در صورت لزوم و قبل از انجام ارزیابی‌های تناسب اندام، آموزش تجدید PTL را به همه تقویت کنندگان FAC ارائه می‌دهد.</w:t>
      </w:r>
    </w:p>
    <w:p>
      <w:pPr>
        <w:spacing w:after="28" w:line="216" w:lineRule="auto"/>
        <w:ind w:left="259"/>
        <w:jc w:val="left"/>
      </w:pPr>
      <w:r>
        <w:rPr>
          <w:rFonts w:ascii="Arial" w:hAnsi="Arial"/>
          <w:color w:val="525252"/>
          <w:sz w:val="13"/>
        </w:rPr>
        <w:t>Provides PTL refresher training to all FAC augmentees as necessary and prior to administering fitness assessments.</w:t>
      </w:r>
    </w:p>
    <w:p>
      <w:pPr>
        <w:spacing w:after="20" w:line="223" w:lineRule="auto"/>
        <w:jc w:val="right"/>
        <w:bidi/>
      </w:pPr>
      <w:r>
        <w:rPr>
          <w:rFonts w:ascii="Arial" w:hAnsi="Arial"/>
          <w:sz w:val="16"/>
        </w:rPr>
        <w:t>401.03  تاریخ و زمان تست را برای ارزیابی تناسب اندام در میفیتنسس ارائه می‌دهد.</w:t>
      </w:r>
    </w:p>
    <w:p>
      <w:pPr>
        <w:spacing w:after="28" w:line="216" w:lineRule="auto"/>
        <w:ind w:left="259"/>
        <w:jc w:val="left"/>
      </w:pPr>
      <w:r>
        <w:rPr>
          <w:rFonts w:ascii="Arial" w:hAnsi="Arial"/>
          <w:color w:val="525252"/>
          <w:sz w:val="13"/>
        </w:rPr>
        <w:t>Provides testing dates and times for fitness assessments in myFitness.</w:t>
      </w:r>
    </w:p>
    <w:p>
      <w:pPr>
        <w:spacing w:after="20" w:line="223" w:lineRule="auto"/>
        <w:jc w:val="right"/>
        <w:bidi/>
      </w:pPr>
      <w:r>
        <w:rPr>
          <w:rFonts w:ascii="Arial" w:hAnsi="Arial"/>
          <w:sz w:val="16"/>
        </w:rPr>
        <w:t>401.04  سلول ارزیابی تناسب اندام (FAC) اوگمنتی.</w:t>
      </w:r>
    </w:p>
    <w:p>
      <w:pPr>
        <w:spacing w:after="28" w:line="216" w:lineRule="auto"/>
        <w:ind w:left="259"/>
        <w:jc w:val="left"/>
      </w:pPr>
      <w:r>
        <w:rPr>
          <w:rFonts w:ascii="Arial" w:hAnsi="Arial"/>
          <w:color w:val="525252"/>
          <w:sz w:val="13"/>
        </w:rPr>
        <w:t>Fitness Assessment Cell (FAC) Augmentee.</w:t>
      </w:r>
    </w:p>
    <w:p>
      <w:pPr>
        <w:spacing w:after="20" w:line="223" w:lineRule="auto"/>
        <w:jc w:val="right"/>
        <w:bidi/>
      </w:pPr>
      <w:r>
        <w:rPr>
          <w:rFonts w:ascii="Arial" w:hAnsi="Arial"/>
          <w:sz w:val="16"/>
        </w:rPr>
        <w:t>401.05  هوانوردان آموزش دیده برای نظارت و مدیریت ارزیابی‌های تناسب اندام.</w:t>
      </w:r>
    </w:p>
    <w:p>
      <w:pPr>
        <w:spacing w:after="28" w:line="216" w:lineRule="auto"/>
        <w:ind w:left="259"/>
        <w:jc w:val="left"/>
      </w:pPr>
      <w:r>
        <w:rPr>
          <w:rFonts w:ascii="Arial" w:hAnsi="Arial"/>
          <w:color w:val="525252"/>
          <w:sz w:val="13"/>
        </w:rPr>
        <w:t>Airmen trained to oversee and administer fitness assessments.</w:t>
      </w:r>
    </w:p>
    <w:p>
      <w:pPr>
        <w:spacing w:after="20" w:line="223" w:lineRule="auto"/>
        <w:jc w:val="right"/>
        <w:bidi/>
      </w:pPr>
      <w:r>
        <w:rPr>
          <w:rFonts w:ascii="Arial" w:hAnsi="Arial"/>
          <w:sz w:val="16"/>
        </w:rPr>
        <w:t>401.06  این یک وظیفه اضافی است و با هیچ کد تخصصی نیروی هوایی مرتبط نیست.</w:t>
      </w:r>
    </w:p>
    <w:p>
      <w:pPr>
        <w:spacing w:after="28" w:line="216" w:lineRule="auto"/>
        <w:ind w:left="259"/>
        <w:jc w:val="left"/>
      </w:pPr>
      <w:r>
        <w:rPr>
          <w:rFonts w:ascii="Arial" w:hAnsi="Arial"/>
          <w:color w:val="525252"/>
          <w:sz w:val="13"/>
        </w:rPr>
        <w:t>This is an additional duty and not associated with any Air Force specialty code.</w:t>
      </w:r>
    </w:p>
    <w:p>
      <w:pPr>
        <w:spacing w:after="20" w:line="223" w:lineRule="auto"/>
        <w:jc w:val="right"/>
        <w:bidi/>
      </w:pPr>
      <w:r>
        <w:rPr>
          <w:rFonts w:ascii="Arial" w:hAnsi="Arial"/>
          <w:sz w:val="16"/>
        </w:rPr>
        <w:t>401.07  هر PTL انتخاب شده برای تقویت FAC در ارزیابی‌های تناسب اندام به‌عنوان تقویت کننده FAC شناخته می‌شود.</w:t>
      </w:r>
    </w:p>
    <w:p>
      <w:pPr>
        <w:spacing w:after="28" w:line="216" w:lineRule="auto"/>
        <w:ind w:left="259"/>
        <w:jc w:val="left"/>
      </w:pPr>
      <w:r>
        <w:rPr>
          <w:rFonts w:ascii="Arial" w:hAnsi="Arial"/>
          <w:color w:val="525252"/>
          <w:sz w:val="13"/>
        </w:rPr>
        <w:t>Any PTLs selected to augment the FAC in the administration of fitness assessments are known as FAC augmentees.</w:t>
      </w:r>
    </w:p>
    <w:p>
      <w:pPr>
        <w:spacing w:after="20" w:line="223" w:lineRule="auto"/>
        <w:jc w:val="right"/>
        <w:bidi/>
      </w:pPr>
      <w:r>
        <w:rPr>
          <w:rFonts w:ascii="Arial" w:hAnsi="Arial"/>
          <w:sz w:val="16"/>
        </w:rPr>
        <w:t>401.08  بر هوانوردانی که اجزای PFA را هدایت می‌کنند، با نسبتی بیش از ۱۲ نیروی هوایی برای هر یک افزایش دهنده FAC نظارت می‌کند.</w:t>
      </w:r>
    </w:p>
    <w:p>
      <w:pPr>
        <w:spacing w:after="28" w:line="216" w:lineRule="auto"/>
        <w:ind w:left="259"/>
        <w:jc w:val="left"/>
      </w:pPr>
      <w:r>
        <w:rPr>
          <w:rFonts w:ascii="Arial" w:hAnsi="Arial"/>
          <w:color w:val="525252"/>
          <w:sz w:val="13"/>
        </w:rPr>
        <w:t>Supervises Airmen conducting components of the PFA at a ratio of no more than 12 Airmen for every one FAC augmentee.</w:t>
      </w:r>
    </w:p>
    <w:p>
      <w:pPr>
        <w:spacing w:after="20" w:line="223" w:lineRule="auto"/>
        <w:jc w:val="right"/>
        <w:bidi/>
      </w:pPr>
      <w:r>
        <w:rPr>
          <w:rFonts w:ascii="Arial" w:hAnsi="Arial"/>
          <w:sz w:val="16"/>
        </w:rPr>
        <w:t>401.09  نتایج ارزیابی تناسب اندام را روی فرم ۴۴۴۶ DAF کپی اسناد و امضا می‌کند و پس از اطمینان از تکمیل صحیح آن، امضای عضو نیروی هوایی را دریافت می‌کند.</w:t>
      </w:r>
    </w:p>
    <w:p>
      <w:pPr>
        <w:spacing w:after="28" w:line="216" w:lineRule="auto"/>
        <w:ind w:left="259"/>
        <w:jc w:val="left"/>
      </w:pPr>
      <w:r>
        <w:rPr>
          <w:rFonts w:ascii="Arial" w:hAnsi="Arial"/>
          <w:color w:val="525252"/>
          <w:sz w:val="13"/>
        </w:rPr>
        <w:t>Documents and signs fitness assessment results on a hard copy DAF Form 4446 and obtains Airman’s signature after ensuring it is completed correctly.</w:t>
      </w:r>
    </w:p>
    <w:p>
      <w:pPr>
        <w:spacing w:after="20" w:line="223" w:lineRule="auto"/>
        <w:jc w:val="right"/>
        <w:bidi/>
      </w:pPr>
      <w:r>
        <w:rPr>
          <w:rFonts w:ascii="Arial" w:hAnsi="Arial"/>
          <w:sz w:val="16"/>
        </w:rPr>
        <w:t>401.10  یک کپی از برگه امتیازات امضا شده را برای سوابق شخصی خود به عضو نیروی هوایی ارائه می‌دهد.</w:t>
      </w:r>
    </w:p>
    <w:p>
      <w:pPr>
        <w:spacing w:after="28" w:line="216" w:lineRule="auto"/>
        <w:ind w:left="259"/>
        <w:jc w:val="left"/>
      </w:pPr>
      <w:r>
        <w:rPr>
          <w:rFonts w:ascii="Arial" w:hAnsi="Arial"/>
          <w:color w:val="525252"/>
          <w:sz w:val="13"/>
        </w:rPr>
        <w:t>Provides a copy of the signed score sheet to the Airman for their personal records.</w:t>
      </w:r>
    </w:p>
    <w:p>
      <w:pPr>
        <w:spacing w:after="20" w:line="223" w:lineRule="auto"/>
        <w:jc w:val="right"/>
        <w:bidi/>
      </w:pPr>
      <w:r>
        <w:rPr>
          <w:rFonts w:ascii="Arial" w:hAnsi="Arial"/>
          <w:sz w:val="16"/>
        </w:rPr>
        <w:t>401.11  توجه: استفاده از فرم ۴۴۴۶ DAF الزامی است.</w:t>
      </w:r>
    </w:p>
    <w:p>
      <w:pPr>
        <w:spacing w:after="28" w:line="216" w:lineRule="auto"/>
        <w:ind w:left="259"/>
        <w:jc w:val="left"/>
      </w:pPr>
      <w:r>
        <w:rPr>
          <w:rFonts w:ascii="Arial" w:hAnsi="Arial"/>
          <w:color w:val="525252"/>
          <w:sz w:val="13"/>
        </w:rPr>
        <w:t>Note: Use of the DAF Form 4446 is mandatory.</w:t>
      </w:r>
    </w:p>
    <w:p>
      <w:pPr>
        <w:spacing w:after="20" w:line="223" w:lineRule="auto"/>
        <w:jc w:val="right"/>
        <w:bidi/>
      </w:pPr>
      <w:r>
        <w:rPr>
          <w:rFonts w:ascii="Arial" w:hAnsi="Arial"/>
          <w:sz w:val="16"/>
        </w:rPr>
        <w:t>401.12  کارت امتیازی تولید شده محلی قابل استفاده نیست.</w:t>
      </w:r>
    </w:p>
    <w:p>
      <w:pPr>
        <w:spacing w:after="28" w:line="216" w:lineRule="auto"/>
        <w:ind w:left="259"/>
        <w:jc w:val="left"/>
      </w:pPr>
      <w:r>
        <w:rPr>
          <w:rFonts w:ascii="Arial" w:hAnsi="Arial"/>
          <w:color w:val="525252"/>
          <w:sz w:val="13"/>
        </w:rPr>
        <w:t>Locally-produced scorecards cannot be used.</w:t>
      </w:r>
    </w:p>
    <w:p>
      <w:pPr>
        <w:spacing w:after="20" w:line="223" w:lineRule="auto"/>
        <w:jc w:val="right"/>
        <w:bidi/>
      </w:pPr>
      <w:r>
        <w:rPr>
          <w:rFonts w:ascii="Arial" w:hAnsi="Arial"/>
          <w:sz w:val="16"/>
        </w:rPr>
        <w:t>401.13  در مکان‌هایی که در یک تاسیسات اصلی AF قرار ندارند (به‌عنوان مثال، واحدهای جدا شده از نظر جغرافیایی، جداشدگان)، UFAC نقش‌های FAC را انجام خواهند داد.</w:t>
      </w:r>
    </w:p>
    <w:p>
      <w:pPr>
        <w:spacing w:after="28" w:line="216" w:lineRule="auto"/>
        <w:ind w:left="259"/>
        <w:jc w:val="left"/>
      </w:pPr>
      <w:r>
        <w:rPr>
          <w:rFonts w:ascii="Arial" w:hAnsi="Arial"/>
          <w:color w:val="525252"/>
          <w:sz w:val="13"/>
        </w:rPr>
        <w:t>At locations not collocated at a major AF installation (e.g., Geographically Separated Units, Detachments), UFACs will fulfill the roles of the FAC.</w:t>
      </w:r>
    </w:p>
    <w:p>
      <w:pPr>
        <w:spacing w:after="20" w:line="223" w:lineRule="auto"/>
        <w:jc w:val="right"/>
        <w:bidi/>
      </w:pPr>
      <w:r>
        <w:rPr>
          <w:rFonts w:ascii="Arial" w:hAnsi="Arial"/>
          <w:sz w:val="16"/>
        </w:rPr>
        <w:t>401.14  رهبران تربیت بدنی.</w:t>
      </w:r>
    </w:p>
    <w:p>
      <w:pPr>
        <w:spacing w:after="28" w:line="216" w:lineRule="auto"/>
        <w:ind w:left="259"/>
        <w:jc w:val="left"/>
      </w:pPr>
      <w:r>
        <w:rPr>
          <w:rFonts w:ascii="Arial" w:hAnsi="Arial"/>
          <w:color w:val="525252"/>
          <w:sz w:val="13"/>
        </w:rPr>
        <w:t>Physical Training Leaders.</w:t>
      </w:r>
    </w:p>
    <w:p>
      <w:pPr>
        <w:spacing w:after="20" w:line="223" w:lineRule="auto"/>
        <w:jc w:val="right"/>
        <w:bidi/>
      </w:pPr>
      <w:r>
        <w:rPr>
          <w:rFonts w:ascii="Arial" w:hAnsi="Arial"/>
          <w:sz w:val="16"/>
        </w:rPr>
        <w:t>401.15  PTL ها هوانیروز هستند که برای هدایت تمرینات تمرین بدنی واحد و انجام ارزیابی‌های آمادگی جسمانی آموزش دیده‌اند.</w:t>
      </w:r>
    </w:p>
    <w:p>
      <w:pPr>
        <w:spacing w:after="28" w:line="216" w:lineRule="auto"/>
        <w:ind w:left="259"/>
        <w:jc w:val="left"/>
      </w:pPr>
      <w:r>
        <w:rPr>
          <w:rFonts w:ascii="Arial" w:hAnsi="Arial"/>
          <w:color w:val="525252"/>
          <w:sz w:val="13"/>
        </w:rPr>
        <w:t>PTLs are Airmen trained to lead unit physical training exercises and administer fitness assessments.</w:t>
      </w:r>
    </w:p>
    <w:p>
      <w:pPr>
        <w:spacing w:after="20" w:line="223" w:lineRule="auto"/>
        <w:jc w:val="right"/>
        <w:bidi/>
      </w:pPr>
      <w:r>
        <w:rPr>
          <w:rFonts w:ascii="Arial" w:hAnsi="Arial"/>
          <w:sz w:val="16"/>
        </w:rPr>
        <w:t>401.16  نمره ارزیابی تناسب اندام ۷۵.۰ یا بالاتر را حفظ خواهد کرد.</w:t>
      </w:r>
    </w:p>
    <w:p>
      <w:pPr>
        <w:spacing w:after="28" w:line="216" w:lineRule="auto"/>
        <w:ind w:left="259"/>
        <w:jc w:val="left"/>
      </w:pPr>
      <w:r>
        <w:rPr>
          <w:rFonts w:ascii="Arial" w:hAnsi="Arial"/>
          <w:color w:val="525252"/>
          <w:sz w:val="13"/>
        </w:rPr>
        <w:t>Will maintain a fitness assessment score of 75.0 or higher.</w:t>
      </w:r>
    </w:p>
    <w:p>
      <w:pPr>
        <w:spacing w:after="20" w:line="223" w:lineRule="auto"/>
        <w:jc w:val="right"/>
        <w:bidi/>
      </w:pPr>
      <w:r>
        <w:rPr>
          <w:rFonts w:ascii="Arial" w:hAnsi="Arial"/>
          <w:sz w:val="16"/>
        </w:rPr>
        <w:t>401.17  اگر در هر زمانی، نمره ارزیابی تناسب اندام PTL از ۷۵.۰ کمتر شود یا غیر جاری شود، گواهینامه باطل خواهد شد.</w:t>
      </w:r>
    </w:p>
    <w:p>
      <w:pPr>
        <w:spacing w:after="28" w:line="216" w:lineRule="auto"/>
        <w:ind w:left="259"/>
        <w:jc w:val="left"/>
      </w:pPr>
      <w:r>
        <w:rPr>
          <w:rFonts w:ascii="Arial" w:hAnsi="Arial"/>
          <w:color w:val="525252"/>
          <w:sz w:val="13"/>
        </w:rPr>
        <w:t>If, at any time, a PTL’s fitness assessment score drops below 75.0 or becomes noncurrent, the certification will be voided.</w:t>
      </w:r>
    </w:p>
    <w:p>
      <w:pPr>
        <w:spacing w:after="20" w:line="223" w:lineRule="auto"/>
        <w:jc w:val="right"/>
        <w:bidi/>
      </w:pPr>
      <w:r>
        <w:rPr>
          <w:rFonts w:ascii="Arial" w:hAnsi="Arial"/>
          <w:sz w:val="16"/>
        </w:rPr>
        <w:t>401.18  برای اینکه فرماندهان بتوانند یک PTL را بازگردانند، باید به نمره قبولی دست یابند و آموزش‌های لازم را مجددا انجام دهند، گواهینامه را می‌توان بازگرداند.</w:t>
      </w:r>
    </w:p>
    <w:p>
      <w:pPr>
        <w:spacing w:after="28" w:line="216" w:lineRule="auto"/>
        <w:ind w:left="259"/>
        <w:jc w:val="left"/>
      </w:pPr>
      <w:r>
        <w:rPr>
          <w:rFonts w:ascii="Arial" w:hAnsi="Arial"/>
          <w:color w:val="525252"/>
          <w:sz w:val="13"/>
        </w:rPr>
        <w:t>For commanders to reinstate a PTL, they must achieve a passing score and re-accomplish necessary training, certification can be reinstated.</w:t>
      </w:r>
    </w:p>
    <w:p>
      <w:pPr>
        <w:spacing w:after="20" w:line="223" w:lineRule="auto"/>
        <w:jc w:val="right"/>
        <w:bidi/>
      </w:pPr>
      <w:r>
        <w:rPr>
          <w:rFonts w:ascii="Arial" w:hAnsi="Arial"/>
          <w:sz w:val="16"/>
        </w:rPr>
        <w:t>401.19  توجه: غیرنظامیان ملزم به گرفتن PFA نیستند.</w:t>
      </w:r>
    </w:p>
    <w:p>
      <w:pPr>
        <w:spacing w:after="28" w:line="216" w:lineRule="auto"/>
        <w:ind w:left="259"/>
        <w:jc w:val="left"/>
      </w:pPr>
      <w:r>
        <w:rPr>
          <w:rFonts w:ascii="Arial" w:hAnsi="Arial"/>
          <w:color w:val="525252"/>
          <w:sz w:val="13"/>
        </w:rPr>
        <w:t>Note: Civilians are not required to take a PFA.</w:t>
      </w:r>
    </w:p>
    <w:p>
      <w:pPr>
        <w:spacing w:after="20" w:line="223" w:lineRule="auto"/>
        <w:jc w:val="right"/>
        <w:bidi/>
      </w:pPr>
      <w:r>
        <w:rPr>
          <w:rFonts w:ascii="Arial" w:hAnsi="Arial"/>
          <w:sz w:val="16"/>
        </w:rPr>
        <w:t>401.20  برای دریافت گواهینامه PTL، یک فرد باید موارد زیر را تکمیل کند: آموزش عملی پشتیبانی اولیه زندگی (یا معادل)، آموزش CPR/AED، و روش‌های ارزیابی تناسب اندام.</w:t>
      </w:r>
    </w:p>
    <w:p>
      <w:pPr>
        <w:spacing w:after="28" w:line="216" w:lineRule="auto"/>
        <w:ind w:left="259"/>
        <w:jc w:val="left"/>
      </w:pPr>
      <w:r>
        <w:rPr>
          <w:rFonts w:ascii="Arial" w:hAnsi="Arial"/>
          <w:color w:val="525252"/>
          <w:sz w:val="13"/>
        </w:rPr>
        <w:t>To become a certified PTL, an individual must complete the following: Hands-on Basic Life Support training (or equivalent), CPR/AED training, and fitness assessment procedures.</w:t>
      </w:r>
    </w:p>
    <w:p>
      <w:pPr>
        <w:spacing w:after="20" w:line="223" w:lineRule="auto"/>
        <w:jc w:val="right"/>
        <w:bidi/>
      </w:pPr>
      <w:r>
        <w:rPr>
          <w:rFonts w:ascii="Arial" w:hAnsi="Arial"/>
          <w:sz w:val="16"/>
        </w:rPr>
        <w:t>401.21  تا زمانی که تمام الزامات آموزشی تکمیل نشده باشد، هوانورد نمی‌تواند ارزیابی‌های تناسب اندام یا آموزش تناسب اندام واحد را رهبری کند.</w:t>
      </w:r>
    </w:p>
    <w:p>
      <w:pPr>
        <w:spacing w:after="28" w:line="216" w:lineRule="auto"/>
        <w:ind w:left="259"/>
        <w:jc w:val="left"/>
      </w:pPr>
      <w:r>
        <w:rPr>
          <w:rFonts w:ascii="Arial" w:hAnsi="Arial"/>
          <w:color w:val="525252"/>
          <w:sz w:val="13"/>
        </w:rPr>
        <w:t>Airman cannot administer fitness assessments or lead unit fitness training until all training requirements have been completed.</w:t>
      </w:r>
    </w:p>
    <w:p>
      <w:pPr>
        <w:spacing w:after="20" w:line="223" w:lineRule="auto"/>
        <w:jc w:val="right"/>
        <w:bidi/>
      </w:pPr>
      <w:r>
        <w:rPr>
          <w:rFonts w:ascii="Arial" w:hAnsi="Arial"/>
          <w:sz w:val="16"/>
        </w:rPr>
        <w:t>401.22  ARC PTLها در پایگاه‌های مشترک، آموزش‌های اولیه و تازه‌سازی را از مدیر برنامه تناسب اندام رگاف دریافت خواهند کرد و برای تکمیل ارزیابی‌های رسمی تناسب اندام آموزش خواهند دید.</w:t>
      </w:r>
    </w:p>
    <w:p>
      <w:pPr>
        <w:spacing w:after="28" w:line="216" w:lineRule="auto"/>
        <w:ind w:left="259"/>
        <w:jc w:val="left"/>
      </w:pPr>
      <w:r>
        <w:rPr>
          <w:rFonts w:ascii="Arial" w:hAnsi="Arial"/>
          <w:color w:val="525252"/>
          <w:sz w:val="13"/>
        </w:rPr>
        <w:t>ARC PTLs at collocated bases will receive initial and refresher training from the RegAF Fitness Program Manager and will be trained to complete official fitness assessments.</w:t>
      </w:r>
    </w:p>
    <w:p>
      <w:pPr>
        <w:spacing w:after="20" w:line="223" w:lineRule="auto"/>
        <w:jc w:val="right"/>
        <w:bidi/>
      </w:pPr>
      <w:r>
        <w:rPr>
          <w:rFonts w:ascii="Arial" w:hAnsi="Arial"/>
          <w:sz w:val="16"/>
        </w:rPr>
        <w:t>401.23  همه مدیران PFA باید نتایج ارزیابی تناسب اندام را بر روی فرم ۴۴۴۶ DAF کپی کرده، کارت امتیازی را امضا کنند و امضای عضو نیروی هوایی را در کارت امتیازی به دست آورند که تکمیل اجزای تناسب اندام را تأیید می‌کند.</w:t>
      </w:r>
    </w:p>
    <w:p>
      <w:pPr>
        <w:spacing w:after="28" w:line="216" w:lineRule="auto"/>
        <w:ind w:left="259"/>
        <w:jc w:val="left"/>
      </w:pPr>
      <w:r>
        <w:rPr>
          <w:rFonts w:ascii="Arial" w:hAnsi="Arial"/>
          <w:color w:val="525252"/>
          <w:sz w:val="13"/>
        </w:rPr>
        <w:t>All PFA Administrators must document fitness assessment results on a hard copy DAF Form 4446, signs scorecard, and obtains Airman’s signature on the scorecard, acknowledging completion of fitness components.</w:t>
      </w:r>
    </w:p>
    <w:p>
      <w:pPr>
        <w:spacing w:after="20" w:line="223" w:lineRule="auto"/>
        <w:jc w:val="right"/>
        <w:bidi/>
      </w:pPr>
      <w:r>
        <w:rPr>
          <w:rFonts w:ascii="Arial" w:hAnsi="Arial"/>
          <w:sz w:val="16"/>
        </w:rPr>
        <w:t>401.24  افسر رابط پزشکی.</w:t>
      </w:r>
    </w:p>
    <w:p>
      <w:pPr>
        <w:spacing w:after="28" w:line="216" w:lineRule="auto"/>
        <w:ind w:left="259"/>
        <w:jc w:val="left"/>
      </w:pPr>
      <w:r>
        <w:rPr>
          <w:rFonts w:ascii="Arial" w:hAnsi="Arial"/>
          <w:color w:val="525252"/>
          <w:sz w:val="13"/>
        </w:rPr>
        <w:t>Medical Liaison Officer.</w:t>
      </w:r>
    </w:p>
    <w:p>
      <w:pPr>
        <w:spacing w:after="20" w:line="223" w:lineRule="auto"/>
        <w:jc w:val="right"/>
        <w:bidi/>
      </w:pPr>
      <w:r>
        <w:rPr>
          <w:rFonts w:ascii="Arial" w:hAnsi="Arial"/>
          <w:sz w:val="16"/>
        </w:rPr>
        <w:t>401.25  فرمانده واحد پزشکی ARC مسئول پشتیبانی خدمات بهداشتی به جناح یا گروه باید یک ارائه دهنده معتبر را به‌عنوان افسر رابط پزشکی منصوب کند تا به‌عنوان مشاور برنامه برای سایر ارائه دهندگان پزشکی و کارکنان پشتیبانی خدمت کند.</w:t>
      </w:r>
    </w:p>
    <w:p>
      <w:pPr>
        <w:spacing w:after="28" w:line="216" w:lineRule="auto"/>
        <w:ind w:left="259"/>
        <w:jc w:val="left"/>
      </w:pPr>
      <w:r>
        <w:rPr>
          <w:rFonts w:ascii="Arial" w:hAnsi="Arial"/>
          <w:color w:val="525252"/>
          <w:sz w:val="13"/>
        </w:rPr>
        <w:t>The ARC medical unit commander responsible for health service support to the wing or group shall appoint a credentialed provider as medical liaison officer to serve as the program’s consultant to all other medical providers and support staff.</w:t>
      </w:r>
    </w:p>
    <w:p>
      <w:pPr>
        <w:spacing w:after="20" w:line="223" w:lineRule="auto"/>
        <w:jc w:val="right"/>
        <w:bidi/>
      </w:pPr>
      <w:r>
        <w:rPr>
          <w:rFonts w:ascii="Arial" w:hAnsi="Arial"/>
          <w:sz w:val="16"/>
        </w:rPr>
        <w:t>401.26  برای ARC نیروهای هوایی، افسر رابط پزشکی ارائه دهنده مراقبت‌های بهداشتی نظامی فرد است.</w:t>
      </w:r>
    </w:p>
    <w:p>
      <w:pPr>
        <w:spacing w:after="28" w:line="216" w:lineRule="auto"/>
        <w:ind w:left="259"/>
        <w:jc w:val="left"/>
      </w:pPr>
      <w:r>
        <w:rPr>
          <w:rFonts w:ascii="Arial" w:hAnsi="Arial"/>
          <w:color w:val="525252"/>
          <w:sz w:val="13"/>
        </w:rPr>
        <w:t>For ARC Airmen, the medical liaison officer is the individual’s military health care provider.</w:t>
      </w:r>
    </w:p>
    <w:p>
      <w:pPr>
        <w:spacing w:after="20" w:line="223" w:lineRule="auto"/>
        <w:jc w:val="right"/>
        <w:bidi/>
      </w:pPr>
      <w:r>
        <w:rPr>
          <w:rFonts w:ascii="Arial" w:hAnsi="Arial"/>
          <w:sz w:val="16"/>
        </w:rPr>
        <w:t>401.27  برای ANG، افسر رابط پزشکی معمولا در واحد پزشکی گارد مستقر است.</w:t>
      </w:r>
    </w:p>
    <w:p>
      <w:pPr>
        <w:spacing w:after="28" w:line="216" w:lineRule="auto"/>
        <w:ind w:left="259"/>
        <w:jc w:val="left"/>
      </w:pPr>
      <w:r>
        <w:rPr>
          <w:rFonts w:ascii="Arial" w:hAnsi="Arial"/>
          <w:color w:val="525252"/>
          <w:sz w:val="13"/>
        </w:rPr>
        <w:t>For ANG, the medical liaison officer is normally located at the Guard Medical Unit.</w:t>
      </w:r>
    </w:p>
    <w:p>
      <w:pPr>
        <w:spacing w:after="20" w:line="223" w:lineRule="auto"/>
        <w:jc w:val="right"/>
        <w:bidi/>
      </w:pPr>
      <w:r>
        <w:rPr>
          <w:rFonts w:ascii="Arial" w:hAnsi="Arial"/>
          <w:sz w:val="16"/>
        </w:rPr>
        <w:t>401.28  تضمین می‌کند که همه ارائه دهندگان پزشکی آموزش کافی در مورد روش‌های PFP دریافت می‌کنند.</w:t>
      </w:r>
    </w:p>
    <w:p>
      <w:pPr>
        <w:spacing w:after="28" w:line="216" w:lineRule="auto"/>
        <w:ind w:left="259"/>
        <w:jc w:val="left"/>
      </w:pPr>
      <w:r>
        <w:rPr>
          <w:rFonts w:ascii="Arial" w:hAnsi="Arial"/>
          <w:color w:val="525252"/>
          <w:sz w:val="13"/>
        </w:rPr>
        <w:t>Ensures all medical providers receive adequate training on the PFP procedures.</w:t>
      </w:r>
    </w:p>
    <w:p>
      <w:pPr>
        <w:spacing w:after="20" w:line="223" w:lineRule="auto"/>
        <w:jc w:val="right"/>
        <w:bidi/>
      </w:pPr>
      <w:r>
        <w:rPr>
          <w:rFonts w:ascii="Arial" w:hAnsi="Arial"/>
          <w:sz w:val="16"/>
        </w:rPr>
        <w:t>401.29  آموزش باید شامل خط‌مشی‌های برنامه، شرایط پزشکی و داروهایی باشد که بر ارزیابی‌ها و رویه‌های شرایط محدودکننده وظیفه تأثیر می‌گذارند.</w:t>
      </w:r>
    </w:p>
    <w:p>
      <w:pPr>
        <w:spacing w:after="28" w:line="216" w:lineRule="auto"/>
        <w:ind w:left="259"/>
        <w:jc w:val="left"/>
      </w:pPr>
      <w:r>
        <w:rPr>
          <w:rFonts w:ascii="Arial" w:hAnsi="Arial"/>
          <w:color w:val="525252"/>
          <w:sz w:val="13"/>
        </w:rPr>
        <w:t>Training should include program policies, medical conditions, and medications affecting assessments and duty limiting conditions procedures.</w:t>
      </w:r>
    </w:p>
    <w:p>
      <w:pPr>
        <w:spacing w:after="20" w:line="223" w:lineRule="auto"/>
        <w:jc w:val="right"/>
        <w:bidi/>
      </w:pPr>
      <w:r>
        <w:rPr>
          <w:rFonts w:ascii="Arial" w:hAnsi="Arial"/>
          <w:sz w:val="16"/>
        </w:rPr>
        <w:t>401.30  هوانیروز.</w:t>
      </w:r>
    </w:p>
    <w:p>
      <w:pPr>
        <w:spacing w:after="28" w:line="216" w:lineRule="auto"/>
        <w:ind w:left="259"/>
        <w:jc w:val="left"/>
      </w:pPr>
      <w:r>
        <w:rPr>
          <w:rFonts w:ascii="Arial" w:hAnsi="Arial"/>
          <w:color w:val="525252"/>
          <w:sz w:val="13"/>
        </w:rPr>
        <w:t>Airman.</w:t>
      </w:r>
    </w:p>
    <w:p>
      <w:pPr>
        <w:spacing w:after="20" w:line="223" w:lineRule="auto"/>
        <w:jc w:val="right"/>
        <w:bidi/>
      </w:pPr>
      <w:r>
        <w:rPr>
          <w:rFonts w:ascii="Arial" w:hAnsi="Arial"/>
          <w:sz w:val="16"/>
        </w:rPr>
        <w:t>401.31  با حفظ استانداردهای تغذیه مناسب، آمادگی جسمانی فردی را در تمام طول سال از طریق PFP های خودگردان و مبتنی بر واحد حفظ می‌کند.</w:t>
      </w:r>
    </w:p>
    <w:p>
      <w:pPr>
        <w:spacing w:after="28" w:line="216" w:lineRule="auto"/>
        <w:ind w:left="259"/>
        <w:jc w:val="left"/>
      </w:pPr>
      <w:r>
        <w:rPr>
          <w:rFonts w:ascii="Arial" w:hAnsi="Arial"/>
          <w:color w:val="525252"/>
          <w:sz w:val="13"/>
        </w:rPr>
        <w:t>Maintains individual year-round physical fitness through self-directed and unit-based PFPs, while maintaining proper nutrition standards.</w:t>
      </w:r>
    </w:p>
    <w:p>
      <w:pPr>
        <w:spacing w:after="20" w:line="223" w:lineRule="auto"/>
        <w:jc w:val="right"/>
        <w:bidi/>
      </w:pPr>
      <w:r>
        <w:rPr>
          <w:rFonts w:ascii="Arial" w:hAnsi="Arial"/>
          <w:sz w:val="16"/>
        </w:rPr>
        <w:t>401.32  UFPM، نماینده تعیین شده FAC یا زنجیره فرماندهی را به صورت کتبی (شامل ایمیل) از نیاز به برنامه‌ریزی ارزیابی مطلع می‌کند.</w:t>
      </w:r>
    </w:p>
    <w:p>
      <w:pPr>
        <w:spacing w:after="28" w:line="216" w:lineRule="auto"/>
        <w:ind w:left="259"/>
        <w:jc w:val="left"/>
      </w:pPr>
      <w:r>
        <w:rPr>
          <w:rFonts w:ascii="Arial" w:hAnsi="Arial"/>
          <w:color w:val="525252"/>
          <w:sz w:val="13"/>
        </w:rPr>
        <w:t>Notifies the UFPM, designated FAC representative, or chain of command, in writing (includes e-mail) of the need to schedule the assessment.</w:t>
      </w:r>
    </w:p>
    <w:p>
      <w:pPr>
        <w:spacing w:after="20" w:line="223" w:lineRule="auto"/>
        <w:jc w:val="right"/>
        <w:bidi/>
      </w:pPr>
      <w:r>
        <w:rPr>
          <w:rFonts w:ascii="Arial" w:hAnsi="Arial"/>
          <w:sz w:val="16"/>
        </w:rPr>
        <w:t>401.33  درخواست می‌کند که فورا برای تکمیل در پنجره مورد نیاز برنامه‌ریزی شود، اگر در دوره‌ای که لازم است به‌روز باقی بماند، برنامه‌ریزی نشده است.</w:t>
      </w:r>
    </w:p>
    <w:p>
      <w:pPr>
        <w:spacing w:after="28" w:line="216" w:lineRule="auto"/>
        <w:ind w:left="259"/>
        <w:jc w:val="left"/>
      </w:pPr>
      <w:r>
        <w:rPr>
          <w:rFonts w:ascii="Arial" w:hAnsi="Arial"/>
          <w:color w:val="525252"/>
          <w:sz w:val="13"/>
        </w:rPr>
        <w:t>Requests that it be scheduled immediately for accomplishment within the required window, if not scheduled in a period required to remain current.</w:t>
      </w:r>
    </w:p>
    <w:p>
      <w:pPr>
        <w:spacing w:after="20" w:line="223" w:lineRule="auto"/>
        <w:jc w:val="right"/>
        <w:bidi/>
      </w:pPr>
      <w:r>
        <w:rPr>
          <w:rFonts w:ascii="Arial" w:hAnsi="Arial"/>
          <w:sz w:val="16"/>
        </w:rPr>
        <w:t>401.34  هرگونه معافیت ارزیابی تناسب اندام شخصی را نظارت می‌کند، تمام قرارهای پزشکی لازم را برنامه‌ریزی می‌کند و ترتیبات تست ارزیابی تناسب اندام را به موقع آغاز می‌کند.</w:t>
      </w:r>
    </w:p>
    <w:p>
      <w:pPr>
        <w:spacing w:after="28" w:line="216" w:lineRule="auto"/>
        <w:ind w:left="259"/>
        <w:jc w:val="left"/>
      </w:pPr>
      <w:r>
        <w:rPr>
          <w:rFonts w:ascii="Arial" w:hAnsi="Arial"/>
          <w:color w:val="525252"/>
          <w:sz w:val="13"/>
        </w:rPr>
        <w:t>Monitors any personal fitness assessment exemptions, scheduling all necessary medical appointments, and initiating fitness assessment test arrangements in a timely manner.</w:t>
      </w:r>
    </w:p>
    <w:p>
      <w:pPr>
        <w:spacing w:after="20" w:line="223" w:lineRule="auto"/>
        <w:jc w:val="right"/>
        <w:bidi/>
      </w:pPr>
      <w:r>
        <w:rPr>
          <w:rFonts w:ascii="Arial" w:hAnsi="Arial"/>
          <w:sz w:val="16"/>
        </w:rPr>
        <w:t>401.35  اگر اعتقاد بر این است که یک وضعیت پزشکی بر توانایی تکمیل ارزیابی تناسب اندام تأثیر می‌گذارد، خلبان باید به دنبال ارزیابی یا مداخله پزشکی باشد.</w:t>
      </w:r>
    </w:p>
    <w:p>
      <w:pPr>
        <w:spacing w:after="28" w:line="216" w:lineRule="auto"/>
        <w:ind w:left="259"/>
        <w:jc w:val="left"/>
      </w:pPr>
      <w:r>
        <w:rPr>
          <w:rFonts w:ascii="Arial" w:hAnsi="Arial"/>
          <w:color w:val="525252"/>
          <w:sz w:val="13"/>
        </w:rPr>
        <w:t>Airman should seek medical evaluation or intervention if a medical condition is believed to impact the ability to complete the fitness assessment.</w:t>
      </w:r>
    </w:p>
    <w:p>
      <w:pPr>
        <w:spacing w:after="20" w:line="223" w:lineRule="auto"/>
        <w:jc w:val="right"/>
        <w:bidi/>
      </w:pPr>
      <w:r>
        <w:rPr>
          <w:rFonts w:ascii="Arial" w:hAnsi="Arial"/>
          <w:sz w:val="16"/>
        </w:rPr>
        <w:t>401.36  FSQ را مطابق با فصل ۳ DAFMAN ۳۶-۲۹۰۵ تکمیل می‌کند.</w:t>
      </w:r>
    </w:p>
    <w:p>
      <w:pPr>
        <w:spacing w:after="28" w:line="216" w:lineRule="auto"/>
        <w:ind w:left="259"/>
        <w:jc w:val="left"/>
      </w:pPr>
      <w:r>
        <w:rPr>
          <w:rFonts w:ascii="Arial" w:hAnsi="Arial"/>
          <w:color w:val="525252"/>
          <w:sz w:val="13"/>
        </w:rPr>
        <w:t>Completes FSQ in accordance with Chapter 3 of DAFMAN 36-2905.</w:t>
      </w:r>
    </w:p>
    <w:p>
      <w:pPr>
        <w:spacing w:after="20" w:line="223" w:lineRule="auto"/>
        <w:jc w:val="right"/>
        <w:bidi/>
      </w:pPr>
      <w:r>
        <w:rPr>
          <w:rFonts w:ascii="Arial" w:hAnsi="Arial"/>
          <w:sz w:val="16"/>
        </w:rPr>
        <w:t>401.37  در صورت ورود بدون FSQ، کارکنان FAC یا افزایش دهنده اطمینان حاصل می‌کنند که عضو نیروی هوایی قبل از انجام ارزیابی، FSQ را برای بررسی تکمیل می‌کند.</w:t>
      </w:r>
    </w:p>
    <w:p>
      <w:pPr>
        <w:spacing w:after="28" w:line="216" w:lineRule="auto"/>
        <w:ind w:left="259"/>
        <w:jc w:val="left"/>
      </w:pPr>
      <w:r>
        <w:rPr>
          <w:rFonts w:ascii="Arial" w:hAnsi="Arial"/>
          <w:color w:val="525252"/>
          <w:sz w:val="13"/>
        </w:rPr>
        <w:t>If arriving without an FSQ, the FAC staff or augmentee will ensure the Airman completes a FSQ for review before the assessment is administered.</w:t>
      </w:r>
    </w:p>
    <w:p>
      <w:pPr>
        <w:spacing w:after="20" w:line="223" w:lineRule="auto"/>
        <w:jc w:val="right"/>
        <w:bidi/>
      </w:pPr>
      <w:r>
        <w:rPr>
          <w:rFonts w:ascii="Arial" w:hAnsi="Arial"/>
          <w:sz w:val="16"/>
        </w:rPr>
        <w:t>401.38  توجه: عدم تکمیل FSQ ارزیابی را باطل نمی‌کند و FAC مواردی را که FSQ تکمیل نشده است مستند می‌کند و به آن پیوست می‌کند.</w:t>
      </w:r>
    </w:p>
    <w:p>
      <w:pPr>
        <w:spacing w:after="28" w:line="216" w:lineRule="auto"/>
        <w:ind w:left="259"/>
        <w:jc w:val="left"/>
      </w:pPr>
      <w:r>
        <w:rPr>
          <w:rFonts w:ascii="Arial" w:hAnsi="Arial"/>
          <w:color w:val="525252"/>
          <w:sz w:val="13"/>
        </w:rPr>
        <w:t>Note: Failure to complete FSQ does not invalidate the assessment and the FAC will document any cases where FSQ is not completed and attach to</w:t>
      </w:r>
    </w:p>
    <w:p>
      <w:r>
        <w:br w:type="page"/>
      </w:r>
    </w:p>
    <w:p>
      <w:pPr>
        <w:spacing w:after="60"/>
        <w:jc w:val="right"/>
        <w:bidi/>
      </w:pPr>
      <w:r>
        <w:rPr>
          <w:rFonts w:ascii="Arial" w:hAnsi="Arial"/>
          <w:b/>
          <w:color w:val="1F4D78"/>
          <w:sz w:val="19"/>
        </w:rPr>
        <w:t>هفتهٔ 402  |  صفحهٔ منبع: 418</w:t>
      </w:r>
    </w:p>
    <w:p>
      <w:pPr>
        <w:spacing w:after="20" w:line="223" w:lineRule="auto"/>
        <w:jc w:val="right"/>
        <w:bidi/>
      </w:pPr>
      <w:r>
        <w:rPr>
          <w:rFonts w:ascii="Arial" w:hAnsi="Arial"/>
          <w:sz w:val="16"/>
        </w:rPr>
        <w:t>402.01  .</w:t>
      </w:r>
    </w:p>
    <w:p>
      <w:pPr>
        <w:spacing w:after="28" w:line="216" w:lineRule="auto"/>
        <w:ind w:left="259"/>
        <w:jc w:val="left"/>
      </w:pPr>
      <w:r>
        <w:rPr>
          <w:rFonts w:ascii="Arial" w:hAnsi="Arial"/>
          <w:color w:val="525252"/>
          <w:sz w:val="13"/>
        </w:rPr>
        <w:t>assessment.</w:t>
      </w:r>
    </w:p>
    <w:p>
      <w:pPr>
        <w:spacing w:after="20" w:line="223" w:lineRule="auto"/>
        <w:jc w:val="right"/>
        <w:bidi/>
      </w:pPr>
      <w:r>
        <w:rPr>
          <w:rFonts w:ascii="Arial" w:hAnsi="Arial"/>
          <w:sz w:val="16"/>
        </w:rPr>
        <w:t>402.02  با دریافت فرم AF ۴۶۹ از ارائه‌دهنده مراقبت‌های بهداشتی با محدودیت‌های تناسب اندام و یا معافیت‌های ارزیابی تناسب اندام مطابق با AFI ۴۸-۱۳۳ به UFPM اطلاع می‌دهد.</w:t>
      </w:r>
    </w:p>
    <w:p>
      <w:pPr>
        <w:spacing w:after="28" w:line="216" w:lineRule="auto"/>
        <w:ind w:left="259"/>
        <w:jc w:val="left"/>
      </w:pPr>
      <w:r>
        <w:rPr>
          <w:rFonts w:ascii="Arial" w:hAnsi="Arial"/>
          <w:color w:val="525252"/>
          <w:sz w:val="13"/>
        </w:rPr>
        <w:t>Notifies UFPM upon receiving an AF Form 469 from healthcare provider with fitness restrictions and or fitness assessment exemptions in accordance with AFI 48-133.</w:t>
      </w:r>
    </w:p>
    <w:p>
      <w:pPr>
        <w:spacing w:after="20" w:line="223" w:lineRule="auto"/>
        <w:jc w:val="right"/>
        <w:bidi/>
      </w:pPr>
      <w:r>
        <w:rPr>
          <w:rFonts w:ascii="Arial" w:hAnsi="Arial"/>
          <w:sz w:val="16"/>
        </w:rPr>
        <w:t>402.03  سپس یک کپی از فرم AF ۴۶۹ را قبل از ارزیابی در اختیار کارکنان FAC، تقویت کننده یا PTL قرار می‌دهد.</w:t>
      </w:r>
    </w:p>
    <w:p>
      <w:pPr>
        <w:spacing w:after="28" w:line="216" w:lineRule="auto"/>
        <w:ind w:left="259"/>
        <w:jc w:val="left"/>
      </w:pPr>
      <w:r>
        <w:rPr>
          <w:rFonts w:ascii="Arial" w:hAnsi="Arial"/>
          <w:color w:val="525252"/>
          <w:sz w:val="13"/>
        </w:rPr>
        <w:t>Then provides a copy of AF Form 469 to FAC staff, augmentee, or PTL prior to taking assessment.</w:t>
      </w:r>
    </w:p>
    <w:p>
      <w:pPr>
        <w:spacing w:after="20" w:line="223" w:lineRule="auto"/>
        <w:jc w:val="right"/>
        <w:bidi/>
      </w:pPr>
      <w:r>
        <w:rPr>
          <w:rFonts w:ascii="Arial" w:hAnsi="Arial"/>
          <w:sz w:val="16"/>
        </w:rPr>
        <w:t>402.04  قبل از تکمیل ارزیابی، هرگونه به‌روزرسانی را از طریق FSQ ارسال می‌کند.</w:t>
      </w:r>
    </w:p>
    <w:p>
      <w:pPr>
        <w:spacing w:after="28" w:line="216" w:lineRule="auto"/>
        <w:ind w:left="259"/>
        <w:jc w:val="left"/>
      </w:pPr>
      <w:r>
        <w:rPr>
          <w:rFonts w:ascii="Arial" w:hAnsi="Arial"/>
          <w:color w:val="525252"/>
          <w:sz w:val="13"/>
        </w:rPr>
        <w:t>Submits any updates via FSQ, prior to completing an assessment.</w:t>
      </w:r>
    </w:p>
    <w:p>
      <w:pPr>
        <w:spacing w:after="20" w:line="223" w:lineRule="auto"/>
        <w:jc w:val="right"/>
        <w:bidi/>
      </w:pPr>
      <w:r>
        <w:rPr>
          <w:rFonts w:ascii="Arial" w:hAnsi="Arial"/>
          <w:sz w:val="16"/>
        </w:rPr>
        <w:t>402.05  هوانوردان ARC مطمئن خواهند شد که برای ارزیابی در وضعیت وظیفه واجد شرایط هستند.</w:t>
      </w:r>
    </w:p>
    <w:p>
      <w:pPr>
        <w:spacing w:after="28" w:line="216" w:lineRule="auto"/>
        <w:ind w:left="259"/>
        <w:jc w:val="left"/>
      </w:pPr>
      <w:r>
        <w:rPr>
          <w:rFonts w:ascii="Arial" w:hAnsi="Arial"/>
          <w:color w:val="525252"/>
          <w:sz w:val="13"/>
        </w:rPr>
        <w:t>ARC Airmen will ensure they are in a qualified duty status for assessments.</w:t>
      </w:r>
    </w:p>
    <w:p>
      <w:pPr>
        <w:spacing w:after="20" w:line="223" w:lineRule="auto"/>
        <w:jc w:val="right"/>
        <w:bidi/>
      </w:pPr>
      <w:r>
        <w:rPr>
          <w:rFonts w:ascii="Arial" w:hAnsi="Arial"/>
          <w:sz w:val="16"/>
        </w:rPr>
        <w:t>402.06  برای ایمنی، هوانوردان باید دستورالعمل‌های مندرج در AFI ۴۴-۱۰۲، مدیریت مراقبت‌های پزشکی، در مورد استفاده از داروهای کنترل وزن و جراحی را درک کرده و از آنها پیروی کنند.</w:t>
      </w:r>
    </w:p>
    <w:p>
      <w:pPr>
        <w:spacing w:after="28" w:line="216" w:lineRule="auto"/>
        <w:ind w:left="259"/>
        <w:jc w:val="left"/>
      </w:pPr>
      <w:r>
        <w:rPr>
          <w:rFonts w:ascii="Arial" w:hAnsi="Arial"/>
          <w:color w:val="525252"/>
          <w:sz w:val="13"/>
        </w:rPr>
        <w:t>For safety, Airmen must understand and comply with the guidelines contained in AFI 44-102, Medical Care Management, regarding the use of weight control drugs and surgery.</w:t>
      </w:r>
    </w:p>
    <w:p>
      <w:pPr>
        <w:spacing w:before="60" w:after="28"/>
        <w:jc w:val="right"/>
        <w:bidi/>
      </w:pPr>
      <w:r>
        <w:rPr>
          <w:b/>
          <w:color w:val="1F4D78"/>
          <w:sz w:val="18"/>
        </w:rPr>
        <w:t>22.3. برنامه ترکیب بدن</w:t>
      </w:r>
    </w:p>
    <w:p>
      <w:pPr>
        <w:spacing w:after="20"/>
        <w:ind w:left="259"/>
        <w:jc w:val="left"/>
      </w:pPr>
      <w:r>
        <w:rPr>
          <w:color w:val="555555"/>
          <w:sz w:val="12"/>
        </w:rPr>
        <w:t>22.3. Body Composition Program</w:t>
      </w:r>
    </w:p>
    <w:p>
      <w:pPr>
        <w:spacing w:after="20" w:line="223" w:lineRule="auto"/>
        <w:jc w:val="right"/>
        <w:bidi/>
      </w:pPr>
      <w:r>
        <w:rPr>
          <w:rFonts w:ascii="Arial" w:hAnsi="Arial"/>
          <w:sz w:val="16"/>
        </w:rPr>
        <w:t>402.08  از ژانویه ۲۰۲۳، مطابق با دودی ۱۳۰۸.۰۳، برنامه آمادگی جسمانی/ترکیب بدن وزارت دفاع، که خدمات نظامی را ملزم می‌کند تا الزامات ترکیب بدن را برای اعضای ارتش ایجاد کند تا از آمادگی جسمانی اطمینان حاصل شود، نیروی هوایی یک برنامه جدید ترکیب بدن (BCP) را اجرا خواهد کرد که جایگزین اندازه‌گیری‌های فیسکومیکال فیتنسس در دسامبر حذف شده است. ۲۰۲۰.</w:t>
      </w:r>
    </w:p>
    <w:p>
      <w:pPr>
        <w:spacing w:after="28" w:line="216" w:lineRule="auto"/>
        <w:ind w:left="259"/>
        <w:jc w:val="left"/>
      </w:pPr>
      <w:r>
        <w:rPr>
          <w:rFonts w:ascii="Arial" w:hAnsi="Arial"/>
          <w:color w:val="525252"/>
          <w:sz w:val="13"/>
        </w:rPr>
        <w:t>Effective January 2023, in accordance with DoDI 1308.03, DoD Physical Fitness/Body Composition Program, which mandates military services establish body composition requirements for servicemembers to ensure physical readiness, the Air Force will implement a new Body Composition Program (BCP) replacing the abdominal circumference measurement removed from the Physical Fitness Assessments in December 2020.</w:t>
      </w:r>
    </w:p>
    <w:p>
      <w:pPr>
        <w:spacing w:after="20" w:line="223" w:lineRule="auto"/>
        <w:jc w:val="right"/>
        <w:bidi/>
      </w:pPr>
      <w:r>
        <w:rPr>
          <w:rFonts w:ascii="Arial" w:hAnsi="Arial"/>
          <w:sz w:val="16"/>
        </w:rPr>
        <w:t>402.09  BCP از اعضای ارتش نیروی هوایی می‌خواهد که ارزیابی ترکیب بدن (BCA) سالانه را در ماه تولد خود انجام دهند و از نسبت دور کمر به قد (وهتر) برای محاسبه ترکیب بدن با تقسیم دور کمر بر قد استفاده می‌کند.</w:t>
      </w:r>
    </w:p>
    <w:p>
      <w:pPr>
        <w:spacing w:after="28" w:line="216" w:lineRule="auto"/>
        <w:ind w:left="259"/>
        <w:jc w:val="left"/>
      </w:pPr>
      <w:r>
        <w:rPr>
          <w:rFonts w:ascii="Arial" w:hAnsi="Arial"/>
          <w:color w:val="525252"/>
          <w:sz w:val="13"/>
        </w:rPr>
        <w:t>The BCP requires Air Force military members to complete an annual Body Composition Assessment (BCA) within their birth month and uses the Waist-to-Height Ratio (WHtR) to calculate body composition by dividing waist circumference by height.</w:t>
      </w:r>
    </w:p>
    <w:p>
      <w:pPr>
        <w:spacing w:after="20" w:line="223" w:lineRule="auto"/>
        <w:jc w:val="right"/>
        <w:bidi/>
      </w:pPr>
      <w:r>
        <w:rPr>
          <w:rFonts w:ascii="Arial" w:hAnsi="Arial"/>
          <w:sz w:val="16"/>
        </w:rPr>
        <w:t>402.10  اجرای BCP برای نیروی هوایی در ۱ آوریل ۲۰۲۳ با یک دوره سازگاری یک ساله آغاز شد.</w:t>
      </w:r>
    </w:p>
    <w:p>
      <w:pPr>
        <w:spacing w:after="28" w:line="216" w:lineRule="auto"/>
        <w:ind w:left="259"/>
        <w:jc w:val="left"/>
      </w:pPr>
      <w:r>
        <w:rPr>
          <w:rFonts w:ascii="Arial" w:hAnsi="Arial"/>
          <w:color w:val="525252"/>
          <w:sz w:val="13"/>
        </w:rPr>
        <w:t>Implementation of the BCP for the Air Force started on 1 April 2023, with a one-year adaptation period.</w:t>
      </w:r>
    </w:p>
    <w:p>
      <w:pPr>
        <w:spacing w:after="20" w:line="223" w:lineRule="auto"/>
        <w:jc w:val="right"/>
        <w:bidi/>
      </w:pPr>
      <w:r>
        <w:rPr>
          <w:rFonts w:ascii="Arial" w:hAnsi="Arial"/>
          <w:sz w:val="16"/>
        </w:rPr>
        <w:t>402.11  اقدامات اداری صرفا بر اساس نتایج BCAهای ارزیابی شده در دوره سازگاری مجاز نیستند.</w:t>
      </w:r>
    </w:p>
    <w:p>
      <w:pPr>
        <w:spacing w:after="28" w:line="216" w:lineRule="auto"/>
        <w:ind w:left="259"/>
        <w:jc w:val="left"/>
      </w:pPr>
      <w:r>
        <w:rPr>
          <w:rFonts w:ascii="Arial" w:hAnsi="Arial"/>
          <w:color w:val="525252"/>
          <w:sz w:val="13"/>
        </w:rPr>
        <w:t>Administrative actions are not authorized based solely on the results of BCAs assessed in the adaptation period.</w:t>
      </w:r>
    </w:p>
    <w:p>
      <w:pPr>
        <w:spacing w:after="20" w:line="223" w:lineRule="auto"/>
        <w:jc w:val="right"/>
        <w:bidi/>
      </w:pPr>
      <w:r>
        <w:rPr>
          <w:rFonts w:ascii="Arial" w:hAnsi="Arial"/>
          <w:sz w:val="16"/>
        </w:rPr>
        <w:t>402.12  این دوره در ۸ آوریل ۲۰۲۴ تمدید شد و تا ۱۸۰ روز پس از انتشار AFMAN ۳۶-۲۹۱۲، برنامه ترکیب بدنه نیروی هوایی به قوت خود باقی است.</w:t>
      </w:r>
    </w:p>
    <w:p>
      <w:pPr>
        <w:spacing w:after="28" w:line="216" w:lineRule="auto"/>
        <w:ind w:left="259"/>
        <w:jc w:val="left"/>
      </w:pPr>
      <w:r>
        <w:rPr>
          <w:rFonts w:ascii="Arial" w:hAnsi="Arial"/>
          <w:color w:val="525252"/>
          <w:sz w:val="13"/>
        </w:rPr>
        <w:t>This period was extended on 8 April 2024 and remains in effect until 180 days after the publication of AFMAN 36-2912, Air Force Body Composition Program.</w:t>
      </w:r>
    </w:p>
    <w:p>
      <w:pPr>
        <w:spacing w:after="20" w:line="223" w:lineRule="auto"/>
        <w:jc w:val="right"/>
        <w:bidi/>
      </w:pPr>
      <w:r>
        <w:rPr>
          <w:rFonts w:ascii="Arial" w:hAnsi="Arial"/>
          <w:sz w:val="16"/>
        </w:rPr>
        <w:t>402.13  در این مدت، اقدامات اداری صرفا بر اساس نتایج BCA مجاز نیستند.</w:t>
      </w:r>
    </w:p>
    <w:p>
      <w:pPr>
        <w:spacing w:after="28" w:line="216" w:lineRule="auto"/>
        <w:ind w:left="259"/>
        <w:jc w:val="left"/>
      </w:pPr>
      <w:r>
        <w:rPr>
          <w:rFonts w:ascii="Arial" w:hAnsi="Arial"/>
          <w:color w:val="525252"/>
          <w:sz w:val="13"/>
        </w:rPr>
        <w:t>During this time, administrative actions based solely on BCA results are not authorized.</w:t>
      </w:r>
    </w:p>
    <w:p>
      <w:pPr>
        <w:spacing w:after="20" w:line="223" w:lineRule="auto"/>
        <w:jc w:val="right"/>
        <w:bidi/>
      </w:pPr>
      <w:r>
        <w:rPr>
          <w:rFonts w:ascii="Arial" w:hAnsi="Arial"/>
          <w:sz w:val="16"/>
        </w:rPr>
        <w:t>402.14  ۲۲.۴. ارزیابی BCA. BCA ثبت شده اولیه یک "ارزیابی پایه" در نظر گرفته می‌شود.</w:t>
      </w:r>
    </w:p>
    <w:p>
      <w:pPr>
        <w:spacing w:after="28" w:line="216" w:lineRule="auto"/>
        <w:ind w:left="259"/>
        <w:jc w:val="left"/>
      </w:pPr>
      <w:r>
        <w:rPr>
          <w:rFonts w:ascii="Arial" w:hAnsi="Arial"/>
          <w:color w:val="525252"/>
          <w:sz w:val="13"/>
        </w:rPr>
        <w:t>22.4. BCA Assessment. The initial recorded BCA is considered a “baseline assessment.”</w:t>
      </w:r>
    </w:p>
    <w:p>
      <w:pPr>
        <w:spacing w:after="20" w:line="223" w:lineRule="auto"/>
        <w:jc w:val="right"/>
        <w:bidi/>
      </w:pPr>
      <w:r>
        <w:rPr>
          <w:rFonts w:ascii="Arial" w:hAnsi="Arial"/>
          <w:sz w:val="16"/>
        </w:rPr>
        <w:t>402.15  ارزیابی مستمر BCP در طول دوره سازگاری انجام می‌شود.</w:t>
      </w:r>
    </w:p>
    <w:p>
      <w:pPr>
        <w:spacing w:after="28" w:line="216" w:lineRule="auto"/>
        <w:ind w:left="259"/>
        <w:jc w:val="left"/>
      </w:pPr>
      <w:r>
        <w:rPr>
          <w:rFonts w:ascii="Arial" w:hAnsi="Arial"/>
          <w:color w:val="525252"/>
          <w:sz w:val="13"/>
        </w:rPr>
        <w:t>Continual evaluation is conducted of the BCP during the adaptation period.</w:t>
      </w:r>
    </w:p>
    <w:p>
      <w:pPr>
        <w:spacing w:after="20" w:line="223" w:lineRule="auto"/>
        <w:jc w:val="right"/>
        <w:bidi/>
      </w:pPr>
      <w:r>
        <w:rPr>
          <w:rFonts w:ascii="Arial" w:hAnsi="Arial"/>
          <w:sz w:val="16"/>
        </w:rPr>
        <w:t>402.16  ارزیابی اجرا شده یک استاندارد نظامی برای ترکیب بدن و یک خطر بهداشتی مرتبط برای برآوردن الزامات خدمات نیروی هوایی ارائه می‌کند: استاندارد ملاقات (خطر کم تا متوسط): (وهتر &lt; ۰.۵۵) عدم رعایت استاندارد (خطر بالا): (وهتر &gt; ۰.۵۵)</w:t>
      </w:r>
    </w:p>
    <w:p>
      <w:pPr>
        <w:spacing w:after="28" w:line="216" w:lineRule="auto"/>
        <w:ind w:left="259"/>
        <w:jc w:val="left"/>
      </w:pPr>
      <w:r>
        <w:rPr>
          <w:rFonts w:ascii="Arial" w:hAnsi="Arial"/>
          <w:color w:val="525252"/>
          <w:sz w:val="13"/>
        </w:rPr>
        <w:t>The assessment implemented provides a military standard for body composition and an associated health risk to meet Air Force service requirements: Meeting Standard (Low-Moderate Risk): (WHtR &lt; 0.55) Not Meeting Standard (High Risk): (WHtR &gt; 0.55)</w:t>
      </w:r>
    </w:p>
    <w:p>
      <w:pPr>
        <w:spacing w:before="60" w:after="28"/>
        <w:jc w:val="right"/>
        <w:bidi/>
      </w:pPr>
      <w:r>
        <w:rPr>
          <w:b/>
          <w:color w:val="1F4D78"/>
          <w:sz w:val="18"/>
        </w:rPr>
        <w:t>22.5. عکس لحظه ای نقش ها و مسئولیت های BCA</w:t>
      </w:r>
    </w:p>
    <w:p>
      <w:pPr>
        <w:spacing w:after="20"/>
        <w:ind w:left="259"/>
        <w:jc w:val="left"/>
      </w:pPr>
      <w:r>
        <w:rPr>
          <w:color w:val="555555"/>
          <w:sz w:val="12"/>
        </w:rPr>
        <w:t>22.5. BCA Roles &amp; Responsibilities Snapshot</w:t>
      </w:r>
    </w:p>
    <w:p>
      <w:pPr>
        <w:spacing w:after="20" w:line="223" w:lineRule="auto"/>
        <w:jc w:val="right"/>
        <w:bidi/>
      </w:pPr>
      <w:r>
        <w:rPr>
          <w:rFonts w:ascii="Arial" w:hAnsi="Arial"/>
          <w:sz w:val="16"/>
        </w:rPr>
        <w:t>402.18  BCP یک برنامه هدایت‌شده توسط فرمانده واحد است.</w:t>
      </w:r>
    </w:p>
    <w:p>
      <w:pPr>
        <w:spacing w:after="28" w:line="216" w:lineRule="auto"/>
        <w:ind w:left="259"/>
        <w:jc w:val="left"/>
      </w:pPr>
      <w:r>
        <w:rPr>
          <w:rFonts w:ascii="Arial" w:hAnsi="Arial"/>
          <w:color w:val="525252"/>
          <w:sz w:val="13"/>
        </w:rPr>
        <w:t>The BCP is a unit commander driven program.</w:t>
      </w:r>
    </w:p>
    <w:p>
      <w:pPr>
        <w:spacing w:after="20" w:line="223" w:lineRule="auto"/>
        <w:jc w:val="right"/>
        <w:bidi/>
      </w:pPr>
      <w:r>
        <w:rPr>
          <w:rFonts w:ascii="Arial" w:hAnsi="Arial"/>
          <w:sz w:val="16"/>
        </w:rPr>
        <w:t>402.19  یگانها هنگام اداره BCP از دستورالعمل خط‌مشی زیر که در ۵ ژانویه ۲۰۲۳ منتشر شده است پیروی خواهند کرد: فرماندهان یا مشابه.</w:t>
      </w:r>
    </w:p>
    <w:p>
      <w:pPr>
        <w:spacing w:after="28" w:line="216" w:lineRule="auto"/>
        <w:ind w:left="259"/>
        <w:jc w:val="left"/>
      </w:pPr>
      <w:r>
        <w:rPr>
          <w:rFonts w:ascii="Arial" w:hAnsi="Arial"/>
          <w:color w:val="525252"/>
          <w:sz w:val="13"/>
        </w:rPr>
        <w:t>Units will adhere to the following policy guidance published on 5 January 2023 when administering the BCP: Commanders or equivalents.</w:t>
      </w:r>
    </w:p>
    <w:p>
      <w:pPr>
        <w:spacing w:after="20" w:line="223" w:lineRule="auto"/>
        <w:jc w:val="right"/>
        <w:bidi/>
      </w:pPr>
      <w:r>
        <w:rPr>
          <w:rFonts w:ascii="Arial" w:hAnsi="Arial"/>
          <w:sz w:val="16"/>
        </w:rPr>
        <w:t>402.20  فرماندهان یا هم ارزها با فراهم کردن امکانات و تجهیزات ایمن، منابع لازم و بودجه برای حمایت از BCP، BCA را در سراسر واحد اجرا، اجرا و تضمین خواهند کرد.</w:t>
      </w:r>
    </w:p>
    <w:p>
      <w:pPr>
        <w:spacing w:after="28" w:line="216" w:lineRule="auto"/>
        <w:ind w:left="259"/>
        <w:jc w:val="left"/>
      </w:pPr>
      <w:r>
        <w:rPr>
          <w:rFonts w:ascii="Arial" w:hAnsi="Arial"/>
          <w:color w:val="525252"/>
          <w:sz w:val="13"/>
        </w:rPr>
        <w:t>Commanders or equivalents will execute, enforce, and ensure administration of BCA across the unit by providing safe facilities and equipment, necessary resources, and funding to support the BCP.</w:t>
      </w:r>
    </w:p>
    <w:p>
      <w:pPr>
        <w:spacing w:after="20" w:line="223" w:lineRule="auto"/>
        <w:jc w:val="right"/>
        <w:bidi/>
      </w:pPr>
      <w:r>
        <w:rPr>
          <w:rFonts w:ascii="Arial" w:hAnsi="Arial"/>
          <w:sz w:val="16"/>
        </w:rPr>
        <w:t>402.21  شناسایی مدیران ترکیب بدن (BCM) مرد و زن در واحدها برای مدیریت BCA و مدیریت پلت فرم سیستم IT (میبودیکومپ) برای کد واحد/PAS آنها.</w:t>
      </w:r>
    </w:p>
    <w:p>
      <w:pPr>
        <w:spacing w:after="28" w:line="216" w:lineRule="auto"/>
        <w:ind w:left="259"/>
        <w:jc w:val="left"/>
      </w:pPr>
      <w:r>
        <w:rPr>
          <w:rFonts w:ascii="Arial" w:hAnsi="Arial"/>
          <w:color w:val="525252"/>
          <w:sz w:val="13"/>
        </w:rPr>
        <w:t>Identify male and female Body Composition Managers (BCM) within units to administer BCAs and manage the IT system platform (myBodyComp) for their unit/PAS Code.</w:t>
      </w:r>
    </w:p>
    <w:p>
      <w:pPr>
        <w:spacing w:after="20" w:line="223" w:lineRule="auto"/>
        <w:jc w:val="right"/>
        <w:bidi/>
      </w:pPr>
      <w:r>
        <w:rPr>
          <w:rFonts w:ascii="Arial" w:hAnsi="Arial"/>
          <w:sz w:val="16"/>
        </w:rPr>
        <w:t>402.22  واحدها باید حداقل یکی از هر جنس را داشته باشند. هیچ شرط نمره‌ای وجود ندارد</w:t>
      </w:r>
    </w:p>
    <w:p>
      <w:pPr>
        <w:spacing w:after="28" w:line="216" w:lineRule="auto"/>
        <w:ind w:left="259"/>
        <w:jc w:val="left"/>
      </w:pPr>
      <w:r>
        <w:rPr>
          <w:rFonts w:ascii="Arial" w:hAnsi="Arial"/>
          <w:color w:val="525252"/>
          <w:sz w:val="13"/>
        </w:rPr>
        <w:t>Units must have at least one of each sex; there is no grade requirement.</w:t>
      </w:r>
    </w:p>
    <w:p>
      <w:pPr>
        <w:spacing w:after="20" w:line="223" w:lineRule="auto"/>
        <w:jc w:val="right"/>
        <w:bidi/>
      </w:pPr>
      <w:r>
        <w:rPr>
          <w:rFonts w:ascii="Arial" w:hAnsi="Arial"/>
          <w:sz w:val="16"/>
        </w:rPr>
        <w:t>402.23  تجهیزات مورد نیاز را خریداری کنید (به‌عنوان مثال، متر نوار بدون کشش به اینچ).</w:t>
      </w:r>
    </w:p>
    <w:p>
      <w:pPr>
        <w:spacing w:after="28" w:line="216" w:lineRule="auto"/>
        <w:ind w:left="259"/>
        <w:jc w:val="left"/>
      </w:pPr>
      <w:r>
        <w:rPr>
          <w:rFonts w:ascii="Arial" w:hAnsi="Arial"/>
          <w:color w:val="525252"/>
          <w:sz w:val="13"/>
        </w:rPr>
        <w:t>Purchase required equipment (e.g., non-stretch tape measure in inches).</w:t>
      </w:r>
    </w:p>
    <w:p>
      <w:pPr>
        <w:spacing w:after="20" w:line="223" w:lineRule="auto"/>
        <w:jc w:val="right"/>
        <w:bidi/>
      </w:pPr>
      <w:r>
        <w:rPr>
          <w:rFonts w:ascii="Arial" w:hAnsi="Arial"/>
          <w:sz w:val="16"/>
        </w:rPr>
        <w:t>402.24  ثبت‌نام هوادارانی که ابتدا در طول دوره انطباق با وهتر &gt; ۰.۵۵ در یک برنامه ۱۲ ماهه غیررسمی بهبود ترکیب بدن (BCIP) مورد نیاز با استفاده از فرم ۱۰۸ DAF، دپارتمان آموزش آمادگی جسمانی نیروی هوایی و مداخله نیروی هوایی، تا دپارتمان مداخله نیروی هوایی ۱۱، بخش عمومی ۱۱ فورک فورک فورک فورک، فورک افدی، ثبت‌نام کنید. کارت امتیازی ارزیابی ترکیب و کاربرگ مداخله.</w:t>
      </w:r>
    </w:p>
    <w:p>
      <w:pPr>
        <w:spacing w:after="28" w:line="216" w:lineRule="auto"/>
        <w:ind w:left="259"/>
        <w:jc w:val="left"/>
      </w:pPr>
      <w:r>
        <w:rPr>
          <w:rFonts w:ascii="Arial" w:hAnsi="Arial"/>
          <w:color w:val="525252"/>
          <w:sz w:val="13"/>
        </w:rPr>
        <w:t>Enroll Airmen initially identified during the adaptation period with a WHtR of &gt; 0.55 into a 12-month required informal self-directed Body Composition Improvement Program (BCIP) using the DAF Form 108, Department of the Air Force Fitness Education and Intervention Processing, until publication of the new DAF Form 113, Department of the Air Force Body Composition Assessment Scorecard and Intervention Worksheet.</w:t>
      </w:r>
    </w:p>
    <w:p>
      <w:pPr>
        <w:spacing w:after="20" w:line="223" w:lineRule="auto"/>
        <w:jc w:val="right"/>
        <w:bidi/>
      </w:pPr>
      <w:r>
        <w:rPr>
          <w:rFonts w:ascii="Arial" w:hAnsi="Arial"/>
          <w:sz w:val="16"/>
        </w:rPr>
        <w:t>402.25  ثبت‌نام در BCIP خودگردان غیررسمی به‌عنوان عدم رعایت استاندارد BCP تلقی نمی‌شود.</w:t>
      </w:r>
    </w:p>
    <w:p>
      <w:pPr>
        <w:spacing w:after="28" w:line="216" w:lineRule="auto"/>
        <w:ind w:left="259"/>
        <w:jc w:val="left"/>
      </w:pPr>
      <w:r>
        <w:rPr>
          <w:rFonts w:ascii="Arial" w:hAnsi="Arial"/>
          <w:color w:val="525252"/>
          <w:sz w:val="13"/>
        </w:rPr>
        <w:t>Enrollment in the informal self-directed BCIP is not considered a failure to meet the BCP standard.</w:t>
      </w:r>
    </w:p>
    <w:p>
      <w:pPr>
        <w:spacing w:after="20" w:line="223" w:lineRule="auto"/>
        <w:jc w:val="right"/>
        <w:bidi/>
      </w:pPr>
      <w:r>
        <w:rPr>
          <w:rFonts w:ascii="Arial" w:hAnsi="Arial"/>
          <w:sz w:val="16"/>
        </w:rPr>
        <w:t>402.26  فرماندهان در جریان خودگردانی غیررسمی اقدامات اداری انجام نخواهند داد</w:t>
      </w:r>
    </w:p>
    <w:p>
      <w:pPr>
        <w:spacing w:after="28" w:line="216" w:lineRule="auto"/>
        <w:ind w:left="259"/>
        <w:jc w:val="left"/>
      </w:pPr>
      <w:r>
        <w:rPr>
          <w:rFonts w:ascii="Arial" w:hAnsi="Arial"/>
          <w:color w:val="525252"/>
          <w:sz w:val="13"/>
        </w:rPr>
        <w:t>Commanders will not take administrative actions during the informal self-directed</w:t>
      </w:r>
    </w:p>
    <w:p>
      <w:pPr>
        <w:spacing w:before="60" w:after="28"/>
        <w:jc w:val="right"/>
        <w:bidi/>
      </w:pPr>
      <w:r>
        <w:rPr>
          <w:b/>
          <w:color w:val="1F4D78"/>
          <w:sz w:val="18"/>
        </w:rPr>
        <w:t>BCIP.</w:t>
      </w:r>
    </w:p>
    <w:p>
      <w:pPr>
        <w:spacing w:after="20"/>
        <w:ind w:left="259"/>
        <w:jc w:val="left"/>
      </w:pPr>
      <w:r>
        <w:rPr>
          <w:color w:val="555555"/>
          <w:sz w:val="12"/>
        </w:rPr>
        <w:t>BCIP.</w:t>
      </w:r>
    </w:p>
    <w:p>
      <w:r>
        <w:br w:type="page"/>
      </w:r>
    </w:p>
    <w:p>
      <w:pPr>
        <w:spacing w:after="60"/>
        <w:jc w:val="right"/>
        <w:bidi/>
      </w:pPr>
      <w:r>
        <w:rPr>
          <w:rFonts w:ascii="Arial" w:hAnsi="Arial"/>
          <w:b/>
          <w:color w:val="1F4D78"/>
          <w:sz w:val="19"/>
        </w:rPr>
        <w:t>هفتهٔ 403  |  صفحهٔ منبع: 419</w:t>
      </w:r>
    </w:p>
    <w:p>
      <w:pPr>
        <w:spacing w:after="20" w:line="223" w:lineRule="auto"/>
        <w:jc w:val="right"/>
        <w:bidi/>
      </w:pPr>
      <w:r>
        <w:rPr>
          <w:rFonts w:ascii="Arial" w:hAnsi="Arial"/>
          <w:sz w:val="16"/>
        </w:rPr>
        <w:t>403.01  فرماندهان یا مشابه‌ها پیروی از طرح بهبود ترکیب بدنی را که توسط نیروهای هوایی توسعه داده شده است تشویق می‌کنند و وهتر را پس از تکمیل BCIP غیررسمی خود هدایت می‌کنند.</w:t>
      </w:r>
    </w:p>
    <w:p>
      <w:pPr>
        <w:spacing w:after="28" w:line="216" w:lineRule="auto"/>
        <w:ind w:left="259"/>
        <w:jc w:val="left"/>
      </w:pPr>
      <w:r>
        <w:rPr>
          <w:rFonts w:ascii="Arial" w:hAnsi="Arial"/>
          <w:color w:val="525252"/>
          <w:sz w:val="13"/>
        </w:rPr>
        <w:t>Commanders or equivalents will encourage compliance with the body composition improvement plan developed by Airmen and reassess WHtR after completing the informal self-directed BCIP.</w:t>
      </w:r>
    </w:p>
    <w:p>
      <w:pPr>
        <w:spacing w:after="20" w:line="223" w:lineRule="auto"/>
        <w:jc w:val="right"/>
        <w:bidi/>
      </w:pPr>
      <w:r>
        <w:rPr>
          <w:rFonts w:ascii="Arial" w:hAnsi="Arial"/>
          <w:sz w:val="16"/>
        </w:rPr>
        <w:t>403.02  پس از شکست‌های بعدی در دستیابی به استانداردهای BCP با استفاده از فرم ۱۰۸ DAF تا انتشار فرم ۱۱۳ جدید DAF، نیروهای هوایی را در یک BCIP رسمی خودگردان ثبت‌نام کنید.</w:t>
      </w:r>
    </w:p>
    <w:p>
      <w:pPr>
        <w:spacing w:after="28" w:line="216" w:lineRule="auto"/>
        <w:ind w:left="259"/>
        <w:jc w:val="left"/>
      </w:pPr>
      <w:r>
        <w:rPr>
          <w:rFonts w:ascii="Arial" w:hAnsi="Arial"/>
          <w:color w:val="525252"/>
          <w:sz w:val="13"/>
        </w:rPr>
        <w:t>Enroll Airmen in a formal self-directed BCIP after subsequent failures to achieve BCP standards using the DAF Form 108 until publication of the new DAF Form 113.</w:t>
      </w:r>
    </w:p>
    <w:p>
      <w:pPr>
        <w:spacing w:after="20" w:line="223" w:lineRule="auto"/>
        <w:jc w:val="right"/>
        <w:bidi/>
      </w:pPr>
      <w:r>
        <w:rPr>
          <w:rFonts w:ascii="Arial" w:hAnsi="Arial"/>
          <w:sz w:val="16"/>
        </w:rPr>
        <w:t>403.03  ثبت‌نام در BCIP خودگردان رسمی اولین شکست در برآورده کردن استاندارد BCP در نظر گرفته می‌شود.</w:t>
      </w:r>
    </w:p>
    <w:p>
      <w:pPr>
        <w:spacing w:after="28" w:line="216" w:lineRule="auto"/>
        <w:ind w:left="259"/>
        <w:jc w:val="left"/>
      </w:pPr>
      <w:r>
        <w:rPr>
          <w:rFonts w:ascii="Arial" w:hAnsi="Arial"/>
          <w:color w:val="525252"/>
          <w:sz w:val="13"/>
        </w:rPr>
        <w:t>Enrollment in the formal self-directed BCIP is considered the first failure to meet the BCP standard.</w:t>
      </w:r>
    </w:p>
    <w:p>
      <w:pPr>
        <w:spacing w:after="20" w:line="223" w:lineRule="auto"/>
        <w:jc w:val="right"/>
        <w:bidi/>
      </w:pPr>
      <w:r>
        <w:rPr>
          <w:rFonts w:ascii="Arial" w:hAnsi="Arial"/>
          <w:sz w:val="16"/>
        </w:rPr>
        <w:t>403.04  ارزیابی مجدد در ماه تولد بعدی یا ۱۲ ماه از آخرین BCA انجام خواهد شد.</w:t>
      </w:r>
    </w:p>
    <w:p>
      <w:pPr>
        <w:spacing w:after="28" w:line="216" w:lineRule="auto"/>
        <w:ind w:left="259"/>
        <w:jc w:val="left"/>
      </w:pPr>
      <w:r>
        <w:rPr>
          <w:rFonts w:ascii="Arial" w:hAnsi="Arial"/>
          <w:color w:val="525252"/>
          <w:sz w:val="13"/>
        </w:rPr>
        <w:t>Reassessments will be conducted during the next birth month or 12 months from the last BCA.</w:t>
      </w:r>
    </w:p>
    <w:p>
      <w:pPr>
        <w:spacing w:after="20" w:line="223" w:lineRule="auto"/>
        <w:jc w:val="right"/>
        <w:bidi/>
      </w:pPr>
      <w:r>
        <w:rPr>
          <w:rFonts w:ascii="Arial" w:hAnsi="Arial"/>
          <w:sz w:val="16"/>
        </w:rPr>
        <w:t>403.05  هنگامی که هیچ شرایط پزشکی وجود نداشته باشد که هوانوردان را از رعایت استاندارد BCP منع کند، فرماندهان یا مشابه‌ها اقدامات اداری را شامل جداسازی برای شکست‌های مکرر در نظر می‌گیرند.</w:t>
      </w:r>
    </w:p>
    <w:p>
      <w:pPr>
        <w:spacing w:after="28" w:line="216" w:lineRule="auto"/>
        <w:ind w:left="259"/>
        <w:jc w:val="left"/>
      </w:pPr>
      <w:r>
        <w:rPr>
          <w:rFonts w:ascii="Arial" w:hAnsi="Arial"/>
          <w:color w:val="525252"/>
          <w:sz w:val="13"/>
        </w:rPr>
        <w:t>When no medical condition exists that would preclude Airmen from meeting the BCP standard, commanders or equivalents will consider administrative actions to include separation for repeated failures.</w:t>
      </w:r>
    </w:p>
    <w:p>
      <w:pPr>
        <w:spacing w:after="20" w:line="223" w:lineRule="auto"/>
        <w:jc w:val="right"/>
        <w:bidi/>
      </w:pPr>
      <w:r>
        <w:rPr>
          <w:rFonts w:ascii="Arial" w:hAnsi="Arial"/>
          <w:sz w:val="16"/>
        </w:rPr>
        <w:t>403.06  مدیران ترکیب بدن (BCM).</w:t>
      </w:r>
    </w:p>
    <w:p>
      <w:pPr>
        <w:spacing w:after="28" w:line="216" w:lineRule="auto"/>
        <w:ind w:left="259"/>
        <w:jc w:val="left"/>
      </w:pPr>
      <w:r>
        <w:rPr>
          <w:rFonts w:ascii="Arial" w:hAnsi="Arial"/>
          <w:color w:val="525252"/>
          <w:sz w:val="13"/>
        </w:rPr>
        <w:t>Body Composition Managers (BCM).</w:t>
      </w:r>
    </w:p>
    <w:p>
      <w:pPr>
        <w:spacing w:after="20" w:line="223" w:lineRule="auto"/>
        <w:jc w:val="right"/>
        <w:bidi/>
      </w:pPr>
      <w:r>
        <w:rPr>
          <w:rFonts w:ascii="Arial" w:hAnsi="Arial"/>
          <w:sz w:val="16"/>
        </w:rPr>
        <w:t>403.07  BCM ها قبل از اجرای وظایف طبق الزام BCP در آموزش اجباری شرکت خواهند کرد.</w:t>
      </w:r>
    </w:p>
    <w:p>
      <w:pPr>
        <w:spacing w:after="28" w:line="216" w:lineRule="auto"/>
        <w:ind w:left="259"/>
        <w:jc w:val="left"/>
      </w:pPr>
      <w:r>
        <w:rPr>
          <w:rFonts w:ascii="Arial" w:hAnsi="Arial"/>
          <w:color w:val="525252"/>
          <w:sz w:val="13"/>
        </w:rPr>
        <w:t>BCMs will attend mandatory training before executing duties as required by the BCP.</w:t>
      </w:r>
    </w:p>
    <w:p>
      <w:pPr>
        <w:spacing w:after="20" w:line="223" w:lineRule="auto"/>
        <w:jc w:val="right"/>
        <w:bidi/>
      </w:pPr>
      <w:r>
        <w:rPr>
          <w:rFonts w:ascii="Arial" w:hAnsi="Arial"/>
          <w:sz w:val="16"/>
        </w:rPr>
        <w:t>403.08  تاریخ‌های آموزش از طریق پیام مای پرز در راه است.</w:t>
      </w:r>
    </w:p>
    <w:p>
      <w:pPr>
        <w:spacing w:after="28" w:line="216" w:lineRule="auto"/>
        <w:ind w:left="259"/>
        <w:jc w:val="left"/>
      </w:pPr>
      <w:r>
        <w:rPr>
          <w:rFonts w:ascii="Arial" w:hAnsi="Arial"/>
          <w:color w:val="525252"/>
          <w:sz w:val="13"/>
        </w:rPr>
        <w:t>Training dates are forthcoming via MyPers messaging.</w:t>
      </w:r>
    </w:p>
    <w:p>
      <w:pPr>
        <w:spacing w:after="20" w:line="223" w:lineRule="auto"/>
        <w:jc w:val="right"/>
        <w:bidi/>
      </w:pPr>
      <w:r>
        <w:rPr>
          <w:rFonts w:ascii="Arial" w:hAnsi="Arial"/>
          <w:sz w:val="16"/>
        </w:rPr>
        <w:t>403.09  بکاس را در واحد اجرا کنید و فقط اعضای همجنس را ارزیابی کنید.</w:t>
      </w:r>
    </w:p>
    <w:p>
      <w:pPr>
        <w:spacing w:after="28" w:line="216" w:lineRule="auto"/>
        <w:ind w:left="259"/>
        <w:jc w:val="left"/>
      </w:pPr>
      <w:r>
        <w:rPr>
          <w:rFonts w:ascii="Arial" w:hAnsi="Arial"/>
          <w:color w:val="525252"/>
          <w:sz w:val="13"/>
        </w:rPr>
        <w:t>Administer BCAs within the unit and only assess members of the same sex.</w:t>
      </w:r>
    </w:p>
    <w:p>
      <w:pPr>
        <w:spacing w:after="20" w:line="223" w:lineRule="auto"/>
        <w:jc w:val="right"/>
        <w:bidi/>
      </w:pPr>
      <w:r>
        <w:rPr>
          <w:rFonts w:ascii="Arial" w:hAnsi="Arial"/>
          <w:sz w:val="16"/>
        </w:rPr>
        <w:t>403.10  BCM ها از جنسیت اعضا استفاده می‌کنند که در سیستم داده پرسنل نظامی برای BCA ها منعکس شده است.</w:t>
      </w:r>
    </w:p>
    <w:p>
      <w:pPr>
        <w:spacing w:after="28" w:line="216" w:lineRule="auto"/>
        <w:ind w:left="259"/>
        <w:jc w:val="left"/>
      </w:pPr>
      <w:r>
        <w:rPr>
          <w:rFonts w:ascii="Arial" w:hAnsi="Arial"/>
          <w:color w:val="525252"/>
          <w:sz w:val="13"/>
        </w:rPr>
        <w:t>BCMs will utilize members’ sex reflected in Military Personnel Data System for BCAs.</w:t>
      </w:r>
    </w:p>
    <w:p>
      <w:pPr>
        <w:spacing w:after="20" w:line="223" w:lineRule="auto"/>
        <w:jc w:val="right"/>
        <w:bidi/>
      </w:pPr>
      <w:r>
        <w:rPr>
          <w:rFonts w:ascii="Arial" w:hAnsi="Arial"/>
          <w:sz w:val="16"/>
        </w:rPr>
        <w:t>403.11  نتایج وهتر را در میبودیکومپ وارد کنید تا شامل معافیت‌ها شود.</w:t>
      </w:r>
    </w:p>
    <w:p>
      <w:pPr>
        <w:spacing w:after="28" w:line="216" w:lineRule="auto"/>
        <w:ind w:left="259"/>
        <w:jc w:val="left"/>
      </w:pPr>
      <w:r>
        <w:rPr>
          <w:rFonts w:ascii="Arial" w:hAnsi="Arial"/>
          <w:color w:val="525252"/>
          <w:sz w:val="13"/>
        </w:rPr>
        <w:t>Input WHtR results into myBodyComp to include exemptions.</w:t>
      </w:r>
    </w:p>
    <w:p>
      <w:pPr>
        <w:spacing w:after="20" w:line="223" w:lineRule="auto"/>
        <w:jc w:val="right"/>
        <w:bidi/>
      </w:pPr>
      <w:r>
        <w:rPr>
          <w:rFonts w:ascii="Arial" w:hAnsi="Arial"/>
          <w:sz w:val="16"/>
        </w:rPr>
        <w:t>403.12  برقراری ارتباط با الزامات برنامه (به‌عنوان مثال، طرح بهبود ترکیب بدن) برای هوانوردانی که در BCIP خودگردان غیررسمی و رسمی ثبت‌نام کرده‌اند و تا زمان انتشار فرم ۱۱۳ DAF جدید با استفاده از فرم ۱۰۸ DAF به اعضا کمک کنید.</w:t>
      </w:r>
    </w:p>
    <w:p>
      <w:pPr>
        <w:spacing w:after="28" w:line="216" w:lineRule="auto"/>
        <w:ind w:left="259"/>
        <w:jc w:val="left"/>
      </w:pPr>
      <w:r>
        <w:rPr>
          <w:rFonts w:ascii="Arial" w:hAnsi="Arial"/>
          <w:color w:val="525252"/>
          <w:sz w:val="13"/>
        </w:rPr>
        <w:t>Communicate program requirements (e.g., body composition improvement plan) for Airmen enrolled in informal and formal self-directed BCIP and assist members using the DAF Form 108 until publication of the new DAF Form 113.</w:t>
      </w:r>
    </w:p>
    <w:p>
      <w:pPr>
        <w:spacing w:after="20" w:line="223" w:lineRule="auto"/>
        <w:jc w:val="right"/>
        <w:bidi/>
      </w:pPr>
      <w:r>
        <w:rPr>
          <w:rFonts w:ascii="Arial" w:hAnsi="Arial"/>
          <w:sz w:val="16"/>
        </w:rPr>
        <w:t>403.13  در صورت درخواست، معیارها و گزارش‌های واحد BCP موجود در پلتفرم میبودیکومپ را در اختیار فرمانده واحد قرار دهید.</w:t>
      </w:r>
    </w:p>
    <w:p>
      <w:pPr>
        <w:spacing w:after="28" w:line="216" w:lineRule="auto"/>
        <w:ind w:left="259"/>
        <w:jc w:val="left"/>
      </w:pPr>
      <w:r>
        <w:rPr>
          <w:rFonts w:ascii="Arial" w:hAnsi="Arial"/>
          <w:color w:val="525252"/>
          <w:sz w:val="13"/>
        </w:rPr>
        <w:t>Provide unit BCP metrics and reports available in the myBodyComp platform to the unit commander upon request.</w:t>
      </w:r>
    </w:p>
    <w:p>
      <w:pPr>
        <w:spacing w:after="20" w:line="223" w:lineRule="auto"/>
        <w:jc w:val="right"/>
        <w:bidi/>
      </w:pPr>
      <w:r>
        <w:rPr>
          <w:rFonts w:ascii="Arial" w:hAnsi="Arial"/>
          <w:sz w:val="16"/>
        </w:rPr>
        <w:t>403.14  به فرمانده واحد هوانوردانی که الزامات برنامه را برآورده نمی‌کنند (به‌عنوان مثال، BCA عقب افتاده، عدم رعایت استانداردهای BCP، عدم رعایت الزامات برنامه) اطلاع دهید.</w:t>
      </w:r>
    </w:p>
    <w:p>
      <w:pPr>
        <w:spacing w:after="28" w:line="216" w:lineRule="auto"/>
        <w:ind w:left="259"/>
        <w:jc w:val="left"/>
      </w:pPr>
      <w:r>
        <w:rPr>
          <w:rFonts w:ascii="Arial" w:hAnsi="Arial"/>
          <w:color w:val="525252"/>
          <w:sz w:val="13"/>
        </w:rPr>
        <w:t>Inform the unit commander of Airmen who do not meet program requirements (i.e., overdue BCA, not meeting BCP standards, non-compliance with program requirements).</w:t>
      </w:r>
    </w:p>
    <w:p>
      <w:pPr>
        <w:spacing w:after="20" w:line="223" w:lineRule="auto"/>
        <w:jc w:val="right"/>
        <w:bidi/>
      </w:pPr>
      <w:r>
        <w:rPr>
          <w:rFonts w:ascii="Arial" w:hAnsi="Arial"/>
          <w:sz w:val="16"/>
        </w:rPr>
        <w:t>403.15  هوانیروز.</w:t>
      </w:r>
    </w:p>
    <w:p>
      <w:pPr>
        <w:spacing w:after="28" w:line="216" w:lineRule="auto"/>
        <w:ind w:left="259"/>
        <w:jc w:val="left"/>
      </w:pPr>
      <w:r>
        <w:rPr>
          <w:rFonts w:ascii="Arial" w:hAnsi="Arial"/>
          <w:color w:val="525252"/>
          <w:sz w:val="13"/>
        </w:rPr>
        <w:t>Airmen.</w:t>
      </w:r>
    </w:p>
    <w:p>
      <w:pPr>
        <w:spacing w:after="20" w:line="223" w:lineRule="auto"/>
        <w:jc w:val="right"/>
        <w:bidi/>
      </w:pPr>
      <w:r>
        <w:rPr>
          <w:rFonts w:ascii="Arial" w:hAnsi="Arial"/>
          <w:sz w:val="16"/>
        </w:rPr>
        <w:t>403.16  هوانوردان سالانه در ماه تولد یا ۱۲ ماه خود (ارزیابی خارج از چرخه) ارزیابی خواهند کرد.</w:t>
      </w:r>
    </w:p>
    <w:p>
      <w:pPr>
        <w:spacing w:after="28" w:line="216" w:lineRule="auto"/>
        <w:ind w:left="259"/>
        <w:jc w:val="left"/>
      </w:pPr>
      <w:r>
        <w:rPr>
          <w:rFonts w:ascii="Arial" w:hAnsi="Arial"/>
          <w:color w:val="525252"/>
          <w:sz w:val="13"/>
        </w:rPr>
        <w:t>Airmen will assess annually within their birth month or 12 months (out-of-cycle assessment).</w:t>
      </w:r>
    </w:p>
    <w:p>
      <w:pPr>
        <w:spacing w:after="20" w:line="223" w:lineRule="auto"/>
        <w:jc w:val="right"/>
        <w:bidi/>
      </w:pPr>
      <w:r>
        <w:rPr>
          <w:rFonts w:ascii="Arial" w:hAnsi="Arial"/>
          <w:sz w:val="16"/>
        </w:rPr>
        <w:t>403.17  برای اطمینان از جداسازی PFA و اجازه دادن به مأموریت و انعطاف‌پذیری شخصی، اعضا می‌توانند BCA خود را یک ماه تقویمی قبل از ماه تولد یا تاریخ ارزیابی مجدد خود انجام دهند.</w:t>
      </w:r>
    </w:p>
    <w:p>
      <w:pPr>
        <w:spacing w:after="28" w:line="216" w:lineRule="auto"/>
        <w:ind w:left="259"/>
        <w:jc w:val="left"/>
      </w:pPr>
      <w:r>
        <w:rPr>
          <w:rFonts w:ascii="Arial" w:hAnsi="Arial"/>
          <w:color w:val="525252"/>
          <w:sz w:val="13"/>
        </w:rPr>
        <w:t>To ensure decoupling of the PFA and to allow for mission and personal flexibility, members may opt to accomplish their BCA one calendar month before their birth month or reassessment date.</w:t>
      </w:r>
    </w:p>
    <w:p>
      <w:pPr>
        <w:spacing w:after="20" w:line="223" w:lineRule="auto"/>
        <w:jc w:val="right"/>
        <w:bidi/>
      </w:pPr>
      <w:r>
        <w:rPr>
          <w:rFonts w:ascii="Arial" w:hAnsi="Arial"/>
          <w:sz w:val="16"/>
        </w:rPr>
        <w:t>403.18  زمانی که عضوی از استقرار، فرمانده یا معافیت غیر مشارکتی ARC برخوردار باشد، BCA گرفته نخواهد شد.</w:t>
      </w:r>
    </w:p>
    <w:p>
      <w:pPr>
        <w:spacing w:after="28" w:line="216" w:lineRule="auto"/>
        <w:ind w:left="259"/>
        <w:jc w:val="left"/>
      </w:pPr>
      <w:r>
        <w:rPr>
          <w:rFonts w:ascii="Arial" w:hAnsi="Arial"/>
          <w:color w:val="525252"/>
          <w:sz w:val="13"/>
        </w:rPr>
        <w:t>BCAs will not be taken when a member is provided a deployment, commander, or ARC non-participating exemption.</w:t>
      </w:r>
    </w:p>
    <w:p>
      <w:pPr>
        <w:spacing w:after="20" w:line="223" w:lineRule="auto"/>
        <w:jc w:val="right"/>
        <w:bidi/>
      </w:pPr>
      <w:r>
        <w:rPr>
          <w:rFonts w:ascii="Arial" w:hAnsi="Arial"/>
          <w:sz w:val="16"/>
        </w:rPr>
        <w:t>403.19  اعضا موظفند ظرف دو ماه پس از انقضای معافیت، BCA را انجام دهند.</w:t>
      </w:r>
    </w:p>
    <w:p>
      <w:pPr>
        <w:spacing w:after="28" w:line="216" w:lineRule="auto"/>
        <w:ind w:left="259"/>
        <w:jc w:val="left"/>
      </w:pPr>
      <w:r>
        <w:rPr>
          <w:rFonts w:ascii="Arial" w:hAnsi="Arial"/>
          <w:color w:val="525252"/>
          <w:sz w:val="13"/>
        </w:rPr>
        <w:t>Members are required to accomplish a BCA within two months after the exemption expiration.</w:t>
      </w:r>
    </w:p>
    <w:p>
      <w:pPr>
        <w:spacing w:after="20" w:line="223" w:lineRule="auto"/>
        <w:jc w:val="right"/>
        <w:bidi/>
      </w:pPr>
      <w:r>
        <w:rPr>
          <w:rFonts w:ascii="Arial" w:hAnsi="Arial"/>
          <w:sz w:val="16"/>
        </w:rPr>
        <w:t>403.20  توجه: همه اعضا در صورت محدودیت پزشکی، BCA دریافت خواهند کرد، مگر اینکه نمایه (فرم AF ۴۶۹، گزارش وضعیت محدودیت وظیفه) معافیت BCA را نشان دهد.</w:t>
      </w:r>
    </w:p>
    <w:p>
      <w:pPr>
        <w:spacing w:after="28" w:line="216" w:lineRule="auto"/>
        <w:ind w:left="259"/>
        <w:jc w:val="left"/>
      </w:pPr>
      <w:r>
        <w:rPr>
          <w:rFonts w:ascii="Arial" w:hAnsi="Arial"/>
          <w:color w:val="525252"/>
          <w:sz w:val="13"/>
        </w:rPr>
        <w:t>Note: all members will have a BCA taken when on a medical restriction unless a profile (AF Form 469, Duty Limiting Condition Report) indicates a BCA exemption.</w:t>
      </w:r>
    </w:p>
    <w:p>
      <w:pPr>
        <w:spacing w:after="20" w:line="223" w:lineRule="auto"/>
        <w:jc w:val="right"/>
        <w:bidi/>
      </w:pPr>
      <w:r>
        <w:rPr>
          <w:rFonts w:ascii="Arial" w:hAnsi="Arial"/>
          <w:sz w:val="16"/>
        </w:rPr>
        <w:t>403.21  هوانوردان اگر با وهتر &gt; ۰.۵۵ شناسایی شوند موارد زیر را تکمیل خواهند کرد: در BCIP غیررسمی ۱۲ ماهه خودگردان ثبت‌نام کنید و پس از تکمیل وهتر را مجددا ارزیابی کنید.</w:t>
      </w:r>
    </w:p>
    <w:p>
      <w:pPr>
        <w:spacing w:after="28" w:line="216" w:lineRule="auto"/>
        <w:ind w:left="259"/>
        <w:jc w:val="left"/>
      </w:pPr>
      <w:r>
        <w:rPr>
          <w:rFonts w:ascii="Arial" w:hAnsi="Arial"/>
          <w:color w:val="525252"/>
          <w:sz w:val="13"/>
        </w:rPr>
        <w:t>Airmen will complete the following if identified with a WHtR of &gt; 0.55: Enroll in the 12-month informal self-directed BCIP and reassess WHtR upon completion.</w:t>
      </w:r>
    </w:p>
    <w:p>
      <w:pPr>
        <w:spacing w:after="20" w:line="223" w:lineRule="auto"/>
        <w:jc w:val="right"/>
        <w:bidi/>
      </w:pPr>
      <w:r>
        <w:rPr>
          <w:rFonts w:ascii="Arial" w:hAnsi="Arial"/>
          <w:sz w:val="16"/>
        </w:rPr>
        <w:t>403.22  یک ارزیابی پزشکی و ارزیابی عوامل خطر را با مرکز درمانی خود برنامه‌ریزی کنید.</w:t>
      </w:r>
    </w:p>
    <w:p>
      <w:pPr>
        <w:spacing w:after="28" w:line="216" w:lineRule="auto"/>
        <w:ind w:left="259"/>
        <w:jc w:val="left"/>
      </w:pPr>
      <w:r>
        <w:rPr>
          <w:rFonts w:ascii="Arial" w:hAnsi="Arial"/>
          <w:color w:val="525252"/>
          <w:sz w:val="13"/>
        </w:rPr>
        <w:t>Schedule a medical evaluation and assessment for risk factors with their Medical Treatment Facility.</w:t>
      </w:r>
    </w:p>
    <w:p>
      <w:pPr>
        <w:spacing w:after="20" w:line="223" w:lineRule="auto"/>
        <w:jc w:val="right"/>
        <w:bidi/>
      </w:pPr>
      <w:r>
        <w:rPr>
          <w:rFonts w:ascii="Arial" w:hAnsi="Arial"/>
          <w:sz w:val="16"/>
        </w:rPr>
        <w:t>403.23  اعضای ARC بررسی سوابق پزشکی را با واحد پزشکی رزرو/واحد پزشکی گارد برنامه‌ریزی می‌کنند.</w:t>
      </w:r>
    </w:p>
    <w:p>
      <w:pPr>
        <w:spacing w:after="28" w:line="216" w:lineRule="auto"/>
        <w:ind w:left="259"/>
        <w:jc w:val="left"/>
      </w:pPr>
      <w:r>
        <w:rPr>
          <w:rFonts w:ascii="Arial" w:hAnsi="Arial"/>
          <w:color w:val="525252"/>
          <w:sz w:val="13"/>
        </w:rPr>
        <w:t>ARC members will schedule a medical records review with the Reserve Medical Unit/Guard Medical Unit.</w:t>
      </w:r>
    </w:p>
    <w:p>
      <w:pPr>
        <w:spacing w:after="20" w:line="223" w:lineRule="auto"/>
        <w:jc w:val="right"/>
        <w:bidi/>
      </w:pPr>
      <w:r>
        <w:rPr>
          <w:rFonts w:ascii="Arial" w:hAnsi="Arial"/>
          <w:sz w:val="16"/>
        </w:rPr>
        <w:t>403.24  راهنمای ترکیب بدنی بهینه سازی سلامت و آمادگی (HERO) را مرور کنید، که اطلاعات و منابعی را در مورد دستیابی به ترکیب بدنی سالم ارائه می‌دهد.</w:t>
      </w:r>
    </w:p>
    <w:p>
      <w:pPr>
        <w:spacing w:after="28" w:line="216" w:lineRule="auto"/>
        <w:ind w:left="259"/>
        <w:jc w:val="left"/>
      </w:pPr>
      <w:r>
        <w:rPr>
          <w:rFonts w:ascii="Arial" w:hAnsi="Arial"/>
          <w:color w:val="525252"/>
          <w:sz w:val="13"/>
        </w:rPr>
        <w:t>Review the Health and Readiness Optimization (HeRO) Body Composition Guide, which provides information and resources on achieving a healthy body composition.</w:t>
      </w:r>
    </w:p>
    <w:p>
      <w:pPr>
        <w:spacing w:after="20" w:line="223" w:lineRule="auto"/>
        <w:jc w:val="right"/>
        <w:bidi/>
      </w:pPr>
      <w:r>
        <w:rPr>
          <w:rFonts w:ascii="Arial" w:hAnsi="Arial"/>
          <w:sz w:val="16"/>
        </w:rPr>
        <w:t>403.25  یک برنامه اقدام بهبود ترکیب بدن که استراتژی، منابع و گزینه‌های مشاوره‌ای را که عضو استفاده می‌کند مشخص می‌کند و آن را به BCM و فرمانده واحد ارسال می‌کند.</w:t>
      </w:r>
    </w:p>
    <w:p>
      <w:pPr>
        <w:spacing w:after="28" w:line="216" w:lineRule="auto"/>
        <w:ind w:left="259"/>
        <w:jc w:val="left"/>
      </w:pPr>
      <w:r>
        <w:rPr>
          <w:rFonts w:ascii="Arial" w:hAnsi="Arial"/>
          <w:color w:val="525252"/>
          <w:sz w:val="13"/>
        </w:rPr>
        <w:t>Develop a body composition improvement action plan that outlines the strategy, resources, and counseling options the member will use and submit it to the BCM and unit commander.</w:t>
      </w:r>
    </w:p>
    <w:p>
      <w:pPr>
        <w:spacing w:after="20" w:line="223" w:lineRule="auto"/>
        <w:jc w:val="right"/>
        <w:bidi/>
      </w:pPr>
      <w:r>
        <w:rPr>
          <w:rFonts w:ascii="Arial" w:hAnsi="Arial"/>
          <w:sz w:val="16"/>
        </w:rPr>
        <w:t>403.26  هوانوردان در صورت عدم رعایت استانداردها (وهتر &gt; ۰.۵۵) پس از تکمیل برنامه غیررسمی خودگردانی، موارد زیر را تکمیل خواهند کرد: در BCIP رسمی خودگردان ثبت‌نام کنید.</w:t>
      </w:r>
    </w:p>
    <w:p>
      <w:pPr>
        <w:spacing w:after="28" w:line="216" w:lineRule="auto"/>
        <w:ind w:left="259"/>
        <w:jc w:val="left"/>
      </w:pPr>
      <w:r>
        <w:rPr>
          <w:rFonts w:ascii="Arial" w:hAnsi="Arial"/>
          <w:color w:val="525252"/>
          <w:sz w:val="13"/>
        </w:rPr>
        <w:t>Airmen will complete the following if identified as not meeting standards (WHtR &gt; 0.55) after completion of the informal self-directed program: Enroll in the formal self-directed BCIP.</w:t>
      </w:r>
    </w:p>
    <w:p>
      <w:pPr>
        <w:spacing w:after="20" w:line="223" w:lineRule="auto"/>
        <w:jc w:val="right"/>
        <w:bidi/>
      </w:pPr>
      <w:r>
        <w:rPr>
          <w:rFonts w:ascii="Arial" w:hAnsi="Arial"/>
          <w:sz w:val="16"/>
        </w:rPr>
        <w:t>403.27  برنامه بهبود ترکیب بدن را با استفاده از منابع برای دستیابی به استاندارد BCP بازبینی، ادامه دهید و/یا تنظیم کنید (مانند پزشکی، راهنمای قهرمان، آژانس‌های کمک محلی).</w:t>
      </w:r>
    </w:p>
    <w:p>
      <w:pPr>
        <w:spacing w:after="28" w:line="216" w:lineRule="auto"/>
        <w:ind w:left="259"/>
        <w:jc w:val="left"/>
      </w:pPr>
      <w:r>
        <w:rPr>
          <w:rFonts w:ascii="Arial" w:hAnsi="Arial"/>
          <w:color w:val="525252"/>
          <w:sz w:val="13"/>
        </w:rPr>
        <w:t>Review, continue, and/or adjust body composition improvement plan utilizing resources to achieve the BCP standard (e.g., Medical, HeRO Guide, local helping agencies).</w:t>
      </w:r>
    </w:p>
    <w:p>
      <w:pPr>
        <w:spacing w:after="20" w:line="223" w:lineRule="auto"/>
        <w:jc w:val="right"/>
        <w:bidi/>
      </w:pPr>
      <w:r>
        <w:rPr>
          <w:rFonts w:ascii="Arial" w:hAnsi="Arial"/>
          <w:sz w:val="16"/>
        </w:rPr>
        <w:t>403.28  وهتر را در ماه تولد بعدی یا ۱۲ ماه از آخرین BCA (ارزیابی خارج از چرخه) مجددا ارزیابی کنید.</w:t>
      </w:r>
    </w:p>
    <w:p>
      <w:pPr>
        <w:spacing w:after="28" w:line="216" w:lineRule="auto"/>
        <w:ind w:left="259"/>
        <w:jc w:val="left"/>
      </w:pPr>
      <w:r>
        <w:rPr>
          <w:rFonts w:ascii="Arial" w:hAnsi="Arial"/>
          <w:color w:val="525252"/>
          <w:sz w:val="13"/>
        </w:rPr>
        <w:t>Reassess WHtR during the next birth month or 12 months from the last BCA (out-of-cycle assessment).</w:t>
      </w:r>
    </w:p>
    <w:p>
      <w:pPr>
        <w:spacing w:after="20" w:line="223" w:lineRule="auto"/>
        <w:jc w:val="right"/>
        <w:bidi/>
      </w:pPr>
      <w:r>
        <w:rPr>
          <w:rFonts w:ascii="Arial" w:hAnsi="Arial"/>
          <w:sz w:val="16"/>
        </w:rPr>
        <w:t>403.29  در صورت عدم رعایت استاندارد پس از رعایت استاندارد، مجددا در BCIP رسمی خودگردان ثبت‌نام کنید.</w:t>
      </w:r>
    </w:p>
    <w:p>
      <w:pPr>
        <w:spacing w:after="28" w:line="216" w:lineRule="auto"/>
        <w:ind w:left="259"/>
        <w:jc w:val="left"/>
      </w:pPr>
      <w:r>
        <w:rPr>
          <w:rFonts w:ascii="Arial" w:hAnsi="Arial"/>
          <w:color w:val="525252"/>
          <w:sz w:val="13"/>
        </w:rPr>
        <w:t>Re-enroll in formal self-directed BCIP if identified as failing to meet standard after subsequently meeting standard.</w:t>
      </w:r>
    </w:p>
    <w:p>
      <w:r>
        <w:br w:type="page"/>
      </w:r>
    </w:p>
    <w:p>
      <w:pPr>
        <w:spacing w:after="60"/>
        <w:jc w:val="right"/>
        <w:bidi/>
      </w:pPr>
      <w:r>
        <w:rPr>
          <w:rFonts w:ascii="Arial" w:hAnsi="Arial"/>
          <w:b/>
          <w:color w:val="1F4D78"/>
          <w:sz w:val="19"/>
        </w:rPr>
        <w:t>هفتهٔ 404  |  صفحهٔ منبع: 420</w:t>
      </w:r>
    </w:p>
    <w:p>
      <w:pPr>
        <w:spacing w:before="60" w:after="28"/>
        <w:jc w:val="right"/>
        <w:bidi/>
      </w:pPr>
      <w:r>
        <w:rPr>
          <w:b/>
          <w:color w:val="1F4D78"/>
          <w:sz w:val="18"/>
        </w:rPr>
        <w:t>بخش 22B—ارزیابی رسمی تناسب اندام</w:t>
      </w:r>
    </w:p>
    <w:p>
      <w:pPr>
        <w:spacing w:after="20"/>
        <w:ind w:left="259"/>
        <w:jc w:val="left"/>
      </w:pPr>
      <w:r>
        <w:rPr>
          <w:color w:val="555555"/>
          <w:sz w:val="12"/>
        </w:rPr>
        <w:t>Section 22B—Official Fitness Assessment</w:t>
      </w:r>
    </w:p>
    <w:p>
      <w:pPr>
        <w:spacing w:before="60" w:after="28"/>
        <w:jc w:val="right"/>
        <w:bidi/>
      </w:pPr>
      <w:r>
        <w:rPr>
          <w:b/>
          <w:color w:val="1F4D78"/>
          <w:sz w:val="18"/>
        </w:rPr>
        <w:t>22.6. رویه های ارزیابی تناسب اندام</w:t>
      </w:r>
    </w:p>
    <w:p>
      <w:pPr>
        <w:spacing w:after="20"/>
        <w:ind w:left="259"/>
        <w:jc w:val="left"/>
      </w:pPr>
      <w:r>
        <w:rPr>
          <w:color w:val="555555"/>
          <w:sz w:val="12"/>
        </w:rPr>
        <w:t>22.6. Fitness Assessment Procedures</w:t>
      </w:r>
    </w:p>
    <w:p>
      <w:pPr>
        <w:spacing w:after="20" w:line="223" w:lineRule="auto"/>
        <w:jc w:val="right"/>
        <w:bidi/>
      </w:pPr>
      <w:r>
        <w:rPr>
          <w:rFonts w:ascii="Arial" w:hAnsi="Arial"/>
          <w:sz w:val="16"/>
        </w:rPr>
        <w:t>404.03  سطوح آمادگی جسمانی کافی تضمین می‌کند که هر خلبان می‌تواند به درستی از مأموریت USAF پشتیبانی کند و در عین حال با ظرفیت بهینه انجام شود.</w:t>
      </w:r>
    </w:p>
    <w:p>
      <w:pPr>
        <w:spacing w:after="28" w:line="216" w:lineRule="auto"/>
        <w:ind w:left="259"/>
        <w:jc w:val="left"/>
      </w:pPr>
      <w:r>
        <w:rPr>
          <w:rFonts w:ascii="Arial" w:hAnsi="Arial"/>
          <w:color w:val="525252"/>
          <w:sz w:val="13"/>
        </w:rPr>
        <w:t>Adequate physical fitness levels ensure every Airman can properly support the USAF mission while performing at optimal capacity.</w:t>
      </w:r>
    </w:p>
    <w:p>
      <w:pPr>
        <w:spacing w:after="20" w:line="223" w:lineRule="auto"/>
        <w:jc w:val="right"/>
        <w:bidi/>
      </w:pPr>
      <w:r>
        <w:rPr>
          <w:rFonts w:ascii="Arial" w:hAnsi="Arial"/>
          <w:sz w:val="16"/>
        </w:rPr>
        <w:t>404.04  تمام اجزای ارزیابی آمادگی جسمانی باید در یک بازه زمانی سه ساعته در همان روز تکمیل شود.</w:t>
      </w:r>
    </w:p>
    <w:p>
      <w:pPr>
        <w:spacing w:after="28" w:line="216" w:lineRule="auto"/>
        <w:ind w:left="259"/>
        <w:jc w:val="left"/>
      </w:pPr>
      <w:r>
        <w:rPr>
          <w:rFonts w:ascii="Arial" w:hAnsi="Arial"/>
          <w:color w:val="525252"/>
          <w:sz w:val="13"/>
        </w:rPr>
        <w:t>All components of the fitness assessment must be completed within a three-hour window on the same day.</w:t>
      </w:r>
    </w:p>
    <w:p>
      <w:pPr>
        <w:spacing w:after="20" w:line="223" w:lineRule="auto"/>
        <w:jc w:val="right"/>
        <w:bidi/>
      </w:pPr>
      <w:r>
        <w:rPr>
          <w:rFonts w:ascii="Arial" w:hAnsi="Arial"/>
          <w:sz w:val="16"/>
        </w:rPr>
        <w:t>404.05  اگر کارکنان FAC یا عوامل تقویت‌کننده تشخیص دهند که شرایط کاهش‌دهنده از تکمیل آزمایش جلوگیری می‌کند، به‌عنوان مثال، تغییرات سریع یا شرایط آب و هوایی شدید، بلایای طبیعی، شرایط اضطراری یا مسائل ایمنی، در این صورت همه اجزا باید در اولین فرصت برنامه‌ریزی و تکمیل شوند.</w:t>
      </w:r>
    </w:p>
    <w:p>
      <w:pPr>
        <w:spacing w:after="28" w:line="216" w:lineRule="auto"/>
        <w:ind w:left="259"/>
        <w:jc w:val="left"/>
      </w:pPr>
      <w:r>
        <w:rPr>
          <w:rFonts w:ascii="Arial" w:hAnsi="Arial"/>
          <w:color w:val="525252"/>
          <w:sz w:val="13"/>
        </w:rPr>
        <w:t>If FAC staff or augmentees determine extenuating circumstances prevent completion of the test, for example, rapidly changing or severe weather conditions, natural disasters, emergencies, or safety issues, then all components must be rescheduled and completed at the earliest opportunity.</w:t>
      </w:r>
    </w:p>
    <w:p>
      <w:pPr>
        <w:spacing w:after="20" w:line="223" w:lineRule="auto"/>
        <w:jc w:val="right"/>
        <w:bidi/>
      </w:pPr>
      <w:r>
        <w:rPr>
          <w:rFonts w:ascii="Arial" w:hAnsi="Arial"/>
          <w:sz w:val="16"/>
        </w:rPr>
        <w:t>404.06  جزء ترکیب بدن اولین جزء ارزیابی تناسب اندام است.</w:t>
      </w:r>
    </w:p>
    <w:p>
      <w:pPr>
        <w:spacing w:after="28" w:line="216" w:lineRule="auto"/>
        <w:ind w:left="259"/>
        <w:jc w:val="left"/>
      </w:pPr>
      <w:r>
        <w:rPr>
          <w:rFonts w:ascii="Arial" w:hAnsi="Arial"/>
          <w:color w:val="525252"/>
          <w:sz w:val="13"/>
        </w:rPr>
        <w:t>The body composition component is the first component of the fitness assessment.</w:t>
      </w:r>
    </w:p>
    <w:p>
      <w:pPr>
        <w:spacing w:after="20" w:line="223" w:lineRule="auto"/>
        <w:jc w:val="right"/>
        <w:bidi/>
      </w:pPr>
      <w:r>
        <w:rPr>
          <w:rFonts w:ascii="Arial" w:hAnsi="Arial"/>
          <w:sz w:val="16"/>
        </w:rPr>
        <w:t>404.07  شامل اندازه‌گیری قد و وزن و به دنبال آن اجزای قدرت عضلانی (کش‌آپ‌های ۱ دقیقه‌ای، یا فشارهای باز کردن دست ۲ دقیقه‌ای (HRPU)) است.</w:t>
      </w:r>
    </w:p>
    <w:p>
      <w:pPr>
        <w:spacing w:after="28" w:line="216" w:lineRule="auto"/>
        <w:ind w:left="259"/>
        <w:jc w:val="left"/>
      </w:pPr>
      <w:r>
        <w:rPr>
          <w:rFonts w:ascii="Arial" w:hAnsi="Arial"/>
          <w:color w:val="525252"/>
          <w:sz w:val="13"/>
        </w:rPr>
        <w:t>It includes measuring height and weight followed by the muscular strength components (1-minute push-ups, or 2-minute hand release push-ups (HRPU)).</w:t>
      </w:r>
    </w:p>
    <w:p>
      <w:pPr>
        <w:spacing w:after="20" w:line="223" w:lineRule="auto"/>
        <w:jc w:val="right"/>
        <w:bidi/>
      </w:pPr>
      <w:r>
        <w:rPr>
          <w:rFonts w:ascii="Arial" w:hAnsi="Arial"/>
          <w:sz w:val="16"/>
        </w:rPr>
        <w:t>404.08  مرحله بعدی کور ندورانک (۱ دقیقه دراز و نشست، ۲ دقیقه کرانچ معکوس پاهای متقاطع (CLRC) یا تخته ساعد زمان‌دار) است.</w:t>
      </w:r>
    </w:p>
    <w:p>
      <w:pPr>
        <w:spacing w:after="28" w:line="216" w:lineRule="auto"/>
        <w:ind w:left="259"/>
        <w:jc w:val="left"/>
      </w:pPr>
      <w:r>
        <w:rPr>
          <w:rFonts w:ascii="Arial" w:hAnsi="Arial"/>
          <w:color w:val="525252"/>
          <w:sz w:val="13"/>
        </w:rPr>
        <w:t>Next is the Core Endurance (1-minute sit-ups, 2-minute cross leg reverse crunch (CLRC), or timed forearm plank).</w:t>
      </w:r>
    </w:p>
    <w:p>
      <w:pPr>
        <w:spacing w:after="20" w:line="223" w:lineRule="auto"/>
        <w:jc w:val="right"/>
        <w:bidi/>
      </w:pPr>
      <w:r>
        <w:rPr>
          <w:rFonts w:ascii="Arial" w:hAnsi="Arial"/>
          <w:sz w:val="16"/>
        </w:rPr>
        <w:t>404.09  در نهایت، تناسب اندام قلبی تنفسی آخرین است (۱.۵ مایل دویدن، ۲۰ متر HAMR یا ۲ کیلومتر پیاده روی (اگر از نظر پزشکی مجاز به دویدن نباشد).</w:t>
      </w:r>
    </w:p>
    <w:p>
      <w:pPr>
        <w:spacing w:after="28" w:line="216" w:lineRule="auto"/>
        <w:ind w:left="259"/>
        <w:jc w:val="left"/>
      </w:pPr>
      <w:r>
        <w:rPr>
          <w:rFonts w:ascii="Arial" w:hAnsi="Arial"/>
          <w:color w:val="525252"/>
          <w:sz w:val="13"/>
        </w:rPr>
        <w:t>Finally, the Cardiorespiratory Fitness is last (1.5-mile run, 20 meter HAMR or the 2 kilometer walk (if not medically cleared to run).</w:t>
      </w:r>
    </w:p>
    <w:p>
      <w:pPr>
        <w:spacing w:after="20" w:line="223" w:lineRule="auto"/>
        <w:jc w:val="right"/>
        <w:bidi/>
      </w:pPr>
      <w:r>
        <w:rPr>
          <w:rFonts w:ascii="Arial" w:hAnsi="Arial"/>
          <w:sz w:val="16"/>
        </w:rPr>
        <w:t>404.10  حداقل پنج دقیقه استراحت بین اجزا وجود دارد.</w:t>
      </w:r>
    </w:p>
    <w:p>
      <w:pPr>
        <w:spacing w:after="28" w:line="216" w:lineRule="auto"/>
        <w:ind w:left="259"/>
        <w:jc w:val="left"/>
      </w:pPr>
      <w:r>
        <w:rPr>
          <w:rFonts w:ascii="Arial" w:hAnsi="Arial"/>
          <w:color w:val="525252"/>
          <w:sz w:val="13"/>
        </w:rPr>
        <w:t>There is a minimum five-minute rest period between components.</w:t>
      </w:r>
    </w:p>
    <w:p>
      <w:pPr>
        <w:spacing w:after="20" w:line="223" w:lineRule="auto"/>
        <w:jc w:val="right"/>
        <w:bidi/>
      </w:pPr>
      <w:r>
        <w:rPr>
          <w:rFonts w:ascii="Arial" w:hAnsi="Arial"/>
          <w:sz w:val="16"/>
        </w:rPr>
        <w:t>404.11  توجه: اجزای ارزیابی باید به گونه‌ای برنامه‌ریزی شوند که در ساعات کاری نامنظم یا شیفتی به اعضا استراحت کافی بدهد.</w:t>
      </w:r>
    </w:p>
    <w:p>
      <w:pPr>
        <w:spacing w:after="28" w:line="216" w:lineRule="auto"/>
        <w:ind w:left="259"/>
        <w:jc w:val="left"/>
      </w:pPr>
      <w:r>
        <w:rPr>
          <w:rFonts w:ascii="Arial" w:hAnsi="Arial"/>
          <w:color w:val="525252"/>
          <w:sz w:val="13"/>
        </w:rPr>
        <w:t>Note: The assessment components should be scheduled to allow adequate rest for members on irregular or shift work hours.</w:t>
      </w:r>
    </w:p>
    <w:p>
      <w:pPr>
        <w:spacing w:after="20" w:line="223" w:lineRule="auto"/>
        <w:jc w:val="right"/>
        <w:bidi/>
      </w:pPr>
      <w:r>
        <w:rPr>
          <w:rFonts w:ascii="Arial" w:hAnsi="Arial"/>
          <w:sz w:val="16"/>
        </w:rPr>
        <w:t>404.12  همچنین اعضای رزرو باید در وضعیت وظیفه برای ارزیابی آمادگی جسمانی باشند.</w:t>
      </w:r>
    </w:p>
    <w:p>
      <w:pPr>
        <w:spacing w:after="28" w:line="216" w:lineRule="auto"/>
        <w:ind w:left="259"/>
        <w:jc w:val="left"/>
      </w:pPr>
      <w:r>
        <w:rPr>
          <w:rFonts w:ascii="Arial" w:hAnsi="Arial"/>
          <w:color w:val="525252"/>
          <w:sz w:val="13"/>
        </w:rPr>
        <w:t>Also, Reserve members must be in a duty status for fitness assessments.</w:t>
      </w:r>
    </w:p>
    <w:p>
      <w:pPr>
        <w:spacing w:after="20" w:line="223" w:lineRule="auto"/>
        <w:jc w:val="right"/>
        <w:bidi/>
      </w:pPr>
      <w:r>
        <w:rPr>
          <w:rFonts w:ascii="Arial" w:hAnsi="Arial"/>
          <w:sz w:val="16"/>
        </w:rPr>
        <w:t>404.13  هوانوردان ARC باید حداکثر تا جلسه بعدی آموزشی واحد یا تمرین منظم برنامه‌ریزی شده زمانی که ارزیابی‌های رسمی تناسب اندام انجام می‌شود مجددا آزمایش کنند.</w:t>
      </w:r>
    </w:p>
    <w:p>
      <w:pPr>
        <w:spacing w:after="28" w:line="216" w:lineRule="auto"/>
        <w:ind w:left="259"/>
        <w:jc w:val="left"/>
      </w:pPr>
      <w:r>
        <w:rPr>
          <w:rFonts w:ascii="Arial" w:hAnsi="Arial"/>
          <w:color w:val="525252"/>
          <w:sz w:val="13"/>
        </w:rPr>
        <w:t>ARC Airmen will be required to retest no later than the next Unit Training Assembly or Regularly Scheduled Drill when official fitness assessments are being conducted.</w:t>
      </w:r>
    </w:p>
    <w:p>
      <w:pPr>
        <w:spacing w:after="20" w:line="223" w:lineRule="auto"/>
        <w:jc w:val="right"/>
        <w:bidi/>
      </w:pPr>
      <w:r>
        <w:rPr>
          <w:rFonts w:ascii="Arial" w:hAnsi="Arial"/>
          <w:sz w:val="16"/>
        </w:rPr>
        <w:t>404.14  فیلمبرداری از ارزیابی‌های تناسب اندام مجاز نیست و همچنین نباید در فرآیند تجدید نظر استفاده شود.</w:t>
      </w:r>
    </w:p>
    <w:p>
      <w:pPr>
        <w:spacing w:after="28" w:line="216" w:lineRule="auto"/>
        <w:ind w:left="259"/>
        <w:jc w:val="left"/>
      </w:pPr>
      <w:r>
        <w:rPr>
          <w:rFonts w:ascii="Arial" w:hAnsi="Arial"/>
          <w:color w:val="525252"/>
          <w:sz w:val="13"/>
        </w:rPr>
        <w:t>Videotaping of fitness assessments is not allowed, nor should it be used in the appeal process.</w:t>
      </w:r>
    </w:p>
    <w:p>
      <w:pPr>
        <w:spacing w:after="20" w:line="223" w:lineRule="auto"/>
        <w:jc w:val="right"/>
        <w:bidi/>
      </w:pPr>
      <w:r>
        <w:rPr>
          <w:rFonts w:ascii="Arial" w:hAnsi="Arial"/>
          <w:sz w:val="16"/>
        </w:rPr>
        <w:t>404.15  پرسشنامه غربالگری تناسب اندام.</w:t>
      </w:r>
    </w:p>
    <w:p>
      <w:pPr>
        <w:spacing w:after="28" w:line="216" w:lineRule="auto"/>
        <w:ind w:left="259"/>
        <w:jc w:val="left"/>
      </w:pPr>
      <w:r>
        <w:rPr>
          <w:rFonts w:ascii="Arial" w:hAnsi="Arial"/>
          <w:color w:val="525252"/>
          <w:sz w:val="13"/>
        </w:rPr>
        <w:t>Fitness Screening Questionnaire.</w:t>
      </w:r>
    </w:p>
    <w:p>
      <w:pPr>
        <w:spacing w:after="20" w:line="223" w:lineRule="auto"/>
        <w:jc w:val="right"/>
        <w:bidi/>
      </w:pPr>
      <w:r>
        <w:rPr>
          <w:rFonts w:ascii="Arial" w:hAnsi="Arial"/>
          <w:sz w:val="16"/>
        </w:rPr>
        <w:t>404.16  هنگام برنامه‌ریزی قبل از ارزیابی تناسب اندام، یک پرسشنامه غربالگری تناسب اندام در میفیتنسس تکمیل می‌شود تا در صورت لزوم، زمانی برای ارزیابی پزشکی ارائه شود.</w:t>
      </w:r>
    </w:p>
    <w:p>
      <w:pPr>
        <w:spacing w:after="28" w:line="216" w:lineRule="auto"/>
        <w:ind w:left="259"/>
        <w:jc w:val="left"/>
      </w:pPr>
      <w:r>
        <w:rPr>
          <w:rFonts w:ascii="Arial" w:hAnsi="Arial"/>
          <w:color w:val="525252"/>
          <w:sz w:val="13"/>
        </w:rPr>
        <w:t>A fitness screening questionnaire will be completed in myFitness when scheduling prior to the fitness assessment, to provide time for medical evaluation, when indicated.</w:t>
      </w:r>
    </w:p>
    <w:p>
      <w:pPr>
        <w:spacing w:after="20" w:line="223" w:lineRule="auto"/>
        <w:jc w:val="right"/>
        <w:bidi/>
      </w:pPr>
      <w:r>
        <w:rPr>
          <w:rFonts w:ascii="Arial" w:hAnsi="Arial"/>
          <w:sz w:val="16"/>
        </w:rPr>
        <w:t>404.17  عدم تکمیل پرسشنامه غربالگری تناسب اندام، ارزیابی تناسب اندام را باطل نمی‌کند.</w:t>
      </w:r>
    </w:p>
    <w:p>
      <w:pPr>
        <w:spacing w:after="28" w:line="216" w:lineRule="auto"/>
        <w:ind w:left="259"/>
        <w:jc w:val="left"/>
      </w:pPr>
      <w:r>
        <w:rPr>
          <w:rFonts w:ascii="Arial" w:hAnsi="Arial"/>
          <w:color w:val="525252"/>
          <w:sz w:val="13"/>
        </w:rPr>
        <w:t>Failure to complete the fitness screening questionnaire does not invalidate the fitness assessment.</w:t>
      </w:r>
    </w:p>
    <w:p>
      <w:pPr>
        <w:spacing w:after="20" w:line="223" w:lineRule="auto"/>
        <w:jc w:val="right"/>
        <w:bidi/>
      </w:pPr>
      <w:r>
        <w:rPr>
          <w:rFonts w:ascii="Arial" w:hAnsi="Arial"/>
          <w:sz w:val="16"/>
        </w:rPr>
        <w:t>404.18  اگر پاسخ‌های FSQ بین ارسال اصلی FSQ و اجرای PFA تغییر کرده است، عضو باید به مدیر PFA اطلاع دهد.</w:t>
      </w:r>
    </w:p>
    <w:p>
      <w:pPr>
        <w:spacing w:after="28" w:line="216" w:lineRule="auto"/>
        <w:ind w:left="259"/>
        <w:jc w:val="left"/>
      </w:pPr>
      <w:r>
        <w:rPr>
          <w:rFonts w:ascii="Arial" w:hAnsi="Arial"/>
          <w:color w:val="525252"/>
          <w:sz w:val="13"/>
        </w:rPr>
        <w:t>Member must inform PFA Administrator if FSQ responses have changed between original submission of FSQ and execution of PFA.</w:t>
      </w:r>
    </w:p>
    <w:p>
      <w:pPr>
        <w:spacing w:before="60" w:after="28"/>
        <w:jc w:val="right"/>
        <w:bidi/>
      </w:pPr>
      <w:r>
        <w:rPr>
          <w:b/>
          <w:color w:val="1F4D78"/>
          <w:sz w:val="18"/>
        </w:rPr>
        <w:t>22.7. امتیاز ترکیبی ارزیابی تناسب اندام</w:t>
      </w:r>
    </w:p>
    <w:p>
      <w:pPr>
        <w:spacing w:after="20"/>
        <w:ind w:left="259"/>
        <w:jc w:val="left"/>
      </w:pPr>
      <w:r>
        <w:rPr>
          <w:color w:val="555555"/>
          <w:sz w:val="12"/>
        </w:rPr>
        <w:t>22.7. Fitness Assessment Composite Score</w:t>
      </w:r>
    </w:p>
    <w:p>
      <w:pPr>
        <w:spacing w:after="20" w:line="223" w:lineRule="auto"/>
        <w:jc w:val="right"/>
        <w:bidi/>
      </w:pPr>
      <w:r>
        <w:rPr>
          <w:rFonts w:ascii="Arial" w:hAnsi="Arial"/>
          <w:sz w:val="16"/>
        </w:rPr>
        <w:t>404.20  از نمرات ترکیبی تناسب اندام برای تعیین نمره کلی ارزیابی تناسب اندام استفاده می‌شود.</w:t>
      </w:r>
    </w:p>
    <w:p>
      <w:pPr>
        <w:spacing w:after="28" w:line="216" w:lineRule="auto"/>
        <w:ind w:left="259"/>
        <w:jc w:val="left"/>
      </w:pPr>
      <w:r>
        <w:rPr>
          <w:rFonts w:ascii="Arial" w:hAnsi="Arial"/>
          <w:color w:val="525252"/>
          <w:sz w:val="13"/>
        </w:rPr>
        <w:t>The composite fitness scores are used to determine the overall fitness assessment score.</w:t>
      </w:r>
    </w:p>
    <w:p>
      <w:pPr>
        <w:spacing w:after="20" w:line="223" w:lineRule="auto"/>
        <w:jc w:val="right"/>
        <w:bidi/>
      </w:pPr>
      <w:r>
        <w:rPr>
          <w:rFonts w:ascii="Arial" w:hAnsi="Arial"/>
          <w:sz w:val="16"/>
        </w:rPr>
        <w:t>404.21  تناسب اندام هوازی با ارزیابی آمادگی جسمانی سه جزیی شامل دوی ۱.۵ مایلی (۲ کیلومتر پیاده روی متناوب پزشکی) یا دوی چند شاتل ایروبیک بالا (۲۰م HAMR)، فشارهای یک دقیقه‌ای یا فشارهای رها کردن دست اختیاری، و کراس‌آپ‌های درازنشست یا آپشن آپشن کراس‌آپ با پاها یا سی‌آپ آپشن آپشن ارزیابی می‌شود.</w:t>
      </w:r>
    </w:p>
    <w:p>
      <w:pPr>
        <w:spacing w:after="28" w:line="216" w:lineRule="auto"/>
        <w:ind w:left="259"/>
        <w:jc w:val="left"/>
      </w:pPr>
      <w:r>
        <w:rPr>
          <w:rFonts w:ascii="Arial" w:hAnsi="Arial"/>
          <w:color w:val="525252"/>
          <w:sz w:val="13"/>
        </w:rPr>
        <w:t>Aerobic fitness is evaluated by a three-component physical fitness assessment consisting of the 1.5-mile run (medical alternate 2 km walk) or optional high aerobic multi-shuttle run (20M HAMR), one minute push-ups or optional hand release push-ups, and sit-ups or optional cross-leg reverse crunch or plank.</w:t>
      </w:r>
    </w:p>
    <w:p>
      <w:pPr>
        <w:spacing w:after="20" w:line="223" w:lineRule="auto"/>
        <w:jc w:val="right"/>
        <w:bidi/>
      </w:pPr>
      <w:r>
        <w:rPr>
          <w:rFonts w:ascii="Arial" w:hAnsi="Arial"/>
          <w:sz w:val="16"/>
        </w:rPr>
        <w:t>404.22  هوانوردان یک امتیاز ترکیبی در مقیاس ۰ تا ۱۰۰ بر اساس حداکثر امتیازات مؤلفه زیر دریافت می‌کنند: ۶۰ امتیاز برای مؤلفه هوازی، ۲۰ امتیاز برای مؤلفه عضلانی، ۲۰ امتیاز برای مؤلفه دراز و نشست، حداقل امتیازات.</w:t>
      </w:r>
    </w:p>
    <w:p>
      <w:pPr>
        <w:spacing w:after="28" w:line="216" w:lineRule="auto"/>
        <w:ind w:left="259"/>
        <w:jc w:val="left"/>
      </w:pPr>
      <w:r>
        <w:rPr>
          <w:rFonts w:ascii="Arial" w:hAnsi="Arial"/>
          <w:color w:val="525252"/>
          <w:sz w:val="13"/>
        </w:rPr>
        <w:t>Airmen receive a composite score on a 0 to 100 scale based on the following maximum component scores: 60 points for aerobic component 20 points for muscular component 20 points for sit-up component Minimum Scores.</w:t>
      </w:r>
    </w:p>
    <w:p>
      <w:pPr>
        <w:spacing w:after="20" w:line="223" w:lineRule="auto"/>
        <w:jc w:val="right"/>
        <w:bidi/>
      </w:pPr>
      <w:r>
        <w:rPr>
          <w:rFonts w:ascii="Arial" w:hAnsi="Arial"/>
          <w:sz w:val="16"/>
        </w:rPr>
        <w:t>404.23  حداقل نمرات مؤلفه برای اطمینان از آزمون کافی اعضا در همه مؤلفه‌ها ایجاد شده است.</w:t>
      </w:r>
    </w:p>
    <w:p>
      <w:pPr>
        <w:spacing w:after="28" w:line="216" w:lineRule="auto"/>
        <w:ind w:left="259"/>
        <w:jc w:val="left"/>
      </w:pPr>
      <w:r>
        <w:rPr>
          <w:rFonts w:ascii="Arial" w:hAnsi="Arial"/>
          <w:color w:val="525252"/>
          <w:sz w:val="13"/>
        </w:rPr>
        <w:t>The minimum component scores are established to ensure members test adequately in all components.</w:t>
      </w:r>
    </w:p>
    <w:p>
      <w:pPr>
        <w:spacing w:after="20" w:line="223" w:lineRule="auto"/>
        <w:jc w:val="right"/>
        <w:bidi/>
      </w:pPr>
      <w:r>
        <w:rPr>
          <w:rFonts w:ascii="Arial" w:hAnsi="Arial"/>
          <w:sz w:val="16"/>
        </w:rPr>
        <w:t>404.24  کسب حداقل امتیاز در هر یک از مؤلفه‌ها، حداقل امتیاز لازم برای کسب نمره قبولی ارزیابی تناسب اندام را تشکیل نمی‌دهد.</w:t>
      </w:r>
    </w:p>
    <w:p>
      <w:pPr>
        <w:spacing w:after="28" w:line="216" w:lineRule="auto"/>
        <w:ind w:left="259"/>
        <w:jc w:val="left"/>
      </w:pPr>
      <w:r>
        <w:rPr>
          <w:rFonts w:ascii="Arial" w:hAnsi="Arial"/>
          <w:color w:val="525252"/>
          <w:sz w:val="13"/>
        </w:rPr>
        <w:t>Meeting the minimum score in each of the components does not constitute the minimum points required to earn a passing fitness assessment score.</w:t>
      </w:r>
    </w:p>
    <w:p>
      <w:pPr>
        <w:spacing w:after="20" w:line="223" w:lineRule="auto"/>
        <w:jc w:val="right"/>
        <w:bidi/>
      </w:pPr>
      <w:r>
        <w:rPr>
          <w:rFonts w:ascii="Arial" w:hAnsi="Arial"/>
          <w:sz w:val="16"/>
        </w:rPr>
        <w:t>404.25  امتیاز دادن به حداقل مقادیر مؤلفه در همه مؤلفه‌ها، امتیاز کافی برای کسب امتیاز ترکیبی ۷۵ یا بیشتر ایجاد نمی‌کند.</w:t>
      </w:r>
    </w:p>
    <w:p>
      <w:pPr>
        <w:spacing w:after="28" w:line="216" w:lineRule="auto"/>
        <w:ind w:left="259"/>
        <w:jc w:val="left"/>
      </w:pPr>
      <w:r>
        <w:rPr>
          <w:rFonts w:ascii="Arial" w:hAnsi="Arial"/>
          <w:color w:val="525252"/>
          <w:sz w:val="13"/>
        </w:rPr>
        <w:t>Scoring the minimum component values in all components will not generate enough points to earn a composite score of 75 or greater.</w:t>
      </w:r>
    </w:p>
    <w:p>
      <w:pPr>
        <w:spacing w:after="20" w:line="223" w:lineRule="auto"/>
        <w:jc w:val="right"/>
        <w:bidi/>
      </w:pPr>
      <w:r>
        <w:rPr>
          <w:rFonts w:ascii="Arial" w:hAnsi="Arial"/>
          <w:sz w:val="16"/>
        </w:rPr>
        <w:t>404.26  نمودارهای امتیاز ارزیابی تناسب اندام بر حسب سن و جنس در میفسس ارائه شده است.</w:t>
      </w:r>
    </w:p>
    <w:p>
      <w:pPr>
        <w:spacing w:after="28" w:line="216" w:lineRule="auto"/>
        <w:ind w:left="259"/>
        <w:jc w:val="left"/>
      </w:pPr>
      <w:r>
        <w:rPr>
          <w:rFonts w:ascii="Arial" w:hAnsi="Arial"/>
          <w:color w:val="525252"/>
          <w:sz w:val="13"/>
        </w:rPr>
        <w:t>Age and sex-specific fitness assessment score charts are provided in myFSS.</w:t>
      </w:r>
    </w:p>
    <w:p>
      <w:pPr>
        <w:spacing w:after="20" w:line="223" w:lineRule="auto"/>
        <w:jc w:val="right"/>
        <w:bidi/>
      </w:pPr>
      <w:r>
        <w:rPr>
          <w:rFonts w:ascii="Arial" w:hAnsi="Arial"/>
          <w:sz w:val="16"/>
        </w:rPr>
        <w:t>404.27  توجه: هنگام بازبینی نمودارها، حداقل و حداکثر الزامات مرتبط با دسته‌های خاص را برای ارزیابی پیشرفت و تنظیم تمرین برای تلاش برای نمرات بالاتر در هر یک از مؤلفه‌ها برای نتایج کلی ارزیابی تناسب اندام و سطوح تناسب اندام شخصی، یادداشت کنید.</w:t>
      </w:r>
    </w:p>
    <w:p>
      <w:pPr>
        <w:spacing w:after="28" w:line="216" w:lineRule="auto"/>
        <w:ind w:left="259"/>
        <w:jc w:val="left"/>
      </w:pPr>
      <w:r>
        <w:rPr>
          <w:rFonts w:ascii="Arial" w:hAnsi="Arial"/>
          <w:color w:val="525252"/>
          <w:sz w:val="13"/>
        </w:rPr>
        <w:t>Note: When reviewing the charts, make note of both the minimum and maximum requirements associated with specific categories to assess progress and tailor training to strive for higher scores in each of the components for overall fitness assessment results and personal fitness levels.</w:t>
      </w:r>
    </w:p>
    <w:p>
      <w:r>
        <w:br w:type="page"/>
      </w:r>
    </w:p>
    <w:p>
      <w:pPr>
        <w:spacing w:after="60"/>
        <w:jc w:val="right"/>
        <w:bidi/>
      </w:pPr>
      <w:r>
        <w:rPr>
          <w:rFonts w:ascii="Arial" w:hAnsi="Arial"/>
          <w:b/>
          <w:color w:val="1F4D78"/>
          <w:sz w:val="19"/>
        </w:rPr>
        <w:t>هفتهٔ 405  |  صفحهٔ منبع: 421</w:t>
      </w:r>
    </w:p>
    <w:p>
      <w:pPr>
        <w:spacing w:after="20" w:line="223" w:lineRule="auto"/>
        <w:jc w:val="right"/>
        <w:bidi/>
      </w:pPr>
      <w:r>
        <w:rPr>
          <w:rFonts w:ascii="Arial" w:hAnsi="Arial"/>
          <w:sz w:val="16"/>
        </w:rPr>
        <w:t>405.01  نتایج ارزیابی تناسب اندام.</w:t>
      </w:r>
    </w:p>
    <w:p>
      <w:pPr>
        <w:spacing w:after="28" w:line="216" w:lineRule="auto"/>
        <w:ind w:left="259"/>
        <w:jc w:val="left"/>
      </w:pPr>
      <w:r>
        <w:rPr>
          <w:rFonts w:ascii="Arial" w:hAnsi="Arial"/>
          <w:color w:val="525252"/>
          <w:sz w:val="13"/>
        </w:rPr>
        <w:t>Fitness Assessment Results.</w:t>
      </w:r>
    </w:p>
    <w:p>
      <w:pPr>
        <w:spacing w:after="20" w:line="223" w:lineRule="auto"/>
        <w:jc w:val="right"/>
        <w:bidi/>
      </w:pPr>
      <w:r>
        <w:rPr>
          <w:rFonts w:ascii="Arial" w:hAnsi="Arial"/>
          <w:sz w:val="16"/>
        </w:rPr>
        <w:t>405.02  سه سطح ارزیابی تناسب اندام وجود دارد که می‌توان به آن دست یافت، و همچنین یک دسته معاف که به‌طور خلاصه در اینجا توضیح داده شده است: عالی.</w:t>
      </w:r>
    </w:p>
    <w:p>
      <w:pPr>
        <w:spacing w:after="28" w:line="216" w:lineRule="auto"/>
        <w:ind w:left="259"/>
        <w:jc w:val="left"/>
      </w:pPr>
      <w:r>
        <w:rPr>
          <w:rFonts w:ascii="Arial" w:hAnsi="Arial"/>
          <w:color w:val="525252"/>
          <w:sz w:val="13"/>
        </w:rPr>
        <w:t>There are three fitness assessment levels that can be achieved, as well as an exempt category, briefly described here: Excellent.</w:t>
      </w:r>
    </w:p>
    <w:p>
      <w:pPr>
        <w:spacing w:after="20" w:line="223" w:lineRule="auto"/>
        <w:jc w:val="right"/>
        <w:bidi/>
      </w:pPr>
      <w:r>
        <w:rPr>
          <w:rFonts w:ascii="Arial" w:hAnsi="Arial"/>
          <w:sz w:val="16"/>
        </w:rPr>
        <w:t>405.03  برای دستیابی به سطح ارزیابی تناسب اندام عالی، نمره ترکیبی ۹۰ یا بالاتر مورد نیاز است.</w:t>
      </w:r>
    </w:p>
    <w:p>
      <w:pPr>
        <w:spacing w:after="28" w:line="216" w:lineRule="auto"/>
        <w:ind w:left="259"/>
        <w:jc w:val="left"/>
      </w:pPr>
      <w:r>
        <w:rPr>
          <w:rFonts w:ascii="Arial" w:hAnsi="Arial"/>
          <w:color w:val="525252"/>
          <w:sz w:val="13"/>
        </w:rPr>
        <w:t>To achieve a fitness assessment level of excellent, a composite score at or above 90 is required.</w:t>
      </w:r>
    </w:p>
    <w:p>
      <w:pPr>
        <w:spacing w:after="20" w:line="223" w:lineRule="auto"/>
        <w:jc w:val="right"/>
        <w:bidi/>
      </w:pPr>
      <w:r>
        <w:rPr>
          <w:rFonts w:ascii="Arial" w:hAnsi="Arial"/>
          <w:sz w:val="16"/>
        </w:rPr>
        <w:t>405.04  اگر هر سه مؤلفه (قابل اجرا) ارزیابی تناسب اندام، نمره ۹۰ یا بالاتر از آن گرفته شود، فرد ظرف ۱۲ ماه مجددا آزمایش خواهد کرد.</w:t>
      </w:r>
    </w:p>
    <w:p>
      <w:pPr>
        <w:spacing w:after="28" w:line="216" w:lineRule="auto"/>
        <w:ind w:left="259"/>
        <w:jc w:val="left"/>
      </w:pPr>
      <w:r>
        <w:rPr>
          <w:rFonts w:ascii="Arial" w:hAnsi="Arial"/>
          <w:color w:val="525252"/>
          <w:sz w:val="13"/>
        </w:rPr>
        <w:t>If all three (applicable) components of the fitness assessment were scored at or above 90, the individual will retest within 12 months.</w:t>
      </w:r>
    </w:p>
    <w:p>
      <w:pPr>
        <w:spacing w:after="20" w:line="223" w:lineRule="auto"/>
        <w:jc w:val="right"/>
        <w:bidi/>
      </w:pPr>
      <w:r>
        <w:rPr>
          <w:rFonts w:ascii="Arial" w:hAnsi="Arial"/>
          <w:sz w:val="16"/>
        </w:rPr>
        <w:t>405.05  اگر کمتر از سه مولفه ارزیابی تناسب اندام با نمره ۹۰ یا بالاتر از آن به دست آمده باشد، و فرد در پروفایل مزمن نباشد، آنگاه فرد ظرف شش ماه مجددا آزمایش خواهد کرد.</w:t>
      </w:r>
    </w:p>
    <w:p>
      <w:pPr>
        <w:spacing w:after="28" w:line="216" w:lineRule="auto"/>
        <w:ind w:left="259"/>
        <w:jc w:val="left"/>
      </w:pPr>
      <w:r>
        <w:rPr>
          <w:rFonts w:ascii="Arial" w:hAnsi="Arial"/>
          <w:color w:val="525252"/>
          <w:sz w:val="13"/>
        </w:rPr>
        <w:t>If fewer than three components of the fitness assessment were scored at or above 90, and the individual is not on a chronic profile, then the individual will retest within six months.</w:t>
      </w:r>
    </w:p>
    <w:p>
      <w:pPr>
        <w:spacing w:after="20" w:line="223" w:lineRule="auto"/>
        <w:jc w:val="right"/>
        <w:bidi/>
      </w:pPr>
      <w:r>
        <w:rPr>
          <w:rFonts w:ascii="Arial" w:hAnsi="Arial"/>
          <w:sz w:val="16"/>
        </w:rPr>
        <w:t>405.06  رضایت بخش.</w:t>
      </w:r>
    </w:p>
    <w:p>
      <w:pPr>
        <w:spacing w:after="28" w:line="216" w:lineRule="auto"/>
        <w:ind w:left="259"/>
        <w:jc w:val="left"/>
      </w:pPr>
      <w:r>
        <w:rPr>
          <w:rFonts w:ascii="Arial" w:hAnsi="Arial"/>
          <w:color w:val="525252"/>
          <w:sz w:val="13"/>
        </w:rPr>
        <w:t>Satisfactory.</w:t>
      </w:r>
    </w:p>
    <w:p>
      <w:pPr>
        <w:spacing w:after="20" w:line="223" w:lineRule="auto"/>
        <w:jc w:val="right"/>
        <w:bidi/>
      </w:pPr>
      <w:r>
        <w:rPr>
          <w:rFonts w:ascii="Arial" w:hAnsi="Arial"/>
          <w:sz w:val="16"/>
        </w:rPr>
        <w:t>405.07  برای دستیابی به سطح ارزیابی تناسب اندام رضایت بخش، نمره ترکیبی ۷۵-۸۹.۹۹ مورد نیاز است.</w:t>
      </w:r>
    </w:p>
    <w:p>
      <w:pPr>
        <w:spacing w:after="28" w:line="216" w:lineRule="auto"/>
        <w:ind w:left="259"/>
        <w:jc w:val="left"/>
      </w:pPr>
      <w:r>
        <w:rPr>
          <w:rFonts w:ascii="Arial" w:hAnsi="Arial"/>
          <w:color w:val="525252"/>
          <w:sz w:val="13"/>
        </w:rPr>
        <w:t>To achieve a fitness assessment level of satisfactory, a composite score of 75- 89.99 is required.</w:t>
      </w:r>
    </w:p>
    <w:p>
      <w:pPr>
        <w:spacing w:after="20" w:line="223" w:lineRule="auto"/>
        <w:jc w:val="right"/>
        <w:bidi/>
      </w:pPr>
      <w:r>
        <w:rPr>
          <w:rFonts w:ascii="Arial" w:hAnsi="Arial"/>
          <w:sz w:val="16"/>
        </w:rPr>
        <w:t>405.08  فرد ظرف شش ماه مجددا آزمایش خواهد کرد.</w:t>
      </w:r>
    </w:p>
    <w:p>
      <w:pPr>
        <w:spacing w:after="28" w:line="216" w:lineRule="auto"/>
        <w:ind w:left="259"/>
        <w:jc w:val="left"/>
      </w:pPr>
      <w:r>
        <w:rPr>
          <w:rFonts w:ascii="Arial" w:hAnsi="Arial"/>
          <w:color w:val="525252"/>
          <w:sz w:val="13"/>
        </w:rPr>
        <w:t>The individual will retest within six months.</w:t>
      </w:r>
    </w:p>
    <w:p>
      <w:pPr>
        <w:spacing w:after="20" w:line="223" w:lineRule="auto"/>
        <w:jc w:val="right"/>
        <w:bidi/>
      </w:pPr>
      <w:r>
        <w:rPr>
          <w:rFonts w:ascii="Arial" w:hAnsi="Arial"/>
          <w:sz w:val="16"/>
        </w:rPr>
        <w:t>405.09  رضایت بخش نیست.</w:t>
      </w:r>
    </w:p>
    <w:p>
      <w:pPr>
        <w:spacing w:after="28" w:line="216" w:lineRule="auto"/>
        <w:ind w:left="259"/>
        <w:jc w:val="left"/>
      </w:pPr>
      <w:r>
        <w:rPr>
          <w:rFonts w:ascii="Arial" w:hAnsi="Arial"/>
          <w:color w:val="525252"/>
          <w:sz w:val="13"/>
        </w:rPr>
        <w:t>Unsatisfactory.</w:t>
      </w:r>
    </w:p>
    <w:p>
      <w:pPr>
        <w:spacing w:after="20" w:line="223" w:lineRule="auto"/>
        <w:jc w:val="right"/>
        <w:bidi/>
      </w:pPr>
      <w:r>
        <w:rPr>
          <w:rFonts w:ascii="Arial" w:hAnsi="Arial"/>
          <w:sz w:val="16"/>
        </w:rPr>
        <w:t>405.10  برای دستیابی به سطح ارزیابی تناسب اندام رضایت بخش، نمره ترکیبی در ۷۴.۹ یا کمتر و/یا حداقل یک یا چند جزء برآورده نشد.</w:t>
      </w:r>
    </w:p>
    <w:p>
      <w:pPr>
        <w:spacing w:after="28" w:line="216" w:lineRule="auto"/>
        <w:ind w:left="259"/>
        <w:jc w:val="left"/>
      </w:pPr>
      <w:r>
        <w:rPr>
          <w:rFonts w:ascii="Arial" w:hAnsi="Arial"/>
          <w:color w:val="525252"/>
          <w:sz w:val="13"/>
        </w:rPr>
        <w:t>To achieve a fitness assessment level of unsatisfactory, a composite score at or below 74.9 and/or one or more component minimums was not met.</w:t>
      </w:r>
    </w:p>
    <w:p>
      <w:pPr>
        <w:spacing w:after="20" w:line="223" w:lineRule="auto"/>
        <w:jc w:val="right"/>
        <w:bidi/>
      </w:pPr>
      <w:r>
        <w:rPr>
          <w:rFonts w:ascii="Arial" w:hAnsi="Arial"/>
          <w:sz w:val="16"/>
        </w:rPr>
        <w:t>405.11  فرد ظرف ۹۰ روز مجددا آزمایش خواهد کرد.</w:t>
      </w:r>
    </w:p>
    <w:p>
      <w:pPr>
        <w:spacing w:after="28" w:line="216" w:lineRule="auto"/>
        <w:ind w:left="259"/>
        <w:jc w:val="left"/>
      </w:pPr>
      <w:r>
        <w:rPr>
          <w:rFonts w:ascii="Arial" w:hAnsi="Arial"/>
          <w:color w:val="525252"/>
          <w:sz w:val="13"/>
        </w:rPr>
        <w:t>The individual will retest within 90 days.</w:t>
      </w:r>
    </w:p>
    <w:p>
      <w:pPr>
        <w:spacing w:after="20" w:line="223" w:lineRule="auto"/>
        <w:jc w:val="right"/>
        <w:bidi/>
      </w:pPr>
      <w:r>
        <w:rPr>
          <w:rFonts w:ascii="Arial" w:hAnsi="Arial"/>
          <w:sz w:val="16"/>
        </w:rPr>
        <w:t>405.12  معافیت جزء.</w:t>
      </w:r>
    </w:p>
    <w:p>
      <w:pPr>
        <w:spacing w:after="28" w:line="216" w:lineRule="auto"/>
        <w:ind w:left="259"/>
        <w:jc w:val="left"/>
      </w:pPr>
      <w:r>
        <w:rPr>
          <w:rFonts w:ascii="Arial" w:hAnsi="Arial"/>
          <w:color w:val="525252"/>
          <w:sz w:val="13"/>
        </w:rPr>
        <w:t>Component Exemption.</w:t>
      </w:r>
    </w:p>
    <w:p>
      <w:pPr>
        <w:spacing w:after="20" w:line="223" w:lineRule="auto"/>
        <w:jc w:val="right"/>
        <w:bidi/>
      </w:pPr>
      <w:r>
        <w:rPr>
          <w:rFonts w:ascii="Arial" w:hAnsi="Arial"/>
          <w:sz w:val="16"/>
        </w:rPr>
        <w:t>405.13  یک هواپیمای مسافربری از یک یا چند جزء ارزیابی تناسب اندام معاف است، اما بر روی اجزای باقیمانده ارزیابی خواهد شد.</w:t>
      </w:r>
    </w:p>
    <w:p>
      <w:pPr>
        <w:spacing w:after="28" w:line="216" w:lineRule="auto"/>
        <w:ind w:left="259"/>
        <w:jc w:val="left"/>
      </w:pPr>
      <w:r>
        <w:rPr>
          <w:rFonts w:ascii="Arial" w:hAnsi="Arial"/>
          <w:color w:val="525252"/>
          <w:sz w:val="13"/>
        </w:rPr>
        <w:t>An Airman is exempt from one or more components of the fitness assessment but will be assessed on remaining components.</w:t>
      </w:r>
    </w:p>
    <w:p>
      <w:pPr>
        <w:spacing w:after="20" w:line="223" w:lineRule="auto"/>
        <w:jc w:val="right"/>
        <w:bidi/>
      </w:pPr>
      <w:r>
        <w:rPr>
          <w:rFonts w:ascii="Arial" w:hAnsi="Arial"/>
          <w:sz w:val="16"/>
        </w:rPr>
        <w:t>405.14  معافیت مرکب.</w:t>
      </w:r>
    </w:p>
    <w:p>
      <w:pPr>
        <w:spacing w:after="28" w:line="216" w:lineRule="auto"/>
        <w:ind w:left="259"/>
        <w:jc w:val="left"/>
      </w:pPr>
      <w:r>
        <w:rPr>
          <w:rFonts w:ascii="Arial" w:hAnsi="Arial"/>
          <w:color w:val="525252"/>
          <w:sz w:val="13"/>
        </w:rPr>
        <w:t>Composite Exemption.</w:t>
      </w:r>
    </w:p>
    <w:p>
      <w:pPr>
        <w:spacing w:after="20" w:line="223" w:lineRule="auto"/>
        <w:jc w:val="right"/>
        <w:bidi/>
      </w:pPr>
      <w:r>
        <w:rPr>
          <w:rFonts w:ascii="Arial" w:hAnsi="Arial"/>
          <w:sz w:val="16"/>
        </w:rPr>
        <w:t>405.15  یک عضو نیروی هوایی از کلیه اجزای ارزیابی آمادگی جسمانی معاف است.</w:t>
      </w:r>
    </w:p>
    <w:p>
      <w:pPr>
        <w:spacing w:after="28" w:line="216" w:lineRule="auto"/>
        <w:ind w:left="259"/>
        <w:jc w:val="left"/>
      </w:pPr>
      <w:r>
        <w:rPr>
          <w:rFonts w:ascii="Arial" w:hAnsi="Arial"/>
          <w:color w:val="525252"/>
          <w:sz w:val="13"/>
        </w:rPr>
        <w:t>An Airman is exempt from all components of the fitness assessment.</w:t>
      </w:r>
    </w:p>
    <w:p>
      <w:pPr>
        <w:spacing w:before="60" w:after="28"/>
        <w:jc w:val="right"/>
        <w:bidi/>
      </w:pPr>
      <w:r>
        <w:rPr>
          <w:b/>
          <w:color w:val="1F4D78"/>
          <w:sz w:val="18"/>
        </w:rPr>
        <w:t>22.8. مستندسازی خطاهای ارزیابی</w:t>
      </w:r>
    </w:p>
    <w:p>
      <w:pPr>
        <w:spacing w:after="20"/>
        <w:ind w:left="259"/>
        <w:jc w:val="left"/>
      </w:pPr>
      <w:r>
        <w:rPr>
          <w:color w:val="555555"/>
          <w:sz w:val="12"/>
        </w:rPr>
        <w:t>22.8. Documenting Assessment Failures</w:t>
      </w:r>
    </w:p>
    <w:p>
      <w:pPr>
        <w:spacing w:after="20" w:line="223" w:lineRule="auto"/>
        <w:jc w:val="right"/>
        <w:bidi/>
      </w:pPr>
      <w:r>
        <w:rPr>
          <w:rFonts w:ascii="Arial" w:hAnsi="Arial"/>
          <w:sz w:val="16"/>
        </w:rPr>
        <w:t>405.17  شکست‌های ارزیابی در میفیتنسس (میفسس) مشروح می‌شوند و بر علیه فرد در نظر گرفته می‌شوند.</w:t>
      </w:r>
    </w:p>
    <w:p>
      <w:pPr>
        <w:spacing w:after="28" w:line="216" w:lineRule="auto"/>
        <w:ind w:left="259"/>
        <w:jc w:val="left"/>
      </w:pPr>
      <w:r>
        <w:rPr>
          <w:rFonts w:ascii="Arial" w:hAnsi="Arial"/>
          <w:color w:val="525252"/>
          <w:sz w:val="13"/>
        </w:rPr>
        <w:t>Assessment failures will be annotated in myFitness (myFSS) and will be considered against the individual.</w:t>
      </w:r>
    </w:p>
    <w:p>
      <w:pPr>
        <w:spacing w:after="20" w:line="223" w:lineRule="auto"/>
        <w:jc w:val="right"/>
        <w:bidi/>
      </w:pPr>
      <w:r>
        <w:rPr>
          <w:rFonts w:ascii="Arial" w:hAnsi="Arial"/>
          <w:sz w:val="16"/>
        </w:rPr>
        <w:t>405.18  اگر عضوی در ارزیابی تناسب اندام خود شکست بخورد، فرمانده این اختیار را دارد که ارزیابی غیرجاری/شکست خورده را در دوره گزارش ارزیابی عملکرد، حاشیه نویسی کند.</w:t>
      </w:r>
    </w:p>
    <w:p>
      <w:pPr>
        <w:spacing w:after="28" w:line="216" w:lineRule="auto"/>
        <w:ind w:left="259"/>
        <w:jc w:val="left"/>
      </w:pPr>
      <w:r>
        <w:rPr>
          <w:rFonts w:ascii="Arial" w:hAnsi="Arial"/>
          <w:color w:val="525252"/>
          <w:sz w:val="13"/>
        </w:rPr>
        <w:t>If a member fails their fitness assessment, the commander has the discretion to annotate a non-current/failing assessment within the reporting period on the performance evaluation.</w:t>
      </w:r>
    </w:p>
    <w:p>
      <w:pPr>
        <w:spacing w:after="20" w:line="223" w:lineRule="auto"/>
        <w:jc w:val="right"/>
        <w:bidi/>
      </w:pPr>
      <w:r>
        <w:rPr>
          <w:rFonts w:ascii="Arial" w:hAnsi="Arial"/>
          <w:sz w:val="16"/>
        </w:rPr>
        <w:t>405.19  به‌علاوه، صلاحدید فرمانده است که ارزیابی را به‌عنوان ارجاع برای ارزیابی غیر جاری/شکست در تاریخ پایان ارزیابی مستند کند.</w:t>
      </w:r>
    </w:p>
    <w:p>
      <w:pPr>
        <w:spacing w:after="28" w:line="216" w:lineRule="auto"/>
        <w:ind w:left="259"/>
        <w:jc w:val="left"/>
      </w:pPr>
      <w:r>
        <w:rPr>
          <w:rFonts w:ascii="Arial" w:hAnsi="Arial"/>
          <w:color w:val="525252"/>
          <w:sz w:val="13"/>
        </w:rPr>
        <w:t>Additionally, it is the commander’s discretion to document the evaluation as a referral for a non- current/failing assessment at the evaluation close-out date.</w:t>
      </w:r>
    </w:p>
    <w:p>
      <w:pPr>
        <w:spacing w:after="20" w:line="223" w:lineRule="auto"/>
        <w:jc w:val="right"/>
        <w:bidi/>
      </w:pPr>
      <w:r>
        <w:rPr>
          <w:rFonts w:ascii="Arial" w:hAnsi="Arial"/>
          <w:sz w:val="16"/>
        </w:rPr>
        <w:t>405.20  پاسخ‌های فرمانده برای شکست‌های ارزیابی تناسب اندام از مشاوره شفاهی تا قرار دادن در فهرست کنترل و جداسازی اداری متغیر است.</w:t>
      </w:r>
    </w:p>
    <w:p>
      <w:pPr>
        <w:spacing w:after="28" w:line="216" w:lineRule="auto"/>
        <w:ind w:left="259"/>
        <w:jc w:val="left"/>
      </w:pPr>
      <w:r>
        <w:rPr>
          <w:rFonts w:ascii="Arial" w:hAnsi="Arial"/>
          <w:color w:val="525252"/>
          <w:sz w:val="13"/>
        </w:rPr>
        <w:t>Commander responses for fitness assessment failures range from verbal counseling to placement on control roster, to administrative separation.</w:t>
      </w:r>
    </w:p>
    <w:p>
      <w:pPr>
        <w:spacing w:after="20" w:line="223" w:lineRule="auto"/>
        <w:jc w:val="right"/>
        <w:bidi/>
      </w:pPr>
      <w:r>
        <w:rPr>
          <w:rFonts w:ascii="Arial" w:hAnsi="Arial"/>
          <w:sz w:val="16"/>
        </w:rPr>
        <w:t>405.21  فهرست کامل تری از گزینه‌های پاسخ فرمانده برای شکست‌های ارزیابی تناسب اندام در DAFMAN ۳۶-۲۹۰۵ ارائه شده است.</w:t>
      </w:r>
    </w:p>
    <w:p>
      <w:pPr>
        <w:spacing w:after="28" w:line="216" w:lineRule="auto"/>
        <w:ind w:left="259"/>
        <w:jc w:val="left"/>
      </w:pPr>
      <w:r>
        <w:rPr>
          <w:rFonts w:ascii="Arial" w:hAnsi="Arial"/>
          <w:color w:val="525252"/>
          <w:sz w:val="13"/>
        </w:rPr>
        <w:t>A more complete list of commander response options for fitness assessment failures is provided in DAFMAN 36-2905.</w:t>
      </w:r>
    </w:p>
    <w:p>
      <w:pPr>
        <w:spacing w:after="20" w:line="223" w:lineRule="auto"/>
        <w:jc w:val="right"/>
        <w:bidi/>
      </w:pPr>
      <w:r>
        <w:rPr>
          <w:rFonts w:ascii="Arial" w:hAnsi="Arial"/>
          <w:sz w:val="16"/>
        </w:rPr>
        <w:t>405.22  استقرارها.</w:t>
      </w:r>
    </w:p>
    <w:p>
      <w:pPr>
        <w:spacing w:after="28" w:line="216" w:lineRule="auto"/>
        <w:ind w:left="259"/>
        <w:jc w:val="left"/>
      </w:pPr>
      <w:r>
        <w:rPr>
          <w:rFonts w:ascii="Arial" w:hAnsi="Arial"/>
          <w:color w:val="525252"/>
          <w:sz w:val="13"/>
        </w:rPr>
        <w:t>Deployments.</w:t>
      </w:r>
    </w:p>
    <w:p>
      <w:pPr>
        <w:spacing w:after="20" w:line="223" w:lineRule="auto"/>
        <w:jc w:val="right"/>
        <w:bidi/>
      </w:pPr>
      <w:r>
        <w:rPr>
          <w:rFonts w:ascii="Arial" w:hAnsi="Arial"/>
          <w:sz w:val="16"/>
        </w:rPr>
        <w:t>405.23  نمرات ترکیبی نشان دهنده سطح تناسب اندام مبتنی بر سلامت است.</w:t>
      </w:r>
    </w:p>
    <w:p>
      <w:pPr>
        <w:spacing w:after="28" w:line="216" w:lineRule="auto"/>
        <w:ind w:left="259"/>
        <w:jc w:val="left"/>
      </w:pPr>
      <w:r>
        <w:rPr>
          <w:rFonts w:ascii="Arial" w:hAnsi="Arial"/>
          <w:color w:val="525252"/>
          <w:sz w:val="13"/>
        </w:rPr>
        <w:t>Composite scores represent a health-based fitness level.</w:t>
      </w:r>
    </w:p>
    <w:p>
      <w:pPr>
        <w:spacing w:after="20" w:line="223" w:lineRule="auto"/>
        <w:jc w:val="right"/>
        <w:bidi/>
      </w:pPr>
      <w:r>
        <w:rPr>
          <w:rFonts w:ascii="Arial" w:hAnsi="Arial"/>
          <w:sz w:val="16"/>
        </w:rPr>
        <w:t>405.24  با افزایش سطح تناسب اندام، هوانوردان می‌توانند در حالی که عملکرد را در محیط مستقر بهینه می‌کنند، دمای شدید، خستگی و استرس را تحمل کنند.</w:t>
      </w:r>
    </w:p>
    <w:p>
      <w:pPr>
        <w:spacing w:after="28" w:line="216" w:lineRule="auto"/>
        <w:ind w:left="259"/>
        <w:jc w:val="left"/>
      </w:pPr>
      <w:r>
        <w:rPr>
          <w:rFonts w:ascii="Arial" w:hAnsi="Arial"/>
          <w:color w:val="525252"/>
          <w:sz w:val="13"/>
        </w:rPr>
        <w:t>As the fitness level increases, Airmen are able to tolerate extremes in temperature, fatigue, and stress while optimizing performance in the deployed environment.</w:t>
      </w:r>
    </w:p>
    <w:p>
      <w:pPr>
        <w:spacing w:after="20" w:line="223" w:lineRule="auto"/>
        <w:jc w:val="right"/>
        <w:bidi/>
      </w:pPr>
      <w:r>
        <w:rPr>
          <w:rFonts w:ascii="Arial" w:hAnsi="Arial"/>
          <w:sz w:val="16"/>
        </w:rPr>
        <w:t>405.25  اعضا باید قبل از اعزام، یک امتیاز تناسب اندام فعلی در پرونده داشته باشند.</w:t>
      </w:r>
    </w:p>
    <w:p>
      <w:pPr>
        <w:spacing w:after="28" w:line="216" w:lineRule="auto"/>
        <w:ind w:left="259"/>
        <w:jc w:val="left"/>
      </w:pPr>
      <w:r>
        <w:rPr>
          <w:rFonts w:ascii="Arial" w:hAnsi="Arial"/>
          <w:color w:val="525252"/>
          <w:sz w:val="13"/>
        </w:rPr>
        <w:t>Members must have a current fitness score on file prior to deployment.</w:t>
      </w:r>
    </w:p>
    <w:p>
      <w:pPr>
        <w:spacing w:after="20" w:line="223" w:lineRule="auto"/>
        <w:jc w:val="right"/>
        <w:bidi/>
      </w:pPr>
      <w:r>
        <w:rPr>
          <w:rFonts w:ascii="Arial" w:hAnsi="Arial"/>
          <w:sz w:val="16"/>
        </w:rPr>
        <w:t>405.26  اعضا تا زمانی که ارزیابی تناسب اندام فعلی آنها به پایان نرسد، در محل مستقر "مستثنی" در نظر گرفته نمی‌شوند.</w:t>
      </w:r>
    </w:p>
    <w:p>
      <w:pPr>
        <w:spacing w:after="28" w:line="216" w:lineRule="auto"/>
        <w:ind w:left="259"/>
        <w:jc w:val="left"/>
      </w:pPr>
      <w:r>
        <w:rPr>
          <w:rFonts w:ascii="Arial" w:hAnsi="Arial"/>
          <w:color w:val="525252"/>
          <w:sz w:val="13"/>
        </w:rPr>
        <w:t>Members will not be considered “exempt” in the deployed location until their current fitness assessment expires.</w:t>
      </w:r>
    </w:p>
    <w:p>
      <w:pPr>
        <w:spacing w:after="20" w:line="223" w:lineRule="auto"/>
        <w:jc w:val="right"/>
        <w:bidi/>
      </w:pPr>
      <w:r>
        <w:rPr>
          <w:rFonts w:ascii="Arial" w:hAnsi="Arial"/>
          <w:sz w:val="16"/>
        </w:rPr>
        <w:t>405.27  معافیت و مشخصات پزشکی.</w:t>
      </w:r>
    </w:p>
    <w:p>
      <w:pPr>
        <w:spacing w:after="28" w:line="216" w:lineRule="auto"/>
        <w:ind w:left="259"/>
        <w:jc w:val="left"/>
      </w:pPr>
      <w:r>
        <w:rPr>
          <w:rFonts w:ascii="Arial" w:hAnsi="Arial"/>
          <w:color w:val="525252"/>
          <w:sz w:val="13"/>
        </w:rPr>
        <w:t>Medical Exemptions and Profiles.</w:t>
      </w:r>
    </w:p>
    <w:p>
      <w:pPr>
        <w:spacing w:after="20" w:line="223" w:lineRule="auto"/>
        <w:jc w:val="right"/>
        <w:bidi/>
      </w:pPr>
      <w:r>
        <w:rPr>
          <w:rFonts w:ascii="Arial" w:hAnsi="Arial"/>
          <w:sz w:val="16"/>
        </w:rPr>
        <w:t>405.28  ارائه‌دهندگان پزشکی ممکن است معافیت‌های پزشکی موقت یا دائمی را برای شرایط پزشکی توصیه کنند که مانع از شرکت ایمن هواگرد در برنامه‌های خاص آمادگی جسمانی یا در بخشی از ارزیابی آمادگی جسمانی می‌شود.</w:t>
      </w:r>
    </w:p>
    <w:p>
      <w:pPr>
        <w:spacing w:after="28" w:line="216" w:lineRule="auto"/>
        <w:ind w:left="259"/>
        <w:jc w:val="left"/>
      </w:pPr>
      <w:r>
        <w:rPr>
          <w:rFonts w:ascii="Arial" w:hAnsi="Arial"/>
          <w:color w:val="525252"/>
          <w:sz w:val="13"/>
        </w:rPr>
        <w:t>Medical providers may recommend temporary or permanent medical exemptions for medical conditions preventing an Airman from safely participating in specific physical conditioning programs or in a component of the fitness assessment.</w:t>
      </w:r>
    </w:p>
    <w:p>
      <w:pPr>
        <w:spacing w:after="20" w:line="223" w:lineRule="auto"/>
        <w:jc w:val="right"/>
        <w:bidi/>
      </w:pPr>
      <w:r>
        <w:rPr>
          <w:rFonts w:ascii="Arial" w:hAnsi="Arial"/>
          <w:sz w:val="16"/>
        </w:rPr>
        <w:t>405.29  فرمانده، با مشورت مدیر برنامه تناسب اندام، و بنا به توصیه ارائه دهنده پزشکی، ممکن است اعضا را برای مدت محدودی از اجزای هوازی و تناسب اندام عضلانی معاف کند.</w:t>
      </w:r>
    </w:p>
    <w:p>
      <w:pPr>
        <w:spacing w:after="28" w:line="216" w:lineRule="auto"/>
        <w:ind w:left="259"/>
        <w:jc w:val="left"/>
      </w:pPr>
      <w:r>
        <w:rPr>
          <w:rFonts w:ascii="Arial" w:hAnsi="Arial"/>
          <w:color w:val="525252"/>
          <w:sz w:val="13"/>
        </w:rPr>
        <w:t>The commander, in consultation with the fitness program manager, and upon medical provider recommendation, may grant members exemption from aerobic and muscle fitness components for a limited period of time.</w:t>
      </w:r>
    </w:p>
    <w:p>
      <w:pPr>
        <w:spacing w:after="20" w:line="223" w:lineRule="auto"/>
        <w:jc w:val="right"/>
        <w:bidi/>
      </w:pPr>
      <w:r>
        <w:rPr>
          <w:rFonts w:ascii="Arial" w:hAnsi="Arial"/>
          <w:sz w:val="16"/>
        </w:rPr>
        <w:t>405.30  معافیت‌ها به دلایل پزشکی با استفاده از فرم ۴۶۹ AF فعلی فرد، پس از تکمیل ارزیابی، در میفسس وارد می‌شوند.</w:t>
      </w:r>
    </w:p>
    <w:p>
      <w:pPr>
        <w:spacing w:after="28" w:line="216" w:lineRule="auto"/>
        <w:ind w:left="259"/>
        <w:jc w:val="left"/>
      </w:pPr>
      <w:r>
        <w:rPr>
          <w:rFonts w:ascii="Arial" w:hAnsi="Arial"/>
          <w:color w:val="525252"/>
          <w:sz w:val="13"/>
        </w:rPr>
        <w:t>Exemptions for medical reasons are entered into myFSS using the individual’s current AF Form 469, following assessment completion.</w:t>
      </w:r>
    </w:p>
    <w:p>
      <w:pPr>
        <w:spacing w:after="20" w:line="223" w:lineRule="auto"/>
        <w:jc w:val="right"/>
        <w:bidi/>
      </w:pPr>
      <w:r>
        <w:rPr>
          <w:rFonts w:ascii="Arial" w:hAnsi="Arial"/>
          <w:sz w:val="16"/>
        </w:rPr>
        <w:t>405.31  هوانوردان دارای مشخصات پزشکی که آنها را از انجام یک یا چند جزء ارزیابی تناسب اندام منع می‌کند همچنان بر روی اجزایی که بطور خاص مستثنی نشده‌اند آزمایش خواهند شد.</w:t>
      </w:r>
    </w:p>
    <w:p>
      <w:pPr>
        <w:spacing w:after="28" w:line="216" w:lineRule="auto"/>
        <w:ind w:left="259"/>
        <w:jc w:val="left"/>
      </w:pPr>
      <w:r>
        <w:rPr>
          <w:rFonts w:ascii="Arial" w:hAnsi="Arial"/>
          <w:color w:val="525252"/>
          <w:sz w:val="13"/>
        </w:rPr>
        <w:t>Airmen with a medical profile prohibiting them from performing one or more of the components of the fitness assessment will still be tested on the components not specifically exempted.</w:t>
      </w:r>
    </w:p>
    <w:p>
      <w:pPr>
        <w:spacing w:after="20" w:line="223" w:lineRule="auto"/>
        <w:jc w:val="right"/>
        <w:bidi/>
      </w:pPr>
      <w:r>
        <w:rPr>
          <w:rFonts w:ascii="Arial" w:hAnsi="Arial"/>
          <w:sz w:val="16"/>
        </w:rPr>
        <w:t>405.32  برای جزئیات بیشتر در مورد ارزیابی تناسب اندام، به DAFMAN ۳۶-۲۹۰۵ مراجعه کنید.</w:t>
      </w:r>
    </w:p>
    <w:p>
      <w:pPr>
        <w:spacing w:after="28" w:line="216" w:lineRule="auto"/>
        <w:ind w:left="259"/>
        <w:jc w:val="left"/>
      </w:pPr>
      <w:r>
        <w:rPr>
          <w:rFonts w:ascii="Arial" w:hAnsi="Arial"/>
          <w:color w:val="525252"/>
          <w:sz w:val="13"/>
        </w:rPr>
        <w:t>For additional details on fitness assessments, refer to DAFMAN 36-2905.</w:t>
      </w:r>
    </w:p>
    <w:p>
      <w:pPr>
        <w:spacing w:before="60" w:after="28"/>
        <w:jc w:val="right"/>
        <w:bidi/>
      </w:pPr>
      <w:r>
        <w:rPr>
          <w:b/>
          <w:color w:val="1F4D78"/>
          <w:sz w:val="18"/>
        </w:rPr>
        <w:t>22.9. مولفه های ارزیابی تناسب اندام - توضیح داده شده است</w:t>
      </w:r>
    </w:p>
    <w:p>
      <w:pPr>
        <w:spacing w:after="20"/>
        <w:ind w:left="259"/>
        <w:jc w:val="left"/>
      </w:pPr>
      <w:r>
        <w:rPr>
          <w:color w:val="555555"/>
          <w:sz w:val="12"/>
        </w:rPr>
        <w:t>22.9. Fitness Assessment Components - Explained</w:t>
      </w:r>
    </w:p>
    <w:p>
      <w:pPr>
        <w:spacing w:after="20" w:line="223" w:lineRule="auto"/>
        <w:jc w:val="right"/>
        <w:bidi/>
      </w:pPr>
      <w:r>
        <w:rPr>
          <w:rFonts w:ascii="Arial" w:hAnsi="Arial"/>
          <w:sz w:val="16"/>
        </w:rPr>
        <w:t>405.34  برای ارزیابی تناسب اندام کلی، اجزای ارزیابی تناسب اندام شامل تناسب اندام عضلانی (شامل فشار و دراز و نشست) و آمادگی هوازی است.</w:t>
      </w:r>
    </w:p>
    <w:p>
      <w:pPr>
        <w:spacing w:after="28" w:line="216" w:lineRule="auto"/>
        <w:ind w:left="259"/>
        <w:jc w:val="left"/>
      </w:pPr>
      <w:r>
        <w:rPr>
          <w:rFonts w:ascii="Arial" w:hAnsi="Arial"/>
          <w:color w:val="525252"/>
          <w:sz w:val="13"/>
        </w:rPr>
        <w:t>To assess total fitness, the fitness assessment components include muscular fitness (to include push-ups and sit-ups), and aerobic fitness.</w:t>
      </w:r>
    </w:p>
    <w:p>
      <w:pPr>
        <w:spacing w:after="20" w:line="223" w:lineRule="auto"/>
        <w:jc w:val="right"/>
        <w:bidi/>
      </w:pPr>
      <w:r>
        <w:rPr>
          <w:rFonts w:ascii="Arial" w:hAnsi="Arial"/>
          <w:sz w:val="16"/>
        </w:rPr>
        <w:t>405.35  تناسب اندام عضلانی.</w:t>
      </w:r>
    </w:p>
    <w:p>
      <w:pPr>
        <w:spacing w:after="28" w:line="216" w:lineRule="auto"/>
        <w:ind w:left="259"/>
        <w:jc w:val="left"/>
      </w:pPr>
      <w:r>
        <w:rPr>
          <w:rFonts w:ascii="Arial" w:hAnsi="Arial"/>
          <w:color w:val="525252"/>
          <w:sz w:val="13"/>
        </w:rPr>
        <w:t>Muscular Fitness.</w:t>
      </w:r>
    </w:p>
    <w:p>
      <w:pPr>
        <w:spacing w:after="20" w:line="223" w:lineRule="auto"/>
        <w:jc w:val="right"/>
        <w:bidi/>
      </w:pPr>
      <w:r>
        <w:rPr>
          <w:rFonts w:ascii="Arial" w:hAnsi="Arial"/>
          <w:sz w:val="16"/>
        </w:rPr>
        <w:t>405.36  تناسب اندام عضلانی شامل قدرت عضلانی و استقامت عضلانی است.</w:t>
      </w:r>
    </w:p>
    <w:p>
      <w:pPr>
        <w:spacing w:after="28" w:line="216" w:lineRule="auto"/>
        <w:ind w:left="259"/>
        <w:jc w:val="left"/>
      </w:pPr>
      <w:r>
        <w:rPr>
          <w:rFonts w:ascii="Arial" w:hAnsi="Arial"/>
          <w:color w:val="525252"/>
          <w:sz w:val="13"/>
        </w:rPr>
        <w:t>Muscular fitness includes both muscular strength and muscular endurance.</w:t>
      </w:r>
    </w:p>
    <w:p>
      <w:r>
        <w:br w:type="page"/>
      </w:r>
    </w:p>
    <w:p>
      <w:pPr>
        <w:spacing w:after="60"/>
        <w:jc w:val="right"/>
        <w:bidi/>
      </w:pPr>
      <w:r>
        <w:rPr>
          <w:rFonts w:ascii="Arial" w:hAnsi="Arial"/>
          <w:b/>
          <w:color w:val="1F4D78"/>
          <w:sz w:val="19"/>
        </w:rPr>
        <w:t>هفتهٔ 406  |  صفحهٔ منبع: 422</w:t>
      </w:r>
    </w:p>
    <w:p>
      <w:pPr>
        <w:spacing w:after="20" w:line="223" w:lineRule="auto"/>
        <w:jc w:val="right"/>
        <w:bidi/>
      </w:pPr>
      <w:r>
        <w:rPr>
          <w:rFonts w:ascii="Arial" w:hAnsi="Arial"/>
          <w:sz w:val="16"/>
        </w:rPr>
        <w:t>406.01  قدرت عضلانی حداکثر نیروی تولید شده توسط یک عضله یا گروه عضلانی خاص است.</w:t>
      </w:r>
    </w:p>
    <w:p>
      <w:pPr>
        <w:spacing w:after="28" w:line="216" w:lineRule="auto"/>
        <w:ind w:left="259"/>
        <w:jc w:val="left"/>
      </w:pPr>
      <w:r>
        <w:rPr>
          <w:rFonts w:ascii="Arial" w:hAnsi="Arial"/>
          <w:color w:val="525252"/>
          <w:sz w:val="13"/>
        </w:rPr>
        <w:t>Muscular strength is the maximum force generated by a specific muscle or muscle group.</w:t>
      </w:r>
    </w:p>
    <w:p>
      <w:pPr>
        <w:spacing w:after="20" w:line="223" w:lineRule="auto"/>
        <w:jc w:val="right"/>
        <w:bidi/>
      </w:pPr>
      <w:r>
        <w:rPr>
          <w:rFonts w:ascii="Arial" w:hAnsi="Arial"/>
          <w:sz w:val="16"/>
        </w:rPr>
        <w:t>406.02  استقامت عضلانی توانایی یک گروه عضلانی برای انجام انقباضات مکرر در یک دوره زمانی کافی برای ایجاد خستگی عضلانی است.</w:t>
      </w:r>
    </w:p>
    <w:p>
      <w:pPr>
        <w:spacing w:after="28" w:line="216" w:lineRule="auto"/>
        <w:ind w:left="259"/>
        <w:jc w:val="left"/>
      </w:pPr>
      <w:r>
        <w:rPr>
          <w:rFonts w:ascii="Arial" w:hAnsi="Arial"/>
          <w:color w:val="525252"/>
          <w:sz w:val="13"/>
        </w:rPr>
        <w:t>Muscular endurance is the ability of a muscle group to execute repeated contractions over a period of sufficient time to cause muscular fatigue.</w:t>
      </w:r>
    </w:p>
    <w:p>
      <w:pPr>
        <w:spacing w:after="20" w:line="223" w:lineRule="auto"/>
        <w:jc w:val="right"/>
        <w:bidi/>
      </w:pPr>
      <w:r>
        <w:rPr>
          <w:rFonts w:ascii="Arial" w:hAnsi="Arial"/>
          <w:sz w:val="16"/>
        </w:rPr>
        <w:t>406.03  تناسب اندام عضلانی به متابولیسم کمک می‌کند، بافت همبند را تقویت می‌کند، تراکم پیوند را افزایش می‌دهد، به تسهیل بازیابی از فعالیت بدنی کمک می‌کند، به جلوگیری از آسیب کمک می‌کند، ممکن است آمادگی قلبی تنفسی را افزایش دهد و ممکن است خلق و خو و تصویر خود را بهبود بخشد.</w:t>
      </w:r>
    </w:p>
    <w:p>
      <w:pPr>
        <w:spacing w:after="28" w:line="216" w:lineRule="auto"/>
        <w:ind w:left="259"/>
        <w:jc w:val="left"/>
      </w:pPr>
      <w:r>
        <w:rPr>
          <w:rFonts w:ascii="Arial" w:hAnsi="Arial"/>
          <w:color w:val="525252"/>
          <w:sz w:val="13"/>
        </w:rPr>
        <w:t>Muscular fitness helps with metabolism, strengthens connective tissue, increases bond density, helps facilitate recovery from physical activity, helps prevent injury, may increase cardiorespiratory fitness, and may improve mood and self-image.</w:t>
      </w:r>
    </w:p>
    <w:p>
      <w:pPr>
        <w:spacing w:after="20" w:line="223" w:lineRule="auto"/>
        <w:jc w:val="right"/>
        <w:bidi/>
      </w:pPr>
      <w:r>
        <w:rPr>
          <w:rFonts w:ascii="Arial" w:hAnsi="Arial"/>
          <w:sz w:val="16"/>
        </w:rPr>
        <w:t>406.04  تمرینات مقاومتی تناسب اندام عضلانی شامل انجام تمرینات ورزشی است. پلایومتریک؛ تمرینات میدانی؛ و تمرینات وزنه/اشیایی، مانند ماشین‌ها، وزنه‌های آزاد، توپ‌های پزشکی، زنگ کتری، باند، کابل و طناب.</w:t>
      </w:r>
    </w:p>
    <w:p>
      <w:pPr>
        <w:spacing w:after="28" w:line="216" w:lineRule="auto"/>
        <w:ind w:left="259"/>
        <w:jc w:val="left"/>
      </w:pPr>
      <w:r>
        <w:rPr>
          <w:rFonts w:ascii="Arial" w:hAnsi="Arial"/>
          <w:color w:val="525252"/>
          <w:sz w:val="13"/>
        </w:rPr>
        <w:t>Muscular fitness resistance training includes performing calisthenics; plyometrics; field exercises; and weight/object training, such as machines, free weights, medicine balls, kettle bells, bands, cables, and ropes.</w:t>
      </w:r>
    </w:p>
    <w:p>
      <w:pPr>
        <w:spacing w:after="20" w:line="223" w:lineRule="auto"/>
        <w:jc w:val="right"/>
        <w:bidi/>
      </w:pPr>
      <w:r>
        <w:rPr>
          <w:rFonts w:ascii="Arial" w:hAnsi="Arial"/>
          <w:sz w:val="16"/>
        </w:rPr>
        <w:t>406.05  الگوهای حرکتی می‌تواند شامل دویدن، خم شدن، چرخاندن، چمباتمه زدن، کشیدن و هل دادن باشد.</w:t>
      </w:r>
    </w:p>
    <w:p>
      <w:pPr>
        <w:spacing w:after="28" w:line="216" w:lineRule="auto"/>
        <w:ind w:left="259"/>
        <w:jc w:val="left"/>
      </w:pPr>
      <w:r>
        <w:rPr>
          <w:rFonts w:ascii="Arial" w:hAnsi="Arial"/>
          <w:color w:val="525252"/>
          <w:sz w:val="13"/>
        </w:rPr>
        <w:t>Movement patterns can include running, bending, twisting, squatting, pulling, and pushing.</w:t>
      </w:r>
    </w:p>
    <w:p>
      <w:pPr>
        <w:spacing w:after="20" w:line="223" w:lineRule="auto"/>
        <w:jc w:val="right"/>
        <w:bidi/>
      </w:pPr>
      <w:r>
        <w:rPr>
          <w:rFonts w:ascii="Arial" w:hAnsi="Arial"/>
          <w:sz w:val="16"/>
        </w:rPr>
        <w:t>406.06  نواحی بدن که می‌توان هدف قرار داد شامل هسته، پایین تنه، بالاتنه و کل بدن است.</w:t>
      </w:r>
    </w:p>
    <w:p>
      <w:pPr>
        <w:spacing w:after="28" w:line="216" w:lineRule="auto"/>
        <w:ind w:left="259"/>
        <w:jc w:val="left"/>
      </w:pPr>
      <w:r>
        <w:rPr>
          <w:rFonts w:ascii="Arial" w:hAnsi="Arial"/>
          <w:color w:val="525252"/>
          <w:sz w:val="13"/>
        </w:rPr>
        <w:t>Body regions that can be targeted include core, lower body, upper body, and whole body.</w:t>
      </w:r>
    </w:p>
    <w:p>
      <w:pPr>
        <w:spacing w:after="20" w:line="223" w:lineRule="auto"/>
        <w:jc w:val="right"/>
        <w:bidi/>
      </w:pPr>
      <w:r>
        <w:rPr>
          <w:rFonts w:ascii="Arial" w:hAnsi="Arial"/>
          <w:sz w:val="16"/>
        </w:rPr>
        <w:t>406.07  با ترکیب انواع ترکیبی از تمرینات مقاومتی تناسب اندام عضلانی، تمرینات وزنه/اشیاء، و الگوهای حرکتی، طیف وسیعی از تمرینات برای یک روال تمرینی چالش برانگیز و جذاب در دسترس هستند.</w:t>
      </w:r>
    </w:p>
    <w:p>
      <w:pPr>
        <w:spacing w:after="28" w:line="216" w:lineRule="auto"/>
        <w:ind w:left="259"/>
        <w:jc w:val="left"/>
      </w:pPr>
      <w:r>
        <w:rPr>
          <w:rFonts w:ascii="Arial" w:hAnsi="Arial"/>
          <w:color w:val="525252"/>
          <w:sz w:val="13"/>
        </w:rPr>
        <w:t>By incorporating a variety of combinations of muscular fitness resistance training, weight/object training, and movement patterns, a wide range of exercises are available for a challenging, engaging workout routine.</w:t>
      </w:r>
    </w:p>
    <w:p>
      <w:pPr>
        <w:spacing w:after="20" w:line="223" w:lineRule="auto"/>
        <w:jc w:val="right"/>
        <w:bidi/>
      </w:pPr>
      <w:r>
        <w:rPr>
          <w:rFonts w:ascii="Arial" w:hAnsi="Arial"/>
          <w:sz w:val="16"/>
        </w:rPr>
        <w:t>406.08  تناسب اندام هوازی.</w:t>
      </w:r>
    </w:p>
    <w:p>
      <w:pPr>
        <w:spacing w:after="28" w:line="216" w:lineRule="auto"/>
        <w:ind w:left="259"/>
        <w:jc w:val="left"/>
      </w:pPr>
      <w:r>
        <w:rPr>
          <w:rFonts w:ascii="Arial" w:hAnsi="Arial"/>
          <w:color w:val="525252"/>
          <w:sz w:val="13"/>
        </w:rPr>
        <w:t>Aerobic Fitness.</w:t>
      </w:r>
    </w:p>
    <w:p>
      <w:pPr>
        <w:spacing w:after="20" w:line="223" w:lineRule="auto"/>
        <w:jc w:val="right"/>
        <w:bidi/>
      </w:pPr>
      <w:r>
        <w:rPr>
          <w:rFonts w:ascii="Arial" w:hAnsi="Arial"/>
          <w:sz w:val="16"/>
        </w:rPr>
        <w:t>406.09  استقامت قلبی تنفسی که به‌عنوان تناسب اندام هوازی شناخته می‌شود، توانایی انجام تمرینات ماهیچه‌ای بزرگ، پویا، با شدت متوسط ​​تا زیاد برای دوره‌های طولانی است.</w:t>
      </w:r>
    </w:p>
    <w:p>
      <w:pPr>
        <w:spacing w:after="28" w:line="216" w:lineRule="auto"/>
        <w:ind w:left="259"/>
        <w:jc w:val="left"/>
      </w:pPr>
      <w:r>
        <w:rPr>
          <w:rFonts w:ascii="Arial" w:hAnsi="Arial"/>
          <w:color w:val="525252"/>
          <w:sz w:val="13"/>
        </w:rPr>
        <w:t>Cardiorespiratory endurance, known as aerobic fitness, is the ability to perform large muscle, dynamic, moderate-to-high intensity exercise for prolonged periods.</w:t>
      </w:r>
    </w:p>
    <w:p>
      <w:pPr>
        <w:spacing w:after="20" w:line="223" w:lineRule="auto"/>
        <w:jc w:val="right"/>
        <w:bidi/>
      </w:pPr>
      <w:r>
        <w:rPr>
          <w:rFonts w:ascii="Arial" w:hAnsi="Arial"/>
          <w:sz w:val="16"/>
        </w:rPr>
        <w:t>406.10  انجام چنین تمرینی به وضعیت عملکردی سیستم تنفسی، قلبی عروقی و ماهیچه‌های اسکلتی بستگی دارد که به‌طور ساده‌تر به‌عنوان توانایی تولید انرژی تعریف می‌شود.</w:t>
      </w:r>
    </w:p>
    <w:p>
      <w:pPr>
        <w:spacing w:after="28" w:line="216" w:lineRule="auto"/>
        <w:ind w:left="259"/>
        <w:jc w:val="left"/>
      </w:pPr>
      <w:r>
        <w:rPr>
          <w:rFonts w:ascii="Arial" w:hAnsi="Arial"/>
          <w:color w:val="525252"/>
          <w:sz w:val="13"/>
        </w:rPr>
        <w:t>Performance of such exercise depends on the functional state of the respiratory, cardiovascular, and skeletal muscle systems, more simply defined as the ability to produce energy.</w:t>
      </w:r>
    </w:p>
    <w:p>
      <w:pPr>
        <w:spacing w:after="20" w:line="223" w:lineRule="auto"/>
        <w:jc w:val="right"/>
        <w:bidi/>
      </w:pPr>
      <w:r>
        <w:rPr>
          <w:rFonts w:ascii="Arial" w:hAnsi="Arial"/>
          <w:sz w:val="16"/>
        </w:rPr>
        <w:t>406.11  بسیاری از حالت‌های فعالیت نیازهای فعالیت هوازی را برآورده می‌کنند، مانند اسکی صحرایی، دویدن، دوچرخه‌سواری، شنا، اسکیت، پارویی، پیاده‌روی، رقص هوازی، دستگاه‌های ورزشی هوازی داخل سالن و ورزش‌هایی که نیاز به فعالیت بدنی مداوم دارند.</w:t>
      </w:r>
    </w:p>
    <w:p>
      <w:pPr>
        <w:spacing w:after="28" w:line="216" w:lineRule="auto"/>
        <w:ind w:left="259"/>
        <w:jc w:val="left"/>
      </w:pPr>
      <w:r>
        <w:rPr>
          <w:rFonts w:ascii="Arial" w:hAnsi="Arial"/>
          <w:color w:val="525252"/>
          <w:sz w:val="13"/>
        </w:rPr>
        <w:t>Many modes of activity meet aerobic activity requirements, such as cross-country skiing, running, cycling, swimming, skating, rowing, walking, aerobic dance, indoor aerobic exercise machines, and sports that require continuous physical exertion.</w:t>
      </w:r>
    </w:p>
    <w:p>
      <w:pPr>
        <w:spacing w:after="20" w:line="223" w:lineRule="auto"/>
        <w:jc w:val="right"/>
        <w:bidi/>
      </w:pPr>
      <w:r>
        <w:rPr>
          <w:rFonts w:ascii="Arial" w:hAnsi="Arial"/>
          <w:sz w:val="16"/>
        </w:rPr>
        <w:t>406.12  سطح آمادگی هوازی تعیین می‌کند که فرد چقدر می‌تواند ورزش کند.</w:t>
      </w:r>
    </w:p>
    <w:p>
      <w:pPr>
        <w:spacing w:after="28" w:line="216" w:lineRule="auto"/>
        <w:ind w:left="259"/>
        <w:jc w:val="left"/>
      </w:pPr>
      <w:r>
        <w:rPr>
          <w:rFonts w:ascii="Arial" w:hAnsi="Arial"/>
          <w:color w:val="525252"/>
          <w:sz w:val="13"/>
        </w:rPr>
        <w:t>The level of aerobic fitness determines how long and how hard a person can exercise.</w:t>
      </w:r>
    </w:p>
    <w:p>
      <w:pPr>
        <w:spacing w:after="20" w:line="223" w:lineRule="auto"/>
        <w:jc w:val="right"/>
        <w:bidi/>
      </w:pPr>
      <w:r>
        <w:rPr>
          <w:rFonts w:ascii="Arial" w:hAnsi="Arial"/>
          <w:sz w:val="16"/>
        </w:rPr>
        <w:t>406.13  فعالیت هوازی با شدت متوسط.</w:t>
      </w:r>
    </w:p>
    <w:p>
      <w:pPr>
        <w:spacing w:after="28" w:line="216" w:lineRule="auto"/>
        <w:ind w:left="259"/>
        <w:jc w:val="left"/>
      </w:pPr>
      <w:r>
        <w:rPr>
          <w:rFonts w:ascii="Arial" w:hAnsi="Arial"/>
          <w:color w:val="525252"/>
          <w:sz w:val="13"/>
        </w:rPr>
        <w:t>Moderately Intense Aerobic Activity.</w:t>
      </w:r>
    </w:p>
    <w:p>
      <w:pPr>
        <w:spacing w:after="20" w:line="223" w:lineRule="auto"/>
        <w:jc w:val="right"/>
        <w:bidi/>
      </w:pPr>
      <w:r>
        <w:rPr>
          <w:rFonts w:ascii="Arial" w:hAnsi="Arial"/>
          <w:sz w:val="16"/>
        </w:rPr>
        <w:t>406.14  فعالیت هوازی نسبتا شدید برابر با ورزش مداوم است که ضربان قلب و تنفس را افزایش می‌دهد، شروع به تعریق می‌کند (بسته به آب و هوا متفاوت است)، و اجازه مکالمه یا تنفس کنترل‌شده را می‌دهد.</w:t>
      </w:r>
    </w:p>
    <w:p>
      <w:pPr>
        <w:spacing w:after="28" w:line="216" w:lineRule="auto"/>
        <w:ind w:left="259"/>
        <w:jc w:val="left"/>
      </w:pPr>
      <w:r>
        <w:rPr>
          <w:rFonts w:ascii="Arial" w:hAnsi="Arial"/>
          <w:color w:val="525252"/>
          <w:sz w:val="13"/>
        </w:rPr>
        <w:t>Moderately intense aerobic activity equates to continuous exercise that raises heart and respiratory rates, initiates sweating (varies with climate), and permits conversation or controlled breathing.</w:t>
      </w:r>
    </w:p>
    <w:p>
      <w:pPr>
        <w:spacing w:after="20" w:line="223" w:lineRule="auto"/>
        <w:jc w:val="right"/>
        <w:bidi/>
      </w:pPr>
      <w:r>
        <w:rPr>
          <w:rFonts w:ascii="Arial" w:hAnsi="Arial"/>
          <w:sz w:val="16"/>
        </w:rPr>
        <w:t>406.15  حداقل ۳۰ دقیقه در روز / پنج روز در هفته را هدف گذاری کنید.</w:t>
      </w:r>
    </w:p>
    <w:p>
      <w:pPr>
        <w:spacing w:after="28" w:line="216" w:lineRule="auto"/>
        <w:ind w:left="259"/>
        <w:jc w:val="left"/>
      </w:pPr>
      <w:r>
        <w:rPr>
          <w:rFonts w:ascii="Arial" w:hAnsi="Arial"/>
          <w:color w:val="525252"/>
          <w:sz w:val="13"/>
        </w:rPr>
        <w:t>Aim for at least 30 minutes a day / five days a week.</w:t>
      </w:r>
    </w:p>
    <w:p>
      <w:pPr>
        <w:spacing w:after="20" w:line="223" w:lineRule="auto"/>
        <w:jc w:val="right"/>
        <w:bidi/>
      </w:pPr>
      <w:r>
        <w:rPr>
          <w:rFonts w:ascii="Arial" w:hAnsi="Arial"/>
          <w:sz w:val="16"/>
        </w:rPr>
        <w:t>406.16  فعالیت هوازی شدید.</w:t>
      </w:r>
    </w:p>
    <w:p>
      <w:pPr>
        <w:spacing w:after="28" w:line="216" w:lineRule="auto"/>
        <w:ind w:left="259"/>
        <w:jc w:val="left"/>
      </w:pPr>
      <w:r>
        <w:rPr>
          <w:rFonts w:ascii="Arial" w:hAnsi="Arial"/>
          <w:color w:val="525252"/>
          <w:sz w:val="13"/>
        </w:rPr>
        <w:t>Vigorously Intense Aerobic Activity.</w:t>
      </w:r>
    </w:p>
    <w:p>
      <w:pPr>
        <w:spacing w:after="20" w:line="223" w:lineRule="auto"/>
        <w:jc w:val="right"/>
        <w:bidi/>
      </w:pPr>
      <w:r>
        <w:rPr>
          <w:rFonts w:ascii="Arial" w:hAnsi="Arial"/>
          <w:sz w:val="16"/>
        </w:rPr>
        <w:t>406.17  فعالیت هوازی شدید و شدید پاسخ‌های فیزیولوژیکی بالاتری را برمی‌انگیزد و اجازه مکالمه سبک یا شکسته را می‌دهد.</w:t>
      </w:r>
    </w:p>
    <w:p>
      <w:pPr>
        <w:spacing w:after="28" w:line="216" w:lineRule="auto"/>
        <w:ind w:left="259"/>
        <w:jc w:val="left"/>
      </w:pPr>
      <w:r>
        <w:rPr>
          <w:rFonts w:ascii="Arial" w:hAnsi="Arial"/>
          <w:color w:val="525252"/>
          <w:sz w:val="13"/>
        </w:rPr>
        <w:t>Vigorously intense aerobic activity elicits higher physiological responses and permits light or broken conversation.</w:t>
      </w:r>
    </w:p>
    <w:p>
      <w:pPr>
        <w:spacing w:after="20" w:line="223" w:lineRule="auto"/>
        <w:jc w:val="right"/>
        <w:bidi/>
      </w:pPr>
      <w:r>
        <w:rPr>
          <w:rFonts w:ascii="Arial" w:hAnsi="Arial"/>
          <w:sz w:val="16"/>
        </w:rPr>
        <w:t>406.18  حداقل ۲۰ تا ۲۵ دقیقه در روز / سه روز در هفته را هدف گذاری کنید.</w:t>
      </w:r>
    </w:p>
    <w:p>
      <w:pPr>
        <w:spacing w:after="28" w:line="216" w:lineRule="auto"/>
        <w:ind w:left="259"/>
        <w:jc w:val="left"/>
      </w:pPr>
      <w:r>
        <w:rPr>
          <w:rFonts w:ascii="Arial" w:hAnsi="Arial"/>
          <w:color w:val="525252"/>
          <w:sz w:val="13"/>
        </w:rPr>
        <w:t>Aim for at least 20 - 25 minutes a day / three days a week.</w:t>
      </w:r>
    </w:p>
    <w:p>
      <w:pPr>
        <w:spacing w:after="20" w:line="223" w:lineRule="auto"/>
        <w:jc w:val="right"/>
        <w:bidi/>
      </w:pPr>
      <w:r>
        <w:rPr>
          <w:rFonts w:ascii="Arial" w:hAnsi="Arial"/>
          <w:sz w:val="16"/>
        </w:rPr>
        <w:t>406.19  محاسبات شدت.</w:t>
      </w:r>
    </w:p>
    <w:p>
      <w:pPr>
        <w:spacing w:after="28" w:line="216" w:lineRule="auto"/>
        <w:ind w:left="259"/>
        <w:jc w:val="left"/>
      </w:pPr>
      <w:r>
        <w:rPr>
          <w:rFonts w:ascii="Arial" w:hAnsi="Arial"/>
          <w:color w:val="525252"/>
          <w:sz w:val="13"/>
        </w:rPr>
        <w:t>Intensity Calculations.</w:t>
      </w:r>
    </w:p>
    <w:p>
      <w:pPr>
        <w:spacing w:after="20" w:line="223" w:lineRule="auto"/>
        <w:jc w:val="right"/>
        <w:bidi/>
      </w:pPr>
      <w:r>
        <w:rPr>
          <w:rFonts w:ascii="Arial" w:hAnsi="Arial"/>
          <w:sz w:val="16"/>
        </w:rPr>
        <w:t>406.20  شدت، که مهمترین متغیر در تمرین در نظر گرفته می‌شود، می‌تواند با درصد حداکثر اکسیژن مصرفی یا با درصد حداکثر ضربان قلب اندازه گیری شود.</w:t>
      </w:r>
    </w:p>
    <w:p>
      <w:pPr>
        <w:spacing w:after="28" w:line="216" w:lineRule="auto"/>
        <w:ind w:left="259"/>
        <w:jc w:val="left"/>
      </w:pPr>
      <w:r>
        <w:rPr>
          <w:rFonts w:ascii="Arial" w:hAnsi="Arial"/>
          <w:color w:val="525252"/>
          <w:sz w:val="13"/>
        </w:rPr>
        <w:t>Intensity, considered the most important variable in training, can be measured by the percentage of maximal oxygen consumed or by the percentage of maximal heart rate.</w:t>
      </w:r>
    </w:p>
    <w:p>
      <w:pPr>
        <w:spacing w:after="20" w:line="223" w:lineRule="auto"/>
        <w:jc w:val="right"/>
        <w:bidi/>
      </w:pPr>
      <w:r>
        <w:rPr>
          <w:rFonts w:ascii="Arial" w:hAnsi="Arial"/>
          <w:sz w:val="16"/>
        </w:rPr>
        <w:t>406.21  رویکردهای مختلفی برای محاسبه شدت تمرین موجود است.</w:t>
      </w:r>
    </w:p>
    <w:p>
      <w:pPr>
        <w:spacing w:after="28" w:line="216" w:lineRule="auto"/>
        <w:ind w:left="259"/>
        <w:jc w:val="left"/>
      </w:pPr>
      <w:r>
        <w:rPr>
          <w:rFonts w:ascii="Arial" w:hAnsi="Arial"/>
          <w:color w:val="525252"/>
          <w:sz w:val="13"/>
        </w:rPr>
        <w:t>Various approaches are available for calculating training intensity.</w:t>
      </w:r>
    </w:p>
    <w:p>
      <w:pPr>
        <w:spacing w:after="20" w:line="223" w:lineRule="auto"/>
        <w:jc w:val="right"/>
        <w:bidi/>
      </w:pPr>
      <w:r>
        <w:rPr>
          <w:rFonts w:ascii="Arial" w:hAnsi="Arial"/>
          <w:sz w:val="16"/>
        </w:rPr>
        <w:t>406.22  پرسنل تناسب اندام USAF می‌توانند به تعیین محاسبات برای دستیابی ایمن به اولویت‌ها و اهداف تناسب اندام فردی کمک کنند.</w:t>
      </w:r>
    </w:p>
    <w:p>
      <w:pPr>
        <w:spacing w:after="28" w:line="216" w:lineRule="auto"/>
        <w:ind w:left="259"/>
        <w:jc w:val="left"/>
      </w:pPr>
      <w:r>
        <w:rPr>
          <w:rFonts w:ascii="Arial" w:hAnsi="Arial"/>
          <w:color w:val="525252"/>
          <w:sz w:val="13"/>
        </w:rPr>
        <w:t>USAF fitness personnel can help determine calculations to safely achieve individual fitness preferences and objectives.</w:t>
      </w:r>
    </w:p>
    <w:p>
      <w:pPr>
        <w:spacing w:after="20" w:line="223" w:lineRule="auto"/>
        <w:jc w:val="right"/>
        <w:bidi/>
      </w:pPr>
      <w:r>
        <w:rPr>
          <w:rFonts w:ascii="Arial" w:hAnsi="Arial"/>
          <w:sz w:val="16"/>
        </w:rPr>
        <w:t>406.23  نکته کلیدی که باید در هنگام ورزش به خاطر بسپارید این است که ضربان قلب خود را به سطح ایمن برسانید تا به اثر تمرینی مطلوب برسید.</w:t>
      </w:r>
    </w:p>
    <w:p>
      <w:pPr>
        <w:spacing w:after="28" w:line="216" w:lineRule="auto"/>
        <w:ind w:left="259"/>
        <w:jc w:val="left"/>
      </w:pPr>
      <w:r>
        <w:rPr>
          <w:rFonts w:ascii="Arial" w:hAnsi="Arial"/>
          <w:color w:val="525252"/>
          <w:sz w:val="13"/>
        </w:rPr>
        <w:t>The key thing to remember when exercising is to elevate your heart rate to a safe level to achieve the desired training effect.</w:t>
      </w:r>
    </w:p>
    <w:p>
      <w:pPr>
        <w:spacing w:after="20" w:line="223" w:lineRule="auto"/>
        <w:jc w:val="right"/>
        <w:bidi/>
      </w:pPr>
      <w:r>
        <w:rPr>
          <w:rFonts w:ascii="Arial" w:hAnsi="Arial"/>
          <w:sz w:val="16"/>
        </w:rPr>
        <w:t>406.24  همچنین، تنظیمات در حالت، فرکانس، مدت زمان و شدت ممکن است برای رسیدن به سطوح بالاتر سلامت و تناسب اندام ضروری باشد.</w:t>
      </w:r>
    </w:p>
    <w:p>
      <w:pPr>
        <w:spacing w:after="28" w:line="216" w:lineRule="auto"/>
        <w:ind w:left="259"/>
        <w:jc w:val="left"/>
      </w:pPr>
      <w:r>
        <w:rPr>
          <w:rFonts w:ascii="Arial" w:hAnsi="Arial"/>
          <w:color w:val="525252"/>
          <w:sz w:val="13"/>
        </w:rPr>
        <w:t>Also, adjustments in mode, frequency, duration, and intensity may be necessary to reach higher levels of health and fitness.</w:t>
      </w:r>
    </w:p>
    <w:p>
      <w:pPr>
        <w:spacing w:before="60" w:after="28"/>
        <w:jc w:val="right"/>
        <w:bidi/>
      </w:pPr>
      <w:r>
        <w:rPr>
          <w:b/>
          <w:color w:val="1F4D78"/>
          <w:sz w:val="18"/>
        </w:rPr>
        <w:t>22.10. مفاهیم و اصول اضافی تناسب اندام</w:t>
      </w:r>
    </w:p>
    <w:p>
      <w:pPr>
        <w:spacing w:after="20"/>
        <w:ind w:left="259"/>
        <w:jc w:val="left"/>
      </w:pPr>
      <w:r>
        <w:rPr>
          <w:color w:val="555555"/>
          <w:sz w:val="12"/>
        </w:rPr>
        <w:t>22.10. Additional Fitness Concepts and Principles</w:t>
      </w:r>
    </w:p>
    <w:p>
      <w:pPr>
        <w:spacing w:after="20" w:line="223" w:lineRule="auto"/>
        <w:jc w:val="right"/>
        <w:bidi/>
      </w:pPr>
      <w:r>
        <w:rPr>
          <w:rFonts w:ascii="Arial" w:hAnsi="Arial"/>
          <w:sz w:val="16"/>
        </w:rPr>
        <w:t>406.26  چندین اصل تناسب اندام اضافی وجود دارد که باید در یک روال تناسب اندام اعمال شود.</w:t>
      </w:r>
    </w:p>
    <w:p>
      <w:pPr>
        <w:spacing w:after="28" w:line="216" w:lineRule="auto"/>
        <w:ind w:left="259"/>
        <w:jc w:val="left"/>
      </w:pPr>
      <w:r>
        <w:rPr>
          <w:rFonts w:ascii="Arial" w:hAnsi="Arial"/>
          <w:color w:val="525252"/>
          <w:sz w:val="13"/>
        </w:rPr>
        <w:t>There are several additional fitness principles that should be applied to a fitness routine.</w:t>
      </w:r>
    </w:p>
    <w:p>
      <w:pPr>
        <w:spacing w:after="20" w:line="223" w:lineRule="auto"/>
        <w:jc w:val="right"/>
        <w:bidi/>
      </w:pPr>
      <w:r>
        <w:rPr>
          <w:rFonts w:ascii="Arial" w:hAnsi="Arial"/>
          <w:sz w:val="16"/>
        </w:rPr>
        <w:t>406.27  روال‌های تناسب اندام نیازی به پیچیده بودن ندارند.</w:t>
      </w:r>
    </w:p>
    <w:p>
      <w:pPr>
        <w:spacing w:after="28" w:line="216" w:lineRule="auto"/>
        <w:ind w:left="259"/>
        <w:jc w:val="left"/>
      </w:pPr>
      <w:r>
        <w:rPr>
          <w:rFonts w:ascii="Arial" w:hAnsi="Arial"/>
          <w:color w:val="525252"/>
          <w:sz w:val="13"/>
        </w:rPr>
        <w:t>Fitness routines do not need to be complicated.</w:t>
      </w:r>
    </w:p>
    <w:p>
      <w:pPr>
        <w:spacing w:after="20" w:line="223" w:lineRule="auto"/>
        <w:jc w:val="right"/>
        <w:bidi/>
      </w:pPr>
      <w:r>
        <w:rPr>
          <w:rFonts w:ascii="Arial" w:hAnsi="Arial"/>
          <w:sz w:val="16"/>
        </w:rPr>
        <w:t>406.28  می‌توان آن‌ها را ساده‌سازی کرد، متناسب با نیازهای فردی طراحی کرد، و برای پرداختن به مفاهیم خاصی طراحی کرد تا به حداکثر تلاش‌ها و مزایای آموزشی کمک کند.</w:t>
      </w:r>
    </w:p>
    <w:p>
      <w:pPr>
        <w:spacing w:after="28" w:line="216" w:lineRule="auto"/>
        <w:ind w:left="259"/>
        <w:jc w:val="left"/>
      </w:pPr>
      <w:r>
        <w:rPr>
          <w:rFonts w:ascii="Arial" w:hAnsi="Arial"/>
          <w:color w:val="525252"/>
          <w:sz w:val="13"/>
        </w:rPr>
        <w:t>They can be simplified, tailored to individual needs, and designed to address certain concepts to help maximize training efforts and benefits.</w:t>
      </w:r>
    </w:p>
    <w:p>
      <w:pPr>
        <w:spacing w:after="20" w:line="223" w:lineRule="auto"/>
        <w:jc w:val="right"/>
        <w:bidi/>
      </w:pPr>
      <w:r>
        <w:rPr>
          <w:rFonts w:ascii="Arial" w:hAnsi="Arial"/>
          <w:sz w:val="16"/>
        </w:rPr>
        <w:t>406.29  گرم کردن قبل از تمرین.</w:t>
      </w:r>
    </w:p>
    <w:p>
      <w:pPr>
        <w:spacing w:after="28" w:line="216" w:lineRule="auto"/>
        <w:ind w:left="259"/>
        <w:jc w:val="left"/>
      </w:pPr>
      <w:r>
        <w:rPr>
          <w:rFonts w:ascii="Arial" w:hAnsi="Arial"/>
          <w:color w:val="525252"/>
          <w:sz w:val="13"/>
        </w:rPr>
        <w:t>Pre-Workout Warm-up.</w:t>
      </w:r>
    </w:p>
    <w:p>
      <w:pPr>
        <w:spacing w:after="20" w:line="223" w:lineRule="auto"/>
        <w:jc w:val="right"/>
        <w:bidi/>
      </w:pPr>
      <w:r>
        <w:rPr>
          <w:rFonts w:ascii="Arial" w:hAnsi="Arial"/>
          <w:sz w:val="16"/>
        </w:rPr>
        <w:t>406.30  گرم کردن به افزایش دمای بدن و جریان خون کمک می‌کند و از کشیدگی عضلات، تاندون‌ها و رباط‌ها محافظت می‌کند.</w:t>
      </w:r>
    </w:p>
    <w:p>
      <w:pPr>
        <w:spacing w:after="28" w:line="216" w:lineRule="auto"/>
        <w:ind w:left="259"/>
        <w:jc w:val="left"/>
      </w:pPr>
      <w:r>
        <w:rPr>
          <w:rFonts w:ascii="Arial" w:hAnsi="Arial"/>
          <w:color w:val="525252"/>
          <w:sz w:val="13"/>
        </w:rPr>
        <w:t>Warm-ups help increase body temperature and blood flow, and guard against muscle, tendon, and ligament strains.</w:t>
      </w:r>
    </w:p>
    <w:p>
      <w:pPr>
        <w:spacing w:after="20" w:line="223" w:lineRule="auto"/>
        <w:jc w:val="right"/>
        <w:bidi/>
      </w:pPr>
      <w:r>
        <w:rPr>
          <w:rFonts w:ascii="Arial" w:hAnsi="Arial"/>
          <w:sz w:val="16"/>
        </w:rPr>
        <w:t>406.31  قبل از شروع هر گونه فعالیت بدنی شدید، بدن خود را برای ورزش با گرم کردن آماده کنید.</w:t>
      </w:r>
    </w:p>
    <w:p>
      <w:pPr>
        <w:spacing w:after="28" w:line="216" w:lineRule="auto"/>
        <w:ind w:left="259"/>
        <w:jc w:val="left"/>
      </w:pPr>
      <w:r>
        <w:rPr>
          <w:rFonts w:ascii="Arial" w:hAnsi="Arial"/>
          <w:color w:val="525252"/>
          <w:sz w:val="13"/>
        </w:rPr>
        <w:t>Before beginning any vigorous physical activity, prepare your body for exercise with a warm-up.</w:t>
      </w:r>
    </w:p>
    <w:p>
      <w:pPr>
        <w:spacing w:after="20" w:line="223" w:lineRule="auto"/>
        <w:jc w:val="right"/>
        <w:bidi/>
      </w:pPr>
      <w:r>
        <w:rPr>
          <w:rFonts w:ascii="Arial" w:hAnsi="Arial"/>
          <w:sz w:val="16"/>
        </w:rPr>
        <w:t>406.32  گرم کردن پویا پنج تا هفت دقیقه‌ای جریان خون را به ماهیچه‌ها و تاندون‌ها افزایش می‌دهد، بنابراین به کاهش خطر آسیب و افزایش دامنه حرکتی مفصل کمک می‌کند و بر سرعت انقباض عضلانی تأثیر مثبت می‌گذارد.</w:t>
      </w:r>
    </w:p>
    <w:p>
      <w:pPr>
        <w:spacing w:after="28" w:line="216" w:lineRule="auto"/>
        <w:ind w:left="259"/>
        <w:jc w:val="left"/>
      </w:pPr>
      <w:r>
        <w:rPr>
          <w:rFonts w:ascii="Arial" w:hAnsi="Arial"/>
          <w:color w:val="525252"/>
          <w:sz w:val="13"/>
        </w:rPr>
        <w:t>A five to seven minute dynamic warm-up increases the flow of blood to the muscles and tendons, thus helping reduce the risk of injury and increasing the joint’s range of motion, positively affecting the speed of muscular contraction.</w:t>
      </w:r>
    </w:p>
    <w:p>
      <w:pPr>
        <w:spacing w:after="20" w:line="223" w:lineRule="auto"/>
        <w:jc w:val="right"/>
        <w:bidi/>
      </w:pPr>
      <w:r>
        <w:rPr>
          <w:rFonts w:ascii="Arial" w:hAnsi="Arial"/>
          <w:sz w:val="16"/>
        </w:rPr>
        <w:t>406.33  توالی توصیه شده از فعالیت‌های گرم کردن پویا قبل از ورزش شدید در اینجا ارائه شده است.</w:t>
      </w:r>
    </w:p>
    <w:p>
      <w:pPr>
        <w:spacing w:after="28" w:line="216" w:lineRule="auto"/>
        <w:ind w:left="259"/>
        <w:jc w:val="left"/>
      </w:pPr>
      <w:r>
        <w:rPr>
          <w:rFonts w:ascii="Arial" w:hAnsi="Arial"/>
          <w:color w:val="525252"/>
          <w:sz w:val="13"/>
        </w:rPr>
        <w:t>A recommended sequence of dynamic warm-up activities before vigorous exercise is provided here.</w:t>
      </w:r>
    </w:p>
    <w:p>
      <w:pPr>
        <w:spacing w:after="20" w:line="223" w:lineRule="auto"/>
        <w:jc w:val="right"/>
        <w:bidi/>
      </w:pPr>
      <w:r>
        <w:rPr>
          <w:rFonts w:ascii="Arial" w:hAnsi="Arial"/>
          <w:sz w:val="16"/>
        </w:rPr>
        <w:t>406.34  به آرامی در محل خود بجنبید یا راه بروید تا ضربان قلب، فشار خون را به تدریج افزایش دهید.</w:t>
      </w:r>
    </w:p>
    <w:p>
      <w:pPr>
        <w:spacing w:after="28" w:line="216" w:lineRule="auto"/>
        <w:ind w:left="259"/>
        <w:jc w:val="left"/>
      </w:pPr>
      <w:r>
        <w:rPr>
          <w:rFonts w:ascii="Arial" w:hAnsi="Arial"/>
          <w:color w:val="525252"/>
          <w:sz w:val="13"/>
        </w:rPr>
        <w:t>Slowly jog in place or walk to generate a gradual increase in the heart rate, blood pressure,</w:t>
      </w:r>
    </w:p>
    <w:p>
      <w:r>
        <w:br w:type="page"/>
      </w:r>
    </w:p>
    <w:p>
      <w:pPr>
        <w:spacing w:after="60"/>
        <w:jc w:val="right"/>
        <w:bidi/>
      </w:pPr>
      <w:r>
        <w:rPr>
          <w:rFonts w:ascii="Arial" w:hAnsi="Arial"/>
          <w:b/>
          <w:color w:val="1F4D78"/>
          <w:sz w:val="19"/>
        </w:rPr>
        <w:t>هفتهٔ 407  |  صفحهٔ منبع: 423</w:t>
      </w:r>
    </w:p>
    <w:p>
      <w:pPr>
        <w:spacing w:after="20" w:line="223" w:lineRule="auto"/>
        <w:jc w:val="right"/>
        <w:bidi/>
      </w:pPr>
      <w:r>
        <w:rPr>
          <w:rFonts w:ascii="Arial" w:hAnsi="Arial"/>
          <w:sz w:val="16"/>
        </w:rPr>
        <w:t>407.01  گردش خون و دمای عضلات فعال.</w:t>
      </w:r>
    </w:p>
    <w:p>
      <w:pPr>
        <w:spacing w:after="28" w:line="216" w:lineRule="auto"/>
        <w:ind w:left="259"/>
        <w:jc w:val="left"/>
      </w:pPr>
      <w:r>
        <w:rPr>
          <w:rFonts w:ascii="Arial" w:hAnsi="Arial"/>
          <w:color w:val="525252"/>
          <w:sz w:val="13"/>
        </w:rPr>
        <w:t>circulation, and temperature of the active muscles.</w:t>
      </w:r>
    </w:p>
    <w:p>
      <w:pPr>
        <w:spacing w:after="20" w:line="223" w:lineRule="auto"/>
        <w:jc w:val="right"/>
        <w:bidi/>
      </w:pPr>
      <w:r>
        <w:rPr>
          <w:rFonts w:ascii="Arial" w:hAnsi="Arial"/>
          <w:sz w:val="16"/>
        </w:rPr>
        <w:t>407.02  مفاصل را به آرامی بچرخانید تا به تدریج دامنه حرکتی آنها افزایش یابد.</w:t>
      </w:r>
    </w:p>
    <w:p>
      <w:pPr>
        <w:spacing w:after="28" w:line="216" w:lineRule="auto"/>
        <w:ind w:left="259"/>
        <w:jc w:val="left"/>
      </w:pPr>
      <w:r>
        <w:rPr>
          <w:rFonts w:ascii="Arial" w:hAnsi="Arial"/>
          <w:color w:val="525252"/>
          <w:sz w:val="13"/>
        </w:rPr>
        <w:t>Slowly rotate joints to gradually increase their range of motion.</w:t>
      </w:r>
    </w:p>
    <w:p>
      <w:pPr>
        <w:spacing w:after="20" w:line="223" w:lineRule="auto"/>
        <w:jc w:val="right"/>
        <w:bidi/>
      </w:pPr>
      <w:r>
        <w:rPr>
          <w:rFonts w:ascii="Arial" w:hAnsi="Arial"/>
          <w:sz w:val="16"/>
        </w:rPr>
        <w:t>407.03  به آرامی فعالیت هایی را که باید انجام شود تقلید کنید.</w:t>
      </w:r>
    </w:p>
    <w:p>
      <w:pPr>
        <w:spacing w:after="28" w:line="216" w:lineRule="auto"/>
        <w:ind w:left="259"/>
        <w:jc w:val="left"/>
      </w:pPr>
      <w:r>
        <w:rPr>
          <w:rFonts w:ascii="Arial" w:hAnsi="Arial"/>
          <w:color w:val="525252"/>
          <w:sz w:val="13"/>
        </w:rPr>
        <w:t>Slowly mimic the activities to be performed.</w:t>
      </w:r>
    </w:p>
    <w:p>
      <w:pPr>
        <w:spacing w:after="20" w:line="223" w:lineRule="auto"/>
        <w:jc w:val="right"/>
        <w:bidi/>
      </w:pPr>
      <w:r>
        <w:rPr>
          <w:rFonts w:ascii="Arial" w:hAnsi="Arial"/>
          <w:sz w:val="16"/>
        </w:rPr>
        <w:t>407.04  هنگام گرم کردن بدن برای وزنه برداری، بلند کردن وزنه‌های سبک‌تر به آماده‌سازی مسیرهای عصبی عضلانی کمک می‌کند.</w:t>
      </w:r>
    </w:p>
    <w:p>
      <w:pPr>
        <w:spacing w:after="28" w:line="216" w:lineRule="auto"/>
        <w:ind w:left="259"/>
        <w:jc w:val="left"/>
      </w:pPr>
      <w:r>
        <w:rPr>
          <w:rFonts w:ascii="Arial" w:hAnsi="Arial"/>
          <w:color w:val="525252"/>
          <w:sz w:val="13"/>
        </w:rPr>
        <w:t>When warming up for weight lifting, lifting lighter weights helps prepare the neuromuscular pathways.</w:t>
      </w:r>
    </w:p>
    <w:p>
      <w:pPr>
        <w:spacing w:after="20" w:line="223" w:lineRule="auto"/>
        <w:jc w:val="right"/>
        <w:bidi/>
      </w:pPr>
      <w:r>
        <w:rPr>
          <w:rFonts w:ascii="Arial" w:hAnsi="Arial"/>
          <w:sz w:val="16"/>
        </w:rPr>
        <w:t>407.05  خنک شدن بعد از تمرین.</w:t>
      </w:r>
    </w:p>
    <w:p>
      <w:pPr>
        <w:spacing w:after="28" w:line="216" w:lineRule="auto"/>
        <w:ind w:left="259"/>
        <w:jc w:val="left"/>
      </w:pPr>
      <w:r>
        <w:rPr>
          <w:rFonts w:ascii="Arial" w:hAnsi="Arial"/>
          <w:color w:val="525252"/>
          <w:sz w:val="13"/>
        </w:rPr>
        <w:t>Post-Workout Cool-down.</w:t>
      </w:r>
    </w:p>
    <w:p>
      <w:pPr>
        <w:spacing w:after="20" w:line="223" w:lineRule="auto"/>
        <w:jc w:val="right"/>
        <w:bidi/>
      </w:pPr>
      <w:r>
        <w:rPr>
          <w:rFonts w:ascii="Arial" w:hAnsi="Arial"/>
          <w:sz w:val="16"/>
        </w:rPr>
        <w:t>407.06  خنک کننده‌ها باعث کاهش تدریجی فعالیت برای جلوگیری از تجمع خون، تسریع بهبودی و جلوگیری از آسیب می‌شود.</w:t>
      </w:r>
    </w:p>
    <w:p>
      <w:pPr>
        <w:spacing w:after="28" w:line="216" w:lineRule="auto"/>
        <w:ind w:left="259"/>
        <w:jc w:val="left"/>
      </w:pPr>
      <w:r>
        <w:rPr>
          <w:rFonts w:ascii="Arial" w:hAnsi="Arial"/>
          <w:color w:val="525252"/>
          <w:sz w:val="13"/>
        </w:rPr>
        <w:t>Cool-downs provide a gradual reduction in activity to prevent blood pooling, hasten recovery, and avoid injury.</w:t>
      </w:r>
    </w:p>
    <w:p>
      <w:pPr>
        <w:spacing w:after="20" w:line="223" w:lineRule="auto"/>
        <w:jc w:val="right"/>
        <w:bidi/>
      </w:pPr>
      <w:r>
        <w:rPr>
          <w:rFonts w:ascii="Arial" w:hAnsi="Arial"/>
          <w:sz w:val="16"/>
        </w:rPr>
        <w:t>407.07  بعد از تمرین، چند دقیقه وقت بگذارید تا با کاهش تدریجی شدت فعالیت، بدن خود را به تدریج به حالت استراحت عادی خود برگردانید.</w:t>
      </w:r>
    </w:p>
    <w:p>
      <w:pPr>
        <w:spacing w:after="28" w:line="216" w:lineRule="auto"/>
        <w:ind w:left="259"/>
        <w:jc w:val="left"/>
      </w:pPr>
      <w:r>
        <w:rPr>
          <w:rFonts w:ascii="Arial" w:hAnsi="Arial"/>
          <w:color w:val="525252"/>
          <w:sz w:val="13"/>
        </w:rPr>
        <w:t>After a workout, take a few minutes to gradually bring your body back to its normal resting state by slowly decreasing the intensity of your activity.</w:t>
      </w:r>
    </w:p>
    <w:p>
      <w:pPr>
        <w:spacing w:after="20" w:line="223" w:lineRule="auto"/>
        <w:jc w:val="right"/>
        <w:bidi/>
      </w:pPr>
      <w:r>
        <w:rPr>
          <w:rFonts w:ascii="Arial" w:hAnsi="Arial"/>
          <w:sz w:val="16"/>
        </w:rPr>
        <w:t>407.08  چند نمونه از نحوه خنک کردن بدن بعد از تمرین در اینجا ارائه شده است.</w:t>
      </w:r>
    </w:p>
    <w:p>
      <w:pPr>
        <w:spacing w:after="28" w:line="216" w:lineRule="auto"/>
        <w:ind w:left="259"/>
        <w:jc w:val="left"/>
      </w:pPr>
      <w:r>
        <w:rPr>
          <w:rFonts w:ascii="Arial" w:hAnsi="Arial"/>
          <w:color w:val="525252"/>
          <w:sz w:val="13"/>
        </w:rPr>
        <w:t>A few examples of how to cool down after a workout are provided here.</w:t>
      </w:r>
    </w:p>
    <w:p>
      <w:pPr>
        <w:spacing w:after="20" w:line="223" w:lineRule="auto"/>
        <w:jc w:val="right"/>
        <w:bidi/>
      </w:pPr>
      <w:r>
        <w:rPr>
          <w:rFonts w:ascii="Arial" w:hAnsi="Arial"/>
          <w:sz w:val="16"/>
        </w:rPr>
        <w:t>407.09  پس از دویدن، آهسته آهسته آهسته دوید و سپس یک تا دو دقیقه راه بروید.</w:t>
      </w:r>
    </w:p>
    <w:p>
      <w:pPr>
        <w:spacing w:after="28" w:line="216" w:lineRule="auto"/>
        <w:ind w:left="259"/>
        <w:jc w:val="left"/>
      </w:pPr>
      <w:r>
        <w:rPr>
          <w:rFonts w:ascii="Arial" w:hAnsi="Arial"/>
          <w:color w:val="525252"/>
          <w:sz w:val="13"/>
        </w:rPr>
        <w:t>After a run, jog slowly and then walk for one to two minutes.</w:t>
      </w:r>
    </w:p>
    <w:p>
      <w:pPr>
        <w:spacing w:after="20" w:line="223" w:lineRule="auto"/>
        <w:jc w:val="right"/>
        <w:bidi/>
      </w:pPr>
      <w:r>
        <w:rPr>
          <w:rFonts w:ascii="Arial" w:hAnsi="Arial"/>
          <w:sz w:val="16"/>
        </w:rPr>
        <w:t>407.10  این کار را در حین آبرسانی مجدد انجام دهید تا خنک شود بدون اینکه اجازه دهید خون در عضلات جمع شود و جریان خون به قلب و مغز کاهش یابد.</w:t>
      </w:r>
    </w:p>
    <w:p>
      <w:pPr>
        <w:spacing w:after="28" w:line="216" w:lineRule="auto"/>
        <w:ind w:left="259"/>
        <w:jc w:val="left"/>
      </w:pPr>
      <w:r>
        <w:rPr>
          <w:rFonts w:ascii="Arial" w:hAnsi="Arial"/>
          <w:color w:val="525252"/>
          <w:sz w:val="13"/>
        </w:rPr>
        <w:t>Do this while rehydrating to cool down without allowing the blood to pool in the muscles and reducing blood flow to the heart and brain.</w:t>
      </w:r>
    </w:p>
    <w:p>
      <w:pPr>
        <w:spacing w:after="20" w:line="223" w:lineRule="auto"/>
        <w:jc w:val="right"/>
        <w:bidi/>
      </w:pPr>
      <w:r>
        <w:rPr>
          <w:rFonts w:ascii="Arial" w:hAnsi="Arial"/>
          <w:sz w:val="16"/>
        </w:rPr>
        <w:t>407.11  برای کمک به کاهش تنش و درد عضلانی، فعالیت‌های مشابه کارهایی که در گرم کردن انجام می‌شود را تکرار کنید.</w:t>
      </w:r>
    </w:p>
    <w:p>
      <w:pPr>
        <w:spacing w:after="28" w:line="216" w:lineRule="auto"/>
        <w:ind w:left="259"/>
        <w:jc w:val="left"/>
      </w:pPr>
      <w:r>
        <w:rPr>
          <w:rFonts w:ascii="Arial" w:hAnsi="Arial"/>
          <w:color w:val="525252"/>
          <w:sz w:val="13"/>
        </w:rPr>
        <w:t>Repeat activities similar to those done in the warm-up to help ease muscle tension and soreness.</w:t>
      </w:r>
    </w:p>
    <w:p>
      <w:pPr>
        <w:spacing w:after="20" w:line="223" w:lineRule="auto"/>
        <w:jc w:val="right"/>
        <w:bidi/>
      </w:pPr>
      <w:r>
        <w:rPr>
          <w:rFonts w:ascii="Arial" w:hAnsi="Arial"/>
          <w:sz w:val="16"/>
        </w:rPr>
        <w:t>407.12  آموزش انعطاف پذیری.</w:t>
      </w:r>
    </w:p>
    <w:p>
      <w:pPr>
        <w:spacing w:after="28" w:line="216" w:lineRule="auto"/>
        <w:ind w:left="259"/>
        <w:jc w:val="left"/>
      </w:pPr>
      <w:r>
        <w:rPr>
          <w:rFonts w:ascii="Arial" w:hAnsi="Arial"/>
          <w:color w:val="525252"/>
          <w:sz w:val="13"/>
        </w:rPr>
        <w:t>Flexibility Training.</w:t>
      </w:r>
    </w:p>
    <w:p>
      <w:pPr>
        <w:spacing w:after="20" w:line="223" w:lineRule="auto"/>
        <w:jc w:val="right"/>
        <w:bidi/>
      </w:pPr>
      <w:r>
        <w:rPr>
          <w:rFonts w:ascii="Arial" w:hAnsi="Arial"/>
          <w:sz w:val="16"/>
        </w:rPr>
        <w:t>407.13  انعطاف پذیری حداکثر توانایی حرکت مفصل آزادانه، بدون درد، از طریق دامنه حرکتی در نظر گرفته می‌شود.</w:t>
      </w:r>
    </w:p>
    <w:p>
      <w:pPr>
        <w:spacing w:after="28" w:line="216" w:lineRule="auto"/>
        <w:ind w:left="259"/>
        <w:jc w:val="left"/>
      </w:pPr>
      <w:r>
        <w:rPr>
          <w:rFonts w:ascii="Arial" w:hAnsi="Arial"/>
          <w:color w:val="525252"/>
          <w:sz w:val="13"/>
        </w:rPr>
        <w:t>Flexibility is considered to be the maximum ability to move a joint freely, without pain, through a range of motion.</w:t>
      </w:r>
    </w:p>
    <w:p>
      <w:pPr>
        <w:spacing w:after="20" w:line="223" w:lineRule="auto"/>
        <w:jc w:val="right"/>
        <w:bidi/>
      </w:pPr>
      <w:r>
        <w:rPr>
          <w:rFonts w:ascii="Arial" w:hAnsi="Arial"/>
          <w:sz w:val="16"/>
        </w:rPr>
        <w:t>407.14  اگرچه انعطاف پذیری در طول ارزیابی تناسب اندام ارزیابی نمی‌شود، اما جنبه مهمی از سلامت کلی است و باید بخشی از یک روال فعالیت بدنی متعادل باشد.</w:t>
      </w:r>
    </w:p>
    <w:p>
      <w:pPr>
        <w:spacing w:after="28" w:line="216" w:lineRule="auto"/>
        <w:ind w:left="259"/>
        <w:jc w:val="left"/>
      </w:pPr>
      <w:r>
        <w:rPr>
          <w:rFonts w:ascii="Arial" w:hAnsi="Arial"/>
          <w:color w:val="525252"/>
          <w:sz w:val="13"/>
        </w:rPr>
        <w:t>Although flexibility is not assessed during the fitness assessment, it is an important aspect of overall health and should be part of a well-balanced physical activity routine.</w:t>
      </w:r>
    </w:p>
    <w:p>
      <w:pPr>
        <w:spacing w:after="20" w:line="223" w:lineRule="auto"/>
        <w:jc w:val="right"/>
        <w:bidi/>
      </w:pPr>
      <w:r>
        <w:rPr>
          <w:rFonts w:ascii="Arial" w:hAnsi="Arial"/>
          <w:sz w:val="16"/>
        </w:rPr>
        <w:t>407.15  دو جنبه انعطاف پذیری، ثبات و تحرک است.</w:t>
      </w:r>
    </w:p>
    <w:p>
      <w:pPr>
        <w:spacing w:after="28" w:line="216" w:lineRule="auto"/>
        <w:ind w:left="259"/>
        <w:jc w:val="left"/>
      </w:pPr>
      <w:r>
        <w:rPr>
          <w:rFonts w:ascii="Arial" w:hAnsi="Arial"/>
          <w:color w:val="525252"/>
          <w:sz w:val="13"/>
        </w:rPr>
        <w:t>Two aspects of flexibility are stability and mobility.</w:t>
      </w:r>
    </w:p>
    <w:p>
      <w:pPr>
        <w:spacing w:after="20" w:line="223" w:lineRule="auto"/>
        <w:jc w:val="right"/>
        <w:bidi/>
      </w:pPr>
      <w:r>
        <w:rPr>
          <w:rFonts w:ascii="Arial" w:hAnsi="Arial"/>
          <w:sz w:val="16"/>
        </w:rPr>
        <w:t>407.16  پایداری با حفظ موقعیت‌های عملکردی غیرحرکتی، از جمله ثبات وضعیتی سروکار دارد.</w:t>
      </w:r>
    </w:p>
    <w:p>
      <w:pPr>
        <w:spacing w:after="28" w:line="216" w:lineRule="auto"/>
        <w:ind w:left="259"/>
        <w:jc w:val="left"/>
      </w:pPr>
      <w:r>
        <w:rPr>
          <w:rFonts w:ascii="Arial" w:hAnsi="Arial"/>
          <w:color w:val="525252"/>
          <w:sz w:val="13"/>
        </w:rPr>
        <w:t>Stability deals with maintaining non-movement functional positions, including postural stability.</w:t>
      </w:r>
    </w:p>
    <w:p>
      <w:pPr>
        <w:spacing w:after="20" w:line="223" w:lineRule="auto"/>
        <w:jc w:val="right"/>
        <w:bidi/>
      </w:pPr>
      <w:r>
        <w:rPr>
          <w:rFonts w:ascii="Arial" w:hAnsi="Arial"/>
          <w:sz w:val="16"/>
        </w:rPr>
        <w:t>407.17  تحرک با حرکت کنترل شده و عملکردی از طریق دامنه فعال حرکت در سطوح مختلف حرکت سر و کار دارد.</w:t>
      </w:r>
    </w:p>
    <w:p>
      <w:pPr>
        <w:spacing w:after="28" w:line="216" w:lineRule="auto"/>
        <w:ind w:left="259"/>
        <w:jc w:val="left"/>
      </w:pPr>
      <w:r>
        <w:rPr>
          <w:rFonts w:ascii="Arial" w:hAnsi="Arial"/>
          <w:color w:val="525252"/>
          <w:sz w:val="13"/>
        </w:rPr>
        <w:t>Mobility deals with controlled, functional movement through an active range of motion in the various planes of motion.</w:t>
      </w:r>
    </w:p>
    <w:p>
      <w:pPr>
        <w:spacing w:after="20" w:line="223" w:lineRule="auto"/>
        <w:jc w:val="right"/>
        <w:bidi/>
      </w:pPr>
      <w:r>
        <w:rPr>
          <w:rFonts w:ascii="Arial" w:hAnsi="Arial"/>
          <w:sz w:val="16"/>
        </w:rPr>
        <w:t>407.18  کشش.</w:t>
      </w:r>
    </w:p>
    <w:p>
      <w:pPr>
        <w:spacing w:after="28" w:line="216" w:lineRule="auto"/>
        <w:ind w:left="259"/>
        <w:jc w:val="left"/>
      </w:pPr>
      <w:r>
        <w:rPr>
          <w:rFonts w:ascii="Arial" w:hAnsi="Arial"/>
          <w:color w:val="525252"/>
          <w:sz w:val="13"/>
        </w:rPr>
        <w:t>Stretching.</w:t>
      </w:r>
    </w:p>
    <w:p>
      <w:pPr>
        <w:spacing w:after="20" w:line="223" w:lineRule="auto"/>
        <w:jc w:val="right"/>
        <w:bidi/>
      </w:pPr>
      <w:r>
        <w:rPr>
          <w:rFonts w:ascii="Arial" w:hAnsi="Arial"/>
          <w:sz w:val="16"/>
        </w:rPr>
        <w:t>407.19  حرکات کششی یکی از انواع ورزش است که نسبت به فواید به دست آمده زمان بسیار کمی می‌برد و ممکن است به راحتی در خانه یا محل کار انجام شود.</w:t>
      </w:r>
    </w:p>
    <w:p>
      <w:pPr>
        <w:spacing w:after="28" w:line="216" w:lineRule="auto"/>
        <w:ind w:left="259"/>
        <w:jc w:val="left"/>
      </w:pPr>
      <w:r>
        <w:rPr>
          <w:rFonts w:ascii="Arial" w:hAnsi="Arial"/>
          <w:color w:val="525252"/>
          <w:sz w:val="13"/>
        </w:rPr>
        <w:t>Stretching is one form of exercise that takes very little time relative to the benefits gained and may be done easily at home or work.</w:t>
      </w:r>
    </w:p>
    <w:p>
      <w:pPr>
        <w:spacing w:after="20" w:line="223" w:lineRule="auto"/>
        <w:jc w:val="right"/>
        <w:bidi/>
      </w:pPr>
      <w:r>
        <w:rPr>
          <w:rFonts w:ascii="Arial" w:hAnsi="Arial"/>
          <w:sz w:val="16"/>
        </w:rPr>
        <w:t>407.20  حرکات تکراری در محل کار یا یک کار بی تحرک بیشتر می‌تواند تنش را در گروه‌های عضلانی خاص افزایش دهد که از کشش خفیف در طول روز سود می‌برد.</w:t>
      </w:r>
    </w:p>
    <w:p>
      <w:pPr>
        <w:spacing w:after="28" w:line="216" w:lineRule="auto"/>
        <w:ind w:left="259"/>
        <w:jc w:val="left"/>
      </w:pPr>
      <w:r>
        <w:rPr>
          <w:rFonts w:ascii="Arial" w:hAnsi="Arial"/>
          <w:color w:val="525252"/>
          <w:sz w:val="13"/>
        </w:rPr>
        <w:t>Repetitive movements at work or a more sedentary job can increase tension in specific muscle groups, which would benefit from mild stretching during the course of the day.</w:t>
      </w:r>
    </w:p>
    <w:p>
      <w:pPr>
        <w:spacing w:after="20" w:line="223" w:lineRule="auto"/>
        <w:jc w:val="right"/>
        <w:bidi/>
      </w:pPr>
      <w:r>
        <w:rPr>
          <w:rFonts w:ascii="Arial" w:hAnsi="Arial"/>
          <w:sz w:val="16"/>
        </w:rPr>
        <w:t>407.21  زمانی که ماهیچه‌ها، تاندون‌ها، رباط‌ها و بافت همبند گرم‌تر هستند (بالاتر از دمای طبیعی بدن)، کشش را انجام دهید و این حرکات کششی را به مدت ۱۰ تا ۳۰ ثانیه نگه دارید.</w:t>
      </w:r>
    </w:p>
    <w:p>
      <w:pPr>
        <w:spacing w:after="28" w:line="216" w:lineRule="auto"/>
        <w:ind w:left="259"/>
        <w:jc w:val="left"/>
      </w:pPr>
      <w:r>
        <w:rPr>
          <w:rFonts w:ascii="Arial" w:hAnsi="Arial"/>
          <w:color w:val="525252"/>
          <w:sz w:val="13"/>
        </w:rPr>
        <w:t>Stretch when the muscles, tendons, ligaments, and connective tissue are warmer (above normal body temperature), and hold stretches for 10 to 30 seconds.</w:t>
      </w:r>
    </w:p>
    <w:p>
      <w:pPr>
        <w:spacing w:after="20" w:line="223" w:lineRule="auto"/>
        <w:jc w:val="right"/>
        <w:bidi/>
      </w:pPr>
      <w:r>
        <w:rPr>
          <w:rFonts w:ascii="Arial" w:hAnsi="Arial"/>
          <w:sz w:val="16"/>
        </w:rPr>
        <w:t>407.22  هر کشش را سه تا چهار بار تکرار کنید.</w:t>
      </w:r>
    </w:p>
    <w:p>
      <w:pPr>
        <w:spacing w:after="28" w:line="216" w:lineRule="auto"/>
        <w:ind w:left="259"/>
        <w:jc w:val="left"/>
      </w:pPr>
      <w:r>
        <w:rPr>
          <w:rFonts w:ascii="Arial" w:hAnsi="Arial"/>
          <w:color w:val="525252"/>
          <w:sz w:val="13"/>
        </w:rPr>
        <w:t>Repeat each stretch three to four times.</w:t>
      </w:r>
    </w:p>
    <w:p>
      <w:pPr>
        <w:spacing w:after="20" w:line="223" w:lineRule="auto"/>
        <w:jc w:val="right"/>
        <w:bidi/>
      </w:pPr>
      <w:r>
        <w:rPr>
          <w:rFonts w:ascii="Arial" w:hAnsi="Arial"/>
          <w:sz w:val="16"/>
        </w:rPr>
        <w:t>407.23  کشش بالستیک (جهش) توصیه نمی‌شود.</w:t>
      </w:r>
    </w:p>
    <w:p>
      <w:pPr>
        <w:spacing w:after="28" w:line="216" w:lineRule="auto"/>
        <w:ind w:left="259"/>
        <w:jc w:val="left"/>
      </w:pPr>
      <w:r>
        <w:rPr>
          <w:rFonts w:ascii="Arial" w:hAnsi="Arial"/>
          <w:color w:val="525252"/>
          <w:sz w:val="13"/>
        </w:rPr>
        <w:t>Ballistic stretching (bouncing) is not recommended.</w:t>
      </w:r>
    </w:p>
    <w:p>
      <w:pPr>
        <w:spacing w:after="20" w:line="223" w:lineRule="auto"/>
        <w:jc w:val="right"/>
        <w:bidi/>
      </w:pPr>
      <w:r>
        <w:rPr>
          <w:rFonts w:ascii="Arial" w:hAnsi="Arial"/>
          <w:sz w:val="16"/>
        </w:rPr>
        <w:t>407.24  همچنین بعد از تمرین، ماهیچه‌ها از فعالیت گرم می‌شوند و نباید بیش از حد کشیده شوند.</w:t>
      </w:r>
    </w:p>
    <w:p>
      <w:pPr>
        <w:spacing w:after="28" w:line="216" w:lineRule="auto"/>
        <w:ind w:left="259"/>
        <w:jc w:val="left"/>
      </w:pPr>
      <w:r>
        <w:rPr>
          <w:rFonts w:ascii="Arial" w:hAnsi="Arial"/>
          <w:color w:val="525252"/>
          <w:sz w:val="13"/>
        </w:rPr>
        <w:t>Also, after a workout, the muscles are warm from activity and should not be over-stretched.</w:t>
      </w:r>
    </w:p>
    <w:p>
      <w:pPr>
        <w:spacing w:after="20" w:line="223" w:lineRule="auto"/>
        <w:jc w:val="right"/>
        <w:bidi/>
      </w:pPr>
      <w:r>
        <w:rPr>
          <w:rFonts w:ascii="Arial" w:hAnsi="Arial"/>
          <w:sz w:val="16"/>
        </w:rPr>
        <w:t>407.25  اصل ویژگی.</w:t>
      </w:r>
    </w:p>
    <w:p>
      <w:pPr>
        <w:spacing w:after="28" w:line="216" w:lineRule="auto"/>
        <w:ind w:left="259"/>
        <w:jc w:val="left"/>
      </w:pPr>
      <w:r>
        <w:rPr>
          <w:rFonts w:ascii="Arial" w:hAnsi="Arial"/>
          <w:color w:val="525252"/>
          <w:sz w:val="13"/>
        </w:rPr>
        <w:t>Principle of Specificity.</w:t>
      </w:r>
    </w:p>
    <w:p>
      <w:pPr>
        <w:spacing w:after="20" w:line="223" w:lineRule="auto"/>
        <w:jc w:val="right"/>
        <w:bidi/>
      </w:pPr>
      <w:r>
        <w:rPr>
          <w:rFonts w:ascii="Arial" w:hAnsi="Arial"/>
          <w:sz w:val="16"/>
        </w:rPr>
        <w:t>407.26  با انجام یک ارزیابی ساده از حرکت عملکردی، گروه‌های عضلانی خاص یا نواحی هدف را هدف قرار دهید.</w:t>
      </w:r>
    </w:p>
    <w:p>
      <w:pPr>
        <w:spacing w:after="28" w:line="216" w:lineRule="auto"/>
        <w:ind w:left="259"/>
        <w:jc w:val="left"/>
      </w:pPr>
      <w:r>
        <w:rPr>
          <w:rFonts w:ascii="Arial" w:hAnsi="Arial"/>
          <w:color w:val="525252"/>
          <w:sz w:val="13"/>
        </w:rPr>
        <w:t>Target specific muscle groups or target areas by doing a simple assessment of functional movement.</w:t>
      </w:r>
    </w:p>
    <w:p>
      <w:pPr>
        <w:spacing w:after="20" w:line="223" w:lineRule="auto"/>
        <w:jc w:val="right"/>
        <w:bidi/>
      </w:pPr>
      <w:r>
        <w:rPr>
          <w:rFonts w:ascii="Arial" w:hAnsi="Arial"/>
          <w:sz w:val="16"/>
        </w:rPr>
        <w:t>407.27  با گنجاندن حرکات خاص در یک برنامه تمرینی قدرتی، نیروهای هوایی می‌تواند قدرت را بهبود بخشد و وظایف مربوط به کار را بهبود بخشد و در عین حال آسیب‌دیدگی‌ها را با آماده‌سازی عضلات مورد نیاز برای انجام کار، کاهش دهد.</w:t>
      </w:r>
    </w:p>
    <w:p>
      <w:pPr>
        <w:spacing w:after="28" w:line="216" w:lineRule="auto"/>
        <w:ind w:left="259"/>
        <w:jc w:val="left"/>
      </w:pPr>
      <w:r>
        <w:rPr>
          <w:rFonts w:ascii="Arial" w:hAnsi="Arial"/>
          <w:color w:val="525252"/>
          <w:sz w:val="13"/>
        </w:rPr>
        <w:t>By incorporating specific moves into a strength training program, Airmen can improve strength and improve work-related tasks while reducing injuries by conditioning muscles needed to perform on the job.</w:t>
      </w:r>
    </w:p>
    <w:p>
      <w:pPr>
        <w:spacing w:after="20" w:line="223" w:lineRule="auto"/>
        <w:jc w:val="right"/>
        <w:bidi/>
      </w:pPr>
      <w:r>
        <w:rPr>
          <w:rFonts w:ascii="Arial" w:hAnsi="Arial"/>
          <w:sz w:val="16"/>
        </w:rPr>
        <w:t>407.28  هواپیمایی که کارش مستلزم بلند کردن اجسام از زمین و انتقال آنها به مکان‌های بالای سر است، یک وظیفه مرتبط با کار دارد که معادل حرکت عملکردی اسکات و پرس بالای سر با وزنه است.</w:t>
      </w:r>
    </w:p>
    <w:p>
      <w:pPr>
        <w:spacing w:after="28" w:line="216" w:lineRule="auto"/>
        <w:ind w:left="259"/>
        <w:jc w:val="left"/>
      </w:pPr>
      <w:r>
        <w:rPr>
          <w:rFonts w:ascii="Arial" w:hAnsi="Arial"/>
          <w:color w:val="525252"/>
          <w:sz w:val="13"/>
        </w:rPr>
        <w:t>An Airman whose job requires lifting objects from the ground and moving them to overhead locations has a work-related task that is equivalent to the functional movement of a squat and an overhead press with a weight.</w:t>
      </w:r>
    </w:p>
    <w:p>
      <w:pPr>
        <w:spacing w:after="20" w:line="223" w:lineRule="auto"/>
        <w:jc w:val="right"/>
        <w:bidi/>
      </w:pPr>
      <w:r>
        <w:rPr>
          <w:rFonts w:ascii="Arial" w:hAnsi="Arial"/>
          <w:sz w:val="16"/>
        </w:rPr>
        <w:t>407.29  اصل قاعده مندی.</w:t>
      </w:r>
    </w:p>
    <w:p>
      <w:pPr>
        <w:spacing w:after="28" w:line="216" w:lineRule="auto"/>
        <w:ind w:left="259"/>
        <w:jc w:val="left"/>
      </w:pPr>
      <w:r>
        <w:rPr>
          <w:rFonts w:ascii="Arial" w:hAnsi="Arial"/>
          <w:color w:val="525252"/>
          <w:sz w:val="13"/>
        </w:rPr>
        <w:t>Principle of Regularity.</w:t>
      </w:r>
    </w:p>
    <w:p>
      <w:pPr>
        <w:spacing w:after="20" w:line="223" w:lineRule="auto"/>
        <w:jc w:val="right"/>
        <w:bidi/>
      </w:pPr>
      <w:r>
        <w:rPr>
          <w:rFonts w:ascii="Arial" w:hAnsi="Arial"/>
          <w:sz w:val="16"/>
        </w:rPr>
        <w:t>407.30  برای ایجاد یک اثر تمرینی به‌طور معمول ورزش کنید.</w:t>
      </w:r>
    </w:p>
    <w:p>
      <w:pPr>
        <w:spacing w:after="28" w:line="216" w:lineRule="auto"/>
        <w:ind w:left="259"/>
        <w:jc w:val="left"/>
      </w:pPr>
      <w:r>
        <w:rPr>
          <w:rFonts w:ascii="Arial" w:hAnsi="Arial"/>
          <w:color w:val="525252"/>
          <w:sz w:val="13"/>
        </w:rPr>
        <w:t>Exercise routinely to produce a training effect.</w:t>
      </w:r>
    </w:p>
    <w:p>
      <w:pPr>
        <w:spacing w:after="20" w:line="223" w:lineRule="auto"/>
        <w:jc w:val="right"/>
        <w:bidi/>
      </w:pPr>
      <w:r>
        <w:rPr>
          <w:rFonts w:ascii="Arial" w:hAnsi="Arial"/>
          <w:sz w:val="16"/>
        </w:rPr>
        <w:t>407.31  ایجاد یک برنامه روتین از سه تمرین در هفته برای دستیابی بهینه بهترین است.</w:t>
      </w:r>
    </w:p>
    <w:p>
      <w:pPr>
        <w:spacing w:after="28" w:line="216" w:lineRule="auto"/>
        <w:ind w:left="259"/>
        <w:jc w:val="left"/>
      </w:pPr>
      <w:r>
        <w:rPr>
          <w:rFonts w:ascii="Arial" w:hAnsi="Arial"/>
          <w:color w:val="525252"/>
          <w:sz w:val="13"/>
        </w:rPr>
        <w:t>Establishing a routine of three workouts per week is best for optimal gains.</w:t>
      </w:r>
    </w:p>
    <w:p>
      <w:pPr>
        <w:spacing w:after="20" w:line="223" w:lineRule="auto"/>
        <w:jc w:val="right"/>
        <w:bidi/>
      </w:pPr>
      <w:r>
        <w:rPr>
          <w:rFonts w:ascii="Arial" w:hAnsi="Arial"/>
          <w:sz w:val="16"/>
        </w:rPr>
        <w:t>407.32  هوانوردان باید تلاش کنند تا تمام گروه‌های عضلانی هدف را حداقل دو بار در هفته ورزش کنند.</w:t>
      </w:r>
    </w:p>
    <w:p>
      <w:pPr>
        <w:spacing w:after="28" w:line="216" w:lineRule="auto"/>
        <w:ind w:left="259"/>
        <w:jc w:val="left"/>
      </w:pPr>
      <w:r>
        <w:rPr>
          <w:rFonts w:ascii="Arial" w:hAnsi="Arial"/>
          <w:color w:val="525252"/>
          <w:sz w:val="13"/>
        </w:rPr>
        <w:t>Airmen should strive for exercising all target muscle groups at least twice each week.</w:t>
      </w:r>
    </w:p>
    <w:p>
      <w:pPr>
        <w:spacing w:after="20" w:line="223" w:lineRule="auto"/>
        <w:jc w:val="right"/>
        <w:bidi/>
      </w:pPr>
      <w:r>
        <w:rPr>
          <w:rFonts w:ascii="Arial" w:hAnsi="Arial"/>
          <w:sz w:val="16"/>
        </w:rPr>
        <w:t>407.33  برخی از هوانوردان ممکن است با انجام تمرینات قدرتی مناسب یک بار در هفته و برای مدت کوتاهی پس از ایجاد سطح پایه قوی از آمادگی عضلانی، سطح متوسطی از قدرت خود را حفظ کنند.</w:t>
      </w:r>
    </w:p>
    <w:p>
      <w:pPr>
        <w:spacing w:after="28" w:line="216" w:lineRule="auto"/>
        <w:ind w:left="259"/>
        <w:jc w:val="left"/>
      </w:pPr>
      <w:r>
        <w:rPr>
          <w:rFonts w:ascii="Arial" w:hAnsi="Arial"/>
          <w:color w:val="525252"/>
          <w:sz w:val="13"/>
        </w:rPr>
        <w:t>Some Airmen may maintain a moderate level of strength by doing proper strength workouts once a week for a short period of time after a strong baseline level of muscular fitness is established.</w:t>
      </w:r>
    </w:p>
    <w:p>
      <w:pPr>
        <w:spacing w:after="20" w:line="223" w:lineRule="auto"/>
        <w:jc w:val="right"/>
        <w:bidi/>
      </w:pPr>
      <w:r>
        <w:rPr>
          <w:rFonts w:ascii="Arial" w:hAnsi="Arial"/>
          <w:sz w:val="16"/>
        </w:rPr>
        <w:t>407.34  اصل بازیابی.</w:t>
      </w:r>
    </w:p>
    <w:p>
      <w:pPr>
        <w:spacing w:after="28" w:line="216" w:lineRule="auto"/>
        <w:ind w:left="259"/>
        <w:jc w:val="left"/>
      </w:pPr>
      <w:r>
        <w:rPr>
          <w:rFonts w:ascii="Arial" w:hAnsi="Arial"/>
          <w:color w:val="525252"/>
          <w:sz w:val="13"/>
        </w:rPr>
        <w:t>Principle of Recovery.</w:t>
      </w:r>
    </w:p>
    <w:p>
      <w:pPr>
        <w:spacing w:after="20" w:line="223" w:lineRule="auto"/>
        <w:jc w:val="right"/>
        <w:bidi/>
      </w:pPr>
      <w:r>
        <w:rPr>
          <w:rFonts w:ascii="Arial" w:hAnsi="Arial"/>
          <w:sz w:val="16"/>
        </w:rPr>
        <w:t>407.35  حداقل یک دوره ریکاوری ۴۸ ساعته بین تمرینات برای همان گروه‌های عضلانی در نظر بگیرید.</w:t>
      </w:r>
    </w:p>
    <w:p>
      <w:pPr>
        <w:spacing w:after="28" w:line="216" w:lineRule="auto"/>
        <w:ind w:left="259"/>
        <w:jc w:val="left"/>
      </w:pPr>
      <w:r>
        <w:rPr>
          <w:rFonts w:ascii="Arial" w:hAnsi="Arial"/>
          <w:color w:val="525252"/>
          <w:sz w:val="13"/>
        </w:rPr>
        <w:t>Allow at least a 48-hour recovery period between workouts for the same muscle groups.</w:t>
      </w:r>
    </w:p>
    <w:p>
      <w:pPr>
        <w:spacing w:after="20" w:line="223" w:lineRule="auto"/>
        <w:jc w:val="right"/>
        <w:bidi/>
      </w:pPr>
      <w:r>
        <w:rPr>
          <w:rFonts w:ascii="Arial" w:hAnsi="Arial"/>
          <w:sz w:val="16"/>
        </w:rPr>
        <w:t>407.36  یک راه برای انجام این کار و حفظ یک روال تناسب اندام فعال این است که عضلات پا را با وزنه در روزهای دوشنبه، چهارشنبه و جمعه تمرین دهید و عضلات بالاتنه را در روزهای سه شنبه، پنجشنبه و شنبه تمرین دهید.</w:t>
      </w:r>
    </w:p>
    <w:p>
      <w:pPr>
        <w:spacing w:after="28" w:line="216" w:lineRule="auto"/>
        <w:ind w:left="259"/>
        <w:jc w:val="left"/>
      </w:pPr>
      <w:r>
        <w:rPr>
          <w:rFonts w:ascii="Arial" w:hAnsi="Arial"/>
          <w:color w:val="525252"/>
          <w:sz w:val="13"/>
        </w:rPr>
        <w:t>A way to do this and maintain an active fitness routine is to train leg muscles with weights on Monday, Wednesday, and Friday, and train upper body muscles on Tuesday, Thursday, and Saturday.</w:t>
      </w:r>
    </w:p>
    <w:p>
      <w:pPr>
        <w:spacing w:after="20" w:line="223" w:lineRule="auto"/>
        <w:jc w:val="right"/>
        <w:bidi/>
      </w:pPr>
      <w:r>
        <w:rPr>
          <w:rFonts w:ascii="Arial" w:hAnsi="Arial"/>
          <w:sz w:val="16"/>
        </w:rPr>
        <w:t>407.37  همچنین زمان‌های ریکاوری را در طول تمرین در نظر بگیرید.</w:t>
      </w:r>
    </w:p>
    <w:p>
      <w:pPr>
        <w:spacing w:after="28" w:line="216" w:lineRule="auto"/>
        <w:ind w:left="259"/>
        <w:jc w:val="left"/>
      </w:pPr>
      <w:r>
        <w:rPr>
          <w:rFonts w:ascii="Arial" w:hAnsi="Arial"/>
          <w:color w:val="525252"/>
          <w:sz w:val="13"/>
        </w:rPr>
        <w:t>Also, consider recovery times during a workout.</w:t>
      </w:r>
    </w:p>
    <w:p>
      <w:pPr>
        <w:spacing w:after="20" w:line="223" w:lineRule="auto"/>
        <w:jc w:val="right"/>
        <w:bidi/>
      </w:pPr>
      <w:r>
        <w:rPr>
          <w:rFonts w:ascii="Arial" w:hAnsi="Arial"/>
          <w:sz w:val="16"/>
        </w:rPr>
        <w:t>407.38  زمان ریکاوری بین تمرینات و ست‌های مختلف تا حدی به شدت تمرین بستگی دارد.</w:t>
      </w:r>
    </w:p>
    <w:p>
      <w:pPr>
        <w:spacing w:after="28" w:line="216" w:lineRule="auto"/>
        <w:ind w:left="259"/>
        <w:jc w:val="left"/>
      </w:pPr>
      <w:r>
        <w:rPr>
          <w:rFonts w:ascii="Arial" w:hAnsi="Arial"/>
          <w:color w:val="525252"/>
          <w:sz w:val="13"/>
        </w:rPr>
        <w:t>The recovery time between different exercises and sets depends, in part, on the intensity of the workout.</w:t>
      </w:r>
    </w:p>
    <w:p>
      <w:pPr>
        <w:spacing w:after="20" w:line="223" w:lineRule="auto"/>
        <w:jc w:val="right"/>
        <w:bidi/>
      </w:pPr>
      <w:r>
        <w:rPr>
          <w:rFonts w:ascii="Arial" w:hAnsi="Arial"/>
          <w:sz w:val="16"/>
        </w:rPr>
        <w:t>407.39  به‌طور معمول، زمان ریکاوری بین ست‌ها باید از ۳۰ ثانیه تا سه دقیقه باشد.</w:t>
      </w:r>
    </w:p>
    <w:p>
      <w:pPr>
        <w:spacing w:after="28" w:line="216" w:lineRule="auto"/>
        <w:ind w:left="259"/>
        <w:jc w:val="left"/>
      </w:pPr>
      <w:r>
        <w:rPr>
          <w:rFonts w:ascii="Arial" w:hAnsi="Arial"/>
          <w:color w:val="525252"/>
          <w:sz w:val="13"/>
        </w:rPr>
        <w:t>Normally, the recovery time between sets should range from 30 seconds to three minutes.</w:t>
      </w:r>
    </w:p>
    <w:p>
      <w:pPr>
        <w:spacing w:after="20" w:line="223" w:lineRule="auto"/>
        <w:jc w:val="right"/>
        <w:bidi/>
      </w:pPr>
      <w:r>
        <w:rPr>
          <w:rFonts w:ascii="Arial" w:hAnsi="Arial"/>
          <w:sz w:val="16"/>
        </w:rPr>
        <w:t>407.40  اصل تعادل.</w:t>
      </w:r>
    </w:p>
    <w:p>
      <w:pPr>
        <w:spacing w:after="28" w:line="216" w:lineRule="auto"/>
        <w:ind w:left="259"/>
        <w:jc w:val="left"/>
      </w:pPr>
      <w:r>
        <w:rPr>
          <w:rFonts w:ascii="Arial" w:hAnsi="Arial"/>
          <w:color w:val="525252"/>
          <w:sz w:val="13"/>
        </w:rPr>
        <w:t>Principle of Balance.</w:t>
      </w:r>
    </w:p>
    <w:p>
      <w:pPr>
        <w:spacing w:after="20" w:line="223" w:lineRule="auto"/>
        <w:jc w:val="right"/>
        <w:bidi/>
      </w:pPr>
      <w:r>
        <w:rPr>
          <w:rFonts w:ascii="Arial" w:hAnsi="Arial"/>
          <w:sz w:val="16"/>
        </w:rPr>
        <w:t>407.41  هنگام ایجاد یک برنامه تمرینی قدرتی، اهمیت گنجاندن تمرینات را برای کار کردن همه گروه‌های عضلانی اصلی - هم در قسمت بالا و هم در قسمت پایین تنه - به خاطر بسپارید.</w:t>
      </w:r>
    </w:p>
    <w:p>
      <w:pPr>
        <w:spacing w:after="28" w:line="216" w:lineRule="auto"/>
        <w:ind w:left="259"/>
        <w:jc w:val="left"/>
      </w:pPr>
      <w:r>
        <w:rPr>
          <w:rFonts w:ascii="Arial" w:hAnsi="Arial"/>
          <w:color w:val="525252"/>
          <w:sz w:val="13"/>
        </w:rPr>
        <w:t>When developing a strength training program, remember the importance of including exercises to work all the major muscle groups - in both the upper and lower body.</w:t>
      </w:r>
    </w:p>
    <w:p>
      <w:pPr>
        <w:spacing w:after="20" w:line="223" w:lineRule="auto"/>
        <w:jc w:val="right"/>
        <w:bidi/>
      </w:pPr>
      <w:r>
        <w:rPr>
          <w:rFonts w:ascii="Arial" w:hAnsi="Arial"/>
          <w:sz w:val="16"/>
        </w:rPr>
        <w:t>407.42  همچنین،</w:t>
      </w:r>
    </w:p>
    <w:p>
      <w:pPr>
        <w:spacing w:after="28" w:line="216" w:lineRule="auto"/>
        <w:ind w:left="259"/>
        <w:jc w:val="left"/>
      </w:pPr>
      <w:r>
        <w:rPr>
          <w:rFonts w:ascii="Arial" w:hAnsi="Arial"/>
          <w:color w:val="525252"/>
          <w:sz w:val="13"/>
        </w:rPr>
        <w:t>Also,</w:t>
      </w:r>
    </w:p>
    <w:p>
      <w:r>
        <w:br w:type="page"/>
      </w:r>
    </w:p>
    <w:p>
      <w:pPr>
        <w:spacing w:after="60"/>
        <w:jc w:val="right"/>
        <w:bidi/>
      </w:pPr>
      <w:r>
        <w:rPr>
          <w:rFonts w:ascii="Arial" w:hAnsi="Arial"/>
          <w:b/>
          <w:color w:val="1F4D78"/>
          <w:sz w:val="19"/>
        </w:rPr>
        <w:t>هفتهٔ 408  |  صفحهٔ منبع: 424</w:t>
      </w:r>
    </w:p>
    <w:p>
      <w:pPr>
        <w:spacing w:after="20" w:line="223" w:lineRule="auto"/>
        <w:jc w:val="right"/>
        <w:bidi/>
      </w:pPr>
      <w:r>
        <w:rPr>
          <w:rFonts w:ascii="Arial" w:hAnsi="Arial"/>
          <w:sz w:val="16"/>
        </w:rPr>
        <w:t>408.01  اکثر عضلات به صورت جفت مخالف سازماندهی می‌شوند. بنابراین، فعال کردن یک عضله منجر به حرکت کششی می‌شود، در حالی که فعال کردن عضله مخالف به حرکت مخالف یا فشار منجر می‌شود.</w:t>
      </w:r>
    </w:p>
    <w:p>
      <w:pPr>
        <w:spacing w:after="28" w:line="216" w:lineRule="auto"/>
        <w:ind w:left="259"/>
        <w:jc w:val="left"/>
      </w:pPr>
      <w:r>
        <w:rPr>
          <w:rFonts w:ascii="Arial" w:hAnsi="Arial"/>
          <w:color w:val="525252"/>
          <w:sz w:val="13"/>
        </w:rPr>
        <w:t>most muscles are organized into opposing pairs; therefore, activating one muscle results in a pulling motion, while activating the opposing muscle results in the opposite or pushing motion.</w:t>
      </w:r>
    </w:p>
    <w:p>
      <w:pPr>
        <w:spacing w:after="20" w:line="223" w:lineRule="auto"/>
        <w:jc w:val="right"/>
        <w:bidi/>
      </w:pPr>
      <w:r>
        <w:rPr>
          <w:rFonts w:ascii="Arial" w:hAnsi="Arial"/>
          <w:sz w:val="16"/>
        </w:rPr>
        <w:t>408.02  هنگام برنامه‌ریزی یک جلسه تمرینی، یکی از تکنیک‌های تمرینی این است که یک تمرین هل دادن را همراه با یک تمرین کششی دنبال کنید که منجر به حرکت در همان مفاصل می‌شود.</w:t>
      </w:r>
    </w:p>
    <w:p>
      <w:pPr>
        <w:spacing w:after="28" w:line="216" w:lineRule="auto"/>
        <w:ind w:left="259"/>
        <w:jc w:val="left"/>
      </w:pPr>
      <w:r>
        <w:rPr>
          <w:rFonts w:ascii="Arial" w:hAnsi="Arial"/>
          <w:color w:val="525252"/>
          <w:sz w:val="13"/>
        </w:rPr>
        <w:t>When planning a training session, one training technique is to follow a pushing exercise with a pulling exercise resulting in movement at the same joints.</w:t>
      </w:r>
    </w:p>
    <w:p>
      <w:pPr>
        <w:spacing w:after="20" w:line="223" w:lineRule="auto"/>
        <w:jc w:val="right"/>
        <w:bidi/>
      </w:pPr>
      <w:r>
        <w:rPr>
          <w:rFonts w:ascii="Arial" w:hAnsi="Arial"/>
          <w:sz w:val="16"/>
        </w:rPr>
        <w:t>408.03  برای مثال، دنبال کردن یک پرس بالای سر همراه با یک تمرین کششی جانبی به اطمینان از تعادل قدرت خوب بین گروه‌های عضلانی مخالف کمک می‌کند که به نوبه خود ممکن است خطر آسیب را کاهش دهد.</w:t>
      </w:r>
    </w:p>
    <w:p>
      <w:pPr>
        <w:spacing w:after="28" w:line="216" w:lineRule="auto"/>
        <w:ind w:left="259"/>
        <w:jc w:val="left"/>
      </w:pPr>
      <w:r>
        <w:rPr>
          <w:rFonts w:ascii="Arial" w:hAnsi="Arial"/>
          <w:color w:val="525252"/>
          <w:sz w:val="13"/>
        </w:rPr>
        <w:t>For example, following an overhead press with a lateral pull-down exercise helps ensure good strength balance between opposing muscle groups which may, in turn, reduce the risk of injury.</w:t>
      </w:r>
    </w:p>
    <w:p>
      <w:pPr>
        <w:spacing w:after="20" w:line="223" w:lineRule="auto"/>
        <w:jc w:val="right"/>
        <w:bidi/>
      </w:pPr>
      <w:r>
        <w:rPr>
          <w:rFonts w:ascii="Arial" w:hAnsi="Arial"/>
          <w:sz w:val="16"/>
        </w:rPr>
        <w:t>408.04  اصل تنوع.</w:t>
      </w:r>
    </w:p>
    <w:p>
      <w:pPr>
        <w:spacing w:after="28" w:line="216" w:lineRule="auto"/>
        <w:ind w:left="259"/>
        <w:jc w:val="left"/>
      </w:pPr>
      <w:r>
        <w:rPr>
          <w:rFonts w:ascii="Arial" w:hAnsi="Arial"/>
          <w:color w:val="525252"/>
          <w:sz w:val="13"/>
        </w:rPr>
        <w:t>Principle of Variety.</w:t>
      </w:r>
    </w:p>
    <w:p>
      <w:pPr>
        <w:spacing w:after="20" w:line="223" w:lineRule="auto"/>
        <w:jc w:val="right"/>
        <w:bidi/>
      </w:pPr>
      <w:r>
        <w:rPr>
          <w:rFonts w:ascii="Arial" w:hAnsi="Arial"/>
          <w:sz w:val="16"/>
        </w:rPr>
        <w:t>408.05  استفاده از تجهیزات مختلف، تغییر تمرینات، و تغییر حجم و شدت تمرین راه‌های خوبی برای ایجاد تنوع هستند و ممکن است نتایج بهتری نیز به همراه داشته باشند.</w:t>
      </w:r>
    </w:p>
    <w:p>
      <w:pPr>
        <w:spacing w:after="28" w:line="216" w:lineRule="auto"/>
        <w:ind w:left="259"/>
        <w:jc w:val="left"/>
      </w:pPr>
      <w:r>
        <w:rPr>
          <w:rFonts w:ascii="Arial" w:hAnsi="Arial"/>
          <w:color w:val="525252"/>
          <w:sz w:val="13"/>
        </w:rPr>
        <w:t>Using different equipment, changing the exercises, and altering the volume and intensity of workouts are good ways to add variety, and may also produce better results.</w:t>
      </w:r>
    </w:p>
    <w:p>
      <w:pPr>
        <w:spacing w:after="20" w:line="223" w:lineRule="auto"/>
        <w:jc w:val="right"/>
        <w:bidi/>
      </w:pPr>
      <w:r>
        <w:rPr>
          <w:rFonts w:ascii="Arial" w:hAnsi="Arial"/>
          <w:sz w:val="16"/>
        </w:rPr>
        <w:t>408.06  به‌طور دوره‌ای تمرینات مختلف را برای گروه‌های عضلانی معین جایگزین کنید.</w:t>
      </w:r>
    </w:p>
    <w:p>
      <w:pPr>
        <w:spacing w:after="28" w:line="216" w:lineRule="auto"/>
        <w:ind w:left="259"/>
        <w:jc w:val="left"/>
      </w:pPr>
      <w:r>
        <w:rPr>
          <w:rFonts w:ascii="Arial" w:hAnsi="Arial"/>
          <w:color w:val="525252"/>
          <w:sz w:val="13"/>
        </w:rPr>
        <w:t>Periodically substitute different exercises for given muscle groups.</w:t>
      </w:r>
    </w:p>
    <w:p>
      <w:pPr>
        <w:spacing w:after="20" w:line="223" w:lineRule="auto"/>
        <w:jc w:val="right"/>
        <w:bidi/>
      </w:pPr>
      <w:r>
        <w:rPr>
          <w:rFonts w:ascii="Arial" w:hAnsi="Arial"/>
          <w:sz w:val="16"/>
        </w:rPr>
        <w:t>408.07  اسکات را با هالتر به جای پرس پا روی دستگاه وزنه برداری انجام دهید.</w:t>
      </w:r>
    </w:p>
    <w:p>
      <w:pPr>
        <w:spacing w:after="28" w:line="216" w:lineRule="auto"/>
        <w:ind w:left="259"/>
        <w:jc w:val="left"/>
      </w:pPr>
      <w:r>
        <w:rPr>
          <w:rFonts w:ascii="Arial" w:hAnsi="Arial"/>
          <w:color w:val="525252"/>
          <w:sz w:val="13"/>
        </w:rPr>
        <w:t>Do squats with a barbell instead of leg presses on a weight machine.</w:t>
      </w:r>
    </w:p>
    <w:p>
      <w:pPr>
        <w:spacing w:after="20" w:line="223" w:lineRule="auto"/>
        <w:jc w:val="right"/>
        <w:bidi/>
      </w:pPr>
      <w:r>
        <w:rPr>
          <w:rFonts w:ascii="Arial" w:hAnsi="Arial"/>
          <w:sz w:val="16"/>
        </w:rPr>
        <w:t>408.08  همچنین، برای تنوع و یا زمانی که تجهیزات تمرینی محدود است، به تمرینات مقاومتی توسط شریک یا شکل دیگری از تمرینات مقاومتی تغییر دهید.</w:t>
      </w:r>
    </w:p>
    <w:p>
      <w:pPr>
        <w:spacing w:after="28" w:line="216" w:lineRule="auto"/>
        <w:ind w:left="259"/>
        <w:jc w:val="left"/>
      </w:pPr>
      <w:r>
        <w:rPr>
          <w:rFonts w:ascii="Arial" w:hAnsi="Arial"/>
          <w:color w:val="525252"/>
          <w:sz w:val="13"/>
        </w:rPr>
        <w:t>Also, for variety or when workout equipment is limited, switch to partner-resisted exercises or another form of resistance training.</w:t>
      </w:r>
    </w:p>
    <w:p>
      <w:r>
        <w:br w:type="page"/>
      </w:r>
    </w:p>
    <w:p>
      <w:pPr>
        <w:spacing w:after="60"/>
        <w:jc w:val="right"/>
        <w:bidi/>
      </w:pPr>
      <w:r>
        <w:rPr>
          <w:rFonts w:ascii="Arial" w:hAnsi="Arial"/>
          <w:b/>
          <w:color w:val="1F4D78"/>
          <w:sz w:val="19"/>
        </w:rPr>
        <w:t>هفتهٔ 409  |  صفحهٔ منبع: 425</w:t>
      </w:r>
    </w:p>
    <w:p>
      <w:pPr>
        <w:spacing w:before="60" w:after="28"/>
        <w:jc w:val="right"/>
        <w:bidi/>
      </w:pPr>
      <w:r>
        <w:rPr>
          <w:b/>
          <w:color w:val="1F4D78"/>
          <w:sz w:val="18"/>
        </w:rPr>
        <w:t>بخش 22C-تغذیه</w:t>
      </w:r>
    </w:p>
    <w:p>
      <w:pPr>
        <w:spacing w:after="20"/>
        <w:ind w:left="259"/>
        <w:jc w:val="left"/>
      </w:pPr>
      <w:r>
        <w:rPr>
          <w:color w:val="555555"/>
          <w:sz w:val="12"/>
        </w:rPr>
        <w:t>Section 22C—Nutrition</w:t>
      </w:r>
    </w:p>
    <w:p>
      <w:pPr>
        <w:spacing w:before="60" w:after="28"/>
        <w:jc w:val="right"/>
        <w:bidi/>
      </w:pPr>
      <w:r>
        <w:rPr>
          <w:b/>
          <w:color w:val="1F4D78"/>
          <w:sz w:val="18"/>
        </w:rPr>
        <w:t>22.11. رژیم غذایی و تغذیه</w:t>
      </w:r>
    </w:p>
    <w:p>
      <w:pPr>
        <w:spacing w:after="20"/>
        <w:ind w:left="259"/>
        <w:jc w:val="left"/>
      </w:pPr>
      <w:r>
        <w:rPr>
          <w:color w:val="555555"/>
          <w:sz w:val="12"/>
        </w:rPr>
        <w:t>22.11. Diet and Nutrition</w:t>
      </w:r>
    </w:p>
    <w:p>
      <w:pPr>
        <w:spacing w:after="20" w:line="223" w:lineRule="auto"/>
        <w:jc w:val="right"/>
        <w:bidi/>
      </w:pPr>
      <w:r>
        <w:rPr>
          <w:rFonts w:ascii="Arial" w:hAnsi="Arial"/>
          <w:sz w:val="16"/>
        </w:rPr>
        <w:t>409.03  هوانوردان مسئول هستند که همیشه آماده مأموریت باشند و باید بدانند که تغذیه نقش مهمی در حفظ سلامت و عملکرد خوب دارد.</w:t>
      </w:r>
    </w:p>
    <w:p>
      <w:pPr>
        <w:spacing w:after="28" w:line="216" w:lineRule="auto"/>
        <w:ind w:left="259"/>
        <w:jc w:val="left"/>
      </w:pPr>
      <w:r>
        <w:rPr>
          <w:rFonts w:ascii="Arial" w:hAnsi="Arial"/>
          <w:color w:val="525252"/>
          <w:sz w:val="13"/>
        </w:rPr>
        <w:t>Airmen are responsible for being mission ready at all times and must recognize that nutrition plays an important role in maintaining good health and performance.</w:t>
      </w:r>
    </w:p>
    <w:p>
      <w:pPr>
        <w:spacing w:after="20" w:line="223" w:lineRule="auto"/>
        <w:jc w:val="right"/>
        <w:bidi/>
      </w:pPr>
      <w:r>
        <w:rPr>
          <w:rFonts w:ascii="Arial" w:hAnsi="Arial"/>
          <w:sz w:val="16"/>
        </w:rPr>
        <w:t>409.04  حفظ تعادل انرژی سالم مهم است.</w:t>
      </w:r>
    </w:p>
    <w:p>
      <w:pPr>
        <w:spacing w:after="28" w:line="216" w:lineRule="auto"/>
        <w:ind w:left="259"/>
        <w:jc w:val="left"/>
      </w:pPr>
      <w:r>
        <w:rPr>
          <w:rFonts w:ascii="Arial" w:hAnsi="Arial"/>
          <w:color w:val="525252"/>
          <w:sz w:val="13"/>
        </w:rPr>
        <w:t>Maintaining a healthy energy balance is important.</w:t>
      </w:r>
    </w:p>
    <w:p>
      <w:pPr>
        <w:spacing w:after="20" w:line="223" w:lineRule="auto"/>
        <w:jc w:val="right"/>
        <w:bidi/>
      </w:pPr>
      <w:r>
        <w:rPr>
          <w:rFonts w:ascii="Arial" w:hAnsi="Arial"/>
          <w:sz w:val="16"/>
        </w:rPr>
        <w:t>409.05  کالری غذاها و نوشیدنی‌ها باید با کالری سوزانده شده از طریق متابولیسم و ​​فعالیت بدنی متعادل شود تا به اهداف متابولیسم و ​​وزن فردی برسد.</w:t>
      </w:r>
    </w:p>
    <w:p>
      <w:pPr>
        <w:spacing w:after="28" w:line="216" w:lineRule="auto"/>
        <w:ind w:left="259"/>
        <w:jc w:val="left"/>
      </w:pPr>
      <w:r>
        <w:rPr>
          <w:rFonts w:ascii="Arial" w:hAnsi="Arial"/>
          <w:color w:val="525252"/>
          <w:sz w:val="13"/>
        </w:rPr>
        <w:t>Calories from foods and beverages need to be balanced with calories burned through metabolism and physical activity to meet individual metabolism and weight goals.</w:t>
      </w:r>
    </w:p>
    <w:p>
      <w:pPr>
        <w:spacing w:after="20" w:line="223" w:lineRule="auto"/>
        <w:jc w:val="right"/>
        <w:bidi/>
      </w:pPr>
      <w:r>
        <w:rPr>
          <w:rFonts w:ascii="Arial" w:hAnsi="Arial"/>
          <w:sz w:val="16"/>
        </w:rPr>
        <w:t>409.06  برآورد نیاز کالری بر اساس سن، جنس و سطح فعالیت بدنی از ۱۶۰۰ تا ۲۴۰۰ کالری در روز برای زنان بالغ و ۲۰۰۰ تا ۳۰۰۰ کالری در روز برای مردان بالغ متغیر است.</w:t>
      </w:r>
    </w:p>
    <w:p>
      <w:pPr>
        <w:spacing w:after="28" w:line="216" w:lineRule="auto"/>
        <w:ind w:left="259"/>
        <w:jc w:val="left"/>
      </w:pPr>
      <w:r>
        <w:rPr>
          <w:rFonts w:ascii="Arial" w:hAnsi="Arial"/>
          <w:color w:val="525252"/>
          <w:sz w:val="13"/>
        </w:rPr>
        <w:t>Estimated calorie needs by age, sex, and physical activity level estimates range from 1,600 to 2,400 calories per day for adult women and 2,000 to 3,000 calories per day for adult men.</w:t>
      </w:r>
    </w:p>
    <w:p>
      <w:pPr>
        <w:spacing w:after="20" w:line="223" w:lineRule="auto"/>
        <w:jc w:val="right"/>
        <w:bidi/>
      </w:pPr>
      <w:r>
        <w:rPr>
          <w:rFonts w:ascii="Arial" w:hAnsi="Arial"/>
          <w:sz w:val="16"/>
        </w:rPr>
        <w:t>409.07  در هر دسته، پایین‌ترین محدوده برای افراد کم تحرک و انتهای محدوده برای افراد فعال است.</w:t>
      </w:r>
    </w:p>
    <w:p>
      <w:pPr>
        <w:spacing w:after="28" w:line="216" w:lineRule="auto"/>
        <w:ind w:left="259"/>
        <w:jc w:val="left"/>
      </w:pPr>
      <w:r>
        <w:rPr>
          <w:rFonts w:ascii="Arial" w:hAnsi="Arial"/>
          <w:color w:val="525252"/>
          <w:sz w:val="13"/>
        </w:rPr>
        <w:t>Within each category, the low end of the range is for sedentary individuals and the high end of the range is for active individuals.</w:t>
      </w:r>
    </w:p>
    <w:p>
      <w:pPr>
        <w:spacing w:after="20" w:line="223" w:lineRule="auto"/>
        <w:jc w:val="right"/>
        <w:bidi/>
      </w:pPr>
      <w:r>
        <w:rPr>
          <w:rFonts w:ascii="Arial" w:hAnsi="Arial"/>
          <w:sz w:val="16"/>
        </w:rPr>
        <w:t>409.08  تغییرات تدریجی که در یک سبک زندگی سالم گنجانده می‌شود، با پیروی از توصیه‌های کلیدی دستورالعمل‌های غذایی برای یک الگوی تغذیه سالم که تمام غذاها و نوشیدنی‌ها را در سطح کالری مناسب به حساب می‌آورد، بیشتر حفظ می‌شود.</w:t>
      </w:r>
    </w:p>
    <w:p>
      <w:pPr>
        <w:spacing w:after="28" w:line="216" w:lineRule="auto"/>
        <w:ind w:left="259"/>
        <w:jc w:val="left"/>
      </w:pPr>
      <w:r>
        <w:rPr>
          <w:rFonts w:ascii="Arial" w:hAnsi="Arial"/>
          <w:color w:val="525252"/>
          <w:sz w:val="13"/>
        </w:rPr>
        <w:t>Gradual changes incorporated into a healthy lifestyle are more likely to be maintained by following the key dietary guideline recommendations for a healthy eating pattern that account for all foods and beverages within an appropriate calorie level.</w:t>
      </w:r>
    </w:p>
    <w:p>
      <w:pPr>
        <w:spacing w:after="20" w:line="223" w:lineRule="auto"/>
        <w:jc w:val="right"/>
        <w:bidi/>
      </w:pPr>
      <w:r>
        <w:rPr>
          <w:rFonts w:ascii="Arial" w:hAnsi="Arial"/>
          <w:sz w:val="16"/>
        </w:rPr>
        <w:t>409.09  پیشنهادات برای الگوی تغذیه سالم شامل انواع سبزیجات، میوه‌ها، غلات کامل، لبنیات بدون چربی یا کم چرب، پروتئین‌ها و چربی‌های سالم است.</w:t>
      </w:r>
    </w:p>
    <w:p>
      <w:pPr>
        <w:spacing w:after="28" w:line="216" w:lineRule="auto"/>
        <w:ind w:left="259"/>
        <w:jc w:val="left"/>
      </w:pPr>
      <w:r>
        <w:rPr>
          <w:rFonts w:ascii="Arial" w:hAnsi="Arial"/>
          <w:color w:val="525252"/>
          <w:sz w:val="13"/>
        </w:rPr>
        <w:t>Suggestions for a healthy eating pattern include a variety of vegetables, fruits, whole grains, fat-free or low-fat dairy, proteins, and healthy fats.</w:t>
      </w:r>
    </w:p>
    <w:p>
      <w:pPr>
        <w:spacing w:after="20" w:line="223" w:lineRule="auto"/>
        <w:jc w:val="right"/>
        <w:bidi/>
      </w:pPr>
      <w:r>
        <w:rPr>
          <w:rFonts w:ascii="Arial" w:hAnsi="Arial"/>
          <w:sz w:val="16"/>
        </w:rPr>
        <w:t>409.10  در حالی که همه برنامه‌های غذایی و تغذیه‌ای یکسانی ندارند، منابع متعددی برای ایجاد سبک زندگی سالم و فعال وجود دارد.</w:t>
      </w:r>
    </w:p>
    <w:p>
      <w:pPr>
        <w:spacing w:after="28" w:line="216" w:lineRule="auto"/>
        <w:ind w:left="259"/>
        <w:jc w:val="left"/>
      </w:pPr>
      <w:r>
        <w:rPr>
          <w:rFonts w:ascii="Arial" w:hAnsi="Arial"/>
          <w:color w:val="525252"/>
          <w:sz w:val="13"/>
        </w:rPr>
        <w:t>While not everyone will develop the same diet and nutrition plans, there are several resources available for establishing healthy, active lifestyles.</w:t>
      </w:r>
    </w:p>
    <w:p>
      <w:pPr>
        <w:spacing w:after="20" w:line="223" w:lineRule="auto"/>
        <w:jc w:val="right"/>
        <w:bidi/>
      </w:pPr>
      <w:r>
        <w:rPr>
          <w:rFonts w:ascii="Arial" w:hAnsi="Arial"/>
          <w:sz w:val="16"/>
        </w:rPr>
        <w:t>409.11  شروع و حفظ تغییر رفتار در حوزه‌های تغذیه و تناسب اندام می‌تواند دشوار باشد.</w:t>
      </w:r>
    </w:p>
    <w:p>
      <w:pPr>
        <w:spacing w:after="28" w:line="216" w:lineRule="auto"/>
        <w:ind w:left="259"/>
        <w:jc w:val="left"/>
      </w:pPr>
      <w:r>
        <w:rPr>
          <w:rFonts w:ascii="Arial" w:hAnsi="Arial"/>
          <w:color w:val="525252"/>
          <w:sz w:val="13"/>
        </w:rPr>
        <w:t>Initiating and maintaining behavior change in the domains of nutrition and fitness can be difficult.</w:t>
      </w:r>
    </w:p>
    <w:p>
      <w:pPr>
        <w:spacing w:after="20" w:line="223" w:lineRule="auto"/>
        <w:jc w:val="right"/>
        <w:bidi/>
      </w:pPr>
      <w:r>
        <w:rPr>
          <w:rFonts w:ascii="Arial" w:hAnsi="Arial"/>
          <w:sz w:val="16"/>
        </w:rPr>
        <w:t>409.12  هنگام تلاش برای هدف قرار دادن این مناطق (اهدافی که خاص، قابل اندازه‌گیری، قابل دستیابی، مرتبط و به موقع هستند) اهداف SMART مفید است.</w:t>
      </w:r>
    </w:p>
    <w:p>
      <w:pPr>
        <w:spacing w:after="28" w:line="216" w:lineRule="auto"/>
        <w:ind w:left="259"/>
        <w:jc w:val="left"/>
      </w:pPr>
      <w:r>
        <w:rPr>
          <w:rFonts w:ascii="Arial" w:hAnsi="Arial"/>
          <w:color w:val="525252"/>
          <w:sz w:val="13"/>
        </w:rPr>
        <w:t>It is helpful to make SMART goals when trying to target these areas (goals that are Specific, Measurable, Attainable, Relevant, and Timely).</w:t>
      </w:r>
    </w:p>
    <w:p>
      <w:pPr>
        <w:spacing w:after="20" w:line="223" w:lineRule="auto"/>
        <w:jc w:val="right"/>
        <w:bidi/>
      </w:pPr>
      <w:r>
        <w:rPr>
          <w:rFonts w:ascii="Arial" w:hAnsi="Arial"/>
          <w:sz w:val="16"/>
        </w:rPr>
        <w:t>409.13  نمونه‌هایی از اهداف تغذیه و تناسب اندام هوشمند عبارتند از: ۱) ورزش (دوچرخه یا دویدن با ضربان قلب متوسط) به مدت ۳۰ دقیقه، ۵ روز در هفته، به مدت یک ماه از امروز، و ۲) مصرف فست فود خود را به یک وعده غذایی (غیر بزرگ)، یک بار در هفته از امروز، به مدت دو ماه کاهش می‌دهم.</w:t>
      </w:r>
    </w:p>
    <w:p>
      <w:pPr>
        <w:spacing w:after="28" w:line="216" w:lineRule="auto"/>
        <w:ind w:left="259"/>
        <w:jc w:val="left"/>
      </w:pPr>
      <w:r>
        <w:rPr>
          <w:rFonts w:ascii="Arial" w:hAnsi="Arial"/>
          <w:color w:val="525252"/>
          <w:sz w:val="13"/>
        </w:rPr>
        <w:t>Examples of SMART nutrition and fitness goals include: 1) I will exercise (bike or jog at a moderate heartrate) for 30 minutes, 5 days a week, for one month starting today, and 2) I will reduce my fast food consumption to one (non-supersized) meal, one time per week, for two months starting today.</w:t>
      </w:r>
    </w:p>
    <w:p>
      <w:pPr>
        <w:spacing w:after="20" w:line="223" w:lineRule="auto"/>
        <w:jc w:val="right"/>
        <w:bidi/>
      </w:pPr>
      <w:r>
        <w:rPr>
          <w:rFonts w:ascii="Arial" w:hAnsi="Arial"/>
          <w:sz w:val="16"/>
        </w:rPr>
        <w:t>409.14  توجه: حفظ وزن سالم کلید سلامت و آمادگی است.</w:t>
      </w:r>
    </w:p>
    <w:p>
      <w:pPr>
        <w:spacing w:after="28" w:line="216" w:lineRule="auto"/>
        <w:ind w:left="259"/>
        <w:jc w:val="left"/>
      </w:pPr>
      <w:r>
        <w:rPr>
          <w:rFonts w:ascii="Arial" w:hAnsi="Arial"/>
          <w:color w:val="525252"/>
          <w:sz w:val="13"/>
        </w:rPr>
        <w:t>Note: Maintaining a healthy weight is a key to health and readiness.</w:t>
      </w:r>
    </w:p>
    <w:p>
      <w:pPr>
        <w:spacing w:after="20" w:line="223" w:lineRule="auto"/>
        <w:jc w:val="right"/>
        <w:bidi/>
      </w:pPr>
      <w:r>
        <w:rPr>
          <w:rFonts w:ascii="Arial" w:hAnsi="Arial"/>
          <w:sz w:val="16"/>
        </w:rPr>
        <w:t>409.15  عدم تعادل کالری دریافتی و عدم فعالیت بدنی از دلایل اصلی افزایش وزن ناخواسته و افزایش خطر بالقوه سلامتی است.</w:t>
      </w:r>
    </w:p>
    <w:p>
      <w:pPr>
        <w:spacing w:after="28" w:line="216" w:lineRule="auto"/>
        <w:ind w:left="259"/>
        <w:jc w:val="left"/>
      </w:pPr>
      <w:r>
        <w:rPr>
          <w:rFonts w:ascii="Arial" w:hAnsi="Arial"/>
          <w:color w:val="525252"/>
          <w:sz w:val="13"/>
        </w:rPr>
        <w:t>An imbalance of calorie intake and lack of physical activity are primary causes for unintended weight gain and increased potential health risk.</w:t>
      </w:r>
    </w:p>
    <w:p>
      <w:pPr>
        <w:spacing w:after="20" w:line="223" w:lineRule="auto"/>
        <w:jc w:val="right"/>
        <w:bidi/>
      </w:pPr>
      <w:r>
        <w:rPr>
          <w:rFonts w:ascii="Arial" w:hAnsi="Arial"/>
          <w:sz w:val="16"/>
        </w:rPr>
        <w:t>409.16  اضافه وزن یا چاقی خطر ابتلا به فشار خون بالا، کلسترول خون بالا، بیماری قلبی، سکته مغزی، دیابت نوع ۲، آرتریت، مشکلات تنفسی و برخی سرطان‌ها را افزایش می‌دهد.</w:t>
      </w:r>
    </w:p>
    <w:p>
      <w:pPr>
        <w:spacing w:after="28" w:line="216" w:lineRule="auto"/>
        <w:ind w:left="259"/>
        <w:jc w:val="left"/>
      </w:pPr>
      <w:r>
        <w:rPr>
          <w:rFonts w:ascii="Arial" w:hAnsi="Arial"/>
          <w:color w:val="525252"/>
          <w:sz w:val="13"/>
        </w:rPr>
        <w:t>Being overweight or obese increases the risk of high blood pressure, high blood cholesterol, heart disease, stroke, Type 2 diabetes, arthritis, breathing problems, and some cancers.</w:t>
      </w:r>
    </w:p>
    <w:p>
      <w:pPr>
        <w:spacing w:before="60" w:after="28"/>
        <w:jc w:val="right"/>
        <w:bidi/>
      </w:pPr>
      <w:r>
        <w:rPr>
          <w:b/>
          <w:color w:val="1F4D78"/>
          <w:sz w:val="18"/>
        </w:rPr>
        <w:t>22.12. غذا برای سوخت</w:t>
      </w:r>
    </w:p>
    <w:p>
      <w:pPr>
        <w:spacing w:after="20"/>
        <w:ind w:left="259"/>
        <w:jc w:val="left"/>
      </w:pPr>
      <w:r>
        <w:rPr>
          <w:color w:val="555555"/>
          <w:sz w:val="12"/>
        </w:rPr>
        <w:t>22.12. Food for Fuel</w:t>
      </w:r>
    </w:p>
    <w:p>
      <w:pPr>
        <w:spacing w:after="20" w:line="223" w:lineRule="auto"/>
        <w:jc w:val="right"/>
        <w:bidi/>
      </w:pPr>
      <w:r>
        <w:rPr>
          <w:rFonts w:ascii="Arial" w:hAnsi="Arial"/>
          <w:sz w:val="16"/>
        </w:rPr>
        <w:t>409.18  خوردن میان وعده و هیدراته ماندن در طول روز می‌تواند به حفظ سطح مناسب قند خون، به‌ویژه در طول تمرین کمک کند.</w:t>
      </w:r>
    </w:p>
    <w:p>
      <w:pPr>
        <w:spacing w:after="28" w:line="216" w:lineRule="auto"/>
        <w:ind w:left="259"/>
        <w:jc w:val="left"/>
      </w:pPr>
      <w:r>
        <w:rPr>
          <w:rFonts w:ascii="Arial" w:hAnsi="Arial"/>
          <w:color w:val="525252"/>
          <w:sz w:val="13"/>
        </w:rPr>
        <w:t>Snacking and staying hydrated throughout the day can help maintain proper blood sugar levels, particularly during a workout.</w:t>
      </w:r>
    </w:p>
    <w:p>
      <w:pPr>
        <w:spacing w:after="20" w:line="223" w:lineRule="auto"/>
        <w:jc w:val="right"/>
        <w:bidi/>
      </w:pPr>
      <w:r>
        <w:rPr>
          <w:rFonts w:ascii="Arial" w:hAnsi="Arial"/>
          <w:sz w:val="16"/>
        </w:rPr>
        <w:t>409.19  کربوهیدرات‌ها را می‌توان نسبتا سریع هضم کرد و به انرژی تبدیل کرد که در عرض ۳۰ تا ۶۰ دقیقه به راحتی در دسترس است.</w:t>
      </w:r>
    </w:p>
    <w:p>
      <w:pPr>
        <w:spacing w:after="28" w:line="216" w:lineRule="auto"/>
        <w:ind w:left="259"/>
        <w:jc w:val="left"/>
      </w:pPr>
      <w:r>
        <w:rPr>
          <w:rFonts w:ascii="Arial" w:hAnsi="Arial"/>
          <w:color w:val="525252"/>
          <w:sz w:val="13"/>
        </w:rPr>
        <w:t>Carbohydrates can be digested relatively quickly and turned to energy that can be readily available within 30 to 60 minutes.</w:t>
      </w:r>
    </w:p>
    <w:p>
      <w:pPr>
        <w:spacing w:after="20" w:line="223" w:lineRule="auto"/>
        <w:jc w:val="right"/>
        <w:bidi/>
      </w:pPr>
      <w:r>
        <w:rPr>
          <w:rFonts w:ascii="Arial" w:hAnsi="Arial"/>
          <w:sz w:val="16"/>
        </w:rPr>
        <w:t>409.20  پس از تمرین، یک میان وعده یا یک وعده غذایی سبک ممکن است به جبران کربوهیدرات‌های سوخته شده در حین ورزش و تبدیل آنها به ذخیره انرژی (گلیکوژن) برای استفاده بعدی کمک کند.</w:t>
      </w:r>
    </w:p>
    <w:p>
      <w:pPr>
        <w:spacing w:after="28" w:line="216" w:lineRule="auto"/>
        <w:ind w:left="259"/>
        <w:jc w:val="left"/>
      </w:pPr>
      <w:r>
        <w:rPr>
          <w:rFonts w:ascii="Arial" w:hAnsi="Arial"/>
          <w:color w:val="525252"/>
          <w:sz w:val="13"/>
        </w:rPr>
        <w:t>After a workout, a snack or light meal may help replenish carbohydrates burned during exercise and convert them into energy storage (glycogen) for later use.</w:t>
      </w:r>
    </w:p>
    <w:p>
      <w:pPr>
        <w:spacing w:after="20" w:line="223" w:lineRule="auto"/>
        <w:jc w:val="right"/>
        <w:bidi/>
      </w:pPr>
      <w:r>
        <w:rPr>
          <w:rFonts w:ascii="Arial" w:hAnsi="Arial"/>
          <w:sz w:val="16"/>
        </w:rPr>
        <w:t>409.21  افزودن پروتئین به یک وعده غذایی یا میان وعده به بازسازی فیبرهای عضلانی کارکرده در حین ورزش کمک می‌کند.</w:t>
      </w:r>
    </w:p>
    <w:p>
      <w:pPr>
        <w:spacing w:after="28" w:line="216" w:lineRule="auto"/>
        <w:ind w:left="259"/>
        <w:jc w:val="left"/>
      </w:pPr>
      <w:r>
        <w:rPr>
          <w:rFonts w:ascii="Arial" w:hAnsi="Arial"/>
          <w:color w:val="525252"/>
          <w:sz w:val="13"/>
        </w:rPr>
        <w:t>Adding protein to a meal or snack helps rebuild muscle fibers worked during exercise.</w:t>
      </w:r>
    </w:p>
    <w:p>
      <w:pPr>
        <w:spacing w:after="20" w:line="223" w:lineRule="auto"/>
        <w:jc w:val="right"/>
        <w:bidi/>
      </w:pPr>
      <w:r>
        <w:rPr>
          <w:rFonts w:ascii="Arial" w:hAnsi="Arial"/>
          <w:sz w:val="16"/>
        </w:rPr>
        <w:t>409.22  ایده‌های ساده میان وعده‌های سالم شامل ماست کم‌چرب، آجیل و میوه‌های خشک، پنیر رشته‌ای و میله‌های میوه است.</w:t>
      </w:r>
    </w:p>
    <w:p>
      <w:pPr>
        <w:spacing w:after="28" w:line="216" w:lineRule="auto"/>
        <w:ind w:left="259"/>
        <w:jc w:val="left"/>
      </w:pPr>
      <w:r>
        <w:rPr>
          <w:rFonts w:ascii="Arial" w:hAnsi="Arial"/>
          <w:color w:val="525252"/>
          <w:sz w:val="13"/>
        </w:rPr>
        <w:t>Simple healthy snack ideas include low fat yogurt, nuts and dried fruit, string cheese, and fruit bars.</w:t>
      </w:r>
    </w:p>
    <w:p>
      <w:pPr>
        <w:spacing w:after="20" w:line="223" w:lineRule="auto"/>
        <w:jc w:val="right"/>
        <w:bidi/>
      </w:pPr>
      <w:r>
        <w:rPr>
          <w:rFonts w:ascii="Arial" w:hAnsi="Arial"/>
          <w:sz w:val="16"/>
        </w:rPr>
        <w:t>409.23  توجه: ترکیب بهینه نوشیدنی یا میان وعده بعد از ریکاوری، نسبت کربوهیدرات به پروتئین چهار به یک است.</w:t>
      </w:r>
    </w:p>
    <w:p>
      <w:pPr>
        <w:spacing w:after="28" w:line="216" w:lineRule="auto"/>
        <w:ind w:left="259"/>
        <w:jc w:val="left"/>
      </w:pPr>
      <w:r>
        <w:rPr>
          <w:rFonts w:ascii="Arial" w:hAnsi="Arial"/>
          <w:color w:val="525252"/>
          <w:sz w:val="13"/>
        </w:rPr>
        <w:t>Note: An optimal composition of a post recovery beverage or snack is a four-to-one carbohydrate to protein ratio.</w:t>
      </w:r>
    </w:p>
    <w:p>
      <w:pPr>
        <w:spacing w:after="20" w:line="223" w:lineRule="auto"/>
        <w:jc w:val="right"/>
        <w:bidi/>
      </w:pPr>
      <w:r>
        <w:rPr>
          <w:rFonts w:ascii="Arial" w:hAnsi="Arial"/>
          <w:sz w:val="16"/>
        </w:rPr>
        <w:t>409.24  یعنی به ازای هر چهار گرم کربوهیدرات باید یک گرم پروتئین وجود داشته باشد.</w:t>
      </w:r>
    </w:p>
    <w:p>
      <w:pPr>
        <w:spacing w:after="28" w:line="216" w:lineRule="auto"/>
        <w:ind w:left="259"/>
        <w:jc w:val="left"/>
      </w:pPr>
      <w:r>
        <w:rPr>
          <w:rFonts w:ascii="Arial" w:hAnsi="Arial"/>
          <w:color w:val="525252"/>
          <w:sz w:val="13"/>
        </w:rPr>
        <w:t>This means that for every four grams of carbohydrates there should be one gram of protein.</w:t>
      </w:r>
    </w:p>
    <w:p>
      <w:pPr>
        <w:spacing w:after="20" w:line="223" w:lineRule="auto"/>
        <w:jc w:val="right"/>
        <w:bidi/>
      </w:pPr>
      <w:r>
        <w:rPr>
          <w:rFonts w:ascii="Arial" w:hAnsi="Arial"/>
          <w:sz w:val="16"/>
        </w:rPr>
        <w:t>409.25  به‌عنوان مثال، یک لیوان هشت اونس شیر شکلات حاوی حدود ۲۹ گرم کربوهیدرات و هشت گرم پروتئین است که به‌عنوان یک مکمل عالی پس از بهبودی عمل می‌کند.</w:t>
      </w:r>
    </w:p>
    <w:p>
      <w:pPr>
        <w:spacing w:after="28" w:line="216" w:lineRule="auto"/>
        <w:ind w:left="259"/>
        <w:jc w:val="left"/>
      </w:pPr>
      <w:r>
        <w:rPr>
          <w:rFonts w:ascii="Arial" w:hAnsi="Arial"/>
          <w:color w:val="525252"/>
          <w:sz w:val="13"/>
        </w:rPr>
        <w:t>As an example, an eight ounce glass of chocolate milk contains about 29 grams of carbohydrates and eight grams of protein, which serves as a great post- recovery replenishment.</w:t>
      </w:r>
    </w:p>
    <w:p>
      <w:pPr>
        <w:spacing w:before="60" w:after="28"/>
        <w:jc w:val="right"/>
        <w:bidi/>
      </w:pPr>
      <w:r>
        <w:rPr>
          <w:b/>
          <w:color w:val="1F4D78"/>
          <w:sz w:val="18"/>
        </w:rPr>
        <w:t>22.13. ریز مغذی ها</w:t>
      </w:r>
    </w:p>
    <w:p>
      <w:pPr>
        <w:spacing w:after="20"/>
        <w:ind w:left="259"/>
        <w:jc w:val="left"/>
      </w:pPr>
      <w:r>
        <w:rPr>
          <w:color w:val="555555"/>
          <w:sz w:val="12"/>
        </w:rPr>
        <w:t>22.13. Micronutrients</w:t>
      </w:r>
    </w:p>
    <w:p>
      <w:pPr>
        <w:spacing w:after="20" w:line="223" w:lineRule="auto"/>
        <w:jc w:val="right"/>
        <w:bidi/>
      </w:pPr>
      <w:r>
        <w:rPr>
          <w:rFonts w:ascii="Arial" w:hAnsi="Arial"/>
          <w:sz w:val="16"/>
        </w:rPr>
        <w:t>409.27  ریز مغذی‌ها شامل ویتامین‌ها، مواد معدنی، عناصر کمیاب، اسیدهای آمینه و سایر مواد مغذی ضروری هستند.</w:t>
      </w:r>
    </w:p>
    <w:p>
      <w:pPr>
        <w:spacing w:after="28" w:line="216" w:lineRule="auto"/>
        <w:ind w:left="259"/>
        <w:jc w:val="left"/>
      </w:pPr>
      <w:r>
        <w:rPr>
          <w:rFonts w:ascii="Arial" w:hAnsi="Arial"/>
          <w:color w:val="525252"/>
          <w:sz w:val="13"/>
        </w:rPr>
        <w:t>Micronutrients include vitamins, minerals, trace elements, amino acids, and other essential nutrients.</w:t>
      </w:r>
    </w:p>
    <w:p>
      <w:pPr>
        <w:spacing w:after="20" w:line="223" w:lineRule="auto"/>
        <w:jc w:val="right"/>
        <w:bidi/>
      </w:pPr>
      <w:r>
        <w:rPr>
          <w:rFonts w:ascii="Arial" w:hAnsi="Arial"/>
          <w:sz w:val="16"/>
        </w:rPr>
        <w:t>409.28  آنها به مقدار بسیار کم برای زندگی سالم مورد نیاز هستند و برای عملکرد طبیعی بدن ما مهم هستند.</w:t>
      </w:r>
    </w:p>
    <w:p>
      <w:pPr>
        <w:spacing w:after="28" w:line="216" w:lineRule="auto"/>
        <w:ind w:left="259"/>
        <w:jc w:val="left"/>
      </w:pPr>
      <w:r>
        <w:rPr>
          <w:rFonts w:ascii="Arial" w:hAnsi="Arial"/>
          <w:color w:val="525252"/>
          <w:sz w:val="13"/>
        </w:rPr>
        <w:t>They are required in very small amounts for healthy living and are important for our bodies to function normally.</w:t>
      </w:r>
    </w:p>
    <w:p>
      <w:pPr>
        <w:spacing w:after="20" w:line="223" w:lineRule="auto"/>
        <w:jc w:val="right"/>
        <w:bidi/>
      </w:pPr>
      <w:r>
        <w:rPr>
          <w:rFonts w:ascii="Arial" w:hAnsi="Arial"/>
          <w:sz w:val="16"/>
        </w:rPr>
        <w:t>409.29  خوردن غذاهای غنی از ریزمغذی‌ها، مانند غلات کامل و میوه‌ها و سبزیجات تازه، می‌تواند عملکرد سالم مغز، قلب، خون و متابولیسم را تقویت کند.</w:t>
      </w:r>
    </w:p>
    <w:p>
      <w:pPr>
        <w:spacing w:after="28" w:line="216" w:lineRule="auto"/>
        <w:ind w:left="259"/>
        <w:jc w:val="left"/>
      </w:pPr>
      <w:r>
        <w:rPr>
          <w:rFonts w:ascii="Arial" w:hAnsi="Arial"/>
          <w:color w:val="525252"/>
          <w:sz w:val="13"/>
        </w:rPr>
        <w:t>Eating foods rich in micronutrients, such as whole grains and fresh fruits and vegetables, can promote healthy brain, heart, blood, and metabolism functions.</w:t>
      </w:r>
    </w:p>
    <w:p>
      <w:r>
        <w:br w:type="page"/>
      </w:r>
    </w:p>
    <w:p>
      <w:pPr>
        <w:spacing w:after="60"/>
        <w:jc w:val="right"/>
        <w:bidi/>
      </w:pPr>
      <w:r>
        <w:rPr>
          <w:rFonts w:ascii="Arial" w:hAnsi="Arial"/>
          <w:b/>
          <w:color w:val="1F4D78"/>
          <w:sz w:val="19"/>
        </w:rPr>
        <w:t>هفتهٔ 410  |  صفحهٔ منبع: 426</w:t>
      </w:r>
    </w:p>
    <w:p>
      <w:pPr>
        <w:spacing w:after="20" w:line="223" w:lineRule="auto"/>
        <w:jc w:val="right"/>
        <w:bidi/>
      </w:pPr>
      <w:r>
        <w:rPr>
          <w:rFonts w:ascii="Arial" w:hAnsi="Arial"/>
          <w:sz w:val="16"/>
        </w:rPr>
        <w:t>410.01  ریز مغذی‌ها همچنین می‌توانند از علائم مرتبط با اختلالات کمبود ریزمغذی‌ها جلوگیری کنند.</w:t>
      </w:r>
    </w:p>
    <w:p>
      <w:pPr>
        <w:spacing w:after="28" w:line="216" w:lineRule="auto"/>
        <w:ind w:left="259"/>
        <w:jc w:val="left"/>
      </w:pPr>
      <w:r>
        <w:rPr>
          <w:rFonts w:ascii="Arial" w:hAnsi="Arial"/>
          <w:color w:val="525252"/>
          <w:sz w:val="13"/>
        </w:rPr>
        <w:t>Micronutrients can also prevent symptoms associated with micronutrient deficiency disorders.</w:t>
      </w:r>
    </w:p>
    <w:p>
      <w:pPr>
        <w:spacing w:before="60" w:after="28"/>
        <w:jc w:val="right"/>
        <w:bidi/>
      </w:pPr>
      <w:r>
        <w:rPr>
          <w:b/>
          <w:color w:val="1F4D78"/>
          <w:sz w:val="18"/>
        </w:rPr>
        <w:t>22.14. درشت مغذی ها</w:t>
      </w:r>
    </w:p>
    <w:p>
      <w:pPr>
        <w:spacing w:after="20"/>
        <w:ind w:left="259"/>
        <w:jc w:val="left"/>
      </w:pPr>
      <w:r>
        <w:rPr>
          <w:color w:val="555555"/>
          <w:sz w:val="12"/>
        </w:rPr>
        <w:t>22.14. Macronutrients</w:t>
      </w:r>
    </w:p>
    <w:p>
      <w:pPr>
        <w:spacing w:after="20" w:line="223" w:lineRule="auto"/>
        <w:jc w:val="right"/>
        <w:bidi/>
      </w:pPr>
      <w:r>
        <w:rPr>
          <w:rFonts w:ascii="Arial" w:hAnsi="Arial"/>
          <w:sz w:val="16"/>
        </w:rPr>
        <w:t>410.03  درشت مغذی‌ها بخش عمده‌ای از رژیم را تشکیل می‌دهند، انرژی را تأمین می‌کنند و بسیاری از مواد مغذی ضروری را تأمین می‌کنند.</w:t>
      </w:r>
    </w:p>
    <w:p>
      <w:pPr>
        <w:spacing w:after="28" w:line="216" w:lineRule="auto"/>
        <w:ind w:left="259"/>
        <w:jc w:val="left"/>
      </w:pPr>
      <w:r>
        <w:rPr>
          <w:rFonts w:ascii="Arial" w:hAnsi="Arial"/>
          <w:color w:val="525252"/>
          <w:sz w:val="13"/>
        </w:rPr>
        <w:t>Macronutrients make up the bulk of the diet, supply energy, and provide many essential nutrients.</w:t>
      </w:r>
    </w:p>
    <w:p>
      <w:pPr>
        <w:spacing w:after="20" w:line="223" w:lineRule="auto"/>
        <w:jc w:val="right"/>
        <w:bidi/>
      </w:pPr>
      <w:r>
        <w:rPr>
          <w:rFonts w:ascii="Arial" w:hAnsi="Arial"/>
          <w:sz w:val="16"/>
        </w:rPr>
        <w:t>410.04  کربوهیدرات.</w:t>
      </w:r>
    </w:p>
    <w:p>
      <w:pPr>
        <w:spacing w:after="28" w:line="216" w:lineRule="auto"/>
        <w:ind w:left="259"/>
        <w:jc w:val="left"/>
      </w:pPr>
      <w:r>
        <w:rPr>
          <w:rFonts w:ascii="Arial" w:hAnsi="Arial"/>
          <w:color w:val="525252"/>
          <w:sz w:val="13"/>
        </w:rPr>
        <w:t>Carbohydrates.</w:t>
      </w:r>
    </w:p>
    <w:p>
      <w:pPr>
        <w:spacing w:after="20" w:line="223" w:lineRule="auto"/>
        <w:jc w:val="right"/>
        <w:bidi/>
      </w:pPr>
      <w:r>
        <w:rPr>
          <w:rFonts w:ascii="Arial" w:hAnsi="Arial"/>
          <w:sz w:val="16"/>
        </w:rPr>
        <w:t>410.05  کربوهیدرات‌ها منبع اصلی سوخت مورد استفاده در حین ورزش هستند.</w:t>
      </w:r>
    </w:p>
    <w:p>
      <w:pPr>
        <w:spacing w:after="28" w:line="216" w:lineRule="auto"/>
        <w:ind w:left="259"/>
        <w:jc w:val="left"/>
      </w:pPr>
      <w:r>
        <w:rPr>
          <w:rFonts w:ascii="Arial" w:hAnsi="Arial"/>
          <w:color w:val="525252"/>
          <w:sz w:val="13"/>
        </w:rPr>
        <w:t>Carbohydrates are the primary fuel source used during exercise.</w:t>
      </w:r>
    </w:p>
    <w:p>
      <w:pPr>
        <w:spacing w:after="20" w:line="223" w:lineRule="auto"/>
        <w:jc w:val="right"/>
        <w:bidi/>
      </w:pPr>
      <w:r>
        <w:rPr>
          <w:rFonts w:ascii="Arial" w:hAnsi="Arial"/>
          <w:sz w:val="16"/>
        </w:rPr>
        <w:t>410.06  مقدار مناسب کربوهیدرات برای حفظ ذخایر گلیکوژن برای ذخیره انرژی مهم است.</w:t>
      </w:r>
    </w:p>
    <w:p>
      <w:pPr>
        <w:spacing w:after="28" w:line="216" w:lineRule="auto"/>
        <w:ind w:left="259"/>
        <w:jc w:val="left"/>
      </w:pPr>
      <w:r>
        <w:rPr>
          <w:rFonts w:ascii="Arial" w:hAnsi="Arial"/>
          <w:color w:val="525252"/>
          <w:sz w:val="13"/>
        </w:rPr>
        <w:t>An appropriate amount of carbohydrates is important to maintain glycogen stores for energy reserve.</w:t>
      </w:r>
    </w:p>
    <w:p>
      <w:pPr>
        <w:spacing w:after="20" w:line="223" w:lineRule="auto"/>
        <w:jc w:val="right"/>
        <w:bidi/>
      </w:pPr>
      <w:r>
        <w:rPr>
          <w:rFonts w:ascii="Arial" w:hAnsi="Arial"/>
          <w:sz w:val="16"/>
        </w:rPr>
        <w:t>410.07  کربوهیدرات‌ها سطح گلوکز خون را افزایش می‌دهند و انرژی را تأمین می‌کنند و در هر گرم چهار کالری را تأمین می‌کنند.</w:t>
      </w:r>
    </w:p>
    <w:p>
      <w:pPr>
        <w:spacing w:after="28" w:line="216" w:lineRule="auto"/>
        <w:ind w:left="259"/>
        <w:jc w:val="left"/>
      </w:pPr>
      <w:r>
        <w:rPr>
          <w:rFonts w:ascii="Arial" w:hAnsi="Arial"/>
          <w:color w:val="525252"/>
          <w:sz w:val="13"/>
        </w:rPr>
        <w:t>Carbohydrates increase blood glucose levels and supply energy and provide four calories per gram.</w:t>
      </w:r>
    </w:p>
    <w:p>
      <w:pPr>
        <w:spacing w:after="20" w:line="223" w:lineRule="auto"/>
        <w:jc w:val="right"/>
        <w:bidi/>
      </w:pPr>
      <w:r>
        <w:rPr>
          <w:rFonts w:ascii="Arial" w:hAnsi="Arial"/>
          <w:sz w:val="16"/>
        </w:rPr>
        <w:t>410.08  کربوهیدرات‌های ساده.</w:t>
      </w:r>
    </w:p>
    <w:p>
      <w:pPr>
        <w:spacing w:after="28" w:line="216" w:lineRule="auto"/>
        <w:ind w:left="259"/>
        <w:jc w:val="left"/>
      </w:pPr>
      <w:r>
        <w:rPr>
          <w:rFonts w:ascii="Arial" w:hAnsi="Arial"/>
          <w:color w:val="525252"/>
          <w:sz w:val="13"/>
        </w:rPr>
        <w:t>Simple Carbohydrates.</w:t>
      </w:r>
    </w:p>
    <w:p>
      <w:pPr>
        <w:spacing w:after="20" w:line="223" w:lineRule="auto"/>
        <w:jc w:val="right"/>
        <w:bidi/>
      </w:pPr>
      <w:r>
        <w:rPr>
          <w:rFonts w:ascii="Arial" w:hAnsi="Arial"/>
          <w:sz w:val="16"/>
        </w:rPr>
        <w:t>410.09  کربوهیدرات‌های ساده به جای تدریجی در مدت زمان طولانی تری، سطح گلوکز خون را به سرعت افزایش می‌دهند.</w:t>
      </w:r>
    </w:p>
    <w:p>
      <w:pPr>
        <w:spacing w:after="28" w:line="216" w:lineRule="auto"/>
        <w:ind w:left="259"/>
        <w:jc w:val="left"/>
      </w:pPr>
      <w:r>
        <w:rPr>
          <w:rFonts w:ascii="Arial" w:hAnsi="Arial"/>
          <w:color w:val="525252"/>
          <w:sz w:val="13"/>
        </w:rPr>
        <w:t>Simple carbohydrates increase blood glucose levels rapidly rather than gradually over a longer period of time.</w:t>
      </w:r>
    </w:p>
    <w:p>
      <w:pPr>
        <w:spacing w:after="20" w:line="223" w:lineRule="auto"/>
        <w:jc w:val="right"/>
        <w:bidi/>
      </w:pPr>
      <w:r>
        <w:rPr>
          <w:rFonts w:ascii="Arial" w:hAnsi="Arial"/>
          <w:sz w:val="16"/>
        </w:rPr>
        <w:t>410.10  کربوهیدرات‌های ساده اغلب در غذاهای بسته بندی شده یا فرآوری شده مانند شکر، شکر قهوه‌ای، شربت ذرت، عسل، نوشیدنی‌های میوه‌ای، نوشابه‌ها و آب نبات یافت می‌شوند.</w:t>
      </w:r>
    </w:p>
    <w:p>
      <w:pPr>
        <w:spacing w:after="28" w:line="216" w:lineRule="auto"/>
        <w:ind w:left="259"/>
        <w:jc w:val="left"/>
      </w:pPr>
      <w:r>
        <w:rPr>
          <w:rFonts w:ascii="Arial" w:hAnsi="Arial"/>
          <w:color w:val="525252"/>
          <w:sz w:val="13"/>
        </w:rPr>
        <w:t>Simple carbohydrates are often found in packaged or processed foods as table sugar, brown sugar, corn syrup, honey, fruit drinks, soft drinks, and candy.</w:t>
      </w:r>
    </w:p>
    <w:p>
      <w:pPr>
        <w:spacing w:after="20" w:line="223" w:lineRule="auto"/>
        <w:jc w:val="right"/>
        <w:bidi/>
      </w:pPr>
      <w:r>
        <w:rPr>
          <w:rFonts w:ascii="Arial" w:hAnsi="Arial"/>
          <w:sz w:val="16"/>
        </w:rPr>
        <w:t>410.11  کربوهیدرات‌های پیچیده.</w:t>
      </w:r>
    </w:p>
    <w:p>
      <w:pPr>
        <w:spacing w:after="28" w:line="216" w:lineRule="auto"/>
        <w:ind w:left="259"/>
        <w:jc w:val="left"/>
      </w:pPr>
      <w:r>
        <w:rPr>
          <w:rFonts w:ascii="Arial" w:hAnsi="Arial"/>
          <w:color w:val="525252"/>
          <w:sz w:val="13"/>
        </w:rPr>
        <w:t>Complex Carbohydrates.</w:t>
      </w:r>
    </w:p>
    <w:p>
      <w:pPr>
        <w:spacing w:after="20" w:line="223" w:lineRule="auto"/>
        <w:jc w:val="right"/>
        <w:bidi/>
      </w:pPr>
      <w:r>
        <w:rPr>
          <w:rFonts w:ascii="Arial" w:hAnsi="Arial"/>
          <w:sz w:val="16"/>
        </w:rPr>
        <w:t>410.12  کربوهیدرات‌های پیچیده سطح گلوکز خون را به آرامی در مدت زمان طولانی‌تری افزایش می‌دهند و منبع انرژی پایدارتری نسبت به کربوهیدرات‌های ساده فراهم می‌کنند.</w:t>
      </w:r>
    </w:p>
    <w:p>
      <w:pPr>
        <w:spacing w:after="28" w:line="216" w:lineRule="auto"/>
        <w:ind w:left="259"/>
        <w:jc w:val="left"/>
      </w:pPr>
      <w:r>
        <w:rPr>
          <w:rFonts w:ascii="Arial" w:hAnsi="Arial"/>
          <w:color w:val="525252"/>
          <w:sz w:val="13"/>
        </w:rPr>
        <w:t>Complex carbohydrates increase blood glucose levels slowly over a longer period of time, providing a more sustainable source of energy than simple carbohydrates.</w:t>
      </w:r>
    </w:p>
    <w:p>
      <w:pPr>
        <w:spacing w:after="20" w:line="223" w:lineRule="auto"/>
        <w:jc w:val="right"/>
        <w:bidi/>
      </w:pPr>
      <w:r>
        <w:rPr>
          <w:rFonts w:ascii="Arial" w:hAnsi="Arial"/>
          <w:sz w:val="16"/>
        </w:rPr>
        <w:t>410.13  کربوهیدرات‌های سالم و پیچیده را می‌توان در میوه‌ها، نان‌ها، غلات، غلات، شیر و سبزیجات نشاسته‌ای (سیب زمینی، ذرت، نخود فرنگی و کدو) یافت.</w:t>
      </w:r>
    </w:p>
    <w:p>
      <w:pPr>
        <w:spacing w:after="28" w:line="216" w:lineRule="auto"/>
        <w:ind w:left="259"/>
        <w:jc w:val="left"/>
      </w:pPr>
      <w:r>
        <w:rPr>
          <w:rFonts w:ascii="Arial" w:hAnsi="Arial"/>
          <w:color w:val="525252"/>
          <w:sz w:val="13"/>
        </w:rPr>
        <w:t>Healthy, complex carbohydrates can be found in fruits, breads, cereals, grains, milk, and starchy vegetables (potatoes, corn, peas, and squash).</w:t>
      </w:r>
    </w:p>
    <w:p>
      <w:pPr>
        <w:spacing w:after="20" w:line="223" w:lineRule="auto"/>
        <w:jc w:val="right"/>
        <w:bidi/>
      </w:pPr>
      <w:r>
        <w:rPr>
          <w:rFonts w:ascii="Arial" w:hAnsi="Arial"/>
          <w:sz w:val="16"/>
        </w:rPr>
        <w:t>410.14  اندازه تخمین زده شده برای سرو به اندازه کف دست شماست.</w:t>
      </w:r>
    </w:p>
    <w:p>
      <w:pPr>
        <w:spacing w:after="28" w:line="216" w:lineRule="auto"/>
        <w:ind w:left="259"/>
        <w:jc w:val="left"/>
      </w:pPr>
      <w:r>
        <w:rPr>
          <w:rFonts w:ascii="Arial" w:hAnsi="Arial"/>
          <w:color w:val="525252"/>
          <w:sz w:val="13"/>
        </w:rPr>
        <w:t>An estimated serving size is about the size of the palm of your hand.</w:t>
      </w:r>
    </w:p>
    <w:p>
      <w:pPr>
        <w:spacing w:after="20" w:line="223" w:lineRule="auto"/>
        <w:jc w:val="right"/>
        <w:bidi/>
      </w:pPr>
      <w:r>
        <w:rPr>
          <w:rFonts w:ascii="Arial" w:hAnsi="Arial"/>
          <w:sz w:val="16"/>
        </w:rPr>
        <w:t>410.15  توصیه کلی برای کربوهیدرات ۴۵ تا ۶۵ درصد کل کالری دریافتی روزانه است.</w:t>
      </w:r>
    </w:p>
    <w:p>
      <w:pPr>
        <w:spacing w:after="28" w:line="216" w:lineRule="auto"/>
        <w:ind w:left="259"/>
        <w:jc w:val="left"/>
      </w:pPr>
      <w:r>
        <w:rPr>
          <w:rFonts w:ascii="Arial" w:hAnsi="Arial"/>
          <w:color w:val="525252"/>
          <w:sz w:val="13"/>
        </w:rPr>
        <w:t>The general recommendation for carbohydrates is 45- 65 percent of total daily caloric intake.</w:t>
      </w:r>
    </w:p>
    <w:p>
      <w:pPr>
        <w:spacing w:after="20" w:line="223" w:lineRule="auto"/>
        <w:jc w:val="right"/>
        <w:bidi/>
      </w:pPr>
      <w:r>
        <w:rPr>
          <w:rFonts w:ascii="Arial" w:hAnsi="Arial"/>
          <w:sz w:val="16"/>
        </w:rPr>
        <w:t>410.16  فیبر. فیبر را می‌توان در بلغور جو دوسر، سبوس جو دوسر، مغزها و دانه‌ها، حبوبات، نان گندم کامل، جو، برنج قهوه‌ای و در بیشتر سبزیجات و میوه‌ها یافت.</w:t>
      </w:r>
    </w:p>
    <w:p>
      <w:pPr>
        <w:spacing w:after="28" w:line="216" w:lineRule="auto"/>
        <w:ind w:left="259"/>
        <w:jc w:val="left"/>
      </w:pPr>
      <w:r>
        <w:rPr>
          <w:rFonts w:ascii="Arial" w:hAnsi="Arial"/>
          <w:color w:val="525252"/>
          <w:sz w:val="13"/>
        </w:rPr>
        <w:t>Fiber.</w:t>
      </w:r>
    </w:p>
    <w:p>
      <w:pPr>
        <w:spacing w:after="20" w:line="223" w:lineRule="auto"/>
        <w:jc w:val="right"/>
        <w:bidi/>
      </w:pPr>
      <w:r>
        <w:rPr>
          <w:rFonts w:ascii="Arial" w:hAnsi="Arial"/>
          <w:sz w:val="16"/>
        </w:rPr>
        <w:t>410.17  فیبر را می‌توان در بلغور جو دوسر، سبوس جو، آجیل و دانه‌ها، حبوبات، نان گندم کامل، جو، برنج قهوه‌ای و در بیشتر سبزیجات و میوه‌ها یافت.</w:t>
      </w:r>
    </w:p>
    <w:p>
      <w:pPr>
        <w:spacing w:after="28" w:line="216" w:lineRule="auto"/>
        <w:ind w:left="259"/>
        <w:jc w:val="left"/>
      </w:pPr>
      <w:r>
        <w:rPr>
          <w:rFonts w:ascii="Arial" w:hAnsi="Arial"/>
          <w:color w:val="525252"/>
          <w:sz w:val="13"/>
        </w:rPr>
        <w:t>Fiber can be found in oatmeal, oat bran, nuts and seeds, legumes, whole wheat bread, barley, brown rice, and in most vegetables and fruits.</w:t>
      </w:r>
    </w:p>
    <w:p>
      <w:pPr>
        <w:spacing w:after="20" w:line="223" w:lineRule="auto"/>
        <w:jc w:val="right"/>
        <w:bidi/>
      </w:pPr>
      <w:r>
        <w:rPr>
          <w:rFonts w:ascii="Arial" w:hAnsi="Arial"/>
          <w:sz w:val="16"/>
        </w:rPr>
        <w:t>410.18  آمریکایی‌ها به‌طور متوسط ​​۱۲-۱۵ گرم در روز مصرف می‌کنند، در حالی که مصرف کلی فیبر توصیه شده ۲۰-۳۵ گرم در روز برای کمک به هضم و کمک به تعادل جذب قند در جریان خون است.</w:t>
      </w:r>
    </w:p>
    <w:p>
      <w:pPr>
        <w:spacing w:after="28" w:line="216" w:lineRule="auto"/>
        <w:ind w:left="259"/>
        <w:jc w:val="left"/>
      </w:pPr>
      <w:r>
        <w:rPr>
          <w:rFonts w:ascii="Arial" w:hAnsi="Arial"/>
          <w:color w:val="525252"/>
          <w:sz w:val="13"/>
        </w:rPr>
        <w:t>The average American consumes 12-15 grams per day, whereas the recommended total fiber intake is 20-35 grams per day to aid in digestion and help balance the absorption of sugar into the bloodstream.</w:t>
      </w:r>
    </w:p>
    <w:p>
      <w:pPr>
        <w:spacing w:after="20" w:line="223" w:lineRule="auto"/>
        <w:jc w:val="right"/>
        <w:bidi/>
      </w:pPr>
      <w:r>
        <w:rPr>
          <w:rFonts w:ascii="Arial" w:hAnsi="Arial"/>
          <w:sz w:val="16"/>
        </w:rPr>
        <w:t>410.19  پروتئین.</w:t>
      </w:r>
    </w:p>
    <w:p>
      <w:pPr>
        <w:spacing w:after="28" w:line="216" w:lineRule="auto"/>
        <w:ind w:left="259"/>
        <w:jc w:val="left"/>
      </w:pPr>
      <w:r>
        <w:rPr>
          <w:rFonts w:ascii="Arial" w:hAnsi="Arial"/>
          <w:color w:val="525252"/>
          <w:sz w:val="13"/>
        </w:rPr>
        <w:t>Protein.</w:t>
      </w:r>
    </w:p>
    <w:p>
      <w:pPr>
        <w:spacing w:after="20" w:line="223" w:lineRule="auto"/>
        <w:jc w:val="right"/>
        <w:bidi/>
      </w:pPr>
      <w:r>
        <w:rPr>
          <w:rFonts w:ascii="Arial" w:hAnsi="Arial"/>
          <w:sz w:val="16"/>
        </w:rPr>
        <w:t>410.20  پروتئین‌ها توسط بدن ما برای نگهداری بافت، جایگزینی، عملکرد و رشد ماهیچه‌های ما استفاده می‌شود.</w:t>
      </w:r>
    </w:p>
    <w:p>
      <w:pPr>
        <w:spacing w:after="28" w:line="216" w:lineRule="auto"/>
        <w:ind w:left="259"/>
        <w:jc w:val="left"/>
      </w:pPr>
      <w:r>
        <w:rPr>
          <w:rFonts w:ascii="Arial" w:hAnsi="Arial"/>
          <w:color w:val="525252"/>
          <w:sz w:val="13"/>
        </w:rPr>
        <w:t>Proteins are used by our bodies for tissue maintenance, replacement, function, and growth of our muscles.</w:t>
      </w:r>
    </w:p>
    <w:p>
      <w:pPr>
        <w:spacing w:after="20" w:line="223" w:lineRule="auto"/>
        <w:jc w:val="right"/>
        <w:bidi/>
      </w:pPr>
      <w:r>
        <w:rPr>
          <w:rFonts w:ascii="Arial" w:hAnsi="Arial"/>
          <w:sz w:val="16"/>
        </w:rPr>
        <w:t>410.21  اگر بدن ما کالری کافی از منابع غذایی یا ذخایر بافتی دریافت نکند، ممکن است از پروتئین برای انرژی استفاده شود.</w:t>
      </w:r>
    </w:p>
    <w:p>
      <w:pPr>
        <w:spacing w:after="28" w:line="216" w:lineRule="auto"/>
        <w:ind w:left="259"/>
        <w:jc w:val="left"/>
      </w:pPr>
      <w:r>
        <w:rPr>
          <w:rFonts w:ascii="Arial" w:hAnsi="Arial"/>
          <w:color w:val="525252"/>
          <w:sz w:val="13"/>
        </w:rPr>
        <w:t>If our body is not getting enough calories from dietary sources or tissue stores, protein may be used for energy.</w:t>
      </w:r>
    </w:p>
    <w:p>
      <w:pPr>
        <w:spacing w:after="20" w:line="223" w:lineRule="auto"/>
        <w:jc w:val="right"/>
        <w:bidi/>
      </w:pPr>
      <w:r>
        <w:rPr>
          <w:rFonts w:ascii="Arial" w:hAnsi="Arial"/>
          <w:sz w:val="16"/>
        </w:rPr>
        <w:t>410.22  توصیه کلی برای دریافت پروتئین ۱۰-۳۵ درصد کل کالری (۰.۸-۱.۲ گرم به ازای هر کیلوگرم وزن بدن) برای رفع نیازهای روزانه است.</w:t>
      </w:r>
    </w:p>
    <w:p>
      <w:pPr>
        <w:spacing w:after="28" w:line="216" w:lineRule="auto"/>
        <w:ind w:left="259"/>
        <w:jc w:val="left"/>
      </w:pPr>
      <w:r>
        <w:rPr>
          <w:rFonts w:ascii="Arial" w:hAnsi="Arial"/>
          <w:color w:val="525252"/>
          <w:sz w:val="13"/>
        </w:rPr>
        <w:t>The general recommendation for protein intake is 10-35 percent of total calories (0.8-1.2 grams per kilograms of body weight) to meet daily needs.</w:t>
      </w:r>
    </w:p>
    <w:p>
      <w:pPr>
        <w:spacing w:after="20" w:line="223" w:lineRule="auto"/>
        <w:jc w:val="right"/>
        <w:bidi/>
      </w:pPr>
      <w:r>
        <w:rPr>
          <w:rFonts w:ascii="Arial" w:hAnsi="Arial"/>
          <w:sz w:val="16"/>
        </w:rPr>
        <w:t>410.23  پروتئین را می‌توان در گوشت، مرغ، ماهی، حبوبات، توفو، تخم مرغ، آجیل، دانه‌ها، شیر، محصولات لبنی و غلات یافت.</w:t>
      </w:r>
    </w:p>
    <w:p>
      <w:pPr>
        <w:spacing w:after="28" w:line="216" w:lineRule="auto"/>
        <w:ind w:left="259"/>
        <w:jc w:val="left"/>
      </w:pPr>
      <w:r>
        <w:rPr>
          <w:rFonts w:ascii="Arial" w:hAnsi="Arial"/>
          <w:color w:val="525252"/>
          <w:sz w:val="13"/>
        </w:rPr>
        <w:t>Protein can be found in meats, poultry, fish, legumes, tofu, eggs, nuts, seeds, milk, milk products, and grains.</w:t>
      </w:r>
    </w:p>
    <w:p>
      <w:pPr>
        <w:spacing w:after="20" w:line="223" w:lineRule="auto"/>
        <w:jc w:val="right"/>
        <w:bidi/>
      </w:pPr>
      <w:r>
        <w:rPr>
          <w:rFonts w:ascii="Arial" w:hAnsi="Arial"/>
          <w:sz w:val="16"/>
        </w:rPr>
        <w:t>410.24  افراد برای کاهش چربی‌های اشباع شده باید روی گوشت‌های بدون چربی و محصولات شیر ​​کم چرب تمرکز کنند.</w:t>
      </w:r>
    </w:p>
    <w:p>
      <w:pPr>
        <w:spacing w:after="28" w:line="216" w:lineRule="auto"/>
        <w:ind w:left="259"/>
        <w:jc w:val="left"/>
      </w:pPr>
      <w:r>
        <w:rPr>
          <w:rFonts w:ascii="Arial" w:hAnsi="Arial"/>
          <w:color w:val="525252"/>
          <w:sz w:val="13"/>
        </w:rPr>
        <w:t>Individuals should focus on lean meats and low-fat milk products to reduce saturated fats.</w:t>
      </w:r>
    </w:p>
    <w:p>
      <w:pPr>
        <w:spacing w:after="20" w:line="223" w:lineRule="auto"/>
        <w:jc w:val="right"/>
        <w:bidi/>
      </w:pPr>
      <w:r>
        <w:rPr>
          <w:rFonts w:ascii="Arial" w:hAnsi="Arial"/>
          <w:sz w:val="16"/>
        </w:rPr>
        <w:t>410.25  اندازه پیشنهادی گوشت به اندازه یک دسته کارت است و حاوی حدود ۲۱ گرم پروتئین است.</w:t>
      </w:r>
    </w:p>
    <w:p>
      <w:pPr>
        <w:spacing w:after="28" w:line="216" w:lineRule="auto"/>
        <w:ind w:left="259"/>
        <w:jc w:val="left"/>
      </w:pPr>
      <w:r>
        <w:rPr>
          <w:rFonts w:ascii="Arial" w:hAnsi="Arial"/>
          <w:color w:val="525252"/>
          <w:sz w:val="13"/>
        </w:rPr>
        <w:t>The recommended serving size of meat is the size of a deck of cards and contains about 21 grams of protein.</w:t>
      </w:r>
    </w:p>
    <w:p>
      <w:pPr>
        <w:spacing w:after="20" w:line="223" w:lineRule="auto"/>
        <w:jc w:val="right"/>
        <w:bidi/>
      </w:pPr>
      <w:r>
        <w:rPr>
          <w:rFonts w:ascii="Arial" w:hAnsi="Arial"/>
          <w:sz w:val="16"/>
        </w:rPr>
        <w:t>410.26  پروتئین‌ها چهار کالری در هر گرم دارند.</w:t>
      </w:r>
    </w:p>
    <w:p>
      <w:pPr>
        <w:spacing w:after="28" w:line="216" w:lineRule="auto"/>
        <w:ind w:left="259"/>
        <w:jc w:val="left"/>
      </w:pPr>
      <w:r>
        <w:rPr>
          <w:rFonts w:ascii="Arial" w:hAnsi="Arial"/>
          <w:color w:val="525252"/>
          <w:sz w:val="13"/>
        </w:rPr>
        <w:t>Proteins provide four calories per gram.</w:t>
      </w:r>
    </w:p>
    <w:p>
      <w:pPr>
        <w:spacing w:after="20" w:line="223" w:lineRule="auto"/>
        <w:jc w:val="right"/>
        <w:bidi/>
      </w:pPr>
      <w:r>
        <w:rPr>
          <w:rFonts w:ascii="Arial" w:hAnsi="Arial"/>
          <w:sz w:val="16"/>
        </w:rPr>
        <w:t>410.27  چربی‌ها.</w:t>
      </w:r>
    </w:p>
    <w:p>
      <w:pPr>
        <w:spacing w:after="28" w:line="216" w:lineRule="auto"/>
        <w:ind w:left="259"/>
        <w:jc w:val="left"/>
      </w:pPr>
      <w:r>
        <w:rPr>
          <w:rFonts w:ascii="Arial" w:hAnsi="Arial"/>
          <w:color w:val="525252"/>
          <w:sz w:val="13"/>
        </w:rPr>
        <w:t>Fats.</w:t>
      </w:r>
    </w:p>
    <w:p>
      <w:pPr>
        <w:spacing w:after="20" w:line="223" w:lineRule="auto"/>
        <w:jc w:val="right"/>
        <w:bidi/>
      </w:pPr>
      <w:r>
        <w:rPr>
          <w:rFonts w:ascii="Arial" w:hAnsi="Arial"/>
          <w:sz w:val="16"/>
        </w:rPr>
        <w:t>410.28  چربی‌ها منبع اصلی انرژی هستند و به بدن ما کمک می‌کنند دما را حفظ کرده و از اندام‌ها در برابر ضربه محافظت کنند.</w:t>
      </w:r>
    </w:p>
    <w:p>
      <w:pPr>
        <w:spacing w:after="28" w:line="216" w:lineRule="auto"/>
        <w:ind w:left="259"/>
        <w:jc w:val="left"/>
      </w:pPr>
      <w:r>
        <w:rPr>
          <w:rFonts w:ascii="Arial" w:hAnsi="Arial"/>
          <w:color w:val="525252"/>
          <w:sz w:val="13"/>
        </w:rPr>
        <w:t>Fats are a major energy source and help our bodies maintain temperature and protect organs from trauma.</w:t>
      </w:r>
    </w:p>
    <w:p>
      <w:pPr>
        <w:spacing w:after="20" w:line="223" w:lineRule="auto"/>
        <w:jc w:val="right"/>
        <w:bidi/>
      </w:pPr>
      <w:r>
        <w:rPr>
          <w:rFonts w:ascii="Arial" w:hAnsi="Arial"/>
          <w:sz w:val="16"/>
        </w:rPr>
        <w:t>410.29  مصرف متعادل چربی برای حفظ ذخایر انرژی ضروری است.</w:t>
      </w:r>
    </w:p>
    <w:p>
      <w:pPr>
        <w:spacing w:after="28" w:line="216" w:lineRule="auto"/>
        <w:ind w:left="259"/>
        <w:jc w:val="left"/>
      </w:pPr>
      <w:r>
        <w:rPr>
          <w:rFonts w:ascii="Arial" w:hAnsi="Arial"/>
          <w:color w:val="525252"/>
          <w:sz w:val="13"/>
        </w:rPr>
        <w:t>Balanced fat intake is essential to maintain energy reserves.</w:t>
      </w:r>
    </w:p>
    <w:p>
      <w:pPr>
        <w:spacing w:after="20" w:line="223" w:lineRule="auto"/>
        <w:jc w:val="right"/>
        <w:bidi/>
      </w:pPr>
      <w:r>
        <w:rPr>
          <w:rFonts w:ascii="Arial" w:hAnsi="Arial"/>
          <w:sz w:val="16"/>
        </w:rPr>
        <w:t>410.30  چربی‌ها را می‌توان در روغن‌ها، تکه‌های گوشتی پرچرب، شیرینی‌های پخته شده، شیر و خامه پرچرب، کره، پنیرها، آجیل و دانه‌ها، آووکادو و ماهی یافت.</w:t>
      </w:r>
    </w:p>
    <w:p>
      <w:pPr>
        <w:spacing w:after="28" w:line="216" w:lineRule="auto"/>
        <w:ind w:left="259"/>
        <w:jc w:val="left"/>
      </w:pPr>
      <w:r>
        <w:rPr>
          <w:rFonts w:ascii="Arial" w:hAnsi="Arial"/>
          <w:color w:val="525252"/>
          <w:sz w:val="13"/>
        </w:rPr>
        <w:t>Fats can be found in oils, high fat cuts of meat, baked sweets, whole-fat milk and cream, butter, cheeses, nuts and seeds, avocados, and fish.</w:t>
      </w:r>
    </w:p>
    <w:p>
      <w:pPr>
        <w:spacing w:after="20" w:line="223" w:lineRule="auto"/>
        <w:jc w:val="right"/>
        <w:bidi/>
      </w:pPr>
      <w:r>
        <w:rPr>
          <w:rFonts w:ascii="Arial" w:hAnsi="Arial"/>
          <w:sz w:val="16"/>
        </w:rPr>
        <w:t>410.31  توصیه کلی برای چربی‌ها ۲۰-۳۵ درصد کل کالری است.</w:t>
      </w:r>
    </w:p>
    <w:p>
      <w:pPr>
        <w:spacing w:after="28" w:line="216" w:lineRule="auto"/>
        <w:ind w:left="259"/>
        <w:jc w:val="left"/>
      </w:pPr>
      <w:r>
        <w:rPr>
          <w:rFonts w:ascii="Arial" w:hAnsi="Arial"/>
          <w:color w:val="525252"/>
          <w:sz w:val="13"/>
        </w:rPr>
        <w:t>The general recommendation for fats is 20-35 percent of total calories.</w:t>
      </w:r>
    </w:p>
    <w:p>
      <w:pPr>
        <w:spacing w:after="20" w:line="223" w:lineRule="auto"/>
        <w:jc w:val="right"/>
        <w:bidi/>
      </w:pPr>
      <w:r>
        <w:rPr>
          <w:rFonts w:ascii="Arial" w:hAnsi="Arial"/>
          <w:sz w:val="16"/>
        </w:rPr>
        <w:t>410.32  چربی‌ها نه کالری در هر گرم دارند.</w:t>
      </w:r>
    </w:p>
    <w:p>
      <w:pPr>
        <w:spacing w:after="28" w:line="216" w:lineRule="auto"/>
        <w:ind w:left="259"/>
        <w:jc w:val="left"/>
      </w:pPr>
      <w:r>
        <w:rPr>
          <w:rFonts w:ascii="Arial" w:hAnsi="Arial"/>
          <w:color w:val="525252"/>
          <w:sz w:val="13"/>
        </w:rPr>
        <w:t>Fats provide nine calories per gram.</w:t>
      </w:r>
    </w:p>
    <w:p>
      <w:pPr>
        <w:spacing w:after="20" w:line="223" w:lineRule="auto"/>
        <w:jc w:val="right"/>
        <w:bidi/>
      </w:pPr>
      <w:r>
        <w:rPr>
          <w:rFonts w:ascii="Arial" w:hAnsi="Arial"/>
          <w:sz w:val="16"/>
        </w:rPr>
        <w:t>410.33  چربی‌های ترانس.</w:t>
      </w:r>
    </w:p>
    <w:p>
      <w:pPr>
        <w:spacing w:after="28" w:line="216" w:lineRule="auto"/>
        <w:ind w:left="259"/>
        <w:jc w:val="left"/>
      </w:pPr>
      <w:r>
        <w:rPr>
          <w:rFonts w:ascii="Arial" w:hAnsi="Arial"/>
          <w:color w:val="525252"/>
          <w:sz w:val="13"/>
        </w:rPr>
        <w:t>Trans Fats.</w:t>
      </w:r>
    </w:p>
    <w:p>
      <w:pPr>
        <w:spacing w:after="20" w:line="223" w:lineRule="auto"/>
        <w:jc w:val="right"/>
        <w:bidi/>
      </w:pPr>
      <w:r>
        <w:rPr>
          <w:rFonts w:ascii="Arial" w:hAnsi="Arial"/>
          <w:sz w:val="16"/>
        </w:rPr>
        <w:t>410.34  چربی‌های ترانس با بیماری عروق کرونر قلب مرتبط هستند.</w:t>
      </w:r>
    </w:p>
    <w:p>
      <w:pPr>
        <w:spacing w:after="28" w:line="216" w:lineRule="auto"/>
        <w:ind w:left="259"/>
        <w:jc w:val="left"/>
      </w:pPr>
      <w:r>
        <w:rPr>
          <w:rFonts w:ascii="Arial" w:hAnsi="Arial"/>
          <w:color w:val="525252"/>
          <w:sz w:val="13"/>
        </w:rPr>
        <w:t>Trans fats have been linked to coronary heart disease.</w:t>
      </w:r>
    </w:p>
    <w:p>
      <w:pPr>
        <w:spacing w:after="20" w:line="223" w:lineRule="auto"/>
        <w:jc w:val="right"/>
        <w:bidi/>
      </w:pPr>
      <w:r>
        <w:rPr>
          <w:rFonts w:ascii="Arial" w:hAnsi="Arial"/>
          <w:sz w:val="16"/>
        </w:rPr>
        <w:t>410.35  مصرف این چربی‌ها باید تا حد امکان کم باشد.</w:t>
      </w:r>
    </w:p>
    <w:p>
      <w:pPr>
        <w:spacing w:after="28" w:line="216" w:lineRule="auto"/>
        <w:ind w:left="259"/>
        <w:jc w:val="left"/>
      </w:pPr>
      <w:r>
        <w:rPr>
          <w:rFonts w:ascii="Arial" w:hAnsi="Arial"/>
          <w:color w:val="525252"/>
          <w:sz w:val="13"/>
        </w:rPr>
        <w:t>Intake of these fats should be kept as low as possible.</w:t>
      </w:r>
    </w:p>
    <w:p>
      <w:pPr>
        <w:spacing w:after="20" w:line="223" w:lineRule="auto"/>
        <w:jc w:val="right"/>
        <w:bidi/>
      </w:pPr>
      <w:r>
        <w:rPr>
          <w:rFonts w:ascii="Arial" w:hAnsi="Arial"/>
          <w:sz w:val="16"/>
        </w:rPr>
        <w:t>410.36  آنها را می‌توان به مقدار کم در قسمت‌های چرب گوشت و فرآورده‌های شیر و در غذاهایی که حاوی روغن‌های نیمه هیدروژنه هستند، یافت.</w:t>
      </w:r>
    </w:p>
    <w:p>
      <w:pPr>
        <w:spacing w:after="28" w:line="216" w:lineRule="auto"/>
        <w:ind w:left="259"/>
        <w:jc w:val="left"/>
      </w:pPr>
      <w:r>
        <w:rPr>
          <w:rFonts w:ascii="Arial" w:hAnsi="Arial"/>
          <w:color w:val="525252"/>
          <w:sz w:val="13"/>
        </w:rPr>
        <w:t>They can be found in small amounts in the fatty parts of meat and milk products and in foods that contain partially hydrogenated oils.</w:t>
      </w:r>
    </w:p>
    <w:p>
      <w:pPr>
        <w:spacing w:after="20" w:line="223" w:lineRule="auto"/>
        <w:jc w:val="right"/>
        <w:bidi/>
      </w:pPr>
      <w:r>
        <w:rPr>
          <w:rFonts w:ascii="Arial" w:hAnsi="Arial"/>
          <w:sz w:val="16"/>
        </w:rPr>
        <w:t>410.37  چربی‌های ترانس معمولا از روغن‌های گیاهی از طریق فرآیندی به نام هیدروژناسیون ساخته می‌شوند و در مواد غذایی مانند پیتزاهای منجمد، پای منجمد، کلوچه‌ها، مارگارین و سایر غذاهای فرآوری شده یافت می‌شوند.</w:t>
      </w:r>
    </w:p>
    <w:p>
      <w:pPr>
        <w:spacing w:after="28" w:line="216" w:lineRule="auto"/>
        <w:ind w:left="259"/>
        <w:jc w:val="left"/>
      </w:pPr>
      <w:r>
        <w:rPr>
          <w:rFonts w:ascii="Arial" w:hAnsi="Arial"/>
          <w:color w:val="525252"/>
          <w:sz w:val="13"/>
        </w:rPr>
        <w:t>Trans fats are typically made from vegetable oils through a process called hydrogenation and are found in foods, such as frozen pizzas, frozen pies, cookies, margarine spreads, and other processed foods.</w:t>
      </w:r>
    </w:p>
    <w:p>
      <w:pPr>
        <w:spacing w:after="20" w:line="223" w:lineRule="auto"/>
        <w:jc w:val="right"/>
        <w:bidi/>
      </w:pPr>
      <w:r>
        <w:rPr>
          <w:rFonts w:ascii="Arial" w:hAnsi="Arial"/>
          <w:sz w:val="16"/>
        </w:rPr>
        <w:t>410.38  چربی‌های اشباع.</w:t>
      </w:r>
    </w:p>
    <w:p>
      <w:pPr>
        <w:spacing w:after="28" w:line="216" w:lineRule="auto"/>
        <w:ind w:left="259"/>
        <w:jc w:val="left"/>
      </w:pPr>
      <w:r>
        <w:rPr>
          <w:rFonts w:ascii="Arial" w:hAnsi="Arial"/>
          <w:color w:val="525252"/>
          <w:sz w:val="13"/>
        </w:rPr>
        <w:t>Saturated Fats.</w:t>
      </w:r>
    </w:p>
    <w:p>
      <w:pPr>
        <w:spacing w:after="20" w:line="223" w:lineRule="auto"/>
        <w:jc w:val="right"/>
        <w:bidi/>
      </w:pPr>
      <w:r>
        <w:rPr>
          <w:rFonts w:ascii="Arial" w:hAnsi="Arial"/>
          <w:sz w:val="16"/>
        </w:rPr>
        <w:t>410.39  چربی‌های اشباع شده با بیماری عروق کرونر قلب مرتبط هستند.</w:t>
      </w:r>
    </w:p>
    <w:p>
      <w:pPr>
        <w:spacing w:after="28" w:line="216" w:lineRule="auto"/>
        <w:ind w:left="259"/>
        <w:jc w:val="left"/>
      </w:pPr>
      <w:r>
        <w:rPr>
          <w:rFonts w:ascii="Arial" w:hAnsi="Arial"/>
          <w:color w:val="525252"/>
          <w:sz w:val="13"/>
        </w:rPr>
        <w:t>Saturated fats have been linked to coronary heart disease.</w:t>
      </w:r>
    </w:p>
    <w:p>
      <w:pPr>
        <w:spacing w:after="20" w:line="223" w:lineRule="auto"/>
        <w:jc w:val="right"/>
        <w:bidi/>
      </w:pPr>
      <w:r>
        <w:rPr>
          <w:rFonts w:ascii="Arial" w:hAnsi="Arial"/>
          <w:sz w:val="16"/>
        </w:rPr>
        <w:t>410.40  چربی‌های اشباع شده باید کمتر از ۱۰ درصد کالری روزانه را تشکیل دهند.</w:t>
      </w:r>
    </w:p>
    <w:p>
      <w:pPr>
        <w:spacing w:after="28" w:line="216" w:lineRule="auto"/>
        <w:ind w:left="259"/>
        <w:jc w:val="left"/>
      </w:pPr>
      <w:r>
        <w:rPr>
          <w:rFonts w:ascii="Arial" w:hAnsi="Arial"/>
          <w:color w:val="525252"/>
          <w:sz w:val="13"/>
        </w:rPr>
        <w:t>Saturated fats should make up less than 10 percent of daily calories.</w:t>
      </w:r>
    </w:p>
    <w:p>
      <w:pPr>
        <w:spacing w:after="20" w:line="223" w:lineRule="auto"/>
        <w:jc w:val="right"/>
        <w:bidi/>
      </w:pPr>
      <w:r>
        <w:rPr>
          <w:rFonts w:ascii="Arial" w:hAnsi="Arial"/>
          <w:sz w:val="16"/>
        </w:rPr>
        <w:t>410.41  غذاهایی که حاوی چربی‌های اشباع هستند معمولا در معتدل اتاق جامد هستند و می‌توان آن‌ها را در پنیرهای پرچرب، تکه‌های گوشتی پرچرب، شیر پرچرب، خامه، کره، بستنی و روغن‌های نخل و نارگیل یافت.</w:t>
      </w:r>
    </w:p>
    <w:p>
      <w:pPr>
        <w:spacing w:after="28" w:line="216" w:lineRule="auto"/>
        <w:ind w:left="259"/>
        <w:jc w:val="left"/>
      </w:pPr>
      <w:r>
        <w:rPr>
          <w:rFonts w:ascii="Arial" w:hAnsi="Arial"/>
          <w:color w:val="525252"/>
          <w:sz w:val="13"/>
        </w:rPr>
        <w:t>Foods that contain saturated fats are usually solid at room temperate and can be found in high-fat cheeses, high-fat cuts of meat, whole-fat milk, cream, butter, ice cream, and palm and coconut oils.</w:t>
      </w:r>
    </w:p>
    <w:p>
      <w:r>
        <w:br w:type="page"/>
      </w:r>
    </w:p>
    <w:p>
      <w:pPr>
        <w:spacing w:after="60"/>
        <w:jc w:val="right"/>
        <w:bidi/>
      </w:pPr>
      <w:r>
        <w:rPr>
          <w:rFonts w:ascii="Arial" w:hAnsi="Arial"/>
          <w:b/>
          <w:color w:val="1F4D78"/>
          <w:sz w:val="19"/>
        </w:rPr>
        <w:t>هفتهٔ 411  |  صفحهٔ منبع: 427</w:t>
      </w:r>
    </w:p>
    <w:p>
      <w:pPr>
        <w:spacing w:after="20" w:line="223" w:lineRule="auto"/>
        <w:jc w:val="right"/>
        <w:bidi/>
      </w:pPr>
      <w:r>
        <w:rPr>
          <w:rFonts w:ascii="Arial" w:hAnsi="Arial"/>
          <w:sz w:val="16"/>
        </w:rPr>
        <w:t>411.01  چربی‌های غیر اشباع.</w:t>
      </w:r>
    </w:p>
    <w:p>
      <w:pPr>
        <w:spacing w:after="28" w:line="216" w:lineRule="auto"/>
        <w:ind w:left="259"/>
        <w:jc w:val="left"/>
      </w:pPr>
      <w:r>
        <w:rPr>
          <w:rFonts w:ascii="Arial" w:hAnsi="Arial"/>
          <w:color w:val="525252"/>
          <w:sz w:val="13"/>
        </w:rPr>
        <w:t>Unsaturated Fats.</w:t>
      </w:r>
    </w:p>
    <w:p>
      <w:pPr>
        <w:spacing w:after="20" w:line="223" w:lineRule="auto"/>
        <w:jc w:val="right"/>
        <w:bidi/>
      </w:pPr>
      <w:r>
        <w:rPr>
          <w:rFonts w:ascii="Arial" w:hAnsi="Arial"/>
          <w:sz w:val="16"/>
        </w:rPr>
        <w:t>411.02  خوردن چربی غیراشباع می‌تواند خطر ابتلا به بیماری قلبی را کاهش دهد و سطح لیپوپروتئین با چگالی بالا (کلسترول خوب) را بهبود بخشد.</w:t>
      </w:r>
    </w:p>
    <w:p>
      <w:pPr>
        <w:spacing w:after="28" w:line="216" w:lineRule="auto"/>
        <w:ind w:left="259"/>
        <w:jc w:val="left"/>
      </w:pPr>
      <w:r>
        <w:rPr>
          <w:rFonts w:ascii="Arial" w:hAnsi="Arial"/>
          <w:color w:val="525252"/>
          <w:sz w:val="13"/>
        </w:rPr>
        <w:t>Eating unsaturated fat can reduce your risk for heart disease and improve high- density lipoprotein (good cholesterol) levels.</w:t>
      </w:r>
    </w:p>
    <w:p>
      <w:pPr>
        <w:spacing w:after="20" w:line="223" w:lineRule="auto"/>
        <w:jc w:val="right"/>
        <w:bidi/>
      </w:pPr>
      <w:r>
        <w:rPr>
          <w:rFonts w:ascii="Arial" w:hAnsi="Arial"/>
          <w:sz w:val="16"/>
        </w:rPr>
        <w:t>411.03  چربی‌های غیراشباع معمولا در دمای اتاق مایع هستند و شامل چربی‌های تک غیراشباع و چند غیراشباع هستند.</w:t>
      </w:r>
    </w:p>
    <w:p>
      <w:pPr>
        <w:spacing w:after="28" w:line="216" w:lineRule="auto"/>
        <w:ind w:left="259"/>
        <w:jc w:val="left"/>
      </w:pPr>
      <w:r>
        <w:rPr>
          <w:rFonts w:ascii="Arial" w:hAnsi="Arial"/>
          <w:color w:val="525252"/>
          <w:sz w:val="13"/>
        </w:rPr>
        <w:t>Unsaturated fats are typically liquid at room temperature and include monounsaturated and polyunsaturated fats.</w:t>
      </w:r>
    </w:p>
    <w:p>
      <w:pPr>
        <w:spacing w:after="20" w:line="223" w:lineRule="auto"/>
        <w:jc w:val="right"/>
        <w:bidi/>
      </w:pPr>
      <w:r>
        <w:rPr>
          <w:rFonts w:ascii="Arial" w:hAnsi="Arial"/>
          <w:sz w:val="16"/>
        </w:rPr>
        <w:t>411.04  چربی‌های غیراشباع معمولا از منابع گیاهی مانند روغن کانولا، روغن زیتون، آجیل، دانه‌ها، بذر کتان و آووکادو می‌آیند.</w:t>
      </w:r>
    </w:p>
    <w:p>
      <w:pPr>
        <w:spacing w:after="28" w:line="216" w:lineRule="auto"/>
        <w:ind w:left="259"/>
        <w:jc w:val="left"/>
      </w:pPr>
      <w:r>
        <w:rPr>
          <w:rFonts w:ascii="Arial" w:hAnsi="Arial"/>
          <w:color w:val="525252"/>
          <w:sz w:val="13"/>
        </w:rPr>
        <w:t>Unsaturated fats typically come from plant sources, such as canola oil, olive oil, nuts, seeds, flaxseed, and avocado.</w:t>
      </w:r>
    </w:p>
    <w:p>
      <w:pPr>
        <w:spacing w:after="20" w:line="223" w:lineRule="auto"/>
        <w:jc w:val="right"/>
        <w:bidi/>
      </w:pPr>
      <w:r>
        <w:rPr>
          <w:rFonts w:ascii="Arial" w:hAnsi="Arial"/>
          <w:sz w:val="16"/>
        </w:rPr>
        <w:t>411.05  چربی‌های غیراشباع نیز در ماهی هایی مانند قزل آلا، شاه ماهی و سالمون وجود دارد.</w:t>
      </w:r>
    </w:p>
    <w:p>
      <w:pPr>
        <w:spacing w:after="28" w:line="216" w:lineRule="auto"/>
        <w:ind w:left="259"/>
        <w:jc w:val="left"/>
      </w:pPr>
      <w:r>
        <w:rPr>
          <w:rFonts w:ascii="Arial" w:hAnsi="Arial"/>
          <w:color w:val="525252"/>
          <w:sz w:val="13"/>
        </w:rPr>
        <w:t>Unsaturated fats are also present in fish, such as trout, herring, and salmon.</w:t>
      </w:r>
    </w:p>
    <w:p>
      <w:pPr>
        <w:spacing w:before="60" w:after="28"/>
        <w:jc w:val="right"/>
        <w:bidi/>
      </w:pPr>
      <w:r>
        <w:rPr>
          <w:b/>
          <w:color w:val="1F4D78"/>
          <w:sz w:val="18"/>
        </w:rPr>
        <w:t>22.15. سدیم</w:t>
      </w:r>
    </w:p>
    <w:p>
      <w:pPr>
        <w:spacing w:after="20"/>
        <w:ind w:left="259"/>
        <w:jc w:val="left"/>
      </w:pPr>
      <w:r>
        <w:rPr>
          <w:color w:val="555555"/>
          <w:sz w:val="12"/>
        </w:rPr>
        <w:t>22.15. Sodium</w:t>
      </w:r>
    </w:p>
    <w:p>
      <w:pPr>
        <w:spacing w:after="20" w:line="223" w:lineRule="auto"/>
        <w:jc w:val="right"/>
        <w:bidi/>
      </w:pPr>
      <w:r>
        <w:rPr>
          <w:rFonts w:ascii="Arial" w:hAnsi="Arial"/>
          <w:sz w:val="16"/>
        </w:rPr>
        <w:t>411.07  سدیم عنصر ضروری رژیم غذایی ما است. با این حال، مصرف زیاد سدیم فشار خون را افزایش می‌دهد که یک عامل خطر اصلی برای عامل اصلی مرگ و میر در کشور - بیماری قلبی - است.</w:t>
      </w:r>
    </w:p>
    <w:p>
      <w:pPr>
        <w:spacing w:after="28" w:line="216" w:lineRule="auto"/>
        <w:ind w:left="259"/>
        <w:jc w:val="left"/>
      </w:pPr>
      <w:r>
        <w:rPr>
          <w:rFonts w:ascii="Arial" w:hAnsi="Arial"/>
          <w:color w:val="525252"/>
          <w:sz w:val="13"/>
        </w:rPr>
        <w:t>Sodium is a necessary element of our diets; however, high sodium intake raises blood pressure which is a major risk factor for the nation’s leading cause of death - heart disease.</w:t>
      </w:r>
    </w:p>
    <w:p>
      <w:pPr>
        <w:spacing w:after="20" w:line="223" w:lineRule="auto"/>
        <w:jc w:val="right"/>
        <w:bidi/>
      </w:pPr>
      <w:r>
        <w:rPr>
          <w:rFonts w:ascii="Arial" w:hAnsi="Arial"/>
          <w:sz w:val="16"/>
        </w:rPr>
        <w:t>411.08  اکثر رژیم‌ها شامل نمک به شکل غذاهای فرآوری شده یا کنسرو شده، غذاهای کنسرو شده، سوپ، پنیر و گوشت اغذیه فروشی است.</w:t>
      </w:r>
    </w:p>
    <w:p>
      <w:pPr>
        <w:spacing w:after="28" w:line="216" w:lineRule="auto"/>
        <w:ind w:left="259"/>
        <w:jc w:val="left"/>
      </w:pPr>
      <w:r>
        <w:rPr>
          <w:rFonts w:ascii="Arial" w:hAnsi="Arial"/>
          <w:color w:val="525252"/>
          <w:sz w:val="13"/>
        </w:rPr>
        <w:t>Most diets include salt in the form of processed or preserved foods, canned foods, soups, cheeses, and deli meats.</w:t>
      </w:r>
    </w:p>
    <w:p>
      <w:pPr>
        <w:spacing w:after="20" w:line="223" w:lineRule="auto"/>
        <w:jc w:val="right"/>
        <w:bidi/>
      </w:pPr>
      <w:r>
        <w:rPr>
          <w:rFonts w:ascii="Arial" w:hAnsi="Arial"/>
          <w:sz w:val="16"/>
        </w:rPr>
        <w:t>411.09  آمریکایی‌ها به‌طور متوسط ​​روزانه حدود ۳۴۰۰ میلی گرم سدیم مصرف می‌کنند.</w:t>
      </w:r>
    </w:p>
    <w:p>
      <w:pPr>
        <w:spacing w:after="28" w:line="216" w:lineRule="auto"/>
        <w:ind w:left="259"/>
        <w:jc w:val="left"/>
      </w:pPr>
      <w:r>
        <w:rPr>
          <w:rFonts w:ascii="Arial" w:hAnsi="Arial"/>
          <w:color w:val="525252"/>
          <w:sz w:val="13"/>
        </w:rPr>
        <w:t>On average, Americans consume about 3,400 milligrams of sodium every day.</w:t>
      </w:r>
    </w:p>
    <w:p>
      <w:pPr>
        <w:spacing w:after="20" w:line="223" w:lineRule="auto"/>
        <w:jc w:val="right"/>
        <w:bidi/>
      </w:pPr>
      <w:r>
        <w:rPr>
          <w:rFonts w:ascii="Arial" w:hAnsi="Arial"/>
          <w:sz w:val="16"/>
        </w:rPr>
        <w:t>411.10  دستورالعمل‌های غذایی برای آمریکایی‌ها توصیه می‌کند که بزرگسالان مصرف سدیم را به ۲۳۰۰ میلی گرم در روز (حدود یک قاشق چایخوری نمک خوراکی) محدود کنند.</w:t>
      </w:r>
    </w:p>
    <w:p>
      <w:pPr>
        <w:spacing w:after="28" w:line="216" w:lineRule="auto"/>
        <w:ind w:left="259"/>
        <w:jc w:val="left"/>
      </w:pPr>
      <w:r>
        <w:rPr>
          <w:rFonts w:ascii="Arial" w:hAnsi="Arial"/>
          <w:color w:val="525252"/>
          <w:sz w:val="13"/>
        </w:rPr>
        <w:t>The Dietary Guidelines for Americans recommends that adults limit sodium intake to 2,300 milligrams per day (about one teaspoon of table salt).</w:t>
      </w:r>
    </w:p>
    <w:p>
      <w:pPr>
        <w:spacing w:after="20" w:line="223" w:lineRule="auto"/>
        <w:jc w:val="right"/>
        <w:bidi/>
      </w:pPr>
      <w:r>
        <w:rPr>
          <w:rFonts w:ascii="Arial" w:hAnsi="Arial"/>
          <w:sz w:val="16"/>
        </w:rPr>
        <w:t>411.11  برخی گروه‌های "در معرض خطر"، از جمله کسانی که فشار خون بالا، دیابت یا بیماری کلیوی دارند، باید مصرف سدیم خود را به حدود ۱۵۰۰ میلی گرم در روز محدود کنند.</w:t>
      </w:r>
    </w:p>
    <w:p>
      <w:pPr>
        <w:spacing w:after="28" w:line="216" w:lineRule="auto"/>
        <w:ind w:left="259"/>
        <w:jc w:val="left"/>
      </w:pPr>
      <w:r>
        <w:rPr>
          <w:rFonts w:ascii="Arial" w:hAnsi="Arial"/>
          <w:color w:val="525252"/>
          <w:sz w:val="13"/>
        </w:rPr>
        <w:t>Certain “at-risk” groups, including those who have high blood pressure, diabetes, or kidney disease, should limit their sodium intake to about 1,500 milligrams per day.</w:t>
      </w:r>
    </w:p>
    <w:p>
      <w:pPr>
        <w:spacing w:after="20" w:line="223" w:lineRule="auto"/>
        <w:jc w:val="right"/>
        <w:bidi/>
      </w:pPr>
      <w:r>
        <w:rPr>
          <w:rFonts w:ascii="Arial" w:hAnsi="Arial"/>
          <w:sz w:val="16"/>
        </w:rPr>
        <w:t>411.12  بهترین راه برای اطمینان از رژیم کم سدیم، خوردن غذاهای کامل، مانند میوه‌ها و سبزیجات تازه یا منجمد، مرغ و ماهی بدون چربی و فرآوری نشده، آجیل‌های بدون نمک، غلات کامل، و محصولات لبنی کم‌چرب، مانند شیر بدون چربی یا ماست است.</w:t>
      </w:r>
    </w:p>
    <w:p>
      <w:pPr>
        <w:spacing w:after="28" w:line="216" w:lineRule="auto"/>
        <w:ind w:left="259"/>
        <w:jc w:val="left"/>
      </w:pPr>
      <w:r>
        <w:rPr>
          <w:rFonts w:ascii="Arial" w:hAnsi="Arial"/>
          <w:color w:val="525252"/>
          <w:sz w:val="13"/>
        </w:rPr>
        <w:t>The best way to ensure a low sodium diet is to eat whole foods, such as fresh or frozen fruits and vegetables, lean and unprocessed poultry and fish, unsalted nuts, whole grains, and low- fat dairy products, such as skim milk or yogurt.</w:t>
      </w:r>
    </w:p>
    <w:p>
      <w:pPr>
        <w:spacing w:before="60" w:after="28"/>
        <w:jc w:val="right"/>
        <w:bidi/>
      </w:pPr>
      <w:r>
        <w:rPr>
          <w:b/>
          <w:color w:val="1F4D78"/>
          <w:sz w:val="18"/>
        </w:rPr>
        <w:t>22.16. مکمل ها</w:t>
      </w:r>
    </w:p>
    <w:p>
      <w:pPr>
        <w:spacing w:after="20"/>
        <w:ind w:left="259"/>
        <w:jc w:val="left"/>
      </w:pPr>
      <w:r>
        <w:rPr>
          <w:color w:val="555555"/>
          <w:sz w:val="12"/>
        </w:rPr>
        <w:t>22.16. Supplements</w:t>
      </w:r>
    </w:p>
    <w:p>
      <w:pPr>
        <w:spacing w:after="20" w:line="223" w:lineRule="auto"/>
        <w:jc w:val="right"/>
        <w:bidi/>
      </w:pPr>
      <w:r>
        <w:rPr>
          <w:rFonts w:ascii="Arial" w:hAnsi="Arial"/>
          <w:sz w:val="16"/>
        </w:rPr>
        <w:t>411.14  مکمل‌های غذایی ممکن است در دسته‌های مختلفی قرار گیرند، مانند ویتامین‌ها، مواد معدنی، گیاهان، گیاهان، اسیدهای آمینه، یا سایر موادی که به صورت قرص، پودر، میله، بسته، ژل، نوشیدنی یا شیک فروخته می‌شوند.</w:t>
      </w:r>
    </w:p>
    <w:p>
      <w:pPr>
        <w:spacing w:after="28" w:line="216" w:lineRule="auto"/>
        <w:ind w:left="259"/>
        <w:jc w:val="left"/>
      </w:pPr>
      <w:r>
        <w:rPr>
          <w:rFonts w:ascii="Arial" w:hAnsi="Arial"/>
          <w:color w:val="525252"/>
          <w:sz w:val="13"/>
        </w:rPr>
        <w:t>Dietary supplements may fall into many categories, such as vitamins, minerals, herbs, botanicals, amino acids, or other substances that are sold as pills, powders, bars, packs, gels, drinks, or shakes.</w:t>
      </w:r>
    </w:p>
    <w:p>
      <w:pPr>
        <w:spacing w:after="20" w:line="223" w:lineRule="auto"/>
        <w:jc w:val="right"/>
        <w:bidi/>
      </w:pPr>
      <w:r>
        <w:rPr>
          <w:rFonts w:ascii="Arial" w:hAnsi="Arial"/>
          <w:sz w:val="16"/>
        </w:rPr>
        <w:t>411.15  توجه داشته باشید که محصولات بدنسازی، بهبود عملکرد و کاهش وزن به احتمال زیاد حاوی مواد اعلام نشده‌ای هستند که ممکن است به‌عنوان ترکیبات اختصاصی یا سیستم‌های تحویل روی برچسب ارائه شوند.</w:t>
      </w:r>
    </w:p>
    <w:p>
      <w:pPr>
        <w:spacing w:after="28" w:line="216" w:lineRule="auto"/>
        <w:ind w:left="259"/>
        <w:jc w:val="left"/>
      </w:pPr>
      <w:r>
        <w:rPr>
          <w:rFonts w:ascii="Arial" w:hAnsi="Arial"/>
          <w:color w:val="525252"/>
          <w:sz w:val="13"/>
        </w:rPr>
        <w:t>Be aware that bodybuilding, performance enhancement, and weight loss products most likely contain undeclared ingredients that may be presented as proprietary blends or delivery systems on the label.</w:t>
      </w:r>
    </w:p>
    <w:p>
      <w:pPr>
        <w:spacing w:after="20" w:line="223" w:lineRule="auto"/>
        <w:jc w:val="right"/>
        <w:bidi/>
      </w:pPr>
      <w:r>
        <w:rPr>
          <w:rFonts w:ascii="Arial" w:hAnsi="Arial"/>
          <w:sz w:val="16"/>
        </w:rPr>
        <w:t>411.16  این مخلوط‌ها مقدار هر یک از مواد را مشخص نمی‌کنند و خطر مصرف بیش از حد موادی مانند کراتین یا کافئین را افزایش می‌دهند.</w:t>
      </w:r>
    </w:p>
    <w:p>
      <w:pPr>
        <w:spacing w:after="28" w:line="216" w:lineRule="auto"/>
        <w:ind w:left="259"/>
        <w:jc w:val="left"/>
      </w:pPr>
      <w:r>
        <w:rPr>
          <w:rFonts w:ascii="Arial" w:hAnsi="Arial"/>
          <w:color w:val="525252"/>
          <w:sz w:val="13"/>
        </w:rPr>
        <w:t>These blends do not specify the amount of each ingredient and increase the risk of overdosing on ingredients, such as creatine or caffeine.</w:t>
      </w:r>
    </w:p>
    <w:p>
      <w:pPr>
        <w:spacing w:after="20" w:line="223" w:lineRule="auto"/>
        <w:jc w:val="right"/>
        <w:bidi/>
      </w:pPr>
      <w:r>
        <w:rPr>
          <w:rFonts w:ascii="Arial" w:hAnsi="Arial"/>
          <w:sz w:val="16"/>
        </w:rPr>
        <w:t>411.17  سازمان غذا و داروی مکمل‌ها را قبل از فروش آزمایش نمی‌کند.</w:t>
      </w:r>
    </w:p>
    <w:p>
      <w:pPr>
        <w:spacing w:after="28" w:line="216" w:lineRule="auto"/>
        <w:ind w:left="259"/>
        <w:jc w:val="left"/>
      </w:pPr>
      <w:r>
        <w:rPr>
          <w:rFonts w:ascii="Arial" w:hAnsi="Arial"/>
          <w:color w:val="525252"/>
          <w:sz w:val="13"/>
        </w:rPr>
        <w:t>The Food and Drug Administration does not test supplements before they are sold.</w:t>
      </w:r>
    </w:p>
    <w:p>
      <w:pPr>
        <w:spacing w:after="20" w:line="223" w:lineRule="auto"/>
        <w:jc w:val="right"/>
        <w:bidi/>
      </w:pPr>
      <w:r>
        <w:rPr>
          <w:rFonts w:ascii="Arial" w:hAnsi="Arial"/>
          <w:sz w:val="16"/>
        </w:rPr>
        <w:t>411.18  قبل از خرید محصولات مکمل به دنبال برچسب‌های تأیید/گواهی شخص ثالث باشید تا مطمئن شوید که از نظر خلوص و/یا کیفیت تست شده‌اند.</w:t>
      </w:r>
    </w:p>
    <w:p>
      <w:pPr>
        <w:spacing w:after="28" w:line="216" w:lineRule="auto"/>
        <w:ind w:left="259"/>
        <w:jc w:val="left"/>
      </w:pPr>
      <w:r>
        <w:rPr>
          <w:rFonts w:ascii="Arial" w:hAnsi="Arial"/>
          <w:color w:val="525252"/>
          <w:sz w:val="13"/>
        </w:rPr>
        <w:t>Look for third party verification/certification labels before purchasing supplement products to be sure they have been tested for purity and/or quality.</w:t>
      </w:r>
    </w:p>
    <w:p>
      <w:pPr>
        <w:spacing w:after="20" w:line="223" w:lineRule="auto"/>
        <w:jc w:val="right"/>
        <w:bidi/>
      </w:pPr>
      <w:r>
        <w:rPr>
          <w:rFonts w:ascii="Arial" w:hAnsi="Arial"/>
          <w:sz w:val="16"/>
        </w:rPr>
        <w:t>411.19  توجه: مسافرانی که در حال پرواز هستند باید قبل از مصرف مکمل‌ها با جراح پرواز خود مشورت کنند. با این حال، همه هوانوردان تشویق می‌شوند در مورد استفاده از مکمل‌ها با ارائه دهنده مراقبت‌های بهداشتی خود صحبت کنند.</w:t>
      </w:r>
    </w:p>
    <w:p>
      <w:pPr>
        <w:spacing w:after="28" w:line="216" w:lineRule="auto"/>
        <w:ind w:left="259"/>
        <w:jc w:val="left"/>
      </w:pPr>
      <w:r>
        <w:rPr>
          <w:rFonts w:ascii="Arial" w:hAnsi="Arial"/>
          <w:color w:val="525252"/>
          <w:sz w:val="13"/>
        </w:rPr>
        <w:t>Note: Airmen on flying status must consult with their flight surgeon before taking supplements; however, all Airmen are encouraged to discuss supplement use with their healthcare provider.</w:t>
      </w:r>
    </w:p>
    <w:p>
      <w:pPr>
        <w:spacing w:before="60" w:after="28"/>
        <w:jc w:val="right"/>
        <w:bidi/>
      </w:pPr>
      <w:r>
        <w:rPr>
          <w:b/>
          <w:color w:val="1F4D78"/>
          <w:sz w:val="18"/>
        </w:rPr>
        <w:t>22.17. هیدراتاسیون</w:t>
      </w:r>
    </w:p>
    <w:p>
      <w:pPr>
        <w:spacing w:after="20"/>
        <w:ind w:left="259"/>
        <w:jc w:val="left"/>
      </w:pPr>
      <w:r>
        <w:rPr>
          <w:color w:val="555555"/>
          <w:sz w:val="12"/>
        </w:rPr>
        <w:t>22.17. Hydration</w:t>
      </w:r>
    </w:p>
    <w:p>
      <w:pPr>
        <w:spacing w:after="20" w:line="223" w:lineRule="auto"/>
        <w:jc w:val="right"/>
        <w:bidi/>
      </w:pPr>
      <w:r>
        <w:rPr>
          <w:rFonts w:ascii="Arial" w:hAnsi="Arial"/>
          <w:sz w:val="16"/>
        </w:rPr>
        <w:t>411.21  بدن از حدود ۶۰ درصد آب تشکیل شده است.</w:t>
      </w:r>
    </w:p>
    <w:p>
      <w:pPr>
        <w:spacing w:after="28" w:line="216" w:lineRule="auto"/>
        <w:ind w:left="259"/>
        <w:jc w:val="left"/>
      </w:pPr>
      <w:r>
        <w:rPr>
          <w:rFonts w:ascii="Arial" w:hAnsi="Arial"/>
          <w:color w:val="525252"/>
          <w:sz w:val="13"/>
        </w:rPr>
        <w:t>The body is made up of about 60 percent water.</w:t>
      </w:r>
    </w:p>
    <w:p>
      <w:pPr>
        <w:spacing w:after="20" w:line="223" w:lineRule="auto"/>
        <w:jc w:val="right"/>
        <w:bidi/>
      </w:pPr>
      <w:r>
        <w:rPr>
          <w:rFonts w:ascii="Arial" w:hAnsi="Arial"/>
          <w:sz w:val="16"/>
        </w:rPr>
        <w:t>411.22  برای حفظ تعادل مایعات بدن، انتقال مواد مغذی، تنظیم دمای بدن، هضم غذا و کمک به بسیاری از عملکردهای دیگر بدن، نیاز به نوشیدن آب داریم.</w:t>
      </w:r>
    </w:p>
    <w:p>
      <w:pPr>
        <w:spacing w:after="28" w:line="216" w:lineRule="auto"/>
        <w:ind w:left="259"/>
        <w:jc w:val="left"/>
      </w:pPr>
      <w:r>
        <w:rPr>
          <w:rFonts w:ascii="Arial" w:hAnsi="Arial"/>
          <w:color w:val="525252"/>
          <w:sz w:val="13"/>
        </w:rPr>
        <w:t>We need to drink water to maintain the body’s fluid balance, transport nutrients, regulate body temperature, digest food, and assist many of the body’s other functions.</w:t>
      </w:r>
    </w:p>
    <w:p>
      <w:pPr>
        <w:spacing w:after="20" w:line="223" w:lineRule="auto"/>
        <w:jc w:val="right"/>
        <w:bidi/>
      </w:pPr>
      <w:r>
        <w:rPr>
          <w:rFonts w:ascii="Arial" w:hAnsi="Arial"/>
          <w:sz w:val="16"/>
        </w:rPr>
        <w:t>411.23  نیازهای مصرف بسته به نیازهای فردی، فعالیت بدنی، ترکیب بدن، شرایط محیطی و سایر شرایط سبک زندگی متفاوت است.</w:t>
      </w:r>
    </w:p>
    <w:p>
      <w:pPr>
        <w:spacing w:after="28" w:line="216" w:lineRule="auto"/>
        <w:ind w:left="259"/>
        <w:jc w:val="left"/>
      </w:pPr>
      <w:r>
        <w:rPr>
          <w:rFonts w:ascii="Arial" w:hAnsi="Arial"/>
          <w:color w:val="525252"/>
          <w:sz w:val="13"/>
        </w:rPr>
        <w:t>Consumption requirements differ depending on individual needs, physical activity, body composition, environmental conditions, and other lifestyle conditions.</w:t>
      </w:r>
    </w:p>
    <w:p>
      <w:pPr>
        <w:spacing w:after="20" w:line="223" w:lineRule="auto"/>
        <w:jc w:val="right"/>
        <w:bidi/>
      </w:pPr>
      <w:r>
        <w:rPr>
          <w:rFonts w:ascii="Arial" w:hAnsi="Arial"/>
          <w:sz w:val="16"/>
        </w:rPr>
        <w:t>411.24  به‌طور کلی، کل مصرف روزانه آب (آب، نوشیدنی و غذا) برای زنان ۲.۷ لیتر در روز و برای مردان ۳.۷ لیتر در روز است.</w:t>
      </w:r>
    </w:p>
    <w:p>
      <w:pPr>
        <w:spacing w:after="28" w:line="216" w:lineRule="auto"/>
        <w:ind w:left="259"/>
        <w:jc w:val="left"/>
      </w:pPr>
      <w:r>
        <w:rPr>
          <w:rFonts w:ascii="Arial" w:hAnsi="Arial"/>
          <w:color w:val="525252"/>
          <w:sz w:val="13"/>
        </w:rPr>
        <w:t>Generally, a total daily water consumption (water, beverages, and food) is 2.7 liters per day for women, and 3.7 liters per day for men.</w:t>
      </w:r>
    </w:p>
    <w:p>
      <w:pPr>
        <w:spacing w:after="20" w:line="223" w:lineRule="auto"/>
        <w:jc w:val="right"/>
        <w:bidi/>
      </w:pPr>
      <w:r>
        <w:rPr>
          <w:rFonts w:ascii="Arial" w:hAnsi="Arial"/>
          <w:sz w:val="16"/>
        </w:rPr>
        <w:t>411.25  کم آبی با از دست دادن مایعات بیش از دو درصد وزن بدن رخ می‌دهد و خطر عملکرد شناختی و ذهنی، بیماری گرمازدگی، خستگی و سکته را افزایش می‌دهد.</w:t>
      </w:r>
    </w:p>
    <w:p>
      <w:pPr>
        <w:spacing w:after="28" w:line="216" w:lineRule="auto"/>
        <w:ind w:left="259"/>
        <w:jc w:val="left"/>
      </w:pPr>
      <w:r>
        <w:rPr>
          <w:rFonts w:ascii="Arial" w:hAnsi="Arial"/>
          <w:color w:val="525252"/>
          <w:sz w:val="13"/>
        </w:rPr>
        <w:t>Dehydration occurs with fluid losses of greater than two percent of body weight and increases risk for cognitive and mental performance, heat illness, exhaustion, and stroke.</w:t>
      </w:r>
    </w:p>
    <w:p>
      <w:pPr>
        <w:spacing w:after="20" w:line="223" w:lineRule="auto"/>
        <w:jc w:val="right"/>
        <w:bidi/>
      </w:pPr>
      <w:r>
        <w:rPr>
          <w:rFonts w:ascii="Arial" w:hAnsi="Arial"/>
          <w:sz w:val="16"/>
        </w:rPr>
        <w:t>411.26  ورزش به‌طور قابل ملاحظه‌ای از دست دادن مایعات را افزایش می‌دهد. بنابراین، هیدراتاسیون قبل، حین و بعد از تمرینات شدید ضروری است.</w:t>
      </w:r>
    </w:p>
    <w:p>
      <w:pPr>
        <w:spacing w:after="28" w:line="216" w:lineRule="auto"/>
        <w:ind w:left="259"/>
        <w:jc w:val="left"/>
      </w:pPr>
      <w:r>
        <w:rPr>
          <w:rFonts w:ascii="Arial" w:hAnsi="Arial"/>
          <w:color w:val="525252"/>
          <w:sz w:val="13"/>
        </w:rPr>
        <w:t>Exercise substantially increases fluid loss; therefore, hydration before, during, and after intense workouts is critical.</w:t>
      </w:r>
    </w:p>
    <w:p>
      <w:pPr>
        <w:spacing w:after="20" w:line="223" w:lineRule="auto"/>
        <w:jc w:val="right"/>
        <w:bidi/>
      </w:pPr>
      <w:r>
        <w:rPr>
          <w:rFonts w:ascii="Arial" w:hAnsi="Arial"/>
          <w:sz w:val="16"/>
        </w:rPr>
        <w:t>411.27  توجه: مایعات بیش از حد می‌تواند منجر به هیدراتاسیون بیش از حد شود و در نتیجه علائمی مانند لرز، استفراغ، سرگیجه، بی نظمی، تغییر وضعیت ذهنی، خستگی، سردرد و حتی مرگ ایجاد شود.</w:t>
      </w:r>
    </w:p>
    <w:p>
      <w:pPr>
        <w:spacing w:after="28" w:line="216" w:lineRule="auto"/>
        <w:ind w:left="259"/>
        <w:jc w:val="left"/>
      </w:pPr>
      <w:r>
        <w:rPr>
          <w:rFonts w:ascii="Arial" w:hAnsi="Arial"/>
          <w:color w:val="525252"/>
          <w:sz w:val="13"/>
        </w:rPr>
        <w:t>Note: Excess fluid can lead to over-hydration, resulting in symptoms, such as chills, vomiting, dizziness, disorientation, altered mental status, fatigue, headache, and even death.</w:t>
      </w:r>
    </w:p>
    <w:p>
      <w:pPr>
        <w:spacing w:after="20" w:line="223" w:lineRule="auto"/>
        <w:jc w:val="right"/>
        <w:bidi/>
      </w:pPr>
      <w:r>
        <w:rPr>
          <w:rFonts w:ascii="Arial" w:hAnsi="Arial"/>
          <w:sz w:val="16"/>
        </w:rPr>
        <w:t>411.28  سعی کنید مایعات را به بیش از ۶ فنجان در ساعت و ۴۸ فنجان در روز محدود کنید.</w:t>
      </w:r>
    </w:p>
    <w:p>
      <w:pPr>
        <w:spacing w:after="28" w:line="216" w:lineRule="auto"/>
        <w:ind w:left="259"/>
        <w:jc w:val="left"/>
      </w:pPr>
      <w:r>
        <w:rPr>
          <w:rFonts w:ascii="Arial" w:hAnsi="Arial"/>
          <w:color w:val="525252"/>
          <w:sz w:val="13"/>
        </w:rPr>
        <w:t>Try to limit fluids to no more than 6 cups an hour and 48 cups a day.</w:t>
      </w:r>
    </w:p>
    <w:p>
      <w:pPr>
        <w:spacing w:after="20" w:line="223" w:lineRule="auto"/>
        <w:jc w:val="right"/>
        <w:bidi/>
      </w:pPr>
      <w:r>
        <w:rPr>
          <w:rFonts w:ascii="Arial" w:hAnsi="Arial"/>
          <w:sz w:val="16"/>
        </w:rPr>
        <w:t>411.29  نکته کلیدی در مصرف مایعات، جایگزینی از دست دادن و نظارت بر علائم و نشانه‌های کم/بیش از حد هیدراتاسیون است.</w:t>
      </w:r>
    </w:p>
    <w:p>
      <w:pPr>
        <w:spacing w:after="28" w:line="216" w:lineRule="auto"/>
        <w:ind w:left="259"/>
        <w:jc w:val="left"/>
      </w:pPr>
      <w:r>
        <w:rPr>
          <w:rFonts w:ascii="Arial" w:hAnsi="Arial"/>
          <w:color w:val="525252"/>
          <w:sz w:val="13"/>
        </w:rPr>
        <w:t>The key with fluid intake is to replace losses and monitor signs and symptoms of under/over hydration.</w:t>
      </w:r>
    </w:p>
    <w:p>
      <w:pPr>
        <w:spacing w:after="20" w:line="223" w:lineRule="auto"/>
        <w:jc w:val="right"/>
        <w:bidi/>
      </w:pPr>
      <w:r>
        <w:rPr>
          <w:rFonts w:ascii="Arial" w:hAnsi="Arial"/>
          <w:sz w:val="16"/>
        </w:rPr>
        <w:t>411.30  نوشیدنی‌های ورزشی.</w:t>
      </w:r>
    </w:p>
    <w:p>
      <w:pPr>
        <w:spacing w:after="28" w:line="216" w:lineRule="auto"/>
        <w:ind w:left="259"/>
        <w:jc w:val="left"/>
      </w:pPr>
      <w:r>
        <w:rPr>
          <w:rFonts w:ascii="Arial" w:hAnsi="Arial"/>
          <w:color w:val="525252"/>
          <w:sz w:val="13"/>
        </w:rPr>
        <w:t>Sports Drinks.</w:t>
      </w:r>
    </w:p>
    <w:p>
      <w:pPr>
        <w:spacing w:after="20" w:line="223" w:lineRule="auto"/>
        <w:jc w:val="right"/>
        <w:bidi/>
      </w:pPr>
      <w:r>
        <w:rPr>
          <w:rFonts w:ascii="Arial" w:hAnsi="Arial"/>
          <w:sz w:val="16"/>
        </w:rPr>
        <w:t>411.31  در حالی که نوشیدن آب به‌طور کلی برای هیدراته ماندن بهترین است، هنگام انجام تمرینات طولانی مدت یا فعالیت بدنی، ممکن است یک نوشیدنی ورزشی برای کمک به جایگزینی الکترولیت‌ها و کربوهیدرات‌ها ترجیح داده شود.</w:t>
      </w:r>
    </w:p>
    <w:p>
      <w:pPr>
        <w:spacing w:after="28" w:line="216" w:lineRule="auto"/>
        <w:ind w:left="259"/>
        <w:jc w:val="left"/>
      </w:pPr>
      <w:r>
        <w:rPr>
          <w:rFonts w:ascii="Arial" w:hAnsi="Arial"/>
          <w:color w:val="525252"/>
          <w:sz w:val="13"/>
        </w:rPr>
        <w:t>While drinking water is generally best for remaining hydrated, when engaging in prolonged exercise or physical exertion, a sports drink may be preferred to help replace electrolytes and carbohydrates.</w:t>
      </w:r>
    </w:p>
    <w:p>
      <w:pPr>
        <w:spacing w:after="20" w:line="223" w:lineRule="auto"/>
        <w:jc w:val="right"/>
        <w:bidi/>
      </w:pPr>
      <w:r>
        <w:rPr>
          <w:rFonts w:ascii="Arial" w:hAnsi="Arial"/>
          <w:sz w:val="16"/>
        </w:rPr>
        <w:t>411.32  نوشیدنی‌های ورزشی یا نوشیدنی‌های کربوهیدرات-الکترولیتی که برای آبرسانی طراحی شده‌اند، عموما حاوی مخلوطی از کربوهیدرات، سدیم و پتاسیم هستند که نشان داده شده است که عملکرد ورزش را بهبود می‌بخشد.</w:t>
      </w:r>
    </w:p>
    <w:p>
      <w:pPr>
        <w:spacing w:after="28" w:line="216" w:lineRule="auto"/>
        <w:ind w:left="259"/>
        <w:jc w:val="left"/>
      </w:pPr>
      <w:r>
        <w:rPr>
          <w:rFonts w:ascii="Arial" w:hAnsi="Arial"/>
          <w:color w:val="525252"/>
          <w:sz w:val="13"/>
        </w:rPr>
        <w:t>Sports drinks, or carbohydrate-electrolyte beverages that are designed to hydrate, generally contain a mixture of carbohydrates, sodium, and potassium, which have been shown to improve exercise performance.</w:t>
      </w:r>
    </w:p>
    <w:p>
      <w:r>
        <w:br w:type="page"/>
      </w:r>
    </w:p>
    <w:p>
      <w:pPr>
        <w:spacing w:after="60"/>
        <w:jc w:val="right"/>
        <w:bidi/>
      </w:pPr>
      <w:r>
        <w:rPr>
          <w:rFonts w:ascii="Arial" w:hAnsi="Arial"/>
          <w:b/>
          <w:color w:val="1F4D78"/>
          <w:sz w:val="19"/>
        </w:rPr>
        <w:t>هفتهٔ 412  |  صفحهٔ منبع: 428</w:t>
      </w:r>
    </w:p>
    <w:p>
      <w:pPr>
        <w:spacing w:after="20" w:line="223" w:lineRule="auto"/>
        <w:jc w:val="right"/>
        <w:bidi/>
      </w:pPr>
      <w:r>
        <w:rPr>
          <w:rFonts w:ascii="Arial" w:hAnsi="Arial"/>
          <w:sz w:val="16"/>
        </w:rPr>
        <w:t>412.01  کافئین.</w:t>
      </w:r>
    </w:p>
    <w:p>
      <w:pPr>
        <w:spacing w:after="28" w:line="216" w:lineRule="auto"/>
        <w:ind w:left="259"/>
        <w:jc w:val="left"/>
      </w:pPr>
      <w:r>
        <w:rPr>
          <w:rFonts w:ascii="Arial" w:hAnsi="Arial"/>
          <w:color w:val="525252"/>
          <w:sz w:val="13"/>
        </w:rPr>
        <w:t>Caffeine.</w:t>
      </w:r>
    </w:p>
    <w:p>
      <w:pPr>
        <w:spacing w:after="20" w:line="223" w:lineRule="auto"/>
        <w:jc w:val="right"/>
        <w:bidi/>
      </w:pPr>
      <w:r>
        <w:rPr>
          <w:rFonts w:ascii="Arial" w:hAnsi="Arial"/>
          <w:sz w:val="16"/>
        </w:rPr>
        <w:t>412.02  کافئین هیدراته نمی‌کند.</w:t>
      </w:r>
    </w:p>
    <w:p>
      <w:pPr>
        <w:spacing w:after="28" w:line="216" w:lineRule="auto"/>
        <w:ind w:left="259"/>
        <w:jc w:val="left"/>
      </w:pPr>
      <w:r>
        <w:rPr>
          <w:rFonts w:ascii="Arial" w:hAnsi="Arial"/>
          <w:color w:val="525252"/>
          <w:sz w:val="13"/>
        </w:rPr>
        <w:t>Caffeine does not hydrate.</w:t>
      </w:r>
    </w:p>
    <w:p>
      <w:pPr>
        <w:spacing w:after="20" w:line="223" w:lineRule="auto"/>
        <w:jc w:val="right"/>
        <w:bidi/>
      </w:pPr>
      <w:r>
        <w:rPr>
          <w:rFonts w:ascii="Arial" w:hAnsi="Arial"/>
          <w:sz w:val="16"/>
        </w:rPr>
        <w:t>412.03  کافئین محرکی است که در انواع محصولات از جمله قهوه، چای، نوشابه، نوشیدنی‌های انرژی زا، مکمل‌های غذایی، داروهای بدون نسخه و برخی غذاها وجود دارد.</w:t>
      </w:r>
    </w:p>
    <w:p>
      <w:pPr>
        <w:spacing w:after="28" w:line="216" w:lineRule="auto"/>
        <w:ind w:left="259"/>
        <w:jc w:val="left"/>
      </w:pPr>
      <w:r>
        <w:rPr>
          <w:rFonts w:ascii="Arial" w:hAnsi="Arial"/>
          <w:color w:val="525252"/>
          <w:sz w:val="13"/>
        </w:rPr>
        <w:t>Caffeine is a stimulant present in a variety of products including coffee, tea, soda, energy drinks, dietary supplements, over-the-counter medications, and some foods.</w:t>
      </w:r>
    </w:p>
    <w:p>
      <w:pPr>
        <w:spacing w:after="20" w:line="223" w:lineRule="auto"/>
        <w:jc w:val="right"/>
        <w:bidi/>
      </w:pPr>
      <w:r>
        <w:rPr>
          <w:rFonts w:ascii="Arial" w:hAnsi="Arial"/>
          <w:sz w:val="16"/>
        </w:rPr>
        <w:t>412.04  مصرف کافئین در حد اعتدال نشان داده است که عملکرد شناختی را در افراد بهبود می‌بخشد.</w:t>
      </w:r>
    </w:p>
    <w:p>
      <w:pPr>
        <w:spacing w:after="28" w:line="216" w:lineRule="auto"/>
        <w:ind w:left="259"/>
        <w:jc w:val="left"/>
      </w:pPr>
      <w:r>
        <w:rPr>
          <w:rFonts w:ascii="Arial" w:hAnsi="Arial"/>
          <w:color w:val="525252"/>
          <w:sz w:val="13"/>
        </w:rPr>
        <w:t>Caffeine used in moderation has been shown to improve cognitive performance in individuals.</w:t>
      </w:r>
    </w:p>
    <w:p>
      <w:pPr>
        <w:spacing w:after="20" w:line="223" w:lineRule="auto"/>
        <w:jc w:val="right"/>
        <w:bidi/>
      </w:pPr>
      <w:r>
        <w:rPr>
          <w:rFonts w:ascii="Arial" w:hAnsi="Arial"/>
          <w:sz w:val="16"/>
        </w:rPr>
        <w:t>412.05  یک فنجان قهوه معمولا ۱۰۰ میلی گرم کافئین دارد.</w:t>
      </w:r>
    </w:p>
    <w:p>
      <w:pPr>
        <w:spacing w:after="28" w:line="216" w:lineRule="auto"/>
        <w:ind w:left="259"/>
        <w:jc w:val="left"/>
      </w:pPr>
      <w:r>
        <w:rPr>
          <w:rFonts w:ascii="Arial" w:hAnsi="Arial"/>
          <w:color w:val="525252"/>
          <w:sz w:val="13"/>
        </w:rPr>
        <w:t>A cup of coffee typically has 100 milligrams of caffeine.</w:t>
      </w:r>
    </w:p>
    <w:p>
      <w:pPr>
        <w:spacing w:after="20" w:line="223" w:lineRule="auto"/>
        <w:jc w:val="right"/>
        <w:bidi/>
      </w:pPr>
      <w:r>
        <w:rPr>
          <w:rFonts w:ascii="Arial" w:hAnsi="Arial"/>
          <w:sz w:val="16"/>
        </w:rPr>
        <w:t>412.06  با این حال، کافئین ماهیتی اسیدی دارد و اگر در دوزهای بالا مصرف شود، مضر است.</w:t>
      </w:r>
    </w:p>
    <w:p>
      <w:pPr>
        <w:spacing w:after="28" w:line="216" w:lineRule="auto"/>
        <w:ind w:left="259"/>
        <w:jc w:val="left"/>
      </w:pPr>
      <w:r>
        <w:rPr>
          <w:rFonts w:ascii="Arial" w:hAnsi="Arial"/>
          <w:color w:val="525252"/>
          <w:sz w:val="13"/>
        </w:rPr>
        <w:t>However, caffeine is of an acidic nature and can be harmful if consumed in high doses.</w:t>
      </w:r>
    </w:p>
    <w:p>
      <w:pPr>
        <w:spacing w:after="20" w:line="223" w:lineRule="auto"/>
        <w:jc w:val="right"/>
        <w:bidi/>
      </w:pPr>
      <w:r>
        <w:rPr>
          <w:rFonts w:ascii="Arial" w:hAnsi="Arial"/>
          <w:sz w:val="16"/>
        </w:rPr>
        <w:t>412.07  مصرف دوزهای زیاد کافئین، تقریبا ۴۰۰ تا ۵۰۰ میلی گرم در یک زمان، می‌تواند منجر به یک بیماری جدی به نام "مسمومیت با کافئین" شود که می‌تواند منجر به حالت تهوع، استفراغ، بی قراری، عصبی بودن، سردرد، عدم تعادل الکترولیت‌ها یا بدتر شدن علائم زندگی شود.</w:t>
      </w:r>
    </w:p>
    <w:p>
      <w:pPr>
        <w:spacing w:after="28" w:line="216" w:lineRule="auto"/>
        <w:ind w:left="259"/>
        <w:jc w:val="left"/>
      </w:pPr>
      <w:r>
        <w:rPr>
          <w:rFonts w:ascii="Arial" w:hAnsi="Arial"/>
          <w:color w:val="525252"/>
          <w:sz w:val="13"/>
        </w:rPr>
        <w:t>Consuming large doses of caffeine, roughly 400-500 milligrams at one time, can result in a serious condition known as “caffeine intoxication” which can lead to nausea, vomiting, agitation, nervousness, headache, electrolyte imbalances, or worse life-threatening symptoms.</w:t>
      </w:r>
    </w:p>
    <w:p>
      <w:pPr>
        <w:spacing w:after="20" w:line="223" w:lineRule="auto"/>
        <w:jc w:val="right"/>
        <w:bidi/>
      </w:pPr>
      <w:r>
        <w:rPr>
          <w:rFonts w:ascii="Arial" w:hAnsi="Arial"/>
          <w:sz w:val="16"/>
        </w:rPr>
        <w:t>412.08  نوشیدنی‌های انرژی زا.</w:t>
      </w:r>
    </w:p>
    <w:p>
      <w:pPr>
        <w:spacing w:after="28" w:line="216" w:lineRule="auto"/>
        <w:ind w:left="259"/>
        <w:jc w:val="left"/>
      </w:pPr>
      <w:r>
        <w:rPr>
          <w:rFonts w:ascii="Arial" w:hAnsi="Arial"/>
          <w:color w:val="525252"/>
          <w:sz w:val="13"/>
        </w:rPr>
        <w:t>Energy Drinks.</w:t>
      </w:r>
    </w:p>
    <w:p>
      <w:pPr>
        <w:spacing w:after="20" w:line="223" w:lineRule="auto"/>
        <w:jc w:val="right"/>
        <w:bidi/>
      </w:pPr>
      <w:r>
        <w:rPr>
          <w:rFonts w:ascii="Arial" w:hAnsi="Arial"/>
          <w:sz w:val="16"/>
        </w:rPr>
        <w:t>412.09  نوشیدنی‌های انرژی زا برای آبرسانی نیستند.</w:t>
      </w:r>
    </w:p>
    <w:p>
      <w:pPr>
        <w:spacing w:after="28" w:line="216" w:lineRule="auto"/>
        <w:ind w:left="259"/>
        <w:jc w:val="left"/>
      </w:pPr>
      <w:r>
        <w:rPr>
          <w:rFonts w:ascii="Arial" w:hAnsi="Arial"/>
          <w:color w:val="525252"/>
          <w:sz w:val="13"/>
        </w:rPr>
        <w:t>Energy drinks are not meant to hydrate.</w:t>
      </w:r>
    </w:p>
    <w:p>
      <w:pPr>
        <w:spacing w:after="20" w:line="223" w:lineRule="auto"/>
        <w:jc w:val="right"/>
        <w:bidi/>
      </w:pPr>
      <w:r>
        <w:rPr>
          <w:rFonts w:ascii="Arial" w:hAnsi="Arial"/>
          <w:sz w:val="16"/>
        </w:rPr>
        <w:t>412.10  تأثیر نوشیدنی‌های انرژی زا بر عملکرد ورزشی متناقض است.</w:t>
      </w:r>
    </w:p>
    <w:p>
      <w:pPr>
        <w:spacing w:after="28" w:line="216" w:lineRule="auto"/>
        <w:ind w:left="259"/>
        <w:jc w:val="left"/>
      </w:pPr>
      <w:r>
        <w:rPr>
          <w:rFonts w:ascii="Arial" w:hAnsi="Arial"/>
          <w:color w:val="525252"/>
          <w:sz w:val="13"/>
        </w:rPr>
        <w:t>The effect of energy drinks on athletic performance is inconsistent.</w:t>
      </w:r>
    </w:p>
    <w:p>
      <w:pPr>
        <w:spacing w:after="20" w:line="223" w:lineRule="auto"/>
        <w:jc w:val="right"/>
        <w:bidi/>
      </w:pPr>
      <w:r>
        <w:rPr>
          <w:rFonts w:ascii="Arial" w:hAnsi="Arial"/>
          <w:sz w:val="16"/>
        </w:rPr>
        <w:t>412.11  یکی از مواردی که در نوشیدنی‌های انرژی‌زا می‌بینید، هشدارهای ناشی از استفاده از محرک‌هایی مانند کافئین، عصاره چای سبز، عصاره دانه گوارانا، یربا میت، اقاقیا ریگیدولا، تورین، جینسینگ یا سایر ترکیبات اختصاصی تقویت‌کننده انرژی است.</w:t>
      </w:r>
    </w:p>
    <w:p>
      <w:pPr>
        <w:spacing w:after="28" w:line="216" w:lineRule="auto"/>
        <w:ind w:left="259"/>
        <w:jc w:val="left"/>
      </w:pPr>
      <w:r>
        <w:rPr>
          <w:rFonts w:ascii="Arial" w:hAnsi="Arial"/>
          <w:color w:val="525252"/>
          <w:sz w:val="13"/>
        </w:rPr>
        <w:t>One thing you will find with energy drinks are warnings due to the use of stimulants, such as caffeine, green tea extract, guarana seed extract, yerba mate, acacia rigidula, taurine, ginseng, or other proprietary energy boost blends.</w:t>
      </w:r>
    </w:p>
    <w:p>
      <w:pPr>
        <w:spacing w:after="20" w:line="223" w:lineRule="auto"/>
        <w:jc w:val="right"/>
        <w:bidi/>
      </w:pPr>
      <w:r>
        <w:rPr>
          <w:rFonts w:ascii="Arial" w:hAnsi="Arial"/>
          <w:sz w:val="16"/>
        </w:rPr>
        <w:t>412.12  مخلوط‌های اختصاصی می‌توانند حاوی ترکیبات جدید و آزمایش‌نشده، همراه با مواد گیاهی، اسیدهای آمینه، پروتئین‌ها، پپتیدها یا عصاره‌ها باشند.</w:t>
      </w:r>
    </w:p>
    <w:p>
      <w:pPr>
        <w:spacing w:after="28" w:line="216" w:lineRule="auto"/>
        <w:ind w:left="259"/>
        <w:jc w:val="left"/>
      </w:pPr>
      <w:r>
        <w:rPr>
          <w:rFonts w:ascii="Arial" w:hAnsi="Arial"/>
          <w:color w:val="525252"/>
          <w:sz w:val="13"/>
        </w:rPr>
        <w:t>Proprietary blends can contain novel, untested ingredients, along with botanicals, amino acids, proteins, peptides, or extracts.</w:t>
      </w:r>
    </w:p>
    <w:p>
      <w:pPr>
        <w:spacing w:after="20" w:line="223" w:lineRule="auto"/>
        <w:jc w:val="right"/>
        <w:bidi/>
      </w:pPr>
      <w:r>
        <w:rPr>
          <w:rFonts w:ascii="Arial" w:hAnsi="Arial"/>
          <w:sz w:val="16"/>
        </w:rPr>
        <w:t>412.13  علاوه بر این، ویتامین‌ها و مواد معدنی ممکن است اضافه شود که منجر به مصرف بیش از حد می‌شود.</w:t>
      </w:r>
    </w:p>
    <w:p>
      <w:pPr>
        <w:spacing w:after="28" w:line="216" w:lineRule="auto"/>
        <w:ind w:left="259"/>
        <w:jc w:val="left"/>
      </w:pPr>
      <w:r>
        <w:rPr>
          <w:rFonts w:ascii="Arial" w:hAnsi="Arial"/>
          <w:color w:val="525252"/>
          <w:sz w:val="13"/>
        </w:rPr>
        <w:t>Additionally, vitamins and minerals may be added, leading to excessive intakes.</w:t>
      </w:r>
    </w:p>
    <w:p>
      <w:pPr>
        <w:spacing w:after="20" w:line="223" w:lineRule="auto"/>
        <w:jc w:val="right"/>
        <w:bidi/>
      </w:pPr>
      <w:r>
        <w:rPr>
          <w:rFonts w:ascii="Arial" w:hAnsi="Arial"/>
          <w:sz w:val="16"/>
        </w:rPr>
        <w:t>412.14  ایمن‌ترین راه حل برای هیدراتاسیون، اجتناب از مکمل‌های انرژی و یادگیری بیشتر در مورد الکترولیت‌ها و استراتژی‌های سوخت‌رسانی کربوهیدرات است تا تصمیم بگیرید کدام نوشیدنی ورزشی (نه نوشیدنی انرژی‌زا) بهترین انتخاب است.</w:t>
      </w:r>
    </w:p>
    <w:p>
      <w:pPr>
        <w:spacing w:after="28" w:line="216" w:lineRule="auto"/>
        <w:ind w:left="259"/>
        <w:jc w:val="left"/>
      </w:pPr>
      <w:r>
        <w:rPr>
          <w:rFonts w:ascii="Arial" w:hAnsi="Arial"/>
          <w:color w:val="525252"/>
          <w:sz w:val="13"/>
        </w:rPr>
        <w:t>The safest solution for hydration is to avoid energy supplements and learn more about electrolytes and carbohydrate fueling strategies to decide which sport drink (not energy drink) is the best choice.</w:t>
      </w:r>
    </w:p>
    <w:p>
      <w:pPr>
        <w:spacing w:after="20" w:line="223" w:lineRule="auto"/>
        <w:jc w:val="right"/>
        <w:bidi/>
      </w:pPr>
      <w:r>
        <w:rPr>
          <w:rFonts w:ascii="Arial" w:hAnsi="Arial"/>
          <w:sz w:val="16"/>
        </w:rPr>
        <w:t>412.15  الکل.</w:t>
      </w:r>
    </w:p>
    <w:p>
      <w:pPr>
        <w:spacing w:after="28" w:line="216" w:lineRule="auto"/>
        <w:ind w:left="259"/>
        <w:jc w:val="left"/>
      </w:pPr>
      <w:r>
        <w:rPr>
          <w:rFonts w:ascii="Arial" w:hAnsi="Arial"/>
          <w:color w:val="525252"/>
          <w:sz w:val="13"/>
        </w:rPr>
        <w:t>Alcohol.</w:t>
      </w:r>
    </w:p>
    <w:p>
      <w:pPr>
        <w:spacing w:after="20" w:line="223" w:lineRule="auto"/>
        <w:jc w:val="right"/>
        <w:bidi/>
      </w:pPr>
      <w:r>
        <w:rPr>
          <w:rFonts w:ascii="Arial" w:hAnsi="Arial"/>
          <w:sz w:val="16"/>
        </w:rPr>
        <w:t>412.16  الکل هیدراته نمی‌کند.</w:t>
      </w:r>
    </w:p>
    <w:p>
      <w:pPr>
        <w:spacing w:after="28" w:line="216" w:lineRule="auto"/>
        <w:ind w:left="259"/>
        <w:jc w:val="left"/>
      </w:pPr>
      <w:r>
        <w:rPr>
          <w:rFonts w:ascii="Arial" w:hAnsi="Arial"/>
          <w:color w:val="525252"/>
          <w:sz w:val="13"/>
        </w:rPr>
        <w:t>Alcohol does not hydrate.</w:t>
      </w:r>
    </w:p>
    <w:p>
      <w:pPr>
        <w:spacing w:after="20" w:line="223" w:lineRule="auto"/>
        <w:jc w:val="right"/>
        <w:bidi/>
      </w:pPr>
      <w:r>
        <w:rPr>
          <w:rFonts w:ascii="Arial" w:hAnsi="Arial"/>
          <w:sz w:val="16"/>
        </w:rPr>
        <w:t>412.17  هر چیزی بیش از حد ایده خوبی نیست، به خصوص برای الکل.</w:t>
      </w:r>
    </w:p>
    <w:p>
      <w:pPr>
        <w:spacing w:after="28" w:line="216" w:lineRule="auto"/>
        <w:ind w:left="259"/>
        <w:jc w:val="left"/>
      </w:pPr>
      <w:r>
        <w:rPr>
          <w:rFonts w:ascii="Arial" w:hAnsi="Arial"/>
          <w:color w:val="525252"/>
          <w:sz w:val="13"/>
        </w:rPr>
        <w:t>Anything in excess is not a good idea, particularly for alcohol.</w:t>
      </w:r>
    </w:p>
    <w:p>
      <w:pPr>
        <w:spacing w:after="20" w:line="223" w:lineRule="auto"/>
        <w:jc w:val="right"/>
        <w:bidi/>
      </w:pPr>
      <w:r>
        <w:rPr>
          <w:rFonts w:ascii="Arial" w:hAnsi="Arial"/>
          <w:sz w:val="16"/>
        </w:rPr>
        <w:t>412.18  دستورالعمل‌های غذایی برای آمریکایی‌ها توصیه می‌کند که الکل را به یک نوشیدنی در روز برای زنان و دو نوشیدنی در روز برای مردان محدود کنید.</w:t>
      </w:r>
    </w:p>
    <w:p>
      <w:pPr>
        <w:spacing w:after="28" w:line="216" w:lineRule="auto"/>
        <w:ind w:left="259"/>
        <w:jc w:val="left"/>
      </w:pPr>
      <w:r>
        <w:rPr>
          <w:rFonts w:ascii="Arial" w:hAnsi="Arial"/>
          <w:color w:val="525252"/>
          <w:sz w:val="13"/>
        </w:rPr>
        <w:t>The Dietary Guidelines for Americans advise limiting alcohol to one drink per day for women and two drinks per day for men.</w:t>
      </w:r>
    </w:p>
    <w:p>
      <w:pPr>
        <w:spacing w:after="20" w:line="223" w:lineRule="auto"/>
        <w:jc w:val="right"/>
        <w:bidi/>
      </w:pPr>
      <w:r>
        <w:rPr>
          <w:rFonts w:ascii="Arial" w:hAnsi="Arial"/>
          <w:sz w:val="16"/>
        </w:rPr>
        <w:t>412.19  اندازه سرو برای آبجو ۱۲ اونس، شراب پنج اونس، و ۸۰ الکل مقطر ثابت ۱.۵ اونس است.</w:t>
      </w:r>
    </w:p>
    <w:p>
      <w:pPr>
        <w:spacing w:after="28" w:line="216" w:lineRule="auto"/>
        <w:ind w:left="259"/>
        <w:jc w:val="left"/>
      </w:pPr>
      <w:r>
        <w:rPr>
          <w:rFonts w:ascii="Arial" w:hAnsi="Arial"/>
          <w:color w:val="525252"/>
          <w:sz w:val="13"/>
        </w:rPr>
        <w:t>The serving size for beer is 12 ounces, wine is five ounces, and 80 proof distilled spirits is 1.5 ounces.</w:t>
      </w:r>
    </w:p>
    <w:p>
      <w:pPr>
        <w:spacing w:after="20" w:line="223" w:lineRule="auto"/>
        <w:jc w:val="right"/>
        <w:bidi/>
      </w:pPr>
      <w:r>
        <w:rPr>
          <w:rFonts w:ascii="Arial" w:hAnsi="Arial"/>
          <w:sz w:val="16"/>
        </w:rPr>
        <w:t>412.20  متوسط ​​وعده الکل به‌طور کلی حدود ۱۵۰ کالری دارد و می‌تواند نقش مهمی در مصرف کالری در رژیم غذایی داشته باشد، بدون اینکه ارزش غذایی داشته باشد.</w:t>
      </w:r>
    </w:p>
    <w:p>
      <w:pPr>
        <w:spacing w:after="28" w:line="216" w:lineRule="auto"/>
        <w:ind w:left="259"/>
        <w:jc w:val="left"/>
      </w:pPr>
      <w:r>
        <w:rPr>
          <w:rFonts w:ascii="Arial" w:hAnsi="Arial"/>
          <w:color w:val="525252"/>
          <w:sz w:val="13"/>
        </w:rPr>
        <w:t>The average serving of alcohol generally has about 150 calories and can be a significant contributor to caloric consumption in the diet, with no nutritional value.</w:t>
      </w:r>
    </w:p>
    <w:p>
      <w:pPr>
        <w:spacing w:after="20" w:line="223" w:lineRule="auto"/>
        <w:jc w:val="right"/>
        <w:bidi/>
      </w:pPr>
      <w:r>
        <w:rPr>
          <w:rFonts w:ascii="Arial" w:hAnsi="Arial"/>
          <w:sz w:val="16"/>
        </w:rPr>
        <w:t>412.21  همیشه هنگام مصرف الکل قضاوت خوبی داشته باشید، خواه در قوانین عمومی یا دستورات نظامی محدود شده باشد یا نباشد.</w:t>
      </w:r>
    </w:p>
    <w:p>
      <w:pPr>
        <w:spacing w:after="28" w:line="216" w:lineRule="auto"/>
        <w:ind w:left="259"/>
        <w:jc w:val="left"/>
      </w:pPr>
      <w:r>
        <w:rPr>
          <w:rFonts w:ascii="Arial" w:hAnsi="Arial"/>
          <w:color w:val="525252"/>
          <w:sz w:val="13"/>
        </w:rPr>
        <w:t>Always exercise good judgment when consuming alcohol, whether or not otherwise restricted by public law or military directive.</w:t>
      </w:r>
    </w:p>
    <w:p>
      <w:pPr>
        <w:spacing w:after="20" w:line="223" w:lineRule="auto"/>
        <w:jc w:val="right"/>
        <w:bidi/>
      </w:pPr>
      <w:r>
        <w:rPr>
          <w:rFonts w:ascii="Arial" w:hAnsi="Arial"/>
          <w:sz w:val="16"/>
        </w:rPr>
        <w:t>412.22  الکل ممکن است منجر به افزایش وزن، افزایش خطر ابتلا به بیماری‌های مزمن، پوکی استخوان، آسیب‌های ناشی از استرس، و اختلال عملکرد شناختی کوتاه‌مدت و بلندمدت شود.</w:t>
      </w:r>
    </w:p>
    <w:p>
      <w:pPr>
        <w:spacing w:after="28" w:line="216" w:lineRule="auto"/>
        <w:ind w:left="259"/>
        <w:jc w:val="left"/>
      </w:pPr>
      <w:r>
        <w:rPr>
          <w:rFonts w:ascii="Arial" w:hAnsi="Arial"/>
          <w:color w:val="525252"/>
          <w:sz w:val="13"/>
        </w:rPr>
        <w:t>Alcohol may lead to excess weight gain, increased risk for chronic diseases, osteoporosis, stress injuries, and impaired short- and long-term cognitive function.</w:t>
      </w:r>
    </w:p>
    <w:p>
      <w:pPr>
        <w:spacing w:after="20" w:line="223" w:lineRule="auto"/>
        <w:jc w:val="right"/>
        <w:bidi/>
      </w:pPr>
      <w:r>
        <w:rPr>
          <w:rFonts w:ascii="Arial" w:hAnsi="Arial"/>
          <w:sz w:val="16"/>
        </w:rPr>
        <w:t>412.23  نوشیدن مقادیر زیاد الکل می‌تواند برای سلامتی مضر باشد و ممکن است خطر ابتلا به فشار خون بالا، سیروز کبدی و انواع مختلفی از سرطان را افزایش دهد.</w:t>
      </w:r>
    </w:p>
    <w:p>
      <w:pPr>
        <w:spacing w:after="28" w:line="216" w:lineRule="auto"/>
        <w:ind w:left="259"/>
        <w:jc w:val="left"/>
      </w:pPr>
      <w:r>
        <w:rPr>
          <w:rFonts w:ascii="Arial" w:hAnsi="Arial"/>
          <w:color w:val="525252"/>
          <w:sz w:val="13"/>
        </w:rPr>
        <w:t>Drinking excessive amounts of alcohol can be harmful to your health and may increase the risk for high blood pressure, liver cirrhosis, and several forms of cancer.</w:t>
      </w:r>
    </w:p>
    <w:p>
      <w:r>
        <w:br w:type="page"/>
      </w:r>
    </w:p>
    <w:p>
      <w:pPr>
        <w:spacing w:after="60"/>
        <w:jc w:val="right"/>
        <w:bidi/>
      </w:pPr>
      <w:r>
        <w:rPr>
          <w:rFonts w:ascii="Arial" w:hAnsi="Arial"/>
          <w:b/>
          <w:color w:val="1F4D78"/>
          <w:sz w:val="19"/>
        </w:rPr>
        <w:t>هفتهٔ 413  |  صفحهٔ منبع: 429</w:t>
      </w:r>
    </w:p>
    <w:p>
      <w:pPr>
        <w:spacing w:before="60" w:after="28"/>
        <w:jc w:val="right"/>
        <w:bidi/>
      </w:pPr>
      <w:r>
        <w:rPr>
          <w:b/>
          <w:color w:val="1F4D78"/>
          <w:sz w:val="18"/>
        </w:rPr>
        <w:t>بخش 22D - استفاده یا سوء استفاده از مواد</w:t>
      </w:r>
    </w:p>
    <w:p>
      <w:pPr>
        <w:spacing w:after="20"/>
        <w:ind w:left="259"/>
        <w:jc w:val="left"/>
      </w:pPr>
      <w:r>
        <w:rPr>
          <w:color w:val="555555"/>
          <w:sz w:val="12"/>
        </w:rPr>
        <w:t>Section 22D—Substance Use or Abuse</w:t>
      </w:r>
    </w:p>
    <w:p>
      <w:pPr>
        <w:spacing w:before="60" w:after="28"/>
        <w:jc w:val="right"/>
        <w:bidi/>
      </w:pPr>
      <w:r>
        <w:rPr>
          <w:b/>
          <w:color w:val="1F4D78"/>
          <w:sz w:val="18"/>
        </w:rPr>
        <w:t>22.18. نیروی عاری از تنباکو</w:t>
      </w:r>
    </w:p>
    <w:p>
      <w:pPr>
        <w:spacing w:after="20"/>
        <w:ind w:left="259"/>
        <w:jc w:val="left"/>
      </w:pPr>
      <w:r>
        <w:rPr>
          <w:color w:val="555555"/>
          <w:sz w:val="12"/>
        </w:rPr>
        <w:t>22.18. Tobacco-Free Force</w:t>
      </w:r>
    </w:p>
    <w:p>
      <w:pPr>
        <w:spacing w:after="20" w:line="223" w:lineRule="auto"/>
        <w:jc w:val="right"/>
        <w:bidi/>
      </w:pPr>
      <w:r>
        <w:rPr>
          <w:rFonts w:ascii="Arial" w:hAnsi="Arial"/>
          <w:sz w:val="16"/>
        </w:rPr>
        <w:t>413.03  هدف USAF داشتن نیرویی عاری از تنباکو است.</w:t>
      </w:r>
    </w:p>
    <w:p>
      <w:pPr>
        <w:spacing w:after="28" w:line="216" w:lineRule="auto"/>
        <w:ind w:left="259"/>
        <w:jc w:val="left"/>
      </w:pPr>
      <w:r>
        <w:rPr>
          <w:rFonts w:ascii="Arial" w:hAnsi="Arial"/>
          <w:color w:val="525252"/>
          <w:sz w:val="13"/>
        </w:rPr>
        <w:t>The USAF goal is to have a tobacco-free force.</w:t>
      </w:r>
    </w:p>
    <w:p>
      <w:pPr>
        <w:spacing w:after="20" w:line="223" w:lineRule="auto"/>
        <w:jc w:val="right"/>
        <w:bidi/>
      </w:pPr>
      <w:r>
        <w:rPr>
          <w:rFonts w:ascii="Arial" w:hAnsi="Arial"/>
          <w:sz w:val="16"/>
        </w:rPr>
        <w:t>413.04  سلامتی بهینه و تناسب اندام کامل، ضرب کننده نیرو هستند و برای مأموریت نظامی ما حیاتی هستند.</w:t>
      </w:r>
    </w:p>
    <w:p>
      <w:pPr>
        <w:spacing w:after="28" w:line="216" w:lineRule="auto"/>
        <w:ind w:left="259"/>
        <w:jc w:val="left"/>
      </w:pPr>
      <w:r>
        <w:rPr>
          <w:rFonts w:ascii="Arial" w:hAnsi="Arial"/>
          <w:color w:val="525252"/>
          <w:sz w:val="13"/>
        </w:rPr>
        <w:t>Optimal health and total fitness are force multipliers and critical to our military mission.</w:t>
      </w:r>
    </w:p>
    <w:p>
      <w:pPr>
        <w:spacing w:after="20" w:line="223" w:lineRule="auto"/>
        <w:jc w:val="right"/>
        <w:bidi/>
      </w:pPr>
      <w:r>
        <w:rPr>
          <w:rFonts w:ascii="Arial" w:hAnsi="Arial"/>
          <w:sz w:val="16"/>
        </w:rPr>
        <w:t>413.05  استفاده از تنباکو شامل تمام محصولاتی می‌شود که ممکن است برای رساندن نیکوتین پیکربندی شوند، از جمله سیگار، سیگار، سیگارهای الکترونیکی/خودکارهای الکترونیکی، پیپ‌های ساقه، لوله‌های آب، قلیان‌ها، بخارسازها، محصولات بدون دود، و هر سیستم انتقال نیکوتین دیگری که به‌عنوان محصول تنباکو تعریف می‌شود.</w:t>
      </w:r>
    </w:p>
    <w:p>
      <w:pPr>
        <w:spacing w:after="28" w:line="216" w:lineRule="auto"/>
        <w:ind w:left="259"/>
        <w:jc w:val="left"/>
      </w:pPr>
      <w:r>
        <w:rPr>
          <w:rFonts w:ascii="Arial" w:hAnsi="Arial"/>
          <w:color w:val="525252"/>
          <w:sz w:val="13"/>
        </w:rPr>
        <w:t>Tobacco use includes all products that may be configured to deliver nicotine, including but not limited to cigars, cigarettes, electronic cigarettes/vape pens, stem pipes, water pipes, hookahs, vaporizers, smokeless products, and any other nicotine delivery system defined as a tobacco product.</w:t>
      </w:r>
    </w:p>
    <w:p>
      <w:pPr>
        <w:spacing w:after="20" w:line="223" w:lineRule="auto"/>
        <w:jc w:val="right"/>
        <w:bidi/>
      </w:pPr>
      <w:r>
        <w:rPr>
          <w:rFonts w:ascii="Arial" w:hAnsi="Arial"/>
          <w:sz w:val="16"/>
        </w:rPr>
        <w:t>413.06  استفاده از محصولات تنباکو برای ارتقای آمادگی مأموریت و بهره وری مفید نیست و با هدف USAF مبنی بر داشتن نیروی آماده، سالم و مناسب برای مأموریت ناسازگار است.</w:t>
      </w:r>
    </w:p>
    <w:p>
      <w:pPr>
        <w:spacing w:after="28" w:line="216" w:lineRule="auto"/>
        <w:ind w:left="259"/>
        <w:jc w:val="left"/>
      </w:pPr>
      <w:r>
        <w:rPr>
          <w:rFonts w:ascii="Arial" w:hAnsi="Arial"/>
          <w:color w:val="525252"/>
          <w:sz w:val="13"/>
        </w:rPr>
        <w:t>Using tobacco products is non- conducive to promoting mission readiness and productivity and is inconsistent with the USAF’s goal of a mission-ready, healthy, and fit force.</w:t>
      </w:r>
    </w:p>
    <w:p>
      <w:pPr>
        <w:spacing w:after="20" w:line="223" w:lineRule="auto"/>
        <w:jc w:val="right"/>
        <w:bidi/>
      </w:pPr>
      <w:r>
        <w:rPr>
          <w:rFonts w:ascii="Arial" w:hAnsi="Arial"/>
          <w:sz w:val="16"/>
        </w:rPr>
        <w:t>413.07  هزینه‌های قابل توجهی که با مصرف دخانیات مرتبط است، هم فیزیکی و هم مالی است.</w:t>
      </w:r>
    </w:p>
    <w:p>
      <w:pPr>
        <w:spacing w:after="28" w:line="216" w:lineRule="auto"/>
        <w:ind w:left="259"/>
        <w:jc w:val="left"/>
      </w:pPr>
      <w:r>
        <w:rPr>
          <w:rFonts w:ascii="Arial" w:hAnsi="Arial"/>
          <w:color w:val="525252"/>
          <w:sz w:val="13"/>
        </w:rPr>
        <w:t>The significant costs associated with tobacco use are both physical and financial.</w:t>
      </w:r>
    </w:p>
    <w:p>
      <w:pPr>
        <w:spacing w:after="20" w:line="223" w:lineRule="auto"/>
        <w:jc w:val="right"/>
        <w:bidi/>
      </w:pPr>
      <w:r>
        <w:rPr>
          <w:rFonts w:ascii="Arial" w:hAnsi="Arial"/>
          <w:sz w:val="16"/>
        </w:rPr>
        <w:t>413.08  TRICARE تخمین زده است که مصرف دخانیات به دلیل افزایش استفاده از مراقبت‌های بهداشتی و کاهش بهره وری کار به دلیل ترک دود و بیماری‌ها، سالانه ۱.۷ میلیارد دلار برای وزارت دفاع هزینه دارد.</w:t>
      </w:r>
    </w:p>
    <w:p>
      <w:pPr>
        <w:spacing w:after="28" w:line="216" w:lineRule="auto"/>
        <w:ind w:left="259"/>
        <w:jc w:val="left"/>
      </w:pPr>
      <w:r>
        <w:rPr>
          <w:rFonts w:ascii="Arial" w:hAnsi="Arial"/>
          <w:color w:val="525252"/>
          <w:sz w:val="13"/>
        </w:rPr>
        <w:t>TRICARE has estimated that tobacco use costs the Department of Defense $1.7 billion annually because of increased healthcare utilization and decreased work productivity due to smoke breaks and illnesses.</w:t>
      </w:r>
    </w:p>
    <w:p>
      <w:pPr>
        <w:spacing w:after="20" w:line="223" w:lineRule="auto"/>
        <w:jc w:val="right"/>
        <w:bidi/>
      </w:pPr>
      <w:r>
        <w:rPr>
          <w:rFonts w:ascii="Arial" w:hAnsi="Arial"/>
          <w:sz w:val="16"/>
        </w:rPr>
        <w:t>413.09  این واقعیت کمتر مهم نیست که هزینه کشیدن یک بسته سیگار در روز برای یک سال، دستمزد پایه یک ماهه برای عضو نیروی هوایی باسیک است.</w:t>
      </w:r>
    </w:p>
    <w:p>
      <w:pPr>
        <w:spacing w:after="28" w:line="216" w:lineRule="auto"/>
        <w:ind w:left="259"/>
        <w:jc w:val="left"/>
      </w:pPr>
      <w:r>
        <w:rPr>
          <w:rFonts w:ascii="Arial" w:hAnsi="Arial"/>
          <w:color w:val="525252"/>
          <w:sz w:val="13"/>
        </w:rPr>
        <w:t>No less significant is the fact that the cost of smoking a pack a day for a year is one- month’s base pay for an Airman Basic.</w:t>
      </w:r>
    </w:p>
    <w:p>
      <w:pPr>
        <w:spacing w:before="60" w:after="28"/>
        <w:jc w:val="right"/>
        <w:bidi/>
      </w:pPr>
      <w:r>
        <w:rPr>
          <w:b/>
          <w:color w:val="1F4D78"/>
          <w:sz w:val="18"/>
        </w:rPr>
        <w:t>22.19. محدودیت های تنباکو</w:t>
      </w:r>
    </w:p>
    <w:p>
      <w:pPr>
        <w:spacing w:after="20"/>
        <w:ind w:left="259"/>
        <w:jc w:val="left"/>
      </w:pPr>
      <w:r>
        <w:rPr>
          <w:color w:val="555555"/>
          <w:sz w:val="12"/>
        </w:rPr>
        <w:t>22.19. Tobacco Restrictions</w:t>
      </w:r>
    </w:p>
    <w:p>
      <w:pPr>
        <w:spacing w:after="20" w:line="223" w:lineRule="auto"/>
        <w:jc w:val="right"/>
        <w:bidi/>
      </w:pPr>
      <w:r>
        <w:rPr>
          <w:rFonts w:ascii="Arial" w:hAnsi="Arial"/>
          <w:sz w:val="16"/>
        </w:rPr>
        <w:t>413.11  AFI ۴۸-۱۰۴، زندگی بدون تنباکو، مناطق تعیین‌شده استفاده از تنباکو و محدودیت‌های مربوط به محصولات تنباکو را در تأسیسات USAF توصیف می‌کند.</w:t>
      </w:r>
    </w:p>
    <w:p>
      <w:pPr>
        <w:spacing w:after="28" w:line="216" w:lineRule="auto"/>
        <w:ind w:left="259"/>
        <w:jc w:val="left"/>
      </w:pPr>
      <w:r>
        <w:rPr>
          <w:rFonts w:ascii="Arial" w:hAnsi="Arial"/>
          <w:color w:val="525252"/>
          <w:sz w:val="13"/>
        </w:rPr>
        <w:t>AFI 48-104, Tobacco Free Living, describes designated tobacco use areas and restrictions for tobacco products on USAF installations.</w:t>
      </w:r>
    </w:p>
    <w:p>
      <w:pPr>
        <w:spacing w:after="20" w:line="223" w:lineRule="auto"/>
        <w:jc w:val="right"/>
        <w:bidi/>
      </w:pPr>
      <w:r>
        <w:rPr>
          <w:rFonts w:ascii="Arial" w:hAnsi="Arial"/>
          <w:sz w:val="16"/>
        </w:rPr>
        <w:t>413.12  فرماندهان و رهبران باید تعداد مناطق تعیین شده مصرف دخانیات را تا حد امکان نزدیک به صفر کنند.</w:t>
      </w:r>
    </w:p>
    <w:p>
      <w:pPr>
        <w:spacing w:after="28" w:line="216" w:lineRule="auto"/>
        <w:ind w:left="259"/>
        <w:jc w:val="left"/>
      </w:pPr>
      <w:r>
        <w:rPr>
          <w:rFonts w:ascii="Arial" w:hAnsi="Arial"/>
          <w:color w:val="525252"/>
          <w:sz w:val="13"/>
        </w:rPr>
        <w:t>Commanders and leaders shall minimize the number of designated tobacco use areas to as close to zero as possible.</w:t>
      </w:r>
    </w:p>
    <w:p>
      <w:pPr>
        <w:spacing w:after="20" w:line="223" w:lineRule="auto"/>
        <w:jc w:val="right"/>
        <w:bidi/>
      </w:pPr>
      <w:r>
        <w:rPr>
          <w:rFonts w:ascii="Arial" w:hAnsi="Arial"/>
          <w:sz w:val="16"/>
        </w:rPr>
        <w:t>413.13  حداقل فاصله نصب حداقل ۵۰ فوت از ورودی ساختمان و مجاری ورودی هوا باشد.</w:t>
      </w:r>
    </w:p>
    <w:p>
      <w:pPr>
        <w:spacing w:after="28" w:line="216" w:lineRule="auto"/>
        <w:ind w:left="259"/>
        <w:jc w:val="left"/>
      </w:pPr>
      <w:r>
        <w:rPr>
          <w:rFonts w:ascii="Arial" w:hAnsi="Arial"/>
          <w:color w:val="525252"/>
          <w:sz w:val="13"/>
        </w:rPr>
        <w:t>Installation minimum distances are at least 50 feet from building entrances, and air intake ducts.</w:t>
      </w:r>
    </w:p>
    <w:p>
      <w:pPr>
        <w:spacing w:after="20" w:line="223" w:lineRule="auto"/>
        <w:jc w:val="right"/>
        <w:bidi/>
      </w:pPr>
      <w:r>
        <w:rPr>
          <w:rFonts w:ascii="Arial" w:hAnsi="Arial"/>
          <w:sz w:val="16"/>
        </w:rPr>
        <w:t>413.14  حداقل فاصله از زمین‌های بازی حداقل ۱۰۰ فوت است.</w:t>
      </w:r>
    </w:p>
    <w:p>
      <w:pPr>
        <w:spacing w:after="28" w:line="216" w:lineRule="auto"/>
        <w:ind w:left="259"/>
        <w:jc w:val="left"/>
      </w:pPr>
      <w:r>
        <w:rPr>
          <w:rFonts w:ascii="Arial" w:hAnsi="Arial"/>
          <w:color w:val="525252"/>
          <w:sz w:val="13"/>
        </w:rPr>
        <w:t>The minimum distance from playgrounds is at least 100 feet.</w:t>
      </w:r>
    </w:p>
    <w:p>
      <w:pPr>
        <w:spacing w:after="20" w:line="223" w:lineRule="auto"/>
        <w:jc w:val="right"/>
        <w:bidi/>
      </w:pPr>
      <w:r>
        <w:rPr>
          <w:rFonts w:ascii="Arial" w:hAnsi="Arial"/>
          <w:sz w:val="16"/>
        </w:rPr>
        <w:t>413.15  USAF تمام دانش‌آموزان در دوره‌های آموزش فنی، آموزش‌های نظامی حرفه‌ای در مقاطع تحصیلی، الحاق و برنامه‌های تحصیلات تکمیلی پزشکی را از استفاده از محصولات تنباکو در حالی که لباس به تن دارند، منع می‌کند و استفاده از تنباکو را همیشه در طول آموزش نظامی اولیه ممنوع می‌کند.</w:t>
      </w:r>
    </w:p>
    <w:p>
      <w:pPr>
        <w:spacing w:after="28" w:line="216" w:lineRule="auto"/>
        <w:ind w:left="259"/>
        <w:jc w:val="left"/>
      </w:pPr>
      <w:r>
        <w:rPr>
          <w:rFonts w:ascii="Arial" w:hAnsi="Arial"/>
          <w:color w:val="525252"/>
          <w:sz w:val="13"/>
        </w:rPr>
        <w:t>The USAF prohibits all students in technical training, in- residence professional military education, accession, and graduate medical education programs from using tobacco products while in uniform, and prohibits tobacco use at all times during basic military training.</w:t>
      </w:r>
    </w:p>
    <w:p>
      <w:pPr>
        <w:spacing w:before="60" w:after="28"/>
        <w:jc w:val="right"/>
        <w:bidi/>
      </w:pPr>
      <w:r>
        <w:rPr>
          <w:b/>
          <w:color w:val="1F4D78"/>
          <w:sz w:val="18"/>
        </w:rPr>
        <w:t>22.20. خطرات سلامتی ناشی از مصرف دخانیات</w:t>
      </w:r>
    </w:p>
    <w:p>
      <w:pPr>
        <w:spacing w:after="20"/>
        <w:ind w:left="259"/>
        <w:jc w:val="left"/>
      </w:pPr>
      <w:r>
        <w:rPr>
          <w:color w:val="555555"/>
          <w:sz w:val="12"/>
        </w:rPr>
        <w:t>22.20. Health Risks of Tobacco Use</w:t>
      </w:r>
    </w:p>
    <w:p>
      <w:pPr>
        <w:spacing w:after="20" w:line="223" w:lineRule="auto"/>
        <w:jc w:val="right"/>
        <w:bidi/>
      </w:pPr>
      <w:r>
        <w:rPr>
          <w:rFonts w:ascii="Arial" w:hAnsi="Arial"/>
          <w:sz w:val="16"/>
        </w:rPr>
        <w:t>413.17  مصرف دخانیات تنها عامل قابل پیشگیری بیماری و مرگ در ایالات متحده است.</w:t>
      </w:r>
    </w:p>
    <w:p>
      <w:pPr>
        <w:spacing w:after="28" w:line="216" w:lineRule="auto"/>
        <w:ind w:left="259"/>
        <w:jc w:val="left"/>
      </w:pPr>
      <w:r>
        <w:rPr>
          <w:rFonts w:ascii="Arial" w:hAnsi="Arial"/>
          <w:color w:val="525252"/>
          <w:sz w:val="13"/>
        </w:rPr>
        <w:t>Tobacco use is the single most preventable cause of disease and death in the United States.</w:t>
      </w:r>
    </w:p>
    <w:p>
      <w:pPr>
        <w:spacing w:after="20" w:line="223" w:lineRule="auto"/>
        <w:jc w:val="right"/>
        <w:bidi/>
      </w:pPr>
      <w:r>
        <w:rPr>
          <w:rFonts w:ascii="Arial" w:hAnsi="Arial"/>
          <w:sz w:val="16"/>
        </w:rPr>
        <w:t>413.18  دود تنباکو یک سرطان‌زای کلاس ا است و تخمین زده می‌شود که باعث مرگ ۴۸۰۰۰۰ نفر در سال می‌شود که تقریبا ۴۱۰۰۰ مورد آن ناشی از قرار گرفتن در معرض دود سیگار است.</w:t>
      </w:r>
    </w:p>
    <w:p>
      <w:pPr>
        <w:spacing w:after="28" w:line="216" w:lineRule="auto"/>
        <w:ind w:left="259"/>
        <w:jc w:val="left"/>
      </w:pPr>
      <w:r>
        <w:rPr>
          <w:rFonts w:ascii="Arial" w:hAnsi="Arial"/>
          <w:color w:val="525252"/>
          <w:sz w:val="13"/>
        </w:rPr>
        <w:t>Tobacco smoke is a Class “A” carcinogen and is estimated to cause 480,000 deaths per year, of which, approximately 41,000 are from secondhand smoke exposure.</w:t>
      </w:r>
    </w:p>
    <w:p>
      <w:pPr>
        <w:spacing w:after="20" w:line="223" w:lineRule="auto"/>
        <w:jc w:val="right"/>
        <w:bidi/>
      </w:pPr>
      <w:r>
        <w:rPr>
          <w:rFonts w:ascii="Arial" w:hAnsi="Arial"/>
          <w:sz w:val="16"/>
        </w:rPr>
        <w:t>413.19  تنباکوی بدون دود حاوی ۲۸ عامل سرطان زا (سرطان زا) مختلف است.</w:t>
      </w:r>
    </w:p>
    <w:p>
      <w:pPr>
        <w:spacing w:after="28" w:line="216" w:lineRule="auto"/>
        <w:ind w:left="259"/>
        <w:jc w:val="left"/>
      </w:pPr>
      <w:r>
        <w:rPr>
          <w:rFonts w:ascii="Arial" w:hAnsi="Arial"/>
          <w:color w:val="525252"/>
          <w:sz w:val="13"/>
        </w:rPr>
        <w:t>Smokeless tobacco contains 28 different cancer-causing agents (carcinogens).</w:t>
      </w:r>
    </w:p>
    <w:p>
      <w:pPr>
        <w:spacing w:after="20" w:line="223" w:lineRule="auto"/>
        <w:jc w:val="right"/>
        <w:bidi/>
      </w:pPr>
      <w:r>
        <w:rPr>
          <w:rFonts w:ascii="Arial" w:hAnsi="Arial"/>
          <w:sz w:val="16"/>
        </w:rPr>
        <w:t>413.20  سرطان‌های دهان ناشی از محصولات تنباکو سالانه ۳۰۰۰۰ نفر را مبتلا می‌کند و هر ساعت یک نفر به دلیل این بیماری جان خود را از دست می‌دهد.</w:t>
      </w:r>
    </w:p>
    <w:p>
      <w:pPr>
        <w:spacing w:after="28" w:line="216" w:lineRule="auto"/>
        <w:ind w:left="259"/>
        <w:jc w:val="left"/>
      </w:pPr>
      <w:r>
        <w:rPr>
          <w:rFonts w:ascii="Arial" w:hAnsi="Arial"/>
          <w:color w:val="525252"/>
          <w:sz w:val="13"/>
        </w:rPr>
        <w:t>Oral cancers from tobacco products affect 30,000 people annually, and one person dies every hour because of this disease.</w:t>
      </w:r>
    </w:p>
    <w:p>
      <w:pPr>
        <w:spacing w:after="20" w:line="223" w:lineRule="auto"/>
        <w:jc w:val="right"/>
        <w:bidi/>
      </w:pPr>
      <w:r>
        <w:rPr>
          <w:rFonts w:ascii="Arial" w:hAnsi="Arial"/>
          <w:sz w:val="16"/>
        </w:rPr>
        <w:t>413.21  تنها ۵۰ درصد از افراد پنج سال پس از تشخیص زنده هستند.</w:t>
      </w:r>
    </w:p>
    <w:p>
      <w:pPr>
        <w:spacing w:after="28" w:line="216" w:lineRule="auto"/>
        <w:ind w:left="259"/>
        <w:jc w:val="left"/>
      </w:pPr>
      <w:r>
        <w:rPr>
          <w:rFonts w:ascii="Arial" w:hAnsi="Arial"/>
          <w:color w:val="525252"/>
          <w:sz w:val="13"/>
        </w:rPr>
        <w:t>Only 50 percent of persons are alive at five years after diagnosis.</w:t>
      </w:r>
    </w:p>
    <w:p>
      <w:pPr>
        <w:spacing w:after="20" w:line="223" w:lineRule="auto"/>
        <w:jc w:val="right"/>
        <w:bidi/>
      </w:pPr>
      <w:r>
        <w:rPr>
          <w:rFonts w:ascii="Arial" w:hAnsi="Arial"/>
          <w:sz w:val="16"/>
        </w:rPr>
        <w:t>413.22  علاوه بر انواع مختلف سرطان و بیماری‌های قلبی عروقی، مصرف تنباکو بر تمام سیستم‌های بدن تأثیر می‌گذارد.</w:t>
      </w:r>
    </w:p>
    <w:p>
      <w:pPr>
        <w:spacing w:after="28" w:line="216" w:lineRule="auto"/>
        <w:ind w:left="259"/>
        <w:jc w:val="left"/>
      </w:pPr>
      <w:r>
        <w:rPr>
          <w:rFonts w:ascii="Arial" w:hAnsi="Arial"/>
          <w:color w:val="525252"/>
          <w:sz w:val="13"/>
        </w:rPr>
        <w:t>In addition to several forms of cancer and cardiovascular disease, tobacco use affects all bodily systems.</w:t>
      </w:r>
    </w:p>
    <w:p>
      <w:pPr>
        <w:spacing w:after="20" w:line="223" w:lineRule="auto"/>
        <w:jc w:val="right"/>
        <w:bidi/>
      </w:pPr>
      <w:r>
        <w:rPr>
          <w:rFonts w:ascii="Arial" w:hAnsi="Arial"/>
          <w:sz w:val="16"/>
        </w:rPr>
        <w:t>413.23  مصرف تنباکو استقامت، دید در شب و هماهنگی حرکتی ظریف (هماهنگی لازم برای ثابت نگه داشتن سلاح) را کاهش می‌دهد.</w:t>
      </w:r>
    </w:p>
    <w:p>
      <w:pPr>
        <w:spacing w:after="28" w:line="216" w:lineRule="auto"/>
        <w:ind w:left="259"/>
        <w:jc w:val="left"/>
      </w:pPr>
      <w:r>
        <w:rPr>
          <w:rFonts w:ascii="Arial" w:hAnsi="Arial"/>
          <w:color w:val="525252"/>
          <w:sz w:val="13"/>
        </w:rPr>
        <w:t>Tobacco use decreases endurance, night vision, and fine motor coordination (the coordination needed to hold a weapon steady).</w:t>
      </w:r>
    </w:p>
    <w:p>
      <w:pPr>
        <w:spacing w:after="20" w:line="223" w:lineRule="auto"/>
        <w:jc w:val="right"/>
        <w:bidi/>
      </w:pPr>
      <w:r>
        <w:rPr>
          <w:rFonts w:ascii="Arial" w:hAnsi="Arial"/>
          <w:sz w:val="16"/>
        </w:rPr>
        <w:t>413.24  و استفاده از تنباکو خطر صدمات (مانند شکستگی) را افزایش می‌دهد، عوارض تنفسی بعد از عمل را به همراه دارد و بهبود زخم را مختل می‌کند (یا کند می‌کند).</w:t>
      </w:r>
    </w:p>
    <w:p>
      <w:pPr>
        <w:spacing w:after="28" w:line="216" w:lineRule="auto"/>
        <w:ind w:left="259"/>
        <w:jc w:val="left"/>
      </w:pPr>
      <w:r>
        <w:rPr>
          <w:rFonts w:ascii="Arial" w:hAnsi="Arial"/>
          <w:color w:val="525252"/>
          <w:sz w:val="13"/>
        </w:rPr>
        <w:t>And tobacco use increases the risk of injuries (such as fractures), poses post-operative respiratory complications, and impairs (or slows) wound healing.</w:t>
      </w:r>
    </w:p>
    <w:p>
      <w:pPr>
        <w:spacing w:after="20" w:line="223" w:lineRule="auto"/>
        <w:jc w:val="right"/>
        <w:bidi/>
      </w:pPr>
      <w:r>
        <w:rPr>
          <w:rFonts w:ascii="Arial" w:hAnsi="Arial"/>
          <w:sz w:val="16"/>
        </w:rPr>
        <w:t>413.25  برآوردها نشان می‌دهد که سیگار کشیدن خطر ابتلا به بیماری عروق کرونر قلب و سکته مغزی را دو تا چهار برابر و برای مردان و زنان مبتلا به سرطان ریه تقریبا ۲۵ برابر افزایش می‌دهد.</w:t>
      </w:r>
    </w:p>
    <w:p>
      <w:pPr>
        <w:spacing w:after="28" w:line="216" w:lineRule="auto"/>
        <w:ind w:left="259"/>
        <w:jc w:val="left"/>
      </w:pPr>
      <w:r>
        <w:rPr>
          <w:rFonts w:ascii="Arial" w:hAnsi="Arial"/>
          <w:color w:val="525252"/>
          <w:sz w:val="13"/>
        </w:rPr>
        <w:t>Estimates show smoking increases the risk for coronary heart disease and stroke by two to four times, and for men and women developing lung cancer by approximately 25 times.</w:t>
      </w:r>
    </w:p>
    <w:p>
      <w:pPr>
        <w:spacing w:before="60" w:after="28"/>
        <w:jc w:val="right"/>
        <w:bidi/>
      </w:pPr>
      <w:r>
        <w:rPr>
          <w:b/>
          <w:color w:val="1F4D78"/>
          <w:sz w:val="18"/>
        </w:rPr>
        <w:t>22.21. ترک دخانیات</w:t>
      </w:r>
    </w:p>
    <w:p>
      <w:pPr>
        <w:spacing w:after="20"/>
        <w:ind w:left="259"/>
        <w:jc w:val="left"/>
      </w:pPr>
      <w:r>
        <w:rPr>
          <w:color w:val="555555"/>
          <w:sz w:val="12"/>
        </w:rPr>
        <w:t>22.21. Tobacco Cessation</w:t>
      </w:r>
    </w:p>
    <w:p>
      <w:pPr>
        <w:spacing w:after="20" w:line="223" w:lineRule="auto"/>
        <w:jc w:val="right"/>
        <w:bidi/>
      </w:pPr>
      <w:r>
        <w:rPr>
          <w:rFonts w:ascii="Arial" w:hAnsi="Arial"/>
          <w:sz w:val="16"/>
        </w:rPr>
        <w:t>413.27  نیکوتین موجود در محصولات تنباکو اعتیاد آور است.</w:t>
      </w:r>
    </w:p>
    <w:p>
      <w:pPr>
        <w:spacing w:after="28" w:line="216" w:lineRule="auto"/>
        <w:ind w:left="259"/>
        <w:jc w:val="left"/>
      </w:pPr>
      <w:r>
        <w:rPr>
          <w:rFonts w:ascii="Arial" w:hAnsi="Arial"/>
          <w:color w:val="525252"/>
          <w:sz w:val="13"/>
        </w:rPr>
        <w:t>Nicotine found in tobacco products is addictive.</w:t>
      </w:r>
    </w:p>
    <w:p>
      <w:pPr>
        <w:spacing w:after="20" w:line="223" w:lineRule="auto"/>
        <w:jc w:val="right"/>
        <w:bidi/>
      </w:pPr>
      <w:r>
        <w:rPr>
          <w:rFonts w:ascii="Arial" w:hAnsi="Arial"/>
          <w:sz w:val="16"/>
        </w:rPr>
        <w:t>413.28  هفت نفر از هر ۱۰ سیگاری در ایالات متحده نشان داده‌اند که می‌خواهند به‌طور کامل سیگار را ترک کنند و تقریبا نیمی از آنها در سال گذشته سعی کرده‌اند آن را ترک کنند.</w:t>
      </w:r>
    </w:p>
    <w:p>
      <w:pPr>
        <w:spacing w:after="28" w:line="216" w:lineRule="auto"/>
        <w:ind w:left="259"/>
        <w:jc w:val="left"/>
      </w:pPr>
      <w:r>
        <w:rPr>
          <w:rFonts w:ascii="Arial" w:hAnsi="Arial"/>
          <w:color w:val="525252"/>
          <w:sz w:val="13"/>
        </w:rPr>
        <w:t>Seven out of 10 smokers in the United States have indicated that they want to completely quit smoking, and nearly one-half have tried to quit in the past year.</w:t>
      </w:r>
    </w:p>
    <w:p>
      <w:pPr>
        <w:spacing w:after="20" w:line="223" w:lineRule="auto"/>
        <w:jc w:val="right"/>
        <w:bidi/>
      </w:pPr>
      <w:r>
        <w:rPr>
          <w:rFonts w:ascii="Arial" w:hAnsi="Arial"/>
          <w:sz w:val="16"/>
        </w:rPr>
        <w:t>413.29  برخی از مطالعات نشان می‌دهند که ممکن است برخی افراد تا ۳۰ بار تلاش کنند تا سیگار را ترک کنند، برخی دیگر نشان می‌دهند که زمانی که تصمیم آگاهانه برای ترک گرفتید، و شما نه</w:t>
      </w:r>
    </w:p>
    <w:p>
      <w:pPr>
        <w:spacing w:after="28" w:line="216" w:lineRule="auto"/>
        <w:ind w:left="259"/>
        <w:jc w:val="left"/>
      </w:pPr>
      <w:r>
        <w:rPr>
          <w:rFonts w:ascii="Arial" w:hAnsi="Arial"/>
          <w:color w:val="525252"/>
          <w:sz w:val="13"/>
        </w:rPr>
        <w:t>Some studies suggest that it may take some people up to 30 tries before successfully quitting smoking, others suggest that once you’ve made the conscious decision to quit, and you no</w:t>
      </w:r>
    </w:p>
    <w:p>
      <w:r>
        <w:br w:type="page"/>
      </w:r>
    </w:p>
    <w:p>
      <w:pPr>
        <w:spacing w:after="60"/>
        <w:jc w:val="right"/>
        <w:bidi/>
      </w:pPr>
      <w:r>
        <w:rPr>
          <w:rFonts w:ascii="Arial" w:hAnsi="Arial"/>
          <w:b/>
          <w:color w:val="1F4D78"/>
          <w:sz w:val="19"/>
        </w:rPr>
        <w:t>هفتهٔ 414  |  صفحهٔ منبع: 430</w:t>
      </w:r>
    </w:p>
    <w:p>
      <w:pPr>
        <w:spacing w:after="20" w:line="223" w:lineRule="auto"/>
        <w:jc w:val="right"/>
        <w:bidi/>
      </w:pPr>
      <w:r>
        <w:rPr>
          <w:rFonts w:ascii="Arial" w:hAnsi="Arial"/>
          <w:sz w:val="16"/>
        </w:rPr>
        <w:t>414.01  دیگر خود را سیگاری، مصرف‌کننده دخانیات یا دخانیات می‌دانید، بدون در نظر گرفتن وسوسه، سبک زندگی خود را تغییر می‌دهید و این عادت را ترک می‌کنید.</w:t>
      </w:r>
    </w:p>
    <w:p>
      <w:pPr>
        <w:spacing w:after="28" w:line="216" w:lineRule="auto"/>
        <w:ind w:left="259"/>
        <w:jc w:val="left"/>
      </w:pPr>
      <w:r>
        <w:rPr>
          <w:rFonts w:ascii="Arial" w:hAnsi="Arial"/>
          <w:color w:val="525252"/>
          <w:sz w:val="13"/>
        </w:rPr>
        <w:t>longer consider yourself a smoker, tobacco user, or dipper, you change your lifestyle and kick the habit, regardless of temptation.</w:t>
      </w:r>
    </w:p>
    <w:p>
      <w:pPr>
        <w:spacing w:after="20" w:line="223" w:lineRule="auto"/>
        <w:jc w:val="right"/>
        <w:bidi/>
      </w:pPr>
      <w:r>
        <w:rPr>
          <w:rFonts w:ascii="Arial" w:hAnsi="Arial"/>
          <w:sz w:val="16"/>
        </w:rPr>
        <w:t>414.02  انتظار می‌رود فرماندهان از هوانوردانی که تلاش می‌کنند محصولات تنباکو را ترک کنند، حمایت کنند.</w:t>
      </w:r>
    </w:p>
    <w:p>
      <w:pPr>
        <w:spacing w:after="28" w:line="216" w:lineRule="auto"/>
        <w:ind w:left="259"/>
        <w:jc w:val="left"/>
      </w:pPr>
      <w:r>
        <w:rPr>
          <w:rFonts w:ascii="Arial" w:hAnsi="Arial"/>
          <w:color w:val="525252"/>
          <w:sz w:val="13"/>
        </w:rPr>
        <w:t>Commanders are expected to support Airmen trying to quit tobacco products.</w:t>
      </w:r>
    </w:p>
    <w:p>
      <w:pPr>
        <w:spacing w:after="20" w:line="223" w:lineRule="auto"/>
        <w:jc w:val="right"/>
        <w:bidi/>
      </w:pPr>
      <w:r>
        <w:rPr>
          <w:rFonts w:ascii="Arial" w:hAnsi="Arial"/>
          <w:sz w:val="16"/>
        </w:rPr>
        <w:t>414.03  برنامه‌های ارتقای سلامت نصب، راهبردهایی برای آموزش، ایجاد انگیزه و مداخله برای جلوگیری از مصرف دخانیات ارائه می‌کنند.</w:t>
      </w:r>
    </w:p>
    <w:p>
      <w:pPr>
        <w:spacing w:after="28" w:line="216" w:lineRule="auto"/>
        <w:ind w:left="259"/>
        <w:jc w:val="left"/>
      </w:pPr>
      <w:r>
        <w:rPr>
          <w:rFonts w:ascii="Arial" w:hAnsi="Arial"/>
          <w:color w:val="525252"/>
          <w:sz w:val="13"/>
        </w:rPr>
        <w:t>Installation health promotion programs provide strategies for education, motivation, and intervention to discourage tobacco use.</w:t>
      </w:r>
    </w:p>
    <w:p>
      <w:pPr>
        <w:spacing w:after="20" w:line="223" w:lineRule="auto"/>
        <w:jc w:val="right"/>
        <w:bidi/>
      </w:pPr>
      <w:r>
        <w:rPr>
          <w:rFonts w:ascii="Arial" w:hAnsi="Arial"/>
          <w:sz w:val="16"/>
        </w:rPr>
        <w:t>414.04  برنامه‌های رسمی و ساختاریافته ترک دخانیات که برای کمک به اعضا در ترک اعتیاد به محصولات تنباکو طراحی شده‌اند نیز در دسترس هستند.</w:t>
      </w:r>
    </w:p>
    <w:p>
      <w:pPr>
        <w:spacing w:after="28" w:line="216" w:lineRule="auto"/>
        <w:ind w:left="259"/>
        <w:jc w:val="left"/>
      </w:pPr>
      <w:r>
        <w:rPr>
          <w:rFonts w:ascii="Arial" w:hAnsi="Arial"/>
          <w:color w:val="525252"/>
          <w:sz w:val="13"/>
        </w:rPr>
        <w:t>Formal, structured tobacco cessation programs designed to assist members in breaking the addiction to tobacco products are available as well.</w:t>
      </w:r>
    </w:p>
    <w:p>
      <w:pPr>
        <w:spacing w:after="20" w:line="223" w:lineRule="auto"/>
        <w:jc w:val="right"/>
        <w:bidi/>
      </w:pPr>
      <w:r>
        <w:rPr>
          <w:rFonts w:ascii="Arial" w:hAnsi="Arial"/>
          <w:sz w:val="16"/>
        </w:rPr>
        <w:t>414.05  ساکنان ایالات متحده در هر ایالت، ناحیه کلمبیا، گوام، و پورتوریکو با شماره ۱-۸۰۰-QUIT-NOW می‌توانند به خطوط تلفن ترک ترک دخانیات ایالتی دسترسی داشته باشند.</w:t>
      </w:r>
    </w:p>
    <w:p>
      <w:pPr>
        <w:spacing w:after="28" w:line="216" w:lineRule="auto"/>
        <w:ind w:left="259"/>
        <w:jc w:val="left"/>
      </w:pPr>
      <w:r>
        <w:rPr>
          <w:rFonts w:ascii="Arial" w:hAnsi="Arial"/>
          <w:color w:val="525252"/>
          <w:sz w:val="13"/>
        </w:rPr>
        <w:t>State telephone-based tobacco cessation quit lines can be reached at no-cost by U.S. residents of each state, the District of Columbia, Guam, and Puerto Rico at 1-800-QUIT-NOW.</w:t>
      </w:r>
    </w:p>
    <w:p>
      <w:pPr>
        <w:spacing w:before="60" w:after="28"/>
        <w:jc w:val="right"/>
        <w:bidi/>
      </w:pPr>
      <w:r>
        <w:rPr>
          <w:b/>
          <w:color w:val="1F4D78"/>
          <w:sz w:val="18"/>
        </w:rPr>
        <w:t>22.22. برنامه پیشگیری و درمان سوء مصرف الکل و مواد مخدر</w:t>
      </w:r>
    </w:p>
    <w:p>
      <w:pPr>
        <w:spacing w:after="20"/>
        <w:ind w:left="259"/>
        <w:jc w:val="left"/>
      </w:pPr>
      <w:r>
        <w:rPr>
          <w:color w:val="555555"/>
          <w:sz w:val="12"/>
        </w:rPr>
        <w:t>22.22. Alcohol and Drug Abuse Prevention and Treatment Program</w:t>
      </w:r>
    </w:p>
    <w:p>
      <w:pPr>
        <w:spacing w:after="20" w:line="223" w:lineRule="auto"/>
        <w:jc w:val="right"/>
        <w:bidi/>
      </w:pPr>
      <w:r>
        <w:rPr>
          <w:rFonts w:ascii="Arial" w:hAnsi="Arial"/>
          <w:sz w:val="16"/>
        </w:rPr>
        <w:t>414.07  برنامه پیشگیری و درمان سوء مصرف الکل و مواد مخدر (ADAPT) برای ارتقای آمادگی، سلامت و تندرستی از طریق پیشگیری و درمان سوء مصرف و سوء مصرف مواد طراحی شده است.</w:t>
      </w:r>
    </w:p>
    <w:p>
      <w:pPr>
        <w:spacing w:after="28" w:line="216" w:lineRule="auto"/>
        <w:ind w:left="259"/>
        <w:jc w:val="left"/>
      </w:pPr>
      <w:r>
        <w:rPr>
          <w:rFonts w:ascii="Arial" w:hAnsi="Arial"/>
          <w:color w:val="525252"/>
          <w:sz w:val="13"/>
        </w:rPr>
        <w:t>The Alcohol and Drug Abuse Prevention and Treatment (ADAPT) Program is designed to promote readiness, health, and wellness through the prevention and treatment of substance misuse and abuse.</w:t>
      </w:r>
    </w:p>
    <w:p>
      <w:pPr>
        <w:spacing w:after="20" w:line="223" w:lineRule="auto"/>
        <w:jc w:val="right"/>
        <w:bidi/>
      </w:pPr>
      <w:r>
        <w:rPr>
          <w:rFonts w:ascii="Arial" w:hAnsi="Arial"/>
          <w:sz w:val="16"/>
        </w:rPr>
        <w:t>414.08  مشارکت در ADAPT ممکن است برای به حداقل رساندن پیامدهای منفی سوء استفاده و سوء مصرف مواد برای فرد، خانواده و سازمان مفید باشد. ارائه آموزش و درمان جامع به افرادی که مشکلات مربوط به سوء استفاده یا سوء مصرف مواد را تجربه می‌کنند. و بازگرداندن عملکرد و بازگرداندن سوء مصرف کنندگان مواد شناسایی شده به وضعیت نامحدود یا کمک به آنها در گذار به زندگی غیرنظامی.</w:t>
      </w:r>
    </w:p>
    <w:p>
      <w:pPr>
        <w:spacing w:after="28" w:line="216" w:lineRule="auto"/>
        <w:ind w:left="259"/>
        <w:jc w:val="left"/>
      </w:pPr>
      <w:r>
        <w:rPr>
          <w:rFonts w:ascii="Arial" w:hAnsi="Arial"/>
          <w:color w:val="525252"/>
          <w:sz w:val="13"/>
        </w:rPr>
        <w:t>Participation in ADAPT may serve to minimize the negative consequences of substance misuse and abuse to the individual, family, and organization; provide comprehensive education and treatment to individuals who experience problems attributed to substance misuse or abuse; and restore function and return identified substance abusers to unrestricted duty status or assist them in their transition to civilian life.</w:t>
      </w:r>
    </w:p>
    <w:p>
      <w:pPr>
        <w:spacing w:after="20" w:line="223" w:lineRule="auto"/>
        <w:jc w:val="right"/>
        <w:bidi/>
      </w:pPr>
      <w:r>
        <w:rPr>
          <w:rFonts w:ascii="Arial" w:hAnsi="Arial"/>
          <w:sz w:val="16"/>
        </w:rPr>
        <w:t>414.09  توجه: برای اطمینان از آمادگی نظامی، مصرف محصولات حاوی یا مشتق شده از دانه شاهدانه یا روغن دانه شاهدانه، از جمله دلتا-۸- تتراهیدروکانابینول (دلتا-۸-THC) و کانابیدیول (CBD) ممنوع است.</w:t>
      </w:r>
    </w:p>
    <w:p>
      <w:pPr>
        <w:spacing w:after="28" w:line="216" w:lineRule="auto"/>
        <w:ind w:left="259"/>
        <w:jc w:val="left"/>
      </w:pPr>
      <w:r>
        <w:rPr>
          <w:rFonts w:ascii="Arial" w:hAnsi="Arial"/>
          <w:color w:val="525252"/>
          <w:sz w:val="13"/>
        </w:rPr>
        <w:t>Note: To ensure military readiness, the ingestion of products containing or derived from hemp seed or hemp seed oil, including but not limited to delta-8- tetrahydrocannabinol (delta-8-THC) and cannabidiol (CBD), is prohibited.</w:t>
      </w:r>
    </w:p>
    <w:p>
      <w:pPr>
        <w:spacing w:after="20" w:line="223" w:lineRule="auto"/>
        <w:jc w:val="right"/>
        <w:bidi/>
      </w:pPr>
      <w:r>
        <w:rPr>
          <w:rFonts w:ascii="Arial" w:hAnsi="Arial"/>
          <w:sz w:val="16"/>
        </w:rPr>
        <w:t>414.10  محصولات ساخته شده با دانه شاهدانه، روغن دانه شاهدانه و CBD ممکن است حاوی سطوح مختلفی از تتراهیدروکانابینول، یک ماده فعال ماری جوانا باشد که از طریق آزمایش دارویی USAF قابل تشخیص است.</w:t>
      </w:r>
    </w:p>
    <w:p>
      <w:pPr>
        <w:spacing w:after="28" w:line="216" w:lineRule="auto"/>
        <w:ind w:left="259"/>
        <w:jc w:val="left"/>
      </w:pPr>
      <w:r>
        <w:rPr>
          <w:rFonts w:ascii="Arial" w:hAnsi="Arial"/>
          <w:color w:val="525252"/>
          <w:sz w:val="13"/>
        </w:rPr>
        <w:t>Products made with hemp seed, hemp seed oil, and CBD may contain varying levels of tetrahydrocannabinol, an active ingredient of marijuana, which is detectable through USAF drug testing.</w:t>
      </w:r>
    </w:p>
    <w:p>
      <w:pPr>
        <w:spacing w:after="20" w:line="223" w:lineRule="auto"/>
        <w:jc w:val="right"/>
        <w:bidi/>
      </w:pPr>
      <w:r>
        <w:rPr>
          <w:rFonts w:ascii="Arial" w:hAnsi="Arial"/>
          <w:sz w:val="16"/>
        </w:rPr>
        <w:t>414.11  عدم رعایت منع مصرف فرآورده‌های حاوی یا فرآورده‌های مشتق شده از دانه شاهدانه یا روغن دانه شاهدانه و CBD توسط پرسنل نظامی، نقض ماده ۹۲ قانون یکپارچه عدالت نظامی است.</w:t>
      </w:r>
    </w:p>
    <w:p>
      <w:pPr>
        <w:spacing w:after="28" w:line="216" w:lineRule="auto"/>
        <w:ind w:left="259"/>
        <w:jc w:val="left"/>
      </w:pPr>
      <w:r>
        <w:rPr>
          <w:rFonts w:ascii="Arial" w:hAnsi="Arial"/>
          <w:color w:val="525252"/>
          <w:sz w:val="13"/>
        </w:rPr>
        <w:t>Failure by military personnel to comply with the prohibition on the ingestion of products containing, or products derived from, hemp seed or hemp seed oil and CBD, is a violation of Article 92, Uniform Code of Military Justice.</w:t>
      </w:r>
    </w:p>
    <w:p>
      <w:pPr>
        <w:spacing w:before="60" w:after="28"/>
        <w:jc w:val="right"/>
        <w:bidi/>
      </w:pPr>
      <w:r>
        <w:rPr>
          <w:b/>
          <w:color w:val="1F4D78"/>
          <w:sz w:val="18"/>
        </w:rPr>
        <w:t>22.23. مسئولیت های رهبری</w:t>
      </w:r>
    </w:p>
    <w:p>
      <w:pPr>
        <w:spacing w:after="20"/>
        <w:ind w:left="259"/>
        <w:jc w:val="left"/>
      </w:pPr>
      <w:r>
        <w:rPr>
          <w:color w:val="555555"/>
          <w:sz w:val="12"/>
        </w:rPr>
        <w:t>22.23. Leadership Responsibilities</w:t>
      </w:r>
    </w:p>
    <w:p>
      <w:pPr>
        <w:spacing w:after="20" w:line="223" w:lineRule="auto"/>
        <w:jc w:val="right"/>
        <w:bidi/>
      </w:pPr>
      <w:r>
        <w:rPr>
          <w:rFonts w:ascii="Arial" w:hAnsi="Arial"/>
          <w:sz w:val="16"/>
        </w:rPr>
        <w:t>414.13  علائم و نشانه‌های مصرف و سوء مصرف مواد ممکن است وجود داشته باشد.</w:t>
      </w:r>
    </w:p>
    <w:p>
      <w:pPr>
        <w:spacing w:after="28" w:line="216" w:lineRule="auto"/>
        <w:ind w:left="259"/>
        <w:jc w:val="left"/>
      </w:pPr>
      <w:r>
        <w:rPr>
          <w:rFonts w:ascii="Arial" w:hAnsi="Arial"/>
          <w:color w:val="525252"/>
          <w:sz w:val="13"/>
        </w:rPr>
        <w:t>Signs and symptoms of substance use and misuse may exist.</w:t>
      </w:r>
    </w:p>
    <w:p>
      <w:pPr>
        <w:spacing w:after="20" w:line="223" w:lineRule="auto"/>
        <w:jc w:val="right"/>
        <w:bidi/>
      </w:pPr>
      <w:r>
        <w:rPr>
          <w:rFonts w:ascii="Arial" w:hAnsi="Arial"/>
          <w:sz w:val="16"/>
        </w:rPr>
        <w:t>414.14  اگر علائم وجود دارد، با فرد صحبت کنید تا مشخص شود که آیا به کمک حرفه‌ای نیاز است یا خیر.</w:t>
      </w:r>
    </w:p>
    <w:p>
      <w:pPr>
        <w:spacing w:after="28" w:line="216" w:lineRule="auto"/>
        <w:ind w:left="259"/>
        <w:jc w:val="left"/>
      </w:pPr>
      <w:r>
        <w:rPr>
          <w:rFonts w:ascii="Arial" w:hAnsi="Arial"/>
          <w:color w:val="525252"/>
          <w:sz w:val="13"/>
        </w:rPr>
        <w:t>If signs do exist, talk with the individual to determine if professional assistance is needed.</w:t>
      </w:r>
    </w:p>
    <w:p>
      <w:pPr>
        <w:spacing w:after="20" w:line="223" w:lineRule="auto"/>
        <w:jc w:val="right"/>
        <w:bidi/>
      </w:pPr>
      <w:r>
        <w:rPr>
          <w:rFonts w:ascii="Arial" w:hAnsi="Arial"/>
          <w:sz w:val="16"/>
        </w:rPr>
        <w:t>414.15  موارد خاص رفتار غیرعادی یا تصدیق مشکل مصرف مواد را با سرپرست، گروهبان یکم یا فرمانده یگان برای کمک به تسریع مراقبت، در صورت لزوم، مستند و بحث کنید.</w:t>
      </w:r>
    </w:p>
    <w:p>
      <w:pPr>
        <w:spacing w:after="28" w:line="216" w:lineRule="auto"/>
        <w:ind w:left="259"/>
        <w:jc w:val="left"/>
      </w:pPr>
      <w:r>
        <w:rPr>
          <w:rFonts w:ascii="Arial" w:hAnsi="Arial"/>
          <w:color w:val="525252"/>
          <w:sz w:val="13"/>
        </w:rPr>
        <w:t>Document and discuss specific instances of unusual behavior or acknowledgement of a substance use problem with the supervisor, first sergeant, or unit commander to help expedite care, as needed.</w:t>
      </w:r>
    </w:p>
    <w:p>
      <w:pPr>
        <w:spacing w:after="20" w:line="223" w:lineRule="auto"/>
        <w:jc w:val="right"/>
        <w:bidi/>
      </w:pPr>
      <w:r>
        <w:rPr>
          <w:rFonts w:ascii="Arial" w:hAnsi="Arial"/>
          <w:sz w:val="16"/>
        </w:rPr>
        <w:t>414.16  مسئولیت تشخیص اختلال در مصرف مواد بر عهده پرسنل ADAPT است.</w:t>
      </w:r>
    </w:p>
    <w:p>
      <w:pPr>
        <w:spacing w:after="28" w:line="216" w:lineRule="auto"/>
        <w:ind w:left="259"/>
        <w:jc w:val="left"/>
      </w:pPr>
      <w:r>
        <w:rPr>
          <w:rFonts w:ascii="Arial" w:hAnsi="Arial"/>
          <w:color w:val="525252"/>
          <w:sz w:val="13"/>
        </w:rPr>
        <w:t>The responsibility to diagnose a substance us disorder lies with ADAPT personnel.</w:t>
      </w:r>
    </w:p>
    <w:p>
      <w:pPr>
        <w:spacing w:after="20" w:line="223" w:lineRule="auto"/>
        <w:jc w:val="right"/>
        <w:bidi/>
      </w:pPr>
      <w:r>
        <w:rPr>
          <w:rFonts w:ascii="Arial" w:hAnsi="Arial"/>
          <w:sz w:val="16"/>
        </w:rPr>
        <w:t>414.17  شناسایی افرادی که ممکن است به درمان نیاز داشته باشند اولین گام حیاتی برای کمک به رهایی آنها از چرخه بسیار قوی انکار، منفی‌گرایی و افزایش مصرف مواد است. با این حال، ورود به درمان تنها اولین قدم است.</w:t>
      </w:r>
    </w:p>
    <w:p>
      <w:pPr>
        <w:spacing w:after="28" w:line="216" w:lineRule="auto"/>
        <w:ind w:left="259"/>
        <w:jc w:val="left"/>
      </w:pPr>
      <w:r>
        <w:rPr>
          <w:rFonts w:ascii="Arial" w:hAnsi="Arial"/>
          <w:color w:val="525252"/>
          <w:sz w:val="13"/>
        </w:rPr>
        <w:t>Identifying individuals who may need treatment is a critical first step in helping them break free of the tremendously potent cycle of denial, negativity, and increased substance use; however, entering treatment is only a first step.</w:t>
      </w:r>
    </w:p>
    <w:p>
      <w:pPr>
        <w:spacing w:after="20" w:line="223" w:lineRule="auto"/>
        <w:jc w:val="right"/>
        <w:bidi/>
      </w:pPr>
      <w:r>
        <w:rPr>
          <w:rFonts w:ascii="Arial" w:hAnsi="Arial"/>
          <w:sz w:val="16"/>
        </w:rPr>
        <w:t>414.18  مشکل مصرف مواد یکی از اعضا یک شبه ایجاد نشد و درمان و بهبودی احتمالا به زمان نیاز دارد.</w:t>
      </w:r>
    </w:p>
    <w:p>
      <w:pPr>
        <w:spacing w:after="28" w:line="216" w:lineRule="auto"/>
        <w:ind w:left="259"/>
        <w:jc w:val="left"/>
      </w:pPr>
      <w:r>
        <w:rPr>
          <w:rFonts w:ascii="Arial" w:hAnsi="Arial"/>
          <w:color w:val="525252"/>
          <w:sz w:val="13"/>
        </w:rPr>
        <w:t>A member’s substance use problem did not develop overnight, and treatment and recovery will likely take time.</w:t>
      </w:r>
    </w:p>
    <w:p>
      <w:pPr>
        <w:spacing w:after="20" w:line="223" w:lineRule="auto"/>
        <w:jc w:val="right"/>
        <w:bidi/>
      </w:pPr>
      <w:r>
        <w:rPr>
          <w:rFonts w:ascii="Arial" w:hAnsi="Arial"/>
          <w:sz w:val="16"/>
        </w:rPr>
        <w:t>414.19  تیم درمان، متشکل از فرمانده، سرپرست، مشاور اعضا، مشاوران پزشکی، سایر آژانس‌های کمکی مناسب و عضو، پشتیبانی مستمر را در طول درمان ارائه می‌کنند.</w:t>
      </w:r>
    </w:p>
    <w:p>
      <w:pPr>
        <w:spacing w:after="28" w:line="216" w:lineRule="auto"/>
        <w:ind w:left="259"/>
        <w:jc w:val="left"/>
      </w:pPr>
      <w:r>
        <w:rPr>
          <w:rFonts w:ascii="Arial" w:hAnsi="Arial"/>
          <w:color w:val="525252"/>
          <w:sz w:val="13"/>
        </w:rPr>
        <w:t>The treatment team, consisting of the commander, supervisor, member’s counselor, medical consultants, other appropriate helping agencies, and the member, provide continued support throughout treatment.</w:t>
      </w:r>
    </w:p>
    <w:p>
      <w:pPr>
        <w:spacing w:after="20" w:line="223" w:lineRule="auto"/>
        <w:jc w:val="right"/>
        <w:bidi/>
      </w:pPr>
      <w:r>
        <w:rPr>
          <w:rFonts w:ascii="Arial" w:hAnsi="Arial"/>
          <w:sz w:val="16"/>
        </w:rPr>
        <w:t>414.20  سرپرستان همچنان بر عملکرد عضو، حضور در برنامه و حفظ استانداردها متمرکز هستند.</w:t>
      </w:r>
    </w:p>
    <w:p>
      <w:pPr>
        <w:spacing w:after="28" w:line="216" w:lineRule="auto"/>
        <w:ind w:left="259"/>
        <w:jc w:val="left"/>
      </w:pPr>
      <w:r>
        <w:rPr>
          <w:rFonts w:ascii="Arial" w:hAnsi="Arial"/>
          <w:color w:val="525252"/>
          <w:sz w:val="13"/>
        </w:rPr>
        <w:t>Supervisors remain focused on the member’s duty performance, attendance in the program, and maintenance of standards.</w:t>
      </w:r>
    </w:p>
    <w:p>
      <w:pPr>
        <w:spacing w:after="20" w:line="223" w:lineRule="auto"/>
        <w:jc w:val="right"/>
        <w:bidi/>
      </w:pPr>
      <w:r>
        <w:rPr>
          <w:rFonts w:ascii="Arial" w:hAnsi="Arial"/>
          <w:sz w:val="16"/>
        </w:rPr>
        <w:t>414.21  دخالت فرمانده، گروهبان یکم و سرپرست در تیم درمان و ملاقات در نقاط کلیدی در درمان و بهبودی بیمار مهم است.</w:t>
      </w:r>
    </w:p>
    <w:p>
      <w:pPr>
        <w:spacing w:after="28" w:line="216" w:lineRule="auto"/>
        <w:ind w:left="259"/>
        <w:jc w:val="left"/>
      </w:pPr>
      <w:r>
        <w:rPr>
          <w:rFonts w:ascii="Arial" w:hAnsi="Arial"/>
          <w:color w:val="525252"/>
          <w:sz w:val="13"/>
        </w:rPr>
        <w:t>Commander, first sergeant, and supervisor involvement in the treatment team, and meeting at key points in the patient’s treatment and recovery, are important.</w:t>
      </w:r>
    </w:p>
    <w:p>
      <w:pPr>
        <w:spacing w:after="20" w:line="223" w:lineRule="auto"/>
        <w:jc w:val="right"/>
        <w:bidi/>
      </w:pPr>
      <w:r>
        <w:rPr>
          <w:rFonts w:ascii="Arial" w:hAnsi="Arial"/>
          <w:sz w:val="16"/>
        </w:rPr>
        <w:t>414.22  فرمانده یا گروهبان اول و سرپرست باید در ورود، خاتمه برنامه، و هر زمان که مشکلات قابل توجهی در درمان وجود دارد، مشارکت داشته باشند.</w:t>
      </w:r>
    </w:p>
    <w:p>
      <w:pPr>
        <w:spacing w:after="28" w:line="216" w:lineRule="auto"/>
        <w:ind w:left="259"/>
        <w:jc w:val="left"/>
      </w:pPr>
      <w:r>
        <w:rPr>
          <w:rFonts w:ascii="Arial" w:hAnsi="Arial"/>
          <w:color w:val="525252"/>
          <w:sz w:val="13"/>
        </w:rPr>
        <w:t>The commander or first sergeant and the supervisor must be involved at program entry, termination, and anytime there are significant treatment difficulties.</w:t>
      </w:r>
    </w:p>
    <w:p>
      <w:pPr>
        <w:spacing w:after="20" w:line="223" w:lineRule="auto"/>
        <w:jc w:val="right"/>
        <w:bidi/>
      </w:pPr>
      <w:r>
        <w:rPr>
          <w:rFonts w:ascii="Arial" w:hAnsi="Arial"/>
          <w:sz w:val="16"/>
        </w:rPr>
        <w:t>414.23  هدف اولیه تیم درمان هدایت سیر بالینی درمان پس از بررسی تمام حقایق است.</w:t>
      </w:r>
    </w:p>
    <w:p>
      <w:pPr>
        <w:spacing w:after="28" w:line="216" w:lineRule="auto"/>
        <w:ind w:left="259"/>
        <w:jc w:val="left"/>
      </w:pPr>
      <w:r>
        <w:rPr>
          <w:rFonts w:ascii="Arial" w:hAnsi="Arial"/>
          <w:color w:val="525252"/>
          <w:sz w:val="13"/>
        </w:rPr>
        <w:t>The primary objective of the treatment team is to guide the clinical course of the treatment after examining all the facts.</w:t>
      </w:r>
    </w:p>
    <w:p>
      <w:pPr>
        <w:spacing w:after="20" w:line="223" w:lineRule="auto"/>
        <w:jc w:val="right"/>
        <w:bidi/>
      </w:pPr>
      <w:r>
        <w:rPr>
          <w:rFonts w:ascii="Arial" w:hAnsi="Arial"/>
          <w:sz w:val="16"/>
        </w:rPr>
        <w:t>414.24  توجه: تمام اعضای رگاف درگیر در رفتار نادرست مرتبط با الکل برای ارزیابی مصرف مواد معرفی خواهند شد.</w:t>
      </w:r>
    </w:p>
    <w:p>
      <w:pPr>
        <w:spacing w:after="28" w:line="216" w:lineRule="auto"/>
        <w:ind w:left="259"/>
        <w:jc w:val="left"/>
      </w:pPr>
      <w:r>
        <w:rPr>
          <w:rFonts w:ascii="Arial" w:hAnsi="Arial"/>
          <w:color w:val="525252"/>
          <w:sz w:val="13"/>
        </w:rPr>
        <w:t>Note: All RegAF members involved in alcohol- related misconduct will be referred for a substance use assessment.</w:t>
      </w:r>
    </w:p>
    <w:p>
      <w:pPr>
        <w:spacing w:before="60" w:after="28"/>
        <w:jc w:val="right"/>
        <w:bidi/>
      </w:pPr>
      <w:r>
        <w:rPr>
          <w:b/>
          <w:color w:val="1F4D78"/>
          <w:sz w:val="18"/>
        </w:rPr>
        <w:t>22.24. ارزیابی و درمان مصرف مواد</w:t>
      </w:r>
    </w:p>
    <w:p>
      <w:pPr>
        <w:spacing w:after="20"/>
        <w:ind w:left="259"/>
        <w:jc w:val="left"/>
      </w:pPr>
      <w:r>
        <w:rPr>
          <w:color w:val="555555"/>
          <w:sz w:val="12"/>
        </w:rPr>
        <w:t>22.24. Substance Use Assessment and Treatment</w:t>
      </w:r>
    </w:p>
    <w:p>
      <w:pPr>
        <w:spacing w:after="20" w:line="223" w:lineRule="auto"/>
        <w:jc w:val="right"/>
        <w:bidi/>
      </w:pPr>
      <w:r>
        <w:rPr>
          <w:rFonts w:ascii="Arial" w:hAnsi="Arial"/>
          <w:sz w:val="16"/>
        </w:rPr>
        <w:t>414.26  هدف اصلی ارزیابی مصرف مواد، تعیین نیاز بیمار به درمان و سطح مراقبت مورد نیاز است.</w:t>
      </w:r>
    </w:p>
    <w:p>
      <w:pPr>
        <w:spacing w:after="28" w:line="216" w:lineRule="auto"/>
        <w:ind w:left="259"/>
        <w:jc w:val="left"/>
      </w:pPr>
      <w:r>
        <w:rPr>
          <w:rFonts w:ascii="Arial" w:hAnsi="Arial"/>
          <w:color w:val="525252"/>
          <w:sz w:val="13"/>
        </w:rPr>
        <w:t>The central purpose of the substance use assessment is to determine the patient’s need for treatment and level of care required.</w:t>
      </w:r>
    </w:p>
    <w:p>
      <w:pPr>
        <w:spacing w:after="20" w:line="223" w:lineRule="auto"/>
        <w:jc w:val="right"/>
        <w:bidi/>
      </w:pPr>
      <w:r>
        <w:rPr>
          <w:rFonts w:ascii="Arial" w:hAnsi="Arial"/>
          <w:sz w:val="16"/>
        </w:rPr>
        <w:t>414.27  مدیران برنامه ADAPT بررسی‌های مورد نیاز سوابق پزشکی و تمام اسناد را طی هفت روز تقویمی پس از اطلاع رسانی برای تعیین تشخیص انجام می‌دهند.</w:t>
      </w:r>
    </w:p>
    <w:p>
      <w:pPr>
        <w:spacing w:after="28" w:line="216" w:lineRule="auto"/>
        <w:ind w:left="259"/>
        <w:jc w:val="left"/>
      </w:pPr>
      <w:r>
        <w:rPr>
          <w:rFonts w:ascii="Arial" w:hAnsi="Arial"/>
          <w:color w:val="525252"/>
          <w:sz w:val="13"/>
        </w:rPr>
        <w:t>ADAPT program managers conduct required reviews of medical records and all documentation within seven calendar days of notification to determine diagnosis,</w:t>
      </w:r>
    </w:p>
    <w:p>
      <w:r>
        <w:br w:type="page"/>
      </w:r>
    </w:p>
    <w:p>
      <w:pPr>
        <w:spacing w:after="60"/>
        <w:jc w:val="right"/>
        <w:bidi/>
      </w:pPr>
      <w:r>
        <w:rPr>
          <w:rFonts w:ascii="Arial" w:hAnsi="Arial"/>
          <w:b/>
          <w:color w:val="1F4D78"/>
          <w:sz w:val="19"/>
        </w:rPr>
        <w:t>هفتهٔ 415  |  صفحهٔ منبع: 431</w:t>
      </w:r>
    </w:p>
    <w:p>
      <w:pPr>
        <w:spacing w:after="20" w:line="223" w:lineRule="auto"/>
        <w:jc w:val="right"/>
        <w:bidi/>
      </w:pPr>
      <w:r>
        <w:rPr>
          <w:rFonts w:ascii="Arial" w:hAnsi="Arial"/>
          <w:sz w:val="16"/>
        </w:rPr>
        <w:t>415.01  برنامه‌ریزی درمان و ارائه خدمات مصرف مواد.</w:t>
      </w:r>
    </w:p>
    <w:p>
      <w:pPr>
        <w:spacing w:after="28" w:line="216" w:lineRule="auto"/>
        <w:ind w:left="259"/>
        <w:jc w:val="left"/>
      </w:pPr>
      <w:r>
        <w:rPr>
          <w:rFonts w:ascii="Arial" w:hAnsi="Arial"/>
          <w:color w:val="525252"/>
          <w:sz w:val="13"/>
        </w:rPr>
        <w:t>treatment planning, and delivery of substance use services.</w:t>
      </w:r>
    </w:p>
    <w:p>
      <w:pPr>
        <w:spacing w:after="20" w:line="223" w:lineRule="auto"/>
        <w:jc w:val="right"/>
        <w:bidi/>
      </w:pPr>
      <w:r>
        <w:rPr>
          <w:rFonts w:ascii="Arial" w:hAnsi="Arial"/>
          <w:sz w:val="16"/>
        </w:rPr>
        <w:t>415.02  درمان مصرف مواد به دو خدمات غیر بالینی و بالینی تقسیم می‌شود.</w:t>
      </w:r>
    </w:p>
    <w:p>
      <w:pPr>
        <w:spacing w:after="28" w:line="216" w:lineRule="auto"/>
        <w:ind w:left="259"/>
        <w:jc w:val="left"/>
      </w:pPr>
      <w:r>
        <w:rPr>
          <w:rFonts w:ascii="Arial" w:hAnsi="Arial"/>
          <w:color w:val="525252"/>
          <w:sz w:val="13"/>
        </w:rPr>
        <w:t>Substance use treatment is divided into two services: nonclinical and clinical.</w:t>
      </w:r>
    </w:p>
    <w:p>
      <w:pPr>
        <w:spacing w:after="20" w:line="223" w:lineRule="auto"/>
        <w:jc w:val="right"/>
        <w:bidi/>
      </w:pPr>
      <w:r>
        <w:rPr>
          <w:rFonts w:ascii="Arial" w:hAnsi="Arial"/>
          <w:sz w:val="16"/>
        </w:rPr>
        <w:t>415.03  خدمات غیر بالینی.</w:t>
      </w:r>
    </w:p>
    <w:p>
      <w:pPr>
        <w:spacing w:after="28" w:line="216" w:lineRule="auto"/>
        <w:ind w:left="259"/>
        <w:jc w:val="left"/>
      </w:pPr>
      <w:r>
        <w:rPr>
          <w:rFonts w:ascii="Arial" w:hAnsi="Arial"/>
          <w:color w:val="525252"/>
          <w:sz w:val="13"/>
        </w:rPr>
        <w:t>Nonclinical Services.</w:t>
      </w:r>
    </w:p>
    <w:p>
      <w:pPr>
        <w:spacing w:after="20" w:line="223" w:lineRule="auto"/>
        <w:jc w:val="right"/>
        <w:bidi/>
      </w:pPr>
      <w:r>
        <w:rPr>
          <w:rFonts w:ascii="Arial" w:hAnsi="Arial"/>
          <w:sz w:val="16"/>
        </w:rPr>
        <w:t>415.04  اعضایی که معیارهای تشخیصی اختلال مصرف مواد را ندارند، خدمات پیشگیری و آموزش هدفمند متناسب با فرد را بر اساس ارزیابی کامل و تعیین خطر دریافت خواهند کرد.</w:t>
      </w:r>
    </w:p>
    <w:p>
      <w:pPr>
        <w:spacing w:after="28" w:line="216" w:lineRule="auto"/>
        <w:ind w:left="259"/>
        <w:jc w:val="left"/>
      </w:pPr>
      <w:r>
        <w:rPr>
          <w:rFonts w:ascii="Arial" w:hAnsi="Arial"/>
          <w:color w:val="525252"/>
          <w:sz w:val="13"/>
        </w:rPr>
        <w:t>Members who do not meet diagnostic criteria for a substance use disorder will receive targeted prevention and education services tailored to the individual based on a thorough assessment and determination of risk.</w:t>
      </w:r>
    </w:p>
    <w:p>
      <w:pPr>
        <w:spacing w:after="20" w:line="223" w:lineRule="auto"/>
        <w:jc w:val="right"/>
        <w:bidi/>
      </w:pPr>
      <w:r>
        <w:rPr>
          <w:rFonts w:ascii="Arial" w:hAnsi="Arial"/>
          <w:sz w:val="16"/>
        </w:rPr>
        <w:t>415.05  قرارهای پیگیری و بازبینی برای ارزیابی مجدد نیاز به ادامه خدمات انجام خواهد شد.</w:t>
      </w:r>
    </w:p>
    <w:p>
      <w:pPr>
        <w:spacing w:after="28" w:line="216" w:lineRule="auto"/>
        <w:ind w:left="259"/>
        <w:jc w:val="left"/>
      </w:pPr>
      <w:r>
        <w:rPr>
          <w:rFonts w:ascii="Arial" w:hAnsi="Arial"/>
          <w:color w:val="525252"/>
          <w:sz w:val="13"/>
        </w:rPr>
        <w:t>Follow-up appointments and review will be conducted to reassess the need for continued services.</w:t>
      </w:r>
    </w:p>
    <w:p>
      <w:pPr>
        <w:spacing w:after="20" w:line="223" w:lineRule="auto"/>
        <w:jc w:val="right"/>
        <w:bidi/>
      </w:pPr>
      <w:r>
        <w:rPr>
          <w:rFonts w:ascii="Arial" w:hAnsi="Arial"/>
          <w:sz w:val="16"/>
        </w:rPr>
        <w:t>415.06  ممکن است مشاوره اضافی برای رسیدگی به مسائل زیستی-روانی اجتماعی شناسایی شده در ارزیابی تجویز شود.</w:t>
      </w:r>
    </w:p>
    <w:p>
      <w:pPr>
        <w:spacing w:after="28" w:line="216" w:lineRule="auto"/>
        <w:ind w:left="259"/>
        <w:jc w:val="left"/>
      </w:pPr>
      <w:r>
        <w:rPr>
          <w:rFonts w:ascii="Arial" w:hAnsi="Arial"/>
          <w:color w:val="525252"/>
          <w:sz w:val="13"/>
        </w:rPr>
        <w:t>Additional counseling addressing bio- psychosocial issues identified in the assessment may be prescribed.</w:t>
      </w:r>
    </w:p>
    <w:p>
      <w:pPr>
        <w:spacing w:after="20" w:line="223" w:lineRule="auto"/>
        <w:jc w:val="right"/>
        <w:bidi/>
      </w:pPr>
      <w:r>
        <w:rPr>
          <w:rFonts w:ascii="Arial" w:hAnsi="Arial"/>
          <w:sz w:val="16"/>
        </w:rPr>
        <w:t>415.07  مدت درگیری بر اساس مشکلات ارائه شده بیمار و خدمات توافق شده یا قرارداد رفتاری تعیین می‌شود.</w:t>
      </w:r>
    </w:p>
    <w:p>
      <w:pPr>
        <w:spacing w:after="28" w:line="216" w:lineRule="auto"/>
        <w:ind w:left="259"/>
        <w:jc w:val="left"/>
      </w:pPr>
      <w:r>
        <w:rPr>
          <w:rFonts w:ascii="Arial" w:hAnsi="Arial"/>
          <w:color w:val="525252"/>
          <w:sz w:val="13"/>
        </w:rPr>
        <w:t>Length of involvement will be determined based on the patient’s presenting problems and agreed-upon services or behavioral contract.</w:t>
      </w:r>
    </w:p>
    <w:p>
      <w:pPr>
        <w:spacing w:after="20" w:line="223" w:lineRule="auto"/>
        <w:jc w:val="right"/>
        <w:bidi/>
      </w:pPr>
      <w:r>
        <w:rPr>
          <w:rFonts w:ascii="Arial" w:hAnsi="Arial"/>
          <w:sz w:val="16"/>
        </w:rPr>
        <w:t>415.08  به افرادی که برای جدایی پردازش می‌شوند، مراقبت‌های پزشکی مناسب (شامل اما نه محدود به سم‌زدایی) قبل از جدایی ارائه می‌شود.</w:t>
      </w:r>
    </w:p>
    <w:p>
      <w:pPr>
        <w:spacing w:after="28" w:line="216" w:lineRule="auto"/>
        <w:ind w:left="259"/>
        <w:jc w:val="left"/>
      </w:pPr>
      <w:r>
        <w:rPr>
          <w:rFonts w:ascii="Arial" w:hAnsi="Arial"/>
          <w:color w:val="525252"/>
          <w:sz w:val="13"/>
        </w:rPr>
        <w:t>Individuals being processed for separation are provided appropriate medical care (including but not limited to detoxification) prior to separation.</w:t>
      </w:r>
    </w:p>
    <w:p>
      <w:pPr>
        <w:spacing w:after="20" w:line="223" w:lineRule="auto"/>
        <w:jc w:val="right"/>
        <w:bidi/>
      </w:pPr>
      <w:r>
        <w:rPr>
          <w:rFonts w:ascii="Arial" w:hAnsi="Arial"/>
          <w:sz w:val="16"/>
        </w:rPr>
        <w:t>415.09  اقدام جدایی به دلیل شرکت یک عضو در ADAPT به تعویق نمی‌افتد.</w:t>
      </w:r>
    </w:p>
    <w:p>
      <w:pPr>
        <w:spacing w:after="28" w:line="216" w:lineRule="auto"/>
        <w:ind w:left="259"/>
        <w:jc w:val="left"/>
      </w:pPr>
      <w:r>
        <w:rPr>
          <w:rFonts w:ascii="Arial" w:hAnsi="Arial"/>
          <w:color w:val="525252"/>
          <w:sz w:val="13"/>
        </w:rPr>
        <w:t>Separation action is not postponed because of a member’s participation in ADAPT.</w:t>
      </w:r>
    </w:p>
    <w:p>
      <w:pPr>
        <w:spacing w:after="20" w:line="223" w:lineRule="auto"/>
        <w:jc w:val="right"/>
        <w:bidi/>
      </w:pPr>
      <w:r>
        <w:rPr>
          <w:rFonts w:ascii="Arial" w:hAnsi="Arial"/>
          <w:sz w:val="16"/>
        </w:rPr>
        <w:t>415.10  خدمات بالینی.</w:t>
      </w:r>
    </w:p>
    <w:p>
      <w:pPr>
        <w:spacing w:after="28" w:line="216" w:lineRule="auto"/>
        <w:ind w:left="259"/>
        <w:jc w:val="left"/>
      </w:pPr>
      <w:r>
        <w:rPr>
          <w:rFonts w:ascii="Arial" w:hAnsi="Arial"/>
          <w:color w:val="525252"/>
          <w:sz w:val="13"/>
        </w:rPr>
        <w:t>Clinical Services.</w:t>
      </w:r>
    </w:p>
    <w:p>
      <w:pPr>
        <w:spacing w:after="20" w:line="223" w:lineRule="auto"/>
        <w:jc w:val="right"/>
        <w:bidi/>
      </w:pPr>
      <w:r>
        <w:rPr>
          <w:rFonts w:ascii="Arial" w:hAnsi="Arial"/>
          <w:sz w:val="16"/>
        </w:rPr>
        <w:t>415.11  کسانی که معیارهای تشخیصی اختلال مصرف مواد را دارند، با سطح و شدت مراقبتی که توسط مدیر برنامه ADAPT تعیین می‌شود، وارد درمان مصرف مواد می‌شوند.</w:t>
      </w:r>
    </w:p>
    <w:p>
      <w:pPr>
        <w:spacing w:after="28" w:line="216" w:lineRule="auto"/>
        <w:ind w:left="259"/>
        <w:jc w:val="left"/>
      </w:pPr>
      <w:r>
        <w:rPr>
          <w:rFonts w:ascii="Arial" w:hAnsi="Arial"/>
          <w:color w:val="525252"/>
          <w:sz w:val="13"/>
        </w:rPr>
        <w:t>Those who meet the diagnostic criteria for a substance use disorder will be entered into substance use treatment with the level and intensity of care determined by the ADAPT program manager.</w:t>
      </w:r>
    </w:p>
    <w:p>
      <w:pPr>
        <w:spacing w:after="20" w:line="223" w:lineRule="auto"/>
        <w:jc w:val="right"/>
        <w:bidi/>
      </w:pPr>
      <w:r>
        <w:rPr>
          <w:rFonts w:ascii="Arial" w:hAnsi="Arial"/>
          <w:sz w:val="16"/>
        </w:rPr>
        <w:t>415.12  بسته به نیاز اعضا، مدت اقامت یا مدت درمان متغیر در مجموعه‌ای از تنظیمات درمانی ارائه می‌شود که منعکس کننده یک رویکرد چند رشته‌ای برای کمک به بیمار برای دستیابی به بهبودی کامل، عاری از اثرات منفی مصرف مواد است.</w:t>
      </w:r>
    </w:p>
    <w:p>
      <w:pPr>
        <w:spacing w:after="28" w:line="216" w:lineRule="auto"/>
        <w:ind w:left="259"/>
        <w:jc w:val="left"/>
      </w:pPr>
      <w:r>
        <w:rPr>
          <w:rFonts w:ascii="Arial" w:hAnsi="Arial"/>
          <w:color w:val="525252"/>
          <w:sz w:val="13"/>
        </w:rPr>
        <w:t>Depending on the member’s needs, variable lengths of stay or duration of treatment are provided within an array of treatment settings that reflect a multidisciplinary approach to assist the patient to achieve full recovery, free of the negative effects of substance use.</w:t>
      </w:r>
    </w:p>
    <w:p>
      <w:pPr>
        <w:spacing w:after="20" w:line="223" w:lineRule="auto"/>
        <w:jc w:val="right"/>
        <w:bidi/>
      </w:pPr>
      <w:r>
        <w:rPr>
          <w:rFonts w:ascii="Arial" w:hAnsi="Arial"/>
          <w:sz w:val="16"/>
        </w:rPr>
        <w:t>415.13  تا حد ممکن، سم زدایی بیمار به صورت سرپایی مدیریت می‌شود.</w:t>
      </w:r>
    </w:p>
    <w:p>
      <w:pPr>
        <w:spacing w:after="28" w:line="216" w:lineRule="auto"/>
        <w:ind w:left="259"/>
        <w:jc w:val="left"/>
      </w:pPr>
      <w:r>
        <w:rPr>
          <w:rFonts w:ascii="Arial" w:hAnsi="Arial"/>
          <w:color w:val="525252"/>
          <w:sz w:val="13"/>
        </w:rPr>
        <w:t>To the greatest extent possible, patient detoxification will be managed on an outpatient basis.</w:t>
      </w:r>
    </w:p>
    <w:p>
      <w:pPr>
        <w:spacing w:after="20" w:line="223" w:lineRule="auto"/>
        <w:jc w:val="right"/>
        <w:bidi/>
      </w:pPr>
      <w:r>
        <w:rPr>
          <w:rFonts w:ascii="Arial" w:hAnsi="Arial"/>
          <w:sz w:val="16"/>
        </w:rPr>
        <w:t>415.14  افرادی که ارزیابی می‌شوند به سم‌زدایی با مدیریت پزشکی (در بستری) نیاز دارند، وارد یک مرکز پزشکی مناسب می‌شوند.</w:t>
      </w:r>
    </w:p>
    <w:p>
      <w:pPr>
        <w:spacing w:after="28" w:line="216" w:lineRule="auto"/>
        <w:ind w:left="259"/>
        <w:jc w:val="left"/>
      </w:pPr>
      <w:r>
        <w:rPr>
          <w:rFonts w:ascii="Arial" w:hAnsi="Arial"/>
          <w:color w:val="525252"/>
          <w:sz w:val="13"/>
        </w:rPr>
        <w:t>Individuals assessed as requiring medically managed (inpatient) detoxification will be entered into an appropriate medical facility.</w:t>
      </w:r>
    </w:p>
    <w:p>
      <w:pPr>
        <w:spacing w:after="20" w:line="223" w:lineRule="auto"/>
        <w:jc w:val="right"/>
        <w:bidi/>
      </w:pPr>
      <w:r>
        <w:rPr>
          <w:rFonts w:ascii="Arial" w:hAnsi="Arial"/>
          <w:sz w:val="16"/>
        </w:rPr>
        <w:t>415.15  مشارکت خانواده به شدت تشویق می‌شود.</w:t>
      </w:r>
    </w:p>
    <w:p>
      <w:pPr>
        <w:spacing w:after="28" w:line="216" w:lineRule="auto"/>
        <w:ind w:left="259"/>
        <w:jc w:val="left"/>
      </w:pPr>
      <w:r>
        <w:rPr>
          <w:rFonts w:ascii="Arial" w:hAnsi="Arial"/>
          <w:color w:val="525252"/>
          <w:sz w:val="13"/>
        </w:rPr>
        <w:t>Family involvement is strongly encouraged.</w:t>
      </w:r>
    </w:p>
    <w:p>
      <w:pPr>
        <w:spacing w:after="20" w:line="223" w:lineRule="auto"/>
        <w:jc w:val="right"/>
        <w:bidi/>
      </w:pPr>
      <w:r>
        <w:rPr>
          <w:rFonts w:ascii="Arial" w:hAnsi="Arial"/>
          <w:sz w:val="16"/>
        </w:rPr>
        <w:t>415.16  توجه: افراد مبتلا به اختلال مصرف مواد از مصرف الکل در مرحله اولیه درمان خودداری می‌کنند و به شدت تشویق می‌شوند که در طول مراقبت‌های بعدی نیز از مصرف الکل خودداری کنند.</w:t>
      </w:r>
    </w:p>
    <w:p>
      <w:pPr>
        <w:spacing w:after="28" w:line="216" w:lineRule="auto"/>
        <w:ind w:left="259"/>
        <w:jc w:val="left"/>
      </w:pPr>
      <w:r>
        <w:rPr>
          <w:rFonts w:ascii="Arial" w:hAnsi="Arial"/>
          <w:color w:val="525252"/>
          <w:sz w:val="13"/>
        </w:rPr>
        <w:t>Note: Individuals diagnosed with a substance use disorder will refrain from the use of alcohol during the initial phase of treatment and are strongly encouraged to continue to abstain during aftercare.</w:t>
      </w:r>
    </w:p>
    <w:p>
      <w:pPr>
        <w:spacing w:after="20" w:line="223" w:lineRule="auto"/>
        <w:jc w:val="right"/>
        <w:bidi/>
      </w:pPr>
      <w:r>
        <w:rPr>
          <w:rFonts w:ascii="Arial" w:hAnsi="Arial"/>
          <w:sz w:val="16"/>
        </w:rPr>
        <w:t>415.17  مشارکت در گروه‌های بازیابی خودیاری به‌عنوان مکمل درمان تشویق می‌شود.</w:t>
      </w:r>
    </w:p>
    <w:p>
      <w:pPr>
        <w:spacing w:after="28" w:line="216" w:lineRule="auto"/>
        <w:ind w:left="259"/>
        <w:jc w:val="left"/>
      </w:pPr>
      <w:r>
        <w:rPr>
          <w:rFonts w:ascii="Arial" w:hAnsi="Arial"/>
          <w:color w:val="525252"/>
          <w:sz w:val="13"/>
        </w:rPr>
        <w:t>Involvement in self-help recovery groups is encouraged as an adjunct to treatment.</w:t>
      </w:r>
    </w:p>
    <w:p>
      <w:pPr>
        <w:spacing w:after="20" w:line="223" w:lineRule="auto"/>
        <w:jc w:val="right"/>
        <w:bidi/>
      </w:pPr>
      <w:r>
        <w:rPr>
          <w:rFonts w:ascii="Arial" w:hAnsi="Arial"/>
          <w:sz w:val="16"/>
        </w:rPr>
        <w:t>415.18  دفعات حضور توسط تیم درمان همراه با بیمار تعیین می‌شود.</w:t>
      </w:r>
    </w:p>
    <w:p>
      <w:pPr>
        <w:spacing w:after="28" w:line="216" w:lineRule="auto"/>
        <w:ind w:left="259"/>
        <w:jc w:val="left"/>
      </w:pPr>
      <w:r>
        <w:rPr>
          <w:rFonts w:ascii="Arial" w:hAnsi="Arial"/>
          <w:color w:val="525252"/>
          <w:sz w:val="13"/>
        </w:rPr>
        <w:t>The frequency of attendance is determined by the treatment team with the patient.</w:t>
      </w:r>
    </w:p>
    <w:p>
      <w:pPr>
        <w:spacing w:after="20" w:line="223" w:lineRule="auto"/>
        <w:jc w:val="right"/>
        <w:bidi/>
      </w:pPr>
      <w:r>
        <w:rPr>
          <w:rFonts w:ascii="Arial" w:hAnsi="Arial"/>
          <w:sz w:val="16"/>
        </w:rPr>
        <w:t>415.19  تکمیل با موفقیت.</w:t>
      </w:r>
    </w:p>
    <w:p>
      <w:pPr>
        <w:spacing w:after="28" w:line="216" w:lineRule="auto"/>
        <w:ind w:left="259"/>
        <w:jc w:val="left"/>
      </w:pPr>
      <w:r>
        <w:rPr>
          <w:rFonts w:ascii="Arial" w:hAnsi="Arial"/>
          <w:color w:val="525252"/>
          <w:sz w:val="13"/>
        </w:rPr>
        <w:t>Successful Completion.</w:t>
      </w:r>
    </w:p>
    <w:p>
      <w:pPr>
        <w:spacing w:after="20" w:line="223" w:lineRule="auto"/>
        <w:jc w:val="right"/>
        <w:bidi/>
      </w:pPr>
      <w:r>
        <w:rPr>
          <w:rFonts w:ascii="Arial" w:hAnsi="Arial"/>
          <w:sz w:val="16"/>
        </w:rPr>
        <w:t>415.20  تا زمانی که بیمار درمان و مراقبت‌های مداوم (مراقبت‌های بعدی) را تکمیل نکرده باشد، بیمارانی که درمان را با موفقیت به پایان رسانده‌اند، در نظر گرفته نمی‌شوند.</w:t>
      </w:r>
    </w:p>
    <w:p>
      <w:pPr>
        <w:spacing w:after="28" w:line="216" w:lineRule="auto"/>
        <w:ind w:left="259"/>
        <w:jc w:val="left"/>
      </w:pPr>
      <w:r>
        <w:rPr>
          <w:rFonts w:ascii="Arial" w:hAnsi="Arial"/>
          <w:color w:val="525252"/>
          <w:sz w:val="13"/>
        </w:rPr>
        <w:t>Patients will not be considered to have successfully completed treatment until the patient has completed treatment and continuing care (aftercare).</w:t>
      </w:r>
    </w:p>
    <w:p>
      <w:pPr>
        <w:spacing w:after="20" w:line="223" w:lineRule="auto"/>
        <w:jc w:val="right"/>
        <w:bidi/>
      </w:pPr>
      <w:r>
        <w:rPr>
          <w:rFonts w:ascii="Arial" w:hAnsi="Arial"/>
          <w:sz w:val="16"/>
        </w:rPr>
        <w:t>415.21  بر اساس دستورالعمل‌های عملکرد بالینی امور کهنه‌کاران/دپارتمان دفاع برای مدیریت اختلالات مصرف مواد، معیارهای راهنمای تشخیصی و آماری اختلالات روانی فعلی و معیارهای انجمن پزشکی اعتیاد آمریکا، تیم درمان تعیین می‌کند که پیشرفت بیمار به سمت توافق‌شده بهبودی بیمار را تعیین می‌کند و زمانی که در برنامه‌های درمانی مورد توافق قرار گرفته و به‌طور قطعی در برنامه‌های درمانی مشخص شده است، تعیین می‌کند که بیمار به‌طور مؤثری تعیین کند. منابع برنامه</w:t>
      </w:r>
    </w:p>
    <w:p>
      <w:pPr>
        <w:spacing w:after="28" w:line="216" w:lineRule="auto"/>
        <w:ind w:left="259"/>
        <w:jc w:val="left"/>
      </w:pPr>
      <w:r>
        <w:rPr>
          <w:rFonts w:ascii="Arial" w:hAnsi="Arial"/>
          <w:color w:val="525252"/>
          <w:sz w:val="13"/>
        </w:rPr>
        <w:t>Based on Veterans Affairs/Department of Defense Clinical Practice Guidelines for Management of Substance Use Disorders, current Diagnostic and Statistical Manual of Mental Disorders criteria and American Society of Addiction Medicine criteria, the treatment team determines patient progress toward agreed-upon goals and issues as stated in the treatment plan and determines when the patient is effectively in recovery and no longer requires program resources.</w:t>
      </w:r>
    </w:p>
    <w:p>
      <w:pPr>
        <w:spacing w:after="20" w:line="223" w:lineRule="auto"/>
        <w:jc w:val="right"/>
        <w:bidi/>
      </w:pPr>
      <w:r>
        <w:rPr>
          <w:rFonts w:ascii="Arial" w:hAnsi="Arial"/>
          <w:sz w:val="16"/>
        </w:rPr>
        <w:t>415.22  از کار افتادن برنامه.</w:t>
      </w:r>
    </w:p>
    <w:p>
      <w:pPr>
        <w:spacing w:after="28" w:line="216" w:lineRule="auto"/>
        <w:ind w:left="259"/>
        <w:jc w:val="left"/>
      </w:pPr>
      <w:r>
        <w:rPr>
          <w:rFonts w:ascii="Arial" w:hAnsi="Arial"/>
          <w:color w:val="525252"/>
          <w:sz w:val="13"/>
        </w:rPr>
        <w:t>Failing the Program.</w:t>
      </w:r>
    </w:p>
    <w:p>
      <w:pPr>
        <w:spacing w:after="20" w:line="223" w:lineRule="auto"/>
        <w:jc w:val="right"/>
        <w:bidi/>
      </w:pPr>
      <w:r>
        <w:rPr>
          <w:rFonts w:ascii="Arial" w:hAnsi="Arial"/>
          <w:sz w:val="16"/>
        </w:rPr>
        <w:t>415.23  تیم درمان ممکن است شکست شرکت بیمار در برنامه را بر اساس الگوی نشان داده شده از رفتار غیرقابل قبول تشخیص دهد. ناتوانی یا عدم تمایل به پیروی از برنامه درمانی خود؛ یا درگیر شدن در حوادث مربوط به الکل یا مواد مخدر پس از دریافت درمان اولیه.</w:t>
      </w:r>
    </w:p>
    <w:p>
      <w:pPr>
        <w:spacing w:after="28" w:line="216" w:lineRule="auto"/>
        <w:ind w:left="259"/>
        <w:jc w:val="left"/>
      </w:pPr>
      <w:r>
        <w:rPr>
          <w:rFonts w:ascii="Arial" w:hAnsi="Arial"/>
          <w:color w:val="525252"/>
          <w:sz w:val="13"/>
        </w:rPr>
        <w:t>The treatment team may determine failure of a patient’s participation in the program based on a demonstrated pattern of unacceptable behavior; inability or unwillingness to comply with their treatment plan; or involvement in alcohol or drug-related incidents after receiving initial treatment.</w:t>
      </w:r>
    </w:p>
    <w:p>
      <w:pPr>
        <w:spacing w:after="20" w:line="223" w:lineRule="auto"/>
        <w:jc w:val="right"/>
        <w:bidi/>
      </w:pPr>
      <w:r>
        <w:rPr>
          <w:rFonts w:ascii="Arial" w:hAnsi="Arial"/>
          <w:sz w:val="16"/>
        </w:rPr>
        <w:t>415.24  فردی که در ADAPT شکست خورده باشد توسط فرمانده خود برای جدایی اداری در نظر گرفته می‌شود.</w:t>
      </w:r>
    </w:p>
    <w:p>
      <w:pPr>
        <w:spacing w:after="28" w:line="216" w:lineRule="auto"/>
        <w:ind w:left="259"/>
        <w:jc w:val="left"/>
      </w:pPr>
      <w:r>
        <w:rPr>
          <w:rFonts w:ascii="Arial" w:hAnsi="Arial"/>
          <w:color w:val="525252"/>
          <w:sz w:val="13"/>
        </w:rPr>
        <w:t>An individual who has failed ADAPT will be considered for administrative separation by his or her commander.</w:t>
      </w:r>
    </w:p>
    <w:p>
      <w:pPr>
        <w:spacing w:after="20" w:line="223" w:lineRule="auto"/>
        <w:jc w:val="right"/>
        <w:bidi/>
      </w:pPr>
      <w:r>
        <w:rPr>
          <w:rFonts w:ascii="Arial" w:hAnsi="Arial"/>
          <w:sz w:val="16"/>
        </w:rPr>
        <w:t>415.25  تصمیمات مربوط به خدمات مراقبت‌های پس از آن بر اساس ارزیابی فعلی وضعیت خواهد بود و شامل ایجاد یک طرح درمان مراقبت‌های پس از آن است که اهداف، مداخلات و ابزارهای خاص برای ارزیابی مداخلات را مشخص می‌کند.</w:t>
      </w:r>
    </w:p>
    <w:p>
      <w:pPr>
        <w:spacing w:after="28" w:line="216" w:lineRule="auto"/>
        <w:ind w:left="259"/>
        <w:jc w:val="left"/>
      </w:pPr>
      <w:r>
        <w:rPr>
          <w:rFonts w:ascii="Arial" w:hAnsi="Arial"/>
          <w:color w:val="525252"/>
          <w:sz w:val="13"/>
        </w:rPr>
        <w:t>Decisions regarding aftercare services will be based on a current assessment of status and will include establishment of an aftercare treatment plan identifying specific goals, interventions, and means to assess interventions.</w:t>
      </w:r>
    </w:p>
    <w:p>
      <w:pPr>
        <w:spacing w:before="60" w:after="28"/>
        <w:jc w:val="right"/>
        <w:bidi/>
      </w:pPr>
      <w:r>
        <w:rPr>
          <w:b/>
          <w:color w:val="1F4D78"/>
          <w:sz w:val="18"/>
        </w:rPr>
        <w:t>22.25. مدیریت پرسنل با اختلالات مصرف مواد</w:t>
      </w:r>
    </w:p>
    <w:p>
      <w:pPr>
        <w:spacing w:after="20"/>
        <w:ind w:left="259"/>
        <w:jc w:val="left"/>
      </w:pPr>
      <w:r>
        <w:rPr>
          <w:color w:val="555555"/>
          <w:sz w:val="12"/>
        </w:rPr>
        <w:t>22.25. Management of Personnel with Substance use Disorders</w:t>
      </w:r>
    </w:p>
    <w:p>
      <w:pPr>
        <w:spacing w:after="20" w:line="223" w:lineRule="auto"/>
        <w:jc w:val="right"/>
        <w:bidi/>
      </w:pPr>
      <w:r>
        <w:rPr>
          <w:rFonts w:ascii="Arial" w:hAnsi="Arial"/>
          <w:sz w:val="16"/>
        </w:rPr>
        <w:t>415.27  فرمانده مسئول کلیه اقدامات پرسنلی و اداری مربوط به بیماران درگیر در ADAPT است، از جمله در دسترس بودن مأموریت، واجد شرایط بودن ارتقاء، واجد شرایط بودن ثبت‌نام مجدد، برنامه قابلیت اطمینان پرسنل، و مجوز امنیتی.</w:t>
      </w:r>
    </w:p>
    <w:p>
      <w:pPr>
        <w:spacing w:after="28" w:line="216" w:lineRule="auto"/>
        <w:ind w:left="259"/>
        <w:jc w:val="left"/>
      </w:pPr>
      <w:r>
        <w:rPr>
          <w:rFonts w:ascii="Arial" w:hAnsi="Arial"/>
          <w:color w:val="525252"/>
          <w:sz w:val="13"/>
        </w:rPr>
        <w:t>The commander is responsible for all personnel and administrative actions pertaining to patients involved in ADAPT, to include assignment availability, promotion eligibility, reenlistment eligibility, personnel reliability program, and security clearance.</w:t>
      </w:r>
    </w:p>
    <w:p>
      <w:pPr>
        <w:spacing w:after="20" w:line="223" w:lineRule="auto"/>
        <w:jc w:val="right"/>
        <w:bidi/>
      </w:pPr>
      <w:r>
        <w:rPr>
          <w:rFonts w:ascii="Arial" w:hAnsi="Arial"/>
          <w:sz w:val="16"/>
        </w:rPr>
        <w:t>415.28  اعمال محدودیت‌های اداری باید بر اساس ایجاد یک فایل اطلاعاتی نامطلوب یا فهرست کنترلی ناشی از رفتار غیرقابل قبول اعضا باشد و نه صرفا بر اساس دخالت آنها در ADAPT.</w:t>
      </w:r>
    </w:p>
    <w:p>
      <w:pPr>
        <w:spacing w:after="28" w:line="216" w:lineRule="auto"/>
        <w:ind w:left="259"/>
        <w:jc w:val="left"/>
      </w:pPr>
      <w:r>
        <w:rPr>
          <w:rFonts w:ascii="Arial" w:hAnsi="Arial"/>
          <w:color w:val="525252"/>
          <w:sz w:val="13"/>
        </w:rPr>
        <w:t>Application of administrative restrictions should be based on the establishment of an unfavorable information file or control roster resulting from the member’s unacceptable behavior, and not solely based on their involvement in ADAPT.</w:t>
      </w:r>
    </w:p>
    <w:p>
      <w:pPr>
        <w:spacing w:after="20" w:line="223" w:lineRule="auto"/>
        <w:jc w:val="right"/>
        <w:bidi/>
      </w:pPr>
      <w:r>
        <w:rPr>
          <w:rFonts w:ascii="Arial" w:hAnsi="Arial"/>
          <w:sz w:val="16"/>
        </w:rPr>
        <w:t>415.29  تعیین خط وظیفه.</w:t>
      </w:r>
    </w:p>
    <w:p>
      <w:pPr>
        <w:spacing w:after="28" w:line="216" w:lineRule="auto"/>
        <w:ind w:left="259"/>
        <w:jc w:val="left"/>
      </w:pPr>
      <w:r>
        <w:rPr>
          <w:rFonts w:ascii="Arial" w:hAnsi="Arial"/>
          <w:color w:val="525252"/>
          <w:sz w:val="13"/>
        </w:rPr>
        <w:t>The Line of Duty Determination.</w:t>
      </w:r>
    </w:p>
    <w:p>
      <w:pPr>
        <w:spacing w:after="20" w:line="223" w:lineRule="auto"/>
        <w:jc w:val="right"/>
        <w:bidi/>
      </w:pPr>
      <w:r>
        <w:rPr>
          <w:rFonts w:ascii="Arial" w:hAnsi="Arial"/>
          <w:sz w:val="16"/>
        </w:rPr>
        <w:t>415.30  سوء رفتار یک عضو در مصرف مواد می‌تواند منجر به تعیین خط وظیفه شود.</w:t>
      </w:r>
    </w:p>
    <w:p>
      <w:pPr>
        <w:spacing w:after="28" w:line="216" w:lineRule="auto"/>
        <w:ind w:left="259"/>
        <w:jc w:val="left"/>
      </w:pPr>
      <w:r>
        <w:rPr>
          <w:rFonts w:ascii="Arial" w:hAnsi="Arial"/>
          <w:color w:val="525252"/>
          <w:sz w:val="13"/>
        </w:rPr>
        <w:t>A member’s substance use misconduct can lead to a line of duty determination.</w:t>
      </w:r>
    </w:p>
    <w:p>
      <w:pPr>
        <w:spacing w:after="20" w:line="223" w:lineRule="auto"/>
        <w:jc w:val="right"/>
        <w:bidi/>
      </w:pPr>
      <w:r>
        <w:rPr>
          <w:rFonts w:ascii="Arial" w:hAnsi="Arial"/>
          <w:sz w:val="16"/>
        </w:rPr>
        <w:t>415.31  تعیین خط وظیفه، یافته‌ای است که پس از تحقیق در مورد</w:t>
      </w:r>
    </w:p>
    <w:p>
      <w:pPr>
        <w:spacing w:after="28" w:line="216" w:lineRule="auto"/>
        <w:ind w:left="259"/>
        <w:jc w:val="left"/>
      </w:pPr>
      <w:r>
        <w:rPr>
          <w:rFonts w:ascii="Arial" w:hAnsi="Arial"/>
          <w:color w:val="525252"/>
          <w:sz w:val="13"/>
        </w:rPr>
        <w:t>A line of duty determination is a finding made after an investigation into the</w:t>
      </w:r>
    </w:p>
    <w:p>
      <w:r>
        <w:br w:type="page"/>
      </w:r>
    </w:p>
    <w:p>
      <w:pPr>
        <w:spacing w:after="60"/>
        <w:jc w:val="right"/>
        <w:bidi/>
      </w:pPr>
      <w:r>
        <w:rPr>
          <w:rFonts w:ascii="Arial" w:hAnsi="Arial"/>
          <w:b/>
          <w:color w:val="1F4D78"/>
          <w:sz w:val="19"/>
        </w:rPr>
        <w:t>هفتهٔ 416  |  صفحهٔ منبع: 432</w:t>
      </w:r>
    </w:p>
    <w:p>
      <w:pPr>
        <w:spacing w:after="20" w:line="223" w:lineRule="auto"/>
        <w:jc w:val="right"/>
        <w:bidi/>
      </w:pPr>
      <w:r>
        <w:rPr>
          <w:rFonts w:ascii="Arial" w:hAnsi="Arial"/>
          <w:sz w:val="16"/>
        </w:rPr>
        <w:t>416.01  شرایط بیماری، جراحت، بیماری یا مرگ یک عضو.</w:t>
      </w:r>
    </w:p>
    <w:p>
      <w:pPr>
        <w:spacing w:after="28" w:line="216" w:lineRule="auto"/>
        <w:ind w:left="259"/>
        <w:jc w:val="left"/>
      </w:pPr>
      <w:r>
        <w:rPr>
          <w:rFonts w:ascii="Arial" w:hAnsi="Arial"/>
          <w:color w:val="525252"/>
          <w:sz w:val="13"/>
        </w:rPr>
        <w:t>circumstances of a member’s illness, injury, disease, or death.</w:t>
      </w:r>
    </w:p>
    <w:p>
      <w:pPr>
        <w:spacing w:after="20" w:line="223" w:lineRule="auto"/>
        <w:jc w:val="right"/>
        <w:bidi/>
      </w:pPr>
      <w:r>
        <w:rPr>
          <w:rFonts w:ascii="Arial" w:hAnsi="Arial"/>
          <w:sz w:val="16"/>
        </w:rPr>
        <w:t>416.02  تعیین خط وظیفه از منافع هر دو عضو و دولت ایالات متحده محافظت می‌کند.</w:t>
      </w:r>
    </w:p>
    <w:p>
      <w:pPr>
        <w:spacing w:after="28" w:line="216" w:lineRule="auto"/>
        <w:ind w:left="259"/>
        <w:jc w:val="left"/>
      </w:pPr>
      <w:r>
        <w:rPr>
          <w:rFonts w:ascii="Arial" w:hAnsi="Arial"/>
          <w:color w:val="525252"/>
          <w:sz w:val="13"/>
        </w:rPr>
        <w:t>The line of duty determination protects the interests of both the member and the U.S. Government.</w:t>
      </w:r>
    </w:p>
    <w:p>
      <w:pPr>
        <w:spacing w:after="20" w:line="223" w:lineRule="auto"/>
        <w:jc w:val="right"/>
        <w:bidi/>
      </w:pPr>
      <w:r>
        <w:rPr>
          <w:rFonts w:ascii="Arial" w:hAnsi="Arial"/>
          <w:sz w:val="16"/>
        </w:rPr>
        <w:t>416.03  یافته‌ها نتیجه می‌گیرد: (۱) آیا بیماری، جراحت یا بیماری قبل از خدمت وجود داشته است یا خیر، و اگر شرایط موجود قبل از خدمت با خدمت سربازی تشدید شده باشد. (۲) اینکه آیا بیماری، جراحت، بیماری یا مرگ در زمانی رخ داده است که عضو بدون مجوز غایب بوده است یا خیر. و (۳) آیا بیماری، جراحت، بیماری یا مرگ ناشی از رفتار نادرست اعضا بوده است یا خیر.</w:t>
      </w:r>
    </w:p>
    <w:p>
      <w:pPr>
        <w:spacing w:after="28" w:line="216" w:lineRule="auto"/>
        <w:ind w:left="259"/>
        <w:jc w:val="left"/>
      </w:pPr>
      <w:r>
        <w:rPr>
          <w:rFonts w:ascii="Arial" w:hAnsi="Arial"/>
          <w:color w:val="525252"/>
          <w:sz w:val="13"/>
        </w:rPr>
        <w:t>The finding concludes: (1) whether or not the illness, injury, or disease existed prior to service, and if an existed prior to service condition was aggravated by military service; (2) whether or not the illness, injury, disease, or death occurred while the member was absent without authority; and (3) whether or not the illness, injury, disease, or death was due to the member’s misconduct.</w:t>
      </w:r>
    </w:p>
    <w:p>
      <w:pPr>
        <w:spacing w:after="20" w:line="223" w:lineRule="auto"/>
        <w:jc w:val="right"/>
        <w:bidi/>
      </w:pPr>
      <w:r>
        <w:rPr>
          <w:rFonts w:ascii="Arial" w:hAnsi="Arial"/>
          <w:sz w:val="16"/>
        </w:rPr>
        <w:t>416.04  تعیین خط وظیفه ممکن است بر حقوق بازنشستگی و انفصال از کارافتادگی، محرومیت از حقوق، دوره سربازی، و همچنین مزایای جانبازی تأثیر بگذارد.</w:t>
      </w:r>
    </w:p>
    <w:p>
      <w:pPr>
        <w:spacing w:after="28" w:line="216" w:lineRule="auto"/>
        <w:ind w:left="259"/>
        <w:jc w:val="left"/>
      </w:pPr>
      <w:r>
        <w:rPr>
          <w:rFonts w:ascii="Arial" w:hAnsi="Arial"/>
          <w:color w:val="525252"/>
          <w:sz w:val="13"/>
        </w:rPr>
        <w:t>A line of duty determination may impact disability retirement and severance pay, forfeiture of pay, period of enlistment, as well as veteran benefits.</w:t>
      </w:r>
    </w:p>
    <w:p>
      <w:pPr>
        <w:spacing w:after="20" w:line="223" w:lineRule="auto"/>
        <w:jc w:val="right"/>
        <w:bidi/>
      </w:pPr>
      <w:r>
        <w:rPr>
          <w:rFonts w:ascii="Arial" w:hAnsi="Arial"/>
          <w:sz w:val="16"/>
        </w:rPr>
        <w:t>416.05  راهنمایی‌های اضافی را می‌توانید در DAFI ۳۶-۲۹۱۰، تعیین خط وظیفه (LOD)، تداوم پزشکی (MEDCON) و پرداخت ناتوانی (INCAP) پیدا کنید.</w:t>
      </w:r>
    </w:p>
    <w:p>
      <w:pPr>
        <w:spacing w:after="28" w:line="216" w:lineRule="auto"/>
        <w:ind w:left="259"/>
        <w:jc w:val="left"/>
      </w:pPr>
      <w:r>
        <w:rPr>
          <w:rFonts w:ascii="Arial" w:hAnsi="Arial"/>
          <w:color w:val="525252"/>
          <w:sz w:val="13"/>
        </w:rPr>
        <w:t>Additional guidance may be found in DAFI 36-2910, Line of Duty (LOD) Determination, Medical Continuation (MEDCON), and Incapacitation (INCAP) Pay.</w:t>
      </w:r>
    </w:p>
    <w:p>
      <w:pPr>
        <w:spacing w:after="20" w:line="223" w:lineRule="auto"/>
        <w:jc w:val="right"/>
        <w:bidi/>
      </w:pPr>
      <w:r>
        <w:rPr>
          <w:rFonts w:ascii="Arial" w:hAnsi="Arial"/>
          <w:sz w:val="16"/>
        </w:rPr>
        <w:t>416.06  ارجاعات مراقبت‌های پزشکی.</w:t>
      </w:r>
    </w:p>
    <w:p>
      <w:pPr>
        <w:spacing w:after="28" w:line="216" w:lineRule="auto"/>
        <w:ind w:left="259"/>
        <w:jc w:val="left"/>
      </w:pPr>
      <w:r>
        <w:rPr>
          <w:rFonts w:ascii="Arial" w:hAnsi="Arial"/>
          <w:color w:val="525252"/>
          <w:sz w:val="13"/>
        </w:rPr>
        <w:t>Medical Care Referrals.</w:t>
      </w:r>
    </w:p>
    <w:p>
      <w:pPr>
        <w:spacing w:after="20" w:line="223" w:lineRule="auto"/>
        <w:jc w:val="right"/>
        <w:bidi/>
      </w:pPr>
      <w:r>
        <w:rPr>
          <w:rFonts w:ascii="Arial" w:hAnsi="Arial"/>
          <w:sz w:val="16"/>
        </w:rPr>
        <w:t>416.07  پرسنل پزشکی باید به فرمانده واحد و مدیر برنامه ADAPT در صورت مشاهده، شناسایی یا مشکوک بودن عضو تحت تأثیر مواد مخدر یا الکل در حین جستجوی مراقبت پزشکی، اطلاع دهند. برای آسیب یا بیماری که ممکن است در نتیجه مصرف مواد باشد درمان می‌شود. مشکوک به سوء استفاده از مواد است. یا به‌عنوان بیمار برای سم زدایی الکل یا مواد مخدر بستری شده است.</w:t>
      </w:r>
    </w:p>
    <w:p>
      <w:pPr>
        <w:spacing w:after="28" w:line="216" w:lineRule="auto"/>
        <w:ind w:left="259"/>
        <w:jc w:val="left"/>
      </w:pPr>
      <w:r>
        <w:rPr>
          <w:rFonts w:ascii="Arial" w:hAnsi="Arial"/>
          <w:color w:val="525252"/>
          <w:sz w:val="13"/>
        </w:rPr>
        <w:t>Medical personnel must notify the unit commander and the ADAPT program manager when a member is observed, identified, or suspected as being under the influence of drugs or alcohol while seeking medical care; receives treatment for an injury or illness that may be the result of substance use; is suspected of abusing substances; or is admitted as a patient for alcohol or drug detoxification.</w:t>
      </w:r>
    </w:p>
    <w:p>
      <w:r>
        <w:br w:type="page"/>
      </w:r>
    </w:p>
    <w:p>
      <w:pPr>
        <w:spacing w:after="60"/>
        <w:jc w:val="right"/>
        <w:bidi/>
      </w:pPr>
      <w:r>
        <w:rPr>
          <w:rFonts w:ascii="Arial" w:hAnsi="Arial"/>
          <w:b/>
          <w:color w:val="1F4D78"/>
          <w:sz w:val="19"/>
        </w:rPr>
        <w:t>هفتهٔ 417  |  صفحهٔ منبع: 433</w:t>
      </w:r>
    </w:p>
    <w:p>
      <w:pPr>
        <w:spacing w:before="60" w:after="28"/>
        <w:jc w:val="right"/>
        <w:bidi/>
      </w:pPr>
      <w:r>
        <w:rPr>
          <w:b/>
          <w:color w:val="1F4D78"/>
          <w:sz w:val="18"/>
        </w:rPr>
        <w:t>بخش 22E - وضعیت آمادگی ذهنی</w:t>
      </w:r>
    </w:p>
    <w:p>
      <w:pPr>
        <w:spacing w:after="20"/>
        <w:ind w:left="259"/>
        <w:jc w:val="left"/>
      </w:pPr>
      <w:r>
        <w:rPr>
          <w:color w:val="555555"/>
          <w:sz w:val="12"/>
        </w:rPr>
        <w:t>Section 22E—Readiness State of Mind</w:t>
      </w:r>
    </w:p>
    <w:p>
      <w:pPr>
        <w:spacing w:before="60" w:after="28"/>
        <w:jc w:val="right"/>
        <w:bidi/>
      </w:pPr>
      <w:r>
        <w:rPr>
          <w:b/>
          <w:color w:val="1F4D78"/>
          <w:sz w:val="18"/>
        </w:rPr>
        <w:t>22.26. آمادگی ذهنی</w:t>
      </w:r>
    </w:p>
    <w:p>
      <w:pPr>
        <w:spacing w:after="20"/>
        <w:ind w:left="259"/>
        <w:jc w:val="left"/>
      </w:pPr>
      <w:r>
        <w:rPr>
          <w:color w:val="555555"/>
          <w:sz w:val="12"/>
        </w:rPr>
        <w:t>22.26. Mental Preparedness</w:t>
      </w:r>
    </w:p>
    <w:p>
      <w:pPr>
        <w:spacing w:after="20" w:line="223" w:lineRule="auto"/>
        <w:jc w:val="right"/>
        <w:bidi/>
      </w:pPr>
      <w:r>
        <w:rPr>
          <w:rFonts w:ascii="Arial" w:hAnsi="Arial"/>
          <w:sz w:val="16"/>
        </w:rPr>
        <w:t>417.03  یکی از نشانه‌های بارز یک حرفه‌ای نظامی، آمادگی است.</w:t>
      </w:r>
    </w:p>
    <w:p>
      <w:pPr>
        <w:spacing w:after="28" w:line="216" w:lineRule="auto"/>
        <w:ind w:left="259"/>
        <w:jc w:val="left"/>
      </w:pPr>
      <w:r>
        <w:rPr>
          <w:rFonts w:ascii="Arial" w:hAnsi="Arial"/>
          <w:color w:val="525252"/>
          <w:sz w:val="13"/>
        </w:rPr>
        <w:t>One of the telltale signs of a military professional is preparation.</w:t>
      </w:r>
    </w:p>
    <w:p>
      <w:pPr>
        <w:spacing w:after="20" w:line="223" w:lineRule="auto"/>
        <w:jc w:val="right"/>
        <w:bidi/>
      </w:pPr>
      <w:r>
        <w:rPr>
          <w:rFonts w:ascii="Arial" w:hAnsi="Arial"/>
          <w:sz w:val="16"/>
        </w:rPr>
        <w:t>417.04  وقتی زمان استفاده از مهارت هایی که آموخته‌ایم فرا می‌رسد، متخصصان نظامی آماده هستند.</w:t>
      </w:r>
    </w:p>
    <w:p>
      <w:pPr>
        <w:spacing w:after="28" w:line="216" w:lineRule="auto"/>
        <w:ind w:left="259"/>
        <w:jc w:val="left"/>
      </w:pPr>
      <w:r>
        <w:rPr>
          <w:rFonts w:ascii="Arial" w:hAnsi="Arial"/>
          <w:color w:val="525252"/>
          <w:sz w:val="13"/>
        </w:rPr>
        <w:t>When the time comes to use the skills we’ve learned, military professionals are ready.</w:t>
      </w:r>
    </w:p>
    <w:p>
      <w:pPr>
        <w:spacing w:after="20" w:line="223" w:lineRule="auto"/>
        <w:jc w:val="right"/>
        <w:bidi/>
      </w:pPr>
      <w:r>
        <w:rPr>
          <w:rFonts w:ascii="Arial" w:hAnsi="Arial"/>
          <w:sz w:val="16"/>
        </w:rPr>
        <w:t>417.05  بیشتر تجربیات با پذیرش فرصت‌ها به دست می‌آیند، حتی زمانی که شرایط عالی نیستند.</w:t>
      </w:r>
    </w:p>
    <w:p>
      <w:pPr>
        <w:spacing w:after="28" w:line="216" w:lineRule="auto"/>
        <w:ind w:left="259"/>
        <w:jc w:val="left"/>
      </w:pPr>
      <w:r>
        <w:rPr>
          <w:rFonts w:ascii="Arial" w:hAnsi="Arial"/>
          <w:color w:val="525252"/>
          <w:sz w:val="13"/>
        </w:rPr>
        <w:t>Most experience is gained by accepting opportunities as they come, even when conditions are not perfect.</w:t>
      </w:r>
    </w:p>
    <w:p>
      <w:pPr>
        <w:spacing w:after="20" w:line="223" w:lineRule="auto"/>
        <w:jc w:val="right"/>
        <w:bidi/>
      </w:pPr>
      <w:r>
        <w:rPr>
          <w:rFonts w:ascii="Arial" w:hAnsi="Arial"/>
          <w:sz w:val="16"/>
        </w:rPr>
        <w:t>417.06  از طریق تجربه، متخصصان اعتماد به نفس، قضاوت، شجاعت و صداقت لازم برای ادامه پیشرفت حرفه‌ای را ایجاد می‌کنند.</w:t>
      </w:r>
    </w:p>
    <w:p>
      <w:pPr>
        <w:spacing w:after="28" w:line="216" w:lineRule="auto"/>
        <w:ind w:left="259"/>
        <w:jc w:val="left"/>
      </w:pPr>
      <w:r>
        <w:rPr>
          <w:rFonts w:ascii="Arial" w:hAnsi="Arial"/>
          <w:color w:val="525252"/>
          <w:sz w:val="13"/>
        </w:rPr>
        <w:t>Through experience, professionals build the confidence, judgment, courage, and integrity needed to continue developing professionally.</w:t>
      </w:r>
    </w:p>
    <w:p>
      <w:pPr>
        <w:spacing w:after="20" w:line="223" w:lineRule="auto"/>
        <w:jc w:val="right"/>
        <w:bidi/>
      </w:pPr>
      <w:r>
        <w:rPr>
          <w:rFonts w:ascii="Arial" w:hAnsi="Arial"/>
          <w:sz w:val="16"/>
        </w:rPr>
        <w:t>417.07  USAF متعهد به مراقبت از هوانوردان و خانواده‌ها است و طیف گسترده‌ای از قابلیت‌های پشتیبانی را برای رسیدگی به مسائل و مراقبت از کل نیرو در دسترس دارد.</w:t>
      </w:r>
    </w:p>
    <w:p>
      <w:pPr>
        <w:spacing w:after="28" w:line="216" w:lineRule="auto"/>
        <w:ind w:left="259"/>
        <w:jc w:val="left"/>
      </w:pPr>
      <w:r>
        <w:rPr>
          <w:rFonts w:ascii="Arial" w:hAnsi="Arial"/>
          <w:color w:val="525252"/>
          <w:sz w:val="13"/>
        </w:rPr>
        <w:t>The USAF is committed to taking care of Airmen and families and has a wide-range of support capabilities available to address issues and take care of the Total Force.</w:t>
      </w:r>
    </w:p>
    <w:p>
      <w:pPr>
        <w:spacing w:after="20" w:line="223" w:lineRule="auto"/>
        <w:jc w:val="right"/>
        <w:bidi/>
      </w:pPr>
      <w:r>
        <w:rPr>
          <w:rFonts w:ascii="Arial" w:hAnsi="Arial"/>
          <w:sz w:val="16"/>
        </w:rPr>
        <w:t>417.08  علیرغم اینکه چقدر ممکن است احساس آمادگی کنیم، خواسته‌های مأموریت گاهی اوقات می‌تواند عوامل استرس‌زا را افزایش دهد که بر رفاه و انعطاف‌پذیری تأثیر می‌گذارد.</w:t>
      </w:r>
    </w:p>
    <w:p>
      <w:pPr>
        <w:spacing w:after="28" w:line="216" w:lineRule="auto"/>
        <w:ind w:left="259"/>
        <w:jc w:val="left"/>
      </w:pPr>
      <w:r>
        <w:rPr>
          <w:rFonts w:ascii="Arial" w:hAnsi="Arial"/>
          <w:color w:val="525252"/>
          <w:sz w:val="13"/>
        </w:rPr>
        <w:t>Despite how ready we may feel, demands of the mission can sometimes increase stressors affecting well-being and resiliency.</w:t>
      </w:r>
    </w:p>
    <w:p>
      <w:pPr>
        <w:spacing w:before="60" w:after="28"/>
        <w:jc w:val="right"/>
        <w:bidi/>
      </w:pPr>
      <w:r>
        <w:rPr>
          <w:b/>
          <w:color w:val="1F4D78"/>
          <w:sz w:val="18"/>
        </w:rPr>
        <w:t>22.27. کمک های اولیه روانی</w:t>
      </w:r>
    </w:p>
    <w:p>
      <w:pPr>
        <w:spacing w:after="20"/>
        <w:ind w:left="259"/>
        <w:jc w:val="left"/>
      </w:pPr>
      <w:r>
        <w:rPr>
          <w:color w:val="555555"/>
          <w:sz w:val="12"/>
        </w:rPr>
        <w:t>22.27. Psychological First Aid</w:t>
      </w:r>
    </w:p>
    <w:p>
      <w:pPr>
        <w:spacing w:after="20" w:line="223" w:lineRule="auto"/>
        <w:jc w:val="right"/>
        <w:bidi/>
      </w:pPr>
      <w:r>
        <w:rPr>
          <w:rFonts w:ascii="Arial" w:hAnsi="Arial"/>
          <w:sz w:val="16"/>
        </w:rPr>
        <w:t>417.10  کمک‌های اولیه روان‌شناختی راهی برای کاهش استرس اولیه و مداوم با توسعه مهارت‌های سازگاری و بهبودی است.</w:t>
      </w:r>
    </w:p>
    <w:p>
      <w:pPr>
        <w:spacing w:after="28" w:line="216" w:lineRule="auto"/>
        <w:ind w:left="259"/>
        <w:jc w:val="left"/>
      </w:pPr>
      <w:r>
        <w:rPr>
          <w:rFonts w:ascii="Arial" w:hAnsi="Arial"/>
          <w:color w:val="525252"/>
          <w:sz w:val="13"/>
        </w:rPr>
        <w:t>Psychological first aid is a way of reducing initial and ongoing stress by developing adaptive coping and recovery skills.</w:t>
      </w:r>
    </w:p>
    <w:p>
      <w:pPr>
        <w:spacing w:after="20" w:line="223" w:lineRule="auto"/>
        <w:jc w:val="right"/>
        <w:bidi/>
      </w:pPr>
      <w:r>
        <w:rPr>
          <w:rFonts w:ascii="Arial" w:hAnsi="Arial"/>
          <w:sz w:val="16"/>
        </w:rPr>
        <w:t>417.11  هوانوردانی که با خواب کافی، خوردن یک رژیم غذایی متعادل، و وقت گذاشتن برای استراحت و آرامش، همراه با استفاده از مهارت‌های مثبت مدیریت استرس از خود مراقبت می‌کنند، می‌توانند استرس واقعی و درک شده را در زندگی خود کاهش دهند.</w:t>
      </w:r>
    </w:p>
    <w:p>
      <w:pPr>
        <w:spacing w:after="28" w:line="216" w:lineRule="auto"/>
        <w:ind w:left="259"/>
        <w:jc w:val="left"/>
      </w:pPr>
      <w:r>
        <w:rPr>
          <w:rFonts w:ascii="Arial" w:hAnsi="Arial"/>
          <w:color w:val="525252"/>
          <w:sz w:val="13"/>
        </w:rPr>
        <w:t>Airmen who take care of themselves by getting adequate sleep, eating a balanced diet, and making time for rest and relaxation, combined with the use of positive stress management skills, can reduce actual and perceived stress in their lives.</w:t>
      </w:r>
    </w:p>
    <w:p>
      <w:pPr>
        <w:spacing w:after="20" w:line="223" w:lineRule="auto"/>
        <w:jc w:val="right"/>
        <w:bidi/>
      </w:pPr>
      <w:r>
        <w:rPr>
          <w:rFonts w:ascii="Arial" w:hAnsi="Arial"/>
          <w:sz w:val="16"/>
        </w:rPr>
        <w:t>417.12  چه مستقر باشیم و چه در پادگان، همه ما به مکانی برای تنظیم مجدد و شارژ مجدد نیاز داریم.</w:t>
      </w:r>
    </w:p>
    <w:p>
      <w:pPr>
        <w:spacing w:after="28" w:line="216" w:lineRule="auto"/>
        <w:ind w:left="259"/>
        <w:jc w:val="left"/>
      </w:pPr>
      <w:r>
        <w:rPr>
          <w:rFonts w:ascii="Arial" w:hAnsi="Arial"/>
          <w:color w:val="525252"/>
          <w:sz w:val="13"/>
        </w:rPr>
        <w:t>Whether deployed or in garrison, we all need a place to reset and recharge.</w:t>
      </w:r>
    </w:p>
    <w:p>
      <w:pPr>
        <w:spacing w:after="20" w:line="223" w:lineRule="auto"/>
        <w:jc w:val="right"/>
        <w:bidi/>
      </w:pPr>
      <w:r>
        <w:rPr>
          <w:rFonts w:ascii="Arial" w:hAnsi="Arial"/>
          <w:sz w:val="16"/>
        </w:rPr>
        <w:t>417.13  جنبه‌های زیر را برای مقابله با استرس، برای خود و دیگران در نظر بگیرید.</w:t>
      </w:r>
    </w:p>
    <w:p>
      <w:pPr>
        <w:spacing w:after="28" w:line="216" w:lineRule="auto"/>
        <w:ind w:left="259"/>
        <w:jc w:val="left"/>
      </w:pPr>
      <w:r>
        <w:rPr>
          <w:rFonts w:ascii="Arial" w:hAnsi="Arial"/>
          <w:color w:val="525252"/>
          <w:sz w:val="13"/>
        </w:rPr>
        <w:t>Consider the following aspects of coping with stress, for yourself and for others.</w:t>
      </w:r>
    </w:p>
    <w:p>
      <w:pPr>
        <w:spacing w:after="20" w:line="223" w:lineRule="auto"/>
        <w:jc w:val="right"/>
        <w:bidi/>
      </w:pPr>
      <w:r>
        <w:rPr>
          <w:rFonts w:ascii="Arial" w:hAnsi="Arial"/>
          <w:sz w:val="16"/>
        </w:rPr>
        <w:t>417.14  مکانی امن از نظر فیزیکی و احساسی برای ریکاوری یا استراحت داشته باشید.</w:t>
      </w:r>
    </w:p>
    <w:p>
      <w:pPr>
        <w:spacing w:after="28" w:line="216" w:lineRule="auto"/>
        <w:ind w:left="259"/>
        <w:jc w:val="left"/>
      </w:pPr>
      <w:r>
        <w:rPr>
          <w:rFonts w:ascii="Arial" w:hAnsi="Arial"/>
          <w:color w:val="525252"/>
          <w:sz w:val="13"/>
        </w:rPr>
        <w:t>Have a physically and emotionally safe place to recuperate or to relax.</w:t>
      </w:r>
    </w:p>
    <w:p>
      <w:pPr>
        <w:spacing w:after="20" w:line="223" w:lineRule="auto"/>
        <w:jc w:val="right"/>
        <w:bidi/>
      </w:pPr>
      <w:r>
        <w:rPr>
          <w:rFonts w:ascii="Arial" w:hAnsi="Arial"/>
          <w:sz w:val="16"/>
        </w:rPr>
        <w:t>417.15  کسی را بشناسید (یا باشید) که می‌فهمد، گوش می‌دهد و دلسوز است.</w:t>
      </w:r>
    </w:p>
    <w:p>
      <w:pPr>
        <w:spacing w:after="28" w:line="216" w:lineRule="auto"/>
        <w:ind w:left="259"/>
        <w:jc w:val="left"/>
      </w:pPr>
      <w:r>
        <w:rPr>
          <w:rFonts w:ascii="Arial" w:hAnsi="Arial"/>
          <w:color w:val="525252"/>
          <w:sz w:val="13"/>
        </w:rPr>
        <w:t>Know (or be) someone who understands, listens, and is compassionate.</w:t>
      </w:r>
    </w:p>
    <w:p>
      <w:pPr>
        <w:spacing w:after="20" w:line="223" w:lineRule="auto"/>
        <w:jc w:val="right"/>
        <w:bidi/>
      </w:pPr>
      <w:r>
        <w:rPr>
          <w:rFonts w:ascii="Arial" w:hAnsi="Arial"/>
          <w:sz w:val="16"/>
        </w:rPr>
        <w:t>417.16  هنگام حضور در باشگاه، سالن غذاخوری یا رویدادهای محلی فرصت‌هایی برای ارتباط با دیگران پیدا کنید.</w:t>
      </w:r>
    </w:p>
    <w:p>
      <w:pPr>
        <w:spacing w:after="28" w:line="216" w:lineRule="auto"/>
        <w:ind w:left="259"/>
        <w:jc w:val="left"/>
      </w:pPr>
      <w:r>
        <w:rPr>
          <w:rFonts w:ascii="Arial" w:hAnsi="Arial"/>
          <w:color w:val="525252"/>
          <w:sz w:val="13"/>
        </w:rPr>
        <w:t>Find opportunities to connect with others while at the gym, dining facility, or local events.</w:t>
      </w:r>
    </w:p>
    <w:p>
      <w:pPr>
        <w:spacing w:after="20" w:line="223" w:lineRule="auto"/>
        <w:jc w:val="right"/>
        <w:bidi/>
      </w:pPr>
      <w:r>
        <w:rPr>
          <w:rFonts w:ascii="Arial" w:hAnsi="Arial"/>
          <w:sz w:val="16"/>
        </w:rPr>
        <w:t>417.17  مهارت‌های مقابله‌ای را ارائه یا نشان دهید که دیگران را برای بازگشت به حالت "عادی" توانمند می‌کند.</w:t>
      </w:r>
    </w:p>
    <w:p>
      <w:pPr>
        <w:spacing w:after="28" w:line="216" w:lineRule="auto"/>
        <w:ind w:left="259"/>
        <w:jc w:val="left"/>
      </w:pPr>
      <w:r>
        <w:rPr>
          <w:rFonts w:ascii="Arial" w:hAnsi="Arial"/>
          <w:color w:val="525252"/>
          <w:sz w:val="13"/>
        </w:rPr>
        <w:t>Provide or demonstrate coping skills that empower others to return to ‘normal’ state.</w:t>
      </w:r>
    </w:p>
    <w:p>
      <w:pPr>
        <w:spacing w:after="20" w:line="223" w:lineRule="auto"/>
        <w:jc w:val="right"/>
        <w:bidi/>
      </w:pPr>
      <w:r>
        <w:rPr>
          <w:rFonts w:ascii="Arial" w:hAnsi="Arial"/>
          <w:sz w:val="16"/>
        </w:rPr>
        <w:t>417.18  به دنبال خدمات حمایتی، مانند امور مذهبی، گروهبان یکم، یا ارائه دهندگان سلامت روان باشید.</w:t>
      </w:r>
    </w:p>
    <w:p>
      <w:pPr>
        <w:spacing w:after="28" w:line="216" w:lineRule="auto"/>
        <w:ind w:left="259"/>
        <w:jc w:val="left"/>
      </w:pPr>
      <w:r>
        <w:rPr>
          <w:rFonts w:ascii="Arial" w:hAnsi="Arial"/>
          <w:color w:val="525252"/>
          <w:sz w:val="13"/>
        </w:rPr>
        <w:t>Seek supportive services, such as religious affairs, first sergeants, or mental health providers.</w:t>
      </w:r>
    </w:p>
    <w:p>
      <w:pPr>
        <w:spacing w:after="20" w:line="223" w:lineRule="auto"/>
        <w:jc w:val="right"/>
        <w:bidi/>
      </w:pPr>
      <w:r>
        <w:rPr>
          <w:rFonts w:ascii="Arial" w:hAnsi="Arial"/>
          <w:sz w:val="16"/>
        </w:rPr>
        <w:t>417.19  برای مشاوره و خدمات حمایتی با مشاوران زندگی نظامی و خانوادگی تماس بگیرید.</w:t>
      </w:r>
    </w:p>
    <w:p>
      <w:pPr>
        <w:spacing w:after="28" w:line="216" w:lineRule="auto"/>
        <w:ind w:left="259"/>
        <w:jc w:val="left"/>
      </w:pPr>
      <w:r>
        <w:rPr>
          <w:rFonts w:ascii="Arial" w:hAnsi="Arial"/>
          <w:color w:val="525252"/>
          <w:sz w:val="13"/>
        </w:rPr>
        <w:t>Contact Military and Family Life Counselors for counseling and supportive services.</w:t>
      </w:r>
    </w:p>
    <w:p>
      <w:pPr>
        <w:spacing w:before="60" w:after="28"/>
        <w:jc w:val="right"/>
        <w:bidi/>
      </w:pPr>
      <w:r>
        <w:rPr>
          <w:b/>
          <w:color w:val="1F4D78"/>
          <w:sz w:val="18"/>
        </w:rPr>
        <w:t>22.28. قدرت ذهنی و تاب آوری</w:t>
      </w:r>
    </w:p>
    <w:p>
      <w:pPr>
        <w:spacing w:after="20"/>
        <w:ind w:left="259"/>
        <w:jc w:val="left"/>
      </w:pPr>
      <w:r>
        <w:rPr>
          <w:color w:val="555555"/>
          <w:sz w:val="12"/>
        </w:rPr>
        <w:t>22.28. Mental Strength and Resilience</w:t>
      </w:r>
    </w:p>
    <w:p>
      <w:pPr>
        <w:spacing w:after="20" w:line="223" w:lineRule="auto"/>
        <w:jc w:val="right"/>
        <w:bidi/>
      </w:pPr>
      <w:r>
        <w:rPr>
          <w:rFonts w:ascii="Arial" w:hAnsi="Arial"/>
          <w:sz w:val="16"/>
        </w:rPr>
        <w:t>417.21  همه افراد عوامل استرس زا (چالش‌ها یا مشکلات) و پریشانی (احساسات منفی مرتبط با عوامل استرس زا) را تجربه می‌کنند.</w:t>
      </w:r>
    </w:p>
    <w:p>
      <w:pPr>
        <w:spacing w:after="28" w:line="216" w:lineRule="auto"/>
        <w:ind w:left="259"/>
        <w:jc w:val="left"/>
      </w:pPr>
      <w:r>
        <w:rPr>
          <w:rFonts w:ascii="Arial" w:hAnsi="Arial"/>
          <w:color w:val="525252"/>
          <w:sz w:val="13"/>
        </w:rPr>
        <w:t>All people experience stressors (challenges or problems) and distress (negative feelings associated with stressors).</w:t>
      </w:r>
    </w:p>
    <w:p>
      <w:pPr>
        <w:spacing w:after="20" w:line="223" w:lineRule="auto"/>
        <w:jc w:val="right"/>
        <w:bidi/>
      </w:pPr>
      <w:r>
        <w:rPr>
          <w:rFonts w:ascii="Arial" w:hAnsi="Arial"/>
          <w:sz w:val="16"/>
        </w:rPr>
        <w:t>417.22  روزهای کاری طولانی، افزایش استقرار و مسائل مالی تنها تعدادی از شرایطی هستند که باعث استرس می‌شوند.</w:t>
      </w:r>
    </w:p>
    <w:p>
      <w:pPr>
        <w:spacing w:after="28" w:line="216" w:lineRule="auto"/>
        <w:ind w:left="259"/>
        <w:jc w:val="left"/>
      </w:pPr>
      <w:r>
        <w:rPr>
          <w:rFonts w:ascii="Arial" w:hAnsi="Arial"/>
          <w:color w:val="525252"/>
          <w:sz w:val="13"/>
        </w:rPr>
        <w:t>Long workdays, increased deployments, and financial issues are just a few of the conditions that cause stress.</w:t>
      </w:r>
    </w:p>
    <w:p>
      <w:pPr>
        <w:spacing w:after="20" w:line="223" w:lineRule="auto"/>
        <w:jc w:val="right"/>
        <w:bidi/>
      </w:pPr>
      <w:r>
        <w:rPr>
          <w:rFonts w:ascii="Arial" w:hAnsi="Arial"/>
          <w:sz w:val="16"/>
        </w:rPr>
        <w:t>417.23  فراوانی استرس و تأثیر منفی قابل توجهی که استرس می‌تواند بر افراد و سازمان‌ها داشته باشد، این موضوع را به نگرانی اصلی برای هوانوردان در همه سطوح تبدیل کرده است.</w:t>
      </w:r>
    </w:p>
    <w:p>
      <w:pPr>
        <w:spacing w:after="28" w:line="216" w:lineRule="auto"/>
        <w:ind w:left="259"/>
        <w:jc w:val="left"/>
      </w:pPr>
      <w:r>
        <w:rPr>
          <w:rFonts w:ascii="Arial" w:hAnsi="Arial"/>
          <w:color w:val="525252"/>
          <w:sz w:val="13"/>
        </w:rPr>
        <w:t>The frequency of stress and the significant negative effect stress can have on people and organizations make this a major concern for Airmen at all levels.</w:t>
      </w:r>
    </w:p>
    <w:p>
      <w:pPr>
        <w:spacing w:after="20" w:line="223" w:lineRule="auto"/>
        <w:jc w:val="right"/>
        <w:bidi/>
      </w:pPr>
      <w:r>
        <w:rPr>
          <w:rFonts w:ascii="Arial" w:hAnsi="Arial"/>
          <w:sz w:val="16"/>
        </w:rPr>
        <w:t>417.24  به‌عنوان یک نگرانی سازمانی، استرس می‌تواند بر عملکرد، اثربخشی سازمانی و انجام مأموریت تأثیر منفی بگذارد.</w:t>
      </w:r>
    </w:p>
    <w:p>
      <w:pPr>
        <w:spacing w:after="28" w:line="216" w:lineRule="auto"/>
        <w:ind w:left="259"/>
        <w:jc w:val="left"/>
      </w:pPr>
      <w:r>
        <w:rPr>
          <w:rFonts w:ascii="Arial" w:hAnsi="Arial"/>
          <w:color w:val="525252"/>
          <w:sz w:val="13"/>
        </w:rPr>
        <w:t>As an organizational concern, stress can negatively affect performance, organizational effectiveness, and mission accomplishment.</w:t>
      </w:r>
    </w:p>
    <w:p>
      <w:pPr>
        <w:spacing w:after="20" w:line="223" w:lineRule="auto"/>
        <w:jc w:val="right"/>
        <w:bidi/>
      </w:pPr>
      <w:r>
        <w:rPr>
          <w:rFonts w:ascii="Arial" w:hAnsi="Arial"/>
          <w:sz w:val="16"/>
        </w:rPr>
        <w:t>417.25  به‌عنوان یک نگرانی شخصی، تجربه استرس در مدت زمان طولانی می‌تواند منجر به مشکلات سلامتی شود و بر کیفیت کلی زندگی تأثیر بگذارد.</w:t>
      </w:r>
    </w:p>
    <w:p>
      <w:pPr>
        <w:spacing w:after="28" w:line="216" w:lineRule="auto"/>
        <w:ind w:left="259"/>
        <w:jc w:val="left"/>
      </w:pPr>
      <w:r>
        <w:rPr>
          <w:rFonts w:ascii="Arial" w:hAnsi="Arial"/>
          <w:color w:val="525252"/>
          <w:sz w:val="13"/>
        </w:rPr>
        <w:t>As a personal concern, experiencing stress over an extended period of time can lead to health problems and affect overall quality of life.</w:t>
      </w:r>
    </w:p>
    <w:p>
      <w:pPr>
        <w:spacing w:after="20" w:line="223" w:lineRule="auto"/>
        <w:jc w:val="right"/>
        <w:bidi/>
      </w:pPr>
      <w:r>
        <w:rPr>
          <w:rFonts w:ascii="Arial" w:hAnsi="Arial"/>
          <w:sz w:val="16"/>
        </w:rPr>
        <w:t>417.26  بنابراین، شناخت شخصی و حرفه‌ای استرس و یادگیری نحوه مدیریت مؤثر آن بسیار مهم است.</w:t>
      </w:r>
    </w:p>
    <w:p>
      <w:pPr>
        <w:spacing w:after="28" w:line="216" w:lineRule="auto"/>
        <w:ind w:left="259"/>
        <w:jc w:val="left"/>
      </w:pPr>
      <w:r>
        <w:rPr>
          <w:rFonts w:ascii="Arial" w:hAnsi="Arial"/>
          <w:color w:val="525252"/>
          <w:sz w:val="13"/>
        </w:rPr>
        <w:t>Therefore, it is important to personally and professionally recognize stress and learn how to manage it effectively.</w:t>
      </w:r>
    </w:p>
    <w:p>
      <w:pPr>
        <w:spacing w:before="60" w:after="28"/>
        <w:jc w:val="right"/>
        <w:bidi/>
      </w:pPr>
      <w:r>
        <w:rPr>
          <w:b/>
          <w:color w:val="1F4D78"/>
          <w:sz w:val="18"/>
        </w:rPr>
        <w:t>22.29. واکنش های استرس</w:t>
      </w:r>
    </w:p>
    <w:p>
      <w:pPr>
        <w:spacing w:after="20"/>
        <w:ind w:left="259"/>
        <w:jc w:val="left"/>
      </w:pPr>
      <w:r>
        <w:rPr>
          <w:color w:val="555555"/>
          <w:sz w:val="12"/>
        </w:rPr>
        <w:t>22.29. Stress Reactions</w:t>
      </w:r>
    </w:p>
    <w:p>
      <w:pPr>
        <w:spacing w:after="20" w:line="223" w:lineRule="auto"/>
        <w:jc w:val="right"/>
        <w:bidi/>
      </w:pPr>
      <w:r>
        <w:rPr>
          <w:rFonts w:ascii="Arial" w:hAnsi="Arial"/>
          <w:sz w:val="16"/>
        </w:rPr>
        <w:t>417.28  امروزه برای نیروهای هوایی، عوامل استرس‌زا در محیط کار و همچنین خارج از محیط کار رخ می‌دهند که اغلب شامل مسائل خانوادگی، روابط و مالی می‌شود.</w:t>
      </w:r>
    </w:p>
    <w:p>
      <w:pPr>
        <w:spacing w:after="28" w:line="216" w:lineRule="auto"/>
        <w:ind w:left="259"/>
        <w:jc w:val="left"/>
      </w:pPr>
      <w:r>
        <w:rPr>
          <w:rFonts w:ascii="Arial" w:hAnsi="Arial"/>
          <w:color w:val="525252"/>
          <w:sz w:val="13"/>
        </w:rPr>
        <w:t>For Airmen today, stressors occur within the work environment as well as outside the work environment, often involving family, relationship, and financial issues.</w:t>
      </w:r>
    </w:p>
    <w:p>
      <w:pPr>
        <w:spacing w:after="20" w:line="223" w:lineRule="auto"/>
        <w:jc w:val="right"/>
        <w:bidi/>
      </w:pPr>
      <w:r>
        <w:rPr>
          <w:rFonts w:ascii="Arial" w:hAnsi="Arial"/>
          <w:sz w:val="16"/>
        </w:rPr>
        <w:t>417.29  ما می‌دانیم چه زمانی احساس استرس می‌کنیم، اما شناخت برخی از نشانه‌های کلیدی استرس می‌تواند به مقابله با مسائل قبل از تبدیل شدن به مشکلات بزرگتر کمک کند.</w:t>
      </w:r>
    </w:p>
    <w:p>
      <w:pPr>
        <w:spacing w:after="28" w:line="216" w:lineRule="auto"/>
        <w:ind w:left="259"/>
        <w:jc w:val="left"/>
      </w:pPr>
      <w:r>
        <w:rPr>
          <w:rFonts w:ascii="Arial" w:hAnsi="Arial"/>
          <w:color w:val="525252"/>
          <w:sz w:val="13"/>
        </w:rPr>
        <w:t>We know when we feel stressed, but recognizing some of the key signs of stress can help deal with issues before they evolve into bigger problems.</w:t>
      </w:r>
    </w:p>
    <w:p>
      <w:pPr>
        <w:spacing w:after="20" w:line="223" w:lineRule="auto"/>
        <w:jc w:val="right"/>
        <w:bidi/>
      </w:pPr>
      <w:r>
        <w:rPr>
          <w:rFonts w:ascii="Arial" w:hAnsi="Arial"/>
          <w:sz w:val="16"/>
        </w:rPr>
        <w:t>417.30  واکنش‌های استرس به‌طور معمول در چهار دسته مختلف ظاهر می‌شوند: شناختی، عاطفی، رفتاری و فیزیکی.</w:t>
      </w:r>
    </w:p>
    <w:p>
      <w:pPr>
        <w:spacing w:after="28" w:line="216" w:lineRule="auto"/>
        <w:ind w:left="259"/>
        <w:jc w:val="left"/>
      </w:pPr>
      <w:r>
        <w:rPr>
          <w:rFonts w:ascii="Arial" w:hAnsi="Arial"/>
          <w:color w:val="525252"/>
          <w:sz w:val="13"/>
        </w:rPr>
        <w:t>Stress reactions typically appear in four different categories: cognitive, emotional, behavioral, and physical.</w:t>
      </w:r>
    </w:p>
    <w:p>
      <w:pPr>
        <w:spacing w:after="20" w:line="223" w:lineRule="auto"/>
        <w:jc w:val="right"/>
        <w:bidi/>
      </w:pPr>
      <w:r>
        <w:rPr>
          <w:rFonts w:ascii="Arial" w:hAnsi="Arial"/>
          <w:sz w:val="16"/>
        </w:rPr>
        <w:t>417.31  واکنش‌های مرتبط با این دسته‌ها در اینجا ارائه شده‌اند، بنابراین می‌توان آن‌ها را زود تشخیص داد و با کوچک‌سازی، تعدیل، یا</w:t>
      </w:r>
    </w:p>
    <w:p>
      <w:pPr>
        <w:spacing w:after="28" w:line="216" w:lineRule="auto"/>
        <w:ind w:left="259"/>
        <w:jc w:val="left"/>
      </w:pPr>
      <w:r>
        <w:rPr>
          <w:rFonts w:ascii="Arial" w:hAnsi="Arial"/>
          <w:color w:val="525252"/>
          <w:sz w:val="13"/>
        </w:rPr>
        <w:t>Reactions associated with these categories are provided here so they may be recognized and addressed early by minimizing, adjusting, or</w:t>
      </w:r>
    </w:p>
    <w:p>
      <w:r>
        <w:br w:type="page"/>
      </w:r>
    </w:p>
    <w:p>
      <w:pPr>
        <w:spacing w:after="60"/>
        <w:jc w:val="right"/>
        <w:bidi/>
      </w:pPr>
      <w:r>
        <w:rPr>
          <w:rFonts w:ascii="Arial" w:hAnsi="Arial"/>
          <w:b/>
          <w:color w:val="1F4D78"/>
          <w:sz w:val="19"/>
        </w:rPr>
        <w:t>هفتهٔ 418  |  صفحهٔ منبع: 434</w:t>
      </w:r>
    </w:p>
    <w:p>
      <w:pPr>
        <w:spacing w:after="20" w:line="223" w:lineRule="auto"/>
        <w:jc w:val="right"/>
        <w:bidi/>
      </w:pPr>
      <w:r>
        <w:rPr>
          <w:rFonts w:ascii="Arial" w:hAnsi="Arial"/>
          <w:sz w:val="16"/>
        </w:rPr>
        <w:t>418.01  با موفقیت با علت کنار آمد.</w:t>
      </w:r>
    </w:p>
    <w:p>
      <w:pPr>
        <w:spacing w:after="28" w:line="216" w:lineRule="auto"/>
        <w:ind w:left="259"/>
        <w:jc w:val="left"/>
      </w:pPr>
      <w:r>
        <w:rPr>
          <w:rFonts w:ascii="Arial" w:hAnsi="Arial"/>
          <w:color w:val="525252"/>
          <w:sz w:val="13"/>
        </w:rPr>
        <w:t>successfully coping with the cause.</w:t>
      </w:r>
    </w:p>
    <w:p>
      <w:pPr>
        <w:spacing w:after="20" w:line="223" w:lineRule="auto"/>
        <w:jc w:val="right"/>
        <w:bidi/>
      </w:pPr>
      <w:r>
        <w:rPr>
          <w:rFonts w:ascii="Arial" w:hAnsi="Arial"/>
          <w:sz w:val="16"/>
        </w:rPr>
        <w:t>418.02  استرس شناختی.</w:t>
      </w:r>
    </w:p>
    <w:p>
      <w:pPr>
        <w:spacing w:after="28" w:line="216" w:lineRule="auto"/>
        <w:ind w:left="259"/>
        <w:jc w:val="left"/>
      </w:pPr>
      <w:r>
        <w:rPr>
          <w:rFonts w:ascii="Arial" w:hAnsi="Arial"/>
          <w:color w:val="525252"/>
          <w:sz w:val="13"/>
        </w:rPr>
        <w:t>Cognitive Stress.</w:t>
      </w:r>
    </w:p>
    <w:p>
      <w:pPr>
        <w:spacing w:after="20" w:line="223" w:lineRule="auto"/>
        <w:jc w:val="right"/>
        <w:bidi/>
      </w:pPr>
      <w:r>
        <w:rPr>
          <w:rFonts w:ascii="Arial" w:hAnsi="Arial"/>
          <w:sz w:val="16"/>
        </w:rPr>
        <w:t>418.03  استرس شناختی می‌تواند به صورت مشکلات حافظه، ناتوانی در تمرکز، قضاوت ضعیف، دیدن فقط افکار منفی، مضطرب یا مسابقه‌ای، یا نگرانی مداوم ظاهر شود.</w:t>
      </w:r>
    </w:p>
    <w:p>
      <w:pPr>
        <w:spacing w:after="28" w:line="216" w:lineRule="auto"/>
        <w:ind w:left="259"/>
        <w:jc w:val="left"/>
      </w:pPr>
      <w:r>
        <w:rPr>
          <w:rFonts w:ascii="Arial" w:hAnsi="Arial"/>
          <w:color w:val="525252"/>
          <w:sz w:val="13"/>
        </w:rPr>
        <w:t>Cognitive stress can manifest as memory problems, an inability to concentrate, poor judgment, seeing only the negative, anxious, or racing thoughts, or constant worrying.</w:t>
      </w:r>
    </w:p>
    <w:p>
      <w:pPr>
        <w:spacing w:after="20" w:line="223" w:lineRule="auto"/>
        <w:jc w:val="right"/>
        <w:bidi/>
      </w:pPr>
      <w:r>
        <w:rPr>
          <w:rFonts w:ascii="Arial" w:hAnsi="Arial"/>
          <w:sz w:val="16"/>
        </w:rPr>
        <w:t>418.04  استرس عاطفی.</w:t>
      </w:r>
    </w:p>
    <w:p>
      <w:pPr>
        <w:spacing w:after="28" w:line="216" w:lineRule="auto"/>
        <w:ind w:left="259"/>
        <w:jc w:val="left"/>
      </w:pPr>
      <w:r>
        <w:rPr>
          <w:rFonts w:ascii="Arial" w:hAnsi="Arial"/>
          <w:color w:val="525252"/>
          <w:sz w:val="13"/>
        </w:rPr>
        <w:t>Emotional Stress.</w:t>
      </w:r>
    </w:p>
    <w:p>
      <w:pPr>
        <w:spacing w:after="20" w:line="223" w:lineRule="auto"/>
        <w:jc w:val="right"/>
        <w:bidi/>
      </w:pPr>
      <w:r>
        <w:rPr>
          <w:rFonts w:ascii="Arial" w:hAnsi="Arial"/>
          <w:sz w:val="16"/>
        </w:rPr>
        <w:t>418.05  استرس عاطفی می‌تواند به صورت بی تفاوتی، اضطراب، افسردگی، تحریک پذیری، نارضایتی شغلی، مشکلات حافظه یا خستگی ذهنی ظاهر شود.</w:t>
      </w:r>
    </w:p>
    <w:p>
      <w:pPr>
        <w:spacing w:after="28" w:line="216" w:lineRule="auto"/>
        <w:ind w:left="259"/>
        <w:jc w:val="left"/>
      </w:pPr>
      <w:r>
        <w:rPr>
          <w:rFonts w:ascii="Arial" w:hAnsi="Arial"/>
          <w:color w:val="525252"/>
          <w:sz w:val="13"/>
        </w:rPr>
        <w:t>Emotional stress can manifest as apathy, anxiety, depression, irritability, job dissatisfaction, memory problems, or mental fatigue.</w:t>
      </w:r>
    </w:p>
    <w:p>
      <w:pPr>
        <w:spacing w:after="20" w:line="223" w:lineRule="auto"/>
        <w:jc w:val="right"/>
        <w:bidi/>
      </w:pPr>
      <w:r>
        <w:rPr>
          <w:rFonts w:ascii="Arial" w:hAnsi="Arial"/>
          <w:sz w:val="16"/>
        </w:rPr>
        <w:t>418.06  استرس رفتاری.</w:t>
      </w:r>
    </w:p>
    <w:p>
      <w:pPr>
        <w:spacing w:after="28" w:line="216" w:lineRule="auto"/>
        <w:ind w:left="259"/>
        <w:jc w:val="left"/>
      </w:pPr>
      <w:r>
        <w:rPr>
          <w:rFonts w:ascii="Arial" w:hAnsi="Arial"/>
          <w:color w:val="525252"/>
          <w:sz w:val="13"/>
        </w:rPr>
        <w:t>Behavioral Stress.</w:t>
      </w:r>
    </w:p>
    <w:p>
      <w:pPr>
        <w:spacing w:after="20" w:line="223" w:lineRule="auto"/>
        <w:jc w:val="right"/>
        <w:bidi/>
      </w:pPr>
      <w:r>
        <w:rPr>
          <w:rFonts w:ascii="Arial" w:hAnsi="Arial"/>
          <w:sz w:val="16"/>
        </w:rPr>
        <w:t>418.07  استرس رفتاری می‌تواند به صورت تغییرات اشتها، افزایش مشاجره، افزایش سیگار، نادیده گرفتن مراقبت از خود، کناره گیری اجتماعی، سوء مصرف مواد یا خشونت ظاهر شود.</w:t>
      </w:r>
    </w:p>
    <w:p>
      <w:pPr>
        <w:spacing w:after="28" w:line="216" w:lineRule="auto"/>
        <w:ind w:left="259"/>
        <w:jc w:val="left"/>
      </w:pPr>
      <w:r>
        <w:rPr>
          <w:rFonts w:ascii="Arial" w:hAnsi="Arial"/>
          <w:color w:val="525252"/>
          <w:sz w:val="13"/>
        </w:rPr>
        <w:t>Behavioral stress can manifest as appetite changes, increased arguments, increased smoking, neglecting self-care, social withdrawal, substance abuse, or violence.</w:t>
      </w:r>
    </w:p>
    <w:p>
      <w:pPr>
        <w:spacing w:after="20" w:line="223" w:lineRule="auto"/>
        <w:jc w:val="right"/>
        <w:bidi/>
      </w:pPr>
      <w:r>
        <w:rPr>
          <w:rFonts w:ascii="Arial" w:hAnsi="Arial"/>
          <w:sz w:val="16"/>
        </w:rPr>
        <w:t>418.08  استرس فیزیکی.</w:t>
      </w:r>
    </w:p>
    <w:p>
      <w:pPr>
        <w:spacing w:after="28" w:line="216" w:lineRule="auto"/>
        <w:ind w:left="259"/>
        <w:jc w:val="left"/>
      </w:pPr>
      <w:r>
        <w:rPr>
          <w:rFonts w:ascii="Arial" w:hAnsi="Arial"/>
          <w:color w:val="525252"/>
          <w:sz w:val="13"/>
        </w:rPr>
        <w:t>Physical Stress.</w:t>
      </w:r>
    </w:p>
    <w:p>
      <w:pPr>
        <w:spacing w:after="20" w:line="223" w:lineRule="auto"/>
        <w:jc w:val="right"/>
        <w:bidi/>
      </w:pPr>
      <w:r>
        <w:rPr>
          <w:rFonts w:ascii="Arial" w:hAnsi="Arial"/>
          <w:sz w:val="16"/>
        </w:rPr>
        <w:t>418.09  استرس فیزیکی می‌تواند به صورت بیماری مکرر، سردرد، فشار خون بالا، افزایش ضربان قلب، خستگی فیزیکی، اختلالات خواب، یا افزایش یا کاهش وزن ظاهر شود.</w:t>
      </w:r>
    </w:p>
    <w:p>
      <w:pPr>
        <w:spacing w:after="28" w:line="216" w:lineRule="auto"/>
        <w:ind w:left="259"/>
        <w:jc w:val="left"/>
      </w:pPr>
      <w:r>
        <w:rPr>
          <w:rFonts w:ascii="Arial" w:hAnsi="Arial"/>
          <w:color w:val="525252"/>
          <w:sz w:val="13"/>
        </w:rPr>
        <w:t>Physical stress can manifest as frequent illness, headaches, high blood pressure, increased heart rate, physical exhaustion, sleep disturbances, or weight gain or loss.</w:t>
      </w:r>
    </w:p>
    <w:p>
      <w:pPr>
        <w:spacing w:before="60" w:after="28"/>
        <w:jc w:val="right"/>
        <w:bidi/>
      </w:pPr>
      <w:r>
        <w:rPr>
          <w:b/>
          <w:color w:val="1F4D78"/>
          <w:sz w:val="18"/>
        </w:rPr>
        <w:t>22.30. مدیریت استرس فردی</w:t>
      </w:r>
    </w:p>
    <w:p>
      <w:pPr>
        <w:spacing w:after="20"/>
        <w:ind w:left="259"/>
        <w:jc w:val="left"/>
      </w:pPr>
      <w:r>
        <w:rPr>
          <w:color w:val="555555"/>
          <w:sz w:val="12"/>
        </w:rPr>
        <w:t>22.30. Individual Stress Management</w:t>
      </w:r>
    </w:p>
    <w:p>
      <w:pPr>
        <w:spacing w:after="20" w:line="223" w:lineRule="auto"/>
        <w:jc w:val="right"/>
        <w:bidi/>
      </w:pPr>
      <w:r>
        <w:rPr>
          <w:rFonts w:ascii="Arial" w:hAnsi="Arial"/>
          <w:sz w:val="16"/>
        </w:rPr>
        <w:t>418.11  کلید تشخیص استرس این است که بدانید چه چیزی طبیعی است تا بتوانید تشخیص دهید که چه زمانی چیزی احساس می‌شود.</w:t>
      </w:r>
    </w:p>
    <w:p>
      <w:pPr>
        <w:spacing w:after="28" w:line="216" w:lineRule="auto"/>
        <w:ind w:left="259"/>
        <w:jc w:val="left"/>
      </w:pPr>
      <w:r>
        <w:rPr>
          <w:rFonts w:ascii="Arial" w:hAnsi="Arial"/>
          <w:color w:val="525252"/>
          <w:sz w:val="13"/>
        </w:rPr>
        <w:t>The key to recognizing stress is knowing what feels normal so you can recognize when something feels off.</w:t>
      </w:r>
    </w:p>
    <w:p>
      <w:pPr>
        <w:spacing w:after="20" w:line="223" w:lineRule="auto"/>
        <w:jc w:val="right"/>
        <w:bidi/>
      </w:pPr>
      <w:r>
        <w:rPr>
          <w:rFonts w:ascii="Arial" w:hAnsi="Arial"/>
          <w:sz w:val="16"/>
        </w:rPr>
        <w:t>418.12  هرچه بتوان استرس را زودتر شناسایی کرد، تکنیک‌های کاهش استرس زودتر را می‌توان به کار برد.</w:t>
      </w:r>
    </w:p>
    <w:p>
      <w:pPr>
        <w:spacing w:after="28" w:line="216" w:lineRule="auto"/>
        <w:ind w:left="259"/>
        <w:jc w:val="left"/>
      </w:pPr>
      <w:r>
        <w:rPr>
          <w:rFonts w:ascii="Arial" w:hAnsi="Arial"/>
          <w:color w:val="525252"/>
          <w:sz w:val="13"/>
        </w:rPr>
        <w:t>The earlier stress can be identified, the earlier stress reduction techniques can be applied.</w:t>
      </w:r>
    </w:p>
    <w:p>
      <w:pPr>
        <w:spacing w:after="20" w:line="223" w:lineRule="auto"/>
        <w:jc w:val="right"/>
        <w:bidi/>
      </w:pPr>
      <w:r>
        <w:rPr>
          <w:rFonts w:ascii="Arial" w:hAnsi="Arial"/>
          <w:sz w:val="16"/>
        </w:rPr>
        <w:t>418.13  هر یک از مراحل زیر می‌تواند به ایجاد یک برنامه مدیریت استرس کامل کمک کند.</w:t>
      </w:r>
    </w:p>
    <w:p>
      <w:pPr>
        <w:spacing w:after="28" w:line="216" w:lineRule="auto"/>
        <w:ind w:left="259"/>
        <w:jc w:val="left"/>
      </w:pPr>
      <w:r>
        <w:rPr>
          <w:rFonts w:ascii="Arial" w:hAnsi="Arial"/>
          <w:color w:val="525252"/>
          <w:sz w:val="13"/>
        </w:rPr>
        <w:t>Each of the following steps can help in developing a well-rounded stress management plan.</w:t>
      </w:r>
    </w:p>
    <w:p>
      <w:pPr>
        <w:spacing w:after="20" w:line="223" w:lineRule="auto"/>
        <w:jc w:val="right"/>
        <w:bidi/>
      </w:pPr>
      <w:r>
        <w:rPr>
          <w:rFonts w:ascii="Arial" w:hAnsi="Arial"/>
          <w:sz w:val="16"/>
        </w:rPr>
        <w:t>418.14  تنظیمات را انجام دهید.</w:t>
      </w:r>
    </w:p>
    <w:p>
      <w:pPr>
        <w:spacing w:after="28" w:line="216" w:lineRule="auto"/>
        <w:ind w:left="259"/>
        <w:jc w:val="left"/>
      </w:pPr>
      <w:r>
        <w:rPr>
          <w:rFonts w:ascii="Arial" w:hAnsi="Arial"/>
          <w:color w:val="525252"/>
          <w:sz w:val="13"/>
        </w:rPr>
        <w:t>Make Adjustments.</w:t>
      </w:r>
    </w:p>
    <w:p>
      <w:pPr>
        <w:spacing w:after="20" w:line="223" w:lineRule="auto"/>
        <w:jc w:val="right"/>
        <w:bidi/>
      </w:pPr>
      <w:r>
        <w:rPr>
          <w:rFonts w:ascii="Arial" w:hAnsi="Arial"/>
          <w:sz w:val="16"/>
        </w:rPr>
        <w:t>418.15  با شناسایی عوامل استرس زا بالقوه قبل از ظهور، استرس را کاهش دهید.</w:t>
      </w:r>
    </w:p>
    <w:p>
      <w:pPr>
        <w:spacing w:after="28" w:line="216" w:lineRule="auto"/>
        <w:ind w:left="259"/>
        <w:jc w:val="left"/>
      </w:pPr>
      <w:r>
        <w:rPr>
          <w:rFonts w:ascii="Arial" w:hAnsi="Arial"/>
          <w:color w:val="525252"/>
          <w:sz w:val="13"/>
        </w:rPr>
        <w:t>Reduce stress by identifying potential stressors before they arise.</w:t>
      </w:r>
    </w:p>
    <w:p>
      <w:pPr>
        <w:spacing w:after="20" w:line="223" w:lineRule="auto"/>
        <w:jc w:val="right"/>
        <w:bidi/>
      </w:pPr>
      <w:r>
        <w:rPr>
          <w:rFonts w:ascii="Arial" w:hAnsi="Arial"/>
          <w:sz w:val="16"/>
        </w:rPr>
        <w:t>418.16  به‌عنوان مثال، اگر در ازدحام و صف‌های طولانی استرس دارید، برنامه‌های خود را طوری تنظیم کنید که قرار گرفتن در محیط‌های شلوغ را به حداقل برسانید.</w:t>
      </w:r>
    </w:p>
    <w:p>
      <w:pPr>
        <w:spacing w:after="28" w:line="216" w:lineRule="auto"/>
        <w:ind w:left="259"/>
        <w:jc w:val="left"/>
      </w:pPr>
      <w:r>
        <w:rPr>
          <w:rFonts w:ascii="Arial" w:hAnsi="Arial"/>
          <w:color w:val="525252"/>
          <w:sz w:val="13"/>
        </w:rPr>
        <w:t>For example, if you are stressed by crowds and long lines, adjust your plans so that you may minimize the exposure to crowded environments.</w:t>
      </w:r>
    </w:p>
    <w:p>
      <w:pPr>
        <w:spacing w:after="20" w:line="223" w:lineRule="auto"/>
        <w:jc w:val="right"/>
        <w:bidi/>
      </w:pPr>
      <w:r>
        <w:rPr>
          <w:rFonts w:ascii="Arial" w:hAnsi="Arial"/>
          <w:sz w:val="16"/>
        </w:rPr>
        <w:t>418.17  در حالی که برنامه‌ریزی نمی‌تواند از همه استرس‌ها جلوگیری کند، در به حداقل رساندن یا آماده شدن برای قرار گرفتن در معرض استرس قبل از وقوع یک عامل استرس زا بسیار ارزشمند است.</w:t>
      </w:r>
    </w:p>
    <w:p>
      <w:pPr>
        <w:spacing w:after="28" w:line="216" w:lineRule="auto"/>
        <w:ind w:left="259"/>
        <w:jc w:val="left"/>
      </w:pPr>
      <w:r>
        <w:rPr>
          <w:rFonts w:ascii="Arial" w:hAnsi="Arial"/>
          <w:color w:val="525252"/>
          <w:sz w:val="13"/>
        </w:rPr>
        <w:t>While planning can’t prevent all stress, it is extremely valuable in minimizing or preparing for exposure to stress before a stressor occurs.</w:t>
      </w:r>
    </w:p>
    <w:p>
      <w:pPr>
        <w:spacing w:after="20" w:line="223" w:lineRule="auto"/>
        <w:jc w:val="right"/>
        <w:bidi/>
      </w:pPr>
      <w:r>
        <w:rPr>
          <w:rFonts w:ascii="Arial" w:hAnsi="Arial"/>
          <w:sz w:val="16"/>
        </w:rPr>
        <w:t>418.18  مدیریت زمان.</w:t>
      </w:r>
    </w:p>
    <w:p>
      <w:pPr>
        <w:spacing w:after="28" w:line="216" w:lineRule="auto"/>
        <w:ind w:left="259"/>
        <w:jc w:val="left"/>
      </w:pPr>
      <w:r>
        <w:rPr>
          <w:rFonts w:ascii="Arial" w:hAnsi="Arial"/>
          <w:color w:val="525252"/>
          <w:sz w:val="13"/>
        </w:rPr>
        <w:t>Time Management.</w:t>
      </w:r>
    </w:p>
    <w:p>
      <w:pPr>
        <w:spacing w:after="20" w:line="223" w:lineRule="auto"/>
        <w:jc w:val="right"/>
        <w:bidi/>
      </w:pPr>
      <w:r>
        <w:rPr>
          <w:rFonts w:ascii="Arial" w:hAnsi="Arial"/>
          <w:sz w:val="16"/>
        </w:rPr>
        <w:t>418.19  نداشتن زمان کافی برای انجام یک کار می‌تواند برای برخی افراد استرس‌زا باشد.</w:t>
      </w:r>
    </w:p>
    <w:p>
      <w:pPr>
        <w:spacing w:after="28" w:line="216" w:lineRule="auto"/>
        <w:ind w:left="259"/>
        <w:jc w:val="left"/>
      </w:pPr>
      <w:r>
        <w:rPr>
          <w:rFonts w:ascii="Arial" w:hAnsi="Arial"/>
          <w:color w:val="525252"/>
          <w:sz w:val="13"/>
        </w:rPr>
        <w:t>Not having enough time to complete a task can be a significant stressor for some people.</w:t>
      </w:r>
    </w:p>
    <w:p>
      <w:pPr>
        <w:spacing w:after="20" w:line="223" w:lineRule="auto"/>
        <w:jc w:val="right"/>
        <w:bidi/>
      </w:pPr>
      <w:r>
        <w:rPr>
          <w:rFonts w:ascii="Arial" w:hAnsi="Arial"/>
          <w:sz w:val="16"/>
        </w:rPr>
        <w:t>418.20  اگر مدیریت زمان مشکلی است، با استفاده از مهارت‌ها و ابزارهای مدیریت زمان مؤثر، مانند تهیه فهرست وظایف و اولویت‌بندی وظایف، استرس را کاهش دهید.</w:t>
      </w:r>
    </w:p>
    <w:p>
      <w:pPr>
        <w:spacing w:after="28" w:line="216" w:lineRule="auto"/>
        <w:ind w:left="259"/>
        <w:jc w:val="left"/>
      </w:pPr>
      <w:r>
        <w:rPr>
          <w:rFonts w:ascii="Arial" w:hAnsi="Arial"/>
          <w:color w:val="525252"/>
          <w:sz w:val="13"/>
        </w:rPr>
        <w:t>If time management is an issue, reduce stress by using effective time management skills and tools, like developing a task list and prioritizing tasks.</w:t>
      </w:r>
    </w:p>
    <w:p>
      <w:pPr>
        <w:spacing w:after="20" w:line="223" w:lineRule="auto"/>
        <w:jc w:val="right"/>
        <w:bidi/>
      </w:pPr>
      <w:r>
        <w:rPr>
          <w:rFonts w:ascii="Arial" w:hAnsi="Arial"/>
          <w:sz w:val="16"/>
        </w:rPr>
        <w:t>418.21  اجتناب از اضافه بار.</w:t>
      </w:r>
    </w:p>
    <w:p>
      <w:pPr>
        <w:spacing w:after="28" w:line="216" w:lineRule="auto"/>
        <w:ind w:left="259"/>
        <w:jc w:val="left"/>
      </w:pPr>
      <w:r>
        <w:rPr>
          <w:rFonts w:ascii="Arial" w:hAnsi="Arial"/>
          <w:color w:val="525252"/>
          <w:sz w:val="13"/>
        </w:rPr>
        <w:t>Overload Avoidance.</w:t>
      </w:r>
    </w:p>
    <w:p>
      <w:pPr>
        <w:spacing w:after="20" w:line="223" w:lineRule="auto"/>
        <w:jc w:val="right"/>
        <w:bidi/>
      </w:pPr>
      <w:r>
        <w:rPr>
          <w:rFonts w:ascii="Arial" w:hAnsi="Arial"/>
          <w:sz w:val="16"/>
        </w:rPr>
        <w:t>418.22  برای اکثر مردم حذف یا کاهش اثرات عوامل استرس زا مرتبط با اضافه بار نسبتا ساده است.</w:t>
      </w:r>
    </w:p>
    <w:p>
      <w:pPr>
        <w:spacing w:after="28" w:line="216" w:lineRule="auto"/>
        <w:ind w:left="259"/>
        <w:jc w:val="left"/>
      </w:pPr>
      <w:r>
        <w:rPr>
          <w:rFonts w:ascii="Arial" w:hAnsi="Arial"/>
          <w:color w:val="525252"/>
          <w:sz w:val="13"/>
        </w:rPr>
        <w:t>For most people to eliminate or reduce the effects of overload-related stressors is relatively simple.</w:t>
      </w:r>
    </w:p>
    <w:p>
      <w:pPr>
        <w:spacing w:after="20" w:line="223" w:lineRule="auto"/>
        <w:jc w:val="right"/>
        <w:bidi/>
      </w:pPr>
      <w:r>
        <w:rPr>
          <w:rFonts w:ascii="Arial" w:hAnsi="Arial"/>
          <w:sz w:val="16"/>
        </w:rPr>
        <w:t>418.23  برای شروع، کار پرمشغله را شناسایی کرده و از آن اجتناب کنید، در صورت امکان به دیگران تفویض اختیار کنید یا به دیگران قدرت دهید، نه گفتن را یاد بگیرید و سعی کنید در مورد ضرب الاجل‌های نامعقول مذاکره کنید.</w:t>
      </w:r>
    </w:p>
    <w:p>
      <w:pPr>
        <w:spacing w:after="28" w:line="216" w:lineRule="auto"/>
        <w:ind w:left="259"/>
        <w:jc w:val="left"/>
      </w:pPr>
      <w:r>
        <w:rPr>
          <w:rFonts w:ascii="Arial" w:hAnsi="Arial"/>
          <w:color w:val="525252"/>
          <w:sz w:val="13"/>
        </w:rPr>
        <w:t>For a start, identify and avoid busy work, delegate, or empower others, when possible, learn to say no, and attempt to negotiate unreasonable deadlines.</w:t>
      </w:r>
    </w:p>
    <w:p>
      <w:pPr>
        <w:spacing w:after="20" w:line="223" w:lineRule="auto"/>
        <w:jc w:val="right"/>
        <w:bidi/>
      </w:pPr>
      <w:r>
        <w:rPr>
          <w:rFonts w:ascii="Arial" w:hAnsi="Arial"/>
          <w:sz w:val="16"/>
        </w:rPr>
        <w:t>418.24  آرامش.</w:t>
      </w:r>
    </w:p>
    <w:p>
      <w:pPr>
        <w:spacing w:after="28" w:line="216" w:lineRule="auto"/>
        <w:ind w:left="259"/>
        <w:jc w:val="left"/>
      </w:pPr>
      <w:r>
        <w:rPr>
          <w:rFonts w:ascii="Arial" w:hAnsi="Arial"/>
          <w:color w:val="525252"/>
          <w:sz w:val="13"/>
        </w:rPr>
        <w:t>Relaxation.</w:t>
      </w:r>
    </w:p>
    <w:p>
      <w:pPr>
        <w:spacing w:after="20" w:line="223" w:lineRule="auto"/>
        <w:jc w:val="right"/>
        <w:bidi/>
      </w:pPr>
      <w:r>
        <w:rPr>
          <w:rFonts w:ascii="Arial" w:hAnsi="Arial"/>
          <w:sz w:val="16"/>
        </w:rPr>
        <w:t>418.25  آرامش می‌تواند به مدیریت استرس کمک کند و به شما کمک کند هوشیار، پرانرژی و سازنده بمانید.</w:t>
      </w:r>
    </w:p>
    <w:p>
      <w:pPr>
        <w:spacing w:after="28" w:line="216" w:lineRule="auto"/>
        <w:ind w:left="259"/>
        <w:jc w:val="left"/>
      </w:pPr>
      <w:r>
        <w:rPr>
          <w:rFonts w:ascii="Arial" w:hAnsi="Arial"/>
          <w:color w:val="525252"/>
          <w:sz w:val="13"/>
        </w:rPr>
        <w:t>Relaxation can help manage stress and help you stay alert, energetic, and productive.</w:t>
      </w:r>
    </w:p>
    <w:p>
      <w:pPr>
        <w:spacing w:after="20" w:line="223" w:lineRule="auto"/>
        <w:jc w:val="right"/>
        <w:bidi/>
      </w:pPr>
      <w:r>
        <w:rPr>
          <w:rFonts w:ascii="Arial" w:hAnsi="Arial"/>
          <w:sz w:val="16"/>
        </w:rPr>
        <w:t>418.26  تکنیک‌های تمدد اعصاب، مانند مدیتیشن، خواندن و گوش دادن به موسیقی می‌توانند ضربان قلب شما را بهبود بخشند، فشار خون شما را تنظیم کنند و تعداد تنفس را کاهش دهند.</w:t>
      </w:r>
    </w:p>
    <w:p>
      <w:pPr>
        <w:spacing w:after="28" w:line="216" w:lineRule="auto"/>
        <w:ind w:left="259"/>
        <w:jc w:val="left"/>
      </w:pPr>
      <w:r>
        <w:rPr>
          <w:rFonts w:ascii="Arial" w:hAnsi="Arial"/>
          <w:color w:val="525252"/>
          <w:sz w:val="13"/>
        </w:rPr>
        <w:t>Relaxation techniques, such as meditation, reading, and listening to music can improve your heart rate, regulate your blood pressure, and decrease your respiratory rate.</w:t>
      </w:r>
    </w:p>
    <w:p>
      <w:pPr>
        <w:spacing w:after="20" w:line="223" w:lineRule="auto"/>
        <w:jc w:val="right"/>
        <w:bidi/>
      </w:pPr>
      <w:r>
        <w:rPr>
          <w:rFonts w:ascii="Arial" w:hAnsi="Arial"/>
          <w:sz w:val="16"/>
        </w:rPr>
        <w:t>418.27  با گنجاندن مهارت‌های تمدد اعصاب در برنامه‌های روزانه خود، می‌توانید بدن خود را برای واکنش متفاوت به استرس آموزش دهید.</w:t>
      </w:r>
    </w:p>
    <w:p>
      <w:pPr>
        <w:spacing w:after="28" w:line="216" w:lineRule="auto"/>
        <w:ind w:left="259"/>
        <w:jc w:val="left"/>
      </w:pPr>
      <w:r>
        <w:rPr>
          <w:rFonts w:ascii="Arial" w:hAnsi="Arial"/>
          <w:color w:val="525252"/>
          <w:sz w:val="13"/>
        </w:rPr>
        <w:t>By incorporating relaxation skills into your daily routines, you can train your body to respond differently to stress.</w:t>
      </w:r>
    </w:p>
    <w:p>
      <w:pPr>
        <w:spacing w:after="20" w:line="223" w:lineRule="auto"/>
        <w:jc w:val="right"/>
        <w:bidi/>
      </w:pPr>
      <w:r>
        <w:rPr>
          <w:rFonts w:ascii="Arial" w:hAnsi="Arial"/>
          <w:sz w:val="16"/>
        </w:rPr>
        <w:t>418.28  ورزش و تغذیه.</w:t>
      </w:r>
    </w:p>
    <w:p>
      <w:pPr>
        <w:spacing w:after="28" w:line="216" w:lineRule="auto"/>
        <w:ind w:left="259"/>
        <w:jc w:val="left"/>
      </w:pPr>
      <w:r>
        <w:rPr>
          <w:rFonts w:ascii="Arial" w:hAnsi="Arial"/>
          <w:color w:val="525252"/>
          <w:sz w:val="13"/>
        </w:rPr>
        <w:t>Exercise and Nutrition.</w:t>
      </w:r>
    </w:p>
    <w:p>
      <w:pPr>
        <w:spacing w:after="20" w:line="223" w:lineRule="auto"/>
        <w:jc w:val="right"/>
        <w:bidi/>
      </w:pPr>
      <w:r>
        <w:rPr>
          <w:rFonts w:ascii="Arial" w:hAnsi="Arial"/>
          <w:sz w:val="16"/>
        </w:rPr>
        <w:t>418.29  ورزش منظم همراه با رژیم غذایی سالم، یک تکنیک مؤثر مدیریت استرس است.</w:t>
      </w:r>
    </w:p>
    <w:p>
      <w:pPr>
        <w:spacing w:after="28" w:line="216" w:lineRule="auto"/>
        <w:ind w:left="259"/>
        <w:jc w:val="left"/>
      </w:pPr>
      <w:r>
        <w:rPr>
          <w:rFonts w:ascii="Arial" w:hAnsi="Arial"/>
          <w:color w:val="525252"/>
          <w:sz w:val="13"/>
        </w:rPr>
        <w:t>Regular exercise combined with a healthy diet is an effective stress management technique.</w:t>
      </w:r>
    </w:p>
    <w:p>
      <w:pPr>
        <w:spacing w:after="20" w:line="223" w:lineRule="auto"/>
        <w:jc w:val="right"/>
        <w:bidi/>
      </w:pPr>
      <w:r>
        <w:rPr>
          <w:rFonts w:ascii="Arial" w:hAnsi="Arial"/>
          <w:sz w:val="16"/>
        </w:rPr>
        <w:t>418.30  ورزش می‌تواند خروجی برای انرژی اضافی و تنش ناشی از استرس ایجاد کند.</w:t>
      </w:r>
    </w:p>
    <w:p>
      <w:pPr>
        <w:spacing w:after="28" w:line="216" w:lineRule="auto"/>
        <w:ind w:left="259"/>
        <w:jc w:val="left"/>
      </w:pPr>
      <w:r>
        <w:rPr>
          <w:rFonts w:ascii="Arial" w:hAnsi="Arial"/>
          <w:color w:val="525252"/>
          <w:sz w:val="13"/>
        </w:rPr>
        <w:t>Exercise can provide an outlet for excess energy and tension caused by stress.</w:t>
      </w:r>
    </w:p>
    <w:p>
      <w:pPr>
        <w:spacing w:after="20" w:line="223" w:lineRule="auto"/>
        <w:jc w:val="right"/>
        <w:bidi/>
      </w:pPr>
      <w:r>
        <w:rPr>
          <w:rFonts w:ascii="Arial" w:hAnsi="Arial"/>
          <w:sz w:val="16"/>
        </w:rPr>
        <w:t>418.31  خوردن غذاهای مغذی تضمین می‌کند که بدن شما مواد مغذی مورد نیاز برای مدیریت استرس را دارد و به جلوگیری از پرخوری کمک می‌کند.</w:t>
      </w:r>
    </w:p>
    <w:p>
      <w:pPr>
        <w:spacing w:after="28" w:line="216" w:lineRule="auto"/>
        <w:ind w:left="259"/>
        <w:jc w:val="left"/>
      </w:pPr>
      <w:r>
        <w:rPr>
          <w:rFonts w:ascii="Arial" w:hAnsi="Arial"/>
          <w:color w:val="525252"/>
          <w:sz w:val="13"/>
        </w:rPr>
        <w:t>Eating nutritious foods ensures your body has the nutrients needed to manage stress and helps prevent overeating.</w:t>
      </w:r>
    </w:p>
    <w:p>
      <w:pPr>
        <w:spacing w:after="20" w:line="223" w:lineRule="auto"/>
        <w:jc w:val="right"/>
        <w:bidi/>
      </w:pPr>
      <w:r>
        <w:rPr>
          <w:rFonts w:ascii="Arial" w:hAnsi="Arial"/>
          <w:sz w:val="16"/>
        </w:rPr>
        <w:t>418.32  ورزش و خوردن یک رژیم غذایی متعادل به بدن شما کمک می‌کند تا در برابر نتایج منفی استرس مانند فشار خون بالا، حملات قلبی و بیماری‌های مکرر مقاوم‌تر شود.</w:t>
      </w:r>
    </w:p>
    <w:p>
      <w:pPr>
        <w:spacing w:after="28" w:line="216" w:lineRule="auto"/>
        <w:ind w:left="259"/>
        <w:jc w:val="left"/>
      </w:pPr>
      <w:r>
        <w:rPr>
          <w:rFonts w:ascii="Arial" w:hAnsi="Arial"/>
          <w:color w:val="525252"/>
          <w:sz w:val="13"/>
        </w:rPr>
        <w:t>Exercising and eating a balanced diet help your body become more resistant to the negative results of stress, such as high blood pressure, heart attacks, and frequent illness.</w:t>
      </w:r>
    </w:p>
    <w:p>
      <w:pPr>
        <w:spacing w:after="20" w:line="223" w:lineRule="auto"/>
        <w:jc w:val="right"/>
        <w:bidi/>
      </w:pPr>
      <w:r>
        <w:rPr>
          <w:rFonts w:ascii="Arial" w:hAnsi="Arial"/>
          <w:sz w:val="16"/>
        </w:rPr>
        <w:t>418.33  حمایت اجتماعی.</w:t>
      </w:r>
    </w:p>
    <w:p>
      <w:pPr>
        <w:spacing w:after="28" w:line="216" w:lineRule="auto"/>
        <w:ind w:left="259"/>
        <w:jc w:val="left"/>
      </w:pPr>
      <w:r>
        <w:rPr>
          <w:rFonts w:ascii="Arial" w:hAnsi="Arial"/>
          <w:color w:val="525252"/>
          <w:sz w:val="13"/>
        </w:rPr>
        <w:t>Social Support.</w:t>
      </w:r>
    </w:p>
    <w:p>
      <w:pPr>
        <w:spacing w:after="20" w:line="223" w:lineRule="auto"/>
        <w:jc w:val="right"/>
        <w:bidi/>
      </w:pPr>
      <w:r>
        <w:rPr>
          <w:rFonts w:ascii="Arial" w:hAnsi="Arial"/>
          <w:sz w:val="16"/>
        </w:rPr>
        <w:t>418.34  داشتن یک شبکه حمایت اجتماعی قوی، مانند خانواده، دوستان، گروه‌های اجتماعی و همسالان، می‌تواند به مدیریت استرس کمک کند.</w:t>
      </w:r>
    </w:p>
    <w:p>
      <w:pPr>
        <w:spacing w:after="28" w:line="216" w:lineRule="auto"/>
        <w:ind w:left="259"/>
        <w:jc w:val="left"/>
      </w:pPr>
      <w:r>
        <w:rPr>
          <w:rFonts w:ascii="Arial" w:hAnsi="Arial"/>
          <w:color w:val="525252"/>
          <w:sz w:val="13"/>
        </w:rPr>
        <w:t>Having a strong social support network, such as family, friends, social groups, and peers, can help manage stress.</w:t>
      </w:r>
    </w:p>
    <w:p>
      <w:pPr>
        <w:spacing w:after="20" w:line="223" w:lineRule="auto"/>
        <w:jc w:val="right"/>
        <w:bidi/>
      </w:pPr>
      <w:r>
        <w:rPr>
          <w:rFonts w:ascii="Arial" w:hAnsi="Arial"/>
          <w:sz w:val="16"/>
        </w:rPr>
        <w:t>418.35  اینکه بتوانید مشکلات را با افرادی که به شما و سلامتی شما اهمیت می‌دهند، در میان بگذارید، می‌تواند با ارائه دیدگاه مثبت‌تر، پیشنهاد راه‌حل‌هایی برای مشکلاتتان یا فقط گوش دادن، به کاهش استرس کمک کند.</w:t>
      </w:r>
    </w:p>
    <w:p>
      <w:pPr>
        <w:spacing w:after="28" w:line="216" w:lineRule="auto"/>
        <w:ind w:left="259"/>
        <w:jc w:val="left"/>
      </w:pPr>
      <w:r>
        <w:rPr>
          <w:rFonts w:ascii="Arial" w:hAnsi="Arial"/>
          <w:color w:val="525252"/>
          <w:sz w:val="13"/>
        </w:rPr>
        <w:t>Being able to discuss problems with people who care about you and your well-being can help reduce stress by providing a more positive outlook, suggesting solutions to your problems, or just listening.</w:t>
      </w:r>
    </w:p>
    <w:p>
      <w:pPr>
        <w:spacing w:after="20" w:line="223" w:lineRule="auto"/>
        <w:jc w:val="right"/>
        <w:bidi/>
      </w:pPr>
      <w:r>
        <w:rPr>
          <w:rFonts w:ascii="Arial" w:hAnsi="Arial"/>
          <w:sz w:val="16"/>
        </w:rPr>
        <w:t>418.36  اولویت بندی کنید.</w:t>
      </w:r>
    </w:p>
    <w:p>
      <w:pPr>
        <w:spacing w:after="28" w:line="216" w:lineRule="auto"/>
        <w:ind w:left="259"/>
        <w:jc w:val="left"/>
      </w:pPr>
      <w:r>
        <w:rPr>
          <w:rFonts w:ascii="Arial" w:hAnsi="Arial"/>
          <w:color w:val="525252"/>
          <w:sz w:val="13"/>
        </w:rPr>
        <w:t>Prioritize.</w:t>
      </w:r>
    </w:p>
    <w:p>
      <w:pPr>
        <w:spacing w:after="20" w:line="223" w:lineRule="auto"/>
        <w:jc w:val="right"/>
        <w:bidi/>
      </w:pPr>
      <w:r>
        <w:rPr>
          <w:rFonts w:ascii="Arial" w:hAnsi="Arial"/>
          <w:sz w:val="16"/>
        </w:rPr>
        <w:t>418.37  در حین کار، منابع بالقوه استرس را شناسایی کنید، اهمیت هر کار را تعیین کنید، و کارهایی را که ضروری یا سازنده نیستند حذف کنید.</w:t>
      </w:r>
    </w:p>
    <w:p>
      <w:pPr>
        <w:spacing w:after="28" w:line="216" w:lineRule="auto"/>
        <w:ind w:left="259"/>
        <w:jc w:val="left"/>
      </w:pPr>
      <w:r>
        <w:rPr>
          <w:rFonts w:ascii="Arial" w:hAnsi="Arial"/>
          <w:color w:val="525252"/>
          <w:sz w:val="13"/>
        </w:rPr>
        <w:t>On the job, identify potential sources of stress, determine the importance of each task, and eliminate tasks that are not necessary or productive.</w:t>
      </w:r>
    </w:p>
    <w:p>
      <w:pPr>
        <w:spacing w:after="20" w:line="223" w:lineRule="auto"/>
        <w:jc w:val="right"/>
        <w:bidi/>
      </w:pPr>
      <w:r>
        <w:rPr>
          <w:rFonts w:ascii="Arial" w:hAnsi="Arial"/>
          <w:sz w:val="16"/>
        </w:rPr>
        <w:t>418.38  اگر شغلی به ساعات طولانی نیاز دارد، از عناصر غنی‌سازی شغل مانند استراحت کافی یا استراحت‌های دوره‌ای برای کمک به کاهش استرس احتمالی استفاده کنید.</w:t>
      </w:r>
    </w:p>
    <w:p>
      <w:pPr>
        <w:spacing w:after="28" w:line="216" w:lineRule="auto"/>
        <w:ind w:left="259"/>
        <w:jc w:val="left"/>
      </w:pPr>
      <w:r>
        <w:rPr>
          <w:rFonts w:ascii="Arial" w:hAnsi="Arial"/>
          <w:color w:val="525252"/>
          <w:sz w:val="13"/>
        </w:rPr>
        <w:t>If a job requires long hours, consider using elements of job enrichment, like adequate time off or periodic breaks to help reduce potential stress.</w:t>
      </w:r>
    </w:p>
    <w:p>
      <w:pPr>
        <w:spacing w:after="20" w:line="223" w:lineRule="auto"/>
        <w:jc w:val="right"/>
        <w:bidi/>
      </w:pPr>
      <w:r>
        <w:rPr>
          <w:rFonts w:ascii="Arial" w:hAnsi="Arial"/>
          <w:sz w:val="16"/>
        </w:rPr>
        <w:t>418.39  در صورت امکان، ساختار شغلی را تغییر دهید تا نیازهای فردی را برآورده کند تا به کاهش استرس و افزایش بهره وری کمک کند.</w:t>
      </w:r>
    </w:p>
    <w:p>
      <w:pPr>
        <w:spacing w:after="28" w:line="216" w:lineRule="auto"/>
        <w:ind w:left="259"/>
        <w:jc w:val="left"/>
      </w:pPr>
      <w:r>
        <w:rPr>
          <w:rFonts w:ascii="Arial" w:hAnsi="Arial"/>
          <w:color w:val="525252"/>
          <w:sz w:val="13"/>
        </w:rPr>
        <w:t>If possible, restructure the job to accommodate individual needs to help reduce stress and enhance productivity.</w:t>
      </w:r>
    </w:p>
    <w:p>
      <w:r>
        <w:br w:type="page"/>
      </w:r>
    </w:p>
    <w:p>
      <w:pPr>
        <w:spacing w:after="60"/>
        <w:jc w:val="right"/>
        <w:bidi/>
      </w:pPr>
      <w:r>
        <w:rPr>
          <w:rFonts w:ascii="Arial" w:hAnsi="Arial"/>
          <w:b/>
          <w:color w:val="1F4D78"/>
          <w:sz w:val="19"/>
        </w:rPr>
        <w:t>هفتهٔ 419  |  صفحهٔ منبع: 435</w:t>
      </w:r>
    </w:p>
    <w:p>
      <w:pPr>
        <w:spacing w:before="60" w:after="28"/>
        <w:jc w:val="right"/>
        <w:bidi/>
      </w:pPr>
      <w:r>
        <w:rPr>
          <w:b/>
          <w:color w:val="1F4D78"/>
          <w:sz w:val="18"/>
        </w:rPr>
        <w:t>22.31. اختلال استرس پس از سانحه</w:t>
      </w:r>
    </w:p>
    <w:p>
      <w:pPr>
        <w:spacing w:after="20"/>
        <w:ind w:left="259"/>
        <w:jc w:val="left"/>
      </w:pPr>
      <w:r>
        <w:rPr>
          <w:color w:val="555555"/>
          <w:sz w:val="12"/>
        </w:rPr>
        <w:t>22.31. Post-Traumatic Stress Disorder</w:t>
      </w:r>
    </w:p>
    <w:p>
      <w:pPr>
        <w:spacing w:after="20" w:line="223" w:lineRule="auto"/>
        <w:jc w:val="right"/>
        <w:bidi/>
      </w:pPr>
      <w:r>
        <w:rPr>
          <w:rFonts w:ascii="Arial" w:hAnsi="Arial"/>
          <w:sz w:val="16"/>
        </w:rPr>
        <w:t>419.02  اختلال استرس پس از سانحه (PTSD) یک وضعیت سلامت روانی است که می‌تواند پس از گذراندن یک رویداد آسیب زا، مانند جنگ، تجاوز جنسی یا فیزیکی، یا یک فاجعه طبیعی یا انسان ساز رخ دهد.</w:t>
      </w:r>
    </w:p>
    <w:p>
      <w:pPr>
        <w:spacing w:after="28" w:line="216" w:lineRule="auto"/>
        <w:ind w:left="259"/>
        <w:jc w:val="left"/>
      </w:pPr>
      <w:r>
        <w:rPr>
          <w:rFonts w:ascii="Arial" w:hAnsi="Arial"/>
          <w:color w:val="525252"/>
          <w:sz w:val="13"/>
        </w:rPr>
        <w:t>Post-Traumatic Stress Disorder (PTSD) is a mental health condition that can occur after someone has gone through a traumatic event, such as war-related combat, sexual or physical assault, or a natural or man-made disaster.</w:t>
      </w:r>
    </w:p>
    <w:p>
      <w:pPr>
        <w:spacing w:after="20" w:line="223" w:lineRule="auto"/>
        <w:jc w:val="right"/>
        <w:bidi/>
      </w:pPr>
      <w:r>
        <w:rPr>
          <w:rFonts w:ascii="Arial" w:hAnsi="Arial"/>
          <w:sz w:val="16"/>
        </w:rPr>
        <w:t>419.03  USAF شدیدا هوانوردان را تشویق می‌کند که زودتر به دنبال درمان باشند یا مداخله زودهنگام را تشویق می‌کند.</w:t>
      </w:r>
    </w:p>
    <w:p>
      <w:pPr>
        <w:spacing w:after="28" w:line="216" w:lineRule="auto"/>
        <w:ind w:left="259"/>
        <w:jc w:val="left"/>
      </w:pPr>
      <w:r>
        <w:rPr>
          <w:rFonts w:ascii="Arial" w:hAnsi="Arial"/>
          <w:color w:val="525252"/>
          <w:sz w:val="13"/>
        </w:rPr>
        <w:t>The USAF strongly encourages Airmen to seek treatment early or encourages early intervention.</w:t>
      </w:r>
    </w:p>
    <w:p>
      <w:pPr>
        <w:spacing w:after="20" w:line="223" w:lineRule="auto"/>
        <w:jc w:val="right"/>
        <w:bidi/>
      </w:pPr>
      <w:r>
        <w:rPr>
          <w:rFonts w:ascii="Arial" w:hAnsi="Arial"/>
          <w:sz w:val="16"/>
        </w:rPr>
        <w:t>419.04  از آنجایی که این اختلال نه تنها بر افرادی که از آن رنج می‌برند، بلکه نزدیکان آنها را نیز تحت تأثیر قرار می‌دهد، آموزش در مورد PTSD برای همه اعضای ارتش مهم است.</w:t>
      </w:r>
    </w:p>
    <w:p>
      <w:pPr>
        <w:spacing w:after="28" w:line="216" w:lineRule="auto"/>
        <w:ind w:left="259"/>
        <w:jc w:val="left"/>
      </w:pPr>
      <w:r>
        <w:rPr>
          <w:rFonts w:ascii="Arial" w:hAnsi="Arial"/>
          <w:color w:val="525252"/>
          <w:sz w:val="13"/>
        </w:rPr>
        <w:t>Because this disorder impacts not only the person who suffers from it, but those who are close to them, it is important for all military members to be educated about PTSD.</w:t>
      </w:r>
    </w:p>
    <w:p>
      <w:pPr>
        <w:spacing w:after="20" w:line="223" w:lineRule="auto"/>
        <w:jc w:val="right"/>
        <w:bidi/>
      </w:pPr>
      <w:r>
        <w:rPr>
          <w:rFonts w:ascii="Arial" w:hAnsi="Arial"/>
          <w:sz w:val="16"/>
        </w:rPr>
        <w:t>419.05  با افزایش آگاهی، بسیاری از افراد ممکن است از ابتلا به این بیماری جلوگیری کنند و کسانی که از PTSD رنج می‌برند ممکن است قبل از اینکه علائم ناتوان کننده و مزمن شوند، درمان دریافت کنند.</w:t>
      </w:r>
    </w:p>
    <w:p>
      <w:pPr>
        <w:spacing w:after="28" w:line="216" w:lineRule="auto"/>
        <w:ind w:left="259"/>
        <w:jc w:val="left"/>
      </w:pPr>
      <w:r>
        <w:rPr>
          <w:rFonts w:ascii="Arial" w:hAnsi="Arial"/>
          <w:color w:val="525252"/>
          <w:sz w:val="13"/>
        </w:rPr>
        <w:t>With enhanced awareness, many people may be prevented from developing this condition, and those who suffer from PTSD may receive treatment before symptoms become disabling and chronic.</w:t>
      </w:r>
    </w:p>
    <w:p>
      <w:pPr>
        <w:spacing w:after="20" w:line="223" w:lineRule="auto"/>
        <w:jc w:val="right"/>
        <w:bidi/>
      </w:pPr>
      <w:r>
        <w:rPr>
          <w:rFonts w:ascii="Arial" w:hAnsi="Arial"/>
          <w:sz w:val="16"/>
        </w:rPr>
        <w:t>419.06  علائم اختلال استرس پس از سانحه.</w:t>
      </w:r>
    </w:p>
    <w:p>
      <w:pPr>
        <w:spacing w:after="28" w:line="216" w:lineRule="auto"/>
        <w:ind w:left="259"/>
        <w:jc w:val="left"/>
      </w:pPr>
      <w:r>
        <w:rPr>
          <w:rFonts w:ascii="Arial" w:hAnsi="Arial"/>
          <w:color w:val="525252"/>
          <w:sz w:val="13"/>
        </w:rPr>
        <w:t>Symptoms of Post-Traumatic Stress Disorder.</w:t>
      </w:r>
    </w:p>
    <w:p>
      <w:pPr>
        <w:spacing w:after="20" w:line="223" w:lineRule="auto"/>
        <w:jc w:val="right"/>
        <w:bidi/>
      </w:pPr>
      <w:r>
        <w:rPr>
          <w:rFonts w:ascii="Arial" w:hAnsi="Arial"/>
          <w:sz w:val="16"/>
        </w:rPr>
        <w:t>419.07  علائم PTSD عبارتند از: (۱) افکار مزاحم یا ناخواسته، مانند خاطرات ناراحت کننده، کابوس‌ها، یا فلاش بک. (۲) رفتار اجتنابی در قالب تلاش برای جلوگیری از یادآوری رویداد آسیب زا. (۳) افکار و خلق و خوی منفی، مانند احساس عدم ارتباط با دیگران یا باور به اینکه دنیا مکانی خطرناک است. و (۴) علائم بیش از حد برانگیختگی، از جمله مشکل در خواب و تحریک پذیری.</w:t>
      </w:r>
    </w:p>
    <w:p>
      <w:pPr>
        <w:spacing w:after="28" w:line="216" w:lineRule="auto"/>
        <w:ind w:left="259"/>
        <w:jc w:val="left"/>
      </w:pPr>
      <w:r>
        <w:rPr>
          <w:rFonts w:ascii="Arial" w:hAnsi="Arial"/>
          <w:color w:val="525252"/>
          <w:sz w:val="13"/>
        </w:rPr>
        <w:t>Symptoms of PTSD include: (1) intrusive or unwanted thoughts, such as distressing memories, nightmares, or flashbacks; (2) avoidance behavior in the form of efforts to avoid reminders of the traumatic event; (3) negative thoughts and moods, such as feeling disconnected from others or believing that the world is a dangerous place; and (4) hyper-arousal symptoms, including difficulty sleeping and irritability.</w:t>
      </w:r>
    </w:p>
    <w:p>
      <w:pPr>
        <w:spacing w:after="20" w:line="223" w:lineRule="auto"/>
        <w:jc w:val="right"/>
        <w:bidi/>
      </w:pPr>
      <w:r>
        <w:rPr>
          <w:rFonts w:ascii="Arial" w:hAnsi="Arial"/>
          <w:sz w:val="16"/>
        </w:rPr>
        <w:t>419.08  تقریبا هفت تا هشت درصد از جمعیت ایالات متحده در طول زندگی خود به PTSD مبتلا خواهند شد.</w:t>
      </w:r>
    </w:p>
    <w:p>
      <w:pPr>
        <w:spacing w:after="28" w:line="216" w:lineRule="auto"/>
        <w:ind w:left="259"/>
        <w:jc w:val="left"/>
      </w:pPr>
      <w:r>
        <w:rPr>
          <w:rFonts w:ascii="Arial" w:hAnsi="Arial"/>
          <w:color w:val="525252"/>
          <w:sz w:val="13"/>
        </w:rPr>
        <w:t>Approximately seven to eight percent of the United States population will have PTSD at some point during their lives.</w:t>
      </w:r>
    </w:p>
    <w:p>
      <w:pPr>
        <w:spacing w:after="20" w:line="223" w:lineRule="auto"/>
        <w:jc w:val="right"/>
        <w:bidi/>
      </w:pPr>
      <w:r>
        <w:rPr>
          <w:rFonts w:ascii="Arial" w:hAnsi="Arial"/>
          <w:sz w:val="16"/>
        </w:rPr>
        <w:t>419.09  خوشبختانه، در دهه گذشته محققان درمان‌های بسیار مؤثری را توسعه داده‌اند که می‌تواند منجر به کاهش علائم و حتی از دست دادن تشخیص PTSD شود.</w:t>
      </w:r>
    </w:p>
    <w:p>
      <w:pPr>
        <w:spacing w:after="28" w:line="216" w:lineRule="auto"/>
        <w:ind w:left="259"/>
        <w:jc w:val="left"/>
      </w:pPr>
      <w:r>
        <w:rPr>
          <w:rFonts w:ascii="Arial" w:hAnsi="Arial"/>
          <w:color w:val="525252"/>
          <w:sz w:val="13"/>
        </w:rPr>
        <w:t>Fortunately, within the last decade researchers have developed highly effective treatments that can lead to symptom reduction and even loss of the diagnosis of PTSD.</w:t>
      </w:r>
    </w:p>
    <w:p>
      <w:pPr>
        <w:spacing w:after="20" w:line="223" w:lineRule="auto"/>
        <w:jc w:val="right"/>
        <w:bidi/>
      </w:pPr>
      <w:r>
        <w:rPr>
          <w:rFonts w:ascii="Arial" w:hAnsi="Arial"/>
          <w:sz w:val="16"/>
        </w:rPr>
        <w:t>419.10  اقدامات مفیدی که باید انجام دهید.</w:t>
      </w:r>
    </w:p>
    <w:p>
      <w:pPr>
        <w:spacing w:after="28" w:line="216" w:lineRule="auto"/>
        <w:ind w:left="259"/>
        <w:jc w:val="left"/>
      </w:pPr>
      <w:r>
        <w:rPr>
          <w:rFonts w:ascii="Arial" w:hAnsi="Arial"/>
          <w:color w:val="525252"/>
          <w:sz w:val="13"/>
        </w:rPr>
        <w:t>Helpful Actions to Take.</w:t>
      </w:r>
    </w:p>
    <w:p>
      <w:pPr>
        <w:spacing w:after="20" w:line="223" w:lineRule="auto"/>
        <w:jc w:val="right"/>
        <w:bidi/>
      </w:pPr>
      <w:r>
        <w:rPr>
          <w:rFonts w:ascii="Arial" w:hAnsi="Arial"/>
          <w:sz w:val="16"/>
        </w:rPr>
        <w:t>419.11  دانستن اینکه چگونه به فردی با زخم نامرئی مانند PTSD واکنش نشان دهیم، چالش برانگیز است زیرا چیزهای زیادی در درون فرد اتفاق می‌افتد که در بیرون قابل مشاهده نیست.</w:t>
      </w:r>
    </w:p>
    <w:p>
      <w:pPr>
        <w:spacing w:after="28" w:line="216" w:lineRule="auto"/>
        <w:ind w:left="259"/>
        <w:jc w:val="left"/>
      </w:pPr>
      <w:r>
        <w:rPr>
          <w:rFonts w:ascii="Arial" w:hAnsi="Arial"/>
          <w:color w:val="525252"/>
          <w:sz w:val="13"/>
        </w:rPr>
        <w:t>Knowing how to respond to someone with an invisible wound, such as PTSD, is challenging because there is so much going on inside the individual that is not visible on the outside.</w:t>
      </w:r>
    </w:p>
    <w:p>
      <w:pPr>
        <w:spacing w:after="20" w:line="223" w:lineRule="auto"/>
        <w:jc w:val="right"/>
        <w:bidi/>
      </w:pPr>
      <w:r>
        <w:rPr>
          <w:rFonts w:ascii="Arial" w:hAnsi="Arial"/>
          <w:sz w:val="16"/>
        </w:rPr>
        <w:t>419.12  برخی از رفتارها یا خلق و خوی آنها ممکن است باعث شود شما احساس ناراحتی، سردرگمی یا حتی آزرده خاطر کنید.</w:t>
      </w:r>
    </w:p>
    <w:p>
      <w:pPr>
        <w:spacing w:after="28" w:line="216" w:lineRule="auto"/>
        <w:ind w:left="259"/>
        <w:jc w:val="left"/>
      </w:pPr>
      <w:r>
        <w:rPr>
          <w:rFonts w:ascii="Arial" w:hAnsi="Arial"/>
          <w:color w:val="525252"/>
          <w:sz w:val="13"/>
        </w:rPr>
        <w:t>Some of their behaviors or moods may make you feel uncomfortable, confused, or even annoyed.</w:t>
      </w:r>
    </w:p>
    <w:p>
      <w:pPr>
        <w:spacing w:after="20" w:line="223" w:lineRule="auto"/>
        <w:jc w:val="right"/>
        <w:bidi/>
      </w:pPr>
      <w:r>
        <w:rPr>
          <w:rFonts w:ascii="Arial" w:hAnsi="Arial"/>
          <w:sz w:val="16"/>
        </w:rPr>
        <w:t>419.13  با این حال، مهم است که به یاد داشته باشید که یک فرد مبتلا به PTSD ممکن است با افکار دردناک، خاطرات یا آسیب‌های جسمانی آنقدر پریشان شود که قادر به تمرکز و تمرکز کامل آن‌طور که می‌خواهد نباشد.</w:t>
      </w:r>
    </w:p>
    <w:p>
      <w:pPr>
        <w:spacing w:after="28" w:line="216" w:lineRule="auto"/>
        <w:ind w:left="259"/>
        <w:jc w:val="left"/>
      </w:pPr>
      <w:r>
        <w:rPr>
          <w:rFonts w:ascii="Arial" w:hAnsi="Arial"/>
          <w:color w:val="525252"/>
          <w:sz w:val="13"/>
        </w:rPr>
        <w:t>However, it is important to remember that a person with PTSD may be so distracted by painful thoughts, memories, or physical injuries, that they are not fully able to focus and concentrate as well as they would like to.</w:t>
      </w:r>
    </w:p>
    <w:p>
      <w:pPr>
        <w:spacing w:after="20" w:line="223" w:lineRule="auto"/>
        <w:jc w:val="right"/>
        <w:bidi/>
      </w:pPr>
      <w:r>
        <w:rPr>
          <w:rFonts w:ascii="Arial" w:hAnsi="Arial"/>
          <w:sz w:val="16"/>
        </w:rPr>
        <w:t>419.14  یک راه عالی برای تعیین نحوه پاسخگویی به فردی با زخم نامرئی این است که خود را در جای او قرار دهید، تمرین همدلی کنید: سعی کنید تصور کنید در موقعیت او چه احساسی خواهید داشت، حتی اگر از تمام جزئیات آنچه که او تجربه کرده است ندانید.</w:t>
      </w:r>
    </w:p>
    <w:p>
      <w:pPr>
        <w:spacing w:after="28" w:line="216" w:lineRule="auto"/>
        <w:ind w:left="259"/>
        <w:jc w:val="left"/>
      </w:pPr>
      <w:r>
        <w:rPr>
          <w:rFonts w:ascii="Arial" w:hAnsi="Arial"/>
          <w:color w:val="525252"/>
          <w:sz w:val="13"/>
        </w:rPr>
        <w:t>A great way to determine how to respond to a person with an invisible wound is to put yourself in their shoes, to practice empathy: Try to imagine how you would feel in their situation, even if you don’t know all of the details of what they’ve experienced.</w:t>
      </w:r>
    </w:p>
    <w:p>
      <w:pPr>
        <w:spacing w:after="20" w:line="223" w:lineRule="auto"/>
        <w:jc w:val="right"/>
        <w:bidi/>
      </w:pPr>
      <w:r>
        <w:rPr>
          <w:rFonts w:ascii="Arial" w:hAnsi="Arial"/>
          <w:sz w:val="16"/>
        </w:rPr>
        <w:t>419.15  فداکاری هایی را که در راه خدمت به کشورمان انجام شده است به خود و اطرافیان یادآوری کنید.</w:t>
      </w:r>
    </w:p>
    <w:p>
      <w:pPr>
        <w:spacing w:after="28" w:line="216" w:lineRule="auto"/>
        <w:ind w:left="259"/>
        <w:jc w:val="left"/>
      </w:pPr>
      <w:r>
        <w:rPr>
          <w:rFonts w:ascii="Arial" w:hAnsi="Arial"/>
          <w:color w:val="525252"/>
          <w:sz w:val="13"/>
        </w:rPr>
        <w:t>Remind yourself and those around you of the sacrifice that has been made in service of our country.</w:t>
      </w:r>
    </w:p>
    <w:p>
      <w:pPr>
        <w:spacing w:after="20" w:line="223" w:lineRule="auto"/>
        <w:jc w:val="right"/>
        <w:bidi/>
      </w:pPr>
      <w:r>
        <w:rPr>
          <w:rFonts w:ascii="Arial" w:hAnsi="Arial"/>
          <w:sz w:val="16"/>
        </w:rPr>
        <w:t>419.16  از پرسیدن در مورد آنچه در حال وقوع است نترسید.</w:t>
      </w:r>
    </w:p>
    <w:p>
      <w:pPr>
        <w:spacing w:after="28" w:line="216" w:lineRule="auto"/>
        <w:ind w:left="259"/>
        <w:jc w:val="left"/>
      </w:pPr>
      <w:r>
        <w:rPr>
          <w:rFonts w:ascii="Arial" w:hAnsi="Arial"/>
          <w:color w:val="525252"/>
          <w:sz w:val="13"/>
        </w:rPr>
        <w:t>Don’t be afraid to ask about what is going on.</w:t>
      </w:r>
    </w:p>
    <w:p>
      <w:pPr>
        <w:spacing w:after="20" w:line="223" w:lineRule="auto"/>
        <w:jc w:val="right"/>
        <w:bidi/>
      </w:pPr>
      <w:r>
        <w:rPr>
          <w:rFonts w:ascii="Arial" w:hAnsi="Arial"/>
          <w:sz w:val="16"/>
        </w:rPr>
        <w:t>419.17  اگر فکر می‌کنید آنها به کمک نیاز دارند به خودتان اجازه مداخله بدهید و زمانی را برای گفتگوی صمیمانه با آنها اختصاص دهید.</w:t>
      </w:r>
    </w:p>
    <w:p>
      <w:pPr>
        <w:spacing w:after="28" w:line="216" w:lineRule="auto"/>
        <w:ind w:left="259"/>
        <w:jc w:val="left"/>
      </w:pPr>
      <w:r>
        <w:rPr>
          <w:rFonts w:ascii="Arial" w:hAnsi="Arial"/>
          <w:color w:val="525252"/>
          <w:sz w:val="13"/>
        </w:rPr>
        <w:t>Give yourself permission to intervene if you think they need help and make the time to have a sincere conversation with them.</w:t>
      </w:r>
    </w:p>
    <w:p>
      <w:pPr>
        <w:spacing w:after="20" w:line="223" w:lineRule="auto"/>
        <w:jc w:val="right"/>
        <w:bidi/>
      </w:pPr>
      <w:r>
        <w:rPr>
          <w:rFonts w:ascii="Arial" w:hAnsi="Arial"/>
          <w:sz w:val="16"/>
        </w:rPr>
        <w:t>419.18  آغازگر سوالاتی که به شما کمک می‌کند درباره این موضوع صحبت کنید، عبارتند از: «در زندگی شما چه می‌گذرد؟</w:t>
      </w:r>
    </w:p>
    <w:p>
      <w:pPr>
        <w:spacing w:after="28" w:line="216" w:lineRule="auto"/>
        <w:ind w:left="259"/>
        <w:jc w:val="left"/>
      </w:pPr>
      <w:r>
        <w:rPr>
          <w:rFonts w:ascii="Arial" w:hAnsi="Arial"/>
          <w:color w:val="525252"/>
          <w:sz w:val="13"/>
        </w:rPr>
        <w:t>Question starters to help you talk about this topic are: “What’s going on in your life?</w:t>
      </w:r>
    </w:p>
    <w:p>
      <w:pPr>
        <w:spacing w:after="20" w:line="223" w:lineRule="auto"/>
        <w:jc w:val="right"/>
        <w:bidi/>
      </w:pPr>
      <w:r>
        <w:rPr>
          <w:rFonts w:ascii="Arial" w:hAnsi="Arial"/>
          <w:sz w:val="16"/>
        </w:rPr>
        <w:t>419.19  متوجه شدم که ناراحت به نظر می‌رسی.» "من نگران تو هستم.</w:t>
      </w:r>
    </w:p>
    <w:p>
      <w:pPr>
        <w:spacing w:after="28" w:line="216" w:lineRule="auto"/>
        <w:ind w:left="259"/>
        <w:jc w:val="left"/>
      </w:pPr>
      <w:r>
        <w:rPr>
          <w:rFonts w:ascii="Arial" w:hAnsi="Arial"/>
          <w:color w:val="525252"/>
          <w:sz w:val="13"/>
        </w:rPr>
        <w:t>I’ve noticed you seem upset.” “I’m concerned about you.</w:t>
      </w:r>
    </w:p>
    <w:p>
      <w:pPr>
        <w:spacing w:after="20" w:line="223" w:lineRule="auto"/>
        <w:jc w:val="right"/>
        <w:bidi/>
      </w:pPr>
      <w:r>
        <w:rPr>
          <w:rFonts w:ascii="Arial" w:hAnsi="Arial"/>
          <w:sz w:val="16"/>
        </w:rPr>
        <w:t>419.20  آیا می‌توانیم در مورد آن صحبت کنیم؟ "آیا کاری هست که بتوانم به شما کمک کنم؟" "به نظر شما چه چیزی می‌تواند کمک کند؟" وقتی سوالی پرسیدید، زمان و مکان را برای پاسخ در نظر بگیرید.</w:t>
      </w:r>
    </w:p>
    <w:p>
      <w:pPr>
        <w:spacing w:after="28" w:line="216" w:lineRule="auto"/>
        <w:ind w:left="259"/>
        <w:jc w:val="left"/>
      </w:pPr>
      <w:r>
        <w:rPr>
          <w:rFonts w:ascii="Arial" w:hAnsi="Arial"/>
          <w:color w:val="525252"/>
          <w:sz w:val="13"/>
        </w:rPr>
        <w:t>Can we talk about it?” “Is there something I can do to help you?” “What do you think might help?” Once you’ve asked a question, allow time and space for the answer.</w:t>
      </w:r>
    </w:p>
    <w:p>
      <w:pPr>
        <w:spacing w:after="20" w:line="223" w:lineRule="auto"/>
        <w:jc w:val="right"/>
        <w:bidi/>
      </w:pPr>
      <w:r>
        <w:rPr>
          <w:rFonts w:ascii="Arial" w:hAnsi="Arial"/>
          <w:sz w:val="16"/>
        </w:rPr>
        <w:t>419.21  آنها را تشویق کنید که بدون ترس از قضاوت یا وقفه به اشتراک بگذارند.</w:t>
      </w:r>
    </w:p>
    <w:p>
      <w:pPr>
        <w:spacing w:after="28" w:line="216" w:lineRule="auto"/>
        <w:ind w:left="259"/>
        <w:jc w:val="left"/>
      </w:pPr>
      <w:r>
        <w:rPr>
          <w:rFonts w:ascii="Arial" w:hAnsi="Arial"/>
          <w:color w:val="525252"/>
          <w:sz w:val="13"/>
        </w:rPr>
        <w:t>Encourage them to share without fear of judgment or interruption.</w:t>
      </w:r>
    </w:p>
    <w:p>
      <w:pPr>
        <w:spacing w:after="20" w:line="223" w:lineRule="auto"/>
        <w:jc w:val="right"/>
        <w:bidi/>
      </w:pPr>
      <w:r>
        <w:rPr>
          <w:rFonts w:ascii="Arial" w:hAnsi="Arial"/>
          <w:sz w:val="16"/>
        </w:rPr>
        <w:t>419.22  گوش دادن به شما نشان می‌دهد که اهمیت می‌دهید، به شما کمک می‌کند بفهمید، و باعث ایجاد رابطه می‌شود.</w:t>
      </w:r>
    </w:p>
    <w:p>
      <w:pPr>
        <w:spacing w:after="28" w:line="216" w:lineRule="auto"/>
        <w:ind w:left="259"/>
        <w:jc w:val="left"/>
      </w:pPr>
      <w:r>
        <w:rPr>
          <w:rFonts w:ascii="Arial" w:hAnsi="Arial"/>
          <w:color w:val="525252"/>
          <w:sz w:val="13"/>
        </w:rPr>
        <w:t>Listening shows you care, will help you understand, and builds rapport.</w:t>
      </w:r>
    </w:p>
    <w:p>
      <w:pPr>
        <w:spacing w:after="20" w:line="223" w:lineRule="auto"/>
        <w:jc w:val="right"/>
        <w:bidi/>
      </w:pPr>
      <w:r>
        <w:rPr>
          <w:rFonts w:ascii="Arial" w:hAnsi="Arial"/>
          <w:sz w:val="16"/>
        </w:rPr>
        <w:t>419.23  پریشانی را تصدیق کنید.</w:t>
      </w:r>
    </w:p>
    <w:p>
      <w:pPr>
        <w:spacing w:after="28" w:line="216" w:lineRule="auto"/>
        <w:ind w:left="259"/>
        <w:jc w:val="left"/>
      </w:pPr>
      <w:r>
        <w:rPr>
          <w:rFonts w:ascii="Arial" w:hAnsi="Arial"/>
          <w:color w:val="525252"/>
          <w:sz w:val="13"/>
        </w:rPr>
        <w:t>Acknowledge the distress.</w:t>
      </w:r>
    </w:p>
    <w:p>
      <w:pPr>
        <w:spacing w:after="20" w:line="223" w:lineRule="auto"/>
        <w:jc w:val="right"/>
        <w:bidi/>
      </w:pPr>
      <w:r>
        <w:rPr>
          <w:rFonts w:ascii="Arial" w:hAnsi="Arial"/>
          <w:sz w:val="16"/>
        </w:rPr>
        <w:t>419.24  مفید نیست که به آنها بگوییم نباید احساس خاصی داشته باشند.</w:t>
      </w:r>
    </w:p>
    <w:p>
      <w:pPr>
        <w:spacing w:after="28" w:line="216" w:lineRule="auto"/>
        <w:ind w:left="259"/>
        <w:jc w:val="left"/>
      </w:pPr>
      <w:r>
        <w:rPr>
          <w:rFonts w:ascii="Arial" w:hAnsi="Arial"/>
          <w:color w:val="525252"/>
          <w:sz w:val="13"/>
        </w:rPr>
        <w:t>It is not helpful to tell them they shouldn’t feel a certain way.</w:t>
      </w:r>
    </w:p>
    <w:p>
      <w:pPr>
        <w:spacing w:after="20" w:line="223" w:lineRule="auto"/>
        <w:jc w:val="right"/>
        <w:bidi/>
      </w:pPr>
      <w:r>
        <w:rPr>
          <w:rFonts w:ascii="Arial" w:hAnsi="Arial"/>
          <w:sz w:val="16"/>
        </w:rPr>
        <w:t>419.25  PTSD یک وضعیت واقعی است که تغییرات قابل اندازه گیری در عملکرد مغز ایجاد می‌کند.</w:t>
      </w:r>
    </w:p>
    <w:p>
      <w:pPr>
        <w:spacing w:after="28" w:line="216" w:lineRule="auto"/>
        <w:ind w:left="259"/>
        <w:jc w:val="left"/>
      </w:pPr>
      <w:r>
        <w:rPr>
          <w:rFonts w:ascii="Arial" w:hAnsi="Arial"/>
          <w:color w:val="525252"/>
          <w:sz w:val="13"/>
        </w:rPr>
        <w:t>PTSD is a real condition that produces measurable changes in brain function.</w:t>
      </w:r>
    </w:p>
    <w:p>
      <w:pPr>
        <w:spacing w:after="20" w:line="223" w:lineRule="auto"/>
        <w:jc w:val="right"/>
        <w:bidi/>
      </w:pPr>
      <w:r>
        <w:rPr>
          <w:rFonts w:ascii="Arial" w:hAnsi="Arial"/>
          <w:sz w:val="16"/>
        </w:rPr>
        <w:t>419.26  تصدیق پریشانی گامی کلیدی در از بین بردن افسانه‌های مربوط به زخم‌های نامرئی و از بین بردن انگ مرتبط با کمک گرفتن است.</w:t>
      </w:r>
    </w:p>
    <w:p>
      <w:pPr>
        <w:spacing w:after="28" w:line="216" w:lineRule="auto"/>
        <w:ind w:left="259"/>
        <w:jc w:val="left"/>
      </w:pPr>
      <w:r>
        <w:rPr>
          <w:rFonts w:ascii="Arial" w:hAnsi="Arial"/>
          <w:color w:val="525252"/>
          <w:sz w:val="13"/>
        </w:rPr>
        <w:t>Acknowledging distress is a key step in dispelling myths about invisible wounds and removing the stigma associated with getting help.</w:t>
      </w:r>
    </w:p>
    <w:p>
      <w:pPr>
        <w:spacing w:after="20" w:line="223" w:lineRule="auto"/>
        <w:jc w:val="right"/>
        <w:bidi/>
      </w:pPr>
      <w:r>
        <w:rPr>
          <w:rFonts w:ascii="Arial" w:hAnsi="Arial"/>
          <w:sz w:val="16"/>
        </w:rPr>
        <w:t>419.27  در مورد نیازها بحث کنید و پیشنهاد دهید که در تهیه برنامه‌ای برای رفع آنها کمک کنید.</w:t>
      </w:r>
    </w:p>
    <w:p>
      <w:pPr>
        <w:spacing w:after="28" w:line="216" w:lineRule="auto"/>
        <w:ind w:left="259"/>
        <w:jc w:val="left"/>
      </w:pPr>
      <w:r>
        <w:rPr>
          <w:rFonts w:ascii="Arial" w:hAnsi="Arial"/>
          <w:color w:val="525252"/>
          <w:sz w:val="13"/>
        </w:rPr>
        <w:t>Discuss needs and offer to help make a plan to address them.</w:t>
      </w:r>
    </w:p>
    <w:p>
      <w:pPr>
        <w:spacing w:after="20" w:line="223" w:lineRule="auto"/>
        <w:jc w:val="right"/>
        <w:bidi/>
      </w:pPr>
      <w:r>
        <w:rPr>
          <w:rFonts w:ascii="Arial" w:hAnsi="Arial"/>
          <w:sz w:val="16"/>
        </w:rPr>
        <w:t>419.28  اغلب، این به معنای پیشنهاد یک منبع کمکی است.</w:t>
      </w:r>
    </w:p>
    <w:p>
      <w:pPr>
        <w:spacing w:after="28" w:line="216" w:lineRule="auto"/>
        <w:ind w:left="259"/>
        <w:jc w:val="left"/>
      </w:pPr>
      <w:r>
        <w:rPr>
          <w:rFonts w:ascii="Arial" w:hAnsi="Arial"/>
          <w:color w:val="525252"/>
          <w:sz w:val="13"/>
        </w:rPr>
        <w:t>Often, this means suggesting a helping resource.</w:t>
      </w:r>
    </w:p>
    <w:p>
      <w:pPr>
        <w:spacing w:after="20" w:line="223" w:lineRule="auto"/>
        <w:jc w:val="right"/>
        <w:bidi/>
      </w:pPr>
      <w:r>
        <w:rPr>
          <w:rFonts w:ascii="Arial" w:hAnsi="Arial"/>
          <w:sz w:val="16"/>
        </w:rPr>
        <w:t>419.29  پیشنهاد همراهی با آنها می‌تواند راه خوبی برای به نظر رسیدن کمک باشد</w:t>
      </w:r>
    </w:p>
    <w:p>
      <w:pPr>
        <w:spacing w:after="28" w:line="216" w:lineRule="auto"/>
        <w:ind w:left="259"/>
        <w:jc w:val="left"/>
      </w:pPr>
      <w:r>
        <w:rPr>
          <w:rFonts w:ascii="Arial" w:hAnsi="Arial"/>
          <w:color w:val="525252"/>
          <w:sz w:val="13"/>
        </w:rPr>
        <w:t>Offering to accompany them can be a good way to make getting help seem</w:t>
      </w:r>
    </w:p>
    <w:p>
      <w:r>
        <w:br w:type="page"/>
      </w:r>
    </w:p>
    <w:p>
      <w:pPr>
        <w:spacing w:after="60"/>
        <w:jc w:val="right"/>
        <w:bidi/>
      </w:pPr>
      <w:r>
        <w:rPr>
          <w:rFonts w:ascii="Arial" w:hAnsi="Arial"/>
          <w:b/>
          <w:color w:val="1F4D78"/>
          <w:sz w:val="19"/>
        </w:rPr>
        <w:t>هفتهٔ 420  |  صفحهٔ منبع: 436</w:t>
      </w:r>
    </w:p>
    <w:p>
      <w:pPr>
        <w:spacing w:after="20" w:line="223" w:lineRule="auto"/>
        <w:jc w:val="right"/>
        <w:bidi/>
      </w:pPr>
      <w:r>
        <w:rPr>
          <w:rFonts w:ascii="Arial" w:hAnsi="Arial"/>
          <w:sz w:val="16"/>
        </w:rPr>
        <w:t>420.01  کمتر دشوار است.</w:t>
      </w:r>
    </w:p>
    <w:p>
      <w:pPr>
        <w:spacing w:after="28" w:line="216" w:lineRule="auto"/>
        <w:ind w:left="259"/>
        <w:jc w:val="left"/>
      </w:pPr>
      <w:r>
        <w:rPr>
          <w:rFonts w:ascii="Arial" w:hAnsi="Arial"/>
          <w:color w:val="525252"/>
          <w:sz w:val="13"/>
        </w:rPr>
        <w:t>less difficult.</w:t>
      </w:r>
    </w:p>
    <w:p>
      <w:pPr>
        <w:spacing w:after="20" w:line="223" w:lineRule="auto"/>
        <w:jc w:val="right"/>
        <w:bidi/>
      </w:pPr>
      <w:r>
        <w:rPr>
          <w:rFonts w:ascii="Arial" w:hAnsi="Arial"/>
          <w:sz w:val="16"/>
        </w:rPr>
        <w:t>420.02  آموزش‌های تکمیلی در مورد نحوه تعامل با افراد هوایی دارای زخم‌های نامرئی، مانند PTSD، را می‌توان در فیلم‌های زخم نامرئی واقع در وب‌سایت وزارت تاب آوری نیروی هوایی (https://www.resilience.af.mil/) مشاهده کرد.</w:t>
      </w:r>
    </w:p>
    <w:p>
      <w:pPr>
        <w:spacing w:after="28" w:line="216" w:lineRule="auto"/>
        <w:ind w:left="259"/>
        <w:jc w:val="left"/>
      </w:pPr>
      <w:r>
        <w:rPr>
          <w:rFonts w:ascii="Arial" w:hAnsi="Arial"/>
          <w:color w:val="525252"/>
          <w:sz w:val="13"/>
        </w:rPr>
        <w:t>Additional training on how to interact with Airmen with invisible wounds, such as PTSD, can be found in the invisible wounds videos located at the Department of the Air Force Resilience website (https://www.resilience.af.mil/).</w:t>
      </w:r>
    </w:p>
    <w:p>
      <w:pPr>
        <w:spacing w:before="60" w:after="28"/>
        <w:jc w:val="right"/>
        <w:bidi/>
      </w:pPr>
      <w:r>
        <w:rPr>
          <w:b/>
          <w:color w:val="1F4D78"/>
          <w:sz w:val="18"/>
        </w:rPr>
        <w:t>22.32. استقرار مجدد، بازیابی و بازسازی</w:t>
      </w:r>
    </w:p>
    <w:p>
      <w:pPr>
        <w:spacing w:after="20"/>
        <w:ind w:left="259"/>
        <w:jc w:val="left"/>
      </w:pPr>
      <w:r>
        <w:rPr>
          <w:color w:val="555555"/>
          <w:sz w:val="12"/>
        </w:rPr>
        <w:t>22.32. Redeployment, Recovery, and Reconstitution</w:t>
      </w:r>
    </w:p>
    <w:p>
      <w:pPr>
        <w:spacing w:after="20" w:line="223" w:lineRule="auto"/>
        <w:jc w:val="right"/>
        <w:bidi/>
      </w:pPr>
      <w:r>
        <w:rPr>
          <w:rFonts w:ascii="Arial" w:hAnsi="Arial"/>
          <w:sz w:val="16"/>
        </w:rPr>
        <w:t>420.04  نیروهای اعزامی از طریق آموزش بهداشت روانی قبل از اعزام، آموزش‌های به موقع در مورد واکنش‌های استرس، کمک‌های اولیه روانشناختی، و منابع ارجاع دریافت می‌کنند.</w:t>
      </w:r>
    </w:p>
    <w:p>
      <w:pPr>
        <w:spacing w:after="28" w:line="216" w:lineRule="auto"/>
        <w:ind w:left="259"/>
        <w:jc w:val="left"/>
      </w:pPr>
      <w:r>
        <w:rPr>
          <w:rFonts w:ascii="Arial" w:hAnsi="Arial"/>
          <w:color w:val="525252"/>
          <w:sz w:val="13"/>
        </w:rPr>
        <w:t>Deploying Airmen receive just-in-time training on stress reactions, psychological first aid, and referral resources through pre-deployment mental health training.</w:t>
      </w:r>
    </w:p>
    <w:p>
      <w:pPr>
        <w:spacing w:after="20" w:line="223" w:lineRule="auto"/>
        <w:jc w:val="right"/>
        <w:bidi/>
      </w:pPr>
      <w:r>
        <w:rPr>
          <w:rFonts w:ascii="Arial" w:hAnsi="Arial"/>
          <w:sz w:val="16"/>
        </w:rPr>
        <w:t>420.05  در حالی که آماده‌سازی، استقرار و پشتیبانی پس از استقرار همگی مهم هستند، دریافت پشتیبانی مستمر پس از بازگشت از استقرار یک جنبه مورد تاکید آمادگی است.</w:t>
      </w:r>
    </w:p>
    <w:p>
      <w:pPr>
        <w:spacing w:after="28" w:line="216" w:lineRule="auto"/>
        <w:ind w:left="259"/>
        <w:jc w:val="left"/>
      </w:pPr>
      <w:r>
        <w:rPr>
          <w:rFonts w:ascii="Arial" w:hAnsi="Arial"/>
          <w:color w:val="525252"/>
          <w:sz w:val="13"/>
        </w:rPr>
        <w:t>While preparation, deployment, and post-deployment support are all important, receiving continued support upon return from deployment is an emphasized aspect of readiness.</w:t>
      </w:r>
    </w:p>
    <w:p>
      <w:pPr>
        <w:spacing w:after="20" w:line="223" w:lineRule="auto"/>
        <w:jc w:val="right"/>
        <w:bidi/>
      </w:pPr>
      <w:r>
        <w:rPr>
          <w:rFonts w:ascii="Arial" w:hAnsi="Arial"/>
          <w:sz w:val="16"/>
        </w:rPr>
        <w:t>420.06  هدف از فرآیند پشتیبانی مجدد استقرار مداوم، ارائه پشتیبانی مستمر و یکپارچه از منطقه مستقر تا ایستگاه خانه و در عین حال کمک به انتقال از محیط مستقر به زندگی خانوادگی و محل کار است.</w:t>
      </w:r>
    </w:p>
    <w:p>
      <w:pPr>
        <w:spacing w:after="28" w:line="216" w:lineRule="auto"/>
        <w:ind w:left="259"/>
        <w:jc w:val="left"/>
      </w:pPr>
      <w:r>
        <w:rPr>
          <w:rFonts w:ascii="Arial" w:hAnsi="Arial"/>
          <w:color w:val="525252"/>
          <w:sz w:val="13"/>
        </w:rPr>
        <w:t>The intent of the ongoing redeployment support process is to provide continuous, integrated support from the deployed area to home station while assisting with the transition from the deployed environment to family life and worksite.</w:t>
      </w:r>
    </w:p>
    <w:p>
      <w:pPr>
        <w:spacing w:after="20" w:line="223" w:lineRule="auto"/>
        <w:jc w:val="right"/>
        <w:bidi/>
      </w:pPr>
      <w:r>
        <w:rPr>
          <w:rFonts w:ascii="Arial" w:hAnsi="Arial"/>
          <w:sz w:val="16"/>
        </w:rPr>
        <w:t>420.07  مرخصی پس از انجام وظایف سخت و اعزام می‌تواند تأثیر مفیدی بر وضعیت روحی و جسمی فرد داشته باشد و یک دوره بهبودی فوری به مسافران بازگشتی اجازه می‌دهد به نیازهای شخصی که در دوره‌های طولانی دوری از خانه نادیده گرفته شده‌اند، توجه کنند.</w:t>
      </w:r>
    </w:p>
    <w:p>
      <w:pPr>
        <w:spacing w:after="28" w:line="216" w:lineRule="auto"/>
        <w:ind w:left="259"/>
        <w:jc w:val="left"/>
      </w:pPr>
      <w:r>
        <w:rPr>
          <w:rFonts w:ascii="Arial" w:hAnsi="Arial"/>
          <w:color w:val="525252"/>
          <w:sz w:val="13"/>
        </w:rPr>
        <w:t>Taking leave after arduous duty and deployment can have a beneficial effect on an individual’s psychological and physical status, and an immediate recovery period allows returning Airmen to tend to personal needs neglected during lengthy periods away from home.</w:t>
      </w:r>
    </w:p>
    <w:p>
      <w:pPr>
        <w:spacing w:after="20" w:line="223" w:lineRule="auto"/>
        <w:jc w:val="right"/>
        <w:bidi/>
      </w:pPr>
      <w:r>
        <w:rPr>
          <w:rFonts w:ascii="Arial" w:hAnsi="Arial"/>
          <w:sz w:val="16"/>
        </w:rPr>
        <w:t>420.08  گاهی اوقات تنظیم مجدد از استقرار مستلزم مشارکت در زمان و فعالیت‌های ساختار یافته بهبودی اعضا و خانواده‌ها قبل از ترک است.</w:t>
      </w:r>
    </w:p>
    <w:p>
      <w:pPr>
        <w:spacing w:after="28" w:line="216" w:lineRule="auto"/>
        <w:ind w:left="259"/>
        <w:jc w:val="left"/>
      </w:pPr>
      <w:r>
        <w:rPr>
          <w:rFonts w:ascii="Arial" w:hAnsi="Arial"/>
          <w:color w:val="525252"/>
          <w:sz w:val="13"/>
        </w:rPr>
        <w:t>Sometimes readjustment from deployment requires participation in structured recovery time and activities for members and families prior to leave.</w:t>
      </w:r>
    </w:p>
    <w:p>
      <w:pPr>
        <w:spacing w:after="20" w:line="223" w:lineRule="auto"/>
        <w:jc w:val="right"/>
        <w:bidi/>
      </w:pPr>
      <w:r>
        <w:rPr>
          <w:rFonts w:ascii="Arial" w:hAnsi="Arial"/>
          <w:sz w:val="16"/>
        </w:rPr>
        <w:t>420.09  جدول زمانی پشتیبانی استقرار مجدد، فعالیت‌ها را در مقاطع حیاتی استقرار مجدد، بازیابی، ادغام مجدد و بازسازی شناسایی می‌کند.</w:t>
      </w:r>
    </w:p>
    <w:p>
      <w:pPr>
        <w:spacing w:after="28" w:line="216" w:lineRule="auto"/>
        <w:ind w:left="259"/>
        <w:jc w:val="left"/>
      </w:pPr>
      <w:r>
        <w:rPr>
          <w:rFonts w:ascii="Arial" w:hAnsi="Arial"/>
          <w:color w:val="525252"/>
          <w:sz w:val="13"/>
        </w:rPr>
        <w:t>The redeployment support timeline identifies activities at the critical redeployment, recovery, reintegration, and reconstitution junctures.</w:t>
      </w:r>
    </w:p>
    <w:p>
      <w:pPr>
        <w:spacing w:before="60" w:after="28"/>
        <w:jc w:val="right"/>
        <w:bidi/>
      </w:pPr>
      <w:r>
        <w:rPr>
          <w:b/>
          <w:color w:val="1F4D78"/>
          <w:sz w:val="18"/>
        </w:rPr>
        <w:t>22.33. خدمات روانشناسی</w:t>
      </w:r>
    </w:p>
    <w:p>
      <w:pPr>
        <w:spacing w:after="20"/>
        <w:ind w:left="259"/>
        <w:jc w:val="left"/>
      </w:pPr>
      <w:r>
        <w:rPr>
          <w:color w:val="555555"/>
          <w:sz w:val="12"/>
        </w:rPr>
        <w:t>22.33. Psychological Services</w:t>
      </w:r>
    </w:p>
    <w:p>
      <w:pPr>
        <w:spacing w:after="20" w:line="223" w:lineRule="auto"/>
        <w:jc w:val="right"/>
        <w:bidi/>
      </w:pPr>
      <w:r>
        <w:rPr>
          <w:rFonts w:ascii="Arial" w:hAnsi="Arial"/>
          <w:sz w:val="16"/>
        </w:rPr>
        <w:t>420.11  خدمات بهداشت روانی برای تقویت قابلیت آمادگی نیرو و اطمینان از تجهیز هوانوردان برای حداکثر عملکرد طراحی شده است.</w:t>
      </w:r>
    </w:p>
    <w:p>
      <w:pPr>
        <w:spacing w:after="28" w:line="216" w:lineRule="auto"/>
        <w:ind w:left="259"/>
        <w:jc w:val="left"/>
      </w:pPr>
      <w:r>
        <w:rPr>
          <w:rFonts w:ascii="Arial" w:hAnsi="Arial"/>
          <w:color w:val="525252"/>
          <w:sz w:val="13"/>
        </w:rPr>
        <w:t>Mental health services are designed to strengthen the readiness capability of the force and ensure Airmen are equipped for peak performance.</w:t>
      </w:r>
    </w:p>
    <w:p>
      <w:pPr>
        <w:spacing w:after="20" w:line="223" w:lineRule="auto"/>
        <w:jc w:val="right"/>
        <w:bidi/>
      </w:pPr>
      <w:r>
        <w:rPr>
          <w:rFonts w:ascii="Arial" w:hAnsi="Arial"/>
          <w:sz w:val="16"/>
        </w:rPr>
        <w:t>420.12  جستجوی مراقبت برای یک مشکل سلامت روان نشانه قدرت است، نه نشانه ضعف.</w:t>
      </w:r>
    </w:p>
    <w:p>
      <w:pPr>
        <w:spacing w:after="28" w:line="216" w:lineRule="auto"/>
        <w:ind w:left="259"/>
        <w:jc w:val="left"/>
      </w:pPr>
      <w:r>
        <w:rPr>
          <w:rFonts w:ascii="Arial" w:hAnsi="Arial"/>
          <w:color w:val="525252"/>
          <w:sz w:val="13"/>
        </w:rPr>
        <w:t>Seeking care for a mental health problem is a sign of strength, not a sign of weakness.</w:t>
      </w:r>
    </w:p>
    <w:p>
      <w:pPr>
        <w:spacing w:after="20" w:line="223" w:lineRule="auto"/>
        <w:jc w:val="right"/>
        <w:bidi/>
      </w:pPr>
      <w:r>
        <w:rPr>
          <w:rFonts w:ascii="Arial" w:hAnsi="Arial"/>
          <w:sz w:val="16"/>
        </w:rPr>
        <w:t>420.13  جستجوی زودهنگام کمک احتمال بهبودی را افزایش می‌دهد و خطر پیامدهای منفی بعدی علائم سلامت روان را کاهش می‌دهد.</w:t>
      </w:r>
    </w:p>
    <w:p>
      <w:pPr>
        <w:spacing w:after="28" w:line="216" w:lineRule="auto"/>
        <w:ind w:left="259"/>
        <w:jc w:val="left"/>
      </w:pPr>
      <w:r>
        <w:rPr>
          <w:rFonts w:ascii="Arial" w:hAnsi="Arial"/>
          <w:color w:val="525252"/>
          <w:sz w:val="13"/>
        </w:rPr>
        <w:t>Seeking help early increases the likelihood of recovery and reduces risk for subsequent negative consequences of mental health symptoms.</w:t>
      </w:r>
    </w:p>
    <w:p>
      <w:pPr>
        <w:spacing w:after="20" w:line="223" w:lineRule="auto"/>
        <w:jc w:val="right"/>
        <w:bidi/>
      </w:pPr>
      <w:r>
        <w:rPr>
          <w:rFonts w:ascii="Arial" w:hAnsi="Arial"/>
          <w:sz w:val="16"/>
        </w:rPr>
        <w:t>420.14  بیش از ۱۲ درصد از پرسنل USAF به‌طور داوطلبانه هر سال به دنبال خدمات بهداشت روان هستند.</w:t>
      </w:r>
    </w:p>
    <w:p>
      <w:pPr>
        <w:spacing w:after="28" w:line="216" w:lineRule="auto"/>
        <w:ind w:left="259"/>
        <w:jc w:val="left"/>
      </w:pPr>
      <w:r>
        <w:rPr>
          <w:rFonts w:ascii="Arial" w:hAnsi="Arial"/>
          <w:color w:val="525252"/>
          <w:sz w:val="13"/>
        </w:rPr>
        <w:t>More than 12 percent of USAF personnel voluntarily seek mental health services each year.</w:t>
      </w:r>
    </w:p>
    <w:p>
      <w:pPr>
        <w:spacing w:after="20" w:line="223" w:lineRule="auto"/>
        <w:jc w:val="right"/>
        <w:bidi/>
      </w:pPr>
      <w:r>
        <w:rPr>
          <w:rFonts w:ascii="Arial" w:hAnsi="Arial"/>
          <w:sz w:val="16"/>
        </w:rPr>
        <w:t>420.15  تمایل به کمک گرفتن در صورت نیاز، نشانه خودآگاهی و قضاوت خوب است.</w:t>
      </w:r>
    </w:p>
    <w:p>
      <w:pPr>
        <w:spacing w:after="28" w:line="216" w:lineRule="auto"/>
        <w:ind w:left="259"/>
        <w:jc w:val="left"/>
      </w:pPr>
      <w:r>
        <w:rPr>
          <w:rFonts w:ascii="Arial" w:hAnsi="Arial"/>
          <w:color w:val="525252"/>
          <w:sz w:val="13"/>
        </w:rPr>
        <w:t>Willingness to seek help when needed is a sign of good self-awareness and judgment.</w:t>
      </w:r>
    </w:p>
    <w:p>
      <w:pPr>
        <w:spacing w:after="20" w:line="223" w:lineRule="auto"/>
        <w:jc w:val="right"/>
        <w:bidi/>
      </w:pPr>
      <w:r>
        <w:rPr>
          <w:rFonts w:ascii="Arial" w:hAnsi="Arial"/>
          <w:sz w:val="16"/>
        </w:rPr>
        <w:t>420.16  ترس از تأثیر منفی بر شغل فرد برای جستجوی مراقبت در کلینیک سلامت روان در سراسر USAF در حال کاهش است.</w:t>
      </w:r>
    </w:p>
    <w:p>
      <w:pPr>
        <w:spacing w:after="28" w:line="216" w:lineRule="auto"/>
        <w:ind w:left="259"/>
        <w:jc w:val="left"/>
      </w:pPr>
      <w:r>
        <w:rPr>
          <w:rFonts w:ascii="Arial" w:hAnsi="Arial"/>
          <w:color w:val="525252"/>
          <w:sz w:val="13"/>
        </w:rPr>
        <w:t>The fear of having a negative impact on one’s career for seeking care at the mental health clinic is diminishing across the USAF.</w:t>
      </w:r>
    </w:p>
    <w:p>
      <w:pPr>
        <w:spacing w:after="20" w:line="223" w:lineRule="auto"/>
        <w:jc w:val="right"/>
        <w:bidi/>
      </w:pPr>
      <w:r>
        <w:rPr>
          <w:rFonts w:ascii="Arial" w:hAnsi="Arial"/>
          <w:sz w:val="16"/>
        </w:rPr>
        <w:t>420.17  زمان ثابت کرده است که جستجوی کمک مناسب اغلب تأثیر منفی طولانی مدت شغلی ندارد.</w:t>
      </w:r>
    </w:p>
    <w:p>
      <w:pPr>
        <w:spacing w:after="28" w:line="216" w:lineRule="auto"/>
        <w:ind w:left="259"/>
        <w:jc w:val="left"/>
      </w:pPr>
      <w:r>
        <w:rPr>
          <w:rFonts w:ascii="Arial" w:hAnsi="Arial"/>
          <w:color w:val="525252"/>
          <w:sz w:val="13"/>
        </w:rPr>
        <w:t>Time has proven that seeking help appropriately often does not have a long-term negative career impact.</w:t>
      </w:r>
    </w:p>
    <w:p>
      <w:pPr>
        <w:spacing w:after="20" w:line="223" w:lineRule="auto"/>
        <w:jc w:val="right"/>
        <w:bidi/>
      </w:pPr>
      <w:r>
        <w:rPr>
          <w:rFonts w:ascii="Arial" w:hAnsi="Arial"/>
          <w:sz w:val="16"/>
        </w:rPr>
        <w:t>420.18  در واقع، جستجوی کمک می‌تواند عملکرد را بهبود بخشد و افراد را قادر به حل بهتر مشکلات کند.</w:t>
      </w:r>
    </w:p>
    <w:p>
      <w:pPr>
        <w:spacing w:after="28" w:line="216" w:lineRule="auto"/>
        <w:ind w:left="259"/>
        <w:jc w:val="left"/>
      </w:pPr>
      <w:r>
        <w:rPr>
          <w:rFonts w:ascii="Arial" w:hAnsi="Arial"/>
          <w:color w:val="525252"/>
          <w:sz w:val="13"/>
        </w:rPr>
        <w:t>In fact, seeking help can improve performance and enable people to better solve problems.</w:t>
      </w:r>
    </w:p>
    <w:p>
      <w:pPr>
        <w:spacing w:after="20" w:line="223" w:lineRule="auto"/>
        <w:jc w:val="right"/>
        <w:bidi/>
      </w:pPr>
      <w:r>
        <w:rPr>
          <w:rFonts w:ascii="Arial" w:hAnsi="Arial"/>
          <w:sz w:val="16"/>
        </w:rPr>
        <w:t>420.19  در بسیاری از موارد، جستجوی زودهنگام درمان سلامت روان در واقع می‌تواند شغل فرد در USAF را نجات دهد.</w:t>
      </w:r>
    </w:p>
    <w:p>
      <w:pPr>
        <w:spacing w:after="28" w:line="216" w:lineRule="auto"/>
        <w:ind w:left="259"/>
        <w:jc w:val="left"/>
      </w:pPr>
      <w:r>
        <w:rPr>
          <w:rFonts w:ascii="Arial" w:hAnsi="Arial"/>
          <w:color w:val="525252"/>
          <w:sz w:val="13"/>
        </w:rPr>
        <w:t>In many cases, seeking mental health treatment early can actually save one’s USAF career.</w:t>
      </w:r>
    </w:p>
    <w:p>
      <w:pPr>
        <w:spacing w:before="60" w:after="28"/>
        <w:jc w:val="right"/>
        <w:bidi/>
      </w:pPr>
      <w:r>
        <w:rPr>
          <w:b/>
          <w:color w:val="1F4D78"/>
          <w:sz w:val="18"/>
        </w:rPr>
        <w:t>22.34. برنامه پیشگیری از خودکشی USAF</w:t>
      </w:r>
    </w:p>
    <w:p>
      <w:pPr>
        <w:spacing w:after="20"/>
        <w:ind w:left="259"/>
        <w:jc w:val="left"/>
      </w:pPr>
      <w:r>
        <w:rPr>
          <w:color w:val="555555"/>
          <w:sz w:val="12"/>
        </w:rPr>
        <w:t>22.34. USAF Suicide Prevention Program</w:t>
      </w:r>
    </w:p>
    <w:p>
      <w:pPr>
        <w:spacing w:after="20" w:line="223" w:lineRule="auto"/>
        <w:jc w:val="right"/>
        <w:bidi/>
      </w:pPr>
      <w:r>
        <w:rPr>
          <w:rFonts w:ascii="Arial" w:hAnsi="Arial"/>
          <w:sz w:val="16"/>
        </w:rPr>
        <w:t>420.21  هنگامی که خودکشی در نیروی هوایی ایالات متحده رخ می‌دهد، منجر به تعدادی عواقب جدی می‌شود: از دست دادن جان انسان. غم و اندوه برای خانواده، دوستان، همکاران و جامعه نظامی متوفی و تأثیر مستقیم بر توانایی مأموریت از طریق از دست دادن مهارت‌ها، تجربه و بهره وری متوفی.</w:t>
      </w:r>
    </w:p>
    <w:p>
      <w:pPr>
        <w:spacing w:after="28" w:line="216" w:lineRule="auto"/>
        <w:ind w:left="259"/>
        <w:jc w:val="left"/>
      </w:pPr>
      <w:r>
        <w:rPr>
          <w:rFonts w:ascii="Arial" w:hAnsi="Arial"/>
          <w:color w:val="525252"/>
          <w:sz w:val="13"/>
        </w:rPr>
        <w:t>When suicides occur in the USAF, they result in a number of serious consequences: the loss of human life; grief and loss to the deceased’s family, friends, co-workers, and military community; and a direct impact on mission capability through loss of the deceased’s skills, experience, and productivity.</w:t>
      </w:r>
    </w:p>
    <w:p>
      <w:pPr>
        <w:spacing w:after="20" w:line="223" w:lineRule="auto"/>
        <w:jc w:val="right"/>
        <w:bidi/>
      </w:pPr>
      <w:r>
        <w:rPr>
          <w:rFonts w:ascii="Arial" w:hAnsi="Arial"/>
          <w:sz w:val="16"/>
        </w:rPr>
        <w:t>420.22  در حالی که پیشگیری از خودکشی مسئولیت هر خلبان است، USAF تشخیص داده است که حمایت رهبری و اقدام در تمام سطوح فرماندهی برای هدف کاهش خودکشی در USAF ضروری است.</w:t>
      </w:r>
    </w:p>
    <w:p>
      <w:pPr>
        <w:spacing w:after="28" w:line="216" w:lineRule="auto"/>
        <w:ind w:left="259"/>
        <w:jc w:val="left"/>
      </w:pPr>
      <w:r>
        <w:rPr>
          <w:rFonts w:ascii="Arial" w:hAnsi="Arial"/>
          <w:color w:val="525252"/>
          <w:sz w:val="13"/>
        </w:rPr>
        <w:t>While suicide prevention is the responsibility of every Airman, the USAF has identified that leadership support and action across all levels of command are critical to the goal of reducing suicide in the USAF.</w:t>
      </w:r>
    </w:p>
    <w:p>
      <w:pPr>
        <w:spacing w:after="20" w:line="223" w:lineRule="auto"/>
        <w:jc w:val="right"/>
        <w:bidi/>
      </w:pPr>
      <w:r>
        <w:rPr>
          <w:rFonts w:ascii="Arial" w:hAnsi="Arial"/>
          <w:sz w:val="16"/>
        </w:rPr>
        <w:t>420.23  رهبران نظامی و غیرنظامی محیطی را ایجاد خواهند کرد که رفتارهای سالم و سازگار را ترویج می‌کند، فرهنگ وینگمن را تقویت می‌کند، و اقدامات مسئولانه کمک‌جویانه همه هوانوردان را تشویق می‌کند.</w:t>
      </w:r>
    </w:p>
    <w:p>
      <w:pPr>
        <w:spacing w:after="28" w:line="216" w:lineRule="auto"/>
        <w:ind w:left="259"/>
        <w:jc w:val="left"/>
      </w:pPr>
      <w:r>
        <w:rPr>
          <w:rFonts w:ascii="Arial" w:hAnsi="Arial"/>
          <w:color w:val="525252"/>
          <w:sz w:val="13"/>
        </w:rPr>
        <w:t>Military and civilian leaders will build an environment that promotes healthy and adaptive behaviors, fosters the wingman culture, and encourages responsible help-seeking actions of all Airmen.</w:t>
      </w:r>
    </w:p>
    <w:p>
      <w:pPr>
        <w:spacing w:after="20" w:line="223" w:lineRule="auto"/>
        <w:jc w:val="right"/>
        <w:bidi/>
      </w:pPr>
      <w:r>
        <w:rPr>
          <w:rFonts w:ascii="Arial" w:hAnsi="Arial"/>
          <w:sz w:val="16"/>
        </w:rPr>
        <w:t>420.24  توجه: در تلاش برای ترویج اقدامات کمک جویی توسط هوانوردانی که مشکلات قانونی یا اداری را تجربه می‌کنند، USAF برنامه پیشگیری از خودکشی با امتیاز محدود را مطابق با AFI ۴۴-۱۷۲، بهداشت روانی ایجاد کرد، که لایه‌ای از محرمانگی را فراهم می‌کند که به مسافرانی که در طول درمان مخاطره‌آمیز استفاده می‌شوند، اجازه می‌دهد اطلاعاتی را دریافت کنند که در معرض خطر قرار دارند. آنها در آینده</w:t>
      </w:r>
    </w:p>
    <w:p>
      <w:pPr>
        <w:spacing w:after="28" w:line="216" w:lineRule="auto"/>
        <w:ind w:left="259"/>
        <w:jc w:val="left"/>
      </w:pPr>
      <w:r>
        <w:rPr>
          <w:rFonts w:ascii="Arial" w:hAnsi="Arial"/>
          <w:color w:val="525252"/>
          <w:sz w:val="13"/>
        </w:rPr>
        <w:t>Note: In an effort to promote help-seeking actions by Airmen who are experiencing legal or administrative problems, the USAF instituted the Limited Privilege Suicide Prevention Program in accordance with AFI 44-172, Mental Health, which provided an added layer of confidentiality that allows Airmen who are under investigation to receive mental health care without the risk of information disclosed during treatment being used to incriminate them in the future.</w:t>
      </w:r>
    </w:p>
    <w:p>
      <w:pPr>
        <w:spacing w:after="20" w:line="223" w:lineRule="auto"/>
        <w:jc w:val="right"/>
        <w:bidi/>
      </w:pPr>
      <w:r>
        <w:rPr>
          <w:rFonts w:ascii="Arial" w:hAnsi="Arial"/>
          <w:sz w:val="16"/>
        </w:rPr>
        <w:t>420.25  این مهم است، زیرا مسافران هوایی که به دلیل مشکلات قانونی تحت تحقیق هستند، به‌طور قابل توجهی در معرض خطر خودکشی و سایر پیامدهای منفی هستند.</w:t>
      </w:r>
    </w:p>
    <w:p>
      <w:pPr>
        <w:spacing w:after="28" w:line="216" w:lineRule="auto"/>
        <w:ind w:left="259"/>
        <w:jc w:val="left"/>
      </w:pPr>
      <w:r>
        <w:rPr>
          <w:rFonts w:ascii="Arial" w:hAnsi="Arial"/>
          <w:color w:val="525252"/>
          <w:sz w:val="13"/>
        </w:rPr>
        <w:t>This is important since Airmen who are under investigation for legal problems are at significantly elevated risk for suicide and other negative outcomes.</w:t>
      </w:r>
    </w:p>
    <w:p>
      <w:pPr>
        <w:spacing w:after="20" w:line="223" w:lineRule="auto"/>
        <w:jc w:val="right"/>
        <w:bidi/>
      </w:pPr>
      <w:r>
        <w:rPr>
          <w:rFonts w:ascii="Arial" w:hAnsi="Arial"/>
          <w:sz w:val="16"/>
        </w:rPr>
        <w:t>420.26  ارائه دهندگان سلامت روان طبق دودی ۶۴۹۰.۰۸، الزامات اعلان فرمان برای رفع انگ در ارائه مراقبت‌های بهداشت روانی به اعضای نیروهای مسلح، ملزم به افشای ایمنی (افکار خودکشی یا خشونت آمیز) هستند.</w:t>
      </w:r>
    </w:p>
    <w:p>
      <w:pPr>
        <w:spacing w:after="28" w:line="216" w:lineRule="auto"/>
        <w:ind w:left="259"/>
        <w:jc w:val="left"/>
      </w:pPr>
      <w:r>
        <w:rPr>
          <w:rFonts w:ascii="Arial" w:hAnsi="Arial"/>
          <w:color w:val="525252"/>
          <w:sz w:val="13"/>
        </w:rPr>
        <w:t>Mental health providers are required by DoDI 6490.08, Command Notification Requirements to Dispel Stigma in Providing Mental Health Care to Service Members, to disclose safety (suicidal or violent thoughts</w:t>
      </w:r>
    </w:p>
    <w:p>
      <w:r>
        <w:br w:type="page"/>
      </w:r>
    </w:p>
    <w:p>
      <w:pPr>
        <w:spacing w:after="60"/>
        <w:jc w:val="right"/>
        <w:bidi/>
      </w:pPr>
      <w:r>
        <w:rPr>
          <w:rFonts w:ascii="Arial" w:hAnsi="Arial"/>
          <w:b/>
          <w:color w:val="1F4D78"/>
          <w:sz w:val="19"/>
        </w:rPr>
        <w:t>هفتهٔ 421  |  صفحهٔ منبع: 437</w:t>
      </w:r>
    </w:p>
    <w:p>
      <w:pPr>
        <w:spacing w:after="20" w:line="223" w:lineRule="auto"/>
        <w:jc w:val="right"/>
        <w:bidi/>
      </w:pPr>
      <w:r>
        <w:rPr>
          <w:rFonts w:ascii="Arial" w:hAnsi="Arial"/>
          <w:sz w:val="16"/>
        </w:rPr>
        <w:t>421.01  یا رفتار آسیب‌رسان به خود) و تناسب با مسائل مربوط به وظیفه برای فرماندهان، اما سایر اطلاعات محرمانه است.</w:t>
      </w:r>
    </w:p>
    <w:p>
      <w:pPr>
        <w:spacing w:after="28" w:line="216" w:lineRule="auto"/>
        <w:ind w:left="259"/>
        <w:jc w:val="left"/>
      </w:pPr>
      <w:r>
        <w:rPr>
          <w:rFonts w:ascii="Arial" w:hAnsi="Arial"/>
          <w:color w:val="525252"/>
          <w:sz w:val="13"/>
        </w:rPr>
        <w:t>or self-injurious behavior) and fitness for duty issues to commanders, but all other information is confidential.</w:t>
      </w:r>
    </w:p>
    <w:p>
      <w:pPr>
        <w:spacing w:before="60" w:after="28"/>
        <w:jc w:val="right"/>
        <w:bidi/>
      </w:pPr>
      <w:r>
        <w:rPr>
          <w:b/>
          <w:color w:val="1F4D78"/>
          <w:sz w:val="18"/>
        </w:rPr>
        <w:t>22.35. شناخت</w:t>
      </w:r>
    </w:p>
    <w:p>
      <w:pPr>
        <w:spacing w:after="20"/>
        <w:ind w:left="259"/>
        <w:jc w:val="left"/>
      </w:pPr>
      <w:r>
        <w:rPr>
          <w:color w:val="555555"/>
          <w:sz w:val="12"/>
        </w:rPr>
        <w:t>22.35. Recognition</w:t>
      </w:r>
    </w:p>
    <w:p>
      <w:pPr>
        <w:spacing w:after="20" w:line="223" w:lineRule="auto"/>
        <w:jc w:val="right"/>
        <w:bidi/>
      </w:pPr>
      <w:r>
        <w:rPr>
          <w:rFonts w:ascii="Arial" w:hAnsi="Arial"/>
          <w:sz w:val="16"/>
        </w:rPr>
        <w:t>421.03  هوانوردان باید اهمیت تشخیص این نکته را بدانند که هر کسی می‌تواند خودکشی کند، صرف نظر از اینکه پیش‌تر استرس نظامی یا شخصی را مدیریت کرده است.</w:t>
      </w:r>
    </w:p>
    <w:p>
      <w:pPr>
        <w:spacing w:after="28" w:line="216" w:lineRule="auto"/>
        <w:ind w:left="259"/>
        <w:jc w:val="left"/>
      </w:pPr>
      <w:r>
        <w:rPr>
          <w:rFonts w:ascii="Arial" w:hAnsi="Arial"/>
          <w:color w:val="525252"/>
          <w:sz w:val="13"/>
        </w:rPr>
        <w:t>Airmen must know the importance of recognizing that anyone can become suicidal, regardless of how well they have previously managed military or personal stress.</w:t>
      </w:r>
    </w:p>
    <w:p>
      <w:pPr>
        <w:spacing w:after="20" w:line="223" w:lineRule="auto"/>
        <w:jc w:val="right"/>
        <w:bidi/>
      </w:pPr>
      <w:r>
        <w:rPr>
          <w:rFonts w:ascii="Arial" w:hAnsi="Arial"/>
          <w:sz w:val="16"/>
        </w:rPr>
        <w:t>421.04  علائم هشداردهنده می‌تواند ناگهانی باشد، ممکن است نشان‌دهنده پریشانی فرد باشد و نیاز به حمایت فوری داشته باشد.</w:t>
      </w:r>
    </w:p>
    <w:p>
      <w:pPr>
        <w:spacing w:after="28" w:line="216" w:lineRule="auto"/>
        <w:ind w:left="259"/>
        <w:jc w:val="left"/>
      </w:pPr>
      <w:r>
        <w:rPr>
          <w:rFonts w:ascii="Arial" w:hAnsi="Arial"/>
          <w:color w:val="525252"/>
          <w:sz w:val="13"/>
        </w:rPr>
        <w:t>Warning signs can be sudden, may signify a person is in distress, and require immediate support.</w:t>
      </w:r>
    </w:p>
    <w:p>
      <w:pPr>
        <w:spacing w:after="20" w:line="223" w:lineRule="auto"/>
        <w:jc w:val="right"/>
        <w:bidi/>
      </w:pPr>
      <w:r>
        <w:rPr>
          <w:rFonts w:ascii="Arial" w:hAnsi="Arial"/>
          <w:sz w:val="16"/>
        </w:rPr>
        <w:t>421.05  تغییرات ناگهانی، مانند مشکلات خواب یا مشکلات نظم و انضباط، ممکن است علائم هشدار دهنده باشند.</w:t>
      </w:r>
    </w:p>
    <w:p>
      <w:pPr>
        <w:spacing w:after="28" w:line="216" w:lineRule="auto"/>
        <w:ind w:left="259"/>
        <w:jc w:val="left"/>
      </w:pPr>
      <w:r>
        <w:rPr>
          <w:rFonts w:ascii="Arial" w:hAnsi="Arial"/>
          <w:color w:val="525252"/>
          <w:sz w:val="13"/>
        </w:rPr>
        <w:t>Sudden changes, such as sleep difficulties or discipline problems, may be warning signs.</w:t>
      </w:r>
    </w:p>
    <w:p>
      <w:pPr>
        <w:spacing w:after="20" w:line="223" w:lineRule="auto"/>
        <w:jc w:val="right"/>
        <w:bidi/>
      </w:pPr>
      <w:r>
        <w:rPr>
          <w:rFonts w:ascii="Arial" w:hAnsi="Arial"/>
          <w:sz w:val="16"/>
        </w:rPr>
        <w:t>421.06  کسانی که بیشتر احتمال دارد فردی را در معرض خطر خودکشی تشخیص دهند، کسانی هستند که فرد به صورت روزانه با آنها تعامل دارد (دوستان، همکاران، و سرپرستان فوری).</w:t>
      </w:r>
    </w:p>
    <w:p>
      <w:pPr>
        <w:spacing w:after="28" w:line="216" w:lineRule="auto"/>
        <w:ind w:left="259"/>
        <w:jc w:val="left"/>
      </w:pPr>
      <w:r>
        <w:rPr>
          <w:rFonts w:ascii="Arial" w:hAnsi="Arial"/>
          <w:color w:val="525252"/>
          <w:sz w:val="13"/>
        </w:rPr>
        <w:t>Those most likely to spot a person at risk for suicide are the ones with whom an individual interacts on a daily basis (friends, coworkers, and immediate supervisors).</w:t>
      </w:r>
    </w:p>
    <w:p>
      <w:pPr>
        <w:spacing w:after="20" w:line="223" w:lineRule="auto"/>
        <w:jc w:val="right"/>
        <w:bidi/>
      </w:pPr>
      <w:r>
        <w:rPr>
          <w:rFonts w:ascii="Arial" w:hAnsi="Arial"/>
          <w:sz w:val="16"/>
        </w:rPr>
        <w:t>421.07  این افراد در بهترین موقعیت برای مشاهده تغییرات در رفتار، خلق و خو یا عملکرد هستند.</w:t>
      </w:r>
    </w:p>
    <w:p>
      <w:pPr>
        <w:spacing w:after="28" w:line="216" w:lineRule="auto"/>
        <w:ind w:left="259"/>
        <w:jc w:val="left"/>
      </w:pPr>
      <w:r>
        <w:rPr>
          <w:rFonts w:ascii="Arial" w:hAnsi="Arial"/>
          <w:color w:val="525252"/>
          <w:sz w:val="13"/>
        </w:rPr>
        <w:t>These individuals are best positioned to notice changes in behavior, mood, or performance.</w:t>
      </w:r>
    </w:p>
    <w:p>
      <w:pPr>
        <w:spacing w:after="20" w:line="223" w:lineRule="auto"/>
        <w:jc w:val="right"/>
        <w:bidi/>
      </w:pPr>
      <w:r>
        <w:rPr>
          <w:rFonts w:ascii="Arial" w:hAnsi="Arial"/>
          <w:sz w:val="16"/>
        </w:rPr>
        <w:t>421.08  اگر نظر شخصی را می‌شنوید یا نشان می‌دهد که قصد خودکشی دارد، آن را جدی بگیرید، درگیر شوید و از او کمک لازم را دریافت کنید.</w:t>
      </w:r>
    </w:p>
    <w:p>
      <w:pPr>
        <w:spacing w:after="28" w:line="216" w:lineRule="auto"/>
        <w:ind w:left="259"/>
        <w:jc w:val="left"/>
      </w:pPr>
      <w:r>
        <w:rPr>
          <w:rFonts w:ascii="Arial" w:hAnsi="Arial"/>
          <w:color w:val="525252"/>
          <w:sz w:val="13"/>
        </w:rPr>
        <w:t>If you hear someone comment or indicate they’re considering suicide, take it seriously, get involved, and get them the help they need.</w:t>
      </w:r>
    </w:p>
    <w:p>
      <w:pPr>
        <w:spacing w:after="20" w:line="223" w:lineRule="auto"/>
        <w:jc w:val="right"/>
        <w:bidi/>
      </w:pPr>
      <w:r>
        <w:rPr>
          <w:rFonts w:ascii="Arial" w:hAnsi="Arial"/>
          <w:sz w:val="16"/>
        </w:rPr>
        <w:t>421.09  حتی اگر به نظر می‌رسد هیچ نشانه واقعی از یک مشکل جدی وجود ندارد، مراقب هرگونه تغییر ناگهانی در رفتار یا نگرش باشید که می‌تواند نشانه‌ای از نیاز به کمک باشد.</w:t>
      </w:r>
    </w:p>
    <w:p>
      <w:pPr>
        <w:spacing w:after="28" w:line="216" w:lineRule="auto"/>
        <w:ind w:left="259"/>
        <w:jc w:val="left"/>
      </w:pPr>
      <w:r>
        <w:rPr>
          <w:rFonts w:ascii="Arial" w:hAnsi="Arial"/>
          <w:color w:val="525252"/>
          <w:sz w:val="13"/>
        </w:rPr>
        <w:t>Even if there appears to be no real indication of a serious problem, be observant for any sudden changes in behavior or attitude that could be a sign that they need help.</w:t>
      </w:r>
    </w:p>
    <w:p>
      <w:pPr>
        <w:spacing w:after="20" w:line="223" w:lineRule="auto"/>
        <w:jc w:val="right"/>
        <w:bidi/>
      </w:pPr>
      <w:r>
        <w:rPr>
          <w:rFonts w:ascii="Arial" w:hAnsi="Arial"/>
          <w:sz w:val="16"/>
        </w:rPr>
        <w:t>421.10  دریابید که چه چیزی باعث تغییرات مشاهده شده شده است، به انتخاب منابع برای حل عوامل استرس زا کمک کنید، و نگرانی‌های خود را در صورت لزوم با زنجیره فرماندهی در میان بگذارید.</w:t>
      </w:r>
    </w:p>
    <w:p>
      <w:pPr>
        <w:spacing w:after="28" w:line="216" w:lineRule="auto"/>
        <w:ind w:left="259"/>
        <w:jc w:val="left"/>
      </w:pPr>
      <w:r>
        <w:rPr>
          <w:rFonts w:ascii="Arial" w:hAnsi="Arial"/>
          <w:color w:val="525252"/>
          <w:sz w:val="13"/>
        </w:rPr>
        <w:t>Find out what caused the observed changes, assist in choosing resources to resolve stressors, and communicate concerns with the chain of command, as appropriate.</w:t>
      </w:r>
    </w:p>
    <w:p>
      <w:pPr>
        <w:spacing w:after="20" w:line="223" w:lineRule="auto"/>
        <w:jc w:val="right"/>
        <w:bidi/>
      </w:pPr>
      <w:r>
        <w:rPr>
          <w:rFonts w:ascii="Arial" w:hAnsi="Arial"/>
          <w:sz w:val="16"/>
        </w:rPr>
        <w:t>421.11  رهبران و هوانوردان در همه رده‌ها علاقه خاصی به شناخت افرادی دارند که با آنها کار می‌کنند، روی پیشرفت حرفه‌ای و شخصی آن‌ها سرمایه‌گذاری می‌کنند، و هر زمان که مشکلاتی پیش آمد سریعا به آنها رسیدگی کنند.</w:t>
      </w:r>
    </w:p>
    <w:p>
      <w:pPr>
        <w:spacing w:after="28" w:line="216" w:lineRule="auto"/>
        <w:ind w:left="259"/>
        <w:jc w:val="left"/>
      </w:pPr>
      <w:r>
        <w:rPr>
          <w:rFonts w:ascii="Arial" w:hAnsi="Arial"/>
          <w:color w:val="525252"/>
          <w:sz w:val="13"/>
        </w:rPr>
        <w:t>Leaders and Airmen of all ranks have a vested interest in knowing the people they work with, investing in their professional and personal development, and quickly addressing issues whenever they arise.</w:t>
      </w:r>
    </w:p>
    <w:p>
      <w:pPr>
        <w:spacing w:after="20" w:line="223" w:lineRule="auto"/>
        <w:jc w:val="right"/>
        <w:bidi/>
      </w:pPr>
      <w:r>
        <w:rPr>
          <w:rFonts w:ascii="Arial" w:hAnsi="Arial"/>
          <w:sz w:val="16"/>
        </w:rPr>
        <w:t>421.12  اقدامات زیر را می‌توان برای حمایت و کمک به حل چالش‌های زندگی و کاهش تعداد خودکشی‌ها انجام داد: (۱) شناخت همکاران، خلق و خوی معمول و رفتارهای آنها و نحوه عملکرد آنها؛ (۲) قادر به تشخیص علائم اولیه خطر، استرس و ناراحتی باشد. (۳) برای تعیین اینکه چه چیزی ممکن است استرس زا یا مشکل زا باشد، با نیروهای هوایی تعامل کنید. (۴) کمک به نیروهای هوایی در انتخاب مناسب‌ترین منبع برای کمک به حل مشکل. و (۵) پیگیری با نیروهای هوایی برای اطمینان از برطرف شدن عوامل استرس زا و عدم جایگزینی عوامل جدید.</w:t>
      </w:r>
    </w:p>
    <w:p>
      <w:pPr>
        <w:spacing w:after="28" w:line="216" w:lineRule="auto"/>
        <w:ind w:left="259"/>
        <w:jc w:val="left"/>
      </w:pPr>
      <w:r>
        <w:rPr>
          <w:rFonts w:ascii="Arial" w:hAnsi="Arial"/>
          <w:color w:val="525252"/>
          <w:sz w:val="13"/>
        </w:rPr>
        <w:t>The following actions can be taken to support and help resolve life’s challenges and reduce the number of suicides: (1) know co-workers, their usual moods and behaviors, and how they are functioning; (2) be able to recognize early signs of risk, stress, and distress; (3) engage with Airmen to determine what may be stressful or problematic; (4) assist Airmen with choosing the most appropriate resource to help resolve the problem; and (5) follow-up with Airmen to ensure the stressors are resolving and new ones are not taking their place.</w:t>
      </w:r>
    </w:p>
    <w:p>
      <w:pPr>
        <w:spacing w:after="20" w:line="223" w:lineRule="auto"/>
        <w:jc w:val="right"/>
        <w:bidi/>
      </w:pPr>
      <w:r>
        <w:rPr>
          <w:rFonts w:ascii="Arial" w:hAnsi="Arial"/>
          <w:sz w:val="16"/>
        </w:rPr>
        <w:t>421.13  عوامل خطر.</w:t>
      </w:r>
    </w:p>
    <w:p>
      <w:pPr>
        <w:spacing w:after="28" w:line="216" w:lineRule="auto"/>
        <w:ind w:left="259"/>
        <w:jc w:val="left"/>
      </w:pPr>
      <w:r>
        <w:rPr>
          <w:rFonts w:ascii="Arial" w:hAnsi="Arial"/>
          <w:color w:val="525252"/>
          <w:sz w:val="13"/>
        </w:rPr>
        <w:t>Risk Factors.</w:t>
      </w:r>
    </w:p>
    <w:p>
      <w:pPr>
        <w:spacing w:after="20" w:line="223" w:lineRule="auto"/>
        <w:jc w:val="right"/>
        <w:bidi/>
      </w:pPr>
      <w:r>
        <w:rPr>
          <w:rFonts w:ascii="Arial" w:hAnsi="Arial"/>
          <w:sz w:val="16"/>
        </w:rPr>
        <w:t>421.14  عوامل خطر برای خودکشی می‌تواند شامل مشکلات روابط، مشکلات در محل کار، مشکلات قانونی و مالی، تشخیص سلامت روان، سوء مصرف مواد و تلاش‌های قبلی برای خودکشی باشد، اما به آنها محدود نمی‌شود.</w:t>
      </w:r>
    </w:p>
    <w:p>
      <w:pPr>
        <w:spacing w:after="28" w:line="216" w:lineRule="auto"/>
        <w:ind w:left="259"/>
        <w:jc w:val="left"/>
      </w:pPr>
      <w:r>
        <w:rPr>
          <w:rFonts w:ascii="Arial" w:hAnsi="Arial"/>
          <w:color w:val="525252"/>
          <w:sz w:val="13"/>
        </w:rPr>
        <w:t>Risk factors for suicide can include, but are not limited to relationship difficulties, problems at work, legal and financial problems, mental health diagnosis, substance misuse, and previous suicide attempts.</w:t>
      </w:r>
    </w:p>
    <w:p>
      <w:pPr>
        <w:spacing w:after="20" w:line="223" w:lineRule="auto"/>
        <w:jc w:val="right"/>
        <w:bidi/>
      </w:pPr>
      <w:r>
        <w:rPr>
          <w:rFonts w:ascii="Arial" w:hAnsi="Arial"/>
          <w:sz w:val="16"/>
        </w:rPr>
        <w:t>421.15  برخی از عواملی که رهبران باید مراقب آن باشند و برای اطمینان از وجود نظارت مؤثر و ارتباطات باز در سازمان به آنها توجه کنند عبارتند از: (۱) چشم انداز تونلی در مورد مأموریت. (۲) عدم تعامل با هوانوردان؛ (۳) مشکل در تشخیص عوامل خطر و علائم هشدار دهنده. (۴) عدم آگاهی از منابع پشتیبانی شده USAF و تأثیر واقعی کمک جویی در شغل USAF. و (۵) پناه دادن نامناسب هوانوردان از عواقب اقدامات آنها یا عدم انجام اقدام مناسب.</w:t>
      </w:r>
    </w:p>
    <w:p>
      <w:pPr>
        <w:spacing w:after="28" w:line="216" w:lineRule="auto"/>
        <w:ind w:left="259"/>
        <w:jc w:val="left"/>
      </w:pPr>
      <w:r>
        <w:rPr>
          <w:rFonts w:ascii="Arial" w:hAnsi="Arial"/>
          <w:color w:val="525252"/>
          <w:sz w:val="13"/>
        </w:rPr>
        <w:t>Some factors leaders should watch for and address to ensure effective supervision and open communication exist in the organization are: (1) tunnel vision on the mission; (2) not engaging with Airmen; (3) difficulty recognizing risk factors and warning signs; (4) lack of knowledge of USAF supported resources and the true impact of seeking help on a USAF career; and (5) inappropriately sheltering Airmen from the consequences of their actions or failing to take proper action.</w:t>
      </w:r>
    </w:p>
    <w:p>
      <w:pPr>
        <w:spacing w:after="20" w:line="223" w:lineRule="auto"/>
        <w:jc w:val="right"/>
        <w:bidi/>
      </w:pPr>
      <w:r>
        <w:rPr>
          <w:rFonts w:ascii="Arial" w:hAnsi="Arial"/>
          <w:sz w:val="16"/>
        </w:rPr>
        <w:t>421.16  عوامل حفاظتی.</w:t>
      </w:r>
    </w:p>
    <w:p>
      <w:pPr>
        <w:spacing w:after="28" w:line="216" w:lineRule="auto"/>
        <w:ind w:left="259"/>
        <w:jc w:val="left"/>
      </w:pPr>
      <w:r>
        <w:rPr>
          <w:rFonts w:ascii="Arial" w:hAnsi="Arial"/>
          <w:color w:val="525252"/>
          <w:sz w:val="13"/>
        </w:rPr>
        <w:t>Protective Factors.</w:t>
      </w:r>
    </w:p>
    <w:p>
      <w:pPr>
        <w:spacing w:after="20" w:line="223" w:lineRule="auto"/>
        <w:jc w:val="right"/>
        <w:bidi/>
      </w:pPr>
      <w:r>
        <w:rPr>
          <w:rFonts w:ascii="Arial" w:hAnsi="Arial"/>
          <w:sz w:val="16"/>
        </w:rPr>
        <w:t>421.17  عوامل محافظتی شامل حمایت اجتماعی، ارتباط، احساس تعلق، احساس هدف، مهارت‌های مقابله‌ای مؤثر فردی و هنجارهای فرهنگی است که رفتار مسئول کمک‌جویی را ترویج و محافظت می‌کند.</w:t>
      </w:r>
    </w:p>
    <w:p>
      <w:pPr>
        <w:spacing w:after="28" w:line="216" w:lineRule="auto"/>
        <w:ind w:left="259"/>
        <w:jc w:val="left"/>
      </w:pPr>
      <w:r>
        <w:rPr>
          <w:rFonts w:ascii="Arial" w:hAnsi="Arial"/>
          <w:color w:val="525252"/>
          <w:sz w:val="13"/>
        </w:rPr>
        <w:t>Protective factors include social support, connectedness, sense of belonging, sense of purpose, effective individual coping skills, and cultural norms that promote and protect responsible help-seeking behavior.</w:t>
      </w:r>
    </w:p>
    <w:p>
      <w:pPr>
        <w:spacing w:before="60" w:after="28"/>
        <w:jc w:val="right"/>
        <w:bidi/>
      </w:pPr>
      <w:r>
        <w:rPr>
          <w:b/>
          <w:color w:val="1F4D78"/>
          <w:sz w:val="18"/>
        </w:rPr>
        <w:t>22.36. مدل بپرسید، مراقب باشید و اسکورت کنید</w:t>
      </w:r>
    </w:p>
    <w:p>
      <w:pPr>
        <w:spacing w:after="20"/>
        <w:ind w:left="259"/>
        <w:jc w:val="left"/>
      </w:pPr>
      <w:r>
        <w:rPr>
          <w:color w:val="555555"/>
          <w:sz w:val="12"/>
        </w:rPr>
        <w:t>22.36. Ask, Care, and Escort Model</w:t>
      </w:r>
    </w:p>
    <w:p>
      <w:pPr>
        <w:spacing w:after="20" w:line="223" w:lineRule="auto"/>
        <w:jc w:val="right"/>
        <w:bidi/>
      </w:pPr>
      <w:r>
        <w:rPr>
          <w:rFonts w:ascii="Arial" w:hAnsi="Arial"/>
          <w:sz w:val="16"/>
        </w:rPr>
        <w:t>421.19  پیشگیری از خودکشی وظیفه همه است.</w:t>
      </w:r>
    </w:p>
    <w:p>
      <w:pPr>
        <w:spacing w:after="28" w:line="216" w:lineRule="auto"/>
        <w:ind w:left="259"/>
        <w:jc w:val="left"/>
      </w:pPr>
      <w:r>
        <w:rPr>
          <w:rFonts w:ascii="Arial" w:hAnsi="Arial"/>
          <w:color w:val="525252"/>
          <w:sz w:val="13"/>
        </w:rPr>
        <w:t>Suicide prevention is everyone’s responsibility.</w:t>
      </w:r>
    </w:p>
    <w:p>
      <w:pPr>
        <w:spacing w:after="20" w:line="223" w:lineRule="auto"/>
        <w:jc w:val="right"/>
        <w:bidi/>
      </w:pPr>
      <w:r>
        <w:rPr>
          <w:rFonts w:ascii="Arial" w:hAnsi="Arial"/>
          <w:sz w:val="16"/>
        </w:rPr>
        <w:t>421.20  مدل اسک، کار، اند سکورت (ACE) برای کمک به هوانوردان در مداخله زمانی که یک هوانورد دچار استرس، پریشانی یا چالش‌ها می‌شود، ایجاد شد.</w:t>
      </w:r>
    </w:p>
    <w:p>
      <w:pPr>
        <w:spacing w:after="28" w:line="216" w:lineRule="auto"/>
        <w:ind w:left="259"/>
        <w:jc w:val="left"/>
      </w:pPr>
      <w:r>
        <w:rPr>
          <w:rFonts w:ascii="Arial" w:hAnsi="Arial"/>
          <w:color w:val="525252"/>
          <w:sz w:val="13"/>
        </w:rPr>
        <w:t>The Ask, Care, and Escort (ACE) Model was developed to assist Airmen in intervening when an Airman experiences stress, distress, or faces challenges.</w:t>
      </w:r>
    </w:p>
    <w:p>
      <w:pPr>
        <w:spacing w:after="20" w:line="223" w:lineRule="auto"/>
        <w:jc w:val="right"/>
        <w:bidi/>
      </w:pPr>
      <w:r>
        <w:rPr>
          <w:rFonts w:ascii="Arial" w:hAnsi="Arial"/>
          <w:sz w:val="16"/>
        </w:rPr>
        <w:t>421.21  درک گام‌های مناسب برای پیشگیری از خطر خودکشی و منابع موجود مورد تأیید USAF می‌تواند به نجات شغل و زندگی یک همکار هواپیمایی کمک کند.</w:t>
      </w:r>
    </w:p>
    <w:p>
      <w:pPr>
        <w:spacing w:after="28" w:line="216" w:lineRule="auto"/>
        <w:ind w:left="259"/>
        <w:jc w:val="left"/>
      </w:pPr>
      <w:r>
        <w:rPr>
          <w:rFonts w:ascii="Arial" w:hAnsi="Arial"/>
          <w:color w:val="525252"/>
          <w:sz w:val="13"/>
        </w:rPr>
        <w:t>Understanding the appropriate steps to suicide risk prevention and the available USAF approved resources can aid in saving the career and life of a fellow Airman.</w:t>
      </w:r>
    </w:p>
    <w:p>
      <w:pPr>
        <w:spacing w:after="20" w:line="223" w:lineRule="auto"/>
        <w:jc w:val="right"/>
        <w:bidi/>
      </w:pPr>
      <w:r>
        <w:rPr>
          <w:rFonts w:ascii="Arial" w:hAnsi="Arial"/>
          <w:sz w:val="16"/>
        </w:rPr>
        <w:t>421.22  مخفف ACE نامی است که مردم به راحتی می‌توانند آن را به خاطر بسپارند.</w:t>
      </w:r>
    </w:p>
    <w:p>
      <w:pPr>
        <w:spacing w:after="28" w:line="216" w:lineRule="auto"/>
        <w:ind w:left="259"/>
        <w:jc w:val="left"/>
      </w:pPr>
      <w:r>
        <w:rPr>
          <w:rFonts w:ascii="Arial" w:hAnsi="Arial"/>
          <w:color w:val="525252"/>
          <w:sz w:val="13"/>
        </w:rPr>
        <w:t>The acronym ACE is one that people can easily remember.</w:t>
      </w:r>
    </w:p>
    <w:p>
      <w:pPr>
        <w:spacing w:after="20" w:line="223" w:lineRule="auto"/>
        <w:jc w:val="right"/>
        <w:bidi/>
      </w:pPr>
      <w:r>
        <w:rPr>
          <w:rFonts w:ascii="Arial" w:hAnsi="Arial"/>
          <w:sz w:val="16"/>
        </w:rPr>
        <w:t>421.23  بپرسید.</w:t>
      </w:r>
    </w:p>
    <w:p>
      <w:pPr>
        <w:spacing w:after="28" w:line="216" w:lineRule="auto"/>
        <w:ind w:left="259"/>
        <w:jc w:val="left"/>
      </w:pPr>
      <w:r>
        <w:rPr>
          <w:rFonts w:ascii="Arial" w:hAnsi="Arial"/>
          <w:color w:val="525252"/>
          <w:sz w:val="13"/>
        </w:rPr>
        <w:t>Ask.</w:t>
      </w:r>
    </w:p>
    <w:p>
      <w:pPr>
        <w:spacing w:after="20" w:line="223" w:lineRule="auto"/>
        <w:jc w:val="right"/>
        <w:bidi/>
      </w:pPr>
      <w:r>
        <w:rPr>
          <w:rFonts w:ascii="Arial" w:hAnsi="Arial"/>
          <w:sz w:val="16"/>
        </w:rPr>
        <w:t>421.24  وقتی هر یک از علائم هشداردهنده مورد بحث در این بخش را می‌بینید یا می‌شنوید، یا از عوامل خطر در زندگی شخصی آگاه هستید، برای کسب اطلاعات بیشتر در مورد وضعیت آن فرد، سؤال بپرسید.</w:t>
      </w:r>
    </w:p>
    <w:p>
      <w:pPr>
        <w:spacing w:after="28" w:line="216" w:lineRule="auto"/>
        <w:ind w:left="259"/>
        <w:jc w:val="left"/>
      </w:pPr>
      <w:r>
        <w:rPr>
          <w:rFonts w:ascii="Arial" w:hAnsi="Arial"/>
          <w:color w:val="525252"/>
          <w:sz w:val="13"/>
        </w:rPr>
        <w:t>When you see or hear any of the warning signs discussed in this section, or are aware of risk factors in someone’s life, ask questions to learn more about the person’s situation.</w:t>
      </w:r>
    </w:p>
    <w:p>
      <w:pPr>
        <w:spacing w:after="20" w:line="223" w:lineRule="auto"/>
        <w:jc w:val="right"/>
        <w:bidi/>
      </w:pPr>
      <w:r>
        <w:rPr>
          <w:rFonts w:ascii="Arial" w:hAnsi="Arial"/>
          <w:sz w:val="16"/>
        </w:rPr>
        <w:t>421.25  اگر در مورد امنیت کسی تردید دارید، با آرامش اما مستقیم این سوال را بپرسید: "آیا به کشتن/آزار دادن خود فکر می‌کنید؟" پرسیدن در مورد خودکشی به افراد اجازه می‌دهد در مورد موضوعی صحبت کنند که در غیر این صورت ممکن است مطرح کردن آن دشوار باشد.</w:t>
      </w:r>
    </w:p>
    <w:p>
      <w:pPr>
        <w:spacing w:after="28" w:line="216" w:lineRule="auto"/>
        <w:ind w:left="259"/>
        <w:jc w:val="left"/>
      </w:pPr>
      <w:r>
        <w:rPr>
          <w:rFonts w:ascii="Arial" w:hAnsi="Arial"/>
          <w:color w:val="525252"/>
          <w:sz w:val="13"/>
        </w:rPr>
        <w:t>If you have any uncertainty about someone’s safety, calmly but directly ask the question, “Are you thinking of killing/hurting yourself?” Asking about suicide gives people permission to talk about a subject that may otherwise be difficult to bring up.</w:t>
      </w:r>
    </w:p>
    <w:p>
      <w:pPr>
        <w:spacing w:after="20" w:line="223" w:lineRule="auto"/>
        <w:jc w:val="right"/>
        <w:bidi/>
      </w:pPr>
      <w:r>
        <w:rPr>
          <w:rFonts w:ascii="Arial" w:hAnsi="Arial"/>
          <w:sz w:val="16"/>
        </w:rPr>
        <w:t>421.26  به هواپیمای اجازه می‌دهد بداند که شما آماده‌اید در مورد آنچه آنها صحبت کنید</w:t>
      </w:r>
    </w:p>
    <w:p>
      <w:pPr>
        <w:spacing w:after="28" w:line="216" w:lineRule="auto"/>
        <w:ind w:left="259"/>
        <w:jc w:val="left"/>
      </w:pPr>
      <w:r>
        <w:rPr>
          <w:rFonts w:ascii="Arial" w:hAnsi="Arial"/>
          <w:color w:val="525252"/>
          <w:sz w:val="13"/>
        </w:rPr>
        <w:t>It lets the Airman know you are ready to discuss what they</w:t>
      </w:r>
    </w:p>
    <w:p>
      <w:r>
        <w:br w:type="page"/>
      </w:r>
    </w:p>
    <w:p>
      <w:pPr>
        <w:spacing w:after="60"/>
        <w:jc w:val="right"/>
        <w:bidi/>
      </w:pPr>
      <w:r>
        <w:rPr>
          <w:rFonts w:ascii="Arial" w:hAnsi="Arial"/>
          <w:b/>
          <w:color w:val="1F4D78"/>
          <w:sz w:val="19"/>
        </w:rPr>
        <w:t>هفتهٔ 422  |  صفحهٔ منبع: 438</w:t>
      </w:r>
    </w:p>
    <w:p>
      <w:pPr>
        <w:spacing w:after="20" w:line="223" w:lineRule="auto"/>
        <w:jc w:val="right"/>
        <w:bidi/>
      </w:pPr>
      <w:r>
        <w:rPr>
          <w:rFonts w:ascii="Arial" w:hAnsi="Arial"/>
          <w:sz w:val="16"/>
        </w:rPr>
        <w:t>422.01  در حال تجربه هستند.</w:t>
      </w:r>
    </w:p>
    <w:p>
      <w:pPr>
        <w:spacing w:after="28" w:line="216" w:lineRule="auto"/>
        <w:ind w:left="259"/>
        <w:jc w:val="left"/>
      </w:pPr>
      <w:r>
        <w:rPr>
          <w:rFonts w:ascii="Arial" w:hAnsi="Arial"/>
          <w:color w:val="525252"/>
          <w:sz w:val="13"/>
        </w:rPr>
        <w:t>are experiencing.</w:t>
      </w:r>
    </w:p>
    <w:p>
      <w:pPr>
        <w:spacing w:after="20" w:line="223" w:lineRule="auto"/>
        <w:jc w:val="right"/>
        <w:bidi/>
      </w:pPr>
      <w:r>
        <w:rPr>
          <w:rFonts w:ascii="Arial" w:hAnsi="Arial"/>
          <w:sz w:val="16"/>
        </w:rPr>
        <w:t>422.02  قول ندهید که افکار خودکشی را مخفی نگه دارید.</w:t>
      </w:r>
    </w:p>
    <w:p>
      <w:pPr>
        <w:spacing w:after="28" w:line="216" w:lineRule="auto"/>
        <w:ind w:left="259"/>
        <w:jc w:val="left"/>
      </w:pPr>
      <w:r>
        <w:rPr>
          <w:rFonts w:ascii="Arial" w:hAnsi="Arial"/>
          <w:color w:val="525252"/>
          <w:sz w:val="13"/>
        </w:rPr>
        <w:t>Do not promise to keep thoughts of suicide a secret.</w:t>
      </w:r>
    </w:p>
    <w:p>
      <w:pPr>
        <w:spacing w:after="20" w:line="223" w:lineRule="auto"/>
        <w:jc w:val="right"/>
        <w:bidi/>
      </w:pPr>
      <w:r>
        <w:rPr>
          <w:rFonts w:ascii="Arial" w:hAnsi="Arial"/>
          <w:sz w:val="16"/>
        </w:rPr>
        <w:t>422.03  هوانوردان باید اهمیت در میان گذاشتن این نگرانی‌ها را با رهبران و متخصصانی که می‌توانند کمک کنند را به خاطر بسپارند.</w:t>
      </w:r>
    </w:p>
    <w:p>
      <w:pPr>
        <w:spacing w:after="28" w:line="216" w:lineRule="auto"/>
        <w:ind w:left="259"/>
        <w:jc w:val="left"/>
      </w:pPr>
      <w:r>
        <w:rPr>
          <w:rFonts w:ascii="Arial" w:hAnsi="Arial"/>
          <w:color w:val="525252"/>
          <w:sz w:val="13"/>
        </w:rPr>
        <w:t>Airmen need to remember the importance of sharing these concerns with leaders and professionals who can help.</w:t>
      </w:r>
    </w:p>
    <w:p>
      <w:pPr>
        <w:spacing w:after="20" w:line="223" w:lineRule="auto"/>
        <w:jc w:val="right"/>
        <w:bidi/>
      </w:pPr>
      <w:r>
        <w:rPr>
          <w:rFonts w:ascii="Arial" w:hAnsi="Arial"/>
          <w:sz w:val="16"/>
        </w:rPr>
        <w:t>422.04  مراقبت.</w:t>
      </w:r>
    </w:p>
    <w:p>
      <w:pPr>
        <w:spacing w:after="28" w:line="216" w:lineRule="auto"/>
        <w:ind w:left="259"/>
        <w:jc w:val="left"/>
      </w:pPr>
      <w:r>
        <w:rPr>
          <w:rFonts w:ascii="Arial" w:hAnsi="Arial"/>
          <w:color w:val="525252"/>
          <w:sz w:val="13"/>
        </w:rPr>
        <w:t>Care.</w:t>
      </w:r>
    </w:p>
    <w:p>
      <w:pPr>
        <w:spacing w:after="20" w:line="223" w:lineRule="auto"/>
        <w:jc w:val="right"/>
        <w:bidi/>
      </w:pPr>
      <w:r>
        <w:rPr>
          <w:rFonts w:ascii="Arial" w:hAnsi="Arial"/>
          <w:sz w:val="16"/>
        </w:rPr>
        <w:t>422.05  نشان دادن مراقبت و نگرانی برای افراد در معرض خطر مهم است.</w:t>
      </w:r>
    </w:p>
    <w:p>
      <w:pPr>
        <w:spacing w:after="28" w:line="216" w:lineRule="auto"/>
        <w:ind w:left="259"/>
        <w:jc w:val="left"/>
      </w:pPr>
      <w:r>
        <w:rPr>
          <w:rFonts w:ascii="Arial" w:hAnsi="Arial"/>
          <w:color w:val="525252"/>
          <w:sz w:val="13"/>
        </w:rPr>
        <w:t>Showing care and concern for those at risk is important.</w:t>
      </w:r>
    </w:p>
    <w:p>
      <w:pPr>
        <w:spacing w:after="20" w:line="223" w:lineRule="auto"/>
        <w:jc w:val="right"/>
        <w:bidi/>
      </w:pPr>
      <w:r>
        <w:rPr>
          <w:rFonts w:ascii="Arial" w:hAnsi="Arial"/>
          <w:sz w:val="16"/>
        </w:rPr>
        <w:t>422.06  صرف وقت گذاشتن برای پرسیدن مشکلات، و پرسیدن به‌طور خاص در مورد خودکشی، نشان دهنده مراقبت و نگرانی است.</w:t>
      </w:r>
    </w:p>
    <w:p>
      <w:pPr>
        <w:spacing w:after="28" w:line="216" w:lineRule="auto"/>
        <w:ind w:left="259"/>
        <w:jc w:val="left"/>
      </w:pPr>
      <w:r>
        <w:rPr>
          <w:rFonts w:ascii="Arial" w:hAnsi="Arial"/>
          <w:color w:val="525252"/>
          <w:sz w:val="13"/>
        </w:rPr>
        <w:t>Simply taking the time to ask about problems, and asking specifically about suicide, shows caring and concern.</w:t>
      </w:r>
    </w:p>
    <w:p>
      <w:pPr>
        <w:spacing w:after="20" w:line="223" w:lineRule="auto"/>
        <w:jc w:val="right"/>
        <w:bidi/>
      </w:pPr>
      <w:r>
        <w:rPr>
          <w:rFonts w:ascii="Arial" w:hAnsi="Arial"/>
          <w:sz w:val="16"/>
        </w:rPr>
        <w:t>422.07  اگر کسی افکار خودکشی را تصدیق کرد، به او گوش دهید و اجازه دهید آنچه را که او را آزار می‌دهد به اشتراک بگذارد.</w:t>
      </w:r>
    </w:p>
    <w:p>
      <w:pPr>
        <w:spacing w:after="28" w:line="216" w:lineRule="auto"/>
        <w:ind w:left="259"/>
        <w:jc w:val="left"/>
      </w:pPr>
      <w:r>
        <w:rPr>
          <w:rFonts w:ascii="Arial" w:hAnsi="Arial"/>
          <w:color w:val="525252"/>
          <w:sz w:val="13"/>
        </w:rPr>
        <w:t>If someone acknowledges thoughts of suicide, listen, and allow them to share what is troubling them.</w:t>
      </w:r>
    </w:p>
    <w:p>
      <w:pPr>
        <w:spacing w:after="20" w:line="223" w:lineRule="auto"/>
        <w:jc w:val="right"/>
        <w:bidi/>
      </w:pPr>
      <w:r>
        <w:rPr>
          <w:rFonts w:ascii="Arial" w:hAnsi="Arial"/>
          <w:sz w:val="16"/>
        </w:rPr>
        <w:t>422.08  از بیان اظهارات قضاوتی، تلاش فوری برای حل مشکل آنها یا تلاش برای جلوگیری از خودکشی آنها بپرهیزید.</w:t>
      </w:r>
    </w:p>
    <w:p>
      <w:pPr>
        <w:spacing w:after="28" w:line="216" w:lineRule="auto"/>
        <w:ind w:left="259"/>
        <w:jc w:val="left"/>
      </w:pPr>
      <w:r>
        <w:rPr>
          <w:rFonts w:ascii="Arial" w:hAnsi="Arial"/>
          <w:color w:val="525252"/>
          <w:sz w:val="13"/>
        </w:rPr>
        <w:t>Avoid making judgmental statements, immediately trying to solve their problem, or trying to talk them out of suicide.</w:t>
      </w:r>
    </w:p>
    <w:p>
      <w:pPr>
        <w:spacing w:after="20" w:line="223" w:lineRule="auto"/>
        <w:jc w:val="right"/>
        <w:bidi/>
      </w:pPr>
      <w:r>
        <w:rPr>
          <w:rFonts w:ascii="Arial" w:hAnsi="Arial"/>
          <w:sz w:val="16"/>
        </w:rPr>
        <w:t>422.09  اگر افکار خودکشی را با شما در میان می‌گذارند، بپذیرید که در مضیقه هستند، به نگرانی‌های آنها گوش دهید و از آنها کمک بگیرید.</w:t>
      </w:r>
    </w:p>
    <w:p>
      <w:pPr>
        <w:spacing w:after="28" w:line="216" w:lineRule="auto"/>
        <w:ind w:left="259"/>
        <w:jc w:val="left"/>
      </w:pPr>
      <w:r>
        <w:rPr>
          <w:rFonts w:ascii="Arial" w:hAnsi="Arial"/>
          <w:color w:val="525252"/>
          <w:sz w:val="13"/>
        </w:rPr>
        <w:t>If they share thoughts of suicide with you, accept that they are in distress, listen to their concerns, and begin getting them help.</w:t>
      </w:r>
    </w:p>
    <w:p>
      <w:pPr>
        <w:spacing w:after="20" w:line="223" w:lineRule="auto"/>
        <w:jc w:val="right"/>
        <w:bidi/>
      </w:pPr>
      <w:r>
        <w:rPr>
          <w:rFonts w:ascii="Arial" w:hAnsi="Arial"/>
          <w:sz w:val="16"/>
        </w:rPr>
        <w:t>422.10  مشخص کنید که آیا آنها برنامه‌ای برای خودکشی دارند یا خیر، برنامه چیست، و اقدامات معقولی برای اطمینان از ابزار احتمالی خودکشی انجام دهید، اما خود را در معرض خطر قرار ندهید.</w:t>
      </w:r>
    </w:p>
    <w:p>
      <w:pPr>
        <w:spacing w:after="28" w:line="216" w:lineRule="auto"/>
        <w:ind w:left="259"/>
        <w:jc w:val="left"/>
      </w:pPr>
      <w:r>
        <w:rPr>
          <w:rFonts w:ascii="Arial" w:hAnsi="Arial"/>
          <w:color w:val="525252"/>
          <w:sz w:val="13"/>
        </w:rPr>
        <w:t>Determine if they have a plan for suicide, what the plan is, and take reasonable steps to secure the potential means of suicide, but do not put yourself in harm’s way.</w:t>
      </w:r>
    </w:p>
    <w:p>
      <w:pPr>
        <w:spacing w:after="20" w:line="223" w:lineRule="auto"/>
        <w:jc w:val="right"/>
        <w:bidi/>
      </w:pPr>
      <w:r>
        <w:rPr>
          <w:rFonts w:ascii="Arial" w:hAnsi="Arial"/>
          <w:sz w:val="16"/>
        </w:rPr>
        <w:t>422.11  هوانوردان در مضیقه که به دنبال دسترسی به وسایل کشنده مانند سلاح گرم هستند، باید در معرض خطر آسیب رساندن به خود در نظر گرفته شوند.</w:t>
      </w:r>
    </w:p>
    <w:p>
      <w:pPr>
        <w:spacing w:after="28" w:line="216" w:lineRule="auto"/>
        <w:ind w:left="259"/>
        <w:jc w:val="left"/>
      </w:pPr>
      <w:r>
        <w:rPr>
          <w:rFonts w:ascii="Arial" w:hAnsi="Arial"/>
          <w:color w:val="525252"/>
          <w:sz w:val="13"/>
        </w:rPr>
        <w:t>Airmen in distress who are seeking access to lethal means, such as a firearm, should be considered at risk for self-harm.</w:t>
      </w:r>
    </w:p>
    <w:p>
      <w:pPr>
        <w:spacing w:after="20" w:line="223" w:lineRule="auto"/>
        <w:jc w:val="right"/>
        <w:bidi/>
      </w:pPr>
      <w:r>
        <w:rPr>
          <w:rFonts w:ascii="Arial" w:hAnsi="Arial"/>
          <w:sz w:val="16"/>
        </w:rPr>
        <w:t>422.12  اگر قادر به ایمن سازی وسایل بالقوه آسیب رساندن به خود نیستید، یا نگرانی قابل توجهی در مورد ایمنی فرد دارید، با فرماندهی و خدمات اورژانس تماس بگیرید.</w:t>
      </w:r>
    </w:p>
    <w:p>
      <w:pPr>
        <w:spacing w:after="28" w:line="216" w:lineRule="auto"/>
        <w:ind w:left="259"/>
        <w:jc w:val="left"/>
      </w:pPr>
      <w:r>
        <w:rPr>
          <w:rFonts w:ascii="Arial" w:hAnsi="Arial"/>
          <w:color w:val="525252"/>
          <w:sz w:val="13"/>
        </w:rPr>
        <w:t>If you are not able to secure the potential means of self-harm, or you have significant concern about the individual’s safety, then contact command and emergency services.</w:t>
      </w:r>
    </w:p>
    <w:p>
      <w:pPr>
        <w:spacing w:after="20" w:line="223" w:lineRule="auto"/>
        <w:jc w:val="right"/>
        <w:bidi/>
      </w:pPr>
      <w:r>
        <w:rPr>
          <w:rFonts w:ascii="Arial" w:hAnsi="Arial"/>
          <w:sz w:val="16"/>
        </w:rPr>
        <w:t>422.13  ایجاد زمان و فضا بین هوانوردان در مضیقه و دسترسی به وسایل کشنده (از جمله سلاح گرم و داروها) می‌تواند خطر اقدام به خودکشی و مرگ را کاهش دهد.</w:t>
      </w:r>
    </w:p>
    <w:p>
      <w:pPr>
        <w:spacing w:after="28" w:line="216" w:lineRule="auto"/>
        <w:ind w:left="259"/>
        <w:jc w:val="left"/>
      </w:pPr>
      <w:r>
        <w:rPr>
          <w:rFonts w:ascii="Arial" w:hAnsi="Arial"/>
          <w:color w:val="525252"/>
          <w:sz w:val="13"/>
        </w:rPr>
        <w:t>Building time and space between Airmen in distress and access to lethal means (including firearms and medications) can reduce the risk of suicide attempts and deaths.</w:t>
      </w:r>
    </w:p>
    <w:p>
      <w:pPr>
        <w:spacing w:after="20" w:line="223" w:lineRule="auto"/>
        <w:jc w:val="right"/>
        <w:bidi/>
      </w:pPr>
      <w:r>
        <w:rPr>
          <w:rFonts w:ascii="Arial" w:hAnsi="Arial"/>
          <w:sz w:val="16"/>
        </w:rPr>
        <w:t>422.14  اسکورت.</w:t>
      </w:r>
    </w:p>
    <w:p>
      <w:pPr>
        <w:spacing w:after="28" w:line="216" w:lineRule="auto"/>
        <w:ind w:left="259"/>
        <w:jc w:val="left"/>
      </w:pPr>
      <w:r>
        <w:rPr>
          <w:rFonts w:ascii="Arial" w:hAnsi="Arial"/>
          <w:color w:val="525252"/>
          <w:sz w:val="13"/>
        </w:rPr>
        <w:t>Escort.</w:t>
      </w:r>
    </w:p>
    <w:p>
      <w:pPr>
        <w:spacing w:after="20" w:line="223" w:lineRule="auto"/>
        <w:jc w:val="right"/>
        <w:bidi/>
      </w:pPr>
      <w:r>
        <w:rPr>
          <w:rFonts w:ascii="Arial" w:hAnsi="Arial"/>
          <w:sz w:val="16"/>
        </w:rPr>
        <w:t>422.15  پس از پرسش در مورد خودکشی و ابراز نگرانی، گام نهایی این است که فرد را به سمت فرماندهی یا پشتیبانی حرفه‌ای همراهی کنید که بتواند کمک مناسب را ارائه دهد.</w:t>
      </w:r>
    </w:p>
    <w:p>
      <w:pPr>
        <w:spacing w:after="28" w:line="216" w:lineRule="auto"/>
        <w:ind w:left="259"/>
        <w:jc w:val="left"/>
      </w:pPr>
      <w:r>
        <w:rPr>
          <w:rFonts w:ascii="Arial" w:hAnsi="Arial"/>
          <w:color w:val="525252"/>
          <w:sz w:val="13"/>
        </w:rPr>
        <w:t>After asking about suicide and showing concern, the final step is to escort the person to command or professional support that can provide appropriate assistance.</w:t>
      </w:r>
    </w:p>
    <w:p>
      <w:pPr>
        <w:spacing w:after="20" w:line="223" w:lineRule="auto"/>
        <w:jc w:val="right"/>
        <w:bidi/>
      </w:pPr>
      <w:r>
        <w:rPr>
          <w:rFonts w:ascii="Arial" w:hAnsi="Arial"/>
          <w:sz w:val="16"/>
        </w:rPr>
        <w:t>422.16  فرد مضطرب را تنها نگذارید.</w:t>
      </w:r>
    </w:p>
    <w:p>
      <w:pPr>
        <w:spacing w:after="28" w:line="216" w:lineRule="auto"/>
        <w:ind w:left="259"/>
        <w:jc w:val="left"/>
      </w:pPr>
      <w:r>
        <w:rPr>
          <w:rFonts w:ascii="Arial" w:hAnsi="Arial"/>
          <w:color w:val="525252"/>
          <w:sz w:val="13"/>
        </w:rPr>
        <w:t>Do not leave the person in distress alone.</w:t>
      </w:r>
    </w:p>
    <w:p>
      <w:pPr>
        <w:spacing w:after="20" w:line="223" w:lineRule="auto"/>
        <w:jc w:val="right"/>
        <w:bidi/>
      </w:pPr>
      <w:r>
        <w:rPr>
          <w:rFonts w:ascii="Arial" w:hAnsi="Arial"/>
          <w:sz w:val="16"/>
        </w:rPr>
        <w:t>422.17  در بیشتر پایگاه‌ها، متخصصان از طریق پست فرماندهی در حال آماده‌باش هستند و در صورت عدم دسترسی به خدمات در پایگاه، ارزیابی‌ها را می‌توان در اورژانس‌های محلی انجام داد.</w:t>
      </w:r>
    </w:p>
    <w:p>
      <w:pPr>
        <w:spacing w:after="28" w:line="216" w:lineRule="auto"/>
        <w:ind w:left="259"/>
        <w:jc w:val="left"/>
      </w:pPr>
      <w:r>
        <w:rPr>
          <w:rFonts w:ascii="Arial" w:hAnsi="Arial"/>
          <w:color w:val="525252"/>
          <w:sz w:val="13"/>
        </w:rPr>
        <w:t>At most bases, professionals are on call through the command post, and evaluations can be conducted in local emergency rooms if on-base services are not accessible.</w:t>
      </w:r>
    </w:p>
    <w:p>
      <w:pPr>
        <w:spacing w:after="20" w:line="223" w:lineRule="auto"/>
        <w:jc w:val="right"/>
        <w:bidi/>
      </w:pPr>
      <w:r>
        <w:rPr>
          <w:rFonts w:ascii="Arial" w:hAnsi="Arial"/>
          <w:sz w:val="16"/>
        </w:rPr>
        <w:t>422.18  اگر یک خلبان مضطرب حاضر به همراهی شما نشد و شما نگران امنیت فرد هستید، باید با زنجیره فرماندهی خود تماس بگیرید، با خدمات اورژانس تماس بگیرید. منابع محلی، غیرنظامی یا ملی؛ شماره ۹۱۱؛ به اورژانس یا کلینیک سلامت روان بروید؛ یا با خط بحران کهنه‌سربازان (۱-۸۰۰-۲۷۳-۸۲۵۵) تماس بگیرید.</w:t>
      </w:r>
    </w:p>
    <w:p>
      <w:pPr>
        <w:spacing w:after="28" w:line="216" w:lineRule="auto"/>
        <w:ind w:left="259"/>
        <w:jc w:val="left"/>
      </w:pPr>
      <w:r>
        <w:rPr>
          <w:rFonts w:ascii="Arial" w:hAnsi="Arial"/>
          <w:color w:val="525252"/>
          <w:sz w:val="13"/>
        </w:rPr>
        <w:t>If a distressed Airman will not agree to go with you and you have significant concern about the individual’s safety you should contact your chain of command, contact emergency services; local, civilian, or national resources; dial 911; go to the emergency room or mental health clinic; or call the Veterans Crisis Line (1-800-273-8255).</w:t>
      </w:r>
    </w:p>
    <w:p>
      <w:pPr>
        <w:spacing w:after="20" w:line="223" w:lineRule="auto"/>
        <w:jc w:val="right"/>
        <w:bidi/>
      </w:pPr>
      <w:r>
        <w:rPr>
          <w:rFonts w:ascii="Arial" w:hAnsi="Arial"/>
          <w:sz w:val="16"/>
        </w:rPr>
        <w:t>422.19  مهم‌ترین گام دریافت کمکی است که فرد در مضیقه نیاز دارد.</w:t>
      </w:r>
    </w:p>
    <w:p>
      <w:pPr>
        <w:spacing w:after="28" w:line="216" w:lineRule="auto"/>
        <w:ind w:left="259"/>
        <w:jc w:val="left"/>
      </w:pPr>
      <w:r>
        <w:rPr>
          <w:rFonts w:ascii="Arial" w:hAnsi="Arial"/>
          <w:color w:val="525252"/>
          <w:sz w:val="13"/>
        </w:rPr>
        <w:t>The most important step is to get the individual the help they need if they are in distress.</w:t>
      </w:r>
    </w:p>
    <w:p>
      <w:pPr>
        <w:spacing w:before="60" w:after="28"/>
        <w:jc w:val="right"/>
        <w:bidi/>
      </w:pPr>
      <w:r>
        <w:rPr>
          <w:b/>
          <w:color w:val="1F4D78"/>
          <w:sz w:val="18"/>
        </w:rPr>
        <w:t>22.37. تناسب اندام هوادار جامع</w:t>
      </w:r>
    </w:p>
    <w:p>
      <w:pPr>
        <w:spacing w:after="20"/>
        <w:ind w:left="259"/>
        <w:jc w:val="left"/>
      </w:pPr>
      <w:r>
        <w:rPr>
          <w:color w:val="555555"/>
          <w:sz w:val="12"/>
        </w:rPr>
        <w:t>22.37. Comprehensive Airman Fitness</w:t>
      </w:r>
    </w:p>
    <w:p>
      <w:pPr>
        <w:spacing w:after="20" w:line="223" w:lineRule="auto"/>
        <w:jc w:val="right"/>
        <w:bidi/>
      </w:pPr>
      <w:r>
        <w:rPr>
          <w:rFonts w:ascii="Arial" w:hAnsi="Arial"/>
          <w:sz w:val="16"/>
        </w:rPr>
        <w:t>422.21  کومپرهنسیو عضو نیروی هوایی فیتنسس (CAF) یک رویکرد کل نگر برای ایجاد و حفظ یک جامعه پر رونق و انعطاف پذیر USAF با مراقبت از یکدیگر و خودمان از طریق سلامتی در چهار حوزه - ذهنی، فیزیکی، اجتماعی و معنوی است.</w:t>
      </w:r>
    </w:p>
    <w:p>
      <w:pPr>
        <w:spacing w:after="28" w:line="216" w:lineRule="auto"/>
        <w:ind w:left="259"/>
        <w:jc w:val="left"/>
      </w:pPr>
      <w:r>
        <w:rPr>
          <w:rFonts w:ascii="Arial" w:hAnsi="Arial"/>
          <w:color w:val="525252"/>
          <w:sz w:val="13"/>
        </w:rPr>
        <w:t>Comprehensive Airman Fitness (CAF) is a holistic approach to build and sustain a thriving and resilient USAF Community by taking care of each other and ourselves through wellness in four domains - mental, physical, social, and spiritual.</w:t>
      </w:r>
    </w:p>
    <w:p>
      <w:pPr>
        <w:spacing w:after="20" w:line="223" w:lineRule="auto"/>
        <w:jc w:val="right"/>
        <w:bidi/>
      </w:pPr>
      <w:r>
        <w:rPr>
          <w:rFonts w:ascii="Arial" w:hAnsi="Arial"/>
          <w:sz w:val="16"/>
        </w:rPr>
        <w:t>422.22  هدف این است که هوانوردان و خانواده‌ها را به ابزارها و مهارت‌های مورد نیاز برای ارزیابی مستمر و تطبیق با چالش‌های منحصربه‌فرد سبک زندگی نظامی مجهز کنیم.</w:t>
      </w:r>
    </w:p>
    <w:p>
      <w:pPr>
        <w:spacing w:after="28" w:line="216" w:lineRule="auto"/>
        <w:ind w:left="259"/>
        <w:jc w:val="left"/>
      </w:pPr>
      <w:r>
        <w:rPr>
          <w:rFonts w:ascii="Arial" w:hAnsi="Arial"/>
          <w:color w:val="525252"/>
          <w:sz w:val="13"/>
        </w:rPr>
        <w:t>The intent is to equip Airmen and families with the tools and skills needed to continually assess and adjust to the unique challenges of a military lifestyle.</w:t>
      </w:r>
    </w:p>
    <w:p>
      <w:pPr>
        <w:spacing w:after="20" w:line="223" w:lineRule="auto"/>
        <w:jc w:val="right"/>
        <w:bidi/>
      </w:pPr>
      <w:r>
        <w:rPr>
          <w:rFonts w:ascii="Arial" w:hAnsi="Arial"/>
          <w:sz w:val="16"/>
        </w:rPr>
        <w:t>422.23  مفهوم وینگمان یک عنصر اصلی CAF برای ساختن هوانوردان متناسب، انعطاف‌پذیر و آماده با اختصاص زمان برای تمرکز بر سلامتی افراد و واحدها و پرورش فرهنگ هوانوردانی است که از آنها مراقبت می‌کنند.</w:t>
      </w:r>
    </w:p>
    <w:p>
      <w:pPr>
        <w:spacing w:after="28" w:line="216" w:lineRule="auto"/>
        <w:ind w:left="259"/>
        <w:jc w:val="left"/>
      </w:pPr>
      <w:r>
        <w:rPr>
          <w:rFonts w:ascii="Arial" w:hAnsi="Arial"/>
          <w:color w:val="525252"/>
          <w:sz w:val="13"/>
        </w:rPr>
        <w:t>The Wingman concept is a core element of CAF essential to building fit, resilient, and ready Airmen by dedicating time to focus on individual and unit wellness and fostering a culture of Airmen taking care of Airmen.</w:t>
      </w:r>
    </w:p>
    <w:p>
      <w:pPr>
        <w:spacing w:after="20" w:line="223" w:lineRule="auto"/>
        <w:jc w:val="right"/>
        <w:bidi/>
      </w:pPr>
      <w:r>
        <w:rPr>
          <w:rFonts w:ascii="Arial" w:hAnsi="Arial"/>
          <w:sz w:val="16"/>
        </w:rPr>
        <w:t>422.24  دامنه ذهنی.</w:t>
      </w:r>
    </w:p>
    <w:p>
      <w:pPr>
        <w:spacing w:after="28" w:line="216" w:lineRule="auto"/>
        <w:ind w:left="259"/>
        <w:jc w:val="left"/>
      </w:pPr>
      <w:r>
        <w:rPr>
          <w:rFonts w:ascii="Arial" w:hAnsi="Arial"/>
          <w:color w:val="525252"/>
          <w:sz w:val="13"/>
        </w:rPr>
        <w:t>Mental Domain.</w:t>
      </w:r>
    </w:p>
    <w:p>
      <w:pPr>
        <w:spacing w:after="20" w:line="223" w:lineRule="auto"/>
        <w:jc w:val="right"/>
        <w:bidi/>
      </w:pPr>
      <w:r>
        <w:rPr>
          <w:rFonts w:ascii="Arial" w:hAnsi="Arial"/>
          <w:sz w:val="16"/>
        </w:rPr>
        <w:t>422.25  حوزه ذهنی به‌عنوان توانایی مقابله مؤثر با استرس‌های روانی منحصربه‌فرد و چالش‌های مورد نیاز برای اطمینان از آمادگی مأموریت تعریف می‌شود.</w:t>
      </w:r>
    </w:p>
    <w:p>
      <w:pPr>
        <w:spacing w:after="28" w:line="216" w:lineRule="auto"/>
        <w:ind w:left="259"/>
        <w:jc w:val="left"/>
      </w:pPr>
      <w:r>
        <w:rPr>
          <w:rFonts w:ascii="Arial" w:hAnsi="Arial"/>
          <w:color w:val="525252"/>
          <w:sz w:val="13"/>
        </w:rPr>
        <w:t>The mental domain is defined as the ability to effectively cope with unique mental stressors and challenges needed to ensure mission readiness.</w:t>
      </w:r>
    </w:p>
    <w:p>
      <w:pPr>
        <w:spacing w:after="20" w:line="223" w:lineRule="auto"/>
        <w:jc w:val="right"/>
        <w:bidi/>
      </w:pPr>
      <w:r>
        <w:rPr>
          <w:rFonts w:ascii="Arial" w:hAnsi="Arial"/>
          <w:sz w:val="16"/>
        </w:rPr>
        <w:t>422.26  اصول حوزه ذهنی آگاهی، سازگاری، مثبت اندیشی و تصمیم‌گیری است.</w:t>
      </w:r>
    </w:p>
    <w:p>
      <w:pPr>
        <w:spacing w:after="28" w:line="216" w:lineRule="auto"/>
        <w:ind w:left="259"/>
        <w:jc w:val="left"/>
      </w:pPr>
      <w:r>
        <w:rPr>
          <w:rFonts w:ascii="Arial" w:hAnsi="Arial"/>
          <w:color w:val="525252"/>
          <w:sz w:val="13"/>
        </w:rPr>
        <w:t>The tenets of the mental domain are awareness, adaptability, positive thinking, and decision-making.</w:t>
      </w:r>
    </w:p>
    <w:p>
      <w:pPr>
        <w:spacing w:after="20" w:line="223" w:lineRule="auto"/>
        <w:jc w:val="right"/>
        <w:bidi/>
      </w:pPr>
      <w:r>
        <w:rPr>
          <w:rFonts w:ascii="Arial" w:hAnsi="Arial"/>
          <w:sz w:val="16"/>
        </w:rPr>
        <w:t>422.27  دامنه فیزیکی.</w:t>
      </w:r>
    </w:p>
    <w:p>
      <w:pPr>
        <w:spacing w:after="28" w:line="216" w:lineRule="auto"/>
        <w:ind w:left="259"/>
        <w:jc w:val="left"/>
      </w:pPr>
      <w:r>
        <w:rPr>
          <w:rFonts w:ascii="Arial" w:hAnsi="Arial"/>
          <w:color w:val="525252"/>
          <w:sz w:val="13"/>
        </w:rPr>
        <w:t>Physical Domain.</w:t>
      </w:r>
    </w:p>
    <w:p>
      <w:pPr>
        <w:spacing w:after="20" w:line="223" w:lineRule="auto"/>
        <w:jc w:val="right"/>
        <w:bidi/>
      </w:pPr>
      <w:r>
        <w:rPr>
          <w:rFonts w:ascii="Arial" w:hAnsi="Arial"/>
          <w:sz w:val="16"/>
        </w:rPr>
        <w:t>422.28  حوزه فیزیکی به‌عنوان توانایی اتخاذ و حفظ رفتارهای سالم مورد نیاز برای افزایش سلامت و تندرستی تعریف می‌شود.</w:t>
      </w:r>
    </w:p>
    <w:p>
      <w:pPr>
        <w:spacing w:after="28" w:line="216" w:lineRule="auto"/>
        <w:ind w:left="259"/>
        <w:jc w:val="left"/>
      </w:pPr>
      <w:r>
        <w:rPr>
          <w:rFonts w:ascii="Arial" w:hAnsi="Arial"/>
          <w:color w:val="525252"/>
          <w:sz w:val="13"/>
        </w:rPr>
        <w:t>The physical domain is defined as the ability to adopt and sustain healthy behaviors needed to enhance health and wellness.</w:t>
      </w:r>
    </w:p>
    <w:p>
      <w:pPr>
        <w:spacing w:after="20" w:line="223" w:lineRule="auto"/>
        <w:jc w:val="right"/>
        <w:bidi/>
      </w:pPr>
      <w:r>
        <w:rPr>
          <w:rFonts w:ascii="Arial" w:hAnsi="Arial"/>
          <w:sz w:val="16"/>
        </w:rPr>
        <w:t>422.29  اصول حوزه فیزیکی استقامت، قدرت، تغذیه و ریکاوری است.</w:t>
      </w:r>
    </w:p>
    <w:p>
      <w:pPr>
        <w:spacing w:after="28" w:line="216" w:lineRule="auto"/>
        <w:ind w:left="259"/>
        <w:jc w:val="left"/>
      </w:pPr>
      <w:r>
        <w:rPr>
          <w:rFonts w:ascii="Arial" w:hAnsi="Arial"/>
          <w:color w:val="525252"/>
          <w:sz w:val="13"/>
        </w:rPr>
        <w:t>The tenets of the physical domain are endurance, strength, nutrition, and recovery.</w:t>
      </w:r>
    </w:p>
    <w:p>
      <w:pPr>
        <w:spacing w:after="20" w:line="223" w:lineRule="auto"/>
        <w:jc w:val="right"/>
        <w:bidi/>
      </w:pPr>
      <w:r>
        <w:rPr>
          <w:rFonts w:ascii="Arial" w:hAnsi="Arial"/>
          <w:sz w:val="16"/>
        </w:rPr>
        <w:t>422.30  دامنه اجتماعی.</w:t>
      </w:r>
    </w:p>
    <w:p>
      <w:pPr>
        <w:spacing w:after="28" w:line="216" w:lineRule="auto"/>
        <w:ind w:left="259"/>
        <w:jc w:val="left"/>
      </w:pPr>
      <w:r>
        <w:rPr>
          <w:rFonts w:ascii="Arial" w:hAnsi="Arial"/>
          <w:color w:val="525252"/>
          <w:sz w:val="13"/>
        </w:rPr>
        <w:t>Social Domain.</w:t>
      </w:r>
    </w:p>
    <w:p>
      <w:pPr>
        <w:spacing w:after="20" w:line="223" w:lineRule="auto"/>
        <w:jc w:val="right"/>
        <w:bidi/>
      </w:pPr>
      <w:r>
        <w:rPr>
          <w:rFonts w:ascii="Arial" w:hAnsi="Arial"/>
          <w:sz w:val="16"/>
        </w:rPr>
        <w:t>422.31  حوزه اجتماعی به‌عنوان توانایی درگیر شدن در شبکه‌های اجتماعی سالم که رفاه کلی و عملکرد مطلوب را ارتقا می‌دهند، تعریف می‌شود.</w:t>
      </w:r>
    </w:p>
    <w:p>
      <w:pPr>
        <w:spacing w:after="28" w:line="216" w:lineRule="auto"/>
        <w:ind w:left="259"/>
        <w:jc w:val="left"/>
      </w:pPr>
      <w:r>
        <w:rPr>
          <w:rFonts w:ascii="Arial" w:hAnsi="Arial"/>
          <w:color w:val="525252"/>
          <w:sz w:val="13"/>
        </w:rPr>
        <w:t>The social domain is defined as the ability to engage in healthy social networks that promote overall well-being and optimal performance.</w:t>
      </w:r>
    </w:p>
    <w:p>
      <w:pPr>
        <w:spacing w:after="20" w:line="223" w:lineRule="auto"/>
        <w:jc w:val="right"/>
        <w:bidi/>
      </w:pPr>
      <w:r>
        <w:rPr>
          <w:rFonts w:ascii="Arial" w:hAnsi="Arial"/>
          <w:sz w:val="16"/>
        </w:rPr>
        <w:t>422.32  اصول حوزه اجتماعی اتصال، کار تیمی، حمایت اجتماعی و ارتباطات است.</w:t>
      </w:r>
    </w:p>
    <w:p>
      <w:pPr>
        <w:spacing w:after="28" w:line="216" w:lineRule="auto"/>
        <w:ind w:left="259"/>
        <w:jc w:val="left"/>
      </w:pPr>
      <w:r>
        <w:rPr>
          <w:rFonts w:ascii="Arial" w:hAnsi="Arial"/>
          <w:color w:val="525252"/>
          <w:sz w:val="13"/>
        </w:rPr>
        <w:t>The tenets of the social domain are connectedness, teamwork, social support, and communication.</w:t>
      </w:r>
    </w:p>
    <w:p>
      <w:pPr>
        <w:spacing w:after="20" w:line="223" w:lineRule="auto"/>
        <w:jc w:val="right"/>
        <w:bidi/>
      </w:pPr>
      <w:r>
        <w:rPr>
          <w:rFonts w:ascii="Arial" w:hAnsi="Arial"/>
          <w:sz w:val="16"/>
        </w:rPr>
        <w:t>422.33  دامنه معنوی.</w:t>
      </w:r>
    </w:p>
    <w:p>
      <w:pPr>
        <w:spacing w:after="28" w:line="216" w:lineRule="auto"/>
        <w:ind w:left="259"/>
        <w:jc w:val="left"/>
      </w:pPr>
      <w:r>
        <w:rPr>
          <w:rFonts w:ascii="Arial" w:hAnsi="Arial"/>
          <w:color w:val="525252"/>
          <w:sz w:val="13"/>
        </w:rPr>
        <w:t>Spiritual Domain.</w:t>
      </w:r>
    </w:p>
    <w:p>
      <w:pPr>
        <w:spacing w:after="20" w:line="223" w:lineRule="auto"/>
        <w:jc w:val="right"/>
        <w:bidi/>
      </w:pPr>
      <w:r>
        <w:rPr>
          <w:rFonts w:ascii="Arial" w:hAnsi="Arial"/>
          <w:sz w:val="16"/>
        </w:rPr>
        <w:t>422.34  حوزه معنوی به‌عنوان توانایی تقویت مجموعه‌ای از باورها، اصول یا ارزش‌ها تعریف می‌شود که حس رفاه و هدف فرد را حفظ می‌کند.</w:t>
      </w:r>
    </w:p>
    <w:p>
      <w:pPr>
        <w:spacing w:after="28" w:line="216" w:lineRule="auto"/>
        <w:ind w:left="259"/>
        <w:jc w:val="left"/>
      </w:pPr>
      <w:r>
        <w:rPr>
          <w:rFonts w:ascii="Arial" w:hAnsi="Arial"/>
          <w:color w:val="525252"/>
          <w:sz w:val="13"/>
        </w:rPr>
        <w:t>The spiritual domain is defined as the ability to strengthen a set of beliefs, principles, or values that sustain an individual’s sense of well-being and purpose.</w:t>
      </w:r>
    </w:p>
    <w:p>
      <w:pPr>
        <w:spacing w:after="20" w:line="223" w:lineRule="auto"/>
        <w:jc w:val="right"/>
        <w:bidi/>
      </w:pPr>
      <w:r>
        <w:rPr>
          <w:rFonts w:ascii="Arial" w:hAnsi="Arial"/>
          <w:sz w:val="16"/>
        </w:rPr>
        <w:t>422.35  اصول حوزه معنوی هدف، ارزش‌های اصلی، پشتکار و دیدگاه است.</w:t>
      </w:r>
    </w:p>
    <w:p>
      <w:pPr>
        <w:spacing w:after="28" w:line="216" w:lineRule="auto"/>
        <w:ind w:left="259"/>
        <w:jc w:val="left"/>
      </w:pPr>
      <w:r>
        <w:rPr>
          <w:rFonts w:ascii="Arial" w:hAnsi="Arial"/>
          <w:color w:val="525252"/>
          <w:sz w:val="13"/>
        </w:rPr>
        <w:t>The tenets of the spiritual domain are purpose, core values, perseverance, and perspective.</w:t>
      </w:r>
    </w:p>
    <w:p>
      <w:pPr>
        <w:spacing w:after="20" w:line="223" w:lineRule="auto"/>
        <w:jc w:val="right"/>
        <w:bidi/>
      </w:pPr>
      <w:r>
        <w:rPr>
          <w:rFonts w:ascii="Arial" w:hAnsi="Arial"/>
          <w:sz w:val="16"/>
        </w:rPr>
        <w:t>422.36  اطلاعات بیشتر، ابزارها و برنامه‌های طراحی شده برای تقویت CAF فردی و واحدی را می‌توانید با مراجعه به وب‌سایت بخش مقاومت نیروی هوایی مشاهده کنید.</w:t>
      </w:r>
    </w:p>
    <w:p>
      <w:pPr>
        <w:spacing w:after="28" w:line="216" w:lineRule="auto"/>
        <w:ind w:left="259"/>
        <w:jc w:val="left"/>
      </w:pPr>
      <w:r>
        <w:rPr>
          <w:rFonts w:ascii="Arial" w:hAnsi="Arial"/>
          <w:color w:val="525252"/>
          <w:sz w:val="13"/>
        </w:rPr>
        <w:t>Additional information, tools, and programs designed to strengthen individual and unit CAF can be found by visiting the Department of the Air Force Resilience website.</w:t>
      </w:r>
    </w:p>
    <w:p>
      <w:r>
        <w:br w:type="page"/>
      </w:r>
    </w:p>
    <w:p>
      <w:pPr>
        <w:spacing w:after="60"/>
        <w:jc w:val="right"/>
        <w:bidi/>
      </w:pPr>
      <w:r>
        <w:rPr>
          <w:rFonts w:ascii="Arial" w:hAnsi="Arial"/>
          <w:b/>
          <w:color w:val="1F4D78"/>
          <w:sz w:val="19"/>
        </w:rPr>
        <w:t>هفتهٔ 423  |  صفحهٔ منبع: 439</w:t>
      </w:r>
    </w:p>
    <w:p>
      <w:pPr>
        <w:spacing w:before="60" w:after="28"/>
        <w:jc w:val="right"/>
        <w:bidi/>
      </w:pPr>
      <w:r>
        <w:rPr>
          <w:b/>
          <w:color w:val="1F4D78"/>
          <w:sz w:val="18"/>
        </w:rPr>
        <w:t>22.38. آژانس های پشتیبانی</w:t>
      </w:r>
    </w:p>
    <w:p>
      <w:pPr>
        <w:spacing w:after="20"/>
        <w:ind w:left="259"/>
        <w:jc w:val="left"/>
      </w:pPr>
      <w:r>
        <w:rPr>
          <w:color w:val="555555"/>
          <w:sz w:val="12"/>
        </w:rPr>
        <w:t>22.38. Support Agencies</w:t>
      </w:r>
    </w:p>
    <w:p>
      <w:pPr>
        <w:spacing w:after="20" w:line="223" w:lineRule="auto"/>
        <w:jc w:val="right"/>
        <w:bidi/>
      </w:pPr>
      <w:r>
        <w:rPr>
          <w:rFonts w:ascii="Arial" w:hAnsi="Arial"/>
          <w:sz w:val="16"/>
        </w:rPr>
        <w:t>423.02  فرماندهان، سرپرستان، جناح‌داران و افراد منابع زیادی برای کمک به حل مشکلات و چالش‌ها برای خود، خانواده‌شان و دیگران به روش‌های سالم، ایمن و سازنده دارند.</w:t>
      </w:r>
    </w:p>
    <w:p>
      <w:pPr>
        <w:spacing w:after="28" w:line="216" w:lineRule="auto"/>
        <w:ind w:left="259"/>
        <w:jc w:val="left"/>
      </w:pPr>
      <w:r>
        <w:rPr>
          <w:rFonts w:ascii="Arial" w:hAnsi="Arial"/>
          <w:color w:val="525252"/>
          <w:sz w:val="13"/>
        </w:rPr>
        <w:t>Commanders, supervisors, wingmen, and individuals have many resources to help resolve problems and challenges for themselves, their families, and others, in healthy, safe, and constructive ways.</w:t>
      </w:r>
    </w:p>
    <w:p>
      <w:pPr>
        <w:spacing w:after="20" w:line="223" w:lineRule="auto"/>
        <w:jc w:val="right"/>
        <w:bidi/>
      </w:pPr>
      <w:r>
        <w:rPr>
          <w:rFonts w:ascii="Arial" w:hAnsi="Arial"/>
          <w:sz w:val="16"/>
        </w:rPr>
        <w:t>423.03  تعدادی از منابع در اینجا برای یک عکس مرجع سریع ارائه شده است.</w:t>
      </w:r>
    </w:p>
    <w:p>
      <w:pPr>
        <w:spacing w:after="28" w:line="216" w:lineRule="auto"/>
        <w:ind w:left="259"/>
        <w:jc w:val="left"/>
      </w:pPr>
      <w:r>
        <w:rPr>
          <w:rFonts w:ascii="Arial" w:hAnsi="Arial"/>
          <w:color w:val="525252"/>
          <w:sz w:val="13"/>
        </w:rPr>
        <w:t>A few of the sources are provided here for a quick reference screenshot.</w:t>
      </w:r>
    </w:p>
    <w:p>
      <w:pPr>
        <w:spacing w:after="20" w:line="223" w:lineRule="auto"/>
        <w:jc w:val="right"/>
        <w:bidi/>
      </w:pPr>
      <w:r>
        <w:rPr>
          <w:rFonts w:ascii="Arial" w:hAnsi="Arial"/>
          <w:sz w:val="16"/>
        </w:rPr>
        <w:t>423.04  مرجع سریع آژانس‌های پشتیبانی: برنامه تاب آوری یکپارچه نیروی هوایی https://www.resilience.af.mil/</w:t>
      </w:r>
    </w:p>
    <w:p>
      <w:pPr>
        <w:spacing w:after="28" w:line="216" w:lineRule="auto"/>
        <w:ind w:left="259"/>
        <w:jc w:val="left"/>
      </w:pPr>
      <w:r>
        <w:rPr>
          <w:rFonts w:ascii="Arial" w:hAnsi="Arial"/>
          <w:color w:val="525252"/>
          <w:sz w:val="13"/>
        </w:rPr>
        <w:t>Support Agencies Quick Reference: Air Force Integrated Resilience Program https://www.resilience.af.mil/.</w:t>
      </w:r>
    </w:p>
    <w:p>
      <w:pPr>
        <w:spacing w:after="20" w:line="223" w:lineRule="auto"/>
        <w:jc w:val="right"/>
        <w:bidi/>
      </w:pPr>
      <w:r>
        <w:rPr>
          <w:rFonts w:ascii="Arial" w:hAnsi="Arial"/>
          <w:sz w:val="16"/>
        </w:rPr>
        <w:t>423.05  سربازی وان منبع آنلاین: هتتپ://ووو.میلیتاریونسوورک.میل/.</w:t>
      </w:r>
    </w:p>
    <w:p>
      <w:pPr>
        <w:spacing w:after="28" w:line="216" w:lineRule="auto"/>
        <w:ind w:left="259"/>
        <w:jc w:val="left"/>
      </w:pPr>
      <w:r>
        <w:rPr>
          <w:rFonts w:ascii="Arial" w:hAnsi="Arial"/>
          <w:color w:val="525252"/>
          <w:sz w:val="13"/>
        </w:rPr>
        <w:t>Military One Source Online: http://www.militaryonesource.mil/.</w:t>
      </w:r>
    </w:p>
    <w:p>
      <w:pPr>
        <w:spacing w:after="20" w:line="223" w:lineRule="auto"/>
        <w:jc w:val="right"/>
        <w:bidi/>
      </w:pPr>
      <w:r>
        <w:rPr>
          <w:rFonts w:ascii="Arial" w:hAnsi="Arial"/>
          <w:sz w:val="16"/>
        </w:rPr>
        <w:t>423.06  خط راهنمای منبع نظامی: ۱-۸۰۰-۳۴۲-۹۶۴۷.</w:t>
      </w:r>
    </w:p>
    <w:p>
      <w:pPr>
        <w:spacing w:after="28" w:line="216" w:lineRule="auto"/>
        <w:ind w:left="259"/>
        <w:jc w:val="left"/>
      </w:pPr>
      <w:r>
        <w:rPr>
          <w:rFonts w:ascii="Arial" w:hAnsi="Arial"/>
          <w:color w:val="525252"/>
          <w:sz w:val="13"/>
        </w:rPr>
        <w:t>Military One Source Help Line: 1-800-342-9647.</w:t>
      </w:r>
    </w:p>
    <w:p>
      <w:pPr>
        <w:spacing w:after="20" w:line="223" w:lineRule="auto"/>
        <w:jc w:val="right"/>
        <w:bidi/>
      </w:pPr>
      <w:r>
        <w:rPr>
          <w:rFonts w:ascii="Arial" w:hAnsi="Arial"/>
          <w:sz w:val="16"/>
        </w:rPr>
        <w:t>423.07  خط بحران جانبازان: ۱-۸۰۰-۲۷۳-۸۲۵۵ (۱ را فشار دهید).</w:t>
      </w:r>
    </w:p>
    <w:p>
      <w:pPr>
        <w:spacing w:after="28" w:line="216" w:lineRule="auto"/>
        <w:ind w:left="259"/>
        <w:jc w:val="left"/>
      </w:pPr>
      <w:r>
        <w:rPr>
          <w:rFonts w:ascii="Arial" w:hAnsi="Arial"/>
          <w:color w:val="525252"/>
          <w:sz w:val="13"/>
        </w:rPr>
        <w:t>Veterans Crisis Line: 1-800-273-8255 (Press 1).</w:t>
      </w:r>
    </w:p>
    <w:p>
      <w:pPr>
        <w:spacing w:after="20" w:line="223" w:lineRule="auto"/>
        <w:jc w:val="right"/>
        <w:bidi/>
      </w:pPr>
      <w:r>
        <w:rPr>
          <w:rFonts w:ascii="Arial" w:hAnsi="Arial"/>
          <w:sz w:val="16"/>
        </w:rPr>
        <w:t>423.08  گپ خط بحران جانبازان: https://www.veteranscrisisline.net/</w:t>
      </w:r>
    </w:p>
    <w:p>
      <w:pPr>
        <w:spacing w:after="28" w:line="216" w:lineRule="auto"/>
        <w:ind w:left="259"/>
        <w:jc w:val="left"/>
      </w:pPr>
      <w:r>
        <w:rPr>
          <w:rFonts w:ascii="Arial" w:hAnsi="Arial"/>
          <w:color w:val="525252"/>
          <w:sz w:val="13"/>
        </w:rPr>
        <w:t>Veterans Crisis Line Chat: https://www.veteranscrisisline.net/.</w:t>
      </w:r>
    </w:p>
    <w:p>
      <w:pPr>
        <w:spacing w:after="20" w:line="223" w:lineRule="auto"/>
        <w:jc w:val="right"/>
        <w:bidi/>
      </w:pPr>
      <w:r>
        <w:rPr>
          <w:rFonts w:ascii="Arial" w:hAnsi="Arial"/>
          <w:sz w:val="16"/>
        </w:rPr>
        <w:t>423.09  متن خط بحران جانبازان: ۸۳۸۲۵۵.</w:t>
      </w:r>
    </w:p>
    <w:p>
      <w:pPr>
        <w:spacing w:after="28" w:line="216" w:lineRule="auto"/>
        <w:ind w:left="259"/>
        <w:jc w:val="left"/>
      </w:pPr>
      <w:r>
        <w:rPr>
          <w:rFonts w:ascii="Arial" w:hAnsi="Arial"/>
          <w:color w:val="525252"/>
          <w:sz w:val="13"/>
        </w:rPr>
        <w:t>Veterans Crisis Line Text: 838255.</w:t>
      </w:r>
    </w:p>
    <w:p>
      <w:pPr>
        <w:spacing w:before="60" w:after="28"/>
        <w:jc w:val="right"/>
        <w:bidi/>
      </w:pPr>
      <w:r>
        <w:rPr>
          <w:b/>
          <w:color w:val="1F4D78"/>
          <w:sz w:val="18"/>
        </w:rPr>
        <w:t>22.39. مراقبت های پزشکی</w:t>
      </w:r>
    </w:p>
    <w:p>
      <w:pPr>
        <w:spacing w:after="20"/>
        <w:ind w:left="259"/>
        <w:jc w:val="left"/>
      </w:pPr>
      <w:r>
        <w:rPr>
          <w:color w:val="555555"/>
          <w:sz w:val="12"/>
        </w:rPr>
        <w:t>22.39. Medical Care</w:t>
      </w:r>
    </w:p>
    <w:p>
      <w:pPr>
        <w:spacing w:after="20" w:line="223" w:lineRule="auto"/>
        <w:jc w:val="right"/>
        <w:bidi/>
      </w:pPr>
      <w:r>
        <w:rPr>
          <w:rFonts w:ascii="Arial" w:hAnsi="Arial"/>
          <w:sz w:val="16"/>
        </w:rPr>
        <w:t>423.11  نظام بهداشت و درمان ارتش از کلیه کارکنان یونیفرم پوش، بازنشستگان و خانواده‌های آنان پشتیبانی می‌کند.</w:t>
      </w:r>
    </w:p>
    <w:p>
      <w:pPr>
        <w:spacing w:after="28" w:line="216" w:lineRule="auto"/>
        <w:ind w:left="259"/>
        <w:jc w:val="left"/>
      </w:pPr>
      <w:r>
        <w:rPr>
          <w:rFonts w:ascii="Arial" w:hAnsi="Arial"/>
          <w:color w:val="525252"/>
          <w:sz w:val="13"/>
        </w:rPr>
        <w:t>The military health system supports all uniformed service personnel, retirees, and their families.</w:t>
      </w:r>
    </w:p>
    <w:p>
      <w:pPr>
        <w:spacing w:after="20" w:line="223" w:lineRule="auto"/>
        <w:jc w:val="right"/>
        <w:bidi/>
      </w:pPr>
      <w:r>
        <w:rPr>
          <w:rFonts w:ascii="Arial" w:hAnsi="Arial"/>
          <w:sz w:val="16"/>
        </w:rPr>
        <w:t>423.12  جهت، منابع، ارائه دهندگان مراقبت‌های بهداشتی و سایر وسایل لازم برای ارتقای سلامت جمعیت ذینفع را فراهم می‌کند.</w:t>
      </w:r>
    </w:p>
    <w:p>
      <w:pPr>
        <w:spacing w:after="28" w:line="216" w:lineRule="auto"/>
        <w:ind w:left="259"/>
        <w:jc w:val="left"/>
      </w:pPr>
      <w:r>
        <w:rPr>
          <w:rFonts w:ascii="Arial" w:hAnsi="Arial"/>
          <w:color w:val="525252"/>
          <w:sz w:val="13"/>
        </w:rPr>
        <w:t>It provides the direction, resources, health care providers, and other means necessary for promoting the health of the beneficiary population.</w:t>
      </w:r>
    </w:p>
    <w:p>
      <w:pPr>
        <w:spacing w:after="20" w:line="223" w:lineRule="auto"/>
        <w:jc w:val="right"/>
        <w:bidi/>
      </w:pPr>
      <w:r>
        <w:rPr>
          <w:rFonts w:ascii="Arial" w:hAnsi="Arial"/>
          <w:sz w:val="16"/>
        </w:rPr>
        <w:t>423.13  حمایت بهداشتی نظامی شامل توسعه و ترویج مسائل آگاهی بهداشتی برای آموزش به مشتریان، کشف و حل تهدیدات بهداشتی مبتنی بر محیط زیست، ارائه خدمات بهداشتی (شامل مراقبت‌های پیشگیرانه، خدمات مداخله در مشکل، مراقبت‌های شبانی و حمایت مذهبی) و بهبود ابزارها و روش‌های حفظ سلامت جمعیت ذی نفع با حمایت مداوم از عملکرد سلامت است.</w:t>
      </w:r>
    </w:p>
    <w:p>
      <w:pPr>
        <w:spacing w:after="28" w:line="216" w:lineRule="auto"/>
        <w:ind w:left="259"/>
        <w:jc w:val="left"/>
      </w:pPr>
      <w:r>
        <w:rPr>
          <w:rFonts w:ascii="Arial" w:hAnsi="Arial"/>
          <w:color w:val="525252"/>
          <w:sz w:val="13"/>
        </w:rPr>
        <w:t>Military health support includes developing and promoting health awareness issues to educate customers, discovering, and resolving environmentally based health threats, providing health services (including preventive care, problem intervention services, pastoral care, and religious support), and improving the means and methods for maintaining the health of the beneficiary population by constantly evaluating the performance of the health support.</w:t>
      </w:r>
    </w:p>
    <w:p>
      <w:pPr>
        <w:spacing w:after="20" w:line="223" w:lineRule="auto"/>
        <w:jc w:val="right"/>
        <w:bidi/>
      </w:pPr>
      <w:r>
        <w:rPr>
          <w:rFonts w:ascii="Arial" w:hAnsi="Arial"/>
          <w:sz w:val="16"/>
        </w:rPr>
        <w:t>423.14  متخصصان پزشکی ارتش، نیروی دریایی، و USAF کمک می‌کنند تا اطمینان حاصل شود که لباس‌پوشان از نظر پزشکی آماده استقرار در هر نقطه در سراسر جهان هستند.</w:t>
      </w:r>
    </w:p>
    <w:p>
      <w:pPr>
        <w:spacing w:after="28" w:line="216" w:lineRule="auto"/>
        <w:ind w:left="259"/>
        <w:jc w:val="left"/>
      </w:pPr>
      <w:r>
        <w:rPr>
          <w:rFonts w:ascii="Arial" w:hAnsi="Arial"/>
          <w:color w:val="525252"/>
          <w:sz w:val="13"/>
        </w:rPr>
        <w:t>Army, Navy, and USAF medical professionals help ensure those in uniform are medically ready to deploy anywhere around the globe on a moment's notice.</w:t>
      </w:r>
    </w:p>
    <w:p>
      <w:pPr>
        <w:spacing w:after="20" w:line="223" w:lineRule="auto"/>
        <w:jc w:val="right"/>
        <w:bidi/>
      </w:pPr>
      <w:r>
        <w:rPr>
          <w:rFonts w:ascii="Arial" w:hAnsi="Arial"/>
          <w:sz w:val="16"/>
        </w:rPr>
        <w:t>423.15  این متخصصان پزشکی نه تنها اعضای نیروهای مسلح را در راه می‌فرستند، بلکه با آنها هستند.</w:t>
      </w:r>
    </w:p>
    <w:p>
      <w:pPr>
        <w:spacing w:after="28" w:line="216" w:lineRule="auto"/>
        <w:ind w:left="259"/>
        <w:jc w:val="left"/>
      </w:pPr>
      <w:r>
        <w:rPr>
          <w:rFonts w:ascii="Arial" w:hAnsi="Arial"/>
          <w:color w:val="525252"/>
          <w:sz w:val="13"/>
        </w:rPr>
        <w:t>These medical professionals not only send service members on their way, they’re with them.</w:t>
      </w:r>
    </w:p>
    <w:p>
      <w:pPr>
        <w:spacing w:after="20" w:line="223" w:lineRule="auto"/>
        <w:jc w:val="right"/>
        <w:bidi/>
      </w:pPr>
      <w:r>
        <w:rPr>
          <w:rFonts w:ascii="Arial" w:hAnsi="Arial"/>
          <w:sz w:val="16"/>
        </w:rPr>
        <w:t>423.16  آژانس بهداشت دفاعی.</w:t>
      </w:r>
    </w:p>
    <w:p>
      <w:pPr>
        <w:spacing w:after="28" w:line="216" w:lineRule="auto"/>
        <w:ind w:left="259"/>
        <w:jc w:val="left"/>
      </w:pPr>
      <w:r>
        <w:rPr>
          <w:rFonts w:ascii="Arial" w:hAnsi="Arial"/>
          <w:color w:val="525252"/>
          <w:sz w:val="13"/>
        </w:rPr>
        <w:t>Defense Health Agency.</w:t>
      </w:r>
    </w:p>
    <w:p>
      <w:pPr>
        <w:spacing w:after="20" w:line="223" w:lineRule="auto"/>
        <w:jc w:val="right"/>
        <w:bidi/>
      </w:pPr>
      <w:r>
        <w:rPr>
          <w:rFonts w:ascii="Arial" w:hAnsi="Arial"/>
          <w:sz w:val="16"/>
        </w:rPr>
        <w:t>423.17  آژانس بهداشت دفاعی یک آژانس پشتیبانی رزمی مشترک و یکپارچه در سیستم بهداشت نظامی است که ارتش، نیروی دریایی و خدمات پزشکی ایالات متحده آمریکا را قادر می‌سازد تا نیروی آماده پزشکی و نیروی پزشکی آماده را برای CCMD ها در زمان صلح و زمان جنگ فراهم کنند.</w:t>
      </w:r>
    </w:p>
    <w:p>
      <w:pPr>
        <w:spacing w:after="28" w:line="216" w:lineRule="auto"/>
        <w:ind w:left="259"/>
        <w:jc w:val="left"/>
      </w:pPr>
      <w:r>
        <w:rPr>
          <w:rFonts w:ascii="Arial" w:hAnsi="Arial"/>
          <w:color w:val="525252"/>
          <w:sz w:val="13"/>
        </w:rPr>
        <w:t>The Defense Health Agency is a joint, integrated combat support agency within the military health system that enables the Army, Navy, and USAF medical services to provide a medically ready force and ready medical force to CCMDs in both peacetime and wartime.</w:t>
      </w:r>
    </w:p>
    <w:p>
      <w:pPr>
        <w:spacing w:after="20" w:line="223" w:lineRule="auto"/>
        <w:jc w:val="right"/>
        <w:bidi/>
      </w:pPr>
      <w:r>
        <w:rPr>
          <w:rFonts w:ascii="Arial" w:hAnsi="Arial"/>
          <w:sz w:val="16"/>
        </w:rPr>
        <w:t>423.18  آژانس بهداشت دفاعی از ارائه خدمات بهداشتی یکپارچه، مقرون به صرفه و باکیفیت به ذینفعان نظام سلامت ارتش پشتیبانی می‌کند و مسئول ایجاد یکپارچگی بیشتر فرآیندهای بالینی و تجاری در سراسر سیستم بهداشت نظامی است.</w:t>
      </w:r>
    </w:p>
    <w:p>
      <w:pPr>
        <w:spacing w:after="28" w:line="216" w:lineRule="auto"/>
        <w:ind w:left="259"/>
        <w:jc w:val="left"/>
      </w:pPr>
      <w:r>
        <w:rPr>
          <w:rFonts w:ascii="Arial" w:hAnsi="Arial"/>
          <w:color w:val="525252"/>
          <w:sz w:val="13"/>
        </w:rPr>
        <w:t>The Defense Health Agency supports the delivery of integrated, affordable, and high- quality health services to military health system beneficiaries and is responsible for driving greater integration of clinical and business processes across the military health system.</w:t>
      </w:r>
    </w:p>
    <w:p>
      <w:pPr>
        <w:spacing w:before="60" w:after="28"/>
        <w:jc w:val="right"/>
        <w:bidi/>
      </w:pPr>
      <w:r>
        <w:rPr>
          <w:b/>
          <w:color w:val="1F4D78"/>
          <w:sz w:val="18"/>
        </w:rPr>
        <w:t>22.40. خدمات پزشکی نیروی هوایی</w:t>
      </w:r>
    </w:p>
    <w:p>
      <w:pPr>
        <w:spacing w:after="20"/>
        <w:ind w:left="259"/>
        <w:jc w:val="left"/>
      </w:pPr>
      <w:r>
        <w:rPr>
          <w:color w:val="555555"/>
          <w:sz w:val="12"/>
        </w:rPr>
        <w:t>22.40. Air Force Medical Service</w:t>
      </w:r>
    </w:p>
    <w:p>
      <w:pPr>
        <w:spacing w:after="20" w:line="223" w:lineRule="auto"/>
        <w:jc w:val="right"/>
        <w:bidi/>
      </w:pPr>
      <w:r>
        <w:rPr>
          <w:rFonts w:ascii="Arial" w:hAnsi="Arial"/>
          <w:sz w:val="16"/>
        </w:rPr>
        <w:t>423.20  به‌طور خاص، مأموریت خدمات پزشکی نیروی هوایی این است که نیروهای دارای آمادگی پزشکی را فعال کند، پزشکان اعزامی را فراهم کند و سلامت همه کسانی را که برای رفع نیازهای کشور ما خدمت می‌کنند، بهبود بخشد.</w:t>
      </w:r>
    </w:p>
    <w:p>
      <w:pPr>
        <w:spacing w:after="28" w:line="216" w:lineRule="auto"/>
        <w:ind w:left="259"/>
        <w:jc w:val="left"/>
      </w:pPr>
      <w:r>
        <w:rPr>
          <w:rFonts w:ascii="Arial" w:hAnsi="Arial"/>
          <w:color w:val="525252"/>
          <w:sz w:val="13"/>
        </w:rPr>
        <w:t>Specifically, the Air Force Medical Service’s mission is to enable medically fit forces, provide expeditionary medics, and improve the health of all who serve to meet our nation’s needs.</w:t>
      </w:r>
    </w:p>
    <w:p>
      <w:pPr>
        <w:spacing w:after="20" w:line="223" w:lineRule="auto"/>
        <w:jc w:val="right"/>
        <w:bidi/>
      </w:pPr>
      <w:r>
        <w:rPr>
          <w:rFonts w:ascii="Arial" w:hAnsi="Arial"/>
          <w:sz w:val="16"/>
        </w:rPr>
        <w:t>423.21  چشم انداز خدمات پزشکی نیروی هوایی این است که اطمینان حاصل کند که بیماران تا سال ۲۰۲۵ "سالم‌ترین و با عملکرد بالاترین بخش ایالات متحده" هستند. چهار هدف اصلی این سرویس عبارتند از: ارتقا و حفظ نیروی سالم و مناسب، پیشگیری از بیماری و آسیب، بازیابی سلامت و بهینه‌سازی عملکرد انسان.</w:t>
      </w:r>
    </w:p>
    <w:p>
      <w:pPr>
        <w:spacing w:after="28" w:line="216" w:lineRule="auto"/>
        <w:ind w:left="259"/>
        <w:jc w:val="left"/>
      </w:pPr>
      <w:r>
        <w:rPr>
          <w:rFonts w:ascii="Arial" w:hAnsi="Arial"/>
          <w:color w:val="525252"/>
          <w:sz w:val="13"/>
        </w:rPr>
        <w:t>The Air Force Medical Service’s vision is to ensure that patients are the “Healthiest and Highest Performing Segment of the United States by 2025.” The service’s four primary objectives are: promote and sustain a healthy and fit force, prevent illness and injury, restore health, and optimize human performance.</w:t>
      </w:r>
    </w:p>
    <w:p>
      <w:pPr>
        <w:spacing w:after="20" w:line="223" w:lineRule="auto"/>
        <w:jc w:val="right"/>
        <w:bidi/>
      </w:pPr>
      <w:r>
        <w:rPr>
          <w:rFonts w:ascii="Arial" w:hAnsi="Arial"/>
          <w:sz w:val="16"/>
        </w:rPr>
        <w:t>423.22  به‌طور فزاینده‌ای از آن خواسته می‌شود تا قابلیت‌های پزشکی را در طیف وسیعی از عملیات‌های نظامی، متشکل از عملیات‌های نظامی-نظامی، مشارکت بهداشت جهانی، یا کمک‌های بشردوستانه/امدادرسانی به بلایا، به‌عنوان بخشی از عملیات مشترک یا چند ملیتی ارائه دهد.</w:t>
      </w:r>
    </w:p>
    <w:p>
      <w:pPr>
        <w:spacing w:after="28" w:line="216" w:lineRule="auto"/>
        <w:ind w:left="259"/>
        <w:jc w:val="left"/>
      </w:pPr>
      <w:r>
        <w:rPr>
          <w:rFonts w:ascii="Arial" w:hAnsi="Arial"/>
          <w:color w:val="525252"/>
          <w:sz w:val="13"/>
        </w:rPr>
        <w:t>It is increasingly called upon to deliver medical capabilities throughout the range of military operations, consisting of civil-military operations, global health engagement, or humanitarian assistance/disaster relief, as part of joint or multinational operations.</w:t>
      </w:r>
    </w:p>
    <w:p>
      <w:r>
        <w:br w:type="page"/>
      </w:r>
    </w:p>
    <w:p>
      <w:pPr>
        <w:spacing w:after="60"/>
        <w:jc w:val="right"/>
        <w:bidi/>
      </w:pPr>
      <w:r>
        <w:rPr>
          <w:rFonts w:ascii="Arial" w:hAnsi="Arial"/>
          <w:b/>
          <w:color w:val="1F4D78"/>
          <w:sz w:val="19"/>
        </w:rPr>
        <w:t>هفتهٔ 424  |  صفحهٔ منبع: 440</w:t>
      </w:r>
    </w:p>
    <w:p>
      <w:pPr>
        <w:spacing w:before="60" w:after="28"/>
        <w:jc w:val="right"/>
        <w:bidi/>
      </w:pPr>
      <w:r>
        <w:rPr>
          <w:b/>
          <w:color w:val="1F4D78"/>
          <w:sz w:val="18"/>
        </w:rPr>
        <w:t>فصل 23</w:t>
      </w:r>
    </w:p>
    <w:p>
      <w:pPr>
        <w:spacing w:after="20"/>
        <w:ind w:left="259"/>
        <w:jc w:val="left"/>
      </w:pPr>
      <w:r>
        <w:rPr>
          <w:color w:val="555555"/>
          <w:sz w:val="12"/>
        </w:rPr>
        <w:t>Chapter 23</w:t>
      </w:r>
    </w:p>
    <w:p>
      <w:pPr>
        <w:spacing w:before="60" w:after="28"/>
        <w:jc w:val="right"/>
        <w:bidi/>
      </w:pPr>
      <w:r>
        <w:rPr>
          <w:b/>
          <w:color w:val="1F4D78"/>
          <w:sz w:val="18"/>
        </w:rPr>
        <w:t>لباس و ظاهر</w:t>
      </w:r>
    </w:p>
    <w:p>
      <w:pPr>
        <w:spacing w:after="20"/>
        <w:ind w:left="259"/>
        <w:jc w:val="left"/>
      </w:pPr>
      <w:r>
        <w:rPr>
          <w:color w:val="555555"/>
          <w:sz w:val="12"/>
        </w:rPr>
        <w:t>DRESS AND APPEARANCE</w:t>
      </w:r>
    </w:p>
    <w:p>
      <w:pPr>
        <w:spacing w:before="60" w:after="28"/>
        <w:jc w:val="right"/>
        <w:bidi/>
      </w:pPr>
      <w:r>
        <w:rPr>
          <w:b/>
          <w:color w:val="1F4D78"/>
          <w:sz w:val="18"/>
        </w:rPr>
        <w:t>بخش 23A—تصویر حرفه ای</w:t>
      </w:r>
    </w:p>
    <w:p>
      <w:pPr>
        <w:spacing w:after="20"/>
        <w:ind w:left="259"/>
        <w:jc w:val="left"/>
      </w:pPr>
      <w:r>
        <w:rPr>
          <w:color w:val="555555"/>
          <w:sz w:val="12"/>
        </w:rPr>
        <w:t>Section 23A—Professional Image</w:t>
      </w:r>
    </w:p>
    <w:p>
      <w:pPr>
        <w:spacing w:before="60" w:after="28"/>
        <w:jc w:val="right"/>
        <w:bidi/>
      </w:pPr>
      <w:r>
        <w:rPr>
          <w:b/>
          <w:color w:val="1F4D78"/>
          <w:sz w:val="18"/>
        </w:rPr>
        <w:t>23.1. تصویر نظامی حرفه ای</w:t>
      </w:r>
    </w:p>
    <w:p>
      <w:pPr>
        <w:spacing w:after="20"/>
        <w:ind w:left="259"/>
        <w:jc w:val="left"/>
      </w:pPr>
      <w:r>
        <w:rPr>
          <w:color w:val="555555"/>
          <w:sz w:val="12"/>
        </w:rPr>
        <w:t>23.1. Professional Military Image</w:t>
      </w:r>
    </w:p>
    <w:p>
      <w:pPr>
        <w:spacing w:after="20" w:line="223" w:lineRule="auto"/>
        <w:jc w:val="right"/>
        <w:bidi/>
      </w:pPr>
      <w:r>
        <w:rPr>
          <w:rFonts w:ascii="Arial" w:hAnsi="Arial"/>
          <w:sz w:val="16"/>
        </w:rPr>
        <w:t>424.05  طبق AFI ۱-۱، اولین برداشت‌ها اغلب بر اساس ظاهر ترسیم می‌شوند.</w:t>
      </w:r>
    </w:p>
    <w:p>
      <w:pPr>
        <w:spacing w:after="28" w:line="216" w:lineRule="auto"/>
        <w:ind w:left="259"/>
        <w:jc w:val="left"/>
      </w:pPr>
      <w:r>
        <w:rPr>
          <w:rFonts w:ascii="Arial" w:hAnsi="Arial"/>
          <w:color w:val="525252"/>
          <w:sz w:val="13"/>
        </w:rPr>
        <w:t>According to AFI 1-1, first impressions are often drawn based upon appearance.</w:t>
      </w:r>
    </w:p>
    <w:p>
      <w:pPr>
        <w:spacing w:after="20" w:line="223" w:lineRule="auto"/>
        <w:jc w:val="right"/>
        <w:bidi/>
      </w:pPr>
      <w:r>
        <w:rPr>
          <w:rFonts w:ascii="Arial" w:hAnsi="Arial"/>
          <w:sz w:val="16"/>
        </w:rPr>
        <w:t>424.06  برای اعضای نظامی، ارائه یک تصویر حرفه‌ای به اندازه رفتار حرفه‌ای اهمیت دارد.</w:t>
      </w:r>
    </w:p>
    <w:p>
      <w:pPr>
        <w:spacing w:after="28" w:line="216" w:lineRule="auto"/>
        <w:ind w:left="259"/>
        <w:jc w:val="left"/>
      </w:pPr>
      <w:r>
        <w:rPr>
          <w:rFonts w:ascii="Arial" w:hAnsi="Arial"/>
          <w:color w:val="525252"/>
          <w:sz w:val="13"/>
        </w:rPr>
        <w:t>For military members, presenting a professional image matters just as much as professional behavior.</w:t>
      </w:r>
    </w:p>
    <w:p>
      <w:pPr>
        <w:spacing w:after="20" w:line="223" w:lineRule="auto"/>
        <w:jc w:val="right"/>
        <w:bidi/>
      </w:pPr>
      <w:r>
        <w:rPr>
          <w:rFonts w:ascii="Arial" w:hAnsi="Arial"/>
          <w:sz w:val="16"/>
        </w:rPr>
        <w:t>424.07  غرور در ظاهر شخصی و پوشیدن یونیفورم، به میزان قابل توجهی باعث تقویت روحیه ضروری برای یک نیروی نظامی مؤثر می‌شود.</w:t>
      </w:r>
    </w:p>
    <w:p>
      <w:pPr>
        <w:spacing w:after="28" w:line="216" w:lineRule="auto"/>
        <w:ind w:left="259"/>
        <w:jc w:val="left"/>
      </w:pPr>
      <w:r>
        <w:rPr>
          <w:rFonts w:ascii="Arial" w:hAnsi="Arial"/>
          <w:color w:val="525252"/>
          <w:sz w:val="13"/>
        </w:rPr>
        <w:t>Pride in one’s personal appearance and uniform wear greatly enhances the esprit-de-corps essential to an effective military force.</w:t>
      </w:r>
    </w:p>
    <w:p>
      <w:pPr>
        <w:spacing w:after="20" w:line="223" w:lineRule="auto"/>
        <w:jc w:val="right"/>
        <w:bidi/>
      </w:pPr>
      <w:r>
        <w:rPr>
          <w:rFonts w:ascii="Arial" w:hAnsi="Arial"/>
          <w:sz w:val="16"/>
        </w:rPr>
        <w:t>424.08  ارائه یک تصویر نظامی حرفه‌ای نه تنها بر روی فرد، بلکه در نیروی هوایی ایالات متحده، هم در حین و هم در خارج از وظیفه منعکس می‌شود.</w:t>
      </w:r>
    </w:p>
    <w:p>
      <w:pPr>
        <w:spacing w:after="28" w:line="216" w:lineRule="auto"/>
        <w:ind w:left="259"/>
        <w:jc w:val="left"/>
      </w:pPr>
      <w:r>
        <w:rPr>
          <w:rFonts w:ascii="Arial" w:hAnsi="Arial"/>
          <w:color w:val="525252"/>
          <w:sz w:val="13"/>
        </w:rPr>
        <w:t>Projecting a professional military image reflects not only on the individual, but also on the USAF, both on- and off duty.</w:t>
      </w:r>
    </w:p>
    <w:p>
      <w:pPr>
        <w:spacing w:after="20" w:line="223" w:lineRule="auto"/>
        <w:jc w:val="right"/>
        <w:bidi/>
      </w:pPr>
      <w:r>
        <w:rPr>
          <w:rFonts w:ascii="Arial" w:hAnsi="Arial"/>
          <w:sz w:val="16"/>
        </w:rPr>
        <w:t>424.09  اگرچه این فهرست شامل همه چیز نیست، انتظارات زیر را برای به تصویر کشیدن یک تصویر حرفه‌ای در نظر داشته باشید.</w:t>
      </w:r>
    </w:p>
    <w:p>
      <w:pPr>
        <w:spacing w:after="28" w:line="216" w:lineRule="auto"/>
        <w:ind w:left="259"/>
        <w:jc w:val="left"/>
      </w:pPr>
      <w:r>
        <w:rPr>
          <w:rFonts w:ascii="Arial" w:hAnsi="Arial"/>
          <w:color w:val="525252"/>
          <w:sz w:val="13"/>
        </w:rPr>
        <w:t>While this list is not all inclusive, keep the following expectations in mind for portraying a professional image.</w:t>
      </w:r>
    </w:p>
    <w:p>
      <w:pPr>
        <w:spacing w:after="20" w:line="223" w:lineRule="auto"/>
        <w:jc w:val="right"/>
        <w:bidi/>
      </w:pPr>
      <w:r>
        <w:rPr>
          <w:rFonts w:ascii="Arial" w:hAnsi="Arial"/>
          <w:sz w:val="16"/>
        </w:rPr>
        <w:t>424.10  هنگام پوشیدن لباس، از سیگار کشیدن و استفاده از محصولات تنباکوی بدون دود خودداری کنید، مگر در مواردی که مجاز است در مکان‌های مخصوص سیگار کشیدن مجاز باشد.</w:t>
      </w:r>
    </w:p>
    <w:p>
      <w:pPr>
        <w:spacing w:after="28" w:line="216" w:lineRule="auto"/>
        <w:ind w:left="259"/>
        <w:jc w:val="left"/>
      </w:pPr>
      <w:r>
        <w:rPr>
          <w:rFonts w:ascii="Arial" w:hAnsi="Arial"/>
          <w:color w:val="525252"/>
          <w:sz w:val="13"/>
        </w:rPr>
        <w:t>When in uniform, do not smoke or use smokeless tobacco products, except when authorized in designated smoking areas.</w:t>
      </w:r>
    </w:p>
    <w:p>
      <w:pPr>
        <w:spacing w:after="20" w:line="223" w:lineRule="auto"/>
        <w:jc w:val="right"/>
        <w:bidi/>
      </w:pPr>
      <w:r>
        <w:rPr>
          <w:rFonts w:ascii="Arial" w:hAnsi="Arial"/>
          <w:sz w:val="16"/>
        </w:rPr>
        <w:t>424.11  استفاده از وسایل الکترونیکی شخصی از جمله تلفن همراه، گوشی، بلندگو یا پیامک هنگام راه رفتن با لباس فرم مجاز است.</w:t>
      </w:r>
    </w:p>
    <w:p>
      <w:pPr>
        <w:spacing w:after="28" w:line="216" w:lineRule="auto"/>
        <w:ind w:left="259"/>
        <w:jc w:val="left"/>
      </w:pPr>
      <w:r>
        <w:rPr>
          <w:rFonts w:ascii="Arial" w:hAnsi="Arial"/>
          <w:color w:val="525252"/>
          <w:sz w:val="13"/>
        </w:rPr>
        <w:t>Use of personal electronic media devices, including cellular phones, earpieces, speaker phones, or text messaging while walking in uniform is authorized.</w:t>
      </w:r>
    </w:p>
    <w:p>
      <w:pPr>
        <w:spacing w:after="20" w:line="223" w:lineRule="auto"/>
        <w:jc w:val="right"/>
        <w:bidi/>
      </w:pPr>
      <w:r>
        <w:rPr>
          <w:rFonts w:ascii="Arial" w:hAnsi="Arial"/>
          <w:sz w:val="16"/>
        </w:rPr>
        <w:t>424.12  آداب و رسوم و ادب نظامی اولویت دارد.</w:t>
      </w:r>
    </w:p>
    <w:p>
      <w:pPr>
        <w:spacing w:after="28" w:line="216" w:lineRule="auto"/>
        <w:ind w:left="259"/>
        <w:jc w:val="left"/>
      </w:pPr>
      <w:r>
        <w:rPr>
          <w:rFonts w:ascii="Arial" w:hAnsi="Arial"/>
          <w:color w:val="525252"/>
          <w:sz w:val="13"/>
        </w:rPr>
        <w:t>Military customs and courtesies take precedence.</w:t>
      </w:r>
    </w:p>
    <w:p>
      <w:pPr>
        <w:spacing w:after="20" w:line="223" w:lineRule="auto"/>
        <w:jc w:val="right"/>
        <w:bidi/>
      </w:pPr>
      <w:r>
        <w:rPr>
          <w:rFonts w:ascii="Arial" w:hAnsi="Arial"/>
          <w:sz w:val="16"/>
        </w:rPr>
        <w:t>424.13  هنگام راه رفتن با لباس فرم غذا مصرف نکنید.</w:t>
      </w:r>
    </w:p>
    <w:p>
      <w:pPr>
        <w:spacing w:after="28" w:line="216" w:lineRule="auto"/>
        <w:ind w:left="259"/>
        <w:jc w:val="left"/>
      </w:pPr>
      <w:r>
        <w:rPr>
          <w:rFonts w:ascii="Arial" w:hAnsi="Arial"/>
          <w:color w:val="525252"/>
          <w:sz w:val="13"/>
        </w:rPr>
        <w:t>Do not consume food while walking in uniform.</w:t>
      </w:r>
    </w:p>
    <w:p>
      <w:pPr>
        <w:spacing w:after="20" w:line="223" w:lineRule="auto"/>
        <w:jc w:val="right"/>
        <w:bidi/>
      </w:pPr>
      <w:r>
        <w:rPr>
          <w:rFonts w:ascii="Arial" w:hAnsi="Arial"/>
          <w:sz w:val="16"/>
        </w:rPr>
        <w:t>424.14  مصرف نوشیدنی مجاز است.</w:t>
      </w:r>
    </w:p>
    <w:p>
      <w:pPr>
        <w:spacing w:after="28" w:line="216" w:lineRule="auto"/>
        <w:ind w:left="259"/>
        <w:jc w:val="left"/>
      </w:pPr>
      <w:r>
        <w:rPr>
          <w:rFonts w:ascii="Arial" w:hAnsi="Arial"/>
          <w:color w:val="525252"/>
          <w:sz w:val="13"/>
        </w:rPr>
        <w:t>Beverage consumption is authorized.</w:t>
      </w:r>
    </w:p>
    <w:p>
      <w:pPr>
        <w:spacing w:after="20" w:line="223" w:lineRule="auto"/>
        <w:jc w:val="right"/>
        <w:bidi/>
      </w:pPr>
      <w:r>
        <w:rPr>
          <w:rFonts w:ascii="Arial" w:hAnsi="Arial"/>
          <w:sz w:val="16"/>
        </w:rPr>
        <w:t>424.15  فرماندهان ممکن است مصرف غذا را در حین راه رفتن با لباس متحدالشکل در طول عملکردهای ویژه مجاز کنند.</w:t>
      </w:r>
    </w:p>
    <w:p>
      <w:pPr>
        <w:spacing w:after="28" w:line="216" w:lineRule="auto"/>
        <w:ind w:left="259"/>
        <w:jc w:val="left"/>
      </w:pPr>
      <w:r>
        <w:rPr>
          <w:rFonts w:ascii="Arial" w:hAnsi="Arial"/>
          <w:color w:val="525252"/>
          <w:sz w:val="13"/>
        </w:rPr>
        <w:t>Commanders may authorize food consumption while walking in uniform during special functions.</w:t>
      </w:r>
    </w:p>
    <w:p>
      <w:pPr>
        <w:spacing w:after="20" w:line="223" w:lineRule="auto"/>
        <w:jc w:val="right"/>
        <w:bidi/>
      </w:pPr>
      <w:r>
        <w:rPr>
          <w:rFonts w:ascii="Arial" w:hAnsi="Arial"/>
          <w:sz w:val="16"/>
        </w:rPr>
        <w:t>424.16  آداب و رسوم و ادب نظامی اولویت دارد.</w:t>
      </w:r>
    </w:p>
    <w:p>
      <w:pPr>
        <w:spacing w:after="28" w:line="216" w:lineRule="auto"/>
        <w:ind w:left="259"/>
        <w:jc w:val="left"/>
      </w:pPr>
      <w:r>
        <w:rPr>
          <w:rFonts w:ascii="Arial" w:hAnsi="Arial"/>
          <w:color w:val="525252"/>
          <w:sz w:val="13"/>
        </w:rPr>
        <w:t>Military customs and courtesies take precedence.</w:t>
      </w:r>
    </w:p>
    <w:p>
      <w:pPr>
        <w:spacing w:after="20" w:line="223" w:lineRule="auto"/>
        <w:jc w:val="right"/>
        <w:bidi/>
      </w:pPr>
      <w:r>
        <w:rPr>
          <w:rFonts w:ascii="Arial" w:hAnsi="Arial"/>
          <w:sz w:val="16"/>
        </w:rPr>
        <w:t>424.17  در نمایش عمومی محبت شرکت نکنید، مگر در مواردی که برای مدت کوتاهی مجاز است در شرایطی که تماس فیزیکی یک آداب پذیرفته شده معمول است، مانند مراسم عروسی، فارغ‌التحصیلی، ترفیع، مراسم بازنشستگی، یا هنگام خروج یا بازگشت از اعزام.</w:t>
      </w:r>
    </w:p>
    <w:p>
      <w:pPr>
        <w:spacing w:after="28" w:line="216" w:lineRule="auto"/>
        <w:ind w:left="259"/>
        <w:jc w:val="left"/>
      </w:pPr>
      <w:r>
        <w:rPr>
          <w:rFonts w:ascii="Arial" w:hAnsi="Arial"/>
          <w:color w:val="525252"/>
          <w:sz w:val="13"/>
        </w:rPr>
        <w:t>Do not engage in public displays of affection, except when briefly permitted in situations where physical contact is a commonly accepted etiquette, such as weddings, graduations, promotions, retirement ceremonies, or upon departure for or return from deployment.</w:t>
      </w:r>
    </w:p>
    <w:p>
      <w:pPr>
        <w:spacing w:before="60" w:after="28"/>
        <w:jc w:val="right"/>
        <w:bidi/>
      </w:pPr>
      <w:r>
        <w:rPr>
          <w:b/>
          <w:color w:val="1F4D78"/>
          <w:sz w:val="18"/>
        </w:rPr>
        <w:t>23.2. استانداردهای لباس و ظاهر شخصی</w:t>
      </w:r>
    </w:p>
    <w:p>
      <w:pPr>
        <w:spacing w:after="20"/>
        <w:ind w:left="259"/>
        <w:jc w:val="left"/>
      </w:pPr>
      <w:r>
        <w:rPr>
          <w:color w:val="555555"/>
          <w:sz w:val="12"/>
        </w:rPr>
        <w:t>23.2. Dress and Personal Appearance Standards</w:t>
      </w:r>
    </w:p>
    <w:p>
      <w:pPr>
        <w:spacing w:after="20" w:line="223" w:lineRule="auto"/>
        <w:jc w:val="right"/>
        <w:bidi/>
      </w:pPr>
      <w:r>
        <w:rPr>
          <w:rFonts w:ascii="Arial" w:hAnsi="Arial"/>
          <w:sz w:val="16"/>
        </w:rPr>
        <w:t>424.19  استانداردهای لباس و ظاهر شخصی ایجاد شده است تا اطمینان حاصل شود که هر هواپیمایی منعکس کننده غرور در ظاهر شخصی، حرفه‌ای بودن و روحیه بدن است.</w:t>
      </w:r>
    </w:p>
    <w:p>
      <w:pPr>
        <w:spacing w:after="28" w:line="216" w:lineRule="auto"/>
        <w:ind w:left="259"/>
        <w:jc w:val="left"/>
      </w:pPr>
      <w:r>
        <w:rPr>
          <w:rFonts w:ascii="Arial" w:hAnsi="Arial"/>
          <w:color w:val="525252"/>
          <w:sz w:val="13"/>
        </w:rPr>
        <w:t>Dress and personal appearance standards are established to ensure every Airman reflects pride in personal appearance, professionalism, and esprit de corps.</w:t>
      </w:r>
    </w:p>
    <w:p>
      <w:pPr>
        <w:spacing w:after="20" w:line="223" w:lineRule="auto"/>
        <w:jc w:val="right"/>
        <w:bidi/>
      </w:pPr>
      <w:r>
        <w:rPr>
          <w:rFonts w:ascii="Arial" w:hAnsi="Arial"/>
          <w:sz w:val="16"/>
        </w:rPr>
        <w:t>424.20  که عمیقا در میراث USAF ما ریشه دارد، استانداردهای لباس و ظاهر ما نمونه‌های قابل مشاهده‌ای از انضباط شخصی، تعهد و تمایل به کنار گذاشتن فردیت برای بهبود کل را ارائه می‌دهد.</w:t>
      </w:r>
    </w:p>
    <w:p>
      <w:pPr>
        <w:spacing w:after="28" w:line="216" w:lineRule="auto"/>
        <w:ind w:left="259"/>
        <w:jc w:val="left"/>
      </w:pPr>
      <w:r>
        <w:rPr>
          <w:rFonts w:ascii="Arial" w:hAnsi="Arial"/>
          <w:color w:val="525252"/>
          <w:sz w:val="13"/>
        </w:rPr>
        <w:t>Deeply rooted in our USAF heritage, our dress and appearance standards provide visible examples of self-discipline, commitment, and a willingness to set aside individuality for the betterment of the whole.</w:t>
      </w:r>
    </w:p>
    <w:p>
      <w:pPr>
        <w:spacing w:after="20" w:line="223" w:lineRule="auto"/>
        <w:jc w:val="right"/>
        <w:bidi/>
      </w:pPr>
      <w:r>
        <w:rPr>
          <w:rFonts w:ascii="Arial" w:hAnsi="Arial"/>
          <w:sz w:val="16"/>
        </w:rPr>
        <w:t>424.21  همانطور که در DAFI ۳۶-۲۹۰۳، لباس و ظاهر شخصی پرسنل نیروی هوایی ایالات متحده و نیروی فضایی ایالات متحده مشخص شده است، استانداردهای لباس و ظاهر شخصی شامل پنج عنصر است: آراستگی، تمیزی، ایمنی، یکنواختی و تصویر نظامی.</w:t>
      </w:r>
    </w:p>
    <w:p>
      <w:pPr>
        <w:spacing w:after="28" w:line="216" w:lineRule="auto"/>
        <w:ind w:left="259"/>
        <w:jc w:val="left"/>
      </w:pPr>
      <w:r>
        <w:rPr>
          <w:rFonts w:ascii="Arial" w:hAnsi="Arial"/>
          <w:color w:val="525252"/>
          <w:sz w:val="13"/>
        </w:rPr>
        <w:t>As outlined in DAFI 36- 2903, Dress and Personal Appearance of United States Air Force and United States Space Force Personnel, standards of dress and personal appearance consist of five elements: neatness, cleanliness, safety, uniformity, and military image.</w:t>
      </w:r>
    </w:p>
    <w:p>
      <w:pPr>
        <w:spacing w:after="20" w:line="223" w:lineRule="auto"/>
        <w:jc w:val="right"/>
        <w:bidi/>
      </w:pPr>
      <w:r>
        <w:rPr>
          <w:rFonts w:ascii="Arial" w:hAnsi="Arial"/>
          <w:sz w:val="16"/>
        </w:rPr>
        <w:t>424.22  مسئولیت هر هواپیمای بدون در نظر گرفتن موقعیت یا رتبه، رعایت و اجرای محترمانه استانداردهای تجویز شده است.</w:t>
      </w:r>
    </w:p>
    <w:p>
      <w:pPr>
        <w:spacing w:after="28" w:line="216" w:lineRule="auto"/>
        <w:ind w:left="259"/>
        <w:jc w:val="left"/>
      </w:pPr>
      <w:r>
        <w:rPr>
          <w:rFonts w:ascii="Arial" w:hAnsi="Arial"/>
          <w:color w:val="525252"/>
          <w:sz w:val="13"/>
        </w:rPr>
        <w:t>It is every Airman’s responsibility, regardless of position or rank, to comply with and respectfully enforce the prescribed standards.</w:t>
      </w:r>
    </w:p>
    <w:p>
      <w:pPr>
        <w:spacing w:after="20" w:line="223" w:lineRule="auto"/>
        <w:jc w:val="right"/>
        <w:bidi/>
      </w:pPr>
      <w:r>
        <w:rPr>
          <w:rFonts w:ascii="Arial" w:hAnsi="Arial"/>
          <w:sz w:val="16"/>
        </w:rPr>
        <w:t>424.23  توجه: استانداردهای محدودتر در مورد ظاهر شخصی ممکن است در حین یا خارج از وظیفه برای کسانی که الزامات مأموریت ویژه بسیار قابل مشاهده را انجام می‌دهند یا برای کسانی که در موقعیت‌های وظیفه ویژه هستند اعمال شود.</w:t>
      </w:r>
    </w:p>
    <w:p>
      <w:pPr>
        <w:spacing w:after="28" w:line="216" w:lineRule="auto"/>
        <w:ind w:left="259"/>
        <w:jc w:val="left"/>
      </w:pPr>
      <w:r>
        <w:rPr>
          <w:rFonts w:ascii="Arial" w:hAnsi="Arial"/>
          <w:color w:val="525252"/>
          <w:sz w:val="13"/>
        </w:rPr>
        <w:t>Note: More restrictive standards regarding personal appearance maybe imposed on- or off-duty for those performing highly visible special mission requirements, or for those in special duty positions.</w:t>
      </w:r>
    </w:p>
    <w:p>
      <w:pPr>
        <w:spacing w:before="60" w:after="28"/>
        <w:jc w:val="right"/>
        <w:bidi/>
      </w:pPr>
      <w:r>
        <w:rPr>
          <w:b/>
          <w:color w:val="1F4D78"/>
          <w:sz w:val="18"/>
        </w:rPr>
        <w:t>23.3. استانداردهای مو</w:t>
      </w:r>
    </w:p>
    <w:p>
      <w:pPr>
        <w:spacing w:after="20"/>
        <w:ind w:left="259"/>
        <w:jc w:val="left"/>
      </w:pPr>
      <w:r>
        <w:rPr>
          <w:color w:val="555555"/>
          <w:sz w:val="12"/>
        </w:rPr>
        <w:t>23.3. Hair Standards</w:t>
      </w:r>
    </w:p>
    <w:p>
      <w:pPr>
        <w:spacing w:after="20" w:line="223" w:lineRule="auto"/>
        <w:jc w:val="right"/>
        <w:bidi/>
      </w:pPr>
      <w:r>
        <w:rPr>
          <w:rFonts w:ascii="Arial" w:hAnsi="Arial"/>
          <w:sz w:val="16"/>
        </w:rPr>
        <w:t>424.25  مو.</w:t>
      </w:r>
    </w:p>
    <w:p>
      <w:pPr>
        <w:spacing w:after="28" w:line="216" w:lineRule="auto"/>
        <w:ind w:left="259"/>
        <w:jc w:val="left"/>
      </w:pPr>
      <w:r>
        <w:rPr>
          <w:rFonts w:ascii="Arial" w:hAnsi="Arial"/>
          <w:color w:val="525252"/>
          <w:sz w:val="13"/>
        </w:rPr>
        <w:t>Hair.</w:t>
      </w:r>
    </w:p>
    <w:p>
      <w:pPr>
        <w:spacing w:after="20" w:line="223" w:lineRule="auto"/>
        <w:jc w:val="right"/>
        <w:bidi/>
      </w:pPr>
      <w:r>
        <w:rPr>
          <w:rFonts w:ascii="Arial" w:hAnsi="Arial"/>
          <w:sz w:val="16"/>
        </w:rPr>
        <w:t>424.26  محافظه کار، تمیز، آراسته، ظاهری حرفه‌ای خواهد بود.</w:t>
      </w:r>
    </w:p>
    <w:p>
      <w:pPr>
        <w:spacing w:after="28" w:line="216" w:lineRule="auto"/>
        <w:ind w:left="259"/>
        <w:jc w:val="left"/>
      </w:pPr>
      <w:r>
        <w:rPr>
          <w:rFonts w:ascii="Arial" w:hAnsi="Arial"/>
          <w:color w:val="525252"/>
          <w:sz w:val="13"/>
        </w:rPr>
        <w:t>Will be conservative, clean, well-groomed, present a professional appearance.</w:t>
      </w:r>
    </w:p>
    <w:p>
      <w:pPr>
        <w:spacing w:after="20" w:line="223" w:lineRule="auto"/>
        <w:jc w:val="right"/>
        <w:bidi/>
      </w:pPr>
      <w:r>
        <w:rPr>
          <w:rFonts w:ascii="Arial" w:hAnsi="Arial"/>
          <w:sz w:val="16"/>
        </w:rPr>
        <w:t>424.27  صرف نظر از مدل مو، موها نباید از طول و حجم استاندارد بیشتر شود و از پوشیدن مناسب روسری، کلاه ایمنی یا ماسک شیمیایی برای مطابقت با الزامات ایمنی اطمینان حاصل کنید.</w:t>
      </w:r>
    </w:p>
    <w:p>
      <w:pPr>
        <w:spacing w:after="28" w:line="216" w:lineRule="auto"/>
        <w:ind w:left="259"/>
        <w:jc w:val="left"/>
      </w:pPr>
      <w:r>
        <w:rPr>
          <w:rFonts w:ascii="Arial" w:hAnsi="Arial"/>
          <w:color w:val="525252"/>
          <w:sz w:val="13"/>
        </w:rPr>
        <w:t>Regardless of hairstyle, hair must not exceed length and bulk standard, and ensure proper wear of headgear, helmet, or chemical mask to conform to safety requirements.</w:t>
      </w:r>
    </w:p>
    <w:p>
      <w:pPr>
        <w:spacing w:after="20" w:line="223" w:lineRule="auto"/>
        <w:jc w:val="right"/>
        <w:bidi/>
      </w:pPr>
      <w:r>
        <w:rPr>
          <w:rFonts w:ascii="Arial" w:hAnsi="Arial"/>
          <w:sz w:val="16"/>
        </w:rPr>
        <w:t>424.28  حاوی مقادیر بیش از حد مواد کمکی نظافت (مانند ژل، موس، پوماد یا مرطوب‌کننده)، کج به نظر می‌رسد، ابرو را لمس می‌کند (به استثنای چتری‌های زنانه)، یا به زیر خطی خیالی در سراسر پیشانی در بالای ابروها که موازی با زمین است ختم می‌شود.</w:t>
      </w:r>
    </w:p>
    <w:p>
      <w:pPr>
        <w:spacing w:after="28" w:line="216" w:lineRule="auto"/>
        <w:ind w:left="259"/>
        <w:jc w:val="left"/>
      </w:pPr>
      <w:r>
        <w:rPr>
          <w:rFonts w:ascii="Arial" w:hAnsi="Arial"/>
          <w:color w:val="525252"/>
          <w:sz w:val="13"/>
        </w:rPr>
        <w:t>Will not contain excessive amounts of grooming aids (e.g., gel, mousse, pomade, or moisturizer), appear lopsided, touch either eyebrow (Exception: female bangs), or end below an imaginary line across the forehead at the top of the eyebrows that is parallel to the ground.</w:t>
      </w:r>
    </w:p>
    <w:p>
      <w:pPr>
        <w:spacing w:after="20" w:line="223" w:lineRule="auto"/>
        <w:jc w:val="right"/>
        <w:bidi/>
      </w:pPr>
      <w:r>
        <w:rPr>
          <w:rFonts w:ascii="Arial" w:hAnsi="Arial"/>
          <w:sz w:val="16"/>
        </w:rPr>
        <w:t>424.29  در صورت استفاده، رنگ، رنگ، سفید کننده، و یخ زدگی باید به رنگ موی طبیعی منجر شود، ظاهری طبیعی داشته باشد و مکمل موهای صورت باشد، مانند ابرو، مژه، ریش (در صورت مجاز بودن به دلایل پزشکی یا مذهبی) و غیره.</w:t>
      </w:r>
    </w:p>
    <w:p>
      <w:pPr>
        <w:spacing w:after="28" w:line="216" w:lineRule="auto"/>
        <w:ind w:left="259"/>
        <w:jc w:val="left"/>
      </w:pPr>
      <w:r>
        <w:rPr>
          <w:rFonts w:ascii="Arial" w:hAnsi="Arial"/>
          <w:color w:val="525252"/>
          <w:sz w:val="13"/>
        </w:rPr>
        <w:t>If applied, dyes, tints, bleaches, and frostings must result in natural hair colors, present a natural appearance and be complementary to facial hair e.g., eyebrows, lashes, beards (if authorized for medical or religious reasons), etc.</w:t>
      </w:r>
    </w:p>
    <w:p>
      <w:pPr>
        <w:spacing w:after="20" w:line="223" w:lineRule="auto"/>
        <w:jc w:val="right"/>
        <w:bidi/>
      </w:pPr>
      <w:r>
        <w:rPr>
          <w:rFonts w:ascii="Arial" w:hAnsi="Arial"/>
          <w:sz w:val="16"/>
        </w:rPr>
        <w:t>424.30  نمونه هایی از رنگ موهای طبیعی قهوه‌ای، بلوند، سبزه، قرمز طبیعی، خاکستری یا مشکی هستند.</w:t>
      </w:r>
    </w:p>
    <w:p>
      <w:pPr>
        <w:spacing w:after="28" w:line="216" w:lineRule="auto"/>
        <w:ind w:left="259"/>
        <w:jc w:val="left"/>
      </w:pPr>
      <w:r>
        <w:rPr>
          <w:rFonts w:ascii="Arial" w:hAnsi="Arial"/>
          <w:color w:val="525252"/>
          <w:sz w:val="13"/>
        </w:rPr>
        <w:t>Examples of natural hair colors are brown, blonde, brunette, natural red, gray, or black.</w:t>
      </w:r>
    </w:p>
    <w:p>
      <w:pPr>
        <w:spacing w:after="20" w:line="223" w:lineRule="auto"/>
        <w:jc w:val="right"/>
        <w:bidi/>
      </w:pPr>
      <w:r>
        <w:rPr>
          <w:rFonts w:ascii="Arial" w:hAnsi="Arial"/>
          <w:sz w:val="16"/>
        </w:rPr>
        <w:t>424.31  همه هوانوردان مجازند</w:t>
      </w:r>
    </w:p>
    <w:p>
      <w:pPr>
        <w:spacing w:after="28" w:line="216" w:lineRule="auto"/>
        <w:ind w:left="259"/>
        <w:jc w:val="left"/>
      </w:pPr>
      <w:r>
        <w:rPr>
          <w:rFonts w:ascii="Arial" w:hAnsi="Arial"/>
          <w:color w:val="525252"/>
          <w:sz w:val="13"/>
        </w:rPr>
        <w:t>All Airmen are authorized to</w:t>
      </w:r>
    </w:p>
    <w:p>
      <w:r>
        <w:br w:type="page"/>
      </w:r>
    </w:p>
    <w:p>
      <w:pPr>
        <w:spacing w:after="60"/>
        <w:jc w:val="right"/>
        <w:bidi/>
      </w:pPr>
      <w:r>
        <w:rPr>
          <w:rFonts w:ascii="Arial" w:hAnsi="Arial"/>
          <w:b/>
          <w:color w:val="1F4D78"/>
          <w:sz w:val="19"/>
        </w:rPr>
        <w:t>هفتهٔ 425  |  صفحهٔ منبع: 441</w:t>
      </w:r>
    </w:p>
    <w:p>
      <w:pPr>
        <w:spacing w:after="20" w:line="223" w:lineRule="auto"/>
        <w:jc w:val="right"/>
        <w:bidi/>
      </w:pPr>
      <w:r>
        <w:rPr>
          <w:rFonts w:ascii="Arial" w:hAnsi="Arial"/>
          <w:sz w:val="16"/>
        </w:rPr>
        <w:t>425.01  موهایی با رنگ طبیعی بدون توجه به رنگ موی طبیعی خود بپوشید، اما زمانی که هایلایت یا مات می‌شود، رنگ‌ها باید به‌طور طبیعی ترکیب شوند.</w:t>
      </w:r>
    </w:p>
    <w:p>
      <w:pPr>
        <w:spacing w:after="28" w:line="216" w:lineRule="auto"/>
        <w:ind w:left="259"/>
        <w:jc w:val="left"/>
      </w:pPr>
      <w:r>
        <w:rPr>
          <w:rFonts w:ascii="Arial" w:hAnsi="Arial"/>
          <w:color w:val="525252"/>
          <w:sz w:val="13"/>
        </w:rPr>
        <w:t>wear natural color hair regardless of their natural born hair color, but when highlighted or frosted, the colors must blend as to naturally.</w:t>
      </w:r>
    </w:p>
    <w:p>
      <w:pPr>
        <w:spacing w:after="20" w:line="223" w:lineRule="auto"/>
        <w:jc w:val="right"/>
        <w:bidi/>
      </w:pPr>
      <w:r>
        <w:rPr>
          <w:rFonts w:ascii="Arial" w:hAnsi="Arial"/>
          <w:sz w:val="16"/>
        </w:rPr>
        <w:t>425.02  مثال: رنگ مو ممکن است به صورت "نمک و فلفل" نمایش داده شود، زیرا رنگ موی ترکیبی طبیعی را ارائه می‌دهد و بنابراین مجاز است.</w:t>
      </w:r>
    </w:p>
    <w:p>
      <w:pPr>
        <w:spacing w:after="28" w:line="216" w:lineRule="auto"/>
        <w:ind w:left="259"/>
        <w:jc w:val="left"/>
      </w:pPr>
      <w:r>
        <w:rPr>
          <w:rFonts w:ascii="Arial" w:hAnsi="Arial"/>
          <w:color w:val="525252"/>
          <w:sz w:val="13"/>
        </w:rPr>
        <w:t>Example: Hair colors may be displayed as a “salt-and-pepper” look as this presents a naturally blended hair color and is, therefore, authorized.</w:t>
      </w:r>
    </w:p>
    <w:p>
      <w:pPr>
        <w:spacing w:after="20" w:line="223" w:lineRule="auto"/>
        <w:jc w:val="right"/>
        <w:bidi/>
      </w:pPr>
      <w:r>
        <w:rPr>
          <w:rFonts w:ascii="Arial" w:hAnsi="Arial"/>
          <w:sz w:val="16"/>
        </w:rPr>
        <w:t>425.03  کلاه گیس / مدل مو / اکستنشن.</w:t>
      </w:r>
    </w:p>
    <w:p>
      <w:pPr>
        <w:spacing w:after="28" w:line="216" w:lineRule="auto"/>
        <w:ind w:left="259"/>
        <w:jc w:val="left"/>
      </w:pPr>
      <w:r>
        <w:rPr>
          <w:rFonts w:ascii="Arial" w:hAnsi="Arial"/>
          <w:color w:val="525252"/>
          <w:sz w:val="13"/>
        </w:rPr>
        <w:t>Wigs/Hairpieces/Extensions.</w:t>
      </w:r>
    </w:p>
    <w:p>
      <w:pPr>
        <w:spacing w:after="20" w:line="223" w:lineRule="auto"/>
        <w:jc w:val="right"/>
        <w:bidi/>
      </w:pPr>
      <w:r>
        <w:rPr>
          <w:rFonts w:ascii="Arial" w:hAnsi="Arial"/>
          <w:sz w:val="16"/>
        </w:rPr>
        <w:t>425.04  مجاز هستند و همان استانداردهای مورد نیاز برای موهای طبیعی را برآورده می‌کنند، کیفیت خوبی دارند، مناسب هستند و با ایمنی، عملکرد و استانداردهای نظامی حرفه‌ای مطابقت دارند.</w:t>
      </w:r>
    </w:p>
    <w:p>
      <w:pPr>
        <w:spacing w:after="28" w:line="216" w:lineRule="auto"/>
        <w:ind w:left="259"/>
        <w:jc w:val="left"/>
      </w:pPr>
      <w:r>
        <w:rPr>
          <w:rFonts w:ascii="Arial" w:hAnsi="Arial"/>
          <w:color w:val="525252"/>
          <w:sz w:val="13"/>
        </w:rPr>
        <w:t>Are authorized and will meet the same standards required for natural hair, be of good quality, fit properly, and comply with safety, functionality, and professional military standards.</w:t>
      </w:r>
    </w:p>
    <w:p>
      <w:pPr>
        <w:spacing w:after="20" w:line="223" w:lineRule="auto"/>
        <w:jc w:val="right"/>
        <w:bidi/>
      </w:pPr>
      <w:r>
        <w:rPr>
          <w:rFonts w:ascii="Arial" w:hAnsi="Arial"/>
          <w:sz w:val="16"/>
        </w:rPr>
        <w:t>425.05  اگر موهای مصنوعی یا اکستنشن به مو اضافه شود، رنگ موی طبیعی خواهد بود و باید با موهای نیروهای هوایی ترکیب شود تا ظاهری غیر طبیعی ایجاد نکند (توجه: اکستنشن برای آقایان ممنوع است).</w:t>
      </w:r>
    </w:p>
    <w:p>
      <w:pPr>
        <w:spacing w:after="28" w:line="216" w:lineRule="auto"/>
        <w:ind w:left="259"/>
        <w:jc w:val="left"/>
      </w:pPr>
      <w:r>
        <w:rPr>
          <w:rFonts w:ascii="Arial" w:hAnsi="Arial"/>
          <w:color w:val="525252"/>
          <w:sz w:val="13"/>
        </w:rPr>
        <w:t>If synthetic hair or extensions are added to hair, they will be natural hair colors, and must blend with Airmen’s hair, as to not create an unnatural appearance (Note: Extensions are prohibited for males).</w:t>
      </w:r>
    </w:p>
    <w:p>
      <w:pPr>
        <w:spacing w:after="20" w:line="223" w:lineRule="auto"/>
        <w:jc w:val="right"/>
        <w:bidi/>
      </w:pPr>
      <w:r>
        <w:rPr>
          <w:rFonts w:ascii="Arial" w:hAnsi="Arial"/>
          <w:sz w:val="16"/>
        </w:rPr>
        <w:t>425.06  کلاه گیس / مدل مو / اکستنشن برای پوشاندن مدل‌های موی غیرمجاز استفاده نمی‌شود.</w:t>
      </w:r>
    </w:p>
    <w:p>
      <w:pPr>
        <w:spacing w:after="28" w:line="216" w:lineRule="auto"/>
        <w:ind w:left="259"/>
        <w:jc w:val="left"/>
      </w:pPr>
      <w:r>
        <w:rPr>
          <w:rFonts w:ascii="Arial" w:hAnsi="Arial"/>
          <w:color w:val="525252"/>
          <w:sz w:val="13"/>
        </w:rPr>
        <w:t>Wigs/Hairpieces/Extensions will not be used to cover unauthorized hair styles.</w:t>
      </w:r>
    </w:p>
    <w:p>
      <w:pPr>
        <w:spacing w:after="20" w:line="223" w:lineRule="auto"/>
        <w:jc w:val="right"/>
        <w:bidi/>
      </w:pPr>
      <w:r>
        <w:rPr>
          <w:rFonts w:ascii="Arial" w:hAnsi="Arial"/>
          <w:sz w:val="16"/>
        </w:rPr>
        <w:t>425.07  موی مصنوعی یا سایر مواد زمانی که توسط الزامات ایمنی و مأموریت ممنوع باشد مجاز نیستند.</w:t>
      </w:r>
    </w:p>
    <w:p>
      <w:pPr>
        <w:spacing w:after="28" w:line="216" w:lineRule="auto"/>
        <w:ind w:left="259"/>
        <w:jc w:val="left"/>
      </w:pPr>
      <w:r>
        <w:rPr>
          <w:rFonts w:ascii="Arial" w:hAnsi="Arial"/>
          <w:color w:val="525252"/>
          <w:sz w:val="13"/>
        </w:rPr>
        <w:t>Synthetic hair or other materials are not authorized when prohibited by safety and mission requirements.</w:t>
      </w:r>
    </w:p>
    <w:p>
      <w:pPr>
        <w:spacing w:after="20" w:line="223" w:lineRule="auto"/>
        <w:jc w:val="right"/>
        <w:bidi/>
      </w:pPr>
      <w:r>
        <w:rPr>
          <w:rFonts w:ascii="Arial" w:hAnsi="Arial"/>
          <w:sz w:val="16"/>
        </w:rPr>
        <w:t>425.08  فرماندهان ممکن است به هواداران اجازه دهند به دلیل شرایط پزشکی (مانند آلوپسی، پرتودرمانی و/یا شیمی‌درمانی) از کلاه‌های ساده (تک رنگ، بدون تزئینات اضافی، پرده‌ها/پارچه‌های اضافی که از پشت امتداد می‌یابد) (مشکی، سرمه‌ای یا برنزه) استفاده کنند.</w:t>
      </w:r>
    </w:p>
    <w:p>
      <w:pPr>
        <w:spacing w:after="28" w:line="216" w:lineRule="auto"/>
        <w:ind w:left="259"/>
        <w:jc w:val="left"/>
      </w:pPr>
      <w:r>
        <w:rPr>
          <w:rFonts w:ascii="Arial" w:hAnsi="Arial"/>
          <w:color w:val="525252"/>
          <w:sz w:val="13"/>
        </w:rPr>
        <w:t>Commanders may authorize Airmen to wear plain (single color, without additional ornamentation, frills/ruffles, excess fabric that extends down the back) caps (black, navy, or tan) while indoors due to a medical condition (e.g., Alopecia, radiation and/or chemotherapy).</w:t>
      </w:r>
    </w:p>
    <w:p>
      <w:pPr>
        <w:spacing w:after="20" w:line="223" w:lineRule="auto"/>
        <w:jc w:val="right"/>
        <w:bidi/>
      </w:pPr>
      <w:r>
        <w:rPr>
          <w:rFonts w:ascii="Arial" w:hAnsi="Arial"/>
          <w:sz w:val="16"/>
        </w:rPr>
        <w:t>425.09  هوانوردان همچنان ملزم به پوشیدن سرپوش مناسب در بیرون از منزل هستند.</w:t>
      </w:r>
    </w:p>
    <w:p>
      <w:pPr>
        <w:spacing w:after="28" w:line="216" w:lineRule="auto"/>
        <w:ind w:left="259"/>
        <w:jc w:val="left"/>
      </w:pPr>
      <w:r>
        <w:rPr>
          <w:rFonts w:ascii="Arial" w:hAnsi="Arial"/>
          <w:color w:val="525252"/>
          <w:sz w:val="13"/>
        </w:rPr>
        <w:t>Airmen are still required to wear appropriate headgear while outdoors.</w:t>
      </w:r>
    </w:p>
    <w:p>
      <w:pPr>
        <w:spacing w:after="20" w:line="223" w:lineRule="auto"/>
        <w:jc w:val="right"/>
        <w:bidi/>
      </w:pPr>
      <w:r>
        <w:rPr>
          <w:rFonts w:ascii="Arial" w:hAnsi="Arial"/>
          <w:sz w:val="16"/>
        </w:rPr>
        <w:t>425.10  توجه: روسری مجاز نیست.</w:t>
      </w:r>
    </w:p>
    <w:p>
      <w:pPr>
        <w:spacing w:after="28" w:line="216" w:lineRule="auto"/>
        <w:ind w:left="259"/>
        <w:jc w:val="left"/>
      </w:pPr>
      <w:r>
        <w:rPr>
          <w:rFonts w:ascii="Arial" w:hAnsi="Arial"/>
          <w:color w:val="525252"/>
          <w:sz w:val="13"/>
        </w:rPr>
        <w:t>Note: Head scarves are not authorized.</w:t>
      </w:r>
    </w:p>
    <w:p>
      <w:pPr>
        <w:spacing w:after="20" w:line="223" w:lineRule="auto"/>
        <w:jc w:val="right"/>
        <w:bidi/>
      </w:pPr>
      <w:r>
        <w:rPr>
          <w:rFonts w:ascii="Arial" w:hAnsi="Arial"/>
          <w:sz w:val="16"/>
        </w:rPr>
        <w:t>425.11  مدل مو.</w:t>
      </w:r>
    </w:p>
    <w:p>
      <w:pPr>
        <w:spacing w:after="28" w:line="216" w:lineRule="auto"/>
        <w:ind w:left="259"/>
        <w:jc w:val="left"/>
      </w:pPr>
      <w:r>
        <w:rPr>
          <w:rFonts w:ascii="Arial" w:hAnsi="Arial"/>
          <w:color w:val="525252"/>
          <w:sz w:val="13"/>
        </w:rPr>
        <w:t>Hairnets.</w:t>
      </w:r>
    </w:p>
    <w:p>
      <w:pPr>
        <w:spacing w:after="20" w:line="223" w:lineRule="auto"/>
        <w:jc w:val="right"/>
        <w:bidi/>
      </w:pPr>
      <w:r>
        <w:rPr>
          <w:rFonts w:ascii="Arial" w:hAnsi="Arial"/>
          <w:sz w:val="16"/>
        </w:rPr>
        <w:t>425.12  در صورت نیاز به دلایل بهداشتی یا ایمنی پوشیده شده است.</w:t>
      </w:r>
    </w:p>
    <w:p>
      <w:pPr>
        <w:spacing w:after="28" w:line="216" w:lineRule="auto"/>
        <w:ind w:left="259"/>
        <w:jc w:val="left"/>
      </w:pPr>
      <w:r>
        <w:rPr>
          <w:rFonts w:ascii="Arial" w:hAnsi="Arial"/>
          <w:color w:val="525252"/>
          <w:sz w:val="13"/>
        </w:rPr>
        <w:t>Worn as required for health or safety reasons.</w:t>
      </w:r>
    </w:p>
    <w:p>
      <w:pPr>
        <w:spacing w:after="20" w:line="223" w:lineRule="auto"/>
        <w:jc w:val="right"/>
        <w:bidi/>
      </w:pPr>
      <w:r>
        <w:rPr>
          <w:rFonts w:ascii="Arial" w:hAnsi="Arial"/>
          <w:sz w:val="16"/>
        </w:rPr>
        <w:t>425.13  ساخته شده از مواد طبیعی یا مصنوعی؛ باید محافظه کارانه (ساده و متوسط، در محدوده معقول باشد؛ نه افراطی یا افراطی)، یک رنگ یکدست شبیه به رنگ موی اعضا باشد، همچنین به اندازه کافی قوی باشد که بتواند موها را پشتیبانی و کنترل کند و فاقد بست‌های فلزی باشد.</w:t>
      </w:r>
    </w:p>
    <w:p>
      <w:pPr>
        <w:spacing w:after="28" w:line="216" w:lineRule="auto"/>
        <w:ind w:left="259"/>
        <w:jc w:val="left"/>
      </w:pPr>
      <w:r>
        <w:rPr>
          <w:rFonts w:ascii="Arial" w:hAnsi="Arial"/>
          <w:color w:val="525252"/>
          <w:sz w:val="13"/>
        </w:rPr>
        <w:t>Made of natural or a synthetic material; must be conservative (plain and moderate, being within reasonable limits; not excessive or extreme), solid color similar to the member's hair color, also strong enough to support and control hair and contain no metal fasteners.</w:t>
      </w:r>
    </w:p>
    <w:p>
      <w:pPr>
        <w:spacing w:after="20" w:line="223" w:lineRule="auto"/>
        <w:jc w:val="right"/>
        <w:bidi/>
      </w:pPr>
      <w:r>
        <w:rPr>
          <w:rFonts w:ascii="Arial" w:hAnsi="Arial"/>
          <w:sz w:val="16"/>
        </w:rPr>
        <w:t>425.14  هیرنت فقط هنگام انجام وظایف مربوطه که توسط فرمانده مربوطه تعیین شده است مجاز است.</w:t>
      </w:r>
    </w:p>
    <w:p>
      <w:pPr>
        <w:spacing w:after="28" w:line="216" w:lineRule="auto"/>
        <w:ind w:left="259"/>
        <w:jc w:val="left"/>
      </w:pPr>
      <w:r>
        <w:rPr>
          <w:rFonts w:ascii="Arial" w:hAnsi="Arial"/>
          <w:color w:val="525252"/>
          <w:sz w:val="13"/>
        </w:rPr>
        <w:t>Hairnets are only authorized when performing related duties as determined by applicable commander.</w:t>
      </w:r>
    </w:p>
    <w:p>
      <w:pPr>
        <w:spacing w:after="20" w:line="223" w:lineRule="auto"/>
        <w:jc w:val="right"/>
        <w:bidi/>
      </w:pPr>
      <w:r>
        <w:rPr>
          <w:rFonts w:ascii="Arial" w:hAnsi="Arial"/>
          <w:sz w:val="16"/>
        </w:rPr>
        <w:t>425.15  رنگ موی غیر مجاز.</w:t>
      </w:r>
    </w:p>
    <w:p>
      <w:pPr>
        <w:spacing w:after="28" w:line="216" w:lineRule="auto"/>
        <w:ind w:left="259"/>
        <w:jc w:val="left"/>
      </w:pPr>
      <w:r>
        <w:rPr>
          <w:rFonts w:ascii="Arial" w:hAnsi="Arial"/>
          <w:color w:val="525252"/>
          <w:sz w:val="13"/>
        </w:rPr>
        <w:t>Unauthorized Hair Colors.</w:t>
      </w:r>
    </w:p>
    <w:p>
      <w:pPr>
        <w:spacing w:after="20" w:line="223" w:lineRule="auto"/>
        <w:jc w:val="right"/>
        <w:bidi/>
      </w:pPr>
      <w:r>
        <w:rPr>
          <w:rFonts w:ascii="Arial" w:hAnsi="Arial"/>
          <w:sz w:val="16"/>
        </w:rPr>
        <w:t>425.16  موها شرابی، بنفش، نارنجی، فلورسنت یا نئون (نه همه چیز) نخواهد بود.</w:t>
      </w:r>
    </w:p>
    <w:p>
      <w:pPr>
        <w:spacing w:after="28" w:line="216" w:lineRule="auto"/>
        <w:ind w:left="259"/>
        <w:jc w:val="left"/>
      </w:pPr>
      <w:r>
        <w:rPr>
          <w:rFonts w:ascii="Arial" w:hAnsi="Arial"/>
          <w:color w:val="525252"/>
          <w:sz w:val="13"/>
        </w:rPr>
        <w:t>Hair will not be burgundy, purple, orange, fluorescent, or neon (not all inclusive).</w:t>
      </w:r>
    </w:p>
    <w:p>
      <w:pPr>
        <w:spacing w:after="20" w:line="223" w:lineRule="auto"/>
        <w:jc w:val="right"/>
        <w:bidi/>
      </w:pPr>
      <w:r>
        <w:rPr>
          <w:rFonts w:ascii="Arial" w:hAnsi="Arial"/>
          <w:sz w:val="16"/>
        </w:rPr>
        <w:t>425.17  ومبر (روشن شدن یا تیره شدن تدریجی در طول مو) یا موهای مشکی با هایلایت بلوند و موهای بلوند با مشکی از نظر ظاهری غیرطبیعی هستند و استفاده از آنها مجاز نیست.</w:t>
      </w:r>
    </w:p>
    <w:p>
      <w:pPr>
        <w:spacing w:after="28" w:line="216" w:lineRule="auto"/>
        <w:ind w:left="259"/>
        <w:jc w:val="left"/>
      </w:pPr>
      <w:r>
        <w:rPr>
          <w:rFonts w:ascii="Arial" w:hAnsi="Arial"/>
          <w:color w:val="525252"/>
          <w:sz w:val="13"/>
        </w:rPr>
        <w:t>Ombre (a gradual lightening or darkening along the lengths of the hair) or black hair with blonde highlights and blonde hair with black are unnatural in appearance and not authorized for wear.</w:t>
      </w:r>
    </w:p>
    <w:p>
      <w:pPr>
        <w:spacing w:after="20" w:line="223" w:lineRule="auto"/>
        <w:jc w:val="right"/>
        <w:bidi/>
      </w:pPr>
      <w:r>
        <w:rPr>
          <w:rFonts w:ascii="Arial" w:hAnsi="Arial"/>
          <w:sz w:val="16"/>
        </w:rPr>
        <w:t>425.18  سایر نمونه‌های غیرمجاز شامل مواردی است که مو و موهای صورت به شدت متضاد هستند.</w:t>
      </w:r>
    </w:p>
    <w:p>
      <w:pPr>
        <w:spacing w:after="28" w:line="216" w:lineRule="auto"/>
        <w:ind w:left="259"/>
        <w:jc w:val="left"/>
      </w:pPr>
      <w:r>
        <w:rPr>
          <w:rFonts w:ascii="Arial" w:hAnsi="Arial"/>
          <w:color w:val="525252"/>
          <w:sz w:val="13"/>
        </w:rPr>
        <w:t>Other unauthorized examples include instances where hair and facial hair drastically contrast.</w:t>
      </w:r>
    </w:p>
    <w:p>
      <w:pPr>
        <w:spacing w:after="20" w:line="223" w:lineRule="auto"/>
        <w:jc w:val="right"/>
        <w:bidi/>
      </w:pPr>
      <w:r>
        <w:rPr>
          <w:rFonts w:ascii="Arial" w:hAnsi="Arial"/>
          <w:sz w:val="16"/>
        </w:rPr>
        <w:t>425.19  استایل‌های غیرمجاز.</w:t>
      </w:r>
    </w:p>
    <w:p>
      <w:pPr>
        <w:spacing w:after="28" w:line="216" w:lineRule="auto"/>
        <w:ind w:left="259"/>
        <w:jc w:val="left"/>
      </w:pPr>
      <w:r>
        <w:rPr>
          <w:rFonts w:ascii="Arial" w:hAnsi="Arial"/>
          <w:color w:val="525252"/>
          <w:sz w:val="13"/>
        </w:rPr>
        <w:t>Unauthorized Styles.</w:t>
      </w:r>
    </w:p>
    <w:p>
      <w:pPr>
        <w:spacing w:after="20" w:line="223" w:lineRule="auto"/>
        <w:jc w:val="right"/>
        <w:bidi/>
      </w:pPr>
      <w:r>
        <w:rPr>
          <w:rFonts w:ascii="Arial" w:hAnsi="Arial"/>
          <w:sz w:val="16"/>
        </w:rPr>
        <w:t>425.20  طرح موهاوک، کفال یا اچ شده.</w:t>
      </w:r>
    </w:p>
    <w:p>
      <w:pPr>
        <w:spacing w:after="28" w:line="216" w:lineRule="auto"/>
        <w:ind w:left="259"/>
        <w:jc w:val="left"/>
      </w:pPr>
      <w:r>
        <w:rPr>
          <w:rFonts w:ascii="Arial" w:hAnsi="Arial"/>
          <w:color w:val="525252"/>
          <w:sz w:val="13"/>
        </w:rPr>
        <w:t>Mohawk, mullet, or etched design.</w:t>
      </w:r>
    </w:p>
    <w:p>
      <w:pPr>
        <w:spacing w:after="20" w:line="223" w:lineRule="auto"/>
        <w:jc w:val="right"/>
        <w:bidi/>
      </w:pPr>
      <w:r>
        <w:rPr>
          <w:rFonts w:ascii="Arial" w:hAnsi="Arial"/>
          <w:sz w:val="16"/>
        </w:rPr>
        <w:t>425.21  سایر گرایش‌های اجتماعی که به‌طور منطقی غیرطبیعی به نظر می‌رسند یا سایه‌های بسیار متفاوتی از رنگ‌های طبیعی را نشان می‌دهند، صرف نظر از نام جهانی که به کار می‌رود.</w:t>
      </w:r>
    </w:p>
    <w:p>
      <w:pPr>
        <w:spacing w:after="28" w:line="216" w:lineRule="auto"/>
        <w:ind w:left="259"/>
        <w:jc w:val="left"/>
      </w:pPr>
      <w:r>
        <w:rPr>
          <w:rFonts w:ascii="Arial" w:hAnsi="Arial"/>
          <w:color w:val="525252"/>
          <w:sz w:val="13"/>
        </w:rPr>
        <w:t>Other societal trends that reasonably appear unnatural or that display vastly different shades of natural colors, regardless of the universally applied name.</w:t>
      </w:r>
    </w:p>
    <w:p>
      <w:pPr>
        <w:spacing w:after="20" w:line="223" w:lineRule="auto"/>
        <w:jc w:val="right"/>
        <w:bidi/>
      </w:pPr>
      <w:r>
        <w:rPr>
          <w:rFonts w:ascii="Arial" w:hAnsi="Arial"/>
          <w:sz w:val="16"/>
        </w:rPr>
        <w:t>425.22  فقط برای مردان: درادلوککس، کلاف، قیطان، پیچش، طرح، و/یا اکستنشن مو مجاز نیست. برای مثال به شکل ۲۳.۱ مراجعه کنید.</w:t>
      </w:r>
    </w:p>
    <w:p>
      <w:pPr>
        <w:spacing w:after="28" w:line="216" w:lineRule="auto"/>
        <w:ind w:left="259"/>
        <w:jc w:val="left"/>
      </w:pPr>
      <w:r>
        <w:rPr>
          <w:rFonts w:ascii="Arial" w:hAnsi="Arial"/>
          <w:color w:val="525252"/>
          <w:sz w:val="13"/>
        </w:rPr>
        <w:t>Males only: dreadlocks, coils, braids, twists, designs, and/or hair extensions are not authorized; see Figure 23.1 for examples.</w:t>
      </w:r>
    </w:p>
    <w:p>
      <w:pPr>
        <w:spacing w:after="20" w:line="223" w:lineRule="auto"/>
        <w:jc w:val="right"/>
        <w:bidi/>
      </w:pPr>
      <w:r>
        <w:rPr>
          <w:rFonts w:ascii="Arial" w:hAnsi="Arial"/>
          <w:sz w:val="16"/>
        </w:rPr>
        <w:t>425.23  فقط برای خانم‌ها: پهلوها و/یا پشت سر تا حدی تراشیده شده با موهای بلند در بالا (که نیاز به پوشیدن دم اسبی، نان یا قیطان است) ممنوع است.</w:t>
      </w:r>
    </w:p>
    <w:p>
      <w:pPr>
        <w:spacing w:after="28" w:line="216" w:lineRule="auto"/>
        <w:ind w:left="259"/>
        <w:jc w:val="left"/>
      </w:pPr>
      <w:r>
        <w:rPr>
          <w:rFonts w:ascii="Arial" w:hAnsi="Arial"/>
          <w:color w:val="525252"/>
          <w:sz w:val="13"/>
        </w:rPr>
        <w:t>Females only: Partially shaved sides and/or back of the head with long hair on the top (requiring the wear of a ponytail, bun, or braid) is prohibited.</w:t>
      </w:r>
    </w:p>
    <w:p>
      <w:pPr>
        <w:spacing w:after="20" w:line="223" w:lineRule="auto"/>
        <w:jc w:val="right"/>
        <w:bidi/>
      </w:pPr>
      <w:r>
        <w:rPr>
          <w:rFonts w:ascii="Arial" w:hAnsi="Arial"/>
          <w:sz w:val="16"/>
        </w:rPr>
        <w:t>425.24  برای نمونه هایی از مدل موی غیرمجاز به شکل ۲۳.۲ مراجعه کنید.</w:t>
      </w:r>
    </w:p>
    <w:p>
      <w:pPr>
        <w:spacing w:after="28" w:line="216" w:lineRule="auto"/>
        <w:ind w:left="259"/>
        <w:jc w:val="left"/>
      </w:pPr>
      <w:r>
        <w:rPr>
          <w:rFonts w:ascii="Arial" w:hAnsi="Arial"/>
          <w:color w:val="525252"/>
          <w:sz w:val="13"/>
        </w:rPr>
        <w:t>See Figure 23.2 for examples of unauthorized hairstyles.</w:t>
      </w:r>
    </w:p>
    <w:p>
      <w:pPr>
        <w:spacing w:before="60" w:after="28"/>
        <w:jc w:val="right"/>
        <w:bidi/>
      </w:pPr>
      <w:r>
        <w:rPr>
          <w:b/>
          <w:color w:val="1F4D78"/>
          <w:sz w:val="18"/>
        </w:rPr>
        <w:t>شکل 23.1 نمونه‌های موی غیرمجاز برای مردان</w:t>
      </w:r>
    </w:p>
    <w:p>
      <w:pPr>
        <w:spacing w:after="20"/>
        <w:ind w:left="259"/>
        <w:jc w:val="left"/>
      </w:pPr>
      <w:r>
        <w:rPr>
          <w:color w:val="555555"/>
          <w:sz w:val="12"/>
        </w:rPr>
        <w:t>Figure 23.1 Male—Unauthorized Hair Examples</w:t>
      </w:r>
    </w:p>
    <w:p>
      <w:r>
        <w:br w:type="page"/>
      </w:r>
    </w:p>
    <w:p>
      <w:pPr>
        <w:spacing w:after="60"/>
        <w:jc w:val="right"/>
        <w:bidi/>
      </w:pPr>
      <w:r>
        <w:rPr>
          <w:rFonts w:ascii="Arial" w:hAnsi="Arial"/>
          <w:b/>
          <w:color w:val="1F4D78"/>
          <w:sz w:val="19"/>
        </w:rPr>
        <w:t>هفتهٔ 426  |  صفحهٔ منبع: 442</w:t>
      </w:r>
    </w:p>
    <w:p>
      <w:pPr>
        <w:spacing w:before="60" w:after="28"/>
        <w:jc w:val="right"/>
        <w:bidi/>
      </w:pPr>
      <w:r>
        <w:rPr>
          <w:b/>
          <w:color w:val="1F4D78"/>
          <w:sz w:val="18"/>
        </w:rPr>
        <w:t>شکل 23.2 نمونه های موی غیرمجاز زن</w:t>
      </w:r>
    </w:p>
    <w:p>
      <w:pPr>
        <w:spacing w:after="20"/>
        <w:ind w:left="259"/>
        <w:jc w:val="left"/>
      </w:pPr>
      <w:r>
        <w:rPr>
          <w:color w:val="555555"/>
          <w:sz w:val="12"/>
        </w:rPr>
        <w:t>Figure 23.2 Female—Unauthorized Hair Examples</w:t>
      </w:r>
    </w:p>
    <w:p>
      <w:pPr>
        <w:spacing w:after="20" w:line="223" w:lineRule="auto"/>
        <w:jc w:val="right"/>
        <w:bidi/>
      </w:pPr>
      <w:r>
        <w:rPr>
          <w:rFonts w:ascii="Arial" w:hAnsi="Arial"/>
          <w:sz w:val="16"/>
        </w:rPr>
        <w:t>426.02  مو (مرد).</w:t>
      </w:r>
    </w:p>
    <w:p>
      <w:pPr>
        <w:spacing w:after="28" w:line="216" w:lineRule="auto"/>
        <w:ind w:left="259"/>
        <w:jc w:val="left"/>
      </w:pPr>
      <w:r>
        <w:rPr>
          <w:rFonts w:ascii="Arial" w:hAnsi="Arial"/>
          <w:color w:val="525252"/>
          <w:sz w:val="13"/>
        </w:rPr>
        <w:t>Hair (Male).</w:t>
      </w:r>
    </w:p>
    <w:p>
      <w:pPr>
        <w:spacing w:after="20" w:line="223" w:lineRule="auto"/>
        <w:jc w:val="right"/>
        <w:bidi/>
      </w:pPr>
      <w:r>
        <w:rPr>
          <w:rFonts w:ascii="Arial" w:hAnsi="Arial"/>
          <w:sz w:val="16"/>
        </w:rPr>
        <w:t>426.03  ظاهر مخروطی در هر دو طرف و پشت سر، هم با هدگیر و هم بدون روسری، به طوری که وقتی از هر زاویه به آن نگاه می‌شود، موهای عضو با شکل سر منطبق می‌شود، به سمت داخل خم می‌شود تا نقطه انتهایی طبیعی بدون جریان جهتی غیرعادی، پیچش یا میخ.</w:t>
      </w:r>
    </w:p>
    <w:p>
      <w:pPr>
        <w:spacing w:after="28" w:line="216" w:lineRule="auto"/>
        <w:ind w:left="259"/>
        <w:jc w:val="left"/>
      </w:pPr>
      <w:r>
        <w:rPr>
          <w:rFonts w:ascii="Arial" w:hAnsi="Arial"/>
          <w:color w:val="525252"/>
          <w:sz w:val="13"/>
        </w:rPr>
        <w:t>Tapered appearance on both sides and the back of the head, both with and without headgear so that when viewed from any angle the member's hair conforms to the shape of the head, curving inward to the natural termination point without eccentric directional flow, twists, or spiking.</w:t>
      </w:r>
    </w:p>
    <w:p>
      <w:pPr>
        <w:spacing w:after="20" w:line="223" w:lineRule="auto"/>
        <w:jc w:val="right"/>
        <w:bidi/>
      </w:pPr>
      <w:r>
        <w:rPr>
          <w:rFonts w:ascii="Arial" w:hAnsi="Arial"/>
          <w:sz w:val="16"/>
        </w:rPr>
        <w:t>426.04  برش بلوک با ظاهر مخروطی مجاز است.</w:t>
      </w:r>
    </w:p>
    <w:p>
      <w:pPr>
        <w:spacing w:after="28" w:line="216" w:lineRule="auto"/>
        <w:ind w:left="259"/>
        <w:jc w:val="left"/>
      </w:pPr>
      <w:r>
        <w:rPr>
          <w:rFonts w:ascii="Arial" w:hAnsi="Arial"/>
          <w:color w:val="525252"/>
          <w:sz w:val="13"/>
        </w:rPr>
        <w:t>A block-cut is permitted with tapered appearance.</w:t>
      </w:r>
    </w:p>
    <w:p>
      <w:pPr>
        <w:spacing w:after="20" w:line="223" w:lineRule="auto"/>
        <w:jc w:val="right"/>
        <w:bidi/>
      </w:pPr>
      <w:r>
        <w:rPr>
          <w:rFonts w:ascii="Arial" w:hAnsi="Arial"/>
          <w:sz w:val="16"/>
        </w:rPr>
        <w:t>426.05  مو بدون توجه به طول و ۱/۴ اینچ در نقطه پایان طبیعی، از ۲ و نیم اینچ بیشتر نخواهد شد. اجازه می‌دهد که فقط موهای کوتاه یا تراشیده شده پشت گردن، یقه را لمس کنند (شکل ۲۳.۳ را ببینید).</w:t>
      </w:r>
    </w:p>
    <w:p>
      <w:pPr>
        <w:spacing w:after="28" w:line="216" w:lineRule="auto"/>
        <w:ind w:left="259"/>
        <w:jc w:val="left"/>
      </w:pPr>
      <w:r>
        <w:rPr>
          <w:rFonts w:ascii="Arial" w:hAnsi="Arial"/>
          <w:color w:val="525252"/>
          <w:sz w:val="13"/>
        </w:rPr>
        <w:t>Hair will not exceed 2 ½ inches in bulk, regardless of length and 1/4-inch at natural termination point; allowing only closely cut or shaved hair on the back of the neck to touch the collar (see Figure 23.3).</w:t>
      </w:r>
    </w:p>
    <w:p>
      <w:pPr>
        <w:spacing w:after="20" w:line="223" w:lineRule="auto"/>
        <w:jc w:val="right"/>
        <w:bidi/>
      </w:pPr>
      <w:r>
        <w:rPr>
          <w:rFonts w:ascii="Arial" w:hAnsi="Arial"/>
          <w:sz w:val="16"/>
        </w:rPr>
        <w:t>426.06  مو از زیر بند جلویی روسری بیرون زده نخواهد شد.</w:t>
      </w:r>
    </w:p>
    <w:p>
      <w:pPr>
        <w:spacing w:after="28" w:line="216" w:lineRule="auto"/>
        <w:ind w:left="259"/>
        <w:jc w:val="left"/>
      </w:pPr>
      <w:r>
        <w:rPr>
          <w:rFonts w:ascii="Arial" w:hAnsi="Arial"/>
          <w:color w:val="525252"/>
          <w:sz w:val="13"/>
        </w:rPr>
        <w:t>Hair will not protrude under the front band of headgear.</w:t>
      </w:r>
    </w:p>
    <w:p>
      <w:pPr>
        <w:spacing w:after="20" w:line="223" w:lineRule="auto"/>
        <w:jc w:val="right"/>
        <w:bidi/>
      </w:pPr>
      <w:r>
        <w:rPr>
          <w:rFonts w:ascii="Arial" w:hAnsi="Arial"/>
          <w:sz w:val="16"/>
        </w:rPr>
        <w:t>426.07  سرهای تراشیده شده تمیز، برش‌های نظامی محکم یا صاف مجاز هستند.</w:t>
      </w:r>
    </w:p>
    <w:p>
      <w:pPr>
        <w:spacing w:after="28" w:line="216" w:lineRule="auto"/>
        <w:ind w:left="259"/>
        <w:jc w:val="left"/>
      </w:pPr>
      <w:r>
        <w:rPr>
          <w:rFonts w:ascii="Arial" w:hAnsi="Arial"/>
          <w:color w:val="525252"/>
          <w:sz w:val="13"/>
        </w:rPr>
        <w:t>Cleanly shaven heads, military high-and- tight or flattop cuts are authorized.</w:t>
      </w:r>
    </w:p>
    <w:p>
      <w:pPr>
        <w:spacing w:after="20" w:line="223" w:lineRule="auto"/>
        <w:jc w:val="right"/>
        <w:bidi/>
      </w:pPr>
      <w:r>
        <w:rPr>
          <w:rFonts w:ascii="Arial" w:hAnsi="Arial"/>
          <w:sz w:val="16"/>
        </w:rPr>
        <w:t>426.08  هوانوردان ممکن است یک قسمت (بریده، بریده یا تراشیده شده) از جلو به عقب، به خط مستقیم، بدون مایل یا خمیده، در دو طرف سر خود، بالای شقیقه داشته باشند.</w:t>
      </w:r>
    </w:p>
    <w:p>
      <w:pPr>
        <w:spacing w:after="28" w:line="216" w:lineRule="auto"/>
        <w:ind w:left="259"/>
        <w:jc w:val="left"/>
      </w:pPr>
      <w:r>
        <w:rPr>
          <w:rFonts w:ascii="Arial" w:hAnsi="Arial"/>
          <w:color w:val="525252"/>
          <w:sz w:val="13"/>
        </w:rPr>
        <w:t>Airmen may have one (cut, clipped, or shaved) front to back, straight-line part, not slanted or curved, on either side of their head, above the temple.</w:t>
      </w:r>
    </w:p>
    <w:p>
      <w:pPr>
        <w:spacing w:after="20" w:line="223" w:lineRule="auto"/>
        <w:jc w:val="right"/>
        <w:bidi/>
      </w:pPr>
      <w:r>
        <w:rPr>
          <w:rFonts w:ascii="Arial" w:hAnsi="Arial"/>
          <w:sz w:val="16"/>
        </w:rPr>
        <w:t>426.09  قطعه از طول ۴ اینچ یا عرض ۱/۴ اینچ تجاوز نخواهد کرد (شکل ۲۳.۵ را ببینید).</w:t>
      </w:r>
    </w:p>
    <w:p>
      <w:pPr>
        <w:spacing w:after="28" w:line="216" w:lineRule="auto"/>
        <w:ind w:left="259"/>
        <w:jc w:val="left"/>
      </w:pPr>
      <w:r>
        <w:rPr>
          <w:rFonts w:ascii="Arial" w:hAnsi="Arial"/>
          <w:color w:val="525252"/>
          <w:sz w:val="13"/>
        </w:rPr>
        <w:t>Part will not exceed 4-inches length or 1/4-inch width (See Figure 23.5).</w:t>
      </w:r>
    </w:p>
    <w:p>
      <w:pPr>
        <w:spacing w:after="20" w:line="223" w:lineRule="auto"/>
        <w:jc w:val="right"/>
        <w:bidi/>
      </w:pPr>
      <w:r>
        <w:rPr>
          <w:rFonts w:ascii="Arial" w:hAnsi="Arial"/>
          <w:sz w:val="16"/>
        </w:rPr>
        <w:t>426.10  شکل ۲۳.۴ را برای نمونه هایی از استانداردهای موهای زائد، سبیل و موهای مردانه مناسب ببینید.</w:t>
      </w:r>
    </w:p>
    <w:p>
      <w:pPr>
        <w:spacing w:after="28" w:line="216" w:lineRule="auto"/>
        <w:ind w:left="259"/>
        <w:jc w:val="left"/>
      </w:pPr>
      <w:r>
        <w:rPr>
          <w:rFonts w:ascii="Arial" w:hAnsi="Arial"/>
          <w:color w:val="525252"/>
          <w:sz w:val="13"/>
        </w:rPr>
        <w:t>See Figure 23.4 for examples of appropriate sideburns, mustache, and male hair standards.</w:t>
      </w:r>
    </w:p>
    <w:p>
      <w:pPr>
        <w:spacing w:before="60" w:after="28"/>
        <w:jc w:val="right"/>
        <w:bidi/>
      </w:pPr>
      <w:r>
        <w:rPr>
          <w:b/>
          <w:color w:val="1F4D78"/>
          <w:sz w:val="18"/>
        </w:rPr>
        <w:t>شکل 23.3 نحوه اندازه گیری حجم مو</w:t>
      </w:r>
    </w:p>
    <w:p>
      <w:pPr>
        <w:spacing w:after="20"/>
        <w:ind w:left="259"/>
        <w:jc w:val="left"/>
      </w:pPr>
      <w:r>
        <w:rPr>
          <w:color w:val="555555"/>
          <w:sz w:val="12"/>
        </w:rPr>
        <w:t>Figure 23.3 How to Measure Hair Bulk</w:t>
      </w:r>
    </w:p>
    <w:p>
      <w:r>
        <w:br w:type="page"/>
      </w:r>
    </w:p>
    <w:p>
      <w:pPr>
        <w:spacing w:after="60"/>
        <w:jc w:val="right"/>
        <w:bidi/>
      </w:pPr>
      <w:r>
        <w:rPr>
          <w:rFonts w:ascii="Arial" w:hAnsi="Arial"/>
          <w:b/>
          <w:color w:val="1F4D78"/>
          <w:sz w:val="19"/>
        </w:rPr>
        <w:t>هفتهٔ 427  |  صفحهٔ منبع: 443</w:t>
      </w:r>
    </w:p>
    <w:p>
      <w:pPr>
        <w:spacing w:before="60" w:after="28"/>
        <w:jc w:val="right"/>
        <w:bidi/>
      </w:pPr>
      <w:r>
        <w:rPr>
          <w:b/>
          <w:color w:val="1F4D78"/>
          <w:sz w:val="18"/>
        </w:rPr>
        <w:t>شکل 23.4 نمونه های استاندارد موی مردانه</w:t>
      </w:r>
    </w:p>
    <w:p>
      <w:pPr>
        <w:spacing w:after="20"/>
        <w:ind w:left="259"/>
        <w:jc w:val="left"/>
      </w:pPr>
      <w:r>
        <w:rPr>
          <w:color w:val="555555"/>
          <w:sz w:val="12"/>
        </w:rPr>
        <w:t>Figure 23.4 Male Hair Standards Examples</w:t>
      </w:r>
    </w:p>
    <w:p>
      <w:pPr>
        <w:spacing w:before="60" w:after="28"/>
        <w:jc w:val="right"/>
        <w:bidi/>
      </w:pPr>
      <w:r>
        <w:rPr>
          <w:b/>
          <w:color w:val="1F4D78"/>
          <w:sz w:val="18"/>
        </w:rPr>
        <w:t>شکل 23.5 قسمت بریده، بریده یا تراشیده شده</w:t>
      </w:r>
    </w:p>
    <w:p>
      <w:pPr>
        <w:spacing w:after="20"/>
        <w:ind w:left="259"/>
        <w:jc w:val="left"/>
      </w:pPr>
      <w:r>
        <w:rPr>
          <w:color w:val="555555"/>
          <w:sz w:val="12"/>
        </w:rPr>
        <w:t>Figure 23.5 Cut, Clipped, or Shaved Part</w:t>
      </w:r>
    </w:p>
    <w:p>
      <w:pPr>
        <w:spacing w:after="20" w:line="223" w:lineRule="auto"/>
        <w:jc w:val="right"/>
        <w:bidi/>
      </w:pPr>
      <w:r>
        <w:rPr>
          <w:rFonts w:ascii="Arial" w:hAnsi="Arial"/>
          <w:sz w:val="16"/>
        </w:rPr>
        <w:t>427.03  سایدبورن.</w:t>
      </w:r>
    </w:p>
    <w:p>
      <w:pPr>
        <w:spacing w:after="28" w:line="216" w:lineRule="auto"/>
        <w:ind w:left="259"/>
        <w:jc w:val="left"/>
      </w:pPr>
      <w:r>
        <w:rPr>
          <w:rFonts w:ascii="Arial" w:hAnsi="Arial"/>
          <w:color w:val="525252"/>
          <w:sz w:val="13"/>
        </w:rPr>
        <w:t>Sideburns.</w:t>
      </w:r>
    </w:p>
    <w:p>
      <w:pPr>
        <w:spacing w:after="20" w:line="223" w:lineRule="auto"/>
        <w:jc w:val="right"/>
        <w:bidi/>
      </w:pPr>
      <w:r>
        <w:rPr>
          <w:rFonts w:ascii="Arial" w:hAnsi="Arial"/>
          <w:sz w:val="16"/>
        </w:rPr>
        <w:t>427.04  در صورت ساییده شدن، سایدسوختگی صاف و یکنواخت خواهد بود (بدون گشاد شدن) و تا زیر دهانه دهانه گوش گسترش نخواهد یافت.</w:t>
      </w:r>
    </w:p>
    <w:p>
      <w:pPr>
        <w:spacing w:after="28" w:line="216" w:lineRule="auto"/>
        <w:ind w:left="259"/>
        <w:jc w:val="left"/>
      </w:pPr>
      <w:r>
        <w:rPr>
          <w:rFonts w:ascii="Arial" w:hAnsi="Arial"/>
          <w:color w:val="525252"/>
          <w:sz w:val="13"/>
        </w:rPr>
        <w:t>If worn, sideburns will be straight and even width (not flared) and will not extend below the bottom of the orifice of the ear opening.</w:t>
      </w:r>
    </w:p>
    <w:p>
      <w:pPr>
        <w:spacing w:after="20" w:line="223" w:lineRule="auto"/>
        <w:jc w:val="right"/>
        <w:bidi/>
      </w:pPr>
      <w:r>
        <w:rPr>
          <w:rFonts w:ascii="Arial" w:hAnsi="Arial"/>
          <w:sz w:val="16"/>
        </w:rPr>
        <w:t>427.05  سایدبورن‌ها به یک خط افقی تمیز ختم می‌شوند.</w:t>
      </w:r>
    </w:p>
    <w:p>
      <w:pPr>
        <w:spacing w:after="28" w:line="216" w:lineRule="auto"/>
        <w:ind w:left="259"/>
        <w:jc w:val="left"/>
      </w:pPr>
      <w:r>
        <w:rPr>
          <w:rFonts w:ascii="Arial" w:hAnsi="Arial"/>
          <w:color w:val="525252"/>
          <w:sz w:val="13"/>
        </w:rPr>
        <w:t>Sideburns will end in a clean-shaven horizontal line.</w:t>
      </w:r>
    </w:p>
    <w:p>
      <w:pPr>
        <w:spacing w:after="20" w:line="223" w:lineRule="auto"/>
        <w:jc w:val="right"/>
        <w:bidi/>
      </w:pPr>
      <w:r>
        <w:rPr>
          <w:rFonts w:ascii="Arial" w:hAnsi="Arial"/>
          <w:sz w:val="16"/>
        </w:rPr>
        <w:t>427.06  شکل ۲۳.۴ را ببینید.</w:t>
      </w:r>
    </w:p>
    <w:p>
      <w:pPr>
        <w:spacing w:after="28" w:line="216" w:lineRule="auto"/>
        <w:ind w:left="259"/>
        <w:jc w:val="left"/>
      </w:pPr>
      <w:r>
        <w:rPr>
          <w:rFonts w:ascii="Arial" w:hAnsi="Arial"/>
          <w:color w:val="525252"/>
          <w:sz w:val="13"/>
        </w:rPr>
        <w:t>See Figure 23.4.</w:t>
      </w:r>
    </w:p>
    <w:p>
      <w:pPr>
        <w:spacing w:after="20" w:line="223" w:lineRule="auto"/>
        <w:jc w:val="right"/>
        <w:bidi/>
      </w:pPr>
      <w:r>
        <w:rPr>
          <w:rFonts w:ascii="Arial" w:hAnsi="Arial"/>
          <w:sz w:val="16"/>
        </w:rPr>
        <w:t>427.07  سبیل.</w:t>
      </w:r>
    </w:p>
    <w:p>
      <w:pPr>
        <w:spacing w:after="28" w:line="216" w:lineRule="auto"/>
        <w:ind w:left="259"/>
        <w:jc w:val="left"/>
      </w:pPr>
      <w:r>
        <w:rPr>
          <w:rFonts w:ascii="Arial" w:hAnsi="Arial"/>
          <w:color w:val="525252"/>
          <w:sz w:val="13"/>
        </w:rPr>
        <w:t>Mustaches.</w:t>
      </w:r>
    </w:p>
    <w:p>
      <w:pPr>
        <w:spacing w:after="20" w:line="223" w:lineRule="auto"/>
        <w:jc w:val="right"/>
        <w:bidi/>
      </w:pPr>
      <w:r>
        <w:rPr>
          <w:rFonts w:ascii="Arial" w:hAnsi="Arial"/>
          <w:sz w:val="16"/>
        </w:rPr>
        <w:t>427.08  اعضای مرد ممکن است سبیل داشته باشند. هیچ بخشی از سبیل به زیر خط لب لب بالایی کشیده نمی‌شود.</w:t>
      </w:r>
    </w:p>
    <w:p>
      <w:pPr>
        <w:spacing w:after="28" w:line="216" w:lineRule="auto"/>
        <w:ind w:left="259"/>
        <w:jc w:val="left"/>
      </w:pPr>
      <w:r>
        <w:rPr>
          <w:rFonts w:ascii="Arial" w:hAnsi="Arial"/>
          <w:color w:val="525252"/>
          <w:sz w:val="13"/>
        </w:rPr>
        <w:t>Male members may have mustaches; No portion of the mustache will extend below the lip line of the upper lip.</w:t>
      </w:r>
    </w:p>
    <w:p>
      <w:pPr>
        <w:spacing w:after="20" w:line="223" w:lineRule="auto"/>
        <w:jc w:val="right"/>
        <w:bidi/>
      </w:pPr>
      <w:r>
        <w:rPr>
          <w:rFonts w:ascii="Arial" w:hAnsi="Arial"/>
          <w:sz w:val="16"/>
        </w:rPr>
        <w:t>427.09  سبیل فراتر از یک خط افقی که در گوشه‌های دهان امتداد می‌یابد و بیش از ۱/۴ اینچ فراتر از یک خط عمودی کشیده شده از گوشه دهان نخواهد رفت (شکل ۲۳.۴ و ۲۳.۶).</w:t>
      </w:r>
    </w:p>
    <w:p>
      <w:pPr>
        <w:spacing w:after="28" w:line="216" w:lineRule="auto"/>
        <w:ind w:left="259"/>
        <w:jc w:val="left"/>
      </w:pPr>
      <w:r>
        <w:rPr>
          <w:rFonts w:ascii="Arial" w:hAnsi="Arial"/>
          <w:color w:val="525252"/>
          <w:sz w:val="13"/>
        </w:rPr>
        <w:t>The mustache will not go beyond a horizontal line extending across the corners of the mouth and no more than 1/4-inch beyond a vertical line drawn from the corner of the mouth (Figure 23.4 and 23.6).</w:t>
      </w:r>
    </w:p>
    <w:p>
      <w:pPr>
        <w:spacing w:after="20" w:line="223" w:lineRule="auto"/>
        <w:jc w:val="right"/>
        <w:bidi/>
      </w:pPr>
      <w:r>
        <w:rPr>
          <w:rFonts w:ascii="Arial" w:hAnsi="Arial"/>
          <w:sz w:val="16"/>
        </w:rPr>
        <w:t>427.10  سبیل‌ها باید ظاهری طبیعی به رنگ موی سر ایرمن داشته باشند.</w:t>
      </w:r>
    </w:p>
    <w:p>
      <w:pPr>
        <w:spacing w:after="28" w:line="216" w:lineRule="auto"/>
        <w:ind w:left="259"/>
        <w:jc w:val="left"/>
      </w:pPr>
      <w:r>
        <w:rPr>
          <w:rFonts w:ascii="Arial" w:hAnsi="Arial"/>
          <w:color w:val="525252"/>
          <w:sz w:val="13"/>
        </w:rPr>
        <w:t>Mustaches must present a natural appearance to the Airman’s hair color of the head.</w:t>
      </w:r>
    </w:p>
    <w:p>
      <w:pPr>
        <w:spacing w:after="20" w:line="223" w:lineRule="auto"/>
        <w:jc w:val="right"/>
        <w:bidi/>
      </w:pPr>
      <w:r>
        <w:rPr>
          <w:rFonts w:ascii="Arial" w:hAnsi="Arial"/>
          <w:sz w:val="16"/>
        </w:rPr>
        <w:t>427.11  دسته سبیل، پیچ و تاب، فر و بزی ممنوع است.</w:t>
      </w:r>
    </w:p>
    <w:p>
      <w:pPr>
        <w:spacing w:after="28" w:line="216" w:lineRule="auto"/>
        <w:ind w:left="259"/>
        <w:jc w:val="left"/>
      </w:pPr>
      <w:r>
        <w:rPr>
          <w:rFonts w:ascii="Arial" w:hAnsi="Arial"/>
          <w:color w:val="525252"/>
          <w:sz w:val="13"/>
        </w:rPr>
        <w:t>Mustache handlebars, twist, curls, and goatee are prohibited.</w:t>
      </w:r>
    </w:p>
    <w:p>
      <w:pPr>
        <w:spacing w:before="60" w:after="28"/>
        <w:jc w:val="right"/>
        <w:bidi/>
      </w:pPr>
      <w:r>
        <w:rPr>
          <w:b/>
          <w:color w:val="1F4D78"/>
          <w:sz w:val="18"/>
        </w:rPr>
        <w:t>شکل 23.6 سبیل</w:t>
      </w:r>
    </w:p>
    <w:p>
      <w:pPr>
        <w:spacing w:after="20"/>
        <w:ind w:left="259"/>
        <w:jc w:val="left"/>
      </w:pPr>
      <w:r>
        <w:rPr>
          <w:color w:val="555555"/>
          <w:sz w:val="12"/>
        </w:rPr>
        <w:t>Figure 23.6 Mustache</w:t>
      </w:r>
    </w:p>
    <w:p>
      <w:pPr>
        <w:spacing w:after="20" w:line="223" w:lineRule="auto"/>
        <w:jc w:val="right"/>
        <w:bidi/>
      </w:pPr>
      <w:r>
        <w:rPr>
          <w:rFonts w:ascii="Arial" w:hAnsi="Arial"/>
          <w:sz w:val="16"/>
        </w:rPr>
        <w:t>427.13  ریش.</w:t>
      </w:r>
    </w:p>
    <w:p>
      <w:pPr>
        <w:spacing w:after="28" w:line="216" w:lineRule="auto"/>
        <w:ind w:left="259"/>
        <w:jc w:val="left"/>
      </w:pPr>
      <w:r>
        <w:rPr>
          <w:rFonts w:ascii="Arial" w:hAnsi="Arial"/>
          <w:color w:val="525252"/>
          <w:sz w:val="13"/>
        </w:rPr>
        <w:t>Beards.</w:t>
      </w:r>
    </w:p>
    <w:p>
      <w:pPr>
        <w:spacing w:after="20" w:line="223" w:lineRule="auto"/>
        <w:jc w:val="right"/>
        <w:bidi/>
      </w:pPr>
      <w:r>
        <w:rPr>
          <w:rFonts w:ascii="Arial" w:hAnsi="Arial"/>
          <w:sz w:val="16"/>
        </w:rPr>
        <w:t>427.14  ریش مجاز نیست مگر به دلایل پزشکی که توسط پزشکی مجاز باشد</w:t>
      </w:r>
    </w:p>
    <w:p>
      <w:pPr>
        <w:spacing w:after="28" w:line="216" w:lineRule="auto"/>
        <w:ind w:left="259"/>
        <w:jc w:val="left"/>
      </w:pPr>
      <w:r>
        <w:rPr>
          <w:rFonts w:ascii="Arial" w:hAnsi="Arial"/>
          <w:color w:val="525252"/>
          <w:sz w:val="13"/>
        </w:rPr>
        <w:t>Beards are not authorized unless for medical reasons, when authorized by a medical</w:t>
      </w:r>
    </w:p>
    <w:p>
      <w:r>
        <w:br w:type="page"/>
      </w:r>
    </w:p>
    <w:p>
      <w:pPr>
        <w:spacing w:after="60"/>
        <w:jc w:val="right"/>
        <w:bidi/>
      </w:pPr>
      <w:r>
        <w:rPr>
          <w:rFonts w:ascii="Arial" w:hAnsi="Arial"/>
          <w:b/>
          <w:color w:val="1F4D78"/>
          <w:sz w:val="19"/>
        </w:rPr>
        <w:t>هفتهٔ 428  |  صفحهٔ منبع: 444</w:t>
      </w:r>
    </w:p>
    <w:p>
      <w:pPr>
        <w:spacing w:after="20" w:line="223" w:lineRule="auto"/>
        <w:jc w:val="right"/>
        <w:bidi/>
      </w:pPr>
      <w:r>
        <w:rPr>
          <w:rFonts w:ascii="Arial" w:hAnsi="Arial"/>
          <w:sz w:val="16"/>
        </w:rPr>
        <w:t>428.01  مقام، یا به‌عنوان مجاز بنا به درخواست اقامتگاه مذهبی.</w:t>
      </w:r>
    </w:p>
    <w:p>
      <w:pPr>
        <w:spacing w:after="28" w:line="216" w:lineRule="auto"/>
        <w:ind w:left="259"/>
        <w:jc w:val="left"/>
      </w:pPr>
      <w:r>
        <w:rPr>
          <w:rFonts w:ascii="Arial" w:hAnsi="Arial"/>
          <w:color w:val="525252"/>
          <w:sz w:val="13"/>
        </w:rPr>
        <w:t>official, or as authorized pursuant to a request for a religious accommodation.</w:t>
      </w:r>
    </w:p>
    <w:p>
      <w:pPr>
        <w:spacing w:after="20" w:line="223" w:lineRule="auto"/>
        <w:jc w:val="right"/>
        <w:bidi/>
      </w:pPr>
      <w:r>
        <w:rPr>
          <w:rFonts w:ascii="Arial" w:hAnsi="Arial"/>
          <w:sz w:val="16"/>
        </w:rPr>
        <w:t>428.02  وقتی به دلایل پزشکی مجاز باشد، اعضا تمام موهای صورت را به یک اندازه کوتاه می‌کنند و طول آن ممکن است از ۱/۴ اینچ بیشتر نشود.</w:t>
      </w:r>
    </w:p>
    <w:p>
      <w:pPr>
        <w:spacing w:after="28" w:line="216" w:lineRule="auto"/>
        <w:ind w:left="259"/>
        <w:jc w:val="left"/>
      </w:pPr>
      <w:r>
        <w:rPr>
          <w:rFonts w:ascii="Arial" w:hAnsi="Arial"/>
          <w:color w:val="525252"/>
          <w:sz w:val="13"/>
        </w:rPr>
        <w:t>When authorized for medical reasons, members will keep all facial hair trimmed to the same length and it may not to exceed 1/4-inch in length.</w:t>
      </w:r>
    </w:p>
    <w:p>
      <w:pPr>
        <w:spacing w:after="20" w:line="223" w:lineRule="auto"/>
        <w:jc w:val="right"/>
        <w:bidi/>
      </w:pPr>
      <w:r>
        <w:rPr>
          <w:rFonts w:ascii="Arial" w:hAnsi="Arial"/>
          <w:sz w:val="16"/>
        </w:rPr>
        <w:t>428.03  افرادی که پروفیل اصلاح اعطا شده‌اند ممکن است موهای صورت خود را بتراشند یا کوتاه کنند تا یک تصویر نظامی منظم، تمیز و حرفه‌ای ارائه دهند (شکل ۲۳.۷).</w:t>
      </w:r>
    </w:p>
    <w:p>
      <w:pPr>
        <w:spacing w:after="28" w:line="216" w:lineRule="auto"/>
        <w:ind w:left="259"/>
        <w:jc w:val="left"/>
      </w:pPr>
      <w:r>
        <w:rPr>
          <w:rFonts w:ascii="Arial" w:hAnsi="Arial"/>
          <w:color w:val="525252"/>
          <w:sz w:val="13"/>
        </w:rPr>
        <w:t>Individuals granted a shaving profile may shave or trim their facial hair to present a neat, clean, professional military image (Figure 23.7).</w:t>
      </w:r>
    </w:p>
    <w:p>
      <w:pPr>
        <w:spacing w:after="20" w:line="223" w:lineRule="auto"/>
        <w:jc w:val="right"/>
        <w:bidi/>
      </w:pPr>
      <w:r>
        <w:rPr>
          <w:rFonts w:ascii="Arial" w:hAnsi="Arial"/>
          <w:sz w:val="16"/>
        </w:rPr>
        <w:t>428.04  اعضا نباید برای رسیدن به سبک‌های مختلف ریش، ریش را بیش از حد بتراشند، فرم دهند یا مخروطی کنند (به‌عنوان مثال، ریش‌های بزی، ریش‌های پژمرده و غیره مجاز نیستند).</w:t>
      </w:r>
    </w:p>
    <w:p>
      <w:pPr>
        <w:spacing w:after="28" w:line="216" w:lineRule="auto"/>
        <w:ind w:left="259"/>
        <w:jc w:val="left"/>
      </w:pPr>
      <w:r>
        <w:rPr>
          <w:rFonts w:ascii="Arial" w:hAnsi="Arial"/>
          <w:color w:val="525252"/>
          <w:sz w:val="13"/>
        </w:rPr>
        <w:t>Members may not overly shave, shape, or taper beard to achieve different styles of beard (e.g., goatees, faded beards, etc. are not authorized).</w:t>
      </w:r>
    </w:p>
    <w:p>
      <w:pPr>
        <w:spacing w:after="20" w:line="223" w:lineRule="auto"/>
        <w:jc w:val="right"/>
        <w:bidi/>
      </w:pPr>
      <w:r>
        <w:rPr>
          <w:rFonts w:ascii="Arial" w:hAnsi="Arial"/>
          <w:sz w:val="16"/>
        </w:rPr>
        <w:t>428.05  ریش‌ها باید ظاهری طبیعی به رنگ موهای سر ایرمن داشته باشند.</w:t>
      </w:r>
    </w:p>
    <w:p>
      <w:pPr>
        <w:spacing w:after="28" w:line="216" w:lineRule="auto"/>
        <w:ind w:left="259"/>
        <w:jc w:val="left"/>
      </w:pPr>
      <w:r>
        <w:rPr>
          <w:rFonts w:ascii="Arial" w:hAnsi="Arial"/>
          <w:color w:val="525252"/>
          <w:sz w:val="13"/>
        </w:rPr>
        <w:t>Beards must present a natural appearance to the Airman’s hair color of the head.</w:t>
      </w:r>
    </w:p>
    <w:p>
      <w:pPr>
        <w:spacing w:after="20" w:line="223" w:lineRule="auto"/>
        <w:jc w:val="right"/>
        <w:bidi/>
      </w:pPr>
      <w:r>
        <w:rPr>
          <w:rFonts w:ascii="Arial" w:hAnsi="Arial"/>
          <w:sz w:val="16"/>
        </w:rPr>
        <w:t>428.06  ریش مجاز به سفید کردن یا رنگ کردن نیست.</w:t>
      </w:r>
    </w:p>
    <w:p>
      <w:pPr>
        <w:spacing w:after="28" w:line="216" w:lineRule="auto"/>
        <w:ind w:left="259"/>
        <w:jc w:val="left"/>
      </w:pPr>
      <w:r>
        <w:rPr>
          <w:rFonts w:ascii="Arial" w:hAnsi="Arial"/>
          <w:color w:val="525252"/>
          <w:sz w:val="13"/>
        </w:rPr>
        <w:t>Beards are not authorized to be bleached or dyed.</w:t>
      </w:r>
    </w:p>
    <w:p>
      <w:pPr>
        <w:spacing w:after="20" w:line="223" w:lineRule="auto"/>
        <w:jc w:val="right"/>
        <w:bidi/>
      </w:pPr>
      <w:r>
        <w:rPr>
          <w:rFonts w:ascii="Arial" w:hAnsi="Arial"/>
          <w:sz w:val="16"/>
        </w:rPr>
        <w:t>428.07  پوشیدن ریش مجاز به دلایل مذهبی توسط DAFI ۳۶-۲۹۰۳، فصل ۱۱ اداره می‌شود.</w:t>
      </w:r>
    </w:p>
    <w:p>
      <w:pPr>
        <w:spacing w:after="28" w:line="216" w:lineRule="auto"/>
        <w:ind w:left="259"/>
        <w:jc w:val="left"/>
      </w:pPr>
      <w:r>
        <w:rPr>
          <w:rFonts w:ascii="Arial" w:hAnsi="Arial"/>
          <w:color w:val="525252"/>
          <w:sz w:val="13"/>
        </w:rPr>
        <w:t>Beard wear authorized for religious reasons are governed by DAFI 36-2903, Chapter 11.</w:t>
      </w:r>
    </w:p>
    <w:p>
      <w:pPr>
        <w:spacing w:before="60" w:after="28"/>
        <w:jc w:val="right"/>
        <w:bidi/>
      </w:pPr>
      <w:r>
        <w:rPr>
          <w:b/>
          <w:color w:val="1F4D78"/>
          <w:sz w:val="18"/>
        </w:rPr>
        <w:t>شکل 23.7 مثال معافیت اصلاح</w:t>
      </w:r>
    </w:p>
    <w:p>
      <w:pPr>
        <w:spacing w:after="20"/>
        <w:ind w:left="259"/>
        <w:jc w:val="left"/>
      </w:pPr>
      <w:r>
        <w:rPr>
          <w:color w:val="555555"/>
          <w:sz w:val="12"/>
        </w:rPr>
        <w:t>Figure 23.7 Shaving Waiver Example</w:t>
      </w:r>
    </w:p>
    <w:p>
      <w:pPr>
        <w:spacing w:after="20" w:line="223" w:lineRule="auto"/>
        <w:jc w:val="right"/>
        <w:bidi/>
      </w:pPr>
      <w:r>
        <w:rPr>
          <w:rFonts w:ascii="Arial" w:hAnsi="Arial"/>
          <w:sz w:val="16"/>
        </w:rPr>
        <w:t>428.09  مو (زنانه و مرد با اقامتگاه‌های مذهبی تأیید شده موهای کوتاه نشده).</w:t>
      </w:r>
    </w:p>
    <w:p>
      <w:pPr>
        <w:spacing w:after="28" w:line="216" w:lineRule="auto"/>
        <w:ind w:left="259"/>
        <w:jc w:val="left"/>
      </w:pPr>
      <w:r>
        <w:rPr>
          <w:rFonts w:ascii="Arial" w:hAnsi="Arial"/>
          <w:color w:val="525252"/>
          <w:sz w:val="13"/>
        </w:rPr>
        <w:t>Hair (Female and Male with approved unshorn hair religious accommodations).</w:t>
      </w:r>
    </w:p>
    <w:p>
      <w:pPr>
        <w:spacing w:after="20" w:line="223" w:lineRule="auto"/>
        <w:jc w:val="right"/>
        <w:bidi/>
      </w:pPr>
      <w:r>
        <w:rPr>
          <w:rFonts w:ascii="Arial" w:hAnsi="Arial"/>
          <w:sz w:val="16"/>
        </w:rPr>
        <w:t>428.10  بدون حداقل طول مو، حداکثر تا ۴ اینچ از پوست سر و امکان پوشیدن مناسب روسری را فراهم می‌کند.</w:t>
      </w:r>
    </w:p>
    <w:p>
      <w:pPr>
        <w:spacing w:after="28" w:line="216" w:lineRule="auto"/>
        <w:ind w:left="259"/>
        <w:jc w:val="left"/>
      </w:pPr>
      <w:r>
        <w:rPr>
          <w:rFonts w:ascii="Arial" w:hAnsi="Arial"/>
          <w:color w:val="525252"/>
          <w:sz w:val="13"/>
        </w:rPr>
        <w:t>No minimum hair length, to a maximum bulk of 4-inches from scalp and allows proper wear of headgear.</w:t>
      </w:r>
    </w:p>
    <w:p>
      <w:pPr>
        <w:spacing w:after="20" w:line="223" w:lineRule="auto"/>
        <w:jc w:val="right"/>
        <w:bidi/>
      </w:pPr>
      <w:r>
        <w:rPr>
          <w:rFonts w:ascii="Arial" w:hAnsi="Arial"/>
          <w:sz w:val="16"/>
        </w:rPr>
        <w:t>428.11  حداقل استانداردهای مو باید ظاهری متقارن (در حول محور سر) یا مخروطی داشته باشند وقتی از همه زوایا مشاهده می‌شوند.</w:t>
      </w:r>
    </w:p>
    <w:p>
      <w:pPr>
        <w:spacing w:after="28" w:line="216" w:lineRule="auto"/>
        <w:ind w:left="259"/>
        <w:jc w:val="left"/>
      </w:pPr>
      <w:r>
        <w:rPr>
          <w:rFonts w:ascii="Arial" w:hAnsi="Arial"/>
          <w:color w:val="525252"/>
          <w:sz w:val="13"/>
        </w:rPr>
        <w:t>Minimum hair standards must present a symmetric (around the axis of the head) or tapered appearance when viewed from all angles.</w:t>
      </w:r>
    </w:p>
    <w:p>
      <w:pPr>
        <w:spacing w:after="20" w:line="223" w:lineRule="auto"/>
        <w:jc w:val="right"/>
        <w:bidi/>
      </w:pPr>
      <w:r>
        <w:rPr>
          <w:rFonts w:ascii="Arial" w:hAnsi="Arial"/>
          <w:sz w:val="16"/>
        </w:rPr>
        <w:t>428.12  موها به بالای لبه پایین یقه ختم می‌شوند و زیر خط نامرئی کشیده شده به موازات زمین، هم از جلو به پشت و هم از پهلو به پهلو نمی‌شوند، مگر اینکه به عقب کشیده شده و محکم شوند یا در یک دم اسبی مجاز یا بافت(های) مشابه یا بلند پوشیده شوند.</w:t>
      </w:r>
    </w:p>
    <w:p>
      <w:pPr>
        <w:spacing w:after="28" w:line="216" w:lineRule="auto"/>
        <w:ind w:left="259"/>
        <w:jc w:val="left"/>
      </w:pPr>
      <w:r>
        <w:rPr>
          <w:rFonts w:ascii="Arial" w:hAnsi="Arial"/>
          <w:color w:val="525252"/>
          <w:sz w:val="13"/>
        </w:rPr>
        <w:t>Hair will end above the bottom edge of collar and will not extend below an invisible line drawn parallel to the ground, both front to back and side to side unless pulled back and secured or worn in an authorized ponytail or equivalent or long braid(s).</w:t>
      </w:r>
    </w:p>
    <w:p>
      <w:pPr>
        <w:spacing w:after="20" w:line="223" w:lineRule="auto"/>
        <w:jc w:val="right"/>
        <w:bidi/>
      </w:pPr>
      <w:r>
        <w:rPr>
          <w:rFonts w:ascii="Arial" w:hAnsi="Arial"/>
          <w:sz w:val="16"/>
        </w:rPr>
        <w:t>428.13  وقتی موها به عقب کشیده می‌شوند و پشت سر محکم می‌شوند (در قسمت تاج جمع نمی‌شوند یا در بالای سر پوشیده نمی‌شوند)، شعاع از نقطه‌ای که مو جمع شده است به سمت چپ یا راست بیشتر از ۶ اینچ به سمت چپ یا راست نخواهد بود و در مجموع عرض ۱۲ اینچ، ۶ اینچ در حجم زیاد است و باید ساییدگی بیشتری را در سر داشته باشد.</w:t>
      </w:r>
    </w:p>
    <w:p>
      <w:pPr>
        <w:spacing w:after="28" w:line="216" w:lineRule="auto"/>
        <w:ind w:left="259"/>
        <w:jc w:val="left"/>
      </w:pPr>
      <w:r>
        <w:rPr>
          <w:rFonts w:ascii="Arial" w:hAnsi="Arial"/>
          <w:color w:val="525252"/>
          <w:sz w:val="13"/>
        </w:rPr>
        <w:t>When hair is pulled back and secured behind the head (will not be gathered at the crown or worn on the top of the head), radius will not exceed 6-inches to the left or right from the point where the hair is gathered for a total of 12-inches in width, 6-inches in bulk and must allow for proper wear of headgear.</w:t>
      </w:r>
    </w:p>
    <w:p>
      <w:pPr>
        <w:spacing w:after="20" w:line="223" w:lineRule="auto"/>
        <w:jc w:val="right"/>
        <w:bidi/>
      </w:pPr>
      <w:r>
        <w:rPr>
          <w:rFonts w:ascii="Arial" w:hAnsi="Arial"/>
          <w:sz w:val="16"/>
        </w:rPr>
        <w:t>428.14  یک یا دو بافته یا یک دم اسبی یا معادل آن ممکن است در پشت عضو ساییده شود که طول آن تا زیر یک خط افقی که بین بالای هر درز آستین در زیر بازو از طریق تیغه‌های شانه کشیده نمی‌شود، کشیده شود.</w:t>
      </w:r>
    </w:p>
    <w:p>
      <w:pPr>
        <w:spacing w:after="28" w:line="216" w:lineRule="auto"/>
        <w:ind w:left="259"/>
        <w:jc w:val="left"/>
      </w:pPr>
      <w:r>
        <w:rPr>
          <w:rFonts w:ascii="Arial" w:hAnsi="Arial"/>
          <w:color w:val="525252"/>
          <w:sz w:val="13"/>
        </w:rPr>
        <w:t>One or two braids or a single ponytail or equivalent may be worn down the member’s back with length not extending below a horizontal line running between the top of each sleeve inseam at the under arm through the shoulder blades.</w:t>
      </w:r>
    </w:p>
    <w:p>
      <w:pPr>
        <w:spacing w:after="20" w:line="223" w:lineRule="auto"/>
        <w:jc w:val="right"/>
        <w:bidi/>
      </w:pPr>
      <w:r>
        <w:rPr>
          <w:rFonts w:ascii="Arial" w:hAnsi="Arial"/>
          <w:sz w:val="16"/>
        </w:rPr>
        <w:t>428.15  قیطان، دم اسبی یا معادل آن باید به سمت پایین عضو کشیده شود و نمی‌توان آن را روی شانه پوشید یا جلوی بدن کشید.</w:t>
      </w:r>
    </w:p>
    <w:p>
      <w:pPr>
        <w:spacing w:after="28" w:line="216" w:lineRule="auto"/>
        <w:ind w:left="259"/>
        <w:jc w:val="left"/>
      </w:pPr>
      <w:r>
        <w:rPr>
          <w:rFonts w:ascii="Arial" w:hAnsi="Arial"/>
          <w:color w:val="525252"/>
          <w:sz w:val="13"/>
        </w:rPr>
        <w:t>The braid(s), ponytail or equivalent shall extend down the member’s back and cannot be worn over the shoulder or pulled in front of the body.</w:t>
      </w:r>
    </w:p>
    <w:p>
      <w:pPr>
        <w:spacing w:after="20" w:line="223" w:lineRule="auto"/>
        <w:jc w:val="right"/>
        <w:bidi/>
      </w:pPr>
      <w:r>
        <w:rPr>
          <w:rFonts w:ascii="Arial" w:hAnsi="Arial"/>
          <w:sz w:val="16"/>
        </w:rPr>
        <w:t>428.16  چتری یا موهایی که به پهلو کشیده می‌شوند، ممکن است ابروها را لمس کنند، اما چشم‌ها را لمس نمی‌کنند یا نمی‌پوشانند.</w:t>
      </w:r>
    </w:p>
    <w:p>
      <w:pPr>
        <w:spacing w:after="28" w:line="216" w:lineRule="auto"/>
        <w:ind w:left="259"/>
        <w:jc w:val="left"/>
      </w:pPr>
      <w:r>
        <w:rPr>
          <w:rFonts w:ascii="Arial" w:hAnsi="Arial"/>
          <w:color w:val="525252"/>
          <w:sz w:val="13"/>
        </w:rPr>
        <w:t>Bangs, or side-swiped hair, may touch eyebrows but will not touch or cover eyes.</w:t>
      </w:r>
    </w:p>
    <w:p>
      <w:pPr>
        <w:spacing w:after="20" w:line="223" w:lineRule="auto"/>
        <w:jc w:val="right"/>
        <w:bidi/>
      </w:pPr>
      <w:r>
        <w:rPr>
          <w:rFonts w:ascii="Arial" w:hAnsi="Arial"/>
          <w:sz w:val="16"/>
        </w:rPr>
        <w:t>428.17  در صورت شک، طول صحیح مو را با ایرمن که در موقعیت توجه ایستاده است ارزیابی کنید.</w:t>
      </w:r>
    </w:p>
    <w:p>
      <w:pPr>
        <w:spacing w:after="28" w:line="216" w:lineRule="auto"/>
        <w:ind w:left="259"/>
        <w:jc w:val="left"/>
      </w:pPr>
      <w:r>
        <w:rPr>
          <w:rFonts w:ascii="Arial" w:hAnsi="Arial"/>
          <w:color w:val="525252"/>
          <w:sz w:val="13"/>
        </w:rPr>
        <w:t>When in doubt, assess the correct length of hair with the Airman standing in the position of attention.</w:t>
      </w:r>
    </w:p>
    <w:p>
      <w:pPr>
        <w:spacing w:after="20" w:line="223" w:lineRule="auto"/>
        <w:jc w:val="right"/>
        <w:bidi/>
      </w:pPr>
      <w:r>
        <w:rPr>
          <w:rFonts w:ascii="Arial" w:hAnsi="Arial"/>
          <w:sz w:val="16"/>
        </w:rPr>
        <w:t>428.18  برای نمونه هایی از استانداردهای موی زنانه به شکل ۲۳.۸، شکل ۲۳.۱۰، و شکل ۲۳.۱۱ مراجعه کنید.</w:t>
      </w:r>
    </w:p>
    <w:p>
      <w:pPr>
        <w:spacing w:after="28" w:line="216" w:lineRule="auto"/>
        <w:ind w:left="259"/>
        <w:jc w:val="left"/>
      </w:pPr>
      <w:r>
        <w:rPr>
          <w:rFonts w:ascii="Arial" w:hAnsi="Arial"/>
          <w:color w:val="525252"/>
          <w:sz w:val="13"/>
        </w:rPr>
        <w:t>See Figure 23.8., Figure 23.10, and Figure 23.11 for examples of female hair standards.</w:t>
      </w:r>
    </w:p>
    <w:p>
      <w:pPr>
        <w:spacing w:after="20" w:line="223" w:lineRule="auto"/>
        <w:jc w:val="right"/>
        <w:bidi/>
      </w:pPr>
      <w:r>
        <w:rPr>
          <w:rFonts w:ascii="Arial" w:hAnsi="Arial"/>
          <w:sz w:val="16"/>
        </w:rPr>
        <w:t>428.19  استثنا: در هنگام پوشیدن لباس تمرین بدنی (PTG)، موهای بلند محکم می‌شوند، اما ممکن است انتهای آن‌ها شل باشد و ممکن است زیر یک خط افقی که بین بالای هر درز آستین در زیر بازو از میان تیغه‌های شانه کشیده می‌شود، کشیده شود.</w:t>
      </w:r>
    </w:p>
    <w:p>
      <w:pPr>
        <w:spacing w:after="28" w:line="216" w:lineRule="auto"/>
        <w:ind w:left="259"/>
        <w:jc w:val="left"/>
      </w:pPr>
      <w:r>
        <w:rPr>
          <w:rFonts w:ascii="Arial" w:hAnsi="Arial"/>
          <w:color w:val="525252"/>
          <w:sz w:val="13"/>
        </w:rPr>
        <w:t>Exception: While wearing the Physical Training Gear (PTG), long hair will be secured but may have loose ends and may extend below a horizontal line running between the top of each sleeve inseam at the under arm through the shoulder blades.</w:t>
      </w:r>
    </w:p>
    <w:p>
      <w:r>
        <w:br w:type="page"/>
      </w:r>
    </w:p>
    <w:p>
      <w:pPr>
        <w:spacing w:after="60"/>
        <w:jc w:val="right"/>
        <w:bidi/>
      </w:pPr>
      <w:r>
        <w:rPr>
          <w:rFonts w:ascii="Arial" w:hAnsi="Arial"/>
          <w:b/>
          <w:color w:val="1F4D78"/>
          <w:sz w:val="19"/>
        </w:rPr>
        <w:t>هفتهٔ 429  |  صفحهٔ منبع: 445</w:t>
      </w:r>
    </w:p>
    <w:p>
      <w:pPr>
        <w:spacing w:before="60" w:after="28"/>
        <w:jc w:val="right"/>
        <w:bidi/>
      </w:pPr>
      <w:r>
        <w:rPr>
          <w:b/>
          <w:color w:val="1F4D78"/>
          <w:sz w:val="18"/>
        </w:rPr>
        <w:t>شکل 23.8 نمونه های موی زن</w:t>
      </w:r>
    </w:p>
    <w:p>
      <w:pPr>
        <w:spacing w:after="20"/>
        <w:ind w:left="259"/>
        <w:jc w:val="left"/>
      </w:pPr>
      <w:r>
        <w:rPr>
          <w:color w:val="555555"/>
          <w:sz w:val="12"/>
        </w:rPr>
        <w:t>Figure 23.8 Female Hair Examples</w:t>
      </w:r>
    </w:p>
    <w:p>
      <w:pPr>
        <w:spacing w:after="20" w:line="223" w:lineRule="auto"/>
        <w:jc w:val="right"/>
        <w:bidi/>
      </w:pPr>
      <w:r>
        <w:rPr>
          <w:rFonts w:ascii="Arial" w:hAnsi="Arial"/>
          <w:sz w:val="16"/>
        </w:rPr>
        <w:t>429.02  موهای سنجاق شده باید به گونه‌ای حالت داده شوند که از امتداد انتهای شل به سمت بالا روی سر جلوگیری شود و ممکن است از تاج سر شروع نشود یا در بالای سر پوشیده شود.</w:t>
      </w:r>
    </w:p>
    <w:p>
      <w:pPr>
        <w:spacing w:after="28" w:line="216" w:lineRule="auto"/>
        <w:ind w:left="259"/>
        <w:jc w:val="left"/>
      </w:pPr>
      <w:r>
        <w:rPr>
          <w:rFonts w:ascii="Arial" w:hAnsi="Arial"/>
          <w:color w:val="525252"/>
          <w:sz w:val="13"/>
        </w:rPr>
        <w:t>Pinned-up hair should be styled in a manner that prevents loose ends from extending upward on the head and may not start at the crown of the head or be worn on the top of the head.</w:t>
      </w:r>
    </w:p>
    <w:p>
      <w:pPr>
        <w:spacing w:after="20" w:line="223" w:lineRule="auto"/>
        <w:jc w:val="right"/>
        <w:bidi/>
      </w:pPr>
      <w:r>
        <w:rPr>
          <w:rFonts w:ascii="Arial" w:hAnsi="Arial"/>
          <w:sz w:val="16"/>
        </w:rPr>
        <w:t>429.03  هنگامی که موها در یک مو هستند، مو باید یک موی تک باشد. تمام انتهای شل باید جمع شده و محکم شوند.</w:t>
      </w:r>
    </w:p>
    <w:p>
      <w:pPr>
        <w:spacing w:after="28" w:line="216" w:lineRule="auto"/>
        <w:ind w:left="259"/>
        <w:jc w:val="left"/>
      </w:pPr>
      <w:r>
        <w:rPr>
          <w:rFonts w:ascii="Arial" w:hAnsi="Arial"/>
          <w:color w:val="525252"/>
          <w:sz w:val="13"/>
        </w:rPr>
        <w:t>When hair is in a bun, the bun must be a single bun; all loose ends must be tucked in and secured.</w:t>
      </w:r>
    </w:p>
    <w:p>
      <w:pPr>
        <w:spacing w:after="20" w:line="223" w:lineRule="auto"/>
        <w:jc w:val="right"/>
        <w:bidi/>
      </w:pPr>
      <w:r>
        <w:rPr>
          <w:rFonts w:ascii="Arial" w:hAnsi="Arial"/>
          <w:sz w:val="16"/>
        </w:rPr>
        <w:t>429.04  مو باید اجازه پوشیدن مناسب روسری را بدهد.</w:t>
      </w:r>
    </w:p>
    <w:p>
      <w:pPr>
        <w:spacing w:after="28" w:line="216" w:lineRule="auto"/>
        <w:ind w:left="259"/>
        <w:jc w:val="left"/>
      </w:pPr>
      <w:r>
        <w:rPr>
          <w:rFonts w:ascii="Arial" w:hAnsi="Arial"/>
          <w:color w:val="525252"/>
          <w:sz w:val="13"/>
        </w:rPr>
        <w:t>Hair must allow for proper wear of headgear.</w:t>
      </w:r>
    </w:p>
    <w:p>
      <w:pPr>
        <w:spacing w:after="20" w:line="223" w:lineRule="auto"/>
        <w:jc w:val="right"/>
        <w:bidi/>
      </w:pPr>
      <w:r>
        <w:rPr>
          <w:rFonts w:ascii="Arial" w:hAnsi="Arial"/>
          <w:sz w:val="16"/>
        </w:rPr>
        <w:t>429.05  لوازم جانبی مو.</w:t>
      </w:r>
    </w:p>
    <w:p>
      <w:pPr>
        <w:spacing w:after="28" w:line="216" w:lineRule="auto"/>
        <w:ind w:left="259"/>
        <w:jc w:val="left"/>
      </w:pPr>
      <w:r>
        <w:rPr>
          <w:rFonts w:ascii="Arial" w:hAnsi="Arial"/>
          <w:color w:val="525252"/>
          <w:sz w:val="13"/>
        </w:rPr>
        <w:t>Hair accessories.</w:t>
      </w:r>
    </w:p>
    <w:p>
      <w:pPr>
        <w:spacing w:after="20" w:line="223" w:lineRule="auto"/>
        <w:jc w:val="right"/>
        <w:bidi/>
      </w:pPr>
      <w:r>
        <w:rPr>
          <w:rFonts w:ascii="Arial" w:hAnsi="Arial"/>
          <w:sz w:val="16"/>
        </w:rPr>
        <w:t>429.06  در صورت پوشیدن، لوازم جانبی مو (مانند اسکرانش‌های پارچه‌ای، سنجاق سر، شانه، گیره، هدبند، کش، نوار و غیره) باید مشکی یا با رنگ مو هماهنگ باشند.</w:t>
      </w:r>
    </w:p>
    <w:p>
      <w:pPr>
        <w:spacing w:after="28" w:line="216" w:lineRule="auto"/>
        <w:ind w:left="259"/>
        <w:jc w:val="left"/>
      </w:pPr>
      <w:r>
        <w:rPr>
          <w:rFonts w:ascii="Arial" w:hAnsi="Arial"/>
          <w:color w:val="525252"/>
          <w:sz w:val="13"/>
        </w:rPr>
        <w:t>If worn, hair accessories (e.g., fabric scrunches, hairpins, combs, clips, headbands, elastic bands, barrettes, etc.) must be black or match hair color.</w:t>
      </w:r>
    </w:p>
    <w:p>
      <w:pPr>
        <w:spacing w:after="20" w:line="223" w:lineRule="auto"/>
        <w:jc w:val="right"/>
        <w:bidi/>
      </w:pPr>
      <w:r>
        <w:rPr>
          <w:rFonts w:ascii="Arial" w:hAnsi="Arial"/>
          <w:sz w:val="16"/>
        </w:rPr>
        <w:t>429.07  تورهای موی نامرئی و تورهای موی متناسب با رنگ مو مجاز هستند.</w:t>
      </w:r>
    </w:p>
    <w:p>
      <w:pPr>
        <w:spacing w:after="28" w:line="216" w:lineRule="auto"/>
        <w:ind w:left="259"/>
        <w:jc w:val="left"/>
      </w:pPr>
      <w:r>
        <w:rPr>
          <w:rFonts w:ascii="Arial" w:hAnsi="Arial"/>
          <w:color w:val="525252"/>
          <w:sz w:val="13"/>
        </w:rPr>
        <w:t>Invisible hairnets and hairnets that match hair color are authorized.</w:t>
      </w:r>
    </w:p>
    <w:p>
      <w:pPr>
        <w:spacing w:after="20" w:line="223" w:lineRule="auto"/>
        <w:jc w:val="right"/>
        <w:bidi/>
      </w:pPr>
      <w:r>
        <w:rPr>
          <w:rFonts w:ascii="Arial" w:hAnsi="Arial"/>
          <w:sz w:val="16"/>
        </w:rPr>
        <w:t>429.08  هدبندها یا اسکرانچ‌های پارچه‌ای از عرض ۲ اینچ تجاوز نخواهند کرد.</w:t>
      </w:r>
    </w:p>
    <w:p>
      <w:pPr>
        <w:spacing w:after="28" w:line="216" w:lineRule="auto"/>
        <w:ind w:left="259"/>
        <w:jc w:val="left"/>
      </w:pPr>
      <w:r>
        <w:rPr>
          <w:rFonts w:ascii="Arial" w:hAnsi="Arial"/>
          <w:color w:val="525252"/>
          <w:sz w:val="13"/>
        </w:rPr>
        <w:t>Headbands or fabric scrunches will not exceed 2-inches in width.</w:t>
      </w:r>
    </w:p>
    <w:p>
      <w:pPr>
        <w:spacing w:after="20" w:line="223" w:lineRule="auto"/>
        <w:jc w:val="right"/>
        <w:bidi/>
      </w:pPr>
      <w:r>
        <w:rPr>
          <w:rFonts w:ascii="Arial" w:hAnsi="Arial"/>
          <w:sz w:val="16"/>
        </w:rPr>
        <w:t>429.09  زیور آلات (به‌عنوان مثال، روبان، مهره، سنجاق نگین دار) مجاز نیستند.</w:t>
      </w:r>
    </w:p>
    <w:p>
      <w:pPr>
        <w:spacing w:after="28" w:line="216" w:lineRule="auto"/>
        <w:ind w:left="259"/>
        <w:jc w:val="left"/>
      </w:pPr>
      <w:r>
        <w:rPr>
          <w:rFonts w:ascii="Arial" w:hAnsi="Arial"/>
          <w:color w:val="525252"/>
          <w:sz w:val="13"/>
        </w:rPr>
        <w:t>Ornaments are not authorized (i.e., ribbons, beads, jeweled pins).</w:t>
      </w:r>
    </w:p>
    <w:p>
      <w:pPr>
        <w:spacing w:after="20" w:line="223" w:lineRule="auto"/>
        <w:jc w:val="right"/>
        <w:bidi/>
      </w:pPr>
      <w:r>
        <w:rPr>
          <w:rFonts w:ascii="Arial" w:hAnsi="Arial"/>
          <w:sz w:val="16"/>
        </w:rPr>
        <w:t>429.10  شکل ۲۳.۹ را ببینید.</w:t>
      </w:r>
    </w:p>
    <w:p>
      <w:pPr>
        <w:spacing w:after="28" w:line="216" w:lineRule="auto"/>
        <w:ind w:left="259"/>
        <w:jc w:val="left"/>
      </w:pPr>
      <w:r>
        <w:rPr>
          <w:rFonts w:ascii="Arial" w:hAnsi="Arial"/>
          <w:color w:val="525252"/>
          <w:sz w:val="13"/>
        </w:rPr>
        <w:t>See Figure 23.9.</w:t>
      </w:r>
    </w:p>
    <w:p>
      <w:pPr>
        <w:spacing w:before="60" w:after="28"/>
        <w:jc w:val="right"/>
        <w:bidi/>
      </w:pPr>
      <w:r>
        <w:rPr>
          <w:b/>
          <w:color w:val="1F4D78"/>
          <w:sz w:val="18"/>
        </w:rPr>
        <w:t>شکل 23.9 لوازم جانبی موی زنانه</w:t>
      </w:r>
    </w:p>
    <w:p>
      <w:pPr>
        <w:spacing w:after="20"/>
        <w:ind w:left="259"/>
        <w:jc w:val="left"/>
      </w:pPr>
      <w:r>
        <w:rPr>
          <w:color w:val="555555"/>
          <w:sz w:val="12"/>
        </w:rPr>
        <w:t>Figure 23.9 Female Hair Accessories</w:t>
      </w:r>
    </w:p>
    <w:p>
      <w:pPr>
        <w:spacing w:after="20" w:line="223" w:lineRule="auto"/>
        <w:jc w:val="right"/>
        <w:bidi/>
      </w:pPr>
      <w:r>
        <w:rPr>
          <w:rFonts w:ascii="Arial" w:hAnsi="Arial"/>
          <w:sz w:val="16"/>
        </w:rPr>
        <w:t>429.12  لوک، قیطان، پیچ و تاب، میکرو بافته، قیطان فرنچ، قیطان هلندی، و کرانرو مجاز است.</w:t>
      </w:r>
    </w:p>
    <w:p>
      <w:pPr>
        <w:spacing w:after="28" w:line="216" w:lineRule="auto"/>
        <w:ind w:left="259"/>
        <w:jc w:val="left"/>
      </w:pPr>
      <w:r>
        <w:rPr>
          <w:rFonts w:ascii="Arial" w:hAnsi="Arial"/>
          <w:color w:val="525252"/>
          <w:sz w:val="13"/>
        </w:rPr>
        <w:t>Locs, braids, twists, micro-braids, french braids, dutch braids, and cornrows are authorized.</w:t>
      </w:r>
    </w:p>
    <w:p>
      <w:pPr>
        <w:spacing w:after="20" w:line="223" w:lineRule="auto"/>
        <w:jc w:val="right"/>
        <w:bidi/>
      </w:pPr>
      <w:r>
        <w:rPr>
          <w:rFonts w:ascii="Arial" w:hAnsi="Arial"/>
          <w:sz w:val="16"/>
        </w:rPr>
        <w:t>429.13  قیطان یا پیچ دو قسمت یا بیشتر از موی درهم تنیده است.</w:t>
      </w:r>
    </w:p>
    <w:p>
      <w:pPr>
        <w:spacing w:after="28" w:line="216" w:lineRule="auto"/>
        <w:ind w:left="259"/>
        <w:jc w:val="left"/>
      </w:pPr>
      <w:r>
        <w:rPr>
          <w:rFonts w:ascii="Arial" w:hAnsi="Arial"/>
          <w:color w:val="525252"/>
          <w:sz w:val="13"/>
        </w:rPr>
        <w:t>A braid or twist is two or more portions of interwoven hair.</w:t>
      </w:r>
    </w:p>
    <w:p>
      <w:pPr>
        <w:spacing w:after="20" w:line="223" w:lineRule="auto"/>
        <w:jc w:val="right"/>
        <w:bidi/>
      </w:pPr>
      <w:r>
        <w:rPr>
          <w:rFonts w:ascii="Arial" w:hAnsi="Arial"/>
          <w:sz w:val="16"/>
        </w:rPr>
        <w:t>429.14  در صورت اضافه کردن موهای اضافی، باید رنگی طبیعی و مطابق با رنگ موی فرد باشد.</w:t>
      </w:r>
    </w:p>
    <w:p>
      <w:pPr>
        <w:spacing w:after="28" w:line="216" w:lineRule="auto"/>
        <w:ind w:left="259"/>
        <w:jc w:val="left"/>
      </w:pPr>
      <w:r>
        <w:rPr>
          <w:rFonts w:ascii="Arial" w:hAnsi="Arial"/>
          <w:color w:val="525252"/>
          <w:sz w:val="13"/>
        </w:rPr>
        <w:t>If adding additional hair, it must be a natural- looking color, matching the individual’s hair color.</w:t>
      </w:r>
    </w:p>
    <w:p>
      <w:pPr>
        <w:spacing w:after="20" w:line="223" w:lineRule="auto"/>
        <w:jc w:val="right"/>
        <w:bidi/>
      </w:pPr>
      <w:r>
        <w:rPr>
          <w:rFonts w:ascii="Arial" w:hAnsi="Arial"/>
          <w:sz w:val="16"/>
        </w:rPr>
        <w:t>429.15  چندین حلقه، قیطان، پیچ و تاب یا میخچه ممکن است به صورت یک یا دو بافته یا یک دم اسبی منفرد در پشت به هم برسند همانطور که در شکل ۲۳.۱۰ توضیح داده شده است.</w:t>
      </w:r>
    </w:p>
    <w:p>
      <w:pPr>
        <w:spacing w:after="28" w:line="216" w:lineRule="auto"/>
        <w:ind w:left="259"/>
        <w:jc w:val="left"/>
      </w:pPr>
      <w:r>
        <w:rPr>
          <w:rFonts w:ascii="Arial" w:hAnsi="Arial"/>
          <w:color w:val="525252"/>
          <w:sz w:val="13"/>
        </w:rPr>
        <w:t>Multiple locs, braids, twists or cornrows may come together down the back in one or two braids, or a single ponytail as described in Figure 23.10.</w:t>
      </w:r>
    </w:p>
    <w:p>
      <w:pPr>
        <w:spacing w:after="20" w:line="223" w:lineRule="auto"/>
        <w:jc w:val="right"/>
        <w:bidi/>
      </w:pPr>
      <w:r>
        <w:rPr>
          <w:rFonts w:ascii="Arial" w:hAnsi="Arial"/>
          <w:sz w:val="16"/>
        </w:rPr>
        <w:t>429.16  تمام قلاب‌ها، قیطان‌ها و پیچ‌ها در هنگام پوشیدن دارای ابعادی یکنواخت، نه بیشتر از یک اینچ، با فاصله طبیعی بین قیطان‌ها، قیطان‌ها و پیچ‌ها هستند و باید محکم در هم تنیده شوند تا ظاهری مرتب، حرفه‌ای و آراسته داشته باشند.</w:t>
      </w:r>
    </w:p>
    <w:p>
      <w:pPr>
        <w:spacing w:after="28" w:line="216" w:lineRule="auto"/>
        <w:ind w:left="259"/>
        <w:jc w:val="left"/>
      </w:pPr>
      <w:r>
        <w:rPr>
          <w:rFonts w:ascii="Arial" w:hAnsi="Arial"/>
          <w:color w:val="525252"/>
          <w:sz w:val="13"/>
        </w:rPr>
        <w:t>All locs, braids and twists, when worn will be of uniform dimension, no wider than one-inch, with natural spacing between the locs, braids, and twists and must be tightly interwoven to present a neat, professional, and well-groomed appearance.</w:t>
      </w:r>
    </w:p>
    <w:p>
      <w:pPr>
        <w:spacing w:after="20" w:line="223" w:lineRule="auto"/>
        <w:jc w:val="right"/>
        <w:bidi/>
      </w:pPr>
      <w:r>
        <w:rPr>
          <w:rFonts w:ascii="Arial" w:hAnsi="Arial"/>
          <w:sz w:val="16"/>
        </w:rPr>
        <w:t>429.17  هنگام پوشیدن، قلاب‌ها، بافته‌ها یا پیچش‌های متعدد باید ابعادی یکنواخت داشته باشند، قطر آن بیشتر از ۱/۴ نباشد، بیش از ۱/۴ اینچ از پوست سر بین قیچی‌ها، قیطان‌ها یا پیچ‌خوردگی‌ها دیده نشود و باید محکم در هم تنیده شوند تا ظاهری مرتب داشته باشند.</w:t>
      </w:r>
    </w:p>
    <w:p>
      <w:pPr>
        <w:spacing w:after="28" w:line="216" w:lineRule="auto"/>
        <w:ind w:left="259"/>
        <w:jc w:val="left"/>
      </w:pPr>
      <w:r>
        <w:rPr>
          <w:rFonts w:ascii="Arial" w:hAnsi="Arial"/>
          <w:color w:val="525252"/>
          <w:sz w:val="13"/>
        </w:rPr>
        <w:t>When worn, multiple locs, braids, or twists shall be of uniform dimension, no larger than a 1/4 in diameter, show no more than 1/4-inch of scalp between the locs, braids, or twists and must be tightly interwoven to present a neat appearance.</w:t>
      </w:r>
    </w:p>
    <w:p>
      <w:pPr>
        <w:spacing w:after="20" w:line="223" w:lineRule="auto"/>
        <w:jc w:val="right"/>
        <w:bidi/>
      </w:pPr>
      <w:r>
        <w:rPr>
          <w:rFonts w:ascii="Arial" w:hAnsi="Arial"/>
          <w:sz w:val="16"/>
        </w:rPr>
        <w:t>429.18  قیطان/پیچ باید تا انتهای مو بدون طرح و مطابق با خط سر ادامه یابد و ممکن است گشاد یا به سبک محکم مطابق با استانداردهای مو که در بالا توضیح داده شد پوشیده شود.</w:t>
      </w:r>
    </w:p>
    <w:p>
      <w:pPr>
        <w:spacing w:after="28" w:line="216" w:lineRule="auto"/>
        <w:ind w:left="259"/>
        <w:jc w:val="left"/>
      </w:pPr>
      <w:r>
        <w:rPr>
          <w:rFonts w:ascii="Arial" w:hAnsi="Arial"/>
          <w:color w:val="525252"/>
          <w:sz w:val="13"/>
        </w:rPr>
        <w:t>A braid/twist must continue to the end of the hair without design and following the contour of the head and may be worn loose or in a secured style within hair standards as described above.</w:t>
      </w:r>
    </w:p>
    <w:p>
      <w:pPr>
        <w:spacing w:after="20" w:line="223" w:lineRule="auto"/>
        <w:jc w:val="right"/>
        <w:bidi/>
      </w:pPr>
      <w:r>
        <w:rPr>
          <w:rFonts w:ascii="Arial" w:hAnsi="Arial"/>
          <w:sz w:val="16"/>
        </w:rPr>
        <w:t>429.19  استثناء: برای ادامه دادن به انتهای مو نیازی به میکرو بافته یا پیچش نیست.</w:t>
      </w:r>
    </w:p>
    <w:p>
      <w:pPr>
        <w:spacing w:after="28" w:line="216" w:lineRule="auto"/>
        <w:ind w:left="259"/>
        <w:jc w:val="left"/>
      </w:pPr>
      <w:r>
        <w:rPr>
          <w:rFonts w:ascii="Arial" w:hAnsi="Arial"/>
          <w:color w:val="525252"/>
          <w:sz w:val="13"/>
        </w:rPr>
        <w:t>Exception: Micro-braids or twists are not required to continue to the end of the hair.</w:t>
      </w:r>
    </w:p>
    <w:p>
      <w:pPr>
        <w:spacing w:after="20" w:line="223" w:lineRule="auto"/>
        <w:jc w:val="right"/>
        <w:bidi/>
      </w:pPr>
      <w:r>
        <w:rPr>
          <w:rFonts w:ascii="Arial" w:hAnsi="Arial"/>
          <w:sz w:val="16"/>
        </w:rPr>
        <w:t>429.20  شکل ۳.۱۰ را برای نمونه‌هایی از قیطان‌ها، پیچ‌خوردگی‌ها، میکرو بافته‌ها ببینید.</w:t>
      </w:r>
    </w:p>
    <w:p>
      <w:pPr>
        <w:spacing w:after="28" w:line="216" w:lineRule="auto"/>
        <w:ind w:left="259"/>
        <w:jc w:val="left"/>
      </w:pPr>
      <w:r>
        <w:rPr>
          <w:rFonts w:ascii="Arial" w:hAnsi="Arial"/>
          <w:color w:val="525252"/>
          <w:sz w:val="13"/>
        </w:rPr>
        <w:t>See Figure 3.10 for examples of braids, twists, micro-braids.</w:t>
      </w:r>
    </w:p>
    <w:p>
      <w:r>
        <w:br w:type="page"/>
      </w:r>
    </w:p>
    <w:p>
      <w:pPr>
        <w:spacing w:after="60"/>
        <w:jc w:val="right"/>
        <w:bidi/>
      </w:pPr>
      <w:r>
        <w:rPr>
          <w:rFonts w:ascii="Arial" w:hAnsi="Arial"/>
          <w:b/>
          <w:color w:val="1F4D78"/>
          <w:sz w:val="19"/>
        </w:rPr>
        <w:t>هفتهٔ 430  |  صفحهٔ منبع: 446</w:t>
      </w:r>
    </w:p>
    <w:p>
      <w:pPr>
        <w:spacing w:before="60" w:after="28"/>
        <w:jc w:val="right"/>
        <w:bidi/>
      </w:pPr>
      <w:r>
        <w:rPr>
          <w:b/>
          <w:color w:val="1F4D78"/>
          <w:sz w:val="18"/>
        </w:rPr>
        <w:t>شکل 23.10 مدل‌های مجاز موی زنانه نمونه‌هایی از گیسوان، قیطان‌ها، و کرنروها</w:t>
      </w:r>
    </w:p>
    <w:p>
      <w:pPr>
        <w:spacing w:after="20"/>
        <w:ind w:left="259"/>
        <w:jc w:val="left"/>
      </w:pPr>
      <w:r>
        <w:rPr>
          <w:color w:val="555555"/>
          <w:sz w:val="12"/>
        </w:rPr>
        <w:t>Figure 23.10 Authorized Female Hair Styles Examples of Locs, Braids, and Cornrows</w:t>
      </w:r>
    </w:p>
    <w:p>
      <w:pPr>
        <w:spacing w:before="60" w:after="28"/>
        <w:jc w:val="right"/>
        <w:bidi/>
      </w:pPr>
      <w:r>
        <w:rPr>
          <w:b/>
          <w:color w:val="1F4D78"/>
          <w:sz w:val="18"/>
        </w:rPr>
        <w:t>شکل 23.11 نمونه‌هایی از مدل‌های موی دم اسبی مجاز/ بافت(های) معادل و بلند</w:t>
      </w:r>
    </w:p>
    <w:p>
      <w:pPr>
        <w:spacing w:after="20"/>
        <w:ind w:left="259"/>
        <w:jc w:val="left"/>
      </w:pPr>
      <w:r>
        <w:rPr>
          <w:color w:val="555555"/>
          <w:sz w:val="12"/>
        </w:rPr>
        <w:t>Figure 23.11 Authorized Ponytails/Equivalent and Long braid(s) Hair Styles Examples</w:t>
      </w:r>
    </w:p>
    <w:p>
      <w:r>
        <w:br w:type="page"/>
      </w:r>
    </w:p>
    <w:p>
      <w:pPr>
        <w:spacing w:after="60"/>
        <w:jc w:val="right"/>
        <w:bidi/>
      </w:pPr>
      <w:r>
        <w:rPr>
          <w:rFonts w:ascii="Arial" w:hAnsi="Arial"/>
          <w:b/>
          <w:color w:val="1F4D78"/>
          <w:sz w:val="19"/>
        </w:rPr>
        <w:t>هفتهٔ 431  |  صفحهٔ منبع: 447</w:t>
      </w:r>
    </w:p>
    <w:p>
      <w:pPr>
        <w:spacing w:before="60" w:after="28"/>
        <w:jc w:val="right"/>
        <w:bidi/>
      </w:pPr>
      <w:r>
        <w:rPr>
          <w:b/>
          <w:color w:val="1F4D78"/>
          <w:sz w:val="18"/>
        </w:rPr>
        <w:t>شکل 23.12 طول دم اسبی/باف</w:t>
      </w:r>
    </w:p>
    <w:p>
      <w:pPr>
        <w:spacing w:after="20"/>
        <w:ind w:left="259"/>
        <w:jc w:val="left"/>
      </w:pPr>
      <w:r>
        <w:rPr>
          <w:color w:val="555555"/>
          <w:sz w:val="12"/>
        </w:rPr>
        <w:t>Figure 23.12 Ponytail/Braid Length</w:t>
      </w:r>
    </w:p>
    <w:p>
      <w:pPr>
        <w:spacing w:before="60" w:after="28"/>
        <w:jc w:val="right"/>
        <w:bidi/>
      </w:pPr>
      <w:r>
        <w:rPr>
          <w:b/>
          <w:color w:val="1F4D78"/>
          <w:sz w:val="18"/>
        </w:rPr>
        <w:t>شکل 23.13 دم اسبی غیرمجاز</w:t>
      </w:r>
    </w:p>
    <w:p>
      <w:pPr>
        <w:spacing w:after="20"/>
        <w:ind w:left="259"/>
        <w:jc w:val="left"/>
      </w:pPr>
      <w:r>
        <w:rPr>
          <w:color w:val="555555"/>
          <w:sz w:val="12"/>
        </w:rPr>
        <w:t>Figure 23.13 Unauthorized Ponytails</w:t>
      </w:r>
    </w:p>
    <w:p>
      <w:pPr>
        <w:spacing w:after="20" w:line="223" w:lineRule="auto"/>
        <w:jc w:val="right"/>
        <w:bidi/>
      </w:pPr>
      <w:r>
        <w:rPr>
          <w:rFonts w:ascii="Arial" w:hAnsi="Arial"/>
          <w:sz w:val="16"/>
        </w:rPr>
        <w:t>431.03  ناخن انگشت.</w:t>
      </w:r>
    </w:p>
    <w:p>
      <w:pPr>
        <w:spacing w:after="28" w:line="216" w:lineRule="auto"/>
        <w:ind w:left="259"/>
        <w:jc w:val="left"/>
      </w:pPr>
      <w:r>
        <w:rPr>
          <w:rFonts w:ascii="Arial" w:hAnsi="Arial"/>
          <w:color w:val="525252"/>
          <w:sz w:val="13"/>
        </w:rPr>
        <w:t>Fingernails.</w:t>
      </w:r>
    </w:p>
    <w:p>
      <w:pPr>
        <w:spacing w:after="20" w:line="223" w:lineRule="auto"/>
        <w:jc w:val="right"/>
        <w:bidi/>
      </w:pPr>
      <w:r>
        <w:rPr>
          <w:rFonts w:ascii="Arial" w:hAnsi="Arial"/>
          <w:sz w:val="16"/>
        </w:rPr>
        <w:t>431.04  ناخن‌های دست نباید از ۱/۴ اینچ بیشتر از نوک انگشت باشد و باید تمیز و مرتب باشند.</w:t>
      </w:r>
    </w:p>
    <w:p>
      <w:pPr>
        <w:spacing w:after="28" w:line="216" w:lineRule="auto"/>
        <w:ind w:left="259"/>
        <w:jc w:val="left"/>
      </w:pPr>
      <w:r>
        <w:rPr>
          <w:rFonts w:ascii="Arial" w:hAnsi="Arial"/>
          <w:color w:val="525252"/>
          <w:sz w:val="13"/>
        </w:rPr>
        <w:t>Fingernails must not exceed 1/4-inch in length beyond the tip of the finger and must be clean and well groomed.</w:t>
      </w:r>
    </w:p>
    <w:p>
      <w:pPr>
        <w:spacing w:after="20" w:line="223" w:lineRule="auto"/>
        <w:jc w:val="right"/>
        <w:bidi/>
      </w:pPr>
      <w:r>
        <w:rPr>
          <w:rFonts w:ascii="Arial" w:hAnsi="Arial"/>
          <w:sz w:val="16"/>
        </w:rPr>
        <w:t>431.05  ناخن‌های دست نباید در انجام وظایف محوله اختلال ایجاد کند یا مانع تناسب مناسب تجهیزات ایمنی تجویز شده یا موارد یکنواخت شود.</w:t>
      </w:r>
    </w:p>
    <w:p>
      <w:pPr>
        <w:spacing w:after="28" w:line="216" w:lineRule="auto"/>
        <w:ind w:left="259"/>
        <w:jc w:val="left"/>
      </w:pPr>
      <w:r>
        <w:rPr>
          <w:rFonts w:ascii="Arial" w:hAnsi="Arial"/>
          <w:color w:val="525252"/>
          <w:sz w:val="13"/>
        </w:rPr>
        <w:t>Fingernails must not interfere with the performance of assigned duties or hinder proper fit of prescribed safety equipment or uniform items.</w:t>
      </w:r>
    </w:p>
    <w:p>
      <w:pPr>
        <w:spacing w:after="20" w:line="223" w:lineRule="auto"/>
        <w:jc w:val="right"/>
        <w:bidi/>
      </w:pPr>
      <w:r>
        <w:rPr>
          <w:rFonts w:ascii="Arial" w:hAnsi="Arial"/>
          <w:sz w:val="16"/>
        </w:rPr>
        <w:t>431.06  هوانوردان مرد مجاز به استفاده از لاک ناخن نیستند.</w:t>
      </w:r>
    </w:p>
    <w:p>
      <w:pPr>
        <w:spacing w:after="28" w:line="216" w:lineRule="auto"/>
        <w:ind w:left="259"/>
        <w:jc w:val="left"/>
      </w:pPr>
      <w:r>
        <w:rPr>
          <w:rFonts w:ascii="Arial" w:hAnsi="Arial"/>
          <w:color w:val="525252"/>
          <w:sz w:val="13"/>
        </w:rPr>
        <w:t>Male Airmen are not authorized to wear nail polish.</w:t>
      </w:r>
    </w:p>
    <w:p>
      <w:pPr>
        <w:spacing w:after="20" w:line="223" w:lineRule="auto"/>
        <w:jc w:val="right"/>
        <w:bidi/>
      </w:pPr>
      <w:r>
        <w:rPr>
          <w:rFonts w:ascii="Arial" w:hAnsi="Arial"/>
          <w:sz w:val="16"/>
        </w:rPr>
        <w:t>431.07  اگر توسط خانم‌ها استفاده شود، لاک ناخن یک رنگ محافظه کارانه خواهد بود که از یکنواختی آن کم نمی‌کند.</w:t>
      </w:r>
    </w:p>
    <w:p>
      <w:pPr>
        <w:spacing w:after="28" w:line="216" w:lineRule="auto"/>
        <w:ind w:left="259"/>
        <w:jc w:val="left"/>
      </w:pPr>
      <w:r>
        <w:rPr>
          <w:rFonts w:ascii="Arial" w:hAnsi="Arial"/>
          <w:color w:val="525252"/>
          <w:sz w:val="13"/>
        </w:rPr>
        <w:t>If worn by females, nail polish will be a single conservative color that does not detract from the uniform.</w:t>
      </w:r>
    </w:p>
    <w:p>
      <w:pPr>
        <w:spacing w:after="20" w:line="223" w:lineRule="auto"/>
        <w:jc w:val="right"/>
        <w:bidi/>
      </w:pPr>
      <w:r>
        <w:rPr>
          <w:rFonts w:ascii="Arial" w:hAnsi="Arial"/>
          <w:sz w:val="16"/>
        </w:rPr>
        <w:t>431.08  از طرح‌ها روی ناخن‌ها یا استفاده از رنگ‌های دو رنگ یا چند رنگ خودداری کنید. استثنا: مانیکور فرانسوی با نوک سفید مجاز است.</w:t>
      </w:r>
    </w:p>
    <w:p>
      <w:pPr>
        <w:spacing w:after="28" w:line="216" w:lineRule="auto"/>
        <w:ind w:left="259"/>
        <w:jc w:val="left"/>
      </w:pPr>
      <w:r>
        <w:rPr>
          <w:rFonts w:ascii="Arial" w:hAnsi="Arial"/>
          <w:color w:val="525252"/>
          <w:sz w:val="13"/>
        </w:rPr>
        <w:t>Do not apply designs to nails or apply two-tone or multi-tone colors; Exception: white-tip French manicures are authorized.</w:t>
      </w:r>
    </w:p>
    <w:p>
      <w:pPr>
        <w:spacing w:after="20" w:line="223" w:lineRule="auto"/>
        <w:jc w:val="right"/>
        <w:bidi/>
      </w:pPr>
      <w:r>
        <w:rPr>
          <w:rFonts w:ascii="Arial" w:hAnsi="Arial"/>
          <w:sz w:val="16"/>
        </w:rPr>
        <w:t>431.09  برای نمونه هایی از رنگ‌های مجاز و غیرمجاز ناخن به شکل ۳.۱۴ مراجعه کنید.</w:t>
      </w:r>
    </w:p>
    <w:p>
      <w:pPr>
        <w:spacing w:after="28" w:line="216" w:lineRule="auto"/>
        <w:ind w:left="259"/>
        <w:jc w:val="left"/>
      </w:pPr>
      <w:r>
        <w:rPr>
          <w:rFonts w:ascii="Arial" w:hAnsi="Arial"/>
          <w:color w:val="525252"/>
          <w:sz w:val="13"/>
        </w:rPr>
        <w:t>See Figure 3.14 for examples of authorized and unauthorized nail colors.</w:t>
      </w:r>
    </w:p>
    <w:p>
      <w:r>
        <w:br w:type="page"/>
      </w:r>
    </w:p>
    <w:p>
      <w:pPr>
        <w:spacing w:after="60"/>
        <w:jc w:val="right"/>
        <w:bidi/>
      </w:pPr>
      <w:r>
        <w:rPr>
          <w:rFonts w:ascii="Arial" w:hAnsi="Arial"/>
          <w:b/>
          <w:color w:val="1F4D78"/>
          <w:sz w:val="19"/>
        </w:rPr>
        <w:t>هفتهٔ 432  |  صفحهٔ منبع: 448</w:t>
      </w:r>
    </w:p>
    <w:p>
      <w:pPr>
        <w:spacing w:before="60" w:after="28"/>
        <w:jc w:val="right"/>
        <w:bidi/>
      </w:pPr>
      <w:r>
        <w:rPr>
          <w:b/>
          <w:color w:val="1F4D78"/>
          <w:sz w:val="18"/>
        </w:rPr>
        <w:t>شکل 23.14. رنگ های لاک ناخن مجاز و غیرمجاز (غیر شامل همه چیز)</w:t>
      </w:r>
    </w:p>
    <w:p>
      <w:pPr>
        <w:spacing w:after="20"/>
        <w:ind w:left="259"/>
        <w:jc w:val="left"/>
      </w:pPr>
      <w:r>
        <w:rPr>
          <w:color w:val="555555"/>
          <w:sz w:val="12"/>
        </w:rPr>
        <w:t>Figure 23.14. Authorized and Unauthorized Nail Polish Colors (Not All-Inclusive)</w:t>
      </w:r>
    </w:p>
    <w:p>
      <w:pPr>
        <w:spacing w:after="20" w:line="223" w:lineRule="auto"/>
        <w:jc w:val="right"/>
        <w:bidi/>
      </w:pPr>
      <w:r>
        <w:rPr>
          <w:rFonts w:ascii="Arial" w:hAnsi="Arial"/>
          <w:sz w:val="16"/>
        </w:rPr>
        <w:t>432.02  لوازم آرایشی و بهداشتی.</w:t>
      </w:r>
    </w:p>
    <w:p>
      <w:pPr>
        <w:spacing w:after="28" w:line="216" w:lineRule="auto"/>
        <w:ind w:left="259"/>
        <w:jc w:val="left"/>
      </w:pPr>
      <w:r>
        <w:rPr>
          <w:rFonts w:ascii="Arial" w:hAnsi="Arial"/>
          <w:color w:val="525252"/>
          <w:sz w:val="13"/>
        </w:rPr>
        <w:t>Cosmetics.</w:t>
      </w:r>
    </w:p>
    <w:p>
      <w:pPr>
        <w:spacing w:after="20" w:line="223" w:lineRule="auto"/>
        <w:jc w:val="right"/>
        <w:bidi/>
      </w:pPr>
      <w:r>
        <w:rPr>
          <w:rFonts w:ascii="Arial" w:hAnsi="Arial"/>
          <w:sz w:val="16"/>
        </w:rPr>
        <w:t>432.03  هوانوردان مرد مجاز به پوشیدن لوازم آرایشی نیستند.</w:t>
      </w:r>
    </w:p>
    <w:p>
      <w:pPr>
        <w:spacing w:after="28" w:line="216" w:lineRule="auto"/>
        <w:ind w:left="259"/>
        <w:jc w:val="left"/>
      </w:pPr>
      <w:r>
        <w:rPr>
          <w:rFonts w:ascii="Arial" w:hAnsi="Arial"/>
          <w:color w:val="525252"/>
          <w:sz w:val="13"/>
        </w:rPr>
        <w:t>Male Airmen are not authorized to wear cosmetics.</w:t>
      </w:r>
    </w:p>
    <w:p>
      <w:pPr>
        <w:spacing w:after="20" w:line="223" w:lineRule="auto"/>
        <w:jc w:val="right"/>
        <w:bidi/>
      </w:pPr>
      <w:r>
        <w:rPr>
          <w:rFonts w:ascii="Arial" w:hAnsi="Arial"/>
          <w:sz w:val="16"/>
        </w:rPr>
        <w:t>432.04  هوانوردان زن ممکن است از لوازم آرایشی محافظه کارانه استفاده کنند.</w:t>
      </w:r>
    </w:p>
    <w:p>
      <w:pPr>
        <w:spacing w:after="28" w:line="216" w:lineRule="auto"/>
        <w:ind w:left="259"/>
        <w:jc w:val="left"/>
      </w:pPr>
      <w:r>
        <w:rPr>
          <w:rFonts w:ascii="Arial" w:hAnsi="Arial"/>
          <w:color w:val="525252"/>
          <w:sz w:val="13"/>
        </w:rPr>
        <w:t>Female Airmen may wear conservatively styled cosmetics.</w:t>
      </w:r>
    </w:p>
    <w:p>
      <w:pPr>
        <w:spacing w:after="20" w:line="223" w:lineRule="auto"/>
        <w:jc w:val="right"/>
        <w:bidi/>
      </w:pPr>
      <w:r>
        <w:rPr>
          <w:rFonts w:ascii="Arial" w:hAnsi="Arial"/>
          <w:sz w:val="16"/>
        </w:rPr>
        <w:t>432.05  اکستنشن مژه، در صورت استفاده، رنگ مژه طبیعی ایرمن زن خواهد بود، طول کل مژه از ۱۴ میلی متر بیشتر نخواهد بود و ابروی عضو را لمس نمی‌کند و باید ظاهری طبیعی داشته باشد.</w:t>
      </w:r>
    </w:p>
    <w:p>
      <w:pPr>
        <w:spacing w:after="28" w:line="216" w:lineRule="auto"/>
        <w:ind w:left="259"/>
        <w:jc w:val="left"/>
      </w:pPr>
      <w:r>
        <w:rPr>
          <w:rFonts w:ascii="Arial" w:hAnsi="Arial"/>
          <w:color w:val="525252"/>
          <w:sz w:val="13"/>
        </w:rPr>
        <w:t>Eyelash extensions, if worn, will be female Airman’s natural eyelash color, will not exceed 14 millimeters in total length or touch the member’s eyebrow, and must present a natural appearance.</w:t>
      </w:r>
    </w:p>
    <w:p>
      <w:pPr>
        <w:spacing w:after="20" w:line="223" w:lineRule="auto"/>
        <w:jc w:val="right"/>
        <w:bidi/>
      </w:pPr>
      <w:r>
        <w:rPr>
          <w:rFonts w:ascii="Arial" w:hAnsi="Arial"/>
          <w:sz w:val="16"/>
        </w:rPr>
        <w:t>432.06  اکستنشن مژه مانع از پوشیدن لباس محافظ چشم یا هر نوع هدگیر نمی‌شود.</w:t>
      </w:r>
    </w:p>
    <w:p>
      <w:pPr>
        <w:spacing w:after="28" w:line="216" w:lineRule="auto"/>
        <w:ind w:left="259"/>
        <w:jc w:val="left"/>
      </w:pPr>
      <w:r>
        <w:rPr>
          <w:rFonts w:ascii="Arial" w:hAnsi="Arial"/>
          <w:color w:val="525252"/>
          <w:sz w:val="13"/>
        </w:rPr>
        <w:t>Eyelash extensions will not hinder wear of protective eye wear or any type of headgear.</w:t>
      </w:r>
    </w:p>
    <w:p>
      <w:pPr>
        <w:spacing w:after="20" w:line="223" w:lineRule="auto"/>
        <w:jc w:val="right"/>
        <w:bidi/>
      </w:pPr>
      <w:r>
        <w:rPr>
          <w:rFonts w:ascii="Arial" w:hAnsi="Arial"/>
          <w:sz w:val="16"/>
        </w:rPr>
        <w:t>432.07  رژ لب، در صورتی که توسط هواداران زن استفاده شود، سایه‌ای محافظه کارانه خواهد بود که از یونیفرم کم نمی‌کند.</w:t>
      </w:r>
    </w:p>
    <w:p>
      <w:pPr>
        <w:spacing w:after="28" w:line="216" w:lineRule="auto"/>
        <w:ind w:left="259"/>
        <w:jc w:val="left"/>
      </w:pPr>
      <w:r>
        <w:rPr>
          <w:rFonts w:ascii="Arial" w:hAnsi="Arial"/>
          <w:color w:val="525252"/>
          <w:sz w:val="13"/>
        </w:rPr>
        <w:t>Lipstick, if worn by female Airmen, will be a conservative shade that does not detract from the uniform.</w:t>
      </w:r>
    </w:p>
    <w:p>
      <w:pPr>
        <w:spacing w:after="20" w:line="223" w:lineRule="auto"/>
        <w:jc w:val="right"/>
        <w:bidi/>
      </w:pPr>
      <w:r>
        <w:rPr>
          <w:rFonts w:ascii="Arial" w:hAnsi="Arial"/>
          <w:sz w:val="16"/>
        </w:rPr>
        <w:t>432.08  خط چشم، اگر توسط هوانوردان زن استفاده شود، نمی‌تواند از گوشه‌های باز شدن چشم امتداد یابد (به‌عنوان مثال، خط چشم بالدار مجاز نیست).</w:t>
      </w:r>
    </w:p>
    <w:p>
      <w:pPr>
        <w:spacing w:after="28" w:line="216" w:lineRule="auto"/>
        <w:ind w:left="259"/>
        <w:jc w:val="left"/>
      </w:pPr>
      <w:r>
        <w:rPr>
          <w:rFonts w:ascii="Arial" w:hAnsi="Arial"/>
          <w:color w:val="525252"/>
          <w:sz w:val="13"/>
        </w:rPr>
        <w:t>Eyeliner, if worn by female Airmen, cannot extend past the corners of eye opening (i.e., winged liner not authorized).</w:t>
      </w:r>
    </w:p>
    <w:p>
      <w:pPr>
        <w:spacing w:after="20" w:line="223" w:lineRule="auto"/>
        <w:jc w:val="right"/>
        <w:bidi/>
      </w:pPr>
      <w:r>
        <w:rPr>
          <w:rFonts w:ascii="Arial" w:hAnsi="Arial"/>
          <w:sz w:val="16"/>
        </w:rPr>
        <w:t>432.09  در شرایط مزرعه از لوازم آرایشی استفاده نمی‌شود.</w:t>
      </w:r>
    </w:p>
    <w:p>
      <w:pPr>
        <w:spacing w:after="28" w:line="216" w:lineRule="auto"/>
        <w:ind w:left="259"/>
        <w:jc w:val="left"/>
      </w:pPr>
      <w:r>
        <w:rPr>
          <w:rFonts w:ascii="Arial" w:hAnsi="Arial"/>
          <w:color w:val="525252"/>
          <w:sz w:val="13"/>
        </w:rPr>
        <w:t>Cosmetics will not be worn during field conditions.</w:t>
      </w:r>
    </w:p>
    <w:p>
      <w:r>
        <w:br w:type="page"/>
      </w:r>
    </w:p>
    <w:p>
      <w:pPr>
        <w:spacing w:after="60"/>
        <w:jc w:val="right"/>
        <w:bidi/>
      </w:pPr>
      <w:r>
        <w:rPr>
          <w:rFonts w:ascii="Arial" w:hAnsi="Arial"/>
          <w:b/>
          <w:color w:val="1F4D78"/>
          <w:sz w:val="19"/>
        </w:rPr>
        <w:t>هفتهٔ 433  |  صفحهٔ منبع: 449</w:t>
      </w:r>
    </w:p>
    <w:p>
      <w:pPr>
        <w:spacing w:before="60" w:after="28"/>
        <w:jc w:val="right"/>
        <w:bidi/>
      </w:pPr>
      <w:r>
        <w:rPr>
          <w:b/>
          <w:color w:val="1F4D78"/>
          <w:sz w:val="18"/>
        </w:rPr>
        <w:t>شکل 23.15. نمونه های مجاز و غیرمجاز اکستنشن مژه</w:t>
      </w:r>
    </w:p>
    <w:p>
      <w:pPr>
        <w:spacing w:after="20"/>
        <w:ind w:left="259"/>
        <w:jc w:val="left"/>
      </w:pPr>
      <w:r>
        <w:rPr>
          <w:color w:val="555555"/>
          <w:sz w:val="12"/>
        </w:rPr>
        <w:t>Figure 23.15. Authorized and Unauthorized Eyelash Extension Examples</w:t>
      </w:r>
    </w:p>
    <w:p>
      <w:pPr>
        <w:spacing w:after="20" w:line="223" w:lineRule="auto"/>
        <w:jc w:val="right"/>
        <w:bidi/>
      </w:pPr>
      <w:r>
        <w:rPr>
          <w:rFonts w:ascii="Arial" w:hAnsi="Arial"/>
          <w:sz w:val="16"/>
        </w:rPr>
        <w:t>433.02  خالکوبی / مارک / علامت گذاری روی بدن.</w:t>
      </w:r>
    </w:p>
    <w:p>
      <w:pPr>
        <w:spacing w:after="28" w:line="216" w:lineRule="auto"/>
        <w:ind w:left="259"/>
        <w:jc w:val="left"/>
      </w:pPr>
      <w:r>
        <w:rPr>
          <w:rFonts w:ascii="Arial" w:hAnsi="Arial"/>
          <w:color w:val="525252"/>
          <w:sz w:val="13"/>
        </w:rPr>
        <w:t>Tattoos/Brands/Body Markings.</w:t>
      </w:r>
    </w:p>
    <w:p>
      <w:pPr>
        <w:spacing w:after="20" w:line="223" w:lineRule="auto"/>
        <w:jc w:val="right"/>
        <w:bidi/>
      </w:pPr>
      <w:r>
        <w:rPr>
          <w:rFonts w:ascii="Arial" w:hAnsi="Arial"/>
          <w:sz w:val="16"/>
        </w:rPr>
        <w:t>433.03  برای اهداف DAFI ۳۶-۲۹۰۳، خالکوبی به تصویر، طرح، یا علامت گذاری بر روی پوست یا سایر نواحی بدن با رنگ آمیزی آن با رنگ پاک نشدنی، یا با هر روش دیگری، از جمله تصاویر، طرح‌ها، یا علامت‌هایی که فقط در شرایط خاص قابل تشخیص یا قابل مشاهده هستند (مانند اشعه ماوراء بنفش) تعریف می‌شود.</w:t>
      </w:r>
    </w:p>
    <w:p>
      <w:pPr>
        <w:spacing w:after="28" w:line="216" w:lineRule="auto"/>
        <w:ind w:left="259"/>
        <w:jc w:val="left"/>
      </w:pPr>
      <w:r>
        <w:rPr>
          <w:rFonts w:ascii="Arial" w:hAnsi="Arial"/>
          <w:color w:val="525252"/>
          <w:sz w:val="13"/>
        </w:rPr>
        <w:t>For purposes of DAFI 36-2903, a tattoo is defined as a picture, design, or marking made on the skin or other areas of the body by staining it with an indelible dye, or by any other method, including pictures, designs, or markings only detectible or visible under certain conditions (such as ultraviolet or invisible ink tattoos).</w:t>
      </w:r>
    </w:p>
    <w:p>
      <w:pPr>
        <w:spacing w:after="20" w:line="223" w:lineRule="auto"/>
        <w:jc w:val="right"/>
        <w:bidi/>
      </w:pPr>
      <w:r>
        <w:rPr>
          <w:rFonts w:ascii="Arial" w:hAnsi="Arial"/>
          <w:sz w:val="16"/>
        </w:rPr>
        <w:t>433.04  برند به‌عنوان تصویر، طرح یا علامت دیگری که در پوست یا سایر نواحی بدن سوخته می‌شود، تعریف می‌شود.</w:t>
      </w:r>
    </w:p>
    <w:p>
      <w:pPr>
        <w:spacing w:after="28" w:line="216" w:lineRule="auto"/>
        <w:ind w:left="259"/>
        <w:jc w:val="left"/>
      </w:pPr>
      <w:r>
        <w:rPr>
          <w:rFonts w:ascii="Arial" w:hAnsi="Arial"/>
          <w:color w:val="525252"/>
          <w:sz w:val="13"/>
        </w:rPr>
        <w:t>A brand is defined as a picture, design, or other marking that is burned into the skin or other areas of the body.</w:t>
      </w:r>
    </w:p>
    <w:p>
      <w:pPr>
        <w:spacing w:after="20" w:line="223" w:lineRule="auto"/>
        <w:jc w:val="right"/>
        <w:bidi/>
      </w:pPr>
      <w:r>
        <w:rPr>
          <w:rFonts w:ascii="Arial" w:hAnsi="Arial"/>
          <w:sz w:val="16"/>
        </w:rPr>
        <w:t>433.05  نشانه‌های بدن، تصاویر، طرح‌ها یا سایر نشانه‌هایی هستند که در نتیجه استفاده از وسایلی غیر از سوزاندن برای ایجاد جای زخم یا نشانه‌گذاری دائمی روی پوست صورت می‌گیرد.</w:t>
      </w:r>
    </w:p>
    <w:p>
      <w:pPr>
        <w:spacing w:after="28" w:line="216" w:lineRule="auto"/>
        <w:ind w:left="259"/>
        <w:jc w:val="left"/>
      </w:pPr>
      <w:r>
        <w:rPr>
          <w:rFonts w:ascii="Arial" w:hAnsi="Arial"/>
          <w:color w:val="525252"/>
          <w:sz w:val="13"/>
        </w:rPr>
        <w:t>Body markings are pictures, designs, or other markings as a result of using means other than burning to permanently scar or mark the skin.</w:t>
      </w:r>
    </w:p>
    <w:p>
      <w:pPr>
        <w:spacing w:after="20" w:line="223" w:lineRule="auto"/>
        <w:jc w:val="right"/>
        <w:bidi/>
      </w:pPr>
      <w:r>
        <w:rPr>
          <w:rFonts w:ascii="Arial" w:hAnsi="Arial"/>
          <w:sz w:val="16"/>
        </w:rPr>
        <w:t>433.06  عدم اطاعت از مقررات اجباری در DAFI ۳۶-۲۹۰۳، پاراگراف‌های ۳.۲.۱، ۳.۲.۱.۱ و ۳.۲.۲ نقض بند ۱ ماده ۹۲، UCMJ-عدم اطاعت از دستور یا مقررات عمومی قانونی است.</w:t>
      </w:r>
    </w:p>
    <w:p>
      <w:pPr>
        <w:spacing w:after="28" w:line="216" w:lineRule="auto"/>
        <w:ind w:left="259"/>
        <w:jc w:val="left"/>
      </w:pPr>
      <w:r>
        <w:rPr>
          <w:rFonts w:ascii="Arial" w:hAnsi="Arial"/>
          <w:color w:val="525252"/>
          <w:sz w:val="13"/>
        </w:rPr>
        <w:t>Failure to obey the mandatory provisions in DAFI 36-2903, paragraphs 3.2.1, 3.2.1.1, and 3.2.2 constitutes a violation of Article 92(1), UCMJ-failure to obey lawful general order or regulation.</w:t>
      </w:r>
    </w:p>
    <w:p>
      <w:pPr>
        <w:spacing w:after="20" w:line="223" w:lineRule="auto"/>
        <w:jc w:val="right"/>
        <w:bidi/>
      </w:pPr>
      <w:r>
        <w:rPr>
          <w:rFonts w:ascii="Arial" w:hAnsi="Arial"/>
          <w:sz w:val="16"/>
        </w:rPr>
        <w:t>433.07  ماده ۹۲ (۱) UCMJ در مورد اعضایی که در وضعیت عنوان ۳۲ هستند (یعنی برای انجام وظیفه دولتی تحت فرماندهی ایالت فعال شده‌اند) اعمال نمی‌شود، اما اعضای ANG ممکن است مشمول ماده‌ای معادل تحت یک کد قضایی نظامی دولتی باشند.</w:t>
      </w:r>
    </w:p>
    <w:p>
      <w:pPr>
        <w:spacing w:after="28" w:line="216" w:lineRule="auto"/>
        <w:ind w:left="259"/>
        <w:jc w:val="left"/>
      </w:pPr>
      <w:r>
        <w:rPr>
          <w:rFonts w:ascii="Arial" w:hAnsi="Arial"/>
          <w:color w:val="525252"/>
          <w:sz w:val="13"/>
        </w:rPr>
        <w:t>Article 92(1) of the UCMJ does not apply to members while in Title 32 status (that is, activated for state duty under state command), but ANG members may be subject to an equivalent article under a state military justice code.</w:t>
      </w:r>
    </w:p>
    <w:p>
      <w:pPr>
        <w:spacing w:after="20" w:line="223" w:lineRule="auto"/>
        <w:jc w:val="right"/>
        <w:bidi/>
      </w:pPr>
      <w:r>
        <w:rPr>
          <w:rFonts w:ascii="Arial" w:hAnsi="Arial"/>
          <w:sz w:val="16"/>
        </w:rPr>
        <w:t>433.08  تخلفات همچنین ممکن است منجر به اقدامات انضباطی اداری بدون در نظر گرفتن مجازات‌های کیفری یا مدنی غیرقابل اجرا برای نقض قوانین مرتبط شود.</w:t>
      </w:r>
    </w:p>
    <w:p>
      <w:pPr>
        <w:spacing w:after="28" w:line="216" w:lineRule="auto"/>
        <w:ind w:left="259"/>
        <w:jc w:val="left"/>
      </w:pPr>
      <w:r>
        <w:rPr>
          <w:rFonts w:ascii="Arial" w:hAnsi="Arial"/>
          <w:color w:val="525252"/>
          <w:sz w:val="13"/>
        </w:rPr>
        <w:t>Violations may also result in administrative disciplinary action without regard to otherwise applicable criminal or civil sanctions for violations of related laws.</w:t>
      </w:r>
    </w:p>
    <w:p>
      <w:pPr>
        <w:spacing w:after="20" w:line="223" w:lineRule="auto"/>
        <w:jc w:val="right"/>
        <w:bidi/>
      </w:pPr>
      <w:r>
        <w:rPr>
          <w:rFonts w:ascii="Arial" w:hAnsi="Arial"/>
          <w:sz w:val="16"/>
        </w:rPr>
        <w:t>433.09  محتوا/مکان‌های غیرمجاز.</w:t>
      </w:r>
    </w:p>
    <w:p>
      <w:pPr>
        <w:spacing w:after="28" w:line="216" w:lineRule="auto"/>
        <w:ind w:left="259"/>
        <w:jc w:val="left"/>
      </w:pPr>
      <w:r>
        <w:rPr>
          <w:rFonts w:ascii="Arial" w:hAnsi="Arial"/>
          <w:color w:val="525252"/>
          <w:sz w:val="13"/>
        </w:rPr>
        <w:t>Unauthorized content/locations.</w:t>
      </w:r>
    </w:p>
    <w:p>
      <w:pPr>
        <w:spacing w:after="20" w:line="223" w:lineRule="auto"/>
        <w:jc w:val="right"/>
        <w:bidi/>
      </w:pPr>
      <w:r>
        <w:rPr>
          <w:rFonts w:ascii="Arial" w:hAnsi="Arial"/>
          <w:sz w:val="16"/>
        </w:rPr>
        <w:t>433.10  خالکوبی‌ها / مارک‌ها / علائم بدن روی سر، صورت، زبان، لب ها، چشم‌ها و پوست سر وجود نخواهد داشت.</w:t>
      </w:r>
    </w:p>
    <w:p>
      <w:pPr>
        <w:spacing w:after="28" w:line="216" w:lineRule="auto"/>
        <w:ind w:left="259"/>
        <w:jc w:val="left"/>
      </w:pPr>
      <w:r>
        <w:rPr>
          <w:rFonts w:ascii="Arial" w:hAnsi="Arial"/>
          <w:color w:val="525252"/>
          <w:sz w:val="13"/>
        </w:rPr>
        <w:t>Tattoos/brands/body markings will not be on the head, face, tongue, lips, eyes, and scalp.</w:t>
      </w:r>
    </w:p>
    <w:p>
      <w:pPr>
        <w:spacing w:after="20" w:line="223" w:lineRule="auto"/>
        <w:jc w:val="right"/>
        <w:bidi/>
      </w:pPr>
      <w:r>
        <w:rPr>
          <w:rFonts w:ascii="Arial" w:hAnsi="Arial"/>
          <w:sz w:val="16"/>
        </w:rPr>
        <w:t>433.11  خالکوبی‌ها/برندها/علامت‌گذاری‌های بدن در هر نقطه از بدن که ناپسند است، معمولا با گروه‌های تبهکار، سازمان‌های افراطی، و/یا برتری‌طلب مرتبط است، یا از تبعیض جنسی، نژادی، قومی یا مذهبی حمایت می‌کند، داخل و خارج از لباس لباس ممنوع است.</w:t>
      </w:r>
    </w:p>
    <w:p>
      <w:pPr>
        <w:spacing w:after="28" w:line="216" w:lineRule="auto"/>
        <w:ind w:left="259"/>
        <w:jc w:val="left"/>
      </w:pPr>
      <w:r>
        <w:rPr>
          <w:rFonts w:ascii="Arial" w:hAnsi="Arial"/>
          <w:color w:val="525252"/>
          <w:sz w:val="13"/>
        </w:rPr>
        <w:t>Tattoos/brands/body markings anywhere on the body that are obscene, commonly associated with gangs, extremist, and/or supremacist organizations, or that advocate sexual, racial, ethnic, or religious discrimination are prohibited in and out of uniform.</w:t>
      </w:r>
    </w:p>
    <w:p>
      <w:pPr>
        <w:spacing w:after="20" w:line="223" w:lineRule="auto"/>
        <w:jc w:val="right"/>
        <w:bidi/>
      </w:pPr>
      <w:r>
        <w:rPr>
          <w:rFonts w:ascii="Arial" w:hAnsi="Arial"/>
          <w:sz w:val="16"/>
        </w:rPr>
        <w:t>433.12  خالکوبی‌ها/ مارک‌ها/ نشانه‌های بدن ناشایست به دلیل ماهیت مبتذل، کثیف یا مشمئزکننده یا تمایل آن به تحریک افکار شهوانی، به‌شدت توهین‌آمیز به حیا، نجابت، یا شایستگی است، یا حس اخلاقی را شوکه می‌کند.</w:t>
      </w:r>
    </w:p>
    <w:p>
      <w:pPr>
        <w:spacing w:after="28" w:line="216" w:lineRule="auto"/>
        <w:ind w:left="259"/>
        <w:jc w:val="left"/>
      </w:pPr>
      <w:r>
        <w:rPr>
          <w:rFonts w:ascii="Arial" w:hAnsi="Arial"/>
          <w:color w:val="525252"/>
          <w:sz w:val="13"/>
        </w:rPr>
        <w:t>Indecent tattoos/brands/body markings are grossly offensive to modesty, decency, or propriety, or shocks the moral sense, because of its vulgar, filthy, or disgusting nature, or its tendency to incite lustful thought.</w:t>
      </w:r>
    </w:p>
    <w:p>
      <w:pPr>
        <w:spacing w:after="20" w:line="223" w:lineRule="auto"/>
        <w:jc w:val="right"/>
        <w:bidi/>
      </w:pPr>
      <w:r>
        <w:rPr>
          <w:rFonts w:ascii="Arial" w:hAnsi="Arial"/>
          <w:sz w:val="16"/>
        </w:rPr>
        <w:t>433.13  اگر به‌طور منطقی به فاسد کردن اخلاقیات یا تحریک افکار شهوانی تمایل داشته باشد، ناپسند است.</w:t>
      </w:r>
    </w:p>
    <w:p>
      <w:pPr>
        <w:spacing w:after="28" w:line="216" w:lineRule="auto"/>
        <w:ind w:left="259"/>
        <w:jc w:val="left"/>
      </w:pPr>
      <w:r>
        <w:rPr>
          <w:rFonts w:ascii="Arial" w:hAnsi="Arial"/>
          <w:color w:val="525252"/>
          <w:sz w:val="13"/>
        </w:rPr>
        <w:t>It is indecent if it tends reasonably to corrupt morals or incite libidinous thoughts.</w:t>
      </w:r>
    </w:p>
    <w:p>
      <w:pPr>
        <w:spacing w:after="20" w:line="223" w:lineRule="auto"/>
        <w:jc w:val="right"/>
        <w:bidi/>
      </w:pPr>
      <w:r>
        <w:rPr>
          <w:rFonts w:ascii="Arial" w:hAnsi="Arial"/>
          <w:sz w:val="16"/>
        </w:rPr>
        <w:t>433.14  نباید استانداردهای جامعه را نقض کند.</w:t>
      </w:r>
    </w:p>
    <w:p>
      <w:pPr>
        <w:spacing w:after="28" w:line="216" w:lineRule="auto"/>
        <w:ind w:left="259"/>
        <w:jc w:val="left"/>
      </w:pPr>
      <w:r>
        <w:rPr>
          <w:rFonts w:ascii="Arial" w:hAnsi="Arial"/>
          <w:color w:val="525252"/>
          <w:sz w:val="13"/>
        </w:rPr>
        <w:t>It must not violate community standards.</w:t>
      </w:r>
    </w:p>
    <w:p>
      <w:pPr>
        <w:spacing w:after="20" w:line="223" w:lineRule="auto"/>
        <w:jc w:val="right"/>
        <w:bidi/>
      </w:pPr>
      <w:r>
        <w:rPr>
          <w:rFonts w:ascii="Arial" w:hAnsi="Arial"/>
          <w:sz w:val="16"/>
        </w:rPr>
        <w:t>433.15  فرماندهان باید با واحد خدمات AFOSI خود تماس بگیرند تا اطلاعات بیشتری در مورد شناسایی احتمالی باند/گروه نفرت، خالکوبی/برند/علامت گذاری روی بدن داشته باشند.</w:t>
      </w:r>
    </w:p>
    <w:p>
      <w:pPr>
        <w:spacing w:after="28" w:line="216" w:lineRule="auto"/>
        <w:ind w:left="259"/>
        <w:jc w:val="left"/>
      </w:pPr>
      <w:r>
        <w:rPr>
          <w:rFonts w:ascii="Arial" w:hAnsi="Arial"/>
          <w:color w:val="525252"/>
          <w:sz w:val="13"/>
        </w:rPr>
        <w:t>Commanders should contact their servicing AFOSI unit for additional information on potential identification of gang/hate group, tattoos/brands/body markings.</w:t>
      </w:r>
    </w:p>
    <w:p>
      <w:pPr>
        <w:spacing w:after="20" w:line="223" w:lineRule="auto"/>
        <w:jc w:val="right"/>
        <w:bidi/>
      </w:pPr>
      <w:r>
        <w:rPr>
          <w:rFonts w:ascii="Arial" w:hAnsi="Arial"/>
          <w:sz w:val="16"/>
        </w:rPr>
        <w:t>433.16  خالکوبی‌ها/برندها/نشانه‌های بدن افراطی خالکوبی‌هایی هستند که به فلسفه‌ها، سازمان‌ها یا فعالیت‌های افراطی وابسته، نشان‌دهنده یا نماد آن هستند.</w:t>
      </w:r>
    </w:p>
    <w:p>
      <w:pPr>
        <w:spacing w:after="28" w:line="216" w:lineRule="auto"/>
        <w:ind w:left="259"/>
        <w:jc w:val="left"/>
      </w:pPr>
      <w:r>
        <w:rPr>
          <w:rFonts w:ascii="Arial" w:hAnsi="Arial"/>
          <w:color w:val="525252"/>
          <w:sz w:val="13"/>
        </w:rPr>
        <w:t>Extremist tattoos/brands/body markings are those affiliated with, depicting, or symbolizing extremist philosophies, organizations, or activities.</w:t>
      </w:r>
    </w:p>
    <w:p>
      <w:pPr>
        <w:spacing w:after="20" w:line="223" w:lineRule="auto"/>
        <w:jc w:val="right"/>
        <w:bidi/>
      </w:pPr>
      <w:r>
        <w:rPr>
          <w:rFonts w:ascii="Arial" w:hAnsi="Arial"/>
          <w:sz w:val="16"/>
        </w:rPr>
        <w:t>433.17  خالکوبی‌ها/برندها/نقش‌های بدن تبعیض‌آمیز جنسی آنهایی هستند که از فلسفه‌ای حمایت می‌کنند که فرد را تحقیر یا تحقیر می‌کند.</w:t>
      </w:r>
    </w:p>
    <w:p>
      <w:pPr>
        <w:spacing w:after="28" w:line="216" w:lineRule="auto"/>
        <w:ind w:left="259"/>
        <w:jc w:val="left"/>
      </w:pPr>
      <w:r>
        <w:rPr>
          <w:rFonts w:ascii="Arial" w:hAnsi="Arial"/>
          <w:color w:val="525252"/>
          <w:sz w:val="13"/>
        </w:rPr>
        <w:t>Sexually discriminative tattoos/brands/body markings are those that advocate a philosophy that degrades or demeans a person.</w:t>
      </w:r>
    </w:p>
    <w:p>
      <w:pPr>
        <w:spacing w:after="20" w:line="223" w:lineRule="auto"/>
        <w:jc w:val="right"/>
        <w:bidi/>
      </w:pPr>
      <w:r>
        <w:rPr>
          <w:rFonts w:ascii="Arial" w:hAnsi="Arial"/>
          <w:sz w:val="16"/>
        </w:rPr>
        <w:t>433.18  خالکوبی‌های تبعیض‌آمیز نژادی/برندها/نشان‌گذاری‌های بدن آنهایی هستند که از فلسفه‌ای حمایت می‌کنند که تحقیر می‌کند یا</w:t>
      </w:r>
    </w:p>
    <w:p>
      <w:pPr>
        <w:spacing w:after="28" w:line="216" w:lineRule="auto"/>
        <w:ind w:left="259"/>
        <w:jc w:val="left"/>
      </w:pPr>
      <w:r>
        <w:rPr>
          <w:rFonts w:ascii="Arial" w:hAnsi="Arial"/>
          <w:color w:val="525252"/>
          <w:sz w:val="13"/>
        </w:rPr>
        <w:t>Racially discriminative tattoos/brands/body markings are those that advocate a philosophy that degrades or</w:t>
      </w:r>
    </w:p>
    <w:p>
      <w:r>
        <w:br w:type="page"/>
      </w:r>
    </w:p>
    <w:p>
      <w:pPr>
        <w:spacing w:after="60"/>
        <w:jc w:val="right"/>
        <w:bidi/>
      </w:pPr>
      <w:r>
        <w:rPr>
          <w:rFonts w:ascii="Arial" w:hAnsi="Arial"/>
          <w:b/>
          <w:color w:val="1F4D78"/>
          <w:sz w:val="19"/>
        </w:rPr>
        <w:t>هفتهٔ 434  |  صفحهٔ منبع: 450</w:t>
      </w:r>
    </w:p>
    <w:p>
      <w:pPr>
        <w:spacing w:after="20" w:line="223" w:lineRule="auto"/>
        <w:jc w:val="right"/>
        <w:bidi/>
      </w:pPr>
      <w:r>
        <w:rPr>
          <w:rFonts w:ascii="Arial" w:hAnsi="Arial"/>
          <w:sz w:val="16"/>
        </w:rPr>
        <w:t>434.01  شخصی را بر اساس نژاد، قومیت یا منشاء ملی تحقیر می‌کند.</w:t>
      </w:r>
    </w:p>
    <w:p>
      <w:pPr>
        <w:spacing w:after="28" w:line="216" w:lineRule="auto"/>
        <w:ind w:left="259"/>
        <w:jc w:val="left"/>
      </w:pPr>
      <w:r>
        <w:rPr>
          <w:rFonts w:ascii="Arial" w:hAnsi="Arial"/>
          <w:color w:val="525252"/>
          <w:sz w:val="13"/>
        </w:rPr>
        <w:t>demeans a person based on race, ethnicity, or national origin.</w:t>
      </w:r>
    </w:p>
    <w:p>
      <w:pPr>
        <w:spacing w:after="20" w:line="223" w:lineRule="auto"/>
        <w:jc w:val="right"/>
        <w:bidi/>
      </w:pPr>
      <w:r>
        <w:rPr>
          <w:rFonts w:ascii="Arial" w:hAnsi="Arial"/>
          <w:sz w:val="16"/>
        </w:rPr>
        <w:t>434.02  خالکوبی‌ها/برندها/نشانه‌های بدن تبعیض‌آمیز مذهبی آنهایی هستند که از فلسفه‌ای حمایت می‌کنند که فرد را بر اساس مذهب تحقیر یا تحقیر می‌کند.</w:t>
      </w:r>
    </w:p>
    <w:p>
      <w:pPr>
        <w:spacing w:after="28" w:line="216" w:lineRule="auto"/>
        <w:ind w:left="259"/>
        <w:jc w:val="left"/>
      </w:pPr>
      <w:r>
        <w:rPr>
          <w:rFonts w:ascii="Arial" w:hAnsi="Arial"/>
          <w:color w:val="525252"/>
          <w:sz w:val="13"/>
        </w:rPr>
        <w:t>Religiously discriminative tattoos/brands/body markings are those that advocate a philosophy that degrades or demeans a person based on religion.</w:t>
      </w:r>
    </w:p>
    <w:p>
      <w:pPr>
        <w:spacing w:after="20" w:line="223" w:lineRule="auto"/>
        <w:jc w:val="right"/>
        <w:bidi/>
      </w:pPr>
      <w:r>
        <w:rPr>
          <w:rFonts w:ascii="Arial" w:hAnsi="Arial"/>
          <w:sz w:val="16"/>
        </w:rPr>
        <w:t>434.03  خالکوبی‌ها/مارک‌ها/علامت‌گذاری‌های بدن با محتوای غیرمجاز که به نظم و نظم و انضباط لطمه وارد می‌کند، یا محتوایی که تمایل به بی‌اعتبار کردن DAF دارد، هم در داخل و هم در خارج از لباس ممنوع است.</w:t>
      </w:r>
    </w:p>
    <w:p>
      <w:pPr>
        <w:spacing w:after="28" w:line="216" w:lineRule="auto"/>
        <w:ind w:left="259"/>
        <w:jc w:val="left"/>
      </w:pPr>
      <w:r>
        <w:rPr>
          <w:rFonts w:ascii="Arial" w:hAnsi="Arial"/>
          <w:color w:val="525252"/>
          <w:sz w:val="13"/>
        </w:rPr>
        <w:t>Tattoos/brands/body markings with unauthorized content that are prejudicial to good order and discipline, or the content is of a nature that tends to bring discredit upon the DAF are prohibited both in and out of uniform.</w:t>
      </w:r>
    </w:p>
    <w:p>
      <w:pPr>
        <w:spacing w:after="20" w:line="223" w:lineRule="auto"/>
        <w:jc w:val="right"/>
        <w:bidi/>
      </w:pPr>
      <w:r>
        <w:rPr>
          <w:rFonts w:ascii="Arial" w:hAnsi="Arial"/>
          <w:sz w:val="16"/>
        </w:rPr>
        <w:t>434.04  هوانوردان و نگهبانان نمی‌توانند خالکوبی‌ها، مارک‌ها و/یا نشانه‌های بدن را با بانداژ یا آرایش بپوشانند تا از خط‌مشی خالکوبی محتوای غیرمجاز پیروی کنند.</w:t>
      </w:r>
    </w:p>
    <w:p>
      <w:pPr>
        <w:spacing w:after="28" w:line="216" w:lineRule="auto"/>
        <w:ind w:left="259"/>
        <w:jc w:val="left"/>
      </w:pPr>
      <w:r>
        <w:rPr>
          <w:rFonts w:ascii="Arial" w:hAnsi="Arial"/>
          <w:color w:val="525252"/>
          <w:sz w:val="13"/>
        </w:rPr>
        <w:t>Airmen and Guardians may not cover up tattoos, brands, and/or body markings with bandages or make-up in order to comply with unauthorized content tattoo policy.</w:t>
      </w:r>
    </w:p>
    <w:p>
      <w:pPr>
        <w:spacing w:after="20" w:line="223" w:lineRule="auto"/>
        <w:jc w:val="right"/>
        <w:bidi/>
      </w:pPr>
      <w:r>
        <w:rPr>
          <w:rFonts w:ascii="Arial" w:hAnsi="Arial"/>
          <w:sz w:val="16"/>
        </w:rPr>
        <w:t>434.05  اعضایی که خالکوبی/برند/علامت گذاری روی بدن غیرمجاز دارند یا دریافت می‌کنند ملزم به حذف/تغییر خالکوبی/برند/علامت بدن هستند.</w:t>
      </w:r>
    </w:p>
    <w:p>
      <w:pPr>
        <w:spacing w:after="28" w:line="216" w:lineRule="auto"/>
        <w:ind w:left="259"/>
        <w:jc w:val="left"/>
      </w:pPr>
      <w:r>
        <w:rPr>
          <w:rFonts w:ascii="Arial" w:hAnsi="Arial"/>
          <w:color w:val="525252"/>
          <w:sz w:val="13"/>
        </w:rPr>
        <w:t>Members who have or receive unauthorized content tattoos/brands/body markings are required to initiate tattoo/brand/body marking removal/alteration.</w:t>
      </w:r>
    </w:p>
    <w:p>
      <w:pPr>
        <w:spacing w:after="20" w:line="223" w:lineRule="auto"/>
        <w:jc w:val="right"/>
        <w:bidi/>
      </w:pPr>
      <w:r>
        <w:rPr>
          <w:rFonts w:ascii="Arial" w:hAnsi="Arial"/>
          <w:sz w:val="16"/>
        </w:rPr>
        <w:t>434.06  بنا به صلاحدید فرمانده، ممکن است اعضا، بر اساس فضا و منابع موجود، در یک مرکز درمانی وزارت دفاع برای حذف داوطلبانه خالکوبی/مارک/علامت روی بدن دیده شوند.</w:t>
      </w:r>
    </w:p>
    <w:p>
      <w:pPr>
        <w:spacing w:after="28" w:line="216" w:lineRule="auto"/>
        <w:ind w:left="259"/>
        <w:jc w:val="left"/>
      </w:pPr>
      <w:r>
        <w:rPr>
          <w:rFonts w:ascii="Arial" w:hAnsi="Arial"/>
          <w:color w:val="525252"/>
          <w:sz w:val="13"/>
        </w:rPr>
        <w:t>At the commander’s discretion, members may be seen, on a space and resource available basis, in a DoD medical treatment facility for voluntary tattoo/brand/body marking removal.</w:t>
      </w:r>
    </w:p>
    <w:p>
      <w:pPr>
        <w:spacing w:after="20" w:line="223" w:lineRule="auto"/>
        <w:jc w:val="right"/>
        <w:bidi/>
      </w:pPr>
      <w:r>
        <w:rPr>
          <w:rFonts w:ascii="Arial" w:hAnsi="Arial"/>
          <w:sz w:val="16"/>
        </w:rPr>
        <w:t>434.07  وقتی منابع وزارت دفاع در دسترس نباشد، اعضا ممکن است با هزینه شخصی خود در خارج از مراکز درمانی وزارت دفاع خالکوبی/برند حذف/تغییر دهند.</w:t>
      </w:r>
    </w:p>
    <w:p>
      <w:pPr>
        <w:spacing w:after="28" w:line="216" w:lineRule="auto"/>
        <w:ind w:left="259"/>
        <w:jc w:val="left"/>
      </w:pPr>
      <w:r>
        <w:rPr>
          <w:rFonts w:ascii="Arial" w:hAnsi="Arial"/>
          <w:color w:val="525252"/>
          <w:sz w:val="13"/>
        </w:rPr>
        <w:t>When DoD resources are not available, members may have the tattoo/brand removed/altered at their own expense outside of DoD medical treatment facilities.</w:t>
      </w:r>
    </w:p>
    <w:p>
      <w:pPr>
        <w:spacing w:after="20" w:line="223" w:lineRule="auto"/>
        <w:jc w:val="right"/>
        <w:bidi/>
      </w:pPr>
      <w:r>
        <w:rPr>
          <w:rFonts w:ascii="Arial" w:hAnsi="Arial"/>
          <w:sz w:val="16"/>
        </w:rPr>
        <w:t>434.08  وظیفه موقت مجاز برای این منظور مجاز نیست.</w:t>
      </w:r>
    </w:p>
    <w:p>
      <w:pPr>
        <w:spacing w:after="28" w:line="216" w:lineRule="auto"/>
        <w:ind w:left="259"/>
        <w:jc w:val="left"/>
      </w:pPr>
      <w:r>
        <w:rPr>
          <w:rFonts w:ascii="Arial" w:hAnsi="Arial"/>
          <w:color w:val="525252"/>
          <w:sz w:val="13"/>
        </w:rPr>
        <w:t>Permissive Temporary Duty is not authorized for this purpose.</w:t>
      </w:r>
    </w:p>
    <w:p>
      <w:pPr>
        <w:spacing w:after="20" w:line="223" w:lineRule="auto"/>
        <w:jc w:val="right"/>
        <w:bidi/>
      </w:pPr>
      <w:r>
        <w:rPr>
          <w:rFonts w:ascii="Arial" w:hAnsi="Arial"/>
          <w:sz w:val="16"/>
        </w:rPr>
        <w:t>434.09  محتوا/مکان‌های مجاز.</w:t>
      </w:r>
    </w:p>
    <w:p>
      <w:pPr>
        <w:spacing w:after="28" w:line="216" w:lineRule="auto"/>
        <w:ind w:left="259"/>
        <w:jc w:val="left"/>
      </w:pPr>
      <w:r>
        <w:rPr>
          <w:rFonts w:ascii="Arial" w:hAnsi="Arial"/>
          <w:color w:val="525252"/>
          <w:sz w:val="13"/>
        </w:rPr>
        <w:t>Authorized content/locations.</w:t>
      </w:r>
    </w:p>
    <w:p>
      <w:pPr>
        <w:spacing w:after="20" w:line="223" w:lineRule="auto"/>
        <w:jc w:val="right"/>
        <w:bidi/>
      </w:pPr>
      <w:r>
        <w:rPr>
          <w:rFonts w:ascii="Arial" w:hAnsi="Arial"/>
          <w:sz w:val="16"/>
        </w:rPr>
        <w:t>434.10  خالکوبی روی سینه و پشت (زیر لباس یقه باز)، بازوها، پاها، پاها، دست‌ها و گردن مجاز است.</w:t>
      </w:r>
    </w:p>
    <w:p>
      <w:pPr>
        <w:spacing w:after="28" w:line="216" w:lineRule="auto"/>
        <w:ind w:left="259"/>
        <w:jc w:val="left"/>
      </w:pPr>
      <w:r>
        <w:rPr>
          <w:rFonts w:ascii="Arial" w:hAnsi="Arial"/>
          <w:color w:val="525252"/>
          <w:sz w:val="13"/>
        </w:rPr>
        <w:t>Tattoos are authorized on the chest and back (below the open collar uniform), arms, legs, feet, hands, and neck.</w:t>
      </w:r>
    </w:p>
    <w:p>
      <w:pPr>
        <w:spacing w:after="20" w:line="223" w:lineRule="auto"/>
        <w:jc w:val="right"/>
        <w:bidi/>
      </w:pPr>
      <w:r>
        <w:rPr>
          <w:rFonts w:ascii="Arial" w:hAnsi="Arial"/>
          <w:sz w:val="16"/>
        </w:rPr>
        <w:t>434.11  یک خالکوبی روی گردن مجاز است و اندازه آن در هیچ جهتی بیش از ۱ اینچ نخواهد بود.</w:t>
      </w:r>
    </w:p>
    <w:p>
      <w:pPr>
        <w:spacing w:after="28" w:line="216" w:lineRule="auto"/>
        <w:ind w:left="259"/>
        <w:jc w:val="left"/>
      </w:pPr>
      <w:r>
        <w:rPr>
          <w:rFonts w:ascii="Arial" w:hAnsi="Arial"/>
          <w:color w:val="525252"/>
          <w:sz w:val="13"/>
        </w:rPr>
        <w:t>One tattoo on the neck is authorized and will not exceed 1-inch in measurement in any direction.</w:t>
      </w:r>
    </w:p>
    <w:p>
      <w:pPr>
        <w:spacing w:after="20" w:line="223" w:lineRule="auto"/>
        <w:jc w:val="right"/>
        <w:bidi/>
      </w:pPr>
      <w:r>
        <w:rPr>
          <w:rFonts w:ascii="Arial" w:hAnsi="Arial"/>
          <w:sz w:val="16"/>
        </w:rPr>
        <w:t>434.12  خالکوبی گردن فقط در پشت یک خط عمودی در دهانه سوراخ گوش در اطراف پشت تا یک خط عمودی در دهانه سوراخ گوش دیگر قرار می‌گیرد و پشت گوش را نیز شامل می‌شود (شکل ۲۳.۱۶ را ببینید).</w:t>
      </w:r>
    </w:p>
    <w:p>
      <w:pPr>
        <w:spacing w:after="28" w:line="216" w:lineRule="auto"/>
        <w:ind w:left="259"/>
        <w:jc w:val="left"/>
      </w:pPr>
      <w:r>
        <w:rPr>
          <w:rFonts w:ascii="Arial" w:hAnsi="Arial"/>
          <w:color w:val="525252"/>
          <w:sz w:val="13"/>
        </w:rPr>
        <w:t>The neck tattoo will only be placed behind a vertical line at the opening of the ear orifice around the back to a vertical line at the opening of the other ear orifice and includes behind the ear (See Figure 23.16).</w:t>
      </w:r>
    </w:p>
    <w:p>
      <w:pPr>
        <w:spacing w:after="20" w:line="223" w:lineRule="auto"/>
        <w:jc w:val="right"/>
        <w:bidi/>
      </w:pPr>
      <w:r>
        <w:rPr>
          <w:rFonts w:ascii="Arial" w:hAnsi="Arial"/>
          <w:sz w:val="16"/>
        </w:rPr>
        <w:t>434.13  خالکوبی حلقه به یک نوار روی یک انگشت هر دست محدود می‌شود، عرض آن بیشتر از ۳/۸ اینچ در زیر بند انگشت و بالای مفصل انگشت (نزدیک‌ترین قسمت به کف دست) نیست.</w:t>
      </w:r>
    </w:p>
    <w:p>
      <w:pPr>
        <w:spacing w:after="28" w:line="216" w:lineRule="auto"/>
        <w:ind w:left="259"/>
        <w:jc w:val="left"/>
      </w:pPr>
      <w:r>
        <w:rPr>
          <w:rFonts w:ascii="Arial" w:hAnsi="Arial"/>
          <w:color w:val="525252"/>
          <w:sz w:val="13"/>
        </w:rPr>
        <w:t>Ring tattoos are limited to a single band on one finger of each hand, no more than 3/8-inch in width below the knuckle and above the finger joint (portion closest to the palm).</w:t>
      </w:r>
    </w:p>
    <w:p>
      <w:pPr>
        <w:spacing w:after="20" w:line="223" w:lineRule="auto"/>
        <w:jc w:val="right"/>
        <w:bidi/>
      </w:pPr>
      <w:r>
        <w:rPr>
          <w:rFonts w:ascii="Arial" w:hAnsi="Arial"/>
          <w:sz w:val="16"/>
        </w:rPr>
        <w:t>434.14  علاوه بر خالکوبی حلقه، یک خالکوبی واحد در هر دست مجاز است. اندازه خالکوبی در هر جهت از اندازه ۱ اینچ تجاوز نمی‌کند.</w:t>
      </w:r>
    </w:p>
    <w:p>
      <w:pPr>
        <w:spacing w:after="28" w:line="216" w:lineRule="auto"/>
        <w:ind w:left="259"/>
        <w:jc w:val="left"/>
      </w:pPr>
      <w:r>
        <w:rPr>
          <w:rFonts w:ascii="Arial" w:hAnsi="Arial"/>
          <w:color w:val="525252"/>
          <w:sz w:val="13"/>
        </w:rPr>
        <w:t>In addition to the ring tattoo, a single tattoo is authorized on each hand; the tattoo will not exceed the size of 1-inch measured in any direction.</w:t>
      </w:r>
    </w:p>
    <w:p>
      <w:pPr>
        <w:spacing w:after="20" w:line="223" w:lineRule="auto"/>
        <w:jc w:val="right"/>
        <w:bidi/>
      </w:pPr>
      <w:r>
        <w:rPr>
          <w:rFonts w:ascii="Arial" w:hAnsi="Arial"/>
          <w:sz w:val="16"/>
        </w:rPr>
        <w:t>434.15  خالکوبی‌های دست، بازو، پا، گردن و حلقه می‌توانند در هنگام پوشیدن هر ترکیب (های) یکنواختی نمایان و قابل مشاهده باشند.</w:t>
      </w:r>
    </w:p>
    <w:p>
      <w:pPr>
        <w:spacing w:after="28" w:line="216" w:lineRule="auto"/>
        <w:ind w:left="259"/>
        <w:jc w:val="left"/>
      </w:pPr>
      <w:r>
        <w:rPr>
          <w:rFonts w:ascii="Arial" w:hAnsi="Arial"/>
          <w:color w:val="525252"/>
          <w:sz w:val="13"/>
        </w:rPr>
        <w:t>Hand, arm, leg, neck, and ring tattoos can be exposed and visible while wearing any uniform combination(s).</w:t>
      </w:r>
    </w:p>
    <w:p>
      <w:pPr>
        <w:spacing w:after="20" w:line="223" w:lineRule="auto"/>
        <w:jc w:val="right"/>
        <w:bidi/>
      </w:pPr>
      <w:r>
        <w:rPr>
          <w:rFonts w:ascii="Arial" w:hAnsi="Arial"/>
          <w:sz w:val="16"/>
        </w:rPr>
        <w:t>434.16  خالکوبی سینه و پشت از طریق هیچ ترکیب(های) یکنواختی قابل مشاهده نخواهد بود یا در هنگام پوشیدن یقه باز قابل مشاهده نخواهد بود.</w:t>
      </w:r>
    </w:p>
    <w:p>
      <w:pPr>
        <w:spacing w:after="28" w:line="216" w:lineRule="auto"/>
        <w:ind w:left="259"/>
        <w:jc w:val="left"/>
      </w:pPr>
      <w:r>
        <w:rPr>
          <w:rFonts w:ascii="Arial" w:hAnsi="Arial"/>
          <w:color w:val="525252"/>
          <w:sz w:val="13"/>
        </w:rPr>
        <w:t>Chest and back tattoos will not be visible through any uniform combination(s) or visible while wearing an open collar uniform.</w:t>
      </w:r>
    </w:p>
    <w:p>
      <w:pPr>
        <w:spacing w:after="20" w:line="223" w:lineRule="auto"/>
        <w:jc w:val="right"/>
        <w:bidi/>
      </w:pPr>
      <w:r>
        <w:rPr>
          <w:rFonts w:ascii="Arial" w:hAnsi="Arial"/>
          <w:sz w:val="16"/>
        </w:rPr>
        <w:t>434.17  اعضا می‌توانند قبل از دریافت خالکوبی قابل اجرا، یک ETP برای مکان یا اندازه خالکوبی مطابق با DAFI ۳۶-۲۹۰۳، بند ۱۵.۵ درخواست کنند.</w:t>
      </w:r>
    </w:p>
    <w:p>
      <w:pPr>
        <w:spacing w:after="28" w:line="216" w:lineRule="auto"/>
        <w:ind w:left="259"/>
        <w:jc w:val="left"/>
      </w:pPr>
      <w:r>
        <w:rPr>
          <w:rFonts w:ascii="Arial" w:hAnsi="Arial"/>
          <w:color w:val="525252"/>
          <w:sz w:val="13"/>
        </w:rPr>
        <w:t>Members may request an ETP for location or size of tattoos in accordance with DAFI 36-2903, paragraph 15.5 prior to receiving applicable tattoo.</w:t>
      </w:r>
    </w:p>
    <w:p>
      <w:pPr>
        <w:spacing w:after="20" w:line="223" w:lineRule="auto"/>
        <w:jc w:val="right"/>
        <w:bidi/>
      </w:pPr>
      <w:r>
        <w:rPr>
          <w:rFonts w:ascii="Arial" w:hAnsi="Arial"/>
          <w:sz w:val="16"/>
        </w:rPr>
        <w:t>434.18  ETPهای تاتو تأیید شده در فرم DAF ۴۴۲۸، خالکوبی/برند/بررسی علامت گذاری بدن/تأیید ثبت می‌شوند.</w:t>
      </w:r>
    </w:p>
    <w:p>
      <w:pPr>
        <w:spacing w:after="28" w:line="216" w:lineRule="auto"/>
        <w:ind w:left="259"/>
        <w:jc w:val="left"/>
      </w:pPr>
      <w:r>
        <w:rPr>
          <w:rFonts w:ascii="Arial" w:hAnsi="Arial"/>
          <w:color w:val="525252"/>
          <w:sz w:val="13"/>
        </w:rPr>
        <w:t>Approved tattoo ETPs will be documented on the DAF Form 4428, Tattoo/Brand/Body Marking Screening/Verification.</w:t>
      </w:r>
    </w:p>
    <w:p>
      <w:pPr>
        <w:spacing w:after="20" w:line="223" w:lineRule="auto"/>
        <w:jc w:val="right"/>
        <w:bidi/>
      </w:pPr>
      <w:r>
        <w:rPr>
          <w:rFonts w:ascii="Arial" w:hAnsi="Arial"/>
          <w:sz w:val="16"/>
        </w:rPr>
        <w:t>434.19  درخواست ETP برای خالکوبی با محتوای غیرمجاز بررسی نخواهد شد.</w:t>
      </w:r>
    </w:p>
    <w:p>
      <w:pPr>
        <w:spacing w:after="28" w:line="216" w:lineRule="auto"/>
        <w:ind w:left="259"/>
        <w:jc w:val="left"/>
      </w:pPr>
      <w:r>
        <w:rPr>
          <w:rFonts w:ascii="Arial" w:hAnsi="Arial"/>
          <w:color w:val="525252"/>
          <w:sz w:val="13"/>
        </w:rPr>
        <w:t>An ETP request for tattoos with unauthorized content will not be considered.</w:t>
      </w:r>
    </w:p>
    <w:p>
      <w:pPr>
        <w:spacing w:before="60" w:after="28"/>
        <w:jc w:val="right"/>
        <w:bidi/>
      </w:pPr>
      <w:r>
        <w:rPr>
          <w:b/>
          <w:color w:val="1F4D78"/>
          <w:sz w:val="18"/>
        </w:rPr>
        <w:t>شکل 23.16. محل تایید تاتو گردن</w:t>
      </w:r>
    </w:p>
    <w:p>
      <w:pPr>
        <w:spacing w:after="20"/>
        <w:ind w:left="259"/>
        <w:jc w:val="left"/>
      </w:pPr>
      <w:r>
        <w:rPr>
          <w:color w:val="555555"/>
          <w:sz w:val="12"/>
        </w:rPr>
        <w:t>Figure 23.16. Neck Tattoo Approved Location</w:t>
      </w:r>
    </w:p>
    <w:p>
      <w:pPr>
        <w:spacing w:after="20" w:line="223" w:lineRule="auto"/>
        <w:jc w:val="right"/>
        <w:bidi/>
      </w:pPr>
      <w:r>
        <w:rPr>
          <w:rFonts w:ascii="Arial" w:hAnsi="Arial"/>
          <w:sz w:val="16"/>
        </w:rPr>
        <w:t>434.21  خالکوبی زیبایی.</w:t>
      </w:r>
    </w:p>
    <w:p>
      <w:pPr>
        <w:spacing w:after="28" w:line="216" w:lineRule="auto"/>
        <w:ind w:left="259"/>
        <w:jc w:val="left"/>
      </w:pPr>
      <w:r>
        <w:rPr>
          <w:rFonts w:ascii="Arial" w:hAnsi="Arial"/>
          <w:color w:val="525252"/>
          <w:sz w:val="13"/>
        </w:rPr>
        <w:t>Cosmetic tattooing.</w:t>
      </w:r>
    </w:p>
    <w:p>
      <w:pPr>
        <w:spacing w:after="20" w:line="223" w:lineRule="auto"/>
        <w:jc w:val="right"/>
        <w:bidi/>
      </w:pPr>
      <w:r>
        <w:rPr>
          <w:rFonts w:ascii="Arial" w:hAnsi="Arial"/>
          <w:sz w:val="16"/>
        </w:rPr>
        <w:t>434.22  خالکوبی برای اهداف زیبایی زمانی مجاز است که توسط پرسنل پزشکی مجاز و واجد شرایط برای اصلاح یک وضعیت پزشکی، بیماری یا جراحت برای مردان و زنان هدایت شود.</w:t>
      </w:r>
    </w:p>
    <w:p>
      <w:pPr>
        <w:spacing w:after="28" w:line="216" w:lineRule="auto"/>
        <w:ind w:left="259"/>
        <w:jc w:val="left"/>
      </w:pPr>
      <w:r>
        <w:rPr>
          <w:rFonts w:ascii="Arial" w:hAnsi="Arial"/>
          <w:color w:val="525252"/>
          <w:sz w:val="13"/>
        </w:rPr>
        <w:t>Tattooing for cosmetic purposes is authorized when directed by licensed, qualified medical personnel to correct a medical condition, illness, or injury for both men and women.</w:t>
      </w:r>
    </w:p>
    <w:p>
      <w:pPr>
        <w:spacing w:after="20" w:line="223" w:lineRule="auto"/>
        <w:jc w:val="right"/>
        <w:bidi/>
      </w:pPr>
      <w:r>
        <w:rPr>
          <w:rFonts w:ascii="Arial" w:hAnsi="Arial"/>
          <w:sz w:val="16"/>
        </w:rPr>
        <w:t>434.23  در صورت عدم تجویز پزشکی، خالکوبی زیبایی برای زنان در صورت استفاده از آرایش دائم صورت (مانند ابرو، خط چشم) و برای مردان در صورت استفاده از لوازم آرایشی دائمی برای پوست سر (میکروپیگمنتیشن) برای ایجاد ظاهر طبیعی مو مجاز است.</w:t>
      </w:r>
    </w:p>
    <w:p>
      <w:pPr>
        <w:spacing w:after="28" w:line="216" w:lineRule="auto"/>
        <w:ind w:left="259"/>
        <w:jc w:val="left"/>
      </w:pPr>
      <w:r>
        <w:rPr>
          <w:rFonts w:ascii="Arial" w:hAnsi="Arial"/>
          <w:color w:val="525252"/>
          <w:sz w:val="13"/>
        </w:rPr>
        <w:t>When not medically directed, cosmetic tattooing is permitted for women if done to apply permanent facial makeup (i.e., eyebrows, eyeliner) and for men if for permanent cosmetics for scalp only (micropigmentation) to create a natural hair appearance.</w:t>
      </w:r>
    </w:p>
    <w:p>
      <w:pPr>
        <w:spacing w:after="20" w:line="223" w:lineRule="auto"/>
        <w:jc w:val="right"/>
        <w:bidi/>
      </w:pPr>
      <w:r>
        <w:rPr>
          <w:rFonts w:ascii="Arial" w:hAnsi="Arial"/>
          <w:sz w:val="16"/>
        </w:rPr>
        <w:t>434.24  خالکوبی زیبایی باید ظاهری طبیعی و محافظه کارانه داشته باشد.</w:t>
      </w:r>
    </w:p>
    <w:p>
      <w:pPr>
        <w:spacing w:after="28" w:line="216" w:lineRule="auto"/>
        <w:ind w:left="259"/>
        <w:jc w:val="left"/>
      </w:pPr>
      <w:r>
        <w:rPr>
          <w:rFonts w:ascii="Arial" w:hAnsi="Arial"/>
          <w:color w:val="525252"/>
          <w:sz w:val="13"/>
        </w:rPr>
        <w:t>The cosmetic tattooing must have a natural and conservative appearance.</w:t>
      </w:r>
    </w:p>
    <w:p>
      <w:pPr>
        <w:spacing w:after="20" w:line="223" w:lineRule="auto"/>
        <w:jc w:val="right"/>
        <w:bidi/>
      </w:pPr>
      <w:r>
        <w:rPr>
          <w:rFonts w:ascii="Arial" w:hAnsi="Arial"/>
          <w:sz w:val="16"/>
        </w:rPr>
        <w:t>434.25  افرادی که در ابتدا به آنها دسترسی پیدا می‌شود، باید خالکوبی‌ها یا مارک‌هایی را که با موارد فوق مطابقت ندارند، افشا کنند.</w:t>
      </w:r>
    </w:p>
    <w:p>
      <w:pPr>
        <w:spacing w:after="28" w:line="216" w:lineRule="auto"/>
        <w:ind w:left="259"/>
        <w:jc w:val="left"/>
      </w:pPr>
      <w:r>
        <w:rPr>
          <w:rFonts w:ascii="Arial" w:hAnsi="Arial"/>
          <w:color w:val="525252"/>
          <w:sz w:val="13"/>
        </w:rPr>
        <w:t>Individuals who are initially accessed must disclose any tattoos or brands not meeting the above</w:t>
      </w:r>
    </w:p>
    <w:p>
      <w:r>
        <w:br w:type="page"/>
      </w:r>
    </w:p>
    <w:p>
      <w:pPr>
        <w:spacing w:after="60"/>
        <w:jc w:val="right"/>
        <w:bidi/>
      </w:pPr>
      <w:r>
        <w:rPr>
          <w:rFonts w:ascii="Arial" w:hAnsi="Arial"/>
          <w:b/>
          <w:color w:val="1F4D78"/>
          <w:sz w:val="19"/>
        </w:rPr>
        <w:t>هفتهٔ 435  |  صفحهٔ منبع: 451</w:t>
      </w:r>
    </w:p>
    <w:p>
      <w:pPr>
        <w:spacing w:after="20" w:line="223" w:lineRule="auto"/>
        <w:jc w:val="right"/>
        <w:bidi/>
      </w:pPr>
      <w:r>
        <w:rPr>
          <w:rFonts w:ascii="Arial" w:hAnsi="Arial"/>
          <w:sz w:val="16"/>
        </w:rPr>
        <w:t>435.01  و دریافت بررسی مناسب خدمات استخدام مؤلفه نیروی هوایی (AFRS، AFRCRS، ANG) برای تعیین صلاحیت در صورت مشکوک بودن برای استخدام یا انتصاب.</w:t>
      </w:r>
    </w:p>
    <w:p>
      <w:pPr>
        <w:spacing w:after="28" w:line="216" w:lineRule="auto"/>
        <w:ind w:left="259"/>
        <w:jc w:val="left"/>
      </w:pPr>
      <w:r>
        <w:rPr>
          <w:rFonts w:ascii="Arial" w:hAnsi="Arial"/>
          <w:color w:val="525252"/>
          <w:sz w:val="13"/>
        </w:rPr>
        <w:t>criteria and receive appropriate Air Force Component Recruiting Service review (AFRS, AFRCRS, ANG) to determine eligibility when questionable for enlistment or appointment.</w:t>
      </w:r>
    </w:p>
    <w:p>
      <w:pPr>
        <w:spacing w:after="20" w:line="223" w:lineRule="auto"/>
        <w:jc w:val="right"/>
        <w:bidi/>
      </w:pPr>
      <w:r>
        <w:rPr>
          <w:rFonts w:ascii="Arial" w:hAnsi="Arial"/>
          <w:sz w:val="16"/>
        </w:rPr>
        <w:t>435.02  حذف کامل یا تغییر محتوای غیرمجاز و/یا خالکوبی/مارک/علامت‌گذاری بیش از حد بدن قبل از پذیرش در نیروی هوایی لازم است.</w:t>
      </w:r>
    </w:p>
    <w:p>
      <w:pPr>
        <w:spacing w:after="28" w:line="216" w:lineRule="auto"/>
        <w:ind w:left="259"/>
        <w:jc w:val="left"/>
      </w:pPr>
      <w:r>
        <w:rPr>
          <w:rFonts w:ascii="Arial" w:hAnsi="Arial"/>
          <w:color w:val="525252"/>
          <w:sz w:val="13"/>
        </w:rPr>
        <w:t>Complete removal or alteration of unauthorized content and/or excessive tattoos/brands/body markings is otherwise required prior to being accepted in the Air Force.</w:t>
      </w:r>
    </w:p>
    <w:p>
      <w:pPr>
        <w:spacing w:after="20" w:line="223" w:lineRule="auto"/>
        <w:jc w:val="right"/>
        <w:bidi/>
      </w:pPr>
      <w:r>
        <w:rPr>
          <w:rFonts w:ascii="Arial" w:hAnsi="Arial"/>
          <w:sz w:val="16"/>
        </w:rPr>
        <w:t>435.03  مرجع ارشد معافیت هر جزء همانطور که توسط بخش پیوستن و آموزش نیروی هوایی (AF/ا۱PT) تعریف شده است، طبق DAFI ۳۶-۲۹۰۳، بند ۳.۲.۴، ممکن است برای متقاضیان بالقوه نیروی هوایی با خالکوبی دست (در هر جایی که بیش از ۲% از دست نباشد) استثنائات فردی از سیاست را در نظر بگیرد.</w:t>
      </w:r>
    </w:p>
    <w:p>
      <w:pPr>
        <w:spacing w:after="28" w:line="216" w:lineRule="auto"/>
        <w:ind w:left="259"/>
        <w:jc w:val="left"/>
      </w:pPr>
      <w:r>
        <w:rPr>
          <w:rFonts w:ascii="Arial" w:hAnsi="Arial"/>
          <w:color w:val="525252"/>
          <w:sz w:val="13"/>
        </w:rPr>
        <w:t>Each component’s senior waiver authority as defined by the Air Force Accessions and Training Division (AF/A1PT), per DAFI 36-2903, paragraph 3.2.4, may allow for individual exceptions to policy to potential Air Force applicants with hand tattoos (anywhere on the hand) that are no more than 25% of the hand.</w:t>
      </w:r>
    </w:p>
    <w:p>
      <w:pPr>
        <w:spacing w:after="20" w:line="223" w:lineRule="auto"/>
        <w:jc w:val="right"/>
        <w:bidi/>
      </w:pPr>
      <w:r>
        <w:rPr>
          <w:rFonts w:ascii="Arial" w:hAnsi="Arial"/>
          <w:sz w:val="16"/>
        </w:rPr>
        <w:t>435.04  دست به‌عنوان قسمت انتهایی بازوی فرد در آن سوی مچ، شامل کف دست، انگشتان و شست تعریف می‌شود.</w:t>
      </w:r>
    </w:p>
    <w:p>
      <w:pPr>
        <w:spacing w:after="28" w:line="216" w:lineRule="auto"/>
        <w:ind w:left="259"/>
        <w:jc w:val="left"/>
      </w:pPr>
      <w:r>
        <w:rPr>
          <w:rFonts w:ascii="Arial" w:hAnsi="Arial"/>
          <w:color w:val="525252"/>
          <w:sz w:val="13"/>
        </w:rPr>
        <w:t>The hand is defined as the end part of a person’s arm beyond the wrist, including the palm, fingers, and thumb.</w:t>
      </w:r>
    </w:p>
    <w:p>
      <w:pPr>
        <w:spacing w:after="20" w:line="223" w:lineRule="auto"/>
        <w:jc w:val="right"/>
        <w:bidi/>
      </w:pPr>
      <w:r>
        <w:rPr>
          <w:rFonts w:ascii="Arial" w:hAnsi="Arial"/>
          <w:sz w:val="16"/>
        </w:rPr>
        <w:t>435.05  همه محدودیت‌های خالکوبی محتوا همچنان اعمال می‌شوند.</w:t>
      </w:r>
    </w:p>
    <w:p>
      <w:pPr>
        <w:spacing w:after="28" w:line="216" w:lineRule="auto"/>
        <w:ind w:left="259"/>
        <w:jc w:val="left"/>
      </w:pPr>
      <w:r>
        <w:rPr>
          <w:rFonts w:ascii="Arial" w:hAnsi="Arial"/>
          <w:color w:val="525252"/>
          <w:sz w:val="13"/>
        </w:rPr>
        <w:t>All content tattoo restrictions still apply.</w:t>
      </w:r>
    </w:p>
    <w:p>
      <w:pPr>
        <w:spacing w:after="20" w:line="223" w:lineRule="auto"/>
        <w:jc w:val="right"/>
        <w:bidi/>
      </w:pPr>
      <w:r>
        <w:rPr>
          <w:rFonts w:ascii="Arial" w:hAnsi="Arial"/>
          <w:sz w:val="16"/>
        </w:rPr>
        <w:t>435.06  این اختیار ممکن است به صلاحدید مقام ارشد معافیت تفویض شود، اما کمتر از فرماندهان اسکادران استخدام (RCS/ککس) (رگاف/رسرو) و رؤسای استخدام و نگهداری (ANG) نباشد.</w:t>
      </w:r>
    </w:p>
    <w:p>
      <w:pPr>
        <w:spacing w:after="28" w:line="216" w:lineRule="auto"/>
        <w:ind w:left="259"/>
        <w:jc w:val="left"/>
      </w:pPr>
      <w:r>
        <w:rPr>
          <w:rFonts w:ascii="Arial" w:hAnsi="Arial"/>
          <w:color w:val="525252"/>
          <w:sz w:val="13"/>
        </w:rPr>
        <w:t>This authority may be further delegated at the discretion of the Senior Waiver Authority but no lower than Recruiting Squadron Commanders (RCS/CCs) (RegAF/Reserve) and Recruiting &amp; Retention Chiefs (ANG).</w:t>
      </w:r>
    </w:p>
    <w:p>
      <w:pPr>
        <w:spacing w:after="20" w:line="223" w:lineRule="auto"/>
        <w:jc w:val="right"/>
        <w:bidi/>
      </w:pPr>
      <w:r>
        <w:rPr>
          <w:rFonts w:ascii="Arial" w:hAnsi="Arial"/>
          <w:sz w:val="16"/>
        </w:rPr>
        <w:t>435.07  این اختیار فقط برای متقاضیان واجد شرایط استثنایی که توسط مقامات معافیت تعیین شده است استفاده می‌شود و محدود به رشته‌های شغلی/تخصصی حیاتی است که قادر به جبران کمبودها با متقاضیان نیستند مگر اینکه ETP به متقاضی اعطا شود.</w:t>
      </w:r>
    </w:p>
    <w:p>
      <w:pPr>
        <w:spacing w:after="28" w:line="216" w:lineRule="auto"/>
        <w:ind w:left="259"/>
        <w:jc w:val="left"/>
      </w:pPr>
      <w:r>
        <w:rPr>
          <w:rFonts w:ascii="Arial" w:hAnsi="Arial"/>
          <w:color w:val="525252"/>
          <w:sz w:val="13"/>
        </w:rPr>
        <w:t>This authority will only be used for exceptionally qualified applicants as determined by the Waiver Authority and is limited to undermanned critical career fields/specialties unable to fill shortages with applicants unless an ETP is granted to the applicant.</w:t>
      </w:r>
    </w:p>
    <w:p>
      <w:pPr>
        <w:spacing w:after="20" w:line="223" w:lineRule="auto"/>
        <w:jc w:val="right"/>
        <w:bidi/>
      </w:pPr>
      <w:r>
        <w:rPr>
          <w:rFonts w:ascii="Arial" w:hAnsi="Arial"/>
          <w:sz w:val="16"/>
        </w:rPr>
        <w:t>435.08  متقاضیان دارای صلاحیت استثنایی شامل کسانی می‌شوند که دارای مجموعه مهارت‌های حیاتی، مدارک، گواهینامه‌ها یا تجربه‌ای هستند که مستقیما با تخصصی که برای آن در نظر گرفته می‌شوند مرتبط است.</w:t>
      </w:r>
    </w:p>
    <w:p>
      <w:pPr>
        <w:spacing w:after="28" w:line="216" w:lineRule="auto"/>
        <w:ind w:left="259"/>
        <w:jc w:val="left"/>
      </w:pPr>
      <w:r>
        <w:rPr>
          <w:rFonts w:ascii="Arial" w:hAnsi="Arial"/>
          <w:color w:val="525252"/>
          <w:sz w:val="13"/>
        </w:rPr>
        <w:t>Exceptionally qualified applicants include those with critical skill sets, degrees, certifications, or experience directly related to the specialty for which they are being considered.</w:t>
      </w:r>
    </w:p>
    <w:p>
      <w:pPr>
        <w:spacing w:after="20" w:line="223" w:lineRule="auto"/>
        <w:jc w:val="right"/>
        <w:bidi/>
      </w:pPr>
      <w:r>
        <w:rPr>
          <w:rFonts w:ascii="Arial" w:hAnsi="Arial"/>
          <w:sz w:val="16"/>
        </w:rPr>
        <w:t>435.09  ETPهای تأیید شده خالکوبی دست در فرم ۴۴۲۸ DAF، غربالگری/تأیید علامت گذاری بدنه/تاتو/برند/مستند خواهد شد.</w:t>
      </w:r>
    </w:p>
    <w:p>
      <w:pPr>
        <w:spacing w:after="28" w:line="216" w:lineRule="auto"/>
        <w:ind w:left="259"/>
        <w:jc w:val="left"/>
      </w:pPr>
      <w:r>
        <w:rPr>
          <w:rFonts w:ascii="Arial" w:hAnsi="Arial"/>
          <w:color w:val="525252"/>
          <w:sz w:val="13"/>
        </w:rPr>
        <w:t>Approved hand tattoo ETPs will be documented on the DAF Form 4428, Tattoo/Brand/Body Marking Screening/Verification.</w:t>
      </w:r>
    </w:p>
    <w:p>
      <w:pPr>
        <w:spacing w:after="20" w:line="223" w:lineRule="auto"/>
        <w:jc w:val="right"/>
        <w:bidi/>
      </w:pPr>
      <w:r>
        <w:rPr>
          <w:rFonts w:ascii="Arial" w:hAnsi="Arial"/>
          <w:sz w:val="16"/>
        </w:rPr>
        <w:t>435.10  فرماندهان از این مقررات در تعیین میزان پذیرش خالکوبی‌ها، مارک‌ها و علائم بدنی که توسط اعضای لباس فرم نمایش داده می‌شود استفاده خواهند کرد.</w:t>
      </w:r>
    </w:p>
    <w:p>
      <w:pPr>
        <w:spacing w:after="28" w:line="216" w:lineRule="auto"/>
        <w:ind w:left="259"/>
        <w:jc w:val="left"/>
      </w:pPr>
      <w:r>
        <w:rPr>
          <w:rFonts w:ascii="Arial" w:hAnsi="Arial"/>
          <w:color w:val="525252"/>
          <w:sz w:val="13"/>
        </w:rPr>
        <w:t>Commanders will use these provisions in determining the acceptability of tattoos, brands, and body markings displayed by members in uniform.</w:t>
      </w:r>
    </w:p>
    <w:p>
      <w:pPr>
        <w:spacing w:after="20" w:line="223" w:lineRule="auto"/>
        <w:jc w:val="right"/>
        <w:bidi/>
      </w:pPr>
      <w:r>
        <w:rPr>
          <w:rFonts w:ascii="Arial" w:hAnsi="Arial"/>
          <w:sz w:val="16"/>
        </w:rPr>
        <w:t>435.11  طبق DAFI ۳۶-۲۹۰۳، پاراگراف ۲.۱۴.۴، فرماندهان این اختیار را حفظ خواهند کرد که بر اساس توافقات قانونی، ایمنی، بهداشتی و/یا کشور میزبان، برای پوشاندن خالکوبی، زیور آلات بدن و نظافت شخصی، محدودیت بیشتری داشته باشند.</w:t>
      </w:r>
    </w:p>
    <w:p>
      <w:pPr>
        <w:spacing w:after="28" w:line="216" w:lineRule="auto"/>
        <w:ind w:left="259"/>
        <w:jc w:val="left"/>
      </w:pPr>
      <w:r>
        <w:rPr>
          <w:rFonts w:ascii="Arial" w:hAnsi="Arial"/>
          <w:color w:val="525252"/>
          <w:sz w:val="13"/>
        </w:rPr>
        <w:t>Per DAFI 36-2903, paragraph 2.14.4, commanders will retain the authority to be more restrictive for covering tattoos, body ornaments and personal grooming based on legal, safety, sanitary, and/or host nation agreements.</w:t>
      </w:r>
    </w:p>
    <w:p>
      <w:pPr>
        <w:spacing w:before="60" w:after="28"/>
        <w:jc w:val="right"/>
        <w:bidi/>
      </w:pPr>
      <w:r>
        <w:rPr>
          <w:b/>
          <w:color w:val="1F4D78"/>
          <w:sz w:val="18"/>
        </w:rPr>
        <w:t>23.4. سوراخ کردن بدن / تزئینات</w:t>
      </w:r>
    </w:p>
    <w:p>
      <w:pPr>
        <w:spacing w:after="20"/>
        <w:ind w:left="259"/>
        <w:jc w:val="left"/>
      </w:pPr>
      <w:r>
        <w:rPr>
          <w:color w:val="555555"/>
          <w:sz w:val="12"/>
        </w:rPr>
        <w:t>23.4. Body Piercing/Ornamentation</w:t>
      </w:r>
    </w:p>
    <w:p>
      <w:pPr>
        <w:spacing w:after="20" w:line="223" w:lineRule="auto"/>
        <w:jc w:val="right"/>
        <w:bidi/>
      </w:pPr>
      <w:r>
        <w:rPr>
          <w:rFonts w:ascii="Arial" w:hAnsi="Arial"/>
          <w:sz w:val="16"/>
        </w:rPr>
        <w:t>435.13  در لباس غیرنظامی در حین انجام وظیفه رسمی و با لباس رسمی در داخل یا خارج از تاسیسات نظامی: به استثنای گوشواره‌های مندرج در بند ۷.۳.۱.۱ DAFI ۳۶-۲۹۰۳، همه اعضا از چسباندن، چسباندن یا نمایش اشیا، اشیاء، جواهرات، جواهرات، بدون یا از طریق آنها منع شده‌اند. ابروها، لب‌ها یا هر قسمت در معرض بدن (شامل قابل مشاهده از طریق لباس).</w:t>
      </w:r>
    </w:p>
    <w:p>
      <w:pPr>
        <w:spacing w:after="28" w:line="216" w:lineRule="auto"/>
        <w:ind w:left="259"/>
        <w:jc w:val="left"/>
      </w:pPr>
      <w:r>
        <w:rPr>
          <w:rFonts w:ascii="Arial" w:hAnsi="Arial"/>
          <w:color w:val="525252"/>
          <w:sz w:val="13"/>
        </w:rPr>
        <w:t>In civilian attire on official duty and in uniform on or off a military installation: With the exception of earrings as listed in DAFI 36-2903, paragraph 7.3.1.1, all members are prohibited from attaching, affixing, or displaying objects, articles, jewelry, or ornamentation to or through the ear, nose, tongue, eyebrows, lips, or any exposed body part (includes visible through the uniform).</w:t>
      </w:r>
    </w:p>
    <w:p>
      <w:pPr>
        <w:spacing w:after="20" w:line="223" w:lineRule="auto"/>
        <w:jc w:val="right"/>
        <w:bidi/>
      </w:pPr>
      <w:r>
        <w:rPr>
          <w:rFonts w:ascii="Arial" w:hAnsi="Arial"/>
          <w:sz w:val="16"/>
        </w:rPr>
        <w:t>435.14  تزیینات دندان.</w:t>
      </w:r>
    </w:p>
    <w:p>
      <w:pPr>
        <w:spacing w:after="28" w:line="216" w:lineRule="auto"/>
        <w:ind w:left="259"/>
        <w:jc w:val="left"/>
      </w:pPr>
      <w:r>
        <w:rPr>
          <w:rFonts w:ascii="Arial" w:hAnsi="Arial"/>
          <w:color w:val="525252"/>
          <w:sz w:val="13"/>
        </w:rPr>
        <w:t>Dental ornamentation.</w:t>
      </w:r>
    </w:p>
    <w:p>
      <w:pPr>
        <w:spacing w:after="20" w:line="223" w:lineRule="auto"/>
        <w:jc w:val="right"/>
        <w:bidi/>
      </w:pPr>
      <w:r>
        <w:rPr>
          <w:rFonts w:ascii="Arial" w:hAnsi="Arial"/>
          <w:sz w:val="16"/>
        </w:rPr>
        <w:t>435.15  دندانها، اعم از طبیعی، روکش دار یا روکش دار، با طرح، نگین، حروف اول و غیره تزئین نمی‌شوند.</w:t>
      </w:r>
    </w:p>
    <w:p>
      <w:pPr>
        <w:spacing w:after="28" w:line="216" w:lineRule="auto"/>
        <w:ind w:left="259"/>
        <w:jc w:val="left"/>
      </w:pPr>
      <w:r>
        <w:rPr>
          <w:rFonts w:ascii="Arial" w:hAnsi="Arial"/>
          <w:color w:val="525252"/>
          <w:sz w:val="13"/>
        </w:rPr>
        <w:t>Teeth, whether natural, capped, or veneered, will not be ornamented with designs, jewels, initials, etc.</w:t>
      </w:r>
    </w:p>
    <w:p>
      <w:pPr>
        <w:spacing w:after="20" w:line="223" w:lineRule="auto"/>
        <w:jc w:val="right"/>
        <w:bidi/>
      </w:pPr>
      <w:r>
        <w:rPr>
          <w:rFonts w:ascii="Arial" w:hAnsi="Arial"/>
          <w:sz w:val="16"/>
        </w:rPr>
        <w:t>435.16  استفاده از کلاهک‌های طلای زرد، طلای سفید یا پلاتین (دائمی یا موقت) صرفا برای افزودن زینت به دندان‌ها و نیازی به نیازهای دندانپزشکی یا پزشکی ممنوع است.</w:t>
      </w:r>
    </w:p>
    <w:p>
      <w:pPr>
        <w:spacing w:after="28" w:line="216" w:lineRule="auto"/>
        <w:ind w:left="259"/>
        <w:jc w:val="left"/>
      </w:pPr>
      <w:r>
        <w:rPr>
          <w:rFonts w:ascii="Arial" w:hAnsi="Arial"/>
          <w:color w:val="525252"/>
          <w:sz w:val="13"/>
        </w:rPr>
        <w:t>The use of yellow gold, white gold, or platinum caps (permanent or temporary) merely to add ornamentation to the teeth and not required by dental/medical necessity is prohibited.</w:t>
      </w:r>
    </w:p>
    <w:p>
      <w:pPr>
        <w:spacing w:after="20" w:line="223" w:lineRule="auto"/>
        <w:jc w:val="right"/>
        <w:bidi/>
      </w:pPr>
      <w:r>
        <w:rPr>
          <w:rFonts w:ascii="Arial" w:hAnsi="Arial"/>
          <w:sz w:val="16"/>
        </w:rPr>
        <w:t>435.17  برای اعضای نیروی هوایی یا افرادی که دارای کلاهک دائمی طلای زرد، طلای سفید یا پلاتین هستند که در نتیجه نیازهای دندانپزشکی/پزشکی اعمال شده اند، معافیت لازم نیست.</w:t>
      </w:r>
    </w:p>
    <w:p>
      <w:pPr>
        <w:spacing w:after="28" w:line="216" w:lineRule="auto"/>
        <w:ind w:left="259"/>
        <w:jc w:val="left"/>
      </w:pPr>
      <w:r>
        <w:rPr>
          <w:rFonts w:ascii="Arial" w:hAnsi="Arial"/>
          <w:color w:val="525252"/>
          <w:sz w:val="13"/>
        </w:rPr>
        <w:t>Waivers are not required for Air Force members or recruits with permanent yellow gold, white gold or platinum caps that were applied as a result of dental/medical necessity.</w:t>
      </w:r>
    </w:p>
    <w:p>
      <w:pPr>
        <w:spacing w:after="20" w:line="223" w:lineRule="auto"/>
        <w:jc w:val="right"/>
        <w:bidi/>
      </w:pPr>
      <w:r>
        <w:rPr>
          <w:rFonts w:ascii="Arial" w:hAnsi="Arial"/>
          <w:sz w:val="16"/>
        </w:rPr>
        <w:t>435.18  اعضای دارای مدارک رسمی مبنی بر دریافت کلاهک دائمی طلای زرد، طلای سفید یا پلاتین که به دلیل ضرورت دندانپزشکی/پزشکی، قبل از ۱۳ ژوئن ۲۰۱۱ استفاده نشده است، معاف هستند.</w:t>
      </w:r>
    </w:p>
    <w:p>
      <w:pPr>
        <w:spacing w:after="28" w:line="216" w:lineRule="auto"/>
        <w:ind w:left="259"/>
        <w:jc w:val="left"/>
      </w:pPr>
      <w:r>
        <w:rPr>
          <w:rFonts w:ascii="Arial" w:hAnsi="Arial"/>
          <w:color w:val="525252"/>
          <w:sz w:val="13"/>
        </w:rPr>
        <w:t>Members with official documentation that they received permanent yellow gold, white gold, or platinum caps which were not applied as a result of dental/medical necessity, prior to 13 June 2011, are exempted.</w:t>
      </w:r>
    </w:p>
    <w:p>
      <w:pPr>
        <w:spacing w:after="20" w:line="223" w:lineRule="auto"/>
        <w:jc w:val="right"/>
        <w:bidi/>
      </w:pPr>
      <w:r>
        <w:rPr>
          <w:rFonts w:ascii="Arial" w:hAnsi="Arial"/>
          <w:sz w:val="16"/>
        </w:rPr>
        <w:t>435.19  هیچ گونه تزئینات دندانی دیگر مستثنی نیست.</w:t>
      </w:r>
    </w:p>
    <w:p>
      <w:pPr>
        <w:spacing w:after="28" w:line="216" w:lineRule="auto"/>
        <w:ind w:left="259"/>
        <w:jc w:val="left"/>
      </w:pPr>
      <w:r>
        <w:rPr>
          <w:rFonts w:ascii="Arial" w:hAnsi="Arial"/>
          <w:color w:val="525252"/>
          <w:sz w:val="13"/>
        </w:rPr>
        <w:t>No other dental ornamentation is exempted.</w:t>
      </w:r>
    </w:p>
    <w:p>
      <w:pPr>
        <w:spacing w:before="60" w:after="28"/>
        <w:jc w:val="right"/>
        <w:bidi/>
      </w:pPr>
      <w:r>
        <w:rPr>
          <w:b/>
          <w:color w:val="1F4D78"/>
          <w:sz w:val="18"/>
        </w:rPr>
        <w:t>23.5. تغییرات و اصلاحات بدن</w:t>
      </w:r>
    </w:p>
    <w:p>
      <w:pPr>
        <w:spacing w:after="20"/>
        <w:ind w:left="259"/>
        <w:jc w:val="left"/>
      </w:pPr>
      <w:r>
        <w:rPr>
          <w:color w:val="555555"/>
          <w:sz w:val="12"/>
        </w:rPr>
        <w:t>23.5. Body Alterations and Modifications</w:t>
      </w:r>
    </w:p>
    <w:p>
      <w:pPr>
        <w:spacing w:after="20" w:line="223" w:lineRule="auto"/>
        <w:jc w:val="right"/>
        <w:bidi/>
      </w:pPr>
      <w:r>
        <w:rPr>
          <w:rFonts w:ascii="Arial" w:hAnsi="Arial"/>
          <w:sz w:val="16"/>
        </w:rPr>
        <w:t>435.21  تغییرات و/یا اصلاحات عمدی در بدن یک عضو که منجر به یک اثر فیزیکی و قابل مشاهده می‌شود که چهره‌ی نظامی حرفه‌ای را تغییر شکل دهد، تغییر شکل دهد یا به شکل دیگری از آن بکاهد، ممنوع است.</w:t>
      </w:r>
    </w:p>
    <w:p>
      <w:pPr>
        <w:spacing w:after="28" w:line="216" w:lineRule="auto"/>
        <w:ind w:left="259"/>
        <w:jc w:val="left"/>
      </w:pPr>
      <w:r>
        <w:rPr>
          <w:rFonts w:ascii="Arial" w:hAnsi="Arial"/>
          <w:color w:val="525252"/>
          <w:sz w:val="13"/>
        </w:rPr>
        <w:t>Intentional alterations and/or modifications to a member’s body that result in a visible, physical effect that disfigures, deforms, or otherwise detracts from a professional military image are prohibited.</w:t>
      </w:r>
    </w:p>
    <w:p>
      <w:pPr>
        <w:spacing w:after="20" w:line="223" w:lineRule="auto"/>
        <w:jc w:val="right"/>
        <w:bidi/>
      </w:pPr>
      <w:r>
        <w:rPr>
          <w:rFonts w:ascii="Arial" w:hAnsi="Arial"/>
          <w:sz w:val="16"/>
        </w:rPr>
        <w:t>435.22  نمونه‌هایی از رفتار ممنوع عبارتند از (اما نه محدود به) شکافتن یا چنگال کردن زبان، براده کردن دندان، به دست آوردن ایمپلنت‌های قابل مشاهده و تغییر شکل پوست، و اندازه‌گیری (سوراخ‌هایی که به اندازه کافی بزرگ هستند تا نور از آن بتابد).</w:t>
      </w:r>
    </w:p>
    <w:p>
      <w:pPr>
        <w:spacing w:after="28" w:line="216" w:lineRule="auto"/>
        <w:ind w:left="259"/>
        <w:jc w:val="left"/>
      </w:pPr>
      <w:r>
        <w:rPr>
          <w:rFonts w:ascii="Arial" w:hAnsi="Arial"/>
          <w:color w:val="525252"/>
          <w:sz w:val="13"/>
        </w:rPr>
        <w:t>Examples of prohibited conduct include (but are not limited to) tongue splitting or forking, tooth filing, acquiring visible, disfiguring skin implants, and gauging (piercing holes large enough to permit light to shine through).</w:t>
      </w:r>
    </w:p>
    <w:p>
      <w:pPr>
        <w:spacing w:after="20" w:line="223" w:lineRule="auto"/>
        <w:jc w:val="right"/>
        <w:bidi/>
      </w:pPr>
      <w:r>
        <w:rPr>
          <w:rFonts w:ascii="Arial" w:hAnsi="Arial"/>
          <w:sz w:val="16"/>
        </w:rPr>
        <w:t>435.23  اعضایی که عمدا هر بخشی از بدن خود را تغییر داده و/یا تغییر می‌دهند تا به یک اثر فیزیکی قابل مشاهده و فیزیکی دست یابند که چهره نظامی حرفه‌ای را از بین می‌برد، تغییر شکل می‌دهد، ممکن است مشمول اقدامات انضباطی یا جدایی غیرارادی شوند، طبق تشخیص فرمانده عضو.</w:t>
      </w:r>
    </w:p>
    <w:p>
      <w:pPr>
        <w:spacing w:after="28" w:line="216" w:lineRule="auto"/>
        <w:ind w:left="259"/>
        <w:jc w:val="left"/>
      </w:pPr>
      <w:r>
        <w:rPr>
          <w:rFonts w:ascii="Arial" w:hAnsi="Arial"/>
          <w:color w:val="525252"/>
          <w:sz w:val="13"/>
        </w:rPr>
        <w:t>Members who intentionally alter and/or modify any part of their bodies in order to achieve a visible, physical effect that disfigures, deforms, or otherwise detracts from a professional military image may be subject to disciplinary action or involuntary separation, as determined appropriate by the member’s commander.</w:t>
      </w:r>
    </w:p>
    <w:p>
      <w:pPr>
        <w:spacing w:after="20" w:line="223" w:lineRule="auto"/>
        <w:jc w:val="right"/>
        <w:bidi/>
      </w:pPr>
      <w:r>
        <w:rPr>
          <w:rFonts w:ascii="Arial" w:hAnsi="Arial"/>
          <w:sz w:val="16"/>
        </w:rPr>
        <w:t>435.24  شکست توسط اعضای رگاف،</w:t>
      </w:r>
    </w:p>
    <w:p>
      <w:pPr>
        <w:spacing w:after="28" w:line="216" w:lineRule="auto"/>
        <w:ind w:left="259"/>
        <w:jc w:val="left"/>
      </w:pPr>
      <w:r>
        <w:rPr>
          <w:rFonts w:ascii="Arial" w:hAnsi="Arial"/>
          <w:color w:val="525252"/>
          <w:sz w:val="13"/>
        </w:rPr>
        <w:t>Failure by RegAF members,</w:t>
      </w:r>
    </w:p>
    <w:p>
      <w:r>
        <w:br w:type="page"/>
      </w:r>
    </w:p>
    <w:p>
      <w:pPr>
        <w:spacing w:after="60"/>
        <w:jc w:val="right"/>
        <w:bidi/>
      </w:pPr>
      <w:r>
        <w:rPr>
          <w:rFonts w:ascii="Arial" w:hAnsi="Arial"/>
          <w:b/>
          <w:color w:val="1F4D78"/>
          <w:sz w:val="19"/>
        </w:rPr>
        <w:t>هفتهٔ 436  |  صفحهٔ منبع: 452</w:t>
      </w:r>
    </w:p>
    <w:p>
      <w:pPr>
        <w:spacing w:after="20" w:line="223" w:lineRule="auto"/>
        <w:jc w:val="right"/>
        <w:bidi/>
      </w:pPr>
      <w:r>
        <w:rPr>
          <w:rFonts w:ascii="Arial" w:hAnsi="Arial"/>
          <w:sz w:val="16"/>
        </w:rPr>
        <w:t>436.01  اعضای AFR در وظیفه فعال یا غیرفعال برای آموزش، و اعضای ANG در وضعیت عنوان ۱۰ برای اطاعت از مقررات اجباری در این بند، نقض ماده ۹۲ (۱)، UCMJ - عدم اطاعت از دستور یا مقررات قانونی است.</w:t>
      </w:r>
    </w:p>
    <w:p>
      <w:pPr>
        <w:spacing w:after="28" w:line="216" w:lineRule="auto"/>
        <w:ind w:left="259"/>
        <w:jc w:val="left"/>
      </w:pPr>
      <w:r>
        <w:rPr>
          <w:rFonts w:ascii="Arial" w:hAnsi="Arial"/>
          <w:color w:val="525252"/>
          <w:sz w:val="13"/>
        </w:rPr>
        <w:t>AFR members on active duty or inactive duty for training, and ANG members in Title 10 status to obey the mandatory provisions in this paragraph constitutes a violation of Article 92 (1), UCMJ - failure to obey lawful order or regulation.</w:t>
      </w:r>
    </w:p>
    <w:p>
      <w:pPr>
        <w:spacing w:after="20" w:line="223" w:lineRule="auto"/>
        <w:jc w:val="right"/>
        <w:bidi/>
      </w:pPr>
      <w:r>
        <w:rPr>
          <w:rFonts w:ascii="Arial" w:hAnsi="Arial"/>
          <w:sz w:val="16"/>
        </w:rPr>
        <w:t>436.02  اعضای ANG در وضعیت عنوان ۳۲ که وظیفه گارد ملی تمام وقت یا غیرفعال برای آموزش را انجام می‌دهند و مفاد اجباری DAFI ۳۶-۲۹۰۳ را نقض می‌کنند، ممکن است از طریق مقررات مشابه کدهای نظامی دولتی مربوطه خود پاسخگو باشند.</w:t>
      </w:r>
    </w:p>
    <w:p>
      <w:pPr>
        <w:spacing w:after="28" w:line="216" w:lineRule="auto"/>
        <w:ind w:left="259"/>
        <w:jc w:val="left"/>
      </w:pPr>
      <w:r>
        <w:rPr>
          <w:rFonts w:ascii="Arial" w:hAnsi="Arial"/>
          <w:color w:val="525252"/>
          <w:sz w:val="13"/>
        </w:rPr>
        <w:t>ANG members in Title 32 status performing full-time National Guard duty or inactive duty for training, who violate the mandatory provisions of DAFI 36- 2903, may be held accountable through similar provisions of their respective state military codes.</w:t>
      </w:r>
    </w:p>
    <w:p>
      <w:r>
        <w:br w:type="page"/>
      </w:r>
    </w:p>
    <w:p>
      <w:pPr>
        <w:spacing w:after="60"/>
        <w:jc w:val="right"/>
        <w:bidi/>
      </w:pPr>
      <w:r>
        <w:rPr>
          <w:rFonts w:ascii="Arial" w:hAnsi="Arial"/>
          <w:b/>
          <w:color w:val="1F4D78"/>
          <w:sz w:val="19"/>
        </w:rPr>
        <w:t>هفتهٔ 437  |  صفحهٔ منبع: 453</w:t>
      </w:r>
    </w:p>
    <w:p>
      <w:pPr>
        <w:spacing w:before="60" w:after="28"/>
        <w:jc w:val="right"/>
        <w:bidi/>
      </w:pPr>
      <w:r>
        <w:rPr>
          <w:b/>
          <w:color w:val="1F4D78"/>
          <w:sz w:val="18"/>
        </w:rPr>
        <w:t>بخش 23B-یونیفرم نظامی</w:t>
      </w:r>
    </w:p>
    <w:p>
      <w:pPr>
        <w:spacing w:after="20"/>
        <w:ind w:left="259"/>
        <w:jc w:val="left"/>
      </w:pPr>
      <w:r>
        <w:rPr>
          <w:color w:val="555555"/>
          <w:sz w:val="12"/>
        </w:rPr>
        <w:t>Section 23B—Military Uniforms</w:t>
      </w:r>
    </w:p>
    <w:p>
      <w:pPr>
        <w:spacing w:before="60" w:after="28"/>
        <w:jc w:val="right"/>
        <w:bidi/>
      </w:pPr>
      <w:r>
        <w:rPr>
          <w:b/>
          <w:color w:val="1F4D78"/>
          <w:sz w:val="18"/>
        </w:rPr>
        <w:t>23.6. یونیفرم USAF</w:t>
      </w:r>
    </w:p>
    <w:p>
      <w:pPr>
        <w:spacing w:after="20"/>
        <w:ind w:left="259"/>
        <w:jc w:val="left"/>
      </w:pPr>
      <w:r>
        <w:rPr>
          <w:color w:val="555555"/>
          <w:sz w:val="12"/>
        </w:rPr>
        <w:t>23.6. USAF Uniform</w:t>
      </w:r>
    </w:p>
    <w:p>
      <w:pPr>
        <w:spacing w:after="20" w:line="223" w:lineRule="auto"/>
        <w:jc w:val="right"/>
        <w:bidi/>
      </w:pPr>
      <w:r>
        <w:rPr>
          <w:rFonts w:ascii="Arial" w:hAnsi="Arial"/>
          <w:sz w:val="16"/>
        </w:rPr>
        <w:t>437.03  پوشیدن یونیفورم USAF به معنای انجام یک سنت است که نشان دهنده حرفهٔ نظامی است.</w:t>
      </w:r>
    </w:p>
    <w:p>
      <w:pPr>
        <w:spacing w:after="28" w:line="216" w:lineRule="auto"/>
        <w:ind w:left="259"/>
        <w:jc w:val="left"/>
      </w:pPr>
      <w:r>
        <w:rPr>
          <w:rFonts w:ascii="Arial" w:hAnsi="Arial"/>
          <w:color w:val="525252"/>
          <w:sz w:val="13"/>
        </w:rPr>
        <w:t>Wearing the USAF uniform means carrying on a tradition-one that represents the profession of arms.</w:t>
      </w:r>
    </w:p>
    <w:p>
      <w:pPr>
        <w:spacing w:after="20" w:line="223" w:lineRule="auto"/>
        <w:jc w:val="right"/>
        <w:bidi/>
      </w:pPr>
      <w:r>
        <w:rPr>
          <w:rFonts w:ascii="Arial" w:hAnsi="Arial"/>
          <w:sz w:val="16"/>
        </w:rPr>
        <w:t>437.04  یونیفرم USAF ساده و در عین حال متمایز است و ظاهر یک حرفه‌ای نظامی را نشان می‌دهد.</w:t>
      </w:r>
    </w:p>
    <w:p>
      <w:pPr>
        <w:spacing w:after="28" w:line="216" w:lineRule="auto"/>
        <w:ind w:left="259"/>
        <w:jc w:val="left"/>
      </w:pPr>
      <w:r>
        <w:rPr>
          <w:rFonts w:ascii="Arial" w:hAnsi="Arial"/>
          <w:color w:val="525252"/>
          <w:sz w:val="13"/>
        </w:rPr>
        <w:t>The USAF uniform is plain yet distinctive and presents the appearance of a military professional.</w:t>
      </w:r>
    </w:p>
    <w:p>
      <w:pPr>
        <w:spacing w:after="20" w:line="223" w:lineRule="auto"/>
        <w:jc w:val="right"/>
        <w:bidi/>
      </w:pPr>
      <w:r>
        <w:rPr>
          <w:rFonts w:ascii="Arial" w:hAnsi="Arial"/>
          <w:sz w:val="16"/>
        </w:rPr>
        <w:t>437.05  همه اعضای USAF در یونیفرم از استانداردهای آراستگی، تمیزی، ایمنی، یکنواختی و تصویر نظامی پیروی خواهند کرد و ظاهر یک سرباز منظم را ارائه خواهند کرد.</w:t>
      </w:r>
    </w:p>
    <w:p>
      <w:pPr>
        <w:spacing w:after="28" w:line="216" w:lineRule="auto"/>
        <w:ind w:left="259"/>
        <w:jc w:val="left"/>
      </w:pPr>
      <w:r>
        <w:rPr>
          <w:rFonts w:ascii="Arial" w:hAnsi="Arial"/>
          <w:color w:val="525252"/>
          <w:sz w:val="13"/>
        </w:rPr>
        <w:t>All USAF members in uniform will adhere to standards of neatness, cleanliness, safety, uniformity, and military image, and will present the appearance of a disciplined service member.</w:t>
      </w:r>
    </w:p>
    <w:p>
      <w:pPr>
        <w:spacing w:after="20" w:line="223" w:lineRule="auto"/>
        <w:jc w:val="right"/>
        <w:bidi/>
      </w:pPr>
      <w:r>
        <w:rPr>
          <w:rFonts w:ascii="Arial" w:hAnsi="Arial"/>
          <w:sz w:val="16"/>
        </w:rPr>
        <w:t>437.06  اعضای USAF تمام اقلام اجباری لباس را تهیه و نگهداری می‌کنند، مکمل‌ها و رویه‌های محلی را دنبال می‌کنند و لباس‌های یکنواخت را مرتب، تمیز، فشرده، دکمه‌ها و به‌درستی نگهداری می‌کنند.</w:t>
      </w:r>
    </w:p>
    <w:p>
      <w:pPr>
        <w:spacing w:after="28" w:line="216" w:lineRule="auto"/>
        <w:ind w:left="259"/>
        <w:jc w:val="left"/>
      </w:pPr>
      <w:r>
        <w:rPr>
          <w:rFonts w:ascii="Arial" w:hAnsi="Arial"/>
          <w:color w:val="525252"/>
          <w:sz w:val="13"/>
        </w:rPr>
        <w:t>USAF members will procure and maintain all mandatory clothing items, follow local supplements and procedures, and keep uniforms neat, clean, pressed, buttoned, and properly maintained.</w:t>
      </w:r>
    </w:p>
    <w:p>
      <w:pPr>
        <w:spacing w:after="20" w:line="223" w:lineRule="auto"/>
        <w:jc w:val="right"/>
        <w:bidi/>
      </w:pPr>
      <w:r>
        <w:rPr>
          <w:rFonts w:ascii="Arial" w:hAnsi="Arial"/>
          <w:sz w:val="16"/>
        </w:rPr>
        <w:t>437.07  اعضا مسئول دانستن ترکیب‌های یکنواخت مجاز، حفظ تمام اقلام یکنواخت اجباری و نمایش صحیح قرارگیری روبان‌ها، نشان‌ها و سایر موارد یکنواخت در صورت لزوم هستند.</w:t>
      </w:r>
    </w:p>
    <w:p>
      <w:pPr>
        <w:spacing w:after="28" w:line="216" w:lineRule="auto"/>
        <w:ind w:left="259"/>
        <w:jc w:val="left"/>
      </w:pPr>
      <w:r>
        <w:rPr>
          <w:rFonts w:ascii="Arial" w:hAnsi="Arial"/>
          <w:color w:val="525252"/>
          <w:sz w:val="13"/>
        </w:rPr>
        <w:t>Members are responsible for knowing authorized uniform combinations, maintaining all mandatory uniform items, and displaying the correct placement of ribbons, insignia, and other uniform items, as required.</w:t>
      </w:r>
    </w:p>
    <w:p>
      <w:pPr>
        <w:spacing w:after="20" w:line="223" w:lineRule="auto"/>
        <w:jc w:val="right"/>
        <w:bidi/>
      </w:pPr>
      <w:r>
        <w:rPr>
          <w:rFonts w:ascii="Arial" w:hAnsi="Arial"/>
          <w:sz w:val="16"/>
        </w:rPr>
        <w:t>437.08  هنگامی که در مورد پوشیدن مناسب یونیفورم یا اقلام یونیفرم USAF شک دارید، از طریق سرپرستان، گروهبانان یکم یا فرماندهان در مورد استانداردهای لباس و ظاهر شخصی توضیح بخواهید.</w:t>
      </w:r>
    </w:p>
    <w:p>
      <w:pPr>
        <w:spacing w:after="28" w:line="216" w:lineRule="auto"/>
        <w:ind w:left="259"/>
        <w:jc w:val="left"/>
      </w:pPr>
      <w:r>
        <w:rPr>
          <w:rFonts w:ascii="Arial" w:hAnsi="Arial"/>
          <w:color w:val="525252"/>
          <w:sz w:val="13"/>
        </w:rPr>
        <w:t>When in doubt about appropriate wear of the USAF uniform or uniform items, seek clarification through supervisors, first sergeants, or commanders regarding dress and personal appearance standards.</w:t>
      </w:r>
    </w:p>
    <w:p>
      <w:pPr>
        <w:spacing w:after="20" w:line="223" w:lineRule="auto"/>
        <w:jc w:val="right"/>
        <w:bidi/>
      </w:pPr>
      <w:r>
        <w:rPr>
          <w:rFonts w:ascii="Arial" w:hAnsi="Arial"/>
          <w:sz w:val="16"/>
        </w:rPr>
        <w:t>437.09  جزئیات بیشتر در مورد یونیفرم USAF را می‌توانید در اینجا بیابید</w:t>
      </w:r>
    </w:p>
    <w:p>
      <w:pPr>
        <w:spacing w:after="28" w:line="216" w:lineRule="auto"/>
        <w:ind w:left="259"/>
        <w:jc w:val="left"/>
      </w:pPr>
      <w:r>
        <w:rPr>
          <w:rFonts w:ascii="Arial" w:hAnsi="Arial"/>
          <w:color w:val="525252"/>
          <w:sz w:val="13"/>
        </w:rPr>
        <w:t>Additional details regarding the USAF uniform can be found in</w:t>
      </w:r>
    </w:p>
    <w:p>
      <w:pPr>
        <w:spacing w:before="60" w:after="28"/>
        <w:jc w:val="right"/>
        <w:bidi/>
      </w:pPr>
      <w:r>
        <w:rPr>
          <w:b/>
          <w:color w:val="1F4D78"/>
          <w:sz w:val="18"/>
        </w:rPr>
        <w:t>DAFI 36-2903.</w:t>
      </w:r>
    </w:p>
    <w:p>
      <w:pPr>
        <w:spacing w:after="20"/>
        <w:ind w:left="259"/>
        <w:jc w:val="left"/>
      </w:pPr>
      <w:r>
        <w:rPr>
          <w:color w:val="555555"/>
          <w:sz w:val="12"/>
        </w:rPr>
        <w:t>DAFI 36-2903.</w:t>
      </w:r>
    </w:p>
    <w:p>
      <w:pPr>
        <w:spacing w:after="20" w:line="223" w:lineRule="auto"/>
        <w:jc w:val="right"/>
        <w:bidi/>
      </w:pPr>
      <w:r>
        <w:rPr>
          <w:rFonts w:ascii="Arial" w:hAnsi="Arial"/>
          <w:sz w:val="16"/>
        </w:rPr>
        <w:t>437.11  ۲۳.۷. لباس فرم رسمی و نامرتب. یونیفرم‌های رسمی و شلوغ برای آن پوشیده می‌شوند</w:t>
      </w:r>
    </w:p>
    <w:p>
      <w:pPr>
        <w:spacing w:after="28" w:line="216" w:lineRule="auto"/>
        <w:ind w:left="259"/>
        <w:jc w:val="left"/>
      </w:pPr>
      <w:r>
        <w:rPr>
          <w:rFonts w:ascii="Arial" w:hAnsi="Arial"/>
          <w:color w:val="525252"/>
          <w:sz w:val="13"/>
        </w:rPr>
        <w:t>23.7. Formal and Mess Dress Uniforms. The formal and mess dress uniforms are worn for</w:t>
      </w:r>
    </w:p>
    <w:p>
      <w:pPr>
        <w:spacing w:after="20" w:line="223" w:lineRule="auto"/>
        <w:jc w:val="right"/>
        <w:bidi/>
      </w:pPr>
      <w:r>
        <w:rPr>
          <w:rFonts w:ascii="Arial" w:hAnsi="Arial"/>
          <w:sz w:val="16"/>
        </w:rPr>
        <w:t>437.12  مراسم رسمی عصرگاهی و مناسبت‌های ایالتی که در آن لباس‌های تاکسیدو یا لباس شب کراوات سفید و مشکی معادل غیرنظامیان است.</w:t>
      </w:r>
    </w:p>
    <w:p>
      <w:pPr>
        <w:spacing w:after="28" w:line="216" w:lineRule="auto"/>
        <w:ind w:left="259"/>
        <w:jc w:val="left"/>
      </w:pPr>
      <w:r>
        <w:rPr>
          <w:rFonts w:ascii="Arial" w:hAnsi="Arial"/>
          <w:color w:val="525252"/>
          <w:sz w:val="13"/>
        </w:rPr>
        <w:t>official formal evening functions and state occasions where a white and black-tie tuxedo or evening gown is the civilian equivalent.</w:t>
      </w:r>
    </w:p>
    <w:p>
      <w:pPr>
        <w:spacing w:after="20" w:line="223" w:lineRule="auto"/>
        <w:jc w:val="right"/>
        <w:bidi/>
      </w:pPr>
      <w:r>
        <w:rPr>
          <w:rFonts w:ascii="Arial" w:hAnsi="Arial"/>
          <w:sz w:val="16"/>
        </w:rPr>
        <w:t>437.13  برچسب اسم روی لباس رسمی یا لباس‌های نامرتب پوشیده نمی‌شود.</w:t>
      </w:r>
    </w:p>
    <w:p>
      <w:pPr>
        <w:spacing w:after="28" w:line="216" w:lineRule="auto"/>
        <w:ind w:left="259"/>
        <w:jc w:val="left"/>
      </w:pPr>
      <w:r>
        <w:rPr>
          <w:rFonts w:ascii="Arial" w:hAnsi="Arial"/>
          <w:color w:val="525252"/>
          <w:sz w:val="13"/>
        </w:rPr>
        <w:t>A name tag is not worn on the formal or mess dress uniforms.</w:t>
      </w:r>
    </w:p>
    <w:p>
      <w:pPr>
        <w:spacing w:after="20" w:line="223" w:lineRule="auto"/>
        <w:jc w:val="right"/>
        <w:bidi/>
      </w:pPr>
      <w:r>
        <w:rPr>
          <w:rFonts w:ascii="Arial" w:hAnsi="Arial"/>
          <w:sz w:val="16"/>
        </w:rPr>
        <w:t>437.14  توجه: لباس رسمی فقط توسط ماموران پوشیده می‌شود.</w:t>
      </w:r>
    </w:p>
    <w:p>
      <w:pPr>
        <w:spacing w:after="28" w:line="216" w:lineRule="auto"/>
        <w:ind w:left="259"/>
        <w:jc w:val="left"/>
      </w:pPr>
      <w:r>
        <w:rPr>
          <w:rFonts w:ascii="Arial" w:hAnsi="Arial"/>
          <w:color w:val="525252"/>
          <w:sz w:val="13"/>
        </w:rPr>
        <w:t>Note: The formal dress uniform is worn by officers only.</w:t>
      </w:r>
    </w:p>
    <w:p>
      <w:pPr>
        <w:spacing w:after="20" w:line="223" w:lineRule="auto"/>
        <w:jc w:val="right"/>
        <w:bidi/>
      </w:pPr>
      <w:r>
        <w:rPr>
          <w:rFonts w:ascii="Arial" w:hAnsi="Arial"/>
          <w:sz w:val="16"/>
        </w:rPr>
        <w:t>437.15  یونیفرم لباس آشفته برای افسران اجباری و برای مشمولان اختیاری است.</w:t>
      </w:r>
    </w:p>
    <w:p>
      <w:pPr>
        <w:spacing w:after="28" w:line="216" w:lineRule="auto"/>
        <w:ind w:left="259"/>
        <w:jc w:val="left"/>
      </w:pPr>
      <w:r>
        <w:rPr>
          <w:rFonts w:ascii="Arial" w:hAnsi="Arial"/>
          <w:color w:val="525252"/>
          <w:sz w:val="13"/>
        </w:rPr>
        <w:t>The mess dress uniform is mandatory for officers and optional for enlisted.</w:t>
      </w:r>
    </w:p>
    <w:p>
      <w:pPr>
        <w:spacing w:after="20" w:line="223" w:lineRule="auto"/>
        <w:jc w:val="right"/>
        <w:bidi/>
      </w:pPr>
      <w:r>
        <w:rPr>
          <w:rFonts w:ascii="Arial" w:hAnsi="Arial"/>
          <w:sz w:val="16"/>
        </w:rPr>
        <w:t>437.16  مشمولین می‌توانند در صورتی که لباس نامرتب نداشته باشند، لباس نیمه رسمی خدمت بپوشند.</w:t>
      </w:r>
    </w:p>
    <w:p>
      <w:pPr>
        <w:spacing w:after="28" w:line="216" w:lineRule="auto"/>
        <w:ind w:left="259"/>
        <w:jc w:val="left"/>
      </w:pPr>
      <w:r>
        <w:rPr>
          <w:rFonts w:ascii="Arial" w:hAnsi="Arial"/>
          <w:color w:val="525252"/>
          <w:sz w:val="13"/>
        </w:rPr>
        <w:t>Enlisted may wear the semi-formal service dress uniform if they do not have a mess dress.</w:t>
      </w:r>
    </w:p>
    <w:p>
      <w:pPr>
        <w:spacing w:after="20" w:line="223" w:lineRule="auto"/>
        <w:jc w:val="right"/>
        <w:bidi/>
      </w:pPr>
      <w:r>
        <w:rPr>
          <w:rFonts w:ascii="Arial" w:hAnsi="Arial"/>
          <w:sz w:val="16"/>
        </w:rPr>
        <w:t>437.17  هنگام پوشیدن یونیفرم‌های رسمی یا لباس‌های نامرتب نیازی به سلام دادن نیست.</w:t>
      </w:r>
    </w:p>
    <w:p>
      <w:pPr>
        <w:spacing w:after="28" w:line="216" w:lineRule="auto"/>
        <w:ind w:left="259"/>
        <w:jc w:val="left"/>
      </w:pPr>
      <w:r>
        <w:rPr>
          <w:rFonts w:ascii="Arial" w:hAnsi="Arial"/>
          <w:color w:val="525252"/>
          <w:sz w:val="13"/>
        </w:rPr>
        <w:t>Saluting is not required when wearing the formal or mess dress uniforms.</w:t>
      </w:r>
    </w:p>
    <w:p>
      <w:pPr>
        <w:spacing w:after="20" w:line="223" w:lineRule="auto"/>
        <w:jc w:val="right"/>
        <w:bidi/>
      </w:pPr>
      <w:r>
        <w:rPr>
          <w:rFonts w:ascii="Arial" w:hAnsi="Arial"/>
          <w:sz w:val="16"/>
        </w:rPr>
        <w:t>437.18  یونیفرم لباس رسمی و نامرتب مردانه (شکل ۲۳.۱۸).</w:t>
      </w:r>
    </w:p>
    <w:p>
      <w:pPr>
        <w:spacing w:after="28" w:line="216" w:lineRule="auto"/>
        <w:ind w:left="259"/>
        <w:jc w:val="left"/>
      </w:pPr>
      <w:r>
        <w:rPr>
          <w:rFonts w:ascii="Arial" w:hAnsi="Arial"/>
          <w:color w:val="525252"/>
          <w:sz w:val="13"/>
        </w:rPr>
        <w:t>Male Formal and Mess Dress Uniforms (Figure 23.18).</w:t>
      </w:r>
    </w:p>
    <w:p>
      <w:pPr>
        <w:spacing w:after="20" w:line="223" w:lineRule="auto"/>
        <w:jc w:val="right"/>
        <w:bidi/>
      </w:pPr>
      <w:r>
        <w:rPr>
          <w:rFonts w:ascii="Arial" w:hAnsi="Arial"/>
          <w:sz w:val="16"/>
        </w:rPr>
        <w:t>437.19  مانتو.</w:t>
      </w:r>
    </w:p>
    <w:p>
      <w:pPr>
        <w:spacing w:after="28" w:line="216" w:lineRule="auto"/>
        <w:ind w:left="259"/>
        <w:jc w:val="left"/>
      </w:pPr>
      <w:r>
        <w:rPr>
          <w:rFonts w:ascii="Arial" w:hAnsi="Arial"/>
          <w:color w:val="525252"/>
          <w:sz w:val="13"/>
        </w:rPr>
        <w:t>Coat.</w:t>
      </w:r>
    </w:p>
    <w:p>
      <w:pPr>
        <w:spacing w:after="20" w:line="223" w:lineRule="auto"/>
        <w:jc w:val="right"/>
        <w:bidi/>
      </w:pPr>
      <w:r>
        <w:rPr>
          <w:rFonts w:ascii="Arial" w:hAnsi="Arial"/>
          <w:sz w:val="16"/>
        </w:rPr>
        <w:t>437.20  افسران کت لباس آشفته را خواهند پوشید.</w:t>
      </w:r>
    </w:p>
    <w:p>
      <w:pPr>
        <w:spacing w:after="28" w:line="216" w:lineRule="auto"/>
        <w:ind w:left="259"/>
        <w:jc w:val="left"/>
      </w:pPr>
      <w:r>
        <w:rPr>
          <w:rFonts w:ascii="Arial" w:hAnsi="Arial"/>
          <w:color w:val="525252"/>
          <w:sz w:val="13"/>
        </w:rPr>
        <w:t>Officers will wear the mess dress coat.</w:t>
      </w:r>
    </w:p>
    <w:p>
      <w:pPr>
        <w:spacing w:after="20" w:line="223" w:lineRule="auto"/>
        <w:jc w:val="right"/>
        <w:bidi/>
      </w:pPr>
      <w:r>
        <w:rPr>
          <w:rFonts w:ascii="Arial" w:hAnsi="Arial"/>
          <w:sz w:val="16"/>
        </w:rPr>
        <w:t>437.21  کت آبی، تک سینه، با پشتی صاف و سه دکمه بال و ستاره در هر طرف جلوی کت خواهد بود.</w:t>
      </w:r>
    </w:p>
    <w:p>
      <w:pPr>
        <w:spacing w:after="28" w:line="216" w:lineRule="auto"/>
        <w:ind w:left="259"/>
        <w:jc w:val="left"/>
      </w:pPr>
      <w:r>
        <w:rPr>
          <w:rFonts w:ascii="Arial" w:hAnsi="Arial"/>
          <w:color w:val="525252"/>
          <w:sz w:val="13"/>
        </w:rPr>
        <w:t>The coat will be blue, single- breasted, with a straight back and three “wing and star” buttons on each side of the front of the coat.</w:t>
      </w:r>
    </w:p>
    <w:p>
      <w:pPr>
        <w:spacing w:after="20" w:line="223" w:lineRule="auto"/>
        <w:jc w:val="right"/>
        <w:bidi/>
      </w:pPr>
      <w:r>
        <w:rPr>
          <w:rFonts w:ascii="Arial" w:hAnsi="Arial"/>
          <w:sz w:val="16"/>
        </w:rPr>
        <w:t>437.22  مانتو دارای یقه شال ساتن و برگردان خواهد بود.</w:t>
      </w:r>
    </w:p>
    <w:p>
      <w:pPr>
        <w:spacing w:after="28" w:line="216" w:lineRule="auto"/>
        <w:ind w:left="259"/>
        <w:jc w:val="left"/>
      </w:pPr>
      <w:r>
        <w:rPr>
          <w:rFonts w:ascii="Arial" w:hAnsi="Arial"/>
          <w:color w:val="525252"/>
          <w:sz w:val="13"/>
        </w:rPr>
        <w:t>The coat will have a satin shawl collar and lapels.</w:t>
      </w:r>
    </w:p>
    <w:p>
      <w:pPr>
        <w:spacing w:after="20" w:line="223" w:lineRule="auto"/>
        <w:jc w:val="right"/>
        <w:bidi/>
      </w:pPr>
      <w:r>
        <w:rPr>
          <w:rFonts w:ascii="Arial" w:hAnsi="Arial"/>
          <w:sz w:val="16"/>
        </w:rPr>
        <w:t>437.23  با آویزان شدن بازوها به‌طور طبیعی، آستین‌های نیمه‌تخت به اندازه ۱/۴ تا ۱/۲ اینچ زیر مچ ختم می‌شوند.</w:t>
      </w:r>
    </w:p>
    <w:p>
      <w:pPr>
        <w:spacing w:after="28" w:line="216" w:lineRule="auto"/>
        <w:ind w:left="259"/>
        <w:jc w:val="left"/>
      </w:pPr>
      <w:r>
        <w:rPr>
          <w:rFonts w:ascii="Arial" w:hAnsi="Arial"/>
          <w:color w:val="525252"/>
          <w:sz w:val="13"/>
        </w:rPr>
        <w:t>With arms hanging naturally, semi-fitted sleeves will end 1/4 to 1/2-inch below the wrist.</w:t>
      </w:r>
    </w:p>
    <w:p>
      <w:pPr>
        <w:spacing w:after="20" w:line="223" w:lineRule="auto"/>
        <w:jc w:val="right"/>
        <w:bidi/>
      </w:pPr>
      <w:r>
        <w:rPr>
          <w:rFonts w:ascii="Arial" w:hAnsi="Arial"/>
          <w:sz w:val="16"/>
        </w:rPr>
        <w:t>437.24  مرکز پشت کت ۳ ۱/۲ تا ۴ اینچ زیر خط کمر طبیعی کشیده می‌شود.</w:t>
      </w:r>
    </w:p>
    <w:p>
      <w:pPr>
        <w:spacing w:after="28" w:line="216" w:lineRule="auto"/>
        <w:ind w:left="259"/>
        <w:jc w:val="left"/>
      </w:pPr>
      <w:r>
        <w:rPr>
          <w:rFonts w:ascii="Arial" w:hAnsi="Arial"/>
          <w:color w:val="525252"/>
          <w:sz w:val="13"/>
        </w:rPr>
        <w:t>The center of the back of the coat will extend 3 1/2 to 4- inches below the natural waistline.</w:t>
      </w:r>
    </w:p>
    <w:p>
      <w:pPr>
        <w:spacing w:after="20" w:line="223" w:lineRule="auto"/>
        <w:jc w:val="right"/>
        <w:bidi/>
      </w:pPr>
      <w:r>
        <w:rPr>
          <w:rFonts w:ascii="Arial" w:hAnsi="Arial"/>
          <w:sz w:val="16"/>
        </w:rPr>
        <w:t>437.25  افسران کت لباس رسمی را بدون بست‌های زنجیر نقره‌ای خواهند پوشید.</w:t>
      </w:r>
    </w:p>
    <w:p>
      <w:pPr>
        <w:spacing w:after="28" w:line="216" w:lineRule="auto"/>
        <w:ind w:left="259"/>
        <w:jc w:val="left"/>
      </w:pPr>
      <w:r>
        <w:rPr>
          <w:rFonts w:ascii="Arial" w:hAnsi="Arial"/>
          <w:color w:val="525252"/>
          <w:sz w:val="13"/>
        </w:rPr>
        <w:t>Officers will wear the formal dress coat without silver chain fasteners.</w:t>
      </w:r>
    </w:p>
    <w:p>
      <w:pPr>
        <w:spacing w:after="20" w:line="223" w:lineRule="auto"/>
        <w:jc w:val="right"/>
        <w:bidi/>
      </w:pPr>
      <w:r>
        <w:rPr>
          <w:rFonts w:ascii="Arial" w:hAnsi="Arial"/>
          <w:sz w:val="16"/>
        </w:rPr>
        <w:t>437.26  تخته‌های شانه.</w:t>
      </w:r>
    </w:p>
    <w:p>
      <w:pPr>
        <w:spacing w:after="28" w:line="216" w:lineRule="auto"/>
        <w:ind w:left="259"/>
        <w:jc w:val="left"/>
      </w:pPr>
      <w:r>
        <w:rPr>
          <w:rFonts w:ascii="Arial" w:hAnsi="Arial"/>
          <w:color w:val="525252"/>
          <w:sz w:val="13"/>
        </w:rPr>
        <w:t>Shoulder Boards.</w:t>
      </w:r>
    </w:p>
    <w:p>
      <w:pPr>
        <w:spacing w:after="20" w:line="223" w:lineRule="auto"/>
        <w:jc w:val="right"/>
        <w:bidi/>
      </w:pPr>
      <w:r>
        <w:rPr>
          <w:rFonts w:ascii="Arial" w:hAnsi="Arial"/>
          <w:sz w:val="16"/>
        </w:rPr>
        <w:t>437.27  افسران تا جایی که ممکن است از تخته شانه استفاده خواهند کرد.</w:t>
      </w:r>
    </w:p>
    <w:p>
      <w:pPr>
        <w:spacing w:after="28" w:line="216" w:lineRule="auto"/>
        <w:ind w:left="259"/>
        <w:jc w:val="left"/>
      </w:pPr>
      <w:r>
        <w:rPr>
          <w:rFonts w:ascii="Arial" w:hAnsi="Arial"/>
          <w:color w:val="525252"/>
          <w:sz w:val="13"/>
        </w:rPr>
        <w:t>Officers will wear shoulder board rank as close to the shoulder seam as possible.</w:t>
      </w:r>
    </w:p>
    <w:p>
      <w:pPr>
        <w:spacing w:after="20" w:line="223" w:lineRule="auto"/>
        <w:jc w:val="right"/>
        <w:bidi/>
      </w:pPr>
      <w:r>
        <w:rPr>
          <w:rFonts w:ascii="Arial" w:hAnsi="Arial"/>
          <w:sz w:val="16"/>
        </w:rPr>
        <w:t>437.28  افسران کل یک بافته با آستین نقره‌ای پهن ۳/۴ اینچی، ۳ اینچ از انتهای آستین می‌پوشند.</w:t>
      </w:r>
    </w:p>
    <w:p>
      <w:pPr>
        <w:spacing w:after="28" w:line="216" w:lineRule="auto"/>
        <w:ind w:left="259"/>
        <w:jc w:val="left"/>
      </w:pPr>
      <w:r>
        <w:rPr>
          <w:rFonts w:ascii="Arial" w:hAnsi="Arial"/>
          <w:color w:val="525252"/>
          <w:sz w:val="13"/>
        </w:rPr>
        <w:t>General officers will wear a 3/4-inch wide silver sleeve braid, 3-inches from the end of the sleeve.</w:t>
      </w:r>
    </w:p>
    <w:p>
      <w:pPr>
        <w:spacing w:after="20" w:line="223" w:lineRule="auto"/>
        <w:jc w:val="right"/>
        <w:bidi/>
      </w:pPr>
      <w:r>
        <w:rPr>
          <w:rFonts w:ascii="Arial" w:hAnsi="Arial"/>
          <w:sz w:val="16"/>
        </w:rPr>
        <w:t>437.29  همه افسران دیگر یک بافته بند آستین نقره‌ای ۱/۲ اینچی، ۳ اینچ از انتهای آستین خواهند پوشید.</w:t>
      </w:r>
    </w:p>
    <w:p>
      <w:pPr>
        <w:spacing w:after="28" w:line="216" w:lineRule="auto"/>
        <w:ind w:left="259"/>
        <w:jc w:val="left"/>
      </w:pPr>
      <w:r>
        <w:rPr>
          <w:rFonts w:ascii="Arial" w:hAnsi="Arial"/>
          <w:color w:val="525252"/>
          <w:sz w:val="13"/>
        </w:rPr>
        <w:t>All other officers will wear a 1/2-inch silver sleeve braid, 3-inches from the end of the sleeve.</w:t>
      </w:r>
    </w:p>
    <w:p>
      <w:pPr>
        <w:spacing w:after="20" w:line="223" w:lineRule="auto"/>
        <w:jc w:val="right"/>
        <w:bidi/>
      </w:pPr>
      <w:r>
        <w:rPr>
          <w:rFonts w:ascii="Arial" w:hAnsi="Arial"/>
          <w:sz w:val="16"/>
        </w:rPr>
        <w:t>437.30  رتبه (فقط لباس آشغال).</w:t>
      </w:r>
    </w:p>
    <w:p>
      <w:pPr>
        <w:spacing w:after="28" w:line="216" w:lineRule="auto"/>
        <w:ind w:left="259"/>
        <w:jc w:val="left"/>
      </w:pPr>
      <w:r>
        <w:rPr>
          <w:rFonts w:ascii="Arial" w:hAnsi="Arial"/>
          <w:color w:val="525252"/>
          <w:sz w:val="13"/>
        </w:rPr>
        <w:t>Rank (Mess Dress only).</w:t>
      </w:r>
    </w:p>
    <w:p>
      <w:pPr>
        <w:spacing w:after="20" w:line="223" w:lineRule="auto"/>
        <w:jc w:val="right"/>
        <w:bidi/>
      </w:pPr>
      <w:r>
        <w:rPr>
          <w:rFonts w:ascii="Arial" w:hAnsi="Arial"/>
          <w:sz w:val="16"/>
        </w:rPr>
        <w:t>437.31  سربازان، رده‌بندی شورون سفید ۳ ۱/۲ یا ۴ اینچی در مرکز بازو بیرونی در نیمه راه بین درز شانه و آرنج خواهند پوشید.</w:t>
      </w:r>
    </w:p>
    <w:p>
      <w:pPr>
        <w:spacing w:after="28" w:line="216" w:lineRule="auto"/>
        <w:ind w:left="259"/>
        <w:jc w:val="left"/>
      </w:pPr>
      <w:r>
        <w:rPr>
          <w:rFonts w:ascii="Arial" w:hAnsi="Arial"/>
          <w:color w:val="525252"/>
          <w:sz w:val="13"/>
        </w:rPr>
        <w:t>Enlisted will wear either 3 1/2 or 4-inch, white chevron rank centered on the outer arm halfway between the shoulder seam and elbow when bent at a 90-degree angle.</w:t>
      </w:r>
    </w:p>
    <w:p>
      <w:pPr>
        <w:spacing w:after="20" w:line="223" w:lineRule="auto"/>
        <w:jc w:val="right"/>
        <w:bidi/>
      </w:pPr>
      <w:r>
        <w:rPr>
          <w:rFonts w:ascii="Arial" w:hAnsi="Arial"/>
          <w:sz w:val="16"/>
        </w:rPr>
        <w:t>437.32  پیراهن.</w:t>
      </w:r>
    </w:p>
    <w:p>
      <w:pPr>
        <w:spacing w:after="28" w:line="216" w:lineRule="auto"/>
        <w:ind w:left="259"/>
        <w:jc w:val="left"/>
      </w:pPr>
      <w:r>
        <w:rPr>
          <w:rFonts w:ascii="Arial" w:hAnsi="Arial"/>
          <w:color w:val="525252"/>
          <w:sz w:val="13"/>
        </w:rPr>
        <w:t>Shirt.</w:t>
      </w:r>
    </w:p>
    <w:p>
      <w:pPr>
        <w:spacing w:after="20" w:line="223" w:lineRule="auto"/>
        <w:jc w:val="right"/>
        <w:bidi/>
      </w:pPr>
      <w:r>
        <w:rPr>
          <w:rFonts w:ascii="Arial" w:hAnsi="Arial"/>
          <w:sz w:val="16"/>
        </w:rPr>
        <w:t>437.33  پیراهن طرح تجاری، ساده، سفید و آستین بلند خواهد بود.</w:t>
      </w:r>
    </w:p>
    <w:p>
      <w:pPr>
        <w:spacing w:after="28" w:line="216" w:lineRule="auto"/>
        <w:ind w:left="259"/>
        <w:jc w:val="left"/>
      </w:pPr>
      <w:r>
        <w:rPr>
          <w:rFonts w:ascii="Arial" w:hAnsi="Arial"/>
          <w:color w:val="525252"/>
          <w:sz w:val="13"/>
        </w:rPr>
        <w:t>The shirt will be a commercial design, plain, white, and long-sleeved.</w:t>
      </w:r>
    </w:p>
    <w:p>
      <w:pPr>
        <w:spacing w:after="20" w:line="223" w:lineRule="auto"/>
        <w:jc w:val="right"/>
        <w:bidi/>
      </w:pPr>
      <w:r>
        <w:rPr>
          <w:rFonts w:ascii="Arial" w:hAnsi="Arial"/>
          <w:sz w:val="16"/>
        </w:rPr>
        <w:t>437.34  پیراهن چروک نظامی نخواهد داشت.</w:t>
      </w:r>
    </w:p>
    <w:p>
      <w:pPr>
        <w:spacing w:after="28" w:line="216" w:lineRule="auto"/>
        <w:ind w:left="259"/>
        <w:jc w:val="left"/>
      </w:pPr>
      <w:r>
        <w:rPr>
          <w:rFonts w:ascii="Arial" w:hAnsi="Arial"/>
          <w:color w:val="525252"/>
          <w:sz w:val="13"/>
        </w:rPr>
        <w:t>The shirt will not have military creases.</w:t>
      </w:r>
    </w:p>
    <w:p>
      <w:pPr>
        <w:spacing w:after="20" w:line="223" w:lineRule="auto"/>
        <w:jc w:val="right"/>
        <w:bidi/>
      </w:pPr>
      <w:r>
        <w:rPr>
          <w:rFonts w:ascii="Arial" w:hAnsi="Arial"/>
          <w:sz w:val="16"/>
        </w:rPr>
        <w:t>437.35  زیر پیراهن سفید یقه و یا تاپ زیر پیراهن پوشیده می‌شود.</w:t>
      </w:r>
    </w:p>
    <w:p>
      <w:pPr>
        <w:spacing w:after="28" w:line="216" w:lineRule="auto"/>
        <w:ind w:left="259"/>
        <w:jc w:val="left"/>
      </w:pPr>
      <w:r>
        <w:rPr>
          <w:rFonts w:ascii="Arial" w:hAnsi="Arial"/>
          <w:color w:val="525252"/>
          <w:sz w:val="13"/>
        </w:rPr>
        <w:t>A white V-neck or tank top undershirt will be worn under the shirt.</w:t>
      </w:r>
    </w:p>
    <w:p>
      <w:pPr>
        <w:spacing w:after="20" w:line="223" w:lineRule="auto"/>
        <w:jc w:val="right"/>
        <w:bidi/>
      </w:pPr>
      <w:r>
        <w:rPr>
          <w:rFonts w:ascii="Arial" w:hAnsi="Arial"/>
          <w:sz w:val="16"/>
        </w:rPr>
        <w:t>437.36  هر دو پیراهن داخل شلوار قرار می‌گیرند.</w:t>
      </w:r>
    </w:p>
    <w:p>
      <w:pPr>
        <w:spacing w:after="28" w:line="216" w:lineRule="auto"/>
        <w:ind w:left="259"/>
        <w:jc w:val="left"/>
      </w:pPr>
      <w:r>
        <w:rPr>
          <w:rFonts w:ascii="Arial" w:hAnsi="Arial"/>
          <w:color w:val="525252"/>
          <w:sz w:val="13"/>
        </w:rPr>
        <w:t>Both shirts will be tucked into the trousers.</w:t>
      </w:r>
    </w:p>
    <w:p>
      <w:pPr>
        <w:spacing w:after="20" w:line="223" w:lineRule="auto"/>
        <w:jc w:val="right"/>
        <w:bidi/>
      </w:pPr>
      <w:r>
        <w:rPr>
          <w:rFonts w:ascii="Arial" w:hAnsi="Arial"/>
          <w:sz w:val="16"/>
        </w:rPr>
        <w:t>437.37  پیراهن لباس رسمی دارای یقه بال خواهد بود.</w:t>
      </w:r>
    </w:p>
    <w:p>
      <w:pPr>
        <w:spacing w:after="28" w:line="216" w:lineRule="auto"/>
        <w:ind w:left="259"/>
        <w:jc w:val="left"/>
      </w:pPr>
      <w:r>
        <w:rPr>
          <w:rFonts w:ascii="Arial" w:hAnsi="Arial"/>
          <w:color w:val="525252"/>
          <w:sz w:val="13"/>
        </w:rPr>
        <w:t>The Formal Dress shirt will have a wing collar.</w:t>
      </w:r>
    </w:p>
    <w:p>
      <w:pPr>
        <w:spacing w:after="20" w:line="223" w:lineRule="auto"/>
        <w:jc w:val="right"/>
        <w:bidi/>
      </w:pPr>
      <w:r>
        <w:rPr>
          <w:rFonts w:ascii="Arial" w:hAnsi="Arial"/>
          <w:sz w:val="16"/>
        </w:rPr>
        <w:t>437.38  پیراهن مسس درسس دارای یقه رو به پایین، چین‌دار و سرآستین فرانسوی خواهد بود.</w:t>
      </w:r>
    </w:p>
    <w:p>
      <w:pPr>
        <w:spacing w:after="28" w:line="216" w:lineRule="auto"/>
        <w:ind w:left="259"/>
        <w:jc w:val="left"/>
      </w:pPr>
      <w:r>
        <w:rPr>
          <w:rFonts w:ascii="Arial" w:hAnsi="Arial"/>
          <w:color w:val="525252"/>
          <w:sz w:val="13"/>
        </w:rPr>
        <w:t>The Mess Dress shirt will have turn down collar, pleats, and French cuffs.</w:t>
      </w:r>
    </w:p>
    <w:p>
      <w:pPr>
        <w:spacing w:after="20" w:line="223" w:lineRule="auto"/>
        <w:jc w:val="right"/>
        <w:bidi/>
      </w:pPr>
      <w:r>
        <w:rPr>
          <w:rFonts w:ascii="Arial" w:hAnsi="Arial"/>
          <w:sz w:val="16"/>
        </w:rPr>
        <w:t>437.39  پاپیون.</w:t>
      </w:r>
    </w:p>
    <w:p>
      <w:pPr>
        <w:spacing w:after="28" w:line="216" w:lineRule="auto"/>
        <w:ind w:left="259"/>
        <w:jc w:val="left"/>
      </w:pPr>
      <w:r>
        <w:rPr>
          <w:rFonts w:ascii="Arial" w:hAnsi="Arial"/>
          <w:color w:val="525252"/>
          <w:sz w:val="13"/>
        </w:rPr>
        <w:t>Bow Tie.</w:t>
      </w:r>
    </w:p>
    <w:p>
      <w:pPr>
        <w:spacing w:after="20" w:line="223" w:lineRule="auto"/>
        <w:jc w:val="right"/>
        <w:bidi/>
      </w:pPr>
      <w:r>
        <w:rPr>
          <w:rFonts w:ascii="Arial" w:hAnsi="Arial"/>
          <w:sz w:val="16"/>
        </w:rPr>
        <w:t>437.40  پاپیون اجباری است و برای یونیفرم رسمی به رنگ سفید با انتهای مربع و برای یونیفرم مسس آبی-ساتن خواهد بود.</w:t>
      </w:r>
    </w:p>
    <w:p>
      <w:pPr>
        <w:spacing w:after="28" w:line="216" w:lineRule="auto"/>
        <w:ind w:left="259"/>
        <w:jc w:val="left"/>
      </w:pPr>
      <w:r>
        <w:rPr>
          <w:rFonts w:ascii="Arial" w:hAnsi="Arial"/>
          <w:color w:val="525252"/>
          <w:sz w:val="13"/>
        </w:rPr>
        <w:t>The bow tie is mandatory and will be white with square ends for Formal Dress Uniform and blue-satin for Mess Dress Uniform.</w:t>
      </w:r>
    </w:p>
    <w:p>
      <w:pPr>
        <w:spacing w:after="20" w:line="223" w:lineRule="auto"/>
        <w:jc w:val="right"/>
        <w:bidi/>
      </w:pPr>
      <w:r>
        <w:rPr>
          <w:rFonts w:ascii="Arial" w:hAnsi="Arial"/>
          <w:sz w:val="16"/>
        </w:rPr>
        <w:t>437.41  جلیقه/کامربند.</w:t>
      </w:r>
    </w:p>
    <w:p>
      <w:pPr>
        <w:spacing w:after="28" w:line="216" w:lineRule="auto"/>
        <w:ind w:left="259"/>
        <w:jc w:val="left"/>
      </w:pPr>
      <w:r>
        <w:rPr>
          <w:rFonts w:ascii="Arial" w:hAnsi="Arial"/>
          <w:color w:val="525252"/>
          <w:sz w:val="13"/>
        </w:rPr>
        <w:t>Vest/Cummerbund.</w:t>
      </w:r>
    </w:p>
    <w:p>
      <w:pPr>
        <w:spacing w:after="20" w:line="223" w:lineRule="auto"/>
        <w:jc w:val="right"/>
        <w:bidi/>
      </w:pPr>
      <w:r>
        <w:rPr>
          <w:rFonts w:ascii="Arial" w:hAnsi="Arial"/>
          <w:sz w:val="16"/>
        </w:rPr>
        <w:t>437.42  جلیقه با لباس رسمی به جای لباس پوشیده شده است</w:t>
      </w:r>
    </w:p>
    <w:p>
      <w:pPr>
        <w:spacing w:after="28" w:line="216" w:lineRule="auto"/>
        <w:ind w:left="259"/>
        <w:jc w:val="left"/>
      </w:pPr>
      <w:r>
        <w:rPr>
          <w:rFonts w:ascii="Arial" w:hAnsi="Arial"/>
          <w:color w:val="525252"/>
          <w:sz w:val="13"/>
        </w:rPr>
        <w:t>The vest is worn with the Formal Dress Uniform in place of the</w:t>
      </w:r>
    </w:p>
    <w:p>
      <w:r>
        <w:br w:type="page"/>
      </w:r>
    </w:p>
    <w:p>
      <w:pPr>
        <w:spacing w:after="60"/>
        <w:jc w:val="right"/>
        <w:bidi/>
      </w:pPr>
      <w:r>
        <w:rPr>
          <w:rFonts w:ascii="Arial" w:hAnsi="Arial"/>
          <w:b/>
          <w:color w:val="1F4D78"/>
          <w:sz w:val="19"/>
        </w:rPr>
        <w:t>هفتهٔ 438  |  صفحهٔ منبع: 454</w:t>
      </w:r>
    </w:p>
    <w:p>
      <w:pPr>
        <w:spacing w:after="20" w:line="223" w:lineRule="auto"/>
        <w:jc w:val="right"/>
        <w:bidi/>
      </w:pPr>
      <w:r>
        <w:rPr>
          <w:rFonts w:ascii="Arial" w:hAnsi="Arial"/>
          <w:sz w:val="16"/>
        </w:rPr>
        <w:t>438.01  کامرباند؛ این جلیقه سفید، تک سینه، یقه نورد با یقه نوک تیز خواهد بود.</w:t>
      </w:r>
    </w:p>
    <w:p>
      <w:pPr>
        <w:spacing w:after="28" w:line="216" w:lineRule="auto"/>
        <w:ind w:left="259"/>
        <w:jc w:val="left"/>
      </w:pPr>
      <w:r>
        <w:rPr>
          <w:rFonts w:ascii="Arial" w:hAnsi="Arial"/>
          <w:color w:val="525252"/>
          <w:sz w:val="13"/>
        </w:rPr>
        <w:t>cummerbund; it will be white, single-breasted, low-cut, rolled collar vest with pointed collar.</w:t>
      </w:r>
    </w:p>
    <w:p>
      <w:pPr>
        <w:spacing w:after="20" w:line="223" w:lineRule="auto"/>
        <w:jc w:val="right"/>
        <w:bidi/>
      </w:pPr>
      <w:r>
        <w:rPr>
          <w:rFonts w:ascii="Arial" w:hAnsi="Arial"/>
          <w:sz w:val="16"/>
        </w:rPr>
        <w:t>438.02  جلیقه زیر کت لباس آشفته دیده نخواهد شد.</w:t>
      </w:r>
    </w:p>
    <w:p>
      <w:pPr>
        <w:spacing w:after="28" w:line="216" w:lineRule="auto"/>
        <w:ind w:left="259"/>
        <w:jc w:val="left"/>
      </w:pPr>
      <w:r>
        <w:rPr>
          <w:rFonts w:ascii="Arial" w:hAnsi="Arial"/>
          <w:color w:val="525252"/>
          <w:sz w:val="13"/>
        </w:rPr>
        <w:t>The vest will not be visible below the mess dress coat.</w:t>
      </w:r>
    </w:p>
    <w:p>
      <w:pPr>
        <w:spacing w:after="20" w:line="223" w:lineRule="auto"/>
        <w:jc w:val="right"/>
        <w:bidi/>
      </w:pPr>
      <w:r>
        <w:rPr>
          <w:rFonts w:ascii="Arial" w:hAnsi="Arial"/>
          <w:sz w:val="16"/>
        </w:rPr>
        <w:t>438.03  کامربند با یونیفرم لباس نامرتب پوشیده می‌شود و به رنگ آبی-ساتن ساده پوشیده می‌شود، تا نیمه بین پیراهن و شلوار پوشیده می‌شود و لبه باز چین‌ها رو به بالا است.</w:t>
      </w:r>
    </w:p>
    <w:p>
      <w:pPr>
        <w:spacing w:after="28" w:line="216" w:lineRule="auto"/>
        <w:ind w:left="259"/>
        <w:jc w:val="left"/>
      </w:pPr>
      <w:r>
        <w:rPr>
          <w:rFonts w:ascii="Arial" w:hAnsi="Arial"/>
          <w:color w:val="525252"/>
          <w:sz w:val="13"/>
        </w:rPr>
        <w:t>The cummerbund is worn with the Mess Dress Uniform and will be plain blue-satin, worn half-way between the shirt and trousers, with the open edge of the pleats facing upward.</w:t>
      </w:r>
    </w:p>
    <w:p>
      <w:pPr>
        <w:spacing w:after="20" w:line="223" w:lineRule="auto"/>
        <w:jc w:val="right"/>
        <w:bidi/>
      </w:pPr>
      <w:r>
        <w:rPr>
          <w:rFonts w:ascii="Arial" w:hAnsi="Arial"/>
          <w:sz w:val="16"/>
        </w:rPr>
        <w:t>438.04  ساسپندر (لباس آشفته).</w:t>
      </w:r>
    </w:p>
    <w:p>
      <w:pPr>
        <w:spacing w:after="28" w:line="216" w:lineRule="auto"/>
        <w:ind w:left="259"/>
        <w:jc w:val="left"/>
      </w:pPr>
      <w:r>
        <w:rPr>
          <w:rFonts w:ascii="Arial" w:hAnsi="Arial"/>
          <w:color w:val="525252"/>
          <w:sz w:val="13"/>
        </w:rPr>
        <w:t>Suspenders (Mess Dress).</w:t>
      </w:r>
    </w:p>
    <w:p>
      <w:pPr>
        <w:spacing w:after="20" w:line="223" w:lineRule="auto"/>
        <w:jc w:val="right"/>
        <w:bidi/>
      </w:pPr>
      <w:r>
        <w:rPr>
          <w:rFonts w:ascii="Arial" w:hAnsi="Arial"/>
          <w:sz w:val="16"/>
        </w:rPr>
        <w:t>438.05  آویزها یا سفید یکدست، آبی تیره یا مشکی خواهند بود و به شلوار متصل خواهند شد و قابل مشاهده نیستند.</w:t>
      </w:r>
    </w:p>
    <w:p>
      <w:pPr>
        <w:spacing w:after="28" w:line="216" w:lineRule="auto"/>
        <w:ind w:left="259"/>
        <w:jc w:val="left"/>
      </w:pPr>
      <w:r>
        <w:rPr>
          <w:rFonts w:ascii="Arial" w:hAnsi="Arial"/>
          <w:color w:val="525252"/>
          <w:sz w:val="13"/>
        </w:rPr>
        <w:t>Suspenders will be either solid white, dark blue or black and will be attached to the trousers and will not be visible.</w:t>
      </w:r>
    </w:p>
    <w:p>
      <w:pPr>
        <w:spacing w:after="20" w:line="223" w:lineRule="auto"/>
        <w:jc w:val="right"/>
        <w:bidi/>
      </w:pPr>
      <w:r>
        <w:rPr>
          <w:rFonts w:ascii="Arial" w:hAnsi="Arial"/>
          <w:sz w:val="16"/>
        </w:rPr>
        <w:t>438.06  شلوار (لباس رسمی و نامرتب).</w:t>
      </w:r>
    </w:p>
    <w:p>
      <w:pPr>
        <w:spacing w:after="28" w:line="216" w:lineRule="auto"/>
        <w:ind w:left="259"/>
        <w:jc w:val="left"/>
      </w:pPr>
      <w:r>
        <w:rPr>
          <w:rFonts w:ascii="Arial" w:hAnsi="Arial"/>
          <w:color w:val="525252"/>
          <w:sz w:val="13"/>
        </w:rPr>
        <w:t>Trousers (Formal and Mess Dress).</w:t>
      </w:r>
    </w:p>
    <w:p>
      <w:pPr>
        <w:spacing w:after="20" w:line="223" w:lineRule="auto"/>
        <w:jc w:val="right"/>
        <w:bidi/>
      </w:pPr>
      <w:r>
        <w:rPr>
          <w:rFonts w:ascii="Arial" w:hAnsi="Arial"/>
          <w:sz w:val="16"/>
        </w:rPr>
        <w:t>438.07  شلوار آبی، بدون چین و سرآستین خواهد بود.</w:t>
      </w:r>
    </w:p>
    <w:p>
      <w:pPr>
        <w:spacing w:after="28" w:line="216" w:lineRule="auto"/>
        <w:ind w:left="259"/>
        <w:jc w:val="left"/>
      </w:pPr>
      <w:r>
        <w:rPr>
          <w:rFonts w:ascii="Arial" w:hAnsi="Arial"/>
          <w:color w:val="525252"/>
          <w:sz w:val="13"/>
        </w:rPr>
        <w:t>Trousers will be blue, without pleats and cuffs.</w:t>
      </w:r>
    </w:p>
    <w:p>
      <w:pPr>
        <w:spacing w:after="20" w:line="223" w:lineRule="auto"/>
        <w:jc w:val="right"/>
        <w:bidi/>
      </w:pPr>
      <w:r>
        <w:rPr>
          <w:rFonts w:ascii="Arial" w:hAnsi="Arial"/>
          <w:sz w:val="16"/>
        </w:rPr>
        <w:t>438.08  آن‌ها دارای یک قاب بلند با جیب‌های کناری و ۷/۸ اینچ آبی راه‌راه‌دار پایین شلوار بدون دسته‌بندی در کمر یا بسته شدن روی صندلی هستند.</w:t>
      </w:r>
    </w:p>
    <w:p>
      <w:pPr>
        <w:spacing w:after="28" w:line="216" w:lineRule="auto"/>
        <w:ind w:left="259"/>
        <w:jc w:val="left"/>
      </w:pPr>
      <w:r>
        <w:rPr>
          <w:rFonts w:ascii="Arial" w:hAnsi="Arial"/>
          <w:color w:val="525252"/>
          <w:sz w:val="13"/>
        </w:rPr>
        <w:t>They will have a high-rise with side pockets and 7/8-inch blue striping down pant legs with no bunching at the waist or bagging at the seat.</w:t>
      </w:r>
    </w:p>
    <w:p>
      <w:pPr>
        <w:spacing w:after="20" w:line="223" w:lineRule="auto"/>
        <w:jc w:val="right"/>
        <w:bidi/>
      </w:pPr>
      <w:r>
        <w:rPr>
          <w:rFonts w:ascii="Arial" w:hAnsi="Arial"/>
          <w:sz w:val="16"/>
        </w:rPr>
        <w:t>438.09  کفش.</w:t>
      </w:r>
    </w:p>
    <w:p>
      <w:pPr>
        <w:spacing w:after="28" w:line="216" w:lineRule="auto"/>
        <w:ind w:left="259"/>
        <w:jc w:val="left"/>
      </w:pPr>
      <w:r>
        <w:rPr>
          <w:rFonts w:ascii="Arial" w:hAnsi="Arial"/>
          <w:color w:val="525252"/>
          <w:sz w:val="13"/>
        </w:rPr>
        <w:t>Footwear.</w:t>
      </w:r>
    </w:p>
    <w:p>
      <w:pPr>
        <w:spacing w:after="20" w:line="223" w:lineRule="auto"/>
        <w:jc w:val="right"/>
        <w:bidi/>
      </w:pPr>
      <w:r>
        <w:rPr>
          <w:rFonts w:ascii="Arial" w:hAnsi="Arial"/>
          <w:sz w:val="16"/>
        </w:rPr>
        <w:t>438.10  برای ساییدگی و توضیحات به DAFI ۳۶-۲۹۰۳، بند ۷.۴ مراجعه کنید.</w:t>
      </w:r>
    </w:p>
    <w:p>
      <w:pPr>
        <w:spacing w:after="28" w:line="216" w:lineRule="auto"/>
        <w:ind w:left="259"/>
        <w:jc w:val="left"/>
      </w:pPr>
      <w:r>
        <w:rPr>
          <w:rFonts w:ascii="Arial" w:hAnsi="Arial"/>
          <w:color w:val="525252"/>
          <w:sz w:val="13"/>
        </w:rPr>
        <w:t>For wear and description see DAFI 36-2903, paragraph 7.4.</w:t>
      </w:r>
    </w:p>
    <w:p>
      <w:pPr>
        <w:spacing w:after="20" w:line="223" w:lineRule="auto"/>
        <w:jc w:val="right"/>
        <w:bidi/>
      </w:pPr>
      <w:r>
        <w:rPr>
          <w:rFonts w:ascii="Arial" w:hAnsi="Arial"/>
          <w:sz w:val="16"/>
        </w:rPr>
        <w:t>438.11  یونیفرم لباس رسمی و نامرتب زنانه (شکل ۲۳.۱۹).</w:t>
      </w:r>
    </w:p>
    <w:p>
      <w:pPr>
        <w:spacing w:after="28" w:line="216" w:lineRule="auto"/>
        <w:ind w:left="259"/>
        <w:jc w:val="left"/>
      </w:pPr>
      <w:r>
        <w:rPr>
          <w:rFonts w:ascii="Arial" w:hAnsi="Arial"/>
          <w:color w:val="525252"/>
          <w:sz w:val="13"/>
        </w:rPr>
        <w:t>Female Formal and Mess Dress Uniforms (Figure 23.19).</w:t>
      </w:r>
    </w:p>
    <w:p>
      <w:pPr>
        <w:spacing w:after="20" w:line="223" w:lineRule="auto"/>
        <w:jc w:val="right"/>
        <w:bidi/>
      </w:pPr>
      <w:r>
        <w:rPr>
          <w:rFonts w:ascii="Arial" w:hAnsi="Arial"/>
          <w:sz w:val="16"/>
        </w:rPr>
        <w:t>438.12  مانتو.</w:t>
      </w:r>
    </w:p>
    <w:p>
      <w:pPr>
        <w:spacing w:after="28" w:line="216" w:lineRule="auto"/>
        <w:ind w:left="259"/>
        <w:jc w:val="left"/>
      </w:pPr>
      <w:r>
        <w:rPr>
          <w:rFonts w:ascii="Arial" w:hAnsi="Arial"/>
          <w:color w:val="525252"/>
          <w:sz w:val="13"/>
        </w:rPr>
        <w:t>Coat.</w:t>
      </w:r>
    </w:p>
    <w:p>
      <w:pPr>
        <w:spacing w:after="20" w:line="223" w:lineRule="auto"/>
        <w:jc w:val="right"/>
        <w:bidi/>
      </w:pPr>
      <w:r>
        <w:rPr>
          <w:rFonts w:ascii="Arial" w:hAnsi="Arial"/>
          <w:sz w:val="16"/>
        </w:rPr>
        <w:t>438.13  افسران کت لباس آشفته را خواهند پوشید.</w:t>
      </w:r>
    </w:p>
    <w:p>
      <w:pPr>
        <w:spacing w:after="28" w:line="216" w:lineRule="auto"/>
        <w:ind w:left="259"/>
        <w:jc w:val="left"/>
      </w:pPr>
      <w:r>
        <w:rPr>
          <w:rFonts w:ascii="Arial" w:hAnsi="Arial"/>
          <w:color w:val="525252"/>
          <w:sz w:val="13"/>
        </w:rPr>
        <w:t>Officers will wear the mess dress coat.</w:t>
      </w:r>
    </w:p>
    <w:p>
      <w:pPr>
        <w:spacing w:after="20" w:line="223" w:lineRule="auto"/>
        <w:jc w:val="right"/>
        <w:bidi/>
      </w:pPr>
      <w:r>
        <w:rPr>
          <w:rFonts w:ascii="Arial" w:hAnsi="Arial"/>
          <w:sz w:val="16"/>
        </w:rPr>
        <w:t>438.14  این کت لباس به رنگ آبی، تک سینه، گشاد در قسمت کمر با سه دکمه "بال و ستاره" در هر طرف جلوی کت خواهد بود.</w:t>
      </w:r>
    </w:p>
    <w:p>
      <w:pPr>
        <w:spacing w:after="28" w:line="216" w:lineRule="auto"/>
        <w:ind w:left="259"/>
        <w:jc w:val="left"/>
      </w:pPr>
      <w:r>
        <w:rPr>
          <w:rFonts w:ascii="Arial" w:hAnsi="Arial"/>
          <w:color w:val="525252"/>
          <w:sz w:val="13"/>
        </w:rPr>
        <w:t>The mess dress coat will be blue, single-breasted, loose fitting at the waist with three “wing and star” buttons on each side of the front of the coat.</w:t>
      </w:r>
    </w:p>
    <w:p>
      <w:pPr>
        <w:spacing w:after="20" w:line="223" w:lineRule="auto"/>
        <w:jc w:val="right"/>
        <w:bidi/>
      </w:pPr>
      <w:r>
        <w:rPr>
          <w:rFonts w:ascii="Arial" w:hAnsi="Arial"/>
          <w:sz w:val="16"/>
        </w:rPr>
        <w:t>438.15  مانتو دارای یقه شال ساتن و برگردان خواهد بود.</w:t>
      </w:r>
    </w:p>
    <w:p>
      <w:pPr>
        <w:spacing w:after="28" w:line="216" w:lineRule="auto"/>
        <w:ind w:left="259"/>
        <w:jc w:val="left"/>
      </w:pPr>
      <w:r>
        <w:rPr>
          <w:rFonts w:ascii="Arial" w:hAnsi="Arial"/>
          <w:color w:val="525252"/>
          <w:sz w:val="13"/>
        </w:rPr>
        <w:t>The coat will have a satin shawl collar and lapels.</w:t>
      </w:r>
    </w:p>
    <w:p>
      <w:pPr>
        <w:spacing w:after="20" w:line="223" w:lineRule="auto"/>
        <w:jc w:val="right"/>
        <w:bidi/>
      </w:pPr>
      <w:r>
        <w:rPr>
          <w:rFonts w:ascii="Arial" w:hAnsi="Arial"/>
          <w:sz w:val="16"/>
        </w:rPr>
        <w:t>438.16  با آویزان شدن بازوها به‌طور طبیعی، آستین‌های نیمه‌تخت به اندازه ۱/۴ تا ۱/۲ اینچ زیر مچ ختم می‌شوند.</w:t>
      </w:r>
    </w:p>
    <w:p>
      <w:pPr>
        <w:spacing w:after="28" w:line="216" w:lineRule="auto"/>
        <w:ind w:left="259"/>
        <w:jc w:val="left"/>
      </w:pPr>
      <w:r>
        <w:rPr>
          <w:rFonts w:ascii="Arial" w:hAnsi="Arial"/>
          <w:color w:val="525252"/>
          <w:sz w:val="13"/>
        </w:rPr>
        <w:t>With arms hanging naturally, semi-fitted sleeves will end 1/4 to 1/2-inch below the wrist.</w:t>
      </w:r>
    </w:p>
    <w:p>
      <w:pPr>
        <w:spacing w:after="20" w:line="223" w:lineRule="auto"/>
        <w:jc w:val="right"/>
        <w:bidi/>
      </w:pPr>
      <w:r>
        <w:rPr>
          <w:rFonts w:ascii="Arial" w:hAnsi="Arial"/>
          <w:sz w:val="16"/>
        </w:rPr>
        <w:t>438.17  مرکز پشت کت ۲ ۱/۲ تا ۳ اینچ زیر خط کمر طبیعی کشیده می‌شود.</w:t>
      </w:r>
    </w:p>
    <w:p>
      <w:pPr>
        <w:spacing w:after="28" w:line="216" w:lineRule="auto"/>
        <w:ind w:left="259"/>
        <w:jc w:val="left"/>
      </w:pPr>
      <w:r>
        <w:rPr>
          <w:rFonts w:ascii="Arial" w:hAnsi="Arial"/>
          <w:color w:val="525252"/>
          <w:sz w:val="13"/>
        </w:rPr>
        <w:t>The center of the back of the coat will extend 2 1/2 to 3-inches below the natural waistline.</w:t>
      </w:r>
    </w:p>
    <w:p>
      <w:pPr>
        <w:spacing w:after="20" w:line="223" w:lineRule="auto"/>
        <w:jc w:val="right"/>
        <w:bidi/>
      </w:pPr>
      <w:r>
        <w:rPr>
          <w:rFonts w:ascii="Arial" w:hAnsi="Arial"/>
          <w:sz w:val="16"/>
        </w:rPr>
        <w:t>438.18  دهانه جلو تقریبا ۲ تا ۳ اینچ در پایین فاصله خواهد داشت.</w:t>
      </w:r>
    </w:p>
    <w:p>
      <w:pPr>
        <w:spacing w:after="28" w:line="216" w:lineRule="auto"/>
        <w:ind w:left="259"/>
        <w:jc w:val="left"/>
      </w:pPr>
      <w:r>
        <w:rPr>
          <w:rFonts w:ascii="Arial" w:hAnsi="Arial"/>
          <w:color w:val="525252"/>
          <w:sz w:val="13"/>
        </w:rPr>
        <w:t>The front opening will gap approximately 2 to 3- inches at bottom.</w:t>
      </w:r>
    </w:p>
    <w:p>
      <w:pPr>
        <w:spacing w:after="20" w:line="223" w:lineRule="auto"/>
        <w:jc w:val="right"/>
        <w:bidi/>
      </w:pPr>
      <w:r>
        <w:rPr>
          <w:rFonts w:ascii="Arial" w:hAnsi="Arial"/>
          <w:sz w:val="16"/>
        </w:rPr>
        <w:t>438.19  تخته‌های شانه.</w:t>
      </w:r>
    </w:p>
    <w:p>
      <w:pPr>
        <w:spacing w:after="28" w:line="216" w:lineRule="auto"/>
        <w:ind w:left="259"/>
        <w:jc w:val="left"/>
      </w:pPr>
      <w:r>
        <w:rPr>
          <w:rFonts w:ascii="Arial" w:hAnsi="Arial"/>
          <w:color w:val="525252"/>
          <w:sz w:val="13"/>
        </w:rPr>
        <w:t>Shoulder Boards.</w:t>
      </w:r>
    </w:p>
    <w:p>
      <w:pPr>
        <w:spacing w:after="20" w:line="223" w:lineRule="auto"/>
        <w:jc w:val="right"/>
        <w:bidi/>
      </w:pPr>
      <w:r>
        <w:rPr>
          <w:rFonts w:ascii="Arial" w:hAnsi="Arial"/>
          <w:sz w:val="16"/>
        </w:rPr>
        <w:t>438.20  افسران تا جایی که ممکن است از تخته شانه استفاده خواهند کرد.</w:t>
      </w:r>
    </w:p>
    <w:p>
      <w:pPr>
        <w:spacing w:after="28" w:line="216" w:lineRule="auto"/>
        <w:ind w:left="259"/>
        <w:jc w:val="left"/>
      </w:pPr>
      <w:r>
        <w:rPr>
          <w:rFonts w:ascii="Arial" w:hAnsi="Arial"/>
          <w:color w:val="525252"/>
          <w:sz w:val="13"/>
        </w:rPr>
        <w:t>Officers will wear shoulder board rank as close to the shoulder seam as possible.</w:t>
      </w:r>
    </w:p>
    <w:p>
      <w:pPr>
        <w:spacing w:after="20" w:line="223" w:lineRule="auto"/>
        <w:jc w:val="right"/>
        <w:bidi/>
      </w:pPr>
      <w:r>
        <w:rPr>
          <w:rFonts w:ascii="Arial" w:hAnsi="Arial"/>
          <w:sz w:val="16"/>
        </w:rPr>
        <w:t>438.21  افسران کل یک بافته ۳/۴ اینچی با آستین نقره‌ای پهن، ۲ ۱/۲ اینچ از انتهای آستین خواهند پوشید.</w:t>
      </w:r>
    </w:p>
    <w:p>
      <w:pPr>
        <w:spacing w:after="28" w:line="216" w:lineRule="auto"/>
        <w:ind w:left="259"/>
        <w:jc w:val="left"/>
      </w:pPr>
      <w:r>
        <w:rPr>
          <w:rFonts w:ascii="Arial" w:hAnsi="Arial"/>
          <w:color w:val="525252"/>
          <w:sz w:val="13"/>
        </w:rPr>
        <w:t>General officers will wear a 3/4-inch wide silver sleeve braid, 2 1/2-inches from the end of the sleeve.</w:t>
      </w:r>
    </w:p>
    <w:p>
      <w:pPr>
        <w:spacing w:after="20" w:line="223" w:lineRule="auto"/>
        <w:jc w:val="right"/>
        <w:bidi/>
      </w:pPr>
      <w:r>
        <w:rPr>
          <w:rFonts w:ascii="Arial" w:hAnsi="Arial"/>
          <w:sz w:val="16"/>
        </w:rPr>
        <w:t>438.22  همه افسران دیگر یک بافته بند آستین نقره‌ای ۱/۲ اینچی، ۲ ۱/۲ اینچ از انتهای آستین خواهند پوشید.</w:t>
      </w:r>
    </w:p>
    <w:p>
      <w:pPr>
        <w:spacing w:after="28" w:line="216" w:lineRule="auto"/>
        <w:ind w:left="259"/>
        <w:jc w:val="left"/>
      </w:pPr>
      <w:r>
        <w:rPr>
          <w:rFonts w:ascii="Arial" w:hAnsi="Arial"/>
          <w:color w:val="525252"/>
          <w:sz w:val="13"/>
        </w:rPr>
        <w:t>All other officers will wear a 1/2-inch silver sleeve braid, 2 1/2-inches from the end of the sleeve.</w:t>
      </w:r>
    </w:p>
    <w:p>
      <w:pPr>
        <w:spacing w:after="20" w:line="223" w:lineRule="auto"/>
        <w:jc w:val="right"/>
        <w:bidi/>
      </w:pPr>
      <w:r>
        <w:rPr>
          <w:rFonts w:ascii="Arial" w:hAnsi="Arial"/>
          <w:sz w:val="16"/>
        </w:rPr>
        <w:t>438.23  رتبه (فقط لباس آشغال).</w:t>
      </w:r>
    </w:p>
    <w:p>
      <w:pPr>
        <w:spacing w:after="28" w:line="216" w:lineRule="auto"/>
        <w:ind w:left="259"/>
        <w:jc w:val="left"/>
      </w:pPr>
      <w:r>
        <w:rPr>
          <w:rFonts w:ascii="Arial" w:hAnsi="Arial"/>
          <w:color w:val="525252"/>
          <w:sz w:val="13"/>
        </w:rPr>
        <w:t>Rank (Mess Dress only).</w:t>
      </w:r>
    </w:p>
    <w:p>
      <w:pPr>
        <w:spacing w:after="20" w:line="223" w:lineRule="auto"/>
        <w:jc w:val="right"/>
        <w:bidi/>
      </w:pPr>
      <w:r>
        <w:rPr>
          <w:rFonts w:ascii="Arial" w:hAnsi="Arial"/>
          <w:sz w:val="16"/>
        </w:rPr>
        <w:t>438.24  سربازان، رده‌بندی شورون سفید ۳ ۱/۲ یا ۴ اینچی در مرکز بازو بیرونی در نیمه راه بین درز شانه و آرنج خواهند پوشید.</w:t>
      </w:r>
    </w:p>
    <w:p>
      <w:pPr>
        <w:spacing w:after="28" w:line="216" w:lineRule="auto"/>
        <w:ind w:left="259"/>
        <w:jc w:val="left"/>
      </w:pPr>
      <w:r>
        <w:rPr>
          <w:rFonts w:ascii="Arial" w:hAnsi="Arial"/>
          <w:color w:val="525252"/>
          <w:sz w:val="13"/>
        </w:rPr>
        <w:t>Enlisted will wear either 3 1/2 or 4-inch, white chevron rank centered on the outer arm halfway between the shoulder seam and elbow when bent at a 90-degree angle.</w:t>
      </w:r>
    </w:p>
    <w:p>
      <w:pPr>
        <w:spacing w:after="20" w:line="223" w:lineRule="auto"/>
        <w:jc w:val="right"/>
        <w:bidi/>
      </w:pPr>
      <w:r>
        <w:rPr>
          <w:rFonts w:ascii="Arial" w:hAnsi="Arial"/>
          <w:sz w:val="16"/>
        </w:rPr>
        <w:t>438.25  بلوز.</w:t>
      </w:r>
    </w:p>
    <w:p>
      <w:pPr>
        <w:spacing w:after="28" w:line="216" w:lineRule="auto"/>
        <w:ind w:left="259"/>
        <w:jc w:val="left"/>
      </w:pPr>
      <w:r>
        <w:rPr>
          <w:rFonts w:ascii="Arial" w:hAnsi="Arial"/>
          <w:color w:val="525252"/>
          <w:sz w:val="13"/>
        </w:rPr>
        <w:t>Blouse.</w:t>
      </w:r>
    </w:p>
    <w:p>
      <w:pPr>
        <w:spacing w:after="20" w:line="223" w:lineRule="auto"/>
        <w:jc w:val="right"/>
        <w:bidi/>
      </w:pPr>
      <w:r>
        <w:rPr>
          <w:rFonts w:ascii="Arial" w:hAnsi="Arial"/>
          <w:sz w:val="16"/>
        </w:rPr>
        <w:t>438.26  بلوز لباس آشفته با لباس رسمی زنانه پوشیده خواهد شد.</w:t>
      </w:r>
    </w:p>
    <w:p>
      <w:pPr>
        <w:spacing w:after="28" w:line="216" w:lineRule="auto"/>
        <w:ind w:left="259"/>
        <w:jc w:val="left"/>
      </w:pPr>
      <w:r>
        <w:rPr>
          <w:rFonts w:ascii="Arial" w:hAnsi="Arial"/>
          <w:color w:val="525252"/>
          <w:sz w:val="13"/>
        </w:rPr>
        <w:t>The mess dress blouse will be worn with the female formal dress uniform.</w:t>
      </w:r>
    </w:p>
    <w:p>
      <w:pPr>
        <w:spacing w:after="20" w:line="223" w:lineRule="auto"/>
        <w:jc w:val="right"/>
        <w:bidi/>
      </w:pPr>
      <w:r>
        <w:rPr>
          <w:rFonts w:ascii="Arial" w:hAnsi="Arial"/>
          <w:sz w:val="16"/>
        </w:rPr>
        <w:t>438.27  بلوز چین‌های نظامی نخواهد داشت.</w:t>
      </w:r>
    </w:p>
    <w:p>
      <w:pPr>
        <w:spacing w:after="28" w:line="216" w:lineRule="auto"/>
        <w:ind w:left="259"/>
        <w:jc w:val="left"/>
      </w:pPr>
      <w:r>
        <w:rPr>
          <w:rFonts w:ascii="Arial" w:hAnsi="Arial"/>
          <w:color w:val="525252"/>
          <w:sz w:val="13"/>
        </w:rPr>
        <w:t>The blouse will not have military creases.</w:t>
      </w:r>
    </w:p>
    <w:p>
      <w:pPr>
        <w:spacing w:after="20" w:line="223" w:lineRule="auto"/>
        <w:jc w:val="right"/>
        <w:bidi/>
      </w:pPr>
      <w:r>
        <w:rPr>
          <w:rFonts w:ascii="Arial" w:hAnsi="Arial"/>
          <w:sz w:val="16"/>
        </w:rPr>
        <w:t>438.28  زیرپیراهن‌های سفید را می‌توان در یقه و، تاپ یا یقه خدمه پوشید و در صورت پوشیدن، باید داخل دامن قرار گیرد.</w:t>
      </w:r>
    </w:p>
    <w:p>
      <w:pPr>
        <w:spacing w:after="28" w:line="216" w:lineRule="auto"/>
        <w:ind w:left="259"/>
        <w:jc w:val="left"/>
      </w:pPr>
      <w:r>
        <w:rPr>
          <w:rFonts w:ascii="Arial" w:hAnsi="Arial"/>
          <w:color w:val="525252"/>
          <w:sz w:val="13"/>
        </w:rPr>
        <w:t>White undershirts may be worn in the V-neck, tank top or crew- neck and if worn, must be tucked into the skirt.</w:t>
      </w:r>
    </w:p>
    <w:p>
      <w:pPr>
        <w:spacing w:after="20" w:line="223" w:lineRule="auto"/>
        <w:jc w:val="right"/>
        <w:bidi/>
      </w:pPr>
      <w:r>
        <w:rPr>
          <w:rFonts w:ascii="Arial" w:hAnsi="Arial"/>
          <w:sz w:val="16"/>
        </w:rPr>
        <w:t>438.29  زبانه کراوات.</w:t>
      </w:r>
    </w:p>
    <w:p>
      <w:pPr>
        <w:spacing w:after="28" w:line="216" w:lineRule="auto"/>
        <w:ind w:left="259"/>
        <w:jc w:val="left"/>
      </w:pPr>
      <w:r>
        <w:rPr>
          <w:rFonts w:ascii="Arial" w:hAnsi="Arial"/>
          <w:color w:val="525252"/>
          <w:sz w:val="13"/>
        </w:rPr>
        <w:t>Tie Tab.</w:t>
      </w:r>
    </w:p>
    <w:p>
      <w:pPr>
        <w:spacing w:after="20" w:line="223" w:lineRule="auto"/>
        <w:jc w:val="right"/>
        <w:bidi/>
      </w:pPr>
      <w:r>
        <w:rPr>
          <w:rFonts w:ascii="Arial" w:hAnsi="Arial"/>
          <w:sz w:val="16"/>
        </w:rPr>
        <w:t>438.30  زبانه کراوات اجباری است و یک پارچه فلزی نقره‌ای هلالی شکل ۱ اینچی، زبانه کراوات لم برای یونیفرم لباس رسمی و زبانه کراوات وارونه و ساتن آبی با دم‌های خودبسته برای یونیفرم لباس مسی خواهد بود.</w:t>
      </w:r>
    </w:p>
    <w:p>
      <w:pPr>
        <w:spacing w:after="28" w:line="216" w:lineRule="auto"/>
        <w:ind w:left="259"/>
        <w:jc w:val="left"/>
      </w:pPr>
      <w:r>
        <w:rPr>
          <w:rFonts w:ascii="Arial" w:hAnsi="Arial"/>
          <w:color w:val="525252"/>
          <w:sz w:val="13"/>
        </w:rPr>
        <w:t>The tie tab is mandatory and will be a 1-inch crescent-shaped silver metallic cloth, lamé tie tab for Formal Dress Uniform and a blue satin inverted-V tie tab with self-fastening tails for Mess Dress Uniform.</w:t>
      </w:r>
    </w:p>
    <w:p>
      <w:pPr>
        <w:spacing w:after="20" w:line="223" w:lineRule="auto"/>
        <w:jc w:val="right"/>
        <w:bidi/>
      </w:pPr>
      <w:r>
        <w:rPr>
          <w:rFonts w:ascii="Arial" w:hAnsi="Arial"/>
          <w:sz w:val="16"/>
        </w:rPr>
        <w:t>438.31  کامرباند.</w:t>
      </w:r>
    </w:p>
    <w:p>
      <w:pPr>
        <w:spacing w:after="28" w:line="216" w:lineRule="auto"/>
        <w:ind w:left="259"/>
        <w:jc w:val="left"/>
      </w:pPr>
      <w:r>
        <w:rPr>
          <w:rFonts w:ascii="Arial" w:hAnsi="Arial"/>
          <w:color w:val="525252"/>
          <w:sz w:val="13"/>
        </w:rPr>
        <w:t>Cummerbund.</w:t>
      </w:r>
    </w:p>
    <w:p>
      <w:pPr>
        <w:spacing w:after="20" w:line="223" w:lineRule="auto"/>
        <w:jc w:val="right"/>
        <w:bidi/>
      </w:pPr>
      <w:r>
        <w:rPr>
          <w:rFonts w:ascii="Arial" w:hAnsi="Arial"/>
          <w:sz w:val="16"/>
        </w:rPr>
        <w:t>438.32  لباس فرم لباس رسمی ساتن نقره‌ای ساده، گیره لباس لباس مسس ساتن آبی ساده خواهد بود.</w:t>
      </w:r>
    </w:p>
    <w:p>
      <w:pPr>
        <w:spacing w:after="28" w:line="216" w:lineRule="auto"/>
        <w:ind w:left="259"/>
        <w:jc w:val="left"/>
      </w:pPr>
      <w:r>
        <w:rPr>
          <w:rFonts w:ascii="Arial" w:hAnsi="Arial"/>
          <w:color w:val="525252"/>
          <w:sz w:val="13"/>
        </w:rPr>
        <w:t>The cummerbund for Formal Dress Uniform will be plain silver satin, cummerbund for the Mess Dress Uniform will be plain blue satin.</w:t>
      </w:r>
    </w:p>
    <w:p>
      <w:pPr>
        <w:spacing w:after="20" w:line="223" w:lineRule="auto"/>
        <w:jc w:val="right"/>
        <w:bidi/>
      </w:pPr>
      <w:r>
        <w:rPr>
          <w:rFonts w:ascii="Arial" w:hAnsi="Arial"/>
          <w:sz w:val="16"/>
        </w:rPr>
        <w:t>438.33  کامرباندها تا نیمه بین پیراهن و دامن پوشیده می‌شوند و لبه پلیسه باز رو به بالا است.</w:t>
      </w:r>
    </w:p>
    <w:p>
      <w:pPr>
        <w:spacing w:after="28" w:line="216" w:lineRule="auto"/>
        <w:ind w:left="259"/>
        <w:jc w:val="left"/>
      </w:pPr>
      <w:r>
        <w:rPr>
          <w:rFonts w:ascii="Arial" w:hAnsi="Arial"/>
          <w:color w:val="525252"/>
          <w:sz w:val="13"/>
        </w:rPr>
        <w:t>Cummerbunds will be worn halfway between the shirt and skirt with open edge of pleat facing upward.</w:t>
      </w:r>
    </w:p>
    <w:p>
      <w:pPr>
        <w:spacing w:after="20" w:line="223" w:lineRule="auto"/>
        <w:jc w:val="right"/>
        <w:bidi/>
      </w:pPr>
      <w:r>
        <w:rPr>
          <w:rFonts w:ascii="Arial" w:hAnsi="Arial"/>
          <w:sz w:val="16"/>
        </w:rPr>
        <w:t>438.34  دامن.</w:t>
      </w:r>
    </w:p>
    <w:p>
      <w:pPr>
        <w:spacing w:after="28" w:line="216" w:lineRule="auto"/>
        <w:ind w:left="259"/>
        <w:jc w:val="left"/>
      </w:pPr>
      <w:r>
        <w:rPr>
          <w:rFonts w:ascii="Arial" w:hAnsi="Arial"/>
          <w:color w:val="525252"/>
          <w:sz w:val="13"/>
        </w:rPr>
        <w:t>Skirt.</w:t>
      </w:r>
    </w:p>
    <w:p>
      <w:pPr>
        <w:spacing w:after="20" w:line="223" w:lineRule="auto"/>
        <w:jc w:val="right"/>
        <w:bidi/>
      </w:pPr>
      <w:r>
        <w:rPr>
          <w:rFonts w:ascii="Arial" w:hAnsi="Arial"/>
          <w:sz w:val="16"/>
        </w:rPr>
        <w:t>438.35  دامن لباس آشفته برای یونیفرم لباس رسمی زنانه استفاده خواهد شد.</w:t>
      </w:r>
    </w:p>
    <w:p>
      <w:pPr>
        <w:spacing w:after="28" w:line="216" w:lineRule="auto"/>
        <w:ind w:left="259"/>
        <w:jc w:val="left"/>
      </w:pPr>
      <w:r>
        <w:rPr>
          <w:rFonts w:ascii="Arial" w:hAnsi="Arial"/>
          <w:color w:val="525252"/>
          <w:sz w:val="13"/>
        </w:rPr>
        <w:t>The mess dress skirt will be used for the female formal dress uniform.</w:t>
      </w:r>
    </w:p>
    <w:p>
      <w:pPr>
        <w:spacing w:after="20" w:line="223" w:lineRule="auto"/>
        <w:jc w:val="right"/>
        <w:bidi/>
      </w:pPr>
      <w:r>
        <w:rPr>
          <w:rFonts w:ascii="Arial" w:hAnsi="Arial"/>
          <w:sz w:val="16"/>
        </w:rPr>
        <w:t>438.36  دو نوع دامن لباس آبی رنگ مجاز وجود دارد.</w:t>
      </w:r>
    </w:p>
    <w:p>
      <w:pPr>
        <w:spacing w:after="28" w:line="216" w:lineRule="auto"/>
        <w:ind w:left="259"/>
        <w:jc w:val="left"/>
      </w:pPr>
      <w:r>
        <w:rPr>
          <w:rFonts w:ascii="Arial" w:hAnsi="Arial"/>
          <w:color w:val="525252"/>
          <w:sz w:val="13"/>
        </w:rPr>
        <w:t>There are two types of blue mess dress skirts authorized.</w:t>
      </w:r>
    </w:p>
    <w:p>
      <w:pPr>
        <w:spacing w:after="20" w:line="223" w:lineRule="auto"/>
        <w:jc w:val="right"/>
        <w:bidi/>
      </w:pPr>
      <w:r>
        <w:rPr>
          <w:rFonts w:ascii="Arial" w:hAnsi="Arial"/>
          <w:sz w:val="16"/>
        </w:rPr>
        <w:t>438.37  دامن لباس آشفته اولیه به سبک ا بدون شکاف است.</w:t>
      </w:r>
    </w:p>
    <w:p>
      <w:pPr>
        <w:spacing w:after="28" w:line="216" w:lineRule="auto"/>
        <w:ind w:left="259"/>
        <w:jc w:val="left"/>
      </w:pPr>
      <w:r>
        <w:rPr>
          <w:rFonts w:ascii="Arial" w:hAnsi="Arial"/>
          <w:color w:val="525252"/>
          <w:sz w:val="13"/>
        </w:rPr>
        <w:t>The primary mess dress skirt is the A-line style without the split.</w:t>
      </w:r>
    </w:p>
    <w:p>
      <w:pPr>
        <w:spacing w:after="20" w:line="223" w:lineRule="auto"/>
        <w:jc w:val="right"/>
        <w:bidi/>
      </w:pPr>
      <w:r>
        <w:rPr>
          <w:rFonts w:ascii="Arial" w:hAnsi="Arial"/>
          <w:sz w:val="16"/>
        </w:rPr>
        <w:t>438.38  دامن آویز مستقیم اختیاری با شکاف از پهلو تا بالای زانو از طریق سرویس تبادل نیروی هوایی ارتش (AAFES) یا فروشگاه فروش لباس نظامی (MCSS) به‌عنوان سفارش ویژه در دسترس است.</w:t>
      </w:r>
    </w:p>
    <w:p>
      <w:pPr>
        <w:spacing w:after="28" w:line="216" w:lineRule="auto"/>
        <w:ind w:left="259"/>
        <w:jc w:val="left"/>
      </w:pPr>
      <w:r>
        <w:rPr>
          <w:rFonts w:ascii="Arial" w:hAnsi="Arial"/>
          <w:color w:val="525252"/>
          <w:sz w:val="13"/>
        </w:rPr>
        <w:t>The optional straight hanging skirt with the side-split to the top of the knee is available through Army Air Force Exchange Service (AAFES) or Military Clothing Sales Store (MCSS) as a special order.</w:t>
      </w:r>
    </w:p>
    <w:p>
      <w:pPr>
        <w:spacing w:after="20" w:line="223" w:lineRule="auto"/>
        <w:jc w:val="right"/>
        <w:bidi/>
      </w:pPr>
      <w:r>
        <w:rPr>
          <w:rFonts w:ascii="Arial" w:hAnsi="Arial"/>
          <w:sz w:val="16"/>
        </w:rPr>
        <w:t>438.39  هر دو طول مچ پا خواهند بود (نه بیشتر از مچ پا، نه بیشتر از پایین پاشنه پا).</w:t>
      </w:r>
    </w:p>
    <w:p>
      <w:pPr>
        <w:spacing w:after="28" w:line="216" w:lineRule="auto"/>
        <w:ind w:left="259"/>
        <w:jc w:val="left"/>
      </w:pPr>
      <w:r>
        <w:rPr>
          <w:rFonts w:ascii="Arial" w:hAnsi="Arial"/>
          <w:color w:val="525252"/>
          <w:sz w:val="13"/>
        </w:rPr>
        <w:t>Both will be ankle length (no higher than ankle, no longer than the bottom of the heel).</w:t>
      </w:r>
    </w:p>
    <w:p>
      <w:pPr>
        <w:spacing w:after="20" w:line="223" w:lineRule="auto"/>
        <w:jc w:val="right"/>
        <w:bidi/>
      </w:pPr>
      <w:r>
        <w:rPr>
          <w:rFonts w:ascii="Arial" w:hAnsi="Arial"/>
          <w:sz w:val="16"/>
        </w:rPr>
        <w:t>438.40  شلوار/شلوار.</w:t>
      </w:r>
    </w:p>
    <w:p>
      <w:pPr>
        <w:spacing w:after="28" w:line="216" w:lineRule="auto"/>
        <w:ind w:left="259"/>
        <w:jc w:val="left"/>
      </w:pPr>
      <w:r>
        <w:rPr>
          <w:rFonts w:ascii="Arial" w:hAnsi="Arial"/>
          <w:color w:val="525252"/>
          <w:sz w:val="13"/>
        </w:rPr>
        <w:t>Trousers/slacks.</w:t>
      </w:r>
    </w:p>
    <w:p>
      <w:pPr>
        <w:spacing w:after="20" w:line="223" w:lineRule="auto"/>
        <w:jc w:val="right"/>
        <w:bidi/>
      </w:pPr>
      <w:r>
        <w:rPr>
          <w:rFonts w:ascii="Arial" w:hAnsi="Arial"/>
          <w:sz w:val="16"/>
        </w:rPr>
        <w:t>438.41  شلوار یا شلوار شلوار کثیف به رنگ آبی، بدون چین و سرآستین خواهد بود.</w:t>
      </w:r>
    </w:p>
    <w:p>
      <w:pPr>
        <w:spacing w:after="28" w:line="216" w:lineRule="auto"/>
        <w:ind w:left="259"/>
        <w:jc w:val="left"/>
      </w:pPr>
      <w:r>
        <w:rPr>
          <w:rFonts w:ascii="Arial" w:hAnsi="Arial"/>
          <w:color w:val="525252"/>
          <w:sz w:val="13"/>
        </w:rPr>
        <w:t>Mess dress trouser or slacks will be blue, without pleats and cuffs.</w:t>
      </w:r>
    </w:p>
    <w:p>
      <w:pPr>
        <w:spacing w:after="20" w:line="223" w:lineRule="auto"/>
        <w:jc w:val="right"/>
        <w:bidi/>
      </w:pPr>
      <w:r>
        <w:rPr>
          <w:rFonts w:ascii="Arial" w:hAnsi="Arial"/>
          <w:sz w:val="16"/>
        </w:rPr>
        <w:t>438.42  آنها بلند مرتبه با جیب‌های کناری و اینچ آبی راه راه پایین پاهای شلوار خواهند داشت.</w:t>
      </w:r>
    </w:p>
    <w:p>
      <w:pPr>
        <w:spacing w:after="28" w:line="216" w:lineRule="auto"/>
        <w:ind w:left="259"/>
        <w:jc w:val="left"/>
      </w:pPr>
      <w:r>
        <w:rPr>
          <w:rFonts w:ascii="Arial" w:hAnsi="Arial"/>
          <w:color w:val="525252"/>
          <w:sz w:val="13"/>
        </w:rPr>
        <w:t>They will have a high-rise with side pockets and inch blue striping down pant legs.</w:t>
      </w:r>
    </w:p>
    <w:p>
      <w:pPr>
        <w:spacing w:after="20" w:line="223" w:lineRule="auto"/>
        <w:jc w:val="right"/>
        <w:bidi/>
      </w:pPr>
      <w:r>
        <w:rPr>
          <w:rFonts w:ascii="Arial" w:hAnsi="Arial"/>
          <w:sz w:val="16"/>
        </w:rPr>
        <w:t>438.43  شلوار/شلوار به‌طور طبیعی روی باسن قرار می‌گیرد، بدون اینکه در کمر دسته‌بندی شود یا روی صندلی چفت شود.</w:t>
      </w:r>
    </w:p>
    <w:p>
      <w:pPr>
        <w:spacing w:after="28" w:line="216" w:lineRule="auto"/>
        <w:ind w:left="259"/>
        <w:jc w:val="left"/>
      </w:pPr>
      <w:r>
        <w:rPr>
          <w:rFonts w:ascii="Arial" w:hAnsi="Arial"/>
          <w:color w:val="525252"/>
          <w:sz w:val="13"/>
        </w:rPr>
        <w:t>Trousers/slacks will fit naturally over the hips with no bunching at the waist or bagging at the seat.</w:t>
      </w:r>
    </w:p>
    <w:p>
      <w:pPr>
        <w:spacing w:after="20" w:line="223" w:lineRule="auto"/>
        <w:jc w:val="right"/>
        <w:bidi/>
      </w:pPr>
      <w:r>
        <w:rPr>
          <w:rFonts w:ascii="Arial" w:hAnsi="Arial"/>
          <w:sz w:val="16"/>
        </w:rPr>
        <w:t>438.44  قسمت جلوی پایین پاهای شلوار در صورت پوشیدن پمپ، روی جلوی کفش یا بالای پا قرار می‌گیرد، با کمی شکستگی در چین.</w:t>
      </w:r>
    </w:p>
    <w:p>
      <w:pPr>
        <w:spacing w:after="28" w:line="216" w:lineRule="auto"/>
        <w:ind w:left="259"/>
        <w:jc w:val="left"/>
      </w:pPr>
      <w:r>
        <w:rPr>
          <w:rFonts w:ascii="Arial" w:hAnsi="Arial"/>
          <w:color w:val="525252"/>
          <w:sz w:val="13"/>
        </w:rPr>
        <w:t>The bottom front of the pant legs will rest on the front of the shoe or on top of the foot if wearing pumps, with a slight break in the crease.</w:t>
      </w:r>
    </w:p>
    <w:p>
      <w:pPr>
        <w:spacing w:after="20" w:line="223" w:lineRule="auto"/>
        <w:jc w:val="right"/>
        <w:bidi/>
      </w:pPr>
      <w:r>
        <w:rPr>
          <w:rFonts w:ascii="Arial" w:hAnsi="Arial"/>
          <w:sz w:val="16"/>
        </w:rPr>
        <w:t>438.45  پشت پاهای شلوار تقریبا ۷/۸ اینچ بلندتر از جلو خواهد بود.</w:t>
      </w:r>
    </w:p>
    <w:p>
      <w:pPr>
        <w:spacing w:after="28" w:line="216" w:lineRule="auto"/>
        <w:ind w:left="259"/>
        <w:jc w:val="left"/>
      </w:pPr>
      <w:r>
        <w:rPr>
          <w:rFonts w:ascii="Arial" w:hAnsi="Arial"/>
          <w:color w:val="525252"/>
          <w:sz w:val="13"/>
        </w:rPr>
        <w:t>The back of the pant legs will be approximately 7/8-inch longer than the front.</w:t>
      </w:r>
    </w:p>
    <w:p>
      <w:pPr>
        <w:spacing w:after="20" w:line="223" w:lineRule="auto"/>
        <w:jc w:val="right"/>
        <w:bidi/>
      </w:pPr>
      <w:r>
        <w:rPr>
          <w:rFonts w:ascii="Arial" w:hAnsi="Arial"/>
          <w:sz w:val="16"/>
        </w:rPr>
        <w:t>438.46  شلوار/شلوار دوخت، آویزان مستقیم، بدون گشاد شدن در پایین یا</w:t>
      </w:r>
    </w:p>
    <w:p>
      <w:pPr>
        <w:spacing w:after="28" w:line="216" w:lineRule="auto"/>
        <w:ind w:left="259"/>
        <w:jc w:val="left"/>
      </w:pPr>
      <w:r>
        <w:rPr>
          <w:rFonts w:ascii="Arial" w:hAnsi="Arial"/>
          <w:color w:val="525252"/>
          <w:sz w:val="13"/>
        </w:rPr>
        <w:t>The trousers/slacks will be tailored, straight hanging, with no flare at the bottom or</w:t>
      </w:r>
    </w:p>
    <w:p>
      <w:r>
        <w:br w:type="page"/>
      </w:r>
    </w:p>
    <w:p>
      <w:pPr>
        <w:spacing w:after="60"/>
        <w:jc w:val="right"/>
        <w:bidi/>
      </w:pPr>
      <w:r>
        <w:rPr>
          <w:rFonts w:ascii="Arial" w:hAnsi="Arial"/>
          <w:b/>
          <w:color w:val="1F4D78"/>
          <w:sz w:val="19"/>
        </w:rPr>
        <w:t>هفتهٔ 439  |  صفحهٔ منبع: 455</w:t>
      </w:r>
    </w:p>
    <w:p>
      <w:pPr>
        <w:spacing w:after="20" w:line="223" w:lineRule="auto"/>
        <w:jc w:val="right"/>
        <w:bidi/>
      </w:pPr>
      <w:r>
        <w:rPr>
          <w:rFonts w:ascii="Arial" w:hAnsi="Arial"/>
          <w:sz w:val="16"/>
        </w:rPr>
        <w:t>439.01  تغییرات اضافی برای مخروطی شدن بیشتر ساق.</w:t>
      </w:r>
    </w:p>
    <w:p>
      <w:pPr>
        <w:spacing w:after="28" w:line="216" w:lineRule="auto"/>
        <w:ind w:left="259"/>
        <w:jc w:val="left"/>
      </w:pPr>
      <w:r>
        <w:rPr>
          <w:rFonts w:ascii="Arial" w:hAnsi="Arial"/>
          <w:color w:val="525252"/>
          <w:sz w:val="13"/>
        </w:rPr>
        <w:t>additional alterations to further taper the leg.</w:t>
      </w:r>
    </w:p>
    <w:p>
      <w:pPr>
        <w:spacing w:after="20" w:line="223" w:lineRule="auto"/>
        <w:jc w:val="right"/>
        <w:bidi/>
      </w:pPr>
      <w:r>
        <w:rPr>
          <w:rFonts w:ascii="Arial" w:hAnsi="Arial"/>
          <w:sz w:val="16"/>
        </w:rPr>
        <w:t>439.02  جنس شلوار با پارچه کت لباس و سایه ی آشفته مطابقت دارد.</w:t>
      </w:r>
    </w:p>
    <w:p>
      <w:pPr>
        <w:spacing w:after="28" w:line="216" w:lineRule="auto"/>
        <w:ind w:left="259"/>
        <w:jc w:val="left"/>
      </w:pPr>
      <w:r>
        <w:rPr>
          <w:rFonts w:ascii="Arial" w:hAnsi="Arial"/>
          <w:color w:val="525252"/>
          <w:sz w:val="13"/>
        </w:rPr>
        <w:t>The trouser material will match the mess dress coat fabric and shade.</w:t>
      </w:r>
    </w:p>
    <w:p>
      <w:pPr>
        <w:spacing w:after="20" w:line="223" w:lineRule="auto"/>
        <w:jc w:val="right"/>
        <w:bidi/>
      </w:pPr>
      <w:r>
        <w:rPr>
          <w:rFonts w:ascii="Arial" w:hAnsi="Arial"/>
          <w:sz w:val="16"/>
        </w:rPr>
        <w:t>439.03  آویزها برای خانم‌ها اختیاری هستند و به رنگ سفید یکدست، آبی تیره یا مشکی هستند و به شلوار وصل می‌شوند و در صورت پوشیدن دیده نمی‌شوند.</w:t>
      </w:r>
    </w:p>
    <w:p>
      <w:pPr>
        <w:spacing w:after="28" w:line="216" w:lineRule="auto"/>
        <w:ind w:left="259"/>
        <w:jc w:val="left"/>
      </w:pPr>
      <w:r>
        <w:rPr>
          <w:rFonts w:ascii="Arial" w:hAnsi="Arial"/>
          <w:color w:val="525252"/>
          <w:sz w:val="13"/>
        </w:rPr>
        <w:t>Suspenders are optional for women and will be either solid white, dark blue or black and will be attached to the trousers and will not be visible if worn.</w:t>
      </w:r>
    </w:p>
    <w:p>
      <w:pPr>
        <w:spacing w:after="20" w:line="223" w:lineRule="auto"/>
        <w:jc w:val="right"/>
        <w:bidi/>
      </w:pPr>
      <w:r>
        <w:rPr>
          <w:rFonts w:ascii="Arial" w:hAnsi="Arial"/>
          <w:sz w:val="16"/>
        </w:rPr>
        <w:t>439.04  کفش.</w:t>
      </w:r>
    </w:p>
    <w:p>
      <w:pPr>
        <w:spacing w:after="28" w:line="216" w:lineRule="auto"/>
        <w:ind w:left="259"/>
        <w:jc w:val="left"/>
      </w:pPr>
      <w:r>
        <w:rPr>
          <w:rFonts w:ascii="Arial" w:hAnsi="Arial"/>
          <w:color w:val="525252"/>
          <w:sz w:val="13"/>
        </w:rPr>
        <w:t>Footwear.</w:t>
      </w:r>
    </w:p>
    <w:p>
      <w:pPr>
        <w:spacing w:after="20" w:line="223" w:lineRule="auto"/>
        <w:jc w:val="right"/>
        <w:bidi/>
      </w:pPr>
      <w:r>
        <w:rPr>
          <w:rFonts w:ascii="Arial" w:hAnsi="Arial"/>
          <w:sz w:val="16"/>
        </w:rPr>
        <w:t>439.05  برای سایش و توضیحات، به DAFI ۳۶-۲۹۰۳، پاراگراف‌های ۷.۴.۱.۱، ۷.۴.۱.۲، ۷.۴.۱.۵، ۷.۴.۱.۶ مراجعه کنید.</w:t>
      </w:r>
    </w:p>
    <w:p>
      <w:pPr>
        <w:spacing w:after="28" w:line="216" w:lineRule="auto"/>
        <w:ind w:left="259"/>
        <w:jc w:val="left"/>
      </w:pPr>
      <w:r>
        <w:rPr>
          <w:rFonts w:ascii="Arial" w:hAnsi="Arial"/>
          <w:color w:val="525252"/>
          <w:sz w:val="13"/>
        </w:rPr>
        <w:t>For wear and description see DAFI 36-2903, paragraphs 7.4.1.1, 7.4.1.2, 7.4.1.5, 7.4.1.6.</w:t>
      </w:r>
    </w:p>
    <w:p>
      <w:pPr>
        <w:spacing w:after="20" w:line="223" w:lineRule="auto"/>
        <w:jc w:val="right"/>
        <w:bidi/>
      </w:pPr>
      <w:r>
        <w:rPr>
          <w:rFonts w:ascii="Arial" w:hAnsi="Arial"/>
          <w:sz w:val="16"/>
        </w:rPr>
        <w:t>439.06  لباسهای یکنواخت رسمی و نامرتب (مرد و زن).</w:t>
      </w:r>
    </w:p>
    <w:p>
      <w:pPr>
        <w:spacing w:after="28" w:line="216" w:lineRule="auto"/>
        <w:ind w:left="259"/>
        <w:jc w:val="left"/>
      </w:pPr>
      <w:r>
        <w:rPr>
          <w:rFonts w:ascii="Arial" w:hAnsi="Arial"/>
          <w:color w:val="525252"/>
          <w:sz w:val="13"/>
        </w:rPr>
        <w:t>Formal and Mess Dress Uniform Accoutrements (Male and Female).</w:t>
      </w:r>
    </w:p>
    <w:p>
      <w:pPr>
        <w:spacing w:after="20" w:line="223" w:lineRule="auto"/>
        <w:jc w:val="right"/>
        <w:bidi/>
      </w:pPr>
      <w:r>
        <w:rPr>
          <w:rFonts w:ascii="Arial" w:hAnsi="Arial"/>
          <w:sz w:val="16"/>
        </w:rPr>
        <w:t>439.07  مدال.</w:t>
      </w:r>
    </w:p>
    <w:p>
      <w:pPr>
        <w:spacing w:after="28" w:line="216" w:lineRule="auto"/>
        <w:ind w:left="259"/>
        <w:jc w:val="left"/>
      </w:pPr>
      <w:r>
        <w:rPr>
          <w:rFonts w:ascii="Arial" w:hAnsi="Arial"/>
          <w:color w:val="525252"/>
          <w:sz w:val="13"/>
        </w:rPr>
        <w:t>Medals.</w:t>
      </w:r>
    </w:p>
    <w:p>
      <w:pPr>
        <w:spacing w:after="20" w:line="223" w:lineRule="auto"/>
        <w:jc w:val="right"/>
        <w:bidi/>
      </w:pPr>
      <w:r>
        <w:rPr>
          <w:rFonts w:ascii="Arial" w:hAnsi="Arial"/>
          <w:sz w:val="16"/>
        </w:rPr>
        <w:t>439.08  همه مدال‌ها را به صورت مینیاتوری روی لباس رسمی و شلوغ بپوشید.</w:t>
      </w:r>
    </w:p>
    <w:p>
      <w:pPr>
        <w:spacing w:after="28" w:line="216" w:lineRule="auto"/>
        <w:ind w:left="259"/>
        <w:jc w:val="left"/>
      </w:pPr>
      <w:r>
        <w:rPr>
          <w:rFonts w:ascii="Arial" w:hAnsi="Arial"/>
          <w:color w:val="525252"/>
          <w:sz w:val="13"/>
        </w:rPr>
        <w:t>Wear all medals, in miniature, on the formal and mess dress uniform.</w:t>
      </w:r>
    </w:p>
    <w:p>
      <w:pPr>
        <w:spacing w:after="20" w:line="223" w:lineRule="auto"/>
        <w:jc w:val="right"/>
        <w:bidi/>
      </w:pPr>
      <w:r>
        <w:rPr>
          <w:rFonts w:ascii="Arial" w:hAnsi="Arial"/>
          <w:sz w:val="16"/>
        </w:rPr>
        <w:t>439.09  مدال‌های آنودایز مجاز هستند.</w:t>
      </w:r>
    </w:p>
    <w:p>
      <w:pPr>
        <w:spacing w:after="28" w:line="216" w:lineRule="auto"/>
        <w:ind w:left="259"/>
        <w:jc w:val="left"/>
      </w:pPr>
      <w:r>
        <w:rPr>
          <w:rFonts w:ascii="Arial" w:hAnsi="Arial"/>
          <w:color w:val="525252"/>
          <w:sz w:val="13"/>
        </w:rPr>
        <w:t>Anodized medals are authorized.</w:t>
      </w:r>
    </w:p>
    <w:p>
      <w:pPr>
        <w:spacing w:after="20" w:line="223" w:lineRule="auto"/>
        <w:jc w:val="right"/>
        <w:bidi/>
      </w:pPr>
      <w:r>
        <w:rPr>
          <w:rFonts w:ascii="Arial" w:hAnsi="Arial"/>
          <w:sz w:val="16"/>
        </w:rPr>
        <w:t>439.10  مدال‌های مینیاتوری در مرکز سمت چپ پوشنده بین درز یقه و بازو و وسط راه بین درز بالای شانه و دکمه بالای کت قرار می‌گیرند.</w:t>
      </w:r>
    </w:p>
    <w:p>
      <w:pPr>
        <w:spacing w:after="28" w:line="216" w:lineRule="auto"/>
        <w:ind w:left="259"/>
        <w:jc w:val="left"/>
      </w:pPr>
      <w:r>
        <w:rPr>
          <w:rFonts w:ascii="Arial" w:hAnsi="Arial"/>
          <w:color w:val="525252"/>
          <w:sz w:val="13"/>
        </w:rPr>
        <w:t>Miniature medals will be centered on the wearer’s left between the lapel and arm seam and midway between the top shoulder seam and top button of the coat.</w:t>
      </w:r>
    </w:p>
    <w:p>
      <w:pPr>
        <w:spacing w:after="20" w:line="223" w:lineRule="auto"/>
        <w:jc w:val="right"/>
        <w:bidi/>
      </w:pPr>
      <w:r>
        <w:rPr>
          <w:rFonts w:ascii="Arial" w:hAnsi="Arial"/>
          <w:sz w:val="16"/>
        </w:rPr>
        <w:t>439.11  پوشیدن نشان‌ها و تزیینات خارجی یا مدال‌ها بر روی یونیفورم لباس نامرتب مجاز است، با این حال، اعضا باید درخواست کنند و اجازه استفاده از تزئینات خارجی مورد قبول خود را داشته باشند (به DAFMAN ۳۶-۲۸۰۶، جوایز نظامی: معیارها و رویه‌های مربوط به پذیرش مراجعه کنید).</w:t>
      </w:r>
    </w:p>
    <w:p>
      <w:pPr>
        <w:spacing w:after="28" w:line="216" w:lineRule="auto"/>
        <w:ind w:left="259"/>
        <w:jc w:val="left"/>
      </w:pPr>
      <w:r>
        <w:rPr>
          <w:rFonts w:ascii="Arial" w:hAnsi="Arial"/>
          <w:color w:val="525252"/>
          <w:sz w:val="13"/>
        </w:rPr>
        <w:t>Wear of foreign badges and decorations or medals on the mess dress uniform is authorized, however, members must request and receive permission to wear foreign decorations they accept (refer to DAFMAN 36-2806, Military Awards: Criteria and Procedures regarding acceptance).</w:t>
      </w:r>
    </w:p>
    <w:p>
      <w:pPr>
        <w:spacing w:after="20" w:line="223" w:lineRule="auto"/>
        <w:jc w:val="right"/>
        <w:bidi/>
      </w:pPr>
      <w:r>
        <w:rPr>
          <w:rFonts w:ascii="Arial" w:hAnsi="Arial"/>
          <w:sz w:val="16"/>
        </w:rPr>
        <w:t>439.12  معیارهای پوشیدن بستگی به نوع وسیله‌ای دارد که دکوراسیون نشان دهنده آن است.</w:t>
      </w:r>
    </w:p>
    <w:p>
      <w:pPr>
        <w:spacing w:after="28" w:line="216" w:lineRule="auto"/>
        <w:ind w:left="259"/>
        <w:jc w:val="left"/>
      </w:pPr>
      <w:r>
        <w:rPr>
          <w:rFonts w:ascii="Arial" w:hAnsi="Arial"/>
          <w:color w:val="525252"/>
          <w:sz w:val="13"/>
        </w:rPr>
        <w:t>Wear criteria depends on the type of device the decoration represents.</w:t>
      </w:r>
    </w:p>
    <w:p>
      <w:pPr>
        <w:spacing w:after="20" w:line="223" w:lineRule="auto"/>
        <w:jc w:val="right"/>
        <w:bidi/>
      </w:pPr>
      <w:r>
        <w:rPr>
          <w:rFonts w:ascii="Arial" w:hAnsi="Arial"/>
          <w:sz w:val="16"/>
        </w:rPr>
        <w:t>439.13  هنگام پوشیدن بیش از یک دکور خارجی (مدال مینیاتوری)، آنها را به ترتیب کسب شده بپوشید.</w:t>
      </w:r>
    </w:p>
    <w:p>
      <w:pPr>
        <w:spacing w:after="28" w:line="216" w:lineRule="auto"/>
        <w:ind w:left="259"/>
        <w:jc w:val="left"/>
      </w:pPr>
      <w:r>
        <w:rPr>
          <w:rFonts w:ascii="Arial" w:hAnsi="Arial"/>
          <w:color w:val="525252"/>
          <w:sz w:val="13"/>
        </w:rPr>
        <w:t>When wearing more than one foreign decoration (miniature medal), wear them in the order earned.</w:t>
      </w:r>
    </w:p>
    <w:p>
      <w:pPr>
        <w:spacing w:after="20" w:line="223" w:lineRule="auto"/>
        <w:jc w:val="right"/>
        <w:bidi/>
      </w:pPr>
      <w:r>
        <w:rPr>
          <w:rFonts w:ascii="Arial" w:hAnsi="Arial"/>
          <w:sz w:val="16"/>
        </w:rPr>
        <w:t>439.14  نشان‌های وظیفه و پین نشان فرمان.</w:t>
      </w:r>
    </w:p>
    <w:p>
      <w:pPr>
        <w:spacing w:after="28" w:line="216" w:lineRule="auto"/>
        <w:ind w:left="259"/>
        <w:jc w:val="left"/>
      </w:pPr>
      <w:r>
        <w:rPr>
          <w:rFonts w:ascii="Arial" w:hAnsi="Arial"/>
          <w:color w:val="525252"/>
          <w:sz w:val="13"/>
        </w:rPr>
        <w:t>Duty Badges and Command Insignia Pin.</w:t>
      </w:r>
    </w:p>
    <w:p>
      <w:pPr>
        <w:spacing w:after="20" w:line="223" w:lineRule="auto"/>
        <w:jc w:val="right"/>
        <w:bidi/>
      </w:pPr>
      <w:r>
        <w:rPr>
          <w:rFonts w:ascii="Arial" w:hAnsi="Arial"/>
          <w:sz w:val="16"/>
        </w:rPr>
        <w:t>439.15  برای پوشیدن و توضیحات به DAFI ۳۶-۲۹۰۳، پاراگراف‌های ۱۲.۲ و ۱۲.۴ مراجعه کنید.</w:t>
      </w:r>
    </w:p>
    <w:p>
      <w:pPr>
        <w:spacing w:after="28" w:line="216" w:lineRule="auto"/>
        <w:ind w:left="259"/>
        <w:jc w:val="left"/>
      </w:pPr>
      <w:r>
        <w:rPr>
          <w:rFonts w:ascii="Arial" w:hAnsi="Arial"/>
          <w:color w:val="525252"/>
          <w:sz w:val="13"/>
        </w:rPr>
        <w:t>For wear and description see DAFI 36-2903, paragraphs 12.2 and 12.4.</w:t>
      </w:r>
    </w:p>
    <w:p>
      <w:pPr>
        <w:spacing w:after="20" w:line="223" w:lineRule="auto"/>
        <w:jc w:val="right"/>
        <w:bidi/>
      </w:pPr>
      <w:r>
        <w:rPr>
          <w:rFonts w:ascii="Arial" w:hAnsi="Arial"/>
          <w:sz w:val="16"/>
        </w:rPr>
        <w:t>439.16  سرآستین (اختیاری برای خانم‌ها و اجباری برای آقایان).</w:t>
      </w:r>
    </w:p>
    <w:p>
      <w:pPr>
        <w:spacing w:after="28" w:line="216" w:lineRule="auto"/>
        <w:ind w:left="259"/>
        <w:jc w:val="left"/>
      </w:pPr>
      <w:r>
        <w:rPr>
          <w:rFonts w:ascii="Arial" w:hAnsi="Arial"/>
          <w:color w:val="525252"/>
          <w:sz w:val="13"/>
        </w:rPr>
        <w:t>Cuff Links (Optional for females and mandatory for males).</w:t>
      </w:r>
    </w:p>
    <w:p>
      <w:pPr>
        <w:spacing w:after="20" w:line="223" w:lineRule="auto"/>
        <w:jc w:val="right"/>
        <w:bidi/>
      </w:pPr>
      <w:r>
        <w:rPr>
          <w:rFonts w:ascii="Arial" w:hAnsi="Arial"/>
          <w:sz w:val="16"/>
        </w:rPr>
        <w:t>439.17  آنها یا نقره‌ای، روکش ساتن یا بسیار صیقلی با طرح "بال و ستاره" خواهند بود. نقره‌ای، بسیار جلا داده شده با نماد AF؛ یا نقره‌ای ساده، بسیار صیقلی، طراحی تجاری با ابعاد و شکلی شبیه به سرآستین "بال و ستاره".</w:t>
      </w:r>
    </w:p>
    <w:p>
      <w:pPr>
        <w:spacing w:after="28" w:line="216" w:lineRule="auto"/>
        <w:ind w:left="259"/>
        <w:jc w:val="left"/>
      </w:pPr>
      <w:r>
        <w:rPr>
          <w:rFonts w:ascii="Arial" w:hAnsi="Arial"/>
          <w:color w:val="525252"/>
          <w:sz w:val="13"/>
        </w:rPr>
        <w:t>They will either be silver, satin finish or highly polished with the "wing and star" design; silver, highly polished with the AF symbol; or plain silver, highly polished, commercial design with dimensions and shape similar to the “wing and star” cuff links.</w:t>
      </w:r>
    </w:p>
    <w:p>
      <w:pPr>
        <w:spacing w:after="20" w:line="223" w:lineRule="auto"/>
        <w:jc w:val="right"/>
        <w:bidi/>
      </w:pPr>
      <w:r>
        <w:rPr>
          <w:rFonts w:ascii="Arial" w:hAnsi="Arial"/>
          <w:sz w:val="16"/>
        </w:rPr>
        <w:t>439.18  هنگام پوشیدن، باید به صورت ست پوشیده شود.</w:t>
      </w:r>
    </w:p>
    <w:p>
      <w:pPr>
        <w:spacing w:after="28" w:line="216" w:lineRule="auto"/>
        <w:ind w:left="259"/>
        <w:jc w:val="left"/>
      </w:pPr>
      <w:r>
        <w:rPr>
          <w:rFonts w:ascii="Arial" w:hAnsi="Arial"/>
          <w:color w:val="525252"/>
          <w:sz w:val="13"/>
        </w:rPr>
        <w:t>When worn, must be worn as a set.</w:t>
      </w:r>
    </w:p>
    <w:p>
      <w:pPr>
        <w:spacing w:after="20" w:line="223" w:lineRule="auto"/>
        <w:jc w:val="right"/>
        <w:bidi/>
      </w:pPr>
      <w:r>
        <w:rPr>
          <w:rFonts w:ascii="Arial" w:hAnsi="Arial"/>
          <w:sz w:val="16"/>
        </w:rPr>
        <w:t>439.19  گل میخ (اختیاری برای خانم‌ها و اجباری برای آقایان).</w:t>
      </w:r>
    </w:p>
    <w:p>
      <w:pPr>
        <w:spacing w:after="28" w:line="216" w:lineRule="auto"/>
        <w:ind w:left="259"/>
        <w:jc w:val="left"/>
      </w:pPr>
      <w:r>
        <w:rPr>
          <w:rFonts w:ascii="Arial" w:hAnsi="Arial"/>
          <w:color w:val="525252"/>
          <w:sz w:val="13"/>
        </w:rPr>
        <w:t>Studs (Optional for females and mandatory for males).</w:t>
      </w:r>
    </w:p>
    <w:p>
      <w:pPr>
        <w:spacing w:after="20" w:line="223" w:lineRule="auto"/>
        <w:jc w:val="right"/>
        <w:bidi/>
      </w:pPr>
      <w:r>
        <w:rPr>
          <w:rFonts w:ascii="Arial" w:hAnsi="Arial"/>
          <w:sz w:val="16"/>
        </w:rPr>
        <w:t>439.20  گل میخ‌ها می‌توانند مروارید محور، حاشیه نقره، بسیار صیقلی یا روکش ساتن یا نقره‌ای ساده، بسیار صیقلی، طراحی تجاری با ابعاد و شکل مشابه گل میخ‌های مرواریدی باشند.</w:t>
      </w:r>
    </w:p>
    <w:p>
      <w:pPr>
        <w:spacing w:after="28" w:line="216" w:lineRule="auto"/>
        <w:ind w:left="259"/>
        <w:jc w:val="left"/>
      </w:pPr>
      <w:r>
        <w:rPr>
          <w:rFonts w:ascii="Arial" w:hAnsi="Arial"/>
          <w:color w:val="525252"/>
          <w:sz w:val="13"/>
        </w:rPr>
        <w:t>Studs can be either pearl centered, silver rimmed, highly polished or satin finished or plain silver, highly polished, commercial design with dimensions and shape similar to the pearl centered studs.</w:t>
      </w:r>
    </w:p>
    <w:p>
      <w:pPr>
        <w:spacing w:after="20" w:line="223" w:lineRule="auto"/>
        <w:jc w:val="right"/>
        <w:bidi/>
      </w:pPr>
      <w:r>
        <w:rPr>
          <w:rFonts w:ascii="Arial" w:hAnsi="Arial"/>
          <w:sz w:val="16"/>
        </w:rPr>
        <w:t>439.21  پایان باید با حلقه‌های سرآستین مطابقت داشته باشد.</w:t>
      </w:r>
    </w:p>
    <w:p>
      <w:pPr>
        <w:spacing w:after="28" w:line="216" w:lineRule="auto"/>
        <w:ind w:left="259"/>
        <w:jc w:val="left"/>
      </w:pPr>
      <w:r>
        <w:rPr>
          <w:rFonts w:ascii="Arial" w:hAnsi="Arial"/>
          <w:color w:val="525252"/>
          <w:sz w:val="13"/>
        </w:rPr>
        <w:t>The finish must match cuff links.</w:t>
      </w:r>
    </w:p>
    <w:p>
      <w:pPr>
        <w:spacing w:after="20" w:line="223" w:lineRule="auto"/>
        <w:jc w:val="right"/>
        <w:bidi/>
      </w:pPr>
      <w:r>
        <w:rPr>
          <w:rFonts w:ascii="Arial" w:hAnsi="Arial"/>
          <w:sz w:val="16"/>
        </w:rPr>
        <w:t>439.22  هنگام پوشیدن، باید به صورت ست پوشیده شود.</w:t>
      </w:r>
    </w:p>
    <w:p>
      <w:pPr>
        <w:spacing w:after="28" w:line="216" w:lineRule="auto"/>
        <w:ind w:left="259"/>
        <w:jc w:val="left"/>
      </w:pPr>
      <w:r>
        <w:rPr>
          <w:rFonts w:ascii="Arial" w:hAnsi="Arial"/>
          <w:color w:val="525252"/>
          <w:sz w:val="13"/>
        </w:rPr>
        <w:t>When worn, must be worn as a set.</w:t>
      </w:r>
    </w:p>
    <w:p>
      <w:pPr>
        <w:spacing w:after="20" w:line="223" w:lineRule="auto"/>
        <w:jc w:val="right"/>
        <w:bidi/>
      </w:pPr>
      <w:r>
        <w:rPr>
          <w:rFonts w:ascii="Arial" w:hAnsi="Arial"/>
          <w:sz w:val="16"/>
        </w:rPr>
        <w:t>439.23  سرپوش.</w:t>
      </w:r>
    </w:p>
    <w:p>
      <w:pPr>
        <w:spacing w:after="28" w:line="216" w:lineRule="auto"/>
        <w:ind w:left="259"/>
        <w:jc w:val="left"/>
      </w:pPr>
      <w:r>
        <w:rPr>
          <w:rFonts w:ascii="Arial" w:hAnsi="Arial"/>
          <w:color w:val="525252"/>
          <w:sz w:val="13"/>
        </w:rPr>
        <w:t>Headgear.</w:t>
      </w:r>
    </w:p>
    <w:p>
      <w:pPr>
        <w:spacing w:after="20" w:line="223" w:lineRule="auto"/>
        <w:jc w:val="right"/>
        <w:bidi/>
      </w:pPr>
      <w:r>
        <w:rPr>
          <w:rFonts w:ascii="Arial" w:hAnsi="Arial"/>
          <w:sz w:val="16"/>
        </w:rPr>
        <w:t>439.24  تنها سرپوش مجاز، کلاه آبی زمستانی است.</w:t>
      </w:r>
    </w:p>
    <w:p>
      <w:pPr>
        <w:spacing w:after="28" w:line="216" w:lineRule="auto"/>
        <w:ind w:left="259"/>
        <w:jc w:val="left"/>
      </w:pPr>
      <w:r>
        <w:rPr>
          <w:rFonts w:ascii="Arial" w:hAnsi="Arial"/>
          <w:color w:val="525252"/>
          <w:sz w:val="13"/>
        </w:rPr>
        <w:t>The only authorized headgear is the blue winter cap.</w:t>
      </w:r>
    </w:p>
    <w:p>
      <w:pPr>
        <w:spacing w:after="20" w:line="223" w:lineRule="auto"/>
        <w:jc w:val="right"/>
        <w:bidi/>
      </w:pPr>
      <w:r>
        <w:rPr>
          <w:rFonts w:ascii="Arial" w:hAnsi="Arial"/>
          <w:sz w:val="16"/>
        </w:rPr>
        <w:t>439.25  کلاه آبی زمستانی فقط با یک لباس بیرونی تمام قد پوشیده می‌شود.</w:t>
      </w:r>
    </w:p>
    <w:p>
      <w:pPr>
        <w:spacing w:after="28" w:line="216" w:lineRule="auto"/>
        <w:ind w:left="259"/>
        <w:jc w:val="left"/>
      </w:pPr>
      <w:r>
        <w:rPr>
          <w:rFonts w:ascii="Arial" w:hAnsi="Arial"/>
          <w:color w:val="525252"/>
          <w:sz w:val="13"/>
        </w:rPr>
        <w:t>The blue winter cap will only be worn with a full-length outer garment.</w:t>
      </w:r>
    </w:p>
    <w:p>
      <w:pPr>
        <w:spacing w:after="20" w:line="223" w:lineRule="auto"/>
        <w:jc w:val="right"/>
        <w:bidi/>
      </w:pPr>
      <w:r>
        <w:rPr>
          <w:rFonts w:ascii="Arial" w:hAnsi="Arial"/>
          <w:sz w:val="16"/>
        </w:rPr>
        <w:t>439.26  برای ساییدگی و توضیحات به DAFI ۳۶-۲۹۰۳، بند ۷.۲.۶ مراجعه کنید.</w:t>
      </w:r>
    </w:p>
    <w:p>
      <w:pPr>
        <w:spacing w:after="28" w:line="216" w:lineRule="auto"/>
        <w:ind w:left="259"/>
        <w:jc w:val="left"/>
      </w:pPr>
      <w:r>
        <w:rPr>
          <w:rFonts w:ascii="Arial" w:hAnsi="Arial"/>
          <w:color w:val="525252"/>
          <w:sz w:val="13"/>
        </w:rPr>
        <w:t>For wear and description see DAFI 36-2903, paragraph 7.2.6.</w:t>
      </w:r>
    </w:p>
    <w:p>
      <w:pPr>
        <w:spacing w:after="20" w:line="223" w:lineRule="auto"/>
        <w:jc w:val="right"/>
        <w:bidi/>
      </w:pPr>
      <w:r>
        <w:rPr>
          <w:rFonts w:ascii="Arial" w:hAnsi="Arial"/>
          <w:sz w:val="16"/>
        </w:rPr>
        <w:t>439.27  لباس بیرونی.</w:t>
      </w:r>
    </w:p>
    <w:p>
      <w:pPr>
        <w:spacing w:after="28" w:line="216" w:lineRule="auto"/>
        <w:ind w:left="259"/>
        <w:jc w:val="left"/>
      </w:pPr>
      <w:r>
        <w:rPr>
          <w:rFonts w:ascii="Arial" w:hAnsi="Arial"/>
          <w:color w:val="525252"/>
          <w:sz w:val="13"/>
        </w:rPr>
        <w:t>Outer Garments.</w:t>
      </w:r>
    </w:p>
    <w:p>
      <w:pPr>
        <w:spacing w:after="20" w:line="223" w:lineRule="auto"/>
        <w:jc w:val="right"/>
        <w:bidi/>
      </w:pPr>
      <w:r>
        <w:rPr>
          <w:rFonts w:ascii="Arial" w:hAnsi="Arial"/>
          <w:sz w:val="16"/>
        </w:rPr>
        <w:t>439.28  برای ساییدگی و توضیحات به DAFI ۳۶-۲۹۰۳، بند ۷.۱.۵ مراجعه کنید.</w:t>
      </w:r>
    </w:p>
    <w:p>
      <w:pPr>
        <w:spacing w:after="28" w:line="216" w:lineRule="auto"/>
        <w:ind w:left="259"/>
        <w:jc w:val="left"/>
      </w:pPr>
      <w:r>
        <w:rPr>
          <w:rFonts w:ascii="Arial" w:hAnsi="Arial"/>
          <w:color w:val="525252"/>
          <w:sz w:val="13"/>
        </w:rPr>
        <w:t>For wear and description see DAFI 36-2903, paragraph 7.1.5.</w:t>
      </w:r>
    </w:p>
    <w:p>
      <w:pPr>
        <w:spacing w:after="20" w:line="223" w:lineRule="auto"/>
        <w:jc w:val="right"/>
        <w:bidi/>
      </w:pPr>
      <w:r>
        <w:rPr>
          <w:rFonts w:ascii="Arial" w:hAnsi="Arial"/>
          <w:sz w:val="16"/>
        </w:rPr>
        <w:t>439.29  لوازم جانبی.</w:t>
      </w:r>
    </w:p>
    <w:p>
      <w:pPr>
        <w:spacing w:after="28" w:line="216" w:lineRule="auto"/>
        <w:ind w:left="259"/>
        <w:jc w:val="left"/>
      </w:pPr>
      <w:r>
        <w:rPr>
          <w:rFonts w:ascii="Arial" w:hAnsi="Arial"/>
          <w:color w:val="525252"/>
          <w:sz w:val="13"/>
        </w:rPr>
        <w:t>Accessories.</w:t>
      </w:r>
    </w:p>
    <w:p>
      <w:pPr>
        <w:spacing w:after="20" w:line="223" w:lineRule="auto"/>
        <w:jc w:val="right"/>
        <w:bidi/>
      </w:pPr>
      <w:r>
        <w:rPr>
          <w:rFonts w:ascii="Arial" w:hAnsi="Arial"/>
          <w:sz w:val="16"/>
        </w:rPr>
        <w:t>439.30  لوازم جانبی پوشاک محافظه کارانه و ساده و بدون طرح و تزئین خواهند بود.</w:t>
      </w:r>
    </w:p>
    <w:p>
      <w:pPr>
        <w:spacing w:after="28" w:line="216" w:lineRule="auto"/>
        <w:ind w:left="259"/>
        <w:jc w:val="left"/>
      </w:pPr>
      <w:r>
        <w:rPr>
          <w:rFonts w:ascii="Arial" w:hAnsi="Arial"/>
          <w:color w:val="525252"/>
          <w:sz w:val="13"/>
        </w:rPr>
        <w:t>Garment accessories will be conservative and plain without design or ornamentation.</w:t>
      </w:r>
    </w:p>
    <w:p>
      <w:pPr>
        <w:spacing w:after="20" w:line="223" w:lineRule="auto"/>
        <w:jc w:val="right"/>
        <w:bidi/>
      </w:pPr>
      <w:r>
        <w:rPr>
          <w:rFonts w:ascii="Arial" w:hAnsi="Arial"/>
          <w:sz w:val="16"/>
        </w:rPr>
        <w:t>439.31  برای ساییدگی و توضیحات به DAFI ۳۶-۲۹۰۳، بند ۷.۳ مراجعه کنید.</w:t>
      </w:r>
    </w:p>
    <w:p>
      <w:pPr>
        <w:spacing w:after="28" w:line="216" w:lineRule="auto"/>
        <w:ind w:left="259"/>
        <w:jc w:val="left"/>
      </w:pPr>
      <w:r>
        <w:rPr>
          <w:rFonts w:ascii="Arial" w:hAnsi="Arial"/>
          <w:color w:val="525252"/>
          <w:sz w:val="13"/>
        </w:rPr>
        <w:t>For wear and description see DAFI 36-2903, paragraph 7.3.</w:t>
      </w:r>
    </w:p>
    <w:p>
      <w:pPr>
        <w:spacing w:after="20" w:line="223" w:lineRule="auto"/>
        <w:jc w:val="right"/>
        <w:bidi/>
      </w:pPr>
      <w:r>
        <w:rPr>
          <w:rFonts w:ascii="Arial" w:hAnsi="Arial"/>
          <w:sz w:val="16"/>
        </w:rPr>
        <w:t>439.32  کفش.</w:t>
      </w:r>
    </w:p>
    <w:p>
      <w:pPr>
        <w:spacing w:after="28" w:line="216" w:lineRule="auto"/>
        <w:ind w:left="259"/>
        <w:jc w:val="left"/>
      </w:pPr>
      <w:r>
        <w:rPr>
          <w:rFonts w:ascii="Arial" w:hAnsi="Arial"/>
          <w:color w:val="525252"/>
          <w:sz w:val="13"/>
        </w:rPr>
        <w:t>Footwear.</w:t>
      </w:r>
    </w:p>
    <w:p>
      <w:pPr>
        <w:spacing w:after="20" w:line="223" w:lineRule="auto"/>
        <w:jc w:val="right"/>
        <w:bidi/>
      </w:pPr>
      <w:r>
        <w:rPr>
          <w:rFonts w:ascii="Arial" w:hAnsi="Arial"/>
          <w:sz w:val="16"/>
        </w:rPr>
        <w:t>439.33  برای ساییدگی و توضیحات به DAFI ۳۶-۲۹۰۳، بند ۷.۴ مراجعه کنید.</w:t>
      </w:r>
    </w:p>
    <w:p>
      <w:pPr>
        <w:spacing w:after="28" w:line="216" w:lineRule="auto"/>
        <w:ind w:left="259"/>
        <w:jc w:val="left"/>
      </w:pPr>
      <w:r>
        <w:rPr>
          <w:rFonts w:ascii="Arial" w:hAnsi="Arial"/>
          <w:color w:val="525252"/>
          <w:sz w:val="13"/>
        </w:rPr>
        <w:t>For wear and description see DAFI 36-2903, paragraph 7.4.</w:t>
      </w:r>
    </w:p>
    <w:p>
      <w:pPr>
        <w:spacing w:after="20" w:line="223" w:lineRule="auto"/>
        <w:jc w:val="right"/>
        <w:bidi/>
      </w:pPr>
      <w:r>
        <w:rPr>
          <w:rFonts w:ascii="Arial" w:hAnsi="Arial"/>
          <w:sz w:val="16"/>
        </w:rPr>
        <w:t>439.34  ۲۳.۸. لباس فرم نیمه رسمی (فقط برای ثبت‌نام). لباس نیمه رسمی مردانه و زنانه یونیفرم</w:t>
      </w:r>
    </w:p>
    <w:p>
      <w:pPr>
        <w:spacing w:after="28" w:line="216" w:lineRule="auto"/>
        <w:ind w:left="259"/>
        <w:jc w:val="left"/>
      </w:pPr>
      <w:r>
        <w:rPr>
          <w:rFonts w:ascii="Arial" w:hAnsi="Arial"/>
          <w:color w:val="525252"/>
          <w:sz w:val="13"/>
        </w:rPr>
        <w:t>23.8. Semi-Formal Dress Uniform (Enlisted Only). The male and female semi-formal dress</w:t>
      </w:r>
    </w:p>
    <w:p>
      <w:pPr>
        <w:spacing w:after="20" w:line="223" w:lineRule="auto"/>
        <w:jc w:val="right"/>
        <w:bidi/>
      </w:pPr>
      <w:r>
        <w:rPr>
          <w:rFonts w:ascii="Arial" w:hAnsi="Arial"/>
          <w:sz w:val="16"/>
        </w:rPr>
        <w:t>439.35  برای عملکردهای اجتماعی با ماهیت نیمه رسمی و/یا رسمی که توسط فرمانده یا مشابه آن تجویز می‌شود پوشیده می‌شود.</w:t>
      </w:r>
    </w:p>
    <w:p>
      <w:pPr>
        <w:spacing w:after="28" w:line="216" w:lineRule="auto"/>
        <w:ind w:left="259"/>
        <w:jc w:val="left"/>
      </w:pPr>
      <w:r>
        <w:rPr>
          <w:rFonts w:ascii="Arial" w:hAnsi="Arial"/>
          <w:color w:val="525252"/>
          <w:sz w:val="13"/>
        </w:rPr>
        <w:t>uniform is worn for social functions of a semi-formal and/or official nature as prescribed by the commander or equivalent.</w:t>
      </w:r>
    </w:p>
    <w:p>
      <w:pPr>
        <w:spacing w:after="20" w:line="223" w:lineRule="auto"/>
        <w:jc w:val="right"/>
        <w:bidi/>
      </w:pPr>
      <w:r>
        <w:rPr>
          <w:rFonts w:ascii="Arial" w:hAnsi="Arial"/>
          <w:sz w:val="16"/>
        </w:rPr>
        <w:t>439.36  مانتو لباس نیمه رسمی سفارشی، مانتو یکنواخت لباس سرویس بدون برچسب نام است.</w:t>
      </w:r>
    </w:p>
    <w:p>
      <w:pPr>
        <w:spacing w:after="28" w:line="216" w:lineRule="auto"/>
        <w:ind w:left="259"/>
        <w:jc w:val="left"/>
      </w:pPr>
      <w:r>
        <w:rPr>
          <w:rFonts w:ascii="Arial" w:hAnsi="Arial"/>
          <w:color w:val="525252"/>
          <w:sz w:val="13"/>
        </w:rPr>
        <w:t>The enlisted semi-formal dress uniform coat is the service dress uniform coat without a name tag.</w:t>
      </w:r>
    </w:p>
    <w:p>
      <w:pPr>
        <w:spacing w:after="20" w:line="223" w:lineRule="auto"/>
        <w:jc w:val="right"/>
        <w:bidi/>
      </w:pPr>
      <w:r>
        <w:rPr>
          <w:rFonts w:ascii="Arial" w:hAnsi="Arial"/>
          <w:sz w:val="16"/>
        </w:rPr>
        <w:t>439.37  نیمه رسمی همان اصطلاحی است که هنگام توصیف معادل غیرنظامی استفاده می‌شود.</w:t>
      </w:r>
    </w:p>
    <w:p>
      <w:pPr>
        <w:spacing w:after="28" w:line="216" w:lineRule="auto"/>
        <w:ind w:left="259"/>
        <w:jc w:val="left"/>
      </w:pPr>
      <w:r>
        <w:rPr>
          <w:rFonts w:ascii="Arial" w:hAnsi="Arial"/>
          <w:color w:val="525252"/>
          <w:sz w:val="13"/>
        </w:rPr>
        <w:t>Semi-formal is the same term used when describing the civilian equivalent.</w:t>
      </w:r>
    </w:p>
    <w:p>
      <w:pPr>
        <w:spacing w:after="20" w:line="223" w:lineRule="auto"/>
        <w:jc w:val="right"/>
        <w:bidi/>
      </w:pPr>
      <w:r>
        <w:rPr>
          <w:rFonts w:ascii="Arial" w:hAnsi="Arial"/>
          <w:sz w:val="16"/>
        </w:rPr>
        <w:t>439.38  هنگام پوشیدن لباس نیمه رسمی، سلام کردن لازم نیست.</w:t>
      </w:r>
    </w:p>
    <w:p>
      <w:pPr>
        <w:spacing w:after="28" w:line="216" w:lineRule="auto"/>
        <w:ind w:left="259"/>
        <w:jc w:val="left"/>
      </w:pPr>
      <w:r>
        <w:rPr>
          <w:rFonts w:ascii="Arial" w:hAnsi="Arial"/>
          <w:color w:val="525252"/>
          <w:sz w:val="13"/>
        </w:rPr>
        <w:t>When in semi-formal dress, saluting is not required.</w:t>
      </w:r>
    </w:p>
    <w:p>
      <w:pPr>
        <w:spacing w:after="20" w:line="223" w:lineRule="auto"/>
        <w:jc w:val="right"/>
        <w:bidi/>
      </w:pPr>
      <w:r>
        <w:rPr>
          <w:rFonts w:ascii="Arial" w:hAnsi="Arial"/>
          <w:sz w:val="16"/>
        </w:rPr>
        <w:t>439.39  شکل ۲۳.۱۷ را ببینید.</w:t>
      </w:r>
    </w:p>
    <w:p>
      <w:pPr>
        <w:spacing w:after="28" w:line="216" w:lineRule="auto"/>
        <w:ind w:left="259"/>
        <w:jc w:val="left"/>
      </w:pPr>
      <w:r>
        <w:rPr>
          <w:rFonts w:ascii="Arial" w:hAnsi="Arial"/>
          <w:color w:val="525252"/>
          <w:sz w:val="13"/>
        </w:rPr>
        <w:t>See Figure 23.17.</w:t>
      </w:r>
    </w:p>
    <w:p>
      <w:pPr>
        <w:spacing w:after="20" w:line="223" w:lineRule="auto"/>
        <w:jc w:val="right"/>
        <w:bidi/>
      </w:pPr>
      <w:r>
        <w:rPr>
          <w:rFonts w:ascii="Arial" w:hAnsi="Arial"/>
          <w:sz w:val="16"/>
        </w:rPr>
        <w:t>439.40  لباس فرم نیمه رسمی مردانه.</w:t>
      </w:r>
    </w:p>
    <w:p>
      <w:pPr>
        <w:spacing w:after="28" w:line="216" w:lineRule="auto"/>
        <w:ind w:left="259"/>
        <w:jc w:val="left"/>
      </w:pPr>
      <w:r>
        <w:rPr>
          <w:rFonts w:ascii="Arial" w:hAnsi="Arial"/>
          <w:color w:val="525252"/>
          <w:sz w:val="13"/>
        </w:rPr>
        <w:t>Male Semi-Formal Dress Uniform.</w:t>
      </w:r>
    </w:p>
    <w:p>
      <w:pPr>
        <w:spacing w:after="20" w:line="223" w:lineRule="auto"/>
        <w:jc w:val="right"/>
        <w:bidi/>
      </w:pPr>
      <w:r>
        <w:rPr>
          <w:rFonts w:ascii="Arial" w:hAnsi="Arial"/>
          <w:sz w:val="16"/>
        </w:rPr>
        <w:t>439.41  پیراهن آستین بلند سفید.</w:t>
      </w:r>
    </w:p>
    <w:p>
      <w:pPr>
        <w:spacing w:after="28" w:line="216" w:lineRule="auto"/>
        <w:ind w:left="259"/>
        <w:jc w:val="left"/>
      </w:pPr>
      <w:r>
        <w:rPr>
          <w:rFonts w:ascii="Arial" w:hAnsi="Arial"/>
          <w:color w:val="525252"/>
          <w:sz w:val="13"/>
        </w:rPr>
        <w:t>White Long-Sleeve Shirt.</w:t>
      </w:r>
    </w:p>
    <w:p>
      <w:pPr>
        <w:spacing w:after="20" w:line="223" w:lineRule="auto"/>
        <w:jc w:val="right"/>
        <w:bidi/>
      </w:pPr>
      <w:r>
        <w:rPr>
          <w:rFonts w:ascii="Arial" w:hAnsi="Arial"/>
          <w:sz w:val="16"/>
        </w:rPr>
        <w:t>439.42  پیراهن آستین بلند سفید ساده، بافتنی یا بافته، تجاری با یقه کوتاه یا متوسط، دکمه دار یا سرآستین فرانسوی خواهد بود.</w:t>
      </w:r>
    </w:p>
    <w:p>
      <w:pPr>
        <w:spacing w:after="28" w:line="216" w:lineRule="auto"/>
        <w:ind w:left="259"/>
        <w:jc w:val="left"/>
      </w:pPr>
      <w:r>
        <w:rPr>
          <w:rFonts w:ascii="Arial" w:hAnsi="Arial"/>
          <w:color w:val="525252"/>
          <w:sz w:val="13"/>
        </w:rPr>
        <w:t>The white long-sleeve shirt will be plain, knit, or woven, commercial type with a short or medium point collar, with button or French cuffs.</w:t>
      </w:r>
    </w:p>
    <w:p>
      <w:pPr>
        <w:spacing w:after="20" w:line="223" w:lineRule="auto"/>
        <w:jc w:val="right"/>
        <w:bidi/>
      </w:pPr>
      <w:r>
        <w:rPr>
          <w:rFonts w:ascii="Arial" w:hAnsi="Arial"/>
          <w:sz w:val="16"/>
        </w:rPr>
        <w:t>439.43  چین‌های نظامی مجاز نیستند.</w:t>
      </w:r>
    </w:p>
    <w:p>
      <w:pPr>
        <w:spacing w:after="28" w:line="216" w:lineRule="auto"/>
        <w:ind w:left="259"/>
        <w:jc w:val="left"/>
      </w:pPr>
      <w:r>
        <w:rPr>
          <w:rFonts w:ascii="Arial" w:hAnsi="Arial"/>
          <w:color w:val="525252"/>
          <w:sz w:val="13"/>
        </w:rPr>
        <w:t>Military creases are not authorized.</w:t>
      </w:r>
    </w:p>
    <w:p>
      <w:pPr>
        <w:spacing w:after="20" w:line="223" w:lineRule="auto"/>
        <w:jc w:val="right"/>
        <w:bidi/>
      </w:pPr>
      <w:r>
        <w:rPr>
          <w:rFonts w:ascii="Arial" w:hAnsi="Arial"/>
          <w:sz w:val="16"/>
        </w:rPr>
        <w:t>439.44  زیر پیراهن با یقه و سفید یا سبک ورزشی زیر پیراهن پوشیده خواهد شد.</w:t>
      </w:r>
    </w:p>
    <w:p>
      <w:pPr>
        <w:spacing w:after="28" w:line="216" w:lineRule="auto"/>
        <w:ind w:left="259"/>
        <w:jc w:val="left"/>
      </w:pPr>
      <w:r>
        <w:rPr>
          <w:rFonts w:ascii="Arial" w:hAnsi="Arial"/>
          <w:color w:val="525252"/>
          <w:sz w:val="13"/>
        </w:rPr>
        <w:t>A white V-neck or athletic style tank top undershirt will be worn under the shirt.</w:t>
      </w:r>
    </w:p>
    <w:p>
      <w:pPr>
        <w:spacing w:after="20" w:line="223" w:lineRule="auto"/>
        <w:jc w:val="right"/>
        <w:bidi/>
      </w:pPr>
      <w:r>
        <w:rPr>
          <w:rFonts w:ascii="Arial" w:hAnsi="Arial"/>
          <w:sz w:val="16"/>
        </w:rPr>
        <w:t>439.45  هر دو پیراهن داخل شلوار قرار می‌گیرند.</w:t>
      </w:r>
    </w:p>
    <w:p>
      <w:pPr>
        <w:spacing w:after="28" w:line="216" w:lineRule="auto"/>
        <w:ind w:left="259"/>
        <w:jc w:val="left"/>
      </w:pPr>
      <w:r>
        <w:rPr>
          <w:rFonts w:ascii="Arial" w:hAnsi="Arial"/>
          <w:color w:val="525252"/>
          <w:sz w:val="13"/>
        </w:rPr>
        <w:t>Both shirts will be tucked into the trousers.</w:t>
      </w:r>
    </w:p>
    <w:p>
      <w:pPr>
        <w:spacing w:after="20" w:line="223" w:lineRule="auto"/>
        <w:jc w:val="right"/>
        <w:bidi/>
      </w:pPr>
      <w:r>
        <w:rPr>
          <w:rFonts w:ascii="Arial" w:hAnsi="Arial"/>
          <w:sz w:val="16"/>
        </w:rPr>
        <w:t>439.46  کراوات مطابق با DAFI ۳۶-۲۹۰۳، بند ۴.۶.۱.۲ پوشیدن اجباری است.</w:t>
      </w:r>
    </w:p>
    <w:p>
      <w:pPr>
        <w:spacing w:after="28" w:line="216" w:lineRule="auto"/>
        <w:ind w:left="259"/>
        <w:jc w:val="left"/>
      </w:pPr>
      <w:r>
        <w:rPr>
          <w:rFonts w:ascii="Arial" w:hAnsi="Arial"/>
          <w:color w:val="525252"/>
          <w:sz w:val="13"/>
        </w:rPr>
        <w:t>Ties are mandatory wear in accordance with DAFI 36-2903, paragraph 4.6.1.2.</w:t>
      </w:r>
    </w:p>
    <w:p>
      <w:r>
        <w:br w:type="page"/>
      </w:r>
    </w:p>
    <w:p>
      <w:pPr>
        <w:spacing w:after="60"/>
        <w:jc w:val="right"/>
        <w:bidi/>
      </w:pPr>
      <w:r>
        <w:rPr>
          <w:rFonts w:ascii="Arial" w:hAnsi="Arial"/>
          <w:b/>
          <w:color w:val="1F4D78"/>
          <w:sz w:val="19"/>
        </w:rPr>
        <w:t>هفتهٔ 440  |  صفحهٔ منبع: 456</w:t>
      </w:r>
    </w:p>
    <w:p>
      <w:pPr>
        <w:spacing w:after="20" w:line="223" w:lineRule="auto"/>
        <w:jc w:val="right"/>
        <w:bidi/>
      </w:pPr>
      <w:r>
        <w:rPr>
          <w:rFonts w:ascii="Arial" w:hAnsi="Arial"/>
          <w:sz w:val="16"/>
        </w:rPr>
        <w:t>440.01  شلوار.</w:t>
      </w:r>
    </w:p>
    <w:p>
      <w:pPr>
        <w:spacing w:after="28" w:line="216" w:lineRule="auto"/>
        <w:ind w:left="259"/>
        <w:jc w:val="left"/>
      </w:pPr>
      <w:r>
        <w:rPr>
          <w:rFonts w:ascii="Arial" w:hAnsi="Arial"/>
          <w:color w:val="525252"/>
          <w:sz w:val="13"/>
        </w:rPr>
        <w:t>Trousers.</w:t>
      </w:r>
    </w:p>
    <w:p>
      <w:pPr>
        <w:spacing w:after="20" w:line="223" w:lineRule="auto"/>
        <w:jc w:val="right"/>
        <w:bidi/>
      </w:pPr>
      <w:r>
        <w:rPr>
          <w:rFonts w:ascii="Arial" w:hAnsi="Arial"/>
          <w:sz w:val="16"/>
        </w:rPr>
        <w:t>440.02  شلوار یکنواخت لباس نیمه رسمی سفارشی مانند شلوار یکنواخت لباس سرویس است.</w:t>
      </w:r>
    </w:p>
    <w:p>
      <w:pPr>
        <w:spacing w:after="28" w:line="216" w:lineRule="auto"/>
        <w:ind w:left="259"/>
        <w:jc w:val="left"/>
      </w:pPr>
      <w:r>
        <w:rPr>
          <w:rFonts w:ascii="Arial" w:hAnsi="Arial"/>
          <w:color w:val="525252"/>
          <w:sz w:val="13"/>
        </w:rPr>
        <w:t>The enlisted semi-formal dress uniform trousers are the same as the service dress uniform trousers.</w:t>
      </w:r>
    </w:p>
    <w:p>
      <w:pPr>
        <w:spacing w:after="20" w:line="223" w:lineRule="auto"/>
        <w:jc w:val="right"/>
        <w:bidi/>
      </w:pPr>
      <w:r>
        <w:rPr>
          <w:rFonts w:ascii="Arial" w:hAnsi="Arial"/>
          <w:sz w:val="16"/>
        </w:rPr>
        <w:t>440.03  لباس فرم نیمه رسمی زنانه.</w:t>
      </w:r>
    </w:p>
    <w:p>
      <w:pPr>
        <w:spacing w:after="28" w:line="216" w:lineRule="auto"/>
        <w:ind w:left="259"/>
        <w:jc w:val="left"/>
      </w:pPr>
      <w:r>
        <w:rPr>
          <w:rFonts w:ascii="Arial" w:hAnsi="Arial"/>
          <w:color w:val="525252"/>
          <w:sz w:val="13"/>
        </w:rPr>
        <w:t>Female Semi-Formal Dress Uniform.</w:t>
      </w:r>
    </w:p>
    <w:p>
      <w:pPr>
        <w:spacing w:after="20" w:line="223" w:lineRule="auto"/>
        <w:jc w:val="right"/>
        <w:bidi/>
      </w:pPr>
      <w:r>
        <w:rPr>
          <w:rFonts w:ascii="Arial" w:hAnsi="Arial"/>
          <w:sz w:val="16"/>
        </w:rPr>
        <w:t>440.04  بلوز.</w:t>
      </w:r>
    </w:p>
    <w:p>
      <w:pPr>
        <w:spacing w:after="28" w:line="216" w:lineRule="auto"/>
        <w:ind w:left="259"/>
        <w:jc w:val="left"/>
      </w:pPr>
      <w:r>
        <w:rPr>
          <w:rFonts w:ascii="Arial" w:hAnsi="Arial"/>
          <w:color w:val="525252"/>
          <w:sz w:val="13"/>
        </w:rPr>
        <w:t>Blouse.</w:t>
      </w:r>
    </w:p>
    <w:p>
      <w:pPr>
        <w:spacing w:after="20" w:line="223" w:lineRule="auto"/>
        <w:jc w:val="right"/>
        <w:bidi/>
      </w:pPr>
      <w:r>
        <w:rPr>
          <w:rFonts w:ascii="Arial" w:hAnsi="Arial"/>
          <w:sz w:val="16"/>
        </w:rPr>
        <w:t>440.05  بلوز سفید نیمه فیتینگ پلی استر یا نخی، خط پرنسس، جلو دکمه، با یقه نوک تیز خواهد بود.</w:t>
      </w:r>
    </w:p>
    <w:p>
      <w:pPr>
        <w:spacing w:after="28" w:line="216" w:lineRule="auto"/>
        <w:ind w:left="259"/>
        <w:jc w:val="left"/>
      </w:pPr>
      <w:r>
        <w:rPr>
          <w:rFonts w:ascii="Arial" w:hAnsi="Arial"/>
          <w:color w:val="525252"/>
          <w:sz w:val="13"/>
        </w:rPr>
        <w:t>The semi-form fitting white blouse will be polyester or cotton, princess line, button front, with small-pointed collar.</w:t>
      </w:r>
    </w:p>
    <w:p>
      <w:pPr>
        <w:spacing w:after="20" w:line="223" w:lineRule="auto"/>
        <w:jc w:val="right"/>
        <w:bidi/>
      </w:pPr>
      <w:r>
        <w:rPr>
          <w:rFonts w:ascii="Arial" w:hAnsi="Arial"/>
          <w:sz w:val="16"/>
        </w:rPr>
        <w:t>440.06  چین‌های نظامی مجاز نیستند.</w:t>
      </w:r>
    </w:p>
    <w:p>
      <w:pPr>
        <w:spacing w:after="28" w:line="216" w:lineRule="auto"/>
        <w:ind w:left="259"/>
        <w:jc w:val="left"/>
      </w:pPr>
      <w:r>
        <w:rPr>
          <w:rFonts w:ascii="Arial" w:hAnsi="Arial"/>
          <w:color w:val="525252"/>
          <w:sz w:val="13"/>
        </w:rPr>
        <w:t>Military creases are not authorized.</w:t>
      </w:r>
    </w:p>
    <w:p>
      <w:pPr>
        <w:spacing w:after="20" w:line="223" w:lineRule="auto"/>
        <w:jc w:val="right"/>
        <w:bidi/>
      </w:pPr>
      <w:r>
        <w:rPr>
          <w:rFonts w:ascii="Arial" w:hAnsi="Arial"/>
          <w:sz w:val="16"/>
        </w:rPr>
        <w:t>440.07  زیر پیراهن سفید یقه و یا تاپ تاپ ممکن است زیر پیراهن پوشیده شود.</w:t>
      </w:r>
    </w:p>
    <w:p>
      <w:pPr>
        <w:spacing w:after="28" w:line="216" w:lineRule="auto"/>
        <w:ind w:left="259"/>
        <w:jc w:val="left"/>
      </w:pPr>
      <w:r>
        <w:rPr>
          <w:rFonts w:ascii="Arial" w:hAnsi="Arial"/>
          <w:color w:val="525252"/>
          <w:sz w:val="13"/>
        </w:rPr>
        <w:t>A white V-neck or, tank top undershirt may be worn under the shirt.</w:t>
      </w:r>
    </w:p>
    <w:p>
      <w:pPr>
        <w:spacing w:after="20" w:line="223" w:lineRule="auto"/>
        <w:jc w:val="right"/>
        <w:bidi/>
      </w:pPr>
      <w:r>
        <w:rPr>
          <w:rFonts w:ascii="Arial" w:hAnsi="Arial"/>
          <w:sz w:val="16"/>
        </w:rPr>
        <w:t>440.08  اگر یکی از مدل‌های زیر پیراهن پوشیده شود، زیرپیراهن در دامن فرو می‌رود.</w:t>
      </w:r>
    </w:p>
    <w:p>
      <w:pPr>
        <w:spacing w:after="28" w:line="216" w:lineRule="auto"/>
        <w:ind w:left="259"/>
        <w:jc w:val="left"/>
      </w:pPr>
      <w:r>
        <w:rPr>
          <w:rFonts w:ascii="Arial" w:hAnsi="Arial"/>
          <w:color w:val="525252"/>
          <w:sz w:val="13"/>
        </w:rPr>
        <w:t>If either style of undershirt is worn, the undershirt will be tucked into the skirt.</w:t>
      </w:r>
    </w:p>
    <w:p>
      <w:pPr>
        <w:spacing w:after="20" w:line="223" w:lineRule="auto"/>
        <w:jc w:val="right"/>
        <w:bidi/>
      </w:pPr>
      <w:r>
        <w:rPr>
          <w:rFonts w:ascii="Arial" w:hAnsi="Arial"/>
          <w:sz w:val="16"/>
        </w:rPr>
        <w:t>440.09  زبانه کراوات.</w:t>
      </w:r>
    </w:p>
    <w:p>
      <w:pPr>
        <w:spacing w:after="28" w:line="216" w:lineRule="auto"/>
        <w:ind w:left="259"/>
        <w:jc w:val="left"/>
      </w:pPr>
      <w:r>
        <w:rPr>
          <w:rFonts w:ascii="Arial" w:hAnsi="Arial"/>
          <w:color w:val="525252"/>
          <w:sz w:val="13"/>
        </w:rPr>
        <w:t>Tie Tab.</w:t>
      </w:r>
    </w:p>
    <w:p>
      <w:pPr>
        <w:spacing w:after="20" w:line="223" w:lineRule="auto"/>
        <w:jc w:val="right"/>
        <w:bidi/>
      </w:pPr>
      <w:r>
        <w:rPr>
          <w:rFonts w:ascii="Arial" w:hAnsi="Arial"/>
          <w:sz w:val="16"/>
        </w:rPr>
        <w:t>440.10  زبانه کراوات وارونه ساتن آبی با دم‌های خودبسته الزامی است.</w:t>
      </w:r>
    </w:p>
    <w:p>
      <w:pPr>
        <w:spacing w:after="28" w:line="216" w:lineRule="auto"/>
        <w:ind w:left="259"/>
        <w:jc w:val="left"/>
      </w:pPr>
      <w:r>
        <w:rPr>
          <w:rFonts w:ascii="Arial" w:hAnsi="Arial"/>
          <w:color w:val="525252"/>
          <w:sz w:val="13"/>
        </w:rPr>
        <w:t>The blue satin inverted-V tie tab with self-fastening tails is mandatory.</w:t>
      </w:r>
    </w:p>
    <w:p>
      <w:pPr>
        <w:spacing w:after="20" w:line="223" w:lineRule="auto"/>
        <w:jc w:val="right"/>
        <w:bidi/>
      </w:pPr>
      <w:r>
        <w:rPr>
          <w:rFonts w:ascii="Arial" w:hAnsi="Arial"/>
          <w:sz w:val="16"/>
        </w:rPr>
        <w:t>440.11  دامن یا شلوار .</w:t>
      </w:r>
    </w:p>
    <w:p>
      <w:pPr>
        <w:spacing w:after="28" w:line="216" w:lineRule="auto"/>
        <w:ind w:left="259"/>
        <w:jc w:val="left"/>
      </w:pPr>
      <w:r>
        <w:rPr>
          <w:rFonts w:ascii="Arial" w:hAnsi="Arial"/>
          <w:color w:val="525252"/>
          <w:sz w:val="13"/>
        </w:rPr>
        <w:t>Skirt or Slacks.</w:t>
      </w:r>
    </w:p>
    <w:p>
      <w:pPr>
        <w:spacing w:after="20" w:line="223" w:lineRule="auto"/>
        <w:jc w:val="right"/>
        <w:bidi/>
      </w:pPr>
      <w:r>
        <w:rPr>
          <w:rFonts w:ascii="Arial" w:hAnsi="Arial"/>
          <w:sz w:val="16"/>
        </w:rPr>
        <w:t>440.12  دامن یا شلوار یکنواخت لباس نیمه رسمی با دامن یا شلوار یکنواخت لباس سرویس یکسان است.</w:t>
      </w:r>
    </w:p>
    <w:p>
      <w:pPr>
        <w:spacing w:after="28" w:line="216" w:lineRule="auto"/>
        <w:ind w:left="259"/>
        <w:jc w:val="left"/>
      </w:pPr>
      <w:r>
        <w:rPr>
          <w:rFonts w:ascii="Arial" w:hAnsi="Arial"/>
          <w:color w:val="525252"/>
          <w:sz w:val="13"/>
        </w:rPr>
        <w:t>The enlisted semi-formal dress uniform skirt or slacks are the same as the service dress uniform skirt or slacks.</w:t>
      </w:r>
    </w:p>
    <w:p>
      <w:pPr>
        <w:spacing w:after="20" w:line="223" w:lineRule="auto"/>
        <w:jc w:val="right"/>
        <w:bidi/>
      </w:pPr>
      <w:r>
        <w:rPr>
          <w:rFonts w:ascii="Arial" w:hAnsi="Arial"/>
          <w:sz w:val="16"/>
        </w:rPr>
        <w:t>440.13  لباسهای یکنواخت لباس نیمه رسمی (مرد و زن).</w:t>
      </w:r>
    </w:p>
    <w:p>
      <w:pPr>
        <w:spacing w:after="28" w:line="216" w:lineRule="auto"/>
        <w:ind w:left="259"/>
        <w:jc w:val="left"/>
      </w:pPr>
      <w:r>
        <w:rPr>
          <w:rFonts w:ascii="Arial" w:hAnsi="Arial"/>
          <w:color w:val="525252"/>
          <w:sz w:val="13"/>
        </w:rPr>
        <w:t>Semi-Formal Dress Uniform Accoutrements (Male and Female).</w:t>
      </w:r>
    </w:p>
    <w:p>
      <w:pPr>
        <w:spacing w:after="20" w:line="223" w:lineRule="auto"/>
        <w:jc w:val="right"/>
        <w:bidi/>
      </w:pPr>
      <w:r>
        <w:rPr>
          <w:rFonts w:ascii="Arial" w:hAnsi="Arial"/>
          <w:sz w:val="16"/>
        </w:rPr>
        <w:t>440.14  روبان.</w:t>
      </w:r>
    </w:p>
    <w:p>
      <w:pPr>
        <w:spacing w:after="28" w:line="216" w:lineRule="auto"/>
        <w:ind w:left="259"/>
        <w:jc w:val="left"/>
      </w:pPr>
      <w:r>
        <w:rPr>
          <w:rFonts w:ascii="Arial" w:hAnsi="Arial"/>
          <w:color w:val="525252"/>
          <w:sz w:val="13"/>
        </w:rPr>
        <w:t>Ribbons.</w:t>
      </w:r>
    </w:p>
    <w:p>
      <w:pPr>
        <w:spacing w:after="20" w:line="223" w:lineRule="auto"/>
        <w:jc w:val="right"/>
        <w:bidi/>
      </w:pPr>
      <w:r>
        <w:rPr>
          <w:rFonts w:ascii="Arial" w:hAnsi="Arial"/>
          <w:sz w:val="16"/>
        </w:rPr>
        <w:t>440.15  برای شرح سایش به DAFI ۳۶-۲۹۰۳، بند ۴.۵.۲ مراجعه کنید.</w:t>
      </w:r>
    </w:p>
    <w:p>
      <w:pPr>
        <w:spacing w:after="28" w:line="216" w:lineRule="auto"/>
        <w:ind w:left="259"/>
        <w:jc w:val="left"/>
      </w:pPr>
      <w:r>
        <w:rPr>
          <w:rFonts w:ascii="Arial" w:hAnsi="Arial"/>
          <w:color w:val="525252"/>
          <w:sz w:val="13"/>
        </w:rPr>
        <w:t>For wear description see DAFI 36-2903, paragraph 4.5.2.</w:t>
      </w:r>
    </w:p>
    <w:p>
      <w:pPr>
        <w:spacing w:after="20" w:line="223" w:lineRule="auto"/>
        <w:jc w:val="right"/>
        <w:bidi/>
      </w:pPr>
      <w:r>
        <w:rPr>
          <w:rFonts w:ascii="Arial" w:hAnsi="Arial"/>
          <w:sz w:val="16"/>
        </w:rPr>
        <w:t>440.16  نشان‌های وظیفه.</w:t>
      </w:r>
    </w:p>
    <w:p>
      <w:pPr>
        <w:spacing w:after="28" w:line="216" w:lineRule="auto"/>
        <w:ind w:left="259"/>
        <w:jc w:val="left"/>
      </w:pPr>
      <w:r>
        <w:rPr>
          <w:rFonts w:ascii="Arial" w:hAnsi="Arial"/>
          <w:color w:val="525252"/>
          <w:sz w:val="13"/>
        </w:rPr>
        <w:t>Duty Badges.</w:t>
      </w:r>
    </w:p>
    <w:p>
      <w:pPr>
        <w:spacing w:after="20" w:line="223" w:lineRule="auto"/>
        <w:jc w:val="right"/>
        <w:bidi/>
      </w:pPr>
      <w:r>
        <w:rPr>
          <w:rFonts w:ascii="Arial" w:hAnsi="Arial"/>
          <w:sz w:val="16"/>
        </w:rPr>
        <w:t>440.17  برای ساییدگی و توضیحات به DAFI ۳۶-۲۹۰۳، پاراگراف‌های ۱۲.۳.۴ تا ۱۲.۳.۶ و ۱۲.۴ مراجعه کنید.</w:t>
      </w:r>
    </w:p>
    <w:p>
      <w:pPr>
        <w:spacing w:after="28" w:line="216" w:lineRule="auto"/>
        <w:ind w:left="259"/>
        <w:jc w:val="left"/>
      </w:pPr>
      <w:r>
        <w:rPr>
          <w:rFonts w:ascii="Arial" w:hAnsi="Arial"/>
          <w:color w:val="525252"/>
          <w:sz w:val="13"/>
        </w:rPr>
        <w:t>For wear and description see DAFI 36-2903, paragraphs 12.3.4 through 12.3.6, and 12.4.</w:t>
      </w:r>
    </w:p>
    <w:p>
      <w:pPr>
        <w:spacing w:after="20" w:line="223" w:lineRule="auto"/>
        <w:jc w:val="right"/>
        <w:bidi/>
      </w:pPr>
      <w:r>
        <w:rPr>
          <w:rFonts w:ascii="Arial" w:hAnsi="Arial"/>
          <w:sz w:val="16"/>
        </w:rPr>
        <w:t>440.18  سرآستین.</w:t>
      </w:r>
    </w:p>
    <w:p>
      <w:pPr>
        <w:spacing w:after="28" w:line="216" w:lineRule="auto"/>
        <w:ind w:left="259"/>
        <w:jc w:val="left"/>
      </w:pPr>
      <w:r>
        <w:rPr>
          <w:rFonts w:ascii="Arial" w:hAnsi="Arial"/>
          <w:color w:val="525252"/>
          <w:sz w:val="13"/>
        </w:rPr>
        <w:t>Cuff Links.</w:t>
      </w:r>
    </w:p>
    <w:p>
      <w:pPr>
        <w:spacing w:after="20" w:line="223" w:lineRule="auto"/>
        <w:jc w:val="right"/>
        <w:bidi/>
      </w:pPr>
      <w:r>
        <w:rPr>
          <w:rFonts w:ascii="Arial" w:hAnsi="Arial"/>
          <w:sz w:val="16"/>
        </w:rPr>
        <w:t>440.19  دکمه سرآستین با یونیفرم لباس نیمه رسمی اختیاری است.</w:t>
      </w:r>
    </w:p>
    <w:p>
      <w:pPr>
        <w:spacing w:after="28" w:line="216" w:lineRule="auto"/>
        <w:ind w:left="259"/>
        <w:jc w:val="left"/>
      </w:pPr>
      <w:r>
        <w:rPr>
          <w:rFonts w:ascii="Arial" w:hAnsi="Arial"/>
          <w:color w:val="525252"/>
          <w:sz w:val="13"/>
        </w:rPr>
        <w:t>Cuff links are optional with the semi-formal dress uniform.</w:t>
      </w:r>
    </w:p>
    <w:p>
      <w:pPr>
        <w:spacing w:after="20" w:line="223" w:lineRule="auto"/>
        <w:jc w:val="right"/>
        <w:bidi/>
      </w:pPr>
      <w:r>
        <w:rPr>
          <w:rFonts w:ascii="Arial" w:hAnsi="Arial"/>
          <w:sz w:val="16"/>
        </w:rPr>
        <w:t>440.20  آنها یا نقره‌ای، روکش ساتن یا بسیار صیقلی با طرح "بال و ستاره" خواهند بود. نقره‌ای، بسیار جلا داده شده با نماد AF؛ یا نقره‌ای ساده، بسیار صیقلی، طراحی تجاری با ابعاد و شکلی شبیه به سرآستین "بال و ستاره".</w:t>
      </w:r>
    </w:p>
    <w:p>
      <w:pPr>
        <w:spacing w:after="28" w:line="216" w:lineRule="auto"/>
        <w:ind w:left="259"/>
        <w:jc w:val="left"/>
      </w:pPr>
      <w:r>
        <w:rPr>
          <w:rFonts w:ascii="Arial" w:hAnsi="Arial"/>
          <w:color w:val="525252"/>
          <w:sz w:val="13"/>
        </w:rPr>
        <w:t>They will either be silver, satin finish or highly polished with the "wing and star" design; silver, highly polished with the AF symbol; or plain silver, highly polished, commercial design with dimensions and shape similar to the “wing and star” cuff links.</w:t>
      </w:r>
    </w:p>
    <w:p>
      <w:pPr>
        <w:spacing w:after="20" w:line="223" w:lineRule="auto"/>
        <w:jc w:val="right"/>
        <w:bidi/>
      </w:pPr>
      <w:r>
        <w:rPr>
          <w:rFonts w:ascii="Arial" w:hAnsi="Arial"/>
          <w:sz w:val="16"/>
        </w:rPr>
        <w:t>440.21  هنگام پوشیدن، باید به صورت ست پوشیده شود.</w:t>
      </w:r>
    </w:p>
    <w:p>
      <w:pPr>
        <w:spacing w:after="28" w:line="216" w:lineRule="auto"/>
        <w:ind w:left="259"/>
        <w:jc w:val="left"/>
      </w:pPr>
      <w:r>
        <w:rPr>
          <w:rFonts w:ascii="Arial" w:hAnsi="Arial"/>
          <w:color w:val="525252"/>
          <w:sz w:val="13"/>
        </w:rPr>
        <w:t>When worn, must be worn as a set.</w:t>
      </w:r>
    </w:p>
    <w:p>
      <w:pPr>
        <w:spacing w:after="20" w:line="223" w:lineRule="auto"/>
        <w:jc w:val="right"/>
        <w:bidi/>
      </w:pPr>
      <w:r>
        <w:rPr>
          <w:rFonts w:ascii="Arial" w:hAnsi="Arial"/>
          <w:sz w:val="16"/>
        </w:rPr>
        <w:t>440.22  کمربند و سگک.</w:t>
      </w:r>
    </w:p>
    <w:p>
      <w:pPr>
        <w:spacing w:after="28" w:line="216" w:lineRule="auto"/>
        <w:ind w:left="259"/>
        <w:jc w:val="left"/>
      </w:pPr>
      <w:r>
        <w:rPr>
          <w:rFonts w:ascii="Arial" w:hAnsi="Arial"/>
          <w:color w:val="525252"/>
          <w:sz w:val="13"/>
        </w:rPr>
        <w:t>Belt and Buckle.</w:t>
      </w:r>
    </w:p>
    <w:p>
      <w:pPr>
        <w:spacing w:after="20" w:line="223" w:lineRule="auto"/>
        <w:jc w:val="right"/>
        <w:bidi/>
      </w:pPr>
      <w:r>
        <w:rPr>
          <w:rFonts w:ascii="Arial" w:hAnsi="Arial"/>
          <w:sz w:val="16"/>
        </w:rPr>
        <w:t>440.23  کمربند و سگک لباس نیمه رسمی یکسان با کمربند و سگک لباس سرویس است.</w:t>
      </w:r>
    </w:p>
    <w:p>
      <w:pPr>
        <w:spacing w:after="28" w:line="216" w:lineRule="auto"/>
        <w:ind w:left="259"/>
        <w:jc w:val="left"/>
      </w:pPr>
      <w:r>
        <w:rPr>
          <w:rFonts w:ascii="Arial" w:hAnsi="Arial"/>
          <w:color w:val="525252"/>
          <w:sz w:val="13"/>
        </w:rPr>
        <w:t>The enlisted semi-formal dress uniform belt and buckle are the same as the service dress belt and buckle.</w:t>
      </w:r>
    </w:p>
    <w:p>
      <w:pPr>
        <w:spacing w:after="20" w:line="223" w:lineRule="auto"/>
        <w:jc w:val="right"/>
        <w:bidi/>
      </w:pPr>
      <w:r>
        <w:rPr>
          <w:rFonts w:ascii="Arial" w:hAnsi="Arial"/>
          <w:sz w:val="16"/>
        </w:rPr>
        <w:t>440.24  سرپوش.</w:t>
      </w:r>
    </w:p>
    <w:p>
      <w:pPr>
        <w:spacing w:after="28" w:line="216" w:lineRule="auto"/>
        <w:ind w:left="259"/>
        <w:jc w:val="left"/>
      </w:pPr>
      <w:r>
        <w:rPr>
          <w:rFonts w:ascii="Arial" w:hAnsi="Arial"/>
          <w:color w:val="525252"/>
          <w:sz w:val="13"/>
        </w:rPr>
        <w:t>Headgear.</w:t>
      </w:r>
    </w:p>
    <w:p>
      <w:pPr>
        <w:spacing w:after="20" w:line="223" w:lineRule="auto"/>
        <w:jc w:val="right"/>
        <w:bidi/>
      </w:pPr>
      <w:r>
        <w:rPr>
          <w:rFonts w:ascii="Arial" w:hAnsi="Arial"/>
          <w:sz w:val="16"/>
        </w:rPr>
        <w:t>440.25  تنها سرپوش مجاز، کلاه آبی زمستانی است.</w:t>
      </w:r>
    </w:p>
    <w:p>
      <w:pPr>
        <w:spacing w:after="28" w:line="216" w:lineRule="auto"/>
        <w:ind w:left="259"/>
        <w:jc w:val="left"/>
      </w:pPr>
      <w:r>
        <w:rPr>
          <w:rFonts w:ascii="Arial" w:hAnsi="Arial"/>
          <w:color w:val="525252"/>
          <w:sz w:val="13"/>
        </w:rPr>
        <w:t>The only authorized headgear is the blue winter cap.</w:t>
      </w:r>
    </w:p>
    <w:p>
      <w:pPr>
        <w:spacing w:after="20" w:line="223" w:lineRule="auto"/>
        <w:jc w:val="right"/>
        <w:bidi/>
      </w:pPr>
      <w:r>
        <w:rPr>
          <w:rFonts w:ascii="Arial" w:hAnsi="Arial"/>
          <w:sz w:val="16"/>
        </w:rPr>
        <w:t>440.26  کلاه آبی زمستانی فقط با یک لباس بیرونی تمام قد پوشیده می‌شود.</w:t>
      </w:r>
    </w:p>
    <w:p>
      <w:pPr>
        <w:spacing w:after="28" w:line="216" w:lineRule="auto"/>
        <w:ind w:left="259"/>
        <w:jc w:val="left"/>
      </w:pPr>
      <w:r>
        <w:rPr>
          <w:rFonts w:ascii="Arial" w:hAnsi="Arial"/>
          <w:color w:val="525252"/>
          <w:sz w:val="13"/>
        </w:rPr>
        <w:t>The blue winter cap will only be worn with a full-length outer garment.</w:t>
      </w:r>
    </w:p>
    <w:p>
      <w:pPr>
        <w:spacing w:after="20" w:line="223" w:lineRule="auto"/>
        <w:jc w:val="right"/>
        <w:bidi/>
      </w:pPr>
      <w:r>
        <w:rPr>
          <w:rFonts w:ascii="Arial" w:hAnsi="Arial"/>
          <w:sz w:val="16"/>
        </w:rPr>
        <w:t>440.27  برای ساییدگی و توضیحات به DAFI ۳۶-۲۹۰۳، بند ۷.۲.۶ مراجعه کنید.</w:t>
      </w:r>
    </w:p>
    <w:p>
      <w:pPr>
        <w:spacing w:after="28" w:line="216" w:lineRule="auto"/>
        <w:ind w:left="259"/>
        <w:jc w:val="left"/>
      </w:pPr>
      <w:r>
        <w:rPr>
          <w:rFonts w:ascii="Arial" w:hAnsi="Arial"/>
          <w:color w:val="525252"/>
          <w:sz w:val="13"/>
        </w:rPr>
        <w:t>For wear and description see DAFI 36-2903, paragraph 7.2.6.</w:t>
      </w:r>
    </w:p>
    <w:p>
      <w:pPr>
        <w:spacing w:after="20" w:line="223" w:lineRule="auto"/>
        <w:jc w:val="right"/>
        <w:bidi/>
      </w:pPr>
      <w:r>
        <w:rPr>
          <w:rFonts w:ascii="Arial" w:hAnsi="Arial"/>
          <w:sz w:val="16"/>
        </w:rPr>
        <w:t>440.28  لباس بیرونی.</w:t>
      </w:r>
    </w:p>
    <w:p>
      <w:pPr>
        <w:spacing w:after="28" w:line="216" w:lineRule="auto"/>
        <w:ind w:left="259"/>
        <w:jc w:val="left"/>
      </w:pPr>
      <w:r>
        <w:rPr>
          <w:rFonts w:ascii="Arial" w:hAnsi="Arial"/>
          <w:color w:val="525252"/>
          <w:sz w:val="13"/>
        </w:rPr>
        <w:t>Outer Garments.</w:t>
      </w:r>
    </w:p>
    <w:p>
      <w:pPr>
        <w:spacing w:after="20" w:line="223" w:lineRule="auto"/>
        <w:jc w:val="right"/>
        <w:bidi/>
      </w:pPr>
      <w:r>
        <w:rPr>
          <w:rFonts w:ascii="Arial" w:hAnsi="Arial"/>
          <w:sz w:val="16"/>
        </w:rPr>
        <w:t>440.29  برای ساییدگی و توضیحات به DAFI ۳۶-۲۹۰۳، بند ۷.۱.۵ مراجعه کنید.</w:t>
      </w:r>
    </w:p>
    <w:p>
      <w:pPr>
        <w:spacing w:after="28" w:line="216" w:lineRule="auto"/>
        <w:ind w:left="259"/>
        <w:jc w:val="left"/>
      </w:pPr>
      <w:r>
        <w:rPr>
          <w:rFonts w:ascii="Arial" w:hAnsi="Arial"/>
          <w:color w:val="525252"/>
          <w:sz w:val="13"/>
        </w:rPr>
        <w:t>For wear and description see DAFI 36-2903, paragraph 7.1.5.</w:t>
      </w:r>
    </w:p>
    <w:p>
      <w:pPr>
        <w:spacing w:after="20" w:line="223" w:lineRule="auto"/>
        <w:jc w:val="right"/>
        <w:bidi/>
      </w:pPr>
      <w:r>
        <w:rPr>
          <w:rFonts w:ascii="Arial" w:hAnsi="Arial"/>
          <w:sz w:val="16"/>
        </w:rPr>
        <w:t>440.30  لوازم جانبی.</w:t>
      </w:r>
    </w:p>
    <w:p>
      <w:pPr>
        <w:spacing w:after="28" w:line="216" w:lineRule="auto"/>
        <w:ind w:left="259"/>
        <w:jc w:val="left"/>
      </w:pPr>
      <w:r>
        <w:rPr>
          <w:rFonts w:ascii="Arial" w:hAnsi="Arial"/>
          <w:color w:val="525252"/>
          <w:sz w:val="13"/>
        </w:rPr>
        <w:t>Accessories.</w:t>
      </w:r>
    </w:p>
    <w:p>
      <w:pPr>
        <w:spacing w:after="20" w:line="223" w:lineRule="auto"/>
        <w:jc w:val="right"/>
        <w:bidi/>
      </w:pPr>
      <w:r>
        <w:rPr>
          <w:rFonts w:ascii="Arial" w:hAnsi="Arial"/>
          <w:sz w:val="16"/>
        </w:rPr>
        <w:t>440.31  لوازم جانبی پوشاک محافظه کارانه و ساده و بدون طرح و تزئین خواهند بود.</w:t>
      </w:r>
    </w:p>
    <w:p>
      <w:pPr>
        <w:spacing w:after="28" w:line="216" w:lineRule="auto"/>
        <w:ind w:left="259"/>
        <w:jc w:val="left"/>
      </w:pPr>
      <w:r>
        <w:rPr>
          <w:rFonts w:ascii="Arial" w:hAnsi="Arial"/>
          <w:color w:val="525252"/>
          <w:sz w:val="13"/>
        </w:rPr>
        <w:t>Garment accessories will be conservative and plain without design or ornamentation.</w:t>
      </w:r>
    </w:p>
    <w:p>
      <w:pPr>
        <w:spacing w:after="20" w:line="223" w:lineRule="auto"/>
        <w:jc w:val="right"/>
        <w:bidi/>
      </w:pPr>
      <w:r>
        <w:rPr>
          <w:rFonts w:ascii="Arial" w:hAnsi="Arial"/>
          <w:sz w:val="16"/>
        </w:rPr>
        <w:t>440.32  برای ساییدگی و توضیحات به DAFI ۳۶-۲۹۰۳، بند ۷.۳ مراجعه کنید.</w:t>
      </w:r>
    </w:p>
    <w:p>
      <w:pPr>
        <w:spacing w:after="28" w:line="216" w:lineRule="auto"/>
        <w:ind w:left="259"/>
        <w:jc w:val="left"/>
      </w:pPr>
      <w:r>
        <w:rPr>
          <w:rFonts w:ascii="Arial" w:hAnsi="Arial"/>
          <w:color w:val="525252"/>
          <w:sz w:val="13"/>
        </w:rPr>
        <w:t>For wear and description see DAFI 36-2903, paragraph 7.3.</w:t>
      </w:r>
    </w:p>
    <w:p>
      <w:r>
        <w:br w:type="page"/>
      </w:r>
    </w:p>
    <w:p>
      <w:pPr>
        <w:spacing w:after="60"/>
        <w:jc w:val="right"/>
        <w:bidi/>
      </w:pPr>
      <w:r>
        <w:rPr>
          <w:rFonts w:ascii="Arial" w:hAnsi="Arial"/>
          <w:b/>
          <w:color w:val="1F4D78"/>
          <w:sz w:val="19"/>
        </w:rPr>
        <w:t>هفتهٔ 441  |  صفحهٔ منبع: 457</w:t>
      </w:r>
    </w:p>
    <w:p>
      <w:pPr>
        <w:spacing w:before="60" w:after="28"/>
        <w:jc w:val="right"/>
        <w:bidi/>
      </w:pPr>
      <w:r>
        <w:rPr>
          <w:b/>
          <w:color w:val="1F4D78"/>
          <w:sz w:val="18"/>
        </w:rPr>
        <w:t>شکل 23.17. لباس فرم نیمه رسمی مردانه و زنانه</w:t>
      </w:r>
    </w:p>
    <w:p>
      <w:pPr>
        <w:spacing w:after="20"/>
        <w:ind w:left="259"/>
        <w:jc w:val="left"/>
      </w:pPr>
      <w:r>
        <w:rPr>
          <w:color w:val="555555"/>
          <w:sz w:val="12"/>
        </w:rPr>
        <w:t>Figure 23.17. Male and Female Semi-Formal Dress Uniform</w:t>
      </w:r>
    </w:p>
    <w:p>
      <w:pPr>
        <w:spacing w:before="60" w:after="28"/>
        <w:jc w:val="right"/>
        <w:bidi/>
      </w:pPr>
      <w:r>
        <w:rPr>
          <w:b/>
          <w:color w:val="1F4D78"/>
          <w:sz w:val="18"/>
        </w:rPr>
        <w:t>شکل 23.18. لباس یکدست مردانه</w:t>
      </w:r>
    </w:p>
    <w:p>
      <w:pPr>
        <w:spacing w:after="20"/>
        <w:ind w:left="259"/>
        <w:jc w:val="left"/>
      </w:pPr>
      <w:r>
        <w:rPr>
          <w:color w:val="555555"/>
          <w:sz w:val="12"/>
        </w:rPr>
        <w:t>Figure 23.18. Male Mess Dress Uniform</w:t>
      </w:r>
    </w:p>
    <w:p>
      <w:r>
        <w:br w:type="page"/>
      </w:r>
    </w:p>
    <w:p>
      <w:pPr>
        <w:spacing w:after="60"/>
        <w:jc w:val="right"/>
        <w:bidi/>
      </w:pPr>
      <w:r>
        <w:rPr>
          <w:rFonts w:ascii="Arial" w:hAnsi="Arial"/>
          <w:b/>
          <w:color w:val="1F4D78"/>
          <w:sz w:val="19"/>
        </w:rPr>
        <w:t>هفتهٔ 442  |  صفحهٔ منبع: 458</w:t>
      </w:r>
    </w:p>
    <w:p>
      <w:pPr>
        <w:spacing w:before="60" w:after="28"/>
        <w:jc w:val="right"/>
        <w:bidi/>
      </w:pPr>
      <w:r>
        <w:rPr>
          <w:b/>
          <w:color w:val="1F4D78"/>
          <w:sz w:val="18"/>
        </w:rPr>
        <w:t>شکل 23.19. یونیفرم لباس کثیف زنانه</w:t>
      </w:r>
    </w:p>
    <w:p>
      <w:pPr>
        <w:spacing w:after="20"/>
        <w:ind w:left="259"/>
        <w:jc w:val="left"/>
      </w:pPr>
      <w:r>
        <w:rPr>
          <w:color w:val="555555"/>
          <w:sz w:val="12"/>
        </w:rPr>
        <w:t>Figure 23.19. Female Mess Dress Uniform</w:t>
      </w:r>
    </w:p>
    <w:p>
      <w:pPr>
        <w:spacing w:after="20" w:line="223" w:lineRule="auto"/>
        <w:jc w:val="right"/>
        <w:bidi/>
      </w:pPr>
      <w:r>
        <w:rPr>
          <w:rFonts w:ascii="Arial" w:hAnsi="Arial"/>
          <w:sz w:val="16"/>
        </w:rPr>
        <w:t>442.02  ۲۳.۹. یونیفرم لباس سرویس (کلاس ا و ب - مردانه و زنانه).</w:t>
      </w:r>
    </w:p>
    <w:p>
      <w:pPr>
        <w:spacing w:after="28" w:line="216" w:lineRule="auto"/>
        <w:ind w:left="259"/>
        <w:jc w:val="left"/>
      </w:pPr>
      <w:r>
        <w:rPr>
          <w:rFonts w:ascii="Arial" w:hAnsi="Arial"/>
          <w:color w:val="525252"/>
          <w:sz w:val="13"/>
        </w:rPr>
        <w:t>23.9. Service Dress Uniform (Class A and B - Male and Female).</w:t>
      </w:r>
    </w:p>
    <w:p>
      <w:pPr>
        <w:spacing w:after="20" w:line="223" w:lineRule="auto"/>
        <w:jc w:val="right"/>
        <w:bidi/>
      </w:pPr>
      <w:r>
        <w:rPr>
          <w:rFonts w:ascii="Arial" w:hAnsi="Arial"/>
          <w:sz w:val="16"/>
        </w:rPr>
        <w:t>442.03  یونیفرم لباس سرویس به‌عنوان کلاس ا و لباس آبی سرویس به‌عنوان کلاس ب. لباس فرم کلاس ا با مانتو لباس سرویس پوشیده می‌شود.</w:t>
      </w:r>
    </w:p>
    <w:p>
      <w:pPr>
        <w:spacing w:after="28" w:line="216" w:lineRule="auto"/>
        <w:ind w:left="259"/>
        <w:jc w:val="left"/>
      </w:pPr>
      <w:r>
        <w:rPr>
          <w:rFonts w:ascii="Arial" w:hAnsi="Arial"/>
          <w:color w:val="525252"/>
          <w:sz w:val="13"/>
        </w:rPr>
        <w:t>The service dress uniform is worn as Class A and the service blue uniform as Class B. The Class A uniform is worn with the service dress coat.</w:t>
      </w:r>
    </w:p>
    <w:p>
      <w:pPr>
        <w:spacing w:after="20" w:line="223" w:lineRule="auto"/>
        <w:jc w:val="right"/>
        <w:bidi/>
      </w:pPr>
      <w:r>
        <w:rPr>
          <w:rFonts w:ascii="Arial" w:hAnsi="Arial"/>
          <w:sz w:val="16"/>
        </w:rPr>
        <w:t>442.04  لباس کلاس ب بدون کت لباس سرویس پوشیده می‌شود.</w:t>
      </w:r>
    </w:p>
    <w:p>
      <w:pPr>
        <w:spacing w:after="28" w:line="216" w:lineRule="auto"/>
        <w:ind w:left="259"/>
        <w:jc w:val="left"/>
      </w:pPr>
      <w:r>
        <w:rPr>
          <w:rFonts w:ascii="Arial" w:hAnsi="Arial"/>
          <w:color w:val="525252"/>
          <w:sz w:val="13"/>
        </w:rPr>
        <w:t>The Class B uniform is worn without the service dress coat.</w:t>
      </w:r>
    </w:p>
    <w:p>
      <w:pPr>
        <w:spacing w:after="20" w:line="223" w:lineRule="auto"/>
        <w:jc w:val="right"/>
        <w:bidi/>
      </w:pPr>
      <w:r>
        <w:rPr>
          <w:rFonts w:ascii="Arial" w:hAnsi="Arial"/>
          <w:sz w:val="16"/>
        </w:rPr>
        <w:t>442.05  پالتو (کلاس ا).</w:t>
      </w:r>
    </w:p>
    <w:p>
      <w:pPr>
        <w:spacing w:after="28" w:line="216" w:lineRule="auto"/>
        <w:ind w:left="259"/>
        <w:jc w:val="left"/>
      </w:pPr>
      <w:r>
        <w:rPr>
          <w:rFonts w:ascii="Arial" w:hAnsi="Arial"/>
          <w:color w:val="525252"/>
          <w:sz w:val="13"/>
        </w:rPr>
        <w:t>Coat (Class A).</w:t>
      </w:r>
    </w:p>
    <w:p>
      <w:pPr>
        <w:spacing w:after="20" w:line="223" w:lineRule="auto"/>
        <w:jc w:val="right"/>
        <w:bidi/>
      </w:pPr>
      <w:r>
        <w:rPr>
          <w:rFonts w:ascii="Arial" w:hAnsi="Arial"/>
          <w:sz w:val="16"/>
        </w:rPr>
        <w:t>442.06  کت لباس سرویس پلی استر و پشمی، بافت سرژ خواهد بود. نیمه پرده، تک سینه با سه دکمه و دارای یک جیب خمیده در سمت چپ بالا و دو جیب جیب پایینی.</w:t>
      </w:r>
    </w:p>
    <w:p>
      <w:pPr>
        <w:spacing w:after="28" w:line="216" w:lineRule="auto"/>
        <w:ind w:left="259"/>
        <w:jc w:val="left"/>
      </w:pPr>
      <w:r>
        <w:rPr>
          <w:rFonts w:ascii="Arial" w:hAnsi="Arial"/>
          <w:color w:val="525252"/>
          <w:sz w:val="13"/>
        </w:rPr>
        <w:t>The service dress coat will be polyester and wool-blend, serge weave; semi- drape, single-breasted with three buttons and will have one welt pocket on the upper left side and two lower pocket flaps.</w:t>
      </w:r>
    </w:p>
    <w:p>
      <w:pPr>
        <w:spacing w:after="20" w:line="223" w:lineRule="auto"/>
        <w:jc w:val="right"/>
        <w:bidi/>
      </w:pPr>
      <w:r>
        <w:rPr>
          <w:rFonts w:ascii="Arial" w:hAnsi="Arial"/>
          <w:sz w:val="16"/>
        </w:rPr>
        <w:t>442.07  کتهای افسری دارای سردوشی خواهند بود. کت‌های نام نویسی نمی‌شود.</w:t>
      </w:r>
    </w:p>
    <w:p>
      <w:pPr>
        <w:spacing w:after="28" w:line="216" w:lineRule="auto"/>
        <w:ind w:left="259"/>
        <w:jc w:val="left"/>
      </w:pPr>
      <w:r>
        <w:rPr>
          <w:rFonts w:ascii="Arial" w:hAnsi="Arial"/>
          <w:color w:val="525252"/>
          <w:sz w:val="13"/>
        </w:rPr>
        <w:t>Officer coats will have epaulets; enlisted coats will not.</w:t>
      </w:r>
    </w:p>
    <w:p>
      <w:pPr>
        <w:spacing w:after="20" w:line="223" w:lineRule="auto"/>
        <w:jc w:val="right"/>
        <w:bidi/>
      </w:pPr>
      <w:r>
        <w:rPr>
          <w:rFonts w:ascii="Arial" w:hAnsi="Arial"/>
          <w:sz w:val="16"/>
        </w:rPr>
        <w:t>442.08  افسران عمومی یک بافته آستین آبی ۱ ۱/۲ اینچی پهن خواهند کرد که ۳ اینچ از انتهای آستین فاصله دارد.</w:t>
      </w:r>
    </w:p>
    <w:p>
      <w:pPr>
        <w:spacing w:after="28" w:line="216" w:lineRule="auto"/>
        <w:ind w:left="259"/>
        <w:jc w:val="left"/>
      </w:pPr>
      <w:r>
        <w:rPr>
          <w:rFonts w:ascii="Arial" w:hAnsi="Arial"/>
          <w:color w:val="525252"/>
          <w:sz w:val="13"/>
        </w:rPr>
        <w:t>General officers will wear a 1 1/2-inch-wide blue sleeve braid, 3-inches from the end of the sleeve.</w:t>
      </w:r>
    </w:p>
    <w:p>
      <w:pPr>
        <w:spacing w:after="20" w:line="223" w:lineRule="auto"/>
        <w:jc w:val="right"/>
        <w:bidi/>
      </w:pPr>
      <w:r>
        <w:rPr>
          <w:rFonts w:ascii="Arial" w:hAnsi="Arial"/>
          <w:sz w:val="16"/>
        </w:rPr>
        <w:t>442.09  همه افسران دیگر یک نوار آستین آبی ۱/۲ اینچی پهن و ۳ اینچی از انتهای آستین خواهند پوشید.</w:t>
      </w:r>
    </w:p>
    <w:p>
      <w:pPr>
        <w:spacing w:after="28" w:line="216" w:lineRule="auto"/>
        <w:ind w:left="259"/>
        <w:jc w:val="left"/>
      </w:pPr>
      <w:r>
        <w:rPr>
          <w:rFonts w:ascii="Arial" w:hAnsi="Arial"/>
          <w:color w:val="525252"/>
          <w:sz w:val="13"/>
        </w:rPr>
        <w:t>All other officers will wear a 1/2-inch wide blue sleeve braid 3-inches from the end of the sleeve.</w:t>
      </w:r>
    </w:p>
    <w:p>
      <w:pPr>
        <w:spacing w:after="20" w:line="223" w:lineRule="auto"/>
        <w:jc w:val="right"/>
        <w:bidi/>
      </w:pPr>
      <w:r>
        <w:rPr>
          <w:rFonts w:ascii="Arial" w:hAnsi="Arial"/>
          <w:sz w:val="16"/>
        </w:rPr>
        <w:t>442.10  با آویزان شدن بازوها به‌طور طبیعی، آستین‌ها ۱/۴ تا ۱/۲ اینچ زیر مچ قرار می‌گیرند.</w:t>
      </w:r>
    </w:p>
    <w:p>
      <w:pPr>
        <w:spacing w:after="28" w:line="216" w:lineRule="auto"/>
        <w:ind w:left="259"/>
        <w:jc w:val="left"/>
      </w:pPr>
      <w:r>
        <w:rPr>
          <w:rFonts w:ascii="Arial" w:hAnsi="Arial"/>
          <w:color w:val="525252"/>
          <w:sz w:val="13"/>
        </w:rPr>
        <w:t>With arms hanging naturally, sleeves will end 1/4 to 1/2-inch below the wrist.</w:t>
      </w:r>
    </w:p>
    <w:p>
      <w:pPr>
        <w:spacing w:after="20" w:line="223" w:lineRule="auto"/>
        <w:jc w:val="right"/>
        <w:bidi/>
      </w:pPr>
      <w:r>
        <w:rPr>
          <w:rFonts w:ascii="Arial" w:hAnsi="Arial"/>
          <w:sz w:val="16"/>
        </w:rPr>
        <w:t>442.11  پایین کت ۳ تا ۳ ۱/۲ اینچ زیر بالای ران کشیده می‌شود.</w:t>
      </w:r>
    </w:p>
    <w:p>
      <w:pPr>
        <w:spacing w:after="28" w:line="216" w:lineRule="auto"/>
        <w:ind w:left="259"/>
        <w:jc w:val="left"/>
      </w:pPr>
      <w:r>
        <w:rPr>
          <w:rFonts w:ascii="Arial" w:hAnsi="Arial"/>
          <w:color w:val="525252"/>
          <w:sz w:val="13"/>
        </w:rPr>
        <w:t>The bottom of the coat will extend 3 to 3 1/2-inches below the top of the thigh.</w:t>
      </w:r>
    </w:p>
    <w:p>
      <w:pPr>
        <w:spacing w:after="20" w:line="223" w:lineRule="auto"/>
        <w:jc w:val="right"/>
        <w:bidi/>
      </w:pPr>
      <w:r>
        <w:rPr>
          <w:rFonts w:ascii="Arial" w:hAnsi="Arial"/>
          <w:sz w:val="16"/>
        </w:rPr>
        <w:t>442.12  آستین و برگردان رول پرس می‌شود.</w:t>
      </w:r>
    </w:p>
    <w:p>
      <w:pPr>
        <w:spacing w:after="28" w:line="216" w:lineRule="auto"/>
        <w:ind w:left="259"/>
        <w:jc w:val="left"/>
      </w:pPr>
      <w:r>
        <w:rPr>
          <w:rFonts w:ascii="Arial" w:hAnsi="Arial"/>
          <w:color w:val="525252"/>
          <w:sz w:val="13"/>
        </w:rPr>
        <w:t>The sleeves and lapel will be roll-pressed.</w:t>
      </w:r>
    </w:p>
    <w:p>
      <w:pPr>
        <w:spacing w:after="20" w:line="223" w:lineRule="auto"/>
        <w:jc w:val="right"/>
        <w:bidi/>
      </w:pPr>
      <w:r>
        <w:rPr>
          <w:rFonts w:ascii="Arial" w:hAnsi="Arial"/>
          <w:sz w:val="16"/>
        </w:rPr>
        <w:t>442.13  نشان درجه افسری.</w:t>
      </w:r>
    </w:p>
    <w:p>
      <w:pPr>
        <w:spacing w:after="28" w:line="216" w:lineRule="auto"/>
        <w:ind w:left="259"/>
        <w:jc w:val="left"/>
      </w:pPr>
      <w:r>
        <w:rPr>
          <w:rFonts w:ascii="Arial" w:hAnsi="Arial"/>
          <w:color w:val="525252"/>
          <w:sz w:val="13"/>
        </w:rPr>
        <w:t>Officer Rank Insignia.</w:t>
      </w:r>
    </w:p>
    <w:p>
      <w:pPr>
        <w:spacing w:after="20" w:line="223" w:lineRule="auto"/>
        <w:jc w:val="right"/>
        <w:bidi/>
      </w:pPr>
      <w:r>
        <w:rPr>
          <w:rFonts w:ascii="Arial" w:hAnsi="Arial"/>
          <w:sz w:val="16"/>
        </w:rPr>
        <w:t>442.14  افسران در صورت لزوم، نشان‌های مرتبه با اندازه معمولی را ۵/۸ اینچ از انتهای سردوش و موازی با درز آستین قرار می‌دهند.</w:t>
      </w:r>
    </w:p>
    <w:p>
      <w:pPr>
        <w:spacing w:after="28" w:line="216" w:lineRule="auto"/>
        <w:ind w:left="259"/>
        <w:jc w:val="left"/>
      </w:pPr>
      <w:r>
        <w:rPr>
          <w:rFonts w:ascii="Arial" w:hAnsi="Arial"/>
          <w:color w:val="525252"/>
          <w:sz w:val="13"/>
        </w:rPr>
        <w:t>Officers will center regular size rank insignia 5/8-inch from end of the epaulet and parallel with the sleeve seam, when applicable.</w:t>
      </w:r>
    </w:p>
    <w:p>
      <w:pPr>
        <w:spacing w:after="20" w:line="223" w:lineRule="auto"/>
        <w:jc w:val="right"/>
        <w:bidi/>
      </w:pPr>
      <w:r>
        <w:rPr>
          <w:rFonts w:ascii="Arial" w:hAnsi="Arial"/>
          <w:sz w:val="16"/>
        </w:rPr>
        <w:t>442.15  شکل ۲۳.۲۰ را ببینید.</w:t>
      </w:r>
    </w:p>
    <w:p>
      <w:pPr>
        <w:spacing w:after="28" w:line="216" w:lineRule="auto"/>
        <w:ind w:left="259"/>
        <w:jc w:val="left"/>
      </w:pPr>
      <w:r>
        <w:rPr>
          <w:rFonts w:ascii="Arial" w:hAnsi="Arial"/>
          <w:color w:val="525252"/>
          <w:sz w:val="13"/>
        </w:rPr>
        <w:t>See Figure 23.20.</w:t>
      </w:r>
    </w:p>
    <w:p>
      <w:pPr>
        <w:spacing w:after="20" w:line="223" w:lineRule="auto"/>
        <w:jc w:val="right"/>
        <w:bidi/>
      </w:pPr>
      <w:r>
        <w:rPr>
          <w:rFonts w:ascii="Arial" w:hAnsi="Arial"/>
          <w:sz w:val="16"/>
        </w:rPr>
        <w:t>442.16  افسران کل ستاره‌های ۱ اینچی نقطه به مرکز خواهند پوشید. اگر نمی‌توانید ستاره‌های ۱ اینچی را بپوشید، ستاره‌های ۳/۴ اینچی اختیاری هستند.</w:t>
      </w:r>
    </w:p>
    <w:p>
      <w:pPr>
        <w:spacing w:after="28" w:line="216" w:lineRule="auto"/>
        <w:ind w:left="259"/>
        <w:jc w:val="left"/>
      </w:pPr>
      <w:r>
        <w:rPr>
          <w:rFonts w:ascii="Arial" w:hAnsi="Arial"/>
          <w:color w:val="525252"/>
          <w:sz w:val="13"/>
        </w:rPr>
        <w:t>General officers will wear 1-inch stars point-to-center; 3/4-inch stars are optional, if unable to wear the 1-inch stars.</w:t>
      </w:r>
    </w:p>
    <w:p>
      <w:pPr>
        <w:spacing w:after="20" w:line="223" w:lineRule="auto"/>
        <w:jc w:val="right"/>
        <w:bidi/>
      </w:pPr>
      <w:r>
        <w:rPr>
          <w:rFonts w:ascii="Arial" w:hAnsi="Arial"/>
          <w:sz w:val="16"/>
        </w:rPr>
        <w:t>442.17  ژنرال‌ها هر چهار ستاره را به‌طور مساوی بین دکمه‌ای که پاپوش و درز آستین را محکم می‌کند فاصله می‌دهند.</w:t>
      </w:r>
    </w:p>
    <w:p>
      <w:pPr>
        <w:spacing w:after="28" w:line="216" w:lineRule="auto"/>
        <w:ind w:left="259"/>
        <w:jc w:val="left"/>
      </w:pPr>
      <w:r>
        <w:rPr>
          <w:rFonts w:ascii="Arial" w:hAnsi="Arial"/>
          <w:color w:val="525252"/>
          <w:sz w:val="13"/>
        </w:rPr>
        <w:t>Generals will evenly space all four stars between the button securing the epaulet and the sleeve seam.</w:t>
      </w:r>
    </w:p>
    <w:p>
      <w:pPr>
        <w:spacing w:after="20" w:line="223" w:lineRule="auto"/>
        <w:jc w:val="right"/>
        <w:bidi/>
      </w:pPr>
      <w:r>
        <w:rPr>
          <w:rFonts w:ascii="Arial" w:hAnsi="Arial"/>
          <w:sz w:val="16"/>
        </w:rPr>
        <w:t>442.18  سپهبدها یک ستاره را در نقطه مرکزی سردوش قرار می‌دهند و دو ستاره باقی مانده را بین ستاره اول و دکمه‌ای که سردوش و درز آستین را محکم می‌کند، قرار می‌دهند.</w:t>
      </w:r>
    </w:p>
    <w:p>
      <w:pPr>
        <w:spacing w:after="28" w:line="216" w:lineRule="auto"/>
        <w:ind w:left="259"/>
        <w:jc w:val="left"/>
      </w:pPr>
      <w:r>
        <w:rPr>
          <w:rFonts w:ascii="Arial" w:hAnsi="Arial"/>
          <w:color w:val="525252"/>
          <w:sz w:val="13"/>
        </w:rPr>
        <w:t>Lieutenant Generals will place one star on the center point of the epaulet and center the two remaining stars between the first star and the button securing the epaulet and the sleeve seam.</w:t>
      </w:r>
    </w:p>
    <w:p>
      <w:pPr>
        <w:spacing w:after="20" w:line="223" w:lineRule="auto"/>
        <w:jc w:val="right"/>
        <w:bidi/>
      </w:pPr>
      <w:r>
        <w:rPr>
          <w:rFonts w:ascii="Arial" w:hAnsi="Arial"/>
          <w:sz w:val="16"/>
        </w:rPr>
        <w:t>442.19  سرلشکرها ستاره‌های خود را به‌طور مساوی بین نقطه مرکزی سردوش و دکمه‌ای که سردوش و درز آستین را محکم می‌کند فاصله می‌دهند.</w:t>
      </w:r>
    </w:p>
    <w:p>
      <w:pPr>
        <w:spacing w:after="28" w:line="216" w:lineRule="auto"/>
        <w:ind w:left="259"/>
        <w:jc w:val="left"/>
      </w:pPr>
      <w:r>
        <w:rPr>
          <w:rFonts w:ascii="Arial" w:hAnsi="Arial"/>
          <w:color w:val="525252"/>
          <w:sz w:val="13"/>
        </w:rPr>
        <w:t>Major Generals will evenly space their stars between the center point of the epaulet and the button securing the epaulet and the sleeve seam.</w:t>
      </w:r>
    </w:p>
    <w:p>
      <w:pPr>
        <w:spacing w:after="20" w:line="223" w:lineRule="auto"/>
        <w:jc w:val="right"/>
        <w:bidi/>
      </w:pPr>
      <w:r>
        <w:rPr>
          <w:rFonts w:ascii="Arial" w:hAnsi="Arial"/>
          <w:sz w:val="16"/>
        </w:rPr>
        <w:t>442.20  سرتیپ ژنرال‌ها ستاره خود را بین دکمه‌ای که توپ را محکم می‌کند و درز آستین قرار می‌دهند.</w:t>
      </w:r>
    </w:p>
    <w:p>
      <w:pPr>
        <w:spacing w:after="28" w:line="216" w:lineRule="auto"/>
        <w:ind w:left="259"/>
        <w:jc w:val="left"/>
      </w:pPr>
      <w:r>
        <w:rPr>
          <w:rFonts w:ascii="Arial" w:hAnsi="Arial"/>
          <w:color w:val="525252"/>
          <w:sz w:val="13"/>
        </w:rPr>
        <w:t>Brigadier Generals will center their star between the button securing the epaulet and the sleeve seam.</w:t>
      </w:r>
    </w:p>
    <w:p>
      <w:r>
        <w:br w:type="page"/>
      </w:r>
    </w:p>
    <w:p>
      <w:pPr>
        <w:spacing w:after="60"/>
        <w:jc w:val="right"/>
        <w:bidi/>
      </w:pPr>
      <w:r>
        <w:rPr>
          <w:rFonts w:ascii="Arial" w:hAnsi="Arial"/>
          <w:b/>
          <w:color w:val="1F4D78"/>
          <w:sz w:val="19"/>
        </w:rPr>
        <w:t>هفتهٔ 443  |  صفحهٔ منبع: 459</w:t>
      </w:r>
    </w:p>
    <w:p>
      <w:pPr>
        <w:spacing w:after="20" w:line="223" w:lineRule="auto"/>
        <w:jc w:val="right"/>
        <w:bidi/>
      </w:pPr>
      <w:r>
        <w:rPr>
          <w:rFonts w:ascii="Arial" w:hAnsi="Arial"/>
          <w:sz w:val="16"/>
        </w:rPr>
        <w:t>443.01  نشان درجه سرهنگ با منقار عقاب رو به جلو پوشیده می‌شود.</w:t>
      </w:r>
    </w:p>
    <w:p>
      <w:pPr>
        <w:spacing w:after="28" w:line="216" w:lineRule="auto"/>
        <w:ind w:left="259"/>
        <w:jc w:val="left"/>
      </w:pPr>
      <w:r>
        <w:rPr>
          <w:rFonts w:ascii="Arial" w:hAnsi="Arial"/>
          <w:color w:val="525252"/>
          <w:sz w:val="13"/>
        </w:rPr>
        <w:t>Colonel rank insignia is worn with the eagle’s beak facing forward.</w:t>
      </w:r>
    </w:p>
    <w:p>
      <w:pPr>
        <w:spacing w:after="20" w:line="223" w:lineRule="auto"/>
        <w:jc w:val="right"/>
        <w:bidi/>
      </w:pPr>
      <w:r>
        <w:rPr>
          <w:rFonts w:ascii="Arial" w:hAnsi="Arial"/>
          <w:sz w:val="16"/>
        </w:rPr>
        <w:t>443.02  ساقه روی نشان درجه سرهنگ و سرگرد از یقه دور است.</w:t>
      </w:r>
    </w:p>
    <w:p>
      <w:pPr>
        <w:spacing w:after="28" w:line="216" w:lineRule="auto"/>
        <w:ind w:left="259"/>
        <w:jc w:val="left"/>
      </w:pPr>
      <w:r>
        <w:rPr>
          <w:rFonts w:ascii="Arial" w:hAnsi="Arial"/>
          <w:color w:val="525252"/>
          <w:sz w:val="13"/>
        </w:rPr>
        <w:t>The stem on the Lieutenant Colonel and Major rank insignia will point away from the collar.</w:t>
      </w:r>
    </w:p>
    <w:p>
      <w:pPr>
        <w:spacing w:before="60" w:after="28"/>
        <w:jc w:val="right"/>
        <w:bidi/>
      </w:pPr>
      <w:r>
        <w:rPr>
          <w:b/>
          <w:color w:val="1F4D78"/>
          <w:sz w:val="18"/>
        </w:rPr>
        <w:t>شکل 23.20. قرار دادن نشان درجه افسر در Epaulet</w:t>
      </w:r>
    </w:p>
    <w:p>
      <w:pPr>
        <w:spacing w:after="20"/>
        <w:ind w:left="259"/>
        <w:jc w:val="left"/>
      </w:pPr>
      <w:r>
        <w:rPr>
          <w:color w:val="555555"/>
          <w:sz w:val="12"/>
        </w:rPr>
        <w:t>Figure 23.20. Officer Rank Insignia Placement on Epaulet</w:t>
      </w:r>
    </w:p>
    <w:p>
      <w:pPr>
        <w:spacing w:after="20" w:line="223" w:lineRule="auto"/>
        <w:jc w:val="right"/>
        <w:bidi/>
      </w:pPr>
      <w:r>
        <w:rPr>
          <w:rFonts w:ascii="Arial" w:hAnsi="Arial"/>
          <w:sz w:val="16"/>
        </w:rPr>
        <w:t>443.04  نشان ثبت‌نام.</w:t>
      </w:r>
    </w:p>
    <w:p>
      <w:pPr>
        <w:spacing w:after="28" w:line="216" w:lineRule="auto"/>
        <w:ind w:left="259"/>
        <w:jc w:val="left"/>
      </w:pPr>
      <w:r>
        <w:rPr>
          <w:rFonts w:ascii="Arial" w:hAnsi="Arial"/>
          <w:color w:val="525252"/>
          <w:sz w:val="13"/>
        </w:rPr>
        <w:t>Enlisted Insignia.</w:t>
      </w:r>
    </w:p>
    <w:p>
      <w:pPr>
        <w:spacing w:after="20" w:line="223" w:lineRule="auto"/>
        <w:jc w:val="right"/>
        <w:bidi/>
      </w:pPr>
      <w:r>
        <w:rPr>
          <w:rFonts w:ascii="Arial" w:hAnsi="Arial"/>
          <w:sz w:val="16"/>
        </w:rPr>
        <w:t>443.05  سربازان، رده شورون ۳ ۱/۲ یا ۴ اینچی در مرکز بازوی بیرونی در نیمه راه بین درز شانه و آرنج خواهند پوشید.</w:t>
      </w:r>
    </w:p>
    <w:p>
      <w:pPr>
        <w:spacing w:after="28" w:line="216" w:lineRule="auto"/>
        <w:ind w:left="259"/>
        <w:jc w:val="left"/>
      </w:pPr>
      <w:r>
        <w:rPr>
          <w:rFonts w:ascii="Arial" w:hAnsi="Arial"/>
          <w:color w:val="525252"/>
          <w:sz w:val="13"/>
        </w:rPr>
        <w:t>Enlisted will wear 3 1/2 or 4-inch, chevron rank centered on the outer arm halfway between the shoulder seam and elbow when bent at a 90-degree angle.</w:t>
      </w:r>
    </w:p>
    <w:p>
      <w:pPr>
        <w:spacing w:after="20" w:line="223" w:lineRule="auto"/>
        <w:jc w:val="right"/>
        <w:bidi/>
      </w:pPr>
      <w:r>
        <w:rPr>
          <w:rFonts w:ascii="Arial" w:hAnsi="Arial"/>
          <w:sz w:val="16"/>
        </w:rPr>
        <w:t>443.06  شکل ۲۳.۲۱ را ببینید.</w:t>
      </w:r>
    </w:p>
    <w:p>
      <w:pPr>
        <w:spacing w:after="28" w:line="216" w:lineRule="auto"/>
        <w:ind w:left="259"/>
        <w:jc w:val="left"/>
      </w:pPr>
      <w:r>
        <w:rPr>
          <w:rFonts w:ascii="Arial" w:hAnsi="Arial"/>
          <w:color w:val="525252"/>
          <w:sz w:val="13"/>
        </w:rPr>
        <w:t>See Figure 23.21.</w:t>
      </w:r>
    </w:p>
    <w:p>
      <w:pPr>
        <w:spacing w:before="60" w:after="28"/>
        <w:jc w:val="right"/>
        <w:bidi/>
      </w:pPr>
      <w:r>
        <w:rPr>
          <w:b/>
          <w:color w:val="1F4D78"/>
          <w:sz w:val="18"/>
        </w:rPr>
        <w:t>شکل 23.21. رتبه ثبت نام</w:t>
      </w:r>
    </w:p>
    <w:p>
      <w:pPr>
        <w:spacing w:after="20"/>
        <w:ind w:left="259"/>
        <w:jc w:val="left"/>
      </w:pPr>
      <w:r>
        <w:rPr>
          <w:color w:val="555555"/>
          <w:sz w:val="12"/>
        </w:rPr>
        <w:t>Figure 23.21. Enlisted Rank Placement</w:t>
      </w:r>
    </w:p>
    <w:p>
      <w:pPr>
        <w:spacing w:after="20" w:line="223" w:lineRule="auto"/>
        <w:jc w:val="right"/>
        <w:bidi/>
      </w:pPr>
      <w:r>
        <w:rPr>
          <w:rFonts w:ascii="Arial" w:hAnsi="Arial"/>
          <w:sz w:val="16"/>
        </w:rPr>
        <w:t>443.08  لوازم جانبی کت لباس (کلاس ا) (شکل‌های ۲۳.۲۲ و ۲۳.۲۳ را ببینید). نشان یقه‌ای آمریکا.</w:t>
      </w:r>
    </w:p>
    <w:p>
      <w:pPr>
        <w:spacing w:after="28" w:line="216" w:lineRule="auto"/>
        <w:ind w:left="259"/>
        <w:jc w:val="left"/>
      </w:pPr>
      <w:r>
        <w:rPr>
          <w:rFonts w:ascii="Arial" w:hAnsi="Arial"/>
          <w:color w:val="525252"/>
          <w:sz w:val="13"/>
        </w:rPr>
        <w:t>Service Dress Coat Accoutrements (Class A) (See Figures 23.22 and 23.23.). U.S. Lapel Insignia.</w:t>
      </w:r>
    </w:p>
    <w:p>
      <w:pPr>
        <w:spacing w:after="20" w:line="223" w:lineRule="auto"/>
        <w:jc w:val="right"/>
        <w:bidi/>
      </w:pPr>
      <w:r>
        <w:rPr>
          <w:rFonts w:ascii="Arial" w:hAnsi="Arial"/>
          <w:sz w:val="16"/>
        </w:rPr>
        <w:t>443.09  نشان یقه‌ای ایالات متحده در نیمه درز قرار می‌گیرد و روی آن قرار می‌گیرد اما نه روی آن.</w:t>
      </w:r>
    </w:p>
    <w:p>
      <w:pPr>
        <w:spacing w:after="28" w:line="216" w:lineRule="auto"/>
        <w:ind w:left="259"/>
        <w:jc w:val="left"/>
      </w:pPr>
      <w:r>
        <w:rPr>
          <w:rFonts w:ascii="Arial" w:hAnsi="Arial"/>
          <w:color w:val="525252"/>
          <w:sz w:val="13"/>
        </w:rPr>
        <w:t>The U.S. lapel insignia is placed halfway up the seam, resting on but not over it.</w:t>
      </w:r>
    </w:p>
    <w:p>
      <w:pPr>
        <w:spacing w:after="20" w:line="223" w:lineRule="auto"/>
        <w:jc w:val="right"/>
        <w:bidi/>
      </w:pPr>
      <w:r>
        <w:rPr>
          <w:rFonts w:ascii="Arial" w:hAnsi="Arial"/>
          <w:sz w:val="16"/>
        </w:rPr>
        <w:t>443.10  "ایالات متحده" حروف در نشان‌ها موازی با زمین هستند. "ایالات متحده" نشان برای افسران دایره ندارد.</w:t>
      </w:r>
    </w:p>
    <w:p>
      <w:pPr>
        <w:spacing w:after="28" w:line="216" w:lineRule="auto"/>
        <w:ind w:left="259"/>
        <w:jc w:val="left"/>
      </w:pPr>
      <w:r>
        <w:rPr>
          <w:rFonts w:ascii="Arial" w:hAnsi="Arial"/>
          <w:color w:val="525252"/>
          <w:sz w:val="13"/>
        </w:rPr>
        <w:t>The “U.S.” letters in the insignia are parallel with the ground. “U.S.” insignias for officers do not have circles.</w:t>
      </w:r>
    </w:p>
    <w:p>
      <w:pPr>
        <w:spacing w:after="20" w:line="223" w:lineRule="auto"/>
        <w:jc w:val="right"/>
        <w:bidi/>
      </w:pPr>
      <w:r>
        <w:rPr>
          <w:rFonts w:ascii="Arial" w:hAnsi="Arial"/>
          <w:sz w:val="16"/>
        </w:rPr>
        <w:t>443.11  دایره‌ها در اطراف نشان‌های ایالات متحده فقط برای پرسنل استخدام شده پوشیده می‌شوند.</w:t>
      </w:r>
    </w:p>
    <w:p>
      <w:pPr>
        <w:spacing w:after="28" w:line="216" w:lineRule="auto"/>
        <w:ind w:left="259"/>
        <w:jc w:val="left"/>
      </w:pPr>
      <w:r>
        <w:rPr>
          <w:rFonts w:ascii="Arial" w:hAnsi="Arial"/>
          <w:color w:val="525252"/>
          <w:sz w:val="13"/>
        </w:rPr>
        <w:t>Circles are worn around the U.S. insignias for enlisted personnel only.</w:t>
      </w:r>
    </w:p>
    <w:p>
      <w:pPr>
        <w:spacing w:after="20" w:line="223" w:lineRule="auto"/>
        <w:jc w:val="right"/>
        <w:bidi/>
      </w:pPr>
      <w:r>
        <w:rPr>
          <w:rFonts w:ascii="Arial" w:hAnsi="Arial"/>
          <w:sz w:val="16"/>
        </w:rPr>
        <w:t>443.12  نامتگ.</w:t>
      </w:r>
    </w:p>
    <w:p>
      <w:pPr>
        <w:spacing w:after="28" w:line="216" w:lineRule="auto"/>
        <w:ind w:left="259"/>
        <w:jc w:val="left"/>
      </w:pPr>
      <w:r>
        <w:rPr>
          <w:rFonts w:ascii="Arial" w:hAnsi="Arial"/>
          <w:color w:val="525252"/>
          <w:sz w:val="13"/>
        </w:rPr>
        <w:t>Nametag.</w:t>
      </w:r>
    </w:p>
    <w:p>
      <w:pPr>
        <w:spacing w:after="20" w:line="223" w:lineRule="auto"/>
        <w:jc w:val="right"/>
        <w:bidi/>
      </w:pPr>
      <w:r>
        <w:rPr>
          <w:rFonts w:ascii="Arial" w:hAnsi="Arial"/>
          <w:sz w:val="16"/>
        </w:rPr>
        <w:t>443.13  تگ نام فلزی حکاکی شده، روکش نقره ساتن برس خورده است که نام خانوادگی با حروف آبی حکاکی شده است.</w:t>
      </w:r>
    </w:p>
    <w:p>
      <w:pPr>
        <w:spacing w:after="28" w:line="216" w:lineRule="auto"/>
        <w:ind w:left="259"/>
        <w:jc w:val="left"/>
      </w:pPr>
      <w:r>
        <w:rPr>
          <w:rFonts w:ascii="Arial" w:hAnsi="Arial"/>
          <w:color w:val="525252"/>
          <w:sz w:val="13"/>
        </w:rPr>
        <w:t>The name tag is metal engraved, brushed satin silver finish with the last name engraved in blue lettering.</w:t>
      </w:r>
    </w:p>
    <w:p>
      <w:pPr>
        <w:spacing w:after="20" w:line="223" w:lineRule="auto"/>
        <w:jc w:val="right"/>
        <w:bidi/>
      </w:pPr>
      <w:r>
        <w:rPr>
          <w:rFonts w:ascii="Arial" w:hAnsi="Arial"/>
          <w:sz w:val="16"/>
        </w:rPr>
        <w:t>443.14  برچسب نام در مرکز سمت راست پوشنده بین درز آستین و بالای یقه قرار می‌گیرد.</w:t>
      </w:r>
    </w:p>
    <w:p>
      <w:pPr>
        <w:spacing w:after="28" w:line="216" w:lineRule="auto"/>
        <w:ind w:left="259"/>
        <w:jc w:val="left"/>
      </w:pPr>
      <w:r>
        <w:rPr>
          <w:rFonts w:ascii="Arial" w:hAnsi="Arial"/>
          <w:color w:val="525252"/>
          <w:sz w:val="13"/>
        </w:rPr>
        <w:t>The name tag will be centered on the wearer’s right between the sleeve seam and top of the lapel.</w:t>
      </w:r>
    </w:p>
    <w:p>
      <w:pPr>
        <w:spacing w:after="20" w:line="223" w:lineRule="auto"/>
        <w:jc w:val="right"/>
        <w:bidi/>
      </w:pPr>
      <w:r>
        <w:rPr>
          <w:rFonts w:ascii="Arial" w:hAnsi="Arial"/>
          <w:sz w:val="16"/>
        </w:rPr>
        <w:t>443.15  پایین تگ نام موازی با پایین نوارها خواهد بود.</w:t>
      </w:r>
    </w:p>
    <w:p>
      <w:pPr>
        <w:spacing w:after="28" w:line="216" w:lineRule="auto"/>
        <w:ind w:left="259"/>
        <w:jc w:val="left"/>
      </w:pPr>
      <w:r>
        <w:rPr>
          <w:rFonts w:ascii="Arial" w:hAnsi="Arial"/>
          <w:color w:val="525252"/>
          <w:sz w:val="13"/>
        </w:rPr>
        <w:t>The bottom of name tag will be parallel with bottom of ribbons.</w:t>
      </w:r>
    </w:p>
    <w:p>
      <w:pPr>
        <w:spacing w:after="20" w:line="223" w:lineRule="auto"/>
        <w:jc w:val="right"/>
        <w:bidi/>
      </w:pPr>
      <w:r>
        <w:rPr>
          <w:rFonts w:ascii="Arial" w:hAnsi="Arial"/>
          <w:sz w:val="16"/>
        </w:rPr>
        <w:t>443.16  روبان.</w:t>
      </w:r>
    </w:p>
    <w:p>
      <w:pPr>
        <w:spacing w:after="28" w:line="216" w:lineRule="auto"/>
        <w:ind w:left="259"/>
        <w:jc w:val="left"/>
      </w:pPr>
      <w:r>
        <w:rPr>
          <w:rFonts w:ascii="Arial" w:hAnsi="Arial"/>
          <w:color w:val="525252"/>
          <w:sz w:val="13"/>
        </w:rPr>
        <w:t>Ribbons.</w:t>
      </w:r>
    </w:p>
    <w:p>
      <w:pPr>
        <w:spacing w:after="20" w:line="223" w:lineRule="auto"/>
        <w:jc w:val="right"/>
        <w:bidi/>
      </w:pPr>
      <w:r>
        <w:rPr>
          <w:rFonts w:ascii="Arial" w:hAnsi="Arial"/>
          <w:sz w:val="16"/>
        </w:rPr>
        <w:t>443.17  همه یا چند روبان و وسایل روی مانتو لباس سرویس پوشیده خواهد شد.</w:t>
      </w:r>
    </w:p>
    <w:p>
      <w:pPr>
        <w:spacing w:after="28" w:line="216" w:lineRule="auto"/>
        <w:ind w:left="259"/>
        <w:jc w:val="left"/>
      </w:pPr>
      <w:r>
        <w:rPr>
          <w:rFonts w:ascii="Arial" w:hAnsi="Arial"/>
          <w:color w:val="525252"/>
          <w:sz w:val="13"/>
        </w:rPr>
        <w:t>All or some ribbons and devices will be worn on the service dress coat.</w:t>
      </w:r>
    </w:p>
    <w:p>
      <w:pPr>
        <w:spacing w:after="20" w:line="223" w:lineRule="auto"/>
        <w:jc w:val="right"/>
        <w:bidi/>
      </w:pPr>
      <w:r>
        <w:rPr>
          <w:rFonts w:ascii="Arial" w:hAnsi="Arial"/>
          <w:sz w:val="16"/>
        </w:rPr>
        <w:t>443.18  روبان‌ها را در مرکز قرار دهید، روی لبه جیب چین دار سمت چپ پوشندگان قرار دهید (اما نه بالای).</w:t>
      </w:r>
    </w:p>
    <w:p>
      <w:pPr>
        <w:spacing w:after="28" w:line="216" w:lineRule="auto"/>
        <w:ind w:left="259"/>
        <w:jc w:val="left"/>
      </w:pPr>
      <w:r>
        <w:rPr>
          <w:rFonts w:ascii="Arial" w:hAnsi="Arial"/>
          <w:color w:val="525252"/>
          <w:sz w:val="13"/>
        </w:rPr>
        <w:t>Wear ribbons centered, resting on (but not over) the edge of the pleated pocket on the wearers left.</w:t>
      </w:r>
    </w:p>
    <w:p>
      <w:pPr>
        <w:spacing w:after="20" w:line="223" w:lineRule="auto"/>
        <w:jc w:val="right"/>
        <w:bidi/>
      </w:pPr>
      <w:r>
        <w:rPr>
          <w:rFonts w:ascii="Arial" w:hAnsi="Arial"/>
          <w:sz w:val="16"/>
        </w:rPr>
        <w:t>443.19  پوشیدن نشان‌ها و تزیینات/مدال‌های خارجی در یونیفرم لباس سرویس مجاز است. با این حال، اعضا باید برای پوشیدن تزئینات خارجی مورد قبول خود درخواست/دریافت مجوز کنند (به DAFMAN ۳۶-۲۸۰۶، جوایز نظامی: معیارها و رویه‌های مربوط به پذیرش مراجعه کنید).</w:t>
      </w:r>
    </w:p>
    <w:p>
      <w:pPr>
        <w:spacing w:after="28" w:line="216" w:lineRule="auto"/>
        <w:ind w:left="259"/>
        <w:jc w:val="left"/>
      </w:pPr>
      <w:r>
        <w:rPr>
          <w:rFonts w:ascii="Arial" w:hAnsi="Arial"/>
          <w:color w:val="525252"/>
          <w:sz w:val="13"/>
        </w:rPr>
        <w:t>Wear of foreign badges and decorations/medals on the service dress uniform is authorized; however, members must request/receive permission to wear foreign decorations they accept (refer to DAFMAN 36-2806, Military Awards: Criteria and Procedures regarding acceptance).</w:t>
      </w:r>
    </w:p>
    <w:p>
      <w:pPr>
        <w:spacing w:after="20" w:line="223" w:lineRule="auto"/>
        <w:jc w:val="right"/>
        <w:bidi/>
      </w:pPr>
      <w:r>
        <w:rPr>
          <w:rFonts w:ascii="Arial" w:hAnsi="Arial"/>
          <w:sz w:val="16"/>
        </w:rPr>
        <w:t>443.20  از مدال‌ها و روبان‌های خارجی بر روی لباس سرویس، زمانی که هم اندازه نیروی هوایی هستند استفاده کنید.</w:t>
      </w:r>
    </w:p>
    <w:p>
      <w:pPr>
        <w:spacing w:after="28" w:line="216" w:lineRule="auto"/>
        <w:ind w:left="259"/>
        <w:jc w:val="left"/>
      </w:pPr>
      <w:r>
        <w:rPr>
          <w:rFonts w:ascii="Arial" w:hAnsi="Arial"/>
          <w:color w:val="525252"/>
          <w:sz w:val="13"/>
        </w:rPr>
        <w:t>Wear foreign medals and ribbons on service dress uniform when they are the same size as Air Force</w:t>
      </w:r>
    </w:p>
    <w:p>
      <w:r>
        <w:br w:type="page"/>
      </w:r>
    </w:p>
    <w:p>
      <w:pPr>
        <w:spacing w:after="60"/>
        <w:jc w:val="right"/>
        <w:bidi/>
      </w:pPr>
      <w:r>
        <w:rPr>
          <w:rFonts w:ascii="Arial" w:hAnsi="Arial"/>
          <w:b/>
          <w:color w:val="1F4D78"/>
          <w:sz w:val="19"/>
        </w:rPr>
        <w:t>هفتهٔ 444  |  صفحهٔ منبع: 460</w:t>
      </w:r>
    </w:p>
    <w:p>
      <w:pPr>
        <w:spacing w:after="20" w:line="223" w:lineRule="auto"/>
        <w:jc w:val="right"/>
        <w:bidi/>
      </w:pPr>
      <w:r>
        <w:rPr>
          <w:rFonts w:ascii="Arial" w:hAnsi="Arial"/>
          <w:sz w:val="16"/>
        </w:rPr>
        <w:t>444.01  مدال و روبان.</w:t>
      </w:r>
    </w:p>
    <w:p>
      <w:pPr>
        <w:spacing w:after="28" w:line="216" w:lineRule="auto"/>
        <w:ind w:left="259"/>
        <w:jc w:val="left"/>
      </w:pPr>
      <w:r>
        <w:rPr>
          <w:rFonts w:ascii="Arial" w:hAnsi="Arial"/>
          <w:color w:val="525252"/>
          <w:sz w:val="13"/>
        </w:rPr>
        <w:t>medals and ribbons.</w:t>
      </w:r>
    </w:p>
    <w:p>
      <w:pPr>
        <w:spacing w:after="20" w:line="223" w:lineRule="auto"/>
        <w:jc w:val="right"/>
        <w:bidi/>
      </w:pPr>
      <w:r>
        <w:rPr>
          <w:rFonts w:ascii="Arial" w:hAnsi="Arial"/>
          <w:sz w:val="16"/>
        </w:rPr>
        <w:t>444.02  معیارهای پوشیدن بستگی به نوع وسیله‌ای دارد که دکوراسیون نشان دهنده آن است.</w:t>
      </w:r>
    </w:p>
    <w:p>
      <w:pPr>
        <w:spacing w:after="28" w:line="216" w:lineRule="auto"/>
        <w:ind w:left="259"/>
        <w:jc w:val="left"/>
      </w:pPr>
      <w:r>
        <w:rPr>
          <w:rFonts w:ascii="Arial" w:hAnsi="Arial"/>
          <w:color w:val="525252"/>
          <w:sz w:val="13"/>
        </w:rPr>
        <w:t>Wear criteria depends on the type of device the decoration represents.</w:t>
      </w:r>
    </w:p>
    <w:p>
      <w:pPr>
        <w:spacing w:after="20" w:line="223" w:lineRule="auto"/>
        <w:jc w:val="right"/>
        <w:bidi/>
      </w:pPr>
      <w:r>
        <w:rPr>
          <w:rFonts w:ascii="Arial" w:hAnsi="Arial"/>
          <w:sz w:val="16"/>
        </w:rPr>
        <w:t>444.03  نشان‌های وظیفه و پین نشان فرمان.</w:t>
      </w:r>
    </w:p>
    <w:p>
      <w:pPr>
        <w:spacing w:after="28" w:line="216" w:lineRule="auto"/>
        <w:ind w:left="259"/>
        <w:jc w:val="left"/>
      </w:pPr>
      <w:r>
        <w:rPr>
          <w:rFonts w:ascii="Arial" w:hAnsi="Arial"/>
          <w:color w:val="525252"/>
          <w:sz w:val="13"/>
        </w:rPr>
        <w:t>Duty Badges and Command Insignia Pin.</w:t>
      </w:r>
    </w:p>
    <w:p>
      <w:pPr>
        <w:spacing w:after="20" w:line="223" w:lineRule="auto"/>
        <w:jc w:val="right"/>
        <w:bidi/>
      </w:pPr>
      <w:r>
        <w:rPr>
          <w:rFonts w:ascii="Arial" w:hAnsi="Arial"/>
          <w:sz w:val="16"/>
        </w:rPr>
        <w:t>444.04  برای ساییدگی و توضیحات به DAFI ۳۶-۲۹۰۳، پاراگراف‌های ۱۲.۲.۴ و ۱۲.۳.۷ تا ۱۲.۳.۹ مراجعه کنید.</w:t>
      </w:r>
    </w:p>
    <w:p>
      <w:pPr>
        <w:spacing w:after="28" w:line="216" w:lineRule="auto"/>
        <w:ind w:left="259"/>
        <w:jc w:val="left"/>
      </w:pPr>
      <w:r>
        <w:rPr>
          <w:rFonts w:ascii="Arial" w:hAnsi="Arial"/>
          <w:color w:val="525252"/>
          <w:sz w:val="13"/>
        </w:rPr>
        <w:t>For wear and description see DAFI 36-2903, paragraphs 12.2.4, and 12.3.7 through 12.3.9.</w:t>
      </w:r>
    </w:p>
    <w:p>
      <w:pPr>
        <w:spacing w:before="60" w:after="28"/>
        <w:jc w:val="right"/>
        <w:bidi/>
      </w:pPr>
      <w:r>
        <w:rPr>
          <w:b/>
          <w:color w:val="1F4D78"/>
          <w:sz w:val="18"/>
        </w:rPr>
        <w:t>شکل 23.22. لباس فرم خدمات مردانه (نمونه تنظیمات)</w:t>
      </w:r>
    </w:p>
    <w:p>
      <w:pPr>
        <w:spacing w:after="20"/>
        <w:ind w:left="259"/>
        <w:jc w:val="left"/>
      </w:pPr>
      <w:r>
        <w:rPr>
          <w:color w:val="555555"/>
          <w:sz w:val="12"/>
        </w:rPr>
        <w:t>Figure 23.22. Male Service Dress Uniform (Example Configurations)</w:t>
      </w:r>
    </w:p>
    <w:p>
      <w:r>
        <w:br w:type="page"/>
      </w:r>
    </w:p>
    <w:p>
      <w:pPr>
        <w:spacing w:after="60"/>
        <w:jc w:val="right"/>
        <w:bidi/>
      </w:pPr>
      <w:r>
        <w:rPr>
          <w:rFonts w:ascii="Arial" w:hAnsi="Arial"/>
          <w:b/>
          <w:color w:val="1F4D78"/>
          <w:sz w:val="19"/>
        </w:rPr>
        <w:t>هفتهٔ 445  |  صفحهٔ منبع: 461</w:t>
      </w:r>
    </w:p>
    <w:p>
      <w:pPr>
        <w:spacing w:before="60" w:after="28"/>
        <w:jc w:val="right"/>
        <w:bidi/>
      </w:pPr>
      <w:r>
        <w:rPr>
          <w:b/>
          <w:color w:val="1F4D78"/>
          <w:sz w:val="18"/>
        </w:rPr>
        <w:t>شکل 23.23. لباس فرم خدمات زنانه (نمونه تنظیمات)</w:t>
      </w:r>
    </w:p>
    <w:p>
      <w:pPr>
        <w:spacing w:after="20"/>
        <w:ind w:left="259"/>
        <w:jc w:val="left"/>
      </w:pPr>
      <w:r>
        <w:rPr>
          <w:color w:val="555555"/>
          <w:sz w:val="12"/>
        </w:rPr>
        <w:t>Figure 23.23. Female Service Dress Uniform (Example Configurations)</w:t>
      </w:r>
    </w:p>
    <w:p>
      <w:pPr>
        <w:spacing w:after="20" w:line="223" w:lineRule="auto"/>
        <w:jc w:val="right"/>
        <w:bidi/>
      </w:pPr>
      <w:r>
        <w:rPr>
          <w:rFonts w:ascii="Arial" w:hAnsi="Arial"/>
          <w:sz w:val="16"/>
        </w:rPr>
        <w:t>445.02  پیراهن آبی مردانه و بلوز زنانه (کلاس ا و ب).</w:t>
      </w:r>
    </w:p>
    <w:p>
      <w:pPr>
        <w:spacing w:after="28" w:line="216" w:lineRule="auto"/>
        <w:ind w:left="259"/>
        <w:jc w:val="left"/>
      </w:pPr>
      <w:r>
        <w:rPr>
          <w:rFonts w:ascii="Arial" w:hAnsi="Arial"/>
          <w:color w:val="525252"/>
          <w:sz w:val="13"/>
        </w:rPr>
        <w:t>Male Blue Shirt and Female Blouse (Class A and B).</w:t>
      </w:r>
    </w:p>
    <w:p>
      <w:pPr>
        <w:spacing w:after="20" w:line="223" w:lineRule="auto"/>
        <w:jc w:val="right"/>
        <w:bidi/>
      </w:pPr>
      <w:r>
        <w:rPr>
          <w:rFonts w:ascii="Arial" w:hAnsi="Arial"/>
          <w:sz w:val="16"/>
        </w:rPr>
        <w:t>445.03  پیراهن آبی آستین بلند/آستین کوتاه (مرد).</w:t>
      </w:r>
    </w:p>
    <w:p>
      <w:pPr>
        <w:spacing w:after="28" w:line="216" w:lineRule="auto"/>
        <w:ind w:left="259"/>
        <w:jc w:val="left"/>
      </w:pPr>
      <w:r>
        <w:rPr>
          <w:rFonts w:ascii="Arial" w:hAnsi="Arial"/>
          <w:color w:val="525252"/>
          <w:sz w:val="13"/>
        </w:rPr>
        <w:t>Long-Sleeve/Short-Sleeve Blue Shirt (Male).</w:t>
      </w:r>
    </w:p>
    <w:p>
      <w:pPr>
        <w:spacing w:after="20" w:line="223" w:lineRule="auto"/>
        <w:jc w:val="right"/>
        <w:bidi/>
      </w:pPr>
      <w:r>
        <w:rPr>
          <w:rFonts w:ascii="Arial" w:hAnsi="Arial"/>
          <w:sz w:val="16"/>
        </w:rPr>
        <w:t>445.04  پیراهن آبی آستین بلند و آستین کوتاه به رنگ آبی روشن با دو جیب چین دار، سرآستین‌های قابل تبدیل (فقط آستین بلند) و سردوش خواهد بود.</w:t>
      </w:r>
    </w:p>
    <w:p>
      <w:pPr>
        <w:spacing w:after="28" w:line="216" w:lineRule="auto"/>
        <w:ind w:left="259"/>
        <w:jc w:val="left"/>
      </w:pPr>
      <w:r>
        <w:rPr>
          <w:rFonts w:ascii="Arial" w:hAnsi="Arial"/>
          <w:color w:val="525252"/>
          <w:sz w:val="13"/>
        </w:rPr>
        <w:t>The long-sleeve and short-sleeve blue shirt will be light blue in color with two pleated pockets, convertible cuffs (long-sleeve only), and epaulets.</w:t>
      </w:r>
    </w:p>
    <w:p>
      <w:pPr>
        <w:spacing w:after="20" w:line="223" w:lineRule="auto"/>
        <w:jc w:val="right"/>
        <w:bidi/>
      </w:pPr>
      <w:r>
        <w:rPr>
          <w:rFonts w:ascii="Arial" w:hAnsi="Arial"/>
          <w:sz w:val="16"/>
        </w:rPr>
        <w:t>445.05  یقه پیراهن ۱/۴ تا ۱/۲ اینچ بالای یقه کت لباس سرویس نمایان خواهد شد.</w:t>
      </w:r>
    </w:p>
    <w:p>
      <w:pPr>
        <w:spacing w:after="28" w:line="216" w:lineRule="auto"/>
        <w:ind w:left="259"/>
        <w:jc w:val="left"/>
      </w:pPr>
      <w:r>
        <w:rPr>
          <w:rFonts w:ascii="Arial" w:hAnsi="Arial"/>
          <w:color w:val="525252"/>
          <w:sz w:val="13"/>
        </w:rPr>
        <w:t>The collar of the shirt will be visible 1/4 to 1/2-inch above the service dress coat collar.</w:t>
      </w:r>
    </w:p>
    <w:p>
      <w:pPr>
        <w:spacing w:after="20" w:line="223" w:lineRule="auto"/>
        <w:jc w:val="right"/>
        <w:bidi/>
      </w:pPr>
      <w:r>
        <w:rPr>
          <w:rFonts w:ascii="Arial" w:hAnsi="Arial"/>
          <w:sz w:val="16"/>
        </w:rPr>
        <w:t>445.06  با آویزان شدن بازوها به‌طور طبیعی، آستین‌ها ۱/۴ تا ۱/۲ اینچ زیر مچ ختم می‌شوند، اما زیر آستین‌های کت سرویس دیده نمی‌شوند.</w:t>
      </w:r>
    </w:p>
    <w:p>
      <w:pPr>
        <w:spacing w:after="28" w:line="216" w:lineRule="auto"/>
        <w:ind w:left="259"/>
        <w:jc w:val="left"/>
      </w:pPr>
      <w:r>
        <w:rPr>
          <w:rFonts w:ascii="Arial" w:hAnsi="Arial"/>
          <w:color w:val="525252"/>
          <w:sz w:val="13"/>
        </w:rPr>
        <w:t>With arms hanging naturally, sleeves will end 1/4 to 1/2-inch below the wrist, but not be visible below the sleeves of the service coat.</w:t>
      </w:r>
    </w:p>
    <w:p>
      <w:pPr>
        <w:spacing w:after="20" w:line="223" w:lineRule="auto"/>
        <w:jc w:val="right"/>
        <w:bidi/>
      </w:pPr>
      <w:r>
        <w:rPr>
          <w:rFonts w:ascii="Arial" w:hAnsi="Arial"/>
          <w:sz w:val="16"/>
        </w:rPr>
        <w:t>445.07  پیراهن آبی به زیبایی درون شلوار قرار می‌گیرد.</w:t>
      </w:r>
    </w:p>
    <w:p>
      <w:pPr>
        <w:spacing w:after="28" w:line="216" w:lineRule="auto"/>
        <w:ind w:left="259"/>
        <w:jc w:val="left"/>
      </w:pPr>
      <w:r>
        <w:rPr>
          <w:rFonts w:ascii="Arial" w:hAnsi="Arial"/>
          <w:color w:val="525252"/>
          <w:sz w:val="13"/>
        </w:rPr>
        <w:t>The blue shirt will be neatly tucked into the trousers.</w:t>
      </w:r>
    </w:p>
    <w:p>
      <w:pPr>
        <w:spacing w:after="20" w:line="223" w:lineRule="auto"/>
        <w:jc w:val="right"/>
        <w:bidi/>
      </w:pPr>
      <w:r>
        <w:rPr>
          <w:rFonts w:ascii="Arial" w:hAnsi="Arial"/>
          <w:sz w:val="16"/>
        </w:rPr>
        <w:t>445.08  ممکن است پیراهن برای تناسب باریک تغییر یابد.</w:t>
      </w:r>
    </w:p>
    <w:p>
      <w:pPr>
        <w:spacing w:after="28" w:line="216" w:lineRule="auto"/>
        <w:ind w:left="259"/>
        <w:jc w:val="left"/>
      </w:pPr>
      <w:r>
        <w:rPr>
          <w:rFonts w:ascii="Arial" w:hAnsi="Arial"/>
          <w:color w:val="525252"/>
          <w:sz w:val="13"/>
        </w:rPr>
        <w:t>The shirt may be altered for a tapered fit.</w:t>
      </w:r>
    </w:p>
    <w:p>
      <w:pPr>
        <w:spacing w:after="20" w:line="223" w:lineRule="auto"/>
        <w:jc w:val="right"/>
        <w:bidi/>
      </w:pPr>
      <w:r>
        <w:rPr>
          <w:rFonts w:ascii="Arial" w:hAnsi="Arial"/>
          <w:sz w:val="16"/>
        </w:rPr>
        <w:t>445.09  زیر پیراهن یقه و یا تاپ سفید یا یقه خدمه (فقط پیراهن آبی آستین بلند) زیر پیراهن پوشیده خواهد شد.</w:t>
      </w:r>
    </w:p>
    <w:p>
      <w:pPr>
        <w:spacing w:after="28" w:line="216" w:lineRule="auto"/>
        <w:ind w:left="259"/>
        <w:jc w:val="left"/>
      </w:pPr>
      <w:r>
        <w:rPr>
          <w:rFonts w:ascii="Arial" w:hAnsi="Arial"/>
          <w:color w:val="525252"/>
          <w:sz w:val="13"/>
        </w:rPr>
        <w:t>A white V-neck or tank top, or crew neck (long sleeve blue shirt only) undershirt will be worn under the shirt.</w:t>
      </w:r>
    </w:p>
    <w:p>
      <w:pPr>
        <w:spacing w:after="20" w:line="223" w:lineRule="auto"/>
        <w:jc w:val="right"/>
        <w:bidi/>
      </w:pPr>
      <w:r>
        <w:rPr>
          <w:rFonts w:ascii="Arial" w:hAnsi="Arial"/>
          <w:sz w:val="16"/>
        </w:rPr>
        <w:t>445.10  نامتگ.</w:t>
      </w:r>
    </w:p>
    <w:p>
      <w:pPr>
        <w:spacing w:after="28" w:line="216" w:lineRule="auto"/>
        <w:ind w:left="259"/>
        <w:jc w:val="left"/>
      </w:pPr>
      <w:r>
        <w:rPr>
          <w:rFonts w:ascii="Arial" w:hAnsi="Arial"/>
          <w:color w:val="525252"/>
          <w:sz w:val="13"/>
        </w:rPr>
        <w:t>Nametag.</w:t>
      </w:r>
    </w:p>
    <w:p>
      <w:pPr>
        <w:spacing w:after="20" w:line="223" w:lineRule="auto"/>
        <w:jc w:val="right"/>
        <w:bidi/>
      </w:pPr>
      <w:r>
        <w:rPr>
          <w:rFonts w:ascii="Arial" w:hAnsi="Arial"/>
          <w:sz w:val="16"/>
        </w:rPr>
        <w:t>445.11  برچسب نام پلاستیک آبی خواهد بود که نام خانوادگی با حروف سفید حک شده باشد.</w:t>
      </w:r>
    </w:p>
    <w:p>
      <w:pPr>
        <w:spacing w:after="28" w:line="216" w:lineRule="auto"/>
        <w:ind w:left="259"/>
        <w:jc w:val="left"/>
      </w:pPr>
      <w:r>
        <w:rPr>
          <w:rFonts w:ascii="Arial" w:hAnsi="Arial"/>
          <w:color w:val="525252"/>
          <w:sz w:val="13"/>
        </w:rPr>
        <w:t>The name tag will be blue plastic with the last name engraved in white lettering.</w:t>
      </w:r>
    </w:p>
    <w:p>
      <w:pPr>
        <w:spacing w:after="20" w:line="223" w:lineRule="auto"/>
        <w:jc w:val="right"/>
        <w:bidi/>
      </w:pPr>
      <w:r>
        <w:rPr>
          <w:rFonts w:ascii="Arial" w:hAnsi="Arial"/>
          <w:sz w:val="16"/>
        </w:rPr>
        <w:t>445.12  برچسب نام در مرکز قرار می‌گیرد، روی لبه جیب چین‌دار سمت راست کاربر قرار نمی‌گیرد.</w:t>
      </w:r>
    </w:p>
    <w:p>
      <w:pPr>
        <w:spacing w:after="28" w:line="216" w:lineRule="auto"/>
        <w:ind w:left="259"/>
        <w:jc w:val="left"/>
      </w:pPr>
      <w:r>
        <w:rPr>
          <w:rFonts w:ascii="Arial" w:hAnsi="Arial"/>
          <w:color w:val="525252"/>
          <w:sz w:val="13"/>
        </w:rPr>
        <w:t>The name tag will be centered, resting on, but not over the edge of the pleated pocket on the wearer’s right.</w:t>
      </w:r>
    </w:p>
    <w:p>
      <w:pPr>
        <w:spacing w:after="20" w:line="223" w:lineRule="auto"/>
        <w:jc w:val="right"/>
        <w:bidi/>
      </w:pPr>
      <w:r>
        <w:rPr>
          <w:rFonts w:ascii="Arial" w:hAnsi="Arial"/>
          <w:sz w:val="16"/>
        </w:rPr>
        <w:t>445.13  کراوات.</w:t>
      </w:r>
    </w:p>
    <w:p>
      <w:pPr>
        <w:spacing w:after="28" w:line="216" w:lineRule="auto"/>
        <w:ind w:left="259"/>
        <w:jc w:val="left"/>
      </w:pPr>
      <w:r>
        <w:rPr>
          <w:rFonts w:ascii="Arial" w:hAnsi="Arial"/>
          <w:color w:val="525252"/>
          <w:sz w:val="13"/>
        </w:rPr>
        <w:t>Tie.</w:t>
      </w:r>
    </w:p>
    <w:p>
      <w:pPr>
        <w:spacing w:after="20" w:line="223" w:lineRule="auto"/>
        <w:jc w:val="right"/>
        <w:bidi/>
      </w:pPr>
      <w:r>
        <w:rPr>
          <w:rFonts w:ascii="Arial" w:hAnsi="Arial"/>
          <w:sz w:val="16"/>
        </w:rPr>
        <w:t>445.14  کراوات با لباس لباس سرویس و/یا لباس آبی سرویس، پیراهن آستین بلند آبی پوشیده می‌شود.</w:t>
      </w:r>
    </w:p>
    <w:p>
      <w:pPr>
        <w:spacing w:after="28" w:line="216" w:lineRule="auto"/>
        <w:ind w:left="259"/>
        <w:jc w:val="left"/>
      </w:pPr>
      <w:r>
        <w:rPr>
          <w:rFonts w:ascii="Arial" w:hAnsi="Arial"/>
          <w:color w:val="525252"/>
          <w:sz w:val="13"/>
        </w:rPr>
        <w:t>A tie will be worn with the service dress uniform and/or service blue uniform, long-sleeve blue shirt.</w:t>
      </w:r>
    </w:p>
    <w:p>
      <w:pPr>
        <w:spacing w:after="20" w:line="223" w:lineRule="auto"/>
        <w:jc w:val="right"/>
        <w:bidi/>
      </w:pPr>
      <w:r>
        <w:rPr>
          <w:rFonts w:ascii="Arial" w:hAnsi="Arial"/>
          <w:sz w:val="16"/>
        </w:rPr>
        <w:t>445.15  کراوات یا پلی استر آبی یا ابریشمی، جناغی شاه ماهی خواهد بود.</w:t>
      </w:r>
    </w:p>
    <w:p>
      <w:pPr>
        <w:spacing w:after="28" w:line="216" w:lineRule="auto"/>
        <w:ind w:left="259"/>
        <w:jc w:val="left"/>
      </w:pPr>
      <w:r>
        <w:rPr>
          <w:rFonts w:ascii="Arial" w:hAnsi="Arial"/>
          <w:color w:val="525252"/>
          <w:sz w:val="13"/>
        </w:rPr>
        <w:t>The tie will be either blue polyester or silk, herringbone twill.</w:t>
      </w:r>
    </w:p>
    <w:p>
      <w:pPr>
        <w:spacing w:after="20" w:line="223" w:lineRule="auto"/>
        <w:jc w:val="right"/>
        <w:bidi/>
      </w:pPr>
      <w:r>
        <w:rPr>
          <w:rFonts w:ascii="Arial" w:hAnsi="Arial"/>
          <w:sz w:val="16"/>
        </w:rPr>
        <w:t>445.16  نوک کراوات باید قسمتی از سگک کمربند را بپوشاند، اما نمی‌تواند تا زیر پایین سگک کمربند کشیده شود.</w:t>
      </w:r>
    </w:p>
    <w:p>
      <w:pPr>
        <w:spacing w:after="28" w:line="216" w:lineRule="auto"/>
        <w:ind w:left="259"/>
        <w:jc w:val="left"/>
      </w:pPr>
      <w:r>
        <w:rPr>
          <w:rFonts w:ascii="Arial" w:hAnsi="Arial"/>
          <w:color w:val="525252"/>
          <w:sz w:val="13"/>
        </w:rPr>
        <w:t>The tip of the tie must cover a portion of the belt buckle but cannot extend below the bottom of the belt buckle.</w:t>
      </w:r>
    </w:p>
    <w:p>
      <w:pPr>
        <w:spacing w:after="20" w:line="223" w:lineRule="auto"/>
        <w:jc w:val="right"/>
        <w:bidi/>
      </w:pPr>
      <w:r>
        <w:rPr>
          <w:rFonts w:ascii="Arial" w:hAnsi="Arial"/>
          <w:sz w:val="16"/>
        </w:rPr>
        <w:t>445.17  ممکن است با کراوات از کراوات یا بند استفاده شود.</w:t>
      </w:r>
    </w:p>
    <w:p>
      <w:pPr>
        <w:spacing w:after="28" w:line="216" w:lineRule="auto"/>
        <w:ind w:left="259"/>
        <w:jc w:val="left"/>
      </w:pPr>
      <w:r>
        <w:rPr>
          <w:rFonts w:ascii="Arial" w:hAnsi="Arial"/>
          <w:color w:val="525252"/>
          <w:sz w:val="13"/>
        </w:rPr>
        <w:t>A tie tack or clasp may be worn with the tie.</w:t>
      </w:r>
    </w:p>
    <w:p>
      <w:pPr>
        <w:spacing w:after="20" w:line="223" w:lineRule="auto"/>
        <w:jc w:val="right"/>
        <w:bidi/>
      </w:pPr>
      <w:r>
        <w:rPr>
          <w:rFonts w:ascii="Arial" w:hAnsi="Arial"/>
          <w:sz w:val="16"/>
        </w:rPr>
        <w:t>445.18  اگر پوشیده شود، بند یا بند کراوات طرح "بال و ستاره"، نماد نیروی هوایی یا نشان درجه خواهد بود.</w:t>
      </w:r>
    </w:p>
    <w:p>
      <w:pPr>
        <w:spacing w:after="28" w:line="216" w:lineRule="auto"/>
        <w:ind w:left="259"/>
        <w:jc w:val="left"/>
      </w:pPr>
      <w:r>
        <w:rPr>
          <w:rFonts w:ascii="Arial" w:hAnsi="Arial"/>
          <w:color w:val="525252"/>
          <w:sz w:val="13"/>
        </w:rPr>
        <w:t>If worn, the tie tack or clasp will be the “wing and star” design, Air Force symbol, or rank insignia.</w:t>
      </w:r>
    </w:p>
    <w:p>
      <w:pPr>
        <w:spacing w:after="20" w:line="223" w:lineRule="auto"/>
        <w:jc w:val="right"/>
        <w:bidi/>
      </w:pPr>
      <w:r>
        <w:rPr>
          <w:rFonts w:ascii="Arial" w:hAnsi="Arial"/>
          <w:sz w:val="16"/>
        </w:rPr>
        <w:t>445.19  کراوات یا گیره بین لبه پایینی گره و نوک پایین کراوات در مرکز قرار می‌گیرد.</w:t>
      </w:r>
    </w:p>
    <w:p>
      <w:pPr>
        <w:spacing w:after="28" w:line="216" w:lineRule="auto"/>
        <w:ind w:left="259"/>
        <w:jc w:val="left"/>
      </w:pPr>
      <w:r>
        <w:rPr>
          <w:rFonts w:ascii="Arial" w:hAnsi="Arial"/>
          <w:color w:val="525252"/>
          <w:sz w:val="13"/>
        </w:rPr>
        <w:t>The tie tack or clasp will be centered between the bottom edge of the knot and bottom tip of the tie.</w:t>
      </w:r>
    </w:p>
    <w:p>
      <w:pPr>
        <w:spacing w:after="20" w:line="223" w:lineRule="auto"/>
        <w:jc w:val="right"/>
        <w:bidi/>
      </w:pPr>
      <w:r>
        <w:rPr>
          <w:rFonts w:ascii="Arial" w:hAnsi="Arial"/>
          <w:sz w:val="16"/>
        </w:rPr>
        <w:t>445.20  برای پوشیدن کراوات با پیراهن آستین بلند آبی الزامی است، اما با پیراهن آبی آستین کوتاه اختیاری است مگر اینکه با لباس سرویس پوشیده شود.</w:t>
      </w:r>
    </w:p>
    <w:p>
      <w:pPr>
        <w:spacing w:after="28" w:line="216" w:lineRule="auto"/>
        <w:ind w:left="259"/>
        <w:jc w:val="left"/>
      </w:pPr>
      <w:r>
        <w:rPr>
          <w:rFonts w:ascii="Arial" w:hAnsi="Arial"/>
          <w:color w:val="525252"/>
          <w:sz w:val="13"/>
        </w:rPr>
        <w:t>A tie is required to be worn with the long- sleeve blue shirt however, it is optional with the short-sleeve blue shirt unless worn with service dress.</w:t>
      </w:r>
    </w:p>
    <w:p>
      <w:pPr>
        <w:spacing w:after="20" w:line="223" w:lineRule="auto"/>
        <w:jc w:val="right"/>
        <w:bidi/>
      </w:pPr>
      <w:r>
        <w:rPr>
          <w:rFonts w:ascii="Arial" w:hAnsi="Arial"/>
          <w:sz w:val="16"/>
        </w:rPr>
        <w:t>445.21  بلوز (آستین بلند و کوتاه) (زنانه).</w:t>
      </w:r>
    </w:p>
    <w:p>
      <w:pPr>
        <w:spacing w:after="28" w:line="216" w:lineRule="auto"/>
        <w:ind w:left="259"/>
        <w:jc w:val="left"/>
      </w:pPr>
      <w:r>
        <w:rPr>
          <w:rFonts w:ascii="Arial" w:hAnsi="Arial"/>
          <w:color w:val="525252"/>
          <w:sz w:val="13"/>
        </w:rPr>
        <w:t>Blouse (Long and Short-sleeved) (Female).</w:t>
      </w:r>
    </w:p>
    <w:p>
      <w:pPr>
        <w:spacing w:after="20" w:line="223" w:lineRule="auto"/>
        <w:jc w:val="right"/>
        <w:bidi/>
      </w:pPr>
      <w:r>
        <w:rPr>
          <w:rFonts w:ascii="Arial" w:hAnsi="Arial"/>
          <w:sz w:val="16"/>
        </w:rPr>
        <w:t>445.22  یقه نوک تیز پیراهن باید ۱/۴ تا ۱/۲ اینچ بالاتر از یقه کت لباس سرویس با بازوهای آویزان طبیعی باشد.</w:t>
      </w:r>
    </w:p>
    <w:p>
      <w:pPr>
        <w:spacing w:after="28" w:line="216" w:lineRule="auto"/>
        <w:ind w:left="259"/>
        <w:jc w:val="left"/>
      </w:pPr>
      <w:r>
        <w:rPr>
          <w:rFonts w:ascii="Arial" w:hAnsi="Arial"/>
          <w:color w:val="525252"/>
          <w:sz w:val="13"/>
        </w:rPr>
        <w:t>The pointed-end collar of the shirt must show 1/4 to 1/2-inch above the service dress coat collar with arms hanging naturally.</w:t>
      </w:r>
    </w:p>
    <w:p>
      <w:pPr>
        <w:spacing w:after="20" w:line="223" w:lineRule="auto"/>
        <w:jc w:val="right"/>
        <w:bidi/>
      </w:pPr>
      <w:r>
        <w:rPr>
          <w:rFonts w:ascii="Arial" w:hAnsi="Arial"/>
          <w:sz w:val="16"/>
        </w:rPr>
        <w:t>445.23  چین‌های نظامی نخواهد داشت و دارای سردوش خواهد بود.</w:t>
      </w:r>
    </w:p>
    <w:p>
      <w:pPr>
        <w:spacing w:after="28" w:line="216" w:lineRule="auto"/>
        <w:ind w:left="259"/>
        <w:jc w:val="left"/>
      </w:pPr>
      <w:r>
        <w:rPr>
          <w:rFonts w:ascii="Arial" w:hAnsi="Arial"/>
          <w:color w:val="525252"/>
          <w:sz w:val="13"/>
        </w:rPr>
        <w:t>It will not have military creases and will have epaulets.</w:t>
      </w:r>
    </w:p>
    <w:p>
      <w:pPr>
        <w:spacing w:after="20" w:line="223" w:lineRule="auto"/>
        <w:jc w:val="right"/>
        <w:bidi/>
      </w:pPr>
      <w:r>
        <w:rPr>
          <w:rFonts w:ascii="Arial" w:hAnsi="Arial"/>
          <w:sz w:val="16"/>
        </w:rPr>
        <w:t>445.24  با آویزان شدن بازوها به‌طور طبیعی، آستین‌های بلند ۱/۴ تا ۱/۲ اینچ زیر مچ ختم می‌شوند، اما زیر آستین‌های کت سرویس دیده نمی‌شوند.</w:t>
      </w:r>
    </w:p>
    <w:p>
      <w:pPr>
        <w:spacing w:after="28" w:line="216" w:lineRule="auto"/>
        <w:ind w:left="259"/>
        <w:jc w:val="left"/>
      </w:pPr>
      <w:r>
        <w:rPr>
          <w:rFonts w:ascii="Arial" w:hAnsi="Arial"/>
          <w:color w:val="525252"/>
          <w:sz w:val="13"/>
        </w:rPr>
        <w:t>With arms hanging naturally, long-sleeves will end 1/4 to 1/2-inch below the wrist, but not be visible below the sleeves of the service coat.</w:t>
      </w:r>
    </w:p>
    <w:p>
      <w:pPr>
        <w:spacing w:after="20" w:line="223" w:lineRule="auto"/>
        <w:jc w:val="right"/>
        <w:bidi/>
      </w:pPr>
      <w:r>
        <w:rPr>
          <w:rFonts w:ascii="Arial" w:hAnsi="Arial"/>
          <w:sz w:val="16"/>
        </w:rPr>
        <w:t>445.25  بلوز آستین بلند</w:t>
      </w:r>
    </w:p>
    <w:p>
      <w:pPr>
        <w:spacing w:after="28" w:line="216" w:lineRule="auto"/>
        <w:ind w:left="259"/>
        <w:jc w:val="left"/>
      </w:pPr>
      <w:r>
        <w:rPr>
          <w:rFonts w:ascii="Arial" w:hAnsi="Arial"/>
          <w:color w:val="525252"/>
          <w:sz w:val="13"/>
        </w:rPr>
        <w:t>The long-sleeved blouse</w:t>
      </w:r>
    </w:p>
    <w:p>
      <w:r>
        <w:br w:type="page"/>
      </w:r>
    </w:p>
    <w:p>
      <w:pPr>
        <w:spacing w:after="60"/>
        <w:jc w:val="right"/>
        <w:bidi/>
      </w:pPr>
      <w:r>
        <w:rPr>
          <w:rFonts w:ascii="Arial" w:hAnsi="Arial"/>
          <w:b/>
          <w:color w:val="1F4D78"/>
          <w:sz w:val="19"/>
        </w:rPr>
        <w:t>هفتهٔ 446  |  صفحهٔ منبع: 462</w:t>
      </w:r>
    </w:p>
    <w:p>
      <w:pPr>
        <w:spacing w:after="20" w:line="223" w:lineRule="auto"/>
        <w:jc w:val="right"/>
        <w:bidi/>
      </w:pPr>
      <w:r>
        <w:rPr>
          <w:rFonts w:ascii="Arial" w:hAnsi="Arial"/>
          <w:sz w:val="16"/>
        </w:rPr>
        <w:t>446.01  دارای سرآستین‌های گرد با سوراخ دکمه بسته شدن روی هر کاف است.</w:t>
      </w:r>
    </w:p>
    <w:p>
      <w:pPr>
        <w:spacing w:after="28" w:line="216" w:lineRule="auto"/>
        <w:ind w:left="259"/>
        <w:jc w:val="left"/>
      </w:pPr>
      <w:r>
        <w:rPr>
          <w:rFonts w:ascii="Arial" w:hAnsi="Arial"/>
          <w:color w:val="525252"/>
          <w:sz w:val="13"/>
        </w:rPr>
        <w:t>will have rounded cuffs with buttonhole closures on each cuff.</w:t>
      </w:r>
    </w:p>
    <w:p>
      <w:pPr>
        <w:spacing w:after="20" w:line="223" w:lineRule="auto"/>
        <w:jc w:val="right"/>
        <w:bidi/>
      </w:pPr>
      <w:r>
        <w:rPr>
          <w:rFonts w:ascii="Arial" w:hAnsi="Arial"/>
          <w:sz w:val="16"/>
        </w:rPr>
        <w:t>446.02  ممکن است بلوز با هزینه عضو نیروی هوایی تغییر یابد تا دکمه سرآستین را در خود جای دهد.</w:t>
      </w:r>
    </w:p>
    <w:p>
      <w:pPr>
        <w:spacing w:after="28" w:line="216" w:lineRule="auto"/>
        <w:ind w:left="259"/>
        <w:jc w:val="left"/>
      </w:pPr>
      <w:r>
        <w:rPr>
          <w:rFonts w:ascii="Arial" w:hAnsi="Arial"/>
          <w:color w:val="525252"/>
          <w:sz w:val="13"/>
        </w:rPr>
        <w:t>The blouse may be modified at the Airman’s expense to accommodate cuff links.</w:t>
      </w:r>
    </w:p>
    <w:p>
      <w:pPr>
        <w:spacing w:after="20" w:line="223" w:lineRule="auto"/>
        <w:jc w:val="right"/>
        <w:bidi/>
      </w:pPr>
      <w:r>
        <w:rPr>
          <w:rFonts w:ascii="Arial" w:hAnsi="Arial"/>
          <w:sz w:val="16"/>
        </w:rPr>
        <w:t>446.03  زیرپیراهن‌های سفید، یقه و، تاپ یا یقه خدمه (فقط بلوز آستین بلند) اختیاری هستند.</w:t>
      </w:r>
    </w:p>
    <w:p>
      <w:pPr>
        <w:spacing w:after="28" w:line="216" w:lineRule="auto"/>
        <w:ind w:left="259"/>
        <w:jc w:val="left"/>
      </w:pPr>
      <w:r>
        <w:rPr>
          <w:rFonts w:ascii="Arial" w:hAnsi="Arial"/>
          <w:color w:val="525252"/>
          <w:sz w:val="13"/>
        </w:rPr>
        <w:t>White, V-neck, tank top or crew neck (long sleeve blouse only) undershirts are optional.</w:t>
      </w:r>
    </w:p>
    <w:p>
      <w:pPr>
        <w:spacing w:after="20" w:line="223" w:lineRule="auto"/>
        <w:jc w:val="right"/>
        <w:bidi/>
      </w:pPr>
      <w:r>
        <w:rPr>
          <w:rFonts w:ascii="Arial" w:hAnsi="Arial"/>
          <w:sz w:val="16"/>
        </w:rPr>
        <w:t>446.04  در صورت پوشیدن، داخل دامن یا شلوار قرار می‌گیرند.</w:t>
      </w:r>
    </w:p>
    <w:p>
      <w:pPr>
        <w:spacing w:after="28" w:line="216" w:lineRule="auto"/>
        <w:ind w:left="259"/>
        <w:jc w:val="left"/>
      </w:pPr>
      <w:r>
        <w:rPr>
          <w:rFonts w:ascii="Arial" w:hAnsi="Arial"/>
          <w:color w:val="525252"/>
          <w:sz w:val="13"/>
        </w:rPr>
        <w:t>If worn, they will be tucked into the skirt or slacks.</w:t>
      </w:r>
    </w:p>
    <w:p>
      <w:pPr>
        <w:spacing w:after="20" w:line="223" w:lineRule="auto"/>
        <w:jc w:val="right"/>
        <w:bidi/>
      </w:pPr>
      <w:r>
        <w:rPr>
          <w:rFonts w:ascii="Arial" w:hAnsi="Arial"/>
          <w:sz w:val="16"/>
        </w:rPr>
        <w:t>446.05  بلوز تاک (آستین بلند یا کوتاه).</w:t>
      </w:r>
    </w:p>
    <w:p>
      <w:pPr>
        <w:spacing w:after="28" w:line="216" w:lineRule="auto"/>
        <w:ind w:left="259"/>
        <w:jc w:val="left"/>
      </w:pPr>
      <w:r>
        <w:rPr>
          <w:rFonts w:ascii="Arial" w:hAnsi="Arial"/>
          <w:color w:val="525252"/>
          <w:sz w:val="13"/>
        </w:rPr>
        <w:t>Tuck-in Style Blouse (Long or Short-Sleeved).</w:t>
      </w:r>
    </w:p>
    <w:p>
      <w:pPr>
        <w:spacing w:after="20" w:line="223" w:lineRule="auto"/>
        <w:jc w:val="right"/>
        <w:bidi/>
      </w:pPr>
      <w:r>
        <w:rPr>
          <w:rFonts w:ascii="Arial" w:hAnsi="Arial"/>
          <w:sz w:val="16"/>
        </w:rPr>
        <w:t>446.06  بلوز آبی حالتی مخروطی دارد و در شلوار یا دامن قرار می‌گیرد.</w:t>
      </w:r>
    </w:p>
    <w:p>
      <w:pPr>
        <w:spacing w:after="28" w:line="216" w:lineRule="auto"/>
        <w:ind w:left="259"/>
        <w:jc w:val="left"/>
      </w:pPr>
      <w:r>
        <w:rPr>
          <w:rFonts w:ascii="Arial" w:hAnsi="Arial"/>
          <w:color w:val="525252"/>
          <w:sz w:val="13"/>
        </w:rPr>
        <w:t>The blue blouse will have a tapered fit and will be tucked into the slacks or skirt.</w:t>
      </w:r>
    </w:p>
    <w:p>
      <w:pPr>
        <w:spacing w:after="20" w:line="223" w:lineRule="auto"/>
        <w:jc w:val="right"/>
        <w:bidi/>
      </w:pPr>
      <w:r>
        <w:rPr>
          <w:rFonts w:ascii="Arial" w:hAnsi="Arial"/>
          <w:sz w:val="16"/>
        </w:rPr>
        <w:t>446.07  بلوز نیم فرم مناسب (آستین بلند یا کوتاه).</w:t>
      </w:r>
    </w:p>
    <w:p>
      <w:pPr>
        <w:spacing w:after="28" w:line="216" w:lineRule="auto"/>
        <w:ind w:left="259"/>
        <w:jc w:val="left"/>
      </w:pPr>
      <w:r>
        <w:rPr>
          <w:rFonts w:ascii="Arial" w:hAnsi="Arial"/>
          <w:color w:val="525252"/>
          <w:sz w:val="13"/>
        </w:rPr>
        <w:t>Semi-Form Fitting Blouse (Long or Short-Sleeved).</w:t>
      </w:r>
    </w:p>
    <w:p>
      <w:pPr>
        <w:spacing w:after="20" w:line="223" w:lineRule="auto"/>
        <w:jc w:val="right"/>
        <w:bidi/>
      </w:pPr>
      <w:r>
        <w:rPr>
          <w:rFonts w:ascii="Arial" w:hAnsi="Arial"/>
          <w:sz w:val="16"/>
        </w:rPr>
        <w:t>446.08  بلوز آبی یک خط پرنسس شیک خواهد بود.</w:t>
      </w:r>
    </w:p>
    <w:p>
      <w:pPr>
        <w:spacing w:after="28" w:line="216" w:lineRule="auto"/>
        <w:ind w:left="259"/>
        <w:jc w:val="left"/>
      </w:pPr>
      <w:r>
        <w:rPr>
          <w:rFonts w:ascii="Arial" w:hAnsi="Arial"/>
          <w:color w:val="525252"/>
          <w:sz w:val="13"/>
        </w:rPr>
        <w:t>The blue blouse will be a semi-form fitting princess line.</w:t>
      </w:r>
    </w:p>
    <w:p>
      <w:pPr>
        <w:spacing w:after="20" w:line="223" w:lineRule="auto"/>
        <w:jc w:val="right"/>
        <w:bidi/>
      </w:pPr>
      <w:r>
        <w:rPr>
          <w:rFonts w:ascii="Arial" w:hAnsi="Arial"/>
          <w:sz w:val="16"/>
        </w:rPr>
        <w:t>446.09  نامتگ.</w:t>
      </w:r>
    </w:p>
    <w:p>
      <w:pPr>
        <w:spacing w:after="28" w:line="216" w:lineRule="auto"/>
        <w:ind w:left="259"/>
        <w:jc w:val="left"/>
      </w:pPr>
      <w:r>
        <w:rPr>
          <w:rFonts w:ascii="Arial" w:hAnsi="Arial"/>
          <w:color w:val="525252"/>
          <w:sz w:val="13"/>
        </w:rPr>
        <w:t>Nametag.</w:t>
      </w:r>
    </w:p>
    <w:p>
      <w:pPr>
        <w:spacing w:after="20" w:line="223" w:lineRule="auto"/>
        <w:jc w:val="right"/>
        <w:bidi/>
      </w:pPr>
      <w:r>
        <w:rPr>
          <w:rFonts w:ascii="Arial" w:hAnsi="Arial"/>
          <w:sz w:val="16"/>
        </w:rPr>
        <w:t>446.10  برچسب نام پلاستیک آبی خواهد بود که نام خانوادگی با حروف سفید حک شده باشد.</w:t>
      </w:r>
    </w:p>
    <w:p>
      <w:pPr>
        <w:spacing w:after="28" w:line="216" w:lineRule="auto"/>
        <w:ind w:left="259"/>
        <w:jc w:val="left"/>
      </w:pPr>
      <w:r>
        <w:rPr>
          <w:rFonts w:ascii="Arial" w:hAnsi="Arial"/>
          <w:color w:val="525252"/>
          <w:sz w:val="13"/>
        </w:rPr>
        <w:t>The name tag will be blue plastic with the last name engraved in white lettering.</w:t>
      </w:r>
    </w:p>
    <w:p>
      <w:pPr>
        <w:spacing w:after="20" w:line="223" w:lineRule="auto"/>
        <w:jc w:val="right"/>
        <w:bidi/>
      </w:pPr>
      <w:r>
        <w:rPr>
          <w:rFonts w:ascii="Arial" w:hAnsi="Arial"/>
          <w:sz w:val="16"/>
        </w:rPr>
        <w:t>446.11  تگ نام در مرکز قرار می‌گیرد، حتی در فاصله ۱/۱/۲ اینچ بالاتر یا پایین‌تر از اولین دکمه در معرض دید سمت راست کاربر.</w:t>
      </w:r>
    </w:p>
    <w:p>
      <w:pPr>
        <w:spacing w:after="28" w:line="216" w:lineRule="auto"/>
        <w:ind w:left="259"/>
        <w:jc w:val="left"/>
      </w:pPr>
      <w:r>
        <w:rPr>
          <w:rFonts w:ascii="Arial" w:hAnsi="Arial"/>
          <w:color w:val="525252"/>
          <w:sz w:val="13"/>
        </w:rPr>
        <w:t>The name tag will be centered, even within 1 1/2-inches higher or lower than the first exposed button on the wearer’s right.</w:t>
      </w:r>
    </w:p>
    <w:p>
      <w:pPr>
        <w:spacing w:after="20" w:line="223" w:lineRule="auto"/>
        <w:jc w:val="right"/>
        <w:bidi/>
      </w:pPr>
      <w:r>
        <w:rPr>
          <w:rFonts w:ascii="Arial" w:hAnsi="Arial"/>
          <w:sz w:val="16"/>
        </w:rPr>
        <w:t>446.12  زبانه کراوات.</w:t>
      </w:r>
    </w:p>
    <w:p>
      <w:pPr>
        <w:spacing w:after="28" w:line="216" w:lineRule="auto"/>
        <w:ind w:left="259"/>
        <w:jc w:val="left"/>
      </w:pPr>
      <w:r>
        <w:rPr>
          <w:rFonts w:ascii="Arial" w:hAnsi="Arial"/>
          <w:color w:val="525252"/>
          <w:sz w:val="13"/>
        </w:rPr>
        <w:t>Tie Tab.</w:t>
      </w:r>
    </w:p>
    <w:p>
      <w:pPr>
        <w:spacing w:after="20" w:line="223" w:lineRule="auto"/>
        <w:jc w:val="right"/>
        <w:bidi/>
      </w:pPr>
      <w:r>
        <w:rPr>
          <w:rFonts w:ascii="Arial" w:hAnsi="Arial"/>
          <w:sz w:val="16"/>
        </w:rPr>
        <w:t>446.13  یک زبانه کراوات و معکوس با لباس سرویس و/یا پیراهن آبی آستین بلند پوشیده خواهد شد.</w:t>
      </w:r>
    </w:p>
    <w:p>
      <w:pPr>
        <w:spacing w:after="28" w:line="216" w:lineRule="auto"/>
        <w:ind w:left="259"/>
        <w:jc w:val="left"/>
      </w:pPr>
      <w:r>
        <w:rPr>
          <w:rFonts w:ascii="Arial" w:hAnsi="Arial"/>
          <w:color w:val="525252"/>
          <w:sz w:val="13"/>
        </w:rPr>
        <w:t>An inverted-V tie tab will be worn with the service dress uniform and/or long-sleeve blue shirt.</w:t>
      </w:r>
    </w:p>
    <w:p>
      <w:pPr>
        <w:spacing w:after="20" w:line="223" w:lineRule="auto"/>
        <w:jc w:val="right"/>
        <w:bidi/>
      </w:pPr>
      <w:r>
        <w:rPr>
          <w:rFonts w:ascii="Arial" w:hAnsi="Arial"/>
          <w:sz w:val="16"/>
        </w:rPr>
        <w:t>446.14  زبانه کراوات در صورت پوشیدن با بلوز سبک تاک، از جنس پلی استر آبی با دم‌های خودبسته و با یا بدون خود بست همراه با بلوز نیمه فرم است.</w:t>
      </w:r>
    </w:p>
    <w:p>
      <w:pPr>
        <w:spacing w:after="28" w:line="216" w:lineRule="auto"/>
        <w:ind w:left="259"/>
        <w:jc w:val="left"/>
      </w:pPr>
      <w:r>
        <w:rPr>
          <w:rFonts w:ascii="Arial" w:hAnsi="Arial"/>
          <w:color w:val="525252"/>
          <w:sz w:val="13"/>
        </w:rPr>
        <w:t>The tie tab will be blue polyester herringbone with self-fastening tails when worn with the tuck-in style blouse and with or without self-fasteners with the semi-form fitting blouse.</w:t>
      </w:r>
    </w:p>
    <w:p>
      <w:pPr>
        <w:spacing w:after="20" w:line="223" w:lineRule="auto"/>
        <w:jc w:val="right"/>
        <w:bidi/>
      </w:pPr>
      <w:r>
        <w:rPr>
          <w:rFonts w:ascii="Arial" w:hAnsi="Arial"/>
          <w:sz w:val="16"/>
        </w:rPr>
        <w:t>446.15  برای پوشیدن بلوز آستین بلند باید زبانه کراوات بپوشید، اما با بلوز آستین کوتاه اختیاری است مگر اینکه با لباس سرویس پوشیده شود.</w:t>
      </w:r>
    </w:p>
    <w:p>
      <w:pPr>
        <w:spacing w:after="28" w:line="216" w:lineRule="auto"/>
        <w:ind w:left="259"/>
        <w:jc w:val="left"/>
      </w:pPr>
      <w:r>
        <w:rPr>
          <w:rFonts w:ascii="Arial" w:hAnsi="Arial"/>
          <w:color w:val="525252"/>
          <w:sz w:val="13"/>
        </w:rPr>
        <w:t>A tie tab is required to be worn with long-sleeved blouse however, it is optional with the short- sleeved blouse unless worn with service dress.</w:t>
      </w:r>
    </w:p>
    <w:p>
      <w:pPr>
        <w:spacing w:after="20" w:line="223" w:lineRule="auto"/>
        <w:jc w:val="right"/>
        <w:bidi/>
      </w:pPr>
      <w:r>
        <w:rPr>
          <w:rFonts w:ascii="Arial" w:hAnsi="Arial"/>
          <w:sz w:val="16"/>
        </w:rPr>
        <w:t>446.16  پیراهن آبی مردانه و لوازم جانبی بلوز زنانه.</w:t>
      </w:r>
    </w:p>
    <w:p>
      <w:pPr>
        <w:spacing w:after="28" w:line="216" w:lineRule="auto"/>
        <w:ind w:left="259"/>
        <w:jc w:val="left"/>
      </w:pPr>
      <w:r>
        <w:rPr>
          <w:rFonts w:ascii="Arial" w:hAnsi="Arial"/>
          <w:color w:val="525252"/>
          <w:sz w:val="13"/>
        </w:rPr>
        <w:t>Male Blue Shirt and Female Blouse Accoutrements.</w:t>
      </w:r>
    </w:p>
    <w:p>
      <w:pPr>
        <w:spacing w:after="20" w:line="223" w:lineRule="auto"/>
        <w:jc w:val="right"/>
        <w:bidi/>
      </w:pPr>
      <w:r>
        <w:rPr>
          <w:rFonts w:ascii="Arial" w:hAnsi="Arial"/>
          <w:sz w:val="16"/>
        </w:rPr>
        <w:t>446.17  نشان درجه افسری.</w:t>
      </w:r>
    </w:p>
    <w:p>
      <w:pPr>
        <w:spacing w:after="28" w:line="216" w:lineRule="auto"/>
        <w:ind w:left="259"/>
        <w:jc w:val="left"/>
      </w:pPr>
      <w:r>
        <w:rPr>
          <w:rFonts w:ascii="Arial" w:hAnsi="Arial"/>
          <w:color w:val="525252"/>
          <w:sz w:val="13"/>
        </w:rPr>
        <w:t>Officer Rank Insignia.</w:t>
      </w:r>
    </w:p>
    <w:p>
      <w:pPr>
        <w:spacing w:after="20" w:line="223" w:lineRule="auto"/>
        <w:jc w:val="right"/>
        <w:bidi/>
      </w:pPr>
      <w:r>
        <w:rPr>
          <w:rFonts w:ascii="Arial" w:hAnsi="Arial"/>
          <w:sz w:val="16"/>
        </w:rPr>
        <w:t>446.18  افسران از نشان‌های علامت شانه استفاده می‌کنند.</w:t>
      </w:r>
    </w:p>
    <w:p>
      <w:pPr>
        <w:spacing w:after="28" w:line="216" w:lineRule="auto"/>
        <w:ind w:left="259"/>
        <w:jc w:val="left"/>
      </w:pPr>
      <w:r>
        <w:rPr>
          <w:rFonts w:ascii="Arial" w:hAnsi="Arial"/>
          <w:color w:val="525252"/>
          <w:sz w:val="13"/>
        </w:rPr>
        <w:t>Officers wear shoulder mark insignia.</w:t>
      </w:r>
    </w:p>
    <w:p>
      <w:pPr>
        <w:spacing w:after="20" w:line="223" w:lineRule="auto"/>
        <w:jc w:val="right"/>
        <w:bidi/>
      </w:pPr>
      <w:r>
        <w:rPr>
          <w:rFonts w:ascii="Arial" w:hAnsi="Arial"/>
          <w:sz w:val="16"/>
        </w:rPr>
        <w:t>446.19  نشان ثبت‌نام.</w:t>
      </w:r>
    </w:p>
    <w:p>
      <w:pPr>
        <w:spacing w:after="28" w:line="216" w:lineRule="auto"/>
        <w:ind w:left="259"/>
        <w:jc w:val="left"/>
      </w:pPr>
      <w:r>
        <w:rPr>
          <w:rFonts w:ascii="Arial" w:hAnsi="Arial"/>
          <w:color w:val="525252"/>
          <w:sz w:val="13"/>
        </w:rPr>
        <w:t>Enlisted Insignia.</w:t>
      </w:r>
    </w:p>
    <w:p>
      <w:pPr>
        <w:spacing w:after="20" w:line="223" w:lineRule="auto"/>
        <w:jc w:val="right"/>
        <w:bidi/>
      </w:pPr>
      <w:r>
        <w:rPr>
          <w:rFonts w:ascii="Arial" w:hAnsi="Arial"/>
          <w:sz w:val="16"/>
        </w:rPr>
        <w:t>446.20  در صورت خم شدن با زاویه ۹۰ درجه (پیراهن آستین بلند) یا لبه پایین آستین (پیراهن آستین کوتاه) ۳ ۱/۲ یا ۴ اینچ شیرون در مرکز بازو بیرونی بین درز شانه و آرنج قرار می‌گیرد.</w:t>
      </w:r>
    </w:p>
    <w:p>
      <w:pPr>
        <w:spacing w:after="28" w:line="216" w:lineRule="auto"/>
        <w:ind w:left="259"/>
        <w:jc w:val="left"/>
      </w:pPr>
      <w:r>
        <w:rPr>
          <w:rFonts w:ascii="Arial" w:hAnsi="Arial"/>
          <w:color w:val="525252"/>
          <w:sz w:val="13"/>
        </w:rPr>
        <w:t>Enlisted will wear 3 1/2 or 4-inch chevron rank centered on the outer arm halfway between the shoulder seam and elbow when bent at a 90-degree angle (long sleeved-shirt) or bottom edge of the sleeve (short sleeved-shirt).</w:t>
      </w:r>
    </w:p>
    <w:p>
      <w:pPr>
        <w:spacing w:after="20" w:line="223" w:lineRule="auto"/>
        <w:jc w:val="right"/>
        <w:bidi/>
      </w:pPr>
      <w:r>
        <w:rPr>
          <w:rFonts w:ascii="Arial" w:hAnsi="Arial"/>
          <w:sz w:val="16"/>
        </w:rPr>
        <w:t>446.21  روبان.</w:t>
      </w:r>
    </w:p>
    <w:p>
      <w:pPr>
        <w:spacing w:after="28" w:line="216" w:lineRule="auto"/>
        <w:ind w:left="259"/>
        <w:jc w:val="left"/>
      </w:pPr>
      <w:r>
        <w:rPr>
          <w:rFonts w:ascii="Arial" w:hAnsi="Arial"/>
          <w:color w:val="525252"/>
          <w:sz w:val="13"/>
        </w:rPr>
        <w:t>Ribbons.</w:t>
      </w:r>
    </w:p>
    <w:p>
      <w:pPr>
        <w:spacing w:after="20" w:line="223" w:lineRule="auto"/>
        <w:jc w:val="right"/>
        <w:bidi/>
      </w:pPr>
      <w:r>
        <w:rPr>
          <w:rFonts w:ascii="Arial" w:hAnsi="Arial"/>
          <w:sz w:val="16"/>
        </w:rPr>
        <w:t>446.22  همه روبان‌ها و دستگاه‌ها را بپوشید، مقداری یا بدون آن.</w:t>
      </w:r>
    </w:p>
    <w:p>
      <w:pPr>
        <w:spacing w:after="28" w:line="216" w:lineRule="auto"/>
        <w:ind w:left="259"/>
        <w:jc w:val="left"/>
      </w:pPr>
      <w:r>
        <w:rPr>
          <w:rFonts w:ascii="Arial" w:hAnsi="Arial"/>
          <w:color w:val="525252"/>
          <w:sz w:val="13"/>
        </w:rPr>
        <w:t>Wear all, some, or no ribbons and devices.</w:t>
      </w:r>
    </w:p>
    <w:p>
      <w:pPr>
        <w:spacing w:after="20" w:line="223" w:lineRule="auto"/>
        <w:jc w:val="right"/>
        <w:bidi/>
      </w:pPr>
      <w:r>
        <w:rPr>
          <w:rFonts w:ascii="Arial" w:hAnsi="Arial"/>
          <w:sz w:val="16"/>
        </w:rPr>
        <w:t>446.23  در صورت پوشیده شدن، نوارها را در مرکز سمت چپ پوشنده، موازی با زمین قرار دهید.</w:t>
      </w:r>
    </w:p>
    <w:p>
      <w:pPr>
        <w:spacing w:after="28" w:line="216" w:lineRule="auto"/>
        <w:ind w:left="259"/>
        <w:jc w:val="left"/>
      </w:pPr>
      <w:r>
        <w:rPr>
          <w:rFonts w:ascii="Arial" w:hAnsi="Arial"/>
          <w:color w:val="525252"/>
          <w:sz w:val="13"/>
        </w:rPr>
        <w:t>If worn, center ribbons on wearer’s left, parallel with ground.</w:t>
      </w:r>
    </w:p>
    <w:p>
      <w:pPr>
        <w:spacing w:after="20" w:line="223" w:lineRule="auto"/>
        <w:jc w:val="right"/>
        <w:bidi/>
      </w:pPr>
      <w:r>
        <w:rPr>
          <w:rFonts w:ascii="Arial" w:hAnsi="Arial"/>
          <w:sz w:val="16"/>
        </w:rPr>
        <w:t>446.24  پایین نوارها را با پایین برچسب نام تراز کنید.</w:t>
      </w:r>
    </w:p>
    <w:p>
      <w:pPr>
        <w:spacing w:after="28" w:line="216" w:lineRule="auto"/>
        <w:ind w:left="259"/>
        <w:jc w:val="left"/>
      </w:pPr>
      <w:r>
        <w:rPr>
          <w:rFonts w:ascii="Arial" w:hAnsi="Arial"/>
          <w:color w:val="525252"/>
          <w:sz w:val="13"/>
        </w:rPr>
        <w:t>Align bottom of the ribbons with the bottom of the name tag.</w:t>
      </w:r>
    </w:p>
    <w:p>
      <w:pPr>
        <w:spacing w:after="20" w:line="223" w:lineRule="auto"/>
        <w:jc w:val="right"/>
        <w:bidi/>
      </w:pPr>
      <w:r>
        <w:rPr>
          <w:rFonts w:ascii="Arial" w:hAnsi="Arial"/>
          <w:sz w:val="16"/>
        </w:rPr>
        <w:t>446.25  سرآستین.</w:t>
      </w:r>
    </w:p>
    <w:p>
      <w:pPr>
        <w:spacing w:after="28" w:line="216" w:lineRule="auto"/>
        <w:ind w:left="259"/>
        <w:jc w:val="left"/>
      </w:pPr>
      <w:r>
        <w:rPr>
          <w:rFonts w:ascii="Arial" w:hAnsi="Arial"/>
          <w:color w:val="525252"/>
          <w:sz w:val="13"/>
        </w:rPr>
        <w:t>Cuff Links.</w:t>
      </w:r>
    </w:p>
    <w:p>
      <w:pPr>
        <w:spacing w:after="20" w:line="223" w:lineRule="auto"/>
        <w:jc w:val="right"/>
        <w:bidi/>
      </w:pPr>
      <w:r>
        <w:rPr>
          <w:rFonts w:ascii="Arial" w:hAnsi="Arial"/>
          <w:sz w:val="16"/>
        </w:rPr>
        <w:t>446.26  دکمه سرآستین با یونیفرم لباس سرویس اختیاری است.</w:t>
      </w:r>
    </w:p>
    <w:p>
      <w:pPr>
        <w:spacing w:after="28" w:line="216" w:lineRule="auto"/>
        <w:ind w:left="259"/>
        <w:jc w:val="left"/>
      </w:pPr>
      <w:r>
        <w:rPr>
          <w:rFonts w:ascii="Arial" w:hAnsi="Arial"/>
          <w:color w:val="525252"/>
          <w:sz w:val="13"/>
        </w:rPr>
        <w:t>Cuff links are optional with the service dress uniform.</w:t>
      </w:r>
    </w:p>
    <w:p>
      <w:pPr>
        <w:spacing w:after="20" w:line="223" w:lineRule="auto"/>
        <w:jc w:val="right"/>
        <w:bidi/>
      </w:pPr>
      <w:r>
        <w:rPr>
          <w:rFonts w:ascii="Arial" w:hAnsi="Arial"/>
          <w:sz w:val="16"/>
        </w:rPr>
        <w:t>446.27  آنها یا نقره‌ای، روکش ساتن یا بسیار صیقلی با طرح "بال و ستاره" خواهند بود. نقره‌ای، بسیار جلا داده شده با نماد AF؛ یا نقره‌ای ساده، بسیار صیقلی، طراحی تجاری با ابعاد و شکلی شبیه به سرآستین "بال و ستاره".</w:t>
      </w:r>
    </w:p>
    <w:p>
      <w:pPr>
        <w:spacing w:after="28" w:line="216" w:lineRule="auto"/>
        <w:ind w:left="259"/>
        <w:jc w:val="left"/>
      </w:pPr>
      <w:r>
        <w:rPr>
          <w:rFonts w:ascii="Arial" w:hAnsi="Arial"/>
          <w:color w:val="525252"/>
          <w:sz w:val="13"/>
        </w:rPr>
        <w:t>They will either be silver, satin finish or highly polished with the "wing and star" design; silver, highly polished with the AF symbol; or plain silver, highly polished, commercial design with dimensions and shape similar to the “wing and star” cuff links.</w:t>
      </w:r>
    </w:p>
    <w:p>
      <w:pPr>
        <w:spacing w:after="20" w:line="223" w:lineRule="auto"/>
        <w:jc w:val="right"/>
        <w:bidi/>
      </w:pPr>
      <w:r>
        <w:rPr>
          <w:rFonts w:ascii="Arial" w:hAnsi="Arial"/>
          <w:sz w:val="16"/>
        </w:rPr>
        <w:t>446.28  کمربند و سگک.</w:t>
      </w:r>
    </w:p>
    <w:p>
      <w:pPr>
        <w:spacing w:after="28" w:line="216" w:lineRule="auto"/>
        <w:ind w:left="259"/>
        <w:jc w:val="left"/>
      </w:pPr>
      <w:r>
        <w:rPr>
          <w:rFonts w:ascii="Arial" w:hAnsi="Arial"/>
          <w:color w:val="525252"/>
          <w:sz w:val="13"/>
        </w:rPr>
        <w:t>Belt and Buckle.</w:t>
      </w:r>
    </w:p>
    <w:p>
      <w:pPr>
        <w:spacing w:after="20" w:line="223" w:lineRule="auto"/>
        <w:jc w:val="right"/>
        <w:bidi/>
      </w:pPr>
      <w:r>
        <w:rPr>
          <w:rFonts w:ascii="Arial" w:hAnsi="Arial"/>
          <w:sz w:val="16"/>
        </w:rPr>
        <w:t>446.29  کمربند آبی، پنبه‌ای یا کش دار، جامد یا بافته خواهد بود.</w:t>
      </w:r>
    </w:p>
    <w:p>
      <w:pPr>
        <w:spacing w:after="28" w:line="216" w:lineRule="auto"/>
        <w:ind w:left="259"/>
        <w:jc w:val="left"/>
      </w:pPr>
      <w:r>
        <w:rPr>
          <w:rFonts w:ascii="Arial" w:hAnsi="Arial"/>
          <w:color w:val="525252"/>
          <w:sz w:val="13"/>
        </w:rPr>
        <w:t>The belt will be blue, cotton web or elastic, solid or woven.</w:t>
      </w:r>
    </w:p>
    <w:p>
      <w:pPr>
        <w:spacing w:after="20" w:line="223" w:lineRule="auto"/>
        <w:jc w:val="right"/>
        <w:bidi/>
      </w:pPr>
      <w:r>
        <w:rPr>
          <w:rFonts w:ascii="Arial" w:hAnsi="Arial"/>
          <w:sz w:val="16"/>
        </w:rPr>
        <w:t>446.30  کمربند دارای نوک نقره‌ای (رویش کرومی) و سگک خواهد بود.</w:t>
      </w:r>
    </w:p>
    <w:p>
      <w:pPr>
        <w:spacing w:after="28" w:line="216" w:lineRule="auto"/>
        <w:ind w:left="259"/>
        <w:jc w:val="left"/>
      </w:pPr>
      <w:r>
        <w:rPr>
          <w:rFonts w:ascii="Arial" w:hAnsi="Arial"/>
          <w:color w:val="525252"/>
          <w:sz w:val="13"/>
        </w:rPr>
        <w:t>The belt will have a silver (chrome finish) tip and a buckle.</w:t>
      </w:r>
    </w:p>
    <w:p>
      <w:pPr>
        <w:spacing w:after="20" w:line="223" w:lineRule="auto"/>
        <w:jc w:val="right"/>
        <w:bidi/>
      </w:pPr>
      <w:r>
        <w:rPr>
          <w:rFonts w:ascii="Arial" w:hAnsi="Arial"/>
          <w:sz w:val="16"/>
        </w:rPr>
        <w:t>446.31  نوک نقره‌ای کمربند از سگک به سمت چپ پوشنده برای مردان و سمت راست پوشنده برای زنان فراتر می‌رود. با این حال، هیچ پارچه آبی بین نوک نقره‌ای و سگک نقره‌ای قابل مشاهده نخواهد بود.</w:t>
      </w:r>
    </w:p>
    <w:p>
      <w:pPr>
        <w:spacing w:after="28" w:line="216" w:lineRule="auto"/>
        <w:ind w:left="259"/>
        <w:jc w:val="left"/>
      </w:pPr>
      <w:r>
        <w:rPr>
          <w:rFonts w:ascii="Arial" w:hAnsi="Arial"/>
          <w:color w:val="525252"/>
          <w:sz w:val="13"/>
        </w:rPr>
        <w:t>The silver tip of the belt will extend beyond the buckle facing the wearer’s left for men and wearer’s right for women; however, no blue fabric will be visible between the silver tip and silver buckle.</w:t>
      </w:r>
    </w:p>
    <w:p>
      <w:pPr>
        <w:spacing w:after="20" w:line="223" w:lineRule="auto"/>
        <w:jc w:val="right"/>
        <w:bidi/>
      </w:pPr>
      <w:r>
        <w:rPr>
          <w:rFonts w:ascii="Arial" w:hAnsi="Arial"/>
          <w:sz w:val="16"/>
        </w:rPr>
        <w:t>446.32  افسران عمومی ممکن است از سگک کمربند نقره‌ای طرح "بال و ستاره" استفاده کنند.</w:t>
      </w:r>
    </w:p>
    <w:p>
      <w:pPr>
        <w:spacing w:after="28" w:line="216" w:lineRule="auto"/>
        <w:ind w:left="259"/>
        <w:jc w:val="left"/>
      </w:pPr>
      <w:r>
        <w:rPr>
          <w:rFonts w:ascii="Arial" w:hAnsi="Arial"/>
          <w:color w:val="525252"/>
          <w:sz w:val="13"/>
        </w:rPr>
        <w:t>General officers may wear the “wing and star” design, silver belt buckle.</w:t>
      </w:r>
    </w:p>
    <w:p>
      <w:pPr>
        <w:spacing w:after="20" w:line="223" w:lineRule="auto"/>
        <w:jc w:val="right"/>
        <w:bidi/>
      </w:pPr>
      <w:r>
        <w:rPr>
          <w:rFonts w:ascii="Arial" w:hAnsi="Arial"/>
          <w:sz w:val="16"/>
        </w:rPr>
        <w:t>446.33  کفش.</w:t>
      </w:r>
    </w:p>
    <w:p>
      <w:pPr>
        <w:spacing w:after="28" w:line="216" w:lineRule="auto"/>
        <w:ind w:left="259"/>
        <w:jc w:val="left"/>
      </w:pPr>
      <w:r>
        <w:rPr>
          <w:rFonts w:ascii="Arial" w:hAnsi="Arial"/>
          <w:color w:val="525252"/>
          <w:sz w:val="13"/>
        </w:rPr>
        <w:t>Footwear.</w:t>
      </w:r>
    </w:p>
    <w:p>
      <w:pPr>
        <w:spacing w:after="20" w:line="223" w:lineRule="auto"/>
        <w:jc w:val="right"/>
        <w:bidi/>
      </w:pPr>
      <w:r>
        <w:rPr>
          <w:rFonts w:ascii="Arial" w:hAnsi="Arial"/>
          <w:sz w:val="16"/>
        </w:rPr>
        <w:t>446.34  برای ساییدگی و توضیحات به DAFI ۳۶-۲۹۰۳، بند ۷.۴ مراجعه کنید.</w:t>
      </w:r>
    </w:p>
    <w:p>
      <w:pPr>
        <w:spacing w:after="28" w:line="216" w:lineRule="auto"/>
        <w:ind w:left="259"/>
        <w:jc w:val="left"/>
      </w:pPr>
      <w:r>
        <w:rPr>
          <w:rFonts w:ascii="Arial" w:hAnsi="Arial"/>
          <w:color w:val="525252"/>
          <w:sz w:val="13"/>
        </w:rPr>
        <w:t>For wear and description see DAFI 36-2903, paragraph 7.4.</w:t>
      </w:r>
    </w:p>
    <w:p>
      <w:pPr>
        <w:spacing w:after="20" w:line="223" w:lineRule="auto"/>
        <w:jc w:val="right"/>
        <w:bidi/>
      </w:pPr>
      <w:r>
        <w:rPr>
          <w:rFonts w:ascii="Arial" w:hAnsi="Arial"/>
          <w:sz w:val="16"/>
        </w:rPr>
        <w:t>446.35  سرپوش.</w:t>
      </w:r>
    </w:p>
    <w:p>
      <w:pPr>
        <w:spacing w:after="28" w:line="216" w:lineRule="auto"/>
        <w:ind w:left="259"/>
        <w:jc w:val="left"/>
      </w:pPr>
      <w:r>
        <w:rPr>
          <w:rFonts w:ascii="Arial" w:hAnsi="Arial"/>
          <w:color w:val="525252"/>
          <w:sz w:val="13"/>
        </w:rPr>
        <w:t>Headgear.</w:t>
      </w:r>
    </w:p>
    <w:p>
      <w:pPr>
        <w:spacing w:after="20" w:line="223" w:lineRule="auto"/>
        <w:jc w:val="right"/>
        <w:bidi/>
      </w:pPr>
      <w:r>
        <w:rPr>
          <w:rFonts w:ascii="Arial" w:hAnsi="Arial"/>
          <w:sz w:val="16"/>
        </w:rPr>
        <w:t>446.36  برای ساییدگی و توضیحات به DAFI ۳۶-۲۹۰۳، پاراگراف‌های ۷.۲ تا ۷.۲.۷ مراجعه کنید.</w:t>
      </w:r>
    </w:p>
    <w:p>
      <w:pPr>
        <w:spacing w:after="28" w:line="216" w:lineRule="auto"/>
        <w:ind w:left="259"/>
        <w:jc w:val="left"/>
      </w:pPr>
      <w:r>
        <w:rPr>
          <w:rFonts w:ascii="Arial" w:hAnsi="Arial"/>
          <w:color w:val="525252"/>
          <w:sz w:val="13"/>
        </w:rPr>
        <w:t>For wear and description see DAFI 36-2903, paragraphs 7.2 through 7.2.7.</w:t>
      </w:r>
    </w:p>
    <w:p>
      <w:pPr>
        <w:spacing w:after="20" w:line="223" w:lineRule="auto"/>
        <w:jc w:val="right"/>
        <w:bidi/>
      </w:pPr>
      <w:r>
        <w:rPr>
          <w:rFonts w:ascii="Arial" w:hAnsi="Arial"/>
          <w:sz w:val="16"/>
        </w:rPr>
        <w:t>446.37  لباس بیرونی.</w:t>
      </w:r>
    </w:p>
    <w:p>
      <w:pPr>
        <w:spacing w:after="28" w:line="216" w:lineRule="auto"/>
        <w:ind w:left="259"/>
        <w:jc w:val="left"/>
      </w:pPr>
      <w:r>
        <w:rPr>
          <w:rFonts w:ascii="Arial" w:hAnsi="Arial"/>
          <w:color w:val="525252"/>
          <w:sz w:val="13"/>
        </w:rPr>
        <w:t>Outer Garments.</w:t>
      </w:r>
    </w:p>
    <w:p>
      <w:pPr>
        <w:spacing w:after="20" w:line="223" w:lineRule="auto"/>
        <w:jc w:val="right"/>
        <w:bidi/>
      </w:pPr>
      <w:r>
        <w:rPr>
          <w:rFonts w:ascii="Arial" w:hAnsi="Arial"/>
          <w:sz w:val="16"/>
        </w:rPr>
        <w:t>446.38  برای ساییدگی و توضیحات به DAFI ۳۶-۲۹۰۳، پاراگراف‌های ۷.۱ تا ۷.۱.۵ مراجعه کنید.</w:t>
      </w:r>
    </w:p>
    <w:p>
      <w:pPr>
        <w:spacing w:after="28" w:line="216" w:lineRule="auto"/>
        <w:ind w:left="259"/>
        <w:jc w:val="left"/>
      </w:pPr>
      <w:r>
        <w:rPr>
          <w:rFonts w:ascii="Arial" w:hAnsi="Arial"/>
          <w:color w:val="525252"/>
          <w:sz w:val="13"/>
        </w:rPr>
        <w:t>For wear and description see DAFI 36-2903, paragraphs 7.1 through 7.1.5.</w:t>
      </w:r>
    </w:p>
    <w:p>
      <w:pPr>
        <w:spacing w:after="20" w:line="223" w:lineRule="auto"/>
        <w:jc w:val="right"/>
        <w:bidi/>
      </w:pPr>
      <w:r>
        <w:rPr>
          <w:rFonts w:ascii="Arial" w:hAnsi="Arial"/>
          <w:sz w:val="16"/>
        </w:rPr>
        <w:t>446.39  لوازم جانبی.</w:t>
      </w:r>
    </w:p>
    <w:p>
      <w:pPr>
        <w:spacing w:after="28" w:line="216" w:lineRule="auto"/>
        <w:ind w:left="259"/>
        <w:jc w:val="left"/>
      </w:pPr>
      <w:r>
        <w:rPr>
          <w:rFonts w:ascii="Arial" w:hAnsi="Arial"/>
          <w:color w:val="525252"/>
          <w:sz w:val="13"/>
        </w:rPr>
        <w:t>Accessories.</w:t>
      </w:r>
    </w:p>
    <w:p>
      <w:pPr>
        <w:spacing w:after="20" w:line="223" w:lineRule="auto"/>
        <w:jc w:val="right"/>
        <w:bidi/>
      </w:pPr>
      <w:r>
        <w:rPr>
          <w:rFonts w:ascii="Arial" w:hAnsi="Arial"/>
          <w:sz w:val="16"/>
        </w:rPr>
        <w:t>446.40  برای ساییدگی و توضیحات به DAFI ۳۶-۲۹۰۳، بند ۷.۳ مراجعه کنید.</w:t>
      </w:r>
    </w:p>
    <w:p>
      <w:pPr>
        <w:spacing w:after="28" w:line="216" w:lineRule="auto"/>
        <w:ind w:left="259"/>
        <w:jc w:val="left"/>
      </w:pPr>
      <w:r>
        <w:rPr>
          <w:rFonts w:ascii="Arial" w:hAnsi="Arial"/>
          <w:color w:val="525252"/>
          <w:sz w:val="13"/>
        </w:rPr>
        <w:t>For wear and description see DAFI 36-2903, paragraph 7.3.</w:t>
      </w:r>
    </w:p>
    <w:p>
      <w:pPr>
        <w:spacing w:after="20" w:line="223" w:lineRule="auto"/>
        <w:jc w:val="right"/>
        <w:bidi/>
      </w:pPr>
      <w:r>
        <w:rPr>
          <w:rFonts w:ascii="Arial" w:hAnsi="Arial"/>
          <w:sz w:val="16"/>
        </w:rPr>
        <w:t>446.41  شلوار، شلوار، دامن (کلاس ا و ب).</w:t>
      </w:r>
    </w:p>
    <w:p>
      <w:pPr>
        <w:spacing w:after="28" w:line="216" w:lineRule="auto"/>
        <w:ind w:left="259"/>
        <w:jc w:val="left"/>
      </w:pPr>
      <w:r>
        <w:rPr>
          <w:rFonts w:ascii="Arial" w:hAnsi="Arial"/>
          <w:color w:val="525252"/>
          <w:sz w:val="13"/>
        </w:rPr>
        <w:t>Trousers, Slacks, Skirt (Class A and B).</w:t>
      </w:r>
    </w:p>
    <w:p>
      <w:pPr>
        <w:spacing w:after="20" w:line="223" w:lineRule="auto"/>
        <w:jc w:val="right"/>
        <w:bidi/>
      </w:pPr>
      <w:r>
        <w:rPr>
          <w:rFonts w:ascii="Arial" w:hAnsi="Arial"/>
          <w:sz w:val="16"/>
        </w:rPr>
        <w:t>446.42  شلوار (مرد).</w:t>
      </w:r>
    </w:p>
    <w:p>
      <w:pPr>
        <w:spacing w:after="28" w:line="216" w:lineRule="auto"/>
        <w:ind w:left="259"/>
        <w:jc w:val="left"/>
      </w:pPr>
      <w:r>
        <w:rPr>
          <w:rFonts w:ascii="Arial" w:hAnsi="Arial"/>
          <w:color w:val="525252"/>
          <w:sz w:val="13"/>
        </w:rPr>
        <w:t>Trousers (Male).</w:t>
      </w:r>
    </w:p>
    <w:p>
      <w:pPr>
        <w:spacing w:after="20" w:line="223" w:lineRule="auto"/>
        <w:jc w:val="right"/>
        <w:bidi/>
      </w:pPr>
      <w:r>
        <w:rPr>
          <w:rFonts w:ascii="Arial" w:hAnsi="Arial"/>
          <w:sz w:val="16"/>
        </w:rPr>
        <w:t>446.43  شلوار به رنگ آبی خواهد بود و بدون چین و چروک در کمر و بدون چفت شدن روی صندلی.</w:t>
      </w:r>
    </w:p>
    <w:p>
      <w:pPr>
        <w:spacing w:after="28" w:line="216" w:lineRule="auto"/>
        <w:ind w:left="259"/>
        <w:jc w:val="left"/>
      </w:pPr>
      <w:r>
        <w:rPr>
          <w:rFonts w:ascii="Arial" w:hAnsi="Arial"/>
          <w:color w:val="525252"/>
          <w:sz w:val="13"/>
        </w:rPr>
        <w:t>Trousers will be blue and trim-fitted with no bunching at the waist or bagging at the seat.</w:t>
      </w:r>
    </w:p>
    <w:p>
      <w:pPr>
        <w:spacing w:after="20" w:line="223" w:lineRule="auto"/>
        <w:jc w:val="right"/>
        <w:bidi/>
      </w:pPr>
      <w:r>
        <w:rPr>
          <w:rFonts w:ascii="Arial" w:hAnsi="Arial"/>
          <w:sz w:val="16"/>
        </w:rPr>
        <w:t>446.44  شلوار کاملا برش، صاف آویزان و بدون سرآستین یا تغییرات اضافی برای باریک شدن بیشتر ساق خواهد بود.</w:t>
      </w:r>
    </w:p>
    <w:p>
      <w:pPr>
        <w:spacing w:after="28" w:line="216" w:lineRule="auto"/>
        <w:ind w:left="259"/>
        <w:jc w:val="left"/>
      </w:pPr>
      <w:r>
        <w:rPr>
          <w:rFonts w:ascii="Arial" w:hAnsi="Arial"/>
          <w:color w:val="525252"/>
          <w:sz w:val="13"/>
        </w:rPr>
        <w:t>The trousers will be full cut, straight hanging and without cuffs or additional alterations to further taper the leg.</w:t>
      </w:r>
    </w:p>
    <w:p>
      <w:pPr>
        <w:spacing w:after="20" w:line="223" w:lineRule="auto"/>
        <w:jc w:val="right"/>
        <w:bidi/>
      </w:pPr>
      <w:r>
        <w:rPr>
          <w:rFonts w:ascii="Arial" w:hAnsi="Arial"/>
          <w:sz w:val="16"/>
        </w:rPr>
        <w:t>446.45  جلوی پاهای شلوار با کمی شکستگی در قسمت جلوی کفش یا چکمه قرار می‌گیرد.</w:t>
      </w:r>
    </w:p>
    <w:p>
      <w:pPr>
        <w:spacing w:after="28" w:line="216" w:lineRule="auto"/>
        <w:ind w:left="259"/>
        <w:jc w:val="left"/>
      </w:pPr>
      <w:r>
        <w:rPr>
          <w:rFonts w:ascii="Arial" w:hAnsi="Arial"/>
          <w:color w:val="525252"/>
          <w:sz w:val="13"/>
        </w:rPr>
        <w:t>The front of the trouser legs will rest on the front of the shoe or boot with a slight break in the crease.</w:t>
      </w:r>
    </w:p>
    <w:p>
      <w:pPr>
        <w:spacing w:after="20" w:line="223" w:lineRule="auto"/>
        <w:jc w:val="right"/>
        <w:bidi/>
      </w:pPr>
      <w:r>
        <w:rPr>
          <w:rFonts w:ascii="Arial" w:hAnsi="Arial"/>
          <w:sz w:val="16"/>
        </w:rPr>
        <w:t>446.46  پشت پاچه‌های شلوار ⅞- اینچ بلندتر از جلو خواهد بود.</w:t>
      </w:r>
    </w:p>
    <w:p>
      <w:pPr>
        <w:spacing w:after="28" w:line="216" w:lineRule="auto"/>
        <w:ind w:left="259"/>
        <w:jc w:val="left"/>
      </w:pPr>
      <w:r>
        <w:rPr>
          <w:rFonts w:ascii="Arial" w:hAnsi="Arial"/>
          <w:color w:val="525252"/>
          <w:sz w:val="13"/>
        </w:rPr>
        <w:t>The back of the trouser legs will be ⅞- inch longer than the front.</w:t>
      </w:r>
    </w:p>
    <w:p>
      <w:pPr>
        <w:spacing w:after="20" w:line="223" w:lineRule="auto"/>
        <w:jc w:val="right"/>
        <w:bidi/>
      </w:pPr>
      <w:r>
        <w:rPr>
          <w:rFonts w:ascii="Arial" w:hAnsi="Arial"/>
          <w:sz w:val="16"/>
        </w:rPr>
        <w:t>446.47  جنس شلوار با کت لباس سرویس هم در پارچه و هم در سایه مطابقت دارد.</w:t>
      </w:r>
    </w:p>
    <w:p>
      <w:pPr>
        <w:spacing w:after="28" w:line="216" w:lineRule="auto"/>
        <w:ind w:left="259"/>
        <w:jc w:val="left"/>
      </w:pPr>
      <w:r>
        <w:rPr>
          <w:rFonts w:ascii="Arial" w:hAnsi="Arial"/>
          <w:color w:val="525252"/>
          <w:sz w:val="13"/>
        </w:rPr>
        <w:t>The trouser material will match the service dress coat in both fabric and shade.</w:t>
      </w:r>
    </w:p>
    <w:p>
      <w:r>
        <w:br w:type="page"/>
      </w:r>
    </w:p>
    <w:p>
      <w:pPr>
        <w:spacing w:after="60"/>
        <w:jc w:val="right"/>
        <w:bidi/>
      </w:pPr>
      <w:r>
        <w:rPr>
          <w:rFonts w:ascii="Arial" w:hAnsi="Arial"/>
          <w:b/>
          <w:color w:val="1F4D78"/>
          <w:sz w:val="19"/>
        </w:rPr>
        <w:t>هفتهٔ 447  |  صفحهٔ منبع: 463</w:t>
      </w:r>
    </w:p>
    <w:p>
      <w:pPr>
        <w:spacing w:after="20" w:line="223" w:lineRule="auto"/>
        <w:jc w:val="right"/>
        <w:bidi/>
      </w:pPr>
      <w:r>
        <w:rPr>
          <w:rFonts w:ascii="Arial" w:hAnsi="Arial"/>
          <w:sz w:val="16"/>
        </w:rPr>
        <w:t>447.01  شلوار (مونث).</w:t>
      </w:r>
    </w:p>
    <w:p>
      <w:pPr>
        <w:spacing w:after="28" w:line="216" w:lineRule="auto"/>
        <w:ind w:left="259"/>
        <w:jc w:val="left"/>
      </w:pPr>
      <w:r>
        <w:rPr>
          <w:rFonts w:ascii="Arial" w:hAnsi="Arial"/>
          <w:color w:val="525252"/>
          <w:sz w:val="13"/>
        </w:rPr>
        <w:t>Slacks (Female).</w:t>
      </w:r>
    </w:p>
    <w:p>
      <w:pPr>
        <w:spacing w:after="20" w:line="223" w:lineRule="auto"/>
        <w:jc w:val="right"/>
        <w:bidi/>
      </w:pPr>
      <w:r>
        <w:rPr>
          <w:rFonts w:ascii="Arial" w:hAnsi="Arial"/>
          <w:sz w:val="16"/>
        </w:rPr>
        <w:t>447.02  شلوارهای شلوار آبی خواهند بود و به‌طور طبیعی روی باسن قرار می‌گیرند، بدون انباشتگی در کمر یا چفت شدن روی صندلی.</w:t>
      </w:r>
    </w:p>
    <w:p>
      <w:pPr>
        <w:spacing w:after="28" w:line="216" w:lineRule="auto"/>
        <w:ind w:left="259"/>
        <w:jc w:val="left"/>
      </w:pPr>
      <w:r>
        <w:rPr>
          <w:rFonts w:ascii="Arial" w:hAnsi="Arial"/>
          <w:color w:val="525252"/>
          <w:sz w:val="13"/>
        </w:rPr>
        <w:t>Slacks will be blue and fit naturally over the hips with no bunching at the waist or bagging at the seat.</w:t>
      </w:r>
    </w:p>
    <w:p>
      <w:pPr>
        <w:spacing w:after="20" w:line="223" w:lineRule="auto"/>
        <w:jc w:val="right"/>
        <w:bidi/>
      </w:pPr>
      <w:r>
        <w:rPr>
          <w:rFonts w:ascii="Arial" w:hAnsi="Arial"/>
          <w:sz w:val="16"/>
        </w:rPr>
        <w:t>447.03  قسمت جلوی پایین پاهای شل، در صورت پوشیدن پمپ، روی جلوی کفش، چکمه یا بالای پا قرار می‌گیرد، با کمی شکستگی در چین.</w:t>
      </w:r>
    </w:p>
    <w:p>
      <w:pPr>
        <w:spacing w:after="28" w:line="216" w:lineRule="auto"/>
        <w:ind w:left="259"/>
        <w:jc w:val="left"/>
      </w:pPr>
      <w:r>
        <w:rPr>
          <w:rFonts w:ascii="Arial" w:hAnsi="Arial"/>
          <w:color w:val="525252"/>
          <w:sz w:val="13"/>
        </w:rPr>
        <w:t>The bottom front of the slack legs will rest on the front of the shoe, boot or on top of the foot if wearing pumps, with a slight break in the crease.</w:t>
      </w:r>
    </w:p>
    <w:p>
      <w:pPr>
        <w:spacing w:after="20" w:line="223" w:lineRule="auto"/>
        <w:jc w:val="right"/>
        <w:bidi/>
      </w:pPr>
      <w:r>
        <w:rPr>
          <w:rFonts w:ascii="Arial" w:hAnsi="Arial"/>
          <w:sz w:val="16"/>
        </w:rPr>
        <w:t>447.04  پشت پاهای شل تقریبا ۷/۸ اینچ بلندتر از جلو خواهد بود.</w:t>
      </w:r>
    </w:p>
    <w:p>
      <w:pPr>
        <w:spacing w:after="28" w:line="216" w:lineRule="auto"/>
        <w:ind w:left="259"/>
        <w:jc w:val="left"/>
      </w:pPr>
      <w:r>
        <w:rPr>
          <w:rFonts w:ascii="Arial" w:hAnsi="Arial"/>
          <w:color w:val="525252"/>
          <w:sz w:val="13"/>
        </w:rPr>
        <w:t>The back of the slack legs will be approximately 7/8-inch longer than the front.</w:t>
      </w:r>
    </w:p>
    <w:p>
      <w:pPr>
        <w:spacing w:after="20" w:line="223" w:lineRule="auto"/>
        <w:jc w:val="right"/>
        <w:bidi/>
      </w:pPr>
      <w:r>
        <w:rPr>
          <w:rFonts w:ascii="Arial" w:hAnsi="Arial"/>
          <w:sz w:val="16"/>
        </w:rPr>
        <w:t>447.05  شلوارهای دوخت، آویزان مستقیم، بدون جرقه در پایین یا تغییرات اضافی برای مخروطی شدن بیشتر ساق پا خواهند بود.</w:t>
      </w:r>
    </w:p>
    <w:p>
      <w:pPr>
        <w:spacing w:after="28" w:line="216" w:lineRule="auto"/>
        <w:ind w:left="259"/>
        <w:jc w:val="left"/>
      </w:pPr>
      <w:r>
        <w:rPr>
          <w:rFonts w:ascii="Arial" w:hAnsi="Arial"/>
          <w:color w:val="525252"/>
          <w:sz w:val="13"/>
        </w:rPr>
        <w:t>The slacks will be tailored, straight hanging, with no flare at the bottom or additional alterations to further taper the leg.</w:t>
      </w:r>
    </w:p>
    <w:p>
      <w:pPr>
        <w:spacing w:after="20" w:line="223" w:lineRule="auto"/>
        <w:jc w:val="right"/>
        <w:bidi/>
      </w:pPr>
      <w:r>
        <w:rPr>
          <w:rFonts w:ascii="Arial" w:hAnsi="Arial"/>
          <w:sz w:val="16"/>
        </w:rPr>
        <w:t>447.06  آنها دارای یک بازشوی جلوی وسط و دارت کمری جلو و عقب، دو جیب جانبی ۱/۴ بالا و یک بند کمر با پنج حلقه کمربند خواهند بود.</w:t>
      </w:r>
    </w:p>
    <w:p>
      <w:pPr>
        <w:spacing w:after="28" w:line="216" w:lineRule="auto"/>
        <w:ind w:left="259"/>
        <w:jc w:val="left"/>
      </w:pPr>
      <w:r>
        <w:rPr>
          <w:rFonts w:ascii="Arial" w:hAnsi="Arial"/>
          <w:color w:val="525252"/>
          <w:sz w:val="13"/>
        </w:rPr>
        <w:t>They will have a center fly-front opening and front and back waist darts, two 1/4 top side pockets, and a waistband with five belt loops.</w:t>
      </w:r>
    </w:p>
    <w:p>
      <w:pPr>
        <w:spacing w:after="20" w:line="223" w:lineRule="auto"/>
        <w:jc w:val="right"/>
        <w:bidi/>
      </w:pPr>
      <w:r>
        <w:rPr>
          <w:rFonts w:ascii="Arial" w:hAnsi="Arial"/>
          <w:sz w:val="16"/>
        </w:rPr>
        <w:t>447.07  جنس شلوار با کت لباس سرویس هم در پارچه و هم در سایه مطابقت دارد.</w:t>
      </w:r>
    </w:p>
    <w:p>
      <w:pPr>
        <w:spacing w:after="28" w:line="216" w:lineRule="auto"/>
        <w:ind w:left="259"/>
        <w:jc w:val="left"/>
      </w:pPr>
      <w:r>
        <w:rPr>
          <w:rFonts w:ascii="Arial" w:hAnsi="Arial"/>
          <w:color w:val="525252"/>
          <w:sz w:val="13"/>
        </w:rPr>
        <w:t>The slacks material will match the service dress coat in both fabric and shade.</w:t>
      </w:r>
    </w:p>
    <w:p>
      <w:pPr>
        <w:spacing w:after="20" w:line="223" w:lineRule="auto"/>
        <w:jc w:val="right"/>
        <w:bidi/>
      </w:pPr>
      <w:r>
        <w:rPr>
          <w:rFonts w:ascii="Arial" w:hAnsi="Arial"/>
          <w:sz w:val="16"/>
        </w:rPr>
        <w:t>447.08  دامن (زنانه).</w:t>
      </w:r>
    </w:p>
    <w:p>
      <w:pPr>
        <w:spacing w:after="28" w:line="216" w:lineRule="auto"/>
        <w:ind w:left="259"/>
        <w:jc w:val="left"/>
      </w:pPr>
      <w:r>
        <w:rPr>
          <w:rFonts w:ascii="Arial" w:hAnsi="Arial"/>
          <w:color w:val="525252"/>
          <w:sz w:val="13"/>
        </w:rPr>
        <w:t>Skirt (Female).</w:t>
      </w:r>
    </w:p>
    <w:p>
      <w:pPr>
        <w:spacing w:after="20" w:line="223" w:lineRule="auto"/>
        <w:jc w:val="right"/>
        <w:bidi/>
      </w:pPr>
      <w:r>
        <w:rPr>
          <w:rFonts w:ascii="Arial" w:hAnsi="Arial"/>
          <w:sz w:val="16"/>
        </w:rPr>
        <w:t>447.09  دامن پلی استر یا پلی پشمی، آبی خواهد بود و به‌طور طبیعی روی باسن و با گشاد شدن جزئی آویزان می‌شود.</w:t>
      </w:r>
    </w:p>
    <w:p>
      <w:pPr>
        <w:spacing w:after="28" w:line="216" w:lineRule="auto"/>
        <w:ind w:left="259"/>
        <w:jc w:val="left"/>
      </w:pPr>
      <w:r>
        <w:rPr>
          <w:rFonts w:ascii="Arial" w:hAnsi="Arial"/>
          <w:color w:val="525252"/>
          <w:sz w:val="13"/>
        </w:rPr>
        <w:t>The skirt will be polyester or poly-wool, blue and hang naturally over the hips with a slight flare.</w:t>
      </w:r>
    </w:p>
    <w:p>
      <w:pPr>
        <w:spacing w:after="20" w:line="223" w:lineRule="auto"/>
        <w:jc w:val="right"/>
        <w:bidi/>
      </w:pPr>
      <w:r>
        <w:rPr>
          <w:rFonts w:ascii="Arial" w:hAnsi="Arial"/>
          <w:sz w:val="16"/>
        </w:rPr>
        <w:t>447.10  هنگام ایستادن در معرض دید، دامن کوتاهتر از بالای کاسه زانو و بلندتر از پایین کاسه زانو نخواهد بود.</w:t>
      </w:r>
    </w:p>
    <w:p>
      <w:pPr>
        <w:spacing w:after="28" w:line="216" w:lineRule="auto"/>
        <w:ind w:left="259"/>
        <w:jc w:val="left"/>
      </w:pPr>
      <w:r>
        <w:rPr>
          <w:rFonts w:ascii="Arial" w:hAnsi="Arial"/>
          <w:color w:val="525252"/>
          <w:sz w:val="13"/>
        </w:rPr>
        <w:t>The skirt will be no shorter than the top of the kneecap and no longer than the bottom of the kneecap when standing at attention.</w:t>
      </w:r>
    </w:p>
    <w:p>
      <w:pPr>
        <w:spacing w:after="20" w:line="223" w:lineRule="auto"/>
        <w:jc w:val="right"/>
        <w:bidi/>
      </w:pPr>
      <w:r>
        <w:rPr>
          <w:rFonts w:ascii="Arial" w:hAnsi="Arial"/>
          <w:sz w:val="16"/>
        </w:rPr>
        <w:t>447.11  مدل دامن صاف با حلقه‌های کمربند، پلیسه در پشت، دو جیب و جلوی دارت خواهد بود.</w:t>
      </w:r>
    </w:p>
    <w:p>
      <w:pPr>
        <w:spacing w:after="28" w:line="216" w:lineRule="auto"/>
        <w:ind w:left="259"/>
        <w:jc w:val="left"/>
      </w:pPr>
      <w:r>
        <w:rPr>
          <w:rFonts w:ascii="Arial" w:hAnsi="Arial"/>
          <w:color w:val="525252"/>
          <w:sz w:val="13"/>
        </w:rPr>
        <w:t>The skirt will be straight style with belt loops, a kick pleat in the back, two pockets, and a darted front.</w:t>
      </w:r>
    </w:p>
    <w:p>
      <w:pPr>
        <w:spacing w:after="20" w:line="223" w:lineRule="auto"/>
        <w:jc w:val="right"/>
        <w:bidi/>
      </w:pPr>
      <w:r>
        <w:rPr>
          <w:rFonts w:ascii="Arial" w:hAnsi="Arial"/>
          <w:sz w:val="16"/>
        </w:rPr>
        <w:t>447.12  دامن‌ها دارای زیپ پشت و آستر متصل به کمر خواهند بود.</w:t>
      </w:r>
    </w:p>
    <w:p>
      <w:pPr>
        <w:spacing w:after="28" w:line="216" w:lineRule="auto"/>
        <w:ind w:left="259"/>
        <w:jc w:val="left"/>
      </w:pPr>
      <w:r>
        <w:rPr>
          <w:rFonts w:ascii="Arial" w:hAnsi="Arial"/>
          <w:color w:val="525252"/>
          <w:sz w:val="13"/>
        </w:rPr>
        <w:t>Skirts will have a back zipper and lining attached to the waist.</w:t>
      </w:r>
    </w:p>
    <w:p>
      <w:pPr>
        <w:spacing w:after="20" w:line="223" w:lineRule="auto"/>
        <w:jc w:val="right"/>
        <w:bidi/>
      </w:pPr>
      <w:r>
        <w:rPr>
          <w:rFonts w:ascii="Arial" w:hAnsi="Arial"/>
          <w:sz w:val="16"/>
        </w:rPr>
        <w:t>447.13  جنس دامن با کت لباس سرویس هم در پارچه و هم در سایه مطابقت دارد.</w:t>
      </w:r>
    </w:p>
    <w:p>
      <w:pPr>
        <w:spacing w:after="28" w:line="216" w:lineRule="auto"/>
        <w:ind w:left="259"/>
        <w:jc w:val="left"/>
      </w:pPr>
      <w:r>
        <w:rPr>
          <w:rFonts w:ascii="Arial" w:hAnsi="Arial"/>
          <w:color w:val="525252"/>
          <w:sz w:val="13"/>
        </w:rPr>
        <w:t>Skirt material will match the service dress coat in both fabric and shade.</w:t>
      </w:r>
    </w:p>
    <w:p>
      <w:pPr>
        <w:spacing w:before="60" w:after="28"/>
        <w:jc w:val="right"/>
        <w:bidi/>
      </w:pPr>
      <w:r>
        <w:rPr>
          <w:b/>
          <w:color w:val="1F4D78"/>
          <w:sz w:val="18"/>
        </w:rPr>
        <w:t>شکل 23.24. پیراهن آستین بلند مردانه آبی</w:t>
      </w:r>
    </w:p>
    <w:p>
      <w:pPr>
        <w:spacing w:after="20"/>
        <w:ind w:left="259"/>
        <w:jc w:val="left"/>
      </w:pPr>
      <w:r>
        <w:rPr>
          <w:color w:val="555555"/>
          <w:sz w:val="12"/>
        </w:rPr>
        <w:t>Figure 23.24. Male Long Sleeve Blue Shirt</w:t>
      </w:r>
    </w:p>
    <w:p>
      <w:r>
        <w:br w:type="page"/>
      </w:r>
    </w:p>
    <w:p>
      <w:pPr>
        <w:spacing w:after="60"/>
        <w:jc w:val="right"/>
        <w:bidi/>
      </w:pPr>
      <w:r>
        <w:rPr>
          <w:rFonts w:ascii="Arial" w:hAnsi="Arial"/>
          <w:b/>
          <w:color w:val="1F4D78"/>
          <w:sz w:val="19"/>
        </w:rPr>
        <w:t>هفتهٔ 448  |  صفحهٔ منبع: 464</w:t>
      </w:r>
    </w:p>
    <w:p>
      <w:pPr>
        <w:spacing w:before="60" w:after="28"/>
        <w:jc w:val="right"/>
        <w:bidi/>
      </w:pPr>
      <w:r>
        <w:rPr>
          <w:b/>
          <w:color w:val="1F4D78"/>
          <w:sz w:val="18"/>
        </w:rPr>
        <w:t>شکل 23.25. پیراهن آستین کوتاه مردانه</w:t>
      </w:r>
    </w:p>
    <w:p>
      <w:pPr>
        <w:spacing w:after="20"/>
        <w:ind w:left="259"/>
        <w:jc w:val="left"/>
      </w:pPr>
      <w:r>
        <w:rPr>
          <w:color w:val="555555"/>
          <w:sz w:val="12"/>
        </w:rPr>
        <w:t>Figure 23.25. Male Short Sleeve Shirt</w:t>
      </w:r>
    </w:p>
    <w:p>
      <w:pPr>
        <w:spacing w:before="60" w:after="28"/>
        <w:jc w:val="right"/>
        <w:bidi/>
      </w:pPr>
      <w:r>
        <w:rPr>
          <w:b/>
          <w:color w:val="1F4D78"/>
          <w:sz w:val="18"/>
        </w:rPr>
        <w:t>شکل 23.25.</w:t>
      </w:r>
    </w:p>
    <w:p>
      <w:pPr>
        <w:spacing w:after="20"/>
        <w:ind w:left="259"/>
        <w:jc w:val="left"/>
      </w:pPr>
      <w:r>
        <w:rPr>
          <w:color w:val="555555"/>
          <w:sz w:val="12"/>
        </w:rPr>
        <w:t>Figure 23.25.</w:t>
      </w:r>
    </w:p>
    <w:p>
      <w:pPr>
        <w:spacing w:before="60" w:after="28"/>
        <w:jc w:val="right"/>
        <w:bidi/>
      </w:pPr>
      <w:r>
        <w:rPr>
          <w:b/>
          <w:color w:val="1F4D78"/>
          <w:sz w:val="18"/>
        </w:rPr>
        <w:t>شکل</w:t>
      </w:r>
    </w:p>
    <w:p>
      <w:pPr>
        <w:spacing w:after="20"/>
        <w:ind w:left="259"/>
        <w:jc w:val="left"/>
      </w:pPr>
      <w:r>
        <w:rPr>
          <w:color w:val="555555"/>
          <w:sz w:val="12"/>
        </w:rPr>
        <w:t>Figure</w:t>
      </w:r>
    </w:p>
    <w:p>
      <w:pPr>
        <w:spacing w:after="20" w:line="223" w:lineRule="auto"/>
        <w:jc w:val="right"/>
        <w:bidi/>
      </w:pPr>
      <w:r>
        <w:rPr>
          <w:rFonts w:ascii="Arial" w:hAnsi="Arial"/>
          <w:sz w:val="16"/>
        </w:rPr>
        <w:t>448.04  زن ۲۳.۲۵. پیراهن بلوز آستین کوتاه مردانه بلوز آستین کوتاه آبی</w:t>
      </w:r>
    </w:p>
    <w:p>
      <w:pPr>
        <w:spacing w:after="28" w:line="216" w:lineRule="auto"/>
        <w:ind w:left="259"/>
        <w:jc w:val="left"/>
      </w:pPr>
      <w:r>
        <w:rPr>
          <w:rFonts w:ascii="Arial" w:hAnsi="Arial"/>
          <w:color w:val="525252"/>
          <w:sz w:val="13"/>
        </w:rPr>
        <w:t>Female 23.25.Long MaleSleeve Short Blue Sleeve Blouse Shirt</w:t>
      </w:r>
    </w:p>
    <w:p>
      <w:r>
        <w:br w:type="page"/>
      </w:r>
    </w:p>
    <w:p>
      <w:pPr>
        <w:spacing w:after="60"/>
        <w:jc w:val="right"/>
        <w:bidi/>
      </w:pPr>
      <w:r>
        <w:rPr>
          <w:rFonts w:ascii="Arial" w:hAnsi="Arial"/>
          <w:b/>
          <w:color w:val="1F4D78"/>
          <w:sz w:val="19"/>
        </w:rPr>
        <w:t>هفتهٔ 449  |  صفحهٔ منبع: 465</w:t>
      </w:r>
    </w:p>
    <w:p>
      <w:pPr>
        <w:spacing w:before="60" w:after="28"/>
        <w:jc w:val="right"/>
        <w:bidi/>
      </w:pPr>
      <w:r>
        <w:rPr>
          <w:b/>
          <w:color w:val="1F4D78"/>
          <w:sz w:val="18"/>
        </w:rPr>
        <w:t>شکل 23.26. بلوز آستین کوتاه زنانه</w:t>
      </w:r>
    </w:p>
    <w:p>
      <w:pPr>
        <w:spacing w:after="20"/>
        <w:ind w:left="259"/>
        <w:jc w:val="left"/>
      </w:pPr>
      <w:r>
        <w:rPr>
          <w:color w:val="555555"/>
          <w:sz w:val="12"/>
        </w:rPr>
        <w:t>Figure 23.26. Female Short Sleeve Blouse</w:t>
      </w:r>
    </w:p>
    <w:p>
      <w:pPr>
        <w:spacing w:before="60" w:after="28"/>
        <w:jc w:val="right"/>
        <w:bidi/>
      </w:pPr>
      <w:r>
        <w:rPr>
          <w:b/>
          <w:color w:val="1F4D78"/>
          <w:sz w:val="18"/>
        </w:rPr>
        <w:t>شکل 23.27 نشان درجه افسر</w:t>
      </w:r>
    </w:p>
    <w:p>
      <w:pPr>
        <w:spacing w:after="20"/>
        <w:ind w:left="259"/>
        <w:jc w:val="left"/>
      </w:pPr>
      <w:r>
        <w:rPr>
          <w:color w:val="555555"/>
          <w:sz w:val="12"/>
        </w:rPr>
        <w:t>Figure 23.27 Officer Rank Insignia</w:t>
      </w:r>
    </w:p>
    <w:p>
      <w:pPr>
        <w:spacing w:before="60" w:after="28"/>
        <w:jc w:val="right"/>
        <w:bidi/>
      </w:pPr>
      <w:r>
        <w:rPr>
          <w:b/>
          <w:color w:val="1F4D78"/>
          <w:sz w:val="18"/>
        </w:rPr>
        <w:t>شکل 23.28. نشان رتبه ثبت نام</w:t>
      </w:r>
    </w:p>
    <w:p>
      <w:pPr>
        <w:spacing w:after="20"/>
        <w:ind w:left="259"/>
        <w:jc w:val="left"/>
      </w:pPr>
      <w:r>
        <w:rPr>
          <w:color w:val="555555"/>
          <w:sz w:val="12"/>
        </w:rPr>
        <w:t>Figure 23.28. Enlisted Rank Insignia</w:t>
      </w:r>
    </w:p>
    <w:p>
      <w:pPr>
        <w:spacing w:after="20" w:line="223" w:lineRule="auto"/>
        <w:jc w:val="right"/>
        <w:bidi/>
      </w:pPr>
      <w:r>
        <w:rPr>
          <w:rFonts w:ascii="Arial" w:hAnsi="Arial"/>
          <w:sz w:val="16"/>
        </w:rPr>
        <w:t>449.04  ۲۳.۱۰. الگوی استتار عملیاتی (OCP)، مرد و زن. OCP ممکن است پوشیده شده باشد</w:t>
      </w:r>
    </w:p>
    <w:p>
      <w:pPr>
        <w:spacing w:after="28" w:line="216" w:lineRule="auto"/>
        <w:ind w:left="259"/>
        <w:jc w:val="left"/>
      </w:pPr>
      <w:r>
        <w:rPr>
          <w:rFonts w:ascii="Arial" w:hAnsi="Arial"/>
          <w:color w:val="525252"/>
          <w:sz w:val="13"/>
        </w:rPr>
        <w:t>23.10. The Operational Camouflage Pattern (OCP), Male and Female. The OCP may be worn</w:t>
      </w:r>
    </w:p>
    <w:p>
      <w:pPr>
        <w:spacing w:after="20" w:line="223" w:lineRule="auto"/>
        <w:jc w:val="right"/>
        <w:bidi/>
      </w:pPr>
      <w:r>
        <w:rPr>
          <w:rFonts w:ascii="Arial" w:hAnsi="Arial"/>
          <w:sz w:val="16"/>
        </w:rPr>
        <w:t>449.05  برای توقف‌های کوتاه مدت و هنگام صرف غذا در رستوران‌هایی که افراد لباس‌های غیرنظامی مشابهی می‌پوشند.</w:t>
      </w:r>
    </w:p>
    <w:p>
      <w:pPr>
        <w:spacing w:after="28" w:line="216" w:lineRule="auto"/>
        <w:ind w:left="259"/>
        <w:jc w:val="left"/>
      </w:pPr>
      <w:r>
        <w:rPr>
          <w:rFonts w:ascii="Arial" w:hAnsi="Arial"/>
          <w:color w:val="525252"/>
          <w:sz w:val="13"/>
        </w:rPr>
        <w:t>off base for short convenience stops and when eating at restaurants where people wear comparable civilian attire.</w:t>
      </w:r>
    </w:p>
    <w:p>
      <w:pPr>
        <w:spacing w:after="20" w:line="223" w:lineRule="auto"/>
        <w:jc w:val="right"/>
        <w:bidi/>
      </w:pPr>
      <w:r>
        <w:rPr>
          <w:rFonts w:ascii="Arial" w:hAnsi="Arial"/>
          <w:sz w:val="16"/>
        </w:rPr>
        <w:t>449.06  برای صرف غذا در رستوران‌هایی که اکثر افراد ناهار خوری لباس‌های تجاری می‌پوشند یا در موسساتی که عمدتا برای سرو الکل فعالیت می‌کنند، از OCP خارج از پایه استفاده نکنید.</w:t>
      </w:r>
    </w:p>
    <w:p>
      <w:pPr>
        <w:spacing w:after="28" w:line="216" w:lineRule="auto"/>
        <w:ind w:left="259"/>
        <w:jc w:val="left"/>
      </w:pPr>
      <w:r>
        <w:rPr>
          <w:rFonts w:ascii="Arial" w:hAnsi="Arial"/>
          <w:color w:val="525252"/>
          <w:sz w:val="13"/>
        </w:rPr>
        <w:t>Do not wear OCPs off base to eat in restaurants where most diners wear business attire or at establishments that operate primarily to serve alcohol.</w:t>
      </w:r>
    </w:p>
    <w:p>
      <w:pPr>
        <w:spacing w:after="20" w:line="223" w:lineRule="auto"/>
        <w:jc w:val="right"/>
        <w:bidi/>
      </w:pPr>
      <w:r>
        <w:rPr>
          <w:rFonts w:ascii="Arial" w:hAnsi="Arial"/>
          <w:sz w:val="16"/>
        </w:rPr>
        <w:t>449.07  OCP را نشاسته یا داغ فشار ندهید. اتوی سبک مجاز است. با این حال، پرس گرم مکرر یا اتوی سنگین، سایش کلی پارچه را تسریع می‌کند.</w:t>
      </w:r>
    </w:p>
    <w:p>
      <w:pPr>
        <w:spacing w:after="28" w:line="216" w:lineRule="auto"/>
        <w:ind w:left="259"/>
        <w:jc w:val="left"/>
      </w:pPr>
      <w:r>
        <w:rPr>
          <w:rFonts w:ascii="Arial" w:hAnsi="Arial"/>
          <w:color w:val="525252"/>
          <w:sz w:val="13"/>
        </w:rPr>
        <w:t>Do not starch or hot press the OCP; Light ironing is authorized; however, repeated hot pressing or heavy ironing will accelerate the overall wear of the fabric.</w:t>
      </w:r>
    </w:p>
    <w:p>
      <w:pPr>
        <w:spacing w:after="20" w:line="223" w:lineRule="auto"/>
        <w:jc w:val="right"/>
        <w:bidi/>
      </w:pPr>
      <w:r>
        <w:rPr>
          <w:rFonts w:ascii="Arial" w:hAnsi="Arial"/>
          <w:sz w:val="16"/>
        </w:rPr>
        <w:t>449.08  OCPهای خریداری شده توسط پرسنل نیروی هوایی از طریق AAFES MCSS، یا صادر شده از طریق اجزای تجهیزات فردی یا معادل قرارداد، به‌عنوان کاملا مطابق با همه گواهینامه‌ها هستند.</w:t>
      </w:r>
    </w:p>
    <w:p>
      <w:pPr>
        <w:spacing w:after="28" w:line="216" w:lineRule="auto"/>
        <w:ind w:left="259"/>
        <w:jc w:val="left"/>
      </w:pPr>
      <w:r>
        <w:rPr>
          <w:rFonts w:ascii="Arial" w:hAnsi="Arial"/>
          <w:color w:val="525252"/>
          <w:sz w:val="13"/>
        </w:rPr>
        <w:t>OCPs purchased by Air Force personnel through the AAFES MCSS, or issued through Individual Equipment Elements or contract equivalent, are certified as fully compliant with all</w:t>
      </w:r>
    </w:p>
    <w:p>
      <w:r>
        <w:br w:type="page"/>
      </w:r>
    </w:p>
    <w:p>
      <w:pPr>
        <w:spacing w:after="60"/>
        <w:jc w:val="right"/>
        <w:bidi/>
      </w:pPr>
      <w:r>
        <w:rPr>
          <w:rFonts w:ascii="Arial" w:hAnsi="Arial"/>
          <w:b/>
          <w:color w:val="1F4D78"/>
          <w:sz w:val="19"/>
        </w:rPr>
        <w:t>هفتهٔ 450  |  صفحهٔ منبع: 466</w:t>
      </w:r>
    </w:p>
    <w:p>
      <w:pPr>
        <w:spacing w:after="20" w:line="223" w:lineRule="auto"/>
        <w:jc w:val="right"/>
        <w:bidi/>
      </w:pPr>
      <w:r>
        <w:rPr>
          <w:rFonts w:ascii="Arial" w:hAnsi="Arial"/>
          <w:sz w:val="16"/>
        </w:rPr>
        <w:t>450.01  مشخصات.</w:t>
      </w:r>
    </w:p>
    <w:p>
      <w:pPr>
        <w:spacing w:after="28" w:line="216" w:lineRule="auto"/>
        <w:ind w:left="259"/>
        <w:jc w:val="left"/>
      </w:pPr>
      <w:r>
        <w:rPr>
          <w:rFonts w:ascii="Arial" w:hAnsi="Arial"/>
          <w:color w:val="525252"/>
          <w:sz w:val="13"/>
        </w:rPr>
        <w:t>specifications.</w:t>
      </w:r>
    </w:p>
    <w:p>
      <w:pPr>
        <w:spacing w:after="20" w:line="223" w:lineRule="auto"/>
        <w:jc w:val="right"/>
        <w:bidi/>
      </w:pPr>
      <w:r>
        <w:rPr>
          <w:rFonts w:ascii="Arial" w:hAnsi="Arial"/>
          <w:sz w:val="16"/>
        </w:rPr>
        <w:t>450.02  هیچ تأمین کننده دیگری برای خریدهای سازمانی/واحد، یا هر گونه مخارج بودجه عملیات اضطراری اختصاصی یا خارج از کشور تأیید نشده است.</w:t>
      </w:r>
    </w:p>
    <w:p>
      <w:pPr>
        <w:spacing w:after="28" w:line="216" w:lineRule="auto"/>
        <w:ind w:left="259"/>
        <w:jc w:val="left"/>
      </w:pPr>
      <w:r>
        <w:rPr>
          <w:rFonts w:ascii="Arial" w:hAnsi="Arial"/>
          <w:color w:val="525252"/>
          <w:sz w:val="13"/>
        </w:rPr>
        <w:t>No other suppliers are approved for organizational/unit purchases, or any appropriated, or overseas contingency operation funds expenditures.</w:t>
      </w:r>
    </w:p>
    <w:p>
      <w:pPr>
        <w:spacing w:after="20" w:line="223" w:lineRule="auto"/>
        <w:jc w:val="right"/>
        <w:bidi/>
      </w:pPr>
      <w:r>
        <w:rPr>
          <w:rFonts w:ascii="Arial" w:hAnsi="Arial"/>
          <w:sz w:val="16"/>
        </w:rPr>
        <w:t>450.03  اگر پرسنل استفاده از وجوه شخصی را برای خرید از تأمین کنندگان غیر AAFES انتخاب کنند، در صورتی که یونیفرم کاملا مطابقت نداشته باشد، نیروی هوایی مسئولیتی ندارد.</w:t>
      </w:r>
    </w:p>
    <w:p>
      <w:pPr>
        <w:spacing w:after="28" w:line="216" w:lineRule="auto"/>
        <w:ind w:left="259"/>
        <w:jc w:val="left"/>
      </w:pPr>
      <w:r>
        <w:rPr>
          <w:rFonts w:ascii="Arial" w:hAnsi="Arial"/>
          <w:color w:val="525252"/>
          <w:sz w:val="13"/>
        </w:rPr>
        <w:t>If personnel choose to use personal funds to purchase from non-AAFES suppliers, the Air Force is not responsible if the uniform is not fully compliant.</w:t>
      </w:r>
    </w:p>
    <w:p>
      <w:pPr>
        <w:spacing w:after="20" w:line="223" w:lineRule="auto"/>
        <w:jc w:val="right"/>
        <w:bidi/>
      </w:pPr>
      <w:r>
        <w:rPr>
          <w:rFonts w:ascii="Arial" w:hAnsi="Arial"/>
          <w:sz w:val="16"/>
        </w:rPr>
        <w:t>450.04  یونیفرم‌های OCP ضد آتش و بهبود یافته در هوای گرم تنها یونیفرم‌های OCP هستند که مجاز به پوشیدن توسط همه هوانوردان هستند.</w:t>
      </w:r>
    </w:p>
    <w:p>
      <w:pPr>
        <w:spacing w:after="28" w:line="216" w:lineRule="auto"/>
        <w:ind w:left="259"/>
        <w:jc w:val="left"/>
      </w:pPr>
      <w:r>
        <w:rPr>
          <w:rFonts w:ascii="Arial" w:hAnsi="Arial"/>
          <w:color w:val="525252"/>
          <w:sz w:val="13"/>
        </w:rPr>
        <w:t>The non-fire-retardant and improved hot weather combat OCP uniforms are the only OCP uniforms authorized to be worn by all Airmen.</w:t>
      </w:r>
    </w:p>
    <w:p>
      <w:pPr>
        <w:spacing w:after="20" w:line="223" w:lineRule="auto"/>
        <w:jc w:val="right"/>
        <w:bidi/>
      </w:pPr>
      <w:r>
        <w:rPr>
          <w:rFonts w:ascii="Arial" w:hAnsi="Arial"/>
          <w:sz w:val="16"/>
        </w:rPr>
        <w:t>450.05  (استثنا: هوانوردان در مشاغلی که دارای الزامات مدیریت ایمنی و بهداشت شغلی (OSHA) برای پوشیدن OCP ۱۰۰% پنبه‌ای مقاوم در برابر آتش هستند (به‌عنوان مثال، اعضای مستقر در خارج از مجموعه مأموریت سیمی) مجاز به پوشیدن این یونیفرم متمایز و اقلام ضد آتش نشانی متمایز خواهند بود.) پرسنل (EOD) مجاز به پوشیدن یونیفرم دو تکه وظیفه پرواز هستند و یونیفورم آنها به همان پیکربندی و روشی که در DAFI ۳۶-۲۹۰۳، بند ۹.۱۲ دستورالعمل داده شده است، پوشیده خواهد شد.</w:t>
      </w:r>
    </w:p>
    <w:p>
      <w:pPr>
        <w:spacing w:after="28" w:line="216" w:lineRule="auto"/>
        <w:ind w:left="259"/>
        <w:jc w:val="left"/>
      </w:pPr>
      <w:r>
        <w:rPr>
          <w:rFonts w:ascii="Arial" w:hAnsi="Arial"/>
          <w:color w:val="525252"/>
          <w:sz w:val="13"/>
        </w:rPr>
        <w:t>(Exception: Airmen in jobs that have occupational safety and health administration (OSHA) requirements for wear of the 100% cotton fire-retardant OCP (e.g., deployed members operating in outside the wire mission sets) will be authorized to wear this distinctive uniform/equipment item.) Additionally, firefighters and explosive ordnance disposal (EOD) personnel are authorized to wear the two-piece flight duty uniform and their uniform will be worn in the same configuration and manner as instructed in DAFI 36-2903, paragraph 9.12.</w:t>
      </w:r>
    </w:p>
    <w:p>
      <w:pPr>
        <w:spacing w:after="20" w:line="223" w:lineRule="auto"/>
        <w:jc w:val="right"/>
        <w:bidi/>
      </w:pPr>
      <w:r>
        <w:rPr>
          <w:rFonts w:ascii="Arial" w:hAnsi="Arial"/>
          <w:sz w:val="16"/>
        </w:rPr>
        <w:t>450.06  (استثناء: نشان آتش نشان به جای پچ ستاد بالاتر در آستین چپ پوشیده می‌شود.) کت (پیراهن) OCP.</w:t>
      </w:r>
    </w:p>
    <w:p>
      <w:pPr>
        <w:spacing w:after="28" w:line="216" w:lineRule="auto"/>
        <w:ind w:left="259"/>
        <w:jc w:val="left"/>
      </w:pPr>
      <w:r>
        <w:rPr>
          <w:rFonts w:ascii="Arial" w:hAnsi="Arial"/>
          <w:color w:val="525252"/>
          <w:sz w:val="13"/>
        </w:rPr>
        <w:t>(Exception: The firefighter badge will be worn in-lieu of the higher headquarters patch on the left sleeve.) OCP Coat (Shirt).</w:t>
      </w:r>
    </w:p>
    <w:p>
      <w:pPr>
        <w:spacing w:after="20" w:line="223" w:lineRule="auto"/>
        <w:jc w:val="right"/>
        <w:bidi/>
      </w:pPr>
      <w:r>
        <w:rPr>
          <w:rFonts w:ascii="Arial" w:hAnsi="Arial"/>
          <w:sz w:val="16"/>
        </w:rPr>
        <w:t>450.07  کت بیرون از شلوار پوشیده می‌شود.</w:t>
      </w:r>
    </w:p>
    <w:p>
      <w:pPr>
        <w:spacing w:after="28" w:line="216" w:lineRule="auto"/>
        <w:ind w:left="259"/>
        <w:jc w:val="left"/>
      </w:pPr>
      <w:r>
        <w:rPr>
          <w:rFonts w:ascii="Arial" w:hAnsi="Arial"/>
          <w:color w:val="525252"/>
          <w:sz w:val="13"/>
        </w:rPr>
        <w:t>The coat is worn outside the trousers.</w:t>
      </w:r>
    </w:p>
    <w:p>
      <w:pPr>
        <w:spacing w:after="20" w:line="223" w:lineRule="auto"/>
        <w:jc w:val="right"/>
        <w:bidi/>
      </w:pPr>
      <w:r>
        <w:rPr>
          <w:rFonts w:ascii="Arial" w:hAnsi="Arial"/>
          <w:sz w:val="16"/>
        </w:rPr>
        <w:t>450.08  توجه: فرماندهان می‌توانند در صورت لزوم اجازه دهند که کت برای انجام وظیفه (به‌عنوان مثال، هوانوردان نیروهای امنیتی) پوشیده شود.</w:t>
      </w:r>
    </w:p>
    <w:p>
      <w:pPr>
        <w:spacing w:after="28" w:line="216" w:lineRule="auto"/>
        <w:ind w:left="259"/>
        <w:jc w:val="left"/>
      </w:pPr>
      <w:r>
        <w:rPr>
          <w:rFonts w:ascii="Arial" w:hAnsi="Arial"/>
          <w:color w:val="525252"/>
          <w:sz w:val="13"/>
        </w:rPr>
        <w:t>Note: Commanders may authorize the coat to be tucked in for duty (e.g., Security Forces Airmen) if necessary.</w:t>
      </w:r>
    </w:p>
    <w:p>
      <w:pPr>
        <w:spacing w:after="20" w:line="223" w:lineRule="auto"/>
        <w:jc w:val="right"/>
        <w:bidi/>
      </w:pPr>
      <w:r>
        <w:rPr>
          <w:rFonts w:ascii="Arial" w:hAnsi="Arial"/>
          <w:sz w:val="16"/>
        </w:rPr>
        <w:t>450.09  کت زیر قسمت بالای جیب باری شلوار کشیده نمی‌شود و بالاتر از قسمت پایینی باز شدن جیب بغل (لپ) شلوار نخواهد بود.</w:t>
      </w:r>
    </w:p>
    <w:p>
      <w:pPr>
        <w:spacing w:after="28" w:line="216" w:lineRule="auto"/>
        <w:ind w:left="259"/>
        <w:jc w:val="left"/>
      </w:pPr>
      <w:r>
        <w:rPr>
          <w:rFonts w:ascii="Arial" w:hAnsi="Arial"/>
          <w:color w:val="525252"/>
          <w:sz w:val="13"/>
        </w:rPr>
        <w:t>The coat will not extend below the top of the cargo pocket on the trousers and will not be higher than the bottom of the opening of the side (hip) pocket on the trousers.</w:t>
      </w:r>
    </w:p>
    <w:p>
      <w:pPr>
        <w:spacing w:after="20" w:line="223" w:lineRule="auto"/>
        <w:jc w:val="right"/>
        <w:bidi/>
      </w:pPr>
      <w:r>
        <w:rPr>
          <w:rFonts w:ascii="Arial" w:hAnsi="Arial"/>
          <w:sz w:val="16"/>
        </w:rPr>
        <w:t>450.10  هوانوردان ممکن است آستین‌های کت OCP را بالا بزنند. اما وقتی بازو با زاویه ۹۰ درجه خم می‌شود، سرآستین‌ها قابل رویت خواهند ماند و آستین روی ساعد یا در فاصله ۱ اینچی از آن قرار می‌گیرد.</w:t>
      </w:r>
    </w:p>
    <w:p>
      <w:pPr>
        <w:spacing w:after="28" w:line="216" w:lineRule="auto"/>
        <w:ind w:left="259"/>
        <w:jc w:val="left"/>
      </w:pPr>
      <w:r>
        <w:rPr>
          <w:rFonts w:ascii="Arial" w:hAnsi="Arial"/>
          <w:color w:val="525252"/>
          <w:sz w:val="13"/>
        </w:rPr>
        <w:t>Airmen may roll up sleeves on the OCP coat; however, the cuffs will remain visible, and the sleeve will rest at, or within 1-inch of, the forearm when the arm is bent at a 90-degree angle.</w:t>
      </w:r>
    </w:p>
    <w:p>
      <w:pPr>
        <w:spacing w:after="20" w:line="223" w:lineRule="auto"/>
        <w:jc w:val="right"/>
        <w:bidi/>
      </w:pPr>
      <w:r>
        <w:rPr>
          <w:rFonts w:ascii="Arial" w:hAnsi="Arial"/>
          <w:sz w:val="16"/>
        </w:rPr>
        <w:t>450.11  هنگامی که آستین‌ها بالا نمی‌روند، ممکن است سرآستین‌ها قابل مشاهده باشند یا دو بار به سمت داخل تا شوند.</w:t>
      </w:r>
    </w:p>
    <w:p>
      <w:pPr>
        <w:spacing w:after="28" w:line="216" w:lineRule="auto"/>
        <w:ind w:left="259"/>
        <w:jc w:val="left"/>
      </w:pPr>
      <w:r>
        <w:rPr>
          <w:rFonts w:ascii="Arial" w:hAnsi="Arial"/>
          <w:color w:val="525252"/>
          <w:sz w:val="13"/>
        </w:rPr>
        <w:t>When sleeves are not rolled up, cuffs may remain visible or be folded inward twice.</w:t>
      </w:r>
    </w:p>
    <w:p>
      <w:pPr>
        <w:spacing w:after="20" w:line="223" w:lineRule="auto"/>
        <w:jc w:val="right"/>
        <w:bidi/>
      </w:pPr>
      <w:r>
        <w:rPr>
          <w:rFonts w:ascii="Arial" w:hAnsi="Arial"/>
          <w:sz w:val="16"/>
        </w:rPr>
        <w:t>450.12  فرماندهان ممکن است از چرخاندن آستین و تا زدن سرآستین منع کنند.</w:t>
      </w:r>
    </w:p>
    <w:p>
      <w:pPr>
        <w:spacing w:after="28" w:line="216" w:lineRule="auto"/>
        <w:ind w:left="259"/>
        <w:jc w:val="left"/>
      </w:pPr>
      <w:r>
        <w:rPr>
          <w:rFonts w:ascii="Arial" w:hAnsi="Arial"/>
          <w:color w:val="525252"/>
          <w:sz w:val="13"/>
        </w:rPr>
        <w:t>Commanders may prohibit rolling of sleeves and folding of cuffs.</w:t>
      </w:r>
    </w:p>
    <w:p>
      <w:pPr>
        <w:spacing w:after="20" w:line="223" w:lineRule="auto"/>
        <w:jc w:val="right"/>
        <w:bidi/>
      </w:pPr>
      <w:r>
        <w:rPr>
          <w:rFonts w:ascii="Arial" w:hAnsi="Arial"/>
          <w:sz w:val="16"/>
        </w:rPr>
        <w:t>450.13  پچ‌ها یا نشان‌ها روی جیب‌های جلو چسبانده نمی‌شوند.</w:t>
      </w:r>
    </w:p>
    <w:p>
      <w:pPr>
        <w:spacing w:after="28" w:line="216" w:lineRule="auto"/>
        <w:ind w:left="259"/>
        <w:jc w:val="left"/>
      </w:pPr>
      <w:r>
        <w:rPr>
          <w:rFonts w:ascii="Arial" w:hAnsi="Arial"/>
          <w:color w:val="525252"/>
          <w:sz w:val="13"/>
        </w:rPr>
        <w:t>Patches or badges will not be affixed to the front pockets.</w:t>
      </w:r>
    </w:p>
    <w:p>
      <w:pPr>
        <w:spacing w:after="20" w:line="223" w:lineRule="auto"/>
        <w:jc w:val="right"/>
        <w:bidi/>
      </w:pPr>
      <w:r>
        <w:rPr>
          <w:rFonts w:ascii="Arial" w:hAnsi="Arial"/>
          <w:sz w:val="16"/>
        </w:rPr>
        <w:t>450.14  تغییراتی که بر عملکرد یونیفرم تأثیر می‌گذارد مجاز نیستند (مثلا دوختن یقه‌ها یا جیب‌ها).</w:t>
      </w:r>
    </w:p>
    <w:p>
      <w:pPr>
        <w:spacing w:after="28" w:line="216" w:lineRule="auto"/>
        <w:ind w:left="259"/>
        <w:jc w:val="left"/>
      </w:pPr>
      <w:r>
        <w:rPr>
          <w:rFonts w:ascii="Arial" w:hAnsi="Arial"/>
          <w:color w:val="525252"/>
          <w:sz w:val="13"/>
        </w:rPr>
        <w:t>Alterations that affect the functionality of the uniform are not authorized, (e.g., sewing down collars, or pockets).</w:t>
      </w:r>
    </w:p>
    <w:p>
      <w:pPr>
        <w:spacing w:after="20" w:line="223" w:lineRule="auto"/>
        <w:jc w:val="right"/>
        <w:bidi/>
      </w:pPr>
      <w:r>
        <w:rPr>
          <w:rFonts w:ascii="Arial" w:hAnsi="Arial"/>
          <w:sz w:val="16"/>
        </w:rPr>
        <w:t>450.15  کت OCP ممکن است در محل کار فوری همانطور که توسط رهبری محلی تعیین شده است، برداشته شود، با این حال، کت OCP در هنگام تعامل با مشتریان یا مشتریان پوشیده خواهد شد.</w:t>
      </w:r>
    </w:p>
    <w:p>
      <w:pPr>
        <w:spacing w:after="28" w:line="216" w:lineRule="auto"/>
        <w:ind w:left="259"/>
        <w:jc w:val="left"/>
      </w:pPr>
      <w:r>
        <w:rPr>
          <w:rFonts w:ascii="Arial" w:hAnsi="Arial"/>
          <w:color w:val="525252"/>
          <w:sz w:val="13"/>
        </w:rPr>
        <w:t>The OCP coat may be removed in the immediate work area as determined appropriate by local leadership, however, the OCP coat will be worn while interacting with customers or clients.</w:t>
      </w:r>
    </w:p>
    <w:p>
      <w:pPr>
        <w:spacing w:after="20" w:line="223" w:lineRule="auto"/>
        <w:jc w:val="right"/>
        <w:bidi/>
      </w:pPr>
      <w:r>
        <w:rPr>
          <w:rFonts w:ascii="Arial" w:hAnsi="Arial"/>
          <w:sz w:val="16"/>
        </w:rPr>
        <w:t>450.16  تجهیزات.</w:t>
      </w:r>
    </w:p>
    <w:p>
      <w:pPr>
        <w:spacing w:after="28" w:line="216" w:lineRule="auto"/>
        <w:ind w:left="259"/>
        <w:jc w:val="left"/>
      </w:pPr>
      <w:r>
        <w:rPr>
          <w:rFonts w:ascii="Arial" w:hAnsi="Arial"/>
          <w:color w:val="525252"/>
          <w:sz w:val="13"/>
        </w:rPr>
        <w:t>Accoutrements.</w:t>
      </w:r>
    </w:p>
    <w:p>
      <w:pPr>
        <w:spacing w:after="20" w:line="223" w:lineRule="auto"/>
        <w:jc w:val="right"/>
        <w:bidi/>
      </w:pPr>
      <w:r>
        <w:rPr>
          <w:rFonts w:ascii="Arial" w:hAnsi="Arial"/>
          <w:sz w:val="16"/>
        </w:rPr>
        <w:t>450.17  هوانوردان یک پیکربندی اولیه متشکل از نوارهای نام و USAF، پرچم تضعیف شده ایالات متحده، و درجه پایین را خواهند پوشید.</w:t>
      </w:r>
    </w:p>
    <w:p>
      <w:pPr>
        <w:spacing w:after="28" w:line="216" w:lineRule="auto"/>
        <w:ind w:left="259"/>
        <w:jc w:val="left"/>
      </w:pPr>
      <w:r>
        <w:rPr>
          <w:rFonts w:ascii="Arial" w:hAnsi="Arial"/>
          <w:color w:val="525252"/>
          <w:sz w:val="13"/>
        </w:rPr>
        <w:t>Airmen will wear a basic configuration consisting of name and USAF tapes, subdued U.S. Flag, and subdued rank.</w:t>
      </w:r>
    </w:p>
    <w:p>
      <w:pPr>
        <w:spacing w:after="20" w:line="223" w:lineRule="auto"/>
        <w:jc w:val="right"/>
        <w:bidi/>
      </w:pPr>
      <w:r>
        <w:rPr>
          <w:rFonts w:ascii="Arial" w:hAnsi="Arial"/>
          <w:sz w:val="16"/>
        </w:rPr>
        <w:t>450.18  موسسه هرالدری فقط نمادهای سازمانی را به معیارهای رنگ قهوه‌ای ادویه‌ای توسعه داده یا تبدیل خواهد کرد.</w:t>
      </w:r>
    </w:p>
    <w:p>
      <w:pPr>
        <w:spacing w:after="28" w:line="216" w:lineRule="auto"/>
        <w:ind w:left="259"/>
        <w:jc w:val="left"/>
      </w:pPr>
      <w:r>
        <w:rPr>
          <w:rFonts w:ascii="Arial" w:hAnsi="Arial"/>
          <w:color w:val="525252"/>
          <w:sz w:val="13"/>
        </w:rPr>
        <w:t>The Institute of Heraldry will develop or convert only organizational emblems to the spice brown color criteria.</w:t>
      </w:r>
    </w:p>
    <w:p>
      <w:pPr>
        <w:spacing w:after="20" w:line="223" w:lineRule="auto"/>
        <w:jc w:val="right"/>
        <w:bidi/>
      </w:pPr>
      <w:r>
        <w:rPr>
          <w:rFonts w:ascii="Arial" w:hAnsi="Arial"/>
          <w:sz w:val="16"/>
        </w:rPr>
        <w:t>450.19  هنگامی که توسط ستاد عالی (HHQ) مجوز داده شود، فرماندهان و نهادهای سازمانی غیر واحدی همانطور که در AFI ۳۸-۱۰۱ تعریف شده است، نیروی انسانی و سازمان، مانند ادارات، عناصر نیروی هوایی، گروه‌ها، ستاد پشتیبانی فرماندهان) با استفاده از معیارهای رنگ قهوه‌ای ادویه‌ای، وصله‌ها را ایجاد یا تبدیل می‌کنند.</w:t>
      </w:r>
    </w:p>
    <w:p>
      <w:pPr>
        <w:spacing w:after="28" w:line="216" w:lineRule="auto"/>
        <w:ind w:left="259"/>
        <w:jc w:val="left"/>
      </w:pPr>
      <w:r>
        <w:rPr>
          <w:rFonts w:ascii="Arial" w:hAnsi="Arial"/>
          <w:color w:val="525252"/>
          <w:sz w:val="13"/>
        </w:rPr>
        <w:t>When authorized by Higher Headquarters (HHQ), Commanders and non-unit organizational entities as defined in AFI 38-101, Manpower and Organization, such as Directorates, Air Force Elements, Detachments, Commanders Support Staff) will develop or convert patches using the spice brown color criteria.</w:t>
      </w:r>
    </w:p>
    <w:p>
      <w:pPr>
        <w:spacing w:after="20" w:line="223" w:lineRule="auto"/>
        <w:jc w:val="right"/>
        <w:bidi/>
      </w:pPr>
      <w:r>
        <w:rPr>
          <w:rFonts w:ascii="Arial" w:hAnsi="Arial"/>
          <w:sz w:val="16"/>
        </w:rPr>
        <w:t>450.20  هوانوردان ممکن است برای نوار نام، نوار USAF و رتبه از پشتی ولکرو® بدوزند یا استفاده کنند.</w:t>
      </w:r>
    </w:p>
    <w:p>
      <w:pPr>
        <w:spacing w:after="28" w:line="216" w:lineRule="auto"/>
        <w:ind w:left="259"/>
        <w:jc w:val="left"/>
      </w:pPr>
      <w:r>
        <w:rPr>
          <w:rFonts w:ascii="Arial" w:hAnsi="Arial"/>
          <w:color w:val="525252"/>
          <w:sz w:val="13"/>
        </w:rPr>
        <w:t>Airmen may sew-on or use Velcro® backing for nametape, USAF tape, and rank.</w:t>
      </w:r>
    </w:p>
    <w:p>
      <w:pPr>
        <w:spacing w:after="20" w:line="223" w:lineRule="auto"/>
        <w:jc w:val="right"/>
        <w:bidi/>
      </w:pPr>
      <w:r>
        <w:rPr>
          <w:rFonts w:ascii="Arial" w:hAnsi="Arial"/>
          <w:sz w:val="16"/>
        </w:rPr>
        <w:t>450.21  نوارها و رتبه باید تماما دوخته شده یا تماما نوار چسب باشند. هوانوردان مجاز به اختلاط نوارهای دوخته شده و ولکرو® یا رنک نیستند.</w:t>
      </w:r>
    </w:p>
    <w:p>
      <w:pPr>
        <w:spacing w:after="28" w:line="216" w:lineRule="auto"/>
        <w:ind w:left="259"/>
        <w:jc w:val="left"/>
      </w:pPr>
      <w:r>
        <w:rPr>
          <w:rFonts w:ascii="Arial" w:hAnsi="Arial"/>
          <w:color w:val="525252"/>
          <w:sz w:val="13"/>
        </w:rPr>
        <w:t>Tapes and rank must be either all sewn- on or all Velcro®; Airmen are not authorized to mix sewn-on and Velcro® tapes or rank.</w:t>
      </w:r>
    </w:p>
    <w:p>
      <w:pPr>
        <w:spacing w:after="20" w:line="223" w:lineRule="auto"/>
        <w:jc w:val="right"/>
        <w:bidi/>
      </w:pPr>
      <w:r>
        <w:rPr>
          <w:rFonts w:ascii="Arial" w:hAnsi="Arial"/>
          <w:sz w:val="16"/>
        </w:rPr>
        <w:t>450.22  توجه: نشان‌های شغلی ممکن است به صورت دوخته شده یا ولکرو® (پین فلزی روی نشان‌های نوع غیر مجاز در OCP) باشند، اگر بیش از یک نشان پوشیده شده است، باید همه نشان‌ها را بدوزید یا با ولکرو®.</w:t>
      </w:r>
    </w:p>
    <w:p>
      <w:pPr>
        <w:spacing w:after="28" w:line="216" w:lineRule="auto"/>
        <w:ind w:left="259"/>
        <w:jc w:val="left"/>
      </w:pPr>
      <w:r>
        <w:rPr>
          <w:rFonts w:ascii="Arial" w:hAnsi="Arial"/>
          <w:color w:val="525252"/>
          <w:sz w:val="13"/>
        </w:rPr>
        <w:t>Note: Occupational badges may be either sewn-on or Velcro® (metal pin on type badges not authorized on OCP), if more than one is worn you must sew or Velcro® all badges.</w:t>
      </w:r>
    </w:p>
    <w:p>
      <w:pPr>
        <w:spacing w:after="20" w:line="223" w:lineRule="auto"/>
        <w:jc w:val="right"/>
        <w:bidi/>
      </w:pPr>
      <w:r>
        <w:rPr>
          <w:rFonts w:ascii="Arial" w:hAnsi="Arial"/>
          <w:sz w:val="16"/>
        </w:rPr>
        <w:t>450.23  فقط وصله‌های ولکرو® روی آستین چپ و راست کت OCP مجاز هستند.</w:t>
      </w:r>
    </w:p>
    <w:p>
      <w:pPr>
        <w:spacing w:after="28" w:line="216" w:lineRule="auto"/>
        <w:ind w:left="259"/>
        <w:jc w:val="left"/>
      </w:pPr>
      <w:r>
        <w:rPr>
          <w:rFonts w:ascii="Arial" w:hAnsi="Arial"/>
          <w:color w:val="525252"/>
          <w:sz w:val="13"/>
        </w:rPr>
        <w:t>Only Velcro® patches are authorized on the left and right sleeves of the OCP coat.</w:t>
      </w:r>
    </w:p>
    <w:p>
      <w:pPr>
        <w:spacing w:after="20" w:line="223" w:lineRule="auto"/>
        <w:jc w:val="right"/>
        <w:bidi/>
      </w:pPr>
      <w:r>
        <w:rPr>
          <w:rFonts w:ascii="Arial" w:hAnsi="Arial"/>
          <w:sz w:val="16"/>
        </w:rPr>
        <w:t>450.24  یک قلم / جای مداد آستین OCP ولکرو® ممکن است روی هر دو آستین پوشیده شود، اما مانع از سایش مناسب وصله‌های مورد نیاز و/یا نشان‌های وظیفه نمی‌شود.</w:t>
      </w:r>
    </w:p>
    <w:p>
      <w:pPr>
        <w:spacing w:after="28" w:line="216" w:lineRule="auto"/>
        <w:ind w:left="259"/>
        <w:jc w:val="left"/>
      </w:pPr>
      <w:r>
        <w:rPr>
          <w:rFonts w:ascii="Arial" w:hAnsi="Arial"/>
          <w:color w:val="525252"/>
          <w:sz w:val="13"/>
        </w:rPr>
        <w:t>An OCP Velcro® sleeve pen/pencil holder may be worn on either sleeve but will not impede the proper wear of required patches and/or duty badges.</w:t>
      </w:r>
    </w:p>
    <w:p>
      <w:pPr>
        <w:spacing w:after="20" w:line="223" w:lineRule="auto"/>
        <w:jc w:val="right"/>
        <w:bidi/>
      </w:pPr>
      <w:r>
        <w:rPr>
          <w:rFonts w:ascii="Arial" w:hAnsi="Arial"/>
          <w:sz w:val="16"/>
        </w:rPr>
        <w:t>450.25  نشان درجه قهوه‌ای ادویه‌ای برای کلیه پرسنل الزامی است.</w:t>
      </w:r>
    </w:p>
    <w:p>
      <w:pPr>
        <w:spacing w:after="28" w:line="216" w:lineRule="auto"/>
        <w:ind w:left="259"/>
        <w:jc w:val="left"/>
      </w:pPr>
      <w:r>
        <w:rPr>
          <w:rFonts w:ascii="Arial" w:hAnsi="Arial"/>
          <w:color w:val="525252"/>
          <w:sz w:val="13"/>
        </w:rPr>
        <w:t>Spice brown rank insignia is mandatory for all personnel.</w:t>
      </w:r>
    </w:p>
    <w:p>
      <w:pPr>
        <w:spacing w:after="20" w:line="223" w:lineRule="auto"/>
        <w:jc w:val="right"/>
        <w:bidi/>
      </w:pPr>
      <w:r>
        <w:rPr>
          <w:rFonts w:ascii="Arial" w:hAnsi="Arial"/>
          <w:sz w:val="16"/>
        </w:rPr>
        <w:t>450.26  (استثناها: بدون نیاز به رتبه برای رتبه پایه هوانوردی).</w:t>
      </w:r>
    </w:p>
    <w:p>
      <w:pPr>
        <w:spacing w:after="28" w:line="216" w:lineRule="auto"/>
        <w:ind w:left="259"/>
        <w:jc w:val="left"/>
      </w:pPr>
      <w:r>
        <w:rPr>
          <w:rFonts w:ascii="Arial" w:hAnsi="Arial"/>
          <w:color w:val="525252"/>
          <w:sz w:val="13"/>
        </w:rPr>
        <w:t>(Exceptions: No rank required for airmen basic rank).</w:t>
      </w:r>
    </w:p>
    <w:p>
      <w:pPr>
        <w:spacing w:after="20" w:line="223" w:lineRule="auto"/>
        <w:jc w:val="right"/>
        <w:bidi/>
      </w:pPr>
      <w:r>
        <w:rPr>
          <w:rFonts w:ascii="Arial" w:hAnsi="Arial"/>
          <w:sz w:val="16"/>
        </w:rPr>
        <w:t>450.27  نشان درجه ستوان یکم و ستوان یکم مشکی خواهد بود.</w:t>
      </w:r>
    </w:p>
    <w:p>
      <w:pPr>
        <w:spacing w:after="28" w:line="216" w:lineRule="auto"/>
        <w:ind w:left="259"/>
        <w:jc w:val="left"/>
      </w:pPr>
      <w:r>
        <w:rPr>
          <w:rFonts w:ascii="Arial" w:hAnsi="Arial"/>
          <w:color w:val="525252"/>
          <w:sz w:val="13"/>
        </w:rPr>
        <w:t>First lieutenant and lieutenant colonel rank insignia will be black.</w:t>
      </w:r>
    </w:p>
    <w:p>
      <w:pPr>
        <w:spacing w:after="20" w:line="223" w:lineRule="auto"/>
        <w:jc w:val="right"/>
        <w:bidi/>
      </w:pPr>
      <w:r>
        <w:rPr>
          <w:rFonts w:ascii="Arial" w:hAnsi="Arial"/>
          <w:sz w:val="16"/>
        </w:rPr>
        <w:t>450.28  (توجه: GO ها ستاره هایی با قطر ۳/۴ اینچ می‌پوشند.</w:t>
      </w:r>
    </w:p>
    <w:p>
      <w:pPr>
        <w:spacing w:after="28" w:line="216" w:lineRule="auto"/>
        <w:ind w:left="259"/>
        <w:jc w:val="left"/>
      </w:pPr>
      <w:r>
        <w:rPr>
          <w:rFonts w:ascii="Arial" w:hAnsi="Arial"/>
          <w:color w:val="525252"/>
          <w:sz w:val="13"/>
        </w:rPr>
        <w:t>(Note: GOs wear 3/4-inch diameter stars.</w:t>
      </w:r>
    </w:p>
    <w:p>
      <w:pPr>
        <w:spacing w:after="20" w:line="223" w:lineRule="auto"/>
        <w:jc w:val="right"/>
        <w:bidi/>
      </w:pPr>
      <w:r>
        <w:rPr>
          <w:rFonts w:ascii="Arial" w:hAnsi="Arial"/>
          <w:sz w:val="16"/>
        </w:rPr>
        <w:t>450.29  نوارهای نام و USAF برای همه پرسنل نیروی هوایی اجباری است و روی پس‌زمینه OCP گلدوزی با حروف قهوه‌ای ادویه‌ای خواهد بود.</w:t>
      </w:r>
    </w:p>
    <w:p>
      <w:pPr>
        <w:spacing w:after="28" w:line="216" w:lineRule="auto"/>
        <w:ind w:left="259"/>
        <w:jc w:val="left"/>
      </w:pPr>
      <w:r>
        <w:rPr>
          <w:rFonts w:ascii="Arial" w:hAnsi="Arial"/>
          <w:color w:val="525252"/>
          <w:sz w:val="13"/>
        </w:rPr>
        <w:t>Name and USAF tapes are mandatory for all Air Force personnel and will be spice brown block lettering embroidery on the OCP background.</w:t>
      </w:r>
    </w:p>
    <w:p>
      <w:pPr>
        <w:spacing w:after="20" w:line="223" w:lineRule="auto"/>
        <w:jc w:val="right"/>
        <w:bidi/>
      </w:pPr>
      <w:r>
        <w:rPr>
          <w:rFonts w:ascii="Arial" w:hAnsi="Arial"/>
          <w:sz w:val="16"/>
        </w:rPr>
        <w:t>450.30  نشان‌ها و سنجاق نشان فرمانده.</w:t>
      </w:r>
    </w:p>
    <w:p>
      <w:pPr>
        <w:spacing w:after="28" w:line="216" w:lineRule="auto"/>
        <w:ind w:left="259"/>
        <w:jc w:val="left"/>
      </w:pPr>
      <w:r>
        <w:rPr>
          <w:rFonts w:ascii="Arial" w:hAnsi="Arial"/>
          <w:color w:val="525252"/>
          <w:sz w:val="13"/>
        </w:rPr>
        <w:t>Badges and Commander’s Insignia Pin.</w:t>
      </w:r>
    </w:p>
    <w:p>
      <w:pPr>
        <w:spacing w:after="20" w:line="223" w:lineRule="auto"/>
        <w:jc w:val="right"/>
        <w:bidi/>
      </w:pPr>
      <w:r>
        <w:rPr>
          <w:rFonts w:ascii="Arial" w:hAnsi="Arial"/>
          <w:sz w:val="16"/>
        </w:rPr>
        <w:t>450.31  حداکثر چهار نشان شغلی، صلاحیت و/یا مهارت را می‌توان در مرکز بالای نوار USAF با استفاده از گلدوزی قهوه‌ای ادویه‌ای روی پس‌زمینه OCP پوشید.</w:t>
      </w:r>
    </w:p>
    <w:p>
      <w:pPr>
        <w:spacing w:after="28" w:line="216" w:lineRule="auto"/>
        <w:ind w:left="259"/>
        <w:jc w:val="left"/>
      </w:pPr>
      <w:r>
        <w:rPr>
          <w:rFonts w:ascii="Arial" w:hAnsi="Arial"/>
          <w:color w:val="525252"/>
          <w:sz w:val="13"/>
        </w:rPr>
        <w:t>A maximum of four occupational, qualification and/or skill badges may be worn centered above the USAF tape using spice brown embroidery on the OCP background.</w:t>
      </w:r>
    </w:p>
    <w:p>
      <w:pPr>
        <w:spacing w:after="20" w:line="223" w:lineRule="auto"/>
        <w:jc w:val="right"/>
        <w:bidi/>
      </w:pPr>
      <w:r>
        <w:rPr>
          <w:rFonts w:ascii="Arial" w:hAnsi="Arial"/>
          <w:sz w:val="16"/>
        </w:rPr>
        <w:t>450.32  در صورت کسب و مجوز، نشان‌های خدمات خواهر هنگام پوشیدن، رنگ(های) ملایم خود را حفظ می‌کنند تا وجه تمایز خود را به‌عنوان اعطای خدمات خواهر از دست ندهند.</w:t>
      </w:r>
    </w:p>
    <w:p>
      <w:pPr>
        <w:spacing w:after="28" w:line="216" w:lineRule="auto"/>
        <w:ind w:left="259"/>
        <w:jc w:val="left"/>
      </w:pPr>
      <w:r>
        <w:rPr>
          <w:rFonts w:ascii="Arial" w:hAnsi="Arial"/>
          <w:color w:val="525252"/>
          <w:sz w:val="13"/>
        </w:rPr>
        <w:t>If earned and authorized, sister services’ badges will maintain their subdued color(s) when worn as not to lose their distinction as being awarded from a sister service.</w:t>
      </w:r>
    </w:p>
    <w:p>
      <w:pPr>
        <w:spacing w:after="20" w:line="223" w:lineRule="auto"/>
        <w:jc w:val="right"/>
        <w:bidi/>
      </w:pPr>
      <w:r>
        <w:rPr>
          <w:rFonts w:ascii="Arial" w:hAnsi="Arial"/>
          <w:sz w:val="16"/>
        </w:rPr>
        <w:t>450.33  پوشیدن نشان(های) شغلی فعلی نیروی هوایی</w:t>
      </w:r>
    </w:p>
    <w:p>
      <w:pPr>
        <w:spacing w:after="28" w:line="216" w:lineRule="auto"/>
        <w:ind w:left="259"/>
        <w:jc w:val="left"/>
      </w:pPr>
      <w:r>
        <w:rPr>
          <w:rFonts w:ascii="Arial" w:hAnsi="Arial"/>
          <w:color w:val="525252"/>
          <w:sz w:val="13"/>
        </w:rPr>
        <w:t>Wear of current Air Force occupational badge(s)</w:t>
      </w:r>
    </w:p>
    <w:p>
      <w:r>
        <w:br w:type="page"/>
      </w:r>
    </w:p>
    <w:p>
      <w:pPr>
        <w:spacing w:after="60"/>
        <w:jc w:val="right"/>
        <w:bidi/>
      </w:pPr>
      <w:r>
        <w:rPr>
          <w:rFonts w:ascii="Arial" w:hAnsi="Arial"/>
          <w:b/>
          <w:color w:val="1F4D78"/>
          <w:sz w:val="19"/>
        </w:rPr>
        <w:t>هفتهٔ 451  |  صفحهٔ منبع: 467</w:t>
      </w:r>
    </w:p>
    <w:p>
      <w:pPr>
        <w:spacing w:after="20" w:line="223" w:lineRule="auto"/>
        <w:jc w:val="right"/>
        <w:bidi/>
      </w:pPr>
      <w:r>
        <w:rPr>
          <w:rFonts w:ascii="Arial" w:hAnsi="Arial"/>
          <w:sz w:val="16"/>
        </w:rPr>
        <w:t>451.01  اجباری است.</w:t>
      </w:r>
    </w:p>
    <w:p>
      <w:pPr>
        <w:spacing w:after="28" w:line="216" w:lineRule="auto"/>
        <w:ind w:left="259"/>
        <w:jc w:val="left"/>
      </w:pPr>
      <w:r>
        <w:rPr>
          <w:rFonts w:ascii="Arial" w:hAnsi="Arial"/>
          <w:color w:val="525252"/>
          <w:sz w:val="13"/>
        </w:rPr>
        <w:t>are mandatory if sister services’ badges are worn.</w:t>
      </w:r>
    </w:p>
    <w:p>
      <w:pPr>
        <w:spacing w:after="20" w:line="223" w:lineRule="auto"/>
        <w:jc w:val="right"/>
        <w:bidi/>
      </w:pPr>
      <w:r>
        <w:rPr>
          <w:rFonts w:ascii="Arial" w:hAnsi="Arial"/>
          <w:sz w:val="16"/>
        </w:rPr>
        <w:t>451.02  وقتی یک نشان پوشیده می‌شود، ۱/۲ اینچ بالای نوار نیروی هوایی ایالات متحده قرار می‌گیرد.</w:t>
      </w:r>
    </w:p>
    <w:p>
      <w:pPr>
        <w:spacing w:after="28" w:line="216" w:lineRule="auto"/>
        <w:ind w:left="259"/>
        <w:jc w:val="left"/>
      </w:pPr>
      <w:r>
        <w:rPr>
          <w:rFonts w:ascii="Arial" w:hAnsi="Arial"/>
          <w:color w:val="525252"/>
          <w:sz w:val="13"/>
        </w:rPr>
        <w:t>When one badge is worn, it is centered 1/2-inch above the U.S. Air Force Tape.</w:t>
      </w:r>
    </w:p>
    <w:p>
      <w:pPr>
        <w:spacing w:after="20" w:line="223" w:lineRule="auto"/>
        <w:jc w:val="right"/>
        <w:bidi/>
      </w:pPr>
      <w:r>
        <w:rPr>
          <w:rFonts w:ascii="Arial" w:hAnsi="Arial"/>
          <w:sz w:val="16"/>
        </w:rPr>
        <w:t>451.03  وقتی دو نشان پوشیده می‌شود، اولی ۱/۲ اینچ بالای نوار نیروی هوایی ایالات متحده قرار دارد، نشان دوم ۱/۲ اینچ بالاتر از نشان اول قرار می‌گیرد.</w:t>
      </w:r>
    </w:p>
    <w:p>
      <w:pPr>
        <w:spacing w:after="28" w:line="216" w:lineRule="auto"/>
        <w:ind w:left="259"/>
        <w:jc w:val="left"/>
      </w:pPr>
      <w:r>
        <w:rPr>
          <w:rFonts w:ascii="Arial" w:hAnsi="Arial"/>
          <w:color w:val="525252"/>
          <w:sz w:val="13"/>
        </w:rPr>
        <w:t>When two badges are worn, the first is centered 1/2-inch above the U.S. Air Force tape, the second badge will be centered 1/2-inch above the first badge.</w:t>
      </w:r>
    </w:p>
    <w:p>
      <w:pPr>
        <w:spacing w:after="20" w:line="223" w:lineRule="auto"/>
        <w:jc w:val="right"/>
        <w:bidi/>
      </w:pPr>
      <w:r>
        <w:rPr>
          <w:rFonts w:ascii="Arial" w:hAnsi="Arial"/>
          <w:sz w:val="16"/>
        </w:rPr>
        <w:t>451.04  وقتی سه نشان پوشیده می‌شوند، ۱/۸ اینچ بالای نوار نیروی هوایی ایالات متحده در یک ستون عمودی با ۱/۴ اینچ بین نشان‌ها قرار می‌گیرند. یا دو نشان در کنار هم پوشیده می‌شوند، ۱/۸ اینچ در بالا و در مرکز نوار نیروی هوایی ایالات متحده با ۱/۲ اینچ بین نشان‌ها به صورت افقی، و نشان سوم بر روی نوار نیروی هوایی ایالات متحده ۱/۴ اینچ بالاتر از دو نشان پایینی قرار دارد (نگاه کنید به</w:t>
      </w:r>
    </w:p>
    <w:p>
      <w:pPr>
        <w:spacing w:after="28" w:line="216" w:lineRule="auto"/>
        <w:ind w:left="259"/>
        <w:jc w:val="left"/>
      </w:pPr>
      <w:r>
        <w:rPr>
          <w:rFonts w:ascii="Arial" w:hAnsi="Arial"/>
          <w:color w:val="525252"/>
          <w:sz w:val="13"/>
        </w:rPr>
        <w:t>When three badges are worn, they are centered 1/8-inch above the U.S. Air Force tape either in a single vertical column with 1/4-inch between badges; or two badges are worn side by side, 1/8- inch above and centered on the U.S. Air Force tape with 1/2-inch between badges horizontally, and the third badge is centered on the U.S. Air Force tape 1/4-inch above the lower two badges (see</w:t>
      </w:r>
    </w:p>
    <w:p>
      <w:pPr>
        <w:spacing w:before="60" w:after="28"/>
        <w:jc w:val="right"/>
        <w:bidi/>
      </w:pPr>
      <w:r>
        <w:rPr>
          <w:b/>
          <w:color w:val="1F4D78"/>
          <w:sz w:val="18"/>
        </w:rPr>
        <w:t>شکل 23.29).</w:t>
      </w:r>
    </w:p>
    <w:p>
      <w:pPr>
        <w:spacing w:after="20"/>
        <w:ind w:left="259"/>
        <w:jc w:val="left"/>
      </w:pPr>
      <w:r>
        <w:rPr>
          <w:color w:val="555555"/>
          <w:sz w:val="12"/>
        </w:rPr>
        <w:t>Figure 23.29).</w:t>
      </w:r>
    </w:p>
    <w:p>
      <w:pPr>
        <w:spacing w:before="60" w:after="28"/>
        <w:jc w:val="right"/>
        <w:bidi/>
      </w:pPr>
      <w:r>
        <w:rPr>
          <w:b/>
          <w:color w:val="1F4D78"/>
          <w:sz w:val="18"/>
        </w:rPr>
        <w:t>شکل 23.29. پوشیدن سه نشان تحت فشار</w:t>
      </w:r>
    </w:p>
    <w:p>
      <w:pPr>
        <w:spacing w:after="20"/>
        <w:ind w:left="259"/>
        <w:jc w:val="left"/>
      </w:pPr>
      <w:r>
        <w:rPr>
          <w:color w:val="555555"/>
          <w:sz w:val="12"/>
        </w:rPr>
        <w:t>Figure 23.29. Wear of Three Subdued Badges</w:t>
      </w:r>
    </w:p>
    <w:p>
      <w:pPr>
        <w:spacing w:after="20" w:line="223" w:lineRule="auto"/>
        <w:jc w:val="right"/>
        <w:bidi/>
      </w:pPr>
      <w:r>
        <w:rPr>
          <w:rFonts w:ascii="Arial" w:hAnsi="Arial"/>
          <w:sz w:val="16"/>
        </w:rPr>
        <w:t>451.07  وقتی چهار نشان پوشیده می‌شوند، ۱/۸ اینچ بالای نوار نیروی هوایی ایالات متحده قرار می‌گیرند و به صورت عمودی و کنار هم در پشته‌های دوتایی با ۱/۴ اینچ بین نشان‌ها به صورت عمودی و ۱/۲ اینچ بین نشان‌ها به صورت افقی پوشیده می‌شوند. یا دو نشان در کنار هم پوشیده می‌شوند، ۱/۸ اینچ در بالا و در مرکز نوار نیروی هوایی ایالات متحده با ۱/۲ اینچ بین نشان‌ها به صورت افقی، و دو نشان باقی مانده در مرکز نوار نیروی هوایی ایالات متحده قرار می‌گیرند و به صورت عمودی ۱/۴ اینچ بالای دو نشان پایینی با ۱/۴ نشان قرار می‌گیرند.</w:t>
      </w:r>
    </w:p>
    <w:p>
      <w:pPr>
        <w:spacing w:after="28" w:line="216" w:lineRule="auto"/>
        <w:ind w:left="259"/>
        <w:jc w:val="left"/>
      </w:pPr>
      <w:r>
        <w:rPr>
          <w:rFonts w:ascii="Arial" w:hAnsi="Arial"/>
          <w:color w:val="525252"/>
          <w:sz w:val="13"/>
        </w:rPr>
        <w:t>When four badges are worn, they are centered 1/8-inch above the U.S. Air Force tape and worn either vertically and side by side in stacks of two with 1/4-inch between the badges vertically and 1/2-inch between the badges horizontally; or two badges are worn side by side, 1/8-inch above and centered on the U.S. Air Force tape with 1/2-inch between badges horizontally, and the remaining two badges are centered on the U.S. Air Force tape and stacked vertically 1/4-inch above the lower two badges with 1/4-inch between badges.</w:t>
      </w:r>
    </w:p>
    <w:p>
      <w:pPr>
        <w:spacing w:after="20" w:line="223" w:lineRule="auto"/>
        <w:jc w:val="right"/>
        <w:bidi/>
      </w:pPr>
      <w:r>
        <w:rPr>
          <w:rFonts w:ascii="Arial" w:hAnsi="Arial"/>
          <w:sz w:val="16"/>
        </w:rPr>
        <w:t>451.08  نشان‌هایی که یکی روی هم چیده شده‌اند، در مرکز یکدیگر قرار می‌گیرند و نشان کوچک‌تر در بالا یا پایین (بر اساس اولویت) نشان بزرگ‌تر در مرکز قرار می‌گیرد.</w:t>
      </w:r>
    </w:p>
    <w:p>
      <w:pPr>
        <w:spacing w:after="28" w:line="216" w:lineRule="auto"/>
        <w:ind w:left="259"/>
        <w:jc w:val="left"/>
      </w:pPr>
      <w:r>
        <w:rPr>
          <w:rFonts w:ascii="Arial" w:hAnsi="Arial"/>
          <w:color w:val="525252"/>
          <w:sz w:val="13"/>
        </w:rPr>
        <w:t>Badges stacked one on top of the other are centered on each other with the smaller badge centered above or below (according to precedence) the larger badge.</w:t>
      </w:r>
    </w:p>
    <w:p>
      <w:pPr>
        <w:spacing w:after="20" w:line="223" w:lineRule="auto"/>
        <w:jc w:val="right"/>
        <w:bidi/>
      </w:pPr>
      <w:r>
        <w:rPr>
          <w:rFonts w:ascii="Arial" w:hAnsi="Arial"/>
          <w:sz w:val="16"/>
        </w:rPr>
        <w:t>451.09  فاصله عمودی بین نشان‌های بزرگتر اندازه گیری می‌شود (شکل ۲۳.۳۰ را ببینید).</w:t>
      </w:r>
    </w:p>
    <w:p>
      <w:pPr>
        <w:spacing w:after="28" w:line="216" w:lineRule="auto"/>
        <w:ind w:left="259"/>
        <w:jc w:val="left"/>
      </w:pPr>
      <w:r>
        <w:rPr>
          <w:rFonts w:ascii="Arial" w:hAnsi="Arial"/>
          <w:color w:val="525252"/>
          <w:sz w:val="13"/>
        </w:rPr>
        <w:t>Vertical spacing is measured between the larger badges (see Figure 23.30).</w:t>
      </w:r>
    </w:p>
    <w:p>
      <w:r>
        <w:br w:type="page"/>
      </w:r>
    </w:p>
    <w:p>
      <w:pPr>
        <w:spacing w:after="60"/>
        <w:jc w:val="right"/>
        <w:bidi/>
      </w:pPr>
      <w:r>
        <w:rPr>
          <w:rFonts w:ascii="Arial" w:hAnsi="Arial"/>
          <w:b/>
          <w:color w:val="1F4D78"/>
          <w:sz w:val="19"/>
        </w:rPr>
        <w:t>هفتهٔ 452  |  صفحهٔ منبع: 468</w:t>
      </w:r>
    </w:p>
    <w:p>
      <w:pPr>
        <w:spacing w:before="60" w:after="28"/>
        <w:jc w:val="right"/>
        <w:bidi/>
      </w:pPr>
      <w:r>
        <w:rPr>
          <w:b/>
          <w:color w:val="1F4D78"/>
          <w:sz w:val="18"/>
        </w:rPr>
        <w:t>شکل 23.30. پوشیدن چهار نشان رام</w:t>
      </w:r>
    </w:p>
    <w:p>
      <w:pPr>
        <w:spacing w:after="20"/>
        <w:ind w:left="259"/>
        <w:jc w:val="left"/>
      </w:pPr>
      <w:r>
        <w:rPr>
          <w:color w:val="555555"/>
          <w:sz w:val="12"/>
        </w:rPr>
        <w:t>Figure 23.30. Wear of Four Subdued Badges</w:t>
      </w:r>
    </w:p>
    <w:p>
      <w:pPr>
        <w:spacing w:after="20" w:line="223" w:lineRule="auto"/>
        <w:jc w:val="right"/>
        <w:bidi/>
      </w:pPr>
      <w:r>
        <w:rPr>
          <w:rFonts w:ascii="Arial" w:hAnsi="Arial"/>
          <w:sz w:val="16"/>
        </w:rPr>
        <w:t>452.02  ترتیب اولویت نشان شغلی، صلاحیت یا مهارت: گروه ۱ (نشان‌های اجباری).</w:t>
      </w:r>
    </w:p>
    <w:p>
      <w:pPr>
        <w:spacing w:after="28" w:line="216" w:lineRule="auto"/>
        <w:ind w:left="259"/>
        <w:jc w:val="left"/>
      </w:pPr>
      <w:r>
        <w:rPr>
          <w:rFonts w:ascii="Arial" w:hAnsi="Arial"/>
          <w:color w:val="525252"/>
          <w:sz w:val="13"/>
        </w:rPr>
        <w:t>Occupational, qualification or skill badge order of precedence: Group 1 (mandatory badges).</w:t>
      </w:r>
    </w:p>
    <w:p>
      <w:pPr>
        <w:spacing w:after="20" w:line="223" w:lineRule="auto"/>
        <w:jc w:val="right"/>
        <w:bidi/>
      </w:pPr>
      <w:r>
        <w:rPr>
          <w:rFonts w:ascii="Arial" w:hAnsi="Arial"/>
          <w:sz w:val="16"/>
        </w:rPr>
        <w:t>452.03  نشان‌های روحانی، هوانوردی، فضایی، فضای سایبری، جنگ چند حوزه‌ای و عملیات موشکی.</w:t>
      </w:r>
    </w:p>
    <w:p>
      <w:pPr>
        <w:spacing w:after="28" w:line="216" w:lineRule="auto"/>
        <w:ind w:left="259"/>
        <w:jc w:val="left"/>
      </w:pPr>
      <w:r>
        <w:rPr>
          <w:rFonts w:ascii="Arial" w:hAnsi="Arial"/>
          <w:color w:val="525252"/>
          <w:sz w:val="13"/>
        </w:rPr>
        <w:t>Chaplain, aeronautical, space, cyberspace, multi-domain warfare and missile operations badges.</w:t>
      </w:r>
    </w:p>
    <w:p>
      <w:pPr>
        <w:spacing w:after="20" w:line="223" w:lineRule="auto"/>
        <w:jc w:val="right"/>
        <w:bidi/>
      </w:pPr>
      <w:r>
        <w:rPr>
          <w:rFonts w:ascii="Arial" w:hAnsi="Arial"/>
          <w:sz w:val="16"/>
        </w:rPr>
        <w:t>452.04  وقتی بیش از یک نشان عملیات هوانوردی، فضایی، فضای سایبری، جنگ چند حوزه‌ای یا موشکی مجاز باشد، نشانی که موقعیت فعلی را نشان می‌دهد پوشیده می‌شود و نشان دوم و بعدی عملیات هوایی، فضایی، فضای سایبری، جنگ چند حوزه‌ای یا موشکی گزینه‌ای می‌شود.</w:t>
      </w:r>
    </w:p>
    <w:p>
      <w:pPr>
        <w:spacing w:after="28" w:line="216" w:lineRule="auto"/>
        <w:ind w:left="259"/>
        <w:jc w:val="left"/>
      </w:pPr>
      <w:r>
        <w:rPr>
          <w:rFonts w:ascii="Arial" w:hAnsi="Arial"/>
          <w:color w:val="525252"/>
          <w:sz w:val="13"/>
        </w:rPr>
        <w:t>When more than one aeronautical, space, cyberspace, multi-domain warfare or missile operations badge is authorized, the badge representing the current position will be worn and the second and subsequent aeronautical, space, cyberspace, multi-domain warfare or missile operations badges become optional.</w:t>
      </w:r>
    </w:p>
    <w:p>
      <w:pPr>
        <w:spacing w:after="20" w:line="223" w:lineRule="auto"/>
        <w:jc w:val="right"/>
        <w:bidi/>
      </w:pPr>
      <w:r>
        <w:rPr>
          <w:rFonts w:ascii="Arial" w:hAnsi="Arial"/>
          <w:sz w:val="16"/>
        </w:rPr>
        <w:t>452.05  گروه ۲ (نشان‌های اختیاری).</w:t>
      </w:r>
    </w:p>
    <w:p>
      <w:pPr>
        <w:spacing w:after="28" w:line="216" w:lineRule="auto"/>
        <w:ind w:left="259"/>
        <w:jc w:val="left"/>
      </w:pPr>
      <w:r>
        <w:rPr>
          <w:rFonts w:ascii="Arial" w:hAnsi="Arial"/>
          <w:color w:val="525252"/>
          <w:sz w:val="13"/>
        </w:rPr>
        <w:t>Group 2 (optional badges).</w:t>
      </w:r>
    </w:p>
    <w:p>
      <w:pPr>
        <w:spacing w:after="20" w:line="223" w:lineRule="auto"/>
        <w:jc w:val="right"/>
        <w:bidi/>
      </w:pPr>
      <w:r>
        <w:rPr>
          <w:rFonts w:ascii="Arial" w:hAnsi="Arial"/>
          <w:sz w:val="16"/>
        </w:rPr>
        <w:t>452.06  بال‌های چترباز، سایر نشان‌های شغلی و صلاحیت نیروی هوایی، نشان‌های صلاحیت خدمات خواهر، یا نشان‌های مهارتی.</w:t>
      </w:r>
    </w:p>
    <w:p>
      <w:pPr>
        <w:spacing w:after="28" w:line="216" w:lineRule="auto"/>
        <w:ind w:left="259"/>
        <w:jc w:val="left"/>
      </w:pPr>
      <w:r>
        <w:rPr>
          <w:rFonts w:ascii="Arial" w:hAnsi="Arial"/>
          <w:color w:val="525252"/>
          <w:sz w:val="13"/>
        </w:rPr>
        <w:t>Parachutist wings, all other Air Force occupational and qualification badges, sister services’ qualification badges, or skill badges.</w:t>
      </w:r>
    </w:p>
    <w:p>
      <w:pPr>
        <w:spacing w:after="20" w:line="223" w:lineRule="auto"/>
        <w:jc w:val="right"/>
        <w:bidi/>
      </w:pPr>
      <w:r>
        <w:rPr>
          <w:rFonts w:ascii="Arial" w:hAnsi="Arial"/>
          <w:sz w:val="16"/>
        </w:rPr>
        <w:t>452.07  طبق ترتیب اولویت سرویس قابل اجرا از نشان‌های خدمات خواهر استفاده کنید، اما همه نشان‌های نیروی هوایی بر نشان‌های خدمات خواهر ارجحیت دارند و باید در بالاترین موقعیت پوشنده، از چپ به راست بیننده قرار گیرند.</w:t>
      </w:r>
    </w:p>
    <w:p>
      <w:pPr>
        <w:spacing w:after="28" w:line="216" w:lineRule="auto"/>
        <w:ind w:left="259"/>
        <w:jc w:val="left"/>
      </w:pPr>
      <w:r>
        <w:rPr>
          <w:rFonts w:ascii="Arial" w:hAnsi="Arial"/>
          <w:color w:val="525252"/>
          <w:sz w:val="13"/>
        </w:rPr>
        <w:t>Wear sister service badges according to the applicable Service order of precedence however, all Air Force badges take precedence over sister service badges and should be in the wearer’s highest position, from the viewer’s left to right.</w:t>
      </w:r>
    </w:p>
    <w:p>
      <w:pPr>
        <w:spacing w:after="20" w:line="223" w:lineRule="auto"/>
        <w:jc w:val="right"/>
        <w:bidi/>
      </w:pPr>
      <w:r>
        <w:rPr>
          <w:rFonts w:ascii="Arial" w:hAnsi="Arial"/>
          <w:sz w:val="16"/>
        </w:rPr>
        <w:t>452.08  نشان‌های خارجی.</w:t>
      </w:r>
    </w:p>
    <w:p>
      <w:pPr>
        <w:spacing w:after="28" w:line="216" w:lineRule="auto"/>
        <w:ind w:left="259"/>
        <w:jc w:val="left"/>
      </w:pPr>
      <w:r>
        <w:rPr>
          <w:rFonts w:ascii="Arial" w:hAnsi="Arial"/>
          <w:color w:val="525252"/>
          <w:sz w:val="13"/>
        </w:rPr>
        <w:t>Foreign badges.</w:t>
      </w:r>
    </w:p>
    <w:p>
      <w:pPr>
        <w:spacing w:after="20" w:line="223" w:lineRule="auto"/>
        <w:jc w:val="right"/>
        <w:bidi/>
      </w:pPr>
      <w:r>
        <w:rPr>
          <w:rFonts w:ascii="Arial" w:hAnsi="Arial"/>
          <w:sz w:val="16"/>
        </w:rPr>
        <w:t>452.09  نشان‌های هواپیمایی، علائم پزشکی، و نشان چترباز تنها نشان‌های خارجی هستند که مجاز به پوشیدن روی لباس‌های نیروی هوایی، CONUS یا OCONUS هستند.</w:t>
      </w:r>
    </w:p>
    <w:p>
      <w:pPr>
        <w:spacing w:after="28" w:line="216" w:lineRule="auto"/>
        <w:ind w:left="259"/>
        <w:jc w:val="left"/>
      </w:pPr>
      <w:r>
        <w:rPr>
          <w:rFonts w:ascii="Arial" w:hAnsi="Arial"/>
          <w:color w:val="525252"/>
          <w:sz w:val="13"/>
        </w:rPr>
        <w:t>Aviation, medical insignia, and parachutist badges are the only foreign badges authorized to be worn on Air Force uniforms, CONUS or OCONUS.</w:t>
      </w:r>
    </w:p>
    <w:p>
      <w:pPr>
        <w:spacing w:after="20" w:line="223" w:lineRule="auto"/>
        <w:jc w:val="right"/>
        <w:bidi/>
      </w:pPr>
      <w:r>
        <w:rPr>
          <w:rFonts w:ascii="Arial" w:hAnsi="Arial"/>
          <w:sz w:val="16"/>
        </w:rPr>
        <w:t>452.10  از نشان هوانوردی خارجی استفاده نکنید، مگر اینکه از نشان هوانوردی استفاده کنید.</w:t>
      </w:r>
    </w:p>
    <w:p>
      <w:pPr>
        <w:spacing w:after="28" w:line="216" w:lineRule="auto"/>
        <w:ind w:left="259"/>
        <w:jc w:val="left"/>
      </w:pPr>
      <w:r>
        <w:rPr>
          <w:rFonts w:ascii="Arial" w:hAnsi="Arial"/>
          <w:color w:val="525252"/>
          <w:sz w:val="13"/>
        </w:rPr>
        <w:t>Do not wear foreign aviation badges unless wearing an aeronautical badge.</w:t>
      </w:r>
    </w:p>
    <w:p>
      <w:pPr>
        <w:spacing w:after="20" w:line="223" w:lineRule="auto"/>
        <w:jc w:val="right"/>
        <w:bidi/>
      </w:pPr>
      <w:r>
        <w:rPr>
          <w:rFonts w:ascii="Arial" w:hAnsi="Arial"/>
          <w:sz w:val="16"/>
        </w:rPr>
        <w:t>452.11  هوانوردان ممکن است از نسخه بزرگ یا کوچک نشان موشک استفاده کنند.</w:t>
      </w:r>
    </w:p>
    <w:p>
      <w:pPr>
        <w:spacing w:after="28" w:line="216" w:lineRule="auto"/>
        <w:ind w:left="259"/>
        <w:jc w:val="left"/>
      </w:pPr>
      <w:r>
        <w:rPr>
          <w:rFonts w:ascii="Arial" w:hAnsi="Arial"/>
          <w:color w:val="525252"/>
          <w:sz w:val="13"/>
        </w:rPr>
        <w:t>Airmen may wear the large or small version of the missile badge.</w:t>
      </w:r>
    </w:p>
    <w:p>
      <w:pPr>
        <w:spacing w:after="20" w:line="223" w:lineRule="auto"/>
        <w:jc w:val="right"/>
        <w:bidi/>
      </w:pPr>
      <w:r>
        <w:rPr>
          <w:rFonts w:ascii="Arial" w:hAnsi="Arial"/>
          <w:sz w:val="16"/>
        </w:rPr>
        <w:t>452.12  هنگام پوشیدن، بالای نشان موشک نباید از درز شانه کت OCP بیشتر شود.</w:t>
      </w:r>
    </w:p>
    <w:p>
      <w:pPr>
        <w:spacing w:after="28" w:line="216" w:lineRule="auto"/>
        <w:ind w:left="259"/>
        <w:jc w:val="left"/>
      </w:pPr>
      <w:r>
        <w:rPr>
          <w:rFonts w:ascii="Arial" w:hAnsi="Arial"/>
          <w:color w:val="525252"/>
          <w:sz w:val="13"/>
        </w:rPr>
        <w:t>When worn, the top of the missile badge must not exceed the OCP coat shoulder seam.</w:t>
      </w:r>
    </w:p>
    <w:p>
      <w:pPr>
        <w:spacing w:after="20" w:line="223" w:lineRule="auto"/>
        <w:jc w:val="right"/>
        <w:bidi/>
      </w:pPr>
      <w:r>
        <w:rPr>
          <w:rFonts w:ascii="Arial" w:hAnsi="Arial"/>
          <w:sz w:val="16"/>
        </w:rPr>
        <w:t>452.13  وصله نشان فرماندهی ممکن است برای افسران در رده سرهنگ (و-۶) و پایین‌تر در هنگام فرماندهی استفاده شود.</w:t>
      </w:r>
    </w:p>
    <w:p>
      <w:pPr>
        <w:spacing w:after="28" w:line="216" w:lineRule="auto"/>
        <w:ind w:left="259"/>
        <w:jc w:val="left"/>
      </w:pPr>
      <w:r>
        <w:rPr>
          <w:rFonts w:ascii="Arial" w:hAnsi="Arial"/>
          <w:color w:val="525252"/>
          <w:sz w:val="13"/>
        </w:rPr>
        <w:t>Commander’s insignia patch may be worn for officers in the rank of Colonel (O- 6) and below when currently in command.</w:t>
      </w:r>
    </w:p>
    <w:p>
      <w:pPr>
        <w:spacing w:after="20" w:line="223" w:lineRule="auto"/>
        <w:jc w:val="right"/>
        <w:bidi/>
      </w:pPr>
      <w:r>
        <w:rPr>
          <w:rFonts w:ascii="Arial" w:hAnsi="Arial"/>
          <w:sz w:val="16"/>
        </w:rPr>
        <w:t>452.14  وصله ۱/۲ اینچی بالای نوار نام، روی وصله پارچه‌ای ۱ اینچی × ۱ اینچی با استفاده از معیار رنگ قهوه‌ای ادویه‌ای در پس‌زمینه الگوی OCP در مرکز قرار می‌گیرد.</w:t>
      </w:r>
    </w:p>
    <w:p>
      <w:pPr>
        <w:spacing w:after="28" w:line="216" w:lineRule="auto"/>
        <w:ind w:left="259"/>
        <w:jc w:val="left"/>
      </w:pPr>
      <w:r>
        <w:rPr>
          <w:rFonts w:ascii="Arial" w:hAnsi="Arial"/>
          <w:color w:val="525252"/>
          <w:sz w:val="13"/>
        </w:rPr>
        <w:t>The patch will be centered 1/2-inch above the name tape, on 1-inch x 1-inch subdued cloth patch using the spice brown color criteria on the OCP pattern background.</w:t>
      </w:r>
    </w:p>
    <w:p>
      <w:r>
        <w:br w:type="page"/>
      </w:r>
    </w:p>
    <w:p>
      <w:pPr>
        <w:spacing w:after="60"/>
        <w:jc w:val="right"/>
        <w:bidi/>
      </w:pPr>
      <w:r>
        <w:rPr>
          <w:rFonts w:ascii="Arial" w:hAnsi="Arial"/>
          <w:b/>
          <w:color w:val="1F4D78"/>
          <w:sz w:val="19"/>
        </w:rPr>
        <w:t>هفتهٔ 453  |  صفحهٔ منبع: 469</w:t>
      </w:r>
    </w:p>
    <w:p>
      <w:pPr>
        <w:spacing w:after="20" w:line="223" w:lineRule="auto"/>
        <w:jc w:val="right"/>
        <w:bidi/>
      </w:pPr>
      <w:r>
        <w:rPr>
          <w:rFonts w:ascii="Arial" w:hAnsi="Arial"/>
          <w:sz w:val="16"/>
        </w:rPr>
        <w:t>453.01  پین گرادواتد کومماندر ممکن است بر روی یک وصله ولکرو® کوچک در بالای آستین چپ یا به صورت افقی و عمودی بر روی فلپ جیب به اندازه پرچم قرار گیرد، یا (در صورت عدم وجود فلپ جیب) در مرکز افقی و ۱/۲ اینچ از بالای لایه ولکرو بسته به پیکربندی یکنواخت، استفاده شود.</w:t>
      </w:r>
    </w:p>
    <w:p>
      <w:pPr>
        <w:spacing w:after="28" w:line="216" w:lineRule="auto"/>
        <w:ind w:left="259"/>
        <w:jc w:val="left"/>
      </w:pPr>
      <w:r>
        <w:rPr>
          <w:rFonts w:ascii="Arial" w:hAnsi="Arial"/>
          <w:color w:val="525252"/>
          <w:sz w:val="13"/>
        </w:rPr>
        <w:t>Graduated Commander's pin may be worn on a small Velcro® patch on top of the left sleeve either centered horizontally and vertically on the flag-sized pocket flap, or (if no pocket flap) centered horizontally and 1/2-inch from the top of the Velcro® area, depending on uniform configuration.</w:t>
      </w:r>
    </w:p>
    <w:p>
      <w:pPr>
        <w:spacing w:after="20" w:line="223" w:lineRule="auto"/>
        <w:jc w:val="right"/>
        <w:bidi/>
      </w:pPr>
      <w:r>
        <w:rPr>
          <w:rFonts w:ascii="Arial" w:hAnsi="Arial"/>
          <w:sz w:val="16"/>
        </w:rPr>
        <w:t>453.02  دومین وصله آستین چپ مجاز (به‌عنوان مثال، HHQ) به صورت عمودی و افقی در هر ناحیه ولکرو® باقی مانده در مرکز قرار می‌گیرد تا ظاهری متعادل ارائه دهد.</w:t>
      </w:r>
    </w:p>
    <w:p>
      <w:pPr>
        <w:spacing w:after="28" w:line="216" w:lineRule="auto"/>
        <w:ind w:left="259"/>
        <w:jc w:val="left"/>
      </w:pPr>
      <w:r>
        <w:rPr>
          <w:rFonts w:ascii="Arial" w:hAnsi="Arial"/>
          <w:color w:val="525252"/>
          <w:sz w:val="13"/>
        </w:rPr>
        <w:t>The second authorized left- sleeve patch (e.g., HHQ) will be centered vertically and horizontally in any remaining Velcro® area to present a balanced appearance.</w:t>
      </w:r>
    </w:p>
    <w:p>
      <w:pPr>
        <w:spacing w:after="20" w:line="223" w:lineRule="auto"/>
        <w:jc w:val="right"/>
        <w:bidi/>
      </w:pPr>
      <w:r>
        <w:rPr>
          <w:rFonts w:ascii="Arial" w:hAnsi="Arial"/>
          <w:sz w:val="16"/>
        </w:rPr>
        <w:t>453.03  نشان آکادمی نیروهای هوایی بین‌آمریکایی (IAAFA) ممکن است توسط اعضایی استفاده شود که شناسه تجربه ویژه (SEI) HJ (افسر) یا ۴۵۰ (شرکت‌شده) را در حین و پس از انتساب به IAAFA دریافت کنند.</w:t>
      </w:r>
    </w:p>
    <w:p>
      <w:pPr>
        <w:spacing w:after="28" w:line="216" w:lineRule="auto"/>
        <w:ind w:left="259"/>
        <w:jc w:val="left"/>
      </w:pPr>
      <w:r>
        <w:rPr>
          <w:rFonts w:ascii="Arial" w:hAnsi="Arial"/>
          <w:color w:val="525252"/>
          <w:sz w:val="13"/>
        </w:rPr>
        <w:t>The Inter-American Air Forces Academy (IAAFA) badge may be worn by members who receive Special Experience Identifier (SEI) HJ (officer) or 450 (enlisted) as applicable during and after assignment to IAAFA.</w:t>
      </w:r>
    </w:p>
    <w:p>
      <w:pPr>
        <w:spacing w:after="20" w:line="223" w:lineRule="auto"/>
        <w:jc w:val="right"/>
        <w:bidi/>
      </w:pPr>
      <w:r>
        <w:rPr>
          <w:rFonts w:ascii="Arial" w:hAnsi="Arial"/>
          <w:sz w:val="16"/>
        </w:rPr>
        <w:t>453.04  نشان با استفاده از معیارهای رنگ قهوه‌ای ادویه‌ای در پس‌زمینه OCP، ۱/۲ اینچ بالای نوار نام قرار می‌گیرد.</w:t>
      </w:r>
    </w:p>
    <w:p>
      <w:pPr>
        <w:spacing w:after="28" w:line="216" w:lineRule="auto"/>
        <w:ind w:left="259"/>
        <w:jc w:val="left"/>
      </w:pPr>
      <w:r>
        <w:rPr>
          <w:rFonts w:ascii="Arial" w:hAnsi="Arial"/>
          <w:color w:val="525252"/>
          <w:sz w:val="13"/>
        </w:rPr>
        <w:t>The badge will be centered 1/2-inch above the nametape, subdued cloth patch using the spice brown color criteria on OCP background.</w:t>
      </w:r>
    </w:p>
    <w:p>
      <w:pPr>
        <w:spacing w:after="20" w:line="223" w:lineRule="auto"/>
        <w:jc w:val="right"/>
        <w:bidi/>
      </w:pPr>
      <w:r>
        <w:rPr>
          <w:rFonts w:ascii="Arial" w:hAnsi="Arial"/>
          <w:sz w:val="16"/>
        </w:rPr>
        <w:t>453.05  پچ.</w:t>
      </w:r>
    </w:p>
    <w:p>
      <w:pPr>
        <w:spacing w:after="28" w:line="216" w:lineRule="auto"/>
        <w:ind w:left="259"/>
        <w:jc w:val="left"/>
      </w:pPr>
      <w:r>
        <w:rPr>
          <w:rFonts w:ascii="Arial" w:hAnsi="Arial"/>
          <w:color w:val="525252"/>
          <w:sz w:val="13"/>
        </w:rPr>
        <w:t>Patches.</w:t>
      </w:r>
    </w:p>
    <w:p>
      <w:pPr>
        <w:spacing w:after="20" w:line="223" w:lineRule="auto"/>
        <w:jc w:val="right"/>
        <w:bidi/>
      </w:pPr>
      <w:r>
        <w:rPr>
          <w:rFonts w:ascii="Arial" w:hAnsi="Arial"/>
          <w:sz w:val="16"/>
        </w:rPr>
        <w:t>453.06  وصله‌ها از مرز ولکرو® فراتر نمی‌روند.</w:t>
      </w:r>
    </w:p>
    <w:p>
      <w:pPr>
        <w:spacing w:after="28" w:line="216" w:lineRule="auto"/>
        <w:ind w:left="259"/>
        <w:jc w:val="left"/>
      </w:pPr>
      <w:r>
        <w:rPr>
          <w:rFonts w:ascii="Arial" w:hAnsi="Arial"/>
          <w:color w:val="525252"/>
          <w:sz w:val="13"/>
        </w:rPr>
        <w:t>Patches will not extend past the boundary of the Velcro®.</w:t>
      </w:r>
    </w:p>
    <w:p>
      <w:pPr>
        <w:spacing w:after="20" w:line="223" w:lineRule="auto"/>
        <w:jc w:val="right"/>
        <w:bidi/>
      </w:pPr>
      <w:r>
        <w:rPr>
          <w:rFonts w:ascii="Arial" w:hAnsi="Arial"/>
          <w:sz w:val="16"/>
        </w:rPr>
        <w:t>453.07  هوانوردان با پیکربندی قرار دادن وصله شانه موجود در این بخش و DAFI ۳۶-۲۹۰۳، پاراگراف‌های ۵.۱.۶.۱.۱ تا ۵.۱.۶.۱.۲ و پاراگراف‌های ۵.۱.۶.۲ تا ۵.۱.۶.۲.۴ مطابقت خواهند داشت.</w:t>
      </w:r>
    </w:p>
    <w:p>
      <w:pPr>
        <w:spacing w:after="28" w:line="216" w:lineRule="auto"/>
        <w:ind w:left="259"/>
        <w:jc w:val="left"/>
      </w:pPr>
      <w:r>
        <w:rPr>
          <w:rFonts w:ascii="Arial" w:hAnsi="Arial"/>
          <w:color w:val="525252"/>
          <w:sz w:val="13"/>
        </w:rPr>
        <w:t>Airmen will comply with the shoulder patch placement configuration found in this section and DAFI 36-2903, paragraphs 5.1.6.1.1 through 5.1.6.1.2 and paragraphs 5.1.6.2 through 5.1.6.2.4.</w:t>
      </w:r>
    </w:p>
    <w:p>
      <w:pPr>
        <w:spacing w:after="20" w:line="223" w:lineRule="auto"/>
        <w:jc w:val="right"/>
        <w:bidi/>
      </w:pPr>
      <w:r>
        <w:rPr>
          <w:rFonts w:ascii="Arial" w:hAnsi="Arial"/>
          <w:sz w:val="16"/>
        </w:rPr>
        <w:t>453.08  هوانوردانی که برای پشتیبانی از واحدهای خدمات خواهر یا سازمان‌های مشترک منصوب، پیوست، مشروح یا فعال شده‌اند، می‌توانند نشان‌ها/تصله‌های سازمانی سرویس خواهر یا سازمان مشترک را مطابق با دستورالعمل‌های مربوط به لباس خود بپوشند.</w:t>
      </w:r>
    </w:p>
    <w:p>
      <w:pPr>
        <w:spacing w:after="28" w:line="216" w:lineRule="auto"/>
        <w:ind w:left="259"/>
        <w:jc w:val="left"/>
      </w:pPr>
      <w:r>
        <w:rPr>
          <w:rFonts w:ascii="Arial" w:hAnsi="Arial"/>
          <w:color w:val="525252"/>
          <w:sz w:val="13"/>
        </w:rPr>
        <w:t>Airmen assigned, attached, detailed, or activated in support of sister service units or joint organizations may wear the sister service’s or joint organization’s organizational badges/patches in accordance with their respective wear instructions.</w:t>
      </w:r>
    </w:p>
    <w:p>
      <w:pPr>
        <w:spacing w:after="20" w:line="223" w:lineRule="auto"/>
        <w:jc w:val="right"/>
        <w:bidi/>
      </w:pPr>
      <w:r>
        <w:rPr>
          <w:rFonts w:ascii="Arial" w:hAnsi="Arial"/>
          <w:sz w:val="16"/>
        </w:rPr>
        <w:t>453.09  نشان‌ها/وصله‌های خدمات خواهر و سازمان مشترک را می‌توان در پیکربندی رنگ فعلی خود استفاده کرد و به معیار رنگ قهوه‌ای ادویه‌ای تبدیل نمی‌شود.</w:t>
      </w:r>
    </w:p>
    <w:p>
      <w:pPr>
        <w:spacing w:after="28" w:line="216" w:lineRule="auto"/>
        <w:ind w:left="259"/>
        <w:jc w:val="left"/>
      </w:pPr>
      <w:r>
        <w:rPr>
          <w:rFonts w:ascii="Arial" w:hAnsi="Arial"/>
          <w:color w:val="525252"/>
          <w:sz w:val="13"/>
        </w:rPr>
        <w:t>Sister service and joint organization badges/patches can be worn in their current color configuration and will not be converted to the spice brown color criteria.</w:t>
      </w:r>
    </w:p>
    <w:p>
      <w:pPr>
        <w:spacing w:after="20" w:line="223" w:lineRule="auto"/>
        <w:jc w:val="right"/>
        <w:bidi/>
      </w:pPr>
      <w:r>
        <w:rPr>
          <w:rFonts w:ascii="Arial" w:hAnsi="Arial"/>
          <w:sz w:val="16"/>
        </w:rPr>
        <w:t>453.10  به‌علاوه، هوانوردان منصوب به سازمان‌های وزارت نیروی هوایی که از نیروی هوایی و فضایی پشتیبانی می‌کنند، مجاز به پوشیدن وصله‌های سازمانی تمام رنگ قهوه‌ای نیروی هوایی و نیروی فضایی هستند.</w:t>
      </w:r>
    </w:p>
    <w:p>
      <w:pPr>
        <w:spacing w:after="28" w:line="216" w:lineRule="auto"/>
        <w:ind w:left="259"/>
        <w:jc w:val="left"/>
      </w:pPr>
      <w:r>
        <w:rPr>
          <w:rFonts w:ascii="Arial" w:hAnsi="Arial"/>
          <w:color w:val="525252"/>
          <w:sz w:val="13"/>
        </w:rPr>
        <w:t>Additionally, Airmen assigned to Department of Air Force organizations that support both Air and Space Force are permitted to wear both Air Force spice brown and Space Force full color organization patches.</w:t>
      </w:r>
    </w:p>
    <w:p>
      <w:pPr>
        <w:spacing w:after="20" w:line="223" w:lineRule="auto"/>
        <w:jc w:val="right"/>
        <w:bidi/>
      </w:pPr>
      <w:r>
        <w:rPr>
          <w:rFonts w:ascii="Arial" w:hAnsi="Arial"/>
          <w:sz w:val="16"/>
        </w:rPr>
        <w:t>453.11  ضوابط اعطای نشان‌های صلاحیت سایر خدمات مطابق با دستورالعمل‌های اعطای خدمات خواهد بود.</w:t>
      </w:r>
    </w:p>
    <w:p>
      <w:pPr>
        <w:spacing w:after="28" w:line="216" w:lineRule="auto"/>
        <w:ind w:left="259"/>
        <w:jc w:val="left"/>
      </w:pPr>
      <w:r>
        <w:rPr>
          <w:rFonts w:ascii="Arial" w:hAnsi="Arial"/>
          <w:color w:val="525252"/>
          <w:sz w:val="13"/>
        </w:rPr>
        <w:t>Award criteria for other Services’ qualification badges will be in accordance with awarding Service’s directives.</w:t>
      </w:r>
    </w:p>
    <w:p>
      <w:pPr>
        <w:spacing w:after="20" w:line="223" w:lineRule="auto"/>
        <w:jc w:val="right"/>
        <w:bidi/>
      </w:pPr>
      <w:r>
        <w:rPr>
          <w:rFonts w:ascii="Arial" w:hAnsi="Arial"/>
          <w:sz w:val="16"/>
        </w:rPr>
        <w:t>453.12  نشان‌های صلاحیت موقت برای پوشیدن روی لباس مجاز نیستند.</w:t>
      </w:r>
    </w:p>
    <w:p>
      <w:pPr>
        <w:spacing w:after="28" w:line="216" w:lineRule="auto"/>
        <w:ind w:left="259"/>
        <w:jc w:val="left"/>
      </w:pPr>
      <w:r>
        <w:rPr>
          <w:rFonts w:ascii="Arial" w:hAnsi="Arial"/>
          <w:color w:val="525252"/>
          <w:sz w:val="13"/>
        </w:rPr>
        <w:t>Temporary qualification badges are not authorized for wear on the uniform.</w:t>
      </w:r>
    </w:p>
    <w:p>
      <w:pPr>
        <w:spacing w:after="20" w:line="223" w:lineRule="auto"/>
        <w:jc w:val="right"/>
        <w:bidi/>
      </w:pPr>
      <w:r>
        <w:rPr>
          <w:rFonts w:ascii="Arial" w:hAnsi="Arial"/>
          <w:sz w:val="16"/>
        </w:rPr>
        <w:t>453.13  توجه: زبانه ایربورن یک زبانه موقت است و فقط مجاز به پوشیدن در زمانی است که به سازمانی اختصاص داده شده است که پوشیدن را به‌عنوان بخشی از علائم آستین شانه سازمان تجویز می‌کند.</w:t>
      </w:r>
    </w:p>
    <w:p>
      <w:pPr>
        <w:spacing w:after="28" w:line="216" w:lineRule="auto"/>
        <w:ind w:left="259"/>
        <w:jc w:val="left"/>
      </w:pPr>
      <w:r>
        <w:rPr>
          <w:rFonts w:ascii="Arial" w:hAnsi="Arial"/>
          <w:color w:val="525252"/>
          <w:sz w:val="13"/>
        </w:rPr>
        <w:t>Note: The Airborne tab is a temporary tab and is only authorized to be worn while assigned to an organization that prescribes wear as part of the organizations shoulder sleeve insignia.</w:t>
      </w:r>
    </w:p>
    <w:p>
      <w:pPr>
        <w:spacing w:after="20" w:line="223" w:lineRule="auto"/>
        <w:jc w:val="right"/>
        <w:bidi/>
      </w:pPr>
      <w:r>
        <w:rPr>
          <w:rFonts w:ascii="Arial" w:hAnsi="Arial"/>
          <w:sz w:val="16"/>
        </w:rPr>
        <w:t>453.14  DAFI ۳۶-۲۹۰۳ اگر دستورالعمل‌های پوشیدن سرویس مشترک یا خواهر منجر به تضاد در راهنمای پیکربندی وصله نیروی هوایی شود (به‌عنوان مثال، تغییر مکان پرچم ایالات متحده یا وصله شناسه وظیفه، تغییر وصله تعیین‌شده به‌عنوان "پچ چپ به سمت راست و غیره" اولویت خواهد داشت.</w:t>
      </w:r>
    </w:p>
    <w:p>
      <w:pPr>
        <w:spacing w:after="28" w:line="216" w:lineRule="auto"/>
        <w:ind w:left="259"/>
        <w:jc w:val="left"/>
      </w:pPr>
      <w:r>
        <w:rPr>
          <w:rFonts w:ascii="Arial" w:hAnsi="Arial"/>
          <w:color w:val="525252"/>
          <w:sz w:val="13"/>
        </w:rPr>
        <w:t>DAFI 36- 2903 will take precedence if joint or sister service wear instructions will cause a conflict in Air Force patch configuration guidance (i.e., changes the location of the U.S. flag or Duty Identifier patch, switches a patch designated as a “left sleeve” patch to the right sleeve, etc.).</w:t>
      </w:r>
    </w:p>
    <w:p>
      <w:pPr>
        <w:spacing w:after="20" w:line="223" w:lineRule="auto"/>
        <w:jc w:val="right"/>
        <w:bidi/>
      </w:pPr>
      <w:r>
        <w:rPr>
          <w:rFonts w:ascii="Arial" w:hAnsi="Arial"/>
          <w:sz w:val="16"/>
        </w:rPr>
        <w:t>453.15  آستین راست.</w:t>
      </w:r>
    </w:p>
    <w:p>
      <w:pPr>
        <w:spacing w:after="28" w:line="216" w:lineRule="auto"/>
        <w:ind w:left="259"/>
        <w:jc w:val="left"/>
      </w:pPr>
      <w:r>
        <w:rPr>
          <w:rFonts w:ascii="Arial" w:hAnsi="Arial"/>
          <w:color w:val="525252"/>
          <w:sz w:val="13"/>
        </w:rPr>
        <w:t>Right Sleeve.</w:t>
      </w:r>
    </w:p>
    <w:p>
      <w:pPr>
        <w:spacing w:after="20" w:line="223" w:lineRule="auto"/>
        <w:jc w:val="right"/>
        <w:bidi/>
      </w:pPr>
      <w:r>
        <w:rPr>
          <w:rFonts w:ascii="Arial" w:hAnsi="Arial"/>
          <w:sz w:val="16"/>
        </w:rPr>
        <w:t>453.16  حداکثر دو وصله ممکن است پوشیده شود.</w:t>
      </w:r>
    </w:p>
    <w:p>
      <w:pPr>
        <w:spacing w:after="28" w:line="216" w:lineRule="auto"/>
        <w:ind w:left="259"/>
        <w:jc w:val="left"/>
      </w:pPr>
      <w:r>
        <w:rPr>
          <w:rFonts w:ascii="Arial" w:hAnsi="Arial"/>
          <w:color w:val="525252"/>
          <w:sz w:val="13"/>
        </w:rPr>
        <w:t>A maximum of two patches may be worn.</w:t>
      </w:r>
    </w:p>
    <w:p>
      <w:pPr>
        <w:spacing w:after="20" w:line="223" w:lineRule="auto"/>
        <w:jc w:val="right"/>
        <w:bidi/>
      </w:pPr>
      <w:r>
        <w:rPr>
          <w:rFonts w:ascii="Arial" w:hAnsi="Arial"/>
          <w:sz w:val="16"/>
        </w:rPr>
        <w:t>453.17  وصله پرچم ایالات متحده اجباری است و با استفاده از معیارهای رنگ قهوه‌ای ادویه‌ای (پارچه) که در مرکز بالای ولکرو® قرار دارد و در حین استقرار در پادگان پوشیده می‌شود، تضعیف می‌شود.</w:t>
      </w:r>
    </w:p>
    <w:p>
      <w:pPr>
        <w:spacing w:after="28" w:line="216" w:lineRule="auto"/>
        <w:ind w:left="259"/>
        <w:jc w:val="left"/>
      </w:pPr>
      <w:r>
        <w:rPr>
          <w:rFonts w:ascii="Arial" w:hAnsi="Arial"/>
          <w:color w:val="525252"/>
          <w:sz w:val="13"/>
        </w:rPr>
        <w:t>The U.S. flag patch is mandatory and will be subdued using the spice brown color criteria (cloth) centered at the top of Velcro® and worn while in-garrison and deployed.</w:t>
      </w:r>
    </w:p>
    <w:p>
      <w:pPr>
        <w:spacing w:after="20" w:line="223" w:lineRule="auto"/>
        <w:jc w:val="right"/>
        <w:bidi/>
      </w:pPr>
      <w:r>
        <w:rPr>
          <w:rFonts w:ascii="Arial" w:hAnsi="Arial"/>
          <w:sz w:val="16"/>
        </w:rPr>
        <w:t>453.18  پرچم‌های مادون قرمز ایالات متحده مجاز نیستند.</w:t>
      </w:r>
    </w:p>
    <w:p>
      <w:pPr>
        <w:spacing w:after="28" w:line="216" w:lineRule="auto"/>
        <w:ind w:left="259"/>
        <w:jc w:val="left"/>
      </w:pPr>
      <w:r>
        <w:rPr>
          <w:rFonts w:ascii="Arial" w:hAnsi="Arial"/>
          <w:color w:val="525252"/>
          <w:sz w:val="13"/>
        </w:rPr>
        <w:t>Infra-red U.S. flags are not authorized.</w:t>
      </w:r>
    </w:p>
    <w:p>
      <w:pPr>
        <w:spacing w:after="20" w:line="223" w:lineRule="auto"/>
        <w:jc w:val="right"/>
        <w:bidi/>
      </w:pPr>
      <w:r>
        <w:rPr>
          <w:rFonts w:ascii="Arial" w:hAnsi="Arial"/>
          <w:sz w:val="16"/>
        </w:rPr>
        <w:t>453.19  واحد سازمانی تخصیص وصله‌های معیار رنگ قهوه‌ای ادویه‌ای کم‌رنگ در صورت دردسترس بودن اجباری است (موارد غیر واحدی مانند دیرکتوراتس، AF لمنتس اختیاری هستند) و در مرکز ناحیه ولکرو® تحت پرچم ایالات متحده قرار می‌گیرند.</w:t>
      </w:r>
    </w:p>
    <w:p>
      <w:pPr>
        <w:spacing w:after="28" w:line="216" w:lineRule="auto"/>
        <w:ind w:left="259"/>
        <w:jc w:val="left"/>
      </w:pPr>
      <w:r>
        <w:rPr>
          <w:rFonts w:ascii="Arial" w:hAnsi="Arial"/>
          <w:color w:val="525252"/>
          <w:sz w:val="13"/>
        </w:rPr>
        <w:t>Organizational unit of assignment subdued spice brown color criteria patches are mandatory upon availability (non-unit entities such as Directorates, AF Elements are optional) and will be centered in the middle of the Velcro® area under the U.S. Flag.</w:t>
      </w:r>
    </w:p>
    <w:p>
      <w:pPr>
        <w:spacing w:after="20" w:line="223" w:lineRule="auto"/>
        <w:jc w:val="right"/>
        <w:bidi/>
      </w:pPr>
      <w:r>
        <w:rPr>
          <w:rFonts w:ascii="Arial" w:hAnsi="Arial"/>
          <w:sz w:val="16"/>
        </w:rPr>
        <w:t>453.20  (استثناء: برای الحاقات و در حین آموزش اولیه (مانند USAFA، ROTC، OTS، BMT)، پچ واحد ممکن است طبق دستور فرماندهان مربوطه استفاده شود.) تا زمانی که تبدیل رنگ پچ توسط مؤسسه تکمیل نشده باشد، می‌توان نسخه ضعیف فعلی پچ واحد یا بدون وصله پوشیده شود.</w:t>
      </w:r>
    </w:p>
    <w:p>
      <w:pPr>
        <w:spacing w:after="28" w:line="216" w:lineRule="auto"/>
        <w:ind w:left="259"/>
        <w:jc w:val="left"/>
      </w:pPr>
      <w:r>
        <w:rPr>
          <w:rFonts w:ascii="Arial" w:hAnsi="Arial"/>
          <w:color w:val="525252"/>
          <w:sz w:val="13"/>
        </w:rPr>
        <w:t>(Exception: For accessions and while in initial training (e.g., USAFA, ROTC, OTS, BMT) the unit patch may be worn as directed by applicable commanders.) Current subdued version of unit patch or no patch may be worn until the patch color conversion has been completed by the Institute of Heraldry.</w:t>
      </w:r>
    </w:p>
    <w:p>
      <w:pPr>
        <w:spacing w:after="20" w:line="223" w:lineRule="auto"/>
        <w:jc w:val="right"/>
        <w:bidi/>
      </w:pPr>
      <w:r>
        <w:rPr>
          <w:rFonts w:ascii="Arial" w:hAnsi="Arial"/>
          <w:sz w:val="16"/>
        </w:rPr>
        <w:t>453.21  توجه: هوانوردانی که وظایف کنترلی نیروی هوایی را انجام می‌دهند، کدهای تخصصی ۳۱PX یا ۳پ۰XX مجاز به استفاده دائمی از سپر نیروی امنیتی بر روی لباس OCP به‌جای وصله واحد سازمانی وظیفه پوشیده شده در آستین سمت راست هستند.</w:t>
      </w:r>
    </w:p>
    <w:p>
      <w:pPr>
        <w:spacing w:after="28" w:line="216" w:lineRule="auto"/>
        <w:ind w:left="259"/>
        <w:jc w:val="left"/>
      </w:pPr>
      <w:r>
        <w:rPr>
          <w:rFonts w:ascii="Arial" w:hAnsi="Arial"/>
          <w:color w:val="525252"/>
          <w:sz w:val="13"/>
        </w:rPr>
        <w:t>Note: Airmen performing duties in control Air Force Specialty Codes 31PX or 3P0XX are authorized permanent wear of the Security Force shield on the OCP uniform in-lieu of the organizational unit of assignment patch worn on the right sleeve.</w:t>
      </w:r>
    </w:p>
    <w:p>
      <w:pPr>
        <w:spacing w:after="20" w:line="223" w:lineRule="auto"/>
        <w:jc w:val="right"/>
        <w:bidi/>
      </w:pPr>
      <w:r>
        <w:rPr>
          <w:rFonts w:ascii="Arial" w:hAnsi="Arial"/>
          <w:sz w:val="16"/>
        </w:rPr>
        <w:t>453.22  هوانوردانی که وظایف کنترلی را انجام می‌دهند، کدهای تخصصی نیروی هوایی ۳پ۰XXA (سربازان سگ‌های کارگری نظامی) یا ۳پ۰XXB (مربی اسلحه‌های رزمی) مجاز به پوشیدن دائمی پچ ک-۹ گواردیانس وف ت نیگهت (GOTN) یا DAF کومبات ارمس پاتچ هستند. پوشیده شده روی آستین سمت راست</w:t>
      </w:r>
    </w:p>
    <w:p>
      <w:pPr>
        <w:spacing w:after="28" w:line="216" w:lineRule="auto"/>
        <w:ind w:left="259"/>
        <w:jc w:val="left"/>
      </w:pPr>
      <w:r>
        <w:rPr>
          <w:rFonts w:ascii="Arial" w:hAnsi="Arial"/>
          <w:color w:val="525252"/>
          <w:sz w:val="13"/>
        </w:rPr>
        <w:t>Airmen performing duties in control Air Force Specialty Codes 3P0XXA (Military Working Dog Handler) or 3P0XXB (Combat Arms Instructor) are authorized permanent wear of the K-9 Guardians of the Night (GOTN) Patch or DAF Combat Arms Instructor Patch on the OCP uniform in-lieu of the organizational unit of assignment patch worn on the right sleeve.</w:t>
      </w:r>
    </w:p>
    <w:p>
      <w:pPr>
        <w:spacing w:after="20" w:line="223" w:lineRule="auto"/>
        <w:jc w:val="right"/>
        <w:bidi/>
      </w:pPr>
      <w:r>
        <w:rPr>
          <w:rFonts w:ascii="Arial" w:hAnsi="Arial"/>
          <w:sz w:val="16"/>
        </w:rPr>
        <w:t>453.23  فرماندهان این اختیار را دارند که سایش استاندارد شده واحد تخصیص یا سپر، پچ ک-۹ GOTN یا وصله سلاح‌های رزمی DAF را هدایت کنند، اما نه همه.</w:t>
      </w:r>
    </w:p>
    <w:p>
      <w:pPr>
        <w:spacing w:after="28" w:line="216" w:lineRule="auto"/>
        <w:ind w:left="259"/>
        <w:jc w:val="left"/>
      </w:pPr>
      <w:r>
        <w:rPr>
          <w:rFonts w:ascii="Arial" w:hAnsi="Arial"/>
          <w:color w:val="525252"/>
          <w:sz w:val="13"/>
        </w:rPr>
        <w:t>Commanders retain the authority to direct standardized wear of either the unit of assignment patch or the shield, the K-9 GOTN patch, or DAF Combat Arms patch, but not all.</w:t>
      </w:r>
    </w:p>
    <w:p>
      <w:pPr>
        <w:spacing w:after="20" w:line="223" w:lineRule="auto"/>
        <w:jc w:val="right"/>
        <w:bidi/>
      </w:pPr>
      <w:r>
        <w:rPr>
          <w:rFonts w:ascii="Arial" w:hAnsi="Arial"/>
          <w:sz w:val="16"/>
        </w:rPr>
        <w:t>453.24  فرماندهان جناح ممکن است استفاده از وصله‌های اخلاقی را در طرح رنگ قهوه‌ای ادویه‌ای کمرنگ در روزهای جمعه یا در طول رویدادهای خاص مجاز کنند.</w:t>
      </w:r>
    </w:p>
    <w:p>
      <w:pPr>
        <w:spacing w:after="28" w:line="216" w:lineRule="auto"/>
        <w:ind w:left="259"/>
        <w:jc w:val="left"/>
      </w:pPr>
      <w:r>
        <w:rPr>
          <w:rFonts w:ascii="Arial" w:hAnsi="Arial"/>
          <w:color w:val="525252"/>
          <w:sz w:val="13"/>
        </w:rPr>
        <w:t>Wing commanders may authorize the wear of morale patches in the subdued spice brown color scheme on Fridays or during special events.</w:t>
      </w:r>
    </w:p>
    <w:p>
      <w:pPr>
        <w:spacing w:after="20" w:line="223" w:lineRule="auto"/>
        <w:jc w:val="right"/>
        <w:bidi/>
      </w:pPr>
      <w:r>
        <w:rPr>
          <w:rFonts w:ascii="Arial" w:hAnsi="Arial"/>
          <w:sz w:val="16"/>
        </w:rPr>
        <w:t>453.25  فرماندهان AFR و ANG ممکن است در طول تمرین‌های آخر هفته در روزهای جمعه، شنبه، یا یکشنبه یا در طول رویدادهای ویژه اجازه استفاده از آنها را بدهند.</w:t>
      </w:r>
    </w:p>
    <w:p>
      <w:pPr>
        <w:spacing w:after="28" w:line="216" w:lineRule="auto"/>
        <w:ind w:left="259"/>
        <w:jc w:val="left"/>
      </w:pPr>
      <w:r>
        <w:rPr>
          <w:rFonts w:ascii="Arial" w:hAnsi="Arial"/>
          <w:color w:val="525252"/>
          <w:sz w:val="13"/>
        </w:rPr>
        <w:t>AFR and ANG commanders may authorize wear during weekend drills on Friday, Saturday, or Sunday or during special events.</w:t>
      </w:r>
    </w:p>
    <w:p>
      <w:pPr>
        <w:spacing w:after="20" w:line="223" w:lineRule="auto"/>
        <w:jc w:val="right"/>
        <w:bidi/>
      </w:pPr>
      <w:r>
        <w:rPr>
          <w:rFonts w:ascii="Arial" w:hAnsi="Arial"/>
          <w:sz w:val="16"/>
        </w:rPr>
        <w:t>453.26  فرماندهان جناح لیستی از وصله‌های اخلاقی تأیید شده را حفظ خواهند کرد</w:t>
      </w:r>
    </w:p>
    <w:p>
      <w:pPr>
        <w:spacing w:after="28" w:line="216" w:lineRule="auto"/>
        <w:ind w:left="259"/>
        <w:jc w:val="left"/>
      </w:pPr>
      <w:r>
        <w:rPr>
          <w:rFonts w:ascii="Arial" w:hAnsi="Arial"/>
          <w:color w:val="525252"/>
          <w:sz w:val="13"/>
        </w:rPr>
        <w:t>Wing commanders will maintain a list of approved morale patches</w:t>
      </w:r>
    </w:p>
    <w:p>
      <w:r>
        <w:br w:type="page"/>
      </w:r>
    </w:p>
    <w:p>
      <w:pPr>
        <w:spacing w:after="60"/>
        <w:jc w:val="right"/>
        <w:bidi/>
      </w:pPr>
      <w:r>
        <w:rPr>
          <w:rFonts w:ascii="Arial" w:hAnsi="Arial"/>
          <w:b/>
          <w:color w:val="1F4D78"/>
          <w:sz w:val="19"/>
        </w:rPr>
        <w:t>هفتهٔ 454  |  صفحهٔ منبع: 470</w:t>
      </w:r>
    </w:p>
    <w:p>
      <w:pPr>
        <w:spacing w:after="20" w:line="223" w:lineRule="auto"/>
        <w:jc w:val="right"/>
        <w:bidi/>
      </w:pPr>
      <w:r>
        <w:rPr>
          <w:rFonts w:ascii="Arial" w:hAnsi="Arial"/>
          <w:sz w:val="16"/>
        </w:rPr>
        <w:t>454.01  مجاز به پوشیدن در داخل بال خود هستند.</w:t>
      </w:r>
    </w:p>
    <w:p>
      <w:pPr>
        <w:spacing w:after="28" w:line="216" w:lineRule="auto"/>
        <w:ind w:left="259"/>
        <w:jc w:val="left"/>
      </w:pPr>
      <w:r>
        <w:rPr>
          <w:rFonts w:ascii="Arial" w:hAnsi="Arial"/>
          <w:color w:val="525252"/>
          <w:sz w:val="13"/>
        </w:rPr>
        <w:t>authorized to be worn within their wing.</w:t>
      </w:r>
    </w:p>
    <w:p>
      <w:pPr>
        <w:spacing w:after="20" w:line="223" w:lineRule="auto"/>
        <w:jc w:val="right"/>
        <w:bidi/>
      </w:pPr>
      <w:r>
        <w:rPr>
          <w:rFonts w:ascii="Arial" w:hAnsi="Arial"/>
          <w:sz w:val="16"/>
        </w:rPr>
        <w:t>454.02  آستین چپ.</w:t>
      </w:r>
    </w:p>
    <w:p>
      <w:pPr>
        <w:spacing w:after="28" w:line="216" w:lineRule="auto"/>
        <w:ind w:left="259"/>
        <w:jc w:val="left"/>
      </w:pPr>
      <w:r>
        <w:rPr>
          <w:rFonts w:ascii="Arial" w:hAnsi="Arial"/>
          <w:color w:val="525252"/>
          <w:sz w:val="13"/>
        </w:rPr>
        <w:t>Left Sleeve.</w:t>
      </w:r>
    </w:p>
    <w:p>
      <w:pPr>
        <w:spacing w:after="20" w:line="223" w:lineRule="auto"/>
        <w:jc w:val="right"/>
        <w:bidi/>
      </w:pPr>
      <w:r>
        <w:rPr>
          <w:rFonts w:ascii="Arial" w:hAnsi="Arial"/>
          <w:sz w:val="16"/>
        </w:rPr>
        <w:t>454.03  حداکثر دو وصله ممکن است پوشیده شود.</w:t>
      </w:r>
    </w:p>
    <w:p>
      <w:pPr>
        <w:spacing w:after="28" w:line="216" w:lineRule="auto"/>
        <w:ind w:left="259"/>
        <w:jc w:val="left"/>
      </w:pPr>
      <w:r>
        <w:rPr>
          <w:rFonts w:ascii="Arial" w:hAnsi="Arial"/>
          <w:color w:val="525252"/>
          <w:sz w:val="13"/>
        </w:rPr>
        <w:t>A maximum of two patches may be worn.</w:t>
      </w:r>
    </w:p>
    <w:p>
      <w:pPr>
        <w:spacing w:after="20" w:line="223" w:lineRule="auto"/>
        <w:jc w:val="right"/>
        <w:bidi/>
      </w:pPr>
      <w:r>
        <w:rPr>
          <w:rFonts w:ascii="Arial" w:hAnsi="Arial"/>
          <w:sz w:val="16"/>
        </w:rPr>
        <w:t>454.04  استثنا: زبانه‌های صلاحیت مشترک اعطا شده (مستقل) ممکن است در بالای پچ HHQ به‌عنوان وصله سوم استفاده شوند (به‌عنوان مثال، تکاور ارتش، ساپر، نیروهای ویژه، مشاور هوایی، و غیره).</w:t>
      </w:r>
    </w:p>
    <w:p>
      <w:pPr>
        <w:spacing w:after="28" w:line="216" w:lineRule="auto"/>
        <w:ind w:left="259"/>
        <w:jc w:val="left"/>
      </w:pPr>
      <w:r>
        <w:rPr>
          <w:rFonts w:ascii="Arial" w:hAnsi="Arial"/>
          <w:color w:val="525252"/>
          <w:sz w:val="13"/>
        </w:rPr>
        <w:t>Exception: Awarded joint qualification tabs (subdued) may be worn above the HHQ patch as a third patch (e.g., Army Ranger, Sapper, Special Forces, Air Advisor, etc.).</w:t>
      </w:r>
    </w:p>
    <w:p>
      <w:pPr>
        <w:spacing w:after="20" w:line="223" w:lineRule="auto"/>
        <w:jc w:val="right"/>
        <w:bidi/>
      </w:pPr>
      <w:r>
        <w:rPr>
          <w:rFonts w:ascii="Arial" w:hAnsi="Arial"/>
          <w:sz w:val="16"/>
        </w:rPr>
        <w:t>454.05  نشان فرمانده مدرج یکی از دو تکه محسوب نمی‌شود (یعنی ممکن است علاوه بر دو تکه پوشیده شود.) وصله HHQ در طرح رنگ قهوه‌ای ادویه‌ای کم‌رنگ اجباری است، به جز مواردی که در بند ۵.۱.۶.۲.۴ ارائه شده است و در قسمت میانی پوشیده شده است.</w:t>
      </w:r>
    </w:p>
    <w:p>
      <w:pPr>
        <w:spacing w:after="28" w:line="216" w:lineRule="auto"/>
        <w:ind w:left="259"/>
        <w:jc w:val="left"/>
      </w:pPr>
      <w:r>
        <w:rPr>
          <w:rFonts w:ascii="Arial" w:hAnsi="Arial"/>
          <w:color w:val="525252"/>
          <w:sz w:val="13"/>
        </w:rPr>
        <w:t>The graduated commander’s insignia does not count as one of two patches (i.e., it may be worn in addition to two patches.) The HHQ patch in the subdued spice brown color scheme is mandatory except as provided in paragraph 5.1.6.2.4 and worn centered in the middle of the Velcro® area.</w:t>
      </w:r>
    </w:p>
    <w:p>
      <w:pPr>
        <w:spacing w:after="20" w:line="223" w:lineRule="auto"/>
        <w:jc w:val="right"/>
        <w:bidi/>
      </w:pPr>
      <w:r>
        <w:rPr>
          <w:rFonts w:ascii="Arial" w:hAnsi="Arial"/>
          <w:sz w:val="16"/>
        </w:rPr>
        <w:t>454.06  ستادهای عالی شامل سازمان‌های زیر هستند اما محدود به آنها نمی‌شوند: ستاد نیروی هوایی، واحدهای گزارش‌دهی مستقیم، آژانس‌های عملیاتی میدانی و MAJCOM. اعضای ANG می‌توانند پچ ANG تأیید شده یا پچ تأیید شده MAJCOM را که توسط ژنرال آجودان مربوطه تأیید شده استفاده کنند.</w:t>
      </w:r>
    </w:p>
    <w:p>
      <w:pPr>
        <w:spacing w:after="28" w:line="216" w:lineRule="auto"/>
        <w:ind w:left="259"/>
        <w:jc w:val="left"/>
      </w:pPr>
      <w:r>
        <w:rPr>
          <w:rFonts w:ascii="Arial" w:hAnsi="Arial"/>
          <w:color w:val="525252"/>
          <w:sz w:val="13"/>
        </w:rPr>
        <w:t>Higher Headquarters include but are not limited to the following organizations: Headquarters Air Force, Direct Reporting Units, Field Operating Agencies and MAJCOMs. Members of the ANG may wear the approved ANG patch, or the approved gaining MAJCOM patch as authorized by their respective Adjutant General.</w:t>
      </w:r>
    </w:p>
    <w:p>
      <w:pPr>
        <w:spacing w:after="20" w:line="223" w:lineRule="auto"/>
        <w:jc w:val="right"/>
        <w:bidi/>
      </w:pPr>
      <w:r>
        <w:rPr>
          <w:rFonts w:ascii="Arial" w:hAnsi="Arial"/>
          <w:sz w:val="16"/>
        </w:rPr>
        <w:t>454.07  سپرهای وظیفه قهوه‌ای ادویه‌ای مانند بازرس کل و نیروهای امنیتی (به یادداشت بند ۵.۱.۶.۱.۲ در مورد سپر نیروهای امنیتی مراجعه کنید) روی آستین سمت چپ مجاز هستند و در بالای ناحیه ولکرو® قرار دارند.</w:t>
      </w:r>
    </w:p>
    <w:p>
      <w:pPr>
        <w:spacing w:after="28" w:line="216" w:lineRule="auto"/>
        <w:ind w:left="259"/>
        <w:jc w:val="left"/>
      </w:pPr>
      <w:r>
        <w:rPr>
          <w:rFonts w:ascii="Arial" w:hAnsi="Arial"/>
          <w:color w:val="525252"/>
          <w:sz w:val="13"/>
        </w:rPr>
        <w:t>Spice brown duty shields such as Inspector General and Security Forces (see note in paragraph 5.1.6.1.2 regarding Security Forces shield) are authorized on the left sleeve and will be centered at the top of the Velcro® area.</w:t>
      </w:r>
    </w:p>
    <w:p>
      <w:pPr>
        <w:spacing w:after="20" w:line="223" w:lineRule="auto"/>
        <w:jc w:val="right"/>
        <w:bidi/>
      </w:pPr>
      <w:r>
        <w:rPr>
          <w:rFonts w:ascii="Arial" w:hAnsi="Arial"/>
          <w:sz w:val="16"/>
        </w:rPr>
        <w:t>454.08  وصله HHQ در قسمت باقیمانده ولکرو® در مرکز قرار خواهد گرفت.</w:t>
      </w:r>
    </w:p>
    <w:p>
      <w:pPr>
        <w:spacing w:after="28" w:line="216" w:lineRule="auto"/>
        <w:ind w:left="259"/>
        <w:jc w:val="left"/>
      </w:pPr>
      <w:r>
        <w:rPr>
          <w:rFonts w:ascii="Arial" w:hAnsi="Arial"/>
          <w:color w:val="525252"/>
          <w:sz w:val="13"/>
        </w:rPr>
        <w:t>The HHQ patch will be centered in the remaining Velcro® area.</w:t>
      </w:r>
    </w:p>
    <w:p>
      <w:pPr>
        <w:spacing w:after="20" w:line="223" w:lineRule="auto"/>
        <w:jc w:val="right"/>
        <w:bidi/>
      </w:pPr>
      <w:r>
        <w:rPr>
          <w:rFonts w:ascii="Arial" w:hAnsi="Arial"/>
          <w:sz w:val="16"/>
        </w:rPr>
        <w:t>454.09  قوس‌های وظیفه نیروی هوایی مانند سورویوال، واسیون، رسیستانک و سکاپ (SERE) نیز در بالای ناحیه ولکرو® در آستین چپ قرار دارند و از طرح رنگ قهوه‌ای ادویه‌ای استفاده می‌کنند.</w:t>
      </w:r>
    </w:p>
    <w:p>
      <w:pPr>
        <w:spacing w:after="28" w:line="216" w:lineRule="auto"/>
        <w:ind w:left="259"/>
        <w:jc w:val="left"/>
      </w:pPr>
      <w:r>
        <w:rPr>
          <w:rFonts w:ascii="Arial" w:hAnsi="Arial"/>
          <w:color w:val="525252"/>
          <w:sz w:val="13"/>
        </w:rPr>
        <w:t>Air Force duty arches such as Survival, Evasion, Resistance and Escape (SERE) will also be centered at the top of the Velcro® area on left sleeve and utilize the spice brown color scheme.</w:t>
      </w:r>
    </w:p>
    <w:p>
      <w:pPr>
        <w:spacing w:after="20" w:line="223" w:lineRule="auto"/>
        <w:jc w:val="right"/>
        <w:bidi/>
      </w:pPr>
      <w:r>
        <w:rPr>
          <w:rFonts w:ascii="Arial" w:hAnsi="Arial"/>
          <w:sz w:val="16"/>
        </w:rPr>
        <w:t>454.10  پچ شناسه رشته شغلی.</w:t>
      </w:r>
    </w:p>
    <w:p>
      <w:pPr>
        <w:spacing w:after="28" w:line="216" w:lineRule="auto"/>
        <w:ind w:left="259"/>
        <w:jc w:val="left"/>
      </w:pPr>
      <w:r>
        <w:rPr>
          <w:rFonts w:ascii="Arial" w:hAnsi="Arial"/>
          <w:color w:val="525252"/>
          <w:sz w:val="13"/>
        </w:rPr>
        <w:t>Career Field Identifier Patch.</w:t>
      </w:r>
    </w:p>
    <w:p>
      <w:pPr>
        <w:spacing w:after="20" w:line="223" w:lineRule="auto"/>
        <w:jc w:val="right"/>
        <w:bidi/>
      </w:pPr>
      <w:r>
        <w:rPr>
          <w:rFonts w:ascii="Arial" w:hAnsi="Arial"/>
          <w:sz w:val="16"/>
        </w:rPr>
        <w:t>454.11  هنگام انجام وظایف خود، برخی از کدهای تخصصی نیروی هوایی، که توسط مدیران حوزه شغلی تعیین شده است، و توسط AF/ا۱ مجاز است، ممکن است از یک پارچه پارچه‌ای قهوه‌ای ادویه‌ای در مرکز بالای ناحیه ولکرو® استفاده کنند.</w:t>
      </w:r>
    </w:p>
    <w:p>
      <w:pPr>
        <w:spacing w:after="28" w:line="216" w:lineRule="auto"/>
        <w:ind w:left="259"/>
        <w:jc w:val="left"/>
      </w:pPr>
      <w:r>
        <w:rPr>
          <w:rFonts w:ascii="Arial" w:hAnsi="Arial"/>
          <w:color w:val="525252"/>
          <w:sz w:val="13"/>
        </w:rPr>
        <w:t>While performing their duties certain Air Force Specialty Codes, as determined by career field managers, and authorized by AF/A1, may wear a spice brown subdued cloth patch centered at the top of the Velcro® area.</w:t>
      </w:r>
    </w:p>
    <w:p>
      <w:pPr>
        <w:spacing w:after="20" w:line="223" w:lineRule="auto"/>
        <w:jc w:val="right"/>
        <w:bidi/>
      </w:pPr>
      <w:r>
        <w:rPr>
          <w:rFonts w:ascii="Arial" w:hAnsi="Arial"/>
          <w:sz w:val="16"/>
        </w:rPr>
        <w:t>454.12  تکه‌های شناسه حداکثر پنج حرف خواهند بود، به‌عنوان مثال، عنصر هماهنگی اجزای هوای مشترک (JACCE)، و طرح رنگ قهوه‌ای ادویه‌ای استاندارد را حفظ می‌کنند.</w:t>
      </w:r>
    </w:p>
    <w:p>
      <w:pPr>
        <w:spacing w:after="28" w:line="216" w:lineRule="auto"/>
        <w:ind w:left="259"/>
        <w:jc w:val="left"/>
      </w:pPr>
      <w:r>
        <w:rPr>
          <w:rFonts w:ascii="Arial" w:hAnsi="Arial"/>
          <w:color w:val="525252"/>
          <w:sz w:val="13"/>
        </w:rPr>
        <w:t>Identifier patches will be a max of five letters e.g., Joint Air Component Coordination Element (JACCE), and maintain standard spice brown subdued color scheme.</w:t>
      </w:r>
    </w:p>
    <w:p>
      <w:pPr>
        <w:spacing w:after="20" w:line="223" w:lineRule="auto"/>
        <w:jc w:val="right"/>
        <w:bidi/>
      </w:pPr>
      <w:r>
        <w:rPr>
          <w:rFonts w:ascii="Arial" w:hAnsi="Arial"/>
          <w:sz w:val="16"/>
        </w:rPr>
        <w:t>454.13  به‌علاوه، ارتفاع از اندازه وصله پرچم تاکتیکی ایالات متحده تجاوز نخواهد کرد، ۳-۱/۴ اینچ و کس ۱-۱۳/۱۶ اینچ. کدهای تخصصی نیروی هوایی (AFSC) مشخص شده در جدول ۲۳.۱، پوشیدن مجاز شناسه وظیفه قابل اجرا هستند.</w:t>
      </w:r>
    </w:p>
    <w:p>
      <w:pPr>
        <w:spacing w:after="28" w:line="216" w:lineRule="auto"/>
        <w:ind w:left="259"/>
        <w:jc w:val="left"/>
      </w:pPr>
      <w:r>
        <w:rPr>
          <w:rFonts w:ascii="Arial" w:hAnsi="Arial"/>
          <w:color w:val="525252"/>
          <w:sz w:val="13"/>
        </w:rPr>
        <w:t>Additionally, height will not exceed the size of the U.S. tactical flag patch, 3-1/4” W x 1-13/16”H. Air Force Specialty Codes (AFSCs) identified in Table 23.1 are authorized wear of applicable duty identifier.</w:t>
      </w:r>
    </w:p>
    <w:p>
      <w:pPr>
        <w:spacing w:after="20" w:line="223" w:lineRule="auto"/>
        <w:jc w:val="right"/>
        <w:bidi/>
      </w:pPr>
      <w:r>
        <w:rPr>
          <w:rFonts w:ascii="Arial" w:hAnsi="Arial"/>
          <w:sz w:val="16"/>
        </w:rPr>
        <w:t>454.14  وصله‌های با حاشیه‌های سیاه، اولین پاسخ‌دهندگان یا رسته‌های شغلی را که نیاز به شناسایی سریع دارند، متمایز می‌کند.</w:t>
      </w:r>
    </w:p>
    <w:p>
      <w:pPr>
        <w:spacing w:after="28" w:line="216" w:lineRule="auto"/>
        <w:ind w:left="259"/>
        <w:jc w:val="left"/>
      </w:pPr>
      <w:r>
        <w:rPr>
          <w:rFonts w:ascii="Arial" w:hAnsi="Arial"/>
          <w:color w:val="525252"/>
          <w:sz w:val="13"/>
        </w:rPr>
        <w:t>Patches with black borders differentiate first responders or career fields who require quick identification.</w:t>
      </w:r>
    </w:p>
    <w:p>
      <w:pPr>
        <w:spacing w:after="20" w:line="223" w:lineRule="auto"/>
        <w:jc w:val="right"/>
        <w:bidi/>
      </w:pPr>
      <w:r>
        <w:rPr>
          <w:rFonts w:ascii="Arial" w:hAnsi="Arial"/>
          <w:sz w:val="16"/>
        </w:rPr>
        <w:t>454.15  افسران کل ممکن است از شناسه وظیفه‌ای استفاده کنند که نماینده مأموریت سازمانی است که آنها رهبری می‌کنند.</w:t>
      </w:r>
    </w:p>
    <w:p>
      <w:pPr>
        <w:spacing w:after="28" w:line="216" w:lineRule="auto"/>
        <w:ind w:left="259"/>
        <w:jc w:val="left"/>
      </w:pPr>
      <w:r>
        <w:rPr>
          <w:rFonts w:ascii="Arial" w:hAnsi="Arial"/>
          <w:color w:val="525252"/>
          <w:sz w:val="13"/>
        </w:rPr>
        <w:t>General officers may wear the duty identifier that is representative of the organization’s mission they are leading.</w:t>
      </w:r>
    </w:p>
    <w:p>
      <w:pPr>
        <w:spacing w:after="20" w:line="223" w:lineRule="auto"/>
        <w:jc w:val="right"/>
        <w:bidi/>
      </w:pPr>
      <w:r>
        <w:rPr>
          <w:rFonts w:ascii="Arial" w:hAnsi="Arial"/>
          <w:sz w:val="16"/>
        </w:rPr>
        <w:t>454.16  (توجه: شناسه وظیفه "FIRE" (با حاشیه مشکی) فقط روی لباس دو تکه وظیفه پرواز استفاده می‌شود.</w:t>
      </w:r>
    </w:p>
    <w:p>
      <w:pPr>
        <w:spacing w:after="28" w:line="216" w:lineRule="auto"/>
        <w:ind w:left="259"/>
        <w:jc w:val="left"/>
      </w:pPr>
      <w:r>
        <w:rPr>
          <w:rFonts w:ascii="Arial" w:hAnsi="Arial"/>
          <w:color w:val="525252"/>
          <w:sz w:val="13"/>
        </w:rPr>
        <w:t>(Note: The “FIRE” duty identifier (with black border) will only be worn on the two-piece flight duty uniform.</w:t>
      </w:r>
    </w:p>
    <w:p>
      <w:pPr>
        <w:spacing w:after="20" w:line="223" w:lineRule="auto"/>
        <w:jc w:val="right"/>
        <w:bidi/>
      </w:pPr>
      <w:r>
        <w:rPr>
          <w:rFonts w:ascii="Arial" w:hAnsi="Arial"/>
          <w:sz w:val="16"/>
        </w:rPr>
        <w:t>454.17  پوشیدن شناسه وظیفه در لباس OCP مجاز نیست.)</w:t>
      </w:r>
    </w:p>
    <w:p>
      <w:pPr>
        <w:spacing w:after="28" w:line="216" w:lineRule="auto"/>
        <w:ind w:left="259"/>
        <w:jc w:val="left"/>
      </w:pPr>
      <w:r>
        <w:rPr>
          <w:rFonts w:ascii="Arial" w:hAnsi="Arial"/>
          <w:color w:val="525252"/>
          <w:sz w:val="13"/>
        </w:rPr>
        <w:t>Wear of a duty identifier on the OCP uniform is not authorized.)</w:t>
      </w:r>
    </w:p>
    <w:p>
      <w:r>
        <w:br w:type="page"/>
      </w:r>
    </w:p>
    <w:p>
      <w:pPr>
        <w:spacing w:after="60"/>
        <w:jc w:val="right"/>
        <w:bidi/>
      </w:pPr>
      <w:r>
        <w:rPr>
          <w:rFonts w:ascii="Arial" w:hAnsi="Arial"/>
          <w:b/>
          <w:color w:val="1F4D78"/>
          <w:sz w:val="19"/>
        </w:rPr>
        <w:t>هفتهٔ 455  |  صفحهٔ منبع: 471</w:t>
      </w:r>
    </w:p>
    <w:p>
      <w:pPr>
        <w:spacing w:before="60" w:after="28"/>
        <w:jc w:val="right"/>
        <w:bidi/>
      </w:pPr>
      <w:r>
        <w:rPr>
          <w:b/>
          <w:color w:val="1F4D78"/>
          <w:sz w:val="18"/>
        </w:rPr>
        <w:t>PATCH/TAB تایید شده</w:t>
      </w:r>
    </w:p>
    <w:p>
      <w:pPr>
        <w:spacing w:after="20"/>
        <w:ind w:left="259"/>
        <w:jc w:val="left"/>
      </w:pPr>
      <w:r>
        <w:rPr>
          <w:color w:val="555555"/>
          <w:sz w:val="12"/>
        </w:rPr>
        <w:t>APPROVED PATCH/TAB</w:t>
      </w:r>
    </w:p>
    <w:p>
      <w:pPr>
        <w:spacing w:before="60" w:after="28"/>
        <w:jc w:val="right"/>
        <w:bidi/>
      </w:pPr>
      <w:r>
        <w:rPr>
          <w:b/>
          <w:color w:val="1F4D78"/>
          <w:sz w:val="18"/>
        </w:rPr>
        <w:t>وظیفه فعلی</w:t>
      </w:r>
    </w:p>
    <w:p>
      <w:pPr>
        <w:spacing w:after="20"/>
        <w:ind w:left="259"/>
        <w:jc w:val="left"/>
      </w:pPr>
      <w:r>
        <w:rPr>
          <w:color w:val="555555"/>
          <w:sz w:val="12"/>
        </w:rPr>
        <w:t>CURRENT DUTY</w:t>
      </w:r>
    </w:p>
    <w:p>
      <w:pPr>
        <w:spacing w:after="20" w:line="223" w:lineRule="auto"/>
        <w:jc w:val="right"/>
        <w:bidi/>
      </w:pPr>
      <w:r>
        <w:rPr>
          <w:rFonts w:ascii="Arial" w:hAnsi="Arial"/>
          <w:sz w:val="16"/>
        </w:rPr>
        <w:t>455.03  ساختاری ۳۳ فرماندهی و کنترل چند دامنه‌ای ۱۳و گروهبان اول ۱SGT موشک و سیستم فضایی انتخاب تعمیر و نگهداری، تعمیر و نگهداری سیستم‌های موشکی و فضایی، تأسیسات موشکی و فضایی ۲م۰ مدیر نبرد هوایی ABM عضو نیروی هوایی دورم ادمینیستراتیون (فقط برای انجام خدمات پستی ABM عضو نیروی هوایی برای هر کسی بخشی از نامه پستی یا رسمی) ADMIN یا MPS ایرکرو فلیگهت قویپمنت AFE ایرفیلد ماناگمنت AFLD اروسپاک گرووند قویپمنت AGE ایر ادویسور (توجه: با شناسه طبقه بندی مستند (SEI/SDI)، ایر ادویسور یا ادوانکد ایر مجاز برای پوشیدن دائمی (POC AF/ا۳TM) و اویونیکس تستاتیون (ا۳تاب) ادویسور اطلاعات، نظارت و شناسایی (تحلیلگر زبان رمزنگاری هوابرد، اپراتور ISR هوابرد) ا-ISR ایر لاونچد کرویس میسسیل ماینتنانک ALCM علامت تماس آلفا عددی، به‌عنوان مثال، علامت تماس تاکتیکی جنگ ویژه ا۰۱ یا HR۴۴ مویسون ایر موبیلیتی تاکتیکال سیستمس تعمیر و نگهداری، حمل و نقل هوایی/مأموریت ویژه تعمیر و نگهداری هواپیما، تعمیر و نگهداری هواپیماهای سوخت‌گیری/بمب‌افکن APG حوزه و امنیت قطب شمال (توجه: تکمیل جهت‌گیری امنیت دفاعی قطب شمال و SEI قابل اجرا) ARCTIC (برگه) تعمیر و نگهداری سازه هواپیما ASM</w:t>
      </w:r>
    </w:p>
    <w:p>
      <w:pPr>
        <w:spacing w:after="28" w:line="216" w:lineRule="auto"/>
        <w:ind w:left="259"/>
        <w:jc w:val="left"/>
      </w:pPr>
      <w:r>
        <w:rPr>
          <w:rFonts w:ascii="Arial" w:hAnsi="Arial"/>
          <w:color w:val="525252"/>
          <w:sz w:val="13"/>
        </w:rPr>
        <w:t>Structural 3E3 Multi-Domain Command and Control 13O First Sergeant 1SGT Missile &amp; Space System Elect Maintenance, Missile &amp; Space Systems Maintenance, Missile &amp; Space Facilities 2M0 Air Battle Manager ABM Airman Dorm Leader ADL Administration (Military Postal Service (MPS) only for personnel performing any part of postal or official mail) ADMIN or MPS Aircrew Flight Equipment AFE Airfield Management AFLD Aerospace Ground Equipment AGE Air Advisor (Note: With documented classification identifier (SEI/SDI), Air Advisor or Advanced Air authorized for permanent wear (POC AF/A3TM)) Advisor (tab) Avionics Test Station and Components AIS Airborne Intelligence, Surveillance and Reconnaissance (Airborne Cryptologic Language Analyst, Airborne ISR Operator) A-ISR Air Launched Cruise Missile Maintenance ALCM Alpha-numeric call sign, e.g., Special Warfare Tactical Call Sign A01 or HR44 Air Mobility Liaison Officer AMLO Munitions Systems AMMO Tactical Aircraft Maintenance, Airlift/Special Mission Aircraft Maintenance, Refuel/Bomber Aircraft Maintenance APG Arctic Domain and Security (Note: Completion of Arctic Defense Security Orientation and awarded applicable SEI) ARCTIC (tab) Aircraft Structural Maintenance ASM</w:t>
      </w:r>
    </w:p>
    <w:p>
      <w:r>
        <w:br w:type="page"/>
      </w:r>
    </w:p>
    <w:p>
      <w:pPr>
        <w:spacing w:after="60"/>
        <w:jc w:val="right"/>
        <w:bidi/>
      </w:pPr>
      <w:r>
        <w:rPr>
          <w:rFonts w:ascii="Arial" w:hAnsi="Arial"/>
          <w:b/>
          <w:color w:val="1F4D78"/>
          <w:sz w:val="19"/>
        </w:rPr>
        <w:t>هفتهٔ 456  |  صفحهٔ منبع: 472</w:t>
      </w:r>
    </w:p>
    <w:p>
      <w:pPr>
        <w:spacing w:after="20" w:line="223" w:lineRule="auto"/>
        <w:jc w:val="right"/>
        <w:bidi/>
      </w:pPr>
      <w:r>
        <w:rPr>
          <w:rFonts w:ascii="Arial" w:hAnsi="Arial"/>
          <w:sz w:val="16"/>
        </w:rPr>
        <w:t>456.01  ATC اویونیک کنترل ترافیک هوایی (سیستم کومم/ناو/میسسیون یکپارچه SOF/PR، سیستم یکپارچه ابزار و کنترل پرواز SOF/PR، سیستم جنگ الکترونیک یکپارچه SOF/PR، اویونیک یکپارچه هواپیماهای جنگنده، موبیلیتی نیروی هواییس کومم/ناو/میسسیون ینتگراتد سیستم، موبیلیتی نیروی هواییس کومم/ناو سیستم ینتگراتد کونترول) سیستم، بمب افکن/ویژه یکپارچه کومم/ناو/سیستم مأموریت، بمب افکن/سیستم کنترل یکپارچه ابزار و پرواز، بمب افکن/جنگ الکترونیکی ویژه و نظارت رادار اویونیک یکپارچه) مدیریت منابع هوانوردی AVI (مدیریت هوانوردی) AVMGT باس دفنس گرووپ BDG</w:t>
      </w:r>
    </w:p>
    <w:p>
      <w:pPr>
        <w:spacing w:after="28" w:line="216" w:lineRule="auto"/>
        <w:ind w:left="259"/>
        <w:jc w:val="left"/>
      </w:pPr>
      <w:r>
        <w:rPr>
          <w:rFonts w:ascii="Arial" w:hAnsi="Arial"/>
          <w:color w:val="525252"/>
          <w:sz w:val="13"/>
        </w:rPr>
        <w:t>Air Traffic Control ATC Avionics ( SOF/PR Integrated Comm/Nav/Mission System, SOF/PR Integrated Instrument &amp; Flight Control System, SOF/PR Integrated Electronic Warfare System, Fighter Aircraft Integrated Avionics, Mobility Air Forces Integrated Comm/Nav/Mission System, Mobility Air Forces Integrated Instrument &amp; Flt Control System, Bomber/Special Integrated Comm/Nav/Mission System, Bomber/Special Integrated Instrument &amp; Flight Control System, Bomber/Special Electronic Warfare &amp; Radar Surveillance Integrated Avionics) AVI Aviation Resource Management (Aviation Management) AVMGT Base Defense Group BDG</w:t>
      </w:r>
    </w:p>
    <w:p>
      <w:pPr>
        <w:spacing w:before="60" w:after="28"/>
        <w:jc w:val="right"/>
        <w:bidi/>
      </w:pPr>
      <w:r>
        <w:rPr>
          <w:b/>
          <w:color w:val="1F4D78"/>
          <w:sz w:val="18"/>
        </w:rPr>
        <w:t>گارد افتخاری پایگاه</w:t>
      </w:r>
    </w:p>
    <w:p>
      <w:pPr>
        <w:spacing w:after="20"/>
        <w:ind w:left="259"/>
        <w:jc w:val="left"/>
      </w:pPr>
      <w:r>
        <w:rPr>
          <w:color w:val="555555"/>
          <w:sz w:val="12"/>
        </w:rPr>
        <w:t>BASE HONOR GUARD</w:t>
      </w:r>
    </w:p>
    <w:p>
      <w:pPr>
        <w:spacing w:after="20" w:line="223" w:lineRule="auto"/>
        <w:jc w:val="right"/>
        <w:bidi/>
      </w:pPr>
      <w:r>
        <w:rPr>
          <w:rFonts w:ascii="Arial" w:hAnsi="Arial"/>
          <w:sz w:val="16"/>
        </w:rPr>
        <w:t>456.03  گارد افتخاری نصب USAF (باس هونور گوارد) (برگه) فرماندهی و کنترل عملیات مدیریت نبرد ک۲BMO فرماندهی و کنترل عملیات ک۲OPS مشاور کمک شغلی CA کومبات اویاتیون ادویسور (SOF) (توجه: با شناسه طبقه‌بندی مستند (پوشش/TMASEI مجاز برای دائمی) مدیریت اضطراری CAA (شیمیایی، بیولوژیکی، رادیولوژیکی، هسته‌ای)</w:t>
      </w:r>
    </w:p>
    <w:p>
      <w:pPr>
        <w:spacing w:after="28" w:line="216" w:lineRule="auto"/>
        <w:ind w:left="259"/>
        <w:jc w:val="left"/>
      </w:pPr>
      <w:r>
        <w:rPr>
          <w:rFonts w:ascii="Arial" w:hAnsi="Arial"/>
          <w:color w:val="525252"/>
          <w:sz w:val="13"/>
        </w:rPr>
        <w:t>USAF Installation Honor Guard (Base Honor Guard) (tab) Command and Control Battle Management Operations C2BMO Command and Control Operations C2OPS Career Assistance Advisor CA Combat Aviation Advisor (SOF) (Note: With documented classification identifier (SEI/SDI), authorized for permanent wear (POC AF/A3TM) CAA Emergency Management (Chemical, Biological, Radiological, Nuclear)</w:t>
      </w:r>
    </w:p>
    <w:p>
      <w:pPr>
        <w:spacing w:before="60" w:after="28"/>
        <w:jc w:val="right"/>
        <w:bidi/>
      </w:pPr>
      <w:r>
        <w:rPr>
          <w:b/>
          <w:color w:val="1F4D78"/>
          <w:sz w:val="18"/>
        </w:rPr>
        <w:t>CBRN</w:t>
      </w:r>
    </w:p>
    <w:p>
      <w:pPr>
        <w:spacing w:after="20"/>
        <w:ind w:left="259"/>
        <w:jc w:val="left"/>
      </w:pPr>
      <w:r>
        <w:rPr>
          <w:color w:val="555555"/>
          <w:sz w:val="12"/>
        </w:rPr>
        <w:t>CBRN</w:t>
      </w:r>
    </w:p>
    <w:p>
      <w:pPr>
        <w:spacing w:after="20" w:line="223" w:lineRule="auto"/>
        <w:jc w:val="right"/>
        <w:bidi/>
      </w:pPr>
      <w:r>
        <w:rPr>
          <w:rFonts w:ascii="Arial" w:hAnsi="Arial"/>
          <w:sz w:val="16"/>
        </w:rPr>
        <w:t>456.05  افسر قرارداد اضطراری CCO کومبات کونتروللر CCT کیویل نگینیر CE شغلی هوانورد استخدام شده (سوخت‌گیری در پرواز، مهندس پرواز، لودمستر هواپیما، سیستم‌های مأموریت هوابرد، مهماندار، مأموریت‌های ویژه CEA هوانوردی، خلبان از راه دور، هواپیمای مسافربری مجدد از راه دور) کووریر CORIER (تاب) کونتینگنکی رسپونس CR کومبات رسکو وففیکر CRO</w:t>
      </w:r>
    </w:p>
    <w:p>
      <w:pPr>
        <w:spacing w:after="28" w:line="216" w:lineRule="auto"/>
        <w:ind w:left="259"/>
        <w:jc w:val="left"/>
      </w:pPr>
      <w:r>
        <w:rPr>
          <w:rFonts w:ascii="Arial" w:hAnsi="Arial"/>
          <w:color w:val="525252"/>
          <w:sz w:val="13"/>
        </w:rPr>
        <w:t>Contingency Contracting Officer CCO Combat Controller CCT Civil Engineer CE Career Enlisted Aviator (In-flight Refueling, Flight Engineer, Aircraft Loadmaster, Airborne Mission Systems, Flight Attendant, Special CEA Missions Aviation, Remotely Piloted Aircraft Sensor Operator, Enlisted Remotely Piloted Aircraft Pilot) Courier COURIER (tab) Contingency Response CR Combat Rescue Officer CRO</w:t>
      </w:r>
    </w:p>
    <w:p>
      <w:r>
        <w:br w:type="page"/>
      </w:r>
    </w:p>
    <w:p>
      <w:pPr>
        <w:spacing w:after="60"/>
        <w:jc w:val="right"/>
        <w:bidi/>
      </w:pPr>
      <w:r>
        <w:rPr>
          <w:rFonts w:ascii="Arial" w:hAnsi="Arial"/>
          <w:b/>
          <w:color w:val="1F4D78"/>
          <w:sz w:val="19"/>
        </w:rPr>
        <w:t>هفتهٔ 457  |  صفحهٔ منبع: 473</w:t>
      </w:r>
    </w:p>
    <w:p>
      <w:pPr>
        <w:spacing w:after="20" w:line="223" w:lineRule="auto"/>
        <w:jc w:val="right"/>
        <w:bidi/>
      </w:pPr>
      <w:r>
        <w:rPr>
          <w:rFonts w:ascii="Arial" w:hAnsi="Arial"/>
          <w:sz w:val="16"/>
        </w:rPr>
        <w:t>457.01  افسر سیستم‌های رزمی تحرک، جنگ فضای سایبری CSO، عملیات جنگ سایبری، مدیریت دانش، عملیات سیستم‌های سایبری، سیستم‌های حمل‌ونقل سایبری، تضمین سایبری، برنامه‌نویسی سیستم‌های کامپیوتری، سیستم‌های مشتری، سیستم‌های انتقال RF، عملیات طیف، کابل و سیستم‌های دارای تخصص توسعه آنتن ارتباطات جنگی از طریق اعطای شناسه تجربه ویژه تأیید شده، یا صلاحیت CYBER یا XCOMM آماده مأموریت رزمی) (با مرز سیاه به یادداشت مراجعه کنید.) توسعه و آموزش د&amp;ت عنصر واکنش زمینی هواپیما قابل استقرار DAGRE روسازی و تجهیزات ساخت و ساز تجهیزات DIRT ایرکرافت لکتریکاید لمنت EAGLE ایرکرو گرسس سیستمس EJECT لکتریکال سیستمس ELEC دولوپمنتال نگینیرینگ وتیلیزاتیون فیلد EN اروسپاک پروپولسیون ENGS نگینیرینگ ENGR مدیریت آفات ENTO فرصت برابر EO خنثی سازی مهمات منفجره EOD آمادگی اضطراری آمادگی اضطراری افسر رابط نیروی هوایی ارتش آمریکا ارزیاب حرفه‌ای آموزش نظامی ارزیاب (برگه) رکک/سورو/افسر جنگ الکترونیک، مدیر/فرمانده/دستیاران فرماندهی EWO افسر منطقه خارجی اجرایی FAO</w:t>
      </w:r>
    </w:p>
    <w:p>
      <w:pPr>
        <w:spacing w:after="28" w:line="216" w:lineRule="auto"/>
        <w:ind w:left="259"/>
        <w:jc w:val="left"/>
      </w:pPr>
      <w:r>
        <w:rPr>
          <w:rFonts w:ascii="Arial" w:hAnsi="Arial"/>
          <w:color w:val="525252"/>
          <w:sz w:val="13"/>
        </w:rPr>
        <w:t>Mobility Combat Systems Officer, CSO Cyber Space Warfare, Cyber Warfare Operations, Knowledge Management, Cyber Systems Operations, Cyber Transport Systems, Cyber Surety, Computer Systems Programming, Client Systems, RF Transmission Systems, Spectrum Operations, Cable and Antenna Systems, Software Development Specialist (Note: Performing and qualified in Expeditionary Warfighting Communications through award of an approved Special Experience Identifier, or Combat Mission Ready CYBER or XCOMM Qualification) (w/Black Border see note.) Development and Training D&amp;T Deployable Aircraft Ground Response Element DAGRE Pavement &amp; Construction Equipment DIRT Aircraft Electric &amp; Environmental Systems E E Expeditionary Air Ground Liaison Element EAGLE Aircrew Egress Systems EJECT Electrical Systems ELEC Developmental Engineering Utilization Field EN Aerospace Propulsion ENGS Engineering ENGR Pest Management ENTO Equal Opportunity EO Explosive Ordnance Disposal EOD Emergency Preparedness Liaison Officer EPLO United States Air Force Enlisted Professional Military Education (Instructor) Professional Military Education Evaluator EVALUATOR (tab) Recce/Surv/Electronic Warfare Officer, EWO Director/Commander/Command Chief Executive Assistants EXEC Foreign Area Officer FAO</w:t>
      </w:r>
    </w:p>
    <w:p>
      <w:r>
        <w:br w:type="page"/>
      </w:r>
    </w:p>
    <w:p>
      <w:pPr>
        <w:spacing w:after="60"/>
        <w:jc w:val="right"/>
        <w:bidi/>
      </w:pPr>
      <w:r>
        <w:rPr>
          <w:rFonts w:ascii="Arial" w:hAnsi="Arial"/>
          <w:b/>
          <w:color w:val="1F4D78"/>
          <w:sz w:val="19"/>
        </w:rPr>
        <w:t>هفتهٔ 458  |  صفحهٔ منبع: 474</w:t>
      </w:r>
    </w:p>
    <w:p>
      <w:pPr>
        <w:spacing w:after="20" w:line="223" w:lineRule="auto"/>
        <w:jc w:val="right"/>
        <w:bidi/>
      </w:pPr>
      <w:r>
        <w:rPr>
          <w:rFonts w:ascii="Arial" w:hAnsi="Arial"/>
          <w:sz w:val="16"/>
        </w:rPr>
        <w:t>458.01  منطقه سوخت‌رسانی پیشروی FARP مدیریت مالی و کنترلر حفاظت از نیروی FM (مورد تأیید برای اسکورت‌های OCN) قرارداد سیستم‌های سوخت هواپیما FP FUELS (تکمیل برنامه کارآموزی SOCOM GHOST) حمل‌ونقل زمینی GHOST گرمایش، تهویه، تهویه مطبوع و تبرید HVACR سیستم‌های هیدرولیک هواپیما HYDRO هسته‌ای و عملیات موشکی، تعمیر و نگهداری موشک‌های بالستیک قاره‌پیما تکنسین پزشکی مستقل وظیفه تکنسین پزشکی ICBM (۴ن۰کس۱ک) IDMT بین‌المللی نام نویسی شده، مدیر تعاملات بین‌المللی (IEEM ینستروکتورینتابانکیلل) تحلیلگر اطلاعاتی، تجزیه و تحلیل جغرافیایی، هوش سیگنالها، تحلیلگر زبان رمزی، سایبری، تجزیه و تحلیل اطلاعاتی، تحلیل و گزارش رمزنگاری، متخصص هوش انسانی، تحلیلگر هدف، متخصص کاربردهای علمی، هوش) ISR جوینت ایر کومپوننت کوردیناتیون LACCE تعمیر و نگهداری سازه LO آمادگی لجستیک LRO</w:t>
      </w:r>
    </w:p>
    <w:p>
      <w:pPr>
        <w:spacing w:after="28" w:line="216" w:lineRule="auto"/>
        <w:ind w:left="259"/>
        <w:jc w:val="left"/>
      </w:pPr>
      <w:r>
        <w:rPr>
          <w:rFonts w:ascii="Arial" w:hAnsi="Arial"/>
          <w:color w:val="525252"/>
          <w:sz w:val="13"/>
        </w:rPr>
        <w:t>Forward Area Refueling Point FARP Financial Management &amp; Comptroller FM Force Protection (approved for OCN escorts) FP Aircraft Fuel Systems FUELS Contracting (SOCOM GHOST Intern Program Completion) GHOST Ground Transportation GT Chaplains, Religious Affairs HC High-Frequency Global Communications System HFGCS Heating, Ventilation, Air-condition &amp; Refrigeration HVACR Aircraft Hydraulic Systems HYDRO Nuclear and Missile Operations, Intercontinental Ballistic Missile Maintenance ICBM Independent Duty Medical Technician (4N0X1C) IDMT International Enlisted Engagements Manager IEEM Instructor INSTRUCTOR (tab) Intelligence Surveillance Reconnaissance (All Source Intelligence Analyst, Geospatial Analysis, Signals Intelligence, Cryptologic Language Analyst, Cyber, Intelligence Analysis, Cryptologic Analysis and Reporting, Human Intelligence Specialist, Targeting Analyst, Scientific Applications Specialist, Intelligence) ISR Joint Air Component Coordination Element JACCE Liquid Fuels Maintenance LFM Low Observable Aircraft Structural Maintenance LO Logistics Readiness LRO</w:t>
      </w:r>
    </w:p>
    <w:p>
      <w:pPr>
        <w:spacing w:before="60" w:after="28"/>
        <w:jc w:val="right"/>
        <w:bidi/>
      </w:pPr>
      <w:r>
        <w:rPr>
          <w:b/>
          <w:color w:val="1F4D78"/>
          <w:sz w:val="18"/>
        </w:rPr>
        <w:t>استاد مدرس</w:t>
      </w:r>
    </w:p>
    <w:p>
      <w:pPr>
        <w:spacing w:after="20"/>
        <w:ind w:left="259"/>
        <w:jc w:val="left"/>
      </w:pPr>
      <w:r>
        <w:rPr>
          <w:color w:val="555555"/>
          <w:sz w:val="12"/>
        </w:rPr>
        <w:t>MASTER INSTRUCTOR</w:t>
      </w:r>
    </w:p>
    <w:p>
      <w:pPr>
        <w:spacing w:after="20" w:line="223" w:lineRule="auto"/>
        <w:jc w:val="right"/>
        <w:bidi/>
      </w:pPr>
      <w:r>
        <w:rPr>
          <w:rFonts w:ascii="Arial" w:hAnsi="Arial"/>
          <w:sz w:val="16"/>
        </w:rPr>
        <w:t>458.03  استاد مربی (تب) چند قابلیت عضو نیروی هوایی MCA</w:t>
      </w:r>
    </w:p>
    <w:p>
      <w:pPr>
        <w:spacing w:after="28" w:line="216" w:lineRule="auto"/>
        <w:ind w:left="259"/>
        <w:jc w:val="left"/>
      </w:pPr>
      <w:r>
        <w:rPr>
          <w:rFonts w:ascii="Arial" w:hAnsi="Arial"/>
          <w:color w:val="525252"/>
          <w:sz w:val="13"/>
        </w:rPr>
        <w:t>Master Instructor (tab) Multicapable Airman MCA</w:t>
      </w:r>
    </w:p>
    <w:p>
      <w:r>
        <w:br w:type="page"/>
      </w:r>
    </w:p>
    <w:p>
      <w:pPr>
        <w:spacing w:after="60"/>
        <w:jc w:val="right"/>
        <w:bidi/>
      </w:pPr>
      <w:r>
        <w:rPr>
          <w:rFonts w:ascii="Arial" w:hAnsi="Arial"/>
          <w:b/>
          <w:color w:val="1F4D78"/>
          <w:sz w:val="19"/>
        </w:rPr>
        <w:t>هفتهٔ 459  |  صفحهٔ منبع: 475</w:t>
      </w:r>
    </w:p>
    <w:p>
      <w:pPr>
        <w:spacing w:after="20" w:line="223" w:lineRule="auto"/>
        <w:jc w:val="right"/>
        <w:bidi/>
      </w:pPr>
      <w:r>
        <w:rPr>
          <w:rFonts w:ascii="Arial" w:hAnsi="Arial"/>
          <w:sz w:val="16"/>
        </w:rPr>
        <w:t>459.01  تعمیر و نگهداری هواپیما تاکتیکی (نسل پنجم) تعمیر و نگهداری هواپیمای هلیکوپتر/تیلتروتور، تعمیر و نگهداری هواپیما از راه دور</w:t>
      </w:r>
    </w:p>
    <w:p>
      <w:pPr>
        <w:spacing w:after="28" w:line="216" w:lineRule="auto"/>
        <w:ind w:left="259"/>
        <w:jc w:val="left"/>
      </w:pPr>
      <w:r>
        <w:rPr>
          <w:rFonts w:ascii="Arial" w:hAnsi="Arial"/>
          <w:color w:val="525252"/>
          <w:sz w:val="13"/>
        </w:rPr>
        <w:t>Tactical Aircraft Maintenance (5th Generation) Helicopter/Tiltrotor Aircraft Maintenance, Remotely Piloted Aircraft Maintenance</w:t>
      </w:r>
    </w:p>
    <w:p>
      <w:pPr>
        <w:spacing w:before="60" w:after="28"/>
        <w:jc w:val="right"/>
        <w:bidi/>
      </w:pPr>
      <w:r>
        <w:rPr>
          <w:b/>
          <w:color w:val="1F4D78"/>
          <w:sz w:val="18"/>
        </w:rPr>
        <w:t>MECH</w:t>
      </w:r>
    </w:p>
    <w:p>
      <w:pPr>
        <w:spacing w:after="20"/>
        <w:ind w:left="259"/>
        <w:jc w:val="left"/>
      </w:pPr>
      <w:r>
        <w:rPr>
          <w:color w:val="555555"/>
          <w:sz w:val="12"/>
        </w:rPr>
        <w:t>MECH</w:t>
      </w:r>
    </w:p>
    <w:p>
      <w:pPr>
        <w:spacing w:after="20" w:line="223" w:lineRule="auto"/>
        <w:jc w:val="right"/>
        <w:bidi/>
      </w:pPr>
      <w:r>
        <w:rPr>
          <w:rFonts w:ascii="Arial" w:hAnsi="Arial"/>
          <w:sz w:val="16"/>
        </w:rPr>
        <w:t>459.03  هر ارائه دهنده، توسعه دهنده ارائه دهنده، پرستار یا ۴NXXX.</w:t>
      </w:r>
    </w:p>
    <w:p>
      <w:pPr>
        <w:spacing w:after="28" w:line="216" w:lineRule="auto"/>
        <w:ind w:left="259"/>
        <w:jc w:val="left"/>
      </w:pPr>
      <w:r>
        <w:rPr>
          <w:rFonts w:ascii="Arial" w:hAnsi="Arial"/>
          <w:color w:val="525252"/>
          <w:sz w:val="13"/>
        </w:rPr>
        <w:t>Any provider, provider extender, nurse, or 4NXXX.</w:t>
      </w:r>
    </w:p>
    <w:p>
      <w:pPr>
        <w:spacing w:after="20" w:line="223" w:lineRule="auto"/>
        <w:jc w:val="right"/>
        <w:bidi/>
      </w:pPr>
      <w:r>
        <w:rPr>
          <w:rFonts w:ascii="Arial" w:hAnsi="Arial"/>
          <w:sz w:val="16"/>
        </w:rPr>
        <w:t>459.04  به‌علاوه، سایر AFSC های پزشکی دارای گواهینامه NAEMT-مدیکال پرسوننل یا DHA MED (و/بلاکک بوردر) TCCC درجه II یا بالاتر، مدیر مرکز هشدار موشکی MAFM مانپوور MNPWR ماستر رسیلینک تراینرس (توجه: آموزش دهندگان تاب آوری مستمر با هماهنگی مدیر برنامه‌های پوشیدنی ارتجاعی/مدیر برنامه محلی تأیید شده) هستند. MRT ایرکرافت متالس تچنولوگی MTECH MTECH MTECH مونیتیونس اند میسسیل ماینتنانک MUNS ایرکرافت ماینتنانک MX ماینتنانک ماناگمنت انالیسیس، ماینتنانک ماناگمنت پرودوکتیون MXMGR ناویگاتور NAV بازرسی غیرمخرب NDI NUKES، NUCMX یا ۲و۲کس۱ تسلیحات هسته‌ای ۲و۲کس۱ دفتر تحقیقات عملیات‌های هسته‌ای سپکیالسی وپپاستیگ یا ینوستیگگ CTCS (دوربین امور عمومی رزمی (دوربین امور عمومی و رزمی) شرکت فیزیولوژی هوافضا (۱۳HX و ۱ه۰کس۱) PHYS رکک/سورو/لکترونیک وارفار پیلوت، موبیلیتی پیلوت PILOT پارارسکو PJ کونتراکتینگ وتیلیزاتیون فیلد پلانس PKPLNR</w:t>
      </w:r>
    </w:p>
    <w:p>
      <w:pPr>
        <w:spacing w:after="28" w:line="216" w:lineRule="auto"/>
        <w:ind w:left="259"/>
        <w:jc w:val="left"/>
      </w:pPr>
      <w:r>
        <w:rPr>
          <w:rFonts w:ascii="Arial" w:hAnsi="Arial"/>
          <w:color w:val="525252"/>
          <w:sz w:val="13"/>
        </w:rPr>
        <w:t>In addition, any other medical AFSCs certified in NAEMT-Medical Personnel or DHA MED (w/Black Border) TCCC tier II or higher Missile Alert Facility Manager MAFM Manpower MNPWR Master Resilience Trainers (Note: Resilience Trainers are authorized continuous wear with concurrence/approval of the local program manager.) MRT Aircraft Metals Technology MTECH Munitions and Missile Maintenance MUNS Aircraft Maintenance MX Maintenance Management Analysis, Maintenance Management Production MXMGR Navigator NAV Nondestructive Inspection NDI NUKES, NUCMX or 2W2X1 Nuclear Weapons Operations Management OPSMG Operation Research Analyst OR Office of Special Investigations OSI PA or CTCS (Combat Public Affairs (Public Affairs and Combat Camera) Camera) Aerospace Physiology Enterprise (13HX and 1H0X1) PHYS Recce/Surv/Electronic Warfare Pilot, Mobility Pilot PILOT Pararescue PJ Contracting Utilization Field PK Logistics Plans PLNR</w:t>
      </w:r>
    </w:p>
    <w:p>
      <w:r>
        <w:br w:type="page"/>
      </w:r>
    </w:p>
    <w:p>
      <w:pPr>
        <w:spacing w:after="60"/>
        <w:jc w:val="right"/>
        <w:bidi/>
      </w:pPr>
      <w:r>
        <w:rPr>
          <w:rFonts w:ascii="Arial" w:hAnsi="Arial"/>
          <w:b/>
          <w:color w:val="1F4D78"/>
          <w:sz w:val="19"/>
        </w:rPr>
        <w:t>هفتهٔ 460  |  صفحهٔ منبع: 476</w:t>
      </w:r>
    </w:p>
    <w:p>
      <w:pPr>
        <w:spacing w:after="20" w:line="223" w:lineRule="auto"/>
        <w:jc w:val="right"/>
        <w:bidi/>
      </w:pPr>
      <w:r>
        <w:rPr>
          <w:rFonts w:ascii="Arial" w:hAnsi="Arial"/>
          <w:sz w:val="16"/>
        </w:rPr>
        <w:t>460.01  مواد ارشد - رده بالایی، میدان استفاده از اکتساب تجهیزات اندازه‌گیری دقیق PM PMEL باککشوپ اویونیکس پودس PODS سوخت (نفت) POL حمل‌ونقل هوایی پورت برق تولید نیروی برق پرسنل POWER POWER پرسنل POWER (هوم-ستاتیون) به‌عنوان پشتیبانی و عدم انجام کار عملیات (استقرار در ظرفیت PERSCO) عملیات اطلاعاتی PRSNL یا PRSCO، (عملیات روانی، مصادف با اعطای جایزه ۹ق SEI برای عملیات پشتیبانی اطلاعات نظامی (MISO) متخصص توانمندی) تضمین کیفیت عملیات روانی QA راون RAVEN (تب) رادار، میدان هوایی، سیستم‌های رادار، سیستم‌های هواشناسی، سیستم‌های هواشناسی خدمات RAWS رکرویتر RECRUITER (برگه) (آمادگی در خدمات پایه) (توجه داشته باشید که در ایستگاه خانه هنگام کار در دفتر آمادگی استفاده شود یا با کد ر استفاده شود و همه اعضای سرویس مستقر می‌توانند از آن استفاده کنند.) RIBS نیروهای هوایی و مرکز آمادگی خانواده / رادینسس NCO RNCO ریلینک تراینینگ اسسیستانک (بدون استفاده از دستیاران مستمر آموزش تاب آوری) موافقت/تأیید مدیر برنامه محلی.) هماهنگ کننده پاسخ تجاوز جنسی RTA حوزه بهره‌برداری علمی SARC عضو ارشد قرارداد SCO بقا، فرار، مقاومت و فرار SERE (برگه) نیروهای امنیتی SF (با مرز سیاه) ایمنی SFTY</w:t>
      </w:r>
    </w:p>
    <w:p>
      <w:pPr>
        <w:spacing w:after="28" w:line="216" w:lineRule="auto"/>
        <w:ind w:left="259"/>
        <w:jc w:val="left"/>
      </w:pPr>
      <w:r>
        <w:rPr>
          <w:rFonts w:ascii="Arial" w:hAnsi="Arial"/>
          <w:color w:val="525252"/>
          <w:sz w:val="13"/>
        </w:rPr>
        <w:t>Senior Material-Upper Echelon, Acquisition Utilization Field PM Precision Measurement Equipment Laboratory PMEL Backshop Avionics PODs PODS Fuel (Petroleum) POL Air Transportation PORT Electric Power Production POWER Personnel (Home-station and/or deployed and not performing as PERSCO), Personnel Support for Contingency Operations (Deployed in a PERSCO capacity) PRSNL or PRSCO Information Operations, (Psychological Operations, coincide with award of the 9Q SEI for Military Information Support Operations (MISO) Capability Specialist) PSYOP Quality Assurance QA Raven RAVEN (tab) Radar, Airfield, Weather Systems (Airfield and Radar Systems, Radar Systems, Airfield Systems) RAWS Recruiter RECRUITER (tab) Services (Readiness In Base Services) (Note To be worn at home station when working in the Readiness office or R-coded and all deployed Services member may wear.) RIBS Airmen and Family Readiness Center/Readiness NCO RNCO Resilience Training Assistants (Note Resilience Trainers are authorized continuous wear with concurrence/approval of the local program manager.) RTA Sexual Assault Response Coordinator SARC Scientific Utilization Field SCI Senior Contracting Official SCO Survival, Evasion, Resistance and Escape SERE (tab) Security Forces SF (w/ Black Border) Safety SFTY</w:t>
      </w:r>
    </w:p>
    <w:p>
      <w:r>
        <w:br w:type="page"/>
      </w:r>
    </w:p>
    <w:p>
      <w:pPr>
        <w:spacing w:after="60"/>
        <w:jc w:val="right"/>
        <w:bidi/>
      </w:pPr>
      <w:r>
        <w:rPr>
          <w:rFonts w:ascii="Arial" w:hAnsi="Arial"/>
          <w:b/>
          <w:color w:val="1F4D78"/>
          <w:sz w:val="19"/>
        </w:rPr>
        <w:t>هفتهٔ 461  |  صفحهٔ منبع: 477</w:t>
      </w:r>
    </w:p>
    <w:p>
      <w:pPr>
        <w:spacing w:after="20" w:line="223" w:lineRule="auto"/>
        <w:jc w:val="right"/>
        <w:bidi/>
      </w:pPr>
      <w:r>
        <w:rPr>
          <w:rFonts w:ascii="Arial" w:hAnsi="Arial"/>
          <w:sz w:val="16"/>
        </w:rPr>
        <w:t>461.01  تعمیر و نگهداری پرتاب فضایی/نظارت تضمین مأموریت SPACE ویژه شناسایی SR افسر تاکتیک‌های ویژه STO خدمات SUP مدیریت مواد (توجه: ایستگاه خانگی یا مستقر) SVS نیروی هوایی پشتیبانی مأموریت جنگ ویژه SWMS ستافف واتر وففیکر SWO تاکتیکال ایروان پارتی کونتروللد و ارزیابی آزمون مدیریت ترافیک TMO آموزش و آموزش TRNG واحد استقرار مدیر UDM ضمانت نامحدود افسر پیمانکاری UNLTD</w:t>
      </w:r>
    </w:p>
    <w:p>
      <w:pPr>
        <w:spacing w:after="28" w:line="216" w:lineRule="auto"/>
        <w:ind w:left="259"/>
        <w:jc w:val="left"/>
      </w:pPr>
      <w:r>
        <w:rPr>
          <w:rFonts w:ascii="Arial" w:hAnsi="Arial"/>
          <w:color w:val="525252"/>
          <w:sz w:val="13"/>
        </w:rPr>
        <w:t>Space Launch Maintenance/Mission Assurance Oversight SPACE Special Reconnaissance SR Special Tactics Officer STO Materiel Management SUP Services (Note: Home Station or Deployed) SVS Air Force Special Warfare Mission Support SWMS Staff Weather Officer SWO Tactical Air Control Party TACP Advanced Fighter Aircraft Integrated Avionics TECH Test and Evaluation TEST Traffic Management TMO Education and Training TRNG Unit Deployment Manager UDM Unlimited Warrant Contracting Officer UNLTD</w:t>
      </w:r>
    </w:p>
    <w:p>
      <w:pPr>
        <w:spacing w:before="60" w:after="28"/>
        <w:jc w:val="right"/>
        <w:bidi/>
      </w:pPr>
      <w:r>
        <w:rPr>
          <w:b/>
          <w:color w:val="1F4D78"/>
          <w:sz w:val="18"/>
        </w:rPr>
        <w:t>گارد افتخاری USAF</w:t>
      </w:r>
    </w:p>
    <w:p>
      <w:pPr>
        <w:spacing w:after="20"/>
        <w:ind w:left="259"/>
        <w:jc w:val="left"/>
      </w:pPr>
      <w:r>
        <w:rPr>
          <w:color w:val="555555"/>
          <w:sz w:val="12"/>
        </w:rPr>
        <w:t>USAF HONOR GUARD</w:t>
      </w:r>
    </w:p>
    <w:p>
      <w:pPr>
        <w:spacing w:after="20" w:line="223" w:lineRule="auto"/>
        <w:jc w:val="right"/>
        <w:bidi/>
      </w:pPr>
      <w:r>
        <w:rPr>
          <w:rFonts w:ascii="Arial" w:hAnsi="Arial"/>
          <w:sz w:val="16"/>
        </w:rPr>
        <w:t>461.03  USAF هونور گوارد (برگه) تأیید و بررسی تجهیزات تعمیر و نگهداری VACE وهیکل ماناگمنت (مأموریت نسل تجهیزات خودرو تعمیر و نگهداری، مدیریت ناوگان و تجزیه و تحلیل) افسر آب و هوا و علوم زیست محیطی VM WESO واتر &amp; فول سیستمس ماینتنانک ایرکرافتس WSEP واتر WX</w:t>
      </w:r>
    </w:p>
    <w:p>
      <w:pPr>
        <w:spacing w:after="28" w:line="216" w:lineRule="auto"/>
        <w:ind w:left="259"/>
        <w:jc w:val="left"/>
      </w:pPr>
      <w:r>
        <w:rPr>
          <w:rFonts w:ascii="Arial" w:hAnsi="Arial"/>
          <w:color w:val="525252"/>
          <w:sz w:val="13"/>
        </w:rPr>
        <w:t>USAF Honor Guard (tab) Verification and Checkout Equipment Maintenance VACE Vehicle Management (Mission Generation Vehicular Equipment Maintenance, Fleet Management and Analysis) VM Weather and Environmental Sciences Officer WESO Water &amp; Fuel Systems Maintenance WFSM Aircraft Armament Systems WPNS Weapons System Evaluation Program WSEP Weather WX</w:t>
      </w:r>
    </w:p>
    <w:p>
      <w:pPr>
        <w:spacing w:before="60" w:after="28"/>
        <w:jc w:val="right"/>
        <w:bidi/>
      </w:pPr>
      <w:r>
        <w:rPr>
          <w:b/>
          <w:color w:val="1F4D78"/>
          <w:sz w:val="18"/>
        </w:rPr>
        <w:t>جدول 23.1. وصله‌ها/زبانه‌های شناسه وظیفه مجاز (آستین چپ)</w:t>
      </w:r>
    </w:p>
    <w:p>
      <w:pPr>
        <w:spacing w:after="20"/>
        <w:ind w:left="259"/>
        <w:jc w:val="left"/>
      </w:pPr>
      <w:r>
        <w:rPr>
          <w:color w:val="555555"/>
          <w:sz w:val="12"/>
        </w:rPr>
        <w:t>Table 23.1. Authorized Duty Identifier Patches/Tabs (Left Sleeve)</w:t>
      </w:r>
    </w:p>
    <w:p>
      <w:pPr>
        <w:spacing w:after="20" w:line="223" w:lineRule="auto"/>
        <w:jc w:val="right"/>
        <w:bidi/>
      </w:pPr>
      <w:r>
        <w:rPr>
          <w:rFonts w:ascii="Arial" w:hAnsi="Arial"/>
          <w:sz w:val="16"/>
        </w:rPr>
        <w:t>461.05  پچ‌های فارغ‌التحصیل USAF.</w:t>
      </w:r>
    </w:p>
    <w:p>
      <w:pPr>
        <w:spacing w:after="28" w:line="216" w:lineRule="auto"/>
        <w:ind w:left="259"/>
        <w:jc w:val="left"/>
      </w:pPr>
      <w:r>
        <w:rPr>
          <w:rFonts w:ascii="Arial" w:hAnsi="Arial"/>
          <w:color w:val="525252"/>
          <w:sz w:val="13"/>
        </w:rPr>
        <w:t>USAF Graduate Patches.</w:t>
      </w:r>
    </w:p>
    <w:p>
      <w:pPr>
        <w:spacing w:after="20" w:line="223" w:lineRule="auto"/>
        <w:jc w:val="right"/>
        <w:bidi/>
      </w:pPr>
      <w:r>
        <w:rPr>
          <w:rFonts w:ascii="Arial" w:hAnsi="Arial"/>
          <w:sz w:val="16"/>
        </w:rPr>
        <w:t>461.06  پچ فارغ‌التحصیلی مدرسه سلاح‌های USAF (فارغ‌التحصیل یا مربی)، USAF (یا معادل مشترک/بین المللی) وصله‌های فارغ‌التحصیل مدرسه خلبانی آزمایشی، وصله‌های گروهی مطالعات پیشرفته سطح خدمات (به‌عنوان مثال، دانشکده مطالعات پیشرفته هوا و فضای (SAASS)، دانشکده مطالعات نظامی پیشرفته (محصولات جنگی پیشرفته (محصولات جنگی پیشرفته) (MASWMS) جنگ‌های پیشرفته (SAW) و غیره، و پچ تیم حمل‌ونقل هوایی کریتیکال کار روی آستین سمت چپ با استفاده از معیارهای رنگ قهوه‌ای ادویه‌ای مجاز هستند.</w:t>
      </w:r>
    </w:p>
    <w:p>
      <w:pPr>
        <w:spacing w:after="28" w:line="216" w:lineRule="auto"/>
        <w:ind w:left="259"/>
        <w:jc w:val="left"/>
      </w:pPr>
      <w:r>
        <w:rPr>
          <w:rFonts w:ascii="Arial" w:hAnsi="Arial"/>
          <w:color w:val="525252"/>
          <w:sz w:val="13"/>
        </w:rPr>
        <w:t>USAF Weapons School Graduate Patch (graduate or instructor), USAF (or joint/international equivalent) Test Pilot School graduate patches, service level advanced studies groups patches (e.g., School of Advanced Air and Space Studies (SAASS), School of Advanced Military Studies (SAMS), Maritime Advanced Warfighting School (MAWS), School of Advanced Warfighting (SAW), etc.), and Critical Care Air Transport Team patch are authorized on the left sleeve using subdued spice brown color criteria.</w:t>
      </w:r>
    </w:p>
    <w:p>
      <w:pPr>
        <w:spacing w:after="20" w:line="223" w:lineRule="auto"/>
        <w:jc w:val="right"/>
        <w:bidi/>
      </w:pPr>
      <w:r>
        <w:rPr>
          <w:rFonts w:ascii="Arial" w:hAnsi="Arial"/>
          <w:sz w:val="16"/>
        </w:rPr>
        <w:t>461.07  وصله‌های اضافی ممکن است مطابق با معیارهای DAFI ۳۶-۲۹۰۳، بند ۵.۱.۶.۲.۴.۱ مجاز شوند.</w:t>
      </w:r>
    </w:p>
    <w:p>
      <w:pPr>
        <w:spacing w:after="28" w:line="216" w:lineRule="auto"/>
        <w:ind w:left="259"/>
        <w:jc w:val="left"/>
      </w:pPr>
      <w:r>
        <w:rPr>
          <w:rFonts w:ascii="Arial" w:hAnsi="Arial"/>
          <w:color w:val="525252"/>
          <w:sz w:val="13"/>
        </w:rPr>
        <w:t>Additional patches may be authorized as outlined by criteria in DAFI 36-2903, paragraph 5.1.6.2.4.1.</w:t>
      </w:r>
    </w:p>
    <w:p>
      <w:pPr>
        <w:spacing w:after="20" w:line="223" w:lineRule="auto"/>
        <w:jc w:val="right"/>
        <w:bidi/>
      </w:pPr>
      <w:r>
        <w:rPr>
          <w:rFonts w:ascii="Arial" w:hAnsi="Arial"/>
          <w:sz w:val="16"/>
        </w:rPr>
        <w:t>461.08  ممکن است وصله‌ها به جای آن پوشیده شوند</w:t>
      </w:r>
    </w:p>
    <w:p>
      <w:pPr>
        <w:spacing w:after="28" w:line="216" w:lineRule="auto"/>
        <w:ind w:left="259"/>
        <w:jc w:val="left"/>
      </w:pPr>
      <w:r>
        <w:rPr>
          <w:rFonts w:ascii="Arial" w:hAnsi="Arial"/>
          <w:color w:val="525252"/>
          <w:sz w:val="13"/>
        </w:rPr>
        <w:t>Patches may be worn in-lieu of the</w:t>
      </w:r>
    </w:p>
    <w:p>
      <w:r>
        <w:br w:type="page"/>
      </w:r>
    </w:p>
    <w:p>
      <w:pPr>
        <w:spacing w:after="60"/>
        <w:jc w:val="right"/>
        <w:bidi/>
      </w:pPr>
      <w:r>
        <w:rPr>
          <w:rFonts w:ascii="Arial" w:hAnsi="Arial"/>
          <w:b/>
          <w:color w:val="1F4D78"/>
          <w:sz w:val="19"/>
        </w:rPr>
        <w:t>هفتهٔ 462  |  صفحهٔ منبع: 478</w:t>
      </w:r>
    </w:p>
    <w:p>
      <w:pPr>
        <w:spacing w:after="20" w:line="223" w:lineRule="auto"/>
        <w:jc w:val="right"/>
        <w:bidi/>
      </w:pPr>
      <w:r>
        <w:rPr>
          <w:rFonts w:ascii="Arial" w:hAnsi="Arial"/>
          <w:sz w:val="16"/>
        </w:rPr>
        <w:t>462.01  پچ HHQ.</w:t>
      </w:r>
    </w:p>
    <w:p>
      <w:pPr>
        <w:spacing w:after="28" w:line="216" w:lineRule="auto"/>
        <w:ind w:left="259"/>
        <w:jc w:val="left"/>
      </w:pPr>
      <w:r>
        <w:rPr>
          <w:rFonts w:ascii="Arial" w:hAnsi="Arial"/>
          <w:color w:val="525252"/>
          <w:sz w:val="13"/>
        </w:rPr>
        <w:t>HHQ patch.</w:t>
      </w:r>
    </w:p>
    <w:p>
      <w:pPr>
        <w:spacing w:after="20" w:line="223" w:lineRule="auto"/>
        <w:jc w:val="right"/>
        <w:bidi/>
      </w:pPr>
      <w:r>
        <w:rPr>
          <w:rFonts w:ascii="Arial" w:hAnsi="Arial"/>
          <w:sz w:val="16"/>
        </w:rPr>
        <w:t>462.02  اگر هر دو وصله HHQ و فارغ‌التحصیل پوشیده شده باشند (بر روی ولکرو® بدون آویزان کردن لبه‌ها قرار می‌گیرند) وصله درجه‌بندی در موقعیت بالایی پوشیده می‌شود.</w:t>
      </w:r>
    </w:p>
    <w:p>
      <w:pPr>
        <w:spacing w:after="28" w:line="216" w:lineRule="auto"/>
        <w:ind w:left="259"/>
        <w:jc w:val="left"/>
      </w:pPr>
      <w:r>
        <w:rPr>
          <w:rFonts w:ascii="Arial" w:hAnsi="Arial"/>
          <w:color w:val="525252"/>
          <w:sz w:val="13"/>
        </w:rPr>
        <w:t>If both HHQ and graduate patches are worn (fit on Velcro® without hanging off the edges) the graduate patch will be worn in the top position.</w:t>
      </w:r>
    </w:p>
    <w:p>
      <w:pPr>
        <w:spacing w:after="20" w:line="223" w:lineRule="auto"/>
        <w:jc w:val="right"/>
        <w:bidi/>
      </w:pPr>
      <w:r>
        <w:rPr>
          <w:rFonts w:ascii="Arial" w:hAnsi="Arial"/>
          <w:sz w:val="16"/>
        </w:rPr>
        <w:t>462.03  اگر حداقل یکی از موارد زیر را داشته باشند، وصله‌های فارغ‌التحصیل اضافی ممکن است برای دوره‌ها مجاز باشند: ۱) دوره‌های سطح فارغ‌التحصیل از نظر عملکردی که در ادامه یادگیری رشته شغلی یا برنامه‌های آموزشی و آموزشی رشته شغلی شناسایی شده‌اند، ۲) دوره‌های رقابتی تیم توسعه هستند، یا ۳) در غیر این صورت، افراد توسعه‌دهنده به‌عنوان یک رشته تحصیلی مهم در پیشرفت شغلی شناخته شده‌اند. منجر به تخصص موضوعی می‌شود که آنها را از همتایان خود متمایز می‌کند.</w:t>
      </w:r>
    </w:p>
    <w:p>
      <w:pPr>
        <w:spacing w:after="28" w:line="216" w:lineRule="auto"/>
        <w:ind w:left="259"/>
        <w:jc w:val="left"/>
      </w:pPr>
      <w:r>
        <w:rPr>
          <w:rFonts w:ascii="Arial" w:hAnsi="Arial"/>
          <w:color w:val="525252"/>
          <w:sz w:val="13"/>
        </w:rPr>
        <w:t>Additional graduate patches may be authorized for courses if they meet at least one of the following: 1) functionally aligned graduate-level courses identified in the career field’s continuum of learning or career field education and training plans, 2) are development team competitively-boarded courses, or 3) otherwise identified by career field as a critical developmental education milestone in the Airmen’s career progression resulting in a subject matter expertise that distinguishes them from their peers.</w:t>
      </w:r>
    </w:p>
    <w:p>
      <w:pPr>
        <w:spacing w:after="20" w:line="223" w:lineRule="auto"/>
        <w:jc w:val="right"/>
        <w:bidi/>
      </w:pPr>
      <w:r>
        <w:rPr>
          <w:rFonts w:ascii="Arial" w:hAnsi="Arial"/>
          <w:sz w:val="16"/>
        </w:rPr>
        <w:t>462.04  درخواست برای وصله‌های جدید باید از راهنمایی‌های مشخص شده در DAFI ۳۶-۲۹۰۳، پاراگراف ۱۲.۷ پیروی کند.</w:t>
      </w:r>
    </w:p>
    <w:p>
      <w:pPr>
        <w:spacing w:after="28" w:line="216" w:lineRule="auto"/>
        <w:ind w:left="259"/>
        <w:jc w:val="left"/>
      </w:pPr>
      <w:r>
        <w:rPr>
          <w:rFonts w:ascii="Arial" w:hAnsi="Arial"/>
          <w:color w:val="525252"/>
          <w:sz w:val="13"/>
        </w:rPr>
        <w:t>Request for new patches should follow guidance outlined in DAFI 36-2903, paragraph 12.7.</w:t>
      </w:r>
    </w:p>
    <w:p>
      <w:pPr>
        <w:spacing w:after="20" w:line="223" w:lineRule="auto"/>
        <w:jc w:val="right"/>
        <w:bidi/>
      </w:pPr>
      <w:r>
        <w:rPr>
          <w:rFonts w:ascii="Arial" w:hAnsi="Arial"/>
          <w:sz w:val="16"/>
        </w:rPr>
        <w:t>462.05  برای دوره‌های آموزشی مهارت‌های اولیه و متوسط، دوره‌های ارتقای سطح مهارت، یا سایر دوره‌های کاربردی اجباری، پچ‌های فارغ‌التحصیل را درخواست نکنید.</w:t>
      </w:r>
    </w:p>
    <w:p>
      <w:pPr>
        <w:spacing w:after="28" w:line="216" w:lineRule="auto"/>
        <w:ind w:left="259"/>
        <w:jc w:val="left"/>
      </w:pPr>
      <w:r>
        <w:rPr>
          <w:rFonts w:ascii="Arial" w:hAnsi="Arial"/>
          <w:color w:val="525252"/>
          <w:sz w:val="13"/>
        </w:rPr>
        <w:t>Do not request graduate patches for initial and intermediate skills training courses, skill-level upgrade courses, or other mandatory functional courses.</w:t>
      </w:r>
    </w:p>
    <w:p>
      <w:pPr>
        <w:spacing w:after="20" w:line="223" w:lineRule="auto"/>
        <w:jc w:val="right"/>
        <w:bidi/>
      </w:pPr>
      <w:r>
        <w:rPr>
          <w:rFonts w:ascii="Arial" w:hAnsi="Arial"/>
          <w:sz w:val="16"/>
        </w:rPr>
        <w:t>462.06  تی شرت.</w:t>
      </w:r>
    </w:p>
    <w:p>
      <w:pPr>
        <w:spacing w:after="28" w:line="216" w:lineRule="auto"/>
        <w:ind w:left="259"/>
        <w:jc w:val="left"/>
      </w:pPr>
      <w:r>
        <w:rPr>
          <w:rFonts w:ascii="Arial" w:hAnsi="Arial"/>
          <w:color w:val="525252"/>
          <w:sz w:val="13"/>
        </w:rPr>
        <w:t>T-Shirt.</w:t>
      </w:r>
    </w:p>
    <w:p>
      <w:pPr>
        <w:spacing w:after="20" w:line="223" w:lineRule="auto"/>
        <w:jc w:val="right"/>
        <w:bidi/>
      </w:pPr>
      <w:r>
        <w:rPr>
          <w:rFonts w:ascii="Arial" w:hAnsi="Arial"/>
          <w:sz w:val="16"/>
        </w:rPr>
        <w:t>462.07  کایوت قهوه‌ای (برنزه ۴۹۹) خواهد بود و داخل شلوار OCP قرار می‌گیرد.</w:t>
      </w:r>
    </w:p>
    <w:p>
      <w:pPr>
        <w:spacing w:after="28" w:line="216" w:lineRule="auto"/>
        <w:ind w:left="259"/>
        <w:jc w:val="left"/>
      </w:pPr>
      <w:r>
        <w:rPr>
          <w:rFonts w:ascii="Arial" w:hAnsi="Arial"/>
          <w:color w:val="525252"/>
          <w:sz w:val="13"/>
        </w:rPr>
        <w:t>T-Shirt will be Coyote Brown (Tan 499) and tucked into OCP trousers.</w:t>
      </w:r>
    </w:p>
    <w:p>
      <w:pPr>
        <w:spacing w:after="20" w:line="223" w:lineRule="auto"/>
        <w:jc w:val="right"/>
        <w:bidi/>
      </w:pPr>
      <w:r>
        <w:rPr>
          <w:rFonts w:ascii="Arial" w:hAnsi="Arial"/>
          <w:sz w:val="16"/>
        </w:rPr>
        <w:t>462.08  به‌علاوه، فرماندهان جناح یا اسکادران می‌توانند نشان دهند که نشان‌های سازمانی، همانطور که به‌طور رسمی و در حال حاضر تأیید شده است، بیش از ۵ اینچ قطر نداشته باشد، در پارچه یا صفحه ابریشمی بر روی پیراهن‌های اخلاقی نمایش داده شود.</w:t>
      </w:r>
    </w:p>
    <w:p>
      <w:pPr>
        <w:spacing w:after="28" w:line="216" w:lineRule="auto"/>
        <w:ind w:left="259"/>
        <w:jc w:val="left"/>
      </w:pPr>
      <w:r>
        <w:rPr>
          <w:rFonts w:ascii="Arial" w:hAnsi="Arial"/>
          <w:color w:val="525252"/>
          <w:sz w:val="13"/>
        </w:rPr>
        <w:t>Additionally, wing or squadron commanders may approve display of organizational emblems, as officially and currently approved, not to exceed 5-inches in diameter, in cloth or silk screen on morale undershirts.</w:t>
      </w:r>
    </w:p>
    <w:p>
      <w:pPr>
        <w:spacing w:after="20" w:line="223" w:lineRule="auto"/>
        <w:jc w:val="right"/>
        <w:bidi/>
      </w:pPr>
      <w:r>
        <w:rPr>
          <w:rFonts w:ascii="Arial" w:hAnsi="Arial"/>
          <w:sz w:val="16"/>
        </w:rPr>
        <w:t>462.09  در صورت نمایش، نشان‌های سازمانی در سمت چپ سینه زیرپیراهن‌های اخلاقی جمعه کایوت براون (تان ۴۹۹) پوشیده می‌شوند.</w:t>
      </w:r>
    </w:p>
    <w:p>
      <w:pPr>
        <w:spacing w:after="28" w:line="216" w:lineRule="auto"/>
        <w:ind w:left="259"/>
        <w:jc w:val="left"/>
      </w:pPr>
      <w:r>
        <w:rPr>
          <w:rFonts w:ascii="Arial" w:hAnsi="Arial"/>
          <w:color w:val="525252"/>
          <w:sz w:val="13"/>
        </w:rPr>
        <w:t>If displayed, organizational emblems will be worn on the left side of chest of the Coyote Brown (Tan 499) Friday morale undershirts.</w:t>
      </w:r>
    </w:p>
    <w:p>
      <w:pPr>
        <w:spacing w:after="20" w:line="223" w:lineRule="auto"/>
        <w:jc w:val="right"/>
        <w:bidi/>
      </w:pPr>
      <w:r>
        <w:rPr>
          <w:rFonts w:ascii="Arial" w:hAnsi="Arial"/>
          <w:sz w:val="16"/>
        </w:rPr>
        <w:t>462.10  زیرپیراهن‌های اخلاقی همچنین ممکن است نشان سازمانی را در پشت زیرپیراهن با قطر بزرگ‌تر نشان دهند که توسط فرماندهان مجاز است.</w:t>
      </w:r>
    </w:p>
    <w:p>
      <w:pPr>
        <w:spacing w:after="28" w:line="216" w:lineRule="auto"/>
        <w:ind w:left="259"/>
        <w:jc w:val="left"/>
      </w:pPr>
      <w:r>
        <w:rPr>
          <w:rFonts w:ascii="Arial" w:hAnsi="Arial"/>
          <w:color w:val="525252"/>
          <w:sz w:val="13"/>
        </w:rPr>
        <w:t>The morale undershirts may also display the organizational emblem on the back of the undershirt in a larger diameter as authorized by commanders.</w:t>
      </w:r>
    </w:p>
    <w:p>
      <w:pPr>
        <w:spacing w:after="20" w:line="223" w:lineRule="auto"/>
        <w:jc w:val="right"/>
        <w:bidi/>
      </w:pPr>
      <w:r>
        <w:rPr>
          <w:rFonts w:ascii="Arial" w:hAnsi="Arial"/>
          <w:sz w:val="16"/>
        </w:rPr>
        <w:t>462.11  شلوار OCP.</w:t>
      </w:r>
    </w:p>
    <w:p>
      <w:pPr>
        <w:spacing w:after="28" w:line="216" w:lineRule="auto"/>
        <w:ind w:left="259"/>
        <w:jc w:val="left"/>
      </w:pPr>
      <w:r>
        <w:rPr>
          <w:rFonts w:ascii="Arial" w:hAnsi="Arial"/>
          <w:color w:val="525252"/>
          <w:sz w:val="13"/>
        </w:rPr>
        <w:t>OCP Trouser.</w:t>
      </w:r>
    </w:p>
    <w:p>
      <w:pPr>
        <w:spacing w:after="20" w:line="223" w:lineRule="auto"/>
        <w:jc w:val="right"/>
        <w:bidi/>
      </w:pPr>
      <w:r>
        <w:rPr>
          <w:rFonts w:ascii="Arial" w:hAnsi="Arial"/>
          <w:sz w:val="16"/>
        </w:rPr>
        <w:t>462.12  کمر بند شلوار روی کمر عضو نیروی هوایی قرار خواهد گرفت.</w:t>
      </w:r>
    </w:p>
    <w:p>
      <w:pPr>
        <w:spacing w:after="28" w:line="216" w:lineRule="auto"/>
        <w:ind w:left="259"/>
        <w:jc w:val="left"/>
      </w:pPr>
      <w:r>
        <w:rPr>
          <w:rFonts w:ascii="Arial" w:hAnsi="Arial"/>
          <w:color w:val="525252"/>
          <w:sz w:val="13"/>
        </w:rPr>
        <w:t>The trouser waistband will rest on the Airman’s waist.</w:t>
      </w:r>
    </w:p>
    <w:p>
      <w:pPr>
        <w:spacing w:after="20" w:line="223" w:lineRule="auto"/>
        <w:jc w:val="right"/>
        <w:bidi/>
      </w:pPr>
      <w:r>
        <w:rPr>
          <w:rFonts w:ascii="Arial" w:hAnsi="Arial"/>
          <w:sz w:val="16"/>
        </w:rPr>
        <w:t>462.13  جیب‌ها را محکم کنید تا وسایلی که در جیب‌ها قرار می‌گیرند دیده نشوند.</w:t>
      </w:r>
    </w:p>
    <w:p>
      <w:pPr>
        <w:spacing w:after="28" w:line="216" w:lineRule="auto"/>
        <w:ind w:left="259"/>
        <w:jc w:val="left"/>
      </w:pPr>
      <w:r>
        <w:rPr>
          <w:rFonts w:ascii="Arial" w:hAnsi="Arial"/>
          <w:color w:val="525252"/>
          <w:sz w:val="13"/>
        </w:rPr>
        <w:t>Secure pockets so that items stowed in pockets are not visible.</w:t>
      </w:r>
    </w:p>
    <w:p>
      <w:pPr>
        <w:spacing w:after="20" w:line="223" w:lineRule="auto"/>
        <w:jc w:val="right"/>
        <w:bidi/>
      </w:pPr>
      <w:r>
        <w:rPr>
          <w:rFonts w:ascii="Arial" w:hAnsi="Arial"/>
          <w:sz w:val="16"/>
        </w:rPr>
        <w:t>462.14  استثنا: کلاه یا کلاهک گشتی OCP ممکن است زمانی که در جیب بار شلوار OCP قرار می‌گیرد به بیرون کشیده شود.</w:t>
      </w:r>
    </w:p>
    <w:p>
      <w:pPr>
        <w:spacing w:after="28" w:line="216" w:lineRule="auto"/>
        <w:ind w:left="259"/>
        <w:jc w:val="left"/>
      </w:pPr>
      <w:r>
        <w:rPr>
          <w:rFonts w:ascii="Arial" w:hAnsi="Arial"/>
          <w:color w:val="525252"/>
          <w:sz w:val="13"/>
        </w:rPr>
        <w:t>Exception: OCP patrol cap or beret may extend outside when placed in the OCP trouser cargo pocket.</w:t>
      </w:r>
    </w:p>
    <w:p>
      <w:pPr>
        <w:spacing w:after="20" w:line="223" w:lineRule="auto"/>
        <w:jc w:val="right"/>
        <w:bidi/>
      </w:pPr>
      <w:r>
        <w:rPr>
          <w:rFonts w:ascii="Arial" w:hAnsi="Arial"/>
          <w:sz w:val="16"/>
        </w:rPr>
        <w:t>462.15  هوانوردان می‌توانند شلوارهایی را که در بالای چکمه‌ها فرو رفته، با استفاده از رشته‌های کشی در پایین شلوار یا وسایل بلوز تجاری بلوز بپوشند.</w:t>
      </w:r>
    </w:p>
    <w:p>
      <w:pPr>
        <w:spacing w:after="28" w:line="216" w:lineRule="auto"/>
        <w:ind w:left="259"/>
        <w:jc w:val="left"/>
      </w:pPr>
      <w:r>
        <w:rPr>
          <w:rFonts w:ascii="Arial" w:hAnsi="Arial"/>
          <w:color w:val="525252"/>
          <w:sz w:val="13"/>
        </w:rPr>
        <w:t>Airmen may wear the trousers tucked into the top of the boots, bloused using the draw strings at the bottom of the trousers or commercial blousing devices.</w:t>
      </w:r>
    </w:p>
    <w:p>
      <w:pPr>
        <w:spacing w:after="20" w:line="223" w:lineRule="auto"/>
        <w:jc w:val="right"/>
        <w:bidi/>
      </w:pPr>
      <w:r>
        <w:rPr>
          <w:rFonts w:ascii="Arial" w:hAnsi="Arial"/>
          <w:sz w:val="16"/>
        </w:rPr>
        <w:t>462.16  هوانوردان ساق شلوار را به اندازه‌ای محکم دور ساق نمی‌پیچند که ظاهری گیره‌دار داشته باشد یا وسایلی را داخل ساق شلوار قرار نمی‌دهند تا ظاهری گرد در پایین شلوار ایجاد کنند.</w:t>
      </w:r>
    </w:p>
    <w:p>
      <w:pPr>
        <w:spacing w:after="28" w:line="216" w:lineRule="auto"/>
        <w:ind w:left="259"/>
        <w:jc w:val="left"/>
      </w:pPr>
      <w:r>
        <w:rPr>
          <w:rFonts w:ascii="Arial" w:hAnsi="Arial"/>
          <w:color w:val="525252"/>
          <w:sz w:val="13"/>
        </w:rPr>
        <w:t>Airmen will not wrap the trouser leg around the leg tightly enough to present a pegged appearance or insert any items inside the trouser leg to create a round appearance at the bottom of the trouser leg.</w:t>
      </w:r>
    </w:p>
    <w:p>
      <w:pPr>
        <w:spacing w:after="20" w:line="223" w:lineRule="auto"/>
        <w:jc w:val="right"/>
        <w:bidi/>
      </w:pPr>
      <w:r>
        <w:rPr>
          <w:rFonts w:ascii="Arial" w:hAnsi="Arial"/>
          <w:sz w:val="16"/>
        </w:rPr>
        <w:t>462.17  هنگام بلوز، شلوار از بالای چکمه تا زیر چشمک سوم کشیده نمی‌شود.</w:t>
      </w:r>
    </w:p>
    <w:p>
      <w:pPr>
        <w:spacing w:after="28" w:line="216" w:lineRule="auto"/>
        <w:ind w:left="259"/>
        <w:jc w:val="left"/>
      </w:pPr>
      <w:r>
        <w:rPr>
          <w:rFonts w:ascii="Arial" w:hAnsi="Arial"/>
          <w:color w:val="525252"/>
          <w:sz w:val="13"/>
        </w:rPr>
        <w:t>When bloused, the trousers will not extend below the third eyelet from the top of the boot.</w:t>
      </w:r>
    </w:p>
    <w:p>
      <w:pPr>
        <w:spacing w:after="20" w:line="223" w:lineRule="auto"/>
        <w:jc w:val="right"/>
        <w:bidi/>
      </w:pPr>
      <w:r>
        <w:rPr>
          <w:rFonts w:ascii="Arial" w:hAnsi="Arial"/>
          <w:sz w:val="16"/>
        </w:rPr>
        <w:t>462.18  کمربند.</w:t>
      </w:r>
    </w:p>
    <w:p>
      <w:pPr>
        <w:spacing w:after="28" w:line="216" w:lineRule="auto"/>
        <w:ind w:left="259"/>
        <w:jc w:val="left"/>
      </w:pPr>
      <w:r>
        <w:rPr>
          <w:rFonts w:ascii="Arial" w:hAnsi="Arial"/>
          <w:color w:val="525252"/>
          <w:sz w:val="13"/>
        </w:rPr>
        <w:t>Belt.</w:t>
      </w:r>
    </w:p>
    <w:p>
      <w:pPr>
        <w:spacing w:after="20" w:line="223" w:lineRule="auto"/>
        <w:jc w:val="right"/>
        <w:bidi/>
      </w:pPr>
      <w:r>
        <w:rPr>
          <w:rFonts w:ascii="Arial" w:hAnsi="Arial"/>
          <w:sz w:val="16"/>
        </w:rPr>
        <w:t>462.19  با شلوار OCP کمربند یک تکه تان ۴۹۹، نایلون، تار بپوشید.</w:t>
      </w:r>
    </w:p>
    <w:p>
      <w:pPr>
        <w:spacing w:after="28" w:line="216" w:lineRule="auto"/>
        <w:ind w:left="259"/>
        <w:jc w:val="left"/>
      </w:pPr>
      <w:r>
        <w:rPr>
          <w:rFonts w:ascii="Arial" w:hAnsi="Arial"/>
          <w:color w:val="525252"/>
          <w:sz w:val="13"/>
        </w:rPr>
        <w:t>Wear a one-piece Tan 499 rigger style, nylon, web belt with OCP trousers.</w:t>
      </w:r>
    </w:p>
    <w:p>
      <w:pPr>
        <w:spacing w:after="20" w:line="223" w:lineRule="auto"/>
        <w:jc w:val="right"/>
        <w:bidi/>
      </w:pPr>
      <w:r>
        <w:rPr>
          <w:rFonts w:ascii="Arial" w:hAnsi="Arial"/>
          <w:sz w:val="16"/>
        </w:rPr>
        <w:t>462.20  استثناء: شلوار بارداری.</w:t>
      </w:r>
    </w:p>
    <w:p>
      <w:pPr>
        <w:spacing w:after="28" w:line="216" w:lineRule="auto"/>
        <w:ind w:left="259"/>
        <w:jc w:val="left"/>
      </w:pPr>
      <w:r>
        <w:rPr>
          <w:rFonts w:ascii="Arial" w:hAnsi="Arial"/>
          <w:color w:val="525252"/>
          <w:sz w:val="13"/>
        </w:rPr>
        <w:t>Exception: Maternity trousers.</w:t>
      </w:r>
    </w:p>
    <w:p>
      <w:pPr>
        <w:spacing w:after="20" w:line="223" w:lineRule="auto"/>
        <w:jc w:val="right"/>
        <w:bidi/>
      </w:pPr>
      <w:r>
        <w:rPr>
          <w:rFonts w:ascii="Arial" w:hAnsi="Arial"/>
          <w:sz w:val="16"/>
        </w:rPr>
        <w:t>462.21  کمربند ممکن است از سگک امتداد یابد. تی شرت ⟦۰۲۳ .</w:t>
      </w:r>
    </w:p>
    <w:p>
      <w:pPr>
        <w:spacing w:after="28" w:line="216" w:lineRule="auto"/>
        <w:ind w:left="259"/>
        <w:jc w:val="left"/>
      </w:pPr>
      <w:r>
        <w:rPr>
          <w:rFonts w:ascii="Arial" w:hAnsi="Arial"/>
          <w:color w:val="525252"/>
          <w:sz w:val="13"/>
        </w:rPr>
        <w:t>Belt may extend past buckle.</w:t>
      </w:r>
    </w:p>
    <w:p>
      <w:pPr>
        <w:spacing w:after="20" w:line="223" w:lineRule="auto"/>
        <w:jc w:val="right"/>
        <w:bidi/>
      </w:pPr>
      <w:r>
        <w:rPr>
          <w:rFonts w:ascii="Arial" w:hAnsi="Arial"/>
          <w:sz w:val="16"/>
        </w:rPr>
        <w:t>462.22  سرپوش OCP تاکتیکی و گشتی.</w:t>
      </w:r>
    </w:p>
    <w:p>
      <w:pPr>
        <w:spacing w:after="28" w:line="216" w:lineRule="auto"/>
        <w:ind w:left="259"/>
        <w:jc w:val="left"/>
      </w:pPr>
      <w:r>
        <w:rPr>
          <w:rFonts w:ascii="Arial" w:hAnsi="Arial"/>
          <w:color w:val="525252"/>
          <w:sz w:val="13"/>
        </w:rPr>
        <w:t>Tactical and Patrol OCP Caps.</w:t>
      </w:r>
    </w:p>
    <w:p>
      <w:pPr>
        <w:spacing w:after="20" w:line="223" w:lineRule="auto"/>
        <w:jc w:val="right"/>
        <w:bidi/>
      </w:pPr>
      <w:r>
        <w:rPr>
          <w:rFonts w:ascii="Arial" w:hAnsi="Arial"/>
          <w:sz w:val="16"/>
        </w:rPr>
        <w:t>462.23  کلاه همیشه در فضای باز پوشیده می‌شود، مگر اینکه در منطقه‌ای که «بدون کلاه» تعیین شده باشد.</w:t>
      </w:r>
    </w:p>
    <w:p>
      <w:pPr>
        <w:spacing w:after="28" w:line="216" w:lineRule="auto"/>
        <w:ind w:left="259"/>
        <w:jc w:val="left"/>
      </w:pPr>
      <w:r>
        <w:rPr>
          <w:rFonts w:ascii="Arial" w:hAnsi="Arial"/>
          <w:color w:val="525252"/>
          <w:sz w:val="13"/>
        </w:rPr>
        <w:t>A cap will be worn outdoors at all times, unless in a designated “no hat” area.</w:t>
      </w:r>
    </w:p>
    <w:p>
      <w:pPr>
        <w:spacing w:after="20" w:line="223" w:lineRule="auto"/>
        <w:jc w:val="right"/>
        <w:bidi/>
      </w:pPr>
      <w:r>
        <w:rPr>
          <w:rFonts w:ascii="Arial" w:hAnsi="Arial"/>
          <w:sz w:val="16"/>
        </w:rPr>
        <w:t>462.24  هوانوردان کلاهی را مستقیما روی سر می‌بندند تا نوار کلاهک یک خط مستقیم در اطراف سر، موازی با زمین ایجاد کند.</w:t>
      </w:r>
    </w:p>
    <w:p>
      <w:pPr>
        <w:spacing w:after="28" w:line="216" w:lineRule="auto"/>
        <w:ind w:left="259"/>
        <w:jc w:val="left"/>
      </w:pPr>
      <w:r>
        <w:rPr>
          <w:rFonts w:ascii="Arial" w:hAnsi="Arial"/>
          <w:color w:val="525252"/>
          <w:sz w:val="13"/>
        </w:rPr>
        <w:t>Airmen will wear a cap straight on the head so that the cap band creates a straight line around the head, parallel to the ground.</w:t>
      </w:r>
    </w:p>
    <w:p>
      <w:pPr>
        <w:spacing w:after="20" w:line="223" w:lineRule="auto"/>
        <w:jc w:val="right"/>
        <w:bidi/>
      </w:pPr>
      <w:r>
        <w:rPr>
          <w:rFonts w:ascii="Arial" w:hAnsi="Arial"/>
          <w:sz w:val="16"/>
        </w:rPr>
        <w:t>462.25  کلاه به راحتی و بدون برآمدگی یا اعوجاج از شکل مورد نظر هدگیر و بدون شکاف بیش از حد در اطراف بزرگترین قسمت سر قرار می‌گیرد.</w:t>
      </w:r>
    </w:p>
    <w:p>
      <w:pPr>
        <w:spacing w:after="28" w:line="216" w:lineRule="auto"/>
        <w:ind w:left="259"/>
        <w:jc w:val="left"/>
      </w:pPr>
      <w:r>
        <w:rPr>
          <w:rFonts w:ascii="Arial" w:hAnsi="Arial"/>
          <w:color w:val="525252"/>
          <w:sz w:val="13"/>
        </w:rPr>
        <w:t>Cap will fit snugly and comfortably around the largest part of the head without bulging or distortion from the intended shape of the headgear and without excessive gaps.</w:t>
      </w:r>
    </w:p>
    <w:p>
      <w:pPr>
        <w:spacing w:after="20" w:line="223" w:lineRule="auto"/>
        <w:jc w:val="right"/>
        <w:bidi/>
      </w:pPr>
      <w:r>
        <w:rPr>
          <w:rFonts w:ascii="Arial" w:hAnsi="Arial"/>
          <w:sz w:val="16"/>
        </w:rPr>
        <w:t>462.26  هیچ مویی روی پیشانی زیر کلاه دیده نخواهد شد.</w:t>
      </w:r>
    </w:p>
    <w:p>
      <w:pPr>
        <w:spacing w:after="28" w:line="216" w:lineRule="auto"/>
        <w:ind w:left="259"/>
        <w:jc w:val="left"/>
      </w:pPr>
      <w:r>
        <w:rPr>
          <w:rFonts w:ascii="Arial" w:hAnsi="Arial"/>
          <w:color w:val="525252"/>
          <w:sz w:val="13"/>
        </w:rPr>
        <w:t>No hair will be visible on the forehead beneath the cap.</w:t>
      </w:r>
    </w:p>
    <w:p>
      <w:pPr>
        <w:spacing w:after="20" w:line="223" w:lineRule="auto"/>
        <w:jc w:val="right"/>
        <w:bidi/>
      </w:pPr>
      <w:r>
        <w:rPr>
          <w:rFonts w:ascii="Arial" w:hAnsi="Arial"/>
          <w:sz w:val="16"/>
        </w:rPr>
        <w:t>462.27  هوانوردان مجاز به مسدود کردن درپوش گشت هستند.</w:t>
      </w:r>
    </w:p>
    <w:p>
      <w:pPr>
        <w:spacing w:after="28" w:line="216" w:lineRule="auto"/>
        <w:ind w:left="259"/>
        <w:jc w:val="left"/>
      </w:pPr>
      <w:r>
        <w:rPr>
          <w:rFonts w:ascii="Arial" w:hAnsi="Arial"/>
          <w:color w:val="525252"/>
          <w:sz w:val="13"/>
        </w:rPr>
        <w:t>Airmen are authorized to block the patrol cap.</w:t>
      </w:r>
    </w:p>
    <w:p>
      <w:pPr>
        <w:spacing w:after="20" w:line="223" w:lineRule="auto"/>
        <w:jc w:val="right"/>
        <w:bidi/>
      </w:pPr>
      <w:r>
        <w:rPr>
          <w:rFonts w:ascii="Arial" w:hAnsi="Arial"/>
          <w:sz w:val="16"/>
        </w:rPr>
        <w:t>462.28  نوار اسم قهوه‌ای ولکرو® یا ادویه‌ای دوخته شده در مرکز پشت کلاه پوشیده می‌شود.</w:t>
      </w:r>
    </w:p>
    <w:p>
      <w:pPr>
        <w:spacing w:after="28" w:line="216" w:lineRule="auto"/>
        <w:ind w:left="259"/>
        <w:jc w:val="left"/>
      </w:pPr>
      <w:r>
        <w:rPr>
          <w:rFonts w:ascii="Arial" w:hAnsi="Arial"/>
          <w:color w:val="525252"/>
          <w:sz w:val="13"/>
        </w:rPr>
        <w:t>The Velcro® or sew-on spice brown nametape will be worn centered on the back of the cap.</w:t>
      </w:r>
    </w:p>
    <w:p>
      <w:pPr>
        <w:spacing w:after="20" w:line="223" w:lineRule="auto"/>
        <w:jc w:val="right"/>
        <w:bidi/>
      </w:pPr>
      <w:r>
        <w:rPr>
          <w:rFonts w:ascii="Arial" w:hAnsi="Arial"/>
          <w:sz w:val="16"/>
        </w:rPr>
        <w:t>462.29  کلاهک‌های تاکتیکی ممکن است از مواد OCP جامد یا OCP با پشت توری قهوه‌ای کایوت باشند.</w:t>
      </w:r>
    </w:p>
    <w:p>
      <w:pPr>
        <w:spacing w:after="28" w:line="216" w:lineRule="auto"/>
        <w:ind w:left="259"/>
        <w:jc w:val="left"/>
      </w:pPr>
      <w:r>
        <w:rPr>
          <w:rFonts w:ascii="Arial" w:hAnsi="Arial"/>
          <w:color w:val="525252"/>
          <w:sz w:val="13"/>
        </w:rPr>
        <w:t>Tactical caps may be solid OCP material or OCP with coyote brown mesh back.</w:t>
      </w:r>
    </w:p>
    <w:p>
      <w:pPr>
        <w:spacing w:after="20" w:line="223" w:lineRule="auto"/>
        <w:jc w:val="right"/>
        <w:bidi/>
      </w:pPr>
      <w:r>
        <w:rPr>
          <w:rFonts w:ascii="Arial" w:hAnsi="Arial"/>
          <w:sz w:val="16"/>
        </w:rPr>
        <w:t>462.30  هیچ رنگ یا ترکیب دیگری مجاز نیست.</w:t>
      </w:r>
    </w:p>
    <w:p>
      <w:pPr>
        <w:spacing w:after="28" w:line="216" w:lineRule="auto"/>
        <w:ind w:left="259"/>
        <w:jc w:val="left"/>
      </w:pPr>
      <w:r>
        <w:rPr>
          <w:rFonts w:ascii="Arial" w:hAnsi="Arial"/>
          <w:color w:val="525252"/>
          <w:sz w:val="13"/>
        </w:rPr>
        <w:t>No other colors or combinations are authorized.</w:t>
      </w:r>
    </w:p>
    <w:p>
      <w:pPr>
        <w:spacing w:after="20" w:line="223" w:lineRule="auto"/>
        <w:jc w:val="right"/>
        <w:bidi/>
      </w:pPr>
      <w:r>
        <w:rPr>
          <w:rFonts w:ascii="Arial" w:hAnsi="Arial"/>
          <w:sz w:val="16"/>
        </w:rPr>
        <w:t>462.31  کلاه‌ها، در صورت مجاز بودن، توسط پرسنل تعیین‌شده پوشیده می‌شوند، به DAFI ۳۶-۲۹۰۳، بند ۷.۲.۵ مراجعه کنید.</w:t>
      </w:r>
    </w:p>
    <w:p>
      <w:pPr>
        <w:spacing w:after="28" w:line="216" w:lineRule="auto"/>
        <w:ind w:left="259"/>
        <w:jc w:val="left"/>
      </w:pPr>
      <w:r>
        <w:rPr>
          <w:rFonts w:ascii="Arial" w:hAnsi="Arial"/>
          <w:color w:val="525252"/>
          <w:sz w:val="13"/>
        </w:rPr>
        <w:t>Berets, when authorized, will be worn by designated personnel, see DAFI 36-2903, paragraph 7.2.5.</w:t>
      </w:r>
    </w:p>
    <w:p>
      <w:pPr>
        <w:spacing w:after="20" w:line="223" w:lineRule="auto"/>
        <w:jc w:val="right"/>
        <w:bidi/>
      </w:pPr>
      <w:r>
        <w:rPr>
          <w:rFonts w:ascii="Arial" w:hAnsi="Arial"/>
          <w:sz w:val="16"/>
        </w:rPr>
        <w:t>462.32  توجه: زنان مجاز هستند که نان یا دم اسبی خود را از پشت کلاهک تاکتیکی بکشند.</w:t>
      </w:r>
    </w:p>
    <w:p>
      <w:pPr>
        <w:spacing w:after="28" w:line="216" w:lineRule="auto"/>
        <w:ind w:left="259"/>
        <w:jc w:val="left"/>
      </w:pPr>
      <w:r>
        <w:rPr>
          <w:rFonts w:ascii="Arial" w:hAnsi="Arial"/>
          <w:color w:val="525252"/>
          <w:sz w:val="13"/>
        </w:rPr>
        <w:t>Note: Females are authorized to pull their bun or ponytail/equivalent through the back of the tactical cap.</w:t>
      </w:r>
    </w:p>
    <w:p>
      <w:pPr>
        <w:spacing w:after="20" w:line="223" w:lineRule="auto"/>
        <w:jc w:val="right"/>
        <w:bidi/>
      </w:pPr>
      <w:r>
        <w:rPr>
          <w:rFonts w:ascii="Arial" w:hAnsi="Arial"/>
          <w:sz w:val="16"/>
        </w:rPr>
        <w:t>462.33  با کسب کلاهک تاکتیکی نیروی هوایی، سایر کلاهک‌های تاکتیکی غیرمجاز خواهند بود.</w:t>
      </w:r>
    </w:p>
    <w:p>
      <w:pPr>
        <w:spacing w:after="28" w:line="216" w:lineRule="auto"/>
        <w:ind w:left="259"/>
        <w:jc w:val="left"/>
      </w:pPr>
      <w:r>
        <w:rPr>
          <w:rFonts w:ascii="Arial" w:hAnsi="Arial"/>
          <w:color w:val="525252"/>
          <w:sz w:val="13"/>
        </w:rPr>
        <w:t>Upon acquisition of an Air Force tactical cap all other tactical caps will be unauthorized.</w:t>
      </w:r>
    </w:p>
    <w:p>
      <w:pPr>
        <w:spacing w:after="20" w:line="223" w:lineRule="auto"/>
        <w:jc w:val="right"/>
        <w:bidi/>
      </w:pPr>
      <w:r>
        <w:rPr>
          <w:rFonts w:ascii="Arial" w:hAnsi="Arial"/>
          <w:sz w:val="16"/>
        </w:rPr>
        <w:t>462.34  افسران علائم درجه قهوه‌ای ادویه‌ای با سنجاق، دوخته یا ولکرو® را می‌پوشند که در مرکز ۱/۲ اینچی جلوی کلاه‌ها قرار دارد (استثنا: ستوان‌های اول و سرهنگ‌ها درجه مشکی را در پس‌زمینه OCP می‌پوشند).</w:t>
      </w:r>
    </w:p>
    <w:p>
      <w:pPr>
        <w:spacing w:after="28" w:line="216" w:lineRule="auto"/>
        <w:ind w:left="259"/>
        <w:jc w:val="left"/>
      </w:pPr>
      <w:r>
        <w:rPr>
          <w:rFonts w:ascii="Arial" w:hAnsi="Arial"/>
          <w:color w:val="525252"/>
          <w:sz w:val="13"/>
        </w:rPr>
        <w:t>Officers will wear either pinned, sewn or Velcro® spice brown rank insignia centered 1/2-inch on front of caps (Exception: First Lieutenants and Lieutenant Colonels will wear black rank on OCP background).</w:t>
      </w:r>
    </w:p>
    <w:p>
      <w:pPr>
        <w:spacing w:after="20" w:line="223" w:lineRule="auto"/>
        <w:jc w:val="right"/>
        <w:bidi/>
      </w:pPr>
      <w:r>
        <w:rPr>
          <w:rFonts w:ascii="Arial" w:hAnsi="Arial"/>
          <w:sz w:val="16"/>
        </w:rPr>
        <w:t>462.35  ولکرو® روی کلاه نباید از اندازه علامت تجاوز کند.</w:t>
      </w:r>
    </w:p>
    <w:p>
      <w:pPr>
        <w:spacing w:after="28" w:line="216" w:lineRule="auto"/>
        <w:ind w:left="259"/>
        <w:jc w:val="left"/>
      </w:pPr>
      <w:r>
        <w:rPr>
          <w:rFonts w:ascii="Arial" w:hAnsi="Arial"/>
          <w:color w:val="525252"/>
          <w:sz w:val="13"/>
        </w:rPr>
        <w:t>Velcro® on hat should not exceed size of insignia.</w:t>
      </w:r>
    </w:p>
    <w:p>
      <w:pPr>
        <w:spacing w:after="20" w:line="223" w:lineRule="auto"/>
        <w:jc w:val="right"/>
        <w:bidi/>
      </w:pPr>
      <w:r>
        <w:rPr>
          <w:rFonts w:ascii="Arial" w:hAnsi="Arial"/>
          <w:sz w:val="16"/>
        </w:rPr>
        <w:t>462.36  درجه افسر عمومی به صورت افقی با نقطه‌ای از هر ستاره به سمت بالا قرار می‌گیرد.</w:t>
      </w:r>
    </w:p>
    <w:p>
      <w:pPr>
        <w:spacing w:after="28" w:line="216" w:lineRule="auto"/>
        <w:ind w:left="259"/>
        <w:jc w:val="left"/>
      </w:pPr>
      <w:r>
        <w:rPr>
          <w:rFonts w:ascii="Arial" w:hAnsi="Arial"/>
          <w:color w:val="525252"/>
          <w:sz w:val="13"/>
        </w:rPr>
        <w:t>The General Officer rank will be positioned horizontally with a point of each star pointing upward.</w:t>
      </w:r>
    </w:p>
    <w:p>
      <w:pPr>
        <w:spacing w:after="20" w:line="223" w:lineRule="auto"/>
        <w:jc w:val="right"/>
        <w:bidi/>
      </w:pPr>
      <w:r>
        <w:rPr>
          <w:rFonts w:ascii="Arial" w:hAnsi="Arial"/>
          <w:sz w:val="16"/>
        </w:rPr>
        <w:t>462.37  افسران کل ستاره‌های ۱ اینچی خواهند پوشید.</w:t>
      </w:r>
    </w:p>
    <w:p>
      <w:pPr>
        <w:spacing w:after="28" w:line="216" w:lineRule="auto"/>
        <w:ind w:left="259"/>
        <w:jc w:val="left"/>
      </w:pPr>
      <w:r>
        <w:rPr>
          <w:rFonts w:ascii="Arial" w:hAnsi="Arial"/>
          <w:color w:val="525252"/>
          <w:sz w:val="13"/>
        </w:rPr>
        <w:t>General officers will wear 1-inch stars.</w:t>
      </w:r>
    </w:p>
    <w:p>
      <w:pPr>
        <w:spacing w:after="20" w:line="223" w:lineRule="auto"/>
        <w:jc w:val="right"/>
        <w:bidi/>
      </w:pPr>
      <w:r>
        <w:rPr>
          <w:rFonts w:ascii="Arial" w:hAnsi="Arial"/>
          <w:sz w:val="16"/>
        </w:rPr>
        <w:t>462.38  افسران عمومی که قادر به پوشیدن ستاره‌های ۱ اینچی نیستند، ستاره‌های ۳/۴ اینچی را خواهند پوشید.</w:t>
      </w:r>
    </w:p>
    <w:p>
      <w:pPr>
        <w:spacing w:after="28" w:line="216" w:lineRule="auto"/>
        <w:ind w:left="259"/>
        <w:jc w:val="left"/>
      </w:pPr>
      <w:r>
        <w:rPr>
          <w:rFonts w:ascii="Arial" w:hAnsi="Arial"/>
          <w:color w:val="525252"/>
          <w:sz w:val="13"/>
        </w:rPr>
        <w:t>General officers unable to wear 1-inch stars will wear 3/4-inch stars.</w:t>
      </w:r>
    </w:p>
    <w:p>
      <w:pPr>
        <w:spacing w:after="20" w:line="223" w:lineRule="auto"/>
        <w:jc w:val="right"/>
        <w:bidi/>
      </w:pPr>
      <w:r>
        <w:rPr>
          <w:rFonts w:ascii="Arial" w:hAnsi="Arial"/>
          <w:sz w:val="16"/>
        </w:rPr>
        <w:t>462.39  نشان درجه سرهنگ در حالی پوشیده می‌شود که منقار عقاب به سمت شانه راست او باشد (نشان می‌دهد که عقاب رو به جلو است) و به صورت افقی در مرکز قرار می‌گیرد.</w:t>
      </w:r>
    </w:p>
    <w:p>
      <w:pPr>
        <w:spacing w:after="28" w:line="216" w:lineRule="auto"/>
        <w:ind w:left="259"/>
        <w:jc w:val="left"/>
      </w:pPr>
      <w:r>
        <w:rPr>
          <w:rFonts w:ascii="Arial" w:hAnsi="Arial"/>
          <w:color w:val="525252"/>
          <w:sz w:val="13"/>
        </w:rPr>
        <w:t>The Colonel rank insignia is worn with the eagle’s beak pointed towards the wearer’s right shoulder (indicates the eagle is facing forward) and will be centered horizontally.</w:t>
      </w:r>
    </w:p>
    <w:p>
      <w:pPr>
        <w:spacing w:after="20" w:line="223" w:lineRule="auto"/>
        <w:jc w:val="right"/>
        <w:bidi/>
      </w:pPr>
      <w:r>
        <w:rPr>
          <w:rFonts w:ascii="Arial" w:hAnsi="Arial"/>
          <w:sz w:val="16"/>
        </w:rPr>
        <w:t>462.40  ساقه درجه سرگرد و ستوان به سمت زمین خواهد بود.</w:t>
      </w:r>
    </w:p>
    <w:p>
      <w:pPr>
        <w:spacing w:after="28" w:line="216" w:lineRule="auto"/>
        <w:ind w:left="259"/>
        <w:jc w:val="left"/>
      </w:pPr>
      <w:r>
        <w:rPr>
          <w:rFonts w:ascii="Arial" w:hAnsi="Arial"/>
          <w:color w:val="525252"/>
          <w:sz w:val="13"/>
        </w:rPr>
        <w:t>The stem of the Major and Lieutenant Colonel rank will point toward the ground.</w:t>
      </w:r>
    </w:p>
    <w:p>
      <w:pPr>
        <w:spacing w:after="20" w:line="223" w:lineRule="auto"/>
        <w:jc w:val="right"/>
        <w:bidi/>
      </w:pPr>
      <w:r>
        <w:rPr>
          <w:rFonts w:ascii="Arial" w:hAnsi="Arial"/>
          <w:sz w:val="16"/>
        </w:rPr>
        <w:t>462.41  انتهای بلند میله‌های ستوان و کاپیتان به صورت عمودی قرار خواهد گرفت.</w:t>
      </w:r>
    </w:p>
    <w:p>
      <w:pPr>
        <w:spacing w:after="28" w:line="216" w:lineRule="auto"/>
        <w:ind w:left="259"/>
        <w:jc w:val="left"/>
      </w:pPr>
      <w:r>
        <w:rPr>
          <w:rFonts w:ascii="Arial" w:hAnsi="Arial"/>
          <w:color w:val="525252"/>
          <w:sz w:val="13"/>
        </w:rPr>
        <w:t>The long end of the Lieutenant and Captain bars will be positioned vertically.</w:t>
      </w:r>
    </w:p>
    <w:p>
      <w:pPr>
        <w:spacing w:after="20" w:line="223" w:lineRule="auto"/>
        <w:jc w:val="right"/>
        <w:bidi/>
      </w:pPr>
      <w:r>
        <w:rPr>
          <w:rFonts w:ascii="Arial" w:hAnsi="Arial"/>
          <w:sz w:val="16"/>
        </w:rPr>
        <w:t>462.42  روحانیون ممکن است نشان شغلی کشیش را به صورت دوخته شده و</w:t>
      </w:r>
    </w:p>
    <w:p>
      <w:pPr>
        <w:spacing w:after="28" w:line="216" w:lineRule="auto"/>
        <w:ind w:left="259"/>
        <w:jc w:val="left"/>
      </w:pPr>
      <w:r>
        <w:rPr>
          <w:rFonts w:ascii="Arial" w:hAnsi="Arial"/>
          <w:color w:val="525252"/>
          <w:sz w:val="13"/>
        </w:rPr>
        <w:t>Chaplains may wear the chaplain occupational badge sewn-on and</w:t>
      </w:r>
    </w:p>
    <w:p>
      <w:r>
        <w:br w:type="page"/>
      </w:r>
    </w:p>
    <w:p>
      <w:pPr>
        <w:spacing w:after="60"/>
        <w:jc w:val="right"/>
        <w:bidi/>
      </w:pPr>
      <w:r>
        <w:rPr>
          <w:rFonts w:ascii="Arial" w:hAnsi="Arial"/>
          <w:b/>
          <w:color w:val="1F4D78"/>
          <w:sz w:val="19"/>
        </w:rPr>
        <w:t>هفتهٔ 463  |  صفحهٔ منبع: 479</w:t>
      </w:r>
    </w:p>
    <w:p>
      <w:pPr>
        <w:spacing w:after="20" w:line="223" w:lineRule="auto"/>
        <w:jc w:val="right"/>
        <w:bidi/>
      </w:pPr>
      <w:r>
        <w:rPr>
          <w:rFonts w:ascii="Arial" w:hAnsi="Arial"/>
          <w:sz w:val="16"/>
        </w:rPr>
        <w:t>463.01  در مرکز ۱/۲ اینچ بالای گیره.</w:t>
      </w:r>
    </w:p>
    <w:p>
      <w:pPr>
        <w:spacing w:after="28" w:line="216" w:lineRule="auto"/>
        <w:ind w:left="259"/>
        <w:jc w:val="left"/>
      </w:pPr>
      <w:r>
        <w:rPr>
          <w:rFonts w:ascii="Arial" w:hAnsi="Arial"/>
          <w:color w:val="525252"/>
          <w:sz w:val="13"/>
        </w:rPr>
        <w:t>centered 1/2-inch above the visor.</w:t>
      </w:r>
    </w:p>
    <w:p>
      <w:pPr>
        <w:spacing w:after="20" w:line="223" w:lineRule="auto"/>
        <w:jc w:val="right"/>
        <w:bidi/>
      </w:pPr>
      <w:r>
        <w:rPr>
          <w:rFonts w:ascii="Arial" w:hAnsi="Arial"/>
          <w:sz w:val="16"/>
        </w:rPr>
        <w:t>463.02  اعضای ثبت‌نام شده از نشان درجه یا پرچم پایین بر روی پاترول یا کلاه تاکتیکی استفاده نخواهند کرد.</w:t>
      </w:r>
    </w:p>
    <w:p>
      <w:pPr>
        <w:spacing w:after="28" w:line="216" w:lineRule="auto"/>
        <w:ind w:left="259"/>
        <w:jc w:val="left"/>
      </w:pPr>
      <w:r>
        <w:rPr>
          <w:rFonts w:ascii="Arial" w:hAnsi="Arial"/>
          <w:color w:val="525252"/>
          <w:sz w:val="13"/>
        </w:rPr>
        <w:t>Enlisted members will not wear rank insignia or a subdued flag on the patrol or tactical cap.</w:t>
      </w:r>
    </w:p>
    <w:p>
      <w:pPr>
        <w:spacing w:after="20" w:line="223" w:lineRule="auto"/>
        <w:jc w:val="right"/>
        <w:bidi/>
      </w:pPr>
      <w:r>
        <w:rPr>
          <w:rFonts w:ascii="Arial" w:hAnsi="Arial"/>
          <w:sz w:val="16"/>
        </w:rPr>
        <w:t>463.03  جلوی درپوش نباید هیچ گونه ولکرو® یا موارد دیگری داشته باشد.</w:t>
      </w:r>
    </w:p>
    <w:p>
      <w:pPr>
        <w:spacing w:after="28" w:line="216" w:lineRule="auto"/>
        <w:ind w:left="259"/>
        <w:jc w:val="left"/>
      </w:pPr>
      <w:r>
        <w:rPr>
          <w:rFonts w:ascii="Arial" w:hAnsi="Arial"/>
          <w:color w:val="525252"/>
          <w:sz w:val="13"/>
        </w:rPr>
        <w:t>The front of the cap must not have any Velcro® or other items.</w:t>
      </w:r>
    </w:p>
    <w:p>
      <w:pPr>
        <w:spacing w:before="60" w:after="28"/>
        <w:jc w:val="right"/>
        <w:bidi/>
      </w:pPr>
      <w:r>
        <w:rPr>
          <w:b/>
          <w:color w:val="1F4D78"/>
          <w:sz w:val="18"/>
        </w:rPr>
        <w:t>شکل 23.31. پیکربندی OCP</w:t>
      </w:r>
    </w:p>
    <w:p>
      <w:pPr>
        <w:spacing w:after="20"/>
        <w:ind w:left="259"/>
        <w:jc w:val="left"/>
      </w:pPr>
      <w:r>
        <w:rPr>
          <w:color w:val="555555"/>
          <w:sz w:val="12"/>
        </w:rPr>
        <w:t>Figure 23.31. OCP Configuration</w:t>
      </w:r>
    </w:p>
    <w:p>
      <w:pPr>
        <w:spacing w:after="20" w:line="223" w:lineRule="auto"/>
        <w:jc w:val="right"/>
        <w:bidi/>
      </w:pPr>
      <w:r>
        <w:rPr>
          <w:rFonts w:ascii="Arial" w:hAnsi="Arial"/>
          <w:sz w:val="16"/>
        </w:rPr>
        <w:t>463.05  جوراب.</w:t>
      </w:r>
    </w:p>
    <w:p>
      <w:pPr>
        <w:spacing w:after="28" w:line="216" w:lineRule="auto"/>
        <w:ind w:left="259"/>
        <w:jc w:val="left"/>
      </w:pPr>
      <w:r>
        <w:rPr>
          <w:rFonts w:ascii="Arial" w:hAnsi="Arial"/>
          <w:color w:val="525252"/>
          <w:sz w:val="13"/>
        </w:rPr>
        <w:t>Socks.</w:t>
      </w:r>
    </w:p>
    <w:p>
      <w:pPr>
        <w:spacing w:after="20" w:line="223" w:lineRule="auto"/>
        <w:jc w:val="right"/>
        <w:bidi/>
      </w:pPr>
      <w:r>
        <w:rPr>
          <w:rFonts w:ascii="Arial" w:hAnsi="Arial"/>
          <w:sz w:val="16"/>
        </w:rPr>
        <w:t>463.06  رنگ‌ها سبز یا کایوت قهوه‌ای با DLA صادر می‌شوند.</w:t>
      </w:r>
    </w:p>
    <w:p>
      <w:pPr>
        <w:spacing w:after="28" w:line="216" w:lineRule="auto"/>
        <w:ind w:left="259"/>
        <w:jc w:val="left"/>
      </w:pPr>
      <w:r>
        <w:rPr>
          <w:rFonts w:ascii="Arial" w:hAnsi="Arial"/>
          <w:color w:val="525252"/>
          <w:sz w:val="13"/>
        </w:rPr>
        <w:t>Colors will be DLA-issued Green or Coyote Brown.</w:t>
      </w:r>
    </w:p>
    <w:p>
      <w:pPr>
        <w:spacing w:after="20" w:line="223" w:lineRule="auto"/>
        <w:jc w:val="right"/>
        <w:bidi/>
      </w:pPr>
      <w:r>
        <w:rPr>
          <w:rFonts w:ascii="Arial" w:hAnsi="Arial"/>
          <w:sz w:val="16"/>
        </w:rPr>
        <w:t>463.07  لوازم جانبی هوای سرد.</w:t>
      </w:r>
    </w:p>
    <w:p>
      <w:pPr>
        <w:spacing w:after="28" w:line="216" w:lineRule="auto"/>
        <w:ind w:left="259"/>
        <w:jc w:val="left"/>
      </w:pPr>
      <w:r>
        <w:rPr>
          <w:rFonts w:ascii="Arial" w:hAnsi="Arial"/>
          <w:color w:val="525252"/>
          <w:sz w:val="13"/>
        </w:rPr>
        <w:t>Cold Weather Accessories.</w:t>
      </w:r>
    </w:p>
    <w:p>
      <w:pPr>
        <w:spacing w:after="20" w:line="223" w:lineRule="auto"/>
        <w:jc w:val="right"/>
        <w:bidi/>
      </w:pPr>
      <w:r>
        <w:rPr>
          <w:rFonts w:ascii="Arial" w:hAnsi="Arial"/>
          <w:sz w:val="16"/>
        </w:rPr>
        <w:t>463.08  لوازم جانبی هوای سرد ممکن است بدون پوشیدن لباس‌های بیرونی مجاز پوشیده شوند.</w:t>
      </w:r>
    </w:p>
    <w:p>
      <w:pPr>
        <w:spacing w:after="28" w:line="216" w:lineRule="auto"/>
        <w:ind w:left="259"/>
        <w:jc w:val="left"/>
      </w:pPr>
      <w:r>
        <w:rPr>
          <w:rFonts w:ascii="Arial" w:hAnsi="Arial"/>
          <w:color w:val="525252"/>
          <w:sz w:val="13"/>
        </w:rPr>
        <w:t>Cold weather accessories may be worn without wearing authorized outer garments.</w:t>
      </w:r>
    </w:p>
    <w:p>
      <w:pPr>
        <w:spacing w:after="20" w:line="223" w:lineRule="auto"/>
        <w:jc w:val="right"/>
        <w:bidi/>
      </w:pPr>
      <w:r>
        <w:rPr>
          <w:rFonts w:ascii="Arial" w:hAnsi="Arial"/>
          <w:sz w:val="16"/>
        </w:rPr>
        <w:t>463.09  به جز اقلام کاربردی، لوازم جانبی هوای سرد فقط در خارج از منزل پوشیده می‌شوند.</w:t>
      </w:r>
    </w:p>
    <w:p>
      <w:pPr>
        <w:spacing w:after="28" w:line="216" w:lineRule="auto"/>
        <w:ind w:left="259"/>
        <w:jc w:val="left"/>
      </w:pPr>
      <w:r>
        <w:rPr>
          <w:rFonts w:ascii="Arial" w:hAnsi="Arial"/>
          <w:color w:val="525252"/>
          <w:sz w:val="13"/>
        </w:rPr>
        <w:t>Except for functional items, cold weather accessories are only worn while outdoors.</w:t>
      </w:r>
    </w:p>
    <w:p>
      <w:pPr>
        <w:spacing w:after="20" w:line="223" w:lineRule="auto"/>
        <w:jc w:val="right"/>
        <w:bidi/>
      </w:pPr>
      <w:r>
        <w:rPr>
          <w:rFonts w:ascii="Arial" w:hAnsi="Arial"/>
          <w:sz w:val="16"/>
        </w:rPr>
        <w:t>463.10  لوازم جانبی مجاز هوای سرد برای OCP عبارتند از: روسری‌های قهوه‌ای یا مشکی کایوت، گوش بند، هدبند در هوای سرد، کلاه ساعت و دستکش‌های سبز، مشکی یا قهوه‌ای مریم گلی.</w:t>
      </w:r>
    </w:p>
    <w:p>
      <w:pPr>
        <w:spacing w:after="28" w:line="216" w:lineRule="auto"/>
        <w:ind w:left="259"/>
        <w:jc w:val="left"/>
      </w:pPr>
      <w:r>
        <w:rPr>
          <w:rFonts w:ascii="Arial" w:hAnsi="Arial"/>
          <w:color w:val="525252"/>
          <w:sz w:val="13"/>
        </w:rPr>
        <w:t>Authorized cold weather accessories for the OCP are: Coyote Brown or black scarves, earmuffs, cold weather headbands, watch caps and sage green, black or coyote brown gloves.</w:t>
      </w:r>
    </w:p>
    <w:p>
      <w:pPr>
        <w:spacing w:after="20" w:line="223" w:lineRule="auto"/>
        <w:jc w:val="right"/>
        <w:bidi/>
      </w:pPr>
      <w:r>
        <w:rPr>
          <w:rFonts w:ascii="Arial" w:hAnsi="Arial"/>
          <w:sz w:val="16"/>
        </w:rPr>
        <w:t>463.11  ممکن است از پشم گوسفند قهوه‌ای کایوت استفاده شود، برای راهنمایی بیشتر به DAFI ۳۶-۲۹۰۳، پاراگراف ۷.۱.۷ مراجعه کنید.</w:t>
      </w:r>
    </w:p>
    <w:p>
      <w:pPr>
        <w:spacing w:after="28" w:line="216" w:lineRule="auto"/>
        <w:ind w:left="259"/>
        <w:jc w:val="left"/>
      </w:pPr>
      <w:r>
        <w:rPr>
          <w:rFonts w:ascii="Arial" w:hAnsi="Arial"/>
          <w:color w:val="525252"/>
          <w:sz w:val="13"/>
        </w:rPr>
        <w:t>Coyote Brown fleece may be worn, see DAFI 36-2903, paragraph 7.1.7, for additional guidance.</w:t>
      </w:r>
    </w:p>
    <w:p>
      <w:pPr>
        <w:spacing w:after="20" w:line="223" w:lineRule="auto"/>
        <w:jc w:val="right"/>
        <w:bidi/>
      </w:pPr>
      <w:r>
        <w:rPr>
          <w:rFonts w:ascii="Arial" w:hAnsi="Arial"/>
          <w:sz w:val="16"/>
        </w:rPr>
        <w:t>463.12  پیراهن خواب.</w:t>
      </w:r>
    </w:p>
    <w:p>
      <w:pPr>
        <w:spacing w:after="28" w:line="216" w:lineRule="auto"/>
        <w:ind w:left="259"/>
        <w:jc w:val="left"/>
      </w:pPr>
      <w:r>
        <w:rPr>
          <w:rFonts w:ascii="Arial" w:hAnsi="Arial"/>
          <w:color w:val="525252"/>
          <w:sz w:val="13"/>
        </w:rPr>
        <w:t>Sleep Shirt.</w:t>
      </w:r>
    </w:p>
    <w:p>
      <w:pPr>
        <w:spacing w:after="20" w:line="223" w:lineRule="auto"/>
        <w:jc w:val="right"/>
        <w:bidi/>
      </w:pPr>
      <w:r>
        <w:rPr>
          <w:rFonts w:ascii="Arial" w:hAnsi="Arial"/>
          <w:sz w:val="16"/>
        </w:rPr>
        <w:t>463.13  پیراهن خواب ممکن است زیر کت OCP پوشیده شود.</w:t>
      </w:r>
    </w:p>
    <w:p>
      <w:pPr>
        <w:spacing w:after="28" w:line="216" w:lineRule="auto"/>
        <w:ind w:left="259"/>
        <w:jc w:val="left"/>
      </w:pPr>
      <w:r>
        <w:rPr>
          <w:rFonts w:ascii="Arial" w:hAnsi="Arial"/>
          <w:color w:val="525252"/>
          <w:sz w:val="13"/>
        </w:rPr>
        <w:t>The sleep shirt may be worn under the OCP coat.</w:t>
      </w:r>
    </w:p>
    <w:p>
      <w:pPr>
        <w:spacing w:after="20" w:line="223" w:lineRule="auto"/>
        <w:jc w:val="right"/>
        <w:bidi/>
      </w:pPr>
      <w:r>
        <w:rPr>
          <w:rFonts w:ascii="Arial" w:hAnsi="Arial"/>
          <w:sz w:val="16"/>
        </w:rPr>
        <w:t>463.14  پیراهن خواب به‌عنوان لباس بیرونی پوشیده نخواهد شد.</w:t>
      </w:r>
    </w:p>
    <w:p>
      <w:pPr>
        <w:spacing w:after="28" w:line="216" w:lineRule="auto"/>
        <w:ind w:left="259"/>
        <w:jc w:val="left"/>
      </w:pPr>
      <w:r>
        <w:rPr>
          <w:rFonts w:ascii="Arial" w:hAnsi="Arial"/>
          <w:color w:val="525252"/>
          <w:sz w:val="13"/>
        </w:rPr>
        <w:t>The sleep shirt will not be worn as an outer garment.</w:t>
      </w:r>
    </w:p>
    <w:p>
      <w:pPr>
        <w:spacing w:after="20" w:line="223" w:lineRule="auto"/>
        <w:jc w:val="right"/>
        <w:bidi/>
      </w:pPr>
      <w:r>
        <w:rPr>
          <w:rFonts w:ascii="Arial" w:hAnsi="Arial"/>
          <w:sz w:val="16"/>
        </w:rPr>
        <w:t>463.15  پیراهن خواب در زیر کت OCP به جز در یقه قابل مشاهده نخواهد بود.</w:t>
      </w:r>
    </w:p>
    <w:p>
      <w:pPr>
        <w:spacing w:after="28" w:line="216" w:lineRule="auto"/>
        <w:ind w:left="259"/>
        <w:jc w:val="left"/>
      </w:pPr>
      <w:r>
        <w:rPr>
          <w:rFonts w:ascii="Arial" w:hAnsi="Arial"/>
          <w:color w:val="525252"/>
          <w:sz w:val="13"/>
        </w:rPr>
        <w:t>The sleep shirt will not be visible under the OCP coat except at the neck.</w:t>
      </w:r>
    </w:p>
    <w:p>
      <w:pPr>
        <w:spacing w:after="20" w:line="223" w:lineRule="auto"/>
        <w:jc w:val="right"/>
        <w:bidi/>
      </w:pPr>
      <w:r>
        <w:rPr>
          <w:rFonts w:ascii="Arial" w:hAnsi="Arial"/>
          <w:sz w:val="16"/>
        </w:rPr>
        <w:t>463.16  پیراهن خواب به رنگ قهوه‌ای کایوت / قهوه‌ای مایل به زرد ۴۹۹ خواهد بود.</w:t>
      </w:r>
    </w:p>
    <w:p>
      <w:pPr>
        <w:spacing w:after="28" w:line="216" w:lineRule="auto"/>
        <w:ind w:left="259"/>
        <w:jc w:val="left"/>
      </w:pPr>
      <w:r>
        <w:rPr>
          <w:rFonts w:ascii="Arial" w:hAnsi="Arial"/>
          <w:color w:val="525252"/>
          <w:sz w:val="13"/>
        </w:rPr>
        <w:t>The sleep shirt will be coyote brown/tan 499 in color.</w:t>
      </w:r>
    </w:p>
    <w:p>
      <w:pPr>
        <w:spacing w:after="20" w:line="223" w:lineRule="auto"/>
        <w:jc w:val="right"/>
        <w:bidi/>
      </w:pPr>
      <w:r>
        <w:rPr>
          <w:rFonts w:ascii="Arial" w:hAnsi="Arial"/>
          <w:sz w:val="16"/>
        </w:rPr>
        <w:t>463.17  لباس زیر حرارتی.</w:t>
      </w:r>
    </w:p>
    <w:p>
      <w:pPr>
        <w:spacing w:after="28" w:line="216" w:lineRule="auto"/>
        <w:ind w:left="259"/>
        <w:jc w:val="left"/>
      </w:pPr>
      <w:r>
        <w:rPr>
          <w:rFonts w:ascii="Arial" w:hAnsi="Arial"/>
          <w:color w:val="525252"/>
          <w:sz w:val="13"/>
        </w:rPr>
        <w:t>Thermal Underwear.</w:t>
      </w:r>
    </w:p>
    <w:p>
      <w:pPr>
        <w:spacing w:after="20" w:line="223" w:lineRule="auto"/>
        <w:jc w:val="right"/>
        <w:bidi/>
      </w:pPr>
      <w:r>
        <w:rPr>
          <w:rFonts w:ascii="Arial" w:hAnsi="Arial"/>
          <w:sz w:val="16"/>
        </w:rPr>
        <w:t>463.18  لباس زیر حرارتی قهوه‌ای کایوت/برنزه ۴۹۹ ممکن است تحت OCP پوشیده شود.</w:t>
      </w:r>
    </w:p>
    <w:p>
      <w:pPr>
        <w:spacing w:after="28" w:line="216" w:lineRule="auto"/>
        <w:ind w:left="259"/>
        <w:jc w:val="left"/>
      </w:pPr>
      <w:r>
        <w:rPr>
          <w:rFonts w:ascii="Arial" w:hAnsi="Arial"/>
          <w:color w:val="525252"/>
          <w:sz w:val="13"/>
        </w:rPr>
        <w:t>Coyote brown/tan 499 thermal underwear may be worn under the OCP.</w:t>
      </w:r>
    </w:p>
    <w:p>
      <w:pPr>
        <w:spacing w:after="20" w:line="223" w:lineRule="auto"/>
        <w:jc w:val="right"/>
        <w:bidi/>
      </w:pPr>
      <w:r>
        <w:rPr>
          <w:rFonts w:ascii="Arial" w:hAnsi="Arial"/>
          <w:sz w:val="16"/>
        </w:rPr>
        <w:t>463.19  لباس زیر حرارتی به‌عنوان لباس بیرونی پوشیده نخواهد شد.</w:t>
      </w:r>
    </w:p>
    <w:p>
      <w:pPr>
        <w:spacing w:after="28" w:line="216" w:lineRule="auto"/>
        <w:ind w:left="259"/>
        <w:jc w:val="left"/>
      </w:pPr>
      <w:r>
        <w:rPr>
          <w:rFonts w:ascii="Arial" w:hAnsi="Arial"/>
          <w:color w:val="525252"/>
          <w:sz w:val="13"/>
        </w:rPr>
        <w:t>Thermal underwear will not be worn as an outer garment.</w:t>
      </w:r>
    </w:p>
    <w:p>
      <w:pPr>
        <w:spacing w:after="20" w:line="223" w:lineRule="auto"/>
        <w:jc w:val="right"/>
        <w:bidi/>
      </w:pPr>
      <w:r>
        <w:rPr>
          <w:rFonts w:ascii="Arial" w:hAnsi="Arial"/>
          <w:sz w:val="16"/>
        </w:rPr>
        <w:t>463.20  لباس زیر حرارتی زیر شلوار و کت OCP به جز در یقه قابل مشاهده نخواهد بود.</w:t>
      </w:r>
    </w:p>
    <w:p>
      <w:pPr>
        <w:spacing w:after="28" w:line="216" w:lineRule="auto"/>
        <w:ind w:left="259"/>
        <w:jc w:val="left"/>
      </w:pPr>
      <w:r>
        <w:rPr>
          <w:rFonts w:ascii="Arial" w:hAnsi="Arial"/>
          <w:color w:val="525252"/>
          <w:sz w:val="13"/>
        </w:rPr>
        <w:t>Thermal underwear will not be visible under the OCP trouser and coat except at the neck.</w:t>
      </w:r>
    </w:p>
    <w:p>
      <w:r>
        <w:br w:type="page"/>
      </w:r>
    </w:p>
    <w:p>
      <w:pPr>
        <w:spacing w:after="60"/>
        <w:jc w:val="right"/>
        <w:bidi/>
      </w:pPr>
      <w:r>
        <w:rPr>
          <w:rFonts w:ascii="Arial" w:hAnsi="Arial"/>
          <w:b/>
          <w:color w:val="1F4D78"/>
          <w:sz w:val="19"/>
        </w:rPr>
        <w:t>هفتهٔ 464  |  صفحهٔ منبع: 480</w:t>
      </w:r>
    </w:p>
    <w:p>
      <w:pPr>
        <w:spacing w:after="20" w:line="223" w:lineRule="auto"/>
        <w:jc w:val="right"/>
        <w:bidi/>
      </w:pPr>
      <w:r>
        <w:rPr>
          <w:rFonts w:ascii="Arial" w:hAnsi="Arial"/>
          <w:sz w:val="16"/>
        </w:rPr>
        <w:t>464.01  ژاکت‌های سیستم پوشاک هوای سرد طولانی (ECWCS) (پلیس، باد، پوسته نرم، هوای مرطوب یا هوای شدید سرد) ممکن است بدون شلوار پوشیده شوند. با این حال، شلوار را نباید بدون ژاکت پوشید.</w:t>
      </w:r>
    </w:p>
    <w:p>
      <w:pPr>
        <w:spacing w:after="28" w:line="216" w:lineRule="auto"/>
        <w:ind w:left="259"/>
        <w:jc w:val="left"/>
      </w:pPr>
      <w:r>
        <w:rPr>
          <w:rFonts w:ascii="Arial" w:hAnsi="Arial"/>
          <w:color w:val="525252"/>
          <w:sz w:val="13"/>
        </w:rPr>
        <w:t>The Extended Cold Weather Clothing System (ECWCS) jackets (fleece, wind, soft shell, wet weather, or extreme cold weather) may be worn without the pants; however, the pants must not be worn without the jacket.</w:t>
      </w:r>
    </w:p>
    <w:p>
      <w:pPr>
        <w:spacing w:after="20" w:line="223" w:lineRule="auto"/>
        <w:jc w:val="right"/>
        <w:bidi/>
      </w:pPr>
      <w:r>
        <w:rPr>
          <w:rFonts w:ascii="Arial" w:hAnsi="Arial"/>
          <w:sz w:val="16"/>
        </w:rPr>
        <w:t>464.02  سطح ۷ (ژاکت پارکی) ECWCS را می‌توان با یونیفرم OCP وتیلیتی پوشید، از نوار نام / نشان OCP استفاده کرد.</w:t>
      </w:r>
    </w:p>
    <w:p>
      <w:pPr>
        <w:spacing w:after="28" w:line="216" w:lineRule="auto"/>
        <w:ind w:left="259"/>
        <w:jc w:val="left"/>
      </w:pPr>
      <w:r>
        <w:rPr>
          <w:rFonts w:ascii="Arial" w:hAnsi="Arial"/>
          <w:color w:val="525252"/>
          <w:sz w:val="13"/>
        </w:rPr>
        <w:t>The Level 7 (Parka Jacket) of the ECWCS can be worn with OCP utility uniform, wear OCP nametapes/insignia.</w:t>
      </w:r>
    </w:p>
    <w:p>
      <w:pPr>
        <w:spacing w:after="20" w:line="223" w:lineRule="auto"/>
        <w:jc w:val="right"/>
        <w:bidi/>
      </w:pPr>
      <w:r>
        <w:rPr>
          <w:rFonts w:ascii="Arial" w:hAnsi="Arial"/>
          <w:sz w:val="16"/>
        </w:rPr>
        <w:t>464.03  OCPهای درمان نشده با پرمترین.</w:t>
      </w:r>
    </w:p>
    <w:p>
      <w:pPr>
        <w:spacing w:after="28" w:line="216" w:lineRule="auto"/>
        <w:ind w:left="259"/>
        <w:jc w:val="left"/>
      </w:pPr>
      <w:r>
        <w:rPr>
          <w:rFonts w:ascii="Arial" w:hAnsi="Arial"/>
          <w:color w:val="525252"/>
          <w:sz w:val="13"/>
        </w:rPr>
        <w:t>Non-Permethrin treated OCPs.</w:t>
      </w:r>
    </w:p>
    <w:p>
      <w:pPr>
        <w:spacing w:after="20" w:line="223" w:lineRule="auto"/>
        <w:jc w:val="right"/>
        <w:bidi/>
      </w:pPr>
      <w:r>
        <w:rPr>
          <w:rFonts w:ascii="Arial" w:hAnsi="Arial"/>
          <w:sz w:val="16"/>
        </w:rPr>
        <w:t>464.04  برای سفارش ویژه از طریق MCSS موجود است.</w:t>
      </w:r>
    </w:p>
    <w:p>
      <w:pPr>
        <w:spacing w:after="28" w:line="216" w:lineRule="auto"/>
        <w:ind w:left="259"/>
        <w:jc w:val="left"/>
      </w:pPr>
      <w:r>
        <w:rPr>
          <w:rFonts w:ascii="Arial" w:hAnsi="Arial"/>
          <w:color w:val="525252"/>
          <w:sz w:val="13"/>
        </w:rPr>
        <w:t>Available for special ordering through MCSS.</w:t>
      </w:r>
    </w:p>
    <w:p>
      <w:pPr>
        <w:spacing w:after="20" w:line="223" w:lineRule="auto"/>
        <w:jc w:val="right"/>
        <w:bidi/>
      </w:pPr>
      <w:r>
        <w:rPr>
          <w:rFonts w:ascii="Arial" w:hAnsi="Arial"/>
          <w:sz w:val="16"/>
        </w:rPr>
        <w:t>464.05  ۲۳.۱۱. لباس مخصوص بارداری (شکل ۲۳.۳۲) و لباس نیمه رسمی (شکل)</w:t>
      </w:r>
    </w:p>
    <w:p>
      <w:pPr>
        <w:spacing w:after="28" w:line="216" w:lineRule="auto"/>
        <w:ind w:left="259"/>
        <w:jc w:val="left"/>
      </w:pPr>
      <w:r>
        <w:rPr>
          <w:rFonts w:ascii="Arial" w:hAnsi="Arial"/>
          <w:color w:val="525252"/>
          <w:sz w:val="13"/>
        </w:rPr>
        <w:t>23.11. Maternity Mess Dress (Figure 23.32) and Semi-Formal Dress Uniform (Figure</w:t>
      </w:r>
    </w:p>
    <w:p>
      <w:pPr>
        <w:spacing w:after="20" w:line="223" w:lineRule="auto"/>
        <w:jc w:val="right"/>
        <w:bidi/>
      </w:pPr>
      <w:r>
        <w:rPr>
          <w:rFonts w:ascii="Arial" w:hAnsi="Arial"/>
          <w:sz w:val="16"/>
        </w:rPr>
        <w:t>464.06  ۲۳.۳۳).</w:t>
      </w:r>
    </w:p>
    <w:p>
      <w:pPr>
        <w:spacing w:after="28" w:line="216" w:lineRule="auto"/>
        <w:ind w:left="259"/>
        <w:jc w:val="left"/>
      </w:pPr>
      <w:r>
        <w:rPr>
          <w:rFonts w:ascii="Arial" w:hAnsi="Arial"/>
          <w:color w:val="525252"/>
          <w:sz w:val="13"/>
        </w:rPr>
        <w:t>23.33).</w:t>
      </w:r>
    </w:p>
    <w:p>
      <w:pPr>
        <w:spacing w:after="20" w:line="223" w:lineRule="auto"/>
        <w:jc w:val="right"/>
        <w:bidi/>
      </w:pPr>
      <w:r>
        <w:rPr>
          <w:rFonts w:ascii="Arial" w:hAnsi="Arial"/>
          <w:sz w:val="16"/>
        </w:rPr>
        <w:t>464.07  یونیفرم لباس مخصوص بارداری برای فعالیت‌های اجتماعی با ماهیت رسمی و/یا رسمی (مانند امور کراوات مشکی) پوشیده می‌شود.</w:t>
      </w:r>
    </w:p>
    <w:p>
      <w:pPr>
        <w:spacing w:after="28" w:line="216" w:lineRule="auto"/>
        <w:ind w:left="259"/>
        <w:jc w:val="left"/>
      </w:pPr>
      <w:r>
        <w:rPr>
          <w:rFonts w:ascii="Arial" w:hAnsi="Arial"/>
          <w:color w:val="525252"/>
          <w:sz w:val="13"/>
        </w:rPr>
        <w:t>The maternity mess dress uniform is worn for social functions of a formal and/or official nature (e.g., black tie affairs).</w:t>
      </w:r>
    </w:p>
    <w:p>
      <w:pPr>
        <w:spacing w:after="20" w:line="223" w:lineRule="auto"/>
        <w:jc w:val="right"/>
        <w:bidi/>
      </w:pPr>
      <w:r>
        <w:rPr>
          <w:rFonts w:ascii="Arial" w:hAnsi="Arial"/>
          <w:sz w:val="16"/>
        </w:rPr>
        <w:t>464.08  لباس شب معادل غیرنظامی است.</w:t>
      </w:r>
    </w:p>
    <w:p>
      <w:pPr>
        <w:spacing w:after="28" w:line="216" w:lineRule="auto"/>
        <w:ind w:left="259"/>
        <w:jc w:val="left"/>
      </w:pPr>
      <w:r>
        <w:rPr>
          <w:rFonts w:ascii="Arial" w:hAnsi="Arial"/>
          <w:color w:val="525252"/>
          <w:sz w:val="13"/>
        </w:rPr>
        <w:t>The evening gown is the civilian equivalent.</w:t>
      </w:r>
    </w:p>
    <w:p>
      <w:pPr>
        <w:spacing w:after="20" w:line="223" w:lineRule="auto"/>
        <w:jc w:val="right"/>
        <w:bidi/>
      </w:pPr>
      <w:r>
        <w:rPr>
          <w:rFonts w:ascii="Arial" w:hAnsi="Arial"/>
          <w:sz w:val="16"/>
        </w:rPr>
        <w:t>464.09  یونیفورم لباس نیمه رسمی بارداری برای عملکردهای اجتماعی با ماهیت نیمه رسمی و/یا رسمی طبق دستور فرمانده یا مشابه آن پوشیده می‌شود.</w:t>
      </w:r>
    </w:p>
    <w:p>
      <w:pPr>
        <w:spacing w:after="28" w:line="216" w:lineRule="auto"/>
        <w:ind w:left="259"/>
        <w:jc w:val="left"/>
      </w:pPr>
      <w:r>
        <w:rPr>
          <w:rFonts w:ascii="Arial" w:hAnsi="Arial"/>
          <w:color w:val="525252"/>
          <w:sz w:val="13"/>
        </w:rPr>
        <w:t>The maternity semi- formal dress uniform is worn for social functions of a semi-formal and/or official nature as prescribed by the commander or equivalent.</w:t>
      </w:r>
    </w:p>
    <w:p>
      <w:pPr>
        <w:spacing w:after="20" w:line="223" w:lineRule="auto"/>
        <w:jc w:val="right"/>
        <w:bidi/>
      </w:pPr>
      <w:r>
        <w:rPr>
          <w:rFonts w:ascii="Arial" w:hAnsi="Arial"/>
          <w:sz w:val="16"/>
        </w:rPr>
        <w:t>464.10  نیمه رسمی همان اصطلاحی است که هنگام توصیف معادل غیرنظامی استفاده می‌شود.</w:t>
      </w:r>
    </w:p>
    <w:p>
      <w:pPr>
        <w:spacing w:after="28" w:line="216" w:lineRule="auto"/>
        <w:ind w:left="259"/>
        <w:jc w:val="left"/>
      </w:pPr>
      <w:r>
        <w:rPr>
          <w:rFonts w:ascii="Arial" w:hAnsi="Arial"/>
          <w:color w:val="525252"/>
          <w:sz w:val="13"/>
        </w:rPr>
        <w:t>Semi-formal is the same term used when describing the civilian equivalent.</w:t>
      </w:r>
    </w:p>
    <w:p>
      <w:pPr>
        <w:spacing w:after="20" w:line="223" w:lineRule="auto"/>
        <w:jc w:val="right"/>
        <w:bidi/>
      </w:pPr>
      <w:r>
        <w:rPr>
          <w:rFonts w:ascii="Arial" w:hAnsi="Arial"/>
          <w:sz w:val="16"/>
        </w:rPr>
        <w:t>464.11  مشمولین می‌توانند در صورتی که لباس نامرتب نداشته باشند، لباس نیمه رسمی خدمت بپوشند.</w:t>
      </w:r>
    </w:p>
    <w:p>
      <w:pPr>
        <w:spacing w:after="28" w:line="216" w:lineRule="auto"/>
        <w:ind w:left="259"/>
        <w:jc w:val="left"/>
      </w:pPr>
      <w:r>
        <w:rPr>
          <w:rFonts w:ascii="Arial" w:hAnsi="Arial"/>
          <w:color w:val="525252"/>
          <w:sz w:val="13"/>
        </w:rPr>
        <w:t>Enlisted may wear the semi-formal service dress uniform if they do not have a mess dress.</w:t>
      </w:r>
    </w:p>
    <w:p>
      <w:pPr>
        <w:spacing w:after="20" w:line="223" w:lineRule="auto"/>
        <w:jc w:val="right"/>
        <w:bidi/>
      </w:pPr>
      <w:r>
        <w:rPr>
          <w:rFonts w:ascii="Arial" w:hAnsi="Arial"/>
          <w:sz w:val="16"/>
        </w:rPr>
        <w:t>464.12  هنگام پوشیدن لباس نامرتب و لباس نیمه رسمی نیازی به سلام دادن نیست.</w:t>
      </w:r>
    </w:p>
    <w:p>
      <w:pPr>
        <w:spacing w:after="28" w:line="216" w:lineRule="auto"/>
        <w:ind w:left="259"/>
        <w:jc w:val="left"/>
      </w:pPr>
      <w:r>
        <w:rPr>
          <w:rFonts w:ascii="Arial" w:hAnsi="Arial"/>
          <w:color w:val="525252"/>
          <w:sz w:val="13"/>
        </w:rPr>
        <w:t>Saluting is not required when wearing the mess dress and semi-formal dress uniforms.</w:t>
      </w:r>
    </w:p>
    <w:p>
      <w:pPr>
        <w:spacing w:after="20" w:line="223" w:lineRule="auto"/>
        <w:jc w:val="right"/>
        <w:bidi/>
      </w:pPr>
      <w:r>
        <w:rPr>
          <w:rFonts w:ascii="Arial" w:hAnsi="Arial"/>
          <w:sz w:val="16"/>
        </w:rPr>
        <w:t>464.13  جامپر لباس آشفته جامپر آبی تیره و جامپر نیمه رسمی جامپر لباس سرویس است.</w:t>
      </w:r>
    </w:p>
    <w:p>
      <w:pPr>
        <w:spacing w:after="28" w:line="216" w:lineRule="auto"/>
        <w:ind w:left="259"/>
        <w:jc w:val="left"/>
      </w:pPr>
      <w:r>
        <w:rPr>
          <w:rFonts w:ascii="Arial" w:hAnsi="Arial"/>
          <w:color w:val="525252"/>
          <w:sz w:val="13"/>
        </w:rPr>
        <w:t>The mess dress jumper is the dark blue jumper, and the semi-formal jumper is the service dress uniform jumper.</w:t>
      </w:r>
    </w:p>
    <w:p>
      <w:pPr>
        <w:spacing w:after="20" w:line="223" w:lineRule="auto"/>
        <w:jc w:val="right"/>
        <w:bidi/>
      </w:pPr>
      <w:r>
        <w:rPr>
          <w:rFonts w:ascii="Arial" w:hAnsi="Arial"/>
          <w:sz w:val="16"/>
        </w:rPr>
        <w:t>464.14  لباس ژولیده و جامپر لباس نیمه رسمی روی بلوز سفید بارداری پوشیده شده است.</w:t>
      </w:r>
    </w:p>
    <w:p>
      <w:pPr>
        <w:spacing w:after="28" w:line="216" w:lineRule="auto"/>
        <w:ind w:left="259"/>
        <w:jc w:val="left"/>
      </w:pPr>
      <w:r>
        <w:rPr>
          <w:rFonts w:ascii="Arial" w:hAnsi="Arial"/>
          <w:color w:val="525252"/>
          <w:sz w:val="13"/>
        </w:rPr>
        <w:t>The mess dress and semi-formal dress jumper is worn over the white maternity blouse.</w:t>
      </w:r>
    </w:p>
    <w:p>
      <w:pPr>
        <w:spacing w:after="20" w:line="223" w:lineRule="auto"/>
        <w:jc w:val="right"/>
        <w:bidi/>
      </w:pPr>
      <w:r>
        <w:rPr>
          <w:rFonts w:ascii="Arial" w:hAnsi="Arial"/>
          <w:sz w:val="16"/>
        </w:rPr>
        <w:t>464.15  چین‌های نظامی مجاز نیستند.</w:t>
      </w:r>
    </w:p>
    <w:p>
      <w:pPr>
        <w:spacing w:after="28" w:line="216" w:lineRule="auto"/>
        <w:ind w:left="259"/>
        <w:jc w:val="left"/>
      </w:pPr>
      <w:r>
        <w:rPr>
          <w:rFonts w:ascii="Arial" w:hAnsi="Arial"/>
          <w:color w:val="525252"/>
          <w:sz w:val="13"/>
        </w:rPr>
        <w:t>Military creases are not authorized.</w:t>
      </w:r>
    </w:p>
    <w:p>
      <w:pPr>
        <w:spacing w:after="20" w:line="223" w:lineRule="auto"/>
        <w:jc w:val="right"/>
        <w:bidi/>
      </w:pPr>
      <w:r>
        <w:rPr>
          <w:rFonts w:ascii="Arial" w:hAnsi="Arial"/>
          <w:sz w:val="16"/>
        </w:rPr>
        <w:t>464.16  جامپر بارداری نه کوتاهتر از بالای کاسه زانو یا بلندتر از پایین کاسه زانو خواهد بود.</w:t>
      </w:r>
    </w:p>
    <w:p>
      <w:pPr>
        <w:spacing w:after="28" w:line="216" w:lineRule="auto"/>
        <w:ind w:left="259"/>
        <w:jc w:val="left"/>
      </w:pPr>
      <w:r>
        <w:rPr>
          <w:rFonts w:ascii="Arial" w:hAnsi="Arial"/>
          <w:color w:val="525252"/>
          <w:sz w:val="13"/>
        </w:rPr>
        <w:t>The maternity jumper will be no shorter than the top of the kneecap or longer than the bottom of the kneecap.</w:t>
      </w:r>
    </w:p>
    <w:p>
      <w:pPr>
        <w:spacing w:after="20" w:line="223" w:lineRule="auto"/>
        <w:jc w:val="right"/>
        <w:bidi/>
      </w:pPr>
      <w:r>
        <w:rPr>
          <w:rFonts w:ascii="Arial" w:hAnsi="Arial"/>
          <w:sz w:val="16"/>
        </w:rPr>
        <w:t>464.17  افسران نشان‌های علامت شانه را تا جایی که ممکن است به درز شانه نزدیک می‌کنند و بلوز دکمه‌ای را روی بلوز می‌پوشند.</w:t>
      </w:r>
    </w:p>
    <w:p>
      <w:pPr>
        <w:spacing w:after="28" w:line="216" w:lineRule="auto"/>
        <w:ind w:left="259"/>
        <w:jc w:val="left"/>
      </w:pPr>
      <w:r>
        <w:rPr>
          <w:rFonts w:ascii="Arial" w:hAnsi="Arial"/>
          <w:color w:val="525252"/>
          <w:sz w:val="13"/>
        </w:rPr>
        <w:t>Officers will wear shoulder mark insignia as close to the shoulder seam as possible and button blouse epaulets over jumper.</w:t>
      </w:r>
    </w:p>
    <w:p>
      <w:pPr>
        <w:spacing w:after="20" w:line="223" w:lineRule="auto"/>
        <w:jc w:val="right"/>
        <w:bidi/>
      </w:pPr>
      <w:r>
        <w:rPr>
          <w:rFonts w:ascii="Arial" w:hAnsi="Arial"/>
          <w:sz w:val="16"/>
        </w:rPr>
        <w:t>464.18  هوانوردان مشمول ۳ شورون ۱/۲ اینچی یا ۴ اینچی می‌پوشند که در وسط بین درز شانه و آرنج خم شده با زاویه ۹۰ درجه قرار دارند.</w:t>
      </w:r>
    </w:p>
    <w:p>
      <w:pPr>
        <w:spacing w:after="28" w:line="216" w:lineRule="auto"/>
        <w:ind w:left="259"/>
        <w:jc w:val="left"/>
      </w:pPr>
      <w:r>
        <w:rPr>
          <w:rFonts w:ascii="Arial" w:hAnsi="Arial"/>
          <w:color w:val="525252"/>
          <w:sz w:val="13"/>
        </w:rPr>
        <w:t>Enlisted Airmen will wear 3 1/2-inch, or 4-inch chevrons centered halfway between shoulder seam and elbow bent at 90-degree angle.</w:t>
      </w:r>
    </w:p>
    <w:p>
      <w:pPr>
        <w:spacing w:after="20" w:line="223" w:lineRule="auto"/>
        <w:jc w:val="right"/>
        <w:bidi/>
      </w:pPr>
      <w:r>
        <w:rPr>
          <w:rFonts w:ascii="Arial" w:hAnsi="Arial"/>
          <w:sz w:val="16"/>
        </w:rPr>
        <w:t>464.19  لباس مجلسی و لباس مجلسی نیمه رسمی.</w:t>
      </w:r>
    </w:p>
    <w:p>
      <w:pPr>
        <w:spacing w:after="28" w:line="216" w:lineRule="auto"/>
        <w:ind w:left="259"/>
        <w:jc w:val="left"/>
      </w:pPr>
      <w:r>
        <w:rPr>
          <w:rFonts w:ascii="Arial" w:hAnsi="Arial"/>
          <w:color w:val="525252"/>
          <w:sz w:val="13"/>
        </w:rPr>
        <w:t>Maternity Mess Dress and Semi-Formal Dress Accoutrements.</w:t>
      </w:r>
    </w:p>
    <w:p>
      <w:pPr>
        <w:spacing w:after="20" w:line="223" w:lineRule="auto"/>
        <w:jc w:val="right"/>
        <w:bidi/>
      </w:pPr>
      <w:r>
        <w:rPr>
          <w:rFonts w:ascii="Arial" w:hAnsi="Arial"/>
          <w:sz w:val="16"/>
        </w:rPr>
        <w:t>464.20  تگ نام.</w:t>
      </w:r>
    </w:p>
    <w:p>
      <w:pPr>
        <w:spacing w:after="28" w:line="216" w:lineRule="auto"/>
        <w:ind w:left="259"/>
        <w:jc w:val="left"/>
      </w:pPr>
      <w:r>
        <w:rPr>
          <w:rFonts w:ascii="Arial" w:hAnsi="Arial"/>
          <w:color w:val="525252"/>
          <w:sz w:val="13"/>
        </w:rPr>
        <w:t>Name Tag.</w:t>
      </w:r>
    </w:p>
    <w:p>
      <w:pPr>
        <w:spacing w:after="20" w:line="223" w:lineRule="auto"/>
        <w:jc w:val="right"/>
        <w:bidi/>
      </w:pPr>
      <w:r>
        <w:rPr>
          <w:rFonts w:ascii="Arial" w:hAnsi="Arial"/>
          <w:sz w:val="16"/>
        </w:rPr>
        <w:t>464.21  روی لباس نامرتب بارداری یا لباس نیمه رسمی لباس نپوشید.</w:t>
      </w:r>
    </w:p>
    <w:p>
      <w:pPr>
        <w:spacing w:after="28" w:line="216" w:lineRule="auto"/>
        <w:ind w:left="259"/>
        <w:jc w:val="left"/>
      </w:pPr>
      <w:r>
        <w:rPr>
          <w:rFonts w:ascii="Arial" w:hAnsi="Arial"/>
          <w:color w:val="525252"/>
          <w:sz w:val="13"/>
        </w:rPr>
        <w:t>Do not wear a name tag on the maternity mess dress or semi-formal dress uniform.</w:t>
      </w:r>
    </w:p>
    <w:p>
      <w:pPr>
        <w:spacing w:after="20" w:line="223" w:lineRule="auto"/>
        <w:jc w:val="right"/>
        <w:bidi/>
      </w:pPr>
      <w:r>
        <w:rPr>
          <w:rFonts w:ascii="Arial" w:hAnsi="Arial"/>
          <w:sz w:val="16"/>
        </w:rPr>
        <w:t>464.22  مدال (مس لباس).</w:t>
      </w:r>
    </w:p>
    <w:p>
      <w:pPr>
        <w:spacing w:after="28" w:line="216" w:lineRule="auto"/>
        <w:ind w:left="259"/>
        <w:jc w:val="left"/>
      </w:pPr>
      <w:r>
        <w:rPr>
          <w:rFonts w:ascii="Arial" w:hAnsi="Arial"/>
          <w:color w:val="525252"/>
          <w:sz w:val="13"/>
        </w:rPr>
        <w:t>Medals (Mess Dress).</w:t>
      </w:r>
    </w:p>
    <w:p>
      <w:pPr>
        <w:spacing w:after="20" w:line="223" w:lineRule="auto"/>
        <w:jc w:val="right"/>
        <w:bidi/>
      </w:pPr>
      <w:r>
        <w:rPr>
          <w:rFonts w:ascii="Arial" w:hAnsi="Arial"/>
          <w:sz w:val="16"/>
        </w:rPr>
        <w:t>464.23  برای شرح سایش به DAFI ۳۶-۲۹۰۳، بند ۴.۲.۱ مراجعه کنید.</w:t>
      </w:r>
    </w:p>
    <w:p>
      <w:pPr>
        <w:spacing w:after="28" w:line="216" w:lineRule="auto"/>
        <w:ind w:left="259"/>
        <w:jc w:val="left"/>
      </w:pPr>
      <w:r>
        <w:rPr>
          <w:rFonts w:ascii="Arial" w:hAnsi="Arial"/>
          <w:color w:val="525252"/>
          <w:sz w:val="13"/>
        </w:rPr>
        <w:t>For wear description see DAFI 36-2903, paragraph 4.2.1.</w:t>
      </w:r>
    </w:p>
    <w:p>
      <w:pPr>
        <w:spacing w:after="20" w:line="223" w:lineRule="auto"/>
        <w:jc w:val="right"/>
        <w:bidi/>
      </w:pPr>
      <w:r>
        <w:rPr>
          <w:rFonts w:ascii="Arial" w:hAnsi="Arial"/>
          <w:sz w:val="16"/>
        </w:rPr>
        <w:t>464.24  روبان (لباس نیمه رسمی).</w:t>
      </w:r>
    </w:p>
    <w:p>
      <w:pPr>
        <w:spacing w:after="28" w:line="216" w:lineRule="auto"/>
        <w:ind w:left="259"/>
        <w:jc w:val="left"/>
      </w:pPr>
      <w:r>
        <w:rPr>
          <w:rFonts w:ascii="Arial" w:hAnsi="Arial"/>
          <w:color w:val="525252"/>
          <w:sz w:val="13"/>
        </w:rPr>
        <w:t>Ribbons (Semi-Formal Dress).</w:t>
      </w:r>
    </w:p>
    <w:p>
      <w:pPr>
        <w:spacing w:after="20" w:line="223" w:lineRule="auto"/>
        <w:jc w:val="right"/>
        <w:bidi/>
      </w:pPr>
      <w:r>
        <w:rPr>
          <w:rFonts w:ascii="Arial" w:hAnsi="Arial"/>
          <w:sz w:val="16"/>
        </w:rPr>
        <w:t>464.25  برای شرح سایش، به DAFI ۳۶-۲۹۰۳، بند ۶.۴.۳ مراجعه کنید.</w:t>
      </w:r>
    </w:p>
    <w:p>
      <w:pPr>
        <w:spacing w:after="28" w:line="216" w:lineRule="auto"/>
        <w:ind w:left="259"/>
        <w:jc w:val="left"/>
      </w:pPr>
      <w:r>
        <w:rPr>
          <w:rFonts w:ascii="Arial" w:hAnsi="Arial"/>
          <w:color w:val="525252"/>
          <w:sz w:val="13"/>
        </w:rPr>
        <w:t>For wear description see DAFI 36-2903, paragraph 6.4.3.</w:t>
      </w:r>
    </w:p>
    <w:p>
      <w:pPr>
        <w:spacing w:after="20" w:line="223" w:lineRule="auto"/>
        <w:jc w:val="right"/>
        <w:bidi/>
      </w:pPr>
      <w:r>
        <w:rPr>
          <w:rFonts w:ascii="Arial" w:hAnsi="Arial"/>
          <w:sz w:val="16"/>
        </w:rPr>
        <w:t>464.26  نشان‌های وظیفه و پین نشان فرمان.</w:t>
      </w:r>
    </w:p>
    <w:p>
      <w:pPr>
        <w:spacing w:after="28" w:line="216" w:lineRule="auto"/>
        <w:ind w:left="259"/>
        <w:jc w:val="left"/>
      </w:pPr>
      <w:r>
        <w:rPr>
          <w:rFonts w:ascii="Arial" w:hAnsi="Arial"/>
          <w:color w:val="525252"/>
          <w:sz w:val="13"/>
        </w:rPr>
        <w:t>Duty Badges, and Command Insignia Pin.</w:t>
      </w:r>
    </w:p>
    <w:p>
      <w:pPr>
        <w:spacing w:after="20" w:line="223" w:lineRule="auto"/>
        <w:jc w:val="right"/>
        <w:bidi/>
      </w:pPr>
      <w:r>
        <w:rPr>
          <w:rFonts w:ascii="Arial" w:hAnsi="Arial"/>
          <w:sz w:val="16"/>
        </w:rPr>
        <w:t>464.27  برای ساییدگی و توضیحات به DAFI ۳۶-۲۹۰۳، پاراگراف‌های ۱۲.۳.۳ و ۱۲.۳.۶ مراجعه کنید.</w:t>
      </w:r>
    </w:p>
    <w:p>
      <w:pPr>
        <w:spacing w:after="28" w:line="216" w:lineRule="auto"/>
        <w:ind w:left="259"/>
        <w:jc w:val="left"/>
      </w:pPr>
      <w:r>
        <w:rPr>
          <w:rFonts w:ascii="Arial" w:hAnsi="Arial"/>
          <w:color w:val="525252"/>
          <w:sz w:val="13"/>
        </w:rPr>
        <w:t>For wear and description see DAFI 36-2903, paragraphs 12.3.3 and 12.3.6.</w:t>
      </w:r>
    </w:p>
    <w:p>
      <w:pPr>
        <w:spacing w:after="20" w:line="223" w:lineRule="auto"/>
        <w:jc w:val="right"/>
        <w:bidi/>
      </w:pPr>
      <w:r>
        <w:rPr>
          <w:rFonts w:ascii="Arial" w:hAnsi="Arial"/>
          <w:sz w:val="16"/>
        </w:rPr>
        <w:t>464.28  زبانه کراوات.</w:t>
      </w:r>
    </w:p>
    <w:p>
      <w:pPr>
        <w:spacing w:after="28" w:line="216" w:lineRule="auto"/>
        <w:ind w:left="259"/>
        <w:jc w:val="left"/>
      </w:pPr>
      <w:r>
        <w:rPr>
          <w:rFonts w:ascii="Arial" w:hAnsi="Arial"/>
          <w:color w:val="525252"/>
          <w:sz w:val="13"/>
        </w:rPr>
        <w:t>Tie Tab.</w:t>
      </w:r>
    </w:p>
    <w:p>
      <w:pPr>
        <w:spacing w:after="20" w:line="223" w:lineRule="auto"/>
        <w:jc w:val="right"/>
        <w:bidi/>
      </w:pPr>
      <w:r>
        <w:rPr>
          <w:rFonts w:ascii="Arial" w:hAnsi="Arial"/>
          <w:sz w:val="16"/>
        </w:rPr>
        <w:t>464.29  برای ساییدگی و توضیحات به DAFI ۳۶-۲۹۰۳، بند ۴.۱.۲.۵ مراجعه کنید.</w:t>
      </w:r>
    </w:p>
    <w:p>
      <w:pPr>
        <w:spacing w:after="28" w:line="216" w:lineRule="auto"/>
        <w:ind w:left="259"/>
        <w:jc w:val="left"/>
      </w:pPr>
      <w:r>
        <w:rPr>
          <w:rFonts w:ascii="Arial" w:hAnsi="Arial"/>
          <w:color w:val="525252"/>
          <w:sz w:val="13"/>
        </w:rPr>
        <w:t>For wear and description see DAFI 36-2903, paragraph 4.1.2.5.</w:t>
      </w:r>
    </w:p>
    <w:p>
      <w:pPr>
        <w:spacing w:after="20" w:line="223" w:lineRule="auto"/>
        <w:jc w:val="right"/>
        <w:bidi/>
      </w:pPr>
      <w:r>
        <w:rPr>
          <w:rFonts w:ascii="Arial" w:hAnsi="Arial"/>
          <w:sz w:val="16"/>
        </w:rPr>
        <w:t>464.30  گل میخ.</w:t>
      </w:r>
    </w:p>
    <w:p>
      <w:pPr>
        <w:spacing w:after="28" w:line="216" w:lineRule="auto"/>
        <w:ind w:left="259"/>
        <w:jc w:val="left"/>
      </w:pPr>
      <w:r>
        <w:rPr>
          <w:rFonts w:ascii="Arial" w:hAnsi="Arial"/>
          <w:color w:val="525252"/>
          <w:sz w:val="13"/>
        </w:rPr>
        <w:t>Studs.</w:t>
      </w:r>
    </w:p>
    <w:p>
      <w:pPr>
        <w:spacing w:after="20" w:line="223" w:lineRule="auto"/>
        <w:jc w:val="right"/>
        <w:bidi/>
      </w:pPr>
      <w:r>
        <w:rPr>
          <w:rFonts w:ascii="Arial" w:hAnsi="Arial"/>
          <w:sz w:val="16"/>
        </w:rPr>
        <w:t>464.31  برای ساییدگی و توضیحات به DAFI ۳۶-۲۹۰۳، بند ۴.۲.۴ مراجعه کنید.</w:t>
      </w:r>
    </w:p>
    <w:p>
      <w:pPr>
        <w:spacing w:after="28" w:line="216" w:lineRule="auto"/>
        <w:ind w:left="259"/>
        <w:jc w:val="left"/>
      </w:pPr>
      <w:r>
        <w:rPr>
          <w:rFonts w:ascii="Arial" w:hAnsi="Arial"/>
          <w:color w:val="525252"/>
          <w:sz w:val="13"/>
        </w:rPr>
        <w:t>For wear and description see DAFI 36-2903, paragraph 4.2.4.</w:t>
      </w:r>
    </w:p>
    <w:p>
      <w:pPr>
        <w:spacing w:after="20" w:line="223" w:lineRule="auto"/>
        <w:jc w:val="right"/>
        <w:bidi/>
      </w:pPr>
      <w:r>
        <w:rPr>
          <w:rFonts w:ascii="Arial" w:hAnsi="Arial"/>
          <w:sz w:val="16"/>
        </w:rPr>
        <w:t>464.32  سرآستین.</w:t>
      </w:r>
    </w:p>
    <w:p>
      <w:pPr>
        <w:spacing w:after="28" w:line="216" w:lineRule="auto"/>
        <w:ind w:left="259"/>
        <w:jc w:val="left"/>
      </w:pPr>
      <w:r>
        <w:rPr>
          <w:rFonts w:ascii="Arial" w:hAnsi="Arial"/>
          <w:color w:val="525252"/>
          <w:sz w:val="13"/>
        </w:rPr>
        <w:t>Cuff Links.</w:t>
      </w:r>
    </w:p>
    <w:p>
      <w:pPr>
        <w:spacing w:after="20" w:line="223" w:lineRule="auto"/>
        <w:jc w:val="right"/>
        <w:bidi/>
      </w:pPr>
      <w:r>
        <w:rPr>
          <w:rFonts w:ascii="Arial" w:hAnsi="Arial"/>
          <w:sz w:val="16"/>
        </w:rPr>
        <w:t>464.33  برای ساییدگی و توضیحات به DAFI ۳۶-۲۹۰۳، بند ۴.۲.۳ مراجعه کنید.</w:t>
      </w:r>
    </w:p>
    <w:p>
      <w:pPr>
        <w:spacing w:after="28" w:line="216" w:lineRule="auto"/>
        <w:ind w:left="259"/>
        <w:jc w:val="left"/>
      </w:pPr>
      <w:r>
        <w:rPr>
          <w:rFonts w:ascii="Arial" w:hAnsi="Arial"/>
          <w:color w:val="525252"/>
          <w:sz w:val="13"/>
        </w:rPr>
        <w:t>For wear and description see DAFI 36-2903, paragraph 4.2.3.</w:t>
      </w:r>
    </w:p>
    <w:p>
      <w:pPr>
        <w:spacing w:after="20" w:line="223" w:lineRule="auto"/>
        <w:jc w:val="right"/>
        <w:bidi/>
      </w:pPr>
      <w:r>
        <w:rPr>
          <w:rFonts w:ascii="Arial" w:hAnsi="Arial"/>
          <w:sz w:val="16"/>
        </w:rPr>
        <w:t>464.34  سرپوش.</w:t>
      </w:r>
    </w:p>
    <w:p>
      <w:pPr>
        <w:spacing w:after="28" w:line="216" w:lineRule="auto"/>
        <w:ind w:left="259"/>
        <w:jc w:val="left"/>
      </w:pPr>
      <w:r>
        <w:rPr>
          <w:rFonts w:ascii="Arial" w:hAnsi="Arial"/>
          <w:color w:val="525252"/>
          <w:sz w:val="13"/>
        </w:rPr>
        <w:t>Headgear.</w:t>
      </w:r>
    </w:p>
    <w:p>
      <w:pPr>
        <w:spacing w:after="20" w:line="223" w:lineRule="auto"/>
        <w:jc w:val="right"/>
        <w:bidi/>
      </w:pPr>
      <w:r>
        <w:rPr>
          <w:rFonts w:ascii="Arial" w:hAnsi="Arial"/>
          <w:sz w:val="16"/>
        </w:rPr>
        <w:t>464.35  برای ساییدگی و توضیحات به DAFI ۳۶-۲۹۰۳، بند ۷.۲.۶ مراجعه کنید.</w:t>
      </w:r>
    </w:p>
    <w:p>
      <w:pPr>
        <w:spacing w:after="28" w:line="216" w:lineRule="auto"/>
        <w:ind w:left="259"/>
        <w:jc w:val="left"/>
      </w:pPr>
      <w:r>
        <w:rPr>
          <w:rFonts w:ascii="Arial" w:hAnsi="Arial"/>
          <w:color w:val="525252"/>
          <w:sz w:val="13"/>
        </w:rPr>
        <w:t>For wear and description see DAFI 36-2903, paragraph 7.2.6.</w:t>
      </w:r>
    </w:p>
    <w:p>
      <w:pPr>
        <w:spacing w:after="20" w:line="223" w:lineRule="auto"/>
        <w:jc w:val="right"/>
        <w:bidi/>
      </w:pPr>
      <w:r>
        <w:rPr>
          <w:rFonts w:ascii="Arial" w:hAnsi="Arial"/>
          <w:sz w:val="16"/>
        </w:rPr>
        <w:t>464.36  لباسهای بیرونی.</w:t>
      </w:r>
    </w:p>
    <w:p>
      <w:pPr>
        <w:spacing w:after="28" w:line="216" w:lineRule="auto"/>
        <w:ind w:left="259"/>
        <w:jc w:val="left"/>
      </w:pPr>
      <w:r>
        <w:rPr>
          <w:rFonts w:ascii="Arial" w:hAnsi="Arial"/>
          <w:color w:val="525252"/>
          <w:sz w:val="13"/>
        </w:rPr>
        <w:t>Outer garments.</w:t>
      </w:r>
    </w:p>
    <w:p>
      <w:pPr>
        <w:spacing w:after="20" w:line="223" w:lineRule="auto"/>
        <w:jc w:val="right"/>
        <w:bidi/>
      </w:pPr>
      <w:r>
        <w:rPr>
          <w:rFonts w:ascii="Arial" w:hAnsi="Arial"/>
          <w:sz w:val="16"/>
        </w:rPr>
        <w:t>464.37  تنها سرپوش مجاز، کلاه آبی زمستانی است.</w:t>
      </w:r>
    </w:p>
    <w:p>
      <w:pPr>
        <w:spacing w:after="28" w:line="216" w:lineRule="auto"/>
        <w:ind w:left="259"/>
        <w:jc w:val="left"/>
      </w:pPr>
      <w:r>
        <w:rPr>
          <w:rFonts w:ascii="Arial" w:hAnsi="Arial"/>
          <w:color w:val="525252"/>
          <w:sz w:val="13"/>
        </w:rPr>
        <w:t>The only authorized headgear is the blue winter cap.</w:t>
      </w:r>
    </w:p>
    <w:p>
      <w:pPr>
        <w:spacing w:after="20" w:line="223" w:lineRule="auto"/>
        <w:jc w:val="right"/>
        <w:bidi/>
      </w:pPr>
      <w:r>
        <w:rPr>
          <w:rFonts w:ascii="Arial" w:hAnsi="Arial"/>
          <w:sz w:val="16"/>
        </w:rPr>
        <w:t>464.38  کلاه آبی زمستانی فقط با یک لباس بیرونی تمام قد پوشیده می‌شود.</w:t>
      </w:r>
    </w:p>
    <w:p>
      <w:pPr>
        <w:spacing w:after="28" w:line="216" w:lineRule="auto"/>
        <w:ind w:left="259"/>
        <w:jc w:val="left"/>
      </w:pPr>
      <w:r>
        <w:rPr>
          <w:rFonts w:ascii="Arial" w:hAnsi="Arial"/>
          <w:color w:val="525252"/>
          <w:sz w:val="13"/>
        </w:rPr>
        <w:t>The blue winter cap will only be worn with a full-length outer garment.</w:t>
      </w:r>
    </w:p>
    <w:p>
      <w:pPr>
        <w:spacing w:after="20" w:line="223" w:lineRule="auto"/>
        <w:jc w:val="right"/>
        <w:bidi/>
      </w:pPr>
      <w:r>
        <w:rPr>
          <w:rFonts w:ascii="Arial" w:hAnsi="Arial"/>
          <w:sz w:val="16"/>
        </w:rPr>
        <w:t>464.39  برای پوشیدن و توضیحات، بند ۷.۱.۵ ۳۶-۲۹۰۳ را ببینید.</w:t>
      </w:r>
    </w:p>
    <w:p>
      <w:pPr>
        <w:spacing w:after="28" w:line="216" w:lineRule="auto"/>
        <w:ind w:left="259"/>
        <w:jc w:val="left"/>
      </w:pPr>
      <w:r>
        <w:rPr>
          <w:rFonts w:ascii="Arial" w:hAnsi="Arial"/>
          <w:color w:val="525252"/>
          <w:sz w:val="13"/>
        </w:rPr>
        <w:t>For wear and description see 36-2903, paragraph 7.1.5.</w:t>
      </w:r>
    </w:p>
    <w:p>
      <w:pPr>
        <w:spacing w:after="20" w:line="223" w:lineRule="auto"/>
        <w:jc w:val="right"/>
        <w:bidi/>
      </w:pPr>
      <w:r>
        <w:rPr>
          <w:rFonts w:ascii="Arial" w:hAnsi="Arial"/>
          <w:sz w:val="16"/>
        </w:rPr>
        <w:t>464.40  لوازم جانبی.</w:t>
      </w:r>
    </w:p>
    <w:p>
      <w:pPr>
        <w:spacing w:after="28" w:line="216" w:lineRule="auto"/>
        <w:ind w:left="259"/>
        <w:jc w:val="left"/>
      </w:pPr>
      <w:r>
        <w:rPr>
          <w:rFonts w:ascii="Arial" w:hAnsi="Arial"/>
          <w:color w:val="525252"/>
          <w:sz w:val="13"/>
        </w:rPr>
        <w:t>Accessories.</w:t>
      </w:r>
    </w:p>
    <w:p>
      <w:pPr>
        <w:spacing w:after="20" w:line="223" w:lineRule="auto"/>
        <w:jc w:val="right"/>
        <w:bidi/>
      </w:pPr>
      <w:r>
        <w:rPr>
          <w:rFonts w:ascii="Arial" w:hAnsi="Arial"/>
          <w:sz w:val="16"/>
        </w:rPr>
        <w:t>464.41  لوازم جانبی پوشاک محافظه کارانه و ساده و بدون طرح و تزئین خواهند بود.</w:t>
      </w:r>
    </w:p>
    <w:p>
      <w:pPr>
        <w:spacing w:after="28" w:line="216" w:lineRule="auto"/>
        <w:ind w:left="259"/>
        <w:jc w:val="left"/>
      </w:pPr>
      <w:r>
        <w:rPr>
          <w:rFonts w:ascii="Arial" w:hAnsi="Arial"/>
          <w:color w:val="525252"/>
          <w:sz w:val="13"/>
        </w:rPr>
        <w:t>Garment accessories will be conservative and plain without design or ornamentation.</w:t>
      </w:r>
    </w:p>
    <w:p>
      <w:pPr>
        <w:spacing w:after="20" w:line="223" w:lineRule="auto"/>
        <w:jc w:val="right"/>
        <w:bidi/>
      </w:pPr>
      <w:r>
        <w:rPr>
          <w:rFonts w:ascii="Arial" w:hAnsi="Arial"/>
          <w:sz w:val="16"/>
        </w:rPr>
        <w:t>464.42  برای ساییدگی و توضیحات به DAFI ۳۶-۲۹۰۳، بند ۷.۳ مراجعه کنید.</w:t>
      </w:r>
    </w:p>
    <w:p>
      <w:pPr>
        <w:spacing w:after="28" w:line="216" w:lineRule="auto"/>
        <w:ind w:left="259"/>
        <w:jc w:val="left"/>
      </w:pPr>
      <w:r>
        <w:rPr>
          <w:rFonts w:ascii="Arial" w:hAnsi="Arial"/>
          <w:color w:val="525252"/>
          <w:sz w:val="13"/>
        </w:rPr>
        <w:t>For wear and description see DAFI 36-2903, paragraph 7.3.</w:t>
      </w:r>
    </w:p>
    <w:p>
      <w:pPr>
        <w:spacing w:after="20" w:line="223" w:lineRule="auto"/>
        <w:jc w:val="right"/>
        <w:bidi/>
      </w:pPr>
      <w:r>
        <w:rPr>
          <w:rFonts w:ascii="Arial" w:hAnsi="Arial"/>
          <w:sz w:val="16"/>
        </w:rPr>
        <w:t>464.43  کفش.</w:t>
      </w:r>
    </w:p>
    <w:p>
      <w:pPr>
        <w:spacing w:after="28" w:line="216" w:lineRule="auto"/>
        <w:ind w:left="259"/>
        <w:jc w:val="left"/>
      </w:pPr>
      <w:r>
        <w:rPr>
          <w:rFonts w:ascii="Arial" w:hAnsi="Arial"/>
          <w:color w:val="525252"/>
          <w:sz w:val="13"/>
        </w:rPr>
        <w:t>Footwear.</w:t>
      </w:r>
    </w:p>
    <w:p>
      <w:pPr>
        <w:spacing w:after="20" w:line="223" w:lineRule="auto"/>
        <w:jc w:val="right"/>
        <w:bidi/>
      </w:pPr>
      <w:r>
        <w:rPr>
          <w:rFonts w:ascii="Arial" w:hAnsi="Arial"/>
          <w:sz w:val="16"/>
        </w:rPr>
        <w:t>464.44  برای ساییدگی و توضیحات به DAFI ۳۶-۲۹۰۳، پاراگراف‌های ۷.۴.۱.۲، ۷.۴.۱.۴ تا ۷.۴.۱.۷ مراجعه کنید.</w:t>
      </w:r>
    </w:p>
    <w:p>
      <w:pPr>
        <w:spacing w:after="28" w:line="216" w:lineRule="auto"/>
        <w:ind w:left="259"/>
        <w:jc w:val="left"/>
      </w:pPr>
      <w:r>
        <w:rPr>
          <w:rFonts w:ascii="Arial" w:hAnsi="Arial"/>
          <w:color w:val="525252"/>
          <w:sz w:val="13"/>
        </w:rPr>
        <w:t>For wear and description see DAFI 36-2903, paragraphs 7.4.1.2, 7.4.1.4 through 7.4.1.7.</w:t>
      </w:r>
    </w:p>
    <w:p>
      <w:pPr>
        <w:spacing w:after="20" w:line="223" w:lineRule="auto"/>
        <w:jc w:val="right"/>
        <w:bidi/>
      </w:pPr>
      <w:r>
        <w:rPr>
          <w:rFonts w:ascii="Arial" w:hAnsi="Arial"/>
          <w:sz w:val="16"/>
        </w:rPr>
        <w:t>464.45  لباس فرم خدمات بارداری (کلاس ا و کلاس ب).</w:t>
      </w:r>
    </w:p>
    <w:p>
      <w:pPr>
        <w:spacing w:after="28" w:line="216" w:lineRule="auto"/>
        <w:ind w:left="259"/>
        <w:jc w:val="left"/>
      </w:pPr>
      <w:r>
        <w:rPr>
          <w:rFonts w:ascii="Arial" w:hAnsi="Arial"/>
          <w:color w:val="525252"/>
          <w:sz w:val="13"/>
        </w:rPr>
        <w:t>Maternity Service Dress Uniform (Class A and Class B).</w:t>
      </w:r>
    </w:p>
    <w:p>
      <w:pPr>
        <w:spacing w:after="20" w:line="223" w:lineRule="auto"/>
        <w:jc w:val="right"/>
        <w:bidi/>
      </w:pPr>
      <w:r>
        <w:rPr>
          <w:rFonts w:ascii="Arial" w:hAnsi="Arial"/>
          <w:sz w:val="16"/>
        </w:rPr>
        <w:t>464.46  یونیفرم لباس خدمات بارداری کلاس ا با بلوز بارداری آستین بلند آبی پوشیده می‌شود (چروک‌های نظامی مجاز نیستند).</w:t>
      </w:r>
    </w:p>
    <w:p>
      <w:pPr>
        <w:spacing w:after="28" w:line="216" w:lineRule="auto"/>
        <w:ind w:left="259"/>
        <w:jc w:val="left"/>
      </w:pPr>
      <w:r>
        <w:rPr>
          <w:rFonts w:ascii="Arial" w:hAnsi="Arial"/>
          <w:color w:val="525252"/>
          <w:sz w:val="13"/>
        </w:rPr>
        <w:t>The Class A maternity service dress uniform will be worn with the blue long sleeved maternity blouse (military creases not authorized).</w:t>
      </w:r>
    </w:p>
    <w:p>
      <w:pPr>
        <w:spacing w:after="20" w:line="223" w:lineRule="auto"/>
        <w:jc w:val="right"/>
        <w:bidi/>
      </w:pPr>
      <w:r>
        <w:rPr>
          <w:rFonts w:ascii="Arial" w:hAnsi="Arial"/>
          <w:sz w:val="16"/>
        </w:rPr>
        <w:t>464.47  جامپر بارداری را می‌توان به‌عنوان یونیفرم کلاس ب پوشید (شکل ۲۳.۳۴).</w:t>
      </w:r>
    </w:p>
    <w:p>
      <w:pPr>
        <w:spacing w:after="28" w:line="216" w:lineRule="auto"/>
        <w:ind w:left="259"/>
        <w:jc w:val="left"/>
      </w:pPr>
      <w:r>
        <w:rPr>
          <w:rFonts w:ascii="Arial" w:hAnsi="Arial"/>
          <w:color w:val="525252"/>
          <w:sz w:val="13"/>
        </w:rPr>
        <w:t>The maternity jumper can be worn as the Class B uniform (Figure 23.34).</w:t>
      </w:r>
    </w:p>
    <w:p>
      <w:pPr>
        <w:spacing w:after="20" w:line="223" w:lineRule="auto"/>
        <w:jc w:val="right"/>
        <w:bidi/>
      </w:pPr>
      <w:r>
        <w:rPr>
          <w:rFonts w:ascii="Arial" w:hAnsi="Arial"/>
          <w:sz w:val="16"/>
        </w:rPr>
        <w:t>464.48  اگر سرویس زایمان</w:t>
      </w:r>
    </w:p>
    <w:p>
      <w:pPr>
        <w:spacing w:after="28" w:line="216" w:lineRule="auto"/>
        <w:ind w:left="259"/>
        <w:jc w:val="left"/>
      </w:pPr>
      <w:r>
        <w:rPr>
          <w:rFonts w:ascii="Arial" w:hAnsi="Arial"/>
          <w:color w:val="525252"/>
          <w:sz w:val="13"/>
        </w:rPr>
        <w:t>If the maternity service</w:t>
      </w:r>
    </w:p>
    <w:p>
      <w:r>
        <w:br w:type="page"/>
      </w:r>
    </w:p>
    <w:p>
      <w:pPr>
        <w:spacing w:after="60"/>
        <w:jc w:val="right"/>
        <w:bidi/>
      </w:pPr>
      <w:r>
        <w:rPr>
          <w:rFonts w:ascii="Arial" w:hAnsi="Arial"/>
          <w:b/>
          <w:color w:val="1F4D78"/>
          <w:sz w:val="19"/>
        </w:rPr>
        <w:t>هفتهٔ 465  |  صفحهٔ منبع: 481</w:t>
      </w:r>
    </w:p>
    <w:p>
      <w:pPr>
        <w:spacing w:after="20" w:line="223" w:lineRule="auto"/>
        <w:jc w:val="right"/>
        <w:bidi/>
      </w:pPr>
      <w:r>
        <w:rPr>
          <w:rFonts w:ascii="Arial" w:hAnsi="Arial"/>
          <w:sz w:val="16"/>
        </w:rPr>
        <w:t>465.01  به‌عنوان یونیفرم کلاس ب پوشیده می‌شود، با بلوز بارداری آستین کوتاه آبی پوشیده می‌شود.</w:t>
      </w:r>
    </w:p>
    <w:p>
      <w:pPr>
        <w:spacing w:after="28" w:line="216" w:lineRule="auto"/>
        <w:ind w:left="259"/>
        <w:jc w:val="left"/>
      </w:pPr>
      <w:r>
        <w:rPr>
          <w:rFonts w:ascii="Arial" w:hAnsi="Arial"/>
          <w:color w:val="525252"/>
          <w:sz w:val="13"/>
        </w:rPr>
        <w:t>dress jumper is worn as the Class B uniform, it will be worn with the blue short sleeved maternity blouse.</w:t>
      </w:r>
    </w:p>
    <w:p>
      <w:pPr>
        <w:spacing w:after="20" w:line="223" w:lineRule="auto"/>
        <w:jc w:val="right"/>
        <w:bidi/>
      </w:pPr>
      <w:r>
        <w:rPr>
          <w:rFonts w:ascii="Arial" w:hAnsi="Arial"/>
          <w:sz w:val="16"/>
        </w:rPr>
        <w:t>465.02  جامپر حاملگی همانند جامپر لباس مخصوص بارداری پیکربندی شده است.</w:t>
      </w:r>
    </w:p>
    <w:p>
      <w:pPr>
        <w:spacing w:after="28" w:line="216" w:lineRule="auto"/>
        <w:ind w:left="259"/>
        <w:jc w:val="left"/>
      </w:pPr>
      <w:r>
        <w:rPr>
          <w:rFonts w:ascii="Arial" w:hAnsi="Arial"/>
          <w:color w:val="525252"/>
          <w:sz w:val="13"/>
        </w:rPr>
        <w:t>The maternity jumper is configured the same as the maternity service dress uniform jumper.</w:t>
      </w:r>
    </w:p>
    <w:p>
      <w:pPr>
        <w:spacing w:after="20" w:line="223" w:lineRule="auto"/>
        <w:jc w:val="right"/>
        <w:bidi/>
      </w:pPr>
      <w:r>
        <w:rPr>
          <w:rFonts w:ascii="Arial" w:hAnsi="Arial"/>
          <w:sz w:val="16"/>
        </w:rPr>
        <w:t>465.03  جامپر لباس بارداری آبی رنگ کوتاهتر از بالای کاسه زانو یا بلندتر از پایین کاسه زانو نخواهد بود.</w:t>
      </w:r>
    </w:p>
    <w:p>
      <w:pPr>
        <w:spacing w:after="28" w:line="216" w:lineRule="auto"/>
        <w:ind w:left="259"/>
        <w:jc w:val="left"/>
      </w:pPr>
      <w:r>
        <w:rPr>
          <w:rFonts w:ascii="Arial" w:hAnsi="Arial"/>
          <w:color w:val="525252"/>
          <w:sz w:val="13"/>
        </w:rPr>
        <w:t>The blue maternity service dress jumper will be no shorter than the top of the kneecap or longer than the bottom of the kneecap.</w:t>
      </w:r>
    </w:p>
    <w:p>
      <w:pPr>
        <w:spacing w:after="20" w:line="223" w:lineRule="auto"/>
        <w:jc w:val="right"/>
        <w:bidi/>
      </w:pPr>
      <w:r>
        <w:rPr>
          <w:rFonts w:ascii="Arial" w:hAnsi="Arial"/>
          <w:sz w:val="16"/>
        </w:rPr>
        <w:t>465.04  شلوارهای بارداری (کلاس ب).</w:t>
      </w:r>
    </w:p>
    <w:p>
      <w:pPr>
        <w:spacing w:after="28" w:line="216" w:lineRule="auto"/>
        <w:ind w:left="259"/>
        <w:jc w:val="left"/>
      </w:pPr>
      <w:r>
        <w:rPr>
          <w:rFonts w:ascii="Arial" w:hAnsi="Arial"/>
          <w:color w:val="525252"/>
          <w:sz w:val="13"/>
        </w:rPr>
        <w:t>Maternity Slacks (Class B).</w:t>
      </w:r>
    </w:p>
    <w:p>
      <w:pPr>
        <w:spacing w:after="20" w:line="223" w:lineRule="auto"/>
        <w:jc w:val="right"/>
        <w:bidi/>
      </w:pPr>
      <w:r>
        <w:rPr>
          <w:rFonts w:ascii="Arial" w:hAnsi="Arial"/>
          <w:sz w:val="16"/>
        </w:rPr>
        <w:t>465.05  شلوارهای شلوار آبی تیره با پانل توسعه خواهند بود.</w:t>
      </w:r>
    </w:p>
    <w:p>
      <w:pPr>
        <w:spacing w:after="28" w:line="216" w:lineRule="auto"/>
        <w:ind w:left="259"/>
        <w:jc w:val="left"/>
      </w:pPr>
      <w:r>
        <w:rPr>
          <w:rFonts w:ascii="Arial" w:hAnsi="Arial"/>
          <w:color w:val="525252"/>
          <w:sz w:val="13"/>
        </w:rPr>
        <w:t>Slacks will be dark blue with expansion panel.</w:t>
      </w:r>
    </w:p>
    <w:p>
      <w:pPr>
        <w:spacing w:after="20" w:line="223" w:lineRule="auto"/>
        <w:jc w:val="right"/>
        <w:bidi/>
      </w:pPr>
      <w:r>
        <w:rPr>
          <w:rFonts w:ascii="Arial" w:hAnsi="Arial"/>
          <w:sz w:val="16"/>
        </w:rPr>
        <w:t>465.06  دامن بارداری (کلاس ب).</w:t>
      </w:r>
    </w:p>
    <w:p>
      <w:pPr>
        <w:spacing w:after="28" w:line="216" w:lineRule="auto"/>
        <w:ind w:left="259"/>
        <w:jc w:val="left"/>
      </w:pPr>
      <w:r>
        <w:rPr>
          <w:rFonts w:ascii="Arial" w:hAnsi="Arial"/>
          <w:color w:val="525252"/>
          <w:sz w:val="13"/>
        </w:rPr>
        <w:t>Maternity Skirt (Class B).</w:t>
      </w:r>
    </w:p>
    <w:p>
      <w:pPr>
        <w:spacing w:after="20" w:line="223" w:lineRule="auto"/>
        <w:jc w:val="right"/>
        <w:bidi/>
      </w:pPr>
      <w:r>
        <w:rPr>
          <w:rFonts w:ascii="Arial" w:hAnsi="Arial"/>
          <w:sz w:val="16"/>
        </w:rPr>
        <w:t>465.07  دامن آبی تیره (پلی استر سرژ) با پنل انبساط.</w:t>
      </w:r>
    </w:p>
    <w:p>
      <w:pPr>
        <w:spacing w:after="28" w:line="216" w:lineRule="auto"/>
        <w:ind w:left="259"/>
        <w:jc w:val="left"/>
      </w:pPr>
      <w:r>
        <w:rPr>
          <w:rFonts w:ascii="Arial" w:hAnsi="Arial"/>
          <w:color w:val="525252"/>
          <w:sz w:val="13"/>
        </w:rPr>
        <w:t>Dark blue (polyester serge) skirt with expansion panel.</w:t>
      </w:r>
    </w:p>
    <w:p>
      <w:pPr>
        <w:spacing w:after="20" w:line="223" w:lineRule="auto"/>
        <w:jc w:val="right"/>
        <w:bidi/>
      </w:pPr>
      <w:r>
        <w:rPr>
          <w:rFonts w:ascii="Arial" w:hAnsi="Arial"/>
          <w:sz w:val="16"/>
        </w:rPr>
        <w:t>465.08  کفش.</w:t>
      </w:r>
    </w:p>
    <w:p>
      <w:pPr>
        <w:spacing w:after="28" w:line="216" w:lineRule="auto"/>
        <w:ind w:left="259"/>
        <w:jc w:val="left"/>
      </w:pPr>
      <w:r>
        <w:rPr>
          <w:rFonts w:ascii="Arial" w:hAnsi="Arial"/>
          <w:color w:val="525252"/>
          <w:sz w:val="13"/>
        </w:rPr>
        <w:t>Footwear.</w:t>
      </w:r>
    </w:p>
    <w:p>
      <w:pPr>
        <w:spacing w:after="20" w:line="223" w:lineRule="auto"/>
        <w:jc w:val="right"/>
        <w:bidi/>
      </w:pPr>
      <w:r>
        <w:rPr>
          <w:rFonts w:ascii="Arial" w:hAnsi="Arial"/>
          <w:sz w:val="16"/>
        </w:rPr>
        <w:t>465.09  برای ساییدگی و توضیحات به DAFI ۳۶-۲۹۰۳، پاراگراف‌های ۷.۴.۱.۲، ۷.۴.۱.۴ مراجعه کنید. از طریق ۷.۴.۱.۷.</w:t>
      </w:r>
    </w:p>
    <w:p>
      <w:pPr>
        <w:spacing w:after="28" w:line="216" w:lineRule="auto"/>
        <w:ind w:left="259"/>
        <w:jc w:val="left"/>
      </w:pPr>
      <w:r>
        <w:rPr>
          <w:rFonts w:ascii="Arial" w:hAnsi="Arial"/>
          <w:color w:val="525252"/>
          <w:sz w:val="13"/>
        </w:rPr>
        <w:t>For wear and description see DAFI 36-2903, paragraphs 7.4.1.2, 7.4.1.4. through 7.4.1.7.</w:t>
      </w:r>
    </w:p>
    <w:p>
      <w:pPr>
        <w:spacing w:after="20" w:line="223" w:lineRule="auto"/>
        <w:jc w:val="right"/>
        <w:bidi/>
      </w:pPr>
      <w:r>
        <w:rPr>
          <w:rFonts w:ascii="Arial" w:hAnsi="Arial"/>
          <w:sz w:val="16"/>
        </w:rPr>
        <w:t>465.10  لباس فرم لباس زایمان (کلاس ا و کلاس ب).</w:t>
      </w:r>
    </w:p>
    <w:p>
      <w:pPr>
        <w:spacing w:after="28" w:line="216" w:lineRule="auto"/>
        <w:ind w:left="259"/>
        <w:jc w:val="left"/>
      </w:pPr>
      <w:r>
        <w:rPr>
          <w:rFonts w:ascii="Arial" w:hAnsi="Arial"/>
          <w:color w:val="525252"/>
          <w:sz w:val="13"/>
        </w:rPr>
        <w:t>Maternity Service Dress Uniform (Class A and Class B) Accoutrements.</w:t>
      </w:r>
    </w:p>
    <w:p>
      <w:pPr>
        <w:spacing w:after="20" w:line="223" w:lineRule="auto"/>
        <w:jc w:val="right"/>
        <w:bidi/>
      </w:pPr>
      <w:r>
        <w:rPr>
          <w:rFonts w:ascii="Arial" w:hAnsi="Arial"/>
          <w:sz w:val="16"/>
        </w:rPr>
        <w:t>465.11  نامتگ.</w:t>
      </w:r>
    </w:p>
    <w:p>
      <w:pPr>
        <w:spacing w:after="28" w:line="216" w:lineRule="auto"/>
        <w:ind w:left="259"/>
        <w:jc w:val="left"/>
      </w:pPr>
      <w:r>
        <w:rPr>
          <w:rFonts w:ascii="Arial" w:hAnsi="Arial"/>
          <w:color w:val="525252"/>
          <w:sz w:val="13"/>
        </w:rPr>
        <w:t>Nametag.</w:t>
      </w:r>
    </w:p>
    <w:p>
      <w:pPr>
        <w:spacing w:after="20" w:line="223" w:lineRule="auto"/>
        <w:jc w:val="right"/>
        <w:bidi/>
      </w:pPr>
      <w:r>
        <w:rPr>
          <w:rFonts w:ascii="Arial" w:hAnsi="Arial"/>
          <w:sz w:val="16"/>
        </w:rPr>
        <w:t>465.12  برچسب نام کلاس ا با حکاکی فلزی، روکش نقره ساتن برس خورده است که نام خانوادگی با حروف آبی حک شده است.</w:t>
      </w:r>
    </w:p>
    <w:p>
      <w:pPr>
        <w:spacing w:after="28" w:line="216" w:lineRule="auto"/>
        <w:ind w:left="259"/>
        <w:jc w:val="left"/>
      </w:pPr>
      <w:r>
        <w:rPr>
          <w:rFonts w:ascii="Arial" w:hAnsi="Arial"/>
          <w:color w:val="525252"/>
          <w:sz w:val="13"/>
        </w:rPr>
        <w:t>The Class A name tag is metal engraved, brushed satin silver finish with the last name engraved in blue lettering.</w:t>
      </w:r>
    </w:p>
    <w:p>
      <w:pPr>
        <w:spacing w:after="20" w:line="223" w:lineRule="auto"/>
        <w:jc w:val="right"/>
        <w:bidi/>
      </w:pPr>
      <w:r>
        <w:rPr>
          <w:rFonts w:ascii="Arial" w:hAnsi="Arial"/>
          <w:sz w:val="16"/>
        </w:rPr>
        <w:t>465.13  برچسب نام کلاس ب پلاستیک آبی خواهد بود که نام خانوادگی با حروف سفید حک شده است.</w:t>
      </w:r>
    </w:p>
    <w:p>
      <w:pPr>
        <w:spacing w:after="28" w:line="216" w:lineRule="auto"/>
        <w:ind w:left="259"/>
        <w:jc w:val="left"/>
      </w:pPr>
      <w:r>
        <w:rPr>
          <w:rFonts w:ascii="Arial" w:hAnsi="Arial"/>
          <w:color w:val="525252"/>
          <w:sz w:val="13"/>
        </w:rPr>
        <w:t>The Class B name tag will be blue plastic with the last name engraved in white lettering.</w:t>
      </w:r>
    </w:p>
    <w:p>
      <w:pPr>
        <w:spacing w:after="20" w:line="223" w:lineRule="auto"/>
        <w:jc w:val="right"/>
        <w:bidi/>
      </w:pPr>
      <w:r>
        <w:rPr>
          <w:rFonts w:ascii="Arial" w:hAnsi="Arial"/>
          <w:sz w:val="16"/>
        </w:rPr>
        <w:t>465.14  تگ نام در سمت راست کاربر قرار می‌گیرد، حتی در فاصله ۱ ½ اینچ بالاتر یا پایین‌تر از پایین یقه و جامپر.</w:t>
      </w:r>
    </w:p>
    <w:p>
      <w:pPr>
        <w:spacing w:after="28" w:line="216" w:lineRule="auto"/>
        <w:ind w:left="259"/>
        <w:jc w:val="left"/>
      </w:pPr>
      <w:r>
        <w:rPr>
          <w:rFonts w:ascii="Arial" w:hAnsi="Arial"/>
          <w:color w:val="525252"/>
          <w:sz w:val="13"/>
        </w:rPr>
        <w:t>The name tag will be centered on the wearer’s right even within 1 ½-inches higher or lower than the bottom of the V-neck of the jumper.</w:t>
      </w:r>
    </w:p>
    <w:p>
      <w:pPr>
        <w:spacing w:after="20" w:line="223" w:lineRule="auto"/>
        <w:jc w:val="right"/>
        <w:bidi/>
      </w:pPr>
      <w:r>
        <w:rPr>
          <w:rFonts w:ascii="Arial" w:hAnsi="Arial"/>
          <w:sz w:val="16"/>
        </w:rPr>
        <w:t>465.15  اگر روبان‌ها پوشیده شده باشند، پایین تگ نام با پایین روبان‌ها موازی می‌شود.</w:t>
      </w:r>
    </w:p>
    <w:p>
      <w:pPr>
        <w:spacing w:after="28" w:line="216" w:lineRule="auto"/>
        <w:ind w:left="259"/>
        <w:jc w:val="left"/>
      </w:pPr>
      <w:r>
        <w:rPr>
          <w:rFonts w:ascii="Arial" w:hAnsi="Arial"/>
          <w:color w:val="525252"/>
          <w:sz w:val="13"/>
        </w:rPr>
        <w:t>If ribbons are worn, the bottom of name tag will be parallel with bottom of ribbons.</w:t>
      </w:r>
    </w:p>
    <w:p>
      <w:pPr>
        <w:spacing w:after="20" w:line="223" w:lineRule="auto"/>
        <w:jc w:val="right"/>
        <w:bidi/>
      </w:pPr>
      <w:r>
        <w:rPr>
          <w:rFonts w:ascii="Arial" w:hAnsi="Arial"/>
          <w:sz w:val="16"/>
        </w:rPr>
        <w:t>465.16  اگر روبان‌ها پوشیده نشوند، برچسب نام در سمت راست پوشنده در فاصله ۱/۲ اینچ بالاتر یا زیر اولین دکمه در معرض نمایش قرار می‌گیرد.</w:t>
      </w:r>
    </w:p>
    <w:p>
      <w:pPr>
        <w:spacing w:after="28" w:line="216" w:lineRule="auto"/>
        <w:ind w:left="259"/>
        <w:jc w:val="left"/>
      </w:pPr>
      <w:r>
        <w:rPr>
          <w:rFonts w:ascii="Arial" w:hAnsi="Arial"/>
          <w:color w:val="525252"/>
          <w:sz w:val="13"/>
        </w:rPr>
        <w:t>If ribbons are not worn, the name tag will be centered on the wearer’s right within 1 1/2inches above or below the first exposed button.</w:t>
      </w:r>
    </w:p>
    <w:p>
      <w:pPr>
        <w:spacing w:after="20" w:line="223" w:lineRule="auto"/>
        <w:jc w:val="right"/>
        <w:bidi/>
      </w:pPr>
      <w:r>
        <w:rPr>
          <w:rFonts w:ascii="Arial" w:hAnsi="Arial"/>
          <w:sz w:val="16"/>
        </w:rPr>
        <w:t>465.17  یک برچسب نام آبی اپوکسی اختیاری ممکن است با لباس لباس کلاس ب پوشیده شود.</w:t>
      </w:r>
    </w:p>
    <w:p>
      <w:pPr>
        <w:spacing w:after="28" w:line="216" w:lineRule="auto"/>
        <w:ind w:left="259"/>
        <w:jc w:val="left"/>
      </w:pPr>
      <w:r>
        <w:rPr>
          <w:rFonts w:ascii="Arial" w:hAnsi="Arial"/>
          <w:color w:val="525252"/>
          <w:sz w:val="13"/>
        </w:rPr>
        <w:t>An optional epoxy blue name tag may be worn with the Class B service dress uniform.</w:t>
      </w:r>
    </w:p>
    <w:p>
      <w:pPr>
        <w:spacing w:after="20" w:line="223" w:lineRule="auto"/>
        <w:jc w:val="right"/>
        <w:bidi/>
      </w:pPr>
      <w:r>
        <w:rPr>
          <w:rFonts w:ascii="Arial" w:hAnsi="Arial"/>
          <w:sz w:val="16"/>
        </w:rPr>
        <w:t>465.18  نشان‌های وظیفه و پین نشان فرمان.</w:t>
      </w:r>
    </w:p>
    <w:p>
      <w:pPr>
        <w:spacing w:after="28" w:line="216" w:lineRule="auto"/>
        <w:ind w:left="259"/>
        <w:jc w:val="left"/>
      </w:pPr>
      <w:r>
        <w:rPr>
          <w:rFonts w:ascii="Arial" w:hAnsi="Arial"/>
          <w:color w:val="525252"/>
          <w:sz w:val="13"/>
        </w:rPr>
        <w:t>Duty Badges and Command Insignia Pin.</w:t>
      </w:r>
    </w:p>
    <w:p>
      <w:pPr>
        <w:spacing w:after="20" w:line="223" w:lineRule="auto"/>
        <w:jc w:val="right"/>
        <w:bidi/>
      </w:pPr>
      <w:r>
        <w:rPr>
          <w:rFonts w:ascii="Arial" w:hAnsi="Arial"/>
          <w:sz w:val="16"/>
        </w:rPr>
        <w:t>465.19  برای پوشیدن و توضیحات به DAFI ۳۶-۲۹۰۳، ۱۲.۳.۹ مراجعه کنید.</w:t>
      </w:r>
    </w:p>
    <w:p>
      <w:pPr>
        <w:spacing w:after="28" w:line="216" w:lineRule="auto"/>
        <w:ind w:left="259"/>
        <w:jc w:val="left"/>
      </w:pPr>
      <w:r>
        <w:rPr>
          <w:rFonts w:ascii="Arial" w:hAnsi="Arial"/>
          <w:color w:val="525252"/>
          <w:sz w:val="13"/>
        </w:rPr>
        <w:t>For wear and description see DAFI 36-2903, 12.3.9.</w:t>
      </w:r>
    </w:p>
    <w:p>
      <w:pPr>
        <w:spacing w:after="20" w:line="223" w:lineRule="auto"/>
        <w:jc w:val="right"/>
        <w:bidi/>
      </w:pPr>
      <w:r>
        <w:rPr>
          <w:rFonts w:ascii="Arial" w:hAnsi="Arial"/>
          <w:sz w:val="16"/>
        </w:rPr>
        <w:t>465.20  روبان.</w:t>
      </w:r>
    </w:p>
    <w:p>
      <w:pPr>
        <w:spacing w:after="28" w:line="216" w:lineRule="auto"/>
        <w:ind w:left="259"/>
        <w:jc w:val="left"/>
      </w:pPr>
      <w:r>
        <w:rPr>
          <w:rFonts w:ascii="Arial" w:hAnsi="Arial"/>
          <w:color w:val="525252"/>
          <w:sz w:val="13"/>
        </w:rPr>
        <w:t>Ribbons.</w:t>
      </w:r>
    </w:p>
    <w:p>
      <w:pPr>
        <w:spacing w:after="20" w:line="223" w:lineRule="auto"/>
        <w:jc w:val="right"/>
        <w:bidi/>
      </w:pPr>
      <w:r>
        <w:rPr>
          <w:rFonts w:ascii="Arial" w:hAnsi="Arial"/>
          <w:sz w:val="16"/>
        </w:rPr>
        <w:t>465.21  هوانوردان ممکن است همه، تعدادی یا بدون روبان و وسایل را بپوشند.</w:t>
      </w:r>
    </w:p>
    <w:p>
      <w:pPr>
        <w:spacing w:after="28" w:line="216" w:lineRule="auto"/>
        <w:ind w:left="259"/>
        <w:jc w:val="left"/>
      </w:pPr>
      <w:r>
        <w:rPr>
          <w:rFonts w:ascii="Arial" w:hAnsi="Arial"/>
          <w:color w:val="525252"/>
          <w:sz w:val="13"/>
        </w:rPr>
        <w:t>Airmen may wear all, some, or no ribbons and devices.</w:t>
      </w:r>
    </w:p>
    <w:p>
      <w:pPr>
        <w:spacing w:after="20" w:line="223" w:lineRule="auto"/>
        <w:jc w:val="right"/>
        <w:bidi/>
      </w:pPr>
      <w:r>
        <w:rPr>
          <w:rFonts w:ascii="Arial" w:hAnsi="Arial"/>
          <w:sz w:val="16"/>
        </w:rPr>
        <w:t>465.22  در صورت پوشیدن، نوارها را در مرکز سمت چپ پوشنده، موازی با زمین قرار دهید.</w:t>
      </w:r>
    </w:p>
    <w:p>
      <w:pPr>
        <w:spacing w:after="28" w:line="216" w:lineRule="auto"/>
        <w:ind w:left="259"/>
        <w:jc w:val="left"/>
      </w:pPr>
      <w:r>
        <w:rPr>
          <w:rFonts w:ascii="Arial" w:hAnsi="Arial"/>
          <w:color w:val="525252"/>
          <w:sz w:val="13"/>
        </w:rPr>
        <w:t>If worn, center ribbons on the wearer’s left, parallel with the ground.</w:t>
      </w:r>
    </w:p>
    <w:p>
      <w:pPr>
        <w:spacing w:after="20" w:line="223" w:lineRule="auto"/>
        <w:jc w:val="right"/>
        <w:bidi/>
      </w:pPr>
      <w:r>
        <w:rPr>
          <w:rFonts w:ascii="Arial" w:hAnsi="Arial"/>
          <w:sz w:val="16"/>
        </w:rPr>
        <w:t>465.23  پایین روبان‌ها را با پایین برچسب نام تراز کنید.</w:t>
      </w:r>
    </w:p>
    <w:p>
      <w:pPr>
        <w:spacing w:after="28" w:line="216" w:lineRule="auto"/>
        <w:ind w:left="259"/>
        <w:jc w:val="left"/>
      </w:pPr>
      <w:r>
        <w:rPr>
          <w:rFonts w:ascii="Arial" w:hAnsi="Arial"/>
          <w:color w:val="525252"/>
          <w:sz w:val="13"/>
        </w:rPr>
        <w:t>Align bottom of ribbons with the bottom of the name tag.</w:t>
      </w:r>
    </w:p>
    <w:p>
      <w:pPr>
        <w:spacing w:after="20" w:line="223" w:lineRule="auto"/>
        <w:jc w:val="right"/>
        <w:bidi/>
      </w:pPr>
      <w:r>
        <w:rPr>
          <w:rFonts w:ascii="Arial" w:hAnsi="Arial"/>
          <w:sz w:val="16"/>
        </w:rPr>
        <w:t>465.24  نشان‌ها و تزیینات خارجی یا مدال‌های روی یونیفورم لباس خدمات بارداری مجاز است، با این حال، اعضا باید درخواست/دریافت مجوز برای پوشیدن تزئینات خارجی مورد قبول خود را دریافت کنند (به DAFMAN ۳۶-۲۸۰۶، جوایز نظامی: معیارها و رویه‌ها، در مورد پذیرش مراجعه کنید).</w:t>
      </w:r>
    </w:p>
    <w:p>
      <w:pPr>
        <w:spacing w:after="28" w:line="216" w:lineRule="auto"/>
        <w:ind w:left="259"/>
        <w:jc w:val="left"/>
      </w:pPr>
      <w:r>
        <w:rPr>
          <w:rFonts w:ascii="Arial" w:hAnsi="Arial"/>
          <w:color w:val="525252"/>
          <w:sz w:val="13"/>
        </w:rPr>
        <w:t>Foreign badges and decorations or medals on the maternity service dress uniform are authorized, however, members must request/receive permission to wear foreign decorations they accept (refer to DAFMAN 36-2806, Military Awards: Criteria and Procedures, regarding acceptance).</w:t>
      </w:r>
    </w:p>
    <w:p>
      <w:pPr>
        <w:spacing w:after="20" w:line="223" w:lineRule="auto"/>
        <w:jc w:val="right"/>
        <w:bidi/>
      </w:pPr>
      <w:r>
        <w:rPr>
          <w:rFonts w:ascii="Arial" w:hAnsi="Arial"/>
          <w:sz w:val="16"/>
        </w:rPr>
        <w:t>465.25  معیارهای پوشیدن بستگی به نوع وسیله‌ای دارد که دکوراسیون نشان دهنده آن است.</w:t>
      </w:r>
    </w:p>
    <w:p>
      <w:pPr>
        <w:spacing w:after="28" w:line="216" w:lineRule="auto"/>
        <w:ind w:left="259"/>
        <w:jc w:val="left"/>
      </w:pPr>
      <w:r>
        <w:rPr>
          <w:rFonts w:ascii="Arial" w:hAnsi="Arial"/>
          <w:color w:val="525252"/>
          <w:sz w:val="13"/>
        </w:rPr>
        <w:t>Wear criteria depends on the type of device the decoration represents.</w:t>
      </w:r>
    </w:p>
    <w:p>
      <w:pPr>
        <w:spacing w:after="20" w:line="223" w:lineRule="auto"/>
        <w:jc w:val="right"/>
        <w:bidi/>
      </w:pPr>
      <w:r>
        <w:rPr>
          <w:rFonts w:ascii="Arial" w:hAnsi="Arial"/>
          <w:sz w:val="16"/>
        </w:rPr>
        <w:t>465.26  در صورتی که روبان‌های خارجی هم اندازه روبان‌های نیروی هوایی باشند، ممکن است روی لباس خدمات (کلاس ب) استفاده شود.</w:t>
      </w:r>
    </w:p>
    <w:p>
      <w:pPr>
        <w:spacing w:after="28" w:line="216" w:lineRule="auto"/>
        <w:ind w:left="259"/>
        <w:jc w:val="left"/>
      </w:pPr>
      <w:r>
        <w:rPr>
          <w:rFonts w:ascii="Arial" w:hAnsi="Arial"/>
          <w:color w:val="525252"/>
          <w:sz w:val="13"/>
        </w:rPr>
        <w:t>Foreign ribbons may be worn on the service (Class B) uniform if they are the same size as Air Force ribbons.</w:t>
      </w:r>
    </w:p>
    <w:p>
      <w:pPr>
        <w:spacing w:after="20" w:line="223" w:lineRule="auto"/>
        <w:jc w:val="right"/>
        <w:bidi/>
      </w:pPr>
      <w:r>
        <w:rPr>
          <w:rFonts w:ascii="Arial" w:hAnsi="Arial"/>
          <w:sz w:val="16"/>
        </w:rPr>
        <w:t>465.27  زبانه کراوات.</w:t>
      </w:r>
    </w:p>
    <w:p>
      <w:pPr>
        <w:spacing w:after="28" w:line="216" w:lineRule="auto"/>
        <w:ind w:left="259"/>
        <w:jc w:val="left"/>
      </w:pPr>
      <w:r>
        <w:rPr>
          <w:rFonts w:ascii="Arial" w:hAnsi="Arial"/>
          <w:color w:val="525252"/>
          <w:sz w:val="13"/>
        </w:rPr>
        <w:t>Tie Tab.</w:t>
      </w:r>
    </w:p>
    <w:p>
      <w:pPr>
        <w:spacing w:after="20" w:line="223" w:lineRule="auto"/>
        <w:jc w:val="right"/>
        <w:bidi/>
      </w:pPr>
      <w:r>
        <w:rPr>
          <w:rFonts w:ascii="Arial" w:hAnsi="Arial"/>
          <w:sz w:val="16"/>
        </w:rPr>
        <w:t>465.28  زبانه کراوات وارونه ساتن آبی با دم‌های خودبسته الزامی است.</w:t>
      </w:r>
    </w:p>
    <w:p>
      <w:pPr>
        <w:spacing w:after="28" w:line="216" w:lineRule="auto"/>
        <w:ind w:left="259"/>
        <w:jc w:val="left"/>
      </w:pPr>
      <w:r>
        <w:rPr>
          <w:rFonts w:ascii="Arial" w:hAnsi="Arial"/>
          <w:color w:val="525252"/>
          <w:sz w:val="13"/>
        </w:rPr>
        <w:t>The blue satin inverted-V tie tab with self-fastening tails is mandatory.</w:t>
      </w:r>
    </w:p>
    <w:p>
      <w:pPr>
        <w:spacing w:after="20" w:line="223" w:lineRule="auto"/>
        <w:jc w:val="right"/>
        <w:bidi/>
      </w:pPr>
      <w:r>
        <w:rPr>
          <w:rFonts w:ascii="Arial" w:hAnsi="Arial"/>
          <w:sz w:val="16"/>
        </w:rPr>
        <w:t>465.29  سرآستین.</w:t>
      </w:r>
    </w:p>
    <w:p>
      <w:pPr>
        <w:spacing w:after="28" w:line="216" w:lineRule="auto"/>
        <w:ind w:left="259"/>
        <w:jc w:val="left"/>
      </w:pPr>
      <w:r>
        <w:rPr>
          <w:rFonts w:ascii="Arial" w:hAnsi="Arial"/>
          <w:color w:val="525252"/>
          <w:sz w:val="13"/>
        </w:rPr>
        <w:t>Cuff Links.</w:t>
      </w:r>
    </w:p>
    <w:p>
      <w:pPr>
        <w:spacing w:after="20" w:line="223" w:lineRule="auto"/>
        <w:jc w:val="right"/>
        <w:bidi/>
      </w:pPr>
      <w:r>
        <w:rPr>
          <w:rFonts w:ascii="Arial" w:hAnsi="Arial"/>
          <w:sz w:val="16"/>
        </w:rPr>
        <w:t>465.30  دکمه سرآستین با یونیفرم لباس خدمات بارداری اختیاری است.</w:t>
      </w:r>
    </w:p>
    <w:p>
      <w:pPr>
        <w:spacing w:after="28" w:line="216" w:lineRule="auto"/>
        <w:ind w:left="259"/>
        <w:jc w:val="left"/>
      </w:pPr>
      <w:r>
        <w:rPr>
          <w:rFonts w:ascii="Arial" w:hAnsi="Arial"/>
          <w:color w:val="525252"/>
          <w:sz w:val="13"/>
        </w:rPr>
        <w:t>Cuff links are optional with the maternity service dress uniform.</w:t>
      </w:r>
    </w:p>
    <w:p>
      <w:pPr>
        <w:spacing w:after="20" w:line="223" w:lineRule="auto"/>
        <w:jc w:val="right"/>
        <w:bidi/>
      </w:pPr>
      <w:r>
        <w:rPr>
          <w:rFonts w:ascii="Arial" w:hAnsi="Arial"/>
          <w:sz w:val="16"/>
        </w:rPr>
        <w:t>465.31  اگر پوشیده شوند، یا نقره‌ای، ساتن و یا با طرح "بال و ستاره" بسیار جلا داده می‌شوند. نقره‌ای، بسیار جلا داده شده با نماد AF؛ یا نقره‌ای ساده، بسیار صیقلی، طراحی تجاری با ابعاد و شکلی شبیه به سرآستین "بال و ستاره".</w:t>
      </w:r>
    </w:p>
    <w:p>
      <w:pPr>
        <w:spacing w:after="28" w:line="216" w:lineRule="auto"/>
        <w:ind w:left="259"/>
        <w:jc w:val="left"/>
      </w:pPr>
      <w:r>
        <w:rPr>
          <w:rFonts w:ascii="Arial" w:hAnsi="Arial"/>
          <w:color w:val="525252"/>
          <w:sz w:val="13"/>
        </w:rPr>
        <w:t>If worn, they will either be silver, satin finish or highly polished with the “wing and star” design; silver, highly polished with the AF symbol; or plain silver, highly polished, commercial design with dimensions and shape similar to the “wing and star” cuff links.</w:t>
      </w:r>
    </w:p>
    <w:p>
      <w:pPr>
        <w:spacing w:after="20" w:line="223" w:lineRule="auto"/>
        <w:jc w:val="right"/>
        <w:bidi/>
      </w:pPr>
      <w:r>
        <w:rPr>
          <w:rFonts w:ascii="Arial" w:hAnsi="Arial"/>
          <w:sz w:val="16"/>
        </w:rPr>
        <w:t>465.32  نشان درجه افسری.</w:t>
      </w:r>
    </w:p>
    <w:p>
      <w:pPr>
        <w:spacing w:after="28" w:line="216" w:lineRule="auto"/>
        <w:ind w:left="259"/>
        <w:jc w:val="left"/>
      </w:pPr>
      <w:r>
        <w:rPr>
          <w:rFonts w:ascii="Arial" w:hAnsi="Arial"/>
          <w:color w:val="525252"/>
          <w:sz w:val="13"/>
        </w:rPr>
        <w:t>Officer Rank Insignia.</w:t>
      </w:r>
    </w:p>
    <w:p>
      <w:pPr>
        <w:spacing w:after="20" w:line="223" w:lineRule="auto"/>
        <w:jc w:val="right"/>
        <w:bidi/>
      </w:pPr>
      <w:r>
        <w:rPr>
          <w:rFonts w:ascii="Arial" w:hAnsi="Arial"/>
          <w:sz w:val="16"/>
        </w:rPr>
        <w:t>465.33  افسران از نشان‌های علامت شانه استفاده می‌کنند.</w:t>
      </w:r>
    </w:p>
    <w:p>
      <w:pPr>
        <w:spacing w:after="28" w:line="216" w:lineRule="auto"/>
        <w:ind w:left="259"/>
        <w:jc w:val="left"/>
      </w:pPr>
      <w:r>
        <w:rPr>
          <w:rFonts w:ascii="Arial" w:hAnsi="Arial"/>
          <w:color w:val="525252"/>
          <w:sz w:val="13"/>
        </w:rPr>
        <w:t>Officers wear shoulder mark insignia.</w:t>
      </w:r>
    </w:p>
    <w:p>
      <w:pPr>
        <w:spacing w:after="20" w:line="223" w:lineRule="auto"/>
        <w:jc w:val="right"/>
        <w:bidi/>
      </w:pPr>
      <w:r>
        <w:rPr>
          <w:rFonts w:ascii="Arial" w:hAnsi="Arial"/>
          <w:sz w:val="16"/>
        </w:rPr>
        <w:t>465.34  علائم علامت شانه را تا حد امکان نزدیک به درز شانه قرار دهید.</w:t>
      </w:r>
    </w:p>
    <w:p>
      <w:pPr>
        <w:spacing w:after="28" w:line="216" w:lineRule="auto"/>
        <w:ind w:left="259"/>
        <w:jc w:val="left"/>
      </w:pPr>
      <w:r>
        <w:rPr>
          <w:rFonts w:ascii="Arial" w:hAnsi="Arial"/>
          <w:color w:val="525252"/>
          <w:sz w:val="13"/>
        </w:rPr>
        <w:t>Place shoulder mark insignia as close as possible to shoulder seam.</w:t>
      </w:r>
    </w:p>
    <w:p>
      <w:pPr>
        <w:spacing w:after="20" w:line="223" w:lineRule="auto"/>
        <w:jc w:val="right"/>
        <w:bidi/>
      </w:pPr>
      <w:r>
        <w:rPr>
          <w:rFonts w:ascii="Arial" w:hAnsi="Arial"/>
          <w:sz w:val="16"/>
        </w:rPr>
        <w:t>465.35  دستبند بلوز دکمه‌ای روی جامپر.</w:t>
      </w:r>
    </w:p>
    <w:p>
      <w:pPr>
        <w:spacing w:after="28" w:line="216" w:lineRule="auto"/>
        <w:ind w:left="259"/>
        <w:jc w:val="left"/>
      </w:pPr>
      <w:r>
        <w:rPr>
          <w:rFonts w:ascii="Arial" w:hAnsi="Arial"/>
          <w:color w:val="525252"/>
          <w:sz w:val="13"/>
        </w:rPr>
        <w:t>Button blouse epaulets over jumper.</w:t>
      </w:r>
    </w:p>
    <w:p>
      <w:pPr>
        <w:spacing w:after="20" w:line="223" w:lineRule="auto"/>
        <w:jc w:val="right"/>
        <w:bidi/>
      </w:pPr>
      <w:r>
        <w:rPr>
          <w:rFonts w:ascii="Arial" w:hAnsi="Arial"/>
          <w:sz w:val="16"/>
        </w:rPr>
        <w:t>465.36  نشان ثبت‌نام.</w:t>
      </w:r>
    </w:p>
    <w:p>
      <w:pPr>
        <w:spacing w:after="28" w:line="216" w:lineRule="auto"/>
        <w:ind w:left="259"/>
        <w:jc w:val="left"/>
      </w:pPr>
      <w:r>
        <w:rPr>
          <w:rFonts w:ascii="Arial" w:hAnsi="Arial"/>
          <w:color w:val="525252"/>
          <w:sz w:val="13"/>
        </w:rPr>
        <w:t>Enlisted Insignia.</w:t>
      </w:r>
    </w:p>
    <w:p>
      <w:pPr>
        <w:spacing w:after="20" w:line="223" w:lineRule="auto"/>
        <w:jc w:val="right"/>
        <w:bidi/>
      </w:pPr>
      <w:r>
        <w:rPr>
          <w:rFonts w:ascii="Arial" w:hAnsi="Arial"/>
          <w:sz w:val="16"/>
        </w:rPr>
        <w:t>465.37  هنگام خم شدن با زاویه ۹۰ درجه (پیراهن آستین بلند) یا لبه پایین آستین (آستین کوتاه) ۳ ۱/۲ یا ۴ اینچ رده شورون در مرکز بازو بیرونی بین درز شانه و آرنج قرار می‌گیرد.</w:t>
      </w:r>
    </w:p>
    <w:p>
      <w:pPr>
        <w:spacing w:after="28" w:line="216" w:lineRule="auto"/>
        <w:ind w:left="259"/>
        <w:jc w:val="left"/>
      </w:pPr>
      <w:r>
        <w:rPr>
          <w:rFonts w:ascii="Arial" w:hAnsi="Arial"/>
          <w:color w:val="525252"/>
          <w:sz w:val="13"/>
        </w:rPr>
        <w:t>Enlisted will wear either 3 1/2-inch or 4-inch chevron rank centered on the outer arm halfway between the shoulder seam and elbow when bent at a 90-degree angle (long sleeved-shirt) or bottom edge of the sleeve (short sleeved-shirt).</w:t>
      </w:r>
    </w:p>
    <w:p>
      <w:pPr>
        <w:spacing w:after="20" w:line="223" w:lineRule="auto"/>
        <w:jc w:val="right"/>
        <w:bidi/>
      </w:pPr>
      <w:r>
        <w:rPr>
          <w:rFonts w:ascii="Arial" w:hAnsi="Arial"/>
          <w:sz w:val="16"/>
        </w:rPr>
        <w:t>465.38  سرپوش.</w:t>
      </w:r>
    </w:p>
    <w:p>
      <w:pPr>
        <w:spacing w:after="28" w:line="216" w:lineRule="auto"/>
        <w:ind w:left="259"/>
        <w:jc w:val="left"/>
      </w:pPr>
      <w:r>
        <w:rPr>
          <w:rFonts w:ascii="Arial" w:hAnsi="Arial"/>
          <w:color w:val="525252"/>
          <w:sz w:val="13"/>
        </w:rPr>
        <w:t>Headgear.</w:t>
      </w:r>
    </w:p>
    <w:p>
      <w:pPr>
        <w:spacing w:after="20" w:line="223" w:lineRule="auto"/>
        <w:jc w:val="right"/>
        <w:bidi/>
      </w:pPr>
      <w:r>
        <w:rPr>
          <w:rFonts w:ascii="Arial" w:hAnsi="Arial"/>
          <w:sz w:val="16"/>
        </w:rPr>
        <w:t>465.39  تنها سرپوش مجاز، کلاه آبی زمستانی است.</w:t>
      </w:r>
    </w:p>
    <w:p>
      <w:pPr>
        <w:spacing w:after="28" w:line="216" w:lineRule="auto"/>
        <w:ind w:left="259"/>
        <w:jc w:val="left"/>
      </w:pPr>
      <w:r>
        <w:rPr>
          <w:rFonts w:ascii="Arial" w:hAnsi="Arial"/>
          <w:color w:val="525252"/>
          <w:sz w:val="13"/>
        </w:rPr>
        <w:t>The only authorized headgear is the blue winter cap.</w:t>
      </w:r>
    </w:p>
    <w:p>
      <w:pPr>
        <w:spacing w:after="20" w:line="223" w:lineRule="auto"/>
        <w:jc w:val="right"/>
        <w:bidi/>
      </w:pPr>
      <w:r>
        <w:rPr>
          <w:rFonts w:ascii="Arial" w:hAnsi="Arial"/>
          <w:sz w:val="16"/>
        </w:rPr>
        <w:t>465.40  کلاه آبی زمستانی فقط با یک لباس بیرونی تمام قد پوشیده می‌شود.</w:t>
      </w:r>
    </w:p>
    <w:p>
      <w:pPr>
        <w:spacing w:after="28" w:line="216" w:lineRule="auto"/>
        <w:ind w:left="259"/>
        <w:jc w:val="left"/>
      </w:pPr>
      <w:r>
        <w:rPr>
          <w:rFonts w:ascii="Arial" w:hAnsi="Arial"/>
          <w:color w:val="525252"/>
          <w:sz w:val="13"/>
        </w:rPr>
        <w:t>The blue winter cap will only be worn with a full-length outer garment.</w:t>
      </w:r>
    </w:p>
    <w:p>
      <w:pPr>
        <w:spacing w:after="20" w:line="223" w:lineRule="auto"/>
        <w:jc w:val="right"/>
        <w:bidi/>
      </w:pPr>
      <w:r>
        <w:rPr>
          <w:rFonts w:ascii="Arial" w:hAnsi="Arial"/>
          <w:sz w:val="16"/>
        </w:rPr>
        <w:t>465.41  برای ساییدگی و توضیحات به DAFI ۳۶-۲۹۰۳، بند ۷.۲.۶ مراجعه کنید.</w:t>
      </w:r>
    </w:p>
    <w:p>
      <w:pPr>
        <w:spacing w:after="28" w:line="216" w:lineRule="auto"/>
        <w:ind w:left="259"/>
        <w:jc w:val="left"/>
      </w:pPr>
      <w:r>
        <w:rPr>
          <w:rFonts w:ascii="Arial" w:hAnsi="Arial"/>
          <w:color w:val="525252"/>
          <w:sz w:val="13"/>
        </w:rPr>
        <w:t>For wear and description see DAFI 36-2903, paragraph 7.2.6.</w:t>
      </w:r>
    </w:p>
    <w:p>
      <w:pPr>
        <w:spacing w:after="20" w:line="223" w:lineRule="auto"/>
        <w:jc w:val="right"/>
        <w:bidi/>
      </w:pPr>
      <w:r>
        <w:rPr>
          <w:rFonts w:ascii="Arial" w:hAnsi="Arial"/>
          <w:sz w:val="16"/>
        </w:rPr>
        <w:t>465.42  لباس بیرونی.</w:t>
      </w:r>
    </w:p>
    <w:p>
      <w:pPr>
        <w:spacing w:after="28" w:line="216" w:lineRule="auto"/>
        <w:ind w:left="259"/>
        <w:jc w:val="left"/>
      </w:pPr>
      <w:r>
        <w:rPr>
          <w:rFonts w:ascii="Arial" w:hAnsi="Arial"/>
          <w:color w:val="525252"/>
          <w:sz w:val="13"/>
        </w:rPr>
        <w:t>Outer Garments.</w:t>
      </w:r>
    </w:p>
    <w:p>
      <w:pPr>
        <w:spacing w:after="20" w:line="223" w:lineRule="auto"/>
        <w:jc w:val="right"/>
        <w:bidi/>
      </w:pPr>
      <w:r>
        <w:rPr>
          <w:rFonts w:ascii="Arial" w:hAnsi="Arial"/>
          <w:sz w:val="16"/>
        </w:rPr>
        <w:t>465.43  برای ساییدگی و توضیحات به DAFI ۳۶-۲۹۰۳، بند ۷.۱.۵ مراجعه کنید.</w:t>
      </w:r>
    </w:p>
    <w:p>
      <w:pPr>
        <w:spacing w:after="28" w:line="216" w:lineRule="auto"/>
        <w:ind w:left="259"/>
        <w:jc w:val="left"/>
      </w:pPr>
      <w:r>
        <w:rPr>
          <w:rFonts w:ascii="Arial" w:hAnsi="Arial"/>
          <w:color w:val="525252"/>
          <w:sz w:val="13"/>
        </w:rPr>
        <w:t>For wear and description see DAFI 36-2903, paragraph 7.1.5.</w:t>
      </w:r>
    </w:p>
    <w:p>
      <w:pPr>
        <w:spacing w:after="20" w:line="223" w:lineRule="auto"/>
        <w:jc w:val="right"/>
        <w:bidi/>
      </w:pPr>
      <w:r>
        <w:rPr>
          <w:rFonts w:ascii="Arial" w:hAnsi="Arial"/>
          <w:sz w:val="16"/>
        </w:rPr>
        <w:t>465.44  لوازم جانبی.</w:t>
      </w:r>
    </w:p>
    <w:p>
      <w:pPr>
        <w:spacing w:after="28" w:line="216" w:lineRule="auto"/>
        <w:ind w:left="259"/>
        <w:jc w:val="left"/>
      </w:pPr>
      <w:r>
        <w:rPr>
          <w:rFonts w:ascii="Arial" w:hAnsi="Arial"/>
          <w:color w:val="525252"/>
          <w:sz w:val="13"/>
        </w:rPr>
        <w:t>Accessories.</w:t>
      </w:r>
    </w:p>
    <w:p>
      <w:pPr>
        <w:spacing w:after="20" w:line="223" w:lineRule="auto"/>
        <w:jc w:val="right"/>
        <w:bidi/>
      </w:pPr>
      <w:r>
        <w:rPr>
          <w:rFonts w:ascii="Arial" w:hAnsi="Arial"/>
          <w:sz w:val="16"/>
        </w:rPr>
        <w:t>465.45  لوازم جانبی پوشاک محافظه کارانه و ساده و بدون طرح و تزئین خواهند بود.</w:t>
      </w:r>
    </w:p>
    <w:p>
      <w:pPr>
        <w:spacing w:after="28" w:line="216" w:lineRule="auto"/>
        <w:ind w:left="259"/>
        <w:jc w:val="left"/>
      </w:pPr>
      <w:r>
        <w:rPr>
          <w:rFonts w:ascii="Arial" w:hAnsi="Arial"/>
          <w:color w:val="525252"/>
          <w:sz w:val="13"/>
        </w:rPr>
        <w:t>Garment accessories will be conservative and plain without design or ornamentation.</w:t>
      </w:r>
    </w:p>
    <w:p>
      <w:pPr>
        <w:spacing w:after="20" w:line="223" w:lineRule="auto"/>
        <w:jc w:val="right"/>
        <w:bidi/>
      </w:pPr>
      <w:r>
        <w:rPr>
          <w:rFonts w:ascii="Arial" w:hAnsi="Arial"/>
          <w:sz w:val="16"/>
        </w:rPr>
        <w:t>465.46  برای ساییدگی و توضیحات به DAFI ۳۶-۲۹۰۳، بند ۷.۳ مراجعه کنید.</w:t>
      </w:r>
    </w:p>
    <w:p>
      <w:pPr>
        <w:spacing w:after="28" w:line="216" w:lineRule="auto"/>
        <w:ind w:left="259"/>
        <w:jc w:val="left"/>
      </w:pPr>
      <w:r>
        <w:rPr>
          <w:rFonts w:ascii="Arial" w:hAnsi="Arial"/>
          <w:color w:val="525252"/>
          <w:sz w:val="13"/>
        </w:rPr>
        <w:t>For wear and description see DAFI 36-2903, paragraph 7.3.</w:t>
      </w:r>
    </w:p>
    <w:p>
      <w:pPr>
        <w:spacing w:after="20" w:line="223" w:lineRule="auto"/>
        <w:jc w:val="right"/>
        <w:bidi/>
      </w:pPr>
      <w:r>
        <w:rPr>
          <w:rFonts w:ascii="Arial" w:hAnsi="Arial"/>
          <w:sz w:val="16"/>
        </w:rPr>
        <w:t>465.47  کفش.</w:t>
      </w:r>
    </w:p>
    <w:p>
      <w:pPr>
        <w:spacing w:after="28" w:line="216" w:lineRule="auto"/>
        <w:ind w:left="259"/>
        <w:jc w:val="left"/>
      </w:pPr>
      <w:r>
        <w:rPr>
          <w:rFonts w:ascii="Arial" w:hAnsi="Arial"/>
          <w:color w:val="525252"/>
          <w:sz w:val="13"/>
        </w:rPr>
        <w:t>Footwear.</w:t>
      </w:r>
    </w:p>
    <w:p>
      <w:pPr>
        <w:spacing w:after="20" w:line="223" w:lineRule="auto"/>
        <w:jc w:val="right"/>
        <w:bidi/>
      </w:pPr>
      <w:r>
        <w:rPr>
          <w:rFonts w:ascii="Arial" w:hAnsi="Arial"/>
          <w:sz w:val="16"/>
        </w:rPr>
        <w:t>465.48  برای ساییدگی و توضیحات به DAFI ۳۶-۲۹۰۳، پاراگراف‌های ۷.۴.۱.۲، ۷.۴.۱.۴ تا ۷.۴.۱.۷ مراجعه کنید.</w:t>
      </w:r>
    </w:p>
    <w:p>
      <w:pPr>
        <w:spacing w:after="28" w:line="216" w:lineRule="auto"/>
        <w:ind w:left="259"/>
        <w:jc w:val="left"/>
      </w:pPr>
      <w:r>
        <w:rPr>
          <w:rFonts w:ascii="Arial" w:hAnsi="Arial"/>
          <w:color w:val="525252"/>
          <w:sz w:val="13"/>
        </w:rPr>
        <w:t>For wear and description see DAFI 36-2903, paragraphs 7.4.1.2, 7.4.1.4 through 7.4.1.7.</w:t>
      </w:r>
    </w:p>
    <w:p>
      <w:r>
        <w:br w:type="page"/>
      </w:r>
    </w:p>
    <w:p>
      <w:pPr>
        <w:spacing w:after="60"/>
        <w:jc w:val="right"/>
        <w:bidi/>
      </w:pPr>
      <w:r>
        <w:rPr>
          <w:rFonts w:ascii="Arial" w:hAnsi="Arial"/>
          <w:b/>
          <w:color w:val="1F4D78"/>
          <w:sz w:val="19"/>
        </w:rPr>
        <w:t>هفتهٔ 466  |  صفحهٔ منبع: 482</w:t>
      </w:r>
    </w:p>
    <w:p>
      <w:pPr>
        <w:spacing w:before="60" w:after="28"/>
        <w:jc w:val="right"/>
        <w:bidi/>
      </w:pPr>
      <w:r>
        <w:rPr>
          <w:b/>
          <w:color w:val="1F4D78"/>
          <w:sz w:val="18"/>
        </w:rPr>
        <w:t>شکل 23.32. یونیفرم لباس حاملگی</w:t>
      </w:r>
    </w:p>
    <w:p>
      <w:pPr>
        <w:spacing w:after="20"/>
        <w:ind w:left="259"/>
        <w:jc w:val="left"/>
      </w:pPr>
      <w:r>
        <w:rPr>
          <w:color w:val="555555"/>
          <w:sz w:val="12"/>
        </w:rPr>
        <w:t>Figure 23.32. Maternity Mess Dress Uniform</w:t>
      </w:r>
    </w:p>
    <w:p>
      <w:pPr>
        <w:spacing w:before="60" w:after="28"/>
        <w:jc w:val="right"/>
        <w:bidi/>
      </w:pPr>
      <w:r>
        <w:rPr>
          <w:b/>
          <w:color w:val="1F4D78"/>
          <w:sz w:val="18"/>
        </w:rPr>
        <w:t>شکل 23.33. یونیفرم لباس نیمه رسمی بارداری</w:t>
      </w:r>
    </w:p>
    <w:p>
      <w:pPr>
        <w:spacing w:after="20"/>
        <w:ind w:left="259"/>
        <w:jc w:val="left"/>
      </w:pPr>
      <w:r>
        <w:rPr>
          <w:color w:val="555555"/>
          <w:sz w:val="12"/>
        </w:rPr>
        <w:t>Figure 23.33. Maternity Semi-Formal Dress Uniform</w:t>
      </w:r>
    </w:p>
    <w:p>
      <w:r>
        <w:br w:type="page"/>
      </w:r>
    </w:p>
    <w:p>
      <w:pPr>
        <w:spacing w:after="60"/>
        <w:jc w:val="right"/>
        <w:bidi/>
      </w:pPr>
      <w:r>
        <w:rPr>
          <w:rFonts w:ascii="Arial" w:hAnsi="Arial"/>
          <w:b/>
          <w:color w:val="1F4D78"/>
          <w:sz w:val="19"/>
        </w:rPr>
        <w:t>هفتهٔ 467  |  صفحهٔ منبع: 483</w:t>
      </w:r>
    </w:p>
    <w:p>
      <w:pPr>
        <w:spacing w:before="60" w:after="28"/>
        <w:jc w:val="right"/>
        <w:bidi/>
      </w:pPr>
      <w:r>
        <w:rPr>
          <w:b/>
          <w:color w:val="1F4D78"/>
          <w:sz w:val="18"/>
        </w:rPr>
        <w:t>شکل 23.34. یونیفرم سرویس بارداری (جهنده) کلاس A (آستین بلند) و کلاس B (آستین کوتاه با جامپر)</w:t>
      </w:r>
    </w:p>
    <w:p>
      <w:pPr>
        <w:spacing w:after="20"/>
        <w:ind w:left="259"/>
        <w:jc w:val="left"/>
      </w:pPr>
      <w:r>
        <w:rPr>
          <w:color w:val="555555"/>
          <w:sz w:val="12"/>
        </w:rPr>
        <w:t>Figure 23.34. Maternity Service Dress Uniform (Jumper) Class A (long sleeve) and Class B (short sleeve with jumper)</w:t>
      </w:r>
    </w:p>
    <w:p>
      <w:pPr>
        <w:spacing w:before="60" w:after="28"/>
        <w:jc w:val="right"/>
        <w:bidi/>
      </w:pPr>
      <w:r>
        <w:rPr>
          <w:b/>
          <w:color w:val="1F4D78"/>
          <w:sz w:val="18"/>
        </w:rPr>
        <w:t>شکل 23.35. لباس فرم خدمات بارداری (بدون جامپر) کلاس B</w:t>
      </w:r>
    </w:p>
    <w:p>
      <w:pPr>
        <w:spacing w:after="20"/>
        <w:ind w:left="259"/>
        <w:jc w:val="left"/>
      </w:pPr>
      <w:r>
        <w:rPr>
          <w:color w:val="555555"/>
          <w:sz w:val="12"/>
        </w:rPr>
        <w:t>Figure 23.35. Maternity Service Dress Uniform (without Jumper) Class B</w:t>
      </w:r>
    </w:p>
    <w:p>
      <w:pPr>
        <w:spacing w:after="20" w:line="223" w:lineRule="auto"/>
        <w:jc w:val="right"/>
        <w:bidi/>
      </w:pPr>
      <w:r>
        <w:rPr>
          <w:rFonts w:ascii="Arial" w:hAnsi="Arial"/>
          <w:sz w:val="16"/>
        </w:rPr>
        <w:t>467.03  لباس فرم OCP زایمان.</w:t>
      </w:r>
    </w:p>
    <w:p>
      <w:pPr>
        <w:spacing w:after="28" w:line="216" w:lineRule="auto"/>
        <w:ind w:left="259"/>
        <w:jc w:val="left"/>
      </w:pPr>
      <w:r>
        <w:rPr>
          <w:rFonts w:ascii="Arial" w:hAnsi="Arial"/>
          <w:color w:val="525252"/>
          <w:sz w:val="13"/>
        </w:rPr>
        <w:t>Maternity OCP Uniforms.</w:t>
      </w:r>
    </w:p>
    <w:p>
      <w:pPr>
        <w:spacing w:after="20" w:line="223" w:lineRule="auto"/>
        <w:jc w:val="right"/>
        <w:bidi/>
      </w:pPr>
      <w:r>
        <w:rPr>
          <w:rFonts w:ascii="Arial" w:hAnsi="Arial"/>
          <w:sz w:val="16"/>
        </w:rPr>
        <w:t>467.04  برای راهنمایی کلی پوشیدن، مراقبت و تهیه OCP، به DAFI ۳۶-۲۹۰۳، بند ۵.۱ مراجعه کنید.</w:t>
      </w:r>
    </w:p>
    <w:p>
      <w:pPr>
        <w:spacing w:after="28" w:line="216" w:lineRule="auto"/>
        <w:ind w:left="259"/>
        <w:jc w:val="left"/>
      </w:pPr>
      <w:r>
        <w:rPr>
          <w:rFonts w:ascii="Arial" w:hAnsi="Arial"/>
          <w:color w:val="525252"/>
          <w:sz w:val="13"/>
        </w:rPr>
        <w:t>For general OCP wear, care and procurement guidance see DAFI 36-2903, paragraph 5.1.</w:t>
      </w:r>
    </w:p>
    <w:p>
      <w:pPr>
        <w:spacing w:after="20" w:line="223" w:lineRule="auto"/>
        <w:jc w:val="right"/>
        <w:bidi/>
      </w:pPr>
      <w:r>
        <w:rPr>
          <w:rFonts w:ascii="Arial" w:hAnsi="Arial"/>
          <w:sz w:val="16"/>
        </w:rPr>
        <w:t>467.05  مانتو.</w:t>
      </w:r>
    </w:p>
    <w:p>
      <w:pPr>
        <w:spacing w:after="28" w:line="216" w:lineRule="auto"/>
        <w:ind w:left="259"/>
        <w:jc w:val="left"/>
      </w:pPr>
      <w:r>
        <w:rPr>
          <w:rFonts w:ascii="Arial" w:hAnsi="Arial"/>
          <w:color w:val="525252"/>
          <w:sz w:val="13"/>
        </w:rPr>
        <w:t>Coat.</w:t>
      </w:r>
    </w:p>
    <w:p>
      <w:pPr>
        <w:spacing w:after="20" w:line="223" w:lineRule="auto"/>
        <w:jc w:val="right"/>
        <w:bidi/>
      </w:pPr>
      <w:r>
        <w:rPr>
          <w:rFonts w:ascii="Arial" w:hAnsi="Arial"/>
          <w:sz w:val="16"/>
        </w:rPr>
        <w:t>467.06  مانتوهای بارداری ۵۰% نایلون و ۵۰% پنبه خواهند بود.</w:t>
      </w:r>
    </w:p>
    <w:p>
      <w:pPr>
        <w:spacing w:after="28" w:line="216" w:lineRule="auto"/>
        <w:ind w:left="259"/>
        <w:jc w:val="left"/>
      </w:pPr>
      <w:r>
        <w:rPr>
          <w:rFonts w:ascii="Arial" w:hAnsi="Arial"/>
          <w:color w:val="525252"/>
          <w:sz w:val="13"/>
        </w:rPr>
        <w:t>Maternity Coats will be 50% nylon and 50% cotton.</w:t>
      </w:r>
    </w:p>
    <w:p>
      <w:pPr>
        <w:spacing w:after="20" w:line="223" w:lineRule="auto"/>
        <w:jc w:val="right"/>
        <w:bidi/>
      </w:pPr>
      <w:r>
        <w:rPr>
          <w:rFonts w:ascii="Arial" w:hAnsi="Arial"/>
          <w:sz w:val="16"/>
        </w:rPr>
        <w:t>467.07  کت بیرون از شلوار پوشیده می‌شود.</w:t>
      </w:r>
    </w:p>
    <w:p>
      <w:pPr>
        <w:spacing w:after="28" w:line="216" w:lineRule="auto"/>
        <w:ind w:left="259"/>
        <w:jc w:val="left"/>
      </w:pPr>
      <w:r>
        <w:rPr>
          <w:rFonts w:ascii="Arial" w:hAnsi="Arial"/>
          <w:color w:val="525252"/>
          <w:sz w:val="13"/>
        </w:rPr>
        <w:t>The coat is worn outside the trousers.</w:t>
      </w:r>
    </w:p>
    <w:p>
      <w:pPr>
        <w:spacing w:after="20" w:line="223" w:lineRule="auto"/>
        <w:jc w:val="right"/>
        <w:bidi/>
      </w:pPr>
      <w:r>
        <w:rPr>
          <w:rFonts w:ascii="Arial" w:hAnsi="Arial"/>
          <w:sz w:val="16"/>
        </w:rPr>
        <w:t>467.08  کت زیر قسمت بالای جیب باری شلوار کشیده نمی‌شود و بالاتر از قسمت پایینی باز شدن جیب کناری شلوار نخواهد بود.</w:t>
      </w:r>
    </w:p>
    <w:p>
      <w:pPr>
        <w:spacing w:after="28" w:line="216" w:lineRule="auto"/>
        <w:ind w:left="259"/>
        <w:jc w:val="left"/>
      </w:pPr>
      <w:r>
        <w:rPr>
          <w:rFonts w:ascii="Arial" w:hAnsi="Arial"/>
          <w:color w:val="525252"/>
          <w:sz w:val="13"/>
        </w:rPr>
        <w:t>The coat will not extend below the top of the cargo pocket on the trousers and will not be higher than the bottom of the opening of the side pocket on the trousers.</w:t>
      </w:r>
    </w:p>
    <w:p>
      <w:pPr>
        <w:spacing w:after="20" w:line="223" w:lineRule="auto"/>
        <w:jc w:val="right"/>
        <w:bidi/>
      </w:pPr>
      <w:r>
        <w:rPr>
          <w:rFonts w:ascii="Arial" w:hAnsi="Arial"/>
          <w:sz w:val="16"/>
        </w:rPr>
        <w:t>467.09  فرماندهان ممکن است چرخاندن آستین یا سرآستین تاشو روی کت OCP را ممنوع یا مجاز کنند.</w:t>
      </w:r>
    </w:p>
    <w:p>
      <w:pPr>
        <w:spacing w:after="28" w:line="216" w:lineRule="auto"/>
        <w:ind w:left="259"/>
        <w:jc w:val="left"/>
      </w:pPr>
      <w:r>
        <w:rPr>
          <w:rFonts w:ascii="Arial" w:hAnsi="Arial"/>
          <w:color w:val="525252"/>
          <w:sz w:val="13"/>
        </w:rPr>
        <w:t>Commanders may prohibit or authorize rolling sleeves or folding cuffs on the OCP coat.</w:t>
      </w:r>
    </w:p>
    <w:p>
      <w:pPr>
        <w:spacing w:after="20" w:line="223" w:lineRule="auto"/>
        <w:jc w:val="right"/>
        <w:bidi/>
      </w:pPr>
      <w:r>
        <w:rPr>
          <w:rFonts w:ascii="Arial" w:hAnsi="Arial"/>
          <w:sz w:val="16"/>
        </w:rPr>
        <w:t>467.10  در صورت پیچاندن، سرآستین‌ها قابل رویت باقی می‌مانند و وقتی بازو با زاویه ۹۰ درجه خم می‌شود، آستین در فاصله ۱ اینچی ساعد قرار می‌گیرد.</w:t>
      </w:r>
    </w:p>
    <w:p>
      <w:pPr>
        <w:spacing w:after="28" w:line="216" w:lineRule="auto"/>
        <w:ind w:left="259"/>
        <w:jc w:val="left"/>
      </w:pPr>
      <w:r>
        <w:rPr>
          <w:rFonts w:ascii="Arial" w:hAnsi="Arial"/>
          <w:color w:val="525252"/>
          <w:sz w:val="13"/>
        </w:rPr>
        <w:t>If rolled up, the cuffs will remain visible, and the sleeve will rest at, or within 1-inch of the forearm when the arm is bent at a 90-degree angle.</w:t>
      </w:r>
    </w:p>
    <w:p>
      <w:pPr>
        <w:spacing w:after="20" w:line="223" w:lineRule="auto"/>
        <w:jc w:val="right"/>
        <w:bidi/>
      </w:pPr>
      <w:r>
        <w:rPr>
          <w:rFonts w:ascii="Arial" w:hAnsi="Arial"/>
          <w:sz w:val="16"/>
        </w:rPr>
        <w:t>467.11  هنگامی که آستین‌ها بالا نمی‌روند، سرآستین‌ها قابل مشاهده می‌مانند یا دو بار به سمت داخل تا می‌شوند.</w:t>
      </w:r>
    </w:p>
    <w:p>
      <w:pPr>
        <w:spacing w:after="28" w:line="216" w:lineRule="auto"/>
        <w:ind w:left="259"/>
        <w:jc w:val="left"/>
      </w:pPr>
      <w:r>
        <w:rPr>
          <w:rFonts w:ascii="Arial" w:hAnsi="Arial"/>
          <w:color w:val="525252"/>
          <w:sz w:val="13"/>
        </w:rPr>
        <w:t>When sleeves are not rolled up, cuffs will remain visible or be folded inward twice.</w:t>
      </w:r>
    </w:p>
    <w:p>
      <w:pPr>
        <w:spacing w:after="20" w:line="223" w:lineRule="auto"/>
        <w:jc w:val="right"/>
        <w:bidi/>
      </w:pPr>
      <w:r>
        <w:rPr>
          <w:rFonts w:ascii="Arial" w:hAnsi="Arial"/>
          <w:sz w:val="16"/>
        </w:rPr>
        <w:t>467.12  از چسباندن وصله یا نشان به جیب‌های جلو خودداری کنید.</w:t>
      </w:r>
    </w:p>
    <w:p>
      <w:pPr>
        <w:spacing w:after="28" w:line="216" w:lineRule="auto"/>
        <w:ind w:left="259"/>
        <w:jc w:val="left"/>
      </w:pPr>
      <w:r>
        <w:rPr>
          <w:rFonts w:ascii="Arial" w:hAnsi="Arial"/>
          <w:color w:val="525252"/>
          <w:sz w:val="13"/>
        </w:rPr>
        <w:t>Do not affix patches or badges to the front pockets.</w:t>
      </w:r>
    </w:p>
    <w:p>
      <w:pPr>
        <w:spacing w:after="20" w:line="223" w:lineRule="auto"/>
        <w:jc w:val="right"/>
        <w:bidi/>
      </w:pPr>
      <w:r>
        <w:rPr>
          <w:rFonts w:ascii="Arial" w:hAnsi="Arial"/>
          <w:sz w:val="16"/>
        </w:rPr>
        <w:t>467.13  تغییرات</w:t>
      </w:r>
    </w:p>
    <w:p>
      <w:pPr>
        <w:spacing w:after="28" w:line="216" w:lineRule="auto"/>
        <w:ind w:left="259"/>
        <w:jc w:val="left"/>
      </w:pPr>
      <w:r>
        <w:rPr>
          <w:rFonts w:ascii="Arial" w:hAnsi="Arial"/>
          <w:color w:val="525252"/>
          <w:sz w:val="13"/>
        </w:rPr>
        <w:t>Alterations</w:t>
      </w:r>
    </w:p>
    <w:p>
      <w:r>
        <w:br w:type="page"/>
      </w:r>
    </w:p>
    <w:p>
      <w:pPr>
        <w:spacing w:after="60"/>
        <w:jc w:val="right"/>
        <w:bidi/>
      </w:pPr>
      <w:r>
        <w:rPr>
          <w:rFonts w:ascii="Arial" w:hAnsi="Arial"/>
          <w:b/>
          <w:color w:val="1F4D78"/>
          <w:sz w:val="19"/>
        </w:rPr>
        <w:t>هفتهٔ 468  |  صفحهٔ منبع: 484</w:t>
      </w:r>
    </w:p>
    <w:p>
      <w:pPr>
        <w:spacing w:after="20" w:line="223" w:lineRule="auto"/>
        <w:jc w:val="right"/>
        <w:bidi/>
      </w:pPr>
      <w:r>
        <w:rPr>
          <w:rFonts w:ascii="Arial" w:hAnsi="Arial"/>
          <w:sz w:val="16"/>
        </w:rPr>
        <w:t>468.01  که بر عملکرد یونیفرم تأثیر می‌گذارند، مجاز نیستند، به‌عنوان مثال، دوخت یقه یا جیب.</w:t>
      </w:r>
    </w:p>
    <w:p>
      <w:pPr>
        <w:spacing w:after="28" w:line="216" w:lineRule="auto"/>
        <w:ind w:left="259"/>
        <w:jc w:val="left"/>
      </w:pPr>
      <w:r>
        <w:rPr>
          <w:rFonts w:ascii="Arial" w:hAnsi="Arial"/>
          <w:color w:val="525252"/>
          <w:sz w:val="13"/>
        </w:rPr>
        <w:t>that affect the functionality of the uniform are not authorized, e.g., sewing down collars or pockets.</w:t>
      </w:r>
    </w:p>
    <w:p>
      <w:pPr>
        <w:spacing w:after="20" w:line="223" w:lineRule="auto"/>
        <w:jc w:val="right"/>
        <w:bidi/>
      </w:pPr>
      <w:r>
        <w:rPr>
          <w:rFonts w:ascii="Arial" w:hAnsi="Arial"/>
          <w:sz w:val="16"/>
        </w:rPr>
        <w:t>468.02  کت OCP ممکن است در محل کار فوری همانطور که توسط رهبری محلی تعیین شده است، برداشته شود، با این حال، کت OCP در هنگام تعامل با مشتریان/مشتریان پوشیده خواهد شد.</w:t>
      </w:r>
    </w:p>
    <w:p>
      <w:pPr>
        <w:spacing w:after="28" w:line="216" w:lineRule="auto"/>
        <w:ind w:left="259"/>
        <w:jc w:val="left"/>
      </w:pPr>
      <w:r>
        <w:rPr>
          <w:rFonts w:ascii="Arial" w:hAnsi="Arial"/>
          <w:color w:val="525252"/>
          <w:sz w:val="13"/>
        </w:rPr>
        <w:t>The OCP coat may be removed in the immediate work area as determined appropriate by local leadership, however, the OCP coat will be worn while interacting with customers/clients.</w:t>
      </w:r>
    </w:p>
    <w:p>
      <w:pPr>
        <w:spacing w:after="20" w:line="223" w:lineRule="auto"/>
        <w:jc w:val="right"/>
        <w:bidi/>
      </w:pPr>
      <w:r>
        <w:rPr>
          <w:rFonts w:ascii="Arial" w:hAnsi="Arial"/>
          <w:sz w:val="16"/>
        </w:rPr>
        <w:t>468.03  تی شرت.</w:t>
      </w:r>
    </w:p>
    <w:p>
      <w:pPr>
        <w:spacing w:after="28" w:line="216" w:lineRule="auto"/>
        <w:ind w:left="259"/>
        <w:jc w:val="left"/>
      </w:pPr>
      <w:r>
        <w:rPr>
          <w:rFonts w:ascii="Arial" w:hAnsi="Arial"/>
          <w:color w:val="525252"/>
          <w:sz w:val="13"/>
        </w:rPr>
        <w:t>T-shirt.</w:t>
      </w:r>
    </w:p>
    <w:p>
      <w:pPr>
        <w:spacing w:after="20" w:line="223" w:lineRule="auto"/>
        <w:jc w:val="right"/>
        <w:bidi/>
      </w:pPr>
      <w:r>
        <w:rPr>
          <w:rFonts w:ascii="Arial" w:hAnsi="Arial"/>
          <w:sz w:val="16"/>
        </w:rPr>
        <w:t>468.04  هوانوردان می‌توانند یک تی‌شرت شیردهی آستین کوتاه یا بلند را با یونیفرم کاربردی خود بخرند و بپوشند.</w:t>
      </w:r>
    </w:p>
    <w:p>
      <w:pPr>
        <w:spacing w:after="28" w:line="216" w:lineRule="auto"/>
        <w:ind w:left="259"/>
        <w:jc w:val="left"/>
      </w:pPr>
      <w:r>
        <w:rPr>
          <w:rFonts w:ascii="Arial" w:hAnsi="Arial"/>
          <w:color w:val="525252"/>
          <w:sz w:val="13"/>
        </w:rPr>
        <w:t>Airmen may purchase and wear a long or short sleeve breastfeeding T-shirt with their utility uniform.</w:t>
      </w:r>
    </w:p>
    <w:p>
      <w:pPr>
        <w:spacing w:after="20" w:line="223" w:lineRule="auto"/>
        <w:jc w:val="right"/>
        <w:bidi/>
      </w:pPr>
      <w:r>
        <w:rPr>
          <w:rFonts w:ascii="Arial" w:hAnsi="Arial"/>
          <w:sz w:val="16"/>
        </w:rPr>
        <w:t>468.05  این تی شرت در صورت پوشیدن با OCP به رنگ قهوه‌ای کایوت (برنزه ۴۹۹) خواهد بود.</w:t>
      </w:r>
    </w:p>
    <w:p>
      <w:pPr>
        <w:spacing w:after="28" w:line="216" w:lineRule="auto"/>
        <w:ind w:left="259"/>
        <w:jc w:val="left"/>
      </w:pPr>
      <w:r>
        <w:rPr>
          <w:rFonts w:ascii="Arial" w:hAnsi="Arial"/>
          <w:color w:val="525252"/>
          <w:sz w:val="13"/>
        </w:rPr>
        <w:t>The T-shirt will be Coyote Brown (Tan 499) in color when worn with the OCP.</w:t>
      </w:r>
    </w:p>
    <w:p>
      <w:pPr>
        <w:spacing w:after="20" w:line="223" w:lineRule="auto"/>
        <w:jc w:val="right"/>
        <w:bidi/>
      </w:pPr>
      <w:r>
        <w:rPr>
          <w:rFonts w:ascii="Arial" w:hAnsi="Arial"/>
          <w:sz w:val="16"/>
        </w:rPr>
        <w:t>468.06  تی‌شرت شیردهی در داخل می‌شود مگر اینکه با لباس بارداری پوشیده شود.</w:t>
      </w:r>
    </w:p>
    <w:p>
      <w:pPr>
        <w:spacing w:after="28" w:line="216" w:lineRule="auto"/>
        <w:ind w:left="259"/>
        <w:jc w:val="left"/>
      </w:pPr>
      <w:r>
        <w:rPr>
          <w:rFonts w:ascii="Arial" w:hAnsi="Arial"/>
          <w:color w:val="525252"/>
          <w:sz w:val="13"/>
        </w:rPr>
        <w:t>The breastfeeding T-shirt will be tucked in unless worn with the maternity uniform.</w:t>
      </w:r>
    </w:p>
    <w:p>
      <w:pPr>
        <w:spacing w:after="20" w:line="223" w:lineRule="auto"/>
        <w:jc w:val="right"/>
        <w:bidi/>
      </w:pPr>
      <w:r>
        <w:rPr>
          <w:rFonts w:ascii="Arial" w:hAnsi="Arial"/>
          <w:sz w:val="16"/>
        </w:rPr>
        <w:t>468.07  (توجه: در طول عملیات پرواز، تی شرت‌ها باید از جنس پنبه یا مواد ضد حریق باشند، به دلیل محافظت بیشتر.</w:t>
      </w:r>
    </w:p>
    <w:p>
      <w:pPr>
        <w:spacing w:after="28" w:line="216" w:lineRule="auto"/>
        <w:ind w:left="259"/>
        <w:jc w:val="left"/>
      </w:pPr>
      <w:r>
        <w:rPr>
          <w:rFonts w:ascii="Arial" w:hAnsi="Arial"/>
          <w:color w:val="525252"/>
          <w:sz w:val="13"/>
        </w:rPr>
        <w:t>(Note: during flight operations t-shirts must be cotton or fire-retardant material due to added protection.</w:t>
      </w:r>
    </w:p>
    <w:p>
      <w:pPr>
        <w:spacing w:after="20" w:line="223" w:lineRule="auto"/>
        <w:jc w:val="right"/>
        <w:bidi/>
      </w:pPr>
      <w:r>
        <w:rPr>
          <w:rFonts w:ascii="Arial" w:hAnsi="Arial"/>
          <w:sz w:val="16"/>
        </w:rPr>
        <w:t>468.08  تی شرت‌های ساخته شده از ۱۰۰% نایلون یا پلی استر در طول پرواز مجاز نیستند.) تجهیزات.</w:t>
      </w:r>
    </w:p>
    <w:p>
      <w:pPr>
        <w:spacing w:after="28" w:line="216" w:lineRule="auto"/>
        <w:ind w:left="259"/>
        <w:jc w:val="left"/>
      </w:pPr>
      <w:r>
        <w:rPr>
          <w:rFonts w:ascii="Arial" w:hAnsi="Arial"/>
          <w:color w:val="525252"/>
          <w:sz w:val="13"/>
        </w:rPr>
        <w:t>T-shirts made of 100% nylon or polyester are not authorized during flight.) Accoutrements.</w:t>
      </w:r>
    </w:p>
    <w:p>
      <w:pPr>
        <w:spacing w:after="20" w:line="223" w:lineRule="auto"/>
        <w:jc w:val="right"/>
        <w:bidi/>
      </w:pPr>
      <w:r>
        <w:rPr>
          <w:rFonts w:ascii="Arial" w:hAnsi="Arial"/>
          <w:sz w:val="16"/>
        </w:rPr>
        <w:t>468.09  برای شرح سایش برای OCP به اطلاعات این بخش و DAFI ۳۶-۲۹۰۳، پاراگراف‌های ۵.۱.۲ تا ۵.۱.۶.۲.۴ مراجعه کنید.</w:t>
      </w:r>
    </w:p>
    <w:p>
      <w:pPr>
        <w:spacing w:after="28" w:line="216" w:lineRule="auto"/>
        <w:ind w:left="259"/>
        <w:jc w:val="left"/>
      </w:pPr>
      <w:r>
        <w:rPr>
          <w:rFonts w:ascii="Arial" w:hAnsi="Arial"/>
          <w:color w:val="525252"/>
          <w:sz w:val="13"/>
        </w:rPr>
        <w:t>For wear description for the OCP refer to information in this section and DAFI 36-2903, paragraphs 5.1.2 through 5.1.6.2.4.</w:t>
      </w:r>
    </w:p>
    <w:p>
      <w:pPr>
        <w:spacing w:after="20" w:line="223" w:lineRule="auto"/>
        <w:jc w:val="right"/>
        <w:bidi/>
      </w:pPr>
      <w:r>
        <w:rPr>
          <w:rFonts w:ascii="Arial" w:hAnsi="Arial"/>
          <w:sz w:val="16"/>
        </w:rPr>
        <w:t>468.10  شلوار.</w:t>
      </w:r>
    </w:p>
    <w:p>
      <w:pPr>
        <w:spacing w:after="28" w:line="216" w:lineRule="auto"/>
        <w:ind w:left="259"/>
        <w:jc w:val="left"/>
      </w:pPr>
      <w:r>
        <w:rPr>
          <w:rFonts w:ascii="Arial" w:hAnsi="Arial"/>
          <w:color w:val="525252"/>
          <w:sz w:val="13"/>
        </w:rPr>
        <w:t>Trousers.</w:t>
      </w:r>
    </w:p>
    <w:p>
      <w:pPr>
        <w:spacing w:after="20" w:line="223" w:lineRule="auto"/>
        <w:jc w:val="right"/>
        <w:bidi/>
      </w:pPr>
      <w:r>
        <w:rPr>
          <w:rFonts w:ascii="Arial" w:hAnsi="Arial"/>
          <w:sz w:val="16"/>
        </w:rPr>
        <w:t>468.11  شلوار ۵۰% نایلون و ۵۰% پنبه خواهد بود.</w:t>
      </w:r>
    </w:p>
    <w:p>
      <w:pPr>
        <w:spacing w:after="28" w:line="216" w:lineRule="auto"/>
        <w:ind w:left="259"/>
        <w:jc w:val="left"/>
      </w:pPr>
      <w:r>
        <w:rPr>
          <w:rFonts w:ascii="Arial" w:hAnsi="Arial"/>
          <w:color w:val="525252"/>
          <w:sz w:val="13"/>
        </w:rPr>
        <w:t>Trousers will be 50% nylon and 50% cotton.</w:t>
      </w:r>
    </w:p>
    <w:p>
      <w:pPr>
        <w:spacing w:after="20" w:line="223" w:lineRule="auto"/>
        <w:jc w:val="right"/>
        <w:bidi/>
      </w:pPr>
      <w:r>
        <w:rPr>
          <w:rFonts w:ascii="Arial" w:hAnsi="Arial"/>
          <w:sz w:val="16"/>
        </w:rPr>
        <w:t>468.12  شلوار بارداری دارای یک پانل کشدار جلویی است که با کت OCP پوشانده شده و یک کمربند الاستیک دارد.</w:t>
      </w:r>
    </w:p>
    <w:p>
      <w:pPr>
        <w:spacing w:after="28" w:line="216" w:lineRule="auto"/>
        <w:ind w:left="259"/>
        <w:jc w:val="left"/>
      </w:pPr>
      <w:r>
        <w:rPr>
          <w:rFonts w:ascii="Arial" w:hAnsi="Arial"/>
          <w:color w:val="525252"/>
          <w:sz w:val="13"/>
        </w:rPr>
        <w:t>Maternity trousers will have a front stretch panel, covered by the OCP coat, and an elastic waistband.</w:t>
      </w:r>
    </w:p>
    <w:p>
      <w:pPr>
        <w:spacing w:after="20" w:line="223" w:lineRule="auto"/>
        <w:jc w:val="right"/>
        <w:bidi/>
      </w:pPr>
      <w:r>
        <w:rPr>
          <w:rFonts w:ascii="Arial" w:hAnsi="Arial"/>
          <w:sz w:val="16"/>
        </w:rPr>
        <w:t>468.13  شلوار بارداری در مراحل پیشرفته بارداری الزامی به پوشیدن بلوز نیست.</w:t>
      </w:r>
    </w:p>
    <w:p>
      <w:pPr>
        <w:spacing w:after="28" w:line="216" w:lineRule="auto"/>
        <w:ind w:left="259"/>
        <w:jc w:val="left"/>
      </w:pPr>
      <w:r>
        <w:rPr>
          <w:rFonts w:ascii="Arial" w:hAnsi="Arial"/>
          <w:color w:val="525252"/>
          <w:sz w:val="13"/>
        </w:rPr>
        <w:t>Maternity trousers are not required to be bloused during advanced stages of pregnancy.</w:t>
      </w:r>
    </w:p>
    <w:p>
      <w:pPr>
        <w:spacing w:after="20" w:line="223" w:lineRule="auto"/>
        <w:jc w:val="right"/>
        <w:bidi/>
      </w:pPr>
      <w:r>
        <w:rPr>
          <w:rFonts w:ascii="Arial" w:hAnsi="Arial"/>
          <w:sz w:val="16"/>
        </w:rPr>
        <w:t>468.14  اگر بلوز نشده باشد، بند کشی برداشته می‌شود و شلوار بلند می‌شود و به‌طور طبیعی آویزان می‌شود و به سختی روی چکمه قرار می‌گیرد بدون اینکه در چین شکسته شود.</w:t>
      </w:r>
    </w:p>
    <w:p>
      <w:pPr>
        <w:spacing w:after="28" w:line="216" w:lineRule="auto"/>
        <w:ind w:left="259"/>
        <w:jc w:val="left"/>
      </w:pPr>
      <w:r>
        <w:rPr>
          <w:rFonts w:ascii="Arial" w:hAnsi="Arial"/>
          <w:color w:val="525252"/>
          <w:sz w:val="13"/>
        </w:rPr>
        <w:t>If not bloused, the draw string will be removed and trousers will be ankle length and hang naturally, barely resting on the boot without a break in the crease.</w:t>
      </w:r>
    </w:p>
    <w:p>
      <w:pPr>
        <w:spacing w:after="20" w:line="223" w:lineRule="auto"/>
        <w:jc w:val="right"/>
        <w:bidi/>
      </w:pPr>
      <w:r>
        <w:rPr>
          <w:rFonts w:ascii="Arial" w:hAnsi="Arial"/>
          <w:sz w:val="16"/>
        </w:rPr>
        <w:t>468.15  جیب‌ها محکم می‌شوند و اقلامی که در جیب‌ها قرار می‌گیرند، به جز قلم‌هایی که در جیب خودکار قرار می‌گیرند، قابل مشاهده نیستند.</w:t>
      </w:r>
    </w:p>
    <w:p>
      <w:pPr>
        <w:spacing w:after="28" w:line="216" w:lineRule="auto"/>
        <w:ind w:left="259"/>
        <w:jc w:val="left"/>
      </w:pPr>
      <w:r>
        <w:rPr>
          <w:rFonts w:ascii="Arial" w:hAnsi="Arial"/>
          <w:color w:val="525252"/>
          <w:sz w:val="13"/>
        </w:rPr>
        <w:t>Pockets will be secured, and items stowed in pockets will not be visible except pens stowed in the pen pocket.</w:t>
      </w:r>
    </w:p>
    <w:p>
      <w:pPr>
        <w:spacing w:after="20" w:line="223" w:lineRule="auto"/>
        <w:jc w:val="right"/>
        <w:bidi/>
      </w:pPr>
      <w:r>
        <w:rPr>
          <w:rFonts w:ascii="Arial" w:hAnsi="Arial"/>
          <w:sz w:val="16"/>
        </w:rPr>
        <w:t>468.16  استثنا: کلاه یا کلاهک گشتی OCP ممکن است زمانی که در جیب بار شلوار OCP قرار می‌گیرد به بیرون کشیده شود.</w:t>
      </w:r>
    </w:p>
    <w:p>
      <w:pPr>
        <w:spacing w:after="28" w:line="216" w:lineRule="auto"/>
        <w:ind w:left="259"/>
        <w:jc w:val="left"/>
      </w:pPr>
      <w:r>
        <w:rPr>
          <w:rFonts w:ascii="Arial" w:hAnsi="Arial"/>
          <w:color w:val="525252"/>
          <w:sz w:val="13"/>
        </w:rPr>
        <w:t>Exception: OCP patrol cap or beret may extend outside when placed in the OCP trouser cargo pocket.</w:t>
      </w:r>
    </w:p>
    <w:p>
      <w:pPr>
        <w:spacing w:after="20" w:line="223" w:lineRule="auto"/>
        <w:jc w:val="right"/>
        <w:bidi/>
      </w:pPr>
      <w:r>
        <w:rPr>
          <w:rFonts w:ascii="Arial" w:hAnsi="Arial"/>
          <w:sz w:val="16"/>
        </w:rPr>
        <w:t>468.17  تمامی لباس‌های رسمی مجاز بارداری تا شش ماه پس از زایمان قابل پوشیدن هستند.</w:t>
      </w:r>
    </w:p>
    <w:p>
      <w:pPr>
        <w:spacing w:after="28" w:line="216" w:lineRule="auto"/>
        <w:ind w:left="259"/>
        <w:jc w:val="left"/>
      </w:pPr>
      <w:r>
        <w:rPr>
          <w:rFonts w:ascii="Arial" w:hAnsi="Arial"/>
          <w:color w:val="525252"/>
          <w:sz w:val="13"/>
        </w:rPr>
        <w:t>All authorized maternity uniform combinations may be worn for up to six months after delivery.</w:t>
      </w:r>
    </w:p>
    <w:p>
      <w:pPr>
        <w:spacing w:before="60" w:after="28"/>
        <w:jc w:val="right"/>
        <w:bidi/>
      </w:pPr>
      <w:r>
        <w:rPr>
          <w:b/>
          <w:color w:val="1F4D78"/>
          <w:sz w:val="18"/>
        </w:rPr>
        <w:t>شکل 23.36. یونیفرم الگوی استتار عملیاتی زایمان</w:t>
      </w:r>
    </w:p>
    <w:p>
      <w:pPr>
        <w:spacing w:after="20"/>
        <w:ind w:left="259"/>
        <w:jc w:val="left"/>
      </w:pPr>
      <w:r>
        <w:rPr>
          <w:color w:val="555555"/>
          <w:sz w:val="12"/>
        </w:rPr>
        <w:t>Figure 23.36. Maternity Operational Camouflage Pattern Uniform</w:t>
      </w:r>
    </w:p>
    <w:p>
      <w:pPr>
        <w:spacing w:after="20" w:line="223" w:lineRule="auto"/>
        <w:jc w:val="right"/>
        <w:bidi/>
      </w:pPr>
      <w:r>
        <w:rPr>
          <w:rFonts w:ascii="Arial" w:hAnsi="Arial"/>
          <w:sz w:val="16"/>
        </w:rPr>
        <w:t>468.19  تجهیزات تربیت بدنی.</w:t>
      </w:r>
    </w:p>
    <w:p>
      <w:pPr>
        <w:spacing w:after="28" w:line="216" w:lineRule="auto"/>
        <w:ind w:left="259"/>
        <w:jc w:val="left"/>
      </w:pPr>
      <w:r>
        <w:rPr>
          <w:rFonts w:ascii="Arial" w:hAnsi="Arial"/>
          <w:color w:val="525252"/>
          <w:sz w:val="13"/>
        </w:rPr>
        <w:t>Physical Training Gear.</w:t>
      </w:r>
    </w:p>
    <w:p>
      <w:pPr>
        <w:spacing w:after="20" w:line="223" w:lineRule="auto"/>
        <w:jc w:val="right"/>
        <w:bidi/>
      </w:pPr>
      <w:r>
        <w:rPr>
          <w:rFonts w:ascii="Arial" w:hAnsi="Arial"/>
          <w:sz w:val="16"/>
        </w:rPr>
        <w:t>468.20  DAF PTG زایمان را اجباری نمی‌کند.</w:t>
      </w:r>
    </w:p>
    <w:p>
      <w:pPr>
        <w:spacing w:after="28" w:line="216" w:lineRule="auto"/>
        <w:ind w:left="259"/>
        <w:jc w:val="left"/>
      </w:pPr>
      <w:r>
        <w:rPr>
          <w:rFonts w:ascii="Arial" w:hAnsi="Arial"/>
          <w:color w:val="525252"/>
          <w:sz w:val="13"/>
        </w:rPr>
        <w:t>DAF does not mandate maternity PTG.</w:t>
      </w:r>
    </w:p>
    <w:p>
      <w:pPr>
        <w:spacing w:after="20" w:line="223" w:lineRule="auto"/>
        <w:jc w:val="right"/>
        <w:bidi/>
      </w:pPr>
      <w:r>
        <w:rPr>
          <w:rFonts w:ascii="Arial" w:hAnsi="Arial"/>
          <w:sz w:val="16"/>
        </w:rPr>
        <w:t>468.21  اعضای باردار شرکت‌کننده در واحد PT ممکن است لباس‌های غیرنظامی به رنگ‌های آبی، سیاه، سفید یا خاکستری بپوشند.</w:t>
      </w:r>
    </w:p>
    <w:p>
      <w:pPr>
        <w:spacing w:after="28" w:line="216" w:lineRule="auto"/>
        <w:ind w:left="259"/>
        <w:jc w:val="left"/>
      </w:pPr>
      <w:r>
        <w:rPr>
          <w:rFonts w:ascii="Arial" w:hAnsi="Arial"/>
          <w:color w:val="525252"/>
          <w:sz w:val="13"/>
        </w:rPr>
        <w:t>Pregnant members participating in unit PT may wear civilian clothing in the colors of blue, black, white, or grey.</w:t>
      </w:r>
    </w:p>
    <w:p>
      <w:pPr>
        <w:spacing w:after="20" w:line="223" w:lineRule="auto"/>
        <w:jc w:val="right"/>
        <w:bidi/>
      </w:pPr>
      <w:r>
        <w:rPr>
          <w:rFonts w:ascii="Arial" w:hAnsi="Arial"/>
          <w:sz w:val="16"/>
        </w:rPr>
        <w:t>468.22  فرماندهان پیکربندی PTG مورد نیاز را در طول رویدادهای PT سازماندهی شده تعیین می‌کنند.</w:t>
      </w:r>
    </w:p>
    <w:p>
      <w:pPr>
        <w:spacing w:after="28" w:line="216" w:lineRule="auto"/>
        <w:ind w:left="259"/>
        <w:jc w:val="left"/>
      </w:pPr>
      <w:r>
        <w:rPr>
          <w:rFonts w:ascii="Arial" w:hAnsi="Arial"/>
          <w:color w:val="525252"/>
          <w:sz w:val="13"/>
        </w:rPr>
        <w:t>Commanders determine the required PTG configuration during organized PT events.</w:t>
      </w:r>
    </w:p>
    <w:p>
      <w:pPr>
        <w:spacing w:after="20" w:line="223" w:lineRule="auto"/>
        <w:jc w:val="right"/>
        <w:bidi/>
      </w:pPr>
      <w:r>
        <w:rPr>
          <w:rFonts w:ascii="Arial" w:hAnsi="Arial"/>
          <w:sz w:val="16"/>
        </w:rPr>
        <w:t>468.23  ۲۳.۱۲. پوشاک بیرونی، روسری، نشان رتبه و لوازم جانبی.</w:t>
      </w:r>
    </w:p>
    <w:p>
      <w:pPr>
        <w:spacing w:after="28" w:line="216" w:lineRule="auto"/>
        <w:ind w:left="259"/>
        <w:jc w:val="left"/>
      </w:pPr>
      <w:r>
        <w:rPr>
          <w:rFonts w:ascii="Arial" w:hAnsi="Arial"/>
          <w:color w:val="525252"/>
          <w:sz w:val="13"/>
        </w:rPr>
        <w:t>23.12. Outer Garments, Headgear, Rank Insignia, and Accessories.</w:t>
      </w:r>
    </w:p>
    <w:p>
      <w:pPr>
        <w:spacing w:after="20" w:line="223" w:lineRule="auto"/>
        <w:jc w:val="right"/>
        <w:bidi/>
      </w:pPr>
      <w:r>
        <w:rPr>
          <w:rFonts w:ascii="Arial" w:hAnsi="Arial"/>
          <w:sz w:val="16"/>
        </w:rPr>
        <w:t>468.24  لباس بیرونی.</w:t>
      </w:r>
    </w:p>
    <w:p>
      <w:pPr>
        <w:spacing w:after="28" w:line="216" w:lineRule="auto"/>
        <w:ind w:left="259"/>
        <w:jc w:val="left"/>
      </w:pPr>
      <w:r>
        <w:rPr>
          <w:rFonts w:ascii="Arial" w:hAnsi="Arial"/>
          <w:color w:val="525252"/>
          <w:sz w:val="13"/>
        </w:rPr>
        <w:t>Outer Garments.</w:t>
      </w:r>
    </w:p>
    <w:p>
      <w:pPr>
        <w:spacing w:after="20" w:line="223" w:lineRule="auto"/>
        <w:jc w:val="right"/>
        <w:bidi/>
      </w:pPr>
      <w:r>
        <w:rPr>
          <w:rFonts w:ascii="Arial" w:hAnsi="Arial"/>
          <w:sz w:val="16"/>
        </w:rPr>
        <w:t>468.25  همه لباس‌های بیرونی (به‌جز ژاکت پرنده چرمی ا-۲) بدون نام، نشان، نماد AF، لوازم جانبی و غیره را می‌توان با لباس غیرنظامی پوشید.</w:t>
      </w:r>
    </w:p>
    <w:p>
      <w:pPr>
        <w:spacing w:after="28" w:line="216" w:lineRule="auto"/>
        <w:ind w:left="259"/>
        <w:jc w:val="left"/>
      </w:pPr>
      <w:r>
        <w:rPr>
          <w:rFonts w:ascii="Arial" w:hAnsi="Arial"/>
          <w:color w:val="525252"/>
          <w:sz w:val="13"/>
        </w:rPr>
        <w:t>All outer garments (except Leather A-2 Flying Jacket) without name, insignia, AF symbol, accoutrements etc. may be worn with civilian attire.</w:t>
      </w:r>
    </w:p>
    <w:p>
      <w:pPr>
        <w:spacing w:after="20" w:line="223" w:lineRule="auto"/>
        <w:jc w:val="right"/>
        <w:bidi/>
      </w:pPr>
      <w:r>
        <w:rPr>
          <w:rFonts w:ascii="Arial" w:hAnsi="Arial"/>
          <w:sz w:val="16"/>
        </w:rPr>
        <w:t>468.26  ۵۰/۵۰ پلوور پشم اکریلیک.</w:t>
      </w:r>
    </w:p>
    <w:p>
      <w:pPr>
        <w:spacing w:after="28" w:line="216" w:lineRule="auto"/>
        <w:ind w:left="259"/>
        <w:jc w:val="left"/>
      </w:pPr>
      <w:r>
        <w:rPr>
          <w:rFonts w:ascii="Arial" w:hAnsi="Arial"/>
          <w:color w:val="525252"/>
          <w:sz w:val="13"/>
        </w:rPr>
        <w:t>50/50 Acrylic Wool Pullover Sweater.</w:t>
      </w:r>
    </w:p>
    <w:p>
      <w:pPr>
        <w:spacing w:after="20" w:line="223" w:lineRule="auto"/>
        <w:jc w:val="right"/>
        <w:bidi/>
      </w:pPr>
      <w:r>
        <w:rPr>
          <w:rFonts w:ascii="Arial" w:hAnsi="Arial"/>
          <w:sz w:val="16"/>
        </w:rPr>
        <w:t>468.27  فقط با لباس کلاس ب قابل پوشیدن است.</w:t>
      </w:r>
    </w:p>
    <w:p>
      <w:pPr>
        <w:spacing w:after="28" w:line="216" w:lineRule="auto"/>
        <w:ind w:left="259"/>
        <w:jc w:val="left"/>
      </w:pPr>
      <w:r>
        <w:rPr>
          <w:rFonts w:ascii="Arial" w:hAnsi="Arial"/>
          <w:color w:val="525252"/>
          <w:sz w:val="13"/>
        </w:rPr>
        <w:t>Can only be worn with the Class B uniform.</w:t>
      </w:r>
    </w:p>
    <w:p>
      <w:pPr>
        <w:spacing w:after="20" w:line="223" w:lineRule="auto"/>
        <w:jc w:val="right"/>
        <w:bidi/>
      </w:pPr>
      <w:r>
        <w:rPr>
          <w:rFonts w:ascii="Arial" w:hAnsi="Arial"/>
          <w:sz w:val="16"/>
        </w:rPr>
        <w:t>468.28  می‌توان آن را زیر ژاکت آبی سبک وزن، روپوش و کت در هر شرایط آب و هوایی پوشید.</w:t>
      </w:r>
    </w:p>
    <w:p>
      <w:pPr>
        <w:spacing w:after="28" w:line="216" w:lineRule="auto"/>
        <w:ind w:left="259"/>
        <w:jc w:val="left"/>
      </w:pPr>
      <w:r>
        <w:rPr>
          <w:rFonts w:ascii="Arial" w:hAnsi="Arial"/>
          <w:color w:val="525252"/>
          <w:sz w:val="13"/>
        </w:rPr>
        <w:t>It can be worn under the lightweight blue jacket, the topcoat, and the all-weather coat.</w:t>
      </w:r>
    </w:p>
    <w:p>
      <w:pPr>
        <w:spacing w:after="20" w:line="223" w:lineRule="auto"/>
        <w:jc w:val="right"/>
        <w:bidi/>
      </w:pPr>
      <w:r>
        <w:rPr>
          <w:rFonts w:ascii="Arial" w:hAnsi="Arial"/>
          <w:sz w:val="16"/>
        </w:rPr>
        <w:t>468.29  آبی تیره، و-</w:t>
      </w:r>
    </w:p>
    <w:p>
      <w:pPr>
        <w:spacing w:after="28" w:line="216" w:lineRule="auto"/>
        <w:ind w:left="259"/>
        <w:jc w:val="left"/>
      </w:pPr>
      <w:r>
        <w:rPr>
          <w:rFonts w:ascii="Arial" w:hAnsi="Arial"/>
          <w:color w:val="525252"/>
          <w:sz w:val="13"/>
        </w:rPr>
        <w:t>The dark blue, V-</w:t>
      </w:r>
    </w:p>
    <w:p>
      <w:r>
        <w:br w:type="page"/>
      </w:r>
    </w:p>
    <w:p>
      <w:pPr>
        <w:spacing w:after="60"/>
        <w:jc w:val="right"/>
        <w:bidi/>
      </w:pPr>
      <w:r>
        <w:rPr>
          <w:rFonts w:ascii="Arial" w:hAnsi="Arial"/>
          <w:b/>
          <w:color w:val="1F4D78"/>
          <w:sz w:val="19"/>
        </w:rPr>
        <w:t>هفتهٔ 469  |  صفحهٔ منبع: 485</w:t>
      </w:r>
    </w:p>
    <w:p>
      <w:pPr>
        <w:spacing w:after="20" w:line="223" w:lineRule="auto"/>
        <w:jc w:val="right"/>
        <w:bidi/>
      </w:pPr>
      <w:r>
        <w:rPr>
          <w:rFonts w:ascii="Arial" w:hAnsi="Arial"/>
          <w:sz w:val="16"/>
        </w:rPr>
        <w:t>469.01  ، با آستین‌های سربند، ژاکت ترکیبی ۵۰% پشم و ۵۰% اکریلیک به‌عنوان یک لباس داخلی یا خارجی مجاز است.</w:t>
      </w:r>
    </w:p>
    <w:p>
      <w:pPr>
        <w:spacing w:after="28" w:line="216" w:lineRule="auto"/>
        <w:ind w:left="259"/>
        <w:jc w:val="left"/>
      </w:pPr>
      <w:r>
        <w:rPr>
          <w:rFonts w:ascii="Arial" w:hAnsi="Arial"/>
          <w:color w:val="525252"/>
          <w:sz w:val="13"/>
        </w:rPr>
        <w:t>neck, with cuffed sleeves, 50% wool and 50% acrylic blend sweater is authorized as an indoor or outdoor garment.</w:t>
      </w:r>
    </w:p>
    <w:p>
      <w:pPr>
        <w:spacing w:after="20" w:line="223" w:lineRule="auto"/>
        <w:jc w:val="right"/>
        <w:bidi/>
      </w:pPr>
      <w:r>
        <w:rPr>
          <w:rFonts w:ascii="Arial" w:hAnsi="Arial"/>
          <w:sz w:val="16"/>
        </w:rPr>
        <w:t>469.02  کراوات/تب اختیاری است.</w:t>
      </w:r>
    </w:p>
    <w:p>
      <w:pPr>
        <w:spacing w:after="28" w:line="216" w:lineRule="auto"/>
        <w:ind w:left="259"/>
        <w:jc w:val="left"/>
      </w:pPr>
      <w:r>
        <w:rPr>
          <w:rFonts w:ascii="Arial" w:hAnsi="Arial"/>
          <w:color w:val="525252"/>
          <w:sz w:val="13"/>
        </w:rPr>
        <w:t>Tie/tab is optional.</w:t>
      </w:r>
    </w:p>
    <w:p>
      <w:pPr>
        <w:spacing w:after="20" w:line="223" w:lineRule="auto"/>
        <w:jc w:val="right"/>
        <w:bidi/>
      </w:pPr>
      <w:r>
        <w:rPr>
          <w:rFonts w:ascii="Arial" w:hAnsi="Arial"/>
          <w:sz w:val="16"/>
        </w:rPr>
        <w:t>469.03  اعضا ممکن است یقه پیراهن را در داخل یا بیرون ژاکت بپوشند.</w:t>
      </w:r>
    </w:p>
    <w:p>
      <w:pPr>
        <w:spacing w:after="28" w:line="216" w:lineRule="auto"/>
        <w:ind w:left="259"/>
        <w:jc w:val="left"/>
      </w:pPr>
      <w:r>
        <w:rPr>
          <w:rFonts w:ascii="Arial" w:hAnsi="Arial"/>
          <w:color w:val="525252"/>
          <w:sz w:val="13"/>
        </w:rPr>
        <w:t>Member may wear collar of shirt inside or outside sweater.</w:t>
      </w:r>
    </w:p>
    <w:p>
      <w:pPr>
        <w:spacing w:after="20" w:line="223" w:lineRule="auto"/>
        <w:jc w:val="right"/>
        <w:bidi/>
      </w:pPr>
      <w:r>
        <w:rPr>
          <w:rFonts w:ascii="Arial" w:hAnsi="Arial"/>
          <w:sz w:val="16"/>
        </w:rPr>
        <w:t>469.04  هنگام پوشیدن لباس بیرونی دیگر، ژاکت را در معرض دید قرار ندهید.</w:t>
      </w:r>
    </w:p>
    <w:p>
      <w:pPr>
        <w:spacing w:after="28" w:line="216" w:lineRule="auto"/>
        <w:ind w:left="259"/>
        <w:jc w:val="left"/>
      </w:pPr>
      <w:r>
        <w:rPr>
          <w:rFonts w:ascii="Arial" w:hAnsi="Arial"/>
          <w:color w:val="525252"/>
          <w:sz w:val="13"/>
        </w:rPr>
        <w:t>Do not expose the sweater when wearing another outer garment.</w:t>
      </w:r>
    </w:p>
    <w:p>
      <w:pPr>
        <w:spacing w:after="20" w:line="223" w:lineRule="auto"/>
        <w:jc w:val="right"/>
        <w:bidi/>
      </w:pPr>
      <w:r>
        <w:rPr>
          <w:rFonts w:ascii="Arial" w:hAnsi="Arial"/>
          <w:sz w:val="16"/>
        </w:rPr>
        <w:t>469.05  آستین‌ها را بالا نزنید.</w:t>
      </w:r>
    </w:p>
    <w:p>
      <w:pPr>
        <w:spacing w:after="28" w:line="216" w:lineRule="auto"/>
        <w:ind w:left="259"/>
        <w:jc w:val="left"/>
      </w:pPr>
      <w:r>
        <w:rPr>
          <w:rFonts w:ascii="Arial" w:hAnsi="Arial"/>
          <w:color w:val="525252"/>
          <w:sz w:val="13"/>
        </w:rPr>
        <w:t>Do not push up sleeves.</w:t>
      </w:r>
    </w:p>
    <w:p>
      <w:pPr>
        <w:spacing w:after="20" w:line="223" w:lineRule="auto"/>
        <w:jc w:val="right"/>
        <w:bidi/>
      </w:pPr>
      <w:r>
        <w:rPr>
          <w:rFonts w:ascii="Arial" w:hAnsi="Arial"/>
          <w:sz w:val="16"/>
        </w:rPr>
        <w:t>469.06  روی ژاکت سبک، بافتنی تخت، پلوور برچسب اسم نپوشید.</w:t>
      </w:r>
    </w:p>
    <w:p>
      <w:pPr>
        <w:spacing w:after="28" w:line="216" w:lineRule="auto"/>
        <w:ind w:left="259"/>
        <w:jc w:val="left"/>
      </w:pPr>
      <w:r>
        <w:rPr>
          <w:rFonts w:ascii="Arial" w:hAnsi="Arial"/>
          <w:color w:val="525252"/>
          <w:sz w:val="13"/>
        </w:rPr>
        <w:t>Do not wear a name tag on the light weight, flat knit, pullover sweater.</w:t>
      </w:r>
    </w:p>
    <w:p>
      <w:pPr>
        <w:spacing w:after="20" w:line="223" w:lineRule="auto"/>
        <w:jc w:val="right"/>
        <w:bidi/>
      </w:pPr>
      <w:r>
        <w:rPr>
          <w:rFonts w:ascii="Arial" w:hAnsi="Arial"/>
          <w:sz w:val="16"/>
        </w:rPr>
        <w:t>469.07  توجه: فرماندهان بال ممکن است بر اساس شرایط خاص نیاز به پوشیدن کراوات/ زبانه با تمام ترکیبات یکنواخت داشته باشند.</w:t>
      </w:r>
    </w:p>
    <w:p>
      <w:pPr>
        <w:spacing w:after="28" w:line="216" w:lineRule="auto"/>
        <w:ind w:left="259"/>
        <w:jc w:val="left"/>
      </w:pPr>
      <w:r>
        <w:rPr>
          <w:rFonts w:ascii="Arial" w:hAnsi="Arial"/>
          <w:color w:val="525252"/>
          <w:sz w:val="13"/>
        </w:rPr>
        <w:t>Note: Wing Commanders may require the wear of a tie/tab with all uniform combinations based on specific circumstances.</w:t>
      </w:r>
    </w:p>
    <w:p>
      <w:pPr>
        <w:spacing w:after="20" w:line="223" w:lineRule="auto"/>
        <w:jc w:val="right"/>
        <w:bidi/>
      </w:pPr>
      <w:r>
        <w:rPr>
          <w:rFonts w:ascii="Arial" w:hAnsi="Arial"/>
          <w:sz w:val="16"/>
        </w:rPr>
        <w:t>469.08  نشان درجه افسری.</w:t>
      </w:r>
    </w:p>
    <w:p>
      <w:pPr>
        <w:spacing w:after="28" w:line="216" w:lineRule="auto"/>
        <w:ind w:left="259"/>
        <w:jc w:val="left"/>
      </w:pPr>
      <w:r>
        <w:rPr>
          <w:rFonts w:ascii="Arial" w:hAnsi="Arial"/>
          <w:color w:val="525252"/>
          <w:sz w:val="13"/>
        </w:rPr>
        <w:t>Officer Rank Insignia.</w:t>
      </w:r>
    </w:p>
    <w:p>
      <w:pPr>
        <w:spacing w:after="20" w:line="223" w:lineRule="auto"/>
        <w:jc w:val="right"/>
        <w:bidi/>
      </w:pPr>
      <w:r>
        <w:rPr>
          <w:rFonts w:ascii="Arial" w:hAnsi="Arial"/>
          <w:sz w:val="16"/>
        </w:rPr>
        <w:t>469.09  افسران نشان‌های درجه شانه را بر روی سردوش‌ها خواهند گذاشت.</w:t>
      </w:r>
    </w:p>
    <w:p>
      <w:pPr>
        <w:spacing w:after="28" w:line="216" w:lineRule="auto"/>
        <w:ind w:left="259"/>
        <w:jc w:val="left"/>
      </w:pPr>
      <w:r>
        <w:rPr>
          <w:rFonts w:ascii="Arial" w:hAnsi="Arial"/>
          <w:color w:val="525252"/>
          <w:sz w:val="13"/>
        </w:rPr>
        <w:t>Officers will wear shoulder mark rank insignia on the epaulets.</w:t>
      </w:r>
    </w:p>
    <w:p>
      <w:pPr>
        <w:spacing w:after="20" w:line="223" w:lineRule="auto"/>
        <w:jc w:val="right"/>
        <w:bidi/>
      </w:pPr>
      <w:r>
        <w:rPr>
          <w:rFonts w:ascii="Arial" w:hAnsi="Arial"/>
          <w:sz w:val="16"/>
        </w:rPr>
        <w:t>469.10  نشان رتبه ثبت‌نام.</w:t>
      </w:r>
    </w:p>
    <w:p>
      <w:pPr>
        <w:spacing w:after="28" w:line="216" w:lineRule="auto"/>
        <w:ind w:left="259"/>
        <w:jc w:val="left"/>
      </w:pPr>
      <w:r>
        <w:rPr>
          <w:rFonts w:ascii="Arial" w:hAnsi="Arial"/>
          <w:color w:val="525252"/>
          <w:sz w:val="13"/>
        </w:rPr>
        <w:t>Enlisted Rank Insignia.</w:t>
      </w:r>
    </w:p>
    <w:p>
      <w:pPr>
        <w:spacing w:after="20" w:line="223" w:lineRule="auto"/>
        <w:jc w:val="right"/>
        <w:bidi/>
      </w:pPr>
      <w:r>
        <w:rPr>
          <w:rFonts w:ascii="Arial" w:hAnsi="Arial"/>
          <w:sz w:val="16"/>
        </w:rPr>
        <w:t>469.11  هوانوردان درجه‌دار، نشان‌های درجه فلزی را در فاصله ۵/۸ اینچی از درز شانه/آستین سردوش خواهند پوشید.</w:t>
      </w:r>
    </w:p>
    <w:p>
      <w:pPr>
        <w:spacing w:after="28" w:line="216" w:lineRule="auto"/>
        <w:ind w:left="259"/>
        <w:jc w:val="left"/>
      </w:pPr>
      <w:r>
        <w:rPr>
          <w:rFonts w:ascii="Arial" w:hAnsi="Arial"/>
          <w:color w:val="525252"/>
          <w:sz w:val="13"/>
        </w:rPr>
        <w:t>Enlisted Airmen will wear metal rank insignia 5/8-inch from the shoulder/sleeve seam of the epaulet.</w:t>
      </w:r>
    </w:p>
    <w:p>
      <w:pPr>
        <w:spacing w:after="20" w:line="223" w:lineRule="auto"/>
        <w:jc w:val="right"/>
        <w:bidi/>
      </w:pPr>
      <w:r>
        <w:rPr>
          <w:rFonts w:ascii="Arial" w:hAnsi="Arial"/>
          <w:sz w:val="16"/>
        </w:rPr>
        <w:t>469.12  پایین نشان‌های رتبه رو به درز آستین است که ردیف فلزی موازی با لبه‌های سردوش قرار دارد.</w:t>
      </w:r>
    </w:p>
    <w:p>
      <w:pPr>
        <w:spacing w:after="28" w:line="216" w:lineRule="auto"/>
        <w:ind w:left="259"/>
        <w:jc w:val="left"/>
      </w:pPr>
      <w:r>
        <w:rPr>
          <w:rFonts w:ascii="Arial" w:hAnsi="Arial"/>
          <w:color w:val="525252"/>
          <w:sz w:val="13"/>
        </w:rPr>
        <w:t>The bottom of the rank insignia will face the sleeve seam with the metal rank positioned parallel to the edges of the epaulet.</w:t>
      </w:r>
    </w:p>
    <w:p>
      <w:pPr>
        <w:spacing w:after="20" w:line="223" w:lineRule="auto"/>
        <w:jc w:val="right"/>
        <w:bidi/>
      </w:pPr>
      <w:r>
        <w:rPr>
          <w:rFonts w:ascii="Arial" w:hAnsi="Arial"/>
          <w:sz w:val="16"/>
        </w:rPr>
        <w:t>469.13  SNCO ها ممکن است از نشان‌های شانه استفاده کنند.</w:t>
      </w:r>
    </w:p>
    <w:p>
      <w:pPr>
        <w:spacing w:after="28" w:line="216" w:lineRule="auto"/>
        <w:ind w:left="259"/>
        <w:jc w:val="left"/>
      </w:pPr>
      <w:r>
        <w:rPr>
          <w:rFonts w:ascii="Arial" w:hAnsi="Arial"/>
          <w:color w:val="525252"/>
          <w:sz w:val="13"/>
        </w:rPr>
        <w:t>SNCOs may wear shoulder mark insignia.</w:t>
      </w:r>
    </w:p>
    <w:p>
      <w:pPr>
        <w:spacing w:before="60" w:after="28"/>
        <w:jc w:val="right"/>
        <w:bidi/>
      </w:pPr>
      <w:r>
        <w:rPr>
          <w:b/>
          <w:color w:val="1F4D78"/>
          <w:sz w:val="18"/>
        </w:rPr>
        <w:t>شکل 23.37. ژاکت پولاور</w:t>
      </w:r>
    </w:p>
    <w:p>
      <w:pPr>
        <w:spacing w:after="20"/>
        <w:ind w:left="259"/>
        <w:jc w:val="left"/>
      </w:pPr>
      <w:r>
        <w:rPr>
          <w:color w:val="555555"/>
          <w:sz w:val="12"/>
        </w:rPr>
        <w:t>Figure 23.37. Pullover Sweater</w:t>
      </w:r>
    </w:p>
    <w:p>
      <w:pPr>
        <w:spacing w:after="20" w:line="223" w:lineRule="auto"/>
        <w:jc w:val="right"/>
        <w:bidi/>
      </w:pPr>
      <w:r>
        <w:rPr>
          <w:rFonts w:ascii="Arial" w:hAnsi="Arial"/>
          <w:sz w:val="16"/>
        </w:rPr>
        <w:t>469.15  ژاکت کش باف پشمی (آبی).</w:t>
      </w:r>
    </w:p>
    <w:p>
      <w:pPr>
        <w:spacing w:after="28" w:line="216" w:lineRule="auto"/>
        <w:ind w:left="259"/>
        <w:jc w:val="left"/>
      </w:pPr>
      <w:r>
        <w:rPr>
          <w:rFonts w:ascii="Arial" w:hAnsi="Arial"/>
          <w:color w:val="525252"/>
          <w:sz w:val="13"/>
        </w:rPr>
        <w:t>Cardigan Sweater (blue).</w:t>
      </w:r>
    </w:p>
    <w:p>
      <w:pPr>
        <w:spacing w:after="20" w:line="223" w:lineRule="auto"/>
        <w:jc w:val="right"/>
        <w:bidi/>
      </w:pPr>
      <w:r>
        <w:rPr>
          <w:rFonts w:ascii="Arial" w:hAnsi="Arial"/>
          <w:sz w:val="16"/>
        </w:rPr>
        <w:t>469.16  فقط با لباس کلاس ب قابل پوشیدن است.</w:t>
      </w:r>
    </w:p>
    <w:p>
      <w:pPr>
        <w:spacing w:after="28" w:line="216" w:lineRule="auto"/>
        <w:ind w:left="259"/>
        <w:jc w:val="left"/>
      </w:pPr>
      <w:r>
        <w:rPr>
          <w:rFonts w:ascii="Arial" w:hAnsi="Arial"/>
          <w:color w:val="525252"/>
          <w:sz w:val="13"/>
        </w:rPr>
        <w:t>Can only be worn with the Class B uniform.</w:t>
      </w:r>
    </w:p>
    <w:p>
      <w:pPr>
        <w:spacing w:after="20" w:line="223" w:lineRule="auto"/>
        <w:jc w:val="right"/>
        <w:bidi/>
      </w:pPr>
      <w:r>
        <w:rPr>
          <w:rFonts w:ascii="Arial" w:hAnsi="Arial"/>
          <w:sz w:val="16"/>
        </w:rPr>
        <w:t>469.17  می‌توان آن را زیر ژاکت آبی سبک وزن، روپوش و کت در هر شرایط آب و هوایی پوشید.</w:t>
      </w:r>
    </w:p>
    <w:p>
      <w:pPr>
        <w:spacing w:after="28" w:line="216" w:lineRule="auto"/>
        <w:ind w:left="259"/>
        <w:jc w:val="left"/>
      </w:pPr>
      <w:r>
        <w:rPr>
          <w:rFonts w:ascii="Arial" w:hAnsi="Arial"/>
          <w:color w:val="525252"/>
          <w:sz w:val="13"/>
        </w:rPr>
        <w:t>It can be worn under the lightweight blue jacket, the topcoat, and the all-weather coat.</w:t>
      </w:r>
    </w:p>
    <w:p>
      <w:pPr>
        <w:spacing w:after="20" w:line="223" w:lineRule="auto"/>
        <w:jc w:val="right"/>
        <w:bidi/>
      </w:pPr>
      <w:r>
        <w:rPr>
          <w:rFonts w:ascii="Arial" w:hAnsi="Arial"/>
          <w:sz w:val="16"/>
        </w:rPr>
        <w:t>469.18  ژاکت ژاکت کش باف پشمی ۵۰% اکریلیک و ۵۰% پشم بدون تحریک خواهد بود.</w:t>
      </w:r>
    </w:p>
    <w:p>
      <w:pPr>
        <w:spacing w:after="28" w:line="216" w:lineRule="auto"/>
        <w:ind w:left="259"/>
        <w:jc w:val="left"/>
      </w:pPr>
      <w:r>
        <w:rPr>
          <w:rFonts w:ascii="Arial" w:hAnsi="Arial"/>
          <w:color w:val="525252"/>
          <w:sz w:val="13"/>
        </w:rPr>
        <w:t>The cardigan sweater will be 50% acrylic and 50% non-irritation wool blend.</w:t>
      </w:r>
    </w:p>
    <w:p>
      <w:pPr>
        <w:spacing w:after="20" w:line="223" w:lineRule="auto"/>
        <w:jc w:val="right"/>
        <w:bidi/>
      </w:pPr>
      <w:r>
        <w:rPr>
          <w:rFonts w:ascii="Arial" w:hAnsi="Arial"/>
          <w:sz w:val="16"/>
        </w:rPr>
        <w:t>469.19  می‌توان آن را با آستین‌های بسته یا بدون بند پوشید و به‌عنوان لباس داخلی یا خارجی مجاز است.</w:t>
      </w:r>
    </w:p>
    <w:p>
      <w:pPr>
        <w:spacing w:after="28" w:line="216" w:lineRule="auto"/>
        <w:ind w:left="259"/>
        <w:jc w:val="left"/>
      </w:pPr>
      <w:r>
        <w:rPr>
          <w:rFonts w:ascii="Arial" w:hAnsi="Arial"/>
          <w:color w:val="525252"/>
          <w:sz w:val="13"/>
        </w:rPr>
        <w:t>It can be worn with sleeves cuffed or uncuffed and is authorized as an indoor or outdoor garment.</w:t>
      </w:r>
    </w:p>
    <w:p>
      <w:pPr>
        <w:spacing w:after="20" w:line="223" w:lineRule="auto"/>
        <w:jc w:val="right"/>
        <w:bidi/>
      </w:pPr>
      <w:r>
        <w:rPr>
          <w:rFonts w:ascii="Arial" w:hAnsi="Arial"/>
          <w:sz w:val="16"/>
        </w:rPr>
        <w:t>469.20  دکمه‌های ژاکت در خارج از منزل بسته می‌شود و ممکن است در داخل خانه باز شود.</w:t>
      </w:r>
    </w:p>
    <w:p>
      <w:pPr>
        <w:spacing w:after="28" w:line="216" w:lineRule="auto"/>
        <w:ind w:left="259"/>
        <w:jc w:val="left"/>
      </w:pPr>
      <w:r>
        <w:rPr>
          <w:rFonts w:ascii="Arial" w:hAnsi="Arial"/>
          <w:color w:val="525252"/>
          <w:sz w:val="13"/>
        </w:rPr>
        <w:t>The sweater will be buttoned while outdoors and may be unbuttoned while indoors.</w:t>
      </w:r>
    </w:p>
    <w:p>
      <w:pPr>
        <w:spacing w:after="20" w:line="223" w:lineRule="auto"/>
        <w:jc w:val="right"/>
        <w:bidi/>
      </w:pPr>
      <w:r>
        <w:rPr>
          <w:rFonts w:ascii="Arial" w:hAnsi="Arial"/>
          <w:sz w:val="16"/>
        </w:rPr>
        <w:t>469.21  استثنا: اعضا هنگام پوشیدن یونیفورم بارداری می‌توانند دکمه‌های باز شده را در فضای باز بپوشند.</w:t>
      </w:r>
    </w:p>
    <w:p>
      <w:pPr>
        <w:spacing w:after="28" w:line="216" w:lineRule="auto"/>
        <w:ind w:left="259"/>
        <w:jc w:val="left"/>
      </w:pPr>
      <w:r>
        <w:rPr>
          <w:rFonts w:ascii="Arial" w:hAnsi="Arial"/>
          <w:color w:val="525252"/>
          <w:sz w:val="13"/>
        </w:rPr>
        <w:t>Exception: Members may wear unbuttoned outdoors when worn with maternity uniforms.</w:t>
      </w:r>
    </w:p>
    <w:p>
      <w:pPr>
        <w:spacing w:after="20" w:line="223" w:lineRule="auto"/>
        <w:jc w:val="right"/>
        <w:bidi/>
      </w:pPr>
      <w:r>
        <w:rPr>
          <w:rFonts w:ascii="Arial" w:hAnsi="Arial"/>
          <w:sz w:val="16"/>
        </w:rPr>
        <w:t>469.22  وقتی دکمه‌های ژاکت را ببندید، ژاکت کاملا بسته می‌شود.</w:t>
      </w:r>
    </w:p>
    <w:p>
      <w:pPr>
        <w:spacing w:after="28" w:line="216" w:lineRule="auto"/>
        <w:ind w:left="259"/>
        <w:jc w:val="left"/>
      </w:pPr>
      <w:r>
        <w:rPr>
          <w:rFonts w:ascii="Arial" w:hAnsi="Arial"/>
          <w:color w:val="525252"/>
          <w:sz w:val="13"/>
        </w:rPr>
        <w:t>When buttoned, the sweater will be completely buttoned.</w:t>
      </w:r>
    </w:p>
    <w:p>
      <w:pPr>
        <w:spacing w:after="20" w:line="223" w:lineRule="auto"/>
        <w:jc w:val="right"/>
        <w:bidi/>
      </w:pPr>
      <w:r>
        <w:rPr>
          <w:rFonts w:ascii="Arial" w:hAnsi="Arial"/>
          <w:sz w:val="16"/>
        </w:rPr>
        <w:t>469.23  یقه پیراهن ممکن است در داخل یا بیرون پلیور پوشیده شود.</w:t>
      </w:r>
    </w:p>
    <w:p>
      <w:pPr>
        <w:spacing w:after="28" w:line="216" w:lineRule="auto"/>
        <w:ind w:left="259"/>
        <w:jc w:val="left"/>
      </w:pPr>
      <w:r>
        <w:rPr>
          <w:rFonts w:ascii="Arial" w:hAnsi="Arial"/>
          <w:color w:val="525252"/>
          <w:sz w:val="13"/>
        </w:rPr>
        <w:t>The collar of the shirt may be worn inside or outside of the sweater.</w:t>
      </w:r>
    </w:p>
    <w:p>
      <w:pPr>
        <w:spacing w:after="20" w:line="223" w:lineRule="auto"/>
        <w:jc w:val="right"/>
        <w:bidi/>
      </w:pPr>
      <w:r>
        <w:rPr>
          <w:rFonts w:ascii="Arial" w:hAnsi="Arial"/>
          <w:sz w:val="16"/>
        </w:rPr>
        <w:t>469.24  کراوات/تب اختیاری است.</w:t>
      </w:r>
    </w:p>
    <w:p>
      <w:pPr>
        <w:spacing w:after="28" w:line="216" w:lineRule="auto"/>
        <w:ind w:left="259"/>
        <w:jc w:val="left"/>
      </w:pPr>
      <w:r>
        <w:rPr>
          <w:rFonts w:ascii="Arial" w:hAnsi="Arial"/>
          <w:color w:val="525252"/>
          <w:sz w:val="13"/>
        </w:rPr>
        <w:t>Tie/tab is optional.</w:t>
      </w:r>
    </w:p>
    <w:p>
      <w:pPr>
        <w:spacing w:after="20" w:line="223" w:lineRule="auto"/>
        <w:jc w:val="right"/>
        <w:bidi/>
      </w:pPr>
      <w:r>
        <w:rPr>
          <w:rFonts w:ascii="Arial" w:hAnsi="Arial"/>
          <w:sz w:val="16"/>
        </w:rPr>
        <w:t>469.25  آستین‌های بالا زده نپوشید.</w:t>
      </w:r>
    </w:p>
    <w:p>
      <w:pPr>
        <w:spacing w:after="28" w:line="216" w:lineRule="auto"/>
        <w:ind w:left="259"/>
        <w:jc w:val="left"/>
      </w:pPr>
      <w:r>
        <w:rPr>
          <w:rFonts w:ascii="Arial" w:hAnsi="Arial"/>
          <w:color w:val="525252"/>
          <w:sz w:val="13"/>
        </w:rPr>
        <w:t>Do not wear sleeves pushed up.</w:t>
      </w:r>
    </w:p>
    <w:p>
      <w:pPr>
        <w:spacing w:after="20" w:line="223" w:lineRule="auto"/>
        <w:jc w:val="right"/>
        <w:bidi/>
      </w:pPr>
      <w:r>
        <w:rPr>
          <w:rFonts w:ascii="Arial" w:hAnsi="Arial"/>
          <w:sz w:val="16"/>
        </w:rPr>
        <w:t>469.26  هنگام پوشیدن لباس بیرونی دیگر، ژاکت را در معرض دید قرار ندهید.</w:t>
      </w:r>
    </w:p>
    <w:p>
      <w:pPr>
        <w:spacing w:after="28" w:line="216" w:lineRule="auto"/>
        <w:ind w:left="259"/>
        <w:jc w:val="left"/>
      </w:pPr>
      <w:r>
        <w:rPr>
          <w:rFonts w:ascii="Arial" w:hAnsi="Arial"/>
          <w:color w:val="525252"/>
          <w:sz w:val="13"/>
        </w:rPr>
        <w:t>Do not expose the sweater when wearing another outer garment.</w:t>
      </w:r>
    </w:p>
    <w:p>
      <w:pPr>
        <w:spacing w:after="20" w:line="223" w:lineRule="auto"/>
        <w:jc w:val="right"/>
        <w:bidi/>
      </w:pPr>
      <w:r>
        <w:rPr>
          <w:rFonts w:ascii="Arial" w:hAnsi="Arial"/>
          <w:sz w:val="16"/>
        </w:rPr>
        <w:t>469.27  روی پلیور ژاکت کش باف پشمی برچسب اسم نزنید.</w:t>
      </w:r>
    </w:p>
    <w:p>
      <w:pPr>
        <w:spacing w:after="28" w:line="216" w:lineRule="auto"/>
        <w:ind w:left="259"/>
        <w:jc w:val="left"/>
      </w:pPr>
      <w:r>
        <w:rPr>
          <w:rFonts w:ascii="Arial" w:hAnsi="Arial"/>
          <w:color w:val="525252"/>
          <w:sz w:val="13"/>
        </w:rPr>
        <w:t>Do not wear a name tag on the cardigan sweater.</w:t>
      </w:r>
    </w:p>
    <w:p>
      <w:pPr>
        <w:spacing w:after="20" w:line="223" w:lineRule="auto"/>
        <w:jc w:val="right"/>
        <w:bidi/>
      </w:pPr>
      <w:r>
        <w:rPr>
          <w:rFonts w:ascii="Arial" w:hAnsi="Arial"/>
          <w:sz w:val="16"/>
        </w:rPr>
        <w:t>469.28  پرسنل بیمارستان با لباس فرم سفید نپوشند.</w:t>
      </w:r>
    </w:p>
    <w:p>
      <w:pPr>
        <w:spacing w:after="28" w:line="216" w:lineRule="auto"/>
        <w:ind w:left="259"/>
        <w:jc w:val="left"/>
      </w:pPr>
      <w:r>
        <w:rPr>
          <w:rFonts w:ascii="Arial" w:hAnsi="Arial"/>
          <w:color w:val="525252"/>
          <w:sz w:val="13"/>
        </w:rPr>
        <w:t>Hospital personnel do not wear with white uniforms.</w:t>
      </w:r>
    </w:p>
    <w:p>
      <w:pPr>
        <w:spacing w:after="20" w:line="223" w:lineRule="auto"/>
        <w:jc w:val="right"/>
        <w:bidi/>
      </w:pPr>
      <w:r>
        <w:rPr>
          <w:rFonts w:ascii="Arial" w:hAnsi="Arial"/>
          <w:sz w:val="16"/>
        </w:rPr>
        <w:t>469.29  نشان درجه افسری.</w:t>
      </w:r>
    </w:p>
    <w:p>
      <w:pPr>
        <w:spacing w:after="28" w:line="216" w:lineRule="auto"/>
        <w:ind w:left="259"/>
        <w:jc w:val="left"/>
      </w:pPr>
      <w:r>
        <w:rPr>
          <w:rFonts w:ascii="Arial" w:hAnsi="Arial"/>
          <w:color w:val="525252"/>
          <w:sz w:val="13"/>
        </w:rPr>
        <w:t>Officer Rank Insignia.</w:t>
      </w:r>
    </w:p>
    <w:p>
      <w:pPr>
        <w:spacing w:after="20" w:line="223" w:lineRule="auto"/>
        <w:jc w:val="right"/>
        <w:bidi/>
      </w:pPr>
      <w:r>
        <w:rPr>
          <w:rFonts w:ascii="Arial" w:hAnsi="Arial"/>
          <w:sz w:val="16"/>
        </w:rPr>
        <w:t>469.30  افسران نشان‌های درجه شانه را بر روی سردوش‌ها خواهند گذاشت.</w:t>
      </w:r>
    </w:p>
    <w:p>
      <w:pPr>
        <w:spacing w:after="28" w:line="216" w:lineRule="auto"/>
        <w:ind w:left="259"/>
        <w:jc w:val="left"/>
      </w:pPr>
      <w:r>
        <w:rPr>
          <w:rFonts w:ascii="Arial" w:hAnsi="Arial"/>
          <w:color w:val="525252"/>
          <w:sz w:val="13"/>
        </w:rPr>
        <w:t>Officers will wear shoulder mark rank insignia on the epaulets.</w:t>
      </w:r>
    </w:p>
    <w:p>
      <w:pPr>
        <w:spacing w:after="20" w:line="223" w:lineRule="auto"/>
        <w:jc w:val="right"/>
        <w:bidi/>
      </w:pPr>
      <w:r>
        <w:rPr>
          <w:rFonts w:ascii="Arial" w:hAnsi="Arial"/>
          <w:sz w:val="16"/>
        </w:rPr>
        <w:t>469.31  نشان رتبه ثبت‌نام.</w:t>
      </w:r>
    </w:p>
    <w:p>
      <w:pPr>
        <w:spacing w:after="28" w:line="216" w:lineRule="auto"/>
        <w:ind w:left="259"/>
        <w:jc w:val="left"/>
      </w:pPr>
      <w:r>
        <w:rPr>
          <w:rFonts w:ascii="Arial" w:hAnsi="Arial"/>
          <w:color w:val="525252"/>
          <w:sz w:val="13"/>
        </w:rPr>
        <w:t>Enlisted Rank Insignia.</w:t>
      </w:r>
    </w:p>
    <w:p>
      <w:pPr>
        <w:spacing w:after="20" w:line="223" w:lineRule="auto"/>
        <w:jc w:val="right"/>
        <w:bidi/>
      </w:pPr>
      <w:r>
        <w:rPr>
          <w:rFonts w:ascii="Arial" w:hAnsi="Arial"/>
          <w:sz w:val="16"/>
        </w:rPr>
        <w:t>469.32  هوانوردان درجه‌دار، نشان‌های درجه فلزی را در فاصله ۵/۸ اینچی از درز شانه/آستین سردوش خواهند پوشید.</w:t>
      </w:r>
    </w:p>
    <w:p>
      <w:pPr>
        <w:spacing w:after="28" w:line="216" w:lineRule="auto"/>
        <w:ind w:left="259"/>
        <w:jc w:val="left"/>
      </w:pPr>
      <w:r>
        <w:rPr>
          <w:rFonts w:ascii="Arial" w:hAnsi="Arial"/>
          <w:color w:val="525252"/>
          <w:sz w:val="13"/>
        </w:rPr>
        <w:t>Enlisted Airmen will wear metal rank insignia 5/8-inch from the shoulder/sleeve seam of the epaulet.</w:t>
      </w:r>
    </w:p>
    <w:p>
      <w:pPr>
        <w:spacing w:after="20" w:line="223" w:lineRule="auto"/>
        <w:jc w:val="right"/>
        <w:bidi/>
      </w:pPr>
      <w:r>
        <w:rPr>
          <w:rFonts w:ascii="Arial" w:hAnsi="Arial"/>
          <w:sz w:val="16"/>
        </w:rPr>
        <w:t>469.33  پایین نشان‌های رتبه رو به درز آستین است که ردیف فلزی موازی با لبه‌های سردوش قرار دارد.</w:t>
      </w:r>
    </w:p>
    <w:p>
      <w:pPr>
        <w:spacing w:after="28" w:line="216" w:lineRule="auto"/>
        <w:ind w:left="259"/>
        <w:jc w:val="left"/>
      </w:pPr>
      <w:r>
        <w:rPr>
          <w:rFonts w:ascii="Arial" w:hAnsi="Arial"/>
          <w:color w:val="525252"/>
          <w:sz w:val="13"/>
        </w:rPr>
        <w:t>The bottom of the rank insignia will face the sleeve seam with the metal rank positioned parallel to the edges of the epaulet.</w:t>
      </w:r>
    </w:p>
    <w:p>
      <w:pPr>
        <w:spacing w:after="20" w:line="223" w:lineRule="auto"/>
        <w:jc w:val="right"/>
        <w:bidi/>
      </w:pPr>
      <w:r>
        <w:rPr>
          <w:rFonts w:ascii="Arial" w:hAnsi="Arial"/>
          <w:sz w:val="16"/>
        </w:rPr>
        <w:t>469.34  SNCO ها ممکن است از نشان‌های شانه استفاده کنند.</w:t>
      </w:r>
    </w:p>
    <w:p>
      <w:pPr>
        <w:spacing w:after="28" w:line="216" w:lineRule="auto"/>
        <w:ind w:left="259"/>
        <w:jc w:val="left"/>
      </w:pPr>
      <w:r>
        <w:rPr>
          <w:rFonts w:ascii="Arial" w:hAnsi="Arial"/>
          <w:color w:val="525252"/>
          <w:sz w:val="13"/>
        </w:rPr>
        <w:t>SNCOs may wear shoulder mark insignia.</w:t>
      </w:r>
    </w:p>
    <w:p>
      <w:r>
        <w:br w:type="page"/>
      </w:r>
    </w:p>
    <w:p>
      <w:pPr>
        <w:spacing w:after="60"/>
        <w:jc w:val="right"/>
        <w:bidi/>
      </w:pPr>
      <w:r>
        <w:rPr>
          <w:rFonts w:ascii="Arial" w:hAnsi="Arial"/>
          <w:b/>
          <w:color w:val="1F4D78"/>
          <w:sz w:val="19"/>
        </w:rPr>
        <w:t>هفتهٔ 470  |  صفحهٔ منبع: 486</w:t>
      </w:r>
    </w:p>
    <w:p>
      <w:pPr>
        <w:spacing w:before="60" w:after="28"/>
        <w:jc w:val="right"/>
        <w:bidi/>
      </w:pPr>
      <w:r>
        <w:rPr>
          <w:b/>
          <w:color w:val="1F4D78"/>
          <w:sz w:val="18"/>
        </w:rPr>
        <w:t>شکل 23.38. ژاکت کش باف پشمی (آبی) ژاکت</w:t>
      </w:r>
    </w:p>
    <w:p>
      <w:pPr>
        <w:spacing w:after="20"/>
        <w:ind w:left="259"/>
        <w:jc w:val="left"/>
      </w:pPr>
      <w:r>
        <w:rPr>
          <w:color w:val="555555"/>
          <w:sz w:val="12"/>
        </w:rPr>
        <w:t>Figure 23.38. Cardigan (blue) Sweater</w:t>
      </w:r>
    </w:p>
    <w:p>
      <w:pPr>
        <w:spacing w:after="20" w:line="223" w:lineRule="auto"/>
        <w:jc w:val="right"/>
        <w:bidi/>
      </w:pPr>
      <w:r>
        <w:rPr>
          <w:rFonts w:ascii="Arial" w:hAnsi="Arial"/>
          <w:sz w:val="16"/>
        </w:rPr>
        <w:t>470.02  ژاکت آبی سبک.</w:t>
      </w:r>
    </w:p>
    <w:p>
      <w:pPr>
        <w:spacing w:after="28" w:line="216" w:lineRule="auto"/>
        <w:ind w:left="259"/>
        <w:jc w:val="left"/>
      </w:pPr>
      <w:r>
        <w:rPr>
          <w:rFonts w:ascii="Arial" w:hAnsi="Arial"/>
          <w:color w:val="525252"/>
          <w:sz w:val="13"/>
        </w:rPr>
        <w:t>Lightweight Blue Jacket.</w:t>
      </w:r>
    </w:p>
    <w:p>
      <w:pPr>
        <w:spacing w:after="20" w:line="223" w:lineRule="auto"/>
        <w:jc w:val="right"/>
        <w:bidi/>
      </w:pPr>
      <w:r>
        <w:rPr>
          <w:rFonts w:ascii="Arial" w:hAnsi="Arial"/>
          <w:sz w:val="16"/>
        </w:rPr>
        <w:t>470.03  فقط با یونیفرم کلاس ب قابل پوشیدن است و می‌توان آن را روی پلیور یا ژاکت کش باف پشمی پوشید.</w:t>
      </w:r>
    </w:p>
    <w:p>
      <w:pPr>
        <w:spacing w:after="28" w:line="216" w:lineRule="auto"/>
        <w:ind w:left="259"/>
        <w:jc w:val="left"/>
      </w:pPr>
      <w:r>
        <w:rPr>
          <w:rFonts w:ascii="Arial" w:hAnsi="Arial"/>
          <w:color w:val="525252"/>
          <w:sz w:val="13"/>
        </w:rPr>
        <w:t>Can only be worn with the Class B uniform and can be worn over the pullover or cardigan sweater.</w:t>
      </w:r>
    </w:p>
    <w:p>
      <w:pPr>
        <w:spacing w:after="20" w:line="223" w:lineRule="auto"/>
        <w:jc w:val="right"/>
        <w:bidi/>
      </w:pPr>
      <w:r>
        <w:rPr>
          <w:rFonts w:ascii="Arial" w:hAnsi="Arial"/>
          <w:sz w:val="16"/>
        </w:rPr>
        <w:t>470.04  زنان ممکن است نسخه مردانه ژاکت آبی سبک را بپوشند.</w:t>
      </w:r>
    </w:p>
    <w:p>
      <w:pPr>
        <w:spacing w:after="28" w:line="216" w:lineRule="auto"/>
        <w:ind w:left="259"/>
        <w:jc w:val="left"/>
      </w:pPr>
      <w:r>
        <w:rPr>
          <w:rFonts w:ascii="Arial" w:hAnsi="Arial"/>
          <w:color w:val="525252"/>
          <w:sz w:val="13"/>
        </w:rPr>
        <w:t>Females may wear the male version of the lightweight blue jacket.</w:t>
      </w:r>
    </w:p>
    <w:p>
      <w:pPr>
        <w:spacing w:after="20" w:line="223" w:lineRule="auto"/>
        <w:jc w:val="right"/>
        <w:bidi/>
      </w:pPr>
      <w:r>
        <w:rPr>
          <w:rFonts w:ascii="Arial" w:hAnsi="Arial"/>
          <w:sz w:val="16"/>
        </w:rPr>
        <w:t>470.05  بلوزها، در صورتی که داخل آن قرار نگیرند، در اطراف پایین ژاکت آبی سبک قابل مشاهده نیستند.</w:t>
      </w:r>
    </w:p>
    <w:p>
      <w:pPr>
        <w:spacing w:after="28" w:line="216" w:lineRule="auto"/>
        <w:ind w:left="259"/>
        <w:jc w:val="left"/>
      </w:pPr>
      <w:r>
        <w:rPr>
          <w:rFonts w:ascii="Arial" w:hAnsi="Arial"/>
          <w:color w:val="525252"/>
          <w:sz w:val="13"/>
        </w:rPr>
        <w:t>Blouses, if not tucked in, cannot be visible around the bottom of the lightweight blue jacket.</w:t>
      </w:r>
    </w:p>
    <w:p>
      <w:pPr>
        <w:spacing w:after="20" w:line="223" w:lineRule="auto"/>
        <w:jc w:val="right"/>
        <w:bidi/>
      </w:pPr>
      <w:r>
        <w:rPr>
          <w:rFonts w:ascii="Arial" w:hAnsi="Arial"/>
          <w:sz w:val="16"/>
        </w:rPr>
        <w:t>470.06  تا حدی آستردار شده، ضد آب خواهد بود و برای پوشیدن در داخل و خارج مجاز است.</w:t>
      </w:r>
    </w:p>
    <w:p>
      <w:pPr>
        <w:spacing w:after="28" w:line="216" w:lineRule="auto"/>
        <w:ind w:left="259"/>
        <w:jc w:val="left"/>
      </w:pPr>
      <w:r>
        <w:rPr>
          <w:rFonts w:ascii="Arial" w:hAnsi="Arial"/>
          <w:color w:val="525252"/>
          <w:sz w:val="13"/>
        </w:rPr>
        <w:t>It will be partially lined, water repellant and is authorized for wear inside and outside.</w:t>
      </w:r>
    </w:p>
    <w:p>
      <w:pPr>
        <w:spacing w:after="20" w:line="223" w:lineRule="auto"/>
        <w:jc w:val="right"/>
        <w:bidi/>
      </w:pPr>
      <w:r>
        <w:rPr>
          <w:rFonts w:ascii="Arial" w:hAnsi="Arial"/>
          <w:sz w:val="16"/>
        </w:rPr>
        <w:t>470.07  دارای زیپ جلو، دو جیب اریب، سرآستین بافتنی و کمربند.</w:t>
      </w:r>
    </w:p>
    <w:p>
      <w:pPr>
        <w:spacing w:after="28" w:line="216" w:lineRule="auto"/>
        <w:ind w:left="259"/>
        <w:jc w:val="left"/>
      </w:pPr>
      <w:r>
        <w:rPr>
          <w:rFonts w:ascii="Arial" w:hAnsi="Arial"/>
          <w:color w:val="525252"/>
          <w:sz w:val="13"/>
        </w:rPr>
        <w:t>It has a zipper front, two slanted pockets, knitted cuffs, and waistband.</w:t>
      </w:r>
    </w:p>
    <w:p>
      <w:pPr>
        <w:spacing w:after="20" w:line="223" w:lineRule="auto"/>
        <w:jc w:val="right"/>
        <w:bidi/>
      </w:pPr>
      <w:r>
        <w:rPr>
          <w:rFonts w:ascii="Arial" w:hAnsi="Arial"/>
          <w:sz w:val="16"/>
        </w:rPr>
        <w:t>470.08  طول کت خواهد بود و زیپ آن کمتر از نیمه بین یقه و بند کمر پوشیده نمی‌شود.</w:t>
      </w:r>
    </w:p>
    <w:p>
      <w:pPr>
        <w:spacing w:after="28" w:line="216" w:lineRule="auto"/>
        <w:ind w:left="259"/>
        <w:jc w:val="left"/>
      </w:pPr>
      <w:r>
        <w:rPr>
          <w:rFonts w:ascii="Arial" w:hAnsi="Arial"/>
          <w:color w:val="525252"/>
          <w:sz w:val="13"/>
        </w:rPr>
        <w:t>The jacket will be waist length with the zipper worn no lower than halfway between the collar and the waistband.</w:t>
      </w:r>
    </w:p>
    <w:p>
      <w:pPr>
        <w:spacing w:after="20" w:line="223" w:lineRule="auto"/>
        <w:jc w:val="right"/>
        <w:bidi/>
      </w:pPr>
      <w:r>
        <w:rPr>
          <w:rFonts w:ascii="Arial" w:hAnsi="Arial"/>
          <w:sz w:val="16"/>
        </w:rPr>
        <w:t>470.09  نماد نیروی هوایی ممکن است با هزینه عضو نیروی هوایی روی کت گلدوزی شود (https://www.trademark.af.mil/Branding/Air-Force-Symbol/).</w:t>
      </w:r>
    </w:p>
    <w:p>
      <w:pPr>
        <w:spacing w:after="28" w:line="216" w:lineRule="auto"/>
        <w:ind w:left="259"/>
        <w:jc w:val="left"/>
      </w:pPr>
      <w:r>
        <w:rPr>
          <w:rFonts w:ascii="Arial" w:hAnsi="Arial"/>
          <w:color w:val="525252"/>
          <w:sz w:val="13"/>
        </w:rPr>
        <w:t>The Air Force symbol may be embroidered on the jacket at the Airman’s expense (https://www.trademark.af.mil/Branding/Air-Force-Symbol/).</w:t>
      </w:r>
    </w:p>
    <w:p>
      <w:pPr>
        <w:spacing w:after="20" w:line="223" w:lineRule="auto"/>
        <w:jc w:val="right"/>
        <w:bidi/>
      </w:pPr>
      <w:r>
        <w:rPr>
          <w:rFonts w:ascii="Arial" w:hAnsi="Arial"/>
          <w:sz w:val="16"/>
        </w:rPr>
        <w:t>470.10  ژاکت را می‌توان با آستر عایق یا بدون آن پوشید.</w:t>
      </w:r>
    </w:p>
    <w:p>
      <w:pPr>
        <w:spacing w:after="28" w:line="216" w:lineRule="auto"/>
        <w:ind w:left="259"/>
        <w:jc w:val="left"/>
      </w:pPr>
      <w:r>
        <w:rPr>
          <w:rFonts w:ascii="Arial" w:hAnsi="Arial"/>
          <w:color w:val="525252"/>
          <w:sz w:val="13"/>
        </w:rPr>
        <w:t>The jacket may be worn with or without an insulated liner.</w:t>
      </w:r>
    </w:p>
    <w:p>
      <w:pPr>
        <w:spacing w:after="20" w:line="223" w:lineRule="auto"/>
        <w:jc w:val="right"/>
        <w:bidi/>
      </w:pPr>
      <w:r>
        <w:rPr>
          <w:rFonts w:ascii="Arial" w:hAnsi="Arial"/>
          <w:sz w:val="16"/>
        </w:rPr>
        <w:t>470.11  در صورت پوشیده شدن، آستر قابل مشاهده نخواهد بود.</w:t>
      </w:r>
    </w:p>
    <w:p>
      <w:pPr>
        <w:spacing w:after="28" w:line="216" w:lineRule="auto"/>
        <w:ind w:left="259"/>
        <w:jc w:val="left"/>
      </w:pPr>
      <w:r>
        <w:rPr>
          <w:rFonts w:ascii="Arial" w:hAnsi="Arial"/>
          <w:color w:val="525252"/>
          <w:sz w:val="13"/>
        </w:rPr>
        <w:t>If worn, the liner will not be visible.</w:t>
      </w:r>
    </w:p>
    <w:p>
      <w:pPr>
        <w:spacing w:after="20" w:line="223" w:lineRule="auto"/>
        <w:jc w:val="right"/>
        <w:bidi/>
      </w:pPr>
      <w:r>
        <w:rPr>
          <w:rFonts w:ascii="Arial" w:hAnsi="Arial"/>
          <w:sz w:val="16"/>
        </w:rPr>
        <w:t>470.12  نشان درجه افسری.</w:t>
      </w:r>
    </w:p>
    <w:p>
      <w:pPr>
        <w:spacing w:after="28" w:line="216" w:lineRule="auto"/>
        <w:ind w:left="259"/>
        <w:jc w:val="left"/>
      </w:pPr>
      <w:r>
        <w:rPr>
          <w:rFonts w:ascii="Arial" w:hAnsi="Arial"/>
          <w:color w:val="525252"/>
          <w:sz w:val="13"/>
        </w:rPr>
        <w:t>Officer Rank Insignia.</w:t>
      </w:r>
    </w:p>
    <w:p>
      <w:pPr>
        <w:spacing w:after="20" w:line="223" w:lineRule="auto"/>
        <w:jc w:val="right"/>
        <w:bidi/>
      </w:pPr>
      <w:r>
        <w:rPr>
          <w:rFonts w:ascii="Arial" w:hAnsi="Arial"/>
          <w:sz w:val="16"/>
        </w:rPr>
        <w:t>470.13  افسران در صورت لزوم، نشان‌های مرتبه با اندازه معمولی را ۵/۸ اینچ از انتهای سردوش و موازی با درز آستین قرار می‌دهند.</w:t>
      </w:r>
    </w:p>
    <w:p>
      <w:pPr>
        <w:spacing w:after="28" w:line="216" w:lineRule="auto"/>
        <w:ind w:left="259"/>
        <w:jc w:val="left"/>
      </w:pPr>
      <w:r>
        <w:rPr>
          <w:rFonts w:ascii="Arial" w:hAnsi="Arial"/>
          <w:color w:val="525252"/>
          <w:sz w:val="13"/>
        </w:rPr>
        <w:t>Officers will center regular size rank insignia 5/8-inch from end of the epaulet and parallel with the sleeve seam, when applicable.</w:t>
      </w:r>
    </w:p>
    <w:p>
      <w:pPr>
        <w:spacing w:after="20" w:line="223" w:lineRule="auto"/>
        <w:jc w:val="right"/>
        <w:bidi/>
      </w:pPr>
      <w:r>
        <w:rPr>
          <w:rFonts w:ascii="Arial" w:hAnsi="Arial"/>
          <w:sz w:val="16"/>
        </w:rPr>
        <w:t>470.14  نشان درجه سرهنگ با منقار عقاب رو به جلو پوشیده می‌شود.</w:t>
      </w:r>
    </w:p>
    <w:p>
      <w:pPr>
        <w:spacing w:after="28" w:line="216" w:lineRule="auto"/>
        <w:ind w:left="259"/>
        <w:jc w:val="left"/>
      </w:pPr>
      <w:r>
        <w:rPr>
          <w:rFonts w:ascii="Arial" w:hAnsi="Arial"/>
          <w:color w:val="525252"/>
          <w:sz w:val="13"/>
        </w:rPr>
        <w:t>Colonel rank insignia is worn with the eagle’s beak facing forward.</w:t>
      </w:r>
    </w:p>
    <w:p>
      <w:pPr>
        <w:spacing w:after="20" w:line="223" w:lineRule="auto"/>
        <w:jc w:val="right"/>
        <w:bidi/>
      </w:pPr>
      <w:r>
        <w:rPr>
          <w:rFonts w:ascii="Arial" w:hAnsi="Arial"/>
          <w:sz w:val="16"/>
        </w:rPr>
        <w:t>470.15  ساقه روی نشان درجه سرهنگ و سرگرد از یقه دور است.</w:t>
      </w:r>
    </w:p>
    <w:p>
      <w:pPr>
        <w:spacing w:after="28" w:line="216" w:lineRule="auto"/>
        <w:ind w:left="259"/>
        <w:jc w:val="left"/>
      </w:pPr>
      <w:r>
        <w:rPr>
          <w:rFonts w:ascii="Arial" w:hAnsi="Arial"/>
          <w:color w:val="525252"/>
          <w:sz w:val="13"/>
        </w:rPr>
        <w:t>The stem on the Lieutenant Colonel and Major rank insignia will point away from the collar.</w:t>
      </w:r>
    </w:p>
    <w:p>
      <w:pPr>
        <w:spacing w:after="20" w:line="223" w:lineRule="auto"/>
        <w:jc w:val="right"/>
        <w:bidi/>
      </w:pPr>
      <w:r>
        <w:rPr>
          <w:rFonts w:ascii="Arial" w:hAnsi="Arial"/>
          <w:sz w:val="16"/>
        </w:rPr>
        <w:t>470.16  نشان ثبت‌نام.</w:t>
      </w:r>
    </w:p>
    <w:p>
      <w:pPr>
        <w:spacing w:after="28" w:line="216" w:lineRule="auto"/>
        <w:ind w:left="259"/>
        <w:jc w:val="left"/>
      </w:pPr>
      <w:r>
        <w:rPr>
          <w:rFonts w:ascii="Arial" w:hAnsi="Arial"/>
          <w:color w:val="525252"/>
          <w:sz w:val="13"/>
        </w:rPr>
        <w:t>Enlisted Insignia.</w:t>
      </w:r>
    </w:p>
    <w:p>
      <w:pPr>
        <w:spacing w:after="20" w:line="223" w:lineRule="auto"/>
        <w:jc w:val="right"/>
        <w:bidi/>
      </w:pPr>
      <w:r>
        <w:rPr>
          <w:rFonts w:ascii="Arial" w:hAnsi="Arial"/>
          <w:sz w:val="16"/>
        </w:rPr>
        <w:t>470.17  هوانوردان سرباز می‌توانند در هنگام خم شدن با زاویه ۹۰ درجه، از رده‌های شورون ۳ ۱/۲ یا ۴ اینچی در مرکز بازو بیرونی بین درز شانه و آرنج استفاده کنند.</w:t>
      </w:r>
    </w:p>
    <w:p>
      <w:pPr>
        <w:spacing w:after="28" w:line="216" w:lineRule="auto"/>
        <w:ind w:left="259"/>
        <w:jc w:val="left"/>
      </w:pPr>
      <w:r>
        <w:rPr>
          <w:rFonts w:ascii="Arial" w:hAnsi="Arial"/>
          <w:color w:val="525252"/>
          <w:sz w:val="13"/>
        </w:rPr>
        <w:t>Enlisted Airmen may wear either 3 1/2-inch or 4-inch chevron rank centered on the outer arm halfway between the shoulder seam and elbow when bent at a 90-degree angle.</w:t>
      </w:r>
    </w:p>
    <w:p>
      <w:r>
        <w:br w:type="page"/>
      </w:r>
    </w:p>
    <w:p>
      <w:pPr>
        <w:spacing w:after="60"/>
        <w:jc w:val="right"/>
        <w:bidi/>
      </w:pPr>
      <w:r>
        <w:rPr>
          <w:rFonts w:ascii="Arial" w:hAnsi="Arial"/>
          <w:b/>
          <w:color w:val="1F4D78"/>
          <w:sz w:val="19"/>
        </w:rPr>
        <w:t>هفتهٔ 471  |  صفحهٔ منبع: 487</w:t>
      </w:r>
    </w:p>
    <w:p>
      <w:pPr>
        <w:spacing w:before="60" w:after="28"/>
        <w:jc w:val="right"/>
        <w:bidi/>
      </w:pPr>
      <w:r>
        <w:rPr>
          <w:b/>
          <w:color w:val="1F4D78"/>
          <w:sz w:val="18"/>
        </w:rPr>
        <w:t>شکل 23.39. ژاکت آبی سبک (مرد و زن)</w:t>
      </w:r>
    </w:p>
    <w:p>
      <w:pPr>
        <w:spacing w:after="20"/>
        <w:ind w:left="259"/>
        <w:jc w:val="left"/>
      </w:pPr>
      <w:r>
        <w:rPr>
          <w:color w:val="555555"/>
          <w:sz w:val="12"/>
        </w:rPr>
        <w:t>Figure 23.39. Lightweight Blue Jacket (Male and Female)</w:t>
      </w:r>
    </w:p>
    <w:p>
      <w:pPr>
        <w:spacing w:after="20" w:line="223" w:lineRule="auto"/>
        <w:jc w:val="right"/>
        <w:bidi/>
      </w:pPr>
      <w:r>
        <w:rPr>
          <w:rFonts w:ascii="Arial" w:hAnsi="Arial"/>
          <w:sz w:val="16"/>
        </w:rPr>
        <w:t>471.02  ژاکت آبی سبک افسر جنرال.</w:t>
      </w:r>
    </w:p>
    <w:p>
      <w:pPr>
        <w:spacing w:after="28" w:line="216" w:lineRule="auto"/>
        <w:ind w:left="259"/>
        <w:jc w:val="left"/>
      </w:pPr>
      <w:r>
        <w:rPr>
          <w:rFonts w:ascii="Arial" w:hAnsi="Arial"/>
          <w:color w:val="525252"/>
          <w:sz w:val="13"/>
        </w:rPr>
        <w:t>General Officer Lightweight Blue Jacket.</w:t>
      </w:r>
    </w:p>
    <w:p>
      <w:pPr>
        <w:spacing w:after="20" w:line="223" w:lineRule="auto"/>
        <w:jc w:val="right"/>
        <w:bidi/>
      </w:pPr>
      <w:r>
        <w:rPr>
          <w:rFonts w:ascii="Arial" w:hAnsi="Arial"/>
          <w:sz w:val="16"/>
        </w:rPr>
        <w:t>471.03  کاپشن آبی سبک وزن افسر عمومی، کت سبک وزن نیروی هوایی را در طراحی با استثنائات زیر منعکس می‌کند: یقه خدمه الاستیک، جیب‌هایی به سبک اسلش با دریچه‌ای به سمت پایین، و زبانه‌ای با ضربه محکم در بند کمر کشسان.</w:t>
      </w:r>
    </w:p>
    <w:p>
      <w:pPr>
        <w:spacing w:after="28" w:line="216" w:lineRule="auto"/>
        <w:ind w:left="259"/>
        <w:jc w:val="left"/>
      </w:pPr>
      <w:r>
        <w:rPr>
          <w:rFonts w:ascii="Arial" w:hAnsi="Arial"/>
          <w:color w:val="525252"/>
          <w:sz w:val="13"/>
        </w:rPr>
        <w:t>The General Officer lightweight blue jacket mirrors the Air Force lightweight jacket in design with the following Exceptions: an elasticized crew-style collar, slash-style pockets with a snap down flap, and a tab with snap at the elasticized waistband.</w:t>
      </w:r>
    </w:p>
    <w:p>
      <w:pPr>
        <w:spacing w:after="20" w:line="223" w:lineRule="auto"/>
        <w:jc w:val="right"/>
        <w:bidi/>
      </w:pPr>
      <w:r>
        <w:rPr>
          <w:rFonts w:ascii="Arial" w:hAnsi="Arial"/>
          <w:sz w:val="16"/>
        </w:rPr>
        <w:t>471.04  ممکن است در داخل یا خارج پوشیده شود.</w:t>
      </w:r>
    </w:p>
    <w:p>
      <w:pPr>
        <w:spacing w:after="28" w:line="216" w:lineRule="auto"/>
        <w:ind w:left="259"/>
        <w:jc w:val="left"/>
      </w:pPr>
      <w:r>
        <w:rPr>
          <w:rFonts w:ascii="Arial" w:hAnsi="Arial"/>
          <w:color w:val="525252"/>
          <w:sz w:val="13"/>
        </w:rPr>
        <w:t>It may be worn inside or outside.</w:t>
      </w:r>
    </w:p>
    <w:p>
      <w:pPr>
        <w:spacing w:after="20" w:line="223" w:lineRule="auto"/>
        <w:jc w:val="right"/>
        <w:bidi/>
      </w:pPr>
      <w:r>
        <w:rPr>
          <w:rFonts w:ascii="Arial" w:hAnsi="Arial"/>
          <w:sz w:val="16"/>
        </w:rPr>
        <w:t>471.05  افسران کل ستاره‌های ۱ اینچی نقطه به مرکز خواهند پوشید. اگر نمی‌توانید ستاره‌های ۱ اینچی را بپوشید، ستاره‌های ۳/۴ اینچی اختیاری هستند.</w:t>
      </w:r>
    </w:p>
    <w:p>
      <w:pPr>
        <w:spacing w:after="28" w:line="216" w:lineRule="auto"/>
        <w:ind w:left="259"/>
        <w:jc w:val="left"/>
      </w:pPr>
      <w:r>
        <w:rPr>
          <w:rFonts w:ascii="Arial" w:hAnsi="Arial"/>
          <w:color w:val="525252"/>
          <w:sz w:val="13"/>
        </w:rPr>
        <w:t>General officers will wear 1-inch stars point-to-center; 3/4-inch stars are optional, if unable to wear the 1-inch stars.</w:t>
      </w:r>
    </w:p>
    <w:p>
      <w:pPr>
        <w:spacing w:after="20" w:line="223" w:lineRule="auto"/>
        <w:jc w:val="right"/>
        <w:bidi/>
      </w:pPr>
      <w:r>
        <w:rPr>
          <w:rFonts w:ascii="Arial" w:hAnsi="Arial"/>
          <w:sz w:val="16"/>
        </w:rPr>
        <w:t>471.06  ژنرال‌ها هر چهار ستاره را به‌طور مساوی بین دکمه‌ای که پاپوش و درز آستین را محکم می‌کند فاصله می‌دهند.</w:t>
      </w:r>
    </w:p>
    <w:p>
      <w:pPr>
        <w:spacing w:after="28" w:line="216" w:lineRule="auto"/>
        <w:ind w:left="259"/>
        <w:jc w:val="left"/>
      </w:pPr>
      <w:r>
        <w:rPr>
          <w:rFonts w:ascii="Arial" w:hAnsi="Arial"/>
          <w:color w:val="525252"/>
          <w:sz w:val="13"/>
        </w:rPr>
        <w:t>Generals will evenly space all four stars between the button securing the epaulet and the sleeve seam.</w:t>
      </w:r>
    </w:p>
    <w:p>
      <w:pPr>
        <w:spacing w:after="20" w:line="223" w:lineRule="auto"/>
        <w:jc w:val="right"/>
        <w:bidi/>
      </w:pPr>
      <w:r>
        <w:rPr>
          <w:rFonts w:ascii="Arial" w:hAnsi="Arial"/>
          <w:sz w:val="16"/>
        </w:rPr>
        <w:t>471.07  سپهبدها یک ستاره را در نقطه مرکزی سردوش قرار می‌دهند و دو ستاره باقی مانده را بین ستاره اول و دکمه‌ای که سردوش و درز آستین را محکم می‌کند، قرار می‌دهند.</w:t>
      </w:r>
    </w:p>
    <w:p>
      <w:pPr>
        <w:spacing w:after="28" w:line="216" w:lineRule="auto"/>
        <w:ind w:left="259"/>
        <w:jc w:val="left"/>
      </w:pPr>
      <w:r>
        <w:rPr>
          <w:rFonts w:ascii="Arial" w:hAnsi="Arial"/>
          <w:color w:val="525252"/>
          <w:sz w:val="13"/>
        </w:rPr>
        <w:t>Lieutenant Generals will place one star on the center point of the epaulet and center the two remaining stars between the first star and the button securing the epaulet and the sleeve seam.</w:t>
      </w:r>
    </w:p>
    <w:p>
      <w:pPr>
        <w:spacing w:after="20" w:line="223" w:lineRule="auto"/>
        <w:jc w:val="right"/>
        <w:bidi/>
      </w:pPr>
      <w:r>
        <w:rPr>
          <w:rFonts w:ascii="Arial" w:hAnsi="Arial"/>
          <w:sz w:val="16"/>
        </w:rPr>
        <w:t>471.08  سرلشکرها ستاره‌های خود را به‌طور مساوی بین نقطه مرکزی سردوش و دکمه‌ای که سردوش و درز آستین را محکم می‌کند فاصله می‌دهند.</w:t>
      </w:r>
    </w:p>
    <w:p>
      <w:pPr>
        <w:spacing w:after="28" w:line="216" w:lineRule="auto"/>
        <w:ind w:left="259"/>
        <w:jc w:val="left"/>
      </w:pPr>
      <w:r>
        <w:rPr>
          <w:rFonts w:ascii="Arial" w:hAnsi="Arial"/>
          <w:color w:val="525252"/>
          <w:sz w:val="13"/>
        </w:rPr>
        <w:t>Major Generals will evenly space their stars between the center point of the epaulet and the button securing the epaulet and the sleeve seam.</w:t>
      </w:r>
    </w:p>
    <w:p>
      <w:pPr>
        <w:spacing w:after="20" w:line="223" w:lineRule="auto"/>
        <w:jc w:val="right"/>
        <w:bidi/>
      </w:pPr>
      <w:r>
        <w:rPr>
          <w:rFonts w:ascii="Arial" w:hAnsi="Arial"/>
          <w:sz w:val="16"/>
        </w:rPr>
        <w:t>471.09  سرتیپ ژنرال‌ها ستاره خود را بین دکمه‌ای که توپ را محکم می‌کند و درز آستین قرار می‌دهند.</w:t>
      </w:r>
    </w:p>
    <w:p>
      <w:pPr>
        <w:spacing w:after="28" w:line="216" w:lineRule="auto"/>
        <w:ind w:left="259"/>
        <w:jc w:val="left"/>
      </w:pPr>
      <w:r>
        <w:rPr>
          <w:rFonts w:ascii="Arial" w:hAnsi="Arial"/>
          <w:color w:val="525252"/>
          <w:sz w:val="13"/>
        </w:rPr>
        <w:t>Brigadier Generals will center their star between the button securing the epaulet and the sleeve seam.</w:t>
      </w:r>
    </w:p>
    <w:p>
      <w:pPr>
        <w:spacing w:after="20" w:line="223" w:lineRule="auto"/>
        <w:jc w:val="right"/>
        <w:bidi/>
      </w:pPr>
      <w:r>
        <w:rPr>
          <w:rFonts w:ascii="Arial" w:hAnsi="Arial"/>
          <w:sz w:val="16"/>
        </w:rPr>
        <w:t>471.10  روپوش و کت همه آب و هوا.</w:t>
      </w:r>
    </w:p>
    <w:p>
      <w:pPr>
        <w:spacing w:after="28" w:line="216" w:lineRule="auto"/>
        <w:ind w:left="259"/>
        <w:jc w:val="left"/>
      </w:pPr>
      <w:r>
        <w:rPr>
          <w:rFonts w:ascii="Arial" w:hAnsi="Arial"/>
          <w:color w:val="525252"/>
          <w:sz w:val="13"/>
        </w:rPr>
        <w:t>Topcoat and the All-Weather Coat.</w:t>
      </w:r>
    </w:p>
    <w:p>
      <w:pPr>
        <w:spacing w:after="20" w:line="223" w:lineRule="auto"/>
        <w:jc w:val="right"/>
        <w:bidi/>
      </w:pPr>
      <w:r>
        <w:rPr>
          <w:rFonts w:ascii="Arial" w:hAnsi="Arial"/>
          <w:sz w:val="16"/>
        </w:rPr>
        <w:t>471.11  روپوش و کت‌های همه ی آب و هوا آبی خواهند بود.</w:t>
      </w:r>
    </w:p>
    <w:p>
      <w:pPr>
        <w:spacing w:after="28" w:line="216" w:lineRule="auto"/>
        <w:ind w:left="259"/>
        <w:jc w:val="left"/>
      </w:pPr>
      <w:r>
        <w:rPr>
          <w:rFonts w:ascii="Arial" w:hAnsi="Arial"/>
          <w:color w:val="525252"/>
          <w:sz w:val="13"/>
        </w:rPr>
        <w:t>The topcoat and all-weather coats will be blue.</w:t>
      </w:r>
    </w:p>
    <w:p>
      <w:pPr>
        <w:spacing w:after="20" w:line="223" w:lineRule="auto"/>
        <w:jc w:val="right"/>
        <w:bidi/>
      </w:pPr>
      <w:r>
        <w:rPr>
          <w:rFonts w:ascii="Arial" w:hAnsi="Arial"/>
          <w:sz w:val="16"/>
        </w:rPr>
        <w:t>471.12  طول روپوش و کت در هر شرایط آب و هوایی بین پایین کاسه زانو و وسط ساق پا به پایان می‌رسد.</w:t>
      </w:r>
    </w:p>
    <w:p>
      <w:pPr>
        <w:spacing w:after="28" w:line="216" w:lineRule="auto"/>
        <w:ind w:left="259"/>
        <w:jc w:val="left"/>
      </w:pPr>
      <w:r>
        <w:rPr>
          <w:rFonts w:ascii="Arial" w:hAnsi="Arial"/>
          <w:color w:val="525252"/>
          <w:sz w:val="13"/>
        </w:rPr>
        <w:t>The length of the topcoat and all-weather coat will end between the bottom of the kneecap and the mid-calf.</w:t>
      </w:r>
    </w:p>
    <w:p>
      <w:pPr>
        <w:spacing w:after="20" w:line="223" w:lineRule="auto"/>
        <w:jc w:val="right"/>
        <w:bidi/>
      </w:pPr>
      <w:r>
        <w:rPr>
          <w:rFonts w:ascii="Arial" w:hAnsi="Arial"/>
          <w:sz w:val="16"/>
        </w:rPr>
        <w:t>471.13  فقط با لباس رسمی، لباس آشفته، کلاس ا، لباس نیمه رسمی و لباس فرم کلاس ب قابل پوشیدن است.</w:t>
      </w:r>
    </w:p>
    <w:p>
      <w:pPr>
        <w:spacing w:after="28" w:line="216" w:lineRule="auto"/>
        <w:ind w:left="259"/>
        <w:jc w:val="left"/>
      </w:pPr>
      <w:r>
        <w:rPr>
          <w:rFonts w:ascii="Arial" w:hAnsi="Arial"/>
          <w:color w:val="525252"/>
          <w:sz w:val="13"/>
        </w:rPr>
        <w:t>Can only be worn with the formal dress, mess dress, Class A, semi-formal dress, and Class B uniforms.</w:t>
      </w:r>
    </w:p>
    <w:p>
      <w:pPr>
        <w:spacing w:after="20" w:line="223" w:lineRule="auto"/>
        <w:jc w:val="right"/>
        <w:bidi/>
      </w:pPr>
      <w:r>
        <w:rPr>
          <w:rFonts w:ascii="Arial" w:hAnsi="Arial"/>
          <w:sz w:val="16"/>
        </w:rPr>
        <w:t>471.14  همچنین روی پلیور و ژاکت‌های کش باف پشمی نیز قابل پوشیدن است.</w:t>
      </w:r>
    </w:p>
    <w:p>
      <w:pPr>
        <w:spacing w:after="28" w:line="216" w:lineRule="auto"/>
        <w:ind w:left="259"/>
        <w:jc w:val="left"/>
      </w:pPr>
      <w:r>
        <w:rPr>
          <w:rFonts w:ascii="Arial" w:hAnsi="Arial"/>
          <w:color w:val="525252"/>
          <w:sz w:val="13"/>
        </w:rPr>
        <w:t>Also, can be worn over the pullover and cardigan sweaters.</w:t>
      </w:r>
    </w:p>
    <w:p>
      <w:pPr>
        <w:spacing w:after="20" w:line="223" w:lineRule="auto"/>
        <w:jc w:val="right"/>
        <w:bidi/>
      </w:pPr>
      <w:r>
        <w:rPr>
          <w:rFonts w:ascii="Arial" w:hAnsi="Arial"/>
          <w:sz w:val="16"/>
        </w:rPr>
        <w:t>471.15  هنگام پوشیدن یونیفورم بارداری ممکن است کت‌ها از دو سینه به تک سینه تغییر یابد. تمام دکمه‌ها را از جلو بردارید</w:t>
      </w:r>
    </w:p>
    <w:p>
      <w:pPr>
        <w:spacing w:after="28" w:line="216" w:lineRule="auto"/>
        <w:ind w:left="259"/>
        <w:jc w:val="left"/>
      </w:pPr>
      <w:r>
        <w:rPr>
          <w:rFonts w:ascii="Arial" w:hAnsi="Arial"/>
          <w:color w:val="525252"/>
          <w:sz w:val="13"/>
        </w:rPr>
        <w:t>Coats may be modified from double- breasted to single-breasted when wearing the maternity uniforms; remove all buttons from the front</w:t>
      </w:r>
    </w:p>
    <w:p>
      <w:r>
        <w:br w:type="page"/>
      </w:r>
    </w:p>
    <w:p>
      <w:pPr>
        <w:spacing w:after="60"/>
        <w:jc w:val="right"/>
        <w:bidi/>
      </w:pPr>
      <w:r>
        <w:rPr>
          <w:rFonts w:ascii="Arial" w:hAnsi="Arial"/>
          <w:b/>
          <w:color w:val="1F4D78"/>
          <w:sz w:val="19"/>
        </w:rPr>
        <w:t>هفتهٔ 472  |  صفحهٔ منبع: 488</w:t>
      </w:r>
    </w:p>
    <w:p>
      <w:pPr>
        <w:spacing w:after="20" w:line="223" w:lineRule="auto"/>
        <w:jc w:val="right"/>
        <w:bidi/>
      </w:pPr>
      <w:r>
        <w:rPr>
          <w:rFonts w:ascii="Arial" w:hAnsi="Arial"/>
          <w:sz w:val="16"/>
        </w:rPr>
        <w:t>472.01  از لباس و در عوض ۳ دکمه را به صورت زیر به سمت چپ جلو وصل کنید: دکمه‌ها را تقریبا ۱ ۱/۲ اینچ از لبه چپ کت قرار دهید. دکمه بالا را با اولین سوراخ دکمه تراز کنید و دو دکمه دیگر را به صورت عمودی با دکمه بالا بدوزید. کمربند کت را در پشت ببندید.</w:t>
      </w:r>
    </w:p>
    <w:p>
      <w:pPr>
        <w:spacing w:after="28" w:line="216" w:lineRule="auto"/>
        <w:ind w:left="259"/>
        <w:jc w:val="left"/>
      </w:pPr>
      <w:r>
        <w:rPr>
          <w:rFonts w:ascii="Arial" w:hAnsi="Arial"/>
          <w:color w:val="525252"/>
          <w:sz w:val="13"/>
        </w:rPr>
        <w:t>of the garment and instead attach 3 buttons to the left side front as follows: position the buttons approximately 1 1/2inches from the left edge of the coat; align the top button with the first buttonhole and sew the other two buttons to align vertically with the top button; belt the coat in the back.</w:t>
      </w:r>
    </w:p>
    <w:p>
      <w:pPr>
        <w:spacing w:after="20" w:line="223" w:lineRule="auto"/>
        <w:jc w:val="right"/>
        <w:bidi/>
      </w:pPr>
      <w:r>
        <w:rPr>
          <w:rFonts w:ascii="Arial" w:hAnsi="Arial"/>
          <w:sz w:val="16"/>
        </w:rPr>
        <w:t>472.02  دکمه‌ها را بعد از بارداری به حالت اولیه برگردانید.</w:t>
      </w:r>
    </w:p>
    <w:p>
      <w:pPr>
        <w:spacing w:after="28" w:line="216" w:lineRule="auto"/>
        <w:ind w:left="259"/>
        <w:jc w:val="left"/>
      </w:pPr>
      <w:r>
        <w:rPr>
          <w:rFonts w:ascii="Arial" w:hAnsi="Arial"/>
          <w:color w:val="525252"/>
          <w:sz w:val="13"/>
        </w:rPr>
        <w:t>Return buttons to original positions following pregnancy.</w:t>
      </w:r>
    </w:p>
    <w:p>
      <w:pPr>
        <w:spacing w:after="20" w:line="223" w:lineRule="auto"/>
        <w:jc w:val="right"/>
        <w:bidi/>
      </w:pPr>
      <w:r>
        <w:rPr>
          <w:rFonts w:ascii="Arial" w:hAnsi="Arial"/>
          <w:sz w:val="16"/>
        </w:rPr>
        <w:t>472.03  فقط برای استفاده در فضای باز.</w:t>
      </w:r>
    </w:p>
    <w:p>
      <w:pPr>
        <w:spacing w:after="28" w:line="216" w:lineRule="auto"/>
        <w:ind w:left="259"/>
        <w:jc w:val="left"/>
      </w:pPr>
      <w:r>
        <w:rPr>
          <w:rFonts w:ascii="Arial" w:hAnsi="Arial"/>
          <w:color w:val="525252"/>
          <w:sz w:val="13"/>
        </w:rPr>
        <w:t>For outdoor use only.</w:t>
      </w:r>
    </w:p>
    <w:p>
      <w:pPr>
        <w:spacing w:after="20" w:line="223" w:lineRule="auto"/>
        <w:jc w:val="right"/>
        <w:bidi/>
      </w:pPr>
      <w:r>
        <w:rPr>
          <w:rFonts w:ascii="Arial" w:hAnsi="Arial"/>
          <w:sz w:val="16"/>
        </w:rPr>
        <w:t>472.04  نشان درجه افسری.</w:t>
      </w:r>
    </w:p>
    <w:p>
      <w:pPr>
        <w:spacing w:after="28" w:line="216" w:lineRule="auto"/>
        <w:ind w:left="259"/>
        <w:jc w:val="left"/>
      </w:pPr>
      <w:r>
        <w:rPr>
          <w:rFonts w:ascii="Arial" w:hAnsi="Arial"/>
          <w:color w:val="525252"/>
          <w:sz w:val="13"/>
        </w:rPr>
        <w:t>Officer Rank Insignia.</w:t>
      </w:r>
    </w:p>
    <w:p>
      <w:pPr>
        <w:spacing w:after="20" w:line="223" w:lineRule="auto"/>
        <w:jc w:val="right"/>
        <w:bidi/>
      </w:pPr>
      <w:r>
        <w:rPr>
          <w:rFonts w:ascii="Arial" w:hAnsi="Arial"/>
          <w:sz w:val="16"/>
        </w:rPr>
        <w:t>472.05  افسران از نشان‌های علامت شانه استفاده می‌کنند.</w:t>
      </w:r>
    </w:p>
    <w:p>
      <w:pPr>
        <w:spacing w:after="28" w:line="216" w:lineRule="auto"/>
        <w:ind w:left="259"/>
        <w:jc w:val="left"/>
      </w:pPr>
      <w:r>
        <w:rPr>
          <w:rFonts w:ascii="Arial" w:hAnsi="Arial"/>
          <w:color w:val="525252"/>
          <w:sz w:val="13"/>
        </w:rPr>
        <w:t>Officers wear shoulder mark insignia.</w:t>
      </w:r>
    </w:p>
    <w:p>
      <w:pPr>
        <w:spacing w:after="20" w:line="223" w:lineRule="auto"/>
        <w:jc w:val="right"/>
        <w:bidi/>
      </w:pPr>
      <w:r>
        <w:rPr>
          <w:rFonts w:ascii="Arial" w:hAnsi="Arial"/>
          <w:sz w:val="16"/>
        </w:rPr>
        <w:t>472.06  نشان رده فلزی ۱ اینچی وسط ۵/۸ اینچ از انتهای سردوش.</w:t>
      </w:r>
    </w:p>
    <w:p>
      <w:pPr>
        <w:spacing w:after="28" w:line="216" w:lineRule="auto"/>
        <w:ind w:left="259"/>
        <w:jc w:val="left"/>
      </w:pPr>
      <w:r>
        <w:rPr>
          <w:rFonts w:ascii="Arial" w:hAnsi="Arial"/>
          <w:color w:val="525252"/>
          <w:sz w:val="13"/>
        </w:rPr>
        <w:t>Center 1-inch metal rank insignia 5/8-inch from end of epaulet.</w:t>
      </w:r>
    </w:p>
    <w:p>
      <w:pPr>
        <w:spacing w:after="20" w:line="223" w:lineRule="auto"/>
        <w:jc w:val="right"/>
        <w:bidi/>
      </w:pPr>
      <w:r>
        <w:rPr>
          <w:rFonts w:ascii="Arial" w:hAnsi="Arial"/>
          <w:sz w:val="16"/>
        </w:rPr>
        <w:t>472.07  همه ژنرال‌ها ستاره‌های ۱ اینچی می‌پوشند.</w:t>
      </w:r>
    </w:p>
    <w:p>
      <w:pPr>
        <w:spacing w:after="28" w:line="216" w:lineRule="auto"/>
        <w:ind w:left="259"/>
        <w:jc w:val="left"/>
      </w:pPr>
      <w:r>
        <w:rPr>
          <w:rFonts w:ascii="Arial" w:hAnsi="Arial"/>
          <w:color w:val="525252"/>
          <w:sz w:val="13"/>
        </w:rPr>
        <w:t>All Generals wear 1-inch stars.</w:t>
      </w:r>
    </w:p>
    <w:p>
      <w:pPr>
        <w:spacing w:after="20" w:line="223" w:lineRule="auto"/>
        <w:jc w:val="right"/>
        <w:bidi/>
      </w:pPr>
      <w:r>
        <w:rPr>
          <w:rFonts w:ascii="Arial" w:hAnsi="Arial"/>
          <w:sz w:val="16"/>
        </w:rPr>
        <w:t>472.08  ستاره‌های ۳/۴ اینچی در صورت عدم استفاده از ستاره‌های ۱ اینچی اختیاری هستند.</w:t>
      </w:r>
    </w:p>
    <w:p>
      <w:pPr>
        <w:spacing w:after="28" w:line="216" w:lineRule="auto"/>
        <w:ind w:left="259"/>
        <w:jc w:val="left"/>
      </w:pPr>
      <w:r>
        <w:rPr>
          <w:rFonts w:ascii="Arial" w:hAnsi="Arial"/>
          <w:color w:val="525252"/>
          <w:sz w:val="13"/>
        </w:rPr>
        <w:t>3/4-inch stars are optional if unable to wear the 1-inch stars.</w:t>
      </w:r>
    </w:p>
    <w:p>
      <w:pPr>
        <w:spacing w:after="20" w:line="223" w:lineRule="auto"/>
        <w:jc w:val="right"/>
        <w:bidi/>
      </w:pPr>
      <w:r>
        <w:rPr>
          <w:rFonts w:ascii="Arial" w:hAnsi="Arial"/>
          <w:sz w:val="16"/>
        </w:rPr>
        <w:t>472.09  نشان ثبت‌نام.</w:t>
      </w:r>
    </w:p>
    <w:p>
      <w:pPr>
        <w:spacing w:after="28" w:line="216" w:lineRule="auto"/>
        <w:ind w:left="259"/>
        <w:jc w:val="left"/>
      </w:pPr>
      <w:r>
        <w:rPr>
          <w:rFonts w:ascii="Arial" w:hAnsi="Arial"/>
          <w:color w:val="525252"/>
          <w:sz w:val="13"/>
        </w:rPr>
        <w:t>Enlisted Insignia.</w:t>
      </w:r>
    </w:p>
    <w:p>
      <w:pPr>
        <w:spacing w:after="20" w:line="223" w:lineRule="auto"/>
        <w:jc w:val="right"/>
        <w:bidi/>
      </w:pPr>
      <w:r>
        <w:rPr>
          <w:rFonts w:ascii="Arial" w:hAnsi="Arial"/>
          <w:sz w:val="16"/>
        </w:rPr>
        <w:t>472.10  نشان‌های درجه فلزی در مرکز ۱ اینچ از پایین یقه و به موازات لبه بیرونی یقه پوشیده می‌شود.</w:t>
      </w:r>
    </w:p>
    <w:p>
      <w:pPr>
        <w:spacing w:after="28" w:line="216" w:lineRule="auto"/>
        <w:ind w:left="259"/>
        <w:jc w:val="left"/>
      </w:pPr>
      <w:r>
        <w:rPr>
          <w:rFonts w:ascii="Arial" w:hAnsi="Arial"/>
          <w:color w:val="525252"/>
          <w:sz w:val="13"/>
        </w:rPr>
        <w:t>Metal rank insignia is worn centered 1-inch up from the bottom of the collar and parallel to the outer edge of the collar.</w:t>
      </w:r>
    </w:p>
    <w:p>
      <w:pPr>
        <w:spacing w:after="20" w:line="223" w:lineRule="auto"/>
        <w:jc w:val="right"/>
        <w:bidi/>
      </w:pPr>
      <w:r>
        <w:rPr>
          <w:rFonts w:ascii="Arial" w:hAnsi="Arial"/>
          <w:sz w:val="16"/>
        </w:rPr>
        <w:t>472.11  همچنین، هوانوردان سرباز می‌توانند هنگام خم شدن با زاویه ۹۰ درجه، ۳ شورون ۱/۲ یا ۴ اینچی در مرکز بازوی بیرونی بین درز شانه و آرنج بپوشند.</w:t>
      </w:r>
    </w:p>
    <w:p>
      <w:pPr>
        <w:spacing w:after="28" w:line="216" w:lineRule="auto"/>
        <w:ind w:left="259"/>
        <w:jc w:val="left"/>
      </w:pPr>
      <w:r>
        <w:rPr>
          <w:rFonts w:ascii="Arial" w:hAnsi="Arial"/>
          <w:color w:val="525252"/>
          <w:sz w:val="13"/>
        </w:rPr>
        <w:t>Alternatively, enlisted Airmen may wear 3 1/2 or 4- inch chevrons centered on the outer arm halfway between the shoulder seam and elbow when bent at a 90-degree angle.</w:t>
      </w:r>
    </w:p>
    <w:p>
      <w:pPr>
        <w:spacing w:after="20" w:line="223" w:lineRule="auto"/>
        <w:jc w:val="right"/>
        <w:bidi/>
      </w:pPr>
      <w:r>
        <w:rPr>
          <w:rFonts w:ascii="Arial" w:hAnsi="Arial"/>
          <w:sz w:val="16"/>
        </w:rPr>
        <w:t>472.12  گن III، سطح VI OCP ژاکت.</w:t>
      </w:r>
    </w:p>
    <w:p>
      <w:pPr>
        <w:spacing w:after="28" w:line="216" w:lineRule="auto"/>
        <w:ind w:left="259"/>
        <w:jc w:val="left"/>
      </w:pPr>
      <w:r>
        <w:rPr>
          <w:rFonts w:ascii="Arial" w:hAnsi="Arial"/>
          <w:color w:val="525252"/>
          <w:sz w:val="13"/>
        </w:rPr>
        <w:t>Gen III, level VI OCP Jacket.</w:t>
      </w:r>
    </w:p>
    <w:p>
      <w:pPr>
        <w:spacing w:after="20" w:line="223" w:lineRule="auto"/>
        <w:jc w:val="right"/>
        <w:bidi/>
      </w:pPr>
      <w:r>
        <w:rPr>
          <w:rFonts w:ascii="Arial" w:hAnsi="Arial"/>
          <w:sz w:val="16"/>
        </w:rPr>
        <w:t>472.13  ژاکت OCP را فقط می‌توان با یونیفرم OCP و یونیفرم‌های وظیفه پرواز پوشید (برای راهنمایی یونیفرم پرواز به DAFI ۳۶-۲۹۰۳، فصل ۹ مراجعه کنید).</w:t>
      </w:r>
    </w:p>
    <w:p>
      <w:pPr>
        <w:spacing w:after="28" w:line="216" w:lineRule="auto"/>
        <w:ind w:left="259"/>
        <w:jc w:val="left"/>
      </w:pPr>
      <w:r>
        <w:rPr>
          <w:rFonts w:ascii="Arial" w:hAnsi="Arial"/>
          <w:color w:val="525252"/>
          <w:sz w:val="13"/>
        </w:rPr>
        <w:t>The OCP jacket may only be worn with the OCP uniform and flight duty uniforms (see DAFI 36-2903, Chapter 9 for flight duty uniform guidance).</w:t>
      </w:r>
    </w:p>
    <w:p>
      <w:pPr>
        <w:spacing w:after="20" w:line="223" w:lineRule="auto"/>
        <w:jc w:val="right"/>
        <w:bidi/>
      </w:pPr>
      <w:r>
        <w:rPr>
          <w:rFonts w:ascii="Arial" w:hAnsi="Arial"/>
          <w:sz w:val="16"/>
        </w:rPr>
        <w:t>472.14  فقط برای استفاده در فضای باز.</w:t>
      </w:r>
    </w:p>
    <w:p>
      <w:pPr>
        <w:spacing w:after="28" w:line="216" w:lineRule="auto"/>
        <w:ind w:left="259"/>
        <w:jc w:val="left"/>
      </w:pPr>
      <w:r>
        <w:rPr>
          <w:rFonts w:ascii="Arial" w:hAnsi="Arial"/>
          <w:color w:val="525252"/>
          <w:sz w:val="13"/>
        </w:rPr>
        <w:t>For outdoor use only.</w:t>
      </w:r>
    </w:p>
    <w:p>
      <w:pPr>
        <w:spacing w:after="20" w:line="223" w:lineRule="auto"/>
        <w:jc w:val="right"/>
        <w:bidi/>
      </w:pPr>
      <w:r>
        <w:rPr>
          <w:rFonts w:ascii="Arial" w:hAnsi="Arial"/>
          <w:sz w:val="16"/>
        </w:rPr>
        <w:t>472.15  ژاکت OCP دارای یک رده قهوه‌ای ادویه‌ای است که روی برگه رتبه پوشیده می‌شود.</w:t>
      </w:r>
    </w:p>
    <w:p>
      <w:pPr>
        <w:spacing w:after="28" w:line="216" w:lineRule="auto"/>
        <w:ind w:left="259"/>
        <w:jc w:val="left"/>
      </w:pPr>
      <w:r>
        <w:rPr>
          <w:rFonts w:ascii="Arial" w:hAnsi="Arial"/>
          <w:color w:val="525252"/>
          <w:sz w:val="13"/>
        </w:rPr>
        <w:t>The OCP jacket will have a spice brown slip-on rank worn on the rank tab.</w:t>
      </w:r>
    </w:p>
    <w:p>
      <w:pPr>
        <w:spacing w:after="20" w:line="223" w:lineRule="auto"/>
        <w:jc w:val="right"/>
        <w:bidi/>
      </w:pPr>
      <w:r>
        <w:rPr>
          <w:rFonts w:ascii="Arial" w:hAnsi="Arial"/>
          <w:sz w:val="16"/>
        </w:rPr>
        <w:t>472.16  ژاکت همیشه هنگام پوشیدن زیپ کمتر از وسط برگه رتبه می‌شود.</w:t>
      </w:r>
    </w:p>
    <w:p>
      <w:pPr>
        <w:spacing w:after="28" w:line="216" w:lineRule="auto"/>
        <w:ind w:left="259"/>
        <w:jc w:val="left"/>
      </w:pPr>
      <w:r>
        <w:rPr>
          <w:rFonts w:ascii="Arial" w:hAnsi="Arial"/>
          <w:color w:val="525252"/>
          <w:sz w:val="13"/>
        </w:rPr>
        <w:t>Jacket will be always zipped no lower than mid-point on the rank tab when worn.</w:t>
      </w:r>
    </w:p>
    <w:p>
      <w:pPr>
        <w:spacing w:after="20" w:line="223" w:lineRule="auto"/>
        <w:jc w:val="right"/>
        <w:bidi/>
      </w:pPr>
      <w:r>
        <w:rPr>
          <w:rFonts w:ascii="Arial" w:hAnsi="Arial"/>
          <w:sz w:val="16"/>
        </w:rPr>
        <w:t>472.17  استثنا: وقتی با لباس بارداری OCP پوشیده می‌شود، اعضا ممکن است ژاکت را بدون زیپ بپوشند.</w:t>
      </w:r>
    </w:p>
    <w:p>
      <w:pPr>
        <w:spacing w:after="28" w:line="216" w:lineRule="auto"/>
        <w:ind w:left="259"/>
        <w:jc w:val="left"/>
      </w:pPr>
      <w:r>
        <w:rPr>
          <w:rFonts w:ascii="Arial" w:hAnsi="Arial"/>
          <w:color w:val="525252"/>
          <w:sz w:val="13"/>
        </w:rPr>
        <w:t>Exception: When worn with OCP maternity uniform, members may wear jacket unzipped.</w:t>
      </w:r>
    </w:p>
    <w:p>
      <w:pPr>
        <w:spacing w:after="20" w:line="223" w:lineRule="auto"/>
        <w:jc w:val="right"/>
        <w:bidi/>
      </w:pPr>
      <w:r>
        <w:rPr>
          <w:rFonts w:ascii="Arial" w:hAnsi="Arial"/>
          <w:sz w:val="16"/>
        </w:rPr>
        <w:t>472.18  آستر پشمی قهوه‌ای کایوت ممکن است زیر ژاکت OCP پوشیده شود. با این حال، آستر فلیس قابل مشاهده نخواهد بود.</w:t>
      </w:r>
    </w:p>
    <w:p>
      <w:pPr>
        <w:spacing w:after="28" w:line="216" w:lineRule="auto"/>
        <w:ind w:left="259"/>
        <w:jc w:val="left"/>
      </w:pPr>
      <w:r>
        <w:rPr>
          <w:rFonts w:ascii="Arial" w:hAnsi="Arial"/>
          <w:color w:val="525252"/>
          <w:sz w:val="13"/>
        </w:rPr>
        <w:t>A coyote brown fleece liner may be worn under the OCP jacket; however, the fleece liner will not be visible.</w:t>
      </w:r>
    </w:p>
    <w:p>
      <w:pPr>
        <w:spacing w:after="20" w:line="223" w:lineRule="auto"/>
        <w:jc w:val="right"/>
        <w:bidi/>
      </w:pPr>
      <w:r>
        <w:rPr>
          <w:rFonts w:ascii="Arial" w:hAnsi="Arial"/>
          <w:sz w:val="16"/>
        </w:rPr>
        <w:t>472.19  توجه: نوارهای نام را نمی‌توان روی ژاکت OCP قرار داد بدون اینکه بر عملکرد یا سطح محافظت ژاکت تأثیر بگذارد.</w:t>
      </w:r>
    </w:p>
    <w:p>
      <w:pPr>
        <w:spacing w:after="28" w:line="216" w:lineRule="auto"/>
        <w:ind w:left="259"/>
        <w:jc w:val="left"/>
      </w:pPr>
      <w:r>
        <w:rPr>
          <w:rFonts w:ascii="Arial" w:hAnsi="Arial"/>
          <w:color w:val="525252"/>
          <w:sz w:val="13"/>
        </w:rPr>
        <w:t>Note: Nametapes cannot be placed on the OCP jacket without affecting the jacket’s performance or protection level.</w:t>
      </w:r>
    </w:p>
    <w:p>
      <w:pPr>
        <w:spacing w:after="20" w:line="223" w:lineRule="auto"/>
        <w:jc w:val="right"/>
        <w:bidi/>
      </w:pPr>
      <w:r>
        <w:rPr>
          <w:rFonts w:ascii="Arial" w:hAnsi="Arial"/>
          <w:sz w:val="16"/>
        </w:rPr>
        <w:t>472.20  این تنها ژاکت OCP بدون نوار نام است.</w:t>
      </w:r>
    </w:p>
    <w:p>
      <w:pPr>
        <w:spacing w:after="28" w:line="216" w:lineRule="auto"/>
        <w:ind w:left="259"/>
        <w:jc w:val="left"/>
      </w:pPr>
      <w:r>
        <w:rPr>
          <w:rFonts w:ascii="Arial" w:hAnsi="Arial"/>
          <w:color w:val="525252"/>
          <w:sz w:val="13"/>
        </w:rPr>
        <w:t>It is the only OCP jacket without nametapes.</w:t>
      </w:r>
    </w:p>
    <w:p>
      <w:pPr>
        <w:spacing w:before="60" w:after="28"/>
        <w:jc w:val="right"/>
        <w:bidi/>
      </w:pPr>
      <w:r>
        <w:rPr>
          <w:b/>
          <w:color w:val="1F4D78"/>
          <w:sz w:val="18"/>
        </w:rPr>
        <w:t>شکل 23.40. Gen III، سطح VI OCP ژاکت و Level VII Parka</w:t>
      </w:r>
    </w:p>
    <w:p>
      <w:pPr>
        <w:spacing w:after="20"/>
        <w:ind w:left="259"/>
        <w:jc w:val="left"/>
      </w:pPr>
      <w:r>
        <w:rPr>
          <w:color w:val="555555"/>
          <w:sz w:val="12"/>
        </w:rPr>
        <w:t>Figure 23.40. Gen III, Level VI OCP Jacket and Level VII Parka</w:t>
      </w:r>
    </w:p>
    <w:p>
      <w:pPr>
        <w:spacing w:after="20" w:line="223" w:lineRule="auto"/>
        <w:jc w:val="right"/>
        <w:bidi/>
      </w:pPr>
      <w:r>
        <w:rPr>
          <w:rFonts w:ascii="Arial" w:hAnsi="Arial"/>
          <w:sz w:val="16"/>
        </w:rPr>
        <w:t>472.22  پشم قهوه‌ای کایوت (OCP).</w:t>
      </w:r>
    </w:p>
    <w:p>
      <w:pPr>
        <w:spacing w:after="28" w:line="216" w:lineRule="auto"/>
        <w:ind w:left="259"/>
        <w:jc w:val="left"/>
      </w:pPr>
      <w:r>
        <w:rPr>
          <w:rFonts w:ascii="Arial" w:hAnsi="Arial"/>
          <w:color w:val="525252"/>
          <w:sz w:val="13"/>
        </w:rPr>
        <w:t>Coyote Brown Fleece (OCP).</w:t>
      </w:r>
    </w:p>
    <w:p>
      <w:pPr>
        <w:spacing w:after="20" w:line="223" w:lineRule="auto"/>
        <w:jc w:val="right"/>
        <w:bidi/>
      </w:pPr>
      <w:r>
        <w:rPr>
          <w:rFonts w:ascii="Arial" w:hAnsi="Arial"/>
          <w:sz w:val="16"/>
        </w:rPr>
        <w:t>472.23  ممکن است در داخل یا خارج از منزل پوشیده شود.</w:t>
      </w:r>
    </w:p>
    <w:p>
      <w:pPr>
        <w:spacing w:after="28" w:line="216" w:lineRule="auto"/>
        <w:ind w:left="259"/>
        <w:jc w:val="left"/>
      </w:pPr>
      <w:r>
        <w:rPr>
          <w:rFonts w:ascii="Arial" w:hAnsi="Arial"/>
          <w:color w:val="525252"/>
          <w:sz w:val="13"/>
        </w:rPr>
        <w:t>May be worn indoors or outdoors.</w:t>
      </w:r>
    </w:p>
    <w:p>
      <w:pPr>
        <w:spacing w:after="20" w:line="223" w:lineRule="auto"/>
        <w:jc w:val="right"/>
        <w:bidi/>
      </w:pPr>
      <w:r>
        <w:rPr>
          <w:rFonts w:ascii="Arial" w:hAnsi="Arial"/>
          <w:sz w:val="16"/>
        </w:rPr>
        <w:t>472.24  پشم گوسفند قهوه‌ای کایوت برای پوشیدن به‌عنوان لباس بیرونی فقط با OCP و روی کت OCP مجاز است.</w:t>
      </w:r>
    </w:p>
    <w:p>
      <w:pPr>
        <w:spacing w:after="28" w:line="216" w:lineRule="auto"/>
        <w:ind w:left="259"/>
        <w:jc w:val="left"/>
      </w:pPr>
      <w:r>
        <w:rPr>
          <w:rFonts w:ascii="Arial" w:hAnsi="Arial"/>
          <w:color w:val="525252"/>
          <w:sz w:val="13"/>
        </w:rPr>
        <w:t>The coyote brown fleece is authorized for wear as an outer garment with the OCP only and over the OCP coat.</w:t>
      </w:r>
    </w:p>
    <w:p>
      <w:pPr>
        <w:spacing w:after="20" w:line="223" w:lineRule="auto"/>
        <w:jc w:val="right"/>
        <w:bidi/>
      </w:pPr>
      <w:r>
        <w:rPr>
          <w:rFonts w:ascii="Arial" w:hAnsi="Arial"/>
          <w:sz w:val="16"/>
        </w:rPr>
        <w:t>472.25  دارای یک نوار نام ولکرو® OCP با حروف قهوه‌ای ادویه‌ای است که در مرکز بین زیپ و درز آستین روی سینه سمت راست کاربر قرار دارد.</w:t>
      </w:r>
    </w:p>
    <w:p>
      <w:pPr>
        <w:spacing w:after="28" w:line="216" w:lineRule="auto"/>
        <w:ind w:left="259"/>
        <w:jc w:val="left"/>
      </w:pPr>
      <w:r>
        <w:rPr>
          <w:rFonts w:ascii="Arial" w:hAnsi="Arial"/>
          <w:color w:val="525252"/>
          <w:sz w:val="13"/>
        </w:rPr>
        <w:t>It will have a Velcro® OCP nametape with spice brown lettering centered between the zipper and sleeve seam on the wearer’s right chest.</w:t>
      </w:r>
    </w:p>
    <w:p>
      <w:pPr>
        <w:spacing w:after="20" w:line="223" w:lineRule="auto"/>
        <w:jc w:val="right"/>
        <w:bidi/>
      </w:pPr>
      <w:r>
        <w:rPr>
          <w:rFonts w:ascii="Arial" w:hAnsi="Arial"/>
          <w:sz w:val="16"/>
        </w:rPr>
        <w:t>472.26  همچنین دارای یک ردیف پارچه‌ای ۲ اینچی مربعی با ولکرو® است که پس‌زمینه OCP برافراشته و در مرکز بالای نوار نام روی سینه سمت راست کاربر قرار دارد.</w:t>
      </w:r>
    </w:p>
    <w:p>
      <w:pPr>
        <w:spacing w:after="28" w:line="216" w:lineRule="auto"/>
        <w:ind w:left="259"/>
        <w:jc w:val="left"/>
      </w:pPr>
      <w:r>
        <w:rPr>
          <w:rFonts w:ascii="Arial" w:hAnsi="Arial"/>
          <w:color w:val="525252"/>
          <w:sz w:val="13"/>
        </w:rPr>
        <w:t>It will also have a 2-inch squared Velcro® subdued cloth rank with OCP background flushed and centered above the nametape on the wearer’s right chest.</w:t>
      </w:r>
    </w:p>
    <w:p>
      <w:pPr>
        <w:spacing w:after="20" w:line="223" w:lineRule="auto"/>
        <w:jc w:val="right"/>
        <w:bidi/>
      </w:pPr>
      <w:r>
        <w:rPr>
          <w:rFonts w:ascii="Arial" w:hAnsi="Arial"/>
          <w:sz w:val="16"/>
        </w:rPr>
        <w:t>472.27  استثنا: درجه سپهبد و ژنرال یک درجه پارچه‌ای ۳ ۱/۴ اینچ در ۲ اینچ ولکرو® خواهد بود.</w:t>
      </w:r>
    </w:p>
    <w:p>
      <w:pPr>
        <w:spacing w:after="28" w:line="216" w:lineRule="auto"/>
        <w:ind w:left="259"/>
        <w:jc w:val="left"/>
      </w:pPr>
      <w:r>
        <w:rPr>
          <w:rFonts w:ascii="Arial" w:hAnsi="Arial"/>
          <w:color w:val="525252"/>
          <w:sz w:val="13"/>
        </w:rPr>
        <w:t>Exception: Lieutenant General and General rank will be a 3 1/4-inch by 2-inch Velcro® subdued cloth rank.</w:t>
      </w:r>
    </w:p>
    <w:p>
      <w:pPr>
        <w:spacing w:after="20" w:line="223" w:lineRule="auto"/>
        <w:jc w:val="right"/>
        <w:bidi/>
      </w:pPr>
      <w:r>
        <w:rPr>
          <w:rFonts w:ascii="Arial" w:hAnsi="Arial"/>
          <w:sz w:val="16"/>
        </w:rPr>
        <w:t>472.28  نوار چسب ولکرو® OCP نیروی هوایی ایالات متحده با حروف قهوه‌ای تند و بلوک با نوار نام یکنواخت خواهد بود و در مرکز بین زیپ و درز آستین روی سینه چپ کاربر قرار دارد.</w:t>
      </w:r>
    </w:p>
    <w:p>
      <w:pPr>
        <w:spacing w:after="28" w:line="216" w:lineRule="auto"/>
        <w:ind w:left="259"/>
        <w:jc w:val="left"/>
      </w:pPr>
      <w:r>
        <w:rPr>
          <w:rFonts w:ascii="Arial" w:hAnsi="Arial"/>
          <w:color w:val="525252"/>
          <w:sz w:val="13"/>
        </w:rPr>
        <w:t>A Velcro® OCP U.S. Air Force tape with spice brown, block lettering will be even with the nametape and centered between the zipper and sleeve seam on the wearer’s left chest.</w:t>
      </w:r>
    </w:p>
    <w:p>
      <w:pPr>
        <w:spacing w:after="20" w:line="223" w:lineRule="auto"/>
        <w:jc w:val="right"/>
        <w:bidi/>
      </w:pPr>
      <w:r>
        <w:rPr>
          <w:rFonts w:ascii="Arial" w:hAnsi="Arial"/>
          <w:sz w:val="16"/>
        </w:rPr>
        <w:t>472.29  توجه: هوانوردان می‌توانند برای نوار نام، نوار USAF و رتبه، پشتیبان ولکرو را بدوزند یا از آن استفاده کنند، اما نوارهای دوخته شده و ولکرو® را با هم ترکیب نمی‌کنند.</w:t>
      </w:r>
    </w:p>
    <w:p>
      <w:pPr>
        <w:spacing w:after="28" w:line="216" w:lineRule="auto"/>
        <w:ind w:left="259"/>
        <w:jc w:val="left"/>
      </w:pPr>
      <w:r>
        <w:rPr>
          <w:rFonts w:ascii="Arial" w:hAnsi="Arial"/>
          <w:color w:val="525252"/>
          <w:sz w:val="13"/>
        </w:rPr>
        <w:t>Note: Airmen may sew-on or use Velcro® backing for nametape, USAF tape, and rank but will not mix sewn-on and Velcro® tapes or rank.</w:t>
      </w:r>
    </w:p>
    <w:p>
      <w:pPr>
        <w:spacing w:after="20" w:line="223" w:lineRule="auto"/>
        <w:jc w:val="right"/>
        <w:bidi/>
      </w:pPr>
      <w:r>
        <w:rPr>
          <w:rFonts w:ascii="Arial" w:hAnsi="Arial"/>
          <w:sz w:val="16"/>
        </w:rPr>
        <w:t>472.30  پرسنل نیروهای امنیتی و پرسنل حفاظت آتش (افسر و سرباز) می‌توانند سپر مربوطه نیروهای امنیتی یا حفاظت آتش (باید سپرهای پارچه‌ای OCP باشند؛ سپرهای فلزی مجاز نیستند) در سمت چپ پشم گوسفند، در مرکز زیر بپوشند.</w:t>
      </w:r>
    </w:p>
    <w:p>
      <w:pPr>
        <w:spacing w:after="28" w:line="216" w:lineRule="auto"/>
        <w:ind w:left="259"/>
        <w:jc w:val="left"/>
      </w:pPr>
      <w:r>
        <w:rPr>
          <w:rFonts w:ascii="Arial" w:hAnsi="Arial"/>
          <w:color w:val="525252"/>
          <w:sz w:val="13"/>
        </w:rPr>
        <w:t>Security Forces personnel and Fire Protection personnel (officer &amp; enlisted) may wear the applicable Security Forces or Fire Protection shield (must be OCP cloth shields; metal shields are not authorized) on the left side of the fleece, centered below</w:t>
      </w:r>
    </w:p>
    <w:p>
      <w:r>
        <w:br w:type="page"/>
      </w:r>
    </w:p>
    <w:p>
      <w:pPr>
        <w:spacing w:after="60"/>
        <w:jc w:val="right"/>
        <w:bidi/>
      </w:pPr>
      <w:r>
        <w:rPr>
          <w:rFonts w:ascii="Arial" w:hAnsi="Arial"/>
          <w:b/>
          <w:color w:val="1F4D78"/>
          <w:sz w:val="19"/>
        </w:rPr>
        <w:t>هفتهٔ 473  |  صفحهٔ منبع: 489</w:t>
      </w:r>
    </w:p>
    <w:p>
      <w:pPr>
        <w:spacing w:after="20" w:line="223" w:lineRule="auto"/>
        <w:jc w:val="right"/>
        <w:bidi/>
      </w:pPr>
      <w:r>
        <w:rPr>
          <w:rFonts w:ascii="Arial" w:hAnsi="Arial"/>
          <w:sz w:val="16"/>
        </w:rPr>
        <w:t>473.01  و تا نوار USAF برافروخته شد.</w:t>
      </w:r>
    </w:p>
    <w:p>
      <w:pPr>
        <w:spacing w:after="28" w:line="216" w:lineRule="auto"/>
        <w:ind w:left="259"/>
        <w:jc w:val="left"/>
      </w:pPr>
      <w:r>
        <w:rPr>
          <w:rFonts w:ascii="Arial" w:hAnsi="Arial"/>
          <w:color w:val="525252"/>
          <w:sz w:val="13"/>
        </w:rPr>
        <w:t>and flushed up to the USAF tape.</w:t>
      </w:r>
    </w:p>
    <w:p>
      <w:pPr>
        <w:spacing w:after="20" w:line="223" w:lineRule="auto"/>
        <w:jc w:val="right"/>
        <w:bidi/>
      </w:pPr>
      <w:r>
        <w:rPr>
          <w:rFonts w:ascii="Arial" w:hAnsi="Arial"/>
          <w:sz w:val="16"/>
        </w:rPr>
        <w:t>473.02  سپر ممکن است دوخته شده یا با ولکرو® متصل شود.</w:t>
      </w:r>
    </w:p>
    <w:p>
      <w:pPr>
        <w:spacing w:after="28" w:line="216" w:lineRule="auto"/>
        <w:ind w:left="259"/>
        <w:jc w:val="left"/>
      </w:pPr>
      <w:r>
        <w:rPr>
          <w:rFonts w:ascii="Arial" w:hAnsi="Arial"/>
          <w:color w:val="525252"/>
          <w:sz w:val="13"/>
        </w:rPr>
        <w:t>The shield may be sewn-on or attached with Velcro®.</w:t>
      </w:r>
    </w:p>
    <w:p>
      <w:pPr>
        <w:spacing w:after="20" w:line="223" w:lineRule="auto"/>
        <w:jc w:val="right"/>
        <w:bidi/>
      </w:pPr>
      <w:r>
        <w:rPr>
          <w:rFonts w:ascii="Arial" w:hAnsi="Arial"/>
          <w:sz w:val="16"/>
        </w:rPr>
        <w:t>473.03  زیپ پشم گوسفند کمتر از بالای نوار نام نیست.</w:t>
      </w:r>
    </w:p>
    <w:p>
      <w:pPr>
        <w:spacing w:after="28" w:line="216" w:lineRule="auto"/>
        <w:ind w:left="259"/>
        <w:jc w:val="left"/>
      </w:pPr>
      <w:r>
        <w:rPr>
          <w:rFonts w:ascii="Arial" w:hAnsi="Arial"/>
          <w:color w:val="525252"/>
          <w:sz w:val="13"/>
        </w:rPr>
        <w:t>The fleece will be zipped no lower than the top of the nametape.</w:t>
      </w:r>
    </w:p>
    <w:p>
      <w:pPr>
        <w:spacing w:after="20" w:line="223" w:lineRule="auto"/>
        <w:jc w:val="right"/>
        <w:bidi/>
      </w:pPr>
      <w:r>
        <w:rPr>
          <w:rFonts w:ascii="Arial" w:hAnsi="Arial"/>
          <w:sz w:val="16"/>
        </w:rPr>
        <w:t>473.04  وقتی زیپ کاملا بسته نشده باشد یقه تا می‌شود و روی شانه، سینه و پشت قرار می‌گیرد.</w:t>
      </w:r>
    </w:p>
    <w:p>
      <w:pPr>
        <w:spacing w:after="28" w:line="216" w:lineRule="auto"/>
        <w:ind w:left="259"/>
        <w:jc w:val="left"/>
      </w:pPr>
      <w:r>
        <w:rPr>
          <w:rFonts w:ascii="Arial" w:hAnsi="Arial"/>
          <w:color w:val="525252"/>
          <w:sz w:val="13"/>
        </w:rPr>
        <w:t>The collar will be folded over and resting on the shoulder, chest, and back when the zipper is not completely zipped.</w:t>
      </w:r>
    </w:p>
    <w:p>
      <w:pPr>
        <w:spacing w:after="20" w:line="223" w:lineRule="auto"/>
        <w:jc w:val="right"/>
        <w:bidi/>
      </w:pPr>
      <w:r>
        <w:rPr>
          <w:rFonts w:ascii="Arial" w:hAnsi="Arial"/>
          <w:sz w:val="16"/>
        </w:rPr>
        <w:t>473.05  استثنا: وقتی با یونیفرم بارداری OCP پوشیده می‌شود، اعضا می‌توانند زیپ پشم را باز کرده باشند.</w:t>
      </w:r>
    </w:p>
    <w:p>
      <w:pPr>
        <w:spacing w:after="28" w:line="216" w:lineRule="auto"/>
        <w:ind w:left="259"/>
        <w:jc w:val="left"/>
      </w:pPr>
      <w:r>
        <w:rPr>
          <w:rFonts w:ascii="Arial" w:hAnsi="Arial"/>
          <w:color w:val="525252"/>
          <w:sz w:val="13"/>
        </w:rPr>
        <w:t>Exception: When worn with OCP maternity uniform, members may wear the fleece unzipped.</w:t>
      </w:r>
    </w:p>
    <w:p>
      <w:pPr>
        <w:spacing w:after="20" w:line="223" w:lineRule="auto"/>
        <w:jc w:val="right"/>
        <w:bidi/>
      </w:pPr>
      <w:r>
        <w:rPr>
          <w:rFonts w:ascii="Arial" w:hAnsi="Arial"/>
          <w:sz w:val="16"/>
        </w:rPr>
        <w:t>473.06  طول پایین پشم گوسفند تا حد ممکن با طول پایین کت OCP مطابقت دارد.</w:t>
      </w:r>
    </w:p>
    <w:p>
      <w:pPr>
        <w:spacing w:after="28" w:line="216" w:lineRule="auto"/>
        <w:ind w:left="259"/>
        <w:jc w:val="left"/>
      </w:pPr>
      <w:r>
        <w:rPr>
          <w:rFonts w:ascii="Arial" w:hAnsi="Arial"/>
          <w:color w:val="525252"/>
          <w:sz w:val="13"/>
        </w:rPr>
        <w:t>The bottom length of the fleece will match as closely as possible to the bottom length of the OCP coat.</w:t>
      </w:r>
    </w:p>
    <w:p>
      <w:pPr>
        <w:spacing w:after="20" w:line="223" w:lineRule="auto"/>
        <w:jc w:val="right"/>
        <w:bidi/>
      </w:pPr>
      <w:r>
        <w:rPr>
          <w:rFonts w:ascii="Arial" w:hAnsi="Arial"/>
          <w:sz w:val="16"/>
        </w:rPr>
        <w:t>473.07  آستین‌ها را بالا نزنید یا بالا نبرید.</w:t>
      </w:r>
    </w:p>
    <w:p>
      <w:pPr>
        <w:spacing w:after="28" w:line="216" w:lineRule="auto"/>
        <w:ind w:left="259"/>
        <w:jc w:val="left"/>
      </w:pPr>
      <w:r>
        <w:rPr>
          <w:rFonts w:ascii="Arial" w:hAnsi="Arial"/>
          <w:color w:val="525252"/>
          <w:sz w:val="13"/>
        </w:rPr>
        <w:t>Do not roll or push up the sleeves.</w:t>
      </w:r>
    </w:p>
    <w:p>
      <w:pPr>
        <w:spacing w:before="60" w:after="28"/>
        <w:jc w:val="right"/>
        <w:bidi/>
      </w:pPr>
      <w:r>
        <w:rPr>
          <w:b/>
          <w:color w:val="1F4D78"/>
          <w:sz w:val="18"/>
        </w:rPr>
        <w:t>شکل 23.41. ژاکت پشمی قهوه ای کایوت</w:t>
      </w:r>
    </w:p>
    <w:p>
      <w:pPr>
        <w:spacing w:after="20"/>
        <w:ind w:left="259"/>
        <w:jc w:val="left"/>
      </w:pPr>
      <w:r>
        <w:rPr>
          <w:color w:val="555555"/>
          <w:sz w:val="12"/>
        </w:rPr>
        <w:t>Figure 23.41. Coyote Brown Fleece Jacket</w:t>
      </w:r>
    </w:p>
    <w:p>
      <w:pPr>
        <w:spacing w:after="20" w:line="223" w:lineRule="auto"/>
        <w:jc w:val="right"/>
        <w:bidi/>
      </w:pPr>
      <w:r>
        <w:rPr>
          <w:rFonts w:ascii="Arial" w:hAnsi="Arial"/>
          <w:sz w:val="16"/>
        </w:rPr>
        <w:t>473.09  ن۳ب کولد-واتر پارکا.</w:t>
      </w:r>
    </w:p>
    <w:p>
      <w:pPr>
        <w:spacing w:after="28" w:line="216" w:lineRule="auto"/>
        <w:ind w:left="259"/>
        <w:jc w:val="left"/>
      </w:pPr>
      <w:r>
        <w:rPr>
          <w:rFonts w:ascii="Arial" w:hAnsi="Arial"/>
          <w:color w:val="525252"/>
          <w:sz w:val="13"/>
        </w:rPr>
        <w:t>N3B Cold-Weather Parka.</w:t>
      </w:r>
    </w:p>
    <w:p>
      <w:pPr>
        <w:spacing w:after="20" w:line="223" w:lineRule="auto"/>
        <w:jc w:val="right"/>
        <w:bidi/>
      </w:pPr>
      <w:r>
        <w:rPr>
          <w:rFonts w:ascii="Arial" w:hAnsi="Arial"/>
          <w:sz w:val="16"/>
        </w:rPr>
        <w:t>473.10  قابل پوشیدن با تمامی ترکیبات یکنواخت.</w:t>
      </w:r>
    </w:p>
    <w:p>
      <w:pPr>
        <w:spacing w:after="28" w:line="216" w:lineRule="auto"/>
        <w:ind w:left="259"/>
        <w:jc w:val="left"/>
      </w:pPr>
      <w:r>
        <w:rPr>
          <w:rFonts w:ascii="Arial" w:hAnsi="Arial"/>
          <w:color w:val="525252"/>
          <w:sz w:val="13"/>
        </w:rPr>
        <w:t>Can be worn with all uniform combinations.</w:t>
      </w:r>
    </w:p>
    <w:p>
      <w:pPr>
        <w:spacing w:after="20" w:line="223" w:lineRule="auto"/>
        <w:jc w:val="right"/>
        <w:bidi/>
      </w:pPr>
      <w:r>
        <w:rPr>
          <w:rFonts w:ascii="Arial" w:hAnsi="Arial"/>
          <w:sz w:val="16"/>
        </w:rPr>
        <w:t>473.11  فقط برای استفاده در فضای باز.</w:t>
      </w:r>
    </w:p>
    <w:p>
      <w:pPr>
        <w:spacing w:after="28" w:line="216" w:lineRule="auto"/>
        <w:ind w:left="259"/>
        <w:jc w:val="left"/>
      </w:pPr>
      <w:r>
        <w:rPr>
          <w:rFonts w:ascii="Arial" w:hAnsi="Arial"/>
          <w:color w:val="525252"/>
          <w:sz w:val="13"/>
        </w:rPr>
        <w:t>For outdoor use only.</w:t>
      </w:r>
    </w:p>
    <w:p>
      <w:pPr>
        <w:spacing w:after="20" w:line="223" w:lineRule="auto"/>
        <w:jc w:val="right"/>
        <w:bidi/>
      </w:pPr>
      <w:r>
        <w:rPr>
          <w:rFonts w:ascii="Arial" w:hAnsi="Arial"/>
          <w:sz w:val="16"/>
        </w:rPr>
        <w:t>473.12  پارک هوای سرد سبز با کلاهی لبه‌دار خواهد بود.</w:t>
      </w:r>
    </w:p>
    <w:p>
      <w:pPr>
        <w:spacing w:after="28" w:line="216" w:lineRule="auto"/>
        <w:ind w:left="259"/>
        <w:jc w:val="left"/>
      </w:pPr>
      <w:r>
        <w:rPr>
          <w:rFonts w:ascii="Arial" w:hAnsi="Arial"/>
          <w:color w:val="525252"/>
          <w:sz w:val="13"/>
        </w:rPr>
        <w:t>The cold weather parka will be green with a fur-edged hood.</w:t>
      </w:r>
    </w:p>
    <w:p>
      <w:pPr>
        <w:spacing w:after="20" w:line="223" w:lineRule="auto"/>
        <w:jc w:val="right"/>
        <w:bidi/>
      </w:pPr>
      <w:r>
        <w:rPr>
          <w:rFonts w:ascii="Arial" w:hAnsi="Arial"/>
          <w:sz w:val="16"/>
        </w:rPr>
        <w:t>473.13  هنگام پوشیدن، پارکا همیشه زیپ می‌شود، در صورت عدم استفاده، کاپوت را به‌طور مرتب روی قسمت بالایی پشت قرار دهید.</w:t>
      </w:r>
    </w:p>
    <w:p>
      <w:pPr>
        <w:spacing w:after="28" w:line="216" w:lineRule="auto"/>
        <w:ind w:left="259"/>
        <w:jc w:val="left"/>
      </w:pPr>
      <w:r>
        <w:rPr>
          <w:rFonts w:ascii="Arial" w:hAnsi="Arial"/>
          <w:color w:val="525252"/>
          <w:sz w:val="13"/>
        </w:rPr>
        <w:t>When worn, the parka will be zipped at all times, rest the hood neatly on the upper back when not in use.</w:t>
      </w:r>
    </w:p>
    <w:p>
      <w:pPr>
        <w:spacing w:after="20" w:line="223" w:lineRule="auto"/>
        <w:jc w:val="right"/>
        <w:bidi/>
      </w:pPr>
      <w:r>
        <w:rPr>
          <w:rFonts w:ascii="Arial" w:hAnsi="Arial"/>
          <w:sz w:val="16"/>
        </w:rPr>
        <w:t>473.14  از نشان رتبه در پارک هوای سرد استفاده نکنید.</w:t>
      </w:r>
    </w:p>
    <w:p>
      <w:pPr>
        <w:spacing w:after="28" w:line="216" w:lineRule="auto"/>
        <w:ind w:left="259"/>
        <w:jc w:val="left"/>
      </w:pPr>
      <w:r>
        <w:rPr>
          <w:rFonts w:ascii="Arial" w:hAnsi="Arial"/>
          <w:color w:val="525252"/>
          <w:sz w:val="13"/>
        </w:rPr>
        <w:t>Do not wear rank insignia on the cold-weather parka.</w:t>
      </w:r>
    </w:p>
    <w:p>
      <w:pPr>
        <w:spacing w:before="60" w:after="28"/>
        <w:jc w:val="right"/>
        <w:bidi/>
      </w:pPr>
      <w:r>
        <w:rPr>
          <w:b/>
          <w:color w:val="1F4D78"/>
          <w:sz w:val="18"/>
        </w:rPr>
        <w:t>شکل 23.42. پارکای هوای سرد N3B</w:t>
      </w:r>
    </w:p>
    <w:p>
      <w:pPr>
        <w:spacing w:after="20"/>
        <w:ind w:left="259"/>
        <w:jc w:val="left"/>
      </w:pPr>
      <w:r>
        <w:rPr>
          <w:color w:val="555555"/>
          <w:sz w:val="12"/>
        </w:rPr>
        <w:t>Figure 23.42. N3B Cold Weather Parka</w:t>
      </w:r>
    </w:p>
    <w:p>
      <w:pPr>
        <w:spacing w:after="20" w:line="223" w:lineRule="auto"/>
        <w:jc w:val="right"/>
        <w:bidi/>
      </w:pPr>
      <w:r>
        <w:rPr>
          <w:rFonts w:ascii="Arial" w:hAnsi="Arial"/>
          <w:sz w:val="16"/>
        </w:rPr>
        <w:t>473.16  گن III، سطح VII.</w:t>
      </w:r>
    </w:p>
    <w:p>
      <w:pPr>
        <w:spacing w:after="28" w:line="216" w:lineRule="auto"/>
        <w:ind w:left="259"/>
        <w:jc w:val="left"/>
      </w:pPr>
      <w:r>
        <w:rPr>
          <w:rFonts w:ascii="Arial" w:hAnsi="Arial"/>
          <w:color w:val="525252"/>
          <w:sz w:val="13"/>
        </w:rPr>
        <w:t>Gen III, Level VII.</w:t>
      </w:r>
    </w:p>
    <w:p>
      <w:pPr>
        <w:spacing w:after="20" w:line="223" w:lineRule="auto"/>
        <w:jc w:val="right"/>
        <w:bidi/>
      </w:pPr>
      <w:r>
        <w:rPr>
          <w:rFonts w:ascii="Arial" w:hAnsi="Arial"/>
          <w:sz w:val="16"/>
        </w:rPr>
        <w:t>473.17  محافظتی مشابه پارک ن۳ب در هوای سرد با روکش خزدار ارائه می‌کند و می‌تواند با تمام ترکیب‌های یکنواخت پوشیده شود.</w:t>
      </w:r>
    </w:p>
    <w:p>
      <w:pPr>
        <w:spacing w:after="28" w:line="216" w:lineRule="auto"/>
        <w:ind w:left="259"/>
        <w:jc w:val="left"/>
      </w:pPr>
      <w:r>
        <w:rPr>
          <w:rFonts w:ascii="Arial" w:hAnsi="Arial"/>
          <w:color w:val="525252"/>
          <w:sz w:val="13"/>
        </w:rPr>
        <w:t>Provides protection similar to the N3B cold-weather parka with the fur lined hood and may be worn with all uniform combinations.</w:t>
      </w:r>
    </w:p>
    <w:p>
      <w:pPr>
        <w:spacing w:after="20" w:line="223" w:lineRule="auto"/>
        <w:jc w:val="right"/>
        <w:bidi/>
      </w:pPr>
      <w:r>
        <w:rPr>
          <w:rFonts w:ascii="Arial" w:hAnsi="Arial"/>
          <w:sz w:val="16"/>
        </w:rPr>
        <w:t>473.18  فقط برای استفاده در فضای باز.</w:t>
      </w:r>
    </w:p>
    <w:p>
      <w:pPr>
        <w:spacing w:after="28" w:line="216" w:lineRule="auto"/>
        <w:ind w:left="259"/>
        <w:jc w:val="left"/>
      </w:pPr>
      <w:r>
        <w:rPr>
          <w:rFonts w:ascii="Arial" w:hAnsi="Arial"/>
          <w:color w:val="525252"/>
          <w:sz w:val="13"/>
        </w:rPr>
        <w:t>For outdoor use only.</w:t>
      </w:r>
    </w:p>
    <w:p>
      <w:pPr>
        <w:spacing w:after="20" w:line="223" w:lineRule="auto"/>
        <w:jc w:val="right"/>
        <w:bidi/>
      </w:pPr>
      <w:r>
        <w:rPr>
          <w:rFonts w:ascii="Arial" w:hAnsi="Arial"/>
          <w:sz w:val="16"/>
        </w:rPr>
        <w:t>473.19  MAJCOM و فرماندهان جناحی که تجهیزات آب و هوای سرد را صادر می‌کنند، خط‌مشی پوشیدن نسل III، سطح VII را برای MAJCOM یا تأسیسات خود تعیین می‌کنند و باید خط‌مشی پوشیدن پارک در هوای سرد ن۳ب را منعکس کنند.</w:t>
      </w:r>
    </w:p>
    <w:p>
      <w:pPr>
        <w:spacing w:after="28" w:line="216" w:lineRule="auto"/>
        <w:ind w:left="259"/>
        <w:jc w:val="left"/>
      </w:pPr>
      <w:r>
        <w:rPr>
          <w:rFonts w:ascii="Arial" w:hAnsi="Arial"/>
          <w:color w:val="525252"/>
          <w:sz w:val="13"/>
        </w:rPr>
        <w:t>MAJCOM and wing commanders that issue the cold-weather climate gear will determine Gen III, Level VII wear policy for their MAJCOM or installations and should mirror the N3B cold- weather parka wear policy.</w:t>
      </w:r>
    </w:p>
    <w:p>
      <w:pPr>
        <w:spacing w:after="20" w:line="223" w:lineRule="auto"/>
        <w:jc w:val="right"/>
        <w:bidi/>
      </w:pPr>
      <w:r>
        <w:rPr>
          <w:rFonts w:ascii="Arial" w:hAnsi="Arial"/>
          <w:sz w:val="16"/>
        </w:rPr>
        <w:t>473.20  از نوارهای نام OCP روی کت گن III، لول VII استفاده کنید.</w:t>
      </w:r>
    </w:p>
    <w:p>
      <w:pPr>
        <w:spacing w:after="28" w:line="216" w:lineRule="auto"/>
        <w:ind w:left="259"/>
        <w:jc w:val="left"/>
      </w:pPr>
      <w:r>
        <w:rPr>
          <w:rFonts w:ascii="Arial" w:hAnsi="Arial"/>
          <w:color w:val="525252"/>
          <w:sz w:val="13"/>
        </w:rPr>
        <w:t>Wear OCP nametapes on the Gen III, Level VII coat.</w:t>
      </w:r>
    </w:p>
    <w:p>
      <w:r>
        <w:br w:type="page"/>
      </w:r>
    </w:p>
    <w:p>
      <w:pPr>
        <w:spacing w:after="60"/>
        <w:jc w:val="right"/>
        <w:bidi/>
      </w:pPr>
      <w:r>
        <w:rPr>
          <w:rFonts w:ascii="Arial" w:hAnsi="Arial"/>
          <w:b/>
          <w:color w:val="1F4D78"/>
          <w:sz w:val="19"/>
        </w:rPr>
        <w:t>هفتهٔ 474  |  صفحهٔ منبع: 490</w:t>
      </w:r>
    </w:p>
    <w:p>
      <w:pPr>
        <w:spacing w:before="60" w:after="28"/>
        <w:jc w:val="right"/>
        <w:bidi/>
      </w:pPr>
      <w:r>
        <w:rPr>
          <w:b/>
          <w:color w:val="1F4D78"/>
          <w:sz w:val="18"/>
        </w:rPr>
        <w:t>شکل 23.43. Gen III، سطح VII Parka</w:t>
      </w:r>
    </w:p>
    <w:p>
      <w:pPr>
        <w:spacing w:after="20"/>
        <w:ind w:left="259"/>
        <w:jc w:val="left"/>
      </w:pPr>
      <w:r>
        <w:rPr>
          <w:color w:val="555555"/>
          <w:sz w:val="12"/>
        </w:rPr>
        <w:t>Figure 23.43. Gen III, Level VII Parka</w:t>
      </w:r>
    </w:p>
    <w:p>
      <w:pPr>
        <w:spacing w:after="20" w:line="223" w:lineRule="auto"/>
        <w:jc w:val="right"/>
        <w:bidi/>
      </w:pPr>
      <w:r>
        <w:rPr>
          <w:rFonts w:ascii="Arial" w:hAnsi="Arial"/>
          <w:sz w:val="16"/>
        </w:rPr>
        <w:t>474.02  لباس بیرونی تجاری در هوای سرد.</w:t>
      </w:r>
    </w:p>
    <w:p>
      <w:pPr>
        <w:spacing w:after="28" w:line="216" w:lineRule="auto"/>
        <w:ind w:left="259"/>
        <w:jc w:val="left"/>
      </w:pPr>
      <w:r>
        <w:rPr>
          <w:rFonts w:ascii="Arial" w:hAnsi="Arial"/>
          <w:color w:val="525252"/>
          <w:sz w:val="13"/>
        </w:rPr>
        <w:t>Commercial Cold-Weather Outerwear.</w:t>
      </w:r>
    </w:p>
    <w:p>
      <w:pPr>
        <w:spacing w:after="20" w:line="223" w:lineRule="auto"/>
        <w:jc w:val="right"/>
        <w:bidi/>
      </w:pPr>
      <w:r>
        <w:rPr>
          <w:rFonts w:ascii="Arial" w:hAnsi="Arial"/>
          <w:sz w:val="16"/>
        </w:rPr>
        <w:t>474.03  لباس بیرونی OCP تجاری در هوای سرد را می‌توان با یونیفرم OCP، فقط برای استفاده در فضای باز پوشید.</w:t>
      </w:r>
    </w:p>
    <w:p>
      <w:pPr>
        <w:spacing w:after="28" w:line="216" w:lineRule="auto"/>
        <w:ind w:left="259"/>
        <w:jc w:val="left"/>
      </w:pPr>
      <w:r>
        <w:rPr>
          <w:rFonts w:ascii="Arial" w:hAnsi="Arial"/>
          <w:color w:val="525252"/>
          <w:sz w:val="13"/>
        </w:rPr>
        <w:t>Commercial cold-weather OCP outerwear may be worn with the OCP uniform, for outdoor use only.</w:t>
      </w:r>
    </w:p>
    <w:p>
      <w:pPr>
        <w:spacing w:after="20" w:line="223" w:lineRule="auto"/>
        <w:jc w:val="right"/>
        <w:bidi/>
      </w:pPr>
      <w:r>
        <w:rPr>
          <w:rFonts w:ascii="Arial" w:hAnsi="Arial"/>
          <w:sz w:val="16"/>
        </w:rPr>
        <w:t>474.04  در صورت پوشیدن، لباس بیرونی تجاری باید طرح OCP یا قهوه‌ای کایوت باشد.</w:t>
      </w:r>
    </w:p>
    <w:p>
      <w:pPr>
        <w:spacing w:after="28" w:line="216" w:lineRule="auto"/>
        <w:ind w:left="259"/>
        <w:jc w:val="left"/>
      </w:pPr>
      <w:r>
        <w:rPr>
          <w:rFonts w:ascii="Arial" w:hAnsi="Arial"/>
          <w:color w:val="525252"/>
          <w:sz w:val="13"/>
        </w:rPr>
        <w:t>If worn, commercial outerwear must be OCP pattern or coyote brown.</w:t>
      </w:r>
    </w:p>
    <w:p>
      <w:pPr>
        <w:spacing w:after="20" w:line="223" w:lineRule="auto"/>
        <w:jc w:val="right"/>
        <w:bidi/>
      </w:pPr>
      <w:r>
        <w:rPr>
          <w:rFonts w:ascii="Arial" w:hAnsi="Arial"/>
          <w:sz w:val="16"/>
        </w:rPr>
        <w:t>474.05  از نوار نام، نوار USAF، رتبه و وصله‌ها با همان پیکربندی لباس OCP استفاده کنید.</w:t>
      </w:r>
    </w:p>
    <w:p>
      <w:pPr>
        <w:spacing w:after="28" w:line="216" w:lineRule="auto"/>
        <w:ind w:left="259"/>
        <w:jc w:val="left"/>
      </w:pPr>
      <w:r>
        <w:rPr>
          <w:rFonts w:ascii="Arial" w:hAnsi="Arial"/>
          <w:color w:val="525252"/>
          <w:sz w:val="13"/>
        </w:rPr>
        <w:t>Wear nametape, USAF tape, rank, and patches in the same configuration as the OCP uniform.</w:t>
      </w:r>
    </w:p>
    <w:p>
      <w:pPr>
        <w:spacing w:after="20" w:line="223" w:lineRule="auto"/>
        <w:jc w:val="right"/>
        <w:bidi/>
      </w:pPr>
      <w:r>
        <w:rPr>
          <w:rFonts w:ascii="Arial" w:hAnsi="Arial"/>
          <w:sz w:val="16"/>
        </w:rPr>
        <w:t>474.06  استثنا: لباس‌های بیرونی بارداری که به‌صورت تجاری در هوای سرد تهیه می‌شوند، می‌توانند بدون نوار نام، نوار USAF، رتبه و تکه‌ها استفاده شوند، اگر لباس‌های بیرونی دارای لکه‌های ولکرو برای پوشیدن آن‌ها نباشد.</w:t>
      </w:r>
    </w:p>
    <w:p>
      <w:pPr>
        <w:spacing w:after="28" w:line="216" w:lineRule="auto"/>
        <w:ind w:left="259"/>
        <w:jc w:val="left"/>
      </w:pPr>
      <w:r>
        <w:rPr>
          <w:rFonts w:ascii="Arial" w:hAnsi="Arial"/>
          <w:color w:val="525252"/>
          <w:sz w:val="13"/>
        </w:rPr>
        <w:t>Exception: Commercially procured maternity cold- weather outerwear may be worn without nametapes, USAF tape, rank, and patches if outerwear does not have Velcro spots for those items to be worn.</w:t>
      </w:r>
    </w:p>
    <w:p>
      <w:pPr>
        <w:spacing w:after="20" w:line="223" w:lineRule="auto"/>
        <w:jc w:val="right"/>
        <w:bidi/>
      </w:pPr>
      <w:r>
        <w:rPr>
          <w:rFonts w:ascii="Arial" w:hAnsi="Arial"/>
          <w:sz w:val="16"/>
        </w:rPr>
        <w:t>474.07  لباس بیرونی بارداری در هوای سرد باید دارای طرح OCP یا مشکی یکدست، آبی تیره، سبز تیره، قهوه‌ای تیره یا قهوه‌ای کایوت باشد (توجه: مشکی یکدست و آبی تیره تنها رنگ‌هایی هستند که ممکن است با گزینه‌های لباس سرویس پوشیده شوند).</w:t>
      </w:r>
    </w:p>
    <w:p>
      <w:pPr>
        <w:spacing w:after="28" w:line="216" w:lineRule="auto"/>
        <w:ind w:left="259"/>
        <w:jc w:val="left"/>
      </w:pPr>
      <w:r>
        <w:rPr>
          <w:rFonts w:ascii="Arial" w:hAnsi="Arial"/>
          <w:color w:val="525252"/>
          <w:sz w:val="13"/>
        </w:rPr>
        <w:t>Maternity cold-weather outerwear should be either OCP-patterned or solid black, dark blue, dark green, dark brown, or coyote brown in color (Note: Solid black and dark blue are the only colors that may be worn with service dress options).</w:t>
      </w:r>
    </w:p>
    <w:p>
      <w:pPr>
        <w:spacing w:after="20" w:line="223" w:lineRule="auto"/>
        <w:jc w:val="right"/>
        <w:bidi/>
      </w:pPr>
      <w:r>
        <w:rPr>
          <w:rFonts w:ascii="Arial" w:hAnsi="Arial"/>
          <w:sz w:val="16"/>
        </w:rPr>
        <w:t>474.08  ۲۳.۱۳. هدگیر.</w:t>
      </w:r>
    </w:p>
    <w:p>
      <w:pPr>
        <w:spacing w:after="28" w:line="216" w:lineRule="auto"/>
        <w:ind w:left="259"/>
        <w:jc w:val="left"/>
      </w:pPr>
      <w:r>
        <w:rPr>
          <w:rFonts w:ascii="Arial" w:hAnsi="Arial"/>
          <w:color w:val="525252"/>
          <w:sz w:val="13"/>
        </w:rPr>
        <w:t>23.13. Headgear.</w:t>
      </w:r>
    </w:p>
    <w:p>
      <w:pPr>
        <w:spacing w:after="20" w:line="223" w:lineRule="auto"/>
        <w:jc w:val="right"/>
        <w:bidi/>
      </w:pPr>
      <w:r>
        <w:rPr>
          <w:rFonts w:ascii="Arial" w:hAnsi="Arial"/>
          <w:sz w:val="16"/>
        </w:rPr>
        <w:t>474.09  کلاهک سرویس مردانه (کلاه چرخ).</w:t>
      </w:r>
    </w:p>
    <w:p>
      <w:pPr>
        <w:spacing w:after="28" w:line="216" w:lineRule="auto"/>
        <w:ind w:left="259"/>
        <w:jc w:val="left"/>
      </w:pPr>
      <w:r>
        <w:rPr>
          <w:rFonts w:ascii="Arial" w:hAnsi="Arial"/>
          <w:color w:val="525252"/>
          <w:sz w:val="13"/>
        </w:rPr>
        <w:t>The Male Service Cap (Wheel Cap).</w:t>
      </w:r>
    </w:p>
    <w:p>
      <w:pPr>
        <w:spacing w:after="20" w:line="223" w:lineRule="auto"/>
        <w:jc w:val="right"/>
        <w:bidi/>
      </w:pPr>
      <w:r>
        <w:rPr>
          <w:rFonts w:ascii="Arial" w:hAnsi="Arial"/>
          <w:sz w:val="16"/>
        </w:rPr>
        <w:t>474.10  فقط با لباس سرویس (کلاس ا) و لباس فرم سرویس (کلاس ب) پوشیده می‌شود.</w:t>
      </w:r>
    </w:p>
    <w:p>
      <w:pPr>
        <w:spacing w:after="28" w:line="216" w:lineRule="auto"/>
        <w:ind w:left="259"/>
        <w:jc w:val="left"/>
      </w:pPr>
      <w:r>
        <w:rPr>
          <w:rFonts w:ascii="Arial" w:hAnsi="Arial"/>
          <w:color w:val="525252"/>
          <w:sz w:val="13"/>
        </w:rPr>
        <w:t>Will only be worn with the service dress (Class A) and service uniforms (Class B).</w:t>
      </w:r>
    </w:p>
    <w:p>
      <w:pPr>
        <w:spacing w:after="20" w:line="223" w:lineRule="auto"/>
        <w:jc w:val="right"/>
        <w:bidi/>
      </w:pPr>
      <w:r>
        <w:rPr>
          <w:rFonts w:ascii="Arial" w:hAnsi="Arial"/>
          <w:sz w:val="16"/>
        </w:rPr>
        <w:t>474.11  برای قرار دادن ابرها، دارت‌ها و نشان‌های کلاهک مناسب، به شکل‌های ۲۳.۴۴ و ۲۳.۴۵ مراجعه کنید.</w:t>
      </w:r>
    </w:p>
    <w:p>
      <w:pPr>
        <w:spacing w:after="28" w:line="216" w:lineRule="auto"/>
        <w:ind w:left="259"/>
        <w:jc w:val="left"/>
      </w:pPr>
      <w:r>
        <w:rPr>
          <w:rFonts w:ascii="Arial" w:hAnsi="Arial"/>
          <w:color w:val="525252"/>
          <w:sz w:val="13"/>
        </w:rPr>
        <w:t>For placement of appropriate clouds, darts, and cap insignia, see Figures 23.44 and 23.45.</w:t>
      </w:r>
    </w:p>
    <w:p>
      <w:pPr>
        <w:spacing w:after="20" w:line="223" w:lineRule="auto"/>
        <w:jc w:val="right"/>
        <w:bidi/>
      </w:pPr>
      <w:r>
        <w:rPr>
          <w:rFonts w:ascii="Arial" w:hAnsi="Arial"/>
          <w:sz w:val="16"/>
        </w:rPr>
        <w:t>474.12  کلاه سرویس از نوع گیره با نوار بند ۱ ۳/۴ اینچی آبی تیره و دارای بند چانه مشکی جلو است.</w:t>
      </w:r>
    </w:p>
    <w:p>
      <w:pPr>
        <w:spacing w:after="28" w:line="216" w:lineRule="auto"/>
        <w:ind w:left="259"/>
        <w:jc w:val="left"/>
      </w:pPr>
      <w:r>
        <w:rPr>
          <w:rFonts w:ascii="Arial" w:hAnsi="Arial"/>
          <w:color w:val="525252"/>
          <w:sz w:val="13"/>
        </w:rPr>
        <w:t>The visor-type service cap is banded with dark blue 1 3/4-inch braid and has a front black chin strap.</w:t>
      </w:r>
    </w:p>
    <w:p>
      <w:pPr>
        <w:spacing w:after="20" w:line="223" w:lineRule="auto"/>
        <w:jc w:val="right"/>
        <w:bidi/>
      </w:pPr>
      <w:r>
        <w:rPr>
          <w:rFonts w:ascii="Arial" w:hAnsi="Arial"/>
          <w:sz w:val="16"/>
        </w:rPr>
        <w:t>474.13  یک نسخه اختیاری دارای بافته‌ای از ساختار مش باز و یک بند چرمی مشکی پشتی است.</w:t>
      </w:r>
    </w:p>
    <w:p>
      <w:pPr>
        <w:spacing w:after="28" w:line="216" w:lineRule="auto"/>
        <w:ind w:left="259"/>
        <w:jc w:val="left"/>
      </w:pPr>
      <w:r>
        <w:rPr>
          <w:rFonts w:ascii="Arial" w:hAnsi="Arial"/>
          <w:color w:val="525252"/>
          <w:sz w:val="13"/>
        </w:rPr>
        <w:t>An optional version has a braid of an open mesh construction and an optional black leather back strap.</w:t>
      </w:r>
    </w:p>
    <w:p>
      <w:pPr>
        <w:spacing w:after="20" w:line="223" w:lineRule="auto"/>
        <w:jc w:val="right"/>
        <w:bidi/>
      </w:pPr>
      <w:r>
        <w:rPr>
          <w:rFonts w:ascii="Arial" w:hAnsi="Arial"/>
          <w:sz w:val="16"/>
        </w:rPr>
        <w:t>474.14  کلاه به صورت مربعی روی سر می‌نشیند بدون اینکه مویی جلوی کلاه بیرون زده باشد.</w:t>
      </w:r>
    </w:p>
    <w:p>
      <w:pPr>
        <w:spacing w:after="28" w:line="216" w:lineRule="auto"/>
        <w:ind w:left="259"/>
        <w:jc w:val="left"/>
      </w:pPr>
      <w:r>
        <w:rPr>
          <w:rFonts w:ascii="Arial" w:hAnsi="Arial"/>
          <w:color w:val="525252"/>
          <w:sz w:val="13"/>
        </w:rPr>
        <w:t>The cap sits squarely on the head with no hair protruding in front of the cap.</w:t>
      </w:r>
    </w:p>
    <w:p>
      <w:pPr>
        <w:spacing w:after="20" w:line="223" w:lineRule="auto"/>
        <w:jc w:val="right"/>
        <w:bidi/>
      </w:pPr>
      <w:r>
        <w:rPr>
          <w:rFonts w:ascii="Arial" w:hAnsi="Arial"/>
          <w:sz w:val="16"/>
        </w:rPr>
        <w:t>474.15  افسران نشان کلاهک سرویس را بدون دایره و با ابرهای مناسب و دارت (بر اساس رتبه) در مرکز جلوی کلاه می‌پوشند.</w:t>
      </w:r>
    </w:p>
    <w:p>
      <w:pPr>
        <w:spacing w:after="28" w:line="216" w:lineRule="auto"/>
        <w:ind w:left="259"/>
        <w:jc w:val="left"/>
      </w:pPr>
      <w:r>
        <w:rPr>
          <w:rFonts w:ascii="Arial" w:hAnsi="Arial"/>
          <w:color w:val="525252"/>
          <w:sz w:val="13"/>
        </w:rPr>
        <w:t>Officers wear the service cap insignia without a circle and with the appropriate clouds and darts (based on rank) centered on the front of the cap.</w:t>
      </w:r>
    </w:p>
    <w:p>
      <w:pPr>
        <w:spacing w:after="20" w:line="223" w:lineRule="auto"/>
        <w:jc w:val="right"/>
        <w:bidi/>
      </w:pPr>
      <w:r>
        <w:rPr>
          <w:rFonts w:ascii="Arial" w:hAnsi="Arial"/>
          <w:sz w:val="16"/>
        </w:rPr>
        <w:t>474.16  مشمولان، نشان کلاه سرویس را با دایره، در مرکز جلوی کلاه بپوشید.</w:t>
      </w:r>
    </w:p>
    <w:p>
      <w:pPr>
        <w:spacing w:after="28" w:line="216" w:lineRule="auto"/>
        <w:ind w:left="259"/>
        <w:jc w:val="left"/>
      </w:pPr>
      <w:r>
        <w:rPr>
          <w:rFonts w:ascii="Arial" w:hAnsi="Arial"/>
          <w:color w:val="525252"/>
          <w:sz w:val="13"/>
        </w:rPr>
        <w:t>Enlisted wear the service cap insignia with a circle, centered on the front of the cap.</w:t>
      </w:r>
    </w:p>
    <w:p>
      <w:pPr>
        <w:spacing w:after="20" w:line="223" w:lineRule="auto"/>
        <w:jc w:val="right"/>
        <w:bidi/>
      </w:pPr>
      <w:r>
        <w:rPr>
          <w:rFonts w:ascii="Arial" w:hAnsi="Arial"/>
          <w:sz w:val="16"/>
        </w:rPr>
        <w:t>474.17  سقف سرویس برای ماژورها و بالاتر برای نگهداری اجباری و برای سایرین اختیاری است.</w:t>
      </w:r>
    </w:p>
    <w:p>
      <w:pPr>
        <w:spacing w:after="28" w:line="216" w:lineRule="auto"/>
        <w:ind w:left="259"/>
        <w:jc w:val="left"/>
      </w:pPr>
      <w:r>
        <w:rPr>
          <w:rFonts w:ascii="Arial" w:hAnsi="Arial"/>
          <w:color w:val="525252"/>
          <w:sz w:val="13"/>
        </w:rPr>
        <w:t>Service cap is mandatory for Majors and above to maintain and optional for all others.</w:t>
      </w:r>
    </w:p>
    <w:p>
      <w:pPr>
        <w:spacing w:after="20" w:line="223" w:lineRule="auto"/>
        <w:jc w:val="right"/>
        <w:bidi/>
      </w:pPr>
      <w:r>
        <w:rPr>
          <w:rFonts w:ascii="Arial" w:hAnsi="Arial"/>
          <w:sz w:val="16"/>
        </w:rPr>
        <w:t>474.18  کلاهک سرویس زن (درپوش سطلی).</w:t>
      </w:r>
    </w:p>
    <w:p>
      <w:pPr>
        <w:spacing w:after="28" w:line="216" w:lineRule="auto"/>
        <w:ind w:left="259"/>
        <w:jc w:val="left"/>
      </w:pPr>
      <w:r>
        <w:rPr>
          <w:rFonts w:ascii="Arial" w:hAnsi="Arial"/>
          <w:color w:val="525252"/>
          <w:sz w:val="13"/>
        </w:rPr>
        <w:t>The Female Service Cap (Bucket Cap).</w:t>
      </w:r>
    </w:p>
    <w:p>
      <w:pPr>
        <w:spacing w:after="20" w:line="223" w:lineRule="auto"/>
        <w:jc w:val="right"/>
        <w:bidi/>
      </w:pPr>
      <w:r>
        <w:rPr>
          <w:rFonts w:ascii="Arial" w:hAnsi="Arial"/>
          <w:sz w:val="16"/>
        </w:rPr>
        <w:t>474.19  فقط با یونیفرم‌های لباس سرویس کلاس ا و ب پوشیده می‌شود.</w:t>
      </w:r>
    </w:p>
    <w:p>
      <w:pPr>
        <w:spacing w:after="28" w:line="216" w:lineRule="auto"/>
        <w:ind w:left="259"/>
        <w:jc w:val="left"/>
      </w:pPr>
      <w:r>
        <w:rPr>
          <w:rFonts w:ascii="Arial" w:hAnsi="Arial"/>
          <w:color w:val="525252"/>
          <w:sz w:val="13"/>
        </w:rPr>
        <w:t>Will only be worn with the Class A and B service dress uniforms.</w:t>
      </w:r>
    </w:p>
    <w:p>
      <w:pPr>
        <w:spacing w:after="20" w:line="223" w:lineRule="auto"/>
        <w:jc w:val="right"/>
        <w:bidi/>
      </w:pPr>
      <w:r>
        <w:rPr>
          <w:rFonts w:ascii="Arial" w:hAnsi="Arial"/>
          <w:sz w:val="16"/>
        </w:rPr>
        <w:t>474.20  زنان مجاز به پوشیدن کلاه خدمات مردانه هستند.</w:t>
      </w:r>
    </w:p>
    <w:p>
      <w:pPr>
        <w:spacing w:after="28" w:line="216" w:lineRule="auto"/>
        <w:ind w:left="259"/>
        <w:jc w:val="left"/>
      </w:pPr>
      <w:r>
        <w:rPr>
          <w:rFonts w:ascii="Arial" w:hAnsi="Arial"/>
          <w:color w:val="525252"/>
          <w:sz w:val="13"/>
        </w:rPr>
        <w:t>Women are authorized to wear the male service cap.</w:t>
      </w:r>
    </w:p>
    <w:p>
      <w:pPr>
        <w:spacing w:after="20" w:line="223" w:lineRule="auto"/>
        <w:jc w:val="right"/>
        <w:bidi/>
      </w:pPr>
      <w:r>
        <w:rPr>
          <w:rFonts w:ascii="Arial" w:hAnsi="Arial"/>
          <w:sz w:val="16"/>
        </w:rPr>
        <w:t>474.21  برای قرار دادن ابرها، دارت‌ها و نشان‌های کلاهک مناسب، به شکل‌های ۲۳.۴۴ و ۲۳.۴۵ مراجعه کنید.</w:t>
      </w:r>
    </w:p>
    <w:p>
      <w:pPr>
        <w:spacing w:after="28" w:line="216" w:lineRule="auto"/>
        <w:ind w:left="259"/>
        <w:jc w:val="left"/>
      </w:pPr>
      <w:r>
        <w:rPr>
          <w:rFonts w:ascii="Arial" w:hAnsi="Arial"/>
          <w:color w:val="525252"/>
          <w:sz w:val="13"/>
        </w:rPr>
        <w:t>For placement of appropriate clouds, darts, and cap insignia, see Figures 23.44 and 23.45.</w:t>
      </w:r>
    </w:p>
    <w:p>
      <w:pPr>
        <w:spacing w:after="20" w:line="223" w:lineRule="auto"/>
        <w:jc w:val="right"/>
        <w:bidi/>
      </w:pPr>
      <w:r>
        <w:rPr>
          <w:rFonts w:ascii="Arial" w:hAnsi="Arial"/>
          <w:sz w:val="16"/>
        </w:rPr>
        <w:t>474.22  طرح گرد، کناره‌ها لبه جلویی را تشکیل می‌دهند، با روکش کلاه آبی جامد.</w:t>
      </w:r>
    </w:p>
    <w:p>
      <w:pPr>
        <w:spacing w:after="28" w:line="216" w:lineRule="auto"/>
        <w:ind w:left="259"/>
        <w:jc w:val="left"/>
      </w:pPr>
      <w:r>
        <w:rPr>
          <w:rFonts w:ascii="Arial" w:hAnsi="Arial"/>
          <w:color w:val="525252"/>
          <w:sz w:val="13"/>
        </w:rPr>
        <w:t>Rounded design, sides form a front brim, with a solid blue hat cover.</w:t>
      </w:r>
    </w:p>
    <w:p>
      <w:pPr>
        <w:spacing w:after="20" w:line="223" w:lineRule="auto"/>
        <w:jc w:val="right"/>
        <w:bidi/>
      </w:pPr>
      <w:r>
        <w:rPr>
          <w:rFonts w:ascii="Arial" w:hAnsi="Arial"/>
          <w:sz w:val="16"/>
        </w:rPr>
        <w:t>474.23  کلاه به صورت مربع روی سر قرار می‌گیرد.</w:t>
      </w:r>
    </w:p>
    <w:p>
      <w:pPr>
        <w:spacing w:after="28" w:line="216" w:lineRule="auto"/>
        <w:ind w:left="259"/>
        <w:jc w:val="left"/>
      </w:pPr>
      <w:r>
        <w:rPr>
          <w:rFonts w:ascii="Arial" w:hAnsi="Arial"/>
          <w:color w:val="525252"/>
          <w:sz w:val="13"/>
        </w:rPr>
        <w:t>The cap sits squarely on the head.</w:t>
      </w:r>
    </w:p>
    <w:p>
      <w:pPr>
        <w:spacing w:after="20" w:line="223" w:lineRule="auto"/>
        <w:jc w:val="right"/>
        <w:bidi/>
      </w:pPr>
      <w:r>
        <w:rPr>
          <w:rFonts w:ascii="Arial" w:hAnsi="Arial"/>
          <w:sz w:val="16"/>
        </w:rPr>
        <w:t>474.24  روسری بارانی پلاستیکی شفاف یا روسری بادی توری سفید اختیاری است.</w:t>
      </w:r>
    </w:p>
    <w:p>
      <w:pPr>
        <w:spacing w:after="28" w:line="216" w:lineRule="auto"/>
        <w:ind w:left="259"/>
        <w:jc w:val="left"/>
      </w:pPr>
      <w:r>
        <w:rPr>
          <w:rFonts w:ascii="Arial" w:hAnsi="Arial"/>
          <w:color w:val="525252"/>
          <w:sz w:val="13"/>
        </w:rPr>
        <w:t>Clear plastic rain scarf or white net wind scarf is optional.</w:t>
      </w:r>
    </w:p>
    <w:p>
      <w:pPr>
        <w:spacing w:after="20" w:line="223" w:lineRule="auto"/>
        <w:jc w:val="right"/>
        <w:bidi/>
      </w:pPr>
      <w:r>
        <w:rPr>
          <w:rFonts w:ascii="Arial" w:hAnsi="Arial"/>
          <w:sz w:val="16"/>
        </w:rPr>
        <w:t>474.25  روسری دارای کلاه ایمنی است که برای پوشاندن روسری و بستن زیر چانه طراحی شده است.</w:t>
      </w:r>
    </w:p>
    <w:p>
      <w:pPr>
        <w:spacing w:after="28" w:line="216" w:lineRule="auto"/>
        <w:ind w:left="259"/>
        <w:jc w:val="left"/>
      </w:pPr>
      <w:r>
        <w:rPr>
          <w:rFonts w:ascii="Arial" w:hAnsi="Arial"/>
          <w:color w:val="525252"/>
          <w:sz w:val="13"/>
        </w:rPr>
        <w:t>Scarf will have a helmet-type designed to cover headgear and tie under chin.</w:t>
      </w:r>
    </w:p>
    <w:p>
      <w:pPr>
        <w:spacing w:after="20" w:line="223" w:lineRule="auto"/>
        <w:jc w:val="right"/>
        <w:bidi/>
      </w:pPr>
      <w:r>
        <w:rPr>
          <w:rFonts w:ascii="Arial" w:hAnsi="Arial"/>
          <w:sz w:val="16"/>
        </w:rPr>
        <w:t>474.26  افسران نشان کلاهک سرویس را بدون دایره و با ابرهای مبتنی بر رتبه مناسب و دارت در مرکز جلوی کلاه می‌پوشند.</w:t>
      </w:r>
    </w:p>
    <w:p>
      <w:pPr>
        <w:spacing w:after="28" w:line="216" w:lineRule="auto"/>
        <w:ind w:left="259"/>
        <w:jc w:val="left"/>
      </w:pPr>
      <w:r>
        <w:rPr>
          <w:rFonts w:ascii="Arial" w:hAnsi="Arial"/>
          <w:color w:val="525252"/>
          <w:sz w:val="13"/>
        </w:rPr>
        <w:t>Officers wear the service cap insignia without a circle and with the appropriate rank-based clouds and darts centered on the front of the cap.</w:t>
      </w:r>
    </w:p>
    <w:p>
      <w:pPr>
        <w:spacing w:after="20" w:line="223" w:lineRule="auto"/>
        <w:jc w:val="right"/>
        <w:bidi/>
      </w:pPr>
      <w:r>
        <w:rPr>
          <w:rFonts w:ascii="Arial" w:hAnsi="Arial"/>
          <w:sz w:val="16"/>
        </w:rPr>
        <w:t>474.27  مشمولان، نشان کلاه سرویس را با دایره، در مرکز جلوی کلاه بپوشید.</w:t>
      </w:r>
    </w:p>
    <w:p>
      <w:pPr>
        <w:spacing w:after="28" w:line="216" w:lineRule="auto"/>
        <w:ind w:left="259"/>
        <w:jc w:val="left"/>
      </w:pPr>
      <w:r>
        <w:rPr>
          <w:rFonts w:ascii="Arial" w:hAnsi="Arial"/>
          <w:color w:val="525252"/>
          <w:sz w:val="13"/>
        </w:rPr>
        <w:t>Enlisted wear the service cap insignia with a circle, centered on the front of the cap.</w:t>
      </w:r>
    </w:p>
    <w:p>
      <w:pPr>
        <w:spacing w:after="20" w:line="223" w:lineRule="auto"/>
        <w:jc w:val="right"/>
        <w:bidi/>
      </w:pPr>
      <w:r>
        <w:rPr>
          <w:rFonts w:ascii="Arial" w:hAnsi="Arial"/>
          <w:sz w:val="16"/>
        </w:rPr>
        <w:t>474.28  سقف سرویس برای ماژورها و بالاتر برای نگهداری اجباری و برای سایرین اختیاری است.</w:t>
      </w:r>
    </w:p>
    <w:p>
      <w:pPr>
        <w:spacing w:after="28" w:line="216" w:lineRule="auto"/>
        <w:ind w:left="259"/>
        <w:jc w:val="left"/>
      </w:pPr>
      <w:r>
        <w:rPr>
          <w:rFonts w:ascii="Arial" w:hAnsi="Arial"/>
          <w:color w:val="525252"/>
          <w:sz w:val="13"/>
        </w:rPr>
        <w:t>Service cap is mandatory for Majors and above to maintain and optional for all others.</w:t>
      </w:r>
    </w:p>
    <w:p>
      <w:pPr>
        <w:spacing w:after="20" w:line="223" w:lineRule="auto"/>
        <w:jc w:val="right"/>
        <w:bidi/>
      </w:pPr>
      <w:r>
        <w:rPr>
          <w:rFonts w:ascii="Arial" w:hAnsi="Arial"/>
          <w:sz w:val="16"/>
        </w:rPr>
        <w:t>474.29  نشانگر رتبه و نشان سرپوش سرویس.</w:t>
      </w:r>
    </w:p>
    <w:p>
      <w:pPr>
        <w:spacing w:after="28" w:line="216" w:lineRule="auto"/>
        <w:ind w:left="259"/>
        <w:jc w:val="left"/>
      </w:pPr>
      <w:r>
        <w:rPr>
          <w:rFonts w:ascii="Arial" w:hAnsi="Arial"/>
          <w:color w:val="525252"/>
          <w:sz w:val="13"/>
        </w:rPr>
        <w:t>Service Cap Rank Indicators and Insignia.</w:t>
      </w:r>
    </w:p>
    <w:p>
      <w:pPr>
        <w:spacing w:after="20" w:line="223" w:lineRule="auto"/>
        <w:jc w:val="right"/>
        <w:bidi/>
      </w:pPr>
      <w:r>
        <w:rPr>
          <w:rFonts w:ascii="Arial" w:hAnsi="Arial"/>
          <w:sz w:val="16"/>
        </w:rPr>
        <w:t>474.30  سرپوش خدمات افسر کل.</w:t>
      </w:r>
    </w:p>
    <w:p>
      <w:pPr>
        <w:spacing w:after="28" w:line="216" w:lineRule="auto"/>
        <w:ind w:left="259"/>
        <w:jc w:val="left"/>
      </w:pPr>
      <w:r>
        <w:rPr>
          <w:rFonts w:ascii="Arial" w:hAnsi="Arial"/>
          <w:color w:val="525252"/>
          <w:sz w:val="13"/>
        </w:rPr>
        <w:t>General Officer Service Cap.</w:t>
      </w:r>
    </w:p>
    <w:p>
      <w:pPr>
        <w:spacing w:after="20" w:line="223" w:lineRule="auto"/>
        <w:jc w:val="right"/>
        <w:bidi/>
      </w:pPr>
      <w:r>
        <w:rPr>
          <w:rFonts w:ascii="Arial" w:hAnsi="Arial"/>
          <w:sz w:val="16"/>
        </w:rPr>
        <w:t>474.31  گیره دارای سه ابر و دارت در هر طرف خواهد بود و نشان دایره نخواهد داشت.</w:t>
      </w:r>
    </w:p>
    <w:p>
      <w:pPr>
        <w:spacing w:after="28" w:line="216" w:lineRule="auto"/>
        <w:ind w:left="259"/>
        <w:jc w:val="left"/>
      </w:pPr>
      <w:r>
        <w:rPr>
          <w:rFonts w:ascii="Arial" w:hAnsi="Arial"/>
          <w:color w:val="525252"/>
          <w:sz w:val="13"/>
        </w:rPr>
        <w:t>The visor will have three clouds and darts on each side and the insignia will not have a circle.</w:t>
      </w:r>
    </w:p>
    <w:p>
      <w:pPr>
        <w:spacing w:after="20" w:line="223" w:lineRule="auto"/>
        <w:jc w:val="right"/>
        <w:bidi/>
      </w:pPr>
      <w:r>
        <w:rPr>
          <w:rFonts w:ascii="Arial" w:hAnsi="Arial"/>
          <w:sz w:val="16"/>
        </w:rPr>
        <w:t>474.32  سرپوش خدمت افسر درجه میدانی.</w:t>
      </w:r>
    </w:p>
    <w:p>
      <w:pPr>
        <w:spacing w:after="28" w:line="216" w:lineRule="auto"/>
        <w:ind w:left="259"/>
        <w:jc w:val="left"/>
      </w:pPr>
      <w:r>
        <w:rPr>
          <w:rFonts w:ascii="Arial" w:hAnsi="Arial"/>
          <w:color w:val="525252"/>
          <w:sz w:val="13"/>
        </w:rPr>
        <w:t>Field Grade Officer Service Cap.</w:t>
      </w:r>
    </w:p>
    <w:p>
      <w:pPr>
        <w:spacing w:after="20" w:line="223" w:lineRule="auto"/>
        <w:jc w:val="right"/>
        <w:bidi/>
      </w:pPr>
      <w:r>
        <w:rPr>
          <w:rFonts w:ascii="Arial" w:hAnsi="Arial"/>
          <w:sz w:val="16"/>
        </w:rPr>
        <w:t>474.33  گیره دارای دو ابر و دارت در هر طرف و</w:t>
      </w:r>
    </w:p>
    <w:p>
      <w:pPr>
        <w:spacing w:after="28" w:line="216" w:lineRule="auto"/>
        <w:ind w:left="259"/>
        <w:jc w:val="left"/>
      </w:pPr>
      <w:r>
        <w:rPr>
          <w:rFonts w:ascii="Arial" w:hAnsi="Arial"/>
          <w:color w:val="525252"/>
          <w:sz w:val="13"/>
        </w:rPr>
        <w:t>The visor will have two clouds and darts on each side and</w:t>
      </w:r>
    </w:p>
    <w:p>
      <w:r>
        <w:br w:type="page"/>
      </w:r>
    </w:p>
    <w:p>
      <w:pPr>
        <w:spacing w:after="60"/>
        <w:jc w:val="right"/>
        <w:bidi/>
      </w:pPr>
      <w:r>
        <w:rPr>
          <w:rFonts w:ascii="Arial" w:hAnsi="Arial"/>
          <w:b/>
          <w:color w:val="1F4D78"/>
          <w:sz w:val="19"/>
        </w:rPr>
        <w:t>هفتهٔ 475  |  صفحهٔ منبع: 491</w:t>
      </w:r>
    </w:p>
    <w:p>
      <w:pPr>
        <w:spacing w:after="20" w:line="223" w:lineRule="auto"/>
        <w:jc w:val="right"/>
        <w:bidi/>
      </w:pPr>
      <w:r>
        <w:rPr>
          <w:rFonts w:ascii="Arial" w:hAnsi="Arial"/>
          <w:sz w:val="16"/>
        </w:rPr>
        <w:t>475.01  نشان دایره نخواهد داشت.</w:t>
      </w:r>
    </w:p>
    <w:p>
      <w:pPr>
        <w:spacing w:after="28" w:line="216" w:lineRule="auto"/>
        <w:ind w:left="259"/>
        <w:jc w:val="left"/>
      </w:pPr>
      <w:r>
        <w:rPr>
          <w:rFonts w:ascii="Arial" w:hAnsi="Arial"/>
          <w:color w:val="525252"/>
          <w:sz w:val="13"/>
        </w:rPr>
        <w:t>the insignia will not have a circle.</w:t>
      </w:r>
    </w:p>
    <w:p>
      <w:pPr>
        <w:spacing w:after="20" w:line="223" w:lineRule="auto"/>
        <w:jc w:val="right"/>
        <w:bidi/>
      </w:pPr>
      <w:r>
        <w:rPr>
          <w:rFonts w:ascii="Arial" w:hAnsi="Arial"/>
          <w:sz w:val="16"/>
        </w:rPr>
        <w:t>475.02  درپوش خدمات افسر درجه شرکت.</w:t>
      </w:r>
    </w:p>
    <w:p>
      <w:pPr>
        <w:spacing w:after="28" w:line="216" w:lineRule="auto"/>
        <w:ind w:left="259"/>
        <w:jc w:val="left"/>
      </w:pPr>
      <w:r>
        <w:rPr>
          <w:rFonts w:ascii="Arial" w:hAnsi="Arial"/>
          <w:color w:val="525252"/>
          <w:sz w:val="13"/>
        </w:rPr>
        <w:t>Company Grade Officer Service Cap.</w:t>
      </w:r>
    </w:p>
    <w:p>
      <w:pPr>
        <w:spacing w:after="20" w:line="223" w:lineRule="auto"/>
        <w:jc w:val="right"/>
        <w:bidi/>
      </w:pPr>
      <w:r>
        <w:rPr>
          <w:rFonts w:ascii="Arial" w:hAnsi="Arial"/>
          <w:sz w:val="16"/>
        </w:rPr>
        <w:t>475.03  گیره مشکی ساده خواهد بود (سرویس کلاهک سرویس زن آبی خواهد بود) و نشان دایره نخواهد داشت.</w:t>
      </w:r>
    </w:p>
    <w:p>
      <w:pPr>
        <w:spacing w:after="28" w:line="216" w:lineRule="auto"/>
        <w:ind w:left="259"/>
        <w:jc w:val="left"/>
      </w:pPr>
      <w:r>
        <w:rPr>
          <w:rFonts w:ascii="Arial" w:hAnsi="Arial"/>
          <w:color w:val="525252"/>
          <w:sz w:val="13"/>
        </w:rPr>
        <w:t>The visor will be plain black (female service cap visor will be blue) and the insignia will not have a circle.</w:t>
      </w:r>
    </w:p>
    <w:p>
      <w:pPr>
        <w:spacing w:after="20" w:line="223" w:lineRule="auto"/>
        <w:jc w:val="right"/>
        <w:bidi/>
      </w:pPr>
      <w:r>
        <w:rPr>
          <w:rFonts w:ascii="Arial" w:hAnsi="Arial"/>
          <w:sz w:val="16"/>
        </w:rPr>
        <w:t>475.04  سرپوش خدمت سربازی.</w:t>
      </w:r>
    </w:p>
    <w:p>
      <w:pPr>
        <w:spacing w:after="28" w:line="216" w:lineRule="auto"/>
        <w:ind w:left="259"/>
        <w:jc w:val="left"/>
      </w:pPr>
      <w:r>
        <w:rPr>
          <w:rFonts w:ascii="Arial" w:hAnsi="Arial"/>
          <w:color w:val="525252"/>
          <w:sz w:val="13"/>
        </w:rPr>
        <w:t>Enlisted Service Cap.</w:t>
      </w:r>
    </w:p>
    <w:p>
      <w:pPr>
        <w:spacing w:after="20" w:line="223" w:lineRule="auto"/>
        <w:jc w:val="right"/>
        <w:bidi/>
      </w:pPr>
      <w:r>
        <w:rPr>
          <w:rFonts w:ascii="Arial" w:hAnsi="Arial"/>
          <w:sz w:val="16"/>
        </w:rPr>
        <w:t>475.05  گیره مشکی ساده خواهد بود (سرویس کلاهک سرویس زن آبی خواهد بود) و نشان دارای دایره خواهد بود.</w:t>
      </w:r>
    </w:p>
    <w:p>
      <w:pPr>
        <w:spacing w:after="28" w:line="216" w:lineRule="auto"/>
        <w:ind w:left="259"/>
        <w:jc w:val="left"/>
      </w:pPr>
      <w:r>
        <w:rPr>
          <w:rFonts w:ascii="Arial" w:hAnsi="Arial"/>
          <w:color w:val="525252"/>
          <w:sz w:val="13"/>
        </w:rPr>
        <w:t>The visor will be plain black (female service cap visor will be blue) and the insignia will have a circle.</w:t>
      </w:r>
    </w:p>
    <w:p>
      <w:pPr>
        <w:spacing w:before="60" w:after="28"/>
        <w:jc w:val="right"/>
        <w:bidi/>
      </w:pPr>
      <w:r>
        <w:rPr>
          <w:b/>
          <w:color w:val="1F4D78"/>
          <w:sz w:val="18"/>
        </w:rPr>
        <w:t>شکل 23.44. درپوش سرویس و نشان</w:t>
      </w:r>
    </w:p>
    <w:p>
      <w:pPr>
        <w:spacing w:after="20"/>
        <w:ind w:left="259"/>
        <w:jc w:val="left"/>
      </w:pPr>
      <w:r>
        <w:rPr>
          <w:color w:val="555555"/>
          <w:sz w:val="12"/>
        </w:rPr>
        <w:t>Figure 23.44. Service Cap and Insignia</w:t>
      </w:r>
    </w:p>
    <w:p>
      <w:pPr>
        <w:spacing w:before="60" w:after="28"/>
        <w:jc w:val="right"/>
        <w:bidi/>
      </w:pPr>
      <w:r>
        <w:rPr>
          <w:b/>
          <w:color w:val="1F4D78"/>
          <w:sz w:val="18"/>
        </w:rPr>
        <w:t>شکل 23.45. نشان ویزور درپوش سرویس</w:t>
      </w:r>
    </w:p>
    <w:p>
      <w:pPr>
        <w:spacing w:after="20"/>
        <w:ind w:left="259"/>
        <w:jc w:val="left"/>
      </w:pPr>
      <w:r>
        <w:rPr>
          <w:color w:val="555555"/>
          <w:sz w:val="12"/>
        </w:rPr>
        <w:t>Figure 23.45. Service Cap Visor Insignia</w:t>
      </w:r>
    </w:p>
    <w:p>
      <w:pPr>
        <w:spacing w:after="20" w:line="223" w:lineRule="auto"/>
        <w:jc w:val="right"/>
        <w:bidi/>
      </w:pPr>
      <w:r>
        <w:rPr>
          <w:rFonts w:ascii="Arial" w:hAnsi="Arial"/>
          <w:sz w:val="16"/>
        </w:rPr>
        <w:t>475.08  کلاهک پرواز.</w:t>
      </w:r>
    </w:p>
    <w:p>
      <w:pPr>
        <w:spacing w:after="28" w:line="216" w:lineRule="auto"/>
        <w:ind w:left="259"/>
        <w:jc w:val="left"/>
      </w:pPr>
      <w:r>
        <w:rPr>
          <w:rFonts w:ascii="Arial" w:hAnsi="Arial"/>
          <w:color w:val="525252"/>
          <w:sz w:val="13"/>
        </w:rPr>
        <w:t>Flight Cap.</w:t>
      </w:r>
    </w:p>
    <w:p>
      <w:pPr>
        <w:spacing w:after="20" w:line="223" w:lineRule="auto"/>
        <w:jc w:val="right"/>
        <w:bidi/>
      </w:pPr>
      <w:r>
        <w:rPr>
          <w:rFonts w:ascii="Arial" w:hAnsi="Arial"/>
          <w:sz w:val="16"/>
        </w:rPr>
        <w:t>475.09  فقط با لباس سرویس، سرویس، خدمات غذای نیروی هوایی و یونیفرم وظیفه پرواز پوشیده خواهد شد.</w:t>
      </w:r>
    </w:p>
    <w:p>
      <w:pPr>
        <w:spacing w:after="28" w:line="216" w:lineRule="auto"/>
        <w:ind w:left="259"/>
        <w:jc w:val="left"/>
      </w:pPr>
      <w:r>
        <w:rPr>
          <w:rFonts w:ascii="Arial" w:hAnsi="Arial"/>
          <w:color w:val="525252"/>
          <w:sz w:val="13"/>
        </w:rPr>
        <w:t>Will only be worn with the service dress, service, Air Force food services, and flight duty uniforms.</w:t>
      </w:r>
    </w:p>
    <w:p>
      <w:pPr>
        <w:spacing w:after="20" w:line="223" w:lineRule="auto"/>
        <w:jc w:val="right"/>
        <w:bidi/>
      </w:pPr>
      <w:r>
        <w:rPr>
          <w:rFonts w:ascii="Arial" w:hAnsi="Arial"/>
          <w:sz w:val="16"/>
        </w:rPr>
        <w:t>475.10  کلیه رنگ‌ها و مواد با لباس سرویس، سرویس و لباس پرواز مجاز هستند.</w:t>
      </w:r>
    </w:p>
    <w:p>
      <w:pPr>
        <w:spacing w:after="28" w:line="216" w:lineRule="auto"/>
        <w:ind w:left="259"/>
        <w:jc w:val="left"/>
      </w:pPr>
      <w:r>
        <w:rPr>
          <w:rFonts w:ascii="Arial" w:hAnsi="Arial"/>
          <w:color w:val="525252"/>
          <w:sz w:val="13"/>
        </w:rPr>
        <w:t>All shades and material are authorized with service dress, service, and flight duty uniforms.</w:t>
      </w:r>
    </w:p>
    <w:p>
      <w:pPr>
        <w:spacing w:after="20" w:line="223" w:lineRule="auto"/>
        <w:jc w:val="right"/>
        <w:bidi/>
      </w:pPr>
      <w:r>
        <w:rPr>
          <w:rFonts w:ascii="Arial" w:hAnsi="Arial"/>
          <w:sz w:val="16"/>
        </w:rPr>
        <w:t>475.11  کلاهک را زیر دهانه‌ها قرار ندهید.</w:t>
      </w:r>
    </w:p>
    <w:p>
      <w:pPr>
        <w:spacing w:after="28" w:line="216" w:lineRule="auto"/>
        <w:ind w:left="259"/>
        <w:jc w:val="left"/>
      </w:pPr>
      <w:r>
        <w:rPr>
          <w:rFonts w:ascii="Arial" w:hAnsi="Arial"/>
          <w:color w:val="525252"/>
          <w:sz w:val="13"/>
        </w:rPr>
        <w:t>Do not tuck cap under epaulets.</w:t>
      </w:r>
    </w:p>
    <w:p>
      <w:pPr>
        <w:spacing w:after="20" w:line="223" w:lineRule="auto"/>
        <w:jc w:val="right"/>
        <w:bidi/>
      </w:pPr>
      <w:r>
        <w:rPr>
          <w:rFonts w:ascii="Arial" w:hAnsi="Arial"/>
          <w:sz w:val="16"/>
        </w:rPr>
        <w:t>475.12  زنان ممکن است از کلاه پرواز مردانه استفاده کنند.</w:t>
      </w:r>
    </w:p>
    <w:p>
      <w:pPr>
        <w:spacing w:after="28" w:line="216" w:lineRule="auto"/>
        <w:ind w:left="259"/>
        <w:jc w:val="left"/>
      </w:pPr>
      <w:r>
        <w:rPr>
          <w:rFonts w:ascii="Arial" w:hAnsi="Arial"/>
          <w:color w:val="525252"/>
          <w:sz w:val="13"/>
        </w:rPr>
        <w:t>Women may wear the men’s flight cap.</w:t>
      </w:r>
    </w:p>
    <w:p>
      <w:pPr>
        <w:spacing w:after="20" w:line="223" w:lineRule="auto"/>
        <w:jc w:val="right"/>
        <w:bidi/>
      </w:pPr>
      <w:r>
        <w:rPr>
          <w:rFonts w:ascii="Arial" w:hAnsi="Arial"/>
          <w:sz w:val="16"/>
        </w:rPr>
        <w:t>475.13  برای قرار دادن نشان‌های رتبه مناسب، به شکل ۲۳.۴۶ مراجعه کنید.</w:t>
      </w:r>
    </w:p>
    <w:p>
      <w:pPr>
        <w:spacing w:after="28" w:line="216" w:lineRule="auto"/>
        <w:ind w:left="259"/>
        <w:jc w:val="left"/>
      </w:pPr>
      <w:r>
        <w:rPr>
          <w:rFonts w:ascii="Arial" w:hAnsi="Arial"/>
          <w:color w:val="525252"/>
          <w:sz w:val="13"/>
        </w:rPr>
        <w:t>For placement of appropriate rank insignia, see Figure 23.46.</w:t>
      </w:r>
    </w:p>
    <w:p>
      <w:pPr>
        <w:spacing w:after="20" w:line="223" w:lineRule="auto"/>
        <w:jc w:val="right"/>
        <w:bidi/>
      </w:pPr>
      <w:r>
        <w:rPr>
          <w:rFonts w:ascii="Arial" w:hAnsi="Arial"/>
          <w:sz w:val="16"/>
        </w:rPr>
        <w:t>475.14  نر و ماده.</w:t>
      </w:r>
    </w:p>
    <w:p>
      <w:pPr>
        <w:spacing w:after="28" w:line="216" w:lineRule="auto"/>
        <w:ind w:left="259"/>
        <w:jc w:val="left"/>
      </w:pPr>
      <w:r>
        <w:rPr>
          <w:rFonts w:ascii="Arial" w:hAnsi="Arial"/>
          <w:color w:val="525252"/>
          <w:sz w:val="13"/>
        </w:rPr>
        <w:t>Male and Female.</w:t>
      </w:r>
    </w:p>
    <w:p>
      <w:pPr>
        <w:spacing w:after="20" w:line="223" w:lineRule="auto"/>
        <w:jc w:val="right"/>
        <w:bidi/>
      </w:pPr>
      <w:r>
        <w:rPr>
          <w:rFonts w:ascii="Arial" w:hAnsi="Arial"/>
          <w:sz w:val="16"/>
        </w:rPr>
        <w:t>475.15  کلاه پرواز کمی به سمت راست کاربر با چین‌های عمودی کلاه در راستای مرکز پیشانی و در یک خط مستقیم با بینی پوشیده می‌شود.</w:t>
      </w:r>
    </w:p>
    <w:p>
      <w:pPr>
        <w:spacing w:after="28" w:line="216" w:lineRule="auto"/>
        <w:ind w:left="259"/>
        <w:jc w:val="left"/>
      </w:pPr>
      <w:r>
        <w:rPr>
          <w:rFonts w:ascii="Arial" w:hAnsi="Arial"/>
          <w:color w:val="525252"/>
          <w:sz w:val="13"/>
        </w:rPr>
        <w:t>The flight cap will be worn slightly to the wearer's right with vertical creases of the cap in line with the center of the forehead and in a straight line with the nose.</w:t>
      </w:r>
    </w:p>
    <w:p>
      <w:pPr>
        <w:spacing w:after="20" w:line="223" w:lineRule="auto"/>
        <w:jc w:val="right"/>
        <w:bidi/>
      </w:pPr>
      <w:r>
        <w:rPr>
          <w:rFonts w:ascii="Arial" w:hAnsi="Arial"/>
          <w:sz w:val="16"/>
        </w:rPr>
        <w:t>475.16  کلاهک تقریبا ۱ اینچ از ابروها در جلو امتداد دارد و دهانه کلاه به سمت بالا است.</w:t>
      </w:r>
    </w:p>
    <w:p>
      <w:pPr>
        <w:spacing w:after="28" w:line="216" w:lineRule="auto"/>
        <w:ind w:left="259"/>
        <w:jc w:val="left"/>
      </w:pPr>
      <w:r>
        <w:rPr>
          <w:rFonts w:ascii="Arial" w:hAnsi="Arial"/>
          <w:color w:val="525252"/>
          <w:sz w:val="13"/>
        </w:rPr>
        <w:t>The cap extends approximately 1-inch from the eyebrows in the front and the opening of cap is to the</w:t>
      </w:r>
    </w:p>
    <w:p>
      <w:r>
        <w:br w:type="page"/>
      </w:r>
    </w:p>
    <w:p>
      <w:pPr>
        <w:spacing w:after="60"/>
        <w:jc w:val="right"/>
        <w:bidi/>
      </w:pPr>
      <w:r>
        <w:rPr>
          <w:rFonts w:ascii="Arial" w:hAnsi="Arial"/>
          <w:b/>
          <w:color w:val="1F4D78"/>
          <w:sz w:val="19"/>
        </w:rPr>
        <w:t>هفتهٔ 476  |  صفحهٔ منبع: 492</w:t>
      </w:r>
    </w:p>
    <w:p>
      <w:pPr>
        <w:spacing w:after="20" w:line="223" w:lineRule="auto"/>
        <w:jc w:val="right"/>
        <w:bidi/>
      </w:pPr>
      <w:r>
        <w:rPr>
          <w:rFonts w:ascii="Arial" w:hAnsi="Arial"/>
          <w:sz w:val="16"/>
        </w:rPr>
        <w:t>476.01  عقب.</w:t>
      </w:r>
    </w:p>
    <w:p>
      <w:pPr>
        <w:spacing w:after="28" w:line="216" w:lineRule="auto"/>
        <w:ind w:left="259"/>
        <w:jc w:val="left"/>
      </w:pPr>
      <w:r>
        <w:rPr>
          <w:rFonts w:ascii="Arial" w:hAnsi="Arial"/>
          <w:color w:val="525252"/>
          <w:sz w:val="13"/>
        </w:rPr>
        <w:t>rear.</w:t>
      </w:r>
    </w:p>
    <w:p>
      <w:pPr>
        <w:spacing w:after="20" w:line="223" w:lineRule="auto"/>
        <w:jc w:val="right"/>
        <w:bidi/>
      </w:pPr>
      <w:r>
        <w:rPr>
          <w:rFonts w:ascii="Arial" w:hAnsi="Arial"/>
          <w:sz w:val="16"/>
        </w:rPr>
        <w:t>476.02  اگر پوشیده نیست، زیر کمربند در سمت چپ پوشنده، بین حلقه‌های کمربند اول و دوم قرار دهید. کلاه روی کمربند جمع نمی‌شود و زیر کت سرویس دیده نمی‌شود.</w:t>
      </w:r>
    </w:p>
    <w:p>
      <w:pPr>
        <w:spacing w:after="28" w:line="216" w:lineRule="auto"/>
        <w:ind w:left="259"/>
        <w:jc w:val="left"/>
      </w:pPr>
      <w:r>
        <w:rPr>
          <w:rFonts w:ascii="Arial" w:hAnsi="Arial"/>
          <w:color w:val="525252"/>
          <w:sz w:val="13"/>
        </w:rPr>
        <w:t>If not worn, tuck under the belt on wearer’s left side, between the first and second belt loops; cap will not fold over belt or be visible below service coat.</w:t>
      </w:r>
    </w:p>
    <w:p>
      <w:pPr>
        <w:spacing w:after="20" w:line="223" w:lineRule="auto"/>
        <w:jc w:val="right"/>
        <w:bidi/>
      </w:pPr>
      <w:r>
        <w:rPr>
          <w:rFonts w:ascii="Arial" w:hAnsi="Arial"/>
          <w:sz w:val="16"/>
        </w:rPr>
        <w:t>476.03  سرپوش پرواز افسر کل.</w:t>
      </w:r>
    </w:p>
    <w:p>
      <w:pPr>
        <w:spacing w:after="28" w:line="216" w:lineRule="auto"/>
        <w:ind w:left="259"/>
        <w:jc w:val="left"/>
      </w:pPr>
      <w:r>
        <w:rPr>
          <w:rFonts w:ascii="Arial" w:hAnsi="Arial"/>
          <w:color w:val="525252"/>
          <w:sz w:val="13"/>
        </w:rPr>
        <w:t>General Officer Flight Cap.</w:t>
      </w:r>
    </w:p>
    <w:p>
      <w:pPr>
        <w:spacing w:after="20" w:line="223" w:lineRule="auto"/>
        <w:jc w:val="right"/>
        <w:bidi/>
      </w:pPr>
      <w:r>
        <w:rPr>
          <w:rFonts w:ascii="Arial" w:hAnsi="Arial"/>
          <w:sz w:val="16"/>
        </w:rPr>
        <w:t>476.04  کلاهک پرواز به رنگ آبی با نوار نقره‌ای یکدست در امتداد لبه همپوشانی کلاهک پرواز خواهد بود.</w:t>
      </w:r>
    </w:p>
    <w:p>
      <w:pPr>
        <w:spacing w:after="28" w:line="216" w:lineRule="auto"/>
        <w:ind w:left="259"/>
        <w:jc w:val="left"/>
      </w:pPr>
      <w:r>
        <w:rPr>
          <w:rFonts w:ascii="Arial" w:hAnsi="Arial"/>
          <w:color w:val="525252"/>
          <w:sz w:val="13"/>
        </w:rPr>
        <w:t>The flight cap will be blue with a solid silver braid along the overlapping edge of the flight cap.</w:t>
      </w:r>
    </w:p>
    <w:p>
      <w:pPr>
        <w:spacing w:after="20" w:line="223" w:lineRule="auto"/>
        <w:jc w:val="right"/>
        <w:bidi/>
      </w:pPr>
      <w:r>
        <w:rPr>
          <w:rFonts w:ascii="Arial" w:hAnsi="Arial"/>
          <w:sz w:val="16"/>
        </w:rPr>
        <w:t>476.05  نشان رتبه در سمت چپ پوشنده با اولین ستاره ۱ ۱/۲ اینچی از لبه جلویی کلاهک پرواز پوشیده می‌شود.</w:t>
      </w:r>
    </w:p>
    <w:p>
      <w:pPr>
        <w:spacing w:after="28" w:line="216" w:lineRule="auto"/>
        <w:ind w:left="259"/>
        <w:jc w:val="left"/>
      </w:pPr>
      <w:r>
        <w:rPr>
          <w:rFonts w:ascii="Arial" w:hAnsi="Arial"/>
          <w:color w:val="525252"/>
          <w:sz w:val="13"/>
        </w:rPr>
        <w:t>Rank insignia will be worn on the wearer’s left with the first star 1 1/2-inches from the front edge of the flight cap.</w:t>
      </w:r>
    </w:p>
    <w:p>
      <w:pPr>
        <w:spacing w:after="20" w:line="223" w:lineRule="auto"/>
        <w:jc w:val="right"/>
        <w:bidi/>
      </w:pPr>
      <w:r>
        <w:rPr>
          <w:rFonts w:ascii="Arial" w:hAnsi="Arial"/>
          <w:sz w:val="16"/>
        </w:rPr>
        <w:t>476.06  دو نقطه پایینی ستاره‌ها با پایین کلاهک پرواز موازی خواهند بود.</w:t>
      </w:r>
    </w:p>
    <w:p>
      <w:pPr>
        <w:spacing w:after="28" w:line="216" w:lineRule="auto"/>
        <w:ind w:left="259"/>
        <w:jc w:val="left"/>
      </w:pPr>
      <w:r>
        <w:rPr>
          <w:rFonts w:ascii="Arial" w:hAnsi="Arial"/>
          <w:color w:val="525252"/>
          <w:sz w:val="13"/>
        </w:rPr>
        <w:t>The bottom two points of the stars will be parallel with the bottom of the flight cap.</w:t>
      </w:r>
    </w:p>
    <w:p>
      <w:pPr>
        <w:spacing w:after="20" w:line="223" w:lineRule="auto"/>
        <w:jc w:val="right"/>
        <w:bidi/>
      </w:pPr>
      <w:r>
        <w:rPr>
          <w:rFonts w:ascii="Arial" w:hAnsi="Arial"/>
          <w:sz w:val="16"/>
        </w:rPr>
        <w:t>476.07  ستاره‌ها بلافاصله یکی پس از دیگری در صف قرار خواهند گرفت.</w:t>
      </w:r>
    </w:p>
    <w:p>
      <w:pPr>
        <w:spacing w:after="28" w:line="216" w:lineRule="auto"/>
        <w:ind w:left="259"/>
        <w:jc w:val="left"/>
      </w:pPr>
      <w:r>
        <w:rPr>
          <w:rFonts w:ascii="Arial" w:hAnsi="Arial"/>
          <w:color w:val="525252"/>
          <w:sz w:val="13"/>
        </w:rPr>
        <w:t>Stars will be lined up one immediately after the other.</w:t>
      </w:r>
    </w:p>
    <w:p>
      <w:pPr>
        <w:spacing w:after="20" w:line="223" w:lineRule="auto"/>
        <w:jc w:val="right"/>
        <w:bidi/>
      </w:pPr>
      <w:r>
        <w:rPr>
          <w:rFonts w:ascii="Arial" w:hAnsi="Arial"/>
          <w:sz w:val="16"/>
        </w:rPr>
        <w:t>476.08  افسران کل اگر نتوانند ستاره‌های ۱ اینچی را بپوشند، از ستاره‌های ۱ اینچی یا ۳/۴ اینچی استفاده خواهند کرد.</w:t>
      </w:r>
    </w:p>
    <w:p>
      <w:pPr>
        <w:spacing w:after="28" w:line="216" w:lineRule="auto"/>
        <w:ind w:left="259"/>
        <w:jc w:val="left"/>
      </w:pPr>
      <w:r>
        <w:rPr>
          <w:rFonts w:ascii="Arial" w:hAnsi="Arial"/>
          <w:color w:val="525252"/>
          <w:sz w:val="13"/>
        </w:rPr>
        <w:t>General officers will wear 1-inch stars or 3/4-inch stars if unable to wear the 1-inch stars.</w:t>
      </w:r>
    </w:p>
    <w:p>
      <w:pPr>
        <w:spacing w:after="20" w:line="223" w:lineRule="auto"/>
        <w:jc w:val="right"/>
        <w:bidi/>
      </w:pPr>
      <w:r>
        <w:rPr>
          <w:rFonts w:ascii="Arial" w:hAnsi="Arial"/>
          <w:sz w:val="16"/>
        </w:rPr>
        <w:t>476.09  درجه فیلد و درپوش پرواز افسر درجه شرکت.</w:t>
      </w:r>
    </w:p>
    <w:p>
      <w:pPr>
        <w:spacing w:after="28" w:line="216" w:lineRule="auto"/>
        <w:ind w:left="259"/>
        <w:jc w:val="left"/>
      </w:pPr>
      <w:r>
        <w:rPr>
          <w:rFonts w:ascii="Arial" w:hAnsi="Arial"/>
          <w:color w:val="525252"/>
          <w:sz w:val="13"/>
        </w:rPr>
        <w:t>Field Grade and Company Grade Officer Flight Cap.</w:t>
      </w:r>
    </w:p>
    <w:p>
      <w:pPr>
        <w:spacing w:after="20" w:line="223" w:lineRule="auto"/>
        <w:jc w:val="right"/>
        <w:bidi/>
      </w:pPr>
      <w:r>
        <w:rPr>
          <w:rFonts w:ascii="Arial" w:hAnsi="Arial"/>
          <w:sz w:val="16"/>
        </w:rPr>
        <w:t>476.10  کلاهک پرواز به رنگ آبی با نوار نقره‌ای و آبی در امتداد لبه همپوشانی کلاهک پرواز خواهد بود.</w:t>
      </w:r>
    </w:p>
    <w:p>
      <w:pPr>
        <w:spacing w:after="28" w:line="216" w:lineRule="auto"/>
        <w:ind w:left="259"/>
        <w:jc w:val="left"/>
      </w:pPr>
      <w:r>
        <w:rPr>
          <w:rFonts w:ascii="Arial" w:hAnsi="Arial"/>
          <w:color w:val="525252"/>
          <w:sz w:val="13"/>
        </w:rPr>
        <w:t>The flight cap will be blue with a silver and blue braid along the overlapping edge of the flight cap.</w:t>
      </w:r>
    </w:p>
    <w:p>
      <w:pPr>
        <w:spacing w:after="20" w:line="223" w:lineRule="auto"/>
        <w:jc w:val="right"/>
        <w:bidi/>
      </w:pPr>
      <w:r>
        <w:rPr>
          <w:rFonts w:ascii="Arial" w:hAnsi="Arial"/>
          <w:sz w:val="16"/>
        </w:rPr>
        <w:t>476.11  نشان‌های درجه با اندازه معمولی در سمت چپ پوشنده، ۱ ۱/۲ اینچ از کلاه پرواز لبه جلو استفاده می‌شود.</w:t>
      </w:r>
    </w:p>
    <w:p>
      <w:pPr>
        <w:spacing w:after="28" w:line="216" w:lineRule="auto"/>
        <w:ind w:left="259"/>
        <w:jc w:val="left"/>
      </w:pPr>
      <w:r>
        <w:rPr>
          <w:rFonts w:ascii="Arial" w:hAnsi="Arial"/>
          <w:color w:val="525252"/>
          <w:sz w:val="13"/>
        </w:rPr>
        <w:t>Regular sized rank insignia will be worn on the wearer’s left side, 1 1/2-inch from the front edge flight cap.</w:t>
      </w:r>
    </w:p>
    <w:p>
      <w:pPr>
        <w:spacing w:after="20" w:line="223" w:lineRule="auto"/>
        <w:jc w:val="right"/>
        <w:bidi/>
      </w:pPr>
      <w:r>
        <w:rPr>
          <w:rFonts w:ascii="Arial" w:hAnsi="Arial"/>
          <w:sz w:val="16"/>
        </w:rPr>
        <w:t>476.12  نشان درجه سرهنگ با منقار عقاب رو به جلو پوشیده می‌شود.</w:t>
      </w:r>
    </w:p>
    <w:p>
      <w:pPr>
        <w:spacing w:after="28" w:line="216" w:lineRule="auto"/>
        <w:ind w:left="259"/>
        <w:jc w:val="left"/>
      </w:pPr>
      <w:r>
        <w:rPr>
          <w:rFonts w:ascii="Arial" w:hAnsi="Arial"/>
          <w:color w:val="525252"/>
          <w:sz w:val="13"/>
        </w:rPr>
        <w:t>Colonel rank insignia is worn with the eagle’s beak pointed forward.</w:t>
      </w:r>
    </w:p>
    <w:p>
      <w:pPr>
        <w:spacing w:after="20" w:line="223" w:lineRule="auto"/>
        <w:jc w:val="right"/>
        <w:bidi/>
      </w:pPr>
      <w:r>
        <w:rPr>
          <w:rFonts w:ascii="Arial" w:hAnsi="Arial"/>
          <w:sz w:val="16"/>
        </w:rPr>
        <w:t>476.13  ساقه برگ بلوط سرگرد و ستوان به سمت زمین خواهد بود.</w:t>
      </w:r>
    </w:p>
    <w:p>
      <w:pPr>
        <w:spacing w:after="28" w:line="216" w:lineRule="auto"/>
        <w:ind w:left="259"/>
        <w:jc w:val="left"/>
      </w:pPr>
      <w:r>
        <w:rPr>
          <w:rFonts w:ascii="Arial" w:hAnsi="Arial"/>
          <w:color w:val="525252"/>
          <w:sz w:val="13"/>
        </w:rPr>
        <w:t>The stem of the Major and Lieutenant Colonel oak leaf will point toward the ground.</w:t>
      </w:r>
    </w:p>
    <w:p>
      <w:pPr>
        <w:spacing w:after="20" w:line="223" w:lineRule="auto"/>
        <w:jc w:val="right"/>
        <w:bidi/>
      </w:pPr>
      <w:r>
        <w:rPr>
          <w:rFonts w:ascii="Arial" w:hAnsi="Arial"/>
          <w:sz w:val="16"/>
        </w:rPr>
        <w:t>476.14  سرپوش پروازی مشمول.</w:t>
      </w:r>
    </w:p>
    <w:p>
      <w:pPr>
        <w:spacing w:after="28" w:line="216" w:lineRule="auto"/>
        <w:ind w:left="259"/>
        <w:jc w:val="left"/>
      </w:pPr>
      <w:r>
        <w:rPr>
          <w:rFonts w:ascii="Arial" w:hAnsi="Arial"/>
          <w:color w:val="525252"/>
          <w:sz w:val="13"/>
        </w:rPr>
        <w:t>Enlisted Flight Cap.</w:t>
      </w:r>
    </w:p>
    <w:p>
      <w:pPr>
        <w:spacing w:after="20" w:line="223" w:lineRule="auto"/>
        <w:jc w:val="right"/>
        <w:bidi/>
      </w:pPr>
      <w:r>
        <w:rPr>
          <w:rFonts w:ascii="Arial" w:hAnsi="Arial"/>
          <w:sz w:val="16"/>
        </w:rPr>
        <w:t>476.15  کلاه پروازی به رنگ آبی ساده خواهد بود.</w:t>
      </w:r>
    </w:p>
    <w:p>
      <w:pPr>
        <w:spacing w:after="28" w:line="216" w:lineRule="auto"/>
        <w:ind w:left="259"/>
        <w:jc w:val="left"/>
      </w:pPr>
      <w:r>
        <w:rPr>
          <w:rFonts w:ascii="Arial" w:hAnsi="Arial"/>
          <w:color w:val="525252"/>
          <w:sz w:val="13"/>
        </w:rPr>
        <w:t>The enlisted flight cap will be plain blue.</w:t>
      </w:r>
    </w:p>
    <w:p>
      <w:pPr>
        <w:spacing w:before="60" w:after="28"/>
        <w:jc w:val="right"/>
        <w:bidi/>
      </w:pPr>
      <w:r>
        <w:rPr>
          <w:b/>
          <w:color w:val="1F4D78"/>
          <w:sz w:val="18"/>
        </w:rPr>
        <w:t>شکل 23.46. نمونه رتبه بندی سرپوش های پروازی مردان و زنان</w:t>
      </w:r>
    </w:p>
    <w:p>
      <w:pPr>
        <w:spacing w:after="20"/>
        <w:ind w:left="259"/>
        <w:jc w:val="left"/>
      </w:pPr>
      <w:r>
        <w:rPr>
          <w:color w:val="555555"/>
          <w:sz w:val="12"/>
        </w:rPr>
        <w:t>Figure 23.46. Rank Placement Example Men and Women Flight Caps</w:t>
      </w:r>
    </w:p>
    <w:p>
      <w:pPr>
        <w:spacing w:after="20" w:line="223" w:lineRule="auto"/>
        <w:jc w:val="right"/>
        <w:bidi/>
      </w:pPr>
      <w:r>
        <w:rPr>
          <w:rFonts w:ascii="Arial" w:hAnsi="Arial"/>
          <w:sz w:val="16"/>
        </w:rPr>
        <w:t>476.17  برت.</w:t>
      </w:r>
    </w:p>
    <w:p>
      <w:pPr>
        <w:spacing w:after="28" w:line="216" w:lineRule="auto"/>
        <w:ind w:left="259"/>
        <w:jc w:val="left"/>
      </w:pPr>
      <w:r>
        <w:rPr>
          <w:rFonts w:ascii="Arial" w:hAnsi="Arial"/>
          <w:color w:val="525252"/>
          <w:sz w:val="13"/>
        </w:rPr>
        <w:t>Beret.</w:t>
      </w:r>
    </w:p>
    <w:p>
      <w:pPr>
        <w:spacing w:after="20" w:line="223" w:lineRule="auto"/>
        <w:jc w:val="right"/>
        <w:bidi/>
      </w:pPr>
      <w:r>
        <w:rPr>
          <w:rFonts w:ascii="Arial" w:hAnsi="Arial"/>
          <w:sz w:val="16"/>
        </w:rPr>
        <w:t>476.18  فقط توسط هوانوردان تعیین شده پوشیده می‌شود و فقط با لباس سرویس کلاس ا و ب، OCP و یونیفرم‌های وظیفه پرواز پوشیده می‌شود.</w:t>
      </w:r>
    </w:p>
    <w:p>
      <w:pPr>
        <w:spacing w:after="28" w:line="216" w:lineRule="auto"/>
        <w:ind w:left="259"/>
        <w:jc w:val="left"/>
      </w:pPr>
      <w:r>
        <w:rPr>
          <w:rFonts w:ascii="Arial" w:hAnsi="Arial"/>
          <w:color w:val="525252"/>
          <w:sz w:val="13"/>
        </w:rPr>
        <w:t>Worn only by designated Airmen and will only be worn with the Class A and B service dress, OCP and flight duty uniforms.</w:t>
      </w:r>
    </w:p>
    <w:p>
      <w:pPr>
        <w:spacing w:after="20" w:line="223" w:lineRule="auto"/>
        <w:jc w:val="right"/>
        <w:bidi/>
      </w:pPr>
      <w:r>
        <w:rPr>
          <w:rFonts w:ascii="Arial" w:hAnsi="Arial"/>
          <w:sz w:val="16"/>
        </w:rPr>
        <w:t>476.19  هدبند را مستقیما روی پیشانی، ۱ اینچ بالای ابروها قرار دهید.</w:t>
      </w:r>
    </w:p>
    <w:p>
      <w:pPr>
        <w:spacing w:after="28" w:line="216" w:lineRule="auto"/>
        <w:ind w:left="259"/>
        <w:jc w:val="left"/>
      </w:pPr>
      <w:r>
        <w:rPr>
          <w:rFonts w:ascii="Arial" w:hAnsi="Arial"/>
          <w:color w:val="525252"/>
          <w:sz w:val="13"/>
        </w:rPr>
        <w:t>Position headband straight across the forehead, 1-inch above the eyebrows.</w:t>
      </w:r>
    </w:p>
    <w:p>
      <w:pPr>
        <w:spacing w:after="20" w:line="223" w:lineRule="auto"/>
        <w:jc w:val="right"/>
        <w:bidi/>
      </w:pPr>
      <w:r>
        <w:rPr>
          <w:rFonts w:ascii="Arial" w:hAnsi="Arial"/>
          <w:sz w:val="16"/>
        </w:rPr>
        <w:t>476.20  قسمت بالایی را روی گوش راست و سفت کننده قرار دهید.</w:t>
      </w:r>
    </w:p>
    <w:p>
      <w:pPr>
        <w:spacing w:after="28" w:line="216" w:lineRule="auto"/>
        <w:ind w:left="259"/>
        <w:jc w:val="left"/>
      </w:pPr>
      <w:r>
        <w:rPr>
          <w:rFonts w:ascii="Arial" w:hAnsi="Arial"/>
          <w:color w:val="525252"/>
          <w:sz w:val="13"/>
        </w:rPr>
        <w:t>Drape the top over the right ear and the stiffener.</w:t>
      </w:r>
    </w:p>
    <w:p>
      <w:pPr>
        <w:spacing w:after="20" w:line="223" w:lineRule="auto"/>
        <w:jc w:val="right"/>
        <w:bidi/>
      </w:pPr>
      <w:r>
        <w:rPr>
          <w:rFonts w:ascii="Arial" w:hAnsi="Arial"/>
          <w:sz w:val="16"/>
        </w:rPr>
        <w:t>476.21  فلاش پارچه‌ای را بالای چشم چپ تراز کنید.</w:t>
      </w:r>
    </w:p>
    <w:p>
      <w:pPr>
        <w:spacing w:after="28" w:line="216" w:lineRule="auto"/>
        <w:ind w:left="259"/>
        <w:jc w:val="left"/>
      </w:pPr>
      <w:r>
        <w:rPr>
          <w:rFonts w:ascii="Arial" w:hAnsi="Arial"/>
          <w:color w:val="525252"/>
          <w:sz w:val="13"/>
        </w:rPr>
        <w:t>Align cloth flash above the left eye.</w:t>
      </w:r>
    </w:p>
    <w:p>
      <w:pPr>
        <w:spacing w:after="20" w:line="223" w:lineRule="auto"/>
        <w:jc w:val="right"/>
        <w:bidi/>
      </w:pPr>
      <w:r>
        <w:rPr>
          <w:rFonts w:ascii="Arial" w:hAnsi="Arial"/>
          <w:sz w:val="16"/>
        </w:rPr>
        <w:t>476.22  روبان را برای راحتی تنظیم کنید، گره بزنید و داخل آن را ببندید یا برش دهید.</w:t>
      </w:r>
    </w:p>
    <w:p>
      <w:pPr>
        <w:spacing w:after="28" w:line="216" w:lineRule="auto"/>
        <w:ind w:left="259"/>
        <w:jc w:val="left"/>
      </w:pPr>
      <w:r>
        <w:rPr>
          <w:rFonts w:ascii="Arial" w:hAnsi="Arial"/>
          <w:color w:val="525252"/>
          <w:sz w:val="13"/>
        </w:rPr>
        <w:t>Adjust ribbon for comfort, tie in a knot, and tuck inside or cut-off.</w:t>
      </w:r>
    </w:p>
    <w:p>
      <w:pPr>
        <w:spacing w:after="20" w:line="223" w:lineRule="auto"/>
        <w:jc w:val="right"/>
        <w:bidi/>
      </w:pPr>
      <w:r>
        <w:rPr>
          <w:rFonts w:ascii="Arial" w:hAnsi="Arial"/>
          <w:sz w:val="16"/>
        </w:rPr>
        <w:t>476.23  فلاش پارچه‌ای به وسط سفت کننده، با پشت قلاب و حلقه برای سهولت تعویض برای تمیزی فلاش، ۱/۴ اینچ بالا و موازی با هدبند دوخته می‌شود.</w:t>
      </w:r>
    </w:p>
    <w:p>
      <w:pPr>
        <w:spacing w:after="28" w:line="216" w:lineRule="auto"/>
        <w:ind w:left="259"/>
        <w:jc w:val="left"/>
      </w:pPr>
      <w:r>
        <w:rPr>
          <w:rFonts w:ascii="Arial" w:hAnsi="Arial"/>
          <w:color w:val="525252"/>
          <w:sz w:val="13"/>
        </w:rPr>
        <w:t>The cloth flash will be sewn to the center of the stiffener, with hook and loop backing for ease of change out for cleanliness of the flash, 1/4-inch above and parallel to the headband.</w:t>
      </w:r>
    </w:p>
    <w:p>
      <w:pPr>
        <w:spacing w:after="20" w:line="223" w:lineRule="auto"/>
        <w:jc w:val="right"/>
        <w:bidi/>
      </w:pPr>
      <w:r>
        <w:rPr>
          <w:rFonts w:ascii="Arial" w:hAnsi="Arial"/>
          <w:sz w:val="16"/>
        </w:rPr>
        <w:t>476.24  کلاه آبی زمستانی.</w:t>
      </w:r>
    </w:p>
    <w:p>
      <w:pPr>
        <w:spacing w:after="28" w:line="216" w:lineRule="auto"/>
        <w:ind w:left="259"/>
        <w:jc w:val="left"/>
      </w:pPr>
      <w:r>
        <w:rPr>
          <w:rFonts w:ascii="Arial" w:hAnsi="Arial"/>
          <w:color w:val="525252"/>
          <w:sz w:val="13"/>
        </w:rPr>
        <w:t>Blue Winter Cap.</w:t>
      </w:r>
    </w:p>
    <w:p>
      <w:pPr>
        <w:spacing w:after="20" w:line="223" w:lineRule="auto"/>
        <w:jc w:val="right"/>
        <w:bidi/>
      </w:pPr>
      <w:r>
        <w:rPr>
          <w:rFonts w:ascii="Arial" w:hAnsi="Arial"/>
          <w:sz w:val="16"/>
        </w:rPr>
        <w:t>476.25  کلاه فقط با یک لباس بیرونی تمام قد پوشیده می‌شود، در حالی که لباس رسمی، لباس آشفته، لباس نیمه رسمی، کلاس ا و ب را می‌پوشید.</w:t>
      </w:r>
    </w:p>
    <w:p>
      <w:pPr>
        <w:spacing w:after="28" w:line="216" w:lineRule="auto"/>
        <w:ind w:left="259"/>
        <w:jc w:val="left"/>
      </w:pPr>
      <w:r>
        <w:rPr>
          <w:rFonts w:ascii="Arial" w:hAnsi="Arial"/>
          <w:color w:val="525252"/>
          <w:sz w:val="13"/>
        </w:rPr>
        <w:t>Cap will only be worn with a full-length outer garment, while wearing the formal dress, mess dress, semi-formal, Class A and B uniforms.</w:t>
      </w:r>
    </w:p>
    <w:p>
      <w:pPr>
        <w:spacing w:after="20" w:line="223" w:lineRule="auto"/>
        <w:jc w:val="right"/>
        <w:bidi/>
      </w:pPr>
      <w:r>
        <w:rPr>
          <w:rFonts w:ascii="Arial" w:hAnsi="Arial"/>
          <w:sz w:val="16"/>
        </w:rPr>
        <w:t>476.26  نباید با ژاکت آبی سبک وزن، ژاکت پولور یا ژاکت‌های ژاکت کش باف پشمی آبی پوشیده شود.</w:t>
      </w:r>
    </w:p>
    <w:p>
      <w:pPr>
        <w:spacing w:after="28" w:line="216" w:lineRule="auto"/>
        <w:ind w:left="259"/>
        <w:jc w:val="left"/>
      </w:pPr>
      <w:r>
        <w:rPr>
          <w:rFonts w:ascii="Arial" w:hAnsi="Arial"/>
          <w:color w:val="525252"/>
          <w:sz w:val="13"/>
        </w:rPr>
        <w:t>It should not be worn with light-weight blue jacket, pullover sweater or blue cardigan sweaters.</w:t>
      </w:r>
    </w:p>
    <w:p>
      <w:pPr>
        <w:spacing w:after="20" w:line="223" w:lineRule="auto"/>
        <w:jc w:val="right"/>
        <w:bidi/>
      </w:pPr>
      <w:r>
        <w:rPr>
          <w:rFonts w:ascii="Arial" w:hAnsi="Arial"/>
          <w:sz w:val="16"/>
        </w:rPr>
        <w:t>476.27  کلاه آبی زمستانی طراحی تجاری با گوش و گردن، کراوات روبانی یا بند با بست فلزی سرپوشیده خواهد بود.</w:t>
      </w:r>
    </w:p>
    <w:p>
      <w:pPr>
        <w:spacing w:after="28" w:line="216" w:lineRule="auto"/>
        <w:ind w:left="259"/>
        <w:jc w:val="left"/>
      </w:pPr>
      <w:r>
        <w:rPr>
          <w:rFonts w:ascii="Arial" w:hAnsi="Arial"/>
          <w:color w:val="525252"/>
          <w:sz w:val="13"/>
        </w:rPr>
        <w:t>The blue winter cap will be commercial design with ear and neck flaps, ribbon tie or strap with a covered metal snap fastener.</w:t>
      </w:r>
    </w:p>
    <w:p>
      <w:pPr>
        <w:spacing w:after="20" w:line="223" w:lineRule="auto"/>
        <w:jc w:val="right"/>
        <w:bidi/>
      </w:pPr>
      <w:r>
        <w:rPr>
          <w:rFonts w:ascii="Arial" w:hAnsi="Arial"/>
          <w:sz w:val="16"/>
        </w:rPr>
        <w:t>476.28  کلاه آبی زمستانه از پشم و پلی استر سرژ موتون خواهد بود و دارای روکش بست گیر است.</w:t>
      </w:r>
    </w:p>
    <w:p>
      <w:pPr>
        <w:spacing w:after="28" w:line="216" w:lineRule="auto"/>
        <w:ind w:left="259"/>
        <w:jc w:val="left"/>
      </w:pPr>
      <w:r>
        <w:rPr>
          <w:rFonts w:ascii="Arial" w:hAnsi="Arial"/>
          <w:color w:val="525252"/>
          <w:sz w:val="13"/>
        </w:rPr>
        <w:t>The blue winter cap will be wool and polyester serge mouton and have a snap fastener cover.</w:t>
      </w:r>
    </w:p>
    <w:p>
      <w:pPr>
        <w:spacing w:after="20" w:line="223" w:lineRule="auto"/>
        <w:jc w:val="right"/>
        <w:bidi/>
      </w:pPr>
      <w:r>
        <w:rPr>
          <w:rFonts w:ascii="Arial" w:hAnsi="Arial"/>
          <w:sz w:val="16"/>
        </w:rPr>
        <w:t>476.29  نشان رتبه روی کلاه زمستانی پوشیده نخواهد شد.</w:t>
      </w:r>
    </w:p>
    <w:p>
      <w:pPr>
        <w:spacing w:after="28" w:line="216" w:lineRule="auto"/>
        <w:ind w:left="259"/>
        <w:jc w:val="left"/>
      </w:pPr>
      <w:r>
        <w:rPr>
          <w:rFonts w:ascii="Arial" w:hAnsi="Arial"/>
          <w:color w:val="525252"/>
          <w:sz w:val="13"/>
        </w:rPr>
        <w:t>Rank insignia will not be worn on the winter cap.</w:t>
      </w:r>
    </w:p>
    <w:p>
      <w:pPr>
        <w:spacing w:after="20" w:line="223" w:lineRule="auto"/>
        <w:jc w:val="right"/>
        <w:bidi/>
      </w:pPr>
      <w:r>
        <w:rPr>
          <w:rFonts w:ascii="Arial" w:hAnsi="Arial"/>
          <w:sz w:val="16"/>
        </w:rPr>
        <w:t>476.30  سرپوش ساعت.</w:t>
      </w:r>
    </w:p>
    <w:p>
      <w:pPr>
        <w:spacing w:after="28" w:line="216" w:lineRule="auto"/>
        <w:ind w:left="259"/>
        <w:jc w:val="left"/>
      </w:pPr>
      <w:r>
        <w:rPr>
          <w:rFonts w:ascii="Arial" w:hAnsi="Arial"/>
          <w:color w:val="525252"/>
          <w:sz w:val="13"/>
        </w:rPr>
        <w:t>Watch Cap.</w:t>
      </w:r>
    </w:p>
    <w:p>
      <w:pPr>
        <w:spacing w:after="20" w:line="223" w:lineRule="auto"/>
        <w:jc w:val="right"/>
        <w:bidi/>
      </w:pPr>
      <w:r>
        <w:rPr>
          <w:rFonts w:ascii="Arial" w:hAnsi="Arial"/>
          <w:sz w:val="16"/>
        </w:rPr>
        <w:t>476.31  ممکن است در صورت تأیید فرمانده نصب، کلاه ساعت را پوشیده باشد.</w:t>
      </w:r>
    </w:p>
    <w:p>
      <w:pPr>
        <w:spacing w:after="28" w:line="216" w:lineRule="auto"/>
        <w:ind w:left="259"/>
        <w:jc w:val="left"/>
      </w:pPr>
      <w:r>
        <w:rPr>
          <w:rFonts w:ascii="Arial" w:hAnsi="Arial"/>
          <w:color w:val="525252"/>
          <w:sz w:val="13"/>
        </w:rPr>
        <w:t>Watch cap may be worn when approved by the Installation Commander.</w:t>
      </w:r>
    </w:p>
    <w:p>
      <w:pPr>
        <w:spacing w:after="20" w:line="223" w:lineRule="auto"/>
        <w:jc w:val="right"/>
        <w:bidi/>
      </w:pPr>
      <w:r>
        <w:rPr>
          <w:rFonts w:ascii="Arial" w:hAnsi="Arial"/>
          <w:sz w:val="16"/>
        </w:rPr>
        <w:t>476.32  هنگام پوشیدن، کلاه ساعت به راحتی روی سر پایین کشیده می‌شود. لبه پایینی (همه) کلاهک ممکن است تا شود تا مناسب باشد، اما نورد نشود.</w:t>
      </w:r>
    </w:p>
    <w:p>
      <w:pPr>
        <w:spacing w:after="28" w:line="216" w:lineRule="auto"/>
        <w:ind w:left="259"/>
        <w:jc w:val="left"/>
      </w:pPr>
      <w:r>
        <w:rPr>
          <w:rFonts w:ascii="Arial" w:hAnsi="Arial"/>
          <w:color w:val="525252"/>
          <w:sz w:val="13"/>
        </w:rPr>
        <w:t>When worn, the watch cap will be pulled down snugly on the head; the bottom edge (all) of the cap may be folded to allow proper fit, but not rolled.</w:t>
      </w:r>
    </w:p>
    <w:p>
      <w:pPr>
        <w:spacing w:after="20" w:line="223" w:lineRule="auto"/>
        <w:jc w:val="right"/>
        <w:bidi/>
      </w:pPr>
      <w:r>
        <w:rPr>
          <w:rFonts w:ascii="Arial" w:hAnsi="Arial"/>
          <w:sz w:val="16"/>
        </w:rPr>
        <w:t>476.33  پشت کلاه باید از پشت گردن کشیده شود و جلوی کلاه نباید ابروها را لمس کند و یا بالاتر از مرکز پیشانی باشد. مو از جلوی کلاه بیرون نمی‌زند.</w:t>
      </w:r>
    </w:p>
    <w:p>
      <w:pPr>
        <w:spacing w:after="28" w:line="216" w:lineRule="auto"/>
        <w:ind w:left="259"/>
        <w:jc w:val="left"/>
      </w:pPr>
      <w:r>
        <w:rPr>
          <w:rFonts w:ascii="Arial" w:hAnsi="Arial"/>
          <w:color w:val="525252"/>
          <w:sz w:val="13"/>
        </w:rPr>
        <w:t>The back of the cap should run across the nape of the neck and the front of cap should not be touching eyebrows nor higher than center of forehead; hair will not protrude from front of cap.</w:t>
      </w:r>
    </w:p>
    <w:p>
      <w:pPr>
        <w:spacing w:after="20" w:line="223" w:lineRule="auto"/>
        <w:jc w:val="right"/>
        <w:bidi/>
      </w:pPr>
      <w:r>
        <w:rPr>
          <w:rFonts w:ascii="Arial" w:hAnsi="Arial"/>
          <w:sz w:val="16"/>
        </w:rPr>
        <w:t>476.34  بدون دسته و افتادگی.</w:t>
      </w:r>
    </w:p>
    <w:p>
      <w:pPr>
        <w:spacing w:after="28" w:line="216" w:lineRule="auto"/>
        <w:ind w:left="259"/>
        <w:jc w:val="left"/>
      </w:pPr>
      <w:r>
        <w:rPr>
          <w:rFonts w:ascii="Arial" w:hAnsi="Arial"/>
          <w:color w:val="525252"/>
          <w:sz w:val="13"/>
        </w:rPr>
        <w:t>No bunching or sagging.</w:t>
      </w:r>
    </w:p>
    <w:p>
      <w:pPr>
        <w:spacing w:after="20" w:line="223" w:lineRule="auto"/>
        <w:jc w:val="right"/>
        <w:bidi/>
      </w:pPr>
      <w:r>
        <w:rPr>
          <w:rFonts w:ascii="Arial" w:hAnsi="Arial"/>
          <w:sz w:val="16"/>
        </w:rPr>
        <w:t>476.35  از نظر تجاری، ساده، مشکی یکدست، سبز مریم گلی، یا قهوه‌ای کایوت بافتنی یا پشمی/میکروالیافی طراحی شده است.</w:t>
      </w:r>
    </w:p>
    <w:p>
      <w:pPr>
        <w:spacing w:after="28" w:line="216" w:lineRule="auto"/>
        <w:ind w:left="259"/>
        <w:jc w:val="left"/>
      </w:pPr>
      <w:r>
        <w:rPr>
          <w:rFonts w:ascii="Arial" w:hAnsi="Arial"/>
          <w:color w:val="525252"/>
          <w:sz w:val="13"/>
        </w:rPr>
        <w:t>It will be commercially designed, plain, solid black, sage green, or coyote brown knit or fleece/microfiber material.</w:t>
      </w:r>
    </w:p>
    <w:p>
      <w:pPr>
        <w:spacing w:after="20" w:line="223" w:lineRule="auto"/>
        <w:jc w:val="right"/>
        <w:bidi/>
      </w:pPr>
      <w:r>
        <w:rPr>
          <w:rFonts w:ascii="Arial" w:hAnsi="Arial"/>
          <w:sz w:val="16"/>
        </w:rPr>
        <w:t>476.36  از نشان رتبه استفاده نکنید.</w:t>
      </w:r>
    </w:p>
    <w:p>
      <w:pPr>
        <w:spacing w:after="28" w:line="216" w:lineRule="auto"/>
        <w:ind w:left="259"/>
        <w:jc w:val="left"/>
      </w:pPr>
      <w:r>
        <w:rPr>
          <w:rFonts w:ascii="Arial" w:hAnsi="Arial"/>
          <w:color w:val="525252"/>
          <w:sz w:val="13"/>
        </w:rPr>
        <w:t>Do not wear rank insignia.</w:t>
      </w:r>
    </w:p>
    <w:p>
      <w:pPr>
        <w:spacing w:after="20" w:line="223" w:lineRule="auto"/>
        <w:jc w:val="right"/>
        <w:bidi/>
      </w:pPr>
      <w:r>
        <w:rPr>
          <w:rFonts w:ascii="Arial" w:hAnsi="Arial"/>
          <w:sz w:val="16"/>
        </w:rPr>
        <w:t>476.37  درپوش ساعت مشکی.</w:t>
      </w:r>
    </w:p>
    <w:p>
      <w:pPr>
        <w:spacing w:after="28" w:line="216" w:lineRule="auto"/>
        <w:ind w:left="259"/>
        <w:jc w:val="left"/>
      </w:pPr>
      <w:r>
        <w:rPr>
          <w:rFonts w:ascii="Arial" w:hAnsi="Arial"/>
          <w:color w:val="525252"/>
          <w:sz w:val="13"/>
        </w:rPr>
        <w:t>Black Watch Cap.</w:t>
      </w:r>
    </w:p>
    <w:p>
      <w:pPr>
        <w:spacing w:after="20" w:line="223" w:lineRule="auto"/>
        <w:jc w:val="right"/>
        <w:bidi/>
      </w:pPr>
      <w:r>
        <w:rPr>
          <w:rFonts w:ascii="Arial" w:hAnsi="Arial"/>
          <w:sz w:val="16"/>
        </w:rPr>
        <w:t>476.38  در صورت مجاز، ممکن است با یونیفرم‌های کلاس ا و ب، OCP یا PTG پوشیده شود.</w:t>
      </w:r>
    </w:p>
    <w:p>
      <w:pPr>
        <w:spacing w:after="28" w:line="216" w:lineRule="auto"/>
        <w:ind w:left="259"/>
        <w:jc w:val="left"/>
      </w:pPr>
      <w:r>
        <w:rPr>
          <w:rFonts w:ascii="Arial" w:hAnsi="Arial"/>
          <w:color w:val="525252"/>
          <w:sz w:val="13"/>
        </w:rPr>
        <w:t>When permitted, may be worn with Class A and B uniforms, OCP or PTG.</w:t>
      </w:r>
    </w:p>
    <w:p>
      <w:pPr>
        <w:spacing w:after="20" w:line="223" w:lineRule="auto"/>
        <w:jc w:val="right"/>
        <w:bidi/>
      </w:pPr>
      <w:r>
        <w:rPr>
          <w:rFonts w:ascii="Arial" w:hAnsi="Arial"/>
          <w:sz w:val="16"/>
        </w:rPr>
        <w:t>476.39  درپوش ساعت سبز سیج.</w:t>
      </w:r>
    </w:p>
    <w:p>
      <w:pPr>
        <w:spacing w:after="28" w:line="216" w:lineRule="auto"/>
        <w:ind w:left="259"/>
        <w:jc w:val="left"/>
      </w:pPr>
      <w:r>
        <w:rPr>
          <w:rFonts w:ascii="Arial" w:hAnsi="Arial"/>
          <w:color w:val="525252"/>
          <w:sz w:val="13"/>
        </w:rPr>
        <w:t>Sage Green Watch Cap.</w:t>
      </w:r>
    </w:p>
    <w:p>
      <w:pPr>
        <w:spacing w:after="20" w:line="223" w:lineRule="auto"/>
        <w:jc w:val="right"/>
        <w:bidi/>
      </w:pPr>
      <w:r>
        <w:rPr>
          <w:rFonts w:ascii="Arial" w:hAnsi="Arial"/>
          <w:sz w:val="16"/>
        </w:rPr>
        <w:t>476.40  در صورت مجاز، ممکن است با PTG پوشیده شود.</w:t>
      </w:r>
    </w:p>
    <w:p>
      <w:pPr>
        <w:spacing w:after="28" w:line="216" w:lineRule="auto"/>
        <w:ind w:left="259"/>
        <w:jc w:val="left"/>
      </w:pPr>
      <w:r>
        <w:rPr>
          <w:rFonts w:ascii="Arial" w:hAnsi="Arial"/>
          <w:color w:val="525252"/>
          <w:sz w:val="13"/>
        </w:rPr>
        <w:t>When permitted, may be worn with the PTG.</w:t>
      </w:r>
    </w:p>
    <w:p>
      <w:r>
        <w:br w:type="page"/>
      </w:r>
    </w:p>
    <w:p>
      <w:pPr>
        <w:spacing w:after="60"/>
        <w:jc w:val="right"/>
        <w:bidi/>
      </w:pPr>
      <w:r>
        <w:rPr>
          <w:rFonts w:ascii="Arial" w:hAnsi="Arial"/>
          <w:b/>
          <w:color w:val="1F4D78"/>
          <w:sz w:val="19"/>
        </w:rPr>
        <w:t>هفتهٔ 477  |  صفحهٔ منبع: 493</w:t>
      </w:r>
    </w:p>
    <w:p>
      <w:pPr>
        <w:spacing w:after="20" w:line="223" w:lineRule="auto"/>
        <w:jc w:val="right"/>
        <w:bidi/>
      </w:pPr>
      <w:r>
        <w:rPr>
          <w:rFonts w:ascii="Arial" w:hAnsi="Arial"/>
          <w:sz w:val="16"/>
        </w:rPr>
        <w:t>477.01  درپوش ساعت قهوه‌ای کایوت.</w:t>
      </w:r>
    </w:p>
    <w:p>
      <w:pPr>
        <w:spacing w:after="28" w:line="216" w:lineRule="auto"/>
        <w:ind w:left="259"/>
        <w:jc w:val="left"/>
      </w:pPr>
      <w:r>
        <w:rPr>
          <w:rFonts w:ascii="Arial" w:hAnsi="Arial"/>
          <w:color w:val="525252"/>
          <w:sz w:val="13"/>
        </w:rPr>
        <w:t>Coyote Brown Watch Cap.</w:t>
      </w:r>
    </w:p>
    <w:p>
      <w:pPr>
        <w:spacing w:after="20" w:line="223" w:lineRule="auto"/>
        <w:jc w:val="right"/>
        <w:bidi/>
      </w:pPr>
      <w:r>
        <w:rPr>
          <w:rFonts w:ascii="Arial" w:hAnsi="Arial"/>
          <w:sz w:val="16"/>
        </w:rPr>
        <w:t>477.02  در صورت مجاز، ممکن است با یونیفرم OCP یا PTG پوشیده شود.</w:t>
      </w:r>
    </w:p>
    <w:p>
      <w:pPr>
        <w:spacing w:after="28" w:line="216" w:lineRule="auto"/>
        <w:ind w:left="259"/>
        <w:jc w:val="left"/>
      </w:pPr>
      <w:r>
        <w:rPr>
          <w:rFonts w:ascii="Arial" w:hAnsi="Arial"/>
          <w:color w:val="525252"/>
          <w:sz w:val="13"/>
        </w:rPr>
        <w:t>When permitted, may be worn with the OCP uniform or PTG.</w:t>
      </w:r>
    </w:p>
    <w:p>
      <w:pPr>
        <w:spacing w:after="20" w:line="223" w:lineRule="auto"/>
        <w:jc w:val="right"/>
        <w:bidi/>
      </w:pPr>
      <w:r>
        <w:rPr>
          <w:rFonts w:ascii="Arial" w:hAnsi="Arial"/>
          <w:sz w:val="16"/>
        </w:rPr>
        <w:t>477.03  سرپوش سازمانی.</w:t>
      </w:r>
    </w:p>
    <w:p>
      <w:pPr>
        <w:spacing w:after="28" w:line="216" w:lineRule="auto"/>
        <w:ind w:left="259"/>
        <w:jc w:val="left"/>
      </w:pPr>
      <w:r>
        <w:rPr>
          <w:rFonts w:ascii="Arial" w:hAnsi="Arial"/>
          <w:color w:val="525252"/>
          <w:sz w:val="13"/>
        </w:rPr>
        <w:t>Organizational Cap.</w:t>
      </w:r>
    </w:p>
    <w:p>
      <w:pPr>
        <w:spacing w:after="20" w:line="223" w:lineRule="auto"/>
        <w:jc w:val="right"/>
        <w:bidi/>
      </w:pPr>
      <w:r>
        <w:rPr>
          <w:rFonts w:ascii="Arial" w:hAnsi="Arial"/>
          <w:sz w:val="16"/>
        </w:rPr>
        <w:t>477.04  ممکن است توسط پرسنل/واحدهای زیر با OCP پوشیده شود.</w:t>
      </w:r>
    </w:p>
    <w:p>
      <w:pPr>
        <w:spacing w:after="28" w:line="216" w:lineRule="auto"/>
        <w:ind w:left="259"/>
        <w:jc w:val="left"/>
      </w:pPr>
      <w:r>
        <w:rPr>
          <w:rFonts w:ascii="Arial" w:hAnsi="Arial"/>
          <w:color w:val="525252"/>
          <w:sz w:val="13"/>
        </w:rPr>
        <w:t>May be worn with the OCP by the following personnel/units.</w:t>
      </w:r>
    </w:p>
    <w:p>
      <w:pPr>
        <w:spacing w:after="20" w:line="223" w:lineRule="auto"/>
        <w:jc w:val="right"/>
        <w:bidi/>
      </w:pPr>
      <w:r>
        <w:rPr>
          <w:rFonts w:ascii="Arial" w:hAnsi="Arial"/>
          <w:sz w:val="16"/>
        </w:rPr>
        <w:t>477.05  برای قرار دادن نشان‌های رتبه مناسب، به شکل ۲۳.۴۷ مراجعه کنید.</w:t>
      </w:r>
    </w:p>
    <w:p>
      <w:pPr>
        <w:spacing w:after="28" w:line="216" w:lineRule="auto"/>
        <w:ind w:left="259"/>
        <w:jc w:val="left"/>
      </w:pPr>
      <w:r>
        <w:rPr>
          <w:rFonts w:ascii="Arial" w:hAnsi="Arial"/>
          <w:color w:val="525252"/>
          <w:sz w:val="13"/>
        </w:rPr>
        <w:t>For placement of appropriate rank insignia, see Figure 23.47.</w:t>
      </w:r>
    </w:p>
    <w:p>
      <w:pPr>
        <w:spacing w:after="20" w:line="223" w:lineRule="auto"/>
        <w:jc w:val="right"/>
        <w:bidi/>
      </w:pPr>
      <w:r>
        <w:rPr>
          <w:rFonts w:ascii="Arial" w:hAnsi="Arial"/>
          <w:sz w:val="16"/>
        </w:rPr>
        <w:t>477.06  اسکادران اسب قرمز ممکن است کلاه بیسبال قرمز رنگی بپوشند که نشان اسب قرمز در مرکز جلوی کلاه قرار دارد.</w:t>
      </w:r>
    </w:p>
    <w:p>
      <w:pPr>
        <w:spacing w:after="28" w:line="216" w:lineRule="auto"/>
        <w:ind w:left="259"/>
        <w:jc w:val="left"/>
      </w:pPr>
      <w:r>
        <w:rPr>
          <w:rFonts w:ascii="Arial" w:hAnsi="Arial"/>
          <w:color w:val="525252"/>
          <w:sz w:val="13"/>
        </w:rPr>
        <w:t>Red Horse Squadrons may wear a red baseball cap with the RED HORSE emblem centered on the cap front.</w:t>
      </w:r>
    </w:p>
    <w:p>
      <w:pPr>
        <w:spacing w:after="20" w:line="223" w:lineRule="auto"/>
        <w:jc w:val="right"/>
        <w:bidi/>
      </w:pPr>
      <w:r>
        <w:rPr>
          <w:rFonts w:ascii="Arial" w:hAnsi="Arial"/>
          <w:sz w:val="16"/>
        </w:rPr>
        <w:t>477.07  علامت عددی واحد روی تیغه بولدوزر با چاپ سیاه چاپ خواهد شد.</w:t>
      </w:r>
    </w:p>
    <w:p>
      <w:pPr>
        <w:spacing w:after="28" w:line="216" w:lineRule="auto"/>
        <w:ind w:left="259"/>
        <w:jc w:val="left"/>
      </w:pPr>
      <w:r>
        <w:rPr>
          <w:rFonts w:ascii="Arial" w:hAnsi="Arial"/>
          <w:color w:val="525252"/>
          <w:sz w:val="13"/>
        </w:rPr>
        <w:t>The unit numerical designation will be printed on the dozer blade in black print.</w:t>
      </w:r>
    </w:p>
    <w:p>
      <w:pPr>
        <w:spacing w:after="20" w:line="223" w:lineRule="auto"/>
        <w:jc w:val="right"/>
        <w:bidi/>
      </w:pPr>
      <w:r>
        <w:rPr>
          <w:rFonts w:ascii="Arial" w:hAnsi="Arial"/>
          <w:sz w:val="16"/>
        </w:rPr>
        <w:t>477.08  افسران رده فلزی را در جلوی کلاه متمرکز می‌کنند.</w:t>
      </w:r>
    </w:p>
    <w:p>
      <w:pPr>
        <w:spacing w:after="28" w:line="216" w:lineRule="auto"/>
        <w:ind w:left="259"/>
        <w:jc w:val="left"/>
      </w:pPr>
      <w:r>
        <w:rPr>
          <w:rFonts w:ascii="Arial" w:hAnsi="Arial"/>
          <w:color w:val="525252"/>
          <w:sz w:val="13"/>
        </w:rPr>
        <w:t>Officers will center subdued metal rank on the front of the cap.</w:t>
      </w:r>
    </w:p>
    <w:p>
      <w:pPr>
        <w:spacing w:after="20" w:line="223" w:lineRule="auto"/>
        <w:jc w:val="right"/>
        <w:bidi/>
      </w:pPr>
      <w:r>
        <w:rPr>
          <w:rFonts w:ascii="Arial" w:hAnsi="Arial"/>
          <w:sz w:val="16"/>
        </w:rPr>
        <w:t>477.09  برای قرار دادن نشان‌های رتبه مناسب، به DAFI ۳۶-۲۹۰۳، بند ۵.۱.۱۰.۱ مراجعه کنید.</w:t>
      </w:r>
    </w:p>
    <w:p>
      <w:pPr>
        <w:spacing w:after="28" w:line="216" w:lineRule="auto"/>
        <w:ind w:left="259"/>
        <w:jc w:val="left"/>
      </w:pPr>
      <w:r>
        <w:rPr>
          <w:rFonts w:ascii="Arial" w:hAnsi="Arial"/>
          <w:color w:val="525252"/>
          <w:sz w:val="13"/>
        </w:rPr>
        <w:t>For placement of appropriate rank insignia, see DAFI 36-2903, paragraph 5.1.10.1.</w:t>
      </w:r>
    </w:p>
    <w:p>
      <w:pPr>
        <w:spacing w:after="20" w:line="223" w:lineRule="auto"/>
        <w:jc w:val="right"/>
        <w:bidi/>
      </w:pPr>
      <w:r>
        <w:rPr>
          <w:rFonts w:ascii="Arial" w:hAnsi="Arial"/>
          <w:sz w:val="16"/>
        </w:rPr>
        <w:t>477.10  کلاه اسکادران اسب قرمز با کت همه آب و هوا پوشیده نخواهد شد.</w:t>
      </w:r>
    </w:p>
    <w:p>
      <w:pPr>
        <w:spacing w:after="28" w:line="216" w:lineRule="auto"/>
        <w:ind w:left="259"/>
        <w:jc w:val="left"/>
      </w:pPr>
      <w:r>
        <w:rPr>
          <w:rFonts w:ascii="Arial" w:hAnsi="Arial"/>
          <w:color w:val="525252"/>
          <w:sz w:val="13"/>
        </w:rPr>
        <w:t>Red Horse squadron caps will not be worn with the all-weather coat.</w:t>
      </w:r>
    </w:p>
    <w:p>
      <w:pPr>
        <w:spacing w:after="20" w:line="223" w:lineRule="auto"/>
        <w:jc w:val="right"/>
        <w:bidi/>
      </w:pPr>
      <w:r>
        <w:rPr>
          <w:rFonts w:ascii="Arial" w:hAnsi="Arial"/>
          <w:sz w:val="16"/>
        </w:rPr>
        <w:t>477.11  پرسنل آموزش و نگهداری سلاح‌های رزمی (CATM) مجاز به پوشیدن کلاه بیسبال قرمز رنگ با حروف CATM منقش به حروف سیاه ۱ اینچی در حین انجام وظایف در مجموعه میدان هستند.</w:t>
      </w:r>
    </w:p>
    <w:p>
      <w:pPr>
        <w:spacing w:after="28" w:line="216" w:lineRule="auto"/>
        <w:ind w:left="259"/>
        <w:jc w:val="left"/>
      </w:pPr>
      <w:r>
        <w:rPr>
          <w:rFonts w:ascii="Arial" w:hAnsi="Arial"/>
          <w:color w:val="525252"/>
          <w:sz w:val="13"/>
        </w:rPr>
        <w:t>Combat Arms Training and Maintenance (CATM) personnel are authorized to wear a red baseball type cap with the letters CATM embossed with 1-inch black letters while performing duties on the range complex.</w:t>
      </w:r>
    </w:p>
    <w:p>
      <w:pPr>
        <w:spacing w:after="20" w:line="223" w:lineRule="auto"/>
        <w:jc w:val="right"/>
        <w:bidi/>
      </w:pPr>
      <w:r>
        <w:rPr>
          <w:rFonts w:ascii="Arial" w:hAnsi="Arial"/>
          <w:sz w:val="16"/>
        </w:rPr>
        <w:t>477.12  کلاهک‌های جنگی صادر شده قبلی تا زمانی که از طریق فرسایش جایگزین نشوند، مجاز باقی می‌مانند.</w:t>
      </w:r>
    </w:p>
    <w:p>
      <w:pPr>
        <w:spacing w:after="28" w:line="216" w:lineRule="auto"/>
        <w:ind w:left="259"/>
        <w:jc w:val="left"/>
      </w:pPr>
      <w:r>
        <w:rPr>
          <w:rFonts w:ascii="Arial" w:hAnsi="Arial"/>
          <w:color w:val="525252"/>
          <w:sz w:val="13"/>
        </w:rPr>
        <w:t>Previous issued COMBAT ARMS caps remain authorized until replaced through attrition.</w:t>
      </w:r>
    </w:p>
    <w:p>
      <w:pPr>
        <w:spacing w:after="20" w:line="223" w:lineRule="auto"/>
        <w:jc w:val="right"/>
        <w:bidi/>
      </w:pPr>
      <w:r>
        <w:rPr>
          <w:rFonts w:ascii="Arial" w:hAnsi="Arial"/>
          <w:sz w:val="16"/>
        </w:rPr>
        <w:t>477.13  کلاه جنگی یا کلاه CATM فقط در حین انجام وظایف در مجموعه میدان استفاده می‌شود و در خارج از مجموعه محدوده استفاده نخواهد شد.</w:t>
      </w:r>
    </w:p>
    <w:p>
      <w:pPr>
        <w:spacing w:after="28" w:line="216" w:lineRule="auto"/>
        <w:ind w:left="259"/>
        <w:jc w:val="left"/>
      </w:pPr>
      <w:r>
        <w:rPr>
          <w:rFonts w:ascii="Arial" w:hAnsi="Arial"/>
          <w:color w:val="525252"/>
          <w:sz w:val="13"/>
        </w:rPr>
        <w:t>The combat arms or CATMs cap is only to be worn while performing duties on the range complex and will not be worn outside the range complex.</w:t>
      </w:r>
    </w:p>
    <w:p>
      <w:pPr>
        <w:spacing w:after="20" w:line="223" w:lineRule="auto"/>
        <w:jc w:val="right"/>
        <w:bidi/>
      </w:pPr>
      <w:r>
        <w:rPr>
          <w:rFonts w:ascii="Arial" w:hAnsi="Arial"/>
          <w:sz w:val="16"/>
        </w:rPr>
        <w:t>477.14  گارد افتخاری نیروی هوایی ممکن است از کلاه توپی سیاه رنگ با حروف نقره‌ای گارد افتخار USAF با قد ۵/۸ اینچی در مرکز جلوی کلاه استفاده کند.</w:t>
      </w:r>
    </w:p>
    <w:p>
      <w:pPr>
        <w:spacing w:after="28" w:line="216" w:lineRule="auto"/>
        <w:ind w:left="259"/>
        <w:jc w:val="left"/>
      </w:pPr>
      <w:r>
        <w:rPr>
          <w:rFonts w:ascii="Arial" w:hAnsi="Arial"/>
          <w:color w:val="525252"/>
          <w:sz w:val="13"/>
        </w:rPr>
        <w:t>The Air Force Honor Guard may wear a black ball cap with 5/8-inch tall USAF HONOR GUARD silver letters centered on the front of the cap.</w:t>
      </w:r>
    </w:p>
    <w:p>
      <w:pPr>
        <w:spacing w:after="20" w:line="223" w:lineRule="auto"/>
        <w:jc w:val="right"/>
        <w:bidi/>
      </w:pPr>
      <w:r>
        <w:rPr>
          <w:rFonts w:ascii="Arial" w:hAnsi="Arial"/>
          <w:sz w:val="16"/>
        </w:rPr>
        <w:t>477.15  کلاه توپی را می‌توان فقط با یونیفرم OCP استفاده کرد.</w:t>
      </w:r>
    </w:p>
    <w:p>
      <w:pPr>
        <w:spacing w:after="28" w:line="216" w:lineRule="auto"/>
        <w:ind w:left="259"/>
        <w:jc w:val="left"/>
      </w:pPr>
      <w:r>
        <w:rPr>
          <w:rFonts w:ascii="Arial" w:hAnsi="Arial"/>
          <w:color w:val="525252"/>
          <w:sz w:val="13"/>
        </w:rPr>
        <w:t>Ball cap may only be worn with the OCP utility uniform.</w:t>
      </w:r>
    </w:p>
    <w:p>
      <w:pPr>
        <w:spacing w:before="60" w:after="28"/>
        <w:jc w:val="right"/>
        <w:bidi/>
      </w:pPr>
      <w:r>
        <w:rPr>
          <w:b/>
          <w:color w:val="1F4D78"/>
          <w:sz w:val="18"/>
        </w:rPr>
        <w:t>شکل 23.47. رتبه بندی در OCP Cap</w:t>
      </w:r>
    </w:p>
    <w:p>
      <w:pPr>
        <w:spacing w:after="20"/>
        <w:ind w:left="259"/>
        <w:jc w:val="left"/>
      </w:pPr>
      <w:r>
        <w:rPr>
          <w:color w:val="555555"/>
          <w:sz w:val="12"/>
        </w:rPr>
        <w:t>Figure 23.47. Rank Placement on OCP Cap</w:t>
      </w:r>
    </w:p>
    <w:p>
      <w:pPr>
        <w:spacing w:before="60" w:after="28"/>
        <w:jc w:val="right"/>
        <w:bidi/>
      </w:pPr>
      <w:r>
        <w:rPr>
          <w:b/>
          <w:color w:val="1F4D78"/>
          <w:sz w:val="18"/>
        </w:rPr>
        <w:t>23.14. جواهرات، عینک، وسایل الکترونیکی، کیف، کوله پشتی، هوای سرد و غیره</w:t>
      </w:r>
    </w:p>
    <w:p>
      <w:pPr>
        <w:spacing w:after="20"/>
        <w:ind w:left="259"/>
        <w:jc w:val="left"/>
      </w:pPr>
      <w:r>
        <w:rPr>
          <w:color w:val="555555"/>
          <w:sz w:val="12"/>
        </w:rPr>
        <w:t>23.14. Jewelry, Eyewear, Electronic Devices, Bags, Backpacks, Cold Weather and Other</w:t>
      </w:r>
    </w:p>
    <w:p>
      <w:pPr>
        <w:spacing w:after="20" w:line="223" w:lineRule="auto"/>
        <w:jc w:val="right"/>
        <w:bidi/>
      </w:pPr>
      <w:r>
        <w:rPr>
          <w:rFonts w:ascii="Arial" w:hAnsi="Arial"/>
          <w:sz w:val="16"/>
        </w:rPr>
        <w:t>477.18  لوازم جانبی.</w:t>
      </w:r>
    </w:p>
    <w:p>
      <w:pPr>
        <w:spacing w:after="28" w:line="216" w:lineRule="auto"/>
        <w:ind w:left="259"/>
        <w:jc w:val="left"/>
      </w:pPr>
      <w:r>
        <w:rPr>
          <w:rFonts w:ascii="Arial" w:hAnsi="Arial"/>
          <w:color w:val="525252"/>
          <w:sz w:val="13"/>
        </w:rPr>
        <w:t>Accessories.</w:t>
      </w:r>
    </w:p>
    <w:p>
      <w:pPr>
        <w:spacing w:after="20" w:line="223" w:lineRule="auto"/>
        <w:jc w:val="right"/>
        <w:bidi/>
      </w:pPr>
      <w:r>
        <w:rPr>
          <w:rFonts w:ascii="Arial" w:hAnsi="Arial"/>
          <w:sz w:val="16"/>
        </w:rPr>
        <w:t>477.19  لوازم جانبی شخصی که در DAFI ۳۶-۲۹۰۳ ذکر نشده‌اند، مجاز به پوشیدن نیستند.</w:t>
      </w:r>
    </w:p>
    <w:p>
      <w:pPr>
        <w:spacing w:after="28" w:line="216" w:lineRule="auto"/>
        <w:ind w:left="259"/>
        <w:jc w:val="left"/>
      </w:pPr>
      <w:r>
        <w:rPr>
          <w:rFonts w:ascii="Arial" w:hAnsi="Arial"/>
          <w:color w:val="525252"/>
          <w:sz w:val="13"/>
        </w:rPr>
        <w:t>Personal accessories not listed in DAFI 36-2903 are not authorized for wear.</w:t>
      </w:r>
    </w:p>
    <w:p>
      <w:pPr>
        <w:spacing w:after="20" w:line="223" w:lineRule="auto"/>
        <w:jc w:val="right"/>
        <w:bidi/>
      </w:pPr>
      <w:r>
        <w:rPr>
          <w:rFonts w:ascii="Arial" w:hAnsi="Arial"/>
          <w:sz w:val="16"/>
        </w:rPr>
        <w:t>477.20  جواهرات.</w:t>
      </w:r>
    </w:p>
    <w:p>
      <w:pPr>
        <w:spacing w:after="28" w:line="216" w:lineRule="auto"/>
        <w:ind w:left="259"/>
        <w:jc w:val="left"/>
      </w:pPr>
      <w:r>
        <w:rPr>
          <w:rFonts w:ascii="Arial" w:hAnsi="Arial"/>
          <w:color w:val="525252"/>
          <w:sz w:val="13"/>
        </w:rPr>
        <w:t>Jewelry.</w:t>
      </w:r>
    </w:p>
    <w:p>
      <w:pPr>
        <w:spacing w:after="20" w:line="223" w:lineRule="auto"/>
        <w:jc w:val="right"/>
        <w:bidi/>
      </w:pPr>
      <w:r>
        <w:rPr>
          <w:rFonts w:ascii="Arial" w:hAnsi="Arial"/>
          <w:sz w:val="16"/>
        </w:rPr>
        <w:t>477.21  جواهرات ساده و محافظه کارانه خواهند بود (متوسط، در محدوده معقول، نه افراطی یا افراطی) که توسط فرمانده محلی تعیین می‌شود.</w:t>
      </w:r>
    </w:p>
    <w:p>
      <w:pPr>
        <w:spacing w:after="28" w:line="216" w:lineRule="auto"/>
        <w:ind w:left="259"/>
        <w:jc w:val="left"/>
      </w:pPr>
      <w:r>
        <w:rPr>
          <w:rFonts w:ascii="Arial" w:hAnsi="Arial"/>
          <w:color w:val="525252"/>
          <w:sz w:val="13"/>
        </w:rPr>
        <w:t>Jewelry will be plain and conservative (moderate, being within reasonable limits; not excessive or extreme) as determined by the local commander.</w:t>
      </w:r>
    </w:p>
    <w:p>
      <w:pPr>
        <w:spacing w:after="20" w:line="223" w:lineRule="auto"/>
        <w:jc w:val="right"/>
        <w:bidi/>
      </w:pPr>
      <w:r>
        <w:rPr>
          <w:rFonts w:ascii="Arial" w:hAnsi="Arial"/>
          <w:sz w:val="16"/>
        </w:rPr>
        <w:t>477.22  گوشواره.</w:t>
      </w:r>
    </w:p>
    <w:p>
      <w:pPr>
        <w:spacing w:after="28" w:line="216" w:lineRule="auto"/>
        <w:ind w:left="259"/>
        <w:jc w:val="left"/>
      </w:pPr>
      <w:r>
        <w:rPr>
          <w:rFonts w:ascii="Arial" w:hAnsi="Arial"/>
          <w:color w:val="525252"/>
          <w:sz w:val="13"/>
        </w:rPr>
        <w:t>Earrings.</w:t>
      </w:r>
    </w:p>
    <w:p>
      <w:pPr>
        <w:spacing w:after="20" w:line="223" w:lineRule="auto"/>
        <w:jc w:val="right"/>
        <w:bidi/>
      </w:pPr>
      <w:r>
        <w:rPr>
          <w:rFonts w:ascii="Arial" w:hAnsi="Arial"/>
          <w:sz w:val="16"/>
        </w:rPr>
        <w:t>477.23  هوانوردان مرد مجاز به پوشیدن گوشواره در حالی که یونیفورم یا لباس غیرنظامی به تن دارند برای انجام وظیفه رسمی ندارند، اما مجاز به پوشیدن گوشواره با لباس غیرنظامی در حین انجام وظیفه در یک تاسیسات نظامی هستند.</w:t>
      </w:r>
    </w:p>
    <w:p>
      <w:pPr>
        <w:spacing w:after="28" w:line="216" w:lineRule="auto"/>
        <w:ind w:left="259"/>
        <w:jc w:val="left"/>
      </w:pPr>
      <w:r>
        <w:rPr>
          <w:rFonts w:ascii="Arial" w:hAnsi="Arial"/>
          <w:color w:val="525252"/>
          <w:sz w:val="13"/>
        </w:rPr>
        <w:t>Male Airmen are not authorized to wear earrings while in uniform or in civilian attire for official duty but are authorized to wear earrings in civilian attire while off duty on a military installation.</w:t>
      </w:r>
    </w:p>
    <w:p>
      <w:pPr>
        <w:spacing w:after="20" w:line="223" w:lineRule="auto"/>
        <w:jc w:val="right"/>
        <w:bidi/>
      </w:pPr>
      <w:r>
        <w:rPr>
          <w:rFonts w:ascii="Arial" w:hAnsi="Arial"/>
          <w:sz w:val="16"/>
        </w:rPr>
        <w:t>477.24  هوانوردان زن می‌توانند گوشواره‌های کوچک (با قطر بیش از شش میلی‌متر) محافظه‌کارانه الماس سفید، طلایی، مروارید سفید یا نقره را به‌عنوان ست با هر ترکیب یکنواخت بپوشند.</w:t>
      </w:r>
    </w:p>
    <w:p>
      <w:pPr>
        <w:spacing w:after="28" w:line="216" w:lineRule="auto"/>
        <w:ind w:left="259"/>
        <w:jc w:val="left"/>
      </w:pPr>
      <w:r>
        <w:rPr>
          <w:rFonts w:ascii="Arial" w:hAnsi="Arial"/>
          <w:color w:val="525252"/>
          <w:sz w:val="13"/>
        </w:rPr>
        <w:t>Female Airmen may wear small (not exceeding six mm in diameter) conservative round or square white diamond, gold, white pearl, or silver earrings as a set with any uniform combination.</w:t>
      </w:r>
    </w:p>
    <w:p>
      <w:pPr>
        <w:spacing w:after="20" w:line="223" w:lineRule="auto"/>
        <w:jc w:val="right"/>
        <w:bidi/>
      </w:pPr>
      <w:r>
        <w:rPr>
          <w:rFonts w:ascii="Arial" w:hAnsi="Arial"/>
          <w:sz w:val="16"/>
        </w:rPr>
        <w:t>477.25  اگر عضو دارای چندین سوراخ گوشواره باشد، فقط یک سری از گوشواره مجاز به پوشیدن در لباس فرم است و در لاله گوش پایینی استفاده می‌شود.</w:t>
      </w:r>
    </w:p>
    <w:p>
      <w:pPr>
        <w:spacing w:after="28" w:line="216" w:lineRule="auto"/>
        <w:ind w:left="259"/>
        <w:jc w:val="left"/>
      </w:pPr>
      <w:r>
        <w:rPr>
          <w:rFonts w:ascii="Arial" w:hAnsi="Arial"/>
          <w:color w:val="525252"/>
          <w:sz w:val="13"/>
        </w:rPr>
        <w:t>If member has multiple earring holes, only one set of earrings is authorized for wear in uniform and will be worn in the lower earlobes.</w:t>
      </w:r>
    </w:p>
    <w:p>
      <w:pPr>
        <w:spacing w:after="20" w:line="223" w:lineRule="auto"/>
        <w:jc w:val="right"/>
        <w:bidi/>
      </w:pPr>
      <w:r>
        <w:rPr>
          <w:rFonts w:ascii="Arial" w:hAnsi="Arial"/>
          <w:sz w:val="16"/>
        </w:rPr>
        <w:t>477.26  گوشواره‌ها بدون امتداد در زیر لاله گوش با هم منطبق و محکم می‌شوند، مگر اینکه قطعه‌ای که دراز می‌شود نوار اتصال گوشواره‌های گیره باشد.</w:t>
      </w:r>
    </w:p>
    <w:p>
      <w:pPr>
        <w:spacing w:after="28" w:line="216" w:lineRule="auto"/>
        <w:ind w:left="259"/>
        <w:jc w:val="left"/>
      </w:pPr>
      <w:r>
        <w:rPr>
          <w:rFonts w:ascii="Arial" w:hAnsi="Arial"/>
          <w:color w:val="525252"/>
          <w:sz w:val="13"/>
        </w:rPr>
        <w:t>Earrings will match and fit tightly without extending below the earlobe unless the piece extending is the connecting band on clip earrings.</w:t>
      </w:r>
    </w:p>
    <w:p>
      <w:pPr>
        <w:spacing w:after="20" w:line="223" w:lineRule="auto"/>
        <w:jc w:val="right"/>
        <w:bidi/>
      </w:pPr>
      <w:r>
        <w:rPr>
          <w:rFonts w:ascii="Arial" w:hAnsi="Arial"/>
          <w:sz w:val="16"/>
        </w:rPr>
        <w:t>477.27  در صورت عدم استفاده از گوشواره، هواپیماهای مرد و زن مجاز به پوشیدن فاصله(های) سوراخ کننده شفاف در لاله گوش زیرین در حالی که لباس فرم دارند.</w:t>
      </w:r>
    </w:p>
    <w:p>
      <w:pPr>
        <w:spacing w:after="28" w:line="216" w:lineRule="auto"/>
        <w:ind w:left="259"/>
        <w:jc w:val="left"/>
      </w:pPr>
      <w:r>
        <w:rPr>
          <w:rFonts w:ascii="Arial" w:hAnsi="Arial"/>
          <w:color w:val="525252"/>
          <w:sz w:val="13"/>
        </w:rPr>
        <w:t>When not wearing earrings, male and female Airmen are authorized to wear transparent piercing spacer(s) in lower earlobes while in uniform.</w:t>
      </w:r>
    </w:p>
    <w:p>
      <w:pPr>
        <w:spacing w:after="20" w:line="223" w:lineRule="auto"/>
        <w:jc w:val="right"/>
        <w:bidi/>
      </w:pPr>
      <w:r>
        <w:rPr>
          <w:rFonts w:ascii="Arial" w:hAnsi="Arial"/>
          <w:sz w:val="16"/>
        </w:rPr>
        <w:t>477.28  در سوراخ‌های گوش خارج از لاله‌های پایین گوش یا هر سوراخ سوراخ‌کننده دیگری که به صورت یکنواخت قابل مشاهده است (بینی، لب، ابرو،</w:t>
      </w:r>
    </w:p>
    <w:p>
      <w:pPr>
        <w:spacing w:after="28" w:line="216" w:lineRule="auto"/>
        <w:ind w:left="259"/>
        <w:jc w:val="left"/>
      </w:pPr>
      <w:r>
        <w:rPr>
          <w:rFonts w:ascii="Arial" w:hAnsi="Arial"/>
          <w:color w:val="525252"/>
          <w:sz w:val="13"/>
        </w:rPr>
        <w:t>Transparent spacers are not allowed in ear holes outside of the lower earlobes or any other piercing holes visible in uniform (nose, lip, eyebrow,</w:t>
      </w:r>
    </w:p>
    <w:p>
      <w:r>
        <w:br w:type="page"/>
      </w:r>
    </w:p>
    <w:p>
      <w:pPr>
        <w:spacing w:after="60"/>
        <w:jc w:val="right"/>
        <w:bidi/>
      </w:pPr>
      <w:r>
        <w:rPr>
          <w:rFonts w:ascii="Arial" w:hAnsi="Arial"/>
          <w:b/>
          <w:color w:val="1F4D78"/>
          <w:sz w:val="19"/>
        </w:rPr>
        <w:t>هفتهٔ 478  |  صفحهٔ منبع: 494</w:t>
      </w:r>
    </w:p>
    <w:p>
      <w:pPr>
        <w:spacing w:after="20" w:line="223" w:lineRule="auto"/>
        <w:jc w:val="right"/>
        <w:bidi/>
      </w:pPr>
      <w:r>
        <w:rPr>
          <w:rFonts w:ascii="Arial" w:hAnsi="Arial"/>
          <w:sz w:val="16"/>
        </w:rPr>
        <w:t>478.01  و غیره).</w:t>
      </w:r>
    </w:p>
    <w:p>
      <w:pPr>
        <w:spacing w:after="28" w:line="216" w:lineRule="auto"/>
        <w:ind w:left="259"/>
        <w:jc w:val="left"/>
      </w:pPr>
      <w:r>
        <w:rPr>
          <w:rFonts w:ascii="Arial" w:hAnsi="Arial"/>
          <w:color w:val="525252"/>
          <w:sz w:val="13"/>
        </w:rPr>
        <w:t>etc.).</w:t>
      </w:r>
    </w:p>
    <w:p>
      <w:pPr>
        <w:spacing w:after="20" w:line="223" w:lineRule="auto"/>
        <w:jc w:val="right"/>
        <w:bidi/>
      </w:pPr>
      <w:r>
        <w:rPr>
          <w:rFonts w:ascii="Arial" w:hAnsi="Arial"/>
          <w:sz w:val="16"/>
        </w:rPr>
        <w:t>478.02  سوراخ‌های سوراخ‌کننده به اندازه‌ای بزرگ نیستند که به نور اجازه عبور دهند.</w:t>
      </w:r>
    </w:p>
    <w:p>
      <w:pPr>
        <w:spacing w:after="28" w:line="216" w:lineRule="auto"/>
        <w:ind w:left="259"/>
        <w:jc w:val="left"/>
      </w:pPr>
      <w:r>
        <w:rPr>
          <w:rFonts w:ascii="Arial" w:hAnsi="Arial"/>
          <w:color w:val="525252"/>
          <w:sz w:val="13"/>
        </w:rPr>
        <w:t>Piercing holes will not be large enough to permit light to shine through.</w:t>
      </w:r>
    </w:p>
    <w:p>
      <w:pPr>
        <w:spacing w:after="20" w:line="223" w:lineRule="auto"/>
        <w:jc w:val="right"/>
        <w:bidi/>
      </w:pPr>
      <w:r>
        <w:rPr>
          <w:rFonts w:ascii="Arial" w:hAnsi="Arial"/>
          <w:sz w:val="16"/>
        </w:rPr>
        <w:t>478.03  دستبند.</w:t>
      </w:r>
    </w:p>
    <w:p>
      <w:pPr>
        <w:spacing w:after="28" w:line="216" w:lineRule="auto"/>
        <w:ind w:left="259"/>
        <w:jc w:val="left"/>
      </w:pPr>
      <w:r>
        <w:rPr>
          <w:rFonts w:ascii="Arial" w:hAnsi="Arial"/>
          <w:color w:val="525252"/>
          <w:sz w:val="13"/>
        </w:rPr>
        <w:t>Bracelets.</w:t>
      </w:r>
    </w:p>
    <w:p>
      <w:pPr>
        <w:spacing w:after="20" w:line="223" w:lineRule="auto"/>
        <w:jc w:val="right"/>
        <w:bidi/>
      </w:pPr>
      <w:r>
        <w:rPr>
          <w:rFonts w:ascii="Arial" w:hAnsi="Arial"/>
          <w:sz w:val="16"/>
        </w:rPr>
        <w:t>478.04  هوانوردان ممکن است یک دستبند به دور مچ خود ببندند.</w:t>
      </w:r>
    </w:p>
    <w:p>
      <w:pPr>
        <w:spacing w:after="28" w:line="216" w:lineRule="auto"/>
        <w:ind w:left="259"/>
        <w:jc w:val="left"/>
      </w:pPr>
      <w:r>
        <w:rPr>
          <w:rFonts w:ascii="Arial" w:hAnsi="Arial"/>
          <w:color w:val="525252"/>
          <w:sz w:val="13"/>
        </w:rPr>
        <w:t>Airmen may wear one bracelet around their wrist.</w:t>
      </w:r>
    </w:p>
    <w:p>
      <w:pPr>
        <w:spacing w:after="20" w:line="223" w:lineRule="auto"/>
        <w:jc w:val="right"/>
        <w:bidi/>
      </w:pPr>
      <w:r>
        <w:rPr>
          <w:rFonts w:ascii="Arial" w:hAnsi="Arial"/>
          <w:sz w:val="16"/>
        </w:rPr>
        <w:t>478.05  در صورت پوشیدن، دستبند از نظر طراحی محافظه کارانه خواهد بود، نه بیشتر از ۱/۲ اینچ، به رنگ مشکی، طلایی یا نقره ای، و حاوی تصاویر یا نوشته‌های نامناسب نخواهد بود.</w:t>
      </w:r>
    </w:p>
    <w:p>
      <w:pPr>
        <w:spacing w:after="28" w:line="216" w:lineRule="auto"/>
        <w:ind w:left="259"/>
        <w:jc w:val="left"/>
      </w:pPr>
      <w:r>
        <w:rPr>
          <w:rFonts w:ascii="Arial" w:hAnsi="Arial"/>
          <w:color w:val="525252"/>
          <w:sz w:val="13"/>
        </w:rPr>
        <w:t>If worn, the bracelet will be conservative in design, no wider than 1/2-inch, black, gold or silver in color, and will not contain inappropriate pictures or writing.</w:t>
      </w:r>
    </w:p>
    <w:p>
      <w:pPr>
        <w:spacing w:after="20" w:line="223" w:lineRule="auto"/>
        <w:jc w:val="right"/>
        <w:bidi/>
      </w:pPr>
      <w:r>
        <w:rPr>
          <w:rFonts w:ascii="Arial" w:hAnsi="Arial"/>
          <w:sz w:val="16"/>
        </w:rPr>
        <w:t>478.06  دستبندهای هشدار/شناسایی پزشکی مجاز هستند. در صورت پوشیدن، دستبندهای هشدار/شناسایی پزشکی محافظه کارانه و متوسط ​​خواهند بود.</w:t>
      </w:r>
    </w:p>
    <w:p>
      <w:pPr>
        <w:spacing w:after="28" w:line="216" w:lineRule="auto"/>
        <w:ind w:left="259"/>
        <w:jc w:val="left"/>
      </w:pPr>
      <w:r>
        <w:rPr>
          <w:rFonts w:ascii="Arial" w:hAnsi="Arial"/>
          <w:color w:val="525252"/>
          <w:sz w:val="13"/>
        </w:rPr>
        <w:t>Medical alert/identification bracelets are authorized; if worn, medical alert/identification bracelets will be conservative and moderate.</w:t>
      </w:r>
    </w:p>
    <w:p>
      <w:pPr>
        <w:spacing w:after="20" w:line="223" w:lineRule="auto"/>
        <w:jc w:val="right"/>
        <w:bidi/>
      </w:pPr>
      <w:r>
        <w:rPr>
          <w:rFonts w:ascii="Arial" w:hAnsi="Arial"/>
          <w:sz w:val="16"/>
        </w:rPr>
        <w:t>478.07  سنگ‌های قیمتی/دستبند تنیس را فقط می‌توان با لباس نامرتب پوشید.</w:t>
      </w:r>
    </w:p>
    <w:p>
      <w:pPr>
        <w:spacing w:after="28" w:line="216" w:lineRule="auto"/>
        <w:ind w:left="259"/>
        <w:jc w:val="left"/>
      </w:pPr>
      <w:r>
        <w:rPr>
          <w:rFonts w:ascii="Arial" w:hAnsi="Arial"/>
          <w:color w:val="525252"/>
          <w:sz w:val="13"/>
        </w:rPr>
        <w:t>Gemstones/tennis bracelets may only be worn with the mess dress uniform.</w:t>
      </w:r>
    </w:p>
    <w:p>
      <w:pPr>
        <w:spacing w:after="20" w:line="223" w:lineRule="auto"/>
        <w:jc w:val="right"/>
        <w:bidi/>
      </w:pPr>
      <w:r>
        <w:rPr>
          <w:rFonts w:ascii="Arial" w:hAnsi="Arial"/>
          <w:sz w:val="16"/>
        </w:rPr>
        <w:t>478.08  دستبندهایی که حمایت از هدف، فلسفه، فردی یا گروهی را دارند مجاز نیستند.</w:t>
      </w:r>
    </w:p>
    <w:p>
      <w:pPr>
        <w:spacing w:after="28" w:line="216" w:lineRule="auto"/>
        <w:ind w:left="259"/>
        <w:jc w:val="left"/>
      </w:pPr>
      <w:r>
        <w:rPr>
          <w:rFonts w:ascii="Arial" w:hAnsi="Arial"/>
          <w:color w:val="525252"/>
          <w:sz w:val="13"/>
        </w:rPr>
        <w:t>Bracelets espousing support for cause, philosophy, individual or group are not authorized.</w:t>
      </w:r>
    </w:p>
    <w:p>
      <w:pPr>
        <w:spacing w:after="20" w:line="223" w:lineRule="auto"/>
        <w:jc w:val="right"/>
        <w:bidi/>
      </w:pPr>
      <w:r>
        <w:rPr>
          <w:rFonts w:ascii="Arial" w:hAnsi="Arial"/>
          <w:sz w:val="16"/>
        </w:rPr>
        <w:t>478.09  استثنا: دستبندهای فلزی سنتی POW/MIA/KIA که در رنگ‌هایی علاوه بر نقره، برنز یا طلا وجود دارند، همچنان مجاز هستند.</w:t>
      </w:r>
    </w:p>
    <w:p>
      <w:pPr>
        <w:spacing w:after="28" w:line="216" w:lineRule="auto"/>
        <w:ind w:left="259"/>
        <w:jc w:val="left"/>
      </w:pPr>
      <w:r>
        <w:rPr>
          <w:rFonts w:ascii="Arial" w:hAnsi="Arial"/>
          <w:color w:val="525252"/>
          <w:sz w:val="13"/>
        </w:rPr>
        <w:t>Exception: Traditional metal POW/MIA/KIA bracelets, which come in colors besides silver, bronze, or gold, remain authorized.</w:t>
      </w:r>
    </w:p>
    <w:p>
      <w:pPr>
        <w:spacing w:after="20" w:line="223" w:lineRule="auto"/>
        <w:jc w:val="right"/>
        <w:bidi/>
      </w:pPr>
      <w:r>
        <w:rPr>
          <w:rFonts w:ascii="Arial" w:hAnsi="Arial"/>
          <w:sz w:val="16"/>
        </w:rPr>
        <w:t>478.10  دستبند مچ پا مجاز نیست.</w:t>
      </w:r>
    </w:p>
    <w:p>
      <w:pPr>
        <w:spacing w:after="28" w:line="216" w:lineRule="auto"/>
        <w:ind w:left="259"/>
        <w:jc w:val="left"/>
      </w:pPr>
      <w:r>
        <w:rPr>
          <w:rFonts w:ascii="Arial" w:hAnsi="Arial"/>
          <w:color w:val="525252"/>
          <w:sz w:val="13"/>
        </w:rPr>
        <w:t>Ankle bracelets are not authorized.</w:t>
      </w:r>
    </w:p>
    <w:p>
      <w:pPr>
        <w:spacing w:after="20" w:line="223" w:lineRule="auto"/>
        <w:jc w:val="right"/>
        <w:bidi/>
      </w:pPr>
      <w:r>
        <w:rPr>
          <w:rFonts w:ascii="Arial" w:hAnsi="Arial"/>
          <w:sz w:val="16"/>
        </w:rPr>
        <w:t>478.11  ساعت / ساعت هوشمند.</w:t>
      </w:r>
    </w:p>
    <w:p>
      <w:pPr>
        <w:spacing w:after="28" w:line="216" w:lineRule="auto"/>
        <w:ind w:left="259"/>
        <w:jc w:val="left"/>
      </w:pPr>
      <w:r>
        <w:rPr>
          <w:rFonts w:ascii="Arial" w:hAnsi="Arial"/>
          <w:color w:val="525252"/>
          <w:sz w:val="13"/>
        </w:rPr>
        <w:t>Watches/Smart watches.</w:t>
      </w:r>
    </w:p>
    <w:p>
      <w:pPr>
        <w:spacing w:after="20" w:line="223" w:lineRule="auto"/>
        <w:jc w:val="right"/>
        <w:bidi/>
      </w:pPr>
      <w:r>
        <w:rPr>
          <w:rFonts w:ascii="Arial" w:hAnsi="Arial"/>
          <w:sz w:val="16"/>
        </w:rPr>
        <w:t>478.12  باید محافظه‌کار باشد و فقط می‌توان آن را در حالی که لباس رسمی، PTG یا غیرنظامی به تن دارد، دور مچ بست.</w:t>
      </w:r>
    </w:p>
    <w:p>
      <w:pPr>
        <w:spacing w:after="28" w:line="216" w:lineRule="auto"/>
        <w:ind w:left="259"/>
        <w:jc w:val="left"/>
      </w:pPr>
      <w:r>
        <w:rPr>
          <w:rFonts w:ascii="Arial" w:hAnsi="Arial"/>
          <w:color w:val="525252"/>
          <w:sz w:val="13"/>
        </w:rPr>
        <w:t>Must be conservative and only one can be worn around the wrist while in uniform, PTG, or civilian attire in an official capacity.</w:t>
      </w:r>
    </w:p>
    <w:p>
      <w:pPr>
        <w:spacing w:after="20" w:line="223" w:lineRule="auto"/>
        <w:jc w:val="right"/>
        <w:bidi/>
      </w:pPr>
      <w:r>
        <w:rPr>
          <w:rFonts w:ascii="Arial" w:hAnsi="Arial"/>
          <w:sz w:val="16"/>
        </w:rPr>
        <w:t>478.13  نمونه‌های محافظه‌کار، که همه را شامل نمی‌شود، یک رنگ سیاه، قهوه‌ای، نقره‌ای یا طلایی است.</w:t>
      </w:r>
    </w:p>
    <w:p>
      <w:pPr>
        <w:spacing w:after="28" w:line="216" w:lineRule="auto"/>
        <w:ind w:left="259"/>
        <w:jc w:val="left"/>
      </w:pPr>
      <w:r>
        <w:rPr>
          <w:rFonts w:ascii="Arial" w:hAnsi="Arial"/>
          <w:color w:val="525252"/>
          <w:sz w:val="13"/>
        </w:rPr>
        <w:t>Conservative examples, not all inclusive, are solid color black, brown, silver or gold.</w:t>
      </w:r>
    </w:p>
    <w:p>
      <w:pPr>
        <w:spacing w:after="20" w:line="223" w:lineRule="auto"/>
        <w:jc w:val="right"/>
        <w:bidi/>
      </w:pPr>
      <w:r>
        <w:rPr>
          <w:rFonts w:ascii="Arial" w:hAnsi="Arial"/>
          <w:sz w:val="16"/>
        </w:rPr>
        <w:t>478.14  نمونه‌های ممنوعه شامل رنگ‌های با پوشش الماس، نئون، رنگ‌های روشن و نوارهایی با عرض بیش از ۱ اینچ است.</w:t>
      </w:r>
    </w:p>
    <w:p>
      <w:pPr>
        <w:spacing w:after="28" w:line="216" w:lineRule="auto"/>
        <w:ind w:left="259"/>
        <w:jc w:val="left"/>
      </w:pPr>
      <w:r>
        <w:rPr>
          <w:rFonts w:ascii="Arial" w:hAnsi="Arial"/>
          <w:color w:val="525252"/>
          <w:sz w:val="13"/>
        </w:rPr>
        <w:t>Prohibited examples include diamond-covered, neon, bright colors, and bands that exceed 1-inch width.</w:t>
      </w:r>
    </w:p>
    <w:p>
      <w:pPr>
        <w:spacing w:after="20" w:line="223" w:lineRule="auto"/>
        <w:jc w:val="right"/>
        <w:bidi/>
      </w:pPr>
      <w:r>
        <w:rPr>
          <w:rFonts w:ascii="Arial" w:hAnsi="Arial"/>
          <w:sz w:val="16"/>
        </w:rPr>
        <w:t>478.15  استثنا: برای ساعت‌های هوشمند یا ردیاب‌های تناسب اندام - رنگ و پهنای نوار (ممکن است تا ۱ ۱/۲ اینچ در وسایل تمرین بدنی باشد) محدودیت‌ها هنگام پوشیدن با وسایل تمرین بدنی اعمال نمی‌شود.</w:t>
      </w:r>
    </w:p>
    <w:p>
      <w:pPr>
        <w:spacing w:after="28" w:line="216" w:lineRule="auto"/>
        <w:ind w:left="259"/>
        <w:jc w:val="left"/>
      </w:pPr>
      <w:r>
        <w:rPr>
          <w:rFonts w:ascii="Arial" w:hAnsi="Arial"/>
          <w:color w:val="525252"/>
          <w:sz w:val="13"/>
        </w:rPr>
        <w:t>Exception: For smart watches or fitness trackers - color and band width (may be up to 1 1/2-inch width in physical training gear) restrictions do not apply when worn with physical training gear.</w:t>
      </w:r>
    </w:p>
    <w:p>
      <w:pPr>
        <w:spacing w:after="20" w:line="223" w:lineRule="auto"/>
        <w:jc w:val="right"/>
        <w:bidi/>
      </w:pPr>
      <w:r>
        <w:rPr>
          <w:rFonts w:ascii="Arial" w:hAnsi="Arial"/>
          <w:sz w:val="16"/>
        </w:rPr>
        <w:t>478.16  حلقه‌ها.</w:t>
      </w:r>
    </w:p>
    <w:p>
      <w:pPr>
        <w:spacing w:after="28" w:line="216" w:lineRule="auto"/>
        <w:ind w:left="259"/>
        <w:jc w:val="left"/>
      </w:pPr>
      <w:r>
        <w:rPr>
          <w:rFonts w:ascii="Arial" w:hAnsi="Arial"/>
          <w:color w:val="525252"/>
          <w:sz w:val="13"/>
        </w:rPr>
        <w:t>Rings.</w:t>
      </w:r>
    </w:p>
    <w:p>
      <w:pPr>
        <w:spacing w:after="20" w:line="223" w:lineRule="auto"/>
        <w:jc w:val="right"/>
        <w:bidi/>
      </w:pPr>
      <w:r>
        <w:rPr>
          <w:rFonts w:ascii="Arial" w:hAnsi="Arial"/>
          <w:sz w:val="16"/>
        </w:rPr>
        <w:t>478.17  اعضای سرویس نمی‌توانند در مجموع بیش از سه حلقه بپوشند. ست‌های عروسی وقتی به‌عنوان ست پوشیده می‌شوند به‌عنوان یک حلقه به حساب می‌آیند.</w:t>
      </w:r>
    </w:p>
    <w:p>
      <w:pPr>
        <w:spacing w:after="28" w:line="216" w:lineRule="auto"/>
        <w:ind w:left="259"/>
        <w:jc w:val="left"/>
      </w:pPr>
      <w:r>
        <w:rPr>
          <w:rFonts w:ascii="Arial" w:hAnsi="Arial"/>
          <w:color w:val="525252"/>
          <w:sz w:val="13"/>
        </w:rPr>
        <w:t>Service members may wear a total of no more than three rings; wedding sets count as one ring when worn as a set.</w:t>
      </w:r>
    </w:p>
    <w:p>
      <w:pPr>
        <w:spacing w:after="20" w:line="223" w:lineRule="auto"/>
        <w:jc w:val="right"/>
        <w:bidi/>
      </w:pPr>
      <w:r>
        <w:rPr>
          <w:rFonts w:ascii="Arial" w:hAnsi="Arial"/>
          <w:sz w:val="16"/>
        </w:rPr>
        <w:t>478.18  حلقه‌ها در پایه انگشت قرار می‌گیرند و ممکن است روی انگشت شست نیز استفاده شوند.</w:t>
      </w:r>
    </w:p>
    <w:p>
      <w:pPr>
        <w:spacing w:after="28" w:line="216" w:lineRule="auto"/>
        <w:ind w:left="259"/>
        <w:jc w:val="left"/>
      </w:pPr>
      <w:r>
        <w:rPr>
          <w:rFonts w:ascii="Arial" w:hAnsi="Arial"/>
          <w:color w:val="525252"/>
          <w:sz w:val="13"/>
        </w:rPr>
        <w:t>Rings will be worn at the base of the finger and may be worn on the thumb.</w:t>
      </w:r>
    </w:p>
    <w:p>
      <w:pPr>
        <w:spacing w:after="20" w:line="223" w:lineRule="auto"/>
        <w:jc w:val="right"/>
        <w:bidi/>
      </w:pPr>
      <w:r>
        <w:rPr>
          <w:rFonts w:ascii="Arial" w:hAnsi="Arial"/>
          <w:sz w:val="16"/>
        </w:rPr>
        <w:t>478.19  گردنبند.</w:t>
      </w:r>
    </w:p>
    <w:p>
      <w:pPr>
        <w:spacing w:after="28" w:line="216" w:lineRule="auto"/>
        <w:ind w:left="259"/>
        <w:jc w:val="left"/>
      </w:pPr>
      <w:r>
        <w:rPr>
          <w:rFonts w:ascii="Arial" w:hAnsi="Arial"/>
          <w:color w:val="525252"/>
          <w:sz w:val="13"/>
        </w:rPr>
        <w:t>Necklaces.</w:t>
      </w:r>
    </w:p>
    <w:p>
      <w:pPr>
        <w:spacing w:after="20" w:line="223" w:lineRule="auto"/>
        <w:jc w:val="right"/>
        <w:bidi/>
      </w:pPr>
      <w:r>
        <w:rPr>
          <w:rFonts w:ascii="Arial" w:hAnsi="Arial"/>
          <w:sz w:val="16"/>
        </w:rPr>
        <w:t>478.20  در هیچ زمانی قابل مشاهده نخواهد بود.</w:t>
      </w:r>
    </w:p>
    <w:p>
      <w:pPr>
        <w:spacing w:after="28" w:line="216" w:lineRule="auto"/>
        <w:ind w:left="259"/>
        <w:jc w:val="left"/>
      </w:pPr>
      <w:r>
        <w:rPr>
          <w:rFonts w:ascii="Arial" w:hAnsi="Arial"/>
          <w:color w:val="525252"/>
          <w:sz w:val="13"/>
        </w:rPr>
        <w:t>Will not be visible at any time.</w:t>
      </w:r>
    </w:p>
    <w:p>
      <w:pPr>
        <w:spacing w:after="20" w:line="223" w:lineRule="auto"/>
        <w:jc w:val="right"/>
        <w:bidi/>
      </w:pPr>
      <w:r>
        <w:rPr>
          <w:rFonts w:ascii="Arial" w:hAnsi="Arial"/>
          <w:sz w:val="16"/>
        </w:rPr>
        <w:t>478.21  در صورت پوشیدن، زیر یقه یا زیر پیراهن پنهان می‌شود.</w:t>
      </w:r>
    </w:p>
    <w:p>
      <w:pPr>
        <w:spacing w:after="28" w:line="216" w:lineRule="auto"/>
        <w:ind w:left="259"/>
        <w:jc w:val="left"/>
      </w:pPr>
      <w:r>
        <w:rPr>
          <w:rFonts w:ascii="Arial" w:hAnsi="Arial"/>
          <w:color w:val="525252"/>
          <w:sz w:val="13"/>
        </w:rPr>
        <w:t>If worn, will be concealed under a collar or undershirt.</w:t>
      </w:r>
    </w:p>
    <w:p>
      <w:pPr>
        <w:spacing w:after="20" w:line="223" w:lineRule="auto"/>
        <w:jc w:val="right"/>
        <w:bidi/>
      </w:pPr>
      <w:r>
        <w:rPr>
          <w:rFonts w:ascii="Arial" w:hAnsi="Arial"/>
          <w:sz w:val="16"/>
        </w:rPr>
        <w:t>478.22  عینک/عینک آفتابی.</w:t>
      </w:r>
    </w:p>
    <w:p>
      <w:pPr>
        <w:spacing w:after="28" w:line="216" w:lineRule="auto"/>
        <w:ind w:left="259"/>
        <w:jc w:val="left"/>
      </w:pPr>
      <w:r>
        <w:rPr>
          <w:rFonts w:ascii="Arial" w:hAnsi="Arial"/>
          <w:color w:val="525252"/>
          <w:sz w:val="13"/>
        </w:rPr>
        <w:t>Eyeglasses/Sunglasses.</w:t>
      </w:r>
    </w:p>
    <w:p>
      <w:pPr>
        <w:spacing w:after="20" w:line="223" w:lineRule="auto"/>
        <w:jc w:val="right"/>
        <w:bidi/>
      </w:pPr>
      <w:r>
        <w:rPr>
          <w:rFonts w:ascii="Arial" w:hAnsi="Arial"/>
          <w:sz w:val="16"/>
        </w:rPr>
        <w:t>478.23  عینک‌ها و عینک‌های آفتابی در اطراف گردن یا بالای سر/پشت سر و یا آویزان کردن روی یونیفرم استفاده نمی‌شوند.</w:t>
      </w:r>
    </w:p>
    <w:p>
      <w:pPr>
        <w:spacing w:after="28" w:line="216" w:lineRule="auto"/>
        <w:ind w:left="259"/>
        <w:jc w:val="left"/>
      </w:pPr>
      <w:r>
        <w:rPr>
          <w:rFonts w:ascii="Arial" w:hAnsi="Arial"/>
          <w:color w:val="525252"/>
          <w:sz w:val="13"/>
        </w:rPr>
        <w:t>Eyeglasses and sunglasses will not be worn around the neck or on top/back of head or exposed hanging on the uniform.</w:t>
      </w:r>
    </w:p>
    <w:p>
      <w:pPr>
        <w:spacing w:after="20" w:line="223" w:lineRule="auto"/>
        <w:jc w:val="right"/>
        <w:bidi/>
      </w:pPr>
      <w:r>
        <w:rPr>
          <w:rFonts w:ascii="Arial" w:hAnsi="Arial"/>
          <w:sz w:val="16"/>
        </w:rPr>
        <w:t>478.24  عینک‌ها و عینک‌های آفتابی ممکن است دارای تزئینات محافظه‌کارانه روی عینک‌های آفتابی یا عینک‌های بدون نسخه باشند، فریم‌ها یک رنگ محافظه‌کارانه خواهند بود: سیاه، قهوه‌ای، سفید، آبی تیره، خاکستری یا مواد شفاف، یا سیم طلایی یا نقره‌ای.</w:t>
      </w:r>
    </w:p>
    <w:p>
      <w:pPr>
        <w:spacing w:after="28" w:line="216" w:lineRule="auto"/>
        <w:ind w:left="259"/>
        <w:jc w:val="left"/>
      </w:pPr>
      <w:r>
        <w:rPr>
          <w:rFonts w:ascii="Arial" w:hAnsi="Arial"/>
          <w:color w:val="525252"/>
          <w:sz w:val="13"/>
        </w:rPr>
        <w:t>Eyeglasses and sunglasses may have conservative ornamentation on non-prescription sunglasses or eyeglasses, frames will be a conservative color: black, brown, white, dark blue, gray, or transparent material, or gold or silver wire.</w:t>
      </w:r>
    </w:p>
    <w:p>
      <w:pPr>
        <w:spacing w:after="20" w:line="223" w:lineRule="auto"/>
        <w:jc w:val="right"/>
        <w:bidi/>
      </w:pPr>
      <w:r>
        <w:rPr>
          <w:rFonts w:ascii="Arial" w:hAnsi="Arial"/>
          <w:sz w:val="16"/>
        </w:rPr>
        <w:t>478.25  عینک با نام تجاری ممکن است با آرم کوچک روی قاب یا لنز استفاده شود.</w:t>
      </w:r>
    </w:p>
    <w:p>
      <w:pPr>
        <w:spacing w:after="28" w:line="216" w:lineRule="auto"/>
        <w:ind w:left="259"/>
        <w:jc w:val="left"/>
      </w:pPr>
      <w:r>
        <w:rPr>
          <w:rFonts w:ascii="Arial" w:hAnsi="Arial"/>
          <w:color w:val="525252"/>
          <w:sz w:val="13"/>
        </w:rPr>
        <w:t>Brand name glasses may be worn with small logo on frames or lenses.</w:t>
      </w:r>
    </w:p>
    <w:p>
      <w:pPr>
        <w:spacing w:after="20" w:line="223" w:lineRule="auto"/>
        <w:jc w:val="right"/>
        <w:bidi/>
      </w:pPr>
      <w:r>
        <w:rPr>
          <w:rFonts w:ascii="Arial" w:hAnsi="Arial"/>
          <w:sz w:val="16"/>
        </w:rPr>
        <w:t>478.26  نشان‌واره ممکن است با رنگ قاب یا لنزهایی در رنگ‌های محافظه‌کار مانند مشکی، قهوه‌ای، نقره‌ای مات/طلایی تضاد داشته باشد.</w:t>
      </w:r>
    </w:p>
    <w:p>
      <w:pPr>
        <w:spacing w:after="28" w:line="216" w:lineRule="auto"/>
        <w:ind w:left="259"/>
        <w:jc w:val="left"/>
      </w:pPr>
      <w:r>
        <w:rPr>
          <w:rFonts w:ascii="Arial" w:hAnsi="Arial"/>
          <w:color w:val="525252"/>
          <w:sz w:val="13"/>
        </w:rPr>
        <w:t>Logo may contrast with frame color or lenses in conservative colors such as black, brown, matte silver/gold).</w:t>
      </w:r>
    </w:p>
    <w:p>
      <w:pPr>
        <w:spacing w:after="20" w:line="223" w:lineRule="auto"/>
        <w:jc w:val="right"/>
        <w:bidi/>
      </w:pPr>
      <w:r>
        <w:rPr>
          <w:rFonts w:ascii="Arial" w:hAnsi="Arial"/>
          <w:sz w:val="16"/>
        </w:rPr>
        <w:t>478.27  ممکن است از عینک آفتابی محافظه کار استفاده شود.</w:t>
      </w:r>
    </w:p>
    <w:p>
      <w:pPr>
        <w:spacing w:after="28" w:line="216" w:lineRule="auto"/>
        <w:ind w:left="259"/>
        <w:jc w:val="left"/>
      </w:pPr>
      <w:r>
        <w:rPr>
          <w:rFonts w:ascii="Arial" w:hAnsi="Arial"/>
          <w:color w:val="525252"/>
          <w:sz w:val="13"/>
        </w:rPr>
        <w:t>Conservative wrap-around sunglasses may be worn.</w:t>
      </w:r>
    </w:p>
    <w:p>
      <w:pPr>
        <w:spacing w:after="20" w:line="223" w:lineRule="auto"/>
        <w:jc w:val="right"/>
        <w:bidi/>
      </w:pPr>
      <w:r>
        <w:rPr>
          <w:rFonts w:ascii="Arial" w:hAnsi="Arial"/>
          <w:sz w:val="16"/>
        </w:rPr>
        <w:t>478.28  لنزهای محافظه کار، شفاف، کمی رنگی، آینه‌ای یا حساس به نور مجاز هستند.</w:t>
      </w:r>
    </w:p>
    <w:p>
      <w:pPr>
        <w:spacing w:after="28" w:line="216" w:lineRule="auto"/>
        <w:ind w:left="259"/>
        <w:jc w:val="left"/>
      </w:pPr>
      <w:r>
        <w:rPr>
          <w:rFonts w:ascii="Arial" w:hAnsi="Arial"/>
          <w:color w:val="525252"/>
          <w:sz w:val="13"/>
        </w:rPr>
        <w:t>Conservative, clear, slightly tinted, mirrored, or photosensitive lenses are authorized.</w:t>
      </w:r>
    </w:p>
    <w:p>
      <w:pPr>
        <w:spacing w:after="20" w:line="223" w:lineRule="auto"/>
        <w:jc w:val="right"/>
        <w:bidi/>
      </w:pPr>
      <w:r>
        <w:rPr>
          <w:rFonts w:ascii="Arial" w:hAnsi="Arial"/>
          <w:sz w:val="16"/>
        </w:rPr>
        <w:t>478.29  عینک‌های آفتابی، شامل لنزهای حساس به نور تیره، مجاز به تشکیل نیستند.</w:t>
      </w:r>
    </w:p>
    <w:p>
      <w:pPr>
        <w:spacing w:after="28" w:line="216" w:lineRule="auto"/>
        <w:ind w:left="259"/>
        <w:jc w:val="left"/>
      </w:pPr>
      <w:r>
        <w:rPr>
          <w:rFonts w:ascii="Arial" w:hAnsi="Arial"/>
          <w:color w:val="525252"/>
          <w:sz w:val="13"/>
        </w:rPr>
        <w:t>Sunglasses, to include darkened photosensitive lenses, are not authorized in formation.</w:t>
      </w:r>
    </w:p>
    <w:p>
      <w:pPr>
        <w:spacing w:after="20" w:line="223" w:lineRule="auto"/>
        <w:jc w:val="right"/>
        <w:bidi/>
      </w:pPr>
      <w:r>
        <w:rPr>
          <w:rFonts w:ascii="Arial" w:hAnsi="Arial"/>
          <w:sz w:val="16"/>
        </w:rPr>
        <w:t>478.30  استثنا: عینک آفتابی به دلایل پزشکی مانند جراحی پی آر کی/ لیزیک و زمانی که توسط یک فرمانده یا فرمانده به توصیه یک مقام پزشکی مجاز باشد مجاز است.</w:t>
      </w:r>
    </w:p>
    <w:p>
      <w:pPr>
        <w:spacing w:after="28" w:line="216" w:lineRule="auto"/>
        <w:ind w:left="259"/>
        <w:jc w:val="left"/>
      </w:pPr>
      <w:r>
        <w:rPr>
          <w:rFonts w:ascii="Arial" w:hAnsi="Arial"/>
          <w:color w:val="525252"/>
          <w:sz w:val="13"/>
        </w:rPr>
        <w:t>Exception: Sunglasses are authorized for medical reasons such as PRK/Lasik surgery and when authorized by a commander or commandant on the advice of a medical official.</w:t>
      </w:r>
    </w:p>
    <w:p>
      <w:pPr>
        <w:spacing w:after="20" w:line="223" w:lineRule="auto"/>
        <w:jc w:val="right"/>
        <w:bidi/>
      </w:pPr>
      <w:r>
        <w:rPr>
          <w:rFonts w:ascii="Arial" w:hAnsi="Arial"/>
          <w:sz w:val="16"/>
        </w:rPr>
        <w:t>478.31  لنزهای تماسی.</w:t>
      </w:r>
    </w:p>
    <w:p>
      <w:pPr>
        <w:spacing w:after="28" w:line="216" w:lineRule="auto"/>
        <w:ind w:left="259"/>
        <w:jc w:val="left"/>
      </w:pPr>
      <w:r>
        <w:rPr>
          <w:rFonts w:ascii="Arial" w:hAnsi="Arial"/>
          <w:color w:val="525252"/>
          <w:sz w:val="13"/>
        </w:rPr>
        <w:t>Contact Lenses.</w:t>
      </w:r>
    </w:p>
    <w:p>
      <w:pPr>
        <w:spacing w:after="20" w:line="223" w:lineRule="auto"/>
        <w:jc w:val="right"/>
        <w:bidi/>
      </w:pPr>
      <w:r>
        <w:rPr>
          <w:rFonts w:ascii="Arial" w:hAnsi="Arial"/>
          <w:sz w:val="16"/>
        </w:rPr>
        <w:t>478.32  لنزهای تماسی از نظر شکل و طراحی طبیعی به نظر می‌رسند.</w:t>
      </w:r>
    </w:p>
    <w:p>
      <w:pPr>
        <w:spacing w:after="28" w:line="216" w:lineRule="auto"/>
        <w:ind w:left="259"/>
        <w:jc w:val="left"/>
      </w:pPr>
      <w:r>
        <w:rPr>
          <w:rFonts w:ascii="Arial" w:hAnsi="Arial"/>
          <w:color w:val="525252"/>
          <w:sz w:val="13"/>
        </w:rPr>
        <w:t>Contact lenses will be natural looking in shape and design.</w:t>
      </w:r>
    </w:p>
    <w:p>
      <w:pPr>
        <w:spacing w:after="20" w:line="223" w:lineRule="auto"/>
        <w:jc w:val="right"/>
        <w:bidi/>
      </w:pPr>
      <w:r>
        <w:rPr>
          <w:rFonts w:ascii="Arial" w:hAnsi="Arial"/>
          <w:sz w:val="16"/>
        </w:rPr>
        <w:t>478.33  رنگ آنها شفاف خواهد بود و رنگ چشم طبیعی اعضا را تغییر نمی‌دهد.</w:t>
      </w:r>
    </w:p>
    <w:p>
      <w:pPr>
        <w:spacing w:after="28" w:line="216" w:lineRule="auto"/>
        <w:ind w:left="259"/>
        <w:jc w:val="left"/>
      </w:pPr>
      <w:r>
        <w:rPr>
          <w:rFonts w:ascii="Arial" w:hAnsi="Arial"/>
          <w:color w:val="525252"/>
          <w:sz w:val="13"/>
        </w:rPr>
        <w:t>They will be clear in color and not change the color of the member’s natural eye color.</w:t>
      </w:r>
    </w:p>
    <w:p>
      <w:pPr>
        <w:spacing w:after="20" w:line="223" w:lineRule="auto"/>
        <w:jc w:val="right"/>
        <w:bidi/>
      </w:pPr>
      <w:r>
        <w:rPr>
          <w:rFonts w:ascii="Arial" w:hAnsi="Arial"/>
          <w:sz w:val="16"/>
        </w:rPr>
        <w:t>478.34  دستگاه‌های الکترونیکی.</w:t>
      </w:r>
    </w:p>
    <w:p>
      <w:pPr>
        <w:spacing w:after="28" w:line="216" w:lineRule="auto"/>
        <w:ind w:left="259"/>
        <w:jc w:val="left"/>
      </w:pPr>
      <w:r>
        <w:rPr>
          <w:rFonts w:ascii="Arial" w:hAnsi="Arial"/>
          <w:color w:val="525252"/>
          <w:sz w:val="13"/>
        </w:rPr>
        <w:t>Electronic Devices.</w:t>
      </w:r>
    </w:p>
    <w:p>
      <w:pPr>
        <w:spacing w:after="20" w:line="223" w:lineRule="auto"/>
        <w:jc w:val="right"/>
        <w:bidi/>
      </w:pPr>
      <w:r>
        <w:rPr>
          <w:rFonts w:ascii="Arial" w:hAnsi="Arial"/>
          <w:sz w:val="16"/>
        </w:rPr>
        <w:t>478.35  دستگاه‌های الکترونیکی تجهیزات الکترونیکی کوچکی مانند تلفن‌های همراه شخصی یا رسمی، دستگاه‌های هندزفری، فیتبیتس™ و سایر ردیاب‌های تناسب اندام کوچک و محافظه کارانه هستند.</w:t>
      </w:r>
    </w:p>
    <w:p>
      <w:pPr>
        <w:spacing w:after="28" w:line="216" w:lineRule="auto"/>
        <w:ind w:left="259"/>
        <w:jc w:val="left"/>
      </w:pPr>
      <w:r>
        <w:rPr>
          <w:rFonts w:ascii="Arial" w:hAnsi="Arial"/>
          <w:color w:val="525252"/>
          <w:sz w:val="13"/>
        </w:rPr>
        <w:t>Electronic devices are small electronic equipment such as personal or official cellular phones, hands-free devices, Fitbits™ and other small, conservative size fitness trackers.</w:t>
      </w:r>
    </w:p>
    <w:p>
      <w:pPr>
        <w:spacing w:after="20" w:line="223" w:lineRule="auto"/>
        <w:jc w:val="right"/>
        <w:bidi/>
      </w:pPr>
      <w:r>
        <w:rPr>
          <w:rFonts w:ascii="Arial" w:hAnsi="Arial"/>
          <w:sz w:val="16"/>
        </w:rPr>
        <w:t>478.36  یک دستگاه الکترونیکی دستی ممکن است از هر دو طرف به کمربند/کمر متصل شود یا به کیف پول بسته شود.</w:t>
      </w:r>
    </w:p>
    <w:p>
      <w:pPr>
        <w:spacing w:after="28" w:line="216" w:lineRule="auto"/>
        <w:ind w:left="259"/>
        <w:jc w:val="left"/>
      </w:pPr>
      <w:r>
        <w:rPr>
          <w:rFonts w:ascii="Arial" w:hAnsi="Arial"/>
          <w:color w:val="525252"/>
          <w:sz w:val="13"/>
        </w:rPr>
        <w:t>One handheld electronic device may be attached to a belt/waistband on either side or clipped to a purse.</w:t>
      </w:r>
    </w:p>
    <w:p>
      <w:pPr>
        <w:spacing w:after="20" w:line="223" w:lineRule="auto"/>
        <w:jc w:val="right"/>
        <w:bidi/>
      </w:pPr>
      <w:r>
        <w:rPr>
          <w:rFonts w:ascii="Arial" w:hAnsi="Arial"/>
          <w:sz w:val="16"/>
        </w:rPr>
        <w:t>478.37  دستگاه‌های الکترونیکی دستی، اگر روی کمربند/بند کمر بسته شوند یا به کیف پول بسته شوند، مشکی، نقره‌ای، آبی تیره یا خاکستری خواهند بود.</w:t>
      </w:r>
    </w:p>
    <w:p>
      <w:pPr>
        <w:spacing w:after="28" w:line="216" w:lineRule="auto"/>
        <w:ind w:left="259"/>
        <w:jc w:val="left"/>
      </w:pPr>
      <w:r>
        <w:rPr>
          <w:rFonts w:ascii="Arial" w:hAnsi="Arial"/>
          <w:color w:val="525252"/>
          <w:sz w:val="13"/>
        </w:rPr>
        <w:t>Handheld electronic devices, if worn on the belt/waistband or clipped to a purse, will be plain black, silver, dark blue, or gray.</w:t>
      </w:r>
    </w:p>
    <w:p>
      <w:pPr>
        <w:spacing w:after="20" w:line="223" w:lineRule="auto"/>
        <w:jc w:val="right"/>
        <w:bidi/>
      </w:pPr>
      <w:r>
        <w:rPr>
          <w:rFonts w:ascii="Arial" w:hAnsi="Arial"/>
          <w:sz w:val="16"/>
        </w:rPr>
        <w:t>478.38  هولستر و سایر وسایل ذخیره‌سازی مورد استفاده برای اتصال دستگاه‌های الکترونیکی دستی به یونیفرم یا کیف، مشکی، نقره‌ای، آبی تیره یا خاکستری خواهند بود.</w:t>
      </w:r>
    </w:p>
    <w:p>
      <w:pPr>
        <w:spacing w:after="28" w:line="216" w:lineRule="auto"/>
        <w:ind w:left="259"/>
        <w:jc w:val="left"/>
      </w:pPr>
      <w:r>
        <w:rPr>
          <w:rFonts w:ascii="Arial" w:hAnsi="Arial"/>
          <w:color w:val="525252"/>
          <w:sz w:val="13"/>
        </w:rPr>
        <w:t>Holster and other storage devices used to attach handheld electronic devices to the uniform or purse will be plain black, silver, dark blue, or gray.</w:t>
      </w:r>
    </w:p>
    <w:p>
      <w:pPr>
        <w:spacing w:after="20" w:line="223" w:lineRule="auto"/>
        <w:jc w:val="right"/>
        <w:bidi/>
      </w:pPr>
      <w:r>
        <w:rPr>
          <w:rFonts w:ascii="Arial" w:hAnsi="Arial"/>
          <w:sz w:val="16"/>
        </w:rPr>
        <w:t>478.39  دستگاه‌های الکترونیکی دستی که روی کمربند/کمر پوشیده نمی‌شوند یا روی کیف قیچی نمی‌شوند، می‌توانند هر رنگی داشته باشند.</w:t>
      </w:r>
    </w:p>
    <w:p>
      <w:pPr>
        <w:spacing w:after="28" w:line="216" w:lineRule="auto"/>
        <w:ind w:left="259"/>
        <w:jc w:val="left"/>
      </w:pPr>
      <w:r>
        <w:rPr>
          <w:rFonts w:ascii="Arial" w:hAnsi="Arial"/>
          <w:color w:val="525252"/>
          <w:sz w:val="13"/>
        </w:rPr>
        <w:t>Handheld electronic devices not worn on the belt/waistband or clipped to a purse can be any color.</w:t>
      </w:r>
    </w:p>
    <w:p>
      <w:pPr>
        <w:spacing w:after="20" w:line="223" w:lineRule="auto"/>
        <w:jc w:val="right"/>
        <w:bidi/>
      </w:pPr>
      <w:r>
        <w:rPr>
          <w:rFonts w:ascii="Arial" w:hAnsi="Arial"/>
          <w:sz w:val="16"/>
        </w:rPr>
        <w:t>478.40  استفاده از گام شمار‌ها در حالی که لباس فرم هستند روی چکمه‌ها یا کفش‌ها مجاز است، اما باید به رنگ آبی تیره یا سیاه باشد و بدون تداخل با محل کار یا ایجاد خطر ایمنی به آن متصل شود.</w:t>
      </w:r>
    </w:p>
    <w:p>
      <w:pPr>
        <w:spacing w:after="28" w:line="216" w:lineRule="auto"/>
        <w:ind w:left="259"/>
        <w:jc w:val="left"/>
      </w:pPr>
      <w:r>
        <w:rPr>
          <w:rFonts w:ascii="Arial" w:hAnsi="Arial"/>
          <w:color w:val="525252"/>
          <w:sz w:val="13"/>
        </w:rPr>
        <w:t>Pedometers are allowed to be worn on boots or shoes while in uniform but must be dark blue or black in color and attach without interfering with the work area or causing a safety hazard.</w:t>
      </w:r>
    </w:p>
    <w:p>
      <w:pPr>
        <w:spacing w:after="20" w:line="223" w:lineRule="auto"/>
        <w:jc w:val="right"/>
        <w:bidi/>
      </w:pPr>
      <w:r>
        <w:rPr>
          <w:rFonts w:ascii="Arial" w:hAnsi="Arial"/>
          <w:sz w:val="16"/>
        </w:rPr>
        <w:t>478.41  پوشیدن و استفاده از گوشی، هر فن‌آوری بی‌سیم بلوتوت® یا هدفون، در حالی که یونیفرم، در داخل یا خارج از منزل به تن دارید، برای انجام وظایف رسمی یا طبق تعیین فرماندهان نصب مجاز است که کمتر از فرماندهان اسکادران قابل واگذاری نیست.</w:t>
      </w:r>
    </w:p>
    <w:p>
      <w:pPr>
        <w:spacing w:after="28" w:line="216" w:lineRule="auto"/>
        <w:ind w:left="259"/>
        <w:jc w:val="left"/>
      </w:pPr>
      <w:r>
        <w:rPr>
          <w:rFonts w:ascii="Arial" w:hAnsi="Arial"/>
          <w:color w:val="525252"/>
          <w:sz w:val="13"/>
        </w:rPr>
        <w:t>Wear and use of an earpiece, any Bluetooth® wireless technology, or headphones, while in uniform, indoors or outdoors, is authorized for official duties or as determined by Installation Commanders, delegable no lower than squadron commanders.</w:t>
      </w:r>
    </w:p>
    <w:p>
      <w:pPr>
        <w:spacing w:after="20" w:line="223" w:lineRule="auto"/>
        <w:jc w:val="right"/>
        <w:bidi/>
      </w:pPr>
      <w:r>
        <w:rPr>
          <w:rFonts w:ascii="Arial" w:hAnsi="Arial"/>
          <w:sz w:val="16"/>
        </w:rPr>
        <w:t>478.42  استثنا: هدفون و هدفون در طول سفر در وسایل حمل و نقل عمومی (به‌عنوان مثال، اتوبوس، قطار یا مسافرت هوایی) و/یا هنگام استفاده از PTG در حین PT انفرادی یا شخصی در مرکز تناسب اندام یا در مناطق دویدن تعیین شده مجاز هستند، مگر اینکه توسط فرمانده نصب ممنوع شده باشد.</w:t>
      </w:r>
    </w:p>
    <w:p>
      <w:pPr>
        <w:spacing w:after="28" w:line="216" w:lineRule="auto"/>
        <w:ind w:left="259"/>
        <w:jc w:val="left"/>
      </w:pPr>
      <w:r>
        <w:rPr>
          <w:rFonts w:ascii="Arial" w:hAnsi="Arial"/>
          <w:color w:val="525252"/>
          <w:sz w:val="13"/>
        </w:rPr>
        <w:t>Exception: Headphones and earphones are authorized during travel on public transportation (i.e., bus, train, or air travel) and/or while wearing the PTG during individual or personal PT in the fitness center or on designated running areas unless prohibited by the Installation Commander.</w:t>
      </w:r>
    </w:p>
    <w:p>
      <w:pPr>
        <w:spacing w:after="20" w:line="223" w:lineRule="auto"/>
        <w:jc w:val="right"/>
        <w:bidi/>
      </w:pPr>
      <w:r>
        <w:rPr>
          <w:rFonts w:ascii="Arial" w:hAnsi="Arial"/>
          <w:sz w:val="16"/>
        </w:rPr>
        <w:t>478.43  استفاده از هندزفری</w:t>
      </w:r>
    </w:p>
    <w:p>
      <w:pPr>
        <w:spacing w:after="28" w:line="216" w:lineRule="auto"/>
        <w:ind w:left="259"/>
        <w:jc w:val="left"/>
      </w:pPr>
      <w:r>
        <w:rPr>
          <w:rFonts w:ascii="Arial" w:hAnsi="Arial"/>
          <w:color w:val="525252"/>
          <w:sz w:val="13"/>
        </w:rPr>
        <w:t>Use of a hands-free</w:t>
      </w:r>
    </w:p>
    <w:p>
      <w:r>
        <w:br w:type="page"/>
      </w:r>
    </w:p>
    <w:p>
      <w:pPr>
        <w:spacing w:after="60"/>
        <w:jc w:val="right"/>
        <w:bidi/>
      </w:pPr>
      <w:r>
        <w:rPr>
          <w:rFonts w:ascii="Arial" w:hAnsi="Arial"/>
          <w:b/>
          <w:color w:val="1F4D78"/>
          <w:sz w:val="19"/>
        </w:rPr>
        <w:t>هفتهٔ 479  |  صفحهٔ منبع: 495</w:t>
      </w:r>
    </w:p>
    <w:p>
      <w:pPr>
        <w:spacing w:after="20" w:line="223" w:lineRule="auto"/>
        <w:jc w:val="right"/>
        <w:bidi/>
      </w:pPr>
      <w:r>
        <w:rPr>
          <w:rFonts w:ascii="Arial" w:hAnsi="Arial"/>
          <w:sz w:val="16"/>
        </w:rPr>
        <w:t>479.01  مجاز است در حالی که در لباس یک وسیله نقلیه موتوری کار می‌کند.</w:t>
      </w:r>
    </w:p>
    <w:p>
      <w:pPr>
        <w:spacing w:after="28" w:line="216" w:lineRule="auto"/>
        <w:ind w:left="259"/>
        <w:jc w:val="left"/>
      </w:pPr>
      <w:r>
        <w:rPr>
          <w:rFonts w:ascii="Arial" w:hAnsi="Arial"/>
          <w:color w:val="525252"/>
          <w:sz w:val="13"/>
        </w:rPr>
        <w:t>device is authorized while in uniform operating a motor vehicle if local policy permits.</w:t>
      </w:r>
    </w:p>
    <w:p>
      <w:pPr>
        <w:spacing w:after="20" w:line="223" w:lineRule="auto"/>
        <w:jc w:val="right"/>
        <w:bidi/>
      </w:pPr>
      <w:r>
        <w:rPr>
          <w:rFonts w:ascii="Arial" w:hAnsi="Arial"/>
          <w:sz w:val="16"/>
        </w:rPr>
        <w:t>479.02  استفاده از وسایل الکترونیکی شخصی از جمله تلفن همراه، گوشی، بلندگو یا پیامک هنگام راه رفتن با لباس فرم مجاز است.</w:t>
      </w:r>
    </w:p>
    <w:p>
      <w:pPr>
        <w:spacing w:after="28" w:line="216" w:lineRule="auto"/>
        <w:ind w:left="259"/>
        <w:jc w:val="left"/>
      </w:pPr>
      <w:r>
        <w:rPr>
          <w:rFonts w:ascii="Arial" w:hAnsi="Arial"/>
          <w:color w:val="525252"/>
          <w:sz w:val="13"/>
        </w:rPr>
        <w:t>Use of personal electronic media devices, including cellular phones, earpieces, speaker phones or text messaging while walking in uniform is authorized.</w:t>
      </w:r>
    </w:p>
    <w:p>
      <w:pPr>
        <w:spacing w:after="20" w:line="223" w:lineRule="auto"/>
        <w:jc w:val="right"/>
        <w:bidi/>
      </w:pPr>
      <w:r>
        <w:rPr>
          <w:rFonts w:ascii="Arial" w:hAnsi="Arial"/>
          <w:sz w:val="16"/>
        </w:rPr>
        <w:t>479.03  آداب و رسوم و ادب نظامی اولویت دارد.</w:t>
      </w:r>
    </w:p>
    <w:p>
      <w:pPr>
        <w:spacing w:after="28" w:line="216" w:lineRule="auto"/>
        <w:ind w:left="259"/>
        <w:jc w:val="left"/>
      </w:pPr>
      <w:r>
        <w:rPr>
          <w:rFonts w:ascii="Arial" w:hAnsi="Arial"/>
          <w:color w:val="525252"/>
          <w:sz w:val="13"/>
        </w:rPr>
        <w:t>Military customs and courtesies take precedence.</w:t>
      </w:r>
    </w:p>
    <w:p>
      <w:pPr>
        <w:spacing w:after="20" w:line="223" w:lineRule="auto"/>
        <w:jc w:val="right"/>
        <w:bidi/>
      </w:pPr>
      <w:r>
        <w:rPr>
          <w:rFonts w:ascii="Arial" w:hAnsi="Arial"/>
          <w:sz w:val="16"/>
        </w:rPr>
        <w:t>479.04  توجه: رنگ‌های مجاز گوشی‌هایی که در لباس فرم استفاده می‌شوند سفید، مشکی، قهوه‌ای، آبی تیره یا خاکستری هستند.</w:t>
      </w:r>
    </w:p>
    <w:p>
      <w:pPr>
        <w:spacing w:after="28" w:line="216" w:lineRule="auto"/>
        <w:ind w:left="259"/>
        <w:jc w:val="left"/>
      </w:pPr>
      <w:r>
        <w:rPr>
          <w:rFonts w:ascii="Arial" w:hAnsi="Arial"/>
          <w:color w:val="525252"/>
          <w:sz w:val="13"/>
        </w:rPr>
        <w:t>Note: Authorized colors of earpieces worn while in uniform are white, black, brown, dark blue or gray.</w:t>
      </w:r>
    </w:p>
    <w:p>
      <w:pPr>
        <w:spacing w:after="20" w:line="223" w:lineRule="auto"/>
        <w:jc w:val="right"/>
        <w:bidi/>
      </w:pPr>
      <w:r>
        <w:rPr>
          <w:rFonts w:ascii="Arial" w:hAnsi="Arial"/>
          <w:sz w:val="16"/>
        </w:rPr>
        <w:t>479.05  کیف ضمیمه / سالن بدنسازی / پیام رسان / کامپیوتر / کیف ناهار / بسته پشتی / کیف دستی / کیف پول به سبک کلاچ / کیف پول و غیره.</w:t>
      </w:r>
    </w:p>
    <w:p>
      <w:pPr>
        <w:spacing w:after="28" w:line="216" w:lineRule="auto"/>
        <w:ind w:left="259"/>
        <w:jc w:val="left"/>
      </w:pPr>
      <w:r>
        <w:rPr>
          <w:rFonts w:ascii="Arial" w:hAnsi="Arial"/>
          <w:color w:val="525252"/>
          <w:sz w:val="13"/>
        </w:rPr>
        <w:t>Attaché Cases/Gym/Messenger/Computer/Lunch Bags/Back Packs/Handbags/Clutch-Style Purses/Wallets, etc.</w:t>
      </w:r>
    </w:p>
    <w:p>
      <w:pPr>
        <w:spacing w:after="20" w:line="223" w:lineRule="auto"/>
        <w:jc w:val="right"/>
        <w:bidi/>
      </w:pPr>
      <w:r>
        <w:rPr>
          <w:rFonts w:ascii="Arial" w:hAnsi="Arial"/>
          <w:sz w:val="16"/>
        </w:rPr>
        <w:t>479.06  کیف‌های ضمیمه / مسنجر / کامپیوتر / کیف ناهار.</w:t>
      </w:r>
    </w:p>
    <w:p>
      <w:pPr>
        <w:spacing w:after="28" w:line="216" w:lineRule="auto"/>
        <w:ind w:left="259"/>
        <w:jc w:val="left"/>
      </w:pPr>
      <w:r>
        <w:rPr>
          <w:rFonts w:ascii="Arial" w:hAnsi="Arial"/>
          <w:color w:val="525252"/>
          <w:sz w:val="13"/>
        </w:rPr>
        <w:t>Attaché Cases/Messenger/Computer/Lunch Bags.</w:t>
      </w:r>
    </w:p>
    <w:p>
      <w:pPr>
        <w:spacing w:after="20" w:line="223" w:lineRule="auto"/>
        <w:jc w:val="right"/>
        <w:bidi/>
      </w:pPr>
      <w:r>
        <w:rPr>
          <w:rFonts w:ascii="Arial" w:hAnsi="Arial"/>
          <w:sz w:val="16"/>
        </w:rPr>
        <w:t>479.07  اقلام به رنگ مشکی، قهوه‌ای، خاکستری یا آبی تیره هستند و در صورت استفاده از بند شانه، در دست چپ یا شانه حمل می‌شوند.</w:t>
      </w:r>
    </w:p>
    <w:p>
      <w:pPr>
        <w:spacing w:after="28" w:line="216" w:lineRule="auto"/>
        <w:ind w:left="259"/>
        <w:jc w:val="left"/>
      </w:pPr>
      <w:r>
        <w:rPr>
          <w:rFonts w:ascii="Arial" w:hAnsi="Arial"/>
          <w:color w:val="525252"/>
          <w:sz w:val="13"/>
        </w:rPr>
        <w:t>Items will be solid black, brown, gray, or dark blue in color and carried in the left hand or shoulder if using a shoulder strap.</w:t>
      </w:r>
    </w:p>
    <w:p>
      <w:pPr>
        <w:spacing w:after="20" w:line="223" w:lineRule="auto"/>
        <w:jc w:val="right"/>
        <w:bidi/>
      </w:pPr>
      <w:r>
        <w:rPr>
          <w:rFonts w:ascii="Arial" w:hAnsi="Arial"/>
          <w:sz w:val="16"/>
        </w:rPr>
        <w:t>479.08  کیف‌ها بدون طرح خواهند بود.</w:t>
      </w:r>
    </w:p>
    <w:p>
      <w:pPr>
        <w:spacing w:after="28" w:line="216" w:lineRule="auto"/>
        <w:ind w:left="259"/>
        <w:jc w:val="left"/>
      </w:pPr>
      <w:r>
        <w:rPr>
          <w:rFonts w:ascii="Arial" w:hAnsi="Arial"/>
          <w:color w:val="525252"/>
          <w:sz w:val="13"/>
        </w:rPr>
        <w:t>Bags will be without design.</w:t>
      </w:r>
    </w:p>
    <w:p>
      <w:pPr>
        <w:spacing w:after="20" w:line="223" w:lineRule="auto"/>
        <w:jc w:val="right"/>
        <w:bidi/>
      </w:pPr>
      <w:r>
        <w:rPr>
          <w:rFonts w:ascii="Arial" w:hAnsi="Arial"/>
          <w:sz w:val="16"/>
        </w:rPr>
        <w:t>479.09  آرم‌های کوچک مجاز هستند.</w:t>
      </w:r>
    </w:p>
    <w:p>
      <w:pPr>
        <w:spacing w:after="28" w:line="216" w:lineRule="auto"/>
        <w:ind w:left="259"/>
        <w:jc w:val="left"/>
      </w:pPr>
      <w:r>
        <w:rPr>
          <w:rFonts w:ascii="Arial" w:hAnsi="Arial"/>
          <w:color w:val="525252"/>
          <w:sz w:val="13"/>
        </w:rPr>
        <w:t>Small logos are authorized.</w:t>
      </w:r>
    </w:p>
    <w:p>
      <w:pPr>
        <w:spacing w:after="20" w:line="223" w:lineRule="auto"/>
        <w:jc w:val="right"/>
        <w:bidi/>
      </w:pPr>
      <w:r>
        <w:rPr>
          <w:rFonts w:ascii="Arial" w:hAnsi="Arial"/>
          <w:sz w:val="16"/>
        </w:rPr>
        <w:t>479.10  کیف بدنسازی.</w:t>
      </w:r>
    </w:p>
    <w:p>
      <w:pPr>
        <w:spacing w:after="28" w:line="216" w:lineRule="auto"/>
        <w:ind w:left="259"/>
        <w:jc w:val="left"/>
      </w:pPr>
      <w:r>
        <w:rPr>
          <w:rFonts w:ascii="Arial" w:hAnsi="Arial"/>
          <w:color w:val="525252"/>
          <w:sz w:val="13"/>
        </w:rPr>
        <w:t>Gym Bags.</w:t>
      </w:r>
    </w:p>
    <w:p>
      <w:pPr>
        <w:spacing w:after="20" w:line="223" w:lineRule="auto"/>
        <w:jc w:val="right"/>
        <w:bidi/>
      </w:pPr>
      <w:r>
        <w:rPr>
          <w:rFonts w:ascii="Arial" w:hAnsi="Arial"/>
          <w:sz w:val="16"/>
        </w:rPr>
        <w:t>479.11  کیف‌های بدنسازی مشکی، قهوه‌ای، خاکستری، آبی تیره، سبز زیتونی مایل به زرد، قهوه‌ای مایل به زرد، سبز مریم گلی یا OCP با دوخت‌های منطبق و در دست چپ حمل می‌شوند.</w:t>
      </w:r>
    </w:p>
    <w:p>
      <w:pPr>
        <w:spacing w:after="28" w:line="216" w:lineRule="auto"/>
        <w:ind w:left="259"/>
        <w:jc w:val="left"/>
      </w:pPr>
      <w:r>
        <w:rPr>
          <w:rFonts w:ascii="Arial" w:hAnsi="Arial"/>
          <w:color w:val="525252"/>
          <w:sz w:val="13"/>
        </w:rPr>
        <w:t>Gym bags will be solid black, brown, gray, dark blue, olive drab green, tan, sage green, or OCP-patterned with matching stitching and carried in the left hand.</w:t>
      </w:r>
    </w:p>
    <w:p>
      <w:pPr>
        <w:spacing w:after="20" w:line="223" w:lineRule="auto"/>
        <w:jc w:val="right"/>
        <w:bidi/>
      </w:pPr>
      <w:r>
        <w:rPr>
          <w:rFonts w:ascii="Arial" w:hAnsi="Arial"/>
          <w:sz w:val="16"/>
        </w:rPr>
        <w:t>479.12  کیف‌ها بدون طرح خواهند بود مگر اینکه OCP طرح دار باشند.</w:t>
      </w:r>
    </w:p>
    <w:p>
      <w:pPr>
        <w:spacing w:after="28" w:line="216" w:lineRule="auto"/>
        <w:ind w:left="259"/>
        <w:jc w:val="left"/>
      </w:pPr>
      <w:r>
        <w:rPr>
          <w:rFonts w:ascii="Arial" w:hAnsi="Arial"/>
          <w:color w:val="525252"/>
          <w:sz w:val="13"/>
        </w:rPr>
        <w:t>Bags will be without design unless OCP patterned.</w:t>
      </w:r>
    </w:p>
    <w:p>
      <w:pPr>
        <w:spacing w:after="20" w:line="223" w:lineRule="auto"/>
        <w:jc w:val="right"/>
        <w:bidi/>
      </w:pPr>
      <w:r>
        <w:rPr>
          <w:rFonts w:ascii="Arial" w:hAnsi="Arial"/>
          <w:sz w:val="16"/>
        </w:rPr>
        <w:t>479.13  استفاده از بند شانه برای هر دو شانه مجاز است، یا ممکن است بند از روی بدن عبور کند تا زمانی که با سلام مناسب تداخل نداشته باشد.</w:t>
      </w:r>
    </w:p>
    <w:p>
      <w:pPr>
        <w:spacing w:after="28" w:line="216" w:lineRule="auto"/>
        <w:ind w:left="259"/>
        <w:jc w:val="left"/>
      </w:pPr>
      <w:r>
        <w:rPr>
          <w:rFonts w:ascii="Arial" w:hAnsi="Arial"/>
          <w:color w:val="525252"/>
          <w:sz w:val="13"/>
        </w:rPr>
        <w:t>Use of a shoulder strap is authorized on either shoulder, or the strap may cross the body so long as it does not interfere with rendering the proper salute.</w:t>
      </w:r>
    </w:p>
    <w:p>
      <w:pPr>
        <w:spacing w:after="20" w:line="223" w:lineRule="auto"/>
        <w:jc w:val="right"/>
        <w:bidi/>
      </w:pPr>
      <w:r>
        <w:rPr>
          <w:rFonts w:ascii="Arial" w:hAnsi="Arial"/>
          <w:sz w:val="16"/>
        </w:rPr>
        <w:t>479.14  لوگو با هر اندازه‌ای روی کیف مجاز است.</w:t>
      </w:r>
    </w:p>
    <w:p>
      <w:pPr>
        <w:spacing w:after="28" w:line="216" w:lineRule="auto"/>
        <w:ind w:left="259"/>
        <w:jc w:val="left"/>
      </w:pPr>
      <w:r>
        <w:rPr>
          <w:rFonts w:ascii="Arial" w:hAnsi="Arial"/>
          <w:color w:val="525252"/>
          <w:sz w:val="13"/>
        </w:rPr>
        <w:t>Logos of any size are authorized on the bag.</w:t>
      </w:r>
    </w:p>
    <w:p>
      <w:pPr>
        <w:spacing w:after="20" w:line="223" w:lineRule="auto"/>
        <w:jc w:val="right"/>
        <w:bidi/>
      </w:pPr>
      <w:r>
        <w:rPr>
          <w:rFonts w:ascii="Arial" w:hAnsi="Arial"/>
          <w:sz w:val="16"/>
        </w:rPr>
        <w:t>479.15  کوله پشتی.</w:t>
      </w:r>
    </w:p>
    <w:p>
      <w:pPr>
        <w:spacing w:after="28" w:line="216" w:lineRule="auto"/>
        <w:ind w:left="259"/>
        <w:jc w:val="left"/>
      </w:pPr>
      <w:r>
        <w:rPr>
          <w:rFonts w:ascii="Arial" w:hAnsi="Arial"/>
          <w:color w:val="525252"/>
          <w:sz w:val="13"/>
        </w:rPr>
        <w:t>Backpacks.</w:t>
      </w:r>
    </w:p>
    <w:p>
      <w:pPr>
        <w:spacing w:after="20" w:line="223" w:lineRule="auto"/>
        <w:jc w:val="right"/>
        <w:bidi/>
      </w:pPr>
      <w:r>
        <w:rPr>
          <w:rFonts w:ascii="Arial" w:hAnsi="Arial"/>
          <w:sz w:val="16"/>
        </w:rPr>
        <w:t>479.16  کوله پشتی یکدست مشکی، قهوه‌ای، خاکستری یا آبی تیره را می‌توان با هر ترکیب یکنواختی پوشید.</w:t>
      </w:r>
    </w:p>
    <w:p>
      <w:pPr>
        <w:spacing w:after="28" w:line="216" w:lineRule="auto"/>
        <w:ind w:left="259"/>
        <w:jc w:val="left"/>
      </w:pPr>
      <w:r>
        <w:rPr>
          <w:rFonts w:ascii="Arial" w:hAnsi="Arial"/>
          <w:color w:val="525252"/>
          <w:sz w:val="13"/>
        </w:rPr>
        <w:t>Solid black, brown, gray, or dark blue back packs may be worn with any uniform combination.</w:t>
      </w:r>
    </w:p>
    <w:p>
      <w:pPr>
        <w:spacing w:after="20" w:line="223" w:lineRule="auto"/>
        <w:jc w:val="right"/>
        <w:bidi/>
      </w:pPr>
      <w:r>
        <w:rPr>
          <w:rFonts w:ascii="Arial" w:hAnsi="Arial"/>
          <w:sz w:val="16"/>
        </w:rPr>
        <w:t>479.17  کوله پشتی‌ها تک رنگ و بدون طرح خواهند بود مگر اینکه طرح دار OCP باشند.</w:t>
      </w:r>
    </w:p>
    <w:p>
      <w:pPr>
        <w:spacing w:after="28" w:line="216" w:lineRule="auto"/>
        <w:ind w:left="259"/>
        <w:jc w:val="left"/>
      </w:pPr>
      <w:r>
        <w:rPr>
          <w:rFonts w:ascii="Arial" w:hAnsi="Arial"/>
          <w:color w:val="525252"/>
          <w:sz w:val="13"/>
        </w:rPr>
        <w:t>Backpacks will be a single color, without design unless OCP patterned.</w:t>
      </w:r>
    </w:p>
    <w:p>
      <w:pPr>
        <w:spacing w:after="20" w:line="223" w:lineRule="auto"/>
        <w:jc w:val="right"/>
        <w:bidi/>
      </w:pPr>
      <w:r>
        <w:rPr>
          <w:rFonts w:ascii="Arial" w:hAnsi="Arial"/>
          <w:sz w:val="16"/>
        </w:rPr>
        <w:t>479.18  بسته‌های پشتی سبز زیتونی، خرمایی، سبز مریم گلی یا طرح‌دار OCP ممکن است با OCP پوشیده شوند.</w:t>
      </w:r>
    </w:p>
    <w:p>
      <w:pPr>
        <w:spacing w:after="28" w:line="216" w:lineRule="auto"/>
        <w:ind w:left="259"/>
        <w:jc w:val="left"/>
      </w:pPr>
      <w:r>
        <w:rPr>
          <w:rFonts w:ascii="Arial" w:hAnsi="Arial"/>
          <w:color w:val="525252"/>
          <w:sz w:val="13"/>
        </w:rPr>
        <w:t>Olive drab green, tan, sage green, or OCP-patterned back packs may be worn with the OCP.</w:t>
      </w:r>
    </w:p>
    <w:p>
      <w:pPr>
        <w:spacing w:after="20" w:line="223" w:lineRule="auto"/>
        <w:jc w:val="right"/>
        <w:bidi/>
      </w:pPr>
      <w:r>
        <w:rPr>
          <w:rFonts w:ascii="Arial" w:hAnsi="Arial"/>
          <w:sz w:val="16"/>
        </w:rPr>
        <w:t>479.19  آرم‌های کوچک مجاز هستند.</w:t>
      </w:r>
    </w:p>
    <w:p>
      <w:pPr>
        <w:spacing w:after="28" w:line="216" w:lineRule="auto"/>
        <w:ind w:left="259"/>
        <w:jc w:val="left"/>
      </w:pPr>
      <w:r>
        <w:rPr>
          <w:rFonts w:ascii="Arial" w:hAnsi="Arial"/>
          <w:color w:val="525252"/>
          <w:sz w:val="13"/>
        </w:rPr>
        <w:t>Small logos are authorized.</w:t>
      </w:r>
    </w:p>
    <w:p>
      <w:pPr>
        <w:spacing w:after="20" w:line="223" w:lineRule="auto"/>
        <w:jc w:val="right"/>
        <w:bidi/>
      </w:pPr>
      <w:r>
        <w:rPr>
          <w:rFonts w:ascii="Arial" w:hAnsi="Arial"/>
          <w:sz w:val="16"/>
        </w:rPr>
        <w:t>479.20  هوانوردان ممکن است از کوله پشتی به سبک اسلینگ یا دو بند استفاده کنند.</w:t>
      </w:r>
    </w:p>
    <w:p>
      <w:pPr>
        <w:spacing w:after="28" w:line="216" w:lineRule="auto"/>
        <w:ind w:left="259"/>
        <w:jc w:val="left"/>
      </w:pPr>
      <w:r>
        <w:rPr>
          <w:rFonts w:ascii="Arial" w:hAnsi="Arial"/>
          <w:color w:val="525252"/>
          <w:sz w:val="13"/>
        </w:rPr>
        <w:t>Airmen may wear either a sling style backpack or two-strap backpacks.</w:t>
      </w:r>
    </w:p>
    <w:p>
      <w:pPr>
        <w:spacing w:after="20" w:line="223" w:lineRule="auto"/>
        <w:jc w:val="right"/>
        <w:bidi/>
      </w:pPr>
      <w:r>
        <w:rPr>
          <w:rFonts w:ascii="Arial" w:hAnsi="Arial"/>
          <w:sz w:val="16"/>
        </w:rPr>
        <w:t>479.21  کوله پشتی زنجیر در صورت حمل بر روی شانه بر روی شانه چپ، روی سینه پوشیده می‌شود.</w:t>
      </w:r>
    </w:p>
    <w:p>
      <w:pPr>
        <w:spacing w:after="28" w:line="216" w:lineRule="auto"/>
        <w:ind w:left="259"/>
        <w:jc w:val="left"/>
      </w:pPr>
      <w:r>
        <w:rPr>
          <w:rFonts w:ascii="Arial" w:hAnsi="Arial"/>
          <w:color w:val="525252"/>
          <w:sz w:val="13"/>
        </w:rPr>
        <w:t>Sling backpacks will be worn across the chest, if carried on shoulder wear on the left shoulder.</w:t>
      </w:r>
    </w:p>
    <w:p>
      <w:pPr>
        <w:spacing w:after="20" w:line="223" w:lineRule="auto"/>
        <w:jc w:val="right"/>
        <w:bidi/>
      </w:pPr>
      <w:r>
        <w:rPr>
          <w:rFonts w:ascii="Arial" w:hAnsi="Arial"/>
          <w:sz w:val="16"/>
        </w:rPr>
        <w:t>479.22  کوله پشتی‌های دو بند تا زمانی که با سلام مناسب تداخل نداشته باشد روی شانه چپ یا هر دو شانه استفاده می‌شود.</w:t>
      </w:r>
    </w:p>
    <w:p>
      <w:pPr>
        <w:spacing w:after="28" w:line="216" w:lineRule="auto"/>
        <w:ind w:left="259"/>
        <w:jc w:val="left"/>
      </w:pPr>
      <w:r>
        <w:rPr>
          <w:rFonts w:ascii="Arial" w:hAnsi="Arial"/>
          <w:color w:val="525252"/>
          <w:sz w:val="13"/>
        </w:rPr>
        <w:t>Two-strap backpacks will be worn on the left shoulder or both shoulders as long as it does not interfere with rendering the proper salute.</w:t>
      </w:r>
    </w:p>
    <w:p>
      <w:pPr>
        <w:spacing w:after="20" w:line="223" w:lineRule="auto"/>
        <w:jc w:val="right"/>
        <w:bidi/>
      </w:pPr>
      <w:r>
        <w:rPr>
          <w:rFonts w:ascii="Arial" w:hAnsi="Arial"/>
          <w:sz w:val="16"/>
        </w:rPr>
        <w:t>479.23  کوله پشتی دارای تزئینات، براقیت بالا، طرح، یا اشیاء آویزان/آویزان نخواهد بود.</w:t>
      </w:r>
    </w:p>
    <w:p>
      <w:pPr>
        <w:spacing w:after="28" w:line="216" w:lineRule="auto"/>
        <w:ind w:left="259"/>
        <w:jc w:val="left"/>
      </w:pPr>
      <w:r>
        <w:rPr>
          <w:rFonts w:ascii="Arial" w:hAnsi="Arial"/>
          <w:color w:val="525252"/>
          <w:sz w:val="13"/>
        </w:rPr>
        <w:t>Backpacks will not have ornamentation, high-gloss, designs, or hanging/dangling objects.</w:t>
      </w:r>
    </w:p>
    <w:p>
      <w:pPr>
        <w:spacing w:after="20" w:line="223" w:lineRule="auto"/>
        <w:jc w:val="right"/>
        <w:bidi/>
      </w:pPr>
      <w:r>
        <w:rPr>
          <w:rFonts w:ascii="Arial" w:hAnsi="Arial"/>
          <w:sz w:val="16"/>
        </w:rPr>
        <w:t>479.24  بند طلایی یا نقره‌ای کوچک مجاز است اما زنجیر مجاز نیست.</w:t>
      </w:r>
    </w:p>
    <w:p>
      <w:pPr>
        <w:spacing w:after="28" w:line="216" w:lineRule="auto"/>
        <w:ind w:left="259"/>
        <w:jc w:val="left"/>
      </w:pPr>
      <w:r>
        <w:rPr>
          <w:rFonts w:ascii="Arial" w:hAnsi="Arial"/>
          <w:color w:val="525252"/>
          <w:sz w:val="13"/>
        </w:rPr>
        <w:t>Small gold or silver clasp authorized but chains are not authorized.</w:t>
      </w:r>
    </w:p>
    <w:p>
      <w:pPr>
        <w:spacing w:after="20" w:line="223" w:lineRule="auto"/>
        <w:jc w:val="right"/>
        <w:bidi/>
      </w:pPr>
      <w:r>
        <w:rPr>
          <w:rFonts w:ascii="Arial" w:hAnsi="Arial"/>
          <w:sz w:val="16"/>
        </w:rPr>
        <w:t>479.25  کیف دستی.</w:t>
      </w:r>
    </w:p>
    <w:p>
      <w:pPr>
        <w:spacing w:after="28" w:line="216" w:lineRule="auto"/>
        <w:ind w:left="259"/>
        <w:jc w:val="left"/>
      </w:pPr>
      <w:r>
        <w:rPr>
          <w:rFonts w:ascii="Arial" w:hAnsi="Arial"/>
          <w:color w:val="525252"/>
          <w:sz w:val="13"/>
        </w:rPr>
        <w:t>Handbags.</w:t>
      </w:r>
    </w:p>
    <w:p>
      <w:pPr>
        <w:spacing w:after="20" w:line="223" w:lineRule="auto"/>
        <w:jc w:val="right"/>
        <w:bidi/>
      </w:pPr>
      <w:r>
        <w:rPr>
          <w:rFonts w:ascii="Arial" w:hAnsi="Arial"/>
          <w:sz w:val="16"/>
        </w:rPr>
        <w:t>479.26  کیف‌های دستی برای همه ترکیبات یکنواخت مشکی، قهوه‌ای، خاکستری، چرمی آبی تیره یا وینیل خواهند بود.</w:t>
      </w:r>
    </w:p>
    <w:p>
      <w:pPr>
        <w:spacing w:after="28" w:line="216" w:lineRule="auto"/>
        <w:ind w:left="259"/>
        <w:jc w:val="left"/>
      </w:pPr>
      <w:r>
        <w:rPr>
          <w:rFonts w:ascii="Arial" w:hAnsi="Arial"/>
          <w:color w:val="525252"/>
          <w:sz w:val="13"/>
        </w:rPr>
        <w:t>Handbags for all uniform combinations will be solid black, brown, gray, dark blue leather, or vinyl.</w:t>
      </w:r>
    </w:p>
    <w:p>
      <w:pPr>
        <w:spacing w:after="20" w:line="223" w:lineRule="auto"/>
        <w:jc w:val="right"/>
        <w:bidi/>
      </w:pPr>
      <w:r>
        <w:rPr>
          <w:rFonts w:ascii="Arial" w:hAnsi="Arial"/>
          <w:sz w:val="16"/>
        </w:rPr>
        <w:t>479.27  کیف بدون طرح و بدون تزئین خواهد بود، با این حال، یک آرم کوچک منفرد با قطر بیش از ۱ اینچ مجاز است.</w:t>
      </w:r>
    </w:p>
    <w:p>
      <w:pPr>
        <w:spacing w:after="28" w:line="216" w:lineRule="auto"/>
        <w:ind w:left="259"/>
        <w:jc w:val="left"/>
      </w:pPr>
      <w:r>
        <w:rPr>
          <w:rFonts w:ascii="Arial" w:hAnsi="Arial"/>
          <w:color w:val="525252"/>
          <w:sz w:val="13"/>
        </w:rPr>
        <w:t>Bag will be without design and without ornamentation however, a single small logo not to exceed 1-inch in diameter is authorized.</w:t>
      </w:r>
    </w:p>
    <w:p>
      <w:pPr>
        <w:spacing w:after="20" w:line="223" w:lineRule="auto"/>
        <w:jc w:val="right"/>
        <w:bidi/>
      </w:pPr>
      <w:r>
        <w:rPr>
          <w:rFonts w:ascii="Arial" w:hAnsi="Arial"/>
          <w:sz w:val="16"/>
        </w:rPr>
        <w:t>479.28  کیف ممکن است با یا بدون فلپ تاشو ساده، با یا بدون قلاب نقره‌ای یا طلایی رنگ یکجا باشد.</w:t>
      </w:r>
    </w:p>
    <w:p>
      <w:pPr>
        <w:spacing w:after="28" w:line="216" w:lineRule="auto"/>
        <w:ind w:left="259"/>
        <w:jc w:val="left"/>
      </w:pPr>
      <w:r>
        <w:rPr>
          <w:rFonts w:ascii="Arial" w:hAnsi="Arial"/>
          <w:color w:val="525252"/>
          <w:sz w:val="13"/>
        </w:rPr>
        <w:t>Bag may be with or without plain fold-over flap, with or without single-placed silver or gold-colored clasp.</w:t>
      </w:r>
    </w:p>
    <w:p>
      <w:pPr>
        <w:spacing w:after="20" w:line="223" w:lineRule="auto"/>
        <w:jc w:val="right"/>
        <w:bidi/>
      </w:pPr>
      <w:r>
        <w:rPr>
          <w:rFonts w:ascii="Arial" w:hAnsi="Arial"/>
          <w:sz w:val="16"/>
        </w:rPr>
        <w:t>479.29  دوخت مشکی، سفید یا همرنگ کیف دستی خواهد بود.</w:t>
      </w:r>
    </w:p>
    <w:p>
      <w:pPr>
        <w:spacing w:after="28" w:line="216" w:lineRule="auto"/>
        <w:ind w:left="259"/>
        <w:jc w:val="left"/>
      </w:pPr>
      <w:r>
        <w:rPr>
          <w:rFonts w:ascii="Arial" w:hAnsi="Arial"/>
          <w:color w:val="525252"/>
          <w:sz w:val="13"/>
        </w:rPr>
        <w:t>Stitching will be black, white, or the same color as handbag.</w:t>
      </w:r>
    </w:p>
    <w:p>
      <w:pPr>
        <w:spacing w:after="20" w:line="223" w:lineRule="auto"/>
        <w:jc w:val="right"/>
        <w:bidi/>
      </w:pPr>
      <w:r>
        <w:rPr>
          <w:rFonts w:ascii="Arial" w:hAnsi="Arial"/>
          <w:sz w:val="16"/>
        </w:rPr>
        <w:t>479.30  کیف‌های دستی ممکن است تا دو بند شانه‌ای قابل تنظیم با یا بدون سگک روی تسمه‌ها داشته باشند.</w:t>
      </w:r>
    </w:p>
    <w:p>
      <w:pPr>
        <w:spacing w:after="28" w:line="216" w:lineRule="auto"/>
        <w:ind w:left="259"/>
        <w:jc w:val="left"/>
      </w:pPr>
      <w:r>
        <w:rPr>
          <w:rFonts w:ascii="Arial" w:hAnsi="Arial"/>
          <w:color w:val="525252"/>
          <w:sz w:val="13"/>
        </w:rPr>
        <w:t>Handbags may have up to two adjustable shoulder straps with or without buckles on the straps.</w:t>
      </w:r>
    </w:p>
    <w:p>
      <w:pPr>
        <w:spacing w:after="20" w:line="223" w:lineRule="auto"/>
        <w:jc w:val="right"/>
        <w:bidi/>
      </w:pPr>
      <w:r>
        <w:rPr>
          <w:rFonts w:ascii="Arial" w:hAnsi="Arial"/>
          <w:sz w:val="16"/>
        </w:rPr>
        <w:t>479.31  کیف پول/کیف پول به سبک کلاچ.</w:t>
      </w:r>
    </w:p>
    <w:p>
      <w:pPr>
        <w:spacing w:after="28" w:line="216" w:lineRule="auto"/>
        <w:ind w:left="259"/>
        <w:jc w:val="left"/>
      </w:pPr>
      <w:r>
        <w:rPr>
          <w:rFonts w:ascii="Arial" w:hAnsi="Arial"/>
          <w:color w:val="525252"/>
          <w:sz w:val="13"/>
        </w:rPr>
        <w:t>Clutch-Style Purses/Wallets.</w:t>
      </w:r>
    </w:p>
    <w:p>
      <w:pPr>
        <w:spacing w:after="20" w:line="223" w:lineRule="auto"/>
        <w:jc w:val="right"/>
        <w:bidi/>
      </w:pPr>
      <w:r>
        <w:rPr>
          <w:rFonts w:ascii="Arial" w:hAnsi="Arial"/>
          <w:sz w:val="16"/>
        </w:rPr>
        <w:t>479.32  کیف‌های دستی به سبک کلاچ برای همه ترکیب‌های یکنواخت مشکی، قهوه‌ای، خاکستری، یا آبی تیره، چرم صاف یا دانه اسکاچ، چرم اختراع، براق یا مواد دست ساز بدون طرح و بدون تزئینات خواهند بود.</w:t>
      </w:r>
    </w:p>
    <w:p>
      <w:pPr>
        <w:spacing w:after="28" w:line="216" w:lineRule="auto"/>
        <w:ind w:left="259"/>
        <w:jc w:val="left"/>
      </w:pPr>
      <w:r>
        <w:rPr>
          <w:rFonts w:ascii="Arial" w:hAnsi="Arial"/>
          <w:color w:val="525252"/>
          <w:sz w:val="13"/>
        </w:rPr>
        <w:t>Hand carried clutch-style purses/wallets for all uniform combinations will be solid black, brown, gray, or dark blue smooth or scotch-grain leather, patent leather, high-gloss, or manmade material without design and without ornamentation.</w:t>
      </w:r>
    </w:p>
    <w:p>
      <w:pPr>
        <w:spacing w:after="20" w:line="223" w:lineRule="auto"/>
        <w:jc w:val="right"/>
        <w:bidi/>
      </w:pPr>
      <w:r>
        <w:rPr>
          <w:rFonts w:ascii="Arial" w:hAnsi="Arial"/>
          <w:sz w:val="16"/>
        </w:rPr>
        <w:t>479.33  دوخت مشکی یا سفید یا همرنگ کیف/کیف پول خواهد بود.</w:t>
      </w:r>
    </w:p>
    <w:p>
      <w:pPr>
        <w:spacing w:after="28" w:line="216" w:lineRule="auto"/>
        <w:ind w:left="259"/>
        <w:jc w:val="left"/>
      </w:pPr>
      <w:r>
        <w:rPr>
          <w:rFonts w:ascii="Arial" w:hAnsi="Arial"/>
          <w:color w:val="525252"/>
          <w:sz w:val="13"/>
        </w:rPr>
        <w:t>Stitching will be black or white or the same color as purse/wallet.</w:t>
      </w:r>
    </w:p>
    <w:p>
      <w:pPr>
        <w:spacing w:after="20" w:line="223" w:lineRule="auto"/>
        <w:jc w:val="right"/>
        <w:bidi/>
      </w:pPr>
      <w:r>
        <w:rPr>
          <w:rFonts w:ascii="Arial" w:hAnsi="Arial"/>
          <w:sz w:val="16"/>
        </w:rPr>
        <w:t>479.34  پارچه، جیر، و چرم لاکی را می‌توان با لباس‌های نامرتب، لباس رسمی و لباس تشریفاتی حمل کرد.</w:t>
      </w:r>
    </w:p>
    <w:p>
      <w:pPr>
        <w:spacing w:after="28" w:line="216" w:lineRule="auto"/>
        <w:ind w:left="259"/>
        <w:jc w:val="left"/>
      </w:pPr>
      <w:r>
        <w:rPr>
          <w:rFonts w:ascii="Arial" w:hAnsi="Arial"/>
          <w:color w:val="525252"/>
          <w:sz w:val="13"/>
        </w:rPr>
        <w:t>Fabric, suede, and patent leather may be carried with the mess dress, formal dress, and ceremonial dress uniforms.</w:t>
      </w:r>
    </w:p>
    <w:p>
      <w:pPr>
        <w:spacing w:after="20" w:line="223" w:lineRule="auto"/>
        <w:jc w:val="right"/>
        <w:bidi/>
      </w:pPr>
      <w:r>
        <w:rPr>
          <w:rFonts w:ascii="Arial" w:hAnsi="Arial"/>
          <w:sz w:val="16"/>
        </w:rPr>
        <w:t>479.35  کیف پول/کیف‌های دستی به سبک کلاچ بزرگتر از ۶ ۱/۲ (ه) کس ۱۱ (و) اینچ یا کوچکتر از ۵ (ه) کس ۹ (و) اینچ نخواهد بود.</w:t>
      </w:r>
    </w:p>
    <w:p>
      <w:pPr>
        <w:spacing w:after="28" w:line="216" w:lineRule="auto"/>
        <w:ind w:left="259"/>
        <w:jc w:val="left"/>
      </w:pPr>
      <w:r>
        <w:rPr>
          <w:rFonts w:ascii="Arial" w:hAnsi="Arial"/>
          <w:color w:val="525252"/>
          <w:sz w:val="13"/>
        </w:rPr>
        <w:t>Hand carried clutch-style purses/wallets will be no larger than 6 1/2 (H) x 11(W)-inches or no smaller than 5(H) x 9(W)-inches.</w:t>
      </w:r>
    </w:p>
    <w:p>
      <w:pPr>
        <w:spacing w:after="20" w:line="223" w:lineRule="auto"/>
        <w:jc w:val="right"/>
        <w:bidi/>
      </w:pPr>
      <w:r>
        <w:rPr>
          <w:rFonts w:ascii="Arial" w:hAnsi="Arial"/>
          <w:sz w:val="16"/>
        </w:rPr>
        <w:t>479.36  کیف‌پول‌ها/کیف‌های دستی به سبک کلاچ دارای بسته شدن مخفی هستند و ممکن است دارای بند مچی باشند.</w:t>
      </w:r>
    </w:p>
    <w:p>
      <w:pPr>
        <w:spacing w:after="28" w:line="216" w:lineRule="auto"/>
        <w:ind w:left="259"/>
        <w:jc w:val="left"/>
      </w:pPr>
      <w:r>
        <w:rPr>
          <w:rFonts w:ascii="Arial" w:hAnsi="Arial"/>
          <w:color w:val="525252"/>
          <w:sz w:val="13"/>
        </w:rPr>
        <w:t>Hand carried clutch-style purses/wallets will have a concealed closure and may have a wrist strap.</w:t>
      </w:r>
    </w:p>
    <w:p>
      <w:pPr>
        <w:spacing w:after="20" w:line="223" w:lineRule="auto"/>
        <w:jc w:val="right"/>
        <w:bidi/>
      </w:pPr>
      <w:r>
        <w:rPr>
          <w:rFonts w:ascii="Arial" w:hAnsi="Arial"/>
          <w:sz w:val="16"/>
        </w:rPr>
        <w:t>479.37  طناب / مجوز دسترسی / نشان شناسایی / کارت دسترسی مشترک.</w:t>
      </w:r>
    </w:p>
    <w:p>
      <w:pPr>
        <w:spacing w:after="28" w:line="216" w:lineRule="auto"/>
        <w:ind w:left="259"/>
        <w:jc w:val="left"/>
      </w:pPr>
      <w:r>
        <w:rPr>
          <w:rFonts w:ascii="Arial" w:hAnsi="Arial"/>
          <w:color w:val="525252"/>
          <w:sz w:val="13"/>
        </w:rPr>
        <w:t>Lanyards/Access Passes/Identification Badges/Common Access Cards.</w:t>
      </w:r>
    </w:p>
    <w:p>
      <w:pPr>
        <w:spacing w:after="20" w:line="223" w:lineRule="auto"/>
        <w:jc w:val="right"/>
        <w:bidi/>
      </w:pPr>
      <w:r>
        <w:rPr>
          <w:rFonts w:ascii="Arial" w:hAnsi="Arial"/>
          <w:sz w:val="16"/>
        </w:rPr>
        <w:t>479.38  طناب‌ها از نظر طبیعت محافظه کارانه، رنگ‌های تیره، زنجیرهای محافظه کار کوچک نقره‌ای، یا پلاستیک شفاف خواهند بود.</w:t>
      </w:r>
    </w:p>
    <w:p>
      <w:pPr>
        <w:spacing w:after="28" w:line="216" w:lineRule="auto"/>
        <w:ind w:left="259"/>
        <w:jc w:val="left"/>
      </w:pPr>
      <w:r>
        <w:rPr>
          <w:rFonts w:ascii="Arial" w:hAnsi="Arial"/>
          <w:color w:val="525252"/>
          <w:sz w:val="13"/>
        </w:rPr>
        <w:t>Lanyards will be conservative in nature, dark colors, silver small conservative chains, or clear plastic.</w:t>
      </w:r>
    </w:p>
    <w:p>
      <w:pPr>
        <w:spacing w:after="20" w:line="223" w:lineRule="auto"/>
        <w:jc w:val="right"/>
        <w:bidi/>
      </w:pPr>
      <w:r>
        <w:rPr>
          <w:rFonts w:ascii="Arial" w:hAnsi="Arial"/>
          <w:sz w:val="16"/>
        </w:rPr>
        <w:t>479.39  گذرنامه‌های دسترسی، نشان‌های شناسایی، و کارت‌های دسترسی مشترک فقط در مواقعی مجاز هستند که در محدوده مکانی که برای آن صادر شده‌اند استفاده شوند.</w:t>
      </w:r>
    </w:p>
    <w:p>
      <w:pPr>
        <w:spacing w:after="28" w:line="216" w:lineRule="auto"/>
        <w:ind w:left="259"/>
        <w:jc w:val="left"/>
      </w:pPr>
      <w:r>
        <w:rPr>
          <w:rFonts w:ascii="Arial" w:hAnsi="Arial"/>
          <w:color w:val="525252"/>
          <w:sz w:val="13"/>
        </w:rPr>
        <w:t>Access passes, identification badges, and common access cards are only authorized for wear when required within the confines of the location for which they were issued.</w:t>
      </w:r>
    </w:p>
    <w:p>
      <w:pPr>
        <w:spacing w:after="20" w:line="223" w:lineRule="auto"/>
        <w:jc w:val="right"/>
        <w:bidi/>
      </w:pPr>
      <w:r>
        <w:rPr>
          <w:rFonts w:ascii="Arial" w:hAnsi="Arial"/>
          <w:sz w:val="16"/>
        </w:rPr>
        <w:t>479.40  هنگام پوشیدن، در قسمت جلوی بدن بالای کمر و زیر گردن پوشیده می‌شوند و نباید خطر ایمنی ایجاد کنند.</w:t>
      </w:r>
    </w:p>
    <w:p>
      <w:pPr>
        <w:spacing w:after="28" w:line="216" w:lineRule="auto"/>
        <w:ind w:left="259"/>
        <w:jc w:val="left"/>
      </w:pPr>
      <w:r>
        <w:rPr>
          <w:rFonts w:ascii="Arial" w:hAnsi="Arial"/>
          <w:color w:val="525252"/>
          <w:sz w:val="13"/>
        </w:rPr>
        <w:t>When worn, they will be worn on the front of the body above the waist and below the neck and must not present a safety hazard.</w:t>
      </w:r>
    </w:p>
    <w:p>
      <w:pPr>
        <w:spacing w:after="20" w:line="223" w:lineRule="auto"/>
        <w:jc w:val="right"/>
        <w:bidi/>
      </w:pPr>
      <w:r>
        <w:rPr>
          <w:rFonts w:ascii="Arial" w:hAnsi="Arial"/>
          <w:sz w:val="16"/>
        </w:rPr>
        <w:t>479.41  چتر.</w:t>
      </w:r>
    </w:p>
    <w:p>
      <w:pPr>
        <w:spacing w:after="28" w:line="216" w:lineRule="auto"/>
        <w:ind w:left="259"/>
        <w:jc w:val="left"/>
      </w:pPr>
      <w:r>
        <w:rPr>
          <w:rFonts w:ascii="Arial" w:hAnsi="Arial"/>
          <w:color w:val="525252"/>
          <w:sz w:val="13"/>
        </w:rPr>
        <w:t>Umbrella.</w:t>
      </w:r>
    </w:p>
    <w:p>
      <w:pPr>
        <w:spacing w:after="20" w:line="223" w:lineRule="auto"/>
        <w:jc w:val="right"/>
        <w:bidi/>
      </w:pPr>
      <w:r>
        <w:rPr>
          <w:rFonts w:ascii="Arial" w:hAnsi="Arial"/>
          <w:sz w:val="16"/>
        </w:rPr>
        <w:t>479.42  چترها ساده، مشکی، خاکستری، قهوه‌ای یا آبی تیره هستند و در دست چپ حمل می‌شوند.</w:t>
      </w:r>
    </w:p>
    <w:p>
      <w:pPr>
        <w:spacing w:after="28" w:line="216" w:lineRule="auto"/>
        <w:ind w:left="259"/>
        <w:jc w:val="left"/>
      </w:pPr>
      <w:r>
        <w:rPr>
          <w:rFonts w:ascii="Arial" w:hAnsi="Arial"/>
          <w:color w:val="525252"/>
          <w:sz w:val="13"/>
        </w:rPr>
        <w:t>Umbrellas will be plain, solid black, gray, brown or dark blue and carried in the left hand.</w:t>
      </w:r>
    </w:p>
    <w:p>
      <w:r>
        <w:br w:type="page"/>
      </w:r>
    </w:p>
    <w:p>
      <w:pPr>
        <w:spacing w:after="60"/>
        <w:jc w:val="right"/>
        <w:bidi/>
      </w:pPr>
      <w:r>
        <w:rPr>
          <w:rFonts w:ascii="Arial" w:hAnsi="Arial"/>
          <w:b/>
          <w:color w:val="1F4D78"/>
          <w:sz w:val="19"/>
        </w:rPr>
        <w:t>هفتهٔ 480  |  صفحهٔ منبع: 496</w:t>
      </w:r>
    </w:p>
    <w:p>
      <w:pPr>
        <w:spacing w:after="20" w:line="223" w:lineRule="auto"/>
        <w:jc w:val="right"/>
        <w:bidi/>
      </w:pPr>
      <w:r>
        <w:rPr>
          <w:rFonts w:ascii="Arial" w:hAnsi="Arial"/>
          <w:sz w:val="16"/>
        </w:rPr>
        <w:t>480.01  لوازم جانبی هوای سرد.</w:t>
      </w:r>
    </w:p>
    <w:p>
      <w:pPr>
        <w:spacing w:after="28" w:line="216" w:lineRule="auto"/>
        <w:ind w:left="259"/>
        <w:jc w:val="left"/>
      </w:pPr>
      <w:r>
        <w:rPr>
          <w:rFonts w:ascii="Arial" w:hAnsi="Arial"/>
          <w:color w:val="525252"/>
          <w:sz w:val="13"/>
        </w:rPr>
        <w:t>Cold Weather Accessories.</w:t>
      </w:r>
    </w:p>
    <w:p>
      <w:pPr>
        <w:spacing w:after="20" w:line="223" w:lineRule="auto"/>
        <w:jc w:val="right"/>
        <w:bidi/>
      </w:pPr>
      <w:r>
        <w:rPr>
          <w:rFonts w:ascii="Arial" w:hAnsi="Arial"/>
          <w:sz w:val="16"/>
        </w:rPr>
        <w:t>480.02  لوازم جانبی هوای سرد ممکن است بدون پوشیدن لباس‌های بیرونی مجاز پوشیده شوند.</w:t>
      </w:r>
    </w:p>
    <w:p>
      <w:pPr>
        <w:spacing w:after="28" w:line="216" w:lineRule="auto"/>
        <w:ind w:left="259"/>
        <w:jc w:val="left"/>
      </w:pPr>
      <w:r>
        <w:rPr>
          <w:rFonts w:ascii="Arial" w:hAnsi="Arial"/>
          <w:color w:val="525252"/>
          <w:sz w:val="13"/>
        </w:rPr>
        <w:t>Cold weather accessories may be worn without wearing authorized outer garments.</w:t>
      </w:r>
    </w:p>
    <w:p>
      <w:pPr>
        <w:spacing w:after="20" w:line="223" w:lineRule="auto"/>
        <w:jc w:val="right"/>
        <w:bidi/>
      </w:pPr>
      <w:r>
        <w:rPr>
          <w:rFonts w:ascii="Arial" w:hAnsi="Arial"/>
          <w:sz w:val="16"/>
        </w:rPr>
        <w:t>480.03  به جز اقلام کاربردی، لوازم جانبی هوای سرد فقط در خارج از منزل پوشیده می‌شوند.</w:t>
      </w:r>
    </w:p>
    <w:p>
      <w:pPr>
        <w:spacing w:after="28" w:line="216" w:lineRule="auto"/>
        <w:ind w:left="259"/>
        <w:jc w:val="left"/>
      </w:pPr>
      <w:r>
        <w:rPr>
          <w:rFonts w:ascii="Arial" w:hAnsi="Arial"/>
          <w:color w:val="525252"/>
          <w:sz w:val="13"/>
        </w:rPr>
        <w:t>Except for functional items, cold weather accessories are only worn while outdoors.</w:t>
      </w:r>
    </w:p>
    <w:p>
      <w:pPr>
        <w:spacing w:after="20" w:line="223" w:lineRule="auto"/>
        <w:jc w:val="right"/>
        <w:bidi/>
      </w:pPr>
      <w:r>
        <w:rPr>
          <w:rFonts w:ascii="Arial" w:hAnsi="Arial"/>
          <w:sz w:val="16"/>
        </w:rPr>
        <w:t>480.04  دستکش.</w:t>
      </w:r>
    </w:p>
    <w:p>
      <w:pPr>
        <w:spacing w:after="28" w:line="216" w:lineRule="auto"/>
        <w:ind w:left="259"/>
        <w:jc w:val="left"/>
      </w:pPr>
      <w:r>
        <w:rPr>
          <w:rFonts w:ascii="Arial" w:hAnsi="Arial"/>
          <w:color w:val="525252"/>
          <w:sz w:val="13"/>
        </w:rPr>
        <w:t>Gloves.</w:t>
      </w:r>
    </w:p>
    <w:p>
      <w:pPr>
        <w:spacing w:after="20" w:line="223" w:lineRule="auto"/>
        <w:jc w:val="right"/>
        <w:bidi/>
      </w:pPr>
      <w:r>
        <w:rPr>
          <w:rFonts w:ascii="Arial" w:hAnsi="Arial"/>
          <w:sz w:val="16"/>
        </w:rPr>
        <w:t>480.05  دستکش‌ها را می‌توان با تمام لباس‌ها یا لباس‌های خارجی مجاز پوشید و باید یک رنگ ثابت باشد.</w:t>
      </w:r>
    </w:p>
    <w:p>
      <w:pPr>
        <w:spacing w:after="28" w:line="216" w:lineRule="auto"/>
        <w:ind w:left="259"/>
        <w:jc w:val="left"/>
      </w:pPr>
      <w:r>
        <w:rPr>
          <w:rFonts w:ascii="Arial" w:hAnsi="Arial"/>
          <w:color w:val="525252"/>
          <w:sz w:val="13"/>
        </w:rPr>
        <w:t>Gloves may be worn with all uniforms or authorized outer garments and must be one solid color.</w:t>
      </w:r>
    </w:p>
    <w:p>
      <w:pPr>
        <w:spacing w:after="20" w:line="223" w:lineRule="auto"/>
        <w:jc w:val="right"/>
        <w:bidi/>
      </w:pPr>
      <w:r>
        <w:rPr>
          <w:rFonts w:ascii="Arial" w:hAnsi="Arial"/>
          <w:sz w:val="16"/>
        </w:rPr>
        <w:t>480.06  آنها چرم، بافتنی، تریکو یا جیر، یا ترکیبی از چرم، بافتنی، تریکو و جیر خواهند بود.</w:t>
      </w:r>
    </w:p>
    <w:p>
      <w:pPr>
        <w:spacing w:after="28" w:line="216" w:lineRule="auto"/>
        <w:ind w:left="259"/>
        <w:jc w:val="left"/>
      </w:pPr>
      <w:r>
        <w:rPr>
          <w:rFonts w:ascii="Arial" w:hAnsi="Arial"/>
          <w:color w:val="525252"/>
          <w:sz w:val="13"/>
        </w:rPr>
        <w:t>They will be leather, knitted, tricot or suede, or a combination of leather, knitted, tricot, and suede.</w:t>
      </w:r>
    </w:p>
    <w:p>
      <w:pPr>
        <w:spacing w:after="20" w:line="223" w:lineRule="auto"/>
        <w:jc w:val="right"/>
        <w:bidi/>
      </w:pPr>
      <w:r>
        <w:rPr>
          <w:rFonts w:ascii="Arial" w:hAnsi="Arial"/>
          <w:sz w:val="16"/>
        </w:rPr>
        <w:t>480.07  دستکش‌های قهوه‌ای یا مشکی کایوت ممکن است با یونیفرم OCP پوشیده شوند.</w:t>
      </w:r>
    </w:p>
    <w:p>
      <w:pPr>
        <w:spacing w:after="28" w:line="216" w:lineRule="auto"/>
        <w:ind w:left="259"/>
        <w:jc w:val="left"/>
      </w:pPr>
      <w:r>
        <w:rPr>
          <w:rFonts w:ascii="Arial" w:hAnsi="Arial"/>
          <w:color w:val="525252"/>
          <w:sz w:val="13"/>
        </w:rPr>
        <w:t>Coyote brown or black gloves may be worn with OCP uniform.</w:t>
      </w:r>
    </w:p>
    <w:p>
      <w:pPr>
        <w:spacing w:after="20" w:line="223" w:lineRule="auto"/>
        <w:jc w:val="right"/>
        <w:bidi/>
      </w:pPr>
      <w:r>
        <w:rPr>
          <w:rFonts w:ascii="Arial" w:hAnsi="Arial"/>
          <w:sz w:val="16"/>
        </w:rPr>
        <w:t>480.08  دستکش‌های سبز رنگ مشکی یا مریم گلی را می‌توان با یونیفرم پرواز (FDU) یا تمام لباس‌های خارجی مجاز FDU پوشید.</w:t>
      </w:r>
    </w:p>
    <w:p>
      <w:pPr>
        <w:spacing w:after="28" w:line="216" w:lineRule="auto"/>
        <w:ind w:left="259"/>
        <w:jc w:val="left"/>
      </w:pPr>
      <w:r>
        <w:rPr>
          <w:rFonts w:ascii="Arial" w:hAnsi="Arial"/>
          <w:color w:val="525252"/>
          <w:sz w:val="13"/>
        </w:rPr>
        <w:t>Black or sage green gloves may be worn with the Flight Duty Uniform (FDU) or all authorized outer garments to the FDU.</w:t>
      </w:r>
    </w:p>
    <w:p>
      <w:pPr>
        <w:spacing w:after="20" w:line="223" w:lineRule="auto"/>
        <w:jc w:val="right"/>
        <w:bidi/>
      </w:pPr>
      <w:r>
        <w:rPr>
          <w:rFonts w:ascii="Arial" w:hAnsi="Arial"/>
          <w:sz w:val="16"/>
        </w:rPr>
        <w:t>480.09  فقط می‌توان دستکش‌های مشکی را با یونیفرم لباس سرویس پوشید و تمام لباس‌های خارجی تأیید شده را با لباس فرم پوشید.</w:t>
      </w:r>
    </w:p>
    <w:p>
      <w:pPr>
        <w:spacing w:after="28" w:line="216" w:lineRule="auto"/>
        <w:ind w:left="259"/>
        <w:jc w:val="left"/>
      </w:pPr>
      <w:r>
        <w:rPr>
          <w:rFonts w:ascii="Arial" w:hAnsi="Arial"/>
          <w:color w:val="525252"/>
          <w:sz w:val="13"/>
        </w:rPr>
        <w:t>Only black gloves may be worn with the service dress uniform and all approved outer garments worn with the dress uniforms.</w:t>
      </w:r>
    </w:p>
    <w:p>
      <w:pPr>
        <w:spacing w:after="20" w:line="223" w:lineRule="auto"/>
        <w:jc w:val="right"/>
        <w:bidi/>
      </w:pPr>
      <w:r>
        <w:rPr>
          <w:rFonts w:ascii="Arial" w:hAnsi="Arial"/>
          <w:sz w:val="16"/>
        </w:rPr>
        <w:t>480.10  روسری.</w:t>
      </w:r>
    </w:p>
    <w:p>
      <w:pPr>
        <w:spacing w:after="28" w:line="216" w:lineRule="auto"/>
        <w:ind w:left="259"/>
        <w:jc w:val="left"/>
      </w:pPr>
      <w:r>
        <w:rPr>
          <w:rFonts w:ascii="Arial" w:hAnsi="Arial"/>
          <w:color w:val="525252"/>
          <w:sz w:val="13"/>
        </w:rPr>
        <w:t>Scarf.</w:t>
      </w:r>
    </w:p>
    <w:p>
      <w:pPr>
        <w:spacing w:after="20" w:line="223" w:lineRule="auto"/>
        <w:jc w:val="right"/>
        <w:bidi/>
      </w:pPr>
      <w:r>
        <w:rPr>
          <w:rFonts w:ascii="Arial" w:hAnsi="Arial"/>
          <w:sz w:val="16"/>
        </w:rPr>
        <w:t>480.11  روسری مشکی را می‌توان با تمام لباس‌ها و لباس‌های بیرونی مجاز پوشید.</w:t>
      </w:r>
    </w:p>
    <w:p>
      <w:pPr>
        <w:spacing w:after="28" w:line="216" w:lineRule="auto"/>
        <w:ind w:left="259"/>
        <w:jc w:val="left"/>
      </w:pPr>
      <w:r>
        <w:rPr>
          <w:rFonts w:ascii="Arial" w:hAnsi="Arial"/>
          <w:color w:val="525252"/>
          <w:sz w:val="13"/>
        </w:rPr>
        <w:t>A black scarf may be worn with all uniforms and authorized outer garments.</w:t>
      </w:r>
    </w:p>
    <w:p>
      <w:pPr>
        <w:spacing w:after="20" w:line="223" w:lineRule="auto"/>
        <w:jc w:val="right"/>
        <w:bidi/>
      </w:pPr>
      <w:r>
        <w:rPr>
          <w:rFonts w:ascii="Arial" w:hAnsi="Arial"/>
          <w:sz w:val="16"/>
        </w:rPr>
        <w:t>480.12  روسری قهوه‌ای مشکی یا کایوت ممکن است با یونیفرم OCP پوشیده شود.</w:t>
      </w:r>
    </w:p>
    <w:p>
      <w:pPr>
        <w:spacing w:after="28" w:line="216" w:lineRule="auto"/>
        <w:ind w:left="259"/>
        <w:jc w:val="left"/>
      </w:pPr>
      <w:r>
        <w:rPr>
          <w:rFonts w:ascii="Arial" w:hAnsi="Arial"/>
          <w:color w:val="525252"/>
          <w:sz w:val="13"/>
        </w:rPr>
        <w:t>A black or coyote brown scarf may be worn with OCP uniform.</w:t>
      </w:r>
    </w:p>
    <w:p>
      <w:pPr>
        <w:spacing w:after="20" w:line="223" w:lineRule="auto"/>
        <w:jc w:val="right"/>
        <w:bidi/>
      </w:pPr>
      <w:r>
        <w:rPr>
          <w:rFonts w:ascii="Arial" w:hAnsi="Arial"/>
          <w:sz w:val="16"/>
        </w:rPr>
        <w:t>480.13  روسری هنگام پوشیدن با لباس‌های بیرونی باید داخل آن گذاشته شود.</w:t>
      </w:r>
    </w:p>
    <w:p>
      <w:pPr>
        <w:spacing w:after="28" w:line="216" w:lineRule="auto"/>
        <w:ind w:left="259"/>
        <w:jc w:val="left"/>
      </w:pPr>
      <w:r>
        <w:rPr>
          <w:rFonts w:ascii="Arial" w:hAnsi="Arial"/>
          <w:color w:val="525252"/>
          <w:sz w:val="13"/>
        </w:rPr>
        <w:t>The scarf must be tucked in when worn with outer garments.</w:t>
      </w:r>
    </w:p>
    <w:p>
      <w:pPr>
        <w:spacing w:after="20" w:line="223" w:lineRule="auto"/>
        <w:jc w:val="right"/>
        <w:bidi/>
      </w:pPr>
      <w:r>
        <w:rPr>
          <w:rFonts w:ascii="Arial" w:hAnsi="Arial"/>
          <w:sz w:val="16"/>
        </w:rPr>
        <w:t>480.14  عرض روسری بیشتر از ۱۰ اینچ نخواهد بود و می‌توان آن را تماما پشمی یا پنبه‌ای سیمپلکس، با یا بدون سطح چرت‌باف بافتنی کرد.</w:t>
      </w:r>
    </w:p>
    <w:p>
      <w:pPr>
        <w:spacing w:after="28" w:line="216" w:lineRule="auto"/>
        <w:ind w:left="259"/>
        <w:jc w:val="left"/>
      </w:pPr>
      <w:r>
        <w:rPr>
          <w:rFonts w:ascii="Arial" w:hAnsi="Arial"/>
          <w:color w:val="525252"/>
          <w:sz w:val="13"/>
        </w:rPr>
        <w:t>The scarf will not exceed 10-inches in width and can be knit, all wool or cotton simplex, with or without a napped surface.</w:t>
      </w:r>
    </w:p>
    <w:p>
      <w:pPr>
        <w:spacing w:after="20" w:line="223" w:lineRule="auto"/>
        <w:jc w:val="right"/>
        <w:bidi/>
      </w:pPr>
      <w:r>
        <w:rPr>
          <w:rFonts w:ascii="Arial" w:hAnsi="Arial"/>
          <w:sz w:val="16"/>
        </w:rPr>
        <w:t>480.15  گوش بند و هدبند در هوای سرد.</w:t>
      </w:r>
    </w:p>
    <w:p>
      <w:pPr>
        <w:spacing w:after="28" w:line="216" w:lineRule="auto"/>
        <w:ind w:left="259"/>
        <w:jc w:val="left"/>
      </w:pPr>
      <w:r>
        <w:rPr>
          <w:rFonts w:ascii="Arial" w:hAnsi="Arial"/>
          <w:color w:val="525252"/>
          <w:sz w:val="13"/>
        </w:rPr>
        <w:t>Earmuffs and Cold Weather Headbands.</w:t>
      </w:r>
    </w:p>
    <w:p>
      <w:pPr>
        <w:spacing w:after="20" w:line="223" w:lineRule="auto"/>
        <w:jc w:val="right"/>
        <w:bidi/>
      </w:pPr>
      <w:r>
        <w:rPr>
          <w:rFonts w:ascii="Arial" w:hAnsi="Arial"/>
          <w:sz w:val="16"/>
        </w:rPr>
        <w:t>480.16  گوش‌بند یا هدبند مشکی را می‌توان با تمام ترکیبات یکنواخت و تمام لباس‌های بیرونی مجاز استفاده کرد.</w:t>
      </w:r>
    </w:p>
    <w:p>
      <w:pPr>
        <w:spacing w:after="28" w:line="216" w:lineRule="auto"/>
        <w:ind w:left="259"/>
        <w:jc w:val="left"/>
      </w:pPr>
      <w:r>
        <w:rPr>
          <w:rFonts w:ascii="Arial" w:hAnsi="Arial"/>
          <w:color w:val="525252"/>
          <w:sz w:val="13"/>
        </w:rPr>
        <w:t>Black earmuffs or headbands may be worn with all uniform combinations and all authorized outer garments.</w:t>
      </w:r>
    </w:p>
    <w:p>
      <w:pPr>
        <w:spacing w:after="20" w:line="223" w:lineRule="auto"/>
        <w:jc w:val="right"/>
        <w:bidi/>
      </w:pPr>
      <w:r>
        <w:rPr>
          <w:rFonts w:ascii="Arial" w:hAnsi="Arial"/>
          <w:sz w:val="16"/>
        </w:rPr>
        <w:t>480.17  گوش‌بندها ممکن است در بالای سر یا پشت سر بپیچند.</w:t>
      </w:r>
    </w:p>
    <w:p>
      <w:pPr>
        <w:spacing w:after="28" w:line="216" w:lineRule="auto"/>
        <w:ind w:left="259"/>
        <w:jc w:val="left"/>
      </w:pPr>
      <w:r>
        <w:rPr>
          <w:rFonts w:ascii="Arial" w:hAnsi="Arial"/>
          <w:color w:val="525252"/>
          <w:sz w:val="13"/>
        </w:rPr>
        <w:t>Earmuffs may wrap around either the top or rear of the head.</w:t>
      </w:r>
    </w:p>
    <w:p>
      <w:pPr>
        <w:spacing w:after="20" w:line="223" w:lineRule="auto"/>
        <w:jc w:val="right"/>
        <w:bidi/>
      </w:pPr>
      <w:r>
        <w:rPr>
          <w:rFonts w:ascii="Arial" w:hAnsi="Arial"/>
          <w:sz w:val="16"/>
        </w:rPr>
        <w:t>480.18  گردنبند.</w:t>
      </w:r>
    </w:p>
    <w:p>
      <w:pPr>
        <w:spacing w:after="28" w:line="216" w:lineRule="auto"/>
        <w:ind w:left="259"/>
        <w:jc w:val="left"/>
      </w:pPr>
      <w:r>
        <w:rPr>
          <w:rFonts w:ascii="Arial" w:hAnsi="Arial"/>
          <w:color w:val="525252"/>
          <w:sz w:val="13"/>
        </w:rPr>
        <w:t>Neckgaiter.</w:t>
      </w:r>
    </w:p>
    <w:p>
      <w:pPr>
        <w:spacing w:after="20" w:line="223" w:lineRule="auto"/>
        <w:jc w:val="right"/>
        <w:bidi/>
      </w:pPr>
      <w:r>
        <w:rPr>
          <w:rFonts w:ascii="Arial" w:hAnsi="Arial"/>
          <w:sz w:val="16"/>
        </w:rPr>
        <w:t>480.19  یک جلیقه مشکی را می‌توان با تمام لباس‌های فرم یا لباس‌های بیرونی مجاز پوشید.</w:t>
      </w:r>
    </w:p>
    <w:p>
      <w:pPr>
        <w:spacing w:after="28" w:line="216" w:lineRule="auto"/>
        <w:ind w:left="259"/>
        <w:jc w:val="left"/>
      </w:pPr>
      <w:r>
        <w:rPr>
          <w:rFonts w:ascii="Arial" w:hAnsi="Arial"/>
          <w:color w:val="525252"/>
          <w:sz w:val="13"/>
        </w:rPr>
        <w:t>A black neckgaiter may be worn with all uniforms or authorized outer garments.</w:t>
      </w:r>
    </w:p>
    <w:p>
      <w:pPr>
        <w:spacing w:after="20" w:line="223" w:lineRule="auto"/>
        <w:jc w:val="right"/>
        <w:bidi/>
      </w:pPr>
      <w:r>
        <w:rPr>
          <w:rFonts w:ascii="Arial" w:hAnsi="Arial"/>
          <w:sz w:val="16"/>
        </w:rPr>
        <w:t>480.20  روسری قهوه‌ای مشکی یا کایوت ممکن است با یونیفرم OCP پوشیده شود.</w:t>
      </w:r>
    </w:p>
    <w:p>
      <w:pPr>
        <w:spacing w:after="28" w:line="216" w:lineRule="auto"/>
        <w:ind w:left="259"/>
        <w:jc w:val="left"/>
      </w:pPr>
      <w:r>
        <w:rPr>
          <w:rFonts w:ascii="Arial" w:hAnsi="Arial"/>
          <w:color w:val="525252"/>
          <w:sz w:val="13"/>
        </w:rPr>
        <w:t>A black or coyote brown scarf may be worn with OCP uniform.</w:t>
      </w:r>
    </w:p>
    <w:p>
      <w:pPr>
        <w:spacing w:after="20" w:line="223" w:lineRule="auto"/>
        <w:jc w:val="right"/>
        <w:bidi/>
      </w:pPr>
      <w:r>
        <w:rPr>
          <w:rFonts w:ascii="Arial" w:hAnsi="Arial"/>
          <w:sz w:val="16"/>
        </w:rPr>
        <w:t>480.21  ممکن است به‌عنوان گرم کننده گردن یا بالاکلوا استفاده شود (ممکن است بینی را بپوشاند).</w:t>
      </w:r>
    </w:p>
    <w:p>
      <w:pPr>
        <w:spacing w:after="28" w:line="216" w:lineRule="auto"/>
        <w:ind w:left="259"/>
        <w:jc w:val="left"/>
      </w:pPr>
      <w:r>
        <w:rPr>
          <w:rFonts w:ascii="Arial" w:hAnsi="Arial"/>
          <w:color w:val="525252"/>
          <w:sz w:val="13"/>
        </w:rPr>
        <w:t>It may be worn as a neck warmer or balaclava (may cover the nose).</w:t>
      </w:r>
    </w:p>
    <w:p>
      <w:pPr>
        <w:spacing w:after="20" w:line="223" w:lineRule="auto"/>
        <w:jc w:val="right"/>
        <w:bidi/>
      </w:pPr>
      <w:r>
        <w:rPr>
          <w:rFonts w:ascii="Arial" w:hAnsi="Arial"/>
          <w:sz w:val="16"/>
        </w:rPr>
        <w:t>480.22  ۲۳.۱۵. کفش.</w:t>
      </w:r>
    </w:p>
    <w:p>
      <w:pPr>
        <w:spacing w:after="28" w:line="216" w:lineRule="auto"/>
        <w:ind w:left="259"/>
        <w:jc w:val="left"/>
      </w:pPr>
      <w:r>
        <w:rPr>
          <w:rFonts w:ascii="Arial" w:hAnsi="Arial"/>
          <w:color w:val="525252"/>
          <w:sz w:val="13"/>
        </w:rPr>
        <w:t>23.15. Footwear.</w:t>
      </w:r>
    </w:p>
    <w:p>
      <w:pPr>
        <w:spacing w:after="20" w:line="223" w:lineRule="auto"/>
        <w:jc w:val="right"/>
        <w:bidi/>
      </w:pPr>
      <w:r>
        <w:rPr>
          <w:rFonts w:ascii="Arial" w:hAnsi="Arial"/>
          <w:sz w:val="16"/>
        </w:rPr>
        <w:t>480.23  کفش (مردانه/زنانه).</w:t>
      </w:r>
    </w:p>
    <w:p>
      <w:pPr>
        <w:spacing w:after="28" w:line="216" w:lineRule="auto"/>
        <w:ind w:left="259"/>
        <w:jc w:val="left"/>
      </w:pPr>
      <w:r>
        <w:rPr>
          <w:rFonts w:ascii="Arial" w:hAnsi="Arial"/>
          <w:color w:val="525252"/>
          <w:sz w:val="13"/>
        </w:rPr>
        <w:t>Footwear (Males/Females).</w:t>
      </w:r>
    </w:p>
    <w:p>
      <w:pPr>
        <w:spacing w:after="20" w:line="223" w:lineRule="auto"/>
        <w:jc w:val="right"/>
        <w:bidi/>
      </w:pPr>
      <w:r>
        <w:rPr>
          <w:rFonts w:ascii="Arial" w:hAnsi="Arial"/>
          <w:sz w:val="16"/>
        </w:rPr>
        <w:t>480.24  هنگام پوشیدن تمام لباس‌های فرم، کفش الزامی است.</w:t>
      </w:r>
    </w:p>
    <w:p>
      <w:pPr>
        <w:spacing w:after="28" w:line="216" w:lineRule="auto"/>
        <w:ind w:left="259"/>
        <w:jc w:val="left"/>
      </w:pPr>
      <w:r>
        <w:rPr>
          <w:rFonts w:ascii="Arial" w:hAnsi="Arial"/>
          <w:color w:val="525252"/>
          <w:sz w:val="13"/>
        </w:rPr>
        <w:t>Footwear is required when wearing all uniforms.</w:t>
      </w:r>
    </w:p>
    <w:p>
      <w:pPr>
        <w:spacing w:after="20" w:line="223" w:lineRule="auto"/>
        <w:jc w:val="right"/>
        <w:bidi/>
      </w:pPr>
      <w:r>
        <w:rPr>
          <w:rFonts w:ascii="Arial" w:hAnsi="Arial"/>
          <w:sz w:val="16"/>
        </w:rPr>
        <w:t>480.25  کفش‌های ورزشی فقط با وسایل تربیت بدنی پوشیده می‌شوند مگر اینکه از نظر پزشکی لازم باشد که توسط مقامات پزشکی مربوطه تعیین شده و توسط فرمانده تأیید شده باشد.</w:t>
      </w:r>
    </w:p>
    <w:p>
      <w:pPr>
        <w:spacing w:after="28" w:line="216" w:lineRule="auto"/>
        <w:ind w:left="259"/>
        <w:jc w:val="left"/>
      </w:pPr>
      <w:r>
        <w:rPr>
          <w:rFonts w:ascii="Arial" w:hAnsi="Arial"/>
          <w:color w:val="525252"/>
          <w:sz w:val="13"/>
        </w:rPr>
        <w:t>Athletic shoes will only be worn with the physical training gear unless medically necessary as determined by appropriate medical authorities and approved by the commander.</w:t>
      </w:r>
    </w:p>
    <w:p>
      <w:pPr>
        <w:spacing w:after="20" w:line="223" w:lineRule="auto"/>
        <w:jc w:val="right"/>
        <w:bidi/>
      </w:pPr>
      <w:r>
        <w:rPr>
          <w:rFonts w:ascii="Arial" w:hAnsi="Arial"/>
          <w:sz w:val="16"/>
        </w:rPr>
        <w:t>480.26  جوراب مشکی (مرد/زن).</w:t>
      </w:r>
    </w:p>
    <w:p>
      <w:pPr>
        <w:spacing w:after="28" w:line="216" w:lineRule="auto"/>
        <w:ind w:left="259"/>
        <w:jc w:val="left"/>
      </w:pPr>
      <w:r>
        <w:rPr>
          <w:rFonts w:ascii="Arial" w:hAnsi="Arial"/>
          <w:color w:val="525252"/>
          <w:sz w:val="13"/>
        </w:rPr>
        <w:t>Black Socks (Male/Females).</w:t>
      </w:r>
    </w:p>
    <w:p>
      <w:pPr>
        <w:spacing w:after="20" w:line="223" w:lineRule="auto"/>
        <w:jc w:val="right"/>
        <w:bidi/>
      </w:pPr>
      <w:r>
        <w:rPr>
          <w:rFonts w:ascii="Arial" w:hAnsi="Arial"/>
          <w:sz w:val="16"/>
        </w:rPr>
        <w:t>480.27  جوراب‌ها ساده و بدون طراحی، تمیز و قابل سرویس خواهند بود.</w:t>
      </w:r>
    </w:p>
    <w:p>
      <w:pPr>
        <w:spacing w:after="28" w:line="216" w:lineRule="auto"/>
        <w:ind w:left="259"/>
        <w:jc w:val="left"/>
      </w:pPr>
      <w:r>
        <w:rPr>
          <w:rFonts w:ascii="Arial" w:hAnsi="Arial"/>
          <w:color w:val="525252"/>
          <w:sz w:val="13"/>
        </w:rPr>
        <w:t>Socks will be plain without design, clean, and serviceable.</w:t>
      </w:r>
    </w:p>
    <w:p>
      <w:pPr>
        <w:spacing w:after="20" w:line="223" w:lineRule="auto"/>
        <w:jc w:val="right"/>
        <w:bidi/>
      </w:pPr>
      <w:r>
        <w:rPr>
          <w:rFonts w:ascii="Arial" w:hAnsi="Arial"/>
          <w:sz w:val="16"/>
        </w:rPr>
        <w:t>480.28  با ربع کوتاه، چکمه‌های مجلسی و چکمه‌های جنگلی/مبارزه سیاه بپوشید.</w:t>
      </w:r>
    </w:p>
    <w:p>
      <w:pPr>
        <w:spacing w:after="28" w:line="216" w:lineRule="auto"/>
        <w:ind w:left="259"/>
        <w:jc w:val="left"/>
      </w:pPr>
      <w:r>
        <w:rPr>
          <w:rFonts w:ascii="Arial" w:hAnsi="Arial"/>
          <w:color w:val="525252"/>
          <w:sz w:val="13"/>
        </w:rPr>
        <w:t>Wear with low quarters, dress boots and black jungle/combat boots.</w:t>
      </w:r>
    </w:p>
    <w:p>
      <w:pPr>
        <w:spacing w:after="20" w:line="223" w:lineRule="auto"/>
        <w:jc w:val="right"/>
        <w:bidi/>
      </w:pPr>
      <w:r>
        <w:rPr>
          <w:rFonts w:ascii="Arial" w:hAnsi="Arial"/>
          <w:sz w:val="16"/>
        </w:rPr>
        <w:t>480.29  تا زمانی که جوراب‌های مشکی دیده نمی‌شوند، می‌توان جوراب‌های اضافی را زیر جوراب پوشید.</w:t>
      </w:r>
    </w:p>
    <w:p>
      <w:pPr>
        <w:spacing w:after="28" w:line="216" w:lineRule="auto"/>
        <w:ind w:left="259"/>
        <w:jc w:val="left"/>
      </w:pPr>
      <w:r>
        <w:rPr>
          <w:rFonts w:ascii="Arial" w:hAnsi="Arial"/>
          <w:color w:val="525252"/>
          <w:sz w:val="13"/>
        </w:rPr>
        <w:t>Additional socks may be worn under the black socks as long as they are not visible.</w:t>
      </w:r>
    </w:p>
    <w:p>
      <w:pPr>
        <w:spacing w:after="20" w:line="223" w:lineRule="auto"/>
        <w:jc w:val="right"/>
        <w:bidi/>
      </w:pPr>
      <w:r>
        <w:rPr>
          <w:rFonts w:ascii="Arial" w:hAnsi="Arial"/>
          <w:sz w:val="16"/>
        </w:rPr>
        <w:t>480.30  برای راهنمایی OCP به DAFI ۳۶-۲۹۰۳، بند ۵.۱.۱۱ مراجعه کنید.</w:t>
      </w:r>
    </w:p>
    <w:p>
      <w:pPr>
        <w:spacing w:after="28" w:line="216" w:lineRule="auto"/>
        <w:ind w:left="259"/>
        <w:jc w:val="left"/>
      </w:pPr>
      <w:r>
        <w:rPr>
          <w:rFonts w:ascii="Arial" w:hAnsi="Arial"/>
          <w:color w:val="525252"/>
          <w:sz w:val="13"/>
        </w:rPr>
        <w:t>See DAFI 36-2903, paragraph 5.1.11 for OCP guidance.</w:t>
      </w:r>
    </w:p>
    <w:p>
      <w:pPr>
        <w:spacing w:after="20" w:line="223" w:lineRule="auto"/>
        <w:jc w:val="right"/>
        <w:bidi/>
      </w:pPr>
      <w:r>
        <w:rPr>
          <w:rFonts w:ascii="Arial" w:hAnsi="Arial"/>
          <w:sz w:val="16"/>
        </w:rPr>
        <w:t>480.31  ربع پایین (مرد/زن).</w:t>
      </w:r>
    </w:p>
    <w:p>
      <w:pPr>
        <w:spacing w:after="28" w:line="216" w:lineRule="auto"/>
        <w:ind w:left="259"/>
        <w:jc w:val="left"/>
      </w:pPr>
      <w:r>
        <w:rPr>
          <w:rFonts w:ascii="Arial" w:hAnsi="Arial"/>
          <w:color w:val="525252"/>
          <w:sz w:val="13"/>
        </w:rPr>
        <w:t>Low Quarters (Males/Females).</w:t>
      </w:r>
    </w:p>
    <w:p>
      <w:pPr>
        <w:spacing w:after="20" w:line="223" w:lineRule="auto"/>
        <w:jc w:val="right"/>
        <w:bidi/>
      </w:pPr>
      <w:r>
        <w:rPr>
          <w:rFonts w:ascii="Arial" w:hAnsi="Arial"/>
          <w:sz w:val="16"/>
        </w:rPr>
        <w:t>480.32  با لباس رسمی، لباس نامرتب (اختیاری برای زنان - فقط شلوار و شلوار)، لباس نیمه رسمی، سرویس (کلاس ا) و یونیفرم خدمات (کلاس ب) (مجاز با تمام لباس‌های کلاس ا و کلاس ب) مشکی بپوشید.</w:t>
      </w:r>
    </w:p>
    <w:p>
      <w:pPr>
        <w:spacing w:after="28" w:line="216" w:lineRule="auto"/>
        <w:ind w:left="259"/>
        <w:jc w:val="left"/>
      </w:pPr>
      <w:r>
        <w:rPr>
          <w:rFonts w:ascii="Arial" w:hAnsi="Arial"/>
          <w:color w:val="525252"/>
          <w:sz w:val="13"/>
        </w:rPr>
        <w:t>Wear black low-quarters with the formal dress, mess dress (optional for females - trousers and slacks only), semi-formal , service dress (Class A) and service uniforms (Class B) (authorized with all maternity Class A &amp; Class B uniforms).</w:t>
      </w:r>
    </w:p>
    <w:p>
      <w:pPr>
        <w:spacing w:after="20" w:line="223" w:lineRule="auto"/>
        <w:jc w:val="right"/>
        <w:bidi/>
      </w:pPr>
      <w:r>
        <w:rPr>
          <w:rFonts w:ascii="Arial" w:hAnsi="Arial"/>
          <w:sz w:val="16"/>
        </w:rPr>
        <w:t>480.33  چکمه‌های رزمی مشکی و چکمه‌های لباس نیز گزینه‌ای با یونیفرم‌های کلاس ا و کلاس ب هستند.</w:t>
      </w:r>
    </w:p>
    <w:p>
      <w:pPr>
        <w:spacing w:after="28" w:line="216" w:lineRule="auto"/>
        <w:ind w:left="259"/>
        <w:jc w:val="left"/>
      </w:pPr>
      <w:r>
        <w:rPr>
          <w:rFonts w:ascii="Arial" w:hAnsi="Arial"/>
          <w:color w:val="525252"/>
          <w:sz w:val="13"/>
        </w:rPr>
        <w:t>Black combat boots and dress boots are also an option with the Class A &amp; Class B uniforms.</w:t>
      </w:r>
    </w:p>
    <w:p>
      <w:pPr>
        <w:spacing w:after="20" w:line="223" w:lineRule="auto"/>
        <w:jc w:val="right"/>
        <w:bidi/>
      </w:pPr>
      <w:r>
        <w:rPr>
          <w:rFonts w:ascii="Arial" w:hAnsi="Arial"/>
          <w:sz w:val="16"/>
        </w:rPr>
        <w:t>480.34  کفش‌های یک چهارم پایین، به سبک آکسفورد، بنددار با پنجه گرد ساده یا پنجه گرد ساده خواهند بود.</w:t>
      </w:r>
    </w:p>
    <w:p>
      <w:pPr>
        <w:spacing w:after="28" w:line="216" w:lineRule="auto"/>
        <w:ind w:left="259"/>
        <w:jc w:val="left"/>
      </w:pPr>
      <w:r>
        <w:rPr>
          <w:rFonts w:ascii="Arial" w:hAnsi="Arial"/>
          <w:color w:val="525252"/>
          <w:sz w:val="13"/>
        </w:rPr>
        <w:t>Shoes will be low quarter, oxford-style, lace-up with a plain rounded toe or a plain rounded-capped toe.</w:t>
      </w:r>
    </w:p>
    <w:p>
      <w:pPr>
        <w:spacing w:after="20" w:line="223" w:lineRule="auto"/>
        <w:jc w:val="right"/>
        <w:bidi/>
      </w:pPr>
      <w:r>
        <w:rPr>
          <w:rFonts w:ascii="Arial" w:hAnsi="Arial"/>
          <w:sz w:val="16"/>
        </w:rPr>
        <w:t>480.35  ضخامت کف پا از ۱/۲ اینچ و ارتفاع پاشنه از ۱ اینچ تجاوز نمی‌کند (اندازه گیری شده از قسمت جلوی داخلی پاشنه). با این حال، کف ممکن است دارای پاشنه کم گوه باشد.</w:t>
      </w:r>
    </w:p>
    <w:p>
      <w:pPr>
        <w:spacing w:after="28" w:line="216" w:lineRule="auto"/>
        <w:ind w:left="259"/>
        <w:jc w:val="left"/>
      </w:pPr>
      <w:r>
        <w:rPr>
          <w:rFonts w:ascii="Arial" w:hAnsi="Arial"/>
          <w:color w:val="525252"/>
          <w:sz w:val="13"/>
        </w:rPr>
        <w:t>Soles will not exceed 1/2-inch in thickness and the heel will not exceed 1-inch in height (measured from the inside front of the heel); however, the sole may have a low wedge heel.</w:t>
      </w:r>
    </w:p>
    <w:p>
      <w:pPr>
        <w:spacing w:after="20" w:line="223" w:lineRule="auto"/>
        <w:jc w:val="right"/>
        <w:bidi/>
      </w:pPr>
      <w:r>
        <w:rPr>
          <w:rFonts w:ascii="Arial" w:hAnsi="Arial"/>
          <w:sz w:val="16"/>
        </w:rPr>
        <w:t>480.36  هوانوردان ممکن است برای حفظ پاشنه کفش‌های خود شیر آب بزنند تا زمانی که ضربه‌ها ظاهر مورد نظر کفش را تغییر ندهند.</w:t>
      </w:r>
    </w:p>
    <w:p>
      <w:pPr>
        <w:spacing w:after="28" w:line="216" w:lineRule="auto"/>
        <w:ind w:left="259"/>
        <w:jc w:val="left"/>
      </w:pPr>
      <w:r>
        <w:rPr>
          <w:rFonts w:ascii="Arial" w:hAnsi="Arial"/>
          <w:color w:val="525252"/>
          <w:sz w:val="13"/>
        </w:rPr>
        <w:t>Airmen may wear taps on their shoes to preserve the heels as long as the taps do not change the intended appearance of the shoes.</w:t>
      </w:r>
    </w:p>
    <w:p>
      <w:pPr>
        <w:spacing w:after="20" w:line="223" w:lineRule="auto"/>
        <w:jc w:val="right"/>
        <w:bidi/>
      </w:pPr>
      <w:r>
        <w:rPr>
          <w:rFonts w:ascii="Arial" w:hAnsi="Arial"/>
          <w:sz w:val="16"/>
        </w:rPr>
        <w:t>480.37  آنها ساده، تمیز و قابل استفاده و بدون تزئینات مانند سگک، کمان یا بند خواهند بود.</w:t>
      </w:r>
    </w:p>
    <w:p>
      <w:pPr>
        <w:spacing w:after="28" w:line="216" w:lineRule="auto"/>
        <w:ind w:left="259"/>
        <w:jc w:val="left"/>
      </w:pPr>
      <w:r>
        <w:rPr>
          <w:rFonts w:ascii="Arial" w:hAnsi="Arial"/>
          <w:color w:val="525252"/>
          <w:sz w:val="13"/>
        </w:rPr>
        <w:t>They will be plain, clean, and serviceable, and without ornamentation such as buckles, bows, or straps.</w:t>
      </w:r>
    </w:p>
    <w:p>
      <w:pPr>
        <w:spacing w:after="20" w:line="223" w:lineRule="auto"/>
        <w:jc w:val="right"/>
        <w:bidi/>
      </w:pPr>
      <w:r>
        <w:rPr>
          <w:rFonts w:ascii="Arial" w:hAnsi="Arial"/>
          <w:sz w:val="16"/>
        </w:rPr>
        <w:t>480.38  کفش‌ها از چرم صاف یا اسکاچ دانه یا مواد دست ساز خواهند بود.</w:t>
      </w:r>
    </w:p>
    <w:p>
      <w:pPr>
        <w:spacing w:after="28" w:line="216" w:lineRule="auto"/>
        <w:ind w:left="259"/>
        <w:jc w:val="left"/>
      </w:pPr>
      <w:r>
        <w:rPr>
          <w:rFonts w:ascii="Arial" w:hAnsi="Arial"/>
          <w:color w:val="525252"/>
          <w:sz w:val="13"/>
        </w:rPr>
        <w:t>Shoes will be smooth or scotch-grained leather or manmade material.</w:t>
      </w:r>
    </w:p>
    <w:p>
      <w:pPr>
        <w:spacing w:after="20" w:line="223" w:lineRule="auto"/>
        <w:jc w:val="right"/>
        <w:bidi/>
      </w:pPr>
      <w:r>
        <w:rPr>
          <w:rFonts w:ascii="Arial" w:hAnsi="Arial"/>
          <w:sz w:val="16"/>
        </w:rPr>
        <w:t>480.39  کفش‌ها براق می‌شوند. براقیت بالا یا پرداخت حق ثبت اختراع اختیاری است.</w:t>
      </w:r>
    </w:p>
    <w:p>
      <w:pPr>
        <w:spacing w:after="28" w:line="216" w:lineRule="auto"/>
        <w:ind w:left="259"/>
        <w:jc w:val="left"/>
      </w:pPr>
      <w:r>
        <w:rPr>
          <w:rFonts w:ascii="Arial" w:hAnsi="Arial"/>
          <w:color w:val="525252"/>
          <w:sz w:val="13"/>
        </w:rPr>
        <w:t>Shoes will be shined; high gloss or patent finish is optional.</w:t>
      </w:r>
    </w:p>
    <w:p>
      <w:pPr>
        <w:spacing w:after="20" w:line="223" w:lineRule="auto"/>
        <w:jc w:val="right"/>
        <w:bidi/>
      </w:pPr>
      <w:r>
        <w:rPr>
          <w:rFonts w:ascii="Arial" w:hAnsi="Arial"/>
          <w:sz w:val="16"/>
        </w:rPr>
        <w:t>480.40  چکمه لباس (مردانه).</w:t>
      </w:r>
    </w:p>
    <w:p>
      <w:pPr>
        <w:spacing w:after="28" w:line="216" w:lineRule="auto"/>
        <w:ind w:left="259"/>
        <w:jc w:val="left"/>
      </w:pPr>
      <w:r>
        <w:rPr>
          <w:rFonts w:ascii="Arial" w:hAnsi="Arial"/>
          <w:color w:val="525252"/>
          <w:sz w:val="13"/>
        </w:rPr>
        <w:t>Dress Boot (Males).</w:t>
      </w:r>
    </w:p>
    <w:p>
      <w:pPr>
        <w:spacing w:after="20" w:line="223" w:lineRule="auto"/>
        <w:jc w:val="right"/>
        <w:bidi/>
      </w:pPr>
      <w:r>
        <w:rPr>
          <w:rFonts w:ascii="Arial" w:hAnsi="Arial"/>
          <w:sz w:val="16"/>
        </w:rPr>
        <w:t>480.41  ممکن است با لباس‌های کلاس ا و کلاس ب بپوشید.</w:t>
      </w:r>
    </w:p>
    <w:p>
      <w:pPr>
        <w:spacing w:after="28" w:line="216" w:lineRule="auto"/>
        <w:ind w:left="259"/>
        <w:jc w:val="left"/>
      </w:pPr>
      <w:r>
        <w:rPr>
          <w:rFonts w:ascii="Arial" w:hAnsi="Arial"/>
          <w:color w:val="525252"/>
          <w:sz w:val="13"/>
        </w:rPr>
        <w:t>May wear with the Class A and Class B uniforms.</w:t>
      </w:r>
    </w:p>
    <w:p>
      <w:pPr>
        <w:spacing w:after="20" w:line="223" w:lineRule="auto"/>
        <w:jc w:val="right"/>
        <w:bidi/>
      </w:pPr>
      <w:r>
        <w:rPr>
          <w:rFonts w:ascii="Arial" w:hAnsi="Arial"/>
          <w:sz w:val="16"/>
        </w:rPr>
        <w:t>480.42  در صورت پوشیدن، زیره بوت لباس به رنگ مشکی و نوک گرد ساده یا نوک درپوش گرد خواهد بود.</w:t>
      </w:r>
    </w:p>
    <w:p>
      <w:pPr>
        <w:spacing w:after="28" w:line="216" w:lineRule="auto"/>
        <w:ind w:left="259"/>
        <w:jc w:val="left"/>
      </w:pPr>
      <w:r>
        <w:rPr>
          <w:rFonts w:ascii="Arial" w:hAnsi="Arial"/>
          <w:color w:val="525252"/>
          <w:sz w:val="13"/>
        </w:rPr>
        <w:t>If worn, the dress boot sole will be black plain rounded toe or rounded capped toe.</w:t>
      </w:r>
    </w:p>
    <w:p>
      <w:pPr>
        <w:spacing w:after="20" w:line="223" w:lineRule="auto"/>
        <w:jc w:val="right"/>
        <w:bidi/>
      </w:pPr>
      <w:r>
        <w:rPr>
          <w:rFonts w:ascii="Arial" w:hAnsi="Arial"/>
          <w:sz w:val="16"/>
        </w:rPr>
        <w:t>480.43  ممکن است یک زیپ یا درج الاستیک پوشیده شود. اما اگر پوشیده شوند بدون طراحی خواهند بود.</w:t>
      </w:r>
    </w:p>
    <w:p>
      <w:pPr>
        <w:spacing w:after="28" w:line="216" w:lineRule="auto"/>
        <w:ind w:left="259"/>
        <w:jc w:val="left"/>
      </w:pPr>
      <w:r>
        <w:rPr>
          <w:rFonts w:ascii="Arial" w:hAnsi="Arial"/>
          <w:color w:val="525252"/>
          <w:sz w:val="13"/>
        </w:rPr>
        <w:t>A zipper or elastic inserts may be worn; however, if worn they will be without design.</w:t>
      </w:r>
    </w:p>
    <w:p>
      <w:pPr>
        <w:spacing w:after="20" w:line="223" w:lineRule="auto"/>
        <w:jc w:val="right"/>
        <w:bidi/>
      </w:pPr>
      <w:r>
        <w:rPr>
          <w:rFonts w:ascii="Arial" w:hAnsi="Arial"/>
          <w:sz w:val="16"/>
        </w:rPr>
        <w:t>480.44  ضخامت کفی از ۱/۲ اینچ و ارتفاع پاشنه از ۱ اینچ بیشتر نخواهد بود (از قسمت جلوی داخلی پاشنه اندازه گیری می‌شود).</w:t>
      </w:r>
    </w:p>
    <w:p>
      <w:pPr>
        <w:spacing w:after="28" w:line="216" w:lineRule="auto"/>
        <w:ind w:left="259"/>
        <w:jc w:val="left"/>
      </w:pPr>
      <w:r>
        <w:rPr>
          <w:rFonts w:ascii="Arial" w:hAnsi="Arial"/>
          <w:color w:val="525252"/>
          <w:sz w:val="13"/>
        </w:rPr>
        <w:t>The sole will not exceed 1/2-inch in thickness and heel will not exceed 1-inch in height (measured from the inside front of the heel).</w:t>
      </w:r>
    </w:p>
    <w:p>
      <w:pPr>
        <w:spacing w:after="20" w:line="223" w:lineRule="auto"/>
        <w:jc w:val="right"/>
        <w:bidi/>
      </w:pPr>
      <w:r>
        <w:rPr>
          <w:rFonts w:ascii="Arial" w:hAnsi="Arial"/>
          <w:sz w:val="16"/>
        </w:rPr>
        <w:t>480.45  براق بودن یا پرداخت حق اختراع اختیاری است.</w:t>
      </w:r>
    </w:p>
    <w:p>
      <w:pPr>
        <w:spacing w:after="28" w:line="216" w:lineRule="auto"/>
        <w:ind w:left="259"/>
        <w:jc w:val="left"/>
      </w:pPr>
      <w:r>
        <w:rPr>
          <w:rFonts w:ascii="Arial" w:hAnsi="Arial"/>
          <w:color w:val="525252"/>
          <w:sz w:val="13"/>
        </w:rPr>
        <w:t>High-gloss or patent finish is optional.</w:t>
      </w:r>
    </w:p>
    <w:p>
      <w:pPr>
        <w:spacing w:after="20" w:line="223" w:lineRule="auto"/>
        <w:jc w:val="right"/>
        <w:bidi/>
      </w:pPr>
      <w:r>
        <w:rPr>
          <w:rFonts w:ascii="Arial" w:hAnsi="Arial"/>
          <w:sz w:val="16"/>
        </w:rPr>
        <w:t>480.46  چکمه مجلسی (زنانه).</w:t>
      </w:r>
    </w:p>
    <w:p>
      <w:pPr>
        <w:spacing w:after="28" w:line="216" w:lineRule="auto"/>
        <w:ind w:left="259"/>
        <w:jc w:val="left"/>
      </w:pPr>
      <w:r>
        <w:rPr>
          <w:rFonts w:ascii="Arial" w:hAnsi="Arial"/>
          <w:color w:val="525252"/>
          <w:sz w:val="13"/>
        </w:rPr>
        <w:t>Dress Boots (Females).</w:t>
      </w:r>
    </w:p>
    <w:p>
      <w:pPr>
        <w:spacing w:after="20" w:line="223" w:lineRule="auto"/>
        <w:jc w:val="right"/>
        <w:bidi/>
      </w:pPr>
      <w:r>
        <w:rPr>
          <w:rFonts w:ascii="Arial" w:hAnsi="Arial"/>
          <w:sz w:val="16"/>
        </w:rPr>
        <w:t>480.47  می‌توان با لباس‌های کلاس ا، کلاس ب و تمام لباس‌های بارداری آبی پوشید.</w:t>
      </w:r>
    </w:p>
    <w:p>
      <w:pPr>
        <w:spacing w:after="28" w:line="216" w:lineRule="auto"/>
        <w:ind w:left="259"/>
        <w:jc w:val="left"/>
      </w:pPr>
      <w:r>
        <w:rPr>
          <w:rFonts w:ascii="Arial" w:hAnsi="Arial"/>
          <w:color w:val="525252"/>
          <w:sz w:val="13"/>
        </w:rPr>
        <w:t>May wear with the Class A, Class B, and all blue maternity uniforms.</w:t>
      </w:r>
    </w:p>
    <w:p>
      <w:pPr>
        <w:spacing w:after="20" w:line="223" w:lineRule="auto"/>
        <w:jc w:val="right"/>
        <w:bidi/>
      </w:pPr>
      <w:r>
        <w:rPr>
          <w:rFonts w:ascii="Arial" w:hAnsi="Arial"/>
          <w:sz w:val="16"/>
        </w:rPr>
        <w:t>480.48  در آب و هوای نامساعد، چکمه‌ها را ممکن است با دامن یا شلوار بپوشید. با این حال، اگر با دامن پوشیده می‌شوید، چکمه‌ها را در محل کار بیرون بیاورید و از کفش‌های تلمبه‌دار، کفش‌های لغزنده یا قسمت‌های پایین استفاده کنید.</w:t>
      </w:r>
    </w:p>
    <w:p>
      <w:pPr>
        <w:spacing w:after="28" w:line="216" w:lineRule="auto"/>
        <w:ind w:left="259"/>
        <w:jc w:val="left"/>
      </w:pPr>
      <w:r>
        <w:rPr>
          <w:rFonts w:ascii="Arial" w:hAnsi="Arial"/>
          <w:color w:val="525252"/>
          <w:sz w:val="13"/>
        </w:rPr>
        <w:t>During inclement weather, boots may be worn with skirt or slacks; however, if worn with skirt, remove boots while in the workplace and wear pumps, slip-on shoes, or low quarters.</w:t>
      </w:r>
    </w:p>
    <w:p>
      <w:pPr>
        <w:spacing w:after="20" w:line="223" w:lineRule="auto"/>
        <w:jc w:val="right"/>
        <w:bidi/>
      </w:pPr>
      <w:r>
        <w:rPr>
          <w:rFonts w:ascii="Arial" w:hAnsi="Arial"/>
          <w:sz w:val="16"/>
        </w:rPr>
        <w:t>480.49  کفش پاشنه دار خواهد شد</w:t>
      </w:r>
    </w:p>
    <w:p>
      <w:pPr>
        <w:spacing w:after="28" w:line="216" w:lineRule="auto"/>
        <w:ind w:left="259"/>
        <w:jc w:val="left"/>
      </w:pPr>
      <w:r>
        <w:rPr>
          <w:rFonts w:ascii="Arial" w:hAnsi="Arial"/>
          <w:color w:val="525252"/>
          <w:sz w:val="13"/>
        </w:rPr>
        <w:t>Heels will</w:t>
      </w:r>
    </w:p>
    <w:p>
      <w:r>
        <w:br w:type="page"/>
      </w:r>
    </w:p>
    <w:p>
      <w:pPr>
        <w:spacing w:after="60"/>
        <w:jc w:val="right"/>
        <w:bidi/>
      </w:pPr>
      <w:r>
        <w:rPr>
          <w:rFonts w:ascii="Arial" w:hAnsi="Arial"/>
          <w:b/>
          <w:color w:val="1F4D78"/>
          <w:sz w:val="19"/>
        </w:rPr>
        <w:t>هفتهٔ 481  |  صفحهٔ منبع: 497</w:t>
      </w:r>
    </w:p>
    <w:p>
      <w:pPr>
        <w:spacing w:after="20" w:line="223" w:lineRule="auto"/>
        <w:jc w:val="right"/>
        <w:bidi/>
      </w:pPr>
      <w:r>
        <w:rPr>
          <w:rFonts w:ascii="Arial" w:hAnsi="Arial"/>
          <w:sz w:val="16"/>
        </w:rPr>
        <w:t>481.01  از کف داخلی چکمه تا انتهای بالابر پاشنه از ۲ ۱/۲ اینچ بیشتر نباشد.</w:t>
      </w:r>
    </w:p>
    <w:p>
      <w:pPr>
        <w:spacing w:after="28" w:line="216" w:lineRule="auto"/>
        <w:ind w:left="259"/>
        <w:jc w:val="left"/>
      </w:pPr>
      <w:r>
        <w:rPr>
          <w:rFonts w:ascii="Arial" w:hAnsi="Arial"/>
          <w:color w:val="525252"/>
          <w:sz w:val="13"/>
        </w:rPr>
        <w:t>be no higher than 2 1/2-inches measured from the inside sole of the boot to the end of the heel lift.</w:t>
      </w:r>
    </w:p>
    <w:p>
      <w:pPr>
        <w:spacing w:after="20" w:line="223" w:lineRule="auto"/>
        <w:jc w:val="right"/>
        <w:bidi/>
      </w:pPr>
      <w:r>
        <w:rPr>
          <w:rFonts w:ascii="Arial" w:hAnsi="Arial"/>
          <w:sz w:val="16"/>
        </w:rPr>
        <w:t>481.02  قطر نوک پاشنه باید بیش از ۱/۲ اینچ یا بزرگتر از بدنه چکمه باشد.</w:t>
      </w:r>
    </w:p>
    <w:p>
      <w:pPr>
        <w:spacing w:after="28" w:line="216" w:lineRule="auto"/>
        <w:ind w:left="259"/>
        <w:jc w:val="left"/>
      </w:pPr>
      <w:r>
        <w:rPr>
          <w:rFonts w:ascii="Arial" w:hAnsi="Arial"/>
          <w:color w:val="525252"/>
          <w:sz w:val="13"/>
        </w:rPr>
        <w:t>The tip of the heel must exceed 1/2-inch in diameter or larger than the body of the boot.</w:t>
      </w:r>
    </w:p>
    <w:p>
      <w:pPr>
        <w:spacing w:after="20" w:line="223" w:lineRule="auto"/>
        <w:jc w:val="right"/>
        <w:bidi/>
      </w:pPr>
      <w:r>
        <w:rPr>
          <w:rFonts w:ascii="Arial" w:hAnsi="Arial"/>
          <w:sz w:val="16"/>
        </w:rPr>
        <w:t>481.03  انگشت‌های نوک تیز یا مربعی و شکل‌های شدید پاشنه مجاز نیستند.</w:t>
      </w:r>
    </w:p>
    <w:p>
      <w:pPr>
        <w:spacing w:after="28" w:line="216" w:lineRule="auto"/>
        <w:ind w:left="259"/>
        <w:jc w:val="left"/>
      </w:pPr>
      <w:r>
        <w:rPr>
          <w:rFonts w:ascii="Arial" w:hAnsi="Arial"/>
          <w:color w:val="525252"/>
          <w:sz w:val="13"/>
        </w:rPr>
        <w:t>Pointed or squared toes and extreme heel shapes are not authorized.</w:t>
      </w:r>
    </w:p>
    <w:p>
      <w:pPr>
        <w:spacing w:after="20" w:line="223" w:lineRule="auto"/>
        <w:jc w:val="right"/>
        <w:bidi/>
      </w:pPr>
      <w:r>
        <w:rPr>
          <w:rFonts w:ascii="Arial" w:hAnsi="Arial"/>
          <w:sz w:val="16"/>
        </w:rPr>
        <w:t>481.04  آنها ساده، تمیز و قابل استفاده و بدون تزئیناتی مانند سگک، کمان یا تسمه خواهند بود.</w:t>
      </w:r>
    </w:p>
    <w:p>
      <w:pPr>
        <w:spacing w:after="28" w:line="216" w:lineRule="auto"/>
        <w:ind w:left="259"/>
        <w:jc w:val="left"/>
      </w:pPr>
      <w:r>
        <w:rPr>
          <w:rFonts w:ascii="Arial" w:hAnsi="Arial"/>
          <w:color w:val="525252"/>
          <w:sz w:val="13"/>
        </w:rPr>
        <w:t>They will be plain, clean, and serviceable, without ornamentation such as buckles, bows, or straps.</w:t>
      </w:r>
    </w:p>
    <w:p>
      <w:pPr>
        <w:spacing w:after="20" w:line="223" w:lineRule="auto"/>
        <w:jc w:val="right"/>
        <w:bidi/>
      </w:pPr>
      <w:r>
        <w:rPr>
          <w:rFonts w:ascii="Arial" w:hAnsi="Arial"/>
          <w:sz w:val="16"/>
        </w:rPr>
        <w:t>481.05  این ماده از چرم صاف و دانه اسکاچ یا یک ماده ساخته دست بشر خواهد بود.</w:t>
      </w:r>
    </w:p>
    <w:p>
      <w:pPr>
        <w:spacing w:after="28" w:line="216" w:lineRule="auto"/>
        <w:ind w:left="259"/>
        <w:jc w:val="left"/>
      </w:pPr>
      <w:r>
        <w:rPr>
          <w:rFonts w:ascii="Arial" w:hAnsi="Arial"/>
          <w:color w:val="525252"/>
          <w:sz w:val="13"/>
        </w:rPr>
        <w:t>The material will be smooth, scotch- grained leather or a manmade material.</w:t>
      </w:r>
    </w:p>
    <w:p>
      <w:pPr>
        <w:spacing w:after="20" w:line="223" w:lineRule="auto"/>
        <w:jc w:val="right"/>
        <w:bidi/>
      </w:pPr>
      <w:r>
        <w:rPr>
          <w:rFonts w:ascii="Arial" w:hAnsi="Arial"/>
          <w:sz w:val="16"/>
        </w:rPr>
        <w:t>481.06  ممکن است دارای براقیت بالا یا پرداخت حق اختراع باشند.</w:t>
      </w:r>
    </w:p>
    <w:p>
      <w:pPr>
        <w:spacing w:after="28" w:line="216" w:lineRule="auto"/>
        <w:ind w:left="259"/>
        <w:jc w:val="left"/>
      </w:pPr>
      <w:r>
        <w:rPr>
          <w:rFonts w:ascii="Arial" w:hAnsi="Arial"/>
          <w:color w:val="525252"/>
          <w:sz w:val="13"/>
        </w:rPr>
        <w:t>They may be high-gloss or patent finish.</w:t>
      </w:r>
    </w:p>
    <w:p>
      <w:pPr>
        <w:spacing w:after="20" w:line="223" w:lineRule="auto"/>
        <w:jc w:val="right"/>
        <w:bidi/>
      </w:pPr>
      <w:r>
        <w:rPr>
          <w:rFonts w:ascii="Arial" w:hAnsi="Arial"/>
          <w:sz w:val="16"/>
        </w:rPr>
        <w:t>481.07  جوراب بافی (زنانه).</w:t>
      </w:r>
    </w:p>
    <w:p>
      <w:pPr>
        <w:spacing w:after="28" w:line="216" w:lineRule="auto"/>
        <w:ind w:left="259"/>
        <w:jc w:val="left"/>
      </w:pPr>
      <w:r>
        <w:rPr>
          <w:rFonts w:ascii="Arial" w:hAnsi="Arial"/>
          <w:color w:val="525252"/>
          <w:sz w:val="13"/>
        </w:rPr>
        <w:t>Hosiery (Female).</w:t>
      </w:r>
    </w:p>
    <w:p>
      <w:pPr>
        <w:spacing w:after="20" w:line="223" w:lineRule="auto"/>
        <w:jc w:val="right"/>
        <w:bidi/>
      </w:pPr>
      <w:r>
        <w:rPr>
          <w:rFonts w:ascii="Arial" w:hAnsi="Arial"/>
          <w:sz w:val="16"/>
        </w:rPr>
        <w:t>481.08  جوراب بافی را می‌توان با لباس رسمی، لباس نامرتب، لباس نیمه رسمی و لباس سرویس (دامن) پوشید.</w:t>
      </w:r>
    </w:p>
    <w:p>
      <w:pPr>
        <w:spacing w:after="28" w:line="216" w:lineRule="auto"/>
        <w:ind w:left="259"/>
        <w:jc w:val="left"/>
      </w:pPr>
      <w:r>
        <w:rPr>
          <w:rFonts w:ascii="Arial" w:hAnsi="Arial"/>
          <w:color w:val="525252"/>
          <w:sz w:val="13"/>
        </w:rPr>
        <w:t>Hosiery may be worn with the formal dress, mess dress, semi- formal dress, and service dress uniform (skirt).</w:t>
      </w:r>
    </w:p>
    <w:p>
      <w:pPr>
        <w:spacing w:after="20" w:line="223" w:lineRule="auto"/>
        <w:jc w:val="right"/>
        <w:bidi/>
      </w:pPr>
      <w:r>
        <w:rPr>
          <w:rFonts w:ascii="Arial" w:hAnsi="Arial"/>
          <w:sz w:val="16"/>
        </w:rPr>
        <w:t>481.09  در صورت پوشیدن، جوراب بافی ساده، شفاف یا نایلونی در سایه‌های خنثی، قهوه‌ای تیره، مشکی یا آبی تیره خواهد بود.</w:t>
      </w:r>
    </w:p>
    <w:p>
      <w:pPr>
        <w:spacing w:after="28" w:line="216" w:lineRule="auto"/>
        <w:ind w:left="259"/>
        <w:jc w:val="left"/>
      </w:pPr>
      <w:r>
        <w:rPr>
          <w:rFonts w:ascii="Arial" w:hAnsi="Arial"/>
          <w:color w:val="525252"/>
          <w:sz w:val="13"/>
        </w:rPr>
        <w:t>If worn, hosiery will be plain, sheer, or nylon in neutral, dark brown, black, or dark blue shades.</w:t>
      </w:r>
    </w:p>
    <w:p>
      <w:pPr>
        <w:spacing w:after="20" w:line="223" w:lineRule="auto"/>
        <w:jc w:val="right"/>
        <w:bidi/>
      </w:pPr>
      <w:r>
        <w:rPr>
          <w:rFonts w:ascii="Arial" w:hAnsi="Arial"/>
          <w:sz w:val="16"/>
        </w:rPr>
        <w:t>481.10  جوراب بافی طرح دار با هیچ لباسی نپوشید.</w:t>
      </w:r>
    </w:p>
    <w:p>
      <w:pPr>
        <w:spacing w:after="28" w:line="216" w:lineRule="auto"/>
        <w:ind w:left="259"/>
        <w:jc w:val="left"/>
      </w:pPr>
      <w:r>
        <w:rPr>
          <w:rFonts w:ascii="Arial" w:hAnsi="Arial"/>
          <w:color w:val="525252"/>
          <w:sz w:val="13"/>
        </w:rPr>
        <w:t>Do not wear patterned hosiery with any uniform.</w:t>
      </w:r>
    </w:p>
    <w:p>
      <w:pPr>
        <w:spacing w:after="20" w:line="223" w:lineRule="auto"/>
        <w:jc w:val="right"/>
        <w:bidi/>
      </w:pPr>
      <w:r>
        <w:rPr>
          <w:rFonts w:ascii="Arial" w:hAnsi="Arial"/>
          <w:sz w:val="16"/>
        </w:rPr>
        <w:t>481.11  اگر جوراب با شلوار جوراب نپوشید، ممکن است جوراب مشکی ساده (بدون طرح) بپوشید.</w:t>
      </w:r>
    </w:p>
    <w:p>
      <w:pPr>
        <w:spacing w:after="28" w:line="216" w:lineRule="auto"/>
        <w:ind w:left="259"/>
        <w:jc w:val="left"/>
      </w:pPr>
      <w:r>
        <w:rPr>
          <w:rFonts w:ascii="Arial" w:hAnsi="Arial"/>
          <w:color w:val="525252"/>
          <w:sz w:val="13"/>
        </w:rPr>
        <w:t>If not wearing hosiery with slacks, plain (not patterned) black socks may be worn.</w:t>
      </w:r>
    </w:p>
    <w:p>
      <w:pPr>
        <w:spacing w:after="20" w:line="223" w:lineRule="auto"/>
        <w:jc w:val="right"/>
        <w:bidi/>
      </w:pPr>
      <w:r>
        <w:rPr>
          <w:rFonts w:ascii="Arial" w:hAnsi="Arial"/>
          <w:sz w:val="16"/>
        </w:rPr>
        <w:t>481.12  پمپ (زنانه).</w:t>
      </w:r>
    </w:p>
    <w:p>
      <w:pPr>
        <w:spacing w:after="28" w:line="216" w:lineRule="auto"/>
        <w:ind w:left="259"/>
        <w:jc w:val="left"/>
      </w:pPr>
      <w:r>
        <w:rPr>
          <w:rFonts w:ascii="Arial" w:hAnsi="Arial"/>
          <w:color w:val="525252"/>
          <w:sz w:val="13"/>
        </w:rPr>
        <w:t>Pumps (Females).</w:t>
      </w:r>
    </w:p>
    <w:p>
      <w:pPr>
        <w:spacing w:after="20" w:line="223" w:lineRule="auto"/>
        <w:jc w:val="right"/>
        <w:bidi/>
      </w:pPr>
      <w:r>
        <w:rPr>
          <w:rFonts w:ascii="Arial" w:hAnsi="Arial"/>
          <w:sz w:val="16"/>
        </w:rPr>
        <w:t>481.13  با لباس رسمی پوشیده خواهد شد.</w:t>
      </w:r>
    </w:p>
    <w:p>
      <w:pPr>
        <w:spacing w:after="28" w:line="216" w:lineRule="auto"/>
        <w:ind w:left="259"/>
        <w:jc w:val="left"/>
      </w:pPr>
      <w:r>
        <w:rPr>
          <w:rFonts w:ascii="Arial" w:hAnsi="Arial"/>
          <w:color w:val="525252"/>
          <w:sz w:val="13"/>
        </w:rPr>
        <w:t>Will be worn with the formal dress.</w:t>
      </w:r>
    </w:p>
    <w:p>
      <w:pPr>
        <w:spacing w:after="20" w:line="223" w:lineRule="auto"/>
        <w:jc w:val="right"/>
        <w:bidi/>
      </w:pPr>
      <w:r>
        <w:rPr>
          <w:rFonts w:ascii="Arial" w:hAnsi="Arial"/>
          <w:sz w:val="16"/>
        </w:rPr>
        <w:t>481.14  اختیاری با لباس آشفته، لباس سرویس کلاس ا، کلاس ب، لباس نیمه رسمی، و همه لباس‌های بارداری آبی.</w:t>
      </w:r>
    </w:p>
    <w:p>
      <w:pPr>
        <w:spacing w:after="28" w:line="216" w:lineRule="auto"/>
        <w:ind w:left="259"/>
        <w:jc w:val="left"/>
      </w:pPr>
      <w:r>
        <w:rPr>
          <w:rFonts w:ascii="Arial" w:hAnsi="Arial"/>
          <w:color w:val="525252"/>
          <w:sz w:val="13"/>
        </w:rPr>
        <w:t>Optional with the mess dress, service dress Class A, Class B, semi-formal uniforms, and all blue maternity uniforms.</w:t>
      </w:r>
    </w:p>
    <w:p>
      <w:pPr>
        <w:spacing w:after="20" w:line="223" w:lineRule="auto"/>
        <w:jc w:val="right"/>
        <w:bidi/>
      </w:pPr>
      <w:r>
        <w:rPr>
          <w:rFonts w:ascii="Arial" w:hAnsi="Arial"/>
          <w:sz w:val="16"/>
        </w:rPr>
        <w:t>481.15  پمپ‌های مشکی دارای گلوی کم برش و گرد (دهانه بالایی) با پاشنه بلندتر از ۳ اینچ از کف داخلی کفش تا انتهای بالابر پاشنه هستند.</w:t>
      </w:r>
    </w:p>
    <w:p>
      <w:pPr>
        <w:spacing w:after="28" w:line="216" w:lineRule="auto"/>
        <w:ind w:left="259"/>
        <w:jc w:val="left"/>
      </w:pPr>
      <w:r>
        <w:rPr>
          <w:rFonts w:ascii="Arial" w:hAnsi="Arial"/>
          <w:color w:val="525252"/>
          <w:sz w:val="13"/>
        </w:rPr>
        <w:t>Black pumps will be low cut and rounded throat (the top opening) with a raised heel no higher than 3-inches measured from the inside sole of the shoe to the end of the heel lift.</w:t>
      </w:r>
    </w:p>
    <w:p>
      <w:pPr>
        <w:spacing w:after="20" w:line="223" w:lineRule="auto"/>
        <w:jc w:val="right"/>
        <w:bidi/>
      </w:pPr>
      <w:r>
        <w:rPr>
          <w:rFonts w:ascii="Arial" w:hAnsi="Arial"/>
          <w:sz w:val="16"/>
        </w:rPr>
        <w:t>481.16  قطر نوک پاشنه باید بیش از ۱/۲ اینچ یا بزرگتر از بدنه کفش باشد.</w:t>
      </w:r>
    </w:p>
    <w:p>
      <w:pPr>
        <w:spacing w:after="28" w:line="216" w:lineRule="auto"/>
        <w:ind w:left="259"/>
        <w:jc w:val="left"/>
      </w:pPr>
      <w:r>
        <w:rPr>
          <w:rFonts w:ascii="Arial" w:hAnsi="Arial"/>
          <w:color w:val="525252"/>
          <w:sz w:val="13"/>
        </w:rPr>
        <w:t>The tip of the heel must exceed 1/2-inch in diameter or larger than the body of the shoe.</w:t>
      </w:r>
    </w:p>
    <w:p>
      <w:pPr>
        <w:spacing w:after="20" w:line="223" w:lineRule="auto"/>
        <w:jc w:val="right"/>
        <w:bidi/>
      </w:pPr>
      <w:r>
        <w:rPr>
          <w:rFonts w:ascii="Arial" w:hAnsi="Arial"/>
          <w:sz w:val="16"/>
        </w:rPr>
        <w:t>481.17  انگشت‌های نوک تیز یا مربعی و شکل‌های شدید پاشنه مجاز نیستند.</w:t>
      </w:r>
    </w:p>
    <w:p>
      <w:pPr>
        <w:spacing w:after="28" w:line="216" w:lineRule="auto"/>
        <w:ind w:left="259"/>
        <w:jc w:val="left"/>
      </w:pPr>
      <w:r>
        <w:rPr>
          <w:rFonts w:ascii="Arial" w:hAnsi="Arial"/>
          <w:color w:val="525252"/>
          <w:sz w:val="13"/>
        </w:rPr>
        <w:t>Pointed or squared toes and extreme heel shapes are not authorized.</w:t>
      </w:r>
    </w:p>
    <w:p>
      <w:pPr>
        <w:spacing w:after="20" w:line="223" w:lineRule="auto"/>
        <w:jc w:val="right"/>
        <w:bidi/>
      </w:pPr>
      <w:r>
        <w:rPr>
          <w:rFonts w:ascii="Arial" w:hAnsi="Arial"/>
          <w:sz w:val="16"/>
        </w:rPr>
        <w:t>481.18  آنها ساده، تمیز و قابل استفاده بدون تزئیناتی مانند سگک، کمان یا تسمه خواهند بود.</w:t>
      </w:r>
    </w:p>
    <w:p>
      <w:pPr>
        <w:spacing w:after="28" w:line="216" w:lineRule="auto"/>
        <w:ind w:left="259"/>
        <w:jc w:val="left"/>
      </w:pPr>
      <w:r>
        <w:rPr>
          <w:rFonts w:ascii="Arial" w:hAnsi="Arial"/>
          <w:color w:val="525252"/>
          <w:sz w:val="13"/>
        </w:rPr>
        <w:t>They will be plain, clean, and serviceable without ornamentation such as buckles, bows, or straps.</w:t>
      </w:r>
    </w:p>
    <w:p>
      <w:pPr>
        <w:spacing w:after="20" w:line="223" w:lineRule="auto"/>
        <w:jc w:val="right"/>
        <w:bidi/>
      </w:pPr>
      <w:r>
        <w:rPr>
          <w:rFonts w:ascii="Arial" w:hAnsi="Arial"/>
          <w:sz w:val="16"/>
        </w:rPr>
        <w:t>481.19  این ماده از چرم صاف و با دانه اسکاچ یا یک ماده ساخته دست بشر خواهد بود.</w:t>
      </w:r>
    </w:p>
    <w:p>
      <w:pPr>
        <w:spacing w:after="28" w:line="216" w:lineRule="auto"/>
        <w:ind w:left="259"/>
        <w:jc w:val="left"/>
      </w:pPr>
      <w:r>
        <w:rPr>
          <w:rFonts w:ascii="Arial" w:hAnsi="Arial"/>
          <w:color w:val="525252"/>
          <w:sz w:val="13"/>
        </w:rPr>
        <w:t>The material will be smooth, scotch-grained leather or a manmade material.</w:t>
      </w:r>
    </w:p>
    <w:p>
      <w:pPr>
        <w:spacing w:after="20" w:line="223" w:lineRule="auto"/>
        <w:jc w:val="right"/>
        <w:bidi/>
      </w:pPr>
      <w:r>
        <w:rPr>
          <w:rFonts w:ascii="Arial" w:hAnsi="Arial"/>
          <w:sz w:val="16"/>
        </w:rPr>
        <w:t>481.20  ممکن است دارای براقیت بالا یا پرداخت حق اختراع باشند.</w:t>
      </w:r>
    </w:p>
    <w:p>
      <w:pPr>
        <w:spacing w:after="28" w:line="216" w:lineRule="auto"/>
        <w:ind w:left="259"/>
        <w:jc w:val="left"/>
      </w:pPr>
      <w:r>
        <w:rPr>
          <w:rFonts w:ascii="Arial" w:hAnsi="Arial"/>
          <w:color w:val="525252"/>
          <w:sz w:val="13"/>
        </w:rPr>
        <w:t>They may be high-gloss or patent finish.</w:t>
      </w:r>
    </w:p>
    <w:p>
      <w:pPr>
        <w:spacing w:after="20" w:line="223" w:lineRule="auto"/>
        <w:jc w:val="right"/>
        <w:bidi/>
      </w:pPr>
      <w:r>
        <w:rPr>
          <w:rFonts w:ascii="Arial" w:hAnsi="Arial"/>
          <w:sz w:val="16"/>
        </w:rPr>
        <w:t>481.21  کفش لیز (زنانه).</w:t>
      </w:r>
    </w:p>
    <w:p>
      <w:pPr>
        <w:spacing w:after="28" w:line="216" w:lineRule="auto"/>
        <w:ind w:left="259"/>
        <w:jc w:val="left"/>
      </w:pPr>
      <w:r>
        <w:rPr>
          <w:rFonts w:ascii="Arial" w:hAnsi="Arial"/>
          <w:color w:val="525252"/>
          <w:sz w:val="13"/>
        </w:rPr>
        <w:t>Slip-on Shoes (Females).</w:t>
      </w:r>
    </w:p>
    <w:p>
      <w:pPr>
        <w:spacing w:after="20" w:line="223" w:lineRule="auto"/>
        <w:jc w:val="right"/>
        <w:bidi/>
      </w:pPr>
      <w:r>
        <w:rPr>
          <w:rFonts w:ascii="Arial" w:hAnsi="Arial"/>
          <w:sz w:val="16"/>
        </w:rPr>
        <w:t>481.22  قابل پوشیدن (اختیاری) با یونیفرم‌های کلاس ا، کلاس ب و تمام لباس‌های بارداری آبی رنگ.</w:t>
      </w:r>
    </w:p>
    <w:p>
      <w:pPr>
        <w:spacing w:after="28" w:line="216" w:lineRule="auto"/>
        <w:ind w:left="259"/>
        <w:jc w:val="left"/>
      </w:pPr>
      <w:r>
        <w:rPr>
          <w:rFonts w:ascii="Arial" w:hAnsi="Arial"/>
          <w:color w:val="525252"/>
          <w:sz w:val="13"/>
        </w:rPr>
        <w:t>Can be worn (optional) with the Class A, Class B, and all blue maternity uniforms.</w:t>
      </w:r>
    </w:p>
    <w:p>
      <w:pPr>
        <w:spacing w:after="20" w:line="223" w:lineRule="auto"/>
        <w:jc w:val="right"/>
        <w:bidi/>
      </w:pPr>
      <w:r>
        <w:rPr>
          <w:rFonts w:ascii="Arial" w:hAnsi="Arial"/>
          <w:sz w:val="16"/>
        </w:rPr>
        <w:t>481.23  کفش‌های پله‌ای با طراحی تجاری که رویه کفش از بالای پا می‌رود، با پنجه گرد یا پنجه‌ای گرد ساده و باید پشتی داشته باشد.</w:t>
      </w:r>
    </w:p>
    <w:p>
      <w:pPr>
        <w:spacing w:after="28" w:line="216" w:lineRule="auto"/>
        <w:ind w:left="259"/>
        <w:jc w:val="left"/>
      </w:pPr>
      <w:r>
        <w:rPr>
          <w:rFonts w:ascii="Arial" w:hAnsi="Arial"/>
          <w:color w:val="525252"/>
          <w:sz w:val="13"/>
        </w:rPr>
        <w:t>Commercially designed step-in shoes where the top of the shoe goes over the top of the foot, with rounded toe or plain rounded capped toe and must have a back.</w:t>
      </w:r>
    </w:p>
    <w:p>
      <w:pPr>
        <w:spacing w:after="20" w:line="223" w:lineRule="auto"/>
        <w:jc w:val="right"/>
        <w:bidi/>
      </w:pPr>
      <w:r>
        <w:rPr>
          <w:rFonts w:ascii="Arial" w:hAnsi="Arial"/>
          <w:sz w:val="16"/>
        </w:rPr>
        <w:t>481.24  انگشت‌های نوک تیز یا مربعی و شکل‌های شدید پاشنه مجاز نیستند.</w:t>
      </w:r>
    </w:p>
    <w:p>
      <w:pPr>
        <w:spacing w:after="28" w:line="216" w:lineRule="auto"/>
        <w:ind w:left="259"/>
        <w:jc w:val="left"/>
      </w:pPr>
      <w:r>
        <w:rPr>
          <w:rFonts w:ascii="Arial" w:hAnsi="Arial"/>
          <w:color w:val="525252"/>
          <w:sz w:val="13"/>
        </w:rPr>
        <w:t>Pointed or squared toes and extreme heel shapes are not authorized.</w:t>
      </w:r>
    </w:p>
    <w:p>
      <w:pPr>
        <w:spacing w:after="20" w:line="223" w:lineRule="auto"/>
        <w:jc w:val="right"/>
        <w:bidi/>
      </w:pPr>
      <w:r>
        <w:rPr>
          <w:rFonts w:ascii="Arial" w:hAnsi="Arial"/>
          <w:sz w:val="16"/>
        </w:rPr>
        <w:t>481.25  آنها ساده، تمیز و قابل استفاده بدون تزئیناتی مانند سگک، کمان یا تسمه خواهند بود.</w:t>
      </w:r>
    </w:p>
    <w:p>
      <w:pPr>
        <w:spacing w:after="28" w:line="216" w:lineRule="auto"/>
        <w:ind w:left="259"/>
        <w:jc w:val="left"/>
      </w:pPr>
      <w:r>
        <w:rPr>
          <w:rFonts w:ascii="Arial" w:hAnsi="Arial"/>
          <w:color w:val="525252"/>
          <w:sz w:val="13"/>
        </w:rPr>
        <w:t>They will be plain, clean, and serviceable without ornamentation such as buckles, bows, or straps.</w:t>
      </w:r>
    </w:p>
    <w:p>
      <w:pPr>
        <w:spacing w:after="20" w:line="223" w:lineRule="auto"/>
        <w:jc w:val="right"/>
        <w:bidi/>
      </w:pPr>
      <w:r>
        <w:rPr>
          <w:rFonts w:ascii="Arial" w:hAnsi="Arial"/>
          <w:sz w:val="16"/>
        </w:rPr>
        <w:t>481.26  این ماده از چرم صاف و با دانه اسکاچ یا یک ماده ساخته دست بشر خواهد بود.</w:t>
      </w:r>
    </w:p>
    <w:p>
      <w:pPr>
        <w:spacing w:after="28" w:line="216" w:lineRule="auto"/>
        <w:ind w:left="259"/>
        <w:jc w:val="left"/>
      </w:pPr>
      <w:r>
        <w:rPr>
          <w:rFonts w:ascii="Arial" w:hAnsi="Arial"/>
          <w:color w:val="525252"/>
          <w:sz w:val="13"/>
        </w:rPr>
        <w:t>The material will be smooth, scotch-grained leather or a manmade material.</w:t>
      </w:r>
    </w:p>
    <w:p>
      <w:pPr>
        <w:spacing w:after="20" w:line="223" w:lineRule="auto"/>
        <w:jc w:val="right"/>
        <w:bidi/>
      </w:pPr>
      <w:r>
        <w:rPr>
          <w:rFonts w:ascii="Arial" w:hAnsi="Arial"/>
          <w:sz w:val="16"/>
        </w:rPr>
        <w:t>481.27  ممکن است دارای براقیت بالا یا پرداخت حق اختراع باشند.</w:t>
      </w:r>
    </w:p>
    <w:p>
      <w:pPr>
        <w:spacing w:after="28" w:line="216" w:lineRule="auto"/>
        <w:ind w:left="259"/>
        <w:jc w:val="left"/>
      </w:pPr>
      <w:r>
        <w:rPr>
          <w:rFonts w:ascii="Arial" w:hAnsi="Arial"/>
          <w:color w:val="525252"/>
          <w:sz w:val="13"/>
        </w:rPr>
        <w:t>They may be high-gloss or patent finish.</w:t>
      </w:r>
    </w:p>
    <w:p>
      <w:pPr>
        <w:spacing w:after="20" w:line="223" w:lineRule="auto"/>
        <w:jc w:val="right"/>
        <w:bidi/>
      </w:pPr>
      <w:r>
        <w:rPr>
          <w:rFonts w:ascii="Arial" w:hAnsi="Arial"/>
          <w:sz w:val="16"/>
        </w:rPr>
        <w:t>481.28  چکمه‌های رزمی کفش (مرد/زن).</w:t>
      </w:r>
    </w:p>
    <w:p>
      <w:pPr>
        <w:spacing w:after="28" w:line="216" w:lineRule="auto"/>
        <w:ind w:left="259"/>
        <w:jc w:val="left"/>
      </w:pPr>
      <w:r>
        <w:rPr>
          <w:rFonts w:ascii="Arial" w:hAnsi="Arial"/>
          <w:color w:val="525252"/>
          <w:sz w:val="13"/>
        </w:rPr>
        <w:t>Footwear Combat Boots (Males/Females).</w:t>
      </w:r>
    </w:p>
    <w:p>
      <w:pPr>
        <w:spacing w:after="20" w:line="223" w:lineRule="auto"/>
        <w:jc w:val="right"/>
        <w:bidi/>
      </w:pPr>
      <w:r>
        <w:rPr>
          <w:rFonts w:ascii="Arial" w:hAnsi="Arial"/>
          <w:sz w:val="16"/>
        </w:rPr>
        <w:t>481.29  چکمه‌های رزمی قهوه‌ای کایوت.</w:t>
      </w:r>
    </w:p>
    <w:p>
      <w:pPr>
        <w:spacing w:after="28" w:line="216" w:lineRule="auto"/>
        <w:ind w:left="259"/>
        <w:jc w:val="left"/>
      </w:pPr>
      <w:r>
        <w:rPr>
          <w:rFonts w:ascii="Arial" w:hAnsi="Arial"/>
          <w:color w:val="525252"/>
          <w:sz w:val="13"/>
        </w:rPr>
        <w:t>Coyote Brown Combat Boots.</w:t>
      </w:r>
    </w:p>
    <w:p>
      <w:pPr>
        <w:spacing w:after="20" w:line="223" w:lineRule="auto"/>
        <w:jc w:val="right"/>
        <w:bidi/>
      </w:pPr>
      <w:r>
        <w:rPr>
          <w:rFonts w:ascii="Arial" w:hAnsi="Arial"/>
          <w:sz w:val="16"/>
        </w:rPr>
        <w:t>481.30  چکمه‌های رزمی کایوت قهوه‌ای را فقط با OCP بپوشید.</w:t>
      </w:r>
    </w:p>
    <w:p>
      <w:pPr>
        <w:spacing w:after="28" w:line="216" w:lineRule="auto"/>
        <w:ind w:left="259"/>
        <w:jc w:val="left"/>
      </w:pPr>
      <w:r>
        <w:rPr>
          <w:rFonts w:ascii="Arial" w:hAnsi="Arial"/>
          <w:color w:val="525252"/>
          <w:sz w:val="13"/>
        </w:rPr>
        <w:t>Wear Coyote Brown combat boots only with the OCP.</w:t>
      </w:r>
    </w:p>
    <w:p>
      <w:pPr>
        <w:spacing w:after="20" w:line="223" w:lineRule="auto"/>
        <w:jc w:val="right"/>
        <w:bidi/>
      </w:pPr>
      <w:r>
        <w:rPr>
          <w:rFonts w:ascii="Arial" w:hAnsi="Arial"/>
          <w:sz w:val="16"/>
        </w:rPr>
        <w:t>481.31  در صورت لزوم از نظر پزشکی که توسط مقامات پزشکی ذیصلاح در یک مرکز درمانی غیرنظامی یا نظامی و تأیید فرمانده تعیین شده است، می‌توان از کفش‌های ورزشی استفاده کرد.</w:t>
      </w:r>
    </w:p>
    <w:p>
      <w:pPr>
        <w:spacing w:after="28" w:line="216" w:lineRule="auto"/>
        <w:ind w:left="259"/>
        <w:jc w:val="left"/>
      </w:pPr>
      <w:r>
        <w:rPr>
          <w:rFonts w:ascii="Arial" w:hAnsi="Arial"/>
          <w:color w:val="525252"/>
          <w:sz w:val="13"/>
        </w:rPr>
        <w:t>Athletic shoes may be worn if medically necessary, as determined by competent medical authorities at a civilian or military treatment facility and approved by the commander.</w:t>
      </w:r>
    </w:p>
    <w:p>
      <w:pPr>
        <w:spacing w:after="20" w:line="223" w:lineRule="auto"/>
        <w:jc w:val="right"/>
        <w:bidi/>
      </w:pPr>
      <w:r>
        <w:rPr>
          <w:rFonts w:ascii="Arial" w:hAnsi="Arial"/>
          <w:sz w:val="16"/>
        </w:rPr>
        <w:t>481.32  استثنا: فرماندهان ممکن است در برخی شرایط اجازه پوشیدن چکمه‌های رزمی مشکی را بدهند.</w:t>
      </w:r>
    </w:p>
    <w:p>
      <w:pPr>
        <w:spacing w:after="28" w:line="216" w:lineRule="auto"/>
        <w:ind w:left="259"/>
        <w:jc w:val="left"/>
      </w:pPr>
      <w:r>
        <w:rPr>
          <w:rFonts w:ascii="Arial" w:hAnsi="Arial"/>
          <w:color w:val="525252"/>
          <w:sz w:val="13"/>
        </w:rPr>
        <w:t>Exception: Commanders may authorize wear of black combat boots in some situations.</w:t>
      </w:r>
    </w:p>
    <w:p>
      <w:pPr>
        <w:spacing w:after="20" w:line="223" w:lineRule="auto"/>
        <w:jc w:val="right"/>
        <w:bidi/>
      </w:pPr>
      <w:r>
        <w:rPr>
          <w:rFonts w:ascii="Arial" w:hAnsi="Arial"/>
          <w:sz w:val="16"/>
        </w:rPr>
        <w:t>481.33  به DAFI ۳۶-۲۹۰۳، بند ۷.۴.۲.۳ مراجعه کنید.</w:t>
      </w:r>
    </w:p>
    <w:p>
      <w:pPr>
        <w:spacing w:after="28" w:line="216" w:lineRule="auto"/>
        <w:ind w:left="259"/>
        <w:jc w:val="left"/>
      </w:pPr>
      <w:r>
        <w:rPr>
          <w:rFonts w:ascii="Arial" w:hAnsi="Arial"/>
          <w:color w:val="525252"/>
          <w:sz w:val="13"/>
        </w:rPr>
        <w:t>See DAFI 36-2903, paragraph 7.4.2.3.</w:t>
      </w:r>
    </w:p>
    <w:p>
      <w:pPr>
        <w:spacing w:after="20" w:line="223" w:lineRule="auto"/>
        <w:jc w:val="right"/>
        <w:bidi/>
      </w:pPr>
      <w:r>
        <w:rPr>
          <w:rFonts w:ascii="Arial" w:hAnsi="Arial"/>
          <w:sz w:val="16"/>
        </w:rPr>
        <w:t>481.34  ارتفاع مواد زیره بیش از ۲ اینچ نخواهد بود.</w:t>
      </w:r>
    </w:p>
    <w:p>
      <w:pPr>
        <w:spacing w:after="28" w:line="216" w:lineRule="auto"/>
        <w:ind w:left="259"/>
        <w:jc w:val="left"/>
      </w:pPr>
      <w:r>
        <w:rPr>
          <w:rFonts w:ascii="Arial" w:hAnsi="Arial"/>
          <w:color w:val="525252"/>
          <w:sz w:val="13"/>
        </w:rPr>
        <w:t>The soling material will not exceed 2-inches in height.</w:t>
      </w:r>
    </w:p>
    <w:p>
      <w:pPr>
        <w:spacing w:after="20" w:line="223" w:lineRule="auto"/>
        <w:jc w:val="right"/>
        <w:bidi/>
      </w:pPr>
      <w:r>
        <w:rPr>
          <w:rFonts w:ascii="Arial" w:hAnsi="Arial"/>
          <w:sz w:val="16"/>
        </w:rPr>
        <w:t>481.35  تا زمانی که ضربه‌ها ظاهر مورد نظر چکمه‌ها را تغییر ندهد، مسافران می‌توانند برای حفظ پاشنه‌های خود ضربه‌هایی روی چکمه‌های خود بزنند.</w:t>
      </w:r>
    </w:p>
    <w:p>
      <w:pPr>
        <w:spacing w:after="28" w:line="216" w:lineRule="auto"/>
        <w:ind w:left="259"/>
        <w:jc w:val="left"/>
      </w:pPr>
      <w:r>
        <w:rPr>
          <w:rFonts w:ascii="Arial" w:hAnsi="Arial"/>
          <w:color w:val="525252"/>
          <w:sz w:val="13"/>
        </w:rPr>
        <w:t>Airmen may wear taps on their boots to preserve the heels as long as the taps do not change the intended appearance of the boots.</w:t>
      </w:r>
    </w:p>
    <w:p>
      <w:pPr>
        <w:spacing w:after="20" w:line="223" w:lineRule="auto"/>
        <w:jc w:val="right"/>
        <w:bidi/>
      </w:pPr>
      <w:r>
        <w:rPr>
          <w:rFonts w:ascii="Arial" w:hAnsi="Arial"/>
          <w:sz w:val="16"/>
        </w:rPr>
        <w:t>481.36  چکمه‌ها با پنجه گرد ساده یا پنجه درپوش گرد با یا بدون درز سوراخ دار بسته می‌شوند.</w:t>
      </w:r>
    </w:p>
    <w:p>
      <w:pPr>
        <w:spacing w:after="28" w:line="216" w:lineRule="auto"/>
        <w:ind w:left="259"/>
        <w:jc w:val="left"/>
      </w:pPr>
      <w:r>
        <w:rPr>
          <w:rFonts w:ascii="Arial" w:hAnsi="Arial"/>
          <w:color w:val="525252"/>
          <w:sz w:val="13"/>
        </w:rPr>
        <w:t>Boots will be laced up with plain rounded toe or rounded capped toe with or without a perforated seam.</w:t>
      </w:r>
    </w:p>
    <w:p>
      <w:pPr>
        <w:spacing w:after="20" w:line="223" w:lineRule="auto"/>
        <w:jc w:val="right"/>
        <w:bidi/>
      </w:pPr>
      <w:r>
        <w:rPr>
          <w:rFonts w:ascii="Arial" w:hAnsi="Arial"/>
          <w:sz w:val="16"/>
        </w:rPr>
        <w:t>481.37  توری‌ها یا در چکمه بسته می‌شوند و یا به دور چکمه بسته می‌شوند.</w:t>
      </w:r>
    </w:p>
    <w:p>
      <w:pPr>
        <w:spacing w:after="28" w:line="216" w:lineRule="auto"/>
        <w:ind w:left="259"/>
        <w:jc w:val="left"/>
      </w:pPr>
      <w:r>
        <w:rPr>
          <w:rFonts w:ascii="Arial" w:hAnsi="Arial"/>
          <w:color w:val="525252"/>
          <w:sz w:val="13"/>
        </w:rPr>
        <w:t>Laces will either be tied and tucked in the boot or tied and wrapped around the boot.</w:t>
      </w:r>
    </w:p>
    <w:p>
      <w:pPr>
        <w:spacing w:after="20" w:line="223" w:lineRule="auto"/>
        <w:jc w:val="right"/>
        <w:bidi/>
      </w:pPr>
      <w:r>
        <w:rPr>
          <w:rFonts w:ascii="Arial" w:hAnsi="Arial"/>
          <w:sz w:val="16"/>
        </w:rPr>
        <w:t>481.38  ممکن است یک زیپ یا درج الاستیک پوشیده شود. اما اگر پوشیده شوند بدون طرح خواهند بود.</w:t>
      </w:r>
    </w:p>
    <w:p>
      <w:pPr>
        <w:spacing w:after="28" w:line="216" w:lineRule="auto"/>
        <w:ind w:left="259"/>
        <w:jc w:val="left"/>
      </w:pPr>
      <w:r>
        <w:rPr>
          <w:rFonts w:ascii="Arial" w:hAnsi="Arial"/>
          <w:color w:val="525252"/>
          <w:sz w:val="13"/>
        </w:rPr>
        <w:t>A zipper or elastic inserts may be worn; however, if worn, they will be without design.</w:t>
      </w:r>
    </w:p>
    <w:p>
      <w:pPr>
        <w:spacing w:after="20" w:line="223" w:lineRule="auto"/>
        <w:jc w:val="right"/>
        <w:bidi/>
      </w:pPr>
      <w:r>
        <w:rPr>
          <w:rFonts w:ascii="Arial" w:hAnsi="Arial"/>
          <w:sz w:val="16"/>
        </w:rPr>
        <w:t>481.39  چکمه‌ها می‌توانند با یا بدون پنجه ایمنی باشند.</w:t>
      </w:r>
    </w:p>
    <w:p>
      <w:pPr>
        <w:spacing w:after="28" w:line="216" w:lineRule="auto"/>
        <w:ind w:left="259"/>
        <w:jc w:val="left"/>
      </w:pPr>
      <w:r>
        <w:rPr>
          <w:rFonts w:ascii="Arial" w:hAnsi="Arial"/>
          <w:color w:val="525252"/>
          <w:sz w:val="13"/>
        </w:rPr>
        <w:t>Boots can be either with or without a safety toe.</w:t>
      </w:r>
    </w:p>
    <w:p>
      <w:pPr>
        <w:spacing w:after="20" w:line="223" w:lineRule="auto"/>
        <w:jc w:val="right"/>
        <w:bidi/>
      </w:pPr>
      <w:r>
        <w:rPr>
          <w:rFonts w:ascii="Arial" w:hAnsi="Arial"/>
          <w:sz w:val="16"/>
        </w:rPr>
        <w:t>481.40  لوگوها همرنگ بوت خواهند بود.</w:t>
      </w:r>
    </w:p>
    <w:p>
      <w:pPr>
        <w:spacing w:after="28" w:line="216" w:lineRule="auto"/>
        <w:ind w:left="259"/>
        <w:jc w:val="left"/>
      </w:pPr>
      <w:r>
        <w:rPr>
          <w:rFonts w:ascii="Arial" w:hAnsi="Arial"/>
          <w:color w:val="525252"/>
          <w:sz w:val="13"/>
        </w:rPr>
        <w:t>Logos will be the same color as the boot.</w:t>
      </w:r>
    </w:p>
    <w:p>
      <w:pPr>
        <w:spacing w:after="20" w:line="223" w:lineRule="auto"/>
        <w:jc w:val="right"/>
        <w:bidi/>
      </w:pPr>
      <w:r>
        <w:rPr>
          <w:rFonts w:ascii="Arial" w:hAnsi="Arial"/>
          <w:sz w:val="16"/>
        </w:rPr>
        <w:t>481.41  طرح‌ها مجاز نیستند.</w:t>
      </w:r>
    </w:p>
    <w:p>
      <w:pPr>
        <w:spacing w:after="28" w:line="216" w:lineRule="auto"/>
        <w:ind w:left="259"/>
        <w:jc w:val="left"/>
      </w:pPr>
      <w:r>
        <w:rPr>
          <w:rFonts w:ascii="Arial" w:hAnsi="Arial"/>
          <w:color w:val="525252"/>
          <w:sz w:val="13"/>
        </w:rPr>
        <w:t>Designs are not authorized.</w:t>
      </w:r>
    </w:p>
    <w:p>
      <w:pPr>
        <w:spacing w:after="20" w:line="223" w:lineRule="auto"/>
        <w:jc w:val="right"/>
        <w:bidi/>
      </w:pPr>
      <w:r>
        <w:rPr>
          <w:rFonts w:ascii="Arial" w:hAnsi="Arial"/>
          <w:sz w:val="16"/>
        </w:rPr>
        <w:t>481.42  چکمه‌های رزمی مشکی.</w:t>
      </w:r>
    </w:p>
    <w:p>
      <w:pPr>
        <w:spacing w:after="28" w:line="216" w:lineRule="auto"/>
        <w:ind w:left="259"/>
        <w:jc w:val="left"/>
      </w:pPr>
      <w:r>
        <w:rPr>
          <w:rFonts w:ascii="Arial" w:hAnsi="Arial"/>
          <w:color w:val="525252"/>
          <w:sz w:val="13"/>
        </w:rPr>
        <w:t>Black Combat Boots.</w:t>
      </w:r>
    </w:p>
    <w:p>
      <w:pPr>
        <w:spacing w:after="20" w:line="223" w:lineRule="auto"/>
        <w:jc w:val="right"/>
        <w:bidi/>
      </w:pPr>
      <w:r>
        <w:rPr>
          <w:rFonts w:ascii="Arial" w:hAnsi="Arial"/>
          <w:sz w:val="16"/>
        </w:rPr>
        <w:t>481.43  هوانوردان ممکن است با یونیفرم کلاس ا و ب بپوشند.</w:t>
      </w:r>
    </w:p>
    <w:p>
      <w:pPr>
        <w:spacing w:after="28" w:line="216" w:lineRule="auto"/>
        <w:ind w:left="259"/>
        <w:jc w:val="left"/>
      </w:pPr>
      <w:r>
        <w:rPr>
          <w:rFonts w:ascii="Arial" w:hAnsi="Arial"/>
          <w:color w:val="525252"/>
          <w:sz w:val="13"/>
        </w:rPr>
        <w:t>Airmen may wear with the Class A and B uniforms.</w:t>
      </w:r>
    </w:p>
    <w:p>
      <w:pPr>
        <w:spacing w:after="20" w:line="223" w:lineRule="auto"/>
        <w:jc w:val="right"/>
        <w:bidi/>
      </w:pPr>
      <w:r>
        <w:rPr>
          <w:rFonts w:ascii="Arial" w:hAnsi="Arial"/>
          <w:sz w:val="16"/>
        </w:rPr>
        <w:t>481.44  استثنا: هنگام پوشیدن دامن یا جامپر بارداری مجاز نیست.</w:t>
      </w:r>
    </w:p>
    <w:p>
      <w:pPr>
        <w:spacing w:after="28" w:line="216" w:lineRule="auto"/>
        <w:ind w:left="259"/>
        <w:jc w:val="left"/>
      </w:pPr>
      <w:r>
        <w:rPr>
          <w:rFonts w:ascii="Arial" w:hAnsi="Arial"/>
          <w:color w:val="525252"/>
          <w:sz w:val="13"/>
        </w:rPr>
        <w:t>Exception: Not authorized when wearing the skirt or maternity jumper.</w:t>
      </w:r>
    </w:p>
    <w:p>
      <w:pPr>
        <w:spacing w:after="20" w:line="223" w:lineRule="auto"/>
        <w:jc w:val="right"/>
        <w:bidi/>
      </w:pPr>
      <w:r>
        <w:rPr>
          <w:rFonts w:ascii="Arial" w:hAnsi="Arial"/>
          <w:sz w:val="16"/>
        </w:rPr>
        <w:t>481.45  هنگام پوشیدن، بند‌ها یا بسته می‌شوند و در چکمه فرو می‌شوند یا بسته می‌شوند و دور چکمه می‌پیچند.</w:t>
      </w:r>
    </w:p>
    <w:p>
      <w:pPr>
        <w:spacing w:after="28" w:line="216" w:lineRule="auto"/>
        <w:ind w:left="259"/>
        <w:jc w:val="left"/>
      </w:pPr>
      <w:r>
        <w:rPr>
          <w:rFonts w:ascii="Arial" w:hAnsi="Arial"/>
          <w:color w:val="525252"/>
          <w:sz w:val="13"/>
        </w:rPr>
        <w:t>When worn, laces will either be tied and tucked in the boot or tied and wrapped around the boot.</w:t>
      </w:r>
    </w:p>
    <w:p>
      <w:pPr>
        <w:spacing w:after="20" w:line="223" w:lineRule="auto"/>
        <w:jc w:val="right"/>
        <w:bidi/>
      </w:pPr>
      <w:r>
        <w:rPr>
          <w:rFonts w:ascii="Arial" w:hAnsi="Arial"/>
          <w:sz w:val="16"/>
        </w:rPr>
        <w:t>481.46  لوگوها همرنگ بوت خواهند بود.</w:t>
      </w:r>
    </w:p>
    <w:p>
      <w:pPr>
        <w:spacing w:after="28" w:line="216" w:lineRule="auto"/>
        <w:ind w:left="259"/>
        <w:jc w:val="left"/>
      </w:pPr>
      <w:r>
        <w:rPr>
          <w:rFonts w:ascii="Arial" w:hAnsi="Arial"/>
          <w:color w:val="525252"/>
          <w:sz w:val="13"/>
        </w:rPr>
        <w:t>Logos will be the same color as the boot.</w:t>
      </w:r>
    </w:p>
    <w:p>
      <w:pPr>
        <w:spacing w:after="20" w:line="223" w:lineRule="auto"/>
        <w:jc w:val="right"/>
        <w:bidi/>
      </w:pPr>
      <w:r>
        <w:rPr>
          <w:rFonts w:ascii="Arial" w:hAnsi="Arial"/>
          <w:sz w:val="16"/>
        </w:rPr>
        <w:t>481.47  طرح‌ها مجاز نیستند.</w:t>
      </w:r>
    </w:p>
    <w:p>
      <w:pPr>
        <w:spacing w:after="28" w:line="216" w:lineRule="auto"/>
        <w:ind w:left="259"/>
        <w:jc w:val="left"/>
      </w:pPr>
      <w:r>
        <w:rPr>
          <w:rFonts w:ascii="Arial" w:hAnsi="Arial"/>
          <w:color w:val="525252"/>
          <w:sz w:val="13"/>
        </w:rPr>
        <w:t>Designs are not authorized.</w:t>
      </w:r>
    </w:p>
    <w:p>
      <w:pPr>
        <w:spacing w:after="20" w:line="223" w:lineRule="auto"/>
        <w:jc w:val="right"/>
        <w:bidi/>
      </w:pPr>
      <w:r>
        <w:rPr>
          <w:rFonts w:ascii="Arial" w:hAnsi="Arial"/>
          <w:sz w:val="16"/>
        </w:rPr>
        <w:t>481.48  توجه: بلوز کردن برای موارد زیر مجاز است: نجات، افسران نجات رزمی، متخصصان بقا، فرار، مقاومت، و فرار، کنترل رزم، افسران تاکتیک‌های ویژه، چتربازان خدمات هوا-آب و هوا، افسران حزب کنترل هوا تاکتیکی، و حزب کنترل هوایی تاکتیکی.</w:t>
      </w:r>
    </w:p>
    <w:p>
      <w:pPr>
        <w:spacing w:after="28" w:line="216" w:lineRule="auto"/>
        <w:ind w:left="259"/>
        <w:jc w:val="left"/>
      </w:pPr>
      <w:r>
        <w:rPr>
          <w:rFonts w:ascii="Arial" w:hAnsi="Arial"/>
          <w:color w:val="525252"/>
          <w:sz w:val="13"/>
        </w:rPr>
        <w:t>Note: Blousing is authorized for the following: Pararescue, Combat Rescue Officers, Survival, Evasion, Resistance, and Escape Specialists, Combat Control, Special Tactics Officers, Air-Weather Service Parachutists, Tactical Air Control Party Officers, and Tactical Air Control Party.</w:t>
      </w:r>
    </w:p>
    <w:p>
      <w:pPr>
        <w:spacing w:after="20" w:line="223" w:lineRule="auto"/>
        <w:jc w:val="right"/>
        <w:bidi/>
      </w:pPr>
      <w:r>
        <w:rPr>
          <w:rFonts w:ascii="Arial" w:hAnsi="Arial"/>
          <w:sz w:val="16"/>
        </w:rPr>
        <w:t>481.49  فرماندهان نصب می‌توانند در جایی که لازم بدانند پوشیدن چکمه‌های رزمی مشکی با یونیفورم کاربردی را در نصب آن‌ها مجاز کنند.</w:t>
      </w:r>
    </w:p>
    <w:p>
      <w:pPr>
        <w:spacing w:after="28" w:line="216" w:lineRule="auto"/>
        <w:ind w:left="259"/>
        <w:jc w:val="left"/>
      </w:pPr>
      <w:r>
        <w:rPr>
          <w:rFonts w:ascii="Arial" w:hAnsi="Arial"/>
          <w:color w:val="525252"/>
          <w:sz w:val="13"/>
        </w:rPr>
        <w:t>Installation Commanders may authorize the wear of black combat boots with the utility uniform on their installation where they deem necessary.</w:t>
      </w:r>
    </w:p>
    <w:p>
      <w:pPr>
        <w:spacing w:after="20" w:line="223" w:lineRule="auto"/>
        <w:jc w:val="right"/>
        <w:bidi/>
      </w:pPr>
      <w:r>
        <w:rPr>
          <w:rFonts w:ascii="Arial" w:hAnsi="Arial"/>
          <w:sz w:val="16"/>
        </w:rPr>
        <w:t>481.50  این استثنا به‌طور خاص محدود به فعالیت‌های خطوط پروازی نیست. ممکن است در مواردی استفاده شود که محصولات یا فرآیندهای صنعتی باعث جبران ناپذیری شوند</w:t>
      </w:r>
    </w:p>
    <w:p>
      <w:pPr>
        <w:spacing w:after="28" w:line="216" w:lineRule="auto"/>
        <w:ind w:left="259"/>
        <w:jc w:val="left"/>
      </w:pPr>
      <w:r>
        <w:rPr>
          <w:rFonts w:ascii="Arial" w:hAnsi="Arial"/>
          <w:color w:val="525252"/>
          <w:sz w:val="13"/>
        </w:rPr>
        <w:t>This exception is not specifically restricted to flightline activities; it may be applied where industrial products or processes cause irreparable</w:t>
      </w:r>
    </w:p>
    <w:p>
      <w:r>
        <w:br w:type="page"/>
      </w:r>
    </w:p>
    <w:p>
      <w:pPr>
        <w:spacing w:after="60"/>
        <w:jc w:val="right"/>
        <w:bidi/>
      </w:pPr>
      <w:r>
        <w:rPr>
          <w:rFonts w:ascii="Arial" w:hAnsi="Arial"/>
          <w:b/>
          <w:color w:val="1F4D78"/>
          <w:sz w:val="19"/>
        </w:rPr>
        <w:t>هفتهٔ 482  |  صفحهٔ منبع: 498</w:t>
      </w:r>
    </w:p>
    <w:p>
      <w:pPr>
        <w:spacing w:after="20" w:line="223" w:lineRule="auto"/>
        <w:jc w:val="right"/>
        <w:bidi/>
      </w:pPr>
      <w:r>
        <w:rPr>
          <w:rFonts w:ascii="Arial" w:hAnsi="Arial"/>
          <w:sz w:val="16"/>
        </w:rPr>
        <w:t>482.01  آسیب به چکمه‌های رزمی قهوه‌ای کایوت.</w:t>
      </w:r>
    </w:p>
    <w:p>
      <w:pPr>
        <w:spacing w:after="28" w:line="216" w:lineRule="auto"/>
        <w:ind w:left="259"/>
        <w:jc w:val="left"/>
      </w:pPr>
      <w:r>
        <w:rPr>
          <w:rFonts w:ascii="Arial" w:hAnsi="Arial"/>
          <w:color w:val="525252"/>
          <w:sz w:val="13"/>
        </w:rPr>
        <w:t>damage to the coyote brown combat boots.</w:t>
      </w:r>
    </w:p>
    <w:p>
      <w:pPr>
        <w:spacing w:after="20" w:line="223" w:lineRule="auto"/>
        <w:jc w:val="right"/>
        <w:bidi/>
      </w:pPr>
      <w:r>
        <w:rPr>
          <w:rFonts w:ascii="Arial" w:hAnsi="Arial"/>
          <w:sz w:val="16"/>
        </w:rPr>
        <w:t>482.02  چکمه‌های یکنواخت قهوه‌ای کایوت باید هنگام خروج از محل نصب و سایر قسمت‌هایی که توسط فرمانده نصب برای پوشیدن مشخص نشده‌اند پوشیده شوند.</w:t>
      </w:r>
    </w:p>
    <w:p>
      <w:pPr>
        <w:spacing w:after="28" w:line="216" w:lineRule="auto"/>
        <w:ind w:left="259"/>
        <w:jc w:val="left"/>
      </w:pPr>
      <w:r>
        <w:rPr>
          <w:rFonts w:ascii="Arial" w:hAnsi="Arial"/>
          <w:color w:val="525252"/>
          <w:sz w:val="13"/>
        </w:rPr>
        <w:t>Coyote brown uniform boots must be worn when departing the installation and other areas not designated for wear by the Installation Commander.</w:t>
      </w:r>
    </w:p>
    <w:p>
      <w:pPr>
        <w:spacing w:after="20" w:line="223" w:lineRule="auto"/>
        <w:jc w:val="right"/>
        <w:bidi/>
      </w:pPr>
      <w:r>
        <w:rPr>
          <w:rFonts w:ascii="Arial" w:hAnsi="Arial"/>
          <w:sz w:val="16"/>
        </w:rPr>
        <w:t>482.03  ۲۳.۱۶. لباس زیر (اجباری). پوشیدن لباس زیر مناسب با همه الزامی است</w:t>
      </w:r>
    </w:p>
    <w:p>
      <w:pPr>
        <w:spacing w:after="28" w:line="216" w:lineRule="auto"/>
        <w:ind w:left="259"/>
        <w:jc w:val="left"/>
      </w:pPr>
      <w:r>
        <w:rPr>
          <w:rFonts w:ascii="Arial" w:hAnsi="Arial"/>
          <w:color w:val="525252"/>
          <w:sz w:val="13"/>
        </w:rPr>
        <w:t>23.16. Undergarments (Mandatory). Appropriate undergarments are required to be worn with all</w:t>
      </w:r>
    </w:p>
    <w:p>
      <w:pPr>
        <w:spacing w:after="20" w:line="223" w:lineRule="auto"/>
        <w:jc w:val="right"/>
        <w:bidi/>
      </w:pPr>
      <w:r>
        <w:rPr>
          <w:rFonts w:ascii="Arial" w:hAnsi="Arial"/>
          <w:sz w:val="16"/>
        </w:rPr>
        <w:t>482.04  ترکیبات یکنواخت.</w:t>
      </w:r>
    </w:p>
    <w:p>
      <w:pPr>
        <w:spacing w:after="28" w:line="216" w:lineRule="auto"/>
        <w:ind w:left="259"/>
        <w:jc w:val="left"/>
      </w:pPr>
      <w:r>
        <w:rPr>
          <w:rFonts w:ascii="Arial" w:hAnsi="Arial"/>
          <w:color w:val="525252"/>
          <w:sz w:val="13"/>
        </w:rPr>
        <w:t>uniform combinations.</w:t>
      </w:r>
    </w:p>
    <w:p>
      <w:pPr>
        <w:spacing w:after="20" w:line="223" w:lineRule="auto"/>
        <w:jc w:val="right"/>
        <w:bidi/>
      </w:pPr>
      <w:r>
        <w:rPr>
          <w:rFonts w:ascii="Arial" w:hAnsi="Arial"/>
          <w:sz w:val="16"/>
        </w:rPr>
        <w:t>482.05  مردان پیراهن زیر و زیر شلواری را با تمام یونیفرم‌ها خواهند پوشید.</w:t>
      </w:r>
    </w:p>
    <w:p>
      <w:pPr>
        <w:spacing w:after="28" w:line="216" w:lineRule="auto"/>
        <w:ind w:left="259"/>
        <w:jc w:val="left"/>
      </w:pPr>
      <w:r>
        <w:rPr>
          <w:rFonts w:ascii="Arial" w:hAnsi="Arial"/>
          <w:color w:val="525252"/>
          <w:sz w:val="13"/>
        </w:rPr>
        <w:t>Males will wear undershirt and underpants with all uniforms.</w:t>
      </w:r>
    </w:p>
    <w:p>
      <w:pPr>
        <w:spacing w:after="20" w:line="223" w:lineRule="auto"/>
        <w:jc w:val="right"/>
        <w:bidi/>
      </w:pPr>
      <w:r>
        <w:rPr>
          <w:rFonts w:ascii="Arial" w:hAnsi="Arial"/>
          <w:sz w:val="16"/>
        </w:rPr>
        <w:t>482.06  زنان سوتین و شلوار زیر را با تمام یونیفرم‌ها می‌پوشند.</w:t>
      </w:r>
    </w:p>
    <w:p>
      <w:pPr>
        <w:spacing w:after="28" w:line="216" w:lineRule="auto"/>
        <w:ind w:left="259"/>
        <w:jc w:val="left"/>
      </w:pPr>
      <w:r>
        <w:rPr>
          <w:rFonts w:ascii="Arial" w:hAnsi="Arial"/>
          <w:color w:val="525252"/>
          <w:sz w:val="13"/>
        </w:rPr>
        <w:t>Females will wear bra and underpants with all uniforms.</w:t>
      </w:r>
    </w:p>
    <w:p>
      <w:pPr>
        <w:spacing w:after="20" w:line="223" w:lineRule="auto"/>
        <w:jc w:val="right"/>
        <w:bidi/>
      </w:pPr>
      <w:r>
        <w:rPr>
          <w:rFonts w:ascii="Arial" w:hAnsi="Arial"/>
          <w:sz w:val="16"/>
        </w:rPr>
        <w:t>482.07  در صورت پوشیدن، زیرپیراهن‌ها جیب ندارند.</w:t>
      </w:r>
    </w:p>
    <w:p>
      <w:pPr>
        <w:spacing w:after="28" w:line="216" w:lineRule="auto"/>
        <w:ind w:left="259"/>
        <w:jc w:val="left"/>
      </w:pPr>
      <w:r>
        <w:rPr>
          <w:rFonts w:ascii="Arial" w:hAnsi="Arial"/>
          <w:color w:val="525252"/>
          <w:sz w:val="13"/>
        </w:rPr>
        <w:t>If worn, undershirts will not have pockets.</w:t>
      </w:r>
    </w:p>
    <w:p>
      <w:pPr>
        <w:spacing w:after="20" w:line="223" w:lineRule="auto"/>
        <w:jc w:val="right"/>
        <w:bidi/>
      </w:pPr>
      <w:r>
        <w:rPr>
          <w:rFonts w:ascii="Arial" w:hAnsi="Arial"/>
          <w:sz w:val="16"/>
        </w:rPr>
        <w:t>482.08  ۲۳.۱۷. تجهیزات تربیت بدنی (PTG). تجهیزات تربیت بدنی (PTG). PTG مجاز است</w:t>
      </w:r>
    </w:p>
    <w:p>
      <w:pPr>
        <w:spacing w:after="28" w:line="216" w:lineRule="auto"/>
        <w:ind w:left="259"/>
        <w:jc w:val="left"/>
      </w:pPr>
      <w:r>
        <w:rPr>
          <w:rFonts w:ascii="Arial" w:hAnsi="Arial"/>
          <w:color w:val="525252"/>
          <w:sz w:val="13"/>
        </w:rPr>
        <w:t>23.17. Physical Training Gear (PTG). Physical Training Gear (PTG). PTG is authorized for</w:t>
      </w:r>
    </w:p>
    <w:p>
      <w:pPr>
        <w:spacing w:after="20" w:line="223" w:lineRule="auto"/>
        <w:jc w:val="right"/>
        <w:bidi/>
      </w:pPr>
      <w:r>
        <w:rPr>
          <w:rFonts w:ascii="Arial" w:hAnsi="Arial"/>
          <w:sz w:val="16"/>
        </w:rPr>
        <w:t>482.09  توسط پرسنل نظامی نیروی هوایی (از جمله پرسنل بازنشسته) و وزیر و معاون وزیر نیروی هوایی.</w:t>
      </w:r>
    </w:p>
    <w:p>
      <w:pPr>
        <w:spacing w:after="28" w:line="216" w:lineRule="auto"/>
        <w:ind w:left="259"/>
        <w:jc w:val="left"/>
      </w:pPr>
      <w:r>
        <w:rPr>
          <w:rFonts w:ascii="Arial" w:hAnsi="Arial"/>
          <w:color w:val="525252"/>
          <w:sz w:val="13"/>
        </w:rPr>
        <w:t>wear by Air Force military personnel (including retired personnel) and the Secretary and Under Secretary of the Air Force.</w:t>
      </w:r>
    </w:p>
    <w:p>
      <w:r>
        <w:br w:type="page"/>
      </w:r>
    </w:p>
    <w:p>
      <w:pPr>
        <w:spacing w:after="60"/>
        <w:jc w:val="right"/>
        <w:bidi/>
      </w:pPr>
      <w:r>
        <w:rPr>
          <w:rFonts w:ascii="Arial" w:hAnsi="Arial"/>
          <w:b/>
          <w:color w:val="1F4D78"/>
          <w:sz w:val="19"/>
        </w:rPr>
        <w:t>هفتهٔ 483  |  صفحهٔ منبع: 499</w:t>
      </w:r>
    </w:p>
    <w:p>
      <w:pPr>
        <w:spacing w:before="60" w:after="28"/>
        <w:jc w:val="right"/>
        <w:bidi/>
      </w:pPr>
      <w:r>
        <w:rPr>
          <w:b/>
          <w:color w:val="1F4D78"/>
          <w:sz w:val="18"/>
        </w:rPr>
        <w:t>شکل 23.48. تجهیزات تربیت بدنی (PTG) و لباس دویدن PTG</w:t>
      </w:r>
    </w:p>
    <w:p>
      <w:pPr>
        <w:spacing w:after="20"/>
        <w:ind w:left="259"/>
        <w:jc w:val="left"/>
      </w:pPr>
      <w:r>
        <w:rPr>
          <w:color w:val="555555"/>
          <w:sz w:val="12"/>
        </w:rPr>
        <w:t>Figure 23.48. Physical Training Gear (PTG) and PTG Running Suit</w:t>
      </w:r>
    </w:p>
    <w:p>
      <w:pPr>
        <w:spacing w:after="20" w:line="223" w:lineRule="auto"/>
        <w:jc w:val="right"/>
        <w:bidi/>
      </w:pPr>
      <w:r>
        <w:rPr>
          <w:rFonts w:ascii="Arial" w:hAnsi="Arial"/>
          <w:sz w:val="16"/>
        </w:rPr>
        <w:t>483.02  فرماندهان نصب ممکن است به‌طور موقت خط‌مشی پوشیدن را برای رسیدگی به نگرانی‌های فوری ایمنی یا مأموریت/عملیات تنظیم کنند و ممکن است با خط‌مشی پوشیدن محدودتر باشند (مانند عدم استفاده از کلاه یا عینک آفتابی در طول رویدادهای تناسب اندام سازمان‌یافته، بدون سر یا گوشی به دلیل نگرانی‌های ایمنی و غیره) برای پشتیبانی از انسجام واحد و ارائه یک تصویر استاندارد.</w:t>
      </w:r>
    </w:p>
    <w:p>
      <w:pPr>
        <w:spacing w:after="28" w:line="216" w:lineRule="auto"/>
        <w:ind w:left="259"/>
        <w:jc w:val="left"/>
      </w:pPr>
      <w:r>
        <w:rPr>
          <w:rFonts w:ascii="Arial" w:hAnsi="Arial"/>
          <w:color w:val="525252"/>
          <w:sz w:val="13"/>
        </w:rPr>
        <w:t>Installation commanders may temporarily adjust wear policy to address immediate safety or mission/operation concerns and may be more restrictive with wear policy (e.g., no hats or sunglasses during organized fitness events, no head or earphones due to safety concerns, etc.) to support unit cohesion and present a standardized image.</w:t>
      </w:r>
    </w:p>
    <w:p>
      <w:pPr>
        <w:spacing w:after="20" w:line="223" w:lineRule="auto"/>
        <w:jc w:val="right"/>
        <w:bidi/>
      </w:pPr>
      <w:r>
        <w:rPr>
          <w:rFonts w:ascii="Arial" w:hAnsi="Arial"/>
          <w:sz w:val="16"/>
        </w:rPr>
        <w:t>483.03  هوانوردان باید در هنگام ارزیابی آمادگی جسمانی و در حین شرکت در رویدادهای سازماندهی شده PT که توسط فرمانده تعیین شده است از PTG استفاده کنند.</w:t>
      </w:r>
    </w:p>
    <w:p>
      <w:pPr>
        <w:spacing w:after="28" w:line="216" w:lineRule="auto"/>
        <w:ind w:left="259"/>
        <w:jc w:val="left"/>
      </w:pPr>
      <w:r>
        <w:rPr>
          <w:rFonts w:ascii="Arial" w:hAnsi="Arial"/>
          <w:color w:val="525252"/>
          <w:sz w:val="13"/>
        </w:rPr>
        <w:t>Airmen must wear the PTG during physical fitness assessments and while participating in organized PT events as designated by the commander.</w:t>
      </w:r>
    </w:p>
    <w:p>
      <w:pPr>
        <w:spacing w:after="20" w:line="223" w:lineRule="auto"/>
        <w:jc w:val="right"/>
        <w:bidi/>
      </w:pPr>
      <w:r>
        <w:rPr>
          <w:rFonts w:ascii="Arial" w:hAnsi="Arial"/>
          <w:sz w:val="16"/>
        </w:rPr>
        <w:t>483.04  فرماندهان اسکادران ممکن است در روزهای جمعه مجاز به پوشیدن لباس زیر اخلاقی با تمام PTG باشند.</w:t>
      </w:r>
    </w:p>
    <w:p>
      <w:pPr>
        <w:spacing w:after="28" w:line="216" w:lineRule="auto"/>
        <w:ind w:left="259"/>
        <w:jc w:val="left"/>
      </w:pPr>
      <w:r>
        <w:rPr>
          <w:rFonts w:ascii="Arial" w:hAnsi="Arial"/>
          <w:color w:val="525252"/>
          <w:sz w:val="13"/>
        </w:rPr>
        <w:t>Squadron Commanders may authorize the wear of the morale undershirt with all PTG on Fridays.</w:t>
      </w:r>
    </w:p>
    <w:p>
      <w:pPr>
        <w:spacing w:after="20" w:line="223" w:lineRule="auto"/>
        <w:jc w:val="right"/>
        <w:bidi/>
      </w:pPr>
      <w:r>
        <w:rPr>
          <w:rFonts w:ascii="Arial" w:hAnsi="Arial"/>
          <w:sz w:val="16"/>
        </w:rPr>
        <w:t>483.05  فرماندهان AFR و ANG ممکن است در طول تمرین‌های آخر هفته در روزهای جمعه، شنبه یا یکشنبه اجازه استفاده از زیرپیراهن‌های اخلاقی با تمام PTG را بدهند.</w:t>
      </w:r>
    </w:p>
    <w:p>
      <w:pPr>
        <w:spacing w:after="28" w:line="216" w:lineRule="auto"/>
        <w:ind w:left="259"/>
        <w:jc w:val="left"/>
      </w:pPr>
      <w:r>
        <w:rPr>
          <w:rFonts w:ascii="Arial" w:hAnsi="Arial"/>
          <w:color w:val="525252"/>
          <w:sz w:val="13"/>
        </w:rPr>
        <w:t>The AFR and ANG commanders may authorize morale undershirt wear with all PTG during weekend drills on Fridays, Saturdays, or Sundays.</w:t>
      </w:r>
    </w:p>
    <w:p>
      <w:pPr>
        <w:spacing w:after="20" w:line="223" w:lineRule="auto"/>
        <w:jc w:val="right"/>
        <w:bidi/>
      </w:pPr>
      <w:r>
        <w:rPr>
          <w:rFonts w:ascii="Arial" w:hAnsi="Arial"/>
          <w:sz w:val="16"/>
        </w:rPr>
        <w:t>483.06  علاوه بر این، اگر اقلام PTG در طول PT انفرادی یا شخصی پوشیده شوند، دستورالعمل‌های زیر اعمال می‌شود (به استثناء ذکر شده): ژاکت PTG.</w:t>
      </w:r>
    </w:p>
    <w:p>
      <w:pPr>
        <w:spacing w:after="28" w:line="216" w:lineRule="auto"/>
        <w:ind w:left="259"/>
        <w:jc w:val="left"/>
      </w:pPr>
      <w:r>
        <w:rPr>
          <w:rFonts w:ascii="Arial" w:hAnsi="Arial"/>
          <w:color w:val="525252"/>
          <w:sz w:val="13"/>
        </w:rPr>
        <w:t>In addition, if PTG items are worn during individual or personal PT, the following guidelines apply (exceptions noted): PTG Jacket.</w:t>
      </w:r>
    </w:p>
    <w:p>
      <w:pPr>
        <w:spacing w:after="20" w:line="223" w:lineRule="auto"/>
        <w:jc w:val="right"/>
        <w:bidi/>
      </w:pPr>
      <w:r>
        <w:rPr>
          <w:rFonts w:ascii="Arial" w:hAnsi="Arial"/>
          <w:sz w:val="16"/>
        </w:rPr>
        <w:t>483.07  در صورت پوشیدن، ژاکت حداقل تا نیمه بین کمر و یقه بسته می‌شود.</w:t>
      </w:r>
    </w:p>
    <w:p>
      <w:pPr>
        <w:spacing w:after="28" w:line="216" w:lineRule="auto"/>
        <w:ind w:left="259"/>
        <w:jc w:val="left"/>
      </w:pPr>
      <w:r>
        <w:rPr>
          <w:rFonts w:ascii="Arial" w:hAnsi="Arial"/>
          <w:color w:val="525252"/>
          <w:sz w:val="13"/>
        </w:rPr>
        <w:t>If worn, the jacket will be zipped at least halfway between the waistband and collar.</w:t>
      </w:r>
    </w:p>
    <w:p>
      <w:pPr>
        <w:spacing w:after="20" w:line="223" w:lineRule="auto"/>
        <w:jc w:val="right"/>
        <w:bidi/>
      </w:pPr>
      <w:r>
        <w:rPr>
          <w:rFonts w:ascii="Arial" w:hAnsi="Arial"/>
          <w:sz w:val="16"/>
        </w:rPr>
        <w:t>483.08  آستین‌ها در ۱ اینچ مچ به پایان می‌رسند.</w:t>
      </w:r>
    </w:p>
    <w:p>
      <w:pPr>
        <w:spacing w:after="28" w:line="216" w:lineRule="auto"/>
        <w:ind w:left="259"/>
        <w:jc w:val="left"/>
      </w:pPr>
      <w:r>
        <w:rPr>
          <w:rFonts w:ascii="Arial" w:hAnsi="Arial"/>
          <w:color w:val="525252"/>
          <w:sz w:val="13"/>
        </w:rPr>
        <w:t>Sleeves will end within 1-inch of the wrist.</w:t>
      </w:r>
    </w:p>
    <w:p>
      <w:pPr>
        <w:spacing w:after="20" w:line="223" w:lineRule="auto"/>
        <w:jc w:val="right"/>
        <w:bidi/>
      </w:pPr>
      <w:r>
        <w:rPr>
          <w:rFonts w:ascii="Arial" w:hAnsi="Arial"/>
          <w:sz w:val="16"/>
        </w:rPr>
        <w:t>483.09  تی شرت.</w:t>
      </w:r>
    </w:p>
    <w:p>
      <w:pPr>
        <w:spacing w:after="28" w:line="216" w:lineRule="auto"/>
        <w:ind w:left="259"/>
        <w:jc w:val="left"/>
      </w:pPr>
      <w:r>
        <w:rPr>
          <w:rFonts w:ascii="Arial" w:hAnsi="Arial"/>
          <w:color w:val="525252"/>
          <w:sz w:val="13"/>
        </w:rPr>
        <w:t>T-shirt.</w:t>
      </w:r>
    </w:p>
    <w:p>
      <w:pPr>
        <w:spacing w:after="20" w:line="223" w:lineRule="auto"/>
        <w:jc w:val="right"/>
        <w:bidi/>
      </w:pPr>
      <w:r>
        <w:rPr>
          <w:rFonts w:ascii="Arial" w:hAnsi="Arial"/>
          <w:sz w:val="16"/>
        </w:rPr>
        <w:t>483.10  پیراهن PTG آستین کوتاه.</w:t>
      </w:r>
    </w:p>
    <w:p>
      <w:pPr>
        <w:spacing w:after="28" w:line="216" w:lineRule="auto"/>
        <w:ind w:left="259"/>
        <w:jc w:val="left"/>
      </w:pPr>
      <w:r>
        <w:rPr>
          <w:rFonts w:ascii="Arial" w:hAnsi="Arial"/>
          <w:color w:val="525252"/>
          <w:sz w:val="13"/>
        </w:rPr>
        <w:t>Short-sleeved PTG shirt.</w:t>
      </w:r>
    </w:p>
    <w:p>
      <w:pPr>
        <w:spacing w:after="20" w:line="223" w:lineRule="auto"/>
        <w:jc w:val="right"/>
        <w:bidi/>
      </w:pPr>
      <w:r>
        <w:rPr>
          <w:rFonts w:ascii="Arial" w:hAnsi="Arial"/>
          <w:sz w:val="16"/>
        </w:rPr>
        <w:t>483.11  پیراهن آستین کوتاه را در شلوار کوتاه یا شلوار دویدن به تن کنید.</w:t>
      </w:r>
    </w:p>
    <w:p>
      <w:pPr>
        <w:spacing w:after="28" w:line="216" w:lineRule="auto"/>
        <w:ind w:left="259"/>
        <w:jc w:val="left"/>
      </w:pPr>
      <w:r>
        <w:rPr>
          <w:rFonts w:ascii="Arial" w:hAnsi="Arial"/>
          <w:color w:val="525252"/>
          <w:sz w:val="13"/>
        </w:rPr>
        <w:t>Wear the short-sleeve shirt tucked or untucked into shorts or running pants.</w:t>
      </w:r>
    </w:p>
    <w:p>
      <w:pPr>
        <w:spacing w:after="20" w:line="223" w:lineRule="auto"/>
        <w:jc w:val="right"/>
        <w:bidi/>
      </w:pPr>
      <w:r>
        <w:rPr>
          <w:rFonts w:ascii="Arial" w:hAnsi="Arial"/>
          <w:sz w:val="16"/>
        </w:rPr>
        <w:t>483.12  در صورت باز کردن، پیراهن باید تا پایین جیب کناری شورت و شلوار کشیده شود، اما مواد بازتابنده شورت را نمی‌پوشاند.</w:t>
      </w:r>
    </w:p>
    <w:p>
      <w:pPr>
        <w:spacing w:after="28" w:line="216" w:lineRule="auto"/>
        <w:ind w:left="259"/>
        <w:jc w:val="left"/>
      </w:pPr>
      <w:r>
        <w:rPr>
          <w:rFonts w:ascii="Arial" w:hAnsi="Arial"/>
          <w:color w:val="525252"/>
          <w:sz w:val="13"/>
        </w:rPr>
        <w:t>If untucked, shirt must extend to the bottom of the side pocket on the shorts and pants but will not cover the shorts reflective material.</w:t>
      </w:r>
    </w:p>
    <w:p>
      <w:pPr>
        <w:spacing w:after="20" w:line="223" w:lineRule="auto"/>
        <w:jc w:val="right"/>
        <w:bidi/>
      </w:pPr>
      <w:r>
        <w:rPr>
          <w:rFonts w:ascii="Arial" w:hAnsi="Arial"/>
          <w:sz w:val="16"/>
        </w:rPr>
        <w:t>483.13  آستین‌ها را در نیاورید یا برش ندهید.</w:t>
      </w:r>
    </w:p>
    <w:p>
      <w:pPr>
        <w:spacing w:after="28" w:line="216" w:lineRule="auto"/>
        <w:ind w:left="259"/>
        <w:jc w:val="left"/>
      </w:pPr>
      <w:r>
        <w:rPr>
          <w:rFonts w:ascii="Arial" w:hAnsi="Arial"/>
          <w:color w:val="525252"/>
          <w:sz w:val="13"/>
        </w:rPr>
        <w:t>Do not remove or cut sleeves.</w:t>
      </w:r>
    </w:p>
    <w:p>
      <w:pPr>
        <w:spacing w:after="20" w:line="223" w:lineRule="auto"/>
        <w:jc w:val="right"/>
        <w:bidi/>
      </w:pPr>
      <w:r>
        <w:rPr>
          <w:rFonts w:ascii="Arial" w:hAnsi="Arial"/>
          <w:sz w:val="16"/>
        </w:rPr>
        <w:t>483.14  زیر پیراهن‌های سفید، مشکی یا خاکستری روشن با آستین‌های کوتاه و بلند (مثلا اسپندکس، لیکرا یا مواد الاستیک) که شامل یقه‌های ساختگی می‌شود، ممکن است در زیر پیراهن آستین کوتاه PTG پوشیده شده و قابل مشاهده باشند.</w:t>
      </w:r>
    </w:p>
    <w:p>
      <w:pPr>
        <w:spacing w:after="28" w:line="216" w:lineRule="auto"/>
        <w:ind w:left="259"/>
        <w:jc w:val="left"/>
      </w:pPr>
      <w:r>
        <w:rPr>
          <w:rFonts w:ascii="Arial" w:hAnsi="Arial"/>
          <w:color w:val="525252"/>
          <w:sz w:val="13"/>
        </w:rPr>
        <w:t>Short and long- sleeved white, black, or light gray form fitting undershirts, (i.e., spandex, Lycra® or elastic material) to include those with a mock neck may be worn and visible under the short-sleeved PTG shirt.</w:t>
      </w:r>
    </w:p>
    <w:p>
      <w:pPr>
        <w:spacing w:after="20" w:line="223" w:lineRule="auto"/>
        <w:jc w:val="right"/>
        <w:bidi/>
      </w:pPr>
      <w:r>
        <w:rPr>
          <w:rFonts w:ascii="Arial" w:hAnsi="Arial"/>
          <w:sz w:val="16"/>
        </w:rPr>
        <w:t>483.15  زیر پیراهن نباید از پیراهن PTG باز شده پایین‌تر یا بلندتر باشد.</w:t>
      </w:r>
    </w:p>
    <w:p>
      <w:pPr>
        <w:spacing w:after="28" w:line="216" w:lineRule="auto"/>
        <w:ind w:left="259"/>
        <w:jc w:val="left"/>
      </w:pPr>
      <w:r>
        <w:rPr>
          <w:rFonts w:ascii="Arial" w:hAnsi="Arial"/>
          <w:color w:val="525252"/>
          <w:sz w:val="13"/>
        </w:rPr>
        <w:t>Undershirt must not extend lower or be longer than untucked PTG shirt.</w:t>
      </w:r>
    </w:p>
    <w:p>
      <w:pPr>
        <w:spacing w:after="20" w:line="223" w:lineRule="auto"/>
        <w:jc w:val="right"/>
        <w:bidi/>
      </w:pPr>
      <w:r>
        <w:rPr>
          <w:rFonts w:ascii="Arial" w:hAnsi="Arial"/>
          <w:sz w:val="16"/>
        </w:rPr>
        <w:t>483.16  فرماندهان</w:t>
      </w:r>
    </w:p>
    <w:p>
      <w:pPr>
        <w:spacing w:after="28" w:line="216" w:lineRule="auto"/>
        <w:ind w:left="259"/>
        <w:jc w:val="left"/>
      </w:pPr>
      <w:r>
        <w:rPr>
          <w:rFonts w:ascii="Arial" w:hAnsi="Arial"/>
          <w:color w:val="525252"/>
          <w:sz w:val="13"/>
        </w:rPr>
        <w:t>Commanders</w:t>
      </w:r>
    </w:p>
    <w:p>
      <w:r>
        <w:br w:type="page"/>
      </w:r>
    </w:p>
    <w:p>
      <w:pPr>
        <w:spacing w:after="60"/>
        <w:jc w:val="right"/>
        <w:bidi/>
      </w:pPr>
      <w:r>
        <w:rPr>
          <w:rFonts w:ascii="Arial" w:hAnsi="Arial"/>
          <w:b/>
          <w:color w:val="1F4D78"/>
          <w:sz w:val="19"/>
        </w:rPr>
        <w:t>هفتهٔ 484  |  صفحهٔ منبع: 500</w:t>
      </w:r>
    </w:p>
    <w:p>
      <w:pPr>
        <w:spacing w:after="20" w:line="223" w:lineRule="auto"/>
        <w:jc w:val="right"/>
        <w:bidi/>
      </w:pPr>
      <w:r>
        <w:rPr>
          <w:rFonts w:ascii="Arial" w:hAnsi="Arial"/>
          <w:sz w:val="16"/>
        </w:rPr>
        <w:t>484.01  ممکن است استاندارد کند که آیا پیراهن‌ها در ترکیب‌ها یا تمرینات بدنی سازمان‌یافته در واحدها پوشیده می‌شوند یا نه.</w:t>
      </w:r>
    </w:p>
    <w:p>
      <w:pPr>
        <w:spacing w:after="28" w:line="216" w:lineRule="auto"/>
        <w:ind w:left="259"/>
        <w:jc w:val="left"/>
      </w:pPr>
      <w:r>
        <w:rPr>
          <w:rFonts w:ascii="Arial" w:hAnsi="Arial"/>
          <w:color w:val="525252"/>
          <w:sz w:val="13"/>
        </w:rPr>
        <w:t>may standardize whether shirts will be worn tucked or untucked in formations or organized unit physical training.</w:t>
      </w:r>
    </w:p>
    <w:p>
      <w:pPr>
        <w:spacing w:after="20" w:line="223" w:lineRule="auto"/>
        <w:jc w:val="right"/>
        <w:bidi/>
      </w:pPr>
      <w:r>
        <w:rPr>
          <w:rFonts w:ascii="Arial" w:hAnsi="Arial"/>
          <w:sz w:val="16"/>
        </w:rPr>
        <w:t>484.02  پیراهن PTG آستین بلند اختیاری.</w:t>
      </w:r>
    </w:p>
    <w:p>
      <w:pPr>
        <w:spacing w:after="28" w:line="216" w:lineRule="auto"/>
        <w:ind w:left="259"/>
        <w:jc w:val="left"/>
      </w:pPr>
      <w:r>
        <w:rPr>
          <w:rFonts w:ascii="Arial" w:hAnsi="Arial"/>
          <w:color w:val="525252"/>
          <w:sz w:val="13"/>
        </w:rPr>
        <w:t>Optional long-sleeved PTG shirt.</w:t>
      </w:r>
    </w:p>
    <w:p>
      <w:pPr>
        <w:spacing w:after="20" w:line="223" w:lineRule="auto"/>
        <w:jc w:val="right"/>
        <w:bidi/>
      </w:pPr>
      <w:r>
        <w:rPr>
          <w:rFonts w:ascii="Arial" w:hAnsi="Arial"/>
          <w:sz w:val="16"/>
        </w:rPr>
        <w:t>484.03  پیراهن آستین بلند را در شلوار کوتاه یا شلوار دویدن بپوشید. در صورت باز کردن، پیراهن باید تا پایین جیب کناری شلوارک و شلوار کشیده شود اما مواد بازتابنده شورت را نمی‌پوشاند.</w:t>
      </w:r>
    </w:p>
    <w:p>
      <w:pPr>
        <w:spacing w:after="28" w:line="216" w:lineRule="auto"/>
        <w:ind w:left="259"/>
        <w:jc w:val="left"/>
      </w:pPr>
      <w:r>
        <w:rPr>
          <w:rFonts w:ascii="Arial" w:hAnsi="Arial"/>
          <w:color w:val="525252"/>
          <w:sz w:val="13"/>
        </w:rPr>
        <w:t>Wear the long-sleeve shirt tucked or untucked into shorts or running pants; if untucked, shirt must extend to the bottom of the side pocket on the shorts and pants but will not cover the shorts reflective material.</w:t>
      </w:r>
    </w:p>
    <w:p>
      <w:pPr>
        <w:spacing w:after="20" w:line="223" w:lineRule="auto"/>
        <w:jc w:val="right"/>
        <w:bidi/>
      </w:pPr>
      <w:r>
        <w:rPr>
          <w:rFonts w:ascii="Arial" w:hAnsi="Arial"/>
          <w:sz w:val="16"/>
        </w:rPr>
        <w:t>484.04  آستین‌ها را فشار ندهید، بیرون نیاورید یا برش ندهید.</w:t>
      </w:r>
    </w:p>
    <w:p>
      <w:pPr>
        <w:spacing w:after="28" w:line="216" w:lineRule="auto"/>
        <w:ind w:left="259"/>
        <w:jc w:val="left"/>
      </w:pPr>
      <w:r>
        <w:rPr>
          <w:rFonts w:ascii="Arial" w:hAnsi="Arial"/>
          <w:color w:val="525252"/>
          <w:sz w:val="13"/>
        </w:rPr>
        <w:t>Do not push up, remove, or cut sleeves.</w:t>
      </w:r>
    </w:p>
    <w:p>
      <w:pPr>
        <w:spacing w:after="20" w:line="223" w:lineRule="auto"/>
        <w:jc w:val="right"/>
        <w:bidi/>
      </w:pPr>
      <w:r>
        <w:rPr>
          <w:rFonts w:ascii="Arial" w:hAnsi="Arial"/>
          <w:sz w:val="16"/>
        </w:rPr>
        <w:t>484.05  زیر پیراهن‌های آستین‌های کوتاه و بلند (مانند اسپندکس، لیکرا یا مواد الاستیک) که شامل آنهایی با یقه‌های ساختگی می‌شود، ممکن است زیر پیراهن آستین بلند PTG پوشیده و قابل مشاهده باشند.</w:t>
      </w:r>
    </w:p>
    <w:p>
      <w:pPr>
        <w:spacing w:after="28" w:line="216" w:lineRule="auto"/>
        <w:ind w:left="259"/>
        <w:jc w:val="left"/>
      </w:pPr>
      <w:r>
        <w:rPr>
          <w:rFonts w:ascii="Arial" w:hAnsi="Arial"/>
          <w:color w:val="525252"/>
          <w:sz w:val="13"/>
        </w:rPr>
        <w:t>Short and long sleeved form fitting undershirts, (i.e., spandex, Lycra® or elastic material) to include those with a mock neck may be worn and visible (at neck only) under the long-sleeved PTG shirt.</w:t>
      </w:r>
    </w:p>
    <w:p>
      <w:pPr>
        <w:spacing w:after="20" w:line="223" w:lineRule="auto"/>
        <w:jc w:val="right"/>
        <w:bidi/>
      </w:pPr>
      <w:r>
        <w:rPr>
          <w:rFonts w:ascii="Arial" w:hAnsi="Arial"/>
          <w:sz w:val="16"/>
        </w:rPr>
        <w:t>484.06  زیرپیراهن نباید پایین‌تر یا بلندتر از پیراهن آستین بلند PTG باشد.</w:t>
      </w:r>
    </w:p>
    <w:p>
      <w:pPr>
        <w:spacing w:after="28" w:line="216" w:lineRule="auto"/>
        <w:ind w:left="259"/>
        <w:jc w:val="left"/>
      </w:pPr>
      <w:r>
        <w:rPr>
          <w:rFonts w:ascii="Arial" w:hAnsi="Arial"/>
          <w:color w:val="525252"/>
          <w:sz w:val="13"/>
        </w:rPr>
        <w:t>Undershirt must not extend lower or be longer than untucked long-sleeved PTG shirt.</w:t>
      </w:r>
    </w:p>
    <w:p>
      <w:pPr>
        <w:spacing w:after="20" w:line="223" w:lineRule="auto"/>
        <w:jc w:val="right"/>
        <w:bidi/>
      </w:pPr>
      <w:r>
        <w:rPr>
          <w:rFonts w:ascii="Arial" w:hAnsi="Arial"/>
          <w:sz w:val="16"/>
        </w:rPr>
        <w:t>484.07  هیچ محدودیت رنگی برای تناسب فرم زیر پیراهن وجود ندارد مگر اینکه قابل مشاهده باشد. اگر قابل مشاهده باشد، زیرپیراهن‌های مناسب سفید، مشکی یا خاکستری روشن خواهند بود.</w:t>
      </w:r>
    </w:p>
    <w:p>
      <w:pPr>
        <w:spacing w:after="28" w:line="216" w:lineRule="auto"/>
        <w:ind w:left="259"/>
        <w:jc w:val="left"/>
      </w:pPr>
      <w:r>
        <w:rPr>
          <w:rFonts w:ascii="Arial" w:hAnsi="Arial"/>
          <w:color w:val="525252"/>
          <w:sz w:val="13"/>
        </w:rPr>
        <w:t>There is no color restriction on the form fitting undershirt unless visible; if visible, form fitting undershirts will be white, black, or light grey.</w:t>
      </w:r>
    </w:p>
    <w:p>
      <w:pPr>
        <w:spacing w:after="20" w:line="223" w:lineRule="auto"/>
        <w:jc w:val="right"/>
        <w:bidi/>
      </w:pPr>
      <w:r>
        <w:rPr>
          <w:rFonts w:ascii="Arial" w:hAnsi="Arial"/>
          <w:sz w:val="16"/>
        </w:rPr>
        <w:t>484.08  زیرپیراهن ممکن است دارای نشان تجاری کوچک قابل مشاهده باشد.</w:t>
      </w:r>
    </w:p>
    <w:p>
      <w:pPr>
        <w:spacing w:after="28" w:line="216" w:lineRule="auto"/>
        <w:ind w:left="259"/>
        <w:jc w:val="left"/>
      </w:pPr>
      <w:r>
        <w:rPr>
          <w:rFonts w:ascii="Arial" w:hAnsi="Arial"/>
          <w:color w:val="525252"/>
          <w:sz w:val="13"/>
        </w:rPr>
        <w:t>Undershirt may have a visible small trademark logo.</w:t>
      </w:r>
    </w:p>
    <w:p>
      <w:pPr>
        <w:spacing w:after="20" w:line="223" w:lineRule="auto"/>
        <w:jc w:val="right"/>
        <w:bidi/>
      </w:pPr>
      <w:r>
        <w:rPr>
          <w:rFonts w:ascii="Arial" w:hAnsi="Arial"/>
          <w:sz w:val="16"/>
        </w:rPr>
        <w:t>484.09  فرماندهان ممکن است استاندارد کنند که آیا پیراهن‌ها در ترکیب‌ها یا تمرینات بدنی واحد سازمان‌یافته پوشیده می‌شوند یا نه.</w:t>
      </w:r>
    </w:p>
    <w:p>
      <w:pPr>
        <w:spacing w:after="28" w:line="216" w:lineRule="auto"/>
        <w:ind w:left="259"/>
        <w:jc w:val="left"/>
      </w:pPr>
      <w:r>
        <w:rPr>
          <w:rFonts w:ascii="Arial" w:hAnsi="Arial"/>
          <w:color w:val="525252"/>
          <w:sz w:val="13"/>
        </w:rPr>
        <w:t>Commanders may standardize whether shirts will be worn tucked or untucked in formations or organized unit physical training.</w:t>
      </w:r>
    </w:p>
    <w:p>
      <w:pPr>
        <w:spacing w:before="60" w:after="28"/>
        <w:jc w:val="right"/>
        <w:bidi/>
      </w:pPr>
      <w:r>
        <w:rPr>
          <w:b/>
          <w:color w:val="1F4D78"/>
          <w:sz w:val="18"/>
        </w:rPr>
        <w:t>شکل 23.49. اقلام اختیاری PTG (تی شرت آستین بلند و سویشرت آستین بلند)</w:t>
      </w:r>
    </w:p>
    <w:p>
      <w:pPr>
        <w:spacing w:after="20"/>
        <w:ind w:left="259"/>
        <w:jc w:val="left"/>
      </w:pPr>
      <w:r>
        <w:rPr>
          <w:color w:val="555555"/>
          <w:sz w:val="12"/>
        </w:rPr>
        <w:t>Figure 23.49. PTG Optional Items (Long Sleeve T-Shirt and Long Sleeve Sweatshirt)</w:t>
      </w:r>
    </w:p>
    <w:p>
      <w:pPr>
        <w:spacing w:after="20" w:line="223" w:lineRule="auto"/>
        <w:jc w:val="right"/>
        <w:bidi/>
      </w:pPr>
      <w:r>
        <w:rPr>
          <w:rFonts w:ascii="Arial" w:hAnsi="Arial"/>
          <w:sz w:val="16"/>
        </w:rPr>
        <w:t>484.11  سویشرت اختیاری PTG.</w:t>
      </w:r>
    </w:p>
    <w:p>
      <w:pPr>
        <w:spacing w:after="28" w:line="216" w:lineRule="auto"/>
        <w:ind w:left="259"/>
        <w:jc w:val="left"/>
      </w:pPr>
      <w:r>
        <w:rPr>
          <w:rFonts w:ascii="Arial" w:hAnsi="Arial"/>
          <w:color w:val="525252"/>
          <w:sz w:val="13"/>
        </w:rPr>
        <w:t>Optional PTG sweatshirt.</w:t>
      </w:r>
    </w:p>
    <w:p>
      <w:pPr>
        <w:spacing w:after="20" w:line="223" w:lineRule="auto"/>
        <w:jc w:val="right"/>
        <w:bidi/>
      </w:pPr>
      <w:r>
        <w:rPr>
          <w:rFonts w:ascii="Arial" w:hAnsi="Arial"/>
          <w:sz w:val="16"/>
        </w:rPr>
        <w:t>484.12  این سویشرت کمتر از شش اینچ زیر خط کمر طبیعی نخواهد بود.</w:t>
      </w:r>
    </w:p>
    <w:p>
      <w:pPr>
        <w:spacing w:after="28" w:line="216" w:lineRule="auto"/>
        <w:ind w:left="259"/>
        <w:jc w:val="left"/>
      </w:pPr>
      <w:r>
        <w:rPr>
          <w:rFonts w:ascii="Arial" w:hAnsi="Arial"/>
          <w:color w:val="525252"/>
          <w:sz w:val="13"/>
        </w:rPr>
        <w:t>The sweatshirt will extend no lower than six inches below the natural waistline.</w:t>
      </w:r>
    </w:p>
    <w:p>
      <w:pPr>
        <w:spacing w:after="20" w:line="223" w:lineRule="auto"/>
        <w:jc w:val="right"/>
        <w:bidi/>
      </w:pPr>
      <w:r>
        <w:rPr>
          <w:rFonts w:ascii="Arial" w:hAnsi="Arial"/>
          <w:sz w:val="16"/>
        </w:rPr>
        <w:t>484.13  آستین‌ها را فشار ندهید، بیرون نیاورید یا برش ندهید.</w:t>
      </w:r>
    </w:p>
    <w:p>
      <w:pPr>
        <w:spacing w:after="28" w:line="216" w:lineRule="auto"/>
        <w:ind w:left="259"/>
        <w:jc w:val="left"/>
      </w:pPr>
      <w:r>
        <w:rPr>
          <w:rFonts w:ascii="Arial" w:hAnsi="Arial"/>
          <w:color w:val="525252"/>
          <w:sz w:val="13"/>
        </w:rPr>
        <w:t>Do not push up, remove, or cut sleeves.</w:t>
      </w:r>
    </w:p>
    <w:p>
      <w:pPr>
        <w:spacing w:after="20" w:line="223" w:lineRule="auto"/>
        <w:jc w:val="right"/>
        <w:bidi/>
      </w:pPr>
      <w:r>
        <w:rPr>
          <w:rFonts w:ascii="Arial" w:hAnsi="Arial"/>
          <w:sz w:val="16"/>
        </w:rPr>
        <w:t>484.14  زیر پیراهن‌های آستین‌های کوتاه و بلند (مانند اسپندکس، لیکرا یا مواد الاستیک) که شامل یقه‌های ساختگی نیز می‌شود، ممکن است زیر سویشرت PTG پوشیده و قابل مشاهده باشند (فقط در یقه).</w:t>
      </w:r>
    </w:p>
    <w:p>
      <w:pPr>
        <w:spacing w:after="28" w:line="216" w:lineRule="auto"/>
        <w:ind w:left="259"/>
        <w:jc w:val="left"/>
      </w:pPr>
      <w:r>
        <w:rPr>
          <w:rFonts w:ascii="Arial" w:hAnsi="Arial"/>
          <w:color w:val="525252"/>
          <w:sz w:val="13"/>
        </w:rPr>
        <w:t>Short and long sleeved form fitting undershirts, (i.e., spandex, Lycra® or elastic material) to include those with a mock neck may be worn and visible (at neck only) under the PTG sweatshirt.</w:t>
      </w:r>
    </w:p>
    <w:p>
      <w:pPr>
        <w:spacing w:after="20" w:line="223" w:lineRule="auto"/>
        <w:jc w:val="right"/>
        <w:bidi/>
      </w:pPr>
      <w:r>
        <w:rPr>
          <w:rFonts w:ascii="Arial" w:hAnsi="Arial"/>
          <w:sz w:val="16"/>
        </w:rPr>
        <w:t>484.15  زیرپیراهن باید در تن باشد.</w:t>
      </w:r>
    </w:p>
    <w:p>
      <w:pPr>
        <w:spacing w:after="28" w:line="216" w:lineRule="auto"/>
        <w:ind w:left="259"/>
        <w:jc w:val="left"/>
      </w:pPr>
      <w:r>
        <w:rPr>
          <w:rFonts w:ascii="Arial" w:hAnsi="Arial"/>
          <w:color w:val="525252"/>
          <w:sz w:val="13"/>
        </w:rPr>
        <w:t>Undershirt must be tucked in.</w:t>
      </w:r>
    </w:p>
    <w:p>
      <w:pPr>
        <w:spacing w:after="20" w:line="223" w:lineRule="auto"/>
        <w:jc w:val="right"/>
        <w:bidi/>
      </w:pPr>
      <w:r>
        <w:rPr>
          <w:rFonts w:ascii="Arial" w:hAnsi="Arial"/>
          <w:sz w:val="16"/>
        </w:rPr>
        <w:t>484.16  هیچ محدودیت رنگی برای تناسب فرم زیر پیراهن وجود ندارد. اگر قابل مشاهده باشد، زیرپیراهن‌های مناسب سفید، مشکی یا خاکستری روشن خواهند بود. زیر پیراهن ممکن است نشان تجاری کوچک قابل مشاهده باشد.</w:t>
      </w:r>
    </w:p>
    <w:p>
      <w:pPr>
        <w:spacing w:after="28" w:line="216" w:lineRule="auto"/>
        <w:ind w:left="259"/>
        <w:jc w:val="left"/>
      </w:pPr>
      <w:r>
        <w:rPr>
          <w:rFonts w:ascii="Arial" w:hAnsi="Arial"/>
          <w:color w:val="525252"/>
          <w:sz w:val="13"/>
        </w:rPr>
        <w:t>There is no color restriction on the form fitting undershirt; if visible, form fitting undershirts will be white, black, or light grey; undershirt may have visible small trademark logo.</w:t>
      </w:r>
    </w:p>
    <w:p>
      <w:pPr>
        <w:spacing w:after="20" w:line="223" w:lineRule="auto"/>
        <w:jc w:val="right"/>
        <w:bidi/>
      </w:pPr>
      <w:r>
        <w:rPr>
          <w:rFonts w:ascii="Arial" w:hAnsi="Arial"/>
          <w:sz w:val="16"/>
        </w:rPr>
        <w:t>484.17  شورت/شلوار دویدن.</w:t>
      </w:r>
    </w:p>
    <w:p>
      <w:pPr>
        <w:spacing w:after="28" w:line="216" w:lineRule="auto"/>
        <w:ind w:left="259"/>
        <w:jc w:val="left"/>
      </w:pPr>
      <w:r>
        <w:rPr>
          <w:rFonts w:ascii="Arial" w:hAnsi="Arial"/>
          <w:color w:val="525252"/>
          <w:sz w:val="13"/>
        </w:rPr>
        <w:t>Shorts/Running Pants.</w:t>
      </w:r>
    </w:p>
    <w:p>
      <w:pPr>
        <w:spacing w:after="20" w:line="223" w:lineRule="auto"/>
        <w:jc w:val="right"/>
        <w:bidi/>
      </w:pPr>
      <w:r>
        <w:rPr>
          <w:rFonts w:ascii="Arial" w:hAnsi="Arial"/>
          <w:sz w:val="16"/>
        </w:rPr>
        <w:t>484.18  شلوار دویدن PTG.</w:t>
      </w:r>
    </w:p>
    <w:p>
      <w:pPr>
        <w:spacing w:after="28" w:line="216" w:lineRule="auto"/>
        <w:ind w:left="259"/>
        <w:jc w:val="left"/>
      </w:pPr>
      <w:r>
        <w:rPr>
          <w:rFonts w:ascii="Arial" w:hAnsi="Arial"/>
          <w:color w:val="525252"/>
          <w:sz w:val="13"/>
        </w:rPr>
        <w:t>PTG running pants.</w:t>
      </w:r>
    </w:p>
    <w:p>
      <w:pPr>
        <w:spacing w:after="20" w:line="223" w:lineRule="auto"/>
        <w:jc w:val="right"/>
        <w:bidi/>
      </w:pPr>
      <w:r>
        <w:rPr>
          <w:rFonts w:ascii="Arial" w:hAnsi="Arial"/>
          <w:sz w:val="16"/>
        </w:rPr>
        <w:t>484.19  بند کمر در فاصله ۲ اینچی از خط کمر طبیعی قرار می‌گیرد.</w:t>
      </w:r>
    </w:p>
    <w:p>
      <w:pPr>
        <w:spacing w:after="28" w:line="216" w:lineRule="auto"/>
        <w:ind w:left="259"/>
        <w:jc w:val="left"/>
      </w:pPr>
      <w:r>
        <w:rPr>
          <w:rFonts w:ascii="Arial" w:hAnsi="Arial"/>
          <w:color w:val="525252"/>
          <w:sz w:val="13"/>
        </w:rPr>
        <w:t>The waistband will rest at or within 2-inches of the natural waistline.</w:t>
      </w:r>
    </w:p>
    <w:p>
      <w:r>
        <w:br w:type="page"/>
      </w:r>
    </w:p>
    <w:p>
      <w:pPr>
        <w:spacing w:after="60"/>
        <w:jc w:val="right"/>
        <w:bidi/>
      </w:pPr>
      <w:r>
        <w:rPr>
          <w:rFonts w:ascii="Arial" w:hAnsi="Arial"/>
          <w:b/>
          <w:color w:val="1F4D78"/>
          <w:sz w:val="19"/>
        </w:rPr>
        <w:t>هفتهٔ 485  |  صفحهٔ منبع: 501</w:t>
      </w:r>
    </w:p>
    <w:p>
      <w:pPr>
        <w:spacing w:after="20" w:line="223" w:lineRule="auto"/>
        <w:jc w:val="right"/>
        <w:bidi/>
      </w:pPr>
      <w:r>
        <w:rPr>
          <w:rFonts w:ascii="Arial" w:hAnsi="Arial"/>
          <w:sz w:val="16"/>
        </w:rPr>
        <w:t>485.01  هر دو ساق شلوار تا زیر مچ پا کشیده می‌شوند و تا ۱ اینچی پایین زیپ می‌شوند.</w:t>
      </w:r>
    </w:p>
    <w:p>
      <w:pPr>
        <w:spacing w:after="28" w:line="216" w:lineRule="auto"/>
        <w:ind w:left="259"/>
        <w:jc w:val="left"/>
      </w:pPr>
      <w:r>
        <w:rPr>
          <w:rFonts w:ascii="Arial" w:hAnsi="Arial"/>
          <w:color w:val="525252"/>
          <w:sz w:val="13"/>
        </w:rPr>
        <w:t>Both pant legs will extend below the ankles and will be zipped to within 1-inch of the bottom.</w:t>
      </w:r>
    </w:p>
    <w:p>
      <w:pPr>
        <w:spacing w:after="20" w:line="223" w:lineRule="auto"/>
        <w:jc w:val="right"/>
        <w:bidi/>
      </w:pPr>
      <w:r>
        <w:rPr>
          <w:rFonts w:ascii="Arial" w:hAnsi="Arial"/>
          <w:sz w:val="16"/>
        </w:rPr>
        <w:t>485.02  شورت PTG (با مواد بازتابنده) و شورت دویدن PTG اختیاری (بدون مواد بازتابنده).</w:t>
      </w:r>
    </w:p>
    <w:p>
      <w:pPr>
        <w:spacing w:after="28" w:line="216" w:lineRule="auto"/>
        <w:ind w:left="259"/>
        <w:jc w:val="left"/>
      </w:pPr>
      <w:r>
        <w:rPr>
          <w:rFonts w:ascii="Arial" w:hAnsi="Arial"/>
          <w:color w:val="525252"/>
          <w:sz w:val="13"/>
        </w:rPr>
        <w:t>PTG shorts (with reflective material) and optional PTG running shorts (without reflective material).</w:t>
      </w:r>
    </w:p>
    <w:p>
      <w:pPr>
        <w:spacing w:after="20" w:line="223" w:lineRule="auto"/>
        <w:jc w:val="right"/>
        <w:bidi/>
      </w:pPr>
      <w:r>
        <w:rPr>
          <w:rFonts w:ascii="Arial" w:hAnsi="Arial"/>
          <w:sz w:val="16"/>
        </w:rPr>
        <w:t>485.03  بند کمر شورت PTG در فاصله ۲ اینچی از خط کمر طبیعی قرار می‌گیرد.</w:t>
      </w:r>
    </w:p>
    <w:p>
      <w:pPr>
        <w:spacing w:after="28" w:line="216" w:lineRule="auto"/>
        <w:ind w:left="259"/>
        <w:jc w:val="left"/>
      </w:pPr>
      <w:r>
        <w:rPr>
          <w:rFonts w:ascii="Arial" w:hAnsi="Arial"/>
          <w:color w:val="525252"/>
          <w:sz w:val="13"/>
        </w:rPr>
        <w:t>The PTG shorts waistband will rest at or within 2-inches of the natural waistline.</w:t>
      </w:r>
    </w:p>
    <w:p>
      <w:pPr>
        <w:spacing w:after="20" w:line="223" w:lineRule="auto"/>
        <w:jc w:val="right"/>
        <w:bidi/>
      </w:pPr>
      <w:r>
        <w:rPr>
          <w:rFonts w:ascii="Arial" w:hAnsi="Arial"/>
          <w:sz w:val="16"/>
        </w:rPr>
        <w:t>485.04  آستر شورت PTG ممکن است برداشته شود.</w:t>
      </w:r>
    </w:p>
    <w:p>
      <w:pPr>
        <w:spacing w:after="28" w:line="216" w:lineRule="auto"/>
        <w:ind w:left="259"/>
        <w:jc w:val="left"/>
      </w:pPr>
      <w:r>
        <w:rPr>
          <w:rFonts w:ascii="Arial" w:hAnsi="Arial"/>
          <w:color w:val="525252"/>
          <w:sz w:val="13"/>
        </w:rPr>
        <w:t>The lining in the PTG shorts may be removed.</w:t>
      </w:r>
    </w:p>
    <w:p>
      <w:pPr>
        <w:spacing w:after="20" w:line="223" w:lineRule="auto"/>
        <w:jc w:val="right"/>
        <w:bidi/>
      </w:pPr>
      <w:r>
        <w:rPr>
          <w:rFonts w:ascii="Arial" w:hAnsi="Arial"/>
          <w:sz w:val="16"/>
        </w:rPr>
        <w:t>485.05  لباس‌های ورزشی متناسب با فرم سیاه، سفید یا آبی تیره (مانند اسپندکس، لایکرا یا الاستیک) کوتاه، متوسط، و تمام قد یکدست ممکن است زیر شورت دویدن PTG و PTG اختیاری پوشیده شده و قابل مشاهده باشند.</w:t>
      </w:r>
    </w:p>
    <w:p>
      <w:pPr>
        <w:spacing w:after="28" w:line="216" w:lineRule="auto"/>
        <w:ind w:left="259"/>
        <w:jc w:val="left"/>
      </w:pPr>
      <w:r>
        <w:rPr>
          <w:rFonts w:ascii="Arial" w:hAnsi="Arial"/>
          <w:color w:val="525252"/>
          <w:sz w:val="13"/>
        </w:rPr>
        <w:t>Short, mid, and full-length solid black, white, or dark blue form fitting sportswear (i.e., spandex, Lycra, or elastic) may be worn and visible under both the PTG and optional PTG running shorts.</w:t>
      </w:r>
    </w:p>
    <w:p>
      <w:pPr>
        <w:spacing w:after="20" w:line="223" w:lineRule="auto"/>
        <w:jc w:val="right"/>
        <w:bidi/>
      </w:pPr>
      <w:r>
        <w:rPr>
          <w:rFonts w:ascii="Arial" w:hAnsi="Arial"/>
          <w:sz w:val="16"/>
        </w:rPr>
        <w:t>485.06  کفش.</w:t>
      </w:r>
    </w:p>
    <w:p>
      <w:pPr>
        <w:spacing w:after="28" w:line="216" w:lineRule="auto"/>
        <w:ind w:left="259"/>
        <w:jc w:val="left"/>
      </w:pPr>
      <w:r>
        <w:rPr>
          <w:rFonts w:ascii="Arial" w:hAnsi="Arial"/>
          <w:color w:val="525252"/>
          <w:sz w:val="13"/>
        </w:rPr>
        <w:t>Footwear.</w:t>
      </w:r>
    </w:p>
    <w:p>
      <w:pPr>
        <w:spacing w:after="20" w:line="223" w:lineRule="auto"/>
        <w:jc w:val="right"/>
        <w:bidi/>
      </w:pPr>
      <w:r>
        <w:rPr>
          <w:rFonts w:ascii="Arial" w:hAnsi="Arial"/>
          <w:sz w:val="16"/>
        </w:rPr>
        <w:t>485.07  جوراب.</w:t>
      </w:r>
    </w:p>
    <w:p>
      <w:pPr>
        <w:spacing w:after="28" w:line="216" w:lineRule="auto"/>
        <w:ind w:left="259"/>
        <w:jc w:val="left"/>
      </w:pPr>
      <w:r>
        <w:rPr>
          <w:rFonts w:ascii="Arial" w:hAnsi="Arial"/>
          <w:color w:val="525252"/>
          <w:sz w:val="13"/>
        </w:rPr>
        <w:t>Socks.</w:t>
      </w:r>
    </w:p>
    <w:p>
      <w:pPr>
        <w:spacing w:after="20" w:line="223" w:lineRule="auto"/>
        <w:jc w:val="right"/>
        <w:bidi/>
      </w:pPr>
      <w:r>
        <w:rPr>
          <w:rFonts w:ascii="Arial" w:hAnsi="Arial"/>
          <w:sz w:val="16"/>
        </w:rPr>
        <w:t>485.08  جوراب اجباری است.</w:t>
      </w:r>
    </w:p>
    <w:p>
      <w:pPr>
        <w:spacing w:after="28" w:line="216" w:lineRule="auto"/>
        <w:ind w:left="259"/>
        <w:jc w:val="left"/>
      </w:pPr>
      <w:r>
        <w:rPr>
          <w:rFonts w:ascii="Arial" w:hAnsi="Arial"/>
          <w:color w:val="525252"/>
          <w:sz w:val="13"/>
        </w:rPr>
        <w:t>Socks are mandatory.</w:t>
      </w:r>
    </w:p>
    <w:p>
      <w:pPr>
        <w:spacing w:after="20" w:line="223" w:lineRule="auto"/>
        <w:jc w:val="right"/>
        <w:bidi/>
      </w:pPr>
      <w:r>
        <w:rPr>
          <w:rFonts w:ascii="Arial" w:hAnsi="Arial"/>
          <w:sz w:val="16"/>
        </w:rPr>
        <w:t>485.09  جوراب‌ها یک رنگ سیاه، سفید، آبی تیره، خاکستری، ماسه‌ای بیابانی، قهوه‌ای ماسه‌ای، سبز با انتشار DLA یا قهوه‌ای کایوت هستند و ممکن است دارای نشان‌های تجاری کوچک باشند.</w:t>
      </w:r>
    </w:p>
    <w:p>
      <w:pPr>
        <w:spacing w:after="28" w:line="216" w:lineRule="auto"/>
        <w:ind w:left="259"/>
        <w:jc w:val="left"/>
      </w:pPr>
      <w:r>
        <w:rPr>
          <w:rFonts w:ascii="Arial" w:hAnsi="Arial"/>
          <w:color w:val="525252"/>
          <w:sz w:val="13"/>
        </w:rPr>
        <w:t>Socks will be a solid color black, white, dark blue, gray, desert sand, tan, DLA‐issued green, or coyote brown) color and may have small trademark logos.</w:t>
      </w:r>
    </w:p>
    <w:p>
      <w:pPr>
        <w:spacing w:after="20" w:line="223" w:lineRule="auto"/>
        <w:jc w:val="right"/>
        <w:bidi/>
      </w:pPr>
      <w:r>
        <w:rPr>
          <w:rFonts w:ascii="Arial" w:hAnsi="Arial"/>
          <w:sz w:val="16"/>
        </w:rPr>
        <w:t>485.10  فرماندهان محلی ممکن است سیاست هایی را برای استانداردسازی در داخل واحدها اجرا کنند.</w:t>
      </w:r>
    </w:p>
    <w:p>
      <w:pPr>
        <w:spacing w:after="28" w:line="216" w:lineRule="auto"/>
        <w:ind w:left="259"/>
        <w:jc w:val="left"/>
      </w:pPr>
      <w:r>
        <w:rPr>
          <w:rFonts w:ascii="Arial" w:hAnsi="Arial"/>
          <w:color w:val="525252"/>
          <w:sz w:val="13"/>
        </w:rPr>
        <w:t>Local commanders may implement policies for standardization within units.</w:t>
      </w:r>
    </w:p>
    <w:p>
      <w:pPr>
        <w:spacing w:after="20" w:line="223" w:lineRule="auto"/>
        <w:jc w:val="right"/>
        <w:bidi/>
      </w:pPr>
      <w:r>
        <w:rPr>
          <w:rFonts w:ascii="Arial" w:hAnsi="Arial"/>
          <w:sz w:val="16"/>
        </w:rPr>
        <w:t>485.11  کفش سبک ورزشی.</w:t>
      </w:r>
    </w:p>
    <w:p>
      <w:pPr>
        <w:spacing w:after="28" w:line="216" w:lineRule="auto"/>
        <w:ind w:left="259"/>
        <w:jc w:val="left"/>
      </w:pPr>
      <w:r>
        <w:rPr>
          <w:rFonts w:ascii="Arial" w:hAnsi="Arial"/>
          <w:color w:val="525252"/>
          <w:sz w:val="13"/>
        </w:rPr>
        <w:t>Athletic style shoes.</w:t>
      </w:r>
    </w:p>
    <w:p>
      <w:pPr>
        <w:spacing w:after="20" w:line="223" w:lineRule="auto"/>
        <w:jc w:val="right"/>
        <w:bidi/>
      </w:pPr>
      <w:r>
        <w:rPr>
          <w:rFonts w:ascii="Arial" w:hAnsi="Arial"/>
          <w:sz w:val="16"/>
        </w:rPr>
        <w:t>485.12  کفش‌های سبک ورزشی اجباری هستند.</w:t>
      </w:r>
    </w:p>
    <w:p>
      <w:pPr>
        <w:spacing w:after="28" w:line="216" w:lineRule="auto"/>
        <w:ind w:left="259"/>
        <w:jc w:val="left"/>
      </w:pPr>
      <w:r>
        <w:rPr>
          <w:rFonts w:ascii="Arial" w:hAnsi="Arial"/>
          <w:color w:val="525252"/>
          <w:sz w:val="13"/>
        </w:rPr>
        <w:t>Athletic style shoes are mandatory.</w:t>
      </w:r>
    </w:p>
    <w:p>
      <w:pPr>
        <w:spacing w:after="20" w:line="223" w:lineRule="auto"/>
        <w:jc w:val="right"/>
        <w:bidi/>
      </w:pPr>
      <w:r>
        <w:rPr>
          <w:rFonts w:ascii="Arial" w:hAnsi="Arial"/>
          <w:sz w:val="16"/>
        </w:rPr>
        <w:t>485.13  محدودیتی برای رنگ کفش ورزشی وجود ندارد.</w:t>
      </w:r>
    </w:p>
    <w:p>
      <w:pPr>
        <w:spacing w:after="28" w:line="216" w:lineRule="auto"/>
        <w:ind w:left="259"/>
        <w:jc w:val="left"/>
      </w:pPr>
      <w:r>
        <w:rPr>
          <w:rFonts w:ascii="Arial" w:hAnsi="Arial"/>
          <w:color w:val="525252"/>
          <w:sz w:val="13"/>
        </w:rPr>
        <w:t>There are no restrictions on the color of the athletic shoes.</w:t>
      </w:r>
    </w:p>
    <w:p>
      <w:pPr>
        <w:spacing w:after="20" w:line="223" w:lineRule="auto"/>
        <w:jc w:val="right"/>
        <w:bidi/>
      </w:pPr>
      <w:r>
        <w:rPr>
          <w:rFonts w:ascii="Arial" w:hAnsi="Arial"/>
          <w:sz w:val="16"/>
        </w:rPr>
        <w:t>485.14  سرپوش.</w:t>
      </w:r>
    </w:p>
    <w:p>
      <w:pPr>
        <w:spacing w:after="28" w:line="216" w:lineRule="auto"/>
        <w:ind w:left="259"/>
        <w:jc w:val="left"/>
      </w:pPr>
      <w:r>
        <w:rPr>
          <w:rFonts w:ascii="Arial" w:hAnsi="Arial"/>
          <w:color w:val="525252"/>
          <w:sz w:val="13"/>
        </w:rPr>
        <w:t>Headgear.</w:t>
      </w:r>
    </w:p>
    <w:p>
      <w:pPr>
        <w:spacing w:after="20" w:line="223" w:lineRule="auto"/>
        <w:jc w:val="right"/>
        <w:bidi/>
      </w:pPr>
      <w:r>
        <w:rPr>
          <w:rFonts w:ascii="Arial" w:hAnsi="Arial"/>
          <w:sz w:val="16"/>
        </w:rPr>
        <w:t>485.15  فرماندهان نصب ممکن است اجازه استفاده از کلاه بیسبال/ورزشی یکدست سیاه، سفید، یا آبی تیره اختیاری و/یا بند عرق گیر با نماد نیروی هوایی یا نیروی هوایی ایالات متحده در جلوی چاپ/گلدوزی شده در طول PT سازماندهی دهند.</w:t>
      </w:r>
    </w:p>
    <w:p>
      <w:pPr>
        <w:spacing w:after="28" w:line="216" w:lineRule="auto"/>
        <w:ind w:left="259"/>
        <w:jc w:val="left"/>
      </w:pPr>
      <w:r>
        <w:rPr>
          <w:rFonts w:ascii="Arial" w:hAnsi="Arial"/>
          <w:color w:val="525252"/>
          <w:sz w:val="13"/>
        </w:rPr>
        <w:t>Installation commanders may authorize wear of an optional solid black, white, or dark blue baseball/sport cap and/or sweatband with the Air Force symbol or U.S. Air Force printed/embroidered on the front during organized PT.</w:t>
      </w:r>
    </w:p>
    <w:p>
      <w:pPr>
        <w:spacing w:after="20" w:line="223" w:lineRule="auto"/>
        <w:jc w:val="right"/>
        <w:bidi/>
      </w:pPr>
      <w:r>
        <w:rPr>
          <w:rFonts w:ascii="Arial" w:hAnsi="Arial"/>
          <w:sz w:val="16"/>
        </w:rPr>
        <w:t>485.16  این نیز در طول PT فردی مجاز است.</w:t>
      </w:r>
    </w:p>
    <w:p>
      <w:pPr>
        <w:spacing w:after="28" w:line="216" w:lineRule="auto"/>
        <w:ind w:left="259"/>
        <w:jc w:val="left"/>
      </w:pPr>
      <w:r>
        <w:rPr>
          <w:rFonts w:ascii="Arial" w:hAnsi="Arial"/>
          <w:color w:val="525252"/>
          <w:sz w:val="13"/>
        </w:rPr>
        <w:t>This is also authorized during individual PT.</w:t>
      </w:r>
    </w:p>
    <w:p>
      <w:pPr>
        <w:spacing w:after="20" w:line="223" w:lineRule="auto"/>
        <w:jc w:val="right"/>
        <w:bidi/>
      </w:pPr>
      <w:r>
        <w:rPr>
          <w:rFonts w:ascii="Arial" w:hAnsi="Arial"/>
          <w:sz w:val="16"/>
        </w:rPr>
        <w:t>485.17  در صورت مجاز بودن، فقط در فضای باز کلاه بپوشید.</w:t>
      </w:r>
    </w:p>
    <w:p>
      <w:pPr>
        <w:spacing w:after="28" w:line="216" w:lineRule="auto"/>
        <w:ind w:left="259"/>
        <w:jc w:val="left"/>
      </w:pPr>
      <w:r>
        <w:rPr>
          <w:rFonts w:ascii="Arial" w:hAnsi="Arial"/>
          <w:color w:val="525252"/>
          <w:sz w:val="13"/>
        </w:rPr>
        <w:t>If authorized, wear caps outdoors only.</w:t>
      </w:r>
    </w:p>
    <w:p>
      <w:pPr>
        <w:spacing w:after="20" w:line="223" w:lineRule="auto"/>
        <w:jc w:val="right"/>
        <w:bidi/>
      </w:pPr>
      <w:r>
        <w:rPr>
          <w:rFonts w:ascii="Arial" w:hAnsi="Arial"/>
          <w:sz w:val="16"/>
        </w:rPr>
        <w:t>485.18  فرماندهان ممکن است اجازه استفاده از کلاه بیسبال/ورزشی جامد سیاه، سفید، یا آبی تیره” دوزی شده را برای برتری PT بدهند.</w:t>
      </w:r>
    </w:p>
    <w:p>
      <w:pPr>
        <w:spacing w:after="28" w:line="216" w:lineRule="auto"/>
        <w:ind w:left="259"/>
        <w:jc w:val="left"/>
      </w:pPr>
      <w:r>
        <w:rPr>
          <w:rFonts w:ascii="Arial" w:hAnsi="Arial"/>
          <w:color w:val="525252"/>
          <w:sz w:val="13"/>
        </w:rPr>
        <w:t>Commanders may authorize wear of an embroidered” solid black, white, or dark blue baseball/sports cap for PT excellence.</w:t>
      </w:r>
    </w:p>
    <w:p>
      <w:pPr>
        <w:spacing w:after="20" w:line="223" w:lineRule="auto"/>
        <w:jc w:val="right"/>
        <w:bidi/>
      </w:pPr>
      <w:r>
        <w:rPr>
          <w:rFonts w:ascii="Arial" w:hAnsi="Arial"/>
          <w:sz w:val="16"/>
        </w:rPr>
        <w:t>485.19  در صورت پوشیدن، کلاه بیس بال/ورزشی عبارت "کسکللنک فور PT"، "کسکللنک ین PT" یا ترکیبی از این دو را با حروف کوچک و گلدوزی شده، حداکثر ۱/۲ اینچ خواهد داشت.</w:t>
      </w:r>
    </w:p>
    <w:p>
      <w:pPr>
        <w:spacing w:after="28" w:line="216" w:lineRule="auto"/>
        <w:ind w:left="259"/>
        <w:jc w:val="left"/>
      </w:pPr>
      <w:r>
        <w:rPr>
          <w:rFonts w:ascii="Arial" w:hAnsi="Arial"/>
          <w:color w:val="525252"/>
          <w:sz w:val="13"/>
        </w:rPr>
        <w:t>If worn, the baseball/sport cap will have the words “Excellence for PT”, “Excellence in PT” or a combination of the two, in small, embroidered letters, no more than 1/2-inch in height.</w:t>
      </w:r>
    </w:p>
    <w:p>
      <w:pPr>
        <w:spacing w:after="20" w:line="223" w:lineRule="auto"/>
        <w:jc w:val="right"/>
        <w:bidi/>
      </w:pPr>
      <w:r>
        <w:rPr>
          <w:rFonts w:ascii="Arial" w:hAnsi="Arial"/>
          <w:sz w:val="16"/>
        </w:rPr>
        <w:t>485.20  وصله‌ها، آرم‌های بزرگ و کلاه‌های چند طرحی مجاز نیستند.</w:t>
      </w:r>
    </w:p>
    <w:p>
      <w:pPr>
        <w:spacing w:after="28" w:line="216" w:lineRule="auto"/>
        <w:ind w:left="259"/>
        <w:jc w:val="left"/>
      </w:pPr>
      <w:r>
        <w:rPr>
          <w:rFonts w:ascii="Arial" w:hAnsi="Arial"/>
          <w:color w:val="525252"/>
          <w:sz w:val="13"/>
        </w:rPr>
        <w:t>Patches, large logos, and multi- patterned caps are not authorized.</w:t>
      </w:r>
    </w:p>
    <w:p>
      <w:pPr>
        <w:spacing w:after="20" w:line="223" w:lineRule="auto"/>
        <w:jc w:val="right"/>
        <w:bidi/>
      </w:pPr>
      <w:r>
        <w:rPr>
          <w:rFonts w:ascii="Arial" w:hAnsi="Arial"/>
          <w:sz w:val="16"/>
        </w:rPr>
        <w:t>485.21  سایر کلاه‌های صادره از واحد یا سازمانی با PTG مجاز نیستند.</w:t>
      </w:r>
    </w:p>
    <w:p>
      <w:pPr>
        <w:spacing w:after="28" w:line="216" w:lineRule="auto"/>
        <w:ind w:left="259"/>
        <w:jc w:val="left"/>
      </w:pPr>
      <w:r>
        <w:rPr>
          <w:rFonts w:ascii="Arial" w:hAnsi="Arial"/>
          <w:color w:val="525252"/>
          <w:sz w:val="13"/>
        </w:rPr>
        <w:t>Other unit or organizational issued hats are not authorized with the PTG.</w:t>
      </w:r>
    </w:p>
    <w:p>
      <w:pPr>
        <w:spacing w:after="20" w:line="223" w:lineRule="auto"/>
        <w:jc w:val="right"/>
        <w:bidi/>
      </w:pPr>
      <w:r>
        <w:rPr>
          <w:rFonts w:ascii="Arial" w:hAnsi="Arial"/>
          <w:sz w:val="16"/>
        </w:rPr>
        <w:t>485.22  هدگیر ممکن است در طول PT فردی، فقط در فضای باز استفاده شود.</w:t>
      </w:r>
    </w:p>
    <w:p>
      <w:pPr>
        <w:spacing w:after="28" w:line="216" w:lineRule="auto"/>
        <w:ind w:left="259"/>
        <w:jc w:val="left"/>
      </w:pPr>
      <w:r>
        <w:rPr>
          <w:rFonts w:ascii="Arial" w:hAnsi="Arial"/>
          <w:color w:val="525252"/>
          <w:sz w:val="13"/>
        </w:rPr>
        <w:t>Headgear may be worn during individual PT, outdoors only.</w:t>
      </w:r>
    </w:p>
    <w:p>
      <w:pPr>
        <w:spacing w:after="20" w:line="223" w:lineRule="auto"/>
        <w:jc w:val="right"/>
        <w:bidi/>
      </w:pPr>
      <w:r>
        <w:rPr>
          <w:rFonts w:ascii="Arial" w:hAnsi="Arial"/>
          <w:sz w:val="16"/>
        </w:rPr>
        <w:t>485.23  از باندان و سایر روسری‌ها و روسری‌های مشابه استفاده نکنید.</w:t>
      </w:r>
    </w:p>
    <w:p>
      <w:pPr>
        <w:spacing w:after="28" w:line="216" w:lineRule="auto"/>
        <w:ind w:left="259"/>
        <w:jc w:val="left"/>
      </w:pPr>
      <w:r>
        <w:rPr>
          <w:rFonts w:ascii="Arial" w:hAnsi="Arial"/>
          <w:color w:val="525252"/>
          <w:sz w:val="13"/>
        </w:rPr>
        <w:t>Do not wear bandanas and other similar headscarves or headgear.</w:t>
      </w:r>
    </w:p>
    <w:p>
      <w:pPr>
        <w:spacing w:after="20" w:line="223" w:lineRule="auto"/>
        <w:jc w:val="right"/>
        <w:bidi/>
      </w:pPr>
      <w:r>
        <w:rPr>
          <w:rFonts w:ascii="Arial" w:hAnsi="Arial"/>
          <w:sz w:val="16"/>
        </w:rPr>
        <w:t>485.24  استثنا: هوانوردان دارای معافیت پزشکی تأیید شده.</w:t>
      </w:r>
    </w:p>
    <w:p>
      <w:pPr>
        <w:spacing w:after="28" w:line="216" w:lineRule="auto"/>
        <w:ind w:left="259"/>
        <w:jc w:val="left"/>
      </w:pPr>
      <w:r>
        <w:rPr>
          <w:rFonts w:ascii="Arial" w:hAnsi="Arial"/>
          <w:color w:val="525252"/>
          <w:sz w:val="13"/>
        </w:rPr>
        <w:t>Exception: Airmen with an approved medical waiver.</w:t>
      </w:r>
    </w:p>
    <w:p>
      <w:pPr>
        <w:spacing w:after="20" w:line="223" w:lineRule="auto"/>
        <w:jc w:val="right"/>
        <w:bidi/>
      </w:pPr>
      <w:r>
        <w:rPr>
          <w:rFonts w:ascii="Arial" w:hAnsi="Arial"/>
          <w:sz w:val="16"/>
        </w:rPr>
        <w:t>485.25  زیرپوش.</w:t>
      </w:r>
    </w:p>
    <w:p>
      <w:pPr>
        <w:spacing w:after="28" w:line="216" w:lineRule="auto"/>
        <w:ind w:left="259"/>
        <w:jc w:val="left"/>
      </w:pPr>
      <w:r>
        <w:rPr>
          <w:rFonts w:ascii="Arial" w:hAnsi="Arial"/>
          <w:color w:val="525252"/>
          <w:sz w:val="13"/>
        </w:rPr>
        <w:t>Undergarments.</w:t>
      </w:r>
    </w:p>
    <w:p>
      <w:pPr>
        <w:spacing w:after="20" w:line="223" w:lineRule="auto"/>
        <w:jc w:val="right"/>
        <w:bidi/>
      </w:pPr>
      <w:r>
        <w:rPr>
          <w:rFonts w:ascii="Arial" w:hAnsi="Arial"/>
          <w:sz w:val="16"/>
        </w:rPr>
        <w:t>485.26  پوشیدن لباس زیر مناسب با تمام ترکیبات PTG الزامی است.</w:t>
      </w:r>
    </w:p>
    <w:p>
      <w:pPr>
        <w:spacing w:after="28" w:line="216" w:lineRule="auto"/>
        <w:ind w:left="259"/>
        <w:jc w:val="left"/>
      </w:pPr>
      <w:r>
        <w:rPr>
          <w:rFonts w:ascii="Arial" w:hAnsi="Arial"/>
          <w:color w:val="525252"/>
          <w:sz w:val="13"/>
        </w:rPr>
        <w:t>Appropriate undergarments are required to be worn with all PTG combinations.</w:t>
      </w:r>
    </w:p>
    <w:p>
      <w:pPr>
        <w:spacing w:after="20" w:line="223" w:lineRule="auto"/>
        <w:jc w:val="right"/>
        <w:bidi/>
      </w:pPr>
      <w:r>
        <w:rPr>
          <w:rFonts w:ascii="Arial" w:hAnsi="Arial"/>
          <w:sz w:val="16"/>
        </w:rPr>
        <w:t>485.27  لوازم جانبی هوای سرد.</w:t>
      </w:r>
    </w:p>
    <w:p>
      <w:pPr>
        <w:spacing w:after="28" w:line="216" w:lineRule="auto"/>
        <w:ind w:left="259"/>
        <w:jc w:val="left"/>
      </w:pPr>
      <w:r>
        <w:rPr>
          <w:rFonts w:ascii="Arial" w:hAnsi="Arial"/>
          <w:color w:val="525252"/>
          <w:sz w:val="13"/>
        </w:rPr>
        <w:t>Cold Weather Accessories.</w:t>
      </w:r>
    </w:p>
    <w:p>
      <w:pPr>
        <w:spacing w:after="20" w:line="223" w:lineRule="auto"/>
        <w:jc w:val="right"/>
        <w:bidi/>
      </w:pPr>
      <w:r>
        <w:rPr>
          <w:rFonts w:ascii="Arial" w:hAnsi="Arial"/>
          <w:sz w:val="16"/>
        </w:rPr>
        <w:t>485.28  لوازم جانبی هوای سرد را می‌توان فقط در فضای باز پوشید.</w:t>
      </w:r>
    </w:p>
    <w:p>
      <w:pPr>
        <w:spacing w:after="28" w:line="216" w:lineRule="auto"/>
        <w:ind w:left="259"/>
        <w:jc w:val="left"/>
      </w:pPr>
      <w:r>
        <w:rPr>
          <w:rFonts w:ascii="Arial" w:hAnsi="Arial"/>
          <w:color w:val="525252"/>
          <w:sz w:val="13"/>
        </w:rPr>
        <w:t>Cold weather accessories may be worn outdoors only.</w:t>
      </w:r>
    </w:p>
    <w:p>
      <w:pPr>
        <w:spacing w:after="20" w:line="223" w:lineRule="auto"/>
        <w:jc w:val="right"/>
        <w:bidi/>
      </w:pPr>
      <w:r>
        <w:rPr>
          <w:rFonts w:ascii="Arial" w:hAnsi="Arial"/>
          <w:sz w:val="16"/>
        </w:rPr>
        <w:t>485.29  سرپوش ساعت.</w:t>
      </w:r>
    </w:p>
    <w:p>
      <w:pPr>
        <w:spacing w:after="28" w:line="216" w:lineRule="auto"/>
        <w:ind w:left="259"/>
        <w:jc w:val="left"/>
      </w:pPr>
      <w:r>
        <w:rPr>
          <w:rFonts w:ascii="Arial" w:hAnsi="Arial"/>
          <w:color w:val="525252"/>
          <w:sz w:val="13"/>
        </w:rPr>
        <w:t>Watch Cap.</w:t>
      </w:r>
    </w:p>
    <w:p>
      <w:pPr>
        <w:spacing w:after="20" w:line="223" w:lineRule="auto"/>
        <w:jc w:val="right"/>
        <w:bidi/>
      </w:pPr>
      <w:r>
        <w:rPr>
          <w:rFonts w:ascii="Arial" w:hAnsi="Arial"/>
          <w:sz w:val="16"/>
        </w:rPr>
        <w:t>485.30  اگر پوشیده شود، ساده، مشکی یکدست، آبی تیره، سبز مریم گلی، یا قهوه‌ای کایوت بدون آرم خواهد بود.</w:t>
      </w:r>
    </w:p>
    <w:p>
      <w:pPr>
        <w:spacing w:after="28" w:line="216" w:lineRule="auto"/>
        <w:ind w:left="259"/>
        <w:jc w:val="left"/>
      </w:pPr>
      <w:r>
        <w:rPr>
          <w:rFonts w:ascii="Arial" w:hAnsi="Arial"/>
          <w:color w:val="525252"/>
          <w:sz w:val="13"/>
        </w:rPr>
        <w:t>If worn, will be plain, solid black, dark blue, sage green, or coyote brown without logos.</w:t>
      </w:r>
    </w:p>
    <w:p>
      <w:pPr>
        <w:spacing w:after="20" w:line="223" w:lineRule="auto"/>
        <w:jc w:val="right"/>
        <w:bidi/>
      </w:pPr>
      <w:r>
        <w:rPr>
          <w:rFonts w:ascii="Arial" w:hAnsi="Arial"/>
          <w:sz w:val="16"/>
        </w:rPr>
        <w:t>485.31  دستکش.</w:t>
      </w:r>
    </w:p>
    <w:p>
      <w:pPr>
        <w:spacing w:after="28" w:line="216" w:lineRule="auto"/>
        <w:ind w:left="259"/>
        <w:jc w:val="left"/>
      </w:pPr>
      <w:r>
        <w:rPr>
          <w:rFonts w:ascii="Arial" w:hAnsi="Arial"/>
          <w:color w:val="525252"/>
          <w:sz w:val="13"/>
        </w:rPr>
        <w:t>Gloves.</w:t>
      </w:r>
    </w:p>
    <w:p>
      <w:pPr>
        <w:spacing w:after="20" w:line="223" w:lineRule="auto"/>
        <w:jc w:val="right"/>
        <w:bidi/>
      </w:pPr>
      <w:r>
        <w:rPr>
          <w:rFonts w:ascii="Arial" w:hAnsi="Arial"/>
          <w:sz w:val="16"/>
        </w:rPr>
        <w:t>485.32  دستکش‌ها مشکی یا آبی تیره خواهند بود، آرم‌های کوچک مجاز هستند بیش از ۱ اینچ مربع نشوند.</w:t>
      </w:r>
    </w:p>
    <w:p>
      <w:pPr>
        <w:spacing w:after="28" w:line="216" w:lineRule="auto"/>
        <w:ind w:left="259"/>
        <w:jc w:val="left"/>
      </w:pPr>
      <w:r>
        <w:rPr>
          <w:rFonts w:ascii="Arial" w:hAnsi="Arial"/>
          <w:color w:val="525252"/>
          <w:sz w:val="13"/>
        </w:rPr>
        <w:t>Gloves will be black or dark blue, small logos are authorized not to exceed 1 square inch.</w:t>
      </w:r>
    </w:p>
    <w:p>
      <w:pPr>
        <w:spacing w:after="20" w:line="223" w:lineRule="auto"/>
        <w:jc w:val="right"/>
        <w:bidi/>
      </w:pPr>
      <w:r>
        <w:rPr>
          <w:rFonts w:ascii="Arial" w:hAnsi="Arial"/>
          <w:sz w:val="16"/>
        </w:rPr>
        <w:t>485.33  روسری.</w:t>
      </w:r>
    </w:p>
    <w:p>
      <w:pPr>
        <w:spacing w:after="28" w:line="216" w:lineRule="auto"/>
        <w:ind w:left="259"/>
        <w:jc w:val="left"/>
      </w:pPr>
      <w:r>
        <w:rPr>
          <w:rFonts w:ascii="Arial" w:hAnsi="Arial"/>
          <w:color w:val="525252"/>
          <w:sz w:val="13"/>
        </w:rPr>
        <w:t>Scarf.</w:t>
      </w:r>
    </w:p>
    <w:p>
      <w:pPr>
        <w:spacing w:after="20" w:line="223" w:lineRule="auto"/>
        <w:jc w:val="right"/>
        <w:bidi/>
      </w:pPr>
      <w:r>
        <w:rPr>
          <w:rFonts w:ascii="Arial" w:hAnsi="Arial"/>
          <w:sz w:val="16"/>
        </w:rPr>
        <w:t>485.34  روسری مشکی یا آبی تیره، تمام پشمی یا پنبه‌ای سیمپلکس، با یا بدون سطح درزدار و عرض کمتر از ۱۰ اینچ خواهد بود.</w:t>
      </w:r>
    </w:p>
    <w:p>
      <w:pPr>
        <w:spacing w:after="28" w:line="216" w:lineRule="auto"/>
        <w:ind w:left="259"/>
        <w:jc w:val="left"/>
      </w:pPr>
      <w:r>
        <w:rPr>
          <w:rFonts w:ascii="Arial" w:hAnsi="Arial"/>
          <w:color w:val="525252"/>
          <w:sz w:val="13"/>
        </w:rPr>
        <w:t>The scarf will be black or dark blue, all wool or cotton simplex, with or without napped surface, and less than 10-inches in width.</w:t>
      </w:r>
    </w:p>
    <w:p>
      <w:pPr>
        <w:spacing w:after="20" w:line="223" w:lineRule="auto"/>
        <w:jc w:val="right"/>
        <w:bidi/>
      </w:pPr>
      <w:r>
        <w:rPr>
          <w:rFonts w:ascii="Arial" w:hAnsi="Arial"/>
          <w:sz w:val="16"/>
        </w:rPr>
        <w:t>485.35  بالاکلاوا.</w:t>
      </w:r>
    </w:p>
    <w:p>
      <w:pPr>
        <w:spacing w:after="28" w:line="216" w:lineRule="auto"/>
        <w:ind w:left="259"/>
        <w:jc w:val="left"/>
      </w:pPr>
      <w:r>
        <w:rPr>
          <w:rFonts w:ascii="Arial" w:hAnsi="Arial"/>
          <w:color w:val="525252"/>
          <w:sz w:val="13"/>
        </w:rPr>
        <w:t>Balaclava.</w:t>
      </w:r>
    </w:p>
    <w:p>
      <w:pPr>
        <w:spacing w:after="20" w:line="223" w:lineRule="auto"/>
        <w:jc w:val="right"/>
        <w:bidi/>
      </w:pPr>
      <w:r>
        <w:rPr>
          <w:rFonts w:ascii="Arial" w:hAnsi="Arial"/>
          <w:sz w:val="16"/>
        </w:rPr>
        <w:t>485.36  هنگام انجام فعالیت‌های آمادگی جسمانی در خارج از منزل، می‌توان یک کلاه سیاه جامد ساخته شده از هر ماده‌ای با PTG پوشید.</w:t>
      </w:r>
    </w:p>
    <w:p>
      <w:pPr>
        <w:spacing w:after="28" w:line="216" w:lineRule="auto"/>
        <w:ind w:left="259"/>
        <w:jc w:val="left"/>
      </w:pPr>
      <w:r>
        <w:rPr>
          <w:rFonts w:ascii="Arial" w:hAnsi="Arial"/>
          <w:color w:val="525252"/>
          <w:sz w:val="13"/>
        </w:rPr>
        <w:t>A solid black balaclava made of any material may be worn with PTG while performing physical fitness activities outdoors.</w:t>
      </w:r>
    </w:p>
    <w:p>
      <w:pPr>
        <w:spacing w:after="20" w:line="223" w:lineRule="auto"/>
        <w:jc w:val="right"/>
        <w:bidi/>
      </w:pPr>
      <w:r>
        <w:rPr>
          <w:rFonts w:ascii="Arial" w:hAnsi="Arial"/>
          <w:sz w:val="16"/>
        </w:rPr>
        <w:t>485.37  مواد اضافی گردن را در پیراهن PTG فرو کنید.</w:t>
      </w:r>
    </w:p>
    <w:p>
      <w:pPr>
        <w:spacing w:after="28" w:line="216" w:lineRule="auto"/>
        <w:ind w:left="259"/>
        <w:jc w:val="left"/>
      </w:pPr>
      <w:r>
        <w:rPr>
          <w:rFonts w:ascii="Arial" w:hAnsi="Arial"/>
          <w:color w:val="525252"/>
          <w:sz w:val="13"/>
        </w:rPr>
        <w:t>Tuck excess neck material into the PTG shirt.</w:t>
      </w:r>
    </w:p>
    <w:p>
      <w:pPr>
        <w:spacing w:after="20" w:line="223" w:lineRule="auto"/>
        <w:jc w:val="right"/>
        <w:bidi/>
      </w:pPr>
      <w:r>
        <w:rPr>
          <w:rFonts w:ascii="Arial" w:hAnsi="Arial"/>
          <w:sz w:val="16"/>
        </w:rPr>
        <w:t>485.38  گوش بند و هدبند در هوای سرد.</w:t>
      </w:r>
    </w:p>
    <w:p>
      <w:pPr>
        <w:spacing w:after="28" w:line="216" w:lineRule="auto"/>
        <w:ind w:left="259"/>
        <w:jc w:val="left"/>
      </w:pPr>
      <w:r>
        <w:rPr>
          <w:rFonts w:ascii="Arial" w:hAnsi="Arial"/>
          <w:color w:val="525252"/>
          <w:sz w:val="13"/>
        </w:rPr>
        <w:t>Earmuffs and Cold Weather Headbands.</w:t>
      </w:r>
    </w:p>
    <w:p>
      <w:pPr>
        <w:spacing w:after="20" w:line="223" w:lineRule="auto"/>
        <w:jc w:val="right"/>
        <w:bidi/>
      </w:pPr>
      <w:r>
        <w:rPr>
          <w:rFonts w:ascii="Arial" w:hAnsi="Arial"/>
          <w:sz w:val="16"/>
        </w:rPr>
        <w:t>485.39  گوش‌بندهای سیاه یا آبی تیره یا هدبندهای ساخته شده از هر ماده‌ای را می‌توان با PTG در فضای باز استفاده کرد.</w:t>
      </w:r>
    </w:p>
    <w:p>
      <w:pPr>
        <w:spacing w:after="28" w:line="216" w:lineRule="auto"/>
        <w:ind w:left="259"/>
        <w:jc w:val="left"/>
      </w:pPr>
      <w:r>
        <w:rPr>
          <w:rFonts w:ascii="Arial" w:hAnsi="Arial"/>
          <w:color w:val="525252"/>
          <w:sz w:val="13"/>
        </w:rPr>
        <w:t>Solid black or dark blue earmuffs or headbands made of any material may be worn with PTG outdoors.</w:t>
      </w:r>
    </w:p>
    <w:p>
      <w:pPr>
        <w:spacing w:after="20" w:line="223" w:lineRule="auto"/>
        <w:jc w:val="right"/>
        <w:bidi/>
      </w:pPr>
      <w:r>
        <w:rPr>
          <w:rFonts w:ascii="Arial" w:hAnsi="Arial"/>
          <w:sz w:val="16"/>
        </w:rPr>
        <w:t>485.40  ممکن است اطراف سر یا پشت سر بپیچند.</w:t>
      </w:r>
    </w:p>
    <w:p>
      <w:pPr>
        <w:spacing w:after="28" w:line="216" w:lineRule="auto"/>
        <w:ind w:left="259"/>
        <w:jc w:val="left"/>
      </w:pPr>
      <w:r>
        <w:rPr>
          <w:rFonts w:ascii="Arial" w:hAnsi="Arial"/>
          <w:color w:val="525252"/>
          <w:sz w:val="13"/>
        </w:rPr>
        <w:t>They may wrap around either the top or rear of the head.</w:t>
      </w:r>
    </w:p>
    <w:p>
      <w:pPr>
        <w:spacing w:after="20" w:line="223" w:lineRule="auto"/>
        <w:jc w:val="right"/>
        <w:bidi/>
      </w:pPr>
      <w:r>
        <w:rPr>
          <w:rFonts w:ascii="Arial" w:hAnsi="Arial"/>
          <w:sz w:val="16"/>
        </w:rPr>
        <w:t>485.41  از پوشیدن لباس بیرونی پشمی با PTG خودداری کنید.</w:t>
      </w:r>
    </w:p>
    <w:p>
      <w:pPr>
        <w:spacing w:after="28" w:line="216" w:lineRule="auto"/>
        <w:ind w:left="259"/>
        <w:jc w:val="left"/>
      </w:pPr>
      <w:r>
        <w:rPr>
          <w:rFonts w:ascii="Arial" w:hAnsi="Arial"/>
          <w:color w:val="525252"/>
          <w:sz w:val="13"/>
        </w:rPr>
        <w:t>Do not wear fleece outerwear with the PTG.</w:t>
      </w:r>
    </w:p>
    <w:p>
      <w:pPr>
        <w:spacing w:after="20" w:line="223" w:lineRule="auto"/>
        <w:jc w:val="right"/>
        <w:bidi/>
      </w:pPr>
      <w:r>
        <w:rPr>
          <w:rFonts w:ascii="Arial" w:hAnsi="Arial"/>
          <w:sz w:val="16"/>
        </w:rPr>
        <w:t>485.42  هوانوردان ممکن است اقلام PTG را با لباس‌های غیرنظامی یا شخصی محافظه‌کارانه در طول PT فردی یا شخصی یا در حین انجام وظیفه بپوشند (مانند پیراهن PT با شورت/شلوار شخصی، ژاکت PT با لباس شخصی</w:t>
      </w:r>
    </w:p>
    <w:p>
      <w:pPr>
        <w:spacing w:after="28" w:line="216" w:lineRule="auto"/>
        <w:ind w:left="259"/>
        <w:jc w:val="left"/>
      </w:pPr>
      <w:r>
        <w:rPr>
          <w:rFonts w:ascii="Arial" w:hAnsi="Arial"/>
          <w:color w:val="525252"/>
          <w:sz w:val="13"/>
        </w:rPr>
        <w:t>Airmen may wear PTG items with conservative civilian or personal attire during individual or personal PT or while off-duty (e.g., PT shirt with personal shorts/pants, PT jacket with personal</w:t>
      </w:r>
    </w:p>
    <w:p>
      <w:r>
        <w:br w:type="page"/>
      </w:r>
    </w:p>
    <w:p>
      <w:pPr>
        <w:spacing w:after="60"/>
        <w:jc w:val="right"/>
        <w:bidi/>
      </w:pPr>
      <w:r>
        <w:rPr>
          <w:rFonts w:ascii="Arial" w:hAnsi="Arial"/>
          <w:b/>
          <w:color w:val="1F4D78"/>
          <w:sz w:val="19"/>
        </w:rPr>
        <w:t>هفتهٔ 486  |  صفحهٔ منبع: 502</w:t>
      </w:r>
    </w:p>
    <w:p>
      <w:pPr>
        <w:spacing w:after="20" w:line="223" w:lineRule="auto"/>
        <w:jc w:val="right"/>
        <w:bidi/>
      </w:pPr>
      <w:r>
        <w:rPr>
          <w:rFonts w:ascii="Arial" w:hAnsi="Arial"/>
          <w:sz w:val="16"/>
        </w:rPr>
        <w:t>486.01  پیراهن / شلوار / شورت و غیره).</w:t>
      </w:r>
    </w:p>
    <w:p>
      <w:pPr>
        <w:spacing w:after="28" w:line="216" w:lineRule="auto"/>
        <w:ind w:left="259"/>
        <w:jc w:val="left"/>
      </w:pPr>
      <w:r>
        <w:rPr>
          <w:rFonts w:ascii="Arial" w:hAnsi="Arial"/>
          <w:color w:val="525252"/>
          <w:sz w:val="13"/>
        </w:rPr>
        <w:t>shirt/pants/shorts, etc.).</w:t>
      </w:r>
    </w:p>
    <w:p>
      <w:pPr>
        <w:spacing w:after="20" w:line="223" w:lineRule="auto"/>
        <w:jc w:val="right"/>
        <w:bidi/>
      </w:pPr>
      <w:r>
        <w:rPr>
          <w:rFonts w:ascii="Arial" w:hAnsi="Arial"/>
          <w:sz w:val="16"/>
        </w:rPr>
        <w:t>486.02  از PTG با وسایل غیرنظامی یا شخصی که حاوی عبارات، گرافیک یا عکس‌های توهین‌آمیز هستند استفاده نکنید.</w:t>
      </w:r>
    </w:p>
    <w:p>
      <w:pPr>
        <w:spacing w:after="28" w:line="216" w:lineRule="auto"/>
        <w:ind w:left="259"/>
        <w:jc w:val="left"/>
      </w:pPr>
      <w:r>
        <w:rPr>
          <w:rFonts w:ascii="Arial" w:hAnsi="Arial"/>
          <w:color w:val="525252"/>
          <w:sz w:val="13"/>
        </w:rPr>
        <w:t>Do not wear PTG with civilian or personal items that contain offensive wording, graphics, or photos.</w:t>
      </w:r>
    </w:p>
    <w:p>
      <w:pPr>
        <w:spacing w:after="20" w:line="223" w:lineRule="auto"/>
        <w:jc w:val="right"/>
        <w:bidi/>
      </w:pPr>
      <w:r>
        <w:rPr>
          <w:rFonts w:ascii="Arial" w:hAnsi="Arial"/>
          <w:sz w:val="16"/>
        </w:rPr>
        <w:t>486.03  هدفون و هدفون در حالی که در مرکز تناسب اندام یا در مناطق دویدن مشخص شده هستند مجاز است مگر اینکه توسط فرمانده نصب ممنوع شود.</w:t>
      </w:r>
    </w:p>
    <w:p>
      <w:pPr>
        <w:spacing w:after="28" w:line="216" w:lineRule="auto"/>
        <w:ind w:left="259"/>
        <w:jc w:val="left"/>
      </w:pPr>
      <w:r>
        <w:rPr>
          <w:rFonts w:ascii="Arial" w:hAnsi="Arial"/>
          <w:color w:val="525252"/>
          <w:sz w:val="13"/>
        </w:rPr>
        <w:t>Headphones and earphones are authorized while in the fitness center or on designated running areas unless prohibited by the Installation Commander.</w:t>
      </w:r>
    </w:p>
    <w:p>
      <w:pPr>
        <w:spacing w:after="20" w:line="223" w:lineRule="auto"/>
        <w:jc w:val="right"/>
        <w:bidi/>
      </w:pPr>
      <w:r>
        <w:rPr>
          <w:rFonts w:ascii="Arial" w:hAnsi="Arial"/>
          <w:sz w:val="16"/>
        </w:rPr>
        <w:t>486.04  موهای بلند باید محکم شوند و ممکن است تا زیر تیغه‌های شانه کشیده شوند.</w:t>
      </w:r>
    </w:p>
    <w:p>
      <w:pPr>
        <w:spacing w:after="28" w:line="216" w:lineRule="auto"/>
        <w:ind w:left="259"/>
        <w:jc w:val="left"/>
      </w:pPr>
      <w:r>
        <w:rPr>
          <w:rFonts w:ascii="Arial" w:hAnsi="Arial"/>
          <w:color w:val="525252"/>
          <w:sz w:val="13"/>
        </w:rPr>
        <w:t>Long hair must be secured and may extend below the shoulder blades.</w:t>
      </w:r>
    </w:p>
    <w:p>
      <w:pPr>
        <w:spacing w:after="20" w:line="223" w:lineRule="auto"/>
        <w:jc w:val="right"/>
        <w:bidi/>
      </w:pPr>
      <w:r>
        <w:rPr>
          <w:rFonts w:ascii="Arial" w:hAnsi="Arial"/>
          <w:sz w:val="16"/>
        </w:rPr>
        <w:t>486.05  آداب و رسوم نظامی مناسب و احترام به پرچم در هنگام رونمایی / عقب نشینی اعمال خواهد شد.</w:t>
      </w:r>
    </w:p>
    <w:p>
      <w:pPr>
        <w:spacing w:after="28" w:line="216" w:lineRule="auto"/>
        <w:ind w:left="259"/>
        <w:jc w:val="left"/>
      </w:pPr>
      <w:r>
        <w:rPr>
          <w:rFonts w:ascii="Arial" w:hAnsi="Arial"/>
          <w:color w:val="525252"/>
          <w:sz w:val="13"/>
        </w:rPr>
        <w:t>Proper military customs and courtesies honoring the flag during reveille/retreat will apply.</w:t>
      </w:r>
    </w:p>
    <w:p>
      <w:pPr>
        <w:spacing w:after="20" w:line="223" w:lineRule="auto"/>
        <w:jc w:val="right"/>
        <w:bidi/>
      </w:pPr>
      <w:r>
        <w:rPr>
          <w:rFonts w:ascii="Arial" w:hAnsi="Arial"/>
          <w:sz w:val="16"/>
        </w:rPr>
        <w:t>486.06  هنگام پوشیدن PTG به دلیل تشخیص رتبه نیازی به سلام دادن نیست.</w:t>
      </w:r>
    </w:p>
    <w:p>
      <w:pPr>
        <w:spacing w:after="28" w:line="216" w:lineRule="auto"/>
        <w:ind w:left="259"/>
        <w:jc w:val="left"/>
      </w:pPr>
      <w:r>
        <w:rPr>
          <w:rFonts w:ascii="Arial" w:hAnsi="Arial"/>
          <w:color w:val="525252"/>
          <w:sz w:val="13"/>
        </w:rPr>
        <w:t>Saluting due to rank recognition is not required when wearing the PTG.</w:t>
      </w:r>
    </w:p>
    <w:p>
      <w:pPr>
        <w:spacing w:after="20" w:line="223" w:lineRule="auto"/>
        <w:jc w:val="right"/>
        <w:bidi/>
      </w:pPr>
      <w:r>
        <w:rPr>
          <w:rFonts w:ascii="Arial" w:hAnsi="Arial"/>
          <w:sz w:val="16"/>
        </w:rPr>
        <w:t>486.07  برای الحاق، آموزش نظامی حرفه‌ای (PME) و محیط‌های آموزشی آکادمیک مانند آکادمی نیروی هوایی ایالات متحده، مدرسه افسران اسکادران، یا آموزش نظامی پایه، فرماندهان یا موارد مشابه، تعیین می‌کنند که کدام رویدادهای PT سازماندهی می‌شوند.</w:t>
      </w:r>
    </w:p>
    <w:p>
      <w:pPr>
        <w:spacing w:after="28" w:line="216" w:lineRule="auto"/>
        <w:ind w:left="259"/>
        <w:jc w:val="left"/>
      </w:pPr>
      <w:r>
        <w:rPr>
          <w:rFonts w:ascii="Arial" w:hAnsi="Arial"/>
          <w:color w:val="525252"/>
          <w:sz w:val="13"/>
        </w:rPr>
        <w:t>For accessions, Professional Military Education (PME) and academic training environments such as the United States Air Force Academy, Squadron Officer School, or Basic Military Training, commanders, or equivalent, will determine which PT events are organized.</w:t>
      </w:r>
    </w:p>
    <w:p>
      <w:pPr>
        <w:spacing w:after="20" w:line="223" w:lineRule="auto"/>
        <w:jc w:val="right"/>
        <w:bidi/>
      </w:pPr>
      <w:r>
        <w:rPr>
          <w:rFonts w:ascii="Arial" w:hAnsi="Arial"/>
          <w:sz w:val="16"/>
        </w:rPr>
        <w:t>486.08  در این محیط‌ها، دانش‌آموزان و کارکنان ممکن است برای برآورده کردن الزامات آموزشی لازم برای شامل تمایز کارکنان و دانش‌آموزان یا وابستگی به اسکادران دانشجو، از تجهیزات PT مخصوص واحد استفاده کنند.</w:t>
      </w:r>
    </w:p>
    <w:p>
      <w:pPr>
        <w:spacing w:after="28" w:line="216" w:lineRule="auto"/>
        <w:ind w:left="259"/>
        <w:jc w:val="left"/>
      </w:pPr>
      <w:r>
        <w:rPr>
          <w:rFonts w:ascii="Arial" w:hAnsi="Arial"/>
          <w:color w:val="525252"/>
          <w:sz w:val="13"/>
        </w:rPr>
        <w:t>In these environments, students and staff may wear unit-specific PT gear to meet necessary training requirements to include staff and student distinction or student squadron affiliation.</w:t>
      </w:r>
    </w:p>
    <w:p>
      <w:pPr>
        <w:spacing w:before="60" w:after="28"/>
        <w:jc w:val="right"/>
        <w:bidi/>
      </w:pPr>
      <w:r>
        <w:rPr>
          <w:b/>
          <w:color w:val="1F4D78"/>
          <w:sz w:val="18"/>
        </w:rPr>
        <w:t>23.18. لباس فرم وظیفه پرواز (FDU) و لباس فرم وظیفه پرواز صحرا (DFDU)</w:t>
      </w:r>
    </w:p>
    <w:p>
      <w:pPr>
        <w:spacing w:after="20"/>
        <w:ind w:left="259"/>
        <w:jc w:val="left"/>
      </w:pPr>
      <w:r>
        <w:rPr>
          <w:color w:val="555555"/>
          <w:sz w:val="12"/>
        </w:rPr>
        <w:t>23.18. Flight Duty Uniform (FDU) and Desert Flight Duty Uniform (DFDU) Wear</w:t>
      </w:r>
    </w:p>
    <w:p>
      <w:pPr>
        <w:spacing w:after="20" w:line="223" w:lineRule="auto"/>
        <w:jc w:val="right"/>
        <w:bidi/>
      </w:pPr>
      <w:r>
        <w:rPr>
          <w:rFonts w:ascii="Arial" w:hAnsi="Arial"/>
          <w:sz w:val="16"/>
        </w:rPr>
        <w:t>486.10  راهنمایی.</w:t>
      </w:r>
    </w:p>
    <w:p>
      <w:pPr>
        <w:spacing w:after="28" w:line="216" w:lineRule="auto"/>
        <w:ind w:left="259"/>
        <w:jc w:val="left"/>
      </w:pPr>
      <w:r>
        <w:rPr>
          <w:rFonts w:ascii="Arial" w:hAnsi="Arial"/>
          <w:color w:val="525252"/>
          <w:sz w:val="13"/>
        </w:rPr>
        <w:t>Guidance.</w:t>
      </w:r>
    </w:p>
    <w:p>
      <w:pPr>
        <w:spacing w:after="20" w:line="223" w:lineRule="auto"/>
        <w:jc w:val="right"/>
        <w:bidi/>
      </w:pPr>
      <w:r>
        <w:rPr>
          <w:rFonts w:ascii="Arial" w:hAnsi="Arial"/>
          <w:sz w:val="16"/>
        </w:rPr>
        <w:t>486.11  FDU و DFDU ​​الزامات کاری سازمانی و عملکردی منحصربه‌فردی را برآورده می‌کنند و از لباس‌های متمایز و کاربردی تشکیل شده‌اند.</w:t>
      </w:r>
    </w:p>
    <w:p>
      <w:pPr>
        <w:spacing w:after="28" w:line="216" w:lineRule="auto"/>
        <w:ind w:left="259"/>
        <w:jc w:val="left"/>
      </w:pPr>
      <w:r>
        <w:rPr>
          <w:rFonts w:ascii="Arial" w:hAnsi="Arial"/>
          <w:color w:val="525252"/>
          <w:sz w:val="13"/>
        </w:rPr>
        <w:t>The FDU and DFDU meet unique organizational and functional work requirements and are comprised of both distinctive and functional clothing items.</w:t>
      </w:r>
    </w:p>
    <w:p>
      <w:pPr>
        <w:spacing w:after="20" w:line="223" w:lineRule="auto"/>
        <w:jc w:val="right"/>
        <w:bidi/>
      </w:pPr>
      <w:r>
        <w:rPr>
          <w:rFonts w:ascii="Arial" w:hAnsi="Arial"/>
          <w:sz w:val="16"/>
        </w:rPr>
        <w:t>486.12  اعضا ولکرو® را روی FDU/DFDU و تجهیزات می‌دوزند تا بتوانند هر گونه وصله/لوازم جانبی را در زمان‌های احتمالی حذف کنند.</w:t>
      </w:r>
    </w:p>
    <w:p>
      <w:pPr>
        <w:spacing w:after="28" w:line="216" w:lineRule="auto"/>
        <w:ind w:left="259"/>
        <w:jc w:val="left"/>
      </w:pPr>
      <w:r>
        <w:rPr>
          <w:rFonts w:ascii="Arial" w:hAnsi="Arial"/>
          <w:color w:val="525252"/>
          <w:sz w:val="13"/>
        </w:rPr>
        <w:t>Members will sew Velcro® on FDU/DFDU and equipment so they can remove any patches/accoutrements during contingencies.</w:t>
      </w:r>
    </w:p>
    <w:p>
      <w:pPr>
        <w:spacing w:before="60" w:after="28"/>
        <w:jc w:val="right"/>
        <w:bidi/>
      </w:pPr>
      <w:r>
        <w:rPr>
          <w:b/>
          <w:color w:val="1F4D78"/>
          <w:sz w:val="18"/>
        </w:rPr>
        <w:t>شکل 23.50. یونیفرم وظیفه پروازی و بیابانی</w:t>
      </w:r>
    </w:p>
    <w:p>
      <w:pPr>
        <w:spacing w:after="20"/>
        <w:ind w:left="259"/>
        <w:jc w:val="left"/>
      </w:pPr>
      <w:r>
        <w:rPr>
          <w:color w:val="555555"/>
          <w:sz w:val="12"/>
        </w:rPr>
        <w:t>Figure 23.50. Flight Duty and Desert Flight Duty Uniforms</w:t>
      </w:r>
    </w:p>
    <w:p>
      <w:pPr>
        <w:spacing w:after="20" w:line="223" w:lineRule="auto"/>
        <w:jc w:val="right"/>
        <w:bidi/>
      </w:pPr>
      <w:r>
        <w:rPr>
          <w:rFonts w:ascii="Arial" w:hAnsi="Arial"/>
          <w:sz w:val="16"/>
        </w:rPr>
        <w:t>486.14  لباس متمایز.</w:t>
      </w:r>
    </w:p>
    <w:p>
      <w:pPr>
        <w:spacing w:after="28" w:line="216" w:lineRule="auto"/>
        <w:ind w:left="259"/>
        <w:jc w:val="left"/>
      </w:pPr>
      <w:r>
        <w:rPr>
          <w:rFonts w:ascii="Arial" w:hAnsi="Arial"/>
          <w:color w:val="525252"/>
          <w:sz w:val="13"/>
        </w:rPr>
        <w:t>Distinctive Clothing.</w:t>
      </w:r>
    </w:p>
    <w:p>
      <w:pPr>
        <w:spacing w:after="20" w:line="223" w:lineRule="auto"/>
        <w:jc w:val="right"/>
        <w:bidi/>
      </w:pPr>
      <w:r>
        <w:rPr>
          <w:rFonts w:ascii="Arial" w:hAnsi="Arial"/>
          <w:sz w:val="16"/>
        </w:rPr>
        <w:t>486.15  برای راهنمایی در مورد مواردی که منحصر به لباس هستند و فقط هنگام انجام وظایفی که برای آنها صادر شده‌اند پوشیده می‌شوند، به DAFI ۳۶-۲۹۰۳، فصل ۹ مراجعه کنید.</w:t>
      </w:r>
    </w:p>
    <w:p>
      <w:pPr>
        <w:spacing w:after="28" w:line="216" w:lineRule="auto"/>
        <w:ind w:left="259"/>
        <w:jc w:val="left"/>
      </w:pPr>
      <w:r>
        <w:rPr>
          <w:rFonts w:ascii="Arial" w:hAnsi="Arial"/>
          <w:color w:val="525252"/>
          <w:sz w:val="13"/>
        </w:rPr>
        <w:t>For guidance on those items that are unique to the uniform and are worn only when performing the duties for which they are issued see DAFI 36-2903, Chapter 9.</w:t>
      </w:r>
    </w:p>
    <w:p>
      <w:pPr>
        <w:spacing w:after="20" w:line="223" w:lineRule="auto"/>
        <w:jc w:val="right"/>
        <w:bidi/>
      </w:pPr>
      <w:r>
        <w:rPr>
          <w:rFonts w:ascii="Arial" w:hAnsi="Arial"/>
          <w:sz w:val="16"/>
        </w:rPr>
        <w:t>486.16  اقلام لباس کاربردی مانند پارک‌ها، کفش‌های محافظ و لباس‌های تخصصی پرواز زمستانی در صورت نیاز صادر می‌شود.</w:t>
      </w:r>
    </w:p>
    <w:p>
      <w:pPr>
        <w:spacing w:after="28" w:line="216" w:lineRule="auto"/>
        <w:ind w:left="259"/>
        <w:jc w:val="left"/>
      </w:pPr>
      <w:r>
        <w:rPr>
          <w:rFonts w:ascii="Arial" w:hAnsi="Arial"/>
          <w:color w:val="525252"/>
          <w:sz w:val="13"/>
        </w:rPr>
        <w:t>Functional clothing items such as parkas, protective footwear, and specialized winter flight clothing will be issued as required.</w:t>
      </w:r>
    </w:p>
    <w:p>
      <w:pPr>
        <w:spacing w:after="20" w:line="223" w:lineRule="auto"/>
        <w:jc w:val="right"/>
        <w:bidi/>
      </w:pPr>
      <w:r>
        <w:rPr>
          <w:rFonts w:ascii="Arial" w:hAnsi="Arial"/>
          <w:sz w:val="16"/>
        </w:rPr>
        <w:t>486.17  MAJCOM یا فرماندهان نصب، سایش را تجویز خواهند کرد</w:t>
      </w:r>
    </w:p>
    <w:p>
      <w:pPr>
        <w:spacing w:after="28" w:line="216" w:lineRule="auto"/>
        <w:ind w:left="259"/>
        <w:jc w:val="left"/>
      </w:pPr>
      <w:r>
        <w:rPr>
          <w:rFonts w:ascii="Arial" w:hAnsi="Arial"/>
          <w:color w:val="525252"/>
          <w:sz w:val="13"/>
        </w:rPr>
        <w:t>MAJCOM or Installation Commanders will prescribe wear</w:t>
      </w:r>
    </w:p>
    <w:p>
      <w:r>
        <w:br w:type="page"/>
      </w:r>
    </w:p>
    <w:p>
      <w:pPr>
        <w:spacing w:after="60"/>
        <w:jc w:val="right"/>
        <w:bidi/>
      </w:pPr>
      <w:r>
        <w:rPr>
          <w:rFonts w:ascii="Arial" w:hAnsi="Arial"/>
          <w:b/>
          <w:color w:val="1F4D78"/>
          <w:sz w:val="19"/>
        </w:rPr>
        <w:t>هفتهٔ 487  |  صفحهٔ منبع: 503</w:t>
      </w:r>
    </w:p>
    <w:p>
      <w:pPr>
        <w:spacing w:after="20" w:line="223" w:lineRule="auto"/>
        <w:jc w:val="right"/>
        <w:bidi/>
      </w:pPr>
      <w:r>
        <w:rPr>
          <w:rFonts w:ascii="Arial" w:hAnsi="Arial"/>
          <w:sz w:val="16"/>
        </w:rPr>
        <w:t>487.01  دستورالعمل در مکمل‌های DAFI ۳۶-۲۹۰۳.</w:t>
      </w:r>
    </w:p>
    <w:p>
      <w:pPr>
        <w:spacing w:after="28" w:line="216" w:lineRule="auto"/>
        <w:ind w:left="259"/>
        <w:jc w:val="left"/>
      </w:pPr>
      <w:r>
        <w:rPr>
          <w:rFonts w:ascii="Arial" w:hAnsi="Arial"/>
          <w:color w:val="525252"/>
          <w:sz w:val="13"/>
        </w:rPr>
        <w:t>instructions in supplements to DAFI 36-2903.</w:t>
      </w:r>
    </w:p>
    <w:p>
      <w:pPr>
        <w:spacing w:after="20" w:line="223" w:lineRule="auto"/>
        <w:jc w:val="right"/>
        <w:bidi/>
      </w:pPr>
      <w:r>
        <w:rPr>
          <w:rFonts w:ascii="Arial" w:hAnsi="Arial"/>
          <w:sz w:val="16"/>
        </w:rPr>
        <w:t>487.02  استثنائات.</w:t>
      </w:r>
    </w:p>
    <w:p>
      <w:pPr>
        <w:spacing w:after="28" w:line="216" w:lineRule="auto"/>
        <w:ind w:left="259"/>
        <w:jc w:val="left"/>
      </w:pPr>
      <w:r>
        <w:rPr>
          <w:rFonts w:ascii="Arial" w:hAnsi="Arial"/>
          <w:color w:val="525252"/>
          <w:sz w:val="13"/>
        </w:rPr>
        <w:t>Exceptions.</w:t>
      </w:r>
    </w:p>
    <w:p>
      <w:pPr>
        <w:spacing w:after="20" w:line="223" w:lineRule="auto"/>
        <w:jc w:val="right"/>
        <w:bidi/>
      </w:pPr>
      <w:r>
        <w:rPr>
          <w:rFonts w:ascii="Arial" w:hAnsi="Arial"/>
          <w:sz w:val="16"/>
        </w:rPr>
        <w:t>487.03  سازمان‌هایی که از خط‌مشی پوشیدن FDU/DFDU مستثنی هستند، باید از طریق MAJCOM/ا۳ یا کانال‌های مشابه خود، یک درخواست استثنا برای خط‌مشی را به مدیریت کل نیروی هوایی HAF (AF/ا۳ت) ارسال کنند.</w:t>
      </w:r>
    </w:p>
    <w:p>
      <w:pPr>
        <w:spacing w:after="28" w:line="216" w:lineRule="auto"/>
        <w:ind w:left="259"/>
        <w:jc w:val="left"/>
      </w:pPr>
      <w:r>
        <w:rPr>
          <w:rFonts w:ascii="Arial" w:hAnsi="Arial"/>
          <w:color w:val="525252"/>
          <w:sz w:val="13"/>
        </w:rPr>
        <w:t>Organizations requiring exception to FDU/DFDU wear policy should submit an Exception to Policy request through their MAJCOM/A3 or equivalent channels to HAF Total Force Aircrew Management (AF/A3T).</w:t>
      </w:r>
    </w:p>
    <w:p>
      <w:pPr>
        <w:spacing w:after="20" w:line="223" w:lineRule="auto"/>
        <w:jc w:val="right"/>
        <w:bidi/>
      </w:pPr>
      <w:r>
        <w:rPr>
          <w:rFonts w:ascii="Arial" w:hAnsi="Arial"/>
          <w:sz w:val="16"/>
        </w:rPr>
        <w:t>487.04  FDU/DFDU و ژاکت پرواز را مطابق با دستور فنی (ت.و.) ۱۴پ۳-۱-۱۱۲، دستورالعمل‌های تعمیر و نگهداری نومکس فلیگهت گار، روپوش، دستکش، ژاکت نگهداری کنید.</w:t>
      </w:r>
    </w:p>
    <w:p>
      <w:pPr>
        <w:spacing w:after="28" w:line="216" w:lineRule="auto"/>
        <w:ind w:left="259"/>
        <w:jc w:val="left"/>
      </w:pPr>
      <w:r>
        <w:rPr>
          <w:rFonts w:ascii="Arial" w:hAnsi="Arial"/>
          <w:color w:val="525252"/>
          <w:sz w:val="13"/>
        </w:rPr>
        <w:t>Maintain the FDU/DFDU and Flight Jacket in accordance with Technical Order (T.O.) 14P3-1- 112, Maintenance Instructions Nomex Flight Gear, Coveralls, Gloves, Jacket.</w:t>
      </w:r>
    </w:p>
    <w:p>
      <w:pPr>
        <w:spacing w:after="20" w:line="223" w:lineRule="auto"/>
        <w:jc w:val="right"/>
        <w:bidi/>
      </w:pPr>
      <w:r>
        <w:rPr>
          <w:rFonts w:ascii="Arial" w:hAnsi="Arial"/>
          <w:sz w:val="16"/>
        </w:rPr>
        <w:t>487.05  پوشیدن مجاز FDU/DFDU.</w:t>
      </w:r>
    </w:p>
    <w:p>
      <w:pPr>
        <w:spacing w:after="28" w:line="216" w:lineRule="auto"/>
        <w:ind w:left="259"/>
        <w:jc w:val="left"/>
      </w:pPr>
      <w:r>
        <w:rPr>
          <w:rFonts w:ascii="Arial" w:hAnsi="Arial"/>
          <w:color w:val="525252"/>
          <w:sz w:val="13"/>
        </w:rPr>
        <w:t>Authorized FDU/DFDU Wear.</w:t>
      </w:r>
    </w:p>
    <w:p>
      <w:pPr>
        <w:spacing w:after="20" w:line="223" w:lineRule="auto"/>
        <w:jc w:val="right"/>
        <w:bidi/>
      </w:pPr>
      <w:r>
        <w:rPr>
          <w:rFonts w:ascii="Arial" w:hAnsi="Arial"/>
          <w:sz w:val="16"/>
        </w:rPr>
        <w:t>487.06  پوشیدن مجاز پرسنل FDU/DFDU با DAFI ۳۶-۲۹۰۳ و همچنین مکمل‌های قابل‌اجرای MAJCOM، صرف‌نظر از AFSC یا واحد تخصیص، مطابقت دارد.</w:t>
      </w:r>
    </w:p>
    <w:p>
      <w:pPr>
        <w:spacing w:after="28" w:line="216" w:lineRule="auto"/>
        <w:ind w:left="259"/>
        <w:jc w:val="left"/>
      </w:pPr>
      <w:r>
        <w:rPr>
          <w:rFonts w:ascii="Arial" w:hAnsi="Arial"/>
          <w:color w:val="525252"/>
          <w:sz w:val="13"/>
        </w:rPr>
        <w:t>Personnel authorized wear of the FDU/DFDU will comply with DAFI 36-2903, as well as applicable MAJCOM supplements, regardless of AFSC or unit of assignment.</w:t>
      </w:r>
    </w:p>
    <w:p>
      <w:pPr>
        <w:spacing w:after="20" w:line="223" w:lineRule="auto"/>
        <w:jc w:val="right"/>
        <w:bidi/>
      </w:pPr>
      <w:r>
        <w:rPr>
          <w:rFonts w:ascii="Arial" w:hAnsi="Arial"/>
          <w:sz w:val="16"/>
        </w:rPr>
        <w:t>487.07  FDU/DFDU برای پوشیدن وظایف زمینی و پروازی توسط افرادی که وظایف پرواز، چترباز، فضا و خدمه موشکی را انجام می‌دهند مجاز است: وظایف پروازی شامل آماده‌سازی، قبل از پرواز، حین پرواز، پس از پرواز و سایر وظایف مربوط به پرواز مرتبط با عملیات هواپیما است.</w:t>
      </w:r>
    </w:p>
    <w:p>
      <w:pPr>
        <w:spacing w:after="28" w:line="216" w:lineRule="auto"/>
        <w:ind w:left="259"/>
        <w:jc w:val="left"/>
      </w:pPr>
      <w:r>
        <w:rPr>
          <w:rFonts w:ascii="Arial" w:hAnsi="Arial"/>
          <w:color w:val="525252"/>
          <w:sz w:val="13"/>
        </w:rPr>
        <w:t>The FDU/DFDU is authorized for wear for ground and flight duties by individuals who perform flying, parachutist, space, and missile crew duties: flight duty includes preparation, preflight, in-flight, post-flight, and other flight related duties associated with aircraft operations.</w:t>
      </w:r>
    </w:p>
    <w:p>
      <w:pPr>
        <w:spacing w:after="20" w:line="223" w:lineRule="auto"/>
        <w:jc w:val="right"/>
        <w:bidi/>
      </w:pPr>
      <w:r>
        <w:rPr>
          <w:rFonts w:ascii="Arial" w:hAnsi="Arial"/>
          <w:sz w:val="16"/>
        </w:rPr>
        <w:t>487.08  برای استفاده توسط پرسنل دارای شناسه موقعیت خدمه هوایی ۱ تا ۹ و ا تا گ (افسران رتبه‌بندی، هوانوردان درجه‌دار شغلی ۱AXXX و ۱UXXX) مجاز است.</w:t>
      </w:r>
    </w:p>
    <w:p>
      <w:pPr>
        <w:spacing w:after="28" w:line="216" w:lineRule="auto"/>
        <w:ind w:left="259"/>
        <w:jc w:val="left"/>
      </w:pPr>
      <w:r>
        <w:rPr>
          <w:rFonts w:ascii="Arial" w:hAnsi="Arial"/>
          <w:color w:val="525252"/>
          <w:sz w:val="13"/>
        </w:rPr>
        <w:t>It is authorized for wear by personnel with an Aircrew Position Identifier 1 thru 9 and A thru G (Rated Officers, Career Enlisted Aviators 1AXXX, and 1UXXX).</w:t>
      </w:r>
    </w:p>
    <w:p>
      <w:pPr>
        <w:spacing w:after="20" w:line="223" w:lineRule="auto"/>
        <w:jc w:val="right"/>
        <w:bidi/>
      </w:pPr>
      <w:r>
        <w:rPr>
          <w:rFonts w:ascii="Arial" w:hAnsi="Arial"/>
          <w:sz w:val="16"/>
        </w:rPr>
        <w:t>487.09  به‌علاوه، راهنمایی برای افسران دارای رتبه منصوب به یک شناسه موقعیت خدمه پروازی-۰ و هوانوردان درجه‌دار شغلی که به موقعیت‌های شناسایی موقعیت خدمه پروازی-ز اختصاص داده شده‌اند که در دستورات هوانوردی فعال هستند، یا پرسنلی که به‌عنوان مأمور عملیاتی شناسایی شده‌اند که در حال حاضر به‌عنوان پشتیبان عملیات فعال/به‌عنوان مأمور غیرقانونی در حال انجام سفارش هستند. وظایف خدمه هواپیما یا چترباز در پرواز در DAFMAN ۱۱-۴۰۱، مدیریت هوانوردی، پیوست ۳ مشخص شده است.</w:t>
      </w:r>
    </w:p>
    <w:p>
      <w:pPr>
        <w:spacing w:after="28" w:line="216" w:lineRule="auto"/>
        <w:ind w:left="259"/>
        <w:jc w:val="left"/>
      </w:pPr>
      <w:r>
        <w:rPr>
          <w:rFonts w:ascii="Arial" w:hAnsi="Arial"/>
          <w:color w:val="525252"/>
          <w:sz w:val="13"/>
        </w:rPr>
        <w:t>Additionally, guidance for Rated Officers assigned to an Aircrew Position Identifier-0 and Career Enlisted Aviators assigned to Aircrew Position Identifier-Z positions that are on active aeronautical orders, or personnel identified as Operations Support/Non-interference flyers currently on active aeronautical orders authorized to perform in-flight aircrew or parachutist duties is outlined in DAFMAN 11-401, Aviation Management, Attachment 3.</w:t>
      </w:r>
    </w:p>
    <w:p>
      <w:pPr>
        <w:spacing w:after="20" w:line="223" w:lineRule="auto"/>
        <w:jc w:val="right"/>
        <w:bidi/>
      </w:pPr>
      <w:r>
        <w:rPr>
          <w:rFonts w:ascii="Arial" w:hAnsi="Arial"/>
          <w:sz w:val="16"/>
        </w:rPr>
        <w:t>487.10  در نهایت، راهنمایی در مورد مجوز پوشیدن FDU/DFDU توسط پرسنل در AFSCهای خدمه فضایی/موشکی: ۱۳ن، ۱۳SXA، ۱۳SXB، ۱۳SXC، ۱۳SXD، ۱۳SXE، و ۱ک۶XX؛ AFSC های هوانوردی بدون رتبه و غیر حرفه‌ای: ۱۳HX و ۱ه۰کس۱. ارومدیکال واکواتیون کورپس افسکس: ۴۶ف و کس۴ن۰. فلیینگ کرو چیفس در DAFI ۲۱-۱۰۱، مدیریت نگهداری هواپیما و تجهیزات، و راونس نیروهای امنیتی ارائه شده در DAFI ۳۱-۱۰۱، دفاع یکپارچه (ID) ارائه شده است.</w:t>
      </w:r>
    </w:p>
    <w:p>
      <w:pPr>
        <w:spacing w:after="28" w:line="216" w:lineRule="auto"/>
        <w:ind w:left="259"/>
        <w:jc w:val="left"/>
      </w:pPr>
      <w:r>
        <w:rPr>
          <w:rFonts w:ascii="Arial" w:hAnsi="Arial"/>
          <w:color w:val="525252"/>
          <w:sz w:val="13"/>
        </w:rPr>
        <w:t>Finally, guidance on the FDU/DFDU wear authorization by personnel in Space/Missile Crew AFSCs: 13N, 13SXA, 13SXB, 13SXC, 13SXD, 13SXE, and 1C6XX; Non-rated and non-Career Enlisted Aviator AFSCs: 13HX and 1H0X1; Aeromedical Evacuation Corps AFSCs: 46F and X4N0; Flying Crew Chiefs is provided in DAFI 21-101, Aircraft and Equipment Maintenance Management, and Security Forces Ravens provided in DAFI 31-101, Integrated Defense (ID).</w:t>
      </w:r>
    </w:p>
    <w:p>
      <w:pPr>
        <w:spacing w:after="20" w:line="223" w:lineRule="auto"/>
        <w:jc w:val="right"/>
        <w:bidi/>
      </w:pPr>
      <w:r>
        <w:rPr>
          <w:rFonts w:ascii="Arial" w:hAnsi="Arial"/>
          <w:sz w:val="16"/>
        </w:rPr>
        <w:t>487.11  هوانوردان لباس‌های خاص مجاز تحت استانداردهای مجاز، یونیفرم تجویز شده توسط فرمانده واحد محلی و توصیه شده برای نوع مأموریت انجام شده را خواهند پوشید.</w:t>
      </w:r>
    </w:p>
    <w:p>
      <w:pPr>
        <w:spacing w:after="28" w:line="216" w:lineRule="auto"/>
        <w:ind w:left="259"/>
        <w:jc w:val="left"/>
      </w:pPr>
      <w:r>
        <w:rPr>
          <w:rFonts w:ascii="Arial" w:hAnsi="Arial"/>
          <w:color w:val="525252"/>
          <w:sz w:val="13"/>
        </w:rPr>
        <w:t>Airmen authorized special articles of clothing under an allowance standard will wear the uniform prescribed by the local unit commander and recommended for the type of mission performed.</w:t>
      </w:r>
    </w:p>
    <w:p>
      <w:pPr>
        <w:spacing w:after="20" w:line="223" w:lineRule="auto"/>
        <w:jc w:val="right"/>
        <w:bidi/>
      </w:pPr>
      <w:r>
        <w:rPr>
          <w:rFonts w:ascii="Arial" w:hAnsi="Arial"/>
          <w:sz w:val="16"/>
        </w:rPr>
        <w:t>487.12  وظایف خدمه فضایی و موشکی توسط ضمیمه MAJCOM در این دستورالعمل مشخص خواهد شد.</w:t>
      </w:r>
    </w:p>
    <w:p>
      <w:pPr>
        <w:spacing w:after="28" w:line="216" w:lineRule="auto"/>
        <w:ind w:left="259"/>
        <w:jc w:val="left"/>
      </w:pPr>
      <w:r>
        <w:rPr>
          <w:rFonts w:ascii="Arial" w:hAnsi="Arial"/>
          <w:color w:val="525252"/>
          <w:sz w:val="13"/>
        </w:rPr>
        <w:t>Space and missile crew duties will be defined by MAJCOM supplement to this instruction.</w:t>
      </w:r>
    </w:p>
    <w:p>
      <w:pPr>
        <w:spacing w:after="20" w:line="223" w:lineRule="auto"/>
        <w:jc w:val="right"/>
        <w:bidi/>
      </w:pPr>
      <w:r>
        <w:rPr>
          <w:rFonts w:ascii="Arial" w:hAnsi="Arial"/>
          <w:sz w:val="16"/>
        </w:rPr>
        <w:t>487.13  پشتیبانی عملیات/بروشورهای بدون تداخل.</w:t>
      </w:r>
    </w:p>
    <w:p>
      <w:pPr>
        <w:spacing w:after="28" w:line="216" w:lineRule="auto"/>
        <w:ind w:left="259"/>
        <w:jc w:val="left"/>
      </w:pPr>
      <w:r>
        <w:rPr>
          <w:rFonts w:ascii="Arial" w:hAnsi="Arial"/>
          <w:color w:val="525252"/>
          <w:sz w:val="13"/>
        </w:rPr>
        <w:t>Operations Support/Non-interference Flyers.</w:t>
      </w:r>
    </w:p>
    <w:p>
      <w:pPr>
        <w:spacing w:after="20" w:line="223" w:lineRule="auto"/>
        <w:jc w:val="right"/>
        <w:bidi/>
      </w:pPr>
      <w:r>
        <w:rPr>
          <w:rFonts w:ascii="Arial" w:hAnsi="Arial"/>
          <w:sz w:val="16"/>
        </w:rPr>
        <w:t>487.14  لباس‌های پروازی پوشیده شده توسط بروشورهای پشتیبانی عملیات/بدون تداخل فقط در روزهایی پوشیده می‌شوند که پرواز واقعی برنامه‌ریزی شده یا پیش بینی شده است.</w:t>
      </w:r>
    </w:p>
    <w:p>
      <w:pPr>
        <w:spacing w:after="28" w:line="216" w:lineRule="auto"/>
        <w:ind w:left="259"/>
        <w:jc w:val="left"/>
      </w:pPr>
      <w:r>
        <w:rPr>
          <w:rFonts w:ascii="Arial" w:hAnsi="Arial"/>
          <w:color w:val="525252"/>
          <w:sz w:val="13"/>
        </w:rPr>
        <w:t>Flight clothing worn by Operations Support/Non-interference flyers is only worn on days when actual flying is planned or anticipated.</w:t>
      </w:r>
    </w:p>
    <w:p>
      <w:pPr>
        <w:spacing w:after="20" w:line="223" w:lineRule="auto"/>
        <w:jc w:val="right"/>
        <w:bidi/>
      </w:pPr>
      <w:r>
        <w:rPr>
          <w:rFonts w:ascii="Arial" w:hAnsi="Arial"/>
          <w:sz w:val="16"/>
        </w:rPr>
        <w:t>487.15  (عضو باید به یک موقعیت نیروی انسانی با پیشوند خدمه هوایی در سند سرنشینی واحد اختصاص داده شود).</w:t>
      </w:r>
    </w:p>
    <w:p>
      <w:pPr>
        <w:spacing w:after="28" w:line="216" w:lineRule="auto"/>
        <w:ind w:left="259"/>
        <w:jc w:val="left"/>
      </w:pPr>
      <w:r>
        <w:rPr>
          <w:rFonts w:ascii="Arial" w:hAnsi="Arial"/>
          <w:color w:val="525252"/>
          <w:sz w:val="13"/>
        </w:rPr>
        <w:t>(The member must be assigned to an aircrew-prefixed manpower position on the Unit Manning Document).</w:t>
      </w:r>
    </w:p>
    <w:p>
      <w:pPr>
        <w:spacing w:after="20" w:line="223" w:lineRule="auto"/>
        <w:jc w:val="right"/>
        <w:bidi/>
      </w:pPr>
      <w:r>
        <w:rPr>
          <w:rFonts w:ascii="Arial" w:hAnsi="Arial"/>
          <w:sz w:val="16"/>
        </w:rPr>
        <w:t>487.16  پرسنل غیر فعال هوانوردی فقط به وظایف مربوط به پرواز و فضا و خدمه موشکی محدود می‌شوند.</w:t>
      </w:r>
    </w:p>
    <w:p>
      <w:pPr>
        <w:spacing w:after="28" w:line="216" w:lineRule="auto"/>
        <w:ind w:left="259"/>
        <w:jc w:val="left"/>
      </w:pPr>
      <w:r>
        <w:rPr>
          <w:rFonts w:ascii="Arial" w:hAnsi="Arial"/>
          <w:color w:val="525252"/>
          <w:sz w:val="13"/>
        </w:rPr>
        <w:t>Personnel not on active aeronautical orders are restricted to flight-related and space and missile crew duties only.</w:t>
      </w:r>
    </w:p>
    <w:p>
      <w:pPr>
        <w:spacing w:after="20" w:line="223" w:lineRule="auto"/>
        <w:jc w:val="right"/>
        <w:bidi/>
      </w:pPr>
      <w:r>
        <w:rPr>
          <w:rFonts w:ascii="Arial" w:hAnsi="Arial"/>
          <w:sz w:val="16"/>
        </w:rPr>
        <w:t>487.17  استثنا: راهنمای سایش FDU/DFDU خدمه فضایی و موشکی در مکمل‌های MAJCOM به DAFI ۳۶-۲۹۰۳ تشریح خواهد شد.</w:t>
      </w:r>
    </w:p>
    <w:p>
      <w:pPr>
        <w:spacing w:after="28" w:line="216" w:lineRule="auto"/>
        <w:ind w:left="259"/>
        <w:jc w:val="left"/>
      </w:pPr>
      <w:r>
        <w:rPr>
          <w:rFonts w:ascii="Arial" w:hAnsi="Arial"/>
          <w:color w:val="525252"/>
          <w:sz w:val="13"/>
        </w:rPr>
        <w:t>Exception: Space and missile crew FDU/DFDU wear guidance will be outlined in MAJCOM supplements to DAFI 36-2903.</w:t>
      </w:r>
    </w:p>
    <w:p>
      <w:pPr>
        <w:spacing w:after="20" w:line="223" w:lineRule="auto"/>
        <w:jc w:val="right"/>
        <w:bidi/>
      </w:pPr>
      <w:r>
        <w:rPr>
          <w:rFonts w:ascii="Arial" w:hAnsi="Arial"/>
          <w:sz w:val="16"/>
        </w:rPr>
        <w:t>487.18  محدودیت‌ها.</w:t>
      </w:r>
    </w:p>
    <w:p>
      <w:pPr>
        <w:spacing w:after="28" w:line="216" w:lineRule="auto"/>
        <w:ind w:left="259"/>
        <w:jc w:val="left"/>
      </w:pPr>
      <w:r>
        <w:rPr>
          <w:rFonts w:ascii="Arial" w:hAnsi="Arial"/>
          <w:color w:val="525252"/>
          <w:sz w:val="13"/>
        </w:rPr>
        <w:t>Restrictions.</w:t>
      </w:r>
    </w:p>
    <w:p>
      <w:pPr>
        <w:spacing w:after="20" w:line="223" w:lineRule="auto"/>
        <w:jc w:val="right"/>
        <w:bidi/>
      </w:pPr>
      <w:r>
        <w:rPr>
          <w:rFonts w:ascii="Arial" w:hAnsi="Arial"/>
          <w:sz w:val="16"/>
        </w:rPr>
        <w:t>487.19  پرسنل کارکنان.</w:t>
      </w:r>
    </w:p>
    <w:p>
      <w:pPr>
        <w:spacing w:after="28" w:line="216" w:lineRule="auto"/>
        <w:ind w:left="259"/>
        <w:jc w:val="left"/>
      </w:pPr>
      <w:r>
        <w:rPr>
          <w:rFonts w:ascii="Arial" w:hAnsi="Arial"/>
          <w:color w:val="525252"/>
          <w:sz w:val="13"/>
        </w:rPr>
        <w:t>Staff Personnel.</w:t>
      </w:r>
    </w:p>
    <w:p>
      <w:pPr>
        <w:spacing w:after="20" w:line="223" w:lineRule="auto"/>
        <w:jc w:val="right"/>
        <w:bidi/>
      </w:pPr>
      <w:r>
        <w:rPr>
          <w:rFonts w:ascii="Arial" w:hAnsi="Arial"/>
          <w:sz w:val="16"/>
        </w:rPr>
        <w:t>487.20  برای پرسنل HAF/MAJCOM/NAF/واحد گزارش مستقیم (DRU)/FOA که در بند ۹.۲.۱ DAFI ۳۶-۲۹۰۳ مجاز و شناسایی شده‌اند، ممکن است FDU صادر شده قبلی خود را زمانی که قابل استفاده است بپوشند.</w:t>
      </w:r>
    </w:p>
    <w:p>
      <w:pPr>
        <w:spacing w:after="28" w:line="216" w:lineRule="auto"/>
        <w:ind w:left="259"/>
        <w:jc w:val="left"/>
      </w:pPr>
      <w:r>
        <w:rPr>
          <w:rFonts w:ascii="Arial" w:hAnsi="Arial"/>
          <w:color w:val="525252"/>
          <w:sz w:val="13"/>
        </w:rPr>
        <w:t>For HAF/MAJCOM/NAF/Direct Reporting Unit (DRU)/FOA staff personnel authorized and identified in DAFI 36-2903, paragraph 9.2.1, may wear their previously issued FDU when it remains serviceable.</w:t>
      </w:r>
    </w:p>
    <w:p>
      <w:pPr>
        <w:spacing w:after="20" w:line="223" w:lineRule="auto"/>
        <w:jc w:val="right"/>
        <w:bidi/>
      </w:pPr>
      <w:r>
        <w:rPr>
          <w:rFonts w:ascii="Arial" w:hAnsi="Arial"/>
          <w:sz w:val="16"/>
        </w:rPr>
        <w:t>487.21  بودجه HAF/MAJCOM/NAF/DRU/FOA برای صدور یا جایگزینی لباس‌های پروازی کاربردی هزینه نمی‌شود.</w:t>
      </w:r>
    </w:p>
    <w:p>
      <w:pPr>
        <w:spacing w:after="28" w:line="216" w:lineRule="auto"/>
        <w:ind w:left="259"/>
        <w:jc w:val="left"/>
      </w:pPr>
      <w:r>
        <w:rPr>
          <w:rFonts w:ascii="Arial" w:hAnsi="Arial"/>
          <w:color w:val="525252"/>
          <w:sz w:val="13"/>
        </w:rPr>
        <w:t>HAF/MAJCOM/NAF/DRU/FOA funds will not be expended to issue or replace functional flight clothing.</w:t>
      </w:r>
    </w:p>
    <w:p>
      <w:pPr>
        <w:spacing w:after="20" w:line="223" w:lineRule="auto"/>
        <w:jc w:val="right"/>
        <w:bidi/>
      </w:pPr>
      <w:r>
        <w:rPr>
          <w:rFonts w:ascii="Arial" w:hAnsi="Arial"/>
          <w:sz w:val="16"/>
        </w:rPr>
        <w:t>487.22  استثنا: اعضای مجاز خدمه هوایی که به سمت کارکنان پرواز منصوب شده‌اند از این محدودیت مستثنی هستند.</w:t>
      </w:r>
    </w:p>
    <w:p>
      <w:pPr>
        <w:spacing w:after="28" w:line="216" w:lineRule="auto"/>
        <w:ind w:left="259"/>
        <w:jc w:val="left"/>
      </w:pPr>
      <w:r>
        <w:rPr>
          <w:rFonts w:ascii="Arial" w:hAnsi="Arial"/>
          <w:color w:val="525252"/>
          <w:sz w:val="13"/>
        </w:rPr>
        <w:t>Exception: Authorized aircrew members assigned to a flying staff position are exempt from this restriction.</w:t>
      </w:r>
    </w:p>
    <w:p>
      <w:pPr>
        <w:spacing w:after="20" w:line="223" w:lineRule="auto"/>
        <w:jc w:val="right"/>
        <w:bidi/>
      </w:pPr>
      <w:r>
        <w:rPr>
          <w:rFonts w:ascii="Arial" w:hAnsi="Arial"/>
          <w:sz w:val="16"/>
        </w:rPr>
        <w:t>487.23  پرسنل کارکنان HAF ممکن است از FDU/DFDU پیکربندی شده طبق دستور معاون رئیس ستاد (DCS) یا مشابه آن استفاده کنند.</w:t>
      </w:r>
    </w:p>
    <w:p>
      <w:pPr>
        <w:spacing w:after="28" w:line="216" w:lineRule="auto"/>
        <w:ind w:left="259"/>
        <w:jc w:val="left"/>
      </w:pPr>
      <w:r>
        <w:rPr>
          <w:rFonts w:ascii="Arial" w:hAnsi="Arial"/>
          <w:color w:val="525252"/>
          <w:sz w:val="13"/>
        </w:rPr>
        <w:t>HAF staff personnel may wear the FDU/DFDU configured as directed by the Deputy Chief of Staff (DCS) or equivalent.</w:t>
      </w:r>
    </w:p>
    <w:p>
      <w:pPr>
        <w:spacing w:after="20" w:line="223" w:lineRule="auto"/>
        <w:jc w:val="right"/>
        <w:bidi/>
      </w:pPr>
      <w:r>
        <w:rPr>
          <w:rFonts w:ascii="Arial" w:hAnsi="Arial"/>
          <w:sz w:val="16"/>
        </w:rPr>
        <w:t>487.24  اگر DCS یا راهنمایی معادل آن وجود نداشته باشد، پرسنل DAFI ۳۶-۲۹۰۳ را دنبال خواهند کرد.</w:t>
      </w:r>
    </w:p>
    <w:p>
      <w:pPr>
        <w:spacing w:after="28" w:line="216" w:lineRule="auto"/>
        <w:ind w:left="259"/>
        <w:jc w:val="left"/>
      </w:pPr>
      <w:r>
        <w:rPr>
          <w:rFonts w:ascii="Arial" w:hAnsi="Arial"/>
          <w:color w:val="525252"/>
          <w:sz w:val="13"/>
        </w:rPr>
        <w:t>If there is no DCS or equivalent guidance, personnel will follow DAFI 36-2903.</w:t>
      </w:r>
    </w:p>
    <w:p>
      <w:pPr>
        <w:spacing w:after="20" w:line="223" w:lineRule="auto"/>
        <w:jc w:val="right"/>
        <w:bidi/>
      </w:pPr>
      <w:r>
        <w:rPr>
          <w:rFonts w:ascii="Arial" w:hAnsi="Arial"/>
          <w:sz w:val="16"/>
        </w:rPr>
        <w:t>487.25  وجوه HAF/MAJCOM/NAF/DRU/FOA ممکن است برای خرید برچسب‌های نام برای FDU/DFDU استفاده شود.</w:t>
      </w:r>
    </w:p>
    <w:p>
      <w:pPr>
        <w:spacing w:after="28" w:line="216" w:lineRule="auto"/>
        <w:ind w:left="259"/>
        <w:jc w:val="left"/>
      </w:pPr>
      <w:r>
        <w:rPr>
          <w:rFonts w:ascii="Arial" w:hAnsi="Arial"/>
          <w:color w:val="525252"/>
          <w:sz w:val="13"/>
        </w:rPr>
        <w:t>HAF/MAJCOM/NAF/DRU/FOA funds may be used to purchase nametags for the FDU/DFDU.</w:t>
      </w:r>
    </w:p>
    <w:p>
      <w:pPr>
        <w:spacing w:after="20" w:line="223" w:lineRule="auto"/>
        <w:jc w:val="right"/>
        <w:bidi/>
      </w:pPr>
      <w:r>
        <w:rPr>
          <w:rFonts w:ascii="Arial" w:hAnsi="Arial"/>
          <w:sz w:val="16"/>
        </w:rPr>
        <w:t>487.26  پوشاک خارج از پایه.</w:t>
      </w:r>
    </w:p>
    <w:p>
      <w:pPr>
        <w:spacing w:after="28" w:line="216" w:lineRule="auto"/>
        <w:ind w:left="259"/>
        <w:jc w:val="left"/>
      </w:pPr>
      <w:r>
        <w:rPr>
          <w:rFonts w:ascii="Arial" w:hAnsi="Arial"/>
          <w:color w:val="525252"/>
          <w:sz w:val="13"/>
        </w:rPr>
        <w:t>Off-Base Wear.</w:t>
      </w:r>
    </w:p>
    <w:p>
      <w:pPr>
        <w:spacing w:after="20" w:line="223" w:lineRule="auto"/>
        <w:jc w:val="right"/>
        <w:bidi/>
      </w:pPr>
      <w:r>
        <w:rPr>
          <w:rFonts w:ascii="Arial" w:hAnsi="Arial"/>
          <w:sz w:val="16"/>
        </w:rPr>
        <w:t>487.27  سایش خارج از پایه FDU/DFDU مطابق با DAFI ۳۶-۲۹۰۳، پاراگراف ۵.۱، دستورالعمل‌های OCP برای سایش خارج از پایه خواهد بود.</w:t>
      </w:r>
    </w:p>
    <w:p>
      <w:pPr>
        <w:spacing w:after="28" w:line="216" w:lineRule="auto"/>
        <w:ind w:left="259"/>
        <w:jc w:val="left"/>
      </w:pPr>
      <w:r>
        <w:rPr>
          <w:rFonts w:ascii="Arial" w:hAnsi="Arial"/>
          <w:color w:val="525252"/>
          <w:sz w:val="13"/>
        </w:rPr>
        <w:t>The FDU/DFDU off-base wear will be in accordance with DAFI 36-2903, paragraph 5.1, OCP guidelines for off-base wear.</w:t>
      </w:r>
    </w:p>
    <w:p>
      <w:r>
        <w:br w:type="page"/>
      </w:r>
    </w:p>
    <w:p>
      <w:pPr>
        <w:spacing w:after="60"/>
        <w:jc w:val="right"/>
        <w:bidi/>
      </w:pPr>
      <w:r>
        <w:rPr>
          <w:rFonts w:ascii="Arial" w:hAnsi="Arial"/>
          <w:b/>
          <w:color w:val="1F4D78"/>
          <w:sz w:val="19"/>
        </w:rPr>
        <w:t>هفتهٔ 488  |  صفحهٔ منبع: 504</w:t>
      </w:r>
    </w:p>
    <w:p>
      <w:pPr>
        <w:spacing w:after="20" w:line="223" w:lineRule="auto"/>
        <w:jc w:val="right"/>
        <w:bidi/>
      </w:pPr>
      <w:r>
        <w:rPr>
          <w:rFonts w:ascii="Arial" w:hAnsi="Arial"/>
          <w:sz w:val="16"/>
        </w:rPr>
        <w:t>488.01  DFDU ​​به‌عنوان یونیفرم روزانه پوشیده نخواهد شد.</w:t>
      </w:r>
    </w:p>
    <w:p>
      <w:pPr>
        <w:spacing w:after="28" w:line="216" w:lineRule="auto"/>
        <w:ind w:left="259"/>
        <w:jc w:val="left"/>
      </w:pPr>
      <w:r>
        <w:rPr>
          <w:rFonts w:ascii="Arial" w:hAnsi="Arial"/>
          <w:color w:val="525252"/>
          <w:sz w:val="13"/>
        </w:rPr>
        <w:t>The DFDU will not be worn as a day-to-day uniform.</w:t>
      </w:r>
    </w:p>
    <w:p>
      <w:pPr>
        <w:spacing w:after="20" w:line="223" w:lineRule="auto"/>
        <w:jc w:val="right"/>
        <w:bidi/>
      </w:pPr>
      <w:r>
        <w:rPr>
          <w:rFonts w:ascii="Arial" w:hAnsi="Arial"/>
          <w:sz w:val="16"/>
        </w:rPr>
        <w:t>488.02  فرمانده MAJCOM یا فرمانده نیروی هوایی ممکن است به DFDU ​​در طول موارد احتمالی، تمرین‌ها، استقرار و عملیات‌های آموزشی تاکتیکی مطابق با شرایط محیطی مجاز باشد.</w:t>
      </w:r>
    </w:p>
    <w:p>
      <w:pPr>
        <w:spacing w:after="28" w:line="216" w:lineRule="auto"/>
        <w:ind w:left="259"/>
        <w:jc w:val="left"/>
      </w:pPr>
      <w:r>
        <w:rPr>
          <w:rFonts w:ascii="Arial" w:hAnsi="Arial"/>
          <w:color w:val="525252"/>
          <w:sz w:val="13"/>
        </w:rPr>
        <w:t>MAJCOM commander or Commander Air Force Forces may authorize DFDU to be worn during contingencies, exercises, deployments, and tactical training operations as appropriate for environmental conditions.</w:t>
      </w:r>
    </w:p>
    <w:p>
      <w:pPr>
        <w:spacing w:after="20" w:line="223" w:lineRule="auto"/>
        <w:jc w:val="right"/>
        <w:bidi/>
      </w:pPr>
      <w:r>
        <w:rPr>
          <w:rFonts w:ascii="Arial" w:hAnsi="Arial"/>
          <w:sz w:val="16"/>
        </w:rPr>
        <w:t>488.03  اجناس ویژه پوشاک.</w:t>
      </w:r>
    </w:p>
    <w:p>
      <w:pPr>
        <w:spacing w:after="28" w:line="216" w:lineRule="auto"/>
        <w:ind w:left="259"/>
        <w:jc w:val="left"/>
      </w:pPr>
      <w:r>
        <w:rPr>
          <w:rFonts w:ascii="Arial" w:hAnsi="Arial"/>
          <w:color w:val="525252"/>
          <w:sz w:val="13"/>
        </w:rPr>
        <w:t>Special Articles of Clothing.</w:t>
      </w:r>
    </w:p>
    <w:p>
      <w:pPr>
        <w:spacing w:after="20" w:line="223" w:lineRule="auto"/>
        <w:jc w:val="right"/>
        <w:bidi/>
      </w:pPr>
      <w:r>
        <w:rPr>
          <w:rFonts w:ascii="Arial" w:hAnsi="Arial"/>
          <w:sz w:val="16"/>
        </w:rPr>
        <w:t>488.04  هوانوردان لباس‌های ویژه مجاز تحت استانداردهای مجاز، لباس‌هایی را می‌پوشند که توسط فرمانده واحد محلی تجویز شده و برای نوع مأموریت توصیه شده است.</w:t>
      </w:r>
    </w:p>
    <w:p>
      <w:pPr>
        <w:spacing w:after="28" w:line="216" w:lineRule="auto"/>
        <w:ind w:left="259"/>
        <w:jc w:val="left"/>
      </w:pPr>
      <w:r>
        <w:rPr>
          <w:rFonts w:ascii="Arial" w:hAnsi="Arial"/>
          <w:color w:val="525252"/>
          <w:sz w:val="13"/>
        </w:rPr>
        <w:t>Airmen authorized special articles of clothing under an allowance standard will wear the clothing prescribed by the local unit commander and recommended for the type of mission to be performed.</w:t>
      </w:r>
    </w:p>
    <w:p>
      <w:pPr>
        <w:spacing w:after="20" w:line="223" w:lineRule="auto"/>
        <w:jc w:val="right"/>
        <w:bidi/>
      </w:pPr>
      <w:r>
        <w:rPr>
          <w:rFonts w:ascii="Arial" w:hAnsi="Arial"/>
          <w:sz w:val="16"/>
        </w:rPr>
        <w:t>488.05  پوشیدن محدود.</w:t>
      </w:r>
    </w:p>
    <w:p>
      <w:pPr>
        <w:spacing w:after="28" w:line="216" w:lineRule="auto"/>
        <w:ind w:left="259"/>
        <w:jc w:val="left"/>
      </w:pPr>
      <w:r>
        <w:rPr>
          <w:rFonts w:ascii="Arial" w:hAnsi="Arial"/>
          <w:color w:val="525252"/>
          <w:sz w:val="13"/>
        </w:rPr>
        <w:t>Limited Wear.</w:t>
      </w:r>
    </w:p>
    <w:p>
      <w:pPr>
        <w:spacing w:after="20" w:line="223" w:lineRule="auto"/>
        <w:jc w:val="right"/>
        <w:bidi/>
      </w:pPr>
      <w:r>
        <w:rPr>
          <w:rFonts w:ascii="Arial" w:hAnsi="Arial"/>
          <w:sz w:val="16"/>
        </w:rPr>
        <w:t>488.06  فرماندهان جناح یا مشابه آن ممکن است بر اساس الزامات مأموریت و به نفع سلامت و رفاه پرسنل خود، محدودیت‌های بیشتری را برای استفاده از FDUها تجویز کنند.</w:t>
      </w:r>
    </w:p>
    <w:p>
      <w:pPr>
        <w:spacing w:after="28" w:line="216" w:lineRule="auto"/>
        <w:ind w:left="259"/>
        <w:jc w:val="left"/>
      </w:pPr>
      <w:r>
        <w:rPr>
          <w:rFonts w:ascii="Arial" w:hAnsi="Arial"/>
          <w:color w:val="525252"/>
          <w:sz w:val="13"/>
        </w:rPr>
        <w:t>Wing commanders or equivalent may prescribe further limits on the wear of FDUs based on mission requirements and in the interest of health and welfare of their personnel.</w:t>
      </w:r>
    </w:p>
    <w:p>
      <w:pPr>
        <w:spacing w:after="20" w:line="223" w:lineRule="auto"/>
        <w:jc w:val="right"/>
        <w:bidi/>
      </w:pPr>
      <w:r>
        <w:rPr>
          <w:rFonts w:ascii="Arial" w:hAnsi="Arial"/>
          <w:sz w:val="16"/>
        </w:rPr>
        <w:t>488.07  آستین.</w:t>
      </w:r>
    </w:p>
    <w:p>
      <w:pPr>
        <w:spacing w:after="28" w:line="216" w:lineRule="auto"/>
        <w:ind w:left="259"/>
        <w:jc w:val="left"/>
      </w:pPr>
      <w:r>
        <w:rPr>
          <w:rFonts w:ascii="Arial" w:hAnsi="Arial"/>
          <w:color w:val="525252"/>
          <w:sz w:val="13"/>
        </w:rPr>
        <w:t>Sleeves.</w:t>
      </w:r>
    </w:p>
    <w:p>
      <w:pPr>
        <w:spacing w:after="20" w:line="223" w:lineRule="auto"/>
        <w:jc w:val="right"/>
        <w:bidi/>
      </w:pPr>
      <w:r>
        <w:rPr>
          <w:rFonts w:ascii="Arial" w:hAnsi="Arial"/>
          <w:sz w:val="16"/>
        </w:rPr>
        <w:t>488.08  FDU/DFDU هنگام انجام وظایف خدمه هواپیما در حین پرواز، آستین‌های خود را فرسوده، سربند یا زیر مچ قرار می‌دهد.</w:t>
      </w:r>
    </w:p>
    <w:p>
      <w:pPr>
        <w:spacing w:after="28" w:line="216" w:lineRule="auto"/>
        <w:ind w:left="259"/>
        <w:jc w:val="left"/>
      </w:pPr>
      <w:r>
        <w:rPr>
          <w:rFonts w:ascii="Arial" w:hAnsi="Arial"/>
          <w:color w:val="525252"/>
          <w:sz w:val="13"/>
        </w:rPr>
        <w:t>The FDU/DFDU will have sleeves worn down, cuffed, or tucked under at the wrist when performing aircrew duties in-flight.</w:t>
      </w:r>
    </w:p>
    <w:p>
      <w:pPr>
        <w:spacing w:after="20" w:line="223" w:lineRule="auto"/>
        <w:jc w:val="right"/>
        <w:bidi/>
      </w:pPr>
      <w:r>
        <w:rPr>
          <w:rFonts w:ascii="Arial" w:hAnsi="Arial"/>
          <w:sz w:val="16"/>
        </w:rPr>
        <w:t>488.09  در صورت عدم انجام وظایف در پرواز، ممکن است آستین‌ها را زیر یا بالا بکشند. اگر در زیر یا بالا کشیده شوند (با استفاده از ولکرو® برای نگه داشتن در جای خود)، آستین‌ها به خم طبیعی آرنج یا در فاصله ۱ اینچی از آن ختم می‌شوند، زمانی که بازوهای پوشنده به‌طور طبیعی در کنارش آویزان هستند.</w:t>
      </w:r>
    </w:p>
    <w:p>
      <w:pPr>
        <w:spacing w:after="28" w:line="216" w:lineRule="auto"/>
        <w:ind w:left="259"/>
        <w:jc w:val="left"/>
      </w:pPr>
      <w:r>
        <w:rPr>
          <w:rFonts w:ascii="Arial" w:hAnsi="Arial"/>
          <w:color w:val="525252"/>
          <w:sz w:val="13"/>
        </w:rPr>
        <w:t>Sleeves may be rolled under or pulled up if not performing in-flight duties; if rolled under or pulled up (using Velcro® to hold in place), the sleeves will end at, or within 1-inch of, the natural bend in the elbow, when the wearer’s arms are hanging naturally at their side.</w:t>
      </w:r>
    </w:p>
    <w:p>
      <w:pPr>
        <w:spacing w:after="20" w:line="223" w:lineRule="auto"/>
        <w:jc w:val="right"/>
        <w:bidi/>
      </w:pPr>
      <w:r>
        <w:rPr>
          <w:rFonts w:ascii="Arial" w:hAnsi="Arial"/>
          <w:sz w:val="16"/>
        </w:rPr>
        <w:t>488.10  زیپ.</w:t>
      </w:r>
    </w:p>
    <w:p>
      <w:pPr>
        <w:spacing w:after="28" w:line="216" w:lineRule="auto"/>
        <w:ind w:left="259"/>
        <w:jc w:val="left"/>
      </w:pPr>
      <w:r>
        <w:rPr>
          <w:rFonts w:ascii="Arial" w:hAnsi="Arial"/>
          <w:color w:val="525252"/>
          <w:sz w:val="13"/>
        </w:rPr>
        <w:t>Zippers.</w:t>
      </w:r>
    </w:p>
    <w:p>
      <w:pPr>
        <w:spacing w:after="20" w:line="223" w:lineRule="auto"/>
        <w:jc w:val="right"/>
        <w:bidi/>
      </w:pPr>
      <w:r>
        <w:rPr>
          <w:rFonts w:ascii="Arial" w:hAnsi="Arial"/>
          <w:sz w:val="16"/>
        </w:rPr>
        <w:t>488.11  زیپ خط مرکزی FDU/DFDU حتی با وسط برچسب نام بسته نمی‌شود.</w:t>
      </w:r>
    </w:p>
    <w:p>
      <w:pPr>
        <w:spacing w:after="28" w:line="216" w:lineRule="auto"/>
        <w:ind w:left="259"/>
        <w:jc w:val="left"/>
      </w:pPr>
      <w:r>
        <w:rPr>
          <w:rFonts w:ascii="Arial" w:hAnsi="Arial"/>
          <w:color w:val="525252"/>
          <w:sz w:val="13"/>
        </w:rPr>
        <w:t>The centerline zipper of the FDU/DFDU will be closed no lower than even with the middle of the nametag.</w:t>
      </w:r>
    </w:p>
    <w:p>
      <w:pPr>
        <w:spacing w:after="20" w:line="223" w:lineRule="auto"/>
        <w:jc w:val="right"/>
        <w:bidi/>
      </w:pPr>
      <w:r>
        <w:rPr>
          <w:rFonts w:ascii="Arial" w:hAnsi="Arial"/>
          <w:sz w:val="16"/>
        </w:rPr>
        <w:t>488.12  یک چاقوی گیره دار را می‌توان در داخل یک جیب ساق پا با گیره محکم کرد، مشروط بر اینکه بیشتر از اینکه گیره در معرض دید قرار نگیرد و رنگ چاقو کم رنگ یا مات باشد.</w:t>
      </w:r>
    </w:p>
    <w:p>
      <w:pPr>
        <w:spacing w:after="28" w:line="216" w:lineRule="auto"/>
        <w:ind w:left="259"/>
        <w:jc w:val="left"/>
      </w:pPr>
      <w:r>
        <w:rPr>
          <w:rFonts w:ascii="Arial" w:hAnsi="Arial"/>
          <w:color w:val="525252"/>
          <w:sz w:val="13"/>
        </w:rPr>
        <w:t>A single knife with clip may be secured inside a leg pocket with the clip exposed provided no more than the clip is exposed and the knife is subdued or matte color.</w:t>
      </w:r>
    </w:p>
    <w:p>
      <w:pPr>
        <w:spacing w:after="20" w:line="223" w:lineRule="auto"/>
        <w:jc w:val="right"/>
        <w:bidi/>
      </w:pPr>
      <w:r>
        <w:rPr>
          <w:rFonts w:ascii="Arial" w:hAnsi="Arial"/>
          <w:sz w:val="16"/>
        </w:rPr>
        <w:t>488.13  همه زیپ‌های دیگر کاملا بسته خواهند شد.</w:t>
      </w:r>
    </w:p>
    <w:p>
      <w:pPr>
        <w:spacing w:after="28" w:line="216" w:lineRule="auto"/>
        <w:ind w:left="259"/>
        <w:jc w:val="left"/>
      </w:pPr>
      <w:r>
        <w:rPr>
          <w:rFonts w:ascii="Arial" w:hAnsi="Arial"/>
          <w:color w:val="525252"/>
          <w:sz w:val="13"/>
        </w:rPr>
        <w:t>All other zippers will be completely closed.</w:t>
      </w:r>
    </w:p>
    <w:p>
      <w:pPr>
        <w:spacing w:after="20" w:line="223" w:lineRule="auto"/>
        <w:jc w:val="right"/>
        <w:bidi/>
      </w:pPr>
      <w:r>
        <w:rPr>
          <w:rFonts w:ascii="Arial" w:hAnsi="Arial"/>
          <w:sz w:val="16"/>
        </w:rPr>
        <w:t>488.14  کلاهک پرواز را می‌توان در هر یک از جیب‌های ساق پا بدون زیپ کامل آن جیب نگهداری کرد.</w:t>
      </w:r>
    </w:p>
    <w:p>
      <w:pPr>
        <w:spacing w:after="28" w:line="216" w:lineRule="auto"/>
        <w:ind w:left="259"/>
        <w:jc w:val="left"/>
      </w:pPr>
      <w:r>
        <w:rPr>
          <w:rFonts w:ascii="Arial" w:hAnsi="Arial"/>
          <w:color w:val="525252"/>
          <w:sz w:val="13"/>
        </w:rPr>
        <w:t>The flight cap may be stored in either lower leg pocket without that pocket being fully zipped.</w:t>
      </w:r>
    </w:p>
    <w:p>
      <w:pPr>
        <w:spacing w:after="20" w:line="223" w:lineRule="auto"/>
        <w:jc w:val="right"/>
        <w:bidi/>
      </w:pPr>
      <w:r>
        <w:rPr>
          <w:rFonts w:ascii="Arial" w:hAnsi="Arial"/>
          <w:sz w:val="16"/>
        </w:rPr>
        <w:t>488.15  ممکن است قسمت کوچکی از کلاهک زمانی که در جیب است در معرض دید قرار گیرد.</w:t>
      </w:r>
    </w:p>
    <w:p>
      <w:pPr>
        <w:spacing w:after="28" w:line="216" w:lineRule="auto"/>
        <w:ind w:left="259"/>
        <w:jc w:val="left"/>
      </w:pPr>
      <w:r>
        <w:rPr>
          <w:rFonts w:ascii="Arial" w:hAnsi="Arial"/>
          <w:color w:val="525252"/>
          <w:sz w:val="13"/>
        </w:rPr>
        <w:t>A small portion of the cap may be exposed while in the pocket.</w:t>
      </w:r>
    </w:p>
    <w:p>
      <w:pPr>
        <w:spacing w:after="20" w:line="223" w:lineRule="auto"/>
        <w:jc w:val="right"/>
        <w:bidi/>
      </w:pPr>
      <w:r>
        <w:rPr>
          <w:rFonts w:ascii="Arial" w:hAnsi="Arial"/>
          <w:sz w:val="16"/>
        </w:rPr>
        <w:t>488.16  با این حال، هنگامی که درپوش برداشته می‌شود، جیب باید کاملا زیپ باشد.</w:t>
      </w:r>
    </w:p>
    <w:p>
      <w:pPr>
        <w:spacing w:after="28" w:line="216" w:lineRule="auto"/>
        <w:ind w:left="259"/>
        <w:jc w:val="left"/>
      </w:pPr>
      <w:r>
        <w:rPr>
          <w:rFonts w:ascii="Arial" w:hAnsi="Arial"/>
          <w:color w:val="525252"/>
          <w:sz w:val="13"/>
        </w:rPr>
        <w:t>However, when the cap is removed, the pocket must be fully zipped.</w:t>
      </w:r>
    </w:p>
    <w:p>
      <w:pPr>
        <w:spacing w:after="20" w:line="223" w:lineRule="auto"/>
        <w:jc w:val="right"/>
        <w:bidi/>
      </w:pPr>
      <w:r>
        <w:rPr>
          <w:rFonts w:ascii="Arial" w:hAnsi="Arial"/>
          <w:sz w:val="16"/>
        </w:rPr>
        <w:t>488.17  جیب خودکار و مداد .</w:t>
      </w:r>
    </w:p>
    <w:p>
      <w:pPr>
        <w:spacing w:after="28" w:line="216" w:lineRule="auto"/>
        <w:ind w:left="259"/>
        <w:jc w:val="left"/>
      </w:pPr>
      <w:r>
        <w:rPr>
          <w:rFonts w:ascii="Arial" w:hAnsi="Arial"/>
          <w:color w:val="525252"/>
          <w:sz w:val="13"/>
        </w:rPr>
        <w:t>Pen and Pencil Pocket.</w:t>
      </w:r>
    </w:p>
    <w:p>
      <w:pPr>
        <w:spacing w:after="20" w:line="223" w:lineRule="auto"/>
        <w:jc w:val="right"/>
        <w:bidi/>
      </w:pPr>
      <w:r>
        <w:rPr>
          <w:rFonts w:ascii="Arial" w:hAnsi="Arial"/>
          <w:sz w:val="16"/>
        </w:rPr>
        <w:t>488.18  روکش جیب خودکار و مداد واقع در آستین سمت چپ ممکن است برداشته شود مگر اینکه توسط مکمل MAJCOM منع شده باشد یا به دلیل نگرانی‌های ایمنی پرواز محدود شود.</w:t>
      </w:r>
    </w:p>
    <w:p>
      <w:pPr>
        <w:spacing w:after="28" w:line="216" w:lineRule="auto"/>
        <w:ind w:left="259"/>
        <w:jc w:val="left"/>
      </w:pPr>
      <w:r>
        <w:rPr>
          <w:rFonts w:ascii="Arial" w:hAnsi="Arial"/>
          <w:color w:val="525252"/>
          <w:sz w:val="13"/>
        </w:rPr>
        <w:t>The pen and pencil pocket cover located on the left sleeve may be removed unless prohibited by MAJCOM supplement or restricted due to safety of flight concerns.</w:t>
      </w:r>
    </w:p>
    <w:p>
      <w:pPr>
        <w:spacing w:after="20" w:line="223" w:lineRule="auto"/>
        <w:jc w:val="right"/>
        <w:bidi/>
      </w:pPr>
      <w:r>
        <w:rPr>
          <w:rFonts w:ascii="Arial" w:hAnsi="Arial"/>
          <w:sz w:val="16"/>
        </w:rPr>
        <w:t>488.19  تکه‌های معیار رنگ قهوه‌ای ادویه‌ای برای OCP برای پوشیدن با FDU مجاز نیستند.</w:t>
      </w:r>
    </w:p>
    <w:p>
      <w:pPr>
        <w:spacing w:after="28" w:line="216" w:lineRule="auto"/>
        <w:ind w:left="259"/>
        <w:jc w:val="left"/>
      </w:pPr>
      <w:r>
        <w:rPr>
          <w:rFonts w:ascii="Arial" w:hAnsi="Arial"/>
          <w:color w:val="525252"/>
          <w:sz w:val="13"/>
        </w:rPr>
        <w:t>Spice brown color criteria patches for the OCP are not authorized for wear with the FDU.</w:t>
      </w:r>
    </w:p>
    <w:p>
      <w:pPr>
        <w:spacing w:after="20" w:line="223" w:lineRule="auto"/>
        <w:jc w:val="right"/>
        <w:bidi/>
      </w:pPr>
      <w:r>
        <w:rPr>
          <w:rFonts w:ascii="Arial" w:hAnsi="Arial"/>
          <w:sz w:val="16"/>
        </w:rPr>
        <w:t>488.20  هوانوردان فقط مجاز به پوشیدن وصله‌های نماد واحد رنگ سنتی با FDU هستند.</w:t>
      </w:r>
    </w:p>
    <w:p>
      <w:pPr>
        <w:spacing w:after="28" w:line="216" w:lineRule="auto"/>
        <w:ind w:left="259"/>
        <w:jc w:val="left"/>
      </w:pPr>
      <w:r>
        <w:rPr>
          <w:rFonts w:ascii="Arial" w:hAnsi="Arial"/>
          <w:color w:val="525252"/>
          <w:sz w:val="13"/>
        </w:rPr>
        <w:t>Airmen are only authorized to wear traditional color unit emblem patches with the FDU.</w:t>
      </w:r>
    </w:p>
    <w:p>
      <w:pPr>
        <w:spacing w:after="20" w:line="223" w:lineRule="auto"/>
        <w:jc w:val="right"/>
        <w:bidi/>
      </w:pPr>
      <w:r>
        <w:rPr>
          <w:rFonts w:ascii="Arial" w:hAnsi="Arial"/>
          <w:sz w:val="16"/>
        </w:rPr>
        <w:t>488.21  هوانوردان مجاز به استفاده از تکه‌های واحد معیار رنگ قهوه‌ای ادویه‌ای در DFDU ​​هستند.</w:t>
      </w:r>
    </w:p>
    <w:p>
      <w:pPr>
        <w:spacing w:after="28" w:line="216" w:lineRule="auto"/>
        <w:ind w:left="259"/>
        <w:jc w:val="left"/>
      </w:pPr>
      <w:r>
        <w:rPr>
          <w:rFonts w:ascii="Arial" w:hAnsi="Arial"/>
          <w:color w:val="525252"/>
          <w:sz w:val="13"/>
        </w:rPr>
        <w:t>Airmen are authorized to wear spice brown color criteria unit patches on the DFDU.</w:t>
      </w:r>
    </w:p>
    <w:p>
      <w:pPr>
        <w:spacing w:after="20" w:line="223" w:lineRule="auto"/>
        <w:jc w:val="right"/>
        <w:bidi/>
      </w:pPr>
      <w:r>
        <w:rPr>
          <w:rFonts w:ascii="Arial" w:hAnsi="Arial"/>
          <w:sz w:val="16"/>
        </w:rPr>
        <w:t>488.22  وصله‌های پوشیده شده روی ژاکت‌های پرواز با پیکربندی رنگ پوشیده شده در FDU/DFDU مطابقت دارد.</w:t>
      </w:r>
    </w:p>
    <w:p>
      <w:pPr>
        <w:spacing w:after="28" w:line="216" w:lineRule="auto"/>
        <w:ind w:left="259"/>
        <w:jc w:val="left"/>
      </w:pPr>
      <w:r>
        <w:rPr>
          <w:rFonts w:ascii="Arial" w:hAnsi="Arial"/>
          <w:color w:val="525252"/>
          <w:sz w:val="13"/>
        </w:rPr>
        <w:t>Patches worn on flight jackets will be consistent with the color configuration worn on the FDU/DFDU.</w:t>
      </w:r>
    </w:p>
    <w:p>
      <w:pPr>
        <w:spacing w:after="20" w:line="223" w:lineRule="auto"/>
        <w:jc w:val="right"/>
        <w:bidi/>
      </w:pPr>
      <w:r>
        <w:rPr>
          <w:rFonts w:ascii="Arial" w:hAnsi="Arial"/>
          <w:sz w:val="16"/>
        </w:rPr>
        <w:t>488.23  وصله‌ها و زبانه‌های اخلاقی.</w:t>
      </w:r>
    </w:p>
    <w:p>
      <w:pPr>
        <w:spacing w:after="28" w:line="216" w:lineRule="auto"/>
        <w:ind w:left="259"/>
        <w:jc w:val="left"/>
      </w:pPr>
      <w:r>
        <w:rPr>
          <w:rFonts w:ascii="Arial" w:hAnsi="Arial"/>
          <w:color w:val="525252"/>
          <w:sz w:val="13"/>
        </w:rPr>
        <w:t>Morale Patches and Tabs.</w:t>
      </w:r>
    </w:p>
    <w:p>
      <w:pPr>
        <w:spacing w:after="20" w:line="223" w:lineRule="auto"/>
        <w:jc w:val="right"/>
        <w:bidi/>
      </w:pPr>
      <w:r>
        <w:rPr>
          <w:rFonts w:ascii="Arial" w:hAnsi="Arial"/>
          <w:sz w:val="16"/>
        </w:rPr>
        <w:t>488.24  فرماندهان جناح ممکن است اجازه استفاده از وصله‌های روحی بر روی شانه FDU را در روزهای جمعه یا در طول رویدادهای خاص بدهند.</w:t>
      </w:r>
    </w:p>
    <w:p>
      <w:pPr>
        <w:spacing w:after="28" w:line="216" w:lineRule="auto"/>
        <w:ind w:left="259"/>
        <w:jc w:val="left"/>
      </w:pPr>
      <w:r>
        <w:rPr>
          <w:rFonts w:ascii="Arial" w:hAnsi="Arial"/>
          <w:color w:val="525252"/>
          <w:sz w:val="13"/>
        </w:rPr>
        <w:t>Wing commanders may authorize the wear of morale patches on the shoulder of the FDU on Fridays or during special events.</w:t>
      </w:r>
    </w:p>
    <w:p>
      <w:pPr>
        <w:spacing w:after="20" w:line="223" w:lineRule="auto"/>
        <w:jc w:val="right"/>
        <w:bidi/>
      </w:pPr>
      <w:r>
        <w:rPr>
          <w:rFonts w:ascii="Arial" w:hAnsi="Arial"/>
          <w:sz w:val="16"/>
        </w:rPr>
        <w:t>488.25  فرماندهان AFR و ANG ممکن است در طول تمرین‌های آخر هفته در روزهای جمعه، شنبه، یا یکشنبه یا در طول رویدادهای ویژه اجازه استفاده از آنها را بدهند.</w:t>
      </w:r>
    </w:p>
    <w:p>
      <w:pPr>
        <w:spacing w:after="28" w:line="216" w:lineRule="auto"/>
        <w:ind w:left="259"/>
        <w:jc w:val="left"/>
      </w:pPr>
      <w:r>
        <w:rPr>
          <w:rFonts w:ascii="Arial" w:hAnsi="Arial"/>
          <w:color w:val="525252"/>
          <w:sz w:val="13"/>
        </w:rPr>
        <w:t>AFR and ANG commanders may authorize wear during weekend drills on Friday, Saturday, or Sundays or during special events.</w:t>
      </w:r>
    </w:p>
    <w:p>
      <w:pPr>
        <w:spacing w:after="20" w:line="223" w:lineRule="auto"/>
        <w:jc w:val="right"/>
        <w:bidi/>
      </w:pPr>
      <w:r>
        <w:rPr>
          <w:rFonts w:ascii="Arial" w:hAnsi="Arial"/>
          <w:sz w:val="16"/>
        </w:rPr>
        <w:t>488.26  فرماندهان جناح‌ها فهرستی از وصله‌های اخلاقی تأیید شده مجاز برای پوشیدن در بال خود را حفظ خواهند کرد.</w:t>
      </w:r>
    </w:p>
    <w:p>
      <w:pPr>
        <w:spacing w:after="28" w:line="216" w:lineRule="auto"/>
        <w:ind w:left="259"/>
        <w:jc w:val="left"/>
      </w:pPr>
      <w:r>
        <w:rPr>
          <w:rFonts w:ascii="Arial" w:hAnsi="Arial"/>
          <w:color w:val="525252"/>
          <w:sz w:val="13"/>
        </w:rPr>
        <w:t>Wing commanders will maintain a list of approved morale patches authorized to be worn within their wing.</w:t>
      </w:r>
    </w:p>
    <w:p>
      <w:pPr>
        <w:spacing w:after="20" w:line="223" w:lineRule="auto"/>
        <w:jc w:val="right"/>
        <w:bidi/>
      </w:pPr>
      <w:r>
        <w:rPr>
          <w:rFonts w:ascii="Arial" w:hAnsi="Arial"/>
          <w:sz w:val="16"/>
        </w:rPr>
        <w:t>488.27  لوازم لباس پرواز.</w:t>
      </w:r>
    </w:p>
    <w:p>
      <w:pPr>
        <w:spacing w:after="28" w:line="216" w:lineRule="auto"/>
        <w:ind w:left="259"/>
        <w:jc w:val="left"/>
      </w:pPr>
      <w:r>
        <w:rPr>
          <w:rFonts w:ascii="Arial" w:hAnsi="Arial"/>
          <w:color w:val="525252"/>
          <w:sz w:val="13"/>
        </w:rPr>
        <w:t>Flight Clothing Accoutrements.</w:t>
      </w:r>
    </w:p>
    <w:p>
      <w:pPr>
        <w:spacing w:after="20" w:line="223" w:lineRule="auto"/>
        <w:jc w:val="right"/>
        <w:bidi/>
      </w:pPr>
      <w:r>
        <w:rPr>
          <w:rFonts w:ascii="Arial" w:hAnsi="Arial"/>
          <w:sz w:val="16"/>
        </w:rPr>
        <w:t>488.28  رتبه ثبت‌نام در برچسب نام FDU/DFDU، و جلیقه‌های پرواز مشخص شده در DAFI ۳۶-۲۹۰۳، بند ۹.۴.۳ گنجانده شده است.</w:t>
      </w:r>
    </w:p>
    <w:p>
      <w:pPr>
        <w:spacing w:after="28" w:line="216" w:lineRule="auto"/>
        <w:ind w:left="259"/>
        <w:jc w:val="left"/>
      </w:pPr>
      <w:r>
        <w:rPr>
          <w:rFonts w:ascii="Arial" w:hAnsi="Arial"/>
          <w:color w:val="525252"/>
          <w:sz w:val="13"/>
        </w:rPr>
        <w:t>Enlisted rank is included on the nametag of the FDU/DFDU, and flight jackets identified in DAFI 36-2903, paragraph 9.4.3.</w:t>
      </w:r>
    </w:p>
    <w:p>
      <w:pPr>
        <w:spacing w:after="20" w:line="223" w:lineRule="auto"/>
        <w:jc w:val="right"/>
        <w:bidi/>
      </w:pPr>
      <w:r>
        <w:rPr>
          <w:rFonts w:ascii="Arial" w:hAnsi="Arial"/>
          <w:sz w:val="16"/>
        </w:rPr>
        <w:t>488.29  هر دو نشان درجه افسر و سرباز بر روی جلیقه پرنده چرمی ا-۲ فقط در برچسب نام موجود است (به DAFI ۳۶-۲۹۰۳، بند ۹.۵.۲.۲ مراجعه کنید).</w:t>
      </w:r>
    </w:p>
    <w:p>
      <w:pPr>
        <w:spacing w:after="28" w:line="216" w:lineRule="auto"/>
        <w:ind w:left="259"/>
        <w:jc w:val="left"/>
      </w:pPr>
      <w:r>
        <w:rPr>
          <w:rFonts w:ascii="Arial" w:hAnsi="Arial"/>
          <w:color w:val="525252"/>
          <w:sz w:val="13"/>
        </w:rPr>
        <w:t>Both officer and enlisted rank insignia on the Leather A-2 Flying Jacket is on the name tag only (see DAFI 36-2903, paragraph 9.5.2.2.).</w:t>
      </w:r>
    </w:p>
    <w:p>
      <w:pPr>
        <w:spacing w:after="20" w:line="223" w:lineRule="auto"/>
        <w:jc w:val="right"/>
        <w:bidi/>
      </w:pPr>
      <w:r>
        <w:rPr>
          <w:rFonts w:ascii="Arial" w:hAnsi="Arial"/>
          <w:sz w:val="16"/>
        </w:rPr>
        <w:t>488.30  برچسب‌های نام.</w:t>
      </w:r>
    </w:p>
    <w:p>
      <w:pPr>
        <w:spacing w:after="28" w:line="216" w:lineRule="auto"/>
        <w:ind w:left="259"/>
        <w:jc w:val="left"/>
      </w:pPr>
      <w:r>
        <w:rPr>
          <w:rFonts w:ascii="Arial" w:hAnsi="Arial"/>
          <w:color w:val="525252"/>
          <w:sz w:val="13"/>
        </w:rPr>
        <w:t>Nametags.</w:t>
      </w:r>
    </w:p>
    <w:p>
      <w:pPr>
        <w:spacing w:after="20" w:line="223" w:lineRule="auto"/>
        <w:jc w:val="right"/>
        <w:bidi/>
      </w:pPr>
      <w:r>
        <w:rPr>
          <w:rFonts w:ascii="Arial" w:hAnsi="Arial"/>
          <w:sz w:val="16"/>
        </w:rPr>
        <w:t>488.31  برچسب‌های پارچه‌ای برای FDU/DFDU و ژاکت‌های پرواز به اندازه ۲ در ۴ اینچ خواهند بود و روی جیب سینه سمت چپ پوشیده می‌شوند.</w:t>
      </w:r>
    </w:p>
    <w:p>
      <w:pPr>
        <w:spacing w:after="28" w:line="216" w:lineRule="auto"/>
        <w:ind w:left="259"/>
        <w:jc w:val="left"/>
      </w:pPr>
      <w:r>
        <w:rPr>
          <w:rFonts w:ascii="Arial" w:hAnsi="Arial"/>
          <w:color w:val="525252"/>
          <w:sz w:val="13"/>
        </w:rPr>
        <w:t>Cloth nametags for FDU/DFDU and flight jackets will be 2 x 4-inches in size and worn over the left breast pocket.</w:t>
      </w:r>
    </w:p>
    <w:p>
      <w:pPr>
        <w:spacing w:after="20" w:line="223" w:lineRule="auto"/>
        <w:jc w:val="right"/>
        <w:bidi/>
      </w:pPr>
      <w:r>
        <w:rPr>
          <w:rFonts w:ascii="Arial" w:hAnsi="Arial"/>
          <w:sz w:val="16"/>
        </w:rPr>
        <w:t>488.32  حداقل، نشان هوانوردی، فضا، فضای مجازی.</w:t>
      </w:r>
    </w:p>
    <w:p>
      <w:pPr>
        <w:spacing w:after="28" w:line="216" w:lineRule="auto"/>
        <w:ind w:left="259"/>
        <w:jc w:val="left"/>
      </w:pPr>
      <w:r>
        <w:rPr>
          <w:rFonts w:ascii="Arial" w:hAnsi="Arial"/>
          <w:color w:val="525252"/>
          <w:sz w:val="13"/>
        </w:rPr>
        <w:t>At a minimum, the Aeronautical badge, Space, Cyberspace.</w:t>
      </w:r>
    </w:p>
    <w:p>
      <w:pPr>
        <w:spacing w:after="20" w:line="223" w:lineRule="auto"/>
        <w:jc w:val="right"/>
        <w:bidi/>
      </w:pPr>
      <w:r>
        <w:rPr>
          <w:rFonts w:ascii="Arial" w:hAnsi="Arial"/>
          <w:sz w:val="16"/>
        </w:rPr>
        <w:t>488.33  نشان‌های جنگ چند دامنه یا عملیات موشکی (در صورت اعطا) اجباری هستند و برچسب‌های نام حاوی نام و نام خانوادگی فرد است.</w:t>
      </w:r>
    </w:p>
    <w:p>
      <w:pPr>
        <w:spacing w:after="28" w:line="216" w:lineRule="auto"/>
        <w:ind w:left="259"/>
        <w:jc w:val="left"/>
      </w:pPr>
      <w:r>
        <w:rPr>
          <w:rFonts w:ascii="Arial" w:hAnsi="Arial"/>
          <w:color w:val="525252"/>
          <w:sz w:val="13"/>
        </w:rPr>
        <w:t>Multi-Domain Warfare or missile operations badges (if awarded) are mandatory, and nametags will contain individual’s first and last name.</w:t>
      </w:r>
    </w:p>
    <w:p>
      <w:pPr>
        <w:spacing w:after="20" w:line="223" w:lineRule="auto"/>
        <w:jc w:val="right"/>
        <w:bidi/>
      </w:pPr>
      <w:r>
        <w:rPr>
          <w:rFonts w:ascii="Arial" w:hAnsi="Arial"/>
          <w:sz w:val="16"/>
        </w:rPr>
        <w:t>488.34  رتبه برای پرسنل سربازی اجباری و برای افسران اختیاری است.</w:t>
      </w:r>
    </w:p>
    <w:p>
      <w:pPr>
        <w:spacing w:after="28" w:line="216" w:lineRule="auto"/>
        <w:ind w:left="259"/>
        <w:jc w:val="left"/>
      </w:pPr>
      <w:r>
        <w:rPr>
          <w:rFonts w:ascii="Arial" w:hAnsi="Arial"/>
          <w:color w:val="525252"/>
          <w:sz w:val="13"/>
        </w:rPr>
        <w:t>Rank is mandatory for enlisted personnel and optional for officers.</w:t>
      </w:r>
    </w:p>
    <w:p>
      <w:pPr>
        <w:spacing w:after="20" w:line="223" w:lineRule="auto"/>
        <w:jc w:val="right"/>
        <w:bidi/>
      </w:pPr>
      <w:r>
        <w:rPr>
          <w:rFonts w:ascii="Arial" w:hAnsi="Arial"/>
          <w:sz w:val="16"/>
        </w:rPr>
        <w:t>488.35  تگ‌های نام دوزی شده از نظر رنگ با رنگ‌های برچسب نام تأیید شده MAJCOM سازگار خواهند بود.</w:t>
      </w:r>
    </w:p>
    <w:p>
      <w:pPr>
        <w:spacing w:after="28" w:line="216" w:lineRule="auto"/>
        <w:ind w:left="259"/>
        <w:jc w:val="left"/>
      </w:pPr>
      <w:r>
        <w:rPr>
          <w:rFonts w:ascii="Arial" w:hAnsi="Arial"/>
          <w:color w:val="525252"/>
          <w:sz w:val="13"/>
        </w:rPr>
        <w:t>Embroidered nametags will be consistent in color with MAJCOM approved nametag colors.</w:t>
      </w:r>
    </w:p>
    <w:p>
      <w:pPr>
        <w:spacing w:after="20" w:line="223" w:lineRule="auto"/>
        <w:jc w:val="right"/>
        <w:bidi/>
      </w:pPr>
      <w:r>
        <w:rPr>
          <w:rFonts w:ascii="Arial" w:hAnsi="Arial"/>
          <w:sz w:val="16"/>
        </w:rPr>
        <w:t>488.36  برچسب‌های نام برای ژاکت پرنده چرمی ا-۲ ۲ × ۴ اینچ خواهد بود و از چرم قهوه‌ای روی مشکی یا چرم شبیه‌سازی شده ساخته می‌شود.</w:t>
      </w:r>
    </w:p>
    <w:p>
      <w:pPr>
        <w:spacing w:after="28" w:line="216" w:lineRule="auto"/>
        <w:ind w:left="259"/>
        <w:jc w:val="left"/>
      </w:pPr>
      <w:r>
        <w:rPr>
          <w:rFonts w:ascii="Arial" w:hAnsi="Arial"/>
          <w:color w:val="525252"/>
          <w:sz w:val="13"/>
        </w:rPr>
        <w:t>Nametags for Leather A-2 Flying Jacket will be 2 x 4-inches and made of Brown on Black leather or simulated leather.</w:t>
      </w:r>
    </w:p>
    <w:p>
      <w:pPr>
        <w:spacing w:after="20" w:line="223" w:lineRule="auto"/>
        <w:jc w:val="right"/>
        <w:bidi/>
      </w:pPr>
      <w:r>
        <w:rPr>
          <w:rFonts w:ascii="Arial" w:hAnsi="Arial"/>
          <w:sz w:val="16"/>
        </w:rPr>
        <w:t>488.37  نقش برجسته با بال یا نشان نقره‌ای، نام و نام خانوادگی، رتبه و USAF.</w:t>
      </w:r>
    </w:p>
    <w:p>
      <w:pPr>
        <w:spacing w:after="28" w:line="216" w:lineRule="auto"/>
        <w:ind w:left="259"/>
        <w:jc w:val="left"/>
      </w:pPr>
      <w:r>
        <w:rPr>
          <w:rFonts w:ascii="Arial" w:hAnsi="Arial"/>
          <w:color w:val="525252"/>
          <w:sz w:val="13"/>
        </w:rPr>
        <w:t>Emboss with silver wings or badges, first and last name, rank, and USAF.</w:t>
      </w:r>
    </w:p>
    <w:p>
      <w:r>
        <w:br w:type="page"/>
      </w:r>
    </w:p>
    <w:p>
      <w:pPr>
        <w:spacing w:after="60"/>
        <w:jc w:val="right"/>
        <w:bidi/>
      </w:pPr>
      <w:r>
        <w:rPr>
          <w:rFonts w:ascii="Arial" w:hAnsi="Arial"/>
          <w:b/>
          <w:color w:val="1F4D78"/>
          <w:sz w:val="19"/>
        </w:rPr>
        <w:t>هفتهٔ 489  |  صفحهٔ منبع: 505</w:t>
      </w:r>
    </w:p>
    <w:p>
      <w:pPr>
        <w:spacing w:before="60" w:after="28"/>
        <w:jc w:val="right"/>
        <w:bidi/>
      </w:pPr>
      <w:r>
        <w:rPr>
          <w:b/>
          <w:color w:val="1F4D78"/>
          <w:sz w:val="18"/>
        </w:rPr>
        <w:t>شکل 23.51. یونیفرم وظیفه پرواز با تجهیزات</w:t>
      </w:r>
    </w:p>
    <w:p>
      <w:pPr>
        <w:spacing w:after="20"/>
        <w:ind w:left="259"/>
        <w:jc w:val="left"/>
      </w:pPr>
      <w:r>
        <w:rPr>
          <w:color w:val="555555"/>
          <w:sz w:val="12"/>
        </w:rPr>
        <w:t>Figure 23.51. Flight Duty Uniform with Accoutrements</w:t>
      </w:r>
    </w:p>
    <w:p>
      <w:pPr>
        <w:spacing w:after="20" w:line="223" w:lineRule="auto"/>
        <w:jc w:val="right"/>
        <w:bidi/>
      </w:pPr>
      <w:r>
        <w:rPr>
          <w:rFonts w:ascii="Arial" w:hAnsi="Arial"/>
          <w:sz w:val="16"/>
        </w:rPr>
        <w:t>489.02  کومماند ینسیگنیا.</w:t>
      </w:r>
    </w:p>
    <w:p>
      <w:pPr>
        <w:spacing w:after="28" w:line="216" w:lineRule="auto"/>
        <w:ind w:left="259"/>
        <w:jc w:val="left"/>
      </w:pPr>
      <w:r>
        <w:rPr>
          <w:rFonts w:ascii="Arial" w:hAnsi="Arial"/>
          <w:color w:val="525252"/>
          <w:sz w:val="13"/>
        </w:rPr>
        <w:t>Command Insignia.</w:t>
      </w:r>
    </w:p>
    <w:p>
      <w:pPr>
        <w:spacing w:after="20" w:line="223" w:lineRule="auto"/>
        <w:jc w:val="right"/>
        <w:bidi/>
      </w:pPr>
      <w:r>
        <w:rPr>
          <w:rFonts w:ascii="Arial" w:hAnsi="Arial"/>
          <w:sz w:val="16"/>
        </w:rPr>
        <w:t>489.03  فرماندهانی که مجاز به پوشیدن پین کومماند ینسیگنیا هستند، نشان را در سمت چپ برچسب نام می‌پوشند.</w:t>
      </w:r>
    </w:p>
    <w:p>
      <w:pPr>
        <w:spacing w:after="28" w:line="216" w:lineRule="auto"/>
        <w:ind w:left="259"/>
        <w:jc w:val="left"/>
      </w:pPr>
      <w:r>
        <w:rPr>
          <w:rFonts w:ascii="Arial" w:hAnsi="Arial"/>
          <w:color w:val="525252"/>
          <w:sz w:val="13"/>
        </w:rPr>
        <w:t>Commanders authorized to wear the Command Insignia pin will wear the insignia on the left side of the nametag.</w:t>
      </w:r>
    </w:p>
    <w:p>
      <w:pPr>
        <w:spacing w:after="20" w:line="223" w:lineRule="auto"/>
        <w:jc w:val="right"/>
        <w:bidi/>
      </w:pPr>
      <w:r>
        <w:rPr>
          <w:rFonts w:ascii="Arial" w:hAnsi="Arial"/>
          <w:sz w:val="16"/>
        </w:rPr>
        <w:t>489.04  نشان فقط در حین انجام وظایف فرماندهی پوشیده خواهد شد.</w:t>
      </w:r>
    </w:p>
    <w:p>
      <w:pPr>
        <w:spacing w:after="28" w:line="216" w:lineRule="auto"/>
        <w:ind w:left="259"/>
        <w:jc w:val="left"/>
      </w:pPr>
      <w:r>
        <w:rPr>
          <w:rFonts w:ascii="Arial" w:hAnsi="Arial"/>
          <w:color w:val="525252"/>
          <w:sz w:val="13"/>
        </w:rPr>
        <w:t>The insignia will be worn only while performing commander duties.</w:t>
      </w:r>
    </w:p>
    <w:p>
      <w:pPr>
        <w:spacing w:after="20" w:line="223" w:lineRule="auto"/>
        <w:jc w:val="right"/>
        <w:bidi/>
      </w:pPr>
      <w:r>
        <w:rPr>
          <w:rFonts w:ascii="Arial" w:hAnsi="Arial"/>
          <w:sz w:val="16"/>
        </w:rPr>
        <w:t>489.05  فرماندهان می‌توانند استفاده از برچسب‌های اخلاقی را در روزهای جمعه یا در طول رویدادهای خاص مجاز کنند.</w:t>
      </w:r>
    </w:p>
    <w:p>
      <w:pPr>
        <w:spacing w:after="28" w:line="216" w:lineRule="auto"/>
        <w:ind w:left="259"/>
        <w:jc w:val="left"/>
      </w:pPr>
      <w:r>
        <w:rPr>
          <w:rFonts w:ascii="Arial" w:hAnsi="Arial"/>
          <w:color w:val="525252"/>
          <w:sz w:val="13"/>
        </w:rPr>
        <w:t>Commanders may authorize the wear of morale nametags on Fridays or during special events.</w:t>
      </w:r>
    </w:p>
    <w:p>
      <w:pPr>
        <w:spacing w:after="20" w:line="223" w:lineRule="auto"/>
        <w:jc w:val="right"/>
        <w:bidi/>
      </w:pPr>
      <w:r>
        <w:rPr>
          <w:rFonts w:ascii="Arial" w:hAnsi="Arial"/>
          <w:sz w:val="16"/>
        </w:rPr>
        <w:t>489.06  فرماندهان AFR و ANG ممکن است در طول تمرین‌های آخر هفته در روزهای جمعه، شنبه، یا یکشنبه یا در طول رویدادهای ویژه اجازه استفاده از آنها را بدهند.</w:t>
      </w:r>
    </w:p>
    <w:p>
      <w:pPr>
        <w:spacing w:after="28" w:line="216" w:lineRule="auto"/>
        <w:ind w:left="259"/>
        <w:jc w:val="left"/>
      </w:pPr>
      <w:r>
        <w:rPr>
          <w:rFonts w:ascii="Arial" w:hAnsi="Arial"/>
          <w:color w:val="525252"/>
          <w:sz w:val="13"/>
        </w:rPr>
        <w:t>AFR and ANG commanders may authorize wear during weekend drills on Friday, Saturday, or Sundays or during special events.</w:t>
      </w:r>
    </w:p>
    <w:p>
      <w:pPr>
        <w:spacing w:after="20" w:line="223" w:lineRule="auto"/>
        <w:jc w:val="right"/>
        <w:bidi/>
      </w:pPr>
      <w:r>
        <w:rPr>
          <w:rFonts w:ascii="Arial" w:hAnsi="Arial"/>
          <w:sz w:val="16"/>
        </w:rPr>
        <w:t>489.07  فرماندهان تعیین خواهند کرد که آیا، و اطمینان حاصل کنند که برچسب‌های نام خوش سلیقه هستند و نظم، انضباط، روحیه و تصویر مناسب نظامی را منعکس می‌کنند.</w:t>
      </w:r>
    </w:p>
    <w:p>
      <w:pPr>
        <w:spacing w:after="28" w:line="216" w:lineRule="auto"/>
        <w:ind w:left="259"/>
        <w:jc w:val="left"/>
      </w:pPr>
      <w:r>
        <w:rPr>
          <w:rFonts w:ascii="Arial" w:hAnsi="Arial"/>
          <w:color w:val="525252"/>
          <w:sz w:val="13"/>
        </w:rPr>
        <w:t>Commanders will determine if, and ensure that, name tags are in good taste and reflect proper military order, discipline, morale, and image.</w:t>
      </w:r>
    </w:p>
    <w:p>
      <w:pPr>
        <w:spacing w:after="20" w:line="223" w:lineRule="auto"/>
        <w:jc w:val="right"/>
        <w:bidi/>
      </w:pPr>
      <w:r>
        <w:rPr>
          <w:rFonts w:ascii="Arial" w:hAnsi="Arial"/>
          <w:sz w:val="16"/>
        </w:rPr>
        <w:t>489.08  هنگام پوشیدن، وصله‌ها باید از نظر رنگ ثابت باشند تا پیکربندی وصله پوشیده شود.</w:t>
      </w:r>
    </w:p>
    <w:p>
      <w:pPr>
        <w:spacing w:after="28" w:line="216" w:lineRule="auto"/>
        <w:ind w:left="259"/>
        <w:jc w:val="left"/>
      </w:pPr>
      <w:r>
        <w:rPr>
          <w:rFonts w:ascii="Arial" w:hAnsi="Arial"/>
          <w:color w:val="525252"/>
          <w:sz w:val="13"/>
        </w:rPr>
        <w:t>When worn, patches must be consistent in color to patch configuration worn.</w:t>
      </w:r>
    </w:p>
    <w:p>
      <w:pPr>
        <w:spacing w:after="20" w:line="223" w:lineRule="auto"/>
        <w:jc w:val="right"/>
        <w:bidi/>
      </w:pPr>
      <w:r>
        <w:rPr>
          <w:rFonts w:ascii="Arial" w:hAnsi="Arial"/>
          <w:sz w:val="16"/>
        </w:rPr>
        <w:t>489.09  پرسنل استخدام شده حداقل شامل رتبه و نام خانوادگی در برچسب‌های نام اخلاقی خواهند بود (مثال: "MSgt "بات" ماسترسون").</w:t>
      </w:r>
    </w:p>
    <w:p>
      <w:pPr>
        <w:spacing w:after="28" w:line="216" w:lineRule="auto"/>
        <w:ind w:left="259"/>
        <w:jc w:val="left"/>
      </w:pPr>
      <w:r>
        <w:rPr>
          <w:rFonts w:ascii="Arial" w:hAnsi="Arial"/>
          <w:color w:val="525252"/>
          <w:sz w:val="13"/>
        </w:rPr>
        <w:t>Enlisted personnel will include, at a minimum, rank, and last name on morale nametags (Example: ‘MSgt “Bat” Masterson’).</w:t>
      </w:r>
    </w:p>
    <w:p>
      <w:pPr>
        <w:spacing w:after="20" w:line="223" w:lineRule="auto"/>
        <w:jc w:val="right"/>
        <w:bidi/>
      </w:pPr>
      <w:r>
        <w:rPr>
          <w:rFonts w:ascii="Arial" w:hAnsi="Arial"/>
          <w:sz w:val="16"/>
        </w:rPr>
        <w:t>489.10  جیب سینه سمت راست.</w:t>
      </w:r>
    </w:p>
    <w:p>
      <w:pPr>
        <w:spacing w:after="28" w:line="216" w:lineRule="auto"/>
        <w:ind w:left="259"/>
        <w:jc w:val="left"/>
      </w:pPr>
      <w:r>
        <w:rPr>
          <w:rFonts w:ascii="Arial" w:hAnsi="Arial"/>
          <w:color w:val="525252"/>
          <w:sz w:val="13"/>
        </w:rPr>
        <w:t>Right Breast Pocket.</w:t>
      </w:r>
    </w:p>
    <w:p>
      <w:pPr>
        <w:spacing w:after="20" w:line="223" w:lineRule="auto"/>
        <w:jc w:val="right"/>
        <w:bidi/>
      </w:pPr>
      <w:r>
        <w:rPr>
          <w:rFonts w:ascii="Arial" w:hAnsi="Arial"/>
          <w:sz w:val="16"/>
        </w:rPr>
        <w:t>489.11  MAJCOM یا نشان معادل آن (نشان ANG ممکن است به‌عنوان یک نشان معادل MAJCOM استفاده شود) بالای جیب سینه سمت راست قرار می‌گیرد.</w:t>
      </w:r>
    </w:p>
    <w:p>
      <w:pPr>
        <w:spacing w:after="28" w:line="216" w:lineRule="auto"/>
        <w:ind w:left="259"/>
        <w:jc w:val="left"/>
      </w:pPr>
      <w:r>
        <w:rPr>
          <w:rFonts w:ascii="Arial" w:hAnsi="Arial"/>
          <w:color w:val="525252"/>
          <w:sz w:val="13"/>
        </w:rPr>
        <w:t>MAJCOM or equivalent emblem (ANG emblem may be worn as a MAJCOM equivalent emblem) will be centered above the right breast pocket.</w:t>
      </w:r>
    </w:p>
    <w:p>
      <w:pPr>
        <w:spacing w:after="20" w:line="223" w:lineRule="auto"/>
        <w:jc w:val="right"/>
        <w:bidi/>
      </w:pPr>
      <w:r>
        <w:rPr>
          <w:rFonts w:ascii="Arial" w:hAnsi="Arial"/>
          <w:sz w:val="16"/>
        </w:rPr>
        <w:t>489.12  MAJCOM یا نمادی معادل برای ناحیه سینه سمت راست ژاکت پرنده چرمی ا-۲ دارای چرم قهوه‌ای روی مشکی یا چرم شبیه سازی شده با استفاده از پچ پالت رنگ است.</w:t>
      </w:r>
    </w:p>
    <w:p>
      <w:pPr>
        <w:spacing w:after="28" w:line="216" w:lineRule="auto"/>
        <w:ind w:left="259"/>
        <w:jc w:val="left"/>
      </w:pPr>
      <w:r>
        <w:rPr>
          <w:rFonts w:ascii="Arial" w:hAnsi="Arial"/>
          <w:color w:val="525252"/>
          <w:sz w:val="13"/>
        </w:rPr>
        <w:t>MAJCOM or equivalent emblem for the right breast area of the Leather A-2 Flying Jacket will have Brown on Black leather or simulated leather using color palette patch.</w:t>
      </w:r>
    </w:p>
    <w:p>
      <w:pPr>
        <w:spacing w:after="20" w:line="223" w:lineRule="auto"/>
        <w:jc w:val="right"/>
        <w:bidi/>
      </w:pPr>
      <w:r>
        <w:rPr>
          <w:rFonts w:ascii="Arial" w:hAnsi="Arial"/>
          <w:sz w:val="16"/>
        </w:rPr>
        <w:t>489.13  تکه‌های معیار رنگ قهوه‌ای سپیک برای پوشیدن در FDU مجاز نیستند.</w:t>
      </w:r>
    </w:p>
    <w:p>
      <w:pPr>
        <w:spacing w:after="28" w:line="216" w:lineRule="auto"/>
        <w:ind w:left="259"/>
        <w:jc w:val="left"/>
      </w:pPr>
      <w:r>
        <w:rPr>
          <w:rFonts w:ascii="Arial" w:hAnsi="Arial"/>
          <w:color w:val="525252"/>
          <w:sz w:val="13"/>
        </w:rPr>
        <w:t>Spice brown color criteria patches are not authorized for wear on the FDU.</w:t>
      </w:r>
    </w:p>
    <w:p>
      <w:pPr>
        <w:spacing w:after="20" w:line="223" w:lineRule="auto"/>
        <w:jc w:val="right"/>
        <w:bidi/>
      </w:pPr>
      <w:r>
        <w:rPr>
          <w:rFonts w:ascii="Arial" w:hAnsi="Arial"/>
          <w:sz w:val="16"/>
        </w:rPr>
        <w:t>489.14  هوانوردان ممکن است از تکه‌های نشان واحد رنگ قهوه‌ای ادویه‌ای روی DFDU ​​استفاده کنند.</w:t>
      </w:r>
    </w:p>
    <w:p>
      <w:pPr>
        <w:spacing w:after="28" w:line="216" w:lineRule="auto"/>
        <w:ind w:left="259"/>
        <w:jc w:val="left"/>
      </w:pPr>
      <w:r>
        <w:rPr>
          <w:rFonts w:ascii="Arial" w:hAnsi="Arial"/>
          <w:color w:val="525252"/>
          <w:sz w:val="13"/>
        </w:rPr>
        <w:t>Airmen may wear spice brown color criteria unit emblem patches on the DFDU.</w:t>
      </w:r>
    </w:p>
    <w:p>
      <w:pPr>
        <w:spacing w:after="20" w:line="223" w:lineRule="auto"/>
        <w:jc w:val="right"/>
        <w:bidi/>
      </w:pPr>
      <w:r>
        <w:rPr>
          <w:rFonts w:ascii="Arial" w:hAnsi="Arial"/>
          <w:sz w:val="16"/>
        </w:rPr>
        <w:t>489.15  آستین چپ.</w:t>
      </w:r>
    </w:p>
    <w:p>
      <w:pPr>
        <w:spacing w:after="28" w:line="216" w:lineRule="auto"/>
        <w:ind w:left="259"/>
        <w:jc w:val="left"/>
      </w:pPr>
      <w:r>
        <w:rPr>
          <w:rFonts w:ascii="Arial" w:hAnsi="Arial"/>
          <w:color w:val="525252"/>
          <w:sz w:val="13"/>
        </w:rPr>
        <w:t>Left Sleeve.</w:t>
      </w:r>
    </w:p>
    <w:p>
      <w:pPr>
        <w:spacing w:after="20" w:line="223" w:lineRule="auto"/>
        <w:jc w:val="right"/>
        <w:bidi/>
      </w:pPr>
      <w:r>
        <w:rPr>
          <w:rFonts w:ascii="Arial" w:hAnsi="Arial"/>
          <w:sz w:val="16"/>
        </w:rPr>
        <w:t>489.16  به‌طور معمول، پرچم، نشان، یا بال، گروه یا مرکز مناسب ایالات متحده را که در فاصله کمتر از ۱ اینچ از درز شانه مطابق با مکمل‌های MAJCOM به DAFI ۳۶-۲۹۰۳ قرار دارد، بپوشید.</w:t>
      </w:r>
    </w:p>
    <w:p>
      <w:pPr>
        <w:spacing w:after="28" w:line="216" w:lineRule="auto"/>
        <w:ind w:left="259"/>
        <w:jc w:val="left"/>
      </w:pPr>
      <w:r>
        <w:rPr>
          <w:rFonts w:ascii="Arial" w:hAnsi="Arial"/>
          <w:color w:val="525252"/>
          <w:sz w:val="13"/>
        </w:rPr>
        <w:t>Normally, wear the U.S. flag, emblem, or appropriate wing, group, or center, positioned no lower than 1-inch from shoulder seam in accordance with MAJCOM supplements to DAFI 36-2903.</w:t>
      </w:r>
    </w:p>
    <w:p>
      <w:pPr>
        <w:spacing w:after="20" w:line="223" w:lineRule="auto"/>
        <w:jc w:val="right"/>
        <w:bidi/>
      </w:pPr>
      <w:r>
        <w:rPr>
          <w:rFonts w:ascii="Arial" w:hAnsi="Arial"/>
          <w:sz w:val="16"/>
        </w:rPr>
        <w:t>489.17  اگر از تکه‌های پالت قهوه‌ای ادویه استفاده کنید، پرچم ایالات متحده نیز پالت قهوه‌ای ادویه‌ای خواهد بود.</w:t>
      </w:r>
    </w:p>
    <w:p>
      <w:pPr>
        <w:spacing w:after="28" w:line="216" w:lineRule="auto"/>
        <w:ind w:left="259"/>
        <w:jc w:val="left"/>
      </w:pPr>
      <w:r>
        <w:rPr>
          <w:rFonts w:ascii="Arial" w:hAnsi="Arial"/>
          <w:color w:val="525252"/>
          <w:sz w:val="13"/>
        </w:rPr>
        <w:t>If wearing spice brown palette patches, the U.S. flag will also be spice brown palette.</w:t>
      </w:r>
    </w:p>
    <w:p>
      <w:pPr>
        <w:spacing w:after="20" w:line="223" w:lineRule="auto"/>
        <w:jc w:val="right"/>
        <w:bidi/>
      </w:pPr>
      <w:r>
        <w:rPr>
          <w:rFonts w:ascii="Arial" w:hAnsi="Arial"/>
          <w:sz w:val="16"/>
        </w:rPr>
        <w:t>489.18  پرچم پالت قهوه‌ای ادویه با DFDU ​​پوشیده خواهد شد.</w:t>
      </w:r>
    </w:p>
    <w:p>
      <w:pPr>
        <w:spacing w:after="28" w:line="216" w:lineRule="auto"/>
        <w:ind w:left="259"/>
        <w:jc w:val="left"/>
      </w:pPr>
      <w:r>
        <w:rPr>
          <w:rFonts w:ascii="Arial" w:hAnsi="Arial"/>
          <w:color w:val="525252"/>
          <w:sz w:val="13"/>
        </w:rPr>
        <w:t>The spice brown palette flag will be worn with the DFDU.</w:t>
      </w:r>
    </w:p>
    <w:p>
      <w:pPr>
        <w:spacing w:after="20" w:line="223" w:lineRule="auto"/>
        <w:jc w:val="right"/>
        <w:bidi/>
      </w:pPr>
      <w:r>
        <w:rPr>
          <w:rFonts w:ascii="Arial" w:hAnsi="Arial"/>
          <w:sz w:val="16"/>
        </w:rPr>
        <w:t>489.19  به جای پرچم ایالات متحده، اعضا می‌توانند پچ فارغ‌التحصیلی مدرسه سلاح‌های USAF (فارغ‌التحصیل یا مربی)، وصله USAF (یا مشترک/بین المللی) مدرسه خلبانی آزمایشی (TPS) (فارغ‌التحصیل یا مربی)، دانشکده مطالعات پیشرفته هوا و فضای (SAASS)، پچ کارقوینت تکمیل شده در مدرسه، وصله آموزشی تکمیل شده در مدرسه را بپوشند. تکه‌ها</w:t>
      </w:r>
    </w:p>
    <w:p>
      <w:pPr>
        <w:spacing w:after="28" w:line="216" w:lineRule="auto"/>
        <w:ind w:left="259"/>
        <w:jc w:val="left"/>
      </w:pPr>
      <w:r>
        <w:rPr>
          <w:rFonts w:ascii="Arial" w:hAnsi="Arial"/>
          <w:color w:val="525252"/>
          <w:sz w:val="13"/>
        </w:rPr>
        <w:t>In lieu of the U.S. Flag, members may wear the USAF Weapons School Graduate Patch (graduate or instructor), USAF (or joint/international) Test Pilot School (TPS) patch (graduate or instructor), School of Advanced Air and Space Studies (SAASS) patch, Critical Care Air Transport Team patch, and other completed equivalent school patches.</w:t>
      </w:r>
    </w:p>
    <w:p>
      <w:pPr>
        <w:spacing w:after="20" w:line="223" w:lineRule="auto"/>
        <w:jc w:val="right"/>
        <w:bidi/>
      </w:pPr>
      <w:r>
        <w:rPr>
          <w:rFonts w:ascii="Arial" w:hAnsi="Arial"/>
          <w:sz w:val="16"/>
        </w:rPr>
        <w:t>489.20  آستین راست.</w:t>
      </w:r>
    </w:p>
    <w:p>
      <w:pPr>
        <w:spacing w:after="28" w:line="216" w:lineRule="auto"/>
        <w:ind w:left="259"/>
        <w:jc w:val="left"/>
      </w:pPr>
      <w:r>
        <w:rPr>
          <w:rFonts w:ascii="Arial" w:hAnsi="Arial"/>
          <w:color w:val="525252"/>
          <w:sz w:val="13"/>
        </w:rPr>
        <w:t>Right Sleeve.</w:t>
      </w:r>
    </w:p>
    <w:p>
      <w:pPr>
        <w:spacing w:after="20" w:line="223" w:lineRule="auto"/>
        <w:jc w:val="right"/>
        <w:bidi/>
      </w:pPr>
      <w:r>
        <w:rPr>
          <w:rFonts w:ascii="Arial" w:hAnsi="Arial"/>
          <w:sz w:val="16"/>
        </w:rPr>
        <w:t>489.21  نشان واحد (پچ اسکادران) طبق مجوز از طریق مکمل MAJCOM به DAFI ۳۶-۲۹۰۳ پوشیده خواهد شد.</w:t>
      </w:r>
    </w:p>
    <w:p>
      <w:pPr>
        <w:spacing w:after="28" w:line="216" w:lineRule="auto"/>
        <w:ind w:left="259"/>
        <w:jc w:val="left"/>
      </w:pPr>
      <w:r>
        <w:rPr>
          <w:rFonts w:ascii="Arial" w:hAnsi="Arial"/>
          <w:color w:val="525252"/>
          <w:sz w:val="13"/>
        </w:rPr>
        <w:t>The unit emblem (squadron patch) will be worn as authorized through MAJCOM supplement to DAFI 36-2903.</w:t>
      </w:r>
    </w:p>
    <w:p>
      <w:pPr>
        <w:spacing w:after="20" w:line="223" w:lineRule="auto"/>
        <w:jc w:val="right"/>
        <w:bidi/>
      </w:pPr>
      <w:r>
        <w:rPr>
          <w:rFonts w:ascii="Arial" w:hAnsi="Arial"/>
          <w:sz w:val="16"/>
        </w:rPr>
        <w:t>489.22  سازمان‌ها موظفند برای کمک در توسعه یا پیکربندی مجدد نمادهای سازمانی با وینگ هیستوریان خود تماس بگیرند.</w:t>
      </w:r>
    </w:p>
    <w:p>
      <w:pPr>
        <w:spacing w:after="28" w:line="216" w:lineRule="auto"/>
        <w:ind w:left="259"/>
        <w:jc w:val="left"/>
      </w:pPr>
      <w:r>
        <w:rPr>
          <w:rFonts w:ascii="Arial" w:hAnsi="Arial"/>
          <w:color w:val="525252"/>
          <w:sz w:val="13"/>
        </w:rPr>
        <w:t>Organizations are required to contact their Wing Historian for assistance on development or reconfiguration of organizational emblems.</w:t>
      </w:r>
    </w:p>
    <w:p>
      <w:pPr>
        <w:spacing w:after="20" w:line="223" w:lineRule="auto"/>
        <w:jc w:val="right"/>
        <w:bidi/>
      </w:pPr>
      <w:r>
        <w:rPr>
          <w:rFonts w:ascii="Arial" w:hAnsi="Arial"/>
          <w:sz w:val="16"/>
        </w:rPr>
        <w:t>489.23  هنگامی که افراد مجاز به پرواز با واحد دیگری هستند، می‌توانند نشان واحدی را که به آن متصل شده‌اند برای انجام وظایف پروازی بر تن کنند.</w:t>
      </w:r>
    </w:p>
    <w:p>
      <w:pPr>
        <w:spacing w:after="28" w:line="216" w:lineRule="auto"/>
        <w:ind w:left="259"/>
        <w:jc w:val="left"/>
      </w:pPr>
      <w:r>
        <w:rPr>
          <w:rFonts w:ascii="Arial" w:hAnsi="Arial"/>
          <w:color w:val="525252"/>
          <w:sz w:val="13"/>
        </w:rPr>
        <w:t>When authorized to fly with another unit, individuals may wear the emblem of the unit they are attached to for flight duties.</w:t>
      </w:r>
    </w:p>
    <w:p>
      <w:pPr>
        <w:spacing w:after="20" w:line="223" w:lineRule="auto"/>
        <w:jc w:val="right"/>
        <w:bidi/>
      </w:pPr>
      <w:r>
        <w:rPr>
          <w:rFonts w:ascii="Arial" w:hAnsi="Arial"/>
          <w:sz w:val="16"/>
        </w:rPr>
        <w:t>489.24  وصله‌های افزودنی.</w:t>
      </w:r>
    </w:p>
    <w:p>
      <w:pPr>
        <w:spacing w:after="28" w:line="216" w:lineRule="auto"/>
        <w:ind w:left="259"/>
        <w:jc w:val="left"/>
      </w:pPr>
      <w:r>
        <w:rPr>
          <w:rFonts w:ascii="Arial" w:hAnsi="Arial"/>
          <w:color w:val="525252"/>
          <w:sz w:val="13"/>
        </w:rPr>
        <w:t>Add-On Patches.</w:t>
      </w:r>
    </w:p>
    <w:p>
      <w:pPr>
        <w:spacing w:after="20" w:line="223" w:lineRule="auto"/>
        <w:jc w:val="right"/>
        <w:bidi/>
      </w:pPr>
      <w:r>
        <w:rPr>
          <w:rFonts w:ascii="Arial" w:hAnsi="Arial"/>
          <w:sz w:val="16"/>
        </w:rPr>
        <w:t>489.25  MAJCOM دستورالعمل‌های مربوط به پوشیدن وصله‌های افزودنی را منتشر می‌کند (به‌عنوان مثال، نقطه عطف ساعت پرواز، مربی، اسکرول آزمایشگر پرواز، و غیره).</w:t>
      </w:r>
    </w:p>
    <w:p>
      <w:pPr>
        <w:spacing w:after="28" w:line="216" w:lineRule="auto"/>
        <w:ind w:left="259"/>
        <w:jc w:val="left"/>
      </w:pPr>
      <w:r>
        <w:rPr>
          <w:rFonts w:ascii="Arial" w:hAnsi="Arial"/>
          <w:color w:val="525252"/>
          <w:sz w:val="13"/>
        </w:rPr>
        <w:t>MAJCOMs will publish guidance on wear of add-on patches (i.e., flying hour milestone, instructor, flight examiner scroll, etc.).</w:t>
      </w:r>
    </w:p>
    <w:p>
      <w:pPr>
        <w:spacing w:after="20" w:line="223" w:lineRule="auto"/>
        <w:jc w:val="right"/>
        <w:bidi/>
      </w:pPr>
      <w:r>
        <w:rPr>
          <w:rFonts w:ascii="Arial" w:hAnsi="Arial"/>
          <w:sz w:val="16"/>
        </w:rPr>
        <w:t>489.26  وصله‌های کمپین یا تمرین مجاز نیستند.</w:t>
      </w:r>
    </w:p>
    <w:p>
      <w:pPr>
        <w:spacing w:after="28" w:line="216" w:lineRule="auto"/>
        <w:ind w:left="259"/>
        <w:jc w:val="left"/>
      </w:pPr>
      <w:r>
        <w:rPr>
          <w:rFonts w:ascii="Arial" w:hAnsi="Arial"/>
          <w:color w:val="525252"/>
          <w:sz w:val="13"/>
        </w:rPr>
        <w:t>Campaign or exercise patches are not authorized.</w:t>
      </w:r>
    </w:p>
    <w:p>
      <w:pPr>
        <w:spacing w:after="20" w:line="223" w:lineRule="auto"/>
        <w:jc w:val="right"/>
        <w:bidi/>
      </w:pPr>
      <w:r>
        <w:rPr>
          <w:rFonts w:ascii="Arial" w:hAnsi="Arial"/>
          <w:sz w:val="16"/>
        </w:rPr>
        <w:t>489.27  فرماندهان MAJCOM باید همه نشان‌ها/وصله‌هایی را که به‌طور خاص در DAFI ۳۶-۲۹۰۳ ذکر نشده‌اند، تأیید کنند.</w:t>
      </w:r>
    </w:p>
    <w:p>
      <w:pPr>
        <w:spacing w:after="28" w:line="216" w:lineRule="auto"/>
        <w:ind w:left="259"/>
        <w:jc w:val="left"/>
      </w:pPr>
      <w:r>
        <w:rPr>
          <w:rFonts w:ascii="Arial" w:hAnsi="Arial"/>
          <w:color w:val="525252"/>
          <w:sz w:val="13"/>
        </w:rPr>
        <w:t>MAJCOM commanders must approve all emblems/patches not specifically addressed in DAFI 36-2903.</w:t>
      </w:r>
    </w:p>
    <w:p>
      <w:pPr>
        <w:spacing w:after="20" w:line="223" w:lineRule="auto"/>
        <w:jc w:val="right"/>
        <w:bidi/>
      </w:pPr>
      <w:r>
        <w:rPr>
          <w:rFonts w:ascii="Arial" w:hAnsi="Arial"/>
          <w:sz w:val="16"/>
        </w:rPr>
        <w:t>489.28  گردنبند.</w:t>
      </w:r>
    </w:p>
    <w:p>
      <w:pPr>
        <w:spacing w:after="28" w:line="216" w:lineRule="auto"/>
        <w:ind w:left="259"/>
        <w:jc w:val="left"/>
      </w:pPr>
      <w:r>
        <w:rPr>
          <w:rFonts w:ascii="Arial" w:hAnsi="Arial"/>
          <w:color w:val="525252"/>
          <w:sz w:val="13"/>
        </w:rPr>
        <w:t>Neckwear.</w:t>
      </w:r>
    </w:p>
    <w:p>
      <w:pPr>
        <w:spacing w:after="20" w:line="223" w:lineRule="auto"/>
        <w:jc w:val="right"/>
        <w:bidi/>
      </w:pPr>
      <w:r>
        <w:rPr>
          <w:rFonts w:ascii="Arial" w:hAnsi="Arial"/>
          <w:sz w:val="16"/>
        </w:rPr>
        <w:t>489.29  پوشیدن روسری توسط مکمل‌های MAJCOM رفع خواهد شد.</w:t>
      </w:r>
    </w:p>
    <w:p>
      <w:pPr>
        <w:spacing w:after="28" w:line="216" w:lineRule="auto"/>
        <w:ind w:left="259"/>
        <w:jc w:val="left"/>
      </w:pPr>
      <w:r>
        <w:rPr>
          <w:rFonts w:ascii="Arial" w:hAnsi="Arial"/>
          <w:color w:val="525252"/>
          <w:sz w:val="13"/>
        </w:rPr>
        <w:t>The wear of scarves will be addressed by MAJCOM supplements.</w:t>
      </w:r>
    </w:p>
    <w:p>
      <w:pPr>
        <w:spacing w:after="20" w:line="223" w:lineRule="auto"/>
        <w:jc w:val="right"/>
        <w:bidi/>
      </w:pPr>
      <w:r>
        <w:rPr>
          <w:rFonts w:ascii="Arial" w:hAnsi="Arial"/>
          <w:sz w:val="16"/>
        </w:rPr>
        <w:t>489.30  چه زمانی</w:t>
      </w:r>
    </w:p>
    <w:p>
      <w:pPr>
        <w:spacing w:after="28" w:line="216" w:lineRule="auto"/>
        <w:ind w:left="259"/>
        <w:jc w:val="left"/>
      </w:pPr>
      <w:r>
        <w:rPr>
          <w:rFonts w:ascii="Arial" w:hAnsi="Arial"/>
          <w:color w:val="525252"/>
          <w:sz w:val="13"/>
        </w:rPr>
        <w:t>When</w:t>
      </w:r>
    </w:p>
    <w:p>
      <w:r>
        <w:br w:type="page"/>
      </w:r>
    </w:p>
    <w:p>
      <w:pPr>
        <w:spacing w:after="60"/>
        <w:jc w:val="right"/>
        <w:bidi/>
      </w:pPr>
      <w:r>
        <w:rPr>
          <w:rFonts w:ascii="Arial" w:hAnsi="Arial"/>
          <w:b/>
          <w:color w:val="1F4D78"/>
          <w:sz w:val="19"/>
        </w:rPr>
        <w:t>هفتهٔ 490  |  صفحهٔ منبع: 506</w:t>
      </w:r>
    </w:p>
    <w:p>
      <w:pPr>
        <w:spacing w:after="20" w:line="223" w:lineRule="auto"/>
        <w:jc w:val="right"/>
        <w:bidi/>
      </w:pPr>
      <w:r>
        <w:rPr>
          <w:rFonts w:ascii="Arial" w:hAnsi="Arial"/>
          <w:sz w:val="16"/>
        </w:rPr>
        <w:t>490.01  مجاز است، روسری‌ها به دور گردن بسته می‌شوند و داخل آن قرار می‌گیرند.</w:t>
      </w:r>
    </w:p>
    <w:p>
      <w:pPr>
        <w:spacing w:after="28" w:line="216" w:lineRule="auto"/>
        <w:ind w:left="259"/>
        <w:jc w:val="left"/>
      </w:pPr>
      <w:r>
        <w:rPr>
          <w:rFonts w:ascii="Arial" w:hAnsi="Arial"/>
          <w:color w:val="525252"/>
          <w:sz w:val="13"/>
        </w:rPr>
        <w:t>authorized, scarves will be worn around the neck and tucked in.</w:t>
      </w:r>
    </w:p>
    <w:p>
      <w:pPr>
        <w:spacing w:after="20" w:line="223" w:lineRule="auto"/>
        <w:jc w:val="right"/>
        <w:bidi/>
      </w:pPr>
      <w:r>
        <w:rPr>
          <w:rFonts w:ascii="Arial" w:hAnsi="Arial"/>
          <w:sz w:val="16"/>
        </w:rPr>
        <w:t>490.02  نشان درجه افسر عمومی.</w:t>
      </w:r>
    </w:p>
    <w:p>
      <w:pPr>
        <w:spacing w:after="28" w:line="216" w:lineRule="auto"/>
        <w:ind w:left="259"/>
        <w:jc w:val="left"/>
      </w:pPr>
      <w:r>
        <w:rPr>
          <w:rFonts w:ascii="Arial" w:hAnsi="Arial"/>
          <w:color w:val="525252"/>
          <w:sz w:val="13"/>
        </w:rPr>
        <w:t>General Officer Rank Insignia.</w:t>
      </w:r>
    </w:p>
    <w:p>
      <w:pPr>
        <w:spacing w:after="20" w:line="223" w:lineRule="auto"/>
        <w:jc w:val="right"/>
        <w:bidi/>
      </w:pPr>
      <w:r>
        <w:rPr>
          <w:rFonts w:ascii="Arial" w:hAnsi="Arial"/>
          <w:sz w:val="16"/>
        </w:rPr>
        <w:t>490.03  ستاره‌های افسر عمومی (GO) در FDU/DFDU و ژاکت‌های پرواز روی شانه تا نیمه بین درز گردن و شانه قرار می‌گیرند.</w:t>
      </w:r>
    </w:p>
    <w:p>
      <w:pPr>
        <w:spacing w:after="28" w:line="216" w:lineRule="auto"/>
        <w:ind w:left="259"/>
        <w:jc w:val="left"/>
      </w:pPr>
      <w:r>
        <w:rPr>
          <w:rFonts w:ascii="Arial" w:hAnsi="Arial"/>
          <w:color w:val="525252"/>
          <w:sz w:val="13"/>
        </w:rPr>
        <w:t>General Officer (GO) stars on the FDU/DFDU and flight jackets will be centered on the shoulder halfway between the neck and shoulder seam.</w:t>
      </w:r>
    </w:p>
    <w:p>
      <w:pPr>
        <w:spacing w:after="20" w:line="223" w:lineRule="auto"/>
        <w:jc w:val="right"/>
        <w:bidi/>
      </w:pPr>
      <w:r>
        <w:rPr>
          <w:rFonts w:ascii="Arial" w:hAnsi="Arial"/>
          <w:sz w:val="16"/>
        </w:rPr>
        <w:t>490.04  ژنرال‌ها ستاره‌های ۱ اینچی را در لباس پرواز می‌پوشند. اگر فضای کافی برای ستاره‌های ۱ اینچی وجود نداشته باشد، ممکن است از ستاره‌های ۳/۴ اینچی استفاده شود.</w:t>
      </w:r>
    </w:p>
    <w:p>
      <w:pPr>
        <w:spacing w:after="28" w:line="216" w:lineRule="auto"/>
        <w:ind w:left="259"/>
        <w:jc w:val="left"/>
      </w:pPr>
      <w:r>
        <w:rPr>
          <w:rFonts w:ascii="Arial" w:hAnsi="Arial"/>
          <w:color w:val="525252"/>
          <w:sz w:val="13"/>
        </w:rPr>
        <w:t>Generals wear 1-inch stars on flight duty uniforms; 3/4-inch stars may be used if there is insufficient room for the 1-inch stars.</w:t>
      </w:r>
    </w:p>
    <w:p>
      <w:pPr>
        <w:spacing w:after="20" w:line="223" w:lineRule="auto"/>
        <w:jc w:val="right"/>
        <w:bidi/>
      </w:pPr>
      <w:r>
        <w:rPr>
          <w:rFonts w:ascii="Arial" w:hAnsi="Arial"/>
          <w:sz w:val="16"/>
        </w:rPr>
        <w:t>490.05  نشان رتبه GO روی پارچه پایه مشخص شده در DAFI ۳۶-۲۹۰۳، پاراگراف ۹.۴.۵ خواهد بود، ستاره‌های GO کابل پرچم آبی شماره ۶۷۱۲۴ خواهند بود و نقطه به مرکز نمایش داده می‌شوند.</w:t>
      </w:r>
    </w:p>
    <w:p>
      <w:pPr>
        <w:spacing w:after="28" w:line="216" w:lineRule="auto"/>
        <w:ind w:left="259"/>
        <w:jc w:val="left"/>
      </w:pPr>
      <w:r>
        <w:rPr>
          <w:rFonts w:ascii="Arial" w:hAnsi="Arial"/>
          <w:color w:val="525252"/>
          <w:sz w:val="13"/>
        </w:rPr>
        <w:t>GO rank insignia will be on base cloth identified in DAFI 36-2903, paragraph 9.4.5., GO stars will be Flag Blue cable #67124 and displayed point-to-center.</w:t>
      </w:r>
    </w:p>
    <w:p>
      <w:pPr>
        <w:spacing w:after="20" w:line="223" w:lineRule="auto"/>
        <w:jc w:val="right"/>
        <w:bidi/>
      </w:pPr>
      <w:r>
        <w:rPr>
          <w:rFonts w:ascii="Arial" w:hAnsi="Arial"/>
          <w:sz w:val="16"/>
        </w:rPr>
        <w:t>490.06  نشان رتبه (و-۱ تا و-۶).</w:t>
      </w:r>
    </w:p>
    <w:p>
      <w:pPr>
        <w:spacing w:after="28" w:line="216" w:lineRule="auto"/>
        <w:ind w:left="259"/>
        <w:jc w:val="left"/>
      </w:pPr>
      <w:r>
        <w:rPr>
          <w:rFonts w:ascii="Arial" w:hAnsi="Arial"/>
          <w:color w:val="525252"/>
          <w:sz w:val="13"/>
        </w:rPr>
        <w:t>Rank Insignia (O-1 through O-6).</w:t>
      </w:r>
    </w:p>
    <w:p>
      <w:pPr>
        <w:spacing w:after="20" w:line="223" w:lineRule="auto"/>
        <w:jc w:val="right"/>
        <w:bidi/>
      </w:pPr>
      <w:r>
        <w:rPr>
          <w:rFonts w:ascii="Arial" w:hAnsi="Arial"/>
          <w:sz w:val="16"/>
        </w:rPr>
        <w:t>490.07  روی هر شانه FDU/DFDU و ژاکت‌های پروازی از نشان‌های رده پارچه‌ای پوشانده شده استفاده کنید (نشان‌های درجه با پوشش پلاستیکی مجاز نیستند).</w:t>
      </w:r>
    </w:p>
    <w:p>
      <w:pPr>
        <w:spacing w:after="28" w:line="216" w:lineRule="auto"/>
        <w:ind w:left="259"/>
        <w:jc w:val="left"/>
      </w:pPr>
      <w:r>
        <w:rPr>
          <w:rFonts w:ascii="Arial" w:hAnsi="Arial"/>
          <w:color w:val="525252"/>
          <w:sz w:val="13"/>
        </w:rPr>
        <w:t>Wear subdued cloth rank insignia on each shoulder of the FDU/DFDU and flight jackets (plastic covered rank insignia is not authorized).</w:t>
      </w:r>
    </w:p>
    <w:p>
      <w:pPr>
        <w:spacing w:after="20" w:line="223" w:lineRule="auto"/>
        <w:jc w:val="right"/>
        <w:bidi/>
      </w:pPr>
      <w:r>
        <w:rPr>
          <w:rFonts w:ascii="Arial" w:hAnsi="Arial"/>
          <w:sz w:val="16"/>
        </w:rPr>
        <w:t>490.08  رتبه به اندازه ۵/۸ اینچ از درز شانه، وسط شانه دوخته می‌شود.</w:t>
      </w:r>
    </w:p>
    <w:p>
      <w:pPr>
        <w:spacing w:after="28" w:line="216" w:lineRule="auto"/>
        <w:ind w:left="259"/>
        <w:jc w:val="left"/>
      </w:pPr>
      <w:r>
        <w:rPr>
          <w:rFonts w:ascii="Arial" w:hAnsi="Arial"/>
          <w:color w:val="525252"/>
          <w:sz w:val="13"/>
        </w:rPr>
        <w:t>Rank will be sewn-on 5/8-inches from the shoulder seam, centered on the shoulder.</w:t>
      </w:r>
    </w:p>
    <w:p>
      <w:pPr>
        <w:spacing w:after="20" w:line="223" w:lineRule="auto"/>
        <w:jc w:val="right"/>
        <w:bidi/>
      </w:pPr>
      <w:r>
        <w:rPr>
          <w:rFonts w:ascii="Arial" w:hAnsi="Arial"/>
          <w:sz w:val="16"/>
        </w:rPr>
        <w:t>490.09  استانداردهای پارچه و کابل (نخ) نشان درجه افسر: پارچه پایه FDU OG ۱۰۷ است، کابل پرچم آبی شماره ۶۷۱۲۴ به جز ستوان دوم و سرگرد که کابل قهوه‌ای شماره ۶۷۱۳۶ هستند. پارچه پایه DFDU ​​خاکی ۲۱۲۰، کابل مشکی شماره ۶۷۱۳۸ به جز ستوان دوم و سرگرد که کابل قهوه‌ای شماره ۶۷۱۳۶ هستند.</w:t>
      </w:r>
    </w:p>
    <w:p>
      <w:pPr>
        <w:spacing w:after="28" w:line="216" w:lineRule="auto"/>
        <w:ind w:left="259"/>
        <w:jc w:val="left"/>
      </w:pPr>
      <w:r>
        <w:rPr>
          <w:rFonts w:ascii="Arial" w:hAnsi="Arial"/>
          <w:color w:val="525252"/>
          <w:sz w:val="13"/>
        </w:rPr>
        <w:t>Officer rank insignia cloth and cable (thread) standards: FDU base cloth is OG 107, Flag Blue cable #67124 except Second Lieutenant and Major which are Brown cable #67136; DFDU base cloth is Khaki 2120, Black cable #67138 except Second Lieutenant and Major which are Brown Cable #67136.</w:t>
      </w:r>
    </w:p>
    <w:p>
      <w:pPr>
        <w:spacing w:after="20" w:line="223" w:lineRule="auto"/>
        <w:jc w:val="right"/>
        <w:bidi/>
      </w:pPr>
      <w:r>
        <w:rPr>
          <w:rFonts w:ascii="Arial" w:hAnsi="Arial"/>
          <w:sz w:val="16"/>
        </w:rPr>
        <w:t>490.10  روی پوشاک.</w:t>
      </w:r>
    </w:p>
    <w:p>
      <w:pPr>
        <w:spacing w:after="28" w:line="216" w:lineRule="auto"/>
        <w:ind w:left="259"/>
        <w:jc w:val="left"/>
      </w:pPr>
      <w:r>
        <w:rPr>
          <w:rFonts w:ascii="Arial" w:hAnsi="Arial"/>
          <w:color w:val="525252"/>
          <w:sz w:val="13"/>
        </w:rPr>
        <w:t>Over Garments.</w:t>
      </w:r>
    </w:p>
    <w:p>
      <w:pPr>
        <w:spacing w:after="20" w:line="223" w:lineRule="auto"/>
        <w:jc w:val="right"/>
        <w:bidi/>
      </w:pPr>
      <w:r>
        <w:rPr>
          <w:rFonts w:ascii="Arial" w:hAnsi="Arial"/>
          <w:sz w:val="16"/>
        </w:rPr>
        <w:t>490.11  ژاکت پرواز (فلایر، ژاکت CWU-۳۶/پ &amp; CWU-۴۵/پ).</w:t>
      </w:r>
    </w:p>
    <w:p>
      <w:pPr>
        <w:spacing w:after="28" w:line="216" w:lineRule="auto"/>
        <w:ind w:left="259"/>
        <w:jc w:val="left"/>
      </w:pPr>
      <w:r>
        <w:rPr>
          <w:rFonts w:ascii="Arial" w:hAnsi="Arial"/>
          <w:color w:val="525252"/>
          <w:sz w:val="13"/>
        </w:rPr>
        <w:t>Flight Jacket (Flyers, Jacket CWU-36/P &amp; CWU-45/P).</w:t>
      </w:r>
    </w:p>
    <w:p>
      <w:pPr>
        <w:spacing w:after="20" w:line="223" w:lineRule="auto"/>
        <w:jc w:val="right"/>
        <w:bidi/>
      </w:pPr>
      <w:r>
        <w:rPr>
          <w:rFonts w:ascii="Arial" w:hAnsi="Arial"/>
          <w:sz w:val="16"/>
        </w:rPr>
        <w:t>490.12  ژاکت پرواز سبز ممکن است با FDU پوشیده شود.</w:t>
      </w:r>
    </w:p>
    <w:p>
      <w:pPr>
        <w:spacing w:after="28" w:line="216" w:lineRule="auto"/>
        <w:ind w:left="259"/>
        <w:jc w:val="left"/>
      </w:pPr>
      <w:r>
        <w:rPr>
          <w:rFonts w:ascii="Arial" w:hAnsi="Arial"/>
          <w:color w:val="525252"/>
          <w:sz w:val="13"/>
        </w:rPr>
        <w:t>The green Flight Jacket may be worn with the FDU.</w:t>
      </w:r>
    </w:p>
    <w:p>
      <w:pPr>
        <w:spacing w:after="20" w:line="223" w:lineRule="auto"/>
        <w:jc w:val="right"/>
        <w:bidi/>
      </w:pPr>
      <w:r>
        <w:rPr>
          <w:rFonts w:ascii="Arial" w:hAnsi="Arial"/>
          <w:sz w:val="16"/>
        </w:rPr>
        <w:t>490.13  ژاکت پرواز سبز یا صحرایی ممکن است با DFDU ​​پوشیده شود.</w:t>
      </w:r>
    </w:p>
    <w:p>
      <w:pPr>
        <w:spacing w:after="28" w:line="216" w:lineRule="auto"/>
        <w:ind w:left="259"/>
        <w:jc w:val="left"/>
      </w:pPr>
      <w:r>
        <w:rPr>
          <w:rFonts w:ascii="Arial" w:hAnsi="Arial"/>
          <w:color w:val="525252"/>
          <w:sz w:val="13"/>
        </w:rPr>
        <w:t>The green or desert Flight Jacket may be worn with the DFDU.</w:t>
      </w:r>
    </w:p>
    <w:p>
      <w:pPr>
        <w:spacing w:after="20" w:line="223" w:lineRule="auto"/>
        <w:jc w:val="right"/>
        <w:bidi/>
      </w:pPr>
      <w:r>
        <w:rPr>
          <w:rFonts w:ascii="Arial" w:hAnsi="Arial"/>
          <w:sz w:val="16"/>
        </w:rPr>
        <w:t>490.14  ژاکت‌های پرواز باید حداقل تا نیمه بسته شوند.</w:t>
      </w:r>
    </w:p>
    <w:p>
      <w:pPr>
        <w:spacing w:after="28" w:line="216" w:lineRule="auto"/>
        <w:ind w:left="259"/>
        <w:jc w:val="left"/>
      </w:pPr>
      <w:r>
        <w:rPr>
          <w:rFonts w:ascii="Arial" w:hAnsi="Arial"/>
          <w:color w:val="525252"/>
          <w:sz w:val="13"/>
        </w:rPr>
        <w:t>Flight Jackets are required to be zipped at least halfway.</w:t>
      </w:r>
    </w:p>
    <w:p>
      <w:pPr>
        <w:spacing w:after="20" w:line="223" w:lineRule="auto"/>
        <w:jc w:val="right"/>
        <w:bidi/>
      </w:pPr>
      <w:r>
        <w:rPr>
          <w:rFonts w:ascii="Arial" w:hAnsi="Arial"/>
          <w:sz w:val="16"/>
        </w:rPr>
        <w:t>490.15  توجه: ژاکت‌های پرواز با یونیفرم‌های خدمات (کلاس ب) یا OCP پوشیده نمی‌شوند.</w:t>
      </w:r>
    </w:p>
    <w:p>
      <w:pPr>
        <w:spacing w:after="28" w:line="216" w:lineRule="auto"/>
        <w:ind w:left="259"/>
        <w:jc w:val="left"/>
      </w:pPr>
      <w:r>
        <w:rPr>
          <w:rFonts w:ascii="Arial" w:hAnsi="Arial"/>
          <w:color w:val="525252"/>
          <w:sz w:val="13"/>
        </w:rPr>
        <w:t>Note: Flight Jackets will not be worn with service uniforms (Class B) or OCPs.</w:t>
      </w:r>
    </w:p>
    <w:p>
      <w:pPr>
        <w:spacing w:before="60" w:after="28"/>
        <w:jc w:val="right"/>
        <w:bidi/>
      </w:pPr>
      <w:r>
        <w:rPr>
          <w:b/>
          <w:color w:val="1F4D78"/>
          <w:sz w:val="18"/>
        </w:rPr>
        <w:t>شکل 23.52. ژاکت پرواز</w:t>
      </w:r>
    </w:p>
    <w:p>
      <w:pPr>
        <w:spacing w:after="20"/>
        <w:ind w:left="259"/>
        <w:jc w:val="left"/>
      </w:pPr>
      <w:r>
        <w:rPr>
          <w:color w:val="555555"/>
          <w:sz w:val="12"/>
        </w:rPr>
        <w:t>Figure 23.52. Flight Jacket</w:t>
      </w:r>
    </w:p>
    <w:p>
      <w:pPr>
        <w:spacing w:after="20" w:line="223" w:lineRule="auto"/>
        <w:jc w:val="right"/>
        <w:bidi/>
      </w:pPr>
      <w:r>
        <w:rPr>
          <w:rFonts w:ascii="Arial" w:hAnsi="Arial"/>
          <w:sz w:val="16"/>
        </w:rPr>
        <w:t>490.17  ولکرو® را روی ژاکت پرواز مانند FDU/DFDU پیکربندی کنید.</w:t>
      </w:r>
    </w:p>
    <w:p>
      <w:pPr>
        <w:spacing w:after="28" w:line="216" w:lineRule="auto"/>
        <w:ind w:left="259"/>
        <w:jc w:val="left"/>
      </w:pPr>
      <w:r>
        <w:rPr>
          <w:rFonts w:ascii="Arial" w:hAnsi="Arial"/>
          <w:color w:val="525252"/>
          <w:sz w:val="13"/>
        </w:rPr>
        <w:t>Configure Velcro® on the Flight Jacket like the FDU/DFDU.</w:t>
      </w:r>
    </w:p>
    <w:p>
      <w:pPr>
        <w:spacing w:after="20" w:line="223" w:lineRule="auto"/>
        <w:jc w:val="right"/>
        <w:bidi/>
      </w:pPr>
      <w:r>
        <w:rPr>
          <w:rFonts w:ascii="Arial" w:hAnsi="Arial"/>
          <w:sz w:val="16"/>
        </w:rPr>
        <w:t>490.18  تجهیزات موجود در جلیقه پرواز شامل برچسب نام، MAJCOM، پرچم یا نشان ایالات متحده، پچ واحد و رتبه (افسران) است و از دستورالعمل‌های FDU/DFDU پیروی می‌کنند و در طرح رنگ پچ با FDU/DFDU سازگار هستند.</w:t>
      </w:r>
    </w:p>
    <w:p>
      <w:pPr>
        <w:spacing w:after="28" w:line="216" w:lineRule="auto"/>
        <w:ind w:left="259"/>
        <w:jc w:val="left"/>
      </w:pPr>
      <w:r>
        <w:rPr>
          <w:rFonts w:ascii="Arial" w:hAnsi="Arial"/>
          <w:color w:val="525252"/>
          <w:sz w:val="13"/>
        </w:rPr>
        <w:t>Accoutrements on the Flight Jacket include the nametag, MAJCOM, U.S. flag or emblem, unit patch, and rank (officers) and will follow the same guidance as the FDU/DFDU and be consistent in patch color scheme to the FDU/DFDU.</w:t>
      </w:r>
    </w:p>
    <w:p>
      <w:pPr>
        <w:spacing w:after="20" w:line="223" w:lineRule="auto"/>
        <w:jc w:val="right"/>
        <w:bidi/>
      </w:pPr>
      <w:r>
        <w:rPr>
          <w:rFonts w:ascii="Arial" w:hAnsi="Arial"/>
          <w:sz w:val="16"/>
        </w:rPr>
        <w:t>490.19  ژاکت پرنده چرمی ا-۲.</w:t>
      </w:r>
    </w:p>
    <w:p>
      <w:pPr>
        <w:spacing w:after="28" w:line="216" w:lineRule="auto"/>
        <w:ind w:left="259"/>
        <w:jc w:val="left"/>
      </w:pPr>
      <w:r>
        <w:rPr>
          <w:rFonts w:ascii="Arial" w:hAnsi="Arial"/>
          <w:color w:val="525252"/>
          <w:sz w:val="13"/>
        </w:rPr>
        <w:t>Leather A-2 Flying Jacket.</w:t>
      </w:r>
    </w:p>
    <w:p>
      <w:pPr>
        <w:spacing w:after="20" w:line="223" w:lineRule="auto"/>
        <w:jc w:val="right"/>
        <w:bidi/>
      </w:pPr>
      <w:r>
        <w:rPr>
          <w:rFonts w:ascii="Arial" w:hAnsi="Arial"/>
          <w:sz w:val="16"/>
        </w:rPr>
        <w:t>490.20  ژاکت پرنده چرمی ا-۲ فقط برای پوشیدن روی زمین مجاز است مگر اینکه توسط مکمل MAJCOM منع شده باشد.</w:t>
      </w:r>
    </w:p>
    <w:p>
      <w:pPr>
        <w:spacing w:after="28" w:line="216" w:lineRule="auto"/>
        <w:ind w:left="259"/>
        <w:jc w:val="left"/>
      </w:pPr>
      <w:r>
        <w:rPr>
          <w:rFonts w:ascii="Arial" w:hAnsi="Arial"/>
          <w:color w:val="525252"/>
          <w:sz w:val="13"/>
        </w:rPr>
        <w:t>The Leather A-2 Flying Jacket is authorized for ground wear only unless prohibited by MAJCOM supplement.</w:t>
      </w:r>
    </w:p>
    <w:p>
      <w:pPr>
        <w:spacing w:after="20" w:line="223" w:lineRule="auto"/>
        <w:jc w:val="right"/>
        <w:bidi/>
      </w:pPr>
      <w:r>
        <w:rPr>
          <w:rFonts w:ascii="Arial" w:hAnsi="Arial"/>
          <w:sz w:val="16"/>
        </w:rPr>
        <w:t>490.21  افراد مجاز در DAFI ۳۶-۲۹۰۳، بند ۹.۵.۲.۳ و بند ۱۰.۷.۶ فهرست شده‌اند.</w:t>
      </w:r>
    </w:p>
    <w:p>
      <w:pPr>
        <w:spacing w:after="28" w:line="216" w:lineRule="auto"/>
        <w:ind w:left="259"/>
        <w:jc w:val="left"/>
      </w:pPr>
      <w:r>
        <w:rPr>
          <w:rFonts w:ascii="Arial" w:hAnsi="Arial"/>
          <w:color w:val="525252"/>
          <w:sz w:val="13"/>
        </w:rPr>
        <w:t>Authorized individuals are listed in DAFI 36-2903, paragraph 9.5.2.3 and paragraph 10.7.6.</w:t>
      </w:r>
    </w:p>
    <w:p>
      <w:pPr>
        <w:spacing w:after="20" w:line="223" w:lineRule="auto"/>
        <w:jc w:val="right"/>
        <w:bidi/>
      </w:pPr>
      <w:r>
        <w:rPr>
          <w:rFonts w:ascii="Arial" w:hAnsi="Arial"/>
          <w:sz w:val="16"/>
        </w:rPr>
        <w:t>490.22  ژاکت پرنده چرمی ا-۲ ممکن است با یونیفرم خدمات (کلاس ب)، یونیفرم وظیفه پرواز (FDU)، یونیفرم پرواز دو تکه (۲PFDU) یا FDU صحرا (DFDU) (نه لباس خدمات) پوشیده شود.</w:t>
      </w:r>
    </w:p>
    <w:p>
      <w:pPr>
        <w:spacing w:after="28" w:line="216" w:lineRule="auto"/>
        <w:ind w:left="259"/>
        <w:jc w:val="left"/>
      </w:pPr>
      <w:r>
        <w:rPr>
          <w:rFonts w:ascii="Arial" w:hAnsi="Arial"/>
          <w:color w:val="525252"/>
          <w:sz w:val="13"/>
        </w:rPr>
        <w:t>The Leather A-2 Flying Jacket may be worn with service uniform (Class B), flight duty uniform (FDU), two-piece flight duty uniform (2PFDU) or Desert FDU (DFDU) (not service dress uniform).</w:t>
      </w:r>
    </w:p>
    <w:p>
      <w:pPr>
        <w:spacing w:after="20" w:line="223" w:lineRule="auto"/>
        <w:jc w:val="right"/>
        <w:bidi/>
      </w:pPr>
      <w:r>
        <w:rPr>
          <w:rFonts w:ascii="Arial" w:hAnsi="Arial"/>
          <w:sz w:val="16"/>
        </w:rPr>
        <w:t>490.23  تبصره: به استثنای منشی و</w:t>
      </w:r>
    </w:p>
    <w:p>
      <w:pPr>
        <w:spacing w:after="28" w:line="216" w:lineRule="auto"/>
        <w:ind w:left="259"/>
        <w:jc w:val="left"/>
      </w:pPr>
      <w:r>
        <w:rPr>
          <w:rFonts w:ascii="Arial" w:hAnsi="Arial"/>
          <w:color w:val="525252"/>
          <w:sz w:val="13"/>
        </w:rPr>
        <w:t>Note: With the exception of the Secretary, and the</w:t>
      </w:r>
    </w:p>
    <w:p>
      <w:r>
        <w:br w:type="page"/>
      </w:r>
    </w:p>
    <w:p>
      <w:pPr>
        <w:spacing w:after="60"/>
        <w:jc w:val="right"/>
        <w:bidi/>
      </w:pPr>
      <w:r>
        <w:rPr>
          <w:rFonts w:ascii="Arial" w:hAnsi="Arial"/>
          <w:b/>
          <w:color w:val="1F4D78"/>
          <w:sz w:val="19"/>
        </w:rPr>
        <w:t>هفتهٔ 491  |  صفحهٔ منبع: 507</w:t>
      </w:r>
    </w:p>
    <w:p>
      <w:pPr>
        <w:spacing w:after="20" w:line="223" w:lineRule="auto"/>
        <w:jc w:val="right"/>
        <w:bidi/>
      </w:pPr>
      <w:r>
        <w:rPr>
          <w:rFonts w:ascii="Arial" w:hAnsi="Arial"/>
          <w:sz w:val="16"/>
        </w:rPr>
        <w:t>491.01  معاون وزیر نیروی هوایی، نباید با لباس غیر نظامی پوشیده شود.</w:t>
      </w:r>
    </w:p>
    <w:p>
      <w:pPr>
        <w:spacing w:after="28" w:line="216" w:lineRule="auto"/>
        <w:ind w:left="259"/>
        <w:jc w:val="left"/>
      </w:pPr>
      <w:r>
        <w:rPr>
          <w:rFonts w:ascii="Arial" w:hAnsi="Arial"/>
          <w:color w:val="525252"/>
          <w:sz w:val="13"/>
        </w:rPr>
        <w:t>Under Secretary of the Air Force, it is not to be worn with civilian clothes.</w:t>
      </w:r>
    </w:p>
    <w:p>
      <w:pPr>
        <w:spacing w:after="20" w:line="223" w:lineRule="auto"/>
        <w:jc w:val="right"/>
        <w:bidi/>
      </w:pPr>
      <w:r>
        <w:rPr>
          <w:rFonts w:ascii="Arial" w:hAnsi="Arial"/>
          <w:sz w:val="16"/>
        </w:rPr>
        <w:t>491.02  لاتر ا-۲ فلیینگ جاککت ولکرو® را با پچ MAJCOM و برچسب نام IAW DAFI ۳۶-۲۹۰۳، پاراگراف ۹.۵.۲.۲ پیکربندی کنید.</w:t>
      </w:r>
    </w:p>
    <w:p>
      <w:pPr>
        <w:spacing w:after="28" w:line="216" w:lineRule="auto"/>
        <w:ind w:left="259"/>
        <w:jc w:val="left"/>
      </w:pPr>
      <w:r>
        <w:rPr>
          <w:rFonts w:ascii="Arial" w:hAnsi="Arial"/>
          <w:color w:val="525252"/>
          <w:sz w:val="13"/>
        </w:rPr>
        <w:t>Configure Leather A-2 Flying Jacket Velcro® with MAJCOM patch and nametag IAW DAFI 36-2903, paragraph 9.5.2.2.</w:t>
      </w:r>
    </w:p>
    <w:p>
      <w:pPr>
        <w:spacing w:after="20" w:line="223" w:lineRule="auto"/>
        <w:jc w:val="right"/>
        <w:bidi/>
      </w:pPr>
      <w:r>
        <w:rPr>
          <w:rFonts w:ascii="Arial" w:hAnsi="Arial"/>
          <w:sz w:val="16"/>
        </w:rPr>
        <w:t>491.03  لوازم جانبی ژاکت پرنده چرمی ا-۲.</w:t>
      </w:r>
    </w:p>
    <w:p>
      <w:pPr>
        <w:spacing w:after="28" w:line="216" w:lineRule="auto"/>
        <w:ind w:left="259"/>
        <w:jc w:val="left"/>
      </w:pPr>
      <w:r>
        <w:rPr>
          <w:rFonts w:ascii="Arial" w:hAnsi="Arial"/>
          <w:color w:val="525252"/>
          <w:sz w:val="13"/>
        </w:rPr>
        <w:t>Leather A-2 Flying Jacket Accoutrements.</w:t>
      </w:r>
    </w:p>
    <w:p>
      <w:pPr>
        <w:spacing w:after="20" w:line="223" w:lineRule="auto"/>
        <w:jc w:val="right"/>
        <w:bidi/>
      </w:pPr>
      <w:r>
        <w:rPr>
          <w:rFonts w:ascii="Arial" w:hAnsi="Arial"/>
          <w:sz w:val="16"/>
        </w:rPr>
        <w:t>491.04  برچسب نام ۲ × ۴ اینچ، چرم قهوه‌ای یا مشکی، چرم شبیه سازی شده است.</w:t>
      </w:r>
    </w:p>
    <w:p>
      <w:pPr>
        <w:spacing w:after="28" w:line="216" w:lineRule="auto"/>
        <w:ind w:left="259"/>
        <w:jc w:val="left"/>
      </w:pPr>
      <w:r>
        <w:rPr>
          <w:rFonts w:ascii="Arial" w:hAnsi="Arial"/>
          <w:color w:val="525252"/>
          <w:sz w:val="13"/>
        </w:rPr>
        <w:t>The nametag is 2 x 4-inches, brown or black leather, simulated leather.</w:t>
      </w:r>
    </w:p>
    <w:p>
      <w:pPr>
        <w:spacing w:after="20" w:line="223" w:lineRule="auto"/>
        <w:jc w:val="right"/>
        <w:bidi/>
      </w:pPr>
      <w:r>
        <w:rPr>
          <w:rFonts w:ascii="Arial" w:hAnsi="Arial"/>
          <w:sz w:val="16"/>
        </w:rPr>
        <w:t>491.05  برجسته با بال یا نشان واجد شرایط، نام و نام خانوادگی، رتبه و USAF.</w:t>
      </w:r>
    </w:p>
    <w:p>
      <w:pPr>
        <w:spacing w:after="28" w:line="216" w:lineRule="auto"/>
        <w:ind w:left="259"/>
        <w:jc w:val="left"/>
      </w:pPr>
      <w:r>
        <w:rPr>
          <w:rFonts w:ascii="Arial" w:hAnsi="Arial"/>
          <w:color w:val="525252"/>
          <w:sz w:val="13"/>
        </w:rPr>
        <w:t>Emboss with wings or qualifying badge, first and last name, rank, and USAF.</w:t>
      </w:r>
    </w:p>
    <w:p>
      <w:pPr>
        <w:spacing w:after="20" w:line="223" w:lineRule="auto"/>
        <w:jc w:val="right"/>
        <w:bidi/>
      </w:pPr>
      <w:r>
        <w:rPr>
          <w:rFonts w:ascii="Arial" w:hAnsi="Arial"/>
          <w:sz w:val="16"/>
        </w:rPr>
        <w:t>491.06  اعضا می‌توانند با هزینه خود یک جیب داخلی اضافه کنند، در صورتی که از ظاهر خارجی آن کاسته نشود.</w:t>
      </w:r>
    </w:p>
    <w:p>
      <w:pPr>
        <w:spacing w:after="28" w:line="216" w:lineRule="auto"/>
        <w:ind w:left="259"/>
        <w:jc w:val="left"/>
      </w:pPr>
      <w:r>
        <w:rPr>
          <w:rFonts w:ascii="Arial" w:hAnsi="Arial"/>
          <w:color w:val="525252"/>
          <w:sz w:val="13"/>
        </w:rPr>
        <w:t>Members may add an inside pocket, at their expense, when it does not detract from the external appearance.</w:t>
      </w:r>
    </w:p>
    <w:p>
      <w:pPr>
        <w:spacing w:after="20" w:line="223" w:lineRule="auto"/>
        <w:jc w:val="right"/>
        <w:bidi/>
      </w:pPr>
      <w:r>
        <w:rPr>
          <w:rFonts w:ascii="Arial" w:hAnsi="Arial"/>
          <w:sz w:val="16"/>
        </w:rPr>
        <w:t>491.07  پچ بال و ستاره ممکن است توسط افرادی استفاده شود که به MAJCOM اختصاص داده نشده‌اند.</w:t>
      </w:r>
    </w:p>
    <w:p>
      <w:pPr>
        <w:spacing w:after="28" w:line="216" w:lineRule="auto"/>
        <w:ind w:left="259"/>
        <w:jc w:val="left"/>
      </w:pPr>
      <w:r>
        <w:rPr>
          <w:rFonts w:ascii="Arial" w:hAnsi="Arial"/>
          <w:color w:val="525252"/>
          <w:sz w:val="13"/>
        </w:rPr>
        <w:t>The wing and star patch maybe worn by individuals not assigned to a MAJCOM.</w:t>
      </w:r>
    </w:p>
    <w:p>
      <w:pPr>
        <w:spacing w:after="20" w:line="223" w:lineRule="auto"/>
        <w:jc w:val="right"/>
        <w:bidi/>
      </w:pPr>
      <w:r>
        <w:rPr>
          <w:rFonts w:ascii="Arial" w:hAnsi="Arial"/>
          <w:sz w:val="16"/>
        </w:rPr>
        <w:t>491.08  دستکش در صورت پوشیدن چرم مشکی، بافتنی، تریکو یا جیر یا ترکیبی از چرم، بافتنی، تریکو و جیر خواهد بود.</w:t>
      </w:r>
    </w:p>
    <w:p>
      <w:pPr>
        <w:spacing w:after="28" w:line="216" w:lineRule="auto"/>
        <w:ind w:left="259"/>
        <w:jc w:val="left"/>
      </w:pPr>
      <w:r>
        <w:rPr>
          <w:rFonts w:ascii="Arial" w:hAnsi="Arial"/>
          <w:color w:val="525252"/>
          <w:sz w:val="13"/>
        </w:rPr>
        <w:t>Gloves if worn will be black leather, knitted, tricot or suede, or a combination of leather, knitted, tricot, and suede.</w:t>
      </w:r>
    </w:p>
    <w:p>
      <w:pPr>
        <w:spacing w:after="20" w:line="223" w:lineRule="auto"/>
        <w:jc w:val="right"/>
        <w:bidi/>
      </w:pPr>
      <w:r>
        <w:rPr>
          <w:rFonts w:ascii="Arial" w:hAnsi="Arial"/>
          <w:sz w:val="16"/>
        </w:rPr>
        <w:t>491.09  توجه: ژنرال‌ها (۴ ستاره)، صرف نظر از کد تخصص نیروی هوایی خود مجاز به پوشیدن ژاکت پرنده چرمی ا-۲ هستند.</w:t>
      </w:r>
    </w:p>
    <w:p>
      <w:pPr>
        <w:spacing w:after="28" w:line="216" w:lineRule="auto"/>
        <w:ind w:left="259"/>
        <w:jc w:val="left"/>
      </w:pPr>
      <w:r>
        <w:rPr>
          <w:rFonts w:ascii="Arial" w:hAnsi="Arial"/>
          <w:color w:val="525252"/>
          <w:sz w:val="13"/>
        </w:rPr>
        <w:t>Note: Generals (4-Star), regardless of their Air Force Specialty Code are authorized to wear the Leather A-2 Flying Jacket.</w:t>
      </w:r>
    </w:p>
    <w:p>
      <w:pPr>
        <w:spacing w:before="60" w:after="28"/>
        <w:jc w:val="right"/>
        <w:bidi/>
      </w:pPr>
      <w:r>
        <w:rPr>
          <w:b/>
          <w:color w:val="1F4D78"/>
          <w:sz w:val="18"/>
        </w:rPr>
        <w:t>شکل 23.53. ژاکت پرنده چرمی A-2</w:t>
      </w:r>
    </w:p>
    <w:p>
      <w:pPr>
        <w:spacing w:after="20"/>
        <w:ind w:left="259"/>
        <w:jc w:val="left"/>
      </w:pPr>
      <w:r>
        <w:rPr>
          <w:color w:val="555555"/>
          <w:sz w:val="12"/>
        </w:rPr>
        <w:t>Figure 23.53. Leather A-2 Flying Jacket</w:t>
      </w:r>
    </w:p>
    <w:p>
      <w:pPr>
        <w:spacing w:after="20" w:line="223" w:lineRule="auto"/>
        <w:jc w:val="right"/>
        <w:bidi/>
      </w:pPr>
      <w:r>
        <w:rPr>
          <w:rFonts w:ascii="Arial" w:hAnsi="Arial"/>
          <w:sz w:val="16"/>
        </w:rPr>
        <w:t>491.11  پوشیدن ژاکت پرواز مجاز چرمی ا-۲.</w:t>
      </w:r>
    </w:p>
    <w:p>
      <w:pPr>
        <w:spacing w:after="28" w:line="216" w:lineRule="auto"/>
        <w:ind w:left="259"/>
        <w:jc w:val="left"/>
      </w:pPr>
      <w:r>
        <w:rPr>
          <w:rFonts w:ascii="Arial" w:hAnsi="Arial"/>
          <w:color w:val="525252"/>
          <w:sz w:val="13"/>
        </w:rPr>
        <w:t>Authorized Leather A-2 Flying Jacket wear.</w:t>
      </w:r>
    </w:p>
    <w:p>
      <w:pPr>
        <w:spacing w:after="20" w:line="223" w:lineRule="auto"/>
        <w:jc w:val="right"/>
        <w:bidi/>
      </w:pPr>
      <w:r>
        <w:rPr>
          <w:rFonts w:ascii="Arial" w:hAnsi="Arial"/>
          <w:sz w:val="16"/>
        </w:rPr>
        <w:t>491.12  AFMAN ۱۱-۴۰۲، خدمات هوانوردی و چتربازان، مجوز استفاده از ژاکت پرنده چرمی ا-۲ را مشخص می‌کند.</w:t>
      </w:r>
    </w:p>
    <w:p>
      <w:pPr>
        <w:spacing w:after="28" w:line="216" w:lineRule="auto"/>
        <w:ind w:left="259"/>
        <w:jc w:val="left"/>
      </w:pPr>
      <w:r>
        <w:rPr>
          <w:rFonts w:ascii="Arial" w:hAnsi="Arial"/>
          <w:color w:val="525252"/>
          <w:sz w:val="13"/>
        </w:rPr>
        <w:t>AFMAN 11-402, Aviation and Parachutist Service, outlines wear authorization of the Leather A-2 Flying Jacket.</w:t>
      </w:r>
    </w:p>
    <w:p>
      <w:pPr>
        <w:spacing w:after="20" w:line="223" w:lineRule="auto"/>
        <w:jc w:val="right"/>
        <w:bidi/>
      </w:pPr>
      <w:r>
        <w:rPr>
          <w:rFonts w:ascii="Arial" w:hAnsi="Arial"/>
          <w:sz w:val="16"/>
        </w:rPr>
        <w:t>491.13  وزیر و معاون وزیر نیروی هوایی، افسران درجه‌بندی شده، هوانوردان درجه‌دار شغلی و اعضای خدمه هوایی غیرمرتبط که به‌طور دائم نشان هوانوردی اعطا شده‌اند، می‌توانند جلیقه پرنده چرمی ا-۲ را بپوشند.</w:t>
      </w:r>
    </w:p>
    <w:p>
      <w:pPr>
        <w:spacing w:after="28" w:line="216" w:lineRule="auto"/>
        <w:ind w:left="259"/>
        <w:jc w:val="left"/>
      </w:pPr>
      <w:r>
        <w:rPr>
          <w:rFonts w:ascii="Arial" w:hAnsi="Arial"/>
          <w:color w:val="525252"/>
          <w:sz w:val="13"/>
        </w:rPr>
        <w:t>The Secretary, and the Under Secretary of the Air Force, rated officers, Career Enlisted Aviators, and Non-rated Aircrew members who have been permanently awarded an aeronautical badge may wear the Leather A-2 Flying Jacket.</w:t>
      </w:r>
    </w:p>
    <w:p>
      <w:pPr>
        <w:spacing w:after="20" w:line="223" w:lineRule="auto"/>
        <w:jc w:val="right"/>
        <w:bidi/>
      </w:pPr>
      <w:r>
        <w:rPr>
          <w:rFonts w:ascii="Arial" w:hAnsi="Arial"/>
          <w:sz w:val="16"/>
        </w:rPr>
        <w:t>491.14  حکم هوانوردی که به‌طور دائم نشان هوانوردی را اعطا می‌کند، اقتدار پوشیدن ژاکت پرنده چرمی ا-۲ را دارد.</w:t>
      </w:r>
    </w:p>
    <w:p>
      <w:pPr>
        <w:spacing w:after="28" w:line="216" w:lineRule="auto"/>
        <w:ind w:left="259"/>
        <w:jc w:val="left"/>
      </w:pPr>
      <w:r>
        <w:rPr>
          <w:rFonts w:ascii="Arial" w:hAnsi="Arial"/>
          <w:color w:val="525252"/>
          <w:sz w:val="13"/>
        </w:rPr>
        <w:t>The aeronautical order permanently awarding the aeronautical badge constitutes authority to wear the Leather A- 2 Flying Jacket.</w:t>
      </w:r>
    </w:p>
    <w:p>
      <w:pPr>
        <w:spacing w:after="20" w:line="223" w:lineRule="auto"/>
        <w:jc w:val="right"/>
        <w:bidi/>
      </w:pPr>
      <w:r>
        <w:rPr>
          <w:rFonts w:ascii="Arial" w:hAnsi="Arial"/>
          <w:sz w:val="16"/>
        </w:rPr>
        <w:t>491.15  افسران ۱۳SX واجد شرایط فضایی و موشکی پس از اتمام دوره آموزشی صلاحیت در یکی از ۱۳SXA، ۱۳SXB، ۱۳SXC، ۱۳SXD، ۱۳SXE AFSC زیر مجاز به پوشیدن هستند.</w:t>
      </w:r>
    </w:p>
    <w:p>
      <w:pPr>
        <w:spacing w:after="28" w:line="216" w:lineRule="auto"/>
        <w:ind w:left="259"/>
        <w:jc w:val="left"/>
      </w:pPr>
      <w:r>
        <w:rPr>
          <w:rFonts w:ascii="Arial" w:hAnsi="Arial"/>
          <w:color w:val="525252"/>
          <w:sz w:val="13"/>
        </w:rPr>
        <w:t>Space and Missile qualified 13SX officers are authorized wear upon completion of qualification training in one of the following AFSC’s 13SXA, 13SXB, 13SXC, 13SXD, 13SXE.</w:t>
      </w:r>
    </w:p>
    <w:p>
      <w:pPr>
        <w:spacing w:after="20" w:line="223" w:lineRule="auto"/>
        <w:jc w:val="right"/>
        <w:bidi/>
      </w:pPr>
      <w:r>
        <w:rPr>
          <w:rFonts w:ascii="Arial" w:hAnsi="Arial"/>
          <w:sz w:val="16"/>
        </w:rPr>
        <w:t>491.16  پرسنل عملیات سیستم‌های فضایی باید آموزش‌های صلاحیتی را طی کنند و به‌عنوان خدمه آماده مأموریت در AFSC ۱ک۶XX گواهینامه دریافت کنند.</w:t>
      </w:r>
    </w:p>
    <w:p>
      <w:pPr>
        <w:spacing w:after="28" w:line="216" w:lineRule="auto"/>
        <w:ind w:left="259"/>
        <w:jc w:val="left"/>
      </w:pPr>
      <w:r>
        <w:rPr>
          <w:rFonts w:ascii="Arial" w:hAnsi="Arial"/>
          <w:color w:val="525252"/>
          <w:sz w:val="13"/>
        </w:rPr>
        <w:t>Space Systems Operations personnel must complete qualification training and be certified as a mission ready crewmember in the 1C6XX AFSC.</w:t>
      </w:r>
    </w:p>
    <w:p>
      <w:pPr>
        <w:spacing w:after="20" w:line="223" w:lineRule="auto"/>
        <w:jc w:val="right"/>
        <w:bidi/>
      </w:pPr>
      <w:r>
        <w:rPr>
          <w:rFonts w:ascii="Arial" w:hAnsi="Arial"/>
          <w:sz w:val="16"/>
        </w:rPr>
        <w:t>491.17  CSAF مرجع تأیید / چشم پوشی برای صدور جلیقه پرنده چرمی ا-۲ برای سایر افراد است.</w:t>
      </w:r>
    </w:p>
    <w:p>
      <w:pPr>
        <w:spacing w:after="28" w:line="216" w:lineRule="auto"/>
        <w:ind w:left="259"/>
        <w:jc w:val="left"/>
      </w:pPr>
      <w:r>
        <w:rPr>
          <w:rFonts w:ascii="Arial" w:hAnsi="Arial"/>
          <w:color w:val="525252"/>
          <w:sz w:val="13"/>
        </w:rPr>
        <w:t>The CSAF is the approval/waiver authority for issue of the Leather A-2 Flying Jacket to all other individuals.</w:t>
      </w:r>
    </w:p>
    <w:p>
      <w:pPr>
        <w:spacing w:after="20" w:line="223" w:lineRule="auto"/>
        <w:jc w:val="right"/>
        <w:bidi/>
      </w:pPr>
      <w:r>
        <w:rPr>
          <w:rFonts w:ascii="Arial" w:hAnsi="Arial"/>
          <w:sz w:val="16"/>
        </w:rPr>
        <w:t>491.18  سیستم پوشاک محیطی همه منظوره (APECS)، کت و شلوار بارانی بهبودیافته (IRS) و سیستم پوشاک هوای سرد طولانی مدت OCP (ECWCS) پارکا و شلوار، یا کت و شلوار OCP گورتکس ممکن است با FDU و DFDU ​​در هنگام انجام کارهای غیر پروازی پوشیده شوند.</w:t>
      </w:r>
    </w:p>
    <w:p>
      <w:pPr>
        <w:spacing w:after="28" w:line="216" w:lineRule="auto"/>
        <w:ind w:left="259"/>
        <w:jc w:val="left"/>
      </w:pPr>
      <w:r>
        <w:rPr>
          <w:rFonts w:ascii="Arial" w:hAnsi="Arial"/>
          <w:color w:val="525252"/>
          <w:sz w:val="13"/>
        </w:rPr>
        <w:t>All Purpose Environmental Clothing System (APECS), Improved Rain Suit (IRS), and OCP Extended Cold Weather Clothing System (ECWCS) Parka and Pants, or OCP Gortex Jacket and pants may be worn with the FDU and DFDU during non-flying duties.</w:t>
      </w:r>
    </w:p>
    <w:p>
      <w:pPr>
        <w:spacing w:after="20" w:line="223" w:lineRule="auto"/>
        <w:jc w:val="right"/>
        <w:bidi/>
      </w:pPr>
      <w:r>
        <w:rPr>
          <w:rFonts w:ascii="Arial" w:hAnsi="Arial"/>
          <w:sz w:val="16"/>
        </w:rPr>
        <w:t>491.19  کت را می‌توان بدون شلوار پوشید. با این حال، شلوار بدون ژاکت پوشیده نخواهد شد.</w:t>
      </w:r>
    </w:p>
    <w:p>
      <w:pPr>
        <w:spacing w:after="28" w:line="216" w:lineRule="auto"/>
        <w:ind w:left="259"/>
        <w:jc w:val="left"/>
      </w:pPr>
      <w:r>
        <w:rPr>
          <w:rFonts w:ascii="Arial" w:hAnsi="Arial"/>
          <w:color w:val="525252"/>
          <w:sz w:val="13"/>
        </w:rPr>
        <w:t>Jacket may be worn without the pants; however, the pants will not be worn without the jacket.</w:t>
      </w:r>
    </w:p>
    <w:p>
      <w:pPr>
        <w:spacing w:after="20" w:line="223" w:lineRule="auto"/>
        <w:jc w:val="right"/>
        <w:bidi/>
      </w:pPr>
      <w:r>
        <w:rPr>
          <w:rFonts w:ascii="Arial" w:hAnsi="Arial"/>
          <w:sz w:val="16"/>
        </w:rPr>
        <w:t>491.20  کاپشن پشمی قهوه‌ای کایوت.</w:t>
      </w:r>
    </w:p>
    <w:p>
      <w:pPr>
        <w:spacing w:after="28" w:line="216" w:lineRule="auto"/>
        <w:ind w:left="259"/>
        <w:jc w:val="left"/>
      </w:pPr>
      <w:r>
        <w:rPr>
          <w:rFonts w:ascii="Arial" w:hAnsi="Arial"/>
          <w:color w:val="525252"/>
          <w:sz w:val="13"/>
        </w:rPr>
        <w:t>Coyote Brown Fleece Jacket.</w:t>
      </w:r>
    </w:p>
    <w:p>
      <w:pPr>
        <w:spacing w:after="20" w:line="223" w:lineRule="auto"/>
        <w:jc w:val="right"/>
        <w:bidi/>
      </w:pPr>
      <w:r>
        <w:rPr>
          <w:rFonts w:ascii="Arial" w:hAnsi="Arial"/>
          <w:sz w:val="16"/>
        </w:rPr>
        <w:t>491.21  ژاکت پشمی قهوه‌ای کایوت را می‌توان به‌عنوان یک لباس پوشیده کرد</w:t>
      </w:r>
    </w:p>
    <w:p>
      <w:pPr>
        <w:spacing w:after="28" w:line="216" w:lineRule="auto"/>
        <w:ind w:left="259"/>
        <w:jc w:val="left"/>
      </w:pPr>
      <w:r>
        <w:rPr>
          <w:rFonts w:ascii="Arial" w:hAnsi="Arial"/>
          <w:color w:val="525252"/>
          <w:sz w:val="13"/>
        </w:rPr>
        <w:t>The Coyote Brown Fleece Jacket may be worn as an over garment</w:t>
      </w:r>
    </w:p>
    <w:p>
      <w:r>
        <w:br w:type="page"/>
      </w:r>
    </w:p>
    <w:p>
      <w:pPr>
        <w:spacing w:after="60"/>
        <w:jc w:val="right"/>
        <w:bidi/>
      </w:pPr>
      <w:r>
        <w:rPr>
          <w:rFonts w:ascii="Arial" w:hAnsi="Arial"/>
          <w:b/>
          <w:color w:val="1F4D78"/>
          <w:sz w:val="19"/>
        </w:rPr>
        <w:t>هفتهٔ 492  |  صفحهٔ منبع: 508</w:t>
      </w:r>
    </w:p>
    <w:p>
      <w:pPr>
        <w:spacing w:after="20" w:line="223" w:lineRule="auto"/>
        <w:jc w:val="right"/>
        <w:bidi/>
      </w:pPr>
      <w:r>
        <w:rPr>
          <w:rFonts w:ascii="Arial" w:hAnsi="Arial"/>
          <w:sz w:val="16"/>
        </w:rPr>
        <w:t>492.01  با FDU و DFDU.</w:t>
      </w:r>
    </w:p>
    <w:p>
      <w:pPr>
        <w:spacing w:after="28" w:line="216" w:lineRule="auto"/>
        <w:ind w:left="259"/>
        <w:jc w:val="left"/>
      </w:pPr>
      <w:r>
        <w:rPr>
          <w:rFonts w:ascii="Arial" w:hAnsi="Arial"/>
          <w:color w:val="525252"/>
          <w:sz w:val="13"/>
        </w:rPr>
        <w:t>with the FDU and DFDU.</w:t>
      </w:r>
    </w:p>
    <w:p>
      <w:pPr>
        <w:spacing w:after="20" w:line="223" w:lineRule="auto"/>
        <w:jc w:val="right"/>
        <w:bidi/>
      </w:pPr>
      <w:r>
        <w:rPr>
          <w:rFonts w:ascii="Arial" w:hAnsi="Arial"/>
          <w:sz w:val="16"/>
        </w:rPr>
        <w:t>492.02  ژاکت پشمی ممکن است در داخل یا خارج از منزل پوشیده شود، اما در هنگام سوار شدن بر هواپیما با موتورهای در حال کار در حالی که موقعیت خدمه اصلی را اشغال می‌کند، پوشیده نخواهد شد.</w:t>
      </w:r>
    </w:p>
    <w:p>
      <w:pPr>
        <w:spacing w:after="28" w:line="216" w:lineRule="auto"/>
        <w:ind w:left="259"/>
        <w:jc w:val="left"/>
      </w:pPr>
      <w:r>
        <w:rPr>
          <w:rFonts w:ascii="Arial" w:hAnsi="Arial"/>
          <w:color w:val="525252"/>
          <w:sz w:val="13"/>
        </w:rPr>
        <w:t>Fleece Jacket may be worn indoors or outdoors but will not be worn while onboard the aircraft with engines running while occupying a primary crew position.</w:t>
      </w:r>
    </w:p>
    <w:p>
      <w:pPr>
        <w:spacing w:after="20" w:line="223" w:lineRule="auto"/>
        <w:jc w:val="right"/>
        <w:bidi/>
      </w:pPr>
      <w:r>
        <w:rPr>
          <w:rFonts w:ascii="Arial" w:hAnsi="Arial"/>
          <w:sz w:val="16"/>
        </w:rPr>
        <w:t>492.03  در واحدهای تعیین شده هواپیمای خلبان از راه دور، فرماندهان ممکن است پوشیدن ژاکت‌های پشمی را در پناهگاه‌های زمینی مجاز کنند.</w:t>
      </w:r>
    </w:p>
    <w:p>
      <w:pPr>
        <w:spacing w:after="28" w:line="216" w:lineRule="auto"/>
        <w:ind w:left="259"/>
        <w:jc w:val="left"/>
      </w:pPr>
      <w:r>
        <w:rPr>
          <w:rFonts w:ascii="Arial" w:hAnsi="Arial"/>
          <w:color w:val="525252"/>
          <w:sz w:val="13"/>
        </w:rPr>
        <w:t>At Remote Pilot Aircraft designated units, commanders may authorize the wear of the fleece jackets inside the ground shelters.</w:t>
      </w:r>
    </w:p>
    <w:p>
      <w:pPr>
        <w:spacing w:after="20" w:line="223" w:lineRule="auto"/>
        <w:jc w:val="right"/>
        <w:bidi/>
      </w:pPr>
      <w:r>
        <w:rPr>
          <w:rFonts w:ascii="Arial" w:hAnsi="Arial"/>
          <w:sz w:val="16"/>
        </w:rPr>
        <w:t>492.04  هوانوردان لباس بیرونی تجاری ساف-تو-فلی تجاری ساگ گرین (به‌عنوان مثال، ماسسیف یا سایر لباس‌های بیرونی سیستم هوانوردی هوای سرد (CWAS)) می‌توانند بدون محدودیت این اقلام را با FDU بپوشند.</w:t>
      </w:r>
    </w:p>
    <w:p>
      <w:pPr>
        <w:spacing w:after="28" w:line="216" w:lineRule="auto"/>
        <w:ind w:left="259"/>
        <w:jc w:val="left"/>
      </w:pPr>
      <w:r>
        <w:rPr>
          <w:rFonts w:ascii="Arial" w:hAnsi="Arial"/>
          <w:color w:val="525252"/>
          <w:sz w:val="13"/>
        </w:rPr>
        <w:t>Airmen issued Sage Green commercial Safe-to-Fly outerwear (e.g., Massif or other Cold Weather Aviation System (CWAS) outerwear) may wear these items with the FDU without restriction.</w:t>
      </w:r>
    </w:p>
    <w:p>
      <w:pPr>
        <w:spacing w:after="20" w:line="223" w:lineRule="auto"/>
        <w:jc w:val="right"/>
        <w:bidi/>
      </w:pPr>
      <w:r>
        <w:rPr>
          <w:rFonts w:ascii="Arial" w:hAnsi="Arial"/>
          <w:sz w:val="16"/>
        </w:rPr>
        <w:t>492.05  هواپیمایی که لباس بیرونی تجاری ایمن برای پرواز OCP صادر کرده است (مانند ماسسیف یا CWAS) می‌تواند این اقلام را بدون محدودیت با FDU یا DFDU ​​بپوشد.</w:t>
      </w:r>
    </w:p>
    <w:p>
      <w:pPr>
        <w:spacing w:after="28" w:line="216" w:lineRule="auto"/>
        <w:ind w:left="259"/>
        <w:jc w:val="left"/>
      </w:pPr>
      <w:r>
        <w:rPr>
          <w:rFonts w:ascii="Arial" w:hAnsi="Arial"/>
          <w:color w:val="525252"/>
          <w:sz w:val="13"/>
        </w:rPr>
        <w:t>Airmen issued OCP commercial Safe-to-Fly outerwear (e.g., Massif or CWAS) may wear these items with the FDU or DFDU without restriction.</w:t>
      </w:r>
    </w:p>
    <w:p>
      <w:pPr>
        <w:spacing w:after="20" w:line="223" w:lineRule="auto"/>
        <w:jc w:val="right"/>
        <w:bidi/>
      </w:pPr>
      <w:r>
        <w:rPr>
          <w:rFonts w:ascii="Arial" w:hAnsi="Arial"/>
          <w:sz w:val="16"/>
        </w:rPr>
        <w:t>492.06  کت را می‌توان بدون شلوار پوشید. با این حال، شلوار بدون ژاکت پوشیده نخواهد شد.</w:t>
      </w:r>
    </w:p>
    <w:p>
      <w:pPr>
        <w:spacing w:after="28" w:line="216" w:lineRule="auto"/>
        <w:ind w:left="259"/>
        <w:jc w:val="left"/>
      </w:pPr>
      <w:r>
        <w:rPr>
          <w:rFonts w:ascii="Arial" w:hAnsi="Arial"/>
          <w:color w:val="525252"/>
          <w:sz w:val="13"/>
        </w:rPr>
        <w:t>Jacket may be worn without the pants; however, the pants will not be worn without the jacket.</w:t>
      </w:r>
    </w:p>
    <w:p>
      <w:pPr>
        <w:spacing w:after="20" w:line="223" w:lineRule="auto"/>
        <w:jc w:val="right"/>
        <w:bidi/>
      </w:pPr>
      <w:r>
        <w:rPr>
          <w:rFonts w:ascii="Arial" w:hAnsi="Arial"/>
          <w:sz w:val="16"/>
        </w:rPr>
        <w:t>492.07  سرپوش.</w:t>
      </w:r>
    </w:p>
    <w:p>
      <w:pPr>
        <w:spacing w:after="28" w:line="216" w:lineRule="auto"/>
        <w:ind w:left="259"/>
        <w:jc w:val="left"/>
      </w:pPr>
      <w:r>
        <w:rPr>
          <w:rFonts w:ascii="Arial" w:hAnsi="Arial"/>
          <w:color w:val="525252"/>
          <w:sz w:val="13"/>
        </w:rPr>
        <w:t>Headgear.</w:t>
      </w:r>
    </w:p>
    <w:p>
      <w:pPr>
        <w:spacing w:after="20" w:line="223" w:lineRule="auto"/>
        <w:jc w:val="right"/>
        <w:bidi/>
      </w:pPr>
      <w:r>
        <w:rPr>
          <w:rFonts w:ascii="Arial" w:hAnsi="Arial"/>
          <w:sz w:val="16"/>
        </w:rPr>
        <w:t>492.08  کلاه پرواز، درپوش گشت OCP یا کلاه تاکتیکی را می‌توان با FDU همانطور که در این بخش و DAFI ۳۶-۲۹۰۳، پاراگراف‌های ۵.۱.۱۰ و ۷.۲.۴ توضیح داده شده، بدون توجه به پیکربندی وصله استفاده کرد.</w:t>
      </w:r>
    </w:p>
    <w:p>
      <w:pPr>
        <w:spacing w:after="28" w:line="216" w:lineRule="auto"/>
        <w:ind w:left="259"/>
        <w:jc w:val="left"/>
      </w:pPr>
      <w:r>
        <w:rPr>
          <w:rFonts w:ascii="Arial" w:hAnsi="Arial"/>
          <w:color w:val="525252"/>
          <w:sz w:val="13"/>
        </w:rPr>
        <w:t>The flight cap, OCP patrol cap or tactical cap may be worn with the FDU as described in this section and DAFI 36-2903, paragraphs 5.1.10 and 7.2.4 regardless of patch configuration.</w:t>
      </w:r>
    </w:p>
    <w:p>
      <w:pPr>
        <w:spacing w:after="20" w:line="223" w:lineRule="auto"/>
        <w:jc w:val="right"/>
        <w:bidi/>
      </w:pPr>
      <w:r>
        <w:rPr>
          <w:rFonts w:ascii="Arial" w:hAnsi="Arial"/>
          <w:sz w:val="16"/>
        </w:rPr>
        <w:t>492.09  کلاه قابل اجرا ممکن است در جیب پایین پای چپ یا راست یا جیب بالای پای راست در پیکربندی زیپ یا باز شده قرار گیرد.</w:t>
      </w:r>
    </w:p>
    <w:p>
      <w:pPr>
        <w:spacing w:after="28" w:line="216" w:lineRule="auto"/>
        <w:ind w:left="259"/>
        <w:jc w:val="left"/>
      </w:pPr>
      <w:r>
        <w:rPr>
          <w:rFonts w:ascii="Arial" w:hAnsi="Arial"/>
          <w:color w:val="525252"/>
          <w:sz w:val="13"/>
        </w:rPr>
        <w:t>Applicable cap may be stowed in the left or right lower leg pockets or right upper leg pocket in a zipped or unzipped configuration.</w:t>
      </w:r>
    </w:p>
    <w:p>
      <w:pPr>
        <w:spacing w:after="20" w:line="223" w:lineRule="auto"/>
        <w:jc w:val="right"/>
        <w:bidi/>
      </w:pPr>
      <w:r>
        <w:rPr>
          <w:rFonts w:ascii="Arial" w:hAnsi="Arial"/>
          <w:sz w:val="16"/>
        </w:rPr>
        <w:t>492.10  ممکن است قسمت کوچکی از کلاهک وقتی در جیب است در معرض دید قرار گیرد.</w:t>
      </w:r>
    </w:p>
    <w:p>
      <w:pPr>
        <w:spacing w:after="28" w:line="216" w:lineRule="auto"/>
        <w:ind w:left="259"/>
        <w:jc w:val="left"/>
      </w:pPr>
      <w:r>
        <w:rPr>
          <w:rFonts w:ascii="Arial" w:hAnsi="Arial"/>
          <w:color w:val="525252"/>
          <w:sz w:val="13"/>
        </w:rPr>
        <w:t>A small portion of the cap may be exposed when in the pocket.</w:t>
      </w:r>
    </w:p>
    <w:p>
      <w:pPr>
        <w:spacing w:after="20" w:line="223" w:lineRule="auto"/>
        <w:jc w:val="right"/>
        <w:bidi/>
      </w:pPr>
      <w:r>
        <w:rPr>
          <w:rFonts w:ascii="Arial" w:hAnsi="Arial"/>
          <w:sz w:val="16"/>
        </w:rPr>
        <w:t>492.11  با این حال، وقتی درپوش برداشته می‌شود، جیب باید زیپ شود.</w:t>
      </w:r>
    </w:p>
    <w:p>
      <w:pPr>
        <w:spacing w:after="28" w:line="216" w:lineRule="auto"/>
        <w:ind w:left="259"/>
        <w:jc w:val="left"/>
      </w:pPr>
      <w:r>
        <w:rPr>
          <w:rFonts w:ascii="Arial" w:hAnsi="Arial"/>
          <w:color w:val="525252"/>
          <w:sz w:val="13"/>
        </w:rPr>
        <w:t>However, when the cap is removed the pocket must be zipped.</w:t>
      </w:r>
    </w:p>
    <w:p>
      <w:pPr>
        <w:spacing w:after="20" w:line="223" w:lineRule="auto"/>
        <w:jc w:val="right"/>
        <w:bidi/>
      </w:pPr>
      <w:r>
        <w:rPr>
          <w:rFonts w:ascii="Arial" w:hAnsi="Arial"/>
          <w:sz w:val="16"/>
        </w:rPr>
        <w:t>492.12  کلاه گشت OCP یا کلاه OCP تاکتیکی با DFDU ​​پوشیده خواهد شد.</w:t>
      </w:r>
    </w:p>
    <w:p>
      <w:pPr>
        <w:spacing w:after="28" w:line="216" w:lineRule="auto"/>
        <w:ind w:left="259"/>
        <w:jc w:val="left"/>
      </w:pPr>
      <w:r>
        <w:rPr>
          <w:rFonts w:ascii="Arial" w:hAnsi="Arial"/>
          <w:color w:val="525252"/>
          <w:sz w:val="13"/>
        </w:rPr>
        <w:t>The OCP patrol cap or tactical OCP cap will be worn with the DFDU.</w:t>
      </w:r>
    </w:p>
    <w:p>
      <w:pPr>
        <w:spacing w:after="20" w:line="223" w:lineRule="auto"/>
        <w:jc w:val="right"/>
        <w:bidi/>
      </w:pPr>
      <w:r>
        <w:rPr>
          <w:rFonts w:ascii="Arial" w:hAnsi="Arial"/>
          <w:sz w:val="16"/>
        </w:rPr>
        <w:t>492.13  نیروهای هوایی مستقر، یا نیروهای هوایی که توسط MAJCOM مجاز است، ممکن است از OCP بونی استفاده کنند.</w:t>
      </w:r>
    </w:p>
    <w:p>
      <w:pPr>
        <w:spacing w:after="28" w:line="216" w:lineRule="auto"/>
        <w:ind w:left="259"/>
        <w:jc w:val="left"/>
      </w:pPr>
      <w:r>
        <w:rPr>
          <w:rFonts w:ascii="Arial" w:hAnsi="Arial"/>
          <w:color w:val="525252"/>
          <w:sz w:val="13"/>
        </w:rPr>
        <w:t>Deployed Airmen, or Airmen as authorized by MAJCOM, may wear the OCP boonie.</w:t>
      </w:r>
    </w:p>
    <w:p>
      <w:pPr>
        <w:spacing w:after="20" w:line="223" w:lineRule="auto"/>
        <w:jc w:val="right"/>
        <w:bidi/>
      </w:pPr>
      <w:r>
        <w:rPr>
          <w:rFonts w:ascii="Arial" w:hAnsi="Arial"/>
          <w:sz w:val="16"/>
        </w:rPr>
        <w:t>492.14  کلاه .</w:t>
      </w:r>
    </w:p>
    <w:p>
      <w:pPr>
        <w:spacing w:after="28" w:line="216" w:lineRule="auto"/>
        <w:ind w:left="259"/>
        <w:jc w:val="left"/>
      </w:pPr>
      <w:r>
        <w:rPr>
          <w:rFonts w:ascii="Arial" w:hAnsi="Arial"/>
          <w:color w:val="525252"/>
          <w:sz w:val="13"/>
        </w:rPr>
        <w:t>Berets.</w:t>
      </w:r>
    </w:p>
    <w:p>
      <w:pPr>
        <w:spacing w:after="20" w:line="223" w:lineRule="auto"/>
        <w:jc w:val="right"/>
        <w:bidi/>
      </w:pPr>
      <w:r>
        <w:rPr>
          <w:rFonts w:ascii="Arial" w:hAnsi="Arial"/>
          <w:sz w:val="16"/>
        </w:rPr>
        <w:t>492.15  افراد مجاز به پوشیدن کلاه در این بخش و DAFI ۳۶-۲۹۰۳، پاراگراف‌های ۱۰.۳.۱، ۱۰.۷.۲ تا ۱۰.۷.۲.۳.۶ می‌توانند کلاه‌های خود را با FDU/DFDU IAW DAFI ۳۶- ۲۹۰۲.۵ پاراگراف بپوشند.</w:t>
      </w:r>
    </w:p>
    <w:p>
      <w:pPr>
        <w:spacing w:after="28" w:line="216" w:lineRule="auto"/>
        <w:ind w:left="259"/>
        <w:jc w:val="left"/>
      </w:pPr>
      <w:r>
        <w:rPr>
          <w:rFonts w:ascii="Arial" w:hAnsi="Arial"/>
          <w:color w:val="525252"/>
          <w:sz w:val="13"/>
        </w:rPr>
        <w:t>Individuals authorized to wear berets in this section and DAFI 36-2903, paragraphs 10.3.1, 10.7.2 through 10.7.2.3.6 may wear their berets with the FDU/DFDU IAW DAFI 36- 2903, paragraph 7.2.5.</w:t>
      </w:r>
    </w:p>
    <w:p>
      <w:pPr>
        <w:spacing w:after="20" w:line="223" w:lineRule="auto"/>
        <w:jc w:val="right"/>
        <w:bidi/>
      </w:pPr>
      <w:r>
        <w:rPr>
          <w:rFonts w:ascii="Arial" w:hAnsi="Arial"/>
          <w:sz w:val="16"/>
        </w:rPr>
        <w:t>492.16  سرپوش ساعت.</w:t>
      </w:r>
    </w:p>
    <w:p>
      <w:pPr>
        <w:spacing w:after="28" w:line="216" w:lineRule="auto"/>
        <w:ind w:left="259"/>
        <w:jc w:val="left"/>
      </w:pPr>
      <w:r>
        <w:rPr>
          <w:rFonts w:ascii="Arial" w:hAnsi="Arial"/>
          <w:color w:val="525252"/>
          <w:sz w:val="13"/>
        </w:rPr>
        <w:t>Watch Cap.</w:t>
      </w:r>
    </w:p>
    <w:p>
      <w:pPr>
        <w:spacing w:after="20" w:line="223" w:lineRule="auto"/>
        <w:jc w:val="right"/>
        <w:bidi/>
      </w:pPr>
      <w:r>
        <w:rPr>
          <w:rFonts w:ascii="Arial" w:hAnsi="Arial"/>
          <w:sz w:val="16"/>
        </w:rPr>
        <w:t>492.17  مجاز برای پوشیدن توسط پرسنل خدمه هواپیما فقط در معرض قرار گرفتن طولانی مدت در معرض آب و هوای نامناسب.</w:t>
      </w:r>
    </w:p>
    <w:p>
      <w:pPr>
        <w:spacing w:after="28" w:line="216" w:lineRule="auto"/>
        <w:ind w:left="259"/>
        <w:jc w:val="left"/>
      </w:pPr>
      <w:r>
        <w:rPr>
          <w:rFonts w:ascii="Arial" w:hAnsi="Arial"/>
          <w:color w:val="525252"/>
          <w:sz w:val="13"/>
        </w:rPr>
        <w:t>Authorized for wear by aircrew personnel subject to prolonged exposure to adverse weather only.</w:t>
      </w:r>
    </w:p>
    <w:p>
      <w:pPr>
        <w:spacing w:after="20" w:line="223" w:lineRule="auto"/>
        <w:jc w:val="right"/>
        <w:bidi/>
      </w:pPr>
      <w:r>
        <w:rPr>
          <w:rFonts w:ascii="Arial" w:hAnsi="Arial"/>
          <w:sz w:val="16"/>
        </w:rPr>
        <w:t>492.18  رنگ به مشکی یکدست، آبی تیره یا سبز مریمی محدود می‌شود.</w:t>
      </w:r>
    </w:p>
    <w:p>
      <w:pPr>
        <w:spacing w:after="28" w:line="216" w:lineRule="auto"/>
        <w:ind w:left="259"/>
        <w:jc w:val="left"/>
      </w:pPr>
      <w:r>
        <w:rPr>
          <w:rFonts w:ascii="Arial" w:hAnsi="Arial"/>
          <w:color w:val="525252"/>
          <w:sz w:val="13"/>
        </w:rPr>
        <w:t>Color is restricted to solid black, dark blue, or sage green.</w:t>
      </w:r>
    </w:p>
    <w:p>
      <w:pPr>
        <w:spacing w:after="20" w:line="223" w:lineRule="auto"/>
        <w:jc w:val="right"/>
        <w:bidi/>
      </w:pPr>
      <w:r>
        <w:rPr>
          <w:rFonts w:ascii="Arial" w:hAnsi="Arial"/>
          <w:sz w:val="16"/>
        </w:rPr>
        <w:t>492.19  سرپوش سازمانی.</w:t>
      </w:r>
    </w:p>
    <w:p>
      <w:pPr>
        <w:spacing w:after="28" w:line="216" w:lineRule="auto"/>
        <w:ind w:left="259"/>
        <w:jc w:val="left"/>
      </w:pPr>
      <w:r>
        <w:rPr>
          <w:rFonts w:ascii="Arial" w:hAnsi="Arial"/>
          <w:color w:val="525252"/>
          <w:sz w:val="13"/>
        </w:rPr>
        <w:t>Organizational Caps.</w:t>
      </w:r>
    </w:p>
    <w:p>
      <w:pPr>
        <w:spacing w:after="20" w:line="223" w:lineRule="auto"/>
        <w:jc w:val="right"/>
        <w:bidi/>
      </w:pPr>
      <w:r>
        <w:rPr>
          <w:rFonts w:ascii="Arial" w:hAnsi="Arial"/>
          <w:sz w:val="16"/>
        </w:rPr>
        <w:t>492.20  کلاه‌های سازمانی (به‌عنوان مثال، سبک بیسبال) برای پوشیدن با FDU/DFDU مجاز نیستند.</w:t>
      </w:r>
    </w:p>
    <w:p>
      <w:pPr>
        <w:spacing w:after="28" w:line="216" w:lineRule="auto"/>
        <w:ind w:left="259"/>
        <w:jc w:val="left"/>
      </w:pPr>
      <w:r>
        <w:rPr>
          <w:rFonts w:ascii="Arial" w:hAnsi="Arial"/>
          <w:color w:val="525252"/>
          <w:sz w:val="13"/>
        </w:rPr>
        <w:t>Organizational caps (i.e., Baseball style) are not authorized for wear with the FDU/DFDU.</w:t>
      </w:r>
    </w:p>
    <w:p>
      <w:pPr>
        <w:spacing w:after="20" w:line="223" w:lineRule="auto"/>
        <w:jc w:val="right"/>
        <w:bidi/>
      </w:pPr>
      <w:r>
        <w:rPr>
          <w:rFonts w:ascii="Arial" w:hAnsi="Arial"/>
          <w:sz w:val="16"/>
        </w:rPr>
        <w:t>492.21  استثنا: در صورت تأیید MAJCOM/CC، تیم‌های نمایش هوایی و تیم‌های رقابتی ممکن است در هنگام نمایش و مسابقات از کلاه‌های سازمانی استفاده کنند.</w:t>
      </w:r>
    </w:p>
    <w:p>
      <w:pPr>
        <w:spacing w:after="28" w:line="216" w:lineRule="auto"/>
        <w:ind w:left="259"/>
        <w:jc w:val="left"/>
      </w:pPr>
      <w:r>
        <w:rPr>
          <w:rFonts w:ascii="Arial" w:hAnsi="Arial"/>
          <w:color w:val="525252"/>
          <w:sz w:val="13"/>
        </w:rPr>
        <w:t>Exception: When approved by MAJCOM/CC, aerial demonstration teams, and competitive teams may wear organizational caps while engaged in demonstration and competitions see DAFI 36-2903, paragraph 7.2.8 for wear guidance.</w:t>
      </w:r>
    </w:p>
    <w:p>
      <w:pPr>
        <w:spacing w:after="20" w:line="223" w:lineRule="auto"/>
        <w:jc w:val="right"/>
        <w:bidi/>
      </w:pPr>
      <w:r>
        <w:rPr>
          <w:rFonts w:ascii="Arial" w:hAnsi="Arial"/>
          <w:sz w:val="16"/>
        </w:rPr>
        <w:t>492.22  زیرپوش.</w:t>
      </w:r>
    </w:p>
    <w:p>
      <w:pPr>
        <w:spacing w:after="28" w:line="216" w:lineRule="auto"/>
        <w:ind w:left="259"/>
        <w:jc w:val="left"/>
      </w:pPr>
      <w:r>
        <w:rPr>
          <w:rFonts w:ascii="Arial" w:hAnsi="Arial"/>
          <w:color w:val="525252"/>
          <w:sz w:val="13"/>
        </w:rPr>
        <w:t>Undergarments.</w:t>
      </w:r>
    </w:p>
    <w:p>
      <w:pPr>
        <w:spacing w:after="20" w:line="223" w:lineRule="auto"/>
        <w:jc w:val="right"/>
        <w:bidi/>
      </w:pPr>
      <w:r>
        <w:rPr>
          <w:rFonts w:ascii="Arial" w:hAnsi="Arial"/>
          <w:sz w:val="16"/>
        </w:rPr>
        <w:t>492.23  لباس زیر با FDU و DFDU ​​الزامی است.</w:t>
      </w:r>
    </w:p>
    <w:p>
      <w:pPr>
        <w:spacing w:after="28" w:line="216" w:lineRule="auto"/>
        <w:ind w:left="259"/>
        <w:jc w:val="left"/>
      </w:pPr>
      <w:r>
        <w:rPr>
          <w:rFonts w:ascii="Arial" w:hAnsi="Arial"/>
          <w:color w:val="525252"/>
          <w:sz w:val="13"/>
        </w:rPr>
        <w:t>Undergarments are required with the FDU and DFDU.</w:t>
      </w:r>
    </w:p>
    <w:p>
      <w:pPr>
        <w:spacing w:after="20" w:line="223" w:lineRule="auto"/>
        <w:jc w:val="right"/>
        <w:bidi/>
      </w:pPr>
      <w:r>
        <w:rPr>
          <w:rFonts w:ascii="Arial" w:hAnsi="Arial"/>
          <w:sz w:val="16"/>
        </w:rPr>
        <w:t>492.24  در طول عملیات پرواز، همه لباس‌های زیر، از جمله لباس‌های زیر در هوای سرد، باید از جنس پنبه یا مواد مقاوم در برابر آتش باشند و باید در لیست پروازی امن باشند.</w:t>
      </w:r>
    </w:p>
    <w:p>
      <w:pPr>
        <w:spacing w:after="28" w:line="216" w:lineRule="auto"/>
        <w:ind w:left="259"/>
        <w:jc w:val="left"/>
      </w:pPr>
      <w:r>
        <w:rPr>
          <w:rFonts w:ascii="Arial" w:hAnsi="Arial"/>
          <w:color w:val="525252"/>
          <w:sz w:val="13"/>
        </w:rPr>
        <w:t>During flight operations all undergarments, to include cold weather undergarments, must be cotton or fire- retardant material and must be on the safe to fly list.</w:t>
      </w:r>
    </w:p>
    <w:p>
      <w:pPr>
        <w:spacing w:after="20" w:line="223" w:lineRule="auto"/>
        <w:jc w:val="right"/>
        <w:bidi/>
      </w:pPr>
      <w:r>
        <w:rPr>
          <w:rFonts w:ascii="Arial" w:hAnsi="Arial"/>
          <w:sz w:val="16"/>
        </w:rPr>
        <w:t>492.25  زیرپیراهن‌ها کایوت براون (برنزه ۴۹۹) خواهند بود.</w:t>
      </w:r>
    </w:p>
    <w:p>
      <w:pPr>
        <w:spacing w:after="28" w:line="216" w:lineRule="auto"/>
        <w:ind w:left="259"/>
        <w:jc w:val="left"/>
      </w:pPr>
      <w:r>
        <w:rPr>
          <w:rFonts w:ascii="Arial" w:hAnsi="Arial"/>
          <w:color w:val="525252"/>
          <w:sz w:val="13"/>
        </w:rPr>
        <w:t>Undershirts will be Coyote Brown (Tan 499).</w:t>
      </w:r>
    </w:p>
    <w:p>
      <w:pPr>
        <w:spacing w:after="20" w:line="223" w:lineRule="auto"/>
        <w:jc w:val="right"/>
        <w:bidi/>
      </w:pPr>
      <w:r>
        <w:rPr>
          <w:rFonts w:ascii="Arial" w:hAnsi="Arial"/>
          <w:sz w:val="16"/>
        </w:rPr>
        <w:t>492.26  به‌علاوه، فرماندهان جناح یا اسکادران ممکن است اجازه دهند که روی لباس‌های اخلاقی نشان‌های سازمانی، همانطور که به‌طور رسمی و در حال حاضر تأیید شده است، به قطر بیش از ۵ اینچ، در پارچه یا صفحه ابریشمی نمایش داده شود.</w:t>
      </w:r>
    </w:p>
    <w:p>
      <w:pPr>
        <w:spacing w:after="28" w:line="216" w:lineRule="auto"/>
        <w:ind w:left="259"/>
        <w:jc w:val="left"/>
      </w:pPr>
      <w:r>
        <w:rPr>
          <w:rFonts w:ascii="Arial" w:hAnsi="Arial"/>
          <w:color w:val="525252"/>
          <w:sz w:val="13"/>
        </w:rPr>
        <w:t>Additionally, wing or squadron commanders may allow for display on morale undershirts organizational emblems, as officially and currently approved, not to exceed 5-inches in diameter, in cloth or silk screen.</w:t>
      </w:r>
    </w:p>
    <w:p>
      <w:pPr>
        <w:spacing w:after="20" w:line="223" w:lineRule="auto"/>
        <w:jc w:val="right"/>
        <w:bidi/>
      </w:pPr>
      <w:r>
        <w:rPr>
          <w:rFonts w:ascii="Arial" w:hAnsi="Arial"/>
          <w:sz w:val="16"/>
        </w:rPr>
        <w:t>492.27  در صورت نمایش، نشان‌های سازمانی در سمت چپ سینه زیرپیراهن‌های اخلاقی جمعه کایوت براون (تان ۴۹۹) پوشیده می‌شوند.</w:t>
      </w:r>
    </w:p>
    <w:p>
      <w:pPr>
        <w:spacing w:after="28" w:line="216" w:lineRule="auto"/>
        <w:ind w:left="259"/>
        <w:jc w:val="left"/>
      </w:pPr>
      <w:r>
        <w:rPr>
          <w:rFonts w:ascii="Arial" w:hAnsi="Arial"/>
          <w:color w:val="525252"/>
          <w:sz w:val="13"/>
        </w:rPr>
        <w:t>If displayed, organizational emblems will be worn on the left side of chest of the Coyote Brown (Tan 499) Friday morale undershirts.</w:t>
      </w:r>
    </w:p>
    <w:p>
      <w:pPr>
        <w:spacing w:after="20" w:line="223" w:lineRule="auto"/>
        <w:jc w:val="right"/>
        <w:bidi/>
      </w:pPr>
      <w:r>
        <w:rPr>
          <w:rFonts w:ascii="Arial" w:hAnsi="Arial"/>
          <w:sz w:val="16"/>
        </w:rPr>
        <w:t>492.28  زیرپیراهن‌های اخلاقی همچنین ممکن است نشان سازمانی را در پشت زیرپیراهن با قطر بزرگ‌تر نشان دهند که توسط فرماندهان مجاز است.</w:t>
      </w:r>
    </w:p>
    <w:p>
      <w:pPr>
        <w:spacing w:after="28" w:line="216" w:lineRule="auto"/>
        <w:ind w:left="259"/>
        <w:jc w:val="left"/>
      </w:pPr>
      <w:r>
        <w:rPr>
          <w:rFonts w:ascii="Arial" w:hAnsi="Arial"/>
          <w:color w:val="525252"/>
          <w:sz w:val="13"/>
        </w:rPr>
        <w:t>The morale undershirts may also display the organizational emblem on the back of the undershirt in a larger diameter as authorized by commanders.</w:t>
      </w:r>
    </w:p>
    <w:p>
      <w:pPr>
        <w:spacing w:after="20" w:line="223" w:lineRule="auto"/>
        <w:jc w:val="right"/>
        <w:bidi/>
      </w:pPr>
      <w:r>
        <w:rPr>
          <w:rFonts w:ascii="Arial" w:hAnsi="Arial"/>
          <w:sz w:val="16"/>
        </w:rPr>
        <w:t>492.29  لباس‌های زیر حرارتی (مانند یقه‌های یقه‌ای، یقه‌های یقه‌ای یا یقه‌های ساختگی) به رنگ‌های سفید، مشکی، کرم یا قهوه‌ای کایوت هستند و طبق شرایط آب و هوایی مجوز FDU/DFDU را دارند.</w:t>
      </w:r>
    </w:p>
    <w:p>
      <w:pPr>
        <w:spacing w:after="28" w:line="216" w:lineRule="auto"/>
        <w:ind w:left="259"/>
        <w:jc w:val="left"/>
      </w:pPr>
      <w:r>
        <w:rPr>
          <w:rFonts w:ascii="Arial" w:hAnsi="Arial"/>
          <w:color w:val="525252"/>
          <w:sz w:val="13"/>
        </w:rPr>
        <w:t>Thermal undergarments (i.e., dickies, turtlenecks, or mock necks) will be White, Black, Cream, or Coyote Brown-colored and are authorized with the FDU/DFDU as weather conditions warrant.</w:t>
      </w:r>
    </w:p>
    <w:p>
      <w:pPr>
        <w:spacing w:after="20" w:line="223" w:lineRule="auto"/>
        <w:jc w:val="right"/>
        <w:bidi/>
      </w:pPr>
      <w:r>
        <w:rPr>
          <w:rFonts w:ascii="Arial" w:hAnsi="Arial"/>
          <w:sz w:val="16"/>
        </w:rPr>
        <w:t>492.30  توجه: فقط مواردی که به‌عنوان ساف-تو-فلی تأیید شده‌اند در طول عملیات پرواز استفاده می‌شوند.</w:t>
      </w:r>
    </w:p>
    <w:p>
      <w:pPr>
        <w:spacing w:after="28" w:line="216" w:lineRule="auto"/>
        <w:ind w:left="259"/>
        <w:jc w:val="left"/>
      </w:pPr>
      <w:r>
        <w:rPr>
          <w:rFonts w:ascii="Arial" w:hAnsi="Arial"/>
          <w:color w:val="525252"/>
          <w:sz w:val="13"/>
        </w:rPr>
        <w:t>Note: Only items approved as Safe-to-Fly will be worn during flying operations.</w:t>
      </w:r>
    </w:p>
    <w:p>
      <w:pPr>
        <w:spacing w:after="20" w:line="223" w:lineRule="auto"/>
        <w:jc w:val="right"/>
        <w:bidi/>
      </w:pPr>
      <w:r>
        <w:rPr>
          <w:rFonts w:ascii="Arial" w:hAnsi="Arial"/>
          <w:sz w:val="16"/>
        </w:rPr>
        <w:t>492.31  جوراب.</w:t>
      </w:r>
    </w:p>
    <w:p>
      <w:pPr>
        <w:spacing w:after="28" w:line="216" w:lineRule="auto"/>
        <w:ind w:left="259"/>
        <w:jc w:val="left"/>
      </w:pPr>
      <w:r>
        <w:rPr>
          <w:rFonts w:ascii="Arial" w:hAnsi="Arial"/>
          <w:color w:val="525252"/>
          <w:sz w:val="13"/>
        </w:rPr>
        <w:t>Socks.</w:t>
      </w:r>
    </w:p>
    <w:p>
      <w:pPr>
        <w:spacing w:after="20" w:line="223" w:lineRule="auto"/>
        <w:jc w:val="right"/>
        <w:bidi/>
      </w:pPr>
      <w:r>
        <w:rPr>
          <w:rFonts w:ascii="Arial" w:hAnsi="Arial"/>
          <w:sz w:val="16"/>
        </w:rPr>
        <w:t>492.32  جوراب باید از پنبه یا پشم باشد.</w:t>
      </w:r>
    </w:p>
    <w:p>
      <w:pPr>
        <w:spacing w:after="28" w:line="216" w:lineRule="auto"/>
        <w:ind w:left="259"/>
        <w:jc w:val="left"/>
      </w:pPr>
      <w:r>
        <w:rPr>
          <w:rFonts w:ascii="Arial" w:hAnsi="Arial"/>
          <w:color w:val="525252"/>
          <w:sz w:val="13"/>
        </w:rPr>
        <w:t>Socks should be made of cotton or wool.</w:t>
      </w:r>
    </w:p>
    <w:p>
      <w:pPr>
        <w:spacing w:after="20" w:line="223" w:lineRule="auto"/>
        <w:jc w:val="right"/>
        <w:bidi/>
      </w:pPr>
      <w:r>
        <w:rPr>
          <w:rFonts w:ascii="Arial" w:hAnsi="Arial"/>
          <w:sz w:val="16"/>
        </w:rPr>
        <w:t>492.33  جوراب‌های قهوه‌ای کایوت یا سبز صادر شده توسط DLA با FDU پوشیده می‌شوند.</w:t>
      </w:r>
    </w:p>
    <w:p>
      <w:pPr>
        <w:spacing w:after="28" w:line="216" w:lineRule="auto"/>
        <w:ind w:left="259"/>
        <w:jc w:val="left"/>
      </w:pPr>
      <w:r>
        <w:rPr>
          <w:rFonts w:ascii="Arial" w:hAnsi="Arial"/>
          <w:color w:val="525252"/>
          <w:sz w:val="13"/>
        </w:rPr>
        <w:t>Coyote Brown, or DLA-issued Green socks will be worn with the FDU.</w:t>
      </w:r>
    </w:p>
    <w:p>
      <w:pPr>
        <w:spacing w:after="20" w:line="223" w:lineRule="auto"/>
        <w:jc w:val="right"/>
        <w:bidi/>
      </w:pPr>
      <w:r>
        <w:rPr>
          <w:rFonts w:ascii="Arial" w:hAnsi="Arial"/>
          <w:sz w:val="16"/>
        </w:rPr>
        <w:t>492.34  زیر جوراب‌های رنگی می‌توان جوراب‌های اضافی پوشید، مشروط بر اینکه ظاهر نشوند.</w:t>
      </w:r>
    </w:p>
    <w:p>
      <w:pPr>
        <w:spacing w:after="28" w:line="216" w:lineRule="auto"/>
        <w:ind w:left="259"/>
        <w:jc w:val="left"/>
      </w:pPr>
      <w:r>
        <w:rPr>
          <w:rFonts w:ascii="Arial" w:hAnsi="Arial"/>
          <w:color w:val="525252"/>
          <w:sz w:val="13"/>
        </w:rPr>
        <w:t>Additional socks may be worn underneath colored socks provided they are not showing.</w:t>
      </w:r>
    </w:p>
    <w:p>
      <w:pPr>
        <w:spacing w:after="20" w:line="223" w:lineRule="auto"/>
        <w:jc w:val="right"/>
        <w:bidi/>
      </w:pPr>
      <w:r>
        <w:rPr>
          <w:rFonts w:ascii="Arial" w:hAnsi="Arial"/>
          <w:sz w:val="16"/>
        </w:rPr>
        <w:t>492.35  کفش ( چکمه‌های پرواز مردانه و زنانه ).</w:t>
      </w:r>
    </w:p>
    <w:p>
      <w:pPr>
        <w:spacing w:after="28" w:line="216" w:lineRule="auto"/>
        <w:ind w:left="259"/>
        <w:jc w:val="left"/>
      </w:pPr>
      <w:r>
        <w:rPr>
          <w:rFonts w:ascii="Arial" w:hAnsi="Arial"/>
          <w:color w:val="525252"/>
          <w:sz w:val="13"/>
        </w:rPr>
        <w:t>Footwear (Male and Female Flight Boots).</w:t>
      </w:r>
    </w:p>
    <w:p>
      <w:pPr>
        <w:spacing w:after="20" w:line="223" w:lineRule="auto"/>
        <w:jc w:val="right"/>
        <w:bidi/>
      </w:pPr>
      <w:r>
        <w:rPr>
          <w:rFonts w:ascii="Arial" w:hAnsi="Arial"/>
          <w:sz w:val="16"/>
        </w:rPr>
        <w:t>492.36  چکمه‌های رزمی کویوت بروون با FDU و DFDU ​​پوشیده خواهند شد.</w:t>
      </w:r>
    </w:p>
    <w:p>
      <w:pPr>
        <w:spacing w:after="28" w:line="216" w:lineRule="auto"/>
        <w:ind w:left="259"/>
        <w:jc w:val="left"/>
      </w:pPr>
      <w:r>
        <w:rPr>
          <w:rFonts w:ascii="Arial" w:hAnsi="Arial"/>
          <w:color w:val="525252"/>
          <w:sz w:val="13"/>
        </w:rPr>
        <w:t>Coyote Brown combat boots will be worn with the FDU and DFDU.</w:t>
      </w:r>
    </w:p>
    <w:p>
      <w:pPr>
        <w:spacing w:after="20" w:line="223" w:lineRule="auto"/>
        <w:jc w:val="right"/>
        <w:bidi/>
      </w:pPr>
      <w:r>
        <w:rPr>
          <w:rFonts w:ascii="Arial" w:hAnsi="Arial"/>
          <w:sz w:val="16"/>
        </w:rPr>
        <w:t>492.37  درج‌های زیپ ممکن است پوشیده شده باشند. با این حال، آنها بدون طراحی خواهند بود.</w:t>
      </w:r>
    </w:p>
    <w:p>
      <w:pPr>
        <w:spacing w:after="28" w:line="216" w:lineRule="auto"/>
        <w:ind w:left="259"/>
        <w:jc w:val="left"/>
      </w:pPr>
      <w:r>
        <w:rPr>
          <w:rFonts w:ascii="Arial" w:hAnsi="Arial"/>
          <w:color w:val="525252"/>
          <w:sz w:val="13"/>
        </w:rPr>
        <w:t>Zipper inserts may be worn; however, they will be without design.</w:t>
      </w:r>
    </w:p>
    <w:p>
      <w:pPr>
        <w:spacing w:after="20" w:line="223" w:lineRule="auto"/>
        <w:jc w:val="right"/>
        <w:bidi/>
      </w:pPr>
      <w:r>
        <w:rPr>
          <w:rFonts w:ascii="Arial" w:hAnsi="Arial"/>
          <w:sz w:val="16"/>
        </w:rPr>
        <w:t>492.38  توجه: فقط مواردی که به‌عنوان ساف-تو-فلی تأیید شده‌اند در طول عملیات پرواز استفاده می‌شوند.</w:t>
      </w:r>
    </w:p>
    <w:p>
      <w:pPr>
        <w:spacing w:after="28" w:line="216" w:lineRule="auto"/>
        <w:ind w:left="259"/>
        <w:jc w:val="left"/>
      </w:pPr>
      <w:r>
        <w:rPr>
          <w:rFonts w:ascii="Arial" w:hAnsi="Arial"/>
          <w:color w:val="525252"/>
          <w:sz w:val="13"/>
        </w:rPr>
        <w:t>Note: Only items approved as Safe-to-Fly will be worn during flying operations.</w:t>
      </w:r>
    </w:p>
    <w:p>
      <w:pPr>
        <w:spacing w:after="20" w:line="223" w:lineRule="auto"/>
        <w:jc w:val="right"/>
        <w:bidi/>
      </w:pPr>
      <w:r>
        <w:rPr>
          <w:rFonts w:ascii="Arial" w:hAnsi="Arial"/>
          <w:sz w:val="16"/>
        </w:rPr>
        <w:t>492.39  دستکش.</w:t>
      </w:r>
    </w:p>
    <w:p>
      <w:pPr>
        <w:spacing w:after="28" w:line="216" w:lineRule="auto"/>
        <w:ind w:left="259"/>
        <w:jc w:val="left"/>
      </w:pPr>
      <w:r>
        <w:rPr>
          <w:rFonts w:ascii="Arial" w:hAnsi="Arial"/>
          <w:color w:val="525252"/>
          <w:sz w:val="13"/>
        </w:rPr>
        <w:t>Gloves.</w:t>
      </w:r>
    </w:p>
    <w:p>
      <w:pPr>
        <w:spacing w:after="20" w:line="223" w:lineRule="auto"/>
        <w:jc w:val="right"/>
        <w:bidi/>
      </w:pPr>
      <w:r>
        <w:rPr>
          <w:rFonts w:ascii="Arial" w:hAnsi="Arial"/>
          <w:sz w:val="16"/>
        </w:rPr>
        <w:t>492.40  پوشیدن دستکش داخل پادگان مطابق با DAFI ۳۶-۲۹۰۳، بند ۷.۳.۸.۱ است.</w:t>
      </w:r>
    </w:p>
    <w:p>
      <w:pPr>
        <w:spacing w:after="28" w:line="216" w:lineRule="auto"/>
        <w:ind w:left="259"/>
        <w:jc w:val="left"/>
      </w:pPr>
      <w:r>
        <w:rPr>
          <w:rFonts w:ascii="Arial" w:hAnsi="Arial"/>
          <w:color w:val="525252"/>
          <w:sz w:val="13"/>
        </w:rPr>
        <w:t>In-garrison glove wear is in accordance with DAFI 36-2903, paragraph 7.3.8.1.</w:t>
      </w:r>
    </w:p>
    <w:p>
      <w:pPr>
        <w:spacing w:after="20" w:line="223" w:lineRule="auto"/>
        <w:jc w:val="right"/>
        <w:bidi/>
      </w:pPr>
      <w:r>
        <w:rPr>
          <w:rFonts w:ascii="Arial" w:hAnsi="Arial"/>
          <w:sz w:val="16"/>
        </w:rPr>
        <w:t>492.41  دستکش‌ها را می‌توان با FDU/DFDU بدون لباس بیرونی پوشید.</w:t>
      </w:r>
    </w:p>
    <w:p>
      <w:pPr>
        <w:spacing w:after="28" w:line="216" w:lineRule="auto"/>
        <w:ind w:left="259"/>
        <w:jc w:val="left"/>
      </w:pPr>
      <w:r>
        <w:rPr>
          <w:rFonts w:ascii="Arial" w:hAnsi="Arial"/>
          <w:color w:val="525252"/>
          <w:sz w:val="13"/>
        </w:rPr>
        <w:t>Gloves may be worn with FDU/DFDU without outer garments.</w:t>
      </w:r>
    </w:p>
    <w:p>
      <w:pPr>
        <w:spacing w:after="20" w:line="223" w:lineRule="auto"/>
        <w:jc w:val="right"/>
        <w:bidi/>
      </w:pPr>
      <w:r>
        <w:rPr>
          <w:rFonts w:ascii="Arial" w:hAnsi="Arial"/>
          <w:sz w:val="16"/>
        </w:rPr>
        <w:t>492.42  راهنمای پوشیدن دستکش پرواز است</w:t>
      </w:r>
    </w:p>
    <w:p>
      <w:pPr>
        <w:spacing w:after="28" w:line="216" w:lineRule="auto"/>
        <w:ind w:left="259"/>
        <w:jc w:val="left"/>
      </w:pPr>
      <w:r>
        <w:rPr>
          <w:rFonts w:ascii="Arial" w:hAnsi="Arial"/>
          <w:color w:val="525252"/>
          <w:sz w:val="13"/>
        </w:rPr>
        <w:t>Guidance on the wear of flight gloves is</w:t>
      </w:r>
    </w:p>
    <w:p>
      <w:r>
        <w:br w:type="page"/>
      </w:r>
    </w:p>
    <w:p>
      <w:pPr>
        <w:spacing w:after="60"/>
        <w:jc w:val="right"/>
        <w:bidi/>
      </w:pPr>
      <w:r>
        <w:rPr>
          <w:rFonts w:ascii="Arial" w:hAnsi="Arial"/>
          <w:b/>
          <w:color w:val="1F4D78"/>
          <w:sz w:val="19"/>
        </w:rPr>
        <w:t>هفتهٔ 493  |  صفحهٔ منبع: 509</w:t>
      </w:r>
    </w:p>
    <w:p>
      <w:pPr>
        <w:spacing w:after="20" w:line="223" w:lineRule="auto"/>
        <w:jc w:val="right"/>
        <w:bidi/>
      </w:pPr>
      <w:r>
        <w:rPr>
          <w:rFonts w:ascii="Arial" w:hAnsi="Arial"/>
          <w:sz w:val="16"/>
        </w:rPr>
        <w:t>493.01  ارائه شده در AFMAN ۱۱-۲۰۲و۳، فلیگهت وپراتیونس.</w:t>
      </w:r>
    </w:p>
    <w:p>
      <w:pPr>
        <w:spacing w:after="28" w:line="216" w:lineRule="auto"/>
        <w:ind w:left="259"/>
        <w:jc w:val="left"/>
      </w:pPr>
      <w:r>
        <w:rPr>
          <w:rFonts w:ascii="Arial" w:hAnsi="Arial"/>
          <w:color w:val="525252"/>
          <w:sz w:val="13"/>
        </w:rPr>
        <w:t>provided in AFMAN 11-202V3, Flight Operations.</w:t>
      </w:r>
    </w:p>
    <w:p>
      <w:pPr>
        <w:spacing w:after="20" w:line="223" w:lineRule="auto"/>
        <w:jc w:val="right"/>
        <w:bidi/>
      </w:pPr>
      <w:r>
        <w:rPr>
          <w:rFonts w:ascii="Arial" w:hAnsi="Arial"/>
          <w:sz w:val="16"/>
        </w:rPr>
        <w:t>493.02  توجه: دستکش‌های پرواز یک کالای پوشیدنی کاربردی هستند و برای پوشیدن در خارج از ناحیه کاربردی مجاز نیستند.</w:t>
      </w:r>
    </w:p>
    <w:p>
      <w:pPr>
        <w:spacing w:after="28" w:line="216" w:lineRule="auto"/>
        <w:ind w:left="259"/>
        <w:jc w:val="left"/>
      </w:pPr>
      <w:r>
        <w:rPr>
          <w:rFonts w:ascii="Arial" w:hAnsi="Arial"/>
          <w:color w:val="525252"/>
          <w:sz w:val="13"/>
        </w:rPr>
        <w:t>Note: Flight gloves are a functional wear item and not authorized for wear beyond functional area.</w:t>
      </w:r>
    </w:p>
    <w:p>
      <w:pPr>
        <w:spacing w:after="20" w:line="223" w:lineRule="auto"/>
        <w:jc w:val="right"/>
        <w:bidi/>
      </w:pPr>
      <w:r>
        <w:rPr>
          <w:rFonts w:ascii="Arial" w:hAnsi="Arial"/>
          <w:sz w:val="16"/>
        </w:rPr>
        <w:t>493.03  تلفن همراه، پیجر و دستیار دیجیتال شخصی.</w:t>
      </w:r>
    </w:p>
    <w:p>
      <w:pPr>
        <w:spacing w:after="28" w:line="216" w:lineRule="auto"/>
        <w:ind w:left="259"/>
        <w:jc w:val="left"/>
      </w:pPr>
      <w:r>
        <w:rPr>
          <w:rFonts w:ascii="Arial" w:hAnsi="Arial"/>
          <w:color w:val="525252"/>
          <w:sz w:val="13"/>
        </w:rPr>
        <w:t>Cell phone, Pager, and Personal Digital Assistant.</w:t>
      </w:r>
    </w:p>
    <w:p>
      <w:pPr>
        <w:spacing w:after="20" w:line="223" w:lineRule="auto"/>
        <w:jc w:val="right"/>
        <w:bidi/>
      </w:pPr>
      <w:r>
        <w:rPr>
          <w:rFonts w:ascii="Arial" w:hAnsi="Arial"/>
          <w:sz w:val="16"/>
        </w:rPr>
        <w:t>493.04  این دستگاه‌ها IAW DAFI ۳۶-۲۹۰۳، پاراگراف‌های ۷.۳.۴، ۷.۳.۴.۱ و ۷.۳.۴.۲ پوشیده خواهند شد.</w:t>
      </w:r>
    </w:p>
    <w:p>
      <w:pPr>
        <w:spacing w:after="28" w:line="216" w:lineRule="auto"/>
        <w:ind w:left="259"/>
        <w:jc w:val="left"/>
      </w:pPr>
      <w:r>
        <w:rPr>
          <w:rFonts w:ascii="Arial" w:hAnsi="Arial"/>
          <w:color w:val="525252"/>
          <w:sz w:val="13"/>
        </w:rPr>
        <w:t>These devices will be worn IAW DAFI 36- 2903, paragraphs 7.3.4, 7.3.4.1, and 7.3.4.2.</w:t>
      </w:r>
    </w:p>
    <w:p>
      <w:pPr>
        <w:spacing w:after="20" w:line="223" w:lineRule="auto"/>
        <w:jc w:val="right"/>
        <w:bidi/>
      </w:pPr>
      <w:r>
        <w:rPr>
          <w:rFonts w:ascii="Arial" w:hAnsi="Arial"/>
          <w:sz w:val="16"/>
        </w:rPr>
        <w:t>493.05  دستگاه‌های الکترونیکی دستی.</w:t>
      </w:r>
    </w:p>
    <w:p>
      <w:pPr>
        <w:spacing w:after="28" w:line="216" w:lineRule="auto"/>
        <w:ind w:left="259"/>
        <w:jc w:val="left"/>
      </w:pPr>
      <w:r>
        <w:rPr>
          <w:rFonts w:ascii="Arial" w:hAnsi="Arial"/>
          <w:color w:val="525252"/>
          <w:sz w:val="13"/>
        </w:rPr>
        <w:t>Handheld Electronic Devices.</w:t>
      </w:r>
    </w:p>
    <w:p>
      <w:pPr>
        <w:spacing w:after="20" w:line="223" w:lineRule="auto"/>
        <w:jc w:val="right"/>
        <w:bidi/>
      </w:pPr>
      <w:r>
        <w:rPr>
          <w:rFonts w:ascii="Arial" w:hAnsi="Arial"/>
          <w:sz w:val="16"/>
        </w:rPr>
        <w:t>493.06  ۲۳.۱۹. یونیفرم دو تکه وظیفه پرواز (۲PFDU). خدمه هواپیما مجاز به استفاده از ۲PFDU هستند</w:t>
      </w:r>
    </w:p>
    <w:p>
      <w:pPr>
        <w:spacing w:after="28" w:line="216" w:lineRule="auto"/>
        <w:ind w:left="259"/>
        <w:jc w:val="left"/>
      </w:pPr>
      <w:r>
        <w:rPr>
          <w:rFonts w:ascii="Arial" w:hAnsi="Arial"/>
          <w:color w:val="525252"/>
          <w:sz w:val="13"/>
        </w:rPr>
        <w:t>23.19. Two Piece Flight Duty Uniform (2PFDU). Aircrew are authorized wear of the 2PFDU for</w:t>
      </w:r>
    </w:p>
    <w:p>
      <w:pPr>
        <w:spacing w:after="20" w:line="223" w:lineRule="auto"/>
        <w:jc w:val="right"/>
        <w:bidi/>
      </w:pPr>
      <w:r>
        <w:rPr>
          <w:rFonts w:ascii="Arial" w:hAnsi="Arial"/>
          <w:sz w:val="16"/>
        </w:rPr>
        <w:t>493.07  وظایف زمینی و پروازی.</w:t>
      </w:r>
    </w:p>
    <w:p>
      <w:pPr>
        <w:spacing w:after="28" w:line="216" w:lineRule="auto"/>
        <w:ind w:left="259"/>
        <w:jc w:val="left"/>
      </w:pPr>
      <w:r>
        <w:rPr>
          <w:rFonts w:ascii="Arial" w:hAnsi="Arial"/>
          <w:color w:val="525252"/>
          <w:sz w:val="13"/>
        </w:rPr>
        <w:t>ground and flight duties.</w:t>
      </w:r>
    </w:p>
    <w:p>
      <w:pPr>
        <w:spacing w:after="20" w:line="223" w:lineRule="auto"/>
        <w:jc w:val="right"/>
        <w:bidi/>
      </w:pPr>
      <w:r>
        <w:rPr>
          <w:rFonts w:ascii="Arial" w:hAnsi="Arial"/>
          <w:sz w:val="16"/>
        </w:rPr>
        <w:t>493.08  برای پرواز، استفاده از ۲PFDU برای MDS های خاص IAW ت.و مجاز است. ۱۴- ۱-۱ و IAW ۱۴پ۳-۱-۱۱۲ و DAFI ۳۶-۲۹۰۳ استفاده می‌شود.</w:t>
      </w:r>
    </w:p>
    <w:p>
      <w:pPr>
        <w:spacing w:after="28" w:line="216" w:lineRule="auto"/>
        <w:ind w:left="259"/>
        <w:jc w:val="left"/>
      </w:pPr>
      <w:r>
        <w:rPr>
          <w:rFonts w:ascii="Arial" w:hAnsi="Arial"/>
          <w:color w:val="525252"/>
          <w:sz w:val="13"/>
        </w:rPr>
        <w:t>For flight, use of the 2PFDU is authorized for specific MDSs IAW T.O. 14- 1-1 and is used IAW 14P3-1-112 and DAFI 36-2903.</w:t>
      </w:r>
    </w:p>
    <w:p>
      <w:pPr>
        <w:spacing w:before="60" w:after="28"/>
        <w:jc w:val="right"/>
        <w:bidi/>
      </w:pPr>
      <w:r>
        <w:rPr>
          <w:b/>
          <w:color w:val="1F4D78"/>
          <w:sz w:val="18"/>
        </w:rPr>
        <w:t>شکل 23.54. 2PFDU با Acouterments</w:t>
      </w:r>
    </w:p>
    <w:p>
      <w:pPr>
        <w:spacing w:after="20"/>
        <w:ind w:left="259"/>
        <w:jc w:val="left"/>
      </w:pPr>
      <w:r>
        <w:rPr>
          <w:color w:val="555555"/>
          <w:sz w:val="12"/>
        </w:rPr>
        <w:t>Figure 23.54. 2PFDU with Accouterments</w:t>
      </w:r>
    </w:p>
    <w:p>
      <w:pPr>
        <w:spacing w:after="20" w:line="223" w:lineRule="auto"/>
        <w:jc w:val="right"/>
        <w:bidi/>
      </w:pPr>
      <w:r>
        <w:rPr>
          <w:rFonts w:ascii="Arial" w:hAnsi="Arial"/>
          <w:sz w:val="16"/>
        </w:rPr>
        <w:t>493.10  ۲PFDU از کت و شلوار تشکیل شده است.</w:t>
      </w:r>
    </w:p>
    <w:p>
      <w:pPr>
        <w:spacing w:after="28" w:line="216" w:lineRule="auto"/>
        <w:ind w:left="259"/>
        <w:jc w:val="left"/>
      </w:pPr>
      <w:r>
        <w:rPr>
          <w:rFonts w:ascii="Arial" w:hAnsi="Arial"/>
          <w:color w:val="525252"/>
          <w:sz w:val="13"/>
        </w:rPr>
        <w:t>The 2PFDU consists of coat and trousers.</w:t>
      </w:r>
    </w:p>
    <w:p>
      <w:pPr>
        <w:spacing w:after="20" w:line="223" w:lineRule="auto"/>
        <w:jc w:val="right"/>
        <w:bidi/>
      </w:pPr>
      <w:r>
        <w:rPr>
          <w:rFonts w:ascii="Arial" w:hAnsi="Arial"/>
          <w:sz w:val="16"/>
        </w:rPr>
        <w:t>493.11  ۲PFDU لباس سازمانی در نظر گرفته می‌شود و الزامات کار عملکردی منحصر به فرد را برآورده می‌کند و شامل اقلام متمایز و کاربردی لباس است.</w:t>
      </w:r>
    </w:p>
    <w:p>
      <w:pPr>
        <w:spacing w:after="28" w:line="216" w:lineRule="auto"/>
        <w:ind w:left="259"/>
        <w:jc w:val="left"/>
      </w:pPr>
      <w:r>
        <w:rPr>
          <w:rFonts w:ascii="Arial" w:hAnsi="Arial"/>
          <w:color w:val="525252"/>
          <w:sz w:val="13"/>
        </w:rPr>
        <w:t>The 2PFDU is considered organizational clothing and meets unique functional work requirements and include both distinctive and functional clothing items.</w:t>
      </w:r>
    </w:p>
    <w:p>
      <w:pPr>
        <w:spacing w:after="20" w:line="223" w:lineRule="auto"/>
        <w:jc w:val="right"/>
        <w:bidi/>
      </w:pPr>
      <w:r>
        <w:rPr>
          <w:rFonts w:ascii="Arial" w:hAnsi="Arial"/>
          <w:sz w:val="16"/>
        </w:rPr>
        <w:t>493.12  ۲PFDU به‌عنوان جایگزین مستقیم هوانورد برای یونیفرم FDU و OCP در نظر گرفته شده است.</w:t>
      </w:r>
    </w:p>
    <w:p>
      <w:pPr>
        <w:spacing w:after="28" w:line="216" w:lineRule="auto"/>
        <w:ind w:left="259"/>
        <w:jc w:val="left"/>
      </w:pPr>
      <w:r>
        <w:rPr>
          <w:rFonts w:ascii="Arial" w:hAnsi="Arial"/>
          <w:color w:val="525252"/>
          <w:sz w:val="13"/>
        </w:rPr>
        <w:t>The 2PFDU is intended to be the aviator’s direct alternative to the FDU and OCP uniform.</w:t>
      </w:r>
    </w:p>
    <w:p>
      <w:pPr>
        <w:spacing w:after="20" w:line="223" w:lineRule="auto"/>
        <w:jc w:val="right"/>
        <w:bidi/>
      </w:pPr>
      <w:r>
        <w:rPr>
          <w:rFonts w:ascii="Arial" w:hAnsi="Arial"/>
          <w:sz w:val="16"/>
        </w:rPr>
        <w:t>493.13  ۲PFDU برای استفاده در وظایف زمینی و پروازی توسط افرادی که وظایف پرواز، چترباز، فضا و خدمه موشکی را انجام می‌دهند مجاز است: وظایف پروازی شامل آماده‌سازی، قبل از پرواز، در حین پرواز، پس از پرواز، عملیات‌های هیپوباریک و سایر وظایف مربوط به پرواز مرتبط با عملیات هواپیما است.</w:t>
      </w:r>
    </w:p>
    <w:p>
      <w:pPr>
        <w:spacing w:after="28" w:line="216" w:lineRule="auto"/>
        <w:ind w:left="259"/>
        <w:jc w:val="left"/>
      </w:pPr>
      <w:r>
        <w:rPr>
          <w:rFonts w:ascii="Arial" w:hAnsi="Arial"/>
          <w:color w:val="525252"/>
          <w:sz w:val="13"/>
        </w:rPr>
        <w:t>The 2PFDU is authorized for wear for ground and flight duties by individuals who perform flying, parachutist, space, and missile crew duties: flight duty includes preparation, preflight, in-flight, post-flight, hypobaric operations, and other flight related duties associated with aircraft operations.</w:t>
      </w:r>
    </w:p>
    <w:p>
      <w:pPr>
        <w:spacing w:after="20" w:line="223" w:lineRule="auto"/>
        <w:jc w:val="right"/>
        <w:bidi/>
      </w:pPr>
      <w:r>
        <w:rPr>
          <w:rFonts w:ascii="Arial" w:hAnsi="Arial"/>
          <w:sz w:val="16"/>
        </w:rPr>
        <w:t>493.14  برای استفاده توسط پرسنل دارای شناسه موقعیت خدمه هوایی (API) ۱ تا ۹ و ا تا گ (افسران رتبه‌بندی، هوانوردان شغلی ۱AXXX و ۱UXXX) مجاز است.</w:t>
      </w:r>
    </w:p>
    <w:p>
      <w:pPr>
        <w:spacing w:after="28" w:line="216" w:lineRule="auto"/>
        <w:ind w:left="259"/>
        <w:jc w:val="left"/>
      </w:pPr>
      <w:r>
        <w:rPr>
          <w:rFonts w:ascii="Arial" w:hAnsi="Arial"/>
          <w:color w:val="525252"/>
          <w:sz w:val="13"/>
        </w:rPr>
        <w:t>It is authorized for wear by personnel with an Aircrew Position Identifier (API) 1 thru 9 and A thru G (Rated Officers, Career Enlisted Aviators 1AXXX, and 1UXXX).</w:t>
      </w:r>
    </w:p>
    <w:p>
      <w:pPr>
        <w:spacing w:after="20" w:line="223" w:lineRule="auto"/>
        <w:jc w:val="right"/>
        <w:bidi/>
      </w:pPr>
      <w:r>
        <w:rPr>
          <w:rFonts w:ascii="Arial" w:hAnsi="Arial"/>
          <w:sz w:val="16"/>
        </w:rPr>
        <w:t>493.15  به‌علاوه، افسران دارای رتبه منصوب به یک شناسه موقعیت خدمه هوایی-۰ و هوانوردان درجه‌دار شغلی که به موقعیت‌های شناسه موقعیت خدمه هوایی اختصاص داده شده‌اند، یا پرسنلی که به‌عنوان پشتیبانی عملیات شناسایی شده‌اند/در حال حاضر به صورت غیرمداخله‌ای در حال انجام دستورات فعال هستند. وظایف خدمه هواپیما یا چترباز IAW DAFMAN ۱۱-۴۰۱، پیوست ۳، مجاز به استفاده از ۲PFDU هستند.</w:t>
      </w:r>
    </w:p>
    <w:p>
      <w:pPr>
        <w:spacing w:after="28" w:line="216" w:lineRule="auto"/>
        <w:ind w:left="259"/>
        <w:jc w:val="left"/>
      </w:pPr>
      <w:r>
        <w:rPr>
          <w:rFonts w:ascii="Arial" w:hAnsi="Arial"/>
          <w:color w:val="525252"/>
          <w:sz w:val="13"/>
        </w:rPr>
        <w:t>Additionally, Rated officers assigned to an Aircrew Position Identifier-0 and Career Enlisted Aviators assigned to Aircrew Position Identifier- Z positions that are on active aeronautical orders, or personnel identified as Operations Support/Non-interference flyers currently on active aeronautical orders authorized to perform in-flight aircrew or parachutist duties IAW DAFMAN 11-401, Attachment 3, are authorized wear of the 2PFDU.</w:t>
      </w:r>
    </w:p>
    <w:p>
      <w:pPr>
        <w:spacing w:after="20" w:line="223" w:lineRule="auto"/>
        <w:jc w:val="right"/>
        <w:bidi/>
      </w:pPr>
      <w:r>
        <w:rPr>
          <w:rFonts w:ascii="Arial" w:hAnsi="Arial"/>
          <w:sz w:val="16"/>
        </w:rPr>
        <w:t>493.16  در نهایت، راهنمایی در مورد مجوز پوشیدن ۲PFDU برای سایش توسط پرسنل در AFSCهای خدمه فضایی/موشکی: ۱۳ن، ۱۳SXA، ۱۳SXB، ۱۳SXC، ۱۳SXD، ۱۳SXE، و ۱ک۶XX؛ AFSC های هوانوردی بدون رتبه و غیر حرفه‌ای: ۱۳HX و ۱ه۰کس۱. و ارومدیکال واکواتیون کورپس افسکس: ۴۶ف و کس۴ن۰، فلیینگ کرو چیفس در DAFI ۲۱-۱۰۱، هواپیما و مدیریت نگهداری تجهیزات ارائه شده است.</w:t>
      </w:r>
    </w:p>
    <w:p>
      <w:pPr>
        <w:spacing w:after="28" w:line="216" w:lineRule="auto"/>
        <w:ind w:left="259"/>
        <w:jc w:val="left"/>
      </w:pPr>
      <w:r>
        <w:rPr>
          <w:rFonts w:ascii="Arial" w:hAnsi="Arial"/>
          <w:color w:val="525252"/>
          <w:sz w:val="13"/>
        </w:rPr>
        <w:t>Finally, guidance on the 2PFDU wear authorization for wear by personnel in Space/Missile Crew AFSCs: 13N, 13SXA, 13SXB, 13SXC, 13SXD, 13SXE, and 1C6XX; Non-rated and non-Career Enlisted Aviator AFSCs: 13HX and 1H0X1; and Aeromedical Evacuation Corps AFSCs: 46F and X4N0, Flying Crew Chiefs is provided in DAFI 21-101, Aircraft and Equipment Maintenance Management</w:t>
      </w:r>
    </w:p>
    <w:p>
      <w:r>
        <w:br w:type="page"/>
      </w:r>
    </w:p>
    <w:p>
      <w:pPr>
        <w:spacing w:after="60"/>
        <w:jc w:val="right"/>
        <w:bidi/>
      </w:pPr>
      <w:r>
        <w:rPr>
          <w:rFonts w:ascii="Arial" w:hAnsi="Arial"/>
          <w:b/>
          <w:color w:val="1F4D78"/>
          <w:sz w:val="19"/>
        </w:rPr>
        <w:t>هفتهٔ 494  |  صفحهٔ منبع: 510</w:t>
      </w:r>
    </w:p>
    <w:p>
      <w:pPr>
        <w:spacing w:after="20" w:line="223" w:lineRule="auto"/>
        <w:jc w:val="right"/>
        <w:bidi/>
      </w:pPr>
      <w:r>
        <w:rPr>
          <w:rFonts w:ascii="Arial" w:hAnsi="Arial"/>
          <w:sz w:val="16"/>
        </w:rPr>
        <w:t>494.01  و راونس نیروهای امنیتی ارائه شده در DAFI ۳۱-۱۰۱.</w:t>
      </w:r>
    </w:p>
    <w:p>
      <w:pPr>
        <w:spacing w:after="28" w:line="216" w:lineRule="auto"/>
        <w:ind w:left="259"/>
        <w:jc w:val="left"/>
      </w:pPr>
      <w:r>
        <w:rPr>
          <w:rFonts w:ascii="Arial" w:hAnsi="Arial"/>
          <w:color w:val="525252"/>
          <w:sz w:val="13"/>
        </w:rPr>
        <w:t>and Security Forces Ravens provided in DAFI 31-101.</w:t>
      </w:r>
    </w:p>
    <w:p>
      <w:pPr>
        <w:spacing w:after="20" w:line="223" w:lineRule="auto"/>
        <w:jc w:val="right"/>
        <w:bidi/>
      </w:pPr>
      <w:r>
        <w:rPr>
          <w:rFonts w:ascii="Arial" w:hAnsi="Arial"/>
          <w:sz w:val="16"/>
        </w:rPr>
        <w:t>494.02  هوانوردان لباس‌های خاص مجاز تحت استانداردهای مجاز، یونیفرم تجویز شده توسط فرمانده واحد محلی و توصیه شده برای نوع مأموریت انجام شده را خواهند پوشید.</w:t>
      </w:r>
    </w:p>
    <w:p>
      <w:pPr>
        <w:spacing w:after="28" w:line="216" w:lineRule="auto"/>
        <w:ind w:left="259"/>
        <w:jc w:val="left"/>
      </w:pPr>
      <w:r>
        <w:rPr>
          <w:rFonts w:ascii="Arial" w:hAnsi="Arial"/>
          <w:color w:val="525252"/>
          <w:sz w:val="13"/>
        </w:rPr>
        <w:t>Airmen authorized special articles of clothing under an allowance standard will wear the uniform prescribed by the local unit commander and recommended for the type of mission performed.</w:t>
      </w:r>
    </w:p>
    <w:p>
      <w:pPr>
        <w:spacing w:after="20" w:line="223" w:lineRule="auto"/>
        <w:jc w:val="right"/>
        <w:bidi/>
      </w:pPr>
      <w:r>
        <w:rPr>
          <w:rFonts w:ascii="Arial" w:hAnsi="Arial"/>
          <w:sz w:val="16"/>
        </w:rPr>
        <w:t>494.03  وظایف خدمه فضایی و موشکی توسط مکمل MAJCOM به DAFI ۳۶-۲۹۰۳ تعریف خواهد شد.</w:t>
      </w:r>
    </w:p>
    <w:p>
      <w:pPr>
        <w:spacing w:after="28" w:line="216" w:lineRule="auto"/>
        <w:ind w:left="259"/>
        <w:jc w:val="left"/>
      </w:pPr>
      <w:r>
        <w:rPr>
          <w:rFonts w:ascii="Arial" w:hAnsi="Arial"/>
          <w:color w:val="525252"/>
          <w:sz w:val="13"/>
        </w:rPr>
        <w:t>Space and missile crew duties will be defined by MAJCOM supplement to DAFI 36-2903.</w:t>
      </w:r>
    </w:p>
    <w:p>
      <w:pPr>
        <w:spacing w:after="20" w:line="223" w:lineRule="auto"/>
        <w:jc w:val="right"/>
        <w:bidi/>
      </w:pPr>
      <w:r>
        <w:rPr>
          <w:rFonts w:ascii="Arial" w:hAnsi="Arial"/>
          <w:sz w:val="16"/>
        </w:rPr>
        <w:t>494.04  پشتیبانی عملیات/بروشورهای بدون تداخل.</w:t>
      </w:r>
    </w:p>
    <w:p>
      <w:pPr>
        <w:spacing w:after="28" w:line="216" w:lineRule="auto"/>
        <w:ind w:left="259"/>
        <w:jc w:val="left"/>
      </w:pPr>
      <w:r>
        <w:rPr>
          <w:rFonts w:ascii="Arial" w:hAnsi="Arial"/>
          <w:color w:val="525252"/>
          <w:sz w:val="13"/>
        </w:rPr>
        <w:t>Operations Support/Non-interference flyers.</w:t>
      </w:r>
    </w:p>
    <w:p>
      <w:pPr>
        <w:spacing w:after="20" w:line="223" w:lineRule="auto"/>
        <w:jc w:val="right"/>
        <w:bidi/>
      </w:pPr>
      <w:r>
        <w:rPr>
          <w:rFonts w:ascii="Arial" w:hAnsi="Arial"/>
          <w:sz w:val="16"/>
        </w:rPr>
        <w:t>494.05  لباس‌های پروازی پوشیده شده توسط بروشورهای پشتیبانی عملیات/بدون تداخل فقط در روزهایی پوشیده می‌شوند که پرواز واقعی برنامه‌ریزی شده یا پیش بینی شده است.</w:t>
      </w:r>
    </w:p>
    <w:p>
      <w:pPr>
        <w:spacing w:after="28" w:line="216" w:lineRule="auto"/>
        <w:ind w:left="259"/>
        <w:jc w:val="left"/>
      </w:pPr>
      <w:r>
        <w:rPr>
          <w:rFonts w:ascii="Arial" w:hAnsi="Arial"/>
          <w:color w:val="525252"/>
          <w:sz w:val="13"/>
        </w:rPr>
        <w:t>Flight clothing worn by Operations Support/Non-interference flyers is only worn on days when actual flying is planned or anticipated.</w:t>
      </w:r>
    </w:p>
    <w:p>
      <w:pPr>
        <w:spacing w:after="20" w:line="223" w:lineRule="auto"/>
        <w:jc w:val="right"/>
        <w:bidi/>
      </w:pPr>
      <w:r>
        <w:rPr>
          <w:rFonts w:ascii="Arial" w:hAnsi="Arial"/>
          <w:sz w:val="16"/>
        </w:rPr>
        <w:t>494.06  پرسنلی که سفارشات هوانوردی فعال ندارند فقط در حین انجام وظایف مربوط به پرواز، فضایی و خدمه موشکی مجاز به استفاده از ۲PFDU هستند.</w:t>
      </w:r>
    </w:p>
    <w:p>
      <w:pPr>
        <w:spacing w:after="28" w:line="216" w:lineRule="auto"/>
        <w:ind w:left="259"/>
        <w:jc w:val="left"/>
      </w:pPr>
      <w:r>
        <w:rPr>
          <w:rFonts w:ascii="Arial" w:hAnsi="Arial"/>
          <w:color w:val="525252"/>
          <w:sz w:val="13"/>
        </w:rPr>
        <w:t>Personnel not on active aeronautical orders are restricted to wear the 2PFDU during flight- related, space and missile crew duties only.</w:t>
      </w:r>
    </w:p>
    <w:p>
      <w:pPr>
        <w:spacing w:after="20" w:line="223" w:lineRule="auto"/>
        <w:jc w:val="right"/>
        <w:bidi/>
      </w:pPr>
      <w:r>
        <w:rPr>
          <w:rFonts w:ascii="Arial" w:hAnsi="Arial"/>
          <w:sz w:val="16"/>
        </w:rPr>
        <w:t>494.07  پرسنلی که پیش‌تر ۲PFDU را صادر کرده‌اند ممکن است در حین انجام وظایف به پوشیدن خود ادامه دهند.</w:t>
      </w:r>
    </w:p>
    <w:p>
      <w:pPr>
        <w:spacing w:after="28" w:line="216" w:lineRule="auto"/>
        <w:ind w:left="259"/>
        <w:jc w:val="left"/>
      </w:pPr>
      <w:r>
        <w:rPr>
          <w:rFonts w:ascii="Arial" w:hAnsi="Arial"/>
          <w:color w:val="525252"/>
          <w:sz w:val="13"/>
        </w:rPr>
        <w:t>Personnel previously issued the 2PFDU may continue wear during performance of duties.</w:t>
      </w:r>
    </w:p>
    <w:p>
      <w:pPr>
        <w:spacing w:after="20" w:line="223" w:lineRule="auto"/>
        <w:jc w:val="right"/>
        <w:bidi/>
      </w:pPr>
      <w:r>
        <w:rPr>
          <w:rFonts w:ascii="Arial" w:hAnsi="Arial"/>
          <w:sz w:val="16"/>
        </w:rPr>
        <w:t>494.08  (استثناء: راهنمای سایش خدمه فضایی و موشکی ۲PFDU در مکمل‌های MAJCOM به DAFI ۳۶-۲۹۰۳ تشریح شده است.) ۲PFDU از طریق اجزای تجهیزات فردی یا معادل قرارداد صادر می‌شود و باید به‌عنوان گواهینامه کاملا منطبق با تمام مشخصات ساف باشد.</w:t>
      </w:r>
    </w:p>
    <w:p>
      <w:pPr>
        <w:spacing w:after="28" w:line="216" w:lineRule="auto"/>
        <w:ind w:left="259"/>
        <w:jc w:val="left"/>
      </w:pPr>
      <w:r>
        <w:rPr>
          <w:rFonts w:ascii="Arial" w:hAnsi="Arial"/>
          <w:color w:val="525252"/>
          <w:sz w:val="13"/>
        </w:rPr>
        <w:t>(Exception: Space and missile crew 2PFDU wear guidance will be outlined in MAJCOM supplements to DAFI 36-2903.) 2PFDUs will be issued through Individual Equipment Elements or contract equivalent and must be certified as fully compliant with all specifications to include Safe-to-Fly.</w:t>
      </w:r>
    </w:p>
    <w:p>
      <w:pPr>
        <w:spacing w:after="20" w:line="223" w:lineRule="auto"/>
        <w:jc w:val="right"/>
        <w:bidi/>
      </w:pPr>
      <w:r>
        <w:rPr>
          <w:rFonts w:ascii="Arial" w:hAnsi="Arial"/>
          <w:sz w:val="16"/>
        </w:rPr>
        <w:t>494.09  (توجه: سایر تأمین‌کنندگان برای خریدهای سازمانی/واحد، یا هرگونه مخارج بودجه اختصاص‌یافته، تنها زمانی که الزامات مأموریت ویژه وجود داشته باشد، در فهرست ساف-تو-فلی پاک شده و توسط فرمانده اسکادران یا مشابه آن تأیید شده است) تأیید می‌شوند.</w:t>
      </w:r>
    </w:p>
    <w:p>
      <w:pPr>
        <w:spacing w:after="28" w:line="216" w:lineRule="auto"/>
        <w:ind w:left="259"/>
        <w:jc w:val="left"/>
      </w:pPr>
      <w:r>
        <w:rPr>
          <w:rFonts w:ascii="Arial" w:hAnsi="Arial"/>
          <w:color w:val="525252"/>
          <w:sz w:val="13"/>
        </w:rPr>
        <w:t>(Note: Other suppliers are approved for organizational/unit purchases, or any appropriated funds expenditures, only when special mission requirements exist, are cleared on the Safe-to-Fly listing and approved by squadron commander or equivalent).</w:t>
      </w:r>
    </w:p>
    <w:p>
      <w:pPr>
        <w:spacing w:after="20" w:line="223" w:lineRule="auto"/>
        <w:jc w:val="right"/>
        <w:bidi/>
      </w:pPr>
      <w:r>
        <w:rPr>
          <w:rFonts w:ascii="Arial" w:hAnsi="Arial"/>
          <w:sz w:val="16"/>
        </w:rPr>
        <w:t>494.10  (مثال: ۲PFDU که دارای بالشتک‌های خارجی زانو یا آرنج برای محافظت از هوانوردان در مناطق مأموریتی منحصربه‌فرد هستند.) اگر یگان‌ها تصمیم بگیرند از بودجه برای خرید از عناصر غیرانفرادی تجهیزات استفاده کنند، در صورتی که یونیفرم کاملا مطابقت نداشته باشد، نیروی هوایی مسئولیتی ندارد و این موارد مستقیما در هنگام پرواز یا انجام پرواز مربوطه خواهد بود.</w:t>
      </w:r>
    </w:p>
    <w:p>
      <w:pPr>
        <w:spacing w:after="28" w:line="216" w:lineRule="auto"/>
        <w:ind w:left="259"/>
        <w:jc w:val="left"/>
      </w:pPr>
      <w:r>
        <w:rPr>
          <w:rFonts w:ascii="Arial" w:hAnsi="Arial"/>
          <w:color w:val="525252"/>
          <w:sz w:val="13"/>
        </w:rPr>
        <w:t>(Example: 2PFDUs that have accommodations for external knee or elbow pads to protect airmen in unique mission areas.) If units choose to use funds to purchase from non-Individual Equipment Elements, the Air Force is not responsible if the uniform is not fully compliant, and these items will only be worn when directly performing flight related duties.</w:t>
      </w:r>
    </w:p>
    <w:p>
      <w:pPr>
        <w:spacing w:after="20" w:line="223" w:lineRule="auto"/>
        <w:jc w:val="right"/>
        <w:bidi/>
      </w:pPr>
      <w:r>
        <w:rPr>
          <w:rFonts w:ascii="Arial" w:hAnsi="Arial"/>
          <w:sz w:val="16"/>
        </w:rPr>
        <w:t>494.11  پرسنل کارکنان.</w:t>
      </w:r>
    </w:p>
    <w:p>
      <w:pPr>
        <w:spacing w:after="28" w:line="216" w:lineRule="auto"/>
        <w:ind w:left="259"/>
        <w:jc w:val="left"/>
      </w:pPr>
      <w:r>
        <w:rPr>
          <w:rFonts w:ascii="Arial" w:hAnsi="Arial"/>
          <w:color w:val="525252"/>
          <w:sz w:val="13"/>
        </w:rPr>
        <w:t>Staff Personnel.</w:t>
      </w:r>
    </w:p>
    <w:p>
      <w:pPr>
        <w:spacing w:after="20" w:line="223" w:lineRule="auto"/>
        <w:jc w:val="right"/>
        <w:bidi/>
      </w:pPr>
      <w:r>
        <w:rPr>
          <w:rFonts w:ascii="Arial" w:hAnsi="Arial"/>
          <w:sz w:val="16"/>
        </w:rPr>
        <w:t>494.12  وجوه HAF/MAJCOM/NAF/DRU/FOA برای صدور یا جایگزینی لباس‌های کاربردی پرواز هزینه نمی‌شود.</w:t>
      </w:r>
    </w:p>
    <w:p>
      <w:pPr>
        <w:spacing w:after="28" w:line="216" w:lineRule="auto"/>
        <w:ind w:left="259"/>
        <w:jc w:val="left"/>
      </w:pPr>
      <w:r>
        <w:rPr>
          <w:rFonts w:ascii="Arial" w:hAnsi="Arial"/>
          <w:color w:val="525252"/>
          <w:sz w:val="13"/>
        </w:rPr>
        <w:t>HAF/MAJCOM/NAF/DRU/FOA funds will not be spent to issue or replace functional flight clothing.</w:t>
      </w:r>
    </w:p>
    <w:p>
      <w:pPr>
        <w:spacing w:after="20" w:line="223" w:lineRule="auto"/>
        <w:jc w:val="right"/>
        <w:bidi/>
      </w:pPr>
      <w:r>
        <w:rPr>
          <w:rFonts w:ascii="Arial" w:hAnsi="Arial"/>
          <w:sz w:val="16"/>
        </w:rPr>
        <w:t>494.13  پرسنلی که پیش‌تر ۲PFDU را صادر کرده‌اند، مجاز به استفاده در حین انجام وظایف کارکنان هستند.</w:t>
      </w:r>
    </w:p>
    <w:p>
      <w:pPr>
        <w:spacing w:after="28" w:line="216" w:lineRule="auto"/>
        <w:ind w:left="259"/>
        <w:jc w:val="left"/>
      </w:pPr>
      <w:r>
        <w:rPr>
          <w:rFonts w:ascii="Arial" w:hAnsi="Arial"/>
          <w:color w:val="525252"/>
          <w:sz w:val="13"/>
        </w:rPr>
        <w:t>Personnel previously issued the 2PFDU are authorized for wear during performance of staff duties.</w:t>
      </w:r>
    </w:p>
    <w:p>
      <w:pPr>
        <w:spacing w:after="20" w:line="223" w:lineRule="auto"/>
        <w:jc w:val="right"/>
        <w:bidi/>
      </w:pPr>
      <w:r>
        <w:rPr>
          <w:rFonts w:ascii="Arial" w:hAnsi="Arial"/>
          <w:sz w:val="16"/>
        </w:rPr>
        <w:t>494.14  استثنا: اعضای مجاز خدمه هوایی که به سمت کارکنان پرواز منصوب شده‌اند از این محدودیت مستثنی هستند.</w:t>
      </w:r>
    </w:p>
    <w:p>
      <w:pPr>
        <w:spacing w:after="28" w:line="216" w:lineRule="auto"/>
        <w:ind w:left="259"/>
        <w:jc w:val="left"/>
      </w:pPr>
      <w:r>
        <w:rPr>
          <w:rFonts w:ascii="Arial" w:hAnsi="Arial"/>
          <w:color w:val="525252"/>
          <w:sz w:val="13"/>
        </w:rPr>
        <w:t>Exception: Authorized aircrew members assigned to a flying staff position are exempt from this restriction.</w:t>
      </w:r>
    </w:p>
    <w:p>
      <w:pPr>
        <w:spacing w:after="20" w:line="223" w:lineRule="auto"/>
        <w:jc w:val="right"/>
        <w:bidi/>
      </w:pPr>
      <w:r>
        <w:rPr>
          <w:rFonts w:ascii="Arial" w:hAnsi="Arial"/>
          <w:sz w:val="16"/>
        </w:rPr>
        <w:t>494.15  راهنمای پوشیدن ۲PFDU: الگوی استتار عملیاتی (OCP) تنها رنگ/الگوی مجاز است.</w:t>
      </w:r>
    </w:p>
    <w:p>
      <w:pPr>
        <w:spacing w:after="28" w:line="216" w:lineRule="auto"/>
        <w:ind w:left="259"/>
        <w:jc w:val="left"/>
      </w:pPr>
      <w:r>
        <w:rPr>
          <w:rFonts w:ascii="Arial" w:hAnsi="Arial"/>
          <w:color w:val="525252"/>
          <w:sz w:val="13"/>
        </w:rPr>
        <w:t>2PFDU Wear Guidance: Operational Camouflage Pattern (OCP) is the only color/pattern authorized.</w:t>
      </w:r>
    </w:p>
    <w:p>
      <w:pPr>
        <w:spacing w:after="20" w:line="223" w:lineRule="auto"/>
        <w:jc w:val="right"/>
        <w:bidi/>
      </w:pPr>
      <w:r>
        <w:rPr>
          <w:rFonts w:ascii="Arial" w:hAnsi="Arial"/>
          <w:sz w:val="16"/>
        </w:rPr>
        <w:t>494.16  هیچ تعمیری در ۲PFDU مجاز نیست.</w:t>
      </w:r>
    </w:p>
    <w:p>
      <w:pPr>
        <w:spacing w:after="28" w:line="216" w:lineRule="auto"/>
        <w:ind w:left="259"/>
        <w:jc w:val="left"/>
      </w:pPr>
      <w:r>
        <w:rPr>
          <w:rFonts w:ascii="Arial" w:hAnsi="Arial"/>
          <w:color w:val="525252"/>
          <w:sz w:val="13"/>
        </w:rPr>
        <w:t>No repairs to the 2PFDU are authorized.</w:t>
      </w:r>
    </w:p>
    <w:p>
      <w:pPr>
        <w:spacing w:after="20" w:line="223" w:lineRule="auto"/>
        <w:jc w:val="right"/>
        <w:bidi/>
      </w:pPr>
      <w:r>
        <w:rPr>
          <w:rFonts w:ascii="Arial" w:hAnsi="Arial"/>
          <w:sz w:val="16"/>
        </w:rPr>
        <w:t>494.17  هیچ چیزی به ۲PFDU دوخته نخواهد شد.</w:t>
      </w:r>
    </w:p>
    <w:p>
      <w:pPr>
        <w:spacing w:after="28" w:line="216" w:lineRule="auto"/>
        <w:ind w:left="259"/>
        <w:jc w:val="left"/>
      </w:pPr>
      <w:r>
        <w:rPr>
          <w:rFonts w:ascii="Arial" w:hAnsi="Arial"/>
          <w:color w:val="525252"/>
          <w:sz w:val="13"/>
        </w:rPr>
        <w:t>Nothing will be sewn to the 2PFDU.</w:t>
      </w:r>
    </w:p>
    <w:p>
      <w:pPr>
        <w:spacing w:after="20" w:line="223" w:lineRule="auto"/>
        <w:jc w:val="right"/>
        <w:bidi/>
      </w:pPr>
      <w:r>
        <w:rPr>
          <w:rFonts w:ascii="Arial" w:hAnsi="Arial"/>
          <w:sz w:val="16"/>
        </w:rPr>
        <w:t>494.18  استثنا: ولکرو® اضافی ممکن است به بالای ولکرو® موجود اضافه شود، که در مرکز ۱/۲ اینچ بالای نوار "نیروی هوایی ایالات متحده" قرار دارد تا با استفاده از نشان‌های هوانوردی، موشکی، فضایی، جنگ چند دامنه‌ای نیروی هوایی، فضای سایبری، و نشان "۲/ور-پتلاس" و "۲/ور-پتلاس" و نشان "۲/ور-پتلاس" در بالا به آن اضافه شود. برای پوشیدن نشان فرمانده.</w:t>
      </w:r>
    </w:p>
    <w:p>
      <w:pPr>
        <w:spacing w:after="28" w:line="216" w:lineRule="auto"/>
        <w:ind w:left="259"/>
        <w:jc w:val="left"/>
      </w:pPr>
      <w:r>
        <w:rPr>
          <w:rFonts w:ascii="Arial" w:hAnsi="Arial"/>
          <w:color w:val="525252"/>
          <w:sz w:val="13"/>
        </w:rPr>
        <w:t>Exception: Additional Velcro® may be added above the existing Velcro®, centered 1/2-inch above the “U.S. Air Force” tape to accommodate the wear of Air Force Aeronautical, Missile, Space, Multi-Domain Warfare, Cyberspace, and EOD badge and/or centered 1/2-inch above the “last name” tape to accommodate the wear of the Commander’s insignia.</w:t>
      </w:r>
    </w:p>
    <w:p>
      <w:pPr>
        <w:spacing w:after="20" w:line="223" w:lineRule="auto"/>
        <w:jc w:val="right"/>
        <w:bidi/>
      </w:pPr>
      <w:r>
        <w:rPr>
          <w:rFonts w:ascii="Arial" w:hAnsi="Arial"/>
          <w:sz w:val="16"/>
        </w:rPr>
        <w:t>494.19  تغییرات یا اصلاحات در ۲PFDU فقط به صورت استثنا هستند (OPR HAF/ا۳ت).</w:t>
      </w:r>
    </w:p>
    <w:p>
      <w:pPr>
        <w:spacing w:after="28" w:line="216" w:lineRule="auto"/>
        <w:ind w:left="259"/>
        <w:jc w:val="left"/>
      </w:pPr>
      <w:r>
        <w:rPr>
          <w:rFonts w:ascii="Arial" w:hAnsi="Arial"/>
          <w:color w:val="525252"/>
          <w:sz w:val="13"/>
        </w:rPr>
        <w:t>Alterations or modifications to the 2PFDU are by exception only (OPR HAF/A3T).</w:t>
      </w:r>
    </w:p>
    <w:p>
      <w:pPr>
        <w:spacing w:after="20" w:line="223" w:lineRule="auto"/>
        <w:jc w:val="right"/>
        <w:bidi/>
      </w:pPr>
      <w:r>
        <w:rPr>
          <w:rFonts w:ascii="Arial" w:hAnsi="Arial"/>
          <w:sz w:val="16"/>
        </w:rPr>
        <w:t>494.20  کاربران ۲PFDU را فشار داده یا نشاسته نمی‌کنند.</w:t>
      </w:r>
    </w:p>
    <w:p>
      <w:pPr>
        <w:spacing w:after="28" w:line="216" w:lineRule="auto"/>
        <w:ind w:left="259"/>
        <w:jc w:val="left"/>
      </w:pPr>
      <w:r>
        <w:rPr>
          <w:rFonts w:ascii="Arial" w:hAnsi="Arial"/>
          <w:color w:val="525252"/>
          <w:sz w:val="13"/>
        </w:rPr>
        <w:t>Users will not press or starch the 2PFDU.</w:t>
      </w:r>
    </w:p>
    <w:p>
      <w:pPr>
        <w:spacing w:after="20" w:line="223" w:lineRule="auto"/>
        <w:jc w:val="right"/>
        <w:bidi/>
      </w:pPr>
      <w:r>
        <w:rPr>
          <w:rFonts w:ascii="Arial" w:hAnsi="Arial"/>
          <w:sz w:val="16"/>
        </w:rPr>
        <w:t>494.21  "نام خانوادگی" کاربر با حروف بلوک قهوه‌ای ادویه‌ای دوخته می‌شود، در مرکز یک نوار پس زمینه OCP قرار می‌گیرد و روی جیب سینه سمت راست با بست ولکرو® چسبانده می‌شود. «نیروی هوایی ایالات متحده» با حروف بلوک قهوه‌ای ادویه‌ای دوخته می‌شود، در مرکز یک نوار پس‌زمینه OCP قرار می‌گیرد و روی جیب سمت چپ سینه با بست ولکرو چسبانده می‌شود.</w:t>
      </w:r>
    </w:p>
    <w:p>
      <w:pPr>
        <w:spacing w:after="28" w:line="216" w:lineRule="auto"/>
        <w:ind w:left="259"/>
        <w:jc w:val="left"/>
      </w:pPr>
      <w:r>
        <w:rPr>
          <w:rFonts w:ascii="Arial" w:hAnsi="Arial"/>
          <w:color w:val="525252"/>
          <w:sz w:val="13"/>
        </w:rPr>
        <w:t>The user’s “last name” will be stitched in spice brown block lettering, centered on an OCP background tape, and affixed over the right chest pocket with Velcro® fastener. “U.S. Air Force” will be stitched in spice brown block lettering, centered on an OCP background tape, and affixed over the left chest pocket with Velcro® fastener.</w:t>
      </w:r>
    </w:p>
    <w:p>
      <w:pPr>
        <w:spacing w:after="20" w:line="223" w:lineRule="auto"/>
        <w:jc w:val="right"/>
        <w:bidi/>
      </w:pPr>
      <w:r>
        <w:rPr>
          <w:rFonts w:ascii="Arial" w:hAnsi="Arial"/>
          <w:sz w:val="16"/>
        </w:rPr>
        <w:t>494.22  (توجه: پرسنل غیرنظامی یا قراردادی مجاز به پوشیدن این یونیفرم برای انجام وظایف پروازی، همچنین می‌توانند در صورت تمایل از "کیویلیان" یا "کونتراکتور" استفاده کنند.) نشان درجه کاربر، نشان درجه یک پالت قهوه‌ای ادویه‌ای است که بر روی زمینه OCP دوخته شده است، قد تقریبا ۲ اینچ با ۱ ۳/۴ ضخامت وسط پهن است.</w:t>
      </w:r>
    </w:p>
    <w:p>
      <w:pPr>
        <w:spacing w:after="28" w:line="216" w:lineRule="auto"/>
        <w:ind w:left="259"/>
        <w:jc w:val="left"/>
      </w:pPr>
      <w:r>
        <w:rPr>
          <w:rFonts w:ascii="Arial" w:hAnsi="Arial"/>
          <w:color w:val="525252"/>
          <w:sz w:val="13"/>
        </w:rPr>
        <w:t>(Note: civilian or contract personnel authorized to wear this uniform for flight duties, may also wear “Civilian” or “Contractor” if desired.) The user’s grade insignia will be spice brown palette sewn grade insignia on an OCP background, approximately 2” tall by 1 3/4” wide and affixed to the center chest Velcro® fastener.</w:t>
      </w:r>
    </w:p>
    <w:p>
      <w:r>
        <w:br w:type="page"/>
      </w:r>
    </w:p>
    <w:p>
      <w:pPr>
        <w:spacing w:after="60"/>
        <w:jc w:val="right"/>
        <w:bidi/>
      </w:pPr>
      <w:r>
        <w:rPr>
          <w:rFonts w:ascii="Arial" w:hAnsi="Arial"/>
          <w:b/>
          <w:color w:val="1F4D78"/>
          <w:sz w:val="19"/>
        </w:rPr>
        <w:t>هفتهٔ 495  |  صفحهٔ منبع: 511</w:t>
      </w:r>
    </w:p>
    <w:p>
      <w:pPr>
        <w:spacing w:after="20" w:line="223" w:lineRule="auto"/>
        <w:jc w:val="right"/>
        <w:bidi/>
      </w:pPr>
      <w:r>
        <w:rPr>
          <w:rFonts w:ascii="Arial" w:hAnsi="Arial"/>
          <w:sz w:val="16"/>
        </w:rPr>
        <w:t>495.01  درجه افسر قهوه‌ای ادویه‌ای خواهد بود. ۱لت و لت کول خواهد شد سیاه و سفید.</w:t>
      </w:r>
    </w:p>
    <w:p>
      <w:pPr>
        <w:spacing w:after="28" w:line="216" w:lineRule="auto"/>
        <w:ind w:left="259"/>
        <w:jc w:val="left"/>
      </w:pPr>
      <w:r>
        <w:rPr>
          <w:rFonts w:ascii="Arial" w:hAnsi="Arial"/>
          <w:color w:val="525252"/>
          <w:sz w:val="13"/>
        </w:rPr>
        <w:t>Officer rank will be spice brown; 1Lt and Lt Col will be Black.</w:t>
      </w:r>
    </w:p>
    <w:p>
      <w:pPr>
        <w:spacing w:after="20" w:line="223" w:lineRule="auto"/>
        <w:jc w:val="right"/>
        <w:bidi/>
      </w:pPr>
      <w:r>
        <w:rPr>
          <w:rFonts w:ascii="Arial" w:hAnsi="Arial"/>
          <w:sz w:val="16"/>
        </w:rPr>
        <w:t>495.02  رتبه ثبت‌نام قهوه‌ای ادویه‌ای خواهد بود.</w:t>
      </w:r>
    </w:p>
    <w:p>
      <w:pPr>
        <w:spacing w:after="28" w:line="216" w:lineRule="auto"/>
        <w:ind w:left="259"/>
        <w:jc w:val="left"/>
      </w:pPr>
      <w:r>
        <w:rPr>
          <w:rFonts w:ascii="Arial" w:hAnsi="Arial"/>
          <w:color w:val="525252"/>
          <w:sz w:val="13"/>
        </w:rPr>
        <w:t>Enlisted rank will be spice brown.</w:t>
      </w:r>
    </w:p>
    <w:p>
      <w:pPr>
        <w:spacing w:after="20" w:line="223" w:lineRule="auto"/>
        <w:jc w:val="right"/>
        <w:bidi/>
      </w:pPr>
      <w:r>
        <w:rPr>
          <w:rFonts w:ascii="Arial" w:hAnsi="Arial"/>
          <w:sz w:val="16"/>
        </w:rPr>
        <w:t>495.03  (توجه: پرسنل غیرنظامی مجاز به پوشیدن این یونیفرم برای انجام وظایف پروازی، ممکن است از علائم غیرنظامی قهوه‌ای ادویه‌ای استفاده کنند.) وصله‌های سازمانی و واحدی.</w:t>
      </w:r>
    </w:p>
    <w:p>
      <w:pPr>
        <w:spacing w:after="28" w:line="216" w:lineRule="auto"/>
        <w:ind w:left="259"/>
        <w:jc w:val="left"/>
      </w:pPr>
      <w:r>
        <w:rPr>
          <w:rFonts w:ascii="Arial" w:hAnsi="Arial"/>
          <w:color w:val="525252"/>
          <w:sz w:val="13"/>
        </w:rPr>
        <w:t>(Note: Civilian personnel authorized to wear this uniform for flight duties, may wear spice brown civilian insignia.) Organizational and Unit Patches.</w:t>
      </w:r>
    </w:p>
    <w:p>
      <w:pPr>
        <w:spacing w:after="20" w:line="223" w:lineRule="auto"/>
        <w:jc w:val="right"/>
        <w:bidi/>
      </w:pPr>
      <w:r>
        <w:rPr>
          <w:rFonts w:ascii="Arial" w:hAnsi="Arial"/>
          <w:sz w:val="16"/>
        </w:rPr>
        <w:t>495.04  وصله‌ها با استفاده از بست ولکرو به شانه‌ها متصل می‌شوند.</w:t>
      </w:r>
    </w:p>
    <w:p>
      <w:pPr>
        <w:spacing w:after="28" w:line="216" w:lineRule="auto"/>
        <w:ind w:left="259"/>
        <w:jc w:val="left"/>
      </w:pPr>
      <w:r>
        <w:rPr>
          <w:rFonts w:ascii="Arial" w:hAnsi="Arial"/>
          <w:color w:val="525252"/>
          <w:sz w:val="13"/>
        </w:rPr>
        <w:t>Patches will be attached to shoulders using Velcro® fastener.</w:t>
      </w:r>
    </w:p>
    <w:p>
      <w:pPr>
        <w:spacing w:after="20" w:line="223" w:lineRule="auto"/>
        <w:jc w:val="right"/>
        <w:bidi/>
      </w:pPr>
      <w:r>
        <w:rPr>
          <w:rFonts w:ascii="Arial" w:hAnsi="Arial"/>
          <w:sz w:val="16"/>
        </w:rPr>
        <w:t>495.05  هوانوردان می‌توانند تا زمانی که پچ‌های سازمانی و واحدی طراحی و ارائه شوند، فقط از نوار نام، نوار USAF، رتبه و پرچم استفاده کنند.</w:t>
      </w:r>
    </w:p>
    <w:p>
      <w:pPr>
        <w:spacing w:after="28" w:line="216" w:lineRule="auto"/>
        <w:ind w:left="259"/>
        <w:jc w:val="left"/>
      </w:pPr>
      <w:r>
        <w:rPr>
          <w:rFonts w:ascii="Arial" w:hAnsi="Arial"/>
          <w:color w:val="525252"/>
          <w:sz w:val="13"/>
        </w:rPr>
        <w:t>Airmen may wear only nametape, USAF tape, rank, and flag until organizational and unit patches are designed and fielded.</w:t>
      </w:r>
    </w:p>
    <w:p>
      <w:pPr>
        <w:spacing w:after="20" w:line="223" w:lineRule="auto"/>
        <w:jc w:val="right"/>
        <w:bidi/>
      </w:pPr>
      <w:r>
        <w:rPr>
          <w:rFonts w:ascii="Arial" w:hAnsi="Arial"/>
          <w:sz w:val="16"/>
        </w:rPr>
        <w:t>495.06  سازمان‌ها موظفند برای کمک به توسعه یا پیکربندی مجدد نمادهای سازمانی با وینگ هیستوریان تماس بگیرند.</w:t>
      </w:r>
    </w:p>
    <w:p>
      <w:pPr>
        <w:spacing w:after="28" w:line="216" w:lineRule="auto"/>
        <w:ind w:left="259"/>
        <w:jc w:val="left"/>
      </w:pPr>
      <w:r>
        <w:rPr>
          <w:rFonts w:ascii="Arial" w:hAnsi="Arial"/>
          <w:color w:val="525252"/>
          <w:sz w:val="13"/>
        </w:rPr>
        <w:t>Organizations are required to contact Wing Historian for assistance on development or reconfiguration of organizational emblems.</w:t>
      </w:r>
    </w:p>
    <w:p>
      <w:pPr>
        <w:spacing w:after="20" w:line="223" w:lineRule="auto"/>
        <w:jc w:val="right"/>
        <w:bidi/>
      </w:pPr>
      <w:r>
        <w:rPr>
          <w:rFonts w:ascii="Arial" w:hAnsi="Arial"/>
          <w:sz w:val="16"/>
        </w:rPr>
        <w:t>495.07  هیچ نشان یا لوازم دیگری به جیب پیراهن چسبانده نخواهد شد.</w:t>
      </w:r>
    </w:p>
    <w:p>
      <w:pPr>
        <w:spacing w:after="28" w:line="216" w:lineRule="auto"/>
        <w:ind w:left="259"/>
        <w:jc w:val="left"/>
      </w:pPr>
      <w:r>
        <w:rPr>
          <w:rFonts w:ascii="Arial" w:hAnsi="Arial"/>
          <w:color w:val="525252"/>
          <w:sz w:val="13"/>
        </w:rPr>
        <w:t>No badges or other accoutrements will be affixed to shirt pockets.</w:t>
      </w:r>
    </w:p>
    <w:p>
      <w:pPr>
        <w:spacing w:after="20" w:line="223" w:lineRule="auto"/>
        <w:jc w:val="right"/>
        <w:bidi/>
      </w:pPr>
      <w:r>
        <w:rPr>
          <w:rFonts w:ascii="Arial" w:hAnsi="Arial"/>
          <w:sz w:val="16"/>
        </w:rPr>
        <w:t>495.08  آستین راست.</w:t>
      </w:r>
    </w:p>
    <w:p>
      <w:pPr>
        <w:spacing w:after="28" w:line="216" w:lineRule="auto"/>
        <w:ind w:left="259"/>
        <w:jc w:val="left"/>
      </w:pPr>
      <w:r>
        <w:rPr>
          <w:rFonts w:ascii="Arial" w:hAnsi="Arial"/>
          <w:color w:val="525252"/>
          <w:sz w:val="13"/>
        </w:rPr>
        <w:t>Right Sleeve.</w:t>
      </w:r>
    </w:p>
    <w:p>
      <w:pPr>
        <w:spacing w:after="20" w:line="223" w:lineRule="auto"/>
        <w:jc w:val="right"/>
        <w:bidi/>
      </w:pPr>
      <w:r>
        <w:rPr>
          <w:rFonts w:ascii="Arial" w:hAnsi="Arial"/>
          <w:sz w:val="16"/>
        </w:rPr>
        <w:t>495.09  حداکثر دو وصله ممکن است پوشیده شود.</w:t>
      </w:r>
    </w:p>
    <w:p>
      <w:pPr>
        <w:spacing w:after="28" w:line="216" w:lineRule="auto"/>
        <w:ind w:left="259"/>
        <w:jc w:val="left"/>
      </w:pPr>
      <w:r>
        <w:rPr>
          <w:rFonts w:ascii="Arial" w:hAnsi="Arial"/>
          <w:color w:val="525252"/>
          <w:sz w:val="13"/>
        </w:rPr>
        <w:t>A maximum of two patches may be worn.</w:t>
      </w:r>
    </w:p>
    <w:p>
      <w:pPr>
        <w:spacing w:after="20" w:line="223" w:lineRule="auto"/>
        <w:jc w:val="right"/>
        <w:bidi/>
      </w:pPr>
      <w:r>
        <w:rPr>
          <w:rFonts w:ascii="Arial" w:hAnsi="Arial"/>
          <w:sz w:val="16"/>
        </w:rPr>
        <w:t>495.10  وصله پارچه‌ای پرچم ایالات متحده اجباری است و از معیارهای رنگ قهوه‌ای ادویه‌ای استفاده می‌کند که در قسمت بالای ولکرو® قرار گرفته است (یا روی فلپ جیب بالایی به اندازه پرچم قرار می‌گیرد، در صورت مجهز بودن) و در حین استقرار و استقرار پوشیده می‌شود.</w:t>
      </w:r>
    </w:p>
    <w:p>
      <w:pPr>
        <w:spacing w:after="28" w:line="216" w:lineRule="auto"/>
        <w:ind w:left="259"/>
        <w:jc w:val="left"/>
      </w:pPr>
      <w:r>
        <w:rPr>
          <w:rFonts w:ascii="Arial" w:hAnsi="Arial"/>
          <w:color w:val="525252"/>
          <w:sz w:val="13"/>
        </w:rPr>
        <w:t>The cloth U.S. flag patch is mandatory and will use the spice brown color criteria centered at the top of Velcro® (or placed on flag-sized upper pocket flap, if equipped) and worn while in- garrison and deployed.</w:t>
      </w:r>
    </w:p>
    <w:p>
      <w:pPr>
        <w:spacing w:after="20" w:line="223" w:lineRule="auto"/>
        <w:jc w:val="right"/>
        <w:bidi/>
      </w:pPr>
      <w:r>
        <w:rPr>
          <w:rFonts w:ascii="Arial" w:hAnsi="Arial"/>
          <w:sz w:val="16"/>
        </w:rPr>
        <w:t>495.11  وصله‌های معیار رنگ قهوه‌ای ادویه اختصاصی واحد سازمانی اجباری هستند (موجودات غیر واحدی مانند دیرکتوراتس، AF لمنتس اختیاری هستند) و به صورت عمودی و افقی در ناحیه ولکرو® باقی‌مانده تحت پچ پرچم ایالات متحده قرار می‌گیرند.</w:t>
      </w:r>
    </w:p>
    <w:p>
      <w:pPr>
        <w:spacing w:after="28" w:line="216" w:lineRule="auto"/>
        <w:ind w:left="259"/>
        <w:jc w:val="left"/>
      </w:pPr>
      <w:r>
        <w:rPr>
          <w:rFonts w:ascii="Arial" w:hAnsi="Arial"/>
          <w:color w:val="525252"/>
          <w:sz w:val="13"/>
        </w:rPr>
        <w:t>Organizational unit of assignment spice brown color criteria patches are mandatory (non-unit entities such as Directorates, AF Elements are optional) and will be centered vertically and horizontally in the remaining Velcro® area under the U.S. flag patch.</w:t>
      </w:r>
    </w:p>
    <w:p>
      <w:pPr>
        <w:spacing w:after="20" w:line="223" w:lineRule="auto"/>
        <w:jc w:val="right"/>
        <w:bidi/>
      </w:pPr>
      <w:r>
        <w:rPr>
          <w:rFonts w:ascii="Arial" w:hAnsi="Arial"/>
          <w:sz w:val="16"/>
        </w:rPr>
        <w:t>495.12  توجه: تا زمانی که تبدیل رنگ پچ توسط مؤسسه هرالدری تکمیل نشده باشد، می‌توان نسخه فعلی وصله واحد یا بدون پچ را پوشید.</w:t>
      </w:r>
    </w:p>
    <w:p>
      <w:pPr>
        <w:spacing w:after="28" w:line="216" w:lineRule="auto"/>
        <w:ind w:left="259"/>
        <w:jc w:val="left"/>
      </w:pPr>
      <w:r>
        <w:rPr>
          <w:rFonts w:ascii="Arial" w:hAnsi="Arial"/>
          <w:color w:val="525252"/>
          <w:sz w:val="13"/>
        </w:rPr>
        <w:t>Note: Current subdued version of unit patch or no patch may be worn until the patch color conversion has been completed by the Institute of Heraldry.</w:t>
      </w:r>
    </w:p>
    <w:p>
      <w:pPr>
        <w:spacing w:after="20" w:line="223" w:lineRule="auto"/>
        <w:jc w:val="right"/>
        <w:bidi/>
      </w:pPr>
      <w:r>
        <w:rPr>
          <w:rFonts w:ascii="Arial" w:hAnsi="Arial"/>
          <w:sz w:val="16"/>
        </w:rPr>
        <w:t>495.13  فرماندهان جناح ممکن است استفاده از وصله‌های اخلاقی را در روزهای جمعه یا در طول رویدادهای خاص مجاز کنند.</w:t>
      </w:r>
    </w:p>
    <w:p>
      <w:pPr>
        <w:spacing w:after="28" w:line="216" w:lineRule="auto"/>
        <w:ind w:left="259"/>
        <w:jc w:val="left"/>
      </w:pPr>
      <w:r>
        <w:rPr>
          <w:rFonts w:ascii="Arial" w:hAnsi="Arial"/>
          <w:color w:val="525252"/>
          <w:sz w:val="13"/>
        </w:rPr>
        <w:t>Wing Commanders may authorize the wear of morale patches on Fridays or during special events.</w:t>
      </w:r>
    </w:p>
    <w:p>
      <w:pPr>
        <w:spacing w:after="20" w:line="223" w:lineRule="auto"/>
        <w:jc w:val="right"/>
        <w:bidi/>
      </w:pPr>
      <w:r>
        <w:rPr>
          <w:rFonts w:ascii="Arial" w:hAnsi="Arial"/>
          <w:sz w:val="16"/>
        </w:rPr>
        <w:t>495.14  فرماندهان بال فهرستی از وصله‌های اخلاقی تأیید شده مجاز برای پوشیدن در بال خود را حفظ خواهند کرد.</w:t>
      </w:r>
    </w:p>
    <w:p>
      <w:pPr>
        <w:spacing w:after="28" w:line="216" w:lineRule="auto"/>
        <w:ind w:left="259"/>
        <w:jc w:val="left"/>
      </w:pPr>
      <w:r>
        <w:rPr>
          <w:rFonts w:ascii="Arial" w:hAnsi="Arial"/>
          <w:color w:val="525252"/>
          <w:sz w:val="13"/>
        </w:rPr>
        <w:t>Wing Commanders will maintain a list of approved morale patches authorized to be worn within their wing.</w:t>
      </w:r>
    </w:p>
    <w:p>
      <w:pPr>
        <w:spacing w:after="20" w:line="223" w:lineRule="auto"/>
        <w:jc w:val="right"/>
        <w:bidi/>
      </w:pPr>
      <w:r>
        <w:rPr>
          <w:rFonts w:ascii="Arial" w:hAnsi="Arial"/>
          <w:sz w:val="16"/>
        </w:rPr>
        <w:t>495.15  تکه‌های اخلاقی باید به طرح رنگ قهوه‌ای ادویه‌ای ضعیف فعلی پایبند باشند.</w:t>
      </w:r>
    </w:p>
    <w:p>
      <w:pPr>
        <w:spacing w:after="28" w:line="216" w:lineRule="auto"/>
        <w:ind w:left="259"/>
        <w:jc w:val="left"/>
      </w:pPr>
      <w:r>
        <w:rPr>
          <w:rFonts w:ascii="Arial" w:hAnsi="Arial"/>
          <w:color w:val="525252"/>
          <w:sz w:val="13"/>
        </w:rPr>
        <w:t>Morale patches must adhere to current subdued spice brown color scheme.</w:t>
      </w:r>
    </w:p>
    <w:p>
      <w:pPr>
        <w:spacing w:after="20" w:line="223" w:lineRule="auto"/>
        <w:jc w:val="right"/>
        <w:bidi/>
      </w:pPr>
      <w:r>
        <w:rPr>
          <w:rFonts w:ascii="Arial" w:hAnsi="Arial"/>
          <w:sz w:val="16"/>
        </w:rPr>
        <w:t>495.16  آستین چپ.</w:t>
      </w:r>
    </w:p>
    <w:p>
      <w:pPr>
        <w:spacing w:after="28" w:line="216" w:lineRule="auto"/>
        <w:ind w:left="259"/>
        <w:jc w:val="left"/>
      </w:pPr>
      <w:r>
        <w:rPr>
          <w:rFonts w:ascii="Arial" w:hAnsi="Arial"/>
          <w:color w:val="525252"/>
          <w:sz w:val="13"/>
        </w:rPr>
        <w:t>Left Sleeve.</w:t>
      </w:r>
    </w:p>
    <w:p>
      <w:pPr>
        <w:spacing w:after="20" w:line="223" w:lineRule="auto"/>
        <w:jc w:val="right"/>
        <w:bidi/>
      </w:pPr>
      <w:r>
        <w:rPr>
          <w:rFonts w:ascii="Arial" w:hAnsi="Arial"/>
          <w:sz w:val="16"/>
        </w:rPr>
        <w:t>495.17  حداکثر دو وصله ممکن است پوشیده شود.</w:t>
      </w:r>
    </w:p>
    <w:p>
      <w:pPr>
        <w:spacing w:after="28" w:line="216" w:lineRule="auto"/>
        <w:ind w:left="259"/>
        <w:jc w:val="left"/>
      </w:pPr>
      <w:r>
        <w:rPr>
          <w:rFonts w:ascii="Arial" w:hAnsi="Arial"/>
          <w:color w:val="525252"/>
          <w:sz w:val="13"/>
        </w:rPr>
        <w:t>A maximum of two patches may be worn.</w:t>
      </w:r>
    </w:p>
    <w:p>
      <w:pPr>
        <w:spacing w:after="20" w:line="223" w:lineRule="auto"/>
        <w:jc w:val="right"/>
        <w:bidi/>
      </w:pPr>
      <w:r>
        <w:rPr>
          <w:rFonts w:ascii="Arial" w:hAnsi="Arial"/>
          <w:sz w:val="16"/>
        </w:rPr>
        <w:t>495.18  هنگام انجام وظایف خود، برخی از AFSCها ممکن است از پارچه قهوه‌ای ادویه‌ای یا تکه‌های شناسایی وظیفه مادون قرمز (IR) در مرکز بالای ناحیه ولکرو® استفاده کنند.</w:t>
      </w:r>
    </w:p>
    <w:p>
      <w:pPr>
        <w:spacing w:after="28" w:line="216" w:lineRule="auto"/>
        <w:ind w:left="259"/>
        <w:jc w:val="left"/>
      </w:pPr>
      <w:r>
        <w:rPr>
          <w:rFonts w:ascii="Arial" w:hAnsi="Arial"/>
          <w:color w:val="525252"/>
          <w:sz w:val="13"/>
        </w:rPr>
        <w:t>While performing their duties, certain AFSCs may wear spice brown cloth, or subdued infra-red (IR) Duty Identifier patches centered at the top of the Velcro® area.</w:t>
      </w:r>
    </w:p>
    <w:p>
      <w:pPr>
        <w:spacing w:after="20" w:line="223" w:lineRule="auto"/>
        <w:jc w:val="right"/>
        <w:bidi/>
      </w:pPr>
      <w:r>
        <w:rPr>
          <w:rFonts w:ascii="Arial" w:hAnsi="Arial"/>
          <w:sz w:val="16"/>
        </w:rPr>
        <w:t>495.19  وصله‌های شناسه وظیفه مجاز در جدول ۲۳.۱ فهرست شده‌اند (توجه: فقط وصله‌های فهرست‌شده در جدول ۲۳.۱ مجاز هستند.</w:t>
      </w:r>
    </w:p>
    <w:p>
      <w:pPr>
        <w:spacing w:after="28" w:line="216" w:lineRule="auto"/>
        <w:ind w:left="259"/>
        <w:jc w:val="left"/>
      </w:pPr>
      <w:r>
        <w:rPr>
          <w:rFonts w:ascii="Arial" w:hAnsi="Arial"/>
          <w:color w:val="525252"/>
          <w:sz w:val="13"/>
        </w:rPr>
        <w:t>Authorized Duty Identifier Patches are listed in Table 23.1 (Note: Only patches listed in Table 23.1 are authorized.</w:t>
      </w:r>
    </w:p>
    <w:p>
      <w:pPr>
        <w:spacing w:after="20" w:line="223" w:lineRule="auto"/>
        <w:jc w:val="right"/>
        <w:bidi/>
      </w:pPr>
      <w:r>
        <w:rPr>
          <w:rFonts w:ascii="Arial" w:hAnsi="Arial"/>
          <w:sz w:val="16"/>
        </w:rPr>
        <w:t>495.20  پچ تاکتیکال کالل سیگن دوتی یدنتیفیر فقط باید برای علائم تماس تاکتیکی (رادیویی) اختصاص داده شده/سفارش شده توسط فرمانده واحد استفاده شود.</w:t>
      </w:r>
    </w:p>
    <w:p>
      <w:pPr>
        <w:spacing w:after="28" w:line="216" w:lineRule="auto"/>
        <w:ind w:left="259"/>
        <w:jc w:val="left"/>
      </w:pPr>
      <w:r>
        <w:rPr>
          <w:rFonts w:ascii="Arial" w:hAnsi="Arial"/>
          <w:color w:val="525252"/>
          <w:sz w:val="13"/>
        </w:rPr>
        <w:t>The Tactical Call Sign Duty Identifier patch should only be worn for tactical (radio) call signs assigned/ordered by the unit commander.</w:t>
      </w:r>
    </w:p>
    <w:p>
      <w:pPr>
        <w:spacing w:after="20" w:line="223" w:lineRule="auto"/>
        <w:jc w:val="right"/>
        <w:bidi/>
      </w:pPr>
      <w:r>
        <w:rPr>
          <w:rFonts w:ascii="Arial" w:hAnsi="Arial"/>
          <w:sz w:val="16"/>
        </w:rPr>
        <w:t>495.21  وقتی برای عملیات یا آموزش لازم نیست، پچ تاکتیکال کالل سیگن دوتی یدنتیفید نباید پوشیده شود. با این حال، ممکن است با وصله شناسه وظیفه مجاز دیگری جایگزین شود.) پچ HHQ اجباری است و از معیارهای رنگ قهوه‌ای ادویه‌ای (پارچه) استفاده می‌کند که در مرکز نشان‌های عملکردی یا برگه‌های شناسه وظیفه قرار دارد، یا در بالای ناحیه ولکرو® که برای نشان‌های کاربردی یا برگه‌های شناسه وظیفه اختصاص داده شده است.</w:t>
      </w:r>
    </w:p>
    <w:p>
      <w:pPr>
        <w:spacing w:after="28" w:line="216" w:lineRule="auto"/>
        <w:ind w:left="259"/>
        <w:jc w:val="left"/>
      </w:pPr>
      <w:r>
        <w:rPr>
          <w:rFonts w:ascii="Arial" w:hAnsi="Arial"/>
          <w:color w:val="525252"/>
          <w:sz w:val="13"/>
        </w:rPr>
        <w:t>When not required for operations or training, the Tactical Call Sign Duty Identified patch should not be worn; however, it may be replaced by another authorized duty ID patch.) The HHQ patch is mandatory and will use the spice brown color criteria (cloth) centered under the functional badges or Duty Identifier Tabs if worn, or under the top of Velcro® area reserved for functional badges or duty identifier tabs.</w:t>
      </w:r>
    </w:p>
    <w:p>
      <w:pPr>
        <w:spacing w:after="20" w:line="223" w:lineRule="auto"/>
        <w:jc w:val="right"/>
        <w:bidi/>
      </w:pPr>
      <w:r>
        <w:rPr>
          <w:rFonts w:ascii="Arial" w:hAnsi="Arial"/>
          <w:sz w:val="16"/>
        </w:rPr>
        <w:t>495.22  ستاد عالی شامل، اما نه محدود به، سازمان‌های زیر است: HAF، دروس، فواس، و ماجکومس. توجه: تا زمانی که تبدیل رنگ پچ توسط مؤسسه هرالدری تکمیل نشده باشد، می‌توان از نسخه فعلی وصله HHQ یا بدون پچ استفاده کرد.</w:t>
      </w:r>
    </w:p>
    <w:p>
      <w:pPr>
        <w:spacing w:after="28" w:line="216" w:lineRule="auto"/>
        <w:ind w:left="259"/>
        <w:jc w:val="left"/>
      </w:pPr>
      <w:r>
        <w:rPr>
          <w:rFonts w:ascii="Arial" w:hAnsi="Arial"/>
          <w:color w:val="525252"/>
          <w:sz w:val="13"/>
        </w:rPr>
        <w:t>Higher Headquarters include, but are not limited to, the following organizations: HAF, DRUs, FOAs, and MAJCOMs. Note: Current subdued version of HHQ patch or no patch may be worn until the patch color conversion has been completed by the Institute of Heraldry.</w:t>
      </w:r>
    </w:p>
    <w:p>
      <w:pPr>
        <w:spacing w:after="20" w:line="223" w:lineRule="auto"/>
        <w:jc w:val="right"/>
        <w:bidi/>
      </w:pPr>
      <w:r>
        <w:rPr>
          <w:rFonts w:ascii="Arial" w:hAnsi="Arial"/>
          <w:sz w:val="16"/>
        </w:rPr>
        <w:t>495.23  اعضا می‌توانند پچ فارغ‌التحصیلان مدرسه سلاح‌های USAF (فارغ‌التحصیل یا مربی)، وصله USAF (یا مشترک/بین‌المللی) مدرسه خلبانی آزمایشی (TPS) (فارغ‌التحصیل یا مربی)، پچ دانشکده مطالعات پیشرفته هوا و فضا (SAASS)، پچ مراقبت‌های ویژه مراقبت‌های ویژه فارغ‌التحصیل شده توسط تیم حمل‌ونقل هوایی (DAAS) ۳۶-۲۹۰۳، پاراگراف ۵.۱.۶.۲.۴ تا ۵.۱.۶.۲.۴.۱) به جای پچ HHQ.</w:t>
      </w:r>
    </w:p>
    <w:p>
      <w:pPr>
        <w:spacing w:after="28" w:line="216" w:lineRule="auto"/>
        <w:ind w:left="259"/>
        <w:jc w:val="left"/>
      </w:pPr>
      <w:r>
        <w:rPr>
          <w:rFonts w:ascii="Arial" w:hAnsi="Arial"/>
          <w:color w:val="525252"/>
          <w:sz w:val="13"/>
        </w:rPr>
        <w:t>Members may wear the USAF Weapons School Graduate Patch (graduate or instructor), USAF (or joint/international) Test Pilot School (TPS) patch (graduate or instructor), School of Advanced Air and Space Studies (SAASS) patch, Critical Care Air Transport Team patch, or other approved graduate school patches (as outlined in DAFI 36-2903, paragraph 5.1.6.2.4 through 5.1.6.2.4.1) in lieu of the HHQ patch.</w:t>
      </w:r>
    </w:p>
    <w:p>
      <w:pPr>
        <w:spacing w:after="20" w:line="223" w:lineRule="auto"/>
        <w:jc w:val="right"/>
        <w:bidi/>
      </w:pPr>
      <w:r>
        <w:rPr>
          <w:rFonts w:ascii="Arial" w:hAnsi="Arial"/>
          <w:sz w:val="16"/>
        </w:rPr>
        <w:t>495.24  یک قلم / جای مداد آستین OCP ولکرو® ممکن است روی هر دو آستین پوشیده شود، اما مانع از سایش مناسب وصله‌های مورد نیاز و/یا نشان‌های وظیفه نمی‌شود.</w:t>
      </w:r>
    </w:p>
    <w:p>
      <w:pPr>
        <w:spacing w:after="28" w:line="216" w:lineRule="auto"/>
        <w:ind w:left="259"/>
        <w:jc w:val="left"/>
      </w:pPr>
      <w:r>
        <w:rPr>
          <w:rFonts w:ascii="Arial" w:hAnsi="Arial"/>
          <w:color w:val="525252"/>
          <w:sz w:val="13"/>
        </w:rPr>
        <w:t>An OCP Velcro® sleeve pen/pencil holder may be worn on either sleeve but will not impede the proper wear of required patches and/or duty badges.</w:t>
      </w:r>
    </w:p>
    <w:p>
      <w:pPr>
        <w:spacing w:after="20" w:line="223" w:lineRule="auto"/>
        <w:jc w:val="right"/>
        <w:bidi/>
      </w:pPr>
      <w:r>
        <w:rPr>
          <w:rFonts w:ascii="Arial" w:hAnsi="Arial"/>
          <w:sz w:val="16"/>
        </w:rPr>
        <w:t>495.25  نشان فرمانده.</w:t>
      </w:r>
    </w:p>
    <w:p>
      <w:pPr>
        <w:spacing w:after="28" w:line="216" w:lineRule="auto"/>
        <w:ind w:left="259"/>
        <w:jc w:val="left"/>
      </w:pPr>
      <w:r>
        <w:rPr>
          <w:rFonts w:ascii="Arial" w:hAnsi="Arial"/>
          <w:color w:val="525252"/>
          <w:sz w:val="13"/>
        </w:rPr>
        <w:t>Commander’s Insignia.</w:t>
      </w:r>
    </w:p>
    <w:p>
      <w:pPr>
        <w:spacing w:after="20" w:line="223" w:lineRule="auto"/>
        <w:jc w:val="right"/>
        <w:bidi/>
      </w:pPr>
      <w:r>
        <w:rPr>
          <w:rFonts w:ascii="Arial" w:hAnsi="Arial"/>
          <w:sz w:val="16"/>
        </w:rPr>
        <w:t>495.26  نشان فرمانده ممکن است برای افسران در رده سرهنگ (و-۶) و پایین‌تر در هنگام فرماندهی، مطابق با مجوز AFMAN ۳۶-۲۱۰۰، استفاده نظامی و طبقه بندی استفاده شود.</w:t>
      </w:r>
    </w:p>
    <w:p>
      <w:pPr>
        <w:spacing w:after="28" w:line="216" w:lineRule="auto"/>
        <w:ind w:left="259"/>
        <w:jc w:val="left"/>
      </w:pPr>
      <w:r>
        <w:rPr>
          <w:rFonts w:ascii="Arial" w:hAnsi="Arial"/>
          <w:color w:val="525252"/>
          <w:sz w:val="13"/>
        </w:rPr>
        <w:t>Commander’s Insignia may be worn for officers in the rank of Colonel (O-6) and below when currently in command, as authorized by AFMAN 36-2100, Military Utilization and Classification.</w:t>
      </w:r>
    </w:p>
    <w:p>
      <w:pPr>
        <w:spacing w:after="20" w:line="223" w:lineRule="auto"/>
        <w:jc w:val="right"/>
        <w:bidi/>
      </w:pPr>
      <w:r>
        <w:rPr>
          <w:rFonts w:ascii="Arial" w:hAnsi="Arial"/>
          <w:sz w:val="16"/>
        </w:rPr>
        <w:t>495.27  این نشان قهوه‌ای ادویه‌ای خواهد بود و در مرکز ۱/۲ اینچ بالای نوار نام، روی پارچه الگوی OCP ۱ اینچ در ۱ اینچ که با استفاده از بست ولکرو® چسبانده شده است.</w:t>
      </w:r>
    </w:p>
    <w:p>
      <w:pPr>
        <w:spacing w:after="28" w:line="216" w:lineRule="auto"/>
        <w:ind w:left="259"/>
        <w:jc w:val="left"/>
      </w:pPr>
      <w:r>
        <w:rPr>
          <w:rFonts w:ascii="Arial" w:hAnsi="Arial"/>
          <w:color w:val="525252"/>
          <w:sz w:val="13"/>
        </w:rPr>
        <w:t>The insignia will be spice brown and centered 1/2-inch above the name tape, on 1-inch x 1-inch OCP pattern cloth affixed using Velcro® fastener.</w:t>
      </w:r>
    </w:p>
    <w:p>
      <w:pPr>
        <w:spacing w:after="20" w:line="223" w:lineRule="auto"/>
        <w:jc w:val="right"/>
        <w:bidi/>
      </w:pPr>
      <w:r>
        <w:rPr>
          <w:rFonts w:ascii="Arial" w:hAnsi="Arial"/>
          <w:sz w:val="16"/>
        </w:rPr>
        <w:t>495.28  نشان گرادواتد کومماندر را می‌توان روی یک چسب ولکرو® کوچک در بالای آستین چپ نیز پوشید.</w:t>
      </w:r>
    </w:p>
    <w:p>
      <w:pPr>
        <w:spacing w:after="28" w:line="216" w:lineRule="auto"/>
        <w:ind w:left="259"/>
        <w:jc w:val="left"/>
      </w:pPr>
      <w:r>
        <w:rPr>
          <w:rFonts w:ascii="Arial" w:hAnsi="Arial"/>
          <w:color w:val="525252"/>
          <w:sz w:val="13"/>
        </w:rPr>
        <w:t>Graduated Commander’s badge may be worn on a small Velcro® patch on top of the left sleeve either</w:t>
      </w:r>
    </w:p>
    <w:p>
      <w:r>
        <w:br w:type="page"/>
      </w:r>
    </w:p>
    <w:p>
      <w:pPr>
        <w:spacing w:after="60"/>
        <w:jc w:val="right"/>
        <w:bidi/>
      </w:pPr>
      <w:r>
        <w:rPr>
          <w:rFonts w:ascii="Arial" w:hAnsi="Arial"/>
          <w:b/>
          <w:color w:val="1F4D78"/>
          <w:sz w:val="19"/>
        </w:rPr>
        <w:t>هفتهٔ 496  |  صفحهٔ منبع: 512</w:t>
      </w:r>
    </w:p>
    <w:p>
      <w:pPr>
        <w:spacing w:after="20" w:line="223" w:lineRule="auto"/>
        <w:jc w:val="right"/>
        <w:bidi/>
      </w:pPr>
      <w:r>
        <w:rPr>
          <w:rFonts w:ascii="Arial" w:hAnsi="Arial"/>
          <w:sz w:val="16"/>
        </w:rPr>
        <w:t>496.01  به صورت افقی و عمودی بر روی فلپ جیبی به اندازه پرچم قرار گرفته است، یا (اگر بدون فلپ جیبی) به صورت افقی و ۱/۲ اینچ از بالای ناحیه ولکرو® قرار گرفته است، بسته به پیکربندی یکنواخت.</w:t>
      </w:r>
    </w:p>
    <w:p>
      <w:pPr>
        <w:spacing w:after="28" w:line="216" w:lineRule="auto"/>
        <w:ind w:left="259"/>
        <w:jc w:val="left"/>
      </w:pPr>
      <w:r>
        <w:rPr>
          <w:rFonts w:ascii="Arial" w:hAnsi="Arial"/>
          <w:color w:val="525252"/>
          <w:sz w:val="13"/>
        </w:rPr>
        <w:t>centered horizontally and vertically on the flag-sized pocket flap, or (if no pocket flap) centered horizontally and 1/2-inch from the top of the Velcro® area, depending on uniform configuration.</w:t>
      </w:r>
    </w:p>
    <w:p>
      <w:pPr>
        <w:spacing w:after="20" w:line="223" w:lineRule="auto"/>
        <w:jc w:val="right"/>
        <w:bidi/>
      </w:pPr>
      <w:r>
        <w:rPr>
          <w:rFonts w:ascii="Arial" w:hAnsi="Arial"/>
          <w:sz w:val="16"/>
        </w:rPr>
        <w:t>496.02  دومین وصله آستین چپ مجاز (به‌عنوان مثال، HHQ) به صورت عمودی و افقی در هر ناحیه باقی‌مانده ولکرو® متمرکز می‌شود تا ظاهری متعادل داشته باشد.</w:t>
      </w:r>
    </w:p>
    <w:p>
      <w:pPr>
        <w:spacing w:after="28" w:line="216" w:lineRule="auto"/>
        <w:ind w:left="259"/>
        <w:jc w:val="left"/>
      </w:pPr>
      <w:r>
        <w:rPr>
          <w:rFonts w:ascii="Arial" w:hAnsi="Arial"/>
          <w:color w:val="525252"/>
          <w:sz w:val="13"/>
        </w:rPr>
        <w:t>The second authorized left-sleeve patch (e.g., HHQ) will be centered vertically and horizontally in any remaining Velcro® area to present a balanced appearance.</w:t>
      </w:r>
    </w:p>
    <w:p>
      <w:pPr>
        <w:spacing w:after="20" w:line="223" w:lineRule="auto"/>
        <w:jc w:val="right"/>
        <w:bidi/>
      </w:pPr>
      <w:r>
        <w:rPr>
          <w:rFonts w:ascii="Arial" w:hAnsi="Arial"/>
          <w:sz w:val="16"/>
        </w:rPr>
        <w:t>496.03  هوانوردانی که وظایف پروازی را در یک محیط مستقر انجام می‌دهند، ممکن است تمام یا برخی از وصله‌ها را مطابق با دستورالعمل‌های مأموریت حذف کنند.</w:t>
      </w:r>
    </w:p>
    <w:p>
      <w:pPr>
        <w:spacing w:after="28" w:line="216" w:lineRule="auto"/>
        <w:ind w:left="259"/>
        <w:jc w:val="left"/>
      </w:pPr>
      <w:r>
        <w:rPr>
          <w:rFonts w:ascii="Arial" w:hAnsi="Arial"/>
          <w:color w:val="525252"/>
          <w:sz w:val="13"/>
        </w:rPr>
        <w:t>Airmen performing flight duties in a deployed environment may remove all or some patches in accordance with mission directives.</w:t>
      </w:r>
    </w:p>
    <w:p>
      <w:pPr>
        <w:spacing w:after="20" w:line="223" w:lineRule="auto"/>
        <w:jc w:val="right"/>
        <w:bidi/>
      </w:pPr>
      <w:r>
        <w:rPr>
          <w:rFonts w:ascii="Arial" w:hAnsi="Arial"/>
          <w:sz w:val="16"/>
        </w:rPr>
        <w:t>496.04  نوار تقویت‌کننده نور دردار نصب شده (GLINT) با استفاده از پوشش‌های ولکرو® متصل پوشانده می‌شود، مگر اینکه دستورالعمل‌های مأموریت یا تئاتر به نحو دیگری دستور دهند.</w:t>
      </w:r>
    </w:p>
    <w:p>
      <w:pPr>
        <w:spacing w:after="28" w:line="216" w:lineRule="auto"/>
        <w:ind w:left="259"/>
        <w:jc w:val="left"/>
      </w:pPr>
      <w:r>
        <w:rPr>
          <w:rFonts w:ascii="Arial" w:hAnsi="Arial"/>
          <w:color w:val="525252"/>
          <w:sz w:val="13"/>
        </w:rPr>
        <w:t>Installed gated light intensifier (GLINT) tape will be covered utilizing attached Velcro® covers unless mission or theater directives direct otherwise.</w:t>
      </w:r>
    </w:p>
    <w:p>
      <w:pPr>
        <w:spacing w:after="20" w:line="223" w:lineRule="auto"/>
        <w:jc w:val="right"/>
        <w:bidi/>
      </w:pPr>
      <w:r>
        <w:rPr>
          <w:rFonts w:ascii="Arial" w:hAnsi="Arial"/>
          <w:sz w:val="16"/>
        </w:rPr>
        <w:t>496.05  پرچم‌های GLINT ایالات متحده، وصله‌های شناسه وظیفه و وصله‌های علامت تماس تاکتیکی هواپیمای جنگی ویژه مطابق با دستورالعمل‌های مأموریت یا تئاتر، به جای تکه‌های پارچه‌ای در محیط مستقر شده استفاده می‌شوند.</w:t>
      </w:r>
    </w:p>
    <w:p>
      <w:pPr>
        <w:spacing w:after="28" w:line="216" w:lineRule="auto"/>
        <w:ind w:left="259"/>
        <w:jc w:val="left"/>
      </w:pPr>
      <w:r>
        <w:rPr>
          <w:rFonts w:ascii="Arial" w:hAnsi="Arial"/>
          <w:color w:val="525252"/>
          <w:sz w:val="13"/>
        </w:rPr>
        <w:t>GLINT U.S. Flags, duty identifier patches and Special Warfare Airman Tactical Call Sign patches may be worn in place of cloth patches in the deployed environment in accordance with mission or theater directives.</w:t>
      </w:r>
    </w:p>
    <w:p>
      <w:pPr>
        <w:spacing w:after="20" w:line="223" w:lineRule="auto"/>
        <w:jc w:val="right"/>
        <w:bidi/>
      </w:pPr>
      <w:r>
        <w:rPr>
          <w:rFonts w:ascii="Arial" w:hAnsi="Arial"/>
          <w:sz w:val="16"/>
        </w:rPr>
        <w:t>496.06  کفش.</w:t>
      </w:r>
    </w:p>
    <w:p>
      <w:pPr>
        <w:spacing w:after="28" w:line="216" w:lineRule="auto"/>
        <w:ind w:left="259"/>
        <w:jc w:val="left"/>
      </w:pPr>
      <w:r>
        <w:rPr>
          <w:rFonts w:ascii="Arial" w:hAnsi="Arial"/>
          <w:color w:val="525252"/>
          <w:sz w:val="13"/>
        </w:rPr>
        <w:t>Footwear.</w:t>
      </w:r>
    </w:p>
    <w:p>
      <w:pPr>
        <w:spacing w:after="20" w:line="223" w:lineRule="auto"/>
        <w:jc w:val="right"/>
        <w:bidi/>
      </w:pPr>
      <w:r>
        <w:rPr>
          <w:rFonts w:ascii="Arial" w:hAnsi="Arial"/>
          <w:sz w:val="16"/>
        </w:rPr>
        <w:t>496.07  چکمه‌های رزمی قهوه‌ای کایوت تنها رنگ‌های مجاز برای پوشیدن با ۲PFDU هستند.</w:t>
      </w:r>
    </w:p>
    <w:p>
      <w:pPr>
        <w:spacing w:after="28" w:line="216" w:lineRule="auto"/>
        <w:ind w:left="259"/>
        <w:jc w:val="left"/>
      </w:pPr>
      <w:r>
        <w:rPr>
          <w:rFonts w:ascii="Arial" w:hAnsi="Arial"/>
          <w:color w:val="525252"/>
          <w:sz w:val="13"/>
        </w:rPr>
        <w:t>Coyote Brown combat boots are the only authorized colors to be worn with the 2PFDU.</w:t>
      </w:r>
    </w:p>
    <w:p>
      <w:pPr>
        <w:spacing w:after="20" w:line="223" w:lineRule="auto"/>
        <w:jc w:val="right"/>
        <w:bidi/>
      </w:pPr>
      <w:r>
        <w:rPr>
          <w:rFonts w:ascii="Arial" w:hAnsi="Arial"/>
          <w:sz w:val="16"/>
        </w:rPr>
        <w:t>496.08  درج‌های زیپ ممکن است پوشیده شده باشند. با این حال، آنها بدون طراحی خواهند بود.</w:t>
      </w:r>
    </w:p>
    <w:p>
      <w:pPr>
        <w:spacing w:after="28" w:line="216" w:lineRule="auto"/>
        <w:ind w:left="259"/>
        <w:jc w:val="left"/>
      </w:pPr>
      <w:r>
        <w:rPr>
          <w:rFonts w:ascii="Arial" w:hAnsi="Arial"/>
          <w:color w:val="525252"/>
          <w:sz w:val="13"/>
        </w:rPr>
        <w:t>Zipper inserts may be worn; however, they will be without design.</w:t>
      </w:r>
    </w:p>
    <w:p>
      <w:pPr>
        <w:spacing w:after="20" w:line="223" w:lineRule="auto"/>
        <w:jc w:val="right"/>
        <w:bidi/>
      </w:pPr>
      <w:r>
        <w:rPr>
          <w:rFonts w:ascii="Arial" w:hAnsi="Arial"/>
          <w:sz w:val="16"/>
        </w:rPr>
        <w:t>496.09  (توجه: فقط مواردی که به‌عنوان ایمن برای پرواز تأیید شده‌اند در طول عملیات پرواز استفاده می‌شوند.) سرپوش.</w:t>
      </w:r>
    </w:p>
    <w:p>
      <w:pPr>
        <w:spacing w:after="28" w:line="216" w:lineRule="auto"/>
        <w:ind w:left="259"/>
        <w:jc w:val="left"/>
      </w:pPr>
      <w:r>
        <w:rPr>
          <w:rFonts w:ascii="Arial" w:hAnsi="Arial"/>
          <w:color w:val="525252"/>
          <w:sz w:val="13"/>
        </w:rPr>
        <w:t>(Note: Only items approved as Safe-to-Fly will be worn during flying operations.) Headgear.</w:t>
      </w:r>
    </w:p>
    <w:p>
      <w:pPr>
        <w:spacing w:after="20" w:line="223" w:lineRule="auto"/>
        <w:jc w:val="right"/>
        <w:bidi/>
      </w:pPr>
      <w:r>
        <w:rPr>
          <w:rFonts w:ascii="Arial" w:hAnsi="Arial"/>
          <w:sz w:val="16"/>
        </w:rPr>
        <w:t>496.10  هدگیر همیشه در خارج از منزل پوشیده می‌شود، مگر اینکه در یک منطقه تعیین‌شده «بدون کلاه» باشد.</w:t>
      </w:r>
    </w:p>
    <w:p>
      <w:pPr>
        <w:spacing w:after="28" w:line="216" w:lineRule="auto"/>
        <w:ind w:left="259"/>
        <w:jc w:val="left"/>
      </w:pPr>
      <w:r>
        <w:rPr>
          <w:rFonts w:ascii="Arial" w:hAnsi="Arial"/>
          <w:color w:val="525252"/>
          <w:sz w:val="13"/>
        </w:rPr>
        <w:t>Headgear will be worn outdoors at all times unless in a designated “no hat” area.</w:t>
      </w:r>
    </w:p>
    <w:p>
      <w:pPr>
        <w:spacing w:after="20" w:line="223" w:lineRule="auto"/>
        <w:jc w:val="right"/>
        <w:bidi/>
      </w:pPr>
      <w:r>
        <w:rPr>
          <w:rFonts w:ascii="Arial" w:hAnsi="Arial"/>
          <w:sz w:val="16"/>
        </w:rPr>
        <w:t>496.11  هوانوردان کلاه گشتی OCP یا کلاه OCP تاکتیکی را مستقیما روی سر می‌بندند تا نوار کلاهک یک خط مستقیم در اطراف سر، موازی با زمین ایجاد کند.</w:t>
      </w:r>
    </w:p>
    <w:p>
      <w:pPr>
        <w:spacing w:after="28" w:line="216" w:lineRule="auto"/>
        <w:ind w:left="259"/>
        <w:jc w:val="left"/>
      </w:pPr>
      <w:r>
        <w:rPr>
          <w:rFonts w:ascii="Arial" w:hAnsi="Arial"/>
          <w:color w:val="525252"/>
          <w:sz w:val="13"/>
        </w:rPr>
        <w:t>Airmen will wear the OCP patrol cap or tactical OCP cap straight on the head so that the cap band creates a straight line around the head, parallel to the ground.</w:t>
      </w:r>
    </w:p>
    <w:p>
      <w:pPr>
        <w:spacing w:after="20" w:line="223" w:lineRule="auto"/>
        <w:jc w:val="right"/>
        <w:bidi/>
      </w:pPr>
      <w:r>
        <w:rPr>
          <w:rFonts w:ascii="Arial" w:hAnsi="Arial"/>
          <w:sz w:val="16"/>
        </w:rPr>
        <w:t>496.12  کلاه پاترول یا کلاه OCP تاکتیکی بدون برآمدگی یا اعوجاج از شکل مورد نظر هدگیر و بدون شکاف بیش از حد، به خوبی و به راحتی در اطراف بزرگترین قسمت سر قرار می‌گیرد.</w:t>
      </w:r>
    </w:p>
    <w:p>
      <w:pPr>
        <w:spacing w:after="28" w:line="216" w:lineRule="auto"/>
        <w:ind w:left="259"/>
        <w:jc w:val="left"/>
      </w:pPr>
      <w:r>
        <w:rPr>
          <w:rFonts w:ascii="Arial" w:hAnsi="Arial"/>
          <w:color w:val="525252"/>
          <w:sz w:val="13"/>
        </w:rPr>
        <w:t>The patrol cap or tactical OCP cap will fit snugly and comfortably around the largest part of the head without bulging or distortion from the intended shape of the headgear and without excessive gaps.</w:t>
      </w:r>
    </w:p>
    <w:p>
      <w:pPr>
        <w:spacing w:after="20" w:line="223" w:lineRule="auto"/>
        <w:jc w:val="right"/>
        <w:bidi/>
      </w:pPr>
      <w:r>
        <w:rPr>
          <w:rFonts w:ascii="Arial" w:hAnsi="Arial"/>
          <w:sz w:val="16"/>
        </w:rPr>
        <w:t>496.13  هوانوردان مجاز به مسدود کردن درپوش گشت هستند.</w:t>
      </w:r>
    </w:p>
    <w:p>
      <w:pPr>
        <w:spacing w:after="28" w:line="216" w:lineRule="auto"/>
        <w:ind w:left="259"/>
        <w:jc w:val="left"/>
      </w:pPr>
      <w:r>
        <w:rPr>
          <w:rFonts w:ascii="Arial" w:hAnsi="Arial"/>
          <w:color w:val="525252"/>
          <w:sz w:val="13"/>
        </w:rPr>
        <w:t>Airmen are authorized to block the patrol cap.</w:t>
      </w:r>
    </w:p>
    <w:p>
      <w:pPr>
        <w:spacing w:after="20" w:line="223" w:lineRule="auto"/>
        <w:jc w:val="right"/>
        <w:bidi/>
      </w:pPr>
      <w:r>
        <w:rPr>
          <w:rFonts w:ascii="Arial" w:hAnsi="Arial"/>
          <w:sz w:val="16"/>
        </w:rPr>
        <w:t>496.14  کلاه پوشیده می‌شود به طوری که هیچ مویی روی پیشانی زیر کلاه دیده نمی‌شود.</w:t>
      </w:r>
    </w:p>
    <w:p>
      <w:pPr>
        <w:spacing w:after="28" w:line="216" w:lineRule="auto"/>
        <w:ind w:left="259"/>
        <w:jc w:val="left"/>
      </w:pPr>
      <w:r>
        <w:rPr>
          <w:rFonts w:ascii="Arial" w:hAnsi="Arial"/>
          <w:color w:val="525252"/>
          <w:sz w:val="13"/>
        </w:rPr>
        <w:t>The cap is worn so that no hair is visible on the forehead beneath the cap.</w:t>
      </w:r>
    </w:p>
    <w:p>
      <w:pPr>
        <w:spacing w:after="20" w:line="223" w:lineRule="auto"/>
        <w:jc w:val="right"/>
        <w:bidi/>
      </w:pPr>
      <w:r>
        <w:rPr>
          <w:rFonts w:ascii="Arial" w:hAnsi="Arial"/>
          <w:sz w:val="16"/>
        </w:rPr>
        <w:t>496.15  نوار نام ولکرو® در مرکز پشت درپوش پاترول و کلاه OCP تاکتیکی پوشیده خواهد شد.</w:t>
      </w:r>
    </w:p>
    <w:p>
      <w:pPr>
        <w:spacing w:after="28" w:line="216" w:lineRule="auto"/>
        <w:ind w:left="259"/>
        <w:jc w:val="left"/>
      </w:pPr>
      <w:r>
        <w:rPr>
          <w:rFonts w:ascii="Arial" w:hAnsi="Arial"/>
          <w:color w:val="525252"/>
          <w:sz w:val="13"/>
        </w:rPr>
        <w:t>The Velcro® nametape will be worn centered on the back of the patrol cap and tactical OCP cap.</w:t>
      </w:r>
    </w:p>
    <w:p>
      <w:pPr>
        <w:spacing w:after="20" w:line="223" w:lineRule="auto"/>
        <w:jc w:val="right"/>
        <w:bidi/>
      </w:pPr>
      <w:r>
        <w:rPr>
          <w:rFonts w:ascii="Arial" w:hAnsi="Arial"/>
          <w:sz w:val="16"/>
        </w:rPr>
        <w:t>496.16  افسران دارای درجه‌ای خواهند بود که با علائم درجه دوخت در مرکز جلوی کلاهک‌ها چسبانده شده است.</w:t>
      </w:r>
    </w:p>
    <w:p>
      <w:pPr>
        <w:spacing w:after="28" w:line="216" w:lineRule="auto"/>
        <w:ind w:left="259"/>
        <w:jc w:val="left"/>
      </w:pPr>
      <w:r>
        <w:rPr>
          <w:rFonts w:ascii="Arial" w:hAnsi="Arial"/>
          <w:color w:val="525252"/>
          <w:sz w:val="13"/>
        </w:rPr>
        <w:t>Officers will wear rank affixed with sew-on grade insignia centered on the front of the caps.</w:t>
      </w:r>
    </w:p>
    <w:p>
      <w:pPr>
        <w:spacing w:after="20" w:line="223" w:lineRule="auto"/>
        <w:jc w:val="right"/>
        <w:bidi/>
      </w:pPr>
      <w:r>
        <w:rPr>
          <w:rFonts w:ascii="Arial" w:hAnsi="Arial"/>
          <w:sz w:val="16"/>
        </w:rPr>
        <w:t>496.17  نیروهای هوایی مستقر، یا نیروهای هوایی که توسط MAJCOM مجاز است، ممکن است زمانی که شرایط تئاتر ایجاب می‌کند، از کلاه OCP بونی (کمپین/فلاپی) استفاده کنند.</w:t>
      </w:r>
    </w:p>
    <w:p>
      <w:pPr>
        <w:spacing w:after="28" w:line="216" w:lineRule="auto"/>
        <w:ind w:left="259"/>
        <w:jc w:val="left"/>
      </w:pPr>
      <w:r>
        <w:rPr>
          <w:rFonts w:ascii="Arial" w:hAnsi="Arial"/>
          <w:color w:val="525252"/>
          <w:sz w:val="13"/>
        </w:rPr>
        <w:t>Deployed Airmen, or Airmen as authorized by MAJCOM, may wear the OCP boonie (campaign/floppy) hat when theater conditions dictate.</w:t>
      </w:r>
    </w:p>
    <w:p>
      <w:pPr>
        <w:spacing w:after="20" w:line="223" w:lineRule="auto"/>
        <w:jc w:val="right"/>
        <w:bidi/>
      </w:pPr>
      <w:r>
        <w:rPr>
          <w:rFonts w:ascii="Arial" w:hAnsi="Arial"/>
          <w:sz w:val="16"/>
        </w:rPr>
        <w:t>496.18  کلاه‌ها، در صورت مجاز بودن، توسط پرسنل تعیین‌شده پوشیده می‌شوند، به DAFI ۳۶-۲۹۰۳، پاراگراف ۱۰.۳۱، ۱۰.۷.۲ تا ۱۰.۷.۲.۳.۶ مراجعه کنید.</w:t>
      </w:r>
    </w:p>
    <w:p>
      <w:pPr>
        <w:spacing w:after="28" w:line="216" w:lineRule="auto"/>
        <w:ind w:left="259"/>
        <w:jc w:val="left"/>
      </w:pPr>
      <w:r>
        <w:rPr>
          <w:rFonts w:ascii="Arial" w:hAnsi="Arial"/>
          <w:color w:val="525252"/>
          <w:sz w:val="13"/>
        </w:rPr>
        <w:t>Berets, when authorized, will be worn by designated personnel, see DAFI 36-2903, paragraph 10.31, 10.7.2 through 10.7.2.3.6.</w:t>
      </w:r>
    </w:p>
    <w:p>
      <w:pPr>
        <w:spacing w:after="20" w:line="223" w:lineRule="auto"/>
        <w:jc w:val="right"/>
        <w:bidi/>
      </w:pPr>
      <w:r>
        <w:rPr>
          <w:rFonts w:ascii="Arial" w:hAnsi="Arial"/>
          <w:sz w:val="16"/>
        </w:rPr>
        <w:t>496.19  هدگیر را می‌توان در هر جیب ساق پا، زیپ بسته یا زیر کمربند شلوار در قسمت کوچک پشت قرار داد.</w:t>
      </w:r>
    </w:p>
    <w:p>
      <w:pPr>
        <w:spacing w:after="28" w:line="216" w:lineRule="auto"/>
        <w:ind w:left="259"/>
        <w:jc w:val="left"/>
      </w:pPr>
      <w:r>
        <w:rPr>
          <w:rFonts w:ascii="Arial" w:hAnsi="Arial"/>
          <w:color w:val="525252"/>
          <w:sz w:val="13"/>
        </w:rPr>
        <w:t>Headgear may be stowed in any leg pocket, zipped closed, or underneath the trouser belt in the small of the back.</w:t>
      </w:r>
    </w:p>
    <w:p>
      <w:pPr>
        <w:spacing w:after="20" w:line="223" w:lineRule="auto"/>
        <w:jc w:val="right"/>
        <w:bidi/>
      </w:pPr>
      <w:r>
        <w:rPr>
          <w:rFonts w:ascii="Arial" w:hAnsi="Arial"/>
          <w:sz w:val="16"/>
        </w:rPr>
        <w:t>496.20  کلاهک توپ مجاز نیست.</w:t>
      </w:r>
    </w:p>
    <w:p>
      <w:pPr>
        <w:spacing w:after="28" w:line="216" w:lineRule="auto"/>
        <w:ind w:left="259"/>
        <w:jc w:val="left"/>
      </w:pPr>
      <w:r>
        <w:rPr>
          <w:rFonts w:ascii="Arial" w:hAnsi="Arial"/>
          <w:color w:val="525252"/>
          <w:sz w:val="13"/>
        </w:rPr>
        <w:t>Ball caps are not authorized.</w:t>
      </w:r>
    </w:p>
    <w:p>
      <w:pPr>
        <w:spacing w:after="20" w:line="223" w:lineRule="auto"/>
        <w:jc w:val="right"/>
        <w:bidi/>
      </w:pPr>
      <w:r>
        <w:rPr>
          <w:rFonts w:ascii="Arial" w:hAnsi="Arial"/>
          <w:sz w:val="16"/>
        </w:rPr>
        <w:t>496.21  توجه: پرسنل غیرنظامی یا قراردادی که مجاز به پوشیدن این لباس برای انجام وظایف پروازی هستند، ملزم به پوشیدن سرپوش نیستند.</w:t>
      </w:r>
    </w:p>
    <w:p>
      <w:pPr>
        <w:spacing w:after="28" w:line="216" w:lineRule="auto"/>
        <w:ind w:left="259"/>
        <w:jc w:val="left"/>
      </w:pPr>
      <w:r>
        <w:rPr>
          <w:rFonts w:ascii="Arial" w:hAnsi="Arial"/>
          <w:color w:val="525252"/>
          <w:sz w:val="13"/>
        </w:rPr>
        <w:t>Note: Civilian or contract personnel authorized to wear this uniform for flight duties are not required to wear headgear.</w:t>
      </w:r>
    </w:p>
    <w:p>
      <w:pPr>
        <w:spacing w:after="20" w:line="223" w:lineRule="auto"/>
        <w:jc w:val="right"/>
        <w:bidi/>
      </w:pPr>
      <w:r>
        <w:rPr>
          <w:rFonts w:ascii="Arial" w:hAnsi="Arial"/>
          <w:sz w:val="16"/>
        </w:rPr>
        <w:t>496.22  لوازم جانبی هوای سرد.</w:t>
      </w:r>
    </w:p>
    <w:p>
      <w:pPr>
        <w:spacing w:after="28" w:line="216" w:lineRule="auto"/>
        <w:ind w:left="259"/>
        <w:jc w:val="left"/>
      </w:pPr>
      <w:r>
        <w:rPr>
          <w:rFonts w:ascii="Arial" w:hAnsi="Arial"/>
          <w:color w:val="525252"/>
          <w:sz w:val="13"/>
        </w:rPr>
        <w:t>Cold Weather Accessories.</w:t>
      </w:r>
    </w:p>
    <w:p>
      <w:pPr>
        <w:spacing w:after="20" w:line="223" w:lineRule="auto"/>
        <w:jc w:val="right"/>
        <w:bidi/>
      </w:pPr>
      <w:r>
        <w:rPr>
          <w:rFonts w:ascii="Arial" w:hAnsi="Arial"/>
          <w:sz w:val="16"/>
        </w:rPr>
        <w:t>496.23  به استثنای اقلام کاربردی، لوازم جانبی هوای سرد فقط در خارج از منزل پوشیده می‌شوند.</w:t>
      </w:r>
    </w:p>
    <w:p>
      <w:pPr>
        <w:spacing w:after="28" w:line="216" w:lineRule="auto"/>
        <w:ind w:left="259"/>
        <w:jc w:val="left"/>
      </w:pPr>
      <w:r>
        <w:rPr>
          <w:rFonts w:ascii="Arial" w:hAnsi="Arial"/>
          <w:color w:val="525252"/>
          <w:sz w:val="13"/>
        </w:rPr>
        <w:t>With the exception of functional items, cold weather accessories are only worn while outdoors.</w:t>
      </w:r>
    </w:p>
    <w:p>
      <w:pPr>
        <w:spacing w:after="20" w:line="223" w:lineRule="auto"/>
        <w:jc w:val="right"/>
        <w:bidi/>
      </w:pPr>
      <w:r>
        <w:rPr>
          <w:rFonts w:ascii="Arial" w:hAnsi="Arial"/>
          <w:sz w:val="16"/>
        </w:rPr>
        <w:t>496.24  لوازم جانبی مجاز هوای سرد برای ۲PFDU عبارتند از: روسری قهوه‌ای یا مشکی کایوت، گوش بند، هدبند هوای سرد، کلاه ساعت و دستکش.</w:t>
      </w:r>
    </w:p>
    <w:p>
      <w:pPr>
        <w:spacing w:after="28" w:line="216" w:lineRule="auto"/>
        <w:ind w:left="259"/>
        <w:jc w:val="left"/>
      </w:pPr>
      <w:r>
        <w:rPr>
          <w:rFonts w:ascii="Arial" w:hAnsi="Arial"/>
          <w:color w:val="525252"/>
          <w:sz w:val="13"/>
        </w:rPr>
        <w:t>Authorized cold weather accessories for the 2PFDU are: Coyote Brown or Black scarves, earmuffs, cold weather headbands, watch caps, and gloves.</w:t>
      </w:r>
    </w:p>
    <w:p>
      <w:pPr>
        <w:spacing w:after="20" w:line="223" w:lineRule="auto"/>
        <w:jc w:val="right"/>
        <w:bidi/>
      </w:pPr>
      <w:r>
        <w:rPr>
          <w:rFonts w:ascii="Arial" w:hAnsi="Arial"/>
          <w:sz w:val="16"/>
        </w:rPr>
        <w:t>496.25  پشم گوسفند قهوه‌ای کایوت ممکن است در داخل یا خارج از منزل پوشیده شود.</w:t>
      </w:r>
    </w:p>
    <w:p>
      <w:pPr>
        <w:spacing w:after="28" w:line="216" w:lineRule="auto"/>
        <w:ind w:left="259"/>
        <w:jc w:val="left"/>
      </w:pPr>
      <w:r>
        <w:rPr>
          <w:rFonts w:ascii="Arial" w:hAnsi="Arial"/>
          <w:color w:val="525252"/>
          <w:sz w:val="13"/>
        </w:rPr>
        <w:t>Coyote Brown fleece may be worn indoors or outdoors.</w:t>
      </w:r>
    </w:p>
    <w:p>
      <w:pPr>
        <w:spacing w:after="20" w:line="223" w:lineRule="auto"/>
        <w:jc w:val="right"/>
        <w:bidi/>
      </w:pPr>
      <w:r>
        <w:rPr>
          <w:rFonts w:ascii="Arial" w:hAnsi="Arial"/>
          <w:sz w:val="16"/>
        </w:rPr>
        <w:t>496.26  این مورد ممکن است هنگام سوار شدن به هواپیما با موتورهای روی هواپیما در حالی که موقعیت خدمه اصلی را اشغال می‌کند، پوشیده نشود.</w:t>
      </w:r>
    </w:p>
    <w:p>
      <w:pPr>
        <w:spacing w:after="28" w:line="216" w:lineRule="auto"/>
        <w:ind w:left="259"/>
        <w:jc w:val="left"/>
      </w:pPr>
      <w:r>
        <w:rPr>
          <w:rFonts w:ascii="Arial" w:hAnsi="Arial"/>
          <w:color w:val="525252"/>
          <w:sz w:val="13"/>
        </w:rPr>
        <w:t>This item may not be worn while onboard the aircraft with engines on the aircraft running while occupying a primary crew position.</w:t>
      </w:r>
    </w:p>
    <w:p>
      <w:pPr>
        <w:spacing w:after="20" w:line="223" w:lineRule="auto"/>
        <w:jc w:val="right"/>
        <w:bidi/>
      </w:pPr>
      <w:r>
        <w:rPr>
          <w:rFonts w:ascii="Arial" w:hAnsi="Arial"/>
          <w:sz w:val="16"/>
        </w:rPr>
        <w:t>496.27  در واحدهای تعیین شده هواپیمای خلبان از راه دور، فرماندهان ممکن است پوشیدن ژاکت‌های پشمی را در پناهگاه‌های زمینی مجاز کنند.</w:t>
      </w:r>
    </w:p>
    <w:p>
      <w:pPr>
        <w:spacing w:after="28" w:line="216" w:lineRule="auto"/>
        <w:ind w:left="259"/>
        <w:jc w:val="left"/>
      </w:pPr>
      <w:r>
        <w:rPr>
          <w:rFonts w:ascii="Arial" w:hAnsi="Arial"/>
          <w:color w:val="525252"/>
          <w:sz w:val="13"/>
        </w:rPr>
        <w:t>At Remote Pilot Aircraft designated units, commanders may authorize the wear of the fleece jackets inside the ground shelters.</w:t>
      </w:r>
    </w:p>
    <w:p>
      <w:pPr>
        <w:spacing w:after="20" w:line="223" w:lineRule="auto"/>
        <w:jc w:val="right"/>
        <w:bidi/>
      </w:pPr>
      <w:r>
        <w:rPr>
          <w:rFonts w:ascii="Arial" w:hAnsi="Arial"/>
          <w:sz w:val="16"/>
        </w:rPr>
        <w:t>496.28  ژاکت‌های ECWCS (پزدار، باد، پوسته نرم، هوای مرطوب یا هوای شدید سرد) ممکن است بدون شلوار پوشیده شوند. با این حال، شلوار بدون ژاکت پوشیده نخواهد شد.</w:t>
      </w:r>
    </w:p>
    <w:p>
      <w:pPr>
        <w:spacing w:after="28" w:line="216" w:lineRule="auto"/>
        <w:ind w:left="259"/>
        <w:jc w:val="left"/>
      </w:pPr>
      <w:r>
        <w:rPr>
          <w:rFonts w:ascii="Arial" w:hAnsi="Arial"/>
          <w:color w:val="525252"/>
          <w:sz w:val="13"/>
        </w:rPr>
        <w:t>The ECWCS jackets (fleece, wind, soft shell, wet weather, or extreme cold weather) may be worn without the pants; however, the pants will not be worn without the jacket.</w:t>
      </w:r>
    </w:p>
    <w:p>
      <w:pPr>
        <w:spacing w:after="20" w:line="223" w:lineRule="auto"/>
        <w:jc w:val="right"/>
        <w:bidi/>
      </w:pPr>
      <w:r>
        <w:rPr>
          <w:rFonts w:ascii="Arial" w:hAnsi="Arial"/>
          <w:sz w:val="16"/>
        </w:rPr>
        <w:t>496.29  APECS، IRS ممکن است برای انجام وظایف پرواز استفاده نشود.</w:t>
      </w:r>
    </w:p>
    <w:p>
      <w:pPr>
        <w:spacing w:after="28" w:line="216" w:lineRule="auto"/>
        <w:ind w:left="259"/>
        <w:jc w:val="left"/>
      </w:pPr>
      <w:r>
        <w:rPr>
          <w:rFonts w:ascii="Arial" w:hAnsi="Arial"/>
          <w:color w:val="525252"/>
          <w:sz w:val="13"/>
        </w:rPr>
        <w:t>APECS, IRS may not be worn for flying duties.</w:t>
      </w:r>
    </w:p>
    <w:p>
      <w:pPr>
        <w:spacing w:after="20" w:line="223" w:lineRule="auto"/>
        <w:jc w:val="right"/>
        <w:bidi/>
      </w:pPr>
      <w:r>
        <w:rPr>
          <w:rFonts w:ascii="Arial" w:hAnsi="Arial"/>
          <w:sz w:val="16"/>
        </w:rPr>
        <w:t>496.30  این موارد فقط با ۲PFDU در الگوی OCP پوشیده خواهند شد.</w:t>
      </w:r>
    </w:p>
    <w:p>
      <w:pPr>
        <w:spacing w:after="28" w:line="216" w:lineRule="auto"/>
        <w:ind w:left="259"/>
        <w:jc w:val="left"/>
      </w:pPr>
      <w:r>
        <w:rPr>
          <w:rFonts w:ascii="Arial" w:hAnsi="Arial"/>
          <w:color w:val="525252"/>
          <w:sz w:val="13"/>
        </w:rPr>
        <w:t>These items will only be worn with the 2PFDU in OCP pattern.</w:t>
      </w:r>
    </w:p>
    <w:p>
      <w:pPr>
        <w:spacing w:after="20" w:line="223" w:lineRule="auto"/>
        <w:jc w:val="right"/>
        <w:bidi/>
      </w:pPr>
      <w:r>
        <w:rPr>
          <w:rFonts w:ascii="Arial" w:hAnsi="Arial"/>
          <w:sz w:val="16"/>
        </w:rPr>
        <w:t>496.31  (توجه: فقط اقلامی که به‌عنوان ایمن برای پرواز تأیید شده‌اند در طول عملیات پرواز پوشیده می‌شوند.) لباس‌های بیرونی تجاری تأیید شده CWAS ممکن است پوشیده شوند.</w:t>
      </w:r>
    </w:p>
    <w:p>
      <w:pPr>
        <w:spacing w:after="28" w:line="216" w:lineRule="auto"/>
        <w:ind w:left="259"/>
        <w:jc w:val="left"/>
      </w:pPr>
      <w:r>
        <w:rPr>
          <w:rFonts w:ascii="Arial" w:hAnsi="Arial"/>
          <w:color w:val="525252"/>
          <w:sz w:val="13"/>
        </w:rPr>
        <w:t>(Note: Only items approved as Safe- to-Fly will be worn during flying operations.) Approved commercial CWAS outerwear may be worn.</w:t>
      </w:r>
    </w:p>
    <w:p>
      <w:pPr>
        <w:spacing w:after="20" w:line="223" w:lineRule="auto"/>
        <w:jc w:val="right"/>
        <w:bidi/>
      </w:pPr>
      <w:r>
        <w:rPr>
          <w:rFonts w:ascii="Arial" w:hAnsi="Arial"/>
          <w:sz w:val="16"/>
        </w:rPr>
        <w:t>496.32  برای پرواز، از این موارد مطابق با ت.و ۱۴پ۳-۱-۱۱۲ و لیست ساف-تو-فلی استفاده کنید.</w:t>
      </w:r>
    </w:p>
    <w:p>
      <w:pPr>
        <w:spacing w:after="28" w:line="216" w:lineRule="auto"/>
        <w:ind w:left="259"/>
        <w:jc w:val="left"/>
      </w:pPr>
      <w:r>
        <w:rPr>
          <w:rFonts w:ascii="Arial" w:hAnsi="Arial"/>
          <w:color w:val="525252"/>
          <w:sz w:val="13"/>
        </w:rPr>
        <w:t>For flight, use these items in accordance with T.O 14P3-1-112 and Safe-To-Fly list.</w:t>
      </w:r>
    </w:p>
    <w:p>
      <w:pPr>
        <w:spacing w:after="20" w:line="223" w:lineRule="auto"/>
        <w:jc w:val="right"/>
        <w:bidi/>
      </w:pPr>
      <w:r>
        <w:rPr>
          <w:rFonts w:ascii="Arial" w:hAnsi="Arial"/>
          <w:sz w:val="16"/>
        </w:rPr>
        <w:t>496.33  کت را می‌توان بدون شلوار پوشید. با این حال، شلوار بدون ژاکت پوشیده نخواهد شد.</w:t>
      </w:r>
    </w:p>
    <w:p>
      <w:pPr>
        <w:spacing w:after="28" w:line="216" w:lineRule="auto"/>
        <w:ind w:left="259"/>
        <w:jc w:val="left"/>
      </w:pPr>
      <w:r>
        <w:rPr>
          <w:rFonts w:ascii="Arial" w:hAnsi="Arial"/>
          <w:color w:val="525252"/>
          <w:sz w:val="13"/>
        </w:rPr>
        <w:t>Jacket may be worn without the pants; however, the pants will not be worn without the jacket.</w:t>
      </w:r>
    </w:p>
    <w:p>
      <w:pPr>
        <w:spacing w:after="20" w:line="223" w:lineRule="auto"/>
        <w:jc w:val="right"/>
        <w:bidi/>
      </w:pPr>
      <w:r>
        <w:rPr>
          <w:rFonts w:ascii="Arial" w:hAnsi="Arial"/>
          <w:sz w:val="16"/>
        </w:rPr>
        <w:t>496.34  (توجه: فقط مواردی که به‌عنوان ایمن برای پرواز تأیید شده‌اند در طول عملیات پرواز استفاده می‌شوند.)</w:t>
      </w:r>
    </w:p>
    <w:p>
      <w:pPr>
        <w:spacing w:after="28" w:line="216" w:lineRule="auto"/>
        <w:ind w:left="259"/>
        <w:jc w:val="left"/>
      </w:pPr>
      <w:r>
        <w:rPr>
          <w:rFonts w:ascii="Arial" w:hAnsi="Arial"/>
          <w:color w:val="525252"/>
          <w:sz w:val="13"/>
        </w:rPr>
        <w:t>(Note: Only items approved as Safe-to-Fly will be worn during flying operations.)</w:t>
      </w:r>
    </w:p>
    <w:p>
      <w:r>
        <w:br w:type="page"/>
      </w:r>
    </w:p>
    <w:p>
      <w:pPr>
        <w:spacing w:after="60"/>
        <w:jc w:val="right"/>
        <w:bidi/>
      </w:pPr>
      <w:r>
        <w:rPr>
          <w:rFonts w:ascii="Arial" w:hAnsi="Arial"/>
          <w:b/>
          <w:color w:val="1F4D78"/>
          <w:sz w:val="19"/>
        </w:rPr>
        <w:t>هفتهٔ 497  |  صفحهٔ منبع: 513</w:t>
      </w:r>
    </w:p>
    <w:p>
      <w:pPr>
        <w:spacing w:after="20" w:line="223" w:lineRule="auto"/>
        <w:jc w:val="right"/>
        <w:bidi/>
      </w:pPr>
      <w:r>
        <w:rPr>
          <w:rFonts w:ascii="Arial" w:hAnsi="Arial"/>
          <w:sz w:val="16"/>
        </w:rPr>
        <w:t>497.01  برای لباس‌های بیرونی CWAS سبز مریم گلی که برای ولکرو®/پاتچهای سبک خدمه هواپیما پیکربندی شده‌اند، اعضا وصله‌های IAW DAFI ۳۶-۲۹۰۳، پاراگراف ۹.۱۲.۲.۹ را می‌پوشند، به جز اینکه برچسب‌های نام حاوی رتبه افراد (افسران و ثبت‌نام)، نام و نام خانوادگی، SMS، LDOGT. جان دو).</w:t>
      </w:r>
    </w:p>
    <w:p>
      <w:pPr>
        <w:spacing w:after="28" w:line="216" w:lineRule="auto"/>
        <w:ind w:left="259"/>
        <w:jc w:val="left"/>
      </w:pPr>
      <w:r>
        <w:rPr>
          <w:rFonts w:ascii="Arial" w:hAnsi="Arial"/>
          <w:color w:val="525252"/>
          <w:sz w:val="13"/>
        </w:rPr>
        <w:t>For sage green CWAS outerwear configured for aircrew-style Velcro®/patches, members will wear patches IAW DAFI 36-2903, paragraph 9.12.2.9, except nametags will contain individual’s rank (officers and enlisted), first and last name (e.g., LT COL JANE DOE or SMSGT JOHN DOE).</w:t>
      </w:r>
    </w:p>
    <w:p>
      <w:pPr>
        <w:spacing w:after="20" w:line="223" w:lineRule="auto"/>
        <w:jc w:val="right"/>
        <w:bidi/>
      </w:pPr>
      <w:r>
        <w:rPr>
          <w:rFonts w:ascii="Arial" w:hAnsi="Arial"/>
          <w:sz w:val="16"/>
        </w:rPr>
        <w:t>497.02  برای افسران درجه به دوش دوخته نمی‌شود.</w:t>
      </w:r>
    </w:p>
    <w:p>
      <w:pPr>
        <w:spacing w:after="28" w:line="216" w:lineRule="auto"/>
        <w:ind w:left="259"/>
        <w:jc w:val="left"/>
      </w:pPr>
      <w:r>
        <w:rPr>
          <w:rFonts w:ascii="Arial" w:hAnsi="Arial"/>
          <w:color w:val="525252"/>
          <w:sz w:val="13"/>
        </w:rPr>
        <w:t>Rank will not be sewn onto the shoulders for officers.</w:t>
      </w:r>
    </w:p>
    <w:p>
      <w:pPr>
        <w:spacing w:after="20" w:line="223" w:lineRule="auto"/>
        <w:jc w:val="right"/>
        <w:bidi/>
      </w:pPr>
      <w:r>
        <w:rPr>
          <w:rFonts w:ascii="Arial" w:hAnsi="Arial"/>
          <w:sz w:val="16"/>
        </w:rPr>
        <w:t>497.03  برای لباس‌های بیرونی CWAS با رنگ OCP که برای پچ‌های ولکرو®/وصله‌های سبک خدمه هوایی پیکربندی شده‌اند، اعضا یک پچ قهوه‌ای ادویه‌ای MAJCOM (یا نشان معادل) روی سینه سمت راست، و تکه‌های سازمانی و واحد و پرچم ایالات متحده IAW DAFI ۳۲-۲۹۰۱، ۳۶-۲۹۰۱، پاراگراف ۳۶-۲۹۰۳ می‌پوشند.</w:t>
      </w:r>
    </w:p>
    <w:p>
      <w:pPr>
        <w:spacing w:after="28" w:line="216" w:lineRule="auto"/>
        <w:ind w:left="259"/>
        <w:jc w:val="left"/>
      </w:pPr>
      <w:r>
        <w:rPr>
          <w:rFonts w:ascii="Arial" w:hAnsi="Arial"/>
          <w:color w:val="525252"/>
          <w:sz w:val="13"/>
        </w:rPr>
        <w:t>For OCP-colored CWAS outerwear configured for aircrew style Velcro®/patches, members will wear a spice brown MAJCOM (or equivalent emblem) patch on the right breast, and organizational and unit patches and U.S. flag IAW DAFI 36-2903, paragraph 9.12.2.9.</w:t>
      </w:r>
    </w:p>
    <w:p>
      <w:pPr>
        <w:spacing w:after="20" w:line="223" w:lineRule="auto"/>
        <w:jc w:val="right"/>
        <w:bidi/>
      </w:pPr>
      <w:r>
        <w:rPr>
          <w:rFonts w:ascii="Arial" w:hAnsi="Arial"/>
          <w:sz w:val="16"/>
        </w:rPr>
        <w:t>497.04  برچسب‌های نام پارچه به اندازه ۲ در ۴ اینچ خواهد بود و روی سینه سمت چپ پوشیده می‌شود.</w:t>
      </w:r>
    </w:p>
    <w:p>
      <w:pPr>
        <w:spacing w:after="28" w:line="216" w:lineRule="auto"/>
        <w:ind w:left="259"/>
        <w:jc w:val="left"/>
      </w:pPr>
      <w:r>
        <w:rPr>
          <w:rFonts w:ascii="Arial" w:hAnsi="Arial"/>
          <w:color w:val="525252"/>
          <w:sz w:val="13"/>
        </w:rPr>
        <w:t>Cloth name tags will be 2 x 4-inches in size and worn over the left breast.</w:t>
      </w:r>
    </w:p>
    <w:p>
      <w:pPr>
        <w:spacing w:after="20" w:line="223" w:lineRule="auto"/>
        <w:jc w:val="right"/>
        <w:bidi/>
      </w:pPr>
      <w:r>
        <w:rPr>
          <w:rFonts w:ascii="Arial" w:hAnsi="Arial"/>
          <w:sz w:val="16"/>
        </w:rPr>
        <w:t>497.05  حداقل، نشان‌های هوانوردی، فضایی، فضای مجازی، یا نشان‌های عملیات موشکی (در صورت اعطا) اجباری هستند و برچسب‌های نام شامل رتبه افراد (افسران و سربازان)، نام و نام خانوادگی خواهد بود.</w:t>
      </w:r>
    </w:p>
    <w:p>
      <w:pPr>
        <w:spacing w:after="28" w:line="216" w:lineRule="auto"/>
        <w:ind w:left="259"/>
        <w:jc w:val="left"/>
      </w:pPr>
      <w:r>
        <w:rPr>
          <w:rFonts w:ascii="Arial" w:hAnsi="Arial"/>
          <w:color w:val="525252"/>
          <w:sz w:val="13"/>
        </w:rPr>
        <w:t>At a minimum, the Aeronautical badge, Space, Cyberspace, or missile operations badges (if awarded) are mandatory, and nametags will contain individual’s rank (officers and enlisted), first and last name.</w:t>
      </w:r>
    </w:p>
    <w:p>
      <w:pPr>
        <w:spacing w:after="20" w:line="223" w:lineRule="auto"/>
        <w:jc w:val="right"/>
        <w:bidi/>
      </w:pPr>
      <w:r>
        <w:rPr>
          <w:rFonts w:ascii="Arial" w:hAnsi="Arial"/>
          <w:sz w:val="16"/>
        </w:rPr>
        <w:t>497.06  نشان‌ها، حروف، علائم فرمان (در صورت لزوم)، و حاشیه به رنگ قهوه‌ای ادویه‌ای روی پس‌زمینه استتار OCP دوخته می‌شوند.</w:t>
      </w:r>
    </w:p>
    <w:p>
      <w:pPr>
        <w:spacing w:after="28" w:line="216" w:lineRule="auto"/>
        <w:ind w:left="259"/>
        <w:jc w:val="left"/>
      </w:pPr>
      <w:r>
        <w:rPr>
          <w:rFonts w:ascii="Arial" w:hAnsi="Arial"/>
          <w:color w:val="525252"/>
          <w:sz w:val="13"/>
        </w:rPr>
        <w:t>Badges, lettering, command insignia (when applicable), and border will be stitched in spice brown on an OCP camouflage background.</w:t>
      </w:r>
    </w:p>
    <w:p>
      <w:pPr>
        <w:spacing w:after="20" w:line="223" w:lineRule="auto"/>
        <w:jc w:val="right"/>
        <w:bidi/>
      </w:pPr>
      <w:r>
        <w:rPr>
          <w:rFonts w:ascii="Arial" w:hAnsi="Arial"/>
          <w:sz w:val="16"/>
        </w:rPr>
        <w:t>497.07  برای لباس‌های بیرونی CWAS با رنگ OCP که برای ولکرو®/وصله‌های به سبک OCP پیکربندی شده‌اند، اعضا وصله‌های IAW DAFI ۳۶-۲۹۰۳، پاراگراف‌های ۹.۱۲.۲.۶ تا ۹.۱۲.۲.۹ را پیکربندی می‌کنند، به جز اینکه نام پست در سمت راست پوشیده شود.</w:t>
      </w:r>
    </w:p>
    <w:p>
      <w:pPr>
        <w:spacing w:after="28" w:line="216" w:lineRule="auto"/>
        <w:ind w:left="259"/>
        <w:jc w:val="left"/>
      </w:pPr>
      <w:r>
        <w:rPr>
          <w:rFonts w:ascii="Arial" w:hAnsi="Arial"/>
          <w:color w:val="525252"/>
          <w:sz w:val="13"/>
        </w:rPr>
        <w:t>For OCP-colored CWAS outerwear configured for OCP-style Velcro®/patches, members will configure patches IAW DAFI 36-2903, paragraphs 9.12.2.6 through 9.12.2.9, except rank will be worn over the right breast name tape.</w:t>
      </w:r>
    </w:p>
    <w:p>
      <w:pPr>
        <w:spacing w:after="20" w:line="223" w:lineRule="auto"/>
        <w:jc w:val="right"/>
        <w:bidi/>
      </w:pPr>
      <w:r>
        <w:rPr>
          <w:rFonts w:ascii="Arial" w:hAnsi="Arial"/>
          <w:sz w:val="16"/>
        </w:rPr>
        <w:t>497.08  کومماند ینسیگنیا.</w:t>
      </w:r>
    </w:p>
    <w:p>
      <w:pPr>
        <w:spacing w:after="28" w:line="216" w:lineRule="auto"/>
        <w:ind w:left="259"/>
        <w:jc w:val="left"/>
      </w:pPr>
      <w:r>
        <w:rPr>
          <w:rFonts w:ascii="Arial" w:hAnsi="Arial"/>
          <w:color w:val="525252"/>
          <w:sz w:val="13"/>
        </w:rPr>
        <w:t>Command Insignia.</w:t>
      </w:r>
    </w:p>
    <w:p>
      <w:pPr>
        <w:spacing w:after="20" w:line="223" w:lineRule="auto"/>
        <w:jc w:val="right"/>
        <w:bidi/>
      </w:pPr>
      <w:r>
        <w:rPr>
          <w:rFonts w:ascii="Arial" w:hAnsi="Arial"/>
          <w:sz w:val="16"/>
        </w:rPr>
        <w:t>497.09  در لباس‌های بیرونی CWAS پیکربندی شده برای ولکرو®/وصله‌های سبک خدمه هواپیما، فرماندهانی که مجاز به پوشیدن پین کومماند ینسیگنیا هستند، نشان را در سمت چپ نشان می‌پوشند.</w:t>
      </w:r>
    </w:p>
    <w:p>
      <w:pPr>
        <w:spacing w:after="28" w:line="216" w:lineRule="auto"/>
        <w:ind w:left="259"/>
        <w:jc w:val="left"/>
      </w:pPr>
      <w:r>
        <w:rPr>
          <w:rFonts w:ascii="Arial" w:hAnsi="Arial"/>
          <w:color w:val="525252"/>
          <w:sz w:val="13"/>
        </w:rPr>
        <w:t>On CWAS outerwear configured for aircrew- style Velcro®/patches, commanders authorized to wear the Command Insignia pin will wear the insignia on the left side of the nametag.</w:t>
      </w:r>
    </w:p>
    <w:p>
      <w:pPr>
        <w:spacing w:after="20" w:line="223" w:lineRule="auto"/>
        <w:jc w:val="right"/>
        <w:bidi/>
      </w:pPr>
      <w:r>
        <w:rPr>
          <w:rFonts w:ascii="Arial" w:hAnsi="Arial"/>
          <w:sz w:val="16"/>
        </w:rPr>
        <w:t>497.10  نشان فقط در حین انجام وظایف فرماندهی پوشیده خواهد شد.</w:t>
      </w:r>
    </w:p>
    <w:p>
      <w:pPr>
        <w:spacing w:after="28" w:line="216" w:lineRule="auto"/>
        <w:ind w:left="259"/>
        <w:jc w:val="left"/>
      </w:pPr>
      <w:r>
        <w:rPr>
          <w:rFonts w:ascii="Arial" w:hAnsi="Arial"/>
          <w:color w:val="525252"/>
          <w:sz w:val="13"/>
        </w:rPr>
        <w:t>The insignia will be worn only while performing commander duties.</w:t>
      </w:r>
    </w:p>
    <w:p>
      <w:pPr>
        <w:spacing w:after="20" w:line="223" w:lineRule="auto"/>
        <w:jc w:val="right"/>
        <w:bidi/>
      </w:pPr>
      <w:r>
        <w:rPr>
          <w:rFonts w:ascii="Arial" w:hAnsi="Arial"/>
          <w:sz w:val="16"/>
        </w:rPr>
        <w:t>497.11  در لباس‌های بیرونی CWAS که برای ولکرو®/وصله‌های به سبک OCP پیکربندی شده‌اند، نشان IAW DAFI ۳۶-۲۹۰۳، پاراگراف ۹.۱۲.۲.۱۰ پوشیده می‌شود.</w:t>
      </w:r>
    </w:p>
    <w:p>
      <w:pPr>
        <w:spacing w:after="28" w:line="216" w:lineRule="auto"/>
        <w:ind w:left="259"/>
        <w:jc w:val="left"/>
      </w:pPr>
      <w:r>
        <w:rPr>
          <w:rFonts w:ascii="Arial" w:hAnsi="Arial"/>
          <w:color w:val="525252"/>
          <w:sz w:val="13"/>
        </w:rPr>
        <w:t>On CWAS outerwear configured for OCP-style Velcro®/patches, the insignia will be worn IAW DAFI 36-2903, paragraph 9.12.2.10.</w:t>
      </w:r>
    </w:p>
    <w:p>
      <w:pPr>
        <w:spacing w:after="20" w:line="223" w:lineRule="auto"/>
        <w:jc w:val="right"/>
        <w:bidi/>
      </w:pPr>
      <w:r>
        <w:rPr>
          <w:rFonts w:ascii="Arial" w:hAnsi="Arial"/>
          <w:sz w:val="16"/>
        </w:rPr>
        <w:t>497.12  ژاکت پرنده چرمی ا-۲ برای پوشیدن با ۲PFDU (فقط پوشیدن زمین) مجاز است مگر اینکه توسط مکمل MAJCOM منع شده باشد.</w:t>
      </w:r>
    </w:p>
    <w:p>
      <w:pPr>
        <w:spacing w:after="28" w:line="216" w:lineRule="auto"/>
        <w:ind w:left="259"/>
        <w:jc w:val="left"/>
      </w:pPr>
      <w:r>
        <w:rPr>
          <w:rFonts w:ascii="Arial" w:hAnsi="Arial"/>
          <w:color w:val="525252"/>
          <w:sz w:val="13"/>
        </w:rPr>
        <w:t>The Leather A-2 Flying Jacket is authorized for wear with the 2PFDU (ground wear only) unless prohibited by MAJCOM supplement.</w:t>
      </w:r>
    </w:p>
    <w:p>
      <w:pPr>
        <w:spacing w:after="20" w:line="223" w:lineRule="auto"/>
        <w:jc w:val="right"/>
        <w:bidi/>
      </w:pPr>
      <w:r>
        <w:rPr>
          <w:rFonts w:ascii="Arial" w:hAnsi="Arial"/>
          <w:sz w:val="16"/>
        </w:rPr>
        <w:t>497.13  افراد مجاز در DAFI ۳۶-۲۹۰۳، بند ۹.۵.۲.۳ و بند ۱۰.۷.۶ فهرست شده‌اند.</w:t>
      </w:r>
    </w:p>
    <w:p>
      <w:pPr>
        <w:spacing w:after="28" w:line="216" w:lineRule="auto"/>
        <w:ind w:left="259"/>
        <w:jc w:val="left"/>
      </w:pPr>
      <w:r>
        <w:rPr>
          <w:rFonts w:ascii="Arial" w:hAnsi="Arial"/>
          <w:color w:val="525252"/>
          <w:sz w:val="13"/>
        </w:rPr>
        <w:t>Authorized individuals are listed in DAFI 36- 2903, paragraph 9.5.2.3 and paragraph 10.7.6.</w:t>
      </w:r>
    </w:p>
    <w:p>
      <w:pPr>
        <w:spacing w:after="20" w:line="223" w:lineRule="auto"/>
        <w:jc w:val="right"/>
        <w:bidi/>
      </w:pPr>
      <w:r>
        <w:rPr>
          <w:rFonts w:ascii="Arial" w:hAnsi="Arial"/>
          <w:sz w:val="16"/>
        </w:rPr>
        <w:t>497.14  وصله‌های MAJCOM دارای پس‌زمینه چرم قهوه‌ای یا مشکی (یا چرم شبیه‌سازی شده)، در پیکربندی رنگ قهوه‌ای ادویه‌ای خواهند بود، و بلوز در هنگام پوشیدن با ۲PFDU در آن قرار می‌گیرد.</w:t>
      </w:r>
    </w:p>
    <w:p>
      <w:pPr>
        <w:spacing w:after="28" w:line="216" w:lineRule="auto"/>
        <w:ind w:left="259"/>
        <w:jc w:val="left"/>
      </w:pPr>
      <w:r>
        <w:rPr>
          <w:rFonts w:ascii="Arial" w:hAnsi="Arial"/>
          <w:color w:val="525252"/>
          <w:sz w:val="13"/>
        </w:rPr>
        <w:t>MAJCOM patches will have Brown or Black leather (or simulated leather) background, in the spice brown color configuration, and blouse will be tucked in when worn with the 2PFDU.</w:t>
      </w:r>
    </w:p>
    <w:p>
      <w:pPr>
        <w:spacing w:after="20" w:line="223" w:lineRule="auto"/>
        <w:jc w:val="right"/>
        <w:bidi/>
      </w:pPr>
      <w:r>
        <w:rPr>
          <w:rFonts w:ascii="Arial" w:hAnsi="Arial"/>
          <w:sz w:val="16"/>
        </w:rPr>
        <w:t>497.15  پوشیدن خارج از پایه.</w:t>
      </w:r>
    </w:p>
    <w:p>
      <w:pPr>
        <w:spacing w:after="28" w:line="216" w:lineRule="auto"/>
        <w:ind w:left="259"/>
        <w:jc w:val="left"/>
      </w:pPr>
      <w:r>
        <w:rPr>
          <w:rFonts w:ascii="Arial" w:hAnsi="Arial"/>
          <w:color w:val="525252"/>
          <w:sz w:val="13"/>
        </w:rPr>
        <w:t>Off-Base wear.</w:t>
      </w:r>
    </w:p>
    <w:p>
      <w:pPr>
        <w:spacing w:after="20" w:line="223" w:lineRule="auto"/>
        <w:jc w:val="right"/>
        <w:bidi/>
      </w:pPr>
      <w:r>
        <w:rPr>
          <w:rFonts w:ascii="Arial" w:hAnsi="Arial"/>
          <w:sz w:val="16"/>
        </w:rPr>
        <w:t>497.16  ۲PFDU سایش خارج از پایه، IAW DAFI ۳۶-۲۹۰۳، پاراگراف ۵.۱، دستورالعمل‌های OCP برای سایش خارج از پایه خواهد بود.</w:t>
      </w:r>
    </w:p>
    <w:p>
      <w:pPr>
        <w:spacing w:after="28" w:line="216" w:lineRule="auto"/>
        <w:ind w:left="259"/>
        <w:jc w:val="left"/>
      </w:pPr>
      <w:r>
        <w:rPr>
          <w:rFonts w:ascii="Arial" w:hAnsi="Arial"/>
          <w:color w:val="525252"/>
          <w:sz w:val="13"/>
        </w:rPr>
        <w:t>2PFDU off-base wear will be IAW DAFI 36-2903, paragraph 5.1., OCP guidelines for off-base wear.</w:t>
      </w:r>
    </w:p>
    <w:p>
      <w:pPr>
        <w:spacing w:after="20" w:line="223" w:lineRule="auto"/>
        <w:jc w:val="right"/>
        <w:bidi/>
      </w:pPr>
      <w:r>
        <w:rPr>
          <w:rFonts w:ascii="Arial" w:hAnsi="Arial"/>
          <w:sz w:val="16"/>
        </w:rPr>
        <w:t>497.17  هنگام انجام وظایف خدمه هواپیما در حین پرواز، آستین‌ها ساییده می‌شوند، بند می‌آیند، یا زیر مچ قرار می‌گیرند.</w:t>
      </w:r>
    </w:p>
    <w:p>
      <w:pPr>
        <w:spacing w:after="28" w:line="216" w:lineRule="auto"/>
        <w:ind w:left="259"/>
        <w:jc w:val="left"/>
      </w:pPr>
      <w:r>
        <w:rPr>
          <w:rFonts w:ascii="Arial" w:hAnsi="Arial"/>
          <w:color w:val="525252"/>
          <w:sz w:val="13"/>
        </w:rPr>
        <w:t>Sleeves will be worn down, cuffed, or tucked under at the wrist when performing aircrew duties in-flight.</w:t>
      </w:r>
    </w:p>
    <w:p>
      <w:pPr>
        <w:spacing w:after="20" w:line="223" w:lineRule="auto"/>
        <w:jc w:val="right"/>
        <w:bidi/>
      </w:pPr>
      <w:r>
        <w:rPr>
          <w:rFonts w:ascii="Arial" w:hAnsi="Arial"/>
          <w:sz w:val="16"/>
        </w:rPr>
        <w:t>497.18  در صورت عدم انجام وظایف در پرواز، ممکن است آستین‌ها را زیر یا بالا بکشید. اگر در زیر یا بالا کشیده شوند (با استفاده از ولکرو® برای نگه داشتن در جای خود)، آستین‌ها به خم طبیعی آرنج یا در فاصله ۱ اینچی خم می‌شوند، زمانی که بازوهای پوشنده به‌طور طبیعی در کنارش آویزان هستند.</w:t>
      </w:r>
    </w:p>
    <w:p>
      <w:pPr>
        <w:spacing w:after="28" w:line="216" w:lineRule="auto"/>
        <w:ind w:left="259"/>
        <w:jc w:val="left"/>
      </w:pPr>
      <w:r>
        <w:rPr>
          <w:rFonts w:ascii="Arial" w:hAnsi="Arial"/>
          <w:color w:val="525252"/>
          <w:sz w:val="13"/>
        </w:rPr>
        <w:t>Sleeves may be rolled under or pulled up if not performing in-flight duties; if rolled under or pulled up (using Velcro® to hold in place), the sleeves will end at, or within 1-inch, of the natural bend in the elbow, when the wearer’s arms are hanging naturally at their side.</w:t>
      </w:r>
    </w:p>
    <w:p>
      <w:pPr>
        <w:spacing w:after="20" w:line="223" w:lineRule="auto"/>
        <w:jc w:val="right"/>
        <w:bidi/>
      </w:pPr>
      <w:r>
        <w:rPr>
          <w:rFonts w:ascii="Arial" w:hAnsi="Arial"/>
          <w:sz w:val="16"/>
        </w:rPr>
        <w:t>497.19  کمربند.</w:t>
      </w:r>
    </w:p>
    <w:p>
      <w:pPr>
        <w:spacing w:after="28" w:line="216" w:lineRule="auto"/>
        <w:ind w:left="259"/>
        <w:jc w:val="left"/>
      </w:pPr>
      <w:r>
        <w:rPr>
          <w:rFonts w:ascii="Arial" w:hAnsi="Arial"/>
          <w:color w:val="525252"/>
          <w:sz w:val="13"/>
        </w:rPr>
        <w:t>Belt.</w:t>
      </w:r>
    </w:p>
    <w:p>
      <w:pPr>
        <w:spacing w:after="20" w:line="223" w:lineRule="auto"/>
        <w:jc w:val="right"/>
        <w:bidi/>
      </w:pPr>
      <w:r>
        <w:rPr>
          <w:rFonts w:ascii="Arial" w:hAnsi="Arial"/>
          <w:sz w:val="16"/>
        </w:rPr>
        <w:t>497.20  یک کمربند یک پارچه کایوت قهوه‌ای با شلوار ۲PFDU پوشیده می‌شود.</w:t>
      </w:r>
    </w:p>
    <w:p>
      <w:pPr>
        <w:spacing w:after="28" w:line="216" w:lineRule="auto"/>
        <w:ind w:left="259"/>
        <w:jc w:val="left"/>
      </w:pPr>
      <w:r>
        <w:rPr>
          <w:rFonts w:ascii="Arial" w:hAnsi="Arial"/>
          <w:color w:val="525252"/>
          <w:sz w:val="13"/>
        </w:rPr>
        <w:t>A one-piece Coyote Brown web belt will be worn with 2PFDU trousers.</w:t>
      </w:r>
    </w:p>
    <w:p>
      <w:pPr>
        <w:spacing w:after="20" w:line="223" w:lineRule="auto"/>
        <w:jc w:val="right"/>
        <w:bidi/>
      </w:pPr>
      <w:r>
        <w:rPr>
          <w:rFonts w:ascii="Arial" w:hAnsi="Arial"/>
          <w:sz w:val="16"/>
        </w:rPr>
        <w:t>497.21  سبک ریگر نیز مجاز است.</w:t>
      </w:r>
    </w:p>
    <w:p>
      <w:pPr>
        <w:spacing w:after="28" w:line="216" w:lineRule="auto"/>
        <w:ind w:left="259"/>
        <w:jc w:val="left"/>
      </w:pPr>
      <w:r>
        <w:rPr>
          <w:rFonts w:ascii="Arial" w:hAnsi="Arial"/>
          <w:color w:val="525252"/>
          <w:sz w:val="13"/>
        </w:rPr>
        <w:t>Rigger style is also authorized.</w:t>
      </w:r>
    </w:p>
    <w:p>
      <w:pPr>
        <w:spacing w:after="20" w:line="223" w:lineRule="auto"/>
        <w:jc w:val="right"/>
        <w:bidi/>
      </w:pPr>
      <w:r>
        <w:rPr>
          <w:rFonts w:ascii="Arial" w:hAnsi="Arial"/>
          <w:sz w:val="16"/>
        </w:rPr>
        <w:t>497.22  کمربند ممکن است از سگک امتداد یابد. تی شرت ⟦۰۲۳ .</w:t>
      </w:r>
    </w:p>
    <w:p>
      <w:pPr>
        <w:spacing w:after="28" w:line="216" w:lineRule="auto"/>
        <w:ind w:left="259"/>
        <w:jc w:val="left"/>
      </w:pPr>
      <w:r>
        <w:rPr>
          <w:rFonts w:ascii="Arial" w:hAnsi="Arial"/>
          <w:color w:val="525252"/>
          <w:sz w:val="13"/>
        </w:rPr>
        <w:t>Belt may extend past buckle.</w:t>
      </w:r>
    </w:p>
    <w:p>
      <w:pPr>
        <w:spacing w:after="20" w:line="223" w:lineRule="auto"/>
        <w:jc w:val="right"/>
        <w:bidi/>
      </w:pPr>
      <w:r>
        <w:rPr>
          <w:rFonts w:ascii="Arial" w:hAnsi="Arial"/>
          <w:sz w:val="16"/>
        </w:rPr>
        <w:t>497.23  تی شرت.</w:t>
      </w:r>
    </w:p>
    <w:p>
      <w:pPr>
        <w:spacing w:after="28" w:line="216" w:lineRule="auto"/>
        <w:ind w:left="259"/>
        <w:jc w:val="left"/>
      </w:pPr>
      <w:r>
        <w:rPr>
          <w:rFonts w:ascii="Arial" w:hAnsi="Arial"/>
          <w:color w:val="525252"/>
          <w:sz w:val="13"/>
        </w:rPr>
        <w:t>T-Shirt.</w:t>
      </w:r>
    </w:p>
    <w:p>
      <w:pPr>
        <w:spacing w:after="20" w:line="223" w:lineRule="auto"/>
        <w:jc w:val="right"/>
        <w:bidi/>
      </w:pPr>
      <w:r>
        <w:rPr>
          <w:rFonts w:ascii="Arial" w:hAnsi="Arial"/>
          <w:sz w:val="16"/>
        </w:rPr>
        <w:t>497.24  تی شرت کایوت براون (برنزه ۴۹۹) خواهد بود.</w:t>
      </w:r>
    </w:p>
    <w:p>
      <w:pPr>
        <w:spacing w:after="28" w:line="216" w:lineRule="auto"/>
        <w:ind w:left="259"/>
        <w:jc w:val="left"/>
      </w:pPr>
      <w:r>
        <w:rPr>
          <w:rFonts w:ascii="Arial" w:hAnsi="Arial"/>
          <w:color w:val="525252"/>
          <w:sz w:val="13"/>
        </w:rPr>
        <w:t>T-Shirt will be Coyote Brown (Tan 499).</w:t>
      </w:r>
    </w:p>
    <w:p>
      <w:pPr>
        <w:spacing w:after="20" w:line="223" w:lineRule="auto"/>
        <w:jc w:val="right"/>
        <w:bidi/>
      </w:pPr>
      <w:r>
        <w:rPr>
          <w:rFonts w:ascii="Arial" w:hAnsi="Arial"/>
          <w:sz w:val="16"/>
        </w:rPr>
        <w:t>497.25  به‌علاوه، فرماندهان جناح یا اسکادران ممکن است اجازه دهند که روی لباس‌های اخلاقی نشان‌های سازمانی، همانطور که به‌طور رسمی و در حال حاضر تأیید شده است، به قطر بیش از ۵ اینچ، در پارچه یا صفحه ابریشمی نمایش داده شود.</w:t>
      </w:r>
    </w:p>
    <w:p>
      <w:pPr>
        <w:spacing w:after="28" w:line="216" w:lineRule="auto"/>
        <w:ind w:left="259"/>
        <w:jc w:val="left"/>
      </w:pPr>
      <w:r>
        <w:rPr>
          <w:rFonts w:ascii="Arial" w:hAnsi="Arial"/>
          <w:color w:val="525252"/>
          <w:sz w:val="13"/>
        </w:rPr>
        <w:t>Additionally, wing or squadron commanders may allow for display on morale undershirts organizational emblems, as officially and currently approved, not to exceed 5-inches in diameter, in cloth or silk screen.</w:t>
      </w:r>
    </w:p>
    <w:p>
      <w:pPr>
        <w:spacing w:after="20" w:line="223" w:lineRule="auto"/>
        <w:jc w:val="right"/>
        <w:bidi/>
      </w:pPr>
      <w:r>
        <w:rPr>
          <w:rFonts w:ascii="Arial" w:hAnsi="Arial"/>
          <w:sz w:val="16"/>
        </w:rPr>
        <w:t>497.26  در صورت نمایش، نشان‌های سازمانی در سمت چپ سینه زیرپیراهن‌های اخلاقی جمعه کایوت براون (تان ۴۹۹) پوشیده می‌شوند.</w:t>
      </w:r>
    </w:p>
    <w:p>
      <w:pPr>
        <w:spacing w:after="28" w:line="216" w:lineRule="auto"/>
        <w:ind w:left="259"/>
        <w:jc w:val="left"/>
      </w:pPr>
      <w:r>
        <w:rPr>
          <w:rFonts w:ascii="Arial" w:hAnsi="Arial"/>
          <w:color w:val="525252"/>
          <w:sz w:val="13"/>
        </w:rPr>
        <w:t>If displayed, organizational emblems will be worn on the left side of chest of the Coyote Brown (Tan 499) Friday morale undershirts.</w:t>
      </w:r>
    </w:p>
    <w:p>
      <w:pPr>
        <w:spacing w:after="20" w:line="223" w:lineRule="auto"/>
        <w:jc w:val="right"/>
        <w:bidi/>
      </w:pPr>
      <w:r>
        <w:rPr>
          <w:rFonts w:ascii="Arial" w:hAnsi="Arial"/>
          <w:sz w:val="16"/>
        </w:rPr>
        <w:t>497.27  زیرپیراهن‌های اخلاقی همچنین ممکن است نشان سازمانی را در پشت زیرپیراهن با قطر بزرگ‌تر نشان دهند که توسط فرماندهان مجاز است.</w:t>
      </w:r>
    </w:p>
    <w:p>
      <w:pPr>
        <w:spacing w:after="28" w:line="216" w:lineRule="auto"/>
        <w:ind w:left="259"/>
        <w:jc w:val="left"/>
      </w:pPr>
      <w:r>
        <w:rPr>
          <w:rFonts w:ascii="Arial" w:hAnsi="Arial"/>
          <w:color w:val="525252"/>
          <w:sz w:val="13"/>
        </w:rPr>
        <w:t>The morale undershirts may also display the organizational emblem on the back of the undershirt in a larger diameter as authorized by commanders.</w:t>
      </w:r>
    </w:p>
    <w:p>
      <w:pPr>
        <w:spacing w:after="20" w:line="223" w:lineRule="auto"/>
        <w:jc w:val="right"/>
        <w:bidi/>
      </w:pPr>
      <w:r>
        <w:rPr>
          <w:rFonts w:ascii="Arial" w:hAnsi="Arial"/>
          <w:sz w:val="16"/>
        </w:rPr>
        <w:t>497.28  (توجه: فقط مواردی که به‌عنوان ایمن برای پرواز تأیید شده‌اند در طول عملیات پرواز استفاده می‌شوند.) جوراب.</w:t>
      </w:r>
    </w:p>
    <w:p>
      <w:pPr>
        <w:spacing w:after="28" w:line="216" w:lineRule="auto"/>
        <w:ind w:left="259"/>
        <w:jc w:val="left"/>
      </w:pPr>
      <w:r>
        <w:rPr>
          <w:rFonts w:ascii="Arial" w:hAnsi="Arial"/>
          <w:color w:val="525252"/>
          <w:sz w:val="13"/>
        </w:rPr>
        <w:t>(Note: Only items approved as Safe-to-Fly will be worn during flying operations.) Socks.</w:t>
      </w:r>
    </w:p>
    <w:p>
      <w:pPr>
        <w:spacing w:after="20" w:line="223" w:lineRule="auto"/>
        <w:jc w:val="right"/>
        <w:bidi/>
      </w:pPr>
      <w:r>
        <w:rPr>
          <w:rFonts w:ascii="Arial" w:hAnsi="Arial"/>
          <w:sz w:val="16"/>
        </w:rPr>
        <w:t>497.29  جوراب باید از پنبه یا پشم باشد.</w:t>
      </w:r>
    </w:p>
    <w:p>
      <w:pPr>
        <w:spacing w:after="28" w:line="216" w:lineRule="auto"/>
        <w:ind w:left="259"/>
        <w:jc w:val="left"/>
      </w:pPr>
      <w:r>
        <w:rPr>
          <w:rFonts w:ascii="Arial" w:hAnsi="Arial"/>
          <w:color w:val="525252"/>
          <w:sz w:val="13"/>
        </w:rPr>
        <w:t>Socks should be made of cotton or wool.</w:t>
      </w:r>
    </w:p>
    <w:p>
      <w:pPr>
        <w:spacing w:after="20" w:line="223" w:lineRule="auto"/>
        <w:jc w:val="right"/>
        <w:bidi/>
      </w:pPr>
      <w:r>
        <w:rPr>
          <w:rFonts w:ascii="Arial" w:hAnsi="Arial"/>
          <w:sz w:val="16"/>
        </w:rPr>
        <w:t>497.30  جوراب‌های قهوه‌ای کایوت یا سبز صادر شده توسط DLA با ۲PFDU پوشیده می‌شوند.</w:t>
      </w:r>
    </w:p>
    <w:p>
      <w:pPr>
        <w:spacing w:after="28" w:line="216" w:lineRule="auto"/>
        <w:ind w:left="259"/>
        <w:jc w:val="left"/>
      </w:pPr>
      <w:r>
        <w:rPr>
          <w:rFonts w:ascii="Arial" w:hAnsi="Arial"/>
          <w:color w:val="525252"/>
          <w:sz w:val="13"/>
        </w:rPr>
        <w:t>Coyote Brown or DLA-issued Green socks will be worn with the 2PFDU.</w:t>
      </w:r>
    </w:p>
    <w:p>
      <w:pPr>
        <w:spacing w:after="20" w:line="223" w:lineRule="auto"/>
        <w:jc w:val="right"/>
        <w:bidi/>
      </w:pPr>
      <w:r>
        <w:rPr>
          <w:rFonts w:ascii="Arial" w:hAnsi="Arial"/>
          <w:sz w:val="16"/>
        </w:rPr>
        <w:t>497.31  جوراب‌های اضافی زیر جوراب‌ها پوشیده می‌شوند، مشروط بر اینکه ظاهر نشوند.</w:t>
      </w:r>
    </w:p>
    <w:p>
      <w:pPr>
        <w:spacing w:after="28" w:line="216" w:lineRule="auto"/>
        <w:ind w:left="259"/>
        <w:jc w:val="left"/>
      </w:pPr>
      <w:r>
        <w:rPr>
          <w:rFonts w:ascii="Arial" w:hAnsi="Arial"/>
          <w:color w:val="525252"/>
          <w:sz w:val="13"/>
        </w:rPr>
        <w:t>Additional socks may be worn underneath the socks provided they are not showing.</w:t>
      </w:r>
    </w:p>
    <w:p>
      <w:pPr>
        <w:spacing w:after="20" w:line="223" w:lineRule="auto"/>
        <w:jc w:val="right"/>
        <w:bidi/>
      </w:pPr>
      <w:r>
        <w:rPr>
          <w:rFonts w:ascii="Arial" w:hAnsi="Arial"/>
          <w:sz w:val="16"/>
        </w:rPr>
        <w:t>497.32  مانتو نباید زیر قسمت بالای جیب باری شلوار کشیده شود و نباید بالاتر از قسمت پایین جیب بغل (لپ) شلوار باشد.</w:t>
      </w:r>
    </w:p>
    <w:p>
      <w:pPr>
        <w:spacing w:after="28" w:line="216" w:lineRule="auto"/>
        <w:ind w:left="259"/>
        <w:jc w:val="left"/>
      </w:pPr>
      <w:r>
        <w:rPr>
          <w:rFonts w:ascii="Arial" w:hAnsi="Arial"/>
          <w:color w:val="525252"/>
          <w:sz w:val="13"/>
        </w:rPr>
        <w:t>The coat should not extend below the top of the cargo pocket on the pants, and it should not extend higher than the bottom of the side (hip) pocket on the pants.</w:t>
      </w:r>
    </w:p>
    <w:p>
      <w:r>
        <w:br w:type="page"/>
      </w:r>
    </w:p>
    <w:p>
      <w:pPr>
        <w:spacing w:after="60"/>
        <w:jc w:val="right"/>
        <w:bidi/>
      </w:pPr>
      <w:r>
        <w:rPr>
          <w:rFonts w:ascii="Arial" w:hAnsi="Arial"/>
          <w:b/>
          <w:color w:val="1F4D78"/>
          <w:sz w:val="19"/>
        </w:rPr>
        <w:t>هفتهٔ 498  |  صفحهٔ منبع: 514</w:t>
      </w:r>
    </w:p>
    <w:p>
      <w:pPr>
        <w:spacing w:after="20" w:line="223" w:lineRule="auto"/>
        <w:jc w:val="right"/>
        <w:bidi/>
      </w:pPr>
      <w:r>
        <w:rPr>
          <w:rFonts w:ascii="Arial" w:hAnsi="Arial"/>
          <w:sz w:val="16"/>
        </w:rPr>
        <w:t>498.01  کاربران مجاز به پوشیدن شلوار نیستند مگر اینکه شرایط مأموریت حکم کند (مثلا محیط شیمیایی).</w:t>
      </w:r>
    </w:p>
    <w:p>
      <w:pPr>
        <w:spacing w:after="28" w:line="216" w:lineRule="auto"/>
        <w:ind w:left="259"/>
        <w:jc w:val="left"/>
      </w:pPr>
      <w:r>
        <w:rPr>
          <w:rFonts w:ascii="Arial" w:hAnsi="Arial"/>
          <w:color w:val="525252"/>
          <w:sz w:val="13"/>
        </w:rPr>
        <w:t>Users are not authorized to blouse the trousers unless mission conditions dictate (i.e., chemical environment).</w:t>
      </w:r>
    </w:p>
    <w:p>
      <w:pPr>
        <w:spacing w:after="20" w:line="223" w:lineRule="auto"/>
        <w:jc w:val="right"/>
        <w:bidi/>
      </w:pPr>
      <w:r>
        <w:rPr>
          <w:rFonts w:ascii="Arial" w:hAnsi="Arial"/>
          <w:sz w:val="16"/>
        </w:rPr>
        <w:t>498.02  زیرپوش حرارتی.</w:t>
      </w:r>
    </w:p>
    <w:p>
      <w:pPr>
        <w:spacing w:after="28" w:line="216" w:lineRule="auto"/>
        <w:ind w:left="259"/>
        <w:jc w:val="left"/>
      </w:pPr>
      <w:r>
        <w:rPr>
          <w:rFonts w:ascii="Arial" w:hAnsi="Arial"/>
          <w:color w:val="525252"/>
          <w:sz w:val="13"/>
        </w:rPr>
        <w:t>Thermal Undergarments.</w:t>
      </w:r>
    </w:p>
    <w:p>
      <w:pPr>
        <w:spacing w:after="20" w:line="223" w:lineRule="auto"/>
        <w:jc w:val="right"/>
        <w:bidi/>
      </w:pPr>
      <w:r>
        <w:rPr>
          <w:rFonts w:ascii="Arial" w:hAnsi="Arial"/>
          <w:sz w:val="16"/>
        </w:rPr>
        <w:t>498.03  لباس‌های زیر حرارتی (مانند یقه‌های یقه‌دار، یقه‌های یقه‌ای یا یقه‌های ساختگی) به رنگ قهوه‌ای کایوت هستند و طبق شرایط آب و هوایی مجوز ۲PFDU را دارند.</w:t>
      </w:r>
    </w:p>
    <w:p>
      <w:pPr>
        <w:spacing w:after="28" w:line="216" w:lineRule="auto"/>
        <w:ind w:left="259"/>
        <w:jc w:val="left"/>
      </w:pPr>
      <w:r>
        <w:rPr>
          <w:rFonts w:ascii="Arial" w:hAnsi="Arial"/>
          <w:color w:val="525252"/>
          <w:sz w:val="13"/>
        </w:rPr>
        <w:t>Thermal undergarments (i.e., dickies, turtlenecks, or mock necks) will be Coyote Brown-colored and are authorized with the 2PFDU as weather conditions warrant.</w:t>
      </w:r>
    </w:p>
    <w:p>
      <w:pPr>
        <w:spacing w:after="20" w:line="223" w:lineRule="auto"/>
        <w:jc w:val="right"/>
        <w:bidi/>
      </w:pPr>
      <w:r>
        <w:rPr>
          <w:rFonts w:ascii="Arial" w:hAnsi="Arial"/>
          <w:sz w:val="16"/>
        </w:rPr>
        <w:t>498.04  (توجه: فقط اقلامی که به‌عنوان ایمن برای پرواز تأیید شده‌اند در طول عملیات پرواز استفاده می‌شوند.) هنگامی که در انجام وظایف خدمه پرواز پوشیده می‌شوند، خدمه هواپیما باید دستورالعمل‌های زیر را رعایت کنند تا اطمینان حاصل شود که ویژگی‌های حفاظتی کامل لباس: ۲PFDU با زیرپیراهن یا زیرپیراهن مورد تأیید (لیست زیر پیراهنی که روی آن زیر پیراهن تأیید شده است) استفاده می‌شود. در طول پرواز در شلوار فرو می‌رود، مگر در مواردی که شرایط مأموریت خلاف آن را ایجاب می‌کند.</w:t>
      </w:r>
    </w:p>
    <w:p>
      <w:pPr>
        <w:spacing w:after="28" w:line="216" w:lineRule="auto"/>
        <w:ind w:left="259"/>
        <w:jc w:val="left"/>
      </w:pPr>
      <w:r>
        <w:rPr>
          <w:rFonts w:ascii="Arial" w:hAnsi="Arial"/>
          <w:color w:val="525252"/>
          <w:sz w:val="13"/>
        </w:rPr>
        <w:t>(Note: Only items approved as Safe-to-Fly will be worn during flying operations.) When worn in the performance of flight crew duties, aircrew must adhere to the following guidelines to ensure the full protective properties of the uniform are maintained: The 2PFDU will be worn with an undershirt (a cotton undershirt or shirt that is listed on the approved list of undergarments) tucked into the trousers during flight except when mission conditions dictate otherwise.</w:t>
      </w:r>
    </w:p>
    <w:p>
      <w:pPr>
        <w:spacing w:after="20" w:line="223" w:lineRule="auto"/>
        <w:jc w:val="right"/>
        <w:bidi/>
      </w:pPr>
      <w:r>
        <w:rPr>
          <w:rFonts w:ascii="Arial" w:hAnsi="Arial"/>
          <w:sz w:val="16"/>
        </w:rPr>
        <w:t>498.05  تأیید شده بدون ذوب، بدون چکه، زیرپیراهن‌های زیر پوستی و زیرپوش‌ها را می‌توانید در صفحه پورتال اداری متحدالشکل نیروی هوایی بیابید.</w:t>
      </w:r>
    </w:p>
    <w:p>
      <w:pPr>
        <w:spacing w:after="28" w:line="216" w:lineRule="auto"/>
        <w:ind w:left="259"/>
        <w:jc w:val="left"/>
      </w:pPr>
      <w:r>
        <w:rPr>
          <w:rFonts w:ascii="Arial" w:hAnsi="Arial"/>
          <w:color w:val="525252"/>
          <w:sz w:val="13"/>
        </w:rPr>
        <w:t>Approved No Melt, No Drip, Next-to-Skin undershirts, and undergarments can be found on the Air Force Uniform Office Portal page.</w:t>
      </w:r>
    </w:p>
    <w:p>
      <w:pPr>
        <w:spacing w:after="20" w:line="223" w:lineRule="auto"/>
        <w:jc w:val="right"/>
        <w:bidi/>
      </w:pPr>
      <w:r>
        <w:rPr>
          <w:rFonts w:ascii="Arial" w:hAnsi="Arial"/>
          <w:sz w:val="16"/>
        </w:rPr>
        <w:t>498.06  یک جلیقه نجات، زره بدن، یا بند نگهدارنده ممکن است روی کت ۲PFDU در تمام عملیات پرواز با کت پوشیده شده در خارج از شلوار پوشیده شود (قطع نشده).</w:t>
      </w:r>
    </w:p>
    <w:p>
      <w:pPr>
        <w:spacing w:after="28" w:line="216" w:lineRule="auto"/>
        <w:ind w:left="259"/>
        <w:jc w:val="left"/>
      </w:pPr>
      <w:r>
        <w:rPr>
          <w:rFonts w:ascii="Arial" w:hAnsi="Arial"/>
          <w:color w:val="525252"/>
          <w:sz w:val="13"/>
        </w:rPr>
        <w:t>A survival vest, body armor, or restraint harness may be worn over the 2PFDU coat during all flight operations with the coat worn outside the trousers (untucked).</w:t>
      </w:r>
    </w:p>
    <w:p>
      <w:pPr>
        <w:spacing w:after="20" w:line="223" w:lineRule="auto"/>
        <w:jc w:val="right"/>
        <w:bidi/>
      </w:pPr>
      <w:r>
        <w:rPr>
          <w:rFonts w:ascii="Arial" w:hAnsi="Arial"/>
          <w:sz w:val="16"/>
        </w:rPr>
        <w:t>498.07  اگر هیچ یک از اینها روی کت پوشیده نشود، کت داخل شلوار قرار می‌گیرد، مگر در مواردی که تئاتر یا دستورالعمل‌های مأموریتی خلاف آن را حکم کنند.</w:t>
      </w:r>
    </w:p>
    <w:p>
      <w:pPr>
        <w:spacing w:after="28" w:line="216" w:lineRule="auto"/>
        <w:ind w:left="259"/>
        <w:jc w:val="left"/>
      </w:pPr>
      <w:r>
        <w:rPr>
          <w:rFonts w:ascii="Arial" w:hAnsi="Arial"/>
          <w:color w:val="525252"/>
          <w:sz w:val="13"/>
        </w:rPr>
        <w:t>If none of these are worn over the coat, the coat will be tucked into the trousers except when theater or mission directives dictate otherwise.</w:t>
      </w:r>
    </w:p>
    <w:p>
      <w:pPr>
        <w:spacing w:after="20" w:line="223" w:lineRule="auto"/>
        <w:jc w:val="right"/>
        <w:bidi/>
      </w:pPr>
      <w:r>
        <w:rPr>
          <w:rFonts w:ascii="Arial" w:hAnsi="Arial"/>
          <w:sz w:val="16"/>
        </w:rPr>
        <w:t>498.08  هنگام انجام مستقیم وظایف پروازی ممکن است از پیراهن‌های رزمی استفاده شود.</w:t>
      </w:r>
    </w:p>
    <w:p>
      <w:pPr>
        <w:spacing w:after="28" w:line="216" w:lineRule="auto"/>
        <w:ind w:left="259"/>
        <w:jc w:val="left"/>
      </w:pPr>
      <w:r>
        <w:rPr>
          <w:rFonts w:ascii="Arial" w:hAnsi="Arial"/>
          <w:color w:val="525252"/>
          <w:sz w:val="13"/>
        </w:rPr>
        <w:t>Combat shirts may be worn when directly performing flight duties.</w:t>
      </w:r>
    </w:p>
    <w:p>
      <w:pPr>
        <w:spacing w:after="20" w:line="223" w:lineRule="auto"/>
        <w:jc w:val="right"/>
        <w:bidi/>
      </w:pPr>
      <w:r>
        <w:rPr>
          <w:rFonts w:ascii="Arial" w:hAnsi="Arial"/>
          <w:sz w:val="16"/>
        </w:rPr>
        <w:t>498.09  برای پوشیدن در حین پرواز، یک جلیقه نجات یا زره بدن باید روی پیراهن رزمی پوشیده شود، مگر اینکه کت پوشیده شده باشد.</w:t>
      </w:r>
    </w:p>
    <w:p>
      <w:pPr>
        <w:spacing w:after="28" w:line="216" w:lineRule="auto"/>
        <w:ind w:left="259"/>
        <w:jc w:val="left"/>
      </w:pPr>
      <w:r>
        <w:rPr>
          <w:rFonts w:ascii="Arial" w:hAnsi="Arial"/>
          <w:color w:val="525252"/>
          <w:sz w:val="13"/>
        </w:rPr>
        <w:t>For wear in-flight, a survival vest or body armor must be worn over the combat shirt unless the coat is worn.</w:t>
      </w:r>
    </w:p>
    <w:p>
      <w:pPr>
        <w:spacing w:after="20" w:line="223" w:lineRule="auto"/>
        <w:jc w:val="right"/>
        <w:bidi/>
      </w:pPr>
      <w:r>
        <w:rPr>
          <w:rFonts w:ascii="Arial" w:hAnsi="Arial"/>
          <w:sz w:val="16"/>
        </w:rPr>
        <w:t>498.10  (توجه: فقط مواردی که به‌عنوان ایمن برای پرواز تأیید شده‌اند در طول عملیات پرواز استفاده می‌شوند.) برای پوشیدن وصله‌ها با پیراهن رزمی از DAFI ۳۶-۲۹۰۳، پاراگراف ۹.۱۲.۲.۶ تا ۹.۱۲.۲.۸.۲ پیروی کنید.</w:t>
      </w:r>
    </w:p>
    <w:p>
      <w:pPr>
        <w:spacing w:after="28" w:line="216" w:lineRule="auto"/>
        <w:ind w:left="259"/>
        <w:jc w:val="left"/>
      </w:pPr>
      <w:r>
        <w:rPr>
          <w:rFonts w:ascii="Arial" w:hAnsi="Arial"/>
          <w:color w:val="525252"/>
          <w:sz w:val="13"/>
        </w:rPr>
        <w:t>(Note: Only items approved as Safe-to-Fly will be worn during flying operations.) Follow DAFI 36-2903, paragraph 9.12.2.6 through 9.12.2.8.2 for wear of patches with the combat shirt.</w:t>
      </w:r>
    </w:p>
    <w:p>
      <w:pPr>
        <w:spacing w:after="20" w:line="223" w:lineRule="auto"/>
        <w:jc w:val="right"/>
        <w:bidi/>
      </w:pPr>
      <w:r>
        <w:rPr>
          <w:rFonts w:ascii="Arial" w:hAnsi="Arial"/>
          <w:sz w:val="16"/>
        </w:rPr>
        <w:t>498.11  (توجه: در صورت عدم وجود وسایل مخصوص ولکرو®، نام، رتبه و نشان روی پیراهن رزمی لازم نیست.) آستین‌های پیراهن رزمی IAW DAFI ۳۶-۲۹۰۳، پاراگراف ۹.۱۲.۲.۹ پوشیده خواهد شد.</w:t>
      </w:r>
    </w:p>
    <w:p>
      <w:pPr>
        <w:spacing w:after="28" w:line="216" w:lineRule="auto"/>
        <w:ind w:left="259"/>
        <w:jc w:val="left"/>
      </w:pPr>
      <w:r>
        <w:rPr>
          <w:rFonts w:ascii="Arial" w:hAnsi="Arial"/>
          <w:color w:val="525252"/>
          <w:sz w:val="13"/>
        </w:rPr>
        <w:t>(Note: Name, rank and badges are not required on the combat shirt if specific Velcro® accommodations do not exist.) The sleeves of the combat shirt will be worn IAW DAFI 36-2903, paragraph 9.12.2.9.</w:t>
      </w:r>
    </w:p>
    <w:p>
      <w:pPr>
        <w:spacing w:after="20" w:line="223" w:lineRule="auto"/>
        <w:jc w:val="right"/>
        <w:bidi/>
      </w:pPr>
      <w:r>
        <w:rPr>
          <w:rFonts w:ascii="Arial" w:hAnsi="Arial"/>
          <w:sz w:val="16"/>
        </w:rPr>
        <w:t>498.12  زیپ.</w:t>
      </w:r>
    </w:p>
    <w:p>
      <w:pPr>
        <w:spacing w:after="28" w:line="216" w:lineRule="auto"/>
        <w:ind w:left="259"/>
        <w:jc w:val="left"/>
      </w:pPr>
      <w:r>
        <w:rPr>
          <w:rFonts w:ascii="Arial" w:hAnsi="Arial"/>
          <w:color w:val="525252"/>
          <w:sz w:val="13"/>
        </w:rPr>
        <w:t>Zippers.</w:t>
      </w:r>
    </w:p>
    <w:p>
      <w:pPr>
        <w:spacing w:after="20" w:line="223" w:lineRule="auto"/>
        <w:jc w:val="right"/>
        <w:bidi/>
      </w:pPr>
      <w:r>
        <w:rPr>
          <w:rFonts w:ascii="Arial" w:hAnsi="Arial"/>
          <w:sz w:val="16"/>
        </w:rPr>
        <w:t>498.13  زیپ خط مرکزی ۲PFDU کمتر از وسط نوار نام بسته می‌شود.</w:t>
      </w:r>
    </w:p>
    <w:p>
      <w:pPr>
        <w:spacing w:after="28" w:line="216" w:lineRule="auto"/>
        <w:ind w:left="259"/>
        <w:jc w:val="left"/>
      </w:pPr>
      <w:r>
        <w:rPr>
          <w:rFonts w:ascii="Arial" w:hAnsi="Arial"/>
          <w:color w:val="525252"/>
          <w:sz w:val="13"/>
        </w:rPr>
        <w:t>The centerline zipper of the 2PFDU will be closed no lower than even with the middle of the nametape.</w:t>
      </w:r>
    </w:p>
    <w:p>
      <w:pPr>
        <w:spacing w:after="20" w:line="223" w:lineRule="auto"/>
        <w:jc w:val="right"/>
        <w:bidi/>
      </w:pPr>
      <w:r>
        <w:rPr>
          <w:rFonts w:ascii="Arial" w:hAnsi="Arial"/>
          <w:sz w:val="16"/>
        </w:rPr>
        <w:t>498.14  یک چاقوی گیره دار را می‌توان در داخل جیب شلوار محکم کرد و گیره آن باز باشد، مشروط بر اینکه بیشتر از گیره در معرض دید قرار نگیرد و چاقو دارای رنگ ضعیف یا مات باشد.</w:t>
      </w:r>
    </w:p>
    <w:p>
      <w:pPr>
        <w:spacing w:after="28" w:line="216" w:lineRule="auto"/>
        <w:ind w:left="259"/>
        <w:jc w:val="left"/>
      </w:pPr>
      <w:r>
        <w:rPr>
          <w:rFonts w:ascii="Arial" w:hAnsi="Arial"/>
          <w:color w:val="525252"/>
          <w:sz w:val="13"/>
        </w:rPr>
        <w:t>A single knife with clip may be secured inside a trouser pocket with the clip exposed provided no more than the clip is exposed and the knife is a subdued or matte color.</w:t>
      </w:r>
    </w:p>
    <w:p>
      <w:pPr>
        <w:spacing w:after="20" w:line="223" w:lineRule="auto"/>
        <w:jc w:val="right"/>
        <w:bidi/>
      </w:pPr>
      <w:r>
        <w:rPr>
          <w:rFonts w:ascii="Arial" w:hAnsi="Arial"/>
          <w:sz w:val="16"/>
        </w:rPr>
        <w:t>498.15  همه زیپ‌های دیگر کاملا بسته خواهند شد.</w:t>
      </w:r>
    </w:p>
    <w:p>
      <w:pPr>
        <w:spacing w:after="28" w:line="216" w:lineRule="auto"/>
        <w:ind w:left="259"/>
        <w:jc w:val="left"/>
      </w:pPr>
      <w:r>
        <w:rPr>
          <w:rFonts w:ascii="Arial" w:hAnsi="Arial"/>
          <w:color w:val="525252"/>
          <w:sz w:val="13"/>
        </w:rPr>
        <w:t>All other zippers will be completely closed.</w:t>
      </w:r>
    </w:p>
    <w:p>
      <w:pPr>
        <w:spacing w:after="20" w:line="223" w:lineRule="auto"/>
        <w:jc w:val="right"/>
        <w:bidi/>
      </w:pPr>
      <w:r>
        <w:rPr>
          <w:rFonts w:ascii="Arial" w:hAnsi="Arial"/>
          <w:sz w:val="16"/>
        </w:rPr>
        <w:t>498.16  مانتو زیر قسمت بالای جیب باری شلوار امتداد نمی‌یابد و بالاتر از قسمت پایین جیب کناری شلوار بلند نمی‌شود.</w:t>
      </w:r>
    </w:p>
    <w:p>
      <w:pPr>
        <w:spacing w:after="28" w:line="216" w:lineRule="auto"/>
        <w:ind w:left="259"/>
        <w:jc w:val="left"/>
      </w:pPr>
      <w:r>
        <w:rPr>
          <w:rFonts w:ascii="Arial" w:hAnsi="Arial"/>
          <w:color w:val="525252"/>
          <w:sz w:val="13"/>
        </w:rPr>
        <w:t>The coat will not extend below the top of the cargo pocket on the pants, and it will not extend higher than the bottom of the side pocket on the pants.</w:t>
      </w:r>
    </w:p>
    <w:p>
      <w:pPr>
        <w:spacing w:after="20" w:line="223" w:lineRule="auto"/>
        <w:jc w:val="right"/>
        <w:bidi/>
      </w:pPr>
      <w:r>
        <w:rPr>
          <w:rFonts w:ascii="Arial" w:hAnsi="Arial"/>
          <w:sz w:val="16"/>
        </w:rPr>
        <w:t>498.17  کاربران مجاز به بلوز کردن شلوار داخل چکمه در حین انجام وظایف خدمه پرواز نیستند.</w:t>
      </w:r>
    </w:p>
    <w:p>
      <w:pPr>
        <w:spacing w:after="28" w:line="216" w:lineRule="auto"/>
        <w:ind w:left="259"/>
        <w:jc w:val="left"/>
      </w:pPr>
      <w:r>
        <w:rPr>
          <w:rFonts w:ascii="Arial" w:hAnsi="Arial"/>
          <w:color w:val="525252"/>
          <w:sz w:val="13"/>
        </w:rPr>
        <w:t>Users are not authorized to blouse the trousers inside the boots during the execution of flight crew duties.</w:t>
      </w:r>
    </w:p>
    <w:p>
      <w:pPr>
        <w:spacing w:after="20" w:line="223" w:lineRule="auto"/>
        <w:jc w:val="right"/>
        <w:bidi/>
      </w:pPr>
      <w:r>
        <w:rPr>
          <w:rFonts w:ascii="Arial" w:hAnsi="Arial"/>
          <w:sz w:val="16"/>
        </w:rPr>
        <w:t>498.18  ۲۳.۲۰. پوشاک و تجهیزات سازمانی. سازمان‌ها موارد ذکر شده در اللووانک را صادر می‌کنند</w:t>
      </w:r>
    </w:p>
    <w:p>
      <w:pPr>
        <w:spacing w:after="28" w:line="216" w:lineRule="auto"/>
        <w:ind w:left="259"/>
        <w:jc w:val="left"/>
      </w:pPr>
      <w:r>
        <w:rPr>
          <w:rFonts w:ascii="Arial" w:hAnsi="Arial"/>
          <w:color w:val="525252"/>
          <w:sz w:val="13"/>
        </w:rPr>
        <w:t>23.20. Organizational Clothing and Equipment. Organizations issue items listed in Allowance</w:t>
      </w:r>
    </w:p>
    <w:p>
      <w:pPr>
        <w:spacing w:after="20" w:line="223" w:lineRule="auto"/>
        <w:jc w:val="right"/>
        <w:bidi/>
      </w:pPr>
      <w:r>
        <w:rPr>
          <w:rFonts w:ascii="Arial" w:hAnsi="Arial"/>
          <w:sz w:val="16"/>
        </w:rPr>
        <w:t>498.19  استاندارد ۰۱۶.</w:t>
      </w:r>
    </w:p>
    <w:p>
      <w:pPr>
        <w:spacing w:after="28" w:line="216" w:lineRule="auto"/>
        <w:ind w:left="259"/>
        <w:jc w:val="left"/>
      </w:pPr>
      <w:r>
        <w:rPr>
          <w:rFonts w:ascii="Arial" w:hAnsi="Arial"/>
          <w:color w:val="525252"/>
          <w:sz w:val="13"/>
        </w:rPr>
        <w:t>Standard 016.</w:t>
      </w:r>
    </w:p>
    <w:p>
      <w:pPr>
        <w:spacing w:after="20" w:line="223" w:lineRule="auto"/>
        <w:jc w:val="right"/>
        <w:bidi/>
      </w:pPr>
      <w:r>
        <w:rPr>
          <w:rFonts w:ascii="Arial" w:hAnsi="Arial"/>
          <w:sz w:val="16"/>
        </w:rPr>
        <w:t>498.20  پوشاک در مالکیت سازمان باقی می‌ماند.</w:t>
      </w:r>
    </w:p>
    <w:p>
      <w:pPr>
        <w:spacing w:after="28" w:line="216" w:lineRule="auto"/>
        <w:ind w:left="259"/>
        <w:jc w:val="left"/>
      </w:pPr>
      <w:r>
        <w:rPr>
          <w:rFonts w:ascii="Arial" w:hAnsi="Arial"/>
          <w:color w:val="525252"/>
          <w:sz w:val="13"/>
        </w:rPr>
        <w:t>The clothing remains the property of the organization.</w:t>
      </w:r>
    </w:p>
    <w:p>
      <w:pPr>
        <w:spacing w:after="20" w:line="223" w:lineRule="auto"/>
        <w:jc w:val="right"/>
        <w:bidi/>
      </w:pPr>
      <w:r>
        <w:rPr>
          <w:rFonts w:ascii="Arial" w:hAnsi="Arial"/>
          <w:sz w:val="16"/>
        </w:rPr>
        <w:t>498.21  الزامات کاربردی یا کاری منحصر به فرد را برآورده می‌کند و شامل اقلام لباس متمایز و کاربردی است.</w:t>
      </w:r>
    </w:p>
    <w:p>
      <w:pPr>
        <w:spacing w:after="28" w:line="216" w:lineRule="auto"/>
        <w:ind w:left="259"/>
        <w:jc w:val="left"/>
      </w:pPr>
      <w:r>
        <w:rPr>
          <w:rFonts w:ascii="Arial" w:hAnsi="Arial"/>
          <w:color w:val="525252"/>
          <w:sz w:val="13"/>
        </w:rPr>
        <w:t>It meets unique functional or work requirements and includes both distinctive and functional clothing items.</w:t>
      </w:r>
    </w:p>
    <w:p>
      <w:pPr>
        <w:spacing w:after="20" w:line="223" w:lineRule="auto"/>
        <w:jc w:val="right"/>
        <w:bidi/>
      </w:pPr>
      <w:r>
        <w:rPr>
          <w:rFonts w:ascii="Arial" w:hAnsi="Arial"/>
          <w:sz w:val="16"/>
        </w:rPr>
        <w:t>498.22  اعضا می‌توانند روی لباس‌ها و تجهیزات سازمانی نوار انعکاسی بدوزند یا از ولکرو® روی ژاکت‌ها استفاده کنند تا در مواقع ضروری آن را جدا کنند.</w:t>
      </w:r>
    </w:p>
    <w:p>
      <w:pPr>
        <w:spacing w:after="28" w:line="216" w:lineRule="auto"/>
        <w:ind w:left="259"/>
        <w:jc w:val="left"/>
      </w:pPr>
      <w:r>
        <w:rPr>
          <w:rFonts w:ascii="Arial" w:hAnsi="Arial"/>
          <w:color w:val="525252"/>
          <w:sz w:val="13"/>
        </w:rPr>
        <w:t>Members may sew reflective tape on organizational clothing and equipment or use Velcro® on jackets so they can remove it during contingencies.</w:t>
      </w:r>
    </w:p>
    <w:p>
      <w:pPr>
        <w:spacing w:after="20" w:line="223" w:lineRule="auto"/>
        <w:jc w:val="right"/>
        <w:bidi/>
      </w:pPr>
      <w:r>
        <w:rPr>
          <w:rFonts w:ascii="Arial" w:hAnsi="Arial"/>
          <w:sz w:val="16"/>
        </w:rPr>
        <w:t>498.23  اقلام پوشاک کاربردی مانند پارک‌ها، کفش‌های محافظ، لباس‌های تخصصی پرواز زمستانی در صورت نیاز صادر می‌شود.</w:t>
      </w:r>
    </w:p>
    <w:p>
      <w:pPr>
        <w:spacing w:after="28" w:line="216" w:lineRule="auto"/>
        <w:ind w:left="259"/>
        <w:jc w:val="left"/>
      </w:pPr>
      <w:r>
        <w:rPr>
          <w:rFonts w:ascii="Arial" w:hAnsi="Arial"/>
          <w:color w:val="525252"/>
          <w:sz w:val="13"/>
        </w:rPr>
        <w:t>Functional clothing items such as parkas, protective footwear, specialized winter flight clothing will be issued as required.</w:t>
      </w:r>
    </w:p>
    <w:p>
      <w:pPr>
        <w:spacing w:after="20" w:line="223" w:lineRule="auto"/>
        <w:jc w:val="right"/>
        <w:bidi/>
      </w:pPr>
      <w:r>
        <w:rPr>
          <w:rFonts w:ascii="Arial" w:hAnsi="Arial"/>
          <w:sz w:val="16"/>
        </w:rPr>
        <w:t>498.24  MAJCOM یا فرماندهان نصب دستورالعمل‌های پوشیدن را در مکمل‌های این دستورالعمل تجویز می‌کنند.</w:t>
      </w:r>
    </w:p>
    <w:p>
      <w:pPr>
        <w:spacing w:after="28" w:line="216" w:lineRule="auto"/>
        <w:ind w:left="259"/>
        <w:jc w:val="left"/>
      </w:pPr>
      <w:r>
        <w:rPr>
          <w:rFonts w:ascii="Arial" w:hAnsi="Arial"/>
          <w:color w:val="525252"/>
          <w:sz w:val="13"/>
        </w:rPr>
        <w:t>MAJCOM or Installation Commanders will prescribe wear instructions in supplements to this directive.</w:t>
      </w:r>
    </w:p>
    <w:p>
      <w:pPr>
        <w:spacing w:after="20" w:line="223" w:lineRule="auto"/>
        <w:jc w:val="right"/>
        <w:bidi/>
      </w:pPr>
      <w:r>
        <w:rPr>
          <w:rFonts w:ascii="Arial" w:hAnsi="Arial"/>
          <w:sz w:val="16"/>
        </w:rPr>
        <w:t>498.25  لباس فرم غیررسمی.</w:t>
      </w:r>
    </w:p>
    <w:p>
      <w:pPr>
        <w:spacing w:after="28" w:line="216" w:lineRule="auto"/>
        <w:ind w:left="259"/>
        <w:jc w:val="left"/>
      </w:pPr>
      <w:r>
        <w:rPr>
          <w:rFonts w:ascii="Arial" w:hAnsi="Arial"/>
          <w:color w:val="525252"/>
          <w:sz w:val="13"/>
        </w:rPr>
        <w:t>Informal Uniform.</w:t>
      </w:r>
    </w:p>
    <w:p>
      <w:pPr>
        <w:spacing w:after="20" w:line="223" w:lineRule="auto"/>
        <w:jc w:val="right"/>
        <w:bidi/>
      </w:pPr>
      <w:r>
        <w:rPr>
          <w:rFonts w:ascii="Arial" w:hAnsi="Arial"/>
          <w:sz w:val="16"/>
        </w:rPr>
        <w:t>498.26  اعضای گارد افتخاری نیروی هوایی، گارد افتخاری پایگاه، گروه موسیقی نیروی هوایی و گروه موسیقی منطقه‌ای، استخدام‌کنندگان نیروی هوایی، روحانیون نیروی هوایی و کارکنان امور مذهبی نیروی هوایی، کارکنان مرکز تناسب اندام، ورزشکاران کلاس جهانی و دستیاران ثبت‌نام مجاز به پوشیدن یونیفرم غیررسمی در صورت تأیید فرمانده هستند.</w:t>
      </w:r>
    </w:p>
    <w:p>
      <w:pPr>
        <w:spacing w:after="28" w:line="216" w:lineRule="auto"/>
        <w:ind w:left="259"/>
        <w:jc w:val="left"/>
      </w:pPr>
      <w:r>
        <w:rPr>
          <w:rFonts w:ascii="Arial" w:hAnsi="Arial"/>
          <w:color w:val="525252"/>
          <w:sz w:val="13"/>
        </w:rPr>
        <w:t>Members of the Air Force Honor Guard, Base Honor Guard, Air Force Band and the Regional Band, Air Force Recruiters, Air Force Chaplains and Religious Affairs Airmen, Fitness Center Staff, World Class Athletes, and enlisted Aides are authorized to wear an informal uniform if approved by applicable unit commander.</w:t>
      </w:r>
    </w:p>
    <w:p>
      <w:pPr>
        <w:spacing w:after="20" w:line="223" w:lineRule="auto"/>
        <w:jc w:val="right"/>
        <w:bidi/>
      </w:pPr>
      <w:r>
        <w:rPr>
          <w:rFonts w:ascii="Arial" w:hAnsi="Arial"/>
          <w:sz w:val="16"/>
        </w:rPr>
        <w:t>498.27  استانداردهای نظافت شخصی و لوازم جانبی هنگام پوشیدن یونیفرم غیررسمی اعمال می‌شود.</w:t>
      </w:r>
    </w:p>
    <w:p>
      <w:pPr>
        <w:spacing w:after="28" w:line="216" w:lineRule="auto"/>
        <w:ind w:left="259"/>
        <w:jc w:val="left"/>
      </w:pPr>
      <w:r>
        <w:rPr>
          <w:rFonts w:ascii="Arial" w:hAnsi="Arial"/>
          <w:color w:val="525252"/>
          <w:sz w:val="13"/>
        </w:rPr>
        <w:t>Personal grooming and accessory standards apply while wearing an informal uniform.</w:t>
      </w:r>
    </w:p>
    <w:p>
      <w:pPr>
        <w:spacing w:after="20" w:line="223" w:lineRule="auto"/>
        <w:jc w:val="right"/>
        <w:bidi/>
      </w:pPr>
      <w:r>
        <w:rPr>
          <w:rFonts w:ascii="Arial" w:hAnsi="Arial"/>
          <w:sz w:val="16"/>
        </w:rPr>
        <w:t>498.28  پیراهن.</w:t>
      </w:r>
    </w:p>
    <w:p>
      <w:pPr>
        <w:spacing w:after="28" w:line="216" w:lineRule="auto"/>
        <w:ind w:left="259"/>
        <w:jc w:val="left"/>
      </w:pPr>
      <w:r>
        <w:rPr>
          <w:rFonts w:ascii="Arial" w:hAnsi="Arial"/>
          <w:color w:val="525252"/>
          <w:sz w:val="13"/>
        </w:rPr>
        <w:t>Shirts.</w:t>
      </w:r>
    </w:p>
    <w:p>
      <w:pPr>
        <w:spacing w:after="20" w:line="223" w:lineRule="auto"/>
        <w:jc w:val="right"/>
        <w:bidi/>
      </w:pPr>
      <w:r>
        <w:rPr>
          <w:rFonts w:ascii="Arial" w:hAnsi="Arial"/>
          <w:sz w:val="16"/>
        </w:rPr>
        <w:t>498.29  پیراهن‌ها آستین کوتاه یا بلند، به سبک پولو آبی تیره، با رسمی شناخته شده خواهند بود.</w:t>
      </w:r>
    </w:p>
    <w:p>
      <w:pPr>
        <w:spacing w:after="28" w:line="216" w:lineRule="auto"/>
        <w:ind w:left="259"/>
        <w:jc w:val="left"/>
      </w:pPr>
      <w:r>
        <w:rPr>
          <w:rFonts w:ascii="Arial" w:hAnsi="Arial"/>
          <w:color w:val="525252"/>
          <w:sz w:val="13"/>
        </w:rPr>
        <w:t>Shirts will be short or long-sleeve, dark blue polo-style, with the officially recognized</w:t>
      </w:r>
    </w:p>
    <w:p>
      <w:r>
        <w:br w:type="page"/>
      </w:r>
    </w:p>
    <w:p>
      <w:pPr>
        <w:spacing w:after="60"/>
        <w:jc w:val="right"/>
        <w:bidi/>
      </w:pPr>
      <w:r>
        <w:rPr>
          <w:rFonts w:ascii="Arial" w:hAnsi="Arial"/>
          <w:b/>
          <w:color w:val="1F4D78"/>
          <w:sz w:val="19"/>
        </w:rPr>
        <w:t>هفتهٔ 499  |  صفحهٔ منبع: 515</w:t>
      </w:r>
    </w:p>
    <w:p>
      <w:pPr>
        <w:spacing w:after="20" w:line="223" w:lineRule="auto"/>
        <w:jc w:val="right"/>
        <w:bidi/>
      </w:pPr>
      <w:r>
        <w:rPr>
          <w:rFonts w:ascii="Arial" w:hAnsi="Arial"/>
          <w:sz w:val="16"/>
        </w:rPr>
        <w:t>499.01  نماد معاصر "نیروی هوایی ایالات متحده" در قسمت جلوی سمت چپ بالای سینه.</w:t>
      </w:r>
    </w:p>
    <w:p>
      <w:pPr>
        <w:spacing w:after="28" w:line="216" w:lineRule="auto"/>
        <w:ind w:left="259"/>
        <w:jc w:val="left"/>
      </w:pPr>
      <w:r>
        <w:rPr>
          <w:rFonts w:ascii="Arial" w:hAnsi="Arial"/>
          <w:color w:val="525252"/>
          <w:sz w:val="13"/>
        </w:rPr>
        <w:t>“U.S. AIR FORCE” contemporary symbol on front upper-left chest.</w:t>
      </w:r>
    </w:p>
    <w:p>
      <w:pPr>
        <w:spacing w:after="20" w:line="223" w:lineRule="auto"/>
        <w:jc w:val="right"/>
        <w:bidi/>
      </w:pPr>
      <w:r>
        <w:rPr>
          <w:rFonts w:ascii="Arial" w:hAnsi="Arial"/>
          <w:sz w:val="16"/>
        </w:rPr>
        <w:t>499.02  زیرپیراهن‌های سفید پوشیده می‌شوند و باید یقه و یا تاپ‌های ورزشی باشند.</w:t>
      </w:r>
    </w:p>
    <w:p>
      <w:pPr>
        <w:spacing w:after="28" w:line="216" w:lineRule="auto"/>
        <w:ind w:left="259"/>
        <w:jc w:val="left"/>
      </w:pPr>
      <w:r>
        <w:rPr>
          <w:rFonts w:ascii="Arial" w:hAnsi="Arial"/>
          <w:color w:val="525252"/>
          <w:sz w:val="13"/>
        </w:rPr>
        <w:t>White undershirts will be worn and must be a V-neck or athletic style tank top.</w:t>
      </w:r>
    </w:p>
    <w:p>
      <w:pPr>
        <w:spacing w:after="20" w:line="223" w:lineRule="auto"/>
        <w:jc w:val="right"/>
        <w:bidi/>
      </w:pPr>
      <w:r>
        <w:rPr>
          <w:rFonts w:ascii="Arial" w:hAnsi="Arial"/>
          <w:sz w:val="16"/>
        </w:rPr>
        <w:t>499.03  به استثنای دستیاران سرباز، شناسایی عملکردی به رنگ سفید (همه حروف بزرگ) در آستین چپ، بالای آرنج، پیراهن‌های آستین کوتاه و بلند نشان داده می‌شود.</w:t>
      </w:r>
    </w:p>
    <w:p>
      <w:pPr>
        <w:spacing w:after="28" w:line="216" w:lineRule="auto"/>
        <w:ind w:left="259"/>
        <w:jc w:val="left"/>
      </w:pPr>
      <w:r>
        <w:rPr>
          <w:rFonts w:ascii="Arial" w:hAnsi="Arial"/>
          <w:color w:val="525252"/>
          <w:sz w:val="13"/>
        </w:rPr>
        <w:t>With the exception of enlisted aides, functional identification will be monogrammed in white (all capital letters) on the left sleeve, above the elbow, of both the short and long sleeved shirts.</w:t>
      </w:r>
    </w:p>
    <w:p>
      <w:pPr>
        <w:spacing w:after="20" w:line="223" w:lineRule="auto"/>
        <w:jc w:val="right"/>
        <w:bidi/>
      </w:pPr>
      <w:r>
        <w:rPr>
          <w:rFonts w:ascii="Arial" w:hAnsi="Arial"/>
          <w:sz w:val="16"/>
        </w:rPr>
        <w:t>499.04  از شناسه‌های کاربردی زیر استفاده می‌شود: "گارد افتخار USAF" یا "گارد افتخار پایگاه" "گروه موسیقی USAFA" یا "گروه موسیقی منطقه‌ای" ⟦۰۰۵</w:t>
      </w:r>
    </w:p>
    <w:p>
      <w:pPr>
        <w:spacing w:after="28" w:line="216" w:lineRule="auto"/>
        <w:ind w:left="259"/>
        <w:jc w:val="left"/>
      </w:pPr>
      <w:r>
        <w:rPr>
          <w:rFonts w:ascii="Arial" w:hAnsi="Arial"/>
          <w:color w:val="525252"/>
          <w:sz w:val="13"/>
        </w:rPr>
        <w:t>The following functional identifications will be used: “USAF HONOR GUARD” or “BASE HONOR GUARD” “USAFA BAND” or “REGIONAL BAND”</w:t>
      </w:r>
    </w:p>
    <w:p>
      <w:pPr>
        <w:spacing w:before="60" w:after="28"/>
        <w:jc w:val="right"/>
        <w:bidi/>
      </w:pPr>
      <w:r>
        <w:rPr>
          <w:b/>
          <w:color w:val="1F4D78"/>
          <w:sz w:val="18"/>
        </w:rPr>
        <w:t>"استخدام کننده USAF"</w:t>
      </w:r>
    </w:p>
    <w:p>
      <w:pPr>
        <w:spacing w:after="20"/>
        <w:ind w:left="259"/>
        <w:jc w:val="left"/>
      </w:pPr>
      <w:r>
        <w:rPr>
          <w:color w:val="555555"/>
          <w:sz w:val="12"/>
        </w:rPr>
        <w:t>“USAF RECRUITER”</w:t>
      </w:r>
    </w:p>
    <w:p>
      <w:pPr>
        <w:spacing w:after="20" w:line="223" w:lineRule="auto"/>
        <w:jc w:val="right"/>
        <w:bidi/>
      </w:pPr>
      <w:r>
        <w:rPr>
          <w:rFonts w:ascii="Arial" w:hAnsi="Arial"/>
          <w:sz w:val="16"/>
        </w:rPr>
        <w:t>499.06  "کشیش USAF" یا "امور مذهبی USAF" "مرکز تناسب اندام" یا "ورزشکار کلاس جهانی".</w:t>
      </w:r>
    </w:p>
    <w:p>
      <w:pPr>
        <w:spacing w:after="28" w:line="216" w:lineRule="auto"/>
        <w:ind w:left="259"/>
        <w:jc w:val="left"/>
      </w:pPr>
      <w:r>
        <w:rPr>
          <w:rFonts w:ascii="Arial" w:hAnsi="Arial"/>
          <w:color w:val="525252"/>
          <w:sz w:val="13"/>
        </w:rPr>
        <w:t>“USAF CHAPLAIN” or “USAF RELIGIOUS AFFAIRS” “FITNESS CENTER” or “WORLD-CLASS ATHLETE” Nametag.</w:t>
      </w:r>
    </w:p>
    <w:p>
      <w:pPr>
        <w:spacing w:after="20" w:line="223" w:lineRule="auto"/>
        <w:jc w:val="right"/>
        <w:bidi/>
      </w:pPr>
      <w:r>
        <w:rPr>
          <w:rFonts w:ascii="Arial" w:hAnsi="Arial"/>
          <w:sz w:val="16"/>
        </w:rPr>
        <w:t>499.07  نام‌ها با رتبه و نام خانوادگی نقره‌ای می‌شوند.</w:t>
      </w:r>
    </w:p>
    <w:p>
      <w:pPr>
        <w:spacing w:after="28" w:line="216" w:lineRule="auto"/>
        <w:ind w:left="259"/>
        <w:jc w:val="left"/>
      </w:pPr>
      <w:r>
        <w:rPr>
          <w:rFonts w:ascii="Arial" w:hAnsi="Arial"/>
          <w:color w:val="525252"/>
          <w:sz w:val="13"/>
        </w:rPr>
        <w:t>Nametags will be brushed silver with rank and last name.</w:t>
      </w:r>
    </w:p>
    <w:p>
      <w:pPr>
        <w:spacing w:after="20" w:line="223" w:lineRule="auto"/>
        <w:jc w:val="right"/>
        <w:bidi/>
      </w:pPr>
      <w:r>
        <w:rPr>
          <w:rFonts w:ascii="Arial" w:hAnsi="Arial"/>
          <w:sz w:val="16"/>
        </w:rPr>
        <w:t>499.08  نشان‌های شغلی.</w:t>
      </w:r>
    </w:p>
    <w:p>
      <w:pPr>
        <w:spacing w:after="28" w:line="216" w:lineRule="auto"/>
        <w:ind w:left="259"/>
        <w:jc w:val="left"/>
      </w:pPr>
      <w:r>
        <w:rPr>
          <w:rFonts w:ascii="Arial" w:hAnsi="Arial"/>
          <w:color w:val="525252"/>
          <w:sz w:val="13"/>
        </w:rPr>
        <w:t>Occupational Badges.</w:t>
      </w:r>
    </w:p>
    <w:p>
      <w:pPr>
        <w:spacing w:after="20" w:line="223" w:lineRule="auto"/>
        <w:jc w:val="right"/>
        <w:bidi/>
      </w:pPr>
      <w:r>
        <w:rPr>
          <w:rFonts w:ascii="Arial" w:hAnsi="Arial"/>
          <w:sz w:val="16"/>
        </w:rPr>
        <w:t>499.09  نشان‌های شغلی برای پوشیدن اختیاری هستند.</w:t>
      </w:r>
    </w:p>
    <w:p>
      <w:pPr>
        <w:spacing w:after="28" w:line="216" w:lineRule="auto"/>
        <w:ind w:left="259"/>
        <w:jc w:val="left"/>
      </w:pPr>
      <w:r>
        <w:rPr>
          <w:rFonts w:ascii="Arial" w:hAnsi="Arial"/>
          <w:color w:val="525252"/>
          <w:sz w:val="13"/>
        </w:rPr>
        <w:t>Occupational badges are optional for wear.</w:t>
      </w:r>
    </w:p>
    <w:p>
      <w:pPr>
        <w:spacing w:after="20" w:line="223" w:lineRule="auto"/>
        <w:jc w:val="right"/>
        <w:bidi/>
      </w:pPr>
      <w:r>
        <w:rPr>
          <w:rFonts w:ascii="Arial" w:hAnsi="Arial"/>
          <w:sz w:val="16"/>
        </w:rPr>
        <w:t>499.10  اگر پوشیده شوند، ۱/۲ اینچ بالای برچسب نام قرار می‌گیرند.</w:t>
      </w:r>
    </w:p>
    <w:p>
      <w:pPr>
        <w:spacing w:after="28" w:line="216" w:lineRule="auto"/>
        <w:ind w:left="259"/>
        <w:jc w:val="left"/>
      </w:pPr>
      <w:r>
        <w:rPr>
          <w:rFonts w:ascii="Arial" w:hAnsi="Arial"/>
          <w:color w:val="525252"/>
          <w:sz w:val="13"/>
        </w:rPr>
        <w:t>If worn, they will be centered 1/2-inch above the nametag.</w:t>
      </w:r>
    </w:p>
    <w:p>
      <w:pPr>
        <w:spacing w:after="20" w:line="223" w:lineRule="auto"/>
        <w:jc w:val="right"/>
        <w:bidi/>
      </w:pPr>
      <w:r>
        <w:rPr>
          <w:rFonts w:ascii="Arial" w:hAnsi="Arial"/>
          <w:sz w:val="16"/>
        </w:rPr>
        <w:t>499.11  شلوار.</w:t>
      </w:r>
    </w:p>
    <w:p>
      <w:pPr>
        <w:spacing w:after="28" w:line="216" w:lineRule="auto"/>
        <w:ind w:left="259"/>
        <w:jc w:val="left"/>
      </w:pPr>
      <w:r>
        <w:rPr>
          <w:rFonts w:ascii="Arial" w:hAnsi="Arial"/>
          <w:color w:val="525252"/>
          <w:sz w:val="13"/>
        </w:rPr>
        <w:t>Trousers.</w:t>
      </w:r>
    </w:p>
    <w:p>
      <w:pPr>
        <w:spacing w:after="20" w:line="223" w:lineRule="auto"/>
        <w:jc w:val="right"/>
        <w:bidi/>
      </w:pPr>
      <w:r>
        <w:rPr>
          <w:rFonts w:ascii="Arial" w:hAnsi="Arial"/>
          <w:sz w:val="16"/>
        </w:rPr>
        <w:t>499.12  شلوار با یا بدون سرآستین و چین دار و به رنگ خاکی خواهد بود ( شورت مجاز نیست ) .</w:t>
      </w:r>
    </w:p>
    <w:p>
      <w:pPr>
        <w:spacing w:after="28" w:line="216" w:lineRule="auto"/>
        <w:ind w:left="259"/>
        <w:jc w:val="left"/>
      </w:pPr>
      <w:r>
        <w:rPr>
          <w:rFonts w:ascii="Arial" w:hAnsi="Arial"/>
          <w:color w:val="525252"/>
          <w:sz w:val="13"/>
        </w:rPr>
        <w:t>Trousers will be with or without cuffs and pleats and khaki in color (shorts are not authorized).</w:t>
      </w:r>
    </w:p>
    <w:p>
      <w:pPr>
        <w:spacing w:after="20" w:line="223" w:lineRule="auto"/>
        <w:jc w:val="right"/>
        <w:bidi/>
      </w:pPr>
      <w:r>
        <w:rPr>
          <w:rFonts w:ascii="Arial" w:hAnsi="Arial"/>
          <w:sz w:val="16"/>
        </w:rPr>
        <w:t>499.13  کمربند.</w:t>
      </w:r>
    </w:p>
    <w:p>
      <w:pPr>
        <w:spacing w:after="28" w:line="216" w:lineRule="auto"/>
        <w:ind w:left="259"/>
        <w:jc w:val="left"/>
      </w:pPr>
      <w:r>
        <w:rPr>
          <w:rFonts w:ascii="Arial" w:hAnsi="Arial"/>
          <w:color w:val="525252"/>
          <w:sz w:val="13"/>
        </w:rPr>
        <w:t>Belt.</w:t>
      </w:r>
    </w:p>
    <w:p>
      <w:pPr>
        <w:spacing w:after="20" w:line="223" w:lineRule="auto"/>
        <w:jc w:val="right"/>
        <w:bidi/>
      </w:pPr>
      <w:r>
        <w:rPr>
          <w:rFonts w:ascii="Arial" w:hAnsi="Arial"/>
          <w:sz w:val="16"/>
        </w:rPr>
        <w:t>499.14  کمربند مشکی با سگک سیاه یا نقره‌ای خواهد بود.</w:t>
      </w:r>
    </w:p>
    <w:p>
      <w:pPr>
        <w:spacing w:after="28" w:line="216" w:lineRule="auto"/>
        <w:ind w:left="259"/>
        <w:jc w:val="left"/>
      </w:pPr>
      <w:r>
        <w:rPr>
          <w:rFonts w:ascii="Arial" w:hAnsi="Arial"/>
          <w:color w:val="525252"/>
          <w:sz w:val="13"/>
        </w:rPr>
        <w:t>Belt will be black with black or silver buckle.</w:t>
      </w:r>
    </w:p>
    <w:p>
      <w:pPr>
        <w:spacing w:before="60" w:after="28"/>
        <w:jc w:val="right"/>
        <w:bidi/>
      </w:pPr>
      <w:r>
        <w:rPr>
          <w:b/>
          <w:color w:val="1F4D78"/>
          <w:sz w:val="18"/>
        </w:rPr>
        <w:t>شکل 23.55. یونیفرم غیر رسمی</w:t>
      </w:r>
    </w:p>
    <w:p>
      <w:pPr>
        <w:spacing w:after="20"/>
        <w:ind w:left="259"/>
        <w:jc w:val="left"/>
      </w:pPr>
      <w:r>
        <w:rPr>
          <w:color w:val="555555"/>
          <w:sz w:val="12"/>
        </w:rPr>
        <w:t>Figure 23.55. Informal Uniform</w:t>
      </w:r>
    </w:p>
    <w:p>
      <w:pPr>
        <w:spacing w:after="20" w:line="223" w:lineRule="auto"/>
        <w:jc w:val="right"/>
        <w:bidi/>
      </w:pPr>
      <w:r>
        <w:rPr>
          <w:rFonts w:ascii="Arial" w:hAnsi="Arial"/>
          <w:sz w:val="16"/>
        </w:rPr>
        <w:t>499.16  کفش.</w:t>
      </w:r>
    </w:p>
    <w:p>
      <w:pPr>
        <w:spacing w:after="28" w:line="216" w:lineRule="auto"/>
        <w:ind w:left="259"/>
        <w:jc w:val="left"/>
      </w:pPr>
      <w:r>
        <w:rPr>
          <w:rFonts w:ascii="Arial" w:hAnsi="Arial"/>
          <w:color w:val="525252"/>
          <w:sz w:val="13"/>
        </w:rPr>
        <w:t>Footwear.</w:t>
      </w:r>
    </w:p>
    <w:p>
      <w:pPr>
        <w:spacing w:after="20" w:line="223" w:lineRule="auto"/>
        <w:jc w:val="right"/>
        <w:bidi/>
      </w:pPr>
      <w:r>
        <w:rPr>
          <w:rFonts w:ascii="Arial" w:hAnsi="Arial"/>
          <w:sz w:val="16"/>
        </w:rPr>
        <w:t>499.17  جوراب‌های مشکی یکدست را با کفش‌های غیررسمی ساده مشکی یا کفش‌های ورزشی ساده مشکی بپوشید.</w:t>
      </w:r>
    </w:p>
    <w:p>
      <w:pPr>
        <w:spacing w:after="28" w:line="216" w:lineRule="auto"/>
        <w:ind w:left="259"/>
        <w:jc w:val="left"/>
      </w:pPr>
      <w:r>
        <w:rPr>
          <w:rFonts w:ascii="Arial" w:hAnsi="Arial"/>
          <w:color w:val="525252"/>
          <w:sz w:val="13"/>
        </w:rPr>
        <w:t>Wear solid black socks with plain black business casual low quarters or plain black athletic style shoes.</w:t>
      </w:r>
    </w:p>
    <w:p>
      <w:pPr>
        <w:spacing w:after="20" w:line="223" w:lineRule="auto"/>
        <w:jc w:val="right"/>
        <w:bidi/>
      </w:pPr>
      <w:r>
        <w:rPr>
          <w:rFonts w:ascii="Arial" w:hAnsi="Arial"/>
          <w:sz w:val="16"/>
        </w:rPr>
        <w:t>499.18  سرپوش.</w:t>
      </w:r>
    </w:p>
    <w:p>
      <w:pPr>
        <w:spacing w:after="28" w:line="216" w:lineRule="auto"/>
        <w:ind w:left="259"/>
        <w:jc w:val="left"/>
      </w:pPr>
      <w:r>
        <w:rPr>
          <w:rFonts w:ascii="Arial" w:hAnsi="Arial"/>
          <w:color w:val="525252"/>
          <w:sz w:val="13"/>
        </w:rPr>
        <w:t>Headgear.</w:t>
      </w:r>
    </w:p>
    <w:p>
      <w:pPr>
        <w:spacing w:after="20" w:line="223" w:lineRule="auto"/>
        <w:jc w:val="right"/>
        <w:bidi/>
      </w:pPr>
      <w:r>
        <w:rPr>
          <w:rFonts w:ascii="Arial" w:hAnsi="Arial"/>
          <w:sz w:val="16"/>
        </w:rPr>
        <w:t>499.19  ساعت آبی تیره یا کلاه بیسبال با آرم "USAF" ممکن است در خارج از منزل استفاده شود.</w:t>
      </w:r>
    </w:p>
    <w:p>
      <w:pPr>
        <w:spacing w:after="28" w:line="216" w:lineRule="auto"/>
        <w:ind w:left="259"/>
        <w:jc w:val="left"/>
      </w:pPr>
      <w:r>
        <w:rPr>
          <w:rFonts w:ascii="Arial" w:hAnsi="Arial"/>
          <w:color w:val="525252"/>
          <w:sz w:val="13"/>
        </w:rPr>
        <w:t>A dark blue watch or baseball cap with “USAF” logo may be worn when outdoors.</w:t>
      </w:r>
    </w:p>
    <w:p>
      <w:pPr>
        <w:spacing w:after="20" w:line="223" w:lineRule="auto"/>
        <w:jc w:val="right"/>
        <w:bidi/>
      </w:pPr>
      <w:r>
        <w:rPr>
          <w:rFonts w:ascii="Arial" w:hAnsi="Arial"/>
          <w:sz w:val="16"/>
        </w:rPr>
        <w:t>499.20  لباس بیرونی.</w:t>
      </w:r>
    </w:p>
    <w:p>
      <w:pPr>
        <w:spacing w:after="28" w:line="216" w:lineRule="auto"/>
        <w:ind w:left="259"/>
        <w:jc w:val="left"/>
      </w:pPr>
      <w:r>
        <w:rPr>
          <w:rFonts w:ascii="Arial" w:hAnsi="Arial"/>
          <w:color w:val="525252"/>
          <w:sz w:val="13"/>
        </w:rPr>
        <w:t>Outer Garments.</w:t>
      </w:r>
    </w:p>
    <w:p>
      <w:pPr>
        <w:spacing w:after="20" w:line="223" w:lineRule="auto"/>
        <w:jc w:val="right"/>
        <w:bidi/>
      </w:pPr>
      <w:r>
        <w:rPr>
          <w:rFonts w:ascii="Arial" w:hAnsi="Arial"/>
          <w:sz w:val="16"/>
        </w:rPr>
        <w:t>499.21  هوانوردان ممکن است یک ژاکت آبی تیره با یک آستر پشمی قابل جابجایی و یک نشان کوچک "USAF" در سمت چپ بالای سینه کاربر بپوشند.</w:t>
      </w:r>
    </w:p>
    <w:p>
      <w:pPr>
        <w:spacing w:after="28" w:line="216" w:lineRule="auto"/>
        <w:ind w:left="259"/>
        <w:jc w:val="left"/>
      </w:pPr>
      <w:r>
        <w:rPr>
          <w:rFonts w:ascii="Arial" w:hAnsi="Arial"/>
          <w:color w:val="525252"/>
          <w:sz w:val="13"/>
        </w:rPr>
        <w:t>Airmen may wear a dark blue jacket with a removable fleece liner and a small “USAF” logo on the wearer's upper left chest.</w:t>
      </w:r>
    </w:p>
    <w:p>
      <w:r>
        <w:br w:type="page"/>
      </w:r>
    </w:p>
    <w:p>
      <w:pPr>
        <w:spacing w:after="60"/>
        <w:jc w:val="right"/>
        <w:bidi/>
      </w:pPr>
      <w:r>
        <w:rPr>
          <w:rFonts w:ascii="Arial" w:hAnsi="Arial"/>
          <w:b/>
          <w:color w:val="1F4D78"/>
          <w:sz w:val="19"/>
        </w:rPr>
        <w:t>هفتهٔ 500  |  صفحهٔ منبع: 516</w:t>
      </w:r>
    </w:p>
    <w:p>
      <w:pPr>
        <w:spacing w:after="20" w:line="223" w:lineRule="auto"/>
        <w:jc w:val="right"/>
        <w:bidi/>
      </w:pPr>
      <w:r>
        <w:rPr>
          <w:rFonts w:ascii="Arial" w:hAnsi="Arial"/>
          <w:sz w:val="16"/>
        </w:rPr>
        <w:t>500.01  لوازم جانبی هوای سرد.</w:t>
      </w:r>
    </w:p>
    <w:p>
      <w:pPr>
        <w:spacing w:after="28" w:line="216" w:lineRule="auto"/>
        <w:ind w:left="259"/>
        <w:jc w:val="left"/>
      </w:pPr>
      <w:r>
        <w:rPr>
          <w:rFonts w:ascii="Arial" w:hAnsi="Arial"/>
          <w:color w:val="525252"/>
          <w:sz w:val="13"/>
        </w:rPr>
        <w:t>Cold Weather Accessories.</w:t>
      </w:r>
    </w:p>
    <w:p>
      <w:pPr>
        <w:spacing w:after="20" w:line="223" w:lineRule="auto"/>
        <w:jc w:val="right"/>
        <w:bidi/>
      </w:pPr>
      <w:r>
        <w:rPr>
          <w:rFonts w:ascii="Arial" w:hAnsi="Arial"/>
          <w:sz w:val="16"/>
        </w:rPr>
        <w:t>500.02  لوازم جانبی هوای سرد را می‌توان بدون پوشیدن لباس‌های خارجی مجاز در بیرون از منزل پوشید.</w:t>
      </w:r>
    </w:p>
    <w:p>
      <w:pPr>
        <w:spacing w:after="28" w:line="216" w:lineRule="auto"/>
        <w:ind w:left="259"/>
        <w:jc w:val="left"/>
      </w:pPr>
      <w:r>
        <w:rPr>
          <w:rFonts w:ascii="Arial" w:hAnsi="Arial"/>
          <w:color w:val="525252"/>
          <w:sz w:val="13"/>
        </w:rPr>
        <w:t>Cold weather accessories may be worn without wearing authorized outer garments when outdoors.</w:t>
      </w:r>
    </w:p>
    <w:p>
      <w:pPr>
        <w:spacing w:after="20" w:line="223" w:lineRule="auto"/>
        <w:jc w:val="right"/>
        <w:bidi/>
      </w:pPr>
      <w:r>
        <w:rPr>
          <w:rFonts w:ascii="Arial" w:hAnsi="Arial"/>
          <w:sz w:val="16"/>
        </w:rPr>
        <w:t>500.03  دستکش.</w:t>
      </w:r>
    </w:p>
    <w:p>
      <w:pPr>
        <w:spacing w:after="28" w:line="216" w:lineRule="auto"/>
        <w:ind w:left="259"/>
        <w:jc w:val="left"/>
      </w:pPr>
      <w:r>
        <w:rPr>
          <w:rFonts w:ascii="Arial" w:hAnsi="Arial"/>
          <w:color w:val="525252"/>
          <w:sz w:val="13"/>
        </w:rPr>
        <w:t>Gloves.</w:t>
      </w:r>
    </w:p>
    <w:p>
      <w:pPr>
        <w:spacing w:after="20" w:line="223" w:lineRule="auto"/>
        <w:jc w:val="right"/>
        <w:bidi/>
      </w:pPr>
      <w:r>
        <w:rPr>
          <w:rFonts w:ascii="Arial" w:hAnsi="Arial"/>
          <w:sz w:val="16"/>
        </w:rPr>
        <w:t>500.04  در صورت پوشیدن، دستکش مشکی خواهد بود.</w:t>
      </w:r>
    </w:p>
    <w:p>
      <w:pPr>
        <w:spacing w:after="28" w:line="216" w:lineRule="auto"/>
        <w:ind w:left="259"/>
        <w:jc w:val="left"/>
      </w:pPr>
      <w:r>
        <w:rPr>
          <w:rFonts w:ascii="Arial" w:hAnsi="Arial"/>
          <w:color w:val="525252"/>
          <w:sz w:val="13"/>
        </w:rPr>
        <w:t>If worn, gloves will be black.</w:t>
      </w:r>
    </w:p>
    <w:p>
      <w:pPr>
        <w:spacing w:after="20" w:line="223" w:lineRule="auto"/>
        <w:jc w:val="right"/>
        <w:bidi/>
      </w:pPr>
      <w:r>
        <w:rPr>
          <w:rFonts w:ascii="Arial" w:hAnsi="Arial"/>
          <w:sz w:val="16"/>
        </w:rPr>
        <w:t>500.05  آنها چرم، بافتنی، تریکو یا جیر، یا ترکیبی از چرم، بافتنی، تریکو و جیر خواهند بود.</w:t>
      </w:r>
    </w:p>
    <w:p>
      <w:pPr>
        <w:spacing w:after="28" w:line="216" w:lineRule="auto"/>
        <w:ind w:left="259"/>
        <w:jc w:val="left"/>
      </w:pPr>
      <w:r>
        <w:rPr>
          <w:rFonts w:ascii="Arial" w:hAnsi="Arial"/>
          <w:color w:val="525252"/>
          <w:sz w:val="13"/>
        </w:rPr>
        <w:t>They will be leather, knitted, tricot or suede, or a combination of leather, knitted, tricot, and suede.</w:t>
      </w:r>
    </w:p>
    <w:p>
      <w:pPr>
        <w:spacing w:after="20" w:line="223" w:lineRule="auto"/>
        <w:jc w:val="right"/>
        <w:bidi/>
      </w:pPr>
      <w:r>
        <w:rPr>
          <w:rFonts w:ascii="Arial" w:hAnsi="Arial"/>
          <w:sz w:val="16"/>
        </w:rPr>
        <w:t>500.06  روسری.</w:t>
      </w:r>
    </w:p>
    <w:p>
      <w:pPr>
        <w:spacing w:after="28" w:line="216" w:lineRule="auto"/>
        <w:ind w:left="259"/>
        <w:jc w:val="left"/>
      </w:pPr>
      <w:r>
        <w:rPr>
          <w:rFonts w:ascii="Arial" w:hAnsi="Arial"/>
          <w:color w:val="525252"/>
          <w:sz w:val="13"/>
        </w:rPr>
        <w:t>Scarf.</w:t>
      </w:r>
    </w:p>
    <w:p>
      <w:pPr>
        <w:spacing w:after="20" w:line="223" w:lineRule="auto"/>
        <w:jc w:val="right"/>
        <w:bidi/>
      </w:pPr>
      <w:r>
        <w:rPr>
          <w:rFonts w:ascii="Arial" w:hAnsi="Arial"/>
          <w:sz w:val="16"/>
        </w:rPr>
        <w:t>500.07  روسری بافتنی مشکی را می‌توان با لباس‌های یکنواخت یا بیرونی پوشید و هنگام پوشیدن با لباس‌های بیرونی باید آن را داخل آن قرار داد.</w:t>
      </w:r>
    </w:p>
    <w:p>
      <w:pPr>
        <w:spacing w:after="28" w:line="216" w:lineRule="auto"/>
        <w:ind w:left="259"/>
        <w:jc w:val="left"/>
      </w:pPr>
      <w:r>
        <w:rPr>
          <w:rFonts w:ascii="Arial" w:hAnsi="Arial"/>
          <w:color w:val="525252"/>
          <w:sz w:val="13"/>
        </w:rPr>
        <w:t>A black knit scarf may be worn with uniform or outer garments and must be tucked in when worn with outer garments.</w:t>
      </w:r>
    </w:p>
    <w:p>
      <w:pPr>
        <w:spacing w:after="20" w:line="223" w:lineRule="auto"/>
        <w:jc w:val="right"/>
        <w:bidi/>
      </w:pPr>
      <w:r>
        <w:rPr>
          <w:rFonts w:ascii="Arial" w:hAnsi="Arial"/>
          <w:sz w:val="16"/>
        </w:rPr>
        <w:t>500.08  گوش بند و هدبند در هوای سرد.</w:t>
      </w:r>
    </w:p>
    <w:p>
      <w:pPr>
        <w:spacing w:after="28" w:line="216" w:lineRule="auto"/>
        <w:ind w:left="259"/>
        <w:jc w:val="left"/>
      </w:pPr>
      <w:r>
        <w:rPr>
          <w:rFonts w:ascii="Arial" w:hAnsi="Arial"/>
          <w:color w:val="525252"/>
          <w:sz w:val="13"/>
        </w:rPr>
        <w:t>Earmuffs and Cold Weather Headbands.</w:t>
      </w:r>
    </w:p>
    <w:p>
      <w:pPr>
        <w:spacing w:after="20" w:line="223" w:lineRule="auto"/>
        <w:jc w:val="right"/>
        <w:bidi/>
      </w:pPr>
      <w:r>
        <w:rPr>
          <w:rFonts w:ascii="Arial" w:hAnsi="Arial"/>
          <w:sz w:val="16"/>
        </w:rPr>
        <w:t>500.09  گوش‌بندها یا سربندهای مشکی را می‌توان با یونیفرم و تمام لباس‌های خارجی مجاز استفاده کرد.</w:t>
      </w:r>
    </w:p>
    <w:p>
      <w:pPr>
        <w:spacing w:after="28" w:line="216" w:lineRule="auto"/>
        <w:ind w:left="259"/>
        <w:jc w:val="left"/>
      </w:pPr>
      <w:r>
        <w:rPr>
          <w:rFonts w:ascii="Arial" w:hAnsi="Arial"/>
          <w:color w:val="525252"/>
          <w:sz w:val="13"/>
        </w:rPr>
        <w:t>Black earmuffs or headbands may be worn with the uniform and all authorized outer garments.</w:t>
      </w:r>
    </w:p>
    <w:p>
      <w:pPr>
        <w:spacing w:after="20" w:line="223" w:lineRule="auto"/>
        <w:jc w:val="right"/>
        <w:bidi/>
      </w:pPr>
      <w:r>
        <w:rPr>
          <w:rFonts w:ascii="Arial" w:hAnsi="Arial"/>
          <w:sz w:val="16"/>
        </w:rPr>
        <w:t>500.10  گوش‌بندها ممکن است در بالای سر یا پشت سر بپیچند.</w:t>
      </w:r>
    </w:p>
    <w:p>
      <w:pPr>
        <w:spacing w:after="28" w:line="216" w:lineRule="auto"/>
        <w:ind w:left="259"/>
        <w:jc w:val="left"/>
      </w:pPr>
      <w:r>
        <w:rPr>
          <w:rFonts w:ascii="Arial" w:hAnsi="Arial"/>
          <w:color w:val="525252"/>
          <w:sz w:val="13"/>
        </w:rPr>
        <w:t>Earmuffs may wrap around either the top or rear of the head.</w:t>
      </w:r>
    </w:p>
    <w:p>
      <w:pPr>
        <w:spacing w:after="20" w:line="223" w:lineRule="auto"/>
        <w:jc w:val="right"/>
        <w:bidi/>
      </w:pPr>
      <w:r>
        <w:rPr>
          <w:rFonts w:ascii="Arial" w:hAnsi="Arial"/>
          <w:sz w:val="16"/>
        </w:rPr>
        <w:t>500.11  نیروهای امنیتی.</w:t>
      </w:r>
    </w:p>
    <w:p>
      <w:pPr>
        <w:spacing w:after="28" w:line="216" w:lineRule="auto"/>
        <w:ind w:left="259"/>
        <w:jc w:val="left"/>
      </w:pPr>
      <w:r>
        <w:rPr>
          <w:rFonts w:ascii="Arial" w:hAnsi="Arial"/>
          <w:color w:val="525252"/>
          <w:sz w:val="13"/>
        </w:rPr>
        <w:t>Security Forces.</w:t>
      </w:r>
    </w:p>
    <w:p>
      <w:pPr>
        <w:spacing w:after="20" w:line="223" w:lineRule="auto"/>
        <w:jc w:val="right"/>
        <w:bidi/>
      </w:pPr>
      <w:r>
        <w:rPr>
          <w:rFonts w:ascii="Arial" w:hAnsi="Arial"/>
          <w:sz w:val="16"/>
        </w:rPr>
        <w:t>500.12  کلاه آبی.</w:t>
      </w:r>
    </w:p>
    <w:p>
      <w:pPr>
        <w:spacing w:after="28" w:line="216" w:lineRule="auto"/>
        <w:ind w:left="259"/>
        <w:jc w:val="left"/>
      </w:pPr>
      <w:r>
        <w:rPr>
          <w:rFonts w:ascii="Arial" w:hAnsi="Arial"/>
          <w:color w:val="525252"/>
          <w:sz w:val="13"/>
        </w:rPr>
        <w:t>Blue Beret.</w:t>
      </w:r>
    </w:p>
    <w:p>
      <w:pPr>
        <w:spacing w:after="20" w:line="223" w:lineRule="auto"/>
        <w:jc w:val="right"/>
        <w:bidi/>
      </w:pPr>
      <w:r>
        <w:rPr>
          <w:rFonts w:ascii="Arial" w:hAnsi="Arial"/>
          <w:sz w:val="16"/>
        </w:rPr>
        <w:t>500.13  مدافعان باید هنگام نصب در نقاط کنترل دسترسی نصب، به‌عنوان گشت نیروی انتظامی، یا هنگام انجام وظایف اسکادران یا کارکنان بالاتر، کلاه را بپوشند.</w:t>
      </w:r>
    </w:p>
    <w:p>
      <w:pPr>
        <w:spacing w:after="28" w:line="216" w:lineRule="auto"/>
        <w:ind w:left="259"/>
        <w:jc w:val="left"/>
      </w:pPr>
      <w:r>
        <w:rPr>
          <w:rFonts w:ascii="Arial" w:hAnsi="Arial"/>
          <w:color w:val="525252"/>
          <w:sz w:val="13"/>
        </w:rPr>
        <w:t>Defenders must wear the beret when posted at Installation access control points, as a Law Enforcement patrol, or when performing squadron or higher staff functions.</w:t>
      </w:r>
    </w:p>
    <w:p>
      <w:pPr>
        <w:spacing w:after="20" w:line="223" w:lineRule="auto"/>
        <w:jc w:val="right"/>
        <w:bidi/>
      </w:pPr>
      <w:r>
        <w:rPr>
          <w:rFonts w:ascii="Arial" w:hAnsi="Arial"/>
          <w:sz w:val="16"/>
        </w:rPr>
        <w:t>500.14  فرماندهان می‌توانند کلاه آبی را در همه زمان‌هایی که در پادگان با تمام یونیفرم‌های مجاز حضور دارند، بپوشند.</w:t>
      </w:r>
    </w:p>
    <w:p>
      <w:pPr>
        <w:spacing w:after="28" w:line="216" w:lineRule="auto"/>
        <w:ind w:left="259"/>
        <w:jc w:val="left"/>
      </w:pPr>
      <w:r>
        <w:rPr>
          <w:rFonts w:ascii="Arial" w:hAnsi="Arial"/>
          <w:color w:val="525252"/>
          <w:sz w:val="13"/>
        </w:rPr>
        <w:t>Commanders may designate wear of the Blue Beret at all times when in garrison with all authorized uniforms.</w:t>
      </w:r>
    </w:p>
    <w:p>
      <w:pPr>
        <w:spacing w:after="20" w:line="223" w:lineRule="auto"/>
        <w:jc w:val="right"/>
        <w:bidi/>
      </w:pPr>
      <w:r>
        <w:rPr>
          <w:rFonts w:ascii="Arial" w:hAnsi="Arial"/>
          <w:sz w:val="16"/>
        </w:rPr>
        <w:t>500.15  در طول آب و هوای نامساعد یا شدید، فرماندهان باید بر اساس شرایط آب و هوایی فعلی استفاده از دنده سر مناسب را مجاز کنند (به‌عنوان مثال، هنگامی که دما کمتر از ۳۲ درجه سانتیگراد است، کلاه ساعت قهوه‌ای کایوت مجاز است).</w:t>
      </w:r>
    </w:p>
    <w:p>
      <w:pPr>
        <w:spacing w:after="28" w:line="216" w:lineRule="auto"/>
        <w:ind w:left="259"/>
        <w:jc w:val="left"/>
      </w:pPr>
      <w:r>
        <w:rPr>
          <w:rFonts w:ascii="Arial" w:hAnsi="Arial"/>
          <w:color w:val="525252"/>
          <w:sz w:val="13"/>
        </w:rPr>
        <w:t>During inclement or extreme weather, commanders should authorize the wear of the appropriate head gear based on the current weather conditions (e.g., when temperatures are below 32 ℉, the coyote brown watch cap is authorized).</w:t>
      </w:r>
    </w:p>
    <w:p>
      <w:pPr>
        <w:spacing w:after="20" w:line="223" w:lineRule="auto"/>
        <w:jc w:val="right"/>
        <w:bidi/>
      </w:pPr>
      <w:r>
        <w:rPr>
          <w:rFonts w:ascii="Arial" w:hAnsi="Arial"/>
          <w:sz w:val="16"/>
        </w:rPr>
        <w:t>500.16  هدبند را مستقیما روی پیشانی، ۱ اینچ بالای ابروها قرار دهید.</w:t>
      </w:r>
    </w:p>
    <w:p>
      <w:pPr>
        <w:spacing w:after="28" w:line="216" w:lineRule="auto"/>
        <w:ind w:left="259"/>
        <w:jc w:val="left"/>
      </w:pPr>
      <w:r>
        <w:rPr>
          <w:rFonts w:ascii="Arial" w:hAnsi="Arial"/>
          <w:color w:val="525252"/>
          <w:sz w:val="13"/>
        </w:rPr>
        <w:t>Position headband straight across the forehead, 1- inch above the eyebrows.</w:t>
      </w:r>
    </w:p>
    <w:p>
      <w:pPr>
        <w:spacing w:after="20" w:line="223" w:lineRule="auto"/>
        <w:jc w:val="right"/>
        <w:bidi/>
      </w:pPr>
      <w:r>
        <w:rPr>
          <w:rFonts w:ascii="Arial" w:hAnsi="Arial"/>
          <w:sz w:val="16"/>
        </w:rPr>
        <w:t>500.17  قسمت بالایی را به سمت گوش راست و سفت کننده بکشید.</w:t>
      </w:r>
    </w:p>
    <w:p>
      <w:pPr>
        <w:spacing w:after="28" w:line="216" w:lineRule="auto"/>
        <w:ind w:left="259"/>
        <w:jc w:val="left"/>
      </w:pPr>
      <w:r>
        <w:rPr>
          <w:rFonts w:ascii="Arial" w:hAnsi="Arial"/>
          <w:color w:val="525252"/>
          <w:sz w:val="13"/>
        </w:rPr>
        <w:t>Drape the top toward the right ear and the stiffener.</w:t>
      </w:r>
    </w:p>
    <w:p>
      <w:pPr>
        <w:spacing w:after="20" w:line="223" w:lineRule="auto"/>
        <w:jc w:val="right"/>
        <w:bidi/>
      </w:pPr>
      <w:r>
        <w:rPr>
          <w:rFonts w:ascii="Arial" w:hAnsi="Arial"/>
          <w:sz w:val="16"/>
        </w:rPr>
        <w:t>500.18  فلاش پارچه‌ای را بالای چشم چپ تراز کنید.</w:t>
      </w:r>
    </w:p>
    <w:p>
      <w:pPr>
        <w:spacing w:after="28" w:line="216" w:lineRule="auto"/>
        <w:ind w:left="259"/>
        <w:jc w:val="left"/>
      </w:pPr>
      <w:r>
        <w:rPr>
          <w:rFonts w:ascii="Arial" w:hAnsi="Arial"/>
          <w:color w:val="525252"/>
          <w:sz w:val="13"/>
        </w:rPr>
        <w:t>Align cloth flash above the left eye.</w:t>
      </w:r>
    </w:p>
    <w:p>
      <w:pPr>
        <w:spacing w:after="20" w:line="223" w:lineRule="auto"/>
        <w:jc w:val="right"/>
        <w:bidi/>
      </w:pPr>
      <w:r>
        <w:rPr>
          <w:rFonts w:ascii="Arial" w:hAnsi="Arial"/>
          <w:sz w:val="16"/>
        </w:rPr>
        <w:t>500.19  روبان را برای راحتی تنظیم کنید، گره بزنید و داخل آن را ببندید یا برش دهید.</w:t>
      </w:r>
    </w:p>
    <w:p>
      <w:pPr>
        <w:spacing w:after="28" w:line="216" w:lineRule="auto"/>
        <w:ind w:left="259"/>
        <w:jc w:val="left"/>
      </w:pPr>
      <w:r>
        <w:rPr>
          <w:rFonts w:ascii="Arial" w:hAnsi="Arial"/>
          <w:color w:val="525252"/>
          <w:sz w:val="13"/>
        </w:rPr>
        <w:t>Adjust ribbon for comfort, tie in a knot, and tuck inside or cut-off.</w:t>
      </w:r>
    </w:p>
    <w:p>
      <w:pPr>
        <w:spacing w:after="20" w:line="223" w:lineRule="auto"/>
        <w:jc w:val="right"/>
        <w:bidi/>
      </w:pPr>
      <w:r>
        <w:rPr>
          <w:rFonts w:ascii="Arial" w:hAnsi="Arial"/>
          <w:sz w:val="16"/>
        </w:rPr>
        <w:t>500.20  فلاش پارچه‌ای کامل SF به مرکز سفت کننده، ۱/۴ اینچ بالا و موازی با هدبند دوخته می‌شود. پرسنل سرباز از فلاش SF با نشان SF استفاده می‌کنند.</w:t>
      </w:r>
    </w:p>
    <w:p>
      <w:pPr>
        <w:spacing w:after="28" w:line="216" w:lineRule="auto"/>
        <w:ind w:left="259"/>
        <w:jc w:val="left"/>
      </w:pPr>
      <w:r>
        <w:rPr>
          <w:rFonts w:ascii="Arial" w:hAnsi="Arial"/>
          <w:color w:val="525252"/>
          <w:sz w:val="13"/>
        </w:rPr>
        <w:t>The SF full cloth flash will be sewn to the center of the stiffener, 1/4-inch above and parallel to the headband. enlisted personnel wear the SF flash with SF insignia.</w:t>
      </w:r>
    </w:p>
    <w:p>
      <w:pPr>
        <w:spacing w:after="20" w:line="223" w:lineRule="auto"/>
        <w:jc w:val="right"/>
        <w:bidi/>
      </w:pPr>
      <w:r>
        <w:rPr>
          <w:rFonts w:ascii="Arial" w:hAnsi="Arial"/>
          <w:sz w:val="16"/>
        </w:rPr>
        <w:t>500.21  افسران فلاش ساده (بدون علامت) SF را می‌پوشند و نشان‌های درجه فلزی روشن با اندازه معمولی را در مرکز فلاش می‌چسبانند.</w:t>
      </w:r>
    </w:p>
    <w:p>
      <w:pPr>
        <w:spacing w:after="28" w:line="216" w:lineRule="auto"/>
        <w:ind w:left="259"/>
        <w:jc w:val="left"/>
      </w:pPr>
      <w:r>
        <w:rPr>
          <w:rFonts w:ascii="Arial" w:hAnsi="Arial"/>
          <w:color w:val="525252"/>
          <w:sz w:val="13"/>
        </w:rPr>
        <w:t>Officers wear the plain (no insignia) SF flash and affix regular-size bright metal rank insignia centered on the flash.</w:t>
      </w:r>
    </w:p>
    <w:p>
      <w:pPr>
        <w:spacing w:after="20" w:line="223" w:lineRule="auto"/>
        <w:jc w:val="right"/>
        <w:bidi/>
      </w:pPr>
      <w:r>
        <w:rPr>
          <w:rFonts w:ascii="Arial" w:hAnsi="Arial"/>
          <w:sz w:val="16"/>
        </w:rPr>
        <w:t>500.22  کلاهک‌های SF هنگام انجام وظایف در بیلت‌های کنترلی AFSC ۳۱PX یا ۳پ۰XX پوشیده می‌شوند.</w:t>
      </w:r>
    </w:p>
    <w:p>
      <w:pPr>
        <w:spacing w:after="28" w:line="216" w:lineRule="auto"/>
        <w:ind w:left="259"/>
        <w:jc w:val="left"/>
      </w:pPr>
      <w:r>
        <w:rPr>
          <w:rFonts w:ascii="Arial" w:hAnsi="Arial"/>
          <w:color w:val="525252"/>
          <w:sz w:val="13"/>
        </w:rPr>
        <w:t>SF berets are worn while performing duties in control AFSC 31PX or 3P0XX billets.</w:t>
      </w:r>
    </w:p>
    <w:p>
      <w:pPr>
        <w:spacing w:after="20" w:line="223" w:lineRule="auto"/>
        <w:jc w:val="right"/>
        <w:bidi/>
      </w:pPr>
      <w:r>
        <w:rPr>
          <w:rFonts w:ascii="Arial" w:hAnsi="Arial"/>
          <w:sz w:val="16"/>
        </w:rPr>
        <w:t>500.23  هوایی که به‌طور دائم از AFSC ۳۱PX یا ۳پ۰XX عبور می‌کند، سپر SF و کلاهک را نخواهند پوشید.</w:t>
      </w:r>
    </w:p>
    <w:p>
      <w:pPr>
        <w:spacing w:after="28" w:line="216" w:lineRule="auto"/>
        <w:ind w:left="259"/>
        <w:jc w:val="left"/>
      </w:pPr>
      <w:r>
        <w:rPr>
          <w:rFonts w:ascii="Arial" w:hAnsi="Arial"/>
          <w:color w:val="525252"/>
          <w:sz w:val="13"/>
        </w:rPr>
        <w:t>Airmen who permanently cross train out of the AFSC 31PX or 3P0XX will not wear the SF shield and beret.</w:t>
      </w:r>
    </w:p>
    <w:p>
      <w:pPr>
        <w:spacing w:after="20" w:line="223" w:lineRule="auto"/>
        <w:jc w:val="right"/>
        <w:bidi/>
      </w:pPr>
      <w:r>
        <w:rPr>
          <w:rFonts w:ascii="Arial" w:hAnsi="Arial"/>
          <w:sz w:val="16"/>
        </w:rPr>
        <w:t>500.24  استثنا: به پوشیدن سپر SF و کلاهک با هم در حین شرکت در آموزش نظامی حرفه‌ای و منصوب شدن به موقعیت‌های مشترک، مربی و وظایف استخدام، یا مطابق با تأیید اداره نیروهای امنیتی HAF (AF/ا۴س) ادامه دهید.</w:t>
      </w:r>
    </w:p>
    <w:p>
      <w:pPr>
        <w:spacing w:after="28" w:line="216" w:lineRule="auto"/>
        <w:ind w:left="259"/>
        <w:jc w:val="left"/>
      </w:pPr>
      <w:r>
        <w:rPr>
          <w:rFonts w:ascii="Arial" w:hAnsi="Arial"/>
          <w:color w:val="525252"/>
          <w:sz w:val="13"/>
        </w:rPr>
        <w:t>Exception: Continue to wear SF shield and beret together while attending professional military education and assigned to joint positions, instructor, and recruiting duties, or as approved by the HAF Security Forces Directorate (AF/A4S).</w:t>
      </w:r>
    </w:p>
    <w:p>
      <w:pPr>
        <w:spacing w:after="20" w:line="223" w:lineRule="auto"/>
        <w:jc w:val="right"/>
        <w:bidi/>
      </w:pPr>
      <w:r>
        <w:rPr>
          <w:rFonts w:ascii="Arial" w:hAnsi="Arial"/>
          <w:sz w:val="16"/>
        </w:rPr>
        <w:t>500.25  هوانوردان ممکن است به پوشیدن کلاهک خود در حین انجام وظایف ویژه و تکالیف وظیفه ویژه توسعه (DSD) خارج از AFSC اولیه خود ادامه دهند.</w:t>
      </w:r>
    </w:p>
    <w:p>
      <w:pPr>
        <w:spacing w:after="28" w:line="216" w:lineRule="auto"/>
        <w:ind w:left="259"/>
        <w:jc w:val="left"/>
      </w:pPr>
      <w:r>
        <w:rPr>
          <w:rFonts w:ascii="Arial" w:hAnsi="Arial"/>
          <w:color w:val="525252"/>
          <w:sz w:val="13"/>
        </w:rPr>
        <w:t>Airmen may continue to wear their beret while performing special duty assignments and developmental special duty assignments (DSDs) outside of their primary AFSC.</w:t>
      </w:r>
    </w:p>
    <w:p>
      <w:pPr>
        <w:spacing w:after="20" w:line="223" w:lineRule="auto"/>
        <w:jc w:val="right"/>
        <w:bidi/>
      </w:pPr>
      <w:r>
        <w:rPr>
          <w:rFonts w:ascii="Arial" w:hAnsi="Arial"/>
          <w:sz w:val="16"/>
        </w:rPr>
        <w:t>500.26  این شامل آموزش نظامی حرفه‌ای (PME)، موقعیت‌های مشترک، مربیان، استخدام‌کنندگان، پست‌های کارکنان HAF، MAJCOM، NAF، DRU و FOA، و پست‌های فرماندهی (مانند فرمانده، فرماندهان جناح، گروه و اسکادران، سرپرستان/رهبران ارشد و گروهبانان ارشد) می‌شود.</w:t>
      </w:r>
    </w:p>
    <w:p>
      <w:pPr>
        <w:spacing w:after="28" w:line="216" w:lineRule="auto"/>
        <w:ind w:left="259"/>
        <w:jc w:val="left"/>
      </w:pPr>
      <w:r>
        <w:rPr>
          <w:rFonts w:ascii="Arial" w:hAnsi="Arial"/>
          <w:color w:val="525252"/>
          <w:sz w:val="13"/>
        </w:rPr>
        <w:t>This includes Professional Military Education (PME), joint positions, instructors, recruiters, HAF, MAJCOM, NAF, DRU and FOA staff positions, and command positions (e.g., command chief, wing, group and squadron commanders, superintendents/senior enlisted leaders and First Sergeants).</w:t>
      </w:r>
    </w:p>
    <w:p>
      <w:pPr>
        <w:spacing w:after="20" w:line="223" w:lineRule="auto"/>
        <w:jc w:val="right"/>
        <w:bidi/>
      </w:pPr>
      <w:r>
        <w:rPr>
          <w:rFonts w:ascii="Arial" w:hAnsi="Arial"/>
          <w:sz w:val="16"/>
        </w:rPr>
        <w:t>500.27  کلاه توپی OCP یا کلاه پاترول.</w:t>
      </w:r>
    </w:p>
    <w:p>
      <w:pPr>
        <w:spacing w:after="28" w:line="216" w:lineRule="auto"/>
        <w:ind w:left="259"/>
        <w:jc w:val="left"/>
      </w:pPr>
      <w:r>
        <w:rPr>
          <w:rFonts w:ascii="Arial" w:hAnsi="Arial"/>
          <w:color w:val="525252"/>
          <w:sz w:val="13"/>
        </w:rPr>
        <w:t>OCP Ball Caps or Patrol Caps.</w:t>
      </w:r>
    </w:p>
    <w:p>
      <w:pPr>
        <w:spacing w:after="20" w:line="223" w:lineRule="auto"/>
        <w:jc w:val="right"/>
        <w:bidi/>
      </w:pPr>
      <w:r>
        <w:rPr>
          <w:rFonts w:ascii="Arial" w:hAnsi="Arial"/>
          <w:sz w:val="16"/>
        </w:rPr>
        <w:t>500.28  فرماندهان نیروهای امنیتی ممکن است پوشیدن کلاه توپی OCP یا کلاه گشتی را برای سایر پستهای دفاعی پایگاه که پیش‌تر در DAFI ۳۶-۲۹۰۳، بند ۱۰.۳.۱ ذکر نشده است، در طول رویدادهای آموزشی SF تعیین کنند، زمانی که ظاهری ملایم لازم است (به‌عنوان مثال، در حالی که در میدان هستید یا در شرایط آب و هوای شدید آسیب دیده می‌شود، یا ممکن است در اثر آسیب دیدگی شدید آب و هوا باشد). کلاه‌های کلاه‌دار، کلاه‌های توپی OCP یا کلاه گشتی (در صورت مجاز بودن) هنگام نصب در فضای باز پوشیده می‌شوند، مگر اینکه در منطقه‌ای که به‌عنوان منطقه "بدون کلاه" تعیین شده باشد.</w:t>
      </w:r>
    </w:p>
    <w:p>
      <w:pPr>
        <w:spacing w:after="28" w:line="216" w:lineRule="auto"/>
        <w:ind w:left="259"/>
        <w:jc w:val="left"/>
      </w:pPr>
      <w:r>
        <w:rPr>
          <w:rFonts w:ascii="Arial" w:hAnsi="Arial"/>
          <w:color w:val="525252"/>
          <w:sz w:val="13"/>
        </w:rPr>
        <w:t>Security Forces commanders may designate the wear of OCP ball cap or Patrol Cap for all other base defense posts not already listed in DAFI 36- 2903, paragraph 10.3.1, during SF training events, when a subdued appearance is required (e.g., while in the field or deployed, or in extreme hot weather climates where the wear of the beret may result in a heat related injury.) Berets, OCPs ball caps, or Patrol Cap (when authorized) will be worn while posted outdoors unless in an area designated as a “no hat” area.</w:t>
      </w:r>
    </w:p>
    <w:p>
      <w:pPr>
        <w:spacing w:after="20" w:line="223" w:lineRule="auto"/>
        <w:jc w:val="right"/>
        <w:bidi/>
      </w:pPr>
      <w:r>
        <w:rPr>
          <w:rFonts w:ascii="Arial" w:hAnsi="Arial"/>
          <w:sz w:val="16"/>
        </w:rPr>
        <w:t>500.29  هنگام پاسخ دادن به موقعیت‌های داخل ساختمان، پرسنل نیروهای امنیتی مسلح (SF) باید بر اساس وضعیت کلی از کلاه سر مناسب استفاده کنند (به‌عنوان مثال، کلاه تاکتیکی برای موقعیت‌های خصمانه، و کلاه برت یا OCP برای موقعیت‌هایی که خصومت‌ها مورد انتظار نیست.) لباس روزانه.</w:t>
      </w:r>
    </w:p>
    <w:p>
      <w:pPr>
        <w:spacing w:after="28" w:line="216" w:lineRule="auto"/>
        <w:ind w:left="259"/>
        <w:jc w:val="left"/>
      </w:pPr>
      <w:r>
        <w:rPr>
          <w:rFonts w:ascii="Arial" w:hAnsi="Arial"/>
          <w:color w:val="525252"/>
          <w:sz w:val="13"/>
        </w:rPr>
        <w:t>When responding to indoor situations, armed Security Forces (SF) personnel should wear the appropriate headgear based on the overall situation (e.g., Tactical Helmet for hostile situations, and either the Beret or OCP ball cap for situations where hostilities are not expected.) Daily Uniform.</w:t>
      </w:r>
    </w:p>
    <w:p>
      <w:pPr>
        <w:spacing w:after="20" w:line="223" w:lineRule="auto"/>
        <w:jc w:val="right"/>
        <w:bidi/>
      </w:pPr>
      <w:r>
        <w:rPr>
          <w:rFonts w:ascii="Arial" w:hAnsi="Arial"/>
          <w:sz w:val="16"/>
        </w:rPr>
        <w:t>500.30  مدافعان مستقر در نقاط کنترل دسترسی نصب، لباس روز را می‌پوشند. با این حال، در طول رویدادهای ویژه یا زمانی که فرمانده نیروهای امنیتی دستور می‌دهد، مدافعان مستقر در نقاط کنترل دسترسی نصب و راه‌اندازی و محافظان نخبه MAJCOM می‌توانند لباس‌ها و اقلام مرتبط زیر را بپوشند:</w:t>
      </w:r>
    </w:p>
    <w:p>
      <w:pPr>
        <w:spacing w:after="28" w:line="216" w:lineRule="auto"/>
        <w:ind w:left="259"/>
        <w:jc w:val="left"/>
      </w:pPr>
      <w:r>
        <w:rPr>
          <w:rFonts w:ascii="Arial" w:hAnsi="Arial"/>
          <w:color w:val="525252"/>
          <w:sz w:val="13"/>
        </w:rPr>
        <w:t>Defenders posted at the Installation access control points wear the uniform of the day; however, during special events or when directed by the Security Forces commander, Defenders posted at the Installation access control points and MAJCOM elite guards may wear the following uniforms and associated items:</w:t>
      </w:r>
    </w:p>
    <w:p>
      <w:r>
        <w:br w:type="page"/>
      </w:r>
    </w:p>
    <w:p>
      <w:pPr>
        <w:spacing w:after="60"/>
        <w:jc w:val="right"/>
        <w:bidi/>
      </w:pPr>
      <w:r>
        <w:rPr>
          <w:rFonts w:ascii="Arial" w:hAnsi="Arial"/>
          <w:b/>
          <w:color w:val="1F4D78"/>
          <w:sz w:val="19"/>
        </w:rPr>
        <w:t>هفتهٔ 501  |  صفحهٔ منبع: 517</w:t>
      </w:r>
    </w:p>
    <w:p>
      <w:pPr>
        <w:spacing w:after="20" w:line="223" w:lineRule="auto"/>
        <w:jc w:val="right"/>
        <w:bidi/>
      </w:pPr>
      <w:r>
        <w:rPr>
          <w:rFonts w:ascii="Arial" w:hAnsi="Arial"/>
          <w:sz w:val="16"/>
        </w:rPr>
        <w:t>501.01  لباس فرم.</w:t>
      </w:r>
    </w:p>
    <w:p>
      <w:pPr>
        <w:spacing w:after="28" w:line="216" w:lineRule="auto"/>
        <w:ind w:left="259"/>
        <w:jc w:val="left"/>
      </w:pPr>
      <w:r>
        <w:rPr>
          <w:rFonts w:ascii="Arial" w:hAnsi="Arial"/>
          <w:color w:val="525252"/>
          <w:sz w:val="13"/>
        </w:rPr>
        <w:t>Dress Uniform.</w:t>
      </w:r>
    </w:p>
    <w:p>
      <w:pPr>
        <w:spacing w:after="20" w:line="223" w:lineRule="auto"/>
        <w:jc w:val="right"/>
        <w:bidi/>
      </w:pPr>
      <w:r>
        <w:rPr>
          <w:rFonts w:ascii="Arial" w:hAnsi="Arial"/>
          <w:sz w:val="16"/>
        </w:rPr>
        <w:t>501.02  کلاهک با فلاش SF، چکمه‌های بلوزدار با توری‌های سفید یا ربع‌های کم‌رنگ، آسکوت سفید ساده (با یا بدون تاج MAJCOM) و چرخ‌دنده نایلونی منتشر شده یا کمربند کار نایلونی.</w:t>
      </w:r>
    </w:p>
    <w:p>
      <w:pPr>
        <w:spacing w:after="28" w:line="216" w:lineRule="auto"/>
        <w:ind w:left="259"/>
        <w:jc w:val="left"/>
      </w:pPr>
      <w:r>
        <w:rPr>
          <w:rFonts w:ascii="Arial" w:hAnsi="Arial"/>
          <w:color w:val="525252"/>
          <w:sz w:val="13"/>
        </w:rPr>
        <w:t>Beret with SF flash, bloused boots with white laces or low quarters, plain white ascot (with or without MAJCOM crest) and the issued nylon web gear or nylon duty belt.</w:t>
      </w:r>
    </w:p>
    <w:p>
      <w:pPr>
        <w:spacing w:after="20" w:line="223" w:lineRule="auto"/>
        <w:jc w:val="right"/>
        <w:bidi/>
      </w:pPr>
      <w:r>
        <w:rPr>
          <w:rFonts w:ascii="Arial" w:hAnsi="Arial"/>
          <w:sz w:val="16"/>
        </w:rPr>
        <w:t>501.03  OCP.</w:t>
      </w:r>
    </w:p>
    <w:p>
      <w:pPr>
        <w:spacing w:after="28" w:line="216" w:lineRule="auto"/>
        <w:ind w:left="259"/>
        <w:jc w:val="left"/>
      </w:pPr>
      <w:r>
        <w:rPr>
          <w:rFonts w:ascii="Arial" w:hAnsi="Arial"/>
          <w:color w:val="525252"/>
          <w:sz w:val="13"/>
        </w:rPr>
        <w:t>OCP.</w:t>
      </w:r>
    </w:p>
    <w:p>
      <w:pPr>
        <w:spacing w:after="20" w:line="223" w:lineRule="auto"/>
        <w:jc w:val="right"/>
        <w:bidi/>
      </w:pPr>
      <w:r>
        <w:rPr>
          <w:rFonts w:ascii="Arial" w:hAnsi="Arial"/>
          <w:sz w:val="16"/>
        </w:rPr>
        <w:t>501.04  کلاهک با فلاش SF، اسکوت طرحدار سفید یا OCP (با یا بدون تاج MAJCOM) و کمربند یا صفحه حامل استاندارد.</w:t>
      </w:r>
    </w:p>
    <w:p>
      <w:pPr>
        <w:spacing w:after="28" w:line="216" w:lineRule="auto"/>
        <w:ind w:left="259"/>
        <w:jc w:val="left"/>
      </w:pPr>
      <w:r>
        <w:rPr>
          <w:rFonts w:ascii="Arial" w:hAnsi="Arial"/>
          <w:color w:val="525252"/>
          <w:sz w:val="13"/>
        </w:rPr>
        <w:t>Beret with SF flash, white or OCP patterned ascot (with or without MAJCOM crest) and the standard duty belt or plate carrier.</w:t>
      </w:r>
    </w:p>
    <w:p>
      <w:pPr>
        <w:spacing w:after="20" w:line="223" w:lineRule="auto"/>
        <w:jc w:val="right"/>
        <w:bidi/>
      </w:pPr>
      <w:r>
        <w:rPr>
          <w:rFonts w:ascii="Arial" w:hAnsi="Arial"/>
          <w:sz w:val="16"/>
        </w:rPr>
        <w:t>501.05  براسارد.</w:t>
      </w:r>
    </w:p>
    <w:p>
      <w:pPr>
        <w:spacing w:after="28" w:line="216" w:lineRule="auto"/>
        <w:ind w:left="259"/>
        <w:jc w:val="left"/>
      </w:pPr>
      <w:r>
        <w:rPr>
          <w:rFonts w:ascii="Arial" w:hAnsi="Arial"/>
          <w:color w:val="525252"/>
          <w:sz w:val="13"/>
        </w:rPr>
        <w:t>Brassard.</w:t>
      </w:r>
    </w:p>
    <w:p>
      <w:pPr>
        <w:spacing w:after="20" w:line="223" w:lineRule="auto"/>
        <w:jc w:val="right"/>
        <w:bidi/>
      </w:pPr>
      <w:r>
        <w:rPr>
          <w:rFonts w:ascii="Arial" w:hAnsi="Arial"/>
          <w:sz w:val="16"/>
        </w:rPr>
        <w:t>501.06  در صورت مجاز بودن، از رنگ‌های زیر استفاده می‌شود: آبی با حروف خاکستری، مشکی با حروف سفید، قهوه‌ای مایل به زرد با حروف مشکی، یا در صورت صلاحدید برای ناحیه خاص مسئولیت.</w:t>
      </w:r>
    </w:p>
    <w:p>
      <w:pPr>
        <w:spacing w:after="28" w:line="216" w:lineRule="auto"/>
        <w:ind w:left="259"/>
        <w:jc w:val="left"/>
      </w:pPr>
      <w:r>
        <w:rPr>
          <w:rFonts w:ascii="Arial" w:hAnsi="Arial"/>
          <w:color w:val="525252"/>
          <w:sz w:val="13"/>
        </w:rPr>
        <w:t>When authorized, the following colors will be utilized: blue with gray lettering, black with white lettering, tan with black lettering, or as deemed appropriate for the specific area of responsibility.</w:t>
      </w:r>
    </w:p>
    <w:p>
      <w:pPr>
        <w:spacing w:after="20" w:line="223" w:lineRule="auto"/>
        <w:jc w:val="right"/>
        <w:bidi/>
      </w:pPr>
      <w:r>
        <w:rPr>
          <w:rFonts w:ascii="Arial" w:hAnsi="Arial"/>
          <w:sz w:val="16"/>
        </w:rPr>
        <w:t>501.07  ممکن است توسط افراد تقویت شده‌ای که وظایف نیروهای امنیتی را انجام می‌دهند با مجوز فرمانده نیروی دفاعی پوشیده شود.</w:t>
      </w:r>
    </w:p>
    <w:p>
      <w:pPr>
        <w:spacing w:after="28" w:line="216" w:lineRule="auto"/>
        <w:ind w:left="259"/>
        <w:jc w:val="left"/>
      </w:pPr>
      <w:r>
        <w:rPr>
          <w:rFonts w:ascii="Arial" w:hAnsi="Arial"/>
          <w:color w:val="525252"/>
          <w:sz w:val="13"/>
        </w:rPr>
        <w:t>May be worn by augmentees performing security forces duties when authorized by the Defense Force Commander.</w:t>
      </w:r>
    </w:p>
    <w:p>
      <w:pPr>
        <w:spacing w:after="20" w:line="223" w:lineRule="auto"/>
        <w:jc w:val="right"/>
        <w:bidi/>
      </w:pPr>
      <w:r>
        <w:rPr>
          <w:rFonts w:ascii="Arial" w:hAnsi="Arial"/>
          <w:sz w:val="16"/>
        </w:rPr>
        <w:t>501.08  ژاکت آبی سبک.</w:t>
      </w:r>
    </w:p>
    <w:p>
      <w:pPr>
        <w:spacing w:after="28" w:line="216" w:lineRule="auto"/>
        <w:ind w:left="259"/>
        <w:jc w:val="left"/>
      </w:pPr>
      <w:r>
        <w:rPr>
          <w:rFonts w:ascii="Arial" w:hAnsi="Arial"/>
          <w:color w:val="525252"/>
          <w:sz w:val="13"/>
        </w:rPr>
        <w:t>Lightweight Blue Jacket.</w:t>
      </w:r>
    </w:p>
    <w:p>
      <w:pPr>
        <w:spacing w:after="20" w:line="223" w:lineRule="auto"/>
        <w:jc w:val="right"/>
        <w:bidi/>
      </w:pPr>
      <w:r>
        <w:rPr>
          <w:rFonts w:ascii="Arial" w:hAnsi="Arial"/>
          <w:sz w:val="16"/>
        </w:rPr>
        <w:t>501.09  در صورت مجاز بودن، مدافعان می‌توانند از وصله نام به سبک ایرکرو (YACC-۸۹-۳) در سمت چپ ژاکت استفاده کنند.</w:t>
      </w:r>
    </w:p>
    <w:p>
      <w:pPr>
        <w:spacing w:after="28" w:line="216" w:lineRule="auto"/>
        <w:ind w:left="259"/>
        <w:jc w:val="left"/>
      </w:pPr>
      <w:r>
        <w:rPr>
          <w:rFonts w:ascii="Arial" w:hAnsi="Arial"/>
          <w:color w:val="525252"/>
          <w:sz w:val="13"/>
        </w:rPr>
        <w:t>When authorized, defenders may wear the Aircrew Style Name Patch (YACC-89-3) on the left side of the jacket.</w:t>
      </w:r>
    </w:p>
    <w:p>
      <w:pPr>
        <w:spacing w:after="20" w:line="223" w:lineRule="auto"/>
        <w:jc w:val="right"/>
        <w:bidi/>
      </w:pPr>
      <w:r>
        <w:rPr>
          <w:rFonts w:ascii="Arial" w:hAnsi="Arial"/>
          <w:sz w:val="16"/>
        </w:rPr>
        <w:t>501.10  افسران نشان درجه فلزی درخشان را روی سردوش‌های ژاکت می‌پوشند.</w:t>
      </w:r>
    </w:p>
    <w:p>
      <w:pPr>
        <w:spacing w:after="28" w:line="216" w:lineRule="auto"/>
        <w:ind w:left="259"/>
        <w:jc w:val="left"/>
      </w:pPr>
      <w:r>
        <w:rPr>
          <w:rFonts w:ascii="Arial" w:hAnsi="Arial"/>
          <w:color w:val="525252"/>
          <w:sz w:val="13"/>
        </w:rPr>
        <w:t>Officers wear the bright metal rank insignia on the epaulets of the jacket.</w:t>
      </w:r>
    </w:p>
    <w:p>
      <w:pPr>
        <w:spacing w:after="20" w:line="223" w:lineRule="auto"/>
        <w:jc w:val="right"/>
        <w:bidi/>
      </w:pPr>
      <w:r>
        <w:rPr>
          <w:rFonts w:ascii="Arial" w:hAnsi="Arial"/>
          <w:sz w:val="16"/>
        </w:rPr>
        <w:t>501.11  با لباس سرویس، لباس بارداری و کت یا یونیفرم OCP نپوشید.</w:t>
      </w:r>
    </w:p>
    <w:p>
      <w:pPr>
        <w:spacing w:after="28" w:line="216" w:lineRule="auto"/>
        <w:ind w:left="259"/>
        <w:jc w:val="left"/>
      </w:pPr>
      <w:r>
        <w:rPr>
          <w:rFonts w:ascii="Arial" w:hAnsi="Arial"/>
          <w:color w:val="525252"/>
          <w:sz w:val="13"/>
        </w:rPr>
        <w:t>Do not wear with service dress, maternity smock, and coat or OCP uniforms.</w:t>
      </w:r>
    </w:p>
    <w:p>
      <w:pPr>
        <w:spacing w:after="20" w:line="223" w:lineRule="auto"/>
        <w:jc w:val="right"/>
        <w:bidi/>
      </w:pPr>
      <w:r>
        <w:rPr>
          <w:rFonts w:ascii="Arial" w:hAnsi="Arial"/>
          <w:sz w:val="16"/>
        </w:rPr>
        <w:t>501.12  بارانی، کاور کلاهک، چکمه لاستیکی.</w:t>
      </w:r>
    </w:p>
    <w:p>
      <w:pPr>
        <w:spacing w:after="28" w:line="216" w:lineRule="auto"/>
        <w:ind w:left="259"/>
        <w:jc w:val="left"/>
      </w:pPr>
      <w:r>
        <w:rPr>
          <w:rFonts w:ascii="Arial" w:hAnsi="Arial"/>
          <w:color w:val="525252"/>
          <w:sz w:val="13"/>
        </w:rPr>
        <w:t>Raincoat, Cap Cover, Rubber Boots.</w:t>
      </w:r>
    </w:p>
    <w:p>
      <w:pPr>
        <w:spacing w:after="20" w:line="223" w:lineRule="auto"/>
        <w:jc w:val="right"/>
        <w:bidi/>
      </w:pPr>
      <w:r>
        <w:rPr>
          <w:rFonts w:ascii="Arial" w:hAnsi="Arial"/>
          <w:sz w:val="16"/>
        </w:rPr>
        <w:t>501.13  فقط در آب و هوای نامساعد بپوشید.</w:t>
      </w:r>
    </w:p>
    <w:p>
      <w:pPr>
        <w:spacing w:after="28" w:line="216" w:lineRule="auto"/>
        <w:ind w:left="259"/>
        <w:jc w:val="left"/>
      </w:pPr>
      <w:r>
        <w:rPr>
          <w:rFonts w:ascii="Arial" w:hAnsi="Arial"/>
          <w:color w:val="525252"/>
          <w:sz w:val="13"/>
        </w:rPr>
        <w:t>Wear in inclement weather only.</w:t>
      </w:r>
    </w:p>
    <w:p>
      <w:pPr>
        <w:spacing w:after="20" w:line="223" w:lineRule="auto"/>
        <w:jc w:val="right"/>
        <w:bidi/>
      </w:pPr>
      <w:r>
        <w:rPr>
          <w:rFonts w:ascii="Arial" w:hAnsi="Arial"/>
          <w:sz w:val="16"/>
        </w:rPr>
        <w:t>501.14  هنگام کنترل ترافیک یا عابر پیاده باید از لباس‌های بیرونی زرد یا جلیقه ایمنی بازتابنده، چکمه‌های مشکی استفاده کنید.</w:t>
      </w:r>
    </w:p>
    <w:p>
      <w:pPr>
        <w:spacing w:after="28" w:line="216" w:lineRule="auto"/>
        <w:ind w:left="259"/>
        <w:jc w:val="left"/>
      </w:pPr>
      <w:r>
        <w:rPr>
          <w:rFonts w:ascii="Arial" w:hAnsi="Arial"/>
          <w:color w:val="525252"/>
          <w:sz w:val="13"/>
        </w:rPr>
        <w:t>Must wear yellow outer garments or reflective safety vest, black boots when performing traffic or pedestrian control.</w:t>
      </w:r>
    </w:p>
    <w:p>
      <w:pPr>
        <w:spacing w:after="20" w:line="223" w:lineRule="auto"/>
        <w:jc w:val="right"/>
        <w:bidi/>
      </w:pPr>
      <w:r>
        <w:rPr>
          <w:rFonts w:ascii="Arial" w:hAnsi="Arial"/>
          <w:sz w:val="16"/>
        </w:rPr>
        <w:t>501.15  دستکش سفید.</w:t>
      </w:r>
    </w:p>
    <w:p>
      <w:pPr>
        <w:spacing w:after="28" w:line="216" w:lineRule="auto"/>
        <w:ind w:left="259"/>
        <w:jc w:val="left"/>
      </w:pPr>
      <w:r>
        <w:rPr>
          <w:rFonts w:ascii="Arial" w:hAnsi="Arial"/>
          <w:color w:val="525252"/>
          <w:sz w:val="13"/>
        </w:rPr>
        <w:t>White Gloves.</w:t>
      </w:r>
    </w:p>
    <w:p>
      <w:pPr>
        <w:spacing w:after="20" w:line="223" w:lineRule="auto"/>
        <w:jc w:val="right"/>
        <w:bidi/>
      </w:pPr>
      <w:r>
        <w:rPr>
          <w:rFonts w:ascii="Arial" w:hAnsi="Arial"/>
          <w:sz w:val="16"/>
        </w:rPr>
        <w:t>501.16  زمانی که فرمانده نیروهای امنیتی اجازه دهد پوشیده شده است.</w:t>
      </w:r>
    </w:p>
    <w:p>
      <w:pPr>
        <w:spacing w:after="28" w:line="216" w:lineRule="auto"/>
        <w:ind w:left="259"/>
        <w:jc w:val="left"/>
      </w:pPr>
      <w:r>
        <w:rPr>
          <w:rFonts w:ascii="Arial" w:hAnsi="Arial"/>
          <w:color w:val="525252"/>
          <w:sz w:val="13"/>
        </w:rPr>
        <w:t>Worn when Security Forces commander authorizes.</w:t>
      </w:r>
    </w:p>
    <w:p>
      <w:pPr>
        <w:spacing w:after="20" w:line="223" w:lineRule="auto"/>
        <w:jc w:val="right"/>
        <w:bidi/>
      </w:pPr>
      <w:r>
        <w:rPr>
          <w:rFonts w:ascii="Arial" w:hAnsi="Arial"/>
          <w:sz w:val="16"/>
        </w:rPr>
        <w:t>501.17  سپر.</w:t>
      </w:r>
    </w:p>
    <w:p>
      <w:pPr>
        <w:spacing w:after="28" w:line="216" w:lineRule="auto"/>
        <w:ind w:left="259"/>
        <w:jc w:val="left"/>
      </w:pPr>
      <w:r>
        <w:rPr>
          <w:rFonts w:ascii="Arial" w:hAnsi="Arial"/>
          <w:color w:val="525252"/>
          <w:sz w:val="13"/>
        </w:rPr>
        <w:t>Shield.</w:t>
      </w:r>
    </w:p>
    <w:p>
      <w:pPr>
        <w:spacing w:after="20" w:line="223" w:lineRule="auto"/>
        <w:jc w:val="right"/>
        <w:bidi/>
      </w:pPr>
      <w:r>
        <w:rPr>
          <w:rFonts w:ascii="Arial" w:hAnsi="Arial"/>
          <w:sz w:val="16"/>
        </w:rPr>
        <w:t>501.18  سپر نیروهای امنیتی در حین انجام وظایف فقط در شمش‌های کنترل AFSC ۳۱PX یا ۳پ۰XX پوشیده می‌شود.</w:t>
      </w:r>
    </w:p>
    <w:p>
      <w:pPr>
        <w:spacing w:after="28" w:line="216" w:lineRule="auto"/>
        <w:ind w:left="259"/>
        <w:jc w:val="left"/>
      </w:pPr>
      <w:r>
        <w:rPr>
          <w:rFonts w:ascii="Arial" w:hAnsi="Arial"/>
          <w:color w:val="525252"/>
          <w:sz w:val="13"/>
        </w:rPr>
        <w:t>Security Forces shield is worn while performing duties in control AFSC 31PX or 3P0XX billets only.</w:t>
      </w:r>
    </w:p>
    <w:p>
      <w:pPr>
        <w:spacing w:after="20" w:line="223" w:lineRule="auto"/>
        <w:jc w:val="right"/>
        <w:bidi/>
      </w:pPr>
      <w:r>
        <w:rPr>
          <w:rFonts w:ascii="Arial" w:hAnsi="Arial"/>
          <w:sz w:val="16"/>
        </w:rPr>
        <w:t>501.19  پوشیدن سپر با یونیفرم لباس آشفته اختیاری است.</w:t>
      </w:r>
    </w:p>
    <w:p>
      <w:pPr>
        <w:spacing w:after="28" w:line="216" w:lineRule="auto"/>
        <w:ind w:left="259"/>
        <w:jc w:val="left"/>
      </w:pPr>
      <w:r>
        <w:rPr>
          <w:rFonts w:ascii="Arial" w:hAnsi="Arial"/>
          <w:color w:val="525252"/>
          <w:sz w:val="13"/>
        </w:rPr>
        <w:t>Wear of the shield with the Mess Dress Uniform is optional.</w:t>
      </w:r>
    </w:p>
    <w:p>
      <w:pPr>
        <w:spacing w:after="20" w:line="223" w:lineRule="auto"/>
        <w:jc w:val="right"/>
        <w:bidi/>
      </w:pPr>
      <w:r>
        <w:rPr>
          <w:rFonts w:ascii="Arial" w:hAnsi="Arial"/>
          <w:sz w:val="16"/>
        </w:rPr>
        <w:t>501.20  استثنا: به پوشیدن سپر SF و کلاه سر در حین شرکت در آموزش نظامی حرفه‌ای و انتصاب به موقعیت‌های مشترک، مربی و وظایف استخدام، یا در صورت تأیید AF/ا۴س، ادامه دهید.</w:t>
      </w:r>
    </w:p>
    <w:p>
      <w:pPr>
        <w:spacing w:after="28" w:line="216" w:lineRule="auto"/>
        <w:ind w:left="259"/>
        <w:jc w:val="left"/>
      </w:pPr>
      <w:r>
        <w:rPr>
          <w:rFonts w:ascii="Arial" w:hAnsi="Arial"/>
          <w:color w:val="525252"/>
          <w:sz w:val="13"/>
        </w:rPr>
        <w:t>Exception: Continue to wear SF shield and beret together while attending professional military education and assigned to joint positions, instructor and recruiting duties, or if otherwise approved by AF/A4S.</w:t>
      </w:r>
    </w:p>
    <w:p>
      <w:pPr>
        <w:spacing w:after="20" w:line="223" w:lineRule="auto"/>
        <w:jc w:val="right"/>
        <w:bidi/>
      </w:pPr>
      <w:r>
        <w:rPr>
          <w:rFonts w:ascii="Arial" w:hAnsi="Arial"/>
          <w:sz w:val="16"/>
        </w:rPr>
        <w:t>501.21  ۲۳.۲۱. لباس فرم خدمه پرواز. لباس مهماندار یک سبک محافظه کارانه و غیرنظامی است.</w:t>
      </w:r>
    </w:p>
    <w:p>
      <w:pPr>
        <w:spacing w:after="28" w:line="216" w:lineRule="auto"/>
        <w:ind w:left="259"/>
        <w:jc w:val="left"/>
      </w:pPr>
      <w:r>
        <w:rPr>
          <w:rFonts w:ascii="Arial" w:hAnsi="Arial"/>
          <w:color w:val="525252"/>
          <w:sz w:val="13"/>
        </w:rPr>
        <w:t>23.21. Flight Attendant Uniforms. The flight attendant uniform is a conservative, civilian style,</w:t>
      </w:r>
    </w:p>
    <w:p>
      <w:pPr>
        <w:spacing w:after="20" w:line="223" w:lineRule="auto"/>
        <w:jc w:val="right"/>
        <w:bidi/>
      </w:pPr>
      <w:r>
        <w:rPr>
          <w:rFonts w:ascii="Arial" w:hAnsi="Arial"/>
          <w:sz w:val="16"/>
        </w:rPr>
        <w:t>501.22  کت و شلوار یا لباس آبی تیره یا مشکی.</w:t>
      </w:r>
    </w:p>
    <w:p>
      <w:pPr>
        <w:spacing w:after="28" w:line="216" w:lineRule="auto"/>
        <w:ind w:left="259"/>
        <w:jc w:val="left"/>
      </w:pPr>
      <w:r>
        <w:rPr>
          <w:rFonts w:ascii="Arial" w:hAnsi="Arial"/>
          <w:color w:val="525252"/>
          <w:sz w:val="13"/>
        </w:rPr>
        <w:t>dark blue or black suit or dress.</w:t>
      </w:r>
    </w:p>
    <w:p>
      <w:pPr>
        <w:spacing w:after="20" w:line="223" w:lineRule="auto"/>
        <w:jc w:val="right"/>
        <w:bidi/>
      </w:pPr>
      <w:r>
        <w:rPr>
          <w:rFonts w:ascii="Arial" w:hAnsi="Arial"/>
          <w:sz w:val="16"/>
        </w:rPr>
        <w:t>501.23  همه اقلام یکنواخت دارای تناسب متناسب هستند، نه خیلی گشاد یا تنگ.</w:t>
      </w:r>
    </w:p>
    <w:p>
      <w:pPr>
        <w:spacing w:after="28" w:line="216" w:lineRule="auto"/>
        <w:ind w:left="259"/>
        <w:jc w:val="left"/>
      </w:pPr>
      <w:r>
        <w:rPr>
          <w:rFonts w:ascii="Arial" w:hAnsi="Arial"/>
          <w:color w:val="525252"/>
          <w:sz w:val="13"/>
        </w:rPr>
        <w:t>All uniform items will have a tailored fit, not exceedingly loose or tight.</w:t>
      </w:r>
    </w:p>
    <w:p>
      <w:pPr>
        <w:spacing w:after="20" w:line="223" w:lineRule="auto"/>
        <w:jc w:val="right"/>
        <w:bidi/>
      </w:pPr>
      <w:r>
        <w:rPr>
          <w:rFonts w:ascii="Arial" w:hAnsi="Arial"/>
          <w:sz w:val="16"/>
        </w:rPr>
        <w:t>501.24  تناسب یکنواخت، برای درج طول، مطابق با الزامات موارد مشابه خدمات (کلاس ب) موجود در DAFI ۳۶-۲۹۰۳ خواهد بود.</w:t>
      </w:r>
    </w:p>
    <w:p>
      <w:pPr>
        <w:spacing w:after="28" w:line="216" w:lineRule="auto"/>
        <w:ind w:left="259"/>
        <w:jc w:val="left"/>
      </w:pPr>
      <w:r>
        <w:rPr>
          <w:rFonts w:ascii="Arial" w:hAnsi="Arial"/>
          <w:color w:val="525252"/>
          <w:sz w:val="13"/>
        </w:rPr>
        <w:t>Uniform fit, to include length, will be in accordance with requirements of similar service uniform (Class B) items contained in DAFI 36-2903.</w:t>
      </w:r>
    </w:p>
    <w:p>
      <w:pPr>
        <w:spacing w:after="20" w:line="223" w:lineRule="auto"/>
        <w:jc w:val="right"/>
        <w:bidi/>
      </w:pPr>
      <w:r>
        <w:rPr>
          <w:rFonts w:ascii="Arial" w:hAnsi="Arial"/>
          <w:sz w:val="16"/>
        </w:rPr>
        <w:t>501.25  اجناس یکنواخت فقط با رنگ‌های مشابه پوشیده می‌شوند.</w:t>
      </w:r>
    </w:p>
    <w:p>
      <w:pPr>
        <w:spacing w:after="28" w:line="216" w:lineRule="auto"/>
        <w:ind w:left="259"/>
        <w:jc w:val="left"/>
      </w:pPr>
      <w:r>
        <w:rPr>
          <w:rFonts w:ascii="Arial" w:hAnsi="Arial"/>
          <w:color w:val="525252"/>
          <w:sz w:val="13"/>
        </w:rPr>
        <w:t>Uniform items will be worn with like colors only.</w:t>
      </w:r>
    </w:p>
    <w:p>
      <w:pPr>
        <w:spacing w:after="20" w:line="223" w:lineRule="auto"/>
        <w:jc w:val="right"/>
        <w:bidi/>
      </w:pPr>
      <w:r>
        <w:rPr>
          <w:rFonts w:ascii="Arial" w:hAnsi="Arial"/>
          <w:sz w:val="16"/>
        </w:rPr>
        <w:t>501.26  پیراهن / بلوز.</w:t>
      </w:r>
    </w:p>
    <w:p>
      <w:pPr>
        <w:spacing w:after="28" w:line="216" w:lineRule="auto"/>
        <w:ind w:left="259"/>
        <w:jc w:val="left"/>
      </w:pPr>
      <w:r>
        <w:rPr>
          <w:rFonts w:ascii="Arial" w:hAnsi="Arial"/>
          <w:color w:val="525252"/>
          <w:sz w:val="13"/>
        </w:rPr>
        <w:t>Shirt/Blouse.</w:t>
      </w:r>
    </w:p>
    <w:p>
      <w:pPr>
        <w:spacing w:after="20" w:line="223" w:lineRule="auto"/>
        <w:jc w:val="right"/>
        <w:bidi/>
      </w:pPr>
      <w:r>
        <w:rPr>
          <w:rFonts w:ascii="Arial" w:hAnsi="Arial"/>
          <w:sz w:val="16"/>
        </w:rPr>
        <w:t>501.27  سبک تجاری محافظه کارانه سفید جامد، پیراهن دکمه دار، یقه دار.</w:t>
      </w:r>
    </w:p>
    <w:p>
      <w:pPr>
        <w:spacing w:after="28" w:line="216" w:lineRule="auto"/>
        <w:ind w:left="259"/>
        <w:jc w:val="left"/>
      </w:pPr>
      <w:r>
        <w:rPr>
          <w:rFonts w:ascii="Arial" w:hAnsi="Arial"/>
          <w:color w:val="525252"/>
          <w:sz w:val="13"/>
        </w:rPr>
        <w:t>Solid white conservative commercial style, button-down, collared shirt.</w:t>
      </w:r>
    </w:p>
    <w:p>
      <w:pPr>
        <w:spacing w:after="20" w:line="223" w:lineRule="auto"/>
        <w:jc w:val="right"/>
        <w:bidi/>
      </w:pPr>
      <w:r>
        <w:rPr>
          <w:rFonts w:ascii="Arial" w:hAnsi="Arial"/>
          <w:sz w:val="16"/>
        </w:rPr>
        <w:t>501.28  ممکن است آستین بلند یا کوتاه بپوشد.</w:t>
      </w:r>
    </w:p>
    <w:p>
      <w:pPr>
        <w:spacing w:after="28" w:line="216" w:lineRule="auto"/>
        <w:ind w:left="259"/>
        <w:jc w:val="left"/>
      </w:pPr>
      <w:r>
        <w:rPr>
          <w:rFonts w:ascii="Arial" w:hAnsi="Arial"/>
          <w:color w:val="525252"/>
          <w:sz w:val="13"/>
        </w:rPr>
        <w:t>May wear long or short sleeves.</w:t>
      </w:r>
    </w:p>
    <w:p>
      <w:pPr>
        <w:spacing w:after="20" w:line="223" w:lineRule="auto"/>
        <w:jc w:val="right"/>
        <w:bidi/>
      </w:pPr>
      <w:r>
        <w:rPr>
          <w:rFonts w:ascii="Arial" w:hAnsi="Arial"/>
          <w:sz w:val="16"/>
        </w:rPr>
        <w:t>501.29  آستین‌ها را می‌توان فقط در حین کار در اتاقک یا محفظه بار بالا زد.</w:t>
      </w:r>
    </w:p>
    <w:p>
      <w:pPr>
        <w:spacing w:after="28" w:line="216" w:lineRule="auto"/>
        <w:ind w:left="259"/>
        <w:jc w:val="left"/>
      </w:pPr>
      <w:r>
        <w:rPr>
          <w:rFonts w:ascii="Arial" w:hAnsi="Arial"/>
          <w:color w:val="525252"/>
          <w:sz w:val="13"/>
        </w:rPr>
        <w:t>Sleeves may be rolled up only while working in the galley or cargo compartment.</w:t>
      </w:r>
    </w:p>
    <w:p>
      <w:pPr>
        <w:spacing w:after="20" w:line="223" w:lineRule="auto"/>
        <w:jc w:val="right"/>
        <w:bidi/>
      </w:pPr>
      <w:r>
        <w:rPr>
          <w:rFonts w:ascii="Arial" w:hAnsi="Arial"/>
          <w:sz w:val="16"/>
        </w:rPr>
        <w:t>501.30  لباس.</w:t>
      </w:r>
    </w:p>
    <w:p>
      <w:pPr>
        <w:spacing w:after="28" w:line="216" w:lineRule="auto"/>
        <w:ind w:left="259"/>
        <w:jc w:val="left"/>
      </w:pPr>
      <w:r>
        <w:rPr>
          <w:rFonts w:ascii="Arial" w:hAnsi="Arial"/>
          <w:color w:val="525252"/>
          <w:sz w:val="13"/>
        </w:rPr>
        <w:t>Dress.</w:t>
      </w:r>
    </w:p>
    <w:p>
      <w:pPr>
        <w:spacing w:after="20" w:line="223" w:lineRule="auto"/>
        <w:jc w:val="right"/>
        <w:bidi/>
      </w:pPr>
      <w:r>
        <w:rPr>
          <w:rFonts w:ascii="Arial" w:hAnsi="Arial"/>
          <w:sz w:val="16"/>
        </w:rPr>
        <w:t>501.31  سبک تجاری آبی تیره یا مشکی، کت دوتایی یا تک سینه، ترکیبی از پشم پلی استر.</w:t>
      </w:r>
    </w:p>
    <w:p>
      <w:pPr>
        <w:spacing w:after="28" w:line="216" w:lineRule="auto"/>
        <w:ind w:left="259"/>
        <w:jc w:val="left"/>
      </w:pPr>
      <w:r>
        <w:rPr>
          <w:rFonts w:ascii="Arial" w:hAnsi="Arial"/>
          <w:color w:val="525252"/>
          <w:sz w:val="13"/>
        </w:rPr>
        <w:t>Dark blue or black commercial style, double or single-breasted coatdress, polyester wool blend.</w:t>
      </w:r>
    </w:p>
    <w:p>
      <w:pPr>
        <w:spacing w:after="20" w:line="223" w:lineRule="auto"/>
        <w:jc w:val="right"/>
        <w:bidi/>
      </w:pPr>
      <w:r>
        <w:rPr>
          <w:rFonts w:ascii="Arial" w:hAnsi="Arial"/>
          <w:sz w:val="16"/>
        </w:rPr>
        <w:t>501.32  در سمت چپ پوشنده برچسب نام بپوشید.</w:t>
      </w:r>
    </w:p>
    <w:p>
      <w:pPr>
        <w:spacing w:after="28" w:line="216" w:lineRule="auto"/>
        <w:ind w:left="259"/>
        <w:jc w:val="left"/>
      </w:pPr>
      <w:r>
        <w:rPr>
          <w:rFonts w:ascii="Arial" w:hAnsi="Arial"/>
          <w:color w:val="525252"/>
          <w:sz w:val="13"/>
        </w:rPr>
        <w:t>Wear nametag on the wearer’s left side.</w:t>
      </w:r>
    </w:p>
    <w:p>
      <w:pPr>
        <w:spacing w:after="20" w:line="223" w:lineRule="auto"/>
        <w:jc w:val="right"/>
        <w:bidi/>
      </w:pPr>
      <w:r>
        <w:rPr>
          <w:rFonts w:ascii="Arial" w:hAnsi="Arial"/>
          <w:sz w:val="16"/>
        </w:rPr>
        <w:t>501.33  دامن.</w:t>
      </w:r>
    </w:p>
    <w:p>
      <w:pPr>
        <w:spacing w:after="28" w:line="216" w:lineRule="auto"/>
        <w:ind w:left="259"/>
        <w:jc w:val="left"/>
      </w:pPr>
      <w:r>
        <w:rPr>
          <w:rFonts w:ascii="Arial" w:hAnsi="Arial"/>
          <w:color w:val="525252"/>
          <w:sz w:val="13"/>
        </w:rPr>
        <w:t>Skirt.</w:t>
      </w:r>
    </w:p>
    <w:p>
      <w:pPr>
        <w:spacing w:after="20" w:line="223" w:lineRule="auto"/>
        <w:jc w:val="right"/>
        <w:bidi/>
      </w:pPr>
      <w:r>
        <w:rPr>
          <w:rFonts w:ascii="Arial" w:hAnsi="Arial"/>
          <w:sz w:val="16"/>
        </w:rPr>
        <w:t>501.34  به سبک مستقیم تجاری آبی تیره یا مشکی، پلی استر، یا پلی پشم ترکیبی.</w:t>
      </w:r>
    </w:p>
    <w:p>
      <w:pPr>
        <w:spacing w:after="28" w:line="216" w:lineRule="auto"/>
        <w:ind w:left="259"/>
        <w:jc w:val="left"/>
      </w:pPr>
      <w:r>
        <w:rPr>
          <w:rFonts w:ascii="Arial" w:hAnsi="Arial"/>
          <w:color w:val="525252"/>
          <w:sz w:val="13"/>
        </w:rPr>
        <w:t>Dark blue or black commercial straight style, polyester, or poly-wool blend.</w:t>
      </w:r>
    </w:p>
    <w:p>
      <w:pPr>
        <w:spacing w:after="20" w:line="223" w:lineRule="auto"/>
        <w:jc w:val="right"/>
        <w:bidi/>
      </w:pPr>
      <w:r>
        <w:rPr>
          <w:rFonts w:ascii="Arial" w:hAnsi="Arial"/>
          <w:sz w:val="16"/>
        </w:rPr>
        <w:t>501.35  اگر با حلقه‌های کمربند ساخته شده باشد، کمربند باید پوشیده شود.</w:t>
      </w:r>
    </w:p>
    <w:p>
      <w:pPr>
        <w:spacing w:after="28" w:line="216" w:lineRule="auto"/>
        <w:ind w:left="259"/>
        <w:jc w:val="left"/>
      </w:pPr>
      <w:r>
        <w:rPr>
          <w:rFonts w:ascii="Arial" w:hAnsi="Arial"/>
          <w:color w:val="525252"/>
          <w:sz w:val="13"/>
        </w:rPr>
        <w:t>If made with belt loops, belt must be worn.</w:t>
      </w:r>
    </w:p>
    <w:p>
      <w:pPr>
        <w:spacing w:after="20" w:line="223" w:lineRule="auto"/>
        <w:jc w:val="right"/>
        <w:bidi/>
      </w:pPr>
      <w:r>
        <w:rPr>
          <w:rFonts w:ascii="Arial" w:hAnsi="Arial"/>
          <w:sz w:val="16"/>
        </w:rPr>
        <w:t>501.36  شلوار/شلوار.</w:t>
      </w:r>
    </w:p>
    <w:p>
      <w:pPr>
        <w:spacing w:after="28" w:line="216" w:lineRule="auto"/>
        <w:ind w:left="259"/>
        <w:jc w:val="left"/>
      </w:pPr>
      <w:r>
        <w:rPr>
          <w:rFonts w:ascii="Arial" w:hAnsi="Arial"/>
          <w:color w:val="525252"/>
          <w:sz w:val="13"/>
        </w:rPr>
        <w:t>Slacks/trousers.</w:t>
      </w:r>
    </w:p>
    <w:p>
      <w:pPr>
        <w:spacing w:after="20" w:line="223" w:lineRule="auto"/>
        <w:jc w:val="right"/>
        <w:bidi/>
      </w:pPr>
      <w:r>
        <w:rPr>
          <w:rFonts w:ascii="Arial" w:hAnsi="Arial"/>
          <w:sz w:val="16"/>
        </w:rPr>
        <w:t>501.37  سبک تجاری آبی تیره یا مشکی، پلی استر، ترکیب پلی پشمی، برش کامل و آویز مستقیم که با پارچه و سایه کت بلیزر مطابقت دارد.</w:t>
      </w:r>
    </w:p>
    <w:p>
      <w:pPr>
        <w:spacing w:after="28" w:line="216" w:lineRule="auto"/>
        <w:ind w:left="259"/>
        <w:jc w:val="left"/>
      </w:pPr>
      <w:r>
        <w:rPr>
          <w:rFonts w:ascii="Arial" w:hAnsi="Arial"/>
          <w:color w:val="525252"/>
          <w:sz w:val="13"/>
        </w:rPr>
        <w:t>Dark Blue or black commercial style, polyester, poly-wool blend, full cut, and straight hanging that matches the fabric and shade of the blazer.</w:t>
      </w:r>
    </w:p>
    <w:p>
      <w:pPr>
        <w:spacing w:after="20" w:line="223" w:lineRule="auto"/>
        <w:jc w:val="right"/>
        <w:bidi/>
      </w:pPr>
      <w:r>
        <w:rPr>
          <w:rFonts w:ascii="Arial" w:hAnsi="Arial"/>
          <w:sz w:val="16"/>
        </w:rPr>
        <w:t>501.38  شلوار با تریم مناسب است که در قسمت کمر یا کیف روی صندلی دسته نمی‌شود.</w:t>
      </w:r>
    </w:p>
    <w:p>
      <w:pPr>
        <w:spacing w:after="28" w:line="216" w:lineRule="auto"/>
        <w:ind w:left="259"/>
        <w:jc w:val="left"/>
      </w:pPr>
      <w:r>
        <w:rPr>
          <w:rFonts w:ascii="Arial" w:hAnsi="Arial"/>
          <w:color w:val="525252"/>
          <w:sz w:val="13"/>
        </w:rPr>
        <w:t>Trousers will be with a trim-fit, that do not bunch at the waist or bag in the seat.</w:t>
      </w:r>
    </w:p>
    <w:p>
      <w:pPr>
        <w:spacing w:after="20" w:line="223" w:lineRule="auto"/>
        <w:jc w:val="right"/>
        <w:bidi/>
      </w:pPr>
      <w:r>
        <w:rPr>
          <w:rFonts w:ascii="Arial" w:hAnsi="Arial"/>
          <w:sz w:val="16"/>
        </w:rPr>
        <w:t>501.39  جلوی پاهای شلوار با کمی شکستگی در قسمت جلوی کفش یا چکمه قرار می‌گیرد.</w:t>
      </w:r>
    </w:p>
    <w:p>
      <w:pPr>
        <w:spacing w:after="28" w:line="216" w:lineRule="auto"/>
        <w:ind w:left="259"/>
        <w:jc w:val="left"/>
      </w:pPr>
      <w:r>
        <w:rPr>
          <w:rFonts w:ascii="Arial" w:hAnsi="Arial"/>
          <w:color w:val="525252"/>
          <w:sz w:val="13"/>
        </w:rPr>
        <w:t>The front of the trouser legs will rest on the front of the shoe or boot with a slight break in the crease.</w:t>
      </w:r>
    </w:p>
    <w:p>
      <w:pPr>
        <w:spacing w:after="20" w:line="223" w:lineRule="auto"/>
        <w:jc w:val="right"/>
        <w:bidi/>
      </w:pPr>
      <w:r>
        <w:rPr>
          <w:rFonts w:ascii="Arial" w:hAnsi="Arial"/>
          <w:sz w:val="16"/>
        </w:rPr>
        <w:t>501.40  پشت پاچه‌های شلوار ⅞ اینچ بلندتر از جلو خواهد بود.</w:t>
      </w:r>
    </w:p>
    <w:p>
      <w:pPr>
        <w:spacing w:after="28" w:line="216" w:lineRule="auto"/>
        <w:ind w:left="259"/>
        <w:jc w:val="left"/>
      </w:pPr>
      <w:r>
        <w:rPr>
          <w:rFonts w:ascii="Arial" w:hAnsi="Arial"/>
          <w:color w:val="525252"/>
          <w:sz w:val="13"/>
        </w:rPr>
        <w:t>The back of the trouser legs will be ⅞-inch longer than the front.</w:t>
      </w:r>
    </w:p>
    <w:p>
      <w:pPr>
        <w:spacing w:after="20" w:line="223" w:lineRule="auto"/>
        <w:jc w:val="right"/>
        <w:bidi/>
      </w:pPr>
      <w:r>
        <w:rPr>
          <w:rFonts w:ascii="Arial" w:hAnsi="Arial"/>
          <w:sz w:val="16"/>
        </w:rPr>
        <w:t>501.41  ژاکت کش باف پشمی.</w:t>
      </w:r>
    </w:p>
    <w:p>
      <w:pPr>
        <w:spacing w:after="28" w:line="216" w:lineRule="auto"/>
        <w:ind w:left="259"/>
        <w:jc w:val="left"/>
      </w:pPr>
      <w:r>
        <w:rPr>
          <w:rFonts w:ascii="Arial" w:hAnsi="Arial"/>
          <w:color w:val="525252"/>
          <w:sz w:val="13"/>
        </w:rPr>
        <w:t>Cardigan Sweater.</w:t>
      </w:r>
    </w:p>
    <w:p>
      <w:pPr>
        <w:spacing w:after="20" w:line="223" w:lineRule="auto"/>
        <w:jc w:val="right"/>
        <w:bidi/>
      </w:pPr>
      <w:r>
        <w:rPr>
          <w:rFonts w:ascii="Arial" w:hAnsi="Arial"/>
          <w:sz w:val="16"/>
        </w:rPr>
        <w:t>501.42  سبک تجاری محافظه کارانه آبی تیره یا سیاه.</w:t>
      </w:r>
    </w:p>
    <w:p>
      <w:pPr>
        <w:spacing w:after="28" w:line="216" w:lineRule="auto"/>
        <w:ind w:left="259"/>
        <w:jc w:val="left"/>
      </w:pPr>
      <w:r>
        <w:rPr>
          <w:rFonts w:ascii="Arial" w:hAnsi="Arial"/>
          <w:color w:val="525252"/>
          <w:sz w:val="13"/>
        </w:rPr>
        <w:t>Dark blue or black conservative commercial style.</w:t>
      </w:r>
    </w:p>
    <w:p>
      <w:pPr>
        <w:spacing w:after="20" w:line="223" w:lineRule="auto"/>
        <w:jc w:val="right"/>
        <w:bidi/>
      </w:pPr>
      <w:r>
        <w:rPr>
          <w:rFonts w:ascii="Arial" w:hAnsi="Arial"/>
          <w:sz w:val="16"/>
        </w:rPr>
        <w:t>501.43  نام را در سمت چپ پوشنده بدوزید یا برچسب نام بپوشید.</w:t>
      </w:r>
    </w:p>
    <w:p>
      <w:pPr>
        <w:spacing w:after="28" w:line="216" w:lineRule="auto"/>
        <w:ind w:left="259"/>
        <w:jc w:val="left"/>
      </w:pPr>
      <w:r>
        <w:rPr>
          <w:rFonts w:ascii="Arial" w:hAnsi="Arial"/>
          <w:color w:val="525252"/>
          <w:sz w:val="13"/>
        </w:rPr>
        <w:t>Embroider name on wearer’s left side or wear nametag.</w:t>
      </w:r>
    </w:p>
    <w:p>
      <w:pPr>
        <w:spacing w:after="20" w:line="223" w:lineRule="auto"/>
        <w:jc w:val="right"/>
        <w:bidi/>
      </w:pPr>
      <w:r>
        <w:rPr>
          <w:rFonts w:ascii="Arial" w:hAnsi="Arial"/>
          <w:sz w:val="16"/>
        </w:rPr>
        <w:t>501.44  به‌عنوان لباس بیرونی دور از هواپیما نپوشید.</w:t>
      </w:r>
    </w:p>
    <w:p>
      <w:pPr>
        <w:spacing w:after="28" w:line="216" w:lineRule="auto"/>
        <w:ind w:left="259"/>
        <w:jc w:val="left"/>
      </w:pPr>
      <w:r>
        <w:rPr>
          <w:rFonts w:ascii="Arial" w:hAnsi="Arial"/>
          <w:color w:val="525252"/>
          <w:sz w:val="13"/>
        </w:rPr>
        <w:t>Do not wear as an outer garment away from the airplane.</w:t>
      </w:r>
    </w:p>
    <w:p>
      <w:pPr>
        <w:spacing w:after="20" w:line="223" w:lineRule="auto"/>
        <w:jc w:val="right"/>
        <w:bidi/>
      </w:pPr>
      <w:r>
        <w:rPr>
          <w:rFonts w:ascii="Arial" w:hAnsi="Arial"/>
          <w:sz w:val="16"/>
        </w:rPr>
        <w:t>501.45  ممکن است زیر کت بلیزر پوشیده شود. در طول پرواز، کت، جلیقه یا ژاکت کش باف را با شلوار یا دامن در کابین مسافر بپوشید.</w:t>
      </w:r>
    </w:p>
    <w:p>
      <w:pPr>
        <w:spacing w:after="28" w:line="216" w:lineRule="auto"/>
        <w:ind w:left="259"/>
        <w:jc w:val="left"/>
      </w:pPr>
      <w:r>
        <w:rPr>
          <w:rFonts w:ascii="Arial" w:hAnsi="Arial"/>
          <w:color w:val="525252"/>
          <w:sz w:val="13"/>
        </w:rPr>
        <w:t>May be worn under the blazer; during flight, wear the blazer, vest or cardigan with slacks or skirt in the passenger cabin.</w:t>
      </w:r>
    </w:p>
    <w:p>
      <w:pPr>
        <w:spacing w:after="20" w:line="223" w:lineRule="auto"/>
        <w:jc w:val="right"/>
        <w:bidi/>
      </w:pPr>
      <w:r>
        <w:rPr>
          <w:rFonts w:ascii="Arial" w:hAnsi="Arial"/>
          <w:sz w:val="16"/>
        </w:rPr>
        <w:t>501.46  بلیزر.</w:t>
      </w:r>
    </w:p>
    <w:p>
      <w:pPr>
        <w:spacing w:after="28" w:line="216" w:lineRule="auto"/>
        <w:ind w:left="259"/>
        <w:jc w:val="left"/>
      </w:pPr>
      <w:r>
        <w:rPr>
          <w:rFonts w:ascii="Arial" w:hAnsi="Arial"/>
          <w:color w:val="525252"/>
          <w:sz w:val="13"/>
        </w:rPr>
        <w:t>Blazer.</w:t>
      </w:r>
    </w:p>
    <w:p>
      <w:pPr>
        <w:spacing w:after="20" w:line="223" w:lineRule="auto"/>
        <w:jc w:val="right"/>
        <w:bidi/>
      </w:pPr>
      <w:r>
        <w:rPr>
          <w:rFonts w:ascii="Arial" w:hAnsi="Arial"/>
          <w:sz w:val="16"/>
        </w:rPr>
        <w:t>501.47  ترکیبی از پشم پلی استر به سبک تجاری آبی تیره یا مشکی دو یا تک سینه.</w:t>
      </w:r>
    </w:p>
    <w:p>
      <w:pPr>
        <w:spacing w:after="28" w:line="216" w:lineRule="auto"/>
        <w:ind w:left="259"/>
        <w:jc w:val="left"/>
      </w:pPr>
      <w:r>
        <w:rPr>
          <w:rFonts w:ascii="Arial" w:hAnsi="Arial"/>
          <w:color w:val="525252"/>
          <w:sz w:val="13"/>
        </w:rPr>
        <w:t>Dark blue or black commercial style double or single-breasted, polyester wool blend.</w:t>
      </w:r>
    </w:p>
    <w:p>
      <w:r>
        <w:br w:type="page"/>
      </w:r>
    </w:p>
    <w:p>
      <w:pPr>
        <w:spacing w:after="60"/>
        <w:jc w:val="right"/>
        <w:bidi/>
      </w:pPr>
      <w:r>
        <w:rPr>
          <w:rFonts w:ascii="Arial" w:hAnsi="Arial"/>
          <w:b/>
          <w:color w:val="1F4D78"/>
          <w:sz w:val="19"/>
        </w:rPr>
        <w:t>هفتهٔ 502  |  صفحهٔ منبع: 518</w:t>
      </w:r>
    </w:p>
    <w:p>
      <w:pPr>
        <w:spacing w:after="20" w:line="223" w:lineRule="auto"/>
        <w:jc w:val="right"/>
        <w:bidi/>
      </w:pPr>
      <w:r>
        <w:rPr>
          <w:rFonts w:ascii="Arial" w:hAnsi="Arial"/>
          <w:sz w:val="16"/>
        </w:rPr>
        <w:t>502.01  در سمت چپ پوشنده برچسب نام بپوشید.</w:t>
      </w:r>
    </w:p>
    <w:p>
      <w:pPr>
        <w:spacing w:after="28" w:line="216" w:lineRule="auto"/>
        <w:ind w:left="259"/>
        <w:jc w:val="left"/>
      </w:pPr>
      <w:r>
        <w:rPr>
          <w:rFonts w:ascii="Arial" w:hAnsi="Arial"/>
          <w:color w:val="525252"/>
          <w:sz w:val="13"/>
        </w:rPr>
        <w:t>Wear nametag on the wearer’s left side.</w:t>
      </w:r>
    </w:p>
    <w:p>
      <w:pPr>
        <w:spacing w:after="20" w:line="223" w:lineRule="auto"/>
        <w:jc w:val="right"/>
        <w:bidi/>
      </w:pPr>
      <w:r>
        <w:rPr>
          <w:rFonts w:ascii="Arial" w:hAnsi="Arial"/>
          <w:sz w:val="16"/>
        </w:rPr>
        <w:t>502.02  هنگام ورود و خروج مسافران، کت شلوار را با شلوار یا دامن بپوشید. در طول پرواز، کت، جلیقه، یا ژاکت کش باف پشمی را در کابین مسافر بپوشید.</w:t>
      </w:r>
    </w:p>
    <w:p>
      <w:pPr>
        <w:spacing w:after="28" w:line="216" w:lineRule="auto"/>
        <w:ind w:left="259"/>
        <w:jc w:val="left"/>
      </w:pPr>
      <w:r>
        <w:rPr>
          <w:rFonts w:ascii="Arial" w:hAnsi="Arial"/>
          <w:color w:val="525252"/>
          <w:sz w:val="13"/>
        </w:rPr>
        <w:t>Wear the blazer with slacks or skirt during passengers’ arrival and departure; during flight, wear the blazer, vest, or cardigan in the passenger cabin.</w:t>
      </w:r>
    </w:p>
    <w:p>
      <w:pPr>
        <w:spacing w:after="20" w:line="223" w:lineRule="auto"/>
        <w:jc w:val="right"/>
        <w:bidi/>
      </w:pPr>
      <w:r>
        <w:rPr>
          <w:rFonts w:ascii="Arial" w:hAnsi="Arial"/>
          <w:sz w:val="16"/>
        </w:rPr>
        <w:t>502.03  بلیزر ممکن است به‌عنوان یک لباس بیرونی هنگام دوری از هواپیما پوشیده شود.</w:t>
      </w:r>
    </w:p>
    <w:p>
      <w:pPr>
        <w:spacing w:after="28" w:line="216" w:lineRule="auto"/>
        <w:ind w:left="259"/>
        <w:jc w:val="left"/>
      </w:pPr>
      <w:r>
        <w:rPr>
          <w:rFonts w:ascii="Arial" w:hAnsi="Arial"/>
          <w:color w:val="525252"/>
          <w:sz w:val="13"/>
        </w:rPr>
        <w:t>Blazer may be worn as an outer garment when away from the aircraft.</w:t>
      </w:r>
    </w:p>
    <w:p>
      <w:pPr>
        <w:spacing w:after="20" w:line="223" w:lineRule="auto"/>
        <w:jc w:val="right"/>
        <w:bidi/>
      </w:pPr>
      <w:r>
        <w:rPr>
          <w:rFonts w:ascii="Arial" w:hAnsi="Arial"/>
          <w:sz w:val="16"/>
        </w:rPr>
        <w:t>502.04  جلیقه.</w:t>
      </w:r>
    </w:p>
    <w:p>
      <w:pPr>
        <w:spacing w:after="28" w:line="216" w:lineRule="auto"/>
        <w:ind w:left="259"/>
        <w:jc w:val="left"/>
      </w:pPr>
      <w:r>
        <w:rPr>
          <w:rFonts w:ascii="Arial" w:hAnsi="Arial"/>
          <w:color w:val="525252"/>
          <w:sz w:val="13"/>
        </w:rPr>
        <w:t>Vest.</w:t>
      </w:r>
    </w:p>
    <w:p>
      <w:pPr>
        <w:spacing w:after="20" w:line="223" w:lineRule="auto"/>
        <w:jc w:val="right"/>
        <w:bidi/>
      </w:pPr>
      <w:r>
        <w:rPr>
          <w:rFonts w:ascii="Arial" w:hAnsi="Arial"/>
          <w:sz w:val="16"/>
        </w:rPr>
        <w:t>502.05  سبک تجاری محافظه کارانه آبی تیره یا سیاه.</w:t>
      </w:r>
    </w:p>
    <w:p>
      <w:pPr>
        <w:spacing w:after="28" w:line="216" w:lineRule="auto"/>
        <w:ind w:left="259"/>
        <w:jc w:val="left"/>
      </w:pPr>
      <w:r>
        <w:rPr>
          <w:rFonts w:ascii="Arial" w:hAnsi="Arial"/>
          <w:color w:val="525252"/>
          <w:sz w:val="13"/>
        </w:rPr>
        <w:t>Dark blue or black conservative commercial style.</w:t>
      </w:r>
    </w:p>
    <w:p>
      <w:pPr>
        <w:spacing w:after="20" w:line="223" w:lineRule="auto"/>
        <w:jc w:val="right"/>
        <w:bidi/>
      </w:pPr>
      <w:r>
        <w:rPr>
          <w:rFonts w:ascii="Arial" w:hAnsi="Arial"/>
          <w:sz w:val="16"/>
        </w:rPr>
        <w:t>502.06  در سمت چپ پوشنده برچسب نام بپوشید.</w:t>
      </w:r>
    </w:p>
    <w:p>
      <w:pPr>
        <w:spacing w:after="28" w:line="216" w:lineRule="auto"/>
        <w:ind w:left="259"/>
        <w:jc w:val="left"/>
      </w:pPr>
      <w:r>
        <w:rPr>
          <w:rFonts w:ascii="Arial" w:hAnsi="Arial"/>
          <w:color w:val="525252"/>
          <w:sz w:val="13"/>
        </w:rPr>
        <w:t>Wear nametag on the wearer’s left side.</w:t>
      </w:r>
    </w:p>
    <w:p>
      <w:pPr>
        <w:spacing w:after="20" w:line="223" w:lineRule="auto"/>
        <w:jc w:val="right"/>
        <w:bidi/>
      </w:pPr>
      <w:r>
        <w:rPr>
          <w:rFonts w:ascii="Arial" w:hAnsi="Arial"/>
          <w:sz w:val="16"/>
        </w:rPr>
        <w:t>502.07  به‌عنوان لباس بیرونی دور از هواپیما نپوشید.</w:t>
      </w:r>
    </w:p>
    <w:p>
      <w:pPr>
        <w:spacing w:after="28" w:line="216" w:lineRule="auto"/>
        <w:ind w:left="259"/>
        <w:jc w:val="left"/>
      </w:pPr>
      <w:r>
        <w:rPr>
          <w:rFonts w:ascii="Arial" w:hAnsi="Arial"/>
          <w:color w:val="525252"/>
          <w:sz w:val="13"/>
        </w:rPr>
        <w:t>Do not wear as an outer garment away from the airplane.</w:t>
      </w:r>
    </w:p>
    <w:p>
      <w:pPr>
        <w:spacing w:after="20" w:line="223" w:lineRule="auto"/>
        <w:jc w:val="right"/>
        <w:bidi/>
      </w:pPr>
      <w:r>
        <w:rPr>
          <w:rFonts w:ascii="Arial" w:hAnsi="Arial"/>
          <w:sz w:val="16"/>
        </w:rPr>
        <w:t>502.08  ممکن است زیر کت بلیزر پوشیده شود. در طول پرواز، کت، جلیقه یا ژاکت کش باف را با شلوار یا دامن در کابین مسافر بپوشید.</w:t>
      </w:r>
    </w:p>
    <w:p>
      <w:pPr>
        <w:spacing w:after="28" w:line="216" w:lineRule="auto"/>
        <w:ind w:left="259"/>
        <w:jc w:val="left"/>
      </w:pPr>
      <w:r>
        <w:rPr>
          <w:rFonts w:ascii="Arial" w:hAnsi="Arial"/>
          <w:color w:val="525252"/>
          <w:sz w:val="13"/>
        </w:rPr>
        <w:t>May be worn under the blazer; during flight, wear the blazer, vest or cardigan with slacks or skirt in the passenger cabin.</w:t>
      </w:r>
    </w:p>
    <w:p>
      <w:pPr>
        <w:spacing w:after="20" w:line="223" w:lineRule="auto"/>
        <w:jc w:val="right"/>
        <w:bidi/>
      </w:pPr>
      <w:r>
        <w:rPr>
          <w:rFonts w:ascii="Arial" w:hAnsi="Arial"/>
          <w:sz w:val="16"/>
        </w:rPr>
        <w:t>502.09  نامتگ.</w:t>
      </w:r>
    </w:p>
    <w:p>
      <w:pPr>
        <w:spacing w:after="28" w:line="216" w:lineRule="auto"/>
        <w:ind w:left="259"/>
        <w:jc w:val="left"/>
      </w:pPr>
      <w:r>
        <w:rPr>
          <w:rFonts w:ascii="Arial" w:hAnsi="Arial"/>
          <w:color w:val="525252"/>
          <w:sz w:val="13"/>
        </w:rPr>
        <w:t>Nametag.</w:t>
      </w:r>
    </w:p>
    <w:p>
      <w:pPr>
        <w:spacing w:after="20" w:line="223" w:lineRule="auto"/>
        <w:jc w:val="right"/>
        <w:bidi/>
      </w:pPr>
      <w:r>
        <w:rPr>
          <w:rFonts w:ascii="Arial" w:hAnsi="Arial"/>
          <w:sz w:val="16"/>
        </w:rPr>
        <w:t>502.10  ۳ اینچ طول و ۵/۸ اینچ عرض با حروف ۱/۴ اینچ.</w:t>
      </w:r>
    </w:p>
    <w:p>
      <w:pPr>
        <w:spacing w:after="28" w:line="216" w:lineRule="auto"/>
        <w:ind w:left="259"/>
        <w:jc w:val="left"/>
      </w:pPr>
      <w:r>
        <w:rPr>
          <w:rFonts w:ascii="Arial" w:hAnsi="Arial"/>
          <w:color w:val="525252"/>
          <w:sz w:val="13"/>
        </w:rPr>
        <w:t>3-inches long and 5/8-inches wide with 1/4-inch lettering.</w:t>
      </w:r>
    </w:p>
    <w:p>
      <w:pPr>
        <w:spacing w:after="20" w:line="223" w:lineRule="auto"/>
        <w:jc w:val="right"/>
        <w:bidi/>
      </w:pPr>
      <w:r>
        <w:rPr>
          <w:rFonts w:ascii="Arial" w:hAnsi="Arial"/>
          <w:sz w:val="16"/>
        </w:rPr>
        <w:t>502.11  روکش برنجی براق یا برس خورده.</w:t>
      </w:r>
    </w:p>
    <w:p>
      <w:pPr>
        <w:spacing w:after="28" w:line="216" w:lineRule="auto"/>
        <w:ind w:left="259"/>
        <w:jc w:val="left"/>
      </w:pPr>
      <w:r>
        <w:rPr>
          <w:rFonts w:ascii="Arial" w:hAnsi="Arial"/>
          <w:color w:val="525252"/>
          <w:sz w:val="13"/>
        </w:rPr>
        <w:t>Shiny or brushed brass- colored finish.</w:t>
      </w:r>
    </w:p>
    <w:p>
      <w:pPr>
        <w:spacing w:after="20" w:line="223" w:lineRule="auto"/>
        <w:jc w:val="right"/>
        <w:bidi/>
      </w:pPr>
      <w:r>
        <w:rPr>
          <w:rFonts w:ascii="Arial" w:hAnsi="Arial"/>
          <w:sz w:val="16"/>
        </w:rPr>
        <w:t>502.12  در سمت چپ کت، جلیقه، پیش بند و لباس پوشیده شده است.</w:t>
      </w:r>
    </w:p>
    <w:p>
      <w:pPr>
        <w:spacing w:after="28" w:line="216" w:lineRule="auto"/>
        <w:ind w:left="259"/>
        <w:jc w:val="left"/>
      </w:pPr>
      <w:r>
        <w:rPr>
          <w:rFonts w:ascii="Arial" w:hAnsi="Arial"/>
          <w:color w:val="525252"/>
          <w:sz w:val="13"/>
        </w:rPr>
        <w:t>Worn on the wearer’s left side of the blazer, vest, apron, and dress.</w:t>
      </w:r>
    </w:p>
    <w:p>
      <w:pPr>
        <w:spacing w:after="20" w:line="223" w:lineRule="auto"/>
        <w:jc w:val="right"/>
        <w:bidi/>
      </w:pPr>
      <w:r>
        <w:rPr>
          <w:rFonts w:ascii="Arial" w:hAnsi="Arial"/>
          <w:sz w:val="16"/>
        </w:rPr>
        <w:t>502.13  حاوی آرم نیروی هوایی و نام کوچک فرد است.</w:t>
      </w:r>
    </w:p>
    <w:p>
      <w:pPr>
        <w:spacing w:after="28" w:line="216" w:lineRule="auto"/>
        <w:ind w:left="259"/>
        <w:jc w:val="left"/>
      </w:pPr>
      <w:r>
        <w:rPr>
          <w:rFonts w:ascii="Arial" w:hAnsi="Arial"/>
          <w:color w:val="525252"/>
          <w:sz w:val="13"/>
        </w:rPr>
        <w:t>Will contain the Air Force Logo and individual’s first name.</w:t>
      </w:r>
    </w:p>
    <w:p>
      <w:pPr>
        <w:spacing w:after="20" w:line="223" w:lineRule="auto"/>
        <w:jc w:val="right"/>
        <w:bidi/>
      </w:pPr>
      <w:r>
        <w:rPr>
          <w:rFonts w:ascii="Arial" w:hAnsi="Arial"/>
          <w:sz w:val="16"/>
        </w:rPr>
        <w:t>502.14  کراوات.</w:t>
      </w:r>
    </w:p>
    <w:p>
      <w:pPr>
        <w:spacing w:after="28" w:line="216" w:lineRule="auto"/>
        <w:ind w:left="259"/>
        <w:jc w:val="left"/>
      </w:pPr>
      <w:r>
        <w:rPr>
          <w:rFonts w:ascii="Arial" w:hAnsi="Arial"/>
          <w:color w:val="525252"/>
          <w:sz w:val="13"/>
        </w:rPr>
        <w:t>Ties.</w:t>
      </w:r>
    </w:p>
    <w:p>
      <w:pPr>
        <w:spacing w:after="20" w:line="223" w:lineRule="auto"/>
        <w:jc w:val="right"/>
        <w:bidi/>
      </w:pPr>
      <w:r>
        <w:rPr>
          <w:rFonts w:ascii="Arial" w:hAnsi="Arial"/>
          <w:sz w:val="16"/>
        </w:rPr>
        <w:t>502.15  باید محافظه کارانه، سبک تجاری متوسط ​​باشد. رنگ غالب کراوات قرمز، آبی یا خاکستری خواهد بود، اما ممکن است دارای الگوی محافظه کارانه باشد.</w:t>
      </w:r>
    </w:p>
    <w:p>
      <w:pPr>
        <w:spacing w:after="28" w:line="216" w:lineRule="auto"/>
        <w:ind w:left="259"/>
        <w:jc w:val="left"/>
      </w:pPr>
      <w:r>
        <w:rPr>
          <w:rFonts w:ascii="Arial" w:hAnsi="Arial"/>
          <w:color w:val="525252"/>
          <w:sz w:val="13"/>
        </w:rPr>
        <w:t>Must be conservative, plain moderate commercial style; predominate tie color will be red, blue, or gray, but may be conservatively patterned.</w:t>
      </w:r>
    </w:p>
    <w:p>
      <w:pPr>
        <w:spacing w:after="20" w:line="223" w:lineRule="auto"/>
        <w:jc w:val="right"/>
        <w:bidi/>
      </w:pPr>
      <w:r>
        <w:rPr>
          <w:rFonts w:ascii="Arial" w:hAnsi="Arial"/>
          <w:sz w:val="16"/>
        </w:rPr>
        <w:t>502.16  از فروشندگان مجاز لباس فرم خرید کنید.</w:t>
      </w:r>
    </w:p>
    <w:p>
      <w:pPr>
        <w:spacing w:after="28" w:line="216" w:lineRule="auto"/>
        <w:ind w:left="259"/>
        <w:jc w:val="left"/>
      </w:pPr>
      <w:r>
        <w:rPr>
          <w:rFonts w:ascii="Arial" w:hAnsi="Arial"/>
          <w:color w:val="525252"/>
          <w:sz w:val="13"/>
        </w:rPr>
        <w:t>Purchase through authorized uniform vendors.</w:t>
      </w:r>
    </w:p>
    <w:p>
      <w:pPr>
        <w:spacing w:after="20" w:line="223" w:lineRule="auto"/>
        <w:jc w:val="right"/>
        <w:bidi/>
      </w:pPr>
      <w:r>
        <w:rPr>
          <w:rFonts w:ascii="Arial" w:hAnsi="Arial"/>
          <w:sz w:val="16"/>
        </w:rPr>
        <w:t>502.17  مردان باید با پیراهن یقه پوشیده شوند.</w:t>
      </w:r>
    </w:p>
    <w:p>
      <w:pPr>
        <w:spacing w:after="28" w:line="216" w:lineRule="auto"/>
        <w:ind w:left="259"/>
        <w:jc w:val="left"/>
      </w:pPr>
      <w:r>
        <w:rPr>
          <w:rFonts w:ascii="Arial" w:hAnsi="Arial"/>
          <w:color w:val="525252"/>
          <w:sz w:val="13"/>
        </w:rPr>
        <w:t>Males must wear with the collared shirt.</w:t>
      </w:r>
    </w:p>
    <w:p>
      <w:pPr>
        <w:spacing w:after="20" w:line="223" w:lineRule="auto"/>
        <w:jc w:val="right"/>
        <w:bidi/>
      </w:pPr>
      <w:r>
        <w:rPr>
          <w:rFonts w:ascii="Arial" w:hAnsi="Arial"/>
          <w:sz w:val="16"/>
        </w:rPr>
        <w:t>502.18  زنان باید کراوات، روسری یا مروارید بپوشند.</w:t>
      </w:r>
    </w:p>
    <w:p>
      <w:pPr>
        <w:spacing w:after="28" w:line="216" w:lineRule="auto"/>
        <w:ind w:left="259"/>
        <w:jc w:val="left"/>
      </w:pPr>
      <w:r>
        <w:rPr>
          <w:rFonts w:ascii="Arial" w:hAnsi="Arial"/>
          <w:color w:val="525252"/>
          <w:sz w:val="13"/>
        </w:rPr>
        <w:t>Females must wear a tie, scarf, or pearls.</w:t>
      </w:r>
    </w:p>
    <w:p>
      <w:pPr>
        <w:spacing w:after="20" w:line="223" w:lineRule="auto"/>
        <w:jc w:val="right"/>
        <w:bidi/>
      </w:pPr>
      <w:r>
        <w:rPr>
          <w:rFonts w:ascii="Arial" w:hAnsi="Arial"/>
          <w:sz w:val="16"/>
        </w:rPr>
        <w:t>502.19  نمونه‌هایی از الگوهای غیرمجاز شامل شخصیت‌ها، نشان‌ها و تم تعطیلات است.</w:t>
      </w:r>
    </w:p>
    <w:p>
      <w:pPr>
        <w:spacing w:after="28" w:line="216" w:lineRule="auto"/>
        <w:ind w:left="259"/>
        <w:jc w:val="left"/>
      </w:pPr>
      <w:r>
        <w:rPr>
          <w:rFonts w:ascii="Arial" w:hAnsi="Arial"/>
          <w:color w:val="525252"/>
          <w:sz w:val="13"/>
        </w:rPr>
        <w:t>Examples of unauthorized patterns include characters, emblems, and holiday themed.</w:t>
      </w:r>
    </w:p>
    <w:p>
      <w:pPr>
        <w:spacing w:after="20" w:line="223" w:lineRule="auto"/>
        <w:jc w:val="right"/>
        <w:bidi/>
      </w:pPr>
      <w:r>
        <w:rPr>
          <w:rFonts w:ascii="Arial" w:hAnsi="Arial"/>
          <w:sz w:val="16"/>
        </w:rPr>
        <w:t>502.20  گیره کراوات / تایک کراوات (اختیاری).</w:t>
      </w:r>
    </w:p>
    <w:p>
      <w:pPr>
        <w:spacing w:after="28" w:line="216" w:lineRule="auto"/>
        <w:ind w:left="259"/>
        <w:jc w:val="left"/>
      </w:pPr>
      <w:r>
        <w:rPr>
          <w:rFonts w:ascii="Arial" w:hAnsi="Arial"/>
          <w:color w:val="525252"/>
          <w:sz w:val="13"/>
        </w:rPr>
        <w:t>Tie Clasp/Tie Tack (Optional).</w:t>
      </w:r>
    </w:p>
    <w:p>
      <w:pPr>
        <w:spacing w:after="20" w:line="223" w:lineRule="auto"/>
        <w:jc w:val="right"/>
        <w:bidi/>
      </w:pPr>
      <w:r>
        <w:rPr>
          <w:rFonts w:ascii="Arial" w:hAnsi="Arial"/>
          <w:sz w:val="16"/>
        </w:rPr>
        <w:t>502.21  باید از نظر سبک و سلیقه محافظه کار باشد.</w:t>
      </w:r>
    </w:p>
    <w:p>
      <w:pPr>
        <w:spacing w:after="28" w:line="216" w:lineRule="auto"/>
        <w:ind w:left="259"/>
        <w:jc w:val="left"/>
      </w:pPr>
      <w:r>
        <w:rPr>
          <w:rFonts w:ascii="Arial" w:hAnsi="Arial"/>
          <w:color w:val="525252"/>
          <w:sz w:val="13"/>
        </w:rPr>
        <w:t>Must be conservative in style and in good taste.</w:t>
      </w:r>
    </w:p>
    <w:p>
      <w:pPr>
        <w:spacing w:after="20" w:line="223" w:lineRule="auto"/>
        <w:jc w:val="right"/>
        <w:bidi/>
      </w:pPr>
      <w:r>
        <w:rPr>
          <w:rFonts w:ascii="Arial" w:hAnsi="Arial"/>
          <w:sz w:val="16"/>
        </w:rPr>
        <w:t>502.22  کفش/کمربند.</w:t>
      </w:r>
    </w:p>
    <w:p>
      <w:pPr>
        <w:spacing w:after="28" w:line="216" w:lineRule="auto"/>
        <w:ind w:left="259"/>
        <w:jc w:val="left"/>
      </w:pPr>
      <w:r>
        <w:rPr>
          <w:rFonts w:ascii="Arial" w:hAnsi="Arial"/>
          <w:color w:val="525252"/>
          <w:sz w:val="13"/>
        </w:rPr>
        <w:t>Shoes/Belt.</w:t>
      </w:r>
    </w:p>
    <w:p>
      <w:pPr>
        <w:spacing w:after="20" w:line="223" w:lineRule="auto"/>
        <w:jc w:val="right"/>
        <w:bidi/>
      </w:pPr>
      <w:r>
        <w:rPr>
          <w:rFonts w:ascii="Arial" w:hAnsi="Arial"/>
          <w:sz w:val="16"/>
        </w:rPr>
        <w:t>502.23  مشکی، محافظه کار و مطابق با الزامات لباس نظامی در DAFI ۳۶-۲۹۰۳ خواهد بود.</w:t>
      </w:r>
    </w:p>
    <w:p>
      <w:pPr>
        <w:spacing w:after="28" w:line="216" w:lineRule="auto"/>
        <w:ind w:left="259"/>
        <w:jc w:val="left"/>
      </w:pPr>
      <w:r>
        <w:rPr>
          <w:rFonts w:ascii="Arial" w:hAnsi="Arial"/>
          <w:color w:val="525252"/>
          <w:sz w:val="13"/>
        </w:rPr>
        <w:t>Will be black, conservative and comply with military dress requirements in DAFI 36-2903.</w:t>
      </w:r>
    </w:p>
    <w:p>
      <w:pPr>
        <w:spacing w:after="20" w:line="223" w:lineRule="auto"/>
        <w:jc w:val="right"/>
        <w:bidi/>
      </w:pPr>
      <w:r>
        <w:rPr>
          <w:rFonts w:ascii="Arial" w:hAnsi="Arial"/>
          <w:sz w:val="16"/>
        </w:rPr>
        <w:t>502.24  پالتو.</w:t>
      </w:r>
    </w:p>
    <w:p>
      <w:pPr>
        <w:spacing w:after="28" w:line="216" w:lineRule="auto"/>
        <w:ind w:left="259"/>
        <w:jc w:val="left"/>
      </w:pPr>
      <w:r>
        <w:rPr>
          <w:rFonts w:ascii="Arial" w:hAnsi="Arial"/>
          <w:color w:val="525252"/>
          <w:sz w:val="13"/>
        </w:rPr>
        <w:t>Overcoat.</w:t>
      </w:r>
    </w:p>
    <w:p>
      <w:pPr>
        <w:spacing w:after="20" w:line="223" w:lineRule="auto"/>
        <w:jc w:val="right"/>
        <w:bidi/>
      </w:pPr>
      <w:r>
        <w:rPr>
          <w:rFonts w:ascii="Arial" w:hAnsi="Arial"/>
          <w:sz w:val="16"/>
        </w:rPr>
        <w:t>502.25  سبک تجاری آبی تیره یا مشکی مشابه کت رویه/ کت در همه شرایط آب و هوایی در DAFI ۳۶-۲۹۰۳، پاراگراف ۷.۱.۵.</w:t>
      </w:r>
    </w:p>
    <w:p>
      <w:pPr>
        <w:spacing w:after="28" w:line="216" w:lineRule="auto"/>
        <w:ind w:left="259"/>
        <w:jc w:val="left"/>
      </w:pPr>
      <w:r>
        <w:rPr>
          <w:rFonts w:ascii="Arial" w:hAnsi="Arial"/>
          <w:color w:val="525252"/>
          <w:sz w:val="13"/>
        </w:rPr>
        <w:t>Dark blue or black commercial style similar to the topcoat/all-weather coat in DAFI 36-2903, paragraph 7.1.5.</w:t>
      </w:r>
    </w:p>
    <w:p>
      <w:pPr>
        <w:spacing w:after="20" w:line="223" w:lineRule="auto"/>
        <w:jc w:val="right"/>
        <w:bidi/>
      </w:pPr>
      <w:r>
        <w:rPr>
          <w:rFonts w:ascii="Arial" w:hAnsi="Arial"/>
          <w:sz w:val="16"/>
        </w:rPr>
        <w:t>502.26  ممکن است در هر زمانی که آب و هوا لازم باشد پوشیده شود.</w:t>
      </w:r>
    </w:p>
    <w:p>
      <w:pPr>
        <w:spacing w:after="28" w:line="216" w:lineRule="auto"/>
        <w:ind w:left="259"/>
        <w:jc w:val="left"/>
      </w:pPr>
      <w:r>
        <w:rPr>
          <w:rFonts w:ascii="Arial" w:hAnsi="Arial"/>
          <w:color w:val="525252"/>
          <w:sz w:val="13"/>
        </w:rPr>
        <w:t>May be worn anytime required by the climate.</w:t>
      </w:r>
    </w:p>
    <w:p>
      <w:pPr>
        <w:spacing w:after="20" w:line="223" w:lineRule="auto"/>
        <w:jc w:val="right"/>
        <w:bidi/>
      </w:pPr>
      <w:r>
        <w:rPr>
          <w:rFonts w:ascii="Arial" w:hAnsi="Arial"/>
          <w:sz w:val="16"/>
        </w:rPr>
        <w:t>502.27  هنگام پوشیدن کت نظامی با لباس خدمه پرواز، نشان درجه را بردارید.</w:t>
      </w:r>
    </w:p>
    <w:p>
      <w:pPr>
        <w:spacing w:after="28" w:line="216" w:lineRule="auto"/>
        <w:ind w:left="259"/>
        <w:jc w:val="left"/>
      </w:pPr>
      <w:r>
        <w:rPr>
          <w:rFonts w:ascii="Arial" w:hAnsi="Arial"/>
          <w:color w:val="525252"/>
          <w:sz w:val="13"/>
        </w:rPr>
        <w:t>Remove rank insignia when wearing the military overcoat with the Flight Attendant uniform.</w:t>
      </w:r>
    </w:p>
    <w:p>
      <w:pPr>
        <w:spacing w:after="20" w:line="223" w:lineRule="auto"/>
        <w:jc w:val="right"/>
        <w:bidi/>
      </w:pPr>
      <w:r>
        <w:rPr>
          <w:rFonts w:ascii="Arial" w:hAnsi="Arial"/>
          <w:sz w:val="16"/>
        </w:rPr>
        <w:t>502.28  پیراهن کاربردی (اختیاری).</w:t>
      </w:r>
    </w:p>
    <w:p>
      <w:pPr>
        <w:spacing w:after="28" w:line="216" w:lineRule="auto"/>
        <w:ind w:left="259"/>
        <w:jc w:val="left"/>
      </w:pPr>
      <w:r>
        <w:rPr>
          <w:rFonts w:ascii="Arial" w:hAnsi="Arial"/>
          <w:color w:val="525252"/>
          <w:sz w:val="13"/>
        </w:rPr>
        <w:t>Utility Shirt (Optional).</w:t>
      </w:r>
    </w:p>
    <w:p>
      <w:pPr>
        <w:spacing w:after="20" w:line="223" w:lineRule="auto"/>
        <w:jc w:val="right"/>
        <w:bidi/>
      </w:pPr>
      <w:r>
        <w:rPr>
          <w:rFonts w:ascii="Arial" w:hAnsi="Arial"/>
          <w:sz w:val="16"/>
        </w:rPr>
        <w:t>502.29  پیراهن‌های آبی تیره یا مشکی به سبک پولو ممکن است آستین کوتاه یا بلند باشند.</w:t>
      </w:r>
    </w:p>
    <w:p>
      <w:pPr>
        <w:spacing w:after="28" w:line="216" w:lineRule="auto"/>
        <w:ind w:left="259"/>
        <w:jc w:val="left"/>
      </w:pPr>
      <w:r>
        <w:rPr>
          <w:rFonts w:ascii="Arial" w:hAnsi="Arial"/>
          <w:color w:val="525252"/>
          <w:sz w:val="13"/>
        </w:rPr>
        <w:t>Dark blue or black polo-styled shirts may be short or long- sleeve.</w:t>
      </w:r>
    </w:p>
    <w:p>
      <w:pPr>
        <w:spacing w:after="20" w:line="223" w:lineRule="auto"/>
        <w:jc w:val="right"/>
        <w:bidi/>
      </w:pPr>
      <w:r>
        <w:rPr>
          <w:rFonts w:ascii="Arial" w:hAnsi="Arial"/>
          <w:sz w:val="16"/>
        </w:rPr>
        <w:t>502.30  در صورت پوشیدن، با یقه و سفید یا زیرپیراهن تاپ به سبک ورزشی بپوشید.</w:t>
      </w:r>
    </w:p>
    <w:p>
      <w:pPr>
        <w:spacing w:after="28" w:line="216" w:lineRule="auto"/>
        <w:ind w:left="259"/>
        <w:jc w:val="left"/>
      </w:pPr>
      <w:r>
        <w:rPr>
          <w:rFonts w:ascii="Arial" w:hAnsi="Arial"/>
          <w:color w:val="525252"/>
          <w:sz w:val="13"/>
        </w:rPr>
        <w:t>If worn, wear with a white V-neck or an athletic style tank top undershirt.</w:t>
      </w:r>
    </w:p>
    <w:p>
      <w:pPr>
        <w:spacing w:after="20" w:line="223" w:lineRule="auto"/>
        <w:jc w:val="right"/>
        <w:bidi/>
      </w:pPr>
      <w:r>
        <w:rPr>
          <w:rFonts w:ascii="Arial" w:hAnsi="Arial"/>
          <w:sz w:val="16"/>
        </w:rPr>
        <w:t>502.31  ممکن است در هنگام بالا و بارگیری هواپیما پوشیده شود. تمام تلاش خود را برای تغییر قبل از ورود مسافر انجام دهید.</w:t>
      </w:r>
    </w:p>
    <w:p>
      <w:pPr>
        <w:spacing w:after="28" w:line="216" w:lineRule="auto"/>
        <w:ind w:left="259"/>
        <w:jc w:val="left"/>
      </w:pPr>
      <w:r>
        <w:rPr>
          <w:rFonts w:ascii="Arial" w:hAnsi="Arial"/>
          <w:color w:val="525252"/>
          <w:sz w:val="13"/>
        </w:rPr>
        <w:t>May wear during airplane up/download; make every effort to change prior to passenger arrival.</w:t>
      </w:r>
    </w:p>
    <w:p>
      <w:pPr>
        <w:spacing w:after="20" w:line="223" w:lineRule="auto"/>
        <w:jc w:val="right"/>
        <w:bidi/>
      </w:pPr>
      <w:r>
        <w:rPr>
          <w:rFonts w:ascii="Arial" w:hAnsi="Arial"/>
          <w:sz w:val="16"/>
        </w:rPr>
        <w:t>502.32  همچنین می‌توانید در مأموریت‌های پشتیبانی خاص با لباس‌های خاکی به‌عنوان یونیفرم معمولی بپوشید.</w:t>
      </w:r>
    </w:p>
    <w:p>
      <w:pPr>
        <w:spacing w:after="28" w:line="216" w:lineRule="auto"/>
        <w:ind w:left="259"/>
        <w:jc w:val="left"/>
      </w:pPr>
      <w:r>
        <w:rPr>
          <w:rFonts w:ascii="Arial" w:hAnsi="Arial"/>
          <w:color w:val="525252"/>
          <w:sz w:val="13"/>
        </w:rPr>
        <w:t>May also wear with khakis as a casual uniform on certain support missions.</w:t>
      </w:r>
    </w:p>
    <w:p>
      <w:pPr>
        <w:spacing w:after="20" w:line="223" w:lineRule="auto"/>
        <w:jc w:val="right"/>
        <w:bidi/>
      </w:pPr>
      <w:r>
        <w:rPr>
          <w:rFonts w:ascii="Arial" w:hAnsi="Arial"/>
          <w:sz w:val="16"/>
        </w:rPr>
        <w:t>502.33  پیشبند (سبک تجاری).</w:t>
      </w:r>
    </w:p>
    <w:p>
      <w:pPr>
        <w:spacing w:after="28" w:line="216" w:lineRule="auto"/>
        <w:ind w:left="259"/>
        <w:jc w:val="left"/>
      </w:pPr>
      <w:r>
        <w:rPr>
          <w:rFonts w:ascii="Arial" w:hAnsi="Arial"/>
          <w:color w:val="525252"/>
          <w:sz w:val="13"/>
        </w:rPr>
        <w:t>Apron (Commercial Style).</w:t>
      </w:r>
    </w:p>
    <w:p>
      <w:pPr>
        <w:spacing w:after="20" w:line="223" w:lineRule="auto"/>
        <w:jc w:val="right"/>
        <w:bidi/>
      </w:pPr>
      <w:r>
        <w:rPr>
          <w:rFonts w:ascii="Arial" w:hAnsi="Arial"/>
          <w:sz w:val="16"/>
        </w:rPr>
        <w:t>502.34  یک پیشبند تجاری به سبک تجاری آبی تیره یا مشکی بپوشید یا پیشبند تجاری به سبک کراوات ببندید.</w:t>
      </w:r>
    </w:p>
    <w:p>
      <w:pPr>
        <w:spacing w:after="28" w:line="216" w:lineRule="auto"/>
        <w:ind w:left="259"/>
        <w:jc w:val="left"/>
      </w:pPr>
      <w:r>
        <w:rPr>
          <w:rFonts w:ascii="Arial" w:hAnsi="Arial"/>
          <w:color w:val="525252"/>
          <w:sz w:val="13"/>
        </w:rPr>
        <w:t>Wear a dark blue or black commercial style bib or tie closure commercial style apron.</w:t>
      </w:r>
    </w:p>
    <w:p>
      <w:pPr>
        <w:spacing w:after="20" w:line="223" w:lineRule="auto"/>
        <w:jc w:val="right"/>
        <w:bidi/>
      </w:pPr>
      <w:r>
        <w:rPr>
          <w:rFonts w:ascii="Arial" w:hAnsi="Arial"/>
          <w:sz w:val="16"/>
        </w:rPr>
        <w:t>502.35  هوانوردان ممکن است نام کوچک را در سمت چپ بدوزند (به کت سرآشپز در DAFI ۳۶-۲۹۰۳، بند ۱۰.۴.۱۵ مراجعه کنید).</w:t>
      </w:r>
    </w:p>
    <w:p>
      <w:pPr>
        <w:spacing w:after="28" w:line="216" w:lineRule="auto"/>
        <w:ind w:left="259"/>
        <w:jc w:val="left"/>
      </w:pPr>
      <w:r>
        <w:rPr>
          <w:rFonts w:ascii="Arial" w:hAnsi="Arial"/>
          <w:color w:val="525252"/>
          <w:sz w:val="13"/>
        </w:rPr>
        <w:t>Airmen may embroider first name on left side (see Chef’s Coat in DAFI 36-2903, paragraph 10.4.15.).</w:t>
      </w:r>
    </w:p>
    <w:p>
      <w:pPr>
        <w:spacing w:after="20" w:line="223" w:lineRule="auto"/>
        <w:jc w:val="right"/>
        <w:bidi/>
      </w:pPr>
      <w:r>
        <w:rPr>
          <w:rFonts w:ascii="Arial" w:hAnsi="Arial"/>
          <w:sz w:val="16"/>
        </w:rPr>
        <w:t>502.36  فقط برای پوشیدن گالی در هواپیماهای خدمه خدمه یک مهماندار، ممکن است در کابین هنگام سرو غذا استفاده شود. اگر در کابین پوشیده می‌شود، باید یک نام یا نام گلدوزی شده داشته باشد.</w:t>
      </w:r>
    </w:p>
    <w:p>
      <w:pPr>
        <w:spacing w:after="28" w:line="216" w:lineRule="auto"/>
        <w:ind w:left="259"/>
        <w:jc w:val="left"/>
      </w:pPr>
      <w:r>
        <w:rPr>
          <w:rFonts w:ascii="Arial" w:hAnsi="Arial"/>
          <w:color w:val="525252"/>
          <w:sz w:val="13"/>
        </w:rPr>
        <w:t>For galley wear on single flight attendant crewed airplanes only, may be worn in the cabin during meal service; if worn in cabin, must wear a nametag or embroidered name.</w:t>
      </w:r>
    </w:p>
    <w:p>
      <w:pPr>
        <w:spacing w:after="20" w:line="223" w:lineRule="auto"/>
        <w:jc w:val="right"/>
        <w:bidi/>
      </w:pPr>
      <w:r>
        <w:rPr>
          <w:rFonts w:ascii="Arial" w:hAnsi="Arial"/>
          <w:sz w:val="16"/>
        </w:rPr>
        <w:t>502.37  کت سرآشپز (اختیاری).</w:t>
      </w:r>
    </w:p>
    <w:p>
      <w:pPr>
        <w:spacing w:after="28" w:line="216" w:lineRule="auto"/>
        <w:ind w:left="259"/>
        <w:jc w:val="left"/>
      </w:pPr>
      <w:r>
        <w:rPr>
          <w:rFonts w:ascii="Arial" w:hAnsi="Arial"/>
          <w:color w:val="525252"/>
          <w:sz w:val="13"/>
        </w:rPr>
        <w:t>Chef’s Coat (Optional).</w:t>
      </w:r>
    </w:p>
    <w:p>
      <w:pPr>
        <w:spacing w:after="20" w:line="223" w:lineRule="auto"/>
        <w:jc w:val="right"/>
        <w:bidi/>
      </w:pPr>
      <w:r>
        <w:rPr>
          <w:rFonts w:ascii="Arial" w:hAnsi="Arial"/>
          <w:sz w:val="16"/>
        </w:rPr>
        <w:t>502.38  کت سرآشپز دو کتانی به سبک تجاری سفید یکدست (آستین بلند فرانسوی یا آستین ۳/۴)، بدون طرح یا تزئینات رنگی با یقه گردن صاف (سبک ایستاده ماندارین/باند/مستقیم).</w:t>
      </w:r>
    </w:p>
    <w:p>
      <w:pPr>
        <w:spacing w:after="28" w:line="216" w:lineRule="auto"/>
        <w:ind w:left="259"/>
        <w:jc w:val="left"/>
      </w:pPr>
      <w:r>
        <w:rPr>
          <w:rFonts w:ascii="Arial" w:hAnsi="Arial"/>
          <w:color w:val="525252"/>
          <w:sz w:val="13"/>
        </w:rPr>
        <w:t>Solid white commercial style double-breasted chef’s coat (Long sleeved French cuff or 3/4 sleeve), free of design or colored trim with straight neck collar (mandarin/banded/straight stand-up style).</w:t>
      </w:r>
    </w:p>
    <w:p>
      <w:pPr>
        <w:spacing w:after="20" w:line="223" w:lineRule="auto"/>
        <w:jc w:val="right"/>
        <w:bidi/>
      </w:pPr>
      <w:r>
        <w:rPr>
          <w:rFonts w:ascii="Arial" w:hAnsi="Arial"/>
          <w:sz w:val="16"/>
        </w:rPr>
        <w:t>502.39  کت گلدوزی با نام کوچک روی جیب سینه سمت چپ پوشنده به ارتفاع ۱/۲ اینچ، خط شکسته، با حروف آبی تیره.</w:t>
      </w:r>
    </w:p>
    <w:p>
      <w:pPr>
        <w:spacing w:after="28" w:line="216" w:lineRule="auto"/>
        <w:ind w:left="259"/>
        <w:jc w:val="left"/>
      </w:pPr>
      <w:r>
        <w:rPr>
          <w:rFonts w:ascii="Arial" w:hAnsi="Arial"/>
          <w:color w:val="525252"/>
          <w:sz w:val="13"/>
        </w:rPr>
        <w:t>Embroider coat with first name over wearer’s left breast pocket in 1/2-inch high, cursive style, dark blue lettering.</w:t>
      </w:r>
    </w:p>
    <w:p>
      <w:pPr>
        <w:spacing w:after="20" w:line="223" w:lineRule="auto"/>
        <w:jc w:val="right"/>
        <w:bidi/>
      </w:pPr>
      <w:r>
        <w:rPr>
          <w:rFonts w:ascii="Arial" w:hAnsi="Arial"/>
          <w:sz w:val="16"/>
        </w:rPr>
        <w:t>502.40  فقط در گالی بپوشید.</w:t>
      </w:r>
    </w:p>
    <w:p>
      <w:pPr>
        <w:spacing w:after="28" w:line="216" w:lineRule="auto"/>
        <w:ind w:left="259"/>
        <w:jc w:val="left"/>
      </w:pPr>
      <w:r>
        <w:rPr>
          <w:rFonts w:ascii="Arial" w:hAnsi="Arial"/>
          <w:color w:val="525252"/>
          <w:sz w:val="13"/>
        </w:rPr>
        <w:t>Only wear in the galley.</w:t>
      </w:r>
    </w:p>
    <w:p>
      <w:pPr>
        <w:spacing w:after="20" w:line="223" w:lineRule="auto"/>
        <w:jc w:val="right"/>
        <w:bidi/>
      </w:pPr>
      <w:r>
        <w:rPr>
          <w:rFonts w:ascii="Arial" w:hAnsi="Arial"/>
          <w:sz w:val="16"/>
        </w:rPr>
        <w:t>502.41  هشتاد و نهمین مأموریت ویژه حمل و نقل هوایی.</w:t>
      </w:r>
    </w:p>
    <w:p>
      <w:pPr>
        <w:spacing w:after="28" w:line="216" w:lineRule="auto"/>
        <w:ind w:left="259"/>
        <w:jc w:val="left"/>
      </w:pPr>
      <w:r>
        <w:rPr>
          <w:rFonts w:ascii="Arial" w:hAnsi="Arial"/>
          <w:color w:val="525252"/>
          <w:sz w:val="13"/>
        </w:rPr>
        <w:t>89th Special Airlift Mission.</w:t>
      </w:r>
    </w:p>
    <w:p>
      <w:pPr>
        <w:spacing w:after="20" w:line="223" w:lineRule="auto"/>
        <w:jc w:val="right"/>
        <w:bidi/>
      </w:pPr>
      <w:r>
        <w:rPr>
          <w:rFonts w:ascii="Arial" w:hAnsi="Arial"/>
          <w:sz w:val="16"/>
        </w:rPr>
        <w:t>502.42  مجاز به پوشیدن ژاکت آبی سبک و متمایز با عبارت مأموریت‌های ویژهٔ هوایی که در سمت راست کاربر به رنگ سفید گلدوزی شده است و روی بالای یک نشان قرمز SAM فوکس گلدوزی شده است.</w:t>
      </w:r>
    </w:p>
    <w:p>
      <w:pPr>
        <w:spacing w:after="28" w:line="216" w:lineRule="auto"/>
        <w:ind w:left="259"/>
        <w:jc w:val="left"/>
      </w:pPr>
      <w:r>
        <w:rPr>
          <w:rFonts w:ascii="Arial" w:hAnsi="Arial"/>
          <w:color w:val="525252"/>
          <w:sz w:val="13"/>
        </w:rPr>
        <w:t>Authorized to wear a distinctive lightweight blue jacket with the words SPECIAL AIR MISSIONS embroidered in white on the wearer’s right side arched over the top of a red SAM Fox embroidered insignia.</w:t>
      </w:r>
    </w:p>
    <w:p>
      <w:pPr>
        <w:spacing w:after="20" w:line="223" w:lineRule="auto"/>
        <w:jc w:val="right"/>
        <w:bidi/>
      </w:pPr>
      <w:r>
        <w:rPr>
          <w:rFonts w:ascii="Arial" w:hAnsi="Arial"/>
          <w:sz w:val="16"/>
        </w:rPr>
        <w:t>502.43  افسران علائم درجه را روی سردوش، ۵/۸ اینچ از درز شانه قرار می‌دهند.</w:t>
      </w:r>
    </w:p>
    <w:p>
      <w:pPr>
        <w:spacing w:after="28" w:line="216" w:lineRule="auto"/>
        <w:ind w:left="259"/>
        <w:jc w:val="left"/>
      </w:pPr>
      <w:r>
        <w:rPr>
          <w:rFonts w:ascii="Arial" w:hAnsi="Arial"/>
          <w:color w:val="525252"/>
          <w:sz w:val="13"/>
        </w:rPr>
        <w:t>Officers will place rank insignia on epaulet, 5/8-inch from shoulder seam.</w:t>
      </w:r>
    </w:p>
    <w:p>
      <w:pPr>
        <w:spacing w:after="20" w:line="223" w:lineRule="auto"/>
        <w:jc w:val="right"/>
        <w:bidi/>
      </w:pPr>
      <w:r>
        <w:rPr>
          <w:rFonts w:ascii="Arial" w:hAnsi="Arial"/>
          <w:sz w:val="16"/>
        </w:rPr>
        <w:t>502.44  ثبت‌نام شده بر اساس رتبه‌ای که در DAFI ۳۶-۲۹۰۳، پاراگراف ۷.۱.۳.۲ ذکر شده است، دوخته می‌شود.</w:t>
      </w:r>
    </w:p>
    <w:p>
      <w:pPr>
        <w:spacing w:after="28" w:line="216" w:lineRule="auto"/>
        <w:ind w:left="259"/>
        <w:jc w:val="left"/>
      </w:pPr>
      <w:r>
        <w:rPr>
          <w:rFonts w:ascii="Arial" w:hAnsi="Arial"/>
          <w:color w:val="525252"/>
          <w:sz w:val="13"/>
        </w:rPr>
        <w:t>Enlisted will sew on rank as outlined in DAFI 36-2903, paragraph 7.1.3.2.</w:t>
      </w:r>
    </w:p>
    <w:p>
      <w:pPr>
        <w:spacing w:after="20" w:line="223" w:lineRule="auto"/>
        <w:jc w:val="right"/>
        <w:bidi/>
      </w:pPr>
      <w:r>
        <w:rPr>
          <w:rFonts w:ascii="Arial" w:hAnsi="Arial"/>
          <w:sz w:val="16"/>
        </w:rPr>
        <w:t>502.45  در سمت چپ نام و نام خانوادگی را با رنگ سفید حتی با نشان SAM فوکس بدوزید.</w:t>
      </w:r>
    </w:p>
    <w:p>
      <w:pPr>
        <w:spacing w:after="28" w:line="216" w:lineRule="auto"/>
        <w:ind w:left="259"/>
        <w:jc w:val="left"/>
      </w:pPr>
      <w:r>
        <w:rPr>
          <w:rFonts w:ascii="Arial" w:hAnsi="Arial"/>
          <w:color w:val="525252"/>
          <w:sz w:val="13"/>
        </w:rPr>
        <w:t>Embroider the first and last name in white on the left side even with the SAM Fox insignia.</w:t>
      </w:r>
    </w:p>
    <w:p>
      <w:pPr>
        <w:spacing w:after="20" w:line="223" w:lineRule="auto"/>
        <w:jc w:val="right"/>
        <w:bidi/>
      </w:pPr>
      <w:r>
        <w:rPr>
          <w:rFonts w:ascii="Arial" w:hAnsi="Arial"/>
          <w:sz w:val="16"/>
        </w:rPr>
        <w:t>502.46  روسری.</w:t>
      </w:r>
    </w:p>
    <w:p>
      <w:pPr>
        <w:spacing w:after="28" w:line="216" w:lineRule="auto"/>
        <w:ind w:left="259"/>
        <w:jc w:val="left"/>
      </w:pPr>
      <w:r>
        <w:rPr>
          <w:rFonts w:ascii="Arial" w:hAnsi="Arial"/>
          <w:color w:val="525252"/>
          <w:sz w:val="13"/>
        </w:rPr>
        <w:t>Scarves.</w:t>
      </w:r>
    </w:p>
    <w:p>
      <w:pPr>
        <w:spacing w:after="20" w:line="223" w:lineRule="auto"/>
        <w:jc w:val="right"/>
        <w:bidi/>
      </w:pPr>
      <w:r>
        <w:rPr>
          <w:rFonts w:ascii="Arial" w:hAnsi="Arial"/>
          <w:sz w:val="16"/>
        </w:rPr>
        <w:t>502.47  رنگ روسری برای هر روز مأموریت یکنواخت خواهد بود و از طریق فروشندگان مجاز لباس خریداری می‌شود.</w:t>
      </w:r>
    </w:p>
    <w:p>
      <w:pPr>
        <w:spacing w:after="28" w:line="216" w:lineRule="auto"/>
        <w:ind w:left="259"/>
        <w:jc w:val="left"/>
      </w:pPr>
      <w:r>
        <w:rPr>
          <w:rFonts w:ascii="Arial" w:hAnsi="Arial"/>
          <w:color w:val="525252"/>
          <w:sz w:val="13"/>
        </w:rPr>
        <w:t>Scarf color will be uniform for each day of the mission and purchased through authorized uniform vendors.</w:t>
      </w:r>
    </w:p>
    <w:p>
      <w:pPr>
        <w:spacing w:after="20" w:line="223" w:lineRule="auto"/>
        <w:jc w:val="right"/>
        <w:bidi/>
      </w:pPr>
      <w:r>
        <w:rPr>
          <w:rFonts w:ascii="Arial" w:hAnsi="Arial"/>
          <w:sz w:val="16"/>
        </w:rPr>
        <w:t>502.48  باید سبک تجاری محافظه کارانه باشد (اندازه ۲۰ کس ۲۰ یا ۵۶ کس ۱۳ اینچ).</w:t>
      </w:r>
    </w:p>
    <w:p>
      <w:pPr>
        <w:spacing w:after="28" w:line="216" w:lineRule="auto"/>
        <w:ind w:left="259"/>
        <w:jc w:val="left"/>
      </w:pPr>
      <w:r>
        <w:rPr>
          <w:rFonts w:ascii="Arial" w:hAnsi="Arial"/>
          <w:color w:val="525252"/>
          <w:sz w:val="13"/>
        </w:rPr>
        <w:t>Must be conservative commercial style (20”x20” or 56”x13” size).</w:t>
      </w:r>
    </w:p>
    <w:p>
      <w:pPr>
        <w:spacing w:after="20" w:line="223" w:lineRule="auto"/>
        <w:jc w:val="right"/>
        <w:bidi/>
      </w:pPr>
      <w:r>
        <w:rPr>
          <w:rFonts w:ascii="Arial" w:hAnsi="Arial"/>
          <w:sz w:val="16"/>
        </w:rPr>
        <w:t>502.49  رنگهای غالب قرمز، آبی یا خاکستری خواهند بود، اما ممکن است مطابق با راهنمایی کراوات طرح شوند.</w:t>
      </w:r>
    </w:p>
    <w:p>
      <w:pPr>
        <w:spacing w:after="28" w:line="216" w:lineRule="auto"/>
        <w:ind w:left="259"/>
        <w:jc w:val="left"/>
      </w:pPr>
      <w:r>
        <w:rPr>
          <w:rFonts w:ascii="Arial" w:hAnsi="Arial"/>
          <w:color w:val="525252"/>
          <w:sz w:val="13"/>
        </w:rPr>
        <w:t>Predominant colors will be red, blue, or gray, but may be patterned in accordance with tie guidance.</w:t>
      </w:r>
    </w:p>
    <w:p>
      <w:pPr>
        <w:spacing w:after="20" w:line="223" w:lineRule="auto"/>
        <w:jc w:val="right"/>
        <w:bidi/>
      </w:pPr>
      <w:r>
        <w:rPr>
          <w:rFonts w:ascii="Arial" w:hAnsi="Arial"/>
          <w:sz w:val="16"/>
        </w:rPr>
        <w:t>502.50  زنان باید کراوات، روسری یا مروارید بپوشند.</w:t>
      </w:r>
    </w:p>
    <w:p>
      <w:pPr>
        <w:spacing w:after="28" w:line="216" w:lineRule="auto"/>
        <w:ind w:left="259"/>
        <w:jc w:val="left"/>
      </w:pPr>
      <w:r>
        <w:rPr>
          <w:rFonts w:ascii="Arial" w:hAnsi="Arial"/>
          <w:color w:val="525252"/>
          <w:sz w:val="13"/>
        </w:rPr>
        <w:t>Females must wear a tie, scarf, or pearls.</w:t>
      </w:r>
    </w:p>
    <w:p>
      <w:pPr>
        <w:spacing w:after="20" w:line="223" w:lineRule="auto"/>
        <w:jc w:val="right"/>
        <w:bidi/>
      </w:pPr>
      <w:r>
        <w:rPr>
          <w:rFonts w:ascii="Arial" w:hAnsi="Arial"/>
          <w:sz w:val="16"/>
        </w:rPr>
        <w:t>502.51  اندازه ۷ میلی متر، ۱۶ تا ۱۸ اینچ طول خواهد داشت و در بین هر مروارید گره می‌خورد.</w:t>
      </w:r>
    </w:p>
    <w:p>
      <w:pPr>
        <w:spacing w:after="28" w:line="216" w:lineRule="auto"/>
        <w:ind w:left="259"/>
        <w:jc w:val="left"/>
      </w:pPr>
      <w:r>
        <w:rPr>
          <w:rFonts w:ascii="Arial" w:hAnsi="Arial"/>
          <w:color w:val="525252"/>
          <w:sz w:val="13"/>
        </w:rPr>
        <w:t>Size will be 7mm, 16”-18” long and knotted in between each pearl.</w:t>
      </w:r>
    </w:p>
    <w:p>
      <w:pPr>
        <w:spacing w:after="20" w:line="223" w:lineRule="auto"/>
        <w:jc w:val="right"/>
        <w:bidi/>
      </w:pPr>
      <w:r>
        <w:rPr>
          <w:rFonts w:ascii="Arial" w:hAnsi="Arial"/>
          <w:sz w:val="16"/>
        </w:rPr>
        <w:t>502.52  ۲۳.۲۲. اسکراب‌های پزشکی اسکراب‌های جراحی به جز در مواقع اضطراری در خارج از منزل پوشیده نمی‌شوند</w:t>
      </w:r>
    </w:p>
    <w:p>
      <w:pPr>
        <w:spacing w:after="28" w:line="216" w:lineRule="auto"/>
        <w:ind w:left="259"/>
        <w:jc w:val="left"/>
      </w:pPr>
      <w:r>
        <w:rPr>
          <w:rFonts w:ascii="Arial" w:hAnsi="Arial"/>
          <w:color w:val="525252"/>
          <w:sz w:val="13"/>
        </w:rPr>
        <w:t>23.22. Medical Scrubs. Surgical Scrubs will not be worn outside except during emergency</w:t>
      </w:r>
    </w:p>
    <w:p>
      <w:r>
        <w:br w:type="page"/>
      </w:r>
    </w:p>
    <w:p>
      <w:pPr>
        <w:spacing w:after="60"/>
        <w:jc w:val="right"/>
        <w:bidi/>
      </w:pPr>
      <w:r>
        <w:rPr>
          <w:rFonts w:ascii="Arial" w:hAnsi="Arial"/>
          <w:b/>
          <w:color w:val="1F4D78"/>
          <w:sz w:val="19"/>
        </w:rPr>
        <w:t>هفتهٔ 503  |  صفحهٔ منبع: 519</w:t>
      </w:r>
    </w:p>
    <w:p>
      <w:pPr>
        <w:spacing w:after="20" w:line="223" w:lineRule="auto"/>
        <w:jc w:val="right"/>
        <w:bidi/>
      </w:pPr>
      <w:r>
        <w:rPr>
          <w:rFonts w:ascii="Arial" w:hAnsi="Arial"/>
          <w:sz w:val="16"/>
        </w:rPr>
        <w:t>503.01  موقعیت هایی مانند آتش سوزی یا تخلیه.</w:t>
      </w:r>
    </w:p>
    <w:p>
      <w:pPr>
        <w:spacing w:after="28" w:line="216" w:lineRule="auto"/>
        <w:ind w:left="259"/>
        <w:jc w:val="left"/>
      </w:pPr>
      <w:r>
        <w:rPr>
          <w:rFonts w:ascii="Arial" w:hAnsi="Arial"/>
          <w:color w:val="525252"/>
          <w:sz w:val="13"/>
        </w:rPr>
        <w:t>situations such as fires or evacuations.</w:t>
      </w:r>
    </w:p>
    <w:p>
      <w:pPr>
        <w:spacing w:after="20" w:line="223" w:lineRule="auto"/>
        <w:jc w:val="right"/>
        <w:bidi/>
      </w:pPr>
      <w:r>
        <w:rPr>
          <w:rFonts w:ascii="Arial" w:hAnsi="Arial"/>
          <w:sz w:val="16"/>
        </w:rPr>
        <w:t>503.02  استثنا: خدمه آمبولانس با مجوز فرمانده مرکز درمانی.</w:t>
      </w:r>
    </w:p>
    <w:p>
      <w:pPr>
        <w:spacing w:after="28" w:line="216" w:lineRule="auto"/>
        <w:ind w:left="259"/>
        <w:jc w:val="left"/>
      </w:pPr>
      <w:r>
        <w:rPr>
          <w:rFonts w:ascii="Arial" w:hAnsi="Arial"/>
          <w:color w:val="525252"/>
          <w:sz w:val="13"/>
        </w:rPr>
        <w:t>Exception: Ambulance crews when authorized by the Medical Treatment Facility Commander.</w:t>
      </w:r>
    </w:p>
    <w:p>
      <w:pPr>
        <w:spacing w:after="20" w:line="223" w:lineRule="auto"/>
        <w:jc w:val="right"/>
        <w:bidi/>
      </w:pPr>
      <w:r>
        <w:rPr>
          <w:rFonts w:ascii="Arial" w:hAnsi="Arial"/>
          <w:sz w:val="16"/>
        </w:rPr>
        <w:t>503.03  اسکراب‌های جراحی که در سالن جراحی استفاده می‌شوند، روش‌های کنترل عفونت را برآورده می‌کنند.</w:t>
      </w:r>
    </w:p>
    <w:p>
      <w:pPr>
        <w:spacing w:after="28" w:line="216" w:lineRule="auto"/>
        <w:ind w:left="259"/>
        <w:jc w:val="left"/>
      </w:pPr>
      <w:r>
        <w:rPr>
          <w:rFonts w:ascii="Arial" w:hAnsi="Arial"/>
          <w:color w:val="525252"/>
          <w:sz w:val="13"/>
        </w:rPr>
        <w:t>Surgical Scrubs worn in the surgical theater will meet established infection control procedures.</w:t>
      </w:r>
    </w:p>
    <w:p>
      <w:pPr>
        <w:spacing w:after="20" w:line="223" w:lineRule="auto"/>
        <w:jc w:val="right"/>
        <w:bidi/>
      </w:pPr>
      <w:r>
        <w:rPr>
          <w:rFonts w:ascii="Arial" w:hAnsi="Arial"/>
          <w:sz w:val="16"/>
        </w:rPr>
        <w:t>503.04  هنگام خروج از مناطقی که باید از کفش‌ها استفاده شود، روکش، کلاه و ماسک را بردارید.</w:t>
      </w:r>
    </w:p>
    <w:p>
      <w:pPr>
        <w:spacing w:after="28" w:line="216" w:lineRule="auto"/>
        <w:ind w:left="259"/>
        <w:jc w:val="left"/>
      </w:pPr>
      <w:r>
        <w:rPr>
          <w:rFonts w:ascii="Arial" w:hAnsi="Arial"/>
          <w:color w:val="525252"/>
          <w:sz w:val="13"/>
        </w:rPr>
        <w:t>Remove shoe covers, caps and masks when leaving areas where they are required to be worn.</w:t>
      </w:r>
    </w:p>
    <w:p>
      <w:pPr>
        <w:spacing w:after="20" w:line="223" w:lineRule="auto"/>
        <w:jc w:val="right"/>
        <w:bidi/>
      </w:pPr>
      <w:r>
        <w:rPr>
          <w:rFonts w:ascii="Arial" w:hAnsi="Arial"/>
          <w:sz w:val="16"/>
        </w:rPr>
        <w:t>503.05  اسکراب‌ها یک یونیفرم کاربردی هستند، اما برای رفت و آمد از محل کار استفاده نمی‌شوند.</w:t>
      </w:r>
    </w:p>
    <w:p>
      <w:pPr>
        <w:spacing w:after="28" w:line="216" w:lineRule="auto"/>
        <w:ind w:left="259"/>
        <w:jc w:val="left"/>
      </w:pPr>
      <w:r>
        <w:rPr>
          <w:rFonts w:ascii="Arial" w:hAnsi="Arial"/>
          <w:color w:val="525252"/>
          <w:sz w:val="13"/>
        </w:rPr>
        <w:t>Scrubs are a utility uniform, but do not wear to and from work.</w:t>
      </w:r>
    </w:p>
    <w:p>
      <w:pPr>
        <w:spacing w:after="20" w:line="223" w:lineRule="auto"/>
        <w:jc w:val="right"/>
        <w:bidi/>
      </w:pPr>
      <w:r>
        <w:rPr>
          <w:rFonts w:ascii="Arial" w:hAnsi="Arial"/>
          <w:sz w:val="16"/>
        </w:rPr>
        <w:t>503.06  اعضا در شروع روز وظیفه خود از لباس وظیفه خود را به اسکراب تغییر داده و در پایان روز وظیفه خود را به یونیفرم وظیفه خود برمی‌گردانند.</w:t>
      </w:r>
    </w:p>
    <w:p>
      <w:pPr>
        <w:spacing w:after="28" w:line="216" w:lineRule="auto"/>
        <w:ind w:left="259"/>
        <w:jc w:val="left"/>
      </w:pPr>
      <w:r>
        <w:rPr>
          <w:rFonts w:ascii="Arial" w:hAnsi="Arial"/>
          <w:color w:val="525252"/>
          <w:sz w:val="13"/>
        </w:rPr>
        <w:t>Members will change out of their duty uniform into scrubs at the start of their duty day and back into their duty uniform at the end of their duty day.</w:t>
      </w:r>
    </w:p>
    <w:p>
      <w:pPr>
        <w:spacing w:after="20" w:line="223" w:lineRule="auto"/>
        <w:jc w:val="right"/>
        <w:bidi/>
      </w:pPr>
      <w:r>
        <w:rPr>
          <w:rFonts w:ascii="Arial" w:hAnsi="Arial"/>
          <w:sz w:val="16"/>
        </w:rPr>
        <w:t>503.07  پیراهن.</w:t>
      </w:r>
    </w:p>
    <w:p>
      <w:pPr>
        <w:spacing w:after="28" w:line="216" w:lineRule="auto"/>
        <w:ind w:left="259"/>
        <w:jc w:val="left"/>
      </w:pPr>
      <w:r>
        <w:rPr>
          <w:rFonts w:ascii="Arial" w:hAnsi="Arial"/>
          <w:color w:val="525252"/>
          <w:sz w:val="13"/>
        </w:rPr>
        <w:t>Shirt.</w:t>
      </w:r>
    </w:p>
    <w:p>
      <w:pPr>
        <w:spacing w:after="20" w:line="223" w:lineRule="auto"/>
        <w:jc w:val="right"/>
        <w:bidi/>
      </w:pPr>
      <w:r>
        <w:rPr>
          <w:rFonts w:ascii="Arial" w:hAnsi="Arial"/>
          <w:sz w:val="16"/>
        </w:rPr>
        <w:t>503.08  فرمانده مرکز درمانی نظامی، پیراهن‌های اسکراب جراحی با رنگ محافظه‌کارانه را که با رنگ شلوار اسکراب جراحی مطابقت دارد، مجاز و خریداری می‌کند.</w:t>
      </w:r>
    </w:p>
    <w:p>
      <w:pPr>
        <w:spacing w:after="28" w:line="216" w:lineRule="auto"/>
        <w:ind w:left="259"/>
        <w:jc w:val="left"/>
      </w:pPr>
      <w:r>
        <w:rPr>
          <w:rFonts w:ascii="Arial" w:hAnsi="Arial"/>
          <w:color w:val="525252"/>
          <w:sz w:val="13"/>
        </w:rPr>
        <w:t>Military Treatment Facility Commander authorizes and procures solid conservative color surgical scrub shirts that match the color of the surgical scrub pants.</w:t>
      </w:r>
    </w:p>
    <w:p>
      <w:pPr>
        <w:spacing w:after="20" w:line="223" w:lineRule="auto"/>
        <w:jc w:val="right"/>
        <w:bidi/>
      </w:pPr>
      <w:r>
        <w:rPr>
          <w:rFonts w:ascii="Arial" w:hAnsi="Arial"/>
          <w:sz w:val="16"/>
        </w:rPr>
        <w:t>503.09  پیراهن را در ترکیب با لباس نظامی یا لباس غیر نظامی نپوشید.</w:t>
      </w:r>
    </w:p>
    <w:p>
      <w:pPr>
        <w:spacing w:after="28" w:line="216" w:lineRule="auto"/>
        <w:ind w:left="259"/>
        <w:jc w:val="left"/>
      </w:pPr>
      <w:r>
        <w:rPr>
          <w:rFonts w:ascii="Arial" w:hAnsi="Arial"/>
          <w:color w:val="525252"/>
          <w:sz w:val="13"/>
        </w:rPr>
        <w:t>Do not wear the shirt in combination with any military uniform item or with civilian clothing.</w:t>
      </w:r>
    </w:p>
    <w:p>
      <w:pPr>
        <w:spacing w:after="20" w:line="223" w:lineRule="auto"/>
        <w:jc w:val="right"/>
        <w:bidi/>
      </w:pPr>
      <w:r>
        <w:rPr>
          <w:rFonts w:ascii="Arial" w:hAnsi="Arial"/>
          <w:sz w:val="16"/>
        </w:rPr>
        <w:t>503.10  ممکن است پیراهن دارای یک جیب سمت چپ باشد.</w:t>
      </w:r>
    </w:p>
    <w:p>
      <w:pPr>
        <w:spacing w:after="28" w:line="216" w:lineRule="auto"/>
        <w:ind w:left="259"/>
        <w:jc w:val="left"/>
      </w:pPr>
      <w:r>
        <w:rPr>
          <w:rFonts w:ascii="Arial" w:hAnsi="Arial"/>
          <w:color w:val="525252"/>
          <w:sz w:val="13"/>
        </w:rPr>
        <w:t>The shirt may have a left breast pocket.</w:t>
      </w:r>
    </w:p>
    <w:p>
      <w:pPr>
        <w:spacing w:after="20" w:line="223" w:lineRule="auto"/>
        <w:jc w:val="right"/>
        <w:bidi/>
      </w:pPr>
      <w:r>
        <w:rPr>
          <w:rFonts w:ascii="Arial" w:hAnsi="Arial"/>
          <w:sz w:val="16"/>
        </w:rPr>
        <w:t>503.11  پیراهن را می‌توان به صورت جمع شده یا بیرون پوشید.</w:t>
      </w:r>
    </w:p>
    <w:p>
      <w:pPr>
        <w:spacing w:after="28" w:line="216" w:lineRule="auto"/>
        <w:ind w:left="259"/>
        <w:jc w:val="left"/>
      </w:pPr>
      <w:r>
        <w:rPr>
          <w:rFonts w:ascii="Arial" w:hAnsi="Arial"/>
          <w:color w:val="525252"/>
          <w:sz w:val="13"/>
        </w:rPr>
        <w:t>The shirt can be worn tucked in or left out.</w:t>
      </w:r>
    </w:p>
    <w:p>
      <w:pPr>
        <w:spacing w:after="20" w:line="223" w:lineRule="auto"/>
        <w:jc w:val="right"/>
        <w:bidi/>
      </w:pPr>
      <w:r>
        <w:rPr>
          <w:rFonts w:ascii="Arial" w:hAnsi="Arial"/>
          <w:sz w:val="16"/>
        </w:rPr>
        <w:t>503.12  رتبه.</w:t>
      </w:r>
    </w:p>
    <w:p>
      <w:pPr>
        <w:spacing w:after="28" w:line="216" w:lineRule="auto"/>
        <w:ind w:left="259"/>
        <w:jc w:val="left"/>
      </w:pPr>
      <w:r>
        <w:rPr>
          <w:rFonts w:ascii="Arial" w:hAnsi="Arial"/>
          <w:color w:val="525252"/>
          <w:sz w:val="13"/>
        </w:rPr>
        <w:t>Rank.</w:t>
      </w:r>
    </w:p>
    <w:p>
      <w:pPr>
        <w:spacing w:after="20" w:line="223" w:lineRule="auto"/>
        <w:jc w:val="right"/>
        <w:bidi/>
      </w:pPr>
      <w:r>
        <w:rPr>
          <w:rFonts w:ascii="Arial" w:hAnsi="Arial"/>
          <w:sz w:val="16"/>
        </w:rPr>
        <w:t>503.13  نشان درجه فلزی مرکزی ۱/۲ اینچ بالای برچسب نام.</w:t>
      </w:r>
    </w:p>
    <w:p>
      <w:pPr>
        <w:spacing w:after="28" w:line="216" w:lineRule="auto"/>
        <w:ind w:left="259"/>
        <w:jc w:val="left"/>
      </w:pPr>
      <w:r>
        <w:rPr>
          <w:rFonts w:ascii="Arial" w:hAnsi="Arial"/>
          <w:color w:val="525252"/>
          <w:sz w:val="13"/>
        </w:rPr>
        <w:t>Center metal rank insignia 1/2-inch above the nametag.</w:t>
      </w:r>
    </w:p>
    <w:p>
      <w:pPr>
        <w:spacing w:after="20" w:line="223" w:lineRule="auto"/>
        <w:jc w:val="right"/>
        <w:bidi/>
      </w:pPr>
      <w:r>
        <w:rPr>
          <w:rFonts w:ascii="Arial" w:hAnsi="Arial"/>
          <w:sz w:val="16"/>
        </w:rPr>
        <w:t>503.14  نامتگ.</w:t>
      </w:r>
    </w:p>
    <w:p>
      <w:pPr>
        <w:spacing w:after="28" w:line="216" w:lineRule="auto"/>
        <w:ind w:left="259"/>
        <w:jc w:val="left"/>
      </w:pPr>
      <w:r>
        <w:rPr>
          <w:rFonts w:ascii="Arial" w:hAnsi="Arial"/>
          <w:color w:val="525252"/>
          <w:sz w:val="13"/>
        </w:rPr>
        <w:t>Nametag.</w:t>
      </w:r>
    </w:p>
    <w:p>
      <w:pPr>
        <w:spacing w:after="20" w:line="223" w:lineRule="auto"/>
        <w:jc w:val="right"/>
        <w:bidi/>
      </w:pPr>
      <w:r>
        <w:rPr>
          <w:rFonts w:ascii="Arial" w:hAnsi="Arial"/>
          <w:sz w:val="16"/>
        </w:rPr>
        <w:t>503.15  برچسب نام آبی وسط در سمت راست پیراهن با لبه پایین موازی با بالای جیب سینه سمت چپ یا در همان موقعیت نسبی در صورت عدم وجود جیب در مرکز قرار گیرد.</w:t>
      </w:r>
    </w:p>
    <w:p>
      <w:pPr>
        <w:spacing w:after="28" w:line="216" w:lineRule="auto"/>
        <w:ind w:left="259"/>
        <w:jc w:val="left"/>
      </w:pPr>
      <w:r>
        <w:rPr>
          <w:rFonts w:ascii="Arial" w:hAnsi="Arial"/>
          <w:color w:val="525252"/>
          <w:sz w:val="13"/>
        </w:rPr>
        <w:t>Center blue nametag be centered on the right side of the shirt with the bottom edge parallel to the top of the left breast pocket or in the same relative position if no pocket.</w:t>
      </w:r>
    </w:p>
    <w:p>
      <w:pPr>
        <w:spacing w:after="20" w:line="223" w:lineRule="auto"/>
        <w:jc w:val="right"/>
        <w:bidi/>
      </w:pPr>
      <w:r>
        <w:rPr>
          <w:rFonts w:ascii="Arial" w:hAnsi="Arial"/>
          <w:sz w:val="16"/>
        </w:rPr>
        <w:t>503.16  شناسه بیمارستان/سازمان.</w:t>
      </w:r>
    </w:p>
    <w:p>
      <w:pPr>
        <w:spacing w:after="28" w:line="216" w:lineRule="auto"/>
        <w:ind w:left="259"/>
        <w:jc w:val="left"/>
      </w:pPr>
      <w:r>
        <w:rPr>
          <w:rFonts w:ascii="Arial" w:hAnsi="Arial"/>
          <w:color w:val="525252"/>
          <w:sz w:val="13"/>
        </w:rPr>
        <w:t>Hospital/Organizational ID.</w:t>
      </w:r>
    </w:p>
    <w:p>
      <w:pPr>
        <w:spacing w:after="20" w:line="223" w:lineRule="auto"/>
        <w:jc w:val="right"/>
        <w:bidi/>
      </w:pPr>
      <w:r>
        <w:rPr>
          <w:rFonts w:ascii="Arial" w:hAnsi="Arial"/>
          <w:sz w:val="16"/>
        </w:rPr>
        <w:t>503.17  شناسه بیمارستان را در جیب بالا سمت چپ یا بر روی پیراهن نشان دهید.</w:t>
      </w:r>
    </w:p>
    <w:p>
      <w:pPr>
        <w:spacing w:after="28" w:line="216" w:lineRule="auto"/>
        <w:ind w:left="259"/>
        <w:jc w:val="left"/>
      </w:pPr>
      <w:r>
        <w:rPr>
          <w:rFonts w:ascii="Arial" w:hAnsi="Arial"/>
          <w:color w:val="525252"/>
          <w:sz w:val="13"/>
        </w:rPr>
        <w:t>Display the hospital ID on the upper left pocket or clipped to the shirt.</w:t>
      </w:r>
    </w:p>
    <w:p>
      <w:pPr>
        <w:spacing w:after="20" w:line="223" w:lineRule="auto"/>
        <w:jc w:val="right"/>
        <w:bidi/>
      </w:pPr>
      <w:r>
        <w:rPr>
          <w:rFonts w:ascii="Arial" w:hAnsi="Arial"/>
          <w:sz w:val="16"/>
        </w:rPr>
        <w:t>503.18  شلوار.</w:t>
      </w:r>
    </w:p>
    <w:p>
      <w:pPr>
        <w:spacing w:after="28" w:line="216" w:lineRule="auto"/>
        <w:ind w:left="259"/>
        <w:jc w:val="left"/>
      </w:pPr>
      <w:r>
        <w:rPr>
          <w:rFonts w:ascii="Arial" w:hAnsi="Arial"/>
          <w:color w:val="525252"/>
          <w:sz w:val="13"/>
        </w:rPr>
        <w:t>Pants.</w:t>
      </w:r>
    </w:p>
    <w:p>
      <w:pPr>
        <w:spacing w:after="20" w:line="223" w:lineRule="auto"/>
        <w:jc w:val="right"/>
        <w:bidi/>
      </w:pPr>
      <w:r>
        <w:rPr>
          <w:rFonts w:ascii="Arial" w:hAnsi="Arial"/>
          <w:sz w:val="16"/>
        </w:rPr>
        <w:t>503.19  فرمانده مرکز درمانی نظامی، شلوار اسکراب جراحی با رنگ ثابت و محافظه کارانه را که با رنگ پیراهن اسکراب جراحی مطابقت دارد، مجاز و تهیه می‌کند.</w:t>
      </w:r>
    </w:p>
    <w:p>
      <w:pPr>
        <w:spacing w:after="28" w:line="216" w:lineRule="auto"/>
        <w:ind w:left="259"/>
        <w:jc w:val="left"/>
      </w:pPr>
      <w:r>
        <w:rPr>
          <w:rFonts w:ascii="Arial" w:hAnsi="Arial"/>
          <w:color w:val="525252"/>
          <w:sz w:val="13"/>
        </w:rPr>
        <w:t>Military Treatment Facility Commander authorizes and procures solid conservative color surgical scrub pants that match the color of the surgical scrub shirt.</w:t>
      </w:r>
    </w:p>
    <w:p>
      <w:pPr>
        <w:spacing w:after="20" w:line="223" w:lineRule="auto"/>
        <w:jc w:val="right"/>
        <w:bidi/>
      </w:pPr>
      <w:r>
        <w:rPr>
          <w:rFonts w:ascii="Arial" w:hAnsi="Arial"/>
          <w:sz w:val="16"/>
        </w:rPr>
        <w:t>503.20  شلوار را در ترکیب با لباس‌های یکنواخت یا غیر نظامی نپوشید.</w:t>
      </w:r>
    </w:p>
    <w:p>
      <w:pPr>
        <w:spacing w:after="28" w:line="216" w:lineRule="auto"/>
        <w:ind w:left="259"/>
        <w:jc w:val="left"/>
      </w:pPr>
      <w:r>
        <w:rPr>
          <w:rFonts w:ascii="Arial" w:hAnsi="Arial"/>
          <w:color w:val="525252"/>
          <w:sz w:val="13"/>
        </w:rPr>
        <w:t>Do not wear the pants in combination with any uniform item or with civilian clothing.</w:t>
      </w:r>
    </w:p>
    <w:p>
      <w:pPr>
        <w:spacing w:after="20" w:line="223" w:lineRule="auto"/>
        <w:jc w:val="right"/>
        <w:bidi/>
      </w:pPr>
      <w:r>
        <w:rPr>
          <w:rFonts w:ascii="Arial" w:hAnsi="Arial"/>
          <w:sz w:val="16"/>
        </w:rPr>
        <w:t>503.21  شلوار ممکن است دارای بند کشی یا کمر کشی باشد.</w:t>
      </w:r>
    </w:p>
    <w:p>
      <w:pPr>
        <w:spacing w:after="28" w:line="216" w:lineRule="auto"/>
        <w:ind w:left="259"/>
        <w:jc w:val="left"/>
      </w:pPr>
      <w:r>
        <w:rPr>
          <w:rFonts w:ascii="Arial" w:hAnsi="Arial"/>
          <w:color w:val="525252"/>
          <w:sz w:val="13"/>
        </w:rPr>
        <w:t>The pants may have a drawstring or elastic waist.</w:t>
      </w:r>
    </w:p>
    <w:p>
      <w:pPr>
        <w:spacing w:after="20" w:line="223" w:lineRule="auto"/>
        <w:jc w:val="right"/>
        <w:bidi/>
      </w:pPr>
      <w:r>
        <w:rPr>
          <w:rFonts w:ascii="Arial" w:hAnsi="Arial"/>
          <w:sz w:val="16"/>
        </w:rPr>
        <w:t>503.22  زیرپوش.</w:t>
      </w:r>
    </w:p>
    <w:p>
      <w:pPr>
        <w:spacing w:after="28" w:line="216" w:lineRule="auto"/>
        <w:ind w:left="259"/>
        <w:jc w:val="left"/>
      </w:pPr>
      <w:r>
        <w:rPr>
          <w:rFonts w:ascii="Arial" w:hAnsi="Arial"/>
          <w:color w:val="525252"/>
          <w:sz w:val="13"/>
        </w:rPr>
        <w:t>Undergarments.</w:t>
      </w:r>
    </w:p>
    <w:p>
      <w:pPr>
        <w:spacing w:after="20" w:line="223" w:lineRule="auto"/>
        <w:jc w:val="right"/>
        <w:bidi/>
      </w:pPr>
      <w:r>
        <w:rPr>
          <w:rFonts w:ascii="Arial" w:hAnsi="Arial"/>
          <w:sz w:val="16"/>
        </w:rPr>
        <w:t>503.23  مردان باید شلوار زیر بپوشند. زنان باید سوتین و شلوار بپوشند.</w:t>
      </w:r>
    </w:p>
    <w:p>
      <w:pPr>
        <w:spacing w:after="28" w:line="216" w:lineRule="auto"/>
        <w:ind w:left="259"/>
        <w:jc w:val="left"/>
      </w:pPr>
      <w:r>
        <w:rPr>
          <w:rFonts w:ascii="Arial" w:hAnsi="Arial"/>
          <w:color w:val="525252"/>
          <w:sz w:val="13"/>
        </w:rPr>
        <w:t>Men must wear underpants; women must wear bra and underpants.</w:t>
      </w:r>
    </w:p>
    <w:p>
      <w:pPr>
        <w:spacing w:after="20" w:line="223" w:lineRule="auto"/>
        <w:jc w:val="right"/>
        <w:bidi/>
      </w:pPr>
      <w:r>
        <w:rPr>
          <w:rFonts w:ascii="Arial" w:hAnsi="Arial"/>
          <w:sz w:val="16"/>
        </w:rPr>
        <w:t>503.24  ممکن است به صورت تجاری تهیه شود.</w:t>
      </w:r>
    </w:p>
    <w:p>
      <w:pPr>
        <w:spacing w:after="28" w:line="216" w:lineRule="auto"/>
        <w:ind w:left="259"/>
        <w:jc w:val="left"/>
      </w:pPr>
      <w:r>
        <w:rPr>
          <w:rFonts w:ascii="Arial" w:hAnsi="Arial"/>
          <w:color w:val="525252"/>
          <w:sz w:val="13"/>
        </w:rPr>
        <w:t>May be commercially procured.</w:t>
      </w:r>
    </w:p>
    <w:p>
      <w:pPr>
        <w:spacing w:after="20" w:line="223" w:lineRule="auto"/>
        <w:jc w:val="right"/>
        <w:bidi/>
      </w:pPr>
      <w:r>
        <w:rPr>
          <w:rFonts w:ascii="Arial" w:hAnsi="Arial"/>
          <w:sz w:val="16"/>
        </w:rPr>
        <w:t>503.25  زیرپیراهن‌ها جمع می‌شوند و آستین‌ها از روی پیراهن اسکراب امتداد نمی‌یابند.</w:t>
      </w:r>
    </w:p>
    <w:p>
      <w:pPr>
        <w:spacing w:after="28" w:line="216" w:lineRule="auto"/>
        <w:ind w:left="259"/>
        <w:jc w:val="left"/>
      </w:pPr>
      <w:r>
        <w:rPr>
          <w:rFonts w:ascii="Arial" w:hAnsi="Arial"/>
          <w:color w:val="525252"/>
          <w:sz w:val="13"/>
        </w:rPr>
        <w:t>Undershirts will be tucked in, and sleeves will not extend past the scrub shirt.</w:t>
      </w:r>
    </w:p>
    <w:p>
      <w:pPr>
        <w:spacing w:after="20" w:line="223" w:lineRule="auto"/>
        <w:jc w:val="right"/>
        <w:bidi/>
      </w:pPr>
      <w:r>
        <w:rPr>
          <w:rFonts w:ascii="Arial" w:hAnsi="Arial"/>
          <w:sz w:val="16"/>
        </w:rPr>
        <w:t>503.26  کفش.</w:t>
      </w:r>
    </w:p>
    <w:p>
      <w:pPr>
        <w:spacing w:after="28" w:line="216" w:lineRule="auto"/>
        <w:ind w:left="259"/>
        <w:jc w:val="left"/>
      </w:pPr>
      <w:r>
        <w:rPr>
          <w:rFonts w:ascii="Arial" w:hAnsi="Arial"/>
          <w:color w:val="525252"/>
          <w:sz w:val="13"/>
        </w:rPr>
        <w:t>Footwear.</w:t>
      </w:r>
    </w:p>
    <w:p>
      <w:pPr>
        <w:spacing w:after="20" w:line="223" w:lineRule="auto"/>
        <w:jc w:val="right"/>
        <w:bidi/>
      </w:pPr>
      <w:r>
        <w:rPr>
          <w:rFonts w:ascii="Arial" w:hAnsi="Arial"/>
          <w:sz w:val="16"/>
        </w:rPr>
        <w:t>503.27  سفید یا سیاه.</w:t>
      </w:r>
    </w:p>
    <w:p>
      <w:pPr>
        <w:spacing w:after="28" w:line="216" w:lineRule="auto"/>
        <w:ind w:left="259"/>
        <w:jc w:val="left"/>
      </w:pPr>
      <w:r>
        <w:rPr>
          <w:rFonts w:ascii="Arial" w:hAnsi="Arial"/>
          <w:color w:val="525252"/>
          <w:sz w:val="13"/>
        </w:rPr>
        <w:t>White or Black.</w:t>
      </w:r>
    </w:p>
    <w:p>
      <w:pPr>
        <w:spacing w:after="20" w:line="223" w:lineRule="auto"/>
        <w:jc w:val="right"/>
        <w:bidi/>
      </w:pPr>
      <w:r>
        <w:rPr>
          <w:rFonts w:ascii="Arial" w:hAnsi="Arial"/>
          <w:sz w:val="16"/>
        </w:rPr>
        <w:t>503.28  جوراب باید همرنگ کفش باشد.</w:t>
      </w:r>
    </w:p>
    <w:p>
      <w:pPr>
        <w:spacing w:after="28" w:line="216" w:lineRule="auto"/>
        <w:ind w:left="259"/>
        <w:jc w:val="left"/>
      </w:pPr>
      <w:r>
        <w:rPr>
          <w:rFonts w:ascii="Arial" w:hAnsi="Arial"/>
          <w:color w:val="525252"/>
          <w:sz w:val="13"/>
        </w:rPr>
        <w:t>Socks must be same color as footwear.</w:t>
      </w:r>
    </w:p>
    <w:p>
      <w:pPr>
        <w:spacing w:after="20" w:line="223" w:lineRule="auto"/>
        <w:jc w:val="right"/>
        <w:bidi/>
      </w:pPr>
      <w:r>
        <w:rPr>
          <w:rFonts w:ascii="Arial" w:hAnsi="Arial"/>
          <w:sz w:val="16"/>
        </w:rPr>
        <w:t>503.29  لباس بیرونی.</w:t>
      </w:r>
    </w:p>
    <w:p>
      <w:pPr>
        <w:spacing w:after="28" w:line="216" w:lineRule="auto"/>
        <w:ind w:left="259"/>
        <w:jc w:val="left"/>
      </w:pPr>
      <w:r>
        <w:rPr>
          <w:rFonts w:ascii="Arial" w:hAnsi="Arial"/>
          <w:color w:val="525252"/>
          <w:sz w:val="13"/>
        </w:rPr>
        <w:t>Outer Garments.</w:t>
      </w:r>
    </w:p>
    <w:p>
      <w:pPr>
        <w:spacing w:after="20" w:line="223" w:lineRule="auto"/>
        <w:jc w:val="right"/>
        <w:bidi/>
      </w:pPr>
      <w:r>
        <w:rPr>
          <w:rFonts w:ascii="Arial" w:hAnsi="Arial"/>
          <w:sz w:val="16"/>
        </w:rPr>
        <w:t>503.30  هواپیمای ممکن است کت یا لباس آزمایشگاهی را که توسط فرمانده مرکز درمانی تعیین شده است بپوشد.</w:t>
      </w:r>
    </w:p>
    <w:p>
      <w:pPr>
        <w:spacing w:after="28" w:line="216" w:lineRule="auto"/>
        <w:ind w:left="259"/>
        <w:jc w:val="left"/>
      </w:pPr>
      <w:r>
        <w:rPr>
          <w:rFonts w:ascii="Arial" w:hAnsi="Arial"/>
          <w:color w:val="525252"/>
          <w:sz w:val="13"/>
        </w:rPr>
        <w:t>Airman may wear a lab coat or smock as designated by the Medical Treatment Facility Commander.</w:t>
      </w:r>
    </w:p>
    <w:p>
      <w:pPr>
        <w:spacing w:after="20" w:line="223" w:lineRule="auto"/>
        <w:jc w:val="right"/>
        <w:bidi/>
      </w:pPr>
      <w:r>
        <w:rPr>
          <w:rFonts w:ascii="Arial" w:hAnsi="Arial"/>
          <w:sz w:val="16"/>
        </w:rPr>
        <w:t>503.31  ۲۳.۲۳. پیکربندی لباس خدمات مسابقه سوارکاری. مسابقات سوارکاری بپوشید</w:t>
      </w:r>
    </w:p>
    <w:p>
      <w:pPr>
        <w:spacing w:after="28" w:line="216" w:lineRule="auto"/>
        <w:ind w:left="259"/>
        <w:jc w:val="left"/>
      </w:pPr>
      <w:r>
        <w:rPr>
          <w:rFonts w:ascii="Arial" w:hAnsi="Arial"/>
          <w:color w:val="525252"/>
          <w:sz w:val="13"/>
        </w:rPr>
        <w:t>23.23. Equestrian Competition Service Dress Configuration. Wear the Equestrian Competition</w:t>
      </w:r>
    </w:p>
    <w:p>
      <w:pPr>
        <w:spacing w:after="20" w:line="223" w:lineRule="auto"/>
        <w:jc w:val="right"/>
        <w:bidi/>
      </w:pPr>
      <w:r>
        <w:rPr>
          <w:rFonts w:ascii="Arial" w:hAnsi="Arial"/>
          <w:sz w:val="16"/>
        </w:rPr>
        <w:t>503.32  پیکربندی لباس سرویس در طول مسابقات برای شامل درساژ و پرش.</w:t>
      </w:r>
    </w:p>
    <w:p>
      <w:pPr>
        <w:spacing w:after="28" w:line="216" w:lineRule="auto"/>
        <w:ind w:left="259"/>
        <w:jc w:val="left"/>
      </w:pPr>
      <w:r>
        <w:rPr>
          <w:rFonts w:ascii="Arial" w:hAnsi="Arial"/>
          <w:color w:val="525252"/>
          <w:sz w:val="13"/>
        </w:rPr>
        <w:t>Service Dress configuration during competitions to include Dressage and Jump.</w:t>
      </w:r>
    </w:p>
    <w:p>
      <w:pPr>
        <w:spacing w:after="20" w:line="223" w:lineRule="auto"/>
        <w:jc w:val="right"/>
        <w:bidi/>
      </w:pPr>
      <w:r>
        <w:rPr>
          <w:rFonts w:ascii="Arial" w:hAnsi="Arial"/>
          <w:sz w:val="16"/>
        </w:rPr>
        <w:t>503.33  یونیفرم فقط برای مسابقات رسمی مجاز است که در آن سازمان حاکم به‌طور خاص مجاز به پوشیدن یونیفرم نظامی است، مانند مواردی که در فدراسیون سوارکاری ایالات متحده حمایت مالی می‌شود.</w:t>
      </w:r>
    </w:p>
    <w:p>
      <w:pPr>
        <w:spacing w:after="28" w:line="216" w:lineRule="auto"/>
        <w:ind w:left="259"/>
        <w:jc w:val="left"/>
      </w:pPr>
      <w:r>
        <w:rPr>
          <w:rFonts w:ascii="Arial" w:hAnsi="Arial"/>
          <w:color w:val="525252"/>
          <w:sz w:val="13"/>
        </w:rPr>
        <w:t>The uniform is only authorized for formal competitions where the governing organization specifically authorizes military uniform wear, such as those sponsored within the governance of the United States Equestrian Federation.</w:t>
      </w:r>
    </w:p>
    <w:p>
      <w:pPr>
        <w:spacing w:after="20" w:line="223" w:lineRule="auto"/>
        <w:jc w:val="right"/>
        <w:bidi/>
      </w:pPr>
      <w:r>
        <w:rPr>
          <w:rFonts w:ascii="Arial" w:hAnsi="Arial"/>
          <w:sz w:val="16"/>
        </w:rPr>
        <w:t>503.34  مانتو.</w:t>
      </w:r>
    </w:p>
    <w:p>
      <w:pPr>
        <w:spacing w:after="28" w:line="216" w:lineRule="auto"/>
        <w:ind w:left="259"/>
        <w:jc w:val="left"/>
      </w:pPr>
      <w:r>
        <w:rPr>
          <w:rFonts w:ascii="Arial" w:hAnsi="Arial"/>
          <w:color w:val="525252"/>
          <w:sz w:val="13"/>
        </w:rPr>
        <w:t>Coat.</w:t>
      </w:r>
    </w:p>
    <w:p>
      <w:pPr>
        <w:spacing w:after="20" w:line="223" w:lineRule="auto"/>
        <w:jc w:val="right"/>
        <w:bidi/>
      </w:pPr>
      <w:r>
        <w:rPr>
          <w:rFonts w:ascii="Arial" w:hAnsi="Arial"/>
          <w:sz w:val="16"/>
        </w:rPr>
        <w:t>503.35  کت لباس سرویس در پیکربندی کامل همانطور که در DAFI ۳۶-۲۹۰۳، فصل ۴ آمده است، بدون هیچ تغییری استفاده می‌شود.</w:t>
      </w:r>
    </w:p>
    <w:p>
      <w:pPr>
        <w:spacing w:after="28" w:line="216" w:lineRule="auto"/>
        <w:ind w:left="259"/>
        <w:jc w:val="left"/>
      </w:pPr>
      <w:r>
        <w:rPr>
          <w:rFonts w:ascii="Arial" w:hAnsi="Arial"/>
          <w:color w:val="525252"/>
          <w:sz w:val="13"/>
        </w:rPr>
        <w:t>The Service Dress coat is used in full configuration as outlined in DAFI 36-2903, Chapter 4, with no changes.</w:t>
      </w:r>
    </w:p>
    <w:p>
      <w:pPr>
        <w:spacing w:after="20" w:line="223" w:lineRule="auto"/>
        <w:jc w:val="right"/>
        <w:bidi/>
      </w:pPr>
      <w:r>
        <w:rPr>
          <w:rFonts w:ascii="Arial" w:hAnsi="Arial"/>
          <w:sz w:val="16"/>
        </w:rPr>
        <w:t>503.36  برای ساییدگی و توضیحات به DAFI ۳۶-۲۹۰۳، پاراگراف‌های ۴.۵.۱.۱ تا ۴.۵.۲ مراجعه کنید.</w:t>
      </w:r>
    </w:p>
    <w:p>
      <w:pPr>
        <w:spacing w:after="28" w:line="216" w:lineRule="auto"/>
        <w:ind w:left="259"/>
        <w:jc w:val="left"/>
      </w:pPr>
      <w:r>
        <w:rPr>
          <w:rFonts w:ascii="Arial" w:hAnsi="Arial"/>
          <w:color w:val="525252"/>
          <w:sz w:val="13"/>
        </w:rPr>
        <w:t>For wear and description see DAFI 36-2903, paragraphs 4.5.1.1 through 4.5.2.</w:t>
      </w:r>
    </w:p>
    <w:p>
      <w:pPr>
        <w:spacing w:after="20" w:line="223" w:lineRule="auto"/>
        <w:jc w:val="right"/>
        <w:bidi/>
      </w:pPr>
      <w:r>
        <w:rPr>
          <w:rFonts w:ascii="Arial" w:hAnsi="Arial"/>
          <w:sz w:val="16"/>
        </w:rPr>
        <w:t>503.37  تمامی لوازم و مدال‌ها باید مانند نو و تمیز باشند.</w:t>
      </w:r>
    </w:p>
    <w:p>
      <w:pPr>
        <w:spacing w:after="28" w:line="216" w:lineRule="auto"/>
        <w:ind w:left="259"/>
        <w:jc w:val="left"/>
      </w:pPr>
      <w:r>
        <w:rPr>
          <w:rFonts w:ascii="Arial" w:hAnsi="Arial"/>
          <w:color w:val="525252"/>
          <w:sz w:val="13"/>
        </w:rPr>
        <w:t>All accessories and medals should be like-new and clean.</w:t>
      </w:r>
    </w:p>
    <w:p>
      <w:pPr>
        <w:spacing w:after="20" w:line="223" w:lineRule="auto"/>
        <w:jc w:val="right"/>
        <w:bidi/>
      </w:pPr>
      <w:r>
        <w:rPr>
          <w:rFonts w:ascii="Arial" w:hAnsi="Arial"/>
          <w:sz w:val="16"/>
        </w:rPr>
        <w:t>503.38  هر گونه جایزه ارائه شده (مدال یا روبان از هر نوع) ممکن است در طول مدت مراسم جایزه و در طول زمان مسابقه پوشیده شود.</w:t>
      </w:r>
    </w:p>
    <w:p>
      <w:pPr>
        <w:spacing w:after="28" w:line="216" w:lineRule="auto"/>
        <w:ind w:left="259"/>
        <w:jc w:val="left"/>
      </w:pPr>
      <w:r>
        <w:rPr>
          <w:rFonts w:ascii="Arial" w:hAnsi="Arial"/>
          <w:color w:val="525252"/>
          <w:sz w:val="13"/>
        </w:rPr>
        <w:t>Any awards presented (medals or ribbons of any kind) may be worn for the duration of the award ceremony and during the time of the competition.</w:t>
      </w:r>
    </w:p>
    <w:p>
      <w:pPr>
        <w:spacing w:after="20" w:line="223" w:lineRule="auto"/>
        <w:jc w:val="right"/>
        <w:bidi/>
      </w:pPr>
      <w:r>
        <w:rPr>
          <w:rFonts w:ascii="Arial" w:hAnsi="Arial"/>
          <w:sz w:val="16"/>
        </w:rPr>
        <w:t>503.39  شلوار.</w:t>
      </w:r>
    </w:p>
    <w:p>
      <w:pPr>
        <w:spacing w:after="28" w:line="216" w:lineRule="auto"/>
        <w:ind w:left="259"/>
        <w:jc w:val="left"/>
      </w:pPr>
      <w:r>
        <w:rPr>
          <w:rFonts w:ascii="Arial" w:hAnsi="Arial"/>
          <w:color w:val="525252"/>
          <w:sz w:val="13"/>
        </w:rPr>
        <w:t>Pants.</w:t>
      </w:r>
    </w:p>
    <w:p>
      <w:pPr>
        <w:spacing w:after="20" w:line="223" w:lineRule="auto"/>
        <w:jc w:val="right"/>
        <w:bidi/>
      </w:pPr>
      <w:r>
        <w:rPr>
          <w:rFonts w:ascii="Arial" w:hAnsi="Arial"/>
          <w:sz w:val="16"/>
        </w:rPr>
        <w:t>503.40  شلوار سواری سفید بدون طرح و تزئین بپوشید.</w:t>
      </w:r>
    </w:p>
    <w:p>
      <w:pPr>
        <w:spacing w:after="28" w:line="216" w:lineRule="auto"/>
        <w:ind w:left="259"/>
        <w:jc w:val="left"/>
      </w:pPr>
      <w:r>
        <w:rPr>
          <w:rFonts w:ascii="Arial" w:hAnsi="Arial"/>
          <w:color w:val="525252"/>
          <w:sz w:val="13"/>
        </w:rPr>
        <w:t>Wear white riding breeches without design or ornamentation.</w:t>
      </w:r>
    </w:p>
    <w:p>
      <w:pPr>
        <w:spacing w:after="20" w:line="223" w:lineRule="auto"/>
        <w:jc w:val="right"/>
        <w:bidi/>
      </w:pPr>
      <w:r>
        <w:rPr>
          <w:rFonts w:ascii="Arial" w:hAnsi="Arial"/>
          <w:sz w:val="16"/>
        </w:rPr>
        <w:t>503.41  جودپورها با پیکربندی یکنواخت مجاز نیستند.</w:t>
      </w:r>
    </w:p>
    <w:p>
      <w:pPr>
        <w:spacing w:after="28" w:line="216" w:lineRule="auto"/>
        <w:ind w:left="259"/>
        <w:jc w:val="left"/>
      </w:pPr>
      <w:r>
        <w:rPr>
          <w:rFonts w:ascii="Arial" w:hAnsi="Arial"/>
          <w:color w:val="525252"/>
          <w:sz w:val="13"/>
        </w:rPr>
        <w:t>Jodhpurs are not authorized with uniform configuration.</w:t>
      </w:r>
    </w:p>
    <w:p>
      <w:pPr>
        <w:spacing w:after="20" w:line="223" w:lineRule="auto"/>
        <w:jc w:val="right"/>
        <w:bidi/>
      </w:pPr>
      <w:r>
        <w:rPr>
          <w:rFonts w:ascii="Arial" w:hAnsi="Arial"/>
          <w:sz w:val="16"/>
        </w:rPr>
        <w:t>503.42  کمربند.</w:t>
      </w:r>
    </w:p>
    <w:p>
      <w:pPr>
        <w:spacing w:after="28" w:line="216" w:lineRule="auto"/>
        <w:ind w:left="259"/>
        <w:jc w:val="left"/>
      </w:pPr>
      <w:r>
        <w:rPr>
          <w:rFonts w:ascii="Arial" w:hAnsi="Arial"/>
          <w:color w:val="525252"/>
          <w:sz w:val="13"/>
        </w:rPr>
        <w:t>Belt.</w:t>
      </w:r>
    </w:p>
    <w:p>
      <w:pPr>
        <w:spacing w:after="20" w:line="223" w:lineRule="auto"/>
        <w:jc w:val="right"/>
        <w:bidi/>
      </w:pPr>
      <w:r>
        <w:rPr>
          <w:rFonts w:ascii="Arial" w:hAnsi="Arial"/>
          <w:sz w:val="16"/>
        </w:rPr>
        <w:t>503.43  کمربند نباید زیر سرویس لباس ظاهر شود.</w:t>
      </w:r>
    </w:p>
    <w:p>
      <w:pPr>
        <w:spacing w:after="28" w:line="216" w:lineRule="auto"/>
        <w:ind w:left="259"/>
        <w:jc w:val="left"/>
      </w:pPr>
      <w:r>
        <w:rPr>
          <w:rFonts w:ascii="Arial" w:hAnsi="Arial"/>
          <w:color w:val="525252"/>
          <w:sz w:val="13"/>
        </w:rPr>
        <w:t>The belt must not show under Service Dress.</w:t>
      </w:r>
    </w:p>
    <w:p>
      <w:pPr>
        <w:spacing w:after="20" w:line="223" w:lineRule="auto"/>
        <w:jc w:val="right"/>
        <w:bidi/>
      </w:pPr>
      <w:r>
        <w:rPr>
          <w:rFonts w:ascii="Arial" w:hAnsi="Arial"/>
          <w:sz w:val="16"/>
        </w:rPr>
        <w:t>503.44  کفش.</w:t>
      </w:r>
    </w:p>
    <w:p>
      <w:pPr>
        <w:spacing w:after="28" w:line="216" w:lineRule="auto"/>
        <w:ind w:left="259"/>
        <w:jc w:val="left"/>
      </w:pPr>
      <w:r>
        <w:rPr>
          <w:rFonts w:ascii="Arial" w:hAnsi="Arial"/>
          <w:color w:val="525252"/>
          <w:sz w:val="13"/>
        </w:rPr>
        <w:t>Footwear.</w:t>
      </w:r>
    </w:p>
    <w:p>
      <w:pPr>
        <w:spacing w:after="20" w:line="223" w:lineRule="auto"/>
        <w:jc w:val="right"/>
        <w:bidi/>
      </w:pPr>
      <w:r>
        <w:rPr>
          <w:rFonts w:ascii="Arial" w:hAnsi="Arial"/>
          <w:sz w:val="16"/>
        </w:rPr>
        <w:t>503.45  چکمه‌ها بلند هستند، روی ساق پا چکمه‌های چرمی مشکی با کمترین دوخت قابل مشاهده و بدون تزئینات فلزی یا تزئینی هستند.</w:t>
      </w:r>
    </w:p>
    <w:p>
      <w:pPr>
        <w:spacing w:after="28" w:line="216" w:lineRule="auto"/>
        <w:ind w:left="259"/>
        <w:jc w:val="left"/>
      </w:pPr>
      <w:r>
        <w:rPr>
          <w:rFonts w:ascii="Arial" w:hAnsi="Arial"/>
          <w:color w:val="525252"/>
          <w:sz w:val="13"/>
        </w:rPr>
        <w:t>Boots are tall, over the calf riding black leather boots with minimal visible stitching and no metal or decorative ornamentation.</w:t>
      </w:r>
    </w:p>
    <w:p>
      <w:pPr>
        <w:spacing w:after="20" w:line="223" w:lineRule="auto"/>
        <w:jc w:val="right"/>
        <w:bidi/>
      </w:pPr>
      <w:r>
        <w:rPr>
          <w:rFonts w:ascii="Arial" w:hAnsi="Arial"/>
          <w:sz w:val="16"/>
        </w:rPr>
        <w:t>503.46  پاشنه کم، از ۲ اینچ بیشتر نباشد.</w:t>
      </w:r>
    </w:p>
    <w:p>
      <w:pPr>
        <w:spacing w:after="28" w:line="216" w:lineRule="auto"/>
        <w:ind w:left="259"/>
        <w:jc w:val="left"/>
      </w:pPr>
      <w:r>
        <w:rPr>
          <w:rFonts w:ascii="Arial" w:hAnsi="Arial"/>
          <w:color w:val="525252"/>
          <w:sz w:val="13"/>
        </w:rPr>
        <w:t>Low heel, not to exceed 2-inches.</w:t>
      </w:r>
    </w:p>
    <w:p>
      <w:pPr>
        <w:spacing w:after="20" w:line="223" w:lineRule="auto"/>
        <w:jc w:val="right"/>
        <w:bidi/>
      </w:pPr>
      <w:r>
        <w:rPr>
          <w:rFonts w:ascii="Arial" w:hAnsi="Arial"/>
          <w:sz w:val="16"/>
        </w:rPr>
        <w:t>503.47  خارها باید نقره‌ای و غیر زینتی باشند.</w:t>
      </w:r>
    </w:p>
    <w:p>
      <w:pPr>
        <w:spacing w:after="28" w:line="216" w:lineRule="auto"/>
        <w:ind w:left="259"/>
        <w:jc w:val="left"/>
      </w:pPr>
      <w:r>
        <w:rPr>
          <w:rFonts w:ascii="Arial" w:hAnsi="Arial"/>
          <w:color w:val="525252"/>
          <w:sz w:val="13"/>
        </w:rPr>
        <w:t>Spurs should be silver and non-ornamental.</w:t>
      </w:r>
    </w:p>
    <w:p>
      <w:pPr>
        <w:spacing w:after="20" w:line="223" w:lineRule="auto"/>
        <w:jc w:val="right"/>
        <w:bidi/>
      </w:pPr>
      <w:r>
        <w:rPr>
          <w:rFonts w:ascii="Arial" w:hAnsi="Arial"/>
          <w:sz w:val="16"/>
        </w:rPr>
        <w:t>503.48  سرپوش.</w:t>
      </w:r>
    </w:p>
    <w:p>
      <w:pPr>
        <w:spacing w:after="28" w:line="216" w:lineRule="auto"/>
        <w:ind w:left="259"/>
        <w:jc w:val="left"/>
      </w:pPr>
      <w:r>
        <w:rPr>
          <w:rFonts w:ascii="Arial" w:hAnsi="Arial"/>
          <w:color w:val="525252"/>
          <w:sz w:val="13"/>
        </w:rPr>
        <w:t>Headgear.</w:t>
      </w:r>
    </w:p>
    <w:p>
      <w:pPr>
        <w:spacing w:after="20" w:line="223" w:lineRule="auto"/>
        <w:jc w:val="right"/>
        <w:bidi/>
      </w:pPr>
      <w:r>
        <w:rPr>
          <w:rFonts w:ascii="Arial" w:hAnsi="Arial"/>
          <w:sz w:val="16"/>
        </w:rPr>
        <w:t>503.49  هنگام مسابقه از کلاه ایمنی ساده مشکی یا آبی تیره استفاده کنید.</w:t>
      </w:r>
    </w:p>
    <w:p>
      <w:pPr>
        <w:spacing w:after="28" w:line="216" w:lineRule="auto"/>
        <w:ind w:left="259"/>
        <w:jc w:val="left"/>
      </w:pPr>
      <w:r>
        <w:rPr>
          <w:rFonts w:ascii="Arial" w:hAnsi="Arial"/>
          <w:color w:val="525252"/>
          <w:sz w:val="13"/>
        </w:rPr>
        <w:t>Wear a plain black or dark blue safety helmet while competing.</w:t>
      </w:r>
    </w:p>
    <w:p>
      <w:r>
        <w:br w:type="page"/>
      </w:r>
    </w:p>
    <w:p>
      <w:pPr>
        <w:spacing w:after="60"/>
        <w:jc w:val="right"/>
        <w:bidi/>
      </w:pPr>
      <w:r>
        <w:rPr>
          <w:rFonts w:ascii="Arial" w:hAnsi="Arial"/>
          <w:b/>
          <w:color w:val="1F4D78"/>
          <w:sz w:val="19"/>
        </w:rPr>
        <w:t>هفتهٔ 504  |  صفحهٔ منبع: 520</w:t>
      </w:r>
    </w:p>
    <w:p>
      <w:pPr>
        <w:spacing w:after="20" w:line="223" w:lineRule="auto"/>
        <w:jc w:val="right"/>
        <w:bidi/>
      </w:pPr>
      <w:r>
        <w:rPr>
          <w:rFonts w:ascii="Arial" w:hAnsi="Arial"/>
          <w:sz w:val="16"/>
        </w:rPr>
        <w:t>504.01  دستکش.</w:t>
      </w:r>
    </w:p>
    <w:p>
      <w:pPr>
        <w:spacing w:after="28" w:line="216" w:lineRule="auto"/>
        <w:ind w:left="259"/>
        <w:jc w:val="left"/>
      </w:pPr>
      <w:r>
        <w:rPr>
          <w:rFonts w:ascii="Arial" w:hAnsi="Arial"/>
          <w:color w:val="525252"/>
          <w:sz w:val="13"/>
        </w:rPr>
        <w:t>Gloves.</w:t>
      </w:r>
    </w:p>
    <w:p>
      <w:pPr>
        <w:spacing w:after="20" w:line="223" w:lineRule="auto"/>
        <w:jc w:val="right"/>
        <w:bidi/>
      </w:pPr>
      <w:r>
        <w:rPr>
          <w:rFonts w:ascii="Arial" w:hAnsi="Arial"/>
          <w:sz w:val="16"/>
        </w:rPr>
        <w:t>504.02  دستکش مشکی یا آبی تیره، تک رنگ ساخته شده از هر ماده‌ای مجاز است.</w:t>
      </w:r>
    </w:p>
    <w:p>
      <w:pPr>
        <w:spacing w:after="28" w:line="216" w:lineRule="auto"/>
        <w:ind w:left="259"/>
        <w:jc w:val="left"/>
      </w:pPr>
      <w:r>
        <w:rPr>
          <w:rFonts w:ascii="Arial" w:hAnsi="Arial"/>
          <w:color w:val="525252"/>
          <w:sz w:val="13"/>
        </w:rPr>
        <w:t>Black or dark blue, solid color gloves made of any material are authorized.</w:t>
      </w:r>
    </w:p>
    <w:p>
      <w:pPr>
        <w:spacing w:after="20" w:line="223" w:lineRule="auto"/>
        <w:jc w:val="right"/>
        <w:bidi/>
      </w:pPr>
      <w:r>
        <w:rPr>
          <w:rFonts w:ascii="Arial" w:hAnsi="Arial"/>
          <w:sz w:val="16"/>
        </w:rPr>
        <w:t>504.03  ۲۳.۲۴. یونیفرم‌های متفرقه</w:t>
      </w:r>
    </w:p>
    <w:p>
      <w:pPr>
        <w:spacing w:after="28" w:line="216" w:lineRule="auto"/>
        <w:ind w:left="259"/>
        <w:jc w:val="left"/>
      </w:pPr>
      <w:r>
        <w:rPr>
          <w:rFonts w:ascii="Arial" w:hAnsi="Arial"/>
          <w:color w:val="525252"/>
          <w:sz w:val="13"/>
        </w:rPr>
        <w:t>23.24. Miscellaneous Uniforms.</w:t>
      </w:r>
    </w:p>
    <w:p>
      <w:pPr>
        <w:spacing w:after="20" w:line="223" w:lineRule="auto"/>
        <w:jc w:val="right"/>
        <w:bidi/>
      </w:pPr>
      <w:r>
        <w:rPr>
          <w:rFonts w:ascii="Arial" w:hAnsi="Arial"/>
          <w:sz w:val="16"/>
        </w:rPr>
        <w:t>504.04  کلاه کمپین.</w:t>
      </w:r>
    </w:p>
    <w:p>
      <w:pPr>
        <w:spacing w:after="28" w:line="216" w:lineRule="auto"/>
        <w:ind w:left="259"/>
        <w:jc w:val="left"/>
      </w:pPr>
      <w:r>
        <w:rPr>
          <w:rFonts w:ascii="Arial" w:hAnsi="Arial"/>
          <w:color w:val="525252"/>
          <w:sz w:val="13"/>
        </w:rPr>
        <w:t>Campaign Hats.</w:t>
      </w:r>
    </w:p>
    <w:p>
      <w:pPr>
        <w:spacing w:after="20" w:line="223" w:lineRule="auto"/>
        <w:jc w:val="right"/>
        <w:bidi/>
      </w:pPr>
      <w:r>
        <w:rPr>
          <w:rFonts w:ascii="Arial" w:hAnsi="Arial"/>
          <w:sz w:val="16"/>
        </w:rPr>
        <w:t>504.05  واحدهای عملیات ویژه.</w:t>
      </w:r>
    </w:p>
    <w:p>
      <w:pPr>
        <w:spacing w:after="28" w:line="216" w:lineRule="auto"/>
        <w:ind w:left="259"/>
        <w:jc w:val="left"/>
      </w:pPr>
      <w:r>
        <w:rPr>
          <w:rFonts w:ascii="Arial" w:hAnsi="Arial"/>
          <w:color w:val="525252"/>
          <w:sz w:val="13"/>
        </w:rPr>
        <w:t>Special Operations Units.</w:t>
      </w:r>
    </w:p>
    <w:p>
      <w:pPr>
        <w:spacing w:after="20" w:line="223" w:lineRule="auto"/>
        <w:jc w:val="right"/>
        <w:bidi/>
      </w:pPr>
      <w:r>
        <w:rPr>
          <w:rFonts w:ascii="Arial" w:hAnsi="Arial"/>
          <w:sz w:val="16"/>
        </w:rPr>
        <w:t>504.06  کلاه کمپین (کماندوی هوایی) با یک لبه چرخانده شده، فقط هنگام حضور در رویدادهای میراث با زمان و مکان مشخص شده توسط فرمانده قابل استفاده است.</w:t>
      </w:r>
    </w:p>
    <w:p>
      <w:pPr>
        <w:spacing w:after="28" w:line="216" w:lineRule="auto"/>
        <w:ind w:left="259"/>
        <w:jc w:val="left"/>
      </w:pPr>
      <w:r>
        <w:rPr>
          <w:rFonts w:ascii="Arial" w:hAnsi="Arial"/>
          <w:color w:val="525252"/>
          <w:sz w:val="13"/>
        </w:rPr>
        <w:t>Campaign (Air Commando) hat, with one edge rolled, may only be worn while at heritage events with a specified time and place designated by the commander.</w:t>
      </w:r>
    </w:p>
    <w:p>
      <w:pPr>
        <w:spacing w:after="20" w:line="223" w:lineRule="auto"/>
        <w:jc w:val="right"/>
        <w:bidi/>
      </w:pPr>
      <w:r>
        <w:rPr>
          <w:rFonts w:ascii="Arial" w:hAnsi="Arial"/>
          <w:sz w:val="16"/>
        </w:rPr>
        <w:t>504.07  کلاه ایر کومماندو را می‌توان با OCP، FDU و ۲PFDU پوشید.</w:t>
      </w:r>
    </w:p>
    <w:p>
      <w:pPr>
        <w:spacing w:after="28" w:line="216" w:lineRule="auto"/>
        <w:ind w:left="259"/>
        <w:jc w:val="left"/>
      </w:pPr>
      <w:r>
        <w:rPr>
          <w:rFonts w:ascii="Arial" w:hAnsi="Arial"/>
          <w:color w:val="525252"/>
          <w:sz w:val="13"/>
        </w:rPr>
        <w:t>The Air Commando hat may be worn with the OCP, FDU and 2PFDU.</w:t>
      </w:r>
    </w:p>
    <w:p>
      <w:pPr>
        <w:spacing w:after="20" w:line="223" w:lineRule="auto"/>
        <w:jc w:val="right"/>
        <w:bidi/>
      </w:pPr>
      <w:r>
        <w:rPr>
          <w:rFonts w:ascii="Arial" w:hAnsi="Arial"/>
          <w:sz w:val="16"/>
        </w:rPr>
        <w:t>504.08  مربی آموزش پایه نظامی.</w:t>
      </w:r>
    </w:p>
    <w:p>
      <w:pPr>
        <w:spacing w:after="28" w:line="216" w:lineRule="auto"/>
        <w:ind w:left="259"/>
        <w:jc w:val="left"/>
      </w:pPr>
      <w:r>
        <w:rPr>
          <w:rFonts w:ascii="Arial" w:hAnsi="Arial"/>
          <w:color w:val="525252"/>
          <w:sz w:val="13"/>
        </w:rPr>
        <w:t>Basic Military Training Instructor.</w:t>
      </w:r>
    </w:p>
    <w:p>
      <w:pPr>
        <w:spacing w:after="20" w:line="223" w:lineRule="auto"/>
        <w:jc w:val="right"/>
        <w:bidi/>
      </w:pPr>
      <w:r>
        <w:rPr>
          <w:rFonts w:ascii="Arial" w:hAnsi="Arial"/>
          <w:sz w:val="16"/>
        </w:rPr>
        <w:t>504.09  کلاه تبلیغاتی (بوش) با لباس سرویس (کلاس ا)، یونیفرم خدمات (کلاس ب) و OCP.</w:t>
      </w:r>
    </w:p>
    <w:p>
      <w:pPr>
        <w:spacing w:after="28" w:line="216" w:lineRule="auto"/>
        <w:ind w:left="259"/>
        <w:jc w:val="left"/>
      </w:pPr>
      <w:r>
        <w:rPr>
          <w:rFonts w:ascii="Arial" w:hAnsi="Arial"/>
          <w:color w:val="525252"/>
          <w:sz w:val="13"/>
        </w:rPr>
        <w:t>Campaign (bush) hat worn with service dress (Class A), service uniform (Class B), and OCP.</w:t>
      </w:r>
    </w:p>
    <w:p>
      <w:pPr>
        <w:spacing w:after="20" w:line="223" w:lineRule="auto"/>
        <w:jc w:val="right"/>
        <w:bidi/>
      </w:pPr>
      <w:r>
        <w:rPr>
          <w:rFonts w:ascii="Arial" w:hAnsi="Arial"/>
          <w:sz w:val="16"/>
        </w:rPr>
        <w:t>504.10  مدرسان مرکز زبان انگلیسی موسسه زبان دفاعی.</w:t>
      </w:r>
    </w:p>
    <w:p>
      <w:pPr>
        <w:spacing w:after="28" w:line="216" w:lineRule="auto"/>
        <w:ind w:left="259"/>
        <w:jc w:val="left"/>
      </w:pPr>
      <w:r>
        <w:rPr>
          <w:rFonts w:ascii="Arial" w:hAnsi="Arial"/>
          <w:color w:val="525252"/>
          <w:sz w:val="13"/>
        </w:rPr>
        <w:t>Defense Language Institute English Language Center Instructors.</w:t>
      </w:r>
    </w:p>
    <w:p>
      <w:pPr>
        <w:spacing w:after="20" w:line="223" w:lineRule="auto"/>
        <w:jc w:val="right"/>
        <w:bidi/>
      </w:pPr>
      <w:r>
        <w:rPr>
          <w:rFonts w:ascii="Arial" w:hAnsi="Arial"/>
          <w:sz w:val="16"/>
        </w:rPr>
        <w:t>504.11  کلاه کمپین مارون.</w:t>
      </w:r>
    </w:p>
    <w:p>
      <w:pPr>
        <w:spacing w:after="28" w:line="216" w:lineRule="auto"/>
        <w:ind w:left="259"/>
        <w:jc w:val="left"/>
      </w:pPr>
      <w:r>
        <w:rPr>
          <w:rFonts w:ascii="Arial" w:hAnsi="Arial"/>
          <w:color w:val="525252"/>
          <w:sz w:val="13"/>
        </w:rPr>
        <w:t>Maroon campaign hat.</w:t>
      </w:r>
    </w:p>
    <w:p>
      <w:pPr>
        <w:spacing w:after="20" w:line="223" w:lineRule="auto"/>
        <w:jc w:val="right"/>
        <w:bidi/>
      </w:pPr>
      <w:r>
        <w:rPr>
          <w:rFonts w:ascii="Arial" w:hAnsi="Arial"/>
          <w:sz w:val="16"/>
        </w:rPr>
        <w:t>504.12  کلاه .</w:t>
      </w:r>
    </w:p>
    <w:p>
      <w:pPr>
        <w:spacing w:after="28" w:line="216" w:lineRule="auto"/>
        <w:ind w:left="259"/>
        <w:jc w:val="left"/>
      </w:pPr>
      <w:r>
        <w:rPr>
          <w:rFonts w:ascii="Arial" w:hAnsi="Arial"/>
          <w:color w:val="525252"/>
          <w:sz w:val="13"/>
        </w:rPr>
        <w:t>Berets.</w:t>
      </w:r>
    </w:p>
    <w:p>
      <w:pPr>
        <w:spacing w:after="20" w:line="223" w:lineRule="auto"/>
        <w:jc w:val="right"/>
        <w:bidi/>
      </w:pPr>
      <w:r>
        <w:rPr>
          <w:rFonts w:ascii="Arial" w:hAnsi="Arial"/>
          <w:sz w:val="16"/>
        </w:rPr>
        <w:t>504.13  هوانوردانی که مجاز به پوشیدن کلاه هستند، یک دستگاه فلاش مناسب، شلوار بلوز و چکمه‌های رزمی را با تمام ترکیب‌های یکنواخت کلاس ا (آبی) به جز لباس‌های نیمه رسمی و لباس‌های نامرتب می‌چسبانند.</w:t>
      </w:r>
    </w:p>
    <w:p>
      <w:pPr>
        <w:spacing w:after="28" w:line="216" w:lineRule="auto"/>
        <w:ind w:left="259"/>
        <w:jc w:val="left"/>
      </w:pPr>
      <w:r>
        <w:rPr>
          <w:rFonts w:ascii="Arial" w:hAnsi="Arial"/>
          <w:color w:val="525252"/>
          <w:sz w:val="13"/>
        </w:rPr>
        <w:t>Airmen authorized to wear a beret will affix an applicable flash devise, blouse trousers and combat boots with all Class A (blues) uniform combinations except semi- formal and mess dress uniforms.</w:t>
      </w:r>
    </w:p>
    <w:p>
      <w:pPr>
        <w:spacing w:after="20" w:line="223" w:lineRule="auto"/>
        <w:jc w:val="right"/>
        <w:bidi/>
      </w:pPr>
      <w:r>
        <w:rPr>
          <w:rFonts w:ascii="Arial" w:hAnsi="Arial"/>
          <w:sz w:val="16"/>
        </w:rPr>
        <w:t>504.14  افسران همچنین سبک فلزی، درجه نظامی مینیاتوری در مرکز و بلافاصله زیر دستگاه فلاش را بر روی کلاه می‌پوشند.</w:t>
      </w:r>
    </w:p>
    <w:p>
      <w:pPr>
        <w:spacing w:after="28" w:line="216" w:lineRule="auto"/>
        <w:ind w:left="259"/>
        <w:jc w:val="left"/>
      </w:pPr>
      <w:r>
        <w:rPr>
          <w:rFonts w:ascii="Arial" w:hAnsi="Arial"/>
          <w:color w:val="525252"/>
          <w:sz w:val="13"/>
        </w:rPr>
        <w:t>Officers will also wear the metal style, miniature military rank centered and immediately below flash device on beret.</w:t>
      </w:r>
    </w:p>
    <w:p>
      <w:pPr>
        <w:spacing w:after="20" w:line="223" w:lineRule="auto"/>
        <w:jc w:val="right"/>
        <w:bidi/>
      </w:pPr>
      <w:r>
        <w:rPr>
          <w:rFonts w:ascii="Arial" w:hAnsi="Arial"/>
          <w:sz w:val="16"/>
        </w:rPr>
        <w:t>504.15  پایین‌ترین لبه رتبه با لبه بالای حاشیه مشکی همسطح و بلافاصله در کنار آن قرار می‌گیرد.</w:t>
      </w:r>
    </w:p>
    <w:p>
      <w:pPr>
        <w:spacing w:after="28" w:line="216" w:lineRule="auto"/>
        <w:ind w:left="259"/>
        <w:jc w:val="left"/>
      </w:pPr>
      <w:r>
        <w:rPr>
          <w:rFonts w:ascii="Arial" w:hAnsi="Arial"/>
          <w:color w:val="525252"/>
          <w:sz w:val="13"/>
        </w:rPr>
        <w:t>The lower most edge of the rank will be level with and immediately next to the top edge of the black border trim.</w:t>
      </w:r>
    </w:p>
    <w:p>
      <w:pPr>
        <w:spacing w:after="20" w:line="223" w:lineRule="auto"/>
        <w:jc w:val="right"/>
        <w:bidi/>
      </w:pPr>
      <w:r>
        <w:rPr>
          <w:rFonts w:ascii="Arial" w:hAnsi="Arial"/>
          <w:sz w:val="16"/>
        </w:rPr>
        <w:t>504.16  دستگاه فلاش در مرکز قرار می‌گیرد و بیش از ۱/۸ اینچ بالاتر از رتبه فلزی قرار نمی‌گیرد.</w:t>
      </w:r>
    </w:p>
    <w:p>
      <w:pPr>
        <w:spacing w:after="28" w:line="216" w:lineRule="auto"/>
        <w:ind w:left="259"/>
        <w:jc w:val="left"/>
      </w:pPr>
      <w:r>
        <w:rPr>
          <w:rFonts w:ascii="Arial" w:hAnsi="Arial"/>
          <w:color w:val="525252"/>
          <w:sz w:val="13"/>
        </w:rPr>
        <w:t>The flash device will be positioned centered and no more than 1/8-inches above metal rank.</w:t>
      </w:r>
    </w:p>
    <w:p>
      <w:pPr>
        <w:spacing w:after="20" w:line="223" w:lineRule="auto"/>
        <w:jc w:val="right"/>
        <w:bidi/>
      </w:pPr>
      <w:r>
        <w:rPr>
          <w:rFonts w:ascii="Arial" w:hAnsi="Arial"/>
          <w:sz w:val="16"/>
        </w:rPr>
        <w:t>504.17  هنگام قرار گرفتن، دستگاه فلاش رتبه را پوشش نمی‌دهد و رتبه، حاشیه سیاه را پوشش نمی‌دهد.</w:t>
      </w:r>
    </w:p>
    <w:p>
      <w:pPr>
        <w:spacing w:after="28" w:line="216" w:lineRule="auto"/>
        <w:ind w:left="259"/>
        <w:jc w:val="left"/>
      </w:pPr>
      <w:r>
        <w:rPr>
          <w:rFonts w:ascii="Arial" w:hAnsi="Arial"/>
          <w:color w:val="525252"/>
          <w:sz w:val="13"/>
        </w:rPr>
        <w:t>When positioned, flash device will not cover rank and rank will not cover black border trim.</w:t>
      </w:r>
    </w:p>
    <w:p>
      <w:pPr>
        <w:spacing w:after="20" w:line="223" w:lineRule="auto"/>
        <w:jc w:val="right"/>
        <w:bidi/>
      </w:pPr>
      <w:r>
        <w:rPr>
          <w:rFonts w:ascii="Arial" w:hAnsi="Arial"/>
          <w:sz w:val="16"/>
        </w:rPr>
        <w:t>504.18  هوانوردان ممکن است در حین انجام وظایف ویژه و تکالیف DSD خارج از AFSC اولیه خود به پوشیدن کلاه خود ادامه دهند.</w:t>
      </w:r>
    </w:p>
    <w:p>
      <w:pPr>
        <w:spacing w:after="28" w:line="216" w:lineRule="auto"/>
        <w:ind w:left="259"/>
        <w:jc w:val="left"/>
      </w:pPr>
      <w:r>
        <w:rPr>
          <w:rFonts w:ascii="Arial" w:hAnsi="Arial"/>
          <w:color w:val="525252"/>
          <w:sz w:val="13"/>
        </w:rPr>
        <w:t>Airmen may continue to wear their beret while performing special duty assignments and DSD assignments outside of their primary AFSC.</w:t>
      </w:r>
    </w:p>
    <w:p>
      <w:pPr>
        <w:spacing w:after="20" w:line="223" w:lineRule="auto"/>
        <w:jc w:val="right"/>
        <w:bidi/>
      </w:pPr>
      <w:r>
        <w:rPr>
          <w:rFonts w:ascii="Arial" w:hAnsi="Arial"/>
          <w:sz w:val="16"/>
        </w:rPr>
        <w:t>504.19  این شامل PME، موقعیت‌های مشترک، مربیان، استخدام‌کنندگان، پست‌های کارکنان HAF، MAJCOM، NAF، DRU و FOA، و موقعیت‌های فرماندهی (مانند فرمانده، فرماندهان جناح، گروه و اسکادران، سرپرستان/ رهبران ارشد سربازگیری و گروهبان اول) می‌شود.</w:t>
      </w:r>
    </w:p>
    <w:p>
      <w:pPr>
        <w:spacing w:after="28" w:line="216" w:lineRule="auto"/>
        <w:ind w:left="259"/>
        <w:jc w:val="left"/>
      </w:pPr>
      <w:r>
        <w:rPr>
          <w:rFonts w:ascii="Arial" w:hAnsi="Arial"/>
          <w:color w:val="525252"/>
          <w:sz w:val="13"/>
        </w:rPr>
        <w:t>This includes PME, joint positions, instructors, recruiters, HAF, MAJCOM, NAF, DRU &amp; FOA staff positions, and command positions (e.g., command chief, wing, group and squadron commanders, superintendents/senior enlisted leaders and First Sergeants).</w:t>
      </w:r>
    </w:p>
    <w:p>
      <w:pPr>
        <w:spacing w:after="20" w:line="223" w:lineRule="auto"/>
        <w:jc w:val="right"/>
        <w:bidi/>
      </w:pPr>
      <w:r>
        <w:rPr>
          <w:rFonts w:ascii="Arial" w:hAnsi="Arial"/>
          <w:sz w:val="16"/>
        </w:rPr>
        <w:t>504.20  رنگهای برت.</w:t>
      </w:r>
    </w:p>
    <w:p>
      <w:pPr>
        <w:spacing w:after="28" w:line="216" w:lineRule="auto"/>
        <w:ind w:left="259"/>
        <w:jc w:val="left"/>
      </w:pPr>
      <w:r>
        <w:rPr>
          <w:rFonts w:ascii="Arial" w:hAnsi="Arial"/>
          <w:color w:val="525252"/>
          <w:sz w:val="13"/>
        </w:rPr>
        <w:t>Beret Colors.</w:t>
      </w:r>
    </w:p>
    <w:p>
      <w:pPr>
        <w:spacing w:after="20" w:line="223" w:lineRule="auto"/>
        <w:jc w:val="right"/>
        <w:bidi/>
      </w:pPr>
      <w:r>
        <w:rPr>
          <w:rFonts w:ascii="Arial" w:hAnsi="Arial"/>
          <w:sz w:val="16"/>
        </w:rPr>
        <w:t>504.21  پرسنل نجات نجات و افسران نجات رزمی (CRO) کلاه سرمه‌ای می‌پوشند.</w:t>
      </w:r>
    </w:p>
    <w:p>
      <w:pPr>
        <w:spacing w:after="28" w:line="216" w:lineRule="auto"/>
        <w:ind w:left="259"/>
        <w:jc w:val="left"/>
      </w:pPr>
      <w:r>
        <w:rPr>
          <w:rFonts w:ascii="Arial" w:hAnsi="Arial"/>
          <w:color w:val="525252"/>
          <w:sz w:val="13"/>
        </w:rPr>
        <w:t>Pararescue Personnel and Combat Rescue Officers (CRO) wear a maroon beret.</w:t>
      </w:r>
    </w:p>
    <w:p>
      <w:pPr>
        <w:spacing w:after="20" w:line="223" w:lineRule="auto"/>
        <w:jc w:val="right"/>
        <w:bidi/>
      </w:pPr>
      <w:r>
        <w:rPr>
          <w:rFonts w:ascii="Arial" w:hAnsi="Arial"/>
          <w:sz w:val="16"/>
        </w:rPr>
        <w:t>504.22  متخصصان بقا، فرار، مقاومت و فرار (SERE) کلاه سبز اسپندی می‌پوشند.</w:t>
      </w:r>
    </w:p>
    <w:p>
      <w:pPr>
        <w:spacing w:after="28" w:line="216" w:lineRule="auto"/>
        <w:ind w:left="259"/>
        <w:jc w:val="left"/>
      </w:pPr>
      <w:r>
        <w:rPr>
          <w:rFonts w:ascii="Arial" w:hAnsi="Arial"/>
          <w:color w:val="525252"/>
          <w:sz w:val="13"/>
        </w:rPr>
        <w:t>Survival, Evasion, Resistance, and Escape (SERE) Specialists wear a pewter green beret.</w:t>
      </w:r>
    </w:p>
    <w:p>
      <w:pPr>
        <w:spacing w:after="20" w:line="223" w:lineRule="auto"/>
        <w:jc w:val="right"/>
        <w:bidi/>
      </w:pPr>
      <w:r>
        <w:rPr>
          <w:rFonts w:ascii="Arial" w:hAnsi="Arial"/>
          <w:sz w:val="16"/>
        </w:rPr>
        <w:t>504.23  پرسنل تیم کنترل رزمی (CCT) و افسران تاکتیک ویژه (STO) کلاه قرمزی می‌پوشند.</w:t>
      </w:r>
    </w:p>
    <w:p>
      <w:pPr>
        <w:spacing w:after="28" w:line="216" w:lineRule="auto"/>
        <w:ind w:left="259"/>
        <w:jc w:val="left"/>
      </w:pPr>
      <w:r>
        <w:rPr>
          <w:rFonts w:ascii="Arial" w:hAnsi="Arial"/>
          <w:color w:val="525252"/>
          <w:sz w:val="13"/>
        </w:rPr>
        <w:t>Combat Control Team (CCT) Personnel and Special Tactics Officers (STO) wear a scarlet beret.</w:t>
      </w:r>
    </w:p>
    <w:p>
      <w:pPr>
        <w:spacing w:after="20" w:line="223" w:lineRule="auto"/>
        <w:jc w:val="right"/>
        <w:bidi/>
      </w:pPr>
      <w:r>
        <w:rPr>
          <w:rFonts w:ascii="Arial" w:hAnsi="Arial"/>
          <w:sz w:val="16"/>
        </w:rPr>
        <w:t>504.24  چترباز هواشناسی و شناسایی ویژه یک کلاه برت خاکستری اسپند می‌پوشند.</w:t>
      </w:r>
    </w:p>
    <w:p>
      <w:pPr>
        <w:spacing w:after="28" w:line="216" w:lineRule="auto"/>
        <w:ind w:left="259"/>
        <w:jc w:val="left"/>
      </w:pPr>
      <w:r>
        <w:rPr>
          <w:rFonts w:ascii="Arial" w:hAnsi="Arial"/>
          <w:color w:val="525252"/>
          <w:sz w:val="13"/>
        </w:rPr>
        <w:t>Weather Parachutist and Special Reconnaissance wear a pewter gray beret.</w:t>
      </w:r>
    </w:p>
    <w:p>
      <w:pPr>
        <w:spacing w:after="20" w:line="223" w:lineRule="auto"/>
        <w:jc w:val="right"/>
        <w:bidi/>
      </w:pPr>
      <w:r>
        <w:rPr>
          <w:rFonts w:ascii="Arial" w:hAnsi="Arial"/>
          <w:sz w:val="16"/>
        </w:rPr>
        <w:t>504.25  حزب کنترل هوا تاکتیکی (TACP) کلاه سیاه با فلاش پارچه‌ای TACP، تاج TACP و شلوار بلوز با چکمه‌های رزمی می‌پوشد.</w:t>
      </w:r>
    </w:p>
    <w:p>
      <w:pPr>
        <w:spacing w:after="28" w:line="216" w:lineRule="auto"/>
        <w:ind w:left="259"/>
        <w:jc w:val="left"/>
      </w:pPr>
      <w:r>
        <w:rPr>
          <w:rFonts w:ascii="Arial" w:hAnsi="Arial"/>
          <w:color w:val="525252"/>
          <w:sz w:val="13"/>
        </w:rPr>
        <w:t>Tactical Air Control Party (TACP) wear a black beret with TACP cloth flash, TACP crest, and bloused trousers with combat boots.</w:t>
      </w:r>
    </w:p>
    <w:p>
      <w:pPr>
        <w:spacing w:after="20" w:line="223" w:lineRule="auto"/>
        <w:jc w:val="right"/>
        <w:bidi/>
      </w:pPr>
      <w:r>
        <w:rPr>
          <w:rFonts w:ascii="Arial" w:hAnsi="Arial"/>
          <w:sz w:val="16"/>
        </w:rPr>
        <w:t>504.26  افسران TACP با هسته AFSC ۱۹ZXB کلاه سیاه با تاج TACP و سبک فلزی، نشان درجه نظامی مینیاتوری را خواهند پوشید که بر روی کلاه سیاه در مرکز و بلافاصله زیر تاج TACP روی فلاش پارچه‌ای پوشیده خواهد شد.</w:t>
      </w:r>
    </w:p>
    <w:p>
      <w:pPr>
        <w:spacing w:after="28" w:line="216" w:lineRule="auto"/>
        <w:ind w:left="259"/>
        <w:jc w:val="left"/>
      </w:pPr>
      <w:r>
        <w:rPr>
          <w:rFonts w:ascii="Arial" w:hAnsi="Arial"/>
          <w:color w:val="525252"/>
          <w:sz w:val="13"/>
        </w:rPr>
        <w:t>TACP Officers with a core AFSC of 19ZXB will wear the Black beret with TACP crest and metal style, miniature military rank insignia which will be worn on the black beret centered and immediately below TACP crest on cloth flash.</w:t>
      </w:r>
    </w:p>
    <w:p>
      <w:pPr>
        <w:spacing w:after="20" w:line="223" w:lineRule="auto"/>
        <w:jc w:val="right"/>
        <w:bidi/>
      </w:pPr>
      <w:r>
        <w:rPr>
          <w:rFonts w:ascii="Arial" w:hAnsi="Arial"/>
          <w:sz w:val="16"/>
        </w:rPr>
        <w:t>504.27  پایین‌ترین لبه رتبه با خط قرمز فلاش پارچه همسطح خواهد بود.</w:t>
      </w:r>
    </w:p>
    <w:p>
      <w:pPr>
        <w:spacing w:after="28" w:line="216" w:lineRule="auto"/>
        <w:ind w:left="259"/>
        <w:jc w:val="left"/>
      </w:pPr>
      <w:r>
        <w:rPr>
          <w:rFonts w:ascii="Arial" w:hAnsi="Arial"/>
          <w:color w:val="525252"/>
          <w:sz w:val="13"/>
        </w:rPr>
        <w:t>The lower most edge of the rank will be level with the red boarder of the cloth flash.</w:t>
      </w:r>
    </w:p>
    <w:p>
      <w:pPr>
        <w:spacing w:after="20" w:line="223" w:lineRule="auto"/>
        <w:jc w:val="right"/>
        <w:bidi/>
      </w:pPr>
      <w:r>
        <w:rPr>
          <w:rFonts w:ascii="Arial" w:hAnsi="Arial"/>
          <w:sz w:val="16"/>
        </w:rPr>
        <w:t>504.28  تاج TACP در مرکز قسمت بالای ۲/۳ فلاش پارچه‌ای بالای نشان‌های درجه فلزی قرار می‌گیرد.</w:t>
      </w:r>
    </w:p>
    <w:p>
      <w:pPr>
        <w:spacing w:after="28" w:line="216" w:lineRule="auto"/>
        <w:ind w:left="259"/>
        <w:jc w:val="left"/>
      </w:pPr>
      <w:r>
        <w:rPr>
          <w:rFonts w:ascii="Arial" w:hAnsi="Arial"/>
          <w:color w:val="525252"/>
          <w:sz w:val="13"/>
        </w:rPr>
        <w:t>The TACP crest will be positioned centered in the upper 2/3 portion of the cloth flash above metal rank insignia.</w:t>
      </w:r>
    </w:p>
    <w:p>
      <w:pPr>
        <w:spacing w:after="20" w:line="223" w:lineRule="auto"/>
        <w:jc w:val="right"/>
        <w:bidi/>
      </w:pPr>
      <w:r>
        <w:rPr>
          <w:rFonts w:ascii="Arial" w:hAnsi="Arial"/>
          <w:sz w:val="16"/>
        </w:rPr>
        <w:t>504.29  هنگام قرار گرفتن، تاج TACP رتبه را پوشش نمی‌دهد و رتبه، حاشیه قرمز فلاش پارچه را پوشش نمی‌دهد.</w:t>
      </w:r>
    </w:p>
    <w:p>
      <w:pPr>
        <w:spacing w:after="28" w:line="216" w:lineRule="auto"/>
        <w:ind w:left="259"/>
        <w:jc w:val="left"/>
      </w:pPr>
      <w:r>
        <w:rPr>
          <w:rFonts w:ascii="Arial" w:hAnsi="Arial"/>
          <w:color w:val="525252"/>
          <w:sz w:val="13"/>
        </w:rPr>
        <w:t>When positioned, TACP crest will not cover rank and rank will not cover red border trim of cloth flash.</w:t>
      </w:r>
    </w:p>
    <w:p>
      <w:pPr>
        <w:spacing w:after="20" w:line="223" w:lineRule="auto"/>
        <w:jc w:val="right"/>
        <w:bidi/>
      </w:pPr>
      <w:r>
        <w:rPr>
          <w:rFonts w:ascii="Arial" w:hAnsi="Arial"/>
          <w:sz w:val="16"/>
        </w:rPr>
        <w:t>504.30  از شلوارهای بره یا بلوز با چکمه‌های رزمی با لباس نیمه رسمی یا لباس‌های نامرتب استفاده نکنید.</w:t>
      </w:r>
    </w:p>
    <w:p>
      <w:pPr>
        <w:spacing w:after="28" w:line="216" w:lineRule="auto"/>
        <w:ind w:left="259"/>
        <w:jc w:val="left"/>
      </w:pPr>
      <w:r>
        <w:rPr>
          <w:rFonts w:ascii="Arial" w:hAnsi="Arial"/>
          <w:color w:val="525252"/>
          <w:sz w:val="13"/>
        </w:rPr>
        <w:t>Do not wear beret or bloused trousers with combat boots with semi-formal or mess dress uniforms.</w:t>
      </w:r>
    </w:p>
    <w:p>
      <w:pPr>
        <w:spacing w:after="20" w:line="223" w:lineRule="auto"/>
        <w:jc w:val="right"/>
        <w:bidi/>
      </w:pPr>
      <w:r>
        <w:rPr>
          <w:rFonts w:ascii="Arial" w:hAnsi="Arial"/>
          <w:sz w:val="16"/>
        </w:rPr>
        <w:t>504.31  اگر مدیر میدان شغلی افسر TACP تأیید کتبی را صادر کند، افسران دارای رتبه‌بندی که در یک کد نوع واحد خدمت می‌کنند و به یک اسکادران عملیات پشتیبانی هوایی یا گروه عملیات پشتیبانی هوایی منصوب می‌شوند، می‌توانند کلاه سیاه را با فلاش پارچه‌ای و درجه بپوشند.</w:t>
      </w:r>
    </w:p>
    <w:p>
      <w:pPr>
        <w:spacing w:after="28" w:line="216" w:lineRule="auto"/>
        <w:ind w:left="259"/>
        <w:jc w:val="left"/>
      </w:pPr>
      <w:r>
        <w:rPr>
          <w:rFonts w:ascii="Arial" w:hAnsi="Arial"/>
          <w:color w:val="525252"/>
          <w:sz w:val="13"/>
        </w:rPr>
        <w:t>If the TACP Officer Career Field Manager grants written approval, rated officers serving in a Unit Type Code and assigned to an Air Support Operations Squadron or Air Support Operations Group may wear the black beret with cloth flash and rank.</w:t>
      </w:r>
    </w:p>
    <w:p>
      <w:pPr>
        <w:spacing w:after="20" w:line="223" w:lineRule="auto"/>
        <w:jc w:val="right"/>
        <w:bidi/>
      </w:pPr>
      <w:r>
        <w:rPr>
          <w:rFonts w:ascii="Arial" w:hAnsi="Arial"/>
          <w:sz w:val="16"/>
        </w:rPr>
        <w:t>504.32  نیروهای امنیتی کلاه آبی می‌پوشند.</w:t>
      </w:r>
    </w:p>
    <w:p>
      <w:pPr>
        <w:spacing w:after="28" w:line="216" w:lineRule="auto"/>
        <w:ind w:left="259"/>
        <w:jc w:val="left"/>
      </w:pPr>
      <w:r>
        <w:rPr>
          <w:rFonts w:ascii="Arial" w:hAnsi="Arial"/>
          <w:color w:val="525252"/>
          <w:sz w:val="13"/>
        </w:rPr>
        <w:t>Security Forces wear a blue beret.</w:t>
      </w:r>
    </w:p>
    <w:p>
      <w:pPr>
        <w:spacing w:after="20" w:line="223" w:lineRule="auto"/>
        <w:jc w:val="right"/>
        <w:bidi/>
      </w:pPr>
      <w:r>
        <w:rPr>
          <w:rFonts w:ascii="Arial" w:hAnsi="Arial"/>
          <w:sz w:val="16"/>
        </w:rPr>
        <w:t>504.33  لطفا برای دستورالعمل‌های پوشیدن به DAFI ۳۶-۲۹۰۳، پاراگراف ۱۰.۳.۱ مراجعه کنید.</w:t>
      </w:r>
    </w:p>
    <w:p>
      <w:pPr>
        <w:spacing w:after="28" w:line="216" w:lineRule="auto"/>
        <w:ind w:left="259"/>
        <w:jc w:val="left"/>
      </w:pPr>
      <w:r>
        <w:rPr>
          <w:rFonts w:ascii="Arial" w:hAnsi="Arial"/>
          <w:color w:val="525252"/>
          <w:sz w:val="13"/>
        </w:rPr>
        <w:t>Please reference DAFI 36-2903, paragraph 10.3.1 for wear instructions.</w:t>
      </w:r>
    </w:p>
    <w:p>
      <w:r>
        <w:br w:type="page"/>
      </w:r>
    </w:p>
    <w:p>
      <w:pPr>
        <w:spacing w:after="60"/>
        <w:jc w:val="right"/>
        <w:bidi/>
      </w:pPr>
      <w:r>
        <w:rPr>
          <w:rFonts w:ascii="Arial" w:hAnsi="Arial"/>
          <w:b/>
          <w:color w:val="1F4D78"/>
          <w:sz w:val="19"/>
        </w:rPr>
        <w:t>هفتهٔ 505  |  صفحهٔ منبع: 521</w:t>
      </w:r>
    </w:p>
    <w:p>
      <w:pPr>
        <w:spacing w:after="20" w:line="223" w:lineRule="auto"/>
        <w:jc w:val="right"/>
        <w:bidi/>
      </w:pPr>
      <w:r>
        <w:rPr>
          <w:rFonts w:ascii="Arial" w:hAnsi="Arial"/>
          <w:sz w:val="16"/>
        </w:rPr>
        <w:t>505.01  هشتاد و نهمین مأموریت ویژه حمل و نقل هوایی.</w:t>
      </w:r>
    </w:p>
    <w:p>
      <w:pPr>
        <w:spacing w:after="28" w:line="216" w:lineRule="auto"/>
        <w:ind w:left="259"/>
        <w:jc w:val="left"/>
      </w:pPr>
      <w:r>
        <w:rPr>
          <w:rFonts w:ascii="Arial" w:hAnsi="Arial"/>
          <w:color w:val="525252"/>
          <w:sz w:val="13"/>
        </w:rPr>
        <w:t>89th Special Airlift Mission.</w:t>
      </w:r>
    </w:p>
    <w:p>
      <w:pPr>
        <w:spacing w:after="20" w:line="223" w:lineRule="auto"/>
        <w:jc w:val="right"/>
        <w:bidi/>
      </w:pPr>
      <w:r>
        <w:rPr>
          <w:rFonts w:ascii="Arial" w:hAnsi="Arial"/>
          <w:sz w:val="16"/>
        </w:rPr>
        <w:t>505.02  مجاز به پوشیدن ژاکت آبی سبک و متمایز با عبارت مأموریت‌های ویژهٔ هوایی که در سمت راست کاربر به رنگ سفید گلدوزی شده است و روی بالای یک نشان قرمز SAM فوکس گلدوزی شده است.</w:t>
      </w:r>
    </w:p>
    <w:p>
      <w:pPr>
        <w:spacing w:after="28" w:line="216" w:lineRule="auto"/>
        <w:ind w:left="259"/>
        <w:jc w:val="left"/>
      </w:pPr>
      <w:r>
        <w:rPr>
          <w:rFonts w:ascii="Arial" w:hAnsi="Arial"/>
          <w:color w:val="525252"/>
          <w:sz w:val="13"/>
        </w:rPr>
        <w:t>Authorized to wear a distinctive lightweight blue jacket with the words SPECIAL AIR MISSIONS embroidered in white on the wearer’s right side arched over the top of a red SAM Fox embroidered insignia.</w:t>
      </w:r>
    </w:p>
    <w:p>
      <w:pPr>
        <w:spacing w:after="20" w:line="223" w:lineRule="auto"/>
        <w:jc w:val="right"/>
        <w:bidi/>
      </w:pPr>
      <w:r>
        <w:rPr>
          <w:rFonts w:ascii="Arial" w:hAnsi="Arial"/>
          <w:sz w:val="16"/>
        </w:rPr>
        <w:t>505.03  نشان درجه افسران بر روی بند ۵/۸ اینچی از درز شانه قرار می‌گیرد.</w:t>
      </w:r>
    </w:p>
    <w:p>
      <w:pPr>
        <w:spacing w:after="28" w:line="216" w:lineRule="auto"/>
        <w:ind w:left="259"/>
        <w:jc w:val="left"/>
      </w:pPr>
      <w:r>
        <w:rPr>
          <w:rFonts w:ascii="Arial" w:hAnsi="Arial"/>
          <w:color w:val="525252"/>
          <w:sz w:val="13"/>
        </w:rPr>
        <w:t>Rank insignia for officers will be placed on epaulet, 5/8-inch from shoulder seam.</w:t>
      </w:r>
    </w:p>
    <w:p>
      <w:pPr>
        <w:spacing w:after="20" w:line="223" w:lineRule="auto"/>
        <w:jc w:val="right"/>
        <w:bidi/>
      </w:pPr>
      <w:r>
        <w:rPr>
          <w:rFonts w:ascii="Arial" w:hAnsi="Arial"/>
          <w:sz w:val="16"/>
        </w:rPr>
        <w:t>505.04  در آستین‌ها رتبه سربازی را بدوزید.</w:t>
      </w:r>
    </w:p>
    <w:p>
      <w:pPr>
        <w:spacing w:after="28" w:line="216" w:lineRule="auto"/>
        <w:ind w:left="259"/>
        <w:jc w:val="left"/>
      </w:pPr>
      <w:r>
        <w:rPr>
          <w:rFonts w:ascii="Arial" w:hAnsi="Arial"/>
          <w:color w:val="525252"/>
          <w:sz w:val="13"/>
        </w:rPr>
        <w:t>Sew enlisted rank on the sleeves.</w:t>
      </w:r>
    </w:p>
    <w:p>
      <w:pPr>
        <w:spacing w:after="20" w:line="223" w:lineRule="auto"/>
        <w:jc w:val="right"/>
        <w:bidi/>
      </w:pPr>
      <w:r>
        <w:rPr>
          <w:rFonts w:ascii="Arial" w:hAnsi="Arial"/>
          <w:sz w:val="16"/>
        </w:rPr>
        <w:t>505.05  در سمت چپ نام و نام خانوادگی را با رنگ سفید حتی با نشان SAM فوکس بدوزید.</w:t>
      </w:r>
    </w:p>
    <w:p>
      <w:pPr>
        <w:spacing w:after="28" w:line="216" w:lineRule="auto"/>
        <w:ind w:left="259"/>
        <w:jc w:val="left"/>
      </w:pPr>
      <w:r>
        <w:rPr>
          <w:rFonts w:ascii="Arial" w:hAnsi="Arial"/>
          <w:color w:val="525252"/>
          <w:sz w:val="13"/>
        </w:rPr>
        <w:t>Embroider the first and last name in white on the left side even with the SAM Fox insignia.</w:t>
      </w:r>
    </w:p>
    <w:p>
      <w:pPr>
        <w:spacing w:after="20" w:line="223" w:lineRule="auto"/>
        <w:jc w:val="right"/>
        <w:bidi/>
      </w:pPr>
      <w:r>
        <w:rPr>
          <w:rFonts w:ascii="Arial" w:hAnsi="Arial"/>
          <w:sz w:val="16"/>
        </w:rPr>
        <w:t>505.06  گروه حمل و نقل هوایی ریاست جمهوری.</w:t>
      </w:r>
    </w:p>
    <w:p>
      <w:pPr>
        <w:spacing w:after="28" w:line="216" w:lineRule="auto"/>
        <w:ind w:left="259"/>
        <w:jc w:val="left"/>
      </w:pPr>
      <w:r>
        <w:rPr>
          <w:rFonts w:ascii="Arial" w:hAnsi="Arial"/>
          <w:color w:val="525252"/>
          <w:sz w:val="13"/>
        </w:rPr>
        <w:t>Presidential Airlift Group.</w:t>
      </w:r>
    </w:p>
    <w:p>
      <w:pPr>
        <w:spacing w:after="20" w:line="223" w:lineRule="auto"/>
        <w:jc w:val="right"/>
        <w:bidi/>
      </w:pPr>
      <w:r>
        <w:rPr>
          <w:rFonts w:ascii="Arial" w:hAnsi="Arial"/>
          <w:sz w:val="16"/>
        </w:rPr>
        <w:t>505.07  مجاز به پوشیدن ژاکت آبی سبک و متمایز.</w:t>
      </w:r>
    </w:p>
    <w:p>
      <w:pPr>
        <w:spacing w:after="28" w:line="216" w:lineRule="auto"/>
        <w:ind w:left="259"/>
        <w:jc w:val="left"/>
      </w:pPr>
      <w:r>
        <w:rPr>
          <w:rFonts w:ascii="Arial" w:hAnsi="Arial"/>
          <w:color w:val="525252"/>
          <w:sz w:val="13"/>
        </w:rPr>
        <w:t>Authorized to wear a distinctive lightweight blue jacket.</w:t>
      </w:r>
    </w:p>
    <w:p>
      <w:pPr>
        <w:spacing w:after="20" w:line="223" w:lineRule="auto"/>
        <w:jc w:val="right"/>
        <w:bidi/>
      </w:pPr>
      <w:r>
        <w:rPr>
          <w:rFonts w:ascii="Arial" w:hAnsi="Arial"/>
          <w:sz w:val="16"/>
        </w:rPr>
        <w:t>505.08  نشان درجه برای افسران و نیروهای درجه‌دار بر روی بند ۵/۸ اینچی از لبه قرار می‌گیرد.</w:t>
      </w:r>
    </w:p>
    <w:p>
      <w:pPr>
        <w:spacing w:after="28" w:line="216" w:lineRule="auto"/>
        <w:ind w:left="259"/>
        <w:jc w:val="left"/>
      </w:pPr>
      <w:r>
        <w:rPr>
          <w:rFonts w:ascii="Arial" w:hAnsi="Arial"/>
          <w:color w:val="525252"/>
          <w:sz w:val="13"/>
        </w:rPr>
        <w:t>Rank insignia for officers and enlisted will be placed on epaulet, 5/8-inch from edge.</w:t>
      </w:r>
    </w:p>
    <w:p>
      <w:pPr>
        <w:spacing w:after="20" w:line="223" w:lineRule="auto"/>
        <w:jc w:val="right"/>
        <w:bidi/>
      </w:pPr>
      <w:r>
        <w:rPr>
          <w:rFonts w:ascii="Arial" w:hAnsi="Arial"/>
          <w:sz w:val="16"/>
        </w:rPr>
        <w:t>505.09  وصله ریاست جمهوری را در سمت راست جلوی ژاکت قرار دهید.</w:t>
      </w:r>
    </w:p>
    <w:p>
      <w:pPr>
        <w:spacing w:after="28" w:line="216" w:lineRule="auto"/>
        <w:ind w:left="259"/>
        <w:jc w:val="left"/>
      </w:pPr>
      <w:r>
        <w:rPr>
          <w:rFonts w:ascii="Arial" w:hAnsi="Arial"/>
          <w:color w:val="525252"/>
          <w:sz w:val="13"/>
        </w:rPr>
        <w:t>Place the presidential patch on front right side of jacket.</w:t>
      </w:r>
    </w:p>
    <w:p>
      <w:pPr>
        <w:spacing w:after="20" w:line="223" w:lineRule="auto"/>
        <w:jc w:val="right"/>
        <w:bidi/>
      </w:pPr>
      <w:r>
        <w:rPr>
          <w:rFonts w:ascii="Arial" w:hAnsi="Arial"/>
          <w:sz w:val="16"/>
        </w:rPr>
        <w:t>505.10  "نیروی هوایی ون" را با رنگ سفید بالای پچ و نام و نام خانوادگی را با رنگ سفید در سمت چپ حتی با پچ بدوزید.</w:t>
      </w:r>
    </w:p>
    <w:p>
      <w:pPr>
        <w:spacing w:after="28" w:line="216" w:lineRule="auto"/>
        <w:ind w:left="259"/>
        <w:jc w:val="left"/>
      </w:pPr>
      <w:r>
        <w:rPr>
          <w:rFonts w:ascii="Arial" w:hAnsi="Arial"/>
          <w:color w:val="525252"/>
          <w:sz w:val="13"/>
        </w:rPr>
        <w:t>Embroider “Air Force One” in white above the patch and the first and last name in white on the left side even with the patch.</w:t>
      </w:r>
    </w:p>
    <w:p>
      <w:pPr>
        <w:spacing w:after="20" w:line="223" w:lineRule="auto"/>
        <w:jc w:val="right"/>
        <w:bidi/>
      </w:pPr>
      <w:r>
        <w:rPr>
          <w:rFonts w:ascii="Arial" w:hAnsi="Arial"/>
          <w:sz w:val="16"/>
        </w:rPr>
        <w:t>505.11  اسکادران لجستیک ریاست جمهوری (PLS).</w:t>
      </w:r>
    </w:p>
    <w:p>
      <w:pPr>
        <w:spacing w:after="28" w:line="216" w:lineRule="auto"/>
        <w:ind w:left="259"/>
        <w:jc w:val="left"/>
      </w:pPr>
      <w:r>
        <w:rPr>
          <w:rFonts w:ascii="Arial" w:hAnsi="Arial"/>
          <w:color w:val="525252"/>
          <w:sz w:val="13"/>
        </w:rPr>
        <w:t>Presidential Logistics Squadron (PLS).</w:t>
      </w:r>
    </w:p>
    <w:p>
      <w:pPr>
        <w:spacing w:after="20" w:line="223" w:lineRule="auto"/>
        <w:jc w:val="right"/>
        <w:bidi/>
      </w:pPr>
      <w:r>
        <w:rPr>
          <w:rFonts w:ascii="Arial" w:hAnsi="Arial"/>
          <w:sz w:val="16"/>
        </w:rPr>
        <w:t>505.12  مجاز به پوشیدن یونیفرم شهری آبی سرمه‌ای. نوارهای نام و USAF آبی سرمه‌ای با حروف سفید دوزی خواهد بود.</w:t>
      </w:r>
    </w:p>
    <w:p>
      <w:pPr>
        <w:spacing w:after="28" w:line="216" w:lineRule="auto"/>
        <w:ind w:left="259"/>
        <w:jc w:val="left"/>
      </w:pPr>
      <w:r>
        <w:rPr>
          <w:rFonts w:ascii="Arial" w:hAnsi="Arial"/>
          <w:color w:val="525252"/>
          <w:sz w:val="13"/>
        </w:rPr>
        <w:t>Authorized to wear a navy-blue utility uniform. name and USAF tapes will be navy blue with white embroidered letters.</w:t>
      </w:r>
    </w:p>
    <w:p>
      <w:pPr>
        <w:spacing w:after="20" w:line="223" w:lineRule="auto"/>
        <w:jc w:val="right"/>
        <w:bidi/>
      </w:pPr>
      <w:r>
        <w:rPr>
          <w:rFonts w:ascii="Arial" w:hAnsi="Arial"/>
          <w:sz w:val="16"/>
        </w:rPr>
        <w:t>505.13  نشان‌های شغلی آبی سرمه‌ای با گلدوزی سفید خواهد بود.</w:t>
      </w:r>
    </w:p>
    <w:p>
      <w:pPr>
        <w:spacing w:after="28" w:line="216" w:lineRule="auto"/>
        <w:ind w:left="259"/>
        <w:jc w:val="left"/>
      </w:pPr>
      <w:r>
        <w:rPr>
          <w:rFonts w:ascii="Arial" w:hAnsi="Arial"/>
          <w:color w:val="525252"/>
          <w:sz w:val="13"/>
        </w:rPr>
        <w:t>Occupational badges will be navy blue with white embroidering.</w:t>
      </w:r>
    </w:p>
    <w:p>
      <w:pPr>
        <w:spacing w:after="20" w:line="223" w:lineRule="auto"/>
        <w:jc w:val="right"/>
        <w:bidi/>
      </w:pPr>
      <w:r>
        <w:rPr>
          <w:rFonts w:ascii="Arial" w:hAnsi="Arial"/>
          <w:sz w:val="16"/>
        </w:rPr>
        <w:t>505.14  نوار USAF را بلافاصله بالای جیب سینه سمت چپ وسط قرار دهید.</w:t>
      </w:r>
    </w:p>
    <w:p>
      <w:pPr>
        <w:spacing w:after="28" w:line="216" w:lineRule="auto"/>
        <w:ind w:left="259"/>
        <w:jc w:val="left"/>
      </w:pPr>
      <w:r>
        <w:rPr>
          <w:rFonts w:ascii="Arial" w:hAnsi="Arial"/>
          <w:color w:val="525252"/>
          <w:sz w:val="13"/>
        </w:rPr>
        <w:t>Center USAF tape immediately above left breast pocket.</w:t>
      </w:r>
    </w:p>
    <w:p>
      <w:pPr>
        <w:spacing w:after="20" w:line="223" w:lineRule="auto"/>
        <w:jc w:val="right"/>
        <w:bidi/>
      </w:pPr>
      <w:r>
        <w:rPr>
          <w:rFonts w:ascii="Arial" w:hAnsi="Arial"/>
          <w:sz w:val="16"/>
        </w:rPr>
        <w:t>505.15  نوار نام وسط بلافاصله بالای جیب سینه سمت راست.</w:t>
      </w:r>
    </w:p>
    <w:p>
      <w:pPr>
        <w:spacing w:after="28" w:line="216" w:lineRule="auto"/>
        <w:ind w:left="259"/>
        <w:jc w:val="left"/>
      </w:pPr>
      <w:r>
        <w:rPr>
          <w:rFonts w:ascii="Arial" w:hAnsi="Arial"/>
          <w:color w:val="525252"/>
          <w:sz w:val="13"/>
        </w:rPr>
        <w:t>Center name tape immediately above right breast pocket.</w:t>
      </w:r>
    </w:p>
    <w:p>
      <w:pPr>
        <w:spacing w:after="20" w:line="223" w:lineRule="auto"/>
        <w:jc w:val="right"/>
        <w:bidi/>
      </w:pPr>
      <w:r>
        <w:rPr>
          <w:rFonts w:ascii="Arial" w:hAnsi="Arial"/>
          <w:sz w:val="16"/>
        </w:rPr>
        <w:t>505.16  پچ ریاست جمهوری را در سمت راست، ۱/۲ اینچ بالای نوار نام قرار دهید.</w:t>
      </w:r>
    </w:p>
    <w:p>
      <w:pPr>
        <w:spacing w:after="28" w:line="216" w:lineRule="auto"/>
        <w:ind w:left="259"/>
        <w:jc w:val="left"/>
      </w:pPr>
      <w:r>
        <w:rPr>
          <w:rFonts w:ascii="Arial" w:hAnsi="Arial"/>
          <w:color w:val="525252"/>
          <w:sz w:val="13"/>
        </w:rPr>
        <w:t>Place the presidential patch on right side, 1/2-inch above nametape.</w:t>
      </w:r>
    </w:p>
    <w:p>
      <w:pPr>
        <w:spacing w:after="20" w:line="223" w:lineRule="auto"/>
        <w:jc w:val="right"/>
        <w:bidi/>
      </w:pPr>
      <w:r>
        <w:rPr>
          <w:rFonts w:ascii="Arial" w:hAnsi="Arial"/>
          <w:sz w:val="16"/>
        </w:rPr>
        <w:t>505.17  ژاکت آبی سبک وزن متمایز برای پوشیدن با یونیفرم کاربردی و ترکیبات یونیفرم خدمات (کلاس ب) مجاز است.</w:t>
      </w:r>
    </w:p>
    <w:p>
      <w:pPr>
        <w:spacing w:after="28" w:line="216" w:lineRule="auto"/>
        <w:ind w:left="259"/>
        <w:jc w:val="left"/>
      </w:pPr>
      <w:r>
        <w:rPr>
          <w:rFonts w:ascii="Arial" w:hAnsi="Arial"/>
          <w:color w:val="525252"/>
          <w:sz w:val="13"/>
        </w:rPr>
        <w:t>The distinctive lightweight blue jacket is authorized for wear with the utility uniform and all service uniform (Class B) combinations.</w:t>
      </w:r>
    </w:p>
    <w:p>
      <w:pPr>
        <w:spacing w:after="20" w:line="223" w:lineRule="auto"/>
        <w:jc w:val="right"/>
        <w:bidi/>
      </w:pPr>
      <w:r>
        <w:rPr>
          <w:rFonts w:ascii="Arial" w:hAnsi="Arial"/>
          <w:sz w:val="16"/>
        </w:rPr>
        <w:t>505.18  توجه: یک ژاکت گورتکس آبی با وصله ریاست جمهوری در سمت راست فقط با یونیفورم شهری پوشیده شود.</w:t>
      </w:r>
    </w:p>
    <w:p>
      <w:pPr>
        <w:spacing w:after="28" w:line="216" w:lineRule="auto"/>
        <w:ind w:left="259"/>
        <w:jc w:val="left"/>
      </w:pPr>
      <w:r>
        <w:rPr>
          <w:rFonts w:ascii="Arial" w:hAnsi="Arial"/>
          <w:color w:val="525252"/>
          <w:sz w:val="13"/>
        </w:rPr>
        <w:t>Note: A blue Gore-Tex jacket with the presidential patch on the right side shall be worn with the utility uniform only.</w:t>
      </w:r>
    </w:p>
    <w:p>
      <w:pPr>
        <w:spacing w:after="20" w:line="223" w:lineRule="auto"/>
        <w:jc w:val="right"/>
        <w:bidi/>
      </w:pPr>
      <w:r>
        <w:rPr>
          <w:rFonts w:ascii="Arial" w:hAnsi="Arial"/>
          <w:sz w:val="16"/>
        </w:rPr>
        <w:t>505.19  در قسمت جلوی ژاکت گورتکس یک نشان درجه دوزی شده با پارچه آبی و سفید بپوشید.</w:t>
      </w:r>
    </w:p>
    <w:p>
      <w:pPr>
        <w:spacing w:after="28" w:line="216" w:lineRule="auto"/>
        <w:ind w:left="259"/>
        <w:jc w:val="left"/>
      </w:pPr>
      <w:r>
        <w:rPr>
          <w:rFonts w:ascii="Arial" w:hAnsi="Arial"/>
          <w:color w:val="525252"/>
          <w:sz w:val="13"/>
        </w:rPr>
        <w:t>Wear a blue- cloth, white embroidered rank insignia the front tab of the Gore-Tex jacket.</w:t>
      </w:r>
    </w:p>
    <w:p>
      <w:pPr>
        <w:spacing w:after="20" w:line="223" w:lineRule="auto"/>
        <w:jc w:val="right"/>
        <w:bidi/>
      </w:pPr>
      <w:r>
        <w:rPr>
          <w:rFonts w:ascii="Arial" w:hAnsi="Arial"/>
          <w:sz w:val="16"/>
        </w:rPr>
        <w:t>505.20  PLS یک پیراهن یقه خدمه آبی سرمه‌ای با آرم ریاست لجستیک در سمت چپ سینه خواهد پوشید.</w:t>
      </w:r>
    </w:p>
    <w:p>
      <w:pPr>
        <w:spacing w:after="28" w:line="216" w:lineRule="auto"/>
        <w:ind w:left="259"/>
        <w:jc w:val="left"/>
      </w:pPr>
      <w:r>
        <w:rPr>
          <w:rFonts w:ascii="Arial" w:hAnsi="Arial"/>
          <w:color w:val="525252"/>
          <w:sz w:val="13"/>
        </w:rPr>
        <w:t>The PLS will wear a navy-blue crew-neck undershirt with the Presidential Logistics logo on the left side of chest.</w:t>
      </w:r>
    </w:p>
    <w:p>
      <w:pPr>
        <w:spacing w:after="20" w:line="223" w:lineRule="auto"/>
        <w:jc w:val="right"/>
        <w:bidi/>
      </w:pPr>
      <w:r>
        <w:rPr>
          <w:rFonts w:ascii="Arial" w:hAnsi="Arial"/>
          <w:sz w:val="16"/>
        </w:rPr>
        <w:t>505.21  ژاکت پرنده چرمی ا-۲.</w:t>
      </w:r>
    </w:p>
    <w:p>
      <w:pPr>
        <w:spacing w:after="28" w:line="216" w:lineRule="auto"/>
        <w:ind w:left="259"/>
        <w:jc w:val="left"/>
      </w:pPr>
      <w:r>
        <w:rPr>
          <w:rFonts w:ascii="Arial" w:hAnsi="Arial"/>
          <w:color w:val="525252"/>
          <w:sz w:val="13"/>
        </w:rPr>
        <w:t>Leather A-2 Flying Jacket.</w:t>
      </w:r>
    </w:p>
    <w:p>
      <w:pPr>
        <w:spacing w:after="20" w:line="223" w:lineRule="auto"/>
        <w:jc w:val="right"/>
        <w:bidi/>
      </w:pPr>
      <w:r>
        <w:rPr>
          <w:rFonts w:ascii="Arial" w:hAnsi="Arial"/>
          <w:sz w:val="16"/>
        </w:rPr>
        <w:t>505.22  از ژاکت پروازی چرمی ا-۲ با یونیفرم خدمات کلاس ب (نه یونیفرم لباس سرویس کلاس ا)، لباس‌های سفید بیمارستانی یا یونیفرم‌های وظیفه پرواز بپوشید.</w:t>
      </w:r>
    </w:p>
    <w:p>
      <w:pPr>
        <w:spacing w:after="28" w:line="216" w:lineRule="auto"/>
        <w:ind w:left="259"/>
        <w:jc w:val="left"/>
      </w:pPr>
      <w:r>
        <w:rPr>
          <w:rFonts w:ascii="Arial" w:hAnsi="Arial"/>
          <w:color w:val="525252"/>
          <w:sz w:val="13"/>
        </w:rPr>
        <w:t>Wear Leather A-2 flying jacket with Class B service uniform (not Class A service dress uniform), hospital whites, or flight duty uniforms.</w:t>
      </w:r>
    </w:p>
    <w:p>
      <w:pPr>
        <w:spacing w:after="20" w:line="223" w:lineRule="auto"/>
        <w:jc w:val="right"/>
        <w:bidi/>
      </w:pPr>
      <w:r>
        <w:rPr>
          <w:rFonts w:ascii="Arial" w:hAnsi="Arial"/>
          <w:sz w:val="16"/>
        </w:rPr>
        <w:t>505.23  با لباس غیر نظامی نپوشید.</w:t>
      </w:r>
    </w:p>
    <w:p>
      <w:pPr>
        <w:spacing w:after="28" w:line="216" w:lineRule="auto"/>
        <w:ind w:left="259"/>
        <w:jc w:val="left"/>
      </w:pPr>
      <w:r>
        <w:rPr>
          <w:rFonts w:ascii="Arial" w:hAnsi="Arial"/>
          <w:color w:val="525252"/>
          <w:sz w:val="13"/>
        </w:rPr>
        <w:t>Do not wear with civilian clothes.</w:t>
      </w:r>
    </w:p>
    <w:p>
      <w:pPr>
        <w:spacing w:after="20" w:line="223" w:lineRule="auto"/>
        <w:jc w:val="right"/>
        <w:bidi/>
      </w:pPr>
      <w:r>
        <w:rPr>
          <w:rFonts w:ascii="Arial" w:hAnsi="Arial"/>
          <w:sz w:val="16"/>
        </w:rPr>
        <w:t>505.24  استثنا: وزیر و معاون وزیر نیروی هوایی کت پرنده چرمی ا-۲ را با لباس‌های غیرنظامی می‌پوشند.</w:t>
      </w:r>
    </w:p>
    <w:p>
      <w:pPr>
        <w:spacing w:after="28" w:line="216" w:lineRule="auto"/>
        <w:ind w:left="259"/>
        <w:jc w:val="left"/>
      </w:pPr>
      <w:r>
        <w:rPr>
          <w:rFonts w:ascii="Arial" w:hAnsi="Arial"/>
          <w:color w:val="525252"/>
          <w:sz w:val="13"/>
        </w:rPr>
        <w:t>Exception: The Secretary and Under Secretary of the Air Force wear the leather A-2 flying jacket with civilian clothes.</w:t>
      </w:r>
    </w:p>
    <w:p>
      <w:pPr>
        <w:spacing w:after="20" w:line="223" w:lineRule="auto"/>
        <w:jc w:val="right"/>
        <w:bidi/>
      </w:pPr>
      <w:r>
        <w:rPr>
          <w:rFonts w:ascii="Arial" w:hAnsi="Arial"/>
          <w:sz w:val="16"/>
        </w:rPr>
        <w:t>505.25  پچ MAJCOM و نام تگ را با ولکرو وصل کنید.</w:t>
      </w:r>
    </w:p>
    <w:p>
      <w:pPr>
        <w:spacing w:after="28" w:line="216" w:lineRule="auto"/>
        <w:ind w:left="259"/>
        <w:jc w:val="left"/>
      </w:pPr>
      <w:r>
        <w:rPr>
          <w:rFonts w:ascii="Arial" w:hAnsi="Arial"/>
          <w:color w:val="525252"/>
          <w:sz w:val="13"/>
        </w:rPr>
        <w:t>Attach MAJCOM patch and nametag with Velcro.</w:t>
      </w:r>
    </w:p>
    <w:p>
      <w:pPr>
        <w:spacing w:after="20" w:line="223" w:lineRule="auto"/>
        <w:jc w:val="right"/>
        <w:bidi/>
      </w:pPr>
      <w:r>
        <w:rPr>
          <w:rFonts w:ascii="Arial" w:hAnsi="Arial"/>
          <w:sz w:val="16"/>
        </w:rPr>
        <w:t>505.26  نوار نام ۲ × ۴ اینچ، چرم قهوه‌ای یا مشکی یا چرم شبیه سازی شده است.</w:t>
      </w:r>
    </w:p>
    <w:p>
      <w:pPr>
        <w:spacing w:after="28" w:line="216" w:lineRule="auto"/>
        <w:ind w:left="259"/>
        <w:jc w:val="left"/>
      </w:pPr>
      <w:r>
        <w:rPr>
          <w:rFonts w:ascii="Arial" w:hAnsi="Arial"/>
          <w:color w:val="525252"/>
          <w:sz w:val="13"/>
        </w:rPr>
        <w:t>Name tape is 2 x 4-inches, brown or black leather or simulated leather.</w:t>
      </w:r>
    </w:p>
    <w:p>
      <w:pPr>
        <w:spacing w:after="20" w:line="223" w:lineRule="auto"/>
        <w:jc w:val="right"/>
        <w:bidi/>
      </w:pPr>
      <w:r>
        <w:rPr>
          <w:rFonts w:ascii="Arial" w:hAnsi="Arial"/>
          <w:sz w:val="16"/>
        </w:rPr>
        <w:t>505.27  برجسته با بال یا نشان واجد شرایط، نام و نام خانوادگی، رتبه و USAF.</w:t>
      </w:r>
    </w:p>
    <w:p>
      <w:pPr>
        <w:spacing w:after="28" w:line="216" w:lineRule="auto"/>
        <w:ind w:left="259"/>
        <w:jc w:val="left"/>
      </w:pPr>
      <w:r>
        <w:rPr>
          <w:rFonts w:ascii="Arial" w:hAnsi="Arial"/>
          <w:color w:val="525252"/>
          <w:sz w:val="13"/>
        </w:rPr>
        <w:t>Emboss with wings or qualifying badge, first and last name, rank, and USAF.</w:t>
      </w:r>
    </w:p>
    <w:p>
      <w:pPr>
        <w:spacing w:after="20" w:line="223" w:lineRule="auto"/>
        <w:jc w:val="right"/>
        <w:bidi/>
      </w:pPr>
      <w:r>
        <w:rPr>
          <w:rFonts w:ascii="Arial" w:hAnsi="Arial"/>
          <w:sz w:val="16"/>
        </w:rPr>
        <w:t>505.28  اعضا می‌توانند با هزینه خود یک جیب داخلی اضافه کنند، در صورتی که از ظاهر خارجی آن کاسته نشود.</w:t>
      </w:r>
    </w:p>
    <w:p>
      <w:pPr>
        <w:spacing w:after="28" w:line="216" w:lineRule="auto"/>
        <w:ind w:left="259"/>
        <w:jc w:val="left"/>
      </w:pPr>
      <w:r>
        <w:rPr>
          <w:rFonts w:ascii="Arial" w:hAnsi="Arial"/>
          <w:color w:val="525252"/>
          <w:sz w:val="13"/>
        </w:rPr>
        <w:t>Members may add an inside pocket, at their expense, when it does not detract from the external appearance.</w:t>
      </w:r>
    </w:p>
    <w:p>
      <w:pPr>
        <w:spacing w:after="20" w:line="223" w:lineRule="auto"/>
        <w:jc w:val="right"/>
        <w:bidi/>
      </w:pPr>
      <w:r>
        <w:rPr>
          <w:rFonts w:ascii="Arial" w:hAnsi="Arial"/>
          <w:sz w:val="16"/>
        </w:rPr>
        <w:t>505.29  وصله بال و ستاره ممکن است توسط افرادی استفاده شود که به MAJCOM اختصاص داده نشده‌اند.</w:t>
      </w:r>
    </w:p>
    <w:p>
      <w:pPr>
        <w:spacing w:after="28" w:line="216" w:lineRule="auto"/>
        <w:ind w:left="259"/>
        <w:jc w:val="left"/>
      </w:pPr>
      <w:r>
        <w:rPr>
          <w:rFonts w:ascii="Arial" w:hAnsi="Arial"/>
          <w:color w:val="525252"/>
          <w:sz w:val="13"/>
        </w:rPr>
        <w:t>The wing and star patch may be worn by individuals not assigned to a MAJCOM.</w:t>
      </w:r>
    </w:p>
    <w:p>
      <w:pPr>
        <w:spacing w:after="20" w:line="223" w:lineRule="auto"/>
        <w:jc w:val="right"/>
        <w:bidi/>
      </w:pPr>
      <w:r>
        <w:rPr>
          <w:rFonts w:ascii="Arial" w:hAnsi="Arial"/>
          <w:sz w:val="16"/>
        </w:rPr>
        <w:t>505.30  توجه: ژنرال‌های ۴ ستاره، صرف‌نظر از کد تخصص نیروی هوایی خود، می‌توانند کت پرنده چرمی ا-۲ را بپوشند.</w:t>
      </w:r>
    </w:p>
    <w:p>
      <w:pPr>
        <w:spacing w:after="28" w:line="216" w:lineRule="auto"/>
        <w:ind w:left="259"/>
        <w:jc w:val="left"/>
      </w:pPr>
      <w:r>
        <w:rPr>
          <w:rFonts w:ascii="Arial" w:hAnsi="Arial"/>
          <w:color w:val="525252"/>
          <w:sz w:val="13"/>
        </w:rPr>
        <w:t>Note: 4-Star Generals, regardless of their Air Force Specialty Code, may wear the leather A-2 flying jacket.</w:t>
      </w:r>
    </w:p>
    <w:p>
      <w:pPr>
        <w:spacing w:after="20" w:line="223" w:lineRule="auto"/>
        <w:jc w:val="right"/>
        <w:bidi/>
      </w:pPr>
      <w:r>
        <w:rPr>
          <w:rFonts w:ascii="Arial" w:hAnsi="Arial"/>
          <w:sz w:val="16"/>
        </w:rPr>
        <w:t>505.31  برای ساییدگی و توضیحات، به DAFI ۳۶-۲۹۰۳، بند ۹.۵.۲ تا ۹.۵.۲.۳ مراجعه کنید.</w:t>
      </w:r>
    </w:p>
    <w:p>
      <w:pPr>
        <w:spacing w:after="28" w:line="216" w:lineRule="auto"/>
        <w:ind w:left="259"/>
        <w:jc w:val="left"/>
      </w:pPr>
      <w:r>
        <w:rPr>
          <w:rFonts w:ascii="Arial" w:hAnsi="Arial"/>
          <w:color w:val="525252"/>
          <w:sz w:val="13"/>
        </w:rPr>
        <w:t>For wear and description see DAFI 36- 2903, paragraph 9.5.2 through 9.5.2.3.</w:t>
      </w:r>
    </w:p>
    <w:p>
      <w:pPr>
        <w:spacing w:after="20" w:line="223" w:lineRule="auto"/>
        <w:jc w:val="right"/>
        <w:bidi/>
      </w:pPr>
      <w:r>
        <w:rPr>
          <w:rFonts w:ascii="Arial" w:hAnsi="Arial"/>
          <w:sz w:val="16"/>
        </w:rPr>
        <w:t>505.32  آیگیلت.</w:t>
      </w:r>
    </w:p>
    <w:p>
      <w:pPr>
        <w:spacing w:after="28" w:line="216" w:lineRule="auto"/>
        <w:ind w:left="259"/>
        <w:jc w:val="left"/>
      </w:pPr>
      <w:r>
        <w:rPr>
          <w:rFonts w:ascii="Arial" w:hAnsi="Arial"/>
          <w:color w:val="525252"/>
          <w:sz w:val="13"/>
        </w:rPr>
        <w:t>Aiguillettes.</w:t>
      </w:r>
    </w:p>
    <w:p>
      <w:pPr>
        <w:spacing w:after="20" w:line="223" w:lineRule="auto"/>
        <w:jc w:val="right"/>
        <w:bidi/>
      </w:pPr>
      <w:r>
        <w:rPr>
          <w:rFonts w:ascii="Arial" w:hAnsi="Arial"/>
          <w:sz w:val="16"/>
        </w:rPr>
        <w:t>505.33  ایگویللتت دستیاران افسر و وابسته را متمایز می‌کند.</w:t>
      </w:r>
    </w:p>
    <w:p>
      <w:pPr>
        <w:spacing w:after="28" w:line="216" w:lineRule="auto"/>
        <w:ind w:left="259"/>
        <w:jc w:val="left"/>
      </w:pPr>
      <w:r>
        <w:rPr>
          <w:rFonts w:ascii="Arial" w:hAnsi="Arial"/>
          <w:color w:val="525252"/>
          <w:sz w:val="13"/>
        </w:rPr>
        <w:t>Aiguillettes distinguish officer aides and attachés.</w:t>
      </w:r>
    </w:p>
    <w:p>
      <w:pPr>
        <w:spacing w:after="20" w:line="223" w:lineRule="auto"/>
        <w:jc w:val="right"/>
        <w:bidi/>
      </w:pPr>
      <w:r>
        <w:rPr>
          <w:rFonts w:ascii="Arial" w:hAnsi="Arial"/>
          <w:sz w:val="16"/>
        </w:rPr>
        <w:t>505.34  دستیار رئیس‌جمهور و معاون رئیس‌جمهور ایالات متحده، دستیاران اجتماعی کاخ سفید، دستیاران وزیر و معاون وزیر دفاع و دستیاران سران کشورهای خارجی، در سمت راست لباس‌های اویگیت می‌پوشند. سایر دستیاران و وابسته‌ها در سمت چپ.</w:t>
      </w:r>
    </w:p>
    <w:p>
      <w:pPr>
        <w:spacing w:after="28" w:line="216" w:lineRule="auto"/>
        <w:ind w:left="259"/>
        <w:jc w:val="left"/>
      </w:pPr>
      <w:r>
        <w:rPr>
          <w:rFonts w:ascii="Arial" w:hAnsi="Arial"/>
          <w:color w:val="525252"/>
          <w:sz w:val="13"/>
        </w:rPr>
        <w:t>The aide to the President and Vice President of the U.S., White House social aides, aides to the Secretary and Deputy Secretary of Defense and aides to foreign heads of state, wear aiguillette on the right; other aides and attachés on the left.</w:t>
      </w:r>
    </w:p>
    <w:p>
      <w:pPr>
        <w:spacing w:after="20" w:line="223" w:lineRule="auto"/>
        <w:jc w:val="right"/>
        <w:bidi/>
      </w:pPr>
      <w:r>
        <w:rPr>
          <w:rFonts w:ascii="Arial" w:hAnsi="Arial"/>
          <w:sz w:val="16"/>
        </w:rPr>
        <w:t>505.35  ایگویللتت برای دستیاران افسر عمومی.</w:t>
      </w:r>
    </w:p>
    <w:p>
      <w:pPr>
        <w:spacing w:after="28" w:line="216" w:lineRule="auto"/>
        <w:ind w:left="259"/>
        <w:jc w:val="left"/>
      </w:pPr>
      <w:r>
        <w:rPr>
          <w:rFonts w:ascii="Arial" w:hAnsi="Arial"/>
          <w:color w:val="525252"/>
          <w:sz w:val="13"/>
        </w:rPr>
        <w:t>Aiguillette for General Officer Aides.</w:t>
      </w:r>
    </w:p>
    <w:p>
      <w:pPr>
        <w:spacing w:after="20" w:line="223" w:lineRule="auto"/>
        <w:jc w:val="right"/>
        <w:bidi/>
      </w:pPr>
      <w:r>
        <w:rPr>
          <w:rFonts w:ascii="Arial" w:hAnsi="Arial"/>
          <w:sz w:val="16"/>
        </w:rPr>
        <w:t>505.36  تشریفاتی، نقره‌ای، تک حلقه، نوک کرومی با نشان برجسته "بال و ستاره".</w:t>
      </w:r>
    </w:p>
    <w:p>
      <w:pPr>
        <w:spacing w:after="28" w:line="216" w:lineRule="auto"/>
        <w:ind w:left="259"/>
        <w:jc w:val="left"/>
      </w:pPr>
      <w:r>
        <w:rPr>
          <w:rFonts w:ascii="Arial" w:hAnsi="Arial"/>
          <w:color w:val="525252"/>
          <w:sz w:val="13"/>
        </w:rPr>
        <w:t>Ceremonial, silver, single loop, chrome tip with raised “wing and star” emblem.</w:t>
      </w:r>
    </w:p>
    <w:p>
      <w:pPr>
        <w:spacing w:after="20" w:line="223" w:lineRule="auto"/>
        <w:jc w:val="right"/>
        <w:bidi/>
      </w:pPr>
      <w:r>
        <w:rPr>
          <w:rFonts w:ascii="Arial" w:hAnsi="Arial"/>
          <w:sz w:val="16"/>
        </w:rPr>
        <w:t>505.37  هنگام پوشیدن یونیفرم‌های لباس سرویس، آگویلت حلقه باز را در زیر اپولت بپوشید.</w:t>
      </w:r>
    </w:p>
    <w:p>
      <w:pPr>
        <w:spacing w:after="28" w:line="216" w:lineRule="auto"/>
        <w:ind w:left="259"/>
        <w:jc w:val="left"/>
      </w:pPr>
      <w:r>
        <w:rPr>
          <w:rFonts w:ascii="Arial" w:hAnsi="Arial"/>
          <w:color w:val="525252"/>
          <w:sz w:val="13"/>
        </w:rPr>
        <w:t>Wear the open-end loop aiguillette under the epaulet, grounded to the left shoulder seam when wearing service dress uniforms.</w:t>
      </w:r>
    </w:p>
    <w:p>
      <w:pPr>
        <w:spacing w:after="20" w:line="223" w:lineRule="auto"/>
        <w:jc w:val="right"/>
        <w:bidi/>
      </w:pPr>
      <w:r>
        <w:rPr>
          <w:rFonts w:ascii="Arial" w:hAnsi="Arial"/>
          <w:sz w:val="16"/>
        </w:rPr>
        <w:t>505.38  برای لباس نامرتب: نقره‌ای، حلقه دوتایی، دو نوک کرومی با نشان برجسته "بال و ستاره".</w:t>
      </w:r>
    </w:p>
    <w:p>
      <w:pPr>
        <w:spacing w:after="28" w:line="216" w:lineRule="auto"/>
        <w:ind w:left="259"/>
        <w:jc w:val="left"/>
      </w:pPr>
      <w:r>
        <w:rPr>
          <w:rFonts w:ascii="Arial" w:hAnsi="Arial"/>
          <w:color w:val="525252"/>
          <w:sz w:val="13"/>
        </w:rPr>
        <w:t>For mess dress: silver, double loop, two chrome tips with raised “wing and star” emblem.</w:t>
      </w:r>
    </w:p>
    <w:p>
      <w:pPr>
        <w:spacing w:after="20" w:line="223" w:lineRule="auto"/>
        <w:jc w:val="right"/>
        <w:bidi/>
      </w:pPr>
      <w:r>
        <w:rPr>
          <w:rFonts w:ascii="Arial" w:hAnsi="Arial"/>
          <w:sz w:val="16"/>
        </w:rPr>
        <w:t>505.39  آگویلت حلقه باز را در زیر اپولت بپوشید که تا درز شانه چپ زمین شده است.</w:t>
      </w:r>
    </w:p>
    <w:p>
      <w:pPr>
        <w:spacing w:after="28" w:line="216" w:lineRule="auto"/>
        <w:ind w:left="259"/>
        <w:jc w:val="left"/>
      </w:pPr>
      <w:r>
        <w:rPr>
          <w:rFonts w:ascii="Arial" w:hAnsi="Arial"/>
          <w:color w:val="525252"/>
          <w:sz w:val="13"/>
        </w:rPr>
        <w:t>Wear the open- end loop aiguillette under the epaulet, grounded to the left shoulder seam.</w:t>
      </w:r>
    </w:p>
    <w:p>
      <w:pPr>
        <w:spacing w:after="20" w:line="223" w:lineRule="auto"/>
        <w:jc w:val="right"/>
        <w:bidi/>
      </w:pPr>
      <w:r>
        <w:rPr>
          <w:rFonts w:ascii="Arial" w:hAnsi="Arial"/>
          <w:sz w:val="16"/>
        </w:rPr>
        <w:t>505.40  حلقه بسته را زیر یقه سمت چپ حتی با گل میخ دوم روی پیراهن سنجاق کنید تا نوک‌های کرومی به‌طور طبیعی در امتداد یقه آویزان شوند.</w:t>
      </w:r>
    </w:p>
    <w:p>
      <w:pPr>
        <w:spacing w:after="28" w:line="216" w:lineRule="auto"/>
        <w:ind w:left="259"/>
        <w:jc w:val="left"/>
      </w:pPr>
      <w:r>
        <w:rPr>
          <w:rFonts w:ascii="Arial" w:hAnsi="Arial"/>
          <w:color w:val="525252"/>
          <w:sz w:val="13"/>
        </w:rPr>
        <w:t>Pin the closed loop under the left lapel even with the second stud on the shirt so that the chrome tips hang naturally along the lapel.</w:t>
      </w:r>
    </w:p>
    <w:p>
      <w:pPr>
        <w:spacing w:after="20" w:line="223" w:lineRule="auto"/>
        <w:jc w:val="right"/>
        <w:bidi/>
      </w:pPr>
      <w:r>
        <w:rPr>
          <w:rFonts w:ascii="Arial" w:hAnsi="Arial"/>
          <w:sz w:val="16"/>
        </w:rPr>
        <w:t>505.41  ایگویللتت برای دستیاران سرباز.</w:t>
      </w:r>
    </w:p>
    <w:p>
      <w:pPr>
        <w:spacing w:after="28" w:line="216" w:lineRule="auto"/>
        <w:ind w:left="259"/>
        <w:jc w:val="left"/>
      </w:pPr>
      <w:r>
        <w:rPr>
          <w:rFonts w:ascii="Arial" w:hAnsi="Arial"/>
          <w:color w:val="525252"/>
          <w:sz w:val="13"/>
        </w:rPr>
        <w:t>Aiguillette for Enlisted Aides.</w:t>
      </w:r>
    </w:p>
    <w:p>
      <w:pPr>
        <w:spacing w:after="20" w:line="223" w:lineRule="auto"/>
        <w:jc w:val="right"/>
        <w:bidi/>
      </w:pPr>
      <w:r>
        <w:rPr>
          <w:rFonts w:ascii="Arial" w:hAnsi="Arial"/>
          <w:sz w:val="16"/>
        </w:rPr>
        <w:t>505.42  تشریفاتی، نقره‌ای، تک حلقه، نوک کرومی با نشان برجسته "بال و ستاره".</w:t>
      </w:r>
    </w:p>
    <w:p>
      <w:pPr>
        <w:spacing w:after="28" w:line="216" w:lineRule="auto"/>
        <w:ind w:left="259"/>
        <w:jc w:val="left"/>
      </w:pPr>
      <w:r>
        <w:rPr>
          <w:rFonts w:ascii="Arial" w:hAnsi="Arial"/>
          <w:color w:val="525252"/>
          <w:sz w:val="13"/>
        </w:rPr>
        <w:t>Ceremonial, silver, single loop, chrome tip with raised “wing and star” emblem.</w:t>
      </w:r>
    </w:p>
    <w:p>
      <w:pPr>
        <w:spacing w:after="20" w:line="223" w:lineRule="auto"/>
        <w:jc w:val="right"/>
        <w:bidi/>
      </w:pPr>
      <w:r>
        <w:rPr>
          <w:rFonts w:ascii="Arial" w:hAnsi="Arial"/>
          <w:sz w:val="16"/>
        </w:rPr>
        <w:t>505.43  هنگام پوشیدن یونیفرم سرویس (کلاس ا) از درز حلقه بسته انتهایی در بالای اپولت استفاده کنید، درزهای شانه چپ را هنگام پوشیدن لباس‌های فرم سرویس (کلاس ا) و هنگام پوشیدن لباس‌های لباس نیمه رسمی یا لباس‌های نامرتب به دوش شانه متصل کنید.</w:t>
      </w:r>
    </w:p>
    <w:p>
      <w:pPr>
        <w:spacing w:after="28" w:line="216" w:lineRule="auto"/>
        <w:ind w:left="259"/>
        <w:jc w:val="left"/>
      </w:pPr>
      <w:r>
        <w:rPr>
          <w:rFonts w:ascii="Arial" w:hAnsi="Arial"/>
          <w:color w:val="525252"/>
          <w:sz w:val="13"/>
        </w:rPr>
        <w:t>Wear closed end loop aiguillette on top of epaulet, grounded to left shoulder seam when wearing service uniform (Class A) and grounded to shoulder seam when wearing service dress, semi-formal or mess dress uniforms.</w:t>
      </w:r>
    </w:p>
    <w:p>
      <w:pPr>
        <w:spacing w:after="20" w:line="223" w:lineRule="auto"/>
        <w:jc w:val="right"/>
        <w:bidi/>
      </w:pPr>
      <w:r>
        <w:rPr>
          <w:rFonts w:ascii="Arial" w:hAnsi="Arial"/>
          <w:sz w:val="16"/>
        </w:rPr>
        <w:t>505.44  روحانیون.</w:t>
      </w:r>
    </w:p>
    <w:p>
      <w:pPr>
        <w:spacing w:after="28" w:line="216" w:lineRule="auto"/>
        <w:ind w:left="259"/>
        <w:jc w:val="left"/>
      </w:pPr>
      <w:r>
        <w:rPr>
          <w:rFonts w:ascii="Arial" w:hAnsi="Arial"/>
          <w:color w:val="525252"/>
          <w:sz w:val="13"/>
        </w:rPr>
        <w:t>Chaplains.</w:t>
      </w:r>
    </w:p>
    <w:p>
      <w:pPr>
        <w:spacing w:after="20" w:line="223" w:lineRule="auto"/>
        <w:jc w:val="right"/>
        <w:bidi/>
      </w:pPr>
      <w:r>
        <w:rPr>
          <w:rFonts w:ascii="Arial" w:hAnsi="Arial"/>
          <w:sz w:val="16"/>
        </w:rPr>
        <w:t>505.45  روحانیون ممکن است برای اجرای مراسم مذهبی و مراسم عبادت، از لباس‌های مذهبی، لباس‌های سنتی، یا لباس‌های غیرنظامی استفاده کنند.</w:t>
      </w:r>
    </w:p>
    <w:p>
      <w:pPr>
        <w:spacing w:after="28" w:line="216" w:lineRule="auto"/>
        <w:ind w:left="259"/>
        <w:jc w:val="left"/>
      </w:pPr>
      <w:r>
        <w:rPr>
          <w:rFonts w:ascii="Arial" w:hAnsi="Arial"/>
          <w:color w:val="525252"/>
          <w:sz w:val="13"/>
        </w:rPr>
        <w:t>Chaplains may wear religious regalia, traditional garments, or civilian attire to conduct chapel-led functions and worship services.</w:t>
      </w:r>
    </w:p>
    <w:p>
      <w:pPr>
        <w:spacing w:after="20" w:line="223" w:lineRule="auto"/>
        <w:jc w:val="right"/>
        <w:bidi/>
      </w:pPr>
      <w:r>
        <w:rPr>
          <w:rFonts w:ascii="Arial" w:hAnsi="Arial"/>
          <w:sz w:val="16"/>
        </w:rPr>
        <w:t>505.46  روحانی ارشد وینگ/دلتا/DRU ممکن است لباس غیرنظامی مناسب را برای هوانوردان امور مذهبی که از عملکردهای کلیسا و خدمات عبادی پشتیبانی می‌کنند، مجاز کند.</w:t>
      </w:r>
    </w:p>
    <w:p>
      <w:pPr>
        <w:spacing w:after="28" w:line="216" w:lineRule="auto"/>
        <w:ind w:left="259"/>
        <w:jc w:val="left"/>
      </w:pPr>
      <w:r>
        <w:rPr>
          <w:rFonts w:ascii="Arial" w:hAnsi="Arial"/>
          <w:color w:val="525252"/>
          <w:sz w:val="13"/>
        </w:rPr>
        <w:t>The senior Wing/Delta/DRU Chaplain may authorize appropriate civilian attire for Religious Affairs Airmen supporting chapel-led functions and worship services.</w:t>
      </w:r>
    </w:p>
    <w:p>
      <w:r>
        <w:br w:type="page"/>
      </w:r>
    </w:p>
    <w:p>
      <w:pPr>
        <w:spacing w:after="60"/>
        <w:jc w:val="right"/>
        <w:bidi/>
      </w:pPr>
      <w:r>
        <w:rPr>
          <w:rFonts w:ascii="Arial" w:hAnsi="Arial"/>
          <w:b/>
          <w:color w:val="1F4D78"/>
          <w:sz w:val="19"/>
        </w:rPr>
        <w:t>هفتهٔ 506  |  صفحهٔ منبع: 522</w:t>
      </w:r>
    </w:p>
    <w:p>
      <w:pPr>
        <w:spacing w:after="20" w:line="223" w:lineRule="auto"/>
        <w:jc w:val="right"/>
        <w:bidi/>
      </w:pPr>
      <w:r>
        <w:rPr>
          <w:rFonts w:ascii="Arial" w:hAnsi="Arial"/>
          <w:sz w:val="16"/>
        </w:rPr>
        <w:t>506.01  عوامل AFOSI.</w:t>
      </w:r>
    </w:p>
    <w:p>
      <w:pPr>
        <w:spacing w:after="28" w:line="216" w:lineRule="auto"/>
        <w:ind w:left="259"/>
        <w:jc w:val="left"/>
      </w:pPr>
      <w:r>
        <w:rPr>
          <w:rFonts w:ascii="Arial" w:hAnsi="Arial"/>
          <w:color w:val="525252"/>
          <w:sz w:val="13"/>
        </w:rPr>
        <w:t>AFOSI Agents.</w:t>
      </w:r>
    </w:p>
    <w:p>
      <w:pPr>
        <w:spacing w:after="20" w:line="223" w:lineRule="auto"/>
        <w:jc w:val="right"/>
        <w:bidi/>
      </w:pPr>
      <w:r>
        <w:rPr>
          <w:rFonts w:ascii="Arial" w:hAnsi="Arial"/>
          <w:sz w:val="16"/>
        </w:rPr>
        <w:t>506.02  نوار عامل خاص به جای رتبه روی نام OCP بالا پوشیده شده است.</w:t>
      </w:r>
    </w:p>
    <w:p>
      <w:pPr>
        <w:spacing w:after="28" w:line="216" w:lineRule="auto"/>
        <w:ind w:left="259"/>
        <w:jc w:val="left"/>
      </w:pPr>
      <w:r>
        <w:rPr>
          <w:rFonts w:ascii="Arial" w:hAnsi="Arial"/>
          <w:color w:val="525252"/>
          <w:sz w:val="13"/>
        </w:rPr>
        <w:t>SPECIAL AGENT tape is worn on the OCP above name in lieu of rank.</w:t>
      </w:r>
    </w:p>
    <w:p>
      <w:pPr>
        <w:spacing w:after="20" w:line="223" w:lineRule="auto"/>
        <w:jc w:val="right"/>
        <w:bidi/>
      </w:pPr>
      <w:r>
        <w:rPr>
          <w:rFonts w:ascii="Arial" w:hAnsi="Arial"/>
          <w:sz w:val="16"/>
        </w:rPr>
        <w:t>506.03  نمایندگان AFOSI به جز طبق دستور AFOSI/CC از رتبه استفاده نمی‌کنند.</w:t>
      </w:r>
    </w:p>
    <w:p>
      <w:pPr>
        <w:spacing w:after="28" w:line="216" w:lineRule="auto"/>
        <w:ind w:left="259"/>
        <w:jc w:val="left"/>
      </w:pPr>
      <w:r>
        <w:rPr>
          <w:rFonts w:ascii="Arial" w:hAnsi="Arial"/>
          <w:color w:val="525252"/>
          <w:sz w:val="13"/>
        </w:rPr>
        <w:t>AFOSI Agents do not wear rank except as directed by AFOSI/CC.</w:t>
      </w:r>
    </w:p>
    <w:p>
      <w:pPr>
        <w:spacing w:after="20" w:line="223" w:lineRule="auto"/>
        <w:jc w:val="right"/>
        <w:bidi/>
      </w:pPr>
      <w:r>
        <w:rPr>
          <w:rFonts w:ascii="Arial" w:hAnsi="Arial"/>
          <w:sz w:val="16"/>
        </w:rPr>
        <w:t>506.04  سرگروهبان ارشد نیروی هوایی (CMSAF).</w:t>
      </w:r>
    </w:p>
    <w:p>
      <w:pPr>
        <w:spacing w:after="28" w:line="216" w:lineRule="auto"/>
        <w:ind w:left="259"/>
        <w:jc w:val="left"/>
      </w:pPr>
      <w:r>
        <w:rPr>
          <w:rFonts w:ascii="Arial" w:hAnsi="Arial"/>
          <w:color w:val="525252"/>
          <w:sz w:val="13"/>
        </w:rPr>
        <w:t>Chief Master Sergeant of the Air Force (CMSAF).</w:t>
      </w:r>
    </w:p>
    <w:p>
      <w:pPr>
        <w:spacing w:after="20" w:line="223" w:lineRule="auto"/>
        <w:jc w:val="right"/>
        <w:bidi/>
      </w:pPr>
      <w:r>
        <w:rPr>
          <w:rFonts w:ascii="Arial" w:hAnsi="Arial"/>
          <w:sz w:val="16"/>
        </w:rPr>
        <w:t>506.05  مجاز به پوشیدن کراوات یا گیره با نشان درجه CMSAF، کراوات یا دکمه سرآستین با طرح "عقاب و اکلیل".</w:t>
      </w:r>
    </w:p>
    <w:p>
      <w:pPr>
        <w:spacing w:after="28" w:line="216" w:lineRule="auto"/>
        <w:ind w:left="259"/>
        <w:jc w:val="left"/>
      </w:pPr>
      <w:r>
        <w:rPr>
          <w:rFonts w:ascii="Arial" w:hAnsi="Arial"/>
          <w:color w:val="525252"/>
          <w:sz w:val="13"/>
        </w:rPr>
        <w:t>Authorized to wear tie tack or clasp with CMSAF grade insignia, tie tack or cuff links with an “eagle and wreath” design.</w:t>
      </w:r>
    </w:p>
    <w:p>
      <w:pPr>
        <w:spacing w:after="20" w:line="223" w:lineRule="auto"/>
        <w:jc w:val="right"/>
        <w:bidi/>
      </w:pPr>
      <w:r>
        <w:rPr>
          <w:rFonts w:ascii="Arial" w:hAnsi="Arial"/>
          <w:sz w:val="16"/>
        </w:rPr>
        <w:t>506.06  CMSAF نشان طرح "عقاب و تاج گل" را روی کلاه سرویس و "تاج گل" نشان ایالات متحده را بر روی کت خدمات خواهد گذاشت.</w:t>
      </w:r>
    </w:p>
    <w:p>
      <w:pPr>
        <w:spacing w:after="28" w:line="216" w:lineRule="auto"/>
        <w:ind w:left="259"/>
        <w:jc w:val="left"/>
      </w:pPr>
      <w:r>
        <w:rPr>
          <w:rFonts w:ascii="Arial" w:hAnsi="Arial"/>
          <w:color w:val="525252"/>
          <w:sz w:val="13"/>
        </w:rPr>
        <w:t>CMSAF will wear “eagle and wreath” design emblem on service cap and “wreath” encircled U.S. insignia on service coat.</w:t>
      </w:r>
    </w:p>
    <w:p>
      <w:pPr>
        <w:spacing w:after="20" w:line="223" w:lineRule="auto"/>
        <w:jc w:val="right"/>
        <w:bidi/>
      </w:pPr>
      <w:r>
        <w:rPr>
          <w:rFonts w:ascii="Arial" w:hAnsi="Arial"/>
          <w:sz w:val="16"/>
        </w:rPr>
        <w:t>506.07  کارکنان مستقیم وزیر نیروی هوایی، رئیس ستاد نیروی هوایی، سرگروهبان ارشد نیروی هوایی، رئیس ستاد مشترک (CJCS)، معاون رئیس ستاد مشترک (VCJCS) و رئیس ستاد مشترک (VCJCS) و مشاور ارشد استخدام شده (مشاور ارشد) مجاز به SEAC هستند. پرچم مربوطه روی پیراهن بلوز آنها. شورت AFSC سری ۲کس ⟦۰۰۸.</w:t>
      </w:r>
    </w:p>
    <w:p>
      <w:pPr>
        <w:spacing w:after="28" w:line="216" w:lineRule="auto"/>
        <w:ind w:left="259"/>
        <w:jc w:val="left"/>
      </w:pPr>
      <w:r>
        <w:rPr>
          <w:rFonts w:ascii="Arial" w:hAnsi="Arial"/>
          <w:color w:val="525252"/>
          <w:sz w:val="13"/>
        </w:rPr>
        <w:t>The immediate staff of the Secretary of the Air Force, Air Force Chief of Staff, Chief Master Sergeant of the Air Force, Chairman of the Joint Chiefs of Staff (CJCS), Vice Chairman of the Joint Chiefs of Staff (VCJCS), and Senior Enlisted Advisor to the Chairman (SEAC) are authorized to wear specialized nametags containing their respective flag on their blues shirts.</w:t>
      </w:r>
    </w:p>
    <w:p>
      <w:pPr>
        <w:spacing w:after="20" w:line="223" w:lineRule="auto"/>
        <w:jc w:val="right"/>
        <w:bidi/>
      </w:pPr>
      <w:r>
        <w:rPr>
          <w:rFonts w:ascii="Arial" w:hAnsi="Arial"/>
          <w:sz w:val="16"/>
        </w:rPr>
        <w:t>506.08  شورت افسکس سری ۲کس.</w:t>
      </w:r>
    </w:p>
    <w:p>
      <w:pPr>
        <w:spacing w:after="28" w:line="216" w:lineRule="auto"/>
        <w:ind w:left="259"/>
        <w:jc w:val="left"/>
      </w:pPr>
      <w:r>
        <w:rPr>
          <w:rFonts w:ascii="Arial" w:hAnsi="Arial"/>
          <w:color w:val="525252"/>
          <w:sz w:val="13"/>
        </w:rPr>
        <w:t>2X-Series AFSCs Shorts.</w:t>
      </w:r>
    </w:p>
    <w:p>
      <w:pPr>
        <w:spacing w:after="20" w:line="223" w:lineRule="auto"/>
        <w:jc w:val="right"/>
        <w:bidi/>
      </w:pPr>
      <w:r>
        <w:rPr>
          <w:rFonts w:ascii="Arial" w:hAnsi="Arial"/>
          <w:sz w:val="16"/>
        </w:rPr>
        <w:t>506.09  فرماندهان هوانوردی در این AFSCها ممکن است به جای شلوار الگوی استتار عملیاتی (OCP) در مناطق صنعتی مانند خط پرواز، آشیانه‌ها، انبارها یا مناطق اسکله خارج از محیط‌های کنترل‌شده با آب و هوا و زمانی که دمای بالای محیط از ۸۰ درجه پیش‌بینی می‌شود، اجازه استفاده از شورت آبی تیره را بدهند.</w:t>
      </w:r>
    </w:p>
    <w:p>
      <w:pPr>
        <w:spacing w:after="28" w:line="216" w:lineRule="auto"/>
        <w:ind w:left="259"/>
        <w:jc w:val="left"/>
      </w:pPr>
      <w:r>
        <w:rPr>
          <w:rFonts w:ascii="Arial" w:hAnsi="Arial"/>
          <w:color w:val="525252"/>
          <w:sz w:val="13"/>
        </w:rPr>
        <w:t>Commanders of Airmen in these AFSCs may authorize wear of dark blue shorts in lieu of the Operational Camouflage Pattern (OCP) trousers in industrial areas, such as the flight line, hangars, warehouses, or dock areas outside of climate- controlled environments and when the ambient high temperature is forecast to meet or exceed 80 degrees Fahrenheit.</w:t>
      </w:r>
    </w:p>
    <w:p>
      <w:pPr>
        <w:spacing w:after="20" w:line="223" w:lineRule="auto"/>
        <w:jc w:val="right"/>
        <w:bidi/>
      </w:pPr>
      <w:r>
        <w:rPr>
          <w:rFonts w:ascii="Arial" w:hAnsi="Arial"/>
          <w:sz w:val="16"/>
        </w:rPr>
        <w:t>506.10  توجه: شورت آبی تیره در هیچ نقطه‌ای خارج از محل وظیفه تعیین شده پوشیده نخواهد شد تا در هنگام حمل و نقل به و از محل وظیفه استفاده شود. اما سفرهای کوتاه مدت به مراکز کاری مجاور خط پرواز با هدف بازگشت به مناطق صنعتی تعریف شده قابل قبول است.</w:t>
      </w:r>
    </w:p>
    <w:p>
      <w:pPr>
        <w:spacing w:after="28" w:line="216" w:lineRule="auto"/>
        <w:ind w:left="259"/>
        <w:jc w:val="left"/>
      </w:pPr>
      <w:r>
        <w:rPr>
          <w:rFonts w:ascii="Arial" w:hAnsi="Arial"/>
          <w:color w:val="525252"/>
          <w:sz w:val="13"/>
        </w:rPr>
        <w:t>Note: The dark blue shorts will not be worn anywhere outside the prescribed duty location to include during transit to and from the duty location; however, short- duration trips into flight line adjacent work centers with the intent of returning to the defined industrial areas is acceptable.</w:t>
      </w:r>
    </w:p>
    <w:p>
      <w:pPr>
        <w:spacing w:after="20" w:line="223" w:lineRule="auto"/>
        <w:jc w:val="right"/>
        <w:bidi/>
      </w:pPr>
      <w:r>
        <w:rPr>
          <w:rFonts w:ascii="Arial" w:hAnsi="Arial"/>
          <w:sz w:val="16"/>
        </w:rPr>
        <w:t>506.11  تنها شورت آبی تیره مجاز برای پوشیدن از طریق برنامه پشتیبانی تدارکاتی اختصاصی آژانس لجستیک دفاعی در https://www.dla.mil/TroopSupport/ConstructionandEquipment/Spec-Ops-marine-lifesaving/ خریداری/صدور می‌شود.</w:t>
      </w:r>
    </w:p>
    <w:p>
      <w:pPr>
        <w:spacing w:after="28" w:line="216" w:lineRule="auto"/>
        <w:ind w:left="259"/>
        <w:jc w:val="left"/>
      </w:pPr>
      <w:r>
        <w:rPr>
          <w:rFonts w:ascii="Arial" w:hAnsi="Arial"/>
          <w:color w:val="525252"/>
          <w:sz w:val="13"/>
        </w:rPr>
        <w:t>The only dark blue shorts authorized for wear will be purchased/issued through the Defense Logistics Agency’s Tailored Logistics Support Program at https://www.dla.mil/TroopSupport/ConstructionandEquipment/Spec-Ops-marine-lifesaving/.</w:t>
      </w:r>
    </w:p>
    <w:p>
      <w:pPr>
        <w:spacing w:after="20" w:line="223" w:lineRule="auto"/>
        <w:jc w:val="right"/>
        <w:bidi/>
      </w:pPr>
      <w:r>
        <w:rPr>
          <w:rFonts w:ascii="Arial" w:hAnsi="Arial"/>
          <w:sz w:val="16"/>
        </w:rPr>
        <w:t>506.12  دارای گواهینامه مطابقت کامل با تمام مشخصات هستند.</w:t>
      </w:r>
    </w:p>
    <w:p>
      <w:pPr>
        <w:spacing w:after="28" w:line="216" w:lineRule="auto"/>
        <w:ind w:left="259"/>
        <w:jc w:val="left"/>
      </w:pPr>
      <w:r>
        <w:rPr>
          <w:rFonts w:ascii="Arial" w:hAnsi="Arial"/>
          <w:color w:val="525252"/>
          <w:sz w:val="13"/>
        </w:rPr>
        <w:t>They are certified as fully compliant with all specifications.</w:t>
      </w:r>
    </w:p>
    <w:p>
      <w:pPr>
        <w:spacing w:after="20" w:line="223" w:lineRule="auto"/>
        <w:jc w:val="right"/>
        <w:bidi/>
      </w:pPr>
      <w:r>
        <w:rPr>
          <w:rFonts w:ascii="Arial" w:hAnsi="Arial"/>
          <w:sz w:val="16"/>
        </w:rPr>
        <w:t>506.13  هیچ تأمین کننده دیگری برای خرید سازمانی/واحد تأیید نشده است.</w:t>
      </w:r>
    </w:p>
    <w:p>
      <w:pPr>
        <w:spacing w:after="28" w:line="216" w:lineRule="auto"/>
        <w:ind w:left="259"/>
        <w:jc w:val="left"/>
      </w:pPr>
      <w:r>
        <w:rPr>
          <w:rFonts w:ascii="Arial" w:hAnsi="Arial"/>
          <w:color w:val="525252"/>
          <w:sz w:val="13"/>
        </w:rPr>
        <w:t>No other suppliers are approved for organizational/unit purchases.</w:t>
      </w:r>
    </w:p>
    <w:p>
      <w:pPr>
        <w:spacing w:after="20" w:line="223" w:lineRule="auto"/>
        <w:jc w:val="right"/>
        <w:bidi/>
      </w:pPr>
      <w:r>
        <w:rPr>
          <w:rFonts w:ascii="Arial" w:hAnsi="Arial"/>
          <w:sz w:val="16"/>
        </w:rPr>
        <w:t>506.14  شلوارک فقط با تی شرت قهوه‌ای کایوتی یا قهوه‌ای مایل به زرد ۴۹۹ پوشیده می‌شود.</w:t>
      </w:r>
    </w:p>
    <w:p>
      <w:pPr>
        <w:spacing w:after="28" w:line="216" w:lineRule="auto"/>
        <w:ind w:left="259"/>
        <w:jc w:val="left"/>
      </w:pPr>
      <w:r>
        <w:rPr>
          <w:rFonts w:ascii="Arial" w:hAnsi="Arial"/>
          <w:color w:val="525252"/>
          <w:sz w:val="13"/>
        </w:rPr>
        <w:t>Shorts will only be worn with coyote brown or Tan 499 T-shirt tucked in.</w:t>
      </w:r>
    </w:p>
    <w:p>
      <w:pPr>
        <w:spacing w:after="20" w:line="223" w:lineRule="auto"/>
        <w:jc w:val="right"/>
        <w:bidi/>
      </w:pPr>
      <w:r>
        <w:rPr>
          <w:rFonts w:ascii="Arial" w:hAnsi="Arial"/>
          <w:sz w:val="16"/>
        </w:rPr>
        <w:t>506.15  با سایر محصولات لباس OCP مخلوط نکنید.</w:t>
      </w:r>
    </w:p>
    <w:p>
      <w:pPr>
        <w:spacing w:after="28" w:line="216" w:lineRule="auto"/>
        <w:ind w:left="259"/>
        <w:jc w:val="left"/>
      </w:pPr>
      <w:r>
        <w:rPr>
          <w:rFonts w:ascii="Arial" w:hAnsi="Arial"/>
          <w:color w:val="525252"/>
          <w:sz w:val="13"/>
        </w:rPr>
        <w:t>Do not mix with other OCP clothing articles.</w:t>
      </w:r>
    </w:p>
    <w:p>
      <w:pPr>
        <w:spacing w:after="20" w:line="223" w:lineRule="auto"/>
        <w:jc w:val="right"/>
        <w:bidi/>
      </w:pPr>
      <w:r>
        <w:rPr>
          <w:rFonts w:ascii="Arial" w:hAnsi="Arial"/>
          <w:sz w:val="16"/>
        </w:rPr>
        <w:t>506.16  جوراب سبز DLA یا جوراب قهوه‌ای کایوت بپوشید. جوراب‌ها کمی بالاتر از قسمت بالای چکمه امتداد خواهند داشت.</w:t>
      </w:r>
    </w:p>
    <w:p>
      <w:pPr>
        <w:spacing w:after="28" w:line="216" w:lineRule="auto"/>
        <w:ind w:left="259"/>
        <w:jc w:val="left"/>
      </w:pPr>
      <w:r>
        <w:rPr>
          <w:rFonts w:ascii="Arial" w:hAnsi="Arial"/>
          <w:color w:val="525252"/>
          <w:sz w:val="13"/>
        </w:rPr>
        <w:t>Wear DLA-issued green socks or coyote brown socks; socks will extend slightly above the boot top.</w:t>
      </w:r>
    </w:p>
    <w:p>
      <w:pPr>
        <w:spacing w:after="20" w:line="223" w:lineRule="auto"/>
        <w:jc w:val="right"/>
        <w:bidi/>
      </w:pPr>
      <w:r>
        <w:rPr>
          <w:rFonts w:ascii="Arial" w:hAnsi="Arial"/>
          <w:sz w:val="16"/>
        </w:rPr>
        <w:t>506.17  استثناهای اضافی AFSC را برای این خط‌مشی درخواست‌های خط‌مشی پوشیدن از طریق مدیر حوزه شغلی HAF قابل اجرا به جعبه گردش کار AF/ا۱PA (AF.ا۱PA.وورکفلوو@وس.اف.میل) برای پردازش پردازش کنید.</w:t>
      </w:r>
    </w:p>
    <w:p>
      <w:pPr>
        <w:spacing w:after="28" w:line="216" w:lineRule="auto"/>
        <w:ind w:left="259"/>
        <w:jc w:val="left"/>
      </w:pPr>
      <w:r>
        <w:rPr>
          <w:rFonts w:ascii="Arial" w:hAnsi="Arial"/>
          <w:color w:val="525252"/>
          <w:sz w:val="13"/>
        </w:rPr>
        <w:t>Process additional AFSC’s exception to this wear policy requests policy through the applicable HAF career field manger to the AF/A1PA Workflow Box (AF.A1PA.workflow@us.af.mil) for processing.</w:t>
      </w:r>
    </w:p>
    <w:p>
      <w:pPr>
        <w:spacing w:after="20" w:line="223" w:lineRule="auto"/>
        <w:jc w:val="right"/>
        <w:bidi/>
      </w:pPr>
      <w:r>
        <w:rPr>
          <w:rFonts w:ascii="Arial" w:hAnsi="Arial"/>
          <w:sz w:val="16"/>
        </w:rPr>
        <w:t>506.18  لباس فرم وظیفه نگهداری (MDU).</w:t>
      </w:r>
    </w:p>
    <w:p>
      <w:pPr>
        <w:spacing w:after="28" w:line="216" w:lineRule="auto"/>
        <w:ind w:left="259"/>
        <w:jc w:val="left"/>
      </w:pPr>
      <w:r>
        <w:rPr>
          <w:rFonts w:ascii="Arial" w:hAnsi="Arial"/>
          <w:color w:val="525252"/>
          <w:sz w:val="13"/>
        </w:rPr>
        <w:t>Maintenance Duty Uniform (MDU).</w:t>
      </w:r>
    </w:p>
    <w:p>
      <w:pPr>
        <w:spacing w:after="20" w:line="223" w:lineRule="auto"/>
        <w:jc w:val="right"/>
        <w:bidi/>
      </w:pPr>
      <w:r>
        <w:rPr>
          <w:rFonts w:ascii="Arial" w:hAnsi="Arial"/>
          <w:sz w:val="16"/>
        </w:rPr>
        <w:t>506.19  فرماندهان هوانوردان در این افسکس ۱د، ۲ا، ۲ف، ۲گ، ۲م، ۲پ، ۲س، ۲ت، ۲و، ۳، و ۱پ ممکن است به نیروهای هوایی اجازه دهند تا ساگ MDU را بپوشند.</w:t>
      </w:r>
    </w:p>
    <w:p>
      <w:pPr>
        <w:spacing w:after="28" w:line="216" w:lineRule="auto"/>
        <w:ind w:left="259"/>
        <w:jc w:val="left"/>
      </w:pPr>
      <w:r>
        <w:rPr>
          <w:rFonts w:ascii="Arial" w:hAnsi="Arial"/>
          <w:color w:val="525252"/>
          <w:sz w:val="13"/>
        </w:rPr>
        <w:t>Commanders of Airmen in these AFSCs 1D, 2A, 2F, 2G, 2M, 2P, 2S, 2T, 2W, 3E, and 1P may authorize Airmen to wear the sage MDU.</w:t>
      </w:r>
    </w:p>
    <w:p>
      <w:pPr>
        <w:spacing w:after="20" w:line="223" w:lineRule="auto"/>
        <w:jc w:val="right"/>
        <w:bidi/>
      </w:pPr>
      <w:r>
        <w:rPr>
          <w:rFonts w:ascii="Arial" w:hAnsi="Arial"/>
          <w:sz w:val="16"/>
        </w:rPr>
        <w:t>506.20  رنگ مریم گلی MDU به‌عنوان لباس و تجهیزات سازمانی تأمین مالی خواهد شد.</w:t>
      </w:r>
    </w:p>
    <w:p>
      <w:pPr>
        <w:spacing w:after="28" w:line="216" w:lineRule="auto"/>
        <w:ind w:left="259"/>
        <w:jc w:val="left"/>
      </w:pPr>
      <w:r>
        <w:rPr>
          <w:rFonts w:ascii="Arial" w:hAnsi="Arial"/>
          <w:color w:val="525252"/>
          <w:sz w:val="13"/>
        </w:rPr>
        <w:t>The sage color MDU will be unit funded as organizational clothing and equipment.</w:t>
      </w:r>
    </w:p>
    <w:p>
      <w:pPr>
        <w:spacing w:after="20" w:line="223" w:lineRule="auto"/>
        <w:jc w:val="right"/>
        <w:bidi/>
      </w:pPr>
      <w:r>
        <w:rPr>
          <w:rFonts w:ascii="Arial" w:hAnsi="Arial"/>
          <w:sz w:val="16"/>
        </w:rPr>
        <w:t>506.21  MDU با نوار نام، نوار خدمات و رتبه همراه با وصله دفتر مرکزی بالاتر در آستین چپ و پرچم پایین ایالات متحده و وصله سازمانی در آستین راست پوشیده خواهد شد.</w:t>
      </w:r>
    </w:p>
    <w:p>
      <w:pPr>
        <w:spacing w:after="28" w:line="216" w:lineRule="auto"/>
        <w:ind w:left="259"/>
        <w:jc w:val="left"/>
      </w:pPr>
      <w:r>
        <w:rPr>
          <w:rFonts w:ascii="Arial" w:hAnsi="Arial"/>
          <w:color w:val="525252"/>
          <w:sz w:val="13"/>
        </w:rPr>
        <w:t>MDU will be worn with name tape, service tape and rank along with the higher headquarters patch on the left sleeve and a subdued U.S. flag and organizational patch on the right sleeve.</w:t>
      </w:r>
    </w:p>
    <w:p>
      <w:pPr>
        <w:spacing w:after="20" w:line="223" w:lineRule="auto"/>
        <w:jc w:val="right"/>
        <w:bidi/>
      </w:pPr>
      <w:r>
        <w:rPr>
          <w:rFonts w:ascii="Arial" w:hAnsi="Arial"/>
          <w:sz w:val="16"/>
        </w:rPr>
        <w:t>506.22  توجه: شناسه‌های وظیفه، در صورت لزوم، ممکن است روی آستین سمت چپ پوشیده شوند.</w:t>
      </w:r>
    </w:p>
    <w:p>
      <w:pPr>
        <w:spacing w:after="28" w:line="216" w:lineRule="auto"/>
        <w:ind w:left="259"/>
        <w:jc w:val="left"/>
      </w:pPr>
      <w:r>
        <w:rPr>
          <w:rFonts w:ascii="Arial" w:hAnsi="Arial"/>
          <w:color w:val="525252"/>
          <w:sz w:val="13"/>
        </w:rPr>
        <w:t>Note: Duty identifiers, as applicable may be worn on the left sleeve.</w:t>
      </w:r>
    </w:p>
    <w:p>
      <w:pPr>
        <w:spacing w:after="20" w:line="223" w:lineRule="auto"/>
        <w:jc w:val="right"/>
        <w:bidi/>
      </w:pPr>
      <w:r>
        <w:rPr>
          <w:rFonts w:ascii="Arial" w:hAnsi="Arial"/>
          <w:sz w:val="16"/>
        </w:rPr>
        <w:t>506.23  تی شرت قهوه‌ای کایوت، کلاه پاترول یا تاکتیکی OCP، جوراب قهوه‌ای یا سبز کایوت و چکمه‌های رزمی قهوه‌ای کایوت، همراه با یونیفرم پوشیده می‌شوند.</w:t>
      </w:r>
    </w:p>
    <w:p>
      <w:pPr>
        <w:spacing w:after="28" w:line="216" w:lineRule="auto"/>
        <w:ind w:left="259"/>
        <w:jc w:val="left"/>
      </w:pPr>
      <w:r>
        <w:rPr>
          <w:rFonts w:ascii="Arial" w:hAnsi="Arial"/>
          <w:color w:val="525252"/>
          <w:sz w:val="13"/>
        </w:rPr>
        <w:t>The coyote brown t-shirt, OCP patrol or tactical cap, coyote brown or green socks, and coyote brown combat boots, are worn with the uniform.</w:t>
      </w:r>
    </w:p>
    <w:p>
      <w:pPr>
        <w:spacing w:after="20" w:line="223" w:lineRule="auto"/>
        <w:jc w:val="right"/>
        <w:bidi/>
      </w:pPr>
      <w:r>
        <w:rPr>
          <w:rFonts w:ascii="Arial" w:hAnsi="Arial"/>
          <w:sz w:val="16"/>
        </w:rPr>
        <w:t>506.24  MDU برای محیط‌های کاری اداری، کارهای غیر صنعتی یا غیر کارگری استفاده نمی‌شود.</w:t>
      </w:r>
    </w:p>
    <w:p>
      <w:pPr>
        <w:spacing w:after="28" w:line="216" w:lineRule="auto"/>
        <w:ind w:left="259"/>
        <w:jc w:val="left"/>
      </w:pPr>
      <w:r>
        <w:rPr>
          <w:rFonts w:ascii="Arial" w:hAnsi="Arial"/>
          <w:color w:val="525252"/>
          <w:sz w:val="13"/>
        </w:rPr>
        <w:t>The MDU will not be utilized for office work environments, non-industrial or non-labor taskings.</w:t>
      </w:r>
    </w:p>
    <w:p>
      <w:pPr>
        <w:spacing w:after="20" w:line="223" w:lineRule="auto"/>
        <w:jc w:val="right"/>
        <w:bidi/>
      </w:pPr>
      <w:r>
        <w:rPr>
          <w:rFonts w:ascii="Arial" w:hAnsi="Arial"/>
          <w:sz w:val="16"/>
        </w:rPr>
        <w:t>506.25  MDU مجاز به پوشیدن در هنگام عبور از خانه به محل کار، توقف کوتاه مدت در خارج از پایگاه، غذا خوردن در رستوران‌هایی است که افراد لباس‌های غیرنظامی مشابه می‌پوشند و همه مکان‌ها در تاسیسات.</w:t>
      </w:r>
    </w:p>
    <w:p>
      <w:pPr>
        <w:spacing w:after="28" w:line="216" w:lineRule="auto"/>
        <w:ind w:left="259"/>
        <w:jc w:val="left"/>
      </w:pPr>
      <w:r>
        <w:rPr>
          <w:rFonts w:ascii="Arial" w:hAnsi="Arial"/>
          <w:color w:val="525252"/>
          <w:sz w:val="13"/>
        </w:rPr>
        <w:t>The MDU is authorized for wear when transiting from home to duty location, off base short convenience stops, eating at restaurants where people wear comparable civilian attire and all locations on installations.</w:t>
      </w:r>
    </w:p>
    <w:p>
      <w:pPr>
        <w:spacing w:after="20" w:line="223" w:lineRule="auto"/>
        <w:jc w:val="right"/>
        <w:bidi/>
      </w:pPr>
      <w:r>
        <w:rPr>
          <w:rFonts w:ascii="Arial" w:hAnsi="Arial"/>
          <w:sz w:val="16"/>
        </w:rPr>
        <w:t>506.26  باید در شرایط سرویس دهی پوشیده شود.</w:t>
      </w:r>
    </w:p>
    <w:p>
      <w:pPr>
        <w:spacing w:after="28" w:line="216" w:lineRule="auto"/>
        <w:ind w:left="259"/>
        <w:jc w:val="left"/>
      </w:pPr>
      <w:r>
        <w:rPr>
          <w:rFonts w:ascii="Arial" w:hAnsi="Arial"/>
          <w:color w:val="525252"/>
          <w:sz w:val="13"/>
        </w:rPr>
        <w:t>It must be worn in serviceable condition.</w:t>
      </w:r>
    </w:p>
    <w:p>
      <w:pPr>
        <w:spacing w:after="20" w:line="223" w:lineRule="auto"/>
        <w:jc w:val="right"/>
        <w:bidi/>
      </w:pPr>
      <w:r>
        <w:rPr>
          <w:rFonts w:ascii="Arial" w:hAnsi="Arial"/>
          <w:sz w:val="16"/>
        </w:rPr>
        <w:t>506.27  برای صرف غذا در رستوران‌هایی که اکثر افراد ناهار خوری لباس‌های تجاری می‌پوشند یا در مراکزی که عمدتا برای سرو الکل فعالیت می‌کنند، غذا را از دست ندهید.</w:t>
      </w:r>
    </w:p>
    <w:p>
      <w:pPr>
        <w:spacing w:after="28" w:line="216" w:lineRule="auto"/>
        <w:ind w:left="259"/>
        <w:jc w:val="left"/>
      </w:pPr>
      <w:r>
        <w:rPr>
          <w:rFonts w:ascii="Arial" w:hAnsi="Arial"/>
          <w:color w:val="525252"/>
          <w:sz w:val="13"/>
        </w:rPr>
        <w:t>Do not wear off base to eat in restaurants where most diners wear business attire or at establishments that operate primarily to serve alcohol.</w:t>
      </w:r>
    </w:p>
    <w:p>
      <w:pPr>
        <w:spacing w:after="20" w:line="223" w:lineRule="auto"/>
        <w:jc w:val="right"/>
        <w:bidi/>
      </w:pPr>
      <w:r>
        <w:rPr>
          <w:rFonts w:ascii="Arial" w:hAnsi="Arial"/>
          <w:sz w:val="16"/>
        </w:rPr>
        <w:t>506.28  انواع روپوش‌های محلی هنوز مجاز هستند اما فقط در مراکز کاری و در خط پرواز.</w:t>
      </w:r>
    </w:p>
    <w:p>
      <w:pPr>
        <w:spacing w:after="28" w:line="216" w:lineRule="auto"/>
        <w:ind w:left="259"/>
        <w:jc w:val="left"/>
      </w:pPr>
      <w:r>
        <w:rPr>
          <w:rFonts w:ascii="Arial" w:hAnsi="Arial"/>
          <w:color w:val="525252"/>
          <w:sz w:val="13"/>
        </w:rPr>
        <w:t>Local coverall variants are still authorized but only in work centers and on the flight line.</w:t>
      </w:r>
    </w:p>
    <w:p>
      <w:pPr>
        <w:spacing w:after="20" w:line="223" w:lineRule="auto"/>
        <w:jc w:val="right"/>
        <w:bidi/>
      </w:pPr>
      <w:r>
        <w:rPr>
          <w:rFonts w:ascii="Arial" w:hAnsi="Arial"/>
          <w:sz w:val="16"/>
        </w:rPr>
        <w:t>506.29  ۲۳.۲۵. اقامتگاه مذهبی. رجوع کنید به DAFI ۵۲-۲۰۱، رلیگیووس فریدوم ین ت دپارتمنت وف</w:t>
      </w:r>
    </w:p>
    <w:p>
      <w:pPr>
        <w:spacing w:after="28" w:line="216" w:lineRule="auto"/>
        <w:ind w:left="259"/>
        <w:jc w:val="left"/>
      </w:pPr>
      <w:r>
        <w:rPr>
          <w:rFonts w:ascii="Arial" w:hAnsi="Arial"/>
          <w:color w:val="525252"/>
          <w:sz w:val="13"/>
        </w:rPr>
        <w:t>23.25. Religious Accommodation. See DAFI 52-201, Religious Freedom In The Department of</w:t>
      </w:r>
    </w:p>
    <w:p>
      <w:pPr>
        <w:spacing w:after="20" w:line="223" w:lineRule="auto"/>
        <w:jc w:val="right"/>
        <w:bidi/>
      </w:pPr>
      <w:r>
        <w:rPr>
          <w:rFonts w:ascii="Arial" w:hAnsi="Arial"/>
          <w:sz w:val="16"/>
        </w:rPr>
        <w:t>506.30  نیروی هوایی برای راهنمایی در مورد نحوه درخواست اقامت مذهبی از استانداردهای نظافت و ظاهر شخصی.</w:t>
      </w:r>
    </w:p>
    <w:p>
      <w:pPr>
        <w:spacing w:after="28" w:line="216" w:lineRule="auto"/>
        <w:ind w:left="259"/>
        <w:jc w:val="left"/>
      </w:pPr>
      <w:r>
        <w:rPr>
          <w:rFonts w:ascii="Arial" w:hAnsi="Arial"/>
          <w:color w:val="525252"/>
          <w:sz w:val="13"/>
        </w:rPr>
        <w:t>The Air Force for guidance on how to make a religious accommodation request from Grooming and Personal Appearance standards.</w:t>
      </w:r>
    </w:p>
    <w:p>
      <w:pPr>
        <w:spacing w:after="20" w:line="223" w:lineRule="auto"/>
        <w:jc w:val="right"/>
        <w:bidi/>
      </w:pPr>
      <w:r>
        <w:rPr>
          <w:rFonts w:ascii="Arial" w:hAnsi="Arial"/>
          <w:sz w:val="16"/>
        </w:rPr>
        <w:t>506.31  چشم پوشی از لباس و ظاهر.</w:t>
      </w:r>
    </w:p>
    <w:p>
      <w:pPr>
        <w:spacing w:after="28" w:line="216" w:lineRule="auto"/>
        <w:ind w:left="259"/>
        <w:jc w:val="left"/>
      </w:pPr>
      <w:r>
        <w:rPr>
          <w:rFonts w:ascii="Arial" w:hAnsi="Arial"/>
          <w:color w:val="525252"/>
          <w:sz w:val="13"/>
        </w:rPr>
        <w:t>Dress and Appearance Waivers.</w:t>
      </w:r>
    </w:p>
    <w:p>
      <w:pPr>
        <w:spacing w:after="20" w:line="223" w:lineRule="auto"/>
        <w:jc w:val="right"/>
        <w:bidi/>
      </w:pPr>
      <w:r>
        <w:rPr>
          <w:rFonts w:ascii="Arial" w:hAnsi="Arial"/>
          <w:sz w:val="16"/>
        </w:rPr>
        <w:t>506.32  فقط AF/ا۱، AF/RE، NGB/CF یا USSF/س۱ در صورت اجرا ممکن است</w:t>
      </w:r>
    </w:p>
    <w:p>
      <w:pPr>
        <w:spacing w:after="28" w:line="216" w:lineRule="auto"/>
        <w:ind w:left="259"/>
        <w:jc w:val="left"/>
      </w:pPr>
      <w:r>
        <w:rPr>
          <w:rFonts w:ascii="Arial" w:hAnsi="Arial"/>
          <w:color w:val="525252"/>
          <w:sz w:val="13"/>
        </w:rPr>
        <w:t>Only AF/A1, AF/RE, NGB/CF or USSF/S1 as applicable may</w:t>
      </w:r>
    </w:p>
    <w:p>
      <w:r>
        <w:br w:type="page"/>
      </w:r>
    </w:p>
    <w:p>
      <w:pPr>
        <w:spacing w:after="60"/>
        <w:jc w:val="right"/>
        <w:bidi/>
      </w:pPr>
      <w:r>
        <w:rPr>
          <w:rFonts w:ascii="Arial" w:hAnsi="Arial"/>
          <w:b/>
          <w:color w:val="1F4D78"/>
          <w:sz w:val="19"/>
        </w:rPr>
        <w:t>هفتهٔ 507  |  صفحهٔ منبع: 523</w:t>
      </w:r>
    </w:p>
    <w:p>
      <w:pPr>
        <w:spacing w:after="20" w:line="223" w:lineRule="auto"/>
        <w:jc w:val="right"/>
        <w:bidi/>
      </w:pPr>
      <w:r>
        <w:rPr>
          <w:rFonts w:ascii="Arial" w:hAnsi="Arial"/>
          <w:sz w:val="16"/>
        </w:rPr>
        <w:t>507.01  از خط‌مشی لباس و استانداردهای ظاهری شخصی برای اقامتگاه مذهبی استثنا قائل می‌شود که در غیر این صورت به فرماندهان پایین تفویض نشده است.</w:t>
      </w:r>
    </w:p>
    <w:p>
      <w:pPr>
        <w:spacing w:after="28" w:line="216" w:lineRule="auto"/>
        <w:ind w:left="259"/>
        <w:jc w:val="left"/>
      </w:pPr>
      <w:r>
        <w:rPr>
          <w:rFonts w:ascii="Arial" w:hAnsi="Arial"/>
          <w:color w:val="525252"/>
          <w:sz w:val="13"/>
        </w:rPr>
        <w:t>grant exception to policy of dress and personal appearance standards for religious accommodation not otherwise delegated to lower commanders.</w:t>
      </w:r>
    </w:p>
    <w:p>
      <w:pPr>
        <w:spacing w:after="20" w:line="223" w:lineRule="auto"/>
        <w:jc w:val="right"/>
        <w:bidi/>
      </w:pPr>
      <w:r>
        <w:rPr>
          <w:rFonts w:ascii="Arial" w:hAnsi="Arial"/>
          <w:sz w:val="16"/>
        </w:rPr>
        <w:t>507.02  تفاهم نامه تصویب هر گونه شرایط یا محدودیت را مشخص می‌کند.</w:t>
      </w:r>
    </w:p>
    <w:p>
      <w:pPr>
        <w:spacing w:after="28" w:line="216" w:lineRule="auto"/>
        <w:ind w:left="259"/>
        <w:jc w:val="left"/>
      </w:pPr>
      <w:r>
        <w:rPr>
          <w:rFonts w:ascii="Arial" w:hAnsi="Arial"/>
          <w:color w:val="525252"/>
          <w:sz w:val="13"/>
        </w:rPr>
        <w:t>The approval memorandum will outline any conditions or limitations.</w:t>
      </w:r>
    </w:p>
    <w:p>
      <w:pPr>
        <w:spacing w:after="20" w:line="223" w:lineRule="auto"/>
        <w:jc w:val="right"/>
        <w:bidi/>
      </w:pPr>
      <w:r>
        <w:rPr>
          <w:rFonts w:ascii="Arial" w:hAnsi="Arial"/>
          <w:sz w:val="16"/>
        </w:rPr>
        <w:t>507.03  اقامتگاه مذهبی و استثناء ظاهری برای معافیت از سیاست، به محل‌های وظیفه موقت و متعاقب آن تعیین تکلیف دائمی گسترش می‌یابد.</w:t>
      </w:r>
    </w:p>
    <w:p>
      <w:pPr>
        <w:spacing w:after="28" w:line="216" w:lineRule="auto"/>
        <w:ind w:left="259"/>
        <w:jc w:val="left"/>
      </w:pPr>
      <w:r>
        <w:rPr>
          <w:rFonts w:ascii="Arial" w:hAnsi="Arial"/>
          <w:color w:val="525252"/>
          <w:sz w:val="13"/>
        </w:rPr>
        <w:t>Religious accommodation and appearance exception to policy waivers extend to temporary duty and subsequent permanent duty assignment locations.</w:t>
      </w:r>
    </w:p>
    <w:p>
      <w:pPr>
        <w:spacing w:after="20" w:line="223" w:lineRule="auto"/>
        <w:jc w:val="right"/>
        <w:bidi/>
      </w:pPr>
      <w:r>
        <w:rPr>
          <w:rFonts w:ascii="Arial" w:hAnsi="Arial"/>
          <w:sz w:val="16"/>
        </w:rPr>
        <w:t>507.04  فرماندهان یا فرماندهان پادگان یا جناح ایستگاه اصلی هوانورد و نگهبان یا مدیران HAF، MAJCOM، فرماندهی میدانی، NAF، FOA و DRU (و-۶/GS-۱۵ و بالاتر) مرجع تأیید فقط برای درخواست‌های اقامت مذهبی در پوشش و ظاهر هستند: ۱) حجاب؛ ۲) ریش؛ ۳) پوشش سر داخلی / خارجی؛ ۴) عمامه یا زیر عمامه/پاتکا که با ریش و موهای کوتاه نپوشیده است و ۵) پوشیدن لباس‌های مذهبی برای افتخار آفرینان در مراسم‌های نظامی (مانند بازنشستگی، ترفیع، سربازی مجدد) یا در طول رویدادهای اطلاع رسانی جامعه.</w:t>
      </w:r>
    </w:p>
    <w:p>
      <w:pPr>
        <w:spacing w:after="28" w:line="216" w:lineRule="auto"/>
        <w:ind w:left="259"/>
        <w:jc w:val="left"/>
      </w:pPr>
      <w:r>
        <w:rPr>
          <w:rFonts w:ascii="Arial" w:hAnsi="Arial"/>
          <w:color w:val="525252"/>
          <w:sz w:val="13"/>
        </w:rPr>
        <w:t>Airman and Guardian’s home station wing or garrison commanders or HAF, MAJCOM, Field Command, NAF, FOA and DRU Directors (O-6/GS-15 and above) are the approval authority for only the following dress and appearance religious accommodation requests: 1) hijab; 2) beard; 3) indoor/outdoor head coverings; 4) turban or underturban/patka worn with unshorn beard and with unshorn hair and 5) the wear of religious regalia wear for honoree during military ceremonies (e.g. retirements, promotions, re-enlistments) or during community outreach events.</w:t>
      </w:r>
    </w:p>
    <w:p>
      <w:pPr>
        <w:spacing w:after="20" w:line="223" w:lineRule="auto"/>
        <w:jc w:val="right"/>
        <w:bidi/>
      </w:pPr>
      <w:r>
        <w:rPr>
          <w:rFonts w:ascii="Arial" w:hAnsi="Arial"/>
          <w:sz w:val="16"/>
        </w:rPr>
        <w:t>507.05  همه درخواست‌های دیگر در صورت لزوم نیاز به تصمیم AF/ا۱، SF/س۱، AF/RE یا NGB/CF دارند.</w:t>
      </w:r>
    </w:p>
    <w:p>
      <w:pPr>
        <w:spacing w:after="28" w:line="216" w:lineRule="auto"/>
        <w:ind w:left="259"/>
        <w:jc w:val="left"/>
      </w:pPr>
      <w:r>
        <w:rPr>
          <w:rFonts w:ascii="Arial" w:hAnsi="Arial"/>
          <w:color w:val="525252"/>
          <w:sz w:val="13"/>
        </w:rPr>
        <w:t>All other requests require AF/A1, SF/S1, AF/RE or NGB/CF decision as applicable.</w:t>
      </w:r>
    </w:p>
    <w:p>
      <w:pPr>
        <w:spacing w:after="20" w:line="223" w:lineRule="auto"/>
        <w:jc w:val="right"/>
        <w:bidi/>
      </w:pPr>
      <w:r>
        <w:rPr>
          <w:rFonts w:ascii="Arial" w:hAnsi="Arial"/>
          <w:sz w:val="16"/>
        </w:rPr>
        <w:t>507.06  همه مکان‌های مذهبی تأیید شده باید به شیوه‌ای مرتب و محافظه‌کارانه پوشیده شوند (با احتیاط، مرتب، و از نظر سبک، اندازه، طرح، روشنایی یا رنگ ناسازگار یا خودنمایی نمی‌کنند).</w:t>
      </w:r>
    </w:p>
    <w:p>
      <w:pPr>
        <w:spacing w:after="28" w:line="216" w:lineRule="auto"/>
        <w:ind w:left="259"/>
        <w:jc w:val="left"/>
      </w:pPr>
      <w:r>
        <w:rPr>
          <w:rFonts w:ascii="Arial" w:hAnsi="Arial"/>
          <w:color w:val="525252"/>
          <w:sz w:val="13"/>
        </w:rPr>
        <w:t>All approved religious accommodations should be worn in a neat and conservative manner (defined as, discreet, tidy, and not dissonant or showy in style, size, design, brightness, or color).</w:t>
      </w:r>
    </w:p>
    <w:p>
      <w:pPr>
        <w:spacing w:after="20" w:line="223" w:lineRule="auto"/>
        <w:jc w:val="right"/>
        <w:bidi/>
      </w:pPr>
      <w:r>
        <w:rPr>
          <w:rFonts w:ascii="Arial" w:hAnsi="Arial"/>
          <w:sz w:val="16"/>
        </w:rPr>
        <w:t>507.07  هوانوردان و نگهبانان دارای اقامتگاهی که اجازه اعمال مذهبی زیر را می‌دهد باید از استانداردهای زیر پیروی کنند: حجاب (روسری).</w:t>
      </w:r>
    </w:p>
    <w:p>
      <w:pPr>
        <w:spacing w:after="28" w:line="216" w:lineRule="auto"/>
        <w:ind w:left="259"/>
        <w:jc w:val="left"/>
      </w:pPr>
      <w:r>
        <w:rPr>
          <w:rFonts w:ascii="Arial" w:hAnsi="Arial"/>
          <w:color w:val="525252"/>
          <w:sz w:val="13"/>
        </w:rPr>
        <w:t>Airmen and Guardians with an accommodation permitting the following faith practices must adhere to the following standards: Hijab (Head Scarf).</w:t>
      </w:r>
    </w:p>
    <w:p>
      <w:pPr>
        <w:spacing w:after="20" w:line="223" w:lineRule="auto"/>
        <w:jc w:val="right"/>
        <w:bidi/>
      </w:pPr>
      <w:r>
        <w:rPr>
          <w:rFonts w:ascii="Arial" w:hAnsi="Arial"/>
          <w:sz w:val="16"/>
        </w:rPr>
        <w:t>507.08  یک هوانوردی که در آن جا گرفته می‌شود ممکن است از حجاب (روسری) ساخته شده از موادی با رنگی که بسیار شبیه یونیفرم اختصاص داده شده (معمولا مشکی، قهوه‌ای، سبز، برنزه یا آبی سرمه‌ای در صورت لزوم) استفاده کند.</w:t>
      </w:r>
    </w:p>
    <w:p>
      <w:pPr>
        <w:spacing w:after="28" w:line="216" w:lineRule="auto"/>
        <w:ind w:left="259"/>
        <w:jc w:val="left"/>
      </w:pPr>
      <w:r>
        <w:rPr>
          <w:rFonts w:ascii="Arial" w:hAnsi="Arial"/>
          <w:color w:val="525252"/>
          <w:sz w:val="13"/>
        </w:rPr>
        <w:t>An accommodated Airman may wear a hijab (head scarf) made of a subdued material in a color that closely resembles the assigned uniform (generally black, brown, green, tan, or navy blue as appropriate).</w:t>
      </w:r>
    </w:p>
    <w:p>
      <w:pPr>
        <w:spacing w:after="20" w:line="223" w:lineRule="auto"/>
        <w:jc w:val="right"/>
        <w:bidi/>
      </w:pPr>
      <w:r>
        <w:rPr>
          <w:rFonts w:ascii="Arial" w:hAnsi="Arial"/>
          <w:sz w:val="16"/>
        </w:rPr>
        <w:t>507.09  این مواد فاقد طرح یا علامت خواهد بود، با این تفاوت که یک هوانوردی که OCP پوشیده است می‌تواند حجابی با الگوی استتاری مطابق با لباس داشته باشد.</w:t>
      </w:r>
    </w:p>
    <w:p>
      <w:pPr>
        <w:spacing w:after="28" w:line="216" w:lineRule="auto"/>
        <w:ind w:left="259"/>
        <w:jc w:val="left"/>
      </w:pPr>
      <w:r>
        <w:rPr>
          <w:rFonts w:ascii="Arial" w:hAnsi="Arial"/>
          <w:color w:val="525252"/>
          <w:sz w:val="13"/>
        </w:rPr>
        <w:t>The material will be free of designs or markings, except that an Airmen wearing the OCP may wear a hijab in a camouflage pattern matching the uniform.</w:t>
      </w:r>
    </w:p>
    <w:p>
      <w:pPr>
        <w:spacing w:after="20" w:line="223" w:lineRule="auto"/>
        <w:jc w:val="right"/>
        <w:bidi/>
      </w:pPr>
      <w:r>
        <w:rPr>
          <w:rFonts w:ascii="Arial" w:hAnsi="Arial"/>
          <w:sz w:val="16"/>
        </w:rPr>
        <w:t>507.10  هنگامی که توسط یک فرمانده هدایت می‌شود، ممکن است از هوانورد خواسته شود که حجابی از مواد مقاوم در برابر آتش داشته باشد.</w:t>
      </w:r>
    </w:p>
    <w:p>
      <w:pPr>
        <w:spacing w:after="28" w:line="216" w:lineRule="auto"/>
        <w:ind w:left="259"/>
        <w:jc w:val="left"/>
      </w:pPr>
      <w:r>
        <w:rPr>
          <w:rFonts w:ascii="Arial" w:hAnsi="Arial"/>
          <w:color w:val="525252"/>
          <w:sz w:val="13"/>
        </w:rPr>
        <w:t>When directed by a commander, the Airman may be required to wear a hijab made of fire-resistant material.</w:t>
      </w:r>
    </w:p>
    <w:p>
      <w:pPr>
        <w:spacing w:after="20" w:line="223" w:lineRule="auto"/>
        <w:jc w:val="right"/>
        <w:bidi/>
      </w:pPr>
      <w:r>
        <w:rPr>
          <w:rFonts w:ascii="Arial" w:hAnsi="Arial"/>
          <w:sz w:val="16"/>
        </w:rPr>
        <w:t>507.11  حجاب به شیوه‌ای منظم و محافظه کارانه پوشیده خواهد شد که چهره‌ای حرفه‌ای نظامی و ظاهری آراسته ارائه می‌دهد.</w:t>
      </w:r>
    </w:p>
    <w:p>
      <w:pPr>
        <w:spacing w:after="28" w:line="216" w:lineRule="auto"/>
        <w:ind w:left="259"/>
        <w:jc w:val="left"/>
      </w:pPr>
      <w:r>
        <w:rPr>
          <w:rFonts w:ascii="Arial" w:hAnsi="Arial"/>
          <w:color w:val="525252"/>
          <w:sz w:val="13"/>
        </w:rPr>
        <w:t>The hijab will be worn in a neat and conservative manner that presents a professional military image and well-groomed appearance.</w:t>
      </w:r>
    </w:p>
    <w:p>
      <w:pPr>
        <w:spacing w:after="20" w:line="223" w:lineRule="auto"/>
        <w:jc w:val="right"/>
        <w:bidi/>
      </w:pPr>
      <w:r>
        <w:rPr>
          <w:rFonts w:ascii="Arial" w:hAnsi="Arial"/>
          <w:sz w:val="16"/>
        </w:rPr>
        <w:t>507.12  حجاب باید کاملا با خطوط سر و گردن منطبق باشد و ابرو، چشم، گونه، بینی، دهان یا چانه را نپوشاند.</w:t>
      </w:r>
    </w:p>
    <w:p>
      <w:pPr>
        <w:spacing w:after="28" w:line="216" w:lineRule="auto"/>
        <w:ind w:left="259"/>
        <w:jc w:val="left"/>
      </w:pPr>
      <w:r>
        <w:rPr>
          <w:rFonts w:ascii="Arial" w:hAnsi="Arial"/>
          <w:color w:val="525252"/>
          <w:sz w:val="13"/>
        </w:rPr>
        <w:t>The hijab must be closely fitted to the contours of the head and neck and may not cover the eyebrows, eyes, cheeks, nose, mouth, or chin.</w:t>
      </w:r>
    </w:p>
    <w:p>
      <w:pPr>
        <w:spacing w:after="20" w:line="223" w:lineRule="auto"/>
        <w:jc w:val="right"/>
        <w:bidi/>
      </w:pPr>
      <w:r>
        <w:rPr>
          <w:rFonts w:ascii="Arial" w:hAnsi="Arial"/>
          <w:sz w:val="16"/>
        </w:rPr>
        <w:t>507.13  لبه‌های پایین حجاب در زیر لباس یکدست هوادار قرار می‌گیرد و تمامی پوشش‌های سر مورد نیاز همچنان پوشیده می‌شود.</w:t>
      </w:r>
    </w:p>
    <w:p>
      <w:pPr>
        <w:spacing w:after="28" w:line="216" w:lineRule="auto"/>
        <w:ind w:left="259"/>
        <w:jc w:val="left"/>
      </w:pPr>
      <w:r>
        <w:rPr>
          <w:rFonts w:ascii="Arial" w:hAnsi="Arial"/>
          <w:color w:val="525252"/>
          <w:sz w:val="13"/>
        </w:rPr>
        <w:t>The bottom edges of the hijab will be tucked under the Airman’s uniform top and all required headgear will still be worn.</w:t>
      </w:r>
    </w:p>
    <w:p>
      <w:pPr>
        <w:spacing w:after="20" w:line="223" w:lineRule="auto"/>
        <w:jc w:val="right"/>
        <w:bidi/>
      </w:pPr>
      <w:r>
        <w:rPr>
          <w:rFonts w:ascii="Arial" w:hAnsi="Arial"/>
          <w:sz w:val="16"/>
        </w:rPr>
        <w:t>507.14  موهای زیر حجاب باید با مدل موی مجاز برای عضو نیروی هوایی مطابق DAFI ۳۶-۲۹۰۳، بند ۳.۱.۳ پوشیده شود.</w:t>
      </w:r>
    </w:p>
    <w:p>
      <w:pPr>
        <w:spacing w:after="28" w:line="216" w:lineRule="auto"/>
        <w:ind w:left="259"/>
        <w:jc w:val="left"/>
      </w:pPr>
      <w:r>
        <w:rPr>
          <w:rFonts w:ascii="Arial" w:hAnsi="Arial"/>
          <w:color w:val="525252"/>
          <w:sz w:val="13"/>
        </w:rPr>
        <w:t>Hair underneath the hijab must be worn in a hairstyle authorized for the Airman according to DAFI 36-2903, paragraph 3.1.3.</w:t>
      </w:r>
    </w:p>
    <w:p>
      <w:pPr>
        <w:spacing w:after="20" w:line="223" w:lineRule="auto"/>
        <w:jc w:val="right"/>
        <w:bidi/>
      </w:pPr>
      <w:r>
        <w:rPr>
          <w:rFonts w:ascii="Arial" w:hAnsi="Arial"/>
          <w:sz w:val="16"/>
        </w:rPr>
        <w:t>507.15  قسمت اعظم مو و حجاب هوادار ممکن است توانایی پوشیدن تجهیزات حفاظتی را مختل نکند. مانع از توانایی کار با سلاح، تجهیزات نظامی یا ماشین آلات اختصاص داده شده باشد. یا در توانایی انجام وظایف محوله نظامی تداخل ایجاد کند.</w:t>
      </w:r>
    </w:p>
    <w:p>
      <w:pPr>
        <w:spacing w:after="28" w:line="216" w:lineRule="auto"/>
        <w:ind w:left="259"/>
        <w:jc w:val="left"/>
      </w:pPr>
      <w:r>
        <w:rPr>
          <w:rFonts w:ascii="Arial" w:hAnsi="Arial"/>
          <w:color w:val="525252"/>
          <w:sz w:val="13"/>
        </w:rPr>
        <w:t>The bulk of the Airman’s hair and hijab may not impair the ability to wear protective equipment; impede the ability to operate an assigned weapon, military equipment, or machinery; or interfere with the ability to perform the assigned military duties.</w:t>
      </w:r>
    </w:p>
    <w:p>
      <w:r>
        <w:br w:type="page"/>
      </w:r>
    </w:p>
    <w:p>
      <w:pPr>
        <w:spacing w:after="60"/>
        <w:jc w:val="right"/>
        <w:bidi/>
      </w:pPr>
      <w:r>
        <w:rPr>
          <w:rFonts w:ascii="Arial" w:hAnsi="Arial"/>
          <w:b/>
          <w:color w:val="1F4D78"/>
          <w:sz w:val="19"/>
        </w:rPr>
        <w:t>هفتهٔ 508  |  صفحهٔ منبع: 524</w:t>
      </w:r>
    </w:p>
    <w:p>
      <w:pPr>
        <w:spacing w:before="60" w:after="28"/>
        <w:jc w:val="right"/>
        <w:bidi/>
      </w:pPr>
      <w:r>
        <w:rPr>
          <w:b/>
          <w:color w:val="1F4D78"/>
          <w:sz w:val="18"/>
        </w:rPr>
        <w:t>شکل 23.56. حجاب</w:t>
      </w:r>
    </w:p>
    <w:p>
      <w:pPr>
        <w:spacing w:after="20"/>
        <w:ind w:left="259"/>
        <w:jc w:val="left"/>
      </w:pPr>
      <w:r>
        <w:rPr>
          <w:color w:val="555555"/>
          <w:sz w:val="12"/>
        </w:rPr>
        <w:t>Figure 23.56. Hijab</w:t>
      </w:r>
    </w:p>
    <w:p>
      <w:pPr>
        <w:spacing w:after="20" w:line="223" w:lineRule="auto"/>
        <w:jc w:val="right"/>
        <w:bidi/>
      </w:pPr>
      <w:r>
        <w:rPr>
          <w:rFonts w:ascii="Arial" w:hAnsi="Arial"/>
          <w:sz w:val="16"/>
        </w:rPr>
        <w:t>508.02  ریش.</w:t>
      </w:r>
    </w:p>
    <w:p>
      <w:pPr>
        <w:spacing w:after="28" w:line="216" w:lineRule="auto"/>
        <w:ind w:left="259"/>
        <w:jc w:val="left"/>
      </w:pPr>
      <w:r>
        <w:rPr>
          <w:rFonts w:ascii="Arial" w:hAnsi="Arial"/>
          <w:color w:val="525252"/>
          <w:sz w:val="13"/>
        </w:rPr>
        <w:t>Beards.</w:t>
      </w:r>
    </w:p>
    <w:p>
      <w:pPr>
        <w:spacing w:after="20" w:line="223" w:lineRule="auto"/>
        <w:jc w:val="right"/>
        <w:bidi/>
      </w:pPr>
      <w:r>
        <w:rPr>
          <w:rFonts w:ascii="Arial" w:hAnsi="Arial"/>
          <w:sz w:val="16"/>
        </w:rPr>
        <w:t>508.03  ریش هوانوردی یا نگهبان (که شامل موهای صورت و گردن می‌شود) باید در اندازه‌گیری از هر نقطه روی گردن، چانه یا گونه‌ها به اندازه ۲ اینچ بیشتر باشد.</w:t>
      </w:r>
    </w:p>
    <w:p>
      <w:pPr>
        <w:spacing w:after="28" w:line="216" w:lineRule="auto"/>
        <w:ind w:left="259"/>
        <w:jc w:val="left"/>
      </w:pPr>
      <w:r>
        <w:rPr>
          <w:rFonts w:ascii="Arial" w:hAnsi="Arial"/>
          <w:color w:val="525252"/>
          <w:sz w:val="13"/>
        </w:rPr>
        <w:t>An accommodated Airmen or Guardian’s beard (which include facial and neck hair) must be maintained to a bulk not to exceed 2-inches when measured from any point on the neck, chin, or cheeks.</w:t>
      </w:r>
    </w:p>
    <w:p>
      <w:pPr>
        <w:spacing w:after="20" w:line="223" w:lineRule="auto"/>
        <w:jc w:val="right"/>
        <w:bidi/>
      </w:pPr>
      <w:r>
        <w:rPr>
          <w:rFonts w:ascii="Arial" w:hAnsi="Arial"/>
          <w:sz w:val="16"/>
        </w:rPr>
        <w:t>508.04  موهای ریش بیش از ۲ اینچ به صورت فله، وقتی از پایین چانه اندازه گیری می‌شوند، باید برای رسیدن به حجم ۲ اینچی مورد نیاز، رول و/یا بسته شوند.</w:t>
      </w:r>
    </w:p>
    <w:p>
      <w:pPr>
        <w:spacing w:after="28" w:line="216" w:lineRule="auto"/>
        <w:ind w:left="259"/>
        <w:jc w:val="left"/>
      </w:pPr>
      <w:r>
        <w:rPr>
          <w:rFonts w:ascii="Arial" w:hAnsi="Arial"/>
          <w:color w:val="525252"/>
          <w:sz w:val="13"/>
        </w:rPr>
        <w:t>Beard hair exceeding 2-inches in bulk, when measured from the bottom of the chin, must be rolled and/or tied to achieve the required 2-inch bulk.</w:t>
      </w:r>
    </w:p>
    <w:p>
      <w:pPr>
        <w:spacing w:after="20" w:line="223" w:lineRule="auto"/>
        <w:jc w:val="right"/>
        <w:bidi/>
      </w:pPr>
      <w:r>
        <w:rPr>
          <w:rFonts w:ascii="Arial" w:hAnsi="Arial"/>
          <w:sz w:val="16"/>
        </w:rPr>
        <w:t>508.05  ریش‌ها باید خطوط طبیعی صورت را دنبال کنند و به شیوه‌ای منظم و محافظه کارانه مرتب شوند که یک تصویر نظامی حرفه‌ای و ظاهری آراسته ارائه دهد (مثلا کاهش پریدن، صاف شدن موها در جهت پایین).</w:t>
      </w:r>
    </w:p>
    <w:p>
      <w:pPr>
        <w:spacing w:after="28" w:line="216" w:lineRule="auto"/>
        <w:ind w:left="259"/>
        <w:jc w:val="left"/>
      </w:pPr>
      <w:r>
        <w:rPr>
          <w:rFonts w:ascii="Arial" w:hAnsi="Arial"/>
          <w:color w:val="525252"/>
          <w:sz w:val="13"/>
        </w:rPr>
        <w:t>Beards should follow the natural contours of the face and be groomed in a neat and conservative manner that presents a professional military image and well-groomed appearance (e.g., reduce fly-aways, hairs smoothed in a downward direction).</w:t>
      </w:r>
    </w:p>
    <w:p>
      <w:pPr>
        <w:spacing w:after="20" w:line="223" w:lineRule="auto"/>
        <w:jc w:val="right"/>
        <w:bidi/>
      </w:pPr>
      <w:r>
        <w:rPr>
          <w:rFonts w:ascii="Arial" w:hAnsi="Arial"/>
          <w:sz w:val="16"/>
        </w:rPr>
        <w:t>508.06  هوانوردان و نگهبانان ممکن است از محصولات آرایشی برای اصلاح یا نگه داشتن ریش استفاده کنند و ممکن است از لوازم جانبی مانند نوار پلاستیکی شفاف، کش مو، یا سنجاق بابی برای چرخاندن یا بستن ریش در جای خود استفاده کنند.</w:t>
      </w:r>
    </w:p>
    <w:p>
      <w:pPr>
        <w:spacing w:after="28" w:line="216" w:lineRule="auto"/>
        <w:ind w:left="259"/>
        <w:jc w:val="left"/>
      </w:pPr>
      <w:r>
        <w:rPr>
          <w:rFonts w:ascii="Arial" w:hAnsi="Arial"/>
          <w:color w:val="525252"/>
          <w:sz w:val="13"/>
        </w:rPr>
        <w:t>Airmen and Guardians may use styling products to groom or hold the beard in place and may use accessories such as a clear plastic band, hair tie, or bobby pin to roll or tie the beard in place.</w:t>
      </w:r>
    </w:p>
    <w:p>
      <w:pPr>
        <w:spacing w:after="20" w:line="223" w:lineRule="auto"/>
        <w:jc w:val="right"/>
        <w:bidi/>
      </w:pPr>
      <w:r>
        <w:rPr>
          <w:rFonts w:ascii="Arial" w:hAnsi="Arial"/>
          <w:sz w:val="16"/>
        </w:rPr>
        <w:t>508.07  در صورت استفاده، لوازم جانبی مو باید شفاف باشند یا با رنگ ریش فرد پوشنده مطابقت داشته باشند، نباید هنگام چرخاندن یا گره خوردن قابل رویت باشند و هیچ گونه نگرانی ایمنی ایجاد نکنند (مثلا اسکراچی‌ها مجاز نیستند).</w:t>
      </w:r>
    </w:p>
    <w:p>
      <w:pPr>
        <w:spacing w:after="28" w:line="216" w:lineRule="auto"/>
        <w:ind w:left="259"/>
        <w:jc w:val="left"/>
      </w:pPr>
      <w:r>
        <w:rPr>
          <w:rFonts w:ascii="Arial" w:hAnsi="Arial"/>
          <w:color w:val="525252"/>
          <w:sz w:val="13"/>
        </w:rPr>
        <w:t>If used, hair accessories should be clear or match the wearer’s beard color, should not be visible when rolled or tied, and present no safety concerns (e.g., Scrunchies are not authorized).</w:t>
      </w:r>
    </w:p>
    <w:p>
      <w:pPr>
        <w:spacing w:after="20" w:line="223" w:lineRule="auto"/>
        <w:jc w:val="right"/>
        <w:bidi/>
      </w:pPr>
      <w:r>
        <w:rPr>
          <w:rFonts w:ascii="Arial" w:hAnsi="Arial"/>
          <w:sz w:val="16"/>
        </w:rPr>
        <w:t>508.08  در صورت استفاده از ماسک محافظ از فرآورده‌های نفتی استفاده نکنید.</w:t>
      </w:r>
    </w:p>
    <w:p>
      <w:pPr>
        <w:spacing w:after="28" w:line="216" w:lineRule="auto"/>
        <w:ind w:left="259"/>
        <w:jc w:val="left"/>
      </w:pPr>
      <w:r>
        <w:rPr>
          <w:rFonts w:ascii="Arial" w:hAnsi="Arial"/>
          <w:color w:val="525252"/>
          <w:sz w:val="13"/>
        </w:rPr>
        <w:t>Do not use petroleum-based products if wearing a protective mask.</w:t>
      </w:r>
    </w:p>
    <w:p>
      <w:pPr>
        <w:spacing w:after="20" w:line="223" w:lineRule="auto"/>
        <w:jc w:val="right"/>
        <w:bidi/>
      </w:pPr>
      <w:r>
        <w:rPr>
          <w:rFonts w:ascii="Arial" w:hAnsi="Arial"/>
          <w:sz w:val="16"/>
        </w:rPr>
        <w:t>508.09  عمده ریش یک عضو نیروی هوایی یا گواردیان ممکن است توانایی کار با سلاح، تجهیزات نظامی یا ماشین‌آلات اختصاص داده شده را مختل نکند.</w:t>
      </w:r>
    </w:p>
    <w:p>
      <w:pPr>
        <w:spacing w:after="28" w:line="216" w:lineRule="auto"/>
        <w:ind w:left="259"/>
        <w:jc w:val="left"/>
      </w:pPr>
      <w:r>
        <w:rPr>
          <w:rFonts w:ascii="Arial" w:hAnsi="Arial"/>
          <w:color w:val="525252"/>
          <w:sz w:val="13"/>
        </w:rPr>
        <w:t>The bulk of an Airman or Guardian’s beard may not impair the ability to operate an assigned weapon, military equipment, or machinery.</w:t>
      </w:r>
    </w:p>
    <w:p>
      <w:pPr>
        <w:spacing w:after="20" w:line="223" w:lineRule="auto"/>
        <w:jc w:val="right"/>
        <w:bidi/>
      </w:pPr>
      <w:r>
        <w:rPr>
          <w:rFonts w:ascii="Arial" w:hAnsi="Arial"/>
          <w:sz w:val="16"/>
        </w:rPr>
        <w:t>508.10  سبیل که با ریش پوشیده می‌شود ممکن است از گوشه‌های دهان خارج شود تا به ریش متصل شود، اما باید کوتاه یا مرتب شود تا لب بالایی را نپوشاند.</w:t>
      </w:r>
    </w:p>
    <w:p>
      <w:pPr>
        <w:spacing w:after="28" w:line="216" w:lineRule="auto"/>
        <w:ind w:left="259"/>
        <w:jc w:val="left"/>
      </w:pPr>
      <w:r>
        <w:rPr>
          <w:rFonts w:ascii="Arial" w:hAnsi="Arial"/>
          <w:color w:val="525252"/>
          <w:sz w:val="13"/>
        </w:rPr>
        <w:t>A mustache worn with a beard may extend sideways beyond the corners of the mouth to connect with the beard but must be trimmed or groomed to not cover the upper lip.</w:t>
      </w:r>
    </w:p>
    <w:p>
      <w:r>
        <w:br w:type="page"/>
      </w:r>
    </w:p>
    <w:p>
      <w:pPr>
        <w:spacing w:after="60"/>
        <w:jc w:val="right"/>
        <w:bidi/>
      </w:pPr>
      <w:r>
        <w:rPr>
          <w:rFonts w:ascii="Arial" w:hAnsi="Arial"/>
          <w:b/>
          <w:color w:val="1F4D78"/>
          <w:sz w:val="19"/>
        </w:rPr>
        <w:t>هفتهٔ 509  |  صفحهٔ منبع: 525</w:t>
      </w:r>
    </w:p>
    <w:p>
      <w:pPr>
        <w:spacing w:before="60" w:after="28"/>
        <w:jc w:val="right"/>
        <w:bidi/>
      </w:pPr>
      <w:r>
        <w:rPr>
          <w:b/>
          <w:color w:val="1F4D78"/>
          <w:sz w:val="18"/>
        </w:rPr>
        <w:t>شکل 23.57. ریش</w:t>
      </w:r>
    </w:p>
    <w:p>
      <w:pPr>
        <w:spacing w:after="20"/>
        <w:ind w:left="259"/>
        <w:jc w:val="left"/>
      </w:pPr>
      <w:r>
        <w:rPr>
          <w:color w:val="555555"/>
          <w:sz w:val="12"/>
        </w:rPr>
        <w:t>Figure 23.57. Beard</w:t>
      </w:r>
    </w:p>
    <w:p>
      <w:pPr>
        <w:spacing w:after="20" w:line="223" w:lineRule="auto"/>
        <w:jc w:val="right"/>
        <w:bidi/>
      </w:pPr>
      <w:r>
        <w:rPr>
          <w:rFonts w:ascii="Arial" w:hAnsi="Arial"/>
          <w:sz w:val="16"/>
        </w:rPr>
        <w:t>509.02  عمامه و زیر عمامه.</w:t>
      </w:r>
    </w:p>
    <w:p>
      <w:pPr>
        <w:spacing w:after="28" w:line="216" w:lineRule="auto"/>
        <w:ind w:left="259"/>
        <w:jc w:val="left"/>
      </w:pPr>
      <w:r>
        <w:rPr>
          <w:rFonts w:ascii="Arial" w:hAnsi="Arial"/>
          <w:color w:val="525252"/>
          <w:sz w:val="13"/>
        </w:rPr>
        <w:t>Turban and Under-Turban.</w:t>
      </w:r>
    </w:p>
    <w:p>
      <w:pPr>
        <w:spacing w:after="20" w:line="223" w:lineRule="auto"/>
        <w:jc w:val="right"/>
        <w:bidi/>
      </w:pPr>
      <w:r>
        <w:rPr>
          <w:rFonts w:ascii="Arial" w:hAnsi="Arial"/>
          <w:sz w:val="16"/>
        </w:rPr>
        <w:t>509.03  یک هوانوردی که جای خود را دارد می‌تواند عمامه (یا زیر عمامه یا پاتکا، در صورت لزوم) که از ماده‌ای فرورفته به رنگی شبیه پوشش سر برای یونیفرم اختصاص داده شده است، بپوشد.</w:t>
      </w:r>
    </w:p>
    <w:p>
      <w:pPr>
        <w:spacing w:after="28" w:line="216" w:lineRule="auto"/>
        <w:ind w:left="259"/>
        <w:jc w:val="left"/>
      </w:pPr>
      <w:r>
        <w:rPr>
          <w:rFonts w:ascii="Arial" w:hAnsi="Arial"/>
          <w:color w:val="525252"/>
          <w:sz w:val="13"/>
        </w:rPr>
        <w:t>An accommodated Airman may wear a turban (or under- turban or patka, as appropriate) made of a subdued material in a color that closely resembles the headgear for an assigned uniform.</w:t>
      </w:r>
    </w:p>
    <w:p>
      <w:pPr>
        <w:spacing w:after="20" w:line="223" w:lineRule="auto"/>
        <w:jc w:val="right"/>
        <w:bidi/>
      </w:pPr>
      <w:r>
        <w:rPr>
          <w:rFonts w:ascii="Arial" w:hAnsi="Arial"/>
          <w:sz w:val="16"/>
        </w:rPr>
        <w:t>509.04  فرماندهان جناح ممکن است شرایطی را تعیین کنند که به جای عمامه از زیر عمامه استفاده شود.</w:t>
      </w:r>
    </w:p>
    <w:p>
      <w:pPr>
        <w:spacing w:after="28" w:line="216" w:lineRule="auto"/>
        <w:ind w:left="259"/>
        <w:jc w:val="left"/>
      </w:pPr>
      <w:r>
        <w:rPr>
          <w:rFonts w:ascii="Arial" w:hAnsi="Arial"/>
          <w:color w:val="525252"/>
          <w:sz w:val="13"/>
        </w:rPr>
        <w:t>Wing commanders may designate conditions where the under-turban will be worn instead of the turban.</w:t>
      </w:r>
    </w:p>
    <w:p>
      <w:pPr>
        <w:spacing w:after="20" w:line="223" w:lineRule="auto"/>
        <w:jc w:val="right"/>
        <w:bidi/>
      </w:pPr>
      <w:r>
        <w:rPr>
          <w:rFonts w:ascii="Arial" w:hAnsi="Arial"/>
          <w:sz w:val="16"/>
        </w:rPr>
        <w:t>509.05  عمامه یا زیر عمامه به شیوه‌ای منظم و محافظه کارانه پوشیده می‌شود که یک چهره نظامی حرفه‌ای و ظاهری آراسته ارائه می‌دهد.</w:t>
      </w:r>
    </w:p>
    <w:p>
      <w:pPr>
        <w:spacing w:after="28" w:line="216" w:lineRule="auto"/>
        <w:ind w:left="259"/>
        <w:jc w:val="left"/>
      </w:pPr>
      <w:r>
        <w:rPr>
          <w:rFonts w:ascii="Arial" w:hAnsi="Arial"/>
          <w:color w:val="525252"/>
          <w:sz w:val="13"/>
        </w:rPr>
        <w:t>The turban or under-turban will be worn in a neat and conservative manner that presents a professional military image and well-groomed appearance.</w:t>
      </w:r>
    </w:p>
    <w:p>
      <w:pPr>
        <w:spacing w:after="20" w:line="223" w:lineRule="auto"/>
        <w:jc w:val="right"/>
        <w:bidi/>
      </w:pPr>
      <w:r>
        <w:rPr>
          <w:rFonts w:ascii="Arial" w:hAnsi="Arial"/>
          <w:sz w:val="16"/>
        </w:rPr>
        <w:t>509.06  مواد بدون طرح یا علامت گذاری خواهد بود.</w:t>
      </w:r>
    </w:p>
    <w:p>
      <w:pPr>
        <w:spacing w:after="28" w:line="216" w:lineRule="auto"/>
        <w:ind w:left="259"/>
        <w:jc w:val="left"/>
      </w:pPr>
      <w:r>
        <w:rPr>
          <w:rFonts w:ascii="Arial" w:hAnsi="Arial"/>
          <w:color w:val="525252"/>
          <w:sz w:val="13"/>
        </w:rPr>
        <w:t>The material will be free of designs or markings.</w:t>
      </w:r>
    </w:p>
    <w:p>
      <w:pPr>
        <w:spacing w:after="20" w:line="223" w:lineRule="auto"/>
        <w:jc w:val="right"/>
        <w:bidi/>
      </w:pPr>
      <w:r>
        <w:rPr>
          <w:rFonts w:ascii="Arial" w:hAnsi="Arial"/>
          <w:sz w:val="16"/>
        </w:rPr>
        <w:t>509.07  استثنا: هوانوردان و نگهبانانی که یونیفورم OCP به تن دارند مجاز به پوشیدن عمامه یا زیر عمامه با الگوی استتاری مطابق با لباس هستند.</w:t>
      </w:r>
    </w:p>
    <w:p>
      <w:pPr>
        <w:spacing w:after="28" w:line="216" w:lineRule="auto"/>
        <w:ind w:left="259"/>
        <w:jc w:val="left"/>
      </w:pPr>
      <w:r>
        <w:rPr>
          <w:rFonts w:ascii="Arial" w:hAnsi="Arial"/>
          <w:color w:val="525252"/>
          <w:sz w:val="13"/>
        </w:rPr>
        <w:t>Exception: Airmen and Guardians wearing an OCP uniform are authorized to wear a turban or under-turban in a camouflage pattern matching the uniform.</w:t>
      </w:r>
    </w:p>
    <w:p>
      <w:pPr>
        <w:spacing w:after="20" w:line="223" w:lineRule="auto"/>
        <w:jc w:val="right"/>
        <w:bidi/>
      </w:pPr>
      <w:r>
        <w:rPr>
          <w:rFonts w:ascii="Arial" w:hAnsi="Arial"/>
          <w:sz w:val="16"/>
        </w:rPr>
        <w:t>509.08  هنگامی که توسط یک فرمانده هدایت می‌شود، ممکن است هواپیمای هوایی ملزم به پوشیدن عمامه زیر عمامه‌ای ساخته شده از مواد مقاوم در برابر آتش باشد.</w:t>
      </w:r>
    </w:p>
    <w:p>
      <w:pPr>
        <w:spacing w:after="28" w:line="216" w:lineRule="auto"/>
        <w:ind w:left="259"/>
        <w:jc w:val="left"/>
      </w:pPr>
      <w:r>
        <w:rPr>
          <w:rFonts w:ascii="Arial" w:hAnsi="Arial"/>
          <w:color w:val="525252"/>
          <w:sz w:val="13"/>
        </w:rPr>
        <w:t>When directed by a commander, the Airman may be required to wear an under-turban made of fire-resistant material.</w:t>
      </w:r>
    </w:p>
    <w:p>
      <w:pPr>
        <w:spacing w:after="20" w:line="223" w:lineRule="auto"/>
        <w:jc w:val="right"/>
        <w:bidi/>
      </w:pPr>
      <w:r>
        <w:rPr>
          <w:rFonts w:ascii="Arial" w:hAnsi="Arial"/>
          <w:sz w:val="16"/>
        </w:rPr>
        <w:t>509.09  مگر در مواردی که وظایف، موقعیت یا تکلیف ایجاب کند که یک هوانوردی از پوشش محافظ استفاده کند، افرادی که این اقامتگاه را دریافت کرده‌اند، ملزم به پوشیدن سرپوش نظامی علاوه بر عمامه یا زیر عمامه نیستند.</w:t>
      </w:r>
    </w:p>
    <w:p>
      <w:pPr>
        <w:spacing w:after="28" w:line="216" w:lineRule="auto"/>
        <w:ind w:left="259"/>
        <w:jc w:val="left"/>
      </w:pPr>
      <w:r>
        <w:rPr>
          <w:rFonts w:ascii="Arial" w:hAnsi="Arial"/>
          <w:color w:val="525252"/>
          <w:sz w:val="13"/>
        </w:rPr>
        <w:t>Unless duties, position, or assignment require an Airman to wear protective headgear, Airmen granted this accommodation are not required to wear military headgear in addition to the turban or under- turban.</w:t>
      </w:r>
    </w:p>
    <w:p>
      <w:pPr>
        <w:spacing w:after="20" w:line="223" w:lineRule="auto"/>
        <w:jc w:val="right"/>
        <w:bidi/>
      </w:pPr>
      <w:r>
        <w:rPr>
          <w:rFonts w:ascii="Arial" w:hAnsi="Arial"/>
          <w:sz w:val="16"/>
        </w:rPr>
        <w:t>509.10  فقط برای افسران، درجه سنجاق روی عمامه یا زیر عمامه در شرایطی که معمولا از سرپوش نظامی استفاده می‌شود نشان داده می‌شود و در شرایطی که معمولا از سرپوش نظامی استفاده نمی‌شود، مانند داخل خانه یا در مناطق تعیین‌شده بدون کلاه/بدون سلام، حذف می‌شود.</w:t>
      </w:r>
    </w:p>
    <w:p>
      <w:pPr>
        <w:spacing w:after="28" w:line="216" w:lineRule="auto"/>
        <w:ind w:left="259"/>
        <w:jc w:val="left"/>
      </w:pPr>
      <w:r>
        <w:rPr>
          <w:rFonts w:ascii="Arial" w:hAnsi="Arial"/>
          <w:color w:val="525252"/>
          <w:sz w:val="13"/>
        </w:rPr>
        <w:t>For officers only, pin-on rank will be displayed on the turban or under-turban when worn in circumstances where military headgear is customarily worn and removed in circumstances where military headgear is not customarily worn, such as indoors or in no- hat/no-salute designated areas.</w:t>
      </w:r>
    </w:p>
    <w:p>
      <w:pPr>
        <w:spacing w:after="20" w:line="223" w:lineRule="auto"/>
        <w:jc w:val="right"/>
        <w:bidi/>
      </w:pPr>
      <w:r>
        <w:rPr>
          <w:rFonts w:ascii="Arial" w:hAnsi="Arial"/>
          <w:sz w:val="16"/>
        </w:rPr>
        <w:t>509.11  موهای پوشیده شده در زیر عمامه یا زیر عمامه مشمول استانداردهای DAFI ۳۶-۲۹۰۳، پاراگراف ۳.۱.۲ نیستند، اما نمی‌توانند روی گوش‌ها یا ابروها بیفتند یا یقه را لمس کنند.</w:t>
      </w:r>
    </w:p>
    <w:p>
      <w:pPr>
        <w:spacing w:after="28" w:line="216" w:lineRule="auto"/>
        <w:ind w:left="259"/>
        <w:jc w:val="left"/>
      </w:pPr>
      <w:r>
        <w:rPr>
          <w:rFonts w:ascii="Arial" w:hAnsi="Arial"/>
          <w:color w:val="525252"/>
          <w:sz w:val="13"/>
        </w:rPr>
        <w:t>Hair worn under the turban or under-turban is not subject to DAFI 36-2903, paragraph 3.1.2 standards but may not fall over the ears or eyebrows or touch the collar while in uniform.</w:t>
      </w:r>
    </w:p>
    <w:p>
      <w:pPr>
        <w:spacing w:after="20" w:line="223" w:lineRule="auto"/>
        <w:jc w:val="right"/>
        <w:bidi/>
      </w:pPr>
      <w:r>
        <w:rPr>
          <w:rFonts w:ascii="Arial" w:hAnsi="Arial"/>
          <w:sz w:val="16"/>
        </w:rPr>
        <w:t>509.12  هنگامی که هوانوردان از پوشش محافظ سر با زیر عمامه استفاده می‌کنند، قسمت عمده مو را تغییر دهید تا از تناسب مناسب اطمینان حاصل کنید.</w:t>
      </w:r>
    </w:p>
    <w:p>
      <w:pPr>
        <w:spacing w:after="28" w:line="216" w:lineRule="auto"/>
        <w:ind w:left="259"/>
        <w:jc w:val="left"/>
      </w:pPr>
      <w:r>
        <w:rPr>
          <w:rFonts w:ascii="Arial" w:hAnsi="Arial"/>
          <w:color w:val="525252"/>
          <w:sz w:val="13"/>
        </w:rPr>
        <w:t>When Airmen wear protective headgear with the under-turban, reposition the bulk of the hair to ensure proper fit.</w:t>
      </w:r>
    </w:p>
    <w:p>
      <w:pPr>
        <w:spacing w:before="60" w:after="28"/>
        <w:jc w:val="right"/>
        <w:bidi/>
      </w:pPr>
      <w:r>
        <w:rPr>
          <w:b/>
          <w:color w:val="1F4D78"/>
          <w:sz w:val="18"/>
        </w:rPr>
        <w:t>شکل 23.58. عمامه / زیر عمامه</w:t>
      </w:r>
    </w:p>
    <w:p>
      <w:pPr>
        <w:spacing w:after="20"/>
        <w:ind w:left="259"/>
        <w:jc w:val="left"/>
      </w:pPr>
      <w:r>
        <w:rPr>
          <w:color w:val="555555"/>
          <w:sz w:val="12"/>
        </w:rPr>
        <w:t>Figure 23.58. Turban/Under Turban</w:t>
      </w:r>
    </w:p>
    <w:p>
      <w:r>
        <w:br w:type="page"/>
      </w:r>
    </w:p>
    <w:p>
      <w:pPr>
        <w:spacing w:after="60"/>
        <w:jc w:val="right"/>
        <w:bidi/>
      </w:pPr>
      <w:r>
        <w:rPr>
          <w:rFonts w:ascii="Arial" w:hAnsi="Arial"/>
          <w:b/>
          <w:color w:val="1F4D78"/>
          <w:sz w:val="19"/>
        </w:rPr>
        <w:t>هفتهٔ 510  |  صفحهٔ منبع: 526</w:t>
      </w:r>
    </w:p>
    <w:p>
      <w:pPr>
        <w:spacing w:after="20" w:line="223" w:lineRule="auto"/>
        <w:jc w:val="right"/>
        <w:bidi/>
      </w:pPr>
      <w:r>
        <w:rPr>
          <w:rFonts w:ascii="Arial" w:hAnsi="Arial"/>
          <w:sz w:val="16"/>
        </w:rPr>
        <w:t>510.01  رگالیا.</w:t>
      </w:r>
    </w:p>
    <w:p>
      <w:pPr>
        <w:spacing w:after="28" w:line="216" w:lineRule="auto"/>
        <w:ind w:left="259"/>
        <w:jc w:val="left"/>
      </w:pPr>
      <w:r>
        <w:rPr>
          <w:rFonts w:ascii="Arial" w:hAnsi="Arial"/>
          <w:color w:val="525252"/>
          <w:sz w:val="13"/>
        </w:rPr>
        <w:t>Regalia.</w:t>
      </w:r>
    </w:p>
    <w:p>
      <w:pPr>
        <w:spacing w:after="20" w:line="223" w:lineRule="auto"/>
        <w:jc w:val="right"/>
        <w:bidi/>
      </w:pPr>
      <w:r>
        <w:rPr>
          <w:rFonts w:ascii="Arial" w:hAnsi="Arial"/>
          <w:sz w:val="16"/>
        </w:rPr>
        <w:t>510.02  ممکن است توسط افراد افتخاری در طول مراسم نظامی، شامل، اما نه محدود به نام نویسی مجدد، بازنشستگی، مراسم اهدای جوایز ویژه، ترفیعات، و برای شرکت کنندگان در طول رویدادهای اطلاع رسانی جامعه، با لباس یونیفرم پوشیده شود.</w:t>
      </w:r>
    </w:p>
    <w:p>
      <w:pPr>
        <w:spacing w:after="28" w:line="216" w:lineRule="auto"/>
        <w:ind w:left="259"/>
        <w:jc w:val="left"/>
      </w:pPr>
      <w:r>
        <w:rPr>
          <w:rFonts w:ascii="Arial" w:hAnsi="Arial"/>
          <w:color w:val="525252"/>
          <w:sz w:val="13"/>
        </w:rPr>
        <w:t>May be worn in uniform by honoree during military ceremonies, including but not limited to re-enlistments, retirements, special award ceremonies, promotions, and for attendees during community outreach events.</w:t>
      </w:r>
    </w:p>
    <w:p>
      <w:pPr>
        <w:spacing w:after="20" w:line="223" w:lineRule="auto"/>
        <w:jc w:val="right"/>
        <w:bidi/>
      </w:pPr>
      <w:r>
        <w:rPr>
          <w:rFonts w:ascii="Arial" w:hAnsi="Arial"/>
          <w:sz w:val="16"/>
        </w:rPr>
        <w:t>510.03  اگر رویداد در خارج از منزل برگزار می‌شود، هوانوردان اسکان داده شده با سرپوش رگالیا (مانند چرخ پزشکی مهره‌دار با آلو عقاب، هدبند مهره‌دار و غیره) در صورتی که در پوشیدن رگالیا اختلال ایجاد کند، ملزم به پوشیدن سرپوش نظامی نیستند.</w:t>
      </w:r>
    </w:p>
    <w:p>
      <w:pPr>
        <w:spacing w:after="28" w:line="216" w:lineRule="auto"/>
        <w:ind w:left="259"/>
        <w:jc w:val="left"/>
      </w:pPr>
      <w:r>
        <w:rPr>
          <w:rFonts w:ascii="Arial" w:hAnsi="Arial"/>
          <w:color w:val="525252"/>
          <w:sz w:val="13"/>
        </w:rPr>
        <w:t>If the event is outdoors, accommodated Airmen wearing regalia headgear (e.g., beaded medicine wheel with Eagle Plum, beaded headband, etc.) are not required to wear military headgear if it interferes with the wearing of the regalia.</w:t>
      </w:r>
    </w:p>
    <w:p>
      <w:pPr>
        <w:spacing w:after="20" w:line="223" w:lineRule="auto"/>
        <w:jc w:val="right"/>
        <w:bidi/>
      </w:pPr>
      <w:r>
        <w:rPr>
          <w:rFonts w:ascii="Arial" w:hAnsi="Arial"/>
          <w:sz w:val="16"/>
        </w:rPr>
        <w:t>510.04  ۲۳.۲۶. نشان‌ها و نشان‌های تخصصی.</w:t>
      </w:r>
    </w:p>
    <w:p>
      <w:pPr>
        <w:spacing w:after="28" w:line="216" w:lineRule="auto"/>
        <w:ind w:left="259"/>
        <w:jc w:val="left"/>
      </w:pPr>
      <w:r>
        <w:rPr>
          <w:rFonts w:ascii="Arial" w:hAnsi="Arial"/>
          <w:color w:val="525252"/>
          <w:sz w:val="13"/>
        </w:rPr>
        <w:t>23.26. Badges and Specialty Insignias.</w:t>
      </w:r>
    </w:p>
    <w:p>
      <w:pPr>
        <w:spacing w:after="20" w:line="223" w:lineRule="auto"/>
        <w:jc w:val="right"/>
        <w:bidi/>
      </w:pPr>
      <w:r>
        <w:rPr>
          <w:rFonts w:ascii="Arial" w:hAnsi="Arial"/>
          <w:sz w:val="16"/>
        </w:rPr>
        <w:t>510.05  نشان‌ها.</w:t>
      </w:r>
    </w:p>
    <w:p>
      <w:pPr>
        <w:spacing w:after="28" w:line="216" w:lineRule="auto"/>
        <w:ind w:left="259"/>
        <w:jc w:val="left"/>
      </w:pPr>
      <w:r>
        <w:rPr>
          <w:rFonts w:ascii="Arial" w:hAnsi="Arial"/>
          <w:color w:val="525252"/>
          <w:sz w:val="13"/>
        </w:rPr>
        <w:t>Badges.</w:t>
      </w:r>
    </w:p>
    <w:p>
      <w:pPr>
        <w:spacing w:after="20" w:line="223" w:lineRule="auto"/>
        <w:jc w:val="right"/>
        <w:bidi/>
      </w:pPr>
      <w:r>
        <w:rPr>
          <w:rFonts w:ascii="Arial" w:hAnsi="Arial"/>
          <w:sz w:val="16"/>
        </w:rPr>
        <w:t>510.06  تعداد کل نشان‌های شغلی، صلاحیتی یا مهارتی پوشیده شده در هیچ ترکیب یکنواختی بیش از چهار نخواهد بود.</w:t>
      </w:r>
    </w:p>
    <w:p>
      <w:pPr>
        <w:spacing w:after="28" w:line="216" w:lineRule="auto"/>
        <w:ind w:left="259"/>
        <w:jc w:val="left"/>
      </w:pPr>
      <w:r>
        <w:rPr>
          <w:rFonts w:ascii="Arial" w:hAnsi="Arial"/>
          <w:color w:val="525252"/>
          <w:sz w:val="13"/>
        </w:rPr>
        <w:t>The total number of occupational, qualification or skill badges worn will not exceed four in any uniform combination.</w:t>
      </w:r>
    </w:p>
    <w:p>
      <w:pPr>
        <w:spacing w:after="20" w:line="223" w:lineRule="auto"/>
        <w:jc w:val="right"/>
        <w:bidi/>
      </w:pPr>
      <w:r>
        <w:rPr>
          <w:rFonts w:ascii="Arial" w:hAnsi="Arial"/>
          <w:sz w:val="16"/>
        </w:rPr>
        <w:t>510.07  نشان سنجاق فرمانده یکی از چهار نشان محسوب نمی‌شود.</w:t>
      </w:r>
    </w:p>
    <w:p>
      <w:pPr>
        <w:spacing w:after="28" w:line="216" w:lineRule="auto"/>
        <w:ind w:left="259"/>
        <w:jc w:val="left"/>
      </w:pPr>
      <w:r>
        <w:rPr>
          <w:rFonts w:ascii="Arial" w:hAnsi="Arial"/>
          <w:color w:val="525252"/>
          <w:sz w:val="13"/>
        </w:rPr>
        <w:t>The commander's pin insignia does not count as one of the four badges.</w:t>
      </w:r>
    </w:p>
    <w:p>
      <w:pPr>
        <w:spacing w:after="20" w:line="223" w:lineRule="auto"/>
        <w:jc w:val="right"/>
        <w:bidi/>
      </w:pPr>
      <w:r>
        <w:rPr>
          <w:rFonts w:ascii="Arial" w:hAnsi="Arial"/>
          <w:sz w:val="16"/>
        </w:rPr>
        <w:t>510.08  در صورت کسب، فقط یک نشان خارجی بپوشید (برای اطلاعات بیشتر به DAFI ۳۶-۲۹۰۳، بند ۵.۱.۵.۱.۳ مراجعه کنید).</w:t>
      </w:r>
    </w:p>
    <w:p>
      <w:pPr>
        <w:spacing w:after="28" w:line="216" w:lineRule="auto"/>
        <w:ind w:left="259"/>
        <w:jc w:val="left"/>
      </w:pPr>
      <w:r>
        <w:rPr>
          <w:rFonts w:ascii="Arial" w:hAnsi="Arial"/>
          <w:color w:val="525252"/>
          <w:sz w:val="13"/>
        </w:rPr>
        <w:t>If earned, wear only one foreign badge (see DAFI 36-2903, paragraph 5.1.5.1.3 for additional information).</w:t>
      </w:r>
    </w:p>
    <w:p>
      <w:pPr>
        <w:spacing w:after="20" w:line="223" w:lineRule="auto"/>
        <w:jc w:val="right"/>
        <w:bidi/>
      </w:pPr>
      <w:r>
        <w:rPr>
          <w:rFonts w:ascii="Arial" w:hAnsi="Arial"/>
          <w:sz w:val="16"/>
        </w:rPr>
        <w:t>510.09  بیش از مجموع دو نشان روحانی، هوانوردی، فضایی، فضای سایبری، عملیات موشکی، جنگ چند دامنه‌ای یا شغلی در سمت چپ کاربر پوشیده نخواهد شد. نشان‌های</w:t>
      </w:r>
    </w:p>
    <w:p>
      <w:pPr>
        <w:spacing w:after="28" w:line="216" w:lineRule="auto"/>
        <w:ind w:left="259"/>
        <w:jc w:val="left"/>
      </w:pPr>
      <w:r>
        <w:rPr>
          <w:rFonts w:ascii="Arial" w:hAnsi="Arial"/>
          <w:color w:val="525252"/>
          <w:sz w:val="13"/>
        </w:rPr>
        <w:t>No more than a combined total of two chaplain, aeronautical, space, cyberspace, missile operations, multi-domain warfare or occupational badges will be worn on the wearer’s left.</w:t>
      </w:r>
    </w:p>
    <w:p>
      <w:pPr>
        <w:spacing w:after="20" w:line="223" w:lineRule="auto"/>
        <w:jc w:val="right"/>
        <w:bidi/>
      </w:pPr>
      <w:r>
        <w:rPr>
          <w:rFonts w:ascii="Arial" w:hAnsi="Arial"/>
          <w:sz w:val="16"/>
        </w:rPr>
        <w:t>510.10  نشان‌های یونیفرم لباس‌های خدماتی براق و فلزی خواهند بود به جز بال‌های هوانوردی میراث که ممکن است دارای روکش ساتن اکسید شده باشند.</w:t>
      </w:r>
    </w:p>
    <w:p>
      <w:pPr>
        <w:spacing w:after="28" w:line="216" w:lineRule="auto"/>
        <w:ind w:left="259"/>
        <w:jc w:val="left"/>
      </w:pPr>
      <w:r>
        <w:rPr>
          <w:rFonts w:ascii="Arial" w:hAnsi="Arial"/>
          <w:color w:val="525252"/>
          <w:sz w:val="13"/>
        </w:rPr>
        <w:t>Badges for service dress uniforms will be shiny, metallic except the heritage aeronautical wings which may have an oxidized satin finish.</w:t>
      </w:r>
    </w:p>
    <w:p>
      <w:pPr>
        <w:spacing w:after="20" w:line="223" w:lineRule="auto"/>
        <w:jc w:val="right"/>
        <w:bidi/>
      </w:pPr>
      <w:r>
        <w:rPr>
          <w:rFonts w:ascii="Arial" w:hAnsi="Arial"/>
          <w:sz w:val="16"/>
        </w:rPr>
        <w:t>510.11  نشان‌های OCP گلدوزی می‌شود.</w:t>
      </w:r>
    </w:p>
    <w:p>
      <w:pPr>
        <w:spacing w:after="28" w:line="216" w:lineRule="auto"/>
        <w:ind w:left="259"/>
        <w:jc w:val="left"/>
      </w:pPr>
      <w:r>
        <w:rPr>
          <w:rFonts w:ascii="Arial" w:hAnsi="Arial"/>
          <w:color w:val="525252"/>
          <w:sz w:val="13"/>
        </w:rPr>
        <w:t>OCP badges will be embroidered.</w:t>
      </w:r>
    </w:p>
    <w:p>
      <w:pPr>
        <w:spacing w:after="20" w:line="223" w:lineRule="auto"/>
        <w:jc w:val="right"/>
        <w:bidi/>
      </w:pPr>
      <w:r>
        <w:rPr>
          <w:rFonts w:ascii="Arial" w:hAnsi="Arial"/>
          <w:sz w:val="16"/>
        </w:rPr>
        <w:t>510.12  اعضا به شدت تشویق می‌شوند که نشان شغلی فعلی خود را بپوشند.</w:t>
      </w:r>
    </w:p>
    <w:p>
      <w:pPr>
        <w:spacing w:after="28" w:line="216" w:lineRule="auto"/>
        <w:ind w:left="259"/>
        <w:jc w:val="left"/>
      </w:pPr>
      <w:r>
        <w:rPr>
          <w:rFonts w:ascii="Arial" w:hAnsi="Arial"/>
          <w:color w:val="525252"/>
          <w:sz w:val="13"/>
        </w:rPr>
        <w:t>Members are highly encouraged to wear their current occupational badge.</w:t>
      </w:r>
    </w:p>
    <w:p>
      <w:pPr>
        <w:spacing w:after="20" w:line="223" w:lineRule="auto"/>
        <w:jc w:val="right"/>
        <w:bidi/>
      </w:pPr>
      <w:r>
        <w:rPr>
          <w:rFonts w:ascii="Arial" w:hAnsi="Arial"/>
          <w:sz w:val="16"/>
        </w:rPr>
        <w:t>510.13  هنگام اعطا، نشان روحانی، هوانوردی، فضایی، فضای سایبری، جنگ چند حوزه‌ای و عملیات موشکی اجباری است و همیشه در بالاترین موقعیت استفاده خواهد شد.</w:t>
      </w:r>
    </w:p>
    <w:p>
      <w:pPr>
        <w:spacing w:after="28" w:line="216" w:lineRule="auto"/>
        <w:ind w:left="259"/>
        <w:jc w:val="left"/>
      </w:pPr>
      <w:r>
        <w:rPr>
          <w:rFonts w:ascii="Arial" w:hAnsi="Arial"/>
          <w:color w:val="525252"/>
          <w:sz w:val="13"/>
        </w:rPr>
        <w:t>When awarded, chaplain, aeronautical, space, cyberspace, multi-domain warfare and missile operations badges are mandatory and will always be worn in the highest position.</w:t>
      </w:r>
    </w:p>
    <w:p>
      <w:pPr>
        <w:spacing w:after="20" w:line="223" w:lineRule="auto"/>
        <w:jc w:val="right"/>
        <w:bidi/>
      </w:pPr>
      <w:r>
        <w:rPr>
          <w:rFonts w:ascii="Arial" w:hAnsi="Arial"/>
          <w:sz w:val="16"/>
        </w:rPr>
        <w:t>510.14  وقتی بیش از یک نشان عملیات هوانوردی، فضایی، فضای سایبری، جنگ چند دامنه‌ای یا موشکی مجاز است، نشانی را بپوشید که نشان‌دهنده شغل یا شمش فعلی در بالاترین موقعیت است و نشان دوم و بعدی هوانوردی، فضایی، جنگ چند دامنه‌ای یا فضای سایبری به گزینه تبدیل می‌شود.</w:t>
      </w:r>
    </w:p>
    <w:p>
      <w:pPr>
        <w:spacing w:after="28" w:line="216" w:lineRule="auto"/>
        <w:ind w:left="259"/>
        <w:jc w:val="left"/>
      </w:pPr>
      <w:r>
        <w:rPr>
          <w:rFonts w:ascii="Arial" w:hAnsi="Arial"/>
          <w:color w:val="525252"/>
          <w:sz w:val="13"/>
        </w:rPr>
        <w:t>When more than one aeronautical, space, cyberspace, multi-domain warfare or missile operations badge is authorized, wear the badge that reflects the current job or billet in the highest position and the second and subsequent aeronautical, space, multi-domain warfare or cyberspace badges become optional.</w:t>
      </w:r>
    </w:p>
    <w:p>
      <w:pPr>
        <w:spacing w:after="20" w:line="223" w:lineRule="auto"/>
        <w:jc w:val="right"/>
        <w:bidi/>
      </w:pPr>
      <w:r>
        <w:rPr>
          <w:rFonts w:ascii="Arial" w:hAnsi="Arial"/>
          <w:sz w:val="16"/>
        </w:rPr>
        <w:t>510.15  اگر نشان کشیش همراه با نشان هوانوردی، فضایی، جنگ چند دامنه یا فضای سایبری پوشیده شود، نشان روحانی در جایگاه بالاتری قرار خواهد گرفت.</w:t>
      </w:r>
    </w:p>
    <w:p>
      <w:pPr>
        <w:spacing w:after="28" w:line="216" w:lineRule="auto"/>
        <w:ind w:left="259"/>
        <w:jc w:val="left"/>
      </w:pPr>
      <w:r>
        <w:rPr>
          <w:rFonts w:ascii="Arial" w:hAnsi="Arial"/>
          <w:color w:val="525252"/>
          <w:sz w:val="13"/>
        </w:rPr>
        <w:t>If the chaplain badge is worn in conjunction with aeronautical, space, multi- domain warfare or cyberspace badge, then the chaplain’s badge will be in the higher position.</w:t>
      </w:r>
    </w:p>
    <w:p>
      <w:pPr>
        <w:spacing w:after="20" w:line="223" w:lineRule="auto"/>
        <w:jc w:val="right"/>
        <w:bidi/>
      </w:pPr>
      <w:r>
        <w:rPr>
          <w:rFonts w:ascii="Arial" w:hAnsi="Arial"/>
          <w:sz w:val="16"/>
        </w:rPr>
        <w:t>510.16  نشان‌های هوانوردی، فضایی، فضای سایبری، جنگ چند حوزه‌ای و عملیات موشکی در اولویت هستند.</w:t>
      </w:r>
    </w:p>
    <w:p>
      <w:pPr>
        <w:spacing w:after="28" w:line="216" w:lineRule="auto"/>
        <w:ind w:left="259"/>
        <w:jc w:val="left"/>
      </w:pPr>
      <w:r>
        <w:rPr>
          <w:rFonts w:ascii="Arial" w:hAnsi="Arial"/>
          <w:color w:val="525252"/>
          <w:sz w:val="13"/>
        </w:rPr>
        <w:t>Aeronautical, space, cyberspace, multi-domain warfare and missile operations badges are equal in precedence.</w:t>
      </w:r>
    </w:p>
    <w:p>
      <w:pPr>
        <w:spacing w:after="20" w:line="223" w:lineRule="auto"/>
        <w:jc w:val="right"/>
        <w:bidi/>
      </w:pPr>
      <w:r>
        <w:rPr>
          <w:rFonts w:ascii="Arial" w:hAnsi="Arial"/>
          <w:sz w:val="16"/>
        </w:rPr>
        <w:t>510.17  بال‌های چترباز اختیاری است. با این حال، هنگامی که پوشیده می‌شود، بالای نشان شغلی یا زیر نشان کشیش، هوانوردی، فضایی، جنگ چند دامنه‌ای یا فضای سایبری قرار می‌گیرد.</w:t>
      </w:r>
    </w:p>
    <w:p>
      <w:pPr>
        <w:spacing w:after="28" w:line="216" w:lineRule="auto"/>
        <w:ind w:left="259"/>
        <w:jc w:val="left"/>
      </w:pPr>
      <w:r>
        <w:rPr>
          <w:rFonts w:ascii="Arial" w:hAnsi="Arial"/>
          <w:color w:val="525252"/>
          <w:sz w:val="13"/>
        </w:rPr>
        <w:t>Parachutist wings are optional; however, when worn will be placed above an occupational badge or below a chaplain, aeronautical, space, multi-domain warfare or cyberspace badge.</w:t>
      </w:r>
    </w:p>
    <w:p>
      <w:pPr>
        <w:spacing w:after="20" w:line="223" w:lineRule="auto"/>
        <w:jc w:val="right"/>
        <w:bidi/>
      </w:pPr>
      <w:r>
        <w:rPr>
          <w:rFonts w:ascii="Arial" w:hAnsi="Arial"/>
          <w:sz w:val="16"/>
        </w:rPr>
        <w:t>510.18  همه نشان‌های شغلی دیگر اختیاری هستند.</w:t>
      </w:r>
    </w:p>
    <w:p>
      <w:pPr>
        <w:spacing w:after="28" w:line="216" w:lineRule="auto"/>
        <w:ind w:left="259"/>
        <w:jc w:val="left"/>
      </w:pPr>
      <w:r>
        <w:rPr>
          <w:rFonts w:ascii="Arial" w:hAnsi="Arial"/>
          <w:color w:val="525252"/>
          <w:sz w:val="13"/>
        </w:rPr>
        <w:t>All other occupational badges are optional.</w:t>
      </w:r>
    </w:p>
    <w:p>
      <w:pPr>
        <w:spacing w:after="20" w:line="223" w:lineRule="auto"/>
        <w:jc w:val="right"/>
        <w:bidi/>
      </w:pPr>
      <w:r>
        <w:rPr>
          <w:rFonts w:ascii="Arial" w:hAnsi="Arial"/>
          <w:sz w:val="16"/>
        </w:rPr>
        <w:t>510.19  تمام نشان‌های شغلی پوشیده شده به یک اندازه خواهند بود. مینیاتوری یا استثنایی معمولی: نشان‌های هوانوردی، فضایی، فضای سایبری، جنگ‌های چند دامنه‌ای و خنثی‌سازی مهمات انفجاری (EOD) ممکن است اندازه متفاوتی با نشان‌های شغلی داشته باشند. با این حال، نشان‌های متعدد هوانوردی، فضایی، فضای سایبری، جنگ چند دامنه‌ای و EOD به یک اندازه خواهند بود.</w:t>
      </w:r>
    </w:p>
    <w:p>
      <w:pPr>
        <w:spacing w:after="28" w:line="216" w:lineRule="auto"/>
        <w:ind w:left="259"/>
        <w:jc w:val="left"/>
      </w:pPr>
      <w:r>
        <w:rPr>
          <w:rFonts w:ascii="Arial" w:hAnsi="Arial"/>
          <w:color w:val="525252"/>
          <w:sz w:val="13"/>
        </w:rPr>
        <w:t>All occupational badges worn will be the same size; miniature, or regular Exception: Aeronautical, space, cyberspace, multi-domain warfare and Explosive Ordnance Disposal (EOD) badges may be a different size than an occupational badge; however, multiple aeronautical, space, cyberspace, multi-domain warfare, and EOD badges will be the same size.</w:t>
      </w:r>
    </w:p>
    <w:p>
      <w:pPr>
        <w:spacing w:after="20" w:line="223" w:lineRule="auto"/>
        <w:jc w:val="right"/>
        <w:bidi/>
      </w:pPr>
      <w:r>
        <w:rPr>
          <w:rFonts w:ascii="Arial" w:hAnsi="Arial"/>
          <w:sz w:val="16"/>
        </w:rPr>
        <w:t>510.20  علاوه بر این، بال‌های مینیاتوری ممکن است با نشان شغلی با اندازه معمولی یا نشان پزشکی اندازه معمولی پوشیده شوند.</w:t>
      </w:r>
    </w:p>
    <w:p>
      <w:pPr>
        <w:spacing w:after="28" w:line="216" w:lineRule="auto"/>
        <w:ind w:left="259"/>
        <w:jc w:val="left"/>
      </w:pPr>
      <w:r>
        <w:rPr>
          <w:rFonts w:ascii="Arial" w:hAnsi="Arial"/>
          <w:color w:val="525252"/>
          <w:sz w:val="13"/>
        </w:rPr>
        <w:t>Additionally, miniature wings may be worn with a regular size occupational badge, or regular size medical badge.</w:t>
      </w:r>
    </w:p>
    <w:p>
      <w:pPr>
        <w:spacing w:after="20" w:line="223" w:lineRule="auto"/>
        <w:jc w:val="right"/>
        <w:bidi/>
      </w:pPr>
      <w:r>
        <w:rPr>
          <w:rFonts w:ascii="Arial" w:hAnsi="Arial"/>
          <w:sz w:val="16"/>
        </w:rPr>
        <w:t>510.21  قرار دادن نشان‌ها.</w:t>
      </w:r>
    </w:p>
    <w:p>
      <w:pPr>
        <w:spacing w:after="28" w:line="216" w:lineRule="auto"/>
        <w:ind w:left="259"/>
        <w:jc w:val="left"/>
      </w:pPr>
      <w:r>
        <w:rPr>
          <w:rFonts w:ascii="Arial" w:hAnsi="Arial"/>
          <w:color w:val="525252"/>
          <w:sz w:val="13"/>
        </w:rPr>
        <w:t>Placement of Badges.</w:t>
      </w:r>
    </w:p>
    <w:p>
      <w:pPr>
        <w:spacing w:after="20" w:line="223" w:lineRule="auto"/>
        <w:jc w:val="right"/>
        <w:bidi/>
      </w:pPr>
      <w:r>
        <w:rPr>
          <w:rFonts w:ascii="Arial" w:hAnsi="Arial"/>
          <w:sz w:val="16"/>
        </w:rPr>
        <w:t>510.22  لباس فرم OCP.</w:t>
      </w:r>
    </w:p>
    <w:p>
      <w:pPr>
        <w:spacing w:after="28" w:line="216" w:lineRule="auto"/>
        <w:ind w:left="259"/>
        <w:jc w:val="left"/>
      </w:pPr>
      <w:r>
        <w:rPr>
          <w:rFonts w:ascii="Arial" w:hAnsi="Arial"/>
          <w:color w:val="525252"/>
          <w:sz w:val="13"/>
        </w:rPr>
        <w:t>OCP uniform.</w:t>
      </w:r>
    </w:p>
    <w:p>
      <w:pPr>
        <w:spacing w:after="20" w:line="223" w:lineRule="auto"/>
        <w:jc w:val="right"/>
        <w:bidi/>
      </w:pPr>
      <w:r>
        <w:rPr>
          <w:rFonts w:ascii="Arial" w:hAnsi="Arial"/>
          <w:sz w:val="16"/>
        </w:rPr>
        <w:t>510.23  حداکثر چهار نشان شغلی، صلاحیت یا مهارت در سمت چپ جلوی یکنواخت بالای نوار نیروی هوایی ایالات متحده واقع در بالای جیب سینه سمت چپ استفاده می‌شود.</w:t>
      </w:r>
    </w:p>
    <w:p>
      <w:pPr>
        <w:spacing w:after="28" w:line="216" w:lineRule="auto"/>
        <w:ind w:left="259"/>
        <w:jc w:val="left"/>
      </w:pPr>
      <w:r>
        <w:rPr>
          <w:rFonts w:ascii="Arial" w:hAnsi="Arial"/>
          <w:color w:val="525252"/>
          <w:sz w:val="13"/>
        </w:rPr>
        <w:t>A maximum of four occupational, qualification, or skill badges are worn on the left side of the uniform front above the U.S. Air Force tape located above the left breast pocket.</w:t>
      </w:r>
    </w:p>
    <w:p>
      <w:pPr>
        <w:spacing w:after="20" w:line="223" w:lineRule="auto"/>
        <w:jc w:val="right"/>
        <w:bidi/>
      </w:pPr>
      <w:r>
        <w:rPr>
          <w:rFonts w:ascii="Arial" w:hAnsi="Arial"/>
          <w:sz w:val="16"/>
        </w:rPr>
        <w:t>510.24  از نشان‌های پارچه دوزی مجاز روی OCP استفاده کنید.</w:t>
      </w:r>
    </w:p>
    <w:p>
      <w:pPr>
        <w:spacing w:after="28" w:line="216" w:lineRule="auto"/>
        <w:ind w:left="259"/>
        <w:jc w:val="left"/>
      </w:pPr>
      <w:r>
        <w:rPr>
          <w:rFonts w:ascii="Arial" w:hAnsi="Arial"/>
          <w:color w:val="525252"/>
          <w:sz w:val="13"/>
        </w:rPr>
        <w:t>Wear authorized embroidered cloth badges on the OCP.</w:t>
      </w:r>
    </w:p>
    <w:p>
      <w:pPr>
        <w:spacing w:after="20" w:line="223" w:lineRule="auto"/>
        <w:jc w:val="right"/>
        <w:bidi/>
      </w:pPr>
      <w:r>
        <w:rPr>
          <w:rFonts w:ascii="Arial" w:hAnsi="Arial"/>
          <w:sz w:val="16"/>
        </w:rPr>
        <w:t>510.25  پوشیدن نشان(های) شغلی فعلی نیروی هوایی در صورت پوشیدن نشان خدمات خواهر الزامی است.</w:t>
      </w:r>
    </w:p>
    <w:p>
      <w:pPr>
        <w:spacing w:after="28" w:line="216" w:lineRule="auto"/>
        <w:ind w:left="259"/>
        <w:jc w:val="left"/>
      </w:pPr>
      <w:r>
        <w:rPr>
          <w:rFonts w:ascii="Arial" w:hAnsi="Arial"/>
          <w:color w:val="525252"/>
          <w:sz w:val="13"/>
        </w:rPr>
        <w:t>Wear of current Air Force occupational badge(s) are mandatory if sister services badges are worn.</w:t>
      </w:r>
    </w:p>
    <w:p>
      <w:pPr>
        <w:spacing w:after="20" w:line="223" w:lineRule="auto"/>
        <w:jc w:val="right"/>
        <w:bidi/>
      </w:pPr>
      <w:r>
        <w:rPr>
          <w:rFonts w:ascii="Arial" w:hAnsi="Arial"/>
          <w:sz w:val="16"/>
        </w:rPr>
        <w:t>510.26  از نشان‌های فلزی پین صلاحیت خدمات خواهر در لباس OCP استفاده نکنید.</w:t>
      </w:r>
    </w:p>
    <w:p>
      <w:pPr>
        <w:spacing w:after="28" w:line="216" w:lineRule="auto"/>
        <w:ind w:left="259"/>
        <w:jc w:val="left"/>
      </w:pPr>
      <w:r>
        <w:rPr>
          <w:rFonts w:ascii="Arial" w:hAnsi="Arial"/>
          <w:color w:val="525252"/>
          <w:sz w:val="13"/>
        </w:rPr>
        <w:t>Do not wear metal pin-on qualification badges of sister services on the OCP uniform.</w:t>
      </w:r>
    </w:p>
    <w:p>
      <w:pPr>
        <w:spacing w:after="20" w:line="223" w:lineRule="auto"/>
        <w:jc w:val="right"/>
        <w:bidi/>
      </w:pPr>
      <w:r>
        <w:rPr>
          <w:rFonts w:ascii="Arial" w:hAnsi="Arial"/>
          <w:sz w:val="16"/>
        </w:rPr>
        <w:t>510.27  لباس رسمی و مسس (زنانه و مرد).</w:t>
      </w:r>
    </w:p>
    <w:p>
      <w:pPr>
        <w:spacing w:after="28" w:line="216" w:lineRule="auto"/>
        <w:ind w:left="259"/>
        <w:jc w:val="left"/>
      </w:pPr>
      <w:r>
        <w:rPr>
          <w:rFonts w:ascii="Arial" w:hAnsi="Arial"/>
          <w:color w:val="525252"/>
          <w:sz w:val="13"/>
        </w:rPr>
        <w:t>Formal and Mess Dress uniform (males and females).</w:t>
      </w:r>
    </w:p>
    <w:p>
      <w:pPr>
        <w:spacing w:after="20" w:line="223" w:lineRule="auto"/>
        <w:jc w:val="right"/>
        <w:bidi/>
      </w:pPr>
      <w:r>
        <w:rPr>
          <w:rFonts w:ascii="Arial" w:hAnsi="Arial"/>
          <w:sz w:val="16"/>
        </w:rPr>
        <w:t>510.28  نشان شغلی، صلاحیت یا مهارت در مرکز ۱/۲ اینچ بالاتر از ردیف بالای مدال‌ها یا زمانی که مدال‌های مجاز نیستند، در میانه راه بین دکمه‌های شانه و بالا.</w:t>
      </w:r>
    </w:p>
    <w:p>
      <w:pPr>
        <w:spacing w:after="28" w:line="216" w:lineRule="auto"/>
        <w:ind w:left="259"/>
        <w:jc w:val="left"/>
      </w:pPr>
      <w:r>
        <w:rPr>
          <w:rFonts w:ascii="Arial" w:hAnsi="Arial"/>
          <w:color w:val="525252"/>
          <w:sz w:val="13"/>
        </w:rPr>
        <w:t>Center occupational, qualification, or skill badge 1/2-inch above top row of medals or when not authorized medals, midway between shoulder and top button.</w:t>
      </w:r>
    </w:p>
    <w:p>
      <w:pPr>
        <w:spacing w:after="20" w:line="223" w:lineRule="auto"/>
        <w:jc w:val="right"/>
        <w:bidi/>
      </w:pPr>
      <w:r>
        <w:rPr>
          <w:rFonts w:ascii="Arial" w:hAnsi="Arial"/>
          <w:sz w:val="16"/>
        </w:rPr>
        <w:t>510.29  در صورت مجاز بودن، نشان دوم را در مرکز ۱/۲ اینچ بالای نشان اول بپوشید.</w:t>
      </w:r>
    </w:p>
    <w:p>
      <w:pPr>
        <w:spacing w:after="28" w:line="216" w:lineRule="auto"/>
        <w:ind w:left="259"/>
        <w:jc w:val="left"/>
      </w:pPr>
      <w:r>
        <w:rPr>
          <w:rFonts w:ascii="Arial" w:hAnsi="Arial"/>
          <w:color w:val="525252"/>
          <w:sz w:val="13"/>
        </w:rPr>
        <w:t>Wear second badge centered 1/2-inch above first badge, when authorized.</w:t>
      </w:r>
    </w:p>
    <w:p>
      <w:pPr>
        <w:spacing w:after="20" w:line="223" w:lineRule="auto"/>
        <w:jc w:val="right"/>
        <w:bidi/>
      </w:pPr>
      <w:r>
        <w:rPr>
          <w:rFonts w:ascii="Arial" w:hAnsi="Arial"/>
          <w:sz w:val="16"/>
        </w:rPr>
        <w:t>510.30  لباس فرم نیمه رسمی (مردانه و زنانه).</w:t>
      </w:r>
    </w:p>
    <w:p>
      <w:pPr>
        <w:spacing w:after="28" w:line="216" w:lineRule="auto"/>
        <w:ind w:left="259"/>
        <w:jc w:val="left"/>
      </w:pPr>
      <w:r>
        <w:rPr>
          <w:rFonts w:ascii="Arial" w:hAnsi="Arial"/>
          <w:color w:val="525252"/>
          <w:sz w:val="13"/>
        </w:rPr>
        <w:t>Semi-Formal Dress uniform (males and females).</w:t>
      </w:r>
    </w:p>
    <w:p>
      <w:pPr>
        <w:spacing w:after="20" w:line="223" w:lineRule="auto"/>
        <w:jc w:val="right"/>
        <w:bidi/>
      </w:pPr>
      <w:r>
        <w:rPr>
          <w:rFonts w:ascii="Arial" w:hAnsi="Arial"/>
          <w:sz w:val="16"/>
        </w:rPr>
        <w:t>510.31  همه یا برخی از روبان‌ها و وسایل را بپوشید.</w:t>
      </w:r>
    </w:p>
    <w:p>
      <w:pPr>
        <w:spacing w:after="28" w:line="216" w:lineRule="auto"/>
        <w:ind w:left="259"/>
        <w:jc w:val="left"/>
      </w:pPr>
      <w:r>
        <w:rPr>
          <w:rFonts w:ascii="Arial" w:hAnsi="Arial"/>
          <w:color w:val="525252"/>
          <w:sz w:val="13"/>
        </w:rPr>
        <w:t>Wear all or some ribbons and devices.</w:t>
      </w:r>
    </w:p>
    <w:p>
      <w:pPr>
        <w:spacing w:after="20" w:line="223" w:lineRule="auto"/>
        <w:jc w:val="right"/>
        <w:bidi/>
      </w:pPr>
      <w:r>
        <w:rPr>
          <w:rFonts w:ascii="Arial" w:hAnsi="Arial"/>
          <w:sz w:val="16"/>
        </w:rPr>
        <w:t>510.32  اولین نشان شغلی، صلاحیت یا مهارت در سمت چپ پوشنده، ۱/۲ اینچ بالای ردیف بالایی روبان‌ها قرار می‌گیرد.</w:t>
      </w:r>
    </w:p>
    <w:p>
      <w:pPr>
        <w:spacing w:after="28" w:line="216" w:lineRule="auto"/>
        <w:ind w:left="259"/>
        <w:jc w:val="left"/>
      </w:pPr>
      <w:r>
        <w:rPr>
          <w:rFonts w:ascii="Arial" w:hAnsi="Arial"/>
          <w:color w:val="525252"/>
          <w:sz w:val="13"/>
        </w:rPr>
        <w:t>The first occupational, qualification, or skill badge will be centered on the wearer’s left 1/2- inch above the top row of ribbons.</w:t>
      </w:r>
    </w:p>
    <w:p>
      <w:pPr>
        <w:spacing w:after="20" w:line="223" w:lineRule="auto"/>
        <w:jc w:val="right"/>
        <w:bidi/>
      </w:pPr>
      <w:r>
        <w:rPr>
          <w:rFonts w:ascii="Arial" w:hAnsi="Arial"/>
          <w:sz w:val="16"/>
        </w:rPr>
        <w:t>510.33  نشان اضافی را ۱/۲ اینچ بالاتر از نشان اول وسط قرار دهید.</w:t>
      </w:r>
    </w:p>
    <w:p>
      <w:pPr>
        <w:spacing w:after="28" w:line="216" w:lineRule="auto"/>
        <w:ind w:left="259"/>
        <w:jc w:val="left"/>
      </w:pPr>
      <w:r>
        <w:rPr>
          <w:rFonts w:ascii="Arial" w:hAnsi="Arial"/>
          <w:color w:val="525252"/>
          <w:sz w:val="13"/>
        </w:rPr>
        <w:t>Center additional badge 1/2-inch above the first one.</w:t>
      </w:r>
    </w:p>
    <w:p>
      <w:r>
        <w:br w:type="page"/>
      </w:r>
    </w:p>
    <w:p>
      <w:pPr>
        <w:spacing w:after="60"/>
        <w:jc w:val="right"/>
        <w:bidi/>
      </w:pPr>
      <w:r>
        <w:rPr>
          <w:rFonts w:ascii="Arial" w:hAnsi="Arial"/>
          <w:b/>
          <w:color w:val="1F4D78"/>
          <w:sz w:val="19"/>
        </w:rPr>
        <w:t>هفتهٔ 511  |  صفحهٔ منبع: 527</w:t>
      </w:r>
    </w:p>
    <w:p>
      <w:pPr>
        <w:spacing w:after="20" w:line="223" w:lineRule="auto"/>
        <w:jc w:val="right"/>
        <w:bidi/>
      </w:pPr>
      <w:r>
        <w:rPr>
          <w:rFonts w:ascii="Arial" w:hAnsi="Arial"/>
          <w:sz w:val="16"/>
        </w:rPr>
        <w:t>511.01  لباس فرم سرویس (کلاس ا) (زنانه و مرد).</w:t>
      </w:r>
    </w:p>
    <w:p>
      <w:pPr>
        <w:spacing w:after="28" w:line="216" w:lineRule="auto"/>
        <w:ind w:left="259"/>
        <w:jc w:val="left"/>
      </w:pPr>
      <w:r>
        <w:rPr>
          <w:rFonts w:ascii="Arial" w:hAnsi="Arial"/>
          <w:color w:val="525252"/>
          <w:sz w:val="13"/>
        </w:rPr>
        <w:t>Service Dress uniform (Class A) (males and females).</w:t>
      </w:r>
    </w:p>
    <w:p>
      <w:pPr>
        <w:spacing w:after="20" w:line="223" w:lineRule="auto"/>
        <w:jc w:val="right"/>
        <w:bidi/>
      </w:pPr>
      <w:r>
        <w:rPr>
          <w:rFonts w:ascii="Arial" w:hAnsi="Arial"/>
          <w:sz w:val="16"/>
        </w:rPr>
        <w:t>511.02  همه یا برخی از روبان‌ها و وسایل را بپوشید.</w:t>
      </w:r>
    </w:p>
    <w:p>
      <w:pPr>
        <w:spacing w:after="28" w:line="216" w:lineRule="auto"/>
        <w:ind w:left="259"/>
        <w:jc w:val="left"/>
      </w:pPr>
      <w:r>
        <w:rPr>
          <w:rFonts w:ascii="Arial" w:hAnsi="Arial"/>
          <w:color w:val="525252"/>
          <w:sz w:val="13"/>
        </w:rPr>
        <w:t>Wear all or some ribbons and devices.</w:t>
      </w:r>
    </w:p>
    <w:p>
      <w:pPr>
        <w:spacing w:after="20" w:line="223" w:lineRule="auto"/>
        <w:jc w:val="right"/>
        <w:bidi/>
      </w:pPr>
      <w:r>
        <w:rPr>
          <w:rFonts w:ascii="Arial" w:hAnsi="Arial"/>
          <w:sz w:val="16"/>
        </w:rPr>
        <w:t>511.03  اولین نشان شغلی، صلاحیت یا مهارت در سمت چپ پوشنده، ۱/۲ اینچ بالای ردیف بالایی روبان‌ها قرار می‌گیرد.</w:t>
      </w:r>
    </w:p>
    <w:p>
      <w:pPr>
        <w:spacing w:after="28" w:line="216" w:lineRule="auto"/>
        <w:ind w:left="259"/>
        <w:jc w:val="left"/>
      </w:pPr>
      <w:r>
        <w:rPr>
          <w:rFonts w:ascii="Arial" w:hAnsi="Arial"/>
          <w:color w:val="525252"/>
          <w:sz w:val="13"/>
        </w:rPr>
        <w:t>The first occupational, qualification, or skill badge will be centered on the wearer’s left 1/2- inch above the top row of ribbons.</w:t>
      </w:r>
    </w:p>
    <w:p>
      <w:pPr>
        <w:spacing w:after="20" w:line="223" w:lineRule="auto"/>
        <w:jc w:val="right"/>
        <w:bidi/>
      </w:pPr>
      <w:r>
        <w:rPr>
          <w:rFonts w:ascii="Arial" w:hAnsi="Arial"/>
          <w:sz w:val="16"/>
        </w:rPr>
        <w:t>511.04  نشان اضافی را ۱/۲ اینچ بالاتر از نشان اول وسط قرار دهید.</w:t>
      </w:r>
    </w:p>
    <w:p>
      <w:pPr>
        <w:spacing w:after="28" w:line="216" w:lineRule="auto"/>
        <w:ind w:left="259"/>
        <w:jc w:val="left"/>
      </w:pPr>
      <w:r>
        <w:rPr>
          <w:rFonts w:ascii="Arial" w:hAnsi="Arial"/>
          <w:color w:val="525252"/>
          <w:sz w:val="13"/>
        </w:rPr>
        <w:t>Center additional badge 1/2-inch above the first one.</w:t>
      </w:r>
    </w:p>
    <w:p>
      <w:pPr>
        <w:spacing w:after="20" w:line="223" w:lineRule="auto"/>
        <w:jc w:val="right"/>
        <w:bidi/>
      </w:pPr>
      <w:r>
        <w:rPr>
          <w:rFonts w:ascii="Arial" w:hAnsi="Arial"/>
          <w:sz w:val="16"/>
        </w:rPr>
        <w:t>511.05  وقتی روبان‌ها مجاز نیستند، نشان را موازی با برچسب نام وسط قرار دهید.</w:t>
      </w:r>
    </w:p>
    <w:p>
      <w:pPr>
        <w:spacing w:after="28" w:line="216" w:lineRule="auto"/>
        <w:ind w:left="259"/>
        <w:jc w:val="left"/>
      </w:pPr>
      <w:r>
        <w:rPr>
          <w:rFonts w:ascii="Arial" w:hAnsi="Arial"/>
          <w:color w:val="525252"/>
          <w:sz w:val="13"/>
        </w:rPr>
        <w:t>When not authorized ribbons for wear, center badge parallel to the name tag.</w:t>
      </w:r>
    </w:p>
    <w:p>
      <w:pPr>
        <w:spacing w:after="20" w:line="223" w:lineRule="auto"/>
        <w:jc w:val="right"/>
        <w:bidi/>
      </w:pPr>
      <w:r>
        <w:rPr>
          <w:rFonts w:ascii="Arial" w:hAnsi="Arial"/>
          <w:sz w:val="16"/>
        </w:rPr>
        <w:t>511.06  نشان اضافی را ۱/۲ اینچ بالاتر از نشان اول وسط قرار دهید.</w:t>
      </w:r>
    </w:p>
    <w:p>
      <w:pPr>
        <w:spacing w:after="28" w:line="216" w:lineRule="auto"/>
        <w:ind w:left="259"/>
        <w:jc w:val="left"/>
      </w:pPr>
      <w:r>
        <w:rPr>
          <w:rFonts w:ascii="Arial" w:hAnsi="Arial"/>
          <w:color w:val="525252"/>
          <w:sz w:val="13"/>
        </w:rPr>
        <w:t>Center additional badge 1/2-inch above the first one.</w:t>
      </w:r>
    </w:p>
    <w:p>
      <w:pPr>
        <w:spacing w:after="20" w:line="223" w:lineRule="auto"/>
        <w:jc w:val="right"/>
        <w:bidi/>
      </w:pPr>
      <w:r>
        <w:rPr>
          <w:rFonts w:ascii="Arial" w:hAnsi="Arial"/>
          <w:sz w:val="16"/>
        </w:rPr>
        <w:t>511.07  یونیفرم سرویس (کلاس ب) (زنانه و مرد).</w:t>
      </w:r>
    </w:p>
    <w:p>
      <w:pPr>
        <w:spacing w:after="28" w:line="216" w:lineRule="auto"/>
        <w:ind w:left="259"/>
        <w:jc w:val="left"/>
      </w:pPr>
      <w:r>
        <w:rPr>
          <w:rFonts w:ascii="Arial" w:hAnsi="Arial"/>
          <w:color w:val="525252"/>
          <w:sz w:val="13"/>
        </w:rPr>
        <w:t>Service uniform (Class B) (males and females).</w:t>
      </w:r>
    </w:p>
    <w:p>
      <w:pPr>
        <w:spacing w:after="20" w:line="223" w:lineRule="auto"/>
        <w:jc w:val="right"/>
        <w:bidi/>
      </w:pPr>
      <w:r>
        <w:rPr>
          <w:rFonts w:ascii="Arial" w:hAnsi="Arial"/>
          <w:sz w:val="16"/>
        </w:rPr>
        <w:t>511.08  روبان‌ها اختیاری هستند. همه روبان‌ها و دستگاه‌ها را بپوشید، چند یا بدون آن.</w:t>
      </w:r>
    </w:p>
    <w:p>
      <w:pPr>
        <w:spacing w:after="28" w:line="216" w:lineRule="auto"/>
        <w:ind w:left="259"/>
        <w:jc w:val="left"/>
      </w:pPr>
      <w:r>
        <w:rPr>
          <w:rFonts w:ascii="Arial" w:hAnsi="Arial"/>
          <w:color w:val="525252"/>
          <w:sz w:val="13"/>
        </w:rPr>
        <w:t>Ribbons are optional; wear all, some or no ribbons and devices.</w:t>
      </w:r>
    </w:p>
    <w:p>
      <w:pPr>
        <w:spacing w:after="20" w:line="223" w:lineRule="auto"/>
        <w:jc w:val="right"/>
        <w:bidi/>
      </w:pPr>
      <w:r>
        <w:rPr>
          <w:rFonts w:ascii="Arial" w:hAnsi="Arial"/>
          <w:sz w:val="16"/>
        </w:rPr>
        <w:t>511.09  اولین نشان شغلی، صلاحیت یا مهارت در سمت چپ پوشنده، ۱/۲ اینچ بالای ردیف بالایی روبان‌ها قرار می‌گیرد.</w:t>
      </w:r>
    </w:p>
    <w:p>
      <w:pPr>
        <w:spacing w:after="28" w:line="216" w:lineRule="auto"/>
        <w:ind w:left="259"/>
        <w:jc w:val="left"/>
      </w:pPr>
      <w:r>
        <w:rPr>
          <w:rFonts w:ascii="Arial" w:hAnsi="Arial"/>
          <w:color w:val="525252"/>
          <w:sz w:val="13"/>
        </w:rPr>
        <w:t>The first occupational, qualification, or skill badge will be centered on the wearer’s left 1/2-inch above the top row of ribbons.</w:t>
      </w:r>
    </w:p>
    <w:p>
      <w:pPr>
        <w:spacing w:after="20" w:line="223" w:lineRule="auto"/>
        <w:jc w:val="right"/>
        <w:bidi/>
      </w:pPr>
      <w:r>
        <w:rPr>
          <w:rFonts w:ascii="Arial" w:hAnsi="Arial"/>
          <w:sz w:val="16"/>
        </w:rPr>
        <w:t>511.10  اگر هیچ روبانی پوشیده نشود، زنان نشان را موازی با برچسب نام در مرکز قرار می‌دهند. نرها نشان را ۱/۲ اینچ بالای جیب چپ وسط می‌کنند.</w:t>
      </w:r>
    </w:p>
    <w:p>
      <w:pPr>
        <w:spacing w:after="28" w:line="216" w:lineRule="auto"/>
        <w:ind w:left="259"/>
        <w:jc w:val="left"/>
      </w:pPr>
      <w:r>
        <w:rPr>
          <w:rFonts w:ascii="Arial" w:hAnsi="Arial"/>
          <w:color w:val="525252"/>
          <w:sz w:val="13"/>
        </w:rPr>
        <w:t>If no ribbons are worn, females will center badge parallel to the name tag; males will center badge 1/2-inch above the left pocket.</w:t>
      </w:r>
    </w:p>
    <w:p>
      <w:pPr>
        <w:spacing w:after="20" w:line="223" w:lineRule="auto"/>
        <w:jc w:val="right"/>
        <w:bidi/>
      </w:pPr>
      <w:r>
        <w:rPr>
          <w:rFonts w:ascii="Arial" w:hAnsi="Arial"/>
          <w:sz w:val="16"/>
        </w:rPr>
        <w:t>511.11  نشان اضافی را ۱/۲ اینچ بالاتر از اولین نشان‌های وظیفه و متفرقه وسط قرار دهید.</w:t>
      </w:r>
    </w:p>
    <w:p>
      <w:pPr>
        <w:spacing w:after="28" w:line="216" w:lineRule="auto"/>
        <w:ind w:left="259"/>
        <w:jc w:val="left"/>
      </w:pPr>
      <w:r>
        <w:rPr>
          <w:rFonts w:ascii="Arial" w:hAnsi="Arial"/>
          <w:color w:val="525252"/>
          <w:sz w:val="13"/>
        </w:rPr>
        <w:t>Center additional badge 1/2-inch above the first Placement of Duty and Miscellaneous Badges.</w:t>
      </w:r>
    </w:p>
    <w:p>
      <w:pPr>
        <w:spacing w:after="20" w:line="223" w:lineRule="auto"/>
        <w:jc w:val="right"/>
        <w:bidi/>
      </w:pPr>
      <w:r>
        <w:rPr>
          <w:rFonts w:ascii="Arial" w:hAnsi="Arial"/>
          <w:sz w:val="16"/>
        </w:rPr>
        <w:t>511.12  پوشیدن این نشان‌ها اختیاری است.</w:t>
      </w:r>
    </w:p>
    <w:p>
      <w:pPr>
        <w:spacing w:after="28" w:line="216" w:lineRule="auto"/>
        <w:ind w:left="259"/>
        <w:jc w:val="left"/>
      </w:pPr>
      <w:r>
        <w:rPr>
          <w:rFonts w:ascii="Arial" w:hAnsi="Arial"/>
          <w:color w:val="525252"/>
          <w:sz w:val="13"/>
        </w:rPr>
        <w:t>The wear of these badges is optional.</w:t>
      </w:r>
    </w:p>
    <w:p>
      <w:pPr>
        <w:spacing w:after="20" w:line="223" w:lineRule="auto"/>
        <w:jc w:val="right"/>
        <w:bidi/>
      </w:pPr>
      <w:r>
        <w:rPr>
          <w:rFonts w:ascii="Arial" w:hAnsi="Arial"/>
          <w:sz w:val="16"/>
        </w:rPr>
        <w:t>511.13  توجه: بیش از چهار نشان در یک زمان پوشیده نخواهد شد.</w:t>
      </w:r>
    </w:p>
    <w:p>
      <w:pPr>
        <w:spacing w:after="28" w:line="216" w:lineRule="auto"/>
        <w:ind w:left="259"/>
        <w:jc w:val="left"/>
      </w:pPr>
      <w:r>
        <w:rPr>
          <w:rFonts w:ascii="Arial" w:hAnsi="Arial"/>
          <w:color w:val="525252"/>
          <w:sz w:val="13"/>
        </w:rPr>
        <w:t>Note: No more than four total badges will be worn at one time.</w:t>
      </w:r>
    </w:p>
    <w:p>
      <w:pPr>
        <w:spacing w:after="20" w:line="223" w:lineRule="auto"/>
        <w:jc w:val="right"/>
        <w:bidi/>
      </w:pPr>
      <w:r>
        <w:rPr>
          <w:rFonts w:ascii="Arial" w:hAnsi="Arial"/>
          <w:sz w:val="16"/>
        </w:rPr>
        <w:t>511.14  این شامل پین نشان فرمان نمی‌شود.</w:t>
      </w:r>
    </w:p>
    <w:p>
      <w:pPr>
        <w:spacing w:after="28" w:line="216" w:lineRule="auto"/>
        <w:ind w:left="259"/>
        <w:jc w:val="left"/>
      </w:pPr>
      <w:r>
        <w:rPr>
          <w:rFonts w:ascii="Arial" w:hAnsi="Arial"/>
          <w:color w:val="525252"/>
          <w:sz w:val="13"/>
        </w:rPr>
        <w:t>This does not include the command insignia pin.</w:t>
      </w:r>
    </w:p>
    <w:p>
      <w:pPr>
        <w:spacing w:after="20" w:line="223" w:lineRule="auto"/>
        <w:jc w:val="right"/>
        <w:bidi/>
      </w:pPr>
      <w:r>
        <w:rPr>
          <w:rFonts w:ascii="Arial" w:hAnsi="Arial"/>
          <w:sz w:val="16"/>
        </w:rPr>
        <w:t>511.15  لباس رسمی و مسی (مردان).</w:t>
      </w:r>
    </w:p>
    <w:p>
      <w:pPr>
        <w:spacing w:after="28" w:line="216" w:lineRule="auto"/>
        <w:ind w:left="259"/>
        <w:jc w:val="left"/>
      </w:pPr>
      <w:r>
        <w:rPr>
          <w:rFonts w:ascii="Arial" w:hAnsi="Arial"/>
          <w:color w:val="525252"/>
          <w:sz w:val="13"/>
        </w:rPr>
        <w:t>Formal and Mess Dress uniform (males).</w:t>
      </w:r>
    </w:p>
    <w:p>
      <w:pPr>
        <w:spacing w:after="20" w:line="223" w:lineRule="auto"/>
        <w:jc w:val="right"/>
        <w:bidi/>
      </w:pPr>
      <w:r>
        <w:rPr>
          <w:rFonts w:ascii="Arial" w:hAnsi="Arial"/>
          <w:sz w:val="16"/>
        </w:rPr>
        <w:t>511.16  نشان‌های وظیفه مینیاتوری پوشیده خواهد شد.</w:t>
      </w:r>
    </w:p>
    <w:p>
      <w:pPr>
        <w:spacing w:after="28" w:line="216" w:lineRule="auto"/>
        <w:ind w:left="259"/>
        <w:jc w:val="left"/>
      </w:pPr>
      <w:r>
        <w:rPr>
          <w:rFonts w:ascii="Arial" w:hAnsi="Arial"/>
          <w:color w:val="525252"/>
          <w:sz w:val="13"/>
        </w:rPr>
        <w:t>Miniature duty badges will be worn.</w:t>
      </w:r>
    </w:p>
    <w:p>
      <w:pPr>
        <w:spacing w:after="20" w:line="223" w:lineRule="auto"/>
        <w:jc w:val="right"/>
        <w:bidi/>
      </w:pPr>
      <w:r>
        <w:rPr>
          <w:rFonts w:ascii="Arial" w:hAnsi="Arial"/>
          <w:sz w:val="16"/>
        </w:rPr>
        <w:t>511.17  اولین نشان وظیفه در مرکز سمت چپ پوشنده ۱/۲ اینچ زیر ردیف پایین مدال‌ها قرار می‌گیرد.</w:t>
      </w:r>
    </w:p>
    <w:p>
      <w:pPr>
        <w:spacing w:after="28" w:line="216" w:lineRule="auto"/>
        <w:ind w:left="259"/>
        <w:jc w:val="left"/>
      </w:pPr>
      <w:r>
        <w:rPr>
          <w:rFonts w:ascii="Arial" w:hAnsi="Arial"/>
          <w:color w:val="525252"/>
          <w:sz w:val="13"/>
        </w:rPr>
        <w:t>The first duty badge will be centered on the wearer’s left 1/2-inch below the bottom row of medals.</w:t>
      </w:r>
    </w:p>
    <w:p>
      <w:pPr>
        <w:spacing w:after="20" w:line="223" w:lineRule="auto"/>
        <w:jc w:val="right"/>
        <w:bidi/>
      </w:pPr>
      <w:r>
        <w:rPr>
          <w:rFonts w:ascii="Arial" w:hAnsi="Arial"/>
          <w:sz w:val="16"/>
        </w:rPr>
        <w:t>511.18  نشان دوم در سمت راست پوشنده در همان موقعیت نسبی نشانی که در سمت چپ پوشنده استفاده می‌شود پوشیده می‌شود.</w:t>
      </w:r>
    </w:p>
    <w:p>
      <w:pPr>
        <w:spacing w:after="28" w:line="216" w:lineRule="auto"/>
        <w:ind w:left="259"/>
        <w:jc w:val="left"/>
      </w:pPr>
      <w:r>
        <w:rPr>
          <w:rFonts w:ascii="Arial" w:hAnsi="Arial"/>
          <w:color w:val="525252"/>
          <w:sz w:val="13"/>
        </w:rPr>
        <w:t>The second badge will be worn on the wearer’s right in the same relative position as the badge worn on the wearer’s left.</w:t>
      </w:r>
    </w:p>
    <w:p>
      <w:pPr>
        <w:spacing w:after="20" w:line="223" w:lineRule="auto"/>
        <w:jc w:val="right"/>
        <w:bidi/>
      </w:pPr>
      <w:r>
        <w:rPr>
          <w:rFonts w:ascii="Arial" w:hAnsi="Arial"/>
          <w:sz w:val="16"/>
        </w:rPr>
        <w:t>511.19  نشان سوم در مرکز سمت راست پوشنده، در مجاورت ردیف پایین مدال‌ها پوشیده خواهد شد.</w:t>
      </w:r>
    </w:p>
    <w:p>
      <w:pPr>
        <w:spacing w:after="28" w:line="216" w:lineRule="auto"/>
        <w:ind w:left="259"/>
        <w:jc w:val="left"/>
      </w:pPr>
      <w:r>
        <w:rPr>
          <w:rFonts w:ascii="Arial" w:hAnsi="Arial"/>
          <w:color w:val="525252"/>
          <w:sz w:val="13"/>
        </w:rPr>
        <w:t>The third badge will be worn centered on the wearer’s right, adjacent to the bottom row of medals.</w:t>
      </w:r>
    </w:p>
    <w:p>
      <w:pPr>
        <w:spacing w:after="20" w:line="223" w:lineRule="auto"/>
        <w:jc w:val="right"/>
        <w:bidi/>
      </w:pPr>
      <w:r>
        <w:rPr>
          <w:rFonts w:ascii="Arial" w:hAnsi="Arial"/>
          <w:sz w:val="16"/>
        </w:rPr>
        <w:t>511.20  نشان‌های موشک یا برتری در مسابقه در سمت چپ پوشنده، ۱/۲ اینچ زیر ردیف پایین مدال‌ها قرار می‌گیرد.</w:t>
      </w:r>
    </w:p>
    <w:p>
      <w:pPr>
        <w:spacing w:after="28" w:line="216" w:lineRule="auto"/>
        <w:ind w:left="259"/>
        <w:jc w:val="left"/>
      </w:pPr>
      <w:r>
        <w:rPr>
          <w:rFonts w:ascii="Arial" w:hAnsi="Arial"/>
          <w:color w:val="525252"/>
          <w:sz w:val="13"/>
        </w:rPr>
        <w:t>The missile or excellence-in-competition badges are worn on the wearer’s left, 1/2-inch below the bottom row of medals.</w:t>
      </w:r>
    </w:p>
    <w:p>
      <w:pPr>
        <w:spacing w:after="20" w:line="223" w:lineRule="auto"/>
        <w:jc w:val="right"/>
        <w:bidi/>
      </w:pPr>
      <w:r>
        <w:rPr>
          <w:rFonts w:ascii="Arial" w:hAnsi="Arial"/>
          <w:sz w:val="16"/>
        </w:rPr>
        <w:t>511.21  هر نشان(های) وظیفه‌ای را به سمت راست پوشنده منتقل کنید، در همان موقعیت نسبی نشان که در سمت چپ پوشنده است.</w:t>
      </w:r>
    </w:p>
    <w:p>
      <w:pPr>
        <w:spacing w:after="28" w:line="216" w:lineRule="auto"/>
        <w:ind w:left="259"/>
        <w:jc w:val="left"/>
      </w:pPr>
      <w:r>
        <w:rPr>
          <w:rFonts w:ascii="Arial" w:hAnsi="Arial"/>
          <w:color w:val="525252"/>
          <w:sz w:val="13"/>
        </w:rPr>
        <w:t>Move any duty badge(s) to the wearer’s right side, in the same relative position as the badge worn on the wearer’s left.</w:t>
      </w:r>
    </w:p>
    <w:p>
      <w:pPr>
        <w:spacing w:after="20" w:line="223" w:lineRule="auto"/>
        <w:jc w:val="right"/>
        <w:bidi/>
      </w:pPr>
      <w:r>
        <w:rPr>
          <w:rFonts w:ascii="Arial" w:hAnsi="Arial"/>
          <w:sz w:val="16"/>
        </w:rPr>
        <w:t>511.22  فرماندهان کنونی پین نشان فرمان را در سمت راست پوشنده، در مرکز، در مجاورت بالای مدال می‌بندند.</w:t>
      </w:r>
    </w:p>
    <w:p>
      <w:pPr>
        <w:spacing w:after="28" w:line="216" w:lineRule="auto"/>
        <w:ind w:left="259"/>
        <w:jc w:val="left"/>
      </w:pPr>
      <w:r>
        <w:rPr>
          <w:rFonts w:ascii="Arial" w:hAnsi="Arial"/>
          <w:color w:val="525252"/>
          <w:sz w:val="13"/>
        </w:rPr>
        <w:t>Current commanders wear the command insignia pin on the wearer’s right side, centered, adjacent to top of medals.</w:t>
      </w:r>
    </w:p>
    <w:p>
      <w:pPr>
        <w:spacing w:after="20" w:line="223" w:lineRule="auto"/>
        <w:jc w:val="right"/>
        <w:bidi/>
      </w:pPr>
      <w:r>
        <w:rPr>
          <w:rFonts w:ascii="Arial" w:hAnsi="Arial"/>
          <w:sz w:val="16"/>
        </w:rPr>
        <w:t>511.23  فرماندهان فارغ‌التحصیل نشان را در سمت راست پوشنده، در مجاورت ردیف پایین مدال‌ها قرار می‌دهند.</w:t>
      </w:r>
    </w:p>
    <w:p>
      <w:pPr>
        <w:spacing w:after="28" w:line="216" w:lineRule="auto"/>
        <w:ind w:left="259"/>
        <w:jc w:val="left"/>
      </w:pPr>
      <w:r>
        <w:rPr>
          <w:rFonts w:ascii="Arial" w:hAnsi="Arial"/>
          <w:color w:val="525252"/>
          <w:sz w:val="13"/>
        </w:rPr>
        <w:t>Graduated commanders position insignia on the wearer’s right side, adjacent to bottom row of medals.</w:t>
      </w:r>
    </w:p>
    <w:p>
      <w:pPr>
        <w:spacing w:after="20" w:line="223" w:lineRule="auto"/>
        <w:jc w:val="right"/>
        <w:bidi/>
      </w:pPr>
      <w:r>
        <w:rPr>
          <w:rFonts w:ascii="Arial" w:hAnsi="Arial"/>
          <w:sz w:val="16"/>
        </w:rPr>
        <w:t>511.24  اگر سه نشان وظیفه با پین نشان فرمان پوشیده می‌شود، پین نشان فرمان را ۱/۲ اینچ بالای نشان وظیفه سوم (فرمانده فعلی) یا ۱/۲ اینچ زیر نشان وظیفه سوم (فرمانده فارغ‌التحصیل) قرار دهید.</w:t>
      </w:r>
    </w:p>
    <w:p>
      <w:pPr>
        <w:spacing w:after="28" w:line="216" w:lineRule="auto"/>
        <w:ind w:left="259"/>
        <w:jc w:val="left"/>
      </w:pPr>
      <w:r>
        <w:rPr>
          <w:rFonts w:ascii="Arial" w:hAnsi="Arial"/>
          <w:color w:val="525252"/>
          <w:sz w:val="13"/>
        </w:rPr>
        <w:t>If three duty badges are worn with command insignia pin, place command insignia pin 1/2-inch above third duty badge (current commander) or 1/2-inch below third duty badge (graduated commander).</w:t>
      </w:r>
    </w:p>
    <w:p>
      <w:pPr>
        <w:spacing w:after="20" w:line="223" w:lineRule="auto"/>
        <w:jc w:val="right"/>
        <w:bidi/>
      </w:pPr>
      <w:r>
        <w:rPr>
          <w:rFonts w:ascii="Arial" w:hAnsi="Arial"/>
          <w:sz w:val="16"/>
        </w:rPr>
        <w:t>511.25  پین نشان فرماندهی برای فرماندهان فعلی اجباری است و می‌تواند توسط همه افسران واجد شرایط در رده سرهنگ (و-۶) و پایین‌تر استفاده شود.</w:t>
      </w:r>
    </w:p>
    <w:p>
      <w:pPr>
        <w:spacing w:after="28" w:line="216" w:lineRule="auto"/>
        <w:ind w:left="259"/>
        <w:jc w:val="left"/>
      </w:pPr>
      <w:r>
        <w:rPr>
          <w:rFonts w:ascii="Arial" w:hAnsi="Arial"/>
          <w:color w:val="525252"/>
          <w:sz w:val="13"/>
        </w:rPr>
        <w:t>The command insignia pin is mandatory for current commanders and may be worn by all eligible commissioned officers in the rank of Colonel (O- 6) and below.</w:t>
      </w:r>
    </w:p>
    <w:p>
      <w:pPr>
        <w:spacing w:after="20" w:line="223" w:lineRule="auto"/>
        <w:jc w:val="right"/>
        <w:bidi/>
      </w:pPr>
      <w:r>
        <w:rPr>
          <w:rFonts w:ascii="Arial" w:hAnsi="Arial"/>
          <w:sz w:val="16"/>
        </w:rPr>
        <w:t>511.26  یونیفرم لباس رسمی و مزس (زنانه؛ از جمله بارداری).</w:t>
      </w:r>
    </w:p>
    <w:p>
      <w:pPr>
        <w:spacing w:after="28" w:line="216" w:lineRule="auto"/>
        <w:ind w:left="259"/>
        <w:jc w:val="left"/>
      </w:pPr>
      <w:r>
        <w:rPr>
          <w:rFonts w:ascii="Arial" w:hAnsi="Arial"/>
          <w:color w:val="525252"/>
          <w:sz w:val="13"/>
        </w:rPr>
        <w:t>Formal and Mess Dress uniform (females; including maternity).</w:t>
      </w:r>
    </w:p>
    <w:p>
      <w:pPr>
        <w:spacing w:after="20" w:line="223" w:lineRule="auto"/>
        <w:jc w:val="right"/>
        <w:bidi/>
      </w:pPr>
      <w:r>
        <w:rPr>
          <w:rFonts w:ascii="Arial" w:hAnsi="Arial"/>
          <w:sz w:val="16"/>
        </w:rPr>
        <w:t>511.27  نشان‌های وظیفه مینیاتوری پوشیده خواهد شد.</w:t>
      </w:r>
    </w:p>
    <w:p>
      <w:pPr>
        <w:spacing w:after="28" w:line="216" w:lineRule="auto"/>
        <w:ind w:left="259"/>
        <w:jc w:val="left"/>
      </w:pPr>
      <w:r>
        <w:rPr>
          <w:rFonts w:ascii="Arial" w:hAnsi="Arial"/>
          <w:color w:val="525252"/>
          <w:sz w:val="13"/>
        </w:rPr>
        <w:t>Miniature duty badges will be worn.</w:t>
      </w:r>
    </w:p>
    <w:p>
      <w:pPr>
        <w:spacing w:after="20" w:line="223" w:lineRule="auto"/>
        <w:jc w:val="right"/>
        <w:bidi/>
      </w:pPr>
      <w:r>
        <w:rPr>
          <w:rFonts w:ascii="Arial" w:hAnsi="Arial"/>
          <w:sz w:val="16"/>
        </w:rPr>
        <w:t>511.28  اولین نشان وظیفه در سمت راست پوشنده و در مجاورت مدال‌های عضو در سمت چپ پوشنده قرار می‌گیرد.</w:t>
      </w:r>
    </w:p>
    <w:p>
      <w:pPr>
        <w:spacing w:after="28" w:line="216" w:lineRule="auto"/>
        <w:ind w:left="259"/>
        <w:jc w:val="left"/>
      </w:pPr>
      <w:r>
        <w:rPr>
          <w:rFonts w:ascii="Arial" w:hAnsi="Arial"/>
          <w:color w:val="525252"/>
          <w:sz w:val="13"/>
        </w:rPr>
        <w:t>The first duty badge will be centered on the wearer’s right, adjacent to the member’s medals on the wearer’s left.</w:t>
      </w:r>
    </w:p>
    <w:p>
      <w:pPr>
        <w:spacing w:after="20" w:line="223" w:lineRule="auto"/>
        <w:jc w:val="right"/>
        <w:bidi/>
      </w:pPr>
      <w:r>
        <w:rPr>
          <w:rFonts w:ascii="Arial" w:hAnsi="Arial"/>
          <w:sz w:val="16"/>
        </w:rPr>
        <w:t>511.29  نشان دوم در سمت راست پوشنده، در مجاورت مدال‌ها در سمت چپ، در مرکز و با فاصله ۱/۲ اینچی از نشان اول پوشیده می‌شود.</w:t>
      </w:r>
    </w:p>
    <w:p>
      <w:pPr>
        <w:spacing w:after="28" w:line="216" w:lineRule="auto"/>
        <w:ind w:left="259"/>
        <w:jc w:val="left"/>
      </w:pPr>
      <w:r>
        <w:rPr>
          <w:rFonts w:ascii="Arial" w:hAnsi="Arial"/>
          <w:color w:val="525252"/>
          <w:sz w:val="13"/>
        </w:rPr>
        <w:t>The second badge will be worn on the wearer’s right, adjacent to the medals to the left side, centered and spaced 1/2-inch apart from the first badge.</w:t>
      </w:r>
    </w:p>
    <w:p>
      <w:pPr>
        <w:spacing w:after="20" w:line="223" w:lineRule="auto"/>
        <w:jc w:val="right"/>
        <w:bidi/>
      </w:pPr>
      <w:r>
        <w:rPr>
          <w:rFonts w:ascii="Arial" w:hAnsi="Arial"/>
          <w:sz w:val="16"/>
        </w:rPr>
        <w:t>511.30  نشان وظیفه سوم در سمت راست پوشنده، ۱/۲ اینچ بالاتر و در مرکز دو نشان وظیفه اول پوشیده می‌شود.</w:t>
      </w:r>
    </w:p>
    <w:p>
      <w:pPr>
        <w:spacing w:after="28" w:line="216" w:lineRule="auto"/>
        <w:ind w:left="259"/>
        <w:jc w:val="left"/>
      </w:pPr>
      <w:r>
        <w:rPr>
          <w:rFonts w:ascii="Arial" w:hAnsi="Arial"/>
          <w:color w:val="525252"/>
          <w:sz w:val="13"/>
        </w:rPr>
        <w:t>The third duty badge will be worn on the wearer’s right, 1/2-inch above and centered on the first two duty badges.</w:t>
      </w:r>
    </w:p>
    <w:p>
      <w:pPr>
        <w:spacing w:after="20" w:line="223" w:lineRule="auto"/>
        <w:jc w:val="right"/>
        <w:bidi/>
      </w:pPr>
      <w:r>
        <w:rPr>
          <w:rFonts w:ascii="Arial" w:hAnsi="Arial"/>
          <w:sz w:val="16"/>
        </w:rPr>
        <w:t>511.31  نشان‌های موشک یا برتری در مسابقه در سمت راست پوشنده، در همان موقعیت نسبی مدال‌های عضو در سمت چپ پوشنده پوشیده می‌شوند.</w:t>
      </w:r>
    </w:p>
    <w:p>
      <w:pPr>
        <w:spacing w:after="28" w:line="216" w:lineRule="auto"/>
        <w:ind w:left="259"/>
        <w:jc w:val="left"/>
      </w:pPr>
      <w:r>
        <w:rPr>
          <w:rFonts w:ascii="Arial" w:hAnsi="Arial"/>
          <w:color w:val="525252"/>
          <w:sz w:val="13"/>
        </w:rPr>
        <w:t>The missile or excellence-in-competition badges are worn on the wearer’s right, in the same relative position as the member’s medals on the wearer’s lefts.</w:t>
      </w:r>
    </w:p>
    <w:p>
      <w:pPr>
        <w:spacing w:after="20" w:line="223" w:lineRule="auto"/>
        <w:jc w:val="right"/>
        <w:bidi/>
      </w:pPr>
      <w:r>
        <w:rPr>
          <w:rFonts w:ascii="Arial" w:hAnsi="Arial"/>
          <w:sz w:val="16"/>
        </w:rPr>
        <w:t>511.32  اگر نشان وظیفه در سمت راست پوشنده استفاده می‌شود، نشان‌های موشک یا برتری در مسابقه را به سمت چپ پوشنده، ۱/۲ اینچ زیر ردیف پایین مدال‌ها منتقل کنید.</w:t>
      </w:r>
    </w:p>
    <w:p>
      <w:pPr>
        <w:spacing w:after="28" w:line="216" w:lineRule="auto"/>
        <w:ind w:left="259"/>
        <w:jc w:val="left"/>
      </w:pPr>
      <w:r>
        <w:rPr>
          <w:rFonts w:ascii="Arial" w:hAnsi="Arial"/>
          <w:color w:val="525252"/>
          <w:sz w:val="13"/>
        </w:rPr>
        <w:t>If a duty badge is being worn on the wearer’s right, move the missile or excellence-in-competition badges to the wearer’s left, 1/2-inch below the bottom row of medals.</w:t>
      </w:r>
    </w:p>
    <w:p>
      <w:pPr>
        <w:spacing w:after="20" w:line="223" w:lineRule="auto"/>
        <w:jc w:val="right"/>
        <w:bidi/>
      </w:pPr>
      <w:r>
        <w:rPr>
          <w:rFonts w:ascii="Arial" w:hAnsi="Arial"/>
          <w:sz w:val="16"/>
        </w:rPr>
        <w:t>511.33  سنجاق نشان مرکز فرماندهی فرماندهان کنونی در سمت راست پوشنده، در مجاورت نشان‌های شغلی که در سمت چپ پوشنده استفاده می‌شود.</w:t>
      </w:r>
    </w:p>
    <w:p>
      <w:pPr>
        <w:spacing w:after="28" w:line="216" w:lineRule="auto"/>
        <w:ind w:left="259"/>
        <w:jc w:val="left"/>
      </w:pPr>
      <w:r>
        <w:rPr>
          <w:rFonts w:ascii="Arial" w:hAnsi="Arial"/>
          <w:color w:val="525252"/>
          <w:sz w:val="13"/>
        </w:rPr>
        <w:t>Current commanders center command insignia pin on wearer’s right side, adjacent to occupational badges worn on wearer’s left.</w:t>
      </w:r>
    </w:p>
    <w:p>
      <w:pPr>
        <w:spacing w:after="20" w:line="223" w:lineRule="auto"/>
        <w:jc w:val="right"/>
        <w:bidi/>
      </w:pPr>
      <w:r>
        <w:rPr>
          <w:rFonts w:ascii="Arial" w:hAnsi="Arial"/>
          <w:sz w:val="16"/>
        </w:rPr>
        <w:t>511.34  نشان نشان فرمانده مرکز فارغ‌التحصیل فرمانده در سمت راست پوشنده، در موقعیت نسبی، در مجاورت مدال هایی که در سمت چپ پوشنده استفاده می‌شود.</w:t>
      </w:r>
    </w:p>
    <w:p>
      <w:pPr>
        <w:spacing w:after="28" w:line="216" w:lineRule="auto"/>
        <w:ind w:left="259"/>
        <w:jc w:val="left"/>
      </w:pPr>
      <w:r>
        <w:rPr>
          <w:rFonts w:ascii="Arial" w:hAnsi="Arial"/>
          <w:color w:val="525252"/>
          <w:sz w:val="13"/>
        </w:rPr>
        <w:t>Graduated commander’s center commander insignia pin on wearer’s right, in a relative position, adjacent to medals worn to the wearer’s left.</w:t>
      </w:r>
    </w:p>
    <w:p>
      <w:pPr>
        <w:spacing w:after="20" w:line="223" w:lineRule="auto"/>
        <w:jc w:val="right"/>
        <w:bidi/>
      </w:pPr>
      <w:r>
        <w:rPr>
          <w:rFonts w:ascii="Arial" w:hAnsi="Arial"/>
          <w:sz w:val="16"/>
        </w:rPr>
        <w:t>511.35  اگر نشان‌های وظیفه پوشیده شده‌اند، پین نشان‌های فرماندهی فعلی مرکز فرماندهی ۱/۲ اینچی بالای یک نشان وظیفه واحد است.</w:t>
      </w:r>
    </w:p>
    <w:p>
      <w:pPr>
        <w:spacing w:after="28" w:line="216" w:lineRule="auto"/>
        <w:ind w:left="259"/>
        <w:jc w:val="left"/>
      </w:pPr>
      <w:r>
        <w:rPr>
          <w:rFonts w:ascii="Arial" w:hAnsi="Arial"/>
          <w:color w:val="525252"/>
          <w:sz w:val="13"/>
        </w:rPr>
        <w:t>If duty badges are worn, current commanders center command insignia pin 1/2-inch above a single duty badge.</w:t>
      </w:r>
    </w:p>
    <w:p>
      <w:pPr>
        <w:spacing w:after="20" w:line="223" w:lineRule="auto"/>
        <w:jc w:val="right"/>
        <w:bidi/>
      </w:pPr>
      <w:r>
        <w:rPr>
          <w:rFonts w:ascii="Arial" w:hAnsi="Arial"/>
          <w:sz w:val="16"/>
        </w:rPr>
        <w:t>511.36  اگر با دو نشان وظیفه پوشیده می‌شود، سنجاق نشان فرمان فرمان را ۱/۲ اینچ در بالا و در مرکز دو نشان وظیفه قرار دهید، با هر دو نشان وظیفه به‌طور مساوی ۱/۲ اینچ از هم فاصله داشته باشند.</w:t>
      </w:r>
    </w:p>
    <w:p>
      <w:pPr>
        <w:spacing w:after="28" w:line="216" w:lineRule="auto"/>
        <w:ind w:left="259"/>
        <w:jc w:val="left"/>
      </w:pPr>
      <w:r>
        <w:rPr>
          <w:rFonts w:ascii="Arial" w:hAnsi="Arial"/>
          <w:color w:val="525252"/>
          <w:sz w:val="13"/>
        </w:rPr>
        <w:t>If worn with two duty badges, position command insignia pin 1/2-inch above and centered on the two duty badges, with both duty badges evenly spaced 1/2-inch apart.</w:t>
      </w:r>
    </w:p>
    <w:p>
      <w:pPr>
        <w:spacing w:after="20" w:line="223" w:lineRule="auto"/>
        <w:jc w:val="right"/>
        <w:bidi/>
      </w:pPr>
      <w:r>
        <w:rPr>
          <w:rFonts w:ascii="Arial" w:hAnsi="Arial"/>
          <w:sz w:val="16"/>
        </w:rPr>
        <w:t>511.37  اگر با سه نشان وظیفه پوشیده می‌شود، سنجاق نشان فرمان را ۱/۲ اینچ در بالا و در مرکز نشان وظیفه سوم قرار دهید.</w:t>
      </w:r>
    </w:p>
    <w:p>
      <w:pPr>
        <w:spacing w:after="28" w:line="216" w:lineRule="auto"/>
        <w:ind w:left="259"/>
        <w:jc w:val="left"/>
      </w:pPr>
      <w:r>
        <w:rPr>
          <w:rFonts w:ascii="Arial" w:hAnsi="Arial"/>
          <w:color w:val="525252"/>
          <w:sz w:val="13"/>
        </w:rPr>
        <w:t>If worn with three duty badges, position command insignia pin 1/2-inch above and centered on the third duty badge.</w:t>
      </w:r>
    </w:p>
    <w:p>
      <w:pPr>
        <w:spacing w:after="20" w:line="223" w:lineRule="auto"/>
        <w:jc w:val="right"/>
        <w:bidi/>
      </w:pPr>
      <w:r>
        <w:rPr>
          <w:rFonts w:ascii="Arial" w:hAnsi="Arial"/>
          <w:sz w:val="16"/>
        </w:rPr>
        <w:t>511.38  اگر عضو یک فرمانده فارغ‌التحصیل است، اگر دو یا سه نشان وظیفه به تن دارد، سنجاق نشان فرماندهی مرکز را ۱/۲ اینچ زیر یک نشان وظیفه تکی یا در مرکز ۱/۲ اینچ زیر نشان‌های وظیفه قرار دهید.</w:t>
      </w:r>
    </w:p>
    <w:p>
      <w:pPr>
        <w:spacing w:after="28" w:line="216" w:lineRule="auto"/>
        <w:ind w:left="259"/>
        <w:jc w:val="left"/>
      </w:pPr>
      <w:r>
        <w:rPr>
          <w:rFonts w:ascii="Arial" w:hAnsi="Arial"/>
          <w:color w:val="525252"/>
          <w:sz w:val="13"/>
        </w:rPr>
        <w:t>If member is a graduated commander, center command insignia pin 1/2-inch below a single duty badge or centered 1/2- inch below duty badges, if wearing two or three duty badges.</w:t>
      </w:r>
    </w:p>
    <w:p>
      <w:pPr>
        <w:spacing w:after="20" w:line="223" w:lineRule="auto"/>
        <w:jc w:val="right"/>
        <w:bidi/>
      </w:pPr>
      <w:r>
        <w:rPr>
          <w:rFonts w:ascii="Arial" w:hAnsi="Arial"/>
          <w:sz w:val="16"/>
        </w:rPr>
        <w:t>511.39  پین نشان فرماندهی برای فرماندهان فعلی اجباری است و می‌تواند توسط همه افسران واجد شرایط در رده سرهنگ (و-۶) و پایین‌تر استفاده شود.</w:t>
      </w:r>
    </w:p>
    <w:p>
      <w:pPr>
        <w:spacing w:after="28" w:line="216" w:lineRule="auto"/>
        <w:ind w:left="259"/>
        <w:jc w:val="left"/>
      </w:pPr>
      <w:r>
        <w:rPr>
          <w:rFonts w:ascii="Arial" w:hAnsi="Arial"/>
          <w:color w:val="525252"/>
          <w:sz w:val="13"/>
        </w:rPr>
        <w:t>The command insignia pin is mandatory for current commanders and may be worn by all eligible commissioned officers in the rank of Colonel (O-6) and below.</w:t>
      </w:r>
    </w:p>
    <w:p>
      <w:pPr>
        <w:spacing w:after="20" w:line="223" w:lineRule="auto"/>
        <w:jc w:val="right"/>
        <w:bidi/>
      </w:pPr>
      <w:r>
        <w:rPr>
          <w:rFonts w:ascii="Arial" w:hAnsi="Arial"/>
          <w:sz w:val="16"/>
        </w:rPr>
        <w:t>511.40  یونیفرم نیمه رسمی (مردان اعزامی).</w:t>
      </w:r>
    </w:p>
    <w:p>
      <w:pPr>
        <w:spacing w:after="28" w:line="216" w:lineRule="auto"/>
        <w:ind w:left="259"/>
        <w:jc w:val="left"/>
      </w:pPr>
      <w:r>
        <w:rPr>
          <w:rFonts w:ascii="Arial" w:hAnsi="Arial"/>
          <w:color w:val="525252"/>
          <w:sz w:val="13"/>
        </w:rPr>
        <w:t>Semi-Formal uniform (enlisted males).</w:t>
      </w:r>
    </w:p>
    <w:p>
      <w:pPr>
        <w:spacing w:after="20" w:line="223" w:lineRule="auto"/>
        <w:jc w:val="right"/>
        <w:bidi/>
      </w:pPr>
      <w:r>
        <w:rPr>
          <w:rFonts w:ascii="Arial" w:hAnsi="Arial"/>
          <w:sz w:val="16"/>
        </w:rPr>
        <w:t>511.41  نشان‌های وظیفه عادی پوشیده خواهد شد.</w:t>
      </w:r>
    </w:p>
    <w:p>
      <w:pPr>
        <w:spacing w:after="28" w:line="216" w:lineRule="auto"/>
        <w:ind w:left="259"/>
        <w:jc w:val="left"/>
      </w:pPr>
      <w:r>
        <w:rPr>
          <w:rFonts w:ascii="Arial" w:hAnsi="Arial"/>
          <w:color w:val="525252"/>
          <w:sz w:val="13"/>
        </w:rPr>
        <w:t>Regular duty badges will be worn.</w:t>
      </w:r>
    </w:p>
    <w:p>
      <w:pPr>
        <w:spacing w:after="20" w:line="223" w:lineRule="auto"/>
        <w:jc w:val="right"/>
        <w:bidi/>
      </w:pPr>
      <w:r>
        <w:rPr>
          <w:rFonts w:ascii="Arial" w:hAnsi="Arial"/>
          <w:sz w:val="16"/>
        </w:rPr>
        <w:t>511.42  اولین وظیفه</w:t>
      </w:r>
    </w:p>
    <w:p>
      <w:pPr>
        <w:spacing w:after="28" w:line="216" w:lineRule="auto"/>
        <w:ind w:left="259"/>
        <w:jc w:val="left"/>
      </w:pPr>
      <w:r>
        <w:rPr>
          <w:rFonts w:ascii="Arial" w:hAnsi="Arial"/>
          <w:color w:val="525252"/>
          <w:sz w:val="13"/>
        </w:rPr>
        <w:t>The first duty</w:t>
      </w:r>
    </w:p>
    <w:p>
      <w:r>
        <w:br w:type="page"/>
      </w:r>
    </w:p>
    <w:p>
      <w:pPr>
        <w:spacing w:after="60"/>
        <w:jc w:val="right"/>
        <w:bidi/>
      </w:pPr>
      <w:r>
        <w:rPr>
          <w:rFonts w:ascii="Arial" w:hAnsi="Arial"/>
          <w:b/>
          <w:color w:val="1F4D78"/>
          <w:sz w:val="19"/>
        </w:rPr>
        <w:t>هفتهٔ 512  |  صفحهٔ منبع: 528</w:t>
      </w:r>
    </w:p>
    <w:p>
      <w:pPr>
        <w:spacing w:after="20" w:line="223" w:lineRule="auto"/>
        <w:jc w:val="right"/>
        <w:bidi/>
      </w:pPr>
      <w:r>
        <w:rPr>
          <w:rFonts w:ascii="Arial" w:hAnsi="Arial"/>
          <w:sz w:val="16"/>
        </w:rPr>
        <w:t>512.01  در سمت چپ پوشنده، ۱ ۱/۲ اینچ زیر بالای جیب توالت و در مرکز قرار خواهد گرفت.</w:t>
      </w:r>
    </w:p>
    <w:p>
      <w:pPr>
        <w:spacing w:after="28" w:line="216" w:lineRule="auto"/>
        <w:ind w:left="259"/>
        <w:jc w:val="left"/>
      </w:pPr>
      <w:r>
        <w:rPr>
          <w:rFonts w:ascii="Arial" w:hAnsi="Arial"/>
          <w:color w:val="525252"/>
          <w:sz w:val="13"/>
        </w:rPr>
        <w:t>badge will be on the wearer’s left 1 1/2-inch below top of welt pocket and centered.</w:t>
      </w:r>
    </w:p>
    <w:p>
      <w:pPr>
        <w:spacing w:after="20" w:line="223" w:lineRule="auto"/>
        <w:jc w:val="right"/>
        <w:bidi/>
      </w:pPr>
      <w:r>
        <w:rPr>
          <w:rFonts w:ascii="Arial" w:hAnsi="Arial"/>
          <w:sz w:val="16"/>
        </w:rPr>
        <w:t>512.02  نشان دوم در سمت راست پوشنده در همان موقعیت نسبی نشانی که در سمت چپ پوشنده استفاده می‌شود پوشیده می‌شود.</w:t>
      </w:r>
    </w:p>
    <w:p>
      <w:pPr>
        <w:spacing w:after="28" w:line="216" w:lineRule="auto"/>
        <w:ind w:left="259"/>
        <w:jc w:val="left"/>
      </w:pPr>
      <w:r>
        <w:rPr>
          <w:rFonts w:ascii="Arial" w:hAnsi="Arial"/>
          <w:color w:val="525252"/>
          <w:sz w:val="13"/>
        </w:rPr>
        <w:t>The second badge will be worn on the wearer’s right in the same relative position as the badge worn on the wearer’s left.</w:t>
      </w:r>
    </w:p>
    <w:p>
      <w:pPr>
        <w:spacing w:after="20" w:line="223" w:lineRule="auto"/>
        <w:jc w:val="right"/>
        <w:bidi/>
      </w:pPr>
      <w:r>
        <w:rPr>
          <w:rFonts w:ascii="Arial" w:hAnsi="Arial"/>
          <w:sz w:val="16"/>
        </w:rPr>
        <w:t>512.03  نشان وظیفه سوم در سمت راست پوشنده و در مرکز بین درز بازو و برگردان قرار می‌گیرد.</w:t>
      </w:r>
    </w:p>
    <w:p>
      <w:pPr>
        <w:spacing w:after="28" w:line="216" w:lineRule="auto"/>
        <w:ind w:left="259"/>
        <w:jc w:val="left"/>
      </w:pPr>
      <w:r>
        <w:rPr>
          <w:rFonts w:ascii="Arial" w:hAnsi="Arial"/>
          <w:color w:val="525252"/>
          <w:sz w:val="13"/>
        </w:rPr>
        <w:t>The third duty badge will be worn on the wearer’s right centered between the arm seam and lapel.</w:t>
      </w:r>
    </w:p>
    <w:p>
      <w:pPr>
        <w:spacing w:after="20" w:line="223" w:lineRule="auto"/>
        <w:jc w:val="right"/>
        <w:bidi/>
      </w:pPr>
      <w:r>
        <w:rPr>
          <w:rFonts w:ascii="Arial" w:hAnsi="Arial"/>
          <w:sz w:val="16"/>
        </w:rPr>
        <w:t>512.04  پایین نشان وظیفه سوم موازی با ردیف پایین نوارها خواهد بود.</w:t>
      </w:r>
    </w:p>
    <w:p>
      <w:pPr>
        <w:spacing w:after="28" w:line="216" w:lineRule="auto"/>
        <w:ind w:left="259"/>
        <w:jc w:val="left"/>
      </w:pPr>
      <w:r>
        <w:rPr>
          <w:rFonts w:ascii="Arial" w:hAnsi="Arial"/>
          <w:color w:val="525252"/>
          <w:sz w:val="13"/>
        </w:rPr>
        <w:t>The bottom of the third duty badge will be parallel with the bottom row of ribbons.</w:t>
      </w:r>
    </w:p>
    <w:p>
      <w:pPr>
        <w:spacing w:after="20" w:line="223" w:lineRule="auto"/>
        <w:jc w:val="right"/>
        <w:bidi/>
      </w:pPr>
      <w:r>
        <w:rPr>
          <w:rFonts w:ascii="Arial" w:hAnsi="Arial"/>
          <w:sz w:val="16"/>
        </w:rPr>
        <w:t>512.05  نشان‌های موشک و یا برتری در مسابقه فقط ۱ ۱/۲ اینچ زیر بالای جیب وسط پوشیده می‌شوند.</w:t>
      </w:r>
    </w:p>
    <w:p>
      <w:pPr>
        <w:spacing w:after="28" w:line="216" w:lineRule="auto"/>
        <w:ind w:left="259"/>
        <w:jc w:val="left"/>
      </w:pPr>
      <w:r>
        <w:rPr>
          <w:rFonts w:ascii="Arial" w:hAnsi="Arial"/>
          <w:color w:val="525252"/>
          <w:sz w:val="13"/>
        </w:rPr>
        <w:t>The missile and or excellence-in-competition badges are only worn 1 1/2-inch below top of welt pocket and centered.</w:t>
      </w:r>
    </w:p>
    <w:p>
      <w:pPr>
        <w:spacing w:after="20" w:line="223" w:lineRule="auto"/>
        <w:jc w:val="right"/>
        <w:bidi/>
      </w:pPr>
      <w:r>
        <w:rPr>
          <w:rFonts w:ascii="Arial" w:hAnsi="Arial"/>
          <w:sz w:val="16"/>
        </w:rPr>
        <w:t>512.06  اگر مجاز به پوشیدن نشان وظیفه و موشک و/یا نشان(های) برتری در رقابت باشد، نشان وظیفه را به حق پوشنده منتقل کنید.</w:t>
      </w:r>
    </w:p>
    <w:p>
      <w:pPr>
        <w:spacing w:after="28" w:line="216" w:lineRule="auto"/>
        <w:ind w:left="259"/>
        <w:jc w:val="left"/>
      </w:pPr>
      <w:r>
        <w:rPr>
          <w:rFonts w:ascii="Arial" w:hAnsi="Arial"/>
          <w:color w:val="525252"/>
          <w:sz w:val="13"/>
        </w:rPr>
        <w:t>Move duty badge to wearer’s right if authorized to wear a duty badge and the missile and/or excellence-in-competition badge(s).</w:t>
      </w:r>
    </w:p>
    <w:p>
      <w:pPr>
        <w:spacing w:after="20" w:line="223" w:lineRule="auto"/>
        <w:jc w:val="right"/>
        <w:bidi/>
      </w:pPr>
      <w:r>
        <w:rPr>
          <w:rFonts w:ascii="Arial" w:hAnsi="Arial"/>
          <w:sz w:val="16"/>
        </w:rPr>
        <w:t>512.07  یونیفرم نیمه رسمی (زنان استخدام شده).</w:t>
      </w:r>
    </w:p>
    <w:p>
      <w:pPr>
        <w:spacing w:after="28" w:line="216" w:lineRule="auto"/>
        <w:ind w:left="259"/>
        <w:jc w:val="left"/>
      </w:pPr>
      <w:r>
        <w:rPr>
          <w:rFonts w:ascii="Arial" w:hAnsi="Arial"/>
          <w:color w:val="525252"/>
          <w:sz w:val="13"/>
        </w:rPr>
        <w:t>Semi-Formal uniform (enlisted females).</w:t>
      </w:r>
    </w:p>
    <w:p>
      <w:pPr>
        <w:spacing w:after="20" w:line="223" w:lineRule="auto"/>
        <w:jc w:val="right"/>
        <w:bidi/>
      </w:pPr>
      <w:r>
        <w:rPr>
          <w:rFonts w:ascii="Arial" w:hAnsi="Arial"/>
          <w:sz w:val="16"/>
        </w:rPr>
        <w:t>512.08  نشان‌های وظیفه بزرگ پوشیده خواهد شد.</w:t>
      </w:r>
    </w:p>
    <w:p>
      <w:pPr>
        <w:spacing w:after="28" w:line="216" w:lineRule="auto"/>
        <w:ind w:left="259"/>
        <w:jc w:val="left"/>
      </w:pPr>
      <w:r>
        <w:rPr>
          <w:rFonts w:ascii="Arial" w:hAnsi="Arial"/>
          <w:color w:val="525252"/>
          <w:sz w:val="13"/>
        </w:rPr>
        <w:t>Large duty badges will be worn.</w:t>
      </w:r>
    </w:p>
    <w:p>
      <w:pPr>
        <w:spacing w:after="20" w:line="223" w:lineRule="auto"/>
        <w:jc w:val="right"/>
        <w:bidi/>
      </w:pPr>
      <w:r>
        <w:rPr>
          <w:rFonts w:ascii="Arial" w:hAnsi="Arial"/>
          <w:sz w:val="16"/>
        </w:rPr>
        <w:t>512.09  اولین نشان وظیفه در سمت راست پوشنده، در مرکز بین درز بازو و برگردان، با لبه پایین نشان موازی با بالای جیب جوش خواهد بود.</w:t>
      </w:r>
    </w:p>
    <w:p>
      <w:pPr>
        <w:spacing w:after="28" w:line="216" w:lineRule="auto"/>
        <w:ind w:left="259"/>
        <w:jc w:val="left"/>
      </w:pPr>
      <w:r>
        <w:rPr>
          <w:rFonts w:ascii="Arial" w:hAnsi="Arial"/>
          <w:color w:val="525252"/>
          <w:sz w:val="13"/>
        </w:rPr>
        <w:t>The first duty badge will be on the wearer’s right, centered between arm seam and lapel, with bottom edge of badge parallel with top of welt pocket.</w:t>
      </w:r>
    </w:p>
    <w:p>
      <w:pPr>
        <w:spacing w:after="20" w:line="223" w:lineRule="auto"/>
        <w:jc w:val="right"/>
        <w:bidi/>
      </w:pPr>
      <w:r>
        <w:rPr>
          <w:rFonts w:ascii="Arial" w:hAnsi="Arial"/>
          <w:sz w:val="16"/>
        </w:rPr>
        <w:t>512.10  نشان دوم در سمت راست پوشنده در همان موقعیت نسبی مانند نوارهای عضو در سمت چپ پوشنده و در مرکز و فاصله ۱/۲ اینچی از نشان اول پوشیده خواهد شد.</w:t>
      </w:r>
    </w:p>
    <w:p>
      <w:pPr>
        <w:spacing w:after="28" w:line="216" w:lineRule="auto"/>
        <w:ind w:left="259"/>
        <w:jc w:val="left"/>
      </w:pPr>
      <w:r>
        <w:rPr>
          <w:rFonts w:ascii="Arial" w:hAnsi="Arial"/>
          <w:color w:val="525252"/>
          <w:sz w:val="13"/>
        </w:rPr>
        <w:t>The second badge will be worn on the wearer’s right in the same relative position as the member’s ribbons on the wearer’s left side and centered and spaced 1/2-inch apart from the first badge.</w:t>
      </w:r>
    </w:p>
    <w:p>
      <w:pPr>
        <w:spacing w:after="20" w:line="223" w:lineRule="auto"/>
        <w:jc w:val="right"/>
        <w:bidi/>
      </w:pPr>
      <w:r>
        <w:rPr>
          <w:rFonts w:ascii="Arial" w:hAnsi="Arial"/>
          <w:sz w:val="16"/>
        </w:rPr>
        <w:t>512.11  نشان سوم در سمت راست کاربر پوشیده می‌شود، ۱/۲ اینچ بالاتر قرار می‌گیرد و در مرکز دو نشان وظیفه اول قرار می‌گیرد.</w:t>
      </w:r>
    </w:p>
    <w:p>
      <w:pPr>
        <w:spacing w:after="28" w:line="216" w:lineRule="auto"/>
        <w:ind w:left="259"/>
        <w:jc w:val="left"/>
      </w:pPr>
      <w:r>
        <w:rPr>
          <w:rFonts w:ascii="Arial" w:hAnsi="Arial"/>
          <w:color w:val="525252"/>
          <w:sz w:val="13"/>
        </w:rPr>
        <w:t>The third badge will be worn on the wearer’s right, placed 1/2-inch above and centered on first two duty badges.</w:t>
      </w:r>
    </w:p>
    <w:p>
      <w:pPr>
        <w:spacing w:after="20" w:line="223" w:lineRule="auto"/>
        <w:jc w:val="right"/>
        <w:bidi/>
      </w:pPr>
      <w:r>
        <w:rPr>
          <w:rFonts w:ascii="Arial" w:hAnsi="Arial"/>
          <w:sz w:val="16"/>
        </w:rPr>
        <w:t>512.12  موشک یا نشان(های) برتری در رقابت در سمت راست پوشنده، در مرکز بین درز بازو و برگردان، در همان موقعیت نسبی نوارهای عضو در سمت چپ پوشنده پوشیده می‌شوند.</w:t>
      </w:r>
    </w:p>
    <w:p>
      <w:pPr>
        <w:spacing w:after="28" w:line="216" w:lineRule="auto"/>
        <w:ind w:left="259"/>
        <w:jc w:val="left"/>
      </w:pPr>
      <w:r>
        <w:rPr>
          <w:rFonts w:ascii="Arial" w:hAnsi="Arial"/>
          <w:color w:val="525252"/>
          <w:sz w:val="13"/>
        </w:rPr>
        <w:t>The missile or excellence-in- competition badge(s) are worn on the wearer’s right, centered between arm seam and lapel, in the same relative position as the member’s ribbons on the wearer’s left.</w:t>
      </w:r>
    </w:p>
    <w:p>
      <w:pPr>
        <w:spacing w:after="20" w:line="223" w:lineRule="auto"/>
        <w:jc w:val="right"/>
        <w:bidi/>
      </w:pPr>
      <w:r>
        <w:rPr>
          <w:rFonts w:ascii="Arial" w:hAnsi="Arial"/>
          <w:sz w:val="16"/>
        </w:rPr>
        <w:t>512.13  اگر نشان وظیفه در سمت راست پوشنده پوشیده می‌شود، موشک یا نشان برتری در مسابقه را به سمت چپ پوشنده، ۱ ۱/۲ اینچ زیر بالای جیب تاول و وسط حرکت دهید.</w:t>
      </w:r>
    </w:p>
    <w:p>
      <w:pPr>
        <w:spacing w:after="28" w:line="216" w:lineRule="auto"/>
        <w:ind w:left="259"/>
        <w:jc w:val="left"/>
      </w:pPr>
      <w:r>
        <w:rPr>
          <w:rFonts w:ascii="Arial" w:hAnsi="Arial"/>
          <w:color w:val="525252"/>
          <w:sz w:val="13"/>
        </w:rPr>
        <w:t>If a duty badge is being worn on the wearer’s right, move the missile or excellence-in-competition badge to the wearer’s left, 1 1/2-inch below top of welt pocket and centered.</w:t>
      </w:r>
    </w:p>
    <w:p>
      <w:pPr>
        <w:spacing w:after="20" w:line="223" w:lineRule="auto"/>
        <w:jc w:val="right"/>
        <w:bidi/>
      </w:pPr>
      <w:r>
        <w:rPr>
          <w:rFonts w:ascii="Arial" w:hAnsi="Arial"/>
          <w:sz w:val="16"/>
        </w:rPr>
        <w:t>512.14  یونیفرم نیمه رسمی (زایشگاه سربازی).</w:t>
      </w:r>
    </w:p>
    <w:p>
      <w:pPr>
        <w:spacing w:after="28" w:line="216" w:lineRule="auto"/>
        <w:ind w:left="259"/>
        <w:jc w:val="left"/>
      </w:pPr>
      <w:r>
        <w:rPr>
          <w:rFonts w:ascii="Arial" w:hAnsi="Arial"/>
          <w:color w:val="525252"/>
          <w:sz w:val="13"/>
        </w:rPr>
        <w:t>Semi-Formal uniform (enlisted maternity).</w:t>
      </w:r>
    </w:p>
    <w:p>
      <w:pPr>
        <w:spacing w:after="20" w:line="223" w:lineRule="auto"/>
        <w:jc w:val="right"/>
        <w:bidi/>
      </w:pPr>
      <w:r>
        <w:rPr>
          <w:rFonts w:ascii="Arial" w:hAnsi="Arial"/>
          <w:sz w:val="16"/>
        </w:rPr>
        <w:t>512.15  نشان‌های وظیفه بزرگ پوشیده خواهد شد.</w:t>
      </w:r>
    </w:p>
    <w:p>
      <w:pPr>
        <w:spacing w:after="28" w:line="216" w:lineRule="auto"/>
        <w:ind w:left="259"/>
        <w:jc w:val="left"/>
      </w:pPr>
      <w:r>
        <w:rPr>
          <w:rFonts w:ascii="Arial" w:hAnsi="Arial"/>
          <w:color w:val="525252"/>
          <w:sz w:val="13"/>
        </w:rPr>
        <w:t>Large duty badges will be worn.</w:t>
      </w:r>
    </w:p>
    <w:p>
      <w:pPr>
        <w:spacing w:after="20" w:line="223" w:lineRule="auto"/>
        <w:jc w:val="right"/>
        <w:bidi/>
      </w:pPr>
      <w:r>
        <w:rPr>
          <w:rFonts w:ascii="Arial" w:hAnsi="Arial"/>
          <w:sz w:val="16"/>
        </w:rPr>
        <w:t>512.16  اولین نشان وظیفه در سمت راست پوشنده در همان موقعیت نسبی مانند نوارهای عضو در سمت چپ پوشنده پوشیده خواهد شد.</w:t>
      </w:r>
    </w:p>
    <w:p>
      <w:pPr>
        <w:spacing w:after="28" w:line="216" w:lineRule="auto"/>
        <w:ind w:left="259"/>
        <w:jc w:val="left"/>
      </w:pPr>
      <w:r>
        <w:rPr>
          <w:rFonts w:ascii="Arial" w:hAnsi="Arial"/>
          <w:color w:val="525252"/>
          <w:sz w:val="13"/>
        </w:rPr>
        <w:t>The first duty badge will be worn on the wearer’s right in the same relative position as the member’s ribbons on the wearer’s left side.</w:t>
      </w:r>
    </w:p>
    <w:p>
      <w:pPr>
        <w:spacing w:after="20" w:line="223" w:lineRule="auto"/>
        <w:jc w:val="right"/>
        <w:bidi/>
      </w:pPr>
      <w:r>
        <w:rPr>
          <w:rFonts w:ascii="Arial" w:hAnsi="Arial"/>
          <w:sz w:val="16"/>
        </w:rPr>
        <w:t>512.17  نشان دوم در سمت راست پوشنده در همان موقعیت نسبی مانند نوارهای عضو در سمت چپ پوشنده، در مرکز و با فاصله ۱/۲ اینچ از نشان اول پوشیده خواهد شد.</w:t>
      </w:r>
    </w:p>
    <w:p>
      <w:pPr>
        <w:spacing w:after="28" w:line="216" w:lineRule="auto"/>
        <w:ind w:left="259"/>
        <w:jc w:val="left"/>
      </w:pPr>
      <w:r>
        <w:rPr>
          <w:rFonts w:ascii="Arial" w:hAnsi="Arial"/>
          <w:color w:val="525252"/>
          <w:sz w:val="13"/>
        </w:rPr>
        <w:t>The second badge will be worn on the wearer’s right in the same relative position as the member’s ribbons on the wearer’s left side, centered and spaced 1/2- inch apart from the first badge.</w:t>
      </w:r>
    </w:p>
    <w:p>
      <w:pPr>
        <w:spacing w:after="20" w:line="223" w:lineRule="auto"/>
        <w:jc w:val="right"/>
        <w:bidi/>
      </w:pPr>
      <w:r>
        <w:rPr>
          <w:rFonts w:ascii="Arial" w:hAnsi="Arial"/>
          <w:sz w:val="16"/>
        </w:rPr>
        <w:t>512.18  نشان سوم در سمت راست پوشنده قرار می‌گیرد، ۱/۲ اینچ در بالا قرار می‌گیرد و در مرکز دو نشان وظیفه اول قرار می‌گیرد. نشان (های) موشک یا برتری در مسابقه در سمت راست پوشنده، در مرکز بین درز بازو و یقه، در همان موقعیت نسبی نوارهای پوشنده در سمت چپ پوشنده قرار می‌گیرد.</w:t>
      </w:r>
    </w:p>
    <w:p>
      <w:pPr>
        <w:spacing w:after="28" w:line="216" w:lineRule="auto"/>
        <w:ind w:left="259"/>
        <w:jc w:val="left"/>
      </w:pPr>
      <w:r>
        <w:rPr>
          <w:rFonts w:ascii="Arial" w:hAnsi="Arial"/>
          <w:color w:val="525252"/>
          <w:sz w:val="13"/>
        </w:rPr>
        <w:t>The third badge will be worn on the wearer’s right, placed 1/2- inch above and centered on first two duty badges The missile or excellence-in-competition badge(s) are worn on the wearer’s right, centered between arm seam and lapel, in the same relative position as the member’s ribbons on the wearer’s left.</w:t>
      </w:r>
    </w:p>
    <w:p>
      <w:pPr>
        <w:spacing w:after="20" w:line="223" w:lineRule="auto"/>
        <w:jc w:val="right"/>
        <w:bidi/>
      </w:pPr>
      <w:r>
        <w:rPr>
          <w:rFonts w:ascii="Arial" w:hAnsi="Arial"/>
          <w:sz w:val="16"/>
        </w:rPr>
        <w:t>512.19  اگر نشان وظیفه در سمت راست پوشنده پوشیده شده است، موشک یا نشان برتری در مسابقه را به سمت چپ پوشنده، و در مرکز ۱ ۱/۲ اینچ زیر روبان‌ها قرار دهید.</w:t>
      </w:r>
    </w:p>
    <w:p>
      <w:pPr>
        <w:spacing w:after="28" w:line="216" w:lineRule="auto"/>
        <w:ind w:left="259"/>
        <w:jc w:val="left"/>
      </w:pPr>
      <w:r>
        <w:rPr>
          <w:rFonts w:ascii="Arial" w:hAnsi="Arial"/>
          <w:color w:val="525252"/>
          <w:sz w:val="13"/>
        </w:rPr>
        <w:t>If a duty badge is worn on the wearer’s right, move the missile or excellence-in-competition badge to the wearer’s left, centered 1 1/2-inch below ribbons.</w:t>
      </w:r>
    </w:p>
    <w:p>
      <w:pPr>
        <w:spacing w:after="20" w:line="223" w:lineRule="auto"/>
        <w:jc w:val="right"/>
        <w:bidi/>
      </w:pPr>
      <w:r>
        <w:rPr>
          <w:rFonts w:ascii="Arial" w:hAnsi="Arial"/>
          <w:sz w:val="16"/>
        </w:rPr>
        <w:t>512.20  لباس فرم سرویس (مردان).</w:t>
      </w:r>
    </w:p>
    <w:p>
      <w:pPr>
        <w:spacing w:after="28" w:line="216" w:lineRule="auto"/>
        <w:ind w:left="259"/>
        <w:jc w:val="left"/>
      </w:pPr>
      <w:r>
        <w:rPr>
          <w:rFonts w:ascii="Arial" w:hAnsi="Arial"/>
          <w:color w:val="525252"/>
          <w:sz w:val="13"/>
        </w:rPr>
        <w:t>Service Dress uniform (males).</w:t>
      </w:r>
    </w:p>
    <w:p>
      <w:pPr>
        <w:spacing w:after="20" w:line="223" w:lineRule="auto"/>
        <w:jc w:val="right"/>
        <w:bidi/>
      </w:pPr>
      <w:r>
        <w:rPr>
          <w:rFonts w:ascii="Arial" w:hAnsi="Arial"/>
          <w:sz w:val="16"/>
        </w:rPr>
        <w:t>512.21  نشان‌های وظیفه بزرگ پوشیده خواهد شد.</w:t>
      </w:r>
    </w:p>
    <w:p>
      <w:pPr>
        <w:spacing w:after="28" w:line="216" w:lineRule="auto"/>
        <w:ind w:left="259"/>
        <w:jc w:val="left"/>
      </w:pPr>
      <w:r>
        <w:rPr>
          <w:rFonts w:ascii="Arial" w:hAnsi="Arial"/>
          <w:color w:val="525252"/>
          <w:sz w:val="13"/>
        </w:rPr>
        <w:t>Large duty badges will be worn.</w:t>
      </w:r>
    </w:p>
    <w:p>
      <w:pPr>
        <w:spacing w:after="20" w:line="223" w:lineRule="auto"/>
        <w:jc w:val="right"/>
        <w:bidi/>
      </w:pPr>
      <w:r>
        <w:rPr>
          <w:rFonts w:ascii="Arial" w:hAnsi="Arial"/>
          <w:sz w:val="16"/>
        </w:rPr>
        <w:t>512.22  اولین نشان وظیفه در مرکز سمت چپ پوشنده، ۱ ۱/۲ اینچ زیر بالای جیب جوش قرار می‌گیرد و در مرکز قرار می‌گیرد.</w:t>
      </w:r>
    </w:p>
    <w:p>
      <w:pPr>
        <w:spacing w:after="28" w:line="216" w:lineRule="auto"/>
        <w:ind w:left="259"/>
        <w:jc w:val="left"/>
      </w:pPr>
      <w:r>
        <w:rPr>
          <w:rFonts w:ascii="Arial" w:hAnsi="Arial"/>
          <w:color w:val="525252"/>
          <w:sz w:val="13"/>
        </w:rPr>
        <w:t>The first duty badge will be centered on the wearer’s left 1 1/2-inch below top of welt pocket and centered.</w:t>
      </w:r>
    </w:p>
    <w:p>
      <w:pPr>
        <w:spacing w:after="20" w:line="223" w:lineRule="auto"/>
        <w:jc w:val="right"/>
        <w:bidi/>
      </w:pPr>
      <w:r>
        <w:rPr>
          <w:rFonts w:ascii="Arial" w:hAnsi="Arial"/>
          <w:sz w:val="16"/>
        </w:rPr>
        <w:t>512.23  نشان دوم در سمت راست پوشنده ۱ ۱/۲ اینچ زیر برچسب نام پوشیده می‌شود.</w:t>
      </w:r>
    </w:p>
    <w:p>
      <w:pPr>
        <w:spacing w:after="28" w:line="216" w:lineRule="auto"/>
        <w:ind w:left="259"/>
        <w:jc w:val="left"/>
      </w:pPr>
      <w:r>
        <w:rPr>
          <w:rFonts w:ascii="Arial" w:hAnsi="Arial"/>
          <w:color w:val="525252"/>
          <w:sz w:val="13"/>
        </w:rPr>
        <w:t>The second badge will be worn on the wearer’s right 1 1/2-inch below the name tag.</w:t>
      </w:r>
    </w:p>
    <w:p>
      <w:pPr>
        <w:spacing w:after="20" w:line="223" w:lineRule="auto"/>
        <w:jc w:val="right"/>
        <w:bidi/>
      </w:pPr>
      <w:r>
        <w:rPr>
          <w:rFonts w:ascii="Arial" w:hAnsi="Arial"/>
          <w:sz w:val="16"/>
        </w:rPr>
        <w:t>512.24  در صورت مجاز، نشان سوم را ۱/۲ اینچ بالای برچسب نام وسط قرار دهید.</w:t>
      </w:r>
    </w:p>
    <w:p>
      <w:pPr>
        <w:spacing w:after="28" w:line="216" w:lineRule="auto"/>
        <w:ind w:left="259"/>
        <w:jc w:val="left"/>
      </w:pPr>
      <w:r>
        <w:rPr>
          <w:rFonts w:ascii="Arial" w:hAnsi="Arial"/>
          <w:color w:val="525252"/>
          <w:sz w:val="13"/>
        </w:rPr>
        <w:t>If authorized, center a third badge 1/2-inch above the name tag.</w:t>
      </w:r>
    </w:p>
    <w:p>
      <w:pPr>
        <w:spacing w:after="20" w:line="223" w:lineRule="auto"/>
        <w:jc w:val="right"/>
        <w:bidi/>
      </w:pPr>
      <w:r>
        <w:rPr>
          <w:rFonts w:ascii="Arial" w:hAnsi="Arial"/>
          <w:sz w:val="16"/>
        </w:rPr>
        <w:t>512.25  نشان موشک فقط ۱ ۱/۲ اینچ زیر بالای جیب جوش و وسط پوشیده شده است.</w:t>
      </w:r>
    </w:p>
    <w:p>
      <w:pPr>
        <w:spacing w:after="28" w:line="216" w:lineRule="auto"/>
        <w:ind w:left="259"/>
        <w:jc w:val="left"/>
      </w:pPr>
      <w:r>
        <w:rPr>
          <w:rFonts w:ascii="Arial" w:hAnsi="Arial"/>
          <w:color w:val="525252"/>
          <w:sz w:val="13"/>
        </w:rPr>
        <w:t>The missile badge is only worn 1 1/2-inch below top of welt pocket and centered.</w:t>
      </w:r>
    </w:p>
    <w:p>
      <w:pPr>
        <w:spacing w:after="20" w:line="223" w:lineRule="auto"/>
        <w:jc w:val="right"/>
        <w:bidi/>
      </w:pPr>
      <w:r>
        <w:rPr>
          <w:rFonts w:ascii="Arial" w:hAnsi="Arial"/>
          <w:sz w:val="16"/>
        </w:rPr>
        <w:t>512.26  اگر مجاز به پوشیدن نشان وظیفه و نشان موشک است، نشان وظیفه را به سمت حق پوشنده منتقل کنید.</w:t>
      </w:r>
    </w:p>
    <w:p>
      <w:pPr>
        <w:spacing w:after="28" w:line="216" w:lineRule="auto"/>
        <w:ind w:left="259"/>
        <w:jc w:val="left"/>
      </w:pPr>
      <w:r>
        <w:rPr>
          <w:rFonts w:ascii="Arial" w:hAnsi="Arial"/>
          <w:color w:val="525252"/>
          <w:sz w:val="13"/>
        </w:rPr>
        <w:t>Move duty badge to wearer’s right if authorized to wear a duty badge and the missile badge.</w:t>
      </w:r>
    </w:p>
    <w:p>
      <w:pPr>
        <w:spacing w:after="20" w:line="223" w:lineRule="auto"/>
        <w:jc w:val="right"/>
        <w:bidi/>
      </w:pPr>
      <w:r>
        <w:rPr>
          <w:rFonts w:ascii="Arial" w:hAnsi="Arial"/>
          <w:sz w:val="16"/>
        </w:rPr>
        <w:t>512.27  نشان برتری در رقابت فقط در مرکز جیب چپ استفاده می‌شود.</w:t>
      </w:r>
    </w:p>
    <w:p>
      <w:pPr>
        <w:spacing w:after="28" w:line="216" w:lineRule="auto"/>
        <w:ind w:left="259"/>
        <w:jc w:val="left"/>
      </w:pPr>
      <w:r>
        <w:rPr>
          <w:rFonts w:ascii="Arial" w:hAnsi="Arial"/>
          <w:color w:val="525252"/>
          <w:sz w:val="13"/>
        </w:rPr>
        <w:t>The excellence-in-competition badge is only worn centered on the left welt pocket.</w:t>
      </w:r>
    </w:p>
    <w:p>
      <w:pPr>
        <w:spacing w:after="20" w:line="223" w:lineRule="auto"/>
        <w:jc w:val="right"/>
        <w:bidi/>
      </w:pPr>
      <w:r>
        <w:rPr>
          <w:rFonts w:ascii="Arial" w:hAnsi="Arial"/>
          <w:sz w:val="16"/>
        </w:rPr>
        <w:t>512.28  پین نشان فرمان در سمت راست کاربر پوشیده شده است، در مرکز ۱/۲ اینچ بالای برچسب نام برای فرماندهان فعلی، و مرکز ۱/۲ اینچ زیر برچسب نام برای فرماندهان فارغ‌التحصیل قرار دارد.</w:t>
      </w:r>
    </w:p>
    <w:p>
      <w:pPr>
        <w:spacing w:after="28" w:line="216" w:lineRule="auto"/>
        <w:ind w:left="259"/>
        <w:jc w:val="left"/>
      </w:pPr>
      <w:r>
        <w:rPr>
          <w:rFonts w:ascii="Arial" w:hAnsi="Arial"/>
          <w:color w:val="525252"/>
          <w:sz w:val="13"/>
        </w:rPr>
        <w:t>Command insignia pin is worn on the wearer’s right side, centered 1/2- inch above the name tag for current commanders, centered 1/2-inch below name tag for graduated commanders.</w:t>
      </w:r>
    </w:p>
    <w:p>
      <w:pPr>
        <w:spacing w:after="20" w:line="223" w:lineRule="auto"/>
        <w:jc w:val="right"/>
        <w:bidi/>
      </w:pPr>
      <w:r>
        <w:rPr>
          <w:rFonts w:ascii="Arial" w:hAnsi="Arial"/>
          <w:sz w:val="16"/>
        </w:rPr>
        <w:t>512.29  اگر نشان وظیفه در سمت راست پوشنده با سنجاق نشان فرمان، نشان وظیفه مرکزی ۱/۲ اینچ بالای پین نشان فرمان (فرمانده فعلی) یا نشان وظیفه مرکزی ۱/۲ اینچ زیر پین نشان فرمان برای فرمانده درجه‌دیده پوشیده شود.</w:t>
      </w:r>
    </w:p>
    <w:p>
      <w:pPr>
        <w:spacing w:after="28" w:line="216" w:lineRule="auto"/>
        <w:ind w:left="259"/>
        <w:jc w:val="left"/>
      </w:pPr>
      <w:r>
        <w:rPr>
          <w:rFonts w:ascii="Arial" w:hAnsi="Arial"/>
          <w:color w:val="525252"/>
          <w:sz w:val="13"/>
        </w:rPr>
        <w:t>If duty badge is worn on the wearer’s right side with command insignia pin, center duty badge 1/2-inch above command insignia pin (current commander) or center duty badge 1/2-inch below command insignia pin for graduated commander.</w:t>
      </w:r>
    </w:p>
    <w:p>
      <w:pPr>
        <w:spacing w:after="20" w:line="223" w:lineRule="auto"/>
        <w:jc w:val="right"/>
        <w:bidi/>
      </w:pPr>
      <w:r>
        <w:rPr>
          <w:rFonts w:ascii="Arial" w:hAnsi="Arial"/>
          <w:sz w:val="16"/>
        </w:rPr>
        <w:t>512.30  پین نشان فرماندهی برای فرماندهان فعلی در تمام لباس‌های آبی اجباری است و ممکن است توسط همه افسران واجد شرایط در درجه سرهنگ (و-۶) و پایین‌تر استفاده شود.</w:t>
      </w:r>
    </w:p>
    <w:p>
      <w:pPr>
        <w:spacing w:after="28" w:line="216" w:lineRule="auto"/>
        <w:ind w:left="259"/>
        <w:jc w:val="left"/>
      </w:pPr>
      <w:r>
        <w:rPr>
          <w:rFonts w:ascii="Arial" w:hAnsi="Arial"/>
          <w:color w:val="525252"/>
          <w:sz w:val="13"/>
        </w:rPr>
        <w:t>The command insignia pin is mandatory for current commanders on all blue uniforms and may be worn by all eligible commissioned officers in the rank of Colonel (O-6) and below.</w:t>
      </w:r>
    </w:p>
    <w:p>
      <w:pPr>
        <w:spacing w:after="20" w:line="223" w:lineRule="auto"/>
        <w:jc w:val="right"/>
        <w:bidi/>
      </w:pPr>
      <w:r>
        <w:rPr>
          <w:rFonts w:ascii="Arial" w:hAnsi="Arial"/>
          <w:sz w:val="16"/>
        </w:rPr>
        <w:t>512.31  شکل ۲۳.۵۹ را ببینید.</w:t>
      </w:r>
    </w:p>
    <w:p>
      <w:pPr>
        <w:spacing w:after="28" w:line="216" w:lineRule="auto"/>
        <w:ind w:left="259"/>
        <w:jc w:val="left"/>
      </w:pPr>
      <w:r>
        <w:rPr>
          <w:rFonts w:ascii="Arial" w:hAnsi="Arial"/>
          <w:color w:val="525252"/>
          <w:sz w:val="13"/>
        </w:rPr>
        <w:t>See Figure 23.59.</w:t>
      </w:r>
    </w:p>
    <w:p>
      <w:pPr>
        <w:spacing w:after="20" w:line="223" w:lineRule="auto"/>
        <w:jc w:val="right"/>
        <w:bidi/>
      </w:pPr>
      <w:r>
        <w:rPr>
          <w:rFonts w:ascii="Arial" w:hAnsi="Arial"/>
          <w:sz w:val="16"/>
        </w:rPr>
        <w:t>512.32  لباس فرم سرویس (زنانه).</w:t>
      </w:r>
    </w:p>
    <w:p>
      <w:pPr>
        <w:spacing w:after="28" w:line="216" w:lineRule="auto"/>
        <w:ind w:left="259"/>
        <w:jc w:val="left"/>
      </w:pPr>
      <w:r>
        <w:rPr>
          <w:rFonts w:ascii="Arial" w:hAnsi="Arial"/>
          <w:color w:val="525252"/>
          <w:sz w:val="13"/>
        </w:rPr>
        <w:t>Service Dress uniform (females).</w:t>
      </w:r>
    </w:p>
    <w:p>
      <w:pPr>
        <w:spacing w:after="20" w:line="223" w:lineRule="auto"/>
        <w:jc w:val="right"/>
        <w:bidi/>
      </w:pPr>
      <w:r>
        <w:rPr>
          <w:rFonts w:ascii="Arial" w:hAnsi="Arial"/>
          <w:sz w:val="16"/>
        </w:rPr>
        <w:t>512.33  نشان‌های وظیفه بزرگ پوشیده خواهد شد.</w:t>
      </w:r>
    </w:p>
    <w:p>
      <w:pPr>
        <w:spacing w:after="28" w:line="216" w:lineRule="auto"/>
        <w:ind w:left="259"/>
        <w:jc w:val="left"/>
      </w:pPr>
      <w:r>
        <w:rPr>
          <w:rFonts w:ascii="Arial" w:hAnsi="Arial"/>
          <w:color w:val="525252"/>
          <w:sz w:val="13"/>
        </w:rPr>
        <w:t>Large duty badges will be worn.</w:t>
      </w:r>
    </w:p>
    <w:p>
      <w:pPr>
        <w:spacing w:after="20" w:line="223" w:lineRule="auto"/>
        <w:jc w:val="right"/>
        <w:bidi/>
      </w:pPr>
      <w:r>
        <w:rPr>
          <w:rFonts w:ascii="Arial" w:hAnsi="Arial"/>
          <w:sz w:val="16"/>
        </w:rPr>
        <w:t>512.34  اولین نشان وظیفه در سمت راست کاربر، ۱/۲ اینچ بالای برچسب نام و وسط قرار می‌گیرد.</w:t>
      </w:r>
    </w:p>
    <w:p>
      <w:pPr>
        <w:spacing w:after="28" w:line="216" w:lineRule="auto"/>
        <w:ind w:left="259"/>
        <w:jc w:val="left"/>
      </w:pPr>
      <w:r>
        <w:rPr>
          <w:rFonts w:ascii="Arial" w:hAnsi="Arial"/>
          <w:color w:val="525252"/>
          <w:sz w:val="13"/>
        </w:rPr>
        <w:t>The first duty badge will be centered on the wearer’s right, 1/2-inch above the name tag and centered.</w:t>
      </w:r>
    </w:p>
    <w:p>
      <w:pPr>
        <w:spacing w:after="20" w:line="223" w:lineRule="auto"/>
        <w:jc w:val="right"/>
        <w:bidi/>
      </w:pPr>
      <w:r>
        <w:rPr>
          <w:rFonts w:ascii="Arial" w:hAnsi="Arial"/>
          <w:sz w:val="16"/>
        </w:rPr>
        <w:t>512.35  نشان دوم ۱/۲ اینچ بالای برچسب نام پوشیده می‌شود و در مرکز قرار می‌گیرد و با نشان اول ۱/۲ اینچ فاصله دارد.</w:t>
      </w:r>
    </w:p>
    <w:p>
      <w:pPr>
        <w:spacing w:after="28" w:line="216" w:lineRule="auto"/>
        <w:ind w:left="259"/>
        <w:jc w:val="left"/>
      </w:pPr>
      <w:r>
        <w:rPr>
          <w:rFonts w:ascii="Arial" w:hAnsi="Arial"/>
          <w:color w:val="525252"/>
          <w:sz w:val="13"/>
        </w:rPr>
        <w:t>The second badge will be worn 1/2-inch above the name tag and centered and spaced 1/2-inch apart from the first badge.</w:t>
      </w:r>
    </w:p>
    <w:p>
      <w:pPr>
        <w:spacing w:after="20" w:line="223" w:lineRule="auto"/>
        <w:jc w:val="right"/>
        <w:bidi/>
      </w:pPr>
      <w:r>
        <w:rPr>
          <w:rFonts w:ascii="Arial" w:hAnsi="Arial"/>
          <w:sz w:val="16"/>
        </w:rPr>
        <w:t>512.36  نشان وظیفه سوم در مرکز قرار می‌گیرد و ۱/۲ اینچ بالاتر از ۲ نشان وظیفه اول قرار می‌گیرد.</w:t>
      </w:r>
    </w:p>
    <w:p>
      <w:pPr>
        <w:spacing w:after="28" w:line="216" w:lineRule="auto"/>
        <w:ind w:left="259"/>
        <w:jc w:val="left"/>
      </w:pPr>
      <w:r>
        <w:rPr>
          <w:rFonts w:ascii="Arial" w:hAnsi="Arial"/>
          <w:color w:val="525252"/>
          <w:sz w:val="13"/>
        </w:rPr>
        <w:t>The third duty badge will be centered and spaced 1/2-inch above the first 2 duty badges.</w:t>
      </w:r>
    </w:p>
    <w:p>
      <w:pPr>
        <w:spacing w:after="20" w:line="223" w:lineRule="auto"/>
        <w:jc w:val="right"/>
        <w:bidi/>
      </w:pPr>
      <w:r>
        <w:rPr>
          <w:rFonts w:ascii="Arial" w:hAnsi="Arial"/>
          <w:sz w:val="16"/>
        </w:rPr>
        <w:t>512.37  اگر نشان(های) وظیفه پوشیده شده باشد، نشان(های) موشک یا برتری در مسابقه فقط در سمت چپ پوشنده، ۱ ۱/۲ اینچ زیر بالای جیب جوش قرار می‌گیرد.</w:t>
      </w:r>
    </w:p>
    <w:p>
      <w:pPr>
        <w:spacing w:after="28" w:line="216" w:lineRule="auto"/>
        <w:ind w:left="259"/>
        <w:jc w:val="left"/>
      </w:pPr>
      <w:r>
        <w:rPr>
          <w:rFonts w:ascii="Arial" w:hAnsi="Arial"/>
          <w:color w:val="525252"/>
          <w:sz w:val="13"/>
        </w:rPr>
        <w:t>If duty badge(s) are worn, the missile or excellence-in-competition badge(s) will only be worn on the wearer’s left, 1 1/2-inches below the top of the welt pocket.</w:t>
      </w:r>
    </w:p>
    <w:p>
      <w:pPr>
        <w:spacing w:after="20" w:line="223" w:lineRule="auto"/>
        <w:jc w:val="right"/>
        <w:bidi/>
      </w:pPr>
      <w:r>
        <w:rPr>
          <w:rFonts w:ascii="Arial" w:hAnsi="Arial"/>
          <w:sz w:val="16"/>
        </w:rPr>
        <w:t>512.38  اگر هیچ نشان(های) وظیفه‌ای پوشیده نشود، نشان موشک و/یا نشان برتری در رقابت در سمت راست پوشنده پوشیده می‌شود، ۱/۲-</w:t>
      </w:r>
    </w:p>
    <w:p>
      <w:pPr>
        <w:spacing w:after="28" w:line="216" w:lineRule="auto"/>
        <w:ind w:left="259"/>
        <w:jc w:val="left"/>
      </w:pPr>
      <w:r>
        <w:rPr>
          <w:rFonts w:ascii="Arial" w:hAnsi="Arial"/>
          <w:color w:val="525252"/>
          <w:sz w:val="13"/>
        </w:rPr>
        <w:t>If no duty badge(s) are worn, the missile badge and/or excellence-in-competition badge is worn on the wearer’s right, 1/2-</w:t>
      </w:r>
    </w:p>
    <w:p>
      <w:r>
        <w:br w:type="page"/>
      </w:r>
    </w:p>
    <w:p>
      <w:pPr>
        <w:spacing w:after="60"/>
        <w:jc w:val="right"/>
        <w:bidi/>
      </w:pPr>
      <w:r>
        <w:rPr>
          <w:rFonts w:ascii="Arial" w:hAnsi="Arial"/>
          <w:b/>
          <w:color w:val="1F4D78"/>
          <w:sz w:val="19"/>
        </w:rPr>
        <w:t>هفتهٔ 513  |  صفحهٔ منبع: 529</w:t>
      </w:r>
    </w:p>
    <w:p>
      <w:pPr>
        <w:spacing w:after="20" w:line="223" w:lineRule="auto"/>
        <w:jc w:val="right"/>
        <w:bidi/>
      </w:pPr>
      <w:r>
        <w:rPr>
          <w:rFonts w:ascii="Arial" w:hAnsi="Arial"/>
          <w:sz w:val="16"/>
        </w:rPr>
        <w:t>513.01  اینچ بالای برچسب نام.</w:t>
      </w:r>
    </w:p>
    <w:p>
      <w:pPr>
        <w:spacing w:after="28" w:line="216" w:lineRule="auto"/>
        <w:ind w:left="259"/>
        <w:jc w:val="left"/>
      </w:pPr>
      <w:r>
        <w:rPr>
          <w:rFonts w:ascii="Arial" w:hAnsi="Arial"/>
          <w:color w:val="525252"/>
          <w:sz w:val="13"/>
        </w:rPr>
        <w:t>inch above name tag.</w:t>
      </w:r>
    </w:p>
    <w:p>
      <w:pPr>
        <w:spacing w:after="20" w:line="223" w:lineRule="auto"/>
        <w:jc w:val="right"/>
        <w:bidi/>
      </w:pPr>
      <w:r>
        <w:rPr>
          <w:rFonts w:ascii="Arial" w:hAnsi="Arial"/>
          <w:sz w:val="16"/>
        </w:rPr>
        <w:t>513.02  پین نشان فرمان در سمت راست کاربر پوشیده می‌شود، در مرکز ۱/۲ اینچ بالای برچسب نام برای فرماندهان فعلی یا در مرکز ۱/۲ اینچ زیر برچسب نام برای فرماندهان فارغ‌التحصیل قرار گرفته است.</w:t>
      </w:r>
    </w:p>
    <w:p>
      <w:pPr>
        <w:spacing w:after="28" w:line="216" w:lineRule="auto"/>
        <w:ind w:left="259"/>
        <w:jc w:val="left"/>
      </w:pPr>
      <w:r>
        <w:rPr>
          <w:rFonts w:ascii="Arial" w:hAnsi="Arial"/>
          <w:color w:val="525252"/>
          <w:sz w:val="13"/>
        </w:rPr>
        <w:t>Command insignia pin is worn on the wearer’s right side, centered 1/2- inch above the name tag for current commanders or centered 1/2-inch below name tag for graduated commanders.</w:t>
      </w:r>
    </w:p>
    <w:p>
      <w:pPr>
        <w:spacing w:after="20" w:line="223" w:lineRule="auto"/>
        <w:jc w:val="right"/>
        <w:bidi/>
      </w:pPr>
      <w:r>
        <w:rPr>
          <w:rFonts w:ascii="Arial" w:hAnsi="Arial"/>
          <w:sz w:val="16"/>
        </w:rPr>
        <w:t>513.03  اگر از یک نشان وظیفه با پین نشان فرمان استفاده می‌کنید، (فرماندهان فعلی) نشان وظیفه مرکزی ۱/۲ اینچ بالاتر از پین نشان فرمان.</w:t>
      </w:r>
    </w:p>
    <w:p>
      <w:pPr>
        <w:spacing w:after="28" w:line="216" w:lineRule="auto"/>
        <w:ind w:left="259"/>
        <w:jc w:val="left"/>
      </w:pPr>
      <w:r>
        <w:rPr>
          <w:rFonts w:ascii="Arial" w:hAnsi="Arial"/>
          <w:color w:val="525252"/>
          <w:sz w:val="13"/>
        </w:rPr>
        <w:t>If wearing one duty badge with command insignia pin, (current commanders) center duty badge 1/2-inch above command insignia pin.</w:t>
      </w:r>
    </w:p>
    <w:p>
      <w:pPr>
        <w:spacing w:after="20" w:line="223" w:lineRule="auto"/>
        <w:jc w:val="right"/>
        <w:bidi/>
      </w:pPr>
      <w:r>
        <w:rPr>
          <w:rFonts w:ascii="Arial" w:hAnsi="Arial"/>
          <w:sz w:val="16"/>
        </w:rPr>
        <w:t>513.04  اگر دو نشان وظیفه و پین نشان فرمان (جاری) با هم پوشیده شده‌اند، پین نشان فرمان را ۱/۲ اینچ بالای برچسب نام قرار دهید و هر دو نشان وظیفه را ۱/۲ اینچ بالای پین نشان فرمان، در مرکز و با فاصله ۱/۲ اینچ از هم قرار دهید.</w:t>
      </w:r>
    </w:p>
    <w:p>
      <w:pPr>
        <w:spacing w:after="28" w:line="216" w:lineRule="auto"/>
        <w:ind w:left="259"/>
        <w:jc w:val="left"/>
      </w:pPr>
      <w:r>
        <w:rPr>
          <w:rFonts w:ascii="Arial" w:hAnsi="Arial"/>
          <w:color w:val="525252"/>
          <w:sz w:val="13"/>
        </w:rPr>
        <w:t>If two duty badges and the (current) command insignia pin are worn together, place command insignia pin 1/2-inch above name tag and place both duty badges 1/2-inch above command insignia pin, centered and spaced 1/2-inch apart.</w:t>
      </w:r>
    </w:p>
    <w:p>
      <w:pPr>
        <w:spacing w:after="20" w:line="223" w:lineRule="auto"/>
        <w:jc w:val="right"/>
        <w:bidi/>
      </w:pPr>
      <w:r>
        <w:rPr>
          <w:rFonts w:ascii="Arial" w:hAnsi="Arial"/>
          <w:sz w:val="16"/>
        </w:rPr>
        <w:t>513.05  اگر از سه نشان وظیفه با پین نشان فرمان (فرماندهان فعلی) استفاده می‌کنید، نشان سوم را ۱/۲ اینچ بالا و در مرکز دو نشان وظیفه اول اضافه کنید.</w:t>
      </w:r>
    </w:p>
    <w:p>
      <w:pPr>
        <w:spacing w:after="28" w:line="216" w:lineRule="auto"/>
        <w:ind w:left="259"/>
        <w:jc w:val="left"/>
      </w:pPr>
      <w:r>
        <w:rPr>
          <w:rFonts w:ascii="Arial" w:hAnsi="Arial"/>
          <w:color w:val="525252"/>
          <w:sz w:val="13"/>
        </w:rPr>
        <w:t>If wearing three duty badges with command insignia pin (current commanders), add the third badge 1/2-inch above and centered on the first two duty badges.</w:t>
      </w:r>
    </w:p>
    <w:p>
      <w:pPr>
        <w:spacing w:after="20" w:line="223" w:lineRule="auto"/>
        <w:jc w:val="right"/>
        <w:bidi/>
      </w:pPr>
      <w:r>
        <w:rPr>
          <w:rFonts w:ascii="Arial" w:hAnsi="Arial"/>
          <w:sz w:val="16"/>
        </w:rPr>
        <w:t>513.06  پین نشان فرماندهی برای فرماندهان فعلی اجباری است و ممکن است توسط همه افسران واجد شرایط در درجه سرهنگ (و-۶) و پایین‌تر استفاده شود.</w:t>
      </w:r>
    </w:p>
    <w:p>
      <w:pPr>
        <w:spacing w:after="28" w:line="216" w:lineRule="auto"/>
        <w:ind w:left="259"/>
        <w:jc w:val="left"/>
      </w:pPr>
      <w:r>
        <w:rPr>
          <w:rFonts w:ascii="Arial" w:hAnsi="Arial"/>
          <w:color w:val="525252"/>
          <w:sz w:val="13"/>
        </w:rPr>
        <w:t>The command insignia pin is mandatory for current commanders and maybe worn by all eligible commissioned officers in the rank of Colonel (O-6) and below.</w:t>
      </w:r>
    </w:p>
    <w:p>
      <w:pPr>
        <w:spacing w:after="20" w:line="223" w:lineRule="auto"/>
        <w:jc w:val="right"/>
        <w:bidi/>
      </w:pPr>
      <w:r>
        <w:rPr>
          <w:rFonts w:ascii="Arial" w:hAnsi="Arial"/>
          <w:sz w:val="16"/>
        </w:rPr>
        <w:t>513.07  شکل ۲۳.۶۰ را ببینید.</w:t>
      </w:r>
    </w:p>
    <w:p>
      <w:pPr>
        <w:spacing w:after="28" w:line="216" w:lineRule="auto"/>
        <w:ind w:left="259"/>
        <w:jc w:val="left"/>
      </w:pPr>
      <w:r>
        <w:rPr>
          <w:rFonts w:ascii="Arial" w:hAnsi="Arial"/>
          <w:color w:val="525252"/>
          <w:sz w:val="13"/>
        </w:rPr>
        <w:t>See Figure 23.60.</w:t>
      </w:r>
    </w:p>
    <w:p>
      <w:r>
        <w:br w:type="page"/>
      </w:r>
    </w:p>
    <w:p>
      <w:pPr>
        <w:spacing w:after="60"/>
        <w:jc w:val="right"/>
        <w:bidi/>
      </w:pPr>
      <w:r>
        <w:rPr>
          <w:rFonts w:ascii="Arial" w:hAnsi="Arial"/>
          <w:b/>
          <w:color w:val="1F4D78"/>
          <w:sz w:val="19"/>
        </w:rPr>
        <w:t>هفتهٔ 514  |  صفحهٔ منبع: 530</w:t>
      </w:r>
    </w:p>
    <w:p>
      <w:pPr>
        <w:spacing w:before="60" w:after="28"/>
        <w:jc w:val="right"/>
        <w:bidi/>
      </w:pPr>
      <w:r>
        <w:rPr>
          <w:b/>
          <w:color w:val="1F4D78"/>
          <w:sz w:val="18"/>
        </w:rPr>
        <w:t>شکل 23.59. نمونه‌های پیکربندی نشان وظیفه لباس خدمت مردانه</w:t>
      </w:r>
    </w:p>
    <w:p>
      <w:pPr>
        <w:spacing w:after="20"/>
        <w:ind w:left="259"/>
        <w:jc w:val="left"/>
      </w:pPr>
      <w:r>
        <w:rPr>
          <w:color w:val="555555"/>
          <w:sz w:val="12"/>
        </w:rPr>
        <w:t>Figure 23.59. Male Service Dress Duty Badge Configuration Examples</w:t>
      </w:r>
    </w:p>
    <w:p>
      <w:r>
        <w:br w:type="page"/>
      </w:r>
    </w:p>
    <w:p>
      <w:pPr>
        <w:spacing w:after="60"/>
        <w:jc w:val="right"/>
        <w:bidi/>
      </w:pPr>
      <w:r>
        <w:rPr>
          <w:rFonts w:ascii="Arial" w:hAnsi="Arial"/>
          <w:b/>
          <w:color w:val="1F4D78"/>
          <w:sz w:val="19"/>
        </w:rPr>
        <w:t>هفتهٔ 515  |  صفحهٔ منبع: 531</w:t>
      </w:r>
    </w:p>
    <w:p>
      <w:pPr>
        <w:spacing w:before="60" w:after="28"/>
        <w:jc w:val="right"/>
        <w:bidi/>
      </w:pPr>
      <w:r>
        <w:rPr>
          <w:b/>
          <w:color w:val="1F4D78"/>
          <w:sz w:val="18"/>
        </w:rPr>
        <w:t>شکل 23.60 نمونه‌های پیکربندی نشان وظیفه لباس خدمات زن</w:t>
      </w:r>
    </w:p>
    <w:p>
      <w:pPr>
        <w:spacing w:after="20"/>
        <w:ind w:left="259"/>
        <w:jc w:val="left"/>
      </w:pPr>
      <w:r>
        <w:rPr>
          <w:color w:val="555555"/>
          <w:sz w:val="12"/>
        </w:rPr>
        <w:t>Figure 23.60 Female Service Dress Duty Badge Configuration Examples</w:t>
      </w:r>
    </w:p>
    <w:p>
      <w:pPr>
        <w:spacing w:after="20" w:line="223" w:lineRule="auto"/>
        <w:jc w:val="right"/>
        <w:bidi/>
      </w:pPr>
      <w:r>
        <w:rPr>
          <w:rFonts w:ascii="Arial" w:hAnsi="Arial"/>
          <w:sz w:val="16"/>
        </w:rPr>
        <w:t>515.02  یونیفرم لباس سرویس (بارداری).</w:t>
      </w:r>
    </w:p>
    <w:p>
      <w:pPr>
        <w:spacing w:after="28" w:line="216" w:lineRule="auto"/>
        <w:ind w:left="259"/>
        <w:jc w:val="left"/>
      </w:pPr>
      <w:r>
        <w:rPr>
          <w:rFonts w:ascii="Arial" w:hAnsi="Arial"/>
          <w:color w:val="525252"/>
          <w:sz w:val="13"/>
        </w:rPr>
        <w:t>Service Dress uniform (maternity).</w:t>
      </w:r>
    </w:p>
    <w:p>
      <w:pPr>
        <w:spacing w:after="20" w:line="223" w:lineRule="auto"/>
        <w:jc w:val="right"/>
        <w:bidi/>
      </w:pPr>
      <w:r>
        <w:rPr>
          <w:rFonts w:ascii="Arial" w:hAnsi="Arial"/>
          <w:sz w:val="16"/>
        </w:rPr>
        <w:t>515.03  نشان‌های وظیفه بزرگ پوشیده خواهد شد.</w:t>
      </w:r>
    </w:p>
    <w:p>
      <w:pPr>
        <w:spacing w:after="28" w:line="216" w:lineRule="auto"/>
        <w:ind w:left="259"/>
        <w:jc w:val="left"/>
      </w:pPr>
      <w:r>
        <w:rPr>
          <w:rFonts w:ascii="Arial" w:hAnsi="Arial"/>
          <w:color w:val="525252"/>
          <w:sz w:val="13"/>
        </w:rPr>
        <w:t>Large duty badges will be worn.</w:t>
      </w:r>
    </w:p>
    <w:p>
      <w:pPr>
        <w:spacing w:after="20" w:line="223" w:lineRule="auto"/>
        <w:jc w:val="right"/>
        <w:bidi/>
      </w:pPr>
      <w:r>
        <w:rPr>
          <w:rFonts w:ascii="Arial" w:hAnsi="Arial"/>
          <w:sz w:val="16"/>
        </w:rPr>
        <w:t>515.04  اولین نشان وظیفه در سمت راست کاربر، ۱/۲ اینچ بالای برچسب نام و وسط قرار می‌گیرد.</w:t>
      </w:r>
    </w:p>
    <w:p>
      <w:pPr>
        <w:spacing w:after="28" w:line="216" w:lineRule="auto"/>
        <w:ind w:left="259"/>
        <w:jc w:val="left"/>
      </w:pPr>
      <w:r>
        <w:rPr>
          <w:rFonts w:ascii="Arial" w:hAnsi="Arial"/>
          <w:color w:val="525252"/>
          <w:sz w:val="13"/>
        </w:rPr>
        <w:t>The first duty badge will be centered on the wearer’s right, 1/2-inch above the name tag and centered.</w:t>
      </w:r>
    </w:p>
    <w:p>
      <w:pPr>
        <w:spacing w:after="20" w:line="223" w:lineRule="auto"/>
        <w:jc w:val="right"/>
        <w:bidi/>
      </w:pPr>
      <w:r>
        <w:rPr>
          <w:rFonts w:ascii="Arial" w:hAnsi="Arial"/>
          <w:sz w:val="16"/>
        </w:rPr>
        <w:t>515.05  نشان دوم ۱/۲ اینچ بالای برچسب نام پوشیده می‌شود و در مرکز قرار می‌گیرد و با نشان اول ۱/۲ اینچ فاصله دارد.</w:t>
      </w:r>
    </w:p>
    <w:p>
      <w:pPr>
        <w:spacing w:after="28" w:line="216" w:lineRule="auto"/>
        <w:ind w:left="259"/>
        <w:jc w:val="left"/>
      </w:pPr>
      <w:r>
        <w:rPr>
          <w:rFonts w:ascii="Arial" w:hAnsi="Arial"/>
          <w:color w:val="525252"/>
          <w:sz w:val="13"/>
        </w:rPr>
        <w:t>The second badge will be worn 1/2-inch above the name tag and centered and spaced 1/2-inch apart from the first badge.</w:t>
      </w:r>
    </w:p>
    <w:p>
      <w:pPr>
        <w:spacing w:after="20" w:line="223" w:lineRule="auto"/>
        <w:jc w:val="right"/>
        <w:bidi/>
      </w:pPr>
      <w:r>
        <w:rPr>
          <w:rFonts w:ascii="Arial" w:hAnsi="Arial"/>
          <w:sz w:val="16"/>
        </w:rPr>
        <w:t>515.06  نشان وظیفه سوم ۱/۲ اینچ بالاتر و در مرکز دو نشان وظیفه اول قرار می‌گیرد.</w:t>
      </w:r>
    </w:p>
    <w:p>
      <w:pPr>
        <w:spacing w:after="28" w:line="216" w:lineRule="auto"/>
        <w:ind w:left="259"/>
        <w:jc w:val="left"/>
      </w:pPr>
      <w:r>
        <w:rPr>
          <w:rFonts w:ascii="Arial" w:hAnsi="Arial"/>
          <w:color w:val="525252"/>
          <w:sz w:val="13"/>
        </w:rPr>
        <w:t>The third duty badge will be placed 1/2-inch above and centered on the first two duty badges.</w:t>
      </w:r>
    </w:p>
    <w:p>
      <w:pPr>
        <w:spacing w:after="20" w:line="223" w:lineRule="auto"/>
        <w:jc w:val="right"/>
        <w:bidi/>
      </w:pPr>
      <w:r>
        <w:rPr>
          <w:rFonts w:ascii="Arial" w:hAnsi="Arial"/>
          <w:sz w:val="16"/>
        </w:rPr>
        <w:t>515.07  اگر نشان(های) وظیفه پوشیده شده باشد، نشان(های) موشک یا برتری در مسابقه فقط در سمت چپ پوشنده، ۱ ۱/۲ اینچ زیر ردیف پایین روبان پوشیده می‌شود.</w:t>
      </w:r>
    </w:p>
    <w:p>
      <w:pPr>
        <w:spacing w:after="28" w:line="216" w:lineRule="auto"/>
        <w:ind w:left="259"/>
        <w:jc w:val="left"/>
      </w:pPr>
      <w:r>
        <w:rPr>
          <w:rFonts w:ascii="Arial" w:hAnsi="Arial"/>
          <w:color w:val="525252"/>
          <w:sz w:val="13"/>
        </w:rPr>
        <w:t>If duty badge(s) are worn, the missile or excellence-in-competition badge(s) will only be worn on the wearer’s left, 1 1/2-inches below the bottom row of ribbons.</w:t>
      </w:r>
    </w:p>
    <w:p>
      <w:pPr>
        <w:spacing w:after="20" w:line="223" w:lineRule="auto"/>
        <w:jc w:val="right"/>
        <w:bidi/>
      </w:pPr>
      <w:r>
        <w:rPr>
          <w:rFonts w:ascii="Arial" w:hAnsi="Arial"/>
          <w:sz w:val="16"/>
        </w:rPr>
        <w:t>515.08  اگر هیچ نشان(های) وظیفه‌ای پوشیده نشود، نشان موشک و/یا نشان برتری در مسابقه در سمت راست پوشنده، ۱/۲ اینچ بالای برچسب نام پوشیده می‌شود.</w:t>
      </w:r>
    </w:p>
    <w:p>
      <w:pPr>
        <w:spacing w:after="28" w:line="216" w:lineRule="auto"/>
        <w:ind w:left="259"/>
        <w:jc w:val="left"/>
      </w:pPr>
      <w:r>
        <w:rPr>
          <w:rFonts w:ascii="Arial" w:hAnsi="Arial"/>
          <w:color w:val="525252"/>
          <w:sz w:val="13"/>
        </w:rPr>
        <w:t>If no duty badge(s) are worn, the missile badge and/or excellence-in-competition badge is worn on the wearer’s right, 1/2-inch above name tag.</w:t>
      </w:r>
    </w:p>
    <w:p>
      <w:pPr>
        <w:spacing w:after="20" w:line="223" w:lineRule="auto"/>
        <w:jc w:val="right"/>
        <w:bidi/>
      </w:pPr>
      <w:r>
        <w:rPr>
          <w:rFonts w:ascii="Arial" w:hAnsi="Arial"/>
          <w:sz w:val="16"/>
        </w:rPr>
        <w:t>515.09  پین نشان فرمان در سمت راست پوشنده پوشیده شده است</w:t>
      </w:r>
    </w:p>
    <w:p>
      <w:pPr>
        <w:spacing w:after="28" w:line="216" w:lineRule="auto"/>
        <w:ind w:left="259"/>
        <w:jc w:val="left"/>
      </w:pPr>
      <w:r>
        <w:rPr>
          <w:rFonts w:ascii="Arial" w:hAnsi="Arial"/>
          <w:color w:val="525252"/>
          <w:sz w:val="13"/>
        </w:rPr>
        <w:t>Command insignia pin is worn on the wearer’s right</w:t>
      </w:r>
    </w:p>
    <w:p>
      <w:r>
        <w:br w:type="page"/>
      </w:r>
    </w:p>
    <w:p>
      <w:pPr>
        <w:spacing w:after="60"/>
        <w:jc w:val="right"/>
        <w:bidi/>
      </w:pPr>
      <w:r>
        <w:rPr>
          <w:rFonts w:ascii="Arial" w:hAnsi="Arial"/>
          <w:b/>
          <w:color w:val="1F4D78"/>
          <w:sz w:val="19"/>
        </w:rPr>
        <w:t>هفتهٔ 516  |  صفحهٔ منبع: 532</w:t>
      </w:r>
    </w:p>
    <w:p>
      <w:pPr>
        <w:spacing w:after="20" w:line="223" w:lineRule="auto"/>
        <w:jc w:val="right"/>
        <w:bidi/>
      </w:pPr>
      <w:r>
        <w:rPr>
          <w:rFonts w:ascii="Arial" w:hAnsi="Arial"/>
          <w:sz w:val="16"/>
        </w:rPr>
        <w:t>516.01  ، در مرکز ۱/۲ اینچ بالای برچسب نام برای فرماندهان فعلی یا مرکز ۱/۲ اینچ زیر برچسب نام برای فرماندهان فارغ‌التحصیل.</w:t>
      </w:r>
    </w:p>
    <w:p>
      <w:pPr>
        <w:spacing w:after="28" w:line="216" w:lineRule="auto"/>
        <w:ind w:left="259"/>
        <w:jc w:val="left"/>
      </w:pPr>
      <w:r>
        <w:rPr>
          <w:rFonts w:ascii="Arial" w:hAnsi="Arial"/>
          <w:color w:val="525252"/>
          <w:sz w:val="13"/>
        </w:rPr>
        <w:t>side, centered 1/2-inch above the name tag for current commanders or centered 1/2-inch below name tag for graduated commanders.</w:t>
      </w:r>
    </w:p>
    <w:p>
      <w:pPr>
        <w:spacing w:after="20" w:line="223" w:lineRule="auto"/>
        <w:jc w:val="right"/>
        <w:bidi/>
      </w:pPr>
      <w:r>
        <w:rPr>
          <w:rFonts w:ascii="Arial" w:hAnsi="Arial"/>
          <w:sz w:val="16"/>
        </w:rPr>
        <w:t>516.02  اگر از یک نشان وظیفه با پین نشان فرمان استفاده می‌کنید، (فرماندهان فعلی) نشان وظیفه مرکزی ۱/۲ اینچ بالاتر از پین نشان فرمان.</w:t>
      </w:r>
    </w:p>
    <w:p>
      <w:pPr>
        <w:spacing w:after="28" w:line="216" w:lineRule="auto"/>
        <w:ind w:left="259"/>
        <w:jc w:val="left"/>
      </w:pPr>
      <w:r>
        <w:rPr>
          <w:rFonts w:ascii="Arial" w:hAnsi="Arial"/>
          <w:color w:val="525252"/>
          <w:sz w:val="13"/>
        </w:rPr>
        <w:t>If wearing one duty badge with command insignia pin, (current commanders) center duty badge 1/2-inch above command insignia pin.</w:t>
      </w:r>
    </w:p>
    <w:p>
      <w:pPr>
        <w:spacing w:after="20" w:line="223" w:lineRule="auto"/>
        <w:jc w:val="right"/>
        <w:bidi/>
      </w:pPr>
      <w:r>
        <w:rPr>
          <w:rFonts w:ascii="Arial" w:hAnsi="Arial"/>
          <w:sz w:val="16"/>
        </w:rPr>
        <w:t>516.03  اگر دو نشان وظیفه و پین نشان فرمان (جاری) با هم پوشیده شده‌اند، پین نشان فرمان را ۱/۲ اینچ بالای برچسب نام قرار دهید و هر دو نشان وظیفه را ۱/۲ اینچ بالای پین نشان فرمان، در مرکز و با فاصله ۱/۲ اینچ از هم قرار دهید.</w:t>
      </w:r>
    </w:p>
    <w:p>
      <w:pPr>
        <w:spacing w:after="28" w:line="216" w:lineRule="auto"/>
        <w:ind w:left="259"/>
        <w:jc w:val="left"/>
      </w:pPr>
      <w:r>
        <w:rPr>
          <w:rFonts w:ascii="Arial" w:hAnsi="Arial"/>
          <w:color w:val="525252"/>
          <w:sz w:val="13"/>
        </w:rPr>
        <w:t>If two duty badges and the (current) command insignia pin are worn together, place command insignia pin 1/2-inch above name tag and place both duty badges 1/2-inch above command insignia pin, centered and spaced 1/2-inch apart.</w:t>
      </w:r>
    </w:p>
    <w:p>
      <w:pPr>
        <w:spacing w:after="20" w:line="223" w:lineRule="auto"/>
        <w:jc w:val="right"/>
        <w:bidi/>
      </w:pPr>
      <w:r>
        <w:rPr>
          <w:rFonts w:ascii="Arial" w:hAnsi="Arial"/>
          <w:sz w:val="16"/>
        </w:rPr>
        <w:t>516.04  اگر از سه نشان وظیفه با پین نشان فرمان (فرماندهان فعلی) استفاده می‌کنید، نشان سوم را ۱/۲ اینچ بالا و در مرکز دو نشان وظیفه اول اضافه کنید.</w:t>
      </w:r>
    </w:p>
    <w:p>
      <w:pPr>
        <w:spacing w:after="28" w:line="216" w:lineRule="auto"/>
        <w:ind w:left="259"/>
        <w:jc w:val="left"/>
      </w:pPr>
      <w:r>
        <w:rPr>
          <w:rFonts w:ascii="Arial" w:hAnsi="Arial"/>
          <w:color w:val="525252"/>
          <w:sz w:val="13"/>
        </w:rPr>
        <w:t>If wearing three duty badges with command insignia pin (current commanders), add the third badge 1/2-inch above and centered on the first two duty badges.</w:t>
      </w:r>
    </w:p>
    <w:p>
      <w:pPr>
        <w:spacing w:after="20" w:line="223" w:lineRule="auto"/>
        <w:jc w:val="right"/>
        <w:bidi/>
      </w:pPr>
      <w:r>
        <w:rPr>
          <w:rFonts w:ascii="Arial" w:hAnsi="Arial"/>
          <w:sz w:val="16"/>
        </w:rPr>
        <w:t>516.05  پین نشان فرماندهی برای فرماندهان فعلی در تمام لباس‌های آبی اجباری است و ممکن است توسط همه افسران واجد شرایط در درجه سرهنگ (و-۶) و پایین‌تر استفاده شود.</w:t>
      </w:r>
    </w:p>
    <w:p>
      <w:pPr>
        <w:spacing w:after="28" w:line="216" w:lineRule="auto"/>
        <w:ind w:left="259"/>
        <w:jc w:val="left"/>
      </w:pPr>
      <w:r>
        <w:rPr>
          <w:rFonts w:ascii="Arial" w:hAnsi="Arial"/>
          <w:color w:val="525252"/>
          <w:sz w:val="13"/>
        </w:rPr>
        <w:t>The command insignia pin is mandatory for current commanders on all blue uniforms and may be worn by all eligible commissioned officers in the rank of Colonel (O-6) and below.</w:t>
      </w:r>
    </w:p>
    <w:p>
      <w:pPr>
        <w:spacing w:after="20" w:line="223" w:lineRule="auto"/>
        <w:jc w:val="right"/>
        <w:bidi/>
      </w:pPr>
      <w:r>
        <w:rPr>
          <w:rFonts w:ascii="Arial" w:hAnsi="Arial"/>
          <w:sz w:val="16"/>
        </w:rPr>
        <w:t>516.06  لباس فرم سرویس (کلاس ب) (مردان).</w:t>
      </w:r>
    </w:p>
    <w:p>
      <w:pPr>
        <w:spacing w:after="28" w:line="216" w:lineRule="auto"/>
        <w:ind w:left="259"/>
        <w:jc w:val="left"/>
      </w:pPr>
      <w:r>
        <w:rPr>
          <w:rFonts w:ascii="Arial" w:hAnsi="Arial"/>
          <w:color w:val="525252"/>
          <w:sz w:val="13"/>
        </w:rPr>
        <w:t>Service uniform (Class B) (males).</w:t>
      </w:r>
    </w:p>
    <w:p>
      <w:pPr>
        <w:spacing w:after="20" w:line="223" w:lineRule="auto"/>
        <w:jc w:val="right"/>
        <w:bidi/>
      </w:pPr>
      <w:r>
        <w:rPr>
          <w:rFonts w:ascii="Arial" w:hAnsi="Arial"/>
          <w:sz w:val="16"/>
        </w:rPr>
        <w:t>516.07  در صورت پوشیدن، نشان‌های وظیفه از نظر اندازه مینیاتوری خواهند بود.</w:t>
      </w:r>
    </w:p>
    <w:p>
      <w:pPr>
        <w:spacing w:after="28" w:line="216" w:lineRule="auto"/>
        <w:ind w:left="259"/>
        <w:jc w:val="left"/>
      </w:pPr>
      <w:r>
        <w:rPr>
          <w:rFonts w:ascii="Arial" w:hAnsi="Arial"/>
          <w:color w:val="525252"/>
          <w:sz w:val="13"/>
        </w:rPr>
        <w:t>If worn, duty badges will be miniature in size.</w:t>
      </w:r>
    </w:p>
    <w:p>
      <w:pPr>
        <w:spacing w:after="20" w:line="223" w:lineRule="auto"/>
        <w:jc w:val="right"/>
        <w:bidi/>
      </w:pPr>
      <w:r>
        <w:rPr>
          <w:rFonts w:ascii="Arial" w:hAnsi="Arial"/>
          <w:sz w:val="16"/>
        </w:rPr>
        <w:t>516.08  اولین نشان وظیفه در قسمت پایینی جیب چپ کاربر، بین لبه‌های چپ و راست و لبه و جیب پایینی قرار می‌گیرد.</w:t>
      </w:r>
    </w:p>
    <w:p>
      <w:pPr>
        <w:spacing w:after="28" w:line="216" w:lineRule="auto"/>
        <w:ind w:left="259"/>
        <w:jc w:val="left"/>
      </w:pPr>
      <w:r>
        <w:rPr>
          <w:rFonts w:ascii="Arial" w:hAnsi="Arial"/>
          <w:color w:val="525252"/>
          <w:sz w:val="13"/>
        </w:rPr>
        <w:t>The first duty badge will be centered on the lower portion of the wearer’s left pocket, between the left and right edges and bottom flap and pocket.</w:t>
      </w:r>
    </w:p>
    <w:p>
      <w:pPr>
        <w:spacing w:after="20" w:line="223" w:lineRule="auto"/>
        <w:jc w:val="right"/>
        <w:bidi/>
      </w:pPr>
      <w:r>
        <w:rPr>
          <w:rFonts w:ascii="Arial" w:hAnsi="Arial"/>
          <w:sz w:val="16"/>
        </w:rPr>
        <w:t>516.09  نشان دوم در سمت راست پوشنده در همان موقعیت نسبی نشان پوشیده شده در سمت چپ پوشنده، بین لبه‌های چپ و راست و لبه پایین و جیب پوشیده می‌شود.</w:t>
      </w:r>
    </w:p>
    <w:p>
      <w:pPr>
        <w:spacing w:after="28" w:line="216" w:lineRule="auto"/>
        <w:ind w:left="259"/>
        <w:jc w:val="left"/>
      </w:pPr>
      <w:r>
        <w:rPr>
          <w:rFonts w:ascii="Arial" w:hAnsi="Arial"/>
          <w:color w:val="525252"/>
          <w:sz w:val="13"/>
        </w:rPr>
        <w:t>The second badge will be worn on the wearer’s right in the same relative position as the badge worn on the wearer’s left, between the left and right edges and bottom flap and pocket.</w:t>
      </w:r>
    </w:p>
    <w:p>
      <w:pPr>
        <w:spacing w:after="20" w:line="223" w:lineRule="auto"/>
        <w:jc w:val="right"/>
        <w:bidi/>
      </w:pPr>
      <w:r>
        <w:rPr>
          <w:rFonts w:ascii="Arial" w:hAnsi="Arial"/>
          <w:sz w:val="16"/>
        </w:rPr>
        <w:t>516.10  در صورت مجاز، نشان سوم را ۱/۲ اینچ بالای برچسب نام وسط قرار دهید.</w:t>
      </w:r>
    </w:p>
    <w:p>
      <w:pPr>
        <w:spacing w:after="28" w:line="216" w:lineRule="auto"/>
        <w:ind w:left="259"/>
        <w:jc w:val="left"/>
      </w:pPr>
      <w:r>
        <w:rPr>
          <w:rFonts w:ascii="Arial" w:hAnsi="Arial"/>
          <w:color w:val="525252"/>
          <w:sz w:val="13"/>
        </w:rPr>
        <w:t>If authorized, center a third badge 1/2-inch above the name tag.</w:t>
      </w:r>
    </w:p>
    <w:p>
      <w:pPr>
        <w:spacing w:after="20" w:line="223" w:lineRule="auto"/>
        <w:jc w:val="right"/>
        <w:bidi/>
      </w:pPr>
      <w:r>
        <w:rPr>
          <w:rFonts w:ascii="Arial" w:hAnsi="Arial"/>
          <w:sz w:val="16"/>
        </w:rPr>
        <w:t>516.11  در صورت پوشیده شدن، نشان موشک فقط در سمت چپ، جیب چپ، بین لبه‌های چپ و راست و لبه و جیب پایینی پوشنده قرار می‌گیرد.</w:t>
      </w:r>
    </w:p>
    <w:p>
      <w:pPr>
        <w:spacing w:after="28" w:line="216" w:lineRule="auto"/>
        <w:ind w:left="259"/>
        <w:jc w:val="left"/>
      </w:pPr>
      <w:r>
        <w:rPr>
          <w:rFonts w:ascii="Arial" w:hAnsi="Arial"/>
          <w:color w:val="525252"/>
          <w:sz w:val="13"/>
        </w:rPr>
        <w:t>If worn, the missile badge will only be worn on the wearer’s left, left pocket, between the left and right edges and bottom flap and pocket.</w:t>
      </w:r>
    </w:p>
    <w:p>
      <w:pPr>
        <w:spacing w:after="20" w:line="223" w:lineRule="auto"/>
        <w:jc w:val="right"/>
        <w:bidi/>
      </w:pPr>
      <w:r>
        <w:rPr>
          <w:rFonts w:ascii="Arial" w:hAnsi="Arial"/>
          <w:sz w:val="16"/>
        </w:rPr>
        <w:t>516.12  نشان برتری در مسابقه در مرکز لبه بالای جیب چپ پوشیده می‌شود.</w:t>
      </w:r>
    </w:p>
    <w:p>
      <w:pPr>
        <w:spacing w:after="28" w:line="216" w:lineRule="auto"/>
        <w:ind w:left="259"/>
        <w:jc w:val="left"/>
      </w:pPr>
      <w:r>
        <w:rPr>
          <w:rFonts w:ascii="Arial" w:hAnsi="Arial"/>
          <w:color w:val="525252"/>
          <w:sz w:val="13"/>
        </w:rPr>
        <w:t>Excellence-in-competition badge is worn centered on top edge of left pocket flap.</w:t>
      </w:r>
    </w:p>
    <w:p>
      <w:pPr>
        <w:spacing w:after="20" w:line="223" w:lineRule="auto"/>
        <w:jc w:val="right"/>
        <w:bidi/>
      </w:pPr>
      <w:r>
        <w:rPr>
          <w:rFonts w:ascii="Arial" w:hAnsi="Arial"/>
          <w:sz w:val="16"/>
        </w:rPr>
        <w:t>516.13  پین نشان فرمان در سمت راست کاربر پوشیده شده است، در مرکز ۱/۲ اینچ بالای برچسب نام برای فرماندهان فعلی، در مرکز زیر برچسب نام بین برچسب نام و دکمه فلپ جیب سمت راست برای فرماندهان درجه‌بندی شده قرار دارد.</w:t>
      </w:r>
    </w:p>
    <w:p>
      <w:pPr>
        <w:spacing w:after="28" w:line="216" w:lineRule="auto"/>
        <w:ind w:left="259"/>
        <w:jc w:val="left"/>
      </w:pPr>
      <w:r>
        <w:rPr>
          <w:rFonts w:ascii="Arial" w:hAnsi="Arial"/>
          <w:color w:val="525252"/>
          <w:sz w:val="13"/>
        </w:rPr>
        <w:t>Command insignia pin is worn on the wearer’s right side, centered 1/2-inch above the name tag for current commanders, centered below the name tag between the name tag and the button of the right pocket flap for graduated commanders.</w:t>
      </w:r>
    </w:p>
    <w:p>
      <w:pPr>
        <w:spacing w:after="20" w:line="223" w:lineRule="auto"/>
        <w:jc w:val="right"/>
        <w:bidi/>
      </w:pPr>
      <w:r>
        <w:rPr>
          <w:rFonts w:ascii="Arial" w:hAnsi="Arial"/>
          <w:sz w:val="16"/>
        </w:rPr>
        <w:t>516.14  اگر نشان وظیفه در سمت راست پوشنده با پین نشان فرمان، نشان وظیفه مرکزی ۱/۲ اینچ بالای پین نشان فرمان (فرمانده فعلی) یا نشان وظیفه مرکزی ۱/۲ اینچ زیر پین نشان فرمان بین لبه‌های چپ و راست و پایین، فلپ و جیب درجه‌دار پایینی پوشیده می‌شود.</w:t>
      </w:r>
    </w:p>
    <w:p>
      <w:pPr>
        <w:spacing w:after="28" w:line="216" w:lineRule="auto"/>
        <w:ind w:left="259"/>
        <w:jc w:val="left"/>
      </w:pPr>
      <w:r>
        <w:rPr>
          <w:rFonts w:ascii="Arial" w:hAnsi="Arial"/>
          <w:color w:val="525252"/>
          <w:sz w:val="13"/>
        </w:rPr>
        <w:t>If duty badge is worn on the wearer’s right side with command insignia pin, center duty badge 1/2-inch above command insignia pin (current commander) or center duty badge 1/2-inch below command insignia pin between the left and right edges and the bottom flap and pocket, for graduated commander.</w:t>
      </w:r>
    </w:p>
    <w:p>
      <w:pPr>
        <w:spacing w:after="20" w:line="223" w:lineRule="auto"/>
        <w:jc w:val="right"/>
        <w:bidi/>
      </w:pPr>
      <w:r>
        <w:rPr>
          <w:rFonts w:ascii="Arial" w:hAnsi="Arial"/>
          <w:sz w:val="16"/>
        </w:rPr>
        <w:t>516.15  پین نشان فرماندهی برای فرماندهان فعلی در تمام لباس‌های آبی اجباری است و ممکن است توسط همه افسران واجد شرایط در درجه سرهنگ (و-۶) و پایین‌تر استفاده شود.</w:t>
      </w:r>
    </w:p>
    <w:p>
      <w:pPr>
        <w:spacing w:after="28" w:line="216" w:lineRule="auto"/>
        <w:ind w:left="259"/>
        <w:jc w:val="left"/>
      </w:pPr>
      <w:r>
        <w:rPr>
          <w:rFonts w:ascii="Arial" w:hAnsi="Arial"/>
          <w:color w:val="525252"/>
          <w:sz w:val="13"/>
        </w:rPr>
        <w:t>The command insignia pin is mandatory for current commanders on all blue uniforms and may be worn by all eligible commissioned officers in the rank of Colonel (O-6) and below.</w:t>
      </w:r>
    </w:p>
    <w:p>
      <w:pPr>
        <w:spacing w:after="20" w:line="223" w:lineRule="auto"/>
        <w:jc w:val="right"/>
        <w:bidi/>
      </w:pPr>
      <w:r>
        <w:rPr>
          <w:rFonts w:ascii="Arial" w:hAnsi="Arial"/>
          <w:sz w:val="16"/>
        </w:rPr>
        <w:t>516.16  لباس خدمت (کلاس ب) (زنان).</w:t>
      </w:r>
    </w:p>
    <w:p>
      <w:pPr>
        <w:spacing w:after="28" w:line="216" w:lineRule="auto"/>
        <w:ind w:left="259"/>
        <w:jc w:val="left"/>
      </w:pPr>
      <w:r>
        <w:rPr>
          <w:rFonts w:ascii="Arial" w:hAnsi="Arial"/>
          <w:color w:val="525252"/>
          <w:sz w:val="13"/>
        </w:rPr>
        <w:t>Service uniform (Class B) (females).</w:t>
      </w:r>
    </w:p>
    <w:p>
      <w:pPr>
        <w:spacing w:after="20" w:line="223" w:lineRule="auto"/>
        <w:jc w:val="right"/>
        <w:bidi/>
      </w:pPr>
      <w:r>
        <w:rPr>
          <w:rFonts w:ascii="Arial" w:hAnsi="Arial"/>
          <w:sz w:val="16"/>
        </w:rPr>
        <w:t>516.17  در صورت پوشیدن، نشان‌های وظیفه از نظر اندازه مینیاتوری خواهند بود.</w:t>
      </w:r>
    </w:p>
    <w:p>
      <w:pPr>
        <w:spacing w:after="28" w:line="216" w:lineRule="auto"/>
        <w:ind w:left="259"/>
        <w:jc w:val="left"/>
      </w:pPr>
      <w:r>
        <w:rPr>
          <w:rFonts w:ascii="Arial" w:hAnsi="Arial"/>
          <w:color w:val="525252"/>
          <w:sz w:val="13"/>
        </w:rPr>
        <w:t>If worn, duty badges will be miniature in size.</w:t>
      </w:r>
    </w:p>
    <w:p>
      <w:pPr>
        <w:spacing w:after="20" w:line="223" w:lineRule="auto"/>
        <w:jc w:val="right"/>
        <w:bidi/>
      </w:pPr>
      <w:r>
        <w:rPr>
          <w:rFonts w:ascii="Arial" w:hAnsi="Arial"/>
          <w:sz w:val="16"/>
        </w:rPr>
        <w:t>516.18  اولین نشان وظیفه در مرکز سمت راست پوشنده ۱/۲ اینچ بالای برچسب نام قرار خواهد گرفت.</w:t>
      </w:r>
    </w:p>
    <w:p>
      <w:pPr>
        <w:spacing w:after="28" w:line="216" w:lineRule="auto"/>
        <w:ind w:left="259"/>
        <w:jc w:val="left"/>
      </w:pPr>
      <w:r>
        <w:rPr>
          <w:rFonts w:ascii="Arial" w:hAnsi="Arial"/>
          <w:color w:val="525252"/>
          <w:sz w:val="13"/>
        </w:rPr>
        <w:t>The first duty badge will be centered on the wearer’s right 1/2-inch above the name tag.</w:t>
      </w:r>
    </w:p>
    <w:p>
      <w:pPr>
        <w:spacing w:after="20" w:line="223" w:lineRule="auto"/>
        <w:jc w:val="right"/>
        <w:bidi/>
      </w:pPr>
      <w:r>
        <w:rPr>
          <w:rFonts w:ascii="Arial" w:hAnsi="Arial"/>
          <w:sz w:val="16"/>
        </w:rPr>
        <w:t>516.19  نشان دوم ۱/۲ اینچ بالای برچسب نام پوشیده می‌شود و در مرکز قرار می‌گیرد و با نشان اول ۱/۲ اینچ فاصله دارد.</w:t>
      </w:r>
    </w:p>
    <w:p>
      <w:pPr>
        <w:spacing w:after="28" w:line="216" w:lineRule="auto"/>
        <w:ind w:left="259"/>
        <w:jc w:val="left"/>
      </w:pPr>
      <w:r>
        <w:rPr>
          <w:rFonts w:ascii="Arial" w:hAnsi="Arial"/>
          <w:color w:val="525252"/>
          <w:sz w:val="13"/>
        </w:rPr>
        <w:t>The second badge will be worn 1/2-inch above the name tag and centered and spaced 1/2-inch apart from the first badge.</w:t>
      </w:r>
    </w:p>
    <w:p>
      <w:pPr>
        <w:spacing w:after="20" w:line="223" w:lineRule="auto"/>
        <w:jc w:val="right"/>
        <w:bidi/>
      </w:pPr>
      <w:r>
        <w:rPr>
          <w:rFonts w:ascii="Arial" w:hAnsi="Arial"/>
          <w:sz w:val="16"/>
        </w:rPr>
        <w:t>516.20  نشان وظیفه سوم ۱/۲ اینچ بالا و در مرکز دو نشان وظیفه اول خواهد بود.</w:t>
      </w:r>
    </w:p>
    <w:p>
      <w:pPr>
        <w:spacing w:after="28" w:line="216" w:lineRule="auto"/>
        <w:ind w:left="259"/>
        <w:jc w:val="left"/>
      </w:pPr>
      <w:r>
        <w:rPr>
          <w:rFonts w:ascii="Arial" w:hAnsi="Arial"/>
          <w:color w:val="525252"/>
          <w:sz w:val="13"/>
        </w:rPr>
        <w:t>The third duty badge will be 1/2-inch above and centered on the first two duty badges.</w:t>
      </w:r>
    </w:p>
    <w:p>
      <w:pPr>
        <w:spacing w:after="20" w:line="223" w:lineRule="auto"/>
        <w:jc w:val="right"/>
        <w:bidi/>
      </w:pPr>
      <w:r>
        <w:rPr>
          <w:rFonts w:ascii="Arial" w:hAnsi="Arial"/>
          <w:sz w:val="16"/>
        </w:rPr>
        <w:t>516.21  اگر نشان(های) وظیفه پوشیده شده باشد، نشان(های) موشک یا برتری در مسابقه فقط در سمت چپ پوشنده، ۱ ۱/۲ اینچ زیر پایین روبان‌ها (در صورت پوشیدن) و در مرکز قرار می‌گیرد.</w:t>
      </w:r>
    </w:p>
    <w:p>
      <w:pPr>
        <w:spacing w:after="28" w:line="216" w:lineRule="auto"/>
        <w:ind w:left="259"/>
        <w:jc w:val="left"/>
      </w:pPr>
      <w:r>
        <w:rPr>
          <w:rFonts w:ascii="Arial" w:hAnsi="Arial"/>
          <w:color w:val="525252"/>
          <w:sz w:val="13"/>
        </w:rPr>
        <w:t>If duty badge(s) are worn, the missile or excellence-in-competition badge(s) will only be worn on the wearer’s left, 1 1/2-inches below the bottom of ribbons (if worn) and centered.</w:t>
      </w:r>
    </w:p>
    <w:p>
      <w:pPr>
        <w:spacing w:after="20" w:line="223" w:lineRule="auto"/>
        <w:jc w:val="right"/>
        <w:bidi/>
      </w:pPr>
      <w:r>
        <w:rPr>
          <w:rFonts w:ascii="Arial" w:hAnsi="Arial"/>
          <w:sz w:val="16"/>
        </w:rPr>
        <w:t>516.22  اگر هیچ نشان(های) وظیفه‌ای پوشیده نشود، نشان موشک و/یا نشان برتری در مسابقه در سمت راست پوشنده، ۱/۲ اینچ بالای برچسب نام پوشیده می‌شود.</w:t>
      </w:r>
    </w:p>
    <w:p>
      <w:pPr>
        <w:spacing w:after="28" w:line="216" w:lineRule="auto"/>
        <w:ind w:left="259"/>
        <w:jc w:val="left"/>
      </w:pPr>
      <w:r>
        <w:rPr>
          <w:rFonts w:ascii="Arial" w:hAnsi="Arial"/>
          <w:color w:val="525252"/>
          <w:sz w:val="13"/>
        </w:rPr>
        <w:t>If no duty badge(s) are worn, the missile badge and/or excellence-in-competition badge is worn on the wearer’s right, 1/2-inch above name tag.</w:t>
      </w:r>
    </w:p>
    <w:p>
      <w:pPr>
        <w:spacing w:after="20" w:line="223" w:lineRule="auto"/>
        <w:jc w:val="right"/>
        <w:bidi/>
      </w:pPr>
      <w:r>
        <w:rPr>
          <w:rFonts w:ascii="Arial" w:hAnsi="Arial"/>
          <w:sz w:val="16"/>
        </w:rPr>
        <w:t>516.23  پین نشان فرمان در سمت راست کاربر پوشیده می‌شود، در مرکز ۱/۲ اینچ بالای برچسب نام برای فرماندهان فعلی یا در مرکز ۱/۲ اینچ زیر برچسب نام برای فرماندهان فارغ‌التحصیل قرار گرفته است.</w:t>
      </w:r>
    </w:p>
    <w:p>
      <w:pPr>
        <w:spacing w:after="28" w:line="216" w:lineRule="auto"/>
        <w:ind w:left="259"/>
        <w:jc w:val="left"/>
      </w:pPr>
      <w:r>
        <w:rPr>
          <w:rFonts w:ascii="Arial" w:hAnsi="Arial"/>
          <w:color w:val="525252"/>
          <w:sz w:val="13"/>
        </w:rPr>
        <w:t>Command insignia pin is worn on the wearer’s right side, centered 1/2-inch above the name tag for current commanders or centered 1/2-inch below name tag for graduated commanders.</w:t>
      </w:r>
    </w:p>
    <w:p>
      <w:pPr>
        <w:spacing w:after="20" w:line="223" w:lineRule="auto"/>
        <w:jc w:val="right"/>
        <w:bidi/>
      </w:pPr>
      <w:r>
        <w:rPr>
          <w:rFonts w:ascii="Arial" w:hAnsi="Arial"/>
          <w:sz w:val="16"/>
        </w:rPr>
        <w:t>516.24  اگر از یک نشان وظیفه با پین نشان فرمان استفاده می‌کنید، (فرماندهان فعلی) نشان وظیفه مرکزی ۱/۲ اینچ بالاتر از پین نشان فرمان.</w:t>
      </w:r>
    </w:p>
    <w:p>
      <w:pPr>
        <w:spacing w:after="28" w:line="216" w:lineRule="auto"/>
        <w:ind w:left="259"/>
        <w:jc w:val="left"/>
      </w:pPr>
      <w:r>
        <w:rPr>
          <w:rFonts w:ascii="Arial" w:hAnsi="Arial"/>
          <w:color w:val="525252"/>
          <w:sz w:val="13"/>
        </w:rPr>
        <w:t>If wearing one duty badge with command insignia pin, (current commanders) center duty badge 1/2-inch above command insignia pin.</w:t>
      </w:r>
    </w:p>
    <w:p>
      <w:pPr>
        <w:spacing w:after="20" w:line="223" w:lineRule="auto"/>
        <w:jc w:val="right"/>
        <w:bidi/>
      </w:pPr>
      <w:r>
        <w:rPr>
          <w:rFonts w:ascii="Arial" w:hAnsi="Arial"/>
          <w:sz w:val="16"/>
        </w:rPr>
        <w:t>516.25  اگر دو نشان وظیفه و پین نشان فرمان (جاری) با هم پوشیده شده‌اند، پین نشان فرمان را ۱/۲ اینچ بالای برچسب نام قرار دهید و هر دو نشان وظیفه را ۱/۲ اینچ بالای پین نشان فرمان، در مرکز و با فاصله ۱/۲ اینچ از هم قرار دهید.</w:t>
      </w:r>
    </w:p>
    <w:p>
      <w:pPr>
        <w:spacing w:after="28" w:line="216" w:lineRule="auto"/>
        <w:ind w:left="259"/>
        <w:jc w:val="left"/>
      </w:pPr>
      <w:r>
        <w:rPr>
          <w:rFonts w:ascii="Arial" w:hAnsi="Arial"/>
          <w:color w:val="525252"/>
          <w:sz w:val="13"/>
        </w:rPr>
        <w:t>If two duty badges and the (current) command insignia pin are worn together, place command insignia pin 1/2-inch above name tag and place both duty badges 1/2-inch above command insignia pin, centered and spaced 1/2-inch apart.</w:t>
      </w:r>
    </w:p>
    <w:p>
      <w:pPr>
        <w:spacing w:after="20" w:line="223" w:lineRule="auto"/>
        <w:jc w:val="right"/>
        <w:bidi/>
      </w:pPr>
      <w:r>
        <w:rPr>
          <w:rFonts w:ascii="Arial" w:hAnsi="Arial"/>
          <w:sz w:val="16"/>
        </w:rPr>
        <w:t>516.26  در صورت استفاده از سه نشان وظیفه با سنجاق نشان فرماندهی (فرماندهان فعلی)، نشان سوم را ۱/۲ اینچ در بالا و در مرکز دو نشان وظیفه اول اضافه کنید. پین نشان فرماندهی برای فرماندهان فعلی اجباری است و ممکن است توسط همه افسران واجد شرایط در درجه سرهنگ و زیر ۶ استفاده شود.</w:t>
      </w:r>
    </w:p>
    <w:p>
      <w:pPr>
        <w:spacing w:after="28" w:line="216" w:lineRule="auto"/>
        <w:ind w:left="259"/>
        <w:jc w:val="left"/>
      </w:pPr>
      <w:r>
        <w:rPr>
          <w:rFonts w:ascii="Arial" w:hAnsi="Arial"/>
          <w:color w:val="525252"/>
          <w:sz w:val="13"/>
        </w:rPr>
        <w:t>If wearing three duty badges with command insignia pin (current commanders), add the third badge 1/2-inch above and centered on the first two duty badges., The command insignia pin is mandatory for current commanders and may be worn by all eligible commissioned officers in the rank of Colonel (O- 6) and below.</w:t>
      </w:r>
    </w:p>
    <w:p>
      <w:pPr>
        <w:spacing w:after="20" w:line="223" w:lineRule="auto"/>
        <w:jc w:val="right"/>
        <w:bidi/>
      </w:pPr>
      <w:r>
        <w:rPr>
          <w:rFonts w:ascii="Arial" w:hAnsi="Arial"/>
          <w:sz w:val="16"/>
        </w:rPr>
        <w:t>516.27  لباس فرم خدمت (کلاس ب) (زایشگاه).</w:t>
      </w:r>
    </w:p>
    <w:p>
      <w:pPr>
        <w:spacing w:after="28" w:line="216" w:lineRule="auto"/>
        <w:ind w:left="259"/>
        <w:jc w:val="left"/>
      </w:pPr>
      <w:r>
        <w:rPr>
          <w:rFonts w:ascii="Arial" w:hAnsi="Arial"/>
          <w:color w:val="525252"/>
          <w:sz w:val="13"/>
        </w:rPr>
        <w:t>Service uniform (Class B) (maternity).</w:t>
      </w:r>
    </w:p>
    <w:p>
      <w:pPr>
        <w:spacing w:after="20" w:line="223" w:lineRule="auto"/>
        <w:jc w:val="right"/>
        <w:bidi/>
      </w:pPr>
      <w:r>
        <w:rPr>
          <w:rFonts w:ascii="Arial" w:hAnsi="Arial"/>
          <w:sz w:val="16"/>
        </w:rPr>
        <w:t>516.28  در صورت پوشیدن، نشان‌های وظیفه از نظر اندازه مینیاتوری خواهند بود.</w:t>
      </w:r>
    </w:p>
    <w:p>
      <w:pPr>
        <w:spacing w:after="28" w:line="216" w:lineRule="auto"/>
        <w:ind w:left="259"/>
        <w:jc w:val="left"/>
      </w:pPr>
      <w:r>
        <w:rPr>
          <w:rFonts w:ascii="Arial" w:hAnsi="Arial"/>
          <w:color w:val="525252"/>
          <w:sz w:val="13"/>
        </w:rPr>
        <w:t>If worn, duty badges will be miniature in size.</w:t>
      </w:r>
    </w:p>
    <w:p>
      <w:pPr>
        <w:spacing w:after="20" w:line="223" w:lineRule="auto"/>
        <w:jc w:val="right"/>
        <w:bidi/>
      </w:pPr>
      <w:r>
        <w:rPr>
          <w:rFonts w:ascii="Arial" w:hAnsi="Arial"/>
          <w:sz w:val="16"/>
        </w:rPr>
        <w:t>516.29  اولین نشان وظیفه در مرکز سمت راست پوشنده ۱/۲ اینچ بالای برچسب نام قرار خواهد گرفت.</w:t>
      </w:r>
    </w:p>
    <w:p>
      <w:pPr>
        <w:spacing w:after="28" w:line="216" w:lineRule="auto"/>
        <w:ind w:left="259"/>
        <w:jc w:val="left"/>
      </w:pPr>
      <w:r>
        <w:rPr>
          <w:rFonts w:ascii="Arial" w:hAnsi="Arial"/>
          <w:color w:val="525252"/>
          <w:sz w:val="13"/>
        </w:rPr>
        <w:t>The first duty badge will be centered on the wearer’s right 1/2-inch above the name tag.</w:t>
      </w:r>
    </w:p>
    <w:p>
      <w:pPr>
        <w:spacing w:after="20" w:line="223" w:lineRule="auto"/>
        <w:jc w:val="right"/>
        <w:bidi/>
      </w:pPr>
      <w:r>
        <w:rPr>
          <w:rFonts w:ascii="Arial" w:hAnsi="Arial"/>
          <w:sz w:val="16"/>
        </w:rPr>
        <w:t>516.30  نشان دوم ۱/۲ اینچ بالای برچسب نام پوشیده می‌شود و در مرکز قرار می‌گیرد و با نشان اول ۱/۲ اینچ فاصله دارد.</w:t>
      </w:r>
    </w:p>
    <w:p>
      <w:pPr>
        <w:spacing w:after="28" w:line="216" w:lineRule="auto"/>
        <w:ind w:left="259"/>
        <w:jc w:val="left"/>
      </w:pPr>
      <w:r>
        <w:rPr>
          <w:rFonts w:ascii="Arial" w:hAnsi="Arial"/>
          <w:color w:val="525252"/>
          <w:sz w:val="13"/>
        </w:rPr>
        <w:t>The second badge will be worn 1/2-inch above the name tag and centered and spaced 1/2-inch apart from the first badge.</w:t>
      </w:r>
    </w:p>
    <w:p>
      <w:pPr>
        <w:spacing w:after="20" w:line="223" w:lineRule="auto"/>
        <w:jc w:val="right"/>
        <w:bidi/>
      </w:pPr>
      <w:r>
        <w:rPr>
          <w:rFonts w:ascii="Arial" w:hAnsi="Arial"/>
          <w:sz w:val="16"/>
        </w:rPr>
        <w:t>516.31  نشان وظیفه سوم ۱/۲ اینچ بالا و در مرکز دو نشان وظیفه اول خواهد بود.</w:t>
      </w:r>
    </w:p>
    <w:p>
      <w:pPr>
        <w:spacing w:after="28" w:line="216" w:lineRule="auto"/>
        <w:ind w:left="259"/>
        <w:jc w:val="left"/>
      </w:pPr>
      <w:r>
        <w:rPr>
          <w:rFonts w:ascii="Arial" w:hAnsi="Arial"/>
          <w:color w:val="525252"/>
          <w:sz w:val="13"/>
        </w:rPr>
        <w:t>The third duty badge will be 1/2-inch above and centered on the first two duty badges.</w:t>
      </w:r>
    </w:p>
    <w:p>
      <w:pPr>
        <w:spacing w:after="20" w:line="223" w:lineRule="auto"/>
        <w:jc w:val="right"/>
        <w:bidi/>
      </w:pPr>
      <w:r>
        <w:rPr>
          <w:rFonts w:ascii="Arial" w:hAnsi="Arial"/>
          <w:sz w:val="16"/>
        </w:rPr>
        <w:t>516.32  اگر نشان(های) وظیفه پوشیده شده باشد، نشان(های) موشک یا برتری در مسابقه فقط در سمت چپ پوشنده، ۱ ۱/۲ اینچ زیر پایین روبان‌ها (در صورت پوشیدن) و در مرکز قرار می‌گیرد.</w:t>
      </w:r>
    </w:p>
    <w:p>
      <w:pPr>
        <w:spacing w:after="28" w:line="216" w:lineRule="auto"/>
        <w:ind w:left="259"/>
        <w:jc w:val="left"/>
      </w:pPr>
      <w:r>
        <w:rPr>
          <w:rFonts w:ascii="Arial" w:hAnsi="Arial"/>
          <w:color w:val="525252"/>
          <w:sz w:val="13"/>
        </w:rPr>
        <w:t>If duty badge(s) are worn, the missile or excellence-in-competition badge(s) will only be worn on the wearer’s left, 1 1/2-inches below the bottom of ribbons (if worn) and centered.</w:t>
      </w:r>
    </w:p>
    <w:p>
      <w:r>
        <w:br w:type="page"/>
      </w:r>
    </w:p>
    <w:p>
      <w:pPr>
        <w:spacing w:after="60"/>
        <w:jc w:val="right"/>
        <w:bidi/>
      </w:pPr>
      <w:r>
        <w:rPr>
          <w:rFonts w:ascii="Arial" w:hAnsi="Arial"/>
          <w:b/>
          <w:color w:val="1F4D78"/>
          <w:sz w:val="19"/>
        </w:rPr>
        <w:t>هفتهٔ 517  |  صفحهٔ منبع: 533</w:t>
      </w:r>
    </w:p>
    <w:p>
      <w:pPr>
        <w:spacing w:after="20" w:line="223" w:lineRule="auto"/>
        <w:jc w:val="right"/>
        <w:bidi/>
      </w:pPr>
      <w:r>
        <w:rPr>
          <w:rFonts w:ascii="Arial" w:hAnsi="Arial"/>
          <w:sz w:val="16"/>
        </w:rPr>
        <w:t>517.01  اگر هیچ نشان(های) وظیفه‌ای پوشیده نشود، نشان موشک و/یا نشان برتری در مسابقه در سمت راست پوشنده، ۱/۲ اینچ بالای برچسب نام پوشیده می‌شود.</w:t>
      </w:r>
    </w:p>
    <w:p>
      <w:pPr>
        <w:spacing w:after="28" w:line="216" w:lineRule="auto"/>
        <w:ind w:left="259"/>
        <w:jc w:val="left"/>
      </w:pPr>
      <w:r>
        <w:rPr>
          <w:rFonts w:ascii="Arial" w:hAnsi="Arial"/>
          <w:color w:val="525252"/>
          <w:sz w:val="13"/>
        </w:rPr>
        <w:t>If no duty badge(s) are worn, the missile badge and/or excellence-in-competition badge is worn on the wearer’s right, 1/2-inch above name tag.</w:t>
      </w:r>
    </w:p>
    <w:p>
      <w:pPr>
        <w:spacing w:after="20" w:line="223" w:lineRule="auto"/>
        <w:jc w:val="right"/>
        <w:bidi/>
      </w:pPr>
      <w:r>
        <w:rPr>
          <w:rFonts w:ascii="Arial" w:hAnsi="Arial"/>
          <w:sz w:val="16"/>
        </w:rPr>
        <w:t>517.02  پین نشان فرمان در سمت راست کاربر پوشیده می‌شود، در مرکز ۱/۲ اینچ بالای برچسب نام برای فرماندهان فعلی یا در مرکز ۱/۲ اینچ زیر برچسب نام برای فرماندهان فارغ‌التحصیل قرار گرفته است.</w:t>
      </w:r>
    </w:p>
    <w:p>
      <w:pPr>
        <w:spacing w:after="28" w:line="216" w:lineRule="auto"/>
        <w:ind w:left="259"/>
        <w:jc w:val="left"/>
      </w:pPr>
      <w:r>
        <w:rPr>
          <w:rFonts w:ascii="Arial" w:hAnsi="Arial"/>
          <w:color w:val="525252"/>
          <w:sz w:val="13"/>
        </w:rPr>
        <w:t>Command insignia pin is worn on the wearer’s right side, centered 1/2-inch above the name tag for current commanders or centered 1/2-inch below name tag for graduated commanders.</w:t>
      </w:r>
    </w:p>
    <w:p>
      <w:pPr>
        <w:spacing w:after="20" w:line="223" w:lineRule="auto"/>
        <w:jc w:val="right"/>
        <w:bidi/>
      </w:pPr>
      <w:r>
        <w:rPr>
          <w:rFonts w:ascii="Arial" w:hAnsi="Arial"/>
          <w:sz w:val="16"/>
        </w:rPr>
        <w:t>517.03  اگر از یک نشان وظیفه با پین نشان فرمان، فرماندهان فعلی استفاده می‌کنید) نشان وظیفه مرکزی ۱/۲ اینچ بالای پین نشان فرمان.</w:t>
      </w:r>
    </w:p>
    <w:p>
      <w:pPr>
        <w:spacing w:after="28" w:line="216" w:lineRule="auto"/>
        <w:ind w:left="259"/>
        <w:jc w:val="left"/>
      </w:pPr>
      <w:r>
        <w:rPr>
          <w:rFonts w:ascii="Arial" w:hAnsi="Arial"/>
          <w:color w:val="525252"/>
          <w:sz w:val="13"/>
        </w:rPr>
        <w:t>If wearing one duty badge with command insignia pin, current commanders) center duty badge 1/2-inch above command insignia pin.</w:t>
      </w:r>
    </w:p>
    <w:p>
      <w:pPr>
        <w:spacing w:after="20" w:line="223" w:lineRule="auto"/>
        <w:jc w:val="right"/>
        <w:bidi/>
      </w:pPr>
      <w:r>
        <w:rPr>
          <w:rFonts w:ascii="Arial" w:hAnsi="Arial"/>
          <w:sz w:val="16"/>
        </w:rPr>
        <w:t>517.04  اگر دو نشان وظیفه و پین نشان فرمان (جاری) با هم پوشیده شده‌اند، پین نشان فرمان را ۱/۲ اینچ بالای برچسب نام قرار دهید و هر دو نشان وظیفه را ۱/۲ اینچ بالای پین نشان فرمان، در مرکز و با فاصله ۱/۲ اینچ از هم قرار دهید.</w:t>
      </w:r>
    </w:p>
    <w:p>
      <w:pPr>
        <w:spacing w:after="28" w:line="216" w:lineRule="auto"/>
        <w:ind w:left="259"/>
        <w:jc w:val="left"/>
      </w:pPr>
      <w:r>
        <w:rPr>
          <w:rFonts w:ascii="Arial" w:hAnsi="Arial"/>
          <w:color w:val="525252"/>
          <w:sz w:val="13"/>
        </w:rPr>
        <w:t>If two duty badges and the (current) command insignia pin are worn together, place command insignia pin 1/2-inch above name tag and place both duty badges 1/2-inch above command insignia pin, centered and spaced 1/2-inch apart.</w:t>
      </w:r>
    </w:p>
    <w:p>
      <w:pPr>
        <w:spacing w:after="20" w:line="223" w:lineRule="auto"/>
        <w:jc w:val="right"/>
        <w:bidi/>
      </w:pPr>
      <w:r>
        <w:rPr>
          <w:rFonts w:ascii="Arial" w:hAnsi="Arial"/>
          <w:sz w:val="16"/>
        </w:rPr>
        <w:t>517.05  اگر از سه نشان وظیفه با پین نشان فرمان (فرماندهان فعلی) استفاده می‌کنید، نشان سوم را ۱/۲ اینچ بالا و در مرکز دو نشان وظیفه اول اضافه کنید.</w:t>
      </w:r>
    </w:p>
    <w:p>
      <w:pPr>
        <w:spacing w:after="28" w:line="216" w:lineRule="auto"/>
        <w:ind w:left="259"/>
        <w:jc w:val="left"/>
      </w:pPr>
      <w:r>
        <w:rPr>
          <w:rFonts w:ascii="Arial" w:hAnsi="Arial"/>
          <w:color w:val="525252"/>
          <w:sz w:val="13"/>
        </w:rPr>
        <w:t>If wearing three duty badges with command insignia pin (current commanders), add the third badge 1/2-inch above and centered on the first two duty badges.</w:t>
      </w:r>
    </w:p>
    <w:p>
      <w:pPr>
        <w:spacing w:after="20" w:line="223" w:lineRule="auto"/>
        <w:jc w:val="right"/>
        <w:bidi/>
      </w:pPr>
      <w:r>
        <w:rPr>
          <w:rFonts w:ascii="Arial" w:hAnsi="Arial"/>
          <w:sz w:val="16"/>
        </w:rPr>
        <w:t>517.06  پین نشان فرماندهی برای فرماندهان فعلی در تمام لباس‌های آبی اجباری است و ممکن است توسط همه افسران واجد شرایط در درجه سرهنگ (و-۶) و پایین‌تر استفاده شود.</w:t>
      </w:r>
    </w:p>
    <w:p>
      <w:pPr>
        <w:spacing w:after="28" w:line="216" w:lineRule="auto"/>
        <w:ind w:left="259"/>
        <w:jc w:val="left"/>
      </w:pPr>
      <w:r>
        <w:rPr>
          <w:rFonts w:ascii="Arial" w:hAnsi="Arial"/>
          <w:color w:val="525252"/>
          <w:sz w:val="13"/>
        </w:rPr>
        <w:t>The command insignia pin is mandatory for current commanders on all blue uniforms and may be worn by all eligible commissioned officers in the rank of Colonel (O-6) and below.</w:t>
      </w:r>
    </w:p>
    <w:p>
      <w:pPr>
        <w:spacing w:after="20" w:line="223" w:lineRule="auto"/>
        <w:jc w:val="right"/>
        <w:bidi/>
      </w:pPr>
      <w:r>
        <w:rPr>
          <w:rFonts w:ascii="Arial" w:hAnsi="Arial"/>
          <w:sz w:val="16"/>
        </w:rPr>
        <w:t>517.07  نشان‌های وظیفه و نشان‌های ویژه.</w:t>
      </w:r>
    </w:p>
    <w:p>
      <w:pPr>
        <w:spacing w:after="28" w:line="216" w:lineRule="auto"/>
        <w:ind w:left="259"/>
        <w:jc w:val="left"/>
      </w:pPr>
      <w:r>
        <w:rPr>
          <w:rFonts w:ascii="Arial" w:hAnsi="Arial"/>
          <w:color w:val="525252"/>
          <w:sz w:val="13"/>
        </w:rPr>
        <w:t>Duty Badges and Special Insignias.</w:t>
      </w:r>
    </w:p>
    <w:p>
      <w:pPr>
        <w:spacing w:after="20" w:line="223" w:lineRule="auto"/>
        <w:jc w:val="right"/>
        <w:bidi/>
      </w:pPr>
      <w:r>
        <w:rPr>
          <w:rFonts w:ascii="Arial" w:hAnsi="Arial"/>
          <w:sz w:val="16"/>
        </w:rPr>
        <w:t>517.08  نشان‌های وظیفه منعکس‌کننده موقعیت‌های فعلی و قبلی است (مانند نشان خدمات ریاست جمهوری).</w:t>
      </w:r>
    </w:p>
    <w:p>
      <w:pPr>
        <w:spacing w:after="28" w:line="216" w:lineRule="auto"/>
        <w:ind w:left="259"/>
        <w:jc w:val="left"/>
      </w:pPr>
      <w:r>
        <w:rPr>
          <w:rFonts w:ascii="Arial" w:hAnsi="Arial"/>
          <w:color w:val="525252"/>
          <w:sz w:val="13"/>
        </w:rPr>
        <w:t>Duty badges reflect current and previous positions of assignment (e.g., Presidential Service Badge).</w:t>
      </w:r>
    </w:p>
    <w:p>
      <w:pPr>
        <w:spacing w:after="20" w:line="223" w:lineRule="auto"/>
        <w:jc w:val="right"/>
        <w:bidi/>
      </w:pPr>
      <w:r>
        <w:rPr>
          <w:rFonts w:ascii="Arial" w:hAnsi="Arial"/>
          <w:sz w:val="16"/>
        </w:rPr>
        <w:t>517.09  پوشیدن این نشان‌ها اختیاری است. با این حال، هنگام پوشیدن نشان وظیفه فعلی، دستورالعمل‌های پوشیدن صادرکننده را دنبال کنید.</w:t>
      </w:r>
    </w:p>
    <w:p>
      <w:pPr>
        <w:spacing w:after="28" w:line="216" w:lineRule="auto"/>
        <w:ind w:left="259"/>
        <w:jc w:val="left"/>
      </w:pPr>
      <w:r>
        <w:rPr>
          <w:rFonts w:ascii="Arial" w:hAnsi="Arial"/>
          <w:color w:val="525252"/>
          <w:sz w:val="13"/>
        </w:rPr>
        <w:t>The wear of these badges are optional; however, when wearing the current duty badge, follow the issuer’s wear instructions.</w:t>
      </w:r>
    </w:p>
    <w:p>
      <w:pPr>
        <w:spacing w:after="20" w:line="223" w:lineRule="auto"/>
        <w:jc w:val="right"/>
        <w:bidi/>
      </w:pPr>
      <w:r>
        <w:rPr>
          <w:rFonts w:ascii="Arial" w:hAnsi="Arial"/>
          <w:sz w:val="16"/>
        </w:rPr>
        <w:t>517.10  هنگامی که فقط نشان‌های وظیفه‌ای را که پیش‌تر به دست آورده‌اید می‌پوشید، مطابق با پیکربندی قرارگیری موجود در DAFI ۳۶-۲۹۰۳ برای آن ترکیب یکنواخت بپوشید.</w:t>
      </w:r>
    </w:p>
    <w:p>
      <w:pPr>
        <w:spacing w:after="28" w:line="216" w:lineRule="auto"/>
        <w:ind w:left="259"/>
        <w:jc w:val="left"/>
      </w:pPr>
      <w:r>
        <w:rPr>
          <w:rFonts w:ascii="Arial" w:hAnsi="Arial"/>
          <w:color w:val="525252"/>
          <w:sz w:val="13"/>
        </w:rPr>
        <w:t>When wearing only previously earned duty badges, wear according to the placement configuration found in DAFI 36- 2903 for that uniform combination.</w:t>
      </w:r>
    </w:p>
    <w:p>
      <w:pPr>
        <w:spacing w:after="20" w:line="223" w:lineRule="auto"/>
        <w:jc w:val="right"/>
        <w:bidi/>
      </w:pPr>
      <w:r>
        <w:rPr>
          <w:rFonts w:ascii="Arial" w:hAnsi="Arial"/>
          <w:sz w:val="16"/>
        </w:rPr>
        <w:t>517.11  هنگام پوشیدن هر دو نشان وظیفه فعلی و پیش‌تر اعطا شده، صدور دستورالعمل برای نشان وظیفه فعلی اولویت دارد.</w:t>
      </w:r>
    </w:p>
    <w:p>
      <w:pPr>
        <w:spacing w:after="28" w:line="216" w:lineRule="auto"/>
        <w:ind w:left="259"/>
        <w:jc w:val="left"/>
      </w:pPr>
      <w:r>
        <w:rPr>
          <w:rFonts w:ascii="Arial" w:hAnsi="Arial"/>
          <w:color w:val="525252"/>
          <w:sz w:val="13"/>
        </w:rPr>
        <w:t>When wearing both current and previously awarded duty badges, issuing instructions for the current duty badge take precedence.</w:t>
      </w:r>
    </w:p>
    <w:p>
      <w:pPr>
        <w:spacing w:after="20" w:line="223" w:lineRule="auto"/>
        <w:jc w:val="right"/>
        <w:bidi/>
      </w:pPr>
      <w:r>
        <w:rPr>
          <w:rFonts w:ascii="Arial" w:hAnsi="Arial"/>
          <w:sz w:val="16"/>
        </w:rPr>
        <w:t>517.12  توجه: مردان می‌توانند نشان‌های وظیفه را به یونیفرم‌های خدمات (کلاس ب) با نگهدارنده زبانه پلاستیکی شفاف که از طرفین یا پایین نشان‌ها قابل رویت نباشد، بچسبانند.</w:t>
      </w:r>
    </w:p>
    <w:p>
      <w:pPr>
        <w:spacing w:after="28" w:line="216" w:lineRule="auto"/>
        <w:ind w:left="259"/>
        <w:jc w:val="left"/>
      </w:pPr>
      <w:r>
        <w:rPr>
          <w:rFonts w:ascii="Arial" w:hAnsi="Arial"/>
          <w:color w:val="525252"/>
          <w:sz w:val="13"/>
        </w:rPr>
        <w:t>Note: Men may attach duty badges to service uniforms (Class B) with a clear plastic tab holder not visible beyond sides or bottom of insignia.</w:t>
      </w:r>
    </w:p>
    <w:p>
      <w:pPr>
        <w:spacing w:after="20" w:line="223" w:lineRule="auto"/>
        <w:jc w:val="right"/>
        <w:bidi/>
      </w:pPr>
      <w:r>
        <w:rPr>
          <w:rFonts w:ascii="Arial" w:hAnsi="Arial"/>
          <w:sz w:val="16"/>
        </w:rPr>
        <w:t>517.13  خدمات ریاست جمهوری.</w:t>
      </w:r>
    </w:p>
    <w:p>
      <w:pPr>
        <w:spacing w:after="28" w:line="216" w:lineRule="auto"/>
        <w:ind w:left="259"/>
        <w:jc w:val="left"/>
      </w:pPr>
      <w:r>
        <w:rPr>
          <w:rFonts w:ascii="Arial" w:hAnsi="Arial"/>
          <w:color w:val="525252"/>
          <w:sz w:val="13"/>
        </w:rPr>
        <w:t>Presidential Service.</w:t>
      </w:r>
    </w:p>
    <w:p>
      <w:pPr>
        <w:spacing w:after="20" w:line="223" w:lineRule="auto"/>
        <w:jc w:val="right"/>
        <w:bidi/>
      </w:pPr>
      <w:r>
        <w:rPr>
          <w:rFonts w:ascii="Arial" w:hAnsi="Arial"/>
          <w:sz w:val="16"/>
        </w:rPr>
        <w:t>517.14  نشان خدمات ریاست جمهوری یا نشان خدمات معاون رئیس جمهور در حین و پس از انجام وظیفه در کاخ سفید پوشیده می‌شود.</w:t>
      </w:r>
    </w:p>
    <w:p>
      <w:pPr>
        <w:spacing w:after="28" w:line="216" w:lineRule="auto"/>
        <w:ind w:left="259"/>
        <w:jc w:val="left"/>
      </w:pPr>
      <w:r>
        <w:rPr>
          <w:rFonts w:ascii="Arial" w:hAnsi="Arial"/>
          <w:color w:val="525252"/>
          <w:sz w:val="13"/>
        </w:rPr>
        <w:t>The Presidential Service badge or Vice-Presidential Service badge is worn during and after an assignment to White House duty.</w:t>
      </w:r>
    </w:p>
    <w:p>
      <w:pPr>
        <w:spacing w:after="20" w:line="223" w:lineRule="auto"/>
        <w:jc w:val="right"/>
        <w:bidi/>
      </w:pPr>
      <w:r>
        <w:rPr>
          <w:rFonts w:ascii="Arial" w:hAnsi="Arial"/>
          <w:sz w:val="16"/>
        </w:rPr>
        <w:t>517.15  آنها فقط در سمت راست پوشیده می‌شوند. هیچ نشان دیگری نشان ریاست جمهوری و معاون رئیس جمهور را از سمت راست لباس حذف نخواهد کرد.</w:t>
      </w:r>
    </w:p>
    <w:p>
      <w:pPr>
        <w:spacing w:after="28" w:line="216" w:lineRule="auto"/>
        <w:ind w:left="259"/>
        <w:jc w:val="left"/>
      </w:pPr>
      <w:r>
        <w:rPr>
          <w:rFonts w:ascii="Arial" w:hAnsi="Arial"/>
          <w:color w:val="525252"/>
          <w:sz w:val="13"/>
        </w:rPr>
        <w:t>They are only worn on the right side; no other badges will remove the Presidential and Vice-Presidential badges from the right side of the uniform.</w:t>
      </w:r>
    </w:p>
    <w:p>
      <w:pPr>
        <w:spacing w:after="20" w:line="223" w:lineRule="auto"/>
        <w:jc w:val="right"/>
        <w:bidi/>
      </w:pPr>
      <w:r>
        <w:rPr>
          <w:rFonts w:ascii="Arial" w:hAnsi="Arial"/>
          <w:sz w:val="16"/>
        </w:rPr>
        <w:t>517.16  OPR دستیار نظامی رئیس جمهور است.</w:t>
      </w:r>
    </w:p>
    <w:p>
      <w:pPr>
        <w:spacing w:after="28" w:line="216" w:lineRule="auto"/>
        <w:ind w:left="259"/>
        <w:jc w:val="left"/>
      </w:pPr>
      <w:r>
        <w:rPr>
          <w:rFonts w:ascii="Arial" w:hAnsi="Arial"/>
          <w:color w:val="525252"/>
          <w:sz w:val="13"/>
        </w:rPr>
        <w:t>OPR is the Military Assistant to the President.</w:t>
      </w:r>
    </w:p>
    <w:p>
      <w:pPr>
        <w:spacing w:after="20" w:line="223" w:lineRule="auto"/>
        <w:jc w:val="right"/>
        <w:bidi/>
      </w:pPr>
      <w:r>
        <w:rPr>
          <w:rFonts w:ascii="Arial" w:hAnsi="Arial"/>
          <w:sz w:val="16"/>
        </w:rPr>
        <w:t>517.17  دفتر وزیر دفاع (OSD).</w:t>
      </w:r>
    </w:p>
    <w:p>
      <w:pPr>
        <w:spacing w:after="28" w:line="216" w:lineRule="auto"/>
        <w:ind w:left="259"/>
        <w:jc w:val="left"/>
      </w:pPr>
      <w:r>
        <w:rPr>
          <w:rFonts w:ascii="Arial" w:hAnsi="Arial"/>
          <w:color w:val="525252"/>
          <w:sz w:val="13"/>
        </w:rPr>
        <w:t>Office of the Secretary of Defense (OSD).</w:t>
      </w:r>
    </w:p>
    <w:p>
      <w:pPr>
        <w:spacing w:after="20" w:line="223" w:lineRule="auto"/>
        <w:jc w:val="right"/>
        <w:bidi/>
      </w:pPr>
      <w:r>
        <w:rPr>
          <w:rFonts w:ascii="Arial" w:hAnsi="Arial"/>
          <w:sz w:val="16"/>
        </w:rPr>
        <w:t>517.18  نشان OSD در حین و پس از انتساب به یک وظیفه خاص در OSD پوشیده می‌شود.</w:t>
      </w:r>
    </w:p>
    <w:p>
      <w:pPr>
        <w:spacing w:after="28" w:line="216" w:lineRule="auto"/>
        <w:ind w:left="259"/>
        <w:jc w:val="left"/>
      </w:pPr>
      <w:r>
        <w:rPr>
          <w:rFonts w:ascii="Arial" w:hAnsi="Arial"/>
          <w:color w:val="525252"/>
          <w:sz w:val="13"/>
        </w:rPr>
        <w:t>The OSD badge is worn during and after assignment to specific duty in the OSD.</w:t>
      </w:r>
    </w:p>
    <w:p>
      <w:pPr>
        <w:spacing w:after="20" w:line="223" w:lineRule="auto"/>
        <w:jc w:val="right"/>
        <w:bidi/>
      </w:pPr>
      <w:r>
        <w:rPr>
          <w:rFonts w:ascii="Arial" w:hAnsi="Arial"/>
          <w:sz w:val="16"/>
        </w:rPr>
        <w:t>517.19  OPR معاون مدیر ارشد مدیریت OSD است</w:t>
      </w:r>
    </w:p>
    <w:p>
      <w:pPr>
        <w:spacing w:after="28" w:line="216" w:lineRule="auto"/>
        <w:ind w:left="259"/>
        <w:jc w:val="left"/>
      </w:pPr>
      <w:r>
        <w:rPr>
          <w:rFonts w:ascii="Arial" w:hAnsi="Arial"/>
          <w:color w:val="525252"/>
          <w:sz w:val="13"/>
        </w:rPr>
        <w:t>OPR is OSD Deputy Chief Management Officer</w:t>
      </w:r>
    </w:p>
    <w:p>
      <w:pPr>
        <w:spacing w:before="60" w:after="28"/>
        <w:jc w:val="right"/>
        <w:bidi/>
      </w:pPr>
      <w:r>
        <w:rPr>
          <w:b/>
          <w:color w:val="1F4D78"/>
          <w:sz w:val="18"/>
        </w:rPr>
        <w:t>(OSD/DCMO).</w:t>
      </w:r>
    </w:p>
    <w:p>
      <w:pPr>
        <w:spacing w:after="20"/>
        <w:ind w:left="259"/>
        <w:jc w:val="left"/>
      </w:pPr>
      <w:r>
        <w:rPr>
          <w:color w:val="555555"/>
          <w:sz w:val="12"/>
        </w:rPr>
        <w:t>(OSD/DCMO).</w:t>
      </w:r>
    </w:p>
    <w:p>
      <w:pPr>
        <w:spacing w:after="20" w:line="223" w:lineRule="auto"/>
        <w:jc w:val="right"/>
        <w:bidi/>
      </w:pPr>
      <w:r>
        <w:rPr>
          <w:rFonts w:ascii="Arial" w:hAnsi="Arial"/>
          <w:sz w:val="16"/>
        </w:rPr>
        <w:t>517.21  رئیس ستاد مشترک (JCS). نشان JCS ⟦۰۲۲ در حین و پس از انتساب به وظیفه خاص در JCS پوشیده می‌شود.</w:t>
      </w:r>
    </w:p>
    <w:p>
      <w:pPr>
        <w:spacing w:after="28" w:line="216" w:lineRule="auto"/>
        <w:ind w:left="259"/>
        <w:jc w:val="left"/>
      </w:pPr>
      <w:r>
        <w:rPr>
          <w:rFonts w:ascii="Arial" w:hAnsi="Arial"/>
          <w:color w:val="525252"/>
          <w:sz w:val="13"/>
        </w:rPr>
        <w:t>Joint Chiefs of Staff (JCS).</w:t>
      </w:r>
    </w:p>
    <w:p>
      <w:pPr>
        <w:spacing w:after="20" w:line="223" w:lineRule="auto"/>
        <w:jc w:val="right"/>
        <w:bidi/>
      </w:pPr>
      <w:r>
        <w:rPr>
          <w:rFonts w:ascii="Arial" w:hAnsi="Arial"/>
          <w:sz w:val="16"/>
        </w:rPr>
        <w:t>517.22  نشان JCS در حین و پس از انتساب به یک وظیفه خاص در JCS پوشیده می‌شود.</w:t>
      </w:r>
    </w:p>
    <w:p>
      <w:pPr>
        <w:spacing w:after="28" w:line="216" w:lineRule="auto"/>
        <w:ind w:left="259"/>
        <w:jc w:val="left"/>
      </w:pPr>
      <w:r>
        <w:rPr>
          <w:rFonts w:ascii="Arial" w:hAnsi="Arial"/>
          <w:color w:val="525252"/>
          <w:sz w:val="13"/>
        </w:rPr>
        <w:t>JCS badge is worn during and after assignment to specific duty in the JCS.</w:t>
      </w:r>
    </w:p>
    <w:p>
      <w:pPr>
        <w:spacing w:after="20" w:line="223" w:lineRule="auto"/>
        <w:jc w:val="right"/>
        <w:bidi/>
      </w:pPr>
      <w:r>
        <w:rPr>
          <w:rFonts w:ascii="Arial" w:hAnsi="Arial"/>
          <w:sz w:val="16"/>
        </w:rPr>
        <w:t>517.23  OPR رئیس ستاد مشترک، اداره نیروی انسانی و پرسنل (JCS/ج۱) است.</w:t>
      </w:r>
    </w:p>
    <w:p>
      <w:pPr>
        <w:spacing w:after="28" w:line="216" w:lineRule="auto"/>
        <w:ind w:left="259"/>
        <w:jc w:val="left"/>
      </w:pPr>
      <w:r>
        <w:rPr>
          <w:rFonts w:ascii="Arial" w:hAnsi="Arial"/>
          <w:color w:val="525252"/>
          <w:sz w:val="13"/>
        </w:rPr>
        <w:t>OPR is Joint Chiefs of Staff, Manpower, and Personnel Directorate (JCS/J1).</w:t>
      </w:r>
    </w:p>
    <w:p>
      <w:pPr>
        <w:spacing w:after="20" w:line="223" w:lineRule="auto"/>
        <w:jc w:val="right"/>
        <w:bidi/>
      </w:pPr>
      <w:r>
        <w:rPr>
          <w:rFonts w:ascii="Arial" w:hAnsi="Arial"/>
          <w:sz w:val="16"/>
        </w:rPr>
        <w:t>517.24  ستاد نیروی هوایی (HAF). نشان</w:t>
      </w:r>
    </w:p>
    <w:p>
      <w:pPr>
        <w:spacing w:after="28" w:line="216" w:lineRule="auto"/>
        <w:ind w:left="259"/>
        <w:jc w:val="left"/>
      </w:pPr>
      <w:r>
        <w:rPr>
          <w:rFonts w:ascii="Arial" w:hAnsi="Arial"/>
          <w:color w:val="525252"/>
          <w:sz w:val="13"/>
        </w:rPr>
        <w:t>Headquarters Air Force (HAF).</w:t>
      </w:r>
    </w:p>
    <w:p>
      <w:pPr>
        <w:spacing w:after="20" w:line="223" w:lineRule="auto"/>
        <w:jc w:val="right"/>
        <w:bidi/>
      </w:pPr>
      <w:r>
        <w:rPr>
          <w:rFonts w:ascii="Arial" w:hAnsi="Arial"/>
          <w:sz w:val="16"/>
        </w:rPr>
        <w:t>517.25  HAF در حین انتساب به‌کارکنان HAF یا کارکنان سکاف در منطقه پایتخت ملی پوشیده می‌شود.</w:t>
      </w:r>
    </w:p>
    <w:p>
      <w:pPr>
        <w:spacing w:after="28" w:line="216" w:lineRule="auto"/>
        <w:ind w:left="259"/>
        <w:jc w:val="left"/>
      </w:pPr>
      <w:r>
        <w:rPr>
          <w:rFonts w:ascii="Arial" w:hAnsi="Arial"/>
          <w:color w:val="525252"/>
          <w:sz w:val="13"/>
        </w:rPr>
        <w:t>HAF badge is worn during assignment to the HAF staff or SecAF staff within the National Capital Region.</w:t>
      </w:r>
    </w:p>
    <w:p>
      <w:pPr>
        <w:spacing w:after="20" w:line="223" w:lineRule="auto"/>
        <w:jc w:val="right"/>
        <w:bidi/>
      </w:pPr>
      <w:r>
        <w:rPr>
          <w:rFonts w:ascii="Arial" w:hAnsi="Arial"/>
          <w:sz w:val="16"/>
        </w:rPr>
        <w:t>517.26  هوانوردان مجاز به پوشیدن در موقعیت‌های واجد شرایط هستند (که توسط فرمانده مربوطه DRU/FOA تعیین می‌شود) در HAF یا DRU/FOA در منطقه پایتخت ملی.</w:t>
      </w:r>
    </w:p>
    <w:p>
      <w:pPr>
        <w:spacing w:after="28" w:line="216" w:lineRule="auto"/>
        <w:ind w:left="259"/>
        <w:jc w:val="left"/>
      </w:pPr>
      <w:r>
        <w:rPr>
          <w:rFonts w:ascii="Arial" w:hAnsi="Arial"/>
          <w:color w:val="525252"/>
          <w:sz w:val="13"/>
        </w:rPr>
        <w:t>Airmen are authorized wear while in qualifying positions (as determined by applicable DRU/FOA commander) on the HAF or DRU/FOA within the National Capital Region.</w:t>
      </w:r>
    </w:p>
    <w:p>
      <w:pPr>
        <w:spacing w:after="20" w:line="223" w:lineRule="auto"/>
        <w:jc w:val="right"/>
        <w:bidi/>
      </w:pPr>
      <w:r>
        <w:rPr>
          <w:rFonts w:ascii="Arial" w:hAnsi="Arial"/>
          <w:sz w:val="16"/>
        </w:rPr>
        <w:t>517.27  پوشیدن دائم نشان برای پرسنل منصوب به یک موقعیت واجد شرایط برای حداقل ۳۶۵ روز متوالی مجاز است.</w:t>
      </w:r>
    </w:p>
    <w:p>
      <w:pPr>
        <w:spacing w:after="28" w:line="216" w:lineRule="auto"/>
        <w:ind w:left="259"/>
        <w:jc w:val="left"/>
      </w:pPr>
      <w:r>
        <w:rPr>
          <w:rFonts w:ascii="Arial" w:hAnsi="Arial"/>
          <w:color w:val="525252"/>
          <w:sz w:val="13"/>
        </w:rPr>
        <w:t>Permanent wear of the badge is authorized for personnel assigned to a qualifying position for at least 365 consecutive days.</w:t>
      </w:r>
    </w:p>
    <w:p>
      <w:pPr>
        <w:spacing w:after="20" w:line="223" w:lineRule="auto"/>
        <w:jc w:val="right"/>
        <w:bidi/>
      </w:pPr>
      <w:r>
        <w:rPr>
          <w:rFonts w:ascii="Arial" w:hAnsi="Arial"/>
          <w:sz w:val="16"/>
        </w:rPr>
        <w:t>517.28  ترتیب تقدم.</w:t>
      </w:r>
    </w:p>
    <w:p>
      <w:pPr>
        <w:spacing w:after="28" w:line="216" w:lineRule="auto"/>
        <w:ind w:left="259"/>
        <w:jc w:val="left"/>
      </w:pPr>
      <w:r>
        <w:rPr>
          <w:rFonts w:ascii="Arial" w:hAnsi="Arial"/>
          <w:color w:val="525252"/>
          <w:sz w:val="13"/>
        </w:rPr>
        <w:t>Order of precedence.</w:t>
      </w:r>
    </w:p>
    <w:p>
      <w:pPr>
        <w:spacing w:after="20" w:line="223" w:lineRule="auto"/>
        <w:jc w:val="right"/>
        <w:bidi/>
      </w:pPr>
      <w:r>
        <w:rPr>
          <w:rFonts w:ascii="Arial" w:hAnsi="Arial"/>
          <w:sz w:val="16"/>
        </w:rPr>
        <w:t>517.29  اگر نشان‌های OSD، JCS، و HAF همگی مجاز و پوشیده باشند، نشان‌های OSD و JCS بر نشان HAF اولویت دارند.</w:t>
      </w:r>
    </w:p>
    <w:p>
      <w:pPr>
        <w:spacing w:after="28" w:line="216" w:lineRule="auto"/>
        <w:ind w:left="259"/>
        <w:jc w:val="left"/>
      </w:pPr>
      <w:r>
        <w:rPr>
          <w:rFonts w:ascii="Arial" w:hAnsi="Arial"/>
          <w:color w:val="525252"/>
          <w:sz w:val="13"/>
        </w:rPr>
        <w:t>If the OSD, JCS, and HAF badges are all authorized and worn, the OSD and JCS badges have priority over the HAF Badge.</w:t>
      </w:r>
    </w:p>
    <w:p>
      <w:pPr>
        <w:spacing w:after="20" w:line="223" w:lineRule="auto"/>
        <w:jc w:val="right"/>
        <w:bidi/>
      </w:pPr>
      <w:r>
        <w:rPr>
          <w:rFonts w:ascii="Arial" w:hAnsi="Arial"/>
          <w:sz w:val="16"/>
        </w:rPr>
        <w:t>517.30  اعضا رزرو کنید.</w:t>
      </w:r>
    </w:p>
    <w:p>
      <w:pPr>
        <w:spacing w:after="28" w:line="216" w:lineRule="auto"/>
        <w:ind w:left="259"/>
        <w:jc w:val="left"/>
      </w:pPr>
      <w:r>
        <w:rPr>
          <w:rFonts w:ascii="Arial" w:hAnsi="Arial"/>
          <w:color w:val="525252"/>
          <w:sz w:val="13"/>
        </w:rPr>
        <w:t>Reserve Members.</w:t>
      </w:r>
    </w:p>
    <w:p>
      <w:pPr>
        <w:spacing w:after="20" w:line="223" w:lineRule="auto"/>
        <w:jc w:val="right"/>
        <w:bidi/>
      </w:pPr>
      <w:r>
        <w:rPr>
          <w:rFonts w:ascii="Arial" w:hAnsi="Arial"/>
          <w:sz w:val="16"/>
        </w:rPr>
        <w:t>517.31  اعضای اجزای رزرو در صورتی واجد شرایط استفاده از نشان هستند که به هر سازمانی در HAF یا کارکنان دبیرخانه منصوب شوند.</w:t>
      </w:r>
    </w:p>
    <w:p>
      <w:pPr>
        <w:spacing w:after="28" w:line="216" w:lineRule="auto"/>
        <w:ind w:left="259"/>
        <w:jc w:val="left"/>
      </w:pPr>
      <w:r>
        <w:rPr>
          <w:rFonts w:ascii="Arial" w:hAnsi="Arial"/>
          <w:color w:val="525252"/>
          <w:sz w:val="13"/>
        </w:rPr>
        <w:t>Members of the Reserve Components are eligible to wear the badge if they are assigned to any organization within HAF or Secretariat Staff.</w:t>
      </w:r>
    </w:p>
    <w:p>
      <w:pPr>
        <w:spacing w:after="20" w:line="223" w:lineRule="auto"/>
        <w:jc w:val="right"/>
        <w:bidi/>
      </w:pPr>
      <w:r>
        <w:rPr>
          <w:rFonts w:ascii="Arial" w:hAnsi="Arial"/>
          <w:sz w:val="16"/>
        </w:rPr>
        <w:t>517.32  به‌علاوه، ذخیره‌های فراخوان شده پس از اینکه در مجموع ۳۶۵ روز خدمت کرده باشند، واجد شرایط دریافت نشان دائمی هستند.</w:t>
      </w:r>
    </w:p>
    <w:p>
      <w:pPr>
        <w:spacing w:after="28" w:line="216" w:lineRule="auto"/>
        <w:ind w:left="259"/>
        <w:jc w:val="left"/>
      </w:pPr>
      <w:r>
        <w:rPr>
          <w:rFonts w:ascii="Arial" w:hAnsi="Arial"/>
          <w:color w:val="525252"/>
          <w:sz w:val="13"/>
        </w:rPr>
        <w:t>Further, recalled reservists are eligible for permanent award of the badge once they have served for a total of 365 days.</w:t>
      </w:r>
    </w:p>
    <w:p>
      <w:pPr>
        <w:spacing w:after="20" w:line="223" w:lineRule="auto"/>
        <w:jc w:val="right"/>
        <w:bidi/>
      </w:pPr>
      <w:r>
        <w:rPr>
          <w:rFonts w:ascii="Arial" w:hAnsi="Arial"/>
          <w:sz w:val="16"/>
        </w:rPr>
        <w:t>517.33  ذخیره‌کنندگانی که به سمت‌های IMA منصوب می‌شوند، پس از انتصاب به مدت ۱ سال و عملکرد رضایت‌بخش در سمت افزایش، واجد شرایط دریافت جایزه دائمی هستند.</w:t>
      </w:r>
    </w:p>
    <w:p>
      <w:pPr>
        <w:spacing w:after="28" w:line="216" w:lineRule="auto"/>
        <w:ind w:left="259"/>
        <w:jc w:val="left"/>
      </w:pPr>
      <w:r>
        <w:rPr>
          <w:rFonts w:ascii="Arial" w:hAnsi="Arial"/>
          <w:color w:val="525252"/>
          <w:sz w:val="13"/>
        </w:rPr>
        <w:t>Reservists assigned to IMA positions are eligible for permanent award after being assigned for 1 year and performed satisfactorily in the augmentee position.</w:t>
      </w:r>
    </w:p>
    <w:p>
      <w:pPr>
        <w:spacing w:after="20" w:line="223" w:lineRule="auto"/>
        <w:jc w:val="right"/>
        <w:bidi/>
      </w:pPr>
      <w:r>
        <w:rPr>
          <w:rFonts w:ascii="Arial" w:hAnsi="Arial"/>
          <w:sz w:val="16"/>
        </w:rPr>
        <w:t>517.34  فرماندهی آموزش و پرورش هوایی (AETC).</w:t>
      </w:r>
    </w:p>
    <w:p>
      <w:pPr>
        <w:spacing w:after="28" w:line="216" w:lineRule="auto"/>
        <w:ind w:left="259"/>
        <w:jc w:val="left"/>
      </w:pPr>
      <w:r>
        <w:rPr>
          <w:rFonts w:ascii="Arial" w:hAnsi="Arial"/>
          <w:color w:val="525252"/>
          <w:sz w:val="13"/>
        </w:rPr>
        <w:t>Air Education and Training Command (AETC).</w:t>
      </w:r>
    </w:p>
    <w:p>
      <w:pPr>
        <w:spacing w:after="20" w:line="223" w:lineRule="auto"/>
        <w:jc w:val="right"/>
        <w:bidi/>
      </w:pPr>
      <w:r>
        <w:rPr>
          <w:rFonts w:ascii="Arial" w:hAnsi="Arial"/>
          <w:sz w:val="16"/>
        </w:rPr>
        <w:t>517.35  نشان مربی AETC را می‌توان با هر ترکیب بلوز پوشید.</w:t>
      </w:r>
    </w:p>
    <w:p>
      <w:pPr>
        <w:spacing w:after="28" w:line="216" w:lineRule="auto"/>
        <w:ind w:left="259"/>
        <w:jc w:val="left"/>
      </w:pPr>
      <w:r>
        <w:rPr>
          <w:rFonts w:ascii="Arial" w:hAnsi="Arial"/>
          <w:color w:val="525252"/>
          <w:sz w:val="13"/>
        </w:rPr>
        <w:t>The AETC Instructor badge may be worn with any blues combination.</w:t>
      </w:r>
    </w:p>
    <w:p>
      <w:pPr>
        <w:spacing w:after="20" w:line="223" w:lineRule="auto"/>
        <w:jc w:val="right"/>
        <w:bidi/>
      </w:pPr>
      <w:r>
        <w:rPr>
          <w:rFonts w:ascii="Arial" w:hAnsi="Arial"/>
          <w:sz w:val="16"/>
        </w:rPr>
        <w:t>517.36  نشان AETC ینستروکتور/ماستر ممکن است در حین و بعد از انجام وظیفه به‌عنوان مربی AETC پوشیده شود.</w:t>
      </w:r>
    </w:p>
    <w:p>
      <w:pPr>
        <w:spacing w:after="28" w:line="216" w:lineRule="auto"/>
        <w:ind w:left="259"/>
        <w:jc w:val="left"/>
      </w:pPr>
      <w:r>
        <w:rPr>
          <w:rFonts w:ascii="Arial" w:hAnsi="Arial"/>
          <w:color w:val="525252"/>
          <w:sz w:val="13"/>
        </w:rPr>
        <w:t>The AETC Instructor/Master badge may be worn during and after an assignment as an AETC instructor.</w:t>
      </w:r>
    </w:p>
    <w:p>
      <w:pPr>
        <w:spacing w:after="20" w:line="223" w:lineRule="auto"/>
        <w:jc w:val="right"/>
        <w:bidi/>
      </w:pPr>
      <w:r>
        <w:rPr>
          <w:rFonts w:ascii="Arial" w:hAnsi="Arial"/>
          <w:sz w:val="16"/>
        </w:rPr>
        <w:t>517.37  نشان مربی آموزش افسران ذخیره جوان نیروی هوایی (AFJROTC/OT) فقط در حین انجام وظایف محوله استفاده می‌شود.</w:t>
      </w:r>
    </w:p>
    <w:p>
      <w:pPr>
        <w:spacing w:after="28" w:line="216" w:lineRule="auto"/>
        <w:ind w:left="259"/>
        <w:jc w:val="left"/>
      </w:pPr>
      <w:r>
        <w:rPr>
          <w:rFonts w:ascii="Arial" w:hAnsi="Arial"/>
          <w:color w:val="525252"/>
          <w:sz w:val="13"/>
        </w:rPr>
        <w:t>Air Force Junior Reserve Officer Training Corps (AFJROTC/OT) Instructor badge is only worn while performing assigned duties.</w:t>
      </w:r>
    </w:p>
    <w:p>
      <w:pPr>
        <w:spacing w:after="20" w:line="223" w:lineRule="auto"/>
        <w:jc w:val="right"/>
        <w:bidi/>
      </w:pPr>
      <w:r>
        <w:rPr>
          <w:rFonts w:ascii="Arial" w:hAnsi="Arial"/>
          <w:sz w:val="16"/>
        </w:rPr>
        <w:t>517.38  هنگام حضور در PME به پوشیدن خود ادامه دهید.</w:t>
      </w:r>
    </w:p>
    <w:p>
      <w:pPr>
        <w:spacing w:after="28" w:line="216" w:lineRule="auto"/>
        <w:ind w:left="259"/>
        <w:jc w:val="left"/>
      </w:pPr>
      <w:r>
        <w:rPr>
          <w:rFonts w:ascii="Arial" w:hAnsi="Arial"/>
          <w:color w:val="525252"/>
          <w:sz w:val="13"/>
        </w:rPr>
        <w:t>Continue to wear while attending PME.</w:t>
      </w:r>
    </w:p>
    <w:p>
      <w:pPr>
        <w:spacing w:after="20" w:line="223" w:lineRule="auto"/>
        <w:jc w:val="right"/>
        <w:bidi/>
      </w:pPr>
      <w:r>
        <w:rPr>
          <w:rFonts w:ascii="Arial" w:hAnsi="Arial"/>
          <w:sz w:val="16"/>
        </w:rPr>
        <w:t>517.39  OPR است</w:t>
      </w:r>
    </w:p>
    <w:p>
      <w:pPr>
        <w:spacing w:after="28" w:line="216" w:lineRule="auto"/>
        <w:ind w:left="259"/>
        <w:jc w:val="left"/>
      </w:pPr>
      <w:r>
        <w:rPr>
          <w:rFonts w:ascii="Arial" w:hAnsi="Arial"/>
          <w:color w:val="525252"/>
          <w:sz w:val="13"/>
        </w:rPr>
        <w:t>OPR is</w:t>
      </w:r>
    </w:p>
    <w:p>
      <w:r>
        <w:br w:type="page"/>
      </w:r>
    </w:p>
    <w:p>
      <w:pPr>
        <w:spacing w:after="60"/>
        <w:jc w:val="right"/>
        <w:bidi/>
      </w:pPr>
      <w:r>
        <w:rPr>
          <w:rFonts w:ascii="Arial" w:hAnsi="Arial"/>
          <w:b/>
          <w:color w:val="1F4D78"/>
          <w:sz w:val="19"/>
        </w:rPr>
        <w:t>هفتهٔ 518  |  صفحهٔ منبع: 534</w:t>
      </w:r>
    </w:p>
    <w:p>
      <w:pPr>
        <w:spacing w:before="60" w:after="28"/>
        <w:jc w:val="right"/>
        <w:bidi/>
      </w:pPr>
      <w:r>
        <w:rPr>
          <w:b/>
          <w:color w:val="1F4D78"/>
          <w:sz w:val="18"/>
        </w:rPr>
        <w:t>AFJROTC/OT. نشان مربی زبان دفاعی ⟦002 فقط در حین انجام وظایف محوله استفاده می شود.</w:t>
      </w:r>
    </w:p>
    <w:p>
      <w:pPr>
        <w:spacing w:after="20"/>
        <w:ind w:left="259"/>
        <w:jc w:val="left"/>
      </w:pPr>
      <w:r>
        <w:rPr>
          <w:color w:val="555555"/>
          <w:sz w:val="12"/>
        </w:rPr>
        <w:t>AFJROTC/OT.</w:t>
      </w:r>
    </w:p>
    <w:p>
      <w:pPr>
        <w:spacing w:after="20" w:line="223" w:lineRule="auto"/>
        <w:jc w:val="right"/>
        <w:bidi/>
      </w:pPr>
      <w:r>
        <w:rPr>
          <w:rFonts w:ascii="Arial" w:hAnsi="Arial"/>
          <w:sz w:val="16"/>
        </w:rPr>
        <w:t>518.02  نشان مربی زبان دفاعی فقط هنگام انجام وظایف محوله پوشیده می‌شود.</w:t>
      </w:r>
    </w:p>
    <w:p>
      <w:pPr>
        <w:spacing w:after="28" w:line="216" w:lineRule="auto"/>
        <w:ind w:left="259"/>
        <w:jc w:val="left"/>
      </w:pPr>
      <w:r>
        <w:rPr>
          <w:rFonts w:ascii="Arial" w:hAnsi="Arial"/>
          <w:color w:val="525252"/>
          <w:sz w:val="13"/>
        </w:rPr>
        <w:t>Defense Language Instructor badge is only worn while performing assigned duties.</w:t>
      </w:r>
    </w:p>
    <w:p>
      <w:pPr>
        <w:spacing w:after="20" w:line="223" w:lineRule="auto"/>
        <w:jc w:val="right"/>
        <w:bidi/>
      </w:pPr>
      <w:r>
        <w:rPr>
          <w:rFonts w:ascii="Arial" w:hAnsi="Arial"/>
          <w:sz w:val="16"/>
        </w:rPr>
        <w:t>518.03  هنگام حضور در PME به پوشیدن خود ادامه دهید.</w:t>
      </w:r>
    </w:p>
    <w:p>
      <w:pPr>
        <w:spacing w:after="28" w:line="216" w:lineRule="auto"/>
        <w:ind w:left="259"/>
        <w:jc w:val="left"/>
      </w:pPr>
      <w:r>
        <w:rPr>
          <w:rFonts w:ascii="Arial" w:hAnsi="Arial"/>
          <w:color w:val="525252"/>
          <w:sz w:val="13"/>
        </w:rPr>
        <w:t>Continue to wear while attending PME.</w:t>
      </w:r>
    </w:p>
    <w:p>
      <w:pPr>
        <w:spacing w:after="20" w:line="223" w:lineRule="auto"/>
        <w:jc w:val="right"/>
        <w:bidi/>
      </w:pPr>
      <w:r>
        <w:rPr>
          <w:rFonts w:ascii="Arial" w:hAnsi="Arial"/>
          <w:sz w:val="16"/>
        </w:rPr>
        <w:t>518.04  OPR مرکز زبان‌های خارجی موسسه زبان دفاع است.</w:t>
      </w:r>
    </w:p>
    <w:p>
      <w:pPr>
        <w:spacing w:after="28" w:line="216" w:lineRule="auto"/>
        <w:ind w:left="259"/>
        <w:jc w:val="left"/>
      </w:pPr>
      <w:r>
        <w:rPr>
          <w:rFonts w:ascii="Arial" w:hAnsi="Arial"/>
          <w:color w:val="525252"/>
          <w:sz w:val="13"/>
        </w:rPr>
        <w:t>OPR is the Defense Language Institute Foreign Language Center.</w:t>
      </w:r>
    </w:p>
    <w:p>
      <w:pPr>
        <w:spacing w:after="20" w:line="223" w:lineRule="auto"/>
        <w:jc w:val="right"/>
        <w:bidi/>
      </w:pPr>
      <w:r>
        <w:rPr>
          <w:rFonts w:ascii="Arial" w:hAnsi="Arial"/>
          <w:sz w:val="16"/>
        </w:rPr>
        <w:t>518.05  خدمات استخدام نیروی هوایی (AETC/RS).</w:t>
      </w:r>
    </w:p>
    <w:p>
      <w:pPr>
        <w:spacing w:after="28" w:line="216" w:lineRule="auto"/>
        <w:ind w:left="259"/>
        <w:jc w:val="left"/>
      </w:pPr>
      <w:r>
        <w:rPr>
          <w:rFonts w:ascii="Arial" w:hAnsi="Arial"/>
          <w:color w:val="525252"/>
          <w:sz w:val="13"/>
        </w:rPr>
        <w:t>Air Force Recruiting Service (AETC/RS).</w:t>
      </w:r>
    </w:p>
    <w:p>
      <w:pPr>
        <w:spacing w:after="20" w:line="223" w:lineRule="auto"/>
        <w:jc w:val="right"/>
        <w:bidi/>
      </w:pPr>
      <w:r>
        <w:rPr>
          <w:rFonts w:ascii="Arial" w:hAnsi="Arial"/>
          <w:sz w:val="16"/>
        </w:rPr>
        <w:t>518.06  نشان خدمات استخدام نیروی هوایی به دست آمده برای استفاده دائمی توسط هوانوردان با شناسه وظیفه ویژه ۸ر در سوابق آنها مجاز است.</w:t>
      </w:r>
    </w:p>
    <w:p>
      <w:pPr>
        <w:spacing w:after="28" w:line="216" w:lineRule="auto"/>
        <w:ind w:left="259"/>
        <w:jc w:val="left"/>
      </w:pPr>
      <w:r>
        <w:rPr>
          <w:rFonts w:ascii="Arial" w:hAnsi="Arial"/>
          <w:color w:val="525252"/>
          <w:sz w:val="13"/>
        </w:rPr>
        <w:t>Earned Air Force recruiting service badge is authorized for permanent wear by Airmen with an 8R special duty identifier in their records.</w:t>
      </w:r>
    </w:p>
    <w:p>
      <w:pPr>
        <w:spacing w:after="20" w:line="223" w:lineRule="auto"/>
        <w:jc w:val="right"/>
        <w:bidi/>
      </w:pPr>
      <w:r>
        <w:rPr>
          <w:rFonts w:ascii="Arial" w:hAnsi="Arial"/>
          <w:sz w:val="16"/>
        </w:rPr>
        <w:t>518.07  هنگام حضور در PME به پوشیدن خود ادامه دهید.</w:t>
      </w:r>
    </w:p>
    <w:p>
      <w:pPr>
        <w:spacing w:after="28" w:line="216" w:lineRule="auto"/>
        <w:ind w:left="259"/>
        <w:jc w:val="left"/>
      </w:pPr>
      <w:r>
        <w:rPr>
          <w:rFonts w:ascii="Arial" w:hAnsi="Arial"/>
          <w:color w:val="525252"/>
          <w:sz w:val="13"/>
        </w:rPr>
        <w:t>Continue to wear while attending PME.</w:t>
      </w:r>
    </w:p>
    <w:p>
      <w:pPr>
        <w:spacing w:after="20" w:line="223" w:lineRule="auto"/>
        <w:jc w:val="right"/>
        <w:bidi/>
      </w:pPr>
      <w:r>
        <w:rPr>
          <w:rFonts w:ascii="Arial" w:hAnsi="Arial"/>
          <w:sz w:val="16"/>
        </w:rPr>
        <w:t>518.08  OPR AETC/RS است.</w:t>
      </w:r>
    </w:p>
    <w:p>
      <w:pPr>
        <w:spacing w:after="28" w:line="216" w:lineRule="auto"/>
        <w:ind w:left="259"/>
        <w:jc w:val="left"/>
      </w:pPr>
      <w:r>
        <w:rPr>
          <w:rFonts w:ascii="Arial" w:hAnsi="Arial"/>
          <w:color w:val="525252"/>
          <w:sz w:val="13"/>
        </w:rPr>
        <w:t>OPR is AETC/RS.</w:t>
      </w:r>
    </w:p>
    <w:p>
      <w:pPr>
        <w:spacing w:after="20" w:line="223" w:lineRule="auto"/>
        <w:jc w:val="right"/>
        <w:bidi/>
      </w:pPr>
      <w:r>
        <w:rPr>
          <w:rFonts w:ascii="Arial" w:hAnsi="Arial"/>
          <w:sz w:val="16"/>
        </w:rPr>
        <w:t>518.09  خدمات استخدام فرماندهی رزرو نیروی هوایی (AFRC/RS).</w:t>
      </w:r>
    </w:p>
    <w:p>
      <w:pPr>
        <w:spacing w:after="28" w:line="216" w:lineRule="auto"/>
        <w:ind w:left="259"/>
        <w:jc w:val="left"/>
      </w:pPr>
      <w:r>
        <w:rPr>
          <w:rFonts w:ascii="Arial" w:hAnsi="Arial"/>
          <w:color w:val="525252"/>
          <w:sz w:val="13"/>
        </w:rPr>
        <w:t>Air Force Reserve Command Recruiting Service (AFRC/RS).</w:t>
      </w:r>
    </w:p>
    <w:p>
      <w:pPr>
        <w:spacing w:after="20" w:line="223" w:lineRule="auto"/>
        <w:jc w:val="right"/>
        <w:bidi/>
      </w:pPr>
      <w:r>
        <w:rPr>
          <w:rFonts w:ascii="Arial" w:hAnsi="Arial"/>
          <w:sz w:val="16"/>
        </w:rPr>
        <w:t>518.10  نشان خدمات استخدامی AFRC برای استفاده دائمی توسط هوانوردان با شناسه وظیفه ویژه ۸ر در سوابق آنها مجاز است.</w:t>
      </w:r>
    </w:p>
    <w:p>
      <w:pPr>
        <w:spacing w:after="28" w:line="216" w:lineRule="auto"/>
        <w:ind w:left="259"/>
        <w:jc w:val="left"/>
      </w:pPr>
      <w:r>
        <w:rPr>
          <w:rFonts w:ascii="Arial" w:hAnsi="Arial"/>
          <w:color w:val="525252"/>
          <w:sz w:val="13"/>
        </w:rPr>
        <w:t>Earned AFRC recruiting service badge is authorized for permanent wear by Airmen with an 8R special duty identifier in their records.</w:t>
      </w:r>
    </w:p>
    <w:p>
      <w:pPr>
        <w:spacing w:after="20" w:line="223" w:lineRule="auto"/>
        <w:jc w:val="right"/>
        <w:bidi/>
      </w:pPr>
      <w:r>
        <w:rPr>
          <w:rFonts w:ascii="Arial" w:hAnsi="Arial"/>
          <w:sz w:val="16"/>
        </w:rPr>
        <w:t>518.11  هنگام حضور در PME به پوشیدن خود ادامه دهید.</w:t>
      </w:r>
    </w:p>
    <w:p>
      <w:pPr>
        <w:spacing w:after="28" w:line="216" w:lineRule="auto"/>
        <w:ind w:left="259"/>
        <w:jc w:val="left"/>
      </w:pPr>
      <w:r>
        <w:rPr>
          <w:rFonts w:ascii="Arial" w:hAnsi="Arial"/>
          <w:color w:val="525252"/>
          <w:sz w:val="13"/>
        </w:rPr>
        <w:t>Continue to wear while attending PME.</w:t>
      </w:r>
    </w:p>
    <w:p>
      <w:pPr>
        <w:spacing w:after="20" w:line="223" w:lineRule="auto"/>
        <w:jc w:val="right"/>
        <w:bidi/>
      </w:pPr>
      <w:r>
        <w:rPr>
          <w:rFonts w:ascii="Arial" w:hAnsi="Arial"/>
          <w:sz w:val="16"/>
        </w:rPr>
        <w:t>518.12  OPR AFRC/RS است.</w:t>
      </w:r>
    </w:p>
    <w:p>
      <w:pPr>
        <w:spacing w:after="28" w:line="216" w:lineRule="auto"/>
        <w:ind w:left="259"/>
        <w:jc w:val="left"/>
      </w:pPr>
      <w:r>
        <w:rPr>
          <w:rFonts w:ascii="Arial" w:hAnsi="Arial"/>
          <w:color w:val="525252"/>
          <w:sz w:val="13"/>
        </w:rPr>
        <w:t>OPR is AFRC/RS.</w:t>
      </w:r>
    </w:p>
    <w:p>
      <w:pPr>
        <w:spacing w:after="20" w:line="223" w:lineRule="auto"/>
        <w:jc w:val="right"/>
        <w:bidi/>
      </w:pPr>
      <w:r>
        <w:rPr>
          <w:rFonts w:ascii="Arial" w:hAnsi="Arial"/>
          <w:sz w:val="16"/>
        </w:rPr>
        <w:t>518.13  سرویس استخدام گارد ملی هوایی (ANG).</w:t>
      </w:r>
    </w:p>
    <w:p>
      <w:pPr>
        <w:spacing w:after="28" w:line="216" w:lineRule="auto"/>
        <w:ind w:left="259"/>
        <w:jc w:val="left"/>
      </w:pPr>
      <w:r>
        <w:rPr>
          <w:rFonts w:ascii="Arial" w:hAnsi="Arial"/>
          <w:color w:val="525252"/>
          <w:sz w:val="13"/>
        </w:rPr>
        <w:t>Air National Guard (ANG) Recruiting Service.</w:t>
      </w:r>
    </w:p>
    <w:p>
      <w:pPr>
        <w:spacing w:after="20" w:line="223" w:lineRule="auto"/>
        <w:jc w:val="right"/>
        <w:bidi/>
      </w:pPr>
      <w:r>
        <w:rPr>
          <w:rFonts w:ascii="Arial" w:hAnsi="Arial"/>
          <w:sz w:val="16"/>
        </w:rPr>
        <w:t>518.14  نشان خدمات استخدامی ANG به دست آمده برای استفاده دائمی توسط هوانوردان با شناسه وظیفه ویژه ۸ر در سوابق آنها مجاز است.</w:t>
      </w:r>
    </w:p>
    <w:p>
      <w:pPr>
        <w:spacing w:after="28" w:line="216" w:lineRule="auto"/>
        <w:ind w:left="259"/>
        <w:jc w:val="left"/>
      </w:pPr>
      <w:r>
        <w:rPr>
          <w:rFonts w:ascii="Arial" w:hAnsi="Arial"/>
          <w:color w:val="525252"/>
          <w:sz w:val="13"/>
        </w:rPr>
        <w:t>Earned ANG recruiting service badge is authorized for permanent wear by Airmen with an 8R special duty identifier in their records.</w:t>
      </w:r>
    </w:p>
    <w:p>
      <w:pPr>
        <w:spacing w:after="20" w:line="223" w:lineRule="auto"/>
        <w:jc w:val="right"/>
        <w:bidi/>
      </w:pPr>
      <w:r>
        <w:rPr>
          <w:rFonts w:ascii="Arial" w:hAnsi="Arial"/>
          <w:sz w:val="16"/>
        </w:rPr>
        <w:t>518.15  هنگام حضور در PME به پوشیدن خود ادامه دهید.</w:t>
      </w:r>
    </w:p>
    <w:p>
      <w:pPr>
        <w:spacing w:after="28" w:line="216" w:lineRule="auto"/>
        <w:ind w:left="259"/>
        <w:jc w:val="left"/>
      </w:pPr>
      <w:r>
        <w:rPr>
          <w:rFonts w:ascii="Arial" w:hAnsi="Arial"/>
          <w:color w:val="525252"/>
          <w:sz w:val="13"/>
        </w:rPr>
        <w:t>Continue to wear while attending PME.</w:t>
      </w:r>
    </w:p>
    <w:p>
      <w:pPr>
        <w:spacing w:after="20" w:line="223" w:lineRule="auto"/>
        <w:jc w:val="right"/>
        <w:bidi/>
      </w:pPr>
      <w:r>
        <w:rPr>
          <w:rFonts w:ascii="Arial" w:hAnsi="Arial"/>
          <w:sz w:val="16"/>
        </w:rPr>
        <w:t>518.16  OPR عملیات استخدام گارد ملی هوایی است</w:t>
      </w:r>
    </w:p>
    <w:p>
      <w:pPr>
        <w:spacing w:after="28" w:line="216" w:lineRule="auto"/>
        <w:ind w:left="259"/>
        <w:jc w:val="left"/>
      </w:pPr>
      <w:r>
        <w:rPr>
          <w:rFonts w:ascii="Arial" w:hAnsi="Arial"/>
          <w:color w:val="525252"/>
          <w:sz w:val="13"/>
        </w:rPr>
        <w:t>OPR is Air National Guard Recruiting Operations</w:t>
      </w:r>
    </w:p>
    <w:p>
      <w:pPr>
        <w:spacing w:before="60" w:after="28"/>
        <w:jc w:val="right"/>
        <w:bidi/>
      </w:pPr>
      <w:r>
        <w:rPr>
          <w:b/>
          <w:color w:val="1F4D78"/>
          <w:sz w:val="18"/>
        </w:rPr>
        <w:t>(NGB/A1Y).</w:t>
      </w:r>
    </w:p>
    <w:p>
      <w:pPr>
        <w:spacing w:after="20"/>
        <w:ind w:left="259"/>
        <w:jc w:val="left"/>
      </w:pPr>
      <w:r>
        <w:rPr>
          <w:color w:val="555555"/>
          <w:sz w:val="12"/>
        </w:rPr>
        <w:t>(NGB/A1Y).</w:t>
      </w:r>
    </w:p>
    <w:p>
      <w:pPr>
        <w:spacing w:after="20" w:line="223" w:lineRule="auto"/>
        <w:jc w:val="right"/>
        <w:bidi/>
      </w:pPr>
      <w:r>
        <w:rPr>
          <w:rFonts w:ascii="Arial" w:hAnsi="Arial"/>
          <w:sz w:val="16"/>
        </w:rPr>
        <w:t>518.18  فرمان یکپارچه.</w:t>
      </w:r>
    </w:p>
    <w:p>
      <w:pPr>
        <w:spacing w:after="28" w:line="216" w:lineRule="auto"/>
        <w:ind w:left="259"/>
        <w:jc w:val="left"/>
      </w:pPr>
      <w:r>
        <w:rPr>
          <w:rFonts w:ascii="Arial" w:hAnsi="Arial"/>
          <w:color w:val="525252"/>
          <w:sz w:val="13"/>
        </w:rPr>
        <w:t>Unified Command.</w:t>
      </w:r>
    </w:p>
    <w:p>
      <w:pPr>
        <w:spacing w:after="20" w:line="223" w:lineRule="auto"/>
        <w:jc w:val="right"/>
        <w:bidi/>
      </w:pPr>
      <w:r>
        <w:rPr>
          <w:rFonts w:ascii="Arial" w:hAnsi="Arial"/>
          <w:sz w:val="16"/>
        </w:rPr>
        <w:t>518.19  نشان فرماندهی یکپارچه فقط برای مدت زمان مأموریت به‌کارکنان یک فرمانده رزمنده پوشیده می‌شود.</w:t>
      </w:r>
    </w:p>
    <w:p>
      <w:pPr>
        <w:spacing w:after="28" w:line="216" w:lineRule="auto"/>
        <w:ind w:left="259"/>
        <w:jc w:val="left"/>
      </w:pPr>
      <w:r>
        <w:rPr>
          <w:rFonts w:ascii="Arial" w:hAnsi="Arial"/>
          <w:color w:val="525252"/>
          <w:sz w:val="13"/>
        </w:rPr>
        <w:t>Unified Command badge is only worn for the duration of assignment to a Combatant Commander’s staff.</w:t>
      </w:r>
    </w:p>
    <w:p>
      <w:pPr>
        <w:spacing w:after="20" w:line="223" w:lineRule="auto"/>
        <w:jc w:val="right"/>
        <w:bidi/>
      </w:pPr>
      <w:r>
        <w:rPr>
          <w:rFonts w:ascii="Arial" w:hAnsi="Arial"/>
          <w:sz w:val="16"/>
        </w:rPr>
        <w:t>518.20  OPR یک CCMD یکپارچه است.</w:t>
      </w:r>
    </w:p>
    <w:p>
      <w:pPr>
        <w:spacing w:after="28" w:line="216" w:lineRule="auto"/>
        <w:ind w:left="259"/>
        <w:jc w:val="left"/>
      </w:pPr>
      <w:r>
        <w:rPr>
          <w:rFonts w:ascii="Arial" w:hAnsi="Arial"/>
          <w:color w:val="525252"/>
          <w:sz w:val="13"/>
        </w:rPr>
        <w:t>OPR is the Unified CCMD.</w:t>
      </w:r>
    </w:p>
    <w:p>
      <w:pPr>
        <w:spacing w:after="20" w:line="223" w:lineRule="auto"/>
        <w:jc w:val="right"/>
        <w:bidi/>
      </w:pPr>
      <w:r>
        <w:rPr>
          <w:rFonts w:ascii="Arial" w:hAnsi="Arial"/>
          <w:sz w:val="16"/>
        </w:rPr>
        <w:t>518.21  مرکز پرسنل نظامی ارتش.</w:t>
      </w:r>
    </w:p>
    <w:p>
      <w:pPr>
        <w:spacing w:after="28" w:line="216" w:lineRule="auto"/>
        <w:ind w:left="259"/>
        <w:jc w:val="left"/>
      </w:pPr>
      <w:r>
        <w:rPr>
          <w:rFonts w:ascii="Arial" w:hAnsi="Arial"/>
          <w:color w:val="525252"/>
          <w:sz w:val="13"/>
        </w:rPr>
        <w:t>Army Military Personnel Center.</w:t>
      </w:r>
    </w:p>
    <w:p>
      <w:pPr>
        <w:spacing w:after="20" w:line="223" w:lineRule="auto"/>
        <w:jc w:val="right"/>
        <w:bidi/>
      </w:pPr>
      <w:r>
        <w:rPr>
          <w:rFonts w:ascii="Arial" w:hAnsi="Arial"/>
          <w:sz w:val="16"/>
        </w:rPr>
        <w:t>518.22  نشان شناسایی کارکنان ارتش فقط در حین انجام وظایف در طول مدت مأموریت پوشیده می‌شود.</w:t>
      </w:r>
    </w:p>
    <w:p>
      <w:pPr>
        <w:spacing w:after="28" w:line="216" w:lineRule="auto"/>
        <w:ind w:left="259"/>
        <w:jc w:val="left"/>
      </w:pPr>
      <w:r>
        <w:rPr>
          <w:rFonts w:ascii="Arial" w:hAnsi="Arial"/>
          <w:color w:val="525252"/>
          <w:sz w:val="13"/>
        </w:rPr>
        <w:t>Army Staff identification badge is only worn while performing duties for the duration of the assignment.</w:t>
      </w:r>
    </w:p>
    <w:p>
      <w:pPr>
        <w:spacing w:after="20" w:line="223" w:lineRule="auto"/>
        <w:jc w:val="right"/>
        <w:bidi/>
      </w:pPr>
      <w:r>
        <w:rPr>
          <w:rFonts w:ascii="Arial" w:hAnsi="Arial"/>
          <w:sz w:val="16"/>
        </w:rPr>
        <w:t>518.23  OPR مرکز پرسنل نظامی ارتش است.</w:t>
      </w:r>
    </w:p>
    <w:p>
      <w:pPr>
        <w:spacing w:after="28" w:line="216" w:lineRule="auto"/>
        <w:ind w:left="259"/>
        <w:jc w:val="left"/>
      </w:pPr>
      <w:r>
        <w:rPr>
          <w:rFonts w:ascii="Arial" w:hAnsi="Arial"/>
          <w:color w:val="525252"/>
          <w:sz w:val="13"/>
        </w:rPr>
        <w:t>OPR is Army Military Personnel Center.</w:t>
      </w:r>
    </w:p>
    <w:p>
      <w:pPr>
        <w:spacing w:after="20" w:line="223" w:lineRule="auto"/>
        <w:jc w:val="right"/>
        <w:bidi/>
      </w:pPr>
      <w:r>
        <w:rPr>
          <w:rFonts w:ascii="Arial" w:hAnsi="Arial"/>
          <w:sz w:val="16"/>
        </w:rPr>
        <w:t>518.24  سازمان پیمان آتلانتیک شمالی (ناتو).</w:t>
      </w:r>
    </w:p>
    <w:p>
      <w:pPr>
        <w:spacing w:after="28" w:line="216" w:lineRule="auto"/>
        <w:ind w:left="259"/>
        <w:jc w:val="left"/>
      </w:pPr>
      <w:r>
        <w:rPr>
          <w:rFonts w:ascii="Arial" w:hAnsi="Arial"/>
          <w:color w:val="525252"/>
          <w:sz w:val="13"/>
        </w:rPr>
        <w:t>North Atlantic Treaty Organization (NATO).</w:t>
      </w:r>
    </w:p>
    <w:p>
      <w:pPr>
        <w:spacing w:after="20" w:line="223" w:lineRule="auto"/>
        <w:jc w:val="right"/>
        <w:bidi/>
      </w:pPr>
      <w:r>
        <w:rPr>
          <w:rFonts w:ascii="Arial" w:hAnsi="Arial"/>
          <w:sz w:val="16"/>
        </w:rPr>
        <w:t>518.25  نشان ناتو فقط هنگام انجام وظایف در طول مدت مأموریت پوشیده می‌شود.</w:t>
      </w:r>
    </w:p>
    <w:p>
      <w:pPr>
        <w:spacing w:after="28" w:line="216" w:lineRule="auto"/>
        <w:ind w:left="259"/>
        <w:jc w:val="left"/>
      </w:pPr>
      <w:r>
        <w:rPr>
          <w:rFonts w:ascii="Arial" w:hAnsi="Arial"/>
          <w:color w:val="525252"/>
          <w:sz w:val="13"/>
        </w:rPr>
        <w:t>The NATO badge is only worn while performing duties for the duration of the assignment.</w:t>
      </w:r>
    </w:p>
    <w:p>
      <w:pPr>
        <w:spacing w:after="20" w:line="223" w:lineRule="auto"/>
        <w:jc w:val="right"/>
        <w:bidi/>
      </w:pPr>
      <w:r>
        <w:rPr>
          <w:rFonts w:ascii="Arial" w:hAnsi="Arial"/>
          <w:sz w:val="16"/>
        </w:rPr>
        <w:t>518.26  OPR ناتو است.</w:t>
      </w:r>
    </w:p>
    <w:p>
      <w:pPr>
        <w:spacing w:after="28" w:line="216" w:lineRule="auto"/>
        <w:ind w:left="259"/>
        <w:jc w:val="left"/>
      </w:pPr>
      <w:r>
        <w:rPr>
          <w:rFonts w:ascii="Arial" w:hAnsi="Arial"/>
          <w:color w:val="525252"/>
          <w:sz w:val="13"/>
        </w:rPr>
        <w:t>OPR is NATO.</w:t>
      </w:r>
    </w:p>
    <w:p>
      <w:pPr>
        <w:spacing w:after="20" w:line="223" w:lineRule="auto"/>
        <w:jc w:val="right"/>
        <w:bidi/>
      </w:pPr>
      <w:r>
        <w:rPr>
          <w:rFonts w:ascii="Arial" w:hAnsi="Arial"/>
          <w:sz w:val="16"/>
        </w:rPr>
        <w:t>518.27  سازمان ملل متحد (UN).</w:t>
      </w:r>
    </w:p>
    <w:p>
      <w:pPr>
        <w:spacing w:after="28" w:line="216" w:lineRule="auto"/>
        <w:ind w:left="259"/>
        <w:jc w:val="left"/>
      </w:pPr>
      <w:r>
        <w:rPr>
          <w:rFonts w:ascii="Arial" w:hAnsi="Arial"/>
          <w:color w:val="525252"/>
          <w:sz w:val="13"/>
        </w:rPr>
        <w:t>United Nations (UN).</w:t>
      </w:r>
    </w:p>
    <w:p>
      <w:pPr>
        <w:spacing w:after="20" w:line="223" w:lineRule="auto"/>
        <w:jc w:val="right"/>
        <w:bidi/>
      </w:pPr>
      <w:r>
        <w:rPr>
          <w:rFonts w:ascii="Arial" w:hAnsi="Arial"/>
          <w:sz w:val="16"/>
        </w:rPr>
        <w:t>518.28  نشان سازمان ملل تنها هنگام انجام وظایف در طول مدت مأموریت پوشیده می‌شود.</w:t>
      </w:r>
    </w:p>
    <w:p>
      <w:pPr>
        <w:spacing w:after="28" w:line="216" w:lineRule="auto"/>
        <w:ind w:left="259"/>
        <w:jc w:val="left"/>
      </w:pPr>
      <w:r>
        <w:rPr>
          <w:rFonts w:ascii="Arial" w:hAnsi="Arial"/>
          <w:color w:val="525252"/>
          <w:sz w:val="13"/>
        </w:rPr>
        <w:t>The UN badge is only worn while performing duties for the duration of the assignment.</w:t>
      </w:r>
    </w:p>
    <w:p>
      <w:pPr>
        <w:spacing w:after="20" w:line="223" w:lineRule="auto"/>
        <w:jc w:val="right"/>
        <w:bidi/>
      </w:pPr>
      <w:r>
        <w:rPr>
          <w:rFonts w:ascii="Arial" w:hAnsi="Arial"/>
          <w:sz w:val="16"/>
        </w:rPr>
        <w:t>518.29  OPR سازمان ملل است.</w:t>
      </w:r>
    </w:p>
    <w:p>
      <w:pPr>
        <w:spacing w:after="28" w:line="216" w:lineRule="auto"/>
        <w:ind w:left="259"/>
        <w:jc w:val="left"/>
      </w:pPr>
      <w:r>
        <w:rPr>
          <w:rFonts w:ascii="Arial" w:hAnsi="Arial"/>
          <w:color w:val="525252"/>
          <w:sz w:val="13"/>
        </w:rPr>
        <w:t>OPR is the UN.</w:t>
      </w:r>
    </w:p>
    <w:p>
      <w:pPr>
        <w:spacing w:after="20" w:line="223" w:lineRule="auto"/>
        <w:jc w:val="right"/>
        <w:bidi/>
      </w:pPr>
      <w:r>
        <w:rPr>
          <w:rFonts w:ascii="Arial" w:hAnsi="Arial"/>
          <w:sz w:val="16"/>
        </w:rPr>
        <w:t>518.30  نیروهای امنیتی.</w:t>
      </w:r>
    </w:p>
    <w:p>
      <w:pPr>
        <w:spacing w:after="28" w:line="216" w:lineRule="auto"/>
        <w:ind w:left="259"/>
        <w:jc w:val="left"/>
      </w:pPr>
      <w:r>
        <w:rPr>
          <w:rFonts w:ascii="Arial" w:hAnsi="Arial"/>
          <w:color w:val="525252"/>
          <w:sz w:val="13"/>
        </w:rPr>
        <w:t>Security Forces.</w:t>
      </w:r>
    </w:p>
    <w:p>
      <w:pPr>
        <w:spacing w:after="20" w:line="223" w:lineRule="auto"/>
        <w:jc w:val="right"/>
        <w:bidi/>
      </w:pPr>
      <w:r>
        <w:rPr>
          <w:rFonts w:ascii="Arial" w:hAnsi="Arial"/>
          <w:sz w:val="16"/>
        </w:rPr>
        <w:t>518.31  سپر نیروهای امنیتی در حین انجام وظایف فقط در شمش‌های کنترل AFSC ۳۱PX یا ۳پ۰XX پوشیده می‌شود.</w:t>
      </w:r>
    </w:p>
    <w:p>
      <w:pPr>
        <w:spacing w:after="28" w:line="216" w:lineRule="auto"/>
        <w:ind w:left="259"/>
        <w:jc w:val="left"/>
      </w:pPr>
      <w:r>
        <w:rPr>
          <w:rFonts w:ascii="Arial" w:hAnsi="Arial"/>
          <w:color w:val="525252"/>
          <w:sz w:val="13"/>
        </w:rPr>
        <w:t>Security Forces shield is worn while performing duties in control AFSC 31PX or 3P0XX billets only.</w:t>
      </w:r>
    </w:p>
    <w:p>
      <w:pPr>
        <w:spacing w:after="20" w:line="223" w:lineRule="auto"/>
        <w:jc w:val="right"/>
        <w:bidi/>
      </w:pPr>
      <w:r>
        <w:rPr>
          <w:rFonts w:ascii="Arial" w:hAnsi="Arial"/>
          <w:sz w:val="16"/>
        </w:rPr>
        <w:t>518.32  استثنا: به پوشیدن سپر SF و کلاهک در حین حضور در PME ادامه دهید و به وظایف مشترک، مربی و استخدام‌کننده اختصاص داده شده است یا در صورت تأیید OPR.</w:t>
      </w:r>
    </w:p>
    <w:p>
      <w:pPr>
        <w:spacing w:after="28" w:line="216" w:lineRule="auto"/>
        <w:ind w:left="259"/>
        <w:jc w:val="left"/>
      </w:pPr>
      <w:r>
        <w:rPr>
          <w:rFonts w:ascii="Arial" w:hAnsi="Arial"/>
          <w:color w:val="525252"/>
          <w:sz w:val="13"/>
        </w:rPr>
        <w:t>Exception: Continue to wear SF shield and beret together while attending PME and assigned to joint, instructor, and recruiter duties, or if approved by OPR.</w:t>
      </w:r>
    </w:p>
    <w:p>
      <w:pPr>
        <w:spacing w:after="20" w:line="223" w:lineRule="auto"/>
        <w:jc w:val="right"/>
        <w:bidi/>
      </w:pPr>
      <w:r>
        <w:rPr>
          <w:rFonts w:ascii="Arial" w:hAnsi="Arial"/>
          <w:sz w:val="16"/>
        </w:rPr>
        <w:t>518.33  OPR اداره نیروهای امنیتی HAF (AF/ا۴س) است.</w:t>
      </w:r>
    </w:p>
    <w:p>
      <w:pPr>
        <w:spacing w:after="28" w:line="216" w:lineRule="auto"/>
        <w:ind w:left="259"/>
        <w:jc w:val="left"/>
      </w:pPr>
      <w:r>
        <w:rPr>
          <w:rFonts w:ascii="Arial" w:hAnsi="Arial"/>
          <w:color w:val="525252"/>
          <w:sz w:val="13"/>
        </w:rPr>
        <w:t>OPR is HAF Security Forces Directorate (AF/A4S).</w:t>
      </w:r>
    </w:p>
    <w:p>
      <w:pPr>
        <w:spacing w:after="20" w:line="223" w:lineRule="auto"/>
        <w:jc w:val="right"/>
        <w:bidi/>
      </w:pPr>
      <w:r>
        <w:rPr>
          <w:rFonts w:ascii="Arial" w:hAnsi="Arial"/>
          <w:sz w:val="16"/>
        </w:rPr>
        <w:t>518.34  مهندسی عمران.</w:t>
      </w:r>
    </w:p>
    <w:p>
      <w:pPr>
        <w:spacing w:after="28" w:line="216" w:lineRule="auto"/>
        <w:ind w:left="259"/>
        <w:jc w:val="left"/>
      </w:pPr>
      <w:r>
        <w:rPr>
          <w:rFonts w:ascii="Arial" w:hAnsi="Arial"/>
          <w:color w:val="525252"/>
          <w:sz w:val="13"/>
        </w:rPr>
        <w:t>Civil Engineering.</w:t>
      </w:r>
    </w:p>
    <w:p>
      <w:pPr>
        <w:spacing w:after="20" w:line="223" w:lineRule="auto"/>
        <w:jc w:val="right"/>
        <w:bidi/>
      </w:pPr>
      <w:r>
        <w:rPr>
          <w:rFonts w:ascii="Arial" w:hAnsi="Arial"/>
          <w:sz w:val="16"/>
        </w:rPr>
        <w:t>518.35  هنگام انجام وظایف حفاظت از حریق، سپر ضد حریق پوشیده می‌شود.</w:t>
      </w:r>
    </w:p>
    <w:p>
      <w:pPr>
        <w:spacing w:after="28" w:line="216" w:lineRule="auto"/>
        <w:ind w:left="259"/>
        <w:jc w:val="left"/>
      </w:pPr>
      <w:r>
        <w:rPr>
          <w:rFonts w:ascii="Arial" w:hAnsi="Arial"/>
          <w:color w:val="525252"/>
          <w:sz w:val="13"/>
        </w:rPr>
        <w:t>Fire protection shield is worn while performing fire protection duties.</w:t>
      </w:r>
    </w:p>
    <w:p>
      <w:pPr>
        <w:spacing w:after="20" w:line="223" w:lineRule="auto"/>
        <w:jc w:val="right"/>
        <w:bidi/>
      </w:pPr>
      <w:r>
        <w:rPr>
          <w:rFonts w:ascii="Arial" w:hAnsi="Arial"/>
          <w:sz w:val="16"/>
        </w:rPr>
        <w:t>518.36  استثنا: به پوشیدن لباس در حین حضور در آموزش نظامی حرفه‌ای یا محول شدن به وظایف مشترک، مربی، استخدامی یا سایر وظایف ویژه توسعه‌ای ادامه دهید.</w:t>
      </w:r>
    </w:p>
    <w:p>
      <w:pPr>
        <w:spacing w:after="28" w:line="216" w:lineRule="auto"/>
        <w:ind w:left="259"/>
        <w:jc w:val="left"/>
      </w:pPr>
      <w:r>
        <w:rPr>
          <w:rFonts w:ascii="Arial" w:hAnsi="Arial"/>
          <w:color w:val="525252"/>
          <w:sz w:val="13"/>
        </w:rPr>
        <w:t>Exception: Continue to wear while attending profession military education or assigned to joint, instructor, recruiter duties, or other developmental special duty assignments.</w:t>
      </w:r>
    </w:p>
    <w:p>
      <w:pPr>
        <w:spacing w:after="20" w:line="223" w:lineRule="auto"/>
        <w:jc w:val="right"/>
        <w:bidi/>
      </w:pPr>
      <w:r>
        <w:rPr>
          <w:rFonts w:ascii="Arial" w:hAnsi="Arial"/>
          <w:sz w:val="16"/>
        </w:rPr>
        <w:t>518.37  OPR اداره مهندسین عمران HAF (AF/ا۴ک) است.</w:t>
      </w:r>
    </w:p>
    <w:p>
      <w:pPr>
        <w:spacing w:after="28" w:line="216" w:lineRule="auto"/>
        <w:ind w:left="259"/>
        <w:jc w:val="left"/>
      </w:pPr>
      <w:r>
        <w:rPr>
          <w:rFonts w:ascii="Arial" w:hAnsi="Arial"/>
          <w:color w:val="525252"/>
          <w:sz w:val="13"/>
        </w:rPr>
        <w:t>OPR is HAF Directorate of Civil Engineers (AF/A4C).</w:t>
      </w:r>
    </w:p>
    <w:p>
      <w:pPr>
        <w:spacing w:after="20" w:line="223" w:lineRule="auto"/>
        <w:jc w:val="right"/>
        <w:bidi/>
      </w:pPr>
      <w:r>
        <w:rPr>
          <w:rFonts w:ascii="Arial" w:hAnsi="Arial"/>
          <w:sz w:val="16"/>
        </w:rPr>
        <w:t>518.38  دفتر تحقیقات ویژه نیروی هوایی (AFOSI).</w:t>
      </w:r>
    </w:p>
    <w:p>
      <w:pPr>
        <w:spacing w:after="28" w:line="216" w:lineRule="auto"/>
        <w:ind w:left="259"/>
        <w:jc w:val="left"/>
      </w:pPr>
      <w:r>
        <w:rPr>
          <w:rFonts w:ascii="Arial" w:hAnsi="Arial"/>
          <w:color w:val="525252"/>
          <w:sz w:val="13"/>
        </w:rPr>
        <w:t>Air Force Office of Special Investigations (AFOSI).</w:t>
      </w:r>
    </w:p>
    <w:p>
      <w:pPr>
        <w:spacing w:after="20" w:line="223" w:lineRule="auto"/>
        <w:jc w:val="right"/>
        <w:bidi/>
      </w:pPr>
      <w:r>
        <w:rPr>
          <w:rFonts w:ascii="Arial" w:hAnsi="Arial"/>
          <w:sz w:val="16"/>
        </w:rPr>
        <w:t>518.39  محافظ AFOSI طبق دستور AFOSI/CC پوشیده شده است.</w:t>
      </w:r>
    </w:p>
    <w:p>
      <w:pPr>
        <w:spacing w:after="28" w:line="216" w:lineRule="auto"/>
        <w:ind w:left="259"/>
        <w:jc w:val="left"/>
      </w:pPr>
      <w:r>
        <w:rPr>
          <w:rFonts w:ascii="Arial" w:hAnsi="Arial"/>
          <w:color w:val="525252"/>
          <w:sz w:val="13"/>
        </w:rPr>
        <w:t>AFOSI shield is worn as directed by AFOSI/CC.</w:t>
      </w:r>
    </w:p>
    <w:p>
      <w:pPr>
        <w:spacing w:after="20" w:line="223" w:lineRule="auto"/>
        <w:jc w:val="right"/>
        <w:bidi/>
      </w:pPr>
      <w:r>
        <w:rPr>
          <w:rFonts w:ascii="Arial" w:hAnsi="Arial"/>
          <w:sz w:val="16"/>
        </w:rPr>
        <w:t>518.40  OPR AFOSI است.</w:t>
      </w:r>
    </w:p>
    <w:p>
      <w:pPr>
        <w:spacing w:after="28" w:line="216" w:lineRule="auto"/>
        <w:ind w:left="259"/>
        <w:jc w:val="left"/>
      </w:pPr>
      <w:r>
        <w:rPr>
          <w:rFonts w:ascii="Arial" w:hAnsi="Arial"/>
          <w:color w:val="525252"/>
          <w:sz w:val="13"/>
        </w:rPr>
        <w:t>OPR is AFOSI.</w:t>
      </w:r>
    </w:p>
    <w:p>
      <w:pPr>
        <w:spacing w:after="20" w:line="223" w:lineRule="auto"/>
        <w:jc w:val="right"/>
        <w:bidi/>
      </w:pPr>
      <w:r>
        <w:rPr>
          <w:rFonts w:ascii="Arial" w:hAnsi="Arial"/>
          <w:sz w:val="16"/>
        </w:rPr>
        <w:t>518.41  آموزش حرفه‌ای نظامی (EPME).</w:t>
      </w:r>
    </w:p>
    <w:p>
      <w:pPr>
        <w:spacing w:after="28" w:line="216" w:lineRule="auto"/>
        <w:ind w:left="259"/>
        <w:jc w:val="left"/>
      </w:pPr>
      <w:r>
        <w:rPr>
          <w:rFonts w:ascii="Arial" w:hAnsi="Arial"/>
          <w:color w:val="525252"/>
          <w:sz w:val="13"/>
        </w:rPr>
        <w:t>Enlisted Professional Military Education (EPME).</w:t>
      </w:r>
    </w:p>
    <w:p>
      <w:pPr>
        <w:spacing w:after="20" w:line="223" w:lineRule="auto"/>
        <w:jc w:val="right"/>
        <w:bidi/>
      </w:pPr>
      <w:r>
        <w:rPr>
          <w:rFonts w:ascii="Arial" w:hAnsi="Arial"/>
          <w:sz w:val="16"/>
        </w:rPr>
        <w:t>518.42  هوانوردان و نگهبانان، با مربیان آموزش نظامی حرفه‌ای ۸ت۰۰۰ شناسه وظیفه ویژه و مربیان مشترک و خارجی EPME مجاز به پوشیدن دائم نشان EPME نیروی هوایی خود هستند.</w:t>
      </w:r>
    </w:p>
    <w:p>
      <w:pPr>
        <w:spacing w:after="28" w:line="216" w:lineRule="auto"/>
        <w:ind w:left="259"/>
        <w:jc w:val="left"/>
      </w:pPr>
      <w:r>
        <w:rPr>
          <w:rFonts w:ascii="Arial" w:hAnsi="Arial"/>
          <w:color w:val="525252"/>
          <w:sz w:val="13"/>
        </w:rPr>
        <w:t>Airmen and Guardians, with a Professional Military Education Instructors 8T000 Special Duty Identifier and Joint and Foreign EPME instructors are authorized permanent wear of their awarded Air Force EPME Badge.</w:t>
      </w:r>
    </w:p>
    <w:p>
      <w:pPr>
        <w:spacing w:after="20" w:line="223" w:lineRule="auto"/>
        <w:jc w:val="right"/>
        <w:bidi/>
      </w:pPr>
      <w:r>
        <w:rPr>
          <w:rFonts w:ascii="Arial" w:hAnsi="Arial"/>
          <w:sz w:val="16"/>
        </w:rPr>
        <w:t>518.43  OPR AF/ا۱ است.</w:t>
      </w:r>
    </w:p>
    <w:p>
      <w:pPr>
        <w:spacing w:after="28" w:line="216" w:lineRule="auto"/>
        <w:ind w:left="259"/>
        <w:jc w:val="left"/>
      </w:pPr>
      <w:r>
        <w:rPr>
          <w:rFonts w:ascii="Arial" w:hAnsi="Arial"/>
          <w:color w:val="525252"/>
          <w:sz w:val="13"/>
        </w:rPr>
        <w:t>OPR is AF/A1.</w:t>
      </w:r>
    </w:p>
    <w:p>
      <w:pPr>
        <w:spacing w:after="20" w:line="223" w:lineRule="auto"/>
        <w:jc w:val="right"/>
        <w:bidi/>
      </w:pPr>
      <w:r>
        <w:rPr>
          <w:rFonts w:ascii="Arial" w:hAnsi="Arial"/>
          <w:sz w:val="16"/>
        </w:rPr>
        <w:t>518.44  آژانس کمیساریای دفاع (دکا).</w:t>
      </w:r>
    </w:p>
    <w:p>
      <w:pPr>
        <w:spacing w:after="28" w:line="216" w:lineRule="auto"/>
        <w:ind w:left="259"/>
        <w:jc w:val="left"/>
      </w:pPr>
      <w:r>
        <w:rPr>
          <w:rFonts w:ascii="Arial" w:hAnsi="Arial"/>
          <w:color w:val="525252"/>
          <w:sz w:val="13"/>
        </w:rPr>
        <w:t>Defense Commissary Agency (DeCA).</w:t>
      </w:r>
    </w:p>
    <w:p>
      <w:pPr>
        <w:spacing w:after="20" w:line="223" w:lineRule="auto"/>
        <w:jc w:val="right"/>
        <w:bidi/>
      </w:pPr>
      <w:r>
        <w:rPr>
          <w:rFonts w:ascii="Arial" w:hAnsi="Arial"/>
          <w:sz w:val="16"/>
        </w:rPr>
        <w:t>518.45  نشان کمیساری فقط در حین انجام وظایف در طول مدت مأموریت پوشیده می‌شود.</w:t>
      </w:r>
    </w:p>
    <w:p>
      <w:pPr>
        <w:spacing w:after="28" w:line="216" w:lineRule="auto"/>
        <w:ind w:left="259"/>
        <w:jc w:val="left"/>
      </w:pPr>
      <w:r>
        <w:rPr>
          <w:rFonts w:ascii="Arial" w:hAnsi="Arial"/>
          <w:color w:val="525252"/>
          <w:sz w:val="13"/>
        </w:rPr>
        <w:t>The Commissary badge is only worn while performing duties for the duration of the assignment.</w:t>
      </w:r>
    </w:p>
    <w:p>
      <w:pPr>
        <w:spacing w:after="20" w:line="223" w:lineRule="auto"/>
        <w:jc w:val="right"/>
        <w:bidi/>
      </w:pPr>
      <w:r>
        <w:rPr>
          <w:rFonts w:ascii="Arial" w:hAnsi="Arial"/>
          <w:sz w:val="16"/>
        </w:rPr>
        <w:t>518.46  OPR DECA است.</w:t>
      </w:r>
    </w:p>
    <w:p>
      <w:pPr>
        <w:spacing w:after="28" w:line="216" w:lineRule="auto"/>
        <w:ind w:left="259"/>
        <w:jc w:val="left"/>
      </w:pPr>
      <w:r>
        <w:rPr>
          <w:rFonts w:ascii="Arial" w:hAnsi="Arial"/>
          <w:color w:val="525252"/>
          <w:sz w:val="13"/>
        </w:rPr>
        <w:t>OPR is DECA.</w:t>
      </w:r>
    </w:p>
    <w:p>
      <w:pPr>
        <w:spacing w:after="20" w:line="223" w:lineRule="auto"/>
        <w:jc w:val="right"/>
        <w:bidi/>
      </w:pPr>
      <w:r>
        <w:rPr>
          <w:rFonts w:ascii="Arial" w:hAnsi="Arial"/>
          <w:sz w:val="16"/>
        </w:rPr>
        <w:t>518.47  آژانس سیستم‌های اطلاعات دفاعی (DISA).</w:t>
      </w:r>
    </w:p>
    <w:p>
      <w:pPr>
        <w:spacing w:after="28" w:line="216" w:lineRule="auto"/>
        <w:ind w:left="259"/>
        <w:jc w:val="left"/>
      </w:pPr>
      <w:r>
        <w:rPr>
          <w:rFonts w:ascii="Arial" w:hAnsi="Arial"/>
          <w:color w:val="525252"/>
          <w:sz w:val="13"/>
        </w:rPr>
        <w:t>Defense Information Systems Agency (DISA).</w:t>
      </w:r>
    </w:p>
    <w:p>
      <w:pPr>
        <w:spacing w:after="20" w:line="223" w:lineRule="auto"/>
        <w:jc w:val="right"/>
        <w:bidi/>
      </w:pPr>
      <w:r>
        <w:rPr>
          <w:rFonts w:ascii="Arial" w:hAnsi="Arial"/>
          <w:sz w:val="16"/>
        </w:rPr>
        <w:t>518.48  نشان فرماندهی DISA فقط در حین انجام وظایف در طول مدت تکلیف پوشیده می‌شود.</w:t>
      </w:r>
    </w:p>
    <w:p>
      <w:pPr>
        <w:spacing w:after="28" w:line="216" w:lineRule="auto"/>
        <w:ind w:left="259"/>
        <w:jc w:val="left"/>
      </w:pPr>
      <w:r>
        <w:rPr>
          <w:rFonts w:ascii="Arial" w:hAnsi="Arial"/>
          <w:color w:val="525252"/>
          <w:sz w:val="13"/>
        </w:rPr>
        <w:t>The DISA command badge is only worn while performing duties for the duration of the assignment.</w:t>
      </w:r>
    </w:p>
    <w:p>
      <w:pPr>
        <w:spacing w:after="20" w:line="223" w:lineRule="auto"/>
        <w:jc w:val="right"/>
        <w:bidi/>
      </w:pPr>
      <w:r>
        <w:rPr>
          <w:rFonts w:ascii="Arial" w:hAnsi="Arial"/>
          <w:sz w:val="16"/>
        </w:rPr>
        <w:t>518.49  OPR DISA است.</w:t>
      </w:r>
    </w:p>
    <w:p>
      <w:pPr>
        <w:spacing w:after="28" w:line="216" w:lineRule="auto"/>
        <w:ind w:left="259"/>
        <w:jc w:val="left"/>
      </w:pPr>
      <w:r>
        <w:rPr>
          <w:rFonts w:ascii="Arial" w:hAnsi="Arial"/>
          <w:color w:val="525252"/>
          <w:sz w:val="13"/>
        </w:rPr>
        <w:t>OPR is DISA.</w:t>
      </w:r>
    </w:p>
    <w:p>
      <w:pPr>
        <w:spacing w:after="20" w:line="223" w:lineRule="auto"/>
        <w:jc w:val="right"/>
        <w:bidi/>
      </w:pPr>
      <w:r>
        <w:rPr>
          <w:rFonts w:ascii="Arial" w:hAnsi="Arial"/>
          <w:sz w:val="16"/>
        </w:rPr>
        <w:t>518.50  خدمات مالی و حسابداری دفاعی (DFAS). نشان شناسایی</w:t>
      </w:r>
    </w:p>
    <w:p>
      <w:pPr>
        <w:spacing w:after="28" w:line="216" w:lineRule="auto"/>
        <w:ind w:left="259"/>
        <w:jc w:val="left"/>
      </w:pPr>
      <w:r>
        <w:rPr>
          <w:rFonts w:ascii="Arial" w:hAnsi="Arial"/>
          <w:color w:val="525252"/>
          <w:sz w:val="13"/>
        </w:rPr>
        <w:t>Defense Finance and Accounting Service (DFAS).</w:t>
      </w:r>
    </w:p>
    <w:p>
      <w:pPr>
        <w:spacing w:after="20" w:line="223" w:lineRule="auto"/>
        <w:jc w:val="right"/>
        <w:bidi/>
      </w:pPr>
      <w:r>
        <w:rPr>
          <w:rFonts w:ascii="Arial" w:hAnsi="Arial"/>
          <w:sz w:val="16"/>
        </w:rPr>
        <w:t>518.51  DFAS فقط در حین انجام وظایف در طول مدت تکلیف پوشیده می‌شود.</w:t>
      </w:r>
    </w:p>
    <w:p>
      <w:pPr>
        <w:spacing w:after="28" w:line="216" w:lineRule="auto"/>
        <w:ind w:left="259"/>
        <w:jc w:val="left"/>
      </w:pPr>
      <w:r>
        <w:rPr>
          <w:rFonts w:ascii="Arial" w:hAnsi="Arial"/>
          <w:color w:val="525252"/>
          <w:sz w:val="13"/>
        </w:rPr>
        <w:t>DFAS identification badge is only worn while performing duties for the duration of the assignment.</w:t>
      </w:r>
    </w:p>
    <w:p>
      <w:pPr>
        <w:spacing w:after="20" w:line="223" w:lineRule="auto"/>
        <w:jc w:val="right"/>
        <w:bidi/>
      </w:pPr>
      <w:r>
        <w:rPr>
          <w:rFonts w:ascii="Arial" w:hAnsi="Arial"/>
          <w:sz w:val="16"/>
        </w:rPr>
        <w:t>518.52  OPR DFAS است.</w:t>
      </w:r>
    </w:p>
    <w:p>
      <w:pPr>
        <w:spacing w:after="28" w:line="216" w:lineRule="auto"/>
        <w:ind w:left="259"/>
        <w:jc w:val="left"/>
      </w:pPr>
      <w:r>
        <w:rPr>
          <w:rFonts w:ascii="Arial" w:hAnsi="Arial"/>
          <w:color w:val="525252"/>
          <w:sz w:val="13"/>
        </w:rPr>
        <w:t>OPR is DFAS.</w:t>
      </w:r>
    </w:p>
    <w:p>
      <w:r>
        <w:br w:type="page"/>
      </w:r>
    </w:p>
    <w:p>
      <w:pPr>
        <w:spacing w:after="60"/>
        <w:jc w:val="right"/>
        <w:bidi/>
      </w:pPr>
      <w:r>
        <w:rPr>
          <w:rFonts w:ascii="Arial" w:hAnsi="Arial"/>
          <w:b/>
          <w:color w:val="1F4D78"/>
          <w:sz w:val="19"/>
        </w:rPr>
        <w:t>هفتهٔ 519  |  صفحهٔ منبع: 535</w:t>
      </w:r>
    </w:p>
    <w:p>
      <w:pPr>
        <w:spacing w:after="20" w:line="223" w:lineRule="auto"/>
        <w:jc w:val="right"/>
        <w:bidi/>
      </w:pPr>
      <w:r>
        <w:rPr>
          <w:rFonts w:ascii="Arial" w:hAnsi="Arial"/>
          <w:sz w:val="16"/>
        </w:rPr>
        <w:t>519.01  خدمات پستی نظامی (MPS). نشان شناسایی MPS ⟦۰۰۲ فقط هنگام انجام وظیفه پستی پوشیده می‌شود.</w:t>
      </w:r>
    </w:p>
    <w:p>
      <w:pPr>
        <w:spacing w:after="28" w:line="216" w:lineRule="auto"/>
        <w:ind w:left="259"/>
        <w:jc w:val="left"/>
      </w:pPr>
      <w:r>
        <w:rPr>
          <w:rFonts w:ascii="Arial" w:hAnsi="Arial"/>
          <w:color w:val="525252"/>
          <w:sz w:val="13"/>
        </w:rPr>
        <w:t>Military Postal Service (MPS).</w:t>
      </w:r>
    </w:p>
    <w:p>
      <w:pPr>
        <w:spacing w:after="20" w:line="223" w:lineRule="auto"/>
        <w:jc w:val="right"/>
        <w:bidi/>
      </w:pPr>
      <w:r>
        <w:rPr>
          <w:rFonts w:ascii="Arial" w:hAnsi="Arial"/>
          <w:sz w:val="16"/>
        </w:rPr>
        <w:t>519.02  نشان شناسایی MPS فقط هنگام انجام وظیفه پستی پوشیده می‌شود.</w:t>
      </w:r>
    </w:p>
    <w:p>
      <w:pPr>
        <w:spacing w:after="28" w:line="216" w:lineRule="auto"/>
        <w:ind w:left="259"/>
        <w:jc w:val="left"/>
      </w:pPr>
      <w:r>
        <w:rPr>
          <w:rFonts w:ascii="Arial" w:hAnsi="Arial"/>
          <w:color w:val="525252"/>
          <w:sz w:val="13"/>
        </w:rPr>
        <w:t>MPS identification badge is only worn while performing postal duty.</w:t>
      </w:r>
    </w:p>
    <w:p>
      <w:pPr>
        <w:spacing w:after="20" w:line="223" w:lineRule="auto"/>
        <w:jc w:val="right"/>
        <w:bidi/>
      </w:pPr>
      <w:r>
        <w:rPr>
          <w:rFonts w:ascii="Arial" w:hAnsi="Arial"/>
          <w:sz w:val="16"/>
        </w:rPr>
        <w:t>519.03  OPR MPS است.</w:t>
      </w:r>
    </w:p>
    <w:p>
      <w:pPr>
        <w:spacing w:after="28" w:line="216" w:lineRule="auto"/>
        <w:ind w:left="259"/>
        <w:jc w:val="left"/>
      </w:pPr>
      <w:r>
        <w:rPr>
          <w:rFonts w:ascii="Arial" w:hAnsi="Arial"/>
          <w:color w:val="525252"/>
          <w:sz w:val="13"/>
        </w:rPr>
        <w:t>OPR is MPS.</w:t>
      </w:r>
    </w:p>
    <w:p>
      <w:pPr>
        <w:spacing w:after="20" w:line="223" w:lineRule="auto"/>
        <w:jc w:val="right"/>
        <w:bidi/>
      </w:pPr>
      <w:r>
        <w:rPr>
          <w:rFonts w:ascii="Arial" w:hAnsi="Arial"/>
          <w:sz w:val="16"/>
        </w:rPr>
        <w:t>519.04  USAF هونور گوارد (AF/HG) و USAF باس هونور گوارد.</w:t>
      </w:r>
    </w:p>
    <w:p>
      <w:pPr>
        <w:spacing w:after="28" w:line="216" w:lineRule="auto"/>
        <w:ind w:left="259"/>
        <w:jc w:val="left"/>
      </w:pPr>
      <w:r>
        <w:rPr>
          <w:rFonts w:ascii="Arial" w:hAnsi="Arial"/>
          <w:color w:val="525252"/>
          <w:sz w:val="13"/>
        </w:rPr>
        <w:t>USAF Honor Guard (AF/HG) and USAF Base Honor Guard.</w:t>
      </w:r>
    </w:p>
    <w:p>
      <w:pPr>
        <w:spacing w:after="20" w:line="223" w:lineRule="auto"/>
        <w:jc w:val="right"/>
        <w:bidi/>
      </w:pPr>
      <w:r>
        <w:rPr>
          <w:rFonts w:ascii="Arial" w:hAnsi="Arial"/>
          <w:sz w:val="16"/>
        </w:rPr>
        <w:t>519.05  نشان کسب شده USAF HG مجاز به پوشیدن دائمی توسط هوانوردان با شناسه وظیفه ویژه ۸گ۰۰۰ (شرکت شده) و ۸۵گ۰ (افسر) در سوابق آنها است.</w:t>
      </w:r>
    </w:p>
    <w:p>
      <w:pPr>
        <w:spacing w:after="28" w:line="216" w:lineRule="auto"/>
        <w:ind w:left="259"/>
        <w:jc w:val="left"/>
      </w:pPr>
      <w:r>
        <w:rPr>
          <w:rFonts w:ascii="Arial" w:hAnsi="Arial"/>
          <w:color w:val="525252"/>
          <w:sz w:val="13"/>
        </w:rPr>
        <w:t>Earned USAF HG badge is authorized for permanent wear by Airmen with an 8G000 (enlisted) and 85G0 (officer) special duty identifier in their records.</w:t>
      </w:r>
    </w:p>
    <w:p>
      <w:pPr>
        <w:spacing w:after="20" w:line="223" w:lineRule="auto"/>
        <w:jc w:val="right"/>
        <w:bidi/>
      </w:pPr>
      <w:r>
        <w:rPr>
          <w:rFonts w:ascii="Arial" w:hAnsi="Arial"/>
          <w:sz w:val="16"/>
        </w:rPr>
        <w:t>519.06  نشان‌های گارد افتخاری پایه فقط هنگام انجام وظایف گارد افتخار پوشیده می‌شوند.</w:t>
      </w:r>
    </w:p>
    <w:p>
      <w:pPr>
        <w:spacing w:after="28" w:line="216" w:lineRule="auto"/>
        <w:ind w:left="259"/>
        <w:jc w:val="left"/>
      </w:pPr>
      <w:r>
        <w:rPr>
          <w:rFonts w:ascii="Arial" w:hAnsi="Arial"/>
          <w:color w:val="525252"/>
          <w:sz w:val="13"/>
        </w:rPr>
        <w:t>Base Honor Guard badges are only worn while performing honor guard duties.</w:t>
      </w:r>
    </w:p>
    <w:p>
      <w:pPr>
        <w:spacing w:after="20" w:line="223" w:lineRule="auto"/>
        <w:jc w:val="right"/>
        <w:bidi/>
      </w:pPr>
      <w:r>
        <w:rPr>
          <w:rFonts w:ascii="Arial" w:hAnsi="Arial"/>
          <w:sz w:val="16"/>
        </w:rPr>
        <w:t>519.07  OPR AF/HG است.</w:t>
      </w:r>
    </w:p>
    <w:p>
      <w:pPr>
        <w:spacing w:after="28" w:line="216" w:lineRule="auto"/>
        <w:ind w:left="259"/>
        <w:jc w:val="left"/>
      </w:pPr>
      <w:r>
        <w:rPr>
          <w:rFonts w:ascii="Arial" w:hAnsi="Arial"/>
          <w:color w:val="525252"/>
          <w:sz w:val="13"/>
        </w:rPr>
        <w:t>OPR is AF/HG.</w:t>
      </w:r>
    </w:p>
    <w:p>
      <w:pPr>
        <w:spacing w:after="20" w:line="223" w:lineRule="auto"/>
        <w:jc w:val="right"/>
        <w:bidi/>
      </w:pPr>
      <w:r>
        <w:rPr>
          <w:rFonts w:ascii="Arial" w:hAnsi="Arial"/>
          <w:sz w:val="16"/>
        </w:rPr>
        <w:t>519.08  دانشگاه دفاع ملی (NDU). نشان</w:t>
      </w:r>
    </w:p>
    <w:p>
      <w:pPr>
        <w:spacing w:after="28" w:line="216" w:lineRule="auto"/>
        <w:ind w:left="259"/>
        <w:jc w:val="left"/>
      </w:pPr>
      <w:r>
        <w:rPr>
          <w:rFonts w:ascii="Arial" w:hAnsi="Arial"/>
          <w:color w:val="525252"/>
          <w:sz w:val="13"/>
        </w:rPr>
        <w:t>National Defense University (NDU).</w:t>
      </w:r>
    </w:p>
    <w:p>
      <w:pPr>
        <w:spacing w:after="20" w:line="223" w:lineRule="auto"/>
        <w:jc w:val="right"/>
        <w:bidi/>
      </w:pPr>
      <w:r>
        <w:rPr>
          <w:rFonts w:ascii="Arial" w:hAnsi="Arial"/>
          <w:sz w:val="16"/>
        </w:rPr>
        <w:t>519.09  NDU فقط زمانی پوشیده می‌شود که به اعضای هیئت علمی یا کارکنان NDU اختصاص داده شده است.</w:t>
      </w:r>
    </w:p>
    <w:p>
      <w:pPr>
        <w:spacing w:after="28" w:line="216" w:lineRule="auto"/>
        <w:ind w:left="259"/>
        <w:jc w:val="left"/>
      </w:pPr>
      <w:r>
        <w:rPr>
          <w:rFonts w:ascii="Arial" w:hAnsi="Arial"/>
          <w:color w:val="525252"/>
          <w:sz w:val="13"/>
        </w:rPr>
        <w:t>NDU badge is only worn while assigned to the NDU faculty or staff.</w:t>
      </w:r>
    </w:p>
    <w:p>
      <w:pPr>
        <w:spacing w:after="20" w:line="223" w:lineRule="auto"/>
        <w:jc w:val="right"/>
        <w:bidi/>
      </w:pPr>
      <w:r>
        <w:rPr>
          <w:rFonts w:ascii="Arial" w:hAnsi="Arial"/>
          <w:sz w:val="16"/>
        </w:rPr>
        <w:t>519.10  OPR NDU است.</w:t>
      </w:r>
    </w:p>
    <w:p>
      <w:pPr>
        <w:spacing w:after="28" w:line="216" w:lineRule="auto"/>
        <w:ind w:left="259"/>
        <w:jc w:val="left"/>
      </w:pPr>
      <w:r>
        <w:rPr>
          <w:rFonts w:ascii="Arial" w:hAnsi="Arial"/>
          <w:color w:val="525252"/>
          <w:sz w:val="13"/>
        </w:rPr>
        <w:t>OPR is NDU.</w:t>
      </w:r>
    </w:p>
    <w:p>
      <w:pPr>
        <w:spacing w:after="20" w:line="223" w:lineRule="auto"/>
        <w:jc w:val="right"/>
        <w:bidi/>
      </w:pPr>
      <w:r>
        <w:rPr>
          <w:rFonts w:ascii="Arial" w:hAnsi="Arial"/>
          <w:sz w:val="16"/>
        </w:rPr>
        <w:t>519.11  آکادمی USAF (USAFA).</w:t>
      </w:r>
    </w:p>
    <w:p>
      <w:pPr>
        <w:spacing w:after="28" w:line="216" w:lineRule="auto"/>
        <w:ind w:left="259"/>
        <w:jc w:val="left"/>
      </w:pPr>
      <w:r>
        <w:rPr>
          <w:rFonts w:ascii="Arial" w:hAnsi="Arial"/>
          <w:color w:val="525252"/>
          <w:sz w:val="13"/>
        </w:rPr>
        <w:t>USAF Academy (USAFA).</w:t>
      </w:r>
    </w:p>
    <w:p>
      <w:pPr>
        <w:spacing w:after="20" w:line="223" w:lineRule="auto"/>
        <w:jc w:val="right"/>
        <w:bidi/>
      </w:pPr>
      <w:r>
        <w:rPr>
          <w:rFonts w:ascii="Arial" w:hAnsi="Arial"/>
          <w:sz w:val="16"/>
        </w:rPr>
        <w:t>519.12  نشان پروفسور دائمی USAFA را در حین و پس از انتساب به وظیفه خاص بپوشید.</w:t>
      </w:r>
    </w:p>
    <w:p>
      <w:pPr>
        <w:spacing w:after="28" w:line="216" w:lineRule="auto"/>
        <w:ind w:left="259"/>
        <w:jc w:val="left"/>
      </w:pPr>
      <w:r>
        <w:rPr>
          <w:rFonts w:ascii="Arial" w:hAnsi="Arial"/>
          <w:color w:val="525252"/>
          <w:sz w:val="13"/>
        </w:rPr>
        <w:t>Wear the Permanent Professor USAFA badge during and after assignment to the specific duty.</w:t>
      </w:r>
    </w:p>
    <w:p>
      <w:pPr>
        <w:spacing w:after="20" w:line="223" w:lineRule="auto"/>
        <w:jc w:val="right"/>
        <w:bidi/>
      </w:pPr>
      <w:r>
        <w:rPr>
          <w:rFonts w:ascii="Arial" w:hAnsi="Arial"/>
          <w:sz w:val="16"/>
        </w:rPr>
        <w:t>519.13  OPR USAFA است.</w:t>
      </w:r>
    </w:p>
    <w:p>
      <w:pPr>
        <w:spacing w:after="28" w:line="216" w:lineRule="auto"/>
        <w:ind w:left="259"/>
        <w:jc w:val="left"/>
      </w:pPr>
      <w:r>
        <w:rPr>
          <w:rFonts w:ascii="Arial" w:hAnsi="Arial"/>
          <w:color w:val="525252"/>
          <w:sz w:val="13"/>
        </w:rPr>
        <w:t>OPR is USAFA.</w:t>
      </w:r>
    </w:p>
    <w:p>
      <w:pPr>
        <w:spacing w:after="20" w:line="223" w:lineRule="auto"/>
        <w:jc w:val="right"/>
        <w:bidi/>
      </w:pPr>
      <w:r>
        <w:rPr>
          <w:rFonts w:ascii="Arial" w:hAnsi="Arial"/>
          <w:sz w:val="16"/>
        </w:rPr>
        <w:t>519.14  بازرس کل (IG).</w:t>
      </w:r>
    </w:p>
    <w:p>
      <w:pPr>
        <w:spacing w:after="28" w:line="216" w:lineRule="auto"/>
        <w:ind w:left="259"/>
        <w:jc w:val="left"/>
      </w:pPr>
      <w:r>
        <w:rPr>
          <w:rFonts w:ascii="Arial" w:hAnsi="Arial"/>
          <w:color w:val="525252"/>
          <w:sz w:val="13"/>
        </w:rPr>
        <w:t>Inspector General (IG).</w:t>
      </w:r>
    </w:p>
    <w:p>
      <w:pPr>
        <w:spacing w:after="20" w:line="223" w:lineRule="auto"/>
        <w:jc w:val="right"/>
        <w:bidi/>
      </w:pPr>
      <w:r>
        <w:rPr>
          <w:rFonts w:ascii="Arial" w:hAnsi="Arial"/>
          <w:sz w:val="16"/>
        </w:rPr>
        <w:t>519.15  نشان IG در حین انجام وظایف در بیلت‌های مجاز IG بر روی لباس پوشیده می‌شود.</w:t>
      </w:r>
    </w:p>
    <w:p>
      <w:pPr>
        <w:spacing w:after="28" w:line="216" w:lineRule="auto"/>
        <w:ind w:left="259"/>
        <w:jc w:val="left"/>
      </w:pPr>
      <w:r>
        <w:rPr>
          <w:rFonts w:ascii="Arial" w:hAnsi="Arial"/>
          <w:color w:val="525252"/>
          <w:sz w:val="13"/>
        </w:rPr>
        <w:t>The IG badge will be worn on the uniform while performing duties in authorized IG billets.</w:t>
      </w:r>
    </w:p>
    <w:p>
      <w:pPr>
        <w:spacing w:after="20" w:line="223" w:lineRule="auto"/>
        <w:jc w:val="right"/>
        <w:bidi/>
      </w:pPr>
      <w:r>
        <w:rPr>
          <w:rFonts w:ascii="Arial" w:hAnsi="Arial"/>
          <w:sz w:val="16"/>
        </w:rPr>
        <w:t>519.16  هنگام حضور در PME به پوشیدن خود ادامه دهید.</w:t>
      </w:r>
    </w:p>
    <w:p>
      <w:pPr>
        <w:spacing w:after="28" w:line="216" w:lineRule="auto"/>
        <w:ind w:left="259"/>
        <w:jc w:val="left"/>
      </w:pPr>
      <w:r>
        <w:rPr>
          <w:rFonts w:ascii="Arial" w:hAnsi="Arial"/>
          <w:color w:val="525252"/>
          <w:sz w:val="13"/>
        </w:rPr>
        <w:t>Continue to wear while attending PME.</w:t>
      </w:r>
    </w:p>
    <w:p>
      <w:pPr>
        <w:spacing w:after="20" w:line="223" w:lineRule="auto"/>
        <w:jc w:val="right"/>
        <w:bidi/>
      </w:pPr>
      <w:r>
        <w:rPr>
          <w:rFonts w:ascii="Arial" w:hAnsi="Arial"/>
          <w:sz w:val="16"/>
        </w:rPr>
        <w:t>519.17  نشان ممکن است پس از بازنشستگی IAW DAFI ۳۶-۲۹۰۳، بند ۱۴.۳ پوشیده شود.</w:t>
      </w:r>
    </w:p>
    <w:p>
      <w:pPr>
        <w:spacing w:after="28" w:line="216" w:lineRule="auto"/>
        <w:ind w:left="259"/>
        <w:jc w:val="left"/>
      </w:pPr>
      <w:r>
        <w:rPr>
          <w:rFonts w:ascii="Arial" w:hAnsi="Arial"/>
          <w:color w:val="525252"/>
          <w:sz w:val="13"/>
        </w:rPr>
        <w:t>The badge may be worn upon retirement IAW DAFI 36-2903, paragraph 14.3.</w:t>
      </w:r>
    </w:p>
    <w:p>
      <w:pPr>
        <w:spacing w:after="20" w:line="223" w:lineRule="auto"/>
        <w:jc w:val="right"/>
        <w:bidi/>
      </w:pPr>
      <w:r>
        <w:rPr>
          <w:rFonts w:ascii="Arial" w:hAnsi="Arial"/>
          <w:sz w:val="16"/>
        </w:rPr>
        <w:t>519.18  OPR SAF/IG است.</w:t>
      </w:r>
    </w:p>
    <w:p>
      <w:pPr>
        <w:spacing w:after="28" w:line="216" w:lineRule="auto"/>
        <w:ind w:left="259"/>
        <w:jc w:val="left"/>
      </w:pPr>
      <w:r>
        <w:rPr>
          <w:rFonts w:ascii="Arial" w:hAnsi="Arial"/>
          <w:color w:val="525252"/>
          <w:sz w:val="13"/>
        </w:rPr>
        <w:t>OPR is SAF/IG.</w:t>
      </w:r>
    </w:p>
    <w:p>
      <w:pPr>
        <w:spacing w:after="20" w:line="223" w:lineRule="auto"/>
        <w:jc w:val="right"/>
        <w:bidi/>
      </w:pPr>
      <w:r>
        <w:rPr>
          <w:rFonts w:ascii="Arial" w:hAnsi="Arial"/>
          <w:sz w:val="16"/>
        </w:rPr>
        <w:t>519.19  لباس فرماندهی فرمانده گروهبان، نشان گروهبان اول و پین نشان فرماندهی.</w:t>
      </w:r>
    </w:p>
    <w:p>
      <w:pPr>
        <w:spacing w:after="28" w:line="216" w:lineRule="auto"/>
        <w:ind w:left="259"/>
        <w:jc w:val="left"/>
      </w:pPr>
      <w:r>
        <w:rPr>
          <w:rFonts w:ascii="Arial" w:hAnsi="Arial"/>
          <w:color w:val="525252"/>
          <w:sz w:val="13"/>
        </w:rPr>
        <w:t>Wear of the Command Chief Master Sergeant, First Sergeant Insignia, and Command Insignia Pin.</w:t>
      </w:r>
    </w:p>
    <w:p>
      <w:pPr>
        <w:spacing w:after="20" w:line="223" w:lineRule="auto"/>
        <w:jc w:val="right"/>
        <w:bidi/>
      </w:pPr>
      <w:r>
        <w:rPr>
          <w:rFonts w:ascii="Arial" w:hAnsi="Arial"/>
          <w:sz w:val="16"/>
        </w:rPr>
        <w:t>519.20  نشان فرماندهی فرمانده گروهبان.</w:t>
      </w:r>
    </w:p>
    <w:p>
      <w:pPr>
        <w:spacing w:after="28" w:line="216" w:lineRule="auto"/>
        <w:ind w:left="259"/>
        <w:jc w:val="left"/>
      </w:pPr>
      <w:r>
        <w:rPr>
          <w:rFonts w:ascii="Arial" w:hAnsi="Arial"/>
          <w:color w:val="525252"/>
          <w:sz w:val="13"/>
        </w:rPr>
        <w:t>Command Chief Master Sergeant Insignia.</w:t>
      </w:r>
    </w:p>
    <w:p>
      <w:pPr>
        <w:spacing w:after="20" w:line="223" w:lineRule="auto"/>
        <w:jc w:val="right"/>
        <w:bidi/>
      </w:pPr>
      <w:r>
        <w:rPr>
          <w:rFonts w:ascii="Arial" w:hAnsi="Arial"/>
          <w:sz w:val="16"/>
        </w:rPr>
        <w:t>519.21  AFI ۳۶-۲۱۰۹، سرگروهبان ارشد نیروی هوایی، مدیریت رهبری سرباز وظیفه ارشد و شورای عضویت انجمن نیروی هوایی، دستورالعمل‌های لباس را برای نشان فرماندهی فرمانده گروهبان مشخص می‌کند.</w:t>
      </w:r>
    </w:p>
    <w:p>
      <w:pPr>
        <w:spacing w:after="28" w:line="216" w:lineRule="auto"/>
        <w:ind w:left="259"/>
        <w:jc w:val="left"/>
      </w:pPr>
      <w:r>
        <w:rPr>
          <w:rFonts w:ascii="Arial" w:hAnsi="Arial"/>
          <w:color w:val="525252"/>
          <w:sz w:val="13"/>
        </w:rPr>
        <w:t>AFI 36-2109, Chief Master Sergeant of the Air Force, Senior Enlisted Leadership Management and Air Force Association Enlisted Council outlines wear guidance for the command chief master sergeant insignia.</w:t>
      </w:r>
    </w:p>
    <w:p>
      <w:pPr>
        <w:spacing w:after="20" w:line="223" w:lineRule="auto"/>
        <w:jc w:val="right"/>
        <w:bidi/>
      </w:pPr>
      <w:r>
        <w:rPr>
          <w:rFonts w:ascii="Arial" w:hAnsi="Arial"/>
          <w:sz w:val="16"/>
        </w:rPr>
        <w:t>519.22  نشان گروهبان یکم.</w:t>
      </w:r>
    </w:p>
    <w:p>
      <w:pPr>
        <w:spacing w:after="28" w:line="216" w:lineRule="auto"/>
        <w:ind w:left="259"/>
        <w:jc w:val="left"/>
      </w:pPr>
      <w:r>
        <w:rPr>
          <w:rFonts w:ascii="Arial" w:hAnsi="Arial"/>
          <w:color w:val="525252"/>
          <w:sz w:val="13"/>
        </w:rPr>
        <w:t>First Sergeant Insignia.</w:t>
      </w:r>
    </w:p>
    <w:p>
      <w:pPr>
        <w:spacing w:after="20" w:line="223" w:lineRule="auto"/>
        <w:jc w:val="right"/>
        <w:bidi/>
      </w:pPr>
      <w:r>
        <w:rPr>
          <w:rFonts w:ascii="Arial" w:hAnsi="Arial"/>
          <w:sz w:val="16"/>
        </w:rPr>
        <w:t>519.23  AFI ۳۶-۲۱۱۳، گروهبان اول راهنمایی لباس را برای نشان گروهبان اول مشخص می‌کند.</w:t>
      </w:r>
    </w:p>
    <w:p>
      <w:pPr>
        <w:spacing w:after="28" w:line="216" w:lineRule="auto"/>
        <w:ind w:left="259"/>
        <w:jc w:val="left"/>
      </w:pPr>
      <w:r>
        <w:rPr>
          <w:rFonts w:ascii="Arial" w:hAnsi="Arial"/>
          <w:color w:val="525252"/>
          <w:sz w:val="13"/>
        </w:rPr>
        <w:t>AFI 36-2113, The First Sergeant outlines wear guidance for the first sergeant insignia.</w:t>
      </w:r>
    </w:p>
    <w:p>
      <w:pPr>
        <w:spacing w:after="20" w:line="223" w:lineRule="auto"/>
        <w:jc w:val="right"/>
        <w:bidi/>
      </w:pPr>
      <w:r>
        <w:rPr>
          <w:rFonts w:ascii="Arial" w:hAnsi="Arial"/>
          <w:sz w:val="16"/>
        </w:rPr>
        <w:t>519.24  پین نشان فرمان.</w:t>
      </w:r>
    </w:p>
    <w:p>
      <w:pPr>
        <w:spacing w:after="28" w:line="216" w:lineRule="auto"/>
        <w:ind w:left="259"/>
        <w:jc w:val="left"/>
      </w:pPr>
      <w:r>
        <w:rPr>
          <w:rFonts w:ascii="Arial" w:hAnsi="Arial"/>
          <w:color w:val="525252"/>
          <w:sz w:val="13"/>
        </w:rPr>
        <w:t>Command Insignia Pin.</w:t>
      </w:r>
    </w:p>
    <w:p>
      <w:pPr>
        <w:spacing w:after="20" w:line="223" w:lineRule="auto"/>
        <w:jc w:val="right"/>
        <w:bidi/>
      </w:pPr>
      <w:r>
        <w:rPr>
          <w:rFonts w:ascii="Arial" w:hAnsi="Arial"/>
          <w:sz w:val="16"/>
        </w:rPr>
        <w:t>519.25  پین نشان فرماندهی نیروی هوایی برای فرماندهان فعلی اجباری و برای فرماندهان فارغ‌التحصیل اختیاری است.</w:t>
      </w:r>
    </w:p>
    <w:p>
      <w:pPr>
        <w:spacing w:after="28" w:line="216" w:lineRule="auto"/>
        <w:ind w:left="259"/>
        <w:jc w:val="left"/>
      </w:pPr>
      <w:r>
        <w:rPr>
          <w:rFonts w:ascii="Arial" w:hAnsi="Arial"/>
          <w:color w:val="525252"/>
          <w:sz w:val="13"/>
        </w:rPr>
        <w:t>Air Force Command Insignia Pin is mandatory for current commanders and optional for graduated commanders.</w:t>
      </w:r>
    </w:p>
    <w:p>
      <w:pPr>
        <w:spacing w:after="20" w:line="223" w:lineRule="auto"/>
        <w:jc w:val="right"/>
        <w:bidi/>
      </w:pPr>
      <w:r>
        <w:rPr>
          <w:rFonts w:ascii="Arial" w:hAnsi="Arial"/>
          <w:sz w:val="16"/>
        </w:rPr>
        <w:t>519.26  این سنجاق مجاز به پوشیدن تمامی افسران واجد شرایط در درجه سرهنگ (و-۶) و پایین‌تر است.</w:t>
      </w:r>
    </w:p>
    <w:p>
      <w:pPr>
        <w:spacing w:after="28" w:line="216" w:lineRule="auto"/>
        <w:ind w:left="259"/>
        <w:jc w:val="left"/>
      </w:pPr>
      <w:r>
        <w:rPr>
          <w:rFonts w:ascii="Arial" w:hAnsi="Arial"/>
          <w:color w:val="525252"/>
          <w:sz w:val="13"/>
        </w:rPr>
        <w:t>This pin is authorized to be worn by all eligible commissioned officers in the rank of Colonel (O-6) and below.</w:t>
      </w:r>
    </w:p>
    <w:p>
      <w:pPr>
        <w:spacing w:after="20" w:line="223" w:lineRule="auto"/>
        <w:jc w:val="right"/>
        <w:bidi/>
      </w:pPr>
      <w:r>
        <w:rPr>
          <w:rFonts w:ascii="Arial" w:hAnsi="Arial"/>
          <w:sz w:val="16"/>
        </w:rPr>
        <w:t>519.27  راهنمای پوشیدن در این DAFI برای اقلام یکنواخت قابل اجرا مشخص شده است.</w:t>
      </w:r>
    </w:p>
    <w:p>
      <w:pPr>
        <w:spacing w:after="28" w:line="216" w:lineRule="auto"/>
        <w:ind w:left="259"/>
        <w:jc w:val="left"/>
      </w:pPr>
      <w:r>
        <w:rPr>
          <w:rFonts w:ascii="Arial" w:hAnsi="Arial"/>
          <w:color w:val="525252"/>
          <w:sz w:val="13"/>
        </w:rPr>
        <w:t>Wear guidance is outlined within this DAFI for applicable uniform items.</w:t>
      </w:r>
    </w:p>
    <w:p>
      <w:pPr>
        <w:spacing w:after="20" w:line="223" w:lineRule="auto"/>
        <w:jc w:val="right"/>
        <w:bidi/>
      </w:pPr>
      <w:r>
        <w:rPr>
          <w:rFonts w:ascii="Arial" w:hAnsi="Arial"/>
          <w:sz w:val="16"/>
        </w:rPr>
        <w:t>519.28  OPR ا۱س است.</w:t>
      </w:r>
    </w:p>
    <w:p>
      <w:pPr>
        <w:spacing w:after="28" w:line="216" w:lineRule="auto"/>
        <w:ind w:left="259"/>
        <w:jc w:val="left"/>
      </w:pPr>
      <w:r>
        <w:rPr>
          <w:rFonts w:ascii="Arial" w:hAnsi="Arial"/>
          <w:color w:val="525252"/>
          <w:sz w:val="13"/>
        </w:rPr>
        <w:t>OPR is A1S.</w:t>
      </w:r>
    </w:p>
    <w:p>
      <w:pPr>
        <w:spacing w:before="60" w:after="28"/>
        <w:jc w:val="right"/>
        <w:bidi/>
      </w:pPr>
      <w:r>
        <w:rPr>
          <w:b/>
          <w:color w:val="1F4D78"/>
          <w:sz w:val="18"/>
        </w:rPr>
        <w:t>IAAFA.</w:t>
      </w:r>
    </w:p>
    <w:p>
      <w:pPr>
        <w:spacing w:after="20"/>
        <w:ind w:left="259"/>
        <w:jc w:val="left"/>
      </w:pPr>
      <w:r>
        <w:rPr>
          <w:color w:val="555555"/>
          <w:sz w:val="12"/>
        </w:rPr>
        <w:t>IAAFA.</w:t>
      </w:r>
    </w:p>
    <w:p>
      <w:pPr>
        <w:spacing w:after="20" w:line="223" w:lineRule="auto"/>
        <w:jc w:val="right"/>
        <w:bidi/>
      </w:pPr>
      <w:r>
        <w:rPr>
          <w:rFonts w:ascii="Arial" w:hAnsi="Arial"/>
          <w:sz w:val="16"/>
        </w:rPr>
        <w:t>519.30  نشان IAAFA را پس از دریافت SEI HJ (افسر) یا ۴۵۰ (شرکت شده) در حین و پس از انتساب به IAAFA بپوشید.</w:t>
      </w:r>
    </w:p>
    <w:p>
      <w:pPr>
        <w:spacing w:after="28" w:line="216" w:lineRule="auto"/>
        <w:ind w:left="259"/>
        <w:jc w:val="left"/>
      </w:pPr>
      <w:r>
        <w:rPr>
          <w:rFonts w:ascii="Arial" w:hAnsi="Arial"/>
          <w:color w:val="525252"/>
          <w:sz w:val="13"/>
        </w:rPr>
        <w:t>Wear the IAAFA badge after receiving SEI HJ (officer) or 450 (enlisted) as applicable during and after assignment to IAAFA.</w:t>
      </w:r>
    </w:p>
    <w:p>
      <w:pPr>
        <w:spacing w:after="20" w:line="223" w:lineRule="auto"/>
        <w:jc w:val="right"/>
        <w:bidi/>
      </w:pPr>
      <w:r>
        <w:rPr>
          <w:rFonts w:ascii="Arial" w:hAnsi="Arial"/>
          <w:sz w:val="16"/>
        </w:rPr>
        <w:t>519.31  OPR IAAFA است.</w:t>
      </w:r>
    </w:p>
    <w:p>
      <w:pPr>
        <w:spacing w:after="28" w:line="216" w:lineRule="auto"/>
        <w:ind w:left="259"/>
        <w:jc w:val="left"/>
      </w:pPr>
      <w:r>
        <w:rPr>
          <w:rFonts w:ascii="Arial" w:hAnsi="Arial"/>
          <w:color w:val="525252"/>
          <w:sz w:val="13"/>
        </w:rPr>
        <w:t>OPR is IAAFA.</w:t>
      </w:r>
    </w:p>
    <w:p>
      <w:pPr>
        <w:spacing w:after="20" w:line="223" w:lineRule="auto"/>
        <w:jc w:val="right"/>
        <w:bidi/>
      </w:pPr>
      <w:r>
        <w:rPr>
          <w:rFonts w:ascii="Arial" w:hAnsi="Arial"/>
          <w:sz w:val="16"/>
        </w:rPr>
        <w:t>519.32  آژانس مدیریت قرارداد دفاعی (DCMA).</w:t>
      </w:r>
    </w:p>
    <w:p>
      <w:pPr>
        <w:spacing w:after="28" w:line="216" w:lineRule="auto"/>
        <w:ind w:left="259"/>
        <w:jc w:val="left"/>
      </w:pPr>
      <w:r>
        <w:rPr>
          <w:rFonts w:ascii="Arial" w:hAnsi="Arial"/>
          <w:color w:val="525252"/>
          <w:sz w:val="13"/>
        </w:rPr>
        <w:t>Defense Contract Management Agency (DCMA).</w:t>
      </w:r>
    </w:p>
    <w:p>
      <w:pPr>
        <w:spacing w:after="20" w:line="223" w:lineRule="auto"/>
        <w:jc w:val="right"/>
        <w:bidi/>
      </w:pPr>
      <w:r>
        <w:rPr>
          <w:rFonts w:ascii="Arial" w:hAnsi="Arial"/>
          <w:sz w:val="16"/>
        </w:rPr>
        <w:t>519.33  نشان DCMA در حین و پس از انتساب به یک موقعیت واجد شرایط مجاز است.</w:t>
      </w:r>
    </w:p>
    <w:p>
      <w:pPr>
        <w:spacing w:after="28" w:line="216" w:lineRule="auto"/>
        <w:ind w:left="259"/>
        <w:jc w:val="left"/>
      </w:pPr>
      <w:r>
        <w:rPr>
          <w:rFonts w:ascii="Arial" w:hAnsi="Arial"/>
          <w:color w:val="525252"/>
          <w:sz w:val="13"/>
        </w:rPr>
        <w:t>The DCMA badge is authorized during and after assignment to a qualifying position.</w:t>
      </w:r>
    </w:p>
    <w:p>
      <w:pPr>
        <w:spacing w:after="20" w:line="223" w:lineRule="auto"/>
        <w:jc w:val="right"/>
        <w:bidi/>
      </w:pPr>
      <w:r>
        <w:rPr>
          <w:rFonts w:ascii="Arial" w:hAnsi="Arial"/>
          <w:sz w:val="16"/>
        </w:rPr>
        <w:t>519.34  OPR DCMA است.</w:t>
      </w:r>
    </w:p>
    <w:p>
      <w:pPr>
        <w:spacing w:after="28" w:line="216" w:lineRule="auto"/>
        <w:ind w:left="259"/>
        <w:jc w:val="left"/>
      </w:pPr>
      <w:r>
        <w:rPr>
          <w:rFonts w:ascii="Arial" w:hAnsi="Arial"/>
          <w:color w:val="525252"/>
          <w:sz w:val="13"/>
        </w:rPr>
        <w:t>OPR is DCMA.</w:t>
      </w:r>
    </w:p>
    <w:p>
      <w:pPr>
        <w:spacing w:after="20" w:line="223" w:lineRule="auto"/>
        <w:jc w:val="right"/>
        <w:bidi/>
      </w:pPr>
      <w:r>
        <w:rPr>
          <w:rFonts w:ascii="Arial" w:hAnsi="Arial"/>
          <w:sz w:val="16"/>
        </w:rPr>
        <w:t>519.35  اداره شناسایی ملی (NRO).</w:t>
      </w:r>
    </w:p>
    <w:p>
      <w:pPr>
        <w:spacing w:after="28" w:line="216" w:lineRule="auto"/>
        <w:ind w:left="259"/>
        <w:jc w:val="left"/>
      </w:pPr>
      <w:r>
        <w:rPr>
          <w:rFonts w:ascii="Arial" w:hAnsi="Arial"/>
          <w:color w:val="525252"/>
          <w:sz w:val="13"/>
        </w:rPr>
        <w:t>National Reconnaissance Office (NRO).</w:t>
      </w:r>
    </w:p>
    <w:p>
      <w:pPr>
        <w:spacing w:after="20" w:line="223" w:lineRule="auto"/>
        <w:jc w:val="right"/>
        <w:bidi/>
      </w:pPr>
      <w:r>
        <w:rPr>
          <w:rFonts w:ascii="Arial" w:hAnsi="Arial"/>
          <w:sz w:val="16"/>
        </w:rPr>
        <w:t>519.36  نشان NRO فقط در حین انجام وظایف در طول مدت تکلیف پوشیده می‌شود.</w:t>
      </w:r>
    </w:p>
    <w:p>
      <w:pPr>
        <w:spacing w:after="28" w:line="216" w:lineRule="auto"/>
        <w:ind w:left="259"/>
        <w:jc w:val="left"/>
      </w:pPr>
      <w:r>
        <w:rPr>
          <w:rFonts w:ascii="Arial" w:hAnsi="Arial"/>
          <w:color w:val="525252"/>
          <w:sz w:val="13"/>
        </w:rPr>
        <w:t>The NRO badge is only worn while performing duties for the duration of the assignment.</w:t>
      </w:r>
    </w:p>
    <w:p>
      <w:pPr>
        <w:spacing w:after="20" w:line="223" w:lineRule="auto"/>
        <w:jc w:val="right"/>
        <w:bidi/>
      </w:pPr>
      <w:r>
        <w:rPr>
          <w:rFonts w:ascii="Arial" w:hAnsi="Arial"/>
          <w:sz w:val="16"/>
        </w:rPr>
        <w:t>519.37  OPR NRO/س۱ است.</w:t>
      </w:r>
    </w:p>
    <w:p>
      <w:pPr>
        <w:spacing w:after="28" w:line="216" w:lineRule="auto"/>
        <w:ind w:left="259"/>
        <w:jc w:val="left"/>
      </w:pPr>
      <w:r>
        <w:rPr>
          <w:rFonts w:ascii="Arial" w:hAnsi="Arial"/>
          <w:color w:val="525252"/>
          <w:sz w:val="13"/>
        </w:rPr>
        <w:t>OPR is NRO/S1.</w:t>
      </w:r>
    </w:p>
    <w:p>
      <w:pPr>
        <w:spacing w:after="20" w:line="223" w:lineRule="auto"/>
        <w:jc w:val="right"/>
        <w:bidi/>
      </w:pPr>
      <w:r>
        <w:rPr>
          <w:rFonts w:ascii="Arial" w:hAnsi="Arial"/>
          <w:sz w:val="16"/>
        </w:rPr>
        <w:t>519.38  آژانس لجستیک دفاعی (DLA).</w:t>
      </w:r>
    </w:p>
    <w:p>
      <w:pPr>
        <w:spacing w:after="28" w:line="216" w:lineRule="auto"/>
        <w:ind w:left="259"/>
        <w:jc w:val="left"/>
      </w:pPr>
      <w:r>
        <w:rPr>
          <w:rFonts w:ascii="Arial" w:hAnsi="Arial"/>
          <w:color w:val="525252"/>
          <w:sz w:val="13"/>
        </w:rPr>
        <w:t>Defense Logistics Agency (DLA).</w:t>
      </w:r>
    </w:p>
    <w:p>
      <w:pPr>
        <w:spacing w:after="20" w:line="223" w:lineRule="auto"/>
        <w:jc w:val="right"/>
        <w:bidi/>
      </w:pPr>
      <w:r>
        <w:rPr>
          <w:rFonts w:ascii="Arial" w:hAnsi="Arial"/>
          <w:sz w:val="16"/>
        </w:rPr>
        <w:t>519.39  نشان DLA فقط هنگام انجام وظایف در طول مدت انجام وظیفه پوشیده می‌شود.</w:t>
      </w:r>
    </w:p>
    <w:p>
      <w:pPr>
        <w:spacing w:after="28" w:line="216" w:lineRule="auto"/>
        <w:ind w:left="259"/>
        <w:jc w:val="left"/>
      </w:pPr>
      <w:r>
        <w:rPr>
          <w:rFonts w:ascii="Arial" w:hAnsi="Arial"/>
          <w:color w:val="525252"/>
          <w:sz w:val="13"/>
        </w:rPr>
        <w:t>The DLA badge is only worn while performing duties for the duration of the assignment.</w:t>
      </w:r>
    </w:p>
    <w:p>
      <w:pPr>
        <w:spacing w:after="20" w:line="223" w:lineRule="auto"/>
        <w:jc w:val="right"/>
        <w:bidi/>
      </w:pPr>
      <w:r>
        <w:rPr>
          <w:rFonts w:ascii="Arial" w:hAnsi="Arial"/>
          <w:sz w:val="16"/>
        </w:rPr>
        <w:t>519.40  OPR DLA است.</w:t>
      </w:r>
    </w:p>
    <w:p>
      <w:pPr>
        <w:spacing w:after="28" w:line="216" w:lineRule="auto"/>
        <w:ind w:left="259"/>
        <w:jc w:val="left"/>
      </w:pPr>
      <w:r>
        <w:rPr>
          <w:rFonts w:ascii="Arial" w:hAnsi="Arial"/>
          <w:color w:val="525252"/>
          <w:sz w:val="13"/>
        </w:rPr>
        <w:t>OPR is DLA.</w:t>
      </w:r>
    </w:p>
    <w:p>
      <w:pPr>
        <w:spacing w:after="20" w:line="223" w:lineRule="auto"/>
        <w:jc w:val="right"/>
        <w:bidi/>
      </w:pPr>
      <w:r>
        <w:rPr>
          <w:rFonts w:ascii="Arial" w:hAnsi="Arial"/>
          <w:sz w:val="16"/>
        </w:rPr>
        <w:t>519.41  دکمه برگردان ستاره طلایی.</w:t>
      </w:r>
    </w:p>
    <w:p>
      <w:pPr>
        <w:spacing w:after="28" w:line="216" w:lineRule="auto"/>
        <w:ind w:left="259"/>
        <w:jc w:val="left"/>
      </w:pPr>
      <w:r>
        <w:rPr>
          <w:rFonts w:ascii="Arial" w:hAnsi="Arial"/>
          <w:color w:val="525252"/>
          <w:sz w:val="13"/>
        </w:rPr>
        <w:t>Gold Star Lapel Button.</w:t>
      </w:r>
    </w:p>
    <w:p>
      <w:pPr>
        <w:spacing w:after="20" w:line="223" w:lineRule="auto"/>
        <w:jc w:val="right"/>
        <w:bidi/>
      </w:pPr>
      <w:r>
        <w:rPr>
          <w:rFonts w:ascii="Arial" w:hAnsi="Arial"/>
          <w:sz w:val="16"/>
        </w:rPr>
        <w:t>519.42  مطابق با بخش ۱۱۲۶ کد عنوان ۱۰ ایالات متحده، هوانوردان یک دکمه برگردان ستاره طلایی صادر کردند، همانطور که در آیین نامه مقررات فدرال، عنوان ۳۲، فصل و، بخش ۵۷۸.۶۳ توضیح داده شده است، مجاز به پوشیدن این دکمه در تمام کت‌های لباس نیروی هوایی، لباس‌های لباس رسمی و لباس رسمی هستند.</w:t>
      </w:r>
    </w:p>
    <w:p>
      <w:pPr>
        <w:spacing w:after="28" w:line="216" w:lineRule="auto"/>
        <w:ind w:left="259"/>
        <w:jc w:val="left"/>
      </w:pPr>
      <w:r>
        <w:rPr>
          <w:rFonts w:ascii="Arial" w:hAnsi="Arial"/>
          <w:color w:val="525252"/>
          <w:sz w:val="13"/>
        </w:rPr>
        <w:t>In accordance with Title 10 United States Code Section 1126, Airmen issued a gold star lapel button, as described in the Code of Federal Regulation, Title 32, Chapter V, Section 578.63 are authorized to wear the button on all Air Force dress uniform coats, i.e., formal, semi-formal mess and service dress.</w:t>
      </w:r>
    </w:p>
    <w:p>
      <w:pPr>
        <w:spacing w:after="20" w:line="223" w:lineRule="auto"/>
        <w:jc w:val="right"/>
        <w:bidi/>
      </w:pPr>
      <w:r>
        <w:rPr>
          <w:rFonts w:ascii="Arial" w:hAnsi="Arial"/>
          <w:sz w:val="16"/>
        </w:rPr>
        <w:t>519.43  دکمه یقه را در زیر نشان ایالات متحده در پهن‌ترین قسمت یقه سمت چپ کت سرویس وسط قرار دهید.</w:t>
      </w:r>
    </w:p>
    <w:p>
      <w:pPr>
        <w:spacing w:after="28" w:line="216" w:lineRule="auto"/>
        <w:ind w:left="259"/>
        <w:jc w:val="left"/>
      </w:pPr>
      <w:r>
        <w:rPr>
          <w:rFonts w:ascii="Arial" w:hAnsi="Arial"/>
          <w:color w:val="525252"/>
          <w:sz w:val="13"/>
        </w:rPr>
        <w:t>Center the lapel button below the U.S. insignia on the widest portion of the left lapel of the service coat.</w:t>
      </w:r>
    </w:p>
    <w:p>
      <w:pPr>
        <w:spacing w:after="20" w:line="223" w:lineRule="auto"/>
        <w:jc w:val="right"/>
        <w:bidi/>
      </w:pPr>
      <w:r>
        <w:rPr>
          <w:rFonts w:ascii="Arial" w:hAnsi="Arial"/>
          <w:sz w:val="16"/>
        </w:rPr>
        <w:t>519.44  اگر مجاز به پوشیدن سنجاق یقه بازنشسته علاوه بر دکمه برگردان ستاره طلایی، دکمه یقه یقه طلایی را همانطور که در بالا نشان داده شده است، قرار دهید، سپس سنجاق یقه بازنشسته را در کنار هم با فاصله ۱/۴ اینچی بین این دو قرار دهید.</w:t>
      </w:r>
    </w:p>
    <w:p>
      <w:pPr>
        <w:spacing w:after="28" w:line="216" w:lineRule="auto"/>
        <w:ind w:left="259"/>
        <w:jc w:val="left"/>
      </w:pPr>
      <w:r>
        <w:rPr>
          <w:rFonts w:ascii="Arial" w:hAnsi="Arial"/>
          <w:color w:val="525252"/>
          <w:sz w:val="13"/>
        </w:rPr>
        <w:t>If authorized to wear the retired lapel pin in addition to the gold star lapel button center the gold star lapel button as indicated above, then place the retired lapel pin side- by-side with a 1/4-inch space between the two.</w:t>
      </w:r>
    </w:p>
    <w:p>
      <w:pPr>
        <w:spacing w:after="20" w:line="223" w:lineRule="auto"/>
        <w:jc w:val="right"/>
        <w:bidi/>
      </w:pPr>
      <w:r>
        <w:rPr>
          <w:rFonts w:ascii="Arial" w:hAnsi="Arial"/>
          <w:sz w:val="16"/>
        </w:rPr>
        <w:t>519.45  سنجاق یقه بازنشسته در داخل دکمه یقه ستاره طلایی قرار می‌گیرد.</w:t>
      </w:r>
    </w:p>
    <w:p>
      <w:pPr>
        <w:spacing w:after="28" w:line="216" w:lineRule="auto"/>
        <w:ind w:left="259"/>
        <w:jc w:val="left"/>
      </w:pPr>
      <w:r>
        <w:rPr>
          <w:rFonts w:ascii="Arial" w:hAnsi="Arial"/>
          <w:color w:val="525252"/>
          <w:sz w:val="13"/>
        </w:rPr>
        <w:t>The retired lapel pin will be placed to the inside of the gold star lapel button.</w:t>
      </w:r>
    </w:p>
    <w:p>
      <w:pPr>
        <w:spacing w:after="20" w:line="223" w:lineRule="auto"/>
        <w:jc w:val="right"/>
        <w:bidi/>
      </w:pPr>
      <w:r>
        <w:rPr>
          <w:rFonts w:ascii="Arial" w:hAnsi="Arial"/>
          <w:sz w:val="16"/>
        </w:rPr>
        <w:t>519.46  اگر دکمه برگردان ستاره طلایی و دکمه یقه ی خویشاوندان مجاز باشد، همانطور که در بالا نشان داده شده است، در کنار هم قرار می‌گیرند، ترتیب اولویت بین دکمه‌ها وجود ندارد.</w:t>
      </w:r>
    </w:p>
    <w:p>
      <w:pPr>
        <w:spacing w:after="28" w:line="216" w:lineRule="auto"/>
        <w:ind w:left="259"/>
        <w:jc w:val="left"/>
      </w:pPr>
      <w:r>
        <w:rPr>
          <w:rFonts w:ascii="Arial" w:hAnsi="Arial"/>
          <w:color w:val="525252"/>
          <w:sz w:val="13"/>
        </w:rPr>
        <w:t>If authorized the gold star lapel button and the next of kin lapel button they will be worn side by side as indicated above, there is no order of precedence between the buttons.</w:t>
      </w:r>
    </w:p>
    <w:p>
      <w:pPr>
        <w:spacing w:after="20" w:line="223" w:lineRule="auto"/>
        <w:jc w:val="right"/>
        <w:bidi/>
      </w:pPr>
      <w:r>
        <w:rPr>
          <w:rFonts w:ascii="Arial" w:hAnsi="Arial"/>
          <w:sz w:val="16"/>
        </w:rPr>
        <w:t>519.47  دکمه(های) را در مرکز برگردان سمت چپ کت لباس و حتی با ردیف بالایی مدال بپوشید.</w:t>
      </w:r>
    </w:p>
    <w:p>
      <w:pPr>
        <w:spacing w:after="28" w:line="216" w:lineRule="auto"/>
        <w:ind w:left="259"/>
        <w:jc w:val="left"/>
      </w:pPr>
      <w:r>
        <w:rPr>
          <w:rFonts w:ascii="Arial" w:hAnsi="Arial"/>
          <w:color w:val="525252"/>
          <w:sz w:val="13"/>
        </w:rPr>
        <w:t>Wear button(s) center on left lapel of the mess dress coat and even with top row of medal(s).</w:t>
      </w:r>
    </w:p>
    <w:p>
      <w:r>
        <w:br w:type="page"/>
      </w:r>
    </w:p>
    <w:p>
      <w:pPr>
        <w:spacing w:after="60"/>
        <w:jc w:val="right"/>
        <w:bidi/>
      </w:pPr>
      <w:r>
        <w:rPr>
          <w:rFonts w:ascii="Arial" w:hAnsi="Arial"/>
          <w:b/>
          <w:color w:val="1F4D78"/>
          <w:sz w:val="19"/>
        </w:rPr>
        <w:t>هفتهٔ 520  |  صفحهٔ منبع: 536</w:t>
      </w:r>
    </w:p>
    <w:p>
      <w:pPr>
        <w:spacing w:after="20" w:line="223" w:lineRule="auto"/>
        <w:jc w:val="right"/>
        <w:bidi/>
      </w:pPr>
      <w:r>
        <w:rPr>
          <w:rFonts w:ascii="Arial" w:hAnsi="Arial"/>
          <w:sz w:val="16"/>
        </w:rPr>
        <w:t>520.01  دکمه برگردان بعدی خویشاوندان.</w:t>
      </w:r>
    </w:p>
    <w:p>
      <w:pPr>
        <w:spacing w:after="28" w:line="216" w:lineRule="auto"/>
        <w:ind w:left="259"/>
        <w:jc w:val="left"/>
      </w:pPr>
      <w:r>
        <w:rPr>
          <w:rFonts w:ascii="Arial" w:hAnsi="Arial"/>
          <w:color w:val="525252"/>
          <w:sz w:val="13"/>
        </w:rPr>
        <w:t>Next of Kin Lapel Button.</w:t>
      </w:r>
    </w:p>
    <w:p>
      <w:pPr>
        <w:spacing w:after="20" w:line="223" w:lineRule="auto"/>
        <w:jc w:val="right"/>
        <w:bidi/>
      </w:pPr>
      <w:r>
        <w:rPr>
          <w:rFonts w:ascii="Arial" w:hAnsi="Arial"/>
          <w:sz w:val="16"/>
        </w:rPr>
        <w:t>520.02  مطابق با عنوان ۱۰ USC بخش ۱۱۲۶، دکمه یقه طلایی ستاره: واجد شرایط بودن و توزیع، هوانوردان یک دکمه یقه‌ای از خویشاوندان صادر کردند، همانطور که در آیین نامه مقررات فدرال، عنوان ۳۲، فصل و، بخش ۵۷۸.۶۳ توضیح داده شده است. مجاز به پوشیدن دکمه در تمام نیروهای هوایی، فرم لباس، لباس متحدالشکل، نیروی هوایی، غیر رسمی هستند. لباس نامرتب و سرویس</w:t>
      </w:r>
    </w:p>
    <w:p>
      <w:pPr>
        <w:spacing w:after="28" w:line="216" w:lineRule="auto"/>
        <w:ind w:left="259"/>
        <w:jc w:val="left"/>
      </w:pPr>
      <w:r>
        <w:rPr>
          <w:rFonts w:ascii="Arial" w:hAnsi="Arial"/>
          <w:color w:val="525252"/>
          <w:sz w:val="13"/>
        </w:rPr>
        <w:t>In accordance with Title 10 USC Section 1126, Gold star lapel button: eligibility and distribution, Airmen issued a next of kin lapel button, as described in the Code of Federal Regulation, Title 32, Chapter V, Section 578.63 are authorized to wear the button on all Air Force dress uniform coats, i.e., formal, semi- formal, mess and service dress.</w:t>
      </w:r>
    </w:p>
    <w:p>
      <w:pPr>
        <w:spacing w:after="20" w:line="223" w:lineRule="auto"/>
        <w:jc w:val="right"/>
        <w:bidi/>
      </w:pPr>
      <w:r>
        <w:rPr>
          <w:rFonts w:ascii="Arial" w:hAnsi="Arial"/>
          <w:sz w:val="16"/>
        </w:rPr>
        <w:t>520.03  دکمه یقه را در زیر نشان ایالات متحده در پهن‌ترین قسمت یقه سمت چپ کت سرویس وسط قرار دهید.</w:t>
      </w:r>
    </w:p>
    <w:p>
      <w:pPr>
        <w:spacing w:after="28" w:line="216" w:lineRule="auto"/>
        <w:ind w:left="259"/>
        <w:jc w:val="left"/>
      </w:pPr>
      <w:r>
        <w:rPr>
          <w:rFonts w:ascii="Arial" w:hAnsi="Arial"/>
          <w:color w:val="525252"/>
          <w:sz w:val="13"/>
        </w:rPr>
        <w:t>Center the lapel button below the U.S. insignia on the widest portion of the left lapel of the service coat.</w:t>
      </w:r>
    </w:p>
    <w:p>
      <w:pPr>
        <w:spacing w:after="20" w:line="223" w:lineRule="auto"/>
        <w:jc w:val="right"/>
        <w:bidi/>
      </w:pPr>
      <w:r>
        <w:rPr>
          <w:rFonts w:ascii="Arial" w:hAnsi="Arial"/>
          <w:sz w:val="16"/>
        </w:rPr>
        <w:t>520.04  اگر مجاز به پوشیدن سنجاق یقه بازنشسته علاوه بر دکمه یقه ی خویشاوند هستید، دکمه ی یقه نزدیک را همانطور که در بالا نشان داده شده است وسط قرار دهید، سپس سنجاق یقه بازنشسته را در کنار هم با فاصله ۱/۴ اینچی بین این دو قرار دهید.</w:t>
      </w:r>
    </w:p>
    <w:p>
      <w:pPr>
        <w:spacing w:after="28" w:line="216" w:lineRule="auto"/>
        <w:ind w:left="259"/>
        <w:jc w:val="left"/>
      </w:pPr>
      <w:r>
        <w:rPr>
          <w:rFonts w:ascii="Arial" w:hAnsi="Arial"/>
          <w:color w:val="525252"/>
          <w:sz w:val="13"/>
        </w:rPr>
        <w:t>If authorized to wear the retired lapel pin in addition to the next of kin lapel button center the next of kin lapel button as indicated above, then place the retired lapel pin side-by- side with a 1/4-inch space between the two.</w:t>
      </w:r>
    </w:p>
    <w:p>
      <w:pPr>
        <w:spacing w:after="20" w:line="223" w:lineRule="auto"/>
        <w:jc w:val="right"/>
        <w:bidi/>
      </w:pPr>
      <w:r>
        <w:rPr>
          <w:rFonts w:ascii="Arial" w:hAnsi="Arial"/>
          <w:sz w:val="16"/>
        </w:rPr>
        <w:t>520.05  سنجاق یقه بازنشسته در داخل دکمه یقه ی خویشاوندان قرار می‌گیرد.</w:t>
      </w:r>
    </w:p>
    <w:p>
      <w:pPr>
        <w:spacing w:after="28" w:line="216" w:lineRule="auto"/>
        <w:ind w:left="259"/>
        <w:jc w:val="left"/>
      </w:pPr>
      <w:r>
        <w:rPr>
          <w:rFonts w:ascii="Arial" w:hAnsi="Arial"/>
          <w:color w:val="525252"/>
          <w:sz w:val="13"/>
        </w:rPr>
        <w:t>The retired lapel pin will be placed to the inside of the next of kin lapel button.</w:t>
      </w:r>
    </w:p>
    <w:p>
      <w:pPr>
        <w:spacing w:after="20" w:line="223" w:lineRule="auto"/>
        <w:jc w:val="right"/>
        <w:bidi/>
      </w:pPr>
      <w:r>
        <w:rPr>
          <w:rFonts w:ascii="Arial" w:hAnsi="Arial"/>
          <w:sz w:val="16"/>
        </w:rPr>
        <w:t>520.06  اگر دکمه برگردان ستاره طلایی و دکمه یقه ی خویشاوندان مجاز باشد، همانطور که در بالا نشان داده شده است، در کنار هم قرار می‌گیرند، ترتیب اولویت بین دکمه‌ها وجود ندارد.</w:t>
      </w:r>
    </w:p>
    <w:p>
      <w:pPr>
        <w:spacing w:after="28" w:line="216" w:lineRule="auto"/>
        <w:ind w:left="259"/>
        <w:jc w:val="left"/>
      </w:pPr>
      <w:r>
        <w:rPr>
          <w:rFonts w:ascii="Arial" w:hAnsi="Arial"/>
          <w:color w:val="525252"/>
          <w:sz w:val="13"/>
        </w:rPr>
        <w:t>If authorized the gold star lapel button and the next of kin lapel button they will be worn side by side as indicated above, there is no order of precedence between the buttons.</w:t>
      </w:r>
    </w:p>
    <w:p>
      <w:pPr>
        <w:spacing w:after="20" w:line="223" w:lineRule="auto"/>
        <w:jc w:val="right"/>
        <w:bidi/>
      </w:pPr>
      <w:r>
        <w:rPr>
          <w:rFonts w:ascii="Arial" w:hAnsi="Arial"/>
          <w:sz w:val="16"/>
        </w:rPr>
        <w:t>520.07  دکمه(های) را در مرکز برگردان سمت چپ کت لباس و حتی با ردیف بالایی مدال بپوشید.</w:t>
      </w:r>
    </w:p>
    <w:p>
      <w:pPr>
        <w:spacing w:after="28" w:line="216" w:lineRule="auto"/>
        <w:ind w:left="259"/>
        <w:jc w:val="left"/>
      </w:pPr>
      <w:r>
        <w:rPr>
          <w:rFonts w:ascii="Arial" w:hAnsi="Arial"/>
          <w:color w:val="525252"/>
          <w:sz w:val="13"/>
        </w:rPr>
        <w:t>Wear button(s) center on left lapel of the mess dress coat and even with top row of medal(s).</w:t>
      </w:r>
    </w:p>
    <w:p>
      <w:pPr>
        <w:spacing w:before="60" w:after="28"/>
        <w:jc w:val="right"/>
        <w:bidi/>
      </w:pPr>
      <w:r>
        <w:rPr>
          <w:b/>
          <w:color w:val="1F4D78"/>
          <w:sz w:val="18"/>
        </w:rPr>
        <w:t>شکل 23.61 دکمه برگردان ستاره طلایی و دکمه یقه ی خویشاوندان بعدی ⟦ 009</w:t>
      </w:r>
    </w:p>
    <w:p>
      <w:pPr>
        <w:spacing w:after="20"/>
        <w:ind w:left="259"/>
        <w:jc w:val="left"/>
      </w:pPr>
      <w:r>
        <w:rPr>
          <w:color w:val="555555"/>
          <w:sz w:val="12"/>
        </w:rPr>
        <w:t>Figure 23.61 Gold Star Lapel Button and Next of Kin Lapel Button</w:t>
      </w:r>
    </w:p>
    <w:p>
      <w:pPr>
        <w:spacing w:before="60" w:after="28"/>
        <w:jc w:val="right"/>
        <w:bidi/>
      </w:pPr>
      <w:r>
        <w:rPr>
          <w:b/>
          <w:color w:val="1F4D78"/>
          <w:sz w:val="18"/>
        </w:rPr>
        <w:t>شکل 23.62 دکمه یقه یقه ای ستاره طلایی روی یقه ی کت لباس سرویس و نامرتب</w:t>
      </w:r>
    </w:p>
    <w:p>
      <w:pPr>
        <w:spacing w:after="20"/>
        <w:ind w:left="259"/>
        <w:jc w:val="left"/>
      </w:pPr>
      <w:r>
        <w:rPr>
          <w:color w:val="555555"/>
          <w:sz w:val="12"/>
        </w:rPr>
        <w:t>Figure 23.62 Gold Star Lapel Button on Service and Mess Dress Coat Lapel</w:t>
      </w:r>
    </w:p>
    <w:p>
      <w:pPr>
        <w:spacing w:after="20" w:line="223" w:lineRule="auto"/>
        <w:jc w:val="right"/>
        <w:bidi/>
      </w:pPr>
      <w:r>
        <w:rPr>
          <w:rFonts w:ascii="Arial" w:hAnsi="Arial"/>
          <w:sz w:val="16"/>
        </w:rPr>
        <w:t>520.10  ۲۳.۲۷. نشان‌های شغلی، صلاحیت یا مهارت. به‌عنوان کسب شده و به‌طور دائم اهدا می‌شود</w:t>
      </w:r>
    </w:p>
    <w:p>
      <w:pPr>
        <w:spacing w:after="28" w:line="216" w:lineRule="auto"/>
        <w:ind w:left="259"/>
        <w:jc w:val="left"/>
      </w:pPr>
      <w:r>
        <w:rPr>
          <w:rFonts w:ascii="Arial" w:hAnsi="Arial"/>
          <w:color w:val="525252"/>
          <w:sz w:val="13"/>
        </w:rPr>
        <w:t>23.27. Occupational, Qualification or Skill Badges. Defined as earned and permanently awarded</w:t>
      </w:r>
    </w:p>
    <w:p>
      <w:pPr>
        <w:spacing w:after="20" w:line="223" w:lineRule="auto"/>
        <w:jc w:val="right"/>
        <w:bidi/>
      </w:pPr>
      <w:r>
        <w:rPr>
          <w:rFonts w:ascii="Arial" w:hAnsi="Arial"/>
          <w:sz w:val="16"/>
        </w:rPr>
        <w:t>520.11  تجهیزاتی که نشان دهنده مهارت‌های ویژه‌ای است که یک هوانورد مهارت یا صلاحیت خود را در تکمیل مأموریت اصلی خود نشان داده است.</w:t>
      </w:r>
    </w:p>
    <w:p>
      <w:pPr>
        <w:spacing w:after="28" w:line="216" w:lineRule="auto"/>
        <w:ind w:left="259"/>
        <w:jc w:val="left"/>
      </w:pPr>
      <w:r>
        <w:rPr>
          <w:rFonts w:ascii="Arial" w:hAnsi="Arial"/>
          <w:color w:val="525252"/>
          <w:sz w:val="13"/>
        </w:rPr>
        <w:t>accoutrements that reflect special skills that an Airman has demonstrated proficiency or qualification in that complements their primary mission.</w:t>
      </w:r>
    </w:p>
    <w:p>
      <w:pPr>
        <w:spacing w:after="20" w:line="223" w:lineRule="auto"/>
        <w:jc w:val="right"/>
        <w:bidi/>
      </w:pPr>
      <w:r>
        <w:rPr>
          <w:rFonts w:ascii="Arial" w:hAnsi="Arial"/>
          <w:sz w:val="16"/>
        </w:rPr>
        <w:t>520.12  پوشیدن نشان خدمات خواهر در صورت کسب و اعطا مجاز است.</w:t>
      </w:r>
    </w:p>
    <w:p>
      <w:pPr>
        <w:spacing w:after="28" w:line="216" w:lineRule="auto"/>
        <w:ind w:left="259"/>
        <w:jc w:val="left"/>
      </w:pPr>
      <w:r>
        <w:rPr>
          <w:rFonts w:ascii="Arial" w:hAnsi="Arial"/>
          <w:color w:val="525252"/>
          <w:sz w:val="13"/>
        </w:rPr>
        <w:t>Wear of Sister services' badges if earned and awarded, is authorized.</w:t>
      </w:r>
    </w:p>
    <w:p>
      <w:pPr>
        <w:spacing w:after="20" w:line="223" w:lineRule="auto"/>
        <w:jc w:val="right"/>
        <w:bidi/>
      </w:pPr>
      <w:r>
        <w:rPr>
          <w:rFonts w:ascii="Arial" w:hAnsi="Arial"/>
          <w:sz w:val="16"/>
        </w:rPr>
        <w:t>520.13  نشان‌های موقت برای پوشیدن روی لباس مجاز نیستند.</w:t>
      </w:r>
    </w:p>
    <w:p>
      <w:pPr>
        <w:spacing w:after="28" w:line="216" w:lineRule="auto"/>
        <w:ind w:left="259"/>
        <w:jc w:val="left"/>
      </w:pPr>
      <w:r>
        <w:rPr>
          <w:rFonts w:ascii="Arial" w:hAnsi="Arial"/>
          <w:color w:val="525252"/>
          <w:sz w:val="13"/>
        </w:rPr>
        <w:t>Temporary badges are not authorized for wear on the uniform.</w:t>
      </w:r>
    </w:p>
    <w:p>
      <w:pPr>
        <w:spacing w:after="20" w:line="223" w:lineRule="auto"/>
        <w:jc w:val="right"/>
        <w:bidi/>
      </w:pPr>
      <w:r>
        <w:rPr>
          <w:rFonts w:ascii="Arial" w:hAnsi="Arial"/>
          <w:sz w:val="16"/>
        </w:rPr>
        <w:t>520.14  نشان‌های جوامع نظامی ایالات متحده که به جنگ‌ها، کمپین‌ها یا اکسپدیشن‌هایی که ایالات متحده در آن درگیر بوده است احترام می‌گذارد.</w:t>
      </w:r>
    </w:p>
    <w:p>
      <w:pPr>
        <w:spacing w:after="28" w:line="216" w:lineRule="auto"/>
        <w:ind w:left="259"/>
        <w:jc w:val="left"/>
      </w:pPr>
      <w:r>
        <w:rPr>
          <w:rFonts w:ascii="Arial" w:hAnsi="Arial"/>
          <w:color w:val="525252"/>
          <w:sz w:val="13"/>
        </w:rPr>
        <w:t>Badges of military societies of the U.S. that honor wars, campaigns, or expeditions in which the U.S. was engaged.</w:t>
      </w:r>
    </w:p>
    <w:p>
      <w:pPr>
        <w:spacing w:after="20" w:line="223" w:lineRule="auto"/>
        <w:jc w:val="right"/>
        <w:bidi/>
      </w:pPr>
      <w:r>
        <w:rPr>
          <w:rFonts w:ascii="Arial" w:hAnsi="Arial"/>
          <w:sz w:val="16"/>
        </w:rPr>
        <w:t>520.15  فقط در صورتی مجاز به پوشیدن است که عضو یکی از شرکت کنندگان در انجمن اهداکننده باشد و فقط در حین حضور در فعالیت‌های انجمن اهدا کننده.</w:t>
      </w:r>
    </w:p>
    <w:p>
      <w:pPr>
        <w:spacing w:after="28" w:line="216" w:lineRule="auto"/>
        <w:ind w:left="259"/>
        <w:jc w:val="left"/>
      </w:pPr>
      <w:r>
        <w:rPr>
          <w:rFonts w:ascii="Arial" w:hAnsi="Arial"/>
          <w:color w:val="525252"/>
          <w:sz w:val="13"/>
        </w:rPr>
        <w:t>Authorized for wear only if member is a participant in the awarding society and only while attending functions of the awarding society.</w:t>
      </w:r>
    </w:p>
    <w:p>
      <w:pPr>
        <w:spacing w:after="20" w:line="223" w:lineRule="auto"/>
        <w:jc w:val="right"/>
        <w:bidi/>
      </w:pPr>
      <w:r>
        <w:rPr>
          <w:rFonts w:ascii="Arial" w:hAnsi="Arial"/>
          <w:sz w:val="16"/>
        </w:rPr>
        <w:t>520.16  پچ مدرسه سلاح نیروی هوایی ایالات متحده (USAFWS).</w:t>
      </w:r>
    </w:p>
    <w:p>
      <w:pPr>
        <w:spacing w:after="28" w:line="216" w:lineRule="auto"/>
        <w:ind w:left="259"/>
        <w:jc w:val="left"/>
      </w:pPr>
      <w:r>
        <w:rPr>
          <w:rFonts w:ascii="Arial" w:hAnsi="Arial"/>
          <w:color w:val="525252"/>
          <w:sz w:val="13"/>
        </w:rPr>
        <w:t>United States Air Force Weapons School (USAFWS) Patch.</w:t>
      </w:r>
    </w:p>
    <w:p>
      <w:pPr>
        <w:spacing w:after="20" w:line="223" w:lineRule="auto"/>
        <w:jc w:val="right"/>
        <w:bidi/>
      </w:pPr>
      <w:r>
        <w:rPr>
          <w:rFonts w:ascii="Arial" w:hAnsi="Arial"/>
          <w:sz w:val="16"/>
        </w:rPr>
        <w:t>520.17  برای معیارهای سایش خاص پچ USAFWS (فارغ‌التحصیل یا مدرس)، به DAFMAN ۱۱-۴۱۵، برنامه‌های سلاح و تاکتیک، پاراگراف ۶.۲ مراجعه کنید.</w:t>
      </w:r>
    </w:p>
    <w:p>
      <w:pPr>
        <w:spacing w:after="28" w:line="216" w:lineRule="auto"/>
        <w:ind w:left="259"/>
        <w:jc w:val="left"/>
      </w:pPr>
      <w:r>
        <w:rPr>
          <w:rFonts w:ascii="Arial" w:hAnsi="Arial"/>
          <w:color w:val="525252"/>
          <w:sz w:val="13"/>
        </w:rPr>
        <w:t>For specific wear criteria USAFWS patch (graduate or instructor), refer to DAFMAN 11-415, Weapons and Tactics Programs, paragraph 6.2.</w:t>
      </w:r>
    </w:p>
    <w:p>
      <w:r>
        <w:br w:type="page"/>
      </w:r>
    </w:p>
    <w:p>
      <w:pPr>
        <w:spacing w:after="60"/>
        <w:jc w:val="right"/>
        <w:bidi/>
      </w:pPr>
      <w:r>
        <w:rPr>
          <w:rFonts w:ascii="Arial" w:hAnsi="Arial"/>
          <w:b/>
          <w:color w:val="1F4D78"/>
          <w:sz w:val="19"/>
        </w:rPr>
        <w:t>هفتهٔ 521  |  صفحهٔ منبع: 537</w:t>
      </w:r>
    </w:p>
    <w:p>
      <w:pPr>
        <w:spacing w:after="20" w:line="223" w:lineRule="auto"/>
        <w:jc w:val="right"/>
        <w:bidi/>
      </w:pPr>
      <w:r>
        <w:rPr>
          <w:rFonts w:ascii="Arial" w:hAnsi="Arial"/>
          <w:sz w:val="16"/>
        </w:rPr>
        <w:t>521.01  ۲۳.۲۸. اطلاعات نشان اضافی.</w:t>
      </w:r>
    </w:p>
    <w:p>
      <w:pPr>
        <w:spacing w:after="28" w:line="216" w:lineRule="auto"/>
        <w:ind w:left="259"/>
        <w:jc w:val="left"/>
      </w:pPr>
      <w:r>
        <w:rPr>
          <w:rFonts w:ascii="Arial" w:hAnsi="Arial"/>
          <w:color w:val="525252"/>
          <w:sz w:val="13"/>
        </w:rPr>
        <w:t>23.28. Additional Badge Information.</w:t>
      </w:r>
    </w:p>
    <w:p>
      <w:pPr>
        <w:spacing w:after="20" w:line="223" w:lineRule="auto"/>
        <w:jc w:val="right"/>
        <w:bidi/>
      </w:pPr>
      <w:r>
        <w:rPr>
          <w:rFonts w:ascii="Arial" w:hAnsi="Arial"/>
          <w:sz w:val="16"/>
        </w:rPr>
        <w:t>521.02  نشان‌های شغلی مینیاتوری و اندازه معمولی را نمی‌توان با هم پوشید. نشان وظیفه با اندازه معمولی با نشان وظیفه مینیاتوری پوشیده نمی‌شود.</w:t>
      </w:r>
    </w:p>
    <w:p>
      <w:pPr>
        <w:spacing w:after="28" w:line="216" w:lineRule="auto"/>
        <w:ind w:left="259"/>
        <w:jc w:val="left"/>
      </w:pPr>
      <w:r>
        <w:rPr>
          <w:rFonts w:ascii="Arial" w:hAnsi="Arial"/>
          <w:color w:val="525252"/>
          <w:sz w:val="13"/>
        </w:rPr>
        <w:t>Miniature and regular size occupational badges may not be worn together; A regular size duty badge is not worn with a miniature duty badge Exception: Miniature wings may be worn with a regular size occupational badge, or regular size medical badge.</w:t>
      </w:r>
    </w:p>
    <w:p>
      <w:pPr>
        <w:spacing w:after="20" w:line="223" w:lineRule="auto"/>
        <w:jc w:val="right"/>
        <w:bidi/>
      </w:pPr>
      <w:r>
        <w:rPr>
          <w:rFonts w:ascii="Arial" w:hAnsi="Arial"/>
          <w:sz w:val="16"/>
        </w:rPr>
        <w:t>521.03  فقط نشان‌های بسیار صیقلی پوشیده می‌شوند.</w:t>
      </w:r>
    </w:p>
    <w:p>
      <w:pPr>
        <w:spacing w:after="28" w:line="216" w:lineRule="auto"/>
        <w:ind w:left="259"/>
        <w:jc w:val="left"/>
      </w:pPr>
      <w:r>
        <w:rPr>
          <w:rFonts w:ascii="Arial" w:hAnsi="Arial"/>
          <w:color w:val="525252"/>
          <w:sz w:val="13"/>
        </w:rPr>
        <w:t>Only highly polished badges are worn.</w:t>
      </w:r>
    </w:p>
    <w:p>
      <w:pPr>
        <w:spacing w:after="20" w:line="223" w:lineRule="auto"/>
        <w:jc w:val="right"/>
        <w:bidi/>
      </w:pPr>
      <w:r>
        <w:rPr>
          <w:rFonts w:ascii="Arial" w:hAnsi="Arial"/>
          <w:sz w:val="16"/>
        </w:rPr>
        <w:t>521.04  استثنا: ممکن است "بالهای میراث" اکسید شده/ساتن پوشیده شود.</w:t>
      </w:r>
    </w:p>
    <w:p>
      <w:pPr>
        <w:spacing w:after="28" w:line="216" w:lineRule="auto"/>
        <w:ind w:left="259"/>
        <w:jc w:val="left"/>
      </w:pPr>
      <w:r>
        <w:rPr>
          <w:rFonts w:ascii="Arial" w:hAnsi="Arial"/>
          <w:color w:val="525252"/>
          <w:sz w:val="13"/>
        </w:rPr>
        <w:t>Exception: Oxidized/satin finished “Heritage Wings” may be worn.</w:t>
      </w:r>
    </w:p>
    <w:p>
      <w:pPr>
        <w:spacing w:after="20" w:line="223" w:lineRule="auto"/>
        <w:jc w:val="right"/>
        <w:bidi/>
      </w:pPr>
      <w:r>
        <w:rPr>
          <w:rFonts w:ascii="Arial" w:hAnsi="Arial"/>
          <w:sz w:val="16"/>
        </w:rPr>
        <w:t>521.05  نشان‌های وظیفه در دو اندازه موجود است. منظم و مینیاتوری</w:t>
      </w:r>
    </w:p>
    <w:p>
      <w:pPr>
        <w:spacing w:after="28" w:line="216" w:lineRule="auto"/>
        <w:ind w:left="259"/>
        <w:jc w:val="left"/>
      </w:pPr>
      <w:r>
        <w:rPr>
          <w:rFonts w:ascii="Arial" w:hAnsi="Arial"/>
          <w:color w:val="525252"/>
          <w:sz w:val="13"/>
        </w:rPr>
        <w:t>Duty badges are available in two sizes; regular and miniature.</w:t>
      </w:r>
    </w:p>
    <w:p>
      <w:pPr>
        <w:spacing w:after="20" w:line="223" w:lineRule="auto"/>
        <w:jc w:val="right"/>
        <w:bidi/>
      </w:pPr>
      <w:r>
        <w:rPr>
          <w:rFonts w:ascii="Arial" w:hAnsi="Arial"/>
          <w:sz w:val="16"/>
        </w:rPr>
        <w:t>521.06  در صورت مجاز بودن، فقط نشان(های) وظیفه اندازه معمولی را روی کت لباس سرویس بپوشید.</w:t>
      </w:r>
    </w:p>
    <w:p>
      <w:pPr>
        <w:spacing w:after="28" w:line="216" w:lineRule="auto"/>
        <w:ind w:left="259"/>
        <w:jc w:val="left"/>
      </w:pPr>
      <w:r>
        <w:rPr>
          <w:rFonts w:ascii="Arial" w:hAnsi="Arial"/>
          <w:color w:val="525252"/>
          <w:sz w:val="13"/>
        </w:rPr>
        <w:t>If authorized, wear only regular sized duty badge(s) on the service dress coat.</w:t>
      </w:r>
    </w:p>
    <w:p>
      <w:pPr>
        <w:spacing w:after="20" w:line="223" w:lineRule="auto"/>
        <w:jc w:val="right"/>
        <w:bidi/>
      </w:pPr>
      <w:r>
        <w:rPr>
          <w:rFonts w:ascii="Arial" w:hAnsi="Arial"/>
          <w:sz w:val="16"/>
        </w:rPr>
        <w:t>521.07  استثنا: وقتی یک نشان وظیفه فقط در یک سایز تولید می‌شود، آن اندازه را بپوشید.</w:t>
      </w:r>
    </w:p>
    <w:p>
      <w:pPr>
        <w:spacing w:after="28" w:line="216" w:lineRule="auto"/>
        <w:ind w:left="259"/>
        <w:jc w:val="left"/>
      </w:pPr>
      <w:r>
        <w:rPr>
          <w:rFonts w:ascii="Arial" w:hAnsi="Arial"/>
          <w:color w:val="525252"/>
          <w:sz w:val="13"/>
        </w:rPr>
        <w:t>Exception: When a duty badge is only manufactured in one size, wear that size.</w:t>
      </w:r>
    </w:p>
    <w:p>
      <w:pPr>
        <w:spacing w:after="20" w:line="223" w:lineRule="auto"/>
        <w:jc w:val="right"/>
        <w:bidi/>
      </w:pPr>
      <w:r>
        <w:rPr>
          <w:rFonts w:ascii="Arial" w:hAnsi="Arial"/>
          <w:sz w:val="16"/>
        </w:rPr>
        <w:t>521.08  در صورت مجاز بودن، فقط نشان(های) وظیفه مینیاتوری را روی کت لباس رسمی، کت لباس و پیراهن یا بلوز سرویس بپوشید.</w:t>
      </w:r>
    </w:p>
    <w:p>
      <w:pPr>
        <w:spacing w:after="28" w:line="216" w:lineRule="auto"/>
        <w:ind w:left="259"/>
        <w:jc w:val="left"/>
      </w:pPr>
      <w:r>
        <w:rPr>
          <w:rFonts w:ascii="Arial" w:hAnsi="Arial"/>
          <w:color w:val="525252"/>
          <w:sz w:val="13"/>
        </w:rPr>
        <w:t>If authorized, wear only miniature duty badge(s) on the formal dress coat, mess dress coat and service shirt/blouse.</w:t>
      </w:r>
    </w:p>
    <w:p>
      <w:pPr>
        <w:spacing w:after="20" w:line="223" w:lineRule="auto"/>
        <w:jc w:val="right"/>
        <w:bidi/>
      </w:pPr>
      <w:r>
        <w:rPr>
          <w:rFonts w:ascii="Arial" w:hAnsi="Arial"/>
          <w:sz w:val="16"/>
        </w:rPr>
        <w:t>521.09  استثنا: وقتی یک نشان وظیفه فقط در یک سایز تولید می‌شود، آن اندازه را بپوشید.</w:t>
      </w:r>
    </w:p>
    <w:p>
      <w:pPr>
        <w:spacing w:after="28" w:line="216" w:lineRule="auto"/>
        <w:ind w:left="259"/>
        <w:jc w:val="left"/>
      </w:pPr>
      <w:r>
        <w:rPr>
          <w:rFonts w:ascii="Arial" w:hAnsi="Arial"/>
          <w:color w:val="525252"/>
          <w:sz w:val="13"/>
        </w:rPr>
        <w:t>Exception: When a duty badge is only manufactured in one size, wear that size.</w:t>
      </w:r>
    </w:p>
    <w:p>
      <w:pPr>
        <w:spacing w:after="20" w:line="223" w:lineRule="auto"/>
        <w:jc w:val="right"/>
        <w:bidi/>
      </w:pPr>
      <w:r>
        <w:rPr>
          <w:rFonts w:ascii="Arial" w:hAnsi="Arial"/>
          <w:sz w:val="16"/>
        </w:rPr>
        <w:t>521.10  اگر اعضا چندین نشان وظیفه بپوشند و یک یا چند مورد فقط در یک سایز تولید شوند، اعضا ممکن است هر دو اندازه کوچک و معمولی را با هم ترکیب کنند.</w:t>
      </w:r>
    </w:p>
    <w:p>
      <w:pPr>
        <w:spacing w:after="28" w:line="216" w:lineRule="auto"/>
        <w:ind w:left="259"/>
        <w:jc w:val="left"/>
      </w:pPr>
      <w:r>
        <w:rPr>
          <w:rFonts w:ascii="Arial" w:hAnsi="Arial"/>
          <w:color w:val="525252"/>
          <w:sz w:val="13"/>
        </w:rPr>
        <w:t>If members wear multiple duty badges, and one or more are only manufactured in one size, members may mix both the miniature and regular sizes.</w:t>
      </w:r>
    </w:p>
    <w:p>
      <w:pPr>
        <w:spacing w:after="20" w:line="223" w:lineRule="auto"/>
        <w:jc w:val="right"/>
        <w:bidi/>
      </w:pPr>
      <w:r>
        <w:rPr>
          <w:rFonts w:ascii="Arial" w:hAnsi="Arial"/>
          <w:sz w:val="16"/>
        </w:rPr>
        <w:t>521.11  نشان‌ها روی لباس‌های بیرونی مانند مانتو، ژاکت و ژاکت پوشیده نمی‌شوند.</w:t>
      </w:r>
    </w:p>
    <w:p>
      <w:pPr>
        <w:spacing w:after="28" w:line="216" w:lineRule="auto"/>
        <w:ind w:left="259"/>
        <w:jc w:val="left"/>
      </w:pPr>
      <w:r>
        <w:rPr>
          <w:rFonts w:ascii="Arial" w:hAnsi="Arial"/>
          <w:color w:val="525252"/>
          <w:sz w:val="13"/>
        </w:rPr>
        <w:t>Badges will not be worn on outer garments e.g., overcoats, sweaters, and jackets.</w:t>
      </w:r>
    </w:p>
    <w:p>
      <w:pPr>
        <w:spacing w:after="20" w:line="223" w:lineRule="auto"/>
        <w:jc w:val="right"/>
        <w:bidi/>
      </w:pPr>
      <w:r>
        <w:rPr>
          <w:rFonts w:ascii="Arial" w:hAnsi="Arial"/>
          <w:sz w:val="16"/>
        </w:rPr>
        <w:t>521.12  ترتیب تقدم.</w:t>
      </w:r>
    </w:p>
    <w:p>
      <w:pPr>
        <w:spacing w:after="28" w:line="216" w:lineRule="auto"/>
        <w:ind w:left="259"/>
        <w:jc w:val="left"/>
      </w:pPr>
      <w:r>
        <w:rPr>
          <w:rFonts w:ascii="Arial" w:hAnsi="Arial"/>
          <w:color w:val="525252"/>
          <w:sz w:val="13"/>
        </w:rPr>
        <w:t>Order of precedence.</w:t>
      </w:r>
    </w:p>
    <w:p>
      <w:pPr>
        <w:spacing w:after="20" w:line="223" w:lineRule="auto"/>
        <w:jc w:val="right"/>
        <w:bidi/>
      </w:pPr>
      <w:r>
        <w:rPr>
          <w:rFonts w:ascii="Arial" w:hAnsi="Arial"/>
          <w:sz w:val="16"/>
        </w:rPr>
        <w:t>521.13  نشان خدمات ریاست جمهوری بالاترین اولویت را در بین تمام نشان‌های وظیفه دارد.</w:t>
      </w:r>
    </w:p>
    <w:p>
      <w:pPr>
        <w:spacing w:after="28" w:line="216" w:lineRule="auto"/>
        <w:ind w:left="259"/>
        <w:jc w:val="left"/>
      </w:pPr>
      <w:r>
        <w:rPr>
          <w:rFonts w:ascii="Arial" w:hAnsi="Arial"/>
          <w:color w:val="525252"/>
          <w:sz w:val="13"/>
        </w:rPr>
        <w:t>The Presidential Service badge has the highest priority of all duty badges.</w:t>
      </w:r>
    </w:p>
    <w:p>
      <w:pPr>
        <w:spacing w:after="20" w:line="223" w:lineRule="auto"/>
        <w:jc w:val="right"/>
        <w:bidi/>
      </w:pPr>
      <w:r>
        <w:rPr>
          <w:rFonts w:ascii="Arial" w:hAnsi="Arial"/>
          <w:sz w:val="16"/>
        </w:rPr>
        <w:t>521.14  نشان خدمات معاونت رئیس جمهور در اولویت دوم قرار دارد.</w:t>
      </w:r>
    </w:p>
    <w:p>
      <w:pPr>
        <w:spacing w:after="28" w:line="216" w:lineRule="auto"/>
        <w:ind w:left="259"/>
        <w:jc w:val="left"/>
      </w:pPr>
      <w:r>
        <w:rPr>
          <w:rFonts w:ascii="Arial" w:hAnsi="Arial"/>
          <w:color w:val="525252"/>
          <w:sz w:val="13"/>
        </w:rPr>
        <w:t>The Vice-Presidential Service badge has the second highest priority.</w:t>
      </w:r>
    </w:p>
    <w:p>
      <w:pPr>
        <w:spacing w:after="20" w:line="223" w:lineRule="auto"/>
        <w:jc w:val="right"/>
        <w:bidi/>
      </w:pPr>
      <w:r>
        <w:rPr>
          <w:rFonts w:ascii="Arial" w:hAnsi="Arial"/>
          <w:sz w:val="16"/>
        </w:rPr>
        <w:t>521.15  اگر نشان(های خدمات ریاست جمهوری و/یا معاونت ریاست جمهوری) اعطا شود، در موقعیت افتخار، در سمت راست پوشنده پوشیده خواهد شد.</w:t>
      </w:r>
    </w:p>
    <w:p>
      <w:pPr>
        <w:spacing w:after="28" w:line="216" w:lineRule="auto"/>
        <w:ind w:left="259"/>
        <w:jc w:val="left"/>
      </w:pPr>
      <w:r>
        <w:rPr>
          <w:rFonts w:ascii="Arial" w:hAnsi="Arial"/>
          <w:color w:val="525252"/>
          <w:sz w:val="13"/>
        </w:rPr>
        <w:t>If awarded, the Presidential and/or Vice-Presidential Service badge(s), it will be worn in the position of honor, on the wearer’s right side.</w:t>
      </w:r>
    </w:p>
    <w:p>
      <w:pPr>
        <w:spacing w:after="20" w:line="223" w:lineRule="auto"/>
        <w:jc w:val="right"/>
        <w:bidi/>
      </w:pPr>
      <w:r>
        <w:rPr>
          <w:rFonts w:ascii="Arial" w:hAnsi="Arial"/>
          <w:sz w:val="16"/>
        </w:rPr>
        <w:t>521.16  هیچ نشان دیگری نشان‌های ریاست جمهوری و/یا معاون ریاست جمهوری را از سمت راست لباس جابه جا نمی‌کند.</w:t>
      </w:r>
    </w:p>
    <w:p>
      <w:pPr>
        <w:spacing w:after="28" w:line="216" w:lineRule="auto"/>
        <w:ind w:left="259"/>
        <w:jc w:val="left"/>
      </w:pPr>
      <w:r>
        <w:rPr>
          <w:rFonts w:ascii="Arial" w:hAnsi="Arial"/>
          <w:color w:val="525252"/>
          <w:sz w:val="13"/>
        </w:rPr>
        <w:t>No other badges will move the Presidential and/or Vice Presidential badges from the right side of the uniform.</w:t>
      </w:r>
    </w:p>
    <w:p>
      <w:pPr>
        <w:spacing w:after="20" w:line="223" w:lineRule="auto"/>
        <w:jc w:val="right"/>
        <w:bidi/>
      </w:pPr>
      <w:r>
        <w:rPr>
          <w:rFonts w:ascii="Arial" w:hAnsi="Arial"/>
          <w:sz w:val="16"/>
        </w:rPr>
        <w:t>521.17  در همه ترکیب‌های یکنواخت، مردان نشان موشک یا نشان برتری در رقابت را فقط در سمت چپ پوشنده دارند.</w:t>
      </w:r>
    </w:p>
    <w:p>
      <w:pPr>
        <w:spacing w:after="28" w:line="216" w:lineRule="auto"/>
        <w:ind w:left="259"/>
        <w:jc w:val="left"/>
      </w:pPr>
      <w:r>
        <w:rPr>
          <w:rFonts w:ascii="Arial" w:hAnsi="Arial"/>
          <w:color w:val="525252"/>
          <w:sz w:val="13"/>
        </w:rPr>
        <w:t>On all uniform combinations, males wear the missile badge or excellence-in- competition badge on the wearer’s left side only.</w:t>
      </w:r>
    </w:p>
    <w:p>
      <w:pPr>
        <w:spacing w:after="20" w:line="223" w:lineRule="auto"/>
        <w:jc w:val="right"/>
        <w:bidi/>
      </w:pPr>
      <w:r>
        <w:rPr>
          <w:rFonts w:ascii="Arial" w:hAnsi="Arial"/>
          <w:sz w:val="16"/>
        </w:rPr>
        <w:t>521.18  زنان می‌توانند نشان موشک یا نشان برتری در رقابت را در دو مکان بپوشند.</w:t>
      </w:r>
    </w:p>
    <w:p>
      <w:pPr>
        <w:spacing w:after="28" w:line="216" w:lineRule="auto"/>
        <w:ind w:left="259"/>
        <w:jc w:val="left"/>
      </w:pPr>
      <w:r>
        <w:rPr>
          <w:rFonts w:ascii="Arial" w:hAnsi="Arial"/>
          <w:color w:val="525252"/>
          <w:sz w:val="13"/>
        </w:rPr>
        <w:t>Females have an option to wear the missile badge or excellence-in-competition badge in two locations.</w:t>
      </w:r>
    </w:p>
    <w:p>
      <w:pPr>
        <w:spacing w:after="20" w:line="223" w:lineRule="auto"/>
        <w:jc w:val="right"/>
        <w:bidi/>
      </w:pPr>
      <w:r>
        <w:rPr>
          <w:rFonts w:ascii="Arial" w:hAnsi="Arial"/>
          <w:sz w:val="16"/>
        </w:rPr>
        <w:t>521.19  در صورت پوشیدن نشان وظیفه، نشان موشک یا نشان برتری در مسابقه در سمت چپ پوشنده استفاده می‌شود، اگر نشان وظیفه پوشیده نباشد، نشان موشک یا نشان برتری در مسابقه در سمت راست پوشنده پوشیده می‌شود.</w:t>
      </w:r>
    </w:p>
    <w:p>
      <w:pPr>
        <w:spacing w:after="28" w:line="216" w:lineRule="auto"/>
        <w:ind w:left="259"/>
        <w:jc w:val="left"/>
      </w:pPr>
      <w:r>
        <w:rPr>
          <w:rFonts w:ascii="Arial" w:hAnsi="Arial"/>
          <w:color w:val="525252"/>
          <w:sz w:val="13"/>
        </w:rPr>
        <w:t>If a duty badge is worn, the missile badge or excellence-in-competition badge is worn on the wearer’s left, if no duty badge is worn, the missile badge or excellence-in- competition badge is worn on the wearer’s right.</w:t>
      </w:r>
    </w:p>
    <w:p>
      <w:pPr>
        <w:spacing w:after="20" w:line="223" w:lineRule="auto"/>
        <w:jc w:val="right"/>
        <w:bidi/>
      </w:pPr>
      <w:r>
        <w:rPr>
          <w:rFonts w:ascii="Arial" w:hAnsi="Arial"/>
          <w:sz w:val="16"/>
        </w:rPr>
        <w:t>521.20  همه نشان‌ها اختیاری هستند، مگر اینکه در DAFI ۳۶-۲۹۰۳ پوشیده شوند.</w:t>
      </w:r>
    </w:p>
    <w:p>
      <w:pPr>
        <w:spacing w:after="28" w:line="216" w:lineRule="auto"/>
        <w:ind w:left="259"/>
        <w:jc w:val="left"/>
      </w:pPr>
      <w:r>
        <w:rPr>
          <w:rFonts w:ascii="Arial" w:hAnsi="Arial"/>
          <w:color w:val="525252"/>
          <w:sz w:val="13"/>
        </w:rPr>
        <w:t>All badges are optional unless mandated for wear in DAFI 36-2903.</w:t>
      </w:r>
    </w:p>
    <w:p>
      <w:pPr>
        <w:spacing w:after="20" w:line="223" w:lineRule="auto"/>
        <w:jc w:val="right"/>
        <w:bidi/>
      </w:pPr>
      <w:r>
        <w:rPr>
          <w:rFonts w:ascii="Arial" w:hAnsi="Arial"/>
          <w:sz w:val="16"/>
        </w:rPr>
        <w:t>521.21  نشان ماینتنانک نشان اصلی شغلی برای همه AFSCهای ۲و و ۲۱م است.</w:t>
      </w:r>
    </w:p>
    <w:p>
      <w:pPr>
        <w:spacing w:after="28" w:line="216" w:lineRule="auto"/>
        <w:ind w:left="259"/>
        <w:jc w:val="left"/>
      </w:pPr>
      <w:r>
        <w:rPr>
          <w:rFonts w:ascii="Arial" w:hAnsi="Arial"/>
          <w:color w:val="525252"/>
          <w:sz w:val="13"/>
        </w:rPr>
        <w:t>The Maintenance badge is the core occupational badge for all 2W and 21M AFSCs.</w:t>
      </w:r>
    </w:p>
    <w:p>
      <w:pPr>
        <w:spacing w:after="20" w:line="223" w:lineRule="auto"/>
        <w:jc w:val="right"/>
        <w:bidi/>
      </w:pPr>
      <w:r>
        <w:rPr>
          <w:rFonts w:ascii="Arial" w:hAnsi="Arial"/>
          <w:sz w:val="16"/>
        </w:rPr>
        <w:t>521.22  پرسنل سیستم‌های مهمات (۲و۰) و افسران تعمیر و نگهداری مهمات و موشک (۲۱م) نیز می‌توانند علاوه بر نشان تعمیر و نگهداری، نشان شغلی مهمات را نیز کسب کرده و از آن استفاده کنند.</w:t>
      </w:r>
    </w:p>
    <w:p>
      <w:pPr>
        <w:spacing w:after="28" w:line="216" w:lineRule="auto"/>
        <w:ind w:left="259"/>
        <w:jc w:val="left"/>
      </w:pPr>
      <w:r>
        <w:rPr>
          <w:rFonts w:ascii="Arial" w:hAnsi="Arial"/>
          <w:color w:val="525252"/>
          <w:sz w:val="13"/>
        </w:rPr>
        <w:t>Munitions Systems personnel (2W0) and Munitions and Missile Maintenance officers (21M) can also earn and wear the Munitions occupational badge in addition to the Maintenance badge.</w:t>
      </w:r>
    </w:p>
    <w:p>
      <w:pPr>
        <w:spacing w:after="20" w:line="223" w:lineRule="auto"/>
        <w:jc w:val="right"/>
        <w:bidi/>
      </w:pPr>
      <w:r>
        <w:rPr>
          <w:rFonts w:ascii="Arial" w:hAnsi="Arial"/>
          <w:sz w:val="16"/>
        </w:rPr>
        <w:t>521.23  اگر عضوی که بخواهد نشان مهمات را بپوشد، هر دو نشان باید پوشیده شوند.</w:t>
      </w:r>
    </w:p>
    <w:p>
      <w:pPr>
        <w:spacing w:after="28" w:line="216" w:lineRule="auto"/>
        <w:ind w:left="259"/>
        <w:jc w:val="left"/>
      </w:pPr>
      <w:r>
        <w:rPr>
          <w:rFonts w:ascii="Arial" w:hAnsi="Arial"/>
          <w:color w:val="525252"/>
          <w:sz w:val="13"/>
        </w:rPr>
        <w:t>Both badges must be worn if the member chooses to wear the Munitions badge.</w:t>
      </w:r>
    </w:p>
    <w:p>
      <w:pPr>
        <w:spacing w:after="20" w:line="223" w:lineRule="auto"/>
        <w:jc w:val="right"/>
        <w:bidi/>
      </w:pPr>
      <w:r>
        <w:rPr>
          <w:rFonts w:ascii="Arial" w:hAnsi="Arial"/>
          <w:sz w:val="16"/>
        </w:rPr>
        <w:t>521.24  در صورت به دست آوردن و پوشیدن، نشان مهمات اولویت دارد و بر نشان ماینتنانک پوشیده خواهد شد.</w:t>
      </w:r>
    </w:p>
    <w:p>
      <w:pPr>
        <w:spacing w:after="28" w:line="216" w:lineRule="auto"/>
        <w:ind w:left="259"/>
        <w:jc w:val="left"/>
      </w:pPr>
      <w:r>
        <w:rPr>
          <w:rFonts w:ascii="Arial" w:hAnsi="Arial"/>
          <w:color w:val="525252"/>
          <w:sz w:val="13"/>
        </w:rPr>
        <w:t>If earned and worn, the Munitions badge takes precedence and will be worn over the Maintenance badge.</w:t>
      </w:r>
    </w:p>
    <w:p>
      <w:pPr>
        <w:spacing w:after="20" w:line="223" w:lineRule="auto"/>
        <w:jc w:val="right"/>
        <w:bidi/>
      </w:pPr>
      <w:r>
        <w:rPr>
          <w:rFonts w:ascii="Arial" w:hAnsi="Arial"/>
          <w:sz w:val="16"/>
        </w:rPr>
        <w:t>521.25  معیارهای جوایز را می‌توان در برنامه‌های آموزش و پرورش شغلی ۲و۰ و ۲۱م ارجاع داد. ۲۳.۲۹ ⟦۰۲۶. ایجاد یک نشان، پچ یا برگه شغلی جدید.</w:t>
      </w:r>
    </w:p>
    <w:p>
      <w:pPr>
        <w:spacing w:after="28" w:line="216" w:lineRule="auto"/>
        <w:ind w:left="259"/>
        <w:jc w:val="left"/>
      </w:pPr>
      <w:r>
        <w:rPr>
          <w:rFonts w:ascii="Arial" w:hAnsi="Arial"/>
          <w:color w:val="525252"/>
          <w:sz w:val="13"/>
        </w:rPr>
        <w:t>Award criteria can be referenced in the 2W0 and 21M Career Field Education and Training Plans.</w:t>
      </w:r>
    </w:p>
    <w:p>
      <w:pPr>
        <w:spacing w:after="20" w:line="223" w:lineRule="auto"/>
        <w:jc w:val="right"/>
        <w:bidi/>
      </w:pPr>
      <w:r>
        <w:rPr>
          <w:rFonts w:ascii="Arial" w:hAnsi="Arial"/>
          <w:sz w:val="16"/>
        </w:rPr>
        <w:t>521.26  ۲۳.۲۹. ایجاد یک نشان، پچ یا برگه شغلی جدید.</w:t>
      </w:r>
    </w:p>
    <w:p>
      <w:pPr>
        <w:spacing w:after="28" w:line="216" w:lineRule="auto"/>
        <w:ind w:left="259"/>
        <w:jc w:val="left"/>
      </w:pPr>
      <w:r>
        <w:rPr>
          <w:rFonts w:ascii="Arial" w:hAnsi="Arial"/>
          <w:color w:val="525252"/>
          <w:sz w:val="13"/>
        </w:rPr>
        <w:t>23.29. Establishing a New Occupational Badge, Patch or Tab.</w:t>
      </w:r>
    </w:p>
    <w:p>
      <w:pPr>
        <w:spacing w:after="20" w:line="223" w:lineRule="auto"/>
        <w:jc w:val="right"/>
        <w:bidi/>
      </w:pPr>
      <w:r>
        <w:rPr>
          <w:rFonts w:ascii="Arial" w:hAnsi="Arial"/>
          <w:sz w:val="16"/>
        </w:rPr>
        <w:t>521.27  معیارهای مجاز برای پوشیدن نشان‌های موجود توسط انجمن‌های عملکردی صادرکننده تعیین می‌شود.</w:t>
      </w:r>
    </w:p>
    <w:p>
      <w:pPr>
        <w:spacing w:after="28" w:line="216" w:lineRule="auto"/>
        <w:ind w:left="259"/>
        <w:jc w:val="left"/>
      </w:pPr>
      <w:r>
        <w:rPr>
          <w:rFonts w:ascii="Arial" w:hAnsi="Arial"/>
          <w:color w:val="525252"/>
          <w:sz w:val="13"/>
        </w:rPr>
        <w:t>Criteria for authority to wear existing badges is determined by the issuing functional communities.</w:t>
      </w:r>
    </w:p>
    <w:p>
      <w:pPr>
        <w:spacing w:after="20" w:line="223" w:lineRule="auto"/>
        <w:jc w:val="right"/>
        <w:bidi/>
      </w:pPr>
      <w:r>
        <w:rPr>
          <w:rFonts w:ascii="Arial" w:hAnsi="Arial"/>
          <w:sz w:val="16"/>
        </w:rPr>
        <w:t>521.28  تغییرات در نشان‌ها/وصله‌های عملکردی موجود و/یا ایجاد نشان‌ها/وصله‌های کاربردی جدید توسط انجمن‌های عملکردی ارسال شده است.</w:t>
      </w:r>
    </w:p>
    <w:p>
      <w:pPr>
        <w:spacing w:after="28" w:line="216" w:lineRule="auto"/>
        <w:ind w:left="259"/>
        <w:jc w:val="left"/>
      </w:pPr>
      <w:r>
        <w:rPr>
          <w:rFonts w:ascii="Arial" w:hAnsi="Arial"/>
          <w:color w:val="525252"/>
          <w:sz w:val="13"/>
        </w:rPr>
        <w:t>Modifications to existing functional badges/patches and/or creation of new functional badges/patches are submitted by the functional communities.</w:t>
      </w:r>
    </w:p>
    <w:p>
      <w:pPr>
        <w:spacing w:after="20" w:line="223" w:lineRule="auto"/>
        <w:jc w:val="right"/>
        <w:bidi/>
      </w:pPr>
      <w:r>
        <w:rPr>
          <w:rFonts w:ascii="Arial" w:hAnsi="Arial"/>
          <w:sz w:val="16"/>
        </w:rPr>
        <w:t>521.29  اصلاحات موجود و ایجاد نشان‌ها/وصله‌های جدید باید با اداره مدیریت نیروی نظامی نیروی هوایی (AF/ا۱پ) هماهنگ شود.</w:t>
      </w:r>
    </w:p>
    <w:p>
      <w:pPr>
        <w:spacing w:after="28" w:line="216" w:lineRule="auto"/>
        <w:ind w:left="259"/>
        <w:jc w:val="left"/>
      </w:pPr>
      <w:r>
        <w:rPr>
          <w:rFonts w:ascii="Arial" w:hAnsi="Arial"/>
          <w:color w:val="525252"/>
          <w:sz w:val="13"/>
        </w:rPr>
        <w:t>Modifications to existing, and creation of new badges/patches must be coordinated with the Air Force Military Force Management Directorate (AF/A1P).</w:t>
      </w:r>
    </w:p>
    <w:p>
      <w:pPr>
        <w:spacing w:after="20" w:line="223" w:lineRule="auto"/>
        <w:jc w:val="right"/>
        <w:bidi/>
      </w:pPr>
      <w:r>
        <w:rPr>
          <w:rFonts w:ascii="Arial" w:hAnsi="Arial"/>
          <w:sz w:val="16"/>
        </w:rPr>
        <w:t>521.30  فرآیند پیشنهاد ایجاد نشان شغلی جدید، نشان وظیفه، یا پچ فارغ‌التحصیلی.</w:t>
      </w:r>
    </w:p>
    <w:p>
      <w:pPr>
        <w:spacing w:after="28" w:line="216" w:lineRule="auto"/>
        <w:ind w:left="259"/>
        <w:jc w:val="left"/>
      </w:pPr>
      <w:r>
        <w:rPr>
          <w:rFonts w:ascii="Arial" w:hAnsi="Arial"/>
          <w:color w:val="525252"/>
          <w:sz w:val="13"/>
        </w:rPr>
        <w:t>Process to propose creation of a new occupational badge, duty badge, or graduate patch.</w:t>
      </w:r>
    </w:p>
    <w:p>
      <w:pPr>
        <w:spacing w:after="20" w:line="223" w:lineRule="auto"/>
        <w:jc w:val="right"/>
        <w:bidi/>
      </w:pPr>
      <w:r>
        <w:rPr>
          <w:rFonts w:ascii="Arial" w:hAnsi="Arial"/>
          <w:sz w:val="16"/>
        </w:rPr>
        <w:t>521.31  مرجع DAFI ۳۶-۲۹۰۳، پاراگراف ۵.۱.۶.۲.۴ تا ۵.۱.۶.۲.۴.۱ برای توجیه مورد نیاز برای درخواست پچ فارغ‌التحصیل جدید.</w:t>
      </w:r>
    </w:p>
    <w:p>
      <w:pPr>
        <w:spacing w:after="28" w:line="216" w:lineRule="auto"/>
        <w:ind w:left="259"/>
        <w:jc w:val="left"/>
      </w:pPr>
      <w:r>
        <w:rPr>
          <w:rFonts w:ascii="Arial" w:hAnsi="Arial"/>
          <w:color w:val="525252"/>
          <w:sz w:val="13"/>
        </w:rPr>
        <w:t>Reference DAFI 36-2903, paragraph 5.1.6.2.4 through 5.1.6.2.4.1 for the justification required to request a new graduate patch.</w:t>
      </w:r>
    </w:p>
    <w:p>
      <w:r>
        <w:br w:type="page"/>
      </w:r>
    </w:p>
    <w:p>
      <w:pPr>
        <w:spacing w:after="60"/>
        <w:jc w:val="right"/>
        <w:bidi/>
      </w:pPr>
      <w:r>
        <w:rPr>
          <w:rFonts w:ascii="Arial" w:hAnsi="Arial"/>
          <w:b/>
          <w:color w:val="1F4D78"/>
          <w:sz w:val="19"/>
        </w:rPr>
        <w:t>هفتهٔ 522  |  صفحهٔ منبع: 538</w:t>
      </w:r>
    </w:p>
    <w:p>
      <w:pPr>
        <w:spacing w:after="20" w:line="223" w:lineRule="auto"/>
        <w:jc w:val="right"/>
        <w:bidi/>
      </w:pPr>
      <w:r>
        <w:rPr>
          <w:rFonts w:ascii="Arial" w:hAnsi="Arial"/>
          <w:sz w:val="16"/>
        </w:rPr>
        <w:t>522.01  جامعه عملکردی باید طرح اولیه خود را به موسسه هرالدری ارسال کند.</w:t>
      </w:r>
    </w:p>
    <w:p>
      <w:pPr>
        <w:spacing w:after="28" w:line="216" w:lineRule="auto"/>
        <w:ind w:left="259"/>
        <w:jc w:val="left"/>
      </w:pPr>
      <w:r>
        <w:rPr>
          <w:rFonts w:ascii="Arial" w:hAnsi="Arial"/>
          <w:color w:val="525252"/>
          <w:sz w:val="13"/>
        </w:rPr>
        <w:t>The functional community must submit their preliminary design to the Institute of Heraldry.</w:t>
      </w:r>
    </w:p>
    <w:p>
      <w:pPr>
        <w:spacing w:after="20" w:line="223" w:lineRule="auto"/>
        <w:jc w:val="right"/>
        <w:bidi/>
      </w:pPr>
      <w:r>
        <w:rPr>
          <w:rFonts w:ascii="Arial" w:hAnsi="Arial"/>
          <w:sz w:val="16"/>
        </w:rPr>
        <w:t>522.02  موسسه هرالدری طرح پیشنهادی را بررسی می‌کند تا اطمینان حاصل کند که ۱) تجاوزی به طرح‌های موجود وجود ندارد، ۲) مطابقت با استانداردهای تولید نساجی یا فلزی، و ۳) برآورد هزینه ایجاد می‌کند.</w:t>
      </w:r>
    </w:p>
    <w:p>
      <w:pPr>
        <w:spacing w:after="28" w:line="216" w:lineRule="auto"/>
        <w:ind w:left="259"/>
        <w:jc w:val="left"/>
      </w:pPr>
      <w:r>
        <w:rPr>
          <w:rFonts w:ascii="Arial" w:hAnsi="Arial"/>
          <w:color w:val="525252"/>
          <w:sz w:val="13"/>
        </w:rPr>
        <w:t>The Institute of Heraldry will review the proposed design to ensure 1) there is no encroachment on existing designs, 2) conformity with textile or metal manufacturing standards, and 3) develop a cost estimate.</w:t>
      </w:r>
    </w:p>
    <w:p>
      <w:pPr>
        <w:spacing w:after="20" w:line="223" w:lineRule="auto"/>
        <w:jc w:val="right"/>
        <w:bidi/>
      </w:pPr>
      <w:r>
        <w:rPr>
          <w:rFonts w:ascii="Arial" w:hAnsi="Arial"/>
          <w:sz w:val="16"/>
        </w:rPr>
        <w:t>522.03  موسسه هرالدری طرح‌های طراحی یا ساخت نهایی را تا زمانی که مفهوم نشان تأیید نشود ارائه نخواهد کرد.</w:t>
      </w:r>
    </w:p>
    <w:p>
      <w:pPr>
        <w:spacing w:after="28" w:line="216" w:lineRule="auto"/>
        <w:ind w:left="259"/>
        <w:jc w:val="left"/>
      </w:pPr>
      <w:r>
        <w:rPr>
          <w:rFonts w:ascii="Arial" w:hAnsi="Arial"/>
          <w:color w:val="525252"/>
          <w:sz w:val="13"/>
        </w:rPr>
        <w:t>The Institute of Heraldry will not provide final design or manufacturing drawings until the insignia concept is approved.</w:t>
      </w:r>
    </w:p>
    <w:p>
      <w:pPr>
        <w:spacing w:after="20" w:line="223" w:lineRule="auto"/>
        <w:jc w:val="right"/>
        <w:bidi/>
      </w:pPr>
      <w:r>
        <w:rPr>
          <w:rFonts w:ascii="Arial" w:hAnsi="Arial"/>
          <w:sz w:val="16"/>
        </w:rPr>
        <w:t>522.04  پس از اینکه موسسه هرالدری بررسی/نظرات اولیه خود را در مورد طرح پیشنهادی ارائه کرد، جامعه عملکردی مسئول یک برگه خلاصه کارمندان تهیه می‌کند و بسته را با سایر جوامع کاربردی که مجاز به پوشیدن نشان یا پچ جدید هستند، هماهنگ می‌کند.</w:t>
      </w:r>
    </w:p>
    <w:p>
      <w:pPr>
        <w:spacing w:after="28" w:line="216" w:lineRule="auto"/>
        <w:ind w:left="259"/>
        <w:jc w:val="left"/>
      </w:pPr>
      <w:r>
        <w:rPr>
          <w:rFonts w:ascii="Arial" w:hAnsi="Arial"/>
          <w:color w:val="525252"/>
          <w:sz w:val="13"/>
        </w:rPr>
        <w:t>After the Institute of Heraldry provides their preliminary review/comments on the proposed design, the responsible functional community prepares a staff summary sheet and coordinates the package with other functional communities who will be authorized to wear the new badge, or patch.</w:t>
      </w:r>
    </w:p>
    <w:p>
      <w:pPr>
        <w:spacing w:after="20" w:line="223" w:lineRule="auto"/>
        <w:jc w:val="right"/>
        <w:bidi/>
      </w:pPr>
      <w:r>
        <w:rPr>
          <w:rFonts w:ascii="Arial" w:hAnsi="Arial"/>
          <w:sz w:val="16"/>
        </w:rPr>
        <w:t>522.05  بسته کارکنان سپس از طریق AF/ا۱پ، AF/ا۱، CMSAF و دستیار وزیر نیروی هوایی در امور نیروی انسانی و ذخیره (SAF/MR) هماهنگ شده و در نهایت توسط</w:t>
      </w:r>
    </w:p>
    <w:p>
      <w:pPr>
        <w:spacing w:after="28" w:line="216" w:lineRule="auto"/>
        <w:ind w:left="259"/>
        <w:jc w:val="left"/>
      </w:pPr>
      <w:r>
        <w:rPr>
          <w:rFonts w:ascii="Arial" w:hAnsi="Arial"/>
          <w:color w:val="525252"/>
          <w:sz w:val="13"/>
        </w:rPr>
        <w:t>Staff package is then coordinated through AF/A1P, AF/A1, CMSAF and the Assistant Secretary of the Air Force for Manpower and Reserve Affairs (SAF/MR), and finally approved by the</w:t>
      </w:r>
    </w:p>
    <w:p>
      <w:pPr>
        <w:spacing w:before="60" w:after="28"/>
        <w:jc w:val="right"/>
        <w:bidi/>
      </w:pPr>
      <w:r>
        <w:rPr>
          <w:b/>
          <w:color w:val="1F4D78"/>
          <w:sz w:val="18"/>
        </w:rPr>
        <w:t>CSAF.</w:t>
      </w:r>
    </w:p>
    <w:p>
      <w:pPr>
        <w:spacing w:after="20"/>
        <w:ind w:left="259"/>
        <w:jc w:val="left"/>
      </w:pPr>
      <w:r>
        <w:rPr>
          <w:color w:val="555555"/>
          <w:sz w:val="12"/>
        </w:rPr>
        <w:t>CSAF.</w:t>
      </w:r>
    </w:p>
    <w:p>
      <w:pPr>
        <w:spacing w:after="20" w:line="223" w:lineRule="auto"/>
        <w:jc w:val="right"/>
        <w:bidi/>
      </w:pPr>
      <w:r>
        <w:rPr>
          <w:rFonts w:ascii="Arial" w:hAnsi="Arial"/>
          <w:sz w:val="16"/>
        </w:rPr>
        <w:t>522.07  پس از تأیید، بسته کارکنان به سازمان عملیاتی درخواست کننده نشان یا پچ جدید بازگردانده می‌شود و یک کپی برای موسسه هرالدری ارسال می‌شود که فرآیند توسعه را آغاز خواهد کرد.</w:t>
      </w:r>
    </w:p>
    <w:p>
      <w:pPr>
        <w:spacing w:after="28" w:line="216" w:lineRule="auto"/>
        <w:ind w:left="259"/>
        <w:jc w:val="left"/>
      </w:pPr>
      <w:r>
        <w:rPr>
          <w:rFonts w:ascii="Arial" w:hAnsi="Arial"/>
          <w:color w:val="525252"/>
          <w:sz w:val="13"/>
        </w:rPr>
        <w:t>Upon approval, the staff package will be returned to the functional organization requesting the new badge or patch and a copy will be sent to the Institute of Heraldry who will begin the development process.</w:t>
      </w:r>
    </w:p>
    <w:p>
      <w:pPr>
        <w:spacing w:after="20" w:line="223" w:lineRule="auto"/>
        <w:jc w:val="right"/>
        <w:bidi/>
      </w:pPr>
      <w:r>
        <w:rPr>
          <w:rFonts w:ascii="Arial" w:hAnsi="Arial"/>
          <w:sz w:val="16"/>
        </w:rPr>
        <w:t>522.08  تأمین مالی.</w:t>
      </w:r>
    </w:p>
    <w:p>
      <w:pPr>
        <w:spacing w:after="28" w:line="216" w:lineRule="auto"/>
        <w:ind w:left="259"/>
        <w:jc w:val="left"/>
      </w:pPr>
      <w:r>
        <w:rPr>
          <w:rFonts w:ascii="Arial" w:hAnsi="Arial"/>
          <w:color w:val="525252"/>
          <w:sz w:val="13"/>
        </w:rPr>
        <w:t>Funding.</w:t>
      </w:r>
    </w:p>
    <w:p>
      <w:pPr>
        <w:spacing w:after="20" w:line="223" w:lineRule="auto"/>
        <w:jc w:val="right"/>
        <w:bidi/>
      </w:pPr>
      <w:r>
        <w:rPr>
          <w:rFonts w:ascii="Arial" w:hAnsi="Arial"/>
          <w:sz w:val="16"/>
        </w:rPr>
        <w:t>522.09  هزینه توسعه نشان، پچ یا برگه جدید توسط سازمان درخواست کننده مورد قابل اجرا تأمین می‌شود.</w:t>
      </w:r>
    </w:p>
    <w:p>
      <w:pPr>
        <w:spacing w:after="28" w:line="216" w:lineRule="auto"/>
        <w:ind w:left="259"/>
        <w:jc w:val="left"/>
      </w:pPr>
      <w:r>
        <w:rPr>
          <w:rFonts w:ascii="Arial" w:hAnsi="Arial"/>
          <w:color w:val="525252"/>
          <w:sz w:val="13"/>
        </w:rPr>
        <w:t>The development cost of the new badge, patch or tab will be funded by the organization requesting the applicable item.</w:t>
      </w:r>
    </w:p>
    <w:p>
      <w:pPr>
        <w:spacing w:after="20" w:line="223" w:lineRule="auto"/>
        <w:jc w:val="right"/>
        <w:bidi/>
      </w:pPr>
      <w:r>
        <w:rPr>
          <w:rFonts w:ascii="Arial" w:hAnsi="Arial"/>
          <w:sz w:val="16"/>
        </w:rPr>
        <w:t>522.10  AF/ا۱ به توسعه و تغییرات نشان، وصله یا برگه هدایت‌شده سکاف و CSAF کمک مالی خواهد کرد.</w:t>
      </w:r>
    </w:p>
    <w:p>
      <w:pPr>
        <w:spacing w:after="28" w:line="216" w:lineRule="auto"/>
        <w:ind w:left="259"/>
        <w:jc w:val="left"/>
      </w:pPr>
      <w:r>
        <w:rPr>
          <w:rFonts w:ascii="Arial" w:hAnsi="Arial"/>
          <w:color w:val="525252"/>
          <w:sz w:val="13"/>
        </w:rPr>
        <w:t>AF/A1 will fund SecAF and CSAF directed badge, patch or tab development and changes.</w:t>
      </w:r>
    </w:p>
    <w:p>
      <w:pPr>
        <w:spacing w:after="20" w:line="223" w:lineRule="auto"/>
        <w:jc w:val="right"/>
        <w:bidi/>
      </w:pPr>
      <w:r>
        <w:rPr>
          <w:rFonts w:ascii="Arial" w:hAnsi="Arial"/>
          <w:sz w:val="16"/>
        </w:rPr>
        <w:t>522.11  جوامع کارکردی که یک نشان شغلی جدید، نشان وظیفه، یا وصله فارغ‌التحصیلی یا تغییراتی در نشان یا پچ موجود خود پیشنهاد می‌کنند، تمام هزینه‌های مرتبط با طراحی و توسعه پیشنهادی را تأمین می‌کنند.</w:t>
      </w:r>
    </w:p>
    <w:p>
      <w:pPr>
        <w:spacing w:after="28" w:line="216" w:lineRule="auto"/>
        <w:ind w:left="259"/>
        <w:jc w:val="left"/>
      </w:pPr>
      <w:r>
        <w:rPr>
          <w:rFonts w:ascii="Arial" w:hAnsi="Arial"/>
          <w:color w:val="525252"/>
          <w:sz w:val="13"/>
        </w:rPr>
        <w:t>Functional communities proposing a new occupational badge, duty badge, or graduate patch, or changes to their existing badge or patch will fund all costs associated with proposed design and development.</w:t>
      </w:r>
    </w:p>
    <w:p>
      <w:pPr>
        <w:spacing w:after="20" w:line="223" w:lineRule="auto"/>
        <w:jc w:val="right"/>
        <w:bidi/>
      </w:pPr>
      <w:r>
        <w:rPr>
          <w:rFonts w:ascii="Arial" w:hAnsi="Arial"/>
          <w:sz w:val="16"/>
        </w:rPr>
        <w:t>522.12  سازمان‌ها فرم DD ۴۴۸، درخواست خرید بین‌بخشی نظامی را برای مبلغ مورد نیاز برای توسعه اولیه به موسسه هرالدری ارسال می‌کنند.</w:t>
      </w:r>
    </w:p>
    <w:p>
      <w:pPr>
        <w:spacing w:after="28" w:line="216" w:lineRule="auto"/>
        <w:ind w:left="259"/>
        <w:jc w:val="left"/>
      </w:pPr>
      <w:r>
        <w:rPr>
          <w:rFonts w:ascii="Arial" w:hAnsi="Arial"/>
          <w:color w:val="525252"/>
          <w:sz w:val="13"/>
        </w:rPr>
        <w:t>Organizations will submit a DD Form 448, Military Interdepartmental Purchase Request, to the Institute of Heraldry for the amount required for initial development.</w:t>
      </w:r>
    </w:p>
    <w:p>
      <w:pPr>
        <w:spacing w:after="20" w:line="223" w:lineRule="auto"/>
        <w:jc w:val="right"/>
        <w:bidi/>
      </w:pPr>
      <w:r>
        <w:rPr>
          <w:rFonts w:ascii="Arial" w:hAnsi="Arial"/>
          <w:sz w:val="16"/>
        </w:rPr>
        <w:t>522.13  وصله‌ها/برگه‌های شناسه وظیفه.</w:t>
      </w:r>
    </w:p>
    <w:p>
      <w:pPr>
        <w:spacing w:after="28" w:line="216" w:lineRule="auto"/>
        <w:ind w:left="259"/>
        <w:jc w:val="left"/>
      </w:pPr>
      <w:r>
        <w:rPr>
          <w:rFonts w:ascii="Arial" w:hAnsi="Arial"/>
          <w:color w:val="525252"/>
          <w:sz w:val="13"/>
        </w:rPr>
        <w:t>Duty Identifier Patches/Tabs.</w:t>
      </w:r>
    </w:p>
    <w:p>
      <w:pPr>
        <w:spacing w:after="20" w:line="223" w:lineRule="auto"/>
        <w:jc w:val="right"/>
        <w:bidi/>
      </w:pPr>
      <w:r>
        <w:rPr>
          <w:rFonts w:ascii="Arial" w:hAnsi="Arial"/>
          <w:sz w:val="16"/>
        </w:rPr>
        <w:t>522.14  MAJCOMS و/یا جوامع تابعی ممکن است درخواست ایجاد یک پچ/برگه شناسه وظیفه جدید را به صورت سالانه داشته باشند.</w:t>
      </w:r>
    </w:p>
    <w:p>
      <w:pPr>
        <w:spacing w:after="28" w:line="216" w:lineRule="auto"/>
        <w:ind w:left="259"/>
        <w:jc w:val="left"/>
      </w:pPr>
      <w:r>
        <w:rPr>
          <w:rFonts w:ascii="Arial" w:hAnsi="Arial"/>
          <w:color w:val="525252"/>
          <w:sz w:val="13"/>
        </w:rPr>
        <w:t>MAJCOMS and/or Functional communities may request the creation of a new duty identifier patch/tab on an annual basis.</w:t>
      </w:r>
    </w:p>
    <w:p>
      <w:pPr>
        <w:spacing w:after="20" w:line="223" w:lineRule="auto"/>
        <w:jc w:val="right"/>
        <w:bidi/>
      </w:pPr>
      <w:r>
        <w:rPr>
          <w:rFonts w:ascii="Arial" w:hAnsi="Arial"/>
          <w:sz w:val="16"/>
        </w:rPr>
        <w:t>522.15  درخواست‌های وصله/برگه جدید باید از دستورالعمل‌هایی پیروی کنند که در DAFI ۳۶-۲۹۰۳، پاراگراف‌های ۱۲.۷.۳.۱ تا ۱۲.۷.۳.۴ ذکر شده است.</w:t>
      </w:r>
    </w:p>
    <w:p>
      <w:pPr>
        <w:spacing w:after="28" w:line="216" w:lineRule="auto"/>
        <w:ind w:left="259"/>
        <w:jc w:val="left"/>
      </w:pPr>
      <w:r>
        <w:rPr>
          <w:rFonts w:ascii="Arial" w:hAnsi="Arial"/>
          <w:color w:val="525252"/>
          <w:sz w:val="13"/>
        </w:rPr>
        <w:t>New patch/tab requests should follow guidance as outlined in DAFI 36-2903, paragraphs 12.7.3.1 through 12.7.3.4.</w:t>
      </w:r>
    </w:p>
    <w:p>
      <w:pPr>
        <w:spacing w:after="20" w:line="223" w:lineRule="auto"/>
        <w:jc w:val="right"/>
        <w:bidi/>
      </w:pPr>
      <w:r>
        <w:rPr>
          <w:rFonts w:ascii="Arial" w:hAnsi="Arial"/>
          <w:sz w:val="16"/>
        </w:rPr>
        <w:t>522.16  توجه: برگه‌های شناسه با وصله‌ها متفاوت است. طراحی یک زبانه شامل یک قوس کوچک است، به‌عنوان مثال، "AIR ADVISOR"، "RAVEN" که نشان دهنده یک مدرک و / یا آموزش خاص و منحصر به فرد است.</w:t>
      </w:r>
    </w:p>
    <w:p>
      <w:pPr>
        <w:spacing w:after="28" w:line="216" w:lineRule="auto"/>
        <w:ind w:left="259"/>
        <w:jc w:val="left"/>
      </w:pPr>
      <w:r>
        <w:rPr>
          <w:rFonts w:ascii="Arial" w:hAnsi="Arial"/>
          <w:color w:val="525252"/>
          <w:sz w:val="13"/>
        </w:rPr>
        <w:t>Note: Identifier tabs differ from patches; a tab’s design includes a small arch e.g., “AIR ADVISOR”, “RAVEN” signifying a special, unique qualification and/or training.</w:t>
      </w:r>
    </w:p>
    <w:p>
      <w:pPr>
        <w:spacing w:after="20" w:line="223" w:lineRule="auto"/>
        <w:jc w:val="right"/>
        <w:bidi/>
      </w:pPr>
      <w:r>
        <w:rPr>
          <w:rFonts w:ascii="Arial" w:hAnsi="Arial"/>
          <w:sz w:val="16"/>
        </w:rPr>
        <w:t>522.17  درخواست از طریق AF/ا۱پ، CMSAF و AF/ا۱ برای تصمیم‌گیری نهایی هماهنگ می‌شود.</w:t>
      </w:r>
    </w:p>
    <w:p>
      <w:pPr>
        <w:spacing w:after="28" w:line="216" w:lineRule="auto"/>
        <w:ind w:left="259"/>
        <w:jc w:val="left"/>
      </w:pPr>
      <w:r>
        <w:rPr>
          <w:rFonts w:ascii="Arial" w:hAnsi="Arial"/>
          <w:color w:val="525252"/>
          <w:sz w:val="13"/>
        </w:rPr>
        <w:t>Request is coordinated through AF/A1P, CMSAF and to AF/A1 for final decision.</w:t>
      </w:r>
    </w:p>
    <w:p>
      <w:pPr>
        <w:spacing w:after="20" w:line="223" w:lineRule="auto"/>
        <w:jc w:val="right"/>
        <w:bidi/>
      </w:pPr>
      <w:r>
        <w:rPr>
          <w:rFonts w:ascii="Arial" w:hAnsi="Arial"/>
          <w:sz w:val="16"/>
        </w:rPr>
        <w:t>522.18  وصله‌ها/برگه‌های شناسه وظیفه موجود به صورت سالانه توسط AFCFM با هماهنگی ا۱PA مجددا تأیید می‌شوند.</w:t>
      </w:r>
    </w:p>
    <w:p>
      <w:pPr>
        <w:spacing w:after="28" w:line="216" w:lineRule="auto"/>
        <w:ind w:left="259"/>
        <w:jc w:val="left"/>
      </w:pPr>
      <w:r>
        <w:rPr>
          <w:rFonts w:ascii="Arial" w:hAnsi="Arial"/>
          <w:color w:val="525252"/>
          <w:sz w:val="13"/>
        </w:rPr>
        <w:t>Existing duty identifier patches/tabs will be re-validated on an annual basis by AFCFMs, in coordination with A1PA.</w:t>
      </w:r>
    </w:p>
    <w:p>
      <w:pPr>
        <w:spacing w:after="20" w:line="223" w:lineRule="auto"/>
        <w:jc w:val="right"/>
        <w:bidi/>
      </w:pPr>
      <w:r>
        <w:rPr>
          <w:rFonts w:ascii="Arial" w:hAnsi="Arial"/>
          <w:sz w:val="16"/>
        </w:rPr>
        <w:t>522.19  راهنمای پوشیدن در DAFI ۳۶-۲۹۰۳، پاراگراف ۵.۱.۶.۲.۳ مشخص شده است.</w:t>
      </w:r>
    </w:p>
    <w:p>
      <w:pPr>
        <w:spacing w:after="28" w:line="216" w:lineRule="auto"/>
        <w:ind w:left="259"/>
        <w:jc w:val="left"/>
      </w:pPr>
      <w:r>
        <w:rPr>
          <w:rFonts w:ascii="Arial" w:hAnsi="Arial"/>
          <w:color w:val="525252"/>
          <w:sz w:val="13"/>
        </w:rPr>
        <w:t>Wear guidance is outlined in DAFI 36-2903, paragraph 5.1.6.2.3.</w:t>
      </w:r>
    </w:p>
    <w:p>
      <w:pPr>
        <w:spacing w:after="20" w:line="223" w:lineRule="auto"/>
        <w:jc w:val="right"/>
        <w:bidi/>
      </w:pPr>
      <w:r>
        <w:rPr>
          <w:rFonts w:ascii="Arial" w:hAnsi="Arial"/>
          <w:sz w:val="16"/>
        </w:rPr>
        <w:t>522.20  انجمن‌های کاربردی که توسعه نشان، وصله یا برگه جدید یا تغییراتی در نشان، وصله یا برگه موجود خود پیشنهاد می‌کنند، تمام هزینه‌های مرتبط با طراحی و توسعه پیشنهادی را تأمین می‌کنند.</w:t>
      </w:r>
    </w:p>
    <w:p>
      <w:pPr>
        <w:spacing w:after="28" w:line="216" w:lineRule="auto"/>
        <w:ind w:left="259"/>
        <w:jc w:val="left"/>
      </w:pPr>
      <w:r>
        <w:rPr>
          <w:rFonts w:ascii="Arial" w:hAnsi="Arial"/>
          <w:color w:val="525252"/>
          <w:sz w:val="13"/>
        </w:rPr>
        <w:t>Functional communities proposing new badge, patch or tab development, or changes to their existing badge, patch or tab will fund all costs associated with proposed design and development.</w:t>
      </w:r>
    </w:p>
    <w:p>
      <w:pPr>
        <w:spacing w:after="20" w:line="223" w:lineRule="auto"/>
        <w:jc w:val="right"/>
        <w:bidi/>
      </w:pPr>
      <w:r>
        <w:rPr>
          <w:rFonts w:ascii="Arial" w:hAnsi="Arial"/>
          <w:sz w:val="16"/>
        </w:rPr>
        <w:t>522.21  سازمان‌ها فرم DD ۴۴۸، درخواست خرید بین‌بخشی نظامی را برای مبلغ مورد نیاز برای توسعه اولیه به موسسه هرالدری ارسال می‌کنند.</w:t>
      </w:r>
    </w:p>
    <w:p>
      <w:pPr>
        <w:spacing w:after="28" w:line="216" w:lineRule="auto"/>
        <w:ind w:left="259"/>
        <w:jc w:val="left"/>
      </w:pPr>
      <w:r>
        <w:rPr>
          <w:rFonts w:ascii="Arial" w:hAnsi="Arial"/>
          <w:color w:val="525252"/>
          <w:sz w:val="13"/>
        </w:rPr>
        <w:t>Organizations submit a DD Form 448, Military Interdepartmental Purchase Request, to the Institute of Heraldry for the amount required for initial development.</w:t>
      </w:r>
    </w:p>
    <w:p>
      <w:pPr>
        <w:spacing w:after="20" w:line="223" w:lineRule="auto"/>
        <w:jc w:val="right"/>
        <w:bidi/>
      </w:pPr>
      <w:r>
        <w:rPr>
          <w:rFonts w:ascii="Arial" w:hAnsi="Arial"/>
          <w:sz w:val="16"/>
        </w:rPr>
        <w:t>522.22  ۲۳.۳۰. جوایز و تزیینات.</w:t>
      </w:r>
    </w:p>
    <w:p>
      <w:pPr>
        <w:spacing w:after="28" w:line="216" w:lineRule="auto"/>
        <w:ind w:left="259"/>
        <w:jc w:val="left"/>
      </w:pPr>
      <w:r>
        <w:rPr>
          <w:rFonts w:ascii="Arial" w:hAnsi="Arial"/>
          <w:color w:val="525252"/>
          <w:sz w:val="13"/>
        </w:rPr>
        <w:t>23.30. Awards and Decorations.</w:t>
      </w:r>
    </w:p>
    <w:p>
      <w:pPr>
        <w:spacing w:after="20" w:line="223" w:lineRule="auto"/>
        <w:jc w:val="right"/>
        <w:bidi/>
      </w:pPr>
      <w:r>
        <w:rPr>
          <w:rFonts w:ascii="Arial" w:hAnsi="Arial"/>
          <w:sz w:val="16"/>
        </w:rPr>
        <w:t>522.23  دستورالعمل پوشیدن.</w:t>
      </w:r>
    </w:p>
    <w:p>
      <w:pPr>
        <w:spacing w:after="28" w:line="216" w:lineRule="auto"/>
        <w:ind w:left="259"/>
        <w:jc w:val="left"/>
      </w:pPr>
      <w:r>
        <w:rPr>
          <w:rFonts w:ascii="Arial" w:hAnsi="Arial"/>
          <w:color w:val="525252"/>
          <w:sz w:val="13"/>
        </w:rPr>
        <w:t>Wear Instructions.</w:t>
      </w:r>
    </w:p>
    <w:p>
      <w:pPr>
        <w:spacing w:after="20" w:line="223" w:lineRule="auto"/>
        <w:jc w:val="right"/>
        <w:bidi/>
      </w:pPr>
      <w:r>
        <w:rPr>
          <w:rFonts w:ascii="Arial" w:hAnsi="Arial"/>
          <w:sz w:val="16"/>
        </w:rPr>
        <w:t>522.24  تزیینات و مدال‌های خدماتی و روبان‌ها به ترتیب به صورت آنلاین در آدرس زیر نمایش داده می‌شود: https://www.afpc.af.mil/Career-Management/Decorations-and- ریببونس/.</w:t>
      </w:r>
    </w:p>
    <w:p>
      <w:pPr>
        <w:spacing w:after="28" w:line="216" w:lineRule="auto"/>
        <w:ind w:left="259"/>
        <w:jc w:val="left"/>
      </w:pPr>
      <w:r>
        <w:rPr>
          <w:rFonts w:ascii="Arial" w:hAnsi="Arial"/>
          <w:color w:val="525252"/>
          <w:sz w:val="13"/>
        </w:rPr>
        <w:t>Decorations and service medals and ribbons order of precedence are displayed online at: https://www.afpc.af.mil/Career-Management/Decorations-and- Ribbons/.</w:t>
      </w:r>
    </w:p>
    <w:p>
      <w:pPr>
        <w:spacing w:after="20" w:line="223" w:lineRule="auto"/>
        <w:jc w:val="right"/>
        <w:bidi/>
      </w:pPr>
      <w:r>
        <w:rPr>
          <w:rFonts w:ascii="Arial" w:hAnsi="Arial"/>
          <w:sz w:val="16"/>
        </w:rPr>
        <w:t>522.25  از مدال و روبان سایز معمولی یا مینیاتوری استفاده کنید، به جز مدال افتخار (تزیین گردن).</w:t>
      </w:r>
    </w:p>
    <w:p>
      <w:pPr>
        <w:spacing w:after="28" w:line="216" w:lineRule="auto"/>
        <w:ind w:left="259"/>
        <w:jc w:val="left"/>
      </w:pPr>
      <w:r>
        <w:rPr>
          <w:rFonts w:ascii="Arial" w:hAnsi="Arial"/>
          <w:color w:val="525252"/>
          <w:sz w:val="13"/>
        </w:rPr>
        <w:t>Wear regular or miniature size medals and ribbons, except for the Medal of Honor (neck decoration).</w:t>
      </w:r>
    </w:p>
    <w:p>
      <w:pPr>
        <w:spacing w:after="20" w:line="223" w:lineRule="auto"/>
        <w:jc w:val="right"/>
        <w:bidi/>
      </w:pPr>
      <w:r>
        <w:rPr>
          <w:rFonts w:ascii="Arial" w:hAnsi="Arial"/>
          <w:sz w:val="16"/>
        </w:rPr>
        <w:t>522.26  اندازه‌ها را با هم مخلوط نکنید.</w:t>
      </w:r>
    </w:p>
    <w:p>
      <w:pPr>
        <w:spacing w:after="28" w:line="216" w:lineRule="auto"/>
        <w:ind w:left="259"/>
        <w:jc w:val="left"/>
      </w:pPr>
      <w:r>
        <w:rPr>
          <w:rFonts w:ascii="Arial" w:hAnsi="Arial"/>
          <w:color w:val="525252"/>
          <w:sz w:val="13"/>
        </w:rPr>
        <w:t>Do not mix sizes.</w:t>
      </w:r>
    </w:p>
    <w:p>
      <w:pPr>
        <w:spacing w:after="20" w:line="223" w:lineRule="auto"/>
        <w:jc w:val="right"/>
        <w:bidi/>
      </w:pPr>
      <w:r>
        <w:rPr>
          <w:rFonts w:ascii="Arial" w:hAnsi="Arial"/>
          <w:sz w:val="16"/>
        </w:rPr>
        <w:t>522.27  از مدال و روبان روی لباس‌های بیرونی استفاده نکنید (به DAFI مراجعه کنید</w:t>
      </w:r>
    </w:p>
    <w:p>
      <w:pPr>
        <w:spacing w:after="28" w:line="216" w:lineRule="auto"/>
        <w:ind w:left="259"/>
        <w:jc w:val="left"/>
      </w:pPr>
      <w:r>
        <w:rPr>
          <w:rFonts w:ascii="Arial" w:hAnsi="Arial"/>
          <w:color w:val="525252"/>
          <w:sz w:val="13"/>
        </w:rPr>
        <w:t>Do not wear medals and ribbons on outer garments (see DAFI</w:t>
      </w:r>
    </w:p>
    <w:p>
      <w:r>
        <w:br w:type="page"/>
      </w:r>
    </w:p>
    <w:p>
      <w:pPr>
        <w:spacing w:after="60"/>
        <w:jc w:val="right"/>
        <w:bidi/>
      </w:pPr>
      <w:r>
        <w:rPr>
          <w:rFonts w:ascii="Arial" w:hAnsi="Arial"/>
          <w:b/>
          <w:color w:val="1F4D78"/>
          <w:sz w:val="19"/>
        </w:rPr>
        <w:t>هفتهٔ 523  |  صفحهٔ منبع: 539</w:t>
      </w:r>
    </w:p>
    <w:p>
      <w:pPr>
        <w:spacing w:after="20" w:line="223" w:lineRule="auto"/>
        <w:jc w:val="right"/>
        <w:bidi/>
      </w:pPr>
      <w:r>
        <w:rPr>
          <w:rFonts w:ascii="Arial" w:hAnsi="Arial"/>
          <w:sz w:val="16"/>
        </w:rPr>
        <w:t>523.01  ۳۶-۲۹۰۳، فصل ۷).</w:t>
      </w:r>
    </w:p>
    <w:p>
      <w:pPr>
        <w:spacing w:after="28" w:line="216" w:lineRule="auto"/>
        <w:ind w:left="259"/>
        <w:jc w:val="left"/>
      </w:pPr>
      <w:r>
        <w:rPr>
          <w:rFonts w:ascii="Arial" w:hAnsi="Arial"/>
          <w:color w:val="525252"/>
          <w:sz w:val="13"/>
        </w:rPr>
        <w:t>36-2903, Chapter 7).</w:t>
      </w:r>
    </w:p>
    <w:p>
      <w:pPr>
        <w:spacing w:after="20" w:line="223" w:lineRule="auto"/>
        <w:jc w:val="right"/>
        <w:bidi/>
      </w:pPr>
      <w:r>
        <w:rPr>
          <w:rFonts w:ascii="Arial" w:hAnsi="Arial"/>
          <w:sz w:val="16"/>
        </w:rPr>
        <w:t>523.02  هنگام پوشیدن مدال و روبان فقط از جوایز و وسایل مجاز استفاده کنید.</w:t>
      </w:r>
    </w:p>
    <w:p>
      <w:pPr>
        <w:spacing w:after="28" w:line="216" w:lineRule="auto"/>
        <w:ind w:left="259"/>
        <w:jc w:val="left"/>
      </w:pPr>
      <w:r>
        <w:rPr>
          <w:rFonts w:ascii="Arial" w:hAnsi="Arial"/>
          <w:color w:val="525252"/>
          <w:sz w:val="13"/>
        </w:rPr>
        <w:t>Wear only authorized awards and devices when wearing medals and ribbons.</w:t>
      </w:r>
    </w:p>
    <w:p>
      <w:pPr>
        <w:spacing w:after="20" w:line="223" w:lineRule="auto"/>
        <w:jc w:val="right"/>
        <w:bidi/>
      </w:pPr>
      <w:r>
        <w:rPr>
          <w:rFonts w:ascii="Arial" w:hAnsi="Arial"/>
          <w:sz w:val="16"/>
        </w:rPr>
        <w:t>523.03  یقه کت سرویس ممکن است قسمتی از روبان‌ها را بپوشاند.</w:t>
      </w:r>
    </w:p>
    <w:p>
      <w:pPr>
        <w:spacing w:after="28" w:line="216" w:lineRule="auto"/>
        <w:ind w:left="259"/>
        <w:jc w:val="left"/>
      </w:pPr>
      <w:r>
        <w:rPr>
          <w:rFonts w:ascii="Arial" w:hAnsi="Arial"/>
          <w:color w:val="525252"/>
          <w:sz w:val="13"/>
        </w:rPr>
        <w:t>The lapel of the service coat may cover a portion of the ribbons.</w:t>
      </w:r>
    </w:p>
    <w:p>
      <w:pPr>
        <w:spacing w:before="60" w:after="28"/>
        <w:jc w:val="right"/>
        <w:bidi/>
      </w:pPr>
      <w:r>
        <w:rPr>
          <w:b/>
          <w:color w:val="1F4D78"/>
          <w:sz w:val="18"/>
        </w:rPr>
        <w:t>شکل 23.63 نمونه‌هایی از چیدمان روبان‌ها را نشان می‌دهد، زمانی که برگردان کت لباس سرویس بخش‌هایی از روبان‌ها را پوشش می‌دهد و نمی‌پوشاند، تغییرات دیگر در صورت نیاز مجاز است.</w:t>
      </w:r>
    </w:p>
    <w:p>
      <w:pPr>
        <w:spacing w:after="20"/>
        <w:ind w:left="259"/>
        <w:jc w:val="left"/>
      </w:pPr>
      <w:r>
        <w:rPr>
          <w:color w:val="555555"/>
          <w:sz w:val="12"/>
        </w:rPr>
        <w:t>Figure 23.63 shows examples of arrangement of ribbons when the lapel of the service dress coat does and does not cover portions of ribbons, other variations are authorized as needed.</w:t>
      </w:r>
    </w:p>
    <w:p>
      <w:pPr>
        <w:spacing w:after="20" w:line="223" w:lineRule="auto"/>
        <w:jc w:val="right"/>
        <w:bidi/>
      </w:pPr>
      <w:r>
        <w:rPr>
          <w:rFonts w:ascii="Arial" w:hAnsi="Arial"/>
          <w:sz w:val="16"/>
        </w:rPr>
        <w:t>523.05  ۲۳.۳۱. تزیینات خارجی تزئینات خارجی آنهایی هستند که توسط دولت‌های خارجی ارائه می‌شود</w:t>
      </w:r>
    </w:p>
    <w:p>
      <w:pPr>
        <w:spacing w:after="28" w:line="216" w:lineRule="auto"/>
        <w:ind w:left="259"/>
        <w:jc w:val="left"/>
      </w:pPr>
      <w:r>
        <w:rPr>
          <w:rFonts w:ascii="Arial" w:hAnsi="Arial"/>
          <w:color w:val="525252"/>
          <w:sz w:val="13"/>
        </w:rPr>
        <w:t>23.31. Foreign Decorations. Foreign decorations are those proffered by foreign governments such</w:t>
      </w:r>
    </w:p>
    <w:p>
      <w:pPr>
        <w:spacing w:after="20" w:line="223" w:lineRule="auto"/>
        <w:jc w:val="right"/>
        <w:bidi/>
      </w:pPr>
      <w:r>
        <w:rPr>
          <w:rFonts w:ascii="Arial" w:hAnsi="Arial"/>
          <w:sz w:val="16"/>
        </w:rPr>
        <w:t>523.06  به‌عنوان روبان، دستگاه مدال، نشان، ارسی، یا تزئینات گردن.</w:t>
      </w:r>
    </w:p>
    <w:p>
      <w:pPr>
        <w:spacing w:after="28" w:line="216" w:lineRule="auto"/>
        <w:ind w:left="259"/>
        <w:jc w:val="left"/>
      </w:pPr>
      <w:r>
        <w:rPr>
          <w:rFonts w:ascii="Arial" w:hAnsi="Arial"/>
          <w:color w:val="525252"/>
          <w:sz w:val="13"/>
        </w:rPr>
        <w:t>as ribbons, medal devices, badges, sashes, or neck-type decorations.</w:t>
      </w:r>
    </w:p>
    <w:p>
      <w:pPr>
        <w:spacing w:after="20" w:line="223" w:lineRule="auto"/>
        <w:jc w:val="right"/>
        <w:bidi/>
      </w:pPr>
      <w:r>
        <w:rPr>
          <w:rFonts w:ascii="Arial" w:hAnsi="Arial"/>
          <w:sz w:val="16"/>
        </w:rPr>
        <w:t>523.07  DAFMAN ۳۶-۲۸۰۶، نحوه پذیرش تزیینات خارجی، اختیارات مورد نیاز برای پذیرش جایزه توسط اعضای نیروی هوایی و برخی دستورالعمل‌های پوشیدن را مشخص می‌کند.</w:t>
      </w:r>
    </w:p>
    <w:p>
      <w:pPr>
        <w:spacing w:after="28" w:line="216" w:lineRule="auto"/>
        <w:ind w:left="259"/>
        <w:jc w:val="left"/>
      </w:pPr>
      <w:r>
        <w:rPr>
          <w:rFonts w:ascii="Arial" w:hAnsi="Arial"/>
          <w:color w:val="525252"/>
          <w:sz w:val="13"/>
        </w:rPr>
        <w:t>DAFMAN 36-2806, specifies how to accept foreign decorations, the authority required for award acceptance by Air Force members, and some wear instructions.</w:t>
      </w:r>
    </w:p>
    <w:p>
      <w:pPr>
        <w:spacing w:after="20" w:line="223" w:lineRule="auto"/>
        <w:jc w:val="right"/>
        <w:bidi/>
      </w:pPr>
      <w:r>
        <w:rPr>
          <w:rFonts w:ascii="Arial" w:hAnsi="Arial"/>
          <w:sz w:val="16"/>
        </w:rPr>
        <w:t>523.08  پس از تأیید، معیارهای پوشیدن دکوراسیون خارجی به نوع وسیله‌ای که دکوراسیون نشان می‌دهد بستگی دارد.</w:t>
      </w:r>
    </w:p>
    <w:p>
      <w:pPr>
        <w:spacing w:after="28" w:line="216" w:lineRule="auto"/>
        <w:ind w:left="259"/>
        <w:jc w:val="left"/>
      </w:pPr>
      <w:r>
        <w:rPr>
          <w:rFonts w:ascii="Arial" w:hAnsi="Arial"/>
          <w:color w:val="525252"/>
          <w:sz w:val="13"/>
        </w:rPr>
        <w:t>Upon approval, foreign decoration wear criteria depend on the type of device the decoration represents.</w:t>
      </w:r>
    </w:p>
    <w:p>
      <w:pPr>
        <w:spacing w:after="20" w:line="223" w:lineRule="auto"/>
        <w:jc w:val="right"/>
        <w:bidi/>
      </w:pPr>
      <w:r>
        <w:rPr>
          <w:rFonts w:ascii="Arial" w:hAnsi="Arial"/>
          <w:sz w:val="16"/>
        </w:rPr>
        <w:t>523.09  توجه: همچنین DAFMAN ۳۶-۲۸۰۶ را برای سیاست پوشیدن که ممکن است در دکوراسیون خاص عضو نیروی هوایی اعمال شود، ببینید.</w:t>
      </w:r>
    </w:p>
    <w:p>
      <w:pPr>
        <w:spacing w:after="28" w:line="216" w:lineRule="auto"/>
        <w:ind w:left="259"/>
        <w:jc w:val="left"/>
      </w:pPr>
      <w:r>
        <w:rPr>
          <w:rFonts w:ascii="Arial" w:hAnsi="Arial"/>
          <w:color w:val="525252"/>
          <w:sz w:val="13"/>
        </w:rPr>
        <w:t>Note: Also see DAFMAN 36-2806 for wear policy that may apply to Airman’s specific decoration.</w:t>
      </w:r>
    </w:p>
    <w:p>
      <w:pPr>
        <w:spacing w:after="20" w:line="223" w:lineRule="auto"/>
        <w:jc w:val="right"/>
        <w:bidi/>
      </w:pPr>
      <w:r>
        <w:rPr>
          <w:rFonts w:ascii="Arial" w:hAnsi="Arial"/>
          <w:sz w:val="16"/>
        </w:rPr>
        <w:t>523.10  طبق آداب و رسوم کشور اهداکننده، فقط با لباس رسمی از تزئینات خارجی مانند ارسی، آفتاب سوختگی یا گردن استفاده کنید.</w:t>
      </w:r>
    </w:p>
    <w:p>
      <w:pPr>
        <w:spacing w:after="28" w:line="216" w:lineRule="auto"/>
        <w:ind w:left="259"/>
        <w:jc w:val="left"/>
      </w:pPr>
      <w:r>
        <w:rPr>
          <w:rFonts w:ascii="Arial" w:hAnsi="Arial"/>
          <w:color w:val="525252"/>
          <w:sz w:val="13"/>
        </w:rPr>
        <w:t>Wear sash, sunburst, or neck-type foreign decorations with the formal dress uniform only, according to the customs of the awarding nation.</w:t>
      </w:r>
    </w:p>
    <w:p>
      <w:pPr>
        <w:spacing w:after="20" w:line="223" w:lineRule="auto"/>
        <w:jc w:val="right"/>
        <w:bidi/>
      </w:pPr>
      <w:r>
        <w:rPr>
          <w:rFonts w:ascii="Arial" w:hAnsi="Arial"/>
          <w:sz w:val="16"/>
        </w:rPr>
        <w:t>523.11  هر بار فقط یک تیپ بپوشید.</w:t>
      </w:r>
    </w:p>
    <w:p>
      <w:pPr>
        <w:spacing w:after="28" w:line="216" w:lineRule="auto"/>
        <w:ind w:left="259"/>
        <w:jc w:val="left"/>
      </w:pPr>
      <w:r>
        <w:rPr>
          <w:rFonts w:ascii="Arial" w:hAnsi="Arial"/>
          <w:color w:val="525252"/>
          <w:sz w:val="13"/>
        </w:rPr>
        <w:t>Wear only one type at a time.</w:t>
      </w:r>
    </w:p>
    <w:p>
      <w:pPr>
        <w:spacing w:after="20" w:line="223" w:lineRule="auto"/>
        <w:jc w:val="right"/>
        <w:bidi/>
      </w:pPr>
      <w:r>
        <w:rPr>
          <w:rFonts w:ascii="Arial" w:hAnsi="Arial"/>
          <w:sz w:val="16"/>
        </w:rPr>
        <w:t>523.12  در لباس‌های نیمه رسمی، تشریفاتی و خدماتی (کلاس ب) زمانی که اندازه مدال‌ها و روبان‌های نیروی هوایی هستند، مدال و روبان بپوشید.</w:t>
      </w:r>
    </w:p>
    <w:p>
      <w:pPr>
        <w:spacing w:after="28" w:line="216" w:lineRule="auto"/>
        <w:ind w:left="259"/>
        <w:jc w:val="left"/>
      </w:pPr>
      <w:r>
        <w:rPr>
          <w:rFonts w:ascii="Arial" w:hAnsi="Arial"/>
          <w:color w:val="525252"/>
          <w:sz w:val="13"/>
        </w:rPr>
        <w:t>Wear medals and ribbons on the semi-formal, ceremonial, and service uniforms (Class B) when they are the same size as Air Force medals and ribbons.</w:t>
      </w:r>
    </w:p>
    <w:p>
      <w:pPr>
        <w:spacing w:after="20" w:line="223" w:lineRule="auto"/>
        <w:jc w:val="right"/>
        <w:bidi/>
      </w:pPr>
      <w:r>
        <w:rPr>
          <w:rFonts w:ascii="Arial" w:hAnsi="Arial"/>
          <w:sz w:val="16"/>
        </w:rPr>
        <w:t>523.13  از پوشیدن تزیینات خارجی خودداری کنید مگر اینکه از سایر مدال‌ها و مدال‌های نظامی ایالات متحده استفاده کنید.</w:t>
      </w:r>
    </w:p>
    <w:p>
      <w:pPr>
        <w:spacing w:after="28" w:line="216" w:lineRule="auto"/>
        <w:ind w:left="259"/>
        <w:jc w:val="left"/>
      </w:pPr>
      <w:r>
        <w:rPr>
          <w:rFonts w:ascii="Arial" w:hAnsi="Arial"/>
          <w:color w:val="525252"/>
          <w:sz w:val="13"/>
        </w:rPr>
        <w:t>Do not wear foreign decorations unless wearing other U.S. military decorations and service medals.</w:t>
      </w:r>
    </w:p>
    <w:p>
      <w:pPr>
        <w:spacing w:after="20" w:line="223" w:lineRule="auto"/>
        <w:jc w:val="right"/>
        <w:bidi/>
      </w:pPr>
      <w:r>
        <w:rPr>
          <w:rFonts w:ascii="Arial" w:hAnsi="Arial"/>
          <w:sz w:val="16"/>
        </w:rPr>
        <w:t>523.14  هنگامی که بیش از یک دکوراسیون مجاز است، آنها را به ترتیب به دست آمده بپوشید.</w:t>
      </w:r>
    </w:p>
    <w:p>
      <w:pPr>
        <w:spacing w:after="28" w:line="216" w:lineRule="auto"/>
        <w:ind w:left="259"/>
        <w:jc w:val="left"/>
      </w:pPr>
      <w:r>
        <w:rPr>
          <w:rFonts w:ascii="Arial" w:hAnsi="Arial"/>
          <w:color w:val="525252"/>
          <w:sz w:val="13"/>
        </w:rPr>
        <w:t>When authorized more than one decoration, wear them in the order earned.</w:t>
      </w:r>
    </w:p>
    <w:p>
      <w:pPr>
        <w:spacing w:after="20" w:line="223" w:lineRule="auto"/>
        <w:jc w:val="right"/>
        <w:bidi/>
      </w:pPr>
      <w:r>
        <w:rPr>
          <w:rFonts w:ascii="Arial" w:hAnsi="Arial"/>
          <w:sz w:val="16"/>
        </w:rPr>
        <w:t>523.15  اگر بیش از یک دکوراسیون خارجی از یک کشور مجاز است، آنها را به ترتیبی که کشور تجویز می‌کند بپوشید.</w:t>
      </w:r>
    </w:p>
    <w:p>
      <w:pPr>
        <w:spacing w:after="28" w:line="216" w:lineRule="auto"/>
        <w:ind w:left="259"/>
        <w:jc w:val="left"/>
      </w:pPr>
      <w:r>
        <w:rPr>
          <w:rFonts w:ascii="Arial" w:hAnsi="Arial"/>
          <w:color w:val="525252"/>
          <w:sz w:val="13"/>
        </w:rPr>
        <w:t>If authorized more than one foreign decoration from the same country, wear them in the order the country prescribes.</w:t>
      </w:r>
    </w:p>
    <w:p>
      <w:pPr>
        <w:spacing w:after="20" w:line="223" w:lineRule="auto"/>
        <w:jc w:val="right"/>
        <w:bidi/>
      </w:pPr>
      <w:r>
        <w:rPr>
          <w:rFonts w:ascii="Arial" w:hAnsi="Arial"/>
          <w:sz w:val="16"/>
        </w:rPr>
        <w:t>523.16  در مناسبت‌های خاص و به احترام یک کشور خاص، ایرمن ممکن است تزئینات آن کشور را جلوتر از سایر تزئینات خارجی بپوشد.</w:t>
      </w:r>
    </w:p>
    <w:p>
      <w:pPr>
        <w:spacing w:after="28" w:line="216" w:lineRule="auto"/>
        <w:ind w:left="259"/>
        <w:jc w:val="left"/>
      </w:pPr>
      <w:r>
        <w:rPr>
          <w:rFonts w:ascii="Arial" w:hAnsi="Arial"/>
          <w:color w:val="525252"/>
          <w:sz w:val="13"/>
        </w:rPr>
        <w:t>On special occasions and as a matter of courtesy to a given country, Airman may wear the decorations of that country ahead of all other foreign decorations.</w:t>
      </w:r>
    </w:p>
    <w:p>
      <w:pPr>
        <w:spacing w:after="20" w:line="223" w:lineRule="auto"/>
        <w:jc w:val="right"/>
        <w:bidi/>
      </w:pPr>
      <w:r>
        <w:rPr>
          <w:rFonts w:ascii="Arial" w:hAnsi="Arial"/>
          <w:sz w:val="16"/>
        </w:rPr>
        <w:t>523.17  ۲۳.۳۲. جوایز خدمات غیر نیروی هوایی</w:t>
      </w:r>
    </w:p>
    <w:p>
      <w:pPr>
        <w:spacing w:after="28" w:line="216" w:lineRule="auto"/>
        <w:ind w:left="259"/>
        <w:jc w:val="left"/>
      </w:pPr>
      <w:r>
        <w:rPr>
          <w:rFonts w:ascii="Arial" w:hAnsi="Arial"/>
          <w:color w:val="525252"/>
          <w:sz w:val="13"/>
        </w:rPr>
        <w:t>23.32. Non-Air Force Service Awards.</w:t>
      </w:r>
    </w:p>
    <w:p>
      <w:pPr>
        <w:spacing w:after="20" w:line="223" w:lineRule="auto"/>
        <w:jc w:val="right"/>
        <w:bidi/>
      </w:pPr>
      <w:r>
        <w:rPr>
          <w:rFonts w:ascii="Arial" w:hAnsi="Arial"/>
          <w:sz w:val="16"/>
        </w:rPr>
        <w:t>523.18  اعضای ANG هنگام خدمت در وضعیت ایالتی، اما نه در حین انجام وظیفه فدرال، از تزئینات ایالتی استفاده می‌کنند.</w:t>
      </w:r>
    </w:p>
    <w:p>
      <w:pPr>
        <w:spacing w:after="28" w:line="216" w:lineRule="auto"/>
        <w:ind w:left="259"/>
        <w:jc w:val="left"/>
      </w:pPr>
      <w:r>
        <w:rPr>
          <w:rFonts w:ascii="Arial" w:hAnsi="Arial"/>
          <w:color w:val="525252"/>
          <w:sz w:val="13"/>
        </w:rPr>
        <w:t>ANG members wear state decorations when serving in state status, but not while on federal active duty.</w:t>
      </w:r>
    </w:p>
    <w:p>
      <w:pPr>
        <w:spacing w:after="20" w:line="223" w:lineRule="auto"/>
        <w:jc w:val="right"/>
        <w:bidi/>
      </w:pPr>
      <w:r>
        <w:rPr>
          <w:rFonts w:ascii="Arial" w:hAnsi="Arial"/>
          <w:sz w:val="16"/>
        </w:rPr>
        <w:t>523.19  سایر جوایز بخش خدمت سربازی را که در زیر به ترتیبی که سرویس اعطا می‌کند درج نشده بپوشید.</w:t>
      </w:r>
    </w:p>
    <w:p>
      <w:pPr>
        <w:spacing w:after="28" w:line="216" w:lineRule="auto"/>
        <w:ind w:left="259"/>
        <w:jc w:val="left"/>
      </w:pPr>
      <w:r>
        <w:rPr>
          <w:rFonts w:ascii="Arial" w:hAnsi="Arial"/>
          <w:color w:val="525252"/>
          <w:sz w:val="13"/>
        </w:rPr>
        <w:t>Wear other military service department awards not included in below in the order the awarding Service prescribes.</w:t>
      </w:r>
    </w:p>
    <w:p>
      <w:pPr>
        <w:spacing w:after="20" w:line="223" w:lineRule="auto"/>
        <w:jc w:val="right"/>
        <w:bidi/>
      </w:pPr>
      <w:r>
        <w:rPr>
          <w:rFonts w:ascii="Arial" w:hAnsi="Arial"/>
          <w:sz w:val="16"/>
        </w:rPr>
        <w:t>523.20  جوایز نیروی هوایی بر جوایز مساوی از سایر خدمات ارجحیت دارند.</w:t>
      </w:r>
    </w:p>
    <w:p>
      <w:pPr>
        <w:spacing w:after="28" w:line="216" w:lineRule="auto"/>
        <w:ind w:left="259"/>
        <w:jc w:val="left"/>
      </w:pPr>
      <w:r>
        <w:rPr>
          <w:rFonts w:ascii="Arial" w:hAnsi="Arial"/>
          <w:color w:val="525252"/>
          <w:sz w:val="13"/>
        </w:rPr>
        <w:t>Air Force awards take precedence over equal awards from other Services.</w:t>
      </w:r>
    </w:p>
    <w:p>
      <w:pPr>
        <w:spacing w:after="20" w:line="223" w:lineRule="auto"/>
        <w:jc w:val="right"/>
        <w:bidi/>
      </w:pPr>
      <w:r>
        <w:rPr>
          <w:rFonts w:ascii="Arial" w:hAnsi="Arial"/>
          <w:sz w:val="16"/>
        </w:rPr>
        <w:t>523.21  جوایز جنگ‌ها، کمپین‌ها و اکتشافات را به ترتیب کسب شده بپوشید.</w:t>
      </w:r>
    </w:p>
    <w:p>
      <w:pPr>
        <w:spacing w:after="28" w:line="216" w:lineRule="auto"/>
        <w:ind w:left="259"/>
        <w:jc w:val="left"/>
      </w:pPr>
      <w:r>
        <w:rPr>
          <w:rFonts w:ascii="Arial" w:hAnsi="Arial"/>
          <w:color w:val="525252"/>
          <w:sz w:val="13"/>
        </w:rPr>
        <w:t>Wear awards for wars, campaigns and expeditions in the order earned.</w:t>
      </w:r>
    </w:p>
    <w:p>
      <w:pPr>
        <w:spacing w:after="20" w:line="223" w:lineRule="auto"/>
        <w:jc w:val="right"/>
        <w:bidi/>
      </w:pPr>
      <w:r>
        <w:rPr>
          <w:rFonts w:ascii="Arial" w:hAnsi="Arial"/>
          <w:sz w:val="16"/>
        </w:rPr>
        <w:t>523.22  جوایز تقدیر از واحد شجاع ارتش و واحد شایسته بزرگتر از نوارهای نیروی هوایی است.</w:t>
      </w:r>
    </w:p>
    <w:p>
      <w:pPr>
        <w:spacing w:after="28" w:line="216" w:lineRule="auto"/>
        <w:ind w:left="259"/>
        <w:jc w:val="left"/>
      </w:pPr>
      <w:r>
        <w:rPr>
          <w:rFonts w:ascii="Arial" w:hAnsi="Arial"/>
          <w:color w:val="525252"/>
          <w:sz w:val="13"/>
        </w:rPr>
        <w:t>The Army Valorous Unit and Meritorious Unit Commendation awards are larger than Air Force ribbons.</w:t>
      </w:r>
    </w:p>
    <w:p>
      <w:pPr>
        <w:spacing w:after="20" w:line="223" w:lineRule="auto"/>
        <w:jc w:val="right"/>
        <w:bidi/>
      </w:pPr>
      <w:r>
        <w:rPr>
          <w:rFonts w:ascii="Arial" w:hAnsi="Arial"/>
          <w:sz w:val="16"/>
        </w:rPr>
        <w:t>523.23  وقتی اعضا این جوایز (نسخه ارتش) را با روبان‌های نیروی هوایی خود می‌پوشند، باید روبان‌هایی را بخرند که هم اندازه روبان‌های نیروی هوایی خود هستند.</w:t>
      </w:r>
    </w:p>
    <w:p>
      <w:pPr>
        <w:spacing w:after="28" w:line="216" w:lineRule="auto"/>
        <w:ind w:left="259"/>
        <w:jc w:val="left"/>
      </w:pPr>
      <w:r>
        <w:rPr>
          <w:rFonts w:ascii="Arial" w:hAnsi="Arial"/>
          <w:color w:val="525252"/>
          <w:sz w:val="13"/>
        </w:rPr>
        <w:t>When members wear these awards (Army version) with their Air Force ribbons, they must purchase ribbons that are the same size as their Air Force ribbons.</w:t>
      </w:r>
    </w:p>
    <w:p>
      <w:pPr>
        <w:spacing w:after="20" w:line="223" w:lineRule="auto"/>
        <w:jc w:val="right"/>
        <w:bidi/>
      </w:pPr>
      <w:r>
        <w:rPr>
          <w:rFonts w:ascii="Arial" w:hAnsi="Arial"/>
          <w:sz w:val="16"/>
        </w:rPr>
        <w:t>523.24  ۲۳.۳۳. پوشیدن جوایز و تزیینات توسط بازنشستگان و جانبازان محترم.</w:t>
      </w:r>
    </w:p>
    <w:p>
      <w:pPr>
        <w:spacing w:after="28" w:line="216" w:lineRule="auto"/>
        <w:ind w:left="259"/>
        <w:jc w:val="left"/>
      </w:pPr>
      <w:r>
        <w:rPr>
          <w:rFonts w:ascii="Arial" w:hAnsi="Arial"/>
          <w:color w:val="525252"/>
          <w:sz w:val="13"/>
        </w:rPr>
        <w:t>23.33. Wear of Awards and Decorations by Retirees and Honorably Discharged Veterans.</w:t>
      </w:r>
    </w:p>
    <w:p>
      <w:pPr>
        <w:spacing w:after="20" w:line="223" w:lineRule="auto"/>
        <w:jc w:val="right"/>
        <w:bidi/>
      </w:pPr>
      <w:r>
        <w:rPr>
          <w:rFonts w:ascii="Arial" w:hAnsi="Arial"/>
          <w:sz w:val="16"/>
        </w:rPr>
        <w:t>523.25  اعضای بازنشسته و برکنار شده با افتخار نیروی هوایی می‌توانند در مناسبت‌های مناسب مانند روز یادبود و روز نیروهای مسلح از مدال‌های سایز کامل یا مینیاتوری در لباس‌های غیرنظامی یا مشابه آن استفاده کنند.</w:t>
      </w:r>
    </w:p>
    <w:p>
      <w:pPr>
        <w:spacing w:after="28" w:line="216" w:lineRule="auto"/>
        <w:ind w:left="259"/>
        <w:jc w:val="left"/>
      </w:pPr>
      <w:r>
        <w:rPr>
          <w:rFonts w:ascii="Arial" w:hAnsi="Arial"/>
          <w:color w:val="525252"/>
          <w:sz w:val="13"/>
        </w:rPr>
        <w:t>Retired and honorably discharged Air Force members may wear full-size or miniature medals on civilian suits or equivalent on the appropriate occasions such as Memorial Day and Armed Forces Day.</w:t>
      </w:r>
    </w:p>
    <w:p>
      <w:pPr>
        <w:spacing w:after="20" w:line="223" w:lineRule="auto"/>
        <w:jc w:val="right"/>
        <w:bidi/>
      </w:pPr>
      <w:r>
        <w:rPr>
          <w:rFonts w:ascii="Arial" w:hAnsi="Arial"/>
          <w:sz w:val="16"/>
        </w:rPr>
        <w:t>523.26  به DAFI ۳۶-۲۹۰۳، پاراگراف ۱۴.۳ و ۱۴.۵ مراجعه کنید.</w:t>
      </w:r>
    </w:p>
    <w:p>
      <w:pPr>
        <w:spacing w:after="28" w:line="216" w:lineRule="auto"/>
        <w:ind w:left="259"/>
        <w:jc w:val="left"/>
      </w:pPr>
      <w:r>
        <w:rPr>
          <w:rFonts w:ascii="Arial" w:hAnsi="Arial"/>
          <w:color w:val="525252"/>
          <w:sz w:val="13"/>
        </w:rPr>
        <w:t>See DAFI 36-2903, paragraphs 14.3 and 14.5.</w:t>
      </w:r>
    </w:p>
    <w:p>
      <w:r>
        <w:br w:type="page"/>
      </w:r>
    </w:p>
    <w:p>
      <w:pPr>
        <w:spacing w:after="60"/>
        <w:jc w:val="right"/>
        <w:bidi/>
      </w:pPr>
      <w:r>
        <w:rPr>
          <w:rFonts w:ascii="Arial" w:hAnsi="Arial"/>
          <w:b/>
          <w:color w:val="1F4D78"/>
          <w:sz w:val="19"/>
        </w:rPr>
        <w:t>هفتهٔ 524  |  صفحهٔ منبع: 540</w:t>
      </w:r>
    </w:p>
    <w:p>
      <w:pPr>
        <w:spacing w:before="60" w:after="28"/>
        <w:jc w:val="right"/>
        <w:bidi/>
      </w:pPr>
      <w:r>
        <w:rPr>
          <w:b/>
          <w:color w:val="1F4D78"/>
          <w:sz w:val="18"/>
        </w:rPr>
        <w:t>شکل 23.63 چینش روبانی روبان ها (سایر ترتیبات مجاز در صورت نیاز)</w:t>
      </w:r>
    </w:p>
    <w:p>
      <w:pPr>
        <w:spacing w:after="20"/>
        <w:ind w:left="259"/>
        <w:jc w:val="left"/>
      </w:pPr>
      <w:r>
        <w:rPr>
          <w:color w:val="555555"/>
          <w:sz w:val="12"/>
        </w:rPr>
        <w:t>Figure 23.63 Ribbon Arrangement of Ribbons (Other arrangements authorized as needed)</w:t>
      </w:r>
    </w:p>
    <w:p>
      <w:pPr>
        <w:spacing w:after="20" w:line="223" w:lineRule="auto"/>
        <w:jc w:val="right"/>
        <w:bidi/>
      </w:pPr>
      <w:r>
        <w:rPr>
          <w:rFonts w:ascii="Arial" w:hAnsi="Arial"/>
          <w:sz w:val="16"/>
        </w:rPr>
        <w:t>524.02  ۲۳.۳۴. توضیحات مدال و روبان.</w:t>
      </w:r>
    </w:p>
    <w:p>
      <w:pPr>
        <w:spacing w:after="28" w:line="216" w:lineRule="auto"/>
        <w:ind w:left="259"/>
        <w:jc w:val="left"/>
      </w:pPr>
      <w:r>
        <w:rPr>
          <w:rFonts w:ascii="Arial" w:hAnsi="Arial"/>
          <w:color w:val="525252"/>
          <w:sz w:val="13"/>
        </w:rPr>
        <w:t>23.34. Description of Medals and Ribbons.</w:t>
      </w:r>
    </w:p>
    <w:p>
      <w:pPr>
        <w:spacing w:after="20" w:line="223" w:lineRule="auto"/>
        <w:jc w:val="right"/>
        <w:bidi/>
      </w:pPr>
      <w:r>
        <w:rPr>
          <w:rFonts w:ascii="Arial" w:hAnsi="Arial"/>
          <w:sz w:val="16"/>
        </w:rPr>
        <w:t>524.03  مدال‌های مینیاتوری تقریبا ۱/۲ اندازه مدال‌های معمولی هستند.</w:t>
      </w:r>
    </w:p>
    <w:p>
      <w:pPr>
        <w:spacing w:after="28" w:line="216" w:lineRule="auto"/>
        <w:ind w:left="259"/>
        <w:jc w:val="left"/>
      </w:pPr>
      <w:r>
        <w:rPr>
          <w:rFonts w:ascii="Arial" w:hAnsi="Arial"/>
          <w:color w:val="525252"/>
          <w:sz w:val="13"/>
        </w:rPr>
        <w:t>Miniature medals are approximately 1/2 the size of regular medals.</w:t>
      </w:r>
    </w:p>
    <w:p>
      <w:pPr>
        <w:spacing w:after="20" w:line="223" w:lineRule="auto"/>
        <w:jc w:val="right"/>
        <w:bidi/>
      </w:pPr>
      <w:r>
        <w:rPr>
          <w:rFonts w:ascii="Arial" w:hAnsi="Arial"/>
          <w:sz w:val="16"/>
        </w:rPr>
        <w:t>524.04  توجه: مدال افتخار همیشه اندازه معمولی است.</w:t>
      </w:r>
    </w:p>
    <w:p>
      <w:pPr>
        <w:spacing w:after="28" w:line="216" w:lineRule="auto"/>
        <w:ind w:left="259"/>
        <w:jc w:val="left"/>
      </w:pPr>
      <w:r>
        <w:rPr>
          <w:rFonts w:ascii="Arial" w:hAnsi="Arial"/>
          <w:color w:val="525252"/>
          <w:sz w:val="13"/>
        </w:rPr>
        <w:t>Note: The Medal of Honor is always regular size.</w:t>
      </w:r>
    </w:p>
    <w:p>
      <w:pPr>
        <w:spacing w:after="20" w:line="223" w:lineRule="auto"/>
        <w:jc w:val="right"/>
        <w:bidi/>
      </w:pPr>
      <w:r>
        <w:rPr>
          <w:rFonts w:ascii="Arial" w:hAnsi="Arial"/>
          <w:sz w:val="16"/>
        </w:rPr>
        <w:t>524.05  روبان‌های با اندازه معمولی ۱ ۳/۸ کس ۳/۸ اینچ و روبان‌های مینیاتوری ۱۱/۱۶ کس ۳/۸ اینچ هستند.</w:t>
      </w:r>
    </w:p>
    <w:p>
      <w:pPr>
        <w:spacing w:after="28" w:line="216" w:lineRule="auto"/>
        <w:ind w:left="259"/>
        <w:jc w:val="left"/>
      </w:pPr>
      <w:r>
        <w:rPr>
          <w:rFonts w:ascii="Arial" w:hAnsi="Arial"/>
          <w:color w:val="525252"/>
          <w:sz w:val="13"/>
        </w:rPr>
        <w:t>Regular-size ribbons are 1 3/8 x 3/8-inches and miniature ribbons are 11/16 x 3/8-inches.</w:t>
      </w:r>
    </w:p>
    <w:p>
      <w:pPr>
        <w:spacing w:after="20" w:line="223" w:lineRule="auto"/>
        <w:jc w:val="right"/>
        <w:bidi/>
      </w:pPr>
      <w:r>
        <w:rPr>
          <w:rFonts w:ascii="Arial" w:hAnsi="Arial"/>
          <w:sz w:val="16"/>
        </w:rPr>
        <w:t>524.06  با استفاده از یک دستگاه گیره جداشدنی، فلزی یا پلاستیکی، روبان‌ها را به لباس بچسبانید.</w:t>
      </w:r>
    </w:p>
    <w:p>
      <w:pPr>
        <w:spacing w:after="28" w:line="216" w:lineRule="auto"/>
        <w:ind w:left="259"/>
        <w:jc w:val="left"/>
      </w:pPr>
      <w:r>
        <w:rPr>
          <w:rFonts w:ascii="Arial" w:hAnsi="Arial"/>
          <w:color w:val="525252"/>
          <w:sz w:val="13"/>
        </w:rPr>
        <w:t>Affix ribbons to the uniform using a detachable, metal, or plastic clip device.</w:t>
      </w:r>
    </w:p>
    <w:p>
      <w:pPr>
        <w:spacing w:after="20" w:line="223" w:lineRule="auto"/>
        <w:jc w:val="right"/>
        <w:bidi/>
      </w:pPr>
      <w:r>
        <w:rPr>
          <w:rFonts w:ascii="Arial" w:hAnsi="Arial"/>
          <w:sz w:val="16"/>
        </w:rPr>
        <w:t>524.07  روبان‌ها را تمیز و ساییده نگه دارید.</w:t>
      </w:r>
    </w:p>
    <w:p>
      <w:pPr>
        <w:spacing w:after="28" w:line="216" w:lineRule="auto"/>
        <w:ind w:left="259"/>
        <w:jc w:val="left"/>
      </w:pPr>
      <w:r>
        <w:rPr>
          <w:rFonts w:ascii="Arial" w:hAnsi="Arial"/>
          <w:color w:val="525252"/>
          <w:sz w:val="13"/>
        </w:rPr>
        <w:t>Keep ribbons clean and unfrayed.</w:t>
      </w:r>
    </w:p>
    <w:p>
      <w:pPr>
        <w:spacing w:after="20" w:line="223" w:lineRule="auto"/>
        <w:jc w:val="right"/>
        <w:bidi/>
      </w:pPr>
      <w:r>
        <w:rPr>
          <w:rFonts w:ascii="Arial" w:hAnsi="Arial"/>
          <w:sz w:val="16"/>
        </w:rPr>
        <w:t>524.08  روبان‌ها پوشش محافظ قابل مشاهده‌ای ندارند.</w:t>
      </w:r>
    </w:p>
    <w:p>
      <w:pPr>
        <w:spacing w:after="28" w:line="216" w:lineRule="auto"/>
        <w:ind w:left="259"/>
        <w:jc w:val="left"/>
      </w:pPr>
      <w:r>
        <w:rPr>
          <w:rFonts w:ascii="Arial" w:hAnsi="Arial"/>
          <w:color w:val="525252"/>
          <w:sz w:val="13"/>
        </w:rPr>
        <w:t>Ribbons will not have a visible protective coating.</w:t>
      </w:r>
    </w:p>
    <w:p>
      <w:pPr>
        <w:spacing w:after="20" w:line="223" w:lineRule="auto"/>
        <w:jc w:val="right"/>
        <w:bidi/>
      </w:pPr>
      <w:r>
        <w:rPr>
          <w:rFonts w:ascii="Arial" w:hAnsi="Arial"/>
          <w:sz w:val="16"/>
        </w:rPr>
        <w:t>524.09  بین ردیف روبان‌ها فاصله وجود ندارد.</w:t>
      </w:r>
    </w:p>
    <w:p>
      <w:pPr>
        <w:spacing w:after="28" w:line="216" w:lineRule="auto"/>
        <w:ind w:left="259"/>
        <w:jc w:val="left"/>
      </w:pPr>
      <w:r>
        <w:rPr>
          <w:rFonts w:ascii="Arial" w:hAnsi="Arial"/>
          <w:color w:val="525252"/>
          <w:sz w:val="13"/>
        </w:rPr>
        <w:t>There is no space between the rows of ribbons.</w:t>
      </w:r>
    </w:p>
    <w:p>
      <w:pPr>
        <w:spacing w:after="20" w:line="223" w:lineRule="auto"/>
        <w:jc w:val="right"/>
        <w:bidi/>
      </w:pPr>
      <w:r>
        <w:rPr>
          <w:rFonts w:ascii="Arial" w:hAnsi="Arial"/>
          <w:sz w:val="16"/>
        </w:rPr>
        <w:t>524.10  ۲۳.۳۵. دستگاه‌های روی مدال و روبان. روی هر روبان حداکثر چهار وسیله بپوشید.</w:t>
      </w:r>
    </w:p>
    <w:p>
      <w:pPr>
        <w:spacing w:after="28" w:line="216" w:lineRule="auto"/>
        <w:ind w:left="259"/>
        <w:jc w:val="left"/>
      </w:pPr>
      <w:r>
        <w:rPr>
          <w:rFonts w:ascii="Arial" w:hAnsi="Arial"/>
          <w:color w:val="525252"/>
          <w:sz w:val="13"/>
        </w:rPr>
        <w:t>23.35. Devices on Medals and Ribbons. Wear a maximum of four devices on each ribbon.</w:t>
      </w:r>
    </w:p>
    <w:p>
      <w:pPr>
        <w:spacing w:after="20" w:line="223" w:lineRule="auto"/>
        <w:jc w:val="right"/>
        <w:bidi/>
      </w:pPr>
      <w:r>
        <w:rPr>
          <w:rFonts w:ascii="Arial" w:hAnsi="Arial"/>
          <w:sz w:val="16"/>
        </w:rPr>
        <w:t>524.11  روی مدال‌های معمولی و روبان‌های معمولی از وسایل معمولی استفاده کنید.</w:t>
      </w:r>
    </w:p>
    <w:p>
      <w:pPr>
        <w:spacing w:after="28" w:line="216" w:lineRule="auto"/>
        <w:ind w:left="259"/>
        <w:jc w:val="left"/>
      </w:pPr>
      <w:r>
        <w:rPr>
          <w:rFonts w:ascii="Arial" w:hAnsi="Arial"/>
          <w:color w:val="525252"/>
          <w:sz w:val="13"/>
        </w:rPr>
        <w:t>Wear regular devices on regular medals and regular ribbons.</w:t>
      </w:r>
    </w:p>
    <w:p>
      <w:pPr>
        <w:spacing w:after="20" w:line="223" w:lineRule="auto"/>
        <w:jc w:val="right"/>
        <w:bidi/>
      </w:pPr>
      <w:r>
        <w:rPr>
          <w:rFonts w:ascii="Arial" w:hAnsi="Arial"/>
          <w:sz w:val="16"/>
        </w:rPr>
        <w:t>524.12  روی مدال‌های مینیاتوری و روبان‌های مینیاتوری از وسایل مینیاتوری استفاده کنید.</w:t>
      </w:r>
    </w:p>
    <w:p>
      <w:pPr>
        <w:spacing w:after="28" w:line="216" w:lineRule="auto"/>
        <w:ind w:left="259"/>
        <w:jc w:val="left"/>
      </w:pPr>
      <w:r>
        <w:rPr>
          <w:rFonts w:ascii="Arial" w:hAnsi="Arial"/>
          <w:color w:val="525252"/>
          <w:sz w:val="13"/>
        </w:rPr>
        <w:t>Wear miniature devices on miniature medals and miniature ribbons.</w:t>
      </w:r>
    </w:p>
    <w:p>
      <w:pPr>
        <w:spacing w:after="20" w:line="223" w:lineRule="auto"/>
        <w:jc w:val="right"/>
        <w:bidi/>
      </w:pPr>
      <w:r>
        <w:rPr>
          <w:rFonts w:ascii="Arial" w:hAnsi="Arial"/>
          <w:sz w:val="16"/>
        </w:rPr>
        <w:t>524.13  همه وسایل یک اندازه بپوشید.</w:t>
      </w:r>
    </w:p>
    <w:p>
      <w:pPr>
        <w:spacing w:after="28" w:line="216" w:lineRule="auto"/>
        <w:ind w:left="259"/>
        <w:jc w:val="left"/>
      </w:pPr>
      <w:r>
        <w:rPr>
          <w:rFonts w:ascii="Arial" w:hAnsi="Arial"/>
          <w:color w:val="525252"/>
          <w:sz w:val="13"/>
        </w:rPr>
        <w:t>Wear all the same size devices.</w:t>
      </w:r>
    </w:p>
    <w:p>
      <w:pPr>
        <w:spacing w:after="20" w:line="223" w:lineRule="auto"/>
        <w:jc w:val="right"/>
        <w:bidi/>
      </w:pPr>
      <w:r>
        <w:rPr>
          <w:rFonts w:ascii="Arial" w:hAnsi="Arial"/>
          <w:sz w:val="16"/>
        </w:rPr>
        <w:t>524.14  پس از دریافت دستگاه برنز پنجم، دستگاه برنز را با دستگاه نقره‌ای تعویض کنید.</w:t>
      </w:r>
    </w:p>
    <w:p>
      <w:pPr>
        <w:spacing w:after="28" w:line="216" w:lineRule="auto"/>
        <w:ind w:left="259"/>
        <w:jc w:val="left"/>
      </w:pPr>
      <w:r>
        <w:rPr>
          <w:rFonts w:ascii="Arial" w:hAnsi="Arial"/>
          <w:color w:val="525252"/>
          <w:sz w:val="13"/>
        </w:rPr>
        <w:t>Replace the bronze device with a silver device after receipt of the fifth bronze device.</w:t>
      </w:r>
    </w:p>
    <w:p>
      <w:pPr>
        <w:spacing w:after="20" w:line="223" w:lineRule="auto"/>
        <w:jc w:val="right"/>
        <w:bidi/>
      </w:pPr>
      <w:r>
        <w:rPr>
          <w:rFonts w:ascii="Arial" w:hAnsi="Arial"/>
          <w:sz w:val="16"/>
        </w:rPr>
        <w:t>524.15  وسایل نقره‌ای را در سمت راست پوشنده وسایل برنزی قرار دهید.</w:t>
      </w:r>
    </w:p>
    <w:p>
      <w:pPr>
        <w:spacing w:after="28" w:line="216" w:lineRule="auto"/>
        <w:ind w:left="259"/>
        <w:jc w:val="left"/>
      </w:pPr>
      <w:r>
        <w:rPr>
          <w:rFonts w:ascii="Arial" w:hAnsi="Arial"/>
          <w:color w:val="525252"/>
          <w:sz w:val="13"/>
        </w:rPr>
        <w:t>Place silver devices to the wearer’s right of bronze devices.</w:t>
      </w:r>
    </w:p>
    <w:p>
      <w:pPr>
        <w:spacing w:after="20" w:line="223" w:lineRule="auto"/>
        <w:jc w:val="right"/>
        <w:bidi/>
      </w:pPr>
      <w:r>
        <w:rPr>
          <w:rFonts w:ascii="Arial" w:hAnsi="Arial"/>
          <w:sz w:val="16"/>
        </w:rPr>
        <w:t>524.16  خوشه‌ها را به صورت افقی قرار دهید و کمی به سمت پایین به سمت راست کاربر متمایل شوید تا حداکثر تعداد خوشه‌ها و سایر وسایل روی روبان مجاز باشد.</w:t>
      </w:r>
    </w:p>
    <w:p>
      <w:pPr>
        <w:spacing w:after="28" w:line="216" w:lineRule="auto"/>
        <w:ind w:left="259"/>
        <w:jc w:val="left"/>
      </w:pPr>
      <w:r>
        <w:rPr>
          <w:rFonts w:ascii="Arial" w:hAnsi="Arial"/>
          <w:color w:val="525252"/>
          <w:sz w:val="13"/>
        </w:rPr>
        <w:t>Place clusters horizontally and tilt slightly downward to the wearer’s right to allow maximum number of clusters and other devices on the ribbon.</w:t>
      </w:r>
    </w:p>
    <w:p>
      <w:pPr>
        <w:spacing w:after="20" w:line="223" w:lineRule="auto"/>
        <w:jc w:val="right"/>
        <w:bidi/>
      </w:pPr>
      <w:r>
        <w:rPr>
          <w:rFonts w:ascii="Arial" w:hAnsi="Arial"/>
          <w:sz w:val="16"/>
        </w:rPr>
        <w:t>524.17  همه یا هیچکدام را کج کنید.</w:t>
      </w:r>
    </w:p>
    <w:p>
      <w:pPr>
        <w:spacing w:after="28" w:line="216" w:lineRule="auto"/>
        <w:ind w:left="259"/>
        <w:jc w:val="left"/>
      </w:pPr>
      <w:r>
        <w:rPr>
          <w:rFonts w:ascii="Arial" w:hAnsi="Arial"/>
          <w:color w:val="525252"/>
          <w:sz w:val="13"/>
        </w:rPr>
        <w:t>Tilt all or none.</w:t>
      </w:r>
    </w:p>
    <w:p>
      <w:pPr>
        <w:spacing w:after="20" w:line="223" w:lineRule="auto"/>
        <w:jc w:val="right"/>
        <w:bidi/>
      </w:pPr>
      <w:r>
        <w:rPr>
          <w:rFonts w:ascii="Arial" w:hAnsi="Arial"/>
          <w:sz w:val="16"/>
        </w:rPr>
        <w:t>524.18  روی مدال‌ها، خوشه‌ها را به‌صورت عمودی با خوشه‌های نقره‌ای و ستاره‌ها در بالای دستگاه‌های برنزی مشابه قرار دهید.</w:t>
      </w:r>
    </w:p>
    <w:p>
      <w:pPr>
        <w:spacing w:after="28" w:line="216" w:lineRule="auto"/>
        <w:ind w:left="259"/>
        <w:jc w:val="left"/>
      </w:pPr>
      <w:r>
        <w:rPr>
          <w:rFonts w:ascii="Arial" w:hAnsi="Arial"/>
          <w:color w:val="525252"/>
          <w:sz w:val="13"/>
        </w:rPr>
        <w:t>On medals, place clusters vertically with silver clusters and stars above similar bronze devices.</w:t>
      </w:r>
    </w:p>
    <w:p>
      <w:pPr>
        <w:spacing w:after="20" w:line="223" w:lineRule="auto"/>
        <w:jc w:val="right"/>
        <w:bidi/>
      </w:pPr>
      <w:r>
        <w:rPr>
          <w:rFonts w:ascii="Arial" w:hAnsi="Arial"/>
          <w:sz w:val="16"/>
        </w:rPr>
        <w:t>524.19  اگر همه دستگاه‌های مجاز روی یک روبان قرار نمی‌گیرند، روبان دوم را بپوشید.</w:t>
      </w:r>
    </w:p>
    <w:p>
      <w:pPr>
        <w:spacing w:after="28" w:line="216" w:lineRule="auto"/>
        <w:ind w:left="259"/>
        <w:jc w:val="left"/>
      </w:pPr>
      <w:r>
        <w:rPr>
          <w:rFonts w:ascii="Arial" w:hAnsi="Arial"/>
          <w:color w:val="525252"/>
          <w:sz w:val="13"/>
        </w:rPr>
        <w:t>If all authorized devices do not fit on a single ribbon, wear a second ribbon.</w:t>
      </w:r>
    </w:p>
    <w:p>
      <w:pPr>
        <w:spacing w:after="20" w:line="223" w:lineRule="auto"/>
        <w:jc w:val="right"/>
        <w:bidi/>
      </w:pPr>
      <w:r>
        <w:rPr>
          <w:rFonts w:ascii="Arial" w:hAnsi="Arial"/>
          <w:sz w:val="16"/>
        </w:rPr>
        <w:t>524.20  قبل از پوشیدن روبان دوم، حداقل سه وسیله را روی روبان اول بپوشید.</w:t>
      </w:r>
    </w:p>
    <w:p>
      <w:pPr>
        <w:spacing w:after="28" w:line="216" w:lineRule="auto"/>
        <w:ind w:left="259"/>
        <w:jc w:val="left"/>
      </w:pPr>
      <w:r>
        <w:rPr>
          <w:rFonts w:ascii="Arial" w:hAnsi="Arial"/>
          <w:color w:val="525252"/>
          <w:sz w:val="13"/>
        </w:rPr>
        <w:t>Wear a minimum of three devices on the first ribbon before wearing a second ribbon.</w:t>
      </w:r>
    </w:p>
    <w:p>
      <w:pPr>
        <w:spacing w:after="20" w:line="223" w:lineRule="auto"/>
        <w:jc w:val="right"/>
        <w:bidi/>
      </w:pPr>
      <w:r>
        <w:rPr>
          <w:rFonts w:ascii="Arial" w:hAnsi="Arial"/>
          <w:sz w:val="16"/>
        </w:rPr>
        <w:t>524.21  هنگام پوشیدن روبان دوم، بعد از روبان اولیه (در سمت چپ پوشنده) قرار دهید.</w:t>
      </w:r>
    </w:p>
    <w:p>
      <w:pPr>
        <w:spacing w:after="28" w:line="216" w:lineRule="auto"/>
        <w:ind w:left="259"/>
        <w:jc w:val="left"/>
      </w:pPr>
      <w:r>
        <w:rPr>
          <w:rFonts w:ascii="Arial" w:hAnsi="Arial"/>
          <w:color w:val="525252"/>
          <w:sz w:val="13"/>
        </w:rPr>
        <w:t>When wearing the second ribbon, place after the initial ribbon (on wearer’s left).</w:t>
      </w:r>
    </w:p>
    <w:p>
      <w:pPr>
        <w:spacing w:after="20" w:line="223" w:lineRule="auto"/>
        <w:jc w:val="right"/>
        <w:bidi/>
      </w:pPr>
      <w:r>
        <w:rPr>
          <w:rFonts w:ascii="Arial" w:hAnsi="Arial"/>
          <w:sz w:val="16"/>
        </w:rPr>
        <w:t>524.22  هر دو روبان برای یک جایزه به حساب می‌آیند.</w:t>
      </w:r>
    </w:p>
    <w:p>
      <w:pPr>
        <w:spacing w:after="28" w:line="216" w:lineRule="auto"/>
        <w:ind w:left="259"/>
        <w:jc w:val="left"/>
      </w:pPr>
      <w:r>
        <w:rPr>
          <w:rFonts w:ascii="Arial" w:hAnsi="Arial"/>
          <w:color w:val="525252"/>
          <w:sz w:val="13"/>
        </w:rPr>
        <w:t>Both ribbons count for one award.</w:t>
      </w:r>
    </w:p>
    <w:p>
      <w:pPr>
        <w:spacing w:after="20" w:line="223" w:lineRule="auto"/>
        <w:jc w:val="right"/>
        <w:bidi/>
      </w:pPr>
      <w:r>
        <w:rPr>
          <w:rFonts w:ascii="Arial" w:hAnsi="Arial"/>
          <w:sz w:val="16"/>
        </w:rPr>
        <w:t>524.23  اگر جوایز آینده دستگاه‌ها را به یک روبان کاهش می‌دهند، روبان دوم را بردارید.</w:t>
      </w:r>
    </w:p>
    <w:p>
      <w:pPr>
        <w:spacing w:after="28" w:line="216" w:lineRule="auto"/>
        <w:ind w:left="259"/>
        <w:jc w:val="left"/>
      </w:pPr>
      <w:r>
        <w:rPr>
          <w:rFonts w:ascii="Arial" w:hAnsi="Arial"/>
          <w:color w:val="525252"/>
          <w:sz w:val="13"/>
        </w:rPr>
        <w:t>If future awards reduce devices to a single ribbon, remove the second ribbon.</w:t>
      </w:r>
    </w:p>
    <w:p>
      <w:pPr>
        <w:spacing w:after="20" w:line="223" w:lineRule="auto"/>
        <w:jc w:val="right"/>
        <w:bidi/>
      </w:pPr>
      <w:r>
        <w:rPr>
          <w:rFonts w:ascii="Arial" w:hAnsi="Arial"/>
          <w:sz w:val="16"/>
        </w:rPr>
        <w:t>524.24  روش‌های چسباندن وسایل روی مدال و روبان.</w:t>
      </w:r>
    </w:p>
    <w:p>
      <w:pPr>
        <w:spacing w:after="28" w:line="216" w:lineRule="auto"/>
        <w:ind w:left="259"/>
        <w:jc w:val="left"/>
      </w:pPr>
      <w:r>
        <w:rPr>
          <w:rFonts w:ascii="Arial" w:hAnsi="Arial"/>
          <w:color w:val="525252"/>
          <w:sz w:val="13"/>
        </w:rPr>
        <w:t>Methods of affixing devices on medals and ribbons.</w:t>
      </w:r>
    </w:p>
    <w:p>
      <w:pPr>
        <w:spacing w:after="20" w:line="223" w:lineRule="auto"/>
        <w:jc w:val="right"/>
        <w:bidi/>
      </w:pPr>
      <w:r>
        <w:rPr>
          <w:rFonts w:ascii="Arial" w:hAnsi="Arial"/>
          <w:sz w:val="16"/>
        </w:rPr>
        <w:t>524.25  یک دستگاه مجزا.</w:t>
      </w:r>
    </w:p>
    <w:p>
      <w:pPr>
        <w:spacing w:after="28" w:line="216" w:lineRule="auto"/>
        <w:ind w:left="259"/>
        <w:jc w:val="left"/>
      </w:pPr>
      <w:r>
        <w:rPr>
          <w:rFonts w:ascii="Arial" w:hAnsi="Arial"/>
          <w:color w:val="525252"/>
          <w:sz w:val="13"/>
        </w:rPr>
        <w:t>A Separate Device.</w:t>
      </w:r>
    </w:p>
    <w:p>
      <w:pPr>
        <w:spacing w:after="20" w:line="223" w:lineRule="auto"/>
        <w:jc w:val="right"/>
        <w:bidi/>
      </w:pPr>
      <w:r>
        <w:rPr>
          <w:rFonts w:ascii="Arial" w:hAnsi="Arial"/>
          <w:sz w:val="16"/>
        </w:rPr>
        <w:t>524.26  هنگام چسباندن دستگاه‌های جداگانه به یک روبان، دستگاه وسط و فضا به‌طور مساوی.</w:t>
      </w:r>
    </w:p>
    <w:p>
      <w:pPr>
        <w:spacing w:after="28" w:line="216" w:lineRule="auto"/>
        <w:ind w:left="259"/>
        <w:jc w:val="left"/>
      </w:pPr>
      <w:r>
        <w:rPr>
          <w:rFonts w:ascii="Arial" w:hAnsi="Arial"/>
          <w:color w:val="525252"/>
          <w:sz w:val="13"/>
        </w:rPr>
        <w:t>When affixing separate devices to a ribbon, center device and space equally.</w:t>
      </w:r>
    </w:p>
    <w:p>
      <w:pPr>
        <w:spacing w:after="20" w:line="223" w:lineRule="auto"/>
        <w:jc w:val="right"/>
        <w:bidi/>
      </w:pPr>
      <w:r>
        <w:rPr>
          <w:rFonts w:ascii="Arial" w:hAnsi="Arial"/>
          <w:sz w:val="16"/>
        </w:rPr>
        <w:t>524.27  دستگاه‌های تک ساخت (دو یا چند دستگاه که با هم تولید می‌شوند).</w:t>
      </w:r>
    </w:p>
    <w:p>
      <w:pPr>
        <w:spacing w:after="28" w:line="216" w:lineRule="auto"/>
        <w:ind w:left="259"/>
        <w:jc w:val="left"/>
      </w:pPr>
      <w:r>
        <w:rPr>
          <w:rFonts w:ascii="Arial" w:hAnsi="Arial"/>
          <w:color w:val="525252"/>
          <w:sz w:val="13"/>
        </w:rPr>
        <w:t>Single-constructed devices (two or more devices manufactured together).</w:t>
      </w:r>
    </w:p>
    <w:p>
      <w:pPr>
        <w:spacing w:after="20" w:line="223" w:lineRule="auto"/>
        <w:jc w:val="right"/>
        <w:bidi/>
      </w:pPr>
      <w:r>
        <w:rPr>
          <w:rFonts w:ascii="Arial" w:hAnsi="Arial"/>
          <w:sz w:val="16"/>
        </w:rPr>
        <w:t>524.28  در صورت استفاده از دستگاه تک ساخت بر روی یک روبان، از دستگاه یکسان بر روی همه روبان‌ها استفاده کنید.</w:t>
      </w:r>
    </w:p>
    <w:p>
      <w:pPr>
        <w:spacing w:after="28" w:line="216" w:lineRule="auto"/>
        <w:ind w:left="259"/>
        <w:jc w:val="left"/>
      </w:pPr>
      <w:r>
        <w:rPr>
          <w:rFonts w:ascii="Arial" w:hAnsi="Arial"/>
          <w:color w:val="525252"/>
          <w:sz w:val="13"/>
        </w:rPr>
        <w:t>If using single- constructed device on one ribbon, use same size device on all ribbons.</w:t>
      </w:r>
    </w:p>
    <w:p>
      <w:pPr>
        <w:spacing w:after="20" w:line="223" w:lineRule="auto"/>
        <w:jc w:val="right"/>
        <w:bidi/>
      </w:pPr>
      <w:r>
        <w:rPr>
          <w:rFonts w:ascii="Arial" w:hAnsi="Arial"/>
          <w:sz w:val="16"/>
        </w:rPr>
        <w:t>524.29  اگر ترکیبی از دستگاه‌های مجاز به‌عنوان یک دستگاه تک ساخته در دسترس نباشد، دستگاه‌ها را جدا کنید.</w:t>
      </w:r>
    </w:p>
    <w:p>
      <w:pPr>
        <w:spacing w:after="28" w:line="216" w:lineRule="auto"/>
        <w:ind w:left="259"/>
        <w:jc w:val="left"/>
      </w:pPr>
      <w:r>
        <w:rPr>
          <w:rFonts w:ascii="Arial" w:hAnsi="Arial"/>
          <w:color w:val="525252"/>
          <w:sz w:val="13"/>
        </w:rPr>
        <w:t>Separate devices if the combination of devices authorized is not available as a single- constructed device.</w:t>
      </w:r>
    </w:p>
    <w:p>
      <w:pPr>
        <w:spacing w:after="20" w:line="223" w:lineRule="auto"/>
        <w:jc w:val="right"/>
        <w:bidi/>
      </w:pPr>
      <w:r>
        <w:rPr>
          <w:rFonts w:ascii="Arial" w:hAnsi="Arial"/>
          <w:sz w:val="16"/>
        </w:rPr>
        <w:t>524.30  در این حالت، دستگاه را نزدیک یکدیگر قرار دهید تا زمانی که دستگاه‌ها یکسان هستند، یعنی خوشه برنزی و نقره‌ای، ظاهر یک دستگاه یکپارچه را نشان دهند.</w:t>
      </w:r>
    </w:p>
    <w:p>
      <w:pPr>
        <w:spacing w:after="28" w:line="216" w:lineRule="auto"/>
        <w:ind w:left="259"/>
        <w:jc w:val="left"/>
      </w:pPr>
      <w:r>
        <w:rPr>
          <w:rFonts w:ascii="Arial" w:hAnsi="Arial"/>
          <w:color w:val="525252"/>
          <w:sz w:val="13"/>
        </w:rPr>
        <w:t>In this event, place the device close to one another so they give the appearance of a single-constructed device as long as the devices are the same, i.e., bronze cluster and silver cluster.</w:t>
      </w:r>
    </w:p>
    <w:p>
      <w:pPr>
        <w:spacing w:after="20" w:line="223" w:lineRule="auto"/>
        <w:jc w:val="right"/>
        <w:bidi/>
      </w:pPr>
      <w:r>
        <w:rPr>
          <w:rFonts w:ascii="Arial" w:hAnsi="Arial"/>
          <w:sz w:val="16"/>
        </w:rPr>
        <w:t>524.31  فقط از وسایل جداگانه روی مدال استفاده کنید.</w:t>
      </w:r>
    </w:p>
    <w:p>
      <w:pPr>
        <w:spacing w:after="28" w:line="216" w:lineRule="auto"/>
        <w:ind w:left="259"/>
        <w:jc w:val="left"/>
      </w:pPr>
      <w:r>
        <w:rPr>
          <w:rFonts w:ascii="Arial" w:hAnsi="Arial"/>
          <w:color w:val="525252"/>
          <w:sz w:val="13"/>
        </w:rPr>
        <w:t>Wear Only Separate Devices on Medals.</w:t>
      </w:r>
    </w:p>
    <w:p>
      <w:pPr>
        <w:spacing w:after="20" w:line="223" w:lineRule="auto"/>
        <w:jc w:val="right"/>
        <w:bidi/>
      </w:pPr>
      <w:r>
        <w:rPr>
          <w:rFonts w:ascii="Arial" w:hAnsi="Arial"/>
          <w:sz w:val="16"/>
        </w:rPr>
        <w:t>524.32  حداکثر چهار عدد بپوشید مگر اینکه بیشتر بپوشید</w:t>
      </w:r>
    </w:p>
    <w:p>
      <w:pPr>
        <w:spacing w:after="28" w:line="216" w:lineRule="auto"/>
        <w:ind w:left="259"/>
        <w:jc w:val="left"/>
      </w:pPr>
      <w:r>
        <w:rPr>
          <w:rFonts w:ascii="Arial" w:hAnsi="Arial"/>
          <w:color w:val="525252"/>
          <w:sz w:val="13"/>
        </w:rPr>
        <w:t>Wear maximum of four unless wearing more</w:t>
      </w:r>
    </w:p>
    <w:p>
      <w:r>
        <w:br w:type="page"/>
      </w:r>
    </w:p>
    <w:p>
      <w:pPr>
        <w:spacing w:after="60"/>
        <w:jc w:val="right"/>
        <w:bidi/>
      </w:pPr>
      <w:r>
        <w:rPr>
          <w:rFonts w:ascii="Arial" w:hAnsi="Arial"/>
          <w:b/>
          <w:color w:val="1F4D78"/>
          <w:sz w:val="19"/>
        </w:rPr>
        <w:t>هفتهٔ 525  |  صفحهٔ منبع: 541</w:t>
      </w:r>
    </w:p>
    <w:p>
      <w:pPr>
        <w:spacing w:after="20" w:line="223" w:lineRule="auto"/>
        <w:jc w:val="right"/>
        <w:bidi/>
      </w:pPr>
      <w:r>
        <w:rPr>
          <w:rFonts w:ascii="Arial" w:hAnsi="Arial"/>
          <w:sz w:val="16"/>
        </w:rPr>
        <w:t>525.01  از افزودن مدال دوم جلوگیری می‌کند.</w:t>
      </w:r>
    </w:p>
    <w:p>
      <w:pPr>
        <w:spacing w:after="28" w:line="216" w:lineRule="auto"/>
        <w:ind w:left="259"/>
        <w:jc w:val="left"/>
      </w:pPr>
      <w:r>
        <w:rPr>
          <w:rFonts w:ascii="Arial" w:hAnsi="Arial"/>
          <w:color w:val="525252"/>
          <w:sz w:val="13"/>
        </w:rPr>
        <w:t>prevents adding a second medal.</w:t>
      </w:r>
    </w:p>
    <w:p>
      <w:pPr>
        <w:spacing w:after="20" w:line="223" w:lineRule="auto"/>
        <w:jc w:val="right"/>
        <w:bidi/>
      </w:pPr>
      <w:r>
        <w:rPr>
          <w:rFonts w:ascii="Arial" w:hAnsi="Arial"/>
          <w:sz w:val="16"/>
        </w:rPr>
        <w:t>525.02  خوشه‌های نقره‌ای، ستارگان و غیره را بالای دستگاه‌های برنزی مشابه قرار دهید.</w:t>
      </w:r>
    </w:p>
    <w:p>
      <w:pPr>
        <w:spacing w:after="28" w:line="216" w:lineRule="auto"/>
        <w:ind w:left="259"/>
        <w:jc w:val="left"/>
      </w:pPr>
      <w:r>
        <w:rPr>
          <w:rFonts w:ascii="Arial" w:hAnsi="Arial"/>
          <w:color w:val="525252"/>
          <w:sz w:val="13"/>
        </w:rPr>
        <w:t>Place silver clusters, stars, etc., above similar bronze devices.</w:t>
      </w:r>
    </w:p>
    <w:p>
      <w:pPr>
        <w:spacing w:after="20" w:line="223" w:lineRule="auto"/>
        <w:jc w:val="right"/>
        <w:bidi/>
      </w:pPr>
      <w:r>
        <w:rPr>
          <w:rFonts w:ascii="Arial" w:hAnsi="Arial"/>
          <w:sz w:val="16"/>
        </w:rPr>
        <w:t>525.03  با دستگاه‌های مناسبی که سرویس مجاز است، روبان‌هایی بپوشید که توسط سرویس‌های دیگر اعطا می‌شوند.</w:t>
      </w:r>
    </w:p>
    <w:p>
      <w:pPr>
        <w:spacing w:after="28" w:line="216" w:lineRule="auto"/>
        <w:ind w:left="259"/>
        <w:jc w:val="left"/>
      </w:pPr>
      <w:r>
        <w:rPr>
          <w:rFonts w:ascii="Arial" w:hAnsi="Arial"/>
          <w:color w:val="525252"/>
          <w:sz w:val="13"/>
        </w:rPr>
        <w:t>Wear ribbons awarded by other Services with appropriate devices that Service authorized.</w:t>
      </w:r>
    </w:p>
    <w:p>
      <w:pPr>
        <w:spacing w:after="20" w:line="223" w:lineRule="auto"/>
        <w:jc w:val="right"/>
        <w:bidi/>
      </w:pPr>
      <w:r>
        <w:rPr>
          <w:rFonts w:ascii="Arial" w:hAnsi="Arial"/>
          <w:sz w:val="16"/>
        </w:rPr>
        <w:t>525.04  انواع دستگاه.</w:t>
      </w:r>
    </w:p>
    <w:p>
      <w:pPr>
        <w:spacing w:after="28" w:line="216" w:lineRule="auto"/>
        <w:ind w:left="259"/>
        <w:jc w:val="left"/>
      </w:pPr>
      <w:r>
        <w:rPr>
          <w:rFonts w:ascii="Arial" w:hAnsi="Arial"/>
          <w:color w:val="525252"/>
          <w:sz w:val="13"/>
        </w:rPr>
        <w:t>Types of devices.</w:t>
      </w:r>
    </w:p>
    <w:p>
      <w:pPr>
        <w:spacing w:after="20" w:line="223" w:lineRule="auto"/>
        <w:jc w:val="right"/>
        <w:bidi/>
      </w:pPr>
      <w:r>
        <w:rPr>
          <w:rFonts w:ascii="Arial" w:hAnsi="Arial"/>
          <w:sz w:val="16"/>
        </w:rPr>
        <w:t>525.05  مرجع DAFMAN، ۳۶-۲۸۰۶، جوایز نظامی: معیارها و رویه‌ها،</w:t>
      </w:r>
    </w:p>
    <w:p>
      <w:pPr>
        <w:spacing w:after="28" w:line="216" w:lineRule="auto"/>
        <w:ind w:left="259"/>
        <w:jc w:val="left"/>
      </w:pPr>
      <w:r>
        <w:rPr>
          <w:rFonts w:ascii="Arial" w:hAnsi="Arial"/>
          <w:color w:val="525252"/>
          <w:sz w:val="13"/>
        </w:rPr>
        <w:t>Reference DAFMAN, 36-2806, Military Awards: Criteria and Procedures,</w:t>
      </w:r>
    </w:p>
    <w:p>
      <w:pPr>
        <w:spacing w:before="60" w:after="28"/>
        <w:jc w:val="right"/>
        <w:bidi/>
      </w:pPr>
      <w:r>
        <w:rPr>
          <w:b/>
          <w:color w:val="1F4D78"/>
          <w:sz w:val="18"/>
        </w:rPr>
        <w:t>پیوست 6.</w:t>
      </w:r>
    </w:p>
    <w:p>
      <w:pPr>
        <w:spacing w:after="20"/>
        <w:ind w:left="259"/>
        <w:jc w:val="left"/>
      </w:pPr>
      <w:r>
        <w:rPr>
          <w:color w:val="555555"/>
          <w:sz w:val="12"/>
        </w:rPr>
        <w:t>Attachment 6.</w:t>
      </w:r>
    </w:p>
    <w:p>
      <w:pPr>
        <w:spacing w:after="20" w:line="223" w:lineRule="auto"/>
        <w:jc w:val="right"/>
        <w:bidi/>
      </w:pPr>
      <w:r>
        <w:rPr>
          <w:rFonts w:ascii="Arial" w:hAnsi="Arial"/>
          <w:sz w:val="16"/>
        </w:rPr>
        <w:t>525.07  چند دستگاه "و"، "ک" و سپس "ر".</w:t>
      </w:r>
    </w:p>
    <w:p>
      <w:pPr>
        <w:spacing w:after="28" w:line="216" w:lineRule="auto"/>
        <w:ind w:left="259"/>
        <w:jc w:val="left"/>
      </w:pPr>
      <w:r>
        <w:rPr>
          <w:rFonts w:ascii="Arial" w:hAnsi="Arial"/>
          <w:color w:val="525252"/>
          <w:sz w:val="13"/>
        </w:rPr>
        <w:t>Multiple “V”, “C”, and then “R” Devices.</w:t>
      </w:r>
    </w:p>
    <w:p>
      <w:pPr>
        <w:spacing w:after="20" w:line="223" w:lineRule="auto"/>
        <w:jc w:val="right"/>
        <w:bidi/>
      </w:pPr>
      <w:r>
        <w:rPr>
          <w:rFonts w:ascii="Arial" w:hAnsi="Arial"/>
          <w:sz w:val="16"/>
        </w:rPr>
        <w:t>525.08  چندین دستگاه را به ترتیب اولویت ("و"، "ک" و سپس "ر") از سمت راست کاربر خوشه‌های برگ بلوط روی نوار وسط قرار دهید.</w:t>
      </w:r>
    </w:p>
    <w:p>
      <w:pPr>
        <w:spacing w:after="28" w:line="216" w:lineRule="auto"/>
        <w:ind w:left="259"/>
        <w:jc w:val="left"/>
      </w:pPr>
      <w:r>
        <w:rPr>
          <w:rFonts w:ascii="Arial" w:hAnsi="Arial"/>
          <w:color w:val="525252"/>
          <w:sz w:val="13"/>
        </w:rPr>
        <w:t>Center multiple devices on the ribbon in order of precedence (“V”, “C”, and then “R”) from the wearer’s right of oak leaf clusters.</w:t>
      </w:r>
    </w:p>
    <w:p>
      <w:pPr>
        <w:spacing w:after="20" w:line="223" w:lineRule="auto"/>
        <w:jc w:val="right"/>
        <w:bidi/>
      </w:pPr>
      <w:r>
        <w:rPr>
          <w:rFonts w:ascii="Arial" w:hAnsi="Arial"/>
          <w:sz w:val="16"/>
        </w:rPr>
        <w:t>525.09  توجه: اگر نوع جایزه (MSM، AFCM و غیره) تغییر کند، دستگاه به برنز برمی‌گردد.</w:t>
      </w:r>
    </w:p>
    <w:p>
      <w:pPr>
        <w:spacing w:after="28" w:line="216" w:lineRule="auto"/>
        <w:ind w:left="259"/>
        <w:jc w:val="left"/>
      </w:pPr>
      <w:r>
        <w:rPr>
          <w:rFonts w:ascii="Arial" w:hAnsi="Arial"/>
          <w:color w:val="525252"/>
          <w:sz w:val="13"/>
        </w:rPr>
        <w:t>Note: If type of award (MSM, AFCM etc.,) changes the device will revert back to bronze.</w:t>
      </w:r>
    </w:p>
    <w:p>
      <w:pPr>
        <w:spacing w:before="60" w:after="28"/>
        <w:jc w:val="right"/>
        <w:bidi/>
      </w:pPr>
      <w:r>
        <w:rPr>
          <w:b/>
          <w:color w:val="1F4D78"/>
          <w:sz w:val="18"/>
        </w:rPr>
        <w:t>شکل 23.64 مثالی از دستگاه های "V"، "C" و "R" رنگ و طرح اکلیل نشان دهنده وقوع چندین جایزه است.</w:t>
      </w:r>
    </w:p>
    <w:p>
      <w:pPr>
        <w:spacing w:after="20"/>
        <w:ind w:left="259"/>
        <w:jc w:val="left"/>
      </w:pPr>
      <w:r>
        <w:rPr>
          <w:color w:val="555555"/>
          <w:sz w:val="12"/>
        </w:rPr>
        <w:t>Figure 23.64 Example of “V”, “C” and “R” Devices Color and Wreath Design Denotes Multiple Occurrences of Award</w:t>
      </w:r>
    </w:p>
    <w:p>
      <w:pPr>
        <w:spacing w:before="60" w:after="28"/>
        <w:jc w:val="right"/>
        <w:bidi/>
      </w:pPr>
      <w:r>
        <w:rPr>
          <w:b/>
          <w:color w:val="1F4D78"/>
          <w:sz w:val="18"/>
        </w:rPr>
        <w:t>شکل 23.65 قرار دادن دستگاه ها روی مدال ها و روبان ها</w:t>
      </w:r>
    </w:p>
    <w:p>
      <w:pPr>
        <w:spacing w:after="20"/>
        <w:ind w:left="259"/>
        <w:jc w:val="left"/>
      </w:pPr>
      <w:r>
        <w:rPr>
          <w:color w:val="555555"/>
          <w:sz w:val="12"/>
        </w:rPr>
        <w:t>Figure 23.65 Placement of Devices on Medals and Ribbons</w:t>
      </w:r>
    </w:p>
    <w:p>
      <w:pPr>
        <w:spacing w:after="20" w:line="223" w:lineRule="auto"/>
        <w:jc w:val="right"/>
        <w:bidi/>
      </w:pPr>
      <w:r>
        <w:rPr>
          <w:rFonts w:ascii="Arial" w:hAnsi="Arial"/>
          <w:sz w:val="16"/>
        </w:rPr>
        <w:t>525.12  ۲۳.۳۶. قرار دادن مدال بر روی کت یا کت لباس غیر نظامی.</w:t>
      </w:r>
    </w:p>
    <w:p>
      <w:pPr>
        <w:spacing w:after="28" w:line="216" w:lineRule="auto"/>
        <w:ind w:left="259"/>
        <w:jc w:val="left"/>
      </w:pPr>
      <w:r>
        <w:rPr>
          <w:rFonts w:ascii="Arial" w:hAnsi="Arial"/>
          <w:color w:val="525252"/>
          <w:sz w:val="13"/>
        </w:rPr>
        <w:t>23.36. Placement of Medals on Civilian Dress Coat or Jacket.</w:t>
      </w:r>
    </w:p>
    <w:p>
      <w:pPr>
        <w:spacing w:after="20" w:line="223" w:lineRule="auto"/>
        <w:jc w:val="right"/>
        <w:bidi/>
      </w:pPr>
      <w:r>
        <w:rPr>
          <w:rFonts w:ascii="Arial" w:hAnsi="Arial"/>
          <w:sz w:val="16"/>
        </w:rPr>
        <w:t>525.13  کت/کت لباس شب غیر نظامی.</w:t>
      </w:r>
    </w:p>
    <w:p>
      <w:pPr>
        <w:spacing w:after="28" w:line="216" w:lineRule="auto"/>
        <w:ind w:left="259"/>
        <w:jc w:val="left"/>
      </w:pPr>
      <w:r>
        <w:rPr>
          <w:rFonts w:ascii="Arial" w:hAnsi="Arial"/>
          <w:color w:val="525252"/>
          <w:sz w:val="13"/>
        </w:rPr>
        <w:t>Civilian Evening Dress Coat/Jacket.</w:t>
      </w:r>
    </w:p>
    <w:p>
      <w:pPr>
        <w:spacing w:after="20" w:line="223" w:lineRule="auto"/>
        <w:jc w:val="right"/>
        <w:bidi/>
      </w:pPr>
      <w:r>
        <w:rPr>
          <w:rFonts w:ascii="Arial" w:hAnsi="Arial"/>
          <w:sz w:val="16"/>
        </w:rPr>
        <w:t>525.14  مدال‌های مینیاتوری را به موازات زمین در سمت چپ کت یا ژاکت پوشنده بپوشید و بالای مدال تعلیق ردیف بالا را با (نه در بالا) تراز کنید.</w:t>
      </w:r>
    </w:p>
    <w:p>
      <w:pPr>
        <w:spacing w:after="28" w:line="216" w:lineRule="auto"/>
        <w:ind w:left="259"/>
        <w:jc w:val="left"/>
      </w:pPr>
      <w:r>
        <w:rPr>
          <w:rFonts w:ascii="Arial" w:hAnsi="Arial"/>
          <w:color w:val="525252"/>
          <w:sz w:val="13"/>
        </w:rPr>
        <w:t>Wear miniature medals parallel to the ground on wearer’s left side of coat or jacket and align the top of the suspension medal of the top row with (not above)</w:t>
      </w:r>
    </w:p>
    <w:p>
      <w:r>
        <w:br w:type="page"/>
      </w:r>
    </w:p>
    <w:p>
      <w:pPr>
        <w:spacing w:after="60"/>
        <w:jc w:val="right"/>
        <w:bidi/>
      </w:pPr>
      <w:r>
        <w:rPr>
          <w:rFonts w:ascii="Arial" w:hAnsi="Arial"/>
          <w:b/>
          <w:color w:val="1F4D78"/>
          <w:sz w:val="19"/>
        </w:rPr>
        <w:t>هفتهٔ 526  |  صفحهٔ منبع: 542</w:t>
      </w:r>
    </w:p>
    <w:p>
      <w:pPr>
        <w:spacing w:after="20" w:line="223" w:lineRule="auto"/>
        <w:jc w:val="right"/>
        <w:bidi/>
      </w:pPr>
      <w:r>
        <w:rPr>
          <w:rFonts w:ascii="Arial" w:hAnsi="Arial"/>
          <w:sz w:val="16"/>
        </w:rPr>
        <w:t>526.01  بالای جیب.</w:t>
      </w:r>
    </w:p>
    <w:p>
      <w:pPr>
        <w:spacing w:after="28" w:line="216" w:lineRule="auto"/>
        <w:ind w:left="259"/>
        <w:jc w:val="left"/>
      </w:pPr>
      <w:r>
        <w:rPr>
          <w:rFonts w:ascii="Arial" w:hAnsi="Arial"/>
          <w:color w:val="525252"/>
          <w:sz w:val="13"/>
        </w:rPr>
        <w:t>the top of the pocket.</w:t>
      </w:r>
    </w:p>
    <w:p>
      <w:pPr>
        <w:spacing w:after="20" w:line="223" w:lineRule="auto"/>
        <w:jc w:val="right"/>
        <w:bidi/>
      </w:pPr>
      <w:r>
        <w:rPr>
          <w:rFonts w:ascii="Arial" w:hAnsi="Arial"/>
          <w:sz w:val="16"/>
        </w:rPr>
        <w:t>526.02  کراوات مشکی غیرنظامی.</w:t>
      </w:r>
    </w:p>
    <w:p>
      <w:pPr>
        <w:spacing w:after="28" w:line="216" w:lineRule="auto"/>
        <w:ind w:left="259"/>
        <w:jc w:val="left"/>
      </w:pPr>
      <w:r>
        <w:rPr>
          <w:rFonts w:ascii="Arial" w:hAnsi="Arial"/>
          <w:color w:val="525252"/>
          <w:sz w:val="13"/>
        </w:rPr>
        <w:t>Civilian Black Tie.</w:t>
      </w:r>
    </w:p>
    <w:p>
      <w:pPr>
        <w:spacing w:after="20" w:line="223" w:lineRule="auto"/>
        <w:jc w:val="right"/>
        <w:bidi/>
      </w:pPr>
      <w:r>
        <w:rPr>
          <w:rFonts w:ascii="Arial" w:hAnsi="Arial"/>
          <w:sz w:val="16"/>
        </w:rPr>
        <w:t>526.03  مدال‌های مینیاتوری را به موازات زمین در سمت چپ کت یا ژاکت پوشنده بپوشید و میله نگهدارنده ردیف پایین مدال‌ها را بلافاصله بالای جیب وسط قرار دهید.</w:t>
      </w:r>
    </w:p>
    <w:p>
      <w:pPr>
        <w:spacing w:after="28" w:line="216" w:lineRule="auto"/>
        <w:ind w:left="259"/>
        <w:jc w:val="left"/>
      </w:pPr>
      <w:r>
        <w:rPr>
          <w:rFonts w:ascii="Arial" w:hAnsi="Arial"/>
          <w:color w:val="525252"/>
          <w:sz w:val="13"/>
        </w:rPr>
        <w:t>Wear miniature medals parallel to the ground on wearer’s left side of coat or jacket and center the holding bar of the bottom row of medals immediately above the pocket.</w:t>
      </w:r>
    </w:p>
    <w:p>
      <w:pPr>
        <w:spacing w:after="20" w:line="223" w:lineRule="auto"/>
        <w:jc w:val="right"/>
        <w:bidi/>
      </w:pPr>
      <w:r>
        <w:rPr>
          <w:rFonts w:ascii="Arial" w:hAnsi="Arial"/>
          <w:sz w:val="16"/>
        </w:rPr>
        <w:t>526.04  مدال‌های مینیاتوری برای میله نصب طراحی شده است.</w:t>
      </w:r>
    </w:p>
    <w:p>
      <w:pPr>
        <w:spacing w:after="28" w:line="216" w:lineRule="auto"/>
        <w:ind w:left="259"/>
        <w:jc w:val="left"/>
      </w:pPr>
      <w:r>
        <w:rPr>
          <w:rFonts w:ascii="Arial" w:hAnsi="Arial"/>
          <w:color w:val="525252"/>
          <w:sz w:val="13"/>
        </w:rPr>
        <w:t>Wear of miniature medals is designed for a mounting bar.</w:t>
      </w:r>
    </w:p>
    <w:p>
      <w:pPr>
        <w:spacing w:after="20" w:line="223" w:lineRule="auto"/>
        <w:jc w:val="right"/>
        <w:bidi/>
      </w:pPr>
      <w:r>
        <w:rPr>
          <w:rFonts w:ascii="Arial" w:hAnsi="Arial"/>
          <w:sz w:val="16"/>
        </w:rPr>
        <w:t>526.05  هنگام پوشیدن مدال بالای جیب چپ از دستمال جیبی استفاده نکنید.</w:t>
      </w:r>
    </w:p>
    <w:p>
      <w:pPr>
        <w:spacing w:after="28" w:line="216" w:lineRule="auto"/>
        <w:ind w:left="259"/>
        <w:jc w:val="left"/>
      </w:pPr>
      <w:r>
        <w:rPr>
          <w:rFonts w:ascii="Arial" w:hAnsi="Arial"/>
          <w:color w:val="525252"/>
          <w:sz w:val="13"/>
        </w:rPr>
        <w:t>Do not wear pocket-handkerchief, when wearing medals above the left pocket.</w:t>
      </w:r>
    </w:p>
    <w:p>
      <w:pPr>
        <w:spacing w:after="20" w:line="223" w:lineRule="auto"/>
        <w:jc w:val="right"/>
        <w:bidi/>
      </w:pPr>
      <w:r>
        <w:rPr>
          <w:rFonts w:ascii="Arial" w:hAnsi="Arial"/>
          <w:sz w:val="16"/>
        </w:rPr>
        <w:t>526.06  مدال افتخار فقط در اندازه معمولی و از روبان گردن بند استفاده می‌شود.</w:t>
      </w:r>
    </w:p>
    <w:p>
      <w:pPr>
        <w:spacing w:after="28" w:line="216" w:lineRule="auto"/>
        <w:ind w:left="259"/>
        <w:jc w:val="left"/>
      </w:pPr>
      <w:r>
        <w:rPr>
          <w:rFonts w:ascii="Arial" w:hAnsi="Arial"/>
          <w:color w:val="525252"/>
          <w:sz w:val="13"/>
        </w:rPr>
        <w:t>The Medal of Honor is worn in regular size only, from the neckband ribbon.</w:t>
      </w:r>
    </w:p>
    <w:p>
      <w:pPr>
        <w:spacing w:after="20" w:line="223" w:lineRule="auto"/>
        <w:jc w:val="right"/>
        <w:bidi/>
      </w:pPr>
      <w:r>
        <w:rPr>
          <w:rFonts w:ascii="Arial" w:hAnsi="Arial"/>
          <w:sz w:val="16"/>
        </w:rPr>
        <w:t>526.07  روبان را دور گردن بیرون یقه پیراهن و داخل یقه کت یا کت قرار دهید.</w:t>
      </w:r>
    </w:p>
    <w:p>
      <w:pPr>
        <w:spacing w:after="28" w:line="216" w:lineRule="auto"/>
        <w:ind w:left="259"/>
        <w:jc w:val="left"/>
      </w:pPr>
      <w:r>
        <w:rPr>
          <w:rFonts w:ascii="Arial" w:hAnsi="Arial"/>
          <w:color w:val="525252"/>
          <w:sz w:val="13"/>
        </w:rPr>
        <w:t>Place the ribbon around the neck outside the shirt collar and inside the coat or jacket collar.</w:t>
      </w:r>
    </w:p>
    <w:p>
      <w:pPr>
        <w:spacing w:after="20" w:line="223" w:lineRule="auto"/>
        <w:jc w:val="right"/>
        <w:bidi/>
      </w:pPr>
      <w:r>
        <w:rPr>
          <w:rFonts w:ascii="Arial" w:hAnsi="Arial"/>
          <w:sz w:val="16"/>
        </w:rPr>
        <w:t>526.08  از تزئینات مجاز خارجی گردن زیر مدال افتخار استفاده کنید.</w:t>
      </w:r>
    </w:p>
    <w:p>
      <w:pPr>
        <w:spacing w:after="28" w:line="216" w:lineRule="auto"/>
        <w:ind w:left="259"/>
        <w:jc w:val="left"/>
      </w:pPr>
      <w:r>
        <w:rPr>
          <w:rFonts w:ascii="Arial" w:hAnsi="Arial"/>
          <w:color w:val="525252"/>
          <w:sz w:val="13"/>
        </w:rPr>
        <w:t>Wear authorized foreign neck decorations beneath the Medal of Honor.</w:t>
      </w:r>
    </w:p>
    <w:p>
      <w:r>
        <w:br w:type="page"/>
      </w:r>
    </w:p>
    <w:p>
      <w:pPr>
        <w:spacing w:after="60"/>
        <w:jc w:val="right"/>
        <w:bidi/>
      </w:pPr>
      <w:r>
        <w:rPr>
          <w:rFonts w:ascii="Arial" w:hAnsi="Arial"/>
          <w:b/>
          <w:color w:val="1F4D78"/>
          <w:sz w:val="19"/>
        </w:rPr>
        <w:t>هفتهٔ 527  |  صفحهٔ منبع: 543</w:t>
      </w:r>
    </w:p>
    <w:p>
      <w:pPr>
        <w:spacing w:before="60" w:after="28"/>
        <w:jc w:val="right"/>
        <w:bidi/>
      </w:pPr>
      <w:r>
        <w:rPr>
          <w:b/>
          <w:color w:val="1F4D78"/>
          <w:sz w:val="18"/>
        </w:rPr>
        <w:t>فصل 24</w:t>
      </w:r>
    </w:p>
    <w:p>
      <w:pPr>
        <w:spacing w:after="20"/>
        <w:ind w:left="259"/>
        <w:jc w:val="left"/>
      </w:pPr>
      <w:r>
        <w:rPr>
          <w:color w:val="555555"/>
          <w:sz w:val="12"/>
        </w:rPr>
        <w:t>Chapter 24</w:t>
      </w:r>
    </w:p>
    <w:p>
      <w:pPr>
        <w:spacing w:before="60" w:after="28"/>
        <w:jc w:val="right"/>
        <w:bidi/>
      </w:pPr>
      <w:r>
        <w:rPr>
          <w:b/>
          <w:color w:val="1F4D78"/>
          <w:sz w:val="18"/>
        </w:rPr>
        <w:t>آداب و رسوم نظامی</w:t>
      </w:r>
    </w:p>
    <w:p>
      <w:pPr>
        <w:spacing w:after="20"/>
        <w:ind w:left="259"/>
        <w:jc w:val="left"/>
      </w:pPr>
      <w:r>
        <w:rPr>
          <w:color w:val="555555"/>
          <w:sz w:val="12"/>
        </w:rPr>
        <w:t>MILITARY CUSTOMS AND COURTESIES</w:t>
      </w:r>
    </w:p>
    <w:p>
      <w:pPr>
        <w:spacing w:before="60" w:after="28"/>
        <w:jc w:val="right"/>
        <w:bidi/>
      </w:pPr>
      <w:r>
        <w:rPr>
          <w:b/>
          <w:color w:val="1F4D78"/>
          <w:sz w:val="18"/>
        </w:rPr>
        <w:t>بخش 24A - سنت های محترم</w:t>
      </w:r>
    </w:p>
    <w:p>
      <w:pPr>
        <w:spacing w:after="20"/>
        <w:ind w:left="259"/>
        <w:jc w:val="left"/>
      </w:pPr>
      <w:r>
        <w:rPr>
          <w:color w:val="555555"/>
          <w:sz w:val="12"/>
        </w:rPr>
        <w:t>Section 24A—Honored Traditions</w:t>
      </w:r>
    </w:p>
    <w:p>
      <w:pPr>
        <w:spacing w:before="60" w:after="28"/>
        <w:jc w:val="right"/>
        <w:bidi/>
      </w:pPr>
      <w:r>
        <w:rPr>
          <w:b/>
          <w:color w:val="1F4D78"/>
          <w:sz w:val="18"/>
        </w:rPr>
        <w:t>24.1. شرف و سنت</w:t>
      </w:r>
    </w:p>
    <w:p>
      <w:pPr>
        <w:spacing w:after="20"/>
        <w:ind w:left="259"/>
        <w:jc w:val="left"/>
      </w:pPr>
      <w:r>
        <w:rPr>
          <w:color w:val="555555"/>
          <w:sz w:val="12"/>
        </w:rPr>
        <w:t>24.1. Honor and Tradition</w:t>
      </w:r>
    </w:p>
    <w:p>
      <w:pPr>
        <w:spacing w:after="20" w:line="223" w:lineRule="auto"/>
        <w:jc w:val="right"/>
        <w:bidi/>
      </w:pPr>
      <w:r>
        <w:rPr>
          <w:rFonts w:ascii="Arial" w:hAnsi="Arial"/>
          <w:sz w:val="16"/>
        </w:rPr>
        <w:t>527.05  آداب و رسوم و ادب نظامی سنت‌های اثبات شده‌ای هستند که ریشه در فرهنگ دارند و نشان دهنده غرور در خدمت سربازی به ملت ما هستند.</w:t>
      </w:r>
    </w:p>
    <w:p>
      <w:pPr>
        <w:spacing w:after="28" w:line="216" w:lineRule="auto"/>
        <w:ind w:left="259"/>
        <w:jc w:val="left"/>
      </w:pPr>
      <w:r>
        <w:rPr>
          <w:rFonts w:ascii="Arial" w:hAnsi="Arial"/>
          <w:color w:val="525252"/>
          <w:sz w:val="13"/>
        </w:rPr>
        <w:t>Military customs and courtesies are proven traditions, deep-rooted in culture that reflect pride in military service to our nation.</w:t>
      </w:r>
    </w:p>
    <w:p>
      <w:pPr>
        <w:spacing w:after="20" w:line="223" w:lineRule="auto"/>
        <w:jc w:val="right"/>
        <w:bidi/>
      </w:pPr>
      <w:r>
        <w:rPr>
          <w:rFonts w:ascii="Arial" w:hAnsi="Arial"/>
          <w:sz w:val="16"/>
        </w:rPr>
        <w:t>527.06  انتظارات برای اعمال احترام و ادب از نیاز به نظم و انضباط به ایجاد محیطی از احترام و احساس برادری که در بین پرسنل نظامی وجود دارد، تکامل یافته است.</w:t>
      </w:r>
    </w:p>
    <w:p>
      <w:pPr>
        <w:spacing w:after="28" w:line="216" w:lineRule="auto"/>
        <w:ind w:left="259"/>
        <w:jc w:val="left"/>
      </w:pPr>
      <w:r>
        <w:rPr>
          <w:rFonts w:ascii="Arial" w:hAnsi="Arial"/>
          <w:color w:val="525252"/>
          <w:sz w:val="13"/>
        </w:rPr>
        <w:t>Expectations for acts of respect and courtesy have evolved from the need for order and discipline, to generating an environment of respect and sense of fraternity that exists among military personnel.</w:t>
      </w:r>
    </w:p>
    <w:p>
      <w:pPr>
        <w:spacing w:after="20" w:line="223" w:lineRule="auto"/>
        <w:jc w:val="right"/>
        <w:bidi/>
      </w:pPr>
      <w:r>
        <w:rPr>
          <w:rFonts w:ascii="Arial" w:hAnsi="Arial"/>
          <w:sz w:val="16"/>
        </w:rPr>
        <w:t>527.07  اگرچه همه چیز را شامل نمی‌شود، این فصل بسیاری از آداب و رسوم و ادب را برجسته می‌کند که نقش بسیار مهمی در ایجاد روحیه، روحیه سپاه، نظم و انضباط و اثربخشی مأموریت دارند.</w:t>
      </w:r>
    </w:p>
    <w:p>
      <w:pPr>
        <w:spacing w:after="28" w:line="216" w:lineRule="auto"/>
        <w:ind w:left="259"/>
        <w:jc w:val="left"/>
      </w:pPr>
      <w:r>
        <w:rPr>
          <w:rFonts w:ascii="Arial" w:hAnsi="Arial"/>
          <w:color w:val="525252"/>
          <w:sz w:val="13"/>
        </w:rPr>
        <w:t>While not all-inclusive, this chapter highlights many of the customs and courtesies that play an extremely important role in building morale, esprit de corps, discipline, and mission effectiveness.</w:t>
      </w:r>
    </w:p>
    <w:p>
      <w:pPr>
        <w:spacing w:after="20" w:line="223" w:lineRule="auto"/>
        <w:jc w:val="right"/>
        <w:bidi/>
      </w:pPr>
      <w:r>
        <w:rPr>
          <w:rFonts w:ascii="Arial" w:hAnsi="Arial"/>
          <w:sz w:val="16"/>
        </w:rPr>
        <w:t>527.08  همانطور که در AFI ۱-۱ بیان شد، آداب و رسوم و ادب ما منعکس کننده ماهیت منحصر به فرد حرفه ما است و جنبه‌های مهم رفتار ما را راهنمایی می‌کند.</w:t>
      </w:r>
    </w:p>
    <w:p>
      <w:pPr>
        <w:spacing w:after="28" w:line="216" w:lineRule="auto"/>
        <w:ind w:left="259"/>
        <w:jc w:val="left"/>
      </w:pPr>
      <w:r>
        <w:rPr>
          <w:rFonts w:ascii="Arial" w:hAnsi="Arial"/>
          <w:color w:val="525252"/>
          <w:sz w:val="13"/>
        </w:rPr>
        <w:t>As stated in AFI 1-1, our customs and courtesies reflect the unique nature of our profession and guide significant aspects of our behavior.</w:t>
      </w:r>
    </w:p>
    <w:p>
      <w:pPr>
        <w:spacing w:after="20" w:line="223" w:lineRule="auto"/>
        <w:jc w:val="right"/>
        <w:bidi/>
      </w:pPr>
      <w:r>
        <w:rPr>
          <w:rFonts w:ascii="Arial" w:hAnsi="Arial"/>
          <w:sz w:val="16"/>
        </w:rPr>
        <w:t>527.09  آداب و رسوم و ادب بر پیوند قوی ما با سایر اعضای نظامی و همچنین احترام متقابل ما نسبت به یکدیگر و رهبری غیرنظامی ما تأکید دارد.</w:t>
      </w:r>
    </w:p>
    <w:p>
      <w:pPr>
        <w:spacing w:after="28" w:line="216" w:lineRule="auto"/>
        <w:ind w:left="259"/>
        <w:jc w:val="left"/>
      </w:pPr>
      <w:r>
        <w:rPr>
          <w:rFonts w:ascii="Arial" w:hAnsi="Arial"/>
          <w:color w:val="525252"/>
          <w:sz w:val="13"/>
        </w:rPr>
        <w:t>Customs and courtesies emphasize our strong bond with other military members as well as our mutual respect for one another and our civilian leadership.</w:t>
      </w:r>
    </w:p>
    <w:p>
      <w:pPr>
        <w:spacing w:before="60" w:after="28"/>
        <w:jc w:val="right"/>
        <w:bidi/>
      </w:pPr>
      <w:r>
        <w:rPr>
          <w:b/>
          <w:color w:val="1F4D78"/>
          <w:sz w:val="18"/>
        </w:rPr>
        <w:t>24.2. پروتکل پروتکل</w:t>
      </w:r>
    </w:p>
    <w:p>
      <w:pPr>
        <w:spacing w:after="20"/>
        <w:ind w:left="259"/>
        <w:jc w:val="left"/>
      </w:pPr>
      <w:r>
        <w:rPr>
          <w:color w:val="555555"/>
          <w:sz w:val="12"/>
        </w:rPr>
        <w:t>24.2. Protocol</w:t>
      </w:r>
    </w:p>
    <w:p>
      <w:pPr>
        <w:spacing w:after="20" w:line="223" w:lineRule="auto"/>
        <w:jc w:val="right"/>
        <w:bidi/>
      </w:pPr>
      <w:r>
        <w:rPr>
          <w:rFonts w:ascii="Arial" w:hAnsi="Arial"/>
          <w:sz w:val="16"/>
        </w:rPr>
        <w:t>527.11  یک سیستم بین‌المللی از ادب و احترام است که شامل مجموعه‌ای از قوانین رفتار در زندگی رسمی و در مراسمی است که دولت‌ها، ملت‌ها و نمایندگان آن‌ها را درگیر می‌کند. پروتکل</w:t>
      </w:r>
    </w:p>
    <w:p>
      <w:pPr>
        <w:spacing w:after="28" w:line="216" w:lineRule="auto"/>
        <w:ind w:left="259"/>
        <w:jc w:val="left"/>
      </w:pPr>
      <w:r>
        <w:rPr>
          <w:rFonts w:ascii="Arial" w:hAnsi="Arial"/>
          <w:color w:val="525252"/>
          <w:sz w:val="13"/>
        </w:rPr>
        <w:t>Protocol is an internationally recognized system of courtesy and respect involving a set of rules for behavior in official life and in ceremonies involving governments, nations, and their representatives.</w:t>
      </w:r>
    </w:p>
    <w:p>
      <w:pPr>
        <w:spacing w:after="20" w:line="223" w:lineRule="auto"/>
        <w:jc w:val="right"/>
        <w:bidi/>
      </w:pPr>
      <w:r>
        <w:rPr>
          <w:rFonts w:ascii="Arial" w:hAnsi="Arial"/>
          <w:sz w:val="16"/>
        </w:rPr>
        <w:t>527.12  برای ارتش و سازمان‌های دولتی کد تقدم، ادب و آداب سنتی در امور نظامی، دیپلماتیک، رسمی و مراسم جشن است.</w:t>
      </w:r>
    </w:p>
    <w:p>
      <w:pPr>
        <w:spacing w:after="28" w:line="216" w:lineRule="auto"/>
        <w:ind w:left="259"/>
        <w:jc w:val="left"/>
      </w:pPr>
      <w:r>
        <w:rPr>
          <w:rFonts w:ascii="Arial" w:hAnsi="Arial"/>
          <w:color w:val="525252"/>
          <w:sz w:val="13"/>
        </w:rPr>
        <w:t>Protocol for the military and government agencies is a code of traditional precedence, courtesy, and etiquette in matters of military, diplomatic, official, and celebratory ceremonies.</w:t>
      </w:r>
    </w:p>
    <w:p>
      <w:pPr>
        <w:spacing w:after="20" w:line="223" w:lineRule="auto"/>
        <w:jc w:val="right"/>
        <w:bidi/>
      </w:pPr>
      <w:r>
        <w:rPr>
          <w:rFonts w:ascii="Arial" w:hAnsi="Arial"/>
          <w:sz w:val="16"/>
        </w:rPr>
        <w:t>527.13  در عمل مدرن، پروتکل نظامی شامل دانش، انباشت، و به‌کارگیری آداب و رسوم خدماتی است که با ترکیب قوانین سنتی رفتار با آداب معاصر و ادب معاصر است.</w:t>
      </w:r>
    </w:p>
    <w:p>
      <w:pPr>
        <w:spacing w:after="28" w:line="216" w:lineRule="auto"/>
        <w:ind w:left="259"/>
        <w:jc w:val="left"/>
      </w:pPr>
      <w:r>
        <w:rPr>
          <w:rFonts w:ascii="Arial" w:hAnsi="Arial"/>
          <w:color w:val="525252"/>
          <w:sz w:val="13"/>
        </w:rPr>
        <w:t>In modern practice, military protocol encompasses the knowledge, accumulation, and application of established service customs by combining the traditional codes of conduct with contemporary etiquette and courtesy.</w:t>
      </w:r>
    </w:p>
    <w:p>
      <w:pPr>
        <w:spacing w:after="20" w:line="223" w:lineRule="auto"/>
        <w:jc w:val="right"/>
        <w:bidi/>
      </w:pPr>
      <w:r>
        <w:rPr>
          <w:rFonts w:ascii="Arial" w:hAnsi="Arial"/>
          <w:sz w:val="16"/>
        </w:rPr>
        <w:t>527.14  دستورات اجرایی، اعلامیه‌های ریاست جمهوری، دستورالعمل‌های USAF، و سایر منابع مرتبط با خدمات، راهنمایی‌های خاصی را در مورد پروتکل، آداب و رسوم و ادب ارائه می‌کنند.</w:t>
      </w:r>
    </w:p>
    <w:p>
      <w:pPr>
        <w:spacing w:after="28" w:line="216" w:lineRule="auto"/>
        <w:ind w:left="259"/>
        <w:jc w:val="left"/>
      </w:pPr>
      <w:r>
        <w:rPr>
          <w:rFonts w:ascii="Arial" w:hAnsi="Arial"/>
          <w:color w:val="525252"/>
          <w:sz w:val="13"/>
        </w:rPr>
        <w:t>Executive orders, presidential proclamations, USAF instructions, and other service-associated sources provide specific guidance on protocol and customs and courtesies.</w:t>
      </w:r>
    </w:p>
    <w:p>
      <w:pPr>
        <w:spacing w:after="20" w:line="223" w:lineRule="auto"/>
        <w:jc w:val="right"/>
        <w:bidi/>
      </w:pPr>
      <w:r>
        <w:rPr>
          <w:rFonts w:ascii="Arial" w:hAnsi="Arial"/>
          <w:sz w:val="16"/>
        </w:rPr>
        <w:t>527.15  پروتکل DAFI ۹۰-۱۲۰۲، منبع بسیار خوبی برای اطلاعات دقیق در مورد طیف گسترده‌ای از آداب و رسوم نظامی و ادب و نزاکت است.</w:t>
      </w:r>
    </w:p>
    <w:p>
      <w:pPr>
        <w:spacing w:after="28" w:line="216" w:lineRule="auto"/>
        <w:ind w:left="259"/>
        <w:jc w:val="left"/>
      </w:pPr>
      <w:r>
        <w:rPr>
          <w:rFonts w:ascii="Arial" w:hAnsi="Arial"/>
          <w:color w:val="525252"/>
          <w:sz w:val="13"/>
        </w:rPr>
        <w:t>DAFI 90-1202 Protocol, is a very good source for detailed information regarding a wide range of military customs and courtesies and decorum.</w:t>
      </w:r>
    </w:p>
    <w:p>
      <w:pPr>
        <w:spacing w:before="60" w:after="28"/>
        <w:jc w:val="right"/>
        <w:bidi/>
      </w:pPr>
      <w:r>
        <w:rPr>
          <w:b/>
          <w:color w:val="1F4D78"/>
          <w:sz w:val="18"/>
        </w:rPr>
        <w:t>24.3. برنامه گارد افتخاری پایه</w:t>
      </w:r>
    </w:p>
    <w:p>
      <w:pPr>
        <w:spacing w:after="20"/>
        <w:ind w:left="259"/>
        <w:jc w:val="left"/>
      </w:pPr>
      <w:r>
        <w:rPr>
          <w:color w:val="555555"/>
          <w:sz w:val="12"/>
        </w:rPr>
        <w:t>24.3. Base Honor Guard Program</w:t>
      </w:r>
    </w:p>
    <w:p>
      <w:pPr>
        <w:spacing w:after="20" w:line="223" w:lineRule="auto"/>
        <w:jc w:val="right"/>
        <w:bidi/>
      </w:pPr>
      <w:r>
        <w:rPr>
          <w:rFonts w:ascii="Arial" w:hAnsi="Arial"/>
          <w:sz w:val="16"/>
        </w:rPr>
        <w:t>527.17  باس هونور گوارد یک برنامه اجباری USAF است که تحت مسئولیت فرماندهان نصب است که بر اهمیت آداب و رسوم و ادب نظامی، لباس و ظاهر، تمرین و تشریفات تاکید دارد.</w:t>
      </w:r>
    </w:p>
    <w:p>
      <w:pPr>
        <w:spacing w:after="28" w:line="216" w:lineRule="auto"/>
        <w:ind w:left="259"/>
        <w:jc w:val="left"/>
      </w:pPr>
      <w:r>
        <w:rPr>
          <w:rFonts w:ascii="Arial" w:hAnsi="Arial"/>
          <w:color w:val="525252"/>
          <w:sz w:val="13"/>
        </w:rPr>
        <w:t>Base Honor Guard is a mandatory USAF program, under the responsibility of installation commanders, which emphasizes the importance of military customs and courtesies, dress and appearance, and drill and ceremonies.</w:t>
      </w:r>
    </w:p>
    <w:p>
      <w:pPr>
        <w:spacing w:after="20" w:line="223" w:lineRule="auto"/>
        <w:jc w:val="right"/>
        <w:bidi/>
      </w:pPr>
      <w:r>
        <w:rPr>
          <w:rFonts w:ascii="Arial" w:hAnsi="Arial"/>
          <w:sz w:val="16"/>
        </w:rPr>
        <w:t>527.18  اولین گارد افتخاری پایگاه در اسکادران پلیس هوایی ۱۱۰۰، میدان بولینگ، واشنگتن دی سی فعال شد و مسئول حفظ قابلیت تشریفاتی USAF در منطقه پایتخت ملی بود.</w:t>
      </w:r>
    </w:p>
    <w:p>
      <w:pPr>
        <w:spacing w:after="28" w:line="216" w:lineRule="auto"/>
        <w:ind w:left="259"/>
        <w:jc w:val="left"/>
      </w:pPr>
      <w:r>
        <w:rPr>
          <w:rFonts w:ascii="Arial" w:hAnsi="Arial"/>
          <w:color w:val="525252"/>
          <w:sz w:val="13"/>
        </w:rPr>
        <w:t>The first base honor guard was activated within the 1100th Air Police Squadron, Bolling Field, Washington D.C., and was responsible for maintaining a USAF ceremonial capability in the National Capital Region.</w:t>
      </w:r>
    </w:p>
    <w:p>
      <w:pPr>
        <w:spacing w:after="20" w:line="223" w:lineRule="auto"/>
        <w:jc w:val="right"/>
        <w:bidi/>
      </w:pPr>
      <w:r>
        <w:rPr>
          <w:rFonts w:ascii="Arial" w:hAnsi="Arial"/>
          <w:sz w:val="16"/>
        </w:rPr>
        <w:t>527.19  مأموریت اصلی برنامه گارد افتخاری پایگاه امروز به‌کارگیری، تجهیز و آموزش اعضای USAF برای ارائه افتخارات حرفه‌ای مراسم تشییع جنازه نظامی برای اعضای نیروهای مسلح فعال، اعضای بازنشسته و کهنه‌سربازان نیروی هوایی ایالات متحده است.</w:t>
      </w:r>
    </w:p>
    <w:p>
      <w:pPr>
        <w:spacing w:after="28" w:line="216" w:lineRule="auto"/>
        <w:ind w:left="259"/>
        <w:jc w:val="left"/>
      </w:pPr>
      <w:r>
        <w:rPr>
          <w:rFonts w:ascii="Arial" w:hAnsi="Arial"/>
          <w:color w:val="525252"/>
          <w:sz w:val="13"/>
        </w:rPr>
        <w:t>The primary mission of today’s base honor guard program is to employ, equip, and train USAF members to provide professional military funeral honors for active service members, retired members, and veterans of the U. S. Air Force.</w:t>
      </w:r>
    </w:p>
    <w:p>
      <w:pPr>
        <w:spacing w:after="20" w:line="223" w:lineRule="auto"/>
        <w:jc w:val="right"/>
        <w:bidi/>
      </w:pPr>
      <w:r>
        <w:rPr>
          <w:rFonts w:ascii="Arial" w:hAnsi="Arial"/>
          <w:sz w:val="16"/>
        </w:rPr>
        <w:t>527.20  اعضا معمولا داوطلبانی از واحدهای میزبان نصب و مستاجر هستند و انتخاب‌ها معمولا از عضو نیروی هوایی باسیک تا تچنیکال سرگانت انجام می‌شود.</w:t>
      </w:r>
    </w:p>
    <w:p>
      <w:pPr>
        <w:spacing w:after="28" w:line="216" w:lineRule="auto"/>
        <w:ind w:left="259"/>
        <w:jc w:val="left"/>
      </w:pPr>
      <w:r>
        <w:rPr>
          <w:rFonts w:ascii="Arial" w:hAnsi="Arial"/>
          <w:color w:val="525252"/>
          <w:sz w:val="13"/>
        </w:rPr>
        <w:t>Members are usually volunteers from the installation host and tenant units, with selections generally coming from Airman Basic to Technical Sergeant.</w:t>
      </w:r>
    </w:p>
    <w:p>
      <w:pPr>
        <w:spacing w:after="20" w:line="223" w:lineRule="auto"/>
        <w:jc w:val="right"/>
        <w:bidi/>
      </w:pPr>
      <w:r>
        <w:rPr>
          <w:rFonts w:ascii="Arial" w:hAnsi="Arial"/>
          <w:sz w:val="16"/>
        </w:rPr>
        <w:t>527.21  توجه: در ژانویه سال ۲۰۰۰، قوانین عمومی به اجرا درآمد، که برای همه جانبازان حداقل یک مراسم تشییع جنازه که شامل تا زدن پرچم ایالات متحده، اهدای پرچم به خانواده جانباز، و نواختن تپ می‌شود، به اجرا گذاشته شد.</w:t>
      </w:r>
    </w:p>
    <w:p>
      <w:pPr>
        <w:spacing w:after="28" w:line="216" w:lineRule="auto"/>
        <w:ind w:left="259"/>
        <w:jc w:val="left"/>
      </w:pPr>
      <w:r>
        <w:rPr>
          <w:rFonts w:ascii="Arial" w:hAnsi="Arial"/>
          <w:color w:val="525252"/>
          <w:sz w:val="13"/>
        </w:rPr>
        <w:t>Note: In January of 2000, public law was implemented, providing for all veterans to receive, at a minimum, a funeral ceremony that includes the folding of a United States flag, presentation of the flag to the veteran’s family, and the playing of Taps.</w:t>
      </w:r>
    </w:p>
    <w:p>
      <w:pPr>
        <w:spacing w:before="60" w:after="28"/>
        <w:jc w:val="right"/>
        <w:bidi/>
      </w:pPr>
      <w:r>
        <w:rPr>
          <w:b/>
          <w:color w:val="1F4D78"/>
          <w:sz w:val="18"/>
        </w:rPr>
        <w:t>24.4. سمبولیسم و بازنمایی</w:t>
      </w:r>
    </w:p>
    <w:p>
      <w:pPr>
        <w:spacing w:after="20"/>
        <w:ind w:left="259"/>
        <w:jc w:val="left"/>
      </w:pPr>
      <w:r>
        <w:rPr>
          <w:color w:val="555555"/>
          <w:sz w:val="12"/>
        </w:rPr>
        <w:t>24.4. Symbolism and Representation</w:t>
      </w:r>
    </w:p>
    <w:p>
      <w:pPr>
        <w:spacing w:after="20" w:line="223" w:lineRule="auto"/>
        <w:jc w:val="right"/>
        <w:bidi/>
      </w:pPr>
      <w:r>
        <w:rPr>
          <w:rFonts w:ascii="Arial" w:hAnsi="Arial"/>
          <w:sz w:val="16"/>
        </w:rPr>
        <w:t>527.23  سنت نظامی و میهن پرستی غرق در نمادگرایی است، اغلب در مراسم تجلیل می‌شود و به اشکال مختلف نشان داده می‌شود.</w:t>
      </w:r>
    </w:p>
    <w:p>
      <w:pPr>
        <w:spacing w:after="28" w:line="216" w:lineRule="auto"/>
        <w:ind w:left="259"/>
        <w:jc w:val="left"/>
      </w:pPr>
      <w:r>
        <w:rPr>
          <w:rFonts w:ascii="Arial" w:hAnsi="Arial"/>
          <w:color w:val="525252"/>
          <w:sz w:val="13"/>
        </w:rPr>
        <w:t>Military tradition and patriotism are steeped in symbolism, often honored in ceremonies, and represented in many forms.</w:t>
      </w:r>
    </w:p>
    <w:p>
      <w:pPr>
        <w:spacing w:after="20" w:line="223" w:lineRule="auto"/>
        <w:jc w:val="right"/>
        <w:bidi/>
      </w:pPr>
      <w:r>
        <w:rPr>
          <w:rFonts w:ascii="Arial" w:hAnsi="Arial"/>
          <w:sz w:val="16"/>
        </w:rPr>
        <w:t>527.24  برخی از روش‌هایی که ایالات متحده و USAF نشان داده می‌شوند شامل نمادهایی مانند پرچم ایالات متحده و رنگ‌های آن، آهنگ‌ها، مهرهای رسمی و موارد دیگر است.</w:t>
      </w:r>
    </w:p>
    <w:p>
      <w:pPr>
        <w:spacing w:after="28" w:line="216" w:lineRule="auto"/>
        <w:ind w:left="259"/>
        <w:jc w:val="left"/>
      </w:pPr>
      <w:r>
        <w:rPr>
          <w:rFonts w:ascii="Arial" w:hAnsi="Arial"/>
          <w:color w:val="525252"/>
          <w:sz w:val="13"/>
        </w:rPr>
        <w:t>Some of the ways the United States and the USAF are represented include symbols, such as the United States flag and its colors, songs, official seals, and other</w:t>
      </w:r>
    </w:p>
    <w:p>
      <w:r>
        <w:br w:type="page"/>
      </w:r>
    </w:p>
    <w:p>
      <w:pPr>
        <w:spacing w:after="60"/>
        <w:jc w:val="right"/>
        <w:bidi/>
      </w:pPr>
      <w:r>
        <w:rPr>
          <w:rFonts w:ascii="Arial" w:hAnsi="Arial"/>
          <w:b/>
          <w:color w:val="1F4D78"/>
          <w:sz w:val="19"/>
        </w:rPr>
        <w:t>هفتهٔ 528  |  صفحهٔ منبع: 544</w:t>
      </w:r>
    </w:p>
    <w:p>
      <w:pPr>
        <w:spacing w:after="20" w:line="223" w:lineRule="auto"/>
        <w:jc w:val="right"/>
        <w:bidi/>
      </w:pPr>
      <w:r>
        <w:rPr>
          <w:rFonts w:ascii="Arial" w:hAnsi="Arial"/>
          <w:sz w:val="16"/>
        </w:rPr>
        <w:t>528.01  اشیاء شناخته شده ملی.</w:t>
      </w:r>
    </w:p>
    <w:p>
      <w:pPr>
        <w:spacing w:after="28" w:line="216" w:lineRule="auto"/>
        <w:ind w:left="259"/>
        <w:jc w:val="left"/>
      </w:pPr>
      <w:r>
        <w:rPr>
          <w:rFonts w:ascii="Arial" w:hAnsi="Arial"/>
          <w:color w:val="525252"/>
          <w:sz w:val="13"/>
        </w:rPr>
        <w:t>nationally recognized objects.</w:t>
      </w:r>
    </w:p>
    <w:p>
      <w:pPr>
        <w:spacing w:before="60" w:after="28"/>
        <w:jc w:val="right"/>
        <w:bidi/>
      </w:pPr>
      <w:r>
        <w:rPr>
          <w:b/>
          <w:color w:val="1F4D78"/>
          <w:sz w:val="18"/>
        </w:rPr>
        <w:t>24.5. سرود ملی</w:t>
      </w:r>
    </w:p>
    <w:p>
      <w:pPr>
        <w:spacing w:after="20"/>
        <w:ind w:left="259"/>
        <w:jc w:val="left"/>
      </w:pPr>
      <w:r>
        <w:rPr>
          <w:color w:val="555555"/>
          <w:sz w:val="12"/>
        </w:rPr>
        <w:t>24.5. National Anthem</w:t>
      </w:r>
    </w:p>
    <w:p>
      <w:pPr>
        <w:spacing w:after="20" w:line="223" w:lineRule="auto"/>
        <w:jc w:val="right"/>
        <w:bidi/>
      </w:pPr>
      <w:r>
        <w:rPr>
          <w:rFonts w:ascii="Arial" w:hAnsi="Arial"/>
          <w:sz w:val="16"/>
        </w:rPr>
        <w:t>528.03  سرود ملی ایالات متحده، ت ستار-سپانگلد باننر، اغلب در مراسم و رویدادهای رسمی و غیر رسمی پخش یا خوانده می‌شود.</w:t>
      </w:r>
    </w:p>
    <w:p>
      <w:pPr>
        <w:spacing w:after="28" w:line="216" w:lineRule="auto"/>
        <w:ind w:left="259"/>
        <w:jc w:val="left"/>
      </w:pPr>
      <w:r>
        <w:rPr>
          <w:rFonts w:ascii="Arial" w:hAnsi="Arial"/>
          <w:color w:val="525252"/>
          <w:sz w:val="13"/>
        </w:rPr>
        <w:t>The United States national anthem, The Star-Spangled Banner, is often played or sung at official and unofficial ceremonies and events.</w:t>
      </w:r>
    </w:p>
    <w:p>
      <w:pPr>
        <w:spacing w:after="20" w:line="223" w:lineRule="auto"/>
        <w:jc w:val="right"/>
        <w:bidi/>
      </w:pPr>
      <w:r>
        <w:rPr>
          <w:rFonts w:ascii="Arial" w:hAnsi="Arial"/>
          <w:sz w:val="16"/>
        </w:rPr>
        <w:t>528.04  درک پروتکل‌ها و رویه‌های مناسب برای احترام مناسب به سرود ملی مهم است.</w:t>
      </w:r>
    </w:p>
    <w:p>
      <w:pPr>
        <w:spacing w:after="28" w:line="216" w:lineRule="auto"/>
        <w:ind w:left="259"/>
        <w:jc w:val="left"/>
      </w:pPr>
      <w:r>
        <w:rPr>
          <w:rFonts w:ascii="Arial" w:hAnsi="Arial"/>
          <w:color w:val="525252"/>
          <w:sz w:val="13"/>
        </w:rPr>
        <w:t>It is important to understand the appropriate protocols and procedures for showing proper respects for the national anthem.</w:t>
      </w:r>
    </w:p>
    <w:p>
      <w:pPr>
        <w:spacing w:after="20" w:line="223" w:lineRule="auto"/>
        <w:jc w:val="right"/>
        <w:bidi/>
      </w:pPr>
      <w:r>
        <w:rPr>
          <w:rFonts w:ascii="Arial" w:hAnsi="Arial"/>
          <w:sz w:val="16"/>
        </w:rPr>
        <w:t>528.05  برای هر چهار آیه سرود ملی، به پیوست ۹، اشعار بنر ستارگان رجوع کنید.</w:t>
      </w:r>
    </w:p>
    <w:p>
      <w:pPr>
        <w:spacing w:after="28" w:line="216" w:lineRule="auto"/>
        <w:ind w:left="259"/>
        <w:jc w:val="left"/>
      </w:pPr>
      <w:r>
        <w:rPr>
          <w:rFonts w:ascii="Arial" w:hAnsi="Arial"/>
          <w:color w:val="525252"/>
          <w:sz w:val="13"/>
        </w:rPr>
        <w:t>See Attachment 9, The Star- Spangled Banner Lyrics, for all four verses of the national anthem.</w:t>
      </w:r>
    </w:p>
    <w:p>
      <w:pPr>
        <w:spacing w:after="20" w:line="223" w:lineRule="auto"/>
        <w:jc w:val="right"/>
        <w:bidi/>
      </w:pPr>
      <w:r>
        <w:rPr>
          <w:rFonts w:ascii="Arial" w:hAnsi="Arial"/>
          <w:sz w:val="16"/>
        </w:rPr>
        <w:t>528.06  هنگامی که ندای بوق، به رنگ‌ها، پخش می‌شود، همان احترام هایی که به سرود ملی ارائه شده نشان داده می‌شود.</w:t>
      </w:r>
    </w:p>
    <w:p>
      <w:pPr>
        <w:spacing w:after="28" w:line="216" w:lineRule="auto"/>
        <w:ind w:left="259"/>
        <w:jc w:val="left"/>
      </w:pPr>
      <w:r>
        <w:rPr>
          <w:rFonts w:ascii="Arial" w:hAnsi="Arial"/>
          <w:color w:val="525252"/>
          <w:sz w:val="13"/>
        </w:rPr>
        <w:t>When the bugle call, To the Colors, is played, the same respects are shown as rendered to the national anthem.</w:t>
      </w:r>
    </w:p>
    <w:p>
      <w:pPr>
        <w:spacing w:after="20" w:line="223" w:lineRule="auto"/>
        <w:jc w:val="right"/>
        <w:bidi/>
      </w:pPr>
      <w:r>
        <w:rPr>
          <w:rFonts w:ascii="Arial" w:hAnsi="Arial"/>
          <w:sz w:val="16"/>
        </w:rPr>
        <w:t>528.07  سرود ملی در فضای باز.</w:t>
      </w:r>
    </w:p>
    <w:p>
      <w:pPr>
        <w:spacing w:after="28" w:line="216" w:lineRule="auto"/>
        <w:ind w:left="259"/>
        <w:jc w:val="left"/>
      </w:pPr>
      <w:r>
        <w:rPr>
          <w:rFonts w:ascii="Arial" w:hAnsi="Arial"/>
          <w:color w:val="525252"/>
          <w:sz w:val="13"/>
        </w:rPr>
        <w:t>National Anthem Outdoors.</w:t>
      </w:r>
    </w:p>
    <w:p>
      <w:pPr>
        <w:spacing w:after="20" w:line="223" w:lineRule="auto"/>
        <w:jc w:val="right"/>
        <w:bidi/>
      </w:pPr>
      <w:r>
        <w:rPr>
          <w:rFonts w:ascii="Arial" w:hAnsi="Arial"/>
          <w:sz w:val="16"/>
        </w:rPr>
        <w:t>528.08  وقتی در خارج از منزل، در حین اجرای سرود ملی، هوانوردان یونیفرم پوش باید با اولین نت سرود سلام نظامی بدهند و این موقعیت را تا نواختن آخرین نت موسیقی حفظ کنند.</w:t>
      </w:r>
    </w:p>
    <w:p>
      <w:pPr>
        <w:spacing w:after="28" w:line="216" w:lineRule="auto"/>
        <w:ind w:left="259"/>
        <w:jc w:val="left"/>
      </w:pPr>
      <w:r>
        <w:rPr>
          <w:rFonts w:ascii="Arial" w:hAnsi="Arial"/>
          <w:color w:val="525252"/>
          <w:sz w:val="13"/>
        </w:rPr>
        <w:t>When outdoors, during the rendition of the national anthem, Airmen in uniform should render the military salute at the first note of the anthem and retain this position until the last note of music has played.</w:t>
      </w:r>
    </w:p>
    <w:p>
      <w:pPr>
        <w:spacing w:after="20" w:line="223" w:lineRule="auto"/>
        <w:jc w:val="right"/>
        <w:bidi/>
      </w:pPr>
      <w:r>
        <w:rPr>
          <w:rFonts w:ascii="Arial" w:hAnsi="Arial"/>
          <w:sz w:val="16"/>
        </w:rPr>
        <w:t>528.09  هنگام اجرای سرود ملی در خارج از منزل، همه حاضران با لباس غیرنظامی باید رو به پرچم با دست راست روی قلب بایستند.</w:t>
      </w:r>
    </w:p>
    <w:p>
      <w:pPr>
        <w:spacing w:after="28" w:line="216" w:lineRule="auto"/>
        <w:ind w:left="259"/>
        <w:jc w:val="left"/>
      </w:pPr>
      <w:r>
        <w:rPr>
          <w:rFonts w:ascii="Arial" w:hAnsi="Arial"/>
          <w:color w:val="525252"/>
          <w:sz w:val="13"/>
        </w:rPr>
        <w:t>When outdoors during rendition of the national anthem, all present in civilian attire should stand at attention facing the flag with the right hand over the heart.</w:t>
      </w:r>
    </w:p>
    <w:p>
      <w:pPr>
        <w:spacing w:after="20" w:line="223" w:lineRule="auto"/>
        <w:jc w:val="right"/>
        <w:bidi/>
      </w:pPr>
      <w:r>
        <w:rPr>
          <w:rFonts w:ascii="Arial" w:hAnsi="Arial"/>
          <w:sz w:val="16"/>
        </w:rPr>
        <w:t>528.10  اعضایی که یونیفرم نیستند باید روسری خود را با دست راست خود بردارند و آن را در شانه چپ نگه دارند، دستشان بالای قلب باشد.</w:t>
      </w:r>
    </w:p>
    <w:p>
      <w:pPr>
        <w:spacing w:after="28" w:line="216" w:lineRule="auto"/>
        <w:ind w:left="259"/>
        <w:jc w:val="left"/>
      </w:pPr>
      <w:r>
        <w:rPr>
          <w:rFonts w:ascii="Arial" w:hAnsi="Arial"/>
          <w:color w:val="525252"/>
          <w:sz w:val="13"/>
        </w:rPr>
        <w:t>Members not in uniform should remove their headgear with their right hand and hold it at the left shoulder, the hand being over the heart.</w:t>
      </w:r>
    </w:p>
    <w:p>
      <w:pPr>
        <w:spacing w:after="20" w:line="223" w:lineRule="auto"/>
        <w:jc w:val="right"/>
        <w:bidi/>
      </w:pPr>
      <w:r>
        <w:rPr>
          <w:rFonts w:ascii="Arial" w:hAnsi="Arial"/>
          <w:sz w:val="16"/>
        </w:rPr>
        <w:t>528.11  سرود ملی در وسایل نقلیه.</w:t>
      </w:r>
    </w:p>
    <w:p>
      <w:pPr>
        <w:spacing w:after="28" w:line="216" w:lineRule="auto"/>
        <w:ind w:left="259"/>
        <w:jc w:val="left"/>
      </w:pPr>
      <w:r>
        <w:rPr>
          <w:rFonts w:ascii="Arial" w:hAnsi="Arial"/>
          <w:color w:val="525252"/>
          <w:sz w:val="13"/>
        </w:rPr>
        <w:t>National Anthem in Vehicles.</w:t>
      </w:r>
    </w:p>
    <w:p>
      <w:pPr>
        <w:spacing w:after="20" w:line="223" w:lineRule="auto"/>
        <w:jc w:val="right"/>
        <w:bidi/>
      </w:pPr>
      <w:r>
        <w:rPr>
          <w:rFonts w:ascii="Arial" w:hAnsi="Arial"/>
          <w:sz w:val="16"/>
        </w:rPr>
        <w:t>528.12  هنگامی که در تاسیسات USAF، در حین پخش بنر ستاره‌دار یا تو ت کولورس، وسایل نقلیه در حال حرکت به کنار جاده کشیده می‌شوند و متوقف می‌شوند (اگر مطابق با الزامات ایمنی و مأموریت باشد).</w:t>
      </w:r>
    </w:p>
    <w:p>
      <w:pPr>
        <w:spacing w:after="28" w:line="216" w:lineRule="auto"/>
        <w:ind w:left="259"/>
        <w:jc w:val="left"/>
      </w:pPr>
      <w:r>
        <w:rPr>
          <w:rFonts w:ascii="Arial" w:hAnsi="Arial"/>
          <w:color w:val="525252"/>
          <w:sz w:val="13"/>
        </w:rPr>
        <w:t>When on USAF installations, during the playing of The Star- Spangled Banner or To the Colors, vehicles in motion will pull to the side of the road and stop (if consistent with safety and mission requirements).</w:t>
      </w:r>
    </w:p>
    <w:p>
      <w:pPr>
        <w:spacing w:after="20" w:line="223" w:lineRule="auto"/>
        <w:jc w:val="right"/>
        <w:bidi/>
      </w:pPr>
      <w:r>
        <w:rPr>
          <w:rFonts w:ascii="Arial" w:hAnsi="Arial"/>
          <w:sz w:val="16"/>
        </w:rPr>
        <w:t>528.13  افراد در وسایل نقلیه باید تا زمانی که آخرین نت موسیقی پخش نشده است، ساکت بنشینند.</w:t>
      </w:r>
    </w:p>
    <w:p>
      <w:pPr>
        <w:spacing w:after="28" w:line="216" w:lineRule="auto"/>
        <w:ind w:left="259"/>
        <w:jc w:val="left"/>
      </w:pPr>
      <w:r>
        <w:rPr>
          <w:rFonts w:ascii="Arial" w:hAnsi="Arial"/>
          <w:color w:val="525252"/>
          <w:sz w:val="13"/>
        </w:rPr>
        <w:t>Individuals in vehicles should sit quietly until the last note of music has played.</w:t>
      </w:r>
    </w:p>
    <w:p>
      <w:pPr>
        <w:spacing w:after="20" w:line="223" w:lineRule="auto"/>
        <w:jc w:val="right"/>
        <w:bidi/>
      </w:pPr>
      <w:r>
        <w:rPr>
          <w:rFonts w:ascii="Arial" w:hAnsi="Arial"/>
          <w:sz w:val="16"/>
        </w:rPr>
        <w:t>528.14  سرود ملی داخل سالن.</w:t>
      </w:r>
    </w:p>
    <w:p>
      <w:pPr>
        <w:spacing w:after="28" w:line="216" w:lineRule="auto"/>
        <w:ind w:left="259"/>
        <w:jc w:val="left"/>
      </w:pPr>
      <w:r>
        <w:rPr>
          <w:rFonts w:ascii="Arial" w:hAnsi="Arial"/>
          <w:color w:val="525252"/>
          <w:sz w:val="13"/>
        </w:rPr>
        <w:t>National Anthem Indoors.</w:t>
      </w:r>
    </w:p>
    <w:p>
      <w:pPr>
        <w:spacing w:after="20" w:line="223" w:lineRule="auto"/>
        <w:jc w:val="right"/>
        <w:bidi/>
      </w:pPr>
      <w:r>
        <w:rPr>
          <w:rFonts w:ascii="Arial" w:hAnsi="Arial"/>
          <w:sz w:val="16"/>
        </w:rPr>
        <w:t>528.15  هنگام حضور در داخل خانه، با لباس فرم، فرم، با سرپوش مناسب، اعضای نظامی باید در حین پخش سرود ملی، ادای احترام نظامی کنند.</w:t>
      </w:r>
    </w:p>
    <w:p>
      <w:pPr>
        <w:spacing w:after="28" w:line="216" w:lineRule="auto"/>
        <w:ind w:left="259"/>
        <w:jc w:val="left"/>
      </w:pPr>
      <w:r>
        <w:rPr>
          <w:rFonts w:ascii="Arial" w:hAnsi="Arial"/>
          <w:color w:val="525252"/>
          <w:sz w:val="13"/>
        </w:rPr>
        <w:t>When indoors, in uniform, in formation, with appropriate headgear, military members should render the military salute during the national anthem.</w:t>
      </w:r>
    </w:p>
    <w:p>
      <w:pPr>
        <w:spacing w:after="20" w:line="223" w:lineRule="auto"/>
        <w:jc w:val="right"/>
        <w:bidi/>
      </w:pPr>
      <w:r>
        <w:rPr>
          <w:rFonts w:ascii="Arial" w:hAnsi="Arial"/>
          <w:sz w:val="16"/>
        </w:rPr>
        <w:t>528.16  در داخل خانه، با لباس فرم، بدون سرپوش، اعضای نظامی باید بایستند و بدون ادای سلام نظامی در جایگاه توجه قرار گیرند.</w:t>
      </w:r>
    </w:p>
    <w:p>
      <w:pPr>
        <w:spacing w:after="28" w:line="216" w:lineRule="auto"/>
        <w:ind w:left="259"/>
        <w:jc w:val="left"/>
      </w:pPr>
      <w:r>
        <w:rPr>
          <w:rFonts w:ascii="Arial" w:hAnsi="Arial"/>
          <w:color w:val="525252"/>
          <w:sz w:val="13"/>
        </w:rPr>
        <w:t>When indoors, in uniform, without headgear, military members should stand and remain at the position of attention without rendering the military salute.</w:t>
      </w:r>
    </w:p>
    <w:p>
      <w:pPr>
        <w:spacing w:after="20" w:line="223" w:lineRule="auto"/>
        <w:jc w:val="right"/>
        <w:bidi/>
      </w:pPr>
      <w:r>
        <w:rPr>
          <w:rFonts w:ascii="Arial" w:hAnsi="Arial"/>
          <w:sz w:val="16"/>
        </w:rPr>
        <w:t>528.17  غیرنظامیان باید هر گونه روسری را بردارند و با دست راست روی قلب خود بایستند.</w:t>
      </w:r>
    </w:p>
    <w:p>
      <w:pPr>
        <w:spacing w:after="28" w:line="216" w:lineRule="auto"/>
        <w:ind w:left="259"/>
        <w:jc w:val="left"/>
      </w:pPr>
      <w:r>
        <w:rPr>
          <w:rFonts w:ascii="Arial" w:hAnsi="Arial"/>
          <w:color w:val="525252"/>
          <w:sz w:val="13"/>
        </w:rPr>
        <w:t>Civilians should remove any headgear and stand at attention with their right hand over their heart.</w:t>
      </w:r>
    </w:p>
    <w:p>
      <w:pPr>
        <w:spacing w:after="20" w:line="223" w:lineRule="auto"/>
        <w:jc w:val="right"/>
        <w:bidi/>
      </w:pPr>
      <w:r>
        <w:rPr>
          <w:rFonts w:ascii="Arial" w:hAnsi="Arial"/>
          <w:sz w:val="16"/>
        </w:rPr>
        <w:t>528.18  اگر پرچم نمایش داده نمی‌شود، افراد حاضر باید رو به موزیک باشند و به همان روشی عمل کنند که در صورت نمایش پرچم انجام می‌شود.</w:t>
      </w:r>
    </w:p>
    <w:p>
      <w:pPr>
        <w:spacing w:after="28" w:line="216" w:lineRule="auto"/>
        <w:ind w:left="259"/>
        <w:jc w:val="left"/>
      </w:pPr>
      <w:r>
        <w:rPr>
          <w:rFonts w:ascii="Arial" w:hAnsi="Arial"/>
          <w:color w:val="525252"/>
          <w:sz w:val="13"/>
        </w:rPr>
        <w:t>If the flag is not displayed, those present should face toward the music and act in the same manner they would if the flag were displayed.</w:t>
      </w:r>
    </w:p>
    <w:p>
      <w:pPr>
        <w:spacing w:after="20" w:line="223" w:lineRule="auto"/>
        <w:jc w:val="right"/>
        <w:bidi/>
      </w:pPr>
      <w:r>
        <w:rPr>
          <w:rFonts w:ascii="Arial" w:hAnsi="Arial"/>
          <w:sz w:val="16"/>
        </w:rPr>
        <w:t>528.19  سرود ملی کشورهای دوست خارجی.</w:t>
      </w:r>
    </w:p>
    <w:p>
      <w:pPr>
        <w:spacing w:after="28" w:line="216" w:lineRule="auto"/>
        <w:ind w:left="259"/>
        <w:jc w:val="left"/>
      </w:pPr>
      <w:r>
        <w:rPr>
          <w:rFonts w:ascii="Arial" w:hAnsi="Arial"/>
          <w:color w:val="525252"/>
          <w:sz w:val="13"/>
        </w:rPr>
        <w:t>National Anthems of Friendly Foreign Nations.</w:t>
      </w:r>
    </w:p>
    <w:p>
      <w:pPr>
        <w:spacing w:after="20" w:line="223" w:lineRule="auto"/>
        <w:jc w:val="right"/>
        <w:bidi/>
      </w:pPr>
      <w:r>
        <w:rPr>
          <w:rFonts w:ascii="Arial" w:hAnsi="Arial"/>
          <w:sz w:val="16"/>
        </w:rPr>
        <w:t>528.20  سرودهای کشورهای خارجی دوست ممکن است برای احترام به بازدیدکنندگان از کشورهای خارجی برای نشان دادن احترام پخش شود.</w:t>
      </w:r>
    </w:p>
    <w:p>
      <w:pPr>
        <w:spacing w:after="28" w:line="216" w:lineRule="auto"/>
        <w:ind w:left="259"/>
        <w:jc w:val="left"/>
      </w:pPr>
      <w:r>
        <w:rPr>
          <w:rFonts w:ascii="Arial" w:hAnsi="Arial"/>
          <w:color w:val="525252"/>
          <w:sz w:val="13"/>
        </w:rPr>
        <w:t>Anthems of friendly foreign nations may be played to honor visitors of foreign nations as a show of respect.</w:t>
      </w:r>
    </w:p>
    <w:p>
      <w:pPr>
        <w:spacing w:after="20" w:line="223" w:lineRule="auto"/>
        <w:jc w:val="right"/>
        <w:bidi/>
      </w:pPr>
      <w:r>
        <w:rPr>
          <w:rFonts w:ascii="Arial" w:hAnsi="Arial"/>
          <w:sz w:val="16"/>
        </w:rPr>
        <w:t>528.21  به سرودهای ملی خارجی همان احترامی که به ت ستار-سپانگلد باننر نشان داده شده است.</w:t>
      </w:r>
    </w:p>
    <w:p>
      <w:pPr>
        <w:spacing w:after="28" w:line="216" w:lineRule="auto"/>
        <w:ind w:left="259"/>
        <w:jc w:val="left"/>
      </w:pPr>
      <w:r>
        <w:rPr>
          <w:rFonts w:ascii="Arial" w:hAnsi="Arial"/>
          <w:color w:val="525252"/>
          <w:sz w:val="13"/>
        </w:rPr>
        <w:t>The same respect is shown to foreign national anthems as is shown to The Star-Spangled Banner.</w:t>
      </w:r>
    </w:p>
    <w:p>
      <w:pPr>
        <w:spacing w:after="20" w:line="223" w:lineRule="auto"/>
        <w:jc w:val="right"/>
        <w:bidi/>
      </w:pPr>
      <w:r>
        <w:rPr>
          <w:rFonts w:ascii="Arial" w:hAnsi="Arial"/>
          <w:sz w:val="16"/>
        </w:rPr>
        <w:t>528.22  به‌طور معمول، سرودهای ملی خارجی قبل از سرود ملی یک کشور میزبان نواخته می‌شوند، اما هیچ قانون یا مقرراتی وجود ندارد که تعیین کند زمانی که بیش از یک سرود ملی پخش می‌شود، چه زمانی و به چه ترتیبی پخش شود.</w:t>
      </w:r>
    </w:p>
    <w:p>
      <w:pPr>
        <w:spacing w:after="28" w:line="216" w:lineRule="auto"/>
        <w:ind w:left="259"/>
        <w:jc w:val="left"/>
      </w:pPr>
      <w:r>
        <w:rPr>
          <w:rFonts w:ascii="Arial" w:hAnsi="Arial"/>
          <w:color w:val="525252"/>
          <w:sz w:val="13"/>
        </w:rPr>
        <w:t>Typically, foreign national anthems are played before the national anthem of a host nation, but there is no regulation or law mandating when or in what order national anthems are played when more than one is played.</w:t>
      </w:r>
    </w:p>
    <w:p>
      <w:pPr>
        <w:spacing w:before="60" w:after="28"/>
        <w:jc w:val="right"/>
        <w:bidi/>
      </w:pPr>
      <w:r>
        <w:rPr>
          <w:b/>
          <w:color w:val="1F4D78"/>
          <w:sz w:val="18"/>
        </w:rPr>
        <w:t>24.6. بیعت</w:t>
      </w:r>
    </w:p>
    <w:p>
      <w:pPr>
        <w:spacing w:after="20"/>
        <w:ind w:left="259"/>
        <w:jc w:val="left"/>
      </w:pPr>
      <w:r>
        <w:rPr>
          <w:color w:val="555555"/>
          <w:sz w:val="12"/>
        </w:rPr>
        <w:t>24.6. The Pledge of Allegiance</w:t>
      </w:r>
    </w:p>
    <w:p>
      <w:pPr>
        <w:spacing w:after="20" w:line="223" w:lineRule="auto"/>
        <w:jc w:val="right"/>
        <w:bidi/>
      </w:pPr>
      <w:r>
        <w:rPr>
          <w:rFonts w:ascii="Arial" w:hAnsi="Arial"/>
          <w:sz w:val="16"/>
        </w:rPr>
        <w:t>528.24  بیعت به‌طور سنتی در مراسم نظامی خوانده نمی‌شود.</w:t>
      </w:r>
    </w:p>
    <w:p>
      <w:pPr>
        <w:spacing w:after="28" w:line="216" w:lineRule="auto"/>
        <w:ind w:left="259"/>
        <w:jc w:val="left"/>
      </w:pPr>
      <w:r>
        <w:rPr>
          <w:rFonts w:ascii="Arial" w:hAnsi="Arial"/>
          <w:color w:val="525252"/>
          <w:sz w:val="13"/>
        </w:rPr>
        <w:t>The Pledge of Allegiance is not traditionally recited at military events.</w:t>
      </w:r>
    </w:p>
    <w:p>
      <w:pPr>
        <w:spacing w:after="20" w:line="223" w:lineRule="auto"/>
        <w:jc w:val="right"/>
        <w:bidi/>
      </w:pPr>
      <w:r>
        <w:rPr>
          <w:rFonts w:ascii="Arial" w:hAnsi="Arial"/>
          <w:sz w:val="16"/>
        </w:rPr>
        <w:t>528.25  در رویدادهای خارج از منزل یا فعالیت‌های اجتماعی که در آن تعهد داده می‌شود، پرسنل نظامی با لباس متحد توجه می‌کنند، سکوت می‌کنند، رو به پرچم هستند و سلام می‌کنند.</w:t>
      </w:r>
    </w:p>
    <w:p>
      <w:pPr>
        <w:spacing w:after="28" w:line="216" w:lineRule="auto"/>
        <w:ind w:left="259"/>
        <w:jc w:val="left"/>
      </w:pPr>
      <w:r>
        <w:rPr>
          <w:rFonts w:ascii="Arial" w:hAnsi="Arial"/>
          <w:color w:val="525252"/>
          <w:sz w:val="13"/>
        </w:rPr>
        <w:t>At outdoor events or social functions where the pledge is rendered, military personnel in uniform will stand at attention, remain silent, face the flag, and salute.</w:t>
      </w:r>
    </w:p>
    <w:p>
      <w:pPr>
        <w:spacing w:after="20" w:line="223" w:lineRule="auto"/>
        <w:jc w:val="right"/>
        <w:bidi/>
      </w:pPr>
      <w:r>
        <w:rPr>
          <w:rFonts w:ascii="Arial" w:hAnsi="Arial"/>
          <w:sz w:val="16"/>
        </w:rPr>
        <w:t>528.26  هنگامی که در خارج از منزل با لباس غیرنظامی هستید، هر روسری غیر مذهبی را با دست راست بردارید و آن را در شانه چپ نگه دارید، در حالی که دست روی قلب قرار دارد.</w:t>
      </w:r>
    </w:p>
    <w:p>
      <w:pPr>
        <w:spacing w:after="28" w:line="216" w:lineRule="auto"/>
        <w:ind w:left="259"/>
        <w:jc w:val="left"/>
      </w:pPr>
      <w:r>
        <w:rPr>
          <w:rFonts w:ascii="Arial" w:hAnsi="Arial"/>
          <w:color w:val="525252"/>
          <w:sz w:val="13"/>
        </w:rPr>
        <w:t>When outdoors in civilian attire, remove any non-religious headgear with right hand and hold it at the left shoulder, with the hand being over the heart.</w:t>
      </w:r>
    </w:p>
    <w:p>
      <w:pPr>
        <w:spacing w:after="20" w:line="223" w:lineRule="auto"/>
        <w:jc w:val="right"/>
        <w:bidi/>
      </w:pPr>
      <w:r>
        <w:rPr>
          <w:rFonts w:ascii="Arial" w:hAnsi="Arial"/>
          <w:sz w:val="16"/>
        </w:rPr>
        <w:t>528.27  در رویدادهای داخل سالن، پرسنل نظامی با یونیفورم مورد توجه قرار می‌گیرند، سکوت می‌کنند، رو به پرچم هستند، اما سلام نمی‌کنند. با این حال، در رویدادهای داخلی که در آن شرکت کنندگان عمدتا غیرنظامی یا با لباس غیرنظامی هستند، خواندن بیعت برای کسانی که یونیفورم به تن دارند اختیاری است.</w:t>
      </w:r>
    </w:p>
    <w:p>
      <w:pPr>
        <w:spacing w:after="28" w:line="216" w:lineRule="auto"/>
        <w:ind w:left="259"/>
        <w:jc w:val="left"/>
      </w:pPr>
      <w:r>
        <w:rPr>
          <w:rFonts w:ascii="Arial" w:hAnsi="Arial"/>
          <w:color w:val="525252"/>
          <w:sz w:val="13"/>
        </w:rPr>
        <w:t>At indoor events, military personnel in uniform will stand at attention, remain silent, face the flag, but will not salute; however, at indoor events where participants are primarily civilians or in civilian attire, reciting the Pledge of Allegiance is optional for those in uniform.</w:t>
      </w:r>
    </w:p>
    <w:p>
      <w:pPr>
        <w:spacing w:after="20" w:line="223" w:lineRule="auto"/>
        <w:jc w:val="right"/>
        <w:bidi/>
      </w:pPr>
      <w:r>
        <w:rPr>
          <w:rFonts w:ascii="Arial" w:hAnsi="Arial"/>
          <w:sz w:val="16"/>
        </w:rPr>
        <w:t>528.28  هنگامی که در داخل خانه با لباس غیرنظامی هستید، توجه بایستید، رو به پرچم باشید، دست راست خود را روی قلب خود قرار دهید و قول را بخوانید.</w:t>
      </w:r>
    </w:p>
    <w:p>
      <w:pPr>
        <w:spacing w:after="28" w:line="216" w:lineRule="auto"/>
        <w:ind w:left="259"/>
        <w:jc w:val="left"/>
      </w:pPr>
      <w:r>
        <w:rPr>
          <w:rFonts w:ascii="Arial" w:hAnsi="Arial"/>
          <w:color w:val="525252"/>
          <w:sz w:val="13"/>
        </w:rPr>
        <w:t>When indoors in civilian attire, stand at attention, face the flag, place your right hand over your heart, and recite the pledge.</w:t>
      </w:r>
    </w:p>
    <w:p>
      <w:pPr>
        <w:spacing w:before="60" w:after="28"/>
        <w:jc w:val="right"/>
        <w:bidi/>
      </w:pPr>
      <w:r>
        <w:rPr>
          <w:b/>
          <w:color w:val="1F4D78"/>
          <w:sz w:val="18"/>
        </w:rPr>
        <w:t>24.7. مهر و موم DAF</w:t>
      </w:r>
    </w:p>
    <w:p>
      <w:pPr>
        <w:spacing w:after="20"/>
        <w:ind w:left="259"/>
        <w:jc w:val="left"/>
      </w:pPr>
      <w:r>
        <w:rPr>
          <w:color w:val="555555"/>
          <w:sz w:val="12"/>
        </w:rPr>
        <w:t>24.7. DAF Seal</w:t>
      </w:r>
    </w:p>
    <w:p>
      <w:pPr>
        <w:spacing w:after="20" w:line="223" w:lineRule="auto"/>
        <w:jc w:val="right"/>
        <w:bidi/>
      </w:pPr>
      <w:r>
        <w:rPr>
          <w:rFonts w:ascii="Arial" w:hAnsi="Arial"/>
          <w:sz w:val="16"/>
        </w:rPr>
        <w:t>528.30  همانطور که در شکل ۲۴.۱ نشان داده شده است، رنگ‌های رسمی نیروی هوایی آبی فوق‌العاده و زرد نیروی هوایی در مهر و موم DAF منعکس شده‌اند.</w:t>
      </w:r>
    </w:p>
    <w:p>
      <w:pPr>
        <w:spacing w:after="28" w:line="216" w:lineRule="auto"/>
        <w:ind w:left="259"/>
        <w:jc w:val="left"/>
      </w:pPr>
      <w:r>
        <w:rPr>
          <w:rFonts w:ascii="Arial" w:hAnsi="Arial"/>
          <w:color w:val="525252"/>
          <w:sz w:val="13"/>
        </w:rPr>
        <w:t>As shown in Figure 24.1., the official Air Force colors of ultramarine blue and Air Force yellow are reflected in the DAF Seal.</w:t>
      </w:r>
    </w:p>
    <w:p>
      <w:pPr>
        <w:spacing w:after="20" w:line="223" w:lineRule="auto"/>
        <w:jc w:val="right"/>
        <w:bidi/>
      </w:pPr>
      <w:r>
        <w:rPr>
          <w:rFonts w:ascii="Arial" w:hAnsi="Arial"/>
          <w:sz w:val="16"/>
        </w:rPr>
        <w:t>528.31  پس‌زمینه دایره‌ای به رنگ آبی اولترامارین است و تزئینات آن زرد نیروی هوایی است.</w:t>
      </w:r>
    </w:p>
    <w:p>
      <w:pPr>
        <w:spacing w:after="28" w:line="216" w:lineRule="auto"/>
        <w:ind w:left="259"/>
        <w:jc w:val="left"/>
      </w:pPr>
      <w:r>
        <w:rPr>
          <w:rFonts w:ascii="Arial" w:hAnsi="Arial"/>
          <w:color w:val="525252"/>
          <w:sz w:val="13"/>
        </w:rPr>
        <w:t>The circular background is ultramarine blue, and the trim is Air Force yellow.</w:t>
      </w:r>
    </w:p>
    <w:p>
      <w:pPr>
        <w:spacing w:after="20" w:line="223" w:lineRule="auto"/>
        <w:jc w:val="right"/>
        <w:bidi/>
      </w:pPr>
      <w:r>
        <w:rPr>
          <w:rFonts w:ascii="Arial" w:hAnsi="Arial"/>
          <w:sz w:val="16"/>
        </w:rPr>
        <w:t>528.32  ۱۳ ستاره سفید نمایانگر ۱۳ مستعمره اصلی هستند.</w:t>
      </w:r>
    </w:p>
    <w:p>
      <w:pPr>
        <w:spacing w:after="28" w:line="216" w:lineRule="auto"/>
        <w:ind w:left="259"/>
        <w:jc w:val="left"/>
      </w:pPr>
      <w:r>
        <w:rPr>
          <w:rFonts w:ascii="Arial" w:hAnsi="Arial"/>
          <w:color w:val="525252"/>
          <w:sz w:val="13"/>
        </w:rPr>
        <w:t>The 13 white stars represent the original 13 colonies.</w:t>
      </w:r>
    </w:p>
    <w:p>
      <w:pPr>
        <w:spacing w:after="20" w:line="223" w:lineRule="auto"/>
        <w:jc w:val="right"/>
        <w:bidi/>
      </w:pPr>
      <w:r>
        <w:rPr>
          <w:rFonts w:ascii="Arial" w:hAnsi="Arial"/>
          <w:sz w:val="16"/>
        </w:rPr>
        <w:t>528.33  اعداد زرد نیروی هوایی در زیر سپر مربوط به سال ۱۹۴۷، سال تاسیس DAF است.</w:t>
      </w:r>
    </w:p>
    <w:p>
      <w:pPr>
        <w:spacing w:after="28" w:line="216" w:lineRule="auto"/>
        <w:ind w:left="259"/>
        <w:jc w:val="left"/>
      </w:pPr>
      <w:r>
        <w:rPr>
          <w:rFonts w:ascii="Arial" w:hAnsi="Arial"/>
          <w:color w:val="525252"/>
          <w:sz w:val="13"/>
        </w:rPr>
        <w:t>The Air Force yellow numerals under the shield stand for 1947, the year the DAF was established.</w:t>
      </w:r>
    </w:p>
    <w:p>
      <w:pPr>
        <w:spacing w:after="20" w:line="223" w:lineRule="auto"/>
        <w:jc w:val="right"/>
        <w:bidi/>
      </w:pPr>
      <w:r>
        <w:rPr>
          <w:rFonts w:ascii="Arial" w:hAnsi="Arial"/>
          <w:sz w:val="16"/>
        </w:rPr>
        <w:t>528.34  نواری که کل طرح را احاطه کرده است سفید است، لبه‌های آن زرد نیروی هوایی است، با حروف مشکی با خواندن "دپارتمنت وف نیروی هوایی" در بالا و "ونیتد ستاتس وف امریکا" ​​در پایین.</w:t>
      </w:r>
    </w:p>
    <w:p>
      <w:pPr>
        <w:spacing w:after="28" w:line="216" w:lineRule="auto"/>
        <w:ind w:left="259"/>
        <w:jc w:val="left"/>
      </w:pPr>
      <w:r>
        <w:rPr>
          <w:rFonts w:ascii="Arial" w:hAnsi="Arial"/>
          <w:color w:val="525252"/>
          <w:sz w:val="13"/>
        </w:rPr>
        <w:t>The band encircling the whole design is white, edged in Air Force yellow, with black lettering reading “Department of the Air Force” on the top and “United States of America” on the bottom.</w:t>
      </w:r>
    </w:p>
    <w:p>
      <w:pPr>
        <w:spacing w:after="20" w:line="223" w:lineRule="auto"/>
        <w:jc w:val="right"/>
        <w:bidi/>
      </w:pPr>
      <w:r>
        <w:rPr>
          <w:rFonts w:ascii="Arial" w:hAnsi="Arial"/>
          <w:sz w:val="16"/>
        </w:rPr>
        <w:t>528.35  در مرکز پس‌زمینه دایره‌ای است</w:t>
      </w:r>
    </w:p>
    <w:p>
      <w:pPr>
        <w:spacing w:after="28" w:line="216" w:lineRule="auto"/>
        <w:ind w:left="259"/>
        <w:jc w:val="left"/>
      </w:pPr>
      <w:r>
        <w:rPr>
          <w:rFonts w:ascii="Arial" w:hAnsi="Arial"/>
          <w:color w:val="525252"/>
          <w:sz w:val="13"/>
        </w:rPr>
        <w:t>Centered on the circular background is the</w:t>
      </w:r>
    </w:p>
    <w:p>
      <w:r>
        <w:br w:type="page"/>
      </w:r>
    </w:p>
    <w:p>
      <w:pPr>
        <w:spacing w:after="60"/>
        <w:jc w:val="right"/>
        <w:bidi/>
      </w:pPr>
      <w:r>
        <w:rPr>
          <w:rFonts w:ascii="Arial" w:hAnsi="Arial"/>
          <w:b/>
          <w:color w:val="1F4D78"/>
          <w:sz w:val="19"/>
        </w:rPr>
        <w:t>هفتهٔ 529  |  صفحهٔ منبع: 545</w:t>
      </w:r>
    </w:p>
    <w:p>
      <w:pPr>
        <w:spacing w:after="20" w:line="223" w:lineRule="auto"/>
        <w:jc w:val="right"/>
        <w:bidi/>
      </w:pPr>
      <w:r>
        <w:rPr>
          <w:rFonts w:ascii="Arial" w:hAnsi="Arial"/>
          <w:sz w:val="16"/>
        </w:rPr>
        <w:t>529.01  نشان DAF، متشکل از تاج و سپر.</w:t>
      </w:r>
    </w:p>
    <w:p>
      <w:pPr>
        <w:spacing w:after="28" w:line="216" w:lineRule="auto"/>
        <w:ind w:left="259"/>
        <w:jc w:val="left"/>
      </w:pPr>
      <w:r>
        <w:rPr>
          <w:rFonts w:ascii="Arial" w:hAnsi="Arial"/>
          <w:color w:val="525252"/>
          <w:sz w:val="13"/>
        </w:rPr>
        <w:t>DAF Coat of Arms, consisting of the crest and shield.</w:t>
      </w:r>
    </w:p>
    <w:p>
      <w:pPr>
        <w:spacing w:after="20" w:line="223" w:lineRule="auto"/>
        <w:jc w:val="right"/>
        <w:bidi/>
      </w:pPr>
      <w:r>
        <w:rPr>
          <w:rFonts w:ascii="Arial" w:hAnsi="Arial"/>
          <w:sz w:val="16"/>
        </w:rPr>
        <w:t>529.02  نشان - تاج.</w:t>
      </w:r>
    </w:p>
    <w:p>
      <w:pPr>
        <w:spacing w:after="28" w:line="216" w:lineRule="auto"/>
        <w:ind w:left="259"/>
        <w:jc w:val="left"/>
      </w:pPr>
      <w:r>
        <w:rPr>
          <w:rFonts w:ascii="Arial" w:hAnsi="Arial"/>
          <w:color w:val="525252"/>
          <w:sz w:val="13"/>
        </w:rPr>
        <w:t>Coat of Arms - Crest.</w:t>
      </w:r>
    </w:p>
    <w:p>
      <w:pPr>
        <w:spacing w:after="20" w:line="223" w:lineRule="auto"/>
        <w:jc w:val="right"/>
        <w:bidi/>
      </w:pPr>
      <w:r>
        <w:rPr>
          <w:rFonts w:ascii="Arial" w:hAnsi="Arial"/>
          <w:sz w:val="16"/>
        </w:rPr>
        <w:t>529.03  قسمت تاج نشان از شکل عقاب، تاج گل و ابر تشکیل شده است.</w:t>
      </w:r>
    </w:p>
    <w:p>
      <w:pPr>
        <w:spacing w:after="28" w:line="216" w:lineRule="auto"/>
        <w:ind w:left="259"/>
        <w:jc w:val="left"/>
      </w:pPr>
      <w:r>
        <w:rPr>
          <w:rFonts w:ascii="Arial" w:hAnsi="Arial"/>
          <w:color w:val="525252"/>
          <w:sz w:val="13"/>
        </w:rPr>
        <w:t>The crest portion of the Coat of Arms consists of the eagle, wreath, and cloud form.</w:t>
      </w:r>
    </w:p>
    <w:p>
      <w:pPr>
        <w:spacing w:after="20" w:line="223" w:lineRule="auto"/>
        <w:jc w:val="right"/>
        <w:bidi/>
      </w:pPr>
      <w:r>
        <w:rPr>
          <w:rFonts w:ascii="Arial" w:hAnsi="Arial"/>
          <w:sz w:val="16"/>
        </w:rPr>
        <w:t>529.04  عقاب طاس آمریکایی نماد نیروی هوایی ایالات متحده است و در رنگ‌های طبیعی ظاهر می‌شود.</w:t>
      </w:r>
    </w:p>
    <w:p>
      <w:pPr>
        <w:spacing w:after="28" w:line="216" w:lineRule="auto"/>
        <w:ind w:left="259"/>
        <w:jc w:val="left"/>
      </w:pPr>
      <w:r>
        <w:rPr>
          <w:rFonts w:ascii="Arial" w:hAnsi="Arial"/>
          <w:color w:val="525252"/>
          <w:sz w:val="13"/>
        </w:rPr>
        <w:t>The American bald eagle symbolizes the United States airpower and appears in natural colors.</w:t>
      </w:r>
    </w:p>
    <w:p>
      <w:pPr>
        <w:spacing w:after="20" w:line="223" w:lineRule="auto"/>
        <w:jc w:val="right"/>
        <w:bidi/>
      </w:pPr>
      <w:r>
        <w:rPr>
          <w:rFonts w:ascii="Arial" w:hAnsi="Arial"/>
          <w:sz w:val="16"/>
        </w:rPr>
        <w:t>529.05  تاج گل زیر عقاب از شش چین فلزی متناوب به رنگ سفید (نقره‌ای) و آبی روشن تشکیل شده است.</w:t>
      </w:r>
    </w:p>
    <w:p>
      <w:pPr>
        <w:spacing w:after="28" w:line="216" w:lineRule="auto"/>
        <w:ind w:left="259"/>
        <w:jc w:val="left"/>
      </w:pPr>
      <w:r>
        <w:rPr>
          <w:rFonts w:ascii="Arial" w:hAnsi="Arial"/>
          <w:color w:val="525252"/>
          <w:sz w:val="13"/>
        </w:rPr>
        <w:t>The wreath under the eagle is made up of six alternate folds of metal in white (representing silver) and light blue.</w:t>
      </w:r>
    </w:p>
    <w:p>
      <w:pPr>
        <w:spacing w:after="20" w:line="223" w:lineRule="auto"/>
        <w:jc w:val="right"/>
        <w:bidi/>
      </w:pPr>
      <w:r>
        <w:rPr>
          <w:rFonts w:ascii="Arial" w:hAnsi="Arial"/>
          <w:sz w:val="16"/>
        </w:rPr>
        <w:t>529.06  این فلز و رنگ استفاده شده در سپر را تکرار می‌کند.</w:t>
      </w:r>
    </w:p>
    <w:p>
      <w:pPr>
        <w:spacing w:after="28" w:line="216" w:lineRule="auto"/>
        <w:ind w:left="259"/>
        <w:jc w:val="left"/>
      </w:pPr>
      <w:r>
        <w:rPr>
          <w:rFonts w:ascii="Arial" w:hAnsi="Arial"/>
          <w:color w:val="525252"/>
          <w:sz w:val="13"/>
        </w:rPr>
        <w:t>This repeats the metal and color used in the shield.</w:t>
      </w:r>
    </w:p>
    <w:p>
      <w:pPr>
        <w:spacing w:after="20" w:line="223" w:lineRule="auto"/>
        <w:jc w:val="right"/>
        <w:bidi/>
      </w:pPr>
      <w:r>
        <w:rPr>
          <w:rFonts w:ascii="Arial" w:hAnsi="Arial"/>
          <w:sz w:val="16"/>
        </w:rPr>
        <w:t>529.07  ابرهای سفید پشت عقاب، شروع یک آسمان جدید را نشان می‌دهند.</w:t>
      </w:r>
    </w:p>
    <w:p>
      <w:pPr>
        <w:spacing w:after="28" w:line="216" w:lineRule="auto"/>
        <w:ind w:left="259"/>
        <w:jc w:val="left"/>
      </w:pPr>
      <w:r>
        <w:rPr>
          <w:rFonts w:ascii="Arial" w:hAnsi="Arial"/>
          <w:color w:val="525252"/>
          <w:sz w:val="13"/>
        </w:rPr>
        <w:t>The white clouds behind the eagle denote the start of a new sky.</w:t>
      </w:r>
    </w:p>
    <w:p>
      <w:pPr>
        <w:spacing w:after="20" w:line="223" w:lineRule="auto"/>
        <w:jc w:val="right"/>
        <w:bidi/>
      </w:pPr>
      <w:r>
        <w:rPr>
          <w:rFonts w:ascii="Arial" w:hAnsi="Arial"/>
          <w:sz w:val="16"/>
        </w:rPr>
        <w:t>529.08  نشان - سپر.</w:t>
      </w:r>
    </w:p>
    <w:p>
      <w:pPr>
        <w:spacing w:after="28" w:line="216" w:lineRule="auto"/>
        <w:ind w:left="259"/>
        <w:jc w:val="left"/>
      </w:pPr>
      <w:r>
        <w:rPr>
          <w:rFonts w:ascii="Arial" w:hAnsi="Arial"/>
          <w:color w:val="525252"/>
          <w:sz w:val="13"/>
        </w:rPr>
        <w:t>Coat of Arms - Shield.</w:t>
      </w:r>
    </w:p>
    <w:p>
      <w:pPr>
        <w:spacing w:after="20" w:line="223" w:lineRule="auto"/>
        <w:jc w:val="right"/>
        <w:bidi/>
      </w:pPr>
      <w:r>
        <w:rPr>
          <w:rFonts w:ascii="Arial" w:hAnsi="Arial"/>
          <w:sz w:val="16"/>
        </w:rPr>
        <w:t>529.09  قسمت سپر نشان، مستقیما زیر عقاب، تاج گل و ابر، تقسیم شده است.</w:t>
      </w:r>
    </w:p>
    <w:p>
      <w:pPr>
        <w:spacing w:after="28" w:line="216" w:lineRule="auto"/>
        <w:ind w:left="259"/>
        <w:jc w:val="left"/>
      </w:pPr>
      <w:r>
        <w:rPr>
          <w:rFonts w:ascii="Arial" w:hAnsi="Arial"/>
          <w:color w:val="525252"/>
          <w:sz w:val="13"/>
        </w:rPr>
        <w:t>The shield portion of the Coat of Arms, directly below the eagle, wreath, and cloud, is divided</w:t>
      </w:r>
    </w:p>
    <w:p>
      <w:pPr>
        <w:spacing w:before="60" w:after="28"/>
        <w:jc w:val="right"/>
        <w:bidi/>
      </w:pPr>
      <w:r>
        <w:rPr>
          <w:b/>
          <w:color w:val="1F4D78"/>
          <w:sz w:val="18"/>
        </w:rPr>
        <w:t>شکل 24.1. مهر و موم DAF</w:t>
      </w:r>
    </w:p>
    <w:p>
      <w:pPr>
        <w:spacing w:after="20"/>
        <w:ind w:left="259"/>
        <w:jc w:val="left"/>
      </w:pPr>
      <w:r>
        <w:rPr>
          <w:color w:val="555555"/>
          <w:sz w:val="12"/>
        </w:rPr>
        <w:t>Figure 24.1. DAF Seal</w:t>
      </w:r>
    </w:p>
    <w:p>
      <w:pPr>
        <w:spacing w:after="20" w:line="223" w:lineRule="auto"/>
        <w:jc w:val="right"/>
        <w:bidi/>
      </w:pPr>
      <w:r>
        <w:rPr>
          <w:rFonts w:ascii="Arial" w:hAnsi="Arial"/>
          <w:sz w:val="16"/>
        </w:rPr>
        <w:t>529.11  به صورت افقی به دو قسمت توسط یک خط سحابی که ابرها را نشان می‌دهد.</w:t>
      </w:r>
    </w:p>
    <w:p>
      <w:pPr>
        <w:spacing w:after="28" w:line="216" w:lineRule="auto"/>
        <w:ind w:left="259"/>
        <w:jc w:val="left"/>
      </w:pPr>
      <w:r>
        <w:rPr>
          <w:rFonts w:ascii="Arial" w:hAnsi="Arial"/>
          <w:color w:val="525252"/>
          <w:sz w:val="13"/>
        </w:rPr>
        <w:t>horizontally into two parts by a nebular line representing clouds.</w:t>
      </w:r>
    </w:p>
    <w:p>
      <w:pPr>
        <w:spacing w:after="20" w:line="223" w:lineRule="auto"/>
        <w:jc w:val="right"/>
        <w:bidi/>
      </w:pPr>
      <w:r>
        <w:rPr>
          <w:rFonts w:ascii="Arial" w:hAnsi="Arial"/>
          <w:sz w:val="16"/>
        </w:rPr>
        <w:t>529.12  قسمت بالایی دارای یک صاعقه زرد نیروی هوایی با شعله‌های آتش به رنگ طبیعی است که با استفاده از هوافضا قدرت چشمگیری را نشان می‌دهد.</w:t>
      </w:r>
    </w:p>
    <w:p>
      <w:pPr>
        <w:spacing w:after="28" w:line="216" w:lineRule="auto"/>
        <w:ind w:left="259"/>
        <w:jc w:val="left"/>
      </w:pPr>
      <w:r>
        <w:rPr>
          <w:rFonts w:ascii="Arial" w:hAnsi="Arial"/>
          <w:color w:val="525252"/>
          <w:sz w:val="13"/>
        </w:rPr>
        <w:t>The top part bears an Air Force yellow thunderbolt with flames in natural color that shows striking power through the use of aerospace.</w:t>
      </w:r>
    </w:p>
    <w:p>
      <w:pPr>
        <w:spacing w:after="20" w:line="223" w:lineRule="auto"/>
        <w:jc w:val="right"/>
        <w:bidi/>
      </w:pPr>
      <w:r>
        <w:rPr>
          <w:rFonts w:ascii="Arial" w:hAnsi="Arial"/>
          <w:sz w:val="16"/>
        </w:rPr>
        <w:t>529.13  صاعقه شامل یک پیچ عمودی زرد نیروی هوایی با سه شعله رنگ طبیعی در هر انتهای آن است که از یک جفت بال افقی با هشت رعد و برق عبور می‌کند.</w:t>
      </w:r>
    </w:p>
    <w:p>
      <w:pPr>
        <w:spacing w:after="28" w:line="216" w:lineRule="auto"/>
        <w:ind w:left="259"/>
        <w:jc w:val="left"/>
      </w:pPr>
      <w:r>
        <w:rPr>
          <w:rFonts w:ascii="Arial" w:hAnsi="Arial"/>
          <w:color w:val="525252"/>
          <w:sz w:val="13"/>
        </w:rPr>
        <w:t>The thunderbolt consists of an Air Force yellow vertical twist with three natural color flames on each end crossing a pair of horizontal wings with eight lightning bolts.</w:t>
      </w:r>
    </w:p>
    <w:p>
      <w:pPr>
        <w:spacing w:after="20" w:line="223" w:lineRule="auto"/>
        <w:jc w:val="right"/>
        <w:bidi/>
      </w:pPr>
      <w:r>
        <w:rPr>
          <w:rFonts w:ascii="Arial" w:hAnsi="Arial"/>
          <w:sz w:val="16"/>
        </w:rPr>
        <w:t>529.14  پس‌زمینه بالای سپر آبی روشن است که نمایانگر آسمان است.</w:t>
      </w:r>
    </w:p>
    <w:p>
      <w:pPr>
        <w:spacing w:after="28" w:line="216" w:lineRule="auto"/>
        <w:ind w:left="259"/>
        <w:jc w:val="left"/>
      </w:pPr>
      <w:r>
        <w:rPr>
          <w:rFonts w:ascii="Arial" w:hAnsi="Arial"/>
          <w:color w:val="525252"/>
          <w:sz w:val="13"/>
        </w:rPr>
        <w:t>The background at the top of the shield is light blue representing the sky.</w:t>
      </w:r>
    </w:p>
    <w:p>
      <w:pPr>
        <w:spacing w:after="20" w:line="223" w:lineRule="auto"/>
        <w:jc w:val="right"/>
        <w:bidi/>
      </w:pPr>
      <w:r>
        <w:rPr>
          <w:rFonts w:ascii="Arial" w:hAnsi="Arial"/>
          <w:sz w:val="16"/>
        </w:rPr>
        <w:t>529.15  زمینه در قسمت پایین سفید است که نمایانگر نقره فلزی است.</w:t>
      </w:r>
    </w:p>
    <w:p>
      <w:pPr>
        <w:spacing w:after="28" w:line="216" w:lineRule="auto"/>
        <w:ind w:left="259"/>
        <w:jc w:val="left"/>
      </w:pPr>
      <w:r>
        <w:rPr>
          <w:rFonts w:ascii="Arial" w:hAnsi="Arial"/>
          <w:color w:val="525252"/>
          <w:sz w:val="13"/>
        </w:rPr>
        <w:t>The background at the lower part is white representing metal silver.</w:t>
      </w:r>
    </w:p>
    <w:p>
      <w:pPr>
        <w:spacing w:after="20" w:line="223" w:lineRule="auto"/>
        <w:jc w:val="right"/>
        <w:bidi/>
      </w:pPr>
      <w:r>
        <w:rPr>
          <w:rFonts w:ascii="Arial" w:hAnsi="Arial"/>
          <w:sz w:val="16"/>
        </w:rPr>
        <w:t>529.16  استفاده مجاز و غیرمجاز از مهر و نشان DAF.</w:t>
      </w:r>
    </w:p>
    <w:p>
      <w:pPr>
        <w:spacing w:after="28" w:line="216" w:lineRule="auto"/>
        <w:ind w:left="259"/>
        <w:jc w:val="left"/>
      </w:pPr>
      <w:r>
        <w:rPr>
          <w:rFonts w:ascii="Arial" w:hAnsi="Arial"/>
          <w:color w:val="525252"/>
          <w:sz w:val="13"/>
        </w:rPr>
        <w:t>Authorized and Unauthorized Uses of the DAF Seal and Coat of Arms.</w:t>
      </w:r>
    </w:p>
    <w:p>
      <w:pPr>
        <w:spacing w:after="20" w:line="223" w:lineRule="auto"/>
        <w:jc w:val="right"/>
        <w:bidi/>
      </w:pPr>
      <w:r>
        <w:rPr>
          <w:rFonts w:ascii="Arial" w:hAnsi="Arial"/>
          <w:sz w:val="16"/>
        </w:rPr>
        <w:t>529.17  مهر و موم DAF باید در برابر استفاده غیرمجاز محافظت شود.</w:t>
      </w:r>
    </w:p>
    <w:p>
      <w:pPr>
        <w:spacing w:after="28" w:line="216" w:lineRule="auto"/>
        <w:ind w:left="259"/>
        <w:jc w:val="left"/>
      </w:pPr>
      <w:r>
        <w:rPr>
          <w:rFonts w:ascii="Arial" w:hAnsi="Arial"/>
          <w:color w:val="525252"/>
          <w:sz w:val="13"/>
        </w:rPr>
        <w:t>The DAF Seal is to be protected from unauthorized use.</w:t>
      </w:r>
    </w:p>
    <w:p>
      <w:pPr>
        <w:spacing w:after="20" w:line="223" w:lineRule="auto"/>
        <w:jc w:val="right"/>
        <w:bidi/>
      </w:pPr>
      <w:r>
        <w:rPr>
          <w:rFonts w:ascii="Arial" w:hAnsi="Arial"/>
          <w:sz w:val="16"/>
        </w:rPr>
        <w:t>529.18  ساختن، جعل، جعل، مثله کردن، تغییر یا استفاده آگاهانه یا داشتن مهر با قصد متقلبانه، موجب مجازات قانونی است.</w:t>
      </w:r>
    </w:p>
    <w:p>
      <w:pPr>
        <w:spacing w:after="28" w:line="216" w:lineRule="auto"/>
        <w:ind w:left="259"/>
        <w:jc w:val="left"/>
      </w:pPr>
      <w:r>
        <w:rPr>
          <w:rFonts w:ascii="Arial" w:hAnsi="Arial"/>
          <w:color w:val="525252"/>
          <w:sz w:val="13"/>
        </w:rPr>
        <w:t>Falsely making, forging, counterfeiting, mutilating, altering, or knowingly using or possessing the Seal with fraudulent intent, is punishable by law.</w:t>
      </w:r>
    </w:p>
    <w:p>
      <w:pPr>
        <w:spacing w:after="20" w:line="223" w:lineRule="auto"/>
        <w:jc w:val="right"/>
        <w:bidi/>
      </w:pPr>
      <w:r>
        <w:rPr>
          <w:rFonts w:ascii="Arial" w:hAnsi="Arial"/>
          <w:sz w:val="16"/>
        </w:rPr>
        <w:t>529.19  AFMAN ۳۳-۳۲۶، آماده‌سازی ارتباطات رسمی، پیوست ۲، به تشریح کاربران مجاز و استفاده از مهر و نشان DAF می‌پردازد.</w:t>
      </w:r>
    </w:p>
    <w:p>
      <w:pPr>
        <w:spacing w:after="28" w:line="216" w:lineRule="auto"/>
        <w:ind w:left="259"/>
        <w:jc w:val="left"/>
      </w:pPr>
      <w:r>
        <w:rPr>
          <w:rFonts w:ascii="Arial" w:hAnsi="Arial"/>
          <w:color w:val="525252"/>
          <w:sz w:val="13"/>
        </w:rPr>
        <w:t>AFMAN 33- 326, Preparing Official Communications, Attachment 2, outlines the authorized users and uses of the DAF Seal and the Coat of Arms.</w:t>
      </w:r>
    </w:p>
    <w:p>
      <w:pPr>
        <w:spacing w:before="60" w:after="28"/>
        <w:jc w:val="right"/>
        <w:bidi/>
      </w:pPr>
      <w:r>
        <w:rPr>
          <w:b/>
          <w:color w:val="1F4D78"/>
          <w:sz w:val="18"/>
        </w:rPr>
        <w:t>24.8. نماد رسمی نیروی هوایی</w:t>
      </w:r>
    </w:p>
    <w:p>
      <w:pPr>
        <w:spacing w:after="20"/>
        <w:ind w:left="259"/>
        <w:jc w:val="left"/>
      </w:pPr>
      <w:r>
        <w:rPr>
          <w:color w:val="555555"/>
          <w:sz w:val="12"/>
        </w:rPr>
        <w:t>24.8. Official Air Force Symbol</w:t>
      </w:r>
    </w:p>
    <w:p>
      <w:pPr>
        <w:spacing w:after="20" w:line="223" w:lineRule="auto"/>
        <w:jc w:val="right"/>
        <w:bidi/>
      </w:pPr>
      <w:r>
        <w:rPr>
          <w:rFonts w:ascii="Arial" w:hAnsi="Arial"/>
          <w:sz w:val="16"/>
        </w:rPr>
        <w:t>529.21  نماد نیروی هوایی، همانطور که در شکل ۲۴.۲ نشان داده شده است، در ۵ می‌۲۰۰۴ به‌عنوان نماد رسمی USAF تعیین شد.</w:t>
      </w:r>
    </w:p>
    <w:p>
      <w:pPr>
        <w:spacing w:after="28" w:line="216" w:lineRule="auto"/>
        <w:ind w:left="259"/>
        <w:jc w:val="left"/>
      </w:pPr>
      <w:r>
        <w:rPr>
          <w:rFonts w:ascii="Arial" w:hAnsi="Arial"/>
          <w:color w:val="525252"/>
          <w:sz w:val="13"/>
        </w:rPr>
        <w:t>The Air Force Symbol, as shown in Figure 24.2., was designated the official symbol of the USAF on 5 May 2004.</w:t>
      </w:r>
    </w:p>
    <w:p>
      <w:pPr>
        <w:spacing w:after="20" w:line="223" w:lineRule="auto"/>
        <w:jc w:val="right"/>
        <w:bidi/>
      </w:pPr>
      <w:r>
        <w:rPr>
          <w:rFonts w:ascii="Arial" w:hAnsi="Arial"/>
          <w:sz w:val="16"/>
        </w:rPr>
        <w:t>529.22  نیمه بالایی شامل بال‌های سبک‌شده است، که نشان‌دهنده راه‌راه‌های قدرت ما است - مردان و زنان سرباز ما.</w:t>
      </w:r>
    </w:p>
    <w:p>
      <w:pPr>
        <w:spacing w:after="28" w:line="216" w:lineRule="auto"/>
        <w:ind w:left="259"/>
        <w:jc w:val="left"/>
      </w:pPr>
      <w:r>
        <w:rPr>
          <w:rFonts w:ascii="Arial" w:hAnsi="Arial"/>
          <w:color w:val="525252"/>
          <w:sz w:val="13"/>
        </w:rPr>
        <w:t>The upper half includes the stylized wings, which represent the stripes of our strength—our enlisted men and women.</w:t>
      </w:r>
    </w:p>
    <w:p>
      <w:pPr>
        <w:spacing w:after="20" w:line="223" w:lineRule="auto"/>
        <w:jc w:val="right"/>
        <w:bidi/>
      </w:pPr>
      <w:r>
        <w:rPr>
          <w:rFonts w:ascii="Arial" w:hAnsi="Arial"/>
          <w:sz w:val="16"/>
        </w:rPr>
        <w:t>529.23  در زیر بال‌های سبک، نیمه پایینی شامل یک کره، یک ستاره و سه الماس است.</w:t>
      </w:r>
    </w:p>
    <w:p>
      <w:pPr>
        <w:spacing w:after="28" w:line="216" w:lineRule="auto"/>
        <w:ind w:left="259"/>
        <w:jc w:val="left"/>
      </w:pPr>
      <w:r>
        <w:rPr>
          <w:rFonts w:ascii="Arial" w:hAnsi="Arial"/>
          <w:color w:val="525252"/>
          <w:sz w:val="13"/>
        </w:rPr>
        <w:t>Below the stylized wings, the lower half includes a sphere, a star, and three diamonds.</w:t>
      </w:r>
    </w:p>
    <w:p>
      <w:pPr>
        <w:spacing w:after="20" w:line="223" w:lineRule="auto"/>
        <w:jc w:val="right"/>
        <w:bidi/>
      </w:pPr>
      <w:r>
        <w:rPr>
          <w:rFonts w:ascii="Arial" w:hAnsi="Arial"/>
          <w:sz w:val="16"/>
        </w:rPr>
        <w:t>529.24  نماد نیروی هوایی به میراث گذشته ما احترام می‌گذارد و نشان دهنده وعده آینده ما است.</w:t>
      </w:r>
    </w:p>
    <w:p>
      <w:pPr>
        <w:spacing w:after="28" w:line="216" w:lineRule="auto"/>
        <w:ind w:left="259"/>
        <w:jc w:val="left"/>
      </w:pPr>
      <w:r>
        <w:rPr>
          <w:rFonts w:ascii="Arial" w:hAnsi="Arial"/>
          <w:color w:val="525252"/>
          <w:sz w:val="13"/>
        </w:rPr>
        <w:t>The Air Force Symbol honors the heritage of our past and represents the promise of our future.</w:t>
      </w:r>
    </w:p>
    <w:p>
      <w:pPr>
        <w:spacing w:after="20" w:line="223" w:lineRule="auto"/>
        <w:jc w:val="right"/>
        <w:bidi/>
      </w:pPr>
      <w:r>
        <w:rPr>
          <w:rFonts w:ascii="Arial" w:hAnsi="Arial"/>
          <w:sz w:val="16"/>
        </w:rPr>
        <w:t>529.25  علاوه بر این، عناصر اصلی میراث نیروی هوایی ما را با توجه به بال‌های خمیده به سمت بالا، به جای بال‌های مستقیم "آرنولد" و ستاره‌ای با شکل ۲۴.۲ حفظ می‌کند.</w:t>
      </w:r>
    </w:p>
    <w:p>
      <w:pPr>
        <w:spacing w:after="28" w:line="216" w:lineRule="auto"/>
        <w:ind w:left="259"/>
        <w:jc w:val="left"/>
      </w:pPr>
      <w:r>
        <w:rPr>
          <w:rFonts w:ascii="Arial" w:hAnsi="Arial"/>
          <w:color w:val="525252"/>
          <w:sz w:val="13"/>
        </w:rPr>
        <w:t>Furthermore, it retains the core elements of our Air Corps heritage with respect to the bent up, rather than straight “Arnold” wings, and a star with the Figure 24.2.</w:t>
      </w:r>
    </w:p>
    <w:p>
      <w:pPr>
        <w:spacing w:after="20" w:line="223" w:lineRule="auto"/>
        <w:jc w:val="right"/>
        <w:bidi/>
      </w:pPr>
      <w:r>
        <w:rPr>
          <w:rFonts w:ascii="Arial" w:hAnsi="Arial"/>
          <w:sz w:val="16"/>
        </w:rPr>
        <w:t>529.26  دایره نماد نیروی هوایی.</w:t>
      </w:r>
    </w:p>
    <w:p>
      <w:pPr>
        <w:spacing w:after="28" w:line="216" w:lineRule="auto"/>
        <w:ind w:left="259"/>
        <w:jc w:val="left"/>
      </w:pPr>
      <w:r>
        <w:rPr>
          <w:rFonts w:ascii="Arial" w:hAnsi="Arial"/>
          <w:color w:val="525252"/>
          <w:sz w:val="13"/>
        </w:rPr>
        <w:t>Air Force Symbol circle.</w:t>
      </w:r>
    </w:p>
    <w:p>
      <w:pPr>
        <w:spacing w:after="20" w:line="223" w:lineRule="auto"/>
        <w:jc w:val="right"/>
        <w:bidi/>
      </w:pPr>
      <w:r>
        <w:rPr>
          <w:rFonts w:ascii="Arial" w:hAnsi="Arial"/>
          <w:sz w:val="16"/>
        </w:rPr>
        <w:t>529.27  نماد فعلی این عناصر اصلی را مدرن می‌کند تا نیروی هوایی امروز و فردای ما را منعکس کند.</w:t>
      </w:r>
    </w:p>
    <w:p>
      <w:pPr>
        <w:spacing w:after="28" w:line="216" w:lineRule="auto"/>
        <w:ind w:left="259"/>
        <w:jc w:val="left"/>
      </w:pPr>
      <w:r>
        <w:rPr>
          <w:rFonts w:ascii="Arial" w:hAnsi="Arial"/>
          <w:color w:val="525252"/>
          <w:sz w:val="13"/>
        </w:rPr>
        <w:t>The current Symbol modernizes these core elements to reflect our Air Force of today and tomorrow.</w:t>
      </w:r>
    </w:p>
    <w:p>
      <w:pPr>
        <w:spacing w:after="20" w:line="223" w:lineRule="auto"/>
        <w:jc w:val="right"/>
        <w:bidi/>
      </w:pPr>
      <w:r>
        <w:rPr>
          <w:rFonts w:ascii="Arial" w:hAnsi="Arial"/>
          <w:sz w:val="16"/>
        </w:rPr>
        <w:t>529.28  همه عناصر گرد هم می‌آیند تا یک نماد را تشکیل دهند که دو تصویر قدرتمند را ارائه می‌دهد - یک عقاب، نشان ملت ما، و یک مدال، که نشان دهنده شجاعت در خدمت به ملت ما است.</w:t>
      </w:r>
    </w:p>
    <w:p>
      <w:pPr>
        <w:spacing w:after="28" w:line="216" w:lineRule="auto"/>
        <w:ind w:left="259"/>
        <w:jc w:val="left"/>
      </w:pPr>
      <w:r>
        <w:rPr>
          <w:rFonts w:ascii="Arial" w:hAnsi="Arial"/>
          <w:color w:val="525252"/>
          <w:sz w:val="13"/>
        </w:rPr>
        <w:t>All of the elements come together to form one symbol that presents two powerful images—an eagle, the emblem of our nation, and a medal, representing valor in service to our nation.</w:t>
      </w:r>
    </w:p>
    <w:p>
      <w:pPr>
        <w:spacing w:after="20" w:line="223" w:lineRule="auto"/>
        <w:jc w:val="right"/>
        <w:bidi/>
      </w:pPr>
      <w:r>
        <w:rPr>
          <w:rFonts w:ascii="Arial" w:hAnsi="Arial"/>
          <w:sz w:val="16"/>
        </w:rPr>
        <w:t>529.29  بال‌های سبک.</w:t>
      </w:r>
    </w:p>
    <w:p>
      <w:pPr>
        <w:spacing w:after="28" w:line="216" w:lineRule="auto"/>
        <w:ind w:left="259"/>
        <w:jc w:val="left"/>
      </w:pPr>
      <w:r>
        <w:rPr>
          <w:rFonts w:ascii="Arial" w:hAnsi="Arial"/>
          <w:color w:val="525252"/>
          <w:sz w:val="13"/>
        </w:rPr>
        <w:t>Stylized Wings.</w:t>
      </w:r>
    </w:p>
    <w:p>
      <w:pPr>
        <w:spacing w:after="20" w:line="223" w:lineRule="auto"/>
        <w:jc w:val="right"/>
        <w:bidi/>
      </w:pPr>
      <w:r>
        <w:rPr>
          <w:rFonts w:ascii="Arial" w:hAnsi="Arial"/>
          <w:sz w:val="16"/>
        </w:rPr>
        <w:t>529.30  بال‌ها با زاویه‌ای زیاد کشیده شده‌اند تا بر سرعت و قدرت ما تأکید کنند.</w:t>
      </w:r>
    </w:p>
    <w:p>
      <w:pPr>
        <w:spacing w:after="28" w:line="216" w:lineRule="auto"/>
        <w:ind w:left="259"/>
        <w:jc w:val="left"/>
      </w:pPr>
      <w:r>
        <w:rPr>
          <w:rFonts w:ascii="Arial" w:hAnsi="Arial"/>
          <w:color w:val="525252"/>
          <w:sz w:val="13"/>
        </w:rPr>
        <w:t>The wings are drawn with great angularity to emphasize our swiftness and power.</w:t>
      </w:r>
    </w:p>
    <w:p>
      <w:pPr>
        <w:spacing w:after="20" w:line="223" w:lineRule="auto"/>
        <w:jc w:val="right"/>
        <w:bidi/>
      </w:pPr>
      <w:r>
        <w:rPr>
          <w:rFonts w:ascii="Arial" w:hAnsi="Arial"/>
          <w:sz w:val="16"/>
        </w:rPr>
        <w:t>529.31  شش بخش بال‌ها نشان دهنده قابلیت‌های متمایز ما هستند - برتری هوایی و فضایی، حمله جهانی، تحرک سریع جهانی، درگیری دقیق، برتری اطلاعاتی، و پشتیبانی رزمی چابک.</w:t>
      </w:r>
    </w:p>
    <w:p>
      <w:pPr>
        <w:spacing w:after="28" w:line="216" w:lineRule="auto"/>
        <w:ind w:left="259"/>
        <w:jc w:val="left"/>
      </w:pPr>
      <w:r>
        <w:rPr>
          <w:rFonts w:ascii="Arial" w:hAnsi="Arial"/>
          <w:color w:val="525252"/>
          <w:sz w:val="13"/>
        </w:rPr>
        <w:t>The six sections of the wings represent our distinctive capabilities—air and space superiority, global attack, rapid global mobility, precision engagement, information superiority, and agile combat support.</w:t>
      </w:r>
    </w:p>
    <w:p>
      <w:pPr>
        <w:spacing w:after="20" w:line="223" w:lineRule="auto"/>
        <w:jc w:val="right"/>
        <w:bidi/>
      </w:pPr>
      <w:r>
        <w:rPr>
          <w:rFonts w:ascii="Arial" w:hAnsi="Arial"/>
          <w:sz w:val="16"/>
        </w:rPr>
        <w:t>529.32  کره.</w:t>
      </w:r>
    </w:p>
    <w:p>
      <w:pPr>
        <w:spacing w:after="28" w:line="216" w:lineRule="auto"/>
        <w:ind w:left="259"/>
        <w:jc w:val="left"/>
      </w:pPr>
      <w:r>
        <w:rPr>
          <w:rFonts w:ascii="Arial" w:hAnsi="Arial"/>
          <w:color w:val="525252"/>
          <w:sz w:val="13"/>
        </w:rPr>
        <w:t>Sphere.</w:t>
      </w:r>
    </w:p>
    <w:p>
      <w:pPr>
        <w:spacing w:after="20" w:line="223" w:lineRule="auto"/>
        <w:jc w:val="right"/>
        <w:bidi/>
      </w:pPr>
      <w:r>
        <w:rPr>
          <w:rFonts w:ascii="Arial" w:hAnsi="Arial"/>
          <w:sz w:val="16"/>
        </w:rPr>
        <w:t>529.33  کره درون ستاره نمایانگر کره زمین است و به‌طور نمادین به ما یادآوری تعهد ما برای تضمین آزادی کشورمان با هوشیاری، دسترسی و قدرت جهانی است.</w:t>
      </w:r>
    </w:p>
    <w:p>
      <w:pPr>
        <w:spacing w:after="28" w:line="216" w:lineRule="auto"/>
        <w:ind w:left="259"/>
        <w:jc w:val="left"/>
      </w:pPr>
      <w:r>
        <w:rPr>
          <w:rFonts w:ascii="Arial" w:hAnsi="Arial"/>
          <w:color w:val="525252"/>
          <w:sz w:val="13"/>
        </w:rPr>
        <w:t>The sphere within the star represents the globe and symbolically reminds us of our obligation to secure our nation’s freedom with global vigilance, reach, and power.</w:t>
      </w:r>
    </w:p>
    <w:p>
      <w:pPr>
        <w:spacing w:after="20" w:line="223" w:lineRule="auto"/>
        <w:jc w:val="right"/>
        <w:bidi/>
      </w:pPr>
      <w:r>
        <w:rPr>
          <w:rFonts w:ascii="Arial" w:hAnsi="Arial"/>
          <w:sz w:val="16"/>
        </w:rPr>
        <w:t>529.34  این کره همچنین چالش ما را به‌عنوان یک نیروی اعزامی برای واکنش سریع به بحران‌ها و ارائه نیروی هوایی و فضایی تعیین کننده در سراسر جهان به ما یادآوری می‌کند.</w:t>
      </w:r>
    </w:p>
    <w:p>
      <w:pPr>
        <w:spacing w:after="28" w:line="216" w:lineRule="auto"/>
        <w:ind w:left="259"/>
        <w:jc w:val="left"/>
      </w:pPr>
      <w:r>
        <w:rPr>
          <w:rFonts w:ascii="Arial" w:hAnsi="Arial"/>
          <w:color w:val="525252"/>
          <w:sz w:val="13"/>
        </w:rPr>
        <w:t>The sphere also reminds us of our challenge as an expeditionary force to respond rapidly to crises and to provide decisive air and space power worldwide.</w:t>
      </w:r>
    </w:p>
    <w:p>
      <w:pPr>
        <w:spacing w:after="20" w:line="223" w:lineRule="auto"/>
        <w:jc w:val="right"/>
        <w:bidi/>
      </w:pPr>
      <w:r>
        <w:rPr>
          <w:rFonts w:ascii="Arial" w:hAnsi="Arial"/>
          <w:sz w:val="16"/>
        </w:rPr>
        <w:t>529.35  ستاره.</w:t>
      </w:r>
    </w:p>
    <w:p>
      <w:pPr>
        <w:spacing w:after="28" w:line="216" w:lineRule="auto"/>
        <w:ind w:left="259"/>
        <w:jc w:val="left"/>
      </w:pPr>
      <w:r>
        <w:rPr>
          <w:rFonts w:ascii="Arial" w:hAnsi="Arial"/>
          <w:color w:val="525252"/>
          <w:sz w:val="13"/>
        </w:rPr>
        <w:t>Star.</w:t>
      </w:r>
    </w:p>
    <w:p>
      <w:pPr>
        <w:spacing w:after="20" w:line="223" w:lineRule="auto"/>
        <w:jc w:val="right"/>
        <w:bidi/>
      </w:pPr>
      <w:r>
        <w:rPr>
          <w:rFonts w:ascii="Arial" w:hAnsi="Arial"/>
          <w:sz w:val="16"/>
        </w:rPr>
        <w:t>529.36  ناحیه احاطه کننده کره به شکل یک ستاره است.</w:t>
      </w:r>
    </w:p>
    <w:p>
      <w:pPr>
        <w:spacing w:after="28" w:line="216" w:lineRule="auto"/>
        <w:ind w:left="259"/>
        <w:jc w:val="left"/>
      </w:pPr>
      <w:r>
        <w:rPr>
          <w:rFonts w:ascii="Arial" w:hAnsi="Arial"/>
          <w:color w:val="525252"/>
          <w:sz w:val="13"/>
        </w:rPr>
        <w:t>The area surrounding the sphere takes the shape of a star.</w:t>
      </w:r>
    </w:p>
    <w:p>
      <w:pPr>
        <w:spacing w:after="20" w:line="223" w:lineRule="auto"/>
        <w:jc w:val="right"/>
        <w:bidi/>
      </w:pPr>
      <w:r>
        <w:rPr>
          <w:rFonts w:ascii="Arial" w:hAnsi="Arial"/>
          <w:sz w:val="16"/>
        </w:rPr>
        <w:t>529.37  ستاره معانی زیادی دارد.</w:t>
      </w:r>
    </w:p>
    <w:p>
      <w:pPr>
        <w:spacing w:after="28" w:line="216" w:lineRule="auto"/>
        <w:ind w:left="259"/>
        <w:jc w:val="left"/>
      </w:pPr>
      <w:r>
        <w:rPr>
          <w:rFonts w:ascii="Arial" w:hAnsi="Arial"/>
          <w:color w:val="525252"/>
          <w:sz w:val="13"/>
        </w:rPr>
        <w:t>The star has many meanings.</w:t>
      </w:r>
    </w:p>
    <w:p>
      <w:pPr>
        <w:spacing w:after="20" w:line="223" w:lineRule="auto"/>
        <w:jc w:val="right"/>
        <w:bidi/>
      </w:pPr>
      <w:r>
        <w:rPr>
          <w:rFonts w:ascii="Arial" w:hAnsi="Arial"/>
          <w:sz w:val="16"/>
        </w:rPr>
        <w:t>529.38  پنج نقطه ستاره نمایانگر اجزای یک نیرو و خانواده ما است - رگاف ما، غیرنظامیان،</w:t>
      </w:r>
    </w:p>
    <w:p>
      <w:pPr>
        <w:spacing w:after="28" w:line="216" w:lineRule="auto"/>
        <w:ind w:left="259"/>
        <w:jc w:val="left"/>
      </w:pPr>
      <w:r>
        <w:rPr>
          <w:rFonts w:ascii="Arial" w:hAnsi="Arial"/>
          <w:color w:val="525252"/>
          <w:sz w:val="13"/>
        </w:rPr>
        <w:t>The five points of the star represent the components of our one force and family—our RegAF, civilians,</w:t>
      </w:r>
    </w:p>
    <w:p>
      <w:r>
        <w:br w:type="page"/>
      </w:r>
    </w:p>
    <w:p>
      <w:pPr>
        <w:spacing w:after="60"/>
        <w:jc w:val="right"/>
        <w:bidi/>
      </w:pPr>
      <w:r>
        <w:rPr>
          <w:rFonts w:ascii="Arial" w:hAnsi="Arial"/>
          <w:b/>
          <w:color w:val="1F4D78"/>
          <w:sz w:val="19"/>
        </w:rPr>
        <w:t>هفتهٔ 530  |  صفحهٔ منبع: 546</w:t>
      </w:r>
    </w:p>
    <w:p>
      <w:pPr>
        <w:spacing w:after="20" w:line="223" w:lineRule="auto"/>
        <w:jc w:val="right"/>
        <w:bidi/>
      </w:pPr>
      <w:r>
        <w:rPr>
          <w:rFonts w:ascii="Arial" w:hAnsi="Arial"/>
          <w:sz w:val="16"/>
        </w:rPr>
        <w:t>530.01  نگهبان، ذخیره، و بازنشستگان.</w:t>
      </w:r>
    </w:p>
    <w:p>
      <w:pPr>
        <w:spacing w:after="28" w:line="216" w:lineRule="auto"/>
        <w:ind w:left="259"/>
        <w:jc w:val="left"/>
      </w:pPr>
      <w:r>
        <w:rPr>
          <w:rFonts w:ascii="Arial" w:hAnsi="Arial"/>
          <w:color w:val="525252"/>
          <w:sz w:val="13"/>
        </w:rPr>
        <w:t>Guard, Reserve, and retirees.</w:t>
      </w:r>
    </w:p>
    <w:p>
      <w:pPr>
        <w:spacing w:after="20" w:line="223" w:lineRule="auto"/>
        <w:jc w:val="right"/>
        <w:bidi/>
      </w:pPr>
      <w:r>
        <w:rPr>
          <w:rFonts w:ascii="Arial" w:hAnsi="Arial"/>
          <w:sz w:val="16"/>
        </w:rPr>
        <w:t>530.02  این ستاره نماد فضا به‌عنوان ارتفاعات نیروی هوایی کشورمان است.</w:t>
      </w:r>
    </w:p>
    <w:p>
      <w:pPr>
        <w:spacing w:after="28" w:line="216" w:lineRule="auto"/>
        <w:ind w:left="259"/>
        <w:jc w:val="left"/>
      </w:pPr>
      <w:r>
        <w:rPr>
          <w:rFonts w:ascii="Arial" w:hAnsi="Arial"/>
          <w:color w:val="525252"/>
          <w:sz w:val="13"/>
        </w:rPr>
        <w:t>The star symbolizes space as the high ground of our nation’s Air Force.</w:t>
      </w:r>
    </w:p>
    <w:p>
      <w:pPr>
        <w:spacing w:after="20" w:line="223" w:lineRule="auto"/>
        <w:jc w:val="right"/>
        <w:bidi/>
      </w:pPr>
      <w:r>
        <w:rPr>
          <w:rFonts w:ascii="Arial" w:hAnsi="Arial"/>
          <w:sz w:val="16"/>
        </w:rPr>
        <w:t>530.03  نماد تظاهرات در همه جنگ‌های ما، این ستاره همچنین نشان‌دهنده ارتش افسران ما است که مرکز رهبری رزمی ما است.</w:t>
      </w:r>
    </w:p>
    <w:p>
      <w:pPr>
        <w:spacing w:after="28" w:line="216" w:lineRule="auto"/>
        <w:ind w:left="259"/>
        <w:jc w:val="left"/>
      </w:pPr>
      <w:r>
        <w:rPr>
          <w:rFonts w:ascii="Arial" w:hAnsi="Arial"/>
          <w:color w:val="525252"/>
          <w:sz w:val="13"/>
        </w:rPr>
        <w:t>The rallying symbol in all our wars, the star also represents our officer corps, central to our combat leadership.</w:t>
      </w:r>
    </w:p>
    <w:p>
      <w:pPr>
        <w:spacing w:after="20" w:line="223" w:lineRule="auto"/>
        <w:jc w:val="right"/>
        <w:bidi/>
      </w:pPr>
      <w:r>
        <w:rPr>
          <w:rFonts w:ascii="Arial" w:hAnsi="Arial"/>
          <w:sz w:val="16"/>
        </w:rPr>
        <w:t>530.04  سه الماس.</w:t>
      </w:r>
    </w:p>
    <w:p>
      <w:pPr>
        <w:spacing w:after="28" w:line="216" w:lineRule="auto"/>
        <w:ind w:left="259"/>
        <w:jc w:val="left"/>
      </w:pPr>
      <w:r>
        <w:rPr>
          <w:rFonts w:ascii="Arial" w:hAnsi="Arial"/>
          <w:color w:val="525252"/>
          <w:sz w:val="13"/>
        </w:rPr>
        <w:t>Three Diamonds.</w:t>
      </w:r>
    </w:p>
    <w:p>
      <w:pPr>
        <w:spacing w:after="20" w:line="223" w:lineRule="auto"/>
        <w:jc w:val="right"/>
        <w:bidi/>
      </w:pPr>
      <w:r>
        <w:rPr>
          <w:rFonts w:ascii="Arial" w:hAnsi="Arial"/>
          <w:sz w:val="16"/>
        </w:rPr>
        <w:t>530.05  این ستاره با سه الماس قاب شده است که ارزش‌های اصلی ما را نشان می‌دهد - اول یکپارچگی، خدمات قبل از خود، و برتری در همه کارهای ما.</w:t>
      </w:r>
    </w:p>
    <w:p>
      <w:pPr>
        <w:spacing w:after="28" w:line="216" w:lineRule="auto"/>
        <w:ind w:left="259"/>
        <w:jc w:val="left"/>
      </w:pPr>
      <w:r>
        <w:rPr>
          <w:rFonts w:ascii="Arial" w:hAnsi="Arial"/>
          <w:color w:val="525252"/>
          <w:sz w:val="13"/>
        </w:rPr>
        <w:t>The star is framed with three diamonds that represent our core values—Integrity First, Service Before Self, and Excellence In All We Do.</w:t>
      </w:r>
    </w:p>
    <w:p>
      <w:pPr>
        <w:spacing w:after="20" w:line="223" w:lineRule="auto"/>
        <w:jc w:val="right"/>
        <w:bidi/>
      </w:pPr>
      <w:r>
        <w:rPr>
          <w:rFonts w:ascii="Arial" w:hAnsi="Arial"/>
          <w:sz w:val="16"/>
        </w:rPr>
        <w:t>530.06  استفاده مجاز و غیرمجاز از نماد نیروی هوایی.</w:t>
      </w:r>
    </w:p>
    <w:p>
      <w:pPr>
        <w:spacing w:after="28" w:line="216" w:lineRule="auto"/>
        <w:ind w:left="259"/>
        <w:jc w:val="left"/>
      </w:pPr>
      <w:r>
        <w:rPr>
          <w:rFonts w:ascii="Arial" w:hAnsi="Arial"/>
          <w:color w:val="525252"/>
          <w:sz w:val="13"/>
        </w:rPr>
        <w:t>Authorized and Unauthorized Uses of the Air Force Symbol.</w:t>
      </w:r>
    </w:p>
    <w:p>
      <w:pPr>
        <w:spacing w:after="20" w:line="223" w:lineRule="auto"/>
        <w:jc w:val="right"/>
        <w:bidi/>
      </w:pPr>
      <w:r>
        <w:rPr>
          <w:rFonts w:ascii="Arial" w:hAnsi="Arial"/>
          <w:sz w:val="16"/>
        </w:rPr>
        <w:t>530.07  نماد نیروی هوایی یک علامت تجاری ثبت شده است و باید در برابر استفاده غیرمجاز یا تغییرات در نسخه‌های تأیید شده محافظت شود.</w:t>
      </w:r>
    </w:p>
    <w:p>
      <w:pPr>
        <w:spacing w:after="28" w:line="216" w:lineRule="auto"/>
        <w:ind w:left="259"/>
        <w:jc w:val="left"/>
      </w:pPr>
      <w:r>
        <w:rPr>
          <w:rFonts w:ascii="Arial" w:hAnsi="Arial"/>
          <w:color w:val="525252"/>
          <w:sz w:val="13"/>
        </w:rPr>
        <w:t>The Air Force Symbol is a registered trademark and must be protected against unauthorized use or alterations to approved versions.</w:t>
      </w:r>
    </w:p>
    <w:p>
      <w:pPr>
        <w:spacing w:after="20" w:line="223" w:lineRule="auto"/>
        <w:jc w:val="right"/>
        <w:bidi/>
      </w:pPr>
      <w:r>
        <w:rPr>
          <w:rFonts w:ascii="Arial" w:hAnsi="Arial"/>
          <w:sz w:val="16"/>
        </w:rPr>
        <w:t>530.08  نسخه‌های تأیید شده نماد برای دانلود در پورتال USAF، در برگه کتابخانه و منابع موجود است.</w:t>
      </w:r>
    </w:p>
    <w:p>
      <w:pPr>
        <w:spacing w:after="28" w:line="216" w:lineRule="auto"/>
        <w:ind w:left="259"/>
        <w:jc w:val="left"/>
      </w:pPr>
      <w:r>
        <w:rPr>
          <w:rFonts w:ascii="Arial" w:hAnsi="Arial"/>
          <w:color w:val="525252"/>
          <w:sz w:val="13"/>
        </w:rPr>
        <w:t>Approved versions of the Symbol are available for download on the USAF Portal, under the library and resources tab.</w:t>
      </w:r>
    </w:p>
    <w:p>
      <w:pPr>
        <w:spacing w:after="20" w:line="223" w:lineRule="auto"/>
        <w:jc w:val="right"/>
        <w:bidi/>
      </w:pPr>
      <w:r>
        <w:rPr>
          <w:rFonts w:ascii="Arial" w:hAnsi="Arial"/>
          <w:sz w:val="16"/>
        </w:rPr>
        <w:t>530.09  دستورالعمل‌های استفاده و نمایش صحیح نماد را می‌توانید در دودی۵۵۳۵.۱۲_DAFI۳۵-۱۱۴، برنامه مجوز نام تجاری و علامت تجاری نیروی هوایی، ۳ فوریه ۲۰۲۱ پیدا کنید. در راهنمای وزارت دفاع، اطلاعات و دستورالعمل‌های مهم درباره استفاده از مهرها، آرم ها، نشان‌ها و مدال‌های خدمات وزارت دفاع؛ و در پایگاه اینترنتی مدیریت مالکیت معنوی نیروی هوایی و فضایی (https://www.trademark.af.mil/).</w:t>
      </w:r>
    </w:p>
    <w:p>
      <w:pPr>
        <w:spacing w:after="28" w:line="216" w:lineRule="auto"/>
        <w:ind w:left="259"/>
        <w:jc w:val="left"/>
      </w:pPr>
      <w:r>
        <w:rPr>
          <w:rFonts w:ascii="Arial" w:hAnsi="Arial"/>
          <w:color w:val="525252"/>
          <w:sz w:val="13"/>
        </w:rPr>
        <w:t>Instructions for the proper use and display of the Symbol can be found in DoDI5535.12_DAFI35-114, Air Force Branding and Trademark Licensing Program, 3 February 2021; in the DoD Guide, Important Information and Guidelines About the Use of Department of Defense Seals, Logos, Insignia, and Service Medals; and at the Air Force and Space Force Intellectual Property Management website (https://www.trademark.af.mil/).</w:t>
      </w:r>
    </w:p>
    <w:p>
      <w:pPr>
        <w:spacing w:after="20" w:line="223" w:lineRule="auto"/>
        <w:jc w:val="right"/>
        <w:bidi/>
      </w:pPr>
      <w:r>
        <w:rPr>
          <w:rFonts w:ascii="Arial" w:hAnsi="Arial"/>
          <w:sz w:val="16"/>
        </w:rPr>
        <w:t>530.10  برای جزئیات بیشتر در مورد استفاده و نمایش نماد نیروی هوایی به این مراجع مراجعه کنید.</w:t>
      </w:r>
    </w:p>
    <w:p>
      <w:pPr>
        <w:spacing w:after="28" w:line="216" w:lineRule="auto"/>
        <w:ind w:left="259"/>
        <w:jc w:val="left"/>
      </w:pPr>
      <w:r>
        <w:rPr>
          <w:rFonts w:ascii="Arial" w:hAnsi="Arial"/>
          <w:color w:val="525252"/>
          <w:sz w:val="13"/>
        </w:rPr>
        <w:t>Refer to these references for details regarding the use and display of the Air Force Symbol.</w:t>
      </w:r>
    </w:p>
    <w:p>
      <w:pPr>
        <w:spacing w:before="60" w:after="28"/>
        <w:jc w:val="right"/>
        <w:bidi/>
      </w:pPr>
      <w:r>
        <w:rPr>
          <w:b/>
          <w:color w:val="1F4D78"/>
          <w:sz w:val="18"/>
        </w:rPr>
        <w:t>24.9. آهنگ نیروی هوایی</w:t>
      </w:r>
    </w:p>
    <w:p>
      <w:pPr>
        <w:spacing w:after="20"/>
        <w:ind w:left="259"/>
        <w:jc w:val="left"/>
      </w:pPr>
      <w:r>
        <w:rPr>
          <w:color w:val="555555"/>
          <w:sz w:val="12"/>
        </w:rPr>
        <w:t>24.9. The Air Force Song</w:t>
      </w:r>
    </w:p>
    <w:p>
      <w:pPr>
        <w:spacing w:after="20" w:line="223" w:lineRule="auto"/>
        <w:jc w:val="right"/>
        <w:bidi/>
      </w:pPr>
      <w:r>
        <w:rPr>
          <w:rFonts w:ascii="Arial" w:hAnsi="Arial"/>
          <w:sz w:val="16"/>
        </w:rPr>
        <w:t>530.12  در اواخر دهه ۱۹۳۰، نیروی هوایی به دنبال آهنگی رسمی بود تا هویت منحصر به فرد خود را منعکس کند.</w:t>
      </w:r>
    </w:p>
    <w:p>
      <w:pPr>
        <w:spacing w:after="28" w:line="216" w:lineRule="auto"/>
        <w:ind w:left="259"/>
        <w:jc w:val="left"/>
      </w:pPr>
      <w:r>
        <w:rPr>
          <w:rFonts w:ascii="Arial" w:hAnsi="Arial"/>
          <w:color w:val="525252"/>
          <w:sz w:val="13"/>
        </w:rPr>
        <w:t>In the late 1930’s, the Air Corps sought an official song to reflect its unique identity.</w:t>
      </w:r>
    </w:p>
    <w:p>
      <w:pPr>
        <w:spacing w:after="20" w:line="223" w:lineRule="auto"/>
        <w:jc w:val="right"/>
        <w:bidi/>
      </w:pPr>
      <w:r>
        <w:rPr>
          <w:rFonts w:ascii="Arial" w:hAnsi="Arial"/>
          <w:sz w:val="16"/>
        </w:rPr>
        <w:t>530.13  پس از بررسی بیش از ۷۰۰ آهنگ، آهنگ مربی موسیقی رابرت کرافورد به اتفاق آرا برنده شد.</w:t>
      </w:r>
    </w:p>
    <w:p>
      <w:pPr>
        <w:spacing w:after="28" w:line="216" w:lineRule="auto"/>
        <w:ind w:left="259"/>
        <w:jc w:val="left"/>
      </w:pPr>
      <w:r>
        <w:rPr>
          <w:rFonts w:ascii="Arial" w:hAnsi="Arial"/>
          <w:color w:val="525252"/>
          <w:sz w:val="13"/>
        </w:rPr>
        <w:t>After reviewing over 700 compositions, music instructor Robert Crawford’s song was a unanimous winner.</w:t>
      </w:r>
    </w:p>
    <w:p>
      <w:pPr>
        <w:spacing w:after="20" w:line="223" w:lineRule="auto"/>
        <w:jc w:val="right"/>
        <w:bidi/>
      </w:pPr>
      <w:r>
        <w:rPr>
          <w:rFonts w:ascii="Arial" w:hAnsi="Arial"/>
          <w:sz w:val="16"/>
        </w:rPr>
        <w:t>530.14  گروه ارتش ایالات متحده اولین ضبط این آهنگ را در سال ۱۹۳۹ با عنوان نیروی هوایی ایالات متحده انجام داد.</w:t>
      </w:r>
    </w:p>
    <w:p>
      <w:pPr>
        <w:spacing w:after="28" w:line="216" w:lineRule="auto"/>
        <w:ind w:left="259"/>
        <w:jc w:val="left"/>
      </w:pPr>
      <w:r>
        <w:rPr>
          <w:rFonts w:ascii="Arial" w:hAnsi="Arial"/>
          <w:color w:val="525252"/>
          <w:sz w:val="13"/>
        </w:rPr>
        <w:t>The U.S. Army band made the first recordings of the song in 1939, titled The U.S. Air Force.</w:t>
      </w:r>
    </w:p>
    <w:p>
      <w:pPr>
        <w:spacing w:after="20" w:line="223" w:lineRule="auto"/>
        <w:jc w:val="right"/>
        <w:bidi/>
      </w:pPr>
      <w:r>
        <w:rPr>
          <w:rFonts w:ascii="Arial" w:hAnsi="Arial"/>
          <w:sz w:val="16"/>
        </w:rPr>
        <w:t>530.15  طبق DAFI ۹۰-۱۲۰۲ هنگامی که آهنگ نیروی هوایی پخش می‌شود، نیروهای هوایی مورد توجه قرار می‌گیرند، اما مجاز به خواندن متن آهنگ هستند.</w:t>
      </w:r>
    </w:p>
    <w:p>
      <w:pPr>
        <w:spacing w:after="28" w:line="216" w:lineRule="auto"/>
        <w:ind w:left="259"/>
        <w:jc w:val="left"/>
      </w:pPr>
      <w:r>
        <w:rPr>
          <w:rFonts w:ascii="Arial" w:hAnsi="Arial"/>
          <w:color w:val="525252"/>
          <w:sz w:val="13"/>
        </w:rPr>
        <w:t>According to DAFI 90-1202 when the Air Force song is played, Airmen will stand at attention, but are allowed to sing the lyrics of the song.</w:t>
      </w:r>
    </w:p>
    <w:p>
      <w:pPr>
        <w:spacing w:after="20" w:line="223" w:lineRule="auto"/>
        <w:jc w:val="right"/>
        <w:bidi/>
      </w:pPr>
      <w:r>
        <w:rPr>
          <w:rFonts w:ascii="Arial" w:hAnsi="Arial"/>
          <w:sz w:val="16"/>
        </w:rPr>
        <w:t>530.16  در طول رویدادهای رسمی، مهمانی رسمی ممکن است پس از پخش بیت اول حرکت کند.</w:t>
      </w:r>
    </w:p>
    <w:p>
      <w:pPr>
        <w:spacing w:after="28" w:line="216" w:lineRule="auto"/>
        <w:ind w:left="259"/>
        <w:jc w:val="left"/>
      </w:pPr>
      <w:r>
        <w:rPr>
          <w:rFonts w:ascii="Arial" w:hAnsi="Arial"/>
          <w:color w:val="525252"/>
          <w:sz w:val="13"/>
        </w:rPr>
        <w:t>During official events, the official party may move to depart after the playing of the first verse.</w:t>
      </w:r>
    </w:p>
    <w:p>
      <w:pPr>
        <w:spacing w:after="20" w:line="223" w:lineRule="auto"/>
        <w:jc w:val="right"/>
        <w:bidi/>
      </w:pPr>
      <w:r>
        <w:rPr>
          <w:rFonts w:ascii="Arial" w:hAnsi="Arial"/>
          <w:sz w:val="16"/>
        </w:rPr>
        <w:t>530.17  برای هر چهار بیت آهنگ به پیوست ۸، اشعار نیروی هوایی ایالات متحده مراجعه کنید.</w:t>
      </w:r>
    </w:p>
    <w:p>
      <w:pPr>
        <w:spacing w:after="28" w:line="216" w:lineRule="auto"/>
        <w:ind w:left="259"/>
        <w:jc w:val="left"/>
      </w:pPr>
      <w:r>
        <w:rPr>
          <w:rFonts w:ascii="Arial" w:hAnsi="Arial"/>
          <w:color w:val="525252"/>
          <w:sz w:val="13"/>
        </w:rPr>
        <w:t>See Attachment 8, The U.S. Air Force lyrics, for all four verses of song.</w:t>
      </w:r>
    </w:p>
    <w:p>
      <w:r>
        <w:br w:type="page"/>
      </w:r>
    </w:p>
    <w:p>
      <w:pPr>
        <w:spacing w:after="60"/>
        <w:jc w:val="right"/>
        <w:bidi/>
      </w:pPr>
      <w:r>
        <w:rPr>
          <w:rFonts w:ascii="Arial" w:hAnsi="Arial"/>
          <w:b/>
          <w:color w:val="1F4D78"/>
          <w:sz w:val="19"/>
        </w:rPr>
        <w:t>هفتهٔ 531  |  صفحهٔ منبع: 547</w:t>
      </w:r>
    </w:p>
    <w:p>
      <w:pPr>
        <w:spacing w:before="60" w:after="28"/>
        <w:jc w:val="right"/>
        <w:bidi/>
      </w:pPr>
      <w:r>
        <w:rPr>
          <w:b/>
          <w:color w:val="1F4D78"/>
          <w:sz w:val="18"/>
        </w:rPr>
        <w:t>بخش 24B-احترام به پرچم</w:t>
      </w:r>
    </w:p>
    <w:p>
      <w:pPr>
        <w:spacing w:after="20"/>
        <w:ind w:left="259"/>
        <w:jc w:val="left"/>
      </w:pPr>
      <w:r>
        <w:rPr>
          <w:color w:val="555555"/>
          <w:sz w:val="12"/>
        </w:rPr>
        <w:t>Section 24B—Respect for the Flag</w:t>
      </w:r>
    </w:p>
    <w:p>
      <w:pPr>
        <w:spacing w:before="60" w:after="28"/>
        <w:jc w:val="right"/>
        <w:bidi/>
      </w:pPr>
      <w:r>
        <w:rPr>
          <w:b/>
          <w:color w:val="1F4D78"/>
          <w:sz w:val="18"/>
        </w:rPr>
        <w:t>24.10. نشان دادن احترام به پرچم</w:t>
      </w:r>
    </w:p>
    <w:p>
      <w:pPr>
        <w:spacing w:after="20"/>
        <w:ind w:left="259"/>
        <w:jc w:val="left"/>
      </w:pPr>
      <w:r>
        <w:rPr>
          <w:color w:val="555555"/>
          <w:sz w:val="12"/>
        </w:rPr>
        <w:t>24.10. Showing Respect for the Flag</w:t>
      </w:r>
    </w:p>
    <w:p>
      <w:pPr>
        <w:spacing w:after="20" w:line="223" w:lineRule="auto"/>
        <w:jc w:val="right"/>
        <w:bidi/>
      </w:pPr>
      <w:r>
        <w:rPr>
          <w:rFonts w:ascii="Arial" w:hAnsi="Arial"/>
          <w:sz w:val="16"/>
        </w:rPr>
        <w:t>531.03  پرچم ایالات متحده یکی از ماندگارترین و مقدس‌ترین نمادهای کشور ما است.</w:t>
      </w:r>
    </w:p>
    <w:p>
      <w:pPr>
        <w:spacing w:after="28" w:line="216" w:lineRule="auto"/>
        <w:ind w:left="259"/>
        <w:jc w:val="left"/>
      </w:pPr>
      <w:r>
        <w:rPr>
          <w:rFonts w:ascii="Arial" w:hAnsi="Arial"/>
          <w:color w:val="525252"/>
          <w:sz w:val="13"/>
        </w:rPr>
        <w:t>The United States flag is one of the most enduring and sacred symbols of our country.</w:t>
      </w:r>
    </w:p>
    <w:p>
      <w:pPr>
        <w:spacing w:after="20" w:line="223" w:lineRule="auto"/>
        <w:jc w:val="right"/>
        <w:bidi/>
      </w:pPr>
      <w:r>
        <w:rPr>
          <w:rFonts w:ascii="Arial" w:hAnsi="Arial"/>
          <w:sz w:val="16"/>
        </w:rPr>
        <w:t>531.04  بیانگر اصول و آرمان‌هایی است که هوانوردان متعهد به دفاع از آن‌ها شده‌اند و بسیاری برای آنها فداکاری نهایی کرده‌اند.</w:t>
      </w:r>
    </w:p>
    <w:p>
      <w:pPr>
        <w:spacing w:after="28" w:line="216" w:lineRule="auto"/>
        <w:ind w:left="259"/>
        <w:jc w:val="left"/>
      </w:pPr>
      <w:r>
        <w:rPr>
          <w:rFonts w:ascii="Arial" w:hAnsi="Arial"/>
          <w:color w:val="525252"/>
          <w:sz w:val="13"/>
        </w:rPr>
        <w:t>It represents the principles and ideals Airmen have pledged to defend, and for which many have made the ultimate sacrifice.</w:t>
      </w:r>
    </w:p>
    <w:p>
      <w:pPr>
        <w:spacing w:after="20" w:line="223" w:lineRule="auto"/>
        <w:jc w:val="right"/>
        <w:bidi/>
      </w:pPr>
      <w:r>
        <w:rPr>
          <w:rFonts w:ascii="Arial" w:hAnsi="Arial"/>
          <w:sz w:val="16"/>
        </w:rPr>
        <w:t>531.05  هوانوردان باید با آن رفتاری مشابه با بالاترین مقامات نظامی و عمومی نشان دهند.</w:t>
      </w:r>
    </w:p>
    <w:p>
      <w:pPr>
        <w:spacing w:after="28" w:line="216" w:lineRule="auto"/>
        <w:ind w:left="259"/>
        <w:jc w:val="left"/>
      </w:pPr>
      <w:r>
        <w:rPr>
          <w:rFonts w:ascii="Arial" w:hAnsi="Arial"/>
          <w:color w:val="525252"/>
          <w:sz w:val="13"/>
        </w:rPr>
        <w:t>Airmen shall treat it with respect similar to that shown to the highest military and public officials.</w:t>
      </w:r>
    </w:p>
    <w:p>
      <w:pPr>
        <w:spacing w:after="20" w:line="223" w:lineRule="auto"/>
        <w:jc w:val="right"/>
        <w:bidi/>
      </w:pPr>
      <w:r>
        <w:rPr>
          <w:rFonts w:ascii="Arial" w:hAnsi="Arial"/>
          <w:sz w:val="16"/>
        </w:rPr>
        <w:t>531.06  چندین قانون، رویه و سنت با پرچم مرتبط است.</w:t>
      </w:r>
    </w:p>
    <w:p>
      <w:pPr>
        <w:spacing w:after="28" w:line="216" w:lineRule="auto"/>
        <w:ind w:left="259"/>
        <w:jc w:val="left"/>
      </w:pPr>
      <w:r>
        <w:rPr>
          <w:rFonts w:ascii="Arial" w:hAnsi="Arial"/>
          <w:color w:val="525252"/>
          <w:sz w:val="13"/>
        </w:rPr>
        <w:t>Several laws, practices, and traditions are associated with the flag.</w:t>
      </w:r>
    </w:p>
    <w:p>
      <w:pPr>
        <w:spacing w:after="20" w:line="223" w:lineRule="auto"/>
        <w:jc w:val="right"/>
        <w:bidi/>
      </w:pPr>
      <w:r>
        <w:rPr>
          <w:rFonts w:ascii="Arial" w:hAnsi="Arial"/>
          <w:sz w:val="16"/>
        </w:rPr>
        <w:t>531.07  عنوان ۴ کد ایالات متحده، پرچم و مهر، مقر دولت، و ایالات. عنوان ۱۰ کد ایالات متحده، نیروهای مسلح؛ و عنوان ۳۶ کد ایالات متحده، مراسم میهنی و ملی، تشریفات و سازمانها، مربوط به نمایش مناسب و احترام به پرچم است.</w:t>
      </w:r>
    </w:p>
    <w:p>
      <w:pPr>
        <w:spacing w:after="28" w:line="216" w:lineRule="auto"/>
        <w:ind w:left="259"/>
        <w:jc w:val="left"/>
      </w:pPr>
      <w:r>
        <w:rPr>
          <w:rFonts w:ascii="Arial" w:hAnsi="Arial"/>
          <w:color w:val="525252"/>
          <w:sz w:val="13"/>
        </w:rPr>
        <w:t>The Title 4 United States Code, Flag and Seal, Seat of Government, and the States; Title 10 United States Code, Armed Forces; and Title 36 United States Code, Patriotic and National Observances, Ceremonies, and Organizations, pertain to proper display and respect for the flag.</w:t>
      </w:r>
    </w:p>
    <w:p>
      <w:pPr>
        <w:spacing w:before="60" w:after="28"/>
        <w:jc w:val="right"/>
        <w:bidi/>
      </w:pPr>
      <w:r>
        <w:rPr>
          <w:b/>
          <w:color w:val="1F4D78"/>
          <w:sz w:val="18"/>
        </w:rPr>
        <w:t>24.11. تاریخچه پرچم ایالات متحده</w:t>
      </w:r>
    </w:p>
    <w:p>
      <w:pPr>
        <w:spacing w:after="20"/>
        <w:ind w:left="259"/>
        <w:jc w:val="left"/>
      </w:pPr>
      <w:r>
        <w:rPr>
          <w:color w:val="555555"/>
          <w:sz w:val="12"/>
        </w:rPr>
        <w:t>24.11. History of United States Flag</w:t>
      </w:r>
    </w:p>
    <w:p>
      <w:pPr>
        <w:spacing w:after="20" w:line="223" w:lineRule="auto"/>
        <w:jc w:val="right"/>
        <w:bidi/>
      </w:pPr>
      <w:r>
        <w:rPr>
          <w:rFonts w:ascii="Arial" w:hAnsi="Arial"/>
          <w:sz w:val="16"/>
        </w:rPr>
        <w:t>531.09  هیچ معنای رسمی برای چین‌های پرچم وجود ندارد و طبق DAFI ۹۰-۱۲۰۲ هیچ اسکریپت رسمی تاشو پرچم وجود ندارد.</w:t>
      </w:r>
    </w:p>
    <w:p>
      <w:pPr>
        <w:spacing w:after="28" w:line="216" w:lineRule="auto"/>
        <w:ind w:left="259"/>
        <w:jc w:val="left"/>
      </w:pPr>
      <w:r>
        <w:rPr>
          <w:rFonts w:ascii="Arial" w:hAnsi="Arial"/>
          <w:color w:val="525252"/>
          <w:sz w:val="13"/>
        </w:rPr>
        <w:t>There is no official meaning for the folds of the flag, and according to DAFI 90-1202 there is no official flag folding script.</w:t>
      </w:r>
    </w:p>
    <w:p>
      <w:pPr>
        <w:spacing w:after="20" w:line="223" w:lineRule="auto"/>
        <w:jc w:val="right"/>
        <w:bidi/>
      </w:pPr>
      <w:r>
        <w:rPr>
          <w:rFonts w:ascii="Arial" w:hAnsi="Arial"/>
          <w:sz w:val="16"/>
        </w:rPr>
        <w:t>531.10  اگرچه گروه‌های مختلف منافع ملی مراسم تا کردن پرچم برگزار می‌کنند، اما رسمی نیستند.</w:t>
      </w:r>
    </w:p>
    <w:p>
      <w:pPr>
        <w:spacing w:after="28" w:line="216" w:lineRule="auto"/>
        <w:ind w:left="259"/>
        <w:jc w:val="left"/>
      </w:pPr>
      <w:r>
        <w:rPr>
          <w:rFonts w:ascii="Arial" w:hAnsi="Arial"/>
          <w:color w:val="525252"/>
          <w:sz w:val="13"/>
        </w:rPr>
        <w:t>Although various national interest groups hold flag folding ceremonies, they are not official.</w:t>
      </w:r>
    </w:p>
    <w:p>
      <w:pPr>
        <w:spacing w:after="20" w:line="223" w:lineRule="auto"/>
        <w:jc w:val="right"/>
        <w:bidi/>
      </w:pPr>
      <w:r>
        <w:rPr>
          <w:rFonts w:ascii="Arial" w:hAnsi="Arial"/>
          <w:sz w:val="16"/>
        </w:rPr>
        <w:t>531.11  یک روایت در شکل ۲۴.۳ ارائه شده است. برای برجسته کردن اطلاعات تاریخی مهم در مورد پرچم ایالات متحده.</w:t>
      </w:r>
    </w:p>
    <w:p>
      <w:pPr>
        <w:spacing w:after="28" w:line="216" w:lineRule="auto"/>
        <w:ind w:left="259"/>
        <w:jc w:val="left"/>
      </w:pPr>
      <w:r>
        <w:rPr>
          <w:rFonts w:ascii="Arial" w:hAnsi="Arial"/>
          <w:color w:val="525252"/>
          <w:sz w:val="13"/>
        </w:rPr>
        <w:t>A narrative is provided in Figure 24.3. to highlight significant historical information regarding the United States flag.</w:t>
      </w:r>
    </w:p>
    <w:p>
      <w:pPr>
        <w:spacing w:after="20" w:line="223" w:lineRule="auto"/>
        <w:jc w:val="right"/>
        <w:bidi/>
      </w:pPr>
      <w:r>
        <w:rPr>
          <w:rFonts w:ascii="Arial" w:hAnsi="Arial"/>
          <w:sz w:val="16"/>
        </w:rPr>
        <w:t>531.12  برای استفاده رسمی تشریفاتی نیست.</w:t>
      </w:r>
    </w:p>
    <w:p>
      <w:pPr>
        <w:spacing w:after="28" w:line="216" w:lineRule="auto"/>
        <w:ind w:left="259"/>
        <w:jc w:val="left"/>
      </w:pPr>
      <w:r>
        <w:rPr>
          <w:rFonts w:ascii="Arial" w:hAnsi="Arial"/>
          <w:color w:val="525252"/>
          <w:sz w:val="13"/>
        </w:rPr>
        <w:t>It is not for official ceremonial use.</w:t>
      </w:r>
    </w:p>
    <w:p>
      <w:pPr>
        <w:spacing w:after="20" w:line="223" w:lineRule="auto"/>
        <w:jc w:val="right"/>
        <w:bidi/>
      </w:pPr>
      <w:r>
        <w:rPr>
          <w:rFonts w:ascii="Arial" w:hAnsi="Arial"/>
          <w:sz w:val="16"/>
        </w:rPr>
        <w:t>531.13  برای بیش از ۲۰۰ سال، پرچم آمریکا نماد وحدت ملت ما و همچنین مایه غرور و الهام میلیون‌ها شهروند بوده است.</w:t>
      </w:r>
    </w:p>
    <w:p>
      <w:pPr>
        <w:spacing w:after="28" w:line="216" w:lineRule="auto"/>
        <w:ind w:left="259"/>
        <w:jc w:val="left"/>
      </w:pPr>
      <w:r>
        <w:rPr>
          <w:rFonts w:ascii="Arial" w:hAnsi="Arial"/>
          <w:color w:val="525252"/>
          <w:sz w:val="13"/>
        </w:rPr>
        <w:t>For more than 200 years, the American flag has been the symbol of our nation’s unity, as well as a source of pride and inspiration for millions of citizens.</w:t>
      </w:r>
    </w:p>
    <w:p>
      <w:pPr>
        <w:spacing w:after="20" w:line="223" w:lineRule="auto"/>
        <w:jc w:val="right"/>
        <w:bidi/>
      </w:pPr>
      <w:r>
        <w:rPr>
          <w:rFonts w:ascii="Arial" w:hAnsi="Arial"/>
          <w:sz w:val="16"/>
        </w:rPr>
        <w:t>531.14  متولد ۱۴ ژوئن ۱۷۷۷، کنگره دوم قاره‌ای تعیین کرد که پرچم ایالات متحده ۱۳ راه راه باشد که بین هفت قرمز و شش سفید به‌طور متناوب تغییر می‌کند. و اینکه این اتحاد ۱۳ ستاره باشد، سفید در یک میدان آبی که یک صورت فلکی جدید را نشان می‌دهد.</w:t>
      </w:r>
    </w:p>
    <w:p>
      <w:pPr>
        <w:spacing w:after="28" w:line="216" w:lineRule="auto"/>
        <w:ind w:left="259"/>
        <w:jc w:val="left"/>
      </w:pPr>
      <w:r>
        <w:rPr>
          <w:rFonts w:ascii="Arial" w:hAnsi="Arial"/>
          <w:color w:val="525252"/>
          <w:sz w:val="13"/>
        </w:rPr>
        <w:t>Born on June 14, 1777, the Second Continental Congress determined that the flag of the United States be 13 stripes, alternating between seven red and six white; and that the union be 13 stars, white in a blue field representing a new constellation.</w:t>
      </w:r>
    </w:p>
    <w:p>
      <w:pPr>
        <w:spacing w:after="20" w:line="223" w:lineRule="auto"/>
        <w:jc w:val="right"/>
        <w:bidi/>
      </w:pPr>
      <w:r>
        <w:rPr>
          <w:rFonts w:ascii="Arial" w:hAnsi="Arial"/>
          <w:sz w:val="16"/>
        </w:rPr>
        <w:t>531.15  بین سال‌های ۱۷۷۷ و ۱۹۶۰، شکل و طرح پرچم به پرچمی تبدیل شد که امروز در برابر شما ارائه شده است.</w:t>
      </w:r>
    </w:p>
    <w:p>
      <w:pPr>
        <w:spacing w:after="28" w:line="216" w:lineRule="auto"/>
        <w:ind w:left="259"/>
        <w:jc w:val="left"/>
      </w:pPr>
      <w:r>
        <w:rPr>
          <w:rFonts w:ascii="Arial" w:hAnsi="Arial"/>
          <w:color w:val="525252"/>
          <w:sz w:val="13"/>
        </w:rPr>
        <w:t>Between 1777 and 1960, the shape and design of the flag evolved into the flag presented before you today.</w:t>
      </w:r>
    </w:p>
    <w:p>
      <w:pPr>
        <w:spacing w:after="20" w:line="223" w:lineRule="auto"/>
        <w:jc w:val="right"/>
        <w:bidi/>
      </w:pPr>
      <w:r>
        <w:rPr>
          <w:rFonts w:ascii="Arial" w:hAnsi="Arial"/>
          <w:sz w:val="16"/>
        </w:rPr>
        <w:t>531.16  ۱۳ نوار افقی نشان دهنده ۱۳ مستعمره اصلی هستند، در حالی که ستاره‌ها نشان دهنده ۵۰ ایالت اتحادیه هستند.</w:t>
      </w:r>
    </w:p>
    <w:p>
      <w:pPr>
        <w:spacing w:after="28" w:line="216" w:lineRule="auto"/>
        <w:ind w:left="259"/>
        <w:jc w:val="left"/>
      </w:pPr>
      <w:r>
        <w:rPr>
          <w:rFonts w:ascii="Arial" w:hAnsi="Arial"/>
          <w:color w:val="525252"/>
          <w:sz w:val="13"/>
        </w:rPr>
        <w:t>The 13 horizontal stripes represent the original 13 colonies, while the stars represent the 50 states of the Union.</w:t>
      </w:r>
    </w:p>
    <w:p>
      <w:pPr>
        <w:spacing w:after="20" w:line="223" w:lineRule="auto"/>
        <w:jc w:val="right"/>
        <w:bidi/>
      </w:pPr>
      <w:r>
        <w:rPr>
          <w:rFonts w:ascii="Arial" w:hAnsi="Arial"/>
          <w:sz w:val="16"/>
        </w:rPr>
        <w:t>531.17  رنگ‌های پرچم نیز نمادین هستند. قرمز نماد سرسختی و شجاعت است. رنگ سفید به معنای پاکی و بی گناهی است. و آبی نشان دهنده هوشیاری، استقامت و عدالت است.</w:t>
      </w:r>
    </w:p>
    <w:p>
      <w:pPr>
        <w:spacing w:after="28" w:line="216" w:lineRule="auto"/>
        <w:ind w:left="259"/>
        <w:jc w:val="left"/>
      </w:pPr>
      <w:r>
        <w:rPr>
          <w:rFonts w:ascii="Arial" w:hAnsi="Arial"/>
          <w:color w:val="525252"/>
          <w:sz w:val="13"/>
        </w:rPr>
        <w:t>The colors of the flag are symbolic as well; red symbolizes hardiness and valor; white signifies purity and innocence; and blue represents vigilance, perseverance, and justice.</w:t>
      </w:r>
    </w:p>
    <w:p>
      <w:pPr>
        <w:spacing w:after="20" w:line="223" w:lineRule="auto"/>
        <w:jc w:val="right"/>
        <w:bidi/>
      </w:pPr>
      <w:r>
        <w:rPr>
          <w:rFonts w:ascii="Arial" w:hAnsi="Arial"/>
          <w:sz w:val="16"/>
        </w:rPr>
        <w:t>531.18  به‌طور سنتی، نماد آزادی، پرچم آمریکا حامل پیام آزادی بوده و الهام‌بخش آمریکایی‌ها، چه در داخل و چه در خارج از کشور است.</w:t>
      </w:r>
    </w:p>
    <w:p>
      <w:pPr>
        <w:spacing w:after="28" w:line="216" w:lineRule="auto"/>
        <w:ind w:left="259"/>
        <w:jc w:val="left"/>
      </w:pPr>
      <w:r>
        <w:rPr>
          <w:rFonts w:ascii="Arial" w:hAnsi="Arial"/>
          <w:color w:val="525252"/>
          <w:sz w:val="13"/>
        </w:rPr>
        <w:t>Traditionally, a symbol of liberty, the American flag has carried the message of freedom, and inspired Americans, both at home and abroad.</w:t>
      </w:r>
    </w:p>
    <w:p>
      <w:pPr>
        <w:spacing w:after="20" w:line="223" w:lineRule="auto"/>
        <w:jc w:val="right"/>
        <w:bidi/>
      </w:pPr>
      <w:r>
        <w:rPr>
          <w:rFonts w:ascii="Arial" w:hAnsi="Arial"/>
          <w:sz w:val="16"/>
        </w:rPr>
        <w:t>531.19  در سال ۱۸۱۴، فرانسیس اسکات کی از دیدن ستاره‌ها و راه راه‌ها که پس از گلوله باران فورت مک‌هنری در بالتیمور توسط بریتانیا تکان می‌خورد، چنان تحت تأثیر قرار گرفت که کلمات را برای ت ستار-سپانگلد باننر نوشت.</w:t>
      </w:r>
    </w:p>
    <w:p>
      <w:pPr>
        <w:spacing w:after="28" w:line="216" w:lineRule="auto"/>
        <w:ind w:left="259"/>
        <w:jc w:val="left"/>
      </w:pPr>
      <w:r>
        <w:rPr>
          <w:rFonts w:ascii="Arial" w:hAnsi="Arial"/>
          <w:color w:val="525252"/>
          <w:sz w:val="13"/>
        </w:rPr>
        <w:t>In 1814, Francis Scott Key was so moved at seeing the Stars and Stripes waving after the British shelling of Baltimore’s Fort McHenry that he wrote the words to The Star-Spangled Banner.</w:t>
      </w:r>
    </w:p>
    <w:p>
      <w:pPr>
        <w:spacing w:after="20" w:line="223" w:lineRule="auto"/>
        <w:jc w:val="right"/>
        <w:bidi/>
      </w:pPr>
      <w:r>
        <w:rPr>
          <w:rFonts w:ascii="Arial" w:hAnsi="Arial"/>
          <w:sz w:val="16"/>
        </w:rPr>
        <w:t>531.20  در سال ۱۸۹۲ این پرچم الهام بخش فرانسیس بلامی شد تا "بیعت وفاداری" را بنویسد، مشهورترین سلام پرچم و سوگند میهن پرستانه ما.</w:t>
      </w:r>
    </w:p>
    <w:p>
      <w:pPr>
        <w:spacing w:after="28" w:line="216" w:lineRule="auto"/>
        <w:ind w:left="259"/>
        <w:jc w:val="left"/>
      </w:pPr>
      <w:r>
        <w:rPr>
          <w:rFonts w:ascii="Arial" w:hAnsi="Arial"/>
          <w:color w:val="525252"/>
          <w:sz w:val="13"/>
        </w:rPr>
        <w:t>In 1892 the flag inspired Francis Bellamy to write the “Pledge of Allegiance,” our most famous flag salute and patriotic oath.</w:t>
      </w:r>
    </w:p>
    <w:p>
      <w:pPr>
        <w:spacing w:after="20" w:line="223" w:lineRule="auto"/>
        <w:jc w:val="right"/>
        <w:bidi/>
      </w:pPr>
      <w:r>
        <w:rPr>
          <w:rFonts w:ascii="Arial" w:hAnsi="Arial"/>
          <w:sz w:val="16"/>
        </w:rPr>
        <w:t>531.21  در ژوئیه ۱۹۶۹ پرچم آمریکا در فضا به اهتزاز درآمد، زمانی که نیل آرمسترانگ آن را روی سطح ماه کاشت.</w:t>
      </w:r>
    </w:p>
    <w:p>
      <w:pPr>
        <w:spacing w:after="28" w:line="216" w:lineRule="auto"/>
        <w:ind w:left="259"/>
        <w:jc w:val="left"/>
      </w:pPr>
      <w:r>
        <w:rPr>
          <w:rFonts w:ascii="Arial" w:hAnsi="Arial"/>
          <w:color w:val="525252"/>
          <w:sz w:val="13"/>
        </w:rPr>
        <w:t>In July 1969 the American flag was flown in space when Neil Armstrong planted it on the surface of the moon.</w:t>
      </w:r>
    </w:p>
    <w:p>
      <w:pPr>
        <w:spacing w:after="20" w:line="223" w:lineRule="auto"/>
        <w:jc w:val="right"/>
        <w:bidi/>
      </w:pPr>
      <w:r>
        <w:rPr>
          <w:rFonts w:ascii="Arial" w:hAnsi="Arial"/>
          <w:sz w:val="16"/>
        </w:rPr>
        <w:t>531.22  امروز، پرچم ما بر روی صورت‌های فلکی ماهواره‌های نیروی هوایی که دور کره‌ی ما دور می‌زنند، و بر روی فلش باله‌ی هواپیمای ما در هر گوشه‌ای از جهان به اهتزاز در می‌آید.</w:t>
      </w:r>
    </w:p>
    <w:p>
      <w:pPr>
        <w:spacing w:after="28" w:line="216" w:lineRule="auto"/>
        <w:ind w:left="259"/>
        <w:jc w:val="left"/>
      </w:pPr>
      <w:r>
        <w:rPr>
          <w:rFonts w:ascii="Arial" w:hAnsi="Arial"/>
          <w:color w:val="525252"/>
          <w:sz w:val="13"/>
        </w:rPr>
        <w:t>Today, our flag flies on constellations of Air Force satellites that circle our globe, and on the fin flash of our aircraft in harm’s way in every corner of the world.</w:t>
      </w:r>
    </w:p>
    <w:p>
      <w:pPr>
        <w:spacing w:after="20" w:line="223" w:lineRule="auto"/>
        <w:jc w:val="right"/>
        <w:bidi/>
      </w:pPr>
      <w:r>
        <w:rPr>
          <w:rFonts w:ascii="Arial" w:hAnsi="Arial"/>
          <w:sz w:val="16"/>
        </w:rPr>
        <w:t>531.23  در واقع، در قلب هر هوایی که به ملت بزرگ ما خدمت می‌کند پرواز می‌کند.</w:t>
      </w:r>
    </w:p>
    <w:p>
      <w:pPr>
        <w:spacing w:after="28" w:line="216" w:lineRule="auto"/>
        <w:ind w:left="259"/>
        <w:jc w:val="left"/>
      </w:pPr>
      <w:r>
        <w:rPr>
          <w:rFonts w:ascii="Arial" w:hAnsi="Arial"/>
          <w:color w:val="525252"/>
          <w:sz w:val="13"/>
        </w:rPr>
        <w:t>Indeed, it flies in the heart of every Airman who serves our great nation.</w:t>
      </w:r>
    </w:p>
    <w:p>
      <w:pPr>
        <w:spacing w:after="20" w:line="223" w:lineRule="auto"/>
        <w:jc w:val="right"/>
        <w:bidi/>
      </w:pPr>
      <w:r>
        <w:rPr>
          <w:rFonts w:ascii="Arial" w:hAnsi="Arial"/>
          <w:sz w:val="16"/>
        </w:rPr>
        <w:t>531.24  خورشید هرگز در USAF ما غروب نمی‌کند، و نه روی پرچمی که ما با افتخار آن را گرامی می‌داریم.</w:t>
      </w:r>
    </w:p>
    <w:p>
      <w:pPr>
        <w:spacing w:after="28" w:line="216" w:lineRule="auto"/>
        <w:ind w:left="259"/>
        <w:jc w:val="left"/>
      </w:pPr>
      <w:r>
        <w:rPr>
          <w:rFonts w:ascii="Arial" w:hAnsi="Arial"/>
          <w:color w:val="525252"/>
          <w:sz w:val="13"/>
        </w:rPr>
        <w:t>The sun never sets on our USAF, nor on the flag we so proudly cherish.</w:t>
      </w:r>
    </w:p>
    <w:p>
      <w:pPr>
        <w:spacing w:after="20" w:line="223" w:lineRule="auto"/>
        <w:jc w:val="right"/>
        <w:bidi/>
      </w:pPr>
      <w:r>
        <w:rPr>
          <w:rFonts w:ascii="Arial" w:hAnsi="Arial"/>
          <w:sz w:val="16"/>
        </w:rPr>
        <w:t>531.25  از سال ۱۷۷۶، هیچ نسلی از آمریکایی‌ها از مسئولیت دفاع از آزادی در امان نمانده‌اند... هوانوردان امروزی متعهد به حفظ آزادی ای هستند که دیگران برای نسل‌های بعد برای ما به دست آورده‌اند.</w:t>
      </w:r>
    </w:p>
    <w:p>
      <w:pPr>
        <w:spacing w:after="28" w:line="216" w:lineRule="auto"/>
        <w:ind w:left="259"/>
        <w:jc w:val="left"/>
      </w:pPr>
      <w:r>
        <w:rPr>
          <w:rFonts w:ascii="Arial" w:hAnsi="Arial"/>
          <w:color w:val="525252"/>
          <w:sz w:val="13"/>
        </w:rPr>
        <w:t>Since 1776, no generation of Americans has been spared the responsibility of defending freedom… Today’s Airmen remain committed to preserving the freedom that others won for us for generations to come.</w:t>
      </w:r>
    </w:p>
    <w:p>
      <w:pPr>
        <w:spacing w:after="20" w:line="223" w:lineRule="auto"/>
        <w:jc w:val="right"/>
        <w:bidi/>
      </w:pPr>
      <w:r>
        <w:rPr>
          <w:rFonts w:ascii="Arial" w:hAnsi="Arial"/>
          <w:sz w:val="16"/>
        </w:rPr>
        <w:t>531.26  با به نمایش گذاشتن پرچم و چین دادن متمایز به آن، به پرچم احترام می‌گذاریم و از افرادی که در داخل و خارج از کشور برای آزادی جنگیدند و به مبارزه ادامه می‌دهند ابراز قدردانی می‌کنیم.</w:t>
      </w:r>
    </w:p>
    <w:p>
      <w:pPr>
        <w:spacing w:after="28" w:line="216" w:lineRule="auto"/>
        <w:ind w:left="259"/>
        <w:jc w:val="left"/>
      </w:pPr>
      <w:r>
        <w:rPr>
          <w:rFonts w:ascii="Arial" w:hAnsi="Arial"/>
          <w:color w:val="525252"/>
          <w:sz w:val="13"/>
        </w:rPr>
        <w:t>By displaying the flag and giving it a distinctive fold, we show respect to the flag and express our gratitude to those individuals who fought, and continue to fight for freedom, at home and abroad.</w:t>
      </w:r>
    </w:p>
    <w:p>
      <w:pPr>
        <w:spacing w:after="20" w:line="223" w:lineRule="auto"/>
        <w:jc w:val="right"/>
        <w:bidi/>
      </w:pPr>
      <w:r>
        <w:rPr>
          <w:rFonts w:ascii="Arial" w:hAnsi="Arial"/>
          <w:sz w:val="16"/>
        </w:rPr>
        <w:t>531.27  از طلوع قرن بیستم، هوانوردان با افتخار پرچم را در هر درگیری بزرگ، در زمین‌ها و آسمان‌های سراسر جهان به اهتزاز درآورده‌اند.</w:t>
      </w:r>
    </w:p>
    <w:p>
      <w:pPr>
        <w:spacing w:after="28" w:line="216" w:lineRule="auto"/>
        <w:ind w:left="259"/>
        <w:jc w:val="left"/>
      </w:pPr>
      <w:r>
        <w:rPr>
          <w:rFonts w:ascii="Arial" w:hAnsi="Arial"/>
          <w:color w:val="525252"/>
          <w:sz w:val="13"/>
        </w:rPr>
        <w:t>Since the dawn of the 20th century, Airmen have proudly flown the flag in every major conflict, on lands and skies around the world.</w:t>
      </w:r>
    </w:p>
    <w:p>
      <w:pPr>
        <w:spacing w:after="20" w:line="223" w:lineRule="auto"/>
        <w:jc w:val="right"/>
        <w:bidi/>
      </w:pPr>
      <w:r>
        <w:rPr>
          <w:rFonts w:ascii="Arial" w:hAnsi="Arial"/>
          <w:sz w:val="16"/>
        </w:rPr>
        <w:t>531.28  این مسئولیت آنهاست...مسئولیت ما... ادامه حمایت و حفظ حقوق، امتیازات و آزادی هایی که ما امروز به‌عنوان آمریکایی از آن برخورداریم.</w:t>
      </w:r>
    </w:p>
    <w:p>
      <w:pPr>
        <w:spacing w:after="28" w:line="216" w:lineRule="auto"/>
        <w:ind w:left="259"/>
        <w:jc w:val="left"/>
      </w:pPr>
      <w:r>
        <w:rPr>
          <w:rFonts w:ascii="Arial" w:hAnsi="Arial"/>
          <w:color w:val="525252"/>
          <w:sz w:val="13"/>
        </w:rPr>
        <w:t>It is their responsibility…our responsibility…to continue to protect and preserve the rights, privileges, and freedoms we, as Americans, enjoy today.</w:t>
      </w:r>
    </w:p>
    <w:p>
      <w:pPr>
        <w:spacing w:after="20" w:line="223" w:lineRule="auto"/>
        <w:jc w:val="right"/>
        <w:bidi/>
      </w:pPr>
      <w:r>
        <w:rPr>
          <w:rFonts w:ascii="Arial" w:hAnsi="Arial"/>
          <w:sz w:val="16"/>
        </w:rPr>
        <w:t>531.29  پرچم ایالات متحده نشان دهنده این است که ما چه کسی هستیم.</w:t>
      </w:r>
    </w:p>
    <w:p>
      <w:pPr>
        <w:spacing w:after="28" w:line="216" w:lineRule="auto"/>
        <w:ind w:left="259"/>
        <w:jc w:val="left"/>
      </w:pPr>
      <w:r>
        <w:rPr>
          <w:rFonts w:ascii="Arial" w:hAnsi="Arial"/>
          <w:color w:val="525252"/>
          <w:sz w:val="13"/>
        </w:rPr>
        <w:t>The United States flag represents who we are.</w:t>
      </w:r>
    </w:p>
    <w:p>
      <w:pPr>
        <w:spacing w:after="20" w:line="223" w:lineRule="auto"/>
        <w:jc w:val="right"/>
        <w:bidi/>
      </w:pPr>
      <w:r>
        <w:rPr>
          <w:rFonts w:ascii="Arial" w:hAnsi="Arial"/>
          <w:sz w:val="16"/>
        </w:rPr>
        <w:t>531.30  نشان دهنده آزادی مشترک ما و غرور و میهن پرستی است که برای کشورمان احساس می‌کنیم.</w:t>
      </w:r>
    </w:p>
    <w:p>
      <w:pPr>
        <w:spacing w:after="28" w:line="216" w:lineRule="auto"/>
        <w:ind w:left="259"/>
        <w:jc w:val="left"/>
      </w:pPr>
      <w:r>
        <w:rPr>
          <w:rFonts w:ascii="Arial" w:hAnsi="Arial"/>
          <w:color w:val="525252"/>
          <w:sz w:val="13"/>
        </w:rPr>
        <w:t>It stands for the freedom we all share and the pride and patriotism we feel for our country.</w:t>
      </w:r>
    </w:p>
    <w:p>
      <w:pPr>
        <w:spacing w:after="20" w:line="223" w:lineRule="auto"/>
        <w:jc w:val="right"/>
        <w:bidi/>
      </w:pPr>
      <w:r>
        <w:rPr>
          <w:rFonts w:ascii="Arial" w:hAnsi="Arial"/>
          <w:sz w:val="16"/>
        </w:rPr>
        <w:t>531.31  ما میراث آن را به‌عنوان چراغ امیدی برای همگان گرامی می‌داریم.</w:t>
      </w:r>
    </w:p>
    <w:p>
      <w:pPr>
        <w:spacing w:after="28" w:line="216" w:lineRule="auto"/>
        <w:ind w:left="259"/>
        <w:jc w:val="left"/>
      </w:pPr>
      <w:r>
        <w:rPr>
          <w:rFonts w:ascii="Arial" w:hAnsi="Arial"/>
          <w:color w:val="525252"/>
          <w:sz w:val="13"/>
        </w:rPr>
        <w:t>We cherish its legacy as a beacon of hope to one and all.</w:t>
      </w:r>
    </w:p>
    <w:p>
      <w:pPr>
        <w:spacing w:after="20" w:line="223" w:lineRule="auto"/>
        <w:jc w:val="right"/>
        <w:bidi/>
      </w:pPr>
      <w:r>
        <w:rPr>
          <w:rFonts w:ascii="Arial" w:hAnsi="Arial"/>
          <w:sz w:val="16"/>
        </w:rPr>
        <w:t>531.32  دراز باشد ممکن است موج بزند.</w:t>
      </w:r>
    </w:p>
    <w:p>
      <w:pPr>
        <w:spacing w:after="28" w:line="216" w:lineRule="auto"/>
        <w:ind w:left="259"/>
        <w:jc w:val="left"/>
      </w:pPr>
      <w:r>
        <w:rPr>
          <w:rFonts w:ascii="Arial" w:hAnsi="Arial"/>
          <w:color w:val="525252"/>
          <w:sz w:val="13"/>
        </w:rPr>
        <w:t>Long may it wave.</w:t>
      </w:r>
    </w:p>
    <w:p>
      <w:pPr>
        <w:spacing w:before="60" w:after="28"/>
        <w:jc w:val="right"/>
        <w:bidi/>
      </w:pPr>
      <w:r>
        <w:rPr>
          <w:b/>
          <w:color w:val="1F4D78"/>
          <w:sz w:val="18"/>
        </w:rPr>
        <w:t>شکل 24.3. پرچم ایالات متحده</w:t>
      </w:r>
    </w:p>
    <w:p>
      <w:pPr>
        <w:spacing w:after="20"/>
        <w:ind w:left="259"/>
        <w:jc w:val="left"/>
      </w:pPr>
      <w:r>
        <w:rPr>
          <w:color w:val="555555"/>
          <w:sz w:val="12"/>
        </w:rPr>
        <w:t>Figure 24.3. U.S. Flag</w:t>
      </w:r>
    </w:p>
    <w:p>
      <w:pPr>
        <w:spacing w:before="60" w:after="28"/>
        <w:jc w:val="right"/>
        <w:bidi/>
      </w:pPr>
      <w:r>
        <w:rPr>
          <w:b/>
          <w:color w:val="1F4D78"/>
          <w:sz w:val="18"/>
        </w:rPr>
        <w:t>24.12. انواع پرچم ها</w:t>
      </w:r>
    </w:p>
    <w:p>
      <w:pPr>
        <w:spacing w:after="20"/>
        <w:ind w:left="259"/>
        <w:jc w:val="left"/>
      </w:pPr>
      <w:r>
        <w:rPr>
          <w:color w:val="555555"/>
          <w:sz w:val="12"/>
        </w:rPr>
        <w:t>24.12. Types of Flags</w:t>
      </w:r>
    </w:p>
    <w:p>
      <w:pPr>
        <w:spacing w:after="20" w:line="223" w:lineRule="auto"/>
        <w:jc w:val="right"/>
        <w:bidi/>
      </w:pPr>
      <w:r>
        <w:rPr>
          <w:rFonts w:ascii="Arial" w:hAnsi="Arial"/>
          <w:sz w:val="16"/>
        </w:rPr>
        <w:t>531.35  اندازه‌ها، انواع و مناسبت‌های خاصی برای نمایش مناسب پرچم ایالات متحده وجود دارد.</w:t>
      </w:r>
    </w:p>
    <w:p>
      <w:pPr>
        <w:spacing w:after="28" w:line="216" w:lineRule="auto"/>
        <w:ind w:left="259"/>
        <w:jc w:val="left"/>
      </w:pPr>
      <w:r>
        <w:rPr>
          <w:rFonts w:ascii="Arial" w:hAnsi="Arial"/>
          <w:color w:val="525252"/>
          <w:sz w:val="13"/>
        </w:rPr>
        <w:t>There are specific sizes, types, and occasions for proper display of the United States flag.</w:t>
      </w:r>
    </w:p>
    <w:p>
      <w:pPr>
        <w:spacing w:after="20" w:line="223" w:lineRule="auto"/>
        <w:jc w:val="right"/>
        <w:bidi/>
      </w:pPr>
      <w:r>
        <w:rPr>
          <w:rFonts w:ascii="Arial" w:hAnsi="Arial"/>
          <w:sz w:val="16"/>
        </w:rPr>
        <w:t>531.36  درک اهمیت هر یک از این نوع پرچم‌ها، نمایش مناسب آن را تضمین می‌کند.</w:t>
      </w:r>
    </w:p>
    <w:p>
      <w:pPr>
        <w:spacing w:after="28" w:line="216" w:lineRule="auto"/>
        <w:ind w:left="259"/>
        <w:jc w:val="left"/>
      </w:pPr>
      <w:r>
        <w:rPr>
          <w:rFonts w:ascii="Arial" w:hAnsi="Arial"/>
          <w:color w:val="525252"/>
          <w:sz w:val="13"/>
        </w:rPr>
        <w:t>Understanding the significance of each of these types of flags will ensure its proper display.</w:t>
      </w:r>
    </w:p>
    <w:p>
      <w:r>
        <w:br w:type="page"/>
      </w:r>
    </w:p>
    <w:p>
      <w:pPr>
        <w:spacing w:after="60"/>
        <w:jc w:val="right"/>
        <w:bidi/>
      </w:pPr>
      <w:r>
        <w:rPr>
          <w:rFonts w:ascii="Arial" w:hAnsi="Arial"/>
          <w:b/>
          <w:color w:val="1F4D78"/>
          <w:sz w:val="19"/>
        </w:rPr>
        <w:t>هفتهٔ 532  |  صفحهٔ منبع: 548</w:t>
      </w:r>
    </w:p>
    <w:p>
      <w:pPr>
        <w:spacing w:after="20" w:line="223" w:lineRule="auto"/>
        <w:jc w:val="right"/>
        <w:bidi/>
      </w:pPr>
      <w:r>
        <w:rPr>
          <w:rFonts w:ascii="Arial" w:hAnsi="Arial"/>
          <w:sz w:val="16"/>
        </w:rPr>
        <w:t>532.01  پرچم نصب.</w:t>
      </w:r>
    </w:p>
    <w:p>
      <w:pPr>
        <w:spacing w:after="28" w:line="216" w:lineRule="auto"/>
        <w:ind w:left="259"/>
        <w:jc w:val="left"/>
      </w:pPr>
      <w:r>
        <w:rPr>
          <w:rFonts w:ascii="Arial" w:hAnsi="Arial"/>
          <w:color w:val="525252"/>
          <w:sz w:val="13"/>
        </w:rPr>
        <w:t>Installation Flag.</w:t>
      </w:r>
    </w:p>
    <w:p>
      <w:pPr>
        <w:spacing w:after="20" w:line="223" w:lineRule="auto"/>
        <w:jc w:val="right"/>
        <w:bidi/>
      </w:pPr>
      <w:r>
        <w:rPr>
          <w:rFonts w:ascii="Arial" w:hAnsi="Arial"/>
          <w:sz w:val="16"/>
        </w:rPr>
        <w:t>532.02  پرچم نصب از مواد نایلونی سبک وزن، ۸ فوت ۱۱ ۳/۸ اینچ در ۱۷ فوت است و فقط در آب و هوای مناسب از چوب پرچم نصب نمایش داده می‌شود.</w:t>
      </w:r>
    </w:p>
    <w:p>
      <w:pPr>
        <w:spacing w:after="28" w:line="216" w:lineRule="auto"/>
        <w:ind w:left="259"/>
        <w:jc w:val="left"/>
      </w:pPr>
      <w:r>
        <w:rPr>
          <w:rFonts w:ascii="Arial" w:hAnsi="Arial"/>
          <w:color w:val="525252"/>
          <w:sz w:val="13"/>
        </w:rPr>
        <w:t>The installation flag is lightweight nylon bunting material, 8 feet 11 3/8 inches by 17 feet, and is only displayed in fair weather from an installation flagstaff.</w:t>
      </w:r>
    </w:p>
    <w:p>
      <w:pPr>
        <w:spacing w:after="20" w:line="223" w:lineRule="auto"/>
        <w:jc w:val="right"/>
        <w:bidi/>
      </w:pPr>
      <w:r>
        <w:rPr>
          <w:rFonts w:ascii="Arial" w:hAnsi="Arial"/>
          <w:sz w:val="16"/>
        </w:rPr>
        <w:t>532.03  این پرچم معمولی است که در تاسیسات USAF استفاده می‌شود.</w:t>
      </w:r>
    </w:p>
    <w:p>
      <w:pPr>
        <w:spacing w:after="28" w:line="216" w:lineRule="auto"/>
        <w:ind w:left="259"/>
        <w:jc w:val="left"/>
      </w:pPr>
      <w:r>
        <w:rPr>
          <w:rFonts w:ascii="Arial" w:hAnsi="Arial"/>
          <w:color w:val="525252"/>
          <w:sz w:val="13"/>
        </w:rPr>
        <w:t>This is the typical flag used at USAF installations.</w:t>
      </w:r>
    </w:p>
    <w:p>
      <w:pPr>
        <w:spacing w:after="20" w:line="223" w:lineRule="auto"/>
        <w:jc w:val="right"/>
        <w:bidi/>
      </w:pPr>
      <w:r>
        <w:rPr>
          <w:rFonts w:ascii="Arial" w:hAnsi="Arial"/>
          <w:sz w:val="16"/>
        </w:rPr>
        <w:t>532.04  پرچم همه منظوره.</w:t>
      </w:r>
    </w:p>
    <w:p>
      <w:pPr>
        <w:spacing w:after="28" w:line="216" w:lineRule="auto"/>
        <w:ind w:left="259"/>
        <w:jc w:val="left"/>
      </w:pPr>
      <w:r>
        <w:rPr>
          <w:rFonts w:ascii="Arial" w:hAnsi="Arial"/>
          <w:color w:val="525252"/>
          <w:sz w:val="13"/>
        </w:rPr>
        <w:t>All-Purpose Flag.</w:t>
      </w:r>
    </w:p>
    <w:p>
      <w:pPr>
        <w:spacing w:after="20" w:line="223" w:lineRule="auto"/>
        <w:jc w:val="right"/>
        <w:bidi/>
      </w:pPr>
      <w:r>
        <w:rPr>
          <w:rFonts w:ascii="Arial" w:hAnsi="Arial"/>
          <w:sz w:val="16"/>
        </w:rPr>
        <w:t>532.05  پرچم همه منظوره از مواد ریون بند به ابعاد ۳ فوت در ۴ فوت ساخته شده است.</w:t>
      </w:r>
    </w:p>
    <w:p>
      <w:pPr>
        <w:spacing w:after="28" w:line="216" w:lineRule="auto"/>
        <w:ind w:left="259"/>
        <w:jc w:val="left"/>
      </w:pPr>
      <w:r>
        <w:rPr>
          <w:rFonts w:ascii="Arial" w:hAnsi="Arial"/>
          <w:color w:val="525252"/>
          <w:sz w:val="13"/>
        </w:rPr>
        <w:t>The all-purpose flag is made of rayon bunting material, 3 feet by 4 feet.</w:t>
      </w:r>
    </w:p>
    <w:p>
      <w:pPr>
        <w:spacing w:after="20" w:line="223" w:lineRule="auto"/>
        <w:jc w:val="right"/>
        <w:bidi/>
      </w:pPr>
      <w:r>
        <w:rPr>
          <w:rFonts w:ascii="Arial" w:hAnsi="Arial"/>
          <w:sz w:val="16"/>
        </w:rPr>
        <w:t>532.06  این اندازه را می‌توان برای نمایش در فضای باز با پرچم‌های کشورهای خارجی دوست، در مراسم ورود مقامات بین المللی، یا برای نشان دادن اشغال مشترک یک ساختمان توسط دو یا چند کشور استفاده کرد.</w:t>
      </w:r>
    </w:p>
    <w:p>
      <w:pPr>
        <w:spacing w:after="28" w:line="216" w:lineRule="auto"/>
        <w:ind w:left="259"/>
        <w:jc w:val="left"/>
      </w:pPr>
      <w:r>
        <w:rPr>
          <w:rFonts w:ascii="Arial" w:hAnsi="Arial"/>
          <w:color w:val="525252"/>
          <w:sz w:val="13"/>
        </w:rPr>
        <w:t>This size can be used for outdoor display with flags of friendly foreign nations, in arrival ceremonies for international dignitaries, or to indicate joint occupancy of a building by two or more countries.</w:t>
      </w:r>
    </w:p>
    <w:p>
      <w:pPr>
        <w:spacing w:after="20" w:line="223" w:lineRule="auto"/>
        <w:jc w:val="right"/>
        <w:bidi/>
      </w:pPr>
      <w:r>
        <w:rPr>
          <w:rFonts w:ascii="Arial" w:hAnsi="Arial"/>
          <w:sz w:val="16"/>
        </w:rPr>
        <w:t>532.07  پرچم طوفان همه منظوره (همه آب و هوا).</w:t>
      </w:r>
    </w:p>
    <w:p>
      <w:pPr>
        <w:spacing w:after="28" w:line="216" w:lineRule="auto"/>
        <w:ind w:left="259"/>
        <w:jc w:val="left"/>
      </w:pPr>
      <w:r>
        <w:rPr>
          <w:rFonts w:ascii="Arial" w:hAnsi="Arial"/>
          <w:color w:val="525252"/>
          <w:sz w:val="13"/>
        </w:rPr>
        <w:t>All-Purpose (All-Weather) Storm Flag.</w:t>
      </w:r>
    </w:p>
    <w:p>
      <w:pPr>
        <w:spacing w:after="20" w:line="223" w:lineRule="auto"/>
        <w:jc w:val="right"/>
        <w:bidi/>
      </w:pPr>
      <w:r>
        <w:rPr>
          <w:rFonts w:ascii="Arial" w:hAnsi="Arial"/>
          <w:sz w:val="16"/>
        </w:rPr>
        <w:t>532.08  پرچم طوفان همه منظوره و همه‌منظوره، یک ماده نایلونی سبک وزن است که ابعاد آن ۵ فوت در ۹ فوت و ۶ اینچ است.</w:t>
      </w:r>
    </w:p>
    <w:p>
      <w:pPr>
        <w:spacing w:after="28" w:line="216" w:lineRule="auto"/>
        <w:ind w:left="259"/>
        <w:jc w:val="left"/>
      </w:pPr>
      <w:r>
        <w:rPr>
          <w:rFonts w:ascii="Arial" w:hAnsi="Arial"/>
          <w:color w:val="525252"/>
          <w:sz w:val="13"/>
        </w:rPr>
        <w:t>The all-purpose, all-weather storm flag is a lightweight nylon bunting material, 5 feet by 9 feet 6 inches.</w:t>
      </w:r>
    </w:p>
    <w:p>
      <w:pPr>
        <w:spacing w:after="20" w:line="223" w:lineRule="auto"/>
        <w:jc w:val="right"/>
        <w:bidi/>
      </w:pPr>
      <w:r>
        <w:rPr>
          <w:rFonts w:ascii="Arial" w:hAnsi="Arial"/>
          <w:sz w:val="16"/>
        </w:rPr>
        <w:t>532.09  از این اندازه به‌عنوان جایگزینی برای پرچم نصب در آب و هوای نامساعد استفاده کنید.</w:t>
      </w:r>
    </w:p>
    <w:p>
      <w:pPr>
        <w:spacing w:after="28" w:line="216" w:lineRule="auto"/>
        <w:ind w:left="259"/>
        <w:jc w:val="left"/>
      </w:pPr>
      <w:r>
        <w:rPr>
          <w:rFonts w:ascii="Arial" w:hAnsi="Arial"/>
          <w:color w:val="525252"/>
          <w:sz w:val="13"/>
        </w:rPr>
        <w:t>Use this size as an alternate for the installation flag in inclement weather.</w:t>
      </w:r>
    </w:p>
    <w:p>
      <w:pPr>
        <w:spacing w:after="20" w:line="223" w:lineRule="auto"/>
        <w:jc w:val="right"/>
        <w:bidi/>
      </w:pPr>
      <w:r>
        <w:rPr>
          <w:rFonts w:ascii="Arial" w:hAnsi="Arial"/>
          <w:sz w:val="16"/>
        </w:rPr>
        <w:t>532.10  پرچم تشریفاتی.</w:t>
      </w:r>
    </w:p>
    <w:p>
      <w:pPr>
        <w:spacing w:after="28" w:line="216" w:lineRule="auto"/>
        <w:ind w:left="259"/>
        <w:jc w:val="left"/>
      </w:pPr>
      <w:r>
        <w:rPr>
          <w:rFonts w:ascii="Arial" w:hAnsi="Arial"/>
          <w:color w:val="525252"/>
          <w:sz w:val="13"/>
        </w:rPr>
        <w:t>Ceremonial Flag.</w:t>
      </w:r>
    </w:p>
    <w:p>
      <w:pPr>
        <w:spacing w:after="20" w:line="223" w:lineRule="auto"/>
        <w:jc w:val="right"/>
        <w:bidi/>
      </w:pPr>
      <w:r>
        <w:rPr>
          <w:rFonts w:ascii="Arial" w:hAnsi="Arial"/>
          <w:sz w:val="16"/>
        </w:rPr>
        <w:t>532.11  پرچم تشریفاتی ریون یا مواد جایگزین مصنوعی است، ۴ فوت ۴ اینچ در ۵ فوت و ۶ اینچ، بر روی سه لبه با حاشیه‌های ابریشم مصنوعی زرد به عرض ۲ اینچ بریده شده است.</w:t>
      </w:r>
    </w:p>
    <w:p>
      <w:pPr>
        <w:spacing w:after="28" w:line="216" w:lineRule="auto"/>
        <w:ind w:left="259"/>
        <w:jc w:val="left"/>
      </w:pPr>
      <w:r>
        <w:rPr>
          <w:rFonts w:ascii="Arial" w:hAnsi="Arial"/>
          <w:color w:val="525252"/>
          <w:sz w:val="13"/>
        </w:rPr>
        <w:t>The ceremonial flag is rayon or synthetic substitute material, 4 feet 4 inches by 5 feet 6 inches, trimmed on three edges with yellow rayon fringe 2 inches wide.</w:t>
      </w:r>
    </w:p>
    <w:p>
      <w:pPr>
        <w:spacing w:after="20" w:line="223" w:lineRule="auto"/>
        <w:jc w:val="right"/>
        <w:bidi/>
      </w:pPr>
      <w:r>
        <w:rPr>
          <w:rFonts w:ascii="Arial" w:hAnsi="Arial"/>
          <w:sz w:val="16"/>
        </w:rPr>
        <w:t>532.12  پرچم سازمانی.</w:t>
      </w:r>
    </w:p>
    <w:p>
      <w:pPr>
        <w:spacing w:after="28" w:line="216" w:lineRule="auto"/>
        <w:ind w:left="259"/>
        <w:jc w:val="left"/>
      </w:pPr>
      <w:r>
        <w:rPr>
          <w:rFonts w:ascii="Arial" w:hAnsi="Arial"/>
          <w:color w:val="525252"/>
          <w:sz w:val="13"/>
        </w:rPr>
        <w:t>Organizational Flag.</w:t>
      </w:r>
    </w:p>
    <w:p>
      <w:pPr>
        <w:spacing w:after="20" w:line="223" w:lineRule="auto"/>
        <w:jc w:val="right"/>
        <w:bidi/>
      </w:pPr>
      <w:r>
        <w:rPr>
          <w:rFonts w:ascii="Arial" w:hAnsi="Arial"/>
          <w:sz w:val="16"/>
        </w:rPr>
        <w:t>532.13  پرچم سازمانی ریون یا مواد جایگزین مصنوعی است و ۳ فوت در ۴ فوت است.</w:t>
      </w:r>
    </w:p>
    <w:p>
      <w:pPr>
        <w:spacing w:after="28" w:line="216" w:lineRule="auto"/>
        <w:ind w:left="259"/>
        <w:jc w:val="left"/>
      </w:pPr>
      <w:r>
        <w:rPr>
          <w:rFonts w:ascii="Arial" w:hAnsi="Arial"/>
          <w:color w:val="525252"/>
          <w:sz w:val="13"/>
        </w:rPr>
        <w:t>The organizational flag is rayon or synthetic substitute material and is 3 feet by 4 feet.</w:t>
      </w:r>
    </w:p>
    <w:p>
      <w:pPr>
        <w:spacing w:after="20" w:line="223" w:lineRule="auto"/>
        <w:jc w:val="right"/>
        <w:bidi/>
      </w:pPr>
      <w:r>
        <w:rPr>
          <w:rFonts w:ascii="Arial" w:hAnsi="Arial"/>
          <w:sz w:val="16"/>
        </w:rPr>
        <w:t>532.14  این پرچم در سه لبه با حاشیه ابریشم مصنوعی به عرض ۲ اینچ بریده شده است.</w:t>
      </w:r>
    </w:p>
    <w:p>
      <w:pPr>
        <w:spacing w:after="28" w:line="216" w:lineRule="auto"/>
        <w:ind w:left="259"/>
        <w:jc w:val="left"/>
      </w:pPr>
      <w:r>
        <w:rPr>
          <w:rFonts w:ascii="Arial" w:hAnsi="Arial"/>
          <w:color w:val="525252"/>
          <w:sz w:val="13"/>
        </w:rPr>
        <w:t>This flag is trimmed on three edges with rayon fringe 2 inches wide.</w:t>
      </w:r>
    </w:p>
    <w:p>
      <w:pPr>
        <w:spacing w:after="20" w:line="223" w:lineRule="auto"/>
        <w:jc w:val="right"/>
        <w:bidi/>
      </w:pPr>
      <w:r>
        <w:rPr>
          <w:rFonts w:ascii="Arial" w:hAnsi="Arial"/>
          <w:sz w:val="16"/>
        </w:rPr>
        <w:t>532.15  پرچم بازنشستگی.</w:t>
      </w:r>
    </w:p>
    <w:p>
      <w:pPr>
        <w:spacing w:after="28" w:line="216" w:lineRule="auto"/>
        <w:ind w:left="259"/>
        <w:jc w:val="left"/>
      </w:pPr>
      <w:r>
        <w:rPr>
          <w:rFonts w:ascii="Arial" w:hAnsi="Arial"/>
          <w:color w:val="525252"/>
          <w:sz w:val="13"/>
        </w:rPr>
        <w:t>Retirement Flag.</w:t>
      </w:r>
    </w:p>
    <w:p>
      <w:pPr>
        <w:spacing w:after="20" w:line="223" w:lineRule="auto"/>
        <w:jc w:val="right"/>
        <w:bidi/>
      </w:pPr>
      <w:r>
        <w:rPr>
          <w:rFonts w:ascii="Arial" w:hAnsi="Arial"/>
          <w:sz w:val="16"/>
        </w:rPr>
        <w:t>532.16  پرچم بازنشستگی ممکن است ۳ فوت در ۴ فوت یا ۳ فوت در ۵ فوت باشد.</w:t>
      </w:r>
    </w:p>
    <w:p>
      <w:pPr>
        <w:spacing w:after="28" w:line="216" w:lineRule="auto"/>
        <w:ind w:left="259"/>
        <w:jc w:val="left"/>
      </w:pPr>
      <w:r>
        <w:rPr>
          <w:rFonts w:ascii="Arial" w:hAnsi="Arial"/>
          <w:color w:val="525252"/>
          <w:sz w:val="13"/>
        </w:rPr>
        <w:t>The retirement flag may be either 3 feet by 4 feet or 3 feet by 5 feet.</w:t>
      </w:r>
    </w:p>
    <w:p>
      <w:pPr>
        <w:spacing w:after="20" w:line="223" w:lineRule="auto"/>
        <w:jc w:val="right"/>
        <w:bidi/>
      </w:pPr>
      <w:r>
        <w:rPr>
          <w:rFonts w:ascii="Arial" w:hAnsi="Arial"/>
          <w:sz w:val="16"/>
        </w:rPr>
        <w:t>532.17  اعضای بازنشسته از USAF حق ارائه پرچم ایالات متحده را دارند.</w:t>
      </w:r>
    </w:p>
    <w:p>
      <w:pPr>
        <w:spacing w:after="28" w:line="216" w:lineRule="auto"/>
        <w:ind w:left="259"/>
        <w:jc w:val="left"/>
      </w:pPr>
      <w:r>
        <w:rPr>
          <w:rFonts w:ascii="Arial" w:hAnsi="Arial"/>
          <w:color w:val="525252"/>
          <w:sz w:val="13"/>
        </w:rPr>
        <w:t>Members retiring from the USAF are entitled to presentation of a United States flag.</w:t>
      </w:r>
    </w:p>
    <w:p>
      <w:pPr>
        <w:spacing w:after="20" w:line="223" w:lineRule="auto"/>
        <w:jc w:val="right"/>
        <w:bidi/>
      </w:pPr>
      <w:r>
        <w:rPr>
          <w:rFonts w:ascii="Arial" w:hAnsi="Arial"/>
          <w:sz w:val="16"/>
        </w:rPr>
        <w:t>532.18  برای جزئیات بیشتر، در مورد استفاده از بودجه سازمان و نگهداری برای این خرید، به DAFMAN ۶۵-۶۰۵، جلد ۱، راهنمای بودجه و رویه‌های فنی مراجعه کنید.</w:t>
      </w:r>
    </w:p>
    <w:p>
      <w:pPr>
        <w:spacing w:after="28" w:line="216" w:lineRule="auto"/>
        <w:ind w:left="259"/>
        <w:jc w:val="left"/>
      </w:pPr>
      <w:r>
        <w:rPr>
          <w:rFonts w:ascii="Arial" w:hAnsi="Arial"/>
          <w:color w:val="525252"/>
          <w:sz w:val="13"/>
        </w:rPr>
        <w:t>For details, refer to DAFMAN 65-605, Volume 1, Budget Guidance and Technical Procedures, on using Organization &amp; Maintenance funds for this purchase.</w:t>
      </w:r>
    </w:p>
    <w:p>
      <w:pPr>
        <w:spacing w:after="20" w:line="223" w:lineRule="auto"/>
        <w:jc w:val="right"/>
        <w:bidi/>
      </w:pPr>
      <w:r>
        <w:rPr>
          <w:rFonts w:ascii="Arial" w:hAnsi="Arial"/>
          <w:sz w:val="16"/>
        </w:rPr>
        <w:t>532.19  پرچم پادگان.</w:t>
      </w:r>
    </w:p>
    <w:p>
      <w:pPr>
        <w:spacing w:after="28" w:line="216" w:lineRule="auto"/>
        <w:ind w:left="259"/>
        <w:jc w:val="left"/>
      </w:pPr>
      <w:r>
        <w:rPr>
          <w:rFonts w:ascii="Arial" w:hAnsi="Arial"/>
          <w:color w:val="525252"/>
          <w:sz w:val="13"/>
        </w:rPr>
        <w:t>Garrison Flag.</w:t>
      </w:r>
    </w:p>
    <w:p>
      <w:pPr>
        <w:spacing w:after="20" w:line="223" w:lineRule="auto"/>
        <w:jc w:val="right"/>
        <w:bidi/>
      </w:pPr>
      <w:r>
        <w:rPr>
          <w:rFonts w:ascii="Arial" w:hAnsi="Arial"/>
          <w:sz w:val="16"/>
        </w:rPr>
        <w:t>532.20  پرچم پادگان ۲۰ فوت در ۳۸ فوت است.</w:t>
      </w:r>
    </w:p>
    <w:p>
      <w:pPr>
        <w:spacing w:after="28" w:line="216" w:lineRule="auto"/>
        <w:ind w:left="259"/>
        <w:jc w:val="left"/>
      </w:pPr>
      <w:r>
        <w:rPr>
          <w:rFonts w:ascii="Arial" w:hAnsi="Arial"/>
          <w:color w:val="525252"/>
          <w:sz w:val="13"/>
        </w:rPr>
        <w:t>The garrison flag is 20 feet by 38 feet.</w:t>
      </w:r>
    </w:p>
    <w:p>
      <w:pPr>
        <w:spacing w:after="20" w:line="223" w:lineRule="auto"/>
        <w:jc w:val="right"/>
        <w:bidi/>
      </w:pPr>
      <w:r>
        <w:rPr>
          <w:rFonts w:ascii="Arial" w:hAnsi="Arial"/>
          <w:sz w:val="16"/>
        </w:rPr>
        <w:t>532.21  این پرچم در روزهای تعطیل و مناسبت‌های خاص به اهتزاز در می‌آید و می‌توان آن را با پرچم نصب جایگزین کرد.</w:t>
      </w:r>
    </w:p>
    <w:p>
      <w:pPr>
        <w:spacing w:after="28" w:line="216" w:lineRule="auto"/>
        <w:ind w:left="259"/>
        <w:jc w:val="left"/>
      </w:pPr>
      <w:r>
        <w:rPr>
          <w:rFonts w:ascii="Arial" w:hAnsi="Arial"/>
          <w:color w:val="525252"/>
          <w:sz w:val="13"/>
        </w:rPr>
        <w:t>This flag is flown on holidays and special occasions and can be substituted with the installation flag.</w:t>
      </w:r>
    </w:p>
    <w:p>
      <w:pPr>
        <w:spacing w:after="20" w:line="223" w:lineRule="auto"/>
        <w:jc w:val="right"/>
        <w:bidi/>
      </w:pPr>
      <w:r>
        <w:rPr>
          <w:rFonts w:ascii="Arial" w:hAnsi="Arial"/>
          <w:sz w:val="16"/>
        </w:rPr>
        <w:t>532.22  پرچم مدفن.</w:t>
      </w:r>
    </w:p>
    <w:p>
      <w:pPr>
        <w:spacing w:after="28" w:line="216" w:lineRule="auto"/>
        <w:ind w:left="259"/>
        <w:jc w:val="left"/>
      </w:pPr>
      <w:r>
        <w:rPr>
          <w:rFonts w:ascii="Arial" w:hAnsi="Arial"/>
          <w:color w:val="525252"/>
          <w:sz w:val="13"/>
        </w:rPr>
        <w:t>Interment Flag.</w:t>
      </w:r>
    </w:p>
    <w:p>
      <w:pPr>
        <w:spacing w:after="20" w:line="223" w:lineRule="auto"/>
        <w:jc w:val="right"/>
        <w:bidi/>
      </w:pPr>
      <w:r>
        <w:rPr>
          <w:rFonts w:ascii="Arial" w:hAnsi="Arial"/>
          <w:sz w:val="16"/>
        </w:rPr>
        <w:t>532.23  پرچم خاکسپاری ۵ فوت در ۹ فوت و ۶ اینچ از جنس پنبه است.</w:t>
      </w:r>
    </w:p>
    <w:p>
      <w:pPr>
        <w:spacing w:after="28" w:line="216" w:lineRule="auto"/>
        <w:ind w:left="259"/>
        <w:jc w:val="left"/>
      </w:pPr>
      <w:r>
        <w:rPr>
          <w:rFonts w:ascii="Arial" w:hAnsi="Arial"/>
          <w:color w:val="525252"/>
          <w:sz w:val="13"/>
        </w:rPr>
        <w:t>The interment flag is 5 feet by 9 feet 6 inches of cotton material.</w:t>
      </w:r>
    </w:p>
    <w:p>
      <w:pPr>
        <w:spacing w:after="20" w:line="223" w:lineRule="auto"/>
        <w:jc w:val="right"/>
        <w:bidi/>
      </w:pPr>
      <w:r>
        <w:rPr>
          <w:rFonts w:ascii="Arial" w:hAnsi="Arial"/>
          <w:sz w:val="16"/>
        </w:rPr>
        <w:t>532.24  پرچم تدفین برای پرسنل نظامی فوت شده و جانبازان فوت شده مجاز است.</w:t>
      </w:r>
    </w:p>
    <w:p>
      <w:pPr>
        <w:spacing w:after="28" w:line="216" w:lineRule="auto"/>
        <w:ind w:left="259"/>
        <w:jc w:val="left"/>
      </w:pPr>
      <w:r>
        <w:rPr>
          <w:rFonts w:ascii="Arial" w:hAnsi="Arial"/>
          <w:color w:val="525252"/>
          <w:sz w:val="13"/>
        </w:rPr>
        <w:t>The interment flag is authorized for deceased military personnel and for deceased veterans.</w:t>
      </w:r>
    </w:p>
    <w:p>
      <w:pPr>
        <w:spacing w:after="20" w:line="223" w:lineRule="auto"/>
        <w:jc w:val="right"/>
        <w:bidi/>
      </w:pPr>
      <w:r>
        <w:rPr>
          <w:rFonts w:ascii="Arial" w:hAnsi="Arial"/>
          <w:sz w:val="16"/>
        </w:rPr>
        <w:t>532.25  این پرچم اندازه‌ای است که برای پوشاندن روی تابوت بسته استفاده می‌شود.</w:t>
      </w:r>
    </w:p>
    <w:p>
      <w:pPr>
        <w:spacing w:after="28" w:line="216" w:lineRule="auto"/>
        <w:ind w:left="259"/>
        <w:jc w:val="left"/>
      </w:pPr>
      <w:r>
        <w:rPr>
          <w:rFonts w:ascii="Arial" w:hAnsi="Arial"/>
          <w:color w:val="525252"/>
          <w:sz w:val="13"/>
        </w:rPr>
        <w:t>This is the size flag used to drape over a closed casket.</w:t>
      </w:r>
    </w:p>
    <w:p>
      <w:pPr>
        <w:spacing w:after="20" w:line="223" w:lineRule="auto"/>
        <w:jc w:val="right"/>
        <w:bidi/>
      </w:pPr>
      <w:r>
        <w:rPr>
          <w:rFonts w:ascii="Arial" w:hAnsi="Arial"/>
          <w:sz w:val="16"/>
        </w:rPr>
        <w:t>532.26  توجه: برای دریافت پرچم تدفین از وزارت امور کهنه‌سربازان، فرم VA ۲۷-۲۰۰۸، درخواست پرچم ایالات متحده برای مقاصد خاکسپاری را پر کنید، که به صورت آنلاین در: https://www.cem.va.gov/burial_benefits/burial_flags.asp موجود است.</w:t>
      </w:r>
    </w:p>
    <w:p>
      <w:pPr>
        <w:spacing w:after="28" w:line="216" w:lineRule="auto"/>
        <w:ind w:left="259"/>
        <w:jc w:val="left"/>
      </w:pPr>
      <w:r>
        <w:rPr>
          <w:rFonts w:ascii="Arial" w:hAnsi="Arial"/>
          <w:color w:val="525252"/>
          <w:sz w:val="13"/>
        </w:rPr>
        <w:t>Note: To receive an interment flag from the Department of Veterans Affairs, fill out VA Form 27-2008, Application for U.S. Flag for Burial Purposes, available online at: https://www.cem.va.gov/burial_benefits/burial_flags.asp.</w:t>
      </w:r>
    </w:p>
    <w:p>
      <w:pPr>
        <w:spacing w:before="60" w:after="28"/>
        <w:jc w:val="right"/>
        <w:bidi/>
      </w:pPr>
      <w:r>
        <w:rPr>
          <w:b/>
          <w:color w:val="1F4D78"/>
          <w:sz w:val="18"/>
        </w:rPr>
        <w:t>24.13. نمایش پرچم ایالات متحده</w:t>
      </w:r>
    </w:p>
    <w:p>
      <w:pPr>
        <w:spacing w:after="20"/>
        <w:ind w:left="259"/>
        <w:jc w:val="left"/>
      </w:pPr>
      <w:r>
        <w:rPr>
          <w:color w:val="555555"/>
          <w:sz w:val="12"/>
        </w:rPr>
        <w:t>24.13. Display of the United States Flag</w:t>
      </w:r>
    </w:p>
    <w:p>
      <w:pPr>
        <w:spacing w:after="20" w:line="223" w:lineRule="auto"/>
        <w:jc w:val="right"/>
        <w:bidi/>
      </w:pPr>
      <w:r>
        <w:rPr>
          <w:rFonts w:ascii="Arial" w:hAnsi="Arial"/>
          <w:sz w:val="16"/>
        </w:rPr>
        <w:t>532.28  طلوع تا غروب خورشید.</w:t>
      </w:r>
    </w:p>
    <w:p>
      <w:pPr>
        <w:spacing w:after="28" w:line="216" w:lineRule="auto"/>
        <w:ind w:left="259"/>
        <w:jc w:val="left"/>
      </w:pPr>
      <w:r>
        <w:rPr>
          <w:rFonts w:ascii="Arial" w:hAnsi="Arial"/>
          <w:color w:val="525252"/>
          <w:sz w:val="13"/>
        </w:rPr>
        <w:t>Sunrise to Sunset.</w:t>
      </w:r>
    </w:p>
    <w:p>
      <w:pPr>
        <w:spacing w:after="20" w:line="223" w:lineRule="auto"/>
        <w:jc w:val="right"/>
        <w:bidi/>
      </w:pPr>
      <w:r>
        <w:rPr>
          <w:rFonts w:ascii="Arial" w:hAnsi="Arial"/>
          <w:sz w:val="16"/>
        </w:rPr>
        <w:t>532.29  رسم جهانی این است که پرچم ایالات متحده را فقط از طلوع تا غروب خورشید بر روی ساختمان‌ها و روی میزهای پرچم ثابت در فضای باز به نمایش بگذارند.</w:t>
      </w:r>
    </w:p>
    <w:p>
      <w:pPr>
        <w:spacing w:after="28" w:line="216" w:lineRule="auto"/>
        <w:ind w:left="259"/>
        <w:jc w:val="left"/>
      </w:pPr>
      <w:r>
        <w:rPr>
          <w:rFonts w:ascii="Arial" w:hAnsi="Arial"/>
          <w:color w:val="525252"/>
          <w:sz w:val="13"/>
        </w:rPr>
        <w:t>The universal custom is to display the United States flag only from sunrise to sunset on buildings and on stationary flagstaffs in the open.</w:t>
      </w:r>
    </w:p>
    <w:p>
      <w:pPr>
        <w:spacing w:after="20" w:line="223" w:lineRule="auto"/>
        <w:jc w:val="right"/>
        <w:bidi/>
      </w:pPr>
      <w:r>
        <w:rPr>
          <w:rFonts w:ascii="Arial" w:hAnsi="Arial"/>
          <w:sz w:val="16"/>
        </w:rPr>
        <w:t>532.30  با این حال، هنگامی که یک اثر میهن‌پرستانه مورد نظر باشد، اگر در ساعات تاریکی به درستی روشن شود، پرچم ممکن است ۲۴ ساعت شبانه‌روز نمایش داده شود.</w:t>
      </w:r>
    </w:p>
    <w:p>
      <w:pPr>
        <w:spacing w:after="28" w:line="216" w:lineRule="auto"/>
        <w:ind w:left="259"/>
        <w:jc w:val="left"/>
      </w:pPr>
      <w:r>
        <w:rPr>
          <w:rFonts w:ascii="Arial" w:hAnsi="Arial"/>
          <w:color w:val="525252"/>
          <w:sz w:val="13"/>
        </w:rPr>
        <w:t>However, when a patriotic effect is desired, the flag may be displayed 24 hours a day if properly illuminated during the hours of darkness.</w:t>
      </w:r>
    </w:p>
    <w:p>
      <w:pPr>
        <w:spacing w:after="20" w:line="223" w:lineRule="auto"/>
        <w:jc w:val="right"/>
        <w:bidi/>
      </w:pPr>
      <w:r>
        <w:rPr>
          <w:rFonts w:ascii="Arial" w:hAnsi="Arial"/>
          <w:sz w:val="16"/>
        </w:rPr>
        <w:t>532.31  همه پرچم‌های دیگر نیز باید هنگام نمایش با پرچم ایالات متحده روشن شوند.</w:t>
      </w:r>
    </w:p>
    <w:p>
      <w:pPr>
        <w:spacing w:after="28" w:line="216" w:lineRule="auto"/>
        <w:ind w:left="259"/>
        <w:jc w:val="left"/>
      </w:pPr>
      <w:r>
        <w:rPr>
          <w:rFonts w:ascii="Arial" w:hAnsi="Arial"/>
          <w:color w:val="525252"/>
          <w:sz w:val="13"/>
        </w:rPr>
        <w:t>All other flags should also be illuminated when displayed with the United States flag.</w:t>
      </w:r>
    </w:p>
    <w:p>
      <w:pPr>
        <w:spacing w:after="20" w:line="223" w:lineRule="auto"/>
        <w:jc w:val="right"/>
        <w:bidi/>
      </w:pPr>
      <w:r>
        <w:rPr>
          <w:rFonts w:ascii="Arial" w:hAnsi="Arial"/>
          <w:sz w:val="16"/>
        </w:rPr>
        <w:t>532.32  مکان‌ها.</w:t>
      </w:r>
    </w:p>
    <w:p>
      <w:pPr>
        <w:spacing w:after="28" w:line="216" w:lineRule="auto"/>
        <w:ind w:left="259"/>
        <w:jc w:val="left"/>
      </w:pPr>
      <w:r>
        <w:rPr>
          <w:rFonts w:ascii="Arial" w:hAnsi="Arial"/>
          <w:color w:val="525252"/>
          <w:sz w:val="13"/>
        </w:rPr>
        <w:t>Locations.</w:t>
      </w:r>
    </w:p>
    <w:p>
      <w:pPr>
        <w:spacing w:after="20" w:line="223" w:lineRule="auto"/>
        <w:jc w:val="right"/>
        <w:bidi/>
      </w:pPr>
      <w:r>
        <w:rPr>
          <w:rFonts w:ascii="Arial" w:hAnsi="Arial"/>
          <w:sz w:val="16"/>
        </w:rPr>
        <w:t>532.33  تاسیسات USAF مجاز به به اهتزاز درآوردن یک پرچم نصب از ریل تا عقب نشینی هستند، معمولا روی چوب پرچمی که در مقابل مقر نصب قرار می‌گیرد، و پرچم‌ها و پرچم‌های اضافی در مجاورت هر مدرسه وابسته به نصب مجاز هستند.</w:t>
      </w:r>
    </w:p>
    <w:p>
      <w:pPr>
        <w:spacing w:after="28" w:line="216" w:lineRule="auto"/>
        <w:ind w:left="259"/>
        <w:jc w:val="left"/>
      </w:pPr>
      <w:r>
        <w:rPr>
          <w:rFonts w:ascii="Arial" w:hAnsi="Arial"/>
          <w:color w:val="525252"/>
          <w:sz w:val="13"/>
        </w:rPr>
        <w:t>USAF installations are authorized to fly one installation flag from reveille to retreat, normally on a flagstaff placed in front of the installation headquarters, and additional flagstaffs and flags are authorized adjacent to each dependent school on the installation.</w:t>
      </w:r>
    </w:p>
    <w:p>
      <w:pPr>
        <w:spacing w:after="20" w:line="223" w:lineRule="auto"/>
        <w:jc w:val="right"/>
        <w:bidi/>
      </w:pPr>
      <w:r>
        <w:rPr>
          <w:rFonts w:ascii="Arial" w:hAnsi="Arial"/>
          <w:sz w:val="16"/>
        </w:rPr>
        <w:t>532.34  پرچم باید هر روز در یا نزدیک ساختمان اداری اصلی هر موسسه دولتی نمایش داده شود. همچنین باید در طول روزهای مدرسه در یا نزدیک هر مدرسه نمایش داده شود.</w:t>
      </w:r>
    </w:p>
    <w:p>
      <w:pPr>
        <w:spacing w:after="28" w:line="216" w:lineRule="auto"/>
        <w:ind w:left="259"/>
        <w:jc w:val="left"/>
      </w:pPr>
      <w:r>
        <w:rPr>
          <w:rFonts w:ascii="Arial" w:hAnsi="Arial"/>
          <w:color w:val="525252"/>
          <w:sz w:val="13"/>
        </w:rPr>
        <w:t>The flag should be displayed daily on or near the main administration building of every public institution; it should also be displayed during school days in or near every schoolhouse.</w:t>
      </w:r>
    </w:p>
    <w:p>
      <w:pPr>
        <w:spacing w:after="20" w:line="223" w:lineRule="auto"/>
        <w:jc w:val="right"/>
        <w:bidi/>
      </w:pPr>
      <w:r>
        <w:rPr>
          <w:rFonts w:ascii="Arial" w:hAnsi="Arial"/>
          <w:sz w:val="16"/>
        </w:rPr>
        <w:t>532.35  تعطیلات.</w:t>
      </w:r>
    </w:p>
    <w:p>
      <w:pPr>
        <w:spacing w:after="28" w:line="216" w:lineRule="auto"/>
        <w:ind w:left="259"/>
        <w:jc w:val="left"/>
      </w:pPr>
      <w:r>
        <w:rPr>
          <w:rFonts w:ascii="Arial" w:hAnsi="Arial"/>
          <w:color w:val="525252"/>
          <w:sz w:val="13"/>
        </w:rPr>
        <w:t>Holidays.</w:t>
      </w:r>
    </w:p>
    <w:p>
      <w:pPr>
        <w:spacing w:after="20" w:line="223" w:lineRule="auto"/>
        <w:jc w:val="right"/>
        <w:bidi/>
      </w:pPr>
      <w:r>
        <w:rPr>
          <w:rFonts w:ascii="Arial" w:hAnsi="Arial"/>
          <w:sz w:val="16"/>
        </w:rPr>
        <w:t>532.36  پرچم ایالات متحده باید در تمام روزهایی که ممکن است توسط رئیس جمهور ایالات متحده اعلام می‌شود، روزهای تولد ایالت‌ها (تاریخ پذیرش)، و در تعطیلات ایالتی نمایش داده شود.</w:t>
      </w:r>
    </w:p>
    <w:p>
      <w:pPr>
        <w:spacing w:after="28" w:line="216" w:lineRule="auto"/>
        <w:ind w:left="259"/>
        <w:jc w:val="left"/>
      </w:pPr>
      <w:r>
        <w:rPr>
          <w:rFonts w:ascii="Arial" w:hAnsi="Arial"/>
          <w:color w:val="525252"/>
          <w:sz w:val="13"/>
        </w:rPr>
        <w:t>The United States flag should be displayed on all days as may be proclaimed by the U.S. President, the birthdays of states (date of admission), and on state holidays.</w:t>
      </w:r>
    </w:p>
    <w:p>
      <w:pPr>
        <w:spacing w:after="20" w:line="223" w:lineRule="auto"/>
        <w:jc w:val="right"/>
        <w:bidi/>
      </w:pPr>
      <w:r>
        <w:rPr>
          <w:rFonts w:ascii="Arial" w:hAnsi="Arial"/>
          <w:sz w:val="16"/>
        </w:rPr>
        <w:t>532.37  همچنین باید در تعطیلات ملی زیر نمایش داده شود.</w:t>
      </w:r>
    </w:p>
    <w:p>
      <w:pPr>
        <w:spacing w:after="28" w:line="216" w:lineRule="auto"/>
        <w:ind w:left="259"/>
        <w:jc w:val="left"/>
      </w:pPr>
      <w:r>
        <w:rPr>
          <w:rFonts w:ascii="Arial" w:hAnsi="Arial"/>
          <w:color w:val="525252"/>
          <w:sz w:val="13"/>
        </w:rPr>
        <w:t>It should also be displayed on the following national holidays.</w:t>
      </w:r>
    </w:p>
    <w:p>
      <w:r>
        <w:br w:type="page"/>
      </w:r>
    </w:p>
    <w:p>
      <w:pPr>
        <w:spacing w:after="60"/>
        <w:jc w:val="right"/>
        <w:bidi/>
      </w:pPr>
      <w:r>
        <w:rPr>
          <w:rFonts w:ascii="Arial" w:hAnsi="Arial"/>
          <w:b/>
          <w:color w:val="1F4D78"/>
          <w:sz w:val="19"/>
        </w:rPr>
        <w:t>هفتهٔ 533  |  صفحهٔ منبع: 549</w:t>
      </w:r>
    </w:p>
    <w:p>
      <w:pPr>
        <w:spacing w:after="20" w:line="223" w:lineRule="auto"/>
        <w:jc w:val="right"/>
        <w:bidi/>
      </w:pPr>
      <w:r>
        <w:rPr>
          <w:rFonts w:ascii="Arial" w:hAnsi="Arial"/>
          <w:sz w:val="16"/>
        </w:rPr>
        <w:t>533.01  روز سال نو روز افتتاحیه روز پدر روز استقلال روز تولد مارتین لوتر کینگ جونیور تولد سرباز کهنه‌سربازان جنگ کره روز آتش بس روز تولد لینکلن روز کارگر روز تولد واشنگتن روز قانون اساسی یکشنبه عید پاک (متغیر) روز کلمبوس روز مادر برای روز نیروی دریایی ارتشافل ظهر) روز شکرگزاری روز پرچم روز کریسمس ژوئنتند</w:t>
      </w:r>
    </w:p>
    <w:p>
      <w:pPr>
        <w:spacing w:after="28" w:line="216" w:lineRule="auto"/>
        <w:ind w:left="259"/>
        <w:jc w:val="left"/>
      </w:pPr>
      <w:r>
        <w:rPr>
          <w:rFonts w:ascii="Arial" w:hAnsi="Arial"/>
          <w:color w:val="525252"/>
          <w:sz w:val="13"/>
        </w:rPr>
        <w:t>New Year’s Day Father’s Day Inauguration Day Independence Day Martin Luther King Jr.’s Birthday Nat’l Korean War Veterans Armistice Day Lincoln's Birthday Labor Day Washington’s Birthday Constitution Day Easter Sunday (variable) Columbus Day Mother’s Day Navy Day Armed Forces Day Veterans Day Memorial Day (half-staff until noon) Thanksgiving Day Flag Day Christmas Day Juneteenth</w:t>
      </w:r>
    </w:p>
    <w:p>
      <w:pPr>
        <w:spacing w:before="60" w:after="28"/>
        <w:jc w:val="right"/>
        <w:bidi/>
      </w:pPr>
      <w:r>
        <w:rPr>
          <w:b/>
          <w:color w:val="1F4D78"/>
          <w:sz w:val="18"/>
        </w:rPr>
        <w:t>24.14. موقعیت و نحوه نمایش</w:t>
      </w:r>
    </w:p>
    <w:p>
      <w:pPr>
        <w:spacing w:after="20"/>
        <w:ind w:left="259"/>
        <w:jc w:val="left"/>
      </w:pPr>
      <w:r>
        <w:rPr>
          <w:color w:val="555555"/>
          <w:sz w:val="12"/>
        </w:rPr>
        <w:t>24.14. Position and Manner of Display</w:t>
      </w:r>
    </w:p>
    <w:p>
      <w:pPr>
        <w:spacing w:after="20" w:line="223" w:lineRule="auto"/>
        <w:jc w:val="right"/>
        <w:bidi/>
      </w:pPr>
      <w:r>
        <w:rPr>
          <w:rFonts w:ascii="Arial" w:hAnsi="Arial"/>
          <w:sz w:val="16"/>
        </w:rPr>
        <w:t>533.03  پرچم ایالات متحده همیشه روی صحنه یا در یک رژه به تنهایی نمایش داده می‌شود.</w:t>
      </w:r>
    </w:p>
    <w:p>
      <w:pPr>
        <w:spacing w:after="28" w:line="216" w:lineRule="auto"/>
        <w:ind w:left="259"/>
        <w:jc w:val="left"/>
      </w:pPr>
      <w:r>
        <w:rPr>
          <w:rFonts w:ascii="Arial" w:hAnsi="Arial"/>
          <w:color w:val="525252"/>
          <w:sz w:val="13"/>
        </w:rPr>
        <w:t>The United States flag is always displayed on a stage or in a parade on its own right.</w:t>
      </w:r>
    </w:p>
    <w:p>
      <w:pPr>
        <w:spacing w:after="20" w:line="223" w:lineRule="auto"/>
        <w:jc w:val="right"/>
        <w:bidi/>
      </w:pPr>
      <w:r>
        <w:rPr>
          <w:rFonts w:ascii="Arial" w:hAnsi="Arial"/>
          <w:sz w:val="16"/>
        </w:rPr>
        <w:t>533.04  به عبارت دیگر، برای مخاطبی که به یک صحنه نگاه می‌کند، پرچم در سمت چپ تماشاگر قرار دارد.</w:t>
      </w:r>
    </w:p>
    <w:p>
      <w:pPr>
        <w:spacing w:after="28" w:line="216" w:lineRule="auto"/>
        <w:ind w:left="259"/>
        <w:jc w:val="left"/>
      </w:pPr>
      <w:r>
        <w:rPr>
          <w:rFonts w:ascii="Arial" w:hAnsi="Arial"/>
          <w:color w:val="525252"/>
          <w:sz w:val="13"/>
        </w:rPr>
        <w:t>In other words, for an audience looking at a stage, the flag is on the audience’s left.</w:t>
      </w:r>
    </w:p>
    <w:p>
      <w:pPr>
        <w:spacing w:after="20" w:line="223" w:lineRule="auto"/>
        <w:jc w:val="right"/>
        <w:bidi/>
      </w:pPr>
      <w:r>
        <w:rPr>
          <w:rFonts w:ascii="Arial" w:hAnsi="Arial"/>
          <w:sz w:val="16"/>
        </w:rPr>
        <w:t>533.05  هنگام نمایش پرچم، اتحاد (ستاره‌های سفید در قسمت آبی) در بالاترین قسمت سمت راست خود پرچم نمایش داده می‌شود.</w:t>
      </w:r>
    </w:p>
    <w:p>
      <w:pPr>
        <w:spacing w:after="28" w:line="216" w:lineRule="auto"/>
        <w:ind w:left="259"/>
        <w:jc w:val="left"/>
      </w:pPr>
      <w:r>
        <w:rPr>
          <w:rFonts w:ascii="Arial" w:hAnsi="Arial"/>
          <w:color w:val="525252"/>
          <w:sz w:val="13"/>
        </w:rPr>
        <w:t>When displaying the flag, the union (the white stars on the blue field) is displayed at the uppermost, right side of the flag itself.</w:t>
      </w:r>
    </w:p>
    <w:p>
      <w:pPr>
        <w:spacing w:before="60" w:after="28"/>
        <w:jc w:val="right"/>
        <w:bidi/>
      </w:pPr>
      <w:r>
        <w:rPr>
          <w:b/>
          <w:color w:val="1F4D78"/>
          <w:sz w:val="18"/>
        </w:rPr>
        <w:t>شکل 24.4. به عنوان نمونه ای برای نمایش مناسب پرچم ایالات متحده در موقعیت ها و تنظیمات مختلف ارائه شده است.</w:t>
      </w:r>
    </w:p>
    <w:p>
      <w:pPr>
        <w:spacing w:after="20"/>
        <w:ind w:left="259"/>
        <w:jc w:val="left"/>
      </w:pPr>
      <w:r>
        <w:rPr>
          <w:color w:val="555555"/>
          <w:sz w:val="12"/>
        </w:rPr>
        <w:t>Figure 24.4. is provided as an example for proper display of the United States flag in various situations and configurations.</w:t>
      </w:r>
    </w:p>
    <w:p>
      <w:pPr>
        <w:spacing w:after="20" w:line="223" w:lineRule="auto"/>
        <w:jc w:val="right"/>
        <w:bidi/>
      </w:pPr>
      <w:r>
        <w:rPr>
          <w:rFonts w:ascii="Arial" w:hAnsi="Arial"/>
          <w:sz w:val="16"/>
        </w:rPr>
        <w:t>533.07  در صفوف با پرچم دیگری حمل شد.</w:t>
      </w:r>
    </w:p>
    <w:p>
      <w:pPr>
        <w:spacing w:after="28" w:line="216" w:lineRule="auto"/>
        <w:ind w:left="259"/>
        <w:jc w:val="left"/>
      </w:pPr>
      <w:r>
        <w:rPr>
          <w:rFonts w:ascii="Arial" w:hAnsi="Arial"/>
          <w:color w:val="525252"/>
          <w:sz w:val="13"/>
        </w:rPr>
        <w:t>Carried in Procession with Another Flag.</w:t>
      </w:r>
    </w:p>
    <w:p>
      <w:pPr>
        <w:spacing w:after="20" w:line="223" w:lineRule="auto"/>
        <w:jc w:val="right"/>
        <w:bidi/>
      </w:pPr>
      <w:r>
        <w:rPr>
          <w:rFonts w:ascii="Arial" w:hAnsi="Arial"/>
          <w:sz w:val="16"/>
        </w:rPr>
        <w:t>533.08  به‌عنوان یک قانون سرانگشتی، هنگامی که پرچم ایالات متحده در یک راهپیمایی با پرچم یا پرچم دیگری نمایش داده می‌شود یا حمل می‌شود، باید یا در سمت راست همه پرچم‌ها یا جلوتر و جلوتر از سایر پرچم‌ها قرار گیرد، اگر صفی از پرچم‌های دیگر در همان راهپیمایی وجود داشته باشد.</w:t>
      </w:r>
    </w:p>
    <w:p>
      <w:pPr>
        <w:spacing w:after="28" w:line="216" w:lineRule="auto"/>
        <w:ind w:left="259"/>
        <w:jc w:val="left"/>
      </w:pPr>
      <w:r>
        <w:rPr>
          <w:rFonts w:ascii="Arial" w:hAnsi="Arial"/>
          <w:color w:val="525252"/>
          <w:sz w:val="13"/>
        </w:rPr>
        <w:t>As a rule of thumb, when the United States flag is displayed or carried in a procession with another flag or flags, it should be either on the right of all others, or in front of and centered ahead of other flags, if there is a line of other flags in the same procession.</w:t>
      </w:r>
    </w:p>
    <w:p>
      <w:pPr>
        <w:spacing w:after="20" w:line="223" w:lineRule="auto"/>
        <w:jc w:val="right"/>
        <w:bidi/>
      </w:pPr>
      <w:r>
        <w:rPr>
          <w:rFonts w:ascii="Arial" w:hAnsi="Arial"/>
          <w:sz w:val="16"/>
        </w:rPr>
        <w:t>533.09  نمایش داده شده با کارکنان متقاطع.</w:t>
      </w:r>
    </w:p>
    <w:p>
      <w:pPr>
        <w:spacing w:after="28" w:line="216" w:lineRule="auto"/>
        <w:ind w:left="259"/>
        <w:jc w:val="left"/>
      </w:pPr>
      <w:r>
        <w:rPr>
          <w:rFonts w:ascii="Arial" w:hAnsi="Arial"/>
          <w:color w:val="525252"/>
          <w:sz w:val="13"/>
        </w:rPr>
        <w:t>Displayed with Crossed Staffs.</w:t>
      </w:r>
    </w:p>
    <w:p>
      <w:pPr>
        <w:spacing w:after="20" w:line="223" w:lineRule="auto"/>
        <w:jc w:val="right"/>
        <w:bidi/>
      </w:pPr>
      <w:r>
        <w:rPr>
          <w:rFonts w:ascii="Arial" w:hAnsi="Arial"/>
          <w:sz w:val="16"/>
        </w:rPr>
        <w:t>533.10  هنگامی که پرچم ایالات متحده با پرچم دیگری مقابل دیواری از عصای ضربدری نمایش داده می‌شود، باید در سمت راست، سمت راست خود پرچم (سمت چپ ناظر)، و کارکنان باید در مقابل کارکنان پرچم دیگر قرار گیرند.</w:t>
      </w:r>
    </w:p>
    <w:p>
      <w:pPr>
        <w:spacing w:after="28" w:line="216" w:lineRule="auto"/>
        <w:ind w:left="259"/>
        <w:jc w:val="left"/>
      </w:pPr>
      <w:r>
        <w:rPr>
          <w:rFonts w:ascii="Arial" w:hAnsi="Arial"/>
          <w:color w:val="525252"/>
          <w:sz w:val="13"/>
        </w:rPr>
        <w:t>When the United States flag is displayed with another flag against a wall from crossed staffs, it should be on the right, the flag’s own right (the observer’s left), and the staff should be in front of the staff of the other flag.</w:t>
      </w:r>
    </w:p>
    <w:p>
      <w:pPr>
        <w:spacing w:after="20" w:line="223" w:lineRule="auto"/>
        <w:jc w:val="right"/>
        <w:bidi/>
      </w:pPr>
      <w:r>
        <w:rPr>
          <w:rFonts w:ascii="Arial" w:hAnsi="Arial"/>
          <w:sz w:val="16"/>
        </w:rPr>
        <w:t>533.11  تابش از یک نقطه مرکزی.</w:t>
      </w:r>
    </w:p>
    <w:p>
      <w:pPr>
        <w:spacing w:after="28" w:line="216" w:lineRule="auto"/>
        <w:ind w:left="259"/>
        <w:jc w:val="left"/>
      </w:pPr>
      <w:r>
        <w:rPr>
          <w:rFonts w:ascii="Arial" w:hAnsi="Arial"/>
          <w:color w:val="525252"/>
          <w:sz w:val="13"/>
        </w:rPr>
        <w:t>Radiating from a Central Point.</w:t>
      </w:r>
    </w:p>
    <w:p>
      <w:pPr>
        <w:spacing w:after="20" w:line="223" w:lineRule="auto"/>
        <w:jc w:val="right"/>
        <w:bidi/>
      </w:pPr>
      <w:r>
        <w:rPr>
          <w:rFonts w:ascii="Arial" w:hAnsi="Arial"/>
          <w:sz w:val="16"/>
        </w:rPr>
        <w:t>533.12  هنگامی که پرچم ایالات متحده با تعدادی پرچم نمایش داده شده از کارکنان که از یک نقطه مرکزی تابش می‌کنند، به اهتزاز در می‌آید و هیچ پرچم خارجی در آن نمایش داده نمی‌شود، پرچم ایالات متحده در مرکز و در بالاترین نقطه گروه قرار خواهد گرفت.</w:t>
      </w:r>
    </w:p>
    <w:p>
      <w:pPr>
        <w:spacing w:after="28" w:line="216" w:lineRule="auto"/>
        <w:ind w:left="259"/>
        <w:jc w:val="left"/>
      </w:pPr>
      <w:r>
        <w:rPr>
          <w:rFonts w:ascii="Arial" w:hAnsi="Arial"/>
          <w:color w:val="525252"/>
          <w:sz w:val="13"/>
        </w:rPr>
        <w:t>When the United States flag is flown with a number of flags displayed from staffs radiating from a central point, and no foreign flags are in the display, the United States flag will be in the center and at the highest point of the group.</w:t>
      </w:r>
    </w:p>
    <w:p>
      <w:pPr>
        <w:spacing w:after="20" w:line="223" w:lineRule="auto"/>
        <w:jc w:val="right"/>
        <w:bidi/>
      </w:pPr>
      <w:r>
        <w:rPr>
          <w:rFonts w:ascii="Arial" w:hAnsi="Arial"/>
          <w:sz w:val="16"/>
        </w:rPr>
        <w:t>533.13  طرح ریزی از یک ساختمان.</w:t>
      </w:r>
    </w:p>
    <w:p>
      <w:pPr>
        <w:spacing w:after="28" w:line="216" w:lineRule="auto"/>
        <w:ind w:left="259"/>
        <w:jc w:val="left"/>
      </w:pPr>
      <w:r>
        <w:rPr>
          <w:rFonts w:ascii="Arial" w:hAnsi="Arial"/>
          <w:color w:val="525252"/>
          <w:sz w:val="13"/>
        </w:rPr>
        <w:t>Projecting from a Building.</w:t>
      </w:r>
    </w:p>
    <w:p>
      <w:pPr>
        <w:spacing w:after="20" w:line="223" w:lineRule="auto"/>
        <w:jc w:val="right"/>
        <w:bidi/>
      </w:pPr>
      <w:r>
        <w:rPr>
          <w:rFonts w:ascii="Arial" w:hAnsi="Arial"/>
          <w:sz w:val="16"/>
        </w:rPr>
        <w:t>533.14  هنگامی که پرچم ایالات متحده از کارکنانی که به صورت افقی یا زاویه دار از طاقچه، بالکن یا جلوی ساختمان بیرون می‌زند، نمایش داده می‌شود، اتحاد پرچم باید در اوج کارکنان قرار گیرد.</w:t>
      </w:r>
    </w:p>
    <w:p>
      <w:pPr>
        <w:spacing w:after="28" w:line="216" w:lineRule="auto"/>
        <w:ind w:left="259"/>
        <w:jc w:val="left"/>
      </w:pPr>
      <w:r>
        <w:rPr>
          <w:rFonts w:ascii="Arial" w:hAnsi="Arial"/>
          <w:color w:val="525252"/>
          <w:sz w:val="13"/>
        </w:rPr>
        <w:t>When the United States flag is displayed from a staff projecting horizontally or at an angle from the windowsill, balcony, or front of a building, the union of the flag should be placed at the peak of the staff.</w:t>
      </w:r>
    </w:p>
    <w:p>
      <w:pPr>
        <w:spacing w:after="20" w:line="223" w:lineRule="auto"/>
        <w:jc w:val="right"/>
        <w:bidi/>
      </w:pPr>
      <w:r>
        <w:rPr>
          <w:rFonts w:ascii="Arial" w:hAnsi="Arial"/>
          <w:sz w:val="16"/>
        </w:rPr>
        <w:t>533.15  در یک ردیف یا خط با ارتفاع مساوی.</w:t>
      </w:r>
    </w:p>
    <w:p>
      <w:pPr>
        <w:spacing w:after="28" w:line="216" w:lineRule="auto"/>
        <w:ind w:left="259"/>
        <w:jc w:val="left"/>
      </w:pPr>
      <w:r>
        <w:rPr>
          <w:rFonts w:ascii="Arial" w:hAnsi="Arial"/>
          <w:color w:val="525252"/>
          <w:sz w:val="13"/>
        </w:rPr>
        <w:t>In a Row or Line with Equal Height.</w:t>
      </w:r>
    </w:p>
    <w:p>
      <w:pPr>
        <w:spacing w:after="20" w:line="223" w:lineRule="auto"/>
        <w:jc w:val="right"/>
        <w:bidi/>
      </w:pPr>
      <w:r>
        <w:rPr>
          <w:rFonts w:ascii="Arial" w:hAnsi="Arial"/>
          <w:sz w:val="16"/>
        </w:rPr>
        <w:t>533.16  هنگامی که پرچم ایالات متحده با تعدادی پرچم نمایش داده شده از کارکنان در یک خط به اهتزاز در می‌آید، همه کارکنان دارای ارتفاع یکسان و پایانی یکسان خواهند بود.</w:t>
      </w:r>
    </w:p>
    <w:p>
      <w:pPr>
        <w:spacing w:after="28" w:line="216" w:lineRule="auto"/>
        <w:ind w:left="259"/>
        <w:jc w:val="left"/>
      </w:pPr>
      <w:r>
        <w:rPr>
          <w:rFonts w:ascii="Arial" w:hAnsi="Arial"/>
          <w:color w:val="525252"/>
          <w:sz w:val="13"/>
        </w:rPr>
        <w:t>When the United States flag is flown with a number of flags displayed from staffs set in a line, all staffs will be of the same height and same finial.</w:t>
      </w:r>
    </w:p>
    <w:p>
      <w:pPr>
        <w:spacing w:after="20" w:line="223" w:lineRule="auto"/>
        <w:jc w:val="right"/>
        <w:bidi/>
      </w:pPr>
      <w:r>
        <w:rPr>
          <w:rFonts w:ascii="Arial" w:hAnsi="Arial"/>
          <w:sz w:val="16"/>
        </w:rPr>
        <w:t>533.17  پرچم ایالات متحده در سمت راست گروه (سمت چپ ناظر) قرار خواهد گرفت.</w:t>
      </w:r>
    </w:p>
    <w:p>
      <w:pPr>
        <w:spacing w:after="28" w:line="216" w:lineRule="auto"/>
        <w:ind w:left="259"/>
        <w:jc w:val="left"/>
      </w:pPr>
      <w:r>
        <w:rPr>
          <w:rFonts w:ascii="Arial" w:hAnsi="Arial"/>
          <w:color w:val="525252"/>
          <w:sz w:val="13"/>
        </w:rPr>
        <w:t>The United States flag will be on the right side of the group (the observer’s left).</w:t>
      </w:r>
    </w:p>
    <w:p>
      <w:pPr>
        <w:spacing w:after="20" w:line="223" w:lineRule="auto"/>
        <w:jc w:val="right"/>
        <w:bidi/>
      </w:pPr>
      <w:r>
        <w:rPr>
          <w:rFonts w:ascii="Arial" w:hAnsi="Arial"/>
          <w:sz w:val="16"/>
        </w:rPr>
        <w:t>533.18  در یک ردیف یا خط با ارتفاع بالا.</w:t>
      </w:r>
    </w:p>
    <w:p>
      <w:pPr>
        <w:spacing w:after="28" w:line="216" w:lineRule="auto"/>
        <w:ind w:left="259"/>
        <w:jc w:val="left"/>
      </w:pPr>
      <w:r>
        <w:rPr>
          <w:rFonts w:ascii="Arial" w:hAnsi="Arial"/>
          <w:color w:val="525252"/>
          <w:sz w:val="13"/>
        </w:rPr>
        <w:t>In a Row or Line with Elevated Height.</w:t>
      </w:r>
    </w:p>
    <w:p>
      <w:pPr>
        <w:spacing w:after="20" w:line="223" w:lineRule="auto"/>
        <w:jc w:val="right"/>
        <w:bidi/>
      </w:pPr>
      <w:r>
        <w:rPr>
          <w:rFonts w:ascii="Arial" w:hAnsi="Arial"/>
          <w:sz w:val="16"/>
        </w:rPr>
        <w:t>533.19  هنگامی که هیچ پرچم ملی خارجی در نمایش وجود ندارد، پرچم ایالات متحده ممکن است در مرکز خط قرار گیرد و در سطح بالاتری نسبت به سایر پرچم‌های نمایش داده شود.</w:t>
      </w:r>
    </w:p>
    <w:p>
      <w:pPr>
        <w:spacing w:after="28" w:line="216" w:lineRule="auto"/>
        <w:ind w:left="259"/>
        <w:jc w:val="left"/>
      </w:pPr>
      <w:r>
        <w:rPr>
          <w:rFonts w:ascii="Arial" w:hAnsi="Arial"/>
          <w:color w:val="525252"/>
          <w:sz w:val="13"/>
        </w:rPr>
        <w:t>When no foreign national flags are involved in the display, the United States flag may be placed at the center of the line and displayed at a higher level than the other flags in the display.</w:t>
      </w:r>
    </w:p>
    <w:p>
      <w:pPr>
        <w:spacing w:after="20" w:line="223" w:lineRule="auto"/>
        <w:jc w:val="right"/>
        <w:bidi/>
      </w:pPr>
      <w:r>
        <w:rPr>
          <w:rFonts w:ascii="Arial" w:hAnsi="Arial"/>
          <w:sz w:val="16"/>
        </w:rPr>
        <w:t>533.20  با یک یا چند کشور نمایش داده می‌شود.</w:t>
      </w:r>
    </w:p>
    <w:p>
      <w:pPr>
        <w:spacing w:after="28" w:line="216" w:lineRule="auto"/>
        <w:ind w:left="259"/>
        <w:jc w:val="left"/>
      </w:pPr>
      <w:r>
        <w:rPr>
          <w:rFonts w:ascii="Arial" w:hAnsi="Arial"/>
          <w:color w:val="525252"/>
          <w:sz w:val="13"/>
        </w:rPr>
        <w:t>Displayed with One or More Nations.</w:t>
      </w:r>
    </w:p>
    <w:p>
      <w:pPr>
        <w:spacing w:after="20" w:line="223" w:lineRule="auto"/>
        <w:jc w:val="right"/>
        <w:bidi/>
      </w:pPr>
      <w:r>
        <w:rPr>
          <w:rFonts w:ascii="Arial" w:hAnsi="Arial"/>
          <w:sz w:val="16"/>
        </w:rPr>
        <w:t>533.21  هنگامی که پرچم ایالات متحده با یک یا چند کشور دیگر نمایش داده می‌شود، آنها از کارکنان جداگانه با همان ارتفاع به اهتزاز در می‌آیند.</w:t>
      </w:r>
    </w:p>
    <w:p>
      <w:pPr>
        <w:spacing w:after="28" w:line="216" w:lineRule="auto"/>
        <w:ind w:left="259"/>
        <w:jc w:val="left"/>
      </w:pPr>
      <w:r>
        <w:rPr>
          <w:rFonts w:ascii="Arial" w:hAnsi="Arial"/>
          <w:color w:val="525252"/>
          <w:sz w:val="13"/>
        </w:rPr>
        <w:t>When the United States flag is displayed with one or more other nations, they are flown from separate staffs of the same height.</w:t>
      </w:r>
    </w:p>
    <w:p>
      <w:pPr>
        <w:spacing w:after="20" w:line="223" w:lineRule="auto"/>
        <w:jc w:val="right"/>
        <w:bidi/>
      </w:pPr>
      <w:r>
        <w:rPr>
          <w:rFonts w:ascii="Arial" w:hAnsi="Arial"/>
          <w:sz w:val="16"/>
        </w:rPr>
        <w:t>533.22  پرچم‌ها باید اندازه یکسانی داشته باشند.</w:t>
      </w:r>
    </w:p>
    <w:p>
      <w:pPr>
        <w:spacing w:after="28" w:line="216" w:lineRule="auto"/>
        <w:ind w:left="259"/>
        <w:jc w:val="left"/>
      </w:pPr>
      <w:r>
        <w:rPr>
          <w:rFonts w:ascii="Arial" w:hAnsi="Arial"/>
          <w:color w:val="525252"/>
          <w:sz w:val="13"/>
        </w:rPr>
        <w:t>The flags should be of equal size.</w:t>
      </w:r>
    </w:p>
    <w:p>
      <w:pPr>
        <w:spacing w:after="20" w:line="223" w:lineRule="auto"/>
        <w:jc w:val="right"/>
        <w:bidi/>
      </w:pPr>
      <w:r>
        <w:rPr>
          <w:rFonts w:ascii="Arial" w:hAnsi="Arial"/>
          <w:sz w:val="16"/>
        </w:rPr>
        <w:t>533.23  در بیشتر موارد، پرچم کشورهای عضو در یک خط، به ترتیب حروف الفبا، با ونیتد نمایش داده می‌شود.</w:t>
      </w:r>
    </w:p>
    <w:p>
      <w:pPr>
        <w:spacing w:after="28" w:line="216" w:lineRule="auto"/>
        <w:ind w:left="259"/>
        <w:jc w:val="left"/>
      </w:pPr>
      <w:r>
        <w:rPr>
          <w:rFonts w:ascii="Arial" w:hAnsi="Arial"/>
          <w:color w:val="525252"/>
          <w:sz w:val="13"/>
        </w:rPr>
        <w:t>In most cases, member country flags are displayed in a line, alphabetically, with the United</w:t>
      </w:r>
    </w:p>
    <w:p>
      <w:r>
        <w:br w:type="page"/>
      </w:r>
    </w:p>
    <w:p>
      <w:pPr>
        <w:spacing w:after="60"/>
        <w:jc w:val="right"/>
        <w:bidi/>
      </w:pPr>
      <w:r>
        <w:rPr>
          <w:rFonts w:ascii="Arial" w:hAnsi="Arial"/>
          <w:b/>
          <w:color w:val="1F4D78"/>
          <w:sz w:val="19"/>
        </w:rPr>
        <w:t>هفتهٔ 534  |  صفحهٔ منبع: 550</w:t>
      </w:r>
    </w:p>
    <w:p>
      <w:pPr>
        <w:spacing w:after="20" w:line="223" w:lineRule="auto"/>
        <w:jc w:val="right"/>
        <w:bidi/>
      </w:pPr>
      <w:r>
        <w:rPr>
          <w:rFonts w:ascii="Arial" w:hAnsi="Arial"/>
          <w:sz w:val="16"/>
        </w:rPr>
        <w:t>534.01  پرچم ایالت در سمت راست خود (سمت چپ ناظر).</w:t>
      </w:r>
    </w:p>
    <w:p>
      <w:pPr>
        <w:spacing w:after="28" w:line="216" w:lineRule="auto"/>
        <w:ind w:left="259"/>
        <w:jc w:val="left"/>
      </w:pPr>
      <w:r>
        <w:rPr>
          <w:rFonts w:ascii="Arial" w:hAnsi="Arial"/>
          <w:color w:val="525252"/>
          <w:sz w:val="13"/>
        </w:rPr>
        <w:t>States flag at its own right (the observer’s left).</w:t>
      </w:r>
    </w:p>
    <w:p>
      <w:pPr>
        <w:spacing w:after="20" w:line="223" w:lineRule="auto"/>
        <w:jc w:val="right"/>
        <w:bidi/>
      </w:pPr>
      <w:r>
        <w:rPr>
          <w:rFonts w:ascii="Arial" w:hAnsi="Arial"/>
          <w:sz w:val="16"/>
        </w:rPr>
        <w:t>534.02  روی کارکنان نزدیک سکوی سخنران نمایش داده می‌شود.</w:t>
      </w:r>
    </w:p>
    <w:p>
      <w:pPr>
        <w:spacing w:after="28" w:line="216" w:lineRule="auto"/>
        <w:ind w:left="259"/>
        <w:jc w:val="left"/>
      </w:pPr>
      <w:r>
        <w:rPr>
          <w:rFonts w:ascii="Arial" w:hAnsi="Arial"/>
          <w:color w:val="525252"/>
          <w:sz w:val="13"/>
        </w:rPr>
        <w:t>Displayed on a Staff near a Speaker’s Platform.</w:t>
      </w:r>
    </w:p>
    <w:p>
      <w:pPr>
        <w:spacing w:after="20" w:line="223" w:lineRule="auto"/>
        <w:jc w:val="right"/>
        <w:bidi/>
      </w:pPr>
      <w:r>
        <w:rPr>
          <w:rFonts w:ascii="Arial" w:hAnsi="Arial"/>
          <w:sz w:val="16"/>
        </w:rPr>
        <w:t>534.03  هنگامی که پرچم ایالات متحده در یک کلیسا یا سالن عمومی نمایش داده می‌شود، پرچم ایالات متحده باید جایگاه برجسته و افتخاری را در سمت راست روحانی یا سخنران در حالی که او در مقابل حضار قرار می‌گیرد، داشته باشد.</w:t>
      </w:r>
    </w:p>
    <w:p>
      <w:pPr>
        <w:spacing w:after="28" w:line="216" w:lineRule="auto"/>
        <w:ind w:left="259"/>
        <w:jc w:val="left"/>
      </w:pPr>
      <w:r>
        <w:rPr>
          <w:rFonts w:ascii="Arial" w:hAnsi="Arial"/>
          <w:color w:val="525252"/>
          <w:sz w:val="13"/>
        </w:rPr>
        <w:t>When displayed from a staff in a church or public auditorium, the United States flag should hold the position of superior prominence and the position of honor at the clergyman’s or speaker’s right as he or she faces the audience.</w:t>
      </w:r>
    </w:p>
    <w:p>
      <w:pPr>
        <w:spacing w:after="20" w:line="223" w:lineRule="auto"/>
        <w:jc w:val="right"/>
        <w:bidi/>
      </w:pPr>
      <w:r>
        <w:rPr>
          <w:rFonts w:ascii="Arial" w:hAnsi="Arial"/>
          <w:sz w:val="16"/>
        </w:rPr>
        <w:t>534.04  هر پرچم دیگری که به این ترتیب نمایش داده می‌شود باید در سمت چپ روحانی یا سخنران یا در سمت راست حضار قرار گیرد.</w:t>
      </w:r>
    </w:p>
    <w:p>
      <w:pPr>
        <w:spacing w:after="28" w:line="216" w:lineRule="auto"/>
        <w:ind w:left="259"/>
        <w:jc w:val="left"/>
      </w:pPr>
      <w:r>
        <w:rPr>
          <w:rFonts w:ascii="Arial" w:hAnsi="Arial"/>
          <w:color w:val="525252"/>
          <w:sz w:val="13"/>
        </w:rPr>
        <w:t>Any other flag so displayed should be placed on the left of the clergyman or speaker, or to the right of the audience.</w:t>
      </w:r>
    </w:p>
    <w:p>
      <w:pPr>
        <w:spacing w:after="20" w:line="223" w:lineRule="auto"/>
        <w:jc w:val="right"/>
        <w:bidi/>
      </w:pPr>
      <w:r>
        <w:rPr>
          <w:rFonts w:ascii="Arial" w:hAnsi="Arial"/>
          <w:sz w:val="16"/>
        </w:rPr>
        <w:t>534.05  به صورت عمودی نمایش داده می‌شود.</w:t>
      </w:r>
    </w:p>
    <w:p>
      <w:pPr>
        <w:spacing w:after="28" w:line="216" w:lineRule="auto"/>
        <w:ind w:left="259"/>
        <w:jc w:val="left"/>
      </w:pPr>
      <w:r>
        <w:rPr>
          <w:rFonts w:ascii="Arial" w:hAnsi="Arial"/>
          <w:color w:val="525252"/>
          <w:sz w:val="13"/>
        </w:rPr>
        <w:t>Displayed Vertically.</w:t>
      </w:r>
    </w:p>
    <w:p>
      <w:pPr>
        <w:spacing w:after="20" w:line="223" w:lineRule="auto"/>
        <w:jc w:val="right"/>
        <w:bidi/>
      </w:pPr>
      <w:r>
        <w:rPr>
          <w:rFonts w:ascii="Arial" w:hAnsi="Arial"/>
          <w:sz w:val="16"/>
        </w:rPr>
        <w:t>534.06  وقتی پرچم ایالات متحده از یک ساختمان، یک پنجره یا بالای وسط یک خیابان نمایش داده می‌شود، پرچم ایالات متحده باید به صورت عمودی با اتحادیه به سمت بالا و سمت راست خود پرچم، یعنی در سمت چپ ناظر (شمال در یک خیابان شرقی و غربی، یا شرق در یک خیابان شمالی و جنوبی) آویزان شود.</w:t>
      </w:r>
    </w:p>
    <w:p>
      <w:pPr>
        <w:spacing w:after="28" w:line="216" w:lineRule="auto"/>
        <w:ind w:left="259"/>
        <w:jc w:val="left"/>
      </w:pPr>
      <w:r>
        <w:rPr>
          <w:rFonts w:ascii="Arial" w:hAnsi="Arial"/>
          <w:color w:val="525252"/>
          <w:sz w:val="13"/>
        </w:rPr>
        <w:t>When displayed from a building, a window, or over the middle of a street, the United States flag should be suspended vertically with the union to the uppermost and the flag’s own right, that is, to the observer’s left (north on an east and west street, or east on a north and south street).</w:t>
      </w:r>
    </w:p>
    <w:p>
      <w:pPr>
        <w:spacing w:after="20" w:line="223" w:lineRule="auto"/>
        <w:jc w:val="right"/>
        <w:bidi/>
      </w:pPr>
      <w:r>
        <w:rPr>
          <w:rFonts w:ascii="Arial" w:hAnsi="Arial"/>
          <w:sz w:val="16"/>
        </w:rPr>
        <w:t>534.07  زمانی که پرچم از ورودی اصلی ساختمان یا آشیانه آویزان است نیز اعمال می‌شود.</w:t>
      </w:r>
    </w:p>
    <w:p>
      <w:pPr>
        <w:spacing w:after="28" w:line="216" w:lineRule="auto"/>
        <w:ind w:left="259"/>
        <w:jc w:val="left"/>
      </w:pPr>
      <w:r>
        <w:rPr>
          <w:rFonts w:ascii="Arial" w:hAnsi="Arial"/>
          <w:color w:val="525252"/>
          <w:sz w:val="13"/>
        </w:rPr>
        <w:t>This also applies when the flag is suspended from the main entrance of a building or hangar.</w:t>
      </w:r>
    </w:p>
    <w:p>
      <w:pPr>
        <w:spacing w:after="20" w:line="223" w:lineRule="auto"/>
        <w:jc w:val="right"/>
        <w:bidi/>
      </w:pPr>
      <w:r>
        <w:rPr>
          <w:rFonts w:ascii="Arial" w:hAnsi="Arial"/>
          <w:sz w:val="16"/>
        </w:rPr>
        <w:t>534.08  به صورت افقی نمایش داده می‌شود.</w:t>
      </w:r>
    </w:p>
    <w:p>
      <w:pPr>
        <w:spacing w:after="28" w:line="216" w:lineRule="auto"/>
        <w:ind w:left="259"/>
        <w:jc w:val="left"/>
      </w:pPr>
      <w:r>
        <w:rPr>
          <w:rFonts w:ascii="Arial" w:hAnsi="Arial"/>
          <w:color w:val="525252"/>
          <w:sz w:val="13"/>
        </w:rPr>
        <w:t>Displayed Horizontally.</w:t>
      </w:r>
    </w:p>
    <w:p>
      <w:pPr>
        <w:spacing w:after="20" w:line="223" w:lineRule="auto"/>
        <w:jc w:val="right"/>
        <w:bidi/>
      </w:pPr>
      <w:r>
        <w:rPr>
          <w:rFonts w:ascii="Arial" w:hAnsi="Arial"/>
          <w:sz w:val="16"/>
        </w:rPr>
        <w:t>534.09  هنگامی که به صورت افقی در مقابل دیوار نمایش داده می‌شود یا در پشت سکوی سخنران نمایش داده می‌شود، اتحادیه پرچم ایالات متحده باید در بالاترین نقطه و سمت راست خود پرچم (سمت چپ ناظر) قرار گیرد.</w:t>
      </w:r>
    </w:p>
    <w:p>
      <w:pPr>
        <w:spacing w:after="28" w:line="216" w:lineRule="auto"/>
        <w:ind w:left="259"/>
        <w:jc w:val="left"/>
      </w:pPr>
      <w:r>
        <w:rPr>
          <w:rFonts w:ascii="Arial" w:hAnsi="Arial"/>
          <w:color w:val="525252"/>
          <w:sz w:val="13"/>
        </w:rPr>
        <w:t>When displayed horizontally against a wall or when displayed behind a speaker’s platform, the union of the United States flag should be uppermost and to the flag’s own right (the observer’s left).</w:t>
      </w:r>
    </w:p>
    <w:p>
      <w:pPr>
        <w:spacing w:after="20" w:line="223" w:lineRule="auto"/>
        <w:jc w:val="right"/>
        <w:bidi/>
      </w:pPr>
      <w:r>
        <w:rPr>
          <w:rFonts w:ascii="Arial" w:hAnsi="Arial"/>
          <w:sz w:val="16"/>
        </w:rPr>
        <w:t>534.10  هنگامی که در یک پنجره نمایش داده می‌شود، پرچم باید به همان شکل و با اتحاد در سمت چپ ناظر نمایش داده شود.</w:t>
      </w:r>
    </w:p>
    <w:p>
      <w:pPr>
        <w:spacing w:after="28" w:line="216" w:lineRule="auto"/>
        <w:ind w:left="259"/>
        <w:jc w:val="left"/>
      </w:pPr>
      <w:r>
        <w:rPr>
          <w:rFonts w:ascii="Arial" w:hAnsi="Arial"/>
          <w:color w:val="525252"/>
          <w:sz w:val="13"/>
        </w:rPr>
        <w:t>When displayed in a window, the flag should be displayed in the same way, with the union to the observer’s left.</w:t>
      </w:r>
    </w:p>
    <w:p>
      <w:pPr>
        <w:spacing w:after="20" w:line="223" w:lineRule="auto"/>
        <w:jc w:val="right"/>
        <w:bidi/>
      </w:pPr>
      <w:r>
        <w:rPr>
          <w:rFonts w:ascii="Arial" w:hAnsi="Arial"/>
          <w:sz w:val="16"/>
        </w:rPr>
        <w:t>534.11  روی تابوت بسته نمایش داده می‌شود.</w:t>
      </w:r>
    </w:p>
    <w:p>
      <w:pPr>
        <w:spacing w:after="28" w:line="216" w:lineRule="auto"/>
        <w:ind w:left="259"/>
        <w:jc w:val="left"/>
      </w:pPr>
      <w:r>
        <w:rPr>
          <w:rFonts w:ascii="Arial" w:hAnsi="Arial"/>
          <w:color w:val="525252"/>
          <w:sz w:val="13"/>
        </w:rPr>
        <w:t>Displayed on a Closed Casket.</w:t>
      </w:r>
    </w:p>
    <w:p>
      <w:pPr>
        <w:spacing w:after="20" w:line="223" w:lineRule="auto"/>
        <w:jc w:val="right"/>
        <w:bidi/>
      </w:pPr>
      <w:r>
        <w:rPr>
          <w:rFonts w:ascii="Arial" w:hAnsi="Arial"/>
          <w:sz w:val="16"/>
        </w:rPr>
        <w:t>534.12  روی یک تابوت دربسته، پرچم ایالات متحده را به صورت طولی با اتحادیه در سر و روی شانه چپ متوفی قرار دهید.</w:t>
      </w:r>
    </w:p>
    <w:p>
      <w:pPr>
        <w:spacing w:after="28" w:line="216" w:lineRule="auto"/>
        <w:ind w:left="259"/>
        <w:jc w:val="left"/>
      </w:pPr>
      <w:r>
        <w:rPr>
          <w:rFonts w:ascii="Arial" w:hAnsi="Arial"/>
          <w:color w:val="525252"/>
          <w:sz w:val="13"/>
        </w:rPr>
        <w:t>On a closed casket, place the United States flag lengthwise with the union at the head and over the left shoulder of the deceased.</w:t>
      </w:r>
    </w:p>
    <w:p>
      <w:pPr>
        <w:spacing w:after="20" w:line="223" w:lineRule="auto"/>
        <w:jc w:val="right"/>
        <w:bidi/>
      </w:pPr>
      <w:r>
        <w:rPr>
          <w:rFonts w:ascii="Arial" w:hAnsi="Arial"/>
          <w:sz w:val="16"/>
        </w:rPr>
        <w:t>534.13  پرچم را در قبر فرو نبرید و نگذارید پرچم به زمین برسد.</w:t>
      </w:r>
    </w:p>
    <w:p>
      <w:pPr>
        <w:spacing w:after="28" w:line="216" w:lineRule="auto"/>
        <w:ind w:left="259"/>
        <w:jc w:val="left"/>
      </w:pPr>
      <w:r>
        <w:rPr>
          <w:rFonts w:ascii="Arial" w:hAnsi="Arial"/>
          <w:color w:val="525252"/>
          <w:sz w:val="13"/>
        </w:rPr>
        <w:t>Do not lower the flag into the grave, and do not allow the flag to touch the ground.</w:t>
      </w:r>
    </w:p>
    <w:p>
      <w:pPr>
        <w:spacing w:after="20" w:line="223" w:lineRule="auto"/>
        <w:jc w:val="right"/>
        <w:bidi/>
      </w:pPr>
      <w:r>
        <w:rPr>
          <w:rFonts w:ascii="Arial" w:hAnsi="Arial"/>
          <w:sz w:val="16"/>
        </w:rPr>
        <w:t>534.14  پرچم تدفین ممکن است در پایان مراسم تدفین به خویشاوندان بعدی داده شود.</w:t>
      </w:r>
    </w:p>
    <w:p>
      <w:pPr>
        <w:spacing w:after="28" w:line="216" w:lineRule="auto"/>
        <w:ind w:left="259"/>
        <w:jc w:val="left"/>
      </w:pPr>
      <w:r>
        <w:rPr>
          <w:rFonts w:ascii="Arial" w:hAnsi="Arial"/>
          <w:color w:val="525252"/>
          <w:sz w:val="13"/>
        </w:rPr>
        <w:t>The interment flag may be given to the next of kin at the conclusion of the interment.</w:t>
      </w:r>
    </w:p>
    <w:p>
      <w:pPr>
        <w:spacing w:after="20" w:line="223" w:lineRule="auto"/>
        <w:jc w:val="right"/>
        <w:bidi/>
      </w:pPr>
      <w:r>
        <w:rPr>
          <w:rFonts w:ascii="Arial" w:hAnsi="Arial"/>
          <w:sz w:val="16"/>
        </w:rPr>
        <w:t>534.15  نمایش داده شده در نیمه کارکنان.</w:t>
      </w:r>
    </w:p>
    <w:p>
      <w:pPr>
        <w:spacing w:after="28" w:line="216" w:lineRule="auto"/>
        <w:ind w:left="259"/>
        <w:jc w:val="left"/>
      </w:pPr>
      <w:r>
        <w:rPr>
          <w:rFonts w:ascii="Arial" w:hAnsi="Arial"/>
          <w:color w:val="525252"/>
          <w:sz w:val="13"/>
        </w:rPr>
        <w:t>Displayed at Half-Staff.</w:t>
      </w:r>
    </w:p>
    <w:p>
      <w:pPr>
        <w:spacing w:after="20" w:line="223" w:lineRule="auto"/>
        <w:jc w:val="right"/>
        <w:bidi/>
      </w:pPr>
      <w:r>
        <w:rPr>
          <w:rFonts w:ascii="Arial" w:hAnsi="Arial"/>
          <w:sz w:val="16"/>
        </w:rPr>
        <w:t>534.16  اصطلاح "نیمه کارکنان" به معنای موقعیت پرچم ایالات متحده است که نیمی از فاصله بین بالا و پایین کارکنان باشد.</w:t>
      </w:r>
    </w:p>
    <w:p>
      <w:pPr>
        <w:spacing w:after="28" w:line="216" w:lineRule="auto"/>
        <w:ind w:left="259"/>
        <w:jc w:val="left"/>
      </w:pPr>
      <w:r>
        <w:rPr>
          <w:rFonts w:ascii="Arial" w:hAnsi="Arial"/>
          <w:color w:val="525252"/>
          <w:sz w:val="13"/>
        </w:rPr>
        <w:t>The term “half-staff” means the position of the United States flag when it is one-half the distance between the top and bottom of the staff.</w:t>
      </w:r>
    </w:p>
    <w:p>
      <w:pPr>
        <w:spacing w:after="20" w:line="223" w:lineRule="auto"/>
        <w:jc w:val="right"/>
        <w:bidi/>
      </w:pPr>
      <w:r>
        <w:rPr>
          <w:rFonts w:ascii="Arial" w:hAnsi="Arial"/>
          <w:sz w:val="16"/>
        </w:rPr>
        <w:t>534.17  همه پرچم‌هایی که با پرچم ایالات متحده به نمایش گذاشته می‌شوند، زمانی که پرچم ایالات متحده نیمه افراشته است، به استثنای پرچم‌های کشورهای خارجی، به افراشته می‌شوند، مگر اینکه کشور خارجی اجازه داده باشد که پرچم آنها نیز نیمه افراشته باشد.</w:t>
      </w:r>
    </w:p>
    <w:p>
      <w:pPr>
        <w:spacing w:after="28" w:line="216" w:lineRule="auto"/>
        <w:ind w:left="259"/>
        <w:jc w:val="left"/>
      </w:pPr>
      <w:r>
        <w:rPr>
          <w:rFonts w:ascii="Arial" w:hAnsi="Arial"/>
          <w:color w:val="525252"/>
          <w:sz w:val="13"/>
        </w:rPr>
        <w:t>All flags displayed with the United States flag are flown at half-staff when the United States flag is flown at half-staff, with the exception of foreign national flags, unless the foreign country has granted permission for their flag to also be at half-staff.</w:t>
      </w:r>
    </w:p>
    <w:p>
      <w:pPr>
        <w:spacing w:after="20" w:line="223" w:lineRule="auto"/>
        <w:jc w:val="right"/>
        <w:bidi/>
      </w:pPr>
      <w:r>
        <w:rPr>
          <w:rFonts w:ascii="Arial" w:hAnsi="Arial"/>
          <w:sz w:val="16"/>
        </w:rPr>
        <w:t>534.18  در داخل USAF، فرمانده نصب ممکن است دستور دهد که پرچم ایالات متحده در مواقعی که مناسب و مناسب تشخیص داده شود، نیمه افراشته شود.</w:t>
      </w:r>
    </w:p>
    <w:p>
      <w:pPr>
        <w:spacing w:after="28" w:line="216" w:lineRule="auto"/>
        <w:ind w:left="259"/>
        <w:jc w:val="left"/>
      </w:pPr>
      <w:r>
        <w:rPr>
          <w:rFonts w:ascii="Arial" w:hAnsi="Arial"/>
          <w:color w:val="525252"/>
          <w:sz w:val="13"/>
        </w:rPr>
        <w:t>Within the USAF, the installation commander may direct that the United States flag be flown at half-staff on occasions when it is considered proper and appropriate.</w:t>
      </w:r>
    </w:p>
    <w:p>
      <w:pPr>
        <w:spacing w:after="20" w:line="223" w:lineRule="auto"/>
        <w:jc w:val="right"/>
        <w:bidi/>
      </w:pPr>
      <w:r>
        <w:rPr>
          <w:rFonts w:ascii="Arial" w:hAnsi="Arial"/>
          <w:sz w:val="16"/>
        </w:rPr>
        <w:t>534.19  وقتی پرچم به حالت نیمه افراشته در می‌آید، ابتدا باید برای یک لحظه به قله افراشته شود و سپس به حالت نیمه افراشته در بیاید.</w:t>
      </w:r>
    </w:p>
    <w:p>
      <w:pPr>
        <w:spacing w:after="28" w:line="216" w:lineRule="auto"/>
        <w:ind w:left="259"/>
        <w:jc w:val="left"/>
      </w:pPr>
      <w:r>
        <w:rPr>
          <w:rFonts w:ascii="Arial" w:hAnsi="Arial"/>
          <w:color w:val="525252"/>
          <w:sz w:val="13"/>
        </w:rPr>
        <w:t>When flown at half-staff, the flag shall be first hoisted to the peak for an instant, and then lowered to the half-staff.</w:t>
      </w:r>
    </w:p>
    <w:p>
      <w:pPr>
        <w:spacing w:after="20" w:line="223" w:lineRule="auto"/>
        <w:jc w:val="right"/>
        <w:bidi/>
      </w:pPr>
      <w:r>
        <w:rPr>
          <w:rFonts w:ascii="Arial" w:hAnsi="Arial"/>
          <w:sz w:val="16"/>
        </w:rPr>
        <w:t>534.20  پرچم باید قبل از پایین آوردن در پایان روز تا نقطه اوج برافراشته شود.</w:t>
      </w:r>
    </w:p>
    <w:p>
      <w:pPr>
        <w:spacing w:after="28" w:line="216" w:lineRule="auto"/>
        <w:ind w:left="259"/>
        <w:jc w:val="left"/>
      </w:pPr>
      <w:r>
        <w:rPr>
          <w:rFonts w:ascii="Arial" w:hAnsi="Arial"/>
          <w:color w:val="525252"/>
          <w:sz w:val="13"/>
        </w:rPr>
        <w:t>The flag should be raised to the peak position before lowering at the end of the day.</w:t>
      </w:r>
    </w:p>
    <w:p>
      <w:r>
        <w:br w:type="page"/>
      </w:r>
    </w:p>
    <w:p>
      <w:pPr>
        <w:spacing w:after="60"/>
        <w:jc w:val="right"/>
        <w:bidi/>
      </w:pPr>
      <w:r>
        <w:rPr>
          <w:rFonts w:ascii="Arial" w:hAnsi="Arial"/>
          <w:b/>
          <w:color w:val="1F4D78"/>
          <w:sz w:val="19"/>
        </w:rPr>
        <w:t>هفتهٔ 535  |  صفحهٔ منبع: 551</w:t>
      </w:r>
    </w:p>
    <w:p>
      <w:pPr>
        <w:spacing w:after="20" w:line="223" w:lineRule="auto"/>
        <w:jc w:val="right"/>
        <w:bidi/>
      </w:pPr>
      <w:r>
        <w:rPr>
          <w:rFonts w:ascii="Arial" w:hAnsi="Arial"/>
          <w:sz w:val="16"/>
        </w:rPr>
        <w:t>535.01  پرچم ایالات متحده در صفوف پرچم ایالات متحده و پرچم دیگری پرچم ایالات متحده با پرچم‌های دیگر با پرچم دیگر.</w:t>
      </w:r>
    </w:p>
    <w:p>
      <w:pPr>
        <w:spacing w:after="28" w:line="216" w:lineRule="auto"/>
        <w:ind w:left="259"/>
        <w:jc w:val="left"/>
      </w:pPr>
      <w:r>
        <w:rPr>
          <w:rFonts w:ascii="Arial" w:hAnsi="Arial"/>
          <w:color w:val="525252"/>
          <w:sz w:val="13"/>
        </w:rPr>
        <w:t>U.S. Flag Carried in Procession U.S. Flag and Another Flag U.S. Flag with Other Flags with Another Flag.</w:t>
      </w:r>
    </w:p>
    <w:p>
      <w:pPr>
        <w:spacing w:after="20" w:line="223" w:lineRule="auto"/>
        <w:jc w:val="right"/>
        <w:bidi/>
      </w:pPr>
      <w:r>
        <w:rPr>
          <w:rFonts w:ascii="Arial" w:hAnsi="Arial"/>
          <w:sz w:val="16"/>
        </w:rPr>
        <w:t>535.02  نمایش داده شده با کارکنان متقاطع.</w:t>
      </w:r>
    </w:p>
    <w:p>
      <w:pPr>
        <w:spacing w:after="28" w:line="216" w:lineRule="auto"/>
        <w:ind w:left="259"/>
        <w:jc w:val="left"/>
      </w:pPr>
      <w:r>
        <w:rPr>
          <w:rFonts w:ascii="Arial" w:hAnsi="Arial"/>
          <w:color w:val="525252"/>
          <w:sz w:val="13"/>
        </w:rPr>
        <w:t>Displayed with Crossed Staffs.</w:t>
      </w:r>
    </w:p>
    <w:p>
      <w:pPr>
        <w:spacing w:after="20" w:line="223" w:lineRule="auto"/>
        <w:jc w:val="right"/>
        <w:bidi/>
      </w:pPr>
      <w:r>
        <w:rPr>
          <w:rFonts w:ascii="Arial" w:hAnsi="Arial"/>
          <w:sz w:val="16"/>
        </w:rPr>
        <w:t>535.03  تابش از یک نقطه مرکزی. نمایش پرچم ایالات متحده از یک پرچم ایالات متحده در یک خط با پرچم ایالات متحده که در یک خط با ساختمان نمایش داده می‌شود.</w:t>
      </w:r>
    </w:p>
    <w:p>
      <w:pPr>
        <w:spacing w:after="28" w:line="216" w:lineRule="auto"/>
        <w:ind w:left="259"/>
        <w:jc w:val="left"/>
      </w:pPr>
      <w:r>
        <w:rPr>
          <w:rFonts w:ascii="Arial" w:hAnsi="Arial"/>
          <w:color w:val="525252"/>
          <w:sz w:val="13"/>
        </w:rPr>
        <w:t>Radiating from a Central Point. U.S. Flag Projecting from a U.S. Flag Displayed in a Line with U.S. Flag Displayed in a Line with Building.</w:t>
      </w:r>
    </w:p>
    <w:p>
      <w:pPr>
        <w:spacing w:after="20" w:line="223" w:lineRule="auto"/>
        <w:jc w:val="right"/>
        <w:bidi/>
      </w:pPr>
      <w:r>
        <w:rPr>
          <w:rFonts w:ascii="Arial" w:hAnsi="Arial"/>
          <w:sz w:val="16"/>
        </w:rPr>
        <w:t>535.04  قد مساوی.</w:t>
      </w:r>
    </w:p>
    <w:p>
      <w:pPr>
        <w:spacing w:after="28" w:line="216" w:lineRule="auto"/>
        <w:ind w:left="259"/>
        <w:jc w:val="left"/>
      </w:pPr>
      <w:r>
        <w:rPr>
          <w:rFonts w:ascii="Arial" w:hAnsi="Arial"/>
          <w:color w:val="525252"/>
          <w:sz w:val="13"/>
        </w:rPr>
        <w:t>Equal Height.</w:t>
      </w:r>
    </w:p>
    <w:p>
      <w:pPr>
        <w:spacing w:after="20" w:line="223" w:lineRule="auto"/>
        <w:jc w:val="right"/>
        <w:bidi/>
      </w:pPr>
      <w:r>
        <w:rPr>
          <w:rFonts w:ascii="Arial" w:hAnsi="Arial"/>
          <w:sz w:val="16"/>
        </w:rPr>
        <w:t>535.05  قد مرتفع. پرچم ایالات متحده با یک یا پرچم ایالات متحده که از کارکنان در پرچم ایالات متحده به صورت عمودی نمایش داده می‌شود.</w:t>
      </w:r>
    </w:p>
    <w:p>
      <w:pPr>
        <w:spacing w:after="28" w:line="216" w:lineRule="auto"/>
        <w:ind w:left="259"/>
        <w:jc w:val="left"/>
      </w:pPr>
      <w:r>
        <w:rPr>
          <w:rFonts w:ascii="Arial" w:hAnsi="Arial"/>
          <w:color w:val="525252"/>
          <w:sz w:val="13"/>
        </w:rPr>
        <w:t>Elevated Height. U.S. Flag Displayed with One or U.S. Flag Displayed from a Staff at U.S. Flag Positioned Vertically.</w:t>
      </w:r>
    </w:p>
    <w:p>
      <w:pPr>
        <w:spacing w:after="20" w:line="223" w:lineRule="auto"/>
        <w:jc w:val="right"/>
        <w:bidi/>
      </w:pPr>
      <w:r>
        <w:rPr>
          <w:rFonts w:ascii="Arial" w:hAnsi="Arial"/>
          <w:sz w:val="16"/>
        </w:rPr>
        <w:t>535.06  ملل بیشتر.</w:t>
      </w:r>
    </w:p>
    <w:p>
      <w:pPr>
        <w:spacing w:after="28" w:line="216" w:lineRule="auto"/>
        <w:ind w:left="259"/>
        <w:jc w:val="left"/>
      </w:pPr>
      <w:r>
        <w:rPr>
          <w:rFonts w:ascii="Arial" w:hAnsi="Arial"/>
          <w:color w:val="525252"/>
          <w:sz w:val="13"/>
        </w:rPr>
        <w:t>More Nations.</w:t>
      </w:r>
    </w:p>
    <w:p>
      <w:pPr>
        <w:spacing w:after="20" w:line="223" w:lineRule="auto"/>
        <w:jc w:val="right"/>
        <w:bidi/>
      </w:pPr>
      <w:r>
        <w:rPr>
          <w:rFonts w:ascii="Arial" w:hAnsi="Arial"/>
          <w:sz w:val="16"/>
        </w:rPr>
        <w:t>535.07  پلت فرم سخنران. پرچم ایالات متحده بر روی پرچم ایالات متحده به صورت تخت نمایش داده شد.</w:t>
      </w:r>
    </w:p>
    <w:p>
      <w:pPr>
        <w:spacing w:after="28" w:line="216" w:lineRule="auto"/>
        <w:ind w:left="259"/>
        <w:jc w:val="left"/>
      </w:pPr>
      <w:r>
        <w:rPr>
          <w:rFonts w:ascii="Arial" w:hAnsi="Arial"/>
          <w:color w:val="525252"/>
          <w:sz w:val="13"/>
        </w:rPr>
        <w:t>Speaker’s Platform. U.S. Flag Displayed Flat at U.S. Flag Draped Over a Closed U.S. Flag Flown at Half-Staff.</w:t>
      </w:r>
    </w:p>
    <w:p>
      <w:pPr>
        <w:spacing w:after="20" w:line="223" w:lineRule="auto"/>
        <w:jc w:val="right"/>
        <w:bidi/>
      </w:pPr>
      <w:r>
        <w:rPr>
          <w:rFonts w:ascii="Arial" w:hAnsi="Arial"/>
          <w:sz w:val="16"/>
        </w:rPr>
        <w:t>535.08  پلت فرم بلندگو.</w:t>
      </w:r>
    </w:p>
    <w:p>
      <w:pPr>
        <w:spacing w:after="28" w:line="216" w:lineRule="auto"/>
        <w:ind w:left="259"/>
        <w:jc w:val="left"/>
      </w:pPr>
      <w:r>
        <w:rPr>
          <w:rFonts w:ascii="Arial" w:hAnsi="Arial"/>
          <w:color w:val="525252"/>
          <w:sz w:val="13"/>
        </w:rPr>
        <w:t>Speaker's Platform.</w:t>
      </w:r>
    </w:p>
    <w:p>
      <w:pPr>
        <w:spacing w:after="20" w:line="223" w:lineRule="auto"/>
        <w:jc w:val="right"/>
        <w:bidi/>
      </w:pPr>
      <w:r>
        <w:rPr>
          <w:rFonts w:ascii="Arial" w:hAnsi="Arial"/>
          <w:sz w:val="16"/>
        </w:rPr>
        <w:t>535.09  تابوت.</w:t>
      </w:r>
    </w:p>
    <w:p>
      <w:pPr>
        <w:spacing w:after="28" w:line="216" w:lineRule="auto"/>
        <w:ind w:left="259"/>
        <w:jc w:val="left"/>
      </w:pPr>
      <w:r>
        <w:rPr>
          <w:rFonts w:ascii="Arial" w:hAnsi="Arial"/>
          <w:color w:val="525252"/>
          <w:sz w:val="13"/>
        </w:rPr>
        <w:t>Casket.</w:t>
      </w:r>
    </w:p>
    <w:p>
      <w:pPr>
        <w:spacing w:before="60" w:after="28"/>
        <w:jc w:val="right"/>
        <w:bidi/>
      </w:pPr>
      <w:r>
        <w:rPr>
          <w:b/>
          <w:color w:val="1F4D78"/>
          <w:sz w:val="18"/>
        </w:rPr>
        <w:t>شکل 24.4. پیکربندی های نمایش پرچم ایالات متحده</w:t>
      </w:r>
    </w:p>
    <w:p>
      <w:pPr>
        <w:spacing w:after="20"/>
        <w:ind w:left="259"/>
        <w:jc w:val="left"/>
      </w:pPr>
      <w:r>
        <w:rPr>
          <w:color w:val="555555"/>
          <w:sz w:val="12"/>
        </w:rPr>
        <w:t>Figure 24.4. U.S. Flag Display Configurations</w:t>
      </w:r>
    </w:p>
    <w:p>
      <w:r>
        <w:br w:type="page"/>
      </w:r>
    </w:p>
    <w:p>
      <w:pPr>
        <w:spacing w:after="60"/>
        <w:jc w:val="right"/>
        <w:bidi/>
      </w:pPr>
      <w:r>
        <w:rPr>
          <w:rFonts w:ascii="Arial" w:hAnsi="Arial"/>
          <w:b/>
          <w:color w:val="1F4D78"/>
          <w:sz w:val="19"/>
        </w:rPr>
        <w:t>هفتهٔ 536  |  صفحهٔ منبع: 552</w:t>
      </w:r>
    </w:p>
    <w:p>
      <w:pPr>
        <w:spacing w:before="60" w:after="28"/>
        <w:jc w:val="right"/>
        <w:bidi/>
      </w:pPr>
      <w:r>
        <w:rPr>
          <w:b/>
          <w:color w:val="1F4D78"/>
          <w:sz w:val="18"/>
        </w:rPr>
        <w:t>24.15. توجه و احترام به پرچم ایالات متحده</w:t>
      </w:r>
    </w:p>
    <w:p>
      <w:pPr>
        <w:spacing w:after="20"/>
        <w:ind w:left="259"/>
        <w:jc w:val="left"/>
      </w:pPr>
      <w:r>
        <w:rPr>
          <w:color w:val="555555"/>
          <w:sz w:val="12"/>
        </w:rPr>
        <w:t>24.15. Care and Respect for the United States Flag</w:t>
      </w:r>
    </w:p>
    <w:p>
      <w:pPr>
        <w:spacing w:after="20" w:line="223" w:lineRule="auto"/>
        <w:jc w:val="right"/>
        <w:bidi/>
      </w:pPr>
      <w:r>
        <w:rPr>
          <w:rFonts w:ascii="Arial" w:hAnsi="Arial"/>
          <w:sz w:val="16"/>
        </w:rPr>
        <w:t>536.02  برخی از اقدامات برای نشان دادن احترام مناسب به پرچم ایالات متحده عبارتند از: هنگامی که در لباس متحدالشکل هستید، قبل از عبور از پرچم ایالات متحده در یک راهپیمایی یا رژه شش قدم سلام کنید و سلام را نگه دارید تا زمانی که شش قدم بگذرد.</w:t>
      </w:r>
    </w:p>
    <w:p>
      <w:pPr>
        <w:spacing w:after="28" w:line="216" w:lineRule="auto"/>
        <w:ind w:left="259"/>
        <w:jc w:val="left"/>
      </w:pPr>
      <w:r>
        <w:rPr>
          <w:rFonts w:ascii="Arial" w:hAnsi="Arial"/>
          <w:color w:val="525252"/>
          <w:sz w:val="13"/>
        </w:rPr>
        <w:t>Some acts for showing proper respect for the United States flag include: When in uniform, salute the United States flag six paces before it passes in a procession or parade and hold the salute until it has passed six paces.</w:t>
      </w:r>
    </w:p>
    <w:p>
      <w:pPr>
        <w:spacing w:after="20" w:line="223" w:lineRule="auto"/>
        <w:jc w:val="right"/>
        <w:bidi/>
      </w:pPr>
      <w:r>
        <w:rPr>
          <w:rFonts w:ascii="Arial" w:hAnsi="Arial"/>
          <w:sz w:val="16"/>
        </w:rPr>
        <w:t>536.03  رنگ‌های هنگ، پرچم‌های ایالتی، و پرچم‌های سازمانی یا سازمانی همیشه به‌عنوان علامت احترام به پرچم ایالات متحده آغشته می‌شوند.</w:t>
      </w:r>
    </w:p>
    <w:p>
      <w:pPr>
        <w:spacing w:after="28" w:line="216" w:lineRule="auto"/>
        <w:ind w:left="259"/>
        <w:jc w:val="left"/>
      </w:pPr>
      <w:r>
        <w:rPr>
          <w:rFonts w:ascii="Arial" w:hAnsi="Arial"/>
          <w:color w:val="525252"/>
          <w:sz w:val="13"/>
        </w:rPr>
        <w:t>Regimental colors, state flags, and organizational or institutional flags are always dipped as a mark of respect to the United States flag.</w:t>
      </w:r>
    </w:p>
    <w:p>
      <w:pPr>
        <w:spacing w:after="20" w:line="223" w:lineRule="auto"/>
        <w:jc w:val="right"/>
        <w:bidi/>
      </w:pPr>
      <w:r>
        <w:rPr>
          <w:rFonts w:ascii="Arial" w:hAnsi="Arial"/>
          <w:sz w:val="16"/>
        </w:rPr>
        <w:t>536.04  پرچم USAF و پرچم‌های سازمانی ممکن است در صورت لزوم غوطه ور شوند.</w:t>
      </w:r>
    </w:p>
    <w:p>
      <w:pPr>
        <w:spacing w:after="28" w:line="216" w:lineRule="auto"/>
        <w:ind w:left="259"/>
        <w:jc w:val="left"/>
      </w:pPr>
      <w:r>
        <w:rPr>
          <w:rFonts w:ascii="Arial" w:hAnsi="Arial"/>
          <w:color w:val="525252"/>
          <w:sz w:val="13"/>
        </w:rPr>
        <w:t>The USAF flag and organizational flags may be dipped as appropriate.</w:t>
      </w:r>
    </w:p>
    <w:p>
      <w:pPr>
        <w:spacing w:after="20" w:line="223" w:lineRule="auto"/>
        <w:jc w:val="right"/>
        <w:bidi/>
      </w:pPr>
      <w:r>
        <w:rPr>
          <w:rFonts w:ascii="Arial" w:hAnsi="Arial"/>
          <w:sz w:val="16"/>
        </w:rPr>
        <w:t>536.05  پرچم ایالات متحده بر روی هیچ شخص یا چیزی فرو نخواهد رفت و هیچ زمانی پرچم ملی خارجی فرو نخواهد رفت.</w:t>
      </w:r>
    </w:p>
    <w:p>
      <w:pPr>
        <w:spacing w:after="28" w:line="216" w:lineRule="auto"/>
        <w:ind w:left="259"/>
        <w:jc w:val="left"/>
      </w:pPr>
      <w:r>
        <w:rPr>
          <w:rFonts w:ascii="Arial" w:hAnsi="Arial"/>
          <w:color w:val="525252"/>
          <w:sz w:val="13"/>
        </w:rPr>
        <w:t>The United States flag will not be dipped to any person or thing, and at no time will a foreign national flag be dipped.</w:t>
      </w:r>
    </w:p>
    <w:p>
      <w:pPr>
        <w:spacing w:after="20" w:line="223" w:lineRule="auto"/>
        <w:jc w:val="right"/>
        <w:bidi/>
      </w:pPr>
      <w:r>
        <w:rPr>
          <w:rFonts w:ascii="Arial" w:hAnsi="Arial"/>
          <w:sz w:val="16"/>
        </w:rPr>
        <w:t>536.06  پرچم ایالات متحده هرگز نباید با علامت پایین نمایش داده شود، مگر به‌عنوان یک علامت ناراحتی شدید در موارد خطر شدید جانی یا مالی.</w:t>
      </w:r>
    </w:p>
    <w:p>
      <w:pPr>
        <w:spacing w:after="28" w:line="216" w:lineRule="auto"/>
        <w:ind w:left="259"/>
        <w:jc w:val="left"/>
      </w:pPr>
      <w:r>
        <w:rPr>
          <w:rFonts w:ascii="Arial" w:hAnsi="Arial"/>
          <w:color w:val="525252"/>
          <w:sz w:val="13"/>
        </w:rPr>
        <w:t>The United States flag should never be displayed with union down, except as a signal of dire distress in instances of extreme danger to life or property.</w:t>
      </w:r>
    </w:p>
    <w:p>
      <w:pPr>
        <w:spacing w:after="20" w:line="223" w:lineRule="auto"/>
        <w:jc w:val="right"/>
        <w:bidi/>
      </w:pPr>
      <w:r>
        <w:rPr>
          <w:rFonts w:ascii="Arial" w:hAnsi="Arial"/>
          <w:sz w:val="16"/>
        </w:rPr>
        <w:t>536.07  پرچم ایالات متحده هرگز نباید چیزی زیر آن، مانند زمین، کف، آب، یا کالاها را لمس کند.</w:t>
      </w:r>
    </w:p>
    <w:p>
      <w:pPr>
        <w:spacing w:after="28" w:line="216" w:lineRule="auto"/>
        <w:ind w:left="259"/>
        <w:jc w:val="left"/>
      </w:pPr>
      <w:r>
        <w:rPr>
          <w:rFonts w:ascii="Arial" w:hAnsi="Arial"/>
          <w:color w:val="525252"/>
          <w:sz w:val="13"/>
        </w:rPr>
        <w:t>The United States flag should never touch anything beneath it, such as the ground, floor, water, or merchandise.</w:t>
      </w:r>
    </w:p>
    <w:p>
      <w:pPr>
        <w:spacing w:after="20" w:line="223" w:lineRule="auto"/>
        <w:jc w:val="right"/>
        <w:bidi/>
      </w:pPr>
      <w:r>
        <w:rPr>
          <w:rFonts w:ascii="Arial" w:hAnsi="Arial"/>
          <w:sz w:val="16"/>
        </w:rPr>
        <w:t>536.08  پرچم ایالات متحده هرگز نباید برای پوشاندن مجسمه یا بنای تاریخی استفاده شود.</w:t>
      </w:r>
    </w:p>
    <w:p>
      <w:pPr>
        <w:spacing w:after="28" w:line="216" w:lineRule="auto"/>
        <w:ind w:left="259"/>
        <w:jc w:val="left"/>
      </w:pPr>
      <w:r>
        <w:rPr>
          <w:rFonts w:ascii="Arial" w:hAnsi="Arial"/>
          <w:color w:val="525252"/>
          <w:sz w:val="13"/>
        </w:rPr>
        <w:t>The United States flag should never be used to cover for a statue or monument.</w:t>
      </w:r>
    </w:p>
    <w:p>
      <w:pPr>
        <w:spacing w:after="20" w:line="223" w:lineRule="auto"/>
        <w:jc w:val="right"/>
        <w:bidi/>
      </w:pPr>
      <w:r>
        <w:rPr>
          <w:rFonts w:ascii="Arial" w:hAnsi="Arial"/>
          <w:sz w:val="16"/>
        </w:rPr>
        <w:t>536.09  پرچم ایالات متحده هرگز نباید صاف یا افقی حمل شود، بلکه همیشه بالا و آزاد باشد.</w:t>
      </w:r>
    </w:p>
    <w:p>
      <w:pPr>
        <w:spacing w:after="28" w:line="216" w:lineRule="auto"/>
        <w:ind w:left="259"/>
        <w:jc w:val="left"/>
      </w:pPr>
      <w:r>
        <w:rPr>
          <w:rFonts w:ascii="Arial" w:hAnsi="Arial"/>
          <w:color w:val="525252"/>
          <w:sz w:val="13"/>
        </w:rPr>
        <w:t>The United States flag should never be carried flat or horizontally, but always aloft and free.</w:t>
      </w:r>
    </w:p>
    <w:p>
      <w:pPr>
        <w:spacing w:after="20" w:line="223" w:lineRule="auto"/>
        <w:jc w:val="right"/>
        <w:bidi/>
      </w:pPr>
      <w:r>
        <w:rPr>
          <w:rFonts w:ascii="Arial" w:hAnsi="Arial"/>
          <w:sz w:val="16"/>
        </w:rPr>
        <w:t>536.10  پرچم ایالات متحده هرگز نباید برای پوشیدن لباس، ملافه یا پارچه استفاده شود.</w:t>
      </w:r>
    </w:p>
    <w:p>
      <w:pPr>
        <w:spacing w:after="28" w:line="216" w:lineRule="auto"/>
        <w:ind w:left="259"/>
        <w:jc w:val="left"/>
      </w:pPr>
      <w:r>
        <w:rPr>
          <w:rFonts w:ascii="Arial" w:hAnsi="Arial"/>
          <w:color w:val="525252"/>
          <w:sz w:val="13"/>
        </w:rPr>
        <w:t>The United States flag should never be used as wearing apparel, bedding, or drapery.</w:t>
      </w:r>
    </w:p>
    <w:p>
      <w:pPr>
        <w:spacing w:after="20" w:line="223" w:lineRule="auto"/>
        <w:jc w:val="right"/>
        <w:bidi/>
      </w:pPr>
      <w:r>
        <w:rPr>
          <w:rFonts w:ascii="Arial" w:hAnsi="Arial"/>
          <w:sz w:val="16"/>
        </w:rPr>
        <w:t>536.11  پرچم ایالات متحده هرگز نباید تزئین شود، به عقب یا بالا کشیده شود، یا به صورت چین خورده باشد، بلکه همیشه اجازه داده شود آزادانه بیفتد.</w:t>
      </w:r>
    </w:p>
    <w:p>
      <w:pPr>
        <w:spacing w:after="28" w:line="216" w:lineRule="auto"/>
        <w:ind w:left="259"/>
        <w:jc w:val="left"/>
      </w:pPr>
      <w:r>
        <w:rPr>
          <w:rFonts w:ascii="Arial" w:hAnsi="Arial"/>
          <w:color w:val="525252"/>
          <w:sz w:val="13"/>
        </w:rPr>
        <w:t>The United States flag should never be festooned, drawn back or up, or in folds, but always allowed to fall freely.</w:t>
      </w:r>
    </w:p>
    <w:p>
      <w:pPr>
        <w:spacing w:after="20" w:line="223" w:lineRule="auto"/>
        <w:jc w:val="right"/>
        <w:bidi/>
      </w:pPr>
      <w:r>
        <w:rPr>
          <w:rFonts w:ascii="Arial" w:hAnsi="Arial"/>
          <w:sz w:val="16"/>
        </w:rPr>
        <w:t>536.12  پرچم ایالات متحده هرگز نباید به گونه‌ای بسته، نمایش داده شود، استفاده شود یا ذخیره شود که به راحتی پاره، کثیف یا آسیب ببیند.</w:t>
      </w:r>
    </w:p>
    <w:p>
      <w:pPr>
        <w:spacing w:after="28" w:line="216" w:lineRule="auto"/>
        <w:ind w:left="259"/>
        <w:jc w:val="left"/>
      </w:pPr>
      <w:r>
        <w:rPr>
          <w:rFonts w:ascii="Arial" w:hAnsi="Arial"/>
          <w:color w:val="525252"/>
          <w:sz w:val="13"/>
        </w:rPr>
        <w:t>The United States flag should never be fastened, displayed, used, or stored in such a manner as to permit it to be easily torn, soiled, or damaged.</w:t>
      </w:r>
    </w:p>
    <w:p>
      <w:pPr>
        <w:spacing w:after="20" w:line="223" w:lineRule="auto"/>
        <w:jc w:val="right"/>
        <w:bidi/>
      </w:pPr>
      <w:r>
        <w:rPr>
          <w:rFonts w:ascii="Arial" w:hAnsi="Arial"/>
          <w:sz w:val="16"/>
        </w:rPr>
        <w:t>536.13  پرچم ایالات متحده هرگز نباید به‌عنوان پوشش سقف استفاده شود.</w:t>
      </w:r>
    </w:p>
    <w:p>
      <w:pPr>
        <w:spacing w:after="28" w:line="216" w:lineRule="auto"/>
        <w:ind w:left="259"/>
        <w:jc w:val="left"/>
      </w:pPr>
      <w:r>
        <w:rPr>
          <w:rFonts w:ascii="Arial" w:hAnsi="Arial"/>
          <w:color w:val="525252"/>
          <w:sz w:val="13"/>
        </w:rPr>
        <w:t>The United States flag should never be used as a covering for a ceiling.</w:t>
      </w:r>
    </w:p>
    <w:p>
      <w:pPr>
        <w:spacing w:after="20" w:line="223" w:lineRule="auto"/>
        <w:jc w:val="right"/>
        <w:bidi/>
      </w:pPr>
      <w:r>
        <w:rPr>
          <w:rFonts w:ascii="Arial" w:hAnsi="Arial"/>
          <w:sz w:val="16"/>
        </w:rPr>
        <w:t>536.14  پرچم ایالات متحده هرگز نباید روی آن، یا روی هیچ قسمتی از آن، یا به آن ضمیمه شده باشد، هیچ علامت، نشان، حرف، کلمه، شکل، طرح، تصویر یا طرحی با هر ماهیتی قرار نمی‌داد.</w:t>
      </w:r>
    </w:p>
    <w:p>
      <w:pPr>
        <w:spacing w:after="28" w:line="216" w:lineRule="auto"/>
        <w:ind w:left="259"/>
        <w:jc w:val="left"/>
      </w:pPr>
      <w:r>
        <w:rPr>
          <w:rFonts w:ascii="Arial" w:hAnsi="Arial"/>
          <w:color w:val="525252"/>
          <w:sz w:val="13"/>
        </w:rPr>
        <w:t>The United States flag should never have placed upon it, nor on any part of it, nor attached to it, any mark, insignia, letter, word, figure, design, picture, or drawing of any nature.</w:t>
      </w:r>
    </w:p>
    <w:p>
      <w:pPr>
        <w:spacing w:after="20" w:line="223" w:lineRule="auto"/>
        <w:jc w:val="right"/>
        <w:bidi/>
      </w:pPr>
      <w:r>
        <w:rPr>
          <w:rFonts w:ascii="Arial" w:hAnsi="Arial"/>
          <w:sz w:val="16"/>
        </w:rPr>
        <w:t>536.15  پرچم ایالات متحده هرگز نباید به‌عنوان ظرفی برای دریافت، نگهداری، حمل یا تحویل هر چیزی استفاده شود.</w:t>
      </w:r>
    </w:p>
    <w:p>
      <w:pPr>
        <w:spacing w:after="28" w:line="216" w:lineRule="auto"/>
        <w:ind w:left="259"/>
        <w:jc w:val="left"/>
      </w:pPr>
      <w:r>
        <w:rPr>
          <w:rFonts w:ascii="Arial" w:hAnsi="Arial"/>
          <w:color w:val="525252"/>
          <w:sz w:val="13"/>
        </w:rPr>
        <w:t>The United States flag should never be used as a receptacle for receiving, holding, carrying, or delivering anything.</w:t>
      </w:r>
    </w:p>
    <w:p>
      <w:pPr>
        <w:spacing w:after="20" w:line="223" w:lineRule="auto"/>
        <w:jc w:val="right"/>
        <w:bidi/>
      </w:pPr>
      <w:r>
        <w:rPr>
          <w:rFonts w:ascii="Arial" w:hAnsi="Arial"/>
          <w:sz w:val="16"/>
        </w:rPr>
        <w:t>536.16  پرچم ایالات متحده هرگز نباید برای مقاصد تبلیغاتی استفاده شود.</w:t>
      </w:r>
    </w:p>
    <w:p>
      <w:pPr>
        <w:spacing w:after="28" w:line="216" w:lineRule="auto"/>
        <w:ind w:left="259"/>
        <w:jc w:val="left"/>
      </w:pPr>
      <w:r>
        <w:rPr>
          <w:rFonts w:ascii="Arial" w:hAnsi="Arial"/>
          <w:color w:val="525252"/>
          <w:sz w:val="13"/>
        </w:rPr>
        <w:t>The United States flag should never be used for advertising purposes.</w:t>
      </w:r>
    </w:p>
    <w:p>
      <w:pPr>
        <w:spacing w:after="20" w:line="223" w:lineRule="auto"/>
        <w:jc w:val="right"/>
        <w:bidi/>
      </w:pPr>
      <w:r>
        <w:rPr>
          <w:rFonts w:ascii="Arial" w:hAnsi="Arial"/>
          <w:sz w:val="16"/>
        </w:rPr>
        <w:t>536.17  تابلوهای تبلیغاتی را نباید به عصا یا سالنی که پرچم ایالات متحده از آن به اهتزاز در می‌آید بسته شود.</w:t>
      </w:r>
    </w:p>
    <w:p>
      <w:pPr>
        <w:spacing w:after="28" w:line="216" w:lineRule="auto"/>
        <w:ind w:left="259"/>
        <w:jc w:val="left"/>
      </w:pPr>
      <w:r>
        <w:rPr>
          <w:rFonts w:ascii="Arial" w:hAnsi="Arial"/>
          <w:color w:val="525252"/>
          <w:sz w:val="13"/>
        </w:rPr>
        <w:t>Advertising signs should not be fastened to a staff or halyard from which the United States flag is flown.</w:t>
      </w:r>
    </w:p>
    <w:p>
      <w:pPr>
        <w:spacing w:after="20" w:line="223" w:lineRule="auto"/>
        <w:jc w:val="right"/>
        <w:bidi/>
      </w:pPr>
      <w:r>
        <w:rPr>
          <w:rFonts w:ascii="Arial" w:hAnsi="Arial"/>
          <w:sz w:val="16"/>
        </w:rPr>
        <w:t>536.18  پرچم ایالات متحده هرگز نباید روی کالاهایی مانند کوسن، دستمال، دستمال کاغذی، جعبه یا هر چیزی که برای استفاده موقت طراحی شده است چاپ یا گلدوزی شود.</w:t>
      </w:r>
    </w:p>
    <w:p>
      <w:pPr>
        <w:spacing w:after="28" w:line="216" w:lineRule="auto"/>
        <w:ind w:left="259"/>
        <w:jc w:val="left"/>
      </w:pPr>
      <w:r>
        <w:rPr>
          <w:rFonts w:ascii="Arial" w:hAnsi="Arial"/>
          <w:color w:val="525252"/>
          <w:sz w:val="13"/>
        </w:rPr>
        <w:t>The United States flag should never be printed or embroidered on such articles as cushions, handkerchiefs, paper napkins, boxes, or anything that is designed for temporary use.</w:t>
      </w:r>
    </w:p>
    <w:p>
      <w:pPr>
        <w:spacing w:after="20" w:line="223" w:lineRule="auto"/>
        <w:jc w:val="right"/>
        <w:bidi/>
      </w:pPr>
      <w:r>
        <w:rPr>
          <w:rFonts w:ascii="Arial" w:hAnsi="Arial"/>
          <w:sz w:val="16"/>
        </w:rPr>
        <w:t>536.19  پرچم ایالات متحده نباید بر روی شناور در رژه نمایش داده شود، مگر از روی یک هیات.</w:t>
      </w:r>
    </w:p>
    <w:p>
      <w:pPr>
        <w:spacing w:after="28" w:line="216" w:lineRule="auto"/>
        <w:ind w:left="259"/>
        <w:jc w:val="left"/>
      </w:pPr>
      <w:r>
        <w:rPr>
          <w:rFonts w:ascii="Arial" w:hAnsi="Arial"/>
          <w:color w:val="525252"/>
          <w:sz w:val="13"/>
        </w:rPr>
        <w:t>The United States flag should not be displayed on a float in a parade, except from a staff.</w:t>
      </w:r>
    </w:p>
    <w:p>
      <w:pPr>
        <w:spacing w:after="20" w:line="223" w:lineRule="auto"/>
        <w:jc w:val="right"/>
        <w:bidi/>
      </w:pPr>
      <w:r>
        <w:rPr>
          <w:rFonts w:ascii="Arial" w:hAnsi="Arial"/>
          <w:sz w:val="16"/>
        </w:rPr>
        <w:t>536.20  پرچم ایالات متحده نباید روی کاپوت، بالا، کناره‌ها یا پشت وسیله نقلیه، قطار راه‌آهن یا قایق قرار گیرد.</w:t>
      </w:r>
    </w:p>
    <w:p>
      <w:pPr>
        <w:spacing w:after="28" w:line="216" w:lineRule="auto"/>
        <w:ind w:left="259"/>
        <w:jc w:val="left"/>
      </w:pPr>
      <w:r>
        <w:rPr>
          <w:rFonts w:ascii="Arial" w:hAnsi="Arial"/>
          <w:color w:val="525252"/>
          <w:sz w:val="13"/>
        </w:rPr>
        <w:t>The United States flag should not be draped over the hood, top, sides, or back of a vehicle, railroad train, or boat.</w:t>
      </w:r>
    </w:p>
    <w:p>
      <w:pPr>
        <w:spacing w:after="20" w:line="223" w:lineRule="auto"/>
        <w:jc w:val="right"/>
        <w:bidi/>
      </w:pPr>
      <w:r>
        <w:rPr>
          <w:rFonts w:ascii="Arial" w:hAnsi="Arial"/>
          <w:sz w:val="16"/>
        </w:rPr>
        <w:t>536.21  هیچ بخشی از پرچم ایالات متحده نباید به‌عنوان لباس یا لباس ورزشی استفاده شود.</w:t>
      </w:r>
    </w:p>
    <w:p>
      <w:pPr>
        <w:spacing w:after="28" w:line="216" w:lineRule="auto"/>
        <w:ind w:left="259"/>
        <w:jc w:val="left"/>
      </w:pPr>
      <w:r>
        <w:rPr>
          <w:rFonts w:ascii="Arial" w:hAnsi="Arial"/>
          <w:color w:val="525252"/>
          <w:sz w:val="13"/>
        </w:rPr>
        <w:t>No part of the United States flag should be used as a costume or athletic uniform.</w:t>
      </w:r>
    </w:p>
    <w:p>
      <w:pPr>
        <w:spacing w:after="20" w:line="223" w:lineRule="auto"/>
        <w:jc w:val="right"/>
        <w:bidi/>
      </w:pPr>
      <w:r>
        <w:rPr>
          <w:rFonts w:ascii="Arial" w:hAnsi="Arial"/>
          <w:sz w:val="16"/>
        </w:rPr>
        <w:t>536.22  با این حال، یک پچ پرچم ایالات متحده ممکن است بر روی لباس پرسنل نظامی، آتش نشانان، پلیس و اعضای سازمان‌های میهن پرستانه چسبانده شود.</w:t>
      </w:r>
    </w:p>
    <w:p>
      <w:pPr>
        <w:spacing w:after="28" w:line="216" w:lineRule="auto"/>
        <w:ind w:left="259"/>
        <w:jc w:val="left"/>
      </w:pPr>
      <w:r>
        <w:rPr>
          <w:rFonts w:ascii="Arial" w:hAnsi="Arial"/>
          <w:color w:val="525252"/>
          <w:sz w:val="13"/>
        </w:rPr>
        <w:t>However, a United States flag patch may be affixed to the uniform of military personnel, firemen, policemen, and members of patriotic organizations.</w:t>
      </w:r>
    </w:p>
    <w:p>
      <w:pPr>
        <w:spacing w:after="20" w:line="223" w:lineRule="auto"/>
        <w:jc w:val="right"/>
        <w:bidi/>
      </w:pPr>
      <w:r>
        <w:rPr>
          <w:rFonts w:ascii="Arial" w:hAnsi="Arial"/>
          <w:sz w:val="16"/>
        </w:rPr>
        <w:t>536.23  سنجاق برگردان پرچم ایالات متحده، که کپی پرچم است، باید روی یقه سمت چپ نزدیک قلب پوشیده شود.</w:t>
      </w:r>
    </w:p>
    <w:p>
      <w:pPr>
        <w:spacing w:after="28" w:line="216" w:lineRule="auto"/>
        <w:ind w:left="259"/>
        <w:jc w:val="left"/>
      </w:pPr>
      <w:r>
        <w:rPr>
          <w:rFonts w:ascii="Arial" w:hAnsi="Arial"/>
          <w:color w:val="525252"/>
          <w:sz w:val="13"/>
        </w:rPr>
        <w:t>A United States flag lapel pin, being a replica of the flag, should be worn on the left lapel near the heart.</w:t>
      </w:r>
    </w:p>
    <w:p>
      <w:pPr>
        <w:spacing w:after="20" w:line="223" w:lineRule="auto"/>
        <w:jc w:val="right"/>
        <w:bidi/>
      </w:pPr>
      <w:r>
        <w:rPr>
          <w:rFonts w:ascii="Arial" w:hAnsi="Arial"/>
          <w:sz w:val="16"/>
        </w:rPr>
        <w:t>536.24  هیچ پرچم یا پرچم دیگری نباید در بالای پرچم ایالات متحده قرار گیرد یا اگر در همان سطح باشد، در سمت راست (سمت چپ ناظر) پرچم ایالات متحده قرار گیرد، مگر در هنگام مراسم کلیسا که توسط روحانیون نیروی دریایی در دریا انجام می‌شود، زمانی که ممکن است پرچم کلیسا در هنگام مراسم کلیسا برای پرسنل نیروی دریایی بر فراز پرچم به اهتزاز درآید.</w:t>
      </w:r>
    </w:p>
    <w:p>
      <w:pPr>
        <w:spacing w:after="28" w:line="216" w:lineRule="auto"/>
        <w:ind w:left="259"/>
        <w:jc w:val="left"/>
      </w:pPr>
      <w:r>
        <w:rPr>
          <w:rFonts w:ascii="Arial" w:hAnsi="Arial"/>
          <w:color w:val="525252"/>
          <w:sz w:val="13"/>
        </w:rPr>
        <w:t>No other flag or pennant should be placed above or, if on the same level, to the right (observer’s left) of the United States flag, except during church services conducted by naval chaplains at sea when the church pennant may be flown above the flag during church services for the personnel of the Navy.</w:t>
      </w:r>
    </w:p>
    <w:p>
      <w:pPr>
        <w:spacing w:after="20" w:line="223" w:lineRule="auto"/>
        <w:jc w:val="right"/>
        <w:bidi/>
      </w:pPr>
      <w:r>
        <w:rPr>
          <w:rFonts w:ascii="Arial" w:hAnsi="Arial"/>
          <w:sz w:val="16"/>
        </w:rPr>
        <w:t>536.25  برای اطمینان از حمل و تمیز کردن صحیح پرچم‌های کثیف، بسیار مراقب باشید.</w:t>
      </w:r>
    </w:p>
    <w:p>
      <w:pPr>
        <w:spacing w:after="28" w:line="216" w:lineRule="auto"/>
        <w:ind w:left="259"/>
        <w:jc w:val="left"/>
      </w:pPr>
      <w:r>
        <w:rPr>
          <w:rFonts w:ascii="Arial" w:hAnsi="Arial"/>
          <w:color w:val="525252"/>
          <w:sz w:val="13"/>
        </w:rPr>
        <w:t>Exercise extreme care to ensure proper handling and cleaning of soiled flags.</w:t>
      </w:r>
    </w:p>
    <w:p>
      <w:pPr>
        <w:spacing w:after="20" w:line="223" w:lineRule="auto"/>
        <w:jc w:val="right"/>
        <w:bidi/>
      </w:pPr>
      <w:r>
        <w:rPr>
          <w:rFonts w:ascii="Arial" w:hAnsi="Arial"/>
          <w:sz w:val="16"/>
        </w:rPr>
        <w:t>536.26  هنگامی که پرچم ایالات متحده در شرایطی است که دیگر نشان مناسبی برای نمایش نیست، باید</w:t>
      </w:r>
    </w:p>
    <w:p>
      <w:pPr>
        <w:spacing w:after="28" w:line="216" w:lineRule="auto"/>
        <w:ind w:left="259"/>
        <w:jc w:val="left"/>
      </w:pPr>
      <w:r>
        <w:rPr>
          <w:rFonts w:ascii="Arial" w:hAnsi="Arial"/>
          <w:color w:val="525252"/>
          <w:sz w:val="13"/>
        </w:rPr>
        <w:t>When the United States flag is in such condition that it is no longer a fitting emblem for display, it should be</w:t>
      </w:r>
    </w:p>
    <w:p>
      <w:r>
        <w:br w:type="page"/>
      </w:r>
    </w:p>
    <w:p>
      <w:pPr>
        <w:spacing w:after="60"/>
        <w:jc w:val="right"/>
        <w:bidi/>
      </w:pPr>
      <w:r>
        <w:rPr>
          <w:rFonts w:ascii="Arial" w:hAnsi="Arial"/>
          <w:b/>
          <w:color w:val="1F4D78"/>
          <w:sz w:val="19"/>
        </w:rPr>
        <w:t>هفتهٔ 537  |  صفحهٔ منبع: 553</w:t>
      </w:r>
    </w:p>
    <w:p>
      <w:pPr>
        <w:spacing w:after="20" w:line="223" w:lineRule="auto"/>
        <w:jc w:val="right"/>
        <w:bidi/>
      </w:pPr>
      <w:r>
        <w:rPr>
          <w:rFonts w:ascii="Arial" w:hAnsi="Arial"/>
          <w:sz w:val="16"/>
        </w:rPr>
        <w:t>537.01  به صورت آبرومندانه ترجیحا با سوزاندن تخریب شود.</w:t>
      </w:r>
    </w:p>
    <w:p>
      <w:pPr>
        <w:spacing w:after="28" w:line="216" w:lineRule="auto"/>
        <w:ind w:left="259"/>
        <w:jc w:val="left"/>
      </w:pPr>
      <w:r>
        <w:rPr>
          <w:rFonts w:ascii="Arial" w:hAnsi="Arial"/>
          <w:color w:val="525252"/>
          <w:sz w:val="13"/>
        </w:rPr>
        <w:t>destroyed in a dignified way, preferably by burning.</w:t>
      </w:r>
    </w:p>
    <w:p>
      <w:pPr>
        <w:spacing w:after="20" w:line="223" w:lineRule="auto"/>
        <w:jc w:val="right"/>
        <w:bidi/>
      </w:pPr>
      <w:r>
        <w:rPr>
          <w:rFonts w:ascii="Arial" w:hAnsi="Arial"/>
          <w:sz w:val="16"/>
        </w:rPr>
        <w:t>537.02  ممکن است مواردی وجود داشته باشد که یک پرچم از خدمت بازنشسته شود و به دلیل اهمیت تاریخی آن حفظ شود.</w:t>
      </w:r>
    </w:p>
    <w:p>
      <w:pPr>
        <w:spacing w:after="28" w:line="216" w:lineRule="auto"/>
        <w:ind w:left="259"/>
        <w:jc w:val="left"/>
      </w:pPr>
      <w:r>
        <w:rPr>
          <w:rFonts w:ascii="Arial" w:hAnsi="Arial"/>
          <w:color w:val="525252"/>
          <w:sz w:val="13"/>
        </w:rPr>
        <w:t>There may be instances when a flag is retired from service and preserved because of its historical significance.</w:t>
      </w:r>
    </w:p>
    <w:p>
      <w:pPr>
        <w:spacing w:after="20" w:line="223" w:lineRule="auto"/>
        <w:jc w:val="right"/>
        <w:bidi/>
      </w:pPr>
      <w:r>
        <w:rPr>
          <w:rFonts w:ascii="Arial" w:hAnsi="Arial"/>
          <w:sz w:val="16"/>
        </w:rPr>
        <w:t>537.03  دستورالعمل‌های دفع باید از مقامات مربوطه، مانند گارد افتخاری نصب یا دفتر پروتکل دریافت شود.</w:t>
      </w:r>
    </w:p>
    <w:p>
      <w:pPr>
        <w:spacing w:after="28" w:line="216" w:lineRule="auto"/>
        <w:ind w:left="259"/>
        <w:jc w:val="left"/>
      </w:pPr>
      <w:r>
        <w:rPr>
          <w:rFonts w:ascii="Arial" w:hAnsi="Arial"/>
          <w:color w:val="525252"/>
          <w:sz w:val="13"/>
        </w:rPr>
        <w:t>Disposition instructions should be obtained from the proper authority, such as the installation honor guard or protocol office.</w:t>
      </w:r>
    </w:p>
    <w:p>
      <w:pPr>
        <w:spacing w:after="20" w:line="223" w:lineRule="auto"/>
        <w:jc w:val="right"/>
        <w:bidi/>
      </w:pPr>
      <w:r>
        <w:rPr>
          <w:rFonts w:ascii="Arial" w:hAnsi="Arial"/>
          <w:sz w:val="16"/>
        </w:rPr>
        <w:t>537.04  پرچم تا شده به صورت کیس در نظر گرفته می‌شود. بنابراین، سلام لازم نیست.</w:t>
      </w:r>
    </w:p>
    <w:p>
      <w:pPr>
        <w:spacing w:after="28" w:line="216" w:lineRule="auto"/>
        <w:ind w:left="259"/>
        <w:jc w:val="left"/>
      </w:pPr>
      <w:r>
        <w:rPr>
          <w:rFonts w:ascii="Arial" w:hAnsi="Arial"/>
          <w:color w:val="525252"/>
          <w:sz w:val="13"/>
        </w:rPr>
        <w:t>A folded flag is considered cased; therefore, a salute is not necessary.</w:t>
      </w:r>
    </w:p>
    <w:p>
      <w:pPr>
        <w:spacing w:before="60" w:after="28"/>
        <w:jc w:val="right"/>
        <w:bidi/>
      </w:pPr>
      <w:r>
        <w:rPr>
          <w:b/>
          <w:color w:val="1F4D78"/>
          <w:sz w:val="18"/>
        </w:rPr>
        <w:t>24.16. پرچم های خدمات</w:t>
      </w:r>
    </w:p>
    <w:p>
      <w:pPr>
        <w:spacing w:after="20"/>
        <w:ind w:left="259"/>
        <w:jc w:val="left"/>
      </w:pPr>
      <w:r>
        <w:rPr>
          <w:color w:val="555555"/>
          <w:sz w:val="12"/>
        </w:rPr>
        <w:t>24.16. Service Flags</w:t>
      </w:r>
    </w:p>
    <w:p>
      <w:pPr>
        <w:spacing w:after="20" w:line="223" w:lineRule="auto"/>
        <w:jc w:val="right"/>
        <w:bidi/>
      </w:pPr>
      <w:r>
        <w:rPr>
          <w:rFonts w:ascii="Arial" w:hAnsi="Arial"/>
          <w:sz w:val="16"/>
        </w:rPr>
        <w:t>537.06  مطابق با عنوان ۱۰ کد ایالات متحده، نیروهای مسلح، پرچم‌های خدمت به ترتیب تاریخ خدمت نشان داده می‌شوند و به ارشدترین پرچم‌های خدماتی در سمت راست منتخب موقعیت افتخار داده می‌شود.</w:t>
      </w:r>
    </w:p>
    <w:p>
      <w:pPr>
        <w:spacing w:after="28" w:line="216" w:lineRule="auto"/>
        <w:ind w:left="259"/>
        <w:jc w:val="left"/>
      </w:pPr>
      <w:r>
        <w:rPr>
          <w:rFonts w:ascii="Arial" w:hAnsi="Arial"/>
          <w:color w:val="525252"/>
          <w:sz w:val="13"/>
        </w:rPr>
        <w:t>In accordance with Title 10 United States Code, Armed Forces, service flags will be displayed by order of service date, with the most senior service flags being given the position of honor on the far right.</w:t>
      </w:r>
    </w:p>
    <w:p>
      <w:pPr>
        <w:spacing w:after="20" w:line="223" w:lineRule="auto"/>
        <w:jc w:val="right"/>
        <w:bidi/>
      </w:pPr>
      <w:r>
        <w:rPr>
          <w:rFonts w:ascii="Arial" w:hAnsi="Arial"/>
          <w:sz w:val="16"/>
        </w:rPr>
        <w:t>537.07  پرچم‌های خدماتی به ترتیب اولویت زیر از سمت راست خود یا چپ ناظر نمایش داده می‌شوند: گارد ملی (۱۳ دسامبر ۱۶۳۵)، ارتش ایالات متحده (۱۴ ژوئن ۱۷۷۵)، نیروی دریایی ایالات متحده (۱۳ اکتبر ۱۷۷۵)، تفنگداران دریایی ایالات متحده (۱۰ نوامبر ۱۷۷۵ کو. نیروی هوایی ایالات متحده (۱۸ سپتامبر ۱۹۴۷) و نیروی فضایی ایالات متحده (۲۰ دسامبر ۲۰۱۹).</w:t>
      </w:r>
    </w:p>
    <w:p>
      <w:pPr>
        <w:spacing w:after="28" w:line="216" w:lineRule="auto"/>
        <w:ind w:left="259"/>
        <w:jc w:val="left"/>
      </w:pPr>
      <w:r>
        <w:rPr>
          <w:rFonts w:ascii="Arial" w:hAnsi="Arial"/>
          <w:color w:val="525252"/>
          <w:sz w:val="13"/>
        </w:rPr>
        <w:t>Service flags will be displayed in the following order of precedence from their own right or the observer’s left: National Guard (13 December 1635), U.S. Army (14 June 1775), U.S. Navy (13 October 1775), U.S. Marine (10 November 1775), U.S. Coast Guard (4 August 1790), U.S. Air Force (18 September 1947), and U.S. Space Force (20 December 2019).</w:t>
      </w:r>
    </w:p>
    <w:p>
      <w:pPr>
        <w:spacing w:after="20" w:line="223" w:lineRule="auto"/>
        <w:jc w:val="right"/>
        <w:bidi/>
      </w:pPr>
      <w:r>
        <w:rPr>
          <w:rFonts w:ascii="Arial" w:hAnsi="Arial"/>
          <w:sz w:val="16"/>
        </w:rPr>
        <w:t>537.08  به دنبال پرچم‌های خدماتی، ترتیب اولویت پرچم‌ها به شرح زیر است: دفاع هوافضای آمریکای شمالی، فرماندهی فضایی ایالات متحده، فرماندهی اصلی (به ترتیب حروف الفبا)، آژانس‌های عملیاتی میدانی، گارد ملی هوایی، رزرو نیروی هوایی، واحدهای گزارش مستقیم، نیروهای هوایی شماره‌دار، و بال‌ها (ترتیب انشعاب‌گیری مناسب)</w:t>
      </w:r>
    </w:p>
    <w:p>
      <w:pPr>
        <w:spacing w:after="28" w:line="216" w:lineRule="auto"/>
        <w:ind w:left="259"/>
        <w:jc w:val="left"/>
      </w:pPr>
      <w:r>
        <w:rPr>
          <w:rFonts w:ascii="Arial" w:hAnsi="Arial"/>
          <w:color w:val="525252"/>
          <w:sz w:val="13"/>
        </w:rPr>
        <w:t>Following the service flags, the order of precedence of flags is as follows: North American Aerospace Defense, U.S. Space Command, major commands (in alphabetical order), field operating agencies, Air National Guard, Air Force Reserve, direct reporting units, Numbered Air Forces, and wings (in descending order), and personal/position (using branch appropriate flags).</w:t>
      </w:r>
    </w:p>
    <w:p>
      <w:r>
        <w:br w:type="page"/>
      </w:r>
    </w:p>
    <w:p>
      <w:pPr>
        <w:spacing w:after="60"/>
        <w:jc w:val="right"/>
        <w:bidi/>
      </w:pPr>
      <w:r>
        <w:rPr>
          <w:rFonts w:ascii="Arial" w:hAnsi="Arial"/>
          <w:b/>
          <w:color w:val="1F4D78"/>
          <w:sz w:val="19"/>
        </w:rPr>
        <w:t>هفتهٔ 538  |  صفحهٔ منبع: 554</w:t>
      </w:r>
    </w:p>
    <w:p>
      <w:pPr>
        <w:spacing w:before="60" w:after="28"/>
        <w:jc w:val="right"/>
        <w:bidi/>
      </w:pPr>
      <w:r>
        <w:rPr>
          <w:b/>
          <w:color w:val="1F4D78"/>
          <w:sz w:val="18"/>
        </w:rPr>
        <w:t>بخش 24C-احترام به افراد</w:t>
      </w:r>
    </w:p>
    <w:p>
      <w:pPr>
        <w:spacing w:after="20"/>
        <w:ind w:left="259"/>
        <w:jc w:val="left"/>
      </w:pPr>
      <w:r>
        <w:rPr>
          <w:color w:val="555555"/>
          <w:sz w:val="12"/>
        </w:rPr>
        <w:t>Section 24C—Respect for Individuals</w:t>
      </w:r>
    </w:p>
    <w:p>
      <w:pPr>
        <w:spacing w:before="60" w:after="28"/>
        <w:jc w:val="right"/>
        <w:bidi/>
      </w:pPr>
      <w:r>
        <w:rPr>
          <w:b/>
          <w:color w:val="1F4D78"/>
          <w:sz w:val="18"/>
        </w:rPr>
        <w:t>24.17. نشان دادن احترام به افراد</w:t>
      </w:r>
    </w:p>
    <w:p>
      <w:pPr>
        <w:spacing w:after="20"/>
        <w:ind w:left="259"/>
        <w:jc w:val="left"/>
      </w:pPr>
      <w:r>
        <w:rPr>
          <w:color w:val="555555"/>
          <w:sz w:val="12"/>
        </w:rPr>
        <w:t>24.17. Showing Respect for Individuals</w:t>
      </w:r>
    </w:p>
    <w:p>
      <w:pPr>
        <w:spacing w:after="20" w:line="223" w:lineRule="auto"/>
        <w:jc w:val="right"/>
        <w:bidi/>
      </w:pPr>
      <w:r>
        <w:rPr>
          <w:rFonts w:ascii="Arial" w:hAnsi="Arial"/>
          <w:sz w:val="16"/>
        </w:rPr>
        <w:t>538.03  احترام، ملاحظه، آداب، عقل سلیم و ادب همه راههایی برای نشان دادن رفتارهای متداول ادب هستند.</w:t>
      </w:r>
    </w:p>
    <w:p>
      <w:pPr>
        <w:spacing w:after="28" w:line="216" w:lineRule="auto"/>
        <w:ind w:left="259"/>
        <w:jc w:val="left"/>
      </w:pPr>
      <w:r>
        <w:rPr>
          <w:rFonts w:ascii="Arial" w:hAnsi="Arial"/>
          <w:color w:val="525252"/>
          <w:sz w:val="13"/>
        </w:rPr>
        <w:t>Respect, consideration, manners, common sense, and politeness are all ways of demonstrating common acts of courtesy.</w:t>
      </w:r>
    </w:p>
    <w:p>
      <w:pPr>
        <w:spacing w:after="20" w:line="223" w:lineRule="auto"/>
        <w:jc w:val="right"/>
        <w:bidi/>
      </w:pPr>
      <w:r>
        <w:rPr>
          <w:rFonts w:ascii="Arial" w:hAnsi="Arial"/>
          <w:sz w:val="16"/>
        </w:rPr>
        <w:t>538.04  رفتارهای متداول مودبانه که به یک محیط کاری مثبت و حرفه‌ای کمک می‌کند شامل موارد ساده‌ای مانند گفتن "لطفا" و "متشکرم" و احترام به وقت دیگران است.</w:t>
      </w:r>
    </w:p>
    <w:p>
      <w:pPr>
        <w:spacing w:after="28" w:line="216" w:lineRule="auto"/>
        <w:ind w:left="259"/>
        <w:jc w:val="left"/>
      </w:pPr>
      <w:r>
        <w:rPr>
          <w:rFonts w:ascii="Arial" w:hAnsi="Arial"/>
          <w:color w:val="525252"/>
          <w:sz w:val="13"/>
        </w:rPr>
        <w:t>Common acts of courtesy that contribute to a positive, professional working environment include simple things like saying “please” and “thank you” and respecting other people’s time.</w:t>
      </w:r>
    </w:p>
    <w:p>
      <w:pPr>
        <w:spacing w:after="20" w:line="223" w:lineRule="auto"/>
        <w:jc w:val="right"/>
        <w:bidi/>
      </w:pPr>
      <w:r>
        <w:rPr>
          <w:rFonts w:ascii="Arial" w:hAnsi="Arial"/>
          <w:sz w:val="16"/>
        </w:rPr>
        <w:t>538.05  وقتی در محل کار هستید، مفید بودن، دریافت و ارائه پیام، و ارائه کمک، در صورت امکان، نشان‌دهنده توجه به دیگران است.</w:t>
      </w:r>
    </w:p>
    <w:p>
      <w:pPr>
        <w:spacing w:after="28" w:line="216" w:lineRule="auto"/>
        <w:ind w:left="259"/>
        <w:jc w:val="left"/>
      </w:pPr>
      <w:r>
        <w:rPr>
          <w:rFonts w:ascii="Arial" w:hAnsi="Arial"/>
          <w:color w:val="525252"/>
          <w:sz w:val="13"/>
        </w:rPr>
        <w:t>When in the workplace, being helpful, taking and delivering messages, and offering assistance, when possible, are demonstrations of consideration for others.</w:t>
      </w:r>
    </w:p>
    <w:p>
      <w:pPr>
        <w:spacing w:after="20" w:line="223" w:lineRule="auto"/>
        <w:jc w:val="right"/>
        <w:bidi/>
      </w:pPr>
      <w:r>
        <w:rPr>
          <w:rFonts w:ascii="Arial" w:hAnsi="Arial"/>
          <w:sz w:val="16"/>
        </w:rPr>
        <w:t>538.06  همه پرسنل USAF باید در حین انجام وظیفه و خارج از وظیفه، رفتارهای متداول مودبانه را نشان دهند.</w:t>
      </w:r>
    </w:p>
    <w:p>
      <w:pPr>
        <w:spacing w:after="28" w:line="216" w:lineRule="auto"/>
        <w:ind w:left="259"/>
        <w:jc w:val="left"/>
      </w:pPr>
      <w:r>
        <w:rPr>
          <w:rFonts w:ascii="Arial" w:hAnsi="Arial"/>
          <w:color w:val="525252"/>
          <w:sz w:val="13"/>
        </w:rPr>
        <w:t>All USAF personnel should demonstrate common acts of courtesy while on- and off-duty.</w:t>
      </w:r>
    </w:p>
    <w:p>
      <w:pPr>
        <w:spacing w:after="20" w:line="223" w:lineRule="auto"/>
        <w:jc w:val="right"/>
        <w:bidi/>
      </w:pPr>
      <w:r>
        <w:rPr>
          <w:rFonts w:ascii="Arial" w:hAnsi="Arial"/>
          <w:sz w:val="16"/>
        </w:rPr>
        <w:t>538.07  بازدیدکنندگان محترم.</w:t>
      </w:r>
    </w:p>
    <w:p>
      <w:pPr>
        <w:spacing w:after="28" w:line="216" w:lineRule="auto"/>
        <w:ind w:left="259"/>
        <w:jc w:val="left"/>
      </w:pPr>
      <w:r>
        <w:rPr>
          <w:rFonts w:ascii="Arial" w:hAnsi="Arial"/>
          <w:color w:val="525252"/>
          <w:sz w:val="13"/>
        </w:rPr>
        <w:t>Distinguished Visitors.</w:t>
      </w:r>
    </w:p>
    <w:p>
      <w:pPr>
        <w:spacing w:after="20" w:line="223" w:lineRule="auto"/>
        <w:jc w:val="right"/>
        <w:bidi/>
      </w:pPr>
      <w:r>
        <w:rPr>
          <w:rFonts w:ascii="Arial" w:hAnsi="Arial"/>
          <w:sz w:val="16"/>
        </w:rPr>
        <w:t>538.08  برخی از افراد که بازدیدکنندگان برجسته (DV) در نظر گرفته می‌شوند، اغلب به‌عنوان یک موضوع احترام و همچنین سنت، احترام خاصی به آنها داده می‌شود.</w:t>
      </w:r>
    </w:p>
    <w:p>
      <w:pPr>
        <w:spacing w:after="28" w:line="216" w:lineRule="auto"/>
        <w:ind w:left="259"/>
        <w:jc w:val="left"/>
      </w:pPr>
      <w:r>
        <w:rPr>
          <w:rFonts w:ascii="Arial" w:hAnsi="Arial"/>
          <w:color w:val="525252"/>
          <w:sz w:val="13"/>
        </w:rPr>
        <w:t>Certain individuals who are considered distinguished visitors (DV) are often afforded particular courtesies as a matter of respect, as well as tradition.</w:t>
      </w:r>
    </w:p>
    <w:p>
      <w:pPr>
        <w:spacing w:after="20" w:line="223" w:lineRule="auto"/>
        <w:jc w:val="right"/>
        <w:bidi/>
      </w:pPr>
      <w:r>
        <w:rPr>
          <w:rFonts w:ascii="Arial" w:hAnsi="Arial"/>
          <w:sz w:val="16"/>
        </w:rPr>
        <w:t>538.09  DV ممکن است به این صورت تعریف شود: (۱) افسر عمومی یا پرچم. (۲) مقام دولتی با درجه‌ای معادل سرتیپ یا بالاتر. (۳) افسر نظامی خارجی یا غیرنظامی که توسط معاون وزیر نیروی هوایی در امور بین‌الملل به‌عنوان DV تعیین شده است. یا (۴) بازدید کننده یا گروه تعیین شده توسط فرمانده.</w:t>
      </w:r>
    </w:p>
    <w:p>
      <w:pPr>
        <w:spacing w:after="28" w:line="216" w:lineRule="auto"/>
        <w:ind w:left="259"/>
        <w:jc w:val="left"/>
      </w:pPr>
      <w:r>
        <w:rPr>
          <w:rFonts w:ascii="Arial" w:hAnsi="Arial"/>
          <w:color w:val="525252"/>
          <w:sz w:val="13"/>
        </w:rPr>
        <w:t>A DV may be defined as any: (1) General or Flag Officer; (2) government official with rank equivalent to a Brigadier General or higher; (3) foreign military officer or civilian designated a DV by the Under Secretary of the Air Force for International Affairs; or (4) visitor or group designated by the commander.</w:t>
      </w:r>
    </w:p>
    <w:p>
      <w:pPr>
        <w:spacing w:after="20" w:line="223" w:lineRule="auto"/>
        <w:jc w:val="right"/>
        <w:bidi/>
      </w:pPr>
      <w:r>
        <w:rPr>
          <w:rFonts w:ascii="Arial" w:hAnsi="Arial"/>
          <w:sz w:val="16"/>
        </w:rPr>
        <w:t>538.10  ممکن است به افرادی که در موقعیت‌های خاص قرار دارند، وضعیت DV به‌عنوان تعیین شده توسط فرمانده داده شود.</w:t>
      </w:r>
    </w:p>
    <w:p>
      <w:pPr>
        <w:spacing w:after="28" w:line="216" w:lineRule="auto"/>
        <w:ind w:left="259"/>
        <w:jc w:val="left"/>
      </w:pPr>
      <w:r>
        <w:rPr>
          <w:rFonts w:ascii="Arial" w:hAnsi="Arial"/>
          <w:color w:val="525252"/>
          <w:sz w:val="13"/>
        </w:rPr>
        <w:t>Persons in certain positions may be given DV status as designated by the commander.</w:t>
      </w:r>
    </w:p>
    <w:p>
      <w:pPr>
        <w:spacing w:after="20" w:line="223" w:lineRule="auto"/>
        <w:jc w:val="right"/>
        <w:bidi/>
      </w:pPr>
      <w:r>
        <w:rPr>
          <w:rFonts w:ascii="Arial" w:hAnsi="Arial"/>
          <w:sz w:val="16"/>
        </w:rPr>
        <w:t>538.11  بازدید از DV یک رویداد مهم است و باید به جزئیات توجه زیادی کرد.</w:t>
      </w:r>
    </w:p>
    <w:p>
      <w:pPr>
        <w:spacing w:after="28" w:line="216" w:lineRule="auto"/>
        <w:ind w:left="259"/>
        <w:jc w:val="left"/>
      </w:pPr>
      <w:r>
        <w:rPr>
          <w:rFonts w:ascii="Arial" w:hAnsi="Arial"/>
          <w:color w:val="525252"/>
          <w:sz w:val="13"/>
        </w:rPr>
        <w:t>A DV visit is an important event and should be given close attention to detail.</w:t>
      </w:r>
    </w:p>
    <w:p>
      <w:pPr>
        <w:spacing w:after="20" w:line="223" w:lineRule="auto"/>
        <w:jc w:val="right"/>
        <w:bidi/>
      </w:pPr>
      <w:r>
        <w:rPr>
          <w:rFonts w:ascii="Arial" w:hAnsi="Arial"/>
          <w:sz w:val="16"/>
        </w:rPr>
        <w:t>538.12  DAFI ۹۰-۱۲۰۲ و AFPAM ۳۴-۱۲۰۲، راهنمای پروتکل را مرور کنید، و برای راهنمایی بیشتر در مورد مسئولیت‌ها و رویه‌های مناسب برای DV با دفتر پروتکل نصب تماس بگیرید.</w:t>
      </w:r>
    </w:p>
    <w:p>
      <w:pPr>
        <w:spacing w:after="28" w:line="216" w:lineRule="auto"/>
        <w:ind w:left="259"/>
        <w:jc w:val="left"/>
      </w:pPr>
      <w:r>
        <w:rPr>
          <w:rFonts w:ascii="Arial" w:hAnsi="Arial"/>
          <w:color w:val="525252"/>
          <w:sz w:val="13"/>
        </w:rPr>
        <w:t>Review DAFI 90-1202 and AFPAM 34-1202, Guide to Protocol, and contact the installation protocol office for further guidance on responsibilities and proper procedures for DVs.</w:t>
      </w:r>
    </w:p>
    <w:p>
      <w:pPr>
        <w:spacing w:before="60" w:after="28"/>
        <w:jc w:val="right"/>
        <w:bidi/>
      </w:pPr>
      <w:r>
        <w:rPr>
          <w:b/>
          <w:color w:val="1F4D78"/>
          <w:sz w:val="18"/>
        </w:rPr>
        <w:t>24.18. مقام افتخار</w:t>
      </w:r>
    </w:p>
    <w:p>
      <w:pPr>
        <w:spacing w:after="20"/>
        <w:ind w:left="259"/>
        <w:jc w:val="left"/>
      </w:pPr>
      <w:r>
        <w:rPr>
          <w:color w:val="555555"/>
          <w:sz w:val="12"/>
        </w:rPr>
        <w:t>24.18. Position of Honor</w:t>
      </w:r>
    </w:p>
    <w:p>
      <w:pPr>
        <w:spacing w:after="20" w:line="223" w:lineRule="auto"/>
        <w:jc w:val="right"/>
        <w:bidi/>
      </w:pPr>
      <w:r>
        <w:rPr>
          <w:rFonts w:ascii="Arial" w:hAnsi="Arial"/>
          <w:sz w:val="16"/>
        </w:rPr>
        <w:t>538.14  پرسنل جوان باید رفتاری مودبانه و محترمانه با پرسنل ارشد داشته باشند.</w:t>
      </w:r>
    </w:p>
    <w:p>
      <w:pPr>
        <w:spacing w:after="28" w:line="216" w:lineRule="auto"/>
        <w:ind w:left="259"/>
        <w:jc w:val="left"/>
      </w:pPr>
      <w:r>
        <w:rPr>
          <w:rFonts w:ascii="Arial" w:hAnsi="Arial"/>
          <w:color w:val="525252"/>
          <w:sz w:val="13"/>
        </w:rPr>
        <w:t>Junior personnel shall employ a courteous and respectful bearing toward senior personnel.</w:t>
      </w:r>
    </w:p>
    <w:p>
      <w:pPr>
        <w:spacing w:after="20" w:line="223" w:lineRule="auto"/>
        <w:jc w:val="right"/>
        <w:bidi/>
      </w:pPr>
      <w:r>
        <w:rPr>
          <w:rFonts w:ascii="Arial" w:hAnsi="Arial"/>
          <w:sz w:val="16"/>
        </w:rPr>
        <w:t>538.15  هنگام راه رفتن، سوار شدن، یا نشستن به فرد ارشد، سرباز یا مامور، موقعیت افتخاری در سمت راست بدهید.</w:t>
      </w:r>
    </w:p>
    <w:p>
      <w:pPr>
        <w:spacing w:after="28" w:line="216" w:lineRule="auto"/>
        <w:ind w:left="259"/>
        <w:jc w:val="left"/>
      </w:pPr>
      <w:r>
        <w:rPr>
          <w:rFonts w:ascii="Arial" w:hAnsi="Arial"/>
          <w:color w:val="525252"/>
          <w:sz w:val="13"/>
        </w:rPr>
        <w:t>Give the senior person, enlisted, or commissioned, the position of honor on the right when walking, riding, or sitting.</w:t>
      </w:r>
    </w:p>
    <w:p>
      <w:pPr>
        <w:spacing w:after="20" w:line="223" w:lineRule="auto"/>
        <w:jc w:val="right"/>
        <w:bidi/>
      </w:pPr>
      <w:r>
        <w:rPr>
          <w:rFonts w:ascii="Arial" w:hAnsi="Arial"/>
          <w:sz w:val="16"/>
        </w:rPr>
        <w:t>538.16  فرد جوان موقعیت را در سمت چپ ارشد می‌گیرد.</w:t>
      </w:r>
    </w:p>
    <w:p>
      <w:pPr>
        <w:spacing w:after="28" w:line="216" w:lineRule="auto"/>
        <w:ind w:left="259"/>
        <w:jc w:val="left"/>
      </w:pPr>
      <w:r>
        <w:rPr>
          <w:rFonts w:ascii="Arial" w:hAnsi="Arial"/>
          <w:color w:val="525252"/>
          <w:sz w:val="13"/>
        </w:rPr>
        <w:t>The junior person takes the position to the senior’s left.</w:t>
      </w:r>
    </w:p>
    <w:p>
      <w:pPr>
        <w:spacing w:after="20" w:line="223" w:lineRule="auto"/>
        <w:jc w:val="right"/>
        <w:bidi/>
      </w:pPr>
      <w:r>
        <w:rPr>
          <w:rFonts w:ascii="Arial" w:hAnsi="Arial"/>
          <w:sz w:val="16"/>
        </w:rPr>
        <w:t>538.17  ورود یا خروج از یک منطقه.</w:t>
      </w:r>
    </w:p>
    <w:p>
      <w:pPr>
        <w:spacing w:after="28" w:line="216" w:lineRule="auto"/>
        <w:ind w:left="259"/>
        <w:jc w:val="left"/>
      </w:pPr>
      <w:r>
        <w:rPr>
          <w:rFonts w:ascii="Arial" w:hAnsi="Arial"/>
          <w:color w:val="525252"/>
          <w:sz w:val="13"/>
        </w:rPr>
        <w:t>Entering or Exiting an Area.</w:t>
      </w:r>
    </w:p>
    <w:p>
      <w:pPr>
        <w:spacing w:after="20" w:line="223" w:lineRule="auto"/>
        <w:jc w:val="right"/>
        <w:bidi/>
      </w:pPr>
      <w:r>
        <w:rPr>
          <w:rFonts w:ascii="Arial" w:hAnsi="Arial"/>
          <w:sz w:val="16"/>
        </w:rPr>
        <w:t>538.18  مگر در مواردی که خلاف آن گفته شود یا غیرعملی باشد، هنگام ورود یا خروج یک مقام ارشد از اتاق، برخیزید و مراقب باشید.</w:t>
      </w:r>
    </w:p>
    <w:p>
      <w:pPr>
        <w:spacing w:after="28" w:line="216" w:lineRule="auto"/>
        <w:ind w:left="259"/>
        <w:jc w:val="left"/>
      </w:pPr>
      <w:r>
        <w:rPr>
          <w:rFonts w:ascii="Arial" w:hAnsi="Arial"/>
          <w:color w:val="525252"/>
          <w:sz w:val="13"/>
        </w:rPr>
        <w:t>Unless told otherwise or impractical, rise and stand at attention when a senior official enters or departs a room.</w:t>
      </w:r>
    </w:p>
    <w:p>
      <w:pPr>
        <w:spacing w:after="20" w:line="223" w:lineRule="auto"/>
        <w:jc w:val="right"/>
        <w:bidi/>
      </w:pPr>
      <w:r>
        <w:rPr>
          <w:rFonts w:ascii="Arial" w:hAnsi="Arial"/>
          <w:sz w:val="16"/>
        </w:rPr>
        <w:t>538.19  اگر بیش از یک نفر حضور داشته باشد، فردی که برای اولین بار افسر را می‌بیند، منطقه را مورد توجه قرار می‌دهد.</w:t>
      </w:r>
    </w:p>
    <w:p>
      <w:pPr>
        <w:spacing w:after="28" w:line="216" w:lineRule="auto"/>
        <w:ind w:left="259"/>
        <w:jc w:val="left"/>
      </w:pPr>
      <w:r>
        <w:rPr>
          <w:rFonts w:ascii="Arial" w:hAnsi="Arial"/>
          <w:color w:val="525252"/>
          <w:sz w:val="13"/>
        </w:rPr>
        <w:t>If more than one person is present, the person who first sees the officer calls the area to attention.</w:t>
      </w:r>
    </w:p>
    <w:p>
      <w:pPr>
        <w:spacing w:after="20" w:line="223" w:lineRule="auto"/>
        <w:jc w:val="right"/>
        <w:bidi/>
      </w:pPr>
      <w:r>
        <w:rPr>
          <w:rFonts w:ascii="Arial" w:hAnsi="Arial"/>
          <w:sz w:val="16"/>
        </w:rPr>
        <w:t>538.20  یک استثنا در این مورد زمانی است که افسری از قبل در اتاق باشد که با افسری که وارد اتاق می‌شود برابر یا بالاتر است.</w:t>
      </w:r>
    </w:p>
    <w:p>
      <w:pPr>
        <w:spacing w:after="28" w:line="216" w:lineRule="auto"/>
        <w:ind w:left="259"/>
        <w:jc w:val="left"/>
      </w:pPr>
      <w:r>
        <w:rPr>
          <w:rFonts w:ascii="Arial" w:hAnsi="Arial"/>
          <w:color w:val="525252"/>
          <w:sz w:val="13"/>
        </w:rPr>
        <w:t>An exception to this is when an officer is already in the room who is equal to or has a higher rank than the officer entering the room.</w:t>
      </w:r>
    </w:p>
    <w:p>
      <w:pPr>
        <w:spacing w:after="20" w:line="223" w:lineRule="auto"/>
        <w:jc w:val="right"/>
        <w:bidi/>
      </w:pPr>
      <w:r>
        <w:rPr>
          <w:rFonts w:ascii="Arial" w:hAnsi="Arial"/>
          <w:sz w:val="16"/>
        </w:rPr>
        <w:t>538.21  در این صورت، اتاق را مورد توجه قرار ندهید.</w:t>
      </w:r>
    </w:p>
    <w:p>
      <w:pPr>
        <w:spacing w:after="28" w:line="216" w:lineRule="auto"/>
        <w:ind w:left="259"/>
        <w:jc w:val="left"/>
      </w:pPr>
      <w:r>
        <w:rPr>
          <w:rFonts w:ascii="Arial" w:hAnsi="Arial"/>
          <w:color w:val="525252"/>
          <w:sz w:val="13"/>
        </w:rPr>
        <w:t>In that case, do not call the room to attention.</w:t>
      </w:r>
    </w:p>
    <w:p>
      <w:pPr>
        <w:spacing w:after="20" w:line="223" w:lineRule="auto"/>
        <w:jc w:val="right"/>
        <w:bidi/>
      </w:pPr>
      <w:r>
        <w:rPr>
          <w:rFonts w:ascii="Arial" w:hAnsi="Arial"/>
          <w:sz w:val="16"/>
        </w:rPr>
        <w:t>538.22  ورود یا خروج از وسایل نقلیه.</w:t>
      </w:r>
    </w:p>
    <w:p>
      <w:pPr>
        <w:spacing w:after="28" w:line="216" w:lineRule="auto"/>
        <w:ind w:left="259"/>
        <w:jc w:val="left"/>
      </w:pPr>
      <w:r>
        <w:rPr>
          <w:rFonts w:ascii="Arial" w:hAnsi="Arial"/>
          <w:color w:val="525252"/>
          <w:sz w:val="13"/>
        </w:rPr>
        <w:t>Entering or Exiting Vehicles.</w:t>
      </w:r>
    </w:p>
    <w:p>
      <w:pPr>
        <w:spacing w:after="20" w:line="223" w:lineRule="auto"/>
        <w:jc w:val="right"/>
        <w:bidi/>
      </w:pPr>
      <w:r>
        <w:rPr>
          <w:rFonts w:ascii="Arial" w:hAnsi="Arial"/>
          <w:sz w:val="16"/>
        </w:rPr>
        <w:t>538.23  پرسنل نظامی به ترتیب معکوس رتبه وارد خودروها و قایق‌های کوچک می‌شوند.</w:t>
      </w:r>
    </w:p>
    <w:p>
      <w:pPr>
        <w:spacing w:after="28" w:line="216" w:lineRule="auto"/>
        <w:ind w:left="259"/>
        <w:jc w:val="left"/>
      </w:pPr>
      <w:r>
        <w:rPr>
          <w:rFonts w:ascii="Arial" w:hAnsi="Arial"/>
          <w:color w:val="525252"/>
          <w:sz w:val="13"/>
        </w:rPr>
        <w:t>Military personnel enter automobiles and small boats in reverse order of rank.</w:t>
      </w:r>
    </w:p>
    <w:p>
      <w:pPr>
        <w:spacing w:after="20" w:line="223" w:lineRule="auto"/>
        <w:jc w:val="right"/>
        <w:bidi/>
      </w:pPr>
      <w:r>
        <w:rPr>
          <w:rFonts w:ascii="Arial" w:hAnsi="Arial"/>
          <w:sz w:val="16"/>
        </w:rPr>
        <w:t>538.24  جوانان ابتدا وارد یک وسیله نقلیه می‌شوند و صندلی مناسب خود را در سمت چپ بزرگسالان می‌نشینند.</w:t>
      </w:r>
    </w:p>
    <w:p>
      <w:pPr>
        <w:spacing w:after="28" w:line="216" w:lineRule="auto"/>
        <w:ind w:left="259"/>
        <w:jc w:val="left"/>
      </w:pPr>
      <w:r>
        <w:rPr>
          <w:rFonts w:ascii="Arial" w:hAnsi="Arial"/>
          <w:color w:val="525252"/>
          <w:sz w:val="13"/>
        </w:rPr>
        <w:t>Juniors will enter a vehicle first and take their appropriate seat on the senior’s left.</w:t>
      </w:r>
    </w:p>
    <w:p>
      <w:pPr>
        <w:spacing w:after="20" w:line="223" w:lineRule="auto"/>
        <w:jc w:val="right"/>
        <w:bidi/>
      </w:pPr>
      <w:r>
        <w:rPr>
          <w:rFonts w:ascii="Arial" w:hAnsi="Arial"/>
          <w:sz w:val="16"/>
        </w:rPr>
        <w:t>538.25  افسر ارشد آخرین نفری است که وارد وسیله نقلیه می‌شود و اولین نفری است که خارج می‌شود.</w:t>
      </w:r>
    </w:p>
    <w:p>
      <w:pPr>
        <w:spacing w:after="28" w:line="216" w:lineRule="auto"/>
        <w:ind w:left="259"/>
        <w:jc w:val="left"/>
      </w:pPr>
      <w:r>
        <w:rPr>
          <w:rFonts w:ascii="Arial" w:hAnsi="Arial"/>
          <w:color w:val="525252"/>
          <w:sz w:val="13"/>
        </w:rPr>
        <w:t>The senior officer will be the last to enter the vehicle and the first to exit.</w:t>
      </w:r>
    </w:p>
    <w:p>
      <w:pPr>
        <w:spacing w:before="60" w:after="28"/>
        <w:jc w:val="right"/>
        <w:bidi/>
      </w:pPr>
      <w:r>
        <w:rPr>
          <w:b/>
          <w:color w:val="1F4D78"/>
          <w:sz w:val="18"/>
        </w:rPr>
        <w:t>24.19. رتبه ها، عناوین، و شرایط آدرس</w:t>
      </w:r>
    </w:p>
    <w:p>
      <w:pPr>
        <w:spacing w:after="20"/>
        <w:ind w:left="259"/>
        <w:jc w:val="left"/>
      </w:pPr>
      <w:r>
        <w:rPr>
          <w:color w:val="555555"/>
          <w:sz w:val="12"/>
        </w:rPr>
        <w:t>24.19. Ranks, Titles, and Terms of Address</w:t>
      </w:r>
    </w:p>
    <w:p>
      <w:pPr>
        <w:spacing w:after="20" w:line="223" w:lineRule="auto"/>
        <w:jc w:val="right"/>
        <w:bidi/>
      </w:pPr>
      <w:r>
        <w:rPr>
          <w:rFonts w:ascii="Arial" w:hAnsi="Arial"/>
          <w:sz w:val="16"/>
        </w:rPr>
        <w:t>538.27  پرسنل نظامی با رتبه مرتبط با درجه یا عنوان آنها خطاب می‌شوند.</w:t>
      </w:r>
    </w:p>
    <w:p>
      <w:pPr>
        <w:spacing w:after="28" w:line="216" w:lineRule="auto"/>
        <w:ind w:left="259"/>
        <w:jc w:val="left"/>
      </w:pPr>
      <w:r>
        <w:rPr>
          <w:rFonts w:ascii="Arial" w:hAnsi="Arial"/>
          <w:color w:val="525252"/>
          <w:sz w:val="13"/>
        </w:rPr>
        <w:t>Military personnel are addressed by the rank associated with their grade or title.</w:t>
      </w:r>
    </w:p>
    <w:p>
      <w:pPr>
        <w:spacing w:after="20" w:line="223" w:lineRule="auto"/>
        <w:jc w:val="right"/>
        <w:bidi/>
      </w:pPr>
      <w:r>
        <w:rPr>
          <w:rFonts w:ascii="Arial" w:hAnsi="Arial"/>
          <w:sz w:val="16"/>
        </w:rPr>
        <w:t>538.28  در حالی که همه پرسنل USAF نیروی هوایی هستند، مناسب است که افسران را بر اساس درجه آنها، مانند سرهنگ دوم، و اعضای سربازگیری شده را با درجه آنها، مانند گروهبان، خطاب کنید.</w:t>
      </w:r>
    </w:p>
    <w:p>
      <w:pPr>
        <w:spacing w:after="28" w:line="216" w:lineRule="auto"/>
        <w:ind w:left="259"/>
        <w:jc w:val="left"/>
      </w:pPr>
      <w:r>
        <w:rPr>
          <w:rFonts w:ascii="Arial" w:hAnsi="Arial"/>
          <w:color w:val="525252"/>
          <w:sz w:val="13"/>
        </w:rPr>
        <w:t>While all USAF personnel are Airmen, it is appropriate to address officers by their grade, such as Lieutenant Colonel, and enlisted members by their grade, such as Master Sergeant.</w:t>
      </w:r>
    </w:p>
    <w:p>
      <w:pPr>
        <w:spacing w:after="20" w:line="223" w:lineRule="auto"/>
        <w:jc w:val="right"/>
        <w:bidi/>
      </w:pPr>
      <w:r>
        <w:rPr>
          <w:rFonts w:ascii="Arial" w:hAnsi="Arial"/>
          <w:sz w:val="16"/>
        </w:rPr>
        <w:t>538.29  همچنین قابل قبول است که اعضای ثبت‌نام شده نسبت به ردیف خود، مانند هوانورد، گروهبان، ارشد، رئیس، در صورت لزوم مورد خطاب قرار گیرند.</w:t>
      </w:r>
    </w:p>
    <w:p>
      <w:pPr>
        <w:spacing w:after="28" w:line="216" w:lineRule="auto"/>
        <w:ind w:left="259"/>
        <w:jc w:val="left"/>
      </w:pPr>
      <w:r>
        <w:rPr>
          <w:rFonts w:ascii="Arial" w:hAnsi="Arial"/>
          <w:color w:val="525252"/>
          <w:sz w:val="13"/>
        </w:rPr>
        <w:t>It is also acceptable to address enlisted members relative to their tier, such as Airman, Sergeant, Senior, Chief, as appropriate.</w:t>
      </w:r>
    </w:p>
    <w:p>
      <w:pPr>
        <w:spacing w:after="20" w:line="223" w:lineRule="auto"/>
        <w:jc w:val="right"/>
        <w:bidi/>
      </w:pPr>
      <w:r>
        <w:rPr>
          <w:rFonts w:ascii="Arial" w:hAnsi="Arial"/>
          <w:sz w:val="16"/>
        </w:rPr>
        <w:t>538.30  اعضای USAF همچنین ممکن است با عنوان "آقا" یا "خانم" خطاب شوند. روحانیون ممکن است به‌عنوان روحانی یا با عنوان کلیسایی آنها خطاب شوند.</w:t>
      </w:r>
    </w:p>
    <w:p>
      <w:pPr>
        <w:spacing w:after="28" w:line="216" w:lineRule="auto"/>
        <w:ind w:left="259"/>
        <w:jc w:val="left"/>
      </w:pPr>
      <w:r>
        <w:rPr>
          <w:rFonts w:ascii="Arial" w:hAnsi="Arial"/>
          <w:color w:val="525252"/>
          <w:sz w:val="13"/>
        </w:rPr>
        <w:t>USAF members may also be addressed as “Sir” or “Ma’am.” Chaplains may be addressed as Chaplain or by their ecclesiastical title.</w:t>
      </w:r>
    </w:p>
    <w:p>
      <w:pPr>
        <w:spacing w:after="20" w:line="223" w:lineRule="auto"/>
        <w:jc w:val="right"/>
        <w:bidi/>
      </w:pPr>
      <w:r>
        <w:rPr>
          <w:rFonts w:ascii="Arial" w:hAnsi="Arial"/>
          <w:sz w:val="16"/>
        </w:rPr>
        <w:t>538.31  احترام به غیرنظامیان.</w:t>
      </w:r>
    </w:p>
    <w:p>
      <w:pPr>
        <w:spacing w:after="28" w:line="216" w:lineRule="auto"/>
        <w:ind w:left="259"/>
        <w:jc w:val="left"/>
      </w:pPr>
      <w:r>
        <w:rPr>
          <w:rFonts w:ascii="Arial" w:hAnsi="Arial"/>
          <w:color w:val="525252"/>
          <w:sz w:val="13"/>
        </w:rPr>
        <w:t>Respect for Civilians.</w:t>
      </w:r>
    </w:p>
    <w:p>
      <w:pPr>
        <w:spacing w:after="20" w:line="223" w:lineRule="auto"/>
        <w:jc w:val="right"/>
        <w:bidi/>
      </w:pPr>
      <w:r>
        <w:rPr>
          <w:rFonts w:ascii="Arial" w:hAnsi="Arial"/>
          <w:sz w:val="16"/>
        </w:rPr>
        <w:t>538.32  غیرنظامیان و کارمندان خدمات ملکی باید به‌طور مناسب "آقا"، "خانم"، "خانم" یا "خانم" و نام خانوادگی آنها خطاب شوند.</w:t>
      </w:r>
    </w:p>
    <w:p>
      <w:pPr>
        <w:spacing w:after="28" w:line="216" w:lineRule="auto"/>
        <w:ind w:left="259"/>
        <w:jc w:val="left"/>
      </w:pPr>
      <w:r>
        <w:rPr>
          <w:rFonts w:ascii="Arial" w:hAnsi="Arial"/>
          <w:color w:val="525252"/>
          <w:sz w:val="13"/>
        </w:rPr>
        <w:t>Civilians and civil service employees should be addressed appropriately as “Mr.,” “Mrs.,” “Miss,” or “Ms.,” and their last name.</w:t>
      </w:r>
    </w:p>
    <w:p>
      <w:pPr>
        <w:spacing w:after="20" w:line="223" w:lineRule="auto"/>
        <w:jc w:val="right"/>
        <w:bidi/>
      </w:pPr>
      <w:r>
        <w:rPr>
          <w:rFonts w:ascii="Arial" w:hAnsi="Arial"/>
          <w:sz w:val="16"/>
        </w:rPr>
        <w:t>538.33  همچنین استفاده از "سیر" یا "ما'ام" مناسب است.</w:t>
      </w:r>
    </w:p>
    <w:p>
      <w:pPr>
        <w:spacing w:after="28" w:line="216" w:lineRule="auto"/>
        <w:ind w:left="259"/>
        <w:jc w:val="left"/>
      </w:pPr>
      <w:r>
        <w:rPr>
          <w:rFonts w:ascii="Arial" w:hAnsi="Arial"/>
          <w:color w:val="525252"/>
          <w:sz w:val="13"/>
        </w:rPr>
        <w:t>Also, using “Sir” or “Ma’am” is appropriate.</w:t>
      </w:r>
    </w:p>
    <w:p>
      <w:pPr>
        <w:spacing w:after="20" w:line="223" w:lineRule="auto"/>
        <w:jc w:val="right"/>
        <w:bidi/>
      </w:pPr>
      <w:r>
        <w:rPr>
          <w:rFonts w:ascii="Arial" w:hAnsi="Arial"/>
          <w:sz w:val="16"/>
        </w:rPr>
        <w:t>538.34  احترام به بازنشستگان.</w:t>
      </w:r>
    </w:p>
    <w:p>
      <w:pPr>
        <w:spacing w:after="28" w:line="216" w:lineRule="auto"/>
        <w:ind w:left="259"/>
        <w:jc w:val="left"/>
      </w:pPr>
      <w:r>
        <w:rPr>
          <w:rFonts w:ascii="Arial" w:hAnsi="Arial"/>
          <w:color w:val="525252"/>
          <w:sz w:val="13"/>
        </w:rPr>
        <w:t>Respect for Retirees.</w:t>
      </w:r>
    </w:p>
    <w:p>
      <w:pPr>
        <w:spacing w:after="20" w:line="223" w:lineRule="auto"/>
        <w:jc w:val="right"/>
        <w:bidi/>
      </w:pPr>
      <w:r>
        <w:rPr>
          <w:rFonts w:ascii="Arial" w:hAnsi="Arial"/>
          <w:sz w:val="16"/>
        </w:rPr>
        <w:t>538.35  بازنشستگان از احترام و ادبی مشابه با اعضای فعال نظامی برخوردارند.</w:t>
      </w:r>
    </w:p>
    <w:p>
      <w:pPr>
        <w:spacing w:after="28" w:line="216" w:lineRule="auto"/>
        <w:ind w:left="259"/>
        <w:jc w:val="left"/>
      </w:pPr>
      <w:r>
        <w:rPr>
          <w:rFonts w:ascii="Arial" w:hAnsi="Arial"/>
          <w:color w:val="525252"/>
          <w:sz w:val="13"/>
        </w:rPr>
        <w:t>Retirees are entitled to the same respect and courtesies as active military members.</w:t>
      </w:r>
    </w:p>
    <w:p>
      <w:pPr>
        <w:spacing w:after="20" w:line="223" w:lineRule="auto"/>
        <w:jc w:val="right"/>
        <w:bidi/>
      </w:pPr>
      <w:r>
        <w:rPr>
          <w:rFonts w:ascii="Arial" w:hAnsi="Arial"/>
          <w:sz w:val="16"/>
        </w:rPr>
        <w:t>538.36  در تمامی سوابق رسمی و رسمی با نمره بازنشستگی مورد خطاب قرار خواهند گرفت.</w:t>
      </w:r>
    </w:p>
    <w:p>
      <w:pPr>
        <w:spacing w:after="28" w:line="216" w:lineRule="auto"/>
        <w:ind w:left="259"/>
        <w:jc w:val="left"/>
      </w:pPr>
      <w:r>
        <w:rPr>
          <w:rFonts w:ascii="Arial" w:hAnsi="Arial"/>
          <w:color w:val="525252"/>
          <w:sz w:val="13"/>
        </w:rPr>
        <w:t>They will be addressed by their retired grade on all official records and official</w:t>
      </w:r>
    </w:p>
    <w:p>
      <w:r>
        <w:br w:type="page"/>
      </w:r>
    </w:p>
    <w:p>
      <w:pPr>
        <w:spacing w:after="60"/>
        <w:jc w:val="right"/>
        <w:bidi/>
      </w:pPr>
      <w:r>
        <w:rPr>
          <w:rFonts w:ascii="Arial" w:hAnsi="Arial"/>
          <w:b/>
          <w:color w:val="1F4D78"/>
          <w:sz w:val="19"/>
        </w:rPr>
        <w:t>هفتهٔ 539  |  صفحهٔ منبع: 555</w:t>
      </w:r>
    </w:p>
    <w:p>
      <w:pPr>
        <w:spacing w:after="20" w:line="223" w:lineRule="auto"/>
        <w:jc w:val="right"/>
        <w:bidi/>
      </w:pPr>
      <w:r>
        <w:rPr>
          <w:rFonts w:ascii="Arial" w:hAnsi="Arial"/>
          <w:sz w:val="16"/>
        </w:rPr>
        <w:t>539.01  ، به استثنای مکاتبات و سایر امور مربوط به استخدام غیرنظامی بازنشستگان.</w:t>
      </w:r>
    </w:p>
    <w:p>
      <w:pPr>
        <w:spacing w:after="28" w:line="216" w:lineRule="auto"/>
        <w:ind w:left="259"/>
        <w:jc w:val="left"/>
      </w:pPr>
      <w:r>
        <w:rPr>
          <w:rFonts w:ascii="Arial" w:hAnsi="Arial"/>
          <w:color w:val="525252"/>
          <w:sz w:val="13"/>
        </w:rPr>
        <w:t>correspondence, except for correspondence and other matters relating to a retiree’s civilian employment.</w:t>
      </w:r>
    </w:p>
    <w:p>
      <w:pPr>
        <w:spacing w:after="20" w:line="223" w:lineRule="auto"/>
        <w:jc w:val="right"/>
        <w:bidi/>
      </w:pPr>
      <w:r>
        <w:rPr>
          <w:rFonts w:ascii="Arial" w:hAnsi="Arial"/>
          <w:sz w:val="16"/>
        </w:rPr>
        <w:t>539.02  برای جزئیات بیشتر به AFI ۳۶-۳۱۰۶، برنامه فعالیت‌های بازنشستگان مراجعه کنید.</w:t>
      </w:r>
    </w:p>
    <w:p>
      <w:pPr>
        <w:spacing w:after="28" w:line="216" w:lineRule="auto"/>
        <w:ind w:left="259"/>
        <w:jc w:val="left"/>
      </w:pPr>
      <w:r>
        <w:rPr>
          <w:rFonts w:ascii="Arial" w:hAnsi="Arial"/>
          <w:color w:val="525252"/>
          <w:sz w:val="13"/>
        </w:rPr>
        <w:t>Refer to AFI 36-3106, Retiree Activities Program, for additional details.</w:t>
      </w:r>
    </w:p>
    <w:p>
      <w:pPr>
        <w:spacing w:after="20" w:line="223" w:lineRule="auto"/>
        <w:jc w:val="right"/>
        <w:bidi/>
      </w:pPr>
      <w:r>
        <w:rPr>
          <w:rFonts w:ascii="Arial" w:hAnsi="Arial"/>
          <w:sz w:val="16"/>
        </w:rPr>
        <w:t>539.03  احترام به نیروهای یونیفرم و سایر خدمات.</w:t>
      </w:r>
    </w:p>
    <w:p>
      <w:pPr>
        <w:spacing w:after="28" w:line="216" w:lineRule="auto"/>
        <w:ind w:left="259"/>
        <w:jc w:val="left"/>
      </w:pPr>
      <w:r>
        <w:rPr>
          <w:rFonts w:ascii="Arial" w:hAnsi="Arial"/>
          <w:color w:val="525252"/>
          <w:sz w:val="13"/>
        </w:rPr>
        <w:t>Respect for Uniformed Forces and Other Services.</w:t>
      </w:r>
    </w:p>
    <w:p>
      <w:pPr>
        <w:spacing w:after="20" w:line="223" w:lineRule="auto"/>
        <w:jc w:val="right"/>
        <w:bidi/>
      </w:pPr>
      <w:r>
        <w:rPr>
          <w:rFonts w:ascii="Arial" w:hAnsi="Arial"/>
          <w:sz w:val="16"/>
        </w:rPr>
        <w:t>539.04  احترام نظامی را به اعضای سایر نیروهای یونیفرم پوش، سایر خدمات و کشورهای خارجی دوست گسترش دهید.</w:t>
      </w:r>
    </w:p>
    <w:p>
      <w:pPr>
        <w:spacing w:after="28" w:line="216" w:lineRule="auto"/>
        <w:ind w:left="259"/>
        <w:jc w:val="left"/>
      </w:pPr>
      <w:r>
        <w:rPr>
          <w:rFonts w:ascii="Arial" w:hAnsi="Arial"/>
          <w:color w:val="525252"/>
          <w:sz w:val="13"/>
        </w:rPr>
        <w:t>Extend military courtesies to members of other uniformed forces, other services, and friendly foreign nations.</w:t>
      </w:r>
    </w:p>
    <w:p>
      <w:pPr>
        <w:spacing w:after="20" w:line="223" w:lineRule="auto"/>
        <w:jc w:val="right"/>
        <w:bidi/>
      </w:pPr>
      <w:r>
        <w:rPr>
          <w:rFonts w:ascii="Arial" w:hAnsi="Arial"/>
          <w:sz w:val="16"/>
        </w:rPr>
        <w:t>539.05  به سرودهای ملی و پرچم‌های سایر کشورها همان احترامی را قائل شوید که سرود و پرچم ملی ایالات متحده ارائه شده است.</w:t>
      </w:r>
    </w:p>
    <w:p>
      <w:pPr>
        <w:spacing w:after="28" w:line="216" w:lineRule="auto"/>
        <w:ind w:left="259"/>
        <w:jc w:val="left"/>
      </w:pPr>
      <w:r>
        <w:rPr>
          <w:rFonts w:ascii="Arial" w:hAnsi="Arial"/>
          <w:color w:val="525252"/>
          <w:sz w:val="13"/>
        </w:rPr>
        <w:t>Pay the same respect to the national anthems and flags of other nations as rendered the United States national anthem and flag.</w:t>
      </w:r>
    </w:p>
    <w:p>
      <w:pPr>
        <w:spacing w:after="20" w:line="223" w:lineRule="auto"/>
        <w:jc w:val="right"/>
        <w:bidi/>
      </w:pPr>
      <w:r>
        <w:rPr>
          <w:rFonts w:ascii="Arial" w:hAnsi="Arial"/>
          <w:sz w:val="16"/>
        </w:rPr>
        <w:t>539.06  در حالی که یادگیری علائم شناسایی درجه‌های نظامی همه کشورها ضروری نیست، باید درجات، درجه‌ها و نشان کشورهایی که اغلب با آنها تماس گرفته می‌شود، به‌ویژه در طول مأموریت یا اعزام خارج از کشور را بیاموزید.</w:t>
      </w:r>
    </w:p>
    <w:p>
      <w:pPr>
        <w:spacing w:after="28" w:line="216" w:lineRule="auto"/>
        <w:ind w:left="259"/>
        <w:jc w:val="left"/>
      </w:pPr>
      <w:r>
        <w:rPr>
          <w:rFonts w:ascii="Arial" w:hAnsi="Arial"/>
          <w:color w:val="525252"/>
          <w:sz w:val="13"/>
        </w:rPr>
        <w:t>While not necessary to learn the identifying insignia of the military grades of all nations, you should learn the ranks, grades, and insignia of the most frequently contacted nations, particularly during an overseas assignment or deployment.</w:t>
      </w:r>
    </w:p>
    <w:p>
      <w:pPr>
        <w:spacing w:before="60" w:after="28"/>
        <w:jc w:val="right"/>
        <w:bidi/>
      </w:pPr>
      <w:r>
        <w:rPr>
          <w:b/>
          <w:color w:val="1F4D78"/>
          <w:sz w:val="18"/>
        </w:rPr>
        <w:t>24.20. ادای سلام</w:t>
      </w:r>
    </w:p>
    <w:p>
      <w:pPr>
        <w:spacing w:after="20"/>
        <w:ind w:left="259"/>
        <w:jc w:val="left"/>
      </w:pPr>
      <w:r>
        <w:rPr>
          <w:color w:val="555555"/>
          <w:sz w:val="12"/>
        </w:rPr>
        <w:t>24.20. Rendering the Salute</w:t>
      </w:r>
    </w:p>
    <w:p>
      <w:pPr>
        <w:spacing w:after="20" w:line="223" w:lineRule="auto"/>
        <w:jc w:val="right"/>
        <w:bidi/>
      </w:pPr>
      <w:r>
        <w:rPr>
          <w:rFonts w:ascii="Arial" w:hAnsi="Arial"/>
          <w:sz w:val="16"/>
        </w:rPr>
        <w:t>539.08  سلام احترامی است که بین اعضای نیروهای مسلح ایالات متحده به‌عنوان سلام و نماد احترام متقابل رد و بدل می‌شود.</w:t>
      </w:r>
    </w:p>
    <w:p>
      <w:pPr>
        <w:spacing w:after="28" w:line="216" w:lineRule="auto"/>
        <w:ind w:left="259"/>
        <w:jc w:val="left"/>
      </w:pPr>
      <w:r>
        <w:rPr>
          <w:rFonts w:ascii="Arial" w:hAnsi="Arial"/>
          <w:color w:val="525252"/>
          <w:sz w:val="13"/>
        </w:rPr>
        <w:t>Saluting is a courtesy exchanged between members of the U.S. Armed Forces as both a greeting and a symbol of mutual respect.</w:t>
      </w:r>
    </w:p>
    <w:p>
      <w:pPr>
        <w:spacing w:after="20" w:line="223" w:lineRule="auto"/>
        <w:jc w:val="right"/>
        <w:bidi/>
      </w:pPr>
      <w:r>
        <w:rPr>
          <w:rFonts w:ascii="Arial" w:hAnsi="Arial"/>
          <w:sz w:val="16"/>
        </w:rPr>
        <w:t>539.09  سلام، بیانی برای به رسمیت شناختن یکدیگر به‌عنوان اعضای حرفهٔ نظامی است. نشان دهنده تعهد شخصی از خودگذشتگی برای حفظ سبک زندگی آمریکایی است.</w:t>
      </w:r>
    </w:p>
    <w:p>
      <w:pPr>
        <w:spacing w:after="28" w:line="216" w:lineRule="auto"/>
        <w:ind w:left="259"/>
        <w:jc w:val="left"/>
      </w:pPr>
      <w:r>
        <w:rPr>
          <w:rFonts w:ascii="Arial" w:hAnsi="Arial"/>
          <w:color w:val="525252"/>
          <w:sz w:val="13"/>
        </w:rPr>
        <w:t>The salute is an expression of recognition for one another as members of the profession of arms; representing a personal commitment of self-sacrifice to preserve the American way of life.</w:t>
      </w:r>
    </w:p>
    <w:p>
      <w:pPr>
        <w:spacing w:after="20" w:line="223" w:lineRule="auto"/>
        <w:jc w:val="right"/>
        <w:bidi/>
      </w:pPr>
      <w:r>
        <w:rPr>
          <w:rFonts w:ascii="Arial" w:hAnsi="Arial"/>
          <w:sz w:val="16"/>
        </w:rPr>
        <w:t>539.10  سلام به رئیس جمهور ایالات متحده، معاون رئیس جمهور، وزیر دفاع، وزرای خدمات، همه افسران مافوق مأموریت و حکم، همه دریافت کنندگان مدال افتخار و افسران برتر کشورهای خارجی دوست است.</w:t>
      </w:r>
    </w:p>
    <w:p>
      <w:pPr>
        <w:spacing w:after="28" w:line="216" w:lineRule="auto"/>
        <w:ind w:left="259"/>
        <w:jc w:val="left"/>
      </w:pPr>
      <w:r>
        <w:rPr>
          <w:rFonts w:ascii="Arial" w:hAnsi="Arial"/>
          <w:color w:val="525252"/>
          <w:sz w:val="13"/>
        </w:rPr>
        <w:t>Salutes are appropriate to the U.S. President, Vice President, Secretary of Defense, Service Secretaries, all superior commissioned and warrant officers, all Medal of Honor recipients, and superior officers of friendly foreign nations.</w:t>
      </w:r>
    </w:p>
    <w:p>
      <w:pPr>
        <w:spacing w:after="20" w:line="223" w:lineRule="auto"/>
        <w:jc w:val="right"/>
        <w:bidi/>
      </w:pPr>
      <w:r>
        <w:rPr>
          <w:rFonts w:ascii="Arial" w:hAnsi="Arial"/>
          <w:sz w:val="16"/>
        </w:rPr>
        <w:t>539.11  همچنین به‌عنوان نشانه احترام به پرچم ایالات متحده و در مراسم رسمی، همانطور که در این فصل توضیح داده شده است، سلام می‌شود.</w:t>
      </w:r>
    </w:p>
    <w:p>
      <w:pPr>
        <w:spacing w:after="28" w:line="216" w:lineRule="auto"/>
        <w:ind w:left="259"/>
        <w:jc w:val="left"/>
      </w:pPr>
      <w:r>
        <w:rPr>
          <w:rFonts w:ascii="Arial" w:hAnsi="Arial"/>
          <w:color w:val="525252"/>
          <w:sz w:val="13"/>
        </w:rPr>
        <w:t>A salute is also rendered as a sign of respect to the United States flag and during official ceremonies, as covered in this chapter.</w:t>
      </w:r>
    </w:p>
    <w:p>
      <w:pPr>
        <w:spacing w:after="20" w:line="223" w:lineRule="auto"/>
        <w:jc w:val="right"/>
        <w:bidi/>
      </w:pPr>
      <w:r>
        <w:rPr>
          <w:rFonts w:ascii="Arial" w:hAnsi="Arial"/>
          <w:sz w:val="16"/>
        </w:rPr>
        <w:t>539.12  درود بر نیروهای متحدالشکل و سایر خدمات.</w:t>
      </w:r>
    </w:p>
    <w:p>
      <w:pPr>
        <w:spacing w:after="28" w:line="216" w:lineRule="auto"/>
        <w:ind w:left="259"/>
        <w:jc w:val="left"/>
      </w:pPr>
      <w:r>
        <w:rPr>
          <w:rFonts w:ascii="Arial" w:hAnsi="Arial"/>
          <w:color w:val="525252"/>
          <w:sz w:val="13"/>
        </w:rPr>
        <w:t>Saluting Uniformed Forces and Other Services.</w:t>
      </w:r>
    </w:p>
    <w:p>
      <w:pPr>
        <w:spacing w:after="20" w:line="223" w:lineRule="auto"/>
        <w:jc w:val="right"/>
        <w:bidi/>
      </w:pPr>
      <w:r>
        <w:rPr>
          <w:rFonts w:ascii="Arial" w:hAnsi="Arial"/>
          <w:sz w:val="16"/>
        </w:rPr>
        <w:t>539.13  سلام بین افسران (مامور و ضمانت نامه) و پرسنل ثبت‌نام شده نیروهای مسلح ایالات متحده رد و بدل خواهد شد.</w:t>
      </w:r>
    </w:p>
    <w:p>
      <w:pPr>
        <w:spacing w:after="28" w:line="216" w:lineRule="auto"/>
        <w:ind w:left="259"/>
        <w:jc w:val="left"/>
      </w:pPr>
      <w:r>
        <w:rPr>
          <w:rFonts w:ascii="Arial" w:hAnsi="Arial"/>
          <w:color w:val="525252"/>
          <w:sz w:val="13"/>
        </w:rPr>
        <w:t>Salutes will be exchanged between officers (commissioned and warrant), and enlisted personnel of the U.S. Armed Forces.</w:t>
      </w:r>
    </w:p>
    <w:p>
      <w:pPr>
        <w:spacing w:after="20" w:line="223" w:lineRule="auto"/>
        <w:jc w:val="right"/>
        <w:bidi/>
      </w:pPr>
      <w:r>
        <w:rPr>
          <w:rFonts w:ascii="Arial" w:hAnsi="Arial"/>
          <w:sz w:val="16"/>
        </w:rPr>
        <w:t>539.14  همچنین در صورت لزوم بین پرسنل نیروهای مسلح ایالات متحده و خدمات متحدالشکل اداره ملی اقیانوسی و جوی و خدمات بهداشت عمومی ایالات متحده مبادله خواهد شد.</w:t>
      </w:r>
    </w:p>
    <w:p>
      <w:pPr>
        <w:spacing w:after="28" w:line="216" w:lineRule="auto"/>
        <w:ind w:left="259"/>
        <w:jc w:val="left"/>
      </w:pPr>
      <w:r>
        <w:rPr>
          <w:rFonts w:ascii="Arial" w:hAnsi="Arial"/>
          <w:color w:val="525252"/>
          <w:sz w:val="13"/>
        </w:rPr>
        <w:t>Salutes will also be exchanged between U.S. Armed Forces personnel and the Uniformed Services of the National Oceanic and Atmospheric Administration and the U.S. Public Health Service, as appropriate.</w:t>
      </w:r>
    </w:p>
    <w:p>
      <w:pPr>
        <w:spacing w:after="20" w:line="223" w:lineRule="auto"/>
        <w:jc w:val="right"/>
        <w:bidi/>
      </w:pPr>
      <w:r>
        <w:rPr>
          <w:rFonts w:ascii="Arial" w:hAnsi="Arial"/>
          <w:sz w:val="16"/>
        </w:rPr>
        <w:t>539.15  پروتکل سلام.</w:t>
      </w:r>
    </w:p>
    <w:p>
      <w:pPr>
        <w:spacing w:after="28" w:line="216" w:lineRule="auto"/>
        <w:ind w:left="259"/>
        <w:jc w:val="left"/>
      </w:pPr>
      <w:r>
        <w:rPr>
          <w:rFonts w:ascii="Arial" w:hAnsi="Arial"/>
          <w:color w:val="525252"/>
          <w:sz w:val="13"/>
        </w:rPr>
        <w:t>Saluting Protocol.</w:t>
      </w:r>
    </w:p>
    <w:p>
      <w:pPr>
        <w:spacing w:after="20" w:line="223" w:lineRule="auto"/>
        <w:jc w:val="right"/>
        <w:bidi/>
      </w:pPr>
      <w:r>
        <w:rPr>
          <w:rFonts w:ascii="Arial" w:hAnsi="Arial"/>
          <w:sz w:val="16"/>
        </w:rPr>
        <w:t>539.16  هنگامی که سلامی بین افراد رد و بدل می‌شود، عضو کوچک همیشه ابتدا به عضو ارشد سلام می‌کند.</w:t>
      </w:r>
    </w:p>
    <w:p>
      <w:pPr>
        <w:spacing w:after="28" w:line="216" w:lineRule="auto"/>
        <w:ind w:left="259"/>
        <w:jc w:val="left"/>
      </w:pPr>
      <w:r>
        <w:rPr>
          <w:rFonts w:ascii="Arial" w:hAnsi="Arial"/>
          <w:color w:val="525252"/>
          <w:sz w:val="13"/>
        </w:rPr>
        <w:t>When a salute is exchanged among individuals, the junior member always salutes the senior member first.</w:t>
      </w:r>
    </w:p>
    <w:p>
      <w:pPr>
        <w:spacing w:after="20" w:line="223" w:lineRule="auto"/>
        <w:jc w:val="right"/>
        <w:bidi/>
      </w:pPr>
      <w:r>
        <w:rPr>
          <w:rFonts w:ascii="Arial" w:hAnsi="Arial"/>
          <w:sz w:val="16"/>
        </w:rPr>
        <w:t>539.17  عضو جوان باید سلام را به موقع آغاز کند تا افسر ارشد بتواند آن را برگرداند.</w:t>
      </w:r>
    </w:p>
    <w:p>
      <w:pPr>
        <w:spacing w:after="28" w:line="216" w:lineRule="auto"/>
        <w:ind w:left="259"/>
        <w:jc w:val="left"/>
      </w:pPr>
      <w:r>
        <w:rPr>
          <w:rFonts w:ascii="Arial" w:hAnsi="Arial"/>
          <w:color w:val="525252"/>
          <w:sz w:val="13"/>
        </w:rPr>
        <w:t>The junior member should initiate the salute in time to allow the senior officer to return it.</w:t>
      </w:r>
    </w:p>
    <w:p>
      <w:pPr>
        <w:spacing w:after="20" w:line="223" w:lineRule="auto"/>
        <w:jc w:val="right"/>
        <w:bidi/>
      </w:pPr>
      <w:r>
        <w:rPr>
          <w:rFonts w:ascii="Arial" w:hAnsi="Arial"/>
          <w:sz w:val="16"/>
        </w:rPr>
        <w:t>539.18  تجویز فاصله دقیق برای همه شرایط عملی نیست. با این حال، قضاوت خوب باید زمان رد و بدل شدن سلام را تعیین کند.</w:t>
      </w:r>
    </w:p>
    <w:p>
      <w:pPr>
        <w:spacing w:after="28" w:line="216" w:lineRule="auto"/>
        <w:ind w:left="259"/>
        <w:jc w:val="left"/>
      </w:pPr>
      <w:r>
        <w:rPr>
          <w:rFonts w:ascii="Arial" w:hAnsi="Arial"/>
          <w:color w:val="525252"/>
          <w:sz w:val="13"/>
        </w:rPr>
        <w:t>To prescribe an exact distance for all circumstances is not practical; however, good judgment should dictate when salutes are exchanged.</w:t>
      </w:r>
    </w:p>
    <w:p>
      <w:pPr>
        <w:spacing w:after="20" w:line="223" w:lineRule="auto"/>
        <w:jc w:val="right"/>
        <w:bidi/>
      </w:pPr>
      <w:r>
        <w:rPr>
          <w:rFonts w:ascii="Arial" w:hAnsi="Arial"/>
          <w:sz w:val="16"/>
        </w:rPr>
        <w:t>539.19  در حالی که هر نیروی هوایی (مامور خدمت یا افسر) که نیاز به سلام کردن یا نیاز به بازگشت سلام را تشخیص می‌دهد، ممکن است در هر زمانی این کار را انجام دهد، شرایطی وجود دارد که سلام کردن ممکن است عملی یا ضروری باشد یا نباشد.</w:t>
      </w:r>
    </w:p>
    <w:p>
      <w:pPr>
        <w:spacing w:after="28" w:line="216" w:lineRule="auto"/>
        <w:ind w:left="259"/>
        <w:jc w:val="left"/>
      </w:pPr>
      <w:r>
        <w:rPr>
          <w:rFonts w:ascii="Arial" w:hAnsi="Arial"/>
          <w:color w:val="525252"/>
          <w:sz w:val="13"/>
        </w:rPr>
        <w:t>While any Airman (enlisted or officer) recognizing a need to salute or a need to return a salute may do so anywhere at any time, there are circumstances when saluting may or may not be practical or warranted.</w:t>
      </w:r>
    </w:p>
    <w:p>
      <w:pPr>
        <w:spacing w:after="20" w:line="223" w:lineRule="auto"/>
        <w:jc w:val="right"/>
        <w:bidi/>
      </w:pPr>
      <w:r>
        <w:rPr>
          <w:rFonts w:ascii="Arial" w:hAnsi="Arial"/>
          <w:sz w:val="16"/>
        </w:rPr>
        <w:t>539.20  داخل ساختمان.</w:t>
      </w:r>
    </w:p>
    <w:p>
      <w:pPr>
        <w:spacing w:after="28" w:line="216" w:lineRule="auto"/>
        <w:ind w:left="259"/>
        <w:jc w:val="left"/>
      </w:pPr>
      <w:r>
        <w:rPr>
          <w:rFonts w:ascii="Arial" w:hAnsi="Arial"/>
          <w:color w:val="525252"/>
          <w:sz w:val="13"/>
        </w:rPr>
        <w:t>Indoors.</w:t>
      </w:r>
    </w:p>
    <w:p>
      <w:pPr>
        <w:spacing w:after="20" w:line="223" w:lineRule="auto"/>
        <w:jc w:val="right"/>
        <w:bidi/>
      </w:pPr>
      <w:r>
        <w:rPr>
          <w:rFonts w:ascii="Arial" w:hAnsi="Arial"/>
          <w:sz w:val="16"/>
        </w:rPr>
        <w:t>539.21  سلام در داخل خانه انجام نمی‌شود، مگر برای گزارش رسمی.</w:t>
      </w:r>
    </w:p>
    <w:p>
      <w:pPr>
        <w:spacing w:after="28" w:line="216" w:lineRule="auto"/>
        <w:ind w:left="259"/>
        <w:jc w:val="left"/>
      </w:pPr>
      <w:r>
        <w:rPr>
          <w:rFonts w:ascii="Arial" w:hAnsi="Arial"/>
          <w:color w:val="525252"/>
          <w:sz w:val="13"/>
        </w:rPr>
        <w:t>Salutes are not rendered indoors, except for formal reporting.</w:t>
      </w:r>
    </w:p>
    <w:p>
      <w:pPr>
        <w:spacing w:after="20" w:line="223" w:lineRule="auto"/>
        <w:jc w:val="right"/>
        <w:bidi/>
      </w:pPr>
      <w:r>
        <w:rPr>
          <w:rFonts w:ascii="Arial" w:hAnsi="Arial"/>
          <w:sz w:val="16"/>
        </w:rPr>
        <w:t>539.22  هنگام گزارش دادن به یک افسر در داخل خانه، یک بار در بزنید، وقتی گفته شد وارد شوید، تقریبا تا دو قدم از افسر یا میز حرکت کنید، توقف کنید، سلام کنید و گزارش‌دهید، "آقا (خانم)، (رتبه و نام خانوادگی) طبق دستور گزارش می‌دهد، یا "آقا (خانم)، (رتبه و نام خانوادگی) گزارش می‌دهد." وقتی مکالمه تمام شد، سلام تند را اجرا کنید، سلام را نگه دارید تا افسر سلام را تصدیق کند، حرکت مناسب روبه‌رو انجام دهید و حرکت کنید.</w:t>
      </w:r>
    </w:p>
    <w:p>
      <w:pPr>
        <w:spacing w:after="28" w:line="216" w:lineRule="auto"/>
        <w:ind w:left="259"/>
        <w:jc w:val="left"/>
      </w:pPr>
      <w:r>
        <w:rPr>
          <w:rFonts w:ascii="Arial" w:hAnsi="Arial"/>
          <w:color w:val="525252"/>
          <w:sz w:val="13"/>
        </w:rPr>
        <w:t>When reporting to an officer indoors, knock once, enter when told to do so, march to approximately two paces from the officer or desk, halt, salute, and report, “Sir (Ma’am), (rank and last name) reports as ordered,” or “Sir (Ma’am), (rank and last name) reports.” When the conversation is completed, execute a sharp salute, hold the salute until the officer acknowledges the salute, perform the appropriate facing movement, and depart.</w:t>
      </w:r>
    </w:p>
    <w:p>
      <w:pPr>
        <w:spacing w:after="20" w:line="223" w:lineRule="auto"/>
        <w:jc w:val="right"/>
        <w:bidi/>
      </w:pPr>
      <w:r>
        <w:rPr>
          <w:rFonts w:ascii="Arial" w:hAnsi="Arial"/>
          <w:sz w:val="16"/>
        </w:rPr>
        <w:t>539.23  در فضای باز.</w:t>
      </w:r>
    </w:p>
    <w:p>
      <w:pPr>
        <w:spacing w:after="28" w:line="216" w:lineRule="auto"/>
        <w:ind w:left="259"/>
        <w:jc w:val="left"/>
      </w:pPr>
      <w:r>
        <w:rPr>
          <w:rFonts w:ascii="Arial" w:hAnsi="Arial"/>
          <w:color w:val="525252"/>
          <w:sz w:val="13"/>
        </w:rPr>
        <w:t>Outdoors.</w:t>
      </w:r>
    </w:p>
    <w:p>
      <w:pPr>
        <w:spacing w:after="20" w:line="223" w:lineRule="auto"/>
        <w:jc w:val="right"/>
        <w:bidi/>
      </w:pPr>
      <w:r>
        <w:rPr>
          <w:rFonts w:ascii="Arial" w:hAnsi="Arial"/>
          <w:sz w:val="16"/>
        </w:rPr>
        <w:t>539.24  در خارج از منزل (خارج از ساختمان، روی ایوان، پیاده رو سرپوشیده، ورودی، جایگاه بازبینی یا در ایستگاه اتوبوس) سلام رد و بدل می‌شود.</w:t>
      </w:r>
    </w:p>
    <w:p>
      <w:pPr>
        <w:spacing w:after="28" w:line="216" w:lineRule="auto"/>
        <w:ind w:left="259"/>
        <w:jc w:val="left"/>
      </w:pPr>
      <w:r>
        <w:rPr>
          <w:rFonts w:ascii="Arial" w:hAnsi="Arial"/>
          <w:color w:val="525252"/>
          <w:sz w:val="13"/>
        </w:rPr>
        <w:t>When outdoors (outside of a building, on a porch, a covered sidewalk, an entryway, a reviewing stand, or at a bus stop) the salute will be exchanged.</w:t>
      </w:r>
    </w:p>
    <w:p>
      <w:pPr>
        <w:spacing w:after="20" w:line="223" w:lineRule="auto"/>
        <w:jc w:val="right"/>
        <w:bidi/>
      </w:pPr>
      <w:r>
        <w:rPr>
          <w:rFonts w:ascii="Arial" w:hAnsi="Arial"/>
          <w:sz w:val="16"/>
        </w:rPr>
        <w:t>539.25  این هم در داخل و هم در خارج از تاسیسات نظامی اعمال می‌شود.</w:t>
      </w:r>
    </w:p>
    <w:p>
      <w:pPr>
        <w:spacing w:after="28" w:line="216" w:lineRule="auto"/>
        <w:ind w:left="259"/>
        <w:jc w:val="left"/>
      </w:pPr>
      <w:r>
        <w:rPr>
          <w:rFonts w:ascii="Arial" w:hAnsi="Arial"/>
          <w:color w:val="525252"/>
          <w:sz w:val="13"/>
        </w:rPr>
        <w:t>This applies both on and off military installations.</w:t>
      </w:r>
    </w:p>
    <w:p>
      <w:pPr>
        <w:spacing w:after="20" w:line="223" w:lineRule="auto"/>
        <w:jc w:val="right"/>
        <w:bidi/>
      </w:pPr>
      <w:r>
        <w:rPr>
          <w:rFonts w:ascii="Arial" w:hAnsi="Arial"/>
          <w:sz w:val="16"/>
        </w:rPr>
        <w:t>539.26  هنگام حمل وسایل.</w:t>
      </w:r>
    </w:p>
    <w:p>
      <w:pPr>
        <w:spacing w:after="28" w:line="216" w:lineRule="auto"/>
        <w:ind w:left="259"/>
        <w:jc w:val="left"/>
      </w:pPr>
      <w:r>
        <w:rPr>
          <w:rFonts w:ascii="Arial" w:hAnsi="Arial"/>
          <w:color w:val="525252"/>
          <w:sz w:val="13"/>
        </w:rPr>
        <w:t>When Carrying Items.</w:t>
      </w:r>
    </w:p>
    <w:p>
      <w:pPr>
        <w:spacing w:after="20" w:line="223" w:lineRule="auto"/>
        <w:jc w:val="right"/>
        <w:bidi/>
      </w:pPr>
      <w:r>
        <w:rPr>
          <w:rFonts w:ascii="Arial" w:hAnsi="Arial"/>
          <w:sz w:val="16"/>
        </w:rPr>
        <w:t>539.27  افرادی که اجناس را در هر دو دست حمل می‌کنند (نمی‌توانند به دست چپ منتقل شوند) در صورت غیرعملی بودن نیازی به شروع یا پاسخ دادن به سلام ندارند، بلکه باید با تأیید مناسب بودن سلام، با سر تکان دهند یا یک سلام کلامی ارائه دهند.</w:t>
      </w:r>
    </w:p>
    <w:p>
      <w:pPr>
        <w:spacing w:after="28" w:line="216" w:lineRule="auto"/>
        <w:ind w:left="259"/>
        <w:jc w:val="left"/>
      </w:pPr>
      <w:r>
        <w:rPr>
          <w:rFonts w:ascii="Arial" w:hAnsi="Arial"/>
          <w:color w:val="525252"/>
          <w:sz w:val="13"/>
        </w:rPr>
        <w:t>Individuals carrying articles in both hands (unable to be transferred to the left hand) need not initiate or return the salute when impractical, but should nod or offer a verbal greeting, acknowledging the appropriateness of a salute.</w:t>
      </w:r>
    </w:p>
    <w:p>
      <w:pPr>
        <w:spacing w:after="20" w:line="223" w:lineRule="auto"/>
        <w:jc w:val="right"/>
        <w:bidi/>
      </w:pPr>
      <w:r>
        <w:rPr>
          <w:rFonts w:ascii="Arial" w:hAnsi="Arial"/>
          <w:sz w:val="16"/>
        </w:rPr>
        <w:t>539.28  در حال شکل گیری.</w:t>
      </w:r>
    </w:p>
    <w:p>
      <w:pPr>
        <w:spacing w:after="28" w:line="216" w:lineRule="auto"/>
        <w:ind w:left="259"/>
        <w:jc w:val="left"/>
      </w:pPr>
      <w:r>
        <w:rPr>
          <w:rFonts w:ascii="Arial" w:hAnsi="Arial"/>
          <w:color w:val="525252"/>
          <w:sz w:val="13"/>
        </w:rPr>
        <w:t>In Formation.</w:t>
      </w:r>
    </w:p>
    <w:p>
      <w:pPr>
        <w:spacing w:after="20" w:line="223" w:lineRule="auto"/>
        <w:jc w:val="right"/>
        <w:bidi/>
      </w:pPr>
      <w:r>
        <w:rPr>
          <w:rFonts w:ascii="Arial" w:hAnsi="Arial"/>
          <w:sz w:val="16"/>
        </w:rPr>
        <w:t>539.29  هنگام تشکیل، اعضا سلام نمی‌کنند یا سلام نمی‌دهند مگر اینکه دستور انجام آن را داده باشند.</w:t>
      </w:r>
    </w:p>
    <w:p>
      <w:pPr>
        <w:spacing w:after="28" w:line="216" w:lineRule="auto"/>
        <w:ind w:left="259"/>
        <w:jc w:val="left"/>
      </w:pPr>
      <w:r>
        <w:rPr>
          <w:rFonts w:ascii="Arial" w:hAnsi="Arial"/>
          <w:color w:val="525252"/>
          <w:sz w:val="13"/>
        </w:rPr>
        <w:t>When in formation, members do not salute or return a salute unless given the command to do so.</w:t>
      </w:r>
    </w:p>
    <w:p>
      <w:pPr>
        <w:spacing w:after="20" w:line="223" w:lineRule="auto"/>
        <w:jc w:val="right"/>
        <w:bidi/>
      </w:pPr>
      <w:r>
        <w:rPr>
          <w:rFonts w:ascii="Arial" w:hAnsi="Arial"/>
          <w:sz w:val="16"/>
        </w:rPr>
        <w:t>539.30  مسئول تشکیلات به کسانی که در تشکیلات هستند سلام می‌دهد و قدردانی می‌کند.</w:t>
      </w:r>
    </w:p>
    <w:p>
      <w:pPr>
        <w:spacing w:after="28" w:line="216" w:lineRule="auto"/>
        <w:ind w:left="259"/>
        <w:jc w:val="left"/>
      </w:pPr>
      <w:r>
        <w:rPr>
          <w:rFonts w:ascii="Arial" w:hAnsi="Arial"/>
          <w:color w:val="525252"/>
          <w:sz w:val="13"/>
        </w:rPr>
        <w:t>The person in charge of the formation salutes and acknowledges salutes for those in the formation.</w:t>
      </w:r>
    </w:p>
    <w:p>
      <w:pPr>
        <w:spacing w:after="20" w:line="223" w:lineRule="auto"/>
        <w:jc w:val="right"/>
        <w:bidi/>
      </w:pPr>
      <w:r>
        <w:rPr>
          <w:rFonts w:ascii="Arial" w:hAnsi="Arial"/>
          <w:sz w:val="16"/>
        </w:rPr>
        <w:t>539.31  در جزئیات کار.</w:t>
      </w:r>
    </w:p>
    <w:p>
      <w:pPr>
        <w:spacing w:after="28" w:line="216" w:lineRule="auto"/>
        <w:ind w:left="259"/>
        <w:jc w:val="left"/>
      </w:pPr>
      <w:r>
        <w:rPr>
          <w:rFonts w:ascii="Arial" w:hAnsi="Arial"/>
          <w:color w:val="525252"/>
          <w:sz w:val="13"/>
        </w:rPr>
        <w:t>In a Work Detail.</w:t>
      </w:r>
    </w:p>
    <w:p>
      <w:pPr>
        <w:spacing w:after="20" w:line="223" w:lineRule="auto"/>
        <w:jc w:val="right"/>
        <w:bidi/>
      </w:pPr>
      <w:r>
        <w:rPr>
          <w:rFonts w:ascii="Arial" w:hAnsi="Arial"/>
          <w:sz w:val="16"/>
        </w:rPr>
        <w:t>539.32  وقتی در جزئیات کار، تک تک کارگران سلام نمی‌کنند.</w:t>
      </w:r>
    </w:p>
    <w:p>
      <w:pPr>
        <w:spacing w:after="28" w:line="216" w:lineRule="auto"/>
        <w:ind w:left="259"/>
        <w:jc w:val="left"/>
      </w:pPr>
      <w:r>
        <w:rPr>
          <w:rFonts w:ascii="Arial" w:hAnsi="Arial"/>
          <w:color w:val="525252"/>
          <w:sz w:val="13"/>
        </w:rPr>
        <w:t>When in a work detail, individual workers do not salute.</w:t>
      </w:r>
    </w:p>
    <w:p>
      <w:pPr>
        <w:spacing w:after="20" w:line="223" w:lineRule="auto"/>
        <w:jc w:val="right"/>
        <w:bidi/>
      </w:pPr>
      <w:r>
        <w:rPr>
          <w:rFonts w:ascii="Arial" w:hAnsi="Arial"/>
          <w:sz w:val="16"/>
        </w:rPr>
        <w:t>539.33  مسئول جزئیات به کسانی که در جزئیات هستند سلام می‌کند.</w:t>
      </w:r>
    </w:p>
    <w:p>
      <w:pPr>
        <w:spacing w:after="28" w:line="216" w:lineRule="auto"/>
        <w:ind w:left="259"/>
        <w:jc w:val="left"/>
      </w:pPr>
      <w:r>
        <w:rPr>
          <w:rFonts w:ascii="Arial" w:hAnsi="Arial"/>
          <w:color w:val="525252"/>
          <w:sz w:val="13"/>
        </w:rPr>
        <w:t>The person in charge of the detail salutes for those in the detail.</w:t>
      </w:r>
    </w:p>
    <w:p>
      <w:r>
        <w:br w:type="page"/>
      </w:r>
    </w:p>
    <w:p>
      <w:pPr>
        <w:spacing w:after="60"/>
        <w:jc w:val="right"/>
        <w:bidi/>
      </w:pPr>
      <w:r>
        <w:rPr>
          <w:rFonts w:ascii="Arial" w:hAnsi="Arial"/>
          <w:b/>
          <w:color w:val="1F4D78"/>
          <w:sz w:val="19"/>
        </w:rPr>
        <w:t>هفتهٔ 540  |  صفحهٔ منبع: 556</w:t>
      </w:r>
    </w:p>
    <w:p>
      <w:pPr>
        <w:spacing w:after="20" w:line="223" w:lineRule="auto"/>
        <w:jc w:val="right"/>
        <w:bidi/>
      </w:pPr>
      <w:r>
        <w:rPr>
          <w:rFonts w:ascii="Arial" w:hAnsi="Arial"/>
          <w:sz w:val="16"/>
        </w:rPr>
        <w:t>540.01  در گروه.</w:t>
      </w:r>
    </w:p>
    <w:p>
      <w:pPr>
        <w:spacing w:after="28" w:line="216" w:lineRule="auto"/>
        <w:ind w:left="259"/>
        <w:jc w:val="left"/>
      </w:pPr>
      <w:r>
        <w:rPr>
          <w:rFonts w:ascii="Arial" w:hAnsi="Arial"/>
          <w:color w:val="525252"/>
          <w:sz w:val="13"/>
        </w:rPr>
        <w:t>In Groups.</w:t>
      </w:r>
    </w:p>
    <w:p>
      <w:pPr>
        <w:spacing w:after="20" w:line="223" w:lineRule="auto"/>
        <w:jc w:val="right"/>
        <w:bidi/>
      </w:pPr>
      <w:r>
        <w:rPr>
          <w:rFonts w:ascii="Arial" w:hAnsi="Arial"/>
          <w:sz w:val="16"/>
        </w:rPr>
        <w:t>540.02  هنگامی که در گروه هستند، هنگامی که یک افسر ارشد نزدیک می‌شود، اولین فردی که متوجه افسر می‌شود، گروه را به توجه فرا می‌خواند.</w:t>
      </w:r>
    </w:p>
    <w:p>
      <w:pPr>
        <w:spacing w:after="28" w:line="216" w:lineRule="auto"/>
        <w:ind w:left="259"/>
        <w:jc w:val="left"/>
      </w:pPr>
      <w:r>
        <w:rPr>
          <w:rFonts w:ascii="Arial" w:hAnsi="Arial"/>
          <w:color w:val="525252"/>
          <w:sz w:val="13"/>
        </w:rPr>
        <w:t>When in groups, when a senior officer approaches, the first individual noticing the officer calls the group to attention.</w:t>
      </w:r>
    </w:p>
    <w:p>
      <w:pPr>
        <w:spacing w:after="20" w:line="223" w:lineRule="auto"/>
        <w:jc w:val="right"/>
        <w:bidi/>
      </w:pPr>
      <w:r>
        <w:rPr>
          <w:rFonts w:ascii="Arial" w:hAnsi="Arial"/>
          <w:sz w:val="16"/>
        </w:rPr>
        <w:t>540.03  همه اعضا رو به افسر هستند و سلام می‌کنند.</w:t>
      </w:r>
    </w:p>
    <w:p>
      <w:pPr>
        <w:spacing w:after="28" w:line="216" w:lineRule="auto"/>
        <w:ind w:left="259"/>
        <w:jc w:val="left"/>
      </w:pPr>
      <w:r>
        <w:rPr>
          <w:rFonts w:ascii="Arial" w:hAnsi="Arial"/>
          <w:color w:val="525252"/>
          <w:sz w:val="13"/>
        </w:rPr>
        <w:t>All members face the officer and salute.</w:t>
      </w:r>
    </w:p>
    <w:p>
      <w:pPr>
        <w:spacing w:after="20" w:line="223" w:lineRule="auto"/>
        <w:jc w:val="right"/>
        <w:bidi/>
      </w:pPr>
      <w:r>
        <w:rPr>
          <w:rFonts w:ascii="Arial" w:hAnsi="Arial"/>
          <w:sz w:val="16"/>
        </w:rPr>
        <w:t>540.04  اگر افسر یک فرد یا گروه را مورد خطاب قرار می‌دهد، همه تا پایان مکالمه (مگر اینکه دستور دیگری داده شود) مورد توجه قرار می‌گیرند و در آن زمان به افسر سلام می‌کنند.</w:t>
      </w:r>
    </w:p>
    <w:p>
      <w:pPr>
        <w:spacing w:after="28" w:line="216" w:lineRule="auto"/>
        <w:ind w:left="259"/>
        <w:jc w:val="left"/>
      </w:pPr>
      <w:r>
        <w:rPr>
          <w:rFonts w:ascii="Arial" w:hAnsi="Arial"/>
          <w:color w:val="525252"/>
          <w:sz w:val="13"/>
        </w:rPr>
        <w:t>If the officer addresses an individual or the group, all remain at attention (unless otherwise ordered) until the end of the conversation, at which time they salute the officer.</w:t>
      </w:r>
    </w:p>
    <w:p>
      <w:pPr>
        <w:spacing w:after="20" w:line="223" w:lineRule="auto"/>
        <w:jc w:val="right"/>
        <w:bidi/>
      </w:pPr>
      <w:r>
        <w:rPr>
          <w:rFonts w:ascii="Arial" w:hAnsi="Arial"/>
          <w:sz w:val="16"/>
        </w:rPr>
        <w:t>540.05  اجتماعات عمومی.</w:t>
      </w:r>
    </w:p>
    <w:p>
      <w:pPr>
        <w:spacing w:after="28" w:line="216" w:lineRule="auto"/>
        <w:ind w:left="259"/>
        <w:jc w:val="left"/>
      </w:pPr>
      <w:r>
        <w:rPr>
          <w:rFonts w:ascii="Arial" w:hAnsi="Arial"/>
          <w:color w:val="525252"/>
          <w:sz w:val="13"/>
        </w:rPr>
        <w:t>Public Gatherings.</w:t>
      </w:r>
    </w:p>
    <w:p>
      <w:pPr>
        <w:spacing w:after="20" w:line="223" w:lineRule="auto"/>
        <w:jc w:val="right"/>
        <w:bidi/>
      </w:pPr>
      <w:r>
        <w:rPr>
          <w:rFonts w:ascii="Arial" w:hAnsi="Arial"/>
          <w:sz w:val="16"/>
        </w:rPr>
        <w:t>540.06  هنگام حضور در اجتماعات عمومی، مانند رویدادهای ورزشی، جلسات، یا زمانی که سلام کردن نامناسب یا غیرعملی است، سلام کردن بین افراد الزامی نیست.</w:t>
      </w:r>
    </w:p>
    <w:p>
      <w:pPr>
        <w:spacing w:after="28" w:line="216" w:lineRule="auto"/>
        <w:ind w:left="259"/>
        <w:jc w:val="left"/>
      </w:pPr>
      <w:r>
        <w:rPr>
          <w:rFonts w:ascii="Arial" w:hAnsi="Arial"/>
          <w:color w:val="525252"/>
          <w:sz w:val="13"/>
        </w:rPr>
        <w:t>When attending public gatherings, such as sporting events, meetings, or when a salute would be inappropriate or impractical, salutes between individuals are not required.</w:t>
      </w:r>
    </w:p>
    <w:p>
      <w:pPr>
        <w:spacing w:after="20" w:line="223" w:lineRule="auto"/>
        <w:jc w:val="right"/>
        <w:bidi/>
      </w:pPr>
      <w:r>
        <w:rPr>
          <w:rFonts w:ascii="Arial" w:hAnsi="Arial"/>
          <w:sz w:val="16"/>
        </w:rPr>
        <w:t>540.07  در وسایل نقلیه.</w:t>
      </w:r>
    </w:p>
    <w:p>
      <w:pPr>
        <w:spacing w:after="28" w:line="216" w:lineRule="auto"/>
        <w:ind w:left="259"/>
        <w:jc w:val="left"/>
      </w:pPr>
      <w:r>
        <w:rPr>
          <w:rFonts w:ascii="Arial" w:hAnsi="Arial"/>
          <w:color w:val="525252"/>
          <w:sz w:val="13"/>
        </w:rPr>
        <w:t>In Vehicles.</w:t>
      </w:r>
    </w:p>
    <w:p>
      <w:pPr>
        <w:spacing w:after="20" w:line="223" w:lineRule="auto"/>
        <w:jc w:val="right"/>
        <w:bidi/>
      </w:pPr>
      <w:r>
        <w:rPr>
          <w:rFonts w:ascii="Arial" w:hAnsi="Arial"/>
          <w:sz w:val="16"/>
        </w:rPr>
        <w:t>540.08  تبادل سلام بین اعضا در خودروهای نظامی در حال حرکت اجباری نیست.</w:t>
      </w:r>
    </w:p>
    <w:p>
      <w:pPr>
        <w:spacing w:after="28" w:line="216" w:lineRule="auto"/>
        <w:ind w:left="259"/>
        <w:jc w:val="left"/>
      </w:pPr>
      <w:r>
        <w:rPr>
          <w:rFonts w:ascii="Arial" w:hAnsi="Arial"/>
          <w:color w:val="525252"/>
          <w:sz w:val="13"/>
        </w:rPr>
        <w:t>Exchange of salutes between members in moving military vehicles is not mandatory.</w:t>
      </w:r>
    </w:p>
    <w:p>
      <w:pPr>
        <w:spacing w:after="20" w:line="223" w:lineRule="auto"/>
        <w:jc w:val="right"/>
        <w:bidi/>
      </w:pPr>
      <w:r>
        <w:rPr>
          <w:rFonts w:ascii="Arial" w:hAnsi="Arial"/>
          <w:sz w:val="16"/>
        </w:rPr>
        <w:t>540.09  برای عابران پیاده، زمانی که مسافران افسر به راحتی قابل شناسایی هستند (مثلا افسران در خودروهای کارکنان با علامت گذاری مناسب)، سلام باید انجام شود.</w:t>
      </w:r>
    </w:p>
    <w:p>
      <w:pPr>
        <w:spacing w:after="28" w:line="216" w:lineRule="auto"/>
        <w:ind w:left="259"/>
        <w:jc w:val="left"/>
      </w:pPr>
      <w:r>
        <w:rPr>
          <w:rFonts w:ascii="Arial" w:hAnsi="Arial"/>
          <w:color w:val="525252"/>
          <w:sz w:val="13"/>
        </w:rPr>
        <w:t>For pedestrians, when officer passengers are readily identifiable (for example, officers in appropriately marked staff vehicles), the salute must be rendered.</w:t>
      </w:r>
    </w:p>
    <w:p>
      <w:pPr>
        <w:spacing w:after="20" w:line="223" w:lineRule="auto"/>
        <w:jc w:val="right"/>
        <w:bidi/>
      </w:pPr>
      <w:r>
        <w:rPr>
          <w:rFonts w:ascii="Arial" w:hAnsi="Arial"/>
          <w:sz w:val="16"/>
        </w:rPr>
        <w:t>540.10  این شامل رئیس‌جمهور ایالات متحده، معاون رئیس‌جمهور، وزیر دفاع، وزیران خدمات و افسران ارشد در وسایل نقلیه می‌شود که با پلاک و/یا پرچم خودرو مشخص می‌شوند.</w:t>
      </w:r>
    </w:p>
    <w:p>
      <w:pPr>
        <w:spacing w:after="28" w:line="216" w:lineRule="auto"/>
        <w:ind w:left="259"/>
        <w:jc w:val="left"/>
      </w:pPr>
      <w:r>
        <w:rPr>
          <w:rFonts w:ascii="Arial" w:hAnsi="Arial"/>
          <w:color w:val="525252"/>
          <w:sz w:val="13"/>
        </w:rPr>
        <w:t>This includes the U.S. President, the Vice President, Secretary of Defense, Service Secretaries, and senior officers in vehicles when distinguished by vehicle plates and/or flags.</w:t>
      </w:r>
    </w:p>
    <w:p>
      <w:pPr>
        <w:spacing w:after="20" w:line="223" w:lineRule="auto"/>
        <w:jc w:val="right"/>
        <w:bidi/>
      </w:pPr>
      <w:r>
        <w:rPr>
          <w:rFonts w:ascii="Arial" w:hAnsi="Arial"/>
          <w:sz w:val="16"/>
        </w:rPr>
        <w:t>540.11  با لباس غیر نظامی.</w:t>
      </w:r>
    </w:p>
    <w:p>
      <w:pPr>
        <w:spacing w:after="28" w:line="216" w:lineRule="auto"/>
        <w:ind w:left="259"/>
        <w:jc w:val="left"/>
      </w:pPr>
      <w:r>
        <w:rPr>
          <w:rFonts w:ascii="Arial" w:hAnsi="Arial"/>
          <w:color w:val="525252"/>
          <w:sz w:val="13"/>
        </w:rPr>
        <w:t>In Civilian Attire.</w:t>
      </w:r>
    </w:p>
    <w:p>
      <w:pPr>
        <w:spacing w:after="20" w:line="223" w:lineRule="auto"/>
        <w:jc w:val="right"/>
        <w:bidi/>
      </w:pPr>
      <w:r>
        <w:rPr>
          <w:rFonts w:ascii="Arial" w:hAnsi="Arial"/>
          <w:sz w:val="16"/>
        </w:rPr>
        <w:t>540.12  افراد یونیفورم می‌توانند به غیرنظامیان یا اعضای ارشد نظامی در لباس غیرنظامی پس از شناسایی سلام کنند.</w:t>
      </w:r>
    </w:p>
    <w:p>
      <w:pPr>
        <w:spacing w:after="28" w:line="216" w:lineRule="auto"/>
        <w:ind w:left="259"/>
        <w:jc w:val="left"/>
      </w:pPr>
      <w:r>
        <w:rPr>
          <w:rFonts w:ascii="Arial" w:hAnsi="Arial"/>
          <w:color w:val="525252"/>
          <w:sz w:val="13"/>
        </w:rPr>
        <w:t>Persons in uniform may salute civilians or senior military members in civilian clothes upon recognition.</w:t>
      </w:r>
    </w:p>
    <w:p>
      <w:pPr>
        <w:spacing w:after="20" w:line="223" w:lineRule="auto"/>
        <w:jc w:val="right"/>
        <w:bidi/>
      </w:pPr>
      <w:r>
        <w:rPr>
          <w:rFonts w:ascii="Arial" w:hAnsi="Arial"/>
          <w:sz w:val="16"/>
        </w:rPr>
        <w:t>540.13  در مناطق "بدون سلام".</w:t>
      </w:r>
    </w:p>
    <w:p>
      <w:pPr>
        <w:spacing w:after="28" w:line="216" w:lineRule="auto"/>
        <w:ind w:left="259"/>
        <w:jc w:val="left"/>
      </w:pPr>
      <w:r>
        <w:rPr>
          <w:rFonts w:ascii="Arial" w:hAnsi="Arial"/>
          <w:color w:val="525252"/>
          <w:sz w:val="13"/>
        </w:rPr>
        <w:t>At “No Salute” Areas.</w:t>
      </w:r>
    </w:p>
    <w:p>
      <w:pPr>
        <w:spacing w:after="20" w:line="223" w:lineRule="auto"/>
        <w:jc w:val="right"/>
        <w:bidi/>
      </w:pPr>
      <w:r>
        <w:rPr>
          <w:rFonts w:ascii="Arial" w:hAnsi="Arial"/>
          <w:sz w:val="16"/>
        </w:rPr>
        <w:t>540.14  در مناطقی که به‌عنوان مناطق "بدون سلام" تعیین شده‌اند، نیازی به سلام دادن نیست.</w:t>
      </w:r>
    </w:p>
    <w:p>
      <w:pPr>
        <w:spacing w:after="28" w:line="216" w:lineRule="auto"/>
        <w:ind w:left="259"/>
        <w:jc w:val="left"/>
      </w:pPr>
      <w:r>
        <w:rPr>
          <w:rFonts w:ascii="Arial" w:hAnsi="Arial"/>
          <w:color w:val="525252"/>
          <w:sz w:val="13"/>
        </w:rPr>
        <w:t>Saluting is not required in areas designated as “no salute” areas.</w:t>
      </w:r>
    </w:p>
    <w:p>
      <w:pPr>
        <w:spacing w:after="20" w:line="223" w:lineRule="auto"/>
        <w:jc w:val="right"/>
        <w:bidi/>
      </w:pPr>
      <w:r>
        <w:rPr>
          <w:rFonts w:ascii="Arial" w:hAnsi="Arial"/>
          <w:sz w:val="16"/>
        </w:rPr>
        <w:t>540.15  در تجهیزات تربیت بدنی.</w:t>
      </w:r>
    </w:p>
    <w:p>
      <w:pPr>
        <w:spacing w:after="28" w:line="216" w:lineRule="auto"/>
        <w:ind w:left="259"/>
        <w:jc w:val="left"/>
      </w:pPr>
      <w:r>
        <w:rPr>
          <w:rFonts w:ascii="Arial" w:hAnsi="Arial"/>
          <w:color w:val="525252"/>
          <w:sz w:val="13"/>
        </w:rPr>
        <w:t>In Physical Training Gear.</w:t>
      </w:r>
    </w:p>
    <w:p>
      <w:pPr>
        <w:spacing w:after="20" w:line="223" w:lineRule="auto"/>
        <w:jc w:val="right"/>
        <w:bidi/>
      </w:pPr>
      <w:r>
        <w:rPr>
          <w:rFonts w:ascii="Arial" w:hAnsi="Arial"/>
          <w:sz w:val="16"/>
        </w:rPr>
        <w:t>540.16  سلام کردن به افراد به دلیل تشخیص رتبه هنگام پوشیدن لباس تمرین بدنی الزامی نیست، اما ممکن است در محیط‌های آموزشی مشخص شده مورد انتظار باشد.</w:t>
      </w:r>
    </w:p>
    <w:p>
      <w:pPr>
        <w:spacing w:after="28" w:line="216" w:lineRule="auto"/>
        <w:ind w:left="259"/>
        <w:jc w:val="left"/>
      </w:pPr>
      <w:r>
        <w:rPr>
          <w:rFonts w:ascii="Arial" w:hAnsi="Arial"/>
          <w:color w:val="525252"/>
          <w:sz w:val="13"/>
        </w:rPr>
        <w:t>Saluting individuals due to rank recognition is not required when wearing the physical training gear but may be expected during specified academic training environments.</w:t>
      </w:r>
    </w:p>
    <w:p>
      <w:pPr>
        <w:spacing w:after="20" w:line="223" w:lineRule="auto"/>
        <w:jc w:val="right"/>
        <w:bidi/>
      </w:pPr>
      <w:r>
        <w:rPr>
          <w:rFonts w:ascii="Arial" w:hAnsi="Arial"/>
          <w:sz w:val="16"/>
        </w:rPr>
        <w:t>540.17  هنگامی که در خارج از منزل با تجهیزات تمرین بدنی، هوانوردان موظفند در هنگام ریل و عقب نشینی سلام کنند.</w:t>
      </w:r>
    </w:p>
    <w:p>
      <w:pPr>
        <w:spacing w:after="28" w:line="216" w:lineRule="auto"/>
        <w:ind w:left="259"/>
        <w:jc w:val="left"/>
      </w:pPr>
      <w:r>
        <w:rPr>
          <w:rFonts w:ascii="Arial" w:hAnsi="Arial"/>
          <w:color w:val="525252"/>
          <w:sz w:val="13"/>
        </w:rPr>
        <w:t>When outdoors in physical training gear, Airmen are required to salute during reveille and retreat.</w:t>
      </w:r>
    </w:p>
    <w:p>
      <w:pPr>
        <w:spacing w:after="20" w:line="223" w:lineRule="auto"/>
        <w:jc w:val="right"/>
        <w:bidi/>
      </w:pPr>
      <w:r>
        <w:rPr>
          <w:rFonts w:ascii="Arial" w:hAnsi="Arial"/>
          <w:sz w:val="16"/>
        </w:rPr>
        <w:t>540.18  در تشییع جنازه / یادبودهای نظامی.</w:t>
      </w:r>
    </w:p>
    <w:p>
      <w:pPr>
        <w:spacing w:after="28" w:line="216" w:lineRule="auto"/>
        <w:ind w:left="259"/>
        <w:jc w:val="left"/>
      </w:pPr>
      <w:r>
        <w:rPr>
          <w:rFonts w:ascii="Arial" w:hAnsi="Arial"/>
          <w:color w:val="525252"/>
          <w:sz w:val="13"/>
        </w:rPr>
        <w:t>At Military Funerals / Memorials.</w:t>
      </w:r>
    </w:p>
    <w:p>
      <w:pPr>
        <w:spacing w:after="20" w:line="223" w:lineRule="auto"/>
        <w:jc w:val="right"/>
        <w:bidi/>
      </w:pPr>
      <w:r>
        <w:rPr>
          <w:rFonts w:ascii="Arial" w:hAnsi="Arial"/>
          <w:sz w:val="16"/>
        </w:rPr>
        <w:t>540.19  وقتی در یک مراسم تشییع جنازه یا یادبود نظامی با لباس رسمی، به کیسون یا نعش‌کش در حین عبور و تابوت در حالی که از کنار آن می‌گذرد سلام کنید.</w:t>
      </w:r>
    </w:p>
    <w:p>
      <w:pPr>
        <w:spacing w:after="28" w:line="216" w:lineRule="auto"/>
        <w:ind w:left="259"/>
        <w:jc w:val="left"/>
      </w:pPr>
      <w:r>
        <w:rPr>
          <w:rFonts w:ascii="Arial" w:hAnsi="Arial"/>
          <w:color w:val="525252"/>
          <w:sz w:val="13"/>
        </w:rPr>
        <w:t>When at a military funeral or memorial in uniform, salute the caisson or hearse as it passes and the casket as it is carried past.</w:t>
      </w:r>
    </w:p>
    <w:p>
      <w:pPr>
        <w:spacing w:after="20" w:line="223" w:lineRule="auto"/>
        <w:jc w:val="right"/>
        <w:bidi/>
      </w:pPr>
      <w:r>
        <w:rPr>
          <w:rFonts w:ascii="Arial" w:hAnsi="Arial"/>
          <w:sz w:val="16"/>
        </w:rPr>
        <w:t>540.20  همچنین در هنگام شلیک رگبار و نواختن تپ سلام.</w:t>
      </w:r>
    </w:p>
    <w:p>
      <w:pPr>
        <w:spacing w:after="28" w:line="216" w:lineRule="auto"/>
        <w:ind w:left="259"/>
        <w:jc w:val="left"/>
      </w:pPr>
      <w:r>
        <w:rPr>
          <w:rFonts w:ascii="Arial" w:hAnsi="Arial"/>
          <w:color w:val="525252"/>
          <w:sz w:val="13"/>
        </w:rPr>
        <w:t>Also, salute during the firing of volleys and the playing of Taps.</w:t>
      </w:r>
    </w:p>
    <w:p>
      <w:pPr>
        <w:spacing w:after="20" w:line="223" w:lineRule="auto"/>
        <w:jc w:val="right"/>
        <w:bidi/>
      </w:pPr>
      <w:r>
        <w:rPr>
          <w:rFonts w:ascii="Arial" w:hAnsi="Arial"/>
          <w:sz w:val="16"/>
        </w:rPr>
        <w:t>540.21  توجه: بسیاری از نصب‌ها در سرتاسر USAF، تاپس را برای نشان دادن "چراغ خاموش" در پایان روز پخش می‌کنند.</w:t>
      </w:r>
    </w:p>
    <w:p>
      <w:pPr>
        <w:spacing w:after="28" w:line="216" w:lineRule="auto"/>
        <w:ind w:left="259"/>
        <w:jc w:val="left"/>
      </w:pPr>
      <w:r>
        <w:rPr>
          <w:rFonts w:ascii="Arial" w:hAnsi="Arial"/>
          <w:color w:val="525252"/>
          <w:sz w:val="13"/>
        </w:rPr>
        <w:t>Note: Many installations across the USAF play Taps to signify “lights out” at the end of the day.</w:t>
      </w:r>
    </w:p>
    <w:p>
      <w:pPr>
        <w:spacing w:after="20" w:line="223" w:lineRule="auto"/>
        <w:jc w:val="right"/>
        <w:bidi/>
      </w:pPr>
      <w:r>
        <w:rPr>
          <w:rFonts w:ascii="Arial" w:hAnsi="Arial"/>
          <w:sz w:val="16"/>
        </w:rPr>
        <w:t>540.22  برای این منظور، سلام لازم نیست.</w:t>
      </w:r>
    </w:p>
    <w:p>
      <w:pPr>
        <w:spacing w:after="28" w:line="216" w:lineRule="auto"/>
        <w:ind w:left="259"/>
        <w:jc w:val="left"/>
      </w:pPr>
      <w:r>
        <w:rPr>
          <w:rFonts w:ascii="Arial" w:hAnsi="Arial"/>
          <w:color w:val="525252"/>
          <w:sz w:val="13"/>
        </w:rPr>
        <w:t>For these purposes, the salute is not required.</w:t>
      </w:r>
    </w:p>
    <w:p>
      <w:r>
        <w:br w:type="page"/>
      </w:r>
    </w:p>
    <w:p>
      <w:pPr>
        <w:spacing w:after="60"/>
        <w:jc w:val="right"/>
        <w:bidi/>
      </w:pPr>
      <w:r>
        <w:rPr>
          <w:rFonts w:ascii="Arial" w:hAnsi="Arial"/>
          <w:b/>
          <w:color w:val="1F4D78"/>
          <w:sz w:val="19"/>
        </w:rPr>
        <w:t>هفتهٔ 541  |  صفحهٔ منبع: 557</w:t>
      </w:r>
    </w:p>
    <w:p>
      <w:pPr>
        <w:spacing w:before="60" w:after="28"/>
        <w:jc w:val="right"/>
        <w:bidi/>
      </w:pPr>
      <w:r>
        <w:rPr>
          <w:b/>
          <w:color w:val="1F4D78"/>
          <w:sz w:val="18"/>
        </w:rPr>
        <w:t>بخش 24D - مراسم و رویدادها</w:t>
      </w:r>
    </w:p>
    <w:p>
      <w:pPr>
        <w:spacing w:after="20"/>
        <w:ind w:left="259"/>
        <w:jc w:val="left"/>
      </w:pPr>
      <w:r>
        <w:rPr>
          <w:color w:val="555555"/>
          <w:sz w:val="12"/>
        </w:rPr>
        <w:t>Section 24D—Ceremonies and Events</w:t>
      </w:r>
    </w:p>
    <w:p>
      <w:pPr>
        <w:spacing w:before="60" w:after="28"/>
        <w:jc w:val="right"/>
        <w:bidi/>
      </w:pPr>
      <w:r>
        <w:rPr>
          <w:b/>
          <w:color w:val="1F4D78"/>
          <w:sz w:val="18"/>
        </w:rPr>
        <w:t>24.21. تشریفات نظامی</w:t>
      </w:r>
    </w:p>
    <w:p>
      <w:pPr>
        <w:spacing w:after="20"/>
        <w:ind w:left="259"/>
        <w:jc w:val="left"/>
      </w:pPr>
      <w:r>
        <w:rPr>
          <w:color w:val="555555"/>
          <w:sz w:val="12"/>
        </w:rPr>
        <w:t>24.21. Military Ceremonies</w:t>
      </w:r>
    </w:p>
    <w:p>
      <w:pPr>
        <w:spacing w:after="20" w:line="223" w:lineRule="auto"/>
        <w:jc w:val="right"/>
        <w:bidi/>
      </w:pPr>
      <w:r>
        <w:rPr>
          <w:rFonts w:ascii="Arial" w:hAnsi="Arial"/>
          <w:sz w:val="16"/>
        </w:rPr>
        <w:t>541.03  USAF انواع مختلفی از مراسم دارد که آداب و رسوم منحصر به فرد حرفه نظامی ما هستند، که بسیاری از آنها به افتخار رویدادهای مهم در طول دوران حرفه‌ای یک عضو برگزار می‌شوند.</w:t>
      </w:r>
    </w:p>
    <w:p>
      <w:pPr>
        <w:spacing w:after="28" w:line="216" w:lineRule="auto"/>
        <w:ind w:left="259"/>
        <w:jc w:val="left"/>
      </w:pPr>
      <w:r>
        <w:rPr>
          <w:rFonts w:ascii="Arial" w:hAnsi="Arial"/>
          <w:color w:val="525252"/>
          <w:sz w:val="13"/>
        </w:rPr>
        <w:t>The USAF has many different types of ceremonies that are unique customs of our military profession, many of them held in honor of significant events throughout a member’s career.</w:t>
      </w:r>
    </w:p>
    <w:p>
      <w:pPr>
        <w:spacing w:after="20" w:line="223" w:lineRule="auto"/>
        <w:jc w:val="right"/>
        <w:bidi/>
      </w:pPr>
      <w:r>
        <w:rPr>
          <w:rFonts w:ascii="Arial" w:hAnsi="Arial"/>
          <w:sz w:val="16"/>
        </w:rPr>
        <w:t>541.04  مراسم رسمی نظامی شامل ترفیع، تغییر و فرض فرماندهی، فعال سازی و غیرفعال شدن، تعیین مجدد، ثبت‌نام و نام نویسی مجدد، جوایز، تزیینات، ورود، خروج، رونمایی، عقب نشینی، وقف‌های ساختمانی، بریدن نوار، بازنشستگی، و مراسم تشییع است.</w:t>
      </w:r>
    </w:p>
    <w:p>
      <w:pPr>
        <w:spacing w:after="28" w:line="216" w:lineRule="auto"/>
        <w:ind w:left="259"/>
        <w:jc w:val="left"/>
      </w:pPr>
      <w:r>
        <w:rPr>
          <w:rFonts w:ascii="Arial" w:hAnsi="Arial"/>
          <w:color w:val="525252"/>
          <w:sz w:val="13"/>
        </w:rPr>
        <w:t>Official military ceremonies include promotions, changes and assumptions of command, activations and in-activations, re-designations, enlistments and reenlistments, awards, decorations, arrivals, departures, reveille, retreat, building dedications, ribbon cuttings, retirements, and funerals.</w:t>
      </w:r>
    </w:p>
    <w:p>
      <w:pPr>
        <w:spacing w:after="20" w:line="223" w:lineRule="auto"/>
        <w:jc w:val="right"/>
        <w:bidi/>
      </w:pPr>
      <w:r>
        <w:rPr>
          <w:rFonts w:ascii="Arial" w:hAnsi="Arial"/>
          <w:sz w:val="16"/>
        </w:rPr>
        <w:t>541.05  برخی بسیار رسمی و مفصل هستند، در حالی که برخی دیگر کاملا ساده و شخصی هستند.</w:t>
      </w:r>
    </w:p>
    <w:p>
      <w:pPr>
        <w:spacing w:after="28" w:line="216" w:lineRule="auto"/>
        <w:ind w:left="259"/>
        <w:jc w:val="left"/>
      </w:pPr>
      <w:r>
        <w:rPr>
          <w:rFonts w:ascii="Arial" w:hAnsi="Arial"/>
          <w:color w:val="525252"/>
          <w:sz w:val="13"/>
        </w:rPr>
        <w:t>Some are very formal and elaborate, while others are quite simple and personal.</w:t>
      </w:r>
    </w:p>
    <w:p>
      <w:pPr>
        <w:spacing w:before="60" w:after="28"/>
        <w:jc w:val="right"/>
        <w:bidi/>
      </w:pPr>
      <w:r>
        <w:rPr>
          <w:b/>
          <w:color w:val="1F4D78"/>
          <w:sz w:val="18"/>
        </w:rPr>
        <w:t>24.22. برنامه ریزی و آماده سازی رویداد</w:t>
      </w:r>
    </w:p>
    <w:p>
      <w:pPr>
        <w:spacing w:after="20"/>
        <w:ind w:left="259"/>
        <w:jc w:val="left"/>
      </w:pPr>
      <w:r>
        <w:rPr>
          <w:color w:val="555555"/>
          <w:sz w:val="12"/>
        </w:rPr>
        <w:t>24.22. Event Planning and Preparation</w:t>
      </w:r>
    </w:p>
    <w:p>
      <w:pPr>
        <w:spacing w:after="20" w:line="223" w:lineRule="auto"/>
        <w:jc w:val="right"/>
        <w:bidi/>
      </w:pPr>
      <w:r>
        <w:rPr>
          <w:rFonts w:ascii="Arial" w:hAnsi="Arial"/>
          <w:sz w:val="16"/>
        </w:rPr>
        <w:t>541.07  همه رویدادها با برنامه‌ریزی شروع می‌شوند.</w:t>
      </w:r>
    </w:p>
    <w:p>
      <w:pPr>
        <w:spacing w:after="28" w:line="216" w:lineRule="auto"/>
        <w:ind w:left="259"/>
        <w:jc w:val="left"/>
      </w:pPr>
      <w:r>
        <w:rPr>
          <w:rFonts w:ascii="Arial" w:hAnsi="Arial"/>
          <w:color w:val="525252"/>
          <w:sz w:val="13"/>
        </w:rPr>
        <w:t>All events begin with planning.</w:t>
      </w:r>
    </w:p>
    <w:p>
      <w:pPr>
        <w:spacing w:after="20" w:line="223" w:lineRule="auto"/>
        <w:jc w:val="right"/>
        <w:bidi/>
      </w:pPr>
      <w:r>
        <w:rPr>
          <w:rFonts w:ascii="Arial" w:hAnsi="Arial"/>
          <w:sz w:val="16"/>
        </w:rPr>
        <w:t>541.08  همیشه باید به ماهیت و ترتیب رویداد، زمان‌بندی، مهمانان و بودجه توجه کرد.</w:t>
      </w:r>
    </w:p>
    <w:p>
      <w:pPr>
        <w:spacing w:after="28" w:line="216" w:lineRule="auto"/>
        <w:ind w:left="259"/>
        <w:jc w:val="left"/>
      </w:pPr>
      <w:r>
        <w:rPr>
          <w:rFonts w:ascii="Arial" w:hAnsi="Arial"/>
          <w:color w:val="525252"/>
          <w:sz w:val="13"/>
        </w:rPr>
        <w:t>Consideration should always be given to the nature and sequence of the event, scheduling, guests, and budget.</w:t>
      </w:r>
    </w:p>
    <w:p>
      <w:pPr>
        <w:spacing w:after="20" w:line="223" w:lineRule="auto"/>
        <w:jc w:val="right"/>
        <w:bidi/>
      </w:pPr>
      <w:r>
        <w:rPr>
          <w:rFonts w:ascii="Arial" w:hAnsi="Arial"/>
          <w:sz w:val="16"/>
        </w:rPr>
        <w:t>541.09  برای اینکه به مهمانان زمان دهید تا برنامه‌ریزی کنند، سعی کنید جزئیات را حداقل سه هفته قبل یا بیشتر برنامه‌ریزی کنید.</w:t>
      </w:r>
    </w:p>
    <w:p>
      <w:pPr>
        <w:spacing w:after="28" w:line="216" w:lineRule="auto"/>
        <w:ind w:left="259"/>
        <w:jc w:val="left"/>
      </w:pPr>
      <w:r>
        <w:rPr>
          <w:rFonts w:ascii="Arial" w:hAnsi="Arial"/>
          <w:color w:val="525252"/>
          <w:sz w:val="13"/>
        </w:rPr>
        <w:t>To give guests time to plan, aim at having details planned out at least three weeks in advance, or more.</w:t>
      </w:r>
    </w:p>
    <w:p>
      <w:pPr>
        <w:spacing w:after="20" w:line="223" w:lineRule="auto"/>
        <w:jc w:val="right"/>
        <w:bidi/>
      </w:pPr>
      <w:r>
        <w:rPr>
          <w:rFonts w:ascii="Arial" w:hAnsi="Arial"/>
          <w:sz w:val="16"/>
        </w:rPr>
        <w:t>541.10  در چنین مواردی، کمیته‌های برنامه‌ریزی باید خیلی قبل از ارسال دعوت‌نامه‌ها، جلسه و بحث درباره جزئیات رویداد را آغاز کنند.</w:t>
      </w:r>
    </w:p>
    <w:p>
      <w:pPr>
        <w:spacing w:after="28" w:line="216" w:lineRule="auto"/>
        <w:ind w:left="259"/>
        <w:jc w:val="left"/>
      </w:pPr>
      <w:r>
        <w:rPr>
          <w:rFonts w:ascii="Arial" w:hAnsi="Arial"/>
          <w:color w:val="525252"/>
          <w:sz w:val="13"/>
        </w:rPr>
        <w:t>In such cases, planning committees will need to begin meeting and discussing details of the event far in advance of the invitations being sent out.</w:t>
      </w:r>
    </w:p>
    <w:p>
      <w:pPr>
        <w:spacing w:after="20" w:line="223" w:lineRule="auto"/>
        <w:jc w:val="right"/>
        <w:bidi/>
      </w:pPr>
      <w:r>
        <w:rPr>
          <w:rFonts w:ascii="Arial" w:hAnsi="Arial"/>
          <w:sz w:val="16"/>
        </w:rPr>
        <w:t>541.11  این می‌تواند به این معنی باشد که بسته به اندازه و دامنه رویداد، از چند ماه تا یک سال قبل برنامه‌ریزی کنید.</w:t>
      </w:r>
    </w:p>
    <w:p>
      <w:pPr>
        <w:spacing w:after="28" w:line="216" w:lineRule="auto"/>
        <w:ind w:left="259"/>
        <w:jc w:val="left"/>
      </w:pPr>
      <w:r>
        <w:rPr>
          <w:rFonts w:ascii="Arial" w:hAnsi="Arial"/>
          <w:color w:val="525252"/>
          <w:sz w:val="13"/>
        </w:rPr>
        <w:t>This could mean, depending on the size and scope of the event, planning as early as several months to a year in advance.</w:t>
      </w:r>
    </w:p>
    <w:p>
      <w:pPr>
        <w:spacing w:after="20" w:line="223" w:lineRule="auto"/>
        <w:jc w:val="right"/>
        <w:bidi/>
      </w:pPr>
      <w:r>
        <w:rPr>
          <w:rFonts w:ascii="Arial" w:hAnsi="Arial"/>
          <w:sz w:val="16"/>
        </w:rPr>
        <w:t>541.12  از آنجا که مراسم اغلب غرق در سنت است، تقریبا همیشه منابعی برای کمک به برنامه ریزان برای شروع وجود دارد.</w:t>
      </w:r>
    </w:p>
    <w:p>
      <w:pPr>
        <w:spacing w:after="28" w:line="216" w:lineRule="auto"/>
        <w:ind w:left="259"/>
        <w:jc w:val="left"/>
      </w:pPr>
      <w:r>
        <w:rPr>
          <w:rFonts w:ascii="Arial" w:hAnsi="Arial"/>
          <w:color w:val="525252"/>
          <w:sz w:val="13"/>
        </w:rPr>
        <w:t>Because ceremonies are often steeped in tradition, there are almost always resources available for helping planners get started.</w:t>
      </w:r>
    </w:p>
    <w:p>
      <w:pPr>
        <w:spacing w:after="20" w:line="223" w:lineRule="auto"/>
        <w:jc w:val="right"/>
        <w:bidi/>
      </w:pPr>
      <w:r>
        <w:rPr>
          <w:rFonts w:ascii="Arial" w:hAnsi="Arial"/>
          <w:sz w:val="16"/>
        </w:rPr>
        <w:t>541.13  به جای شروع از صفر، با سازمان‌های دیگر تماس بگیرید یا چک لیست‌های رویدادهای قبلی را مرور کنید تا به شروع کار کمک کنید.</w:t>
      </w:r>
    </w:p>
    <w:p>
      <w:pPr>
        <w:spacing w:after="28" w:line="216" w:lineRule="auto"/>
        <w:ind w:left="259"/>
        <w:jc w:val="left"/>
      </w:pPr>
      <w:r>
        <w:rPr>
          <w:rFonts w:ascii="Arial" w:hAnsi="Arial"/>
          <w:color w:val="525252"/>
          <w:sz w:val="13"/>
        </w:rPr>
        <w:t>Rather than starting from scratch, reach out to other organizations or review checklists from previous events to help get things started.</w:t>
      </w:r>
    </w:p>
    <w:p>
      <w:pPr>
        <w:spacing w:before="60" w:after="28"/>
        <w:jc w:val="right"/>
        <w:bidi/>
      </w:pPr>
      <w:r>
        <w:rPr>
          <w:b/>
          <w:color w:val="1F4D78"/>
          <w:sz w:val="18"/>
        </w:rPr>
        <w:t>24.23. رژه ها و افتخارات ورود یا خروج</w:t>
      </w:r>
    </w:p>
    <w:p>
      <w:pPr>
        <w:spacing w:after="20"/>
        <w:ind w:left="259"/>
        <w:jc w:val="left"/>
      </w:pPr>
      <w:r>
        <w:rPr>
          <w:color w:val="555555"/>
          <w:sz w:val="12"/>
        </w:rPr>
        <w:t>24.23. Parades and Honors Arrivals or Departures</w:t>
      </w:r>
    </w:p>
    <w:p>
      <w:pPr>
        <w:spacing w:after="20" w:line="223" w:lineRule="auto"/>
        <w:jc w:val="right"/>
        <w:bidi/>
      </w:pPr>
      <w:r>
        <w:rPr>
          <w:rFonts w:ascii="Arial" w:hAnsi="Arial"/>
          <w:sz w:val="16"/>
        </w:rPr>
        <w:t>541.15  مراسم‌هایی مانند رژه‌ها، محاصره افتخار، موتورسیکلت‌ها و سایر مراسم‌هایی که تعداد زیادی از هوانوردان و منابع را شامل می‌شود، ممکن است زمانی برگزار شود که مقامات دارای چنین افتخاراتی از تأسیسات نظامی بازدید کنند.</w:t>
      </w:r>
    </w:p>
    <w:p>
      <w:pPr>
        <w:spacing w:after="28" w:line="216" w:lineRule="auto"/>
        <w:ind w:left="259"/>
        <w:jc w:val="left"/>
      </w:pPr>
      <w:r>
        <w:rPr>
          <w:rFonts w:ascii="Arial" w:hAnsi="Arial"/>
          <w:color w:val="525252"/>
          <w:sz w:val="13"/>
        </w:rPr>
        <w:t>Ceremonies, such as parades, honor cordons, motorcades, and other ceremonies that involve large numbers of Airmen and resources, may be held when officials entitled to such honors visit military installations.</w:t>
      </w:r>
    </w:p>
    <w:p>
      <w:pPr>
        <w:spacing w:after="20" w:line="223" w:lineRule="auto"/>
        <w:jc w:val="right"/>
        <w:bidi/>
      </w:pPr>
      <w:r>
        <w:rPr>
          <w:rFonts w:ascii="Arial" w:hAnsi="Arial"/>
          <w:sz w:val="16"/>
        </w:rPr>
        <w:t>541.16  افتخارات کامل برای منصوبین قانونی و افسران ژنرال یا پرچم، مقامات خارجی، و مناسبت هایی که مراسم ترویج حسن نیت بین المللی است محفوظ است.</w:t>
      </w:r>
    </w:p>
    <w:p>
      <w:pPr>
        <w:spacing w:after="28" w:line="216" w:lineRule="auto"/>
        <w:ind w:left="259"/>
        <w:jc w:val="left"/>
      </w:pPr>
      <w:r>
        <w:rPr>
          <w:rFonts w:ascii="Arial" w:hAnsi="Arial"/>
          <w:color w:val="525252"/>
          <w:sz w:val="13"/>
        </w:rPr>
        <w:t>Full honors are reserved for statutory appointees and General or Flag Officers, foreign dignitaries, and occasions when ceremonies promote international good will.</w:t>
      </w:r>
    </w:p>
    <w:p>
      <w:pPr>
        <w:spacing w:after="20" w:line="223" w:lineRule="auto"/>
        <w:jc w:val="right"/>
        <w:bidi/>
      </w:pPr>
      <w:r>
        <w:rPr>
          <w:rFonts w:ascii="Arial" w:hAnsi="Arial"/>
          <w:sz w:val="16"/>
        </w:rPr>
        <w:t>541.17  فرمانده نصب تعیین می‌کند که کدام نوع افتخارات ارائه می‌شود.</w:t>
      </w:r>
    </w:p>
    <w:p>
      <w:pPr>
        <w:spacing w:after="28" w:line="216" w:lineRule="auto"/>
        <w:ind w:left="259"/>
        <w:jc w:val="left"/>
      </w:pPr>
      <w:r>
        <w:rPr>
          <w:rFonts w:ascii="Arial" w:hAnsi="Arial"/>
          <w:color w:val="525252"/>
          <w:sz w:val="13"/>
        </w:rPr>
        <w:t>The installation commander determines which types of honors are rendered.</w:t>
      </w:r>
    </w:p>
    <w:p>
      <w:pPr>
        <w:spacing w:after="20" w:line="223" w:lineRule="auto"/>
        <w:jc w:val="right"/>
        <w:bidi/>
      </w:pPr>
      <w:r>
        <w:rPr>
          <w:rFonts w:ascii="Arial" w:hAnsi="Arial"/>
          <w:sz w:val="16"/>
        </w:rPr>
        <w:t>541.18  مراسم اهدای جوایز.</w:t>
      </w:r>
    </w:p>
    <w:p>
      <w:pPr>
        <w:spacing w:after="28" w:line="216" w:lineRule="auto"/>
        <w:ind w:left="259"/>
        <w:jc w:val="left"/>
      </w:pPr>
      <w:r>
        <w:rPr>
          <w:rFonts w:ascii="Arial" w:hAnsi="Arial"/>
          <w:color w:val="525252"/>
          <w:sz w:val="13"/>
        </w:rPr>
        <w:t>Award Ceremony.</w:t>
      </w:r>
    </w:p>
    <w:p>
      <w:pPr>
        <w:spacing w:after="20" w:line="223" w:lineRule="auto"/>
        <w:jc w:val="right"/>
        <w:bidi/>
      </w:pPr>
      <w:r>
        <w:rPr>
          <w:rFonts w:ascii="Arial" w:hAnsi="Arial"/>
          <w:sz w:val="16"/>
        </w:rPr>
        <w:t>541.19  مراسم اهدای جوایز فرصتی برای شناسایی دستاوردهای یک عضو فراهم می‌کند.</w:t>
      </w:r>
    </w:p>
    <w:p>
      <w:pPr>
        <w:spacing w:after="28" w:line="216" w:lineRule="auto"/>
        <w:ind w:left="259"/>
        <w:jc w:val="left"/>
      </w:pPr>
      <w:r>
        <w:rPr>
          <w:rFonts w:ascii="Arial" w:hAnsi="Arial"/>
          <w:color w:val="525252"/>
          <w:sz w:val="13"/>
        </w:rPr>
        <w:t>An award ceremony affords an opportunity to recognize a member’s accomplishments.</w:t>
      </w:r>
    </w:p>
    <w:p>
      <w:pPr>
        <w:spacing w:after="20" w:line="223" w:lineRule="auto"/>
        <w:jc w:val="right"/>
        <w:bidi/>
      </w:pPr>
      <w:r>
        <w:rPr>
          <w:rFonts w:ascii="Arial" w:hAnsi="Arial"/>
          <w:sz w:val="16"/>
        </w:rPr>
        <w:t>541.20  فرمانده یا سایر مقامات تعیین می‌کنند که آیا جایزه را در یک مراسم رسمی اهدا کنند یا به‌طور غیررسمی آن را اهدا کنند.</w:t>
      </w:r>
    </w:p>
    <w:p>
      <w:pPr>
        <w:spacing w:after="28" w:line="216" w:lineRule="auto"/>
        <w:ind w:left="259"/>
        <w:jc w:val="left"/>
      </w:pPr>
      <w:r>
        <w:rPr>
          <w:rFonts w:ascii="Arial" w:hAnsi="Arial"/>
          <w:color w:val="525252"/>
          <w:sz w:val="13"/>
        </w:rPr>
        <w:t>The commander or other official determines whether to present an award at a formal ceremony or to present it informally.</w:t>
      </w:r>
    </w:p>
    <w:p>
      <w:pPr>
        <w:spacing w:after="20" w:line="223" w:lineRule="auto"/>
        <w:jc w:val="right"/>
        <w:bidi/>
      </w:pPr>
      <w:r>
        <w:rPr>
          <w:rFonts w:ascii="Arial" w:hAnsi="Arial"/>
          <w:sz w:val="16"/>
        </w:rPr>
        <w:t>541.21  بسیاری از یگان‌ها در طول فراخوان فرمانده جوایز را اهدا می‌کنند.</w:t>
      </w:r>
    </w:p>
    <w:p>
      <w:pPr>
        <w:spacing w:after="28" w:line="216" w:lineRule="auto"/>
        <w:ind w:left="259"/>
        <w:jc w:val="left"/>
      </w:pPr>
      <w:r>
        <w:rPr>
          <w:rFonts w:ascii="Arial" w:hAnsi="Arial"/>
          <w:color w:val="525252"/>
          <w:sz w:val="13"/>
        </w:rPr>
        <w:t>Many units present awards during commander’s call.</w:t>
      </w:r>
    </w:p>
    <w:p>
      <w:pPr>
        <w:spacing w:after="20" w:line="223" w:lineRule="auto"/>
        <w:jc w:val="right"/>
        <w:bidi/>
      </w:pPr>
      <w:r>
        <w:rPr>
          <w:rFonts w:ascii="Arial" w:hAnsi="Arial"/>
          <w:sz w:val="16"/>
        </w:rPr>
        <w:t>541.22  چون دستورالعمل خاصی برای ارائه جایزه وجود ندارد، فرماندهان و سرپرستان باید اطمینان حاصل کنند که روش ارائه نشان دهنده اهمیت جایزه است.</w:t>
      </w:r>
    </w:p>
    <w:p>
      <w:pPr>
        <w:spacing w:after="28" w:line="216" w:lineRule="auto"/>
        <w:ind w:left="259"/>
        <w:jc w:val="left"/>
      </w:pPr>
      <w:r>
        <w:rPr>
          <w:rFonts w:ascii="Arial" w:hAnsi="Arial"/>
          <w:color w:val="525252"/>
          <w:sz w:val="13"/>
        </w:rPr>
        <w:t>Because there are no specific guidelines for an award presentation, commanders and supervisors must ensure the presentation method reflects the significance of the award.</w:t>
      </w:r>
    </w:p>
    <w:p>
      <w:pPr>
        <w:spacing w:after="20" w:line="223" w:lineRule="auto"/>
        <w:jc w:val="right"/>
        <w:bidi/>
      </w:pPr>
      <w:r>
        <w:rPr>
          <w:rFonts w:ascii="Arial" w:hAnsi="Arial"/>
          <w:sz w:val="16"/>
        </w:rPr>
        <w:t>541.23  مراسم تزیین.</w:t>
      </w:r>
    </w:p>
    <w:p>
      <w:pPr>
        <w:spacing w:after="28" w:line="216" w:lineRule="auto"/>
        <w:ind w:left="259"/>
        <w:jc w:val="left"/>
      </w:pPr>
      <w:r>
        <w:rPr>
          <w:rFonts w:ascii="Arial" w:hAnsi="Arial"/>
          <w:color w:val="525252"/>
          <w:sz w:val="13"/>
        </w:rPr>
        <w:t>Decoration Ceremony.</w:t>
      </w:r>
    </w:p>
    <w:p>
      <w:pPr>
        <w:spacing w:after="20" w:line="223" w:lineRule="auto"/>
        <w:jc w:val="right"/>
        <w:bidi/>
      </w:pPr>
      <w:r>
        <w:rPr>
          <w:rFonts w:ascii="Arial" w:hAnsi="Arial"/>
          <w:sz w:val="16"/>
        </w:rPr>
        <w:t>541.24  مراسم تزیین به‌طور رسمی اعضای نیروهای مسلح را به دلیل خدمات شایسته، دستاوردهای برجسته یا قهرمانی به رسمیت می‌شناسند.</w:t>
      </w:r>
    </w:p>
    <w:p>
      <w:pPr>
        <w:spacing w:after="28" w:line="216" w:lineRule="auto"/>
        <w:ind w:left="259"/>
        <w:jc w:val="left"/>
      </w:pPr>
      <w:r>
        <w:rPr>
          <w:rFonts w:ascii="Arial" w:hAnsi="Arial"/>
          <w:color w:val="525252"/>
          <w:sz w:val="13"/>
        </w:rPr>
        <w:t>Decoration ceremonies formally recognize service members for meritorious service, outstanding achievement, or heroism.</w:t>
      </w:r>
    </w:p>
    <w:p>
      <w:pPr>
        <w:spacing w:after="20" w:line="223" w:lineRule="auto"/>
        <w:jc w:val="right"/>
        <w:bidi/>
      </w:pPr>
      <w:r>
        <w:rPr>
          <w:rFonts w:ascii="Arial" w:hAnsi="Arial"/>
          <w:sz w:val="16"/>
        </w:rPr>
        <w:t>541.25  تشریفات دکوراسیون رسمی و با وقار، یکپارچگی و ارزش دکوراسیون را حفظ می‌کند.</w:t>
      </w:r>
    </w:p>
    <w:p>
      <w:pPr>
        <w:spacing w:after="28" w:line="216" w:lineRule="auto"/>
        <w:ind w:left="259"/>
        <w:jc w:val="left"/>
      </w:pPr>
      <w:r>
        <w:rPr>
          <w:rFonts w:ascii="Arial" w:hAnsi="Arial"/>
          <w:color w:val="525252"/>
          <w:sz w:val="13"/>
        </w:rPr>
        <w:t>Formal and dignified decoration ceremonies preserve the integrity and value of decorations.</w:t>
      </w:r>
    </w:p>
    <w:p>
      <w:pPr>
        <w:spacing w:after="20" w:line="223" w:lineRule="auto"/>
        <w:jc w:val="right"/>
        <w:bidi/>
      </w:pPr>
      <w:r>
        <w:rPr>
          <w:rFonts w:ascii="Arial" w:hAnsi="Arial"/>
          <w:sz w:val="16"/>
        </w:rPr>
        <w:t>541.26  در صورت امکان، فرماندهان باید شخصا تزیینات را ارائه دهند.</w:t>
      </w:r>
    </w:p>
    <w:p>
      <w:pPr>
        <w:spacing w:after="28" w:line="216" w:lineRule="auto"/>
        <w:ind w:left="259"/>
        <w:jc w:val="left"/>
      </w:pPr>
      <w:r>
        <w:rPr>
          <w:rFonts w:ascii="Arial" w:hAnsi="Arial"/>
          <w:color w:val="525252"/>
          <w:sz w:val="13"/>
        </w:rPr>
        <w:t>When possible, commanders should personally present decorations.</w:t>
      </w:r>
    </w:p>
    <w:p>
      <w:pPr>
        <w:spacing w:after="20" w:line="223" w:lineRule="auto"/>
        <w:jc w:val="right"/>
        <w:bidi/>
      </w:pPr>
      <w:r>
        <w:rPr>
          <w:rFonts w:ascii="Arial" w:hAnsi="Arial"/>
          <w:sz w:val="16"/>
        </w:rPr>
        <w:t>541.27  صرف نظر از اینکه در کجا ارائه انجام می‌شود، مراسم در اولین تاریخ ممکن پس از تأیید دکوراسیون انجام می‌شود.</w:t>
      </w:r>
    </w:p>
    <w:p>
      <w:pPr>
        <w:spacing w:after="28" w:line="216" w:lineRule="auto"/>
        <w:ind w:left="259"/>
        <w:jc w:val="left"/>
      </w:pPr>
      <w:r>
        <w:rPr>
          <w:rFonts w:ascii="Arial" w:hAnsi="Arial"/>
          <w:color w:val="525252"/>
          <w:sz w:val="13"/>
        </w:rPr>
        <w:t>Regardless of where the presentation is conducted, the ceremony is conducted at the earliest possible date after approval of the decoration.</w:t>
      </w:r>
    </w:p>
    <w:p>
      <w:pPr>
        <w:spacing w:after="20" w:line="223" w:lineRule="auto"/>
        <w:jc w:val="right"/>
        <w:bidi/>
      </w:pPr>
      <w:r>
        <w:rPr>
          <w:rFonts w:ascii="Arial" w:hAnsi="Arial"/>
          <w:sz w:val="16"/>
        </w:rPr>
        <w:t>541.28  کلیه شرکت کنندگان و شرکت کنندگان نظامی باید یونیفرم مشخص شده توسط میزبان را بپوشند.</w:t>
      </w:r>
    </w:p>
    <w:p>
      <w:pPr>
        <w:spacing w:after="28" w:line="216" w:lineRule="auto"/>
        <w:ind w:left="259"/>
        <w:jc w:val="left"/>
      </w:pPr>
      <w:r>
        <w:rPr>
          <w:rFonts w:ascii="Arial" w:hAnsi="Arial"/>
          <w:color w:val="525252"/>
          <w:sz w:val="13"/>
        </w:rPr>
        <w:t>All military participants and attendees should wear the uniform specified by the host.</w:t>
      </w:r>
    </w:p>
    <w:p>
      <w:pPr>
        <w:spacing w:after="20" w:line="223" w:lineRule="auto"/>
        <w:jc w:val="right"/>
        <w:bidi/>
      </w:pPr>
      <w:r>
        <w:rPr>
          <w:rFonts w:ascii="Arial" w:hAnsi="Arial"/>
          <w:sz w:val="16"/>
        </w:rPr>
        <w:t>541.29  مراسم ارتقاء.</w:t>
      </w:r>
    </w:p>
    <w:p>
      <w:pPr>
        <w:spacing w:after="28" w:line="216" w:lineRule="auto"/>
        <w:ind w:left="259"/>
        <w:jc w:val="left"/>
      </w:pPr>
      <w:r>
        <w:rPr>
          <w:rFonts w:ascii="Arial" w:hAnsi="Arial"/>
          <w:color w:val="525252"/>
          <w:sz w:val="13"/>
        </w:rPr>
        <w:t>Promotion Ceremony.</w:t>
      </w:r>
    </w:p>
    <w:p>
      <w:pPr>
        <w:spacing w:after="20" w:line="223" w:lineRule="auto"/>
        <w:jc w:val="right"/>
        <w:bidi/>
      </w:pPr>
      <w:r>
        <w:rPr>
          <w:rFonts w:ascii="Arial" w:hAnsi="Arial"/>
          <w:sz w:val="16"/>
        </w:rPr>
        <w:t>541.30  ترفیعات رویدادهای مهمی در زندگی افراد نظامی است.</w:t>
      </w:r>
    </w:p>
    <w:p>
      <w:pPr>
        <w:spacing w:after="28" w:line="216" w:lineRule="auto"/>
        <w:ind w:left="259"/>
        <w:jc w:val="left"/>
      </w:pPr>
      <w:r>
        <w:rPr>
          <w:rFonts w:ascii="Arial" w:hAnsi="Arial"/>
          <w:color w:val="525252"/>
          <w:sz w:val="13"/>
        </w:rPr>
        <w:t>Promotions are significant events in the lives of military people.</w:t>
      </w:r>
    </w:p>
    <w:p>
      <w:pPr>
        <w:spacing w:after="20" w:line="223" w:lineRule="auto"/>
        <w:jc w:val="right"/>
        <w:bidi/>
      </w:pPr>
      <w:r>
        <w:rPr>
          <w:rFonts w:ascii="Arial" w:hAnsi="Arial"/>
          <w:sz w:val="16"/>
        </w:rPr>
        <w:t>541.31  فرماندهان و ناظران مسئول اطمینان از شناسایی مناسب پرسنل خود هستند.</w:t>
      </w:r>
    </w:p>
    <w:p>
      <w:pPr>
        <w:spacing w:after="28" w:line="216" w:lineRule="auto"/>
        <w:ind w:left="259"/>
        <w:jc w:val="left"/>
      </w:pPr>
      <w:r>
        <w:rPr>
          <w:rFonts w:ascii="Arial" w:hAnsi="Arial"/>
          <w:color w:val="525252"/>
          <w:sz w:val="13"/>
        </w:rPr>
        <w:t>Commanders and supervisors are responsible for ensuring their personnel receive proper recognition.</w:t>
      </w:r>
    </w:p>
    <w:p>
      <w:pPr>
        <w:spacing w:after="20" w:line="223" w:lineRule="auto"/>
        <w:jc w:val="right"/>
        <w:bidi/>
      </w:pPr>
      <w:r>
        <w:rPr>
          <w:rFonts w:ascii="Arial" w:hAnsi="Arial"/>
          <w:sz w:val="16"/>
        </w:rPr>
        <w:t>541.32  بسیاری از دستورالعمل‌های تشریفات تبلیغاتی مانند مراسم تزیین است.</w:t>
      </w:r>
    </w:p>
    <w:p>
      <w:pPr>
        <w:spacing w:after="28" w:line="216" w:lineRule="auto"/>
        <w:ind w:left="259"/>
        <w:jc w:val="left"/>
      </w:pPr>
      <w:r>
        <w:rPr>
          <w:rFonts w:ascii="Arial" w:hAnsi="Arial"/>
          <w:color w:val="525252"/>
          <w:sz w:val="13"/>
        </w:rPr>
        <w:t>Many of the guidelines for promotion ceremonies are the same as for decoration ceremonies.</w:t>
      </w:r>
    </w:p>
    <w:p>
      <w:pPr>
        <w:spacing w:after="20" w:line="223" w:lineRule="auto"/>
        <w:jc w:val="right"/>
        <w:bidi/>
      </w:pPr>
      <w:r>
        <w:rPr>
          <w:rFonts w:ascii="Arial" w:hAnsi="Arial"/>
          <w:sz w:val="16"/>
        </w:rPr>
        <w:t>541.33  از آنجایی که اکثر تبلیغات در روز اول ماه مؤثر هستند، مراسم ترفیع معمولا در آخرین روز وظیفه قبل از تاریخ اجرایی شدن تبلیغات انجام می‌شود.</w:t>
      </w:r>
    </w:p>
    <w:p>
      <w:pPr>
        <w:spacing w:after="28" w:line="216" w:lineRule="auto"/>
        <w:ind w:left="259"/>
        <w:jc w:val="left"/>
      </w:pPr>
      <w:r>
        <w:rPr>
          <w:rFonts w:ascii="Arial" w:hAnsi="Arial"/>
          <w:color w:val="525252"/>
          <w:sz w:val="13"/>
        </w:rPr>
        <w:t>Because most promotions are effective the first day of the month, the promotion ceremony is customarily conducted on the last duty day before the promotion effective date.</w:t>
      </w:r>
    </w:p>
    <w:p>
      <w:pPr>
        <w:spacing w:after="20" w:line="223" w:lineRule="auto"/>
        <w:jc w:val="right"/>
        <w:bidi/>
      </w:pPr>
      <w:r>
        <w:rPr>
          <w:rFonts w:ascii="Arial" w:hAnsi="Arial"/>
          <w:sz w:val="16"/>
        </w:rPr>
        <w:t>541.34  برخی از پایگاه‌ها برای همه ترفیع‌شدگان تبلیغی در سطح پایه برگزار می‌کنند، در حالی که پایگاه‌های دیگر ترجیح می‌دهند مروجین درون سازمان خود را بشناسند.</w:t>
      </w:r>
    </w:p>
    <w:p>
      <w:pPr>
        <w:spacing w:after="28" w:line="216" w:lineRule="auto"/>
        <w:ind w:left="259"/>
        <w:jc w:val="left"/>
      </w:pPr>
      <w:r>
        <w:rPr>
          <w:rFonts w:ascii="Arial" w:hAnsi="Arial"/>
          <w:color w:val="525252"/>
          <w:sz w:val="13"/>
        </w:rPr>
        <w:t>Some bases hold a base-wide promotion for all promotees, while other bases prefer to recognize promotees within their organizations.</w:t>
      </w:r>
    </w:p>
    <w:p>
      <w:r>
        <w:br w:type="page"/>
      </w:r>
    </w:p>
    <w:p>
      <w:pPr>
        <w:spacing w:after="60"/>
        <w:jc w:val="right"/>
        <w:bidi/>
      </w:pPr>
      <w:r>
        <w:rPr>
          <w:rFonts w:ascii="Arial" w:hAnsi="Arial"/>
          <w:b/>
          <w:color w:val="1F4D78"/>
          <w:sz w:val="19"/>
        </w:rPr>
        <w:t>هفتهٔ 542  |  صفحهٔ منبع: 558</w:t>
      </w:r>
    </w:p>
    <w:p>
      <w:pPr>
        <w:spacing w:after="20" w:line="223" w:lineRule="auto"/>
        <w:jc w:val="right"/>
        <w:bidi/>
      </w:pPr>
      <w:r>
        <w:rPr>
          <w:rFonts w:ascii="Arial" w:hAnsi="Arial"/>
          <w:sz w:val="16"/>
        </w:rPr>
        <w:t>542.01  مراسم سربازی مجدد.</w:t>
      </w:r>
    </w:p>
    <w:p>
      <w:pPr>
        <w:spacing w:after="28" w:line="216" w:lineRule="auto"/>
        <w:ind w:left="259"/>
        <w:jc w:val="left"/>
      </w:pPr>
      <w:r>
        <w:rPr>
          <w:rFonts w:ascii="Arial" w:hAnsi="Arial"/>
          <w:color w:val="525252"/>
          <w:sz w:val="13"/>
        </w:rPr>
        <w:t>Reenlistment Ceremony.</w:t>
      </w:r>
    </w:p>
    <w:p>
      <w:pPr>
        <w:spacing w:after="20" w:line="223" w:lineRule="auto"/>
        <w:jc w:val="right"/>
        <w:bidi/>
      </w:pPr>
      <w:r>
        <w:rPr>
          <w:rFonts w:ascii="Arial" w:hAnsi="Arial"/>
          <w:sz w:val="16"/>
        </w:rPr>
        <w:t>542.02  فرماندهان یگان از تمامی سربازان سرباز مجدد از طریق یک مراسم با عزت سربازی مجدد تجلیل خواهند کرد.</w:t>
      </w:r>
    </w:p>
    <w:p>
      <w:pPr>
        <w:spacing w:after="28" w:line="216" w:lineRule="auto"/>
        <w:ind w:left="259"/>
        <w:jc w:val="left"/>
      </w:pPr>
      <w:r>
        <w:rPr>
          <w:rFonts w:ascii="Arial" w:hAnsi="Arial"/>
          <w:color w:val="525252"/>
          <w:sz w:val="13"/>
        </w:rPr>
        <w:t>Unit commanders will honor all reenlistees through a dignified reenlistment ceremony.</w:t>
      </w:r>
    </w:p>
    <w:p>
      <w:pPr>
        <w:spacing w:after="20" w:line="223" w:lineRule="auto"/>
        <w:jc w:val="right"/>
        <w:bidi/>
      </w:pPr>
      <w:r>
        <w:rPr>
          <w:rFonts w:ascii="Arial" w:hAnsi="Arial"/>
          <w:sz w:val="16"/>
        </w:rPr>
        <w:t>542.03  هوانوردان می‌توانند از هر افسری درخواست کنند که مراسم را انجام دهد و می‌توانند مهمانان را دعوت کنند.</w:t>
      </w:r>
    </w:p>
    <w:p>
      <w:pPr>
        <w:spacing w:after="28" w:line="216" w:lineRule="auto"/>
        <w:ind w:left="259"/>
        <w:jc w:val="left"/>
      </w:pPr>
      <w:r>
        <w:rPr>
          <w:rFonts w:ascii="Arial" w:hAnsi="Arial"/>
          <w:color w:val="525252"/>
          <w:sz w:val="13"/>
        </w:rPr>
        <w:t>Airmen may request any commissioned officer to perform the ceremony and may invite guests.</w:t>
      </w:r>
    </w:p>
    <w:p>
      <w:pPr>
        <w:spacing w:after="20" w:line="223" w:lineRule="auto"/>
        <w:jc w:val="right"/>
        <w:bidi/>
      </w:pPr>
      <w:r>
        <w:rPr>
          <w:rFonts w:ascii="Arial" w:hAnsi="Arial"/>
          <w:sz w:val="16"/>
        </w:rPr>
        <w:t>542.04  خانواده نزدیک عضو باید دعوت شوند تا این درک را تقویت کنند که وقتی عضوی به USAF تعهد می‌دهد، خانواده نیز تعهد می‌دهد.</w:t>
      </w:r>
    </w:p>
    <w:p>
      <w:pPr>
        <w:spacing w:after="28" w:line="216" w:lineRule="auto"/>
        <w:ind w:left="259"/>
        <w:jc w:val="left"/>
      </w:pPr>
      <w:r>
        <w:rPr>
          <w:rFonts w:ascii="Arial" w:hAnsi="Arial"/>
          <w:color w:val="525252"/>
          <w:sz w:val="13"/>
        </w:rPr>
        <w:t>The member’s immediate family should be invited to reinforce the recognition that when a member makes a commitment to the USAF, the family is also making a commitment.</w:t>
      </w:r>
    </w:p>
    <w:p>
      <w:pPr>
        <w:spacing w:after="20" w:line="223" w:lineRule="auto"/>
        <w:jc w:val="right"/>
        <w:bidi/>
      </w:pPr>
      <w:r>
        <w:rPr>
          <w:rFonts w:ascii="Arial" w:hAnsi="Arial"/>
          <w:sz w:val="16"/>
        </w:rPr>
        <w:t>542.05  مراسم می‌تواند در هر مکانی برگزار شود که به مراسم احترام بگذارد.</w:t>
      </w:r>
    </w:p>
    <w:p>
      <w:pPr>
        <w:spacing w:after="28" w:line="216" w:lineRule="auto"/>
        <w:ind w:left="259"/>
        <w:jc w:val="left"/>
      </w:pPr>
      <w:r>
        <w:rPr>
          <w:rFonts w:ascii="Arial" w:hAnsi="Arial"/>
          <w:color w:val="525252"/>
          <w:sz w:val="13"/>
        </w:rPr>
        <w:t>The ceremony may be conducted in any place that lends dignity to the event.</w:t>
      </w:r>
    </w:p>
    <w:p>
      <w:pPr>
        <w:spacing w:after="20" w:line="223" w:lineRule="auto"/>
        <w:jc w:val="right"/>
        <w:bidi/>
      </w:pPr>
      <w:r>
        <w:rPr>
          <w:rFonts w:ascii="Arial" w:hAnsi="Arial"/>
          <w:sz w:val="16"/>
        </w:rPr>
        <w:t>542.06  پرچم ایالات متحده به‌طور سنتی خدمت می‌کرده است و در صورت وجود باید از آن به‌عنوان پس‌زمینه‌ای برای مراسم سربازی مجدد استفاده شود.</w:t>
      </w:r>
    </w:p>
    <w:p>
      <w:pPr>
        <w:spacing w:after="28" w:line="216" w:lineRule="auto"/>
        <w:ind w:left="259"/>
        <w:jc w:val="left"/>
      </w:pPr>
      <w:r>
        <w:rPr>
          <w:rFonts w:ascii="Arial" w:hAnsi="Arial"/>
          <w:color w:val="525252"/>
          <w:sz w:val="13"/>
        </w:rPr>
        <w:t>The United States flag has traditionally served, and should be used when available, as a backdrop for reenlistment ceremonies.</w:t>
      </w:r>
    </w:p>
    <w:p>
      <w:pPr>
        <w:spacing w:after="20" w:line="223" w:lineRule="auto"/>
        <w:jc w:val="right"/>
        <w:bidi/>
      </w:pPr>
      <w:r>
        <w:rPr>
          <w:rFonts w:ascii="Arial" w:hAnsi="Arial"/>
          <w:sz w:val="16"/>
        </w:rPr>
        <w:t>542.07  مشمولین و افسران ادای سوگند باید لباس رسمی رسمی برای مراسم بپوشند، مگر اینکه افسری که ثبت‌نام مجدد را انجام می‌دهد بازنشسته باشد، در این صورت شرط لباس برای افسر ثبت‌نام مجدد اختیاری است.</w:t>
      </w:r>
    </w:p>
    <w:p>
      <w:pPr>
        <w:spacing w:after="28" w:line="216" w:lineRule="auto"/>
        <w:ind w:left="259"/>
        <w:jc w:val="left"/>
      </w:pPr>
      <w:r>
        <w:rPr>
          <w:rFonts w:ascii="Arial" w:hAnsi="Arial"/>
          <w:color w:val="525252"/>
          <w:sz w:val="13"/>
        </w:rPr>
        <w:t>Reenlistees and officers administering the oath must wear an authorized uniform for the ceremony, unless the officer performing the reenlistment is retired, then the uniform requirement for the reenlisting officer is optional.</w:t>
      </w:r>
    </w:p>
    <w:p>
      <w:pPr>
        <w:spacing w:after="20" w:line="223" w:lineRule="auto"/>
        <w:jc w:val="right"/>
        <w:bidi/>
      </w:pPr>
      <w:r>
        <w:rPr>
          <w:rFonts w:ascii="Arial" w:hAnsi="Arial"/>
          <w:sz w:val="16"/>
        </w:rPr>
        <w:t>542.08  خط‌مشی DAF در مورد سربازگیری مجدد در DAFI ۳۶-۲۶۰۶، ثبت‌نام مجدد و گسترش سربازی در نیروی هوایی ایالات متحده یافت می‌شود.</w:t>
      </w:r>
    </w:p>
    <w:p>
      <w:pPr>
        <w:spacing w:after="28" w:line="216" w:lineRule="auto"/>
        <w:ind w:left="259"/>
        <w:jc w:val="left"/>
      </w:pPr>
      <w:r>
        <w:rPr>
          <w:rFonts w:ascii="Arial" w:hAnsi="Arial"/>
          <w:color w:val="525252"/>
          <w:sz w:val="13"/>
        </w:rPr>
        <w:t>DAF policy concerning reenlistments is found in DAFI 36-2606, Reenlistment and Extension of Enlistment in the United States Air Force.</w:t>
      </w:r>
    </w:p>
    <w:p>
      <w:pPr>
        <w:spacing w:before="60" w:after="28"/>
        <w:jc w:val="right"/>
        <w:bidi/>
      </w:pPr>
      <w:r>
        <w:rPr>
          <w:b/>
          <w:color w:val="1F4D78"/>
          <w:sz w:val="18"/>
        </w:rPr>
        <w:t>24.24. سوگند</w:t>
      </w:r>
    </w:p>
    <w:p>
      <w:pPr>
        <w:spacing w:after="20"/>
        <w:ind w:left="259"/>
        <w:jc w:val="left"/>
      </w:pPr>
      <w:r>
        <w:rPr>
          <w:color w:val="555555"/>
          <w:sz w:val="12"/>
        </w:rPr>
        <w:t>24.24. Oaths</w:t>
      </w:r>
    </w:p>
    <w:p>
      <w:pPr>
        <w:spacing w:after="20" w:line="223" w:lineRule="auto"/>
        <w:jc w:val="right"/>
        <w:bidi/>
      </w:pPr>
      <w:r>
        <w:rPr>
          <w:rFonts w:ascii="Arial" w:hAnsi="Arial"/>
          <w:sz w:val="16"/>
        </w:rPr>
        <w:t>542.10  هسته اصلی مراسم، سوگند است.</w:t>
      </w:r>
    </w:p>
    <w:p>
      <w:pPr>
        <w:spacing w:after="28" w:line="216" w:lineRule="auto"/>
        <w:ind w:left="259"/>
        <w:jc w:val="left"/>
      </w:pPr>
      <w:r>
        <w:rPr>
          <w:rFonts w:ascii="Arial" w:hAnsi="Arial"/>
          <w:color w:val="525252"/>
          <w:sz w:val="13"/>
        </w:rPr>
        <w:t>At the core of the ceremony is the oath.</w:t>
      </w:r>
    </w:p>
    <w:p>
      <w:pPr>
        <w:spacing w:after="20" w:line="223" w:lineRule="auto"/>
        <w:jc w:val="right"/>
        <w:bidi/>
      </w:pPr>
      <w:r>
        <w:rPr>
          <w:rFonts w:ascii="Arial" w:hAnsi="Arial"/>
          <w:sz w:val="16"/>
        </w:rPr>
        <w:t>542.11  سوگند توسط افسر خوانده می‌شود و توسط سرباز مجدد تکرار می‌شود.</w:t>
      </w:r>
    </w:p>
    <w:p>
      <w:pPr>
        <w:spacing w:after="28" w:line="216" w:lineRule="auto"/>
        <w:ind w:left="259"/>
        <w:jc w:val="left"/>
      </w:pPr>
      <w:r>
        <w:rPr>
          <w:rFonts w:ascii="Arial" w:hAnsi="Arial"/>
          <w:color w:val="525252"/>
          <w:sz w:val="13"/>
        </w:rPr>
        <w:t>The oath is recited by the officer and repeated by the reenlistee.</w:t>
      </w:r>
    </w:p>
    <w:p>
      <w:pPr>
        <w:spacing w:after="20" w:line="223" w:lineRule="auto"/>
        <w:jc w:val="right"/>
        <w:bidi/>
      </w:pPr>
      <w:r>
        <w:rPr>
          <w:rFonts w:ascii="Arial" w:hAnsi="Arial"/>
          <w:sz w:val="16"/>
        </w:rPr>
        <w:t>542.12  دعوت‌کننده مجدد و افسری که سوگند یاد می‌کند باید در طول مراسم از لحاظ فیزیکی با هم هماهنگ باشند.</w:t>
      </w:r>
    </w:p>
    <w:p>
      <w:pPr>
        <w:spacing w:after="28" w:line="216" w:lineRule="auto"/>
        <w:ind w:left="259"/>
        <w:jc w:val="left"/>
      </w:pPr>
      <w:r>
        <w:rPr>
          <w:rFonts w:ascii="Arial" w:hAnsi="Arial"/>
          <w:color w:val="525252"/>
          <w:sz w:val="13"/>
        </w:rPr>
        <w:t>The reenlistee and the officer administering the oath must be physically collocated during the ceremony.</w:t>
      </w:r>
    </w:p>
    <w:p>
      <w:pPr>
        <w:spacing w:after="20" w:line="223" w:lineRule="auto"/>
        <w:jc w:val="right"/>
        <w:bidi/>
      </w:pPr>
      <w:r>
        <w:rPr>
          <w:rFonts w:ascii="Arial" w:hAnsi="Arial"/>
          <w:sz w:val="16"/>
        </w:rPr>
        <w:t>542.13  سوگندهای افسری، سربازی و غیرنظامی بسیار شبیه هستند، اما تا حدی متفاوت هستند.</w:t>
      </w:r>
    </w:p>
    <w:p>
      <w:pPr>
        <w:spacing w:after="28" w:line="216" w:lineRule="auto"/>
        <w:ind w:left="259"/>
        <w:jc w:val="left"/>
      </w:pPr>
      <w:r>
        <w:rPr>
          <w:rFonts w:ascii="Arial" w:hAnsi="Arial"/>
          <w:color w:val="525252"/>
          <w:sz w:val="13"/>
        </w:rPr>
        <w:t>The officer, enlisted, and civilian oaths are very similar, but vary to some degree.</w:t>
      </w:r>
    </w:p>
    <w:p>
      <w:pPr>
        <w:spacing w:after="20" w:line="223" w:lineRule="auto"/>
        <w:jc w:val="right"/>
        <w:bidi/>
      </w:pPr>
      <w:r>
        <w:rPr>
          <w:rFonts w:ascii="Arial" w:hAnsi="Arial"/>
          <w:sz w:val="16"/>
        </w:rPr>
        <w:t>542.14  در صورت تمایل، ممکن است عبارت «خدایا کمکم کن» حذف شود.</w:t>
      </w:r>
    </w:p>
    <w:p>
      <w:pPr>
        <w:spacing w:after="28" w:line="216" w:lineRule="auto"/>
        <w:ind w:left="259"/>
        <w:jc w:val="left"/>
      </w:pPr>
      <w:r>
        <w:rPr>
          <w:rFonts w:ascii="Arial" w:hAnsi="Arial"/>
          <w:color w:val="525252"/>
          <w:sz w:val="13"/>
        </w:rPr>
        <w:t>If desired, the words “so help me God” may be omitted.</w:t>
      </w:r>
    </w:p>
    <w:p>
      <w:pPr>
        <w:spacing w:after="20" w:line="223" w:lineRule="auto"/>
        <w:jc w:val="right"/>
        <w:bidi/>
      </w:pPr>
      <w:r>
        <w:rPr>
          <w:rFonts w:ascii="Arial" w:hAnsi="Arial"/>
          <w:sz w:val="16"/>
        </w:rPr>
        <w:t>542.15  افسر سوگند من (نام خود را ذکر کنید)، /// با منصوب شدن به یک (درجه) در نیروی هوایی ایالات متحده /// رسما سوگند یاد می‌کنم (یا تأیید می‌کنم) که از /// قانون اساسی ایالات متحده /// در برابر همه دشمنان، خارجی و داخلی، /// حمایت و دفاع می‌کنم، /// که // این تعهد را آزادانه انجام می‌دهم، به همان اندازه عمل می‌کنم /// بدون هیچ گونه قید و شرط ذهنی و یا هدف طفره رفتن /// و اینکه به خوبی و با امانتداری وظایف دفتری را که در شرف ورود به آن هستم انجام دهم /// پس خدایا کمکم کن.</w:t>
      </w:r>
    </w:p>
    <w:p>
      <w:pPr>
        <w:spacing w:after="28" w:line="216" w:lineRule="auto"/>
        <w:ind w:left="259"/>
        <w:jc w:val="left"/>
      </w:pPr>
      <w:r>
        <w:rPr>
          <w:rFonts w:ascii="Arial" w:hAnsi="Arial"/>
          <w:color w:val="525252"/>
          <w:sz w:val="13"/>
        </w:rPr>
        <w:t>Officer Oath I (state your name), /// having been appointed a (rank), in the United States Air Force /// do solemnly swear (or affirm) that I will support and defend /// the Constitution of the United States /// against all enemies, foreign and domestic, /// that I will bear true faith and allegiance to the same, /// that I take this obligation freely, /// without any mental reservation or purpose of evasion, /// and that I will well and faithfully discharge /// the duties of the office upon which I am about to enter, /// so help me God.</w:t>
      </w:r>
    </w:p>
    <w:p>
      <w:pPr>
        <w:spacing w:after="20" w:line="223" w:lineRule="auto"/>
        <w:jc w:val="right"/>
        <w:bidi/>
      </w:pPr>
      <w:r>
        <w:rPr>
          <w:rFonts w:ascii="Arial" w:hAnsi="Arial"/>
          <w:sz w:val="16"/>
        </w:rPr>
        <w:t>542.16  سوگند یاد شده من (نام خود را ذکر کنید)، /// رسما سوگند یاد می‌کنم (یا تأیید می‌کنم) /// از /// قانون اساسی ایالات متحده /// در برابر همه دشمنان داخلی و خارجی حمایت و دفاع می‌کنم، /// که ایمان واقعی /// و وفاداری به همان فرمان رئیس جمهور و آمریکا را دارم، //// دستورات افسرانی که بر من منصوب شده اند، /// طبق مقررات /// و قانون یکپارچه عدالت نظامی، /// پس خدایا کمکم کن.</w:t>
      </w:r>
    </w:p>
    <w:p>
      <w:pPr>
        <w:spacing w:after="28" w:line="216" w:lineRule="auto"/>
        <w:ind w:left="259"/>
        <w:jc w:val="left"/>
      </w:pPr>
      <w:r>
        <w:rPr>
          <w:rFonts w:ascii="Arial" w:hAnsi="Arial"/>
          <w:color w:val="525252"/>
          <w:sz w:val="13"/>
        </w:rPr>
        <w:t>Enlisted Oath I (state your name), /// do solemnly swear (or affirm) /// that I will support and defend /// the Constitution of the United States /// against all enemies, foreign and domestic, /// that I will bear true faith /// and allegiance to the same, /// and that I will obey the orders of the President of the United States /// and the orders of the officers appointed over me, /// according to regulations /// and the Uniform Code of Military Justice, /// so help me God.</w:t>
      </w:r>
    </w:p>
    <w:p>
      <w:pPr>
        <w:spacing w:after="20" w:line="223" w:lineRule="auto"/>
        <w:jc w:val="right"/>
        <w:bidi/>
      </w:pPr>
      <w:r>
        <w:rPr>
          <w:rFonts w:ascii="Arial" w:hAnsi="Arial"/>
          <w:sz w:val="16"/>
        </w:rPr>
        <w:t>542.17  سوگند سرباز گارد ملی هوایی من بدینوسیله اذعان می‌کنم که داوطلبانه در این روز، ۲۰، برای یک دوره (سال‌ها) تحت شرایط مقرر در قانون، در گارد ملی ایالت ثبت‌نام کرده‌ام، مگر اینکه زودتر توسط مقام مناسب از خدمت خارج شوم.</w:t>
      </w:r>
    </w:p>
    <w:p>
      <w:pPr>
        <w:spacing w:after="28" w:line="216" w:lineRule="auto"/>
        <w:ind w:left="259"/>
        <w:jc w:val="left"/>
      </w:pPr>
      <w:r>
        <w:rPr>
          <w:rFonts w:ascii="Arial" w:hAnsi="Arial"/>
          <w:color w:val="525252"/>
          <w:sz w:val="13"/>
        </w:rPr>
        <w:t>Air National Guard Enlisted Oath I do hereby acknowledge to have voluntarily enlisted this day of , 20 , in the National Guard of the State of for a period of year(s) under the conditions prescribed by law, unless sooner discharged by proper authority.</w:t>
      </w:r>
    </w:p>
    <w:p>
      <w:pPr>
        <w:spacing w:after="20" w:line="223" w:lineRule="auto"/>
        <w:jc w:val="right"/>
        <w:bidi/>
      </w:pPr>
      <w:r>
        <w:rPr>
          <w:rFonts w:ascii="Arial" w:hAnsi="Arial"/>
          <w:sz w:val="16"/>
        </w:rPr>
        <w:t>542.18  من (نام شما را بیان می‌کنم)، /// رسما سوگند یاد می‌کنم (یا تأیید می‌کنم) /// از /// قانون اساسی ایالات متحده /// و دولت /// در برابر همه دشمنان اعم از خارجی و داخلی، /// حمایت و دفاع می‌کنم، /// ایمان واقعی دارم /// و از دستور /// رئیس جمهور ایالات متحده اطاعت می‌کنم که از آنها، /// و فرماندار، /// و دستورات مأمورین منصوب بر من /// طبق قانون و مقررات /// پس خدایا کمکم کن.</w:t>
      </w:r>
    </w:p>
    <w:p>
      <w:pPr>
        <w:spacing w:after="28" w:line="216" w:lineRule="auto"/>
        <w:ind w:left="259"/>
        <w:jc w:val="left"/>
      </w:pPr>
      <w:r>
        <w:rPr>
          <w:rFonts w:ascii="Arial" w:hAnsi="Arial"/>
          <w:color w:val="525252"/>
          <w:sz w:val="13"/>
        </w:rPr>
        <w:t>I (state your name), /// do solemnly swear (or affirm) /// that I will support and defend /// the constitution of the United States /// and of the State of /// against all enemies, foreign and domestic, /// that I will bear true faith /// and allegiance to them, /// and that I will obey the orders of the President of the United States /// and the Governor of , /// and the orders of the officers appointed over me, /// according to law and regulations, /// so help me God.</w:t>
      </w:r>
    </w:p>
    <w:p>
      <w:pPr>
        <w:spacing w:after="20" w:line="223" w:lineRule="auto"/>
        <w:jc w:val="right"/>
        <w:bidi/>
      </w:pPr>
      <w:r>
        <w:rPr>
          <w:rFonts w:ascii="Arial" w:hAnsi="Arial"/>
          <w:sz w:val="16"/>
        </w:rPr>
        <w:t>542.19  سوگند غیرنظامی من، (نام خود را ذکر کنید)، /// رسما سوگند یاد می‌کنم (یا تأیید می‌کنم) که از قانون اساسی ایالات متحده حمایت و دفاع می‌کنم /// در برابر همه دشمنان داخلی و خارجی، /// که ایمان واقعی و وفاداری به همان، /// بدون هیچ گونه قید و شرط ذهنی، بدون هیچ گونه تعهدی، //////// /// و اینکه به خوبی و امانتدارانه انجام وظایف خواهم داد</w:t>
      </w:r>
    </w:p>
    <w:p>
      <w:pPr>
        <w:spacing w:after="28" w:line="216" w:lineRule="auto"/>
        <w:ind w:left="259"/>
        <w:jc w:val="left"/>
      </w:pPr>
      <w:r>
        <w:rPr>
          <w:rFonts w:ascii="Arial" w:hAnsi="Arial"/>
          <w:color w:val="525252"/>
          <w:sz w:val="13"/>
        </w:rPr>
        <w:t>Civilian Oath I, (state your name), /// do solemnly swear (or affirm) that I will support and defend /// the constitution of the United States /// against all enemies, foreign and domestic, /// that I will bear true faith and allegiance to the same, /// that I take this obligation freely, /// without any mental reservation or purpose of evasion, /// and that I will well and faithfully discharge /// the duties of</w:t>
      </w:r>
    </w:p>
    <w:p>
      <w:r>
        <w:br w:type="page"/>
      </w:r>
    </w:p>
    <w:p>
      <w:pPr>
        <w:spacing w:after="60"/>
        <w:jc w:val="right"/>
        <w:bidi/>
      </w:pPr>
      <w:r>
        <w:rPr>
          <w:rFonts w:ascii="Arial" w:hAnsi="Arial"/>
          <w:b/>
          <w:color w:val="1F4D78"/>
          <w:sz w:val="19"/>
        </w:rPr>
        <w:t>هفتهٔ 543  |  صفحهٔ منبع: 559</w:t>
      </w:r>
    </w:p>
    <w:p>
      <w:pPr>
        <w:spacing w:after="20" w:line="223" w:lineRule="auto"/>
        <w:jc w:val="right"/>
        <w:bidi/>
      </w:pPr>
      <w:r>
        <w:rPr>
          <w:rFonts w:ascii="Arial" w:hAnsi="Arial"/>
          <w:sz w:val="16"/>
        </w:rPr>
        <w:t>543.01  دفتری که میخواهم وارد آن شوم، /// پس خدایا کمکم کن.</w:t>
      </w:r>
    </w:p>
    <w:p>
      <w:pPr>
        <w:spacing w:after="28" w:line="216" w:lineRule="auto"/>
        <w:ind w:left="259"/>
        <w:jc w:val="left"/>
      </w:pPr>
      <w:r>
        <w:rPr>
          <w:rFonts w:ascii="Arial" w:hAnsi="Arial"/>
          <w:color w:val="525252"/>
          <w:sz w:val="13"/>
        </w:rPr>
        <w:t>the office upon which I am about to enter, /// so help me God.</w:t>
      </w:r>
    </w:p>
    <w:p>
      <w:pPr>
        <w:spacing w:before="60" w:after="28"/>
        <w:jc w:val="right"/>
        <w:bidi/>
      </w:pPr>
      <w:r>
        <w:rPr>
          <w:b/>
          <w:color w:val="1F4D78"/>
          <w:sz w:val="18"/>
        </w:rPr>
        <w:t>24.25. مراسم بازنشستگی</w:t>
      </w:r>
    </w:p>
    <w:p>
      <w:pPr>
        <w:spacing w:after="20"/>
        <w:ind w:left="259"/>
        <w:jc w:val="left"/>
      </w:pPr>
      <w:r>
        <w:rPr>
          <w:color w:val="555555"/>
          <w:sz w:val="12"/>
        </w:rPr>
        <w:t>24.25. Retirement Ceremony</w:t>
      </w:r>
    </w:p>
    <w:p>
      <w:pPr>
        <w:spacing w:after="20" w:line="223" w:lineRule="auto"/>
        <w:jc w:val="right"/>
        <w:bidi/>
      </w:pPr>
      <w:r>
        <w:rPr>
          <w:rFonts w:ascii="Arial" w:hAnsi="Arial"/>
          <w:sz w:val="16"/>
        </w:rPr>
        <w:t>543.03  قدردانی پس از بازنشستگی یک سنت دیرینه خدمت نظامی با ابراز قدردانی ملموس برای مشارکت در مأموریت USAF و با اطمینان از ادامه خدمت به‌عنوان بخشی از خانواده USAF در دوران بازنشستگی است.</w:t>
      </w:r>
    </w:p>
    <w:p>
      <w:pPr>
        <w:spacing w:after="28" w:line="216" w:lineRule="auto"/>
        <w:ind w:left="259"/>
        <w:jc w:val="left"/>
      </w:pPr>
      <w:r>
        <w:rPr>
          <w:rFonts w:ascii="Arial" w:hAnsi="Arial"/>
          <w:color w:val="525252"/>
          <w:sz w:val="13"/>
        </w:rPr>
        <w:t>Recognition upon retirement is a longstanding tradition of military service with a tangible expression of appreciation for contributions to the USAF mission, and with the assurance of continuation as a part of the USAF family in retirement.</w:t>
      </w:r>
    </w:p>
    <w:p>
      <w:pPr>
        <w:spacing w:after="20" w:line="223" w:lineRule="auto"/>
        <w:jc w:val="right"/>
        <w:bidi/>
      </w:pPr>
      <w:r>
        <w:rPr>
          <w:rFonts w:ascii="Arial" w:hAnsi="Arial"/>
          <w:sz w:val="16"/>
        </w:rPr>
        <w:t>543.04  فرماندهان مسئول اطمینان از برگزاری مراسم بازنشستگی اعضا برای شناسایی مشارکت‌هایشان هستند.</w:t>
      </w:r>
    </w:p>
    <w:p>
      <w:pPr>
        <w:spacing w:after="28" w:line="216" w:lineRule="auto"/>
        <w:ind w:left="259"/>
        <w:jc w:val="left"/>
      </w:pPr>
      <w:r>
        <w:rPr>
          <w:rFonts w:ascii="Arial" w:hAnsi="Arial"/>
          <w:color w:val="525252"/>
          <w:sz w:val="13"/>
        </w:rPr>
        <w:t>Commanders are responsible for ensuring members have a retirement ceremony to recognize their contributions.</w:t>
      </w:r>
    </w:p>
    <w:p>
      <w:pPr>
        <w:spacing w:after="20" w:line="223" w:lineRule="auto"/>
        <w:jc w:val="right"/>
        <w:bidi/>
      </w:pPr>
      <w:r>
        <w:rPr>
          <w:rFonts w:ascii="Arial" w:hAnsi="Arial"/>
          <w:sz w:val="16"/>
        </w:rPr>
        <w:t>543.05  آن‌ها باید به عضو بازنشسته مراسم رسمی مطابق با آداب و رسوم و سنت‌های خدمات ارائه دهند، مگر اینکه عضو دیگر ترجیح دهد.</w:t>
      </w:r>
    </w:p>
    <w:p>
      <w:pPr>
        <w:spacing w:after="28" w:line="216" w:lineRule="auto"/>
        <w:ind w:left="259"/>
        <w:jc w:val="left"/>
      </w:pPr>
      <w:r>
        <w:rPr>
          <w:rFonts w:ascii="Arial" w:hAnsi="Arial"/>
          <w:color w:val="525252"/>
          <w:sz w:val="13"/>
        </w:rPr>
        <w:t>They must offer the retiring member the courtesy of a formal ceremony in keeping with the customs and traditions of the service unless the member prefers otherwise.</w:t>
      </w:r>
    </w:p>
    <w:p>
      <w:pPr>
        <w:spacing w:after="20" w:line="223" w:lineRule="auto"/>
        <w:jc w:val="right"/>
        <w:bidi/>
      </w:pPr>
      <w:r>
        <w:rPr>
          <w:rFonts w:ascii="Arial" w:hAnsi="Arial"/>
          <w:sz w:val="16"/>
        </w:rPr>
        <w:t>543.06  اعضای خانواده و دوستان باید برای حضور در مراسم دعوت و تشویق شوند.</w:t>
      </w:r>
    </w:p>
    <w:p>
      <w:pPr>
        <w:spacing w:after="28" w:line="216" w:lineRule="auto"/>
        <w:ind w:left="259"/>
        <w:jc w:val="left"/>
      </w:pPr>
      <w:r>
        <w:rPr>
          <w:rFonts w:ascii="Arial" w:hAnsi="Arial"/>
          <w:color w:val="525252"/>
          <w:sz w:val="13"/>
        </w:rPr>
        <w:t>Family members and friends should be invited and encouraged to attend the ceremony.</w:t>
      </w:r>
    </w:p>
    <w:p>
      <w:pPr>
        <w:spacing w:after="20" w:line="223" w:lineRule="auto"/>
        <w:jc w:val="right"/>
        <w:bidi/>
      </w:pPr>
      <w:r>
        <w:rPr>
          <w:rFonts w:ascii="Arial" w:hAnsi="Arial"/>
          <w:sz w:val="16"/>
        </w:rPr>
        <w:t>543.07  در طول مراسم بازنشستگی، عضو گواهی بازنشستگی، پرچم ایالات متحده، دکمه یقه بازنشسته USAF، گواهینامه‌ها و تقدیرنامه‌های مختلف و همچنین جوایز، نشان‌ها و افتخارات مناسب را دریافت می‌کند.</w:t>
      </w:r>
    </w:p>
    <w:p>
      <w:pPr>
        <w:spacing w:after="28" w:line="216" w:lineRule="auto"/>
        <w:ind w:left="259"/>
        <w:jc w:val="left"/>
      </w:pPr>
      <w:r>
        <w:rPr>
          <w:rFonts w:ascii="Arial" w:hAnsi="Arial"/>
          <w:color w:val="525252"/>
          <w:sz w:val="13"/>
        </w:rPr>
        <w:t>During the retirement ceremony, the member receives a certificate of retirement, a United States flag, the USAF retired lapel button, various certificates, and letters of appreciation, as well as appropriate awards, decorations, and honors.</w:t>
      </w:r>
    </w:p>
    <w:p>
      <w:pPr>
        <w:spacing w:after="20" w:line="223" w:lineRule="auto"/>
        <w:jc w:val="right"/>
        <w:bidi/>
      </w:pPr>
      <w:r>
        <w:rPr>
          <w:rFonts w:ascii="Arial" w:hAnsi="Arial"/>
          <w:sz w:val="16"/>
        </w:rPr>
        <w:t>543.08  همسران نیز در مراسم بازنشستگی اعضا از تقدیر ویژه برخوردار می‌شوند.</w:t>
      </w:r>
    </w:p>
    <w:p>
      <w:pPr>
        <w:spacing w:after="28" w:line="216" w:lineRule="auto"/>
        <w:ind w:left="259"/>
        <w:jc w:val="left"/>
      </w:pPr>
      <w:r>
        <w:rPr>
          <w:rFonts w:ascii="Arial" w:hAnsi="Arial"/>
          <w:color w:val="525252"/>
          <w:sz w:val="13"/>
        </w:rPr>
        <w:t>Spouses also receive special recognition at a member’s retirement ceremony.</w:t>
      </w:r>
    </w:p>
    <w:p>
      <w:pPr>
        <w:spacing w:after="20" w:line="223" w:lineRule="auto"/>
        <w:jc w:val="right"/>
        <w:bidi/>
      </w:pPr>
      <w:r>
        <w:rPr>
          <w:rFonts w:ascii="Arial" w:hAnsi="Arial"/>
          <w:sz w:val="16"/>
        </w:rPr>
        <w:t>543.09  مراسم بازنشستگی اغلب سنت‌های رسمی و دیرینه USAF را با تمایل اعضا به شخصی‌سازی مراسم برای خانواده و مهمانان دعوت شده ترکیب می‌کند.</w:t>
      </w:r>
    </w:p>
    <w:p>
      <w:pPr>
        <w:spacing w:after="28" w:line="216" w:lineRule="auto"/>
        <w:ind w:left="259"/>
        <w:jc w:val="left"/>
      </w:pPr>
      <w:r>
        <w:rPr>
          <w:rFonts w:ascii="Arial" w:hAnsi="Arial"/>
          <w:color w:val="525252"/>
          <w:sz w:val="13"/>
        </w:rPr>
        <w:t>Retirement ceremonies often combine official, long standing USAF traditions with a member’s desire to personalize the ceremony for family and invited guests.</w:t>
      </w:r>
    </w:p>
    <w:p>
      <w:pPr>
        <w:spacing w:after="20" w:line="223" w:lineRule="auto"/>
        <w:jc w:val="right"/>
        <w:bidi/>
      </w:pPr>
      <w:r>
        <w:rPr>
          <w:rFonts w:ascii="Arial" w:hAnsi="Arial"/>
          <w:sz w:val="16"/>
        </w:rPr>
        <w:t>543.10  هرکسی که درگیر برنامه‌ریزی برای بازنشستگی است باید برای جزئیات کامل با DAFI ۳۶-۳۲۰۳ مشورت کند.</w:t>
      </w:r>
    </w:p>
    <w:p>
      <w:pPr>
        <w:spacing w:after="28" w:line="216" w:lineRule="auto"/>
        <w:ind w:left="259"/>
        <w:jc w:val="left"/>
      </w:pPr>
      <w:r>
        <w:rPr>
          <w:rFonts w:ascii="Arial" w:hAnsi="Arial"/>
          <w:color w:val="525252"/>
          <w:sz w:val="13"/>
        </w:rPr>
        <w:t>Anyone involved in planning a retirement should consult DAFI 36-3203 for complete details.</w:t>
      </w:r>
    </w:p>
    <w:p>
      <w:pPr>
        <w:spacing w:before="60" w:after="28"/>
        <w:jc w:val="right"/>
        <w:bidi/>
      </w:pPr>
      <w:r>
        <w:rPr>
          <w:b/>
          <w:color w:val="1F4D78"/>
          <w:sz w:val="18"/>
        </w:rPr>
        <w:t>24.26. مراسم رونمایی</w:t>
      </w:r>
    </w:p>
    <w:p>
      <w:pPr>
        <w:spacing w:after="20"/>
        <w:ind w:left="259"/>
        <w:jc w:val="left"/>
      </w:pPr>
      <w:r>
        <w:rPr>
          <w:color w:val="555555"/>
          <w:sz w:val="12"/>
        </w:rPr>
        <w:t>24.26. Reveille Ceremony</w:t>
      </w:r>
    </w:p>
    <w:p>
      <w:pPr>
        <w:spacing w:after="20" w:line="223" w:lineRule="auto"/>
        <w:jc w:val="right"/>
        <w:bidi/>
      </w:pPr>
      <w:r>
        <w:rPr>
          <w:rFonts w:ascii="Arial" w:hAnsi="Arial"/>
          <w:sz w:val="16"/>
        </w:rPr>
        <w:t>543.12  سیگنال شروع روز وظیفه رسمی، نواختن ریول است.</w:t>
      </w:r>
    </w:p>
    <w:p>
      <w:pPr>
        <w:spacing w:after="28" w:line="216" w:lineRule="auto"/>
        <w:ind w:left="259"/>
        <w:jc w:val="left"/>
      </w:pPr>
      <w:r>
        <w:rPr>
          <w:rFonts w:ascii="Arial" w:hAnsi="Arial"/>
          <w:color w:val="525252"/>
          <w:sz w:val="13"/>
        </w:rPr>
        <w:t>The signal for the start of the official duty day is the playing of reveille.</w:t>
      </w:r>
    </w:p>
    <w:p>
      <w:pPr>
        <w:spacing w:after="20" w:line="223" w:lineRule="auto"/>
        <w:jc w:val="right"/>
        <w:bidi/>
      </w:pPr>
      <w:r>
        <w:rPr>
          <w:rFonts w:ascii="Arial" w:hAnsi="Arial"/>
          <w:sz w:val="16"/>
        </w:rPr>
        <w:t>543.13  از آنجایی که زمان شروع روز وظیفه در مکان‌های مختلف متفاوت است، فرمانده زمان مشخص شده را برای بازرسی تعیین می‌کند.</w:t>
      </w:r>
    </w:p>
    <w:p>
      <w:pPr>
        <w:spacing w:after="28" w:line="216" w:lineRule="auto"/>
        <w:ind w:left="259"/>
        <w:jc w:val="left"/>
      </w:pPr>
      <w:r>
        <w:rPr>
          <w:rFonts w:ascii="Arial" w:hAnsi="Arial"/>
          <w:color w:val="525252"/>
          <w:sz w:val="13"/>
        </w:rPr>
        <w:t>Because the time for the start of the duty day varies among different locations, the commander designates the specified time for reveille.</w:t>
      </w:r>
    </w:p>
    <w:p>
      <w:pPr>
        <w:spacing w:after="20" w:line="223" w:lineRule="auto"/>
        <w:jc w:val="right"/>
        <w:bidi/>
      </w:pPr>
      <w:r>
        <w:rPr>
          <w:rFonts w:ascii="Arial" w:hAnsi="Arial"/>
          <w:sz w:val="16"/>
        </w:rPr>
        <w:t>543.14  در صورت تمایل فرمانده، مراسم رونمایی ممکن است همراه با برافراشتن پرچم باشد.</w:t>
      </w:r>
    </w:p>
    <w:p>
      <w:pPr>
        <w:spacing w:after="28" w:line="216" w:lineRule="auto"/>
        <w:ind w:left="259"/>
        <w:jc w:val="left"/>
      </w:pPr>
      <w:r>
        <w:rPr>
          <w:rFonts w:ascii="Arial" w:hAnsi="Arial"/>
          <w:color w:val="525252"/>
          <w:sz w:val="13"/>
        </w:rPr>
        <w:t>If the commander desires, a reveille ceremony may accompany the raising of the flag.</w:t>
      </w:r>
    </w:p>
    <w:p>
      <w:pPr>
        <w:spacing w:after="20" w:line="223" w:lineRule="auto"/>
        <w:jc w:val="right"/>
        <w:bidi/>
      </w:pPr>
      <w:r>
        <w:rPr>
          <w:rFonts w:ascii="Arial" w:hAnsi="Arial"/>
          <w:sz w:val="16"/>
        </w:rPr>
        <w:t>543.15  این مراسم پس از طلوع خورشید در نزدیکی پرچم پایگاه برگزار می‌شود.</w:t>
      </w:r>
    </w:p>
    <w:p>
      <w:pPr>
        <w:spacing w:after="28" w:line="216" w:lineRule="auto"/>
        <w:ind w:left="259"/>
        <w:jc w:val="left"/>
      </w:pPr>
      <w:r>
        <w:rPr>
          <w:rFonts w:ascii="Arial" w:hAnsi="Arial"/>
          <w:color w:val="525252"/>
          <w:sz w:val="13"/>
        </w:rPr>
        <w:t>This ceremony takes place after sunrise near the base flagstaff.</w:t>
      </w:r>
    </w:p>
    <w:p>
      <w:pPr>
        <w:spacing w:after="20" w:line="223" w:lineRule="auto"/>
        <w:jc w:val="right"/>
        <w:bidi/>
      </w:pPr>
      <w:r>
        <w:rPr>
          <w:rFonts w:ascii="Arial" w:hAnsi="Arial"/>
          <w:sz w:val="16"/>
        </w:rPr>
        <w:t>543.16  اندکی قبل از زمان مشخص شده، هوانوردان به سمت یک موقعیت از پیش تعیین شده در نزدیکی پرچم پایه حرکت می‌کنند، می‌ایستند، رو به روی چوب پرچم می‌پوشند و لباس می‌پوشند.</w:t>
      </w:r>
    </w:p>
    <w:p>
      <w:pPr>
        <w:spacing w:after="28" w:line="216" w:lineRule="auto"/>
        <w:ind w:left="259"/>
        <w:jc w:val="left"/>
      </w:pPr>
      <w:r>
        <w:rPr>
          <w:rFonts w:ascii="Arial" w:hAnsi="Arial"/>
          <w:color w:val="525252"/>
          <w:sz w:val="13"/>
        </w:rPr>
        <w:t>Shortly before the specified time, Airmen march to a pre-designated position near the base flagstaff, halt, face toward the flagstaff, and dress.</w:t>
      </w:r>
    </w:p>
    <w:p>
      <w:pPr>
        <w:spacing w:after="20" w:line="223" w:lineRule="auto"/>
        <w:jc w:val="right"/>
        <w:bidi/>
      </w:pPr>
      <w:r>
        <w:rPr>
          <w:rFonts w:ascii="Arial" w:hAnsi="Arial"/>
          <w:sz w:val="16"/>
        </w:rPr>
        <w:t>543.17  جزئیات امنیتی پرچم در این زمان به پرچم می‌رسد و همچنان مورد توجه قرار می‌گیرد.</w:t>
      </w:r>
    </w:p>
    <w:p>
      <w:pPr>
        <w:spacing w:after="28" w:line="216" w:lineRule="auto"/>
        <w:ind w:left="259"/>
        <w:jc w:val="left"/>
      </w:pPr>
      <w:r>
        <w:rPr>
          <w:rFonts w:ascii="Arial" w:hAnsi="Arial"/>
          <w:color w:val="525252"/>
          <w:sz w:val="13"/>
        </w:rPr>
        <w:t>The flag security detail arrives at the flagstaff at this time and remains at attention.</w:t>
      </w:r>
    </w:p>
    <w:p>
      <w:pPr>
        <w:spacing w:after="20" w:line="223" w:lineRule="auto"/>
        <w:jc w:val="right"/>
        <w:bidi/>
      </w:pPr>
      <w:r>
        <w:rPr>
          <w:rFonts w:ascii="Arial" w:hAnsi="Arial"/>
          <w:sz w:val="16"/>
        </w:rPr>
        <w:t>543.18  یک مراسم رونمایی معمولی شامل دستورات و رویه‌های زیر می‌شود: فرمانده واحد (یا شرکت‌کننده ارشد) دستور "پاراد، REST" را می‌دهد. در زمان مشخص شده، فرمانده واحد فرمان "SOUND REVEILLE" را صادر می‌کند. جزئیات پرچم موقعیت توجه را به خود می‌گیرد، به سمت چوب پرچم حرکت می‌کند و پرچم را به هالیارد متصل می‌کند.</w:t>
      </w:r>
    </w:p>
    <w:p>
      <w:pPr>
        <w:spacing w:after="28" w:line="216" w:lineRule="auto"/>
        <w:ind w:left="259"/>
        <w:jc w:val="left"/>
      </w:pPr>
      <w:r>
        <w:rPr>
          <w:rFonts w:ascii="Arial" w:hAnsi="Arial"/>
          <w:color w:val="525252"/>
          <w:sz w:val="13"/>
        </w:rPr>
        <w:t>A typical reveille ceremony will involve the following commands and procedures: The unit commander (or senior participant) commands “Parade, REST.” At the specified time, the unit commander commands “SOUND REVEILLE.” The flag detail assumes the position of attention, moves to the flagstaff, and attaches the flag to the halyards.</w:t>
      </w:r>
    </w:p>
    <w:p>
      <w:pPr>
        <w:spacing w:after="20" w:line="223" w:lineRule="auto"/>
        <w:jc w:val="right"/>
        <w:bidi/>
      </w:pPr>
      <w:r>
        <w:rPr>
          <w:rFonts w:ascii="Arial" w:hAnsi="Arial"/>
          <w:sz w:val="16"/>
        </w:rPr>
        <w:t>543.19  پس از پخش شدن بازی، فرمانده واحد فرمان "سقوادرون، توجه" و "پرسنت، ARMS" را صادر می‌کند و سپس رو به پرچم پرچم می‌رود و سلاح‌های حاضر را اجرا می‌کند.</w:t>
      </w:r>
    </w:p>
    <w:p>
      <w:pPr>
        <w:spacing w:after="28" w:line="216" w:lineRule="auto"/>
        <w:ind w:left="259"/>
        <w:jc w:val="left"/>
      </w:pPr>
      <w:r>
        <w:rPr>
          <w:rFonts w:ascii="Arial" w:hAnsi="Arial"/>
          <w:color w:val="525252"/>
          <w:sz w:val="13"/>
        </w:rPr>
        <w:t>After reveille is played, the unit commander commands “Squadron, ATTENTION” and “Present, ARMS” and then faces the flagstaff and executes present arms.</w:t>
      </w:r>
    </w:p>
    <w:p>
      <w:pPr>
        <w:spacing w:after="20" w:line="223" w:lineRule="auto"/>
        <w:jc w:val="right"/>
        <w:bidi/>
      </w:pPr>
      <w:r>
        <w:rPr>
          <w:rFonts w:ascii="Arial" w:hAnsi="Arial"/>
          <w:sz w:val="16"/>
        </w:rPr>
        <w:t>543.20  در این سیگنال، سرود ملی یا تو ت کولورس به ​​صدا در می‌آید.</w:t>
      </w:r>
    </w:p>
    <w:p>
      <w:pPr>
        <w:spacing w:after="28" w:line="216" w:lineRule="auto"/>
        <w:ind w:left="259"/>
        <w:jc w:val="left"/>
      </w:pPr>
      <w:r>
        <w:rPr>
          <w:rFonts w:ascii="Arial" w:hAnsi="Arial"/>
          <w:color w:val="525252"/>
          <w:sz w:val="13"/>
        </w:rPr>
        <w:t>On this signal, the national anthem or To the Colors is sounded.</w:t>
      </w:r>
    </w:p>
    <w:p>
      <w:pPr>
        <w:spacing w:after="20" w:line="223" w:lineRule="auto"/>
        <w:jc w:val="right"/>
        <w:bidi/>
      </w:pPr>
      <w:r>
        <w:rPr>
          <w:rFonts w:ascii="Arial" w:hAnsi="Arial"/>
          <w:sz w:val="16"/>
        </w:rPr>
        <w:t>543.21  در اولین نت سرود ملی یا تو ت کولورس، جزئیات امنیتی پرچم شروع به بالا بردن سریع پرچم می‌کند.</w:t>
      </w:r>
    </w:p>
    <w:p>
      <w:pPr>
        <w:spacing w:after="28" w:line="216" w:lineRule="auto"/>
        <w:ind w:left="259"/>
        <w:jc w:val="left"/>
      </w:pPr>
      <w:r>
        <w:rPr>
          <w:rFonts w:ascii="Arial" w:hAnsi="Arial"/>
          <w:color w:val="525252"/>
          <w:sz w:val="13"/>
        </w:rPr>
        <w:t>On the first note of the national anthem or To the Colors, the flag security detail begins to raise the flag briskly.</w:t>
      </w:r>
    </w:p>
    <w:p>
      <w:pPr>
        <w:spacing w:after="20" w:line="223" w:lineRule="auto"/>
        <w:jc w:val="right"/>
        <w:bidi/>
      </w:pPr>
      <w:r>
        <w:rPr>
          <w:rFonts w:ascii="Arial" w:hAnsi="Arial"/>
          <w:sz w:val="16"/>
        </w:rPr>
        <w:t>543.22  عضو ارشد دیتیل پرچم را نگه می‌دارد تا از تماس با زمین جلوگیری کند.</w:t>
      </w:r>
    </w:p>
    <w:p>
      <w:pPr>
        <w:spacing w:after="28" w:line="216" w:lineRule="auto"/>
        <w:ind w:left="259"/>
        <w:jc w:val="left"/>
      </w:pPr>
      <w:r>
        <w:rPr>
          <w:rFonts w:ascii="Arial" w:hAnsi="Arial"/>
          <w:color w:val="525252"/>
          <w:sz w:val="13"/>
        </w:rPr>
        <w:t>The senior member of the detail holds the flag to keep it from touching the ground.</w:t>
      </w:r>
    </w:p>
    <w:p>
      <w:pPr>
        <w:spacing w:after="20" w:line="223" w:lineRule="auto"/>
        <w:jc w:val="right"/>
        <w:bidi/>
      </w:pPr>
      <w:r>
        <w:rPr>
          <w:rFonts w:ascii="Arial" w:hAnsi="Arial"/>
          <w:sz w:val="16"/>
        </w:rPr>
        <w:t>543.23  فرمانده یگان سلام را نگه می‌دارد تا آخرین نت سرود ملی یا تو ت کولورس نواخته شود، سپس دستور بازوها، چهره‌ها را اجرا می‌کند و دستور "وردر، ARMS" را می‌دهد. سپس هوانوردان اخراج می‌شوند یا به منطقه اخراج می‌روند.</w:t>
      </w:r>
    </w:p>
    <w:p>
      <w:pPr>
        <w:spacing w:after="28" w:line="216" w:lineRule="auto"/>
        <w:ind w:left="259"/>
        <w:jc w:val="left"/>
      </w:pPr>
      <w:r>
        <w:rPr>
          <w:rFonts w:ascii="Arial" w:hAnsi="Arial"/>
          <w:color w:val="525252"/>
          <w:sz w:val="13"/>
        </w:rPr>
        <w:t>The unit commander holds the salute until the last note of the national anthem or To the Colors is played, then executes order arms, faces about, and commands “Order, ARMS.” The Airmen are then dismissed or marched to the dismissal area.</w:t>
      </w:r>
    </w:p>
    <w:p>
      <w:pPr>
        <w:spacing w:after="20" w:line="223" w:lineRule="auto"/>
        <w:jc w:val="right"/>
        <w:bidi/>
      </w:pPr>
      <w:r>
        <w:rPr>
          <w:rFonts w:ascii="Arial" w:hAnsi="Arial"/>
          <w:sz w:val="16"/>
        </w:rPr>
        <w:t>543.24  برافراشتن پرچم.</w:t>
      </w:r>
    </w:p>
    <w:p>
      <w:pPr>
        <w:spacing w:after="28" w:line="216" w:lineRule="auto"/>
        <w:ind w:left="259"/>
        <w:jc w:val="left"/>
      </w:pPr>
      <w:r>
        <w:rPr>
          <w:rFonts w:ascii="Arial" w:hAnsi="Arial"/>
          <w:color w:val="525252"/>
          <w:sz w:val="13"/>
        </w:rPr>
        <w:t>Raising the Flag.</w:t>
      </w:r>
    </w:p>
    <w:p>
      <w:pPr>
        <w:spacing w:after="20" w:line="223" w:lineRule="auto"/>
        <w:jc w:val="right"/>
        <w:bidi/>
      </w:pPr>
      <w:r>
        <w:rPr>
          <w:rFonts w:ascii="Arial" w:hAnsi="Arial"/>
          <w:sz w:val="16"/>
        </w:rPr>
        <w:t>543.25  در صورت عملی، جزئیاتی متشکل از یک عضو ارشد و دو عضو خردسال پرچم را برافراشته می‌کنند.</w:t>
      </w:r>
    </w:p>
    <w:p>
      <w:pPr>
        <w:spacing w:after="28" w:line="216" w:lineRule="auto"/>
        <w:ind w:left="259"/>
        <w:jc w:val="left"/>
      </w:pPr>
      <w:r>
        <w:rPr>
          <w:rFonts w:ascii="Arial" w:hAnsi="Arial"/>
          <w:color w:val="525252"/>
          <w:sz w:val="13"/>
        </w:rPr>
        <w:t>When practical, a detail consisting of one senior member and two junior members hoists the flag.</w:t>
      </w:r>
    </w:p>
    <w:p>
      <w:pPr>
        <w:spacing w:after="20" w:line="223" w:lineRule="auto"/>
        <w:jc w:val="right"/>
        <w:bidi/>
      </w:pPr>
      <w:r>
        <w:rPr>
          <w:rFonts w:ascii="Arial" w:hAnsi="Arial"/>
          <w:sz w:val="16"/>
        </w:rPr>
        <w:t>543.26  جزئیات مطابق با عضو ارشد حامل پرچم در مرکز شکل می‌گیرد.</w:t>
      </w:r>
    </w:p>
    <w:p>
      <w:pPr>
        <w:spacing w:after="28" w:line="216" w:lineRule="auto"/>
        <w:ind w:left="259"/>
        <w:jc w:val="left"/>
      </w:pPr>
      <w:r>
        <w:rPr>
          <w:rFonts w:ascii="Arial" w:hAnsi="Arial"/>
          <w:color w:val="525252"/>
          <w:sz w:val="13"/>
        </w:rPr>
        <w:t>The detail forms in line with the senior member carrying the flag in the center.</w:t>
      </w:r>
    </w:p>
    <w:p>
      <w:pPr>
        <w:spacing w:after="20" w:line="223" w:lineRule="auto"/>
        <w:jc w:val="right"/>
        <w:bidi/>
      </w:pPr>
      <w:r>
        <w:rPr>
          <w:rFonts w:ascii="Arial" w:hAnsi="Arial"/>
          <w:sz w:val="16"/>
        </w:rPr>
        <w:t>543.27  سپس جزئیات به سمت چوب پرچم می‌رود، متوقف می‌شود و پرچم را به هالیاردها متصل می‌کند.</w:t>
      </w:r>
    </w:p>
    <w:p>
      <w:pPr>
        <w:spacing w:after="28" w:line="216" w:lineRule="auto"/>
        <w:ind w:left="259"/>
        <w:jc w:val="left"/>
      </w:pPr>
      <w:r>
        <w:rPr>
          <w:rFonts w:ascii="Arial" w:hAnsi="Arial"/>
          <w:color w:val="525252"/>
          <w:sz w:val="13"/>
        </w:rPr>
        <w:t>The detail then marches to the flagstaff, halts, and attaches the flag to the halyards.</w:t>
      </w:r>
    </w:p>
    <w:p>
      <w:pPr>
        <w:spacing w:after="20" w:line="223" w:lineRule="auto"/>
        <w:jc w:val="right"/>
        <w:bidi/>
      </w:pPr>
      <w:r>
        <w:rPr>
          <w:rFonts w:ascii="Arial" w:hAnsi="Arial"/>
          <w:sz w:val="16"/>
        </w:rPr>
        <w:t>543.28  دو عضو جوان در هالیاردها حضور پیدا می‌کنند و رو به روی کارکنان قرار می‌گیرند تا پرچم را بدون درهم‌تنیدگی هالیارد به اهتزاز درآورند.</w:t>
      </w:r>
    </w:p>
    <w:p>
      <w:pPr>
        <w:spacing w:after="28" w:line="216" w:lineRule="auto"/>
        <w:ind w:left="259"/>
        <w:jc w:val="left"/>
      </w:pPr>
      <w:r>
        <w:rPr>
          <w:rFonts w:ascii="Arial" w:hAnsi="Arial"/>
          <w:color w:val="525252"/>
          <w:sz w:val="13"/>
        </w:rPr>
        <w:t>The two junior members attend the halyards, taking a position facing the staff to hoist the flag without entangling the halyards.</w:t>
      </w:r>
    </w:p>
    <w:p>
      <w:pPr>
        <w:spacing w:after="20" w:line="223" w:lineRule="auto"/>
        <w:jc w:val="right"/>
        <w:bidi/>
      </w:pPr>
      <w:r>
        <w:rPr>
          <w:rFonts w:ascii="Arial" w:hAnsi="Arial"/>
          <w:sz w:val="16"/>
        </w:rPr>
        <w:t>543.29  پرچم همیشه از سمت بادگیر چوب پرچم بالا و پایین می‌رود.</w:t>
      </w:r>
    </w:p>
    <w:p>
      <w:pPr>
        <w:spacing w:after="28" w:line="216" w:lineRule="auto"/>
        <w:ind w:left="259"/>
        <w:jc w:val="left"/>
      </w:pPr>
      <w:r>
        <w:rPr>
          <w:rFonts w:ascii="Arial" w:hAnsi="Arial"/>
          <w:color w:val="525252"/>
          <w:sz w:val="13"/>
        </w:rPr>
        <w:t>The flag is always raised and lowered from the leeward side of the flagstaff.</w:t>
      </w:r>
    </w:p>
    <w:p>
      <w:pPr>
        <w:spacing w:after="20" w:line="223" w:lineRule="auto"/>
        <w:jc w:val="right"/>
        <w:bidi/>
      </w:pPr>
      <w:r>
        <w:rPr>
          <w:rFonts w:ascii="Arial" w:hAnsi="Arial"/>
          <w:sz w:val="16"/>
        </w:rPr>
        <w:t>543.30  عضو ارشد به نگه داشتن پرچم ادامه می‌دهد و مراقب است که هیچ بخشی از پرچم زمین را لمس نکند.</w:t>
      </w:r>
    </w:p>
    <w:p>
      <w:pPr>
        <w:spacing w:after="28" w:line="216" w:lineRule="auto"/>
        <w:ind w:left="259"/>
        <w:jc w:val="left"/>
      </w:pPr>
      <w:r>
        <w:rPr>
          <w:rFonts w:ascii="Arial" w:hAnsi="Arial"/>
          <w:color w:val="525252"/>
          <w:sz w:val="13"/>
        </w:rPr>
        <w:t>The senior member continues to hold the flag, taking particular care that no portion of the flag touches the ground.</w:t>
      </w:r>
    </w:p>
    <w:p>
      <w:pPr>
        <w:spacing w:after="20" w:line="223" w:lineRule="auto"/>
        <w:jc w:val="right"/>
        <w:bidi/>
      </w:pPr>
      <w:r>
        <w:rPr>
          <w:rFonts w:ascii="Arial" w:hAnsi="Arial"/>
          <w:sz w:val="16"/>
        </w:rPr>
        <w:t>543.31  هنگامی که پرچم از دستان عضو ارشد خارج شد، عضو ارشد مورد توجه قرار می‌گیرد و سلاح‌های حاضر را اجرا می‌کند.</w:t>
      </w:r>
    </w:p>
    <w:p>
      <w:pPr>
        <w:spacing w:after="28" w:line="216" w:lineRule="auto"/>
        <w:ind w:left="259"/>
        <w:jc w:val="left"/>
      </w:pPr>
      <w:r>
        <w:rPr>
          <w:rFonts w:ascii="Arial" w:hAnsi="Arial"/>
          <w:color w:val="525252"/>
          <w:sz w:val="13"/>
        </w:rPr>
        <w:t>When the flag is clear of the senior member’s grasp, the senior member comes to attention and executes present arms.</w:t>
      </w:r>
    </w:p>
    <w:p>
      <w:pPr>
        <w:spacing w:after="20" w:line="223" w:lineRule="auto"/>
        <w:jc w:val="right"/>
        <w:bidi/>
      </w:pPr>
      <w:r>
        <w:rPr>
          <w:rFonts w:ascii="Arial" w:hAnsi="Arial"/>
          <w:sz w:val="16"/>
        </w:rPr>
        <w:t>543.32  در آخرین نت سرود ملی، به</w:t>
      </w:r>
    </w:p>
    <w:p>
      <w:pPr>
        <w:spacing w:after="28" w:line="216" w:lineRule="auto"/>
        <w:ind w:left="259"/>
        <w:jc w:val="left"/>
      </w:pPr>
      <w:r>
        <w:rPr>
          <w:rFonts w:ascii="Arial" w:hAnsi="Arial"/>
          <w:color w:val="525252"/>
          <w:sz w:val="13"/>
        </w:rPr>
        <w:t>On the last note of the national anthem, To the</w:t>
      </w:r>
    </w:p>
    <w:p>
      <w:r>
        <w:br w:type="page"/>
      </w:r>
    </w:p>
    <w:p>
      <w:pPr>
        <w:spacing w:after="60"/>
        <w:jc w:val="right"/>
        <w:bidi/>
      </w:pPr>
      <w:r>
        <w:rPr>
          <w:rFonts w:ascii="Arial" w:hAnsi="Arial"/>
          <w:b/>
          <w:color w:val="1F4D78"/>
          <w:sz w:val="19"/>
        </w:rPr>
        <w:t>هفتهٔ 544  |  صفحهٔ منبع: 560</w:t>
      </w:r>
    </w:p>
    <w:p>
      <w:pPr>
        <w:spacing w:after="20" w:line="223" w:lineRule="auto"/>
        <w:jc w:val="right"/>
        <w:bidi/>
      </w:pPr>
      <w:r>
        <w:rPr>
          <w:rFonts w:ascii="Arial" w:hAnsi="Arial"/>
          <w:sz w:val="16"/>
        </w:rPr>
        <w:t>544.01  رنگها، یا پس از برافراشته شدن پرچم بر روی رئیس کارکنان، همه اعضای دیتیل به دستور یکی از اعضای ارشد، بازوهای دستور را اجرا می‌کنند.</w:t>
      </w:r>
    </w:p>
    <w:p>
      <w:pPr>
        <w:spacing w:after="28" w:line="216" w:lineRule="auto"/>
        <w:ind w:left="259"/>
        <w:jc w:val="left"/>
      </w:pPr>
      <w:r>
        <w:rPr>
          <w:rFonts w:ascii="Arial" w:hAnsi="Arial"/>
          <w:color w:val="525252"/>
          <w:sz w:val="13"/>
        </w:rPr>
        <w:t>Colors, or after the flag has been hoisted to the staff head, all members of the detail execute order arms on command of the senior member.</w:t>
      </w:r>
    </w:p>
    <w:p>
      <w:pPr>
        <w:spacing w:after="20" w:line="223" w:lineRule="auto"/>
        <w:jc w:val="right"/>
        <w:bidi/>
      </w:pPr>
      <w:r>
        <w:rPr>
          <w:rFonts w:ascii="Arial" w:hAnsi="Arial"/>
          <w:sz w:val="16"/>
        </w:rPr>
        <w:t>544.02  سپس هالیاردها روی چماق کارکنان محکم می‌شوند یا، در صورت لزوم، قبل از محکم شدن هالیاردها، پرچم به حالت نیمه افراشته در می‌آید.</w:t>
      </w:r>
    </w:p>
    <w:p>
      <w:pPr>
        <w:spacing w:after="28" w:line="216" w:lineRule="auto"/>
        <w:ind w:left="259"/>
        <w:jc w:val="left"/>
      </w:pPr>
      <w:r>
        <w:rPr>
          <w:rFonts w:ascii="Arial" w:hAnsi="Arial"/>
          <w:color w:val="525252"/>
          <w:sz w:val="13"/>
        </w:rPr>
        <w:t>The halyards are then secured to the cleat of the staff or, if appropriate, the flag is lowered to half-staff before the halyards are secured.</w:t>
      </w:r>
    </w:p>
    <w:p>
      <w:pPr>
        <w:spacing w:after="20" w:line="223" w:lineRule="auto"/>
        <w:jc w:val="right"/>
        <w:bidi/>
      </w:pPr>
      <w:r>
        <w:rPr>
          <w:rFonts w:ascii="Arial" w:hAnsi="Arial"/>
          <w:sz w:val="16"/>
        </w:rPr>
        <w:t>544.03  جزئیات دوباره شکل می‌گیرد و سپس به منطقه اخراج راهپیمایی می‌کند.</w:t>
      </w:r>
    </w:p>
    <w:p>
      <w:pPr>
        <w:spacing w:after="28" w:line="216" w:lineRule="auto"/>
        <w:ind w:left="259"/>
        <w:jc w:val="left"/>
      </w:pPr>
      <w:r>
        <w:rPr>
          <w:rFonts w:ascii="Arial" w:hAnsi="Arial"/>
          <w:color w:val="525252"/>
          <w:sz w:val="13"/>
        </w:rPr>
        <w:t>The detail is formed again and then marches to the dismissal area.</w:t>
      </w:r>
    </w:p>
    <w:p>
      <w:pPr>
        <w:spacing w:before="60" w:after="28"/>
        <w:jc w:val="right"/>
        <w:bidi/>
      </w:pPr>
      <w:r>
        <w:rPr>
          <w:b/>
          <w:color w:val="1F4D78"/>
          <w:sz w:val="18"/>
        </w:rPr>
        <w:t>24.27. مراسم عقب نشینی</w:t>
      </w:r>
    </w:p>
    <w:p>
      <w:pPr>
        <w:spacing w:after="20"/>
        <w:ind w:left="259"/>
        <w:jc w:val="left"/>
      </w:pPr>
      <w:r>
        <w:rPr>
          <w:color w:val="555555"/>
          <w:sz w:val="12"/>
        </w:rPr>
        <w:t>24.27. Retreat Ceremony</w:t>
      </w:r>
    </w:p>
    <w:p>
      <w:pPr>
        <w:spacing w:after="20" w:line="223" w:lineRule="auto"/>
        <w:jc w:val="right"/>
        <w:bidi/>
      </w:pPr>
      <w:r>
        <w:rPr>
          <w:rFonts w:ascii="Arial" w:hAnsi="Arial"/>
          <w:sz w:val="16"/>
        </w:rPr>
        <w:t>544.05  مراسم عقب نشینی هدفی دوگانه دارد. این نشان دهنده پایان روز وظیفه رسمی است و به‌عنوان مراسمی برای ادای احترام به پرچم ایالات متحده عمل می‌کند.</w:t>
      </w:r>
    </w:p>
    <w:p>
      <w:pPr>
        <w:spacing w:after="28" w:line="216" w:lineRule="auto"/>
        <w:ind w:left="259"/>
        <w:jc w:val="left"/>
      </w:pPr>
      <w:r>
        <w:rPr>
          <w:rFonts w:ascii="Arial" w:hAnsi="Arial"/>
          <w:color w:val="525252"/>
          <w:sz w:val="13"/>
        </w:rPr>
        <w:t>The retreat ceremony serves a twofold purpose; it signals the end of the official duty day, and it serves as a ceremony for paying respect to the United States flag.</w:t>
      </w:r>
    </w:p>
    <w:p>
      <w:pPr>
        <w:spacing w:after="20" w:line="223" w:lineRule="auto"/>
        <w:jc w:val="right"/>
        <w:bidi/>
      </w:pPr>
      <w:r>
        <w:rPr>
          <w:rFonts w:ascii="Arial" w:hAnsi="Arial"/>
          <w:sz w:val="16"/>
        </w:rPr>
        <w:t>544.06  چون زمان پایان روز وظیفه در مکان‌های مختلف متفاوت است، فرمانده زمان برگزاری مراسم عقب‌نشینی را تعیین می‌کند.</w:t>
      </w:r>
    </w:p>
    <w:p>
      <w:pPr>
        <w:spacing w:after="28" w:line="216" w:lineRule="auto"/>
        <w:ind w:left="259"/>
        <w:jc w:val="left"/>
      </w:pPr>
      <w:r>
        <w:rPr>
          <w:rFonts w:ascii="Arial" w:hAnsi="Arial"/>
          <w:color w:val="525252"/>
          <w:sz w:val="13"/>
        </w:rPr>
        <w:t>Because the time for the end of the duty day varies among different locations, the commander designates the time for retreat ceremonies.</w:t>
      </w:r>
    </w:p>
    <w:p>
      <w:pPr>
        <w:spacing w:after="20" w:line="223" w:lineRule="auto"/>
        <w:jc w:val="right"/>
        <w:bidi/>
      </w:pPr>
      <w:r>
        <w:rPr>
          <w:rFonts w:ascii="Arial" w:hAnsi="Arial"/>
          <w:sz w:val="16"/>
        </w:rPr>
        <w:t>544.07  مراسم عقب نشینی ممکن است در منطقه اسکادران، در زمین رژه پایگاه، یا نزدیک تخته پرچم پایگاه انجام شود.</w:t>
      </w:r>
    </w:p>
    <w:p>
      <w:pPr>
        <w:spacing w:after="28" w:line="216" w:lineRule="auto"/>
        <w:ind w:left="259"/>
        <w:jc w:val="left"/>
      </w:pPr>
      <w:r>
        <w:rPr>
          <w:rFonts w:ascii="Arial" w:hAnsi="Arial"/>
          <w:color w:val="525252"/>
          <w:sz w:val="13"/>
        </w:rPr>
        <w:t>The retreat ceremony may take place at the squadron area, on the base parade ground, or near the base flagstaff.</w:t>
      </w:r>
    </w:p>
    <w:p>
      <w:pPr>
        <w:spacing w:after="20" w:line="223" w:lineRule="auto"/>
        <w:jc w:val="right"/>
        <w:bidi/>
      </w:pPr>
      <w:r>
        <w:rPr>
          <w:rFonts w:ascii="Arial" w:hAnsi="Arial"/>
          <w:sz w:val="16"/>
        </w:rPr>
        <w:t>544.08  اگر در محل رژه پایه انجام شود، عقب نشینی ممکن است بخشی از مراسم رژه باشد.</w:t>
      </w:r>
    </w:p>
    <w:p>
      <w:pPr>
        <w:spacing w:after="28" w:line="216" w:lineRule="auto"/>
        <w:ind w:left="259"/>
        <w:jc w:val="left"/>
      </w:pPr>
      <w:r>
        <w:rPr>
          <w:rFonts w:ascii="Arial" w:hAnsi="Arial"/>
          <w:color w:val="525252"/>
          <w:sz w:val="13"/>
        </w:rPr>
        <w:t>If conducted at the base parade ground, retreat may be part of the parade ceremony.</w:t>
      </w:r>
    </w:p>
    <w:p>
      <w:pPr>
        <w:spacing w:after="20" w:line="223" w:lineRule="auto"/>
        <w:jc w:val="right"/>
        <w:bidi/>
      </w:pPr>
      <w:r>
        <w:rPr>
          <w:rFonts w:ascii="Arial" w:hAnsi="Arial"/>
          <w:sz w:val="16"/>
        </w:rPr>
        <w:t>544.09  اندکی قبل از زمان مشخص شده برای عقب نشینی، هوانوردان شرکت کننده در مراسم روبه روی چوب پرچم قرار می‌گیرند و لباس می‌پوشند.</w:t>
      </w:r>
    </w:p>
    <w:p>
      <w:pPr>
        <w:spacing w:after="28" w:line="216" w:lineRule="auto"/>
        <w:ind w:left="259"/>
        <w:jc w:val="left"/>
      </w:pPr>
      <w:r>
        <w:rPr>
          <w:rFonts w:ascii="Arial" w:hAnsi="Arial"/>
          <w:color w:val="525252"/>
          <w:sz w:val="13"/>
        </w:rPr>
        <w:t>Shortly before the specified time for retreat, Airmen participating in the ceremony are positioned facing the flagstaff and dressed.</w:t>
      </w:r>
    </w:p>
    <w:p>
      <w:pPr>
        <w:spacing w:after="20" w:line="223" w:lineRule="auto"/>
        <w:jc w:val="right"/>
        <w:bidi/>
      </w:pPr>
      <w:r>
        <w:rPr>
          <w:rFonts w:ascii="Arial" w:hAnsi="Arial"/>
          <w:sz w:val="16"/>
        </w:rPr>
        <w:t>544.10  اگر یک گروه موسیقی حضور داشته باشد، گروه موسیقی مقدم بر هواداران شرکت کننده در مراسم است.</w:t>
      </w:r>
    </w:p>
    <w:p>
      <w:pPr>
        <w:spacing w:after="28" w:line="216" w:lineRule="auto"/>
        <w:ind w:left="259"/>
        <w:jc w:val="left"/>
      </w:pPr>
      <w:r>
        <w:rPr>
          <w:rFonts w:ascii="Arial" w:hAnsi="Arial"/>
          <w:color w:val="525252"/>
          <w:sz w:val="13"/>
        </w:rPr>
        <w:t>If a band is present, the band precedes the Airmen participating in the ceremony.</w:t>
      </w:r>
    </w:p>
    <w:p>
      <w:pPr>
        <w:spacing w:after="20" w:line="223" w:lineRule="auto"/>
        <w:jc w:val="right"/>
        <w:bidi/>
      </w:pPr>
      <w:r>
        <w:rPr>
          <w:rFonts w:ascii="Arial" w:hAnsi="Arial"/>
          <w:sz w:val="16"/>
        </w:rPr>
        <w:t>544.11  یک مراسم رونمایی معمولی شامل دستورات و رویه‌های زیر می‌شود: اگر گروه موسیقی و هوانوردان به سمت میز پرچم راهپیمایی کنند، یکی از جزئیات امنیتی پرچم نیز به سمت چوب پرچم می‌رود و متوقف می‌شود، و عضو ارشد فرمان "پاراد، REST" را به جزئیات امنیتی می‌دهد.</w:t>
      </w:r>
    </w:p>
    <w:p>
      <w:pPr>
        <w:spacing w:after="28" w:line="216" w:lineRule="auto"/>
        <w:ind w:left="259"/>
        <w:jc w:val="left"/>
      </w:pPr>
      <w:r>
        <w:rPr>
          <w:rFonts w:ascii="Arial" w:hAnsi="Arial"/>
          <w:color w:val="525252"/>
          <w:sz w:val="13"/>
        </w:rPr>
        <w:t>A typical reveille ceremony will involve the following commands and procedures: If the band and Airmen march to the flagstaff, a flag security detail also marches to the flagstaff and halts, and the senior member gives the command “Parade, REST” to the security detail.</w:t>
      </w:r>
    </w:p>
    <w:p>
      <w:pPr>
        <w:spacing w:after="20" w:line="223" w:lineRule="auto"/>
        <w:jc w:val="right"/>
        <w:bidi/>
      </w:pPr>
      <w:r>
        <w:rPr>
          <w:rFonts w:ascii="Arial" w:hAnsi="Arial"/>
          <w:sz w:val="16"/>
        </w:rPr>
        <w:t>544.12  به محض پوشیدن لباس‌های هوایی، فرمانده فرمان «رژه، استراحت» را می‌دهد. سپس فرمانده رو به روی میز پرچم قرار می‌گیرد، استراحت رژه می‌گیرد و منتظر زمان مشخص شده برای عقب نشینی می‌ماند.</w:t>
      </w:r>
    </w:p>
    <w:p>
      <w:pPr>
        <w:spacing w:after="28" w:line="216" w:lineRule="auto"/>
        <w:ind w:left="259"/>
        <w:jc w:val="left"/>
      </w:pPr>
      <w:r>
        <w:rPr>
          <w:rFonts w:ascii="Arial" w:hAnsi="Arial"/>
          <w:color w:val="525252"/>
          <w:sz w:val="13"/>
        </w:rPr>
        <w:t>As soon as the Airmen are dressed, the commander commands “Parade, REST.” The commander then faces the flagstaff, assumes parade rest, and waits for the specified time for retreat.</w:t>
      </w:r>
    </w:p>
    <w:p>
      <w:pPr>
        <w:spacing w:after="20" w:line="223" w:lineRule="auto"/>
        <w:jc w:val="right"/>
        <w:bidi/>
      </w:pPr>
      <w:r>
        <w:rPr>
          <w:rFonts w:ascii="Arial" w:hAnsi="Arial"/>
          <w:sz w:val="16"/>
        </w:rPr>
        <w:t>544.13  در زمان مشخص شده، فرمانده با فرمان به فرمانده گروه دستور می‌دهد تا صدا عقب نشینی کند.</w:t>
      </w:r>
    </w:p>
    <w:p>
      <w:pPr>
        <w:spacing w:after="28" w:line="216" w:lineRule="auto"/>
        <w:ind w:left="259"/>
        <w:jc w:val="left"/>
      </w:pPr>
      <w:r>
        <w:rPr>
          <w:rFonts w:ascii="Arial" w:hAnsi="Arial"/>
          <w:color w:val="525252"/>
          <w:sz w:val="13"/>
        </w:rPr>
        <w:t>At the specified time, the commander orders the bandleader to sound retreat by commanding</w:t>
      </w:r>
    </w:p>
    <w:p>
      <w:pPr>
        <w:spacing w:before="60" w:after="28"/>
        <w:jc w:val="right"/>
        <w:bidi/>
      </w:pPr>
      <w:r>
        <w:rPr>
          <w:b/>
          <w:color w:val="1F4D78"/>
          <w:sz w:val="18"/>
        </w:rPr>
        <w:t>"عقب نشینی صدا."</w:t>
      </w:r>
    </w:p>
    <w:p>
      <w:pPr>
        <w:spacing w:after="20"/>
        <w:ind w:left="259"/>
        <w:jc w:val="left"/>
      </w:pPr>
      <w:r>
        <w:rPr>
          <w:color w:val="555555"/>
          <w:sz w:val="12"/>
        </w:rPr>
        <w:t>“SOUND RETREAT.”</w:t>
      </w:r>
    </w:p>
    <w:p>
      <w:pPr>
        <w:spacing w:after="20" w:line="223" w:lineRule="auto"/>
        <w:jc w:val="right"/>
        <w:bidi/>
      </w:pPr>
      <w:r>
        <w:rPr>
          <w:rFonts w:ascii="Arial" w:hAnsi="Arial"/>
          <w:sz w:val="16"/>
        </w:rPr>
        <w:t>544.15  در حین پخش عقب نشینی (چه توسط یک گروه موسیقی و چه از طریق بلندگو)، اعضای کوچکتر از جزئیات امنیتی پرچم موقعیت توجه را به خود می‌گیرند و به سمت چوب پرچم حرکت می‌کنند تا هالیاردها را برای پایین آوردن درست پرچم ترتیب دهند.</w:t>
      </w:r>
    </w:p>
    <w:p>
      <w:pPr>
        <w:spacing w:after="28" w:line="216" w:lineRule="auto"/>
        <w:ind w:left="259"/>
        <w:jc w:val="left"/>
      </w:pPr>
      <w:r>
        <w:rPr>
          <w:rFonts w:ascii="Arial" w:hAnsi="Arial"/>
          <w:color w:val="525252"/>
          <w:sz w:val="13"/>
        </w:rPr>
        <w:t>During the playing of retreat (either by a band or over a loudspeaker), junior members of the flag security detail assume the position of attention and move to the flagstaff to arrange the halyards for proper lowering of the flag.</w:t>
      </w:r>
    </w:p>
    <w:p>
      <w:pPr>
        <w:spacing w:after="20" w:line="223" w:lineRule="auto"/>
        <w:jc w:val="right"/>
        <w:bidi/>
      </w:pPr>
      <w:r>
        <w:rPr>
          <w:rFonts w:ascii="Arial" w:hAnsi="Arial"/>
          <w:sz w:val="16"/>
        </w:rPr>
        <w:t>544.16  هنگامی که هالیاردها مرتب شدند، اعضای جوان بخش امنیتی پرچم به‌طور هماهنگ استراحت رژه را اجرا می‌کنند.</w:t>
      </w:r>
    </w:p>
    <w:p>
      <w:pPr>
        <w:spacing w:after="28" w:line="216" w:lineRule="auto"/>
        <w:ind w:left="259"/>
        <w:jc w:val="left"/>
      </w:pPr>
      <w:r>
        <w:rPr>
          <w:rFonts w:ascii="Arial" w:hAnsi="Arial"/>
          <w:color w:val="525252"/>
          <w:sz w:val="13"/>
        </w:rPr>
        <w:t>Once the halyards are arranged, the junior members of the flag security detail execute parade rest in unison.</w:t>
      </w:r>
    </w:p>
    <w:p>
      <w:pPr>
        <w:spacing w:after="20" w:line="223" w:lineRule="auto"/>
        <w:jc w:val="right"/>
        <w:bidi/>
      </w:pPr>
      <w:r>
        <w:rPr>
          <w:rFonts w:ascii="Arial" w:hAnsi="Arial"/>
          <w:sz w:val="16"/>
        </w:rPr>
        <w:t>544.17  پس از انجام عقب نشینی، فرمانده روبه‌رو می‌شود و دستور می‌دهد "اسکادران (گروه و غیره)</w:t>
      </w:r>
    </w:p>
    <w:p>
      <w:pPr>
        <w:spacing w:after="28" w:line="216" w:lineRule="auto"/>
        <w:ind w:left="259"/>
        <w:jc w:val="left"/>
      </w:pPr>
      <w:r>
        <w:rPr>
          <w:rFonts w:ascii="Arial" w:hAnsi="Arial"/>
          <w:color w:val="525252"/>
          <w:sz w:val="13"/>
        </w:rPr>
        <w:t>After retreat has played, the commander faces about and commands “Squadron (Group, etc.),</w:t>
      </w:r>
    </w:p>
    <w:p>
      <w:pPr>
        <w:spacing w:before="60" w:after="28"/>
        <w:jc w:val="right"/>
        <w:bidi/>
      </w:pPr>
      <w:r>
        <w:rPr>
          <w:b/>
          <w:color w:val="1F4D78"/>
          <w:sz w:val="18"/>
        </w:rPr>
        <w:t>توجه.”</w:t>
      </w:r>
    </w:p>
    <w:p>
      <w:pPr>
        <w:spacing w:after="20"/>
        <w:ind w:left="259"/>
        <w:jc w:val="left"/>
      </w:pPr>
      <w:r>
        <w:rPr>
          <w:color w:val="555555"/>
          <w:sz w:val="12"/>
        </w:rPr>
        <w:t>ATTENTION.”</w:t>
      </w:r>
    </w:p>
    <w:p>
      <w:pPr>
        <w:spacing w:after="20" w:line="223" w:lineRule="auto"/>
        <w:jc w:val="right"/>
        <w:bidi/>
      </w:pPr>
      <w:r>
        <w:rPr>
          <w:rFonts w:ascii="Arial" w:hAnsi="Arial"/>
          <w:sz w:val="16"/>
        </w:rPr>
        <w:t>544.19  سپس فرمانده دستور "پرسنت، ARMS" را صادر می‌کند. اعضای جزئیات امنیتی پرچم و اعضای تشکیل دهنده سلاح‌های حاضر را به دستور فرمانده اجرا می‌کنند.</w:t>
      </w:r>
    </w:p>
    <w:p>
      <w:pPr>
        <w:spacing w:after="28" w:line="216" w:lineRule="auto"/>
        <w:ind w:left="259"/>
        <w:jc w:val="left"/>
      </w:pPr>
      <w:r>
        <w:rPr>
          <w:rFonts w:ascii="Arial" w:hAnsi="Arial"/>
          <w:color w:val="525252"/>
          <w:sz w:val="13"/>
        </w:rPr>
        <w:t>The commander then commands “Present, ARMS.” The members of the flag security detail and members in formation execute present arms on command of the commander.</w:t>
      </w:r>
    </w:p>
    <w:p>
      <w:pPr>
        <w:spacing w:after="20" w:line="223" w:lineRule="auto"/>
        <w:jc w:val="right"/>
        <w:bidi/>
      </w:pPr>
      <w:r>
        <w:rPr>
          <w:rFonts w:ascii="Arial" w:hAnsi="Arial"/>
          <w:sz w:val="16"/>
        </w:rPr>
        <w:t>544.20  فرمانده رو به جلو است و همچنین اسلحه‌های حاضر را به دست می‌گیرد.</w:t>
      </w:r>
    </w:p>
    <w:p>
      <w:pPr>
        <w:spacing w:after="28" w:line="216" w:lineRule="auto"/>
        <w:ind w:left="259"/>
        <w:jc w:val="left"/>
      </w:pPr>
      <w:r>
        <w:rPr>
          <w:rFonts w:ascii="Arial" w:hAnsi="Arial"/>
          <w:color w:val="525252"/>
          <w:sz w:val="13"/>
        </w:rPr>
        <w:t>The commander faces to the front and also assumes present arms.</w:t>
      </w:r>
    </w:p>
    <w:p>
      <w:pPr>
        <w:spacing w:after="20" w:line="223" w:lineRule="auto"/>
        <w:jc w:val="right"/>
        <w:bidi/>
      </w:pPr>
      <w:r>
        <w:rPr>
          <w:rFonts w:ascii="Arial" w:hAnsi="Arial"/>
          <w:sz w:val="16"/>
        </w:rPr>
        <w:t>544.21  سرود ملی نواخته می‌شود، یا یک حشره‌گیر به رنگ‌ها می‌نوازد.</w:t>
      </w:r>
    </w:p>
    <w:p>
      <w:pPr>
        <w:spacing w:after="28" w:line="216" w:lineRule="auto"/>
        <w:ind w:left="259"/>
        <w:jc w:val="left"/>
      </w:pPr>
      <w:r>
        <w:rPr>
          <w:rFonts w:ascii="Arial" w:hAnsi="Arial"/>
          <w:color w:val="525252"/>
          <w:sz w:val="13"/>
        </w:rPr>
        <w:t>The national anthem is played, or a bugler plays To the Colors.</w:t>
      </w:r>
    </w:p>
    <w:p>
      <w:pPr>
        <w:spacing w:after="20" w:line="223" w:lineRule="auto"/>
        <w:jc w:val="right"/>
        <w:bidi/>
      </w:pPr>
      <w:r>
        <w:rPr>
          <w:rFonts w:ascii="Arial" w:hAnsi="Arial"/>
          <w:sz w:val="16"/>
        </w:rPr>
        <w:t>544.22  اعضای خردسال بخش امنیتی پرچم پرچم را به آرامی و با وقار پایین می‌آورند.</w:t>
      </w:r>
    </w:p>
    <w:p>
      <w:pPr>
        <w:spacing w:after="28" w:line="216" w:lineRule="auto"/>
        <w:ind w:left="259"/>
        <w:jc w:val="left"/>
      </w:pPr>
      <w:r>
        <w:rPr>
          <w:rFonts w:ascii="Arial" w:hAnsi="Arial"/>
          <w:color w:val="525252"/>
          <w:sz w:val="13"/>
        </w:rPr>
        <w:t>The junior members of the flag security detail lower the flag slowly and with dignity.</w:t>
      </w:r>
    </w:p>
    <w:p>
      <w:pPr>
        <w:spacing w:after="20" w:line="223" w:lineRule="auto"/>
        <w:jc w:val="right"/>
        <w:bidi/>
      </w:pPr>
      <w:r>
        <w:rPr>
          <w:rFonts w:ascii="Arial" w:hAnsi="Arial"/>
          <w:sz w:val="16"/>
        </w:rPr>
        <w:t>544.23  زمانی که آخرین نت سرود ملی یا تو ت کولورس نواخته می‌شود و پرچم به‌طور ایمن گرفته می‌شود، فرمانده سلاح‌های دستور را اجرا می‌کند.</w:t>
      </w:r>
    </w:p>
    <w:p>
      <w:pPr>
        <w:spacing w:after="28" w:line="216" w:lineRule="auto"/>
        <w:ind w:left="259"/>
        <w:jc w:val="left"/>
      </w:pPr>
      <w:r>
        <w:rPr>
          <w:rFonts w:ascii="Arial" w:hAnsi="Arial"/>
          <w:color w:val="525252"/>
          <w:sz w:val="13"/>
        </w:rPr>
        <w:t>The commander executes order arms when the last note of the national anthem or To the Colors is played and the flag is securely grasped.</w:t>
      </w:r>
    </w:p>
    <w:p>
      <w:pPr>
        <w:spacing w:after="20" w:line="223" w:lineRule="auto"/>
        <w:jc w:val="right"/>
        <w:bidi/>
      </w:pPr>
      <w:r>
        <w:rPr>
          <w:rFonts w:ascii="Arial" w:hAnsi="Arial"/>
          <w:sz w:val="16"/>
        </w:rPr>
        <w:t>544.24  فرمانده روبه‌رو می‌شود، فرماندهی "وردر، ARMS" را به هوانیروز در ترکیب می‌دهد و سپس رو به جلو می‌رود.</w:t>
      </w:r>
    </w:p>
    <w:p>
      <w:pPr>
        <w:spacing w:after="28" w:line="216" w:lineRule="auto"/>
        <w:ind w:left="259"/>
        <w:jc w:val="left"/>
      </w:pPr>
      <w:r>
        <w:rPr>
          <w:rFonts w:ascii="Arial" w:hAnsi="Arial"/>
          <w:color w:val="525252"/>
          <w:sz w:val="13"/>
        </w:rPr>
        <w:t>The commander faces about, gives the Airmen in formation the command of “Order, ARMS,” and then faces to the front.</w:t>
      </w:r>
    </w:p>
    <w:p>
      <w:pPr>
        <w:spacing w:after="20" w:line="223" w:lineRule="auto"/>
        <w:jc w:val="right"/>
        <w:bidi/>
      </w:pPr>
      <w:r>
        <w:rPr>
          <w:rFonts w:ascii="Arial" w:hAnsi="Arial"/>
          <w:sz w:val="16"/>
        </w:rPr>
        <w:t>544.25  جزئیات امنیتی پرچم پرچم را تا می‌کند.</w:t>
      </w:r>
    </w:p>
    <w:p>
      <w:pPr>
        <w:spacing w:after="28" w:line="216" w:lineRule="auto"/>
        <w:ind w:left="259"/>
        <w:jc w:val="left"/>
      </w:pPr>
      <w:r>
        <w:rPr>
          <w:rFonts w:ascii="Arial" w:hAnsi="Arial"/>
          <w:color w:val="525252"/>
          <w:sz w:val="13"/>
        </w:rPr>
        <w:t>The flag security detail folds the flag.</w:t>
      </w:r>
    </w:p>
    <w:p>
      <w:pPr>
        <w:spacing w:after="20" w:line="223" w:lineRule="auto"/>
        <w:jc w:val="right"/>
        <w:bidi/>
      </w:pPr>
      <w:r>
        <w:rPr>
          <w:rFonts w:ascii="Arial" w:hAnsi="Arial"/>
          <w:sz w:val="16"/>
        </w:rPr>
        <w:t>544.26  تا زمانی که پرچم تا شده باشد، عضو ارشد جزئیات مورد توجه قرار می‌گیرد مگر اینکه برای کنترل پرچم نیاز باشد.</w:t>
      </w:r>
    </w:p>
    <w:p>
      <w:pPr>
        <w:spacing w:after="28" w:line="216" w:lineRule="auto"/>
        <w:ind w:left="259"/>
        <w:jc w:val="left"/>
      </w:pPr>
      <w:r>
        <w:rPr>
          <w:rFonts w:ascii="Arial" w:hAnsi="Arial"/>
          <w:color w:val="525252"/>
          <w:sz w:val="13"/>
        </w:rPr>
        <w:t>The senior member of the detail remains at attention while the flag is folded unless needed to control the flag.</w:t>
      </w:r>
    </w:p>
    <w:p>
      <w:pPr>
        <w:spacing w:after="20" w:line="223" w:lineRule="auto"/>
        <w:jc w:val="right"/>
        <w:bidi/>
      </w:pPr>
      <w:r>
        <w:rPr>
          <w:rFonts w:ascii="Arial" w:hAnsi="Arial"/>
          <w:sz w:val="16"/>
        </w:rPr>
        <w:t>544.27  هنگامی که پرچم تا شده است، جزئیات امنیتی پرچم، با عضو ارشد در سمت راست و حامل پرچم در مرکز، به سمت موقعیتی در سه قدمی فرمانده (یا افسر روز در یک مراسم غیررسمی) حرکت می‌کند.</w:t>
      </w:r>
    </w:p>
    <w:p>
      <w:pPr>
        <w:spacing w:after="28" w:line="216" w:lineRule="auto"/>
        <w:ind w:left="259"/>
        <w:jc w:val="left"/>
      </w:pPr>
      <w:r>
        <w:rPr>
          <w:rFonts w:ascii="Arial" w:hAnsi="Arial"/>
          <w:color w:val="525252"/>
          <w:sz w:val="13"/>
        </w:rPr>
        <w:t>When the flag is folded, the flag security detail, with the senior member on the right and the flag bearer in the center, marches to a position three paces from the commander (or officer of the day in an informal ceremony).</w:t>
      </w:r>
    </w:p>
    <w:p>
      <w:pPr>
        <w:spacing w:after="20" w:line="223" w:lineRule="auto"/>
        <w:jc w:val="right"/>
        <w:bidi/>
      </w:pPr>
      <w:r>
        <w:rPr>
          <w:rFonts w:ascii="Arial" w:hAnsi="Arial"/>
          <w:sz w:val="16"/>
        </w:rPr>
        <w:t>544.28  عضو ارشد سلام می‌دهد و گزارش می‌دهد "آقا (خانم، پرچم امن است." فرمانده سلام را برمی‌گرداند و جزئیات امنیتی پرچم دور می‌شوند.</w:t>
      </w:r>
    </w:p>
    <w:p>
      <w:pPr>
        <w:spacing w:after="28" w:line="216" w:lineRule="auto"/>
        <w:ind w:left="259"/>
        <w:jc w:val="left"/>
      </w:pPr>
      <w:r>
        <w:rPr>
          <w:rFonts w:ascii="Arial" w:hAnsi="Arial"/>
          <w:color w:val="525252"/>
          <w:sz w:val="13"/>
        </w:rPr>
        <w:t>The senior member salutes and reports “Sir (Ma’am), the flag is secured.” The commander returns the salute, and the flag security detail marches away.</w:t>
      </w:r>
    </w:p>
    <w:p>
      <w:pPr>
        <w:spacing w:after="20" w:line="223" w:lineRule="auto"/>
        <w:jc w:val="right"/>
        <w:bidi/>
      </w:pPr>
      <w:r>
        <w:rPr>
          <w:rFonts w:ascii="Arial" w:hAnsi="Arial"/>
          <w:sz w:val="16"/>
        </w:rPr>
        <w:t>544.29  سپس هواپیمایان در تشکیل به مناطق خود راهپیمایی شده و اخراج می‌شوند.</w:t>
      </w:r>
    </w:p>
    <w:p>
      <w:pPr>
        <w:spacing w:after="28" w:line="216" w:lineRule="auto"/>
        <w:ind w:left="259"/>
        <w:jc w:val="left"/>
      </w:pPr>
      <w:r>
        <w:rPr>
          <w:rFonts w:ascii="Arial" w:hAnsi="Arial"/>
          <w:color w:val="525252"/>
          <w:sz w:val="13"/>
        </w:rPr>
        <w:t>The Airmen in formation are then marched to their areas and dismissed.</w:t>
      </w:r>
    </w:p>
    <w:p>
      <w:pPr>
        <w:spacing w:after="20" w:line="223" w:lineRule="auto"/>
        <w:jc w:val="right"/>
        <w:bidi/>
      </w:pPr>
      <w:r>
        <w:rPr>
          <w:rFonts w:ascii="Arial" w:hAnsi="Arial"/>
          <w:sz w:val="16"/>
        </w:rPr>
        <w:t>544.30  نکته: اعضای نظامی یونیفرم که به یک آرایش اختصاص داده نشده‌اند، رو به پرچم (در صورت مشاهده) یا موسیقی هستند و موقعیت رژه را در اولین نت عقب نشینی می‌گیرند.</w:t>
      </w:r>
    </w:p>
    <w:p>
      <w:pPr>
        <w:spacing w:after="28" w:line="216" w:lineRule="auto"/>
        <w:ind w:left="259"/>
        <w:jc w:val="left"/>
      </w:pPr>
      <w:r>
        <w:rPr>
          <w:rFonts w:ascii="Arial" w:hAnsi="Arial"/>
          <w:color w:val="525252"/>
          <w:sz w:val="13"/>
        </w:rPr>
        <w:t>Note: Uniformed military members not assigned to a formation face the flag (if visible), or the music, and assume the position of parade rest on the first note of retreat.</w:t>
      </w:r>
    </w:p>
    <w:p>
      <w:pPr>
        <w:spacing w:after="20" w:line="223" w:lineRule="auto"/>
        <w:jc w:val="right"/>
        <w:bidi/>
      </w:pPr>
      <w:r>
        <w:rPr>
          <w:rFonts w:ascii="Arial" w:hAnsi="Arial"/>
          <w:sz w:val="16"/>
        </w:rPr>
        <w:t>544.31  پس از اتمام عقب نشینی، آنها باید جایگاه توجه و سلام در اولین نت سرود ملی یا به</w:t>
      </w:r>
    </w:p>
    <w:p>
      <w:pPr>
        <w:spacing w:after="28" w:line="216" w:lineRule="auto"/>
        <w:ind w:left="259"/>
        <w:jc w:val="left"/>
      </w:pPr>
      <w:r>
        <w:rPr>
          <w:rFonts w:ascii="Arial" w:hAnsi="Arial"/>
          <w:color w:val="525252"/>
          <w:sz w:val="13"/>
        </w:rPr>
        <w:t>Upon completion of retreat, they should assume the position of attention and salute on the first note of the national anthem or To the</w:t>
      </w:r>
    </w:p>
    <w:p>
      <w:r>
        <w:br w:type="page"/>
      </w:r>
    </w:p>
    <w:p>
      <w:pPr>
        <w:spacing w:after="60"/>
        <w:jc w:val="right"/>
        <w:bidi/>
      </w:pPr>
      <w:r>
        <w:rPr>
          <w:rFonts w:ascii="Arial" w:hAnsi="Arial"/>
          <w:b/>
          <w:color w:val="1F4D78"/>
          <w:sz w:val="19"/>
        </w:rPr>
        <w:t>هفتهٔ 545  |  صفحهٔ منبع: 561</w:t>
      </w:r>
    </w:p>
    <w:p>
      <w:pPr>
        <w:spacing w:after="20" w:line="223" w:lineRule="auto"/>
        <w:jc w:val="right"/>
        <w:bidi/>
      </w:pPr>
      <w:r>
        <w:rPr>
          <w:rFonts w:ascii="Arial" w:hAnsi="Arial"/>
          <w:sz w:val="16"/>
        </w:rPr>
        <w:t>545.01  رنگ.</w:t>
      </w:r>
    </w:p>
    <w:p>
      <w:pPr>
        <w:spacing w:after="28" w:line="216" w:lineRule="auto"/>
        <w:ind w:left="259"/>
        <w:jc w:val="left"/>
      </w:pPr>
      <w:r>
        <w:rPr>
          <w:rFonts w:ascii="Arial" w:hAnsi="Arial"/>
          <w:color w:val="525252"/>
          <w:sz w:val="13"/>
        </w:rPr>
        <w:t>Colors.</w:t>
      </w:r>
    </w:p>
    <w:p>
      <w:pPr>
        <w:spacing w:after="20" w:line="223" w:lineRule="auto"/>
        <w:jc w:val="right"/>
        <w:bidi/>
      </w:pPr>
      <w:r>
        <w:rPr>
          <w:rFonts w:ascii="Arial" w:hAnsi="Arial"/>
          <w:sz w:val="16"/>
        </w:rPr>
        <w:t>545.02  پایین آوردن پرچم.</w:t>
      </w:r>
    </w:p>
    <w:p>
      <w:pPr>
        <w:spacing w:after="28" w:line="216" w:lineRule="auto"/>
        <w:ind w:left="259"/>
        <w:jc w:val="left"/>
      </w:pPr>
      <w:r>
        <w:rPr>
          <w:rFonts w:ascii="Arial" w:hAnsi="Arial"/>
          <w:color w:val="525252"/>
          <w:sz w:val="13"/>
        </w:rPr>
        <w:t>Lowering the Flag.</w:t>
      </w:r>
    </w:p>
    <w:p>
      <w:pPr>
        <w:spacing w:after="20" w:line="223" w:lineRule="auto"/>
        <w:jc w:val="right"/>
        <w:bidi/>
      </w:pPr>
      <w:r>
        <w:rPr>
          <w:rFonts w:ascii="Arial" w:hAnsi="Arial"/>
          <w:sz w:val="16"/>
        </w:rPr>
        <w:t>545.03  در صورت عملی، جزئیات پایین‌آورنده پرچم باید یک عضو ارشد و سه عضو جوان برای پرچم همه منظوره و یک عضو ارشد و پنج عضو جوان برای پرچم نصب باشد.</w:t>
      </w:r>
    </w:p>
    <w:p>
      <w:pPr>
        <w:spacing w:after="28" w:line="216" w:lineRule="auto"/>
        <w:ind w:left="259"/>
        <w:jc w:val="left"/>
      </w:pPr>
      <w:r>
        <w:rPr>
          <w:rFonts w:ascii="Arial" w:hAnsi="Arial"/>
          <w:color w:val="525252"/>
          <w:sz w:val="13"/>
        </w:rPr>
        <w:t>When practical, the detail lowering the flag should be one senior member and three junior members for the all-purpose flag, and one senior member and five junior members for the installation flag.</w:t>
      </w:r>
    </w:p>
    <w:p>
      <w:pPr>
        <w:spacing w:after="20" w:line="223" w:lineRule="auto"/>
        <w:jc w:val="right"/>
        <w:bidi/>
      </w:pPr>
      <w:r>
        <w:rPr>
          <w:rFonts w:ascii="Arial" w:hAnsi="Arial"/>
          <w:sz w:val="16"/>
        </w:rPr>
        <w:t>545.04  جزئیات شکل گرفته و به سمت میز پرچم حرکت می‌کند.</w:t>
      </w:r>
    </w:p>
    <w:p>
      <w:pPr>
        <w:spacing w:after="28" w:line="216" w:lineRule="auto"/>
        <w:ind w:left="259"/>
        <w:jc w:val="left"/>
      </w:pPr>
      <w:r>
        <w:rPr>
          <w:rFonts w:ascii="Arial" w:hAnsi="Arial"/>
          <w:color w:val="525252"/>
          <w:sz w:val="13"/>
        </w:rPr>
        <w:t>The detail is formed and marched to the flagstaff.</w:t>
      </w:r>
    </w:p>
    <w:p>
      <w:pPr>
        <w:spacing w:after="20" w:line="223" w:lineRule="auto"/>
        <w:jc w:val="right"/>
        <w:bidi/>
      </w:pPr>
      <w:r>
        <w:rPr>
          <w:rFonts w:ascii="Arial" w:hAnsi="Arial"/>
          <w:sz w:val="16"/>
        </w:rPr>
        <w:t>545.05  هالیاردها جدا شده و از سمت بادگیر نگهداری می‌شوند.</w:t>
      </w:r>
    </w:p>
    <w:p>
      <w:pPr>
        <w:spacing w:after="28" w:line="216" w:lineRule="auto"/>
        <w:ind w:left="259"/>
        <w:jc w:val="left"/>
      </w:pPr>
      <w:r>
        <w:rPr>
          <w:rFonts w:ascii="Arial" w:hAnsi="Arial"/>
          <w:color w:val="525252"/>
          <w:sz w:val="13"/>
        </w:rPr>
        <w:t>The halyards are detached and attended from the leeward side.</w:t>
      </w:r>
    </w:p>
    <w:p>
      <w:pPr>
        <w:spacing w:after="20" w:line="223" w:lineRule="auto"/>
        <w:jc w:val="right"/>
        <w:bidi/>
      </w:pPr>
      <w:r>
        <w:rPr>
          <w:rFonts w:ascii="Arial" w:hAnsi="Arial"/>
          <w:sz w:val="16"/>
        </w:rPr>
        <w:t>545.06  در اولین نت سرود ملی یا تو ت کولورس، اعضای جزئیاتی که پرچم را پایین نمی‌آورند، دست‌های حاضر را اجرا می‌کنند.</w:t>
      </w:r>
    </w:p>
    <w:p>
      <w:pPr>
        <w:spacing w:after="28" w:line="216" w:lineRule="auto"/>
        <w:ind w:left="259"/>
        <w:jc w:val="left"/>
      </w:pPr>
      <w:r>
        <w:rPr>
          <w:rFonts w:ascii="Arial" w:hAnsi="Arial"/>
          <w:color w:val="525252"/>
          <w:sz w:val="13"/>
        </w:rPr>
        <w:t>On the first note of the national anthem or To the Colors, the members of the detail not lowering the flag execute present arms.</w:t>
      </w:r>
    </w:p>
    <w:p>
      <w:pPr>
        <w:spacing w:after="20" w:line="223" w:lineRule="auto"/>
        <w:jc w:val="right"/>
        <w:bidi/>
      </w:pPr>
      <w:r>
        <w:rPr>
          <w:rFonts w:ascii="Arial" w:hAnsi="Arial"/>
          <w:sz w:val="16"/>
        </w:rPr>
        <w:t>545.07  پایین آوردن پرچم با پخش موسیقی هماهنگ می‌شود تا این دو به‌طور همزمان کامل شوند.</w:t>
      </w:r>
    </w:p>
    <w:p>
      <w:pPr>
        <w:spacing w:after="28" w:line="216" w:lineRule="auto"/>
        <w:ind w:left="259"/>
        <w:jc w:val="left"/>
      </w:pPr>
      <w:r>
        <w:rPr>
          <w:rFonts w:ascii="Arial" w:hAnsi="Arial"/>
          <w:color w:val="525252"/>
          <w:sz w:val="13"/>
        </w:rPr>
        <w:t>The lowering of the flag is coordinated with the playing of the music so the two are completed at the same time.</w:t>
      </w:r>
    </w:p>
    <w:p>
      <w:pPr>
        <w:spacing w:after="20" w:line="223" w:lineRule="auto"/>
        <w:jc w:val="right"/>
        <w:bidi/>
      </w:pPr>
      <w:r>
        <w:rPr>
          <w:rFonts w:ascii="Arial" w:hAnsi="Arial"/>
          <w:sz w:val="16"/>
        </w:rPr>
        <w:t>545.08  زمانی که پرچم به اندازه کافی پایین باشد که دریافت شود، عضو ارشد جزئیات «وردر، ARMS» را فرمان می‌دهد.</w:t>
      </w:r>
    </w:p>
    <w:p>
      <w:pPr>
        <w:spacing w:after="28" w:line="216" w:lineRule="auto"/>
        <w:ind w:left="259"/>
        <w:jc w:val="left"/>
      </w:pPr>
      <w:r>
        <w:rPr>
          <w:rFonts w:ascii="Arial" w:hAnsi="Arial"/>
          <w:color w:val="525252"/>
          <w:sz w:val="13"/>
        </w:rPr>
        <w:t>The senior member commands the detail “Order, ARMS” when the flag is low enough to be received.</w:t>
      </w:r>
    </w:p>
    <w:p>
      <w:pPr>
        <w:spacing w:after="20" w:line="223" w:lineRule="auto"/>
        <w:jc w:val="right"/>
        <w:bidi/>
      </w:pPr>
      <w:r>
        <w:rPr>
          <w:rFonts w:ascii="Arial" w:hAnsi="Arial"/>
          <w:sz w:val="16"/>
        </w:rPr>
        <w:t>545.09  اگر نیمه افراشته، پرچم را به سرعت به سمت سر کارکنان در حالی که عقب نشینی به صدا در می‌آید به اهتزاز درآورید و سپس روی اولین نت سرود ملی یا تو ت کولورس پایین بیاورید.</w:t>
      </w:r>
    </w:p>
    <w:p>
      <w:pPr>
        <w:spacing w:after="28" w:line="216" w:lineRule="auto"/>
        <w:ind w:left="259"/>
        <w:jc w:val="left"/>
      </w:pPr>
      <w:r>
        <w:rPr>
          <w:rFonts w:ascii="Arial" w:hAnsi="Arial"/>
          <w:color w:val="525252"/>
          <w:sz w:val="13"/>
        </w:rPr>
        <w:t>If at half-staff, briskly hoist the flag to the staff head while retreat is sounded and then lower on the first note of the national anthem or To the Colors.</w:t>
      </w:r>
    </w:p>
    <w:p>
      <w:pPr>
        <w:spacing w:after="20" w:line="223" w:lineRule="auto"/>
        <w:jc w:val="right"/>
        <w:bidi/>
      </w:pPr>
      <w:r>
        <w:rPr>
          <w:rFonts w:ascii="Arial" w:hAnsi="Arial"/>
          <w:sz w:val="16"/>
        </w:rPr>
        <w:t>545.10  پرچم از هالیاردها جدا شده و تا می‌شود.</w:t>
      </w:r>
    </w:p>
    <w:p>
      <w:pPr>
        <w:spacing w:after="28" w:line="216" w:lineRule="auto"/>
        <w:ind w:left="259"/>
        <w:jc w:val="left"/>
      </w:pPr>
      <w:r>
        <w:rPr>
          <w:rFonts w:ascii="Arial" w:hAnsi="Arial"/>
          <w:color w:val="525252"/>
          <w:sz w:val="13"/>
        </w:rPr>
        <w:t>The flag is detached from the halyards and folded.</w:t>
      </w:r>
    </w:p>
    <w:p>
      <w:pPr>
        <w:spacing w:after="20" w:line="223" w:lineRule="auto"/>
        <w:jc w:val="right"/>
        <w:bidi/>
      </w:pPr>
      <w:r>
        <w:rPr>
          <w:rFonts w:ascii="Arial" w:hAnsi="Arial"/>
          <w:sz w:val="16"/>
        </w:rPr>
        <w:t>545.11  هالیاردها به‌کارکنان ایمن شده است.</w:t>
      </w:r>
    </w:p>
    <w:p>
      <w:pPr>
        <w:spacing w:after="28" w:line="216" w:lineRule="auto"/>
        <w:ind w:left="259"/>
        <w:jc w:val="left"/>
      </w:pPr>
      <w:r>
        <w:rPr>
          <w:rFonts w:ascii="Arial" w:hAnsi="Arial"/>
          <w:color w:val="525252"/>
          <w:sz w:val="13"/>
        </w:rPr>
        <w:t>The halyards are secured to the staff.</w:t>
      </w:r>
    </w:p>
    <w:p>
      <w:pPr>
        <w:spacing w:after="20" w:line="223" w:lineRule="auto"/>
        <w:jc w:val="right"/>
        <w:bidi/>
      </w:pPr>
      <w:r>
        <w:rPr>
          <w:rFonts w:ascii="Arial" w:hAnsi="Arial"/>
          <w:sz w:val="16"/>
        </w:rPr>
        <w:t>545.12  روش صحیح تا کردن پرچم ایالات متحده را می‌توان در DAFI ۹۰-۱۲۰۲ یافت.</w:t>
      </w:r>
    </w:p>
    <w:p>
      <w:pPr>
        <w:spacing w:after="28" w:line="216" w:lineRule="auto"/>
        <w:ind w:left="259"/>
        <w:jc w:val="left"/>
      </w:pPr>
      <w:r>
        <w:rPr>
          <w:rFonts w:ascii="Arial" w:hAnsi="Arial"/>
          <w:color w:val="525252"/>
          <w:sz w:val="13"/>
        </w:rPr>
        <w:t>The correct method for folding the United States flag can be found in DAFI 90-1202.</w:t>
      </w:r>
    </w:p>
    <w:p>
      <w:pPr>
        <w:spacing w:before="60" w:after="28"/>
        <w:jc w:val="right"/>
        <w:bidi/>
      </w:pPr>
      <w:r>
        <w:rPr>
          <w:b/>
          <w:color w:val="1F4D78"/>
          <w:sz w:val="18"/>
        </w:rPr>
        <w:t>24.28. ناهار خوری و ناهار خوری</w:t>
      </w:r>
    </w:p>
    <w:p>
      <w:pPr>
        <w:spacing w:after="20"/>
        <w:ind w:left="259"/>
        <w:jc w:val="left"/>
      </w:pPr>
      <w:r>
        <w:rPr>
          <w:color w:val="555555"/>
          <w:sz w:val="12"/>
        </w:rPr>
        <w:t>24.28. The Dining-In and Dining-Out</w:t>
      </w:r>
    </w:p>
    <w:p>
      <w:pPr>
        <w:spacing w:after="20" w:line="223" w:lineRule="auto"/>
        <w:jc w:val="right"/>
        <w:bidi/>
      </w:pPr>
      <w:r>
        <w:rPr>
          <w:rFonts w:ascii="Arial" w:hAnsi="Arial"/>
          <w:sz w:val="16"/>
        </w:rPr>
        <w:t>545.14  ناهار خوری و ناهار خوری هر دو رویداد رسمی هستند.</w:t>
      </w:r>
    </w:p>
    <w:p>
      <w:pPr>
        <w:spacing w:after="28" w:line="216" w:lineRule="auto"/>
        <w:ind w:left="259"/>
        <w:jc w:val="left"/>
      </w:pPr>
      <w:r>
        <w:rPr>
          <w:rFonts w:ascii="Arial" w:hAnsi="Arial"/>
          <w:color w:val="525252"/>
          <w:sz w:val="13"/>
        </w:rPr>
        <w:t>Dining-ins and dining-outs are both formal events.</w:t>
      </w:r>
    </w:p>
    <w:p>
      <w:pPr>
        <w:spacing w:after="20" w:line="223" w:lineRule="auto"/>
        <w:jc w:val="right"/>
        <w:bidi/>
      </w:pPr>
      <w:r>
        <w:rPr>
          <w:rFonts w:ascii="Arial" w:hAnsi="Arial"/>
          <w:sz w:val="16"/>
        </w:rPr>
        <w:t>545.15  یک تفاوت مهم این است که همسران، دوستان و غیرنظامیان غیرنظامی ممکن است در یک غذاخوری شرکت کنند، اما غذاخوری یک شام رسمی فقط برای اعضای نظامی است.</w:t>
      </w:r>
    </w:p>
    <w:p>
      <w:pPr>
        <w:spacing w:after="28" w:line="216" w:lineRule="auto"/>
        <w:ind w:left="259"/>
        <w:jc w:val="left"/>
      </w:pPr>
      <w:r>
        <w:rPr>
          <w:rFonts w:ascii="Arial" w:hAnsi="Arial"/>
          <w:color w:val="525252"/>
          <w:sz w:val="13"/>
        </w:rPr>
        <w:t>The one significant difference is that nonmilitary spouses, friends, and civilians may attend a dining-out, but the dining-in is a formal dinner for military members only.</w:t>
      </w:r>
    </w:p>
    <w:p>
      <w:pPr>
        <w:spacing w:after="20" w:line="223" w:lineRule="auto"/>
        <w:jc w:val="right"/>
        <w:bidi/>
      </w:pPr>
      <w:r>
        <w:rPr>
          <w:rFonts w:ascii="Arial" w:hAnsi="Arial"/>
          <w:sz w:val="16"/>
        </w:rPr>
        <w:t>545.16  شکل غذاخوری کنونی در نیروی هوایی آغاز شد، زمانی که ژنرال هنری اچ. "هپ" آرنولد بال‌های معروف خود را در دست داشت.</w:t>
      </w:r>
    </w:p>
    <w:p>
      <w:pPr>
        <w:spacing w:after="28" w:line="216" w:lineRule="auto"/>
        <w:ind w:left="259"/>
        <w:jc w:val="left"/>
      </w:pPr>
      <w:r>
        <w:rPr>
          <w:rFonts w:ascii="Arial" w:hAnsi="Arial"/>
          <w:color w:val="525252"/>
          <w:sz w:val="13"/>
        </w:rPr>
        <w:t>The present dining-in format had its beginnings in the Air Corps when General Henry H. “Hap” Arnold held his famous wingdings.</w:t>
      </w:r>
    </w:p>
    <w:p>
      <w:pPr>
        <w:spacing w:after="20" w:line="223" w:lineRule="auto"/>
        <w:jc w:val="right"/>
        <w:bidi/>
      </w:pPr>
      <w:r>
        <w:rPr>
          <w:rFonts w:ascii="Arial" w:hAnsi="Arial"/>
          <w:sz w:val="16"/>
        </w:rPr>
        <w:t>545.17  ارتباط پرسنل نیروی هوایی ارتش با بریتانیایی‌ها و غذاخوری‌های آنها در طول جنگ جهانی دوم نیز محبوبیت آنها را در نیروی هوایی ایالات متحده تشویق کرد.</w:t>
      </w:r>
    </w:p>
    <w:p>
      <w:pPr>
        <w:spacing w:after="28" w:line="216" w:lineRule="auto"/>
        <w:ind w:left="259"/>
        <w:jc w:val="left"/>
      </w:pPr>
      <w:r>
        <w:rPr>
          <w:rFonts w:ascii="Arial" w:hAnsi="Arial"/>
          <w:color w:val="525252"/>
          <w:sz w:val="13"/>
        </w:rPr>
        <w:t>The association of Army Air Corps personnel with the British and their dining-ins during World War II also encouraged their popularity in the USAF.</w:t>
      </w:r>
    </w:p>
    <w:p>
      <w:pPr>
        <w:spacing w:after="20" w:line="223" w:lineRule="auto"/>
        <w:jc w:val="right"/>
        <w:bidi/>
      </w:pPr>
      <w:r>
        <w:rPr>
          <w:rFonts w:ascii="Arial" w:hAnsi="Arial"/>
          <w:sz w:val="16"/>
        </w:rPr>
        <w:t>545.18  اعضا اکنون این رویداد را به‌عنوان مناسبتی می‌شناسند که در آن مراسم، سنت‌ها و معاشرت‌های خوب هدف مهمی را دنبال می‌کنند و در ایجاد و حفظ روحیه بالا و روحیه سپاه مؤثر هستند.</w:t>
      </w:r>
    </w:p>
    <w:p>
      <w:pPr>
        <w:spacing w:after="28" w:line="216" w:lineRule="auto"/>
        <w:ind w:left="259"/>
        <w:jc w:val="left"/>
      </w:pPr>
      <w:r>
        <w:rPr>
          <w:rFonts w:ascii="Arial" w:hAnsi="Arial"/>
          <w:color w:val="525252"/>
          <w:sz w:val="13"/>
        </w:rPr>
        <w:t>Members now recognize the event as an occasion where ceremony, tradition, and good fellowship serve an important purpose and are effective in building and maintaining high morale and esprit de corps.</w:t>
      </w:r>
    </w:p>
    <w:p>
      <w:pPr>
        <w:spacing w:after="20" w:line="223" w:lineRule="auto"/>
        <w:jc w:val="right"/>
        <w:bidi/>
      </w:pPr>
      <w:r>
        <w:rPr>
          <w:rFonts w:ascii="Arial" w:hAnsi="Arial"/>
          <w:sz w:val="16"/>
        </w:rPr>
        <w:t>545.19  نظامیانی که در این مراسم شرکت می‌کنند باید لباس یا لباس نیمه رسمی بپوشند.</w:t>
      </w:r>
    </w:p>
    <w:p>
      <w:pPr>
        <w:spacing w:after="28" w:line="216" w:lineRule="auto"/>
        <w:ind w:left="259"/>
        <w:jc w:val="left"/>
      </w:pPr>
      <w:r>
        <w:rPr>
          <w:rFonts w:ascii="Arial" w:hAnsi="Arial"/>
          <w:color w:val="525252"/>
          <w:sz w:val="13"/>
        </w:rPr>
        <w:t>Military members who attend these ceremonies must wear the mess dress or the semiformal uniform.</w:t>
      </w:r>
    </w:p>
    <w:p>
      <w:pPr>
        <w:spacing w:after="20" w:line="223" w:lineRule="auto"/>
        <w:jc w:val="right"/>
        <w:bidi/>
      </w:pPr>
      <w:r>
        <w:rPr>
          <w:rFonts w:ascii="Arial" w:hAnsi="Arial"/>
          <w:sz w:val="16"/>
        </w:rPr>
        <w:t>545.20  غیرنظامیان لباس مشخص شده در دعوتنامه را می‌پوشند.</w:t>
      </w:r>
    </w:p>
    <w:p>
      <w:pPr>
        <w:spacing w:after="28" w:line="216" w:lineRule="auto"/>
        <w:ind w:left="259"/>
        <w:jc w:val="left"/>
      </w:pPr>
      <w:r>
        <w:rPr>
          <w:rFonts w:ascii="Arial" w:hAnsi="Arial"/>
          <w:color w:val="525252"/>
          <w:sz w:val="13"/>
        </w:rPr>
        <w:t>Civilians wear the dress specified in the invitations.</w:t>
      </w:r>
    </w:p>
    <w:p>
      <w:pPr>
        <w:spacing w:after="20" w:line="223" w:lineRule="auto"/>
        <w:jc w:val="right"/>
        <w:bidi/>
      </w:pPr>
      <w:r>
        <w:rPr>
          <w:rFonts w:ascii="Arial" w:hAnsi="Arial"/>
          <w:sz w:val="16"/>
        </w:rPr>
        <w:t>545.21  توجه: غذاخوری رزمی رویدادی شبیه به غذاخوری است زیرا شکل سنتی را حفظ می‌کند. با این حال، تفاوت در درجه اول در لباس و فضا است.</w:t>
      </w:r>
    </w:p>
    <w:p>
      <w:pPr>
        <w:spacing w:after="28" w:line="216" w:lineRule="auto"/>
        <w:ind w:left="259"/>
        <w:jc w:val="left"/>
      </w:pPr>
      <w:r>
        <w:rPr>
          <w:rFonts w:ascii="Arial" w:hAnsi="Arial"/>
          <w:color w:val="525252"/>
          <w:sz w:val="13"/>
        </w:rPr>
        <w:t>Note: The combat dining-in is an event similar to the dining-in because it maintains the traditional form; however, the difference is primarily in the dress and atmosphere.</w:t>
      </w:r>
    </w:p>
    <w:p>
      <w:pPr>
        <w:spacing w:after="20" w:line="223" w:lineRule="auto"/>
        <w:jc w:val="right"/>
        <w:bidi/>
      </w:pPr>
      <w:r>
        <w:rPr>
          <w:rFonts w:ascii="Arial" w:hAnsi="Arial"/>
          <w:sz w:val="16"/>
        </w:rPr>
        <w:t>545.22  غذاخوری‌های رزمی معمولا عصر را با نوعی یونیفرم کاربردی در محیطی بسیار آرام‌تر جشن می‌گیرند که عمدا برای تشویق رفاقت آماده شده است.</w:t>
      </w:r>
    </w:p>
    <w:p>
      <w:pPr>
        <w:spacing w:after="28" w:line="216" w:lineRule="auto"/>
        <w:ind w:left="259"/>
        <w:jc w:val="left"/>
      </w:pPr>
      <w:r>
        <w:rPr>
          <w:rFonts w:ascii="Arial" w:hAnsi="Arial"/>
          <w:color w:val="525252"/>
          <w:sz w:val="13"/>
        </w:rPr>
        <w:t>Combat dining-ins typically celebrate the evening in some form of utility uniform in a much more relaxed environment deliberately prepared to encourage camaraderie.</w:t>
      </w:r>
    </w:p>
    <w:p>
      <w:pPr>
        <w:spacing w:before="60" w:after="28"/>
        <w:jc w:val="right"/>
        <w:bidi/>
      </w:pPr>
      <w:r>
        <w:rPr>
          <w:b/>
          <w:color w:val="1F4D78"/>
          <w:sz w:val="18"/>
        </w:rPr>
        <w:t>24.29. مراسم معارفه شمشیر</w:t>
      </w:r>
    </w:p>
    <w:p>
      <w:pPr>
        <w:spacing w:after="20"/>
        <w:ind w:left="259"/>
        <w:jc w:val="left"/>
      </w:pPr>
      <w:r>
        <w:rPr>
          <w:color w:val="555555"/>
          <w:sz w:val="12"/>
        </w:rPr>
        <w:t>24.29. The Order of the Sword Induction Ceremony</w:t>
      </w:r>
    </w:p>
    <w:p>
      <w:pPr>
        <w:spacing w:after="20" w:line="223" w:lineRule="auto"/>
        <w:jc w:val="right"/>
        <w:bidi/>
      </w:pPr>
      <w:r>
        <w:rPr>
          <w:rFonts w:ascii="Arial" w:hAnsi="Arial"/>
          <w:sz w:val="16"/>
        </w:rPr>
        <w:t>545.24  القای نظم شمشیر، افتخاری است که برای افرادی محفوظ است که رهبری و پشتیبانی برجسته را به‌عنوان "رهبر در میان رهبران و یک نیروی هوایی در میان هوانوردان" از اعضای ثبت‌نام کرده‌اند. ترتیب رویداد شمشیر با وقاری انجام می‌شود که نشان دهنده اهمیت آن به‌عنوان بالاترین افتخار و ادای احترامی است که یک عضو سرباز می‌تواند به هر کسی بدهد.</w:t>
      </w:r>
    </w:p>
    <w:p>
      <w:pPr>
        <w:spacing w:after="28" w:line="216" w:lineRule="auto"/>
        <w:ind w:left="259"/>
        <w:jc w:val="left"/>
      </w:pPr>
      <w:r>
        <w:rPr>
          <w:rFonts w:ascii="Arial" w:hAnsi="Arial"/>
          <w:color w:val="525252"/>
          <w:sz w:val="13"/>
        </w:rPr>
        <w:t>Induction into the order of the sword is an honor reserved for individuals who have provided outstanding leadership and support to enlisted members as a “Leader among Leaders and an Airman among Airmen.” The order of the sword event is conducted with the dignity that reflects its significance as the highest honor and tribute an enlisted member can bestow on anyone.</w:t>
      </w:r>
    </w:p>
    <w:p>
      <w:pPr>
        <w:spacing w:after="20" w:line="223" w:lineRule="auto"/>
        <w:jc w:val="right"/>
        <w:bidi/>
      </w:pPr>
      <w:r>
        <w:rPr>
          <w:rFonts w:ascii="Arial" w:hAnsi="Arial"/>
          <w:sz w:val="16"/>
        </w:rPr>
        <w:t>545.25  شبیه به غذاخوری، این شب معمولا شامل یک دوره اجتماعی، شام رسمی و مراسم معارفه است.</w:t>
      </w:r>
    </w:p>
    <w:p>
      <w:pPr>
        <w:spacing w:after="28" w:line="216" w:lineRule="auto"/>
        <w:ind w:left="259"/>
        <w:jc w:val="left"/>
      </w:pPr>
      <w:r>
        <w:rPr>
          <w:rFonts w:ascii="Arial" w:hAnsi="Arial"/>
          <w:color w:val="525252"/>
          <w:sz w:val="13"/>
        </w:rPr>
        <w:t>Similar to the dining-in, this evening affair usually consists of a social period, formal dinner, and induction ceremony.</w:t>
      </w:r>
    </w:p>
    <w:p>
      <w:pPr>
        <w:spacing w:after="20" w:line="223" w:lineRule="auto"/>
        <w:jc w:val="right"/>
        <w:bidi/>
      </w:pPr>
      <w:r>
        <w:rPr>
          <w:rFonts w:ascii="Arial" w:hAnsi="Arial"/>
          <w:sz w:val="16"/>
        </w:rPr>
        <w:t>545.26  لباس مورد نیاز لباس آشفته، لباس نیمه رسمی یا معادل آن است.</w:t>
      </w:r>
    </w:p>
    <w:p>
      <w:pPr>
        <w:spacing w:after="28" w:line="216" w:lineRule="auto"/>
        <w:ind w:left="259"/>
        <w:jc w:val="left"/>
      </w:pPr>
      <w:r>
        <w:rPr>
          <w:rFonts w:ascii="Arial" w:hAnsi="Arial"/>
          <w:color w:val="525252"/>
          <w:sz w:val="13"/>
        </w:rPr>
        <w:t>The required dress is the mess dress, semiformal uniform, or equivalent.</w:t>
      </w:r>
    </w:p>
    <w:p>
      <w:pPr>
        <w:spacing w:after="20" w:line="223" w:lineRule="auto"/>
        <w:jc w:val="right"/>
        <w:bidi/>
      </w:pPr>
      <w:r>
        <w:rPr>
          <w:rFonts w:ascii="Arial" w:hAnsi="Arial"/>
          <w:sz w:val="16"/>
        </w:rPr>
        <w:t>545.27  تنها سطوح تأیید شده برای اعطای شمشیر، سطح USAF و سطح فرماندهی اصلی است.</w:t>
      </w:r>
    </w:p>
    <w:p>
      <w:pPr>
        <w:spacing w:after="28" w:line="216" w:lineRule="auto"/>
        <w:ind w:left="259"/>
        <w:jc w:val="left"/>
      </w:pPr>
      <w:r>
        <w:rPr>
          <w:rFonts w:ascii="Arial" w:hAnsi="Arial"/>
          <w:color w:val="525252"/>
          <w:sz w:val="13"/>
        </w:rPr>
        <w:t>The only approved levels for award of the sword are the USAF level and major command level.</w:t>
      </w:r>
    </w:p>
    <w:p>
      <w:pPr>
        <w:spacing w:after="20" w:line="223" w:lineRule="auto"/>
        <w:jc w:val="right"/>
        <w:bidi/>
      </w:pPr>
      <w:r>
        <w:rPr>
          <w:rFonts w:ascii="Arial" w:hAnsi="Arial"/>
          <w:sz w:val="16"/>
        </w:rPr>
        <w:t>545.28  سرگروهبان نیروی هوایی و فرماندهان MAJCOM به ترتیب به‌عنوان "نگهبانان شمشیر" شناخته می‌شوند و لیست رسمی سفارش گیرندگان شمشیر را حفظ می‌کنند.</w:t>
      </w:r>
    </w:p>
    <w:p>
      <w:pPr>
        <w:spacing w:after="28" w:line="216" w:lineRule="auto"/>
        <w:ind w:left="259"/>
        <w:jc w:val="left"/>
      </w:pPr>
      <w:r>
        <w:rPr>
          <w:rFonts w:ascii="Arial" w:hAnsi="Arial"/>
          <w:color w:val="525252"/>
          <w:sz w:val="13"/>
        </w:rPr>
        <w:t>The Chief Master Sergeant of the Air Force and MAJCOM command chiefs are known as the “keepers of the sword,” and maintain the official lists of order of the sword recipients, respectively.</w:t>
      </w:r>
    </w:p>
    <w:p>
      <w:pPr>
        <w:spacing w:after="20" w:line="223" w:lineRule="auto"/>
        <w:jc w:val="right"/>
        <w:bidi/>
      </w:pPr>
      <w:r>
        <w:rPr>
          <w:rFonts w:ascii="Arial" w:hAnsi="Arial"/>
          <w:sz w:val="16"/>
        </w:rPr>
        <w:t>545.29  تاریخچه سفارش شمشیر.</w:t>
      </w:r>
    </w:p>
    <w:p>
      <w:pPr>
        <w:spacing w:after="28" w:line="216" w:lineRule="auto"/>
        <w:ind w:left="259"/>
        <w:jc w:val="left"/>
      </w:pPr>
      <w:r>
        <w:rPr>
          <w:rFonts w:ascii="Arial" w:hAnsi="Arial"/>
          <w:color w:val="525252"/>
          <w:sz w:val="13"/>
        </w:rPr>
        <w:t>History of the Order of the Sword.</w:t>
      </w:r>
    </w:p>
    <w:p>
      <w:pPr>
        <w:spacing w:after="20" w:line="223" w:lineRule="auto"/>
        <w:jc w:val="right"/>
        <w:bidi/>
      </w:pPr>
      <w:r>
        <w:rPr>
          <w:rFonts w:ascii="Arial" w:hAnsi="Arial"/>
          <w:sz w:val="16"/>
        </w:rPr>
        <w:t>545.30  اولین دستور ثبت شده مراسم شمشیر در ایالات متحده در دهه ۱۸۶۰ بود که به فرماندهی یک افسر ژنرال شمشیر اهدا شد.</w:t>
      </w:r>
    </w:p>
    <w:p>
      <w:pPr>
        <w:spacing w:after="28" w:line="216" w:lineRule="auto"/>
        <w:ind w:left="259"/>
        <w:jc w:val="left"/>
      </w:pPr>
      <w:r>
        <w:rPr>
          <w:rFonts w:ascii="Arial" w:hAnsi="Arial"/>
          <w:color w:val="525252"/>
          <w:sz w:val="13"/>
        </w:rPr>
        <w:t>The first recorded order of the sword ceremony in the United States was in the 1860s when a General officer was presented a sword by his command.</w:t>
      </w:r>
    </w:p>
    <w:p>
      <w:pPr>
        <w:spacing w:after="20" w:line="223" w:lineRule="auto"/>
        <w:jc w:val="right"/>
        <w:bidi/>
      </w:pPr>
      <w:r>
        <w:rPr>
          <w:rFonts w:ascii="Arial" w:hAnsi="Arial"/>
          <w:sz w:val="16"/>
        </w:rPr>
        <w:t>545.31  این مراسم توسط USAF در سال ۱۹۶۷ بازنگری، به‌روزرسانی و به تصویب رسید تا افسران ارشد نظامی، سرهنگ یا بالاتر، و همتایان غیرنظامی را به خاطر مشارکت‌های آشکار و قابل توجه در رفاه و اعتبار مأموریت نیروهای مستقر در USAF و همچنین اثربخشی کلی ارتش، به رسمیت بشناسد.</w:t>
      </w:r>
    </w:p>
    <w:p>
      <w:pPr>
        <w:spacing w:after="28" w:line="216" w:lineRule="auto"/>
        <w:ind w:left="259"/>
        <w:jc w:val="left"/>
      </w:pPr>
      <w:r>
        <w:rPr>
          <w:rFonts w:ascii="Arial" w:hAnsi="Arial"/>
          <w:color w:val="525252"/>
          <w:sz w:val="13"/>
        </w:rPr>
        <w:t>The ceremony was revised, updated, and adopted by the USAF in 1967 to recognize and honor military senior officers, Colonel or above, and civilian equivalents, for conspicuous and significant contributions to the welfare and prestige of the USAF enlisted force mission effectiveness as well as the overall military establishment.</w:t>
      </w:r>
    </w:p>
    <w:p>
      <w:r>
        <w:br w:type="page"/>
      </w:r>
    </w:p>
    <w:p>
      <w:pPr>
        <w:spacing w:after="60"/>
        <w:jc w:val="right"/>
        <w:bidi/>
      </w:pPr>
      <w:r>
        <w:rPr>
          <w:rFonts w:ascii="Arial" w:hAnsi="Arial"/>
          <w:b/>
          <w:color w:val="1F4D78"/>
          <w:sz w:val="19"/>
        </w:rPr>
        <w:t>هفتهٔ 546  |  صفحهٔ منبع: 562</w:t>
      </w:r>
    </w:p>
    <w:p>
      <w:pPr>
        <w:spacing w:before="60" w:after="28"/>
        <w:jc w:val="right"/>
        <w:bidi/>
      </w:pPr>
      <w:r>
        <w:rPr>
          <w:b/>
          <w:color w:val="1F4D78"/>
          <w:sz w:val="18"/>
        </w:rPr>
        <w:t>بخش 24E - مته و سازند</w:t>
      </w:r>
    </w:p>
    <w:p>
      <w:pPr>
        <w:spacing w:after="20"/>
        <w:ind w:left="259"/>
        <w:jc w:val="left"/>
      </w:pPr>
      <w:r>
        <w:rPr>
          <w:color w:val="555555"/>
          <w:sz w:val="12"/>
        </w:rPr>
        <w:t>Section 24E—Drill and Formation</w:t>
      </w:r>
    </w:p>
    <w:p>
      <w:pPr>
        <w:spacing w:before="60" w:after="28"/>
        <w:jc w:val="right"/>
        <w:bidi/>
      </w:pPr>
      <w:r>
        <w:rPr>
          <w:b/>
          <w:color w:val="1F4D78"/>
          <w:sz w:val="18"/>
        </w:rPr>
        <w:t>24.30. تشکل های نظامی</w:t>
      </w:r>
    </w:p>
    <w:p>
      <w:pPr>
        <w:spacing w:after="20"/>
        <w:ind w:left="259"/>
        <w:jc w:val="left"/>
      </w:pPr>
      <w:r>
        <w:rPr>
          <w:color w:val="555555"/>
          <w:sz w:val="12"/>
        </w:rPr>
        <w:t>24.30. Military Formations</w:t>
      </w:r>
    </w:p>
    <w:p>
      <w:pPr>
        <w:spacing w:after="20" w:line="223" w:lineRule="auto"/>
        <w:jc w:val="right"/>
        <w:bidi/>
      </w:pPr>
      <w:r>
        <w:rPr>
          <w:rFonts w:ascii="Arial" w:hAnsi="Arial"/>
          <w:sz w:val="16"/>
        </w:rPr>
        <w:t>546.03  تشریفات شامل تمرینات و تشکل‌ها از افراد برجسته تقدیر می‌شود، رویدادهای خاص را تشخیص می‌دهند، و مهارت و وضعیت آموزشی هوانوردان را نشان می‌دهند.</w:t>
      </w:r>
    </w:p>
    <w:p>
      <w:pPr>
        <w:spacing w:after="28" w:line="216" w:lineRule="auto"/>
        <w:ind w:left="259"/>
        <w:jc w:val="left"/>
      </w:pPr>
      <w:r>
        <w:rPr>
          <w:rFonts w:ascii="Arial" w:hAnsi="Arial"/>
          <w:color w:val="525252"/>
          <w:sz w:val="13"/>
        </w:rPr>
        <w:t>Ceremonies involving drill and formations honor distinguished persons, recognize special events, and demonstrate the proficiency and training state of Airmen.</w:t>
      </w:r>
    </w:p>
    <w:p>
      <w:pPr>
        <w:spacing w:after="20" w:line="223" w:lineRule="auto"/>
        <w:jc w:val="right"/>
        <w:bidi/>
      </w:pPr>
      <w:r>
        <w:rPr>
          <w:rFonts w:ascii="Arial" w:hAnsi="Arial"/>
          <w:sz w:val="16"/>
        </w:rPr>
        <w:t>546.04  چه دادن یا پیروی از دستورات، تحمل نظامی خوب برای همه درگیران در تمرین و تشکیل ضروری است.</w:t>
      </w:r>
    </w:p>
    <w:p>
      <w:pPr>
        <w:spacing w:after="28" w:line="216" w:lineRule="auto"/>
        <w:ind w:left="259"/>
        <w:jc w:val="left"/>
      </w:pPr>
      <w:r>
        <w:rPr>
          <w:rFonts w:ascii="Arial" w:hAnsi="Arial"/>
          <w:color w:val="525252"/>
          <w:sz w:val="13"/>
        </w:rPr>
        <w:t>Whether giving or following commands, good military bearing is essential to all involved in drill and formation.</w:t>
      </w:r>
    </w:p>
    <w:p>
      <w:pPr>
        <w:spacing w:after="20" w:line="223" w:lineRule="auto"/>
        <w:jc w:val="right"/>
        <w:bidi/>
      </w:pPr>
      <w:r>
        <w:rPr>
          <w:rFonts w:ascii="Arial" w:hAnsi="Arial"/>
          <w:sz w:val="16"/>
        </w:rPr>
        <w:t>546.05  راهپیمایی دقیق، بی‌درنگ در پاسخگویی به دستورات، و کار تیمی توسعه‌یافته در میدان مته، کلید ظاهر حرفه‌ای و عملکرد آرایش در طول مراسم است.</w:t>
      </w:r>
    </w:p>
    <w:p>
      <w:pPr>
        <w:spacing w:after="28" w:line="216" w:lineRule="auto"/>
        <w:ind w:left="259"/>
        <w:jc w:val="left"/>
      </w:pPr>
      <w:r>
        <w:rPr>
          <w:rFonts w:ascii="Arial" w:hAnsi="Arial"/>
          <w:color w:val="525252"/>
          <w:sz w:val="13"/>
        </w:rPr>
        <w:t>The precision marching, promptness in responding to commands, and teamwork developed on the drill field are key to the professional appearance and performance of the formation during ceremonies.</w:t>
      </w:r>
    </w:p>
    <w:p>
      <w:pPr>
        <w:spacing w:after="20" w:line="223" w:lineRule="auto"/>
        <w:jc w:val="right"/>
        <w:bidi/>
      </w:pPr>
      <w:r>
        <w:rPr>
          <w:rFonts w:ascii="Arial" w:hAnsi="Arial"/>
          <w:sz w:val="16"/>
        </w:rPr>
        <w:t>546.06  سازند پرواز کاربردی‌ترین گروه مته است و از حداقل دو عنصر تشکیل شده است، اما بیش از چهار عنصر نیست.</w:t>
      </w:r>
    </w:p>
    <w:p>
      <w:pPr>
        <w:spacing w:after="28" w:line="216" w:lineRule="auto"/>
        <w:ind w:left="259"/>
        <w:jc w:val="left"/>
      </w:pPr>
      <w:r>
        <w:rPr>
          <w:rFonts w:ascii="Arial" w:hAnsi="Arial"/>
          <w:color w:val="525252"/>
          <w:sz w:val="13"/>
        </w:rPr>
        <w:t>The flight formation is the most practical drill group and is composed of at least two, but no more than four, elements.</w:t>
      </w:r>
    </w:p>
    <w:p>
      <w:pPr>
        <w:spacing w:after="20" w:line="223" w:lineRule="auto"/>
        <w:jc w:val="right"/>
        <w:bidi/>
      </w:pPr>
      <w:r>
        <w:rPr>
          <w:rFonts w:ascii="Arial" w:hAnsi="Arial"/>
          <w:sz w:val="16"/>
        </w:rPr>
        <w:t>546.07  برای اطلاعات بیشتر، DAFPAM ۳۴-۱۲۰۳، دریل و تشریفات را ببینید.</w:t>
      </w:r>
    </w:p>
    <w:p>
      <w:pPr>
        <w:spacing w:after="28" w:line="216" w:lineRule="auto"/>
        <w:ind w:left="259"/>
        <w:jc w:val="left"/>
      </w:pPr>
      <w:r>
        <w:rPr>
          <w:rFonts w:ascii="Arial" w:hAnsi="Arial"/>
          <w:color w:val="525252"/>
          <w:sz w:val="13"/>
        </w:rPr>
        <w:t>For more information, see DAFPAM 34-1203, Drill and Ceremonies.</w:t>
      </w:r>
    </w:p>
    <w:p>
      <w:pPr>
        <w:spacing w:before="60" w:after="28"/>
        <w:jc w:val="right"/>
        <w:bidi/>
      </w:pPr>
      <w:r>
        <w:rPr>
          <w:b/>
          <w:color w:val="1F4D78"/>
          <w:sz w:val="18"/>
        </w:rPr>
        <w:t>24.31. دستورات مته</w:t>
      </w:r>
    </w:p>
    <w:p>
      <w:pPr>
        <w:spacing w:after="20"/>
        <w:ind w:left="259"/>
        <w:jc w:val="left"/>
      </w:pPr>
      <w:r>
        <w:rPr>
          <w:color w:val="555555"/>
          <w:sz w:val="12"/>
        </w:rPr>
        <w:t>24.31. Drill Commands</w:t>
      </w:r>
    </w:p>
    <w:p>
      <w:pPr>
        <w:spacing w:after="20" w:line="223" w:lineRule="auto"/>
        <w:jc w:val="right"/>
        <w:bidi/>
      </w:pPr>
      <w:r>
        <w:rPr>
          <w:rFonts w:ascii="Arial" w:hAnsi="Arial"/>
          <w:sz w:val="16"/>
        </w:rPr>
        <w:t>546.09  همگام بودن با آرایش، قرارگیری مناسب، راهپیمایی و حرکات روبه‌روی همگی از جنبه‌های ضروری تمرین و تشریفات است.</w:t>
      </w:r>
    </w:p>
    <w:p>
      <w:pPr>
        <w:spacing w:after="28" w:line="216" w:lineRule="auto"/>
        <w:ind w:left="259"/>
        <w:jc w:val="left"/>
      </w:pPr>
      <w:r>
        <w:rPr>
          <w:rFonts w:ascii="Arial" w:hAnsi="Arial"/>
          <w:color w:val="525252"/>
          <w:sz w:val="13"/>
        </w:rPr>
        <w:t>Being in step with the formation, proper positioning, marching, and facing movements are all necessary aspects of drill and ceremonies.</w:t>
      </w:r>
    </w:p>
    <w:p>
      <w:pPr>
        <w:spacing w:after="20" w:line="223" w:lineRule="auto"/>
        <w:jc w:val="right"/>
        <w:bidi/>
      </w:pPr>
      <w:r>
        <w:rPr>
          <w:rFonts w:ascii="Arial" w:hAnsi="Arial"/>
          <w:sz w:val="16"/>
        </w:rPr>
        <w:t>546.10  درک روشهای مناسب برای مته برای حرکت یک سازند به شیوه‌ای منظم از یک موقعیت به موقعیت دیگر ضروری است.</w:t>
      </w:r>
    </w:p>
    <w:p>
      <w:pPr>
        <w:spacing w:after="28" w:line="216" w:lineRule="auto"/>
        <w:ind w:left="259"/>
        <w:jc w:val="left"/>
      </w:pPr>
      <w:r>
        <w:rPr>
          <w:rFonts w:ascii="Arial" w:hAnsi="Arial"/>
          <w:color w:val="525252"/>
          <w:sz w:val="13"/>
        </w:rPr>
        <w:t>Understanding proper procedures for drill are essential for moving a formation in an orderly manner from one position to another.</w:t>
      </w:r>
    </w:p>
    <w:p>
      <w:pPr>
        <w:spacing w:after="20" w:line="223" w:lineRule="auto"/>
        <w:jc w:val="right"/>
        <w:bidi/>
      </w:pPr>
      <w:r>
        <w:rPr>
          <w:rFonts w:ascii="Arial" w:hAnsi="Arial"/>
          <w:sz w:val="16"/>
        </w:rPr>
        <w:t>546.11  استانداردهایی مانند استپ ۲۴ اینچی، سرعت ۱۰۰ تا ۱۲۰ قدم در دقیقه، مسافت و فاصله زمانی ایجاد شد تا اطمینان حاصل شود که حرکات با نظم و دقت اجرا می‌شوند.</w:t>
      </w:r>
    </w:p>
    <w:p>
      <w:pPr>
        <w:spacing w:after="28" w:line="216" w:lineRule="auto"/>
        <w:ind w:left="259"/>
        <w:jc w:val="left"/>
      </w:pPr>
      <w:r>
        <w:rPr>
          <w:rFonts w:ascii="Arial" w:hAnsi="Arial"/>
          <w:color w:val="525252"/>
          <w:sz w:val="13"/>
        </w:rPr>
        <w:t>Standards, such as the 24-inch step, cadence of 100 to 120 steps per minute, distance, and interval, were established to ensure movements are executed with order and precision.</w:t>
      </w:r>
    </w:p>
    <w:p>
      <w:pPr>
        <w:spacing w:after="20" w:line="223" w:lineRule="auto"/>
        <w:jc w:val="right"/>
        <w:bidi/>
      </w:pPr>
      <w:r>
        <w:rPr>
          <w:rFonts w:ascii="Arial" w:hAnsi="Arial"/>
          <w:sz w:val="16"/>
        </w:rPr>
        <w:t>546.12  دستور مته یک دستور شفاهی است که معمولا دارای دو بخش است: دستور آماده‌سازی و فرمان اجرا.</w:t>
      </w:r>
    </w:p>
    <w:p>
      <w:pPr>
        <w:spacing w:after="28" w:line="216" w:lineRule="auto"/>
        <w:ind w:left="259"/>
        <w:jc w:val="left"/>
      </w:pPr>
      <w:r>
        <w:rPr>
          <w:rFonts w:ascii="Arial" w:hAnsi="Arial"/>
          <w:color w:val="525252"/>
          <w:sz w:val="13"/>
        </w:rPr>
        <w:t>A drill command is an oral order that usually has two parts: the preparatory command and the command of execution.</w:t>
      </w:r>
    </w:p>
    <w:p>
      <w:pPr>
        <w:spacing w:after="20" w:line="223" w:lineRule="auto"/>
        <w:jc w:val="right"/>
        <w:bidi/>
      </w:pPr>
      <w:r>
        <w:rPr>
          <w:rFonts w:ascii="Arial" w:hAnsi="Arial"/>
          <w:sz w:val="16"/>
        </w:rPr>
        <w:t>546.13  دستور پرپاراتوری قبل از دستور کسکوتیون است.</w:t>
      </w:r>
    </w:p>
    <w:p>
      <w:pPr>
        <w:spacing w:after="28" w:line="216" w:lineRule="auto"/>
        <w:ind w:left="259"/>
        <w:jc w:val="left"/>
      </w:pPr>
      <w:r>
        <w:rPr>
          <w:rFonts w:ascii="Arial" w:hAnsi="Arial"/>
          <w:color w:val="525252"/>
          <w:sz w:val="13"/>
        </w:rPr>
        <w:t>The preparatory command precedes the command of execution.</w:t>
      </w:r>
    </w:p>
    <w:p>
      <w:pPr>
        <w:spacing w:after="20" w:line="223" w:lineRule="auto"/>
        <w:jc w:val="right"/>
        <w:bidi/>
      </w:pPr>
      <w:r>
        <w:rPr>
          <w:rFonts w:ascii="Arial" w:hAnsi="Arial"/>
          <w:sz w:val="16"/>
        </w:rPr>
        <w:t>546.14  توضیح می‌دهد که حرکت چه خواهد بود و چه عناصر یا بخش‌هایی از سازند حرکت را اجرا می‌کنند.</w:t>
      </w:r>
    </w:p>
    <w:p>
      <w:pPr>
        <w:spacing w:after="28" w:line="216" w:lineRule="auto"/>
        <w:ind w:left="259"/>
        <w:jc w:val="left"/>
      </w:pPr>
      <w:r>
        <w:rPr>
          <w:rFonts w:ascii="Arial" w:hAnsi="Arial"/>
          <w:color w:val="525252"/>
          <w:sz w:val="13"/>
        </w:rPr>
        <w:t>It explains what the movement will be and what elements or parts of the formation will be executing the movement.</w:t>
      </w:r>
    </w:p>
    <w:p>
      <w:pPr>
        <w:spacing w:after="20" w:line="223" w:lineRule="auto"/>
        <w:jc w:val="right"/>
        <w:bidi/>
      </w:pPr>
      <w:r>
        <w:rPr>
          <w:rFonts w:ascii="Arial" w:hAnsi="Arial"/>
          <w:sz w:val="16"/>
        </w:rPr>
        <w:t>546.15  دستور اجرا توضیح می‌دهد که چه حرکتی انجام خواهد شد.</w:t>
      </w:r>
    </w:p>
    <w:p>
      <w:pPr>
        <w:spacing w:after="28" w:line="216" w:lineRule="auto"/>
        <w:ind w:left="259"/>
        <w:jc w:val="left"/>
      </w:pPr>
      <w:r>
        <w:rPr>
          <w:rFonts w:ascii="Arial" w:hAnsi="Arial"/>
          <w:color w:val="525252"/>
          <w:sz w:val="13"/>
        </w:rPr>
        <w:t>The command of execution explains what movement will be carried out.</w:t>
      </w:r>
    </w:p>
    <w:p>
      <w:pPr>
        <w:spacing w:after="20" w:line="223" w:lineRule="auto"/>
        <w:jc w:val="right"/>
        <w:bidi/>
      </w:pPr>
      <w:r>
        <w:rPr>
          <w:rFonts w:ascii="Arial" w:hAnsi="Arial"/>
          <w:sz w:val="16"/>
        </w:rPr>
        <w:t>546.16  به‌عنوان مثال، در دستور "فلیگهت، HALT" کلمه "فلیگهت" دستور مقدماتی است و واحد را مشخص می‌کند.</w:t>
      </w:r>
    </w:p>
    <w:p>
      <w:pPr>
        <w:spacing w:after="28" w:line="216" w:lineRule="auto"/>
        <w:ind w:left="259"/>
        <w:jc w:val="left"/>
      </w:pPr>
      <w:r>
        <w:rPr>
          <w:rFonts w:ascii="Arial" w:hAnsi="Arial"/>
          <w:color w:val="525252"/>
          <w:sz w:val="13"/>
        </w:rPr>
        <w:t>For example, in the command “Flight, HALT,” the word “Flight” is the preparatory command, and it designates the unit.</w:t>
      </w:r>
    </w:p>
    <w:p>
      <w:pPr>
        <w:spacing w:after="20" w:line="223" w:lineRule="auto"/>
        <w:jc w:val="right"/>
        <w:bidi/>
      </w:pPr>
      <w:r>
        <w:rPr>
          <w:rFonts w:ascii="Arial" w:hAnsi="Arial"/>
          <w:sz w:val="16"/>
        </w:rPr>
        <w:t>546.17  کلمه HALT فرمان اجراست و فرمانی است که باید توسط پرواز انجام شود.</w:t>
      </w:r>
    </w:p>
    <w:p>
      <w:pPr>
        <w:spacing w:after="28" w:line="216" w:lineRule="auto"/>
        <w:ind w:left="259"/>
        <w:jc w:val="left"/>
      </w:pPr>
      <w:r>
        <w:rPr>
          <w:rFonts w:ascii="Arial" w:hAnsi="Arial"/>
          <w:color w:val="525252"/>
          <w:sz w:val="13"/>
        </w:rPr>
        <w:t>The word “HALT” is the command of execution and is the command to be performed by the flight.</w:t>
      </w:r>
    </w:p>
    <w:p>
      <w:pPr>
        <w:spacing w:after="20" w:line="223" w:lineRule="auto"/>
        <w:jc w:val="right"/>
        <w:bidi/>
      </w:pPr>
      <w:r>
        <w:rPr>
          <w:rFonts w:ascii="Arial" w:hAnsi="Arial"/>
          <w:sz w:val="16"/>
        </w:rPr>
        <w:t>546.18  فرماندهی تکمیلی.</w:t>
      </w:r>
    </w:p>
    <w:p>
      <w:pPr>
        <w:spacing w:after="28" w:line="216" w:lineRule="auto"/>
        <w:ind w:left="259"/>
        <w:jc w:val="left"/>
      </w:pPr>
      <w:r>
        <w:rPr>
          <w:rFonts w:ascii="Arial" w:hAnsi="Arial"/>
          <w:color w:val="525252"/>
          <w:sz w:val="13"/>
        </w:rPr>
        <w:t>Supplementary Command.</w:t>
      </w:r>
    </w:p>
    <w:p>
      <w:pPr>
        <w:spacing w:after="20" w:line="223" w:lineRule="auto"/>
        <w:jc w:val="right"/>
        <w:bidi/>
      </w:pPr>
      <w:r>
        <w:rPr>
          <w:rFonts w:ascii="Arial" w:hAnsi="Arial"/>
          <w:sz w:val="16"/>
        </w:rPr>
        <w:t>546.19  هنگامی که یک واحد از عنصر باید حرکتی متفاوت از واحد یا واحدهای دیگر یا همان حرکت را در زمان متفاوتی اجرا کند، یک فرمان تکمیلی داده می‌شود.</w:t>
      </w:r>
    </w:p>
    <w:p>
      <w:pPr>
        <w:spacing w:after="28" w:line="216" w:lineRule="auto"/>
        <w:ind w:left="259"/>
        <w:jc w:val="left"/>
      </w:pPr>
      <w:r>
        <w:rPr>
          <w:rFonts w:ascii="Arial" w:hAnsi="Arial"/>
          <w:color w:val="525252"/>
          <w:sz w:val="13"/>
        </w:rPr>
        <w:t>A supplementary command is given when one unit of the element must execute a movement different from another unit or units, or the same movement at a different time.</w:t>
      </w:r>
    </w:p>
    <w:p>
      <w:pPr>
        <w:spacing w:after="20" w:line="223" w:lineRule="auto"/>
        <w:jc w:val="right"/>
        <w:bidi/>
      </w:pPr>
      <w:r>
        <w:rPr>
          <w:rFonts w:ascii="Arial" w:hAnsi="Arial"/>
          <w:sz w:val="16"/>
        </w:rPr>
        <w:t>546.20  نمونه‌هایی از دستورات تکمیلی عبارتند از: «ادامه به راهپیمایی» و «ایستادن»</w:t>
      </w:r>
    </w:p>
    <w:p>
      <w:pPr>
        <w:spacing w:after="28" w:line="216" w:lineRule="auto"/>
        <w:ind w:left="259"/>
        <w:jc w:val="left"/>
      </w:pPr>
      <w:r>
        <w:rPr>
          <w:rFonts w:ascii="Arial" w:hAnsi="Arial"/>
          <w:color w:val="525252"/>
          <w:sz w:val="13"/>
        </w:rPr>
        <w:t>Examples of supplementary commands are, “CONTINUE THE MARCH” and “STAND</w:t>
      </w:r>
    </w:p>
    <w:p>
      <w:pPr>
        <w:spacing w:before="60" w:after="28"/>
        <w:jc w:val="right"/>
        <w:bidi/>
      </w:pPr>
      <w:r>
        <w:rPr>
          <w:b/>
          <w:color w:val="1F4D78"/>
          <w:sz w:val="18"/>
        </w:rPr>
        <w:t>FAST.”</w:t>
      </w:r>
    </w:p>
    <w:p>
      <w:pPr>
        <w:spacing w:after="20"/>
        <w:ind w:left="259"/>
        <w:jc w:val="left"/>
      </w:pPr>
      <w:r>
        <w:rPr>
          <w:color w:val="555555"/>
          <w:sz w:val="12"/>
        </w:rPr>
        <w:t>FAST.”</w:t>
      </w:r>
    </w:p>
    <w:p>
      <w:pPr>
        <w:spacing w:after="20" w:line="223" w:lineRule="auto"/>
        <w:jc w:val="right"/>
        <w:bidi/>
      </w:pPr>
      <w:r>
        <w:rPr>
          <w:rFonts w:ascii="Arial" w:hAnsi="Arial"/>
          <w:sz w:val="16"/>
        </w:rPr>
        <w:t>546.22  فرماندهی اطلاعات.</w:t>
      </w:r>
    </w:p>
    <w:p>
      <w:pPr>
        <w:spacing w:after="28" w:line="216" w:lineRule="auto"/>
        <w:ind w:left="259"/>
        <w:jc w:val="left"/>
      </w:pPr>
      <w:r>
        <w:rPr>
          <w:rFonts w:ascii="Arial" w:hAnsi="Arial"/>
          <w:color w:val="525252"/>
          <w:sz w:val="13"/>
        </w:rPr>
        <w:t>Informational Command.</w:t>
      </w:r>
    </w:p>
    <w:p>
      <w:pPr>
        <w:spacing w:after="20" w:line="223" w:lineRule="auto"/>
        <w:jc w:val="right"/>
        <w:bidi/>
      </w:pPr>
      <w:r>
        <w:rPr>
          <w:rFonts w:ascii="Arial" w:hAnsi="Arial"/>
          <w:sz w:val="16"/>
        </w:rPr>
        <w:t>546.23  یک دستور اطلاعاتی هیچ دستور آماده‌سازی یا دستور اجرا ندارد و مکمل نیست.</w:t>
      </w:r>
    </w:p>
    <w:p>
      <w:pPr>
        <w:spacing w:after="28" w:line="216" w:lineRule="auto"/>
        <w:ind w:left="259"/>
        <w:jc w:val="left"/>
      </w:pPr>
      <w:r>
        <w:rPr>
          <w:rFonts w:ascii="Arial" w:hAnsi="Arial"/>
          <w:color w:val="525252"/>
          <w:sz w:val="13"/>
        </w:rPr>
        <w:t>An informational command has no preparatory command or command of execution and is not supplementary.</w:t>
      </w:r>
    </w:p>
    <w:p>
      <w:pPr>
        <w:spacing w:after="20" w:line="223" w:lineRule="auto"/>
        <w:jc w:val="right"/>
        <w:bidi/>
      </w:pPr>
      <w:r>
        <w:rPr>
          <w:rFonts w:ascii="Arial" w:hAnsi="Arial"/>
          <w:sz w:val="16"/>
        </w:rPr>
        <w:t>546.24  این دستور برای هدایت دیگران به دادن دستور استفاده می‌شود.</w:t>
      </w:r>
    </w:p>
    <w:p>
      <w:pPr>
        <w:spacing w:after="28" w:line="216" w:lineRule="auto"/>
        <w:ind w:left="259"/>
        <w:jc w:val="left"/>
      </w:pPr>
      <w:r>
        <w:rPr>
          <w:rFonts w:ascii="Arial" w:hAnsi="Arial"/>
          <w:color w:val="525252"/>
          <w:sz w:val="13"/>
        </w:rPr>
        <w:t>This command is used to direct others to give commands.</w:t>
      </w:r>
    </w:p>
    <w:p>
      <w:pPr>
        <w:spacing w:after="20" w:line="223" w:lineRule="auto"/>
        <w:jc w:val="right"/>
        <w:bidi/>
      </w:pPr>
      <w:r>
        <w:rPr>
          <w:rFonts w:ascii="Arial" w:hAnsi="Arial"/>
          <w:sz w:val="16"/>
        </w:rPr>
        <w:t>546.25  نمونه‌هایی از دستورات اطلاعاتی عبارتند از: «برای بازرسی آماده شوید» و «عدل</w:t>
      </w:r>
    </w:p>
    <w:p>
      <w:pPr>
        <w:spacing w:after="28" w:line="216" w:lineRule="auto"/>
        <w:ind w:left="259"/>
        <w:jc w:val="left"/>
      </w:pPr>
      <w:r>
        <w:rPr>
          <w:rFonts w:ascii="Arial" w:hAnsi="Arial"/>
          <w:color w:val="525252"/>
          <w:sz w:val="13"/>
        </w:rPr>
        <w:t>Examples of informational commands are, “PREPARE FOR INSPECTION” and “DISMISS THE</w:t>
      </w:r>
    </w:p>
    <w:p>
      <w:pPr>
        <w:spacing w:before="60" w:after="28"/>
        <w:jc w:val="right"/>
        <w:bidi/>
      </w:pPr>
      <w:r>
        <w:rPr>
          <w:b/>
          <w:color w:val="1F4D78"/>
          <w:sz w:val="18"/>
        </w:rPr>
        <w:t>اسکادرون.</w:t>
      </w:r>
    </w:p>
    <w:p>
      <w:pPr>
        <w:spacing w:after="20"/>
        <w:ind w:left="259"/>
        <w:jc w:val="left"/>
      </w:pPr>
      <w:r>
        <w:rPr>
          <w:color w:val="555555"/>
          <w:sz w:val="12"/>
        </w:rPr>
        <w:t>SQUADRON.”</w:t>
      </w:r>
    </w:p>
    <w:p>
      <w:pPr>
        <w:spacing w:after="20" w:line="223" w:lineRule="auto"/>
        <w:jc w:val="right"/>
        <w:bidi/>
      </w:pPr>
      <w:r>
        <w:rPr>
          <w:rFonts w:ascii="Arial" w:hAnsi="Arial"/>
          <w:sz w:val="16"/>
        </w:rPr>
        <w:t>546.27  دستورات دسته جمعی.</w:t>
      </w:r>
    </w:p>
    <w:p>
      <w:pPr>
        <w:spacing w:after="28" w:line="216" w:lineRule="auto"/>
        <w:ind w:left="259"/>
        <w:jc w:val="left"/>
      </w:pPr>
      <w:r>
        <w:rPr>
          <w:rFonts w:ascii="Arial" w:hAnsi="Arial"/>
          <w:color w:val="525252"/>
          <w:sz w:val="13"/>
        </w:rPr>
        <w:t>Mass Commands.</w:t>
      </w:r>
    </w:p>
    <w:p>
      <w:pPr>
        <w:spacing w:after="20" w:line="223" w:lineRule="auto"/>
        <w:jc w:val="right"/>
        <w:bidi/>
      </w:pPr>
      <w:r>
        <w:rPr>
          <w:rFonts w:ascii="Arial" w:hAnsi="Arial"/>
          <w:sz w:val="16"/>
        </w:rPr>
        <w:t>546.28  دستورات دسته جمعی با وادار کردن فرد به یادآوری، دادن و اجرای دستورات مناسب به ایجاد اعتماد به نفس، اتکا به خود، قاطعیت و اشتیاق کمک می‌کند.</w:t>
      </w:r>
    </w:p>
    <w:p>
      <w:pPr>
        <w:spacing w:after="28" w:line="216" w:lineRule="auto"/>
        <w:ind w:left="259"/>
        <w:jc w:val="left"/>
      </w:pPr>
      <w:r>
        <w:rPr>
          <w:rFonts w:ascii="Arial" w:hAnsi="Arial"/>
          <w:color w:val="525252"/>
          <w:sz w:val="13"/>
        </w:rPr>
        <w:t>Mass commands help develop confidence, self-reliance, assertiveness, and enthusiasm by making the individual recall, give, and execute proper commands.</w:t>
      </w:r>
    </w:p>
    <w:p>
      <w:pPr>
        <w:spacing w:after="20" w:line="223" w:lineRule="auto"/>
        <w:jc w:val="right"/>
        <w:bidi/>
      </w:pPr>
      <w:r>
        <w:rPr>
          <w:rFonts w:ascii="Arial" w:hAnsi="Arial"/>
          <w:sz w:val="16"/>
        </w:rPr>
        <w:t>546.29  دستورات انبوه معمولا محدود به حرکات ساده با دستورات آماده‌سازی کوتاه و دستورات اجرا هستند که به‌طور همزمان توسط تمام عناصر یک واحد انجام می‌شوند.</w:t>
      </w:r>
    </w:p>
    <w:p>
      <w:pPr>
        <w:spacing w:after="28" w:line="216" w:lineRule="auto"/>
        <w:ind w:left="259"/>
        <w:jc w:val="left"/>
      </w:pPr>
      <w:r>
        <w:rPr>
          <w:rFonts w:ascii="Arial" w:hAnsi="Arial"/>
          <w:color w:val="525252"/>
          <w:sz w:val="13"/>
        </w:rPr>
        <w:t>Mass commands are usually confined to simple movements with short preparatory commands and commands of execution carried out simultaneously by all elements of a unit.</w:t>
      </w:r>
    </w:p>
    <w:p>
      <w:pPr>
        <w:spacing w:after="20" w:line="223" w:lineRule="auto"/>
        <w:jc w:val="right"/>
        <w:bidi/>
      </w:pPr>
      <w:r>
        <w:rPr>
          <w:rFonts w:ascii="Arial" w:hAnsi="Arial"/>
          <w:sz w:val="16"/>
        </w:rPr>
        <w:t>546.30  هر فرد در تشکیلات موظف است به‌طور هماهنگ دستوراتی را بدهد که گویی مسئول دادن دستورات به کل عنصر است.</w:t>
      </w:r>
    </w:p>
    <w:p>
      <w:pPr>
        <w:spacing w:after="28" w:line="216" w:lineRule="auto"/>
        <w:ind w:left="259"/>
        <w:jc w:val="left"/>
      </w:pPr>
      <w:r>
        <w:rPr>
          <w:rFonts w:ascii="Arial" w:hAnsi="Arial"/>
          <w:color w:val="525252"/>
          <w:sz w:val="13"/>
        </w:rPr>
        <w:t>Each person in the formation is required to give commands in unison as if they were responsible for giving the commands to the entire element.</w:t>
      </w:r>
    </w:p>
    <w:p>
      <w:pPr>
        <w:spacing w:after="20" w:line="223" w:lineRule="auto"/>
        <w:jc w:val="right"/>
        <w:bidi/>
      </w:pPr>
      <w:r>
        <w:rPr>
          <w:rFonts w:ascii="Arial" w:hAnsi="Arial"/>
          <w:sz w:val="16"/>
        </w:rPr>
        <w:t>546.31  حجم صداهای ترکیبی هر فرد را تشویق می‌کند تا حرکت را با سرعت و دقت انجام دهد.</w:t>
      </w:r>
    </w:p>
    <w:p>
      <w:pPr>
        <w:spacing w:after="28" w:line="216" w:lineRule="auto"/>
        <w:ind w:left="259"/>
        <w:jc w:val="left"/>
      </w:pPr>
      <w:r>
        <w:rPr>
          <w:rFonts w:ascii="Arial" w:hAnsi="Arial"/>
          <w:color w:val="525252"/>
          <w:sz w:val="13"/>
        </w:rPr>
        <w:t>The volume of the combined voices encourages every person to perform the movement with snap and precision.</w:t>
      </w:r>
    </w:p>
    <w:p>
      <w:pPr>
        <w:spacing w:before="60" w:after="28"/>
        <w:jc w:val="right"/>
        <w:bidi/>
      </w:pPr>
      <w:r>
        <w:rPr>
          <w:b/>
          <w:color w:val="1F4D78"/>
          <w:sz w:val="18"/>
        </w:rPr>
        <w:t>24.32. موقعیت های مته</w:t>
      </w:r>
    </w:p>
    <w:p>
      <w:pPr>
        <w:spacing w:after="20"/>
        <w:ind w:left="259"/>
        <w:jc w:val="left"/>
      </w:pPr>
      <w:r>
        <w:rPr>
          <w:color w:val="555555"/>
          <w:sz w:val="12"/>
        </w:rPr>
        <w:t>24.32. Drill Positions</w:t>
      </w:r>
    </w:p>
    <w:p>
      <w:pPr>
        <w:spacing w:after="20" w:line="223" w:lineRule="auto"/>
        <w:jc w:val="right"/>
        <w:bidi/>
      </w:pPr>
      <w:r>
        <w:rPr>
          <w:rFonts w:ascii="Arial" w:hAnsi="Arial"/>
          <w:sz w:val="16"/>
        </w:rPr>
        <w:t>546.33  سقوط در.</w:t>
      </w:r>
    </w:p>
    <w:p>
      <w:pPr>
        <w:spacing w:after="28" w:line="216" w:lineRule="auto"/>
        <w:ind w:left="259"/>
        <w:jc w:val="left"/>
      </w:pPr>
      <w:r>
        <w:rPr>
          <w:rFonts w:ascii="Arial" w:hAnsi="Arial"/>
          <w:color w:val="525252"/>
          <w:sz w:val="13"/>
        </w:rPr>
        <w:t>Fall In.</w:t>
      </w:r>
    </w:p>
    <w:p>
      <w:pPr>
        <w:spacing w:after="20" w:line="223" w:lineRule="auto"/>
        <w:jc w:val="right"/>
        <w:bidi/>
      </w:pPr>
      <w:r>
        <w:rPr>
          <w:rFonts w:ascii="Arial" w:hAnsi="Arial"/>
          <w:sz w:val="16"/>
        </w:rPr>
        <w:t>546.34  دستور سقوط در "FALL IN" است. در فرمان "FALL IN"، افراد پروازی را در تشکیل خط تشکیل می‌دهند.</w:t>
      </w:r>
    </w:p>
    <w:p>
      <w:pPr>
        <w:spacing w:after="28" w:line="216" w:lineRule="auto"/>
        <w:ind w:left="259"/>
        <w:jc w:val="left"/>
      </w:pPr>
      <w:r>
        <w:rPr>
          <w:rFonts w:ascii="Arial" w:hAnsi="Arial"/>
          <w:color w:val="525252"/>
          <w:sz w:val="13"/>
        </w:rPr>
        <w:t>The command for fall in is “FALL IN.” On the command “FALL IN,” individuals form a flight in line formation.</w:t>
      </w:r>
    </w:p>
    <w:p>
      <w:pPr>
        <w:spacing w:after="20" w:line="223" w:lineRule="auto"/>
        <w:jc w:val="right"/>
        <w:bidi/>
      </w:pPr>
      <w:r>
        <w:rPr>
          <w:rFonts w:ascii="Arial" w:hAnsi="Arial"/>
          <w:sz w:val="16"/>
        </w:rPr>
        <w:t>546.35  تشکیل خط را می‌توان به بهترین شکل به شکل افتادن با تشکیل یک خط "طولانی" از شانه به شانه توصیف کرد.</w:t>
      </w:r>
    </w:p>
    <w:p>
      <w:pPr>
        <w:spacing w:after="28" w:line="216" w:lineRule="auto"/>
        <w:ind w:left="259"/>
        <w:jc w:val="left"/>
      </w:pPr>
      <w:r>
        <w:rPr>
          <w:rFonts w:ascii="Arial" w:hAnsi="Arial"/>
          <w:color w:val="525252"/>
          <w:sz w:val="13"/>
        </w:rPr>
        <w:t>Line formation may best be described as falling into formation by forming a ‘long’ line from shoulder to shoulder.</w:t>
      </w:r>
    </w:p>
    <w:p>
      <w:pPr>
        <w:spacing w:after="20" w:line="223" w:lineRule="auto"/>
        <w:jc w:val="right"/>
        <w:bidi/>
      </w:pPr>
      <w:r>
        <w:rPr>
          <w:rFonts w:ascii="Arial" w:hAnsi="Arial"/>
          <w:sz w:val="16"/>
        </w:rPr>
        <w:t>546.36  هر هوادار به داخل می‌افتد، به‌طور خودکار لباس، پوشش، فاصله و فاصله خود را مشخص می‌کند، یک جبهه آماده خودکار را اجرا می‌کند و در</w:t>
      </w:r>
    </w:p>
    <w:p>
      <w:pPr>
        <w:spacing w:after="28" w:line="216" w:lineRule="auto"/>
        <w:ind w:left="259"/>
        <w:jc w:val="left"/>
      </w:pPr>
      <w:r>
        <w:rPr>
          <w:rFonts w:ascii="Arial" w:hAnsi="Arial"/>
          <w:color w:val="525252"/>
          <w:sz w:val="13"/>
        </w:rPr>
        <w:t>Each Airman will fall in, automatically establishing their dress, cover, interval, and distance, executing an automatic ready front, and remaining at the</w:t>
      </w:r>
    </w:p>
    <w:p>
      <w:r>
        <w:br w:type="page"/>
      </w:r>
    </w:p>
    <w:p>
      <w:pPr>
        <w:spacing w:after="60"/>
        <w:jc w:val="right"/>
        <w:bidi/>
      </w:pPr>
      <w:r>
        <w:rPr>
          <w:rFonts w:ascii="Arial" w:hAnsi="Arial"/>
          <w:b/>
          <w:color w:val="1F4D78"/>
          <w:sz w:val="19"/>
        </w:rPr>
        <w:t>هفتهٔ 547  |  صفحهٔ منبع: 563</w:t>
      </w:r>
    </w:p>
    <w:p>
      <w:pPr>
        <w:spacing w:after="20" w:line="223" w:lineRule="auto"/>
        <w:jc w:val="right"/>
        <w:bidi/>
      </w:pPr>
      <w:r>
        <w:rPr>
          <w:rFonts w:ascii="Arial" w:hAnsi="Arial"/>
          <w:sz w:val="16"/>
        </w:rPr>
        <w:t>547.01  موقعیت توجه.</w:t>
      </w:r>
    </w:p>
    <w:p>
      <w:pPr>
        <w:spacing w:after="28" w:line="216" w:lineRule="auto"/>
        <w:ind w:left="259"/>
        <w:jc w:val="left"/>
      </w:pPr>
      <w:r>
        <w:rPr>
          <w:rFonts w:ascii="Arial" w:hAnsi="Arial"/>
          <w:color w:val="525252"/>
          <w:sz w:val="13"/>
        </w:rPr>
        <w:t>position of attention.</w:t>
      </w:r>
    </w:p>
    <w:p>
      <w:pPr>
        <w:spacing w:after="20" w:line="223" w:lineRule="auto"/>
        <w:jc w:val="right"/>
        <w:bidi/>
      </w:pPr>
      <w:r>
        <w:rPr>
          <w:rFonts w:ascii="Arial" w:hAnsi="Arial"/>
          <w:sz w:val="16"/>
        </w:rPr>
        <w:t>547.02  توجه.</w:t>
      </w:r>
    </w:p>
    <w:p>
      <w:pPr>
        <w:spacing w:after="28" w:line="216" w:lineRule="auto"/>
        <w:ind w:left="259"/>
        <w:jc w:val="left"/>
      </w:pPr>
      <w:r>
        <w:rPr>
          <w:rFonts w:ascii="Arial" w:hAnsi="Arial"/>
          <w:color w:val="525252"/>
          <w:sz w:val="13"/>
        </w:rPr>
        <w:t>Attention.</w:t>
      </w:r>
    </w:p>
    <w:p>
      <w:pPr>
        <w:spacing w:after="20" w:line="223" w:lineRule="auto"/>
        <w:jc w:val="right"/>
        <w:bidi/>
      </w:pPr>
      <w:r>
        <w:rPr>
          <w:rFonts w:ascii="Arial" w:hAnsi="Arial"/>
          <w:sz w:val="16"/>
        </w:rPr>
        <w:t>547.03  دستور توجه "پرواز، توجه" است. در دستور "توجه"، اعضای بدنه با کنار هم قرار دادن پاشنه‌ها هوشمندانه و روی خط، تا جایی که فرم بدن اجازه می‌دهد، به هم نزدیک می‌شوند.</w:t>
      </w:r>
    </w:p>
    <w:p>
      <w:pPr>
        <w:spacing w:after="28" w:line="216" w:lineRule="auto"/>
        <w:ind w:left="259"/>
        <w:jc w:val="left"/>
      </w:pPr>
      <w:r>
        <w:rPr>
          <w:rFonts w:ascii="Arial" w:hAnsi="Arial"/>
          <w:color w:val="525252"/>
          <w:sz w:val="13"/>
        </w:rPr>
        <w:t>The command for attention is “Flight, ATTENTION.” On the command “ATTENTION,” members of the formation come to attention by bringing the heels together smartly and on line, as near each other as the conformation of the body permits.</w:t>
      </w:r>
    </w:p>
    <w:p>
      <w:pPr>
        <w:spacing w:after="20" w:line="223" w:lineRule="auto"/>
        <w:jc w:val="right"/>
        <w:bidi/>
      </w:pPr>
      <w:r>
        <w:rPr>
          <w:rFonts w:ascii="Arial" w:hAnsi="Arial"/>
          <w:sz w:val="16"/>
        </w:rPr>
        <w:t>547.04  پاها به‌طور مساوی چرخانده می‌شوند تا یک زاویه ۴۵ درجه تشکیل دهند.</w:t>
      </w:r>
    </w:p>
    <w:p>
      <w:pPr>
        <w:spacing w:after="28" w:line="216" w:lineRule="auto"/>
        <w:ind w:left="259"/>
        <w:jc w:val="left"/>
      </w:pPr>
      <w:r>
        <w:rPr>
          <w:rFonts w:ascii="Arial" w:hAnsi="Arial"/>
          <w:color w:val="525252"/>
          <w:sz w:val="13"/>
        </w:rPr>
        <w:t>Feet are turned out equally to form a 45-degree angle.</w:t>
      </w:r>
    </w:p>
    <w:p>
      <w:pPr>
        <w:spacing w:after="20" w:line="223" w:lineRule="auto"/>
        <w:jc w:val="right"/>
        <w:bidi/>
      </w:pPr>
      <w:r>
        <w:rPr>
          <w:rFonts w:ascii="Arial" w:hAnsi="Arial"/>
          <w:sz w:val="16"/>
        </w:rPr>
        <w:t>547.05  پاها را بدون سفت کردن یا قفل کردن زانوها صاف نگه دارید.</w:t>
      </w:r>
    </w:p>
    <w:p>
      <w:pPr>
        <w:spacing w:after="28" w:line="216" w:lineRule="auto"/>
        <w:ind w:left="259"/>
        <w:jc w:val="left"/>
      </w:pPr>
      <w:r>
        <w:rPr>
          <w:rFonts w:ascii="Arial" w:hAnsi="Arial"/>
          <w:color w:val="525252"/>
          <w:sz w:val="13"/>
        </w:rPr>
        <w:t>Keep the legs straight without stiffening or locking the knees.</w:t>
      </w:r>
    </w:p>
    <w:p>
      <w:pPr>
        <w:spacing w:after="20" w:line="223" w:lineRule="auto"/>
        <w:jc w:val="right"/>
        <w:bidi/>
      </w:pPr>
      <w:r>
        <w:rPr>
          <w:rFonts w:ascii="Arial" w:hAnsi="Arial"/>
          <w:sz w:val="16"/>
        </w:rPr>
        <w:t>547.06  بدن در حالت ایستاده با باسن، قفسه سینه بلند، پشت قوس دار، و شانه‌ها مربع و یکنواخت است.</w:t>
      </w:r>
    </w:p>
    <w:p>
      <w:pPr>
        <w:spacing w:after="28" w:line="216" w:lineRule="auto"/>
        <w:ind w:left="259"/>
        <w:jc w:val="left"/>
      </w:pPr>
      <w:r>
        <w:rPr>
          <w:rFonts w:ascii="Arial" w:hAnsi="Arial"/>
          <w:color w:val="525252"/>
          <w:sz w:val="13"/>
        </w:rPr>
        <w:t>The body is erect with hips level, chest lifted, back arched, and shoulders square and even.</w:t>
      </w:r>
    </w:p>
    <w:p>
      <w:pPr>
        <w:spacing w:after="20" w:line="223" w:lineRule="auto"/>
        <w:jc w:val="right"/>
        <w:bidi/>
      </w:pPr>
      <w:r>
        <w:rPr>
          <w:rFonts w:ascii="Arial" w:hAnsi="Arial"/>
          <w:sz w:val="16"/>
        </w:rPr>
        <w:t>547.07  بازوها مستقیما در کنار بدن و بدون سفتی آویزان می‌شوند و مچ‌ها با ساعد صاف هستند.</w:t>
      </w:r>
    </w:p>
    <w:p>
      <w:pPr>
        <w:spacing w:after="28" w:line="216" w:lineRule="auto"/>
        <w:ind w:left="259"/>
        <w:jc w:val="left"/>
      </w:pPr>
      <w:r>
        <w:rPr>
          <w:rFonts w:ascii="Arial" w:hAnsi="Arial"/>
          <w:color w:val="525252"/>
          <w:sz w:val="13"/>
        </w:rPr>
        <w:t>Arms hang straight down alongside the body without stiffness and the wrists are straight with the forearms.</w:t>
      </w:r>
    </w:p>
    <w:p>
      <w:pPr>
        <w:spacing w:after="20" w:line="223" w:lineRule="auto"/>
        <w:jc w:val="right"/>
        <w:bidi/>
      </w:pPr>
      <w:r>
        <w:rPr>
          <w:rFonts w:ascii="Arial" w:hAnsi="Arial"/>
          <w:sz w:val="16"/>
        </w:rPr>
        <w:t>547.08  انگشتان شست را که در امتداد اولین مفصل انگشت سبابه قرار دارند، در امتداد درزهای شلوار یا کناره‌های دامن قرار دهید.</w:t>
      </w:r>
    </w:p>
    <w:p>
      <w:pPr>
        <w:spacing w:after="28" w:line="216" w:lineRule="auto"/>
        <w:ind w:left="259"/>
        <w:jc w:val="left"/>
      </w:pPr>
      <w:r>
        <w:rPr>
          <w:rFonts w:ascii="Arial" w:hAnsi="Arial"/>
          <w:color w:val="525252"/>
          <w:sz w:val="13"/>
        </w:rPr>
        <w:t>Place thumbs, which are resting along the first joint of the forefinger, along the seams of the trousers or sides of the skirt.</w:t>
      </w:r>
    </w:p>
    <w:p>
      <w:pPr>
        <w:spacing w:after="20" w:line="223" w:lineRule="auto"/>
        <w:jc w:val="right"/>
        <w:bidi/>
      </w:pPr>
      <w:r>
        <w:rPr>
          <w:rFonts w:ascii="Arial" w:hAnsi="Arial"/>
          <w:sz w:val="16"/>
        </w:rPr>
        <w:t>547.09  دست‌ها با کف دست (اما نه به صورت مشت گره کرده) و کف دست‌ها رو به پا است.</w:t>
      </w:r>
    </w:p>
    <w:p>
      <w:pPr>
        <w:spacing w:after="28" w:line="216" w:lineRule="auto"/>
        <w:ind w:left="259"/>
        <w:jc w:val="left"/>
      </w:pPr>
      <w:r>
        <w:rPr>
          <w:rFonts w:ascii="Arial" w:hAnsi="Arial"/>
          <w:color w:val="525252"/>
          <w:sz w:val="13"/>
        </w:rPr>
        <w:t>Hands are cupped (but not clenched as a fist) with palms facing the leg.</w:t>
      </w:r>
    </w:p>
    <w:p>
      <w:pPr>
        <w:spacing w:after="20" w:line="223" w:lineRule="auto"/>
        <w:jc w:val="right"/>
        <w:bidi/>
      </w:pPr>
      <w:r>
        <w:rPr>
          <w:rFonts w:ascii="Arial" w:hAnsi="Arial"/>
          <w:sz w:val="16"/>
        </w:rPr>
        <w:t>547.10  سر مستقیما به سمت جلو نگه داشته می‌شود، چانه کمی کشیده شده است، به طوری که محور سر و گردن عمودی است، و چشم‌ها به سمت جلو با خط دید موازی با زمین هستند.</w:t>
      </w:r>
    </w:p>
    <w:p>
      <w:pPr>
        <w:spacing w:after="28" w:line="216" w:lineRule="auto"/>
        <w:ind w:left="259"/>
        <w:jc w:val="left"/>
      </w:pPr>
      <w:r>
        <w:rPr>
          <w:rFonts w:ascii="Arial" w:hAnsi="Arial"/>
          <w:color w:val="525252"/>
          <w:sz w:val="13"/>
        </w:rPr>
        <w:t>The head is held straight to the front, the chin is drawn slightly so the axis of the head and neck is vertical, and the eyes are to the front with the line of sight parallel to the ground.</w:t>
      </w:r>
    </w:p>
    <w:p>
      <w:pPr>
        <w:spacing w:after="20" w:line="223" w:lineRule="auto"/>
        <w:jc w:val="right"/>
        <w:bidi/>
      </w:pPr>
      <w:r>
        <w:rPr>
          <w:rFonts w:ascii="Arial" w:hAnsi="Arial"/>
          <w:sz w:val="16"/>
        </w:rPr>
        <w:t>547.11  وزن بدن به‌طور مساوی روی پاشنه‌ها و گوی‌های هر دو پا قرار می‌گیرد.</w:t>
      </w:r>
    </w:p>
    <w:p>
      <w:pPr>
        <w:spacing w:after="28" w:line="216" w:lineRule="auto"/>
        <w:ind w:left="259"/>
        <w:jc w:val="left"/>
      </w:pPr>
      <w:r>
        <w:rPr>
          <w:rFonts w:ascii="Arial" w:hAnsi="Arial"/>
          <w:color w:val="525252"/>
          <w:sz w:val="13"/>
        </w:rPr>
        <w:t>The weight of the body rests equally on the heels and balls of both feet.</w:t>
      </w:r>
    </w:p>
    <w:p>
      <w:pPr>
        <w:spacing w:after="20" w:line="223" w:lineRule="auto"/>
        <w:jc w:val="right"/>
        <w:bidi/>
      </w:pPr>
      <w:r>
        <w:rPr>
          <w:rFonts w:ascii="Arial" w:hAnsi="Arial"/>
          <w:sz w:val="16"/>
        </w:rPr>
        <w:t>547.12  سکوت و بی حرکتی لازم است.</w:t>
      </w:r>
    </w:p>
    <w:p>
      <w:pPr>
        <w:spacing w:after="28" w:line="216" w:lineRule="auto"/>
        <w:ind w:left="259"/>
        <w:jc w:val="left"/>
      </w:pPr>
      <w:r>
        <w:rPr>
          <w:rFonts w:ascii="Arial" w:hAnsi="Arial"/>
          <w:color w:val="525252"/>
          <w:sz w:val="13"/>
        </w:rPr>
        <w:t>Silence and immobility are required.</w:t>
      </w:r>
    </w:p>
    <w:p>
      <w:pPr>
        <w:spacing w:after="20" w:line="223" w:lineRule="auto"/>
        <w:jc w:val="right"/>
        <w:bidi/>
      </w:pPr>
      <w:r>
        <w:rPr>
          <w:rFonts w:ascii="Arial" w:hAnsi="Arial"/>
          <w:sz w:val="16"/>
        </w:rPr>
        <w:t>547.13  رتبه‌های باز.</w:t>
      </w:r>
    </w:p>
    <w:p>
      <w:pPr>
        <w:spacing w:after="28" w:line="216" w:lineRule="auto"/>
        <w:ind w:left="259"/>
        <w:jc w:val="left"/>
      </w:pPr>
      <w:r>
        <w:rPr>
          <w:rFonts w:ascii="Arial" w:hAnsi="Arial"/>
          <w:color w:val="525252"/>
          <w:sz w:val="13"/>
        </w:rPr>
        <w:t>Open Ranks.</w:t>
      </w:r>
    </w:p>
    <w:p>
      <w:pPr>
        <w:spacing w:after="20" w:line="223" w:lineRule="auto"/>
        <w:jc w:val="right"/>
        <w:bidi/>
      </w:pPr>
      <w:r>
        <w:rPr>
          <w:rFonts w:ascii="Arial" w:hAnsi="Arial"/>
          <w:sz w:val="16"/>
        </w:rPr>
        <w:t>547.14  دستور برای رتبه‌های باز "وپن رانکس، MARCH" است. فرمان "وپن رانکس، MARCH" تنها زمانی به یک آرایش داده می‌شود که در فواصل زمانی عادی در صف باشد.</w:t>
      </w:r>
    </w:p>
    <w:p>
      <w:pPr>
        <w:spacing w:after="28" w:line="216" w:lineRule="auto"/>
        <w:ind w:left="259"/>
        <w:jc w:val="left"/>
      </w:pPr>
      <w:r>
        <w:rPr>
          <w:rFonts w:ascii="Arial" w:hAnsi="Arial"/>
          <w:color w:val="525252"/>
          <w:sz w:val="13"/>
        </w:rPr>
        <w:t>The command for open ranks is “Open Ranks, MARCH.” The command “Open Ranks, MARCH” is only given to a formation when in line at normal intervals.</w:t>
      </w:r>
    </w:p>
    <w:p>
      <w:pPr>
        <w:spacing w:after="20" w:line="223" w:lineRule="auto"/>
        <w:jc w:val="right"/>
        <w:bidi/>
      </w:pPr>
      <w:r>
        <w:rPr>
          <w:rFonts w:ascii="Arial" w:hAnsi="Arial"/>
          <w:sz w:val="16"/>
        </w:rPr>
        <w:t>547.15  در دستور "MARCH"، رتبه چهارم سریع می‌ایستد و به‌طور خودکار لباس مناسب لباس را اجرا می‌کند.</w:t>
      </w:r>
    </w:p>
    <w:p>
      <w:pPr>
        <w:spacing w:after="28" w:line="216" w:lineRule="auto"/>
        <w:ind w:left="259"/>
        <w:jc w:val="left"/>
      </w:pPr>
      <w:r>
        <w:rPr>
          <w:rFonts w:ascii="Arial" w:hAnsi="Arial"/>
          <w:color w:val="525252"/>
          <w:sz w:val="13"/>
        </w:rPr>
        <w:t>On the command “MARCH,” the fourth rank stands fast and automatically executes dress right dress.</w:t>
      </w:r>
    </w:p>
    <w:p>
      <w:pPr>
        <w:spacing w:after="20" w:line="223" w:lineRule="auto"/>
        <w:jc w:val="right"/>
        <w:bidi/>
      </w:pPr>
      <w:r>
        <w:rPr>
          <w:rFonts w:ascii="Arial" w:hAnsi="Arial"/>
          <w:sz w:val="16"/>
        </w:rPr>
        <w:t>547.16  رتبه سوم یک قدم، رتبه دوم دو، و رتبه اول سه قدم به جلو می‌رود.</w:t>
      </w:r>
    </w:p>
    <w:p>
      <w:pPr>
        <w:spacing w:after="28" w:line="216" w:lineRule="auto"/>
        <w:ind w:left="259"/>
        <w:jc w:val="left"/>
      </w:pPr>
      <w:r>
        <w:rPr>
          <w:rFonts w:ascii="Arial" w:hAnsi="Arial"/>
          <w:color w:val="525252"/>
          <w:sz w:val="13"/>
        </w:rPr>
        <w:t>The third rank takes one pace, the second rank takes two, and the first rank takes three paces forward.</w:t>
      </w:r>
    </w:p>
    <w:p>
      <w:pPr>
        <w:spacing w:after="20" w:line="223" w:lineRule="auto"/>
        <w:jc w:val="right"/>
        <w:bidi/>
      </w:pPr>
      <w:r>
        <w:rPr>
          <w:rFonts w:ascii="Arial" w:hAnsi="Arial"/>
          <w:sz w:val="16"/>
        </w:rPr>
        <w:t>547.17  فرمانده پرواز، پرواز را تراز می‌کند، سپس «آماده، جلو» را فرمان می‌دهد. رتبه‌های باز دستوری است که برای بازرسی پرواز داده می‌شود.</w:t>
      </w:r>
    </w:p>
    <w:p>
      <w:pPr>
        <w:spacing w:after="28" w:line="216" w:lineRule="auto"/>
        <w:ind w:left="259"/>
        <w:jc w:val="left"/>
      </w:pPr>
      <w:r>
        <w:rPr>
          <w:rFonts w:ascii="Arial" w:hAnsi="Arial"/>
          <w:color w:val="525252"/>
          <w:sz w:val="13"/>
        </w:rPr>
        <w:t>The flight commander aligns the flight, then commands “Ready, FRONT.” Open ranks is a command given for inspecting the flight.</w:t>
      </w:r>
    </w:p>
    <w:p>
      <w:pPr>
        <w:spacing w:after="20" w:line="223" w:lineRule="auto"/>
        <w:jc w:val="right"/>
        <w:bidi/>
      </w:pPr>
      <w:r>
        <w:rPr>
          <w:rFonts w:ascii="Arial" w:hAnsi="Arial"/>
          <w:sz w:val="16"/>
        </w:rPr>
        <w:t>547.18  پس از بازرسی کل پرواز، بازرس به سمت راست (رهبران) پرواز حرکت می‌کند.</w:t>
      </w:r>
    </w:p>
    <w:p>
      <w:pPr>
        <w:spacing w:after="28" w:line="216" w:lineRule="auto"/>
        <w:ind w:left="259"/>
        <w:jc w:val="left"/>
      </w:pPr>
      <w:r>
        <w:rPr>
          <w:rFonts w:ascii="Arial" w:hAnsi="Arial"/>
          <w:color w:val="525252"/>
          <w:sz w:val="13"/>
        </w:rPr>
        <w:t>After inspecting the entire flight, the inspector marches off to the right flank (element leaders) of the flight.</w:t>
      </w:r>
    </w:p>
    <w:p>
      <w:pPr>
        <w:spacing w:after="20" w:line="223" w:lineRule="auto"/>
        <w:jc w:val="right"/>
        <w:bidi/>
      </w:pPr>
      <w:r>
        <w:rPr>
          <w:rFonts w:ascii="Arial" w:hAnsi="Arial"/>
          <w:sz w:val="16"/>
        </w:rPr>
        <w:t>547.19  فرمانده پرواز پرواز را مورد توجه قرار می‌دهد.</w:t>
      </w:r>
    </w:p>
    <w:p>
      <w:pPr>
        <w:spacing w:after="28" w:line="216" w:lineRule="auto"/>
        <w:ind w:left="259"/>
        <w:jc w:val="left"/>
      </w:pPr>
      <w:r>
        <w:rPr>
          <w:rFonts w:ascii="Arial" w:hAnsi="Arial"/>
          <w:color w:val="525252"/>
          <w:sz w:val="13"/>
        </w:rPr>
        <w:t>The flight commander calls the flight to attention.</w:t>
      </w:r>
    </w:p>
    <w:p>
      <w:pPr>
        <w:spacing w:after="20" w:line="223" w:lineRule="auto"/>
        <w:jc w:val="right"/>
        <w:bidi/>
      </w:pPr>
      <w:r>
        <w:rPr>
          <w:rFonts w:ascii="Arial" w:hAnsi="Arial"/>
          <w:sz w:val="16"/>
        </w:rPr>
        <w:t>547.20  سپس فرمانده پرواز دستور "کلوس رانکس، MARCH" را صادر می‌کند. در فرمان "MARCH" رتبه اول به سرعت می‌ایستد.</w:t>
      </w:r>
    </w:p>
    <w:p>
      <w:pPr>
        <w:spacing w:after="28" w:line="216" w:lineRule="auto"/>
        <w:ind w:left="259"/>
        <w:jc w:val="left"/>
      </w:pPr>
      <w:r>
        <w:rPr>
          <w:rFonts w:ascii="Arial" w:hAnsi="Arial"/>
          <w:color w:val="525252"/>
          <w:sz w:val="13"/>
        </w:rPr>
        <w:t>The flight commander then commands “Close Ranks, MARCH.” On the command “MARCH,” the first rank stands fast.</w:t>
      </w:r>
    </w:p>
    <w:p>
      <w:pPr>
        <w:spacing w:after="20" w:line="223" w:lineRule="auto"/>
        <w:jc w:val="right"/>
        <w:bidi/>
      </w:pPr>
      <w:r>
        <w:rPr>
          <w:rFonts w:ascii="Arial" w:hAnsi="Arial"/>
          <w:sz w:val="16"/>
        </w:rPr>
        <w:t>547.21  رتبه دوم یک قدم به جلو می‌رود و در موقعیت توجه متوقف می‌شود.</w:t>
      </w:r>
    </w:p>
    <w:p>
      <w:pPr>
        <w:spacing w:after="28" w:line="216" w:lineRule="auto"/>
        <w:ind w:left="259"/>
        <w:jc w:val="left"/>
      </w:pPr>
      <w:r>
        <w:rPr>
          <w:rFonts w:ascii="Arial" w:hAnsi="Arial"/>
          <w:color w:val="525252"/>
          <w:sz w:val="13"/>
        </w:rPr>
        <w:t>The second rank takes one pace forward and halts at the position of attention.</w:t>
      </w:r>
    </w:p>
    <w:p>
      <w:pPr>
        <w:spacing w:after="20" w:line="223" w:lineRule="auto"/>
        <w:jc w:val="right"/>
        <w:bidi/>
      </w:pPr>
      <w:r>
        <w:rPr>
          <w:rFonts w:ascii="Arial" w:hAnsi="Arial"/>
          <w:sz w:val="16"/>
        </w:rPr>
        <w:t>547.22  رتبه‌های سوم و چهارم به ترتیب دو و سه قدم به جلو می‌روند و توجه را متوقف می‌کنند.</w:t>
      </w:r>
    </w:p>
    <w:p>
      <w:pPr>
        <w:spacing w:after="28" w:line="216" w:lineRule="auto"/>
        <w:ind w:left="259"/>
        <w:jc w:val="left"/>
      </w:pPr>
      <w:r>
        <w:rPr>
          <w:rFonts w:ascii="Arial" w:hAnsi="Arial"/>
          <w:color w:val="525252"/>
          <w:sz w:val="13"/>
        </w:rPr>
        <w:t>The third and fourth ranks take two and three paces forward, respectively, and halt at attention.</w:t>
      </w:r>
    </w:p>
    <w:p>
      <w:pPr>
        <w:spacing w:before="60" w:after="28"/>
        <w:jc w:val="right"/>
        <w:bidi/>
      </w:pPr>
      <w:r>
        <w:rPr>
          <w:b/>
          <w:color w:val="1F4D78"/>
          <w:sz w:val="18"/>
        </w:rPr>
        <w:t>24.33. موقعیت های استراحت</w:t>
      </w:r>
    </w:p>
    <w:p>
      <w:pPr>
        <w:spacing w:after="20"/>
        <w:ind w:left="259"/>
        <w:jc w:val="left"/>
      </w:pPr>
      <w:r>
        <w:rPr>
          <w:color w:val="555555"/>
          <w:sz w:val="12"/>
        </w:rPr>
        <w:t>24.33. Rest Positions</w:t>
      </w:r>
    </w:p>
    <w:p>
      <w:pPr>
        <w:spacing w:after="20" w:line="223" w:lineRule="auto"/>
        <w:jc w:val="right"/>
        <w:bidi/>
      </w:pPr>
      <w:r>
        <w:rPr>
          <w:rFonts w:ascii="Arial" w:hAnsi="Arial"/>
          <w:sz w:val="16"/>
        </w:rPr>
        <w:t>547.24  چهار حالت استراحت وجود دارد: استراحت رژه، آسودگی، استراحت و افتادن.</w:t>
      </w:r>
    </w:p>
    <w:p>
      <w:pPr>
        <w:spacing w:after="28" w:line="216" w:lineRule="auto"/>
        <w:ind w:left="259"/>
        <w:jc w:val="left"/>
      </w:pPr>
      <w:r>
        <w:rPr>
          <w:rFonts w:ascii="Arial" w:hAnsi="Arial"/>
          <w:color w:val="525252"/>
          <w:sz w:val="13"/>
        </w:rPr>
        <w:t>There are four positions of rest: parade rest, at ease, rest, and fall out.</w:t>
      </w:r>
    </w:p>
    <w:p>
      <w:pPr>
        <w:spacing w:after="20" w:line="223" w:lineRule="auto"/>
        <w:jc w:val="right"/>
        <w:bidi/>
      </w:pPr>
      <w:r>
        <w:rPr>
          <w:rFonts w:ascii="Arial" w:hAnsi="Arial"/>
          <w:sz w:val="16"/>
        </w:rPr>
        <w:t>547.25  فرمانده و اعضای تشکیلات قبل از رفتن به هر یک از مواضع استراحت باید در موضع توجه باشند.</w:t>
      </w:r>
    </w:p>
    <w:p>
      <w:pPr>
        <w:spacing w:after="28" w:line="216" w:lineRule="auto"/>
        <w:ind w:left="259"/>
        <w:jc w:val="left"/>
      </w:pPr>
      <w:r>
        <w:rPr>
          <w:rFonts w:ascii="Arial" w:hAnsi="Arial"/>
          <w:color w:val="525252"/>
          <w:sz w:val="13"/>
        </w:rPr>
        <w:t>The commander and members of the formation must be at the position of attention before going to any of the rest positions.</w:t>
      </w:r>
    </w:p>
    <w:p>
      <w:pPr>
        <w:spacing w:after="20" w:line="223" w:lineRule="auto"/>
        <w:jc w:val="right"/>
        <w:bidi/>
      </w:pPr>
      <w:r>
        <w:rPr>
          <w:rFonts w:ascii="Arial" w:hAnsi="Arial"/>
          <w:sz w:val="16"/>
        </w:rPr>
        <w:t>547.26  برای از سرگیری موقعیت توجه از هر یک از استراحت‌ها (به جز افتادن، که فرمانده از دستور "FALL IN" برای آن استفاده می‌کند)، دستور "پرواز، توجه" است. استراحت رژه.</w:t>
      </w:r>
    </w:p>
    <w:p>
      <w:pPr>
        <w:spacing w:after="28" w:line="216" w:lineRule="auto"/>
        <w:ind w:left="259"/>
        <w:jc w:val="left"/>
      </w:pPr>
      <w:r>
        <w:rPr>
          <w:rFonts w:ascii="Arial" w:hAnsi="Arial"/>
          <w:color w:val="525252"/>
          <w:sz w:val="13"/>
        </w:rPr>
        <w:t>To resume the position of attention from any of the rests (except fall out, for which the commander uses the command “FALL IN”), the command is “Flight, ATTENTION.” Parade Rest.</w:t>
      </w:r>
    </w:p>
    <w:p>
      <w:pPr>
        <w:spacing w:after="20" w:line="223" w:lineRule="auto"/>
        <w:jc w:val="right"/>
        <w:bidi/>
      </w:pPr>
      <w:r>
        <w:rPr>
          <w:rFonts w:ascii="Arial" w:hAnsi="Arial"/>
          <w:sz w:val="16"/>
        </w:rPr>
        <w:t>547.27  دستور استراحت رژه "پاراد، REST" است. در فرمان «REST»، اعضای سازند پای چپ را از باسن به اندازه‌ای بلند می‌کنند که زمین را پاک کند و هوشمندانه به سمت چپ حرکت می‌کند تا پاشنه‌ها ۱۲ اینچ از هم فاصله داشته باشند، همانطور که از داخل پاشنه اندازه‌گیری می‌شود.</w:t>
      </w:r>
    </w:p>
    <w:p>
      <w:pPr>
        <w:spacing w:after="28" w:line="216" w:lineRule="auto"/>
        <w:ind w:left="259"/>
        <w:jc w:val="left"/>
      </w:pPr>
      <w:r>
        <w:rPr>
          <w:rFonts w:ascii="Arial" w:hAnsi="Arial"/>
          <w:color w:val="525252"/>
          <w:sz w:val="13"/>
        </w:rPr>
        <w:t>The command for parade rest is “Parade, REST.” On the command “REST,” members of the formation raise the left foot from the hip just enough to clear the ground and move smartly to the left so the heels are 12 inches apart, as measured from the inside of the heels.</w:t>
      </w:r>
    </w:p>
    <w:p>
      <w:pPr>
        <w:spacing w:after="20" w:line="223" w:lineRule="auto"/>
        <w:jc w:val="right"/>
        <w:bidi/>
      </w:pPr>
      <w:r>
        <w:rPr>
          <w:rFonts w:ascii="Arial" w:hAnsi="Arial"/>
          <w:sz w:val="16"/>
        </w:rPr>
        <w:t>547.28  پاها را صاف نگه دارید اما سفت نکنید و پاشنه‌ها را روی خط نگه دارید.</w:t>
      </w:r>
    </w:p>
    <w:p>
      <w:pPr>
        <w:spacing w:after="28" w:line="216" w:lineRule="auto"/>
        <w:ind w:left="259"/>
        <w:jc w:val="left"/>
      </w:pPr>
      <w:r>
        <w:rPr>
          <w:rFonts w:ascii="Arial" w:hAnsi="Arial"/>
          <w:color w:val="525252"/>
          <w:sz w:val="13"/>
        </w:rPr>
        <w:t>Keep the legs straight but not stiff, and the heels on line.</w:t>
      </w:r>
    </w:p>
    <w:p>
      <w:pPr>
        <w:spacing w:after="20" w:line="223" w:lineRule="auto"/>
        <w:jc w:val="right"/>
        <w:bidi/>
      </w:pPr>
      <w:r>
        <w:rPr>
          <w:rFonts w:ascii="Arial" w:hAnsi="Arial"/>
          <w:sz w:val="16"/>
        </w:rPr>
        <w:t>547.29  در حالی که پای چپ حرکت می‌کند، بازوها را کاملا به سمت پشت بدن دراز کنید، در این فرآیند دست‌ها را باز کنید و انگشتان هر دست را صاف کنید و آنها را به سمت زمین بگیرید.</w:t>
      </w:r>
    </w:p>
    <w:p>
      <w:pPr>
        <w:spacing w:after="28" w:line="216" w:lineRule="auto"/>
        <w:ind w:left="259"/>
        <w:jc w:val="left"/>
      </w:pPr>
      <w:r>
        <w:rPr>
          <w:rFonts w:ascii="Arial" w:hAnsi="Arial"/>
          <w:color w:val="525252"/>
          <w:sz w:val="13"/>
        </w:rPr>
        <w:t>As the left foot moves, bring the arms fully extended to the back of the body, uncupping the hands in the process and straightening the fingers of each hand, pointing them toward the ground.</w:t>
      </w:r>
    </w:p>
    <w:p>
      <w:pPr>
        <w:spacing w:after="20" w:line="223" w:lineRule="auto"/>
        <w:jc w:val="right"/>
        <w:bidi/>
      </w:pPr>
      <w:r>
        <w:rPr>
          <w:rFonts w:ascii="Arial" w:hAnsi="Arial"/>
          <w:sz w:val="16"/>
        </w:rPr>
        <w:t>547.30  کف دست‌ها را رو به بیرون قرار دهید و دست راست را در کف دست چپ، شست راست روی سمت چپ قرار دهید تا یک "کس" تشکیل شود. سر و چشم‌ها را مستقیم به جلو نگه دارید و ساکت و بی حرکت بمانید.</w:t>
      </w:r>
    </w:p>
    <w:p>
      <w:pPr>
        <w:spacing w:after="28" w:line="216" w:lineRule="auto"/>
        <w:ind w:left="259"/>
        <w:jc w:val="left"/>
      </w:pPr>
      <w:r>
        <w:rPr>
          <w:rFonts w:ascii="Arial" w:hAnsi="Arial"/>
          <w:color w:val="525252"/>
          <w:sz w:val="13"/>
        </w:rPr>
        <w:t>Face the palms outward and place the right hand in the palm of the left, right thumb over the left to form an “X.” Keep the head and eyes straight ahead and remain silent and immobile.</w:t>
      </w:r>
    </w:p>
    <w:p>
      <w:pPr>
        <w:spacing w:after="20" w:line="223" w:lineRule="auto"/>
        <w:jc w:val="right"/>
        <w:bidi/>
      </w:pPr>
      <w:r>
        <w:rPr>
          <w:rFonts w:ascii="Arial" w:hAnsi="Arial"/>
          <w:sz w:val="16"/>
        </w:rPr>
        <w:t>547.31  در آسودگی.</w:t>
      </w:r>
    </w:p>
    <w:p>
      <w:pPr>
        <w:spacing w:after="28" w:line="216" w:lineRule="auto"/>
        <w:ind w:left="259"/>
        <w:jc w:val="left"/>
      </w:pPr>
      <w:r>
        <w:rPr>
          <w:rFonts w:ascii="Arial" w:hAnsi="Arial"/>
          <w:color w:val="525252"/>
          <w:sz w:val="13"/>
        </w:rPr>
        <w:t>At Ease.</w:t>
      </w:r>
    </w:p>
    <w:p>
      <w:pPr>
        <w:spacing w:after="20" w:line="223" w:lineRule="auto"/>
        <w:jc w:val="right"/>
        <w:bidi/>
      </w:pPr>
      <w:r>
        <w:rPr>
          <w:rFonts w:ascii="Arial" w:hAnsi="Arial"/>
          <w:sz w:val="16"/>
        </w:rPr>
        <w:t>547.32  دستور ات اس "AT EASE" است. در فرمان "AT EASE"، اعضای تشکیلات ممکن است در حالت ایستاده استراحت کنند، اما باید پای راست را در جای خود نگه دارند.</w:t>
      </w:r>
    </w:p>
    <w:p>
      <w:pPr>
        <w:spacing w:after="28" w:line="216" w:lineRule="auto"/>
        <w:ind w:left="259"/>
        <w:jc w:val="left"/>
      </w:pPr>
      <w:r>
        <w:rPr>
          <w:rFonts w:ascii="Arial" w:hAnsi="Arial"/>
          <w:color w:val="525252"/>
          <w:sz w:val="13"/>
        </w:rPr>
        <w:t>The command for at ease is “AT EASE.” On the command “AT EASE,” members of the formation may relax in a standing position but must keep the right foot in place.</w:t>
      </w:r>
    </w:p>
    <w:p>
      <w:pPr>
        <w:spacing w:after="20" w:line="223" w:lineRule="auto"/>
        <w:jc w:val="right"/>
        <w:bidi/>
      </w:pPr>
      <w:r>
        <w:rPr>
          <w:rFonts w:ascii="Arial" w:hAnsi="Arial"/>
          <w:sz w:val="16"/>
        </w:rPr>
        <w:t>547.33  جایگاه آنها در ترکیب تغییر نخواهد کرد.</w:t>
      </w:r>
    </w:p>
    <w:p>
      <w:pPr>
        <w:spacing w:after="28" w:line="216" w:lineRule="auto"/>
        <w:ind w:left="259"/>
        <w:jc w:val="left"/>
      </w:pPr>
      <w:r>
        <w:rPr>
          <w:rFonts w:ascii="Arial" w:hAnsi="Arial"/>
          <w:color w:val="525252"/>
          <w:sz w:val="13"/>
        </w:rPr>
        <w:t>Their position in the formation will not change.</w:t>
      </w:r>
    </w:p>
    <w:p>
      <w:pPr>
        <w:spacing w:after="20" w:line="223" w:lineRule="auto"/>
        <w:jc w:val="right"/>
        <w:bidi/>
      </w:pPr>
      <w:r>
        <w:rPr>
          <w:rFonts w:ascii="Arial" w:hAnsi="Arial"/>
          <w:sz w:val="16"/>
        </w:rPr>
        <w:t>547.34  سکوت برقرار است.</w:t>
      </w:r>
    </w:p>
    <w:p>
      <w:pPr>
        <w:spacing w:after="28" w:line="216" w:lineRule="auto"/>
        <w:ind w:left="259"/>
        <w:jc w:val="left"/>
      </w:pPr>
      <w:r>
        <w:rPr>
          <w:rFonts w:ascii="Arial" w:hAnsi="Arial"/>
          <w:color w:val="525252"/>
          <w:sz w:val="13"/>
        </w:rPr>
        <w:t>Silence is maintained.</w:t>
      </w:r>
    </w:p>
    <w:p>
      <w:pPr>
        <w:spacing w:after="20" w:line="223" w:lineRule="auto"/>
        <w:jc w:val="right"/>
        <w:bidi/>
      </w:pPr>
      <w:r>
        <w:rPr>
          <w:rFonts w:ascii="Arial" w:hAnsi="Arial"/>
          <w:sz w:val="16"/>
        </w:rPr>
        <w:t>547.35  استراحت.</w:t>
      </w:r>
    </w:p>
    <w:p>
      <w:pPr>
        <w:spacing w:after="28" w:line="216" w:lineRule="auto"/>
        <w:ind w:left="259"/>
        <w:jc w:val="left"/>
      </w:pPr>
      <w:r>
        <w:rPr>
          <w:rFonts w:ascii="Arial" w:hAnsi="Arial"/>
          <w:color w:val="525252"/>
          <w:sz w:val="13"/>
        </w:rPr>
        <w:t>Rest.</w:t>
      </w:r>
    </w:p>
    <w:p>
      <w:pPr>
        <w:spacing w:after="20" w:line="223" w:lineRule="auto"/>
        <w:jc w:val="right"/>
        <w:bidi/>
      </w:pPr>
      <w:r>
        <w:rPr>
          <w:rFonts w:ascii="Arial" w:hAnsi="Arial"/>
          <w:sz w:val="16"/>
        </w:rPr>
        <w:t>547.36  دستور استراحت "REST" است. در دستور "REST"، همان الزامات برای آسان اعمال می‌شود، اما گفتار متوسط ​​مجاز است.</w:t>
      </w:r>
    </w:p>
    <w:p>
      <w:pPr>
        <w:spacing w:after="28" w:line="216" w:lineRule="auto"/>
        <w:ind w:left="259"/>
        <w:jc w:val="left"/>
      </w:pPr>
      <w:r>
        <w:rPr>
          <w:rFonts w:ascii="Arial" w:hAnsi="Arial"/>
          <w:color w:val="525252"/>
          <w:sz w:val="13"/>
        </w:rPr>
        <w:t>The command for rest is “REST.” On the command “REST,” the same requirements for at ease apply, but moderate speech is permitted.</w:t>
      </w:r>
    </w:p>
    <w:p>
      <w:pPr>
        <w:spacing w:after="20" w:line="223" w:lineRule="auto"/>
        <w:jc w:val="right"/>
        <w:bidi/>
      </w:pPr>
      <w:r>
        <w:rPr>
          <w:rFonts w:ascii="Arial" w:hAnsi="Arial"/>
          <w:sz w:val="16"/>
        </w:rPr>
        <w:t>547.37  سقوط کردن.</w:t>
      </w:r>
    </w:p>
    <w:p>
      <w:pPr>
        <w:spacing w:after="28" w:line="216" w:lineRule="auto"/>
        <w:ind w:left="259"/>
        <w:jc w:val="left"/>
      </w:pPr>
      <w:r>
        <w:rPr>
          <w:rFonts w:ascii="Arial" w:hAnsi="Arial"/>
          <w:color w:val="525252"/>
          <w:sz w:val="13"/>
        </w:rPr>
        <w:t>Fall Out.</w:t>
      </w:r>
    </w:p>
    <w:p>
      <w:pPr>
        <w:spacing w:after="20" w:line="223" w:lineRule="auto"/>
        <w:jc w:val="right"/>
        <w:bidi/>
      </w:pPr>
      <w:r>
        <w:rPr>
          <w:rFonts w:ascii="Arial" w:hAnsi="Arial"/>
          <w:sz w:val="16"/>
        </w:rPr>
        <w:t>547.38  دستور فالل ووت "FALL OUT" است. در دستور "افتادن بیرون"، افراد ممکن است در حالت ایستاده استراحت کنند یا در صف شکسته شوند.</w:t>
      </w:r>
    </w:p>
    <w:p>
      <w:pPr>
        <w:spacing w:after="28" w:line="216" w:lineRule="auto"/>
        <w:ind w:left="259"/>
        <w:jc w:val="left"/>
      </w:pPr>
      <w:r>
        <w:rPr>
          <w:rFonts w:ascii="Arial" w:hAnsi="Arial"/>
          <w:color w:val="525252"/>
          <w:sz w:val="13"/>
        </w:rPr>
        <w:t>The command for fall out is “FALL OUT.” On the command “FALL OUT,” individuals may relax in a standing position or break ranks.</w:t>
      </w:r>
    </w:p>
    <w:p>
      <w:pPr>
        <w:spacing w:after="20" w:line="223" w:lineRule="auto"/>
        <w:jc w:val="right"/>
        <w:bidi/>
      </w:pPr>
      <w:r>
        <w:rPr>
          <w:rFonts w:ascii="Arial" w:hAnsi="Arial"/>
          <w:sz w:val="16"/>
        </w:rPr>
        <w:t>547.39  آنها باید در منطقه فوری باقی بمانند.</w:t>
      </w:r>
    </w:p>
    <w:p>
      <w:pPr>
        <w:spacing w:after="28" w:line="216" w:lineRule="auto"/>
        <w:ind w:left="259"/>
        <w:jc w:val="left"/>
      </w:pPr>
      <w:r>
        <w:rPr>
          <w:rFonts w:ascii="Arial" w:hAnsi="Arial"/>
          <w:color w:val="525252"/>
          <w:sz w:val="13"/>
        </w:rPr>
        <w:t>They must remain in the immediate area.</w:t>
      </w:r>
    </w:p>
    <w:p>
      <w:pPr>
        <w:spacing w:after="20" w:line="223" w:lineRule="auto"/>
        <w:jc w:val="right"/>
        <w:bidi/>
      </w:pPr>
      <w:r>
        <w:rPr>
          <w:rFonts w:ascii="Arial" w:hAnsi="Arial"/>
          <w:sz w:val="16"/>
        </w:rPr>
        <w:t>547.40  روش خاصی برای پراکندگی مورد نیاز نیست.</w:t>
      </w:r>
    </w:p>
    <w:p>
      <w:pPr>
        <w:spacing w:after="28" w:line="216" w:lineRule="auto"/>
        <w:ind w:left="259"/>
        <w:jc w:val="left"/>
      </w:pPr>
      <w:r>
        <w:rPr>
          <w:rFonts w:ascii="Arial" w:hAnsi="Arial"/>
          <w:color w:val="525252"/>
          <w:sz w:val="13"/>
        </w:rPr>
        <w:t>No specific method of dispersal is required.</w:t>
      </w:r>
    </w:p>
    <w:p>
      <w:pPr>
        <w:spacing w:after="20" w:line="223" w:lineRule="auto"/>
        <w:jc w:val="right"/>
        <w:bidi/>
      </w:pPr>
      <w:r>
        <w:rPr>
          <w:rFonts w:ascii="Arial" w:hAnsi="Arial"/>
          <w:sz w:val="16"/>
        </w:rPr>
        <w:t>547.41  گفتار معتدل مجاز است.</w:t>
      </w:r>
    </w:p>
    <w:p>
      <w:pPr>
        <w:spacing w:after="28" w:line="216" w:lineRule="auto"/>
        <w:ind w:left="259"/>
        <w:jc w:val="left"/>
      </w:pPr>
      <w:r>
        <w:rPr>
          <w:rFonts w:ascii="Arial" w:hAnsi="Arial"/>
          <w:color w:val="525252"/>
          <w:sz w:val="13"/>
        </w:rPr>
        <w:t>Moderate speech is permitted.</w:t>
      </w:r>
    </w:p>
    <w:p>
      <w:r>
        <w:br w:type="page"/>
      </w:r>
    </w:p>
    <w:p>
      <w:pPr>
        <w:spacing w:after="60"/>
        <w:jc w:val="right"/>
        <w:bidi/>
      </w:pPr>
      <w:r>
        <w:rPr>
          <w:rFonts w:ascii="Arial" w:hAnsi="Arial"/>
          <w:b/>
          <w:color w:val="1F4D78"/>
          <w:sz w:val="19"/>
        </w:rPr>
        <w:t>هفتهٔ 548  |  صفحهٔ منبع: 564</w:t>
      </w:r>
    </w:p>
    <w:p>
      <w:pPr>
        <w:spacing w:before="60" w:after="28"/>
        <w:jc w:val="right"/>
        <w:bidi/>
      </w:pPr>
      <w:r>
        <w:rPr>
          <w:b/>
          <w:color w:val="1F4D78"/>
          <w:sz w:val="18"/>
        </w:rPr>
        <w:t>بخش 24F - حفظ میراث ما</w:t>
      </w:r>
    </w:p>
    <w:p>
      <w:pPr>
        <w:spacing w:after="20"/>
        <w:ind w:left="259"/>
        <w:jc w:val="left"/>
      </w:pPr>
      <w:r>
        <w:rPr>
          <w:color w:val="555555"/>
          <w:sz w:val="12"/>
        </w:rPr>
        <w:t>Section 24F—Preserving Our Heritage</w:t>
      </w:r>
    </w:p>
    <w:p>
      <w:pPr>
        <w:spacing w:before="60" w:after="28"/>
        <w:jc w:val="right"/>
        <w:bidi/>
      </w:pPr>
      <w:r>
        <w:rPr>
          <w:b/>
          <w:color w:val="1F4D78"/>
          <w:sz w:val="18"/>
        </w:rPr>
        <w:t>24.34. مؤسسه تحقیقات میراث عضویت نیروی هوایی و موزه تالار میراث ثبت شده</w:t>
      </w:r>
    </w:p>
    <w:p>
      <w:pPr>
        <w:spacing w:after="20"/>
        <w:ind w:left="259"/>
        <w:jc w:val="left"/>
      </w:pPr>
      <w:r>
        <w:rPr>
          <w:color w:val="555555"/>
          <w:sz w:val="12"/>
        </w:rPr>
        <w:t>24.34. Air Force Enlisted Heritage Research Institute and Enlisted Heritage Hall Museum</w:t>
      </w:r>
    </w:p>
    <w:p>
      <w:pPr>
        <w:spacing w:after="20" w:line="223" w:lineRule="auto"/>
        <w:jc w:val="right"/>
        <w:bidi/>
      </w:pPr>
      <w:r>
        <w:rPr>
          <w:rFonts w:ascii="Arial" w:hAnsi="Arial"/>
          <w:sz w:val="16"/>
        </w:rPr>
        <w:t>548.03  در ماکسولل AFB-گونتر اننکس، آلاباما، مؤسسه تحقیقات میراث ثبت شده نیروی هوایی مخزن تاریخ و میراث ثبت شده نیروی هوایی است.</w:t>
      </w:r>
    </w:p>
    <w:p>
      <w:pPr>
        <w:spacing w:after="28" w:line="216" w:lineRule="auto"/>
        <w:ind w:left="259"/>
        <w:jc w:val="left"/>
      </w:pPr>
      <w:r>
        <w:rPr>
          <w:rFonts w:ascii="Arial" w:hAnsi="Arial"/>
          <w:color w:val="525252"/>
          <w:sz w:val="13"/>
        </w:rPr>
        <w:t>At Maxwell AFB-Gunter Annex, Alabama, the Air Force Enlisted Heritage Research Institute is a repository for Air Force enlisted history and heritage.</w:t>
      </w:r>
    </w:p>
    <w:p>
      <w:pPr>
        <w:spacing w:after="20" w:line="223" w:lineRule="auto"/>
        <w:jc w:val="right"/>
        <w:bidi/>
      </w:pPr>
      <w:r>
        <w:rPr>
          <w:rFonts w:ascii="Arial" w:hAnsi="Arial"/>
          <w:sz w:val="16"/>
        </w:rPr>
        <w:t>548.04  این شامل بیش از ۲۰۰۰۰۰ سند اصلی و مواد مرجع است که از سنین هوانوردی با بالون تا عملیات فعلی را در بر می‌گیرد.</w:t>
      </w:r>
    </w:p>
    <w:p>
      <w:pPr>
        <w:spacing w:after="28" w:line="216" w:lineRule="auto"/>
        <w:ind w:left="259"/>
        <w:jc w:val="left"/>
      </w:pPr>
      <w:r>
        <w:rPr>
          <w:rFonts w:ascii="Arial" w:hAnsi="Arial"/>
          <w:color w:val="525252"/>
          <w:sz w:val="13"/>
        </w:rPr>
        <w:t>It contains over 200,000 original documents and reference materials spanning the ages from balloon aviation to current operations.</w:t>
      </w:r>
    </w:p>
    <w:p>
      <w:pPr>
        <w:spacing w:after="20" w:line="223" w:lineRule="auto"/>
        <w:jc w:val="right"/>
        <w:bidi/>
      </w:pPr>
      <w:r>
        <w:rPr>
          <w:rFonts w:ascii="Arial" w:hAnsi="Arial"/>
          <w:sz w:val="16"/>
        </w:rPr>
        <w:t>548.05  مؤسسه تحقیقاتی میراث ثبت شده نیروی هوایی در موزه تالار میراث سرباز نیروی هوایی قرار دارد، که تنها موزه ثبت‌نام محور در نیروی هوایی و مکانی افتخاری است که برای یادآوری و آموزش اهمیت مشارکت‌های ثبت‌نام شده در نیروی هوایی طراحی شده است.</w:t>
      </w:r>
    </w:p>
    <w:p>
      <w:pPr>
        <w:spacing w:after="28" w:line="216" w:lineRule="auto"/>
        <w:ind w:left="259"/>
        <w:jc w:val="left"/>
      </w:pPr>
      <w:r>
        <w:rPr>
          <w:rFonts w:ascii="Arial" w:hAnsi="Arial"/>
          <w:color w:val="525252"/>
          <w:sz w:val="13"/>
        </w:rPr>
        <w:t>The Air Force Enlisted Heritage Research Institute is housed within the Air Force Enlisted Heritage Hall Museum, which is the only enlisted-centric museum in the Air Force and a place of honor designed to remember and teach the importance of enlisted contributions to Air Power.</w:t>
      </w:r>
    </w:p>
    <w:p>
      <w:pPr>
        <w:spacing w:after="20" w:line="223" w:lineRule="auto"/>
        <w:jc w:val="right"/>
        <w:bidi/>
      </w:pPr>
      <w:r>
        <w:rPr>
          <w:rFonts w:ascii="Arial" w:hAnsi="Arial"/>
          <w:sz w:val="16"/>
        </w:rPr>
        <w:t>548.06  ت نلیستد هریتاگ هالل، شکل ۲۴.۵، موزه‌ای به مساحت ۱۴۰۰۰ فوت مربع است که توسط آکادمی افسران ارشد نیروی هوایی در سال ۱۹۸۳ ساخته شد، که در اصل یک مرکز غذاخوری مجزا در سال ۱۹۴۲ بود.</w:t>
      </w:r>
    </w:p>
    <w:p>
      <w:pPr>
        <w:spacing w:after="28" w:line="216" w:lineRule="auto"/>
        <w:ind w:left="259"/>
        <w:jc w:val="left"/>
      </w:pPr>
      <w:r>
        <w:rPr>
          <w:rFonts w:ascii="Arial" w:hAnsi="Arial"/>
          <w:color w:val="525252"/>
          <w:sz w:val="13"/>
        </w:rPr>
        <w:t>The Enlisted Heritage Hall, Figure 24.5, is a 14,000 square foot museum that was developed by the Air Force Senior Non-Commissioned Officer Academy in 1983, which was originally a 1942 segregated dining facility.</w:t>
      </w:r>
    </w:p>
    <w:p>
      <w:pPr>
        <w:spacing w:after="20" w:line="223" w:lineRule="auto"/>
        <w:jc w:val="right"/>
        <w:bidi/>
      </w:pPr>
      <w:r>
        <w:rPr>
          <w:rFonts w:ascii="Arial" w:hAnsi="Arial"/>
          <w:sz w:val="16"/>
        </w:rPr>
        <w:t>548.07  در طول دهه‌ها، نمایشگرهایی برای نشان دادن مشارکت‌های نیروهای هوایی در مأموریت‌های هوایی و فضایی ایالات متحده آمریکا اضافه شده‌اند.</w:t>
      </w:r>
    </w:p>
    <w:p>
      <w:pPr>
        <w:spacing w:after="28" w:line="216" w:lineRule="auto"/>
        <w:ind w:left="259"/>
        <w:jc w:val="left"/>
      </w:pPr>
      <w:r>
        <w:rPr>
          <w:rFonts w:ascii="Arial" w:hAnsi="Arial"/>
          <w:color w:val="525252"/>
          <w:sz w:val="13"/>
        </w:rPr>
        <w:t>Throughout the decades, displays have been added to feature enlisted Airmen contributions to the Air and Space missions of the United States of America.</w:t>
      </w:r>
    </w:p>
    <w:p>
      <w:pPr>
        <w:spacing w:after="20" w:line="223" w:lineRule="auto"/>
        <w:jc w:val="right"/>
        <w:bidi/>
      </w:pPr>
      <w:r>
        <w:rPr>
          <w:rFonts w:ascii="Arial" w:hAnsi="Arial"/>
          <w:sz w:val="16"/>
        </w:rPr>
        <w:t>548.08  بیش از ۲۸۰ نمایشگاه انفرادی با بیش از ۳۰۰۰ مصنوع به نمایش گذاشته شده است، مانند مدال معتبر از چهار مدال از هشت مدال افتخارات ثبت شده، یک برجک توپ ب-۱۷، یک تفنگ دم ب-۵۲، یونیفرم‌های اعضای AF، مانند کمسافس سابق، نیروی هوایی هونورس، ۲۴.۵.</w:t>
      </w:r>
    </w:p>
    <w:p>
      <w:pPr>
        <w:spacing w:after="28" w:line="216" w:lineRule="auto"/>
        <w:ind w:left="259"/>
        <w:jc w:val="left"/>
      </w:pPr>
      <w:r>
        <w:rPr>
          <w:rFonts w:ascii="Arial" w:hAnsi="Arial"/>
          <w:color w:val="525252"/>
          <w:sz w:val="13"/>
        </w:rPr>
        <w:t>There are over 280 individual exhibits with over 3,000 artifacts on display, such as the authentic medal from four of the eight enlisted Medal of Honors, a B-17 Ball Turret, a B-52 Tail Gun, uniforms from AF members, such as former CMSAFs, POWs, Medal of Honor and Air Force Figure 24.5.</w:t>
      </w:r>
    </w:p>
    <w:p>
      <w:pPr>
        <w:spacing w:after="20" w:line="223" w:lineRule="auto"/>
        <w:jc w:val="right"/>
        <w:bidi/>
      </w:pPr>
      <w:r>
        <w:rPr>
          <w:rFonts w:ascii="Arial" w:hAnsi="Arial"/>
          <w:sz w:val="16"/>
        </w:rPr>
        <w:t>548.09  دریافت‌کنندگان صلیب تالار میراث، و همچنین آثار با ارزش بی‌شماری دیگر.</w:t>
      </w:r>
    </w:p>
    <w:p>
      <w:pPr>
        <w:spacing w:after="28" w:line="216" w:lineRule="auto"/>
        <w:ind w:left="259"/>
        <w:jc w:val="left"/>
      </w:pPr>
      <w:r>
        <w:rPr>
          <w:rFonts w:ascii="Arial" w:hAnsi="Arial"/>
          <w:color w:val="525252"/>
          <w:sz w:val="13"/>
        </w:rPr>
        <w:t>Enlisted Heritage Hall Cross recipients, as well as countless other precious artifacts.</w:t>
      </w:r>
    </w:p>
    <w:p>
      <w:pPr>
        <w:spacing w:after="20" w:line="223" w:lineRule="auto"/>
        <w:jc w:val="right"/>
        <w:bidi/>
      </w:pPr>
      <w:r>
        <w:rPr>
          <w:rFonts w:ascii="Arial" w:hAnsi="Arial"/>
          <w:sz w:val="16"/>
        </w:rPr>
        <w:t>548.10  «نمی‌توانم به قدر کافی به مردمی که یونیفورم‌پوش هستند - بافت ملت ما - تأکید کنم، آنها اعتماد خود را به دفاع از آمریکا و آنچه ما برای آن دفاع می‌کنیم، نادرست نکرده‌اند.» CMSAF (رت) واین ل. فیسک اولین مدیر تالار میراث سرباز نیروی هوایی</w:t>
      </w:r>
    </w:p>
    <w:p>
      <w:pPr>
        <w:spacing w:after="28" w:line="216" w:lineRule="auto"/>
        <w:ind w:left="259"/>
        <w:jc w:val="left"/>
      </w:pPr>
      <w:r>
        <w:rPr>
          <w:rFonts w:ascii="Arial" w:hAnsi="Arial"/>
          <w:color w:val="525252"/>
          <w:sz w:val="13"/>
        </w:rPr>
        <w:t>“I cannot emphasize enough to the people in uniform—the fabric of our nation— they have not misplaced their trust in the defense of America and what we stand for.” CMSAF (ret) Wayne L. Fisk First Director of the Air Force Enlisted Heritage Hall</w:t>
      </w:r>
    </w:p>
    <w:p>
      <w:pPr>
        <w:spacing w:before="60" w:after="28"/>
        <w:jc w:val="right"/>
        <w:bidi/>
      </w:pPr>
      <w:r>
        <w:rPr>
          <w:b/>
          <w:color w:val="1F4D78"/>
          <w:sz w:val="18"/>
        </w:rPr>
        <w:t>24.35. یادبود نیروی هوایی</w:t>
      </w:r>
    </w:p>
    <w:p>
      <w:pPr>
        <w:spacing w:after="20"/>
        <w:ind w:left="259"/>
        <w:jc w:val="left"/>
      </w:pPr>
      <w:r>
        <w:rPr>
          <w:color w:val="555555"/>
          <w:sz w:val="12"/>
        </w:rPr>
        <w:t>24.35. The Air Force Memorial</w:t>
      </w:r>
    </w:p>
    <w:p>
      <w:pPr>
        <w:spacing w:after="20" w:line="223" w:lineRule="auto"/>
        <w:jc w:val="right"/>
        <w:bidi/>
      </w:pPr>
      <w:r>
        <w:rPr>
          <w:rFonts w:ascii="Arial" w:hAnsi="Arial"/>
          <w:sz w:val="16"/>
        </w:rPr>
        <w:t>548.12  یادبود نیروی هوایی، واقع در آرلینگتون، ویرجینیا، یادبود "هواپیما" - گذشته، حال و آینده است.</w:t>
      </w:r>
    </w:p>
    <w:p>
      <w:pPr>
        <w:spacing w:after="28" w:line="216" w:lineRule="auto"/>
        <w:ind w:left="259"/>
        <w:jc w:val="left"/>
      </w:pPr>
      <w:r>
        <w:rPr>
          <w:rFonts w:ascii="Arial" w:hAnsi="Arial"/>
          <w:color w:val="525252"/>
          <w:sz w:val="13"/>
        </w:rPr>
        <w:t>The Air Force Memorial, located in Arlington, VA, commemorates “Airmen”-past, present, and future.</w:t>
      </w:r>
    </w:p>
    <w:p>
      <w:pPr>
        <w:spacing w:after="20" w:line="223" w:lineRule="auto"/>
        <w:jc w:val="right"/>
        <w:bidi/>
      </w:pPr>
      <w:r>
        <w:rPr>
          <w:rFonts w:ascii="Arial" w:hAnsi="Arial"/>
          <w:sz w:val="16"/>
        </w:rPr>
        <w:t>548.13  در طول جنگ خلیج فارس ۱۹۹۱، جهان شاهد نیروی هوایی با استفاده از فناوری پیشرفته و ارائه درجه‌ای از برتری هوایی بود که توسط سپاه هوایی ارتش جنگ جهانی دوم تصور نمی‌شد.</w:t>
      </w:r>
    </w:p>
    <w:p>
      <w:pPr>
        <w:spacing w:after="28" w:line="216" w:lineRule="auto"/>
        <w:ind w:left="259"/>
        <w:jc w:val="left"/>
      </w:pPr>
      <w:r>
        <w:rPr>
          <w:rFonts w:ascii="Arial" w:hAnsi="Arial"/>
          <w:color w:val="525252"/>
          <w:sz w:val="13"/>
        </w:rPr>
        <w:t>During the 1991 Persian Gulf War, the world witnessed the Air Force using advanced technology and delivering a degree of air superiority undreamed of by the World War II Army Air Corps.</w:t>
      </w:r>
    </w:p>
    <w:p>
      <w:pPr>
        <w:spacing w:after="20" w:line="223" w:lineRule="auto"/>
        <w:jc w:val="right"/>
        <w:bidi/>
      </w:pPr>
      <w:r>
        <w:rPr>
          <w:rFonts w:ascii="Arial" w:hAnsi="Arial"/>
          <w:sz w:val="16"/>
        </w:rPr>
        <w:t>548.14  اعضای انجمن نیروی هوایی و انجمن گروهبانان نیروی هوایی متوجه شدند که هیچ یادبود ملی برای بزرگداشت تسلط هوایی نیروی هوایی وجود ندارد.</w:t>
      </w:r>
    </w:p>
    <w:p>
      <w:pPr>
        <w:spacing w:after="28" w:line="216" w:lineRule="auto"/>
        <w:ind w:left="259"/>
        <w:jc w:val="left"/>
      </w:pPr>
      <w:r>
        <w:rPr>
          <w:rFonts w:ascii="Arial" w:hAnsi="Arial"/>
          <w:color w:val="525252"/>
          <w:sz w:val="13"/>
        </w:rPr>
        <w:t>Members from the Air Force Association and Air Force Sergeants Association realized there was no national memorial to commemorate the Air Force’s air dominance.</w:t>
      </w:r>
    </w:p>
    <w:p>
      <w:pPr>
        <w:spacing w:after="20" w:line="223" w:lineRule="auto"/>
        <w:jc w:val="right"/>
        <w:bidi/>
      </w:pPr>
      <w:r>
        <w:rPr>
          <w:rFonts w:ascii="Arial" w:hAnsi="Arial"/>
          <w:sz w:val="16"/>
        </w:rPr>
        <w:t>548.15  در ۱۴ اکتبر ۲۰۰۶، پانزده سال پس از جنگ خلیج فارس در سال ۱۹۹۱، رئیس جمهور جورج دبلیو بوش بنای یادبود نیروی هوایی را به هوانوردان تقدیم کرد.</w:t>
      </w:r>
    </w:p>
    <w:p>
      <w:pPr>
        <w:spacing w:after="28" w:line="216" w:lineRule="auto"/>
        <w:ind w:left="259"/>
        <w:jc w:val="left"/>
      </w:pPr>
      <w:r>
        <w:rPr>
          <w:rFonts w:ascii="Arial" w:hAnsi="Arial"/>
          <w:color w:val="525252"/>
          <w:sz w:val="13"/>
        </w:rPr>
        <w:t>On October 14, 2006, fifteen years after the 1991 Persian Gulf War, President George W. Bush dedicated the Air Force Memorial to Airmen.</w:t>
      </w:r>
    </w:p>
    <w:p>
      <w:pPr>
        <w:spacing w:after="20" w:line="223" w:lineRule="auto"/>
        <w:jc w:val="right"/>
        <w:bidi/>
      </w:pPr>
      <w:r>
        <w:rPr>
          <w:rFonts w:ascii="Arial" w:hAnsi="Arial"/>
          <w:sz w:val="16"/>
        </w:rPr>
        <w:t>548.16  معمار مشهور جامس ی. فرید بنای یادبود نیروی هوایی را با اولین شکل ۲۴.۶ طراحی کرد.</w:t>
      </w:r>
    </w:p>
    <w:p>
      <w:pPr>
        <w:spacing w:after="28" w:line="216" w:lineRule="auto"/>
        <w:ind w:left="259"/>
        <w:jc w:val="left"/>
      </w:pPr>
      <w:r>
        <w:rPr>
          <w:rFonts w:ascii="Arial" w:hAnsi="Arial"/>
          <w:color w:val="525252"/>
          <w:sz w:val="13"/>
        </w:rPr>
        <w:t>Renowned architect James I. Freed designed the Air Force Memorial by first Figure 24.6.</w:t>
      </w:r>
    </w:p>
    <w:p>
      <w:pPr>
        <w:spacing w:after="20" w:line="223" w:lineRule="auto"/>
        <w:jc w:val="right"/>
        <w:bidi/>
      </w:pPr>
      <w:r>
        <w:rPr>
          <w:rFonts w:ascii="Arial" w:hAnsi="Arial"/>
          <w:sz w:val="16"/>
        </w:rPr>
        <w:t>548.17  نیروی هوایی الگوهای باند فرودگاه را از فرودگاه‌های جنگ جهانی دوم قرض گرفته است.</w:t>
      </w:r>
    </w:p>
    <w:p>
      <w:pPr>
        <w:spacing w:after="28" w:line="216" w:lineRule="auto"/>
        <w:ind w:left="259"/>
        <w:jc w:val="left"/>
      </w:pPr>
      <w:r>
        <w:rPr>
          <w:rFonts w:ascii="Arial" w:hAnsi="Arial"/>
          <w:color w:val="525252"/>
          <w:sz w:val="13"/>
        </w:rPr>
        <w:t>Air Force borrowing the runway patterns from World War II airfields.</w:t>
      </w:r>
    </w:p>
    <w:p>
      <w:pPr>
        <w:spacing w:after="20" w:line="223" w:lineRule="auto"/>
        <w:jc w:val="right"/>
        <w:bidi/>
      </w:pPr>
      <w:r>
        <w:rPr>
          <w:rFonts w:ascii="Arial" w:hAnsi="Arial"/>
          <w:sz w:val="16"/>
        </w:rPr>
        <w:t>548.18  او همچنین مموریال اطمینان داد که ستاره ۵ پر در چشمان عموم برجسته باقی می‌ماند، همانطور که در هواپیماهای نیروی هوایی، موشک‌ها و در شورون‌های سفارشی دیده می‌شود.</w:t>
      </w:r>
    </w:p>
    <w:p>
      <w:pPr>
        <w:spacing w:after="28" w:line="216" w:lineRule="auto"/>
        <w:ind w:left="259"/>
        <w:jc w:val="left"/>
      </w:pPr>
      <w:r>
        <w:rPr>
          <w:rFonts w:ascii="Arial" w:hAnsi="Arial"/>
          <w:color w:val="525252"/>
          <w:sz w:val="13"/>
        </w:rPr>
        <w:t>He further Memorial ensured the 5-pointed star remains prominent in the public eye as it is on Air Force aircraft, missiles, and on enlisted chevrons.</w:t>
      </w:r>
    </w:p>
    <w:p>
      <w:pPr>
        <w:spacing w:after="20" w:line="223" w:lineRule="auto"/>
        <w:jc w:val="right"/>
        <w:bidi/>
      </w:pPr>
      <w:r>
        <w:rPr>
          <w:rFonts w:ascii="Arial" w:hAnsi="Arial"/>
          <w:sz w:val="16"/>
        </w:rPr>
        <w:t>548.19  این ستاره در مرکز پایه سه مناره نامتقارن قرار دارد که ارتفاع آنها به ۲۰۱، ۲۳۱ و ۲۷۰ فوت می‌رسد.</w:t>
      </w:r>
    </w:p>
    <w:p>
      <w:pPr>
        <w:spacing w:after="28" w:line="216" w:lineRule="auto"/>
        <w:ind w:left="259"/>
        <w:jc w:val="left"/>
      </w:pPr>
      <w:r>
        <w:rPr>
          <w:rFonts w:ascii="Arial" w:hAnsi="Arial"/>
          <w:color w:val="525252"/>
          <w:sz w:val="13"/>
        </w:rPr>
        <w:t>The star is centered at the base of the three asymmetrical spires reaching heights of 201, 231, and 270 feet.</w:t>
      </w:r>
    </w:p>
    <w:p>
      <w:pPr>
        <w:spacing w:after="20" w:line="223" w:lineRule="auto"/>
        <w:jc w:val="right"/>
        <w:bidi/>
      </w:pPr>
      <w:r>
        <w:rPr>
          <w:rFonts w:ascii="Arial" w:hAnsi="Arial"/>
          <w:sz w:val="16"/>
        </w:rPr>
        <w:t>548.20  گلدسته‌ها، در پای یک باند، به صورت قطری هستند</w:t>
      </w:r>
    </w:p>
    <w:p>
      <w:pPr>
        <w:spacing w:after="28" w:line="216" w:lineRule="auto"/>
        <w:ind w:left="259"/>
        <w:jc w:val="left"/>
      </w:pPr>
      <w:r>
        <w:rPr>
          <w:rFonts w:ascii="Arial" w:hAnsi="Arial"/>
          <w:color w:val="525252"/>
          <w:sz w:val="13"/>
        </w:rPr>
        <w:t>The spires, at the foot of a runway, are diametrically</w:t>
      </w:r>
    </w:p>
    <w:p>
      <w:r>
        <w:br w:type="page"/>
      </w:r>
    </w:p>
    <w:p>
      <w:pPr>
        <w:spacing w:after="60"/>
        <w:jc w:val="right"/>
        <w:bidi/>
      </w:pPr>
      <w:r>
        <w:rPr>
          <w:rFonts w:ascii="Arial" w:hAnsi="Arial"/>
          <w:b/>
          <w:color w:val="1F4D78"/>
          <w:sz w:val="19"/>
        </w:rPr>
        <w:t>هفتهٔ 549  |  صفحهٔ منبع: 565</w:t>
      </w:r>
    </w:p>
    <w:p>
      <w:pPr>
        <w:spacing w:after="20" w:line="223" w:lineRule="auto"/>
        <w:jc w:val="right"/>
        <w:bidi/>
      </w:pPr>
      <w:r>
        <w:rPr>
          <w:rFonts w:ascii="Arial" w:hAnsi="Arial"/>
          <w:sz w:val="16"/>
        </w:rPr>
        <w:t>549.01  مخالف نقل قول‌های جنگ جهانی دوم توسط پدران بنیانگذار ما، ژنرال‌های بیلی میچل، هنری "هپ" آرنولد و کارل اسپاتز.</w:t>
      </w:r>
    </w:p>
    <w:p>
      <w:pPr>
        <w:spacing w:after="28" w:line="216" w:lineRule="auto"/>
        <w:ind w:left="259"/>
        <w:jc w:val="left"/>
      </w:pPr>
      <w:r>
        <w:rPr>
          <w:rFonts w:ascii="Arial" w:hAnsi="Arial"/>
          <w:color w:val="525252"/>
          <w:sz w:val="13"/>
        </w:rPr>
        <w:t>opposed from World War II quotes by our founding fathers, Generals Billy Mitchel, Henry “Hap” Arnold, and Carl Spaatz.</w:t>
      </w:r>
    </w:p>
    <w:p>
      <w:pPr>
        <w:spacing w:after="20" w:line="223" w:lineRule="auto"/>
        <w:jc w:val="right"/>
        <w:bidi/>
      </w:pPr>
      <w:r>
        <w:rPr>
          <w:rFonts w:ascii="Arial" w:hAnsi="Arial"/>
          <w:sz w:val="16"/>
        </w:rPr>
        <w:t>549.02  در مرزهای شمالی و جنوبی میدان رژه، دیوارهای گرانیتی به ارتفاع ۱۰ فوت، ۵۶ فوت طول دارد.</w:t>
      </w:r>
    </w:p>
    <w:p>
      <w:pPr>
        <w:spacing w:after="28" w:line="216" w:lineRule="auto"/>
        <w:ind w:left="259"/>
        <w:jc w:val="left"/>
      </w:pPr>
      <w:r>
        <w:rPr>
          <w:rFonts w:ascii="Arial" w:hAnsi="Arial"/>
          <w:color w:val="525252"/>
          <w:sz w:val="13"/>
        </w:rPr>
        <w:t>On the northern and southern boundaries of the parade field stand 10- foot high, 56-feet long granite walls.</w:t>
      </w:r>
    </w:p>
    <w:p>
      <w:pPr>
        <w:spacing w:after="20" w:line="223" w:lineRule="auto"/>
        <w:jc w:val="right"/>
        <w:bidi/>
      </w:pPr>
      <w:r>
        <w:rPr>
          <w:rFonts w:ascii="Arial" w:hAnsi="Arial"/>
          <w:sz w:val="16"/>
        </w:rPr>
        <w:t>549.03  موضوع دیوار شمالی "شجاوری" است. همه دریافت‌کنندگان مدال افتخار هوافضا و زادگاه‌هایشان با شروع جنگ جهانی اول از هوانوردان نیروی هوایی ارتش ایالات متحده، ستوان بلکلی، گوتلر، لوک، و ریکن‌بکر گرفته تا سرباز ارتش جان ا. چپمن، که در سال ۲۰۰۲، شجاعانه در افغانستان جان باخت.</w:t>
      </w:r>
    </w:p>
    <w:p>
      <w:pPr>
        <w:spacing w:after="28" w:line="216" w:lineRule="auto"/>
        <w:ind w:left="259"/>
        <w:jc w:val="left"/>
      </w:pPr>
      <w:r>
        <w:rPr>
          <w:rFonts w:ascii="Arial" w:hAnsi="Arial"/>
          <w:color w:val="525252"/>
          <w:sz w:val="13"/>
        </w:rPr>
        <w:t>The theme of the northern wall is “Valor.” All aerospace Medal of Honor recipients and their hometowns are listed beginning with World War I U.S. Army Air Corps aviators, Lieutenants Bleckley, Goetler, Luke, and Rickenbacker to TSgt John A. Chapman, who, in 2002, died valiantly in Afghanistan.</w:t>
      </w:r>
    </w:p>
    <w:p>
      <w:pPr>
        <w:spacing w:after="20" w:line="223" w:lineRule="auto"/>
        <w:jc w:val="right"/>
        <w:bidi/>
      </w:pPr>
      <w:r>
        <w:rPr>
          <w:rFonts w:ascii="Arial" w:hAnsi="Arial"/>
          <w:sz w:val="16"/>
        </w:rPr>
        <w:t>549.04  در همان نزدیکی، دیواری شیشه‌ای است که روی آن ساختار مرد گمشده ۴ کشتی حکاکی شده است و برای ادای احترام به هواداران کشته شده.</w:t>
      </w:r>
    </w:p>
    <w:p>
      <w:pPr>
        <w:spacing w:after="28" w:line="216" w:lineRule="auto"/>
        <w:ind w:left="259"/>
        <w:jc w:val="left"/>
      </w:pPr>
      <w:r>
        <w:rPr>
          <w:rFonts w:ascii="Arial" w:hAnsi="Arial"/>
          <w:color w:val="525252"/>
          <w:sz w:val="13"/>
        </w:rPr>
        <w:t>Nearby, stands a glass contemplation wall engraved with the 4-ship missing man formation, paying tribute to fallen Airmen.</w:t>
      </w:r>
    </w:p>
    <w:p>
      <w:pPr>
        <w:spacing w:after="20" w:line="223" w:lineRule="auto"/>
        <w:jc w:val="right"/>
        <w:bidi/>
      </w:pPr>
      <w:r>
        <w:rPr>
          <w:rFonts w:ascii="Arial" w:hAnsi="Arial"/>
          <w:sz w:val="16"/>
        </w:rPr>
        <w:t>549.05  موضوع کتیبه دیوار جنوبی "ارزش‌های" هسته نیروی هوایی است. یادبود نیروی هوایی همچنین دو قرن مبارزات جنگی و اضطراری را فهرست می‌کند.</w:t>
      </w:r>
    </w:p>
    <w:p>
      <w:pPr>
        <w:spacing w:after="28" w:line="216" w:lineRule="auto"/>
        <w:ind w:left="259"/>
        <w:jc w:val="left"/>
      </w:pPr>
      <w:r>
        <w:rPr>
          <w:rFonts w:ascii="Arial" w:hAnsi="Arial"/>
          <w:color w:val="525252"/>
          <w:sz w:val="13"/>
        </w:rPr>
        <w:t>The southern wall inscription theme is Air Force Core “Values.” The Air Force Memorial also lists two centuries of combat and contingency campaigns.</w:t>
      </w:r>
    </w:p>
    <w:p>
      <w:pPr>
        <w:spacing w:after="20" w:line="223" w:lineRule="auto"/>
        <w:jc w:val="right"/>
        <w:bidi/>
      </w:pPr>
      <w:r>
        <w:rPr>
          <w:rFonts w:ascii="Arial" w:hAnsi="Arial"/>
          <w:sz w:val="16"/>
        </w:rPr>
        <w:t>549.06  در امتداد دیوارهای کمپین‌ها نقل قول هایی وجود دارد که کمک آنها به ملت را مشخص می‌کند.</w:t>
      </w:r>
    </w:p>
    <w:p>
      <w:pPr>
        <w:spacing w:after="28" w:line="216" w:lineRule="auto"/>
        <w:ind w:left="259"/>
        <w:jc w:val="left"/>
      </w:pPr>
      <w:r>
        <w:rPr>
          <w:rFonts w:ascii="Arial" w:hAnsi="Arial"/>
          <w:color w:val="525252"/>
          <w:sz w:val="13"/>
        </w:rPr>
        <w:t>Along the walls of the campaigns are quotes defining their contributions to the nation.</w:t>
      </w:r>
    </w:p>
    <w:p>
      <w:pPr>
        <w:spacing w:after="20" w:line="223" w:lineRule="auto"/>
        <w:jc w:val="right"/>
        <w:bidi/>
      </w:pPr>
      <w:r>
        <w:rPr>
          <w:rFonts w:ascii="Arial" w:hAnsi="Arial"/>
          <w:sz w:val="16"/>
        </w:rPr>
        <w:t>549.07  مرکز یادبود نیروی هوایی، مجسمه ۱۶ فوتی برنزی گارد افتخاری است که توسط مجسمه‌ساز مشهور زنوس فروداکیس ساخته شده است.</w:t>
      </w:r>
    </w:p>
    <w:p>
      <w:pPr>
        <w:spacing w:after="28" w:line="216" w:lineRule="auto"/>
        <w:ind w:left="259"/>
        <w:jc w:val="left"/>
      </w:pPr>
      <w:r>
        <w:rPr>
          <w:rFonts w:ascii="Arial" w:hAnsi="Arial"/>
          <w:color w:val="525252"/>
          <w:sz w:val="13"/>
        </w:rPr>
        <w:t>Central to the Air Force Memorial is the 16-foot bronze Honor Guard Statue, created by renowned sculptor Zenos Frudakis.</w:t>
      </w:r>
    </w:p>
    <w:p>
      <w:pPr>
        <w:spacing w:after="20" w:line="223" w:lineRule="auto"/>
        <w:jc w:val="right"/>
        <w:bidi/>
      </w:pPr>
      <w:r>
        <w:rPr>
          <w:rFonts w:ascii="Arial" w:hAnsi="Arial"/>
          <w:sz w:val="16"/>
        </w:rPr>
        <w:t>549.08  این مجسمه گواهی بر ادب، لباس و ظاهر و تمرین و تشریفات نظامی نیروی هوایی است.</w:t>
      </w:r>
    </w:p>
    <w:p>
      <w:pPr>
        <w:spacing w:after="28" w:line="216" w:lineRule="auto"/>
        <w:ind w:left="259"/>
        <w:jc w:val="left"/>
      </w:pPr>
      <w:r>
        <w:rPr>
          <w:rFonts w:ascii="Arial" w:hAnsi="Arial"/>
          <w:color w:val="525252"/>
          <w:sz w:val="13"/>
        </w:rPr>
        <w:t>The statue is a testimony to the Air Force’s military courtesies, dress and appearance, and drill and ceremonies.</w:t>
      </w:r>
    </w:p>
    <w:p>
      <w:pPr>
        <w:spacing w:after="20" w:line="223" w:lineRule="auto"/>
        <w:jc w:val="right"/>
        <w:bidi/>
      </w:pPr>
      <w:r>
        <w:rPr>
          <w:rFonts w:ascii="Arial" w:hAnsi="Arial"/>
          <w:sz w:val="16"/>
        </w:rPr>
        <w:t>549.09  مهم‌تر از همه، مجسمه گارد افتخار نشان دهنده چیزی است که ما بیش از همه برای مردم ارزش قائل هستیم.</w:t>
      </w:r>
    </w:p>
    <w:p>
      <w:pPr>
        <w:spacing w:after="28" w:line="216" w:lineRule="auto"/>
        <w:ind w:left="259"/>
        <w:jc w:val="left"/>
      </w:pPr>
      <w:r>
        <w:rPr>
          <w:rFonts w:ascii="Arial" w:hAnsi="Arial"/>
          <w:color w:val="525252"/>
          <w:sz w:val="13"/>
        </w:rPr>
        <w:t>Most importantly, the Honor Guard statue represent what we value the most-our people.</w:t>
      </w:r>
    </w:p>
    <w:p>
      <w:pPr>
        <w:spacing w:after="20" w:line="223" w:lineRule="auto"/>
        <w:jc w:val="right"/>
        <w:bidi/>
      </w:pPr>
      <w:r>
        <w:rPr>
          <w:rFonts w:ascii="Arial" w:hAnsi="Arial"/>
          <w:sz w:val="16"/>
        </w:rPr>
        <w:t>549.10  «یک سرباز می‌تواند در میدان‌های جنگی که زمانی در آن جنگیده‌اند قدم بزند؛ یک تفنگدار دریایی می‌تواند در سواحل [آنها] یک بار طوفان کرده قدم بزند؛ اما یک هواپیمای هرگز نمی‌تواند از تکه‌ای از آسمان بازدید کند که [آنها] در مأموریتی برای دفاع از آزادی در آن دوند.</w:t>
      </w:r>
    </w:p>
    <w:p>
      <w:pPr>
        <w:spacing w:after="28" w:line="216" w:lineRule="auto"/>
        <w:ind w:left="259"/>
        <w:jc w:val="left"/>
      </w:pPr>
      <w:r>
        <w:rPr>
          <w:rFonts w:ascii="Arial" w:hAnsi="Arial"/>
          <w:color w:val="525252"/>
          <w:sz w:val="13"/>
        </w:rPr>
        <w:t>“A Soldier can walk the battlefields where [they] once fought; a Marine can walk the beaches [they] once stormed; but an airman can never visit the patch of sky [they] raced across on a mission to defend freedom.</w:t>
      </w:r>
    </w:p>
    <w:p>
      <w:pPr>
        <w:spacing w:after="20" w:line="223" w:lineRule="auto"/>
        <w:jc w:val="right"/>
        <w:bidi/>
      </w:pPr>
      <w:r>
        <w:rPr>
          <w:rFonts w:ascii="Arial" w:hAnsi="Arial"/>
          <w:sz w:val="16"/>
        </w:rPr>
        <w:t>549.11  و بنابراین مناسب است که از این روز به بعد، مردان و زنان نیروی هوایی این یادبود را داشته باشند، مکانی در اینجا بر روی زمین که دستاوردها و فداکاری‌های آنها را در آسمان‌های بالا به رسمیت می‌شناسد. اهدای یادبود رئیس جمهور جورج دبلیو بوش AF</w:t>
      </w:r>
    </w:p>
    <w:p>
      <w:pPr>
        <w:spacing w:after="28" w:line="216" w:lineRule="auto"/>
        <w:ind w:left="259"/>
        <w:jc w:val="left"/>
      </w:pPr>
      <w:r>
        <w:rPr>
          <w:rFonts w:ascii="Arial" w:hAnsi="Arial"/>
          <w:color w:val="525252"/>
          <w:sz w:val="13"/>
        </w:rPr>
        <w:t>And so it’s fitting that, from this day forward, the men and women of the Air Force will have this memorial, a place here on the ground that recognizes their achievements and sacrifices in the skies above.” President George W. Bush AF Memorial Dedication</w:t>
      </w:r>
    </w:p>
    <w:p>
      <w:pPr>
        <w:spacing w:before="60" w:after="28"/>
        <w:jc w:val="right"/>
        <w:bidi/>
      </w:pPr>
      <w:r>
        <w:rPr>
          <w:b/>
          <w:color w:val="1F4D78"/>
          <w:sz w:val="18"/>
        </w:rPr>
        <w:t>الکس واگنر</w:t>
      </w:r>
    </w:p>
    <w:p>
      <w:pPr>
        <w:spacing w:after="20"/>
        <w:ind w:left="259"/>
        <w:jc w:val="left"/>
      </w:pPr>
      <w:r>
        <w:rPr>
          <w:color w:val="555555"/>
          <w:sz w:val="12"/>
        </w:rPr>
        <w:t>ALEX WAGNER</w:t>
      </w:r>
    </w:p>
    <w:p>
      <w:pPr>
        <w:spacing w:after="20" w:line="223" w:lineRule="auto"/>
        <w:jc w:val="right"/>
        <w:bidi/>
      </w:pPr>
      <w:r>
        <w:rPr>
          <w:rFonts w:ascii="Arial" w:hAnsi="Arial"/>
          <w:sz w:val="16"/>
        </w:rPr>
        <w:t>549.13  دستیار وزیر (نیروی انسانی و امور ذخیره)</w:t>
      </w:r>
    </w:p>
    <w:p>
      <w:pPr>
        <w:spacing w:after="28" w:line="216" w:lineRule="auto"/>
        <w:ind w:left="259"/>
        <w:jc w:val="left"/>
      </w:pPr>
      <w:r>
        <w:rPr>
          <w:rFonts w:ascii="Arial" w:hAnsi="Arial"/>
          <w:color w:val="525252"/>
          <w:sz w:val="13"/>
        </w:rPr>
        <w:t>Assistant Secretary (Manpower and Reserve Affairs)</w:t>
      </w:r>
    </w:p>
    <w:p>
      <w:r>
        <w:br w:type="page"/>
      </w:r>
    </w:p>
    <w:p>
      <w:pPr>
        <w:spacing w:after="60"/>
        <w:jc w:val="right"/>
        <w:bidi/>
      </w:pPr>
      <w:r>
        <w:rPr>
          <w:rFonts w:ascii="Arial" w:hAnsi="Arial"/>
          <w:b/>
          <w:color w:val="1F4D78"/>
          <w:sz w:val="19"/>
        </w:rPr>
        <w:t>هفتهٔ 550  |  صفحهٔ منبع: 566</w:t>
      </w:r>
    </w:p>
    <w:p>
      <w:pPr>
        <w:spacing w:before="60" w:after="28"/>
        <w:jc w:val="right"/>
        <w:bidi/>
      </w:pPr>
      <w:r>
        <w:rPr>
          <w:b/>
          <w:color w:val="1F4D78"/>
          <w:sz w:val="18"/>
        </w:rPr>
        <w:t>پیوست 1</w:t>
      </w:r>
    </w:p>
    <w:p>
      <w:pPr>
        <w:spacing w:after="20"/>
        <w:ind w:left="259"/>
        <w:jc w:val="left"/>
      </w:pPr>
      <w:r>
        <w:rPr>
          <w:color w:val="555555"/>
          <w:sz w:val="12"/>
        </w:rPr>
        <w:t>Attachment 1</w:t>
      </w:r>
    </w:p>
    <w:p>
      <w:pPr>
        <w:spacing w:before="60" w:after="28"/>
        <w:jc w:val="right"/>
        <w:bidi/>
      </w:pPr>
      <w:r>
        <w:rPr>
          <w:b/>
          <w:color w:val="1F4D78"/>
          <w:sz w:val="18"/>
        </w:rPr>
        <w:t>واژه نامه مراجع و اطلاعات پشتیبانی</w:t>
      </w:r>
    </w:p>
    <w:p>
      <w:pPr>
        <w:spacing w:after="20"/>
        <w:ind w:left="259"/>
        <w:jc w:val="left"/>
      </w:pPr>
      <w:r>
        <w:rPr>
          <w:color w:val="555555"/>
          <w:sz w:val="12"/>
        </w:rPr>
        <w:t>GLOSSARY OF REFERENCES AND SUPPORTING INFORMATION</w:t>
      </w:r>
    </w:p>
    <w:p>
      <w:pPr>
        <w:spacing w:after="20" w:line="223" w:lineRule="auto"/>
        <w:jc w:val="right"/>
        <w:bidi/>
      </w:pPr>
      <w:r>
        <w:rPr>
          <w:rFonts w:ascii="Arial" w:hAnsi="Arial"/>
          <w:sz w:val="16"/>
        </w:rPr>
        <w:t>550.03  مراجع پاراگراف افتتاحیه AFI ۱-۱، استانداردهای نیروی هوایی، ۱۷ آگوست ۲۰۲۳ AFI ۳۳-۳۲۲، مدیریت سوابق و برنامه حاکمیت اطلاعات، ۲۳ مارس ۲۰۲۰ DAFMAN ۳۶-۲۶۶۴، برنامه ارزیابی پرسنل برای کل مدیریت، ۱۷ ژانویه ۲۶، ۱۷ ژانویه ۶ AF۲ ۱۸ ژانویه ۲۰۲۴</w:t>
      </w:r>
    </w:p>
    <w:p>
      <w:pPr>
        <w:spacing w:after="28" w:line="216" w:lineRule="auto"/>
        <w:ind w:left="259"/>
        <w:jc w:val="left"/>
      </w:pPr>
      <w:r>
        <w:rPr>
          <w:rFonts w:ascii="Arial" w:hAnsi="Arial"/>
          <w:color w:val="525252"/>
          <w:sz w:val="13"/>
        </w:rPr>
        <w:t>References Opening Paragraph AFI 1-1, Air Force Standards, 17 August 2023 AFI 33-322, Records Management and Information Governance Program, 23 March 2020 DAFMAN 36-2664, Personnel Assessment Program, 17 January 2023 DAFPD 36-26, Total Force Development and Management, 18 January 2024</w:t>
      </w:r>
    </w:p>
    <w:p>
      <w:pPr>
        <w:spacing w:before="60" w:after="28"/>
        <w:jc w:val="right"/>
        <w:bidi/>
      </w:pPr>
      <w:r>
        <w:rPr>
          <w:b/>
          <w:color w:val="1F4D78"/>
          <w:sz w:val="18"/>
        </w:rPr>
        <w:t>فصل 1، حرفه گرایی</w:t>
      </w:r>
    </w:p>
    <w:p>
      <w:pPr>
        <w:spacing w:after="20"/>
        <w:ind w:left="259"/>
        <w:jc w:val="left"/>
      </w:pPr>
      <w:r>
        <w:rPr>
          <w:color w:val="555555"/>
          <w:sz w:val="12"/>
        </w:rPr>
        <w:t>Chapter 1, Professionalism</w:t>
      </w:r>
    </w:p>
    <w:p>
      <w:pPr>
        <w:spacing w:after="20" w:line="223" w:lineRule="auto"/>
        <w:jc w:val="right"/>
        <w:bidi/>
      </w:pPr>
      <w:r>
        <w:rPr>
          <w:rFonts w:ascii="Arial" w:hAnsi="Arial"/>
          <w:sz w:val="16"/>
        </w:rPr>
        <w:t>550.05  AFI ۱-۱، استانداردهای نیروی هوایی، ۱۷ اوت ۲۰۲۳ عنوان ۵، CFR، قسمت ۲۶۳۵، استانداردهای رفتار اخلاقی برای کارکنان شعبه اجرایی، ۱۲ سپتامبر ۲۰۲۳.</w:t>
      </w:r>
    </w:p>
    <w:p>
      <w:pPr>
        <w:spacing w:after="28" w:line="216" w:lineRule="auto"/>
        <w:ind w:left="259"/>
        <w:jc w:val="left"/>
      </w:pPr>
      <w:r>
        <w:rPr>
          <w:rFonts w:ascii="Arial" w:hAnsi="Arial"/>
          <w:color w:val="525252"/>
          <w:sz w:val="13"/>
        </w:rPr>
        <w:t>AFI 1-1, Air Force Standards, 17 August 2023 Title 5, CFR, Part 2635, Standards of Ethical Conduct for Employees of the Executive Branch, 12 September 2023.</w:t>
      </w:r>
    </w:p>
    <w:p>
      <w:pPr>
        <w:spacing w:before="60" w:after="28"/>
        <w:jc w:val="right"/>
        <w:bidi/>
      </w:pPr>
      <w:r>
        <w:rPr>
          <w:b/>
          <w:color w:val="1F4D78"/>
          <w:sz w:val="18"/>
        </w:rPr>
        <w:t>فصل 2، تاریخچه هوانوردی</w:t>
      </w:r>
    </w:p>
    <w:p>
      <w:pPr>
        <w:spacing w:after="20"/>
        <w:ind w:left="259"/>
        <w:jc w:val="left"/>
      </w:pPr>
      <w:r>
        <w:rPr>
          <w:color w:val="555555"/>
          <w:sz w:val="12"/>
        </w:rPr>
        <w:t>Chapter 2, Aviation History</w:t>
      </w:r>
    </w:p>
    <w:p>
      <w:pPr>
        <w:spacing w:after="20" w:line="223" w:lineRule="auto"/>
        <w:jc w:val="right"/>
        <w:bidi/>
      </w:pPr>
      <w:r>
        <w:rPr>
          <w:rFonts w:ascii="Arial" w:hAnsi="Arial"/>
          <w:sz w:val="16"/>
        </w:rPr>
        <w:t>550.07  AF نلیستد هریتاگ رسارچ ینستیتوت آژانس تحقیقات تاریخی نیروی هوایی نیروی هوایی بخش پشتیبانی تاریخی قانون عمومی ۸۰-۴۹۵، قانون امنیت ملی ۱۹۴۷، ۱۸ سپتامبر ۱۹۴۷ عنوان ۱۰ و.س.ک، چ.</w:t>
      </w:r>
    </w:p>
    <w:p>
      <w:pPr>
        <w:spacing w:after="28" w:line="216" w:lineRule="auto"/>
        <w:ind w:left="259"/>
        <w:jc w:val="left"/>
      </w:pPr>
      <w:r>
        <w:rPr>
          <w:rFonts w:ascii="Arial" w:hAnsi="Arial"/>
          <w:color w:val="525252"/>
          <w:sz w:val="13"/>
        </w:rPr>
        <w:t>AF Enlisted Heritage Research Institute Air Force Historical Research Agency Air Force Historical Support Division Public Law 80-495, National Security Act of 1947, 18 September 1947 Title 10 U.S.C, Ch.</w:t>
      </w:r>
    </w:p>
    <w:p>
      <w:pPr>
        <w:spacing w:after="20" w:line="223" w:lineRule="auto"/>
        <w:jc w:val="right"/>
        <w:bidi/>
      </w:pPr>
      <w:r>
        <w:rPr>
          <w:rFonts w:ascii="Arial" w:hAnsi="Arial"/>
          <w:sz w:val="16"/>
        </w:rPr>
        <w:t>550.08  ۹۰۸، قانون نیروی فضایی ایالات متحده، ۱ ژانویه ۲۰۲۱</w:t>
      </w:r>
    </w:p>
    <w:p>
      <w:pPr>
        <w:spacing w:after="28" w:line="216" w:lineRule="auto"/>
        <w:ind w:left="259"/>
        <w:jc w:val="left"/>
      </w:pPr>
      <w:r>
        <w:rPr>
          <w:rFonts w:ascii="Arial" w:hAnsi="Arial"/>
          <w:color w:val="525252"/>
          <w:sz w:val="13"/>
        </w:rPr>
        <w:t>908, U.S. Space Force Act, 1 January 2021</w:t>
      </w:r>
    </w:p>
    <w:p>
      <w:pPr>
        <w:spacing w:before="60" w:after="28"/>
        <w:jc w:val="right"/>
        <w:bidi/>
      </w:pPr>
      <w:r>
        <w:rPr>
          <w:b/>
          <w:color w:val="1F4D78"/>
          <w:sz w:val="18"/>
        </w:rPr>
        <w:t>فصل 3، میراث نیروی هوایی</w:t>
      </w:r>
    </w:p>
    <w:p>
      <w:pPr>
        <w:spacing w:after="20"/>
        <w:ind w:left="259"/>
        <w:jc w:val="left"/>
      </w:pPr>
      <w:r>
        <w:rPr>
          <w:color w:val="555555"/>
          <w:sz w:val="12"/>
        </w:rPr>
        <w:t>Chapter 3, Air Force Heritage</w:t>
      </w:r>
    </w:p>
    <w:p>
      <w:pPr>
        <w:spacing w:after="20" w:line="223" w:lineRule="auto"/>
        <w:jc w:val="right"/>
        <w:bidi/>
      </w:pPr>
      <w:r>
        <w:rPr>
          <w:rFonts w:ascii="Arial" w:hAnsi="Arial"/>
          <w:sz w:val="16"/>
        </w:rPr>
        <w:t>550.10  AF نلیستد هریتاگ رسارچ ینستیتوت آژانس تحقیقات تاریخی نیروی هوایی نیروی هوایی بخش پشتیبانی تاریخی قانون عمومی ۸۰-۴۹۵، قانون امنیت ملی ۱۹۴۷، ۱۸ سپتامبر ۱۹۴۷ قانون عمومی ۸۰-۶۲۵، قانون ادغام خدمات مسلحانه زنان، ۱۲ ژوئن ۱۹۴۸</w:t>
      </w:r>
    </w:p>
    <w:p>
      <w:pPr>
        <w:spacing w:after="28" w:line="216" w:lineRule="auto"/>
        <w:ind w:left="259"/>
        <w:jc w:val="left"/>
      </w:pPr>
      <w:r>
        <w:rPr>
          <w:rFonts w:ascii="Arial" w:hAnsi="Arial"/>
          <w:color w:val="525252"/>
          <w:sz w:val="13"/>
        </w:rPr>
        <w:t>AF Enlisted Heritage Research Institute Air Force Historical Research Agency Air Force Historical Support Division Public Law 80-495, National Security Act of 1947, 18 September 1947 Public Law 80-625, Women’s Armed Services Integration Act, 12 June 1948</w:t>
      </w:r>
    </w:p>
    <w:p>
      <w:pPr>
        <w:spacing w:before="60" w:after="28"/>
        <w:jc w:val="right"/>
        <w:bidi/>
      </w:pPr>
      <w:r>
        <w:rPr>
          <w:b/>
          <w:color w:val="1F4D78"/>
          <w:sz w:val="18"/>
        </w:rPr>
        <w:t>فصل 4، هوا و نیروی سایبری</w:t>
      </w:r>
    </w:p>
    <w:p>
      <w:pPr>
        <w:spacing w:after="20"/>
        <w:ind w:left="259"/>
        <w:jc w:val="left"/>
      </w:pPr>
      <w:r>
        <w:rPr>
          <w:color w:val="555555"/>
          <w:sz w:val="12"/>
        </w:rPr>
        <w:t>Chapter 4, Air and Cyberpower</w:t>
      </w:r>
    </w:p>
    <w:p>
      <w:pPr>
        <w:spacing w:after="20" w:line="223" w:lineRule="auto"/>
        <w:jc w:val="right"/>
        <w:bidi/>
      </w:pPr>
      <w:r>
        <w:rPr>
          <w:rFonts w:ascii="Arial" w:hAnsi="Arial"/>
          <w:sz w:val="16"/>
        </w:rPr>
        <w:t>550.12  نشریه دکترین نیروی هوایی JP ۳-۱۲، عملیات فضای سایبری، ۸ ژوئن ۲۰۱۸ قانون عمومی ۱۱۶-۹۲، سال مالی ۲۰۲۰ قانون مجوز دفاع ملی، ۲۰ دسامبر ۲۰۱۹ عنوان ۱۰ و.س.ک.</w:t>
      </w:r>
    </w:p>
    <w:p>
      <w:pPr>
        <w:spacing w:after="28" w:line="216" w:lineRule="auto"/>
        <w:ind w:left="259"/>
        <w:jc w:val="left"/>
      </w:pPr>
      <w:r>
        <w:rPr>
          <w:rFonts w:ascii="Arial" w:hAnsi="Arial"/>
          <w:color w:val="525252"/>
          <w:sz w:val="13"/>
        </w:rPr>
        <w:t>Air Force Doctrine Publication JP 3-12, Cyberspace Operations, 8 June 2018 Public Law 116-92, Fiscal Year 2020 National Defense Authorization Act, 20 December 2019 Title 10 U.S.C.</w:t>
      </w:r>
    </w:p>
    <w:p>
      <w:pPr>
        <w:spacing w:before="60" w:after="28"/>
        <w:jc w:val="right"/>
        <w:bidi/>
      </w:pPr>
      <w:r>
        <w:rPr>
          <w:b/>
          <w:color w:val="1F4D78"/>
          <w:sz w:val="18"/>
        </w:rPr>
        <w:t>بخش 131، دفتر وزیر دفاع، 15 ژانویه 2013 قانون اساسی ایالات متحده بخش 2، ماده 2</w:t>
      </w:r>
    </w:p>
    <w:p>
      <w:pPr>
        <w:spacing w:after="20"/>
        <w:ind w:left="259"/>
        <w:jc w:val="left"/>
      </w:pPr>
      <w:r>
        <w:rPr>
          <w:color w:val="555555"/>
          <w:sz w:val="12"/>
        </w:rPr>
        <w:t>Section 131, Office of the Secretary of Defense, 15 January 2013 United States Constitution Section 2, Article 2</w:t>
      </w:r>
    </w:p>
    <w:p>
      <w:pPr>
        <w:spacing w:before="60" w:after="28"/>
        <w:jc w:val="right"/>
        <w:bidi/>
      </w:pPr>
      <w:r>
        <w:rPr>
          <w:b/>
          <w:color w:val="1F4D78"/>
          <w:sz w:val="18"/>
        </w:rPr>
        <w:t>فصل پنجم، سازمان و فرماندهی نظامی</w:t>
      </w:r>
    </w:p>
    <w:p>
      <w:pPr>
        <w:spacing w:after="20"/>
        <w:ind w:left="259"/>
        <w:jc w:val="left"/>
      </w:pPr>
      <w:r>
        <w:rPr>
          <w:color w:val="555555"/>
          <w:sz w:val="12"/>
        </w:rPr>
        <w:t>Chapter 5, Military Organization and Command</w:t>
      </w:r>
    </w:p>
    <w:p>
      <w:pPr>
        <w:spacing w:after="20" w:line="223" w:lineRule="auto"/>
        <w:jc w:val="right"/>
        <w:bidi/>
      </w:pPr>
      <w:r>
        <w:rPr>
          <w:rFonts w:ascii="Arial" w:hAnsi="Arial"/>
          <w:sz w:val="16"/>
        </w:rPr>
        <w:t>550.15  AFI ۱-۱، استانداردهای نیروی هوایی، ۱۷ اوت ۲۰۲۳ AFI ۳۸-۱۰۱، نیروی انسانی و سازمان، ۲۹ آگوست ۲۰۱۹ AFPD ۱، فرهنگ نیروی هوایی، ۱۵ اکتبر ۲۰۱۹ انتشار دکترین نیروی هوایی ۱ ۱، نیروی هوایی ۲۰۲۰۱، توابع وزارت دفاع و اجزای اصلی آن، ۲۱ دسامبر قانون عمومی ۹۹-۴۳۳، قانون سازماندهی مجدد وزارت دفاع گلدواتر-نیکلز، ۱ اکتبر ۱۹۸۶</w:t>
      </w:r>
    </w:p>
    <w:p>
      <w:pPr>
        <w:spacing w:after="28" w:line="216" w:lineRule="auto"/>
        <w:ind w:left="259"/>
        <w:jc w:val="left"/>
      </w:pPr>
      <w:r>
        <w:rPr>
          <w:rFonts w:ascii="Arial" w:hAnsi="Arial"/>
          <w:color w:val="525252"/>
          <w:sz w:val="13"/>
        </w:rPr>
        <w:t>AFI 1-1, Air Force Standards, 17 August 2023 AFI 38-101, Manpower and Organization, 29 August 2019 AFPD 1, Air Force Culture, 15 October 2019 Air Force Doctrine Publication 1 1, The Air Force, 10 March 2021 DoDD 5100.01, Functions of the Department of Defense and Its Major Components, 21 December Public Law 99-433, Goldwater-Nichols Department of Defense Reorganization Act of 1986, 1 October 1986</w:t>
      </w:r>
    </w:p>
    <w:p>
      <w:r>
        <w:br w:type="page"/>
      </w:r>
    </w:p>
    <w:p>
      <w:pPr>
        <w:spacing w:after="60"/>
        <w:jc w:val="right"/>
        <w:bidi/>
      </w:pPr>
      <w:r>
        <w:rPr>
          <w:rFonts w:ascii="Arial" w:hAnsi="Arial"/>
          <w:b/>
          <w:color w:val="1F4D78"/>
          <w:sz w:val="19"/>
        </w:rPr>
        <w:t>هفتهٔ 551  |  صفحهٔ منبع: 567</w:t>
      </w:r>
    </w:p>
    <w:p>
      <w:pPr>
        <w:spacing w:before="60" w:after="28"/>
        <w:jc w:val="right"/>
        <w:bidi/>
      </w:pPr>
      <w:r>
        <w:rPr>
          <w:b/>
          <w:color w:val="1F4D78"/>
          <w:sz w:val="18"/>
        </w:rPr>
        <w:t>فصل ششم، دکترین، نیروی مشترک و بسیج</w:t>
      </w:r>
    </w:p>
    <w:p>
      <w:pPr>
        <w:spacing w:after="20"/>
        <w:ind w:left="259"/>
        <w:jc w:val="left"/>
      </w:pPr>
      <w:r>
        <w:rPr>
          <w:color w:val="555555"/>
          <w:sz w:val="12"/>
        </w:rPr>
        <w:t>Chapter 6, Doctrine, Joint Force, and Mobilization</w:t>
      </w:r>
    </w:p>
    <w:p>
      <w:pPr>
        <w:spacing w:after="20" w:line="223" w:lineRule="auto"/>
        <w:jc w:val="right"/>
        <w:bidi/>
      </w:pPr>
      <w:r>
        <w:rPr>
          <w:rFonts w:ascii="Arial" w:hAnsi="Arial"/>
          <w:sz w:val="16"/>
        </w:rPr>
        <w:t>551.02  AFFORGEN کوننکت فورک دوکترین پوبلیکاتیون ۱، ت نیروی هوایی، ۱۰ مارس ۲۰۲۱ پوبلیکاتیونس دوکترین فورک فورک دوکترین JP ۱ وولوم ۲، ت جوینت فورک، ۱۹ ژوئیه ۲۰۲۰ JP ۱-۰۲، دود دیکتیوناری وف میلیتاری اند اسسوکیاتد ترمس JP۲۰، JP۲۰۲۰ ۱۸ ژوئن ۲۰۲۲ قانون عمومی ۹۹-۴۳۳، قانون سازماندهی مجدد وزارت دفاع گلدواتر-نیکولز مصوب ۱۹۸۶، ۱ اکتبر ۱۹۸۶ عنوان ۱۰، ایالات متحده آمریکا، نیروهای مسلح، نسخه فعلی عنوان ۱۰، ایالات متحده آمریکا، بخش ۱۱۳، وزیر دفاع، ت.س.۱۰ بخش ۱۶۱، فرماندهی رزمندگان: تأسیس، نسخه فعلی عنوان ۵۰، ایالات متحده آمریکا، بخش ۳۰۴۳، گزارش سالانه استراتژی امنیت ملی، نسخه فعلی</w:t>
      </w:r>
    </w:p>
    <w:p>
      <w:pPr>
        <w:spacing w:after="28" w:line="216" w:lineRule="auto"/>
        <w:ind w:left="259"/>
        <w:jc w:val="left"/>
      </w:pPr>
      <w:r>
        <w:rPr>
          <w:rFonts w:ascii="Arial" w:hAnsi="Arial"/>
          <w:color w:val="525252"/>
          <w:sz w:val="13"/>
        </w:rPr>
        <w:t>AFFORGEN Connect Air Force Doctrine Publication 1, The Air Force, 10 March 2021 Air Force Doctrine Publications JP 1 Volume 2, The Joint Force, 19 July 2020 JP 1-02, DoD Dictionary of Military and Associated Terms, August 2023 JP 3-0, Joint Operations, 18 June 2022 Public Law 99-433, Goldwater-Nichols Department of Defense Reorganization Act of 1986, 1 October 1986 Title 10, U.S.C., Armed Forces, current edition Title 10, U.S.C., Section 113 (g), Secretary of Defense, current edition Title 10, U.S.C., Section 161, Combatant Commands: Establishment, current edition Title 50, U.S.C., Section 3043, Annual National Security Strategy Report, current edition</w:t>
      </w:r>
    </w:p>
    <w:p>
      <w:pPr>
        <w:spacing w:before="60" w:after="28"/>
        <w:jc w:val="right"/>
        <w:bidi/>
      </w:pPr>
      <w:r>
        <w:rPr>
          <w:b/>
          <w:color w:val="1F4D78"/>
          <w:sz w:val="18"/>
        </w:rPr>
        <w:t>فصل 7، توسعه نیروی سربازگیری</w:t>
      </w:r>
    </w:p>
    <w:p>
      <w:pPr>
        <w:spacing w:after="20"/>
        <w:ind w:left="259"/>
        <w:jc w:val="left"/>
      </w:pPr>
      <w:r>
        <w:rPr>
          <w:color w:val="555555"/>
          <w:sz w:val="12"/>
        </w:rPr>
        <w:t>Chapter 7, Enlisted Force Development</w:t>
      </w:r>
    </w:p>
    <w:p>
      <w:pPr>
        <w:spacing w:after="20" w:line="223" w:lineRule="auto"/>
        <w:jc w:val="right"/>
        <w:bidi/>
      </w:pPr>
      <w:r>
        <w:rPr>
          <w:rFonts w:ascii="Arial" w:hAnsi="Arial"/>
          <w:sz w:val="16"/>
        </w:rPr>
        <w:t>551.04  AFH ۳۶-۲۶۴۷، مدلسازی شایستگی، ۰۸ فوریه ۲۰۲۲ DAFMAN ۳۶-۲۰۳۲، استخدام نظامی و الحاقات، ۶ ژوئن ۲۰۲۴ AFMAN ۳۶-۲۱۰۰، استفاده نظامی و طبقه بندی، ۷ آوریل ۱۱۰ CJ۵ک۲۰ فهرست شده است. خط‌مشی آموزش حرفه‌ای نظامی، ۱۵ مه ۲۰۱۵ DAFMAN ۳۶-۲۶۶۴، برنامه ارزیابی پرسنل، ۱۷ ژانویه ۲۰۲۳ DAFI ۳۶-۲۶۷۰، توسعه کل نیرو، ۲۵ ژوئن ۲۰۲۰ DAFPD ۳۶-۲۶، مجموع توسعه نیرو، جلد۲۲۴ برنامه آموزشی ۱۸ ژانویه ۱۵ ۱۵ مارس ۲۰۱۱ قانون عمومی ۱۰۶-۲۹۱، بخش ۱۲۶۸، قانون مجوز دفاع ملی کارل لوین و هووارد پ. "بوکک" مککون برای سال مالی ۲۰۱۵، ۱۹ دسامبر ۲۰۱۴ قانون عمومی ۱۰۸-۳۷۵، سال مالی ۲۰۰۵، قانون مجوز دفاع ملی ۲۰۰۵، ۲ اکتبر ۲،</w:t>
      </w:r>
    </w:p>
    <w:p>
      <w:pPr>
        <w:spacing w:after="28" w:line="216" w:lineRule="auto"/>
        <w:ind w:left="259"/>
        <w:jc w:val="left"/>
      </w:pPr>
      <w:r>
        <w:rPr>
          <w:rFonts w:ascii="Arial" w:hAnsi="Arial"/>
          <w:color w:val="525252"/>
          <w:sz w:val="13"/>
        </w:rPr>
        <w:t>AFH 36-2647, Competency Modeling, 08 February 2022 DAFMAN 36-2032, Military Recruiting and Accessions, 6 June 2024 AFMAN 36-2100, Military Utilization and Classification, 7 April 2021 CJCSI 1805.01B, Enlisted Professional Military Education Policy, 15 May 2015 DAFMAN 36-2664, Personnel Assessment Program, 17 January 2023 DAFI 36-2670, Total Force Development, 25 June 2020 DAFPD 36-26, Total Force Development, 18 January 2024 DoDI 1322.25, Voluntary Education Programs, 15 March 2011 Public Law 106-291, Section 1268, Carl Levin and Howard P. “Buck” McKeon National Defense Authorization Act for Fiscal Year 2015, 19 December 2014 Public Law 108-375, Fiscal Year 2005 National Defense Authorization Act, 28 October 2004</w:t>
      </w:r>
    </w:p>
    <w:p>
      <w:pPr>
        <w:spacing w:before="60" w:after="28"/>
        <w:jc w:val="right"/>
        <w:bidi/>
      </w:pPr>
      <w:r>
        <w:rPr>
          <w:b/>
          <w:color w:val="1F4D78"/>
          <w:sz w:val="18"/>
        </w:rPr>
        <w:t>فصل 8، ارزیابی ها و شناخت</w:t>
      </w:r>
    </w:p>
    <w:p>
      <w:pPr>
        <w:spacing w:after="20"/>
        <w:ind w:left="259"/>
        <w:jc w:val="left"/>
      </w:pPr>
      <w:r>
        <w:rPr>
          <w:color w:val="555555"/>
          <w:sz w:val="12"/>
        </w:rPr>
        <w:t>Chapter 8, Assessments and Recognition</w:t>
      </w:r>
    </w:p>
    <w:p>
      <w:pPr>
        <w:spacing w:after="20" w:line="223" w:lineRule="auto"/>
        <w:jc w:val="right"/>
        <w:bidi/>
      </w:pPr>
      <w:r>
        <w:rPr>
          <w:rFonts w:ascii="Arial" w:hAnsi="Arial"/>
          <w:sz w:val="16"/>
        </w:rPr>
        <w:t>551.06  AFI ۳۳-۳۳۲، برنامه حریم خصوصی و آزادی‌های مدنی نیروی هوایی، ۱۰ مارس ۲۰۲۰ DAFI ۳۶-۲۶۰۶، نام نویسی مجدد و تمدید نام نویسی در نیروی هوایی ایالات متحده، ۲۲ مه AFMAN ۳۶-۲۱۰۰، استفاده از کلاس نظامی ۲ه و ۷ آوریل ۳۳-۳۳۷، ت تونگو اند قویلل، ۲۷ مه ۲۰۱۵ AFI ۳۶-۲۴۰۶، افسران و سیستم‌های ارزیابی نام نویسی شده، ۶ اوت ۲۰۲۴ DAFI ۳۶-۳۲۱۱، جدایی‌های نظامی، ۲۴ ژوئن ۲۰۲۲ DAFMAN ۳۶-۲۸۰۶ سربازی و جوایز نظامی ۷ اکتبر ۲۰۲۲ دودم ۱۳۴۸.۳۳ جلد.</w:t>
      </w:r>
    </w:p>
    <w:p>
      <w:pPr>
        <w:spacing w:after="28" w:line="216" w:lineRule="auto"/>
        <w:ind w:left="259"/>
        <w:jc w:val="left"/>
      </w:pPr>
      <w:r>
        <w:rPr>
          <w:rFonts w:ascii="Arial" w:hAnsi="Arial"/>
          <w:color w:val="525252"/>
          <w:sz w:val="13"/>
        </w:rPr>
        <w:t>AFI 33-332, Air Force Privacy and Civil Liberties Program, 10 March 2020 DAFI 36-2606, Reenlistment and Extension of Enlistment in the United States Air Force, 22 May AFMAN 36-2100, Military Utilization and Classification, 7 April 2021 DAFH 33-337, The Tongue and Quill, 27 May 2015 AFI 36-2406, Officer and Enlisted Evaluation Systems, 6 August 2024 DAFI 36-3211, Military Separations, 24 June 2022 DAFMAN 36-2806, Military Awards: Criteria and Procedures, 27 October 2022 DoDM 1348.33 Vol.</w:t>
      </w:r>
    </w:p>
    <w:p>
      <w:pPr>
        <w:spacing w:after="20" w:line="223" w:lineRule="auto"/>
        <w:jc w:val="right"/>
        <w:bidi/>
      </w:pPr>
      <w:r>
        <w:rPr>
          <w:rFonts w:ascii="Arial" w:hAnsi="Arial"/>
          <w:sz w:val="16"/>
        </w:rPr>
        <w:t>551.07  ۲، تزیینات و جوایز نظامی وزارت دفاع: جوایز خدمات وزارت دفاع - مدال‌های کمپین، اعزامی، و خدمات، ۲۱ دسامبر ۲۰۱۶ دودم ۵۴۰۰.۷_AFMAN ۳۳-۳۰۲، برنامه قانون آزادی اطلاعات، ۲۷ آوریل ۲۰۱۸، ۲۷ ژانویه ۲۰۱۸، قانون ۲۲ ژانویه ۷ قانون اطلاعات عمومی، قانون ۵۴۰۰ اطلاعات عمومی وزارت دفاع، ۲۱ دسامبر ۲۰۱۶. ۹۳-۵۷۹، قانون حریم خصوصی ۱۹۷۴، ۳۱ دسامبر ۱۹۷۴ عنوان ۵، و.س.ک.</w:t>
      </w:r>
    </w:p>
    <w:p>
      <w:pPr>
        <w:spacing w:after="28" w:line="216" w:lineRule="auto"/>
        <w:ind w:left="259"/>
        <w:jc w:val="left"/>
      </w:pPr>
      <w:r>
        <w:rPr>
          <w:rFonts w:ascii="Arial" w:hAnsi="Arial"/>
          <w:color w:val="525252"/>
          <w:sz w:val="13"/>
        </w:rPr>
        <w:t>2, DoD Military Decorations and Awards: DoD Service Awards - Campaign, Expeditionary, and Service Medals, 21 December 2016 DoDM 5400.7_AFMAN 33-302, Freedom of Information Act Program, 27 April 2018 DoDM 5400.07, Freedom of Information Act Program, 25 January 2017 Public Law 93-579, Privacy Act 1974, 31 December 1974 Title 5, U.S.C.</w:t>
      </w:r>
    </w:p>
    <w:p>
      <w:pPr>
        <w:spacing w:after="20" w:line="223" w:lineRule="auto"/>
        <w:jc w:val="right"/>
        <w:bidi/>
      </w:pPr>
      <w:r>
        <w:rPr>
          <w:rFonts w:ascii="Arial" w:hAnsi="Arial"/>
          <w:sz w:val="16"/>
        </w:rPr>
        <w:t>551.08  ۵۵۲ا، قانون حریم خصوصی ۱۹۷۴، ۳۱ دسامبر ۱۹۷۴</w:t>
      </w:r>
    </w:p>
    <w:p>
      <w:pPr>
        <w:spacing w:after="28" w:line="216" w:lineRule="auto"/>
        <w:ind w:left="259"/>
        <w:jc w:val="left"/>
      </w:pPr>
      <w:r>
        <w:rPr>
          <w:rFonts w:ascii="Arial" w:hAnsi="Arial"/>
          <w:color w:val="525252"/>
          <w:sz w:val="13"/>
        </w:rPr>
        <w:t>552a, Privacy Act of 1974, 31 December 1974</w:t>
      </w:r>
    </w:p>
    <w:p>
      <w:pPr>
        <w:spacing w:before="60" w:after="28"/>
        <w:jc w:val="right"/>
        <w:bidi/>
      </w:pPr>
      <w:r>
        <w:rPr>
          <w:b/>
          <w:color w:val="1F4D78"/>
          <w:sz w:val="18"/>
        </w:rPr>
        <w:t>فصل 9، تبلیغات ثبت نام شده</w:t>
      </w:r>
    </w:p>
    <w:p>
      <w:pPr>
        <w:spacing w:after="20"/>
        <w:ind w:left="259"/>
        <w:jc w:val="left"/>
      </w:pPr>
      <w:r>
        <w:rPr>
          <w:color w:val="555555"/>
          <w:sz w:val="12"/>
        </w:rPr>
        <w:t>Chapter 9, Enlisted Promotions</w:t>
      </w:r>
    </w:p>
    <w:p>
      <w:pPr>
        <w:spacing w:after="20" w:line="223" w:lineRule="auto"/>
        <w:jc w:val="right"/>
        <w:bidi/>
      </w:pPr>
      <w:r>
        <w:rPr>
          <w:rFonts w:ascii="Arial" w:hAnsi="Arial"/>
          <w:sz w:val="16"/>
        </w:rPr>
        <w:t>551.10  AFI ۳۶-۲۵۰۲، برنامه‌های ارتقاء و تنزل مقام نیروی هوایی، ۲۶ سپتامبر ۲۰۲۴ DAFMAN ۳۶-۲۶۶۴، برنامه ارزیابی پرسنل، ۱۷ ژانویه ۲۰۲۳ عنوان ۱۰، و.س.ک.، نیروهای مسلح، ۷ ژوئیه ۱۱۰</w:t>
      </w:r>
    </w:p>
    <w:p>
      <w:pPr>
        <w:spacing w:after="28" w:line="216" w:lineRule="auto"/>
        <w:ind w:left="259"/>
        <w:jc w:val="left"/>
      </w:pPr>
      <w:r>
        <w:rPr>
          <w:rFonts w:ascii="Arial" w:hAnsi="Arial"/>
          <w:color w:val="525252"/>
          <w:sz w:val="13"/>
        </w:rPr>
        <w:t>AFI 36-2502, Enlisted Airman Promotion and Demotion Programs, 26 September 2024 DAFMAN 36-2664, Personnel Assessment Program, 17 January 2023 Title 10, U.S.C., Armed Forces, 7 July 2011</w:t>
      </w:r>
    </w:p>
    <w:p>
      <w:pPr>
        <w:spacing w:before="60" w:after="28"/>
        <w:jc w:val="right"/>
        <w:bidi/>
      </w:pPr>
      <w:r>
        <w:rPr>
          <w:b/>
          <w:color w:val="1F4D78"/>
          <w:sz w:val="18"/>
        </w:rPr>
        <w:t>فصل 10، تکالیف و کدهای شغلی</w:t>
      </w:r>
    </w:p>
    <w:p>
      <w:pPr>
        <w:spacing w:after="20"/>
        <w:ind w:left="259"/>
        <w:jc w:val="left"/>
      </w:pPr>
      <w:r>
        <w:rPr>
          <w:color w:val="555555"/>
          <w:sz w:val="12"/>
        </w:rPr>
        <w:t>Chapter 10, Assignments and Occupational Codes</w:t>
      </w:r>
    </w:p>
    <w:p>
      <w:r>
        <w:br w:type="page"/>
      </w:r>
    </w:p>
    <w:p>
      <w:pPr>
        <w:spacing w:after="60"/>
        <w:jc w:val="right"/>
        <w:bidi/>
      </w:pPr>
      <w:r>
        <w:rPr>
          <w:rFonts w:ascii="Arial" w:hAnsi="Arial"/>
          <w:b/>
          <w:color w:val="1F4D78"/>
          <w:sz w:val="19"/>
        </w:rPr>
        <w:t>هفتهٔ 552  |  صفحهٔ منبع: 568</w:t>
      </w:r>
    </w:p>
    <w:p>
      <w:pPr>
        <w:spacing w:after="20" w:line="223" w:lineRule="auto"/>
        <w:jc w:val="right"/>
        <w:bidi/>
      </w:pPr>
      <w:r>
        <w:rPr>
          <w:rFonts w:ascii="Arial" w:hAnsi="Arial"/>
          <w:sz w:val="16"/>
        </w:rPr>
        <w:t>552.01  AFMAN ۳۶-۲۱۰۰، استفاده نظامی و طبقه بندی، ۷ آوریل ۲۰۲۱ DAFI ۳۶-۲۱۱۰، کل نیروهای انتساب، ۹ اوت ۲۰۲۴ DAFI ۳۶-۳۰۰۹، مرکز آمادگی نظامی و خانواده، ۴ نوامبر ۲۱-DAFMAN ۲۰۲۰، مرکز آمادگی نظامی و خانواده، ۴ نوامبر ۱ AFMAN ۲ مدیریت برنامه کالیبراسیون، ۲۳ دسامبر ۲۰۲۳ دودی۱۳۴۲.۱۹_DAFI۳۶-۲۹۰۸، برنامه‌های مراقبت از خانواده، ۱۰ مارس ۲۰۲۳</w:t>
      </w:r>
    </w:p>
    <w:p>
      <w:pPr>
        <w:spacing w:after="28" w:line="216" w:lineRule="auto"/>
        <w:ind w:left="259"/>
        <w:jc w:val="left"/>
      </w:pPr>
      <w:r>
        <w:rPr>
          <w:rFonts w:ascii="Arial" w:hAnsi="Arial"/>
          <w:color w:val="525252"/>
          <w:sz w:val="13"/>
        </w:rPr>
        <w:t>AFMAN 36-2100, Military Utilization and Classification, 7 April 2021 DAFI 36-2110, Total Force Assignments, 9 August 2024 DAFI 36-3009, Military and Family Readiness Center, 4 November 2022 DAFMAN 21-113, Air Force Metrology and Calibration Program Management, 23 December 2023 DoDI1342.19_DAFI36-2908, Family Care Plans, 10 March 2023</w:t>
      </w:r>
    </w:p>
    <w:p>
      <w:pPr>
        <w:spacing w:before="60" w:after="28"/>
        <w:jc w:val="right"/>
        <w:bidi/>
      </w:pPr>
      <w:r>
        <w:rPr>
          <w:b/>
          <w:color w:val="1F4D78"/>
          <w:sz w:val="18"/>
        </w:rPr>
        <w:t>فصل 11، برنامه ها و مزایای پرسنل</w:t>
      </w:r>
    </w:p>
    <w:p>
      <w:pPr>
        <w:spacing w:after="20"/>
        <w:ind w:left="259"/>
        <w:jc w:val="left"/>
      </w:pPr>
      <w:r>
        <w:rPr>
          <w:color w:val="555555"/>
          <w:sz w:val="12"/>
        </w:rPr>
        <w:t>Chapter 11, Personnel Programs and Benefits</w:t>
      </w:r>
    </w:p>
    <w:p>
      <w:pPr>
        <w:spacing w:after="20" w:line="223" w:lineRule="auto"/>
        <w:jc w:val="right"/>
        <w:bidi/>
      </w:pPr>
      <w:r>
        <w:rPr>
          <w:rFonts w:ascii="Arial" w:hAnsi="Arial"/>
          <w:sz w:val="16"/>
        </w:rPr>
        <w:t>552.03  AFI ۱-۱، استانداردهای نیروی هوایی، ۱۷ اوت ۲۰۲۳ AFI ۳۴-۲۲۳، برنامه سازمان‌های خصوصی، ۱۳ دسامبر ۲۰۱۸ AFI ۳۶-۱۲۸، تنظیم پرداخت و کمک هزینه، ۱۷ مه ۲۰۱۹ DAFI ۳۶-۳۲۰ بازنشستگی DAFI ۳۶-۳۲۰۳ ۳۶-۱۴۷، رفتار و مسئولیت غیرنظامی، ۱۱ ژانویه ۲۰۲۳ DAFI ۳۶-۷۰۱، روابط مدیریت کار، ۱۴ نوامبر ۲۰۱۹ DAFI ۳۶-۲۱۱۰، مجموع تخصیص نیروها، ۹ اوت ۲۰۲۴ مجموع DAFI ۳۲-۲۶۰ برای توسعه DAFI ۳۶-۲۶۷ ۳۶-۲۶۸۷، توسعه غیرنظامی، ۹ نوامبر ۲۰۲۳ DAFI ۳۶-۳۰۰۳، برنامه مرخصی نظامی، ۷ اوت ۲۰۲۴ DAFI ۳۶-۳۱۰۷، برنامه کمک به رأی گیری، ۱ ژوئیه ۲۰۲۱ DAFMAN ۳۶-۲۶۸۹، برنامه آموزشی، ۳۳ مارس دودی۱۳۴۲.۱۹_DAFI۳۶-۲۹۰۸، برنامه‌های مراقبت از خانواده، ۱۰ مارس ۲۰۲۳ دودی۱۳۴۲.۲۲، آمادگی خانواده نظامی، ۵ اوت ۲۰۲۱ دودی۱۴۰۰.۲۵، سیستم مدیریت پرسنل غیرنظامی وزارت دفاع، نسخه فعلی دودی۱۴۰۰.۲۵۶ ادمینیستراتیو ادمینیستراتیو، دودی۱۴۰۰.۲۵و۳۷د سیستم شکایت، ۱۴ نوامبر ۲۰۱۸ دودی۱۴۰۰.۲۵و۶۱۰_AFI۳۶-۱۵۲، ساعات کار و آداب تعطیلات، ۶ آوریل ۲۰۲۳ دودی۱۴۰۰.۲۵و۶۳۰_AFI۳۶-۸۱۵، مرخصی، ۱۴ نوامبر ۲۰۱۹ مقررات مشترک ۷۱. ۳-۲۱۰، روابط با نهادهای غیر فدرال: رسمی و شخصی، مه ۲۰۱۸ قانون عمومی ۱۱۰-۲۵۲، قانون کمک آموزشی کهنه‌سربازان پس از ۹/۱۱ سال ۲۰۰۸، ۳۰ ژوئن ۲۰۰۸ عنوان ۱۰، و.س.ک. ۱۰، ایالات متحده آمریکا، بخش ۱۳۹۳، درجه بالاتر پس از ۳۰ سال خدمت: افسران ضمانت‌نامه و اعضای ثبت‌نام، نسخه فعلی عنوان ۱۰، ایالات متحده آمریکا، بخش ۱۴۰۷، پایه پرداخت بازنشستگان برای اعضایی که برای اولین بار پس از ۷ سپتامبر، ۱۹۶، بالاترین عضویت عضو شدند: و.س.ک.، بخش ۲۵۵۸، انجمن‌های ملی نظامی: کمک در کنوانسیون‌های ملی، ۷ ژانویه ۲۰۱۱</w:t>
      </w:r>
    </w:p>
    <w:p>
      <w:pPr>
        <w:spacing w:after="28" w:line="216" w:lineRule="auto"/>
        <w:ind w:left="259"/>
        <w:jc w:val="left"/>
      </w:pPr>
      <w:r>
        <w:rPr>
          <w:rFonts w:ascii="Arial" w:hAnsi="Arial"/>
          <w:color w:val="525252"/>
          <w:sz w:val="13"/>
        </w:rPr>
        <w:t>AFI 1-1, Air Force Standards, 17 August 2023 AFI 34-223, Private Organizations Program, 13 December 2018 AFI 36-128, Pay Setting and Allowances, 17 May 2019 DAFI 36-3203, Service Retirements, 29 January 2021 DAFI 36-147, Civilian Conduct and Responsibility, 11 January 2023 DAFI 36-701, Labor-Management Relations, 14 November 2019 DAFI 36-2110, Total Force Assignments, 9 August 2024 DAFI 36-2670, Total Force Development, 25 June 2020 DAFI 36-2687, Civilian Development, 9 November 2023 DAFI 36-3003, Military Leave Program, 7 August 2024 DAFI 36-3107, Voting Assistance Program, 1 July 2021 DAFMAN 36-2689, Training Program, 31 March 2023 DoDI1342.19_DAFI36-2908, Family Care Plans, 10 March 2023 DoDI1342.22, Military Family Readiness, 5 August 2021 DoDI1400.25, DoD Civilian Personnel Management System, current edition DoDI1400.25v771_DAFI36-706, DoD Civilian Management System: Administrative Grievance System, 14 November 2018 DoDI1400.25V610_AFI36-152, Hours of Work and Holiday Observances, 6 April 2023 DoDI1400.25V630_AFI36-815, Leave, 14 November 2019 Joint Ethics Regulation, 17 November 2011 JER Section 3-210, Relations with Non-Federal Entities: Official and Personal, May 2018 Public Law 110-252, Post-9/11 Veterans Educational Assistance Act of 2008, 30 June 2008 Title 10, U.S.C., Section 1370, Regular Commissioned Officers, current edition Title 10, U.S.C., Section 1393, Higher Grade after 30 Years of Service: Warrant Officers and Enlisted Members, current edition Title 10, U.S.C., Section 1407e, Retired Pay Base for Members Who First Became Members after September 7, 1980: High-36 Month Average, current edition Title 10 U.S.C., Section 2558, National Military Associations: Assistance at National Conventions, 7 January 2011</w:t>
      </w:r>
    </w:p>
    <w:p>
      <w:pPr>
        <w:spacing w:before="60" w:after="28"/>
        <w:jc w:val="right"/>
        <w:bidi/>
      </w:pPr>
      <w:r>
        <w:rPr>
          <w:b/>
          <w:color w:val="1F4D78"/>
          <w:sz w:val="18"/>
        </w:rPr>
        <w:t>فصل 12، امور مالی، نیروی انسانی و منابع</w:t>
      </w:r>
    </w:p>
    <w:p>
      <w:pPr>
        <w:spacing w:after="20"/>
        <w:ind w:left="259"/>
        <w:jc w:val="left"/>
      </w:pPr>
      <w:r>
        <w:rPr>
          <w:color w:val="555555"/>
          <w:sz w:val="12"/>
        </w:rPr>
        <w:t>Chapter 12, Finance, Manpower, and Resources</w:t>
      </w:r>
    </w:p>
    <w:p>
      <w:pPr>
        <w:spacing w:after="20" w:line="223" w:lineRule="auto"/>
        <w:jc w:val="right"/>
        <w:bidi/>
      </w:pPr>
      <w:r>
        <w:rPr>
          <w:rFonts w:ascii="Arial" w:hAnsi="Arial"/>
          <w:sz w:val="16"/>
        </w:rPr>
        <w:t>552.05  AFI ۱-۱، استانداردهای نیروی هوایی، ۱۷ اوت ۲۰۲۳ AFI ۳۲-۷۰۰۱، مدیریت محیط زیست، ۲۳ اوت ۲۰۱۹ AFI ۳۸-۱۰۱، نیروی انسانی و سازمان، ۲۹ اوت ۲۰۱۹ رویه‌های پرواز مدیریت، ۲۳ اکتبر ۲۰۱۹ DAFI ۳۶-۲۹۰۶، مسئولیت مالی شخصی، ۲۳ آگوست ۲۰۲۳ وزارت دفاع ۷۰۰۰.۱۴-ر، مقررات مدیریت مالی وزارت دفاع، نسخه فعلی دودد ۷۰۴۵.۱۴، برنامه‌ریزی، برنامه‌ریزی، برنامه‌ریزی، برنامه‌ریزی، برنامه‌ریزی و بودجه‌بندی ژانویه ۴۷۱۵.۱۷، سیستم مدیریت محیطی، ۱۵ آوریل ۲۰۰۹ دودی ۵۰۰۰.۶۴_DAFI ۲۳-۱۱۱، مدیریت اموال دولتی در اختیار هوا</w:t>
      </w:r>
    </w:p>
    <w:p>
      <w:pPr>
        <w:spacing w:after="28" w:line="216" w:lineRule="auto"/>
        <w:ind w:left="259"/>
        <w:jc w:val="left"/>
      </w:pPr>
      <w:r>
        <w:rPr>
          <w:rFonts w:ascii="Arial" w:hAnsi="Arial"/>
          <w:color w:val="525252"/>
          <w:sz w:val="13"/>
        </w:rPr>
        <w:t>AFI 1-1, Air Force Standards, 17 August 2023 AFI 32-7001, Environmental Management, 23 August 2019 AFI 38-101, Manpower and Organization, 29 August 2019 AFMAN 65-116, Volume 1, Defense Joint Military Pay System Active Component Financial Management Flight Procedures, 23 October 2019 DAFI 36-2906, Personal Financial Responsibility, 23 August 2023 DoD 7000.14-R, Department of Defense Financial Management Regulation, current edition DoDD 7045.14, The Planning, Programming, Budgeting, and Execution Process, 25 January DoDI 4715.17, Environmental Management System, 15 April 2009 DoDI 5000.64_DAFI 23-111, Management of Government Property in Possession of the Air</w:t>
      </w:r>
    </w:p>
    <w:p>
      <w:r>
        <w:br w:type="page"/>
      </w:r>
    </w:p>
    <w:p>
      <w:pPr>
        <w:spacing w:after="60"/>
        <w:jc w:val="right"/>
        <w:bidi/>
      </w:pPr>
      <w:r>
        <w:rPr>
          <w:rFonts w:ascii="Arial" w:hAnsi="Arial"/>
          <w:b/>
          <w:color w:val="1F4D78"/>
          <w:sz w:val="19"/>
        </w:rPr>
        <w:t>هفتهٔ 553  |  صفحهٔ منبع: 569</w:t>
      </w:r>
    </w:p>
    <w:p>
      <w:pPr>
        <w:spacing w:after="20" w:line="223" w:lineRule="auto"/>
        <w:jc w:val="right"/>
        <w:bidi/>
      </w:pPr>
      <w:r>
        <w:rPr>
          <w:rFonts w:ascii="Arial" w:hAnsi="Arial"/>
          <w:sz w:val="16"/>
        </w:rPr>
        <w:t>553.01  زور، ۶ دسامبر ۲۰۲۱ دودر ۷۰۰۰.۱۴، مقررات مدیریت مالی، جلد ۱۲، فصل ۷، مسئولیت مالی برای اموال دولتی از دست رفته، آسیب دیده، تخریب یا دزدیده شده، قانون عمومی ۹۳-۵۷۱۹، دسامبر ۷۳۱۴، قانون حریم خصوصی، مه ۲۰۲۴</w:t>
      </w:r>
    </w:p>
    <w:p>
      <w:pPr>
        <w:spacing w:after="28" w:line="216" w:lineRule="auto"/>
        <w:ind w:left="259"/>
        <w:jc w:val="left"/>
      </w:pPr>
      <w:r>
        <w:rPr>
          <w:rFonts w:ascii="Arial" w:hAnsi="Arial"/>
          <w:color w:val="525252"/>
          <w:sz w:val="13"/>
        </w:rPr>
        <w:t>Force, 6 December 2021 DoDR 7000.14, Financial Management Regulation, Volume 12, Chapter 7, Financial Liability for Government Property Lost, Damaged, Destroyed, or Stolen, May 2024 Public Law 93-579, Privacy Act 1974, 31 December 1974</w:t>
      </w:r>
    </w:p>
    <w:p>
      <w:pPr>
        <w:spacing w:before="60" w:after="28"/>
        <w:jc w:val="right"/>
        <w:bidi/>
      </w:pPr>
      <w:r>
        <w:rPr>
          <w:b/>
          <w:color w:val="1F4D78"/>
          <w:sz w:val="18"/>
        </w:rPr>
        <w:t>فصل 13، سازمان‌های در حال توسعه</w:t>
      </w:r>
    </w:p>
    <w:p>
      <w:pPr>
        <w:spacing w:after="20"/>
        <w:ind w:left="259"/>
        <w:jc w:val="left"/>
      </w:pPr>
      <w:r>
        <w:rPr>
          <w:color w:val="555555"/>
          <w:sz w:val="12"/>
        </w:rPr>
        <w:t>Chapter 13, Developing Organizations</w:t>
      </w:r>
    </w:p>
    <w:p>
      <w:pPr>
        <w:spacing w:after="20" w:line="223" w:lineRule="auto"/>
        <w:jc w:val="right"/>
        <w:bidi/>
      </w:pPr>
      <w:r>
        <w:rPr>
          <w:rFonts w:ascii="Arial" w:hAnsi="Arial"/>
          <w:sz w:val="16"/>
        </w:rPr>
        <w:t>553.03  AFI ۱-۲، کومماندر’س رسپونسیبیلیتیس، ۸ مه ۲۰۱۴ برن، اریک.، بازی هایی که مردم بازی می‌کنند.</w:t>
      </w:r>
    </w:p>
    <w:p>
      <w:pPr>
        <w:spacing w:after="28" w:line="216" w:lineRule="auto"/>
        <w:ind w:left="259"/>
        <w:jc w:val="left"/>
      </w:pPr>
      <w:r>
        <w:rPr>
          <w:rFonts w:ascii="Arial" w:hAnsi="Arial"/>
          <w:color w:val="525252"/>
          <w:sz w:val="13"/>
        </w:rPr>
        <w:t>AFI 1-2, Commander’s Responsibilities, 8 May 2014 Berne, Eric., Games People Play.</w:t>
      </w:r>
    </w:p>
    <w:p>
      <w:pPr>
        <w:spacing w:after="20" w:line="223" w:lineRule="auto"/>
        <w:jc w:val="right"/>
        <w:bidi/>
      </w:pPr>
      <w:r>
        <w:rPr>
          <w:rFonts w:ascii="Arial" w:hAnsi="Arial"/>
          <w:sz w:val="16"/>
        </w:rPr>
        <w:t>553.04  NY: گروو پرسس، ینک.، ۱۹۶۷ بروک د. ساندرس، فد، &amp; پتر ر. سچولتس، ت ال. فین-تونینگ تام سپیریت، سوپرویسوری ماناگمنت، ژوئن ۱۹۸۰ کاسی، ا. ج. &amp; گولدمان، . ف. (۲۰۱۰).</w:t>
      </w:r>
    </w:p>
    <w:p>
      <w:pPr>
        <w:spacing w:after="28" w:line="216" w:lineRule="auto"/>
        <w:ind w:left="259"/>
        <w:jc w:val="left"/>
      </w:pPr>
      <w:r>
        <w:rPr>
          <w:rFonts w:ascii="Arial" w:hAnsi="Arial"/>
          <w:color w:val="525252"/>
          <w:sz w:val="13"/>
        </w:rPr>
        <w:t>NY: Grove Press, Inc., 1967 Bruce D. Sanders, PhD, &amp; Peter R. Scholtes, et al. Fine-Tuning Team Spirit, Supervisory Management, June 1980 Casey, A. J. &amp; Goldman, E. F. (2010).</w:t>
      </w:r>
    </w:p>
    <w:p>
      <w:pPr>
        <w:spacing w:after="20" w:line="223" w:lineRule="auto"/>
        <w:jc w:val="right"/>
        <w:bidi/>
      </w:pPr>
      <w:r>
        <w:rPr>
          <w:rFonts w:ascii="Arial" w:hAnsi="Arial"/>
          <w:sz w:val="16"/>
        </w:rPr>
        <w:t>553.05  افزایش توانایی تفکر استراتژیک: یک مدل یادگیری.</w:t>
      </w:r>
    </w:p>
    <w:p>
      <w:pPr>
        <w:spacing w:after="28" w:line="216" w:lineRule="auto"/>
        <w:ind w:left="259"/>
        <w:jc w:val="left"/>
      </w:pPr>
      <w:r>
        <w:rPr>
          <w:rFonts w:ascii="Arial" w:hAnsi="Arial"/>
          <w:color w:val="525252"/>
          <w:sz w:val="13"/>
        </w:rPr>
        <w:t>Enhancing the ability to think strategically: A learning model.</w:t>
      </w:r>
    </w:p>
    <w:p>
      <w:pPr>
        <w:spacing w:after="20" w:line="223" w:lineRule="auto"/>
        <w:jc w:val="right"/>
        <w:bidi/>
      </w:pPr>
      <w:r>
        <w:rPr>
          <w:rFonts w:ascii="Arial" w:hAnsi="Arial"/>
          <w:sz w:val="16"/>
        </w:rPr>
        <w:t>553.06  آموزش مدیریت، ۱-۱۹ DAFI ۹۰-۳۰۲، سیستم بازرسی دپارتمان نیروی هوایی، ۱۵ مارس ۲۰۲۳ دفت، ریچارد ال.، نظریه و طراحی سازمانی، ویرایش سوم.</w:t>
      </w:r>
    </w:p>
    <w:p>
      <w:pPr>
        <w:spacing w:after="28" w:line="216" w:lineRule="auto"/>
        <w:ind w:left="259"/>
        <w:jc w:val="left"/>
      </w:pPr>
      <w:r>
        <w:rPr>
          <w:rFonts w:ascii="Arial" w:hAnsi="Arial"/>
          <w:color w:val="525252"/>
          <w:sz w:val="13"/>
        </w:rPr>
        <w:t>Management Learning, 1-19 DAFI 90-302, The Inspection System of the Department of the Air Force, 15 March 2023 Daft, Richard L., Organizational Theory and Design, 3rd Ed.</w:t>
      </w:r>
    </w:p>
    <w:p>
      <w:pPr>
        <w:spacing w:after="20" w:line="223" w:lineRule="auto"/>
        <w:jc w:val="right"/>
        <w:bidi/>
      </w:pPr>
      <w:r>
        <w:rPr>
          <w:rFonts w:ascii="Arial" w:hAnsi="Arial"/>
          <w:sz w:val="16"/>
        </w:rPr>
        <w:t>553.07  NY: انتشارات غربی، ۱۹۸۹ دودی ۵۰۱۰.۴۳، پیاده‌سازی و مدیریت برنامه بهبود فرآیند مستمر در سراسر وزارت دفاع/برنامه شش سیگما ناب (CPI/LSS)، ۱۷ ژوئیه ۲۰۰۹ هریس، کاوش در تفکر استراتژیک، تفکر مجدد استراتژیک، تفکر مجدد استراتژیک: متفکران (موسسه تحقیقاتی ارتش ایالات متحده برای محصولات تحقیقاتی علوم رفتاری و اجتماعی ۰۱-۲۰۱۳).</w:t>
      </w:r>
    </w:p>
    <w:p>
      <w:pPr>
        <w:spacing w:after="28" w:line="216" w:lineRule="auto"/>
        <w:ind w:left="259"/>
        <w:jc w:val="left"/>
      </w:pPr>
      <w:r>
        <w:rPr>
          <w:rFonts w:ascii="Arial" w:hAnsi="Arial"/>
          <w:color w:val="525252"/>
          <w:sz w:val="13"/>
        </w:rPr>
        <w:t>NY: West Publishing, 1989 DoDI 5010.43, Implementation and Management of the DoD-Wide Continuous Process Improvement/Lean Six Sigma (CPI/LSS) Program, 17 July 2009 Harris, Exploring Strategic Thinking: Insights to Assess, Develop, and Retain Army Strategic Thinkers (U.S. Army Research Institute for the Behavioral and Social Sciences Research Product 2013- 01).</w:t>
      </w:r>
    </w:p>
    <w:p>
      <w:pPr>
        <w:spacing w:after="20" w:line="223" w:lineRule="auto"/>
        <w:jc w:val="right"/>
        <w:bidi/>
      </w:pPr>
      <w:r>
        <w:rPr>
          <w:rFonts w:ascii="Arial" w:hAnsi="Arial"/>
          <w:sz w:val="16"/>
        </w:rPr>
        <w:t>553.08  توسعه متفکران استراتژیک ارتش کمبلی، آرنولد اچ، MD، ABC از PAC: مقدمه‌ای بر تحلیل تراکنش.</w:t>
      </w:r>
    </w:p>
    <w:p>
      <w:pPr>
        <w:spacing w:after="28" w:line="216" w:lineRule="auto"/>
        <w:ind w:left="259"/>
        <w:jc w:val="left"/>
      </w:pPr>
      <w:r>
        <w:rPr>
          <w:rFonts w:ascii="Arial" w:hAnsi="Arial"/>
          <w:color w:val="525252"/>
          <w:sz w:val="13"/>
        </w:rPr>
        <w:t>Developing Army Strategic Thinkers Kambly, Arnold H., M.D., The ABC’s of PAC: An Introduction to Transactional Analysis.</w:t>
      </w:r>
    </w:p>
    <w:p>
      <w:pPr>
        <w:spacing w:after="20" w:line="223" w:lineRule="auto"/>
        <w:jc w:val="right"/>
        <w:bidi/>
      </w:pPr>
      <w:r>
        <w:rPr>
          <w:rFonts w:ascii="Arial" w:hAnsi="Arial"/>
          <w:sz w:val="16"/>
        </w:rPr>
        <w:t>553.09  MI: مرکز دانشگاه، ۱۹۷۱ کلینگلد، ا.، وان میرلو، ه.، &amp; ارندس، ل. (۲۰۱۱).</w:t>
      </w:r>
    </w:p>
    <w:p>
      <w:pPr>
        <w:spacing w:after="28" w:line="216" w:lineRule="auto"/>
        <w:ind w:left="259"/>
        <w:jc w:val="left"/>
      </w:pPr>
      <w:r>
        <w:rPr>
          <w:rFonts w:ascii="Arial" w:hAnsi="Arial"/>
          <w:color w:val="525252"/>
          <w:sz w:val="13"/>
        </w:rPr>
        <w:t>MI: The University Center, 1971 Kleingeld, A., van Mierlo, H., &amp; Arends, L. (2011).</w:t>
      </w:r>
    </w:p>
    <w:p>
      <w:pPr>
        <w:spacing w:after="20" w:line="223" w:lineRule="auto"/>
        <w:jc w:val="right"/>
        <w:bidi/>
      </w:pPr>
      <w:r>
        <w:rPr>
          <w:rFonts w:ascii="Arial" w:hAnsi="Arial"/>
          <w:sz w:val="16"/>
        </w:rPr>
        <w:t>553.10  تأثیر تعیین هدف بر عملکرد گروه: یک متاآنالیز.</w:t>
      </w:r>
    </w:p>
    <w:p>
      <w:pPr>
        <w:spacing w:after="28" w:line="216" w:lineRule="auto"/>
        <w:ind w:left="259"/>
        <w:jc w:val="left"/>
      </w:pPr>
      <w:r>
        <w:rPr>
          <w:rFonts w:ascii="Arial" w:hAnsi="Arial"/>
          <w:color w:val="525252"/>
          <w:sz w:val="13"/>
        </w:rPr>
        <w:t>The effect of goal setting on group performance: A meta-analysis.</w:t>
      </w:r>
    </w:p>
    <w:p>
      <w:pPr>
        <w:spacing w:after="20" w:line="223" w:lineRule="auto"/>
        <w:jc w:val="right"/>
        <w:bidi/>
      </w:pPr>
      <w:r>
        <w:rPr>
          <w:rFonts w:ascii="Arial" w:hAnsi="Arial"/>
          <w:sz w:val="16"/>
        </w:rPr>
        <w:t>553.11  مجله روانشناسی کاربردی، ۹۶(۶)، ۱۲۸۹ رابینز، استفن پی.، رفتار سازمانی، مفاهیم، ​​مناقشات و کاربردها.</w:t>
      </w:r>
    </w:p>
    <w:p>
      <w:pPr>
        <w:spacing w:after="28" w:line="216" w:lineRule="auto"/>
        <w:ind w:left="259"/>
        <w:jc w:val="left"/>
      </w:pPr>
      <w:r>
        <w:rPr>
          <w:rFonts w:ascii="Arial" w:hAnsi="Arial"/>
          <w:color w:val="525252"/>
          <w:sz w:val="13"/>
        </w:rPr>
        <w:t>Journal of Applied Psychology, 96(6), 1289 Robbins, Stephen P., Organizational Behavior, Concepts, Controversies and Applications.</w:t>
      </w:r>
    </w:p>
    <w:p>
      <w:pPr>
        <w:spacing w:after="20" w:line="223" w:lineRule="auto"/>
        <w:jc w:val="right"/>
        <w:bidi/>
      </w:pPr>
      <w:r>
        <w:rPr>
          <w:rFonts w:ascii="Arial" w:hAnsi="Arial"/>
          <w:sz w:val="16"/>
        </w:rPr>
        <w:t>553.12  NJ: پرنتیک هالل، ۱۹۹۶ رولوس، پ. (۲۰۲۰).</w:t>
      </w:r>
    </w:p>
    <w:p>
      <w:pPr>
        <w:spacing w:after="28" w:line="216" w:lineRule="auto"/>
        <w:ind w:left="259"/>
        <w:jc w:val="left"/>
      </w:pPr>
      <w:r>
        <w:rPr>
          <w:rFonts w:ascii="Arial" w:hAnsi="Arial"/>
          <w:color w:val="525252"/>
          <w:sz w:val="13"/>
        </w:rPr>
        <w:t>NJ: Prentice Hall, 1996 Rolwes, P. (2020).</w:t>
      </w:r>
    </w:p>
    <w:p>
      <w:pPr>
        <w:spacing w:after="20" w:line="223" w:lineRule="auto"/>
        <w:jc w:val="right"/>
        <w:bidi/>
      </w:pPr>
      <w:r>
        <w:rPr>
          <w:rFonts w:ascii="Arial" w:hAnsi="Arial"/>
          <w:sz w:val="16"/>
        </w:rPr>
        <w:t>553.13  توسعه و اعتبارسنجی ارزیابی‌های شایستگی بنیادی نیروی هوایی.</w:t>
      </w:r>
    </w:p>
    <w:p>
      <w:pPr>
        <w:spacing w:after="28" w:line="216" w:lineRule="auto"/>
        <w:ind w:left="259"/>
        <w:jc w:val="left"/>
      </w:pPr>
      <w:r>
        <w:rPr>
          <w:rFonts w:ascii="Arial" w:hAnsi="Arial"/>
          <w:color w:val="525252"/>
          <w:sz w:val="13"/>
        </w:rPr>
        <w:t>Development and Validation of Air Force Foundational Competency Assessments.</w:t>
      </w:r>
    </w:p>
    <w:p>
      <w:pPr>
        <w:spacing w:after="20" w:line="223" w:lineRule="auto"/>
        <w:jc w:val="right"/>
        <w:bidi/>
      </w:pPr>
      <w:r>
        <w:rPr>
          <w:rFonts w:ascii="Arial" w:hAnsi="Arial"/>
          <w:sz w:val="16"/>
        </w:rPr>
        <w:t>553.14  AD۱۱۲۰۲۰۹.پدف.</w:t>
      </w:r>
    </w:p>
    <w:p>
      <w:pPr>
        <w:spacing w:after="28" w:line="216" w:lineRule="auto"/>
        <w:ind w:left="259"/>
        <w:jc w:val="left"/>
      </w:pPr>
      <w:r>
        <w:rPr>
          <w:rFonts w:ascii="Arial" w:hAnsi="Arial"/>
          <w:color w:val="525252"/>
          <w:sz w:val="13"/>
        </w:rPr>
        <w:t>AD1120209.pdf.</w:t>
      </w:r>
    </w:p>
    <w:p>
      <w:pPr>
        <w:spacing w:after="20" w:line="223" w:lineRule="auto"/>
        <w:jc w:val="right"/>
        <w:bidi/>
      </w:pPr>
      <w:r>
        <w:rPr>
          <w:rFonts w:ascii="Arial" w:hAnsi="Arial"/>
          <w:sz w:val="16"/>
        </w:rPr>
        <w:t>553.15  توماس ا.، من خوبم-تو خوب هستی.</w:t>
      </w:r>
    </w:p>
    <w:p>
      <w:pPr>
        <w:spacing w:after="28" w:line="216" w:lineRule="auto"/>
        <w:ind w:left="259"/>
        <w:jc w:val="left"/>
      </w:pPr>
      <w:r>
        <w:rPr>
          <w:rFonts w:ascii="Arial" w:hAnsi="Arial"/>
          <w:color w:val="525252"/>
          <w:sz w:val="13"/>
        </w:rPr>
        <w:t>Thomas A., I’m OK-You’re OK.</w:t>
      </w:r>
    </w:p>
    <w:p>
      <w:pPr>
        <w:spacing w:after="20" w:line="223" w:lineRule="auto"/>
        <w:jc w:val="right"/>
        <w:bidi/>
      </w:pPr>
      <w:r>
        <w:rPr>
          <w:rFonts w:ascii="Arial" w:hAnsi="Arial"/>
          <w:sz w:val="16"/>
        </w:rPr>
        <w:t>553.16  NY: هارپر اند روو پوبلیشرس، ینک.، ۱۹۷۳ باررون، ل. گ. &amp; توماس، کننت، و. فد.، کونفلیکت اند نگوتیاتیون پروکسسس ین ورگانیزاتیونس، هاندبوک وف یندوستریال اند ورگانیزاتیونال پسیچولوگی، ۱۹۹۲ سوزانن ویللیس زوگلیو.</w:t>
      </w:r>
    </w:p>
    <w:p>
      <w:pPr>
        <w:spacing w:after="28" w:line="216" w:lineRule="auto"/>
        <w:ind w:left="259"/>
        <w:jc w:val="left"/>
      </w:pPr>
      <w:r>
        <w:rPr>
          <w:rFonts w:ascii="Arial" w:hAnsi="Arial"/>
          <w:color w:val="525252"/>
          <w:sz w:val="13"/>
        </w:rPr>
        <w:t>NY: Harper and Row Publishers, Inc., 1973 Barron, L. G. &amp; Thomas, Kenneth, W. PhD., Conflict and Negotiation Processes in Organizations, Handbook of Industrial and Organizational Psychology, 1992 Suzanne Willis Zoglio.</w:t>
      </w:r>
    </w:p>
    <w:p>
      <w:pPr>
        <w:spacing w:after="20" w:line="223" w:lineRule="auto"/>
        <w:jc w:val="right"/>
        <w:bidi/>
      </w:pPr>
      <w:r>
        <w:rPr>
          <w:rFonts w:ascii="Arial" w:hAnsi="Arial"/>
          <w:sz w:val="16"/>
        </w:rPr>
        <w:t>553.17  تامس ات وورک، PA: توور هیلل پرسس، ۱۹۹۳ ویهراوچ، و. س.، وسر’س گوید فور ت ستراتگیک تینکینگ میندست تست (مؤسسه تحقیقاتی ارتش ایالات متحده برای محصول تحقیقاتی رفتاری و علوم اجتماعی ۰۲-۲۰۱۸) ویللیس زوگلیو:تام هیلل، سوزانن،۱۹، تام هیلل، ۹، سوزانن.</w:t>
      </w:r>
    </w:p>
    <w:p>
      <w:pPr>
        <w:spacing w:after="28" w:line="216" w:lineRule="auto"/>
        <w:ind w:left="259"/>
        <w:jc w:val="left"/>
      </w:pPr>
      <w:r>
        <w:rPr>
          <w:rFonts w:ascii="Arial" w:hAnsi="Arial"/>
          <w:color w:val="525252"/>
          <w:sz w:val="13"/>
        </w:rPr>
        <w:t>Teams at Work, PA: Tower Hill Press, 1993 Weyhrauch, W. S., User’s Guide for the Strategic Thinking Mindset Test (U.S. Army Research Institute for the Behavioral and Social Sciences Research Product 2018-02) Willis Zoglio, Suzanne., Teams at Work, PA: Tower Hill Press, 1993</w:t>
      </w:r>
    </w:p>
    <w:p>
      <w:pPr>
        <w:spacing w:before="60" w:after="28"/>
        <w:jc w:val="right"/>
        <w:bidi/>
      </w:pPr>
      <w:r>
        <w:rPr>
          <w:b/>
          <w:color w:val="1F4D78"/>
          <w:sz w:val="18"/>
        </w:rPr>
        <w:t>فصل 14، توسعه دیگران</w:t>
      </w:r>
    </w:p>
    <w:p>
      <w:pPr>
        <w:spacing w:after="20"/>
        <w:ind w:left="259"/>
        <w:jc w:val="left"/>
      </w:pPr>
      <w:r>
        <w:rPr>
          <w:color w:val="555555"/>
          <w:sz w:val="12"/>
        </w:rPr>
        <w:t>Chapter 14, Developing Others</w:t>
      </w:r>
    </w:p>
    <w:p>
      <w:pPr>
        <w:spacing w:after="20" w:line="223" w:lineRule="auto"/>
        <w:jc w:val="right"/>
        <w:bidi/>
      </w:pPr>
      <w:r>
        <w:rPr>
          <w:rFonts w:ascii="Arial" w:hAnsi="Arial"/>
          <w:sz w:val="16"/>
        </w:rPr>
        <w:t>553.19  بنیس، دبلیو، و گلداسمیت، جی.، یادگیری برای رهبری: دوره‌ای برای تبدیل شدن به یک رهبر.</w:t>
      </w:r>
    </w:p>
    <w:p>
      <w:pPr>
        <w:spacing w:after="28" w:line="216" w:lineRule="auto"/>
        <w:ind w:left="259"/>
        <w:jc w:val="left"/>
      </w:pPr>
      <w:r>
        <w:rPr>
          <w:rFonts w:ascii="Arial" w:hAnsi="Arial"/>
          <w:color w:val="525252"/>
          <w:sz w:val="13"/>
        </w:rPr>
        <w:t>Bennis, W., and Goldsmith, J., Learning to Lead: A Course on Becoming A Leader.</w:t>
      </w:r>
    </w:p>
    <w:p>
      <w:pPr>
        <w:spacing w:after="20" w:line="223" w:lineRule="auto"/>
        <w:jc w:val="right"/>
        <w:bidi/>
      </w:pPr>
      <w:r>
        <w:rPr>
          <w:rFonts w:ascii="Arial" w:hAnsi="Arial"/>
          <w:sz w:val="16"/>
        </w:rPr>
        <w:t>553.20  اددیسون- وسلی، ۱۹۹۴ DAFH ۳۳-۳۳۷، ت تونگو اند قویلل، ۲۷ مای ۲۰۱۵ DAFMAN ۳۶-۲۶۴۳، کواچینگ اند منتورینگ پروگرام، ۱۱ سپتامبر ۲۰۲۳ هرسی، پاول، بلانچارد، کننت لویینگ ماناگمنت، . منابع انسانی، ویرایش هشتم.</w:t>
      </w:r>
    </w:p>
    <w:p>
      <w:pPr>
        <w:spacing w:after="28" w:line="216" w:lineRule="auto"/>
        <w:ind w:left="259"/>
        <w:jc w:val="left"/>
      </w:pPr>
      <w:r>
        <w:rPr>
          <w:rFonts w:ascii="Arial" w:hAnsi="Arial"/>
          <w:color w:val="525252"/>
          <w:sz w:val="13"/>
        </w:rPr>
        <w:t>Addison- Wesley, 1994 DAFH 33-337, The Tongue and Quill, 27 May 2015 DAFMAN 36-2643, Coaching and Mentoring Program, 11 September 2023 Hersey, Paul, Blanchard, Kenneth H., and Johnson, Dewey E., Management of Organizational Behavior: Leading Human Resources, 8th ed.</w:t>
      </w:r>
    </w:p>
    <w:p>
      <w:pPr>
        <w:spacing w:after="20" w:line="223" w:lineRule="auto"/>
        <w:jc w:val="right"/>
        <w:bidi/>
      </w:pPr>
      <w:r>
        <w:rPr>
          <w:rFonts w:ascii="Arial" w:hAnsi="Arial"/>
          <w:sz w:val="16"/>
        </w:rPr>
        <w:t>553.21  NJ: پرنتیک هالل، ۲۰۰۱ کلین، جوهن ا. سپاکینگ ففکتیولی: ا گوید فور فورک سپاکرس.</w:t>
      </w:r>
    </w:p>
    <w:p>
      <w:pPr>
        <w:spacing w:after="28" w:line="216" w:lineRule="auto"/>
        <w:ind w:left="259"/>
        <w:jc w:val="left"/>
      </w:pPr>
      <w:r>
        <w:rPr>
          <w:rFonts w:ascii="Arial" w:hAnsi="Arial"/>
          <w:color w:val="525252"/>
          <w:sz w:val="13"/>
        </w:rPr>
        <w:t>NJ: Prentice Hall, 2001 Kline, John A. Speaking Effectively: A Guide for Air Force Speakers.</w:t>
      </w:r>
    </w:p>
    <w:p>
      <w:pPr>
        <w:spacing w:after="20" w:line="223" w:lineRule="auto"/>
        <w:jc w:val="right"/>
        <w:bidi/>
      </w:pPr>
      <w:r>
        <w:rPr>
          <w:rFonts w:ascii="Arial" w:hAnsi="Arial"/>
          <w:sz w:val="16"/>
        </w:rPr>
        <w:t>553.22  انتشارات دانشگاه هوایی.</w:t>
      </w:r>
    </w:p>
    <w:p>
      <w:pPr>
        <w:spacing w:after="28" w:line="216" w:lineRule="auto"/>
        <w:ind w:left="259"/>
        <w:jc w:val="left"/>
      </w:pPr>
      <w:r>
        <w:rPr>
          <w:rFonts w:ascii="Arial" w:hAnsi="Arial"/>
          <w:color w:val="525252"/>
          <w:sz w:val="13"/>
        </w:rPr>
        <w:t>Air University Press.</w:t>
      </w:r>
    </w:p>
    <w:p>
      <w:pPr>
        <w:spacing w:after="20" w:line="223" w:lineRule="auto"/>
        <w:jc w:val="right"/>
        <w:bidi/>
      </w:pPr>
      <w:r>
        <w:rPr>
          <w:rFonts w:ascii="Arial" w:hAnsi="Arial"/>
          <w:sz w:val="16"/>
        </w:rPr>
        <w:t>553.23  پایگاه نیروی هوایی ماکسول، AL.</w:t>
      </w:r>
    </w:p>
    <w:p>
      <w:pPr>
        <w:spacing w:after="28" w:line="216" w:lineRule="auto"/>
        <w:ind w:left="259"/>
        <w:jc w:val="left"/>
      </w:pPr>
      <w:r>
        <w:rPr>
          <w:rFonts w:ascii="Arial" w:hAnsi="Arial"/>
          <w:color w:val="525252"/>
          <w:sz w:val="13"/>
        </w:rPr>
        <w:t>Maxwell Air Force Base, AL.</w:t>
      </w:r>
    </w:p>
    <w:p>
      <w:pPr>
        <w:spacing w:after="20" w:line="223" w:lineRule="auto"/>
        <w:jc w:val="right"/>
        <w:bidi/>
      </w:pPr>
      <w:r>
        <w:rPr>
          <w:rFonts w:ascii="Arial" w:hAnsi="Arial"/>
          <w:sz w:val="16"/>
        </w:rPr>
        <w:t>553.24  ۱۹۸۹ ساوینو، کارل اس. و رونالد ال. کرانیچ.</w:t>
      </w:r>
    </w:p>
    <w:p>
      <w:pPr>
        <w:spacing w:after="28" w:line="216" w:lineRule="auto"/>
        <w:ind w:left="259"/>
        <w:jc w:val="left"/>
      </w:pPr>
      <w:r>
        <w:rPr>
          <w:rFonts w:ascii="Arial" w:hAnsi="Arial"/>
          <w:color w:val="525252"/>
          <w:sz w:val="13"/>
        </w:rPr>
        <w:t>1989 Savino, Carl S., and Ronald L. Krannich.</w:t>
      </w:r>
    </w:p>
    <w:p>
      <w:pPr>
        <w:spacing w:after="20" w:line="223" w:lineRule="auto"/>
        <w:jc w:val="right"/>
        <w:bidi/>
      </w:pPr>
      <w:r>
        <w:rPr>
          <w:rFonts w:ascii="Arial" w:hAnsi="Arial"/>
          <w:sz w:val="16"/>
        </w:rPr>
        <w:t>553.25  آبی نیروی هوایی تا خاکستری شرکتی: راهنمای شغلی برای پرسنل نیروی هوایی.</w:t>
      </w:r>
    </w:p>
    <w:p>
      <w:pPr>
        <w:spacing w:after="28" w:line="216" w:lineRule="auto"/>
        <w:ind w:left="259"/>
        <w:jc w:val="left"/>
      </w:pPr>
      <w:r>
        <w:rPr>
          <w:rFonts w:ascii="Arial" w:hAnsi="Arial"/>
          <w:color w:val="525252"/>
          <w:sz w:val="13"/>
        </w:rPr>
        <w:t>Air Force Blue to Corporate Gray: A Career Guide for Air Force Personnel.</w:t>
      </w:r>
    </w:p>
    <w:p>
      <w:pPr>
        <w:spacing w:after="20" w:line="223" w:lineRule="auto"/>
        <w:jc w:val="right"/>
        <w:bidi/>
      </w:pPr>
      <w:r>
        <w:rPr>
          <w:rFonts w:ascii="Arial" w:hAnsi="Arial"/>
          <w:sz w:val="16"/>
        </w:rPr>
        <w:t>553.26  خدمات لبه رقابتی.</w:t>
      </w:r>
    </w:p>
    <w:p>
      <w:pPr>
        <w:spacing w:after="28" w:line="216" w:lineRule="auto"/>
        <w:ind w:left="259"/>
        <w:jc w:val="left"/>
      </w:pPr>
      <w:r>
        <w:rPr>
          <w:rFonts w:ascii="Arial" w:hAnsi="Arial"/>
          <w:color w:val="525252"/>
          <w:sz w:val="13"/>
        </w:rPr>
        <w:t>Competitive Edge Services.</w:t>
      </w:r>
    </w:p>
    <w:p>
      <w:pPr>
        <w:spacing w:after="20" w:line="223" w:lineRule="auto"/>
        <w:jc w:val="right"/>
        <w:bidi/>
      </w:pPr>
      <w:r>
        <w:rPr>
          <w:rFonts w:ascii="Arial" w:hAnsi="Arial"/>
          <w:sz w:val="16"/>
        </w:rPr>
        <w:t>553.27  فایرفاکس ستاتیون، VA.</w:t>
      </w:r>
    </w:p>
    <w:p>
      <w:pPr>
        <w:spacing w:after="28" w:line="216" w:lineRule="auto"/>
        <w:ind w:left="259"/>
        <w:jc w:val="left"/>
      </w:pPr>
      <w:r>
        <w:rPr>
          <w:rFonts w:ascii="Arial" w:hAnsi="Arial"/>
          <w:color w:val="525252"/>
          <w:sz w:val="13"/>
        </w:rPr>
        <w:t>Fairfax Station, VA.</w:t>
      </w:r>
    </w:p>
    <w:p>
      <w:pPr>
        <w:spacing w:after="20" w:line="223" w:lineRule="auto"/>
        <w:jc w:val="right"/>
        <w:bidi/>
      </w:pPr>
      <w:r>
        <w:rPr>
          <w:rFonts w:ascii="Arial" w:hAnsi="Arial"/>
          <w:sz w:val="16"/>
        </w:rPr>
        <w:t>553.28  ۲۰۰۶ سوسیک، جان جی، و یونگ، دان آی.، توسعه رهبری طیف کامل: مسیرهایی برای مردم، سود و سیاره.</w:t>
      </w:r>
    </w:p>
    <w:p>
      <w:pPr>
        <w:spacing w:after="28" w:line="216" w:lineRule="auto"/>
        <w:ind w:left="259"/>
        <w:jc w:val="left"/>
      </w:pPr>
      <w:r>
        <w:rPr>
          <w:rFonts w:ascii="Arial" w:hAnsi="Arial"/>
          <w:color w:val="525252"/>
          <w:sz w:val="13"/>
        </w:rPr>
        <w:t>2006 Sosik, John J., and Jung, Don I., Full Range Leadership Development: Pathways for People, Profit, and Planet.</w:t>
      </w:r>
    </w:p>
    <w:p>
      <w:pPr>
        <w:spacing w:after="20" w:line="223" w:lineRule="auto"/>
        <w:jc w:val="right"/>
        <w:bidi/>
      </w:pPr>
      <w:r>
        <w:rPr>
          <w:rFonts w:ascii="Arial" w:hAnsi="Arial"/>
          <w:sz w:val="16"/>
        </w:rPr>
        <w:t>553.29  نیویورک: گروه تیلور و فرانسیس، آغازگر رهبری استراتژیک ۲۰۱۰، وزارت فرماندهی، رهبری و مدیریت، متحد</w:t>
      </w:r>
    </w:p>
    <w:p>
      <w:pPr>
        <w:spacing w:after="28" w:line="216" w:lineRule="auto"/>
        <w:ind w:left="259"/>
        <w:jc w:val="left"/>
      </w:pPr>
      <w:r>
        <w:rPr>
          <w:rFonts w:ascii="Arial" w:hAnsi="Arial"/>
          <w:color w:val="525252"/>
          <w:sz w:val="13"/>
        </w:rPr>
        <w:t>NY: Taylor and Francis Group, 2010 Strategic Leadership Primer, Department of Command, Leadership and Management, United</w:t>
      </w:r>
    </w:p>
    <w:p>
      <w:r>
        <w:br w:type="page"/>
      </w:r>
    </w:p>
    <w:p>
      <w:pPr>
        <w:spacing w:after="60"/>
        <w:jc w:val="right"/>
        <w:bidi/>
      </w:pPr>
      <w:r>
        <w:rPr>
          <w:rFonts w:ascii="Arial" w:hAnsi="Arial"/>
          <w:b/>
          <w:color w:val="1F4D78"/>
          <w:sz w:val="19"/>
        </w:rPr>
        <w:t>هفتهٔ 554  |  صفحهٔ منبع: 570</w:t>
      </w:r>
    </w:p>
    <w:p>
      <w:pPr>
        <w:spacing w:after="20" w:line="223" w:lineRule="auto"/>
        <w:jc w:val="right"/>
        <w:bidi/>
      </w:pPr>
      <w:r>
        <w:rPr>
          <w:rFonts w:ascii="Arial" w:hAnsi="Arial"/>
          <w:sz w:val="16"/>
        </w:rPr>
        <w:t>554.01  کالج جنگ ارتش ایالات متحده، ویرایش سوم، ۲۰۱۰ راهنمای مشارکت در کارگاه آموزشی برنامه کمک انتقال</w:t>
      </w:r>
    </w:p>
    <w:p>
      <w:pPr>
        <w:spacing w:after="28" w:line="216" w:lineRule="auto"/>
        <w:ind w:left="259"/>
        <w:jc w:val="left"/>
      </w:pPr>
      <w:r>
        <w:rPr>
          <w:rFonts w:ascii="Arial" w:hAnsi="Arial"/>
          <w:color w:val="525252"/>
          <w:sz w:val="13"/>
        </w:rPr>
        <w:t>States Army War College, 3rd ed., 2010 Transition Assistance Program Workshop Participation Manual</w:t>
      </w:r>
    </w:p>
    <w:p>
      <w:pPr>
        <w:spacing w:before="60" w:after="28"/>
        <w:jc w:val="right"/>
        <w:bidi/>
      </w:pPr>
      <w:r>
        <w:rPr>
          <w:b/>
          <w:color w:val="1F4D78"/>
          <w:sz w:val="18"/>
        </w:rPr>
        <w:t>فصل 15، خود در حال توسعه</w:t>
      </w:r>
    </w:p>
    <w:p>
      <w:pPr>
        <w:spacing w:after="20"/>
        <w:ind w:left="259"/>
        <w:jc w:val="left"/>
      </w:pPr>
      <w:r>
        <w:rPr>
          <w:color w:val="555555"/>
          <w:sz w:val="12"/>
        </w:rPr>
        <w:t>Chapter 15, Developing Self</w:t>
      </w:r>
    </w:p>
    <w:p>
      <w:pPr>
        <w:spacing w:after="20" w:line="223" w:lineRule="auto"/>
        <w:jc w:val="right"/>
        <w:bidi/>
      </w:pPr>
      <w:r>
        <w:rPr>
          <w:rFonts w:ascii="Arial" w:hAnsi="Arial"/>
          <w:sz w:val="16"/>
        </w:rPr>
        <w:t>554.03  AFI ۱-۱، استانداردهای نیروی هوایی، ۱۷ آگوست ۲۰۲۳ AFI ۱۰-۷۰۱، امنیت عملیات، ۲۴ ژوئیه ۲۰۱۹ AFI ۳۳-۳۳۲، برنامه حریم خصوصی و آزادی‌های مدنی نیروی هوایی، ۱۰ مارس ۲۰۲۰، AU-۲، AU-۲، AU-۲، دانشگاه س. ۲۰۱۵ کالدول، ویلیام بی.، استرود، شاون، و منینگ، آنتون، پرورش فرهنگ تعامل، بررسی نظامی، سپتامبر-اکتبر ۲۰۰۹ بخش اولویت‌های نیروی هوایی ۲۰۲۰ DAFH ۳۳-۳۳۷، زبان و کویل، ۲۷ مه ۲۰۱۵، FI ۲۰۱۵- امور عمومی ۲۰۲۰ DAFI ۵۱-۵۰۸، فعالیت‌های سیاسی، آزادی بیان، و آزادی تجمع، ۲۴ مارس ۲۰۲۳ دوز، ج. ج. &amp; کلیموسکی، ر. ج. (۱۹۹۵).</w:t>
      </w:r>
    </w:p>
    <w:p>
      <w:pPr>
        <w:spacing w:after="28" w:line="216" w:lineRule="auto"/>
        <w:ind w:left="259"/>
        <w:jc w:val="left"/>
      </w:pPr>
      <w:r>
        <w:rPr>
          <w:rFonts w:ascii="Arial" w:hAnsi="Arial"/>
          <w:color w:val="525252"/>
          <w:sz w:val="13"/>
        </w:rPr>
        <w:t>AFI 1-1, Air Force Standards, 17 August 2023 AFI 10-701, Operations Security, 24 July 2019 AFI 33-332, Air Force Privacy and Civil Liberties Program, 10 March 2020 AU-1, Air University Style Guide for Writers, and Editors, 2d ed., 2015 Caldwell, William B., Stroud, Shawn, and Menning, Anton, Fostering a Culture of Engagement, Military Review, September-October 2009 Department of the Air Force Priorities 2020 DAFH 33-337, The Tongue and Quill, 27 May 2015 DAFI 35-101, Public Affairs, 20 November 2020 DAFI 51-508, Political Activities, Free Speech, and Freedom of Assembly, 24 March 2023 Dose, J. J. &amp; Klimoski, R. J. (1995).</w:t>
      </w:r>
    </w:p>
    <w:p>
      <w:pPr>
        <w:spacing w:after="20" w:line="223" w:lineRule="auto"/>
        <w:jc w:val="right"/>
        <w:bidi/>
      </w:pPr>
      <w:r>
        <w:rPr>
          <w:rFonts w:ascii="Arial" w:hAnsi="Arial"/>
          <w:sz w:val="16"/>
        </w:rPr>
        <w:t>554.04  انجام کار درست در محل کار: مسئولیت پذیری در برابر مسئولیت پذیری.</w:t>
      </w:r>
    </w:p>
    <w:p>
      <w:pPr>
        <w:spacing w:after="28" w:line="216" w:lineRule="auto"/>
        <w:ind w:left="259"/>
        <w:jc w:val="left"/>
      </w:pPr>
      <w:r>
        <w:rPr>
          <w:rFonts w:ascii="Arial" w:hAnsi="Arial"/>
          <w:color w:val="525252"/>
          <w:sz w:val="13"/>
        </w:rPr>
        <w:t>Doing the right thing in the workplace: Responsibility in the face of accountability.</w:t>
      </w:r>
    </w:p>
    <w:p>
      <w:pPr>
        <w:spacing w:after="20" w:line="223" w:lineRule="auto"/>
        <w:jc w:val="right"/>
        <w:bidi/>
      </w:pPr>
      <w:r>
        <w:rPr>
          <w:rFonts w:ascii="Arial" w:hAnsi="Arial"/>
          <w:sz w:val="16"/>
        </w:rPr>
        <w:t>554.05  مجله مسئولیت‌ها و حقوق کارکنان، ۸، ۳۵-۵۶ دوکک، ک. س. (۲۰۱۶).</w:t>
      </w:r>
    </w:p>
    <w:p>
      <w:pPr>
        <w:spacing w:after="28" w:line="216" w:lineRule="auto"/>
        <w:ind w:left="259"/>
        <w:jc w:val="left"/>
      </w:pPr>
      <w:r>
        <w:rPr>
          <w:rFonts w:ascii="Arial" w:hAnsi="Arial"/>
          <w:color w:val="525252"/>
          <w:sz w:val="13"/>
        </w:rPr>
        <w:t>Employee Responsibilities and Rights Journal, 8, 35-56 Dweck, C. S. (2016).</w:t>
      </w:r>
    </w:p>
    <w:p>
      <w:pPr>
        <w:spacing w:after="20" w:line="223" w:lineRule="auto"/>
        <w:jc w:val="right"/>
        <w:bidi/>
      </w:pPr>
      <w:r>
        <w:rPr>
          <w:rFonts w:ascii="Arial" w:hAnsi="Arial"/>
          <w:sz w:val="16"/>
        </w:rPr>
        <w:t>554.06  ذهنیت: روانشناسی جدید موفقیت فریز، ام و هافمن.</w:t>
      </w:r>
    </w:p>
    <w:p>
      <w:pPr>
        <w:spacing w:after="28" w:line="216" w:lineRule="auto"/>
        <w:ind w:left="259"/>
        <w:jc w:val="left"/>
      </w:pPr>
      <w:r>
        <w:rPr>
          <w:rFonts w:ascii="Arial" w:hAnsi="Arial"/>
          <w:color w:val="525252"/>
          <w:sz w:val="13"/>
        </w:rPr>
        <w:t>Mindset: The New Psychology of Success Friese, M. &amp; Hoffman.</w:t>
      </w:r>
    </w:p>
    <w:p>
      <w:pPr>
        <w:spacing w:after="20" w:line="223" w:lineRule="auto"/>
        <w:jc w:val="right"/>
        <w:bidi/>
      </w:pPr>
      <w:r>
        <w:rPr>
          <w:rFonts w:ascii="Arial" w:hAnsi="Arial"/>
          <w:sz w:val="16"/>
        </w:rPr>
        <w:t>554.07  و. (۲۰۰۹).</w:t>
      </w:r>
    </w:p>
    <w:p>
      <w:pPr>
        <w:spacing w:after="28" w:line="216" w:lineRule="auto"/>
        <w:ind w:left="259"/>
        <w:jc w:val="left"/>
      </w:pPr>
      <w:r>
        <w:rPr>
          <w:rFonts w:ascii="Arial" w:hAnsi="Arial"/>
          <w:color w:val="525252"/>
          <w:sz w:val="13"/>
        </w:rPr>
        <w:t>W. (2009).</w:t>
      </w:r>
    </w:p>
    <w:p>
      <w:pPr>
        <w:spacing w:after="20" w:line="223" w:lineRule="auto"/>
        <w:jc w:val="right"/>
        <w:bidi/>
      </w:pPr>
      <w:r>
        <w:rPr>
          <w:rFonts w:ascii="Arial" w:hAnsi="Arial"/>
          <w:sz w:val="16"/>
        </w:rPr>
        <w:t>554.08  مرا کنترل کن وگرنه تو را کنترل خواهم کرد: تکانه‌ها، خودکنترلی صفت و هدایت رفتار.</w:t>
      </w:r>
    </w:p>
    <w:p>
      <w:pPr>
        <w:spacing w:after="28" w:line="216" w:lineRule="auto"/>
        <w:ind w:left="259"/>
        <w:jc w:val="left"/>
      </w:pPr>
      <w:r>
        <w:rPr>
          <w:rFonts w:ascii="Arial" w:hAnsi="Arial"/>
          <w:color w:val="525252"/>
          <w:sz w:val="13"/>
        </w:rPr>
        <w:t>Control me or I will control you: Impulses, trait self-control, and the guidance of behavior.</w:t>
      </w:r>
    </w:p>
    <w:p>
      <w:pPr>
        <w:spacing w:after="20" w:line="223" w:lineRule="auto"/>
        <w:jc w:val="right"/>
        <w:bidi/>
      </w:pPr>
      <w:r>
        <w:rPr>
          <w:rFonts w:ascii="Arial" w:hAnsi="Arial"/>
          <w:sz w:val="16"/>
        </w:rPr>
        <w:t>554.09  جوورنال وف رسارچ ین پرسونالیتی، ۴۳، ۷۹۵-۸۰۵ گارلاند، . ل.، فارب، ن. ا.، گولدین، پ.، &amp; فردریککسون، ب. ل. (۲۰۱۵).</w:t>
      </w:r>
    </w:p>
    <w:p>
      <w:pPr>
        <w:spacing w:after="28" w:line="216" w:lineRule="auto"/>
        <w:ind w:left="259"/>
        <w:jc w:val="left"/>
      </w:pPr>
      <w:r>
        <w:rPr>
          <w:rFonts w:ascii="Arial" w:hAnsi="Arial"/>
          <w:color w:val="525252"/>
          <w:sz w:val="13"/>
        </w:rPr>
        <w:t>Journal of Research in Personality, 43, 795-805 Garland, E. L., Farb, N. A., Goldin, P., &amp; Fredrickson, B. L. (2015).</w:t>
      </w:r>
    </w:p>
    <w:p>
      <w:pPr>
        <w:spacing w:after="20" w:line="223" w:lineRule="auto"/>
        <w:jc w:val="right"/>
        <w:bidi/>
      </w:pPr>
      <w:r>
        <w:rPr>
          <w:rFonts w:ascii="Arial" w:hAnsi="Arial"/>
          <w:sz w:val="16"/>
        </w:rPr>
        <w:t>554.10  ذهن آگاهی آگاهی را گسترش می‌دهد و معنای ودایمونیک را ایجاد می‌کند: مدل فرآیندی تنظیم هیجان مثبت آگاهانه.</w:t>
      </w:r>
    </w:p>
    <w:p>
      <w:pPr>
        <w:spacing w:after="28" w:line="216" w:lineRule="auto"/>
        <w:ind w:left="259"/>
        <w:jc w:val="left"/>
      </w:pPr>
      <w:r>
        <w:rPr>
          <w:rFonts w:ascii="Arial" w:hAnsi="Arial"/>
          <w:color w:val="525252"/>
          <w:sz w:val="13"/>
        </w:rPr>
        <w:t>Mindfulness broadens awareness and builds eudaimonic meaning: A process model of mindful positive emotion regulation.</w:t>
      </w:r>
    </w:p>
    <w:p>
      <w:pPr>
        <w:spacing w:after="20" w:line="223" w:lineRule="auto"/>
        <w:jc w:val="right"/>
        <w:bidi/>
      </w:pPr>
      <w:r>
        <w:rPr>
          <w:rFonts w:ascii="Arial" w:hAnsi="Arial"/>
          <w:sz w:val="16"/>
        </w:rPr>
        <w:t>554.11  تحقیق روانشناسی، ۲۶، ۲۹۳-۳۱۴.</w:t>
      </w:r>
    </w:p>
    <w:p>
      <w:pPr>
        <w:spacing w:after="28" w:line="216" w:lineRule="auto"/>
        <w:ind w:left="259"/>
        <w:jc w:val="left"/>
      </w:pPr>
      <w:r>
        <w:rPr>
          <w:rFonts w:ascii="Arial" w:hAnsi="Arial"/>
          <w:color w:val="525252"/>
          <w:sz w:val="13"/>
        </w:rPr>
        <w:t>Psychological Inquiry, 26, 293-314.</w:t>
      </w:r>
    </w:p>
    <w:p>
      <w:pPr>
        <w:spacing w:after="20" w:line="223" w:lineRule="auto"/>
        <w:jc w:val="right"/>
        <w:bidi/>
      </w:pPr>
      <w:r>
        <w:rPr>
          <w:rFonts w:ascii="Arial" w:hAnsi="Arial"/>
          <w:sz w:val="16"/>
        </w:rPr>
        <w:t>554.12  ذهن آگاهی آگاهی را گسترش می‌دهد و معنای ودایمونیک را می‌سازد: مدل فرآیندی تنظیم احساسات مثبت ذهن‌آگاه JP ۱-۰۲، فرهنگ لغت اصطلاحات نظامی و مرتبط وزارت دفاع، آگوست ۲۰۲۳ کلین، جوهن ا.، سپاکینگ ففکتیولی: ا گوید فور نیروی هوایی سپاکرس.</w:t>
      </w:r>
    </w:p>
    <w:p>
      <w:pPr>
        <w:spacing w:after="28" w:line="216" w:lineRule="auto"/>
        <w:ind w:left="259"/>
        <w:jc w:val="left"/>
      </w:pPr>
      <w:r>
        <w:rPr>
          <w:rFonts w:ascii="Arial" w:hAnsi="Arial"/>
          <w:color w:val="525252"/>
          <w:sz w:val="13"/>
        </w:rPr>
        <w:t>Mindfulness Broadens Awareness and Builds Eudaimonic Meaning: A Process Model of Mindful Positive Emotion Regulation JP 1-02, DoD Dictionary of Military and Associated Terms, August 2023 Kline, John A., Speaking Effectively: A Guide for Air Force Speakers.</w:t>
      </w:r>
    </w:p>
    <w:p>
      <w:pPr>
        <w:spacing w:after="20" w:line="223" w:lineRule="auto"/>
        <w:jc w:val="right"/>
        <w:bidi/>
      </w:pPr>
      <w:r>
        <w:rPr>
          <w:rFonts w:ascii="Arial" w:hAnsi="Arial"/>
          <w:sz w:val="16"/>
        </w:rPr>
        <w:t>554.13  انتشارات دانشگاه هوایی.</w:t>
      </w:r>
    </w:p>
    <w:p>
      <w:pPr>
        <w:spacing w:after="28" w:line="216" w:lineRule="auto"/>
        <w:ind w:left="259"/>
        <w:jc w:val="left"/>
      </w:pPr>
      <w:r>
        <w:rPr>
          <w:rFonts w:ascii="Arial" w:hAnsi="Arial"/>
          <w:color w:val="525252"/>
          <w:sz w:val="13"/>
        </w:rPr>
        <w:t>Air University Press.</w:t>
      </w:r>
    </w:p>
    <w:p>
      <w:pPr>
        <w:spacing w:after="20" w:line="223" w:lineRule="auto"/>
        <w:jc w:val="right"/>
        <w:bidi/>
      </w:pPr>
      <w:r>
        <w:rPr>
          <w:rFonts w:ascii="Arial" w:hAnsi="Arial"/>
          <w:sz w:val="16"/>
        </w:rPr>
        <w:t>554.14  پایگاه نیروی هوایی ماکسول، AL.، ۱۹۸۹ موراون (۲۰۱۰).</w:t>
      </w:r>
    </w:p>
    <w:p>
      <w:pPr>
        <w:spacing w:after="28" w:line="216" w:lineRule="auto"/>
        <w:ind w:left="259"/>
        <w:jc w:val="left"/>
      </w:pPr>
      <w:r>
        <w:rPr>
          <w:rFonts w:ascii="Arial" w:hAnsi="Arial"/>
          <w:color w:val="525252"/>
          <w:sz w:val="13"/>
        </w:rPr>
        <w:t>Maxwell Air Force Base, AL., 1989 Muraven (2010).</w:t>
      </w:r>
    </w:p>
    <w:p>
      <w:pPr>
        <w:spacing w:after="20" w:line="223" w:lineRule="auto"/>
        <w:jc w:val="right"/>
        <w:bidi/>
      </w:pPr>
      <w:r>
        <w:rPr>
          <w:rFonts w:ascii="Arial" w:hAnsi="Arial"/>
          <w:sz w:val="16"/>
        </w:rPr>
        <w:t>554.15  ایجاد خودکنترلی منجر به بهبود عملکرد خودکنترلی می‌شود.</w:t>
      </w:r>
    </w:p>
    <w:p>
      <w:pPr>
        <w:spacing w:after="28" w:line="216" w:lineRule="auto"/>
        <w:ind w:left="259"/>
        <w:jc w:val="left"/>
      </w:pPr>
      <w:r>
        <w:rPr>
          <w:rFonts w:ascii="Arial" w:hAnsi="Arial"/>
          <w:color w:val="525252"/>
          <w:sz w:val="13"/>
        </w:rPr>
        <w:t>Building self-control leads to improved self-control performance.</w:t>
      </w:r>
    </w:p>
    <w:p>
      <w:pPr>
        <w:spacing w:after="20" w:line="223" w:lineRule="auto"/>
        <w:jc w:val="right"/>
        <w:bidi/>
      </w:pPr>
      <w:r>
        <w:rPr>
          <w:rFonts w:ascii="Arial" w:hAnsi="Arial"/>
          <w:sz w:val="16"/>
        </w:rPr>
        <w:t>554.16  مجله روانشناسی اجتماعی تجربی، ۴۶، ۴۶۵-۴۶۸ قانون عمومی ۹۳-۵۷۹، قانون حریم خصوصی ۱۹۷۴، ۳۱ دسامبر ۱۹۷۴ راهنمای قالب بندی و سبک انجمن زبان مدرن، ویرایش نهم، ۲۰۲۱.</w:t>
      </w:r>
    </w:p>
    <w:p>
      <w:pPr>
        <w:spacing w:after="28" w:line="216" w:lineRule="auto"/>
        <w:ind w:left="259"/>
        <w:jc w:val="left"/>
      </w:pPr>
      <w:r>
        <w:rPr>
          <w:rFonts w:ascii="Arial" w:hAnsi="Arial"/>
          <w:color w:val="525252"/>
          <w:sz w:val="13"/>
        </w:rPr>
        <w:t>Journal of Experimental Social Psychology, 46, 465-468 Public Law 93-579, Privacy Act 1974, 31 December 1974 The Modern Language Association Formatting and Style Guide, 9th ed., 2021.</w:t>
      </w:r>
    </w:p>
    <w:p>
      <w:pPr>
        <w:spacing w:after="20" w:line="223" w:lineRule="auto"/>
        <w:jc w:val="right"/>
        <w:bidi/>
      </w:pPr>
      <w:r>
        <w:rPr>
          <w:rFonts w:ascii="Arial" w:hAnsi="Arial"/>
          <w:sz w:val="16"/>
        </w:rPr>
        <w:t>554.17  چیکاگو مانوال وف ستیل، ویرایش هفدهم، راهنمای سبک انجمن روانشناسی آمریکا ۲۰۱۷، ویرایش هفتم، ۲۰۲۰ توگاد، م. م. &amp; فردریککسون، ب. ل. (۲۰۰۴).</w:t>
      </w:r>
    </w:p>
    <w:p>
      <w:pPr>
        <w:spacing w:after="28" w:line="216" w:lineRule="auto"/>
        <w:ind w:left="259"/>
        <w:jc w:val="left"/>
      </w:pPr>
      <w:r>
        <w:rPr>
          <w:rFonts w:ascii="Arial" w:hAnsi="Arial"/>
          <w:color w:val="525252"/>
          <w:sz w:val="13"/>
        </w:rPr>
        <w:t>Chicago Manual of Style, 17th ed., 2017 American Psychological Association Style Guide, 7th ed., 2020 Tugade, M. M. &amp; Fredrickson, B. L. (2004).</w:t>
      </w:r>
    </w:p>
    <w:p>
      <w:pPr>
        <w:spacing w:after="20" w:line="223" w:lineRule="auto"/>
        <w:jc w:val="right"/>
        <w:bidi/>
      </w:pPr>
      <w:r>
        <w:rPr>
          <w:rFonts w:ascii="Arial" w:hAnsi="Arial"/>
          <w:sz w:val="16"/>
        </w:rPr>
        <w:t>554.18  افراد تاب آور از احساسات مثبت برای برگشتن از تجربیات عاطفی منفی استفاده می‌کنند.</w:t>
      </w:r>
    </w:p>
    <w:p>
      <w:pPr>
        <w:spacing w:after="28" w:line="216" w:lineRule="auto"/>
        <w:ind w:left="259"/>
        <w:jc w:val="left"/>
      </w:pPr>
      <w:r>
        <w:rPr>
          <w:rFonts w:ascii="Arial" w:hAnsi="Arial"/>
          <w:color w:val="525252"/>
          <w:sz w:val="13"/>
        </w:rPr>
        <w:t>Resilient individuals use positive emotions to bounce back from negative emotional experiences.</w:t>
      </w:r>
    </w:p>
    <w:p>
      <w:pPr>
        <w:spacing w:after="20" w:line="223" w:lineRule="auto"/>
        <w:jc w:val="right"/>
        <w:bidi/>
      </w:pPr>
      <w:r>
        <w:rPr>
          <w:rFonts w:ascii="Arial" w:hAnsi="Arial"/>
          <w:sz w:val="16"/>
        </w:rPr>
        <w:t>554.19  مجله شخصیت و روانشناسی اجتماعی، ۸۶، ۳۲۰-۳۳۳ دفترچه راهنمای دفتر چاپ دولت ایالات متحده، ۱۲ ژانویه ۲۰۱۷</w:t>
      </w:r>
    </w:p>
    <w:p>
      <w:pPr>
        <w:spacing w:after="28" w:line="216" w:lineRule="auto"/>
        <w:ind w:left="259"/>
        <w:jc w:val="left"/>
      </w:pPr>
      <w:r>
        <w:rPr>
          <w:rFonts w:ascii="Arial" w:hAnsi="Arial"/>
          <w:color w:val="525252"/>
          <w:sz w:val="13"/>
        </w:rPr>
        <w:t>Journal of Personality and Social Psychology, 86, 320-333 U.S. Government Printing Office Style Manual, 12 January 2017</w:t>
      </w:r>
    </w:p>
    <w:p>
      <w:pPr>
        <w:spacing w:before="60" w:after="28"/>
        <w:jc w:val="right"/>
        <w:bidi/>
      </w:pPr>
      <w:r>
        <w:rPr>
          <w:b/>
          <w:color w:val="1F4D78"/>
          <w:sz w:val="18"/>
        </w:rPr>
        <w:t>فصل 16، توسعه ایده ها</w:t>
      </w:r>
    </w:p>
    <w:p>
      <w:pPr>
        <w:spacing w:after="20"/>
        <w:ind w:left="259"/>
        <w:jc w:val="left"/>
      </w:pPr>
      <w:r>
        <w:rPr>
          <w:color w:val="555555"/>
          <w:sz w:val="12"/>
        </w:rPr>
        <w:t>Chapter 16, Developing Ideas</w:t>
      </w:r>
    </w:p>
    <w:p>
      <w:pPr>
        <w:spacing w:after="20" w:line="223" w:lineRule="auto"/>
        <w:jc w:val="right"/>
        <w:bidi/>
      </w:pPr>
      <w:r>
        <w:rPr>
          <w:rFonts w:ascii="Arial" w:hAnsi="Arial"/>
          <w:sz w:val="16"/>
        </w:rPr>
        <w:t>554.21  براونینگ، جیمز دبلیو.، رهبری در سطح استراتژیک در دنیای نامشخص.</w:t>
      </w:r>
    </w:p>
    <w:p>
      <w:pPr>
        <w:spacing w:after="28" w:line="216" w:lineRule="auto"/>
        <w:ind w:left="259"/>
        <w:jc w:val="left"/>
      </w:pPr>
      <w:r>
        <w:rPr>
          <w:rFonts w:ascii="Arial" w:hAnsi="Arial"/>
          <w:color w:val="525252"/>
          <w:sz w:val="13"/>
        </w:rPr>
        <w:t>Browning, James W., Leadership at the Strategic Level in an Uncertain World.</w:t>
      </w:r>
    </w:p>
    <w:p>
      <w:pPr>
        <w:spacing w:after="20" w:line="223" w:lineRule="auto"/>
        <w:jc w:val="right"/>
        <w:bidi/>
      </w:pPr>
      <w:r>
        <w:rPr>
          <w:rFonts w:ascii="Arial" w:hAnsi="Arial"/>
          <w:sz w:val="16"/>
        </w:rPr>
        <w:t>554.22  واشنگتن، دی سی: آزمون CRAPP: ارزیابی اطلاعات - استفاده از آزمون CRAAP (کتابخانه مریام) بخش اولویت‌های نیروی هوایی ۲۰۲۰ مدرسه دوایت دی. آیزنهاور برای امنیت ملی و استراتژی منابع، ۲۰۱۳ میچل، دبلیو ای و کوالیک، تی. اف.</w:t>
      </w:r>
    </w:p>
    <w:p>
      <w:pPr>
        <w:spacing w:after="28" w:line="216" w:lineRule="auto"/>
        <w:ind w:left="259"/>
        <w:jc w:val="left"/>
      </w:pPr>
      <w:r>
        <w:rPr>
          <w:rFonts w:ascii="Arial" w:hAnsi="Arial"/>
          <w:color w:val="525252"/>
          <w:sz w:val="13"/>
        </w:rPr>
        <w:t>Washington, DC: CRAPP Test: Evaluating Information - Applying the CRAAP Test (Meriam Library) Department of the Air Force Priorities 2020 Dwight D. Eisenhower School for National Security and Resource Strategy, 2013 Mitchell, W. E. &amp; Kowalik, T. F. (1999).</w:t>
      </w:r>
    </w:p>
    <w:p>
      <w:pPr>
        <w:spacing w:after="20" w:line="223" w:lineRule="auto"/>
        <w:jc w:val="right"/>
        <w:bidi/>
      </w:pPr>
      <w:r>
        <w:rPr>
          <w:rFonts w:ascii="Arial" w:hAnsi="Arial"/>
          <w:sz w:val="16"/>
        </w:rPr>
        <w:t>554.23  کتاب کار حل خلاقانه مسئله (ویرایش سوم).</w:t>
      </w:r>
    </w:p>
    <w:p>
      <w:pPr>
        <w:spacing w:after="28" w:line="216" w:lineRule="auto"/>
        <w:ind w:left="259"/>
        <w:jc w:val="left"/>
      </w:pPr>
      <w:r>
        <w:rPr>
          <w:rFonts w:ascii="Arial" w:hAnsi="Arial"/>
          <w:color w:val="525252"/>
          <w:sz w:val="13"/>
        </w:rPr>
        <w:t>Creative Problem Solving Workbook (3rd Edition).</w:t>
      </w:r>
    </w:p>
    <w:p>
      <w:pPr>
        <w:spacing w:after="20" w:line="223" w:lineRule="auto"/>
        <w:jc w:val="right"/>
        <w:bidi/>
      </w:pPr>
      <w:r>
        <w:rPr>
          <w:rFonts w:ascii="Arial" w:hAnsi="Arial"/>
          <w:sz w:val="16"/>
        </w:rPr>
        <w:t>554.24  نمت، ک. ج. (۱۹۸۶).</w:t>
      </w:r>
    </w:p>
    <w:p>
      <w:pPr>
        <w:spacing w:after="28" w:line="216" w:lineRule="auto"/>
        <w:ind w:left="259"/>
        <w:jc w:val="left"/>
      </w:pPr>
      <w:r>
        <w:rPr>
          <w:rFonts w:ascii="Arial" w:hAnsi="Arial"/>
          <w:color w:val="525252"/>
          <w:sz w:val="13"/>
        </w:rPr>
        <w:t>Nemeth, C. J. (1986).</w:t>
      </w:r>
    </w:p>
    <w:p>
      <w:pPr>
        <w:spacing w:after="20" w:line="223" w:lineRule="auto"/>
        <w:jc w:val="right"/>
        <w:bidi/>
      </w:pPr>
      <w:r>
        <w:rPr>
          <w:rFonts w:ascii="Arial" w:hAnsi="Arial"/>
          <w:sz w:val="16"/>
        </w:rPr>
        <w:t>554.25  سهم متفاوت نفوذ اکثریت و اقلیت.</w:t>
      </w:r>
    </w:p>
    <w:p>
      <w:pPr>
        <w:spacing w:after="28" w:line="216" w:lineRule="auto"/>
        <w:ind w:left="259"/>
        <w:jc w:val="left"/>
      </w:pPr>
      <w:r>
        <w:rPr>
          <w:rFonts w:ascii="Arial" w:hAnsi="Arial"/>
          <w:color w:val="525252"/>
          <w:sz w:val="13"/>
        </w:rPr>
        <w:t>Differential contributions of majority and minority influence.</w:t>
      </w:r>
    </w:p>
    <w:p>
      <w:pPr>
        <w:spacing w:after="20" w:line="223" w:lineRule="auto"/>
        <w:jc w:val="right"/>
        <w:bidi/>
      </w:pPr>
      <w:r>
        <w:rPr>
          <w:rFonts w:ascii="Arial" w:hAnsi="Arial"/>
          <w:sz w:val="16"/>
        </w:rPr>
        <w:t>554.26  پسیچولوگیکال رویو، ۹۳، ۲۳-۳۲ نیسبتت، ر. .، کرانتز، د. ه.، جپسون، ک.، &amp; کوندا، ز. (۱۹۸۳).</w:t>
      </w:r>
    </w:p>
    <w:p>
      <w:pPr>
        <w:spacing w:after="28" w:line="216" w:lineRule="auto"/>
        <w:ind w:left="259"/>
        <w:jc w:val="left"/>
      </w:pPr>
      <w:r>
        <w:rPr>
          <w:rFonts w:ascii="Arial" w:hAnsi="Arial"/>
          <w:color w:val="525252"/>
          <w:sz w:val="13"/>
        </w:rPr>
        <w:t>Psychological Review, 93, 23-32 Nisbett, R. E., Krantz, D. H., Jepson, C., &amp; Kunda, Z. (1983).</w:t>
      </w:r>
    </w:p>
    <w:p>
      <w:pPr>
        <w:spacing w:after="20" w:line="223" w:lineRule="auto"/>
        <w:jc w:val="right"/>
        <w:bidi/>
      </w:pPr>
      <w:r>
        <w:rPr>
          <w:rFonts w:ascii="Arial" w:hAnsi="Arial"/>
          <w:sz w:val="16"/>
        </w:rPr>
        <w:t>554.27  استفاده از استدلال آماری در استدلال استقرایی روزمره.</w:t>
      </w:r>
    </w:p>
    <w:p>
      <w:pPr>
        <w:spacing w:after="28" w:line="216" w:lineRule="auto"/>
        <w:ind w:left="259"/>
        <w:jc w:val="left"/>
      </w:pPr>
      <w:r>
        <w:rPr>
          <w:rFonts w:ascii="Arial" w:hAnsi="Arial"/>
          <w:color w:val="525252"/>
          <w:sz w:val="13"/>
        </w:rPr>
        <w:t>The use of statistical reasoning in everyday inductive reasoning.</w:t>
      </w:r>
    </w:p>
    <w:p>
      <w:pPr>
        <w:spacing w:after="20" w:line="223" w:lineRule="auto"/>
        <w:jc w:val="right"/>
        <w:bidi/>
      </w:pPr>
      <w:r>
        <w:rPr>
          <w:rFonts w:ascii="Arial" w:hAnsi="Arial"/>
          <w:sz w:val="16"/>
        </w:rPr>
        <w:t>554.28  پسیچولوگیکال رویو، ۹۰، ۳۳۹-۳۶۳ روس، ل.ه. &amp; لین، ه. ت. (۱۹۸۴).</w:t>
      </w:r>
    </w:p>
    <w:p>
      <w:pPr>
        <w:spacing w:after="28" w:line="216" w:lineRule="auto"/>
        <w:ind w:left="259"/>
        <w:jc w:val="left"/>
      </w:pPr>
      <w:r>
        <w:rPr>
          <w:rFonts w:ascii="Arial" w:hAnsi="Arial"/>
          <w:color w:val="525252"/>
          <w:sz w:val="13"/>
        </w:rPr>
        <w:t>Psychological Review, 90, 339-363 Rose, L.H. &amp; Lin, H. T. (1984).</w:t>
      </w:r>
    </w:p>
    <w:p>
      <w:pPr>
        <w:spacing w:after="20" w:line="223" w:lineRule="auto"/>
        <w:jc w:val="right"/>
        <w:bidi/>
      </w:pPr>
      <w:r>
        <w:rPr>
          <w:rFonts w:ascii="Arial" w:hAnsi="Arial"/>
          <w:sz w:val="16"/>
        </w:rPr>
        <w:t>554.29  متاآنالیز برنامه‌های آموزشی خلاقیت بلند مدت.</w:t>
      </w:r>
    </w:p>
    <w:p>
      <w:pPr>
        <w:spacing w:after="28" w:line="216" w:lineRule="auto"/>
        <w:ind w:left="259"/>
        <w:jc w:val="left"/>
      </w:pPr>
      <w:r>
        <w:rPr>
          <w:rFonts w:ascii="Arial" w:hAnsi="Arial"/>
          <w:color w:val="525252"/>
          <w:sz w:val="13"/>
        </w:rPr>
        <w:t>A meta-analysis of long-term creativity training programs.</w:t>
      </w:r>
    </w:p>
    <w:p>
      <w:pPr>
        <w:spacing w:after="20" w:line="223" w:lineRule="auto"/>
        <w:jc w:val="right"/>
        <w:bidi/>
      </w:pPr>
      <w:r>
        <w:rPr>
          <w:rFonts w:ascii="Arial" w:hAnsi="Arial"/>
          <w:sz w:val="16"/>
        </w:rPr>
        <w:t>554.30  مجله رفتار خلاق، ۱۸، ۱۱-۲۲</w:t>
      </w:r>
    </w:p>
    <w:p>
      <w:pPr>
        <w:spacing w:after="28" w:line="216" w:lineRule="auto"/>
        <w:ind w:left="259"/>
        <w:jc w:val="left"/>
      </w:pPr>
      <w:r>
        <w:rPr>
          <w:rFonts w:ascii="Arial" w:hAnsi="Arial"/>
          <w:color w:val="525252"/>
          <w:sz w:val="13"/>
        </w:rPr>
        <w:t>The Journal of Creative Behavior, 18, 11-22</w:t>
      </w:r>
    </w:p>
    <w:p>
      <w:r>
        <w:br w:type="page"/>
      </w:r>
    </w:p>
    <w:p>
      <w:pPr>
        <w:spacing w:after="60"/>
        <w:jc w:val="right"/>
        <w:bidi/>
      </w:pPr>
      <w:r>
        <w:rPr>
          <w:rFonts w:ascii="Arial" w:hAnsi="Arial"/>
          <w:b/>
          <w:color w:val="1F4D78"/>
          <w:sz w:val="19"/>
        </w:rPr>
        <w:t>هفتهٔ 555  |  صفحهٔ منبع: 571</w:t>
      </w:r>
    </w:p>
    <w:p>
      <w:pPr>
        <w:spacing w:after="20" w:line="223" w:lineRule="auto"/>
        <w:jc w:val="right"/>
        <w:bidi/>
      </w:pPr>
      <w:r>
        <w:rPr>
          <w:rFonts w:ascii="Arial" w:hAnsi="Arial"/>
          <w:sz w:val="16"/>
        </w:rPr>
        <w:t>555.01  واکر، پیتر پی. نظریه چشم‌انداز: برای ریسک و ابهام.</w:t>
      </w:r>
    </w:p>
    <w:p>
      <w:pPr>
        <w:spacing w:after="28" w:line="216" w:lineRule="auto"/>
        <w:ind w:left="259"/>
        <w:jc w:val="left"/>
      </w:pPr>
      <w:r>
        <w:rPr>
          <w:rFonts w:ascii="Arial" w:hAnsi="Arial"/>
          <w:color w:val="525252"/>
          <w:sz w:val="13"/>
        </w:rPr>
        <w:t>Wakker, Peter P. Prospect Theory: For Risk and Ambiguity.</w:t>
      </w:r>
    </w:p>
    <w:p>
      <w:pPr>
        <w:spacing w:after="20" w:line="223" w:lineRule="auto"/>
        <w:jc w:val="right"/>
        <w:bidi/>
      </w:pPr>
      <w:r>
        <w:rPr>
          <w:rFonts w:ascii="Arial" w:hAnsi="Arial"/>
          <w:sz w:val="16"/>
        </w:rPr>
        <w:t>555.02  انتشارات دانشگاه کمبریج، ۲۰۱۰</w:t>
      </w:r>
    </w:p>
    <w:p>
      <w:pPr>
        <w:spacing w:after="28" w:line="216" w:lineRule="auto"/>
        <w:ind w:left="259"/>
        <w:jc w:val="left"/>
      </w:pPr>
      <w:r>
        <w:rPr>
          <w:rFonts w:ascii="Arial" w:hAnsi="Arial"/>
          <w:color w:val="525252"/>
          <w:sz w:val="13"/>
        </w:rPr>
        <w:t>Cambridge University Press, 2010</w:t>
      </w:r>
    </w:p>
    <w:p>
      <w:pPr>
        <w:spacing w:before="60" w:after="28"/>
        <w:jc w:val="right"/>
        <w:bidi/>
      </w:pPr>
      <w:r>
        <w:rPr>
          <w:b/>
          <w:color w:val="1F4D78"/>
          <w:sz w:val="18"/>
        </w:rPr>
        <w:t>فصل هفدهم، مدیریت اضطراری</w:t>
      </w:r>
    </w:p>
    <w:p>
      <w:pPr>
        <w:spacing w:after="20"/>
        <w:ind w:left="259"/>
        <w:jc w:val="left"/>
      </w:pPr>
      <w:r>
        <w:rPr>
          <w:color w:val="555555"/>
          <w:sz w:val="12"/>
        </w:rPr>
        <w:t>Chapter 17, Emergency Management</w:t>
      </w:r>
    </w:p>
    <w:p>
      <w:pPr>
        <w:spacing w:after="20" w:line="223" w:lineRule="auto"/>
        <w:jc w:val="right"/>
        <w:bidi/>
      </w:pPr>
      <w:r>
        <w:rPr>
          <w:rFonts w:ascii="Arial" w:hAnsi="Arial"/>
          <w:sz w:val="16"/>
        </w:rPr>
        <w:t>555.04  AFMAN ۱۰-۲۵۰۲، استانداردها و رویه‌های سیستم مدیریت حوادث نیروی هوایی، ۱۳ سپتامبر ۲۰۱۸ DAFI ۱۰-۲۵۰۳، برنامه دفاع CBRN، ۶ اکتبر ۲۰۲۳ DAFI ۹۱-۲۰۲، برنامه نیروی هوایی ایالات متحده، پیشگیری از حوادث ناگوار ۲ مارچ ۲۰۲۰ ۹۰-۸۰۳، دستورالعمل‌ها و ابزارهای مدیریت ریسک (RM)، ۲۳ مارس ۲۰۲۲</w:t>
      </w:r>
    </w:p>
    <w:p>
      <w:pPr>
        <w:spacing w:after="28" w:line="216" w:lineRule="auto"/>
        <w:ind w:left="259"/>
        <w:jc w:val="left"/>
      </w:pPr>
      <w:r>
        <w:rPr>
          <w:rFonts w:ascii="Arial" w:hAnsi="Arial"/>
          <w:color w:val="525252"/>
          <w:sz w:val="13"/>
        </w:rPr>
        <w:t>AFMAN 10-2502, Air Force Incident Management System Standards and Procedures, 13 September 2018 DAFI 10-2503, CBRN Defense Program, 6 October 2023 DAFI 91-202, The U.S. Air Force Mishap Prevention Program, 12 March 2020 DAFPAM 90-803, Risk Management (RM) Guidelines and Tools, 23 March 2022</w:t>
      </w:r>
    </w:p>
    <w:p>
      <w:pPr>
        <w:spacing w:before="60" w:after="28"/>
        <w:jc w:val="right"/>
        <w:bidi/>
      </w:pPr>
      <w:r>
        <w:rPr>
          <w:b/>
          <w:color w:val="1F4D78"/>
          <w:sz w:val="18"/>
        </w:rPr>
        <w:t>فصل 18، امنیت</w:t>
      </w:r>
    </w:p>
    <w:p>
      <w:pPr>
        <w:spacing w:after="20"/>
        <w:ind w:left="259"/>
        <w:jc w:val="left"/>
      </w:pPr>
      <w:r>
        <w:rPr>
          <w:color w:val="555555"/>
          <w:sz w:val="12"/>
        </w:rPr>
        <w:t>Chapter 18, Security</w:t>
      </w:r>
    </w:p>
    <w:p>
      <w:pPr>
        <w:spacing w:after="20" w:line="223" w:lineRule="auto"/>
        <w:jc w:val="right"/>
        <w:bidi/>
      </w:pPr>
      <w:r>
        <w:rPr>
          <w:rFonts w:ascii="Arial" w:hAnsi="Arial"/>
          <w:sz w:val="16"/>
        </w:rPr>
        <w:t>555.06  AFI ۱۰-۷۰۱، امنیت عملیات، ۲۴ ژوئیه ۲۰۱۹ AFI ۱۷-۱۳۰، مدیریت برنامه امنیت سایبری، ۱۳ فوریه ۲۰۲۰ AFI ۳۳-۳۳۲، برنامه حریم خصوصی و آزادی‌های مدنی نیروی هوایی، ۱ ژوئیه ۲۰۱۹، سرویس AFI، وولوم ۲۰۱۹، ماتتکوم پرو وولوم ۱۰۱،۷ ۲۱ مه ۲۰۱۹ AFI ۷۱-۱۰۱، جلد ۴، ضد جاسوسی، ۲ ژوئیه ۲۰۱۹ AFPD ۳۱-۱، دفاع یکپارچه، ۲۱ ژوئن ۲۰۱۸ AFMAN ۱۷-۱۳۰۱، امنیت رایانه (COMPUSEC)، ۱۲ فوریه ۲۰۲۰، مقررات مشترک ۱ نوامبر ۱۷، ۱۲ فوریه ۲۰۲۰، مقررات مشترک ۱۷ ۵۲۰۰.۴۸_AFI ۱۶-۱۴۰۳، اطلاعات طبقه بندی نشده کنترل شده، ۵ اکتبر ۲۰۲۱ دودیو-۲۰۰۰.۱۶و۱_DAFI۳۱-۱۴۵-و، اجرای برنامه ضد تروریسم (AT)، ۱۴ نوامبر ۲۰۲۲ دودم۵۲۰۰.۰۱و۶ وورویو، برنامه امنیتی: ۰۱و۱۱_DAF طبقه‌بندی و طبقه‌بندی، ۶ آوریل ۲۰۲۲ دودم۵۲۰۰.۰۱و۲_DAFMAN۱۶-۱۴۰۴و۲، برنامه امنیت اطلاعات: علامت‌گذاری اطلاعات طبقه‌بندی‌شده، ۶ ژانویه ۲۰۲۱ دودم۵۲۰۰.۰۱و۳_DAFMAN۱۶-۱۴۰۴و۳، دود ۱۴۰۴و۳، دودم۱ اطلاعات کلاسسیفید اپریل۲۰ ۵۲۰۰.۰۲_AFMAN ۱۶-۱۴۰۵، برنامه امنیتی پرسنل نیروی هوایی، ۱ اوت ۲۰۱۸ راهنمای ترخیص خارجی FIPS ۱۴۰-۲، الزامات امنیتی برای ماژول‌های رمزنگاری، ۲۵ مه ۲۰۰۱ JP ۳-۱۰، جوینت سکوریتی وپراتیونس ین تاتر لاو، پرینکیپل۷-۲۰۱۵ جولی۷۹ ۱۹۷۴، ۳۱ دسامبر ۱۹۷۴</w:t>
      </w:r>
    </w:p>
    <w:p>
      <w:pPr>
        <w:spacing w:after="28" w:line="216" w:lineRule="auto"/>
        <w:ind w:left="259"/>
        <w:jc w:val="left"/>
      </w:pPr>
      <w:r>
        <w:rPr>
          <w:rFonts w:ascii="Arial" w:hAnsi="Arial"/>
          <w:color w:val="525252"/>
          <w:sz w:val="13"/>
        </w:rPr>
        <w:t>AFI 10-701, Operations Security, 24 July 2019 AFI 17-130, Cybersecurity Program Management, 13 February 2020 AFI 33-332, Air Force Privacy and Civil Liberties Program, 1 Jul 2019 AFI 71-101, Volume 2, Protective Service Matters, 21 May 2019 AFI 71-101, Volume 4, Counterintelligence, 2 July 2019 AFPD 31-1, Integrated Defense, 21 June 2018 AFMAN 17-1301, Computer Security (COMPUSEC), 12 February 2020 Joint Ethics Regulation, 17 November 2011 DoDI 5200.48_AFI 16-1403, Controlled Unclassified Information, 5 October 2021 DoDIO-2000.16V1_DAFI31-145-O, Antiterrorism (AT) Program Implementation, 14 November 2022 DoDM5200.01V1_DAFMAN16-1404V1, Information Security Program: Overview, Classification, and Declassification, 6 April 2022 DoDM5200.01V2_DAFMAN16-1404V2, Information Security Program: Marking of Classified Information, 6 January 2021 DoDM5200.01V3_DAFMAN16-1404V3, DoD Information Security Program: Protection of Classified Information, 12 April 2022 DoDM 5200.02_AFMAN 16-1405, Air Force Personnel Security Program, 1 August 2018 Foreign Clearance Guide FIPS 140-2, Security Requirements for Cryptographic Modules, 25 May 2001 JP 3-10, Joint Security Operations in Theater, 25 July 2019 Public Law 93-579, Privacy Act 1974, 31 December 1974</w:t>
      </w:r>
    </w:p>
    <w:p>
      <w:pPr>
        <w:spacing w:before="60" w:after="28"/>
        <w:jc w:val="right"/>
        <w:bidi/>
      </w:pPr>
      <w:r>
        <w:rPr>
          <w:b/>
          <w:color w:val="1F4D78"/>
          <w:sz w:val="18"/>
        </w:rPr>
        <w:t>فصل 19، استانداردهای رفتار</w:t>
      </w:r>
    </w:p>
    <w:p>
      <w:pPr>
        <w:spacing w:after="20"/>
        <w:ind w:left="259"/>
        <w:jc w:val="left"/>
      </w:pPr>
      <w:r>
        <w:rPr>
          <w:color w:val="555555"/>
          <w:sz w:val="12"/>
        </w:rPr>
        <w:t>Chapter 19, Standards of Conduct</w:t>
      </w:r>
    </w:p>
    <w:p>
      <w:pPr>
        <w:spacing w:after="20" w:line="223" w:lineRule="auto"/>
        <w:jc w:val="right"/>
        <w:bidi/>
      </w:pPr>
      <w:r>
        <w:rPr>
          <w:rFonts w:ascii="Arial" w:hAnsi="Arial"/>
          <w:sz w:val="16"/>
        </w:rPr>
        <w:t>555.08  AFI ۱-۱، استانداردهای نیروی هوایی، ۱۷ آگوست ۲۰۲۳ AFI ۳۸-۱۰۱، نیروی انسانی و سازمان، ۲۹ اوت ۲۰۱۹ DAFI ۹۰-۱۶۰، انتشارات و مدیریت فرم‌ها، ۱۴ آوریل ۲۰۲۲ وزارت دفاع ۲۳۱۲ ژوئیه ۲۳۱۱.۰۱، وزارت دفاع قانون برنامه جنگ۲۰، ۹۰-۱، دستورات مأموریت ستاد نیروی هوایی و برنامه صدور وزارت دفاع، ۷ مه ۲۰۲۴ مقررات اخلاقی مشترک، ۱۷ نوامبر ۲۰۱۱ عنوان ۵، CFR، قسمت ۲۶۳۵، استانداردهای رفتار اخلاقی برای کارکنان شعبه اجرایی، سپتامبر ۲۰۲۳، ۲۰۲۳ سپتامبر</w:t>
      </w:r>
    </w:p>
    <w:p>
      <w:pPr>
        <w:spacing w:after="28" w:line="216" w:lineRule="auto"/>
        <w:ind w:left="259"/>
        <w:jc w:val="left"/>
      </w:pPr>
      <w:r>
        <w:rPr>
          <w:rFonts w:ascii="Arial" w:hAnsi="Arial"/>
          <w:color w:val="525252"/>
          <w:sz w:val="13"/>
        </w:rPr>
        <w:t>AFI 1-1, Air Force Standards, 17 August 2023 AFI 38-101, Manpower and Organization, 29 August 2019 DAFI 90-160, Publications and Forms Management, 14 April 2022 DoDD 2311.01, Department of Defense Law of War Program, 2 July 2020 HOI 90-1, Headquarters Air Force Mission Directives and Department of Defense Issuances Program, 7 May 2024 Joint Ethics Regulation, 17 November 2011 Title 5, CFR, Part 2635, Standards of Ethical Conduct for Employees of the Executive Branch, 12 September 2023</w:t>
      </w:r>
    </w:p>
    <w:p>
      <w:pPr>
        <w:spacing w:before="60" w:after="28"/>
        <w:jc w:val="right"/>
        <w:bidi/>
      </w:pPr>
      <w:r>
        <w:rPr>
          <w:b/>
          <w:color w:val="1F4D78"/>
          <w:sz w:val="18"/>
        </w:rPr>
        <w:t>فصل 20، اجرای استانداردهای نظامی</w:t>
      </w:r>
    </w:p>
    <w:p>
      <w:pPr>
        <w:spacing w:after="20"/>
        <w:ind w:left="259"/>
        <w:jc w:val="left"/>
      </w:pPr>
      <w:r>
        <w:rPr>
          <w:color w:val="555555"/>
          <w:sz w:val="12"/>
        </w:rPr>
        <w:t>Chapter 20, Enforcing Military Standards</w:t>
      </w:r>
    </w:p>
    <w:p>
      <w:pPr>
        <w:spacing w:after="20" w:line="223" w:lineRule="auto"/>
        <w:jc w:val="right"/>
        <w:bidi/>
      </w:pPr>
      <w:r>
        <w:rPr>
          <w:rFonts w:ascii="Arial" w:hAnsi="Arial"/>
          <w:sz w:val="16"/>
        </w:rPr>
        <w:t>555.10  AFI ۱-۱، استانداردهای نیروی هوایی، ۱۷ اوت ۲۰۲۳ AFI ۱-۲، مسئولیت‌های فرمانده، ۸ مه ۲۰۱۴ AFI ۳۳-۳۳۲، برنامه حریم خصوصی و آزادی‌های مدنی نیروی هوایی، ۱۰ مارس ۲۰۲۰</w:t>
      </w:r>
    </w:p>
    <w:p>
      <w:pPr>
        <w:spacing w:after="28" w:line="216" w:lineRule="auto"/>
        <w:ind w:left="259"/>
        <w:jc w:val="left"/>
      </w:pPr>
      <w:r>
        <w:rPr>
          <w:rFonts w:ascii="Arial" w:hAnsi="Arial"/>
          <w:color w:val="525252"/>
          <w:sz w:val="13"/>
        </w:rPr>
        <w:t>AFI 1-1, Air Force Standards, 17 August 2023 AFI 1-2, Commander’s Responsibilities, 8 May 2014 AFI 33-332, Air Force Privacy and Civil Liberties Program, 10 March 2020</w:t>
      </w:r>
    </w:p>
    <w:p>
      <w:r>
        <w:br w:type="page"/>
      </w:r>
    </w:p>
    <w:p>
      <w:pPr>
        <w:spacing w:after="60"/>
        <w:jc w:val="right"/>
        <w:bidi/>
      </w:pPr>
      <w:r>
        <w:rPr>
          <w:rFonts w:ascii="Arial" w:hAnsi="Arial"/>
          <w:b/>
          <w:color w:val="1F4D78"/>
          <w:sz w:val="19"/>
        </w:rPr>
        <w:t>هفتهٔ 556  |  صفحهٔ منبع: 572</w:t>
      </w:r>
    </w:p>
    <w:p>
      <w:pPr>
        <w:spacing w:after="20" w:line="223" w:lineRule="auto"/>
        <w:jc w:val="right"/>
        <w:bidi/>
      </w:pPr>
      <w:r>
        <w:rPr>
          <w:rFonts w:ascii="Arial" w:hAnsi="Arial"/>
          <w:sz w:val="16"/>
        </w:rPr>
        <w:t>556.01  AFI ۳۶-۲۷۱۰، برنامه فرصت برابر، ۲۳ مه ۲۰۲۴ AFI ۳۶-۲۹۰۹، روابط حرفه‌ای و غیرحرفه‌ای، ۱۴ نوامبر ۲۰۱۹ DAFI ۳۱-۲۱۸، نظارت بر ترافیک خودروهای موتوری، مه ۷۱-DAFI۲۳۰۲، برنامه نوشیدنی الکلی، ۵ ژوئیه ۲۰۲۳ DAFI ۳۵-۱۰۱، امور عمومی، ۲۰ نوامبر ۲۰۲۰ DAFI ۳۶-۲۶۰۳، هیئت تصحیح سوابق نظامی نیروی هوایی، ۴ اکتبر ۲۰۲۲ DAFI ۳۶-۲۶۰۸، سیستم پرسنل نظامی ۲۰۱۲ آوریل DAFI، ۲۰۱ سوابق نظامی DAFI ۳۶-۲۹۰۷، اقدامات نامطلوب اداری، ۱۴ اکتبر ۲۰۲۲ DAFI ۳۶-۳۲۱۱، جدایی‌های نظامی، جدایی‌های نظامی، ۲۴ ژوئن ۲۰۲۲ DAFI ۵۱-۲۰۱، اداره عدالت نظامی، ۲۴ ژانویه ۲۰۲۴ DAFI ۸، قانون آزادی مجلس و آزادی سیاسی، ۵۱-۵ پرسنل نیروی هوایی، ۲۴ مارس ۲۰۲۳ DAFI ۵۲-۲۰۱، آزادی مذهبی در دپارتمان نیروی هوایی، ۲۳ ژوئن ۲۰۲۱ DAFI ۹۰-۳۰۱، قطعنامه شکایات بازرس کل، ۴ ژانویه ۲۰۲۴ DAFI ۹۰-۳۰۲ DAFI ۹۰-۳۰۲ DAFI ۹۰-۳۰۲ مارس ۲۰۲۱، سیستم بازرسی نیروی هوایی ۳۶-۲۹۰۵، برنامه آمادگی جسمانی نیروی هوایی، ۲۱ آوریل ۲۰۲۲ DAFMAN ۴۴-۱۹۷، برنامه کاهش تقاضای مواد مخدر نظامی، ۵ سپتامبر ۲۰۲۳ وزارت دفاع ۱۳۴۴.۱۰، فعالیت‌های سیاسی توسط اعضای نیروهای مسلح، ۱۹ فوریه ۲۰۱۰، هان. فعالیت‌های باند افراطی و جنایتکار در میان اعضای نیروهای مسلح، ۲۷ نوامبر ۲۰۰۹ دودم۵۲۰۰.۰۱و۱_DAFMAN۱۶-۱۴۰۴و۱، برنامه امنیت اطلاعات: بررسی اجمالی، طبقه‌بندی و طبقه‌بندی، ۶ آوریل ۲۰۲۲، ۱۱۰ اوت ۱۲ قانون مدیریت فرصت‌های شغلی برابر، ۵ دستورالعمل مدیریت فرصت‌های شغلی برابر ۱۱۰-۲۳۳، قانون عدم تبعیض اطلاعات ژنتیکی ۲۰۰۸، ۲۱ مه ۲۰۰۸ عنوان ۲۹، کد مقررات فدرال، قسمت ۱۶۱۴، فرصت شغلی برابر بخش فدرال، ۱ ژوئیه ۲۰۱۶</w:t>
      </w:r>
    </w:p>
    <w:p>
      <w:pPr>
        <w:spacing w:after="28" w:line="216" w:lineRule="auto"/>
        <w:ind w:left="259"/>
        <w:jc w:val="left"/>
      </w:pPr>
      <w:r>
        <w:rPr>
          <w:rFonts w:ascii="Arial" w:hAnsi="Arial"/>
          <w:color w:val="525252"/>
          <w:sz w:val="13"/>
        </w:rPr>
        <w:t>AFI 36-2710, Equal Opportunity Program, 23 May 2024 AFI 36-2909, Professional and Unprofessional Relationships, 14 November 2019 DAFI 31-218, Motor Vehicle Traffic Supervision, 22 May 2006 DAFI 34-107, Alcoholic Beverage Program, 5 July 2023 DAFI 35-101, Public Affairs, 20 November 2020 DAFI 36-2603, Air Force Board for Correction of Military Records, 4 October 2022 DAFI 36-2608, Military Personnel Records System, 12 April 2021 DAFI 36-2907, Adverse Administrative Actions, 14 October 2022 DAFI 36-3211, Military Separations, Military Separations, 24 June 2022 DAFI 51-201, Administration of Military Justice, 24 January 2024 DAFI 51-508, Political Activities, Free Speech, and Freedom of Assembly of Air Force Personnel, 24 March 2023 DAFI 52-201, Religious Freedom in the Department of the Air Force, 23 June 2021 DAFI 90-301, Inspector General Complaints Resolution, 4 January 2024 DAFI 90-302, The Inspection System of the Department of the Air Force, 15 March 2023 DAFMAN 36-2905, Air Force Physical Fitness Program, 21 April 2022 DAFMAN 44-197, Military Drug Demand Reduction Program, 5 September 2023 DoDD 1344.10, Political Activities by Members of the Armed Forces, 19 February 2008 DoDI 1325.06, Handling Protest, Extremist, and Criminal Gang Activities Among Members of the Armed Forces, 27 November 2009 DoDM5200.01V1_DAFMAN16-1404V1, Information Security Program: Overview, Classification, and Declassification, 6 April 2022 Equal Employment Opportunity Management Directive 110, 5 August 2015 Public Law 110-233, Genetic Information Nondiscrimination Act of 2008, 21 May 2008 Title 29, Code of Federal Regulations, Part 1614, Federal Sector Equal Employment Opportunity, 1 July 2016</w:t>
      </w:r>
    </w:p>
    <w:p>
      <w:pPr>
        <w:spacing w:before="60" w:after="28"/>
        <w:jc w:val="right"/>
        <w:bidi/>
      </w:pPr>
      <w:r>
        <w:rPr>
          <w:b/>
          <w:color w:val="1F4D78"/>
          <w:sz w:val="18"/>
        </w:rPr>
        <w:t>فصل بیست و یکم، عدالت نظامی</w:t>
      </w:r>
    </w:p>
    <w:p>
      <w:pPr>
        <w:spacing w:after="20"/>
        <w:ind w:left="259"/>
        <w:jc w:val="left"/>
      </w:pPr>
      <w:r>
        <w:rPr>
          <w:color w:val="555555"/>
          <w:sz w:val="12"/>
        </w:rPr>
        <w:t>Chapter 21, Military Justice</w:t>
      </w:r>
    </w:p>
    <w:p>
      <w:pPr>
        <w:spacing w:after="20" w:line="223" w:lineRule="auto"/>
        <w:jc w:val="right"/>
        <w:bidi/>
      </w:pPr>
      <w:r>
        <w:rPr>
          <w:rFonts w:ascii="Arial" w:hAnsi="Arial"/>
          <w:sz w:val="16"/>
        </w:rPr>
        <w:t>556.03  AFI ۱-۱، استانداردهای نیروی هوایی، ۱۷ آگوست ۲۰۲۳ AFI ۵۱-۵۰۵، شکایات از اشتباهات بر اساس ماده ۱۳۸، قانون یکسان عدالت نظامی، ۲۸ اوت ۲۰۲۴ AFI ۳۶-۲۵۰۲، برنامه‌های ارتقاء نیروی هوایی ۲۴ سپتامبر ۲۰ و د۲ ۵۱-۲۰۱، اداره عدالت نظامی، ۲۴ ژانویه ۲۰۲۴ DAFI ۵۱-۲۰۲، مجازات غیرقانونی، ۴ ژانویه ۲۰۲۲ DAFPD ۳۶-۲۹، استانداردهای نظامی، ۲۴ ژانویه ۲۰۲۳ کتابچه راهنمای دادگاه‌های نظامی، ایالات متحده (۲۰۱۹).</w:t>
      </w:r>
    </w:p>
    <w:p>
      <w:pPr>
        <w:spacing w:after="28" w:line="216" w:lineRule="auto"/>
        <w:ind w:left="259"/>
        <w:jc w:val="left"/>
      </w:pPr>
      <w:r>
        <w:rPr>
          <w:rFonts w:ascii="Arial" w:hAnsi="Arial"/>
          <w:color w:val="525252"/>
          <w:sz w:val="13"/>
        </w:rPr>
        <w:t>AFI 1-1, Air Force Standards, 17 August 2023 AFI 51-505, Complaints of Wrongs Under Article 138, Uniform Code of Military Justice, 28 August 2024 AFI 36-2502, Enlisted Airman Promotion and Demotion Programs, 26 September 2024 DAFI 51-201, Administration of Military Justice, 24 January 2024 DAFI 51-202, Nonjudicial Punishment, 4 January 2022 DAFPD 36-29, Military Standards, 24 January 2023 Manual for Courts-Martial, United States (2019 ed.) Uniform Code of Military Justice</w:t>
      </w:r>
    </w:p>
    <w:p>
      <w:pPr>
        <w:spacing w:before="60" w:after="28"/>
        <w:jc w:val="right"/>
        <w:bidi/>
      </w:pPr>
      <w:r>
        <w:rPr>
          <w:b/>
          <w:color w:val="1F4D78"/>
          <w:sz w:val="18"/>
        </w:rPr>
        <w:t>فصل 22، تناسب اندام و آمادگی</w:t>
      </w:r>
    </w:p>
    <w:p>
      <w:pPr>
        <w:spacing w:after="20"/>
        <w:ind w:left="259"/>
        <w:jc w:val="left"/>
      </w:pPr>
      <w:r>
        <w:rPr>
          <w:color w:val="555555"/>
          <w:sz w:val="12"/>
        </w:rPr>
        <w:t>Chapter 22, Fitness and Readiness</w:t>
      </w:r>
    </w:p>
    <w:p>
      <w:pPr>
        <w:spacing w:after="20" w:line="223" w:lineRule="auto"/>
        <w:jc w:val="right"/>
        <w:bidi/>
      </w:pPr>
      <w:r>
        <w:rPr>
          <w:rFonts w:ascii="Arial" w:hAnsi="Arial"/>
          <w:sz w:val="16"/>
        </w:rPr>
        <w:t>556.05  تسریع پیشرفت در پیشگیری از چاقی: حل وزن ملت.</w:t>
      </w:r>
    </w:p>
    <w:p>
      <w:pPr>
        <w:spacing w:after="28" w:line="216" w:lineRule="auto"/>
        <w:ind w:left="259"/>
        <w:jc w:val="left"/>
      </w:pPr>
      <w:r>
        <w:rPr>
          <w:rFonts w:ascii="Arial" w:hAnsi="Arial"/>
          <w:color w:val="525252"/>
          <w:sz w:val="13"/>
        </w:rPr>
        <w:t>Accelerating Progress in Obesity Prevention: Solving the Weight of the Nation.</w:t>
      </w:r>
    </w:p>
    <w:p>
      <w:pPr>
        <w:spacing w:after="20" w:line="223" w:lineRule="auto"/>
        <w:jc w:val="right"/>
        <w:bidi/>
      </w:pPr>
      <w:r>
        <w:rPr>
          <w:rFonts w:ascii="Arial" w:hAnsi="Arial"/>
          <w:sz w:val="16"/>
        </w:rPr>
        <w:t>556.06  ماده جلویی.</w:t>
      </w:r>
    </w:p>
    <w:p>
      <w:pPr>
        <w:spacing w:after="28" w:line="216" w:lineRule="auto"/>
        <w:ind w:left="259"/>
        <w:jc w:val="left"/>
      </w:pPr>
      <w:r>
        <w:rPr>
          <w:rFonts w:ascii="Arial" w:hAnsi="Arial"/>
          <w:color w:val="525252"/>
          <w:sz w:val="13"/>
        </w:rPr>
        <w:t>Front Matter.</w:t>
      </w:r>
    </w:p>
    <w:p>
      <w:pPr>
        <w:spacing w:after="20" w:line="223" w:lineRule="auto"/>
        <w:jc w:val="right"/>
        <w:bidi/>
      </w:pPr>
      <w:r>
        <w:rPr>
          <w:rFonts w:ascii="Arial" w:hAnsi="Arial"/>
          <w:sz w:val="16"/>
        </w:rPr>
        <w:t>556.07  واشنگتن، دی سی: انتشارات آکادمی ملی، ۲۰۱۲.</w:t>
      </w:r>
    </w:p>
    <w:p>
      <w:pPr>
        <w:spacing w:after="28" w:line="216" w:lineRule="auto"/>
        <w:ind w:left="259"/>
        <w:jc w:val="left"/>
      </w:pPr>
      <w:r>
        <w:rPr>
          <w:rFonts w:ascii="Arial" w:hAnsi="Arial"/>
          <w:color w:val="525252"/>
          <w:sz w:val="13"/>
        </w:rPr>
        <w:t>Washington, D.C.: The National Academies Press, 2012.</w:t>
      </w:r>
    </w:p>
    <w:p>
      <w:pPr>
        <w:spacing w:after="20" w:line="223" w:lineRule="auto"/>
        <w:jc w:val="right"/>
        <w:bidi/>
      </w:pPr>
      <w:r>
        <w:rPr>
          <w:rFonts w:ascii="Arial" w:hAnsi="Arial"/>
          <w:sz w:val="16"/>
        </w:rPr>
        <w:t>556.08  AFI ۱-۱، استانداردهای نیروی هوایی، ۱۷ اوت ۲۰۲۳ AFI ۴۴-۱۰۲، مدیریت مراقبت‌های پزشکی، ۱۷ مارس ۲۰۱۵ AFI ۴۴-۱۷۲، سلامت روان، ۱۳ نوامبر ۲۰۱۵ AFI ۴۸-۱۰۳، ارتقاء سلامت ۴۸-۱۰۱ ژوئن رایگان، ۲۱ ژوئن ۲۰۱۰ AFI زندگی، ۱۱ ژوئیه ۲۰۱۹ AFI ۴۸-۱۳۳، شرایط محدودیت وظیفه، ۷ آگوست ۲۰۲۰ راهنمای هوانورد برای کمک به پرسنل در مضیقه DAFI ۳۶-۲۹۱۰، تعیین خط وظیفه (LOD)، ادامه پزشکی (MEDCON)، و پرداخت ناتوانی ۱ سپتامبر ۲، INCAP۲۰</w:t>
      </w:r>
    </w:p>
    <w:p>
      <w:pPr>
        <w:spacing w:after="28" w:line="216" w:lineRule="auto"/>
        <w:ind w:left="259"/>
        <w:jc w:val="left"/>
      </w:pPr>
      <w:r>
        <w:rPr>
          <w:rFonts w:ascii="Arial" w:hAnsi="Arial"/>
          <w:color w:val="525252"/>
          <w:sz w:val="13"/>
        </w:rPr>
        <w:t>AFI 1-1, Air Force Standards, 17 August 2023 AFI 44-102, Medical Care Management, 17 March 2015 AFI 44-172, Mental Health, 13 November 2015 AFI 48-103, Health Promotion, 21 June 2019 AFI 48-104, Tobacco Free Living, 11 July 2019 AFI 48-133, Duty Limiting Conditions, 7 August 2020 Airman’s Guide for Assisting Personnel in Distress DAFI 36-2910, Line of Duty (LOD) Determination, Medical Continuation (MEDCON), and Incapacitation (INCAP) Pay, 3 September 2021</w:t>
      </w:r>
    </w:p>
    <w:p>
      <w:r>
        <w:br w:type="page"/>
      </w:r>
    </w:p>
    <w:p>
      <w:pPr>
        <w:spacing w:after="60"/>
        <w:jc w:val="right"/>
        <w:bidi/>
      </w:pPr>
      <w:r>
        <w:rPr>
          <w:rFonts w:ascii="Arial" w:hAnsi="Arial"/>
          <w:b/>
          <w:color w:val="1F4D78"/>
          <w:sz w:val="19"/>
        </w:rPr>
        <w:t>هفتهٔ 557  |  صفحهٔ منبع: 573</w:t>
      </w:r>
    </w:p>
    <w:p>
      <w:pPr>
        <w:spacing w:after="20" w:line="223" w:lineRule="auto"/>
        <w:jc w:val="right"/>
        <w:bidi/>
      </w:pPr>
      <w:r>
        <w:rPr>
          <w:rFonts w:ascii="Arial" w:hAnsi="Arial"/>
          <w:sz w:val="16"/>
        </w:rPr>
        <w:t>557.01  DAFMAN ۳۶-۲۹۰۵، برنامه آمادگی جسمانی نیروی هوایی، ۲۱ آوریل ۲۰۲۲ دودی ۶۴۹۰.۰۸، الزامات اعلان فرمان برای از بین بردن انگ در ارائه مراقبت از سلامت روان به اعضای نیروهای مسلح، ۶ سپتامبر ۲۰۲۳. راهنمای رژیم غذایی آمریکایی۳۰ برنامه تناسب اندام/ترکیب بدن، ۱۰ مارس ۲۰۲۲ میپلات، ایمنی مکمل عملیات وزارت کشاورزی ایالات متحده</w:t>
      </w:r>
    </w:p>
    <w:p>
      <w:pPr>
        <w:spacing w:after="28" w:line="216" w:lineRule="auto"/>
        <w:ind w:left="259"/>
        <w:jc w:val="left"/>
      </w:pPr>
      <w:r>
        <w:rPr>
          <w:rFonts w:ascii="Arial" w:hAnsi="Arial"/>
          <w:color w:val="525252"/>
          <w:sz w:val="13"/>
        </w:rPr>
        <w:t>DAFMAN 36-2905, Air Force Physical Fitness Program, 21 April 2022 DoDI 6490.08, Command Notification Requirements to Dispel Stigma in Providing Mental Health Care to Service Members, 6 September 2023 Dietary Guidelines for Americans DoDI 1308.03, DoD Physical Fitness/Body Composition Program, 10 March 2022 MyPlate, U.S. Department of Agriculture Operation Supplement Safety</w:t>
      </w:r>
    </w:p>
    <w:p>
      <w:pPr>
        <w:spacing w:before="60" w:after="28"/>
        <w:jc w:val="right"/>
        <w:bidi/>
      </w:pPr>
      <w:r>
        <w:rPr>
          <w:b/>
          <w:color w:val="1F4D78"/>
          <w:sz w:val="18"/>
        </w:rPr>
        <w:t>فصل 23، لباس و ظاهر</w:t>
      </w:r>
    </w:p>
    <w:p>
      <w:pPr>
        <w:spacing w:after="20"/>
        <w:ind w:left="259"/>
        <w:jc w:val="left"/>
      </w:pPr>
      <w:r>
        <w:rPr>
          <w:color w:val="555555"/>
          <w:sz w:val="12"/>
        </w:rPr>
        <w:t>Chapter 23, Dress and Appearance</w:t>
      </w:r>
    </w:p>
    <w:p>
      <w:pPr>
        <w:spacing w:after="20" w:line="223" w:lineRule="auto"/>
        <w:jc w:val="right"/>
        <w:bidi/>
      </w:pPr>
      <w:r>
        <w:rPr>
          <w:rFonts w:ascii="Arial" w:hAnsi="Arial"/>
          <w:sz w:val="16"/>
        </w:rPr>
        <w:t>557.03  AFI ۱-۱، استانداردهای نیروی هوایی، ۱۷ آگوست ۲۰۲۳ DAFMAN ۱۱-۴۱۵، برنامه‌های سلاح و تاکتیک، ۱ آگوست ۲۰۲۳ DAFI ۳۶-۲۹۰۳، لباس و ظاهر شخصی پرسنل نیروی هوایی، ۲۹-۲۹ فوریه ۳۰ DAFI ۲۰۲۰ میل۳۰ FI۲۶. حقوق، ۶ آوریل ۲۰۲۳ وزارت دفاع ۱۳۴۴.۱۰، فعالیت‌های سیاسی توسط اعضای نیروهای مسلح، ۱۹ فوریه ۲۰۰۸</w:t>
      </w:r>
    </w:p>
    <w:p>
      <w:pPr>
        <w:spacing w:after="28" w:line="216" w:lineRule="auto"/>
        <w:ind w:left="259"/>
        <w:jc w:val="left"/>
      </w:pPr>
      <w:r>
        <w:rPr>
          <w:rFonts w:ascii="Arial" w:hAnsi="Arial"/>
          <w:color w:val="525252"/>
          <w:sz w:val="13"/>
        </w:rPr>
        <w:t>AFI 1-1, Air Force Standards, 17 August 2023 DAFMAN 11-415, Weapons and Tactics Programs, 1 August 2023 DAFI 36-2903, Dress and Personal Appearance of Air Force Personnel, 29 February 2024 DAFI 36-3012, Military Entitlements, 6 April 2023 DoDD 1344.10, Political Activities by Members of the Armed Forces, 19 February 2008</w:t>
      </w:r>
    </w:p>
    <w:p>
      <w:pPr>
        <w:spacing w:before="60" w:after="28"/>
        <w:jc w:val="right"/>
        <w:bidi/>
      </w:pPr>
      <w:r>
        <w:rPr>
          <w:b/>
          <w:color w:val="1F4D78"/>
          <w:sz w:val="18"/>
        </w:rPr>
        <w:t>فصل 24، آداب و رسوم نظامی و ادب</w:t>
      </w:r>
    </w:p>
    <w:p>
      <w:pPr>
        <w:spacing w:after="20"/>
        <w:ind w:left="259"/>
        <w:jc w:val="left"/>
      </w:pPr>
      <w:r>
        <w:rPr>
          <w:color w:val="555555"/>
          <w:sz w:val="12"/>
        </w:rPr>
        <w:t>Chapter 24, Military Customs and Courtesies</w:t>
      </w:r>
    </w:p>
    <w:p>
      <w:pPr>
        <w:spacing w:after="20" w:line="223" w:lineRule="auto"/>
        <w:jc w:val="right"/>
        <w:bidi/>
      </w:pPr>
      <w:r>
        <w:rPr>
          <w:rFonts w:ascii="Arial" w:hAnsi="Arial"/>
          <w:sz w:val="16"/>
        </w:rPr>
        <w:t>557.05  AFI ۱-۱، استانداردهای نیروی هوایی، ۱۷ اوت ۲۰۲۳ DAFI ۳۶-۲۸۰۶، جوایز نظامی: معیارها و رویه‌ها، ۲۷ اکتبر ۲۰۲۲ د۹۰-۱۲۰۲۸ اکتبر ۴DAFI ۳۶-۲۶۰۶ ایالات متحده برای سربازی مجدد، سربازی مجدد در ایالات متحده۲ ۲۰۲۴ DAFI ۳۶-۳۱۰۶، برنامه فعالیت‌های بازنشستگان، ۷ مه ۲۰۲۴ AFMAN ۳۳-۳۲۶، آماده‌سازی ارتباطات رسمی، ۳۱ ژوئیه ۲۰۱۹ AFPAM ۳۴-۱۲۰۲، راهنمای پروتکل، ۸ مه ۲۰۱۹، ۲۹ ژانویه ۲۰۱۹، خدمات بازنشستگی ۳۹۳، DAFI۲۰ ۲۰۲۱ DAFI ۶۵-۶۰۱، جلد ۱، راهنمای بودجه و رویه‌ها، ۲۲ ژوئن ۲۰۲۲ DAFMAN ۳۴-۱۲۰۳، تمرینات و تشریفات، ۱۳ سپتامبر ۲۰۲۲ راهنمای وزارت دفاع، اطلاعات و دستورالعمل‌های مهم درباره استفاده از مهر و موم‌های وزارت دفاع، مهر و موم‌های وزارت دفاع، نشان‌واره وزارت دفاع۱، مهر و موم‌های دفاعی، اکتبر۶ دودی۵۵۳۵.۱۲_DAFI۳۵-۱۱۴، برنامه صدور مجوز برند و علامت تجاری نیروی هوایی، ۳ فوریه عنوان ۴، ایالات متحده آمریکا، پرچم و مهر، مقر دولت، و ایالات، ۳۱ اکتبر ۱۹۵۱.</w:t>
      </w:r>
    </w:p>
    <w:p>
      <w:pPr>
        <w:spacing w:after="28" w:line="216" w:lineRule="auto"/>
        <w:ind w:left="259"/>
        <w:jc w:val="left"/>
      </w:pPr>
      <w:r>
        <w:rPr>
          <w:rFonts w:ascii="Arial" w:hAnsi="Arial"/>
          <w:color w:val="525252"/>
          <w:sz w:val="13"/>
        </w:rPr>
        <w:t>AFI 1-1, Air Force Standards, 17 August 2023 DAFI 36-2806, Military Awards: Criteria and Procedures, 27 October 2022 D90-12028October4DAFI 36-2606, Reenlistment and Extension of Enlistment in the United States Air Force, 22 May 2024 DAFI 36-3106, Retiree Activities Program, 7 May 2024 AFMAN 33-326, Preparing Official Communications, 31 July 2019 AFPAM 34-1202, Guide to Protocol, 8 May 2019 DAFI 36-3203, Service Retirements, 29 January 2021 DAFI 65-601, Volume 1, Budget Guidance and Procedures, 22 June 2022 DAFMAN 34-1203, Drill and Ceremonies, 13 September 2022 DoD Guide, Important Information and Guidelines About the Use of Department of Defense Seals, Logos, Insignia, and Service Medals, Department of Defense Community, 16 October DoDI5535.12_DAFI35-114, Air Force Branding and Trademark Licensing Program, 3 February Title 4, U.S.C., Flag and Seal, Seat of Government, and the States, 31 October 1951.</w:t>
      </w:r>
    </w:p>
    <w:p>
      <w:pPr>
        <w:spacing w:after="20" w:line="223" w:lineRule="auto"/>
        <w:jc w:val="right"/>
        <w:bidi/>
      </w:pPr>
      <w:r>
        <w:rPr>
          <w:rFonts w:ascii="Arial" w:hAnsi="Arial"/>
          <w:sz w:val="16"/>
        </w:rPr>
        <w:t>557.06  عنوان ۱۰، و.س.ک.، نیروهای مسلح، ۵ اکتبر ۱۹۹۴ عنوان ۳۶، و.س.ک.، مراسم میهنی و ملی، تشریفات و سازمان‌ها، ۱۸ دسامبر ۲۰۱۴</w:t>
      </w:r>
    </w:p>
    <w:p>
      <w:pPr>
        <w:spacing w:after="28" w:line="216" w:lineRule="auto"/>
        <w:ind w:left="259"/>
        <w:jc w:val="left"/>
      </w:pPr>
      <w:r>
        <w:rPr>
          <w:rFonts w:ascii="Arial" w:hAnsi="Arial"/>
          <w:color w:val="525252"/>
          <w:sz w:val="13"/>
        </w:rPr>
        <w:t>Title 10, U.S.C., Armed Forces, 5 October 1994 Title 36, U.S.C., Patriotic and National Observances, Ceremonies, and Organizations, 18 December 2014</w:t>
      </w:r>
    </w:p>
    <w:p>
      <w:pPr>
        <w:spacing w:before="60" w:after="28"/>
        <w:jc w:val="right"/>
        <w:bidi/>
      </w:pPr>
      <w:r>
        <w:rPr>
          <w:b/>
          <w:color w:val="1F4D78"/>
          <w:sz w:val="18"/>
        </w:rPr>
        <w:t>پیوست 4</w:t>
      </w:r>
    </w:p>
    <w:p>
      <w:pPr>
        <w:spacing w:after="20"/>
        <w:ind w:left="259"/>
        <w:jc w:val="left"/>
      </w:pPr>
      <w:r>
        <w:rPr>
          <w:color w:val="555555"/>
          <w:sz w:val="12"/>
        </w:rPr>
        <w:t>Attachment 4</w:t>
      </w:r>
    </w:p>
    <w:p>
      <w:pPr>
        <w:spacing w:after="20" w:line="223" w:lineRule="auto"/>
        <w:jc w:val="right"/>
        <w:bidi/>
      </w:pPr>
      <w:r>
        <w:rPr>
          <w:rFonts w:ascii="Arial" w:hAnsi="Arial"/>
          <w:sz w:val="16"/>
        </w:rPr>
        <w:t>557.08  فرمان اجرایی ۹۹۸۱، حذف تبعیض از نیروهای مسلح، ۲۶ ژوئیه ۱۹۴۸ فرم‌های تصویب شده AF فرم ۱۰ا، پرونده اطلاعات پرسنل، سابقه عملکرد. فرم ۶۳ AF گروه انتخاب فرماندهی افسر (پوشه)، بیانیه قدردانی تعهد خدمات وظیفه فعال (ADSC) فرم ۷۷ DAF، نامه ارزیابی DAF فرم ۱۰۸، بخش آموزش آمادگی جسمانی نیروی هوایی و پردازش مداخله DD فرم ۱۴۹ نسخه آزمایشی نسخه آزمایشی درخواست ۱۰، کد ایالات متحده، بخش ۱۵۵۲ AETC فرم ۱۵۶، گزارش آموزش دانشجویی فرم ۱۷۴ DAF، سابقه مشاوره فردی</w:t>
      </w:r>
    </w:p>
    <w:p>
      <w:pPr>
        <w:spacing w:after="28" w:line="216" w:lineRule="auto"/>
        <w:ind w:left="259"/>
        <w:jc w:val="left"/>
      </w:pPr>
      <w:r>
        <w:rPr>
          <w:rFonts w:ascii="Arial" w:hAnsi="Arial"/>
          <w:color w:val="525252"/>
          <w:sz w:val="13"/>
        </w:rPr>
        <w:t>Executive Order 9981, Desegregation of the Armed Forces, 26 July 1948 Adopted Forms AF Form 10A, Personnel Information File, Record of Performance; Officer Command Selection Record Group (Folder) AF Form 63, Active Duty Service Commitment (ADSC) Acknowledgement Statement DAF Form 77, Letter of Evaluation DAF Form 108, Department of the Air Force Fitness Education and Intervention Processing DD Form 149, Application for Correction of Military Record Under the Provisions of Title 10, United States Code, Section 1552 AETC Form 156, Student Training Report DAF Form 174, Record of Individual Counseling</w:t>
      </w:r>
    </w:p>
    <w:p>
      <w:r>
        <w:br w:type="page"/>
      </w:r>
    </w:p>
    <w:p>
      <w:pPr>
        <w:spacing w:after="60"/>
        <w:jc w:val="right"/>
        <w:bidi/>
      </w:pPr>
      <w:r>
        <w:rPr>
          <w:rFonts w:ascii="Arial" w:hAnsi="Arial"/>
          <w:b/>
          <w:color w:val="1F4D78"/>
          <w:sz w:val="19"/>
        </w:rPr>
        <w:t>هفتهٔ 558  |  صفحهٔ منبع: 574</w:t>
      </w:r>
    </w:p>
    <w:p>
      <w:pPr>
        <w:spacing w:after="20" w:line="223" w:lineRule="auto"/>
        <w:jc w:val="right"/>
        <w:bidi/>
      </w:pPr>
      <w:r>
        <w:rPr>
          <w:rFonts w:ascii="Arial" w:hAnsi="Arial"/>
          <w:sz w:val="16"/>
        </w:rPr>
        <w:t>558.01  DD فرم ۲۰۰، بررسی مسئولیت مالی در مورد از دست دادن دارایی SF ۱۸۲، مجوز، موافقتنامه و گواهی آموزش DD فرم ۲۹۳، درخواست بررسی تخلیه از نیروهای مسلح ایالات متحده AF فرم ۳۳۲، پایگاه DD کیویلیفیکاتیون وورکر۷افم فرم ۴۱۸، برنامه استخدام مجدد انتخابی (SRP) در نظر گرفتن/انکار ادامه خدمت برای هوانوردان AF فرم ۴۲۲، اعلان وضعیت صلاحیت عضو نیروی هوایی DD فرم ۴۴۸، درخواست خرید بین بخشی نظامی DAF فرم ۴۷۵، گزارش آموزش/افزایش آموزش و پرورش ۴۹، گزارش AFM فورمتیینگ۴ فرم ۶۲۳، پوشه سوابق آموزشی انفرادی DAF فرم ۶۲۳ا، برگه ادامه سوابق آموزش حین کار SF ۷۰۱، چک لیست امنیت فعالیت DFAS فرم ۷۰۲، مرخصی نظامی و خدمات حسابداری دفاعی و خدمات حسابداری (SF ۷۰ سکرت شیت توپ،SF۴،SF ۷۰ برگه) SF ۷۰۵، محرمانه (برگ جلد) DAF فرم ۷۰۷، گزارش عملکرد افسر (لت ترو کول) فرم ۷۰۹ DAF، فرم توصیه ارتقاء AF ۷۱۶، فرم ۷۲۴ عملکرد مختصر-CMSgt AF، عضو نیروی هوایی کومپرهنسیو وورکشیتس ۷۲۴-ا، ضمیمه ارزیابی جامع هوانوردی فرم DAF ۷۹۷، ادامه استاندارد صلاحیت شغلی/فرمان JQS DAF فرم ۸۰۳، گزارش ارزیابی وظایف فرم DAF ۸۴۷، توصیه برای تغییر نشریه فرم DAF ۹۱۰، گزارش ۹۱۰، ابگترافتس گزارش عملکرد ثبت‌نام (MSgt از طریق SMSgt) DAF فرم ۹۱۲، گزارش عملکرد ثبت‌نام (CMSgt) AF فرم ۹۳۱، کاربرگ ارزیابی جامع عضو نیروی هوایی (AB تا TSgt) AF فرم ۹۳۲، برگه ارزیابی جامع عضو نیروی هوایی، کاربرگ ارزیابی جامع عضو نیروی هوایی برای تصحیح/حذف گزارش‌های ارزیابی DAF فرم ۹۸۸، فرم درخواست/مجوز DAF فرم ۱۰۵۸، اقدامات فایل اطلاعات نامطلوب DAF فرم ۱۰۹۸، گواهی‌نامه وظایف ویژه و آموزش مکرر DAF فرم ۱۱۳۷، اطلاعات نامطلوب برای فایل فرعی ۱۱۳۷، اطلاعات نامطلوب فرم AF ۱۷۶۸، برگه خلاصه کارکنان DD فرم ۲۶۵۶، داده‌های مربوط به پرداخت پرسنل بازنشسته DD فرم ۲۸۷۵، درخواست دسترسی مجوز سیستم AF فرم ۳۰۷۰ا، سوابق رسیدگی‌های مجازات غیرقانونی (AB تا SSgt) شماره AF۷۰بونجودیینگس فرم ثبت ۳۰ (TSgt ترو CMSgt) AF فرم ۳۰۷۰ک، سابقه رسیدگی به مجازات غیرقانونی (افسر) فرم DAF ۴۴۲۸، خالکوبی/برند/نشان‌گذاری بدن فرم ۴۴۴۶، ارزیابی تناسب اندام نیروی هوایی، امتیاز ارزیابی نیروی هوایی، فورمایتیکال۴۴ پرسشنامه غربالگری (FSQ) SGLV فرم ۸۲۸۶، انتخابات و گواهینامه بیمه عمر گروهی اعضای خدمات</w:t>
      </w:r>
    </w:p>
    <w:p>
      <w:pPr>
        <w:spacing w:after="28" w:line="216" w:lineRule="auto"/>
        <w:ind w:left="259"/>
        <w:jc w:val="left"/>
      </w:pPr>
      <w:r>
        <w:rPr>
          <w:rFonts w:ascii="Arial" w:hAnsi="Arial"/>
          <w:color w:val="525252"/>
          <w:sz w:val="13"/>
        </w:rPr>
        <w:t>DD Form 200, Financial Liability Investigation of Property Loss SF 182, Authorization, Agreement and Certification of Training DD Form 293, Application for the Review of Discharge from the Armed Forces of the United States AF Form 332, Base Civil Engineer Work Request DAF Form 357, Family Care Certification DAF Form 418, Selective Reenlistment Program (SRP) Consideration/Denial of Continued Service for Airmen AF Form 422, Notification of Air Force Member’s Qualification Status DD Form 448, Military Interdepartmental Purchase Request DAF Form 475, Education/Training Report AF Form 469, Duty Limiting Condition Report DAF Form 623, Individual Training Record Folder DAF Form 623A, On-the-Job Training Record-Continuation Sheet SF 701, Activity Security Checklist DFAS Form 702, Defense Finance and Accounting Service Military Leave and Earnings Statement SF 703, Top Secret (Cover Sheet) SF 704, Secret (Cover Sheet) SF 705, Confidential (Cover Sheet) DAF Form 707, Officer Performance Report (Lt thru Col) DAF Form 709, Promotion Recommendation AF Form 716, Enlisted Performance Brief-CMSgt AF Form 724, Airman Comprehensive Assessment Worksheet (2Lt thru Col) AF Form 724-A, Airman Comprehensive Assessment Addendum DAF Form 797, Job Qualification Standard Continuation/Command JQS DAF Form 803, Report of Task Evaluations DAF Form 847, Recommendation for Change of Publication DAF Form 910, Enlisted Performance Report (AB thru TSgt) DAF Form 911, Enlisted Performance Report (MSgt thru SMSgt) DAF Form 912, Enlisted Performance Report (CMSgt) AF Form 931, Airman Comprehensive Assessment Worksheet (AB thru TSgt) AF Form 932, Airman Comprehensive Assessment Worksheet (MSgt thru CMSgt) DAF Form 948, Application for Correction/Removal of Evaluation Reports DAF Form 988, Leave Request/Authorization DAF Form 1058, Unfavorable Information File Actions DAF Form 1098, Special Task Certification and Recurring Training DAF Form 1137, Unfavorable Information File Summary DD Form 1351-2, Travel Voucher or Subvoucher AF Form 1768, Staff Summary Sheet DD Form 2656, Data for Payment of Retired Personnel DD Form 2875, System Authorization Access Request AF Form 3070A, Record of Nonjudicial Punishment Proceedings (AB thru SSgt) AF Form 3070B, Record of Nonjudicial Punishment Proceedings (TSgt thru CMSgt) AF Form 3070C, Record of Nonjudicial Punishment Proceedings (Officer) DAF Form 4428, Tattoo/Brand/Body Marking Screening/Verification DAF Form 4446, Air Force Fitness Assessment Scorecard DAF Form 4446A, Air Force Physical Fitness Screening Questionnaire (FSQ) SGLV Form 8286, Servicemembers’ Group Life Insurance Election and Certificate</w:t>
      </w:r>
    </w:p>
    <w:p>
      <w:r>
        <w:br w:type="page"/>
      </w:r>
    </w:p>
    <w:p>
      <w:pPr>
        <w:spacing w:after="60"/>
        <w:jc w:val="right"/>
        <w:bidi/>
      </w:pPr>
      <w:r>
        <w:rPr>
          <w:rFonts w:ascii="Arial" w:hAnsi="Arial"/>
          <w:b/>
          <w:color w:val="1F4D78"/>
          <w:sz w:val="19"/>
        </w:rPr>
        <w:t>هفتهٔ 559  |  صفحهٔ منبع: 576</w:t>
      </w:r>
    </w:p>
    <w:p>
      <w:pPr>
        <w:spacing w:after="20" w:line="223" w:lineRule="auto"/>
        <w:jc w:val="right"/>
        <w:bidi/>
      </w:pPr>
      <w:r>
        <w:rPr>
          <w:rFonts w:ascii="Arial" w:hAnsi="Arial"/>
          <w:sz w:val="16"/>
        </w:rPr>
        <w:t>559.01  اختصارات و حروف اختصاری ا&amp;پ—ایرفرام &amp; پوورپلانت ا&amp;س—اکقویسیتیون &amp; سوستاینمنت ا۱—مانپوور اند پرسوننل ا۱ک—عضو نیروی هوایی فیرست کلاسس AAFES—ارمی نیروی هوایی کسچانگ سرویک AB—عضو نیروی هوایی باسیک ABM—عضو نیروی هوایی باسیک ABM—انتی-باللیستیک ABM، کومباتیر میسس اسکورت ADAPT—پیشگیری و درمان سوءمصرف الکل و مواد مخدر ADCON—کنترل اداری ADTC—نمودار توسعه و آزمایش هواپیمای AEHF—AETC با فرکانس بسیار پیشرفته پیشرفته—فرمان آموزش و آموزش هوایی AFB—پایگاه نیروی هوایی AFH—دستورالعمل نیروی هوایی AFH- فورکنیروی هواییایر هیئت تصحیح سوابق نظامی AFCEC—مرکز مهندسی عمران نیروی هوایی AFCFM—مدیر میدانی شغلی نیروی هوایی AFCMRS—سیستم کاهش تصادفات ترکیبی نیروی هوایی AFCOOL—فرصت‌های اعتبارسنجی نیروی هوایی بر روی خط AFDD—دکترین نیروی هوایی—اسناد عمومی نیروی هوایی دوکترین فورکافدد ناحیه واشنگتن AFECD—دایرکتوری طبقه بندی فهرست شده نیروی هوایی AFGSC—فرماندهی حمله جهانی نیروی هوایی AFH—دفترچه راهنمای نیروی هوایی AFI—دستورالعمل نیروی هوایی AFIA—آژانس بازرسی نیروی هوایی AFIS—سیستم بازرسی نیروی هوایی AFIT—موسسه فناوری نیروی هوایی</w:t>
      </w:r>
    </w:p>
    <w:p>
      <w:pPr>
        <w:spacing w:after="28" w:line="216" w:lineRule="auto"/>
        <w:ind w:left="259"/>
        <w:jc w:val="left"/>
      </w:pPr>
      <w:r>
        <w:rPr>
          <w:rFonts w:ascii="Arial" w:hAnsi="Arial"/>
          <w:color w:val="525252"/>
          <w:sz w:val="13"/>
        </w:rPr>
        <w:t>Abbreviations and Acronyms A&amp;P—Airframe &amp; Powerplant A&amp;S—Acquisition &amp; Sustainment A1—Manpower and Personnel A1C—Airman First Class AAFES—Army Air Force Exchange Service AB—Airman Basic ABM— Anti-Ballistic Missile ACC—Air Combat Command ACE—Ask, Care, and Escort ADAPT—Alcohol and Drug Abuse Prevention and Treatment ADCON—Administrative Control ADTC—Airman Development and Testing Chart AEHF—Advanced Extremely High Frequency AETC—Air Education and Training Command AFB—Air Force Base AFH—Air Force Handbook AFI—Air Force Instruction AFBCMR—Air Force Board for Correction of Military Records AFCEC—Air Force Civil Engineer Center AFCFM—Air Force Career Field Manager AFCMRS—Air Force Combined Mishap Reduction System AFCOOL—Air Force Credentialing Opportunities On-Line AFDD—Air Force Doctrine Documents AFDP—Air Force Doctrine Publication AFDW—Air Force District of Washington AFECD—Air Force Enlisted Classification Directory AFGSC—Air Force Global Strike Command AFH—Air Force Handbook AFI—Air Force Instruction AFIA—Air Force Inspection Agency AFIS—Air Force Inspection System AFIT—Air Force Institute of Technology</w:t>
      </w:r>
    </w:p>
    <w:p>
      <w:r>
        <w:br w:type="page"/>
      </w:r>
    </w:p>
    <w:p>
      <w:pPr>
        <w:spacing w:after="60"/>
        <w:jc w:val="right"/>
        <w:bidi/>
      </w:pPr>
      <w:r>
        <w:rPr>
          <w:rFonts w:ascii="Arial" w:hAnsi="Arial"/>
          <w:b/>
          <w:color w:val="1F4D78"/>
          <w:sz w:val="19"/>
        </w:rPr>
        <w:t>هفتهٔ 560  |  صفحهٔ منبع: 577</w:t>
      </w:r>
    </w:p>
    <w:p>
      <w:pPr>
        <w:spacing w:after="20" w:line="223" w:lineRule="auto"/>
        <w:jc w:val="right"/>
        <w:bidi/>
      </w:pPr>
      <w:r>
        <w:rPr>
          <w:rFonts w:ascii="Arial" w:hAnsi="Arial"/>
          <w:sz w:val="16"/>
        </w:rPr>
        <w:t>560.01  AFJROTC — نیروی هوایی آموزش افسران ذخیره جوان نیروی هوایی AFJQS — استاندارد صلاحیت شغلی نیروی هوایی AFMAN — دفترچه راهنمای نیروی هوایی AFMC — فرماندهی مواد نیروی هوایی AFMETCAL — نیروی هوایی نیروی هوایی مترولوژی و کالیبراسیون اداره کل افوکدرنیروی هوایی تحقیقات AFPAM— جزوه نیروی هوایی AFPC—مرکز پرسنل نیروی هوایی AFPD—دستورالعمل خط‌مشی نیروی هوایی AFRH—خانه بازنشستگان نیروهای مسلح AFR—رزرو نیروی هوایی AFRC—فرماندهی رزرو نیروی هوایی AFRS—سرویس استخدام نیروی هوایی کد AFSOC—فرماندهی عملیات ویژه نیروی هوایی AFSPC—فرماندهی فضایی نیروی هوایی AFW۲—جنگجوی مجروح نیروی هوایی ALERTORD—دستور هشدار ALS—مدرسه رهبری هوانوردی ALS-BLC—مدرسه رهبری هوانوردی مدرسه آموزش ترکیبی ALS-دللادرشیپ لادرانک—عضو نیروی هوایی لادرشیپ سچول-عضو نیروی هوایی ویژگی‌های AMC—ایر موبیلیتی کومماند AMT—اویاتیون ماینتنانک تچنیکیانس امن—عضو نیروی هوایی ANG—ایر گوارد ناتیونال AOC—ایر وپراتیونس کنتر APC—اگنکی پروگرام کوردیناتور ARMS—اوتوماتد رکوردس ماناگمنت سیستم ASAT—انتی-ساتللیت AU—عضو نیروی هوایی ANG—ایر ونیتد پروگرامم-اکک.ایر</w:t>
      </w:r>
    </w:p>
    <w:p>
      <w:pPr>
        <w:spacing w:after="28" w:line="216" w:lineRule="auto"/>
        <w:ind w:left="259"/>
        <w:jc w:val="left"/>
      </w:pPr>
      <w:r>
        <w:rPr>
          <w:rFonts w:ascii="Arial" w:hAnsi="Arial"/>
          <w:color w:val="525252"/>
          <w:sz w:val="13"/>
        </w:rPr>
        <w:t>AFJROTC—Air Force Junior Reserve Officer Training Corps AFJQS—Air Force Job Qualification Standard AFMAN—Air Force Manual AFMC—Air Force Materiel Command AFMETCAL—Air Force Metrology and Calibration AFOCD—Air Force Officer Classification Directory AFOSI—Air Force Office of Special Investigations AFPAM—Air Force Pamphlet AFPC—Air Force Personnel Center AFPD—Air Force Policy Directive AFRH—Armed Forces Retirement Home AFR—Air Force Reserve AFRC—Air Force Reserve Command AFRS—Air Force Recruiting Service AFSAS—Air Force Safety Automated System AFSC—Air Force Specialty Code AFSOC—Air Force Special Operations Command AFSPC—Air Force Space Command AFW2—Air Force Wounded Warrior ALERTORD—Alert Order ALS—Airman Leadership School ALS-BLC—Airman Leadership School Blended Learning ALS-DL—Airman Leadership School Distance Learning ALQ—Airman Leadership Qualities AMC—Air Mobility Command AMT—Aviation Maintenance Technicians Amn—Airman ANG—Air National Guard AOC—Air Operations Center APC—Agency Program Coordinator ARMS—Automated Records Management System ASAT—Anti-satellite AU—Air University AU-ABC—Air University Associate-to-Baccalaureate Cooperative Program</w:t>
      </w:r>
    </w:p>
    <w:p>
      <w:r>
        <w:br w:type="page"/>
      </w:r>
    </w:p>
    <w:p>
      <w:pPr>
        <w:spacing w:after="60"/>
        <w:jc w:val="right"/>
        <w:bidi/>
      </w:pPr>
      <w:r>
        <w:rPr>
          <w:rFonts w:ascii="Arial" w:hAnsi="Arial"/>
          <w:b/>
          <w:color w:val="1F4D78"/>
          <w:sz w:val="19"/>
        </w:rPr>
        <w:t>هفتهٔ 561  |  صفحهٔ منبع: 578</w:t>
      </w:r>
    </w:p>
    <w:p>
      <w:pPr>
        <w:spacing w:after="20" w:line="223" w:lineRule="auto"/>
        <w:jc w:val="right"/>
        <w:bidi/>
      </w:pPr>
      <w:r>
        <w:rPr>
          <w:rFonts w:ascii="Arial" w:hAnsi="Arial"/>
          <w:sz w:val="16"/>
        </w:rPr>
        <w:t>561.01  AUSIS—سیستم اطلاعات دانشجویی دانشگاه هوایی AFVEC—مرکز آموزش مجازی نیروی هوایی BCA—ارزیابی ترکیب بدن BCIP—برنامه بهبود ترکیب بدن BCP—برنامه ترکیب بدن BCM—مدیر ترکیب بدن BRS—سیستم بازنشستگی ترکیبی ک-MAJCOM-کومپوننت ایرکومپوننت-کومپوننت ک۲ - فرماندهی و کنترل CAF - CAFSC جامع تناسب اندام هوانورد - CAP کد تخصصی نیروی هوایی کنترل - CAT گشت هوایی غیرنظامی - CATM تیم اقدام بحران - آموزش و نگهداری تسلیحات رزمی CBD - کاننابیدیول CBRN - شیمیایی، بیولوژیکی، رادیولوژیک، کالج هوایی CCIP، نیروی هوایی برنامه بازرسی CCM - فرماندهی ارشد گروهبان CCMD - فرماندهی رزمی CES - اسکادران مهندس عمران CDC - دوره توسعه شغلی CEM - مدیر استخدام شده ارشد CFETP - برنامه آموزشی و تربیتی میدانی شغلی CI - بهبود مستمر CJCS - رئیس هیئت مدیره CJCS - رئیس سازمان همکاری مشترک دستورالعمل رئیس ستاد CJCSM- رئیس، راهنمای رئیس ستاد مشترک CJR- رزرو شغل شغلی CLC- دوره رهبری ارشد CLEP-برنامه آزمون در سطح دانشگاه CLRC- کرانچ معکوس پاهای متقاطع CMSAF-سرگروهبان ارشد نیروی هوایی</w:t>
      </w:r>
    </w:p>
    <w:p>
      <w:pPr>
        <w:spacing w:after="28" w:line="216" w:lineRule="auto"/>
        <w:ind w:left="259"/>
        <w:jc w:val="left"/>
      </w:pPr>
      <w:r>
        <w:rPr>
          <w:rFonts w:ascii="Arial" w:hAnsi="Arial"/>
          <w:color w:val="525252"/>
          <w:sz w:val="13"/>
        </w:rPr>
        <w:t>AUSIS—Air University Student Information System AFVEC—Air Force Virtual Education Center BCA—Body Composition Assessment BCIP—Body Composition Improvement Program BCP—Body Composition Program BCM—Body Composition Manager BRS—Blended Retirement System C-MAJCOM—Component Major Command C-NAF—Component Numbered Air Force C2—Command and Control CAF—Comprehensive Airman Fitness CAFSC—Control Air Force Specialty Code CAP—Civil Air Patrol CAT—Crisis Action Team CATM—Combat Arms Training and Maintenance CBD—Cannabidiol CBRN—Chemical, Biological, Radiological, Nuclear CCAF—Community College of the Air Force CCIP—Commander’s Inspection program CCM—Command Chief Master Sergeant CCMD—Combatant Command CES—Civil Engineer Squadron CDC—Career Development Course CEM—Chief Enlisted Manager CFETP—Career Field Education and Training Plan CI—Continuous Improvement CJCS—Chairman, Joint Chiefs of Staff CJCSI—Chairman of the Joint Chiefs of Staff Instruction CJCSM—Chairman, Joint Chiefs of Staff Manual CJR—Career Job Reservation CLC—Chief Leadership Course CLEP—College-Level Examination Program CLRC—Cross Leg Reverse Crunch CMSAF—Chief Master Sergeant of the Air Force</w:t>
      </w:r>
    </w:p>
    <w:p>
      <w:r>
        <w:br w:type="page"/>
      </w:r>
    </w:p>
    <w:p>
      <w:pPr>
        <w:spacing w:after="60"/>
        <w:jc w:val="right"/>
        <w:bidi/>
      </w:pPr>
      <w:r>
        <w:rPr>
          <w:rFonts w:ascii="Arial" w:hAnsi="Arial"/>
          <w:b/>
          <w:color w:val="1F4D78"/>
          <w:sz w:val="19"/>
        </w:rPr>
        <w:t>هفتهٔ 562  |  صفحهٔ منبع: 579</w:t>
      </w:r>
    </w:p>
    <w:p>
      <w:pPr>
        <w:spacing w:after="20" w:line="223" w:lineRule="auto"/>
        <w:jc w:val="right"/>
        <w:bidi/>
      </w:pPr>
      <w:r>
        <w:rPr>
          <w:rFonts w:ascii="Arial" w:hAnsi="Arial"/>
          <w:sz w:val="16"/>
        </w:rPr>
        <w:t>562.01  CMSgt-سرگروهبان ارشد CMSSF-سرگروهبان ارشد نیروی فضایی CO-عملیات فضای سایبری COA-دوره اقدام COCOM-فرماندهی رزمی (مقام فرماندهی) COLPRO-سیستم حفاظت جمعی COMAFFOR-نیروهای عملیاتی COA-کومماندر، CONUS - CPI قاره ایالات متحده - بهبود فرآیند مستمر CRAAP - واحد پول، ارتباط، اعتبار، دقت و هدف CSAF - رئیس ستاد، CUI نیروی هوایی ایالات متحده - اطلاعات طبقه بندی نشده کنترل شده DAF - اداره نیروی هوایی آژانس DAFIA - بخش سیاست نیروی هوایی DAFIA - بخش بازرسی نیروی هوایی دستورالعمل DANTES —فعالیت دفاعی برای پشتیبانی آموزش غیرسنتی DCMA—سازمان مدیریت قرارداد دفاعی DE—دیرکتد نرگی دکا—کمیسیون دفاعی آژانس DEROS—تاریخ واجد شرایط برای بازگشت از DFAS خارج از کشور—خدمات مالی و حسابداری دفاعی DFDU—دسرت فلیگهت دوتیدفدو—دسرت فلیگهت دوتی ونیفورمدفندسجمس آژانس لجستیک DLC—دوره‌های آموزش از راه دور DLPT—تست مهارت زبان دفاعی وزارت دفاع—دپارتمان دفاع وزارت دفاع—بخش دستورالعمل دفاعی دودفمر—بخش مقررات مدیریت مالی دفاعی دودی—دپارتمان دستورالعمل‌های دفاعی وزارت دفاع—دستورالعمل دپارتمان دفاعی DOTMLPF—دکترین، آموزش، آموزش، آموزش، آموزش، آموزش، آموزش و پرورش DRF-نیروی واکنش به بلایا</w:t>
      </w:r>
    </w:p>
    <w:p>
      <w:pPr>
        <w:spacing w:after="28" w:line="216" w:lineRule="auto"/>
        <w:ind w:left="259"/>
        <w:jc w:val="left"/>
      </w:pPr>
      <w:r>
        <w:rPr>
          <w:rFonts w:ascii="Arial" w:hAnsi="Arial"/>
          <w:color w:val="525252"/>
          <w:sz w:val="13"/>
        </w:rPr>
        <w:t>CMSgt—Chief Master Sergeant CMSSF—Chief Master Sergeant of the Space Force CO—Cyberspace Operations COA—Course of Action COCOM—Combatant Command (Command Authority) COLPRO—Collective Protective System COMAFFOR—Commander, Air Force Forces CONOPS—Concept of Operations CONUS—Continental United States CPI—Continuous Process Improvement CRAAP—Currency, Relevance, Authority, Accuracy, and Purpose CSAF—Chief of Staff, United States Air Force CUI—Controlled Unclassified Information DAF—Department of the Air Force DAFIA—Department of the Air Force Inspection Agency DAFPD—Department of the Air Force Policy Directive DANTES —Defense Activity for Nontraditional Education Support DCMA—Defense Contract Management Agency DE—Directed Energy DeCA—Defense Commissary Agency DEROS—Date Eligible for Return from Overseas DFAS—Defense Finance and Accounting Service DFDU—Desert Flight Duty Uniform DJMSAC—Defense Joint Military Pay System DLA—Defense Logistics Agency DLC—Distance Learning Courses DLPT—Defense Language Proficiency Test DoD—Department of Defense DoDD—Department of Defense Directive DoDFMR—Department of Defense Financial Management Regulation DoDI—Department of Defense Instruction DoDM—Department of Defense Manual DOTMLPF—Doctrine, Organization, Training, Material, Leadership and Education, Personnel, and Facilities DRF—Disaster Response Force</w:t>
      </w:r>
    </w:p>
    <w:p>
      <w:r>
        <w:br w:type="page"/>
      </w:r>
    </w:p>
    <w:p>
      <w:pPr>
        <w:spacing w:after="60"/>
        <w:jc w:val="right"/>
        <w:bidi/>
      </w:pPr>
      <w:r>
        <w:rPr>
          <w:rFonts w:ascii="Arial" w:hAnsi="Arial"/>
          <w:b/>
          <w:color w:val="1F4D78"/>
          <w:sz w:val="19"/>
        </w:rPr>
        <w:t>هفتهٔ 563  |  صفحهٔ منبع: 580</w:t>
      </w:r>
    </w:p>
    <w:p>
      <w:pPr>
        <w:spacing w:after="20" w:line="223" w:lineRule="auto"/>
        <w:jc w:val="right"/>
        <w:bidi/>
      </w:pPr>
      <w:r>
        <w:rPr>
          <w:rFonts w:ascii="Arial" w:hAnsi="Arial"/>
          <w:sz w:val="16"/>
        </w:rPr>
        <w:t>563.01  DRU—واحدهای گزارش مستقیم DSD—دولوپمنتال دوتی سپکیال DSE—دولوپمنتال کسپرینک سپکیال DSP—دفنس سوپپورت پروگرام DSST—دانتس سوبجکت ستانداردیزد تست DV—دیستینگویشد ویسیتور DVR—داتا وریفیکاتیون رکورد ECC—مرگنکی کوممونیکاتیونسکوممیسسیونسسنلیستد سیستم ارزیابی EFMP - برنامه اعضای خانواده استثنایی EJPME - آموزش نظامی مشترک حرفه‌ای EM - مدیریت اضطراری EMS - طیف الکترومغناطیسی EOD - EPB خنثی سازی مهمات انفجاری - EPMS عملکرد مختصر EPMS - سیستم مدیریت مجدد پرسنل استخدام شده کاتالوگ EQUAL—نلیستد قوارترلی اسسیگنمنتس لیست ETP—کسکپتیون تو پولیکی EXORD—کسکوتیون وردر ف&amp;ES— فیر اند مرگنکی سرویکس FAA—فدرال اویاتیون ادمینیستراتیون FAC—فیتنسس اسسسسمنت کلل FDU—فلیگهت دوتی ونیفورم فیکاین ینکومفدرال FMF کسر - مدیریت مالی پرواز FOA - آژانس‌های عملیاتی میدانی FPG - دستورالعمل‌های فقر فدرال FRAGORD - نظم تکه‌ای FRLD - توسعه رهبری طیف گسترده FWA - تقلب، اتلاف و سوء استفاده FYDP - برنامه دفاعی سال‌های آینده</w:t>
      </w:r>
    </w:p>
    <w:p>
      <w:pPr>
        <w:spacing w:after="28" w:line="216" w:lineRule="auto"/>
        <w:ind w:left="259"/>
        <w:jc w:val="left"/>
      </w:pPr>
      <w:r>
        <w:rPr>
          <w:rFonts w:ascii="Arial" w:hAnsi="Arial"/>
          <w:color w:val="525252"/>
          <w:sz w:val="13"/>
        </w:rPr>
        <w:t>DRU—Direct Reporting Units DSD—Developmental Special Duty DSE—Developmental Special Experience DSP—Defense Support Program DSST—Dantes Subject Standardized Test DV—Distinguished Visitor DVR—Data Verification Record ECC—Emergency Communications Center ECPS—Enlisted Commissioning Programs EES—Enlisted Evaluation System EFMP—Exceptional Family Member Program EJPME—Enlisted Joint Professional Military Education EM—Emergency Management EMS—Electromagnetic Spectrum EOD—Explosive Ordnance Disposal EPB—Enlisted Performance Brief EPMS—Enlisted Personnel Management System EPRRC—Enlisted Promotions References and Requirements Catalog EQUAL—Enlisted Quarterly Assignments Listing ETP—Exception to Policy EXORD—Execution Order F&amp;ES—Fire and Emergency Services FAA—Federal Aviation Administration FAC—Fitness Assessment Cell FDU—Flight Duty Uniform FICA—Federal Insurance Contributions Act FITW—Federal Income Tax Withholding FMF—Financial Management Flight FOA—Field Operating Agencies FPG—Federal Poverty Guidelines FRAGORD—Fragmentary Order FRLD—Full Range Leadership Development FWA—Fraud, Waste, and Abuse FYDP—Future Years Defense Program</w:t>
      </w:r>
    </w:p>
    <w:p>
      <w:r>
        <w:br w:type="page"/>
      </w:r>
    </w:p>
    <w:p>
      <w:pPr>
        <w:spacing w:after="60"/>
        <w:jc w:val="right"/>
        <w:bidi/>
      </w:pPr>
      <w:r>
        <w:rPr>
          <w:rFonts w:ascii="Arial" w:hAnsi="Arial"/>
          <w:b/>
          <w:color w:val="1F4D78"/>
          <w:sz w:val="19"/>
        </w:rPr>
        <w:t>هفتهٔ 564  |  صفحهٔ منبع: 581</w:t>
      </w:r>
    </w:p>
    <w:p>
      <w:pPr>
        <w:spacing w:after="20" w:line="223" w:lineRule="auto"/>
        <w:jc w:val="right"/>
        <w:bidi/>
      </w:pPr>
      <w:r>
        <w:rPr>
          <w:rFonts w:ascii="Arial" w:hAnsi="Arial"/>
          <w:sz w:val="16"/>
        </w:rPr>
        <w:t>564.01  GCM — دادگاه نظامی عمومی GEM — آموزش عمومی GHI موبایل — درآمد ناخالص خانوار GLINT — GPC تشدید کننده نور دردار — GPS رقابت قدرت‌های بزرگ — سیستم موقعیت یابی جهانی GSU — واحد جغرافیایی مجزا GTCC — هزینه مسافرت هوایی HGGTCC ایروبیک چند شاتل قهرمان - بهینه‌سازی سلامت و آمادگی HHQ - ستاد عالی HLR - بازبینی سطح بالاتر HRPU - فشار آزاد کردن دست IAAFA - آکادمی نیروی هوایی بین‌آمریکایی IAW - مطابق با IBA - صورت‌حساب‌های فردی IDA—ینیتیال دیسپوسیتیون اوتوریتی IG—ینسپکتور گنرال IGEMS—ینسپکتور والواتیون ماناگمنت سیستم IGY—ینترناتیونال گوفیسیکال یار ILE—ینترمدیات لادرشیپ کسپرینک IMA—یندیویدوال موبیلیزاتیون اوگمنتیس IMT—ینفورماتیون ماناگمنت تول INF—ینترمدیات-رانگ سیستمسایراکوارینستروکتیون عنصر هماهنگی مؤلفه JAOC - مرکز عملیات هوایی مشترک JCS - رئیس ستاد مشترک JER - مقررات اخلاقی مشترک JFACC - فرمانده مؤلفه هوایی نیروی مشترک JFC - فرمانده نیروی مشترک</w:t>
      </w:r>
    </w:p>
    <w:p>
      <w:pPr>
        <w:spacing w:after="28" w:line="216" w:lineRule="auto"/>
        <w:ind w:left="259"/>
        <w:jc w:val="left"/>
      </w:pPr>
      <w:r>
        <w:rPr>
          <w:rFonts w:ascii="Arial" w:hAnsi="Arial"/>
          <w:color w:val="525252"/>
          <w:sz w:val="13"/>
        </w:rPr>
        <w:t>GCM—General Court-Martial GEM—General Education Mobile GHI—Gross Household Income GLINT—Gated Light Intensifier GPC—Great Power Competition GPS—Global Positioning System GSU—Geographically Separate Unit GTCC—Government Travel Charge Card HAF—Headquarters Air Force HAMR—High Aerobic Multi-Shuttle HeRO—Health and Readiness Optimization HHQ—Higher Headquarters HLR—Higher Level Reviewer HRPU—Hand Release Push-up IAAFA—Inter-American Air Forces Academy IAW—In Accordance With IBA—Individually Billed Account IC—Installation Commander ICBM—Intercontinental Ballistic Missile IDA—Initial Disposition Authority IG—Inspector General IGEMS—Inspector General Evaluation Management System IGY—International Geophysical Year ILE—Intermediate Leadership Experience IMA—Individual Mobilization Augmentees IMT—Information Management Tool INF—Intermediate-Range Nuclear Forces ISD—Instructional Systems Development JACCE—Joint Air Component Coordination Element JAOC—Joint Air Operations Center JCS—Joint Chiefs of Staff JER—Joint Ethics Regulation JFACC—Joint Force Air Component Commander JFC—Joint Force Commander</w:t>
      </w:r>
    </w:p>
    <w:p>
      <w:r>
        <w:br w:type="page"/>
      </w:r>
    </w:p>
    <w:p>
      <w:pPr>
        <w:spacing w:after="60"/>
        <w:jc w:val="right"/>
        <w:bidi/>
      </w:pPr>
      <w:r>
        <w:rPr>
          <w:rFonts w:ascii="Arial" w:hAnsi="Arial"/>
          <w:b/>
          <w:color w:val="1F4D78"/>
          <w:sz w:val="19"/>
        </w:rPr>
        <w:t>هفتهٔ 565  |  صفحهٔ منبع: 582</w:t>
      </w:r>
    </w:p>
    <w:p>
      <w:pPr>
        <w:spacing w:after="20" w:line="223" w:lineRule="auto"/>
        <w:jc w:val="right"/>
        <w:bidi/>
      </w:pPr>
      <w:r>
        <w:rPr>
          <w:rFonts w:ascii="Arial" w:hAnsi="Arial"/>
          <w:sz w:val="16"/>
        </w:rPr>
        <w:t>565.01  JFHQ-NCR- ستاد نیروی مشترک-منطقه پایتخت ملی JP-انتشارات مشترک JPEC-جامعه برنامه‌ریزی و اجرای مشترک JSAMTCC-تکنسین تعمیر و نگهداری هواپیمایی خدمات مشترک شورای صدور گواهی JST-خدمات مشترک رونوشت تانسکریپتت-جتسکن فورکجوینت LEAP منطقه پایتخت ملی-برنامه هوانوردی با زبان فعال LEO- مدار پایین زمین LES- بیانیه ترک و درآمد LOAC-قانون درگیری مسلحانه LOE- نامه ارزیابی م&amp;FRC- مرکز آمادگی نظامی و خانواده MAJCOM- فرماندهی اصلی MCM-دستورالعملی برای دادگاه‌های مکفمماریتی مدیر عملکردی MGA—مناطق درجه‌بندی اصلی MICT—مجموعه ابزار کنترل داخلی مدیریت میلپدس—سیستم داده‌های پرسنل نظامی MOC—طبقه بندی‌های شغلی نظامی MOPP—مأموریت گرا وضعیت حفاظتی MSgt—استاد گروهبان MTI—نظام آموزش نظامی فورکماسترافمتلیست ناسا- آژانس ملی هوانوردی و فضایی ناتو- سازمان پیمان آتلانتیک شمالی افسر افسر NCO-DL- افسر غیر مأمور NCO-آموزش از راه دور NCOA- آکادمی افسر غیر مأمور NCOIC- افسر غیر مأمور NCR- قانون منطقه پایتخت ملی NDAA- مجوز دفاع ملی</w:t>
      </w:r>
    </w:p>
    <w:p>
      <w:pPr>
        <w:spacing w:after="28" w:line="216" w:lineRule="auto"/>
        <w:ind w:left="259"/>
        <w:jc w:val="left"/>
      </w:pPr>
      <w:r>
        <w:rPr>
          <w:rFonts w:ascii="Arial" w:hAnsi="Arial"/>
          <w:color w:val="525252"/>
          <w:sz w:val="13"/>
        </w:rPr>
        <w:t>JFHQ-NCR—Joint Force Headquarters-National Capital Region JP—Joint Publication JPEC—Joint Planning and Execution Community JSAMTCC—Joint Service Aviation Maintenance Technician Certification Council JST—Joint Services Transcript JTF—Joint Task Force JTF-NCR—Joint Task Force National Capital Region LEAP—Language Enabled Airman Program LEO—Low Earth Orbit LES—Leave and Earning Statement LOAC—Law of Armed Conflict LOE—Letter of Evaluation M&amp;FRC—Military and Family Readiness Center MAJCOM—Major Command MCM—Manual for Courts-Martial MCSS—Military Clothing Sales Store MFM—MAJCOM Functional Manager MGA—Major Graded Areas MICT—Management Internal Control Toolset MilPDS—Military Personnel Data System MOC—Military Occupational Classifications MOPP—Mission-Oriented Protective Posture MSgt—Master Sergeant MTI—Military Training Instructor MTL—Master Task List NAF—Numbered Air Force NASA—National Aeronautics and Space Agency NATO—North Atlantic Treaty Organization NCO—Noncommissioned Officer NCO-DL—Noncommissioned Officer Distance Learning NCOA—Noncommissioned Officer Academy NCOIC—Noncommissioned Officer in Charge NCR—National Capital Region NDAA—National Defense Authorization Act</w:t>
      </w:r>
    </w:p>
    <w:p>
      <w:r>
        <w:br w:type="page"/>
      </w:r>
    </w:p>
    <w:p>
      <w:pPr>
        <w:spacing w:after="60"/>
        <w:jc w:val="right"/>
        <w:bidi/>
      </w:pPr>
      <w:r>
        <w:rPr>
          <w:rFonts w:ascii="Arial" w:hAnsi="Arial"/>
          <w:b/>
          <w:color w:val="1F4D78"/>
          <w:sz w:val="19"/>
        </w:rPr>
        <w:t>هفتهٔ 566  |  صفحهٔ منبع: 583</w:t>
      </w:r>
    </w:p>
    <w:p>
      <w:pPr>
        <w:spacing w:after="20" w:line="223" w:lineRule="auto"/>
        <w:jc w:val="right"/>
        <w:bidi/>
      </w:pPr>
      <w:r>
        <w:rPr>
          <w:rFonts w:ascii="Arial" w:hAnsi="Arial"/>
          <w:sz w:val="16"/>
        </w:rPr>
        <w:t>566.01  NDS—استراتژی دفاع ملی NDU—دانشگاه دفاع ملی NGB—دفتر گارد ملی NLT—نه دیرتر از NMS—استراتژی نظامی ملی NORAD—NRO دفاع هوافضای آمریکای شمالی—اداره شناسایی ملی NSI—نوکلار سورتی ینسپکتیکر-وسجوفف-وسجاو آموزش OODA—مشاهده، جهت دهی، تصمیم‌گیری، عمل OPB—عملکرد افسر OPM—دفتر مدیریت پرسنل OPCON—کنترل عملیاتی OPI—مصاحبه مهارت شفاهی OPORD—وپراتیونس وردر OSA—وپراتیونس سافتی اسسسساتیون OSD—وففیک وف ت TC سکرتاری وف ت دپارتمنت وف ت OFF OTS—مدرسه آموزش افسران PA—امور عمومی PACAF—PACE نیروی هوایی اقیانوس آرام—حرفه مرکز عالی تسلیحات PAR—PCS شناسایی پس از حمله—تغییر دائمی ایستگاه PEBD—تاریخ ورود پایه پرداخت PECD—ترفیع واجد شرایط بودن PECD-حرکت ارتقاء، کوتوففس آزمون تناسب اندام پفپ—مشارکت برای صلح PFP—برنامه آمادگی جسمانی PIF—پرونده اطلاعات شخصی PL—سطح حفاظت PLANORD—ترتیب برنامه‌ریزی</w:t>
      </w:r>
    </w:p>
    <w:p>
      <w:pPr>
        <w:spacing w:after="28" w:line="216" w:lineRule="auto"/>
        <w:ind w:left="259"/>
        <w:jc w:val="left"/>
      </w:pPr>
      <w:r>
        <w:rPr>
          <w:rFonts w:ascii="Arial" w:hAnsi="Arial"/>
          <w:color w:val="525252"/>
          <w:sz w:val="13"/>
        </w:rPr>
        <w:t>NDS—National Defense Strategy NDU—National Defense University NGB—National Guard Bureau NLT—No Later Than NMS—National Military Strategy NORAD—North American Aerospace Defense NRO—National Reconnaissance Office NSI—Nuclear Surety Inspection OES—Officer Evaluation System OJT—On-The-Job Training OODA—Observe, Orient, Decide, Act OPB—Officer Performance Brief OPM—Office of Personnel Management OPCON—Operational Control OPI—Oral Proficiency Interview OPORD—Operations Order OSA—Organizational Safety Assessment OSD—Office of the Secretary of Defense OSTC—Office of Special Trial Counsel OTS—Officer Training School PA—Public Affairs PACAF—Pacific Air Forces PACE—Profession of Arms Center of Excellence PAR—Post-Attack Reconnaissance PCS—Permanent Change of Station PEBD—Pay Entry Base Date PECD—Promotion Eligibility Cutoff Date PFA—Physical Fitness Assessment PFE—Promotion Fitness Examination PfP—Partnership for Peace PFP—Physical Fitness Program PIF—Personal Information File PL—Protection Level PLANORD—Planning Order</w:t>
      </w:r>
    </w:p>
    <w:p>
      <w:r>
        <w:br w:type="page"/>
      </w:r>
    </w:p>
    <w:p>
      <w:pPr>
        <w:spacing w:after="60"/>
        <w:jc w:val="right"/>
        <w:bidi/>
      </w:pPr>
      <w:r>
        <w:rPr>
          <w:rFonts w:ascii="Arial" w:hAnsi="Arial"/>
          <w:b/>
          <w:color w:val="1F4D78"/>
          <w:sz w:val="19"/>
        </w:rPr>
        <w:t>هفتهٔ 567  |  صفحهٔ منبع: 584</w:t>
      </w:r>
    </w:p>
    <w:p>
      <w:pPr>
        <w:spacing w:after="20" w:line="223" w:lineRule="auto"/>
        <w:jc w:val="right"/>
        <w:bidi/>
      </w:pPr>
      <w:r>
        <w:rPr>
          <w:rFonts w:ascii="Arial" w:hAnsi="Arial"/>
          <w:sz w:val="16"/>
        </w:rPr>
        <w:t>567.01  PLS — اسکادران لجستیک ریاست جمهوری PME — آموزش نظامی حرفه‌ای PNOK — POM بعدی خویشاوند اولیه — یادداشت هدف برنامه PPBE — برنامه‌ریزی، برنامه‌ریزی، بودجه و فرآیند اجرا PRC—پوپل’س رکوردس اررپپرونل رپلیکاتیون نگهدارنده استخدام PSMC—بیانیه شخصی غرامت نظامی PTSD—اختلال استرس پس از سانحه RAP—برنامه کمک به استخدام RED— رکورد داده‌های اضطراری رگاف—نظام نیروی هوایی ROTC—برنامه آموزش افسران رزرو RPA—رتنتیونرس رکروتلی رکرویتد ریتکرافتینگ SAC—ارتباط دهنده خودارزیابی SARC—هماهنگ کننده پاسخ به تجاوز جنسی SAPR—پیشگیری و پاسخ به تجاوز جنسی SATCOM—ارتباطات ماهواره‌ای SBIRS—سیستم مادون قرمز مبتنی بر فضایی SCM—خلاصه دادگاه نظامی دریای دریایی—مدیر ارشد استخدام شده توسط مشاور ارشد رئیس ستاد مشترک سکاف-دبیر نیروی هوایی سکدف-وزیر دفاع SEI-شناسه تجربه ویژه SEL-رهبر ارشد استخدام شده SERE-بقا، فرار، مقاومت و فرار SGLI-سرویکممبرس’ گرووپ کنوولدگ لیف ینسورانک-SITKWT. SMART - خاص، قابل اندازه گیری، قابل دستیابی، مرتبط و به موقع</w:t>
      </w:r>
    </w:p>
    <w:p>
      <w:pPr>
        <w:spacing w:after="28" w:line="216" w:lineRule="auto"/>
        <w:ind w:left="259"/>
        <w:jc w:val="left"/>
      </w:pPr>
      <w:r>
        <w:rPr>
          <w:rFonts w:ascii="Arial" w:hAnsi="Arial"/>
          <w:color w:val="525252"/>
          <w:sz w:val="13"/>
        </w:rPr>
        <w:t>PLS—Presidential Logistics Squadron PME—Professional Military Education PNOK— Primary Next of Kin POM—Program Objective Memorandum PPBE—Planning, Programming, Budgeting, and Execution Process PRC—People’s Republic of China PRDA—Personnel Records Display Application PRR—Production Recruiter Retainer PSMC—Personal Statement of Military Compensation PTSD—Posttraumatic Stress Disorder RAP—Recruiter Assistance Program RED— Record of Emergency Data RegAF—Regular Air Force ROTC—Reserve Officer Training Program RPA—Remotely Piloted Aircraft RRM—Recruiting Retention Manager RRS—Recruiting Retention Superintendent SAC—Self-Assessment Communicator SARC—Sexual Assault Response Coordinator SAPR—Sexual Assault Prevention and Response SATCOM—Satellite Communications SBIRS—Space Based Infrared System SCM—Summary Court-Martial SEA—Senior Enlisted Advisor SEAC—Senior Enlisted Advisor to the Chairman of the Joint Chiefs of Staff SecAF—Secretary of the Air Force SecDef—Secretary of Defense SEI—Special Experience Identifier SEL—Senior Enlisted Leader SERE—Survival, Evasion, Resistance and Escape SGLI—Servicemembers’ Group Life Insurance SITW—State Income Tax Withholding SKT—Specialty Knowledge Test SMART—Specific, Measurable, Attainable, Relevant, and Timely</w:t>
      </w:r>
    </w:p>
    <w:p>
      <w:r>
        <w:br w:type="page"/>
      </w:r>
    </w:p>
    <w:p>
      <w:pPr>
        <w:spacing w:after="60"/>
        <w:jc w:val="right"/>
        <w:bidi/>
      </w:pPr>
      <w:r>
        <w:rPr>
          <w:rFonts w:ascii="Arial" w:hAnsi="Arial"/>
          <w:b/>
          <w:color w:val="1F4D78"/>
          <w:sz w:val="19"/>
        </w:rPr>
        <w:t>هفتهٔ 568  |  صفحهٔ منبع: 585</w:t>
      </w:r>
    </w:p>
    <w:p>
      <w:pPr>
        <w:spacing w:after="20" w:line="223" w:lineRule="auto"/>
        <w:jc w:val="right"/>
        <w:bidi/>
      </w:pPr>
      <w:r>
        <w:rPr>
          <w:rFonts w:ascii="Arial" w:hAnsi="Arial"/>
          <w:sz w:val="16"/>
        </w:rPr>
        <w:t>568.01  SMSgt—سنیور ماستر سرگانت SNCO—سنیور ونکوممیسسیوند SNCO-DL—سنیور ونکوممیسسیوند لارنینگ دیستانک SNCOA—سنیور دیستانک اکادمی اکادمی SOAR— بورسیه‌های تحصیلی برای هوانوردان برجسته تا ROTC لیفسورم'س SOES'س. SORN— اطلاعیه سیستم سوابق SPCM— ویژه دادگاه نظامی SPFI—دستورالعمل‌های نیروی فضایی SPFMAN—دستورالعمل نیروی فضایی سرا—سنیور عضو نیروی هوایی SRB—سلکتیو رتنتیون بونوس SRP—سلکتیو رینلیستینگ پروگرام SSgt—ستافف سرگانت ارمی فورکسترکتیونال انجام دهندگان ت.و. - دستور فنی TACON - کنترل تاکتیکی TAFMS - کل خدمات نظامی فدرال فعال TAP - برنامه کمک انتقال TDY - وظیفه موقت TIC - مواد شیمیایی صنعتی سمی TIG - بازرس کل TIM - مواد صنعتی سمی TR - برنامه آموزشی-سرویس آموزشی - گزارش‌های آموزشی TSPT UCMJ - کد یکسان عدالت نظامی UDM - مدیر استقرار واحد UEI - بازرسی‌های اثربخشی واحد UFPM - مدیر برنامه تناسب اندام واحد UIF - فایل اطلاعات نامطلوب UMD - سند نیروی انسانی واحد سازمان ملل متحد - سازمان ملل متحد</w:t>
      </w:r>
    </w:p>
    <w:p>
      <w:pPr>
        <w:spacing w:after="28" w:line="216" w:lineRule="auto"/>
        <w:ind w:left="259"/>
        <w:jc w:val="left"/>
      </w:pPr>
      <w:r>
        <w:rPr>
          <w:rFonts w:ascii="Arial" w:hAnsi="Arial"/>
          <w:color w:val="525252"/>
          <w:sz w:val="13"/>
        </w:rPr>
        <w:t>SMSgt—Senior Master Sergeant SNCO—Senior Noncommissioned Officer SNCO-DL—Senior Noncommissioned Officer Distance Learning SNCOA—Senior Noncommissioned Officer Academy SOAR—Scholarships for Outstanding Airmen to ROTC SOES—Servicemembers’ Group Life Insurance Online Enrollment System SORN—System of Records Notice SPCM—Special Court-Martial SPFI—Space Force Instructions SPFMAN—Space Force Manual SrA—Senior Airman SRB—Selective Retention Bonus SRP—Selective Reenlistment Program SSgt—Staff Sergeant START—Strategic Arms Reduction Treaty STEP—Stripes for Exceptional Performers T.O.—Technical Order TACON—Tactical Control TAFMS—Total Active Federal Military Service TAP—Transition Assistance Program TDY—Temporary Duty TIC—Toxic Industrial Chemicals TIG—The Inspector General TIM—Toxic Industrial Materials TR—Training Report TSgt—Technical Sergeant TSP—Thrift Savings Plan UCMJ—Uniform Code of Military Justice UDM—Unit Deployment Manager UEI—Unit Effectiveness Inspections UFPM—Unit Fitness Program Manager UIF—Unfavorable Information File UMD—Unit Manpower Document UN—United Nations</w:t>
      </w:r>
    </w:p>
    <w:p>
      <w:r>
        <w:br w:type="page"/>
      </w:r>
    </w:p>
    <w:p>
      <w:pPr>
        <w:spacing w:after="60"/>
        <w:jc w:val="right"/>
        <w:bidi/>
      </w:pPr>
      <w:r>
        <w:rPr>
          <w:rFonts w:ascii="Arial" w:hAnsi="Arial"/>
          <w:b/>
          <w:color w:val="1F4D78"/>
          <w:sz w:val="19"/>
        </w:rPr>
        <w:t>هفتهٔ 569  |  صفحهٔ منبع: 586</w:t>
      </w:r>
    </w:p>
    <w:p>
      <w:pPr>
        <w:spacing w:after="20" w:line="223" w:lineRule="auto"/>
        <w:jc w:val="right"/>
        <w:bidi/>
      </w:pPr>
      <w:r>
        <w:rPr>
          <w:rFonts w:ascii="Arial" w:hAnsi="Arial"/>
          <w:sz w:val="16"/>
        </w:rPr>
        <w:t>569.01  ایالات متحده—ایالات متحده آمریکا—کد ایالات متحده USAF—نیروی هوایی ایالات متحده ایالات متحده آمریکا—آکادمی USAF USAFE—نیروهای هوایی ایالات متحده در اروپا USAFE-AFAFRICA—نیروهای هوایی ایالات متحده در اروپا و نیروهای هوایی آفریقا USAFSAM—USAFSAM- سچول وف اویاتیون مدیکین-UA USCENTCOM—فرماندهی مرکزی ایالات متحده USCYBERCOM—فرماندهی سایبری ایالات متحده USEUCOM—فرماندهی اروپای ایالات متحده USG—دولت ایالات متحده USINDOPACOM—فرماندهی هند و اقیانوس آرام ایالات متحده USNORTHCOM—فرماندهی شمالی ایالات متحده USSF—نیروی عملیات فضایی ایالات متحده آمریکا—نیروی ویژه عملیات فضایی ایالات متحده آمریکا فرماندهی USSOUTHCOM—فرماندهی جنوبی ایالات متحده USSPACECOM—فرماندهی فضایی ایالات متحده USSTRATCOM—فرماندهی استراتژیک ایالات متحده USTRANSCOM—فرماندهی حمل و نقل ایالات متحده UTM—مدیر آموزش واحد VA—امور کهنه‌سربازان VC—مشاور قربانیان وکجکسووففینتیف جایزه تعالی ورد—رکورد مجازی داده‌های اضطراری WAPS—سیستم ارتقاء هوانورد وزنی WARNORD—وارنینگ وردر WEAR—و ار الل رکرویترس وهتر—نسبت دور کمر به قد</w:t>
      </w:r>
    </w:p>
    <w:p>
      <w:pPr>
        <w:spacing w:after="28" w:line="216" w:lineRule="auto"/>
        <w:ind w:left="259"/>
        <w:jc w:val="left"/>
      </w:pPr>
      <w:r>
        <w:rPr>
          <w:rFonts w:ascii="Arial" w:hAnsi="Arial"/>
          <w:color w:val="525252"/>
          <w:sz w:val="13"/>
        </w:rPr>
        <w:t>U.S.—United States U.S.C.—United States Code USAF—United States Air Force USAFA—USAF Academy USAFE—United States Air Forces in Europe USAFE-AFAFRICA—United States Air Forces in Europe and Air Forces Africa USAFSAM—USAF School of Aviation Medicine USAP—Unit Self-Assessment Program USCENTCOM—United States Central Command USCYBERCOM—United States Cyber Command USEUCOM—United States European Command USG—United States Government USINDOPACOM—United States Indo-Pacific Command USNORTHCOM—United States Northen Command USSF—United States Space Force USS—United States Ship USSOCOM—United States Special Operations Command USSOUTHCOM—United States Southern Command USSPACECOM—United States Space Command USSTRATCOM—United States Strategic Command USTRANSCOM—United States Transportation Command UTM—Unit Training Manager VA—Veterans Affairs VC—Victims’ Counsel VCJCS—Vice Chairman, Joint Chiefs of Staff VEA—Volunteer Excellence Award vRED—Virtual Record of Emergency Data WAPS—Weighted Airman Promotion System WARNORD—Warning Order WEAR—We Are All Recruiters WHtR—Waist-to-Height Ratio</w:t>
      </w:r>
    </w:p>
    <w:p>
      <w:r>
        <w:br w:type="page"/>
      </w:r>
    </w:p>
    <w:p>
      <w:pPr>
        <w:spacing w:after="60"/>
        <w:jc w:val="right"/>
        <w:bidi/>
      </w:pPr>
      <w:r>
        <w:rPr>
          <w:rFonts w:ascii="Arial" w:hAnsi="Arial"/>
          <w:b/>
          <w:color w:val="1F4D78"/>
          <w:sz w:val="19"/>
        </w:rPr>
        <w:t>هفتهٔ 570  |  صفحهٔ منبع: 587</w:t>
      </w:r>
    </w:p>
    <w:p>
      <w:pPr>
        <w:spacing w:after="20" w:line="223" w:lineRule="auto"/>
        <w:jc w:val="right"/>
        <w:bidi/>
      </w:pPr>
      <w:r>
        <w:rPr>
          <w:rFonts w:ascii="Arial" w:hAnsi="Arial"/>
          <w:sz w:val="16"/>
        </w:rPr>
        <w:t>570.01  سوء استفاده از شرایط - استفاده عمدی، نادرست یا نادرست از منابع دولتی.</w:t>
      </w:r>
    </w:p>
    <w:p>
      <w:pPr>
        <w:spacing w:after="28" w:line="216" w:lineRule="auto"/>
        <w:ind w:left="259"/>
        <w:jc w:val="left"/>
      </w:pPr>
      <w:r>
        <w:rPr>
          <w:rFonts w:ascii="Arial" w:hAnsi="Arial"/>
          <w:color w:val="525252"/>
          <w:sz w:val="13"/>
        </w:rPr>
        <w:t>Terms Abuse—The intentional, wrongful, or improper use of government resources.</w:t>
      </w:r>
    </w:p>
    <w:p>
      <w:pPr>
        <w:spacing w:after="20" w:line="223" w:lineRule="auto"/>
        <w:jc w:val="right"/>
        <w:bidi/>
      </w:pPr>
      <w:r>
        <w:rPr>
          <w:rFonts w:ascii="Arial" w:hAnsi="Arial"/>
          <w:sz w:val="16"/>
        </w:rPr>
        <w:t>570.02  سوء استفاده معمولا شامل سوء استفاده از رتبه، موقعیت یا اختیار است.</w:t>
      </w:r>
    </w:p>
    <w:p>
      <w:pPr>
        <w:spacing w:after="28" w:line="216" w:lineRule="auto"/>
        <w:ind w:left="259"/>
        <w:jc w:val="left"/>
      </w:pPr>
      <w:r>
        <w:rPr>
          <w:rFonts w:ascii="Arial" w:hAnsi="Arial"/>
          <w:color w:val="525252"/>
          <w:sz w:val="13"/>
        </w:rPr>
        <w:t>Abuse typically involves misuse of rank, position, or authority.</w:t>
      </w:r>
    </w:p>
    <w:p>
      <w:pPr>
        <w:spacing w:after="20" w:line="223" w:lineRule="auto"/>
        <w:jc w:val="right"/>
        <w:bidi/>
      </w:pPr>
      <w:r>
        <w:rPr>
          <w:rFonts w:ascii="Arial" w:hAnsi="Arial"/>
          <w:sz w:val="16"/>
        </w:rPr>
        <w:t>570.03  ADCON - هدایت یا اعمال قدرت بر سازمان‌های زیردست یا سایر سازمان‌ها درباره مدیریت و پشتیبانی (JP ۱).</w:t>
      </w:r>
    </w:p>
    <w:p>
      <w:pPr>
        <w:spacing w:after="28" w:line="216" w:lineRule="auto"/>
        <w:ind w:left="259"/>
        <w:jc w:val="left"/>
      </w:pPr>
      <w:r>
        <w:rPr>
          <w:rFonts w:ascii="Arial" w:hAnsi="Arial"/>
          <w:color w:val="525252"/>
          <w:sz w:val="13"/>
        </w:rPr>
        <w:t>ADCON—Direction or exercise of authority over subordinate or other organizations with respect to administration and support (JP 1).</w:t>
      </w:r>
    </w:p>
    <w:p>
      <w:pPr>
        <w:spacing w:after="20" w:line="223" w:lineRule="auto"/>
        <w:jc w:val="right"/>
        <w:bidi/>
      </w:pPr>
      <w:r>
        <w:rPr>
          <w:rFonts w:ascii="Arial" w:hAnsi="Arial"/>
          <w:sz w:val="16"/>
        </w:rPr>
        <w:t>570.04  این شامل سازماندهی نیروهای خدماتی، کنترل منابع و تجهیزات، مدیریت پرسنل، تدارکات یگان، آموزش فردی و واحدی، آمادگی، بسیج، اعزام، انضباط و سایر مواردی است که در مأموریت‌های عملیاتی زیرمجموعه یا سایر سازمان‌ها لحاظ نشده است.</w:t>
      </w:r>
    </w:p>
    <w:p>
      <w:pPr>
        <w:spacing w:after="28" w:line="216" w:lineRule="auto"/>
        <w:ind w:left="259"/>
        <w:jc w:val="left"/>
      </w:pPr>
      <w:r>
        <w:rPr>
          <w:rFonts w:ascii="Arial" w:hAnsi="Arial"/>
          <w:color w:val="525252"/>
          <w:sz w:val="13"/>
        </w:rPr>
        <w:t>This includes organization of Service forces, control of resources and equipment, personnel management, unit logistics, individual and unit training, readiness, mobilization, demobilization, discipline, and other matters not included in the operational missions of the subordinate or other organizations.</w:t>
      </w:r>
    </w:p>
    <w:p>
      <w:pPr>
        <w:spacing w:after="20" w:line="223" w:lineRule="auto"/>
        <w:jc w:val="right"/>
        <w:bidi/>
      </w:pPr>
      <w:r>
        <w:rPr>
          <w:rFonts w:ascii="Arial" w:hAnsi="Arial"/>
          <w:sz w:val="16"/>
        </w:rPr>
        <w:t>570.05  نیروی هوافضا - کاربرد هم افزایی هوا، فضا و سیستم‌های اطلاعاتی برای طرح قدرت نظامی استراتژیک جهانی.</w:t>
      </w:r>
    </w:p>
    <w:p>
      <w:pPr>
        <w:spacing w:after="28" w:line="216" w:lineRule="auto"/>
        <w:ind w:left="259"/>
        <w:jc w:val="left"/>
      </w:pPr>
      <w:r>
        <w:rPr>
          <w:rFonts w:ascii="Arial" w:hAnsi="Arial"/>
          <w:color w:val="525252"/>
          <w:sz w:val="13"/>
        </w:rPr>
        <w:t>Aerospace Power—The synergistic application of air, space, and information systems to project global strategic military power.</w:t>
      </w:r>
    </w:p>
    <w:p>
      <w:pPr>
        <w:spacing w:after="20" w:line="223" w:lineRule="auto"/>
        <w:jc w:val="right"/>
        <w:bidi/>
      </w:pPr>
      <w:r>
        <w:rPr>
          <w:rFonts w:ascii="Arial" w:hAnsi="Arial"/>
          <w:sz w:val="16"/>
        </w:rPr>
        <w:t>570.06  اعضای نیروی هوایی - همه افسران ذخیره، گارد، رگاف و پرسنل ثبت‌نام شده که در نیروی هوایی ایالات متحده خدمت می‌کنند.</w:t>
      </w:r>
    </w:p>
    <w:p>
      <w:pPr>
        <w:spacing w:after="28" w:line="216" w:lineRule="auto"/>
        <w:ind w:left="259"/>
        <w:jc w:val="left"/>
      </w:pPr>
      <w:r>
        <w:rPr>
          <w:rFonts w:ascii="Arial" w:hAnsi="Arial"/>
          <w:color w:val="525252"/>
          <w:sz w:val="13"/>
        </w:rPr>
        <w:t>Air Force Members—All Reserve, Guard, RegAF officers and enlisted personnel serving in the United States Air Force.</w:t>
      </w:r>
    </w:p>
    <w:p>
      <w:pPr>
        <w:spacing w:after="20" w:line="223" w:lineRule="auto"/>
        <w:jc w:val="right"/>
        <w:bidi/>
      </w:pPr>
      <w:r>
        <w:rPr>
          <w:rFonts w:ascii="Arial" w:hAnsi="Arial"/>
          <w:sz w:val="16"/>
        </w:rPr>
        <w:t>570.07  پرسنل نیروی هوایی - همه کارمندان غیرنظامی، از جمله کارمندان دولت، در وزارت نیروی هوایی (شامل فعالیت‌های صندوق غیر اختصاصی)، اعضای ذخیره و گارد، و همه افسران رگاف و اعضای ثبت‌نام شده نیروی هوایی.</w:t>
      </w:r>
    </w:p>
    <w:p>
      <w:pPr>
        <w:spacing w:after="28" w:line="216" w:lineRule="auto"/>
        <w:ind w:left="259"/>
        <w:jc w:val="left"/>
      </w:pPr>
      <w:r>
        <w:rPr>
          <w:rFonts w:ascii="Arial" w:hAnsi="Arial"/>
          <w:color w:val="525252"/>
          <w:sz w:val="13"/>
        </w:rPr>
        <w:t>Air Force Personnel—All civilian employees, including government employees, in the Department of the Air Force (including non-appropriated fund activities), Reserve and Guard members, and all RegAF officers and enlisted members of the Air Force.</w:t>
      </w:r>
    </w:p>
    <w:p>
      <w:pPr>
        <w:spacing w:after="20" w:line="223" w:lineRule="auto"/>
        <w:jc w:val="right"/>
        <w:bidi/>
      </w:pPr>
      <w:r>
        <w:rPr>
          <w:rFonts w:ascii="Arial" w:hAnsi="Arial"/>
          <w:sz w:val="16"/>
        </w:rPr>
        <w:t>570.08  عضو نیروی هوایی - از نظر تاریخی، اصطلاح عضو نیروی هوایی با اعضای یونیفرم پوش نیروی هوایی ایالات متحده (افسر یا سرباز، عادی، ذخیره یا نگهبان) بدون در نظر گرفتن درجه، جزء یا تخصص مرتبط است.</w:t>
      </w:r>
    </w:p>
    <w:p>
      <w:pPr>
        <w:spacing w:after="28" w:line="216" w:lineRule="auto"/>
        <w:ind w:left="259"/>
        <w:jc w:val="left"/>
      </w:pPr>
      <w:r>
        <w:rPr>
          <w:rFonts w:ascii="Arial" w:hAnsi="Arial"/>
          <w:color w:val="525252"/>
          <w:sz w:val="13"/>
        </w:rPr>
        <w:t>Airman—Historically, the term Airman is associated with uniformed members of the U.S. Air Force (officer or enlisted; regular, Reserve, or Guard) regardless of rank, component, or specialty.</w:t>
      </w:r>
    </w:p>
    <w:p>
      <w:pPr>
        <w:spacing w:after="20" w:line="223" w:lineRule="auto"/>
        <w:jc w:val="right"/>
        <w:bidi/>
      </w:pPr>
      <w:r>
        <w:rPr>
          <w:rFonts w:ascii="Arial" w:hAnsi="Arial"/>
          <w:sz w:val="16"/>
        </w:rPr>
        <w:t>570.09  امروزه، غیرنظامیان نیروی هوایی و اعضای گشت هوایی غیرنظامی، هنگام انجام مأموریت‌ها به‌عنوان نیروی کمکی رسمی نیروی هوایی، در معنای گسترده‌تر اصطلاح عضو نیروی هوایی گنجانده می‌شوند.</w:t>
      </w:r>
    </w:p>
    <w:p>
      <w:pPr>
        <w:spacing w:after="28" w:line="216" w:lineRule="auto"/>
        <w:ind w:left="259"/>
        <w:jc w:val="left"/>
      </w:pPr>
      <w:r>
        <w:rPr>
          <w:rFonts w:ascii="Arial" w:hAnsi="Arial"/>
          <w:color w:val="525252"/>
          <w:sz w:val="13"/>
        </w:rPr>
        <w:t>Today, Air Force civilians and members of the Civil Air Patrol, when conducting missions as the official Air Force Auxiliary, are incorporated within the broader meaning of the term, Airman.</w:t>
      </w:r>
    </w:p>
    <w:p>
      <w:pPr>
        <w:spacing w:after="20" w:line="223" w:lineRule="auto"/>
        <w:jc w:val="right"/>
        <w:bidi/>
      </w:pPr>
      <w:r>
        <w:rPr>
          <w:rFonts w:ascii="Arial" w:hAnsi="Arial"/>
          <w:sz w:val="16"/>
        </w:rPr>
        <w:t>570.10  فرسایش - کاهش اثربخشی یک نیرو با از دست دادن پرسنل و مواد.</w:t>
      </w:r>
    </w:p>
    <w:p>
      <w:pPr>
        <w:spacing w:after="28" w:line="216" w:lineRule="auto"/>
        <w:ind w:left="259"/>
        <w:jc w:val="left"/>
      </w:pPr>
      <w:r>
        <w:rPr>
          <w:rFonts w:ascii="Arial" w:hAnsi="Arial"/>
          <w:color w:val="525252"/>
          <w:sz w:val="13"/>
        </w:rPr>
        <w:t>Attrition—The reduction of the effectiveness of a force by loss of personnel and materiel.</w:t>
      </w:r>
    </w:p>
    <w:p>
      <w:pPr>
        <w:spacing w:after="20" w:line="223" w:lineRule="auto"/>
        <w:jc w:val="right"/>
        <w:bidi/>
      </w:pPr>
      <w:r>
        <w:rPr>
          <w:rFonts w:ascii="Arial" w:hAnsi="Arial"/>
          <w:sz w:val="16"/>
        </w:rPr>
        <w:t>570.11  پرونده مرگ - جرمی که طبق قانون یکسان عدالت نظامی برای آن اعدام مجازات مجاز است.</w:t>
      </w:r>
    </w:p>
    <w:p>
      <w:pPr>
        <w:spacing w:after="28" w:line="216" w:lineRule="auto"/>
        <w:ind w:left="259"/>
        <w:jc w:val="left"/>
      </w:pPr>
      <w:r>
        <w:rPr>
          <w:rFonts w:ascii="Arial" w:hAnsi="Arial"/>
          <w:color w:val="525252"/>
          <w:sz w:val="13"/>
        </w:rPr>
        <w:t>Capital Case—An offense for which death is an authorized punishment under the Uniform Code of Military Justice.</w:t>
      </w:r>
    </w:p>
    <w:p>
      <w:pPr>
        <w:spacing w:after="20" w:line="223" w:lineRule="auto"/>
        <w:jc w:val="right"/>
        <w:bidi/>
      </w:pPr>
      <w:r>
        <w:rPr>
          <w:rFonts w:ascii="Arial" w:hAnsi="Arial"/>
          <w:sz w:val="16"/>
        </w:rPr>
        <w:t>570.12  زنجیره فرماندهی - جانشینی افسران فرمانده از مافوق به زیردست که از طریق آن فرماندهی اعمال می‌شود.</w:t>
      </w:r>
    </w:p>
    <w:p>
      <w:pPr>
        <w:spacing w:after="28" w:line="216" w:lineRule="auto"/>
        <w:ind w:left="259"/>
        <w:jc w:val="left"/>
      </w:pPr>
      <w:r>
        <w:rPr>
          <w:rFonts w:ascii="Arial" w:hAnsi="Arial"/>
          <w:color w:val="525252"/>
          <w:sz w:val="13"/>
        </w:rPr>
        <w:t>Chain of Command—The succession of commanding officers from a superior to a subordinate through which command is exercised.</w:t>
      </w:r>
    </w:p>
    <w:p>
      <w:pPr>
        <w:spacing w:after="20" w:line="223" w:lineRule="auto"/>
        <w:jc w:val="right"/>
        <w:bidi/>
      </w:pPr>
      <w:r>
        <w:rPr>
          <w:rFonts w:ascii="Arial" w:hAnsi="Arial"/>
          <w:sz w:val="16"/>
        </w:rPr>
        <w:t>570.13  ائتلاف - یک ترتیب خاص بین دو یا چند کشور برای اقدام مشترک.</w:t>
      </w:r>
    </w:p>
    <w:p>
      <w:pPr>
        <w:spacing w:after="28" w:line="216" w:lineRule="auto"/>
        <w:ind w:left="259"/>
        <w:jc w:val="left"/>
      </w:pPr>
      <w:r>
        <w:rPr>
          <w:rFonts w:ascii="Arial" w:hAnsi="Arial"/>
          <w:color w:val="525252"/>
          <w:sz w:val="13"/>
        </w:rPr>
        <w:t>Coalition—An ad hoc arrangement between two or more nations for common action.</w:t>
      </w:r>
    </w:p>
    <w:p>
      <w:pPr>
        <w:spacing w:after="20" w:line="223" w:lineRule="auto"/>
        <w:jc w:val="right"/>
        <w:bidi/>
      </w:pPr>
      <w:r>
        <w:rPr>
          <w:rFonts w:ascii="Arial" w:hAnsi="Arial"/>
          <w:sz w:val="16"/>
        </w:rPr>
        <w:t>570.14  نیروی ائتلاف - نیرویی متشکل از عناصر نظامی کشورهایی که یک اتحاد موقت برای اهداف خاصی تشکیل داده‌اند.</w:t>
      </w:r>
    </w:p>
    <w:p>
      <w:pPr>
        <w:spacing w:after="28" w:line="216" w:lineRule="auto"/>
        <w:ind w:left="259"/>
        <w:jc w:val="left"/>
      </w:pPr>
      <w:r>
        <w:rPr>
          <w:rFonts w:ascii="Arial" w:hAnsi="Arial"/>
          <w:color w:val="525252"/>
          <w:sz w:val="13"/>
        </w:rPr>
        <w:t>Coalition Force—A force composed of military elements of nations that have formed a temporary alliance for some specific purpose.</w:t>
      </w:r>
    </w:p>
    <w:p>
      <w:pPr>
        <w:spacing w:after="20" w:line="223" w:lineRule="auto"/>
        <w:jc w:val="right"/>
        <w:bidi/>
      </w:pPr>
      <w:r>
        <w:rPr>
          <w:rFonts w:ascii="Arial" w:hAnsi="Arial"/>
          <w:sz w:val="16"/>
        </w:rPr>
        <w:t>570.15  منسجم - چسبیدن به هم. رابطه منطقی قطعات</w:t>
      </w:r>
    </w:p>
    <w:p>
      <w:pPr>
        <w:spacing w:after="28" w:line="216" w:lineRule="auto"/>
        <w:ind w:left="259"/>
        <w:jc w:val="left"/>
      </w:pPr>
      <w:r>
        <w:rPr>
          <w:rFonts w:ascii="Arial" w:hAnsi="Arial"/>
          <w:color w:val="525252"/>
          <w:sz w:val="13"/>
        </w:rPr>
        <w:t>Coherent—Sticking together; a logical relationship of parts.</w:t>
      </w:r>
    </w:p>
    <w:p>
      <w:pPr>
        <w:spacing w:after="20" w:line="223" w:lineRule="auto"/>
        <w:jc w:val="right"/>
        <w:bidi/>
      </w:pPr>
      <w:r>
        <w:rPr>
          <w:rFonts w:ascii="Arial" w:hAnsi="Arial"/>
          <w:sz w:val="16"/>
        </w:rPr>
        <w:t>570.16  اقدامات شبه نظامی و نظامی، بدون درگیری مسلحانه آشکار، شامل نیروهای منظم برای دستیابی به اهداف ملی به کار گرفته می‌شود.</w:t>
      </w:r>
    </w:p>
    <w:p>
      <w:pPr>
        <w:spacing w:after="28" w:line="216" w:lineRule="auto"/>
        <w:ind w:left="259"/>
        <w:jc w:val="left"/>
      </w:pPr>
      <w:r>
        <w:rPr>
          <w:rFonts w:ascii="Arial" w:hAnsi="Arial"/>
          <w:color w:val="525252"/>
          <w:sz w:val="13"/>
        </w:rPr>
        <w:t>Paramilitary and military measures, short of overt armed conflict, involving regular forces are employed to achieve national objectives.</w:t>
      </w:r>
    </w:p>
    <w:p>
      <w:pPr>
        <w:spacing w:after="20" w:line="223" w:lineRule="auto"/>
        <w:jc w:val="right"/>
        <w:bidi/>
      </w:pPr>
      <w:r>
        <w:rPr>
          <w:rFonts w:ascii="Arial" w:hAnsi="Arial"/>
          <w:sz w:val="16"/>
        </w:rPr>
        <w:t>570.17  انسجام - عمل، فرآیند یا شرایط انسجام: انسجام قوی در واحد خانواده نشان داده شده است.</w:t>
      </w:r>
    </w:p>
    <w:p>
      <w:pPr>
        <w:spacing w:after="28" w:line="216" w:lineRule="auto"/>
        <w:ind w:left="259"/>
        <w:jc w:val="left"/>
      </w:pPr>
      <w:r>
        <w:rPr>
          <w:rFonts w:ascii="Arial" w:hAnsi="Arial"/>
          <w:color w:val="525252"/>
          <w:sz w:val="13"/>
        </w:rPr>
        <w:t>Cohesion—The act, process, or condition of cohering: exhibited strong cohesion in the family unit.</w:t>
      </w:r>
    </w:p>
    <w:p>
      <w:pPr>
        <w:spacing w:after="20" w:line="223" w:lineRule="auto"/>
        <w:jc w:val="right"/>
        <w:bidi/>
      </w:pPr>
      <w:r>
        <w:rPr>
          <w:rFonts w:ascii="Arial" w:hAnsi="Arial"/>
          <w:sz w:val="16"/>
        </w:rPr>
        <w:t>570.18  فرماندهی و کنترل (ک۲) - اعمال اقتدار و هدایت توسط یک فرمانده به درستی تعیین شده بر نیروهای تعیین شده و وابسته در انجام مأموریت.</w:t>
      </w:r>
    </w:p>
    <w:p>
      <w:pPr>
        <w:spacing w:after="28" w:line="216" w:lineRule="auto"/>
        <w:ind w:left="259"/>
        <w:jc w:val="left"/>
      </w:pPr>
      <w:r>
        <w:rPr>
          <w:rFonts w:ascii="Arial" w:hAnsi="Arial"/>
          <w:color w:val="525252"/>
          <w:sz w:val="13"/>
        </w:rPr>
        <w:t>Command and Control (C2)—The exercise of authority and direction by a properly designated commander over assigned and attached forces in the accomplishment of the mission.</w:t>
      </w:r>
    </w:p>
    <w:p>
      <w:pPr>
        <w:spacing w:after="20" w:line="223" w:lineRule="auto"/>
        <w:jc w:val="right"/>
        <w:bidi/>
      </w:pPr>
      <w:r>
        <w:rPr>
          <w:rFonts w:ascii="Arial" w:hAnsi="Arial"/>
          <w:sz w:val="16"/>
        </w:rPr>
        <w:t>570.19  مصالحه - قرار گرفتن در معرض معلوم یا مشکوک پرسنل، تاسیسات، یا سایر دارایی‌های مخفی یا اطلاعات یا مطالب طبقه‌بندی شده در معرض یک شخص غیرمجاز.</w:t>
      </w:r>
    </w:p>
    <w:p>
      <w:pPr>
        <w:spacing w:after="28" w:line="216" w:lineRule="auto"/>
        <w:ind w:left="259"/>
        <w:jc w:val="left"/>
      </w:pPr>
      <w:r>
        <w:rPr>
          <w:rFonts w:ascii="Arial" w:hAnsi="Arial"/>
          <w:color w:val="525252"/>
          <w:sz w:val="13"/>
        </w:rPr>
        <w:t>Compromise—The known or suspected exposure of clandestine personnel, installations, or other assets or of classified information or material to an unauthorized person.</w:t>
      </w:r>
    </w:p>
    <w:p>
      <w:pPr>
        <w:spacing w:after="20" w:line="223" w:lineRule="auto"/>
        <w:jc w:val="right"/>
        <w:bidi/>
      </w:pPr>
      <w:r>
        <w:rPr>
          <w:rFonts w:ascii="Arial" w:hAnsi="Arial"/>
          <w:sz w:val="16"/>
        </w:rPr>
        <w:t>570.20  اضطراری - یک وضعیت اضطراری شامل نیروهای نظامی ناشی از بلایای طبیعی، تروریست‌ها، براندازان یا عملیات نظامی مورد نیاز.</w:t>
      </w:r>
    </w:p>
    <w:p>
      <w:pPr>
        <w:spacing w:after="28" w:line="216" w:lineRule="auto"/>
        <w:ind w:left="259"/>
        <w:jc w:val="left"/>
      </w:pPr>
      <w:r>
        <w:rPr>
          <w:rFonts w:ascii="Arial" w:hAnsi="Arial"/>
          <w:color w:val="525252"/>
          <w:sz w:val="13"/>
        </w:rPr>
        <w:t>Contingency—An emergency involving military forces caused by natural disasters, terrorists, subversives, or by required military operations.</w:t>
      </w:r>
    </w:p>
    <w:p>
      <w:pPr>
        <w:spacing w:after="20" w:line="223" w:lineRule="auto"/>
        <w:jc w:val="right"/>
        <w:bidi/>
      </w:pPr>
      <w:r>
        <w:rPr>
          <w:rFonts w:ascii="Arial" w:hAnsi="Arial"/>
          <w:sz w:val="16"/>
        </w:rPr>
        <w:t>570.21  با توجه به نامشخص بودن وضعیت، حوادث غیرمترقبه نیازمند برنامه‌ریزی، واکنش سریع و رویه‌های ویژه برای اطمینان از ایمنی و آمادگی پرسنل، امکانات و تجهیزات است.</w:t>
      </w:r>
    </w:p>
    <w:p>
      <w:pPr>
        <w:spacing w:after="28" w:line="216" w:lineRule="auto"/>
        <w:ind w:left="259"/>
        <w:jc w:val="left"/>
      </w:pPr>
      <w:r>
        <w:rPr>
          <w:rFonts w:ascii="Arial" w:hAnsi="Arial"/>
          <w:color w:val="525252"/>
          <w:sz w:val="13"/>
        </w:rPr>
        <w:t>Due to the uncertainty of the situation, contingencies require plans, rapid response, and special procedures to ensure the safety and readiness of personnel, facilities, and equipment.</w:t>
      </w:r>
    </w:p>
    <w:p>
      <w:pPr>
        <w:spacing w:after="20" w:line="223" w:lineRule="auto"/>
        <w:jc w:val="right"/>
        <w:bidi/>
      </w:pPr>
      <w:r>
        <w:rPr>
          <w:rFonts w:ascii="Arial" w:hAnsi="Arial"/>
          <w:sz w:val="16"/>
        </w:rPr>
        <w:t>570.22  پیوستگی - یک وسعت، توالی یا کل پیوسته که هیچ بخشی از آن قابل تشخیص نیست</w:t>
      </w:r>
    </w:p>
    <w:p>
      <w:pPr>
        <w:spacing w:after="28" w:line="216" w:lineRule="auto"/>
        <w:ind w:left="259"/>
        <w:jc w:val="left"/>
      </w:pPr>
      <w:r>
        <w:rPr>
          <w:rFonts w:ascii="Arial" w:hAnsi="Arial"/>
          <w:color w:val="525252"/>
          <w:sz w:val="13"/>
        </w:rPr>
        <w:t>Continuum—A continuous extent, succession, or whole, no part of which can be distinguished</w:t>
      </w:r>
    </w:p>
    <w:p>
      <w:r>
        <w:br w:type="page"/>
      </w:r>
    </w:p>
    <w:p>
      <w:pPr>
        <w:spacing w:after="60"/>
        <w:jc w:val="right"/>
        <w:bidi/>
      </w:pPr>
      <w:r>
        <w:rPr>
          <w:rFonts w:ascii="Arial" w:hAnsi="Arial"/>
          <w:b/>
          <w:color w:val="1F4D78"/>
          <w:sz w:val="19"/>
        </w:rPr>
        <w:t>هفتهٔ 571  |  صفحهٔ منبع: 588</w:t>
      </w:r>
    </w:p>
    <w:p>
      <w:pPr>
        <w:spacing w:after="20" w:line="223" w:lineRule="auto"/>
        <w:jc w:val="right"/>
        <w:bidi/>
      </w:pPr>
      <w:r>
        <w:rPr>
          <w:rFonts w:ascii="Arial" w:hAnsi="Arial"/>
          <w:sz w:val="16"/>
        </w:rPr>
        <w:t>571.01  از قسمت‌های مجاور به جز با تقسیم دلخواه.</w:t>
      </w:r>
    </w:p>
    <w:p>
      <w:pPr>
        <w:spacing w:after="28" w:line="216" w:lineRule="auto"/>
        <w:ind w:left="259"/>
        <w:jc w:val="left"/>
      </w:pPr>
      <w:r>
        <w:rPr>
          <w:rFonts w:ascii="Arial" w:hAnsi="Arial"/>
          <w:color w:val="525252"/>
          <w:sz w:val="13"/>
        </w:rPr>
        <w:t>from neighboring parts except by arbitrary division.</w:t>
      </w:r>
    </w:p>
    <w:p>
      <w:pPr>
        <w:spacing w:after="20" w:line="223" w:lineRule="auto"/>
        <w:jc w:val="right"/>
        <w:bidi/>
      </w:pPr>
      <w:r>
        <w:rPr>
          <w:rFonts w:ascii="Arial" w:hAnsi="Arial"/>
          <w:sz w:val="16"/>
        </w:rPr>
        <w:t>571.02  مرجع دعوت - فرماندهان، معمولا بالاتر از سطح اسکادران، که صلاحیت دستور برگزاری دادگاه نظامی را دارند.</w:t>
      </w:r>
    </w:p>
    <w:p>
      <w:pPr>
        <w:spacing w:after="28" w:line="216" w:lineRule="auto"/>
        <w:ind w:left="259"/>
        <w:jc w:val="left"/>
      </w:pPr>
      <w:r>
        <w:rPr>
          <w:rFonts w:ascii="Arial" w:hAnsi="Arial"/>
          <w:color w:val="525252"/>
          <w:sz w:val="13"/>
        </w:rPr>
        <w:t>Convening Authority—Commanders, usually above the squadron level, who have the authority to order a court-martial be conducted.</w:t>
      </w:r>
    </w:p>
    <w:p>
      <w:pPr>
        <w:spacing w:after="20" w:line="223" w:lineRule="auto"/>
        <w:jc w:val="right"/>
        <w:bidi/>
      </w:pPr>
      <w:r>
        <w:rPr>
          <w:rFonts w:ascii="Arial" w:hAnsi="Arial"/>
          <w:sz w:val="16"/>
        </w:rPr>
        <w:t>571.03  مقامات دعوت کننده با وکیل قاضی ستاد مشورت می‌کنند، تشخیص می‌دهند که آیا محاکمه توسط دادگاه نظامی مناسب است یا خیر، و پرونده را به دادگاه نظامی که خود ایجاد کرده‌اند و برای آن قاضی، اعضای دادگاه، و همچنین وکلای محاکمه و دفاعی را تعیین می‌کنند، ارجاع می‌دهند.</w:t>
      </w:r>
    </w:p>
    <w:p>
      <w:pPr>
        <w:spacing w:after="28" w:line="216" w:lineRule="auto"/>
        <w:ind w:left="259"/>
        <w:jc w:val="left"/>
      </w:pPr>
      <w:r>
        <w:rPr>
          <w:rFonts w:ascii="Arial" w:hAnsi="Arial"/>
          <w:color w:val="525252"/>
          <w:sz w:val="13"/>
        </w:rPr>
        <w:t>The convening authorities consult with the Staff Judge Advocate, determine if trial by court-martial is appropriate, and refer the case to a court-martial which they have created and for which they appoint the judge, court members, as well as the trial and defense counsels.</w:t>
      </w:r>
    </w:p>
    <w:p>
      <w:pPr>
        <w:spacing w:after="20" w:line="223" w:lineRule="auto"/>
        <w:jc w:val="right"/>
        <w:bidi/>
      </w:pPr>
      <w:r>
        <w:rPr>
          <w:rFonts w:ascii="Arial" w:hAnsi="Arial"/>
          <w:sz w:val="16"/>
        </w:rPr>
        <w:t>571.04  حضانت تادیبی - محدودیت فیزیکی فرد در ساعات وظیفه یا غیر وظیفه یا هر دو، که طبق ماده ۱۵ قانون متحدالشکل عدالت نظامی، که ممکن است شامل وظایف اضافی، وظایف خستگی یا کار سخت باشد، به‌عنوان مجازات تعیین شده است.</w:t>
      </w:r>
    </w:p>
    <w:p>
      <w:pPr>
        <w:spacing w:after="28" w:line="216" w:lineRule="auto"/>
        <w:ind w:left="259"/>
        <w:jc w:val="left"/>
      </w:pPr>
      <w:r>
        <w:rPr>
          <w:rFonts w:ascii="Arial" w:hAnsi="Arial"/>
          <w:color w:val="525252"/>
          <w:sz w:val="13"/>
        </w:rPr>
        <w:t>Correctional Custody—The physical restraint of a person during duty or nonduty hours, or both, imposed as a punishment under Article 15, Uniform Code of Military Justice, which may include extra duties, fatigue duties, or hard labor.</w:t>
      </w:r>
    </w:p>
    <w:p>
      <w:pPr>
        <w:spacing w:after="20" w:line="223" w:lineRule="auto"/>
        <w:jc w:val="right"/>
        <w:bidi/>
      </w:pPr>
      <w:r>
        <w:rPr>
          <w:rFonts w:ascii="Arial" w:hAnsi="Arial"/>
          <w:sz w:val="16"/>
        </w:rPr>
        <w:t>571.05  پوشش - افراد خود را مستقیما پشت سر شخص و در جلوی مستقیم آنها قرار می‌دهند.</w:t>
      </w:r>
    </w:p>
    <w:p>
      <w:pPr>
        <w:spacing w:after="28" w:line="216" w:lineRule="auto"/>
        <w:ind w:left="259"/>
        <w:jc w:val="left"/>
      </w:pPr>
      <w:r>
        <w:rPr>
          <w:rFonts w:ascii="Arial" w:hAnsi="Arial"/>
          <w:color w:val="525252"/>
          <w:sz w:val="13"/>
        </w:rPr>
        <w:t>Cover—Individuals align themselves directly behind the person to their immediate front.</w:t>
      </w:r>
    </w:p>
    <w:p>
      <w:pPr>
        <w:spacing w:after="20" w:line="223" w:lineRule="auto"/>
        <w:jc w:val="right"/>
        <w:bidi/>
      </w:pPr>
      <w:r>
        <w:rPr>
          <w:rFonts w:ascii="Arial" w:hAnsi="Arial"/>
          <w:sz w:val="16"/>
        </w:rPr>
        <w:t>571.06  ترک وظیفه - غفلت عمدی از شغل یا وظایف محول شده.</w:t>
      </w:r>
    </w:p>
    <w:p>
      <w:pPr>
        <w:spacing w:after="28" w:line="216" w:lineRule="auto"/>
        <w:ind w:left="259"/>
        <w:jc w:val="left"/>
      </w:pPr>
      <w:r>
        <w:rPr>
          <w:rFonts w:ascii="Arial" w:hAnsi="Arial"/>
          <w:color w:val="525252"/>
          <w:sz w:val="13"/>
        </w:rPr>
        <w:t>Dereliction of Duty—The willful neglect of your job or assigned duties.</w:t>
      </w:r>
    </w:p>
    <w:p>
      <w:pPr>
        <w:spacing w:after="20" w:line="223" w:lineRule="auto"/>
        <w:jc w:val="right"/>
        <w:bidi/>
      </w:pPr>
      <w:r>
        <w:rPr>
          <w:rFonts w:ascii="Arial" w:hAnsi="Arial"/>
          <w:sz w:val="16"/>
        </w:rPr>
        <w:t>571.07  بازدارندگی - پیشگیری از اقدام با ترس از عواقب.</w:t>
      </w:r>
    </w:p>
    <w:p>
      <w:pPr>
        <w:spacing w:after="28" w:line="216" w:lineRule="auto"/>
        <w:ind w:left="259"/>
        <w:jc w:val="left"/>
      </w:pPr>
      <w:r>
        <w:rPr>
          <w:rFonts w:ascii="Arial" w:hAnsi="Arial"/>
          <w:color w:val="525252"/>
          <w:sz w:val="13"/>
        </w:rPr>
        <w:t>Deterrence—The prevention from action by fear of the consequences.</w:t>
      </w:r>
    </w:p>
    <w:p>
      <w:pPr>
        <w:spacing w:after="20" w:line="223" w:lineRule="auto"/>
        <w:jc w:val="right"/>
        <w:bidi/>
      </w:pPr>
      <w:r>
        <w:rPr>
          <w:rFonts w:ascii="Arial" w:hAnsi="Arial"/>
          <w:sz w:val="16"/>
        </w:rPr>
        <w:t>571.08  بازدارندگی حالتی ذهنی است که در اثر وجود تهدید معتبر از اقدام متقابل غیرقابل قبول ایجاد می‌شود.</w:t>
      </w:r>
    </w:p>
    <w:p>
      <w:pPr>
        <w:spacing w:after="28" w:line="216" w:lineRule="auto"/>
        <w:ind w:left="259"/>
        <w:jc w:val="left"/>
      </w:pPr>
      <w:r>
        <w:rPr>
          <w:rFonts w:ascii="Arial" w:hAnsi="Arial"/>
          <w:color w:val="525252"/>
          <w:sz w:val="13"/>
        </w:rPr>
        <w:t>Deterrence is a state of mind brought about by the existence of a credible threat of unacceptable counteraction.</w:t>
      </w:r>
    </w:p>
    <w:p>
      <w:pPr>
        <w:spacing w:after="20" w:line="223" w:lineRule="auto"/>
        <w:jc w:val="right"/>
        <w:bidi/>
      </w:pPr>
      <w:r>
        <w:rPr>
          <w:rFonts w:ascii="Arial" w:hAnsi="Arial"/>
          <w:sz w:val="16"/>
        </w:rPr>
        <w:t>571.09  فاصله - فضای تعیین شده از جلو تا عقب بین واحدها.</w:t>
      </w:r>
    </w:p>
    <w:p>
      <w:pPr>
        <w:spacing w:after="28" w:line="216" w:lineRule="auto"/>
        <w:ind w:left="259"/>
        <w:jc w:val="left"/>
      </w:pPr>
      <w:r>
        <w:rPr>
          <w:rFonts w:ascii="Arial" w:hAnsi="Arial"/>
          <w:color w:val="525252"/>
          <w:sz w:val="13"/>
        </w:rPr>
        <w:t>Distance—The prescribed space from front to rear between units.</w:t>
      </w:r>
    </w:p>
    <w:p>
      <w:pPr>
        <w:spacing w:after="20" w:line="223" w:lineRule="auto"/>
        <w:jc w:val="right"/>
        <w:bidi/>
      </w:pPr>
      <w:r>
        <w:rPr>
          <w:rFonts w:ascii="Arial" w:hAnsi="Arial"/>
          <w:sz w:val="16"/>
        </w:rPr>
        <w:t>571.10  فاصله بین افراد در فرم ۴۰ اینچ است که از سینه آنها تا پشت افراد مقابل آنها اندازه گیری می‌شود.</w:t>
      </w:r>
    </w:p>
    <w:p>
      <w:pPr>
        <w:spacing w:after="28" w:line="216" w:lineRule="auto"/>
        <w:ind w:left="259"/>
        <w:jc w:val="left"/>
      </w:pPr>
      <w:r>
        <w:rPr>
          <w:rFonts w:ascii="Arial" w:hAnsi="Arial"/>
          <w:color w:val="525252"/>
          <w:sz w:val="13"/>
        </w:rPr>
        <w:t>The distance between individuals in formation is 40 inches as measured from their chests to the backs of the persons in front of them.</w:t>
      </w:r>
    </w:p>
    <w:p>
      <w:pPr>
        <w:spacing w:after="20" w:line="223" w:lineRule="auto"/>
        <w:jc w:val="right"/>
        <w:bidi/>
      </w:pPr>
      <w:r>
        <w:rPr>
          <w:rFonts w:ascii="Arial" w:hAnsi="Arial"/>
          <w:sz w:val="16"/>
        </w:rPr>
        <w:t>571.11  دکترین - اصول اساسی که توسط آن نیروهای نظامی یا عناصر آنها اقدامات خود را در حمایت از اهداف ملی هدایت می‌کنند.</w:t>
      </w:r>
    </w:p>
    <w:p>
      <w:pPr>
        <w:spacing w:after="28" w:line="216" w:lineRule="auto"/>
        <w:ind w:left="259"/>
        <w:jc w:val="left"/>
      </w:pPr>
      <w:r>
        <w:rPr>
          <w:rFonts w:ascii="Arial" w:hAnsi="Arial"/>
          <w:color w:val="525252"/>
          <w:sz w:val="13"/>
        </w:rPr>
        <w:t>Doctrine—Fundamental principles by which the military forces or elements thereof guide their actions in support of national objectives.</w:t>
      </w:r>
    </w:p>
    <w:p>
      <w:pPr>
        <w:spacing w:after="20" w:line="223" w:lineRule="auto"/>
        <w:jc w:val="right"/>
        <w:bidi/>
      </w:pPr>
      <w:r>
        <w:rPr>
          <w:rFonts w:ascii="Arial" w:hAnsi="Arial"/>
          <w:sz w:val="16"/>
        </w:rPr>
        <w:t>571.12  معتبر است اما در کاربرد مستلزم قضاوت است.</w:t>
      </w:r>
    </w:p>
    <w:p>
      <w:pPr>
        <w:spacing w:after="28" w:line="216" w:lineRule="auto"/>
        <w:ind w:left="259"/>
        <w:jc w:val="left"/>
      </w:pPr>
      <w:r>
        <w:rPr>
          <w:rFonts w:ascii="Arial" w:hAnsi="Arial"/>
          <w:color w:val="525252"/>
          <w:sz w:val="13"/>
        </w:rPr>
        <w:t>It is authoritative but requires judgment in application.</w:t>
      </w:r>
    </w:p>
    <w:p>
      <w:pPr>
        <w:spacing w:after="20" w:line="223" w:lineRule="auto"/>
        <w:jc w:val="right"/>
        <w:bidi/>
      </w:pPr>
      <w:r>
        <w:rPr>
          <w:rFonts w:ascii="Arial" w:hAnsi="Arial"/>
          <w:sz w:val="16"/>
        </w:rPr>
        <w:t>571.13  لباس - تراز کردن عناصر در کنار هم یا در یک خط با حفظ فاصله مناسب.</w:t>
      </w:r>
    </w:p>
    <w:p>
      <w:pPr>
        <w:spacing w:after="28" w:line="216" w:lineRule="auto"/>
        <w:ind w:left="259"/>
        <w:jc w:val="left"/>
      </w:pPr>
      <w:r>
        <w:rPr>
          <w:rFonts w:ascii="Arial" w:hAnsi="Arial"/>
          <w:color w:val="525252"/>
          <w:sz w:val="13"/>
        </w:rPr>
        <w:t>Dress—Alignment of elements side by side or in line maintaining proper interval.</w:t>
      </w:r>
    </w:p>
    <w:p>
      <w:pPr>
        <w:spacing w:after="20" w:line="223" w:lineRule="auto"/>
        <w:jc w:val="right"/>
        <w:bidi/>
      </w:pPr>
      <w:r>
        <w:rPr>
          <w:rFonts w:ascii="Arial" w:hAnsi="Arial"/>
          <w:sz w:val="16"/>
        </w:rPr>
        <w:t>571.14  چلون - زیرمجموعه یک ستاد.</w:t>
      </w:r>
    </w:p>
    <w:p>
      <w:pPr>
        <w:spacing w:after="28" w:line="216" w:lineRule="auto"/>
        <w:ind w:left="259"/>
        <w:jc w:val="left"/>
      </w:pPr>
      <w:r>
        <w:rPr>
          <w:rFonts w:ascii="Arial" w:hAnsi="Arial"/>
          <w:color w:val="525252"/>
          <w:sz w:val="13"/>
        </w:rPr>
        <w:t>Echelon—A subdivision of a headquarters.</w:t>
      </w:r>
    </w:p>
    <w:p>
      <w:pPr>
        <w:spacing w:after="20" w:line="223" w:lineRule="auto"/>
        <w:jc w:val="right"/>
        <w:bidi/>
      </w:pPr>
      <w:r>
        <w:rPr>
          <w:rFonts w:ascii="Arial" w:hAnsi="Arial"/>
          <w:sz w:val="16"/>
        </w:rPr>
        <w:t>571.15  عنصر - شکل‌گیری اساسی. کوچکترین واحد مته، متشکل از حداقل ۳ نفر، اما معمولا ۸ تا ۱۲ نفر، که یکی از آنها به‌عنوان رهبر عنصر تعیین می‌شود.</w:t>
      </w:r>
    </w:p>
    <w:p>
      <w:pPr>
        <w:spacing w:after="28" w:line="216" w:lineRule="auto"/>
        <w:ind w:left="259"/>
        <w:jc w:val="left"/>
      </w:pPr>
      <w:r>
        <w:rPr>
          <w:rFonts w:ascii="Arial" w:hAnsi="Arial"/>
          <w:color w:val="525252"/>
          <w:sz w:val="13"/>
        </w:rPr>
        <w:t>Element—The basic formation; the smallest drill unit, comprised of at least 3 individuals, but usually 8 to 12 persons, one of whom is designated as the element leader.</w:t>
      </w:r>
    </w:p>
    <w:p>
      <w:pPr>
        <w:spacing w:after="20" w:line="223" w:lineRule="auto"/>
        <w:jc w:val="right"/>
        <w:bidi/>
      </w:pPr>
      <w:r>
        <w:rPr>
          <w:rFonts w:ascii="Arial" w:hAnsi="Arial"/>
          <w:sz w:val="16"/>
        </w:rPr>
        <w:t>571.16  جاسوسی - عمل به دست آوردن، تحویل، انتقال، مخابره یا دریافت اطلاعات در مورد دفاع ملی با قصد یا دلیلی برای این باور که این اطلاعات ممکن است برای آسیب رساندن به ایالات متحده یا به نفع هر کشور خارجی مورد استفاده قرار گیرد.</w:t>
      </w:r>
    </w:p>
    <w:p>
      <w:pPr>
        <w:spacing w:after="28" w:line="216" w:lineRule="auto"/>
        <w:ind w:left="259"/>
        <w:jc w:val="left"/>
      </w:pPr>
      <w:r>
        <w:rPr>
          <w:rFonts w:ascii="Arial" w:hAnsi="Arial"/>
          <w:color w:val="525252"/>
          <w:sz w:val="13"/>
        </w:rPr>
        <w:t>Espionage—The act of obtaining, delivering, transmitting, communicating, or receiving information about the national defense with an intent, or reason to believe, that the information may be used to the injury of the United States or to the advantage of any foreign nation.</w:t>
      </w:r>
    </w:p>
    <w:p>
      <w:pPr>
        <w:spacing w:after="20" w:line="223" w:lineRule="auto"/>
        <w:jc w:val="right"/>
        <w:bidi/>
      </w:pPr>
      <w:r>
        <w:rPr>
          <w:rFonts w:ascii="Arial" w:hAnsi="Arial"/>
          <w:sz w:val="16"/>
        </w:rPr>
        <w:t>571.17  سپریت د کورپس - از خود گذشتگی و اشتیاق در بین اعضای یک گروه برای یکدیگر.</w:t>
      </w:r>
    </w:p>
    <w:p>
      <w:pPr>
        <w:spacing w:after="28" w:line="216" w:lineRule="auto"/>
        <w:ind w:left="259"/>
        <w:jc w:val="left"/>
      </w:pPr>
      <w:r>
        <w:rPr>
          <w:rFonts w:ascii="Arial" w:hAnsi="Arial"/>
          <w:color w:val="525252"/>
          <w:sz w:val="13"/>
        </w:rPr>
        <w:t>Esprit de Corps—Devotion and enthusiasm among members of a group for one another.</w:t>
      </w:r>
    </w:p>
    <w:p>
      <w:pPr>
        <w:spacing w:after="20" w:line="223" w:lineRule="auto"/>
        <w:jc w:val="right"/>
        <w:bidi/>
      </w:pPr>
      <w:r>
        <w:rPr>
          <w:rFonts w:ascii="Arial" w:hAnsi="Arial"/>
          <w:sz w:val="16"/>
        </w:rPr>
        <w:t>571.18  ارزیاب - یک ارجاع کلی به هر فردی که گزارش ارزیابی را در مقام رتبه بندی امضا می‌کند.</w:t>
      </w:r>
    </w:p>
    <w:p>
      <w:pPr>
        <w:spacing w:after="28" w:line="216" w:lineRule="auto"/>
        <w:ind w:left="259"/>
        <w:jc w:val="left"/>
      </w:pPr>
      <w:r>
        <w:rPr>
          <w:rFonts w:ascii="Arial" w:hAnsi="Arial"/>
          <w:color w:val="525252"/>
          <w:sz w:val="13"/>
        </w:rPr>
        <w:t>Evaluator—A general reference to any individual who signs an evaluation report in a rating capacity.</w:t>
      </w:r>
    </w:p>
    <w:p>
      <w:pPr>
        <w:spacing w:after="20" w:line="223" w:lineRule="auto"/>
        <w:jc w:val="right"/>
        <w:bidi/>
      </w:pPr>
      <w:r>
        <w:rPr>
          <w:rFonts w:ascii="Arial" w:hAnsi="Arial"/>
          <w:sz w:val="16"/>
        </w:rPr>
        <w:t>571.19  هر ارزیاب باید در درجه یا موقعیتی برابر یا بالاتر از ارزیاب‌های قبلی و نرخ خدمت کند.</w:t>
      </w:r>
    </w:p>
    <w:p>
      <w:pPr>
        <w:spacing w:after="28" w:line="216" w:lineRule="auto"/>
        <w:ind w:left="259"/>
        <w:jc w:val="left"/>
      </w:pPr>
      <w:r>
        <w:rPr>
          <w:rFonts w:ascii="Arial" w:hAnsi="Arial"/>
          <w:color w:val="525252"/>
          <w:sz w:val="13"/>
        </w:rPr>
        <w:t>Each evaluator must be serving in a grade or position equal to or higher than the previous evaluators and the ratee.</w:t>
      </w:r>
    </w:p>
    <w:p>
      <w:pPr>
        <w:spacing w:after="20" w:line="223" w:lineRule="auto"/>
        <w:jc w:val="right"/>
        <w:bidi/>
      </w:pPr>
      <w:r>
        <w:rPr>
          <w:rFonts w:ascii="Arial" w:hAnsi="Arial"/>
          <w:sz w:val="16"/>
        </w:rPr>
        <w:t>571.20  توجه: فرماندهی که از درجه پایین‌تر از رتبه‌دهنده است، همچنان گزارش عملکرد ثبت‌شده را بررسی می‌کند (به AFI ۳۶-۲۴۰۳ مراجعه کنید).</w:t>
      </w:r>
    </w:p>
    <w:p>
      <w:pPr>
        <w:spacing w:after="28" w:line="216" w:lineRule="auto"/>
        <w:ind w:left="259"/>
        <w:jc w:val="left"/>
      </w:pPr>
      <w:r>
        <w:rPr>
          <w:rFonts w:ascii="Arial" w:hAnsi="Arial"/>
          <w:color w:val="525252"/>
          <w:sz w:val="13"/>
        </w:rPr>
        <w:t>Note: A commander who is junior in grade to the rater will still review the enlisted performance report (see AFI 36-2403).</w:t>
      </w:r>
    </w:p>
    <w:p>
      <w:pPr>
        <w:spacing w:after="20" w:line="223" w:lineRule="auto"/>
        <w:jc w:val="right"/>
        <w:bidi/>
      </w:pPr>
      <w:r>
        <w:rPr>
          <w:rFonts w:ascii="Arial" w:hAnsi="Arial"/>
          <w:sz w:val="16"/>
        </w:rPr>
        <w:t>571.21  بهره‌برداری - بهره‌گیری کامل از موفقیت در نبرد و پیگیری دستاوردهای اولیه یا بهره‌گیری کامل از هرگونه اطلاعاتی که برای اهداف تاکتیکی، عملیاتی یا استراتژیک به دست آمده است.</w:t>
      </w:r>
    </w:p>
    <w:p>
      <w:pPr>
        <w:spacing w:after="28" w:line="216" w:lineRule="auto"/>
        <w:ind w:left="259"/>
        <w:jc w:val="left"/>
      </w:pPr>
      <w:r>
        <w:rPr>
          <w:rFonts w:ascii="Arial" w:hAnsi="Arial"/>
          <w:color w:val="525252"/>
          <w:sz w:val="13"/>
        </w:rPr>
        <w:t>Exploitation—Taking full advantage of success in battle and following up initial gains or taking full advantage of any information that has come to hand for tactical, operational, or strategic purposes.</w:t>
      </w:r>
    </w:p>
    <w:p>
      <w:pPr>
        <w:spacing w:after="20" w:line="223" w:lineRule="auto"/>
        <w:jc w:val="right"/>
        <w:bidi/>
      </w:pPr>
      <w:r>
        <w:rPr>
          <w:rFonts w:ascii="Arial" w:hAnsi="Arial"/>
          <w:sz w:val="16"/>
        </w:rPr>
        <w:t>571.22  فایل - ستونی از افراد که پشت سر هم قرار گرفته‌اند.</w:t>
      </w:r>
    </w:p>
    <w:p>
      <w:pPr>
        <w:spacing w:after="28" w:line="216" w:lineRule="auto"/>
        <w:ind w:left="259"/>
        <w:jc w:val="left"/>
      </w:pPr>
      <w:r>
        <w:rPr>
          <w:rFonts w:ascii="Arial" w:hAnsi="Arial"/>
          <w:color w:val="525252"/>
          <w:sz w:val="13"/>
        </w:rPr>
        <w:t>File—A single column of individuals placed one behind the other.</w:t>
      </w:r>
    </w:p>
    <w:p>
      <w:pPr>
        <w:spacing w:after="20" w:line="223" w:lineRule="auto"/>
        <w:jc w:val="right"/>
        <w:bidi/>
      </w:pPr>
      <w:r>
        <w:rPr>
          <w:rFonts w:ascii="Arial" w:hAnsi="Arial"/>
          <w:sz w:val="16"/>
        </w:rPr>
        <w:t>571.23  سال مالی - دوره ۱۲ ماهه‌ای است که یک سازمان قصد دارد برای آن از بودجه خود استفاده کند.</w:t>
      </w:r>
    </w:p>
    <w:p>
      <w:pPr>
        <w:spacing w:after="28" w:line="216" w:lineRule="auto"/>
        <w:ind w:left="259"/>
        <w:jc w:val="left"/>
      </w:pPr>
      <w:r>
        <w:rPr>
          <w:rFonts w:ascii="Arial" w:hAnsi="Arial"/>
          <w:color w:val="525252"/>
          <w:sz w:val="13"/>
        </w:rPr>
        <w:t>Fiscal Year—A 12-month period for which an organization plans to use its funds.</w:t>
      </w:r>
    </w:p>
    <w:p>
      <w:pPr>
        <w:spacing w:after="20" w:line="223" w:lineRule="auto"/>
        <w:jc w:val="right"/>
        <w:bidi/>
      </w:pPr>
      <w:r>
        <w:rPr>
          <w:rFonts w:ascii="Arial" w:hAnsi="Arial"/>
          <w:sz w:val="16"/>
        </w:rPr>
        <w:t>571.24  سال مالی از ۱ اکتبر شروع و در ۳۰ سپتامبر به پایان می‌رسد.</w:t>
      </w:r>
    </w:p>
    <w:p>
      <w:pPr>
        <w:spacing w:after="28" w:line="216" w:lineRule="auto"/>
        <w:ind w:left="259"/>
        <w:jc w:val="left"/>
      </w:pPr>
      <w:r>
        <w:rPr>
          <w:rFonts w:ascii="Arial" w:hAnsi="Arial"/>
          <w:color w:val="525252"/>
          <w:sz w:val="13"/>
        </w:rPr>
        <w:t>The fiscal year starts on 1 October and ends on 30 September.</w:t>
      </w:r>
    </w:p>
    <w:p>
      <w:pPr>
        <w:spacing w:after="20" w:line="223" w:lineRule="auto"/>
        <w:jc w:val="right"/>
        <w:bidi/>
      </w:pPr>
      <w:r>
        <w:rPr>
          <w:rFonts w:ascii="Arial" w:hAnsi="Arial"/>
          <w:sz w:val="16"/>
        </w:rPr>
        <w:t>571.25  پزشکی قانونی - مربوط به، مورد استفاده، یا مناسب برای دادگاه‌های حقوقی یا برای بحث عمومی یا استدلال.</w:t>
      </w:r>
    </w:p>
    <w:p>
      <w:pPr>
        <w:spacing w:after="28" w:line="216" w:lineRule="auto"/>
        <w:ind w:left="259"/>
        <w:jc w:val="left"/>
      </w:pPr>
      <w:r>
        <w:rPr>
          <w:rFonts w:ascii="Arial" w:hAnsi="Arial"/>
          <w:color w:val="525252"/>
          <w:sz w:val="13"/>
        </w:rPr>
        <w:t>Forensic—Relating to, used in, or appropriate for courts of law or for public discussion or argumentation.</w:t>
      </w:r>
    </w:p>
    <w:p>
      <w:pPr>
        <w:spacing w:after="20" w:line="223" w:lineRule="auto"/>
        <w:jc w:val="right"/>
        <w:bidi/>
      </w:pPr>
      <w:r>
        <w:rPr>
          <w:rFonts w:ascii="Arial" w:hAnsi="Arial"/>
          <w:sz w:val="16"/>
        </w:rPr>
        <w:t>571.26  مربوط به، یا مورد استفاده در مناظره یا استدلال؛ بلاغی</w:t>
      </w:r>
    </w:p>
    <w:p>
      <w:pPr>
        <w:spacing w:after="28" w:line="216" w:lineRule="auto"/>
        <w:ind w:left="259"/>
        <w:jc w:val="left"/>
      </w:pPr>
      <w:r>
        <w:rPr>
          <w:rFonts w:ascii="Arial" w:hAnsi="Arial"/>
          <w:color w:val="525252"/>
          <w:sz w:val="13"/>
        </w:rPr>
        <w:t>Of, relating to, or used in debate or argument; rhetorical.</w:t>
      </w:r>
    </w:p>
    <w:p>
      <w:pPr>
        <w:spacing w:after="20" w:line="223" w:lineRule="auto"/>
        <w:jc w:val="right"/>
        <w:bidi/>
      </w:pPr>
      <w:r>
        <w:rPr>
          <w:rFonts w:ascii="Arial" w:hAnsi="Arial"/>
          <w:sz w:val="16"/>
        </w:rPr>
        <w:t>571.27  مربوط به استفاده از علم یا فناوری در تحقیق و اثبات حقایق یا شواهد در دادگاه حقوقی: آزمایشگاه پزشکی قانونی.</w:t>
      </w:r>
    </w:p>
    <w:p>
      <w:pPr>
        <w:spacing w:after="28" w:line="216" w:lineRule="auto"/>
        <w:ind w:left="259"/>
        <w:jc w:val="left"/>
      </w:pPr>
      <w:r>
        <w:rPr>
          <w:rFonts w:ascii="Arial" w:hAnsi="Arial"/>
          <w:color w:val="525252"/>
          <w:sz w:val="13"/>
        </w:rPr>
        <w:t>Relating to the use of science or technology in the investigation and establishment of facts or evidence in a court of law: a forensic laboratory.</w:t>
      </w:r>
    </w:p>
    <w:p>
      <w:pPr>
        <w:spacing w:after="20" w:line="223" w:lineRule="auto"/>
        <w:jc w:val="right"/>
        <w:bidi/>
      </w:pPr>
      <w:r>
        <w:rPr>
          <w:rFonts w:ascii="Arial" w:hAnsi="Arial"/>
          <w:sz w:val="16"/>
        </w:rPr>
        <w:t>571.28  محرومیت از دستمزد - نوعی مجازات که در آن افراد حق خود را برای پرداخت هزینه از دست می‌دهند.</w:t>
      </w:r>
    </w:p>
    <w:p>
      <w:pPr>
        <w:spacing w:after="28" w:line="216" w:lineRule="auto"/>
        <w:ind w:left="259"/>
        <w:jc w:val="left"/>
      </w:pPr>
      <w:r>
        <w:rPr>
          <w:rFonts w:ascii="Arial" w:hAnsi="Arial"/>
          <w:color w:val="525252"/>
          <w:sz w:val="13"/>
        </w:rPr>
        <w:t>Forfeiture of Pay—A type of punishment where people lose their entitlements to pay for a</w:t>
      </w:r>
    </w:p>
    <w:p>
      <w:r>
        <w:br w:type="page"/>
      </w:r>
    </w:p>
    <w:p>
      <w:pPr>
        <w:spacing w:after="60"/>
        <w:jc w:val="right"/>
        <w:bidi/>
      </w:pPr>
      <w:r>
        <w:rPr>
          <w:rFonts w:ascii="Arial" w:hAnsi="Arial"/>
          <w:b/>
          <w:color w:val="1F4D78"/>
          <w:sz w:val="19"/>
        </w:rPr>
        <w:t>هفتهٔ 572  |  صفحهٔ منبع: 589</w:t>
      </w:r>
    </w:p>
    <w:p>
      <w:pPr>
        <w:spacing w:after="20" w:line="223" w:lineRule="auto"/>
        <w:jc w:val="right"/>
        <w:bidi/>
      </w:pPr>
      <w:r>
        <w:rPr>
          <w:rFonts w:ascii="Arial" w:hAnsi="Arial"/>
          <w:sz w:val="16"/>
        </w:rPr>
        <w:t>572.01  دوره زمانی مشخص.</w:t>
      </w:r>
    </w:p>
    <w:p>
      <w:pPr>
        <w:spacing w:after="28" w:line="216" w:lineRule="auto"/>
        <w:ind w:left="259"/>
        <w:jc w:val="left"/>
      </w:pPr>
      <w:r>
        <w:rPr>
          <w:rFonts w:ascii="Arial" w:hAnsi="Arial"/>
          <w:color w:val="525252"/>
          <w:sz w:val="13"/>
        </w:rPr>
        <w:t>specified period of time.</w:t>
      </w:r>
    </w:p>
    <w:p>
      <w:pPr>
        <w:spacing w:after="20" w:line="223" w:lineRule="auto"/>
        <w:jc w:val="right"/>
        <w:bidi/>
      </w:pPr>
      <w:r>
        <w:rPr>
          <w:rFonts w:ascii="Arial" w:hAnsi="Arial"/>
          <w:sz w:val="16"/>
        </w:rPr>
        <w:t>572.02  کلاهبرداری - رفتار گمراه کننده یا فریبکارانه عمدی که دولت را از منابع یا حقوق خود محروم می‌کند.</w:t>
      </w:r>
    </w:p>
    <w:p>
      <w:pPr>
        <w:spacing w:after="28" w:line="216" w:lineRule="auto"/>
        <w:ind w:left="259"/>
        <w:jc w:val="left"/>
      </w:pPr>
      <w:r>
        <w:rPr>
          <w:rFonts w:ascii="Arial" w:hAnsi="Arial"/>
          <w:color w:val="525252"/>
          <w:sz w:val="13"/>
        </w:rPr>
        <w:t>Fraud—The intentional misleading or deceitful conduct that deprives the government of its resources or rights.</w:t>
      </w:r>
    </w:p>
    <w:p>
      <w:pPr>
        <w:spacing w:after="20" w:line="223" w:lineRule="auto"/>
        <w:jc w:val="right"/>
        <w:bidi/>
      </w:pPr>
      <w:r>
        <w:rPr>
          <w:rFonts w:ascii="Arial" w:hAnsi="Arial"/>
          <w:sz w:val="16"/>
        </w:rPr>
        <w:t>572.03  منطقه عملکردی - وظایف یا فعالیت‌های مرتبط و وابسته به یکدیگر.</w:t>
      </w:r>
    </w:p>
    <w:p>
      <w:pPr>
        <w:spacing w:after="28" w:line="216" w:lineRule="auto"/>
        <w:ind w:left="259"/>
        <w:jc w:val="left"/>
      </w:pPr>
      <w:r>
        <w:rPr>
          <w:rFonts w:ascii="Arial" w:hAnsi="Arial"/>
          <w:color w:val="525252"/>
          <w:sz w:val="13"/>
        </w:rPr>
        <w:t>Functional Area—Duties or activities related to and dependent upon one another.</w:t>
      </w:r>
    </w:p>
    <w:p>
      <w:pPr>
        <w:spacing w:after="20" w:line="223" w:lineRule="auto"/>
        <w:jc w:val="right"/>
        <w:bidi/>
      </w:pPr>
      <w:r>
        <w:rPr>
          <w:rFonts w:ascii="Arial" w:hAnsi="Arial"/>
          <w:sz w:val="16"/>
        </w:rPr>
        <w:t>572.04  شکایت - یک شکایت شخصی، توسط یک کارمند غیرنظامی، مربوط به شغل یا محیط کار و منوط به کنترل مدیریت.</w:t>
      </w:r>
    </w:p>
    <w:p>
      <w:pPr>
        <w:spacing w:after="28" w:line="216" w:lineRule="auto"/>
        <w:ind w:left="259"/>
        <w:jc w:val="left"/>
      </w:pPr>
      <w:r>
        <w:rPr>
          <w:rFonts w:ascii="Arial" w:hAnsi="Arial"/>
          <w:color w:val="525252"/>
          <w:sz w:val="13"/>
        </w:rPr>
        <w:t>Grievance—A personal complaint, by a civilian employee, related to the job or working environment and subject to the control of management.</w:t>
      </w:r>
    </w:p>
    <w:p>
      <w:pPr>
        <w:spacing w:after="20" w:line="223" w:lineRule="auto"/>
        <w:jc w:val="right"/>
        <w:bidi/>
      </w:pPr>
      <w:r>
        <w:rPr>
          <w:rFonts w:ascii="Arial" w:hAnsi="Arial"/>
          <w:sz w:val="16"/>
        </w:rPr>
        <w:t>572.05  این اصطلاح همچنین شامل هرگونه شکایت یا اعتراض بر اساس شرایط واقعی یا فرضی می‌شود.</w:t>
      </w:r>
    </w:p>
    <w:p>
      <w:pPr>
        <w:spacing w:after="28" w:line="216" w:lineRule="auto"/>
        <w:ind w:left="259"/>
        <w:jc w:val="left"/>
      </w:pPr>
      <w:r>
        <w:rPr>
          <w:rFonts w:ascii="Arial" w:hAnsi="Arial"/>
          <w:color w:val="525252"/>
          <w:sz w:val="13"/>
        </w:rPr>
        <w:t>This term also includes any complaint or protest based on either actual or supposed circumstances.</w:t>
      </w:r>
    </w:p>
    <w:p>
      <w:pPr>
        <w:spacing w:after="20" w:line="223" w:lineRule="auto"/>
        <w:jc w:val="right"/>
        <w:bidi/>
      </w:pPr>
      <w:r>
        <w:rPr>
          <w:rFonts w:ascii="Arial" w:hAnsi="Arial"/>
          <w:sz w:val="16"/>
        </w:rPr>
        <w:t>572.06  راهنما - هواپیمایی که برای تنظیم جهت و سرعت راهپیمایی تعیین شده است.</w:t>
      </w:r>
    </w:p>
    <w:p>
      <w:pPr>
        <w:spacing w:after="28" w:line="216" w:lineRule="auto"/>
        <w:ind w:left="259"/>
        <w:jc w:val="left"/>
      </w:pPr>
      <w:r>
        <w:rPr>
          <w:rFonts w:ascii="Arial" w:hAnsi="Arial"/>
          <w:color w:val="525252"/>
          <w:sz w:val="13"/>
        </w:rPr>
        <w:t>Guide—The Airman designated to regulate the direction and rate of march.</w:t>
      </w:r>
    </w:p>
    <w:p>
      <w:pPr>
        <w:spacing w:after="20" w:line="223" w:lineRule="auto"/>
        <w:jc w:val="right"/>
        <w:bidi/>
      </w:pPr>
      <w:r>
        <w:rPr>
          <w:rFonts w:ascii="Arial" w:hAnsi="Arial"/>
          <w:sz w:val="16"/>
        </w:rPr>
        <w:t>572.07  نیمه پرسنل - موقعیت پرچم زمانی که فاصله آن بین بالا و پایین کارکنان به نصف است.</w:t>
      </w:r>
    </w:p>
    <w:p>
      <w:pPr>
        <w:spacing w:after="28" w:line="216" w:lineRule="auto"/>
        <w:ind w:left="259"/>
        <w:jc w:val="left"/>
      </w:pPr>
      <w:r>
        <w:rPr>
          <w:rFonts w:ascii="Arial" w:hAnsi="Arial"/>
          <w:color w:val="525252"/>
          <w:sz w:val="13"/>
        </w:rPr>
        <w:t>Half-staff—The position of the flag when it is one-half the distance between the top and bottom of the staff.</w:t>
      </w:r>
    </w:p>
    <w:p>
      <w:pPr>
        <w:spacing w:after="20" w:line="223" w:lineRule="auto"/>
        <w:jc w:val="right"/>
        <w:bidi/>
      </w:pPr>
      <w:r>
        <w:rPr>
          <w:rFonts w:ascii="Arial" w:hAnsi="Arial"/>
          <w:sz w:val="16"/>
        </w:rPr>
        <w:t>572.08  برتری اطلاعات - توانایی جمع‌آوری، پردازش، تجزیه و تحلیل و انتشار اطلاعات در حالی که توانایی دشمن برای انجام همین کار را رد می‌کند.</w:t>
      </w:r>
    </w:p>
    <w:p>
      <w:pPr>
        <w:spacing w:after="28" w:line="216" w:lineRule="auto"/>
        <w:ind w:left="259"/>
        <w:jc w:val="left"/>
      </w:pPr>
      <w:r>
        <w:rPr>
          <w:rFonts w:ascii="Arial" w:hAnsi="Arial"/>
          <w:color w:val="525252"/>
          <w:sz w:val="13"/>
        </w:rPr>
        <w:t>Information Superiority—The capability to collect, process, analyze, and disseminate information while denying an adversary’s ability to do the same.</w:t>
      </w:r>
    </w:p>
    <w:p>
      <w:pPr>
        <w:spacing w:after="20" w:line="223" w:lineRule="auto"/>
        <w:jc w:val="right"/>
        <w:bidi/>
      </w:pPr>
      <w:r>
        <w:rPr>
          <w:rFonts w:ascii="Arial" w:hAnsi="Arial"/>
          <w:sz w:val="16"/>
        </w:rPr>
        <w:t>572.09  جنگ اطلاعاتی (IW) - هر اقدامی که برای انکار، بهره‌برداری، فاسد یا از بین بردن اطلاعات و عملکردهای اطلاعاتی دشمن انجام می‌شود و در عین حال از نیروهای دوست در برابر اقدامات مشابه محافظت می‌کند و از عملکرد اطلاعات نظامی خودمان بهره‌برداری می‌کند.</w:t>
      </w:r>
    </w:p>
    <w:p>
      <w:pPr>
        <w:spacing w:after="28" w:line="216" w:lineRule="auto"/>
        <w:ind w:left="259"/>
        <w:jc w:val="left"/>
      </w:pPr>
      <w:r>
        <w:rPr>
          <w:rFonts w:ascii="Arial" w:hAnsi="Arial"/>
          <w:color w:val="525252"/>
          <w:sz w:val="13"/>
        </w:rPr>
        <w:t>Information Warfare (IW)—Any action taken to deny, exploit, corrupt, or destroy an adversary’s information and information functions while protecting friendly forces against similar actions and exploiting our own military information functions.</w:t>
      </w:r>
    </w:p>
    <w:p>
      <w:pPr>
        <w:spacing w:after="20" w:line="223" w:lineRule="auto"/>
        <w:jc w:val="right"/>
        <w:bidi/>
      </w:pPr>
      <w:r>
        <w:rPr>
          <w:rFonts w:ascii="Arial" w:hAnsi="Arial"/>
          <w:sz w:val="16"/>
        </w:rPr>
        <w:t>572.10  زیرساخت - اصطلاحی است که عموما برای همه تاسیسات ثابت و دائمی، ساخت و سازها یا تأسیسات برای پشتیبانی و کنترل نیروهای نظامی کاربرد دارد.</w:t>
      </w:r>
    </w:p>
    <w:p>
      <w:pPr>
        <w:spacing w:after="28" w:line="216" w:lineRule="auto"/>
        <w:ind w:left="259"/>
        <w:jc w:val="left"/>
      </w:pPr>
      <w:r>
        <w:rPr>
          <w:rFonts w:ascii="Arial" w:hAnsi="Arial"/>
          <w:color w:val="525252"/>
          <w:sz w:val="13"/>
        </w:rPr>
        <w:t>Infrastructure—A term generally applicable to all fixed and permanent installations, fabrications, or facilities for the support and control of military forces.</w:t>
      </w:r>
    </w:p>
    <w:p>
      <w:pPr>
        <w:spacing w:after="20" w:line="223" w:lineRule="auto"/>
        <w:jc w:val="right"/>
        <w:bidi/>
      </w:pPr>
      <w:r>
        <w:rPr>
          <w:rFonts w:ascii="Arial" w:hAnsi="Arial"/>
          <w:sz w:val="16"/>
        </w:rPr>
        <w:t>572.11  فرمانده نصب - فردی که مسئول تمام عملیات انجام شده توسط یک نصب است.</w:t>
      </w:r>
    </w:p>
    <w:p>
      <w:pPr>
        <w:spacing w:after="28" w:line="216" w:lineRule="auto"/>
        <w:ind w:left="259"/>
        <w:jc w:val="left"/>
      </w:pPr>
      <w:r>
        <w:rPr>
          <w:rFonts w:ascii="Arial" w:hAnsi="Arial"/>
          <w:color w:val="525252"/>
          <w:sz w:val="13"/>
        </w:rPr>
        <w:t>Installation Commander—The individual responsible for all operations performed by an installation.</w:t>
      </w:r>
    </w:p>
    <w:p>
      <w:pPr>
        <w:spacing w:after="20" w:line="223" w:lineRule="auto"/>
        <w:jc w:val="right"/>
        <w:bidi/>
      </w:pPr>
      <w:r>
        <w:rPr>
          <w:rFonts w:ascii="Arial" w:hAnsi="Arial"/>
          <w:sz w:val="16"/>
        </w:rPr>
        <w:t>572.12  هوش: محصولی که از جمع‌آوری، پردازش، ادغام، تجزیه و تحلیل، ارزیابی و تفسیر اطلاعات موجود در مورد کشورها یا مناطق خارجی حاصل می‌شود.</w:t>
      </w:r>
    </w:p>
    <w:p>
      <w:pPr>
        <w:spacing w:after="28" w:line="216" w:lineRule="auto"/>
        <w:ind w:left="259"/>
        <w:jc w:val="left"/>
      </w:pPr>
      <w:r>
        <w:rPr>
          <w:rFonts w:ascii="Arial" w:hAnsi="Arial"/>
          <w:color w:val="525252"/>
          <w:sz w:val="13"/>
        </w:rPr>
        <w:t>Intelligence—The product resulting from the collection, processing, integration, analysis, evaluation, and interpretation of available information concerning foreign countries or areas.</w:t>
      </w:r>
    </w:p>
    <w:p>
      <w:pPr>
        <w:spacing w:after="20" w:line="223" w:lineRule="auto"/>
        <w:jc w:val="right"/>
        <w:bidi/>
      </w:pPr>
      <w:r>
        <w:rPr>
          <w:rFonts w:ascii="Arial" w:hAnsi="Arial"/>
          <w:sz w:val="16"/>
        </w:rPr>
        <w:t>572.13  بازدارندگی - اقدامی برای منحرف کردن، مختل کردن، به تاخیر انداختن یا از بین بردن پتانسیل نظامی سطحی دشمن قبل از اینکه بتواند به‌طور مؤثر علیه نیروهای دوست مورد استفاده قرار گیرد.</w:t>
      </w:r>
    </w:p>
    <w:p>
      <w:pPr>
        <w:spacing w:after="28" w:line="216" w:lineRule="auto"/>
        <w:ind w:left="259"/>
        <w:jc w:val="left"/>
      </w:pPr>
      <w:r>
        <w:rPr>
          <w:rFonts w:ascii="Arial" w:hAnsi="Arial"/>
          <w:color w:val="525252"/>
          <w:sz w:val="13"/>
        </w:rPr>
        <w:t>Interdiction—An action to divert, disrupt, delay, or destroy the enemy’s surface military potential before it can be used effectively against friendly forces.</w:t>
      </w:r>
    </w:p>
    <w:p>
      <w:pPr>
        <w:spacing w:after="20" w:line="223" w:lineRule="auto"/>
        <w:jc w:val="right"/>
        <w:bidi/>
      </w:pPr>
      <w:r>
        <w:rPr>
          <w:rFonts w:ascii="Arial" w:hAnsi="Arial"/>
          <w:sz w:val="16"/>
        </w:rPr>
        <w:t>572.14  بازجویی - تلاش سیستماتیک برای به دست آوردن اطلاعات با بازجویی مستقیم از فردی که تحت کنترل پرسشگر است.</w:t>
      </w:r>
    </w:p>
    <w:p>
      <w:pPr>
        <w:spacing w:after="28" w:line="216" w:lineRule="auto"/>
        <w:ind w:left="259"/>
        <w:jc w:val="left"/>
      </w:pPr>
      <w:r>
        <w:rPr>
          <w:rFonts w:ascii="Arial" w:hAnsi="Arial"/>
          <w:color w:val="525252"/>
          <w:sz w:val="13"/>
        </w:rPr>
        <w:t>Interrogation—Systematic effort to procure information by direct questioning of a person under the control of the questioner.</w:t>
      </w:r>
    </w:p>
    <w:p>
      <w:pPr>
        <w:spacing w:after="20" w:line="223" w:lineRule="auto"/>
        <w:jc w:val="right"/>
        <w:bidi/>
      </w:pPr>
      <w:r>
        <w:rPr>
          <w:rFonts w:ascii="Arial" w:hAnsi="Arial"/>
          <w:sz w:val="16"/>
        </w:rPr>
        <w:t>572.15  فاصله - فاصله بین افرادی که در کنار هم ایستاده‌اند.</w:t>
      </w:r>
    </w:p>
    <w:p>
      <w:pPr>
        <w:spacing w:after="28" w:line="216" w:lineRule="auto"/>
        <w:ind w:left="259"/>
        <w:jc w:val="left"/>
      </w:pPr>
      <w:r>
        <w:rPr>
          <w:rFonts w:ascii="Arial" w:hAnsi="Arial"/>
          <w:color w:val="525252"/>
          <w:sz w:val="13"/>
        </w:rPr>
        <w:t>Interval—Space between individuals standing side by side.</w:t>
      </w:r>
    </w:p>
    <w:p>
      <w:pPr>
        <w:spacing w:after="20" w:line="223" w:lineRule="auto"/>
        <w:jc w:val="right"/>
        <w:bidi/>
      </w:pPr>
      <w:r>
        <w:rPr>
          <w:rFonts w:ascii="Arial" w:hAnsi="Arial"/>
          <w:sz w:val="16"/>
        </w:rPr>
        <w:t>572.16  فاصله معمولی یک بازو است.</w:t>
      </w:r>
    </w:p>
    <w:p>
      <w:pPr>
        <w:spacing w:after="28" w:line="216" w:lineRule="auto"/>
        <w:ind w:left="259"/>
        <w:jc w:val="left"/>
      </w:pPr>
      <w:r>
        <w:rPr>
          <w:rFonts w:ascii="Arial" w:hAnsi="Arial"/>
          <w:color w:val="525252"/>
          <w:sz w:val="13"/>
        </w:rPr>
        <w:t>Normal interval is one arm’s length.</w:t>
      </w:r>
    </w:p>
    <w:p>
      <w:pPr>
        <w:spacing w:after="20" w:line="223" w:lineRule="auto"/>
        <w:jc w:val="right"/>
        <w:bidi/>
      </w:pPr>
      <w:r>
        <w:rPr>
          <w:rFonts w:ascii="Arial" w:hAnsi="Arial"/>
          <w:sz w:val="16"/>
        </w:rPr>
        <w:t>572.17  فاصله بسته ۴ اینچ است.</w:t>
      </w:r>
    </w:p>
    <w:p>
      <w:pPr>
        <w:spacing w:after="28" w:line="216" w:lineRule="auto"/>
        <w:ind w:left="259"/>
        <w:jc w:val="left"/>
      </w:pPr>
      <w:r>
        <w:rPr>
          <w:rFonts w:ascii="Arial" w:hAnsi="Arial"/>
          <w:color w:val="525252"/>
          <w:sz w:val="13"/>
        </w:rPr>
        <w:t>Close interval is 4 inches.</w:t>
      </w:r>
    </w:p>
    <w:p>
      <w:pPr>
        <w:spacing w:after="20" w:line="223" w:lineRule="auto"/>
        <w:jc w:val="right"/>
        <w:bidi/>
      </w:pPr>
      <w:r>
        <w:rPr>
          <w:rFonts w:ascii="Arial" w:hAnsi="Arial"/>
          <w:sz w:val="16"/>
        </w:rPr>
        <w:t>572.18  نیروی مشترک - اصطلاحی کلی که به نیرویی متشکل از عناصر مهم، اختصاص یافته یا پیوست شده از دو یا چند بخش نظامی، که زیر نظر یک فرمانده نیروی مشترک عمل می‌کنند، اطلاق می‌شود.</w:t>
      </w:r>
    </w:p>
    <w:p>
      <w:pPr>
        <w:spacing w:after="28" w:line="216" w:lineRule="auto"/>
        <w:ind w:left="259"/>
        <w:jc w:val="left"/>
      </w:pPr>
      <w:r>
        <w:rPr>
          <w:rFonts w:ascii="Arial" w:hAnsi="Arial"/>
          <w:color w:val="525252"/>
          <w:sz w:val="13"/>
        </w:rPr>
        <w:t>Joint Force—A general term applied to a force composed of significant elements, assigned, or attached, of two or more military departments, operating under a single joint force commander.</w:t>
      </w:r>
    </w:p>
    <w:p>
      <w:pPr>
        <w:spacing w:after="20" w:line="223" w:lineRule="auto"/>
        <w:jc w:val="right"/>
        <w:bidi/>
      </w:pPr>
      <w:r>
        <w:rPr>
          <w:rFonts w:ascii="Arial" w:hAnsi="Arial"/>
          <w:sz w:val="16"/>
        </w:rPr>
        <w:t>572.19  همچنین به فرمانده نیروی مشترک مراجعه کنید.</w:t>
      </w:r>
    </w:p>
    <w:p>
      <w:pPr>
        <w:spacing w:after="28" w:line="216" w:lineRule="auto"/>
        <w:ind w:left="259"/>
        <w:jc w:val="left"/>
      </w:pPr>
      <w:r>
        <w:rPr>
          <w:rFonts w:ascii="Arial" w:hAnsi="Arial"/>
          <w:color w:val="525252"/>
          <w:sz w:val="13"/>
        </w:rPr>
        <w:t>See also joint force commander.</w:t>
      </w:r>
    </w:p>
    <w:p>
      <w:pPr>
        <w:spacing w:after="20" w:line="223" w:lineRule="auto"/>
        <w:jc w:val="right"/>
        <w:bidi/>
      </w:pPr>
      <w:r>
        <w:rPr>
          <w:rFonts w:ascii="Arial" w:hAnsi="Arial"/>
          <w:sz w:val="16"/>
        </w:rPr>
        <w:t>572.20  فرمانده اجزای هوایی نیروی مشترک (JFACC) - فرمانده جزء هوایی نیروی مشترک اختیارات را از فرمانده نیروی مشترک می‌گیرد که صلاحیت اعمال کنترل عملیاتی، تعیین مأموریت‌ها، هماهنگی مستقیم بین فرماندهان زیرمجموعه، تغییر جهت و سازماندهی نیروها را برای اطمینان از وحدت تلاش در انجام مأموریت کلی دارد.</w:t>
      </w:r>
    </w:p>
    <w:p>
      <w:pPr>
        <w:spacing w:after="28" w:line="216" w:lineRule="auto"/>
        <w:ind w:left="259"/>
        <w:jc w:val="left"/>
      </w:pPr>
      <w:r>
        <w:rPr>
          <w:rFonts w:ascii="Arial" w:hAnsi="Arial"/>
          <w:color w:val="525252"/>
          <w:sz w:val="13"/>
        </w:rPr>
        <w:t>Joint Force Air Component Commander (JFACC)—The joint force air component commander derives authority from the joint force commander who has the authority to exercise operational control, assign missions, direct coordination among subordinate commanders, redirect and organize forces to ensure unity of effort in the accomplishment of the overall mission.</w:t>
      </w:r>
    </w:p>
    <w:p>
      <w:pPr>
        <w:spacing w:after="20" w:line="223" w:lineRule="auto"/>
        <w:jc w:val="right"/>
        <w:bidi/>
      </w:pPr>
      <w:r>
        <w:rPr>
          <w:rFonts w:ascii="Arial" w:hAnsi="Arial"/>
          <w:sz w:val="16"/>
        </w:rPr>
        <w:t>572.21  فرمانده نیروی مشترک معمولا یک فرمانده جزء هوایی نیروی مشترک را تعیین می‌کند.</w:t>
      </w:r>
    </w:p>
    <w:p>
      <w:pPr>
        <w:spacing w:after="28" w:line="216" w:lineRule="auto"/>
        <w:ind w:left="259"/>
        <w:jc w:val="left"/>
      </w:pPr>
      <w:r>
        <w:rPr>
          <w:rFonts w:ascii="Arial" w:hAnsi="Arial"/>
          <w:color w:val="525252"/>
          <w:sz w:val="13"/>
        </w:rPr>
        <w:t>The joint force commander will normally designate a joint force air component commander.</w:t>
      </w:r>
    </w:p>
    <w:p>
      <w:pPr>
        <w:spacing w:after="20" w:line="223" w:lineRule="auto"/>
        <w:jc w:val="right"/>
        <w:bidi/>
      </w:pPr>
      <w:r>
        <w:rPr>
          <w:rFonts w:ascii="Arial" w:hAnsi="Arial"/>
          <w:sz w:val="16"/>
        </w:rPr>
        <w:t>572.22  مسئولیت‌های فرمانده جزء هوایی نیروی مشترک توسط فرمانده نیروی مشترک محول می‌شود (معمولا این مسئولیت‌ها شامل برنامه‌ریزی، هماهنگی، تخصیص و تعیین تکلیف بر اساس تصمیم تقسیط فرمانده نیروی مشترک است، اما محدود به آن نمی‌شود).</w:t>
      </w:r>
    </w:p>
    <w:p>
      <w:pPr>
        <w:spacing w:after="28" w:line="216" w:lineRule="auto"/>
        <w:ind w:left="259"/>
        <w:jc w:val="left"/>
      </w:pPr>
      <w:r>
        <w:rPr>
          <w:rFonts w:ascii="Arial" w:hAnsi="Arial"/>
          <w:color w:val="525252"/>
          <w:sz w:val="13"/>
        </w:rPr>
        <w:t>The joint force air component commander’s responsibilities will be assigned by the joint force commander (normally these would include, but not be limited to, planning, coordination, allocation, and tasking based on the joint force commander’s apportionment decision).</w:t>
      </w:r>
    </w:p>
    <w:p>
      <w:pPr>
        <w:spacing w:after="20" w:line="223" w:lineRule="auto"/>
        <w:jc w:val="right"/>
        <w:bidi/>
      </w:pPr>
      <w:r>
        <w:rPr>
          <w:rFonts w:ascii="Arial" w:hAnsi="Arial"/>
          <w:sz w:val="16"/>
        </w:rPr>
        <w:t>572.23  با استفاده از رهنمودها و اختیارات فرمانده نیروی مشترک و با هماهنگی سایر فرماندهان بخش خدماتی و سایر فرماندهان تعیین شده یا پشتیبان، فرمانده قطعه هوایی نیروی مشترک به فرمانده نیروی مشترک، تقسیم پروازهای هوایی به مأموریت‌ها یا مناطق مختلف جغرافیایی را به فرمانده نیروی مشترک توصیه می‌کند.</w:t>
      </w:r>
    </w:p>
    <w:p>
      <w:pPr>
        <w:spacing w:after="28" w:line="216" w:lineRule="auto"/>
        <w:ind w:left="259"/>
        <w:jc w:val="left"/>
      </w:pPr>
      <w:r>
        <w:rPr>
          <w:rFonts w:ascii="Arial" w:hAnsi="Arial"/>
          <w:color w:val="525252"/>
          <w:sz w:val="13"/>
        </w:rPr>
        <w:t>Using the joint force commander’s guidance and authority, and in coordination with other service component commanders and other assigned or supporting commanders, the joint force air component commander will recommend to the joint force commander apportionment of air sorties to various missions or geographic areas.</w:t>
      </w:r>
    </w:p>
    <w:p>
      <w:r>
        <w:br w:type="page"/>
      </w:r>
    </w:p>
    <w:p>
      <w:pPr>
        <w:spacing w:after="60"/>
        <w:jc w:val="right"/>
        <w:bidi/>
      </w:pPr>
      <w:r>
        <w:rPr>
          <w:rFonts w:ascii="Arial" w:hAnsi="Arial"/>
          <w:b/>
          <w:color w:val="1F4D78"/>
          <w:sz w:val="19"/>
        </w:rPr>
        <w:t>هفتهٔ 573  |  صفحهٔ منبع: 590</w:t>
      </w:r>
    </w:p>
    <w:p>
      <w:pPr>
        <w:spacing w:after="20" w:line="223" w:lineRule="auto"/>
        <w:jc w:val="right"/>
        <w:bidi/>
      </w:pPr>
      <w:r>
        <w:rPr>
          <w:rFonts w:ascii="Arial" w:hAnsi="Arial"/>
          <w:sz w:val="16"/>
        </w:rPr>
        <w:t>573.01  فرمانده نیروی مشترک (JFC) - یک اصطلاح کلی که به یک CCDR، فرمانده زیرمجموعه، یا فرمانده نیروی عملیات مشترک مجاز به اعمال COCOM یا کنترل عملیاتی بر روی یک نیروی مشترک اطلاق می‌شود.</w:t>
      </w:r>
    </w:p>
    <w:p>
      <w:pPr>
        <w:spacing w:after="28" w:line="216" w:lineRule="auto"/>
        <w:ind w:left="259"/>
        <w:jc w:val="left"/>
      </w:pPr>
      <w:r>
        <w:rPr>
          <w:rFonts w:ascii="Arial" w:hAnsi="Arial"/>
          <w:color w:val="525252"/>
          <w:sz w:val="13"/>
        </w:rPr>
        <w:t>Joint Force Commander (JFC)—A general term applied to a CCDR, subunified commander, or joint task force commander authorized to exercise COCOM or operational control over a joint force.</w:t>
      </w:r>
    </w:p>
    <w:p>
      <w:pPr>
        <w:spacing w:after="20" w:line="223" w:lineRule="auto"/>
        <w:jc w:val="right"/>
        <w:bidi/>
      </w:pPr>
      <w:r>
        <w:rPr>
          <w:rFonts w:ascii="Arial" w:hAnsi="Arial"/>
          <w:sz w:val="16"/>
        </w:rPr>
        <w:t>573.02  همچنین نیروی مشترک را ببینید.</w:t>
      </w:r>
    </w:p>
    <w:p>
      <w:pPr>
        <w:spacing w:after="28" w:line="216" w:lineRule="auto"/>
        <w:ind w:left="259"/>
        <w:jc w:val="left"/>
      </w:pPr>
      <w:r>
        <w:rPr>
          <w:rFonts w:ascii="Arial" w:hAnsi="Arial"/>
          <w:color w:val="525252"/>
          <w:sz w:val="13"/>
        </w:rPr>
        <w:t>See also joint force.</w:t>
      </w:r>
    </w:p>
    <w:p>
      <w:pPr>
        <w:spacing w:after="20" w:line="223" w:lineRule="auto"/>
        <w:jc w:val="right"/>
        <w:bidi/>
      </w:pPr>
      <w:r>
        <w:rPr>
          <w:rFonts w:ascii="Arial" w:hAnsi="Arial"/>
          <w:sz w:val="16"/>
        </w:rPr>
        <w:t>573.03  عملیات مشترک - یک اصطلاح کلی برای توصیف اقدامات نظامی انجام شده توسط نیروهای مشترک، یا توسط نیروهای خدماتی در روابط (مانند پشتیبانی، مرجع هماهنگ کننده)، که به خودی خود نیروهای مشترک ایجاد نمی‌کنند.</w:t>
      </w:r>
    </w:p>
    <w:p>
      <w:pPr>
        <w:spacing w:after="28" w:line="216" w:lineRule="auto"/>
        <w:ind w:left="259"/>
        <w:jc w:val="left"/>
      </w:pPr>
      <w:r>
        <w:rPr>
          <w:rFonts w:ascii="Arial" w:hAnsi="Arial"/>
          <w:color w:val="525252"/>
          <w:sz w:val="13"/>
        </w:rPr>
        <w:t>Joint Operations—A general term to describe military actions conducted by joint forces, or by service forces in relationships (such as support, coordinating authority), which, of themselves, do not create joint forces.</w:t>
      </w:r>
    </w:p>
    <w:p>
      <w:pPr>
        <w:spacing w:after="20" w:line="223" w:lineRule="auto"/>
        <w:jc w:val="right"/>
        <w:bidi/>
      </w:pPr>
      <w:r>
        <w:rPr>
          <w:rFonts w:ascii="Arial" w:hAnsi="Arial"/>
          <w:sz w:val="16"/>
        </w:rPr>
        <w:t>573.04  جوینت تاسک فورک (JTF) - نیروی مشترکی که توسط وزیر دفاع، یک CCDR، یک فرمانده زیرمجموعه، یا یک فرمانده نیروی مشترک موجود تشکیل و تعیین می‌شود.</w:t>
      </w:r>
    </w:p>
    <w:p>
      <w:pPr>
        <w:spacing w:after="28" w:line="216" w:lineRule="auto"/>
        <w:ind w:left="259"/>
        <w:jc w:val="left"/>
      </w:pPr>
      <w:r>
        <w:rPr>
          <w:rFonts w:ascii="Arial" w:hAnsi="Arial"/>
          <w:color w:val="525252"/>
          <w:sz w:val="13"/>
        </w:rPr>
        <w:t>Joint Task Force (JTF)—A joint force that is constituted and so designated by the Secretary of Defense, a CCDR, a subunified commander, or an existing joint force commander.</w:t>
      </w:r>
    </w:p>
    <w:p>
      <w:pPr>
        <w:spacing w:after="20" w:line="223" w:lineRule="auto"/>
        <w:jc w:val="right"/>
        <w:bidi/>
      </w:pPr>
      <w:r>
        <w:rPr>
          <w:rFonts w:ascii="Arial" w:hAnsi="Arial"/>
          <w:sz w:val="16"/>
        </w:rPr>
        <w:t>573.05  لجستیک - علم برنامه‌ریزی و انجام حرکت و نگهداری نیروها.</w:t>
      </w:r>
    </w:p>
    <w:p>
      <w:pPr>
        <w:spacing w:after="28" w:line="216" w:lineRule="auto"/>
        <w:ind w:left="259"/>
        <w:jc w:val="left"/>
      </w:pPr>
      <w:r>
        <w:rPr>
          <w:rFonts w:ascii="Arial" w:hAnsi="Arial"/>
          <w:color w:val="525252"/>
          <w:sz w:val="13"/>
        </w:rPr>
        <w:t>Logistics—The science of planning and carrying out the movement and maintenance of forces.</w:t>
      </w:r>
    </w:p>
    <w:p>
      <w:pPr>
        <w:spacing w:after="20" w:line="223" w:lineRule="auto"/>
        <w:jc w:val="right"/>
        <w:bidi/>
      </w:pPr>
      <w:r>
        <w:rPr>
          <w:rFonts w:ascii="Arial" w:hAnsi="Arial"/>
          <w:sz w:val="16"/>
        </w:rPr>
        <w:t>573.06  در جامع‌ترین مفهوم آن، جنبه‌هایی از عملیات نظامی که با طراحی و توسعه، کسب، ذخیره‌سازی، جابجایی، توزیع، نگهداری، تخلیه و دفع مواد سروکار دارند. جابجایی، تخلیه و بستری پرسنل؛ اکتساب یا ساخت، نگهداری، بهره‌برداری و واگذاری تأسیسات؛ و کسب یا ارائه خدمات.</w:t>
      </w:r>
    </w:p>
    <w:p>
      <w:pPr>
        <w:spacing w:after="28" w:line="216" w:lineRule="auto"/>
        <w:ind w:left="259"/>
        <w:jc w:val="left"/>
      </w:pPr>
      <w:r>
        <w:rPr>
          <w:rFonts w:ascii="Arial" w:hAnsi="Arial"/>
          <w:color w:val="525252"/>
          <w:sz w:val="13"/>
        </w:rPr>
        <w:t>In its most comprehensive sense, those aspects of military operations that deal with design and development, acquisition, storage, movement, distribution, maintenance, evacuation, and disposition of materiel; movement, evacuation, and hospitalization of personnel; acquisition or construction, maintenance, operation, and disposition of facilities; and acquisition or furnishing of services.</w:t>
      </w:r>
    </w:p>
    <w:p>
      <w:pPr>
        <w:spacing w:after="20" w:line="223" w:lineRule="auto"/>
        <w:jc w:val="right"/>
        <w:bidi/>
      </w:pPr>
      <w:r>
        <w:rPr>
          <w:rFonts w:ascii="Arial" w:hAnsi="Arial"/>
          <w:sz w:val="16"/>
        </w:rPr>
        <w:t>573.07  استراتژی نظامی - هنر و علم به‌کارگیری نیروهای مسلح یک ملت برای تأمین اهداف سیاست ملی با اعمال زور یا تهدید به زور.</w:t>
      </w:r>
    </w:p>
    <w:p>
      <w:pPr>
        <w:spacing w:after="28" w:line="216" w:lineRule="auto"/>
        <w:ind w:left="259"/>
        <w:jc w:val="left"/>
      </w:pPr>
      <w:r>
        <w:rPr>
          <w:rFonts w:ascii="Arial" w:hAnsi="Arial"/>
          <w:color w:val="525252"/>
          <w:sz w:val="13"/>
        </w:rPr>
        <w:t>Military Strategy—The art and science of employing the armed forces of a nation to secure the objectives of national policy by the application of force or the threat of force.</w:t>
      </w:r>
    </w:p>
    <w:p>
      <w:pPr>
        <w:spacing w:after="20" w:line="223" w:lineRule="auto"/>
        <w:jc w:val="right"/>
        <w:bidi/>
      </w:pPr>
      <w:r>
        <w:rPr>
          <w:rFonts w:ascii="Arial" w:hAnsi="Arial"/>
          <w:sz w:val="16"/>
        </w:rPr>
        <w:t>573.08  تخفیف (جرم) - برای کاهش یا تلاش برای کاهش بزرگی یک جرم.</w:t>
      </w:r>
    </w:p>
    <w:p>
      <w:pPr>
        <w:spacing w:after="28" w:line="216" w:lineRule="auto"/>
        <w:ind w:left="259"/>
        <w:jc w:val="left"/>
      </w:pPr>
      <w:r>
        <w:rPr>
          <w:rFonts w:ascii="Arial" w:hAnsi="Arial"/>
          <w:color w:val="525252"/>
          <w:sz w:val="13"/>
        </w:rPr>
        <w:t>Mitigation (of offense)—To lessen or attempt to lessen the magnitude of an offense.</w:t>
      </w:r>
    </w:p>
    <w:p>
      <w:pPr>
        <w:spacing w:after="20" w:line="223" w:lineRule="auto"/>
        <w:jc w:val="right"/>
        <w:bidi/>
      </w:pPr>
      <w:r>
        <w:rPr>
          <w:rFonts w:ascii="Arial" w:hAnsi="Arial"/>
          <w:sz w:val="16"/>
        </w:rPr>
        <w:t>573.09  عملیات چند ملیتی - اصطلاحی جمعی برای توصیف اقدامات نظامی انجام شده توسط نیروهای دو یا چند کشور، که معمولا در ساختار یک ائتلاف یا اتحاد سازماندهی می‌شوند.</w:t>
      </w:r>
    </w:p>
    <w:p>
      <w:pPr>
        <w:spacing w:after="28" w:line="216" w:lineRule="auto"/>
        <w:ind w:left="259"/>
        <w:jc w:val="left"/>
      </w:pPr>
      <w:r>
        <w:rPr>
          <w:rFonts w:ascii="Arial" w:hAnsi="Arial"/>
          <w:color w:val="525252"/>
          <w:sz w:val="13"/>
        </w:rPr>
        <w:t>Multinational Operations—A collective term to describe military actions conducted by forces of two or more nations, typically organized within the structure of a coalition or alliance.</w:t>
      </w:r>
    </w:p>
    <w:p>
      <w:pPr>
        <w:spacing w:after="20" w:line="223" w:lineRule="auto"/>
        <w:jc w:val="right"/>
        <w:bidi/>
      </w:pPr>
      <w:r>
        <w:rPr>
          <w:rFonts w:ascii="Arial" w:hAnsi="Arial"/>
          <w:sz w:val="16"/>
        </w:rPr>
        <w:t>573.10  همچنین اتحاد، ائتلاف و نیروی ائتلاف را ببینید.</w:t>
      </w:r>
    </w:p>
    <w:p>
      <w:pPr>
        <w:spacing w:after="28" w:line="216" w:lineRule="auto"/>
        <w:ind w:left="259"/>
        <w:jc w:val="left"/>
      </w:pPr>
      <w:r>
        <w:rPr>
          <w:rFonts w:ascii="Arial" w:hAnsi="Arial"/>
          <w:color w:val="525252"/>
          <w:sz w:val="13"/>
        </w:rPr>
        <w:t>See also alliance, coalition, and coalition force.</w:t>
      </w:r>
    </w:p>
    <w:p>
      <w:pPr>
        <w:spacing w:after="20" w:line="223" w:lineRule="auto"/>
        <w:jc w:val="right"/>
        <w:bidi/>
      </w:pPr>
      <w:r>
        <w:rPr>
          <w:rFonts w:ascii="Arial" w:hAnsi="Arial"/>
          <w:sz w:val="16"/>
        </w:rPr>
        <w:t>573.11  استراتژی ملی - هنر و علم توسعه و استفاده از قدرت‌های سیاسی، اقتصادی و روانی یک ملت همراه با نیروهای مسلح آن در زمان صلح و جنگ برای تأمین اهداف ملی.</w:t>
      </w:r>
    </w:p>
    <w:p>
      <w:pPr>
        <w:spacing w:after="28" w:line="216" w:lineRule="auto"/>
        <w:ind w:left="259"/>
        <w:jc w:val="left"/>
      </w:pPr>
      <w:r>
        <w:rPr>
          <w:rFonts w:ascii="Arial" w:hAnsi="Arial"/>
          <w:color w:val="525252"/>
          <w:sz w:val="13"/>
        </w:rPr>
        <w:t>National Strategy—The art and science of developing and using the political, economic, and psychological powers of a nation, together with its armed forces, during peace and war, to secure national objectives.</w:t>
      </w:r>
    </w:p>
    <w:p>
      <w:pPr>
        <w:spacing w:after="20" w:line="223" w:lineRule="auto"/>
        <w:jc w:val="right"/>
        <w:bidi/>
      </w:pPr>
      <w:r>
        <w:rPr>
          <w:rFonts w:ascii="Arial" w:hAnsi="Arial"/>
          <w:sz w:val="16"/>
        </w:rPr>
        <w:t>573.12  فعالیت غیر اختصاصی - فعالیتی که با دولت مرتبط است، اما عملیات آن مستقیما توسط دولت تأمین مالی نمی‌شود. به این معناست که افسران ظروف باز، و مرکز مراقبت از کودکان.</w:t>
      </w:r>
    </w:p>
    <w:p>
      <w:pPr>
        <w:spacing w:after="28" w:line="216" w:lineRule="auto"/>
        <w:ind w:left="259"/>
        <w:jc w:val="left"/>
      </w:pPr>
      <w:r>
        <w:rPr>
          <w:rFonts w:ascii="Arial" w:hAnsi="Arial"/>
          <w:color w:val="525252"/>
          <w:sz w:val="13"/>
        </w:rPr>
        <w:t>Non-appropriated Activity—An activity associated with the government, but whose operation is not directly funded by the government; that is, the NCO open mess, officers open mess, and childcare center.</w:t>
      </w:r>
    </w:p>
    <w:p>
      <w:pPr>
        <w:spacing w:after="20" w:line="223" w:lineRule="auto"/>
        <w:jc w:val="right"/>
        <w:bidi/>
      </w:pPr>
      <w:r>
        <w:rPr>
          <w:rFonts w:ascii="Arial" w:hAnsi="Arial"/>
          <w:sz w:val="16"/>
        </w:rPr>
        <w:t>573.13  وجوه غیر اختصاصی - وجوهی که توسط پرسنل نظامی و غیرنظامی وزارت دفاع و افراد وابسته به آنها ایجاد می‌شود و برای افزایش بودجه اختصاص داده شده توسط کنگره برای ارائه یک برنامه جامع رفاهی، مذهبی، آموزشی و تفریحی که برای بهبود رفاه کارکنان نظامی و غیرنظامی و افراد وابسته به آنها طراحی شده است، استفاده می‌شود.</w:t>
      </w:r>
    </w:p>
    <w:p>
      <w:pPr>
        <w:spacing w:after="28" w:line="216" w:lineRule="auto"/>
        <w:ind w:left="259"/>
        <w:jc w:val="left"/>
      </w:pPr>
      <w:r>
        <w:rPr>
          <w:rFonts w:ascii="Arial" w:hAnsi="Arial"/>
          <w:color w:val="525252"/>
          <w:sz w:val="13"/>
        </w:rPr>
        <w:t>Non-appropriated Funds—Funds generated by Department of Defense military and civilian personnel and their dependents and used to augment funds appropriated by the Congress to provide a comprehensive, morale-building welfare, religious, educational, and recreational program, designed to improve the well-being of military and civilian personnel and their dependents.</w:t>
      </w:r>
    </w:p>
    <w:p>
      <w:pPr>
        <w:spacing w:after="20" w:line="223" w:lineRule="auto"/>
        <w:jc w:val="right"/>
        <w:bidi/>
      </w:pPr>
      <w:r>
        <w:rPr>
          <w:rFonts w:ascii="Arial" w:hAnsi="Arial"/>
          <w:sz w:val="16"/>
        </w:rPr>
        <w:t>573.14  زنجیره فرماندهی عملیاتی - زنجیره فرماندهی که برای یک عملیات خاص یا یک سری عملیات ادامه دار ایجاد می‌شود.</w:t>
      </w:r>
    </w:p>
    <w:p>
      <w:pPr>
        <w:spacing w:after="28" w:line="216" w:lineRule="auto"/>
        <w:ind w:left="259"/>
        <w:jc w:val="left"/>
      </w:pPr>
      <w:r>
        <w:rPr>
          <w:rFonts w:ascii="Arial" w:hAnsi="Arial"/>
          <w:color w:val="525252"/>
          <w:sz w:val="13"/>
        </w:rPr>
        <w:t>Operational Chain of Command—The chain of command established for a particular operation or series of continuing operations.</w:t>
      </w:r>
    </w:p>
    <w:p>
      <w:pPr>
        <w:spacing w:after="20" w:line="223" w:lineRule="auto"/>
        <w:jc w:val="right"/>
        <w:bidi/>
      </w:pPr>
      <w:r>
        <w:rPr>
          <w:rFonts w:ascii="Arial" w:hAnsi="Arial"/>
          <w:sz w:val="16"/>
        </w:rPr>
        <w:t>573.15  کنترل عملیاتی (OPCON) - اقتدار فرماندهی قابل انتقال که ممکن است توسط فرماندهان در هر سطحی در سطح CCMD یا کمتر از آن اعمال شود.</w:t>
      </w:r>
    </w:p>
    <w:p>
      <w:pPr>
        <w:spacing w:after="28" w:line="216" w:lineRule="auto"/>
        <w:ind w:left="259"/>
        <w:jc w:val="left"/>
      </w:pPr>
      <w:r>
        <w:rPr>
          <w:rFonts w:ascii="Arial" w:hAnsi="Arial"/>
          <w:color w:val="525252"/>
          <w:sz w:val="13"/>
        </w:rPr>
        <w:t>Operational Control (OPCON)—The transferable command authority that may be exercised by commanders at any echelon at or below the level of CCMD.</w:t>
      </w:r>
    </w:p>
    <w:p>
      <w:pPr>
        <w:spacing w:after="20" w:line="223" w:lineRule="auto"/>
        <w:jc w:val="right"/>
        <w:bidi/>
      </w:pPr>
      <w:r>
        <w:rPr>
          <w:rFonts w:ascii="Arial" w:hAnsi="Arial"/>
          <w:sz w:val="16"/>
        </w:rPr>
        <w:t>573.16  کنترل عملیاتی در COCOM ذاتی است.</w:t>
      </w:r>
    </w:p>
    <w:p>
      <w:pPr>
        <w:spacing w:after="28" w:line="216" w:lineRule="auto"/>
        <w:ind w:left="259"/>
        <w:jc w:val="left"/>
      </w:pPr>
      <w:r>
        <w:rPr>
          <w:rFonts w:ascii="Arial" w:hAnsi="Arial"/>
          <w:color w:val="525252"/>
          <w:sz w:val="13"/>
        </w:rPr>
        <w:t>Operational control is inherent in COCOM.</w:t>
      </w:r>
    </w:p>
    <w:p>
      <w:pPr>
        <w:spacing w:after="20" w:line="223" w:lineRule="auto"/>
        <w:jc w:val="right"/>
        <w:bidi/>
      </w:pPr>
      <w:r>
        <w:rPr>
          <w:rFonts w:ascii="Arial" w:hAnsi="Arial"/>
          <w:sz w:val="16"/>
        </w:rPr>
        <w:t>573.17  کنترل عملیاتی ممکن است تفویض شود و اختیار انجام آن وظایف فرماندهی بر نیروهای زیرمجموعه است که شامل سازماندهی و بکارگیری فرماندهی و نیرو، تعیین وظایف، تعیین اهداف، و دادن جهت مقتدرانه لازم برای انجام مأموریت است.</w:t>
      </w:r>
    </w:p>
    <w:p>
      <w:pPr>
        <w:spacing w:after="28" w:line="216" w:lineRule="auto"/>
        <w:ind w:left="259"/>
        <w:jc w:val="left"/>
      </w:pPr>
      <w:r>
        <w:rPr>
          <w:rFonts w:ascii="Arial" w:hAnsi="Arial"/>
          <w:color w:val="525252"/>
          <w:sz w:val="13"/>
        </w:rPr>
        <w:t>Operational control may be delegated and is the authority to perform those functions of command over subordinate forces involving organizing and employing commands and forces, assigning tasks, designating objectives, and giving authoritative direction necessary to accomplish the mission.</w:t>
      </w:r>
    </w:p>
    <w:p>
      <w:pPr>
        <w:spacing w:after="20" w:line="223" w:lineRule="auto"/>
        <w:jc w:val="right"/>
        <w:bidi/>
      </w:pPr>
      <w:r>
        <w:rPr>
          <w:rFonts w:ascii="Arial" w:hAnsi="Arial"/>
          <w:sz w:val="16"/>
        </w:rPr>
        <w:t>573.18  کنترل عملیاتی شامل هدایت مقتدرانه بر تمامی جنبه‌های عملیات نظامی و آموزش مشترک لازم برای انجام مأموریت‌های محول شده به فرماندهی است.</w:t>
      </w:r>
    </w:p>
    <w:p>
      <w:pPr>
        <w:spacing w:after="28" w:line="216" w:lineRule="auto"/>
        <w:ind w:left="259"/>
        <w:jc w:val="left"/>
      </w:pPr>
      <w:r>
        <w:rPr>
          <w:rFonts w:ascii="Arial" w:hAnsi="Arial"/>
          <w:color w:val="525252"/>
          <w:sz w:val="13"/>
        </w:rPr>
        <w:t>Operational control includes authoritative direction over all aspects of military operations and joint training necessary to accomplish missions assigned to the command.</w:t>
      </w:r>
    </w:p>
    <w:p>
      <w:pPr>
        <w:spacing w:after="20" w:line="223" w:lineRule="auto"/>
        <w:jc w:val="right"/>
        <w:bidi/>
      </w:pPr>
      <w:r>
        <w:rPr>
          <w:rFonts w:ascii="Arial" w:hAnsi="Arial"/>
          <w:sz w:val="16"/>
        </w:rPr>
        <w:t>573.19  کنترل عملیاتی باید از طریق فرماندهان سازمانهای زیرمجموعه اعمال شود.</w:t>
      </w:r>
    </w:p>
    <w:p>
      <w:pPr>
        <w:spacing w:after="28" w:line="216" w:lineRule="auto"/>
        <w:ind w:left="259"/>
        <w:jc w:val="left"/>
      </w:pPr>
      <w:r>
        <w:rPr>
          <w:rFonts w:ascii="Arial" w:hAnsi="Arial"/>
          <w:color w:val="525252"/>
          <w:sz w:val="13"/>
        </w:rPr>
        <w:t>Operational control should be exercised through the commanders of subordinate organizations.</w:t>
      </w:r>
    </w:p>
    <w:p>
      <w:pPr>
        <w:spacing w:after="20" w:line="223" w:lineRule="auto"/>
        <w:jc w:val="right"/>
        <w:bidi/>
      </w:pPr>
      <w:r>
        <w:rPr>
          <w:rFonts w:ascii="Arial" w:hAnsi="Arial"/>
          <w:sz w:val="16"/>
        </w:rPr>
        <w:t>573.20  معمولا این اختیار از طریق فرماندهان نیروی مشترک زیرمجموعه و فرماندهان خدماتی و/یا جزء عملکردی اعمال می‌شود.</w:t>
      </w:r>
    </w:p>
    <w:p>
      <w:pPr>
        <w:spacing w:after="28" w:line="216" w:lineRule="auto"/>
        <w:ind w:left="259"/>
        <w:jc w:val="left"/>
      </w:pPr>
      <w:r>
        <w:rPr>
          <w:rFonts w:ascii="Arial" w:hAnsi="Arial"/>
          <w:color w:val="525252"/>
          <w:sz w:val="13"/>
        </w:rPr>
        <w:t>Normally this authority is exercised through subordinate joint force commanders and service and/or functional component commanders.</w:t>
      </w:r>
    </w:p>
    <w:p>
      <w:pPr>
        <w:spacing w:after="20" w:line="223" w:lineRule="auto"/>
        <w:jc w:val="right"/>
        <w:bidi/>
      </w:pPr>
      <w:r>
        <w:rPr>
          <w:rFonts w:ascii="Arial" w:hAnsi="Arial"/>
          <w:sz w:val="16"/>
        </w:rPr>
        <w:t>573.21  کنترل عملیاتی معمولا اختیارات کاملی را برای سازماندهی فرماندهی و نیرو و به‌کارگیری آن نیروها به‌عنوان فرمانده در کنترل عملیاتی برای انجام مأموریت‌های محوله فراهم می‌کند.</w:t>
      </w:r>
    </w:p>
    <w:p>
      <w:pPr>
        <w:spacing w:after="28" w:line="216" w:lineRule="auto"/>
        <w:ind w:left="259"/>
        <w:jc w:val="left"/>
      </w:pPr>
      <w:r>
        <w:rPr>
          <w:rFonts w:ascii="Arial" w:hAnsi="Arial"/>
          <w:color w:val="525252"/>
          <w:sz w:val="13"/>
        </w:rPr>
        <w:t>Operational control normally provides full authority to organize commands and forces and to employ those forces as the commander in operational control considers necessary to accomplish assigned missions.</w:t>
      </w:r>
    </w:p>
    <w:p>
      <w:pPr>
        <w:spacing w:after="20" w:line="223" w:lineRule="auto"/>
        <w:jc w:val="right"/>
        <w:bidi/>
      </w:pPr>
      <w:r>
        <w:rPr>
          <w:rFonts w:ascii="Arial" w:hAnsi="Arial"/>
          <w:sz w:val="16"/>
        </w:rPr>
        <w:t>573.22  کنترل عملیاتی به خودی خود شامل هدایت معتبر برای تدارکات یا امور اداری، نظم و انضباط، داخلی نیست.</w:t>
      </w:r>
    </w:p>
    <w:p>
      <w:pPr>
        <w:spacing w:after="28" w:line="216" w:lineRule="auto"/>
        <w:ind w:left="259"/>
        <w:jc w:val="left"/>
      </w:pPr>
      <w:r>
        <w:rPr>
          <w:rFonts w:ascii="Arial" w:hAnsi="Arial"/>
          <w:color w:val="525252"/>
          <w:sz w:val="13"/>
        </w:rPr>
        <w:t>Operational control does not, in and of itself, include authoritative direction for logistics or matters of administration, discipline, internal</w:t>
      </w:r>
    </w:p>
    <w:p>
      <w:r>
        <w:br w:type="page"/>
      </w:r>
    </w:p>
    <w:p>
      <w:pPr>
        <w:spacing w:after="60"/>
        <w:jc w:val="right"/>
        <w:bidi/>
      </w:pPr>
      <w:r>
        <w:rPr>
          <w:rFonts w:ascii="Arial" w:hAnsi="Arial"/>
          <w:b/>
          <w:color w:val="1F4D78"/>
          <w:sz w:val="19"/>
        </w:rPr>
        <w:t>هفتهٔ 574  |  صفحهٔ منبع: 591</w:t>
      </w:r>
    </w:p>
    <w:p>
      <w:pPr>
        <w:spacing w:after="20" w:line="223" w:lineRule="auto"/>
        <w:jc w:val="right"/>
        <w:bidi/>
      </w:pPr>
      <w:r>
        <w:rPr>
          <w:rFonts w:ascii="Arial" w:hAnsi="Arial"/>
          <w:sz w:val="16"/>
        </w:rPr>
        <w:t>574.01  سازمان، یا آموزش واحد.</w:t>
      </w:r>
    </w:p>
    <w:p>
      <w:pPr>
        <w:spacing w:after="28" w:line="216" w:lineRule="auto"/>
        <w:ind w:left="259"/>
        <w:jc w:val="left"/>
      </w:pPr>
      <w:r>
        <w:rPr>
          <w:rFonts w:ascii="Arial" w:hAnsi="Arial"/>
          <w:color w:val="525252"/>
          <w:sz w:val="13"/>
        </w:rPr>
        <w:t>organization, or unit training.</w:t>
      </w:r>
    </w:p>
    <w:p>
      <w:pPr>
        <w:spacing w:after="20" w:line="223" w:lineRule="auto"/>
        <w:jc w:val="right"/>
        <w:bidi/>
      </w:pPr>
      <w:r>
        <w:rPr>
          <w:rFonts w:ascii="Arial" w:hAnsi="Arial"/>
          <w:sz w:val="16"/>
        </w:rPr>
        <w:t>574.02  دوره نظارت - تعداد روزهای تقویمی در طول دوره گزارش که نرخ توسط ارزیاب نظارت شده است.</w:t>
      </w:r>
    </w:p>
    <w:p>
      <w:pPr>
        <w:spacing w:after="28" w:line="216" w:lineRule="auto"/>
        <w:ind w:left="259"/>
        <w:jc w:val="left"/>
      </w:pPr>
      <w:r>
        <w:rPr>
          <w:rFonts w:ascii="Arial" w:hAnsi="Arial"/>
          <w:color w:val="525252"/>
          <w:sz w:val="13"/>
        </w:rPr>
        <w:t>Period of Supervision—The number of calendar days during the reporting period that the ratee was supervised by the rater.</w:t>
      </w:r>
    </w:p>
    <w:p>
      <w:pPr>
        <w:spacing w:after="20" w:line="223" w:lineRule="auto"/>
        <w:jc w:val="right"/>
        <w:bidi/>
      </w:pPr>
      <w:r>
        <w:rPr>
          <w:rFonts w:ascii="Arial" w:hAnsi="Arial"/>
          <w:sz w:val="16"/>
        </w:rPr>
        <w:t>574.03  قابلیت اطمینان پرسنل (PR) - تعیین یک فرمانده از قابلیت اعتماد یک فرد برای انجام وظایف مربوط به سلاح‌های هسته‌ای.</w:t>
      </w:r>
    </w:p>
    <w:p>
      <w:pPr>
        <w:spacing w:after="28" w:line="216" w:lineRule="auto"/>
        <w:ind w:left="259"/>
        <w:jc w:val="left"/>
      </w:pPr>
      <w:r>
        <w:rPr>
          <w:rFonts w:ascii="Arial" w:hAnsi="Arial"/>
          <w:color w:val="525252"/>
          <w:sz w:val="13"/>
        </w:rPr>
        <w:t>Personnel Reliability (PR)—A commander’s determination of an individual’s trustworthiness to perform duties related to nuclear weapons.</w:t>
      </w:r>
    </w:p>
    <w:p>
      <w:pPr>
        <w:spacing w:after="20" w:line="223" w:lineRule="auto"/>
        <w:jc w:val="right"/>
        <w:bidi/>
      </w:pPr>
      <w:r>
        <w:rPr>
          <w:rFonts w:ascii="Arial" w:hAnsi="Arial"/>
          <w:sz w:val="16"/>
        </w:rPr>
        <w:t>574.04  فیزیولوژیکی - مربوط به وضعیت فیزیکی یا بیولوژیکی وجود است.</w:t>
      </w:r>
    </w:p>
    <w:p>
      <w:pPr>
        <w:spacing w:after="28" w:line="216" w:lineRule="auto"/>
        <w:ind w:left="259"/>
        <w:jc w:val="left"/>
      </w:pPr>
      <w:r>
        <w:rPr>
          <w:rFonts w:ascii="Arial" w:hAnsi="Arial"/>
          <w:color w:val="525252"/>
          <w:sz w:val="13"/>
        </w:rPr>
        <w:t>Physiological—Having to do with the physical or biological state of being.</w:t>
      </w:r>
    </w:p>
    <w:p>
      <w:pPr>
        <w:spacing w:after="20" w:line="223" w:lineRule="auto"/>
        <w:jc w:val="right"/>
        <w:bidi/>
      </w:pPr>
      <w:r>
        <w:rPr>
          <w:rFonts w:ascii="Arial" w:hAnsi="Arial"/>
          <w:sz w:val="16"/>
        </w:rPr>
        <w:t>574.05  اولویت - اولویت، ترتیب، یا رتبه؛ ترتیب نسبی مأموریت یا اهمیت عملیاتی</w:t>
      </w:r>
    </w:p>
    <w:p>
      <w:pPr>
        <w:spacing w:after="28" w:line="216" w:lineRule="auto"/>
        <w:ind w:left="259"/>
        <w:jc w:val="left"/>
      </w:pPr>
      <w:r>
        <w:rPr>
          <w:rFonts w:ascii="Arial" w:hAnsi="Arial"/>
          <w:color w:val="525252"/>
          <w:sz w:val="13"/>
        </w:rPr>
        <w:t>Precedence—Priority, order, or rank; relative order of mission or operational importance.</w:t>
      </w:r>
    </w:p>
    <w:p>
      <w:pPr>
        <w:spacing w:after="20" w:line="223" w:lineRule="auto"/>
        <w:jc w:val="right"/>
        <w:bidi/>
      </w:pPr>
      <w:r>
        <w:rPr>
          <w:rFonts w:ascii="Arial" w:hAnsi="Arial"/>
          <w:sz w:val="16"/>
        </w:rPr>
        <w:t>574.06  آموزش صلاحیت - آموزش عملکرد واقعی "عملی" که برای واجد شرایط کردن یک فرد در یک موقعیت وظیفه خاص طراحی شده است.</w:t>
      </w:r>
    </w:p>
    <w:p>
      <w:pPr>
        <w:spacing w:after="28" w:line="216" w:lineRule="auto"/>
        <w:ind w:left="259"/>
        <w:jc w:val="left"/>
      </w:pPr>
      <w:r>
        <w:rPr>
          <w:rFonts w:ascii="Arial" w:hAnsi="Arial"/>
          <w:color w:val="525252"/>
          <w:sz w:val="13"/>
        </w:rPr>
        <w:t>Qualification Training—Actual "hands-on" task performance training designed to qualify an individual in a specific duty position.</w:t>
      </w:r>
    </w:p>
    <w:p>
      <w:pPr>
        <w:spacing w:after="20" w:line="223" w:lineRule="auto"/>
        <w:jc w:val="right"/>
        <w:bidi/>
      </w:pPr>
      <w:r>
        <w:rPr>
          <w:rFonts w:ascii="Arial" w:hAnsi="Arial"/>
          <w:sz w:val="16"/>
        </w:rPr>
        <w:t>574.07  این بخش از برنامه OJT دو کاناله هم در حین و هم بعد از فرآیند آموزش ارتقاء رخ می‌دهد.</w:t>
      </w:r>
    </w:p>
    <w:p>
      <w:pPr>
        <w:spacing w:after="28" w:line="216" w:lineRule="auto"/>
        <w:ind w:left="259"/>
        <w:jc w:val="left"/>
      </w:pPr>
      <w:r>
        <w:rPr>
          <w:rFonts w:ascii="Arial" w:hAnsi="Arial"/>
          <w:color w:val="525252"/>
          <w:sz w:val="13"/>
        </w:rPr>
        <w:t>This portion of the dual channel OJT program occurs both during and after the upgrade training process.</w:t>
      </w:r>
    </w:p>
    <w:p>
      <w:pPr>
        <w:spacing w:after="20" w:line="223" w:lineRule="auto"/>
        <w:jc w:val="right"/>
        <w:bidi/>
      </w:pPr>
      <w:r>
        <w:rPr>
          <w:rFonts w:ascii="Arial" w:hAnsi="Arial"/>
          <w:sz w:val="16"/>
        </w:rPr>
        <w:t>574.08  برای ارائه مهارت‌های عملکردی مورد نیاز برای انجام کار طراحی شده است.</w:t>
      </w:r>
    </w:p>
    <w:p>
      <w:pPr>
        <w:spacing w:after="28" w:line="216" w:lineRule="auto"/>
        <w:ind w:left="259"/>
        <w:jc w:val="left"/>
      </w:pPr>
      <w:r>
        <w:rPr>
          <w:rFonts w:ascii="Arial" w:hAnsi="Arial"/>
          <w:color w:val="525252"/>
          <w:sz w:val="13"/>
        </w:rPr>
        <w:t>It is designed to provide the performance skills required to do the job.</w:t>
      </w:r>
    </w:p>
    <w:p>
      <w:pPr>
        <w:spacing w:after="20" w:line="223" w:lineRule="auto"/>
        <w:jc w:val="right"/>
        <w:bidi/>
      </w:pPr>
      <w:r>
        <w:rPr>
          <w:rFonts w:ascii="Arial" w:hAnsi="Arial"/>
          <w:sz w:val="16"/>
        </w:rPr>
        <w:t>574.09  رتبه - یک صف از هوانوردان در کنار هم ایستاده‌اند.</w:t>
      </w:r>
    </w:p>
    <w:p>
      <w:pPr>
        <w:spacing w:after="28" w:line="216" w:lineRule="auto"/>
        <w:ind w:left="259"/>
        <w:jc w:val="left"/>
      </w:pPr>
      <w:r>
        <w:rPr>
          <w:rFonts w:ascii="Arial" w:hAnsi="Arial"/>
          <w:color w:val="525252"/>
          <w:sz w:val="13"/>
        </w:rPr>
        <w:t>Rank—A single line of Airmen standing side by side.</w:t>
      </w:r>
    </w:p>
    <w:p>
      <w:pPr>
        <w:spacing w:after="20" w:line="223" w:lineRule="auto"/>
        <w:jc w:val="right"/>
        <w:bidi/>
      </w:pPr>
      <w:r>
        <w:rPr>
          <w:rFonts w:ascii="Arial" w:hAnsi="Arial"/>
          <w:sz w:val="16"/>
        </w:rPr>
        <w:t>574.10  ارزیاب - شخصی که برای ارائه بازخورد عملکرد و تهیه گزارش عملکرد (EPR) یا گزارش عملکرد افسر (OPR) در صورت لزوم تعیین شده است.</w:t>
      </w:r>
    </w:p>
    <w:p>
      <w:pPr>
        <w:spacing w:after="28" w:line="216" w:lineRule="auto"/>
        <w:ind w:left="259"/>
        <w:jc w:val="left"/>
      </w:pPr>
      <w:r>
        <w:rPr>
          <w:rFonts w:ascii="Arial" w:hAnsi="Arial"/>
          <w:color w:val="525252"/>
          <w:sz w:val="13"/>
        </w:rPr>
        <w:t>Rater—The person designated to provide performance feedback and prepare an enlisted performance report (EPR) or officer performance report (OPR) when required.</w:t>
      </w:r>
    </w:p>
    <w:p>
      <w:pPr>
        <w:spacing w:after="20" w:line="223" w:lineRule="auto"/>
        <w:jc w:val="right"/>
        <w:bidi/>
      </w:pPr>
      <w:r>
        <w:rPr>
          <w:rFonts w:ascii="Arial" w:hAnsi="Arial"/>
          <w:sz w:val="16"/>
        </w:rPr>
        <w:t>574.11  رتبه‌دهنده معمولا ناظر فوری نرخ‌دهنده است.</w:t>
      </w:r>
    </w:p>
    <w:p>
      <w:pPr>
        <w:spacing w:after="28" w:line="216" w:lineRule="auto"/>
        <w:ind w:left="259"/>
        <w:jc w:val="left"/>
      </w:pPr>
      <w:r>
        <w:rPr>
          <w:rFonts w:ascii="Arial" w:hAnsi="Arial"/>
          <w:color w:val="525252"/>
          <w:sz w:val="13"/>
        </w:rPr>
        <w:t>The rater is usually the ratee’s immediate supervisor.</w:t>
      </w:r>
    </w:p>
    <w:p>
      <w:pPr>
        <w:spacing w:after="20" w:line="223" w:lineRule="auto"/>
        <w:jc w:val="right"/>
        <w:bidi/>
      </w:pPr>
      <w:r>
        <w:rPr>
          <w:rFonts w:ascii="Arial" w:hAnsi="Arial"/>
          <w:sz w:val="16"/>
        </w:rPr>
        <w:t>574.12  جیره غذایی - غذا یا وعده غذایی واقعی.</w:t>
      </w:r>
    </w:p>
    <w:p>
      <w:pPr>
        <w:spacing w:after="28" w:line="216" w:lineRule="auto"/>
        <w:ind w:left="259"/>
        <w:jc w:val="left"/>
      </w:pPr>
      <w:r>
        <w:rPr>
          <w:rFonts w:ascii="Arial" w:hAnsi="Arial"/>
          <w:color w:val="525252"/>
          <w:sz w:val="13"/>
        </w:rPr>
        <w:t>Rations in Kind—The actual food or meal.</w:t>
      </w:r>
    </w:p>
    <w:p>
      <w:pPr>
        <w:spacing w:after="20" w:line="223" w:lineRule="auto"/>
        <w:jc w:val="right"/>
        <w:bidi/>
      </w:pPr>
      <w:r>
        <w:rPr>
          <w:rFonts w:ascii="Arial" w:hAnsi="Arial"/>
          <w:sz w:val="16"/>
        </w:rPr>
        <w:t>574.13  شناسایی - مأموریتی که برای به دست آوردن اطلاعات در مورد فعالیت‌ها و منابع یک دشمن یا دشمن بالقوه از طریق مشاهده بصری یا سایر روش‌های شناسایی انجام می‌شود. یا برای ایمن سازی داده‌های مربوط به ویژگی‌های هواشناسی، هیدروگرافی یا جغرافیایی یک منطقه خاص.</w:t>
      </w:r>
    </w:p>
    <w:p>
      <w:pPr>
        <w:spacing w:after="28" w:line="216" w:lineRule="auto"/>
        <w:ind w:left="259"/>
        <w:jc w:val="left"/>
      </w:pPr>
      <w:r>
        <w:rPr>
          <w:rFonts w:ascii="Arial" w:hAnsi="Arial"/>
          <w:color w:val="525252"/>
          <w:sz w:val="13"/>
        </w:rPr>
        <w:t>Reconnaissance—A mission undertaken to obtain, by visual observation or other detection methods, information about the activities and resources of an enemy or potential enemy; or to secure data concerning the meteorological, hydrographic, or geographic characteristics of a particular area.</w:t>
      </w:r>
    </w:p>
    <w:p>
      <w:pPr>
        <w:spacing w:after="20" w:line="223" w:lineRule="auto"/>
        <w:jc w:val="right"/>
        <w:bidi/>
      </w:pPr>
      <w:r>
        <w:rPr>
          <w:rFonts w:ascii="Arial" w:hAnsi="Arial"/>
          <w:sz w:val="16"/>
        </w:rPr>
        <w:t>574.14  بازگرداندن - رویه‌ای که طی آن شهروندان آمریکایی و خانواده‌هایشان پس از تخلیه، رسما به ایالات متحده بازگردانده می‌شوند.</w:t>
      </w:r>
    </w:p>
    <w:p>
      <w:pPr>
        <w:spacing w:after="28" w:line="216" w:lineRule="auto"/>
        <w:ind w:left="259"/>
        <w:jc w:val="left"/>
      </w:pPr>
      <w:r>
        <w:rPr>
          <w:rFonts w:ascii="Arial" w:hAnsi="Arial"/>
          <w:color w:val="525252"/>
          <w:sz w:val="13"/>
        </w:rPr>
        <w:t>Repatriation—The procedure whereby American citizens and their families are officially processed back into the United States subsequent to an evacuation.</w:t>
      </w:r>
    </w:p>
    <w:p>
      <w:pPr>
        <w:spacing w:after="20" w:line="223" w:lineRule="auto"/>
        <w:jc w:val="right"/>
        <w:bidi/>
      </w:pPr>
      <w:r>
        <w:rPr>
          <w:rFonts w:ascii="Arial" w:hAnsi="Arial"/>
          <w:sz w:val="16"/>
        </w:rPr>
        <w:t>574.15  اطلاعات حساس - داده‌هایی که نیاز به محافظت ویژه در برابر افشا دارند که می‌تواند باعث شرمساری، سازش یا تهدیدی برای امنیت قدرت حامی شود.</w:t>
      </w:r>
    </w:p>
    <w:p>
      <w:pPr>
        <w:spacing w:after="28" w:line="216" w:lineRule="auto"/>
        <w:ind w:left="259"/>
        <w:jc w:val="left"/>
      </w:pPr>
      <w:r>
        <w:rPr>
          <w:rFonts w:ascii="Arial" w:hAnsi="Arial"/>
          <w:color w:val="525252"/>
          <w:sz w:val="13"/>
        </w:rPr>
        <w:t>Sensitive Information—Data requiring special protection from disclosure that could cause embarrassment, compromise, or threat to the security of the sponsoring power.</w:t>
      </w:r>
    </w:p>
    <w:p>
      <w:pPr>
        <w:spacing w:after="20" w:line="223" w:lineRule="auto"/>
        <w:jc w:val="right"/>
        <w:bidi/>
      </w:pPr>
      <w:r>
        <w:rPr>
          <w:rFonts w:ascii="Arial" w:hAnsi="Arial"/>
          <w:sz w:val="16"/>
        </w:rPr>
        <w:t>574.16  ممکن است برای آژانس، تاسیسات، شخص، موقعیت، سند، مواد یا فعالیت اعمال شود.</w:t>
      </w:r>
    </w:p>
    <w:p>
      <w:pPr>
        <w:spacing w:after="28" w:line="216" w:lineRule="auto"/>
        <w:ind w:left="259"/>
        <w:jc w:val="left"/>
      </w:pPr>
      <w:r>
        <w:rPr>
          <w:rFonts w:ascii="Arial" w:hAnsi="Arial"/>
          <w:color w:val="525252"/>
          <w:sz w:val="13"/>
        </w:rPr>
        <w:t>It may be applied to an agency, installation, person, position, document, materiel, or activity.</w:t>
      </w:r>
    </w:p>
    <w:p>
      <w:pPr>
        <w:spacing w:after="20" w:line="223" w:lineRule="auto"/>
        <w:jc w:val="right"/>
        <w:bidi/>
      </w:pPr>
      <w:r>
        <w:rPr>
          <w:rFonts w:ascii="Arial" w:hAnsi="Arial"/>
          <w:sz w:val="16"/>
        </w:rPr>
        <w:t>574.17  سیستم سوابق (SOR) - گروهی از سوابق، صرف نظر از رسانه‌های ذخیره سازی (کاغذی، الکترونیکی و غیره)، تحت کنترل یک مؤلفه وزارت دفاع (دود) که از آن اطلاعات شخصی در مورد یک فرد با نام آن فرد، یا توسط شماره شناسایی، نماد، یا سایر شماره‌های شناسایی دیگر، بازیابی می‌شود. در ثبت فدرال اعلامیه سیستم سوابق مربوط به همه SORهایی که در مورد افرادی که شهروند ایالات متحده هستند یا خارجی هایی که به‌طور قانونی برای اقامت دائم پذیرفته شده‌اند نگهداری می‌شود.</w:t>
      </w:r>
    </w:p>
    <w:p>
      <w:pPr>
        <w:spacing w:after="28" w:line="216" w:lineRule="auto"/>
        <w:ind w:left="259"/>
        <w:jc w:val="left"/>
      </w:pPr>
      <w:r>
        <w:rPr>
          <w:rFonts w:ascii="Arial" w:hAnsi="Arial"/>
          <w:color w:val="525252"/>
          <w:sz w:val="13"/>
        </w:rPr>
        <w:t>System of Records (SOR)—A group of records, whatever the storage media (paper, electronic, etc.), under the control of a Department of Defense (DoD) Component from which personal information about an individual is retrieved by the name of the individual, or by some other identifying number, symbol, or other identifying particular assigned, that is unique to the individual System of Records Notice (SORN)—The DoD publishes in the Federal Register a System of Records Notice of all SORs being maintained on individuals who are citizens of the United States or aliens lawfully admitted for permanent residence.</w:t>
      </w:r>
    </w:p>
    <w:p>
      <w:pPr>
        <w:spacing w:after="20" w:line="223" w:lineRule="auto"/>
        <w:jc w:val="right"/>
        <w:bidi/>
      </w:pPr>
      <w:r>
        <w:rPr>
          <w:rFonts w:ascii="Arial" w:hAnsi="Arial"/>
          <w:sz w:val="16"/>
        </w:rPr>
        <w:t>574.18  عملیات ویژه (SO) - عملیاتی که توسط نیروهای نظامی و شبه نظامی سازماندهی شده، آموزش دیده و مجهز به‌ویژه برای دستیابی به اهداف نظامی، سیاسی، اقتصادی یا روانی با ابزارهای نظامی غیر متعارف در مناطق متخاصم، محروم شده یا از نظر سیاسی حساس انجام می‌شود.</w:t>
      </w:r>
    </w:p>
    <w:p>
      <w:pPr>
        <w:spacing w:after="28" w:line="216" w:lineRule="auto"/>
        <w:ind w:left="259"/>
        <w:jc w:val="left"/>
      </w:pPr>
      <w:r>
        <w:rPr>
          <w:rFonts w:ascii="Arial" w:hAnsi="Arial"/>
          <w:color w:val="525252"/>
          <w:sz w:val="13"/>
        </w:rPr>
        <w:t>Special Operations (SO)—Operations conducted by specially organized, trained, and equipped military and paramilitary forces to achieve military, political, economic, or psychological objectives by unconventional military means in hostile, denied, or politically sensitive areas.</w:t>
      </w:r>
    </w:p>
    <w:p>
      <w:pPr>
        <w:spacing w:after="20" w:line="223" w:lineRule="auto"/>
        <w:jc w:val="right"/>
        <w:bidi/>
      </w:pPr>
      <w:r>
        <w:rPr>
          <w:rFonts w:ascii="Arial" w:hAnsi="Arial"/>
          <w:sz w:val="16"/>
        </w:rPr>
        <w:t>574.19  این عملیات در زمان رقابت، درگیری و جنگ در زمان صلح، به‌طور مستقل یا در هماهنگی با عملیات نیروهای عملیات متعارف و غیر ویژه انجام می‌شود.</w:t>
      </w:r>
    </w:p>
    <w:p>
      <w:pPr>
        <w:spacing w:after="28" w:line="216" w:lineRule="auto"/>
        <w:ind w:left="259"/>
        <w:jc w:val="left"/>
      </w:pPr>
      <w:r>
        <w:rPr>
          <w:rFonts w:ascii="Arial" w:hAnsi="Arial"/>
          <w:color w:val="525252"/>
          <w:sz w:val="13"/>
        </w:rPr>
        <w:t>These operations are conducted during peacetime competition, conflict, and war, independently or in coordination with operations of conventional, nonspecial operations forces.</w:t>
      </w:r>
    </w:p>
    <w:p>
      <w:pPr>
        <w:spacing w:after="20" w:line="223" w:lineRule="auto"/>
        <w:jc w:val="right"/>
        <w:bidi/>
      </w:pPr>
      <w:r>
        <w:rPr>
          <w:rFonts w:ascii="Arial" w:hAnsi="Arial"/>
          <w:sz w:val="16"/>
        </w:rPr>
        <w:t>574.20  ملاحظات سیاسی-نظامی غالبا عملیات ویژه را شکل می‌دهند که نیازمند تکنیک‌های مخفیانه، مخفیانه، یا با دید کم و نظارت در سطح ملی است.</w:t>
      </w:r>
    </w:p>
    <w:p>
      <w:pPr>
        <w:spacing w:after="28" w:line="216" w:lineRule="auto"/>
        <w:ind w:left="259"/>
        <w:jc w:val="left"/>
      </w:pPr>
      <w:r>
        <w:rPr>
          <w:rFonts w:ascii="Arial" w:hAnsi="Arial"/>
          <w:color w:val="525252"/>
          <w:sz w:val="13"/>
        </w:rPr>
        <w:t>Political-military considerations frequently shape special operations, requiring clandestine, covert, or low-visibility techniques, and oversight at the national level.</w:t>
      </w:r>
    </w:p>
    <w:p>
      <w:pPr>
        <w:spacing w:after="20" w:line="223" w:lineRule="auto"/>
        <w:jc w:val="right"/>
        <w:bidi/>
      </w:pPr>
      <w:r>
        <w:rPr>
          <w:rFonts w:ascii="Arial" w:hAnsi="Arial"/>
          <w:sz w:val="16"/>
        </w:rPr>
        <w:t>574.21  عملیات ویژه از نظر درجه خطر فیزیکی و سیاسی، تکنیک‌های عملیاتی، نحوه استخدام، استقلال از پشتیبانی دوستانه و وابستگی به اطلاعات عملیاتی دقیق و دارایی‌های بومی با عملیات‌های معمولی متفاوت است.</w:t>
      </w:r>
    </w:p>
    <w:p>
      <w:pPr>
        <w:spacing w:after="28" w:line="216" w:lineRule="auto"/>
        <w:ind w:left="259"/>
        <w:jc w:val="left"/>
      </w:pPr>
      <w:r>
        <w:rPr>
          <w:rFonts w:ascii="Arial" w:hAnsi="Arial"/>
          <w:color w:val="525252"/>
          <w:sz w:val="13"/>
        </w:rPr>
        <w:t>Special operations differ from conventional operations in degree of physical and political risk, operational techniques, mode of employment, independence from friendly support, and dependence on detailed operational intelligence and indigenous assets.</w:t>
      </w:r>
    </w:p>
    <w:p>
      <w:r>
        <w:br w:type="page"/>
      </w:r>
    </w:p>
    <w:p>
      <w:pPr>
        <w:spacing w:after="60"/>
        <w:jc w:val="right"/>
        <w:bidi/>
      </w:pPr>
      <w:r>
        <w:rPr>
          <w:rFonts w:ascii="Arial" w:hAnsi="Arial"/>
          <w:b/>
          <w:color w:val="1F4D78"/>
          <w:sz w:val="19"/>
        </w:rPr>
        <w:t>هفتهٔ 575  |  صفحهٔ منبع: 592</w:t>
      </w:r>
    </w:p>
    <w:p>
      <w:pPr>
        <w:spacing w:after="20" w:line="223" w:lineRule="auto"/>
        <w:jc w:val="right"/>
        <w:bidi/>
      </w:pPr>
      <w:r>
        <w:rPr>
          <w:rFonts w:ascii="Arial" w:hAnsi="Arial"/>
          <w:sz w:val="16"/>
        </w:rPr>
        <w:t>575.01  وکیل قاضی ستاد (SJA) - مشاور حقوقی ارشد در ستاد فرماندهی.</w:t>
      </w:r>
    </w:p>
    <w:p>
      <w:pPr>
        <w:spacing w:after="28" w:line="216" w:lineRule="auto"/>
        <w:ind w:left="259"/>
        <w:jc w:val="left"/>
      </w:pPr>
      <w:r>
        <w:rPr>
          <w:rFonts w:ascii="Arial" w:hAnsi="Arial"/>
          <w:color w:val="525252"/>
          <w:sz w:val="13"/>
        </w:rPr>
        <w:t>Staff Judge Advocate (SJA)—The senior legal advisor on the commander’s staff.</w:t>
      </w:r>
    </w:p>
    <w:p>
      <w:pPr>
        <w:spacing w:after="20" w:line="223" w:lineRule="auto"/>
        <w:jc w:val="right"/>
        <w:bidi/>
      </w:pPr>
      <w:r>
        <w:rPr>
          <w:rFonts w:ascii="Arial" w:hAnsi="Arial"/>
          <w:sz w:val="16"/>
        </w:rPr>
        <w:t>575.02  استراتژی - هنر و علم توسعه و بکارگیری نیروهای سیاسی، اقتصادی، روانی و نظامی در زمان صلح و جنگ برای حمایت حداکثری از سیاست‌ها، افزایش احتمالات و پیامدهای مطلوب پیروزی و کاهش احتمال شکست.</w:t>
      </w:r>
    </w:p>
    <w:p>
      <w:pPr>
        <w:spacing w:after="28" w:line="216" w:lineRule="auto"/>
        <w:ind w:left="259"/>
        <w:jc w:val="left"/>
      </w:pPr>
      <w:r>
        <w:rPr>
          <w:rFonts w:ascii="Arial" w:hAnsi="Arial"/>
          <w:color w:val="525252"/>
          <w:sz w:val="13"/>
        </w:rPr>
        <w:t>Strategy—The art and science of developing and using political, economic, psychological, and military forces as necessary during peace and war, to afford the maximum support to policies, to increase the probabilities and favorable consequences of victory and to lessen the chances of defeat.</w:t>
      </w:r>
    </w:p>
    <w:p>
      <w:pPr>
        <w:spacing w:after="20" w:line="223" w:lineRule="auto"/>
        <w:jc w:val="right"/>
        <w:bidi/>
      </w:pPr>
      <w:r>
        <w:rPr>
          <w:rFonts w:ascii="Arial" w:hAnsi="Arial"/>
          <w:sz w:val="16"/>
        </w:rPr>
        <w:t>575.03  برانداز - هر کسی که به افراد، گروه‌ها یا سازمان‌هایی که از سرنگونی دولت‌های مستقر با زور و خشونت حمایت می‌کنند، کمک، آسایش و حمایت اخلاقی می‌کند، خرابکار است و درگیر فعالیت‌های خرابکارانه است.</w:t>
      </w:r>
    </w:p>
    <w:p>
      <w:pPr>
        <w:spacing w:after="28" w:line="216" w:lineRule="auto"/>
        <w:ind w:left="259"/>
        <w:jc w:val="left"/>
      </w:pPr>
      <w:r>
        <w:rPr>
          <w:rFonts w:ascii="Arial" w:hAnsi="Arial"/>
          <w:color w:val="525252"/>
          <w:sz w:val="13"/>
        </w:rPr>
        <w:t>Subversive—Anyone lending aid, comfort, and moral support to individuals, groups, or organizations that advocate the overthrow of incumbent governments by force and violence is subversive and is engaged in subversive activity.</w:t>
      </w:r>
    </w:p>
    <w:p>
      <w:pPr>
        <w:spacing w:after="20" w:line="223" w:lineRule="auto"/>
        <w:jc w:val="right"/>
        <w:bidi/>
      </w:pPr>
      <w:r>
        <w:rPr>
          <w:rFonts w:ascii="Arial" w:hAnsi="Arial"/>
          <w:sz w:val="16"/>
        </w:rPr>
        <w:t>575.04  کلیه اعمال عمدی که به قصد زیان رساندن به مصلحت حکومت بوده و در دسته بندی خیانت، فتنه، خرابکاری و جاسوسی قرار نمی‌گیرد، در زمره فعالیت خرابکارانه قرار می‌گیرد.</w:t>
      </w:r>
    </w:p>
    <w:p>
      <w:pPr>
        <w:spacing w:after="28" w:line="216" w:lineRule="auto"/>
        <w:ind w:left="259"/>
        <w:jc w:val="left"/>
      </w:pPr>
      <w:r>
        <w:rPr>
          <w:rFonts w:ascii="Arial" w:hAnsi="Arial"/>
          <w:color w:val="525252"/>
          <w:sz w:val="13"/>
        </w:rPr>
        <w:t>All willful acts that are intended to be detrimental to the best interests of the government and that do not fall into the categories of treason, sedition, sabotage, or espionage will be placed in the category of subversive activity.</w:t>
      </w:r>
    </w:p>
    <w:p>
      <w:pPr>
        <w:spacing w:after="20" w:line="223" w:lineRule="auto"/>
        <w:jc w:val="right"/>
        <w:bidi/>
      </w:pPr>
      <w:r>
        <w:rPr>
          <w:rFonts w:ascii="Arial" w:hAnsi="Arial"/>
          <w:sz w:val="16"/>
        </w:rPr>
        <w:t>575.05  کنترل تاکتیکی (TACON) - اختیار فرماندهی بر نیروها یا فرماندهی‌های تعیین شده یا پیوست شده، یا توانایی نظامی یا نیروهایی که برای انجام وظیفه در دسترس هستند، که به جهت و کنترل دقیق و معمولا محلی حرکات یا مانورهای لازم برای انجام مأموریت‌ها یا وظایف محوله محدود می‌شود.</w:t>
      </w:r>
    </w:p>
    <w:p>
      <w:pPr>
        <w:spacing w:after="28" w:line="216" w:lineRule="auto"/>
        <w:ind w:left="259"/>
        <w:jc w:val="left"/>
      </w:pPr>
      <w:r>
        <w:rPr>
          <w:rFonts w:ascii="Arial" w:hAnsi="Arial"/>
          <w:color w:val="525252"/>
          <w:sz w:val="13"/>
        </w:rPr>
        <w:t>Tactical Control (TACON)—Command authority over assigned or attached forces or commands, or military capability or forces made available for tasking, that is limited to the detailed and, usually, local direction and control of movements or maneuvers necessary to accomplish missions or tasks assigned.</w:t>
      </w:r>
    </w:p>
    <w:p>
      <w:pPr>
        <w:spacing w:after="20" w:line="223" w:lineRule="auto"/>
        <w:jc w:val="right"/>
        <w:bidi/>
      </w:pPr>
      <w:r>
        <w:rPr>
          <w:rFonts w:ascii="Arial" w:hAnsi="Arial"/>
          <w:sz w:val="16"/>
        </w:rPr>
        <w:t>575.06  کنترل تاکتیکی در کنترل عملیاتی ذاتی است.</w:t>
      </w:r>
    </w:p>
    <w:p>
      <w:pPr>
        <w:spacing w:after="28" w:line="216" w:lineRule="auto"/>
        <w:ind w:left="259"/>
        <w:jc w:val="left"/>
      </w:pPr>
      <w:r>
        <w:rPr>
          <w:rFonts w:ascii="Arial" w:hAnsi="Arial"/>
          <w:color w:val="525252"/>
          <w:sz w:val="13"/>
        </w:rPr>
        <w:t>Tactical control is inherent in operational control.</w:t>
      </w:r>
    </w:p>
    <w:p>
      <w:pPr>
        <w:spacing w:after="20" w:line="223" w:lineRule="auto"/>
        <w:jc w:val="right"/>
        <w:bidi/>
      </w:pPr>
      <w:r>
        <w:rPr>
          <w:rFonts w:ascii="Arial" w:hAnsi="Arial"/>
          <w:sz w:val="16"/>
        </w:rPr>
        <w:t>575.07  کنترل تاکتیکی ممکن است به هر سطحی در سطح یا پایین‌تر از سطح CCMD واگذار شود و اعمال شود.</w:t>
      </w:r>
    </w:p>
    <w:p>
      <w:pPr>
        <w:spacing w:after="28" w:line="216" w:lineRule="auto"/>
        <w:ind w:left="259"/>
        <w:jc w:val="left"/>
      </w:pPr>
      <w:r>
        <w:rPr>
          <w:rFonts w:ascii="Arial" w:hAnsi="Arial"/>
          <w:color w:val="525252"/>
          <w:sz w:val="13"/>
        </w:rPr>
        <w:t>Tactical control may be delegated to, and exercised at any level at or below, the level of CCMD.</w:t>
      </w:r>
    </w:p>
    <w:p>
      <w:pPr>
        <w:spacing w:after="20" w:line="223" w:lineRule="auto"/>
        <w:jc w:val="right"/>
        <w:bidi/>
      </w:pPr>
      <w:r>
        <w:rPr>
          <w:rFonts w:ascii="Arial" w:hAnsi="Arial"/>
          <w:sz w:val="16"/>
        </w:rPr>
        <w:t>575.08  تاکتیک - بکارگیری واحدها در نبرد. ترتیب و مانور دستوری یگان‌ها در ارتباط با یکدیگر و یا با دشمن برای استفاده از پتانسیل کامل آنها.</w:t>
      </w:r>
    </w:p>
    <w:p>
      <w:pPr>
        <w:spacing w:after="28" w:line="216" w:lineRule="auto"/>
        <w:ind w:left="259"/>
        <w:jc w:val="left"/>
      </w:pPr>
      <w:r>
        <w:rPr>
          <w:rFonts w:ascii="Arial" w:hAnsi="Arial"/>
          <w:color w:val="525252"/>
          <w:sz w:val="13"/>
        </w:rPr>
        <w:t>Tactics—The employment of units in combat; the ordered arrangement and maneuver of units in relation to each other and or to the enemy in order to use their full potentials.</w:t>
      </w:r>
    </w:p>
    <w:p>
      <w:pPr>
        <w:spacing w:after="20" w:line="223" w:lineRule="auto"/>
        <w:jc w:val="right"/>
        <w:bidi/>
      </w:pPr>
      <w:r>
        <w:rPr>
          <w:rFonts w:ascii="Arial" w:hAnsi="Arial"/>
          <w:sz w:val="16"/>
        </w:rPr>
        <w:t>575.09  تروریست - فردی که از خشونت، ترور و ارعاب برای رسیدن به نتیجه استفاده می‌کند.</w:t>
      </w:r>
    </w:p>
    <w:p>
      <w:pPr>
        <w:spacing w:after="28" w:line="216" w:lineRule="auto"/>
        <w:ind w:left="259"/>
        <w:jc w:val="left"/>
      </w:pPr>
      <w:r>
        <w:rPr>
          <w:rFonts w:ascii="Arial" w:hAnsi="Arial"/>
          <w:color w:val="525252"/>
          <w:sz w:val="13"/>
        </w:rPr>
        <w:t>Terrorist—An individual who uses violence, terror, and intimidation to achieve a result.</w:t>
      </w:r>
    </w:p>
    <w:p>
      <w:pPr>
        <w:spacing w:after="20" w:line="223" w:lineRule="auto"/>
        <w:jc w:val="right"/>
        <w:bidi/>
      </w:pPr>
      <w:r>
        <w:rPr>
          <w:rFonts w:ascii="Arial" w:hAnsi="Arial"/>
          <w:sz w:val="16"/>
        </w:rPr>
        <w:t>575.10  تئاتر - منطقه جغرافیایی خارج از قاره ایالات متحده که مسئولیت آن به فرماندهی CCMD منصوب شده است.</w:t>
      </w:r>
    </w:p>
    <w:p>
      <w:pPr>
        <w:spacing w:after="28" w:line="216" w:lineRule="auto"/>
        <w:ind w:left="259"/>
        <w:jc w:val="left"/>
      </w:pPr>
      <w:r>
        <w:rPr>
          <w:rFonts w:ascii="Arial" w:hAnsi="Arial"/>
          <w:color w:val="525252"/>
          <w:sz w:val="13"/>
        </w:rPr>
        <w:t>Theater—The geographical area outside the continental United States for which a commander of a CCMD has been assigned responsibility.</w:t>
      </w:r>
    </w:p>
    <w:p>
      <w:pPr>
        <w:spacing w:after="20" w:line="223" w:lineRule="auto"/>
        <w:jc w:val="right"/>
        <w:bidi/>
      </w:pPr>
      <w:r>
        <w:rPr>
          <w:rFonts w:ascii="Arial" w:hAnsi="Arial"/>
          <w:sz w:val="16"/>
        </w:rPr>
        <w:t>575.11  زیر بغل - بازوهای تحمل کننده.</w:t>
      </w:r>
    </w:p>
    <w:p>
      <w:pPr>
        <w:spacing w:after="28" w:line="216" w:lineRule="auto"/>
        <w:ind w:left="259"/>
        <w:jc w:val="left"/>
      </w:pPr>
      <w:r>
        <w:rPr>
          <w:rFonts w:ascii="Arial" w:hAnsi="Arial"/>
          <w:color w:val="525252"/>
          <w:sz w:val="13"/>
        </w:rPr>
        <w:t>Under Arms—Bearing arms.</w:t>
      </w:r>
    </w:p>
    <w:p>
      <w:pPr>
        <w:spacing w:after="20" w:line="223" w:lineRule="auto"/>
        <w:jc w:val="right"/>
        <w:bidi/>
      </w:pPr>
      <w:r>
        <w:rPr>
          <w:rFonts w:ascii="Arial" w:hAnsi="Arial"/>
          <w:sz w:val="16"/>
        </w:rPr>
        <w:t>575.12  وسیله نقلیه هوایی بدون سرنشین - یک وسیله نقلیه هوایی نیرودار که اپراتور انسانی را حمل نمی‌کند، از نیروهای آیرودینامیکی برای بالا بردن وسیله نقلیه استفاده می‌کند، می‌تواند به صورت مستقل پرواز کند یا از راه دور هدایت شود، می‌تواند قابل مصرف یا بازیابی باشد، و می‌تواند بار کشنده یا غیرکشنده را حمل کند.</w:t>
      </w:r>
    </w:p>
    <w:p>
      <w:pPr>
        <w:spacing w:after="28" w:line="216" w:lineRule="auto"/>
        <w:ind w:left="259"/>
        <w:jc w:val="left"/>
      </w:pPr>
      <w:r>
        <w:rPr>
          <w:rFonts w:ascii="Arial" w:hAnsi="Arial"/>
          <w:color w:val="525252"/>
          <w:sz w:val="13"/>
        </w:rPr>
        <w:t>Unmanned Aerial Vehicle—A powered, aerial vehicle that does not carry a human operator, uses aerodynamic forces to provide vehicle lift, can fly autonomously or be piloted remotely, can be expendable or recoverable, and can carry a lethal or nonlethal payload.</w:t>
      </w:r>
    </w:p>
    <w:p>
      <w:pPr>
        <w:spacing w:after="20" w:line="223" w:lineRule="auto"/>
        <w:jc w:val="right"/>
        <w:bidi/>
      </w:pPr>
      <w:r>
        <w:rPr>
          <w:rFonts w:ascii="Arial" w:hAnsi="Arial"/>
          <w:sz w:val="16"/>
        </w:rPr>
        <w:t>575.13  وسایل نقلیه بالستیک یا نیمه بالستیک، موشک‌های کروز یا گلوله‌های توپخانه، هواپیماهای بدون سرنشین محسوب نمی‌شوند.</w:t>
      </w:r>
    </w:p>
    <w:p>
      <w:pPr>
        <w:spacing w:after="28" w:line="216" w:lineRule="auto"/>
        <w:ind w:left="259"/>
        <w:jc w:val="left"/>
      </w:pPr>
      <w:r>
        <w:rPr>
          <w:rFonts w:ascii="Arial" w:hAnsi="Arial"/>
          <w:color w:val="525252"/>
          <w:sz w:val="13"/>
        </w:rPr>
        <w:t>Ballistic or semi-ballistic vehicles, cruise missiles, or artillery projectiles are not considered unmanned aerial vehicles.</w:t>
      </w:r>
    </w:p>
    <w:p>
      <w:r>
        <w:br w:type="page"/>
      </w:r>
    </w:p>
    <w:p>
      <w:pPr>
        <w:spacing w:after="60"/>
        <w:jc w:val="right"/>
        <w:bidi/>
      </w:pPr>
      <w:r>
        <w:rPr>
          <w:rFonts w:ascii="Arial" w:hAnsi="Arial"/>
          <w:b/>
          <w:color w:val="1F4D78"/>
          <w:sz w:val="19"/>
        </w:rPr>
        <w:t>هفتهٔ 576  |  صفحهٔ منبع: 593</w:t>
      </w:r>
    </w:p>
    <w:p>
      <w:pPr>
        <w:spacing w:before="60" w:after="28"/>
        <w:jc w:val="right"/>
        <w:bidi/>
      </w:pPr>
      <w:r>
        <w:rPr>
          <w:b/>
          <w:color w:val="1F4D78"/>
          <w:sz w:val="18"/>
        </w:rPr>
        <w:t>پیوست 2</w:t>
      </w:r>
    </w:p>
    <w:p>
      <w:pPr>
        <w:spacing w:after="20"/>
        <w:ind w:left="259"/>
        <w:jc w:val="left"/>
      </w:pPr>
      <w:r>
        <w:rPr>
          <w:color w:val="555555"/>
          <w:sz w:val="12"/>
        </w:rPr>
        <w:t>Attachment 2</w:t>
      </w:r>
    </w:p>
    <w:p>
      <w:pPr>
        <w:spacing w:before="60" w:after="28"/>
        <w:jc w:val="right"/>
        <w:bidi/>
      </w:pPr>
      <w:r>
        <w:rPr>
          <w:b/>
          <w:color w:val="1F4D78"/>
          <w:sz w:val="18"/>
        </w:rPr>
        <w:t>ROUNDEL</w:t>
      </w:r>
    </w:p>
    <w:p>
      <w:pPr>
        <w:spacing w:after="20"/>
        <w:ind w:left="259"/>
        <w:jc w:val="left"/>
      </w:pPr>
      <w:r>
        <w:rPr>
          <w:color w:val="555555"/>
          <w:sz w:val="12"/>
        </w:rPr>
        <w:t>THE ROUNDEL</w:t>
      </w:r>
    </w:p>
    <w:p>
      <w:pPr>
        <w:spacing w:after="20" w:line="223" w:lineRule="auto"/>
        <w:jc w:val="right"/>
        <w:bidi/>
      </w:pPr>
      <w:r>
        <w:rPr>
          <w:rFonts w:ascii="Arial" w:hAnsi="Arial"/>
          <w:sz w:val="16"/>
        </w:rPr>
        <w:t>576.03  هریتاگ وف ت رووندل ۱۹۰۶-۱۹۱۶ ۱۹۱۸ - ۱۹۲۰ ۱۹۱۷، ۱۹۲۱-۱۹۴۱ ۱۹۴۲-۱۹۴۳ استفاده شده با و رسمی معرفی شده قبل از بدون سفید قرمز نشان آمریکایی دایره پس زمینه ورودی آمریکایی حذف شد. برای جلوگیری از سردرگمی در طول جنگ جهانی اول به جنگ جهانی اول و در زمان استفاده با ژاپنی‌ها و به‌طور رسمی مجددا نشان مرز مکزیک انتخاب شد. پس از جنگ در سال ۱۹۱۹ حذف شد.</w:t>
      </w:r>
    </w:p>
    <w:p>
      <w:pPr>
        <w:spacing w:after="28" w:line="216" w:lineRule="auto"/>
        <w:ind w:left="259"/>
        <w:jc w:val="left"/>
      </w:pPr>
      <w:r>
        <w:rPr>
          <w:rFonts w:ascii="Arial" w:hAnsi="Arial"/>
          <w:color w:val="525252"/>
          <w:sz w:val="13"/>
        </w:rPr>
        <w:t>Heritage of the Roundel 1906-1916 1918 - 1920 1917, 1921-1941 1942-1943 Used with and The official Introduced prior to without white The red was removed American insignia the American entry background circle. to avoid confusion during World War I into World War I and In use at the time of with Japanese and began to be officially readopted the Mexican Border insignia. phased out in 1919. after the war.</w:t>
      </w:r>
    </w:p>
    <w:p>
      <w:pPr>
        <w:spacing w:after="20" w:line="223" w:lineRule="auto"/>
        <w:jc w:val="right"/>
        <w:bidi/>
      </w:pPr>
      <w:r>
        <w:rPr>
          <w:rFonts w:ascii="Arial" w:hAnsi="Arial"/>
          <w:sz w:val="16"/>
        </w:rPr>
        <w:t>576.04  کمپین.</w:t>
      </w:r>
    </w:p>
    <w:p>
      <w:pPr>
        <w:spacing w:after="28" w:line="216" w:lineRule="auto"/>
        <w:ind w:left="259"/>
        <w:jc w:val="left"/>
      </w:pPr>
      <w:r>
        <w:rPr>
          <w:rFonts w:ascii="Arial" w:hAnsi="Arial"/>
          <w:color w:val="525252"/>
          <w:sz w:val="13"/>
        </w:rPr>
        <w:t>Campaign.</w:t>
      </w:r>
    </w:p>
    <w:p>
      <w:pPr>
        <w:spacing w:after="20" w:line="223" w:lineRule="auto"/>
        <w:jc w:val="right"/>
        <w:bidi/>
      </w:pPr>
      <w:r>
        <w:rPr>
          <w:rFonts w:ascii="Arial" w:hAnsi="Arial"/>
          <w:sz w:val="16"/>
        </w:rPr>
        <w:t>576.05  ۱۹۴۲-۱۹۴۳ ۱۹۴۳ ۱۹۴۳-۱۹۴۷ ۱۹۴۷-فعلا احاطه قرمز با هواپیمای سوم در نشان رسمی بین ۲۹ ژوئن و سازماندهی مجدد اروپا و به آبی تغییر یافت.</w:t>
      </w:r>
    </w:p>
    <w:p>
      <w:pPr>
        <w:spacing w:after="28" w:line="216" w:lineRule="auto"/>
        <w:ind w:left="259"/>
        <w:jc w:val="left"/>
      </w:pPr>
      <w:r>
        <w:rPr>
          <w:rFonts w:ascii="Arial" w:hAnsi="Arial"/>
          <w:color w:val="525252"/>
          <w:sz w:val="13"/>
        </w:rPr>
        <w:t>1942-1943 1943 1943-1947 1947-Present The red surround of With the Some aircraft in the the official insignia Between 29 June and reorganization of the European and was changed to blue.</w:t>
      </w:r>
    </w:p>
    <w:p>
      <w:pPr>
        <w:spacing w:after="20" w:line="223" w:lineRule="auto"/>
        <w:jc w:val="right"/>
        <w:bidi/>
      </w:pPr>
      <w:r>
        <w:rPr>
          <w:rFonts w:ascii="Arial" w:hAnsi="Arial"/>
          <w:sz w:val="16"/>
        </w:rPr>
        <w:t>576.06  ۱۴ اوت، وزارت مدیترانه در طول ۴ سال دفاع ملی رسمی خود و سالن‌ها به‌طور غیررسمی از آن استفاده می‌کنند، این نشان نشان شامل ایجاد نیروی هوایی ایالات متحده آمریکا بود، در ستون‌های کناری سفید بیشتری قرار داشت و میله‌های قرمز رنگی به رنگ زرد در اطراف هواپیما اضافه شد. به رسمی سبک بریتانیایی. نشان ملی پیشینیان ترکیب شده است.</w:t>
      </w:r>
    </w:p>
    <w:p>
      <w:pPr>
        <w:spacing w:after="28" w:line="216" w:lineRule="auto"/>
        <w:ind w:left="259"/>
        <w:jc w:val="left"/>
      </w:pPr>
      <w:r>
        <w:rPr>
          <w:rFonts w:ascii="Arial" w:hAnsi="Arial"/>
          <w:color w:val="525252"/>
          <w:sz w:val="13"/>
        </w:rPr>
        <w:t>14 August, the Department of Mediterranean During its 4 years of official national Defense and the theaters unofficially use, this insignia insignia incorporated creation of the USAF, incorporated a appeared on more white sidebars and an red bars were added yellow surround in aircraft than all its overall red surround. to the official the British style. predecessors national insignia. combined.</w:t>
      </w:r>
    </w:p>
    <w:p>
      <w:pPr>
        <w:spacing w:after="20" w:line="223" w:lineRule="auto"/>
        <w:jc w:val="right"/>
        <w:bidi/>
      </w:pPr>
      <w:r>
        <w:rPr>
          <w:rFonts w:ascii="Arial" w:hAnsi="Arial"/>
          <w:sz w:val="16"/>
        </w:rPr>
        <w:t>576.07  رووندل لوو ویسیبیلیتی با شروع در اواخر دهه هفتاد، علائم دید کم به‌طور رسمی و غیر رسمی در هواپیماهای USAF و سایر خدمات معرفی شد.</w:t>
      </w:r>
    </w:p>
    <w:p>
      <w:pPr>
        <w:spacing w:after="28" w:line="216" w:lineRule="auto"/>
        <w:ind w:left="259"/>
        <w:jc w:val="left"/>
      </w:pPr>
      <w:r>
        <w:rPr>
          <w:rFonts w:ascii="Arial" w:hAnsi="Arial"/>
          <w:color w:val="525252"/>
          <w:sz w:val="13"/>
        </w:rPr>
        <w:t>Low Visibility Roundel Beginning in the late seventies low visibility markings have been introduced officially and unofficially on the aircraft of the USAF and other services.</w:t>
      </w:r>
    </w:p>
    <w:p>
      <w:pPr>
        <w:spacing w:after="20" w:line="223" w:lineRule="auto"/>
        <w:jc w:val="right"/>
        <w:bidi/>
      </w:pPr>
      <w:r>
        <w:rPr>
          <w:rFonts w:ascii="Arial" w:hAnsi="Arial"/>
          <w:sz w:val="16"/>
        </w:rPr>
        <w:t>576.08  این علائم خاکستری به اشکال مختلف در اکثر هواپیماهای موجودی نیروی هوایی ظاهر می‌شوند.</w:t>
      </w:r>
    </w:p>
    <w:p>
      <w:pPr>
        <w:spacing w:after="28" w:line="216" w:lineRule="auto"/>
        <w:ind w:left="259"/>
        <w:jc w:val="left"/>
      </w:pPr>
      <w:r>
        <w:rPr>
          <w:rFonts w:ascii="Arial" w:hAnsi="Arial"/>
          <w:color w:val="525252"/>
          <w:sz w:val="13"/>
        </w:rPr>
        <w:t>These grey insignia appear in their various forms on the majority of aircraft in the Air Force inventory.</w:t>
      </w:r>
    </w:p>
    <w:p>
      <w:r>
        <w:br w:type="page"/>
      </w:r>
    </w:p>
    <w:p>
      <w:pPr>
        <w:spacing w:after="60"/>
        <w:jc w:val="right"/>
        <w:bidi/>
      </w:pPr>
      <w:r>
        <w:rPr>
          <w:rFonts w:ascii="Arial" w:hAnsi="Arial"/>
          <w:b/>
          <w:color w:val="1F4D78"/>
          <w:sz w:val="19"/>
        </w:rPr>
        <w:t>هفتهٔ 577  |  صفحهٔ منبع: 594</w:t>
      </w:r>
    </w:p>
    <w:p>
      <w:pPr>
        <w:spacing w:before="60" w:after="28"/>
        <w:jc w:val="right"/>
        <w:bidi/>
      </w:pPr>
      <w:r>
        <w:rPr>
          <w:b/>
          <w:color w:val="1F4D78"/>
          <w:sz w:val="18"/>
        </w:rPr>
        <w:t>پیوست 3</w:t>
      </w:r>
    </w:p>
    <w:p>
      <w:pPr>
        <w:spacing w:after="20"/>
        <w:ind w:left="259"/>
        <w:jc w:val="left"/>
      </w:pPr>
      <w:r>
        <w:rPr>
          <w:color w:val="555555"/>
          <w:sz w:val="12"/>
        </w:rPr>
        <w:t>Attachment 3</w:t>
      </w:r>
    </w:p>
    <w:p>
      <w:pPr>
        <w:spacing w:before="60" w:after="28"/>
        <w:jc w:val="right"/>
        <w:bidi/>
      </w:pPr>
      <w:r>
        <w:rPr>
          <w:b/>
          <w:color w:val="1F4D78"/>
          <w:sz w:val="18"/>
        </w:rPr>
        <w:t>دپارتمان رهبری نیروی هوایی</w:t>
      </w:r>
    </w:p>
    <w:p>
      <w:pPr>
        <w:spacing w:after="20"/>
        <w:ind w:left="259"/>
        <w:jc w:val="left"/>
      </w:pPr>
      <w:r>
        <w:rPr>
          <w:color w:val="555555"/>
          <w:sz w:val="12"/>
        </w:rPr>
        <w:t>DEPARTMENT OF THE AIR FORCE LEADERSHIP</w:t>
      </w:r>
    </w:p>
    <w:p>
      <w:pPr>
        <w:spacing w:after="20" w:line="223" w:lineRule="auto"/>
        <w:jc w:val="right"/>
        <w:bidi/>
      </w:pPr>
      <w:r>
        <w:rPr>
          <w:rFonts w:ascii="Arial" w:hAnsi="Arial"/>
          <w:sz w:val="16"/>
        </w:rPr>
        <w:t>577.03  ف. تروبی داویسون ۱۹۲۶-۱۹۳۲ اسسیستانت سکرتاریس وف وار روبرت ا. لووتت ۱۹۴۱-۱۹۴۶ فور و. ستوارت سیمینگتون ۱۹۴۶-۱۹۴۷ وزیران هوایی نیروی هوایی و. ستوارت سیمینگتون ۱۹۴۷-۱۹۵۰ .ستوارت سیمینگتون ۱۹۴۷-۱۹۵۰. تالبوتت ۱۹۵۳-۱۹۵۵ دونالد ا. قوارلس ۱۹۵۵-۱۹۵۷ جامس ه. دووگلاس، جر.</w:t>
      </w:r>
    </w:p>
    <w:p>
      <w:pPr>
        <w:spacing w:after="28" w:line="216" w:lineRule="auto"/>
        <w:ind w:left="259"/>
        <w:jc w:val="left"/>
      </w:pPr>
      <w:r>
        <w:rPr>
          <w:rFonts w:ascii="Arial" w:hAnsi="Arial"/>
          <w:color w:val="525252"/>
          <w:sz w:val="13"/>
        </w:rPr>
        <w:t>F. Trubee Davison 1926-1932 Assistant Secretaries of War Robert A. Lovett 1941-1946 for W. Stuart Symington 1946-1947 Air Secretaries of the Air Force W. Stuart Symington 1947-1950 Thomas K. Finletter 1950-1953 Harold E. Talbott 1953-1955 Donald A. Quarles 1955-1957 James H. Douglas, Jr.</w:t>
      </w:r>
    </w:p>
    <w:p>
      <w:pPr>
        <w:spacing w:after="20" w:line="223" w:lineRule="auto"/>
        <w:jc w:val="right"/>
        <w:bidi/>
      </w:pPr>
      <w:r>
        <w:rPr>
          <w:rFonts w:ascii="Arial" w:hAnsi="Arial"/>
          <w:sz w:val="16"/>
        </w:rPr>
        <w:t>577.04  ۱۹۵۷-۱۹۵۹ دادلی سی شارپ ۱۹۵۹-۱۹۶۱ دبیران یوجین ام. زوکرت ۱۹۶۱-۱۹۶۵ نیروی هوایی هارولد براون ۱۹۶۵-۱۹۶۹ رابرت سی. سیمنز جونیور.</w:t>
      </w:r>
    </w:p>
    <w:p>
      <w:pPr>
        <w:spacing w:after="28" w:line="216" w:lineRule="auto"/>
        <w:ind w:left="259"/>
        <w:jc w:val="left"/>
      </w:pPr>
      <w:r>
        <w:rPr>
          <w:rFonts w:ascii="Arial" w:hAnsi="Arial"/>
          <w:color w:val="525252"/>
          <w:sz w:val="13"/>
        </w:rPr>
        <w:t>1957-1959 Dudley C. Sharp 1959-1961 Secretaries Eugene M. Zuckert 1961-1965 of the Harold Brown 1965-1969 Air Force Robert C. Seamans, Jr.</w:t>
      </w:r>
    </w:p>
    <w:p>
      <w:pPr>
        <w:spacing w:after="20" w:line="223" w:lineRule="auto"/>
        <w:jc w:val="right"/>
        <w:bidi/>
      </w:pPr>
      <w:r>
        <w:rPr>
          <w:rFonts w:ascii="Arial" w:hAnsi="Arial"/>
          <w:sz w:val="16"/>
        </w:rPr>
        <w:t>577.05  ۱۹۶۹-۱۹۷۳ جوهن ل. مکلوکاس ۱۹۷۳-۱۹۷۵ توماس ک. رید ۱۹۷۶-۱۹۷۷ جوهن ک. ستتسون ۱۹۷۷-۱۹۷۹ هانس م. مارک ۱۹۷۹-۱۹۸۱ ورن ورر ۱۹۸۱-۱۹۸۵ روسللس۱۹۸۵-۱۹۸۵ سی. آلدریج، جونیور.</w:t>
      </w:r>
    </w:p>
    <w:p>
      <w:pPr>
        <w:spacing w:after="28" w:line="216" w:lineRule="auto"/>
        <w:ind w:left="259"/>
        <w:jc w:val="left"/>
      </w:pPr>
      <w:r>
        <w:rPr>
          <w:rFonts w:ascii="Arial" w:hAnsi="Arial"/>
          <w:color w:val="525252"/>
          <w:sz w:val="13"/>
        </w:rPr>
        <w:t>1969-1973 John L. McLucas 1973-1975 Thomas C. Reed 1976-1977 John C. Stetson 1977-1979 Hans M. Mark 1979-1981 Verne Orr 1981-1985 Russell A. Rourke 1985-1986 Edward C. Aldridge, Jr.</w:t>
      </w:r>
    </w:p>
    <w:p>
      <w:pPr>
        <w:spacing w:after="20" w:line="223" w:lineRule="auto"/>
        <w:jc w:val="right"/>
        <w:bidi/>
      </w:pPr>
      <w:r>
        <w:rPr>
          <w:rFonts w:ascii="Arial" w:hAnsi="Arial"/>
          <w:sz w:val="16"/>
        </w:rPr>
        <w:t>577.06  ۱۹۸۶-۱۹۸۸ دونالد ب. ریک ۱۹۸۹-۱۹۹۳ شیلا . ویدنالل ۱۹۹۳-۱۹۹۷ ف. وهیتتن پترس ۱۹۹۷-۲۰۰۱ در. جامس گ. روچ ۲۰۰۱-۲۰۰۵ میچال و. و. وینن۲۰. ۲۰۰۸-۲۰۱۳ دبورا ال جیمز ۲۰۱۳-۲۰۱۶ هیدر ای ویلسون ۲۰۱۷-۱۹۱۹ باربارا ام. بارت ۲۰۱۹-۲۰۲۱ فرانک کندال ۲۰۲۱-۲۰۲۵</w:t>
      </w:r>
    </w:p>
    <w:p>
      <w:pPr>
        <w:spacing w:after="28" w:line="216" w:lineRule="auto"/>
        <w:ind w:left="259"/>
        <w:jc w:val="left"/>
      </w:pPr>
      <w:r>
        <w:rPr>
          <w:rFonts w:ascii="Arial" w:hAnsi="Arial"/>
          <w:color w:val="525252"/>
          <w:sz w:val="13"/>
        </w:rPr>
        <w:t>1986-1988 Donald B. Rice 1989-1993 Sheila E. Widnall 1993-1997 F. Whitten Peters 1997-2001 Dr. James G. Roche 2001-2005 Michael W. Wynne 2005-2008 Michael B. Donley 2008-2013 Deborah L. James 2013-2016 Heather A. Wilson 2017-1919 Barbara M. Barrett 2019-2021 Frank Kendall 2021-2025</w:t>
      </w:r>
    </w:p>
    <w:p>
      <w:r>
        <w:br w:type="page"/>
      </w:r>
    </w:p>
    <w:p>
      <w:pPr>
        <w:spacing w:after="60"/>
        <w:jc w:val="right"/>
        <w:bidi/>
      </w:pPr>
      <w:r>
        <w:rPr>
          <w:rFonts w:ascii="Arial" w:hAnsi="Arial"/>
          <w:b/>
          <w:color w:val="1F4D78"/>
          <w:sz w:val="19"/>
        </w:rPr>
        <w:t>هفتهٔ 578  |  صفحهٔ منبع: 595</w:t>
      </w:r>
    </w:p>
    <w:p>
      <w:pPr>
        <w:spacing w:after="20" w:line="223" w:lineRule="auto"/>
        <w:jc w:val="right"/>
        <w:bidi/>
      </w:pPr>
      <w:r>
        <w:rPr>
          <w:rFonts w:ascii="Arial" w:hAnsi="Arial"/>
          <w:sz w:val="16"/>
        </w:rPr>
        <w:t>578.01  سروان چارلز دی. چندلر ۱۹۰۷-۱۹۱۰ سروان آرتور اس. کووان ۱۹۱۰-۱۹۱۱ سروان چارلز دی. ۱۹۱۶-۱۹۱۷ سرهنگ جان بی بنت ۱۹۱۷ سرتیپ بنجامین فولوآ ۱۹۱۷ سرتیپ الکساندر داد ۱۹۱۷-۱۹۱۸ سرلشکر ویلیام کنلی ۱۹۱۸-۱۹۱۹ سرلشکر میسون ام پاتریک ۱۹۲۱-۱۹۲۷ سرلشکر ۱۹۲۱-۱۹۲۷ سرلشکر جیمز ای. ۱۹۳۱-۱۹۳۵ سرلشکر اسکار وستاور ۱۹۳۵-۱۹۳۸ ژنرال هنری اچ آرنولد ۱۹۳۸-۱۹۴۶ ژنرال کارل ا. اسپاتز ۱۹۴۶-۱۹۴۷ ژنرال کارل ا. ۱۹۵۳-۱۹۵۷ ژنرال توماس د. وهیت ۱۹۵۷-۱۹۶۱ گن کورتیس . لمای ۱۹۶۱-۱۹۶۵ گن جوهن پ. مککوننلل ۱۹۶۵-۱۹۶۹ USAF گن جوهن د. ریان ۱۹۶۹-۱۹۷۳ چیفس وف ستافف گن گورگ س. بروون گن گورگ س. بروون ۱۷۴۱۷۳ ژنرال لو آلن جونیور</w:t>
      </w:r>
    </w:p>
    <w:p>
      <w:pPr>
        <w:spacing w:after="28" w:line="216" w:lineRule="auto"/>
        <w:ind w:left="259"/>
        <w:jc w:val="left"/>
      </w:pPr>
      <w:r>
        <w:rPr>
          <w:rFonts w:ascii="Arial" w:hAnsi="Arial"/>
          <w:color w:val="525252"/>
          <w:sz w:val="13"/>
        </w:rPr>
        <w:t>Capt Charles D. Chandler 1907-1910 Capt Arthur S. Cowan 1910-1911 Capt Charles D. Chandler 1911-1912 Lt Henry H. Arnold 1912-1913 Military Air Chiefs Col Samuel Reber 1913-1916 Brig Gen George Squier 1916-1917 Lt Col John B. Bennet 1917 Brig Gen Benjamin Foulois 1917 Brig Gen Alexander Dade 1917-1918 Maj Gen William Kenly 1918-1919 Maj Gen Mason M. Patrick 1921-1927 Maj Gen James E. Fechet 1927-1931 Maj Gen Benjamin Foulois 1931-1935 Maj Gen Oscar Westover 1935-1938 Gen Henry H. Arnold 1938-1946 Gen Carl A. Spaatz 1946-1947 Gen Carl A. Spaatz 1947-1948 Gen Hoyt S. Vandenberg 1948-1953 Gen Nathan F. Twining 1953-1957 Gen Thomas D. White 1957-1961 Gen Curtis E. LeMay 1961-1965 Gen John P. McConnell 1965-1969 USAF Gen John D. Ryan 1969-1973 Chiefs of Staff Gen George S. Brown 1973-1974 Gen David C. Jones 1974-1978 Gen Lew Allen, Jr.</w:t>
      </w:r>
    </w:p>
    <w:p>
      <w:pPr>
        <w:spacing w:after="20" w:line="223" w:lineRule="auto"/>
        <w:jc w:val="right"/>
        <w:bidi/>
      </w:pPr>
      <w:r>
        <w:rPr>
          <w:rFonts w:ascii="Arial" w:hAnsi="Arial"/>
          <w:sz w:val="16"/>
        </w:rPr>
        <w:t>578.02  ۱۹۷۸-۱۹۸۲ گن چارلس ا. گابریل ۱۹۸۲-۱۹۸۶ گن لارری د. ولچ ۱۹۸۶-۱۹۹۰ گن میچال ج. دوگان ۱۹۹۰-۱۹۹۰ گن مرریلل ا. مکپاک ۱۹۹۰-۱۹۹۴ گن-رونالد ۱۹۹۰-۱۹۹۴. ۱۹۹۷-۲۰۰۱ ژنرال جوهن پ. جومپر ۲۰۰۱-۲۰۰۵ گن ت. میچال موسلی ۲۰۰۵-۲۰۰۸ گن نورتون ا. سچوارتز ۲۰۰۸-۲۰۱۲ گن مارک ا. ولش III ۲۰۱۲-۲۰۱۶ گن داوید ل. گولدفین ۲۰۱۶-۲۰۲۰ گن.</w:t>
      </w:r>
    </w:p>
    <w:p>
      <w:pPr>
        <w:spacing w:after="28" w:line="216" w:lineRule="auto"/>
        <w:ind w:left="259"/>
        <w:jc w:val="left"/>
      </w:pPr>
      <w:r>
        <w:rPr>
          <w:rFonts w:ascii="Arial" w:hAnsi="Arial"/>
          <w:color w:val="525252"/>
          <w:sz w:val="13"/>
        </w:rPr>
        <w:t>1978-1982 Gen Charles A. Gabriel 1982-1986 Gen Larry D. Welch 1986-1990 Gen Michael J. Dugan 1990-1990 Gen Merrill A. McPeak 1990-1994 Gen Ronald R. Fogleman 1994-1997 Gen Michael E. Ryan 1997-2001 Gen John P. Jumper 2001-2005 Gen T. Michael Moseley 2005-2008 Gen Norton A. Schwartz 2008-2012 Gen Mark A. Welsh III 2012-2016 Gen David L. Goldfein 2016-2020 Gen Charles Q. Brown, Jr.</w:t>
      </w:r>
    </w:p>
    <w:p>
      <w:pPr>
        <w:spacing w:after="20" w:line="223" w:lineRule="auto"/>
        <w:jc w:val="right"/>
        <w:bidi/>
      </w:pPr>
      <w:r>
        <w:rPr>
          <w:rFonts w:ascii="Arial" w:hAnsi="Arial"/>
          <w:sz w:val="16"/>
        </w:rPr>
        <w:t>578.03  ۲۰۲۰-۲۰۲۳ ژنرال دیوید دبلیو. آلوین ۲۰۲۳-اکنون</w:t>
      </w:r>
    </w:p>
    <w:p>
      <w:pPr>
        <w:spacing w:after="28" w:line="216" w:lineRule="auto"/>
        <w:ind w:left="259"/>
        <w:jc w:val="left"/>
      </w:pPr>
      <w:r>
        <w:rPr>
          <w:rFonts w:ascii="Arial" w:hAnsi="Arial"/>
          <w:color w:val="525252"/>
          <w:sz w:val="13"/>
        </w:rPr>
        <w:t>2020-2023 Gen David W. Allvin 2023-Present</w:t>
      </w:r>
    </w:p>
    <w:p>
      <w:r>
        <w:br w:type="page"/>
      </w:r>
    </w:p>
    <w:p>
      <w:pPr>
        <w:spacing w:after="60"/>
        <w:jc w:val="right"/>
        <w:bidi/>
      </w:pPr>
      <w:r>
        <w:rPr>
          <w:rFonts w:ascii="Arial" w:hAnsi="Arial"/>
          <w:b/>
          <w:color w:val="1F4D78"/>
          <w:sz w:val="19"/>
        </w:rPr>
        <w:t>هفتهٔ 579  |  صفحهٔ منبع: 596</w:t>
      </w:r>
    </w:p>
    <w:p>
      <w:pPr>
        <w:spacing w:after="20" w:line="223" w:lineRule="auto"/>
        <w:jc w:val="right"/>
        <w:bidi/>
      </w:pPr>
      <w:r>
        <w:rPr>
          <w:rFonts w:ascii="Arial" w:hAnsi="Arial"/>
          <w:sz w:val="16"/>
        </w:rPr>
        <w:t>579.01  ژنرال جوهن و. رایموند ۲۰۱۹-۲۰۲۲ USSF گن ب. چانک سالتزمان ۲۰۲۲-پرسنت چیفس وف ستافف CMSAF پاول و. ایری ۱۹۶۷-۱۹۶۹ CMSAF دونالد ل. هارلوو ۱۹۶۹-۱۹۷۱ CMSAF ن. ۱۹۶۹-۱۹۷۱ CMSAF ن. ۱۹۷۳-۱۹۷۷ چیف ماستر سرگانتس CMSAF روبرت د. گایلور ۱۹۷۷-۱۹۷۹ وف CMSAF جامس م. مککوی ۱۹۷۹-۱۹۸۱ نیروی هوایی CMSAF ارتور ل. اندروس ۱۹۸۱-۱۹۸۳ CMSAF سام . پاریش ۱۹۸۳-۱۹۸۹ بیکر CMSAF ۱۹۸۳-۱۹۸۹ CMSAF گاری ر. پفینگستون ۱۹۹۰-۱۹۹۴ CMSAF داوید ج. کامپانال ۱۹۹۴-۱۹۹۶ CMSAF ریک و. بنکن ۱۹۹۶-۱۹۹۹ CMSAF فردریکک ج. فینچ ۱۹۹۹-۲۰۰۲ CMSAF گرالد ر. موررای ۲۰۰۲-CMSAF ۲۰۰۶-۲۰۰۹ CMSAF جامس ا. روی ۲۰۰۹-۲۰۱۳ CMSAF جامس ا. کودی ۲۰۱۳-۲۰۱۷ CMSAF کالت و. وریگهت ۲۰۱۷-۲۰۲۰ CMSAF جوآن س. باس ۲۰۲۰-۲۰۲۴ CMSAF ا. فلوسیپرسنت ۲۰۲۰-۲۰۲۳ CMSSF جوهن ف. بنتیوگنا ۲۰۲۳-سرگروهبان ارشد نیروی فضایی کنونی</w:t>
      </w:r>
    </w:p>
    <w:p>
      <w:pPr>
        <w:spacing w:after="28" w:line="216" w:lineRule="auto"/>
        <w:ind w:left="259"/>
        <w:jc w:val="left"/>
      </w:pPr>
      <w:r>
        <w:rPr>
          <w:rFonts w:ascii="Arial" w:hAnsi="Arial"/>
          <w:color w:val="525252"/>
          <w:sz w:val="13"/>
        </w:rPr>
        <w:t>Gen John W. Raymond 2019-2022 USSF Gen B. Chance Saltzman 2022-Present Chiefs of Staff CMSAF Paul W. Airey 1967-1969 CMSAF Donald L. Harlow 1969-1971 CMSAF Richard D. Kisling 1971-1973 CMSAF Thomas N. Barnes 1973-1977 Chief Master Sergeants CMSAF Robert D. Gaylor 1977-1979 of the CMSAF James M. McCoy 1979-1981 Air Force CMSAF Arthur L. Andrews 1981-1983 CMSAF Sam E. Parish 1983-1986 CMSAF James C. Binnicker 1986-1990 CMSAF Gary R. Pfingston 1990-1994 CMSAF David J. Campanale 1994-1996 CMSAF Eric W. Benken 1996-1999 CMSAF Frederick J. Finch 1999-2002 CMSAF Gerald R. Murray 2002-2006 CMSAF Rodney J. McKinley 2006-2009 CMSAF James A. Roy 2009-2013 CMSAF James A. Cody 2013-2017 CMSAF Kaleth O. Wright 2017-2020 CMSAF JoAnne S. Bass 2020-2024 CMSAF David A. Flosi 2024-Present CMSSF Roger A. Towberman 2020-2023 CMSSF John F. Bentivegna 2023-Present Chief Master Sergeant of the Space Force</w:t>
      </w:r>
    </w:p>
    <w:p>
      <w:r>
        <w:br w:type="page"/>
      </w:r>
    </w:p>
    <w:p>
      <w:pPr>
        <w:spacing w:after="60"/>
        <w:jc w:val="right"/>
        <w:bidi/>
      </w:pPr>
      <w:r>
        <w:rPr>
          <w:rFonts w:ascii="Arial" w:hAnsi="Arial"/>
          <w:b/>
          <w:color w:val="1F4D78"/>
          <w:sz w:val="19"/>
        </w:rPr>
        <w:t>هفتهٔ 580  |  صفحهٔ منبع: 597</w:t>
      </w:r>
    </w:p>
    <w:p>
      <w:pPr>
        <w:spacing w:before="60" w:after="28"/>
        <w:jc w:val="right"/>
        <w:bidi/>
      </w:pPr>
      <w:r>
        <w:rPr>
          <w:b/>
          <w:color w:val="1F4D78"/>
          <w:sz w:val="18"/>
        </w:rPr>
        <w:t>پیوست 4</w:t>
      </w:r>
    </w:p>
    <w:p>
      <w:pPr>
        <w:spacing w:after="20"/>
        <w:ind w:left="259"/>
        <w:jc w:val="left"/>
      </w:pPr>
      <w:r>
        <w:rPr>
          <w:color w:val="555555"/>
          <w:sz w:val="12"/>
        </w:rPr>
        <w:t>Attachment 4</w:t>
      </w:r>
    </w:p>
    <w:p>
      <w:pPr>
        <w:spacing w:before="60" w:after="28"/>
        <w:jc w:val="right"/>
        <w:bidi/>
      </w:pPr>
      <w:r>
        <w:rPr>
          <w:b/>
          <w:color w:val="1F4D78"/>
          <w:sz w:val="18"/>
        </w:rPr>
        <w:t>فرمانده گروهبان نیروی هوایی</w:t>
      </w:r>
    </w:p>
    <w:p>
      <w:pPr>
        <w:spacing w:after="20"/>
        <w:ind w:left="259"/>
        <w:jc w:val="left"/>
      </w:pPr>
      <w:r>
        <w:rPr>
          <w:color w:val="555555"/>
          <w:sz w:val="12"/>
        </w:rPr>
        <w:t>CHIEF MASTER SERGEANTS OF THE AIR FORCE</w:t>
      </w:r>
    </w:p>
    <w:p>
      <w:pPr>
        <w:spacing w:after="20" w:line="223" w:lineRule="auto"/>
        <w:jc w:val="right"/>
        <w:bidi/>
      </w:pPr>
      <w:r>
        <w:rPr>
          <w:rFonts w:ascii="Arial" w:hAnsi="Arial"/>
          <w:sz w:val="16"/>
        </w:rPr>
        <w:t>580.03  اولین سرگروهبان ارشد CMSAF نیروی هوایی پل وسلی ایری پل وسلی ایری در ۱۶ نوامبر ۱۹۴۲ به‌عنوان اپراتور رادیویی در نیروی هوایی ارتش نام نویسی کرد.</w:t>
      </w:r>
    </w:p>
    <w:p>
      <w:pPr>
        <w:spacing w:after="28" w:line="216" w:lineRule="auto"/>
        <w:ind w:left="259"/>
        <w:jc w:val="left"/>
      </w:pPr>
      <w:r>
        <w:rPr>
          <w:rFonts w:ascii="Arial" w:hAnsi="Arial"/>
          <w:color w:val="525252"/>
          <w:sz w:val="13"/>
        </w:rPr>
        <w:t>First Chief Master Sergeant of the Air Force CMSAF Paul Wesley Airey Paul Wesley Airey enlisted in the Army Air Forces as a radio operator on 16 November 1942.</w:t>
      </w:r>
    </w:p>
    <w:p>
      <w:pPr>
        <w:spacing w:after="20" w:line="223" w:lineRule="auto"/>
        <w:jc w:val="right"/>
        <w:bidi/>
      </w:pPr>
      <w:r>
        <w:rPr>
          <w:rFonts w:ascii="Arial" w:hAnsi="Arial"/>
          <w:sz w:val="16"/>
        </w:rPr>
        <w:t>580.04  در اوج جنگ جهانی دوم، او به‌عنوان یک توپچی هوایی در بمب افکن‌های ب-۲۴ خدمت می‌کرد.</w:t>
      </w:r>
    </w:p>
    <w:p>
      <w:pPr>
        <w:spacing w:after="28" w:line="216" w:lineRule="auto"/>
        <w:ind w:left="259"/>
        <w:jc w:val="left"/>
      </w:pPr>
      <w:r>
        <w:rPr>
          <w:rFonts w:ascii="Arial" w:hAnsi="Arial"/>
          <w:color w:val="525252"/>
          <w:sz w:val="13"/>
        </w:rPr>
        <w:t>By the height of World War II, he was serving as an aerial gunner aboard B-24 bombers.</w:t>
      </w:r>
    </w:p>
    <w:p>
      <w:pPr>
        <w:spacing w:after="20" w:line="223" w:lineRule="auto"/>
        <w:jc w:val="right"/>
        <w:bidi/>
      </w:pPr>
      <w:r>
        <w:rPr>
          <w:rFonts w:ascii="Arial" w:hAnsi="Arial"/>
          <w:sz w:val="16"/>
        </w:rPr>
        <w:t>580.05  در حالی که ایری و خدمه‌اش در اروپا بودند بر فراز وین، اتریش سرنگون شدند، اسیر شدند و توسط آلمانی‌ها از ژوئیه ۱۹۴۴ تا مه ۱۹۴۵ اسیر شدند.</w:t>
      </w:r>
    </w:p>
    <w:p>
      <w:pPr>
        <w:spacing w:after="28" w:line="216" w:lineRule="auto"/>
        <w:ind w:left="259"/>
        <w:jc w:val="left"/>
      </w:pPr>
      <w:r>
        <w:rPr>
          <w:rFonts w:ascii="Arial" w:hAnsi="Arial"/>
          <w:color w:val="525252"/>
          <w:sz w:val="13"/>
        </w:rPr>
        <w:t>While in Europe, Airey and his crew were shot down over Vienna, Austria, captured, and held prisoner by the Germans from July 1944 to May 1945.</w:t>
      </w:r>
    </w:p>
    <w:p>
      <w:pPr>
        <w:spacing w:after="20" w:line="223" w:lineRule="auto"/>
        <w:jc w:val="right"/>
        <w:bidi/>
      </w:pPr>
      <w:r>
        <w:rPr>
          <w:rFonts w:ascii="Arial" w:hAnsi="Arial"/>
          <w:sz w:val="16"/>
        </w:rPr>
        <w:t>580.06  در طول درگیری کره، به دلیل ایجاد وسیله‌ای برای ساخت تجهیزات از قطعات نجات یافته، بهبود کنترل خوردگی اجزای حساس رادیویی و رادار، نشان لگیون وف مریت را دریافت کرد.</w:t>
      </w:r>
    </w:p>
    <w:p>
      <w:pPr>
        <w:spacing w:after="28" w:line="216" w:lineRule="auto"/>
        <w:ind w:left="259"/>
        <w:jc w:val="left"/>
      </w:pPr>
      <w:r>
        <w:rPr>
          <w:rFonts w:ascii="Arial" w:hAnsi="Arial"/>
          <w:color w:val="525252"/>
          <w:sz w:val="13"/>
        </w:rPr>
        <w:t>During the Korean conflict, he was awarded the Legion of Merit for creating a means of constructing equipment from salvaged parts, improving corrosion control of sensitive radio and radar components.</w:t>
      </w:r>
    </w:p>
    <w:p>
      <w:pPr>
        <w:spacing w:after="20" w:line="223" w:lineRule="auto"/>
        <w:jc w:val="right"/>
        <w:bidi/>
      </w:pPr>
      <w:r>
        <w:rPr>
          <w:rFonts w:ascii="Arial" w:hAnsi="Arial"/>
          <w:sz w:val="16"/>
        </w:rPr>
        <w:t>580.07  پس از جنگ، ایری شغل گروهبان اول را به عهده گرفت، موقعیتی که بعدا گفت یکی از مهم‌ترین موقعیت‌ها در نیروی هوایی بود.</w:t>
      </w:r>
    </w:p>
    <w:p>
      <w:pPr>
        <w:spacing w:after="28" w:line="216" w:lineRule="auto"/>
        <w:ind w:left="259"/>
        <w:jc w:val="left"/>
      </w:pPr>
      <w:r>
        <w:rPr>
          <w:rFonts w:ascii="Arial" w:hAnsi="Arial"/>
          <w:color w:val="525252"/>
          <w:sz w:val="13"/>
        </w:rPr>
        <w:t>Following the war, Airey took the job of first sergeant, a position he later said was one of the most important in the Air Force.</w:t>
      </w:r>
    </w:p>
    <w:p>
      <w:pPr>
        <w:spacing w:after="20" w:line="223" w:lineRule="auto"/>
        <w:jc w:val="right"/>
        <w:bidi/>
      </w:pPr>
      <w:r>
        <w:rPr>
          <w:rFonts w:ascii="Arial" w:hAnsi="Arial"/>
          <w:sz w:val="16"/>
        </w:rPr>
        <w:t>580.08  او متعاقبا به‌عنوان گروهبان یکم برای شش اسکادران در چهار پایگاه در طی ۱۲ سال آینده خدمت کرد و سپس به بالاترین پست افسری منصوب شد.</w:t>
      </w:r>
    </w:p>
    <w:p>
      <w:pPr>
        <w:spacing w:after="28" w:line="216" w:lineRule="auto"/>
        <w:ind w:left="259"/>
        <w:jc w:val="left"/>
      </w:pPr>
      <w:r>
        <w:rPr>
          <w:rFonts w:ascii="Arial" w:hAnsi="Arial"/>
          <w:color w:val="525252"/>
          <w:sz w:val="13"/>
        </w:rPr>
        <w:t>He subsequently served as first sergeant for six squadrons at four bases over the next 12 years before being appointed to the highest NCO position.</w:t>
      </w:r>
    </w:p>
    <w:p>
      <w:pPr>
        <w:spacing w:after="20" w:line="223" w:lineRule="auto"/>
        <w:jc w:val="right"/>
        <w:bidi/>
      </w:pPr>
      <w:r>
        <w:rPr>
          <w:rFonts w:ascii="Arial" w:hAnsi="Arial"/>
          <w:sz w:val="16"/>
        </w:rPr>
        <w:t>580.09  با قبول مسئولیت‌های جدیدش، CMSAF ایری، CMSAF پاول و. ایری را از آوریل ۱۹۶۷ تا ژوئیه ۱۹۶۹ برای رسیدگی به مشکل حفظ پرسنل آغاز کرد، مسئله‌ای که او به‌عنوان یکی از بزرگ‌ترین چالش‌هایی که با آن مواجه بود شناسایی کرد.</w:t>
      </w:r>
    </w:p>
    <w:p>
      <w:pPr>
        <w:spacing w:after="28" w:line="216" w:lineRule="auto"/>
        <w:ind w:left="259"/>
        <w:jc w:val="left"/>
      </w:pPr>
      <w:r>
        <w:rPr>
          <w:rFonts w:ascii="Arial" w:hAnsi="Arial"/>
          <w:color w:val="525252"/>
          <w:sz w:val="13"/>
        </w:rPr>
        <w:t>Upon assuming his new responsibilities, CMSAF Airey began CMSAF Paul W. Airey April 1967 - July 1969 tackling the problem of personnel retention, an issue he identified as one of the greatest challenges he faced.</w:t>
      </w:r>
    </w:p>
    <w:p>
      <w:pPr>
        <w:spacing w:after="20" w:line="223" w:lineRule="auto"/>
        <w:jc w:val="right"/>
        <w:bidi/>
      </w:pPr>
      <w:r>
        <w:rPr>
          <w:rFonts w:ascii="Arial" w:hAnsi="Arial"/>
          <w:sz w:val="16"/>
        </w:rPr>
        <w:t>580.10  نرخ استخدام مجدد دوره اول کمترین میزان در ۱۲ سال گذشته بود، اما ایری این کاهش بزرگ را به عدم محبوبیت جنگ در ویتنام نسبت نداد.</w:t>
      </w:r>
    </w:p>
    <w:p>
      <w:pPr>
        <w:spacing w:after="28" w:line="216" w:lineRule="auto"/>
        <w:ind w:left="259"/>
        <w:jc w:val="left"/>
      </w:pPr>
      <w:r>
        <w:rPr>
          <w:rFonts w:ascii="Arial" w:hAnsi="Arial"/>
          <w:color w:val="525252"/>
          <w:sz w:val="13"/>
        </w:rPr>
        <w:t>The first- term reenlistment rate was the lowest it had been in 12 years, but Airey did not attribute the great decline to the unpopularity of the war in Vietnam.</w:t>
      </w:r>
    </w:p>
    <w:p>
      <w:pPr>
        <w:spacing w:after="20" w:line="223" w:lineRule="auto"/>
        <w:jc w:val="right"/>
        <w:bidi/>
      </w:pPr>
      <w:r>
        <w:rPr>
          <w:rFonts w:ascii="Arial" w:hAnsi="Arial"/>
          <w:sz w:val="16"/>
        </w:rPr>
        <w:t>580.11  او احساس می‌کرد که این نتیجه «دستمزد ضعیف، مأموریت‌های متعدد از راه دور، فرصت‌های شغلی خوب غیرنظامی، و سیستم ارتقای ناعادلانه» است. او مشاور کمیته‌ای برای بررسی و توصیه یک سیستم عادلانه‌تر شد.</w:t>
      </w:r>
    </w:p>
    <w:p>
      <w:pPr>
        <w:spacing w:after="28" w:line="216" w:lineRule="auto"/>
        <w:ind w:left="259"/>
        <w:jc w:val="left"/>
      </w:pPr>
      <w:r>
        <w:rPr>
          <w:rFonts w:ascii="Arial" w:hAnsi="Arial"/>
          <w:color w:val="525252"/>
          <w:sz w:val="13"/>
        </w:rPr>
        <w:t>He felt it was the consequence of “poor pay, numerous remote assignments, good civilian employment opportunities, and an inequitable promotion system.” He became an advisor to a committee to investigate and recommend a more equitable system.</w:t>
      </w:r>
    </w:p>
    <w:p>
      <w:pPr>
        <w:spacing w:after="20" w:line="223" w:lineRule="auto"/>
        <w:jc w:val="right"/>
        <w:bidi/>
      </w:pPr>
      <w:r>
        <w:rPr>
          <w:rFonts w:ascii="Arial" w:hAnsi="Arial"/>
          <w:sz w:val="16"/>
        </w:rPr>
        <w:t>580.12  تلاش‌های او به تولید سیستم ارتقای نیروی هوایی وزن‌دار کمک کرد، که در سال ۱۹۷۰ به تصویب رسید، هیئت‌های ارتقاء استخدام شده محلی را حذف کرد و فرصت‌های ارتقاء را در رسته‌های شغلی برابر کرد.</w:t>
      </w:r>
    </w:p>
    <w:p>
      <w:pPr>
        <w:spacing w:after="28" w:line="216" w:lineRule="auto"/>
        <w:ind w:left="259"/>
        <w:jc w:val="left"/>
      </w:pPr>
      <w:r>
        <w:rPr>
          <w:rFonts w:ascii="Arial" w:hAnsi="Arial"/>
          <w:color w:val="525252"/>
          <w:sz w:val="13"/>
        </w:rPr>
        <w:t>His efforts helped produce the Weighted Airman Promotion System, which was adopted in 1970, eliminating local enlisted promotion boards and equalizing promotion opportunities across career fields.</w:t>
      </w:r>
    </w:p>
    <w:p>
      <w:pPr>
        <w:spacing w:after="20" w:line="223" w:lineRule="auto"/>
        <w:jc w:val="right"/>
        <w:bidi/>
      </w:pPr>
      <w:r>
        <w:rPr>
          <w:rFonts w:ascii="Arial" w:hAnsi="Arial"/>
          <w:sz w:val="16"/>
        </w:rPr>
        <w:t>580.13  در دوران بازنشستگی، ایری همچنان به‌عنوان یک مدافع نام نویسی شده بود و با هواداران در اطراف نیرو صحبت می‌کرد.</w:t>
      </w:r>
    </w:p>
    <w:p>
      <w:pPr>
        <w:spacing w:after="28" w:line="216" w:lineRule="auto"/>
        <w:ind w:left="259"/>
        <w:jc w:val="left"/>
      </w:pPr>
      <w:r>
        <w:rPr>
          <w:rFonts w:ascii="Arial" w:hAnsi="Arial"/>
          <w:color w:val="525252"/>
          <w:sz w:val="13"/>
        </w:rPr>
        <w:t>In retirement, Airey continued to be an enlisted advocate and spoke to Airmen around the force.</w:t>
      </w:r>
    </w:p>
    <w:p>
      <w:pPr>
        <w:spacing w:after="20" w:line="223" w:lineRule="auto"/>
        <w:jc w:val="right"/>
        <w:bidi/>
      </w:pPr>
      <w:r>
        <w:rPr>
          <w:rFonts w:ascii="Arial" w:hAnsi="Arial"/>
          <w:sz w:val="16"/>
        </w:rPr>
        <w:t>580.14  CMSAF ایری در سال ۲۰۰۹ درگذشت.</w:t>
      </w:r>
    </w:p>
    <w:p>
      <w:pPr>
        <w:spacing w:after="28" w:line="216" w:lineRule="auto"/>
        <w:ind w:left="259"/>
        <w:jc w:val="left"/>
      </w:pPr>
      <w:r>
        <w:rPr>
          <w:rFonts w:ascii="Arial" w:hAnsi="Arial"/>
          <w:color w:val="525252"/>
          <w:sz w:val="13"/>
        </w:rPr>
        <w:t>CMSAF Airey died in 2009.</w:t>
      </w:r>
    </w:p>
    <w:p>
      <w:r>
        <w:br w:type="page"/>
      </w:r>
    </w:p>
    <w:p>
      <w:pPr>
        <w:spacing w:after="60"/>
        <w:jc w:val="right"/>
        <w:bidi/>
      </w:pPr>
      <w:r>
        <w:rPr>
          <w:rFonts w:ascii="Arial" w:hAnsi="Arial"/>
          <w:b/>
          <w:color w:val="1F4D78"/>
          <w:sz w:val="19"/>
        </w:rPr>
        <w:t>هفتهٔ 581  |  صفحهٔ منبع: 598</w:t>
      </w:r>
    </w:p>
    <w:p>
      <w:pPr>
        <w:spacing w:after="20" w:line="223" w:lineRule="auto"/>
        <w:jc w:val="right"/>
        <w:bidi/>
      </w:pPr>
      <w:r>
        <w:rPr>
          <w:rFonts w:ascii="Arial" w:hAnsi="Arial"/>
          <w:sz w:val="16"/>
        </w:rPr>
        <w:t>581.01  سرگروهبان دوم CMSAF نیروی هوایی دونالد ال. هارلو در واترویل، مین متولد شد، دونالد ال. هارلو کوچکترین از نه فرزند بود.</w:t>
      </w:r>
    </w:p>
    <w:p>
      <w:pPr>
        <w:spacing w:after="28" w:line="216" w:lineRule="auto"/>
        <w:ind w:left="259"/>
        <w:jc w:val="left"/>
      </w:pPr>
      <w:r>
        <w:rPr>
          <w:rFonts w:ascii="Arial" w:hAnsi="Arial"/>
          <w:color w:val="525252"/>
          <w:sz w:val="13"/>
        </w:rPr>
        <w:t>Second Chief Master Sergeant of the Air Force CMSAF Donald L. Harlow Born in Waterville, Maine, Donald L. Harlow was the youngest of nine children.</w:t>
      </w:r>
    </w:p>
    <w:p>
      <w:pPr>
        <w:spacing w:after="20" w:line="223" w:lineRule="auto"/>
        <w:jc w:val="right"/>
        <w:bidi/>
      </w:pPr>
      <w:r>
        <w:rPr>
          <w:rFonts w:ascii="Arial" w:hAnsi="Arial"/>
          <w:sz w:val="16"/>
        </w:rPr>
        <w:t>581.02  در سن ۲۲ سالگی، پس از انجام مشاغل مختلف برای کمک به مادرش و پرداخت شهریه او در یک مدرسه مقدماتی خصوصی، به نیروی هوایی ارتش فراخوانده شد.</w:t>
      </w:r>
    </w:p>
    <w:p>
      <w:pPr>
        <w:spacing w:after="28" w:line="216" w:lineRule="auto"/>
        <w:ind w:left="259"/>
        <w:jc w:val="left"/>
      </w:pPr>
      <w:r>
        <w:rPr>
          <w:rFonts w:ascii="Arial" w:hAnsi="Arial"/>
          <w:color w:val="525252"/>
          <w:sz w:val="13"/>
        </w:rPr>
        <w:t>At age 22, after working a variety of jobs to help support his mother and pay his tuition at a private preparatory school, he was drafted into the Army Air Corps.</w:t>
      </w:r>
    </w:p>
    <w:p>
      <w:pPr>
        <w:spacing w:after="20" w:line="223" w:lineRule="auto"/>
        <w:jc w:val="right"/>
        <w:bidi/>
      </w:pPr>
      <w:r>
        <w:rPr>
          <w:rFonts w:ascii="Arial" w:hAnsi="Arial"/>
          <w:sz w:val="16"/>
        </w:rPr>
        <w:t>581.03  که به‌عنوان مربی تسلیحات و توپخانه خدمت می‌کرد، به دانشجویان آموزش می‌داد که اسلحه‌های خود را از میدان خارج کنند و دوباره جمع کنند و اسلحه‌های شلیک را از طریق ملخ هواپیما هماهنگ کنند.</w:t>
      </w:r>
    </w:p>
    <w:p>
      <w:pPr>
        <w:spacing w:after="28" w:line="216" w:lineRule="auto"/>
        <w:ind w:left="259"/>
        <w:jc w:val="left"/>
      </w:pPr>
      <w:r>
        <w:rPr>
          <w:rFonts w:ascii="Arial" w:hAnsi="Arial"/>
          <w:color w:val="525252"/>
          <w:sz w:val="13"/>
        </w:rPr>
        <w:t>Serving as an armament and gunnery instructor, he taught cadets to fieldstrip and reassemble their weapons and to synchronize firing guns through aircraft propellers.</w:t>
      </w:r>
    </w:p>
    <w:p>
      <w:pPr>
        <w:spacing w:after="20" w:line="223" w:lineRule="auto"/>
        <w:jc w:val="right"/>
        <w:bidi/>
      </w:pPr>
      <w:r>
        <w:rPr>
          <w:rFonts w:ascii="Arial" w:hAnsi="Arial"/>
          <w:sz w:val="16"/>
        </w:rPr>
        <w:t>581.04  او در سال ۱۹۴۵ به حوزه شغلی پرسنل منتقل شد و قبل از اخراج در فوریه ۱۹۴۶ از رگاف به درجه گروهبان ستاد ارتقا یافت.</w:t>
      </w:r>
    </w:p>
    <w:p>
      <w:pPr>
        <w:spacing w:after="28" w:line="216" w:lineRule="auto"/>
        <w:ind w:left="259"/>
        <w:jc w:val="left"/>
      </w:pPr>
      <w:r>
        <w:rPr>
          <w:rFonts w:ascii="Arial" w:hAnsi="Arial"/>
          <w:color w:val="525252"/>
          <w:sz w:val="13"/>
        </w:rPr>
        <w:t>He transferred to the personnel career field in 1945 and advanced to the grade of Staff Sergeant before his February 1946 discharge from RegAF.</w:t>
      </w:r>
    </w:p>
    <w:p>
      <w:pPr>
        <w:spacing w:after="20" w:line="223" w:lineRule="auto"/>
        <w:jc w:val="right"/>
        <w:bidi/>
      </w:pPr>
      <w:r>
        <w:rPr>
          <w:rFonts w:ascii="Arial" w:hAnsi="Arial"/>
          <w:sz w:val="16"/>
        </w:rPr>
        <w:t>581.05  در طول جنگ کره، هارلو به رگاف فراخوانده شد و سمت‌های مختلفی در رستهٔ شغلی پرسنل داشت.</w:t>
      </w:r>
    </w:p>
    <w:p>
      <w:pPr>
        <w:spacing w:after="28" w:line="216" w:lineRule="auto"/>
        <w:ind w:left="259"/>
        <w:jc w:val="left"/>
      </w:pPr>
      <w:r>
        <w:rPr>
          <w:rFonts w:ascii="Arial" w:hAnsi="Arial"/>
          <w:color w:val="525252"/>
          <w:sz w:val="13"/>
        </w:rPr>
        <w:t>During the Korean War, Harlow was recalled to RegAF, holding various positions in the personnel career field.</w:t>
      </w:r>
    </w:p>
    <w:p>
      <w:pPr>
        <w:spacing w:after="20" w:line="223" w:lineRule="auto"/>
        <w:jc w:val="right"/>
        <w:bidi/>
      </w:pPr>
      <w:r>
        <w:rPr>
          <w:rFonts w:ascii="Arial" w:hAnsi="Arial"/>
          <w:sz w:val="16"/>
        </w:rPr>
        <w:t>581.06  در ۱۶ سال خدمت، او به سرلشکر گروهبان ارتقاء یافت و سرلشگر پرسنلی برای فرماندهی اروپایی ستاد فرماندهی CMSAF دونالد ال. هارلو و اوت ۱۹۶۹ - سپتامبر ۱۹۷۱ گروهبان برای بخش خدمات اجرایی، دفتر معاون ستاد بود.</w:t>
      </w:r>
    </w:p>
    <w:p>
      <w:pPr>
        <w:spacing w:after="28" w:line="216" w:lineRule="auto"/>
        <w:ind w:left="259"/>
        <w:jc w:val="left"/>
      </w:pPr>
      <w:r>
        <w:rPr>
          <w:rFonts w:ascii="Arial" w:hAnsi="Arial"/>
          <w:color w:val="525252"/>
          <w:sz w:val="13"/>
        </w:rPr>
        <w:t>At 16 years of service, he was promoted to Chief Master Sergeant and was the personnel Sergeant Major for CMSAF Donald L. Harlow Headquarters United States European Command and the August 1969 - September 1971 Sergeant Major for the Executive Services Division, Office of the Vice Chief of Staff.</w:t>
      </w:r>
    </w:p>
    <w:p>
      <w:pPr>
        <w:spacing w:after="20" w:line="223" w:lineRule="auto"/>
        <w:jc w:val="right"/>
        <w:bidi/>
      </w:pPr>
      <w:r>
        <w:rPr>
          <w:rFonts w:ascii="Arial" w:hAnsi="Arial"/>
          <w:sz w:val="16"/>
        </w:rPr>
        <w:t>581.07  CMSAF هارلو به‌عنوان دومین کسی که کنترل را به دست گرفت، همچنان مسیری را از میان سوء تفاهم، سردرگمی و بی اعتمادی که CMSAF را احاطه کرده بود، قطع کرد.</w:t>
      </w:r>
    </w:p>
    <w:p>
      <w:pPr>
        <w:spacing w:after="28" w:line="216" w:lineRule="auto"/>
        <w:ind w:left="259"/>
        <w:jc w:val="left"/>
      </w:pPr>
      <w:r>
        <w:rPr>
          <w:rFonts w:ascii="Arial" w:hAnsi="Arial"/>
          <w:color w:val="525252"/>
          <w:sz w:val="13"/>
        </w:rPr>
        <w:t>As the second to take the reins, CMSAF Harlow continued to cut a path through the misunderstanding, confusion, and mistrust that surrounded the CMSAF.</w:t>
      </w:r>
    </w:p>
    <w:p>
      <w:pPr>
        <w:spacing w:after="20" w:line="223" w:lineRule="auto"/>
        <w:jc w:val="right"/>
        <w:bidi/>
      </w:pPr>
      <w:r>
        <w:rPr>
          <w:rFonts w:ascii="Arial" w:hAnsi="Arial"/>
          <w:sz w:val="16"/>
        </w:rPr>
        <w:t>581.08  او همیشه هوشیار بود، برای سیستم تازه تاسیس ارتقاء هوانورد وزنی مبارزه کرد و آن را اصلاح کرد، حقوق پروازی مستمری را برای افسران پلیس دریافت کرد که در PME در داخل اقامتگاه شرکت می‌کردند و در راستای دستمزد یکسان برای نیروهای درجه‌دار و افسران کار کرد.</w:t>
      </w:r>
    </w:p>
    <w:p>
      <w:pPr>
        <w:spacing w:after="28" w:line="216" w:lineRule="auto"/>
        <w:ind w:left="259"/>
        <w:jc w:val="left"/>
      </w:pPr>
      <w:r>
        <w:rPr>
          <w:rFonts w:ascii="Arial" w:hAnsi="Arial"/>
          <w:color w:val="525252"/>
          <w:sz w:val="13"/>
        </w:rPr>
        <w:t>Ever vigilant, he campaigned for and refined the newly established Weighted Airman Promotion System, garnered continued flight pay for NCOs attending in-residence PME and worked toward equal per diem for enlisted and officers.</w:t>
      </w:r>
    </w:p>
    <w:p>
      <w:pPr>
        <w:spacing w:after="20" w:line="223" w:lineRule="auto"/>
        <w:jc w:val="right"/>
        <w:bidi/>
      </w:pPr>
      <w:r>
        <w:rPr>
          <w:rFonts w:ascii="Arial" w:hAnsi="Arial"/>
          <w:sz w:val="16"/>
        </w:rPr>
        <w:t>581.09  در طول ویتنام، او توجه خود را به جایی معطوف کرد که احساس می‌کرد بیشتر به آن نیاز است: هوانوردان جوان و مسائل آنها، از جمله تنش‌های نژادی، نگرانی‌های تعیین تکلیف، و مشکلات ترفیع.</w:t>
      </w:r>
    </w:p>
    <w:p>
      <w:pPr>
        <w:spacing w:after="28" w:line="216" w:lineRule="auto"/>
        <w:ind w:left="259"/>
        <w:jc w:val="left"/>
      </w:pPr>
      <w:r>
        <w:rPr>
          <w:rFonts w:ascii="Arial" w:hAnsi="Arial"/>
          <w:color w:val="525252"/>
          <w:sz w:val="13"/>
        </w:rPr>
        <w:t>During Vietnam, he directed his attention to where he felt it was most needed: young Airmen and their issues, including racial tension, assignment concerns, and promotion problems.</w:t>
      </w:r>
    </w:p>
    <w:p>
      <w:pPr>
        <w:spacing w:after="20" w:line="223" w:lineRule="auto"/>
        <w:jc w:val="right"/>
        <w:bidi/>
      </w:pPr>
      <w:r>
        <w:rPr>
          <w:rFonts w:ascii="Arial" w:hAnsi="Arial"/>
          <w:sz w:val="16"/>
        </w:rPr>
        <w:t>581.10  که به دلیل رویکرد بیهوده و توانایی شدید خود در گوش دادن شهرت داشت، به رئیس ستاد نیروی هوایی در مورد مسائلی که واقعا مورد توجه نیروهای سرباز بود توصیه کرد.</w:t>
      </w:r>
    </w:p>
    <w:p>
      <w:pPr>
        <w:spacing w:after="28" w:line="216" w:lineRule="auto"/>
        <w:ind w:left="259"/>
        <w:jc w:val="left"/>
      </w:pPr>
      <w:r>
        <w:rPr>
          <w:rFonts w:ascii="Arial" w:hAnsi="Arial"/>
          <w:color w:val="525252"/>
          <w:sz w:val="13"/>
        </w:rPr>
        <w:t>Known for his no-nonsense approach and keen ability to listen, Harlow advised the Chief of Staff of the Air Force on matters of true concern to the enlisted force.</w:t>
      </w:r>
    </w:p>
    <w:p>
      <w:pPr>
        <w:spacing w:after="20" w:line="223" w:lineRule="auto"/>
        <w:jc w:val="right"/>
        <w:bidi/>
      </w:pPr>
      <w:r>
        <w:rPr>
          <w:rFonts w:ascii="Arial" w:hAnsi="Arial"/>
          <w:sz w:val="16"/>
        </w:rPr>
        <w:t>581.11  در حالی که بسیاری از توصیه‌های او منجر به تغییر سیاست در دوران تصدی وی نشد، او بذر تغییرات آینده را کاشت.</w:t>
      </w:r>
    </w:p>
    <w:p>
      <w:pPr>
        <w:spacing w:after="28" w:line="216" w:lineRule="auto"/>
        <w:ind w:left="259"/>
        <w:jc w:val="left"/>
      </w:pPr>
      <w:r>
        <w:rPr>
          <w:rFonts w:ascii="Arial" w:hAnsi="Arial"/>
          <w:color w:val="525252"/>
          <w:sz w:val="13"/>
        </w:rPr>
        <w:t>While many of his recommendations did not result in policy changes during his tenure, he planted the seeds for future change.</w:t>
      </w:r>
    </w:p>
    <w:p>
      <w:pPr>
        <w:spacing w:after="20" w:line="223" w:lineRule="auto"/>
        <w:jc w:val="right"/>
        <w:bidi/>
      </w:pPr>
      <w:r>
        <w:rPr>
          <w:rFonts w:ascii="Arial" w:hAnsi="Arial"/>
          <w:sz w:val="16"/>
        </w:rPr>
        <w:t>581.12  پس از بازنشستگی، رئیس هارلو یک لابی گر قوی برای برابری سربازی بود.</w:t>
      </w:r>
    </w:p>
    <w:p>
      <w:pPr>
        <w:spacing w:after="28" w:line="216" w:lineRule="auto"/>
        <w:ind w:left="259"/>
        <w:jc w:val="left"/>
      </w:pPr>
      <w:r>
        <w:rPr>
          <w:rFonts w:ascii="Arial" w:hAnsi="Arial"/>
          <w:color w:val="525252"/>
          <w:sz w:val="13"/>
        </w:rPr>
        <w:t>After retiring, Chief Harlow was a strong lobbyist for enlisted equality.</w:t>
      </w:r>
    </w:p>
    <w:p>
      <w:pPr>
        <w:spacing w:after="20" w:line="223" w:lineRule="auto"/>
        <w:jc w:val="right"/>
        <w:bidi/>
      </w:pPr>
      <w:r>
        <w:rPr>
          <w:rFonts w:ascii="Arial" w:hAnsi="Arial"/>
          <w:sz w:val="16"/>
        </w:rPr>
        <w:t>581.13  CMSAF هارلو در سال ۱۹۹۷ درگذشت.</w:t>
      </w:r>
    </w:p>
    <w:p>
      <w:pPr>
        <w:spacing w:after="28" w:line="216" w:lineRule="auto"/>
        <w:ind w:left="259"/>
        <w:jc w:val="left"/>
      </w:pPr>
      <w:r>
        <w:rPr>
          <w:rFonts w:ascii="Arial" w:hAnsi="Arial"/>
          <w:color w:val="525252"/>
          <w:sz w:val="13"/>
        </w:rPr>
        <w:t>CMSAF Harlow died in 1997.</w:t>
      </w:r>
    </w:p>
    <w:p>
      <w:r>
        <w:br w:type="page"/>
      </w:r>
    </w:p>
    <w:p>
      <w:pPr>
        <w:spacing w:after="60"/>
        <w:jc w:val="right"/>
        <w:bidi/>
      </w:pPr>
      <w:r>
        <w:rPr>
          <w:rFonts w:ascii="Arial" w:hAnsi="Arial"/>
          <w:b/>
          <w:color w:val="1F4D78"/>
          <w:sz w:val="19"/>
        </w:rPr>
        <w:t>هفتهٔ 582  |  صفحهٔ منبع: 599</w:t>
      </w:r>
    </w:p>
    <w:p>
      <w:pPr>
        <w:spacing w:after="20" w:line="223" w:lineRule="auto"/>
        <w:jc w:val="right"/>
        <w:bidi/>
      </w:pPr>
      <w:r>
        <w:rPr>
          <w:rFonts w:ascii="Arial" w:hAnsi="Arial"/>
          <w:sz w:val="16"/>
        </w:rPr>
        <w:t>582.01  سومین سرگروهبان ارشد CMSAF نیروی هوایی ریچارد دی. کیسلینگ ریچارد دی. کیسلینگ و ۱۰ خواهر و برادرش در مزرعه‌ای در آیووا در طول رکود بزرگ و سالهای کاسه گرد و غبار بزرگ شدند.</w:t>
      </w:r>
    </w:p>
    <w:p>
      <w:pPr>
        <w:spacing w:after="28" w:line="216" w:lineRule="auto"/>
        <w:ind w:left="259"/>
        <w:jc w:val="left"/>
      </w:pPr>
      <w:r>
        <w:rPr>
          <w:rFonts w:ascii="Arial" w:hAnsi="Arial"/>
          <w:color w:val="525252"/>
          <w:sz w:val="13"/>
        </w:rPr>
        <w:t>Third Chief Master Sergeant of the Air Force CMSAF Richard D. Kisling Richard D. Kisling and his 10 siblings were raised on a farm in Iowa during the Great Depression and the dust bowl years.</w:t>
      </w:r>
    </w:p>
    <w:p>
      <w:pPr>
        <w:spacing w:after="20" w:line="223" w:lineRule="auto"/>
        <w:jc w:val="right"/>
        <w:bidi/>
      </w:pPr>
      <w:r>
        <w:rPr>
          <w:rFonts w:ascii="Arial" w:hAnsi="Arial"/>
          <w:sz w:val="16"/>
        </w:rPr>
        <w:t>582.02  میهن‌پرستی که او در دوران کودکی خود ایجاد کرد، زمانی که در سال ۱۹۴۵ در تلاش برای بازسازی تعداد سربازانی که در فرانسه رانندگی می‌کردند، به پیاده نظام رزمی ارتش فراخوانده شد.</w:t>
      </w:r>
    </w:p>
    <w:p>
      <w:pPr>
        <w:spacing w:after="28" w:line="216" w:lineRule="auto"/>
        <w:ind w:left="259"/>
        <w:jc w:val="left"/>
      </w:pPr>
      <w:r>
        <w:rPr>
          <w:rFonts w:ascii="Arial" w:hAnsi="Arial"/>
          <w:color w:val="525252"/>
          <w:sz w:val="13"/>
        </w:rPr>
        <w:t>The patriotism he developed during his childhood was called on when he was drafted into the Army’s combat infantry in 1945 during the effort to reconstitute the number of soldiers driving through France.</w:t>
      </w:r>
    </w:p>
    <w:p>
      <w:pPr>
        <w:spacing w:after="20" w:line="223" w:lineRule="auto"/>
        <w:jc w:val="right"/>
        <w:bidi/>
      </w:pPr>
      <w:r>
        <w:rPr>
          <w:rFonts w:ascii="Arial" w:hAnsi="Arial"/>
          <w:sz w:val="16"/>
        </w:rPr>
        <w:t>582.03  پس از زمان آموزش و اعزام، کیسلینگ یک ماه قبل از پایان جنگ در اروپا وارد فرانسه شد.</w:t>
      </w:r>
    </w:p>
    <w:p>
      <w:pPr>
        <w:spacing w:after="28" w:line="216" w:lineRule="auto"/>
        <w:ind w:left="259"/>
        <w:jc w:val="left"/>
      </w:pPr>
      <w:r>
        <w:rPr>
          <w:rFonts w:ascii="Arial" w:hAnsi="Arial"/>
          <w:color w:val="525252"/>
          <w:sz w:val="13"/>
        </w:rPr>
        <w:t>After training and deployment times, Kisling arrived in France a month before the war in Europe ended.</w:t>
      </w:r>
    </w:p>
    <w:p>
      <w:pPr>
        <w:spacing w:after="20" w:line="223" w:lineRule="auto"/>
        <w:jc w:val="right"/>
        <w:bidi/>
      </w:pPr>
      <w:r>
        <w:rPr>
          <w:rFonts w:ascii="Arial" w:hAnsi="Arial"/>
          <w:sz w:val="16"/>
        </w:rPr>
        <w:t>582.04  واحد او مسئولیت مذاکره در مورد بازگرداندن شوروی آواره را به عهده گرفت.</w:t>
      </w:r>
    </w:p>
    <w:p>
      <w:pPr>
        <w:spacing w:after="28" w:line="216" w:lineRule="auto"/>
        <w:ind w:left="259"/>
        <w:jc w:val="left"/>
      </w:pPr>
      <w:r>
        <w:rPr>
          <w:rFonts w:ascii="Arial" w:hAnsi="Arial"/>
          <w:color w:val="525252"/>
          <w:sz w:val="13"/>
        </w:rPr>
        <w:t>His unit assumed responsibility for negotiating the repatriation of displaced Soviets.</w:t>
      </w:r>
    </w:p>
    <w:p>
      <w:pPr>
        <w:spacing w:after="20" w:line="223" w:lineRule="auto"/>
        <w:jc w:val="right"/>
        <w:bidi/>
      </w:pPr>
      <w:r>
        <w:rPr>
          <w:rFonts w:ascii="Arial" w:hAnsi="Arial"/>
          <w:sz w:val="16"/>
        </w:rPr>
        <w:t>582.05  از آنجا، کیسلینگ از خدمت برای زندگی غیرنظامی جدا شد.</w:t>
      </w:r>
    </w:p>
    <w:p>
      <w:pPr>
        <w:spacing w:after="28" w:line="216" w:lineRule="auto"/>
        <w:ind w:left="259"/>
        <w:jc w:val="left"/>
      </w:pPr>
      <w:r>
        <w:rPr>
          <w:rFonts w:ascii="Arial" w:hAnsi="Arial"/>
          <w:color w:val="525252"/>
          <w:sz w:val="13"/>
        </w:rPr>
        <w:t>From there, Kisling separated from the service for civilian life.</w:t>
      </w:r>
    </w:p>
    <w:p>
      <w:pPr>
        <w:spacing w:after="20" w:line="223" w:lineRule="auto"/>
        <w:jc w:val="right"/>
        <w:bidi/>
      </w:pPr>
      <w:r>
        <w:rPr>
          <w:rFonts w:ascii="Arial" w:hAnsi="Arial"/>
          <w:sz w:val="16"/>
        </w:rPr>
        <w:t>582.06  پس از چند ماه غیبت در رفاقت، برای مدت کوتاهی در ارتش ثبت‌نام کرد.</w:t>
      </w:r>
    </w:p>
    <w:p>
      <w:pPr>
        <w:spacing w:after="28" w:line="216" w:lineRule="auto"/>
        <w:ind w:left="259"/>
        <w:jc w:val="left"/>
      </w:pPr>
      <w:r>
        <w:rPr>
          <w:rFonts w:ascii="Arial" w:hAnsi="Arial"/>
          <w:color w:val="525252"/>
          <w:sz w:val="13"/>
        </w:rPr>
        <w:t>After a few months spent missing the camaraderie, he reenlisted for a brief stint in the Army.</w:t>
      </w:r>
    </w:p>
    <w:p>
      <w:pPr>
        <w:spacing w:after="20" w:line="223" w:lineRule="auto"/>
        <w:jc w:val="right"/>
        <w:bidi/>
      </w:pPr>
      <w:r>
        <w:rPr>
          <w:rFonts w:ascii="Arial" w:hAnsi="Arial"/>
          <w:sz w:val="16"/>
        </w:rPr>
        <w:t>582.07  در سال ۱۹۴۷ به نیروی هوایی ارتش پیوست و ابتدا به‌عنوان منشی و سپس به‌عنوان متخصص پرسنل خدمت کرد.</w:t>
      </w:r>
    </w:p>
    <w:p>
      <w:pPr>
        <w:spacing w:after="28" w:line="216" w:lineRule="auto"/>
        <w:ind w:left="259"/>
        <w:jc w:val="left"/>
      </w:pPr>
      <w:r>
        <w:rPr>
          <w:rFonts w:ascii="Arial" w:hAnsi="Arial"/>
          <w:color w:val="525252"/>
          <w:sz w:val="13"/>
        </w:rPr>
        <w:t>In 1947, he joined the Army Air Forces, serving first as a clerk and later a personnel specialist.</w:t>
      </w:r>
    </w:p>
    <w:p>
      <w:pPr>
        <w:spacing w:after="20" w:line="223" w:lineRule="auto"/>
        <w:jc w:val="right"/>
        <w:bidi/>
      </w:pPr>
      <w:r>
        <w:rPr>
          <w:rFonts w:ascii="Arial" w:hAnsi="Arial"/>
          <w:sz w:val="16"/>
        </w:rPr>
        <w:t>582.08  پس از ارتقاء او به استاد ارشد CMSAF، ریچارد دی. کیسلینگ، گروهبان در سپتامبر ۱۹۵۸، او جزو اولین گروه از اکتبر ۱۹۷۱ - سپتامبر ۱۹۷۳ نیروی هوایی برای پوشیدن درجه‌های فوق‌العاده سرگروهبان ارشد و سرگروهبان بود.</w:t>
      </w:r>
    </w:p>
    <w:p>
      <w:pPr>
        <w:spacing w:after="28" w:line="216" w:lineRule="auto"/>
        <w:ind w:left="259"/>
        <w:jc w:val="left"/>
      </w:pPr>
      <w:r>
        <w:rPr>
          <w:rFonts w:ascii="Arial" w:hAnsi="Arial"/>
          <w:color w:val="525252"/>
          <w:sz w:val="13"/>
        </w:rPr>
        <w:t>Upon his promotion to Senior Master CMSAF Richard D. Kisling Sergeant in September 1958, he was among the first group of October 1971 - September 1973 Air Force enlisted members to wear the super grades of Senior Master Sergeant and Chief Master Sergeant.</w:t>
      </w:r>
    </w:p>
    <w:p>
      <w:pPr>
        <w:spacing w:after="20" w:line="223" w:lineRule="auto"/>
        <w:jc w:val="right"/>
        <w:bidi/>
      </w:pPr>
      <w:r>
        <w:rPr>
          <w:rFonts w:ascii="Arial" w:hAnsi="Arial"/>
          <w:sz w:val="16"/>
        </w:rPr>
        <w:t>582.09  هنگامی که به پنتاگون منصوب شد، CMSAF کیسلینگ متوجه شد که نیروهای ثبت‌نام شده در حال تلاش برای توسعه یک نیروی هوایی جدید هستند.</w:t>
      </w:r>
    </w:p>
    <w:p>
      <w:pPr>
        <w:spacing w:after="28" w:line="216" w:lineRule="auto"/>
        <w:ind w:left="259"/>
        <w:jc w:val="left"/>
      </w:pPr>
      <w:r>
        <w:rPr>
          <w:rFonts w:ascii="Arial" w:hAnsi="Arial"/>
          <w:color w:val="525252"/>
          <w:sz w:val="13"/>
        </w:rPr>
        <w:t>Once assigned to the Pentagon, CMSAF Kisling found the enlisted force struggling through the development of a new Air Force.</w:t>
      </w:r>
    </w:p>
    <w:p>
      <w:pPr>
        <w:spacing w:after="20" w:line="223" w:lineRule="auto"/>
        <w:jc w:val="right"/>
        <w:bidi/>
      </w:pPr>
      <w:r>
        <w:rPr>
          <w:rFonts w:ascii="Arial" w:hAnsi="Arial"/>
          <w:sz w:val="16"/>
        </w:rPr>
        <w:t>582.10  پس از صحبت با چندین مقام پایگاه، مشخص شد که نیروی هوایی باید افسران خود را مانند افسران خود توسعه دهد.</w:t>
      </w:r>
    </w:p>
    <w:p>
      <w:pPr>
        <w:spacing w:after="28" w:line="216" w:lineRule="auto"/>
        <w:ind w:left="259"/>
        <w:jc w:val="left"/>
      </w:pPr>
      <w:r>
        <w:rPr>
          <w:rFonts w:ascii="Arial" w:hAnsi="Arial"/>
          <w:color w:val="525252"/>
          <w:sz w:val="13"/>
        </w:rPr>
        <w:t>After talking with several base officials, it was determined that the Air Force needed to develop their NCOs like they did their officers.</w:t>
      </w:r>
    </w:p>
    <w:p>
      <w:pPr>
        <w:spacing w:after="20" w:line="223" w:lineRule="auto"/>
        <w:jc w:val="right"/>
        <w:bidi/>
      </w:pPr>
      <w:r>
        <w:rPr>
          <w:rFonts w:ascii="Arial" w:hAnsi="Arial"/>
          <w:sz w:val="16"/>
        </w:rPr>
        <w:t>582.11  بنابراین کیسلینگ نگرانی در مورد توسعه حرفه‌ای افسران را در خط مقدم بحث در پنتاگون قرار داد.</w:t>
      </w:r>
    </w:p>
    <w:p>
      <w:pPr>
        <w:spacing w:after="28" w:line="216" w:lineRule="auto"/>
        <w:ind w:left="259"/>
        <w:jc w:val="left"/>
      </w:pPr>
      <w:r>
        <w:rPr>
          <w:rFonts w:ascii="Arial" w:hAnsi="Arial"/>
          <w:color w:val="525252"/>
          <w:sz w:val="13"/>
        </w:rPr>
        <w:t>So Kisling placed concerns for NCO professional development in the forefront of discussion at the Pentagon.</w:t>
      </w:r>
    </w:p>
    <w:p>
      <w:pPr>
        <w:spacing w:after="20" w:line="223" w:lineRule="auto"/>
        <w:jc w:val="right"/>
        <w:bidi/>
      </w:pPr>
      <w:r>
        <w:rPr>
          <w:rFonts w:ascii="Arial" w:hAnsi="Arial"/>
          <w:sz w:val="16"/>
        </w:rPr>
        <w:t>582.12  اصرار او زمانی نتیجه داد که اولین آکادمی ارشد افسران توسط کنگره در سال ۱۹۷۲ تصویب شد.</w:t>
      </w:r>
    </w:p>
    <w:p>
      <w:pPr>
        <w:spacing w:after="28" w:line="216" w:lineRule="auto"/>
        <w:ind w:left="259"/>
        <w:jc w:val="left"/>
      </w:pPr>
      <w:r>
        <w:rPr>
          <w:rFonts w:ascii="Arial" w:hAnsi="Arial"/>
          <w:color w:val="525252"/>
          <w:sz w:val="13"/>
        </w:rPr>
        <w:t>His persistence paid off when the first senior NCO academy was approved by Congress in 1972.</w:t>
      </w:r>
    </w:p>
    <w:p>
      <w:pPr>
        <w:spacing w:after="20" w:line="223" w:lineRule="auto"/>
        <w:jc w:val="right"/>
        <w:bidi/>
      </w:pPr>
      <w:r>
        <w:rPr>
          <w:rFonts w:ascii="Arial" w:hAnsi="Arial"/>
          <w:sz w:val="16"/>
        </w:rPr>
        <w:t>582.13  آکادمی رسما درهای خود را در ژانویه ۱۹۷۳ افتتاح کرد. با این حال، قبل از اینکه آکادمی درهای خود را باز کند، برنامه اولیه این بود که حضور آن را به گروهبانان یکم محدود کند.</w:t>
      </w:r>
    </w:p>
    <w:p>
      <w:pPr>
        <w:spacing w:after="28" w:line="216" w:lineRule="auto"/>
        <w:ind w:left="259"/>
        <w:jc w:val="left"/>
      </w:pPr>
      <w:r>
        <w:rPr>
          <w:rFonts w:ascii="Arial" w:hAnsi="Arial"/>
          <w:color w:val="525252"/>
          <w:sz w:val="13"/>
        </w:rPr>
        <w:t>The Academy officially opened its doors in January 1973; however, before the Academy opened its doors, the original plan was to restrict its attendance to first sergeants.</w:t>
      </w:r>
    </w:p>
    <w:p>
      <w:pPr>
        <w:spacing w:after="20" w:line="223" w:lineRule="auto"/>
        <w:jc w:val="right"/>
        <w:bidi/>
      </w:pPr>
      <w:r>
        <w:rPr>
          <w:rFonts w:ascii="Arial" w:hAnsi="Arial"/>
          <w:sz w:val="16"/>
        </w:rPr>
        <w:t>582.14  در پایان، کیسلینگ در نبرد در دسترس قرار دادن پیشرفت حرفه‌ای برای همه درجه‌داران ارشد پیروز شد.</w:t>
      </w:r>
    </w:p>
    <w:p>
      <w:pPr>
        <w:spacing w:after="28" w:line="216" w:lineRule="auto"/>
        <w:ind w:left="259"/>
        <w:jc w:val="left"/>
      </w:pPr>
      <w:r>
        <w:rPr>
          <w:rFonts w:ascii="Arial" w:hAnsi="Arial"/>
          <w:color w:val="525252"/>
          <w:sz w:val="13"/>
        </w:rPr>
        <w:t>In the end, Kisling won the battle of making professional development available to all senior NCOs.</w:t>
      </w:r>
    </w:p>
    <w:p>
      <w:pPr>
        <w:spacing w:after="20" w:line="223" w:lineRule="auto"/>
        <w:jc w:val="right"/>
        <w:bidi/>
      </w:pPr>
      <w:r>
        <w:rPr>
          <w:rFonts w:ascii="Arial" w:hAnsi="Arial"/>
          <w:sz w:val="16"/>
        </w:rPr>
        <w:t>582.15  نگرانی او برای مسائلی مانند مسکن، دستمزد، ترفیع، تحصیل و آموزش و تکالیف باعث شد که احترام همسالانش و لقب «مرد GI در واشنگتن» به او داده شود. CMSAF کیسلینگ در سال ۱۹۸۵ درگذشت.</w:t>
      </w:r>
    </w:p>
    <w:p>
      <w:pPr>
        <w:spacing w:after="28" w:line="216" w:lineRule="auto"/>
        <w:ind w:left="259"/>
        <w:jc w:val="left"/>
      </w:pPr>
      <w:r>
        <w:rPr>
          <w:rFonts w:ascii="Arial" w:hAnsi="Arial"/>
          <w:color w:val="525252"/>
          <w:sz w:val="13"/>
        </w:rPr>
        <w:t>His concern for such enlisted issues as housing, pay, promotions, education and training, and assignments earned him the respect of his peers and the nickname, “the GI’s man in Washington.” CMSAF Kisling died in 1985.</w:t>
      </w:r>
    </w:p>
    <w:p>
      <w:r>
        <w:br w:type="page"/>
      </w:r>
    </w:p>
    <w:p>
      <w:pPr>
        <w:spacing w:after="60"/>
        <w:jc w:val="right"/>
        <w:bidi/>
      </w:pPr>
      <w:r>
        <w:rPr>
          <w:rFonts w:ascii="Arial" w:hAnsi="Arial"/>
          <w:b/>
          <w:color w:val="1F4D78"/>
          <w:sz w:val="19"/>
        </w:rPr>
        <w:t>هفتهٔ 583  |  صفحهٔ منبع: 600</w:t>
      </w:r>
    </w:p>
    <w:p>
      <w:pPr>
        <w:spacing w:after="20" w:line="223" w:lineRule="auto"/>
        <w:jc w:val="right"/>
        <w:bidi/>
      </w:pPr>
      <w:r>
        <w:rPr>
          <w:rFonts w:ascii="Arial" w:hAnsi="Arial"/>
          <w:sz w:val="16"/>
        </w:rPr>
        <w:t>583.01  چهارمین سرگروهبان ارشد CMSAF نیروی هوایی توماس ان. بارنز توماس ان. بارنز در شهر صنایع مرتبط با جنگ در چستر، پنسیلوانیا بزرگ شد.</w:t>
      </w:r>
    </w:p>
    <w:p>
      <w:pPr>
        <w:spacing w:after="28" w:line="216" w:lineRule="auto"/>
        <w:ind w:left="259"/>
        <w:jc w:val="left"/>
      </w:pPr>
      <w:r>
        <w:rPr>
          <w:rFonts w:ascii="Arial" w:hAnsi="Arial"/>
          <w:color w:val="525252"/>
          <w:sz w:val="13"/>
        </w:rPr>
        <w:t>Fourth Chief Master Sergeant of the Air Force CMSAF Thomas N. Barnes Thomas N. Barnes grew up in the war-related industries town of Chester, Pennsylvania.</w:t>
      </w:r>
    </w:p>
    <w:p>
      <w:pPr>
        <w:spacing w:after="20" w:line="223" w:lineRule="auto"/>
        <w:jc w:val="right"/>
        <w:bidi/>
      </w:pPr>
      <w:r>
        <w:rPr>
          <w:rFonts w:ascii="Arial" w:hAnsi="Arial"/>
          <w:sz w:val="16"/>
        </w:rPr>
        <w:t>583.02  در سال ۱۹۴۹، به‌عنوان نگهبان هواپیما متخصص در هیدرولیک به نیروی هوایی تازه تاسیس ایالات متحده پیوست.</w:t>
      </w:r>
    </w:p>
    <w:p>
      <w:pPr>
        <w:spacing w:after="28" w:line="216" w:lineRule="auto"/>
        <w:ind w:left="259"/>
        <w:jc w:val="left"/>
      </w:pPr>
      <w:r>
        <w:rPr>
          <w:rFonts w:ascii="Arial" w:hAnsi="Arial"/>
          <w:color w:val="525252"/>
          <w:sz w:val="13"/>
        </w:rPr>
        <w:t>In 1949, he joined the newly created United States Air Force as an aircraft maintainer specializing in hydraulics.</w:t>
      </w:r>
    </w:p>
    <w:p>
      <w:pPr>
        <w:spacing w:after="20" w:line="223" w:lineRule="auto"/>
        <w:jc w:val="right"/>
        <w:bidi/>
      </w:pPr>
      <w:r>
        <w:rPr>
          <w:rFonts w:ascii="Arial" w:hAnsi="Arial"/>
          <w:sz w:val="16"/>
        </w:rPr>
        <w:t>583.03  اولین ایستگاه وظیفه او او را در لبه پیشروی تلاش‌های ادغام نیروی هوایی ایالات متحده یافت، به‌عنوان یکی از اولین آفریقایی-آمریکایی‌هایی که به این واحد پیوست.</w:t>
      </w:r>
    </w:p>
    <w:p>
      <w:pPr>
        <w:spacing w:after="28" w:line="216" w:lineRule="auto"/>
        <w:ind w:left="259"/>
        <w:jc w:val="left"/>
      </w:pPr>
      <w:r>
        <w:rPr>
          <w:rFonts w:ascii="Arial" w:hAnsi="Arial"/>
          <w:color w:val="525252"/>
          <w:sz w:val="13"/>
        </w:rPr>
        <w:t>His first duty station found him at the leading edge of United States Air Force integration efforts, as one of the first African-Americans to join the unit.</w:t>
      </w:r>
    </w:p>
    <w:p>
      <w:pPr>
        <w:spacing w:after="20" w:line="223" w:lineRule="auto"/>
        <w:jc w:val="right"/>
        <w:bidi/>
      </w:pPr>
      <w:r>
        <w:rPr>
          <w:rFonts w:ascii="Arial" w:hAnsi="Arial"/>
          <w:sz w:val="16"/>
        </w:rPr>
        <w:t>583.04  واحد بارنز در حال انجام مأموریت‌های پشتیبانی جنگ کره بود.</w:t>
      </w:r>
    </w:p>
    <w:p>
      <w:pPr>
        <w:spacing w:after="28" w:line="216" w:lineRule="auto"/>
        <w:ind w:left="259"/>
        <w:jc w:val="left"/>
      </w:pPr>
      <w:r>
        <w:rPr>
          <w:rFonts w:ascii="Arial" w:hAnsi="Arial"/>
          <w:color w:val="525252"/>
          <w:sz w:val="13"/>
        </w:rPr>
        <w:t>Barnes’ unit was flying Korean War support missions.</w:t>
      </w:r>
    </w:p>
    <w:p>
      <w:pPr>
        <w:spacing w:after="20" w:line="223" w:lineRule="auto"/>
        <w:jc w:val="right"/>
        <w:bidi/>
      </w:pPr>
      <w:r>
        <w:rPr>
          <w:rFonts w:ascii="Arial" w:hAnsi="Arial"/>
          <w:sz w:val="16"/>
        </w:rPr>
        <w:t>583.05  بدون اینکه دیگران در اسکادران او بدانند، یکی از دوستان خدمه به او هنر مهندسی پرواز را آموزش داد و به او اجازه داد تا در مأموریت‌های تدارکات و تخلیه پزشکی پرواز کند.</w:t>
      </w:r>
    </w:p>
    <w:p>
      <w:pPr>
        <w:spacing w:after="28" w:line="216" w:lineRule="auto"/>
        <w:ind w:left="259"/>
        <w:jc w:val="left"/>
      </w:pPr>
      <w:r>
        <w:rPr>
          <w:rFonts w:ascii="Arial" w:hAnsi="Arial"/>
          <w:color w:val="525252"/>
          <w:sz w:val="13"/>
        </w:rPr>
        <w:t>Unbeknownst to others in his squadron, a crew pal taught him the art of flight engineering and let him fly resupply and medical evacuation missions.</w:t>
      </w:r>
    </w:p>
    <w:p>
      <w:pPr>
        <w:spacing w:after="20" w:line="223" w:lineRule="auto"/>
        <w:jc w:val="right"/>
        <w:bidi/>
      </w:pPr>
      <w:r>
        <w:rPr>
          <w:rFonts w:ascii="Arial" w:hAnsi="Arial"/>
          <w:sz w:val="16"/>
        </w:rPr>
        <w:t>583.06  در پایان تور، بارنز گواهینامه مهندسی پرواز را به دست آورد، ۷۵۰ ساعت پرواز بر فراز قلمرو دشمن انباشته کرد و مدال هوایی را به دست آورد.</w:t>
      </w:r>
    </w:p>
    <w:p>
      <w:pPr>
        <w:spacing w:after="28" w:line="216" w:lineRule="auto"/>
        <w:ind w:left="259"/>
        <w:jc w:val="left"/>
      </w:pPr>
      <w:r>
        <w:rPr>
          <w:rFonts w:ascii="Arial" w:hAnsi="Arial"/>
          <w:color w:val="525252"/>
          <w:sz w:val="13"/>
        </w:rPr>
        <w:t>By his tour’s end, Barnes had gained flight engineer certification, accumulated 750 flight hours over enemy territory, and earned the Air Medal.</w:t>
      </w:r>
    </w:p>
    <w:p>
      <w:pPr>
        <w:spacing w:after="20" w:line="223" w:lineRule="auto"/>
        <w:jc w:val="right"/>
        <w:bidi/>
      </w:pPr>
      <w:r>
        <w:rPr>
          <w:rFonts w:ascii="Arial" w:hAnsi="Arial"/>
          <w:sz w:val="16"/>
        </w:rPr>
        <w:t>583.07  او اولین CMSAF با تجربه مستقیم ویتنام و اولین CMSAF آفریقایی-آمریکایی توماس ن. بارنز اکتبر ۱۹۷۳ - ژوئیه ۱۹۷۷ بود که در بالاترین پست خدمت سربازی خدمت کرد.</w:t>
      </w:r>
    </w:p>
    <w:p>
      <w:pPr>
        <w:spacing w:after="28" w:line="216" w:lineRule="auto"/>
        <w:ind w:left="259"/>
        <w:jc w:val="left"/>
      </w:pPr>
      <w:r>
        <w:rPr>
          <w:rFonts w:ascii="Arial" w:hAnsi="Arial"/>
          <w:color w:val="525252"/>
          <w:sz w:val="13"/>
        </w:rPr>
        <w:t>He was the first CMSAF with direct Vietnam experience and the first African-American CMSAF Thomas N. Barnes October 1973 - July 1977 to serve in the highest enlisted post of a military service.</w:t>
      </w:r>
    </w:p>
    <w:p>
      <w:pPr>
        <w:spacing w:after="20" w:line="223" w:lineRule="auto"/>
        <w:jc w:val="right"/>
        <w:bidi/>
      </w:pPr>
      <w:r>
        <w:rPr>
          <w:rFonts w:ascii="Arial" w:hAnsi="Arial"/>
          <w:sz w:val="16"/>
        </w:rPr>
        <w:t>583.08  رئیس ستاد نیروی هوایی به‌طور متوالی در سال ۱۹۷۵ و در سال ۱۹۷۶ تمدید شد.</w:t>
      </w:r>
    </w:p>
    <w:p>
      <w:pPr>
        <w:spacing w:after="28" w:line="216" w:lineRule="auto"/>
        <w:ind w:left="259"/>
        <w:jc w:val="left"/>
      </w:pPr>
      <w:r>
        <w:rPr>
          <w:rFonts w:ascii="Arial" w:hAnsi="Arial"/>
          <w:color w:val="525252"/>
          <w:sz w:val="13"/>
        </w:rPr>
        <w:t>The Chief of Staff of the Air Force consecutively extended him in 1975 and in 1976.</w:t>
      </w:r>
    </w:p>
    <w:p>
      <w:pPr>
        <w:spacing w:after="20" w:line="223" w:lineRule="auto"/>
        <w:jc w:val="right"/>
        <w:bidi/>
      </w:pPr>
      <w:r>
        <w:rPr>
          <w:rFonts w:ascii="Arial" w:hAnsi="Arial"/>
          <w:sz w:val="16"/>
        </w:rPr>
        <w:t>583.09  سهم قابل‌توجه CMSAF بارنز در زمینه‌ای بود که الهام‌بخش بزرگترین اشتیاق او بود و در بین بزرگترین چالش‌های او قرار گرفت: تلاش برای تضمین برابری در بین رده‌ها و نژادها.</w:t>
      </w:r>
    </w:p>
    <w:p>
      <w:pPr>
        <w:spacing w:after="28" w:line="216" w:lineRule="auto"/>
        <w:ind w:left="259"/>
        <w:jc w:val="left"/>
      </w:pPr>
      <w:r>
        <w:rPr>
          <w:rFonts w:ascii="Arial" w:hAnsi="Arial"/>
          <w:color w:val="525252"/>
          <w:sz w:val="13"/>
        </w:rPr>
        <w:t>CMSAF Barnes’ notable contribution came in the area that inspired his greatest passion and ranked among his largest challenges: working to ensure equality among the ranks and races.</w:t>
      </w:r>
    </w:p>
    <w:p>
      <w:pPr>
        <w:spacing w:after="20" w:line="223" w:lineRule="auto"/>
        <w:jc w:val="right"/>
        <w:bidi/>
      </w:pPr>
      <w:r>
        <w:rPr>
          <w:rFonts w:ascii="Arial" w:hAnsi="Arial"/>
          <w:sz w:val="16"/>
        </w:rPr>
        <w:t>583.10  او به نقشی که در اجرای برنامه اقدامات اجتماعی نیروی هوایی در سال ۱۹۶۹ ایفا کرد، بسیار افتخار کرد.</w:t>
      </w:r>
    </w:p>
    <w:p>
      <w:pPr>
        <w:spacing w:after="28" w:line="216" w:lineRule="auto"/>
        <w:ind w:left="259"/>
        <w:jc w:val="left"/>
      </w:pPr>
      <w:r>
        <w:rPr>
          <w:rFonts w:ascii="Arial" w:hAnsi="Arial"/>
          <w:color w:val="525252"/>
          <w:sz w:val="13"/>
        </w:rPr>
        <w:t>He took great pride in the part he played in bringing about the Air Force Social Actions Program in 1969.</w:t>
      </w:r>
    </w:p>
    <w:p>
      <w:pPr>
        <w:spacing w:after="20" w:line="223" w:lineRule="auto"/>
        <w:jc w:val="right"/>
        <w:bidi/>
      </w:pPr>
      <w:r>
        <w:rPr>
          <w:rFonts w:ascii="Arial" w:hAnsi="Arial"/>
          <w:sz w:val="16"/>
        </w:rPr>
        <w:t>583.11  او برای از بین بردن موانع برای زنان و متقاعد کردن نیروی هوایی به استفاده از آنها در نقش‌های غیرسنتی تلاش کرد.</w:t>
      </w:r>
    </w:p>
    <w:p>
      <w:pPr>
        <w:spacing w:after="28" w:line="216" w:lineRule="auto"/>
        <w:ind w:left="259"/>
        <w:jc w:val="left"/>
      </w:pPr>
      <w:r>
        <w:rPr>
          <w:rFonts w:ascii="Arial" w:hAnsi="Arial"/>
          <w:color w:val="525252"/>
          <w:sz w:val="13"/>
        </w:rPr>
        <w:t>He labored to eliminate barriers for women and convince the Air Force to use them in nontraditional roles.</w:t>
      </w:r>
    </w:p>
    <w:p>
      <w:pPr>
        <w:spacing w:after="20" w:line="223" w:lineRule="auto"/>
        <w:jc w:val="right"/>
        <w:bidi/>
      </w:pPr>
      <w:r>
        <w:rPr>
          <w:rFonts w:ascii="Arial" w:hAnsi="Arial"/>
          <w:sz w:val="16"/>
        </w:rPr>
        <w:t>583.12  او ارزش ادامه آموزش هوانوردان را درک می‌کرد و معتقد بود که هیچ کس نباید بدون PME در رتبه‌های خود پیشرفت کند، و تلاش می‌کرد تا تعهد قاطع این سرویس را به PME ثبت‌نام کند.</w:t>
      </w:r>
    </w:p>
    <w:p>
      <w:pPr>
        <w:spacing w:after="28" w:line="216" w:lineRule="auto"/>
        <w:ind w:left="259"/>
        <w:jc w:val="left"/>
      </w:pPr>
      <w:r>
        <w:rPr>
          <w:rFonts w:ascii="Arial" w:hAnsi="Arial"/>
          <w:color w:val="525252"/>
          <w:sz w:val="13"/>
        </w:rPr>
        <w:t>He understood the value of continuing to educate Airmen and believed no one should advance in rank without PME, working to establish the service’s firm commitment to enlisted PME.</w:t>
      </w:r>
    </w:p>
    <w:p>
      <w:pPr>
        <w:spacing w:after="20" w:line="223" w:lineRule="auto"/>
        <w:jc w:val="right"/>
        <w:bidi/>
      </w:pPr>
      <w:r>
        <w:rPr>
          <w:rFonts w:ascii="Arial" w:hAnsi="Arial"/>
          <w:sz w:val="16"/>
        </w:rPr>
        <w:t>583.13  بارنز که در سراسر نیرو به دلیل توانایی خود در برقراری ارتباط با هر کسی شناخته شده بود، گوش دادن به نیروهای هوایی را در اولویت قرار داد.</w:t>
      </w:r>
    </w:p>
    <w:p>
      <w:pPr>
        <w:spacing w:after="28" w:line="216" w:lineRule="auto"/>
        <w:ind w:left="259"/>
        <w:jc w:val="left"/>
      </w:pPr>
      <w:r>
        <w:rPr>
          <w:rFonts w:ascii="Arial" w:hAnsi="Arial"/>
          <w:color w:val="525252"/>
          <w:sz w:val="13"/>
        </w:rPr>
        <w:t>Recognized throughout the force for his ability to communicate with anyone, Barnes made listening to Airmen a priority.</w:t>
      </w:r>
    </w:p>
    <w:p>
      <w:pPr>
        <w:spacing w:after="20" w:line="223" w:lineRule="auto"/>
        <w:jc w:val="right"/>
        <w:bidi/>
      </w:pPr>
      <w:r>
        <w:rPr>
          <w:rFonts w:ascii="Arial" w:hAnsi="Arial"/>
          <w:sz w:val="16"/>
        </w:rPr>
        <w:t>583.14  در ابتدای تصدی وی، بیشترین سوالی که از بارنز پرسیده شد این بود که "چه برنامه هایی را برای سیاه پوستان اجرا خواهید کرد؟" بارنز به یاد می‌آورد: «جواب «هیچ» بود.</w:t>
      </w:r>
    </w:p>
    <w:p>
      <w:pPr>
        <w:spacing w:after="28" w:line="216" w:lineRule="auto"/>
        <w:ind w:left="259"/>
        <w:jc w:val="left"/>
      </w:pPr>
      <w:r>
        <w:rPr>
          <w:rFonts w:ascii="Arial" w:hAnsi="Arial"/>
          <w:color w:val="525252"/>
          <w:sz w:val="13"/>
        </w:rPr>
        <w:t>At the beginning of his tenure, the question most asked of Barnes was, “What programs will you implement for the blacks?” “The answer was ‘None’,” Barnes recalls.</w:t>
      </w:r>
    </w:p>
    <w:p>
      <w:pPr>
        <w:spacing w:after="20" w:line="223" w:lineRule="auto"/>
        <w:jc w:val="right"/>
        <w:bidi/>
      </w:pPr>
      <w:r>
        <w:rPr>
          <w:rFonts w:ascii="Arial" w:hAnsi="Arial"/>
          <w:sz w:val="16"/>
        </w:rPr>
        <w:t>583.15  "به آنها گفتم برای همه خواستگاران آبی کار می‌کنم." پس از بازنشستگی، بارنز همچنان فعالانه درگیر مسائل نیروی هوایی بود.</w:t>
      </w:r>
    </w:p>
    <w:p>
      <w:pPr>
        <w:spacing w:after="28" w:line="216" w:lineRule="auto"/>
        <w:ind w:left="259"/>
        <w:jc w:val="left"/>
      </w:pPr>
      <w:r>
        <w:rPr>
          <w:rFonts w:ascii="Arial" w:hAnsi="Arial"/>
          <w:color w:val="525252"/>
          <w:sz w:val="13"/>
        </w:rPr>
        <w:t>“I told them I work for all blue suiters.” After his retirement, Barnes remained actively engaged in Air Force issues.</w:t>
      </w:r>
    </w:p>
    <w:p>
      <w:pPr>
        <w:spacing w:after="20" w:line="223" w:lineRule="auto"/>
        <w:jc w:val="right"/>
        <w:bidi/>
      </w:pPr>
      <w:r>
        <w:rPr>
          <w:rFonts w:ascii="Arial" w:hAnsi="Arial"/>
          <w:sz w:val="16"/>
        </w:rPr>
        <w:t>583.16  CMSAF بارنز در سال ۲۰۰۳ درگذشت.</w:t>
      </w:r>
    </w:p>
    <w:p>
      <w:pPr>
        <w:spacing w:after="28" w:line="216" w:lineRule="auto"/>
        <w:ind w:left="259"/>
        <w:jc w:val="left"/>
      </w:pPr>
      <w:r>
        <w:rPr>
          <w:rFonts w:ascii="Arial" w:hAnsi="Arial"/>
          <w:color w:val="525252"/>
          <w:sz w:val="13"/>
        </w:rPr>
        <w:t>CMSAF Barnes died in 2003.</w:t>
      </w:r>
    </w:p>
    <w:p>
      <w:r>
        <w:br w:type="page"/>
      </w:r>
    </w:p>
    <w:p>
      <w:pPr>
        <w:spacing w:after="60"/>
        <w:jc w:val="right"/>
        <w:bidi/>
      </w:pPr>
      <w:r>
        <w:rPr>
          <w:rFonts w:ascii="Arial" w:hAnsi="Arial"/>
          <w:b/>
          <w:color w:val="1F4D78"/>
          <w:sz w:val="19"/>
        </w:rPr>
        <w:t>هفتهٔ 584  |  صفحهٔ منبع: 601</w:t>
      </w:r>
    </w:p>
    <w:p>
      <w:pPr>
        <w:spacing w:after="20" w:line="223" w:lineRule="auto"/>
        <w:jc w:val="right"/>
        <w:bidi/>
      </w:pPr>
      <w:r>
        <w:rPr>
          <w:rFonts w:ascii="Arial" w:hAnsi="Arial"/>
          <w:sz w:val="16"/>
        </w:rPr>
        <w:t>584.01  پنجمین سرگروهبان ارشد CMSAF نیروی هوایی رابرت دی. گیلور رابرت دی. گیلور که در ایندیانا بزرگ شد، می‌خواست سفر کند و یک مهارت را بیاموزد.</w:t>
      </w:r>
    </w:p>
    <w:p>
      <w:pPr>
        <w:spacing w:after="28" w:line="216" w:lineRule="auto"/>
        <w:ind w:left="259"/>
        <w:jc w:val="left"/>
      </w:pPr>
      <w:r>
        <w:rPr>
          <w:rFonts w:ascii="Arial" w:hAnsi="Arial"/>
          <w:color w:val="525252"/>
          <w:sz w:val="13"/>
        </w:rPr>
        <w:t>Fifth Chief Master Sergeant of the Air Force CMSAF Robert D. Gaylor Growing up in Indiana, Robert D. Gaylor wanted to travel and learn a skill.</w:t>
      </w:r>
    </w:p>
    <w:p>
      <w:pPr>
        <w:spacing w:after="20" w:line="223" w:lineRule="auto"/>
        <w:jc w:val="right"/>
        <w:bidi/>
      </w:pPr>
      <w:r>
        <w:rPr>
          <w:rFonts w:ascii="Arial" w:hAnsi="Arial"/>
          <w:sz w:val="16"/>
        </w:rPr>
        <w:t>584.02  او در سال ۱۹۴۸ در نیروی هوایی نام نویسی کرد، دوران انتقالی برای آمریکا و ارتش.</w:t>
      </w:r>
    </w:p>
    <w:p>
      <w:pPr>
        <w:spacing w:after="28" w:line="216" w:lineRule="auto"/>
        <w:ind w:left="259"/>
        <w:jc w:val="left"/>
      </w:pPr>
      <w:r>
        <w:rPr>
          <w:rFonts w:ascii="Arial" w:hAnsi="Arial"/>
          <w:color w:val="525252"/>
          <w:sz w:val="13"/>
        </w:rPr>
        <w:t>He enlisted in the Air Force in 1948, a transition time for America and the military.</w:t>
      </w:r>
    </w:p>
    <w:p>
      <w:pPr>
        <w:spacing w:after="20" w:line="223" w:lineRule="auto"/>
        <w:jc w:val="right"/>
        <w:bidi/>
      </w:pPr>
      <w:r>
        <w:rPr>
          <w:rFonts w:ascii="Arial" w:hAnsi="Arial"/>
          <w:sz w:val="16"/>
        </w:rPr>
        <w:t>584.03  با رسیدن به آموزش اولیه، پرزیدنت ترومن در ۲۶ ژوئیه ۱۹۴۸ فرمان اجرایی ۹۹۸۱، حذف تبعیض از نیروهای مسلح را صادر کرد و کمیته رئیس جمهور را در مورد برابری رفتار و فرصت در نیروهای مسلح تشکیل داد که خواستار برابری فرصت‌ها در ارتش ایالات متحده بود.</w:t>
      </w:r>
    </w:p>
    <w:p>
      <w:pPr>
        <w:spacing w:after="28" w:line="216" w:lineRule="auto"/>
        <w:ind w:left="259"/>
        <w:jc w:val="left"/>
      </w:pPr>
      <w:r>
        <w:rPr>
          <w:rFonts w:ascii="Arial" w:hAnsi="Arial"/>
          <w:color w:val="525252"/>
          <w:sz w:val="13"/>
        </w:rPr>
        <w:t>As he arrived at basic training, President Truman issued Executive Order 9981, Desegregation of the Armed Forces, 26 July 1948, establishing the President’s Committee on Equality of Treatment and Opportunity in the Armed Services calling for equality of opportunity in the United States military.</w:t>
      </w:r>
    </w:p>
    <w:p>
      <w:pPr>
        <w:spacing w:after="20" w:line="223" w:lineRule="auto"/>
        <w:jc w:val="right"/>
        <w:bidi/>
      </w:pPr>
      <w:r>
        <w:rPr>
          <w:rFonts w:ascii="Arial" w:hAnsi="Arial"/>
          <w:sz w:val="16"/>
        </w:rPr>
        <w:t>584.04  گیلر هیچ تجربه‌ای با جداسازی یا ادغام نداشت و او شاهد سفر طولانی به سوی یکپارچگی کامل بود.</w:t>
      </w:r>
    </w:p>
    <w:p>
      <w:pPr>
        <w:spacing w:after="28" w:line="216" w:lineRule="auto"/>
        <w:ind w:left="259"/>
        <w:jc w:val="left"/>
      </w:pPr>
      <w:r>
        <w:rPr>
          <w:rFonts w:ascii="Arial" w:hAnsi="Arial"/>
          <w:color w:val="525252"/>
          <w:sz w:val="13"/>
        </w:rPr>
        <w:t>Gaylor had had no experience with segregation or integration, and he would witness the long journey to full integration.</w:t>
      </w:r>
    </w:p>
    <w:p>
      <w:pPr>
        <w:spacing w:after="20" w:line="223" w:lineRule="auto"/>
        <w:jc w:val="right"/>
        <w:bidi/>
      </w:pPr>
      <w:r>
        <w:rPr>
          <w:rFonts w:ascii="Arial" w:hAnsi="Arial"/>
          <w:sz w:val="16"/>
        </w:rPr>
        <w:t>584.05  اولین وظیفه او پلیس نظامی بود و در تمام دوران حرفه‌ای خود سرآمد بود و تنها با ۷ سال و ۷ ماه خدمت به درجه استاد گروهبانی رسید.</w:t>
      </w:r>
    </w:p>
    <w:p>
      <w:pPr>
        <w:spacing w:after="28" w:line="216" w:lineRule="auto"/>
        <w:ind w:left="259"/>
        <w:jc w:val="left"/>
      </w:pPr>
      <w:r>
        <w:rPr>
          <w:rFonts w:ascii="Arial" w:hAnsi="Arial"/>
          <w:color w:val="525252"/>
          <w:sz w:val="13"/>
        </w:rPr>
        <w:t>His first duty was as a military policeman and he excelled throughout his career, advancing to the rank of Master Sergeant with only 7 years and 7 months of service.</w:t>
      </w:r>
    </w:p>
    <w:p>
      <w:pPr>
        <w:spacing w:after="20" w:line="223" w:lineRule="auto"/>
        <w:jc w:val="right"/>
        <w:bidi/>
      </w:pPr>
      <w:r>
        <w:rPr>
          <w:rFonts w:ascii="Arial" w:hAnsi="Arial"/>
          <w:sz w:val="16"/>
        </w:rPr>
        <w:t>584.06  خدمت به‌عنوان یک مربی در آموزش‌های پایه و آکادمی افسران او را متقاعد کرد که وظایف ویژه به آماده‌سازی افسران برای نقش‌های رهبری بزرگتر کمک می‌کند.</w:t>
      </w:r>
    </w:p>
    <w:p>
      <w:pPr>
        <w:spacing w:after="28" w:line="216" w:lineRule="auto"/>
        <w:ind w:left="259"/>
        <w:jc w:val="left"/>
      </w:pPr>
      <w:r>
        <w:rPr>
          <w:rFonts w:ascii="Arial" w:hAnsi="Arial"/>
          <w:color w:val="525252"/>
          <w:sz w:val="13"/>
        </w:rPr>
        <w:t>Serving as an instructor at basic training and the NCO Academy convinced him CMSAF Robert D. Gaylor that special duties help prepare NCOs for greater leadership roles.</w:t>
      </w:r>
    </w:p>
    <w:p>
      <w:pPr>
        <w:spacing w:after="20" w:line="223" w:lineRule="auto"/>
        <w:jc w:val="right"/>
        <w:bidi/>
      </w:pPr>
      <w:r>
        <w:rPr>
          <w:rFonts w:ascii="Arial" w:hAnsi="Arial"/>
          <w:sz w:val="16"/>
        </w:rPr>
        <w:t>584.07  آگوست ۱۹۷۷ - ژوئیه ۱۹۷۹ در سال ۱۹۷۶، به‌عنوان عضوی از مرکز نیروی انسانی و پرسنل نیروی هوایی، گیلور سفرهای زیادی داشت و سالانه ۲۷۵ سخنرانی رهبری داشت.</w:t>
      </w:r>
    </w:p>
    <w:p>
      <w:pPr>
        <w:spacing w:after="28" w:line="216" w:lineRule="auto"/>
        <w:ind w:left="259"/>
        <w:jc w:val="left"/>
      </w:pPr>
      <w:r>
        <w:rPr>
          <w:rFonts w:ascii="Arial" w:hAnsi="Arial"/>
          <w:color w:val="525252"/>
          <w:sz w:val="13"/>
        </w:rPr>
        <w:t>August 1977 - July 1979 In 1976, as a member of the Air Force Manpower and Personnel Center, Gaylor traveled extensively, giving 275 leadership talks annually.</w:t>
      </w:r>
    </w:p>
    <w:p>
      <w:pPr>
        <w:spacing w:after="20" w:line="223" w:lineRule="auto"/>
        <w:jc w:val="right"/>
        <w:bidi/>
      </w:pPr>
      <w:r>
        <w:rPr>
          <w:rFonts w:ascii="Arial" w:hAnsi="Arial"/>
          <w:sz w:val="16"/>
        </w:rPr>
        <w:t>584.08  هدف CMSAF گایلور به‌عنوان مرد ارشد سربازگیری این بود که نبض نیروی اعزام شده را احساس کند و به‌عنوان مجرای اطلاعات عمل کند.</w:t>
      </w:r>
    </w:p>
    <w:p>
      <w:pPr>
        <w:spacing w:after="28" w:line="216" w:lineRule="auto"/>
        <w:ind w:left="259"/>
        <w:jc w:val="left"/>
      </w:pPr>
      <w:r>
        <w:rPr>
          <w:rFonts w:ascii="Arial" w:hAnsi="Arial"/>
          <w:color w:val="525252"/>
          <w:sz w:val="13"/>
        </w:rPr>
        <w:t>CMSAF Gaylor’s goal as the senior enlisted man was to feel the pulse of the enlisted force and serve as a conduit of information.</w:t>
      </w:r>
    </w:p>
    <w:p>
      <w:pPr>
        <w:spacing w:after="20" w:line="223" w:lineRule="auto"/>
        <w:jc w:val="right"/>
        <w:bidi/>
      </w:pPr>
      <w:r>
        <w:rPr>
          <w:rFonts w:ascii="Arial" w:hAnsi="Arial"/>
          <w:sz w:val="16"/>
        </w:rPr>
        <w:t>584.09  او به روحیه ضعیف و وجهه عمومی ضعیف نظامی پرداخت.</w:t>
      </w:r>
    </w:p>
    <w:p>
      <w:pPr>
        <w:spacing w:after="28" w:line="216" w:lineRule="auto"/>
        <w:ind w:left="259"/>
        <w:jc w:val="left"/>
      </w:pPr>
      <w:r>
        <w:rPr>
          <w:rFonts w:ascii="Arial" w:hAnsi="Arial"/>
          <w:color w:val="525252"/>
          <w:sz w:val="13"/>
        </w:rPr>
        <w:t>He addressed low morale and the weak military public image head on.</w:t>
      </w:r>
    </w:p>
    <w:p>
      <w:pPr>
        <w:spacing w:after="20" w:line="223" w:lineRule="auto"/>
        <w:jc w:val="right"/>
        <w:bidi/>
      </w:pPr>
      <w:r>
        <w:rPr>
          <w:rFonts w:ascii="Arial" w:hAnsi="Arial"/>
          <w:sz w:val="16"/>
        </w:rPr>
        <w:t>584.10  او نیرو را در مورد خطرات سوء مصرف مواد آموزش داد و به افزایش اعتماد به نفس و تغییر نگرش در داخل نیرو ادامه داد.</w:t>
      </w:r>
    </w:p>
    <w:p>
      <w:pPr>
        <w:spacing w:after="28" w:line="216" w:lineRule="auto"/>
        <w:ind w:left="259"/>
        <w:jc w:val="left"/>
      </w:pPr>
      <w:r>
        <w:rPr>
          <w:rFonts w:ascii="Arial" w:hAnsi="Arial"/>
          <w:color w:val="525252"/>
          <w:sz w:val="13"/>
        </w:rPr>
        <w:t>He educated the force on the hazards of substance abuse and continued to raise confidence and shift attitudes within the force.</w:t>
      </w:r>
    </w:p>
    <w:p>
      <w:pPr>
        <w:spacing w:after="20" w:line="223" w:lineRule="auto"/>
        <w:jc w:val="right"/>
        <w:bidi/>
      </w:pPr>
      <w:r>
        <w:rPr>
          <w:rFonts w:ascii="Arial" w:hAnsi="Arial"/>
          <w:sz w:val="16"/>
        </w:rPr>
        <w:t>584.11  او با ایمن سازی خط‌مشی ای شناخته می‌شود که به هوانوردان ارشد اجازه می‌داد تا خانواده‌های خود را با هزینه‌های دولتی در طول جابجایی دائمی ایستگاه‌ها، گامی محکم در جهت بهبود کیفیت زندگی جابجا کنند.</w:t>
      </w:r>
    </w:p>
    <w:p>
      <w:pPr>
        <w:spacing w:after="28" w:line="216" w:lineRule="auto"/>
        <w:ind w:left="259"/>
        <w:jc w:val="left"/>
      </w:pPr>
      <w:r>
        <w:rPr>
          <w:rFonts w:ascii="Arial" w:hAnsi="Arial"/>
          <w:color w:val="525252"/>
          <w:sz w:val="13"/>
        </w:rPr>
        <w:t>He is credited with securing a policy that allowed Senior Airmen to transport their families at government expense during permanent change of station moves, a solid step toward improving quality of life.</w:t>
      </w:r>
    </w:p>
    <w:p>
      <w:pPr>
        <w:spacing w:after="20" w:line="223" w:lineRule="auto"/>
        <w:jc w:val="right"/>
        <w:bidi/>
      </w:pPr>
      <w:r>
        <w:rPr>
          <w:rFonts w:ascii="Arial" w:hAnsi="Arial"/>
          <w:sz w:val="16"/>
        </w:rPr>
        <w:t>584.12  او این نیرو را برای از بین بردن کلیشه‌ها و تعصبات علیه فرصت‌های برابر برای اقلیت‌ها و زنان آموزش داد.</w:t>
      </w:r>
    </w:p>
    <w:p>
      <w:pPr>
        <w:spacing w:after="28" w:line="216" w:lineRule="auto"/>
        <w:ind w:left="259"/>
        <w:jc w:val="left"/>
      </w:pPr>
      <w:r>
        <w:rPr>
          <w:rFonts w:ascii="Arial" w:hAnsi="Arial"/>
          <w:color w:val="525252"/>
          <w:sz w:val="13"/>
        </w:rPr>
        <w:t>He educated the force in order to eliminate the stereotypes and prejudices working against equal opportunities for minorities and women.</w:t>
      </w:r>
    </w:p>
    <w:p>
      <w:pPr>
        <w:spacing w:after="20" w:line="223" w:lineRule="auto"/>
        <w:jc w:val="right"/>
        <w:bidi/>
      </w:pPr>
      <w:r>
        <w:rPr>
          <w:rFonts w:ascii="Arial" w:hAnsi="Arial"/>
          <w:sz w:val="16"/>
        </w:rPr>
        <w:t>584.13  سرانجام، گیلر رهبری را ارتقا داد.</w:t>
      </w:r>
    </w:p>
    <w:p>
      <w:pPr>
        <w:spacing w:after="28" w:line="216" w:lineRule="auto"/>
        <w:ind w:left="259"/>
        <w:jc w:val="left"/>
      </w:pPr>
      <w:r>
        <w:rPr>
          <w:rFonts w:ascii="Arial" w:hAnsi="Arial"/>
          <w:color w:val="525252"/>
          <w:sz w:val="13"/>
        </w:rPr>
        <w:t>Finally, Gaylor promoted leadership.</w:t>
      </w:r>
    </w:p>
    <w:p>
      <w:pPr>
        <w:spacing w:after="20" w:line="223" w:lineRule="auto"/>
        <w:jc w:val="right"/>
        <w:bidi/>
      </w:pPr>
      <w:r>
        <w:rPr>
          <w:rFonts w:ascii="Arial" w:hAnsi="Arial"/>
          <w:sz w:val="16"/>
        </w:rPr>
        <w:t>584.14  او سفرهای زیادی کرد و با هوانوردان درباره افتخار کردن به حرفه نظامی خود صحبت کرد.</w:t>
      </w:r>
    </w:p>
    <w:p>
      <w:pPr>
        <w:spacing w:after="28" w:line="216" w:lineRule="auto"/>
        <w:ind w:left="259"/>
        <w:jc w:val="left"/>
      </w:pPr>
      <w:r>
        <w:rPr>
          <w:rFonts w:ascii="Arial" w:hAnsi="Arial"/>
          <w:color w:val="525252"/>
          <w:sz w:val="13"/>
        </w:rPr>
        <w:t>He traveled extensively, talking to Airmen about taking pride in their military careers.</w:t>
      </w:r>
    </w:p>
    <w:p>
      <w:pPr>
        <w:spacing w:after="20" w:line="223" w:lineRule="auto"/>
        <w:jc w:val="right"/>
        <w:bidi/>
      </w:pPr>
      <w:r>
        <w:rPr>
          <w:rFonts w:ascii="Arial" w:hAnsi="Arial"/>
          <w:sz w:val="16"/>
        </w:rPr>
        <w:t>584.15  او معتقد است یکی از مهم‌ترین نقش‌هایی که CMSAF سابق می‌تواند ایفا کند، پیوند بین نیروی هوایی ایالات متحده در گذشته و خدمات امروزی است.</w:t>
      </w:r>
    </w:p>
    <w:p>
      <w:pPr>
        <w:spacing w:after="28" w:line="216" w:lineRule="auto"/>
        <w:ind w:left="259"/>
        <w:jc w:val="left"/>
      </w:pPr>
      <w:r>
        <w:rPr>
          <w:rFonts w:ascii="Arial" w:hAnsi="Arial"/>
          <w:color w:val="525252"/>
          <w:sz w:val="13"/>
        </w:rPr>
        <w:t>He believes one of the most important roles a former CMSAF can play is that of a link between the United States Air Force of the past and today’s service.</w:t>
      </w:r>
    </w:p>
    <w:p>
      <w:pPr>
        <w:spacing w:after="20" w:line="223" w:lineRule="auto"/>
        <w:jc w:val="right"/>
        <w:bidi/>
      </w:pPr>
      <w:r>
        <w:rPr>
          <w:rFonts w:ascii="Arial" w:hAnsi="Arial"/>
          <w:sz w:val="16"/>
        </w:rPr>
        <w:t>584.16  گایلور به ملاقات و خدمت به نیروهای هوایی ادامه می‌دهد و هر سال بیش از ۴۰ بازدید از پایگاه نیروی هوایی انجام می‌دهد.</w:t>
      </w:r>
    </w:p>
    <w:p>
      <w:pPr>
        <w:spacing w:after="28" w:line="216" w:lineRule="auto"/>
        <w:ind w:left="259"/>
        <w:jc w:val="left"/>
      </w:pPr>
      <w:r>
        <w:rPr>
          <w:rFonts w:ascii="Arial" w:hAnsi="Arial"/>
          <w:color w:val="525252"/>
          <w:sz w:val="13"/>
        </w:rPr>
        <w:t>Gaylor continues to meet and serve Airmen, conducting more than 40 Air Force base visits each year.</w:t>
      </w:r>
    </w:p>
    <w:p>
      <w:pPr>
        <w:spacing w:after="20" w:line="223" w:lineRule="auto"/>
        <w:jc w:val="right"/>
        <w:bidi/>
      </w:pPr>
      <w:r>
        <w:rPr>
          <w:rFonts w:ascii="Arial" w:hAnsi="Arial"/>
          <w:sz w:val="16"/>
        </w:rPr>
        <w:t>584.17  CMSAF گایلور در سال ۲۰۲۴ درگذشت.</w:t>
      </w:r>
    </w:p>
    <w:p>
      <w:pPr>
        <w:spacing w:after="28" w:line="216" w:lineRule="auto"/>
        <w:ind w:left="259"/>
        <w:jc w:val="left"/>
      </w:pPr>
      <w:r>
        <w:rPr>
          <w:rFonts w:ascii="Arial" w:hAnsi="Arial"/>
          <w:color w:val="525252"/>
          <w:sz w:val="13"/>
        </w:rPr>
        <w:t>CMSAF Gaylor died in 2024.</w:t>
      </w:r>
    </w:p>
    <w:p>
      <w:r>
        <w:br w:type="page"/>
      </w:r>
    </w:p>
    <w:p>
      <w:pPr>
        <w:spacing w:after="60"/>
        <w:jc w:val="right"/>
        <w:bidi/>
      </w:pPr>
      <w:r>
        <w:rPr>
          <w:rFonts w:ascii="Arial" w:hAnsi="Arial"/>
          <w:b/>
          <w:color w:val="1F4D78"/>
          <w:sz w:val="19"/>
        </w:rPr>
        <w:t>هفتهٔ 585  |  صفحهٔ منبع: 602</w:t>
      </w:r>
    </w:p>
    <w:p>
      <w:pPr>
        <w:spacing w:after="20" w:line="223" w:lineRule="auto"/>
        <w:jc w:val="right"/>
        <w:bidi/>
      </w:pPr>
      <w:r>
        <w:rPr>
          <w:rFonts w:ascii="Arial" w:hAnsi="Arial"/>
          <w:sz w:val="16"/>
        </w:rPr>
        <w:t>585.01  ششمین سرگروهبان ارشد CMSAF نیروی هوایی جیمز ام. مک کوی جیمز ام. مک کوی در غرب میانه بزرگ شد و در دبیرستان در آچیسون، کانزاس و کالج در سنت.</w:t>
      </w:r>
    </w:p>
    <w:p>
      <w:pPr>
        <w:spacing w:after="28" w:line="216" w:lineRule="auto"/>
        <w:ind w:left="259"/>
        <w:jc w:val="left"/>
      </w:pPr>
      <w:r>
        <w:rPr>
          <w:rFonts w:ascii="Arial" w:hAnsi="Arial"/>
          <w:color w:val="525252"/>
          <w:sz w:val="13"/>
        </w:rPr>
        <w:t>Sixth Chief Master Sergeant of the Air Force CMSAF James M. McCoy James M. McCoy was raised in the midwest, attending high school in Atchison, Kansas, and college at St.</w:t>
      </w:r>
    </w:p>
    <w:p>
      <w:pPr>
        <w:spacing w:after="20" w:line="223" w:lineRule="auto"/>
        <w:jc w:val="right"/>
        <w:bidi/>
      </w:pPr>
      <w:r>
        <w:rPr>
          <w:rFonts w:ascii="Arial" w:hAnsi="Arial"/>
          <w:sz w:val="16"/>
        </w:rPr>
        <w:t>585.02  کالج بندیکتز در آچیسون و سنت.</w:t>
      </w:r>
    </w:p>
    <w:p>
      <w:pPr>
        <w:spacing w:after="28" w:line="216" w:lineRule="auto"/>
        <w:ind w:left="259"/>
        <w:jc w:val="left"/>
      </w:pPr>
      <w:r>
        <w:rPr>
          <w:rFonts w:ascii="Arial" w:hAnsi="Arial"/>
          <w:color w:val="525252"/>
          <w:sz w:val="13"/>
        </w:rPr>
        <w:t>Benedicts College in Atchison and St.</w:t>
      </w:r>
    </w:p>
    <w:p>
      <w:pPr>
        <w:spacing w:after="20" w:line="223" w:lineRule="auto"/>
        <w:jc w:val="right"/>
        <w:bidi/>
      </w:pPr>
      <w:r>
        <w:rPr>
          <w:rFonts w:ascii="Arial" w:hAnsi="Arial"/>
          <w:sz w:val="16"/>
        </w:rPr>
        <w:t>585.03  کالج آمبروز در داونپورت، آیووا.</w:t>
      </w:r>
    </w:p>
    <w:p>
      <w:pPr>
        <w:spacing w:after="28" w:line="216" w:lineRule="auto"/>
        <w:ind w:left="259"/>
        <w:jc w:val="left"/>
      </w:pPr>
      <w:r>
        <w:rPr>
          <w:rFonts w:ascii="Arial" w:hAnsi="Arial"/>
          <w:color w:val="525252"/>
          <w:sz w:val="13"/>
        </w:rPr>
        <w:t>Ambrose College in Davenport, Iowa.</w:t>
      </w:r>
    </w:p>
    <w:p>
      <w:pPr>
        <w:spacing w:after="20" w:line="223" w:lineRule="auto"/>
        <w:jc w:val="right"/>
        <w:bidi/>
      </w:pPr>
      <w:r>
        <w:rPr>
          <w:rFonts w:ascii="Arial" w:hAnsi="Arial"/>
          <w:sz w:val="16"/>
        </w:rPr>
        <w:t>585.04  او به‌طور جدی به شغل کشیش فکر کرد، اما در سال ۱۹۵۱، در اوج جنگ کره، به‌عنوان اپراتور رادار در نیروی هوایی ایالات متحده آمریکا نام نویسی کرد.</w:t>
      </w:r>
    </w:p>
    <w:p>
      <w:pPr>
        <w:spacing w:after="28" w:line="216" w:lineRule="auto"/>
        <w:ind w:left="259"/>
        <w:jc w:val="left"/>
      </w:pPr>
      <w:r>
        <w:rPr>
          <w:rFonts w:ascii="Arial" w:hAnsi="Arial"/>
          <w:color w:val="525252"/>
          <w:sz w:val="13"/>
        </w:rPr>
        <w:t>He seriously considered a vocation in the priesthood, but in 1951, during the height of the Korean War, he enlisted in the USAF as a radar operator.</w:t>
      </w:r>
    </w:p>
    <w:p>
      <w:pPr>
        <w:spacing w:after="20" w:line="223" w:lineRule="auto"/>
        <w:jc w:val="right"/>
        <w:bidi/>
      </w:pPr>
      <w:r>
        <w:rPr>
          <w:rFonts w:ascii="Arial" w:hAnsi="Arial"/>
          <w:sz w:val="16"/>
        </w:rPr>
        <w:t>585.05  وقتی جنگ تمام شد، نیروی هوایی اپراتورهای زیادی داشت و به مربیان آموزش نظامی نیاز داشت.</w:t>
      </w:r>
    </w:p>
    <w:p>
      <w:pPr>
        <w:spacing w:after="28" w:line="216" w:lineRule="auto"/>
        <w:ind w:left="259"/>
        <w:jc w:val="left"/>
      </w:pPr>
      <w:r>
        <w:rPr>
          <w:rFonts w:ascii="Arial" w:hAnsi="Arial"/>
          <w:color w:val="525252"/>
          <w:sz w:val="13"/>
        </w:rPr>
        <w:t>When the war ended, the Air Force had too many operators and needed military training instructors.</w:t>
      </w:r>
    </w:p>
    <w:p>
      <w:pPr>
        <w:spacing w:after="20" w:line="223" w:lineRule="auto"/>
        <w:jc w:val="right"/>
        <w:bidi/>
      </w:pPr>
      <w:r>
        <w:rPr>
          <w:rFonts w:ascii="Arial" w:hAnsi="Arial"/>
          <w:sz w:val="16"/>
        </w:rPr>
        <w:t>585.06  مک کوی داوطلب شد، و با تنها ۶ سال تجربه رگاف، خود را مسئول پنج گروه از مربیان آموزشی یافت.</w:t>
      </w:r>
    </w:p>
    <w:p>
      <w:pPr>
        <w:spacing w:after="28" w:line="216" w:lineRule="auto"/>
        <w:ind w:left="259"/>
        <w:jc w:val="left"/>
      </w:pPr>
      <w:r>
        <w:rPr>
          <w:rFonts w:ascii="Arial" w:hAnsi="Arial"/>
          <w:color w:val="525252"/>
          <w:sz w:val="13"/>
        </w:rPr>
        <w:t>McCoy volunteered, and with only 6 years of RegAF experience, found himself in charge of five groups of training instructors.</w:t>
      </w:r>
    </w:p>
    <w:p>
      <w:pPr>
        <w:spacing w:after="20" w:line="223" w:lineRule="auto"/>
        <w:jc w:val="right"/>
        <w:bidi/>
      </w:pPr>
      <w:r>
        <w:rPr>
          <w:rFonts w:ascii="Arial" w:hAnsi="Arial"/>
          <w:sz w:val="16"/>
        </w:rPr>
        <w:t>585.07  او به کار در PME ادامه داد و به‌عنوان فرمانده مدرسه مقدماتی درجه افسران و به‌عنوان مربی آکادمی NCO قبل از بازگشت به حوزه آموزش پرسنل در سال ۱۹۷۳ خدمت کرد.</w:t>
      </w:r>
    </w:p>
    <w:p>
      <w:pPr>
        <w:spacing w:after="28" w:line="216" w:lineRule="auto"/>
        <w:ind w:left="259"/>
        <w:jc w:val="left"/>
      </w:pPr>
      <w:r>
        <w:rPr>
          <w:rFonts w:ascii="Arial" w:hAnsi="Arial"/>
          <w:color w:val="525252"/>
          <w:sz w:val="13"/>
        </w:rPr>
        <w:t>He continued working in PME, serving as NCO preparatory school commandant and as an NCO academy instructor before returning to the personnel training field in 1973.</w:t>
      </w:r>
    </w:p>
    <w:p>
      <w:pPr>
        <w:spacing w:after="20" w:line="223" w:lineRule="auto"/>
        <w:jc w:val="right"/>
        <w:bidi/>
      </w:pPr>
      <w:r>
        <w:rPr>
          <w:rFonts w:ascii="Arial" w:hAnsi="Arial"/>
          <w:sz w:val="16"/>
        </w:rPr>
        <w:t>585.08  یک سال بعد او به‌عنوان یکی از ۱۲ نیروی هوایی ایالات متحده CMSAF جامس م. مککوی برترین هواپیمای سال انتخاب شد.</w:t>
      </w:r>
    </w:p>
    <w:p>
      <w:pPr>
        <w:spacing w:after="28" w:line="216" w:lineRule="auto"/>
        <w:ind w:left="259"/>
        <w:jc w:val="left"/>
      </w:pPr>
      <w:r>
        <w:rPr>
          <w:rFonts w:ascii="Arial" w:hAnsi="Arial"/>
          <w:color w:val="525252"/>
          <w:sz w:val="13"/>
        </w:rPr>
        <w:t>A year later he was selected as one of the United States Air Force’s 12 CMSAF James M. McCoy Outstanding Airmen of the Year.</w:t>
      </w:r>
    </w:p>
    <w:p>
      <w:pPr>
        <w:spacing w:after="20" w:line="223" w:lineRule="auto"/>
        <w:jc w:val="right"/>
        <w:bidi/>
      </w:pPr>
      <w:r>
        <w:rPr>
          <w:rFonts w:ascii="Arial" w:hAnsi="Arial"/>
          <w:sz w:val="16"/>
        </w:rPr>
        <w:t>585.09  سپس اوت ۱۹۷۹ - ژوئیه ۱۹۸۱ اولین مشاور ارشد فرماندهی نیروی هوایی استراتژیک شد.</w:t>
      </w:r>
    </w:p>
    <w:p>
      <w:pPr>
        <w:spacing w:after="28" w:line="216" w:lineRule="auto"/>
        <w:ind w:left="259"/>
        <w:jc w:val="left"/>
      </w:pPr>
      <w:r>
        <w:rPr>
          <w:rFonts w:ascii="Arial" w:hAnsi="Arial"/>
          <w:color w:val="525252"/>
          <w:sz w:val="13"/>
        </w:rPr>
        <w:t>He then became Strategic Air August 1979 - July 1981 Command’s first senior enlisted advisor.</w:t>
      </w:r>
    </w:p>
    <w:p>
      <w:pPr>
        <w:spacing w:after="20" w:line="223" w:lineRule="auto"/>
        <w:jc w:val="right"/>
        <w:bidi/>
      </w:pPr>
      <w:r>
        <w:rPr>
          <w:rFonts w:ascii="Arial" w:hAnsi="Arial"/>
          <w:sz w:val="16"/>
        </w:rPr>
        <w:t>585.10  زمانی که مک کوی در آنجا بود، یکی از اعضای گروه بهبود مدیریت نیروی هوایی به ریاست CMSAF بارنز بود که در مورد مسائل مدیریتی و راه حل‌های پیشنهادی بحث می‌کرد.</w:t>
      </w:r>
    </w:p>
    <w:p>
      <w:pPr>
        <w:spacing w:after="28" w:line="216" w:lineRule="auto"/>
        <w:ind w:left="259"/>
        <w:jc w:val="left"/>
      </w:pPr>
      <w:r>
        <w:rPr>
          <w:rFonts w:ascii="Arial" w:hAnsi="Arial"/>
          <w:color w:val="525252"/>
          <w:sz w:val="13"/>
        </w:rPr>
        <w:t>While there, McCoy was a member of the Air Force Management Improvement Group, chaired by CMSAF Barnes, which discussed management issues and proposed solutions.</w:t>
      </w:r>
    </w:p>
    <w:p>
      <w:pPr>
        <w:spacing w:after="20" w:line="223" w:lineRule="auto"/>
        <w:jc w:val="right"/>
        <w:bidi/>
      </w:pPr>
      <w:r>
        <w:rPr>
          <w:rFonts w:ascii="Arial" w:hAnsi="Arial"/>
          <w:sz w:val="16"/>
        </w:rPr>
        <w:t>585.11  در نتیجه، PME فهرست شده به پنج مرحله گسترش یافت.</w:t>
      </w:r>
    </w:p>
    <w:p>
      <w:pPr>
        <w:spacing w:after="28" w:line="216" w:lineRule="auto"/>
        <w:ind w:left="259"/>
        <w:jc w:val="left"/>
      </w:pPr>
      <w:r>
        <w:rPr>
          <w:rFonts w:ascii="Arial" w:hAnsi="Arial"/>
          <w:color w:val="525252"/>
          <w:sz w:val="13"/>
        </w:rPr>
        <w:t>As a result, enlisted PME expanded into five phases.</w:t>
      </w:r>
    </w:p>
    <w:p>
      <w:pPr>
        <w:spacing w:after="20" w:line="223" w:lineRule="auto"/>
        <w:jc w:val="right"/>
        <w:bidi/>
      </w:pPr>
      <w:r>
        <w:rPr>
          <w:rFonts w:ascii="Arial" w:hAnsi="Arial"/>
          <w:sz w:val="16"/>
        </w:rPr>
        <w:t>585.12  با توجه به اینکه افکار عمومی هنوز دخالت نظامی در ویتنام را زیر سوال می‌برد، نیروی هوایی کمترین سال استخدام را تجربه می‌کرد. زمانی که CMSAF مککوی روی کار آمد، نرخ ابقا نیز در حال کاهش بود.</w:t>
      </w:r>
    </w:p>
    <w:p>
      <w:pPr>
        <w:spacing w:after="28" w:line="216" w:lineRule="auto"/>
        <w:ind w:left="259"/>
        <w:jc w:val="left"/>
      </w:pPr>
      <w:r>
        <w:rPr>
          <w:rFonts w:ascii="Arial" w:hAnsi="Arial"/>
          <w:color w:val="525252"/>
          <w:sz w:val="13"/>
        </w:rPr>
        <w:t>With the public still questioning military involvement in Vietnam, the Air Force was experiencing the lowest recruiting year ever; retention rates were also dropping when CMSAF McCoy took office.</w:t>
      </w:r>
    </w:p>
    <w:p>
      <w:pPr>
        <w:spacing w:after="20" w:line="223" w:lineRule="auto"/>
        <w:jc w:val="right"/>
        <w:bidi/>
      </w:pPr>
      <w:r>
        <w:rPr>
          <w:rFonts w:ascii="Arial" w:hAnsi="Arial"/>
          <w:sz w:val="16"/>
        </w:rPr>
        <w:t>585.13  اولین چالش او بهبود این اعداد بود.</w:t>
      </w:r>
    </w:p>
    <w:p>
      <w:pPr>
        <w:spacing w:after="28" w:line="216" w:lineRule="auto"/>
        <w:ind w:left="259"/>
        <w:jc w:val="left"/>
      </w:pPr>
      <w:r>
        <w:rPr>
          <w:rFonts w:ascii="Arial" w:hAnsi="Arial"/>
          <w:color w:val="525252"/>
          <w:sz w:val="13"/>
        </w:rPr>
        <w:t>His first challenge was to improve those numbers.</w:t>
      </w:r>
    </w:p>
    <w:p>
      <w:pPr>
        <w:spacing w:after="20" w:line="223" w:lineRule="auto"/>
        <w:jc w:val="right"/>
        <w:bidi/>
      </w:pPr>
      <w:r>
        <w:rPr>
          <w:rFonts w:ascii="Arial" w:hAnsi="Arial"/>
          <w:sz w:val="16"/>
        </w:rPr>
        <w:t>585.14  در اواخر سال ۱۹۷۹، همراه با کیسلینگ سابق CMSAF، در مقابل کنگره شهادت داد که مردم دوباره در نیروی هوایی ثبت‌نام نمی‌کردند، زیرا نمی‌توانستند با دستمزد سربازی مخارج زندگی خود را تأمین کنند.</w:t>
      </w:r>
    </w:p>
    <w:p>
      <w:pPr>
        <w:spacing w:after="28" w:line="216" w:lineRule="auto"/>
        <w:ind w:left="259"/>
        <w:jc w:val="left"/>
      </w:pPr>
      <w:r>
        <w:rPr>
          <w:rFonts w:ascii="Arial" w:hAnsi="Arial"/>
          <w:color w:val="525252"/>
          <w:sz w:val="13"/>
        </w:rPr>
        <w:t>In late 1979, along with former CMSAF Kisling, he testified before Congress that people were not reenlisting in the Air Force because they could not make ends meet on enlisted pay.</w:t>
      </w:r>
    </w:p>
    <w:p>
      <w:pPr>
        <w:spacing w:after="20" w:line="223" w:lineRule="auto"/>
        <w:jc w:val="right"/>
        <w:bidi/>
      </w:pPr>
      <w:r>
        <w:rPr>
          <w:rFonts w:ascii="Arial" w:hAnsi="Arial"/>
          <w:sz w:val="16"/>
        </w:rPr>
        <w:t>585.15  مک کوی با استخدام کنندگان کار کرد تا افراد مناسب را در نیروی هوایی به دست آورد و به دنبال بهبود سیستم PME از آموزش ابتدایی به سطح درجه افسر و درجه افسر ارشد بود.</w:t>
      </w:r>
    </w:p>
    <w:p>
      <w:pPr>
        <w:spacing w:after="28" w:line="216" w:lineRule="auto"/>
        <w:ind w:left="259"/>
        <w:jc w:val="left"/>
      </w:pPr>
      <w:r>
        <w:rPr>
          <w:rFonts w:ascii="Arial" w:hAnsi="Arial"/>
          <w:color w:val="525252"/>
          <w:sz w:val="13"/>
        </w:rPr>
        <w:t>McCoy worked with recruiters to get the right people in the Air Force and sought to improve the PME system from basic training to the NCO and senior NCO level.</w:t>
      </w:r>
    </w:p>
    <w:p>
      <w:pPr>
        <w:spacing w:after="20" w:line="223" w:lineRule="auto"/>
        <w:jc w:val="right"/>
        <w:bidi/>
      </w:pPr>
      <w:r>
        <w:rPr>
          <w:rFonts w:ascii="Arial" w:hAnsi="Arial"/>
          <w:sz w:val="16"/>
        </w:rPr>
        <w:t>585.16  در طول تور او به‌عنوان CMSAF، برنامه ستریپس فور کسکپتیونال پرفورمرس به ​​منظور ایجاد انگیزه و گزینه ارتقاء جایگزین برای اعضای ثبت‌نام شده، راه‌اندازی شد.</w:t>
      </w:r>
    </w:p>
    <w:p>
      <w:pPr>
        <w:spacing w:after="28" w:line="216" w:lineRule="auto"/>
        <w:ind w:left="259"/>
        <w:jc w:val="left"/>
      </w:pPr>
      <w:r>
        <w:rPr>
          <w:rFonts w:ascii="Arial" w:hAnsi="Arial"/>
          <w:color w:val="525252"/>
          <w:sz w:val="13"/>
        </w:rPr>
        <w:t>During his tour as CMSAF, the Stripes for Exceptional Performers Program was instituted to provide incentive and an alternate promotion option for enlisted members.</w:t>
      </w:r>
    </w:p>
    <w:p>
      <w:pPr>
        <w:spacing w:after="20" w:line="223" w:lineRule="auto"/>
        <w:jc w:val="right"/>
        <w:bidi/>
      </w:pPr>
      <w:r>
        <w:rPr>
          <w:rFonts w:ascii="Arial" w:hAnsi="Arial"/>
          <w:sz w:val="16"/>
        </w:rPr>
        <w:t>585.17  علاوه بر بازدید از نیروهای هوایی، او برای همکاری با کارکنان پنتاگون ارزش زیادی قائل بود.</w:t>
      </w:r>
    </w:p>
    <w:p>
      <w:pPr>
        <w:spacing w:after="28" w:line="216" w:lineRule="auto"/>
        <w:ind w:left="259"/>
        <w:jc w:val="left"/>
      </w:pPr>
      <w:r>
        <w:rPr>
          <w:rFonts w:ascii="Arial" w:hAnsi="Arial"/>
          <w:color w:val="525252"/>
          <w:sz w:val="13"/>
        </w:rPr>
        <w:t>In addition to visiting Airmen, he placed great value on being involved with the Pentagon staff.</w:t>
      </w:r>
    </w:p>
    <w:p>
      <w:pPr>
        <w:spacing w:after="20" w:line="223" w:lineRule="auto"/>
        <w:jc w:val="right"/>
        <w:bidi/>
      </w:pPr>
      <w:r>
        <w:rPr>
          <w:rFonts w:ascii="Arial" w:hAnsi="Arial"/>
          <w:sz w:val="16"/>
        </w:rPr>
        <w:t>585.18  او فهرست هیئت‌ها و کنفرانس‌هایی را گسترش داد که معتقد بود CMSAF باید در آنها نقش داشته باشد.</w:t>
      </w:r>
    </w:p>
    <w:p>
      <w:pPr>
        <w:spacing w:after="28" w:line="216" w:lineRule="auto"/>
        <w:ind w:left="259"/>
        <w:jc w:val="left"/>
      </w:pPr>
      <w:r>
        <w:rPr>
          <w:rFonts w:ascii="Arial" w:hAnsi="Arial"/>
          <w:color w:val="525252"/>
          <w:sz w:val="13"/>
        </w:rPr>
        <w:t>He expanded the list of boards and conferences where he believed the CMSAF should have a role.</w:t>
      </w:r>
    </w:p>
    <w:p>
      <w:pPr>
        <w:spacing w:after="20" w:line="223" w:lineRule="auto"/>
        <w:jc w:val="right"/>
        <w:bidi/>
      </w:pPr>
      <w:r>
        <w:rPr>
          <w:rFonts w:ascii="Arial" w:hAnsi="Arial"/>
          <w:sz w:val="16"/>
        </w:rPr>
        <w:t>585.19  در دوران بازنشستگی، مک‌کوی در خط مقدم مسائل نیروی هوایی باقی می‌ماند، زیرا در سمت‌های رهبری با سازمان‌های حرفه‌ای نیروی هوایی خدمت کرده و در سرتاسر نیرو با نیروهای هوایی صحبت کرده است.</w:t>
      </w:r>
    </w:p>
    <w:p>
      <w:pPr>
        <w:spacing w:after="28" w:line="216" w:lineRule="auto"/>
        <w:ind w:left="259"/>
        <w:jc w:val="left"/>
      </w:pPr>
      <w:r>
        <w:rPr>
          <w:rFonts w:ascii="Arial" w:hAnsi="Arial"/>
          <w:color w:val="525252"/>
          <w:sz w:val="13"/>
        </w:rPr>
        <w:t>In retirement, McCoy remains at the forefront of Air Force issues, having served in leadership positions with Air Force professional organizations and speaking to Airmen throughout the force.</w:t>
      </w:r>
    </w:p>
    <w:p>
      <w:r>
        <w:br w:type="page"/>
      </w:r>
    </w:p>
    <w:p>
      <w:pPr>
        <w:spacing w:after="60"/>
        <w:jc w:val="right"/>
        <w:bidi/>
      </w:pPr>
      <w:r>
        <w:rPr>
          <w:rFonts w:ascii="Arial" w:hAnsi="Arial"/>
          <w:b/>
          <w:color w:val="1F4D78"/>
          <w:sz w:val="19"/>
        </w:rPr>
        <w:t>هفتهٔ 586  |  صفحهٔ منبع: 603</w:t>
      </w:r>
    </w:p>
    <w:p>
      <w:pPr>
        <w:spacing w:after="20" w:line="223" w:lineRule="auto"/>
        <w:jc w:val="right"/>
        <w:bidi/>
      </w:pPr>
      <w:r>
        <w:rPr>
          <w:rFonts w:ascii="Arial" w:hAnsi="Arial"/>
          <w:sz w:val="16"/>
        </w:rPr>
        <w:t>586.01  هفتمین سرگروهبان ارشد CMSAF نیروی هوایی آرتور ال. اندروز در ژانویه ۱۹۵۳، به دلیل حس میهن پرستی و میل به رشد و توسعه، آرتور "باد" ال. اندروز در نیروی هوایی ثبت‌نام کرد.</w:t>
      </w:r>
    </w:p>
    <w:p>
      <w:pPr>
        <w:spacing w:after="28" w:line="216" w:lineRule="auto"/>
        <w:ind w:left="259"/>
        <w:jc w:val="left"/>
      </w:pPr>
      <w:r>
        <w:rPr>
          <w:rFonts w:ascii="Arial" w:hAnsi="Arial"/>
          <w:color w:val="525252"/>
          <w:sz w:val="13"/>
        </w:rPr>
        <w:t>Seventh Chief Master Sergeant of the Air Force CMSAF Arthur L. Andrews In January 1953, out of a sense of patriotism and a desire to grow and develop, Arthur "Bud" L. Andrews enlisted in the Air Force.</w:t>
      </w:r>
    </w:p>
    <w:p>
      <w:pPr>
        <w:spacing w:after="20" w:line="223" w:lineRule="auto"/>
        <w:jc w:val="right"/>
        <w:bidi/>
      </w:pPr>
      <w:r>
        <w:rPr>
          <w:rFonts w:ascii="Arial" w:hAnsi="Arial"/>
          <w:sz w:val="16"/>
        </w:rPr>
        <w:t>586.02  در طول آموزش اولیه، مربی آموزشی او از داوطلبانی خواست تا به‌عنوان AP خدمت کنند.</w:t>
      </w:r>
    </w:p>
    <w:p>
      <w:pPr>
        <w:spacing w:after="28" w:line="216" w:lineRule="auto"/>
        <w:ind w:left="259"/>
        <w:jc w:val="left"/>
      </w:pPr>
      <w:r>
        <w:rPr>
          <w:rFonts w:ascii="Arial" w:hAnsi="Arial"/>
          <w:color w:val="525252"/>
          <w:sz w:val="13"/>
        </w:rPr>
        <w:t>During basic training, his training instructor asked for volunteers to serve as APs.</w:t>
      </w:r>
    </w:p>
    <w:p>
      <w:pPr>
        <w:spacing w:after="20" w:line="223" w:lineRule="auto"/>
        <w:jc w:val="right"/>
        <w:bidi/>
      </w:pPr>
      <w:r>
        <w:rPr>
          <w:rFonts w:ascii="Arial" w:hAnsi="Arial"/>
          <w:sz w:val="16"/>
        </w:rPr>
        <w:t>586.03  اندروز دستش را بلند کرد، فکر می‌کرد AP به معنای "پلیس هوایی" است.</w:t>
      </w:r>
    </w:p>
    <w:p>
      <w:pPr>
        <w:spacing w:after="28" w:line="216" w:lineRule="auto"/>
        <w:ind w:left="259"/>
        <w:jc w:val="left"/>
      </w:pPr>
      <w:r>
        <w:rPr>
          <w:rFonts w:ascii="Arial" w:hAnsi="Arial"/>
          <w:color w:val="525252"/>
          <w:sz w:val="13"/>
        </w:rPr>
        <w:t>Thinking AP meant “air police,” Andrews raised his hand.</w:t>
      </w:r>
    </w:p>
    <w:p>
      <w:pPr>
        <w:spacing w:after="20" w:line="223" w:lineRule="auto"/>
        <w:jc w:val="right"/>
        <w:bidi/>
      </w:pPr>
      <w:r>
        <w:rPr>
          <w:rFonts w:ascii="Arial" w:hAnsi="Arial"/>
          <w:sz w:val="16"/>
        </w:rPr>
        <w:t>586.04  همانطور که معلوم شد، مربی آموزشی پلیس منطقه را می‌خواست.</w:t>
      </w:r>
    </w:p>
    <w:p>
      <w:pPr>
        <w:spacing w:after="28" w:line="216" w:lineRule="auto"/>
        <w:ind w:left="259"/>
        <w:jc w:val="left"/>
      </w:pPr>
      <w:r>
        <w:rPr>
          <w:rFonts w:ascii="Arial" w:hAnsi="Arial"/>
          <w:color w:val="525252"/>
          <w:sz w:val="13"/>
        </w:rPr>
        <w:t>As it turned out, the training instructor wanted area policemen.</w:t>
      </w:r>
    </w:p>
    <w:p>
      <w:pPr>
        <w:spacing w:after="20" w:line="223" w:lineRule="auto"/>
        <w:jc w:val="right"/>
        <w:bidi/>
      </w:pPr>
      <w:r>
        <w:rPr>
          <w:rFonts w:ascii="Arial" w:hAnsi="Arial"/>
          <w:sz w:val="16"/>
        </w:rPr>
        <w:t>586.05  او ۳ ماه بعد را صرف برداشتن ته سیگار بیرون از پادگان کرد.</w:t>
      </w:r>
    </w:p>
    <w:p>
      <w:pPr>
        <w:spacing w:after="28" w:line="216" w:lineRule="auto"/>
        <w:ind w:left="259"/>
        <w:jc w:val="left"/>
      </w:pPr>
      <w:r>
        <w:rPr>
          <w:rFonts w:ascii="Arial" w:hAnsi="Arial"/>
          <w:color w:val="525252"/>
          <w:sz w:val="13"/>
        </w:rPr>
        <w:t>He spent the next 3 months picking up cigarette butts outside the barracks.</w:t>
      </w:r>
    </w:p>
    <w:p>
      <w:pPr>
        <w:spacing w:after="20" w:line="223" w:lineRule="auto"/>
        <w:jc w:val="right"/>
        <w:bidi/>
      </w:pPr>
      <w:r>
        <w:rPr>
          <w:rFonts w:ascii="Arial" w:hAnsi="Arial"/>
          <w:sz w:val="16"/>
        </w:rPr>
        <w:t>586.06  او سرانجام فرصتی پیدا کرد تا وارد نیروی پلیس نظامی شود، جایی که بیشتر ۱۴ سال بعد در آنجا خدمت کرد.</w:t>
      </w:r>
    </w:p>
    <w:p>
      <w:pPr>
        <w:spacing w:after="28" w:line="216" w:lineRule="auto"/>
        <w:ind w:left="259"/>
        <w:jc w:val="left"/>
      </w:pPr>
      <w:r>
        <w:rPr>
          <w:rFonts w:ascii="Arial" w:hAnsi="Arial"/>
          <w:color w:val="525252"/>
          <w:sz w:val="13"/>
        </w:rPr>
        <w:t>He eventually had an opportunity to enter the military police force, where he served most of the next 14 years.</w:t>
      </w:r>
    </w:p>
    <w:p>
      <w:pPr>
        <w:spacing w:after="20" w:line="223" w:lineRule="auto"/>
        <w:jc w:val="right"/>
        <w:bidi/>
      </w:pPr>
      <w:r>
        <w:rPr>
          <w:rFonts w:ascii="Arial" w:hAnsi="Arial"/>
          <w:sz w:val="16"/>
        </w:rPr>
        <w:t>586.07  در سال ۱۹۵۹، در حالی که به‌عنوان بازپرس کار می‌کرد، به اندروز در حل قتلی که توسط یک هواپیمای کلاس دوم انجام شده بود اعتبار داده شد.</w:t>
      </w:r>
    </w:p>
    <w:p>
      <w:pPr>
        <w:spacing w:after="28" w:line="216" w:lineRule="auto"/>
        <w:ind w:left="259"/>
        <w:jc w:val="left"/>
      </w:pPr>
      <w:r>
        <w:rPr>
          <w:rFonts w:ascii="Arial" w:hAnsi="Arial"/>
          <w:color w:val="525252"/>
          <w:sz w:val="13"/>
        </w:rPr>
        <w:t>In 1959, while working as an investigator, Andrews was credited with solving a murder committed by an Airman Second Class.</w:t>
      </w:r>
    </w:p>
    <w:p>
      <w:pPr>
        <w:spacing w:after="20" w:line="223" w:lineRule="auto"/>
        <w:jc w:val="right"/>
        <w:bidi/>
      </w:pPr>
      <w:r>
        <w:rPr>
          <w:rFonts w:ascii="Arial" w:hAnsi="Arial"/>
          <w:sz w:val="16"/>
        </w:rPr>
        <w:t>586.08  تا سال ۱۹۷۰، اندروز تورهایی را در مراکش، تایلند و ویتنام برگزار کرده بود. گروهبان اول CMSAF آرتور ال اندروز شد. و به درجه استاد ارشد اوت ۱۹۸۱ - جولای ۱۹۸۳ گروهبان ارتقا یافت.</w:t>
      </w:r>
    </w:p>
    <w:p>
      <w:pPr>
        <w:spacing w:after="28" w:line="216" w:lineRule="auto"/>
        <w:ind w:left="259"/>
        <w:jc w:val="left"/>
      </w:pPr>
      <w:r>
        <w:rPr>
          <w:rFonts w:ascii="Arial" w:hAnsi="Arial"/>
          <w:color w:val="525252"/>
          <w:sz w:val="13"/>
        </w:rPr>
        <w:t>By 1970, Andrews had served tours in Morocco, Thailand, and Vietnam; became a CMSAF Arthur L. Andrews first sergeant; and was promoted to the rank of Senior Master August 1981 - July 1983 Sergeant.</w:t>
      </w:r>
    </w:p>
    <w:p>
      <w:pPr>
        <w:spacing w:after="20" w:line="223" w:lineRule="auto"/>
        <w:jc w:val="right"/>
        <w:bidi/>
      </w:pPr>
      <w:r>
        <w:rPr>
          <w:rFonts w:ascii="Arial" w:hAnsi="Arial"/>
          <w:sz w:val="16"/>
        </w:rPr>
        <w:t>586.09  در طول حرفه خود یک دهه را به‌عنوان گروهبان یکم گذراند.</w:t>
      </w:r>
    </w:p>
    <w:p>
      <w:pPr>
        <w:spacing w:after="28" w:line="216" w:lineRule="auto"/>
        <w:ind w:left="259"/>
        <w:jc w:val="left"/>
      </w:pPr>
      <w:r>
        <w:rPr>
          <w:rFonts w:ascii="Arial" w:hAnsi="Arial"/>
          <w:color w:val="525252"/>
          <w:sz w:val="13"/>
        </w:rPr>
        <w:t>During his career he spent a decade as a first sergeant.</w:t>
      </w:r>
    </w:p>
    <w:p>
      <w:pPr>
        <w:spacing w:after="20" w:line="223" w:lineRule="auto"/>
        <w:jc w:val="right"/>
        <w:bidi/>
      </w:pPr>
      <w:r>
        <w:rPr>
          <w:rFonts w:ascii="Arial" w:hAnsi="Arial"/>
          <w:sz w:val="16"/>
        </w:rPr>
        <w:t>586.10  پس از تصدی پست جدید، اولویت اصلی CMSAF اندروز بازگشت به اصول اولیه است.</w:t>
      </w:r>
    </w:p>
    <w:p>
      <w:pPr>
        <w:spacing w:after="28" w:line="216" w:lineRule="auto"/>
        <w:ind w:left="259"/>
        <w:jc w:val="left"/>
      </w:pPr>
      <w:r>
        <w:rPr>
          <w:rFonts w:ascii="Arial" w:hAnsi="Arial"/>
          <w:color w:val="525252"/>
          <w:sz w:val="13"/>
        </w:rPr>
        <w:t>Upon assuming his new position, CMSAF Andrews’ top priority could be described as getting back to basics.</w:t>
      </w:r>
    </w:p>
    <w:p>
      <w:pPr>
        <w:spacing w:after="20" w:line="223" w:lineRule="auto"/>
        <w:jc w:val="right"/>
        <w:bidi/>
      </w:pPr>
      <w:r>
        <w:rPr>
          <w:rFonts w:ascii="Arial" w:hAnsi="Arial"/>
          <w:sz w:val="16"/>
        </w:rPr>
        <w:t>586.11  او معتقد بود که آزاردهنده‌ترین مشکلات (مانند شرایط پرداخت، مزایا، استخدام و نگهداری) برطرف شده‌اند و برای رفع نیازهای نیروهای هوایی در حال تکامل هستند.</w:t>
      </w:r>
    </w:p>
    <w:p>
      <w:pPr>
        <w:spacing w:after="28" w:line="216" w:lineRule="auto"/>
        <w:ind w:left="259"/>
        <w:jc w:val="left"/>
      </w:pPr>
      <w:r>
        <w:rPr>
          <w:rFonts w:ascii="Arial" w:hAnsi="Arial"/>
          <w:color w:val="525252"/>
          <w:sz w:val="13"/>
        </w:rPr>
        <w:t>He believed the most vexing problems (such as terms of pay, benefits, recruitment, and retention) had been addressed and were evolving to meet Airmen’s needs.</w:t>
      </w:r>
    </w:p>
    <w:p>
      <w:pPr>
        <w:spacing w:after="20" w:line="223" w:lineRule="auto"/>
        <w:jc w:val="right"/>
        <w:bidi/>
      </w:pPr>
      <w:r>
        <w:rPr>
          <w:rFonts w:ascii="Arial" w:hAnsi="Arial"/>
          <w:sz w:val="16"/>
        </w:rPr>
        <w:t>586.12  در حالی که او همچنان به رئیس ستاد نیروی هوایی در مورد بهبود کیفیت زندگی مشاوره می‌داد، شروع به تمرکز بر تغییرات فرهنگی کرد.</w:t>
      </w:r>
    </w:p>
    <w:p>
      <w:pPr>
        <w:spacing w:after="28" w:line="216" w:lineRule="auto"/>
        <w:ind w:left="259"/>
        <w:jc w:val="left"/>
      </w:pPr>
      <w:r>
        <w:rPr>
          <w:rFonts w:ascii="Arial" w:hAnsi="Arial"/>
          <w:color w:val="525252"/>
          <w:sz w:val="13"/>
        </w:rPr>
        <w:t>While he continued to advise the Chief of Staff of the Air Force on quality-of-life improvements, he began to focus on cultural change.</w:t>
      </w:r>
    </w:p>
    <w:p>
      <w:pPr>
        <w:spacing w:after="20" w:line="223" w:lineRule="auto"/>
        <w:jc w:val="right"/>
        <w:bidi/>
      </w:pPr>
      <w:r>
        <w:rPr>
          <w:rFonts w:ascii="Arial" w:hAnsi="Arial"/>
          <w:sz w:val="16"/>
        </w:rPr>
        <w:t>586.13  او احساس کرد که زمان آن فرا رسیده است که نیروهای هوایی "به جای من، من، من فکر کنند." او می‌خواست مردم روی «چگونه باید لباس بپوشیم، رفتار کنیم و نسبت به زیردستان و مافوق واکنش نشان دهیم، و اینکه چگونه وظایفمان را انجام دهیم» تمرکز کنند. او افسران پلیس را به چالش کشید تا "از مردم خود مراقبت کنند و مأموریت را به انجام برسانند." او همچنین پیشنهاد کرد که افسران پلیس اگر از شغل خود ناراضی هستند به خود نگاه کنند.</w:t>
      </w:r>
    </w:p>
    <w:p>
      <w:pPr>
        <w:spacing w:after="28" w:line="216" w:lineRule="auto"/>
        <w:ind w:left="259"/>
        <w:jc w:val="left"/>
      </w:pPr>
      <w:r>
        <w:rPr>
          <w:rFonts w:ascii="Arial" w:hAnsi="Arial"/>
          <w:color w:val="525252"/>
          <w:sz w:val="13"/>
        </w:rPr>
        <w:t>He felt it was time for Airmen to “think we instead of me, me, me.” He wanted people to focus on “how we’re supposed to dress, act, and react toward subordinates and superiors, and how we’re supposed to do our jobs.” He challenged NCOs to “take care of their people and to accomplish the mission.” He further suggested that NCOs look at themselves if they were dissatisfied with their jobs.</w:t>
      </w:r>
    </w:p>
    <w:p>
      <w:pPr>
        <w:spacing w:after="20" w:line="223" w:lineRule="auto"/>
        <w:jc w:val="right"/>
        <w:bidi/>
      </w:pPr>
      <w:r>
        <w:rPr>
          <w:rFonts w:ascii="Arial" w:hAnsi="Arial"/>
          <w:sz w:val="16"/>
        </w:rPr>
        <w:t>586.14  او روزهای "رهبری با استرس" را از بین برد و PME را برای ایجاد نیروی هوشمندتر تحسین کرد.</w:t>
      </w:r>
    </w:p>
    <w:p>
      <w:pPr>
        <w:spacing w:after="28" w:line="216" w:lineRule="auto"/>
        <w:ind w:left="259"/>
        <w:jc w:val="left"/>
      </w:pPr>
      <w:r>
        <w:rPr>
          <w:rFonts w:ascii="Arial" w:hAnsi="Arial"/>
          <w:color w:val="525252"/>
          <w:sz w:val="13"/>
        </w:rPr>
        <w:t>He dispelled the days of “leadership by stress” and applauded PME for creating a smarter force.</w:t>
      </w:r>
    </w:p>
    <w:p>
      <w:pPr>
        <w:spacing w:after="20" w:line="223" w:lineRule="auto"/>
        <w:jc w:val="right"/>
        <w:bidi/>
      </w:pPr>
      <w:r>
        <w:rPr>
          <w:rFonts w:ascii="Arial" w:hAnsi="Arial"/>
          <w:sz w:val="16"/>
        </w:rPr>
        <w:t>586.15  اندروز معتقد بود که CMSAF باید مسائل را از نزدیک بداند، که باعث شد او به‌طور گسترده در اطراف نیروی هوایی سفر کند.</w:t>
      </w:r>
    </w:p>
    <w:p>
      <w:pPr>
        <w:spacing w:after="28" w:line="216" w:lineRule="auto"/>
        <w:ind w:left="259"/>
        <w:jc w:val="left"/>
      </w:pPr>
      <w:r>
        <w:rPr>
          <w:rFonts w:ascii="Arial" w:hAnsi="Arial"/>
          <w:color w:val="525252"/>
          <w:sz w:val="13"/>
        </w:rPr>
        <w:t>Andrews believed the CMSAF needed to know the issues firsthand, which kept him traveling extensively around the Air Force.</w:t>
      </w:r>
    </w:p>
    <w:p>
      <w:pPr>
        <w:spacing w:after="20" w:line="223" w:lineRule="auto"/>
        <w:jc w:val="right"/>
        <w:bidi/>
      </w:pPr>
      <w:r>
        <w:rPr>
          <w:rFonts w:ascii="Arial" w:hAnsi="Arial"/>
          <w:sz w:val="16"/>
        </w:rPr>
        <w:t>586.16  CMSAF اندروز در سال ۱۹۹۶ درگذشت.</w:t>
      </w:r>
    </w:p>
    <w:p>
      <w:pPr>
        <w:spacing w:after="28" w:line="216" w:lineRule="auto"/>
        <w:ind w:left="259"/>
        <w:jc w:val="left"/>
      </w:pPr>
      <w:r>
        <w:rPr>
          <w:rFonts w:ascii="Arial" w:hAnsi="Arial"/>
          <w:color w:val="525252"/>
          <w:sz w:val="13"/>
        </w:rPr>
        <w:t>CMSAF Andrews died in 1996.</w:t>
      </w:r>
    </w:p>
    <w:p>
      <w:r>
        <w:br w:type="page"/>
      </w:r>
    </w:p>
    <w:p>
      <w:pPr>
        <w:spacing w:after="60"/>
        <w:jc w:val="right"/>
        <w:bidi/>
      </w:pPr>
      <w:r>
        <w:rPr>
          <w:rFonts w:ascii="Arial" w:hAnsi="Arial"/>
          <w:b/>
          <w:color w:val="1F4D78"/>
          <w:sz w:val="19"/>
        </w:rPr>
        <w:t>هفتهٔ 587  |  صفحهٔ منبع: 604</w:t>
      </w:r>
    </w:p>
    <w:p>
      <w:pPr>
        <w:spacing w:after="20" w:line="223" w:lineRule="auto"/>
        <w:jc w:val="right"/>
        <w:bidi/>
      </w:pPr>
      <w:r>
        <w:rPr>
          <w:rFonts w:ascii="Arial" w:hAnsi="Arial"/>
          <w:sz w:val="16"/>
        </w:rPr>
        <w:t>587.01  هشتمین سرگروهبان ارشد CMSAF نیروی هوایی سام ای. پریش سم ای. پریش در شمال فلوریدا بزرگ شد و تحصیل کرد.</w:t>
      </w:r>
    </w:p>
    <w:p>
      <w:pPr>
        <w:spacing w:after="28" w:line="216" w:lineRule="auto"/>
        <w:ind w:left="259"/>
        <w:jc w:val="left"/>
      </w:pPr>
      <w:r>
        <w:rPr>
          <w:rFonts w:ascii="Arial" w:hAnsi="Arial"/>
          <w:color w:val="525252"/>
          <w:sz w:val="13"/>
        </w:rPr>
        <w:t>Eighth Chief Master Sergeant of the Air Force CMSAF Sam E. Parish Sam E. Parish was raised and educated in north Florida.</w:t>
      </w:r>
    </w:p>
    <w:p>
      <w:pPr>
        <w:spacing w:after="20" w:line="223" w:lineRule="auto"/>
        <w:jc w:val="right"/>
        <w:bidi/>
      </w:pPr>
      <w:r>
        <w:rPr>
          <w:rFonts w:ascii="Arial" w:hAnsi="Arial"/>
          <w:sz w:val="16"/>
        </w:rPr>
        <w:t>587.02  در سال ۱۹۵۵ در سن ۱۷ سالگی به‌عنوان اپراتور تجهیزات هواشناسی زمینی به نیروی هوایی پیوست.</w:t>
      </w:r>
    </w:p>
    <w:p>
      <w:pPr>
        <w:spacing w:after="28" w:line="216" w:lineRule="auto"/>
        <w:ind w:left="259"/>
        <w:jc w:val="left"/>
      </w:pPr>
      <w:r>
        <w:rPr>
          <w:rFonts w:ascii="Arial" w:hAnsi="Arial"/>
          <w:color w:val="525252"/>
          <w:sz w:val="13"/>
        </w:rPr>
        <w:t>In 1955, at age 17, he joined the Air Force as a ground weather equipment operator.</w:t>
      </w:r>
    </w:p>
    <w:p>
      <w:pPr>
        <w:spacing w:after="20" w:line="223" w:lineRule="auto"/>
        <w:jc w:val="right"/>
        <w:bidi/>
      </w:pPr>
      <w:r>
        <w:rPr>
          <w:rFonts w:ascii="Arial" w:hAnsi="Arial"/>
          <w:sz w:val="16"/>
        </w:rPr>
        <w:t>587.03  اولین مأموریت او در پایگاه هوایی ویسبادن، آلمان، او را وارد یک برنامه آزمایشی برای عبور از قطار به‌عنوان ناظر آب و هوا کرد.</w:t>
      </w:r>
    </w:p>
    <w:p>
      <w:pPr>
        <w:spacing w:after="28" w:line="216" w:lineRule="auto"/>
        <w:ind w:left="259"/>
        <w:jc w:val="left"/>
      </w:pPr>
      <w:r>
        <w:rPr>
          <w:rFonts w:ascii="Arial" w:hAnsi="Arial"/>
          <w:color w:val="525252"/>
          <w:sz w:val="13"/>
        </w:rPr>
        <w:t>His first assignment at Wiesbaden Air Base, Germany, brought him into an experimental program to cross train as a weather observer.</w:t>
      </w:r>
    </w:p>
    <w:p>
      <w:pPr>
        <w:spacing w:after="20" w:line="223" w:lineRule="auto"/>
        <w:jc w:val="right"/>
        <w:bidi/>
      </w:pPr>
      <w:r>
        <w:rPr>
          <w:rFonts w:ascii="Arial" w:hAnsi="Arial"/>
          <w:sz w:val="16"/>
        </w:rPr>
        <w:t>587.04  آن آزمایش منجر به شغلی شد.</w:t>
      </w:r>
    </w:p>
    <w:p>
      <w:pPr>
        <w:spacing w:after="28" w:line="216" w:lineRule="auto"/>
        <w:ind w:left="259"/>
        <w:jc w:val="left"/>
      </w:pPr>
      <w:r>
        <w:rPr>
          <w:rFonts w:ascii="Arial" w:hAnsi="Arial"/>
          <w:color w:val="525252"/>
          <w:sz w:val="13"/>
        </w:rPr>
        <w:t>That experiment led to a career.</w:t>
      </w:r>
    </w:p>
    <w:p>
      <w:pPr>
        <w:spacing w:after="20" w:line="223" w:lineRule="auto"/>
        <w:jc w:val="right"/>
        <w:bidi/>
      </w:pPr>
      <w:r>
        <w:rPr>
          <w:rFonts w:ascii="Arial" w:hAnsi="Arial"/>
          <w:sz w:val="16"/>
        </w:rPr>
        <w:t>587.05  در سال ۱۹۶۰، او جوانترین سطح ۷ مهارتی در زمینه حرفه‌ای خود شد و به پیشرفت خود ادامه داد.</w:t>
      </w:r>
    </w:p>
    <w:p>
      <w:pPr>
        <w:spacing w:after="28" w:line="216" w:lineRule="auto"/>
        <w:ind w:left="259"/>
        <w:jc w:val="left"/>
      </w:pPr>
      <w:r>
        <w:rPr>
          <w:rFonts w:ascii="Arial" w:hAnsi="Arial"/>
          <w:color w:val="525252"/>
          <w:sz w:val="13"/>
        </w:rPr>
        <w:t>In 1960, he became the youngest 7-skill level in his career field and continued to excel.</w:t>
      </w:r>
    </w:p>
    <w:p>
      <w:pPr>
        <w:spacing w:after="20" w:line="223" w:lineRule="auto"/>
        <w:jc w:val="right"/>
        <w:bidi/>
      </w:pPr>
      <w:r>
        <w:rPr>
          <w:rFonts w:ascii="Arial" w:hAnsi="Arial"/>
          <w:sz w:val="16"/>
        </w:rPr>
        <w:t>587.06  در حالی که ناظر اصلی اسکادران هفتم هواشناسی در هایدلبرگ، آلمان بود، به سرعت به سرگروهبان ارشد ارتقا یافت و در سن ۳۱ سالگی، پریش به‌عنوان سرگروهبان ارشد انتخاب شد.</w:t>
      </w:r>
    </w:p>
    <w:p>
      <w:pPr>
        <w:spacing w:after="28" w:line="216" w:lineRule="auto"/>
        <w:ind w:left="259"/>
        <w:jc w:val="left"/>
      </w:pPr>
      <w:r>
        <w:rPr>
          <w:rFonts w:ascii="Arial" w:hAnsi="Arial"/>
          <w:color w:val="525252"/>
          <w:sz w:val="13"/>
        </w:rPr>
        <w:t>While the chief observer for the 7th Weather Squadron in Heidelberg, Germany, he was quickly promoted to Senior Master Sergeant, and at age 31, Parish made Chief Master Sergeant.</w:t>
      </w:r>
    </w:p>
    <w:p>
      <w:pPr>
        <w:spacing w:after="20" w:line="223" w:lineRule="auto"/>
        <w:jc w:val="right"/>
        <w:bidi/>
      </w:pPr>
      <w:r>
        <w:rPr>
          <w:rFonts w:ascii="Arial" w:hAnsi="Arial"/>
          <w:sz w:val="16"/>
        </w:rPr>
        <w:t>587.07  او عضو اولین کلاس ارشد آکادمی افسران پلیس بود و در سال ۱۹۷۳ به‌عنوان مشاور ارشد خدمات هواشناسی انتخاب شد.</w:t>
      </w:r>
    </w:p>
    <w:p>
      <w:pPr>
        <w:spacing w:after="28" w:line="216" w:lineRule="auto"/>
        <w:ind w:left="259"/>
        <w:jc w:val="left"/>
      </w:pPr>
      <w:r>
        <w:rPr>
          <w:rFonts w:ascii="Arial" w:hAnsi="Arial"/>
          <w:color w:val="525252"/>
          <w:sz w:val="13"/>
        </w:rPr>
        <w:t>He was a member of the first senior NCO academy class and was selected as the Air Weather Service Senior Enlisted Advisor in 1973.</w:t>
      </w:r>
    </w:p>
    <w:p>
      <w:pPr>
        <w:spacing w:after="20" w:line="223" w:lineRule="auto"/>
        <w:jc w:val="right"/>
        <w:bidi/>
      </w:pPr>
      <w:r>
        <w:rPr>
          <w:rFonts w:ascii="Arial" w:hAnsi="Arial"/>
          <w:sz w:val="16"/>
        </w:rPr>
        <w:t>587.08  او در سال ۱۹۷۶ به‌عنوان دفتر پرسنل پایگاه تلفیقی CMSAF سام . پاریش آگوست ۱۹۸۳ - ژوئن ۱۹۸۶ سرلشگر پرسنل به آلمان بازگشت و در سال ۱۹۷۷ مشاور ارشد نیروی هوایی ایالات متحده در اروپا شد و در آنجا برنامه اولین نیروی هوایی ایالات متحده در اروپا را تأسیس کرد.</w:t>
      </w:r>
    </w:p>
    <w:p>
      <w:pPr>
        <w:spacing w:after="28" w:line="216" w:lineRule="auto"/>
        <w:ind w:left="259"/>
        <w:jc w:val="left"/>
      </w:pPr>
      <w:r>
        <w:rPr>
          <w:rFonts w:ascii="Arial" w:hAnsi="Arial"/>
          <w:color w:val="525252"/>
          <w:sz w:val="13"/>
        </w:rPr>
        <w:t>He returned to Germany in 1976 as the Consolidated Base Personnel Office CMSAF Sam E. Parish August 1983 - June 1986 Personnel Sergeant Major, and in 1977 became the senior enlisted advisor for the United States Air Forces in Europe, where he established the United States Air Forces in Europe First Sergeant of the Year program.</w:t>
      </w:r>
    </w:p>
    <w:p>
      <w:pPr>
        <w:spacing w:after="20" w:line="223" w:lineRule="auto"/>
        <w:jc w:val="right"/>
        <w:bidi/>
      </w:pPr>
      <w:r>
        <w:rPr>
          <w:rFonts w:ascii="Arial" w:hAnsi="Arial"/>
          <w:sz w:val="16"/>
        </w:rPr>
        <w:t>587.09  پریش بعدا به‌عنوان مشاور ارشد لشکر ۴۰ هوایی و فرماندهی هوایی استراتژیک خدمت کرد.</w:t>
      </w:r>
    </w:p>
    <w:p>
      <w:pPr>
        <w:spacing w:after="28" w:line="216" w:lineRule="auto"/>
        <w:ind w:left="259"/>
        <w:jc w:val="left"/>
      </w:pPr>
      <w:r>
        <w:rPr>
          <w:rFonts w:ascii="Arial" w:hAnsi="Arial"/>
          <w:color w:val="525252"/>
          <w:sz w:val="13"/>
        </w:rPr>
        <w:t>Parish later served as the 40th Air Division and Strategic Air Command senior enlisted advisor.</w:t>
      </w:r>
    </w:p>
    <w:p>
      <w:pPr>
        <w:spacing w:after="20" w:line="223" w:lineRule="auto"/>
        <w:jc w:val="right"/>
        <w:bidi/>
      </w:pPr>
      <w:r>
        <w:rPr>
          <w:rFonts w:ascii="Arial" w:hAnsi="Arial"/>
          <w:sz w:val="16"/>
        </w:rPr>
        <w:t>587.10  CMSAF پاریش در طول مدت تصدی خود با طیفی از مسائل مربوط به پرسنل سربازگیری مقابله کرد.</w:t>
      </w:r>
    </w:p>
    <w:p>
      <w:pPr>
        <w:spacing w:after="28" w:line="216" w:lineRule="auto"/>
        <w:ind w:left="259"/>
        <w:jc w:val="left"/>
      </w:pPr>
      <w:r>
        <w:rPr>
          <w:rFonts w:ascii="Arial" w:hAnsi="Arial"/>
          <w:color w:val="525252"/>
          <w:sz w:val="13"/>
        </w:rPr>
        <w:t>CMSAF Parish tackled a range of enlisted personnel issues during his tenure.</w:t>
      </w:r>
    </w:p>
    <w:p>
      <w:pPr>
        <w:spacing w:after="20" w:line="223" w:lineRule="auto"/>
        <w:jc w:val="right"/>
        <w:bidi/>
      </w:pPr>
      <w:r>
        <w:rPr>
          <w:rFonts w:ascii="Arial" w:hAnsi="Arial"/>
          <w:sz w:val="16"/>
        </w:rPr>
        <w:t>587.11  یکی از این مسائل، نقطه فاز ثابت برای ارتقاء به فرمانده ارشد بود، که باعث ارتقای هوانوردان واجد شرایط به فرمانده ارشد هوایی در یک نقطه تعیین شده از سربازی اولیه آنها می‌شد و به آنها فرصتی می‌داد تا در اولین خدمت سربازی به‌عنوان گروهبان انتخاب شوند.</w:t>
      </w:r>
    </w:p>
    <w:p>
      <w:pPr>
        <w:spacing w:after="28" w:line="216" w:lineRule="auto"/>
        <w:ind w:left="259"/>
        <w:jc w:val="left"/>
      </w:pPr>
      <w:r>
        <w:rPr>
          <w:rFonts w:ascii="Arial" w:hAnsi="Arial"/>
          <w:color w:val="525252"/>
          <w:sz w:val="13"/>
        </w:rPr>
        <w:t>One such issue was the fixed-phase point for promotion to Senior Airman, which would promote qualified Airmen to Senior Airman at a set point in their initial enlistment, allowing them a chance to be selected for Staff Sergeant during their first enlistment.</w:t>
      </w:r>
    </w:p>
    <w:p>
      <w:pPr>
        <w:spacing w:after="20" w:line="223" w:lineRule="auto"/>
        <w:jc w:val="right"/>
        <w:bidi/>
      </w:pPr>
      <w:r>
        <w:rPr>
          <w:rFonts w:ascii="Arial" w:hAnsi="Arial"/>
          <w:sz w:val="16"/>
        </w:rPr>
        <w:t>587.12  او همچنین موافقت رئیس ستاد نیروی هوایی را به دست آورد تا به پرسنل خط پرواز اجازه دهد تا یک نشان عملکردی را بر روی یونیفرم خود بپوشند، که باعث شد اعضای USAF در همه تخصص‌ها بتوانند نشان‌های کاربردی را بپوشند که رسته‌های شغلی آنها را مشخص می‌کند.</w:t>
      </w:r>
    </w:p>
    <w:p>
      <w:pPr>
        <w:spacing w:after="28" w:line="216" w:lineRule="auto"/>
        <w:ind w:left="259"/>
        <w:jc w:val="left"/>
      </w:pPr>
      <w:r>
        <w:rPr>
          <w:rFonts w:ascii="Arial" w:hAnsi="Arial"/>
          <w:color w:val="525252"/>
          <w:sz w:val="13"/>
        </w:rPr>
        <w:t>He also obtained Chief of Staff of the Air Force approval to allow flight line personnel to wear a functional badge on their uniform, which led to USAF members in all specialties being able to wear functional badges identifying their career fields.</w:t>
      </w:r>
    </w:p>
    <w:p>
      <w:pPr>
        <w:spacing w:after="20" w:line="223" w:lineRule="auto"/>
        <w:jc w:val="right"/>
        <w:bidi/>
      </w:pPr>
      <w:r>
        <w:rPr>
          <w:rFonts w:ascii="Arial" w:hAnsi="Arial"/>
          <w:sz w:val="16"/>
        </w:rPr>
        <w:t>587.13  او همچنین موافقت رئیس ستاد نیروی هوایی را برای ایجاد جایزه لویتوو برای هر سطح از PME و اجرای برنامه گروهبان اول سال در سراسر نیروی هوایی به دست آورد.</w:t>
      </w:r>
    </w:p>
    <w:p>
      <w:pPr>
        <w:spacing w:after="28" w:line="216" w:lineRule="auto"/>
        <w:ind w:left="259"/>
        <w:jc w:val="left"/>
      </w:pPr>
      <w:r>
        <w:rPr>
          <w:rFonts w:ascii="Arial" w:hAnsi="Arial"/>
          <w:color w:val="525252"/>
          <w:sz w:val="13"/>
        </w:rPr>
        <w:t>He also obtained Chief of Staff of the Air Force approval to establish the Levitow Award for each level of PME and to implement the First Sergeant of the Year Program Air Force-wide.</w:t>
      </w:r>
    </w:p>
    <w:p>
      <w:pPr>
        <w:spacing w:after="20" w:line="223" w:lineRule="auto"/>
        <w:jc w:val="right"/>
        <w:bidi/>
      </w:pPr>
      <w:r>
        <w:rPr>
          <w:rFonts w:ascii="Arial" w:hAnsi="Arial"/>
          <w:sz w:val="16"/>
        </w:rPr>
        <w:t>587.14  او به‌عنوان یک تیرانداز مستقیم شناخته می‌شد که وقت خود را برای کشف آنچه مردم می‌خواهند بشنوند تلف نمی‌کرد.</w:t>
      </w:r>
    </w:p>
    <w:p>
      <w:pPr>
        <w:spacing w:after="28" w:line="216" w:lineRule="auto"/>
        <w:ind w:left="259"/>
        <w:jc w:val="left"/>
      </w:pPr>
      <w:r>
        <w:rPr>
          <w:rFonts w:ascii="Arial" w:hAnsi="Arial"/>
          <w:color w:val="525252"/>
          <w:sz w:val="13"/>
        </w:rPr>
        <w:t>He was known as a straight shooter who did not waste time trying to figure out what people wanted to hear.</w:t>
      </w:r>
    </w:p>
    <w:p>
      <w:pPr>
        <w:spacing w:after="20" w:line="223" w:lineRule="auto"/>
        <w:jc w:val="right"/>
        <w:bidi/>
      </w:pPr>
      <w:r>
        <w:rPr>
          <w:rFonts w:ascii="Arial" w:hAnsi="Arial"/>
          <w:sz w:val="16"/>
        </w:rPr>
        <w:t>587.15  در عوض، آنچه را که باید بشنوند به آنها گفت.</w:t>
      </w:r>
    </w:p>
    <w:p>
      <w:pPr>
        <w:spacing w:after="28" w:line="216" w:lineRule="auto"/>
        <w:ind w:left="259"/>
        <w:jc w:val="left"/>
      </w:pPr>
      <w:r>
        <w:rPr>
          <w:rFonts w:ascii="Arial" w:hAnsi="Arial"/>
          <w:color w:val="525252"/>
          <w:sz w:val="13"/>
        </w:rPr>
        <w:t>Instead, he told them what they needed to hear.</w:t>
      </w:r>
    </w:p>
    <w:p>
      <w:pPr>
        <w:spacing w:after="20" w:line="223" w:lineRule="auto"/>
        <w:jc w:val="right"/>
        <w:bidi/>
      </w:pPr>
      <w:r>
        <w:rPr>
          <w:rFonts w:ascii="Arial" w:hAnsi="Arial"/>
          <w:sz w:val="16"/>
        </w:rPr>
        <w:t>587.16  برای پریش، CMSAF مهمترین شغل در نیروی هوایی از منظر برنامه‌ای است.</w:t>
      </w:r>
    </w:p>
    <w:p>
      <w:pPr>
        <w:spacing w:after="28" w:line="216" w:lineRule="auto"/>
        <w:ind w:left="259"/>
        <w:jc w:val="left"/>
      </w:pPr>
      <w:r>
        <w:rPr>
          <w:rFonts w:ascii="Arial" w:hAnsi="Arial"/>
          <w:color w:val="525252"/>
          <w:sz w:val="13"/>
        </w:rPr>
        <w:t>To Parish, the CMSAF is the most important job in the Air Force from an enlisted program perspective.</w:t>
      </w:r>
    </w:p>
    <w:p>
      <w:pPr>
        <w:spacing w:after="20" w:line="223" w:lineRule="auto"/>
        <w:jc w:val="right"/>
        <w:bidi/>
      </w:pPr>
      <w:r>
        <w:rPr>
          <w:rFonts w:ascii="Arial" w:hAnsi="Arial"/>
          <w:sz w:val="16"/>
        </w:rPr>
        <w:t>587.17  در دوران بازنشستگی، با حضور در مراسم خدمات و بازدید از پایگاه‌های سراسر نیروی هوایی، به حمایت از هوانوردان ادامه می‌دهد.</w:t>
      </w:r>
    </w:p>
    <w:p>
      <w:pPr>
        <w:spacing w:after="28" w:line="216" w:lineRule="auto"/>
        <w:ind w:left="259"/>
        <w:jc w:val="left"/>
      </w:pPr>
      <w:r>
        <w:rPr>
          <w:rFonts w:ascii="Arial" w:hAnsi="Arial"/>
          <w:color w:val="525252"/>
          <w:sz w:val="13"/>
        </w:rPr>
        <w:t>In retirement, he continues to support Airmen by attending service functions and visiting bases throughout the Air Force.</w:t>
      </w:r>
    </w:p>
    <w:p>
      <w:r>
        <w:br w:type="page"/>
      </w:r>
    </w:p>
    <w:p>
      <w:pPr>
        <w:spacing w:after="60"/>
        <w:jc w:val="right"/>
        <w:bidi/>
      </w:pPr>
      <w:r>
        <w:rPr>
          <w:rFonts w:ascii="Arial" w:hAnsi="Arial"/>
          <w:b/>
          <w:color w:val="1F4D78"/>
          <w:sz w:val="19"/>
        </w:rPr>
        <w:t>هفتهٔ 588  |  صفحهٔ منبع: 605</w:t>
      </w:r>
    </w:p>
    <w:p>
      <w:pPr>
        <w:spacing w:after="20" w:line="223" w:lineRule="auto"/>
        <w:jc w:val="right"/>
        <w:bidi/>
      </w:pPr>
      <w:r>
        <w:rPr>
          <w:rFonts w:ascii="Arial" w:hAnsi="Arial"/>
          <w:sz w:val="16"/>
        </w:rPr>
        <w:t>588.01  نهمین سرگروهبان ارشد CMSAF نیروی هوایی جیمز سی. بینیکر جیمز سی. بینیکر، که در آیکن، کارولینای جنوبی بزرگ شد، در دبیرستان با آرزوی خلبان شدن به گشت هوایی غیرنظامی پیوست.</w:t>
      </w:r>
    </w:p>
    <w:p>
      <w:pPr>
        <w:spacing w:after="28" w:line="216" w:lineRule="auto"/>
        <w:ind w:left="259"/>
        <w:jc w:val="left"/>
      </w:pPr>
      <w:r>
        <w:rPr>
          <w:rFonts w:ascii="Arial" w:hAnsi="Arial"/>
          <w:color w:val="525252"/>
          <w:sz w:val="13"/>
        </w:rPr>
        <w:t>Ninth Chief Master Sergeant of the Air Force CMSAF James C. Binnicker James C. Binnicker, raised in Aiken, South Carolina, joined the Civil Air Patrol in high school with aspirations of becoming a pilot.</w:t>
      </w:r>
    </w:p>
    <w:p>
      <w:pPr>
        <w:spacing w:after="20" w:line="223" w:lineRule="auto"/>
        <w:jc w:val="right"/>
        <w:bidi/>
      </w:pPr>
      <w:r>
        <w:rPr>
          <w:rFonts w:ascii="Arial" w:hAnsi="Arial"/>
          <w:sz w:val="16"/>
        </w:rPr>
        <w:t>588.02  افتخارات کادت سال به او کمک هزینه تحصیلی برای حضور در مدرسه پرواز و حق نمایندگی ایالت خود به‌عنوان دانشجوی ارزی در بریتانیای کبیر را به همراه داشت.</w:t>
      </w:r>
    </w:p>
    <w:p>
      <w:pPr>
        <w:spacing w:after="28" w:line="216" w:lineRule="auto"/>
        <w:ind w:left="259"/>
        <w:jc w:val="left"/>
      </w:pPr>
      <w:r>
        <w:rPr>
          <w:rFonts w:ascii="Arial" w:hAnsi="Arial"/>
          <w:color w:val="525252"/>
          <w:sz w:val="13"/>
        </w:rPr>
        <w:t>Cadet of the Year honors earned him a scholarship to attend flight school and the right to represent his state as a foreign exchange cadet in Great Britain.</w:t>
      </w:r>
    </w:p>
    <w:p>
      <w:pPr>
        <w:spacing w:after="20" w:line="223" w:lineRule="auto"/>
        <w:jc w:val="right"/>
        <w:bidi/>
      </w:pPr>
      <w:r>
        <w:rPr>
          <w:rFonts w:ascii="Arial" w:hAnsi="Arial"/>
          <w:sz w:val="16"/>
        </w:rPr>
        <w:t>588.03  در سال ۱۹۵۷، زمانی که پزشکان کاهش شنوایی با فرکانس بالا را تشخیص دادند، او از برنامه محروم شد.</w:t>
      </w:r>
    </w:p>
    <w:p>
      <w:pPr>
        <w:spacing w:after="28" w:line="216" w:lineRule="auto"/>
        <w:ind w:left="259"/>
        <w:jc w:val="left"/>
      </w:pPr>
      <w:r>
        <w:rPr>
          <w:rFonts w:ascii="Arial" w:hAnsi="Arial"/>
          <w:color w:val="525252"/>
          <w:sz w:val="13"/>
        </w:rPr>
        <w:t>In 1957, when doctors detected a high frequency hearing loss, he was disqualified from the program.</w:t>
      </w:r>
    </w:p>
    <w:p>
      <w:pPr>
        <w:spacing w:after="20" w:line="223" w:lineRule="auto"/>
        <w:jc w:val="right"/>
        <w:bidi/>
      </w:pPr>
      <w:r>
        <w:rPr>
          <w:rFonts w:ascii="Arial" w:hAnsi="Arial"/>
          <w:sz w:val="16"/>
        </w:rPr>
        <w:t>588.04  برای نزدیک ماندن به اشتیاق خود، او به نیروی هوایی در رستهٔ شغلی تجهیزات شخصی، پشتیبانی از زندگی پیوست.</w:t>
      </w:r>
    </w:p>
    <w:p>
      <w:pPr>
        <w:spacing w:after="28" w:line="216" w:lineRule="auto"/>
        <w:ind w:left="259"/>
        <w:jc w:val="left"/>
      </w:pPr>
      <w:r>
        <w:rPr>
          <w:rFonts w:ascii="Arial" w:hAnsi="Arial"/>
          <w:color w:val="525252"/>
          <w:sz w:val="13"/>
        </w:rPr>
        <w:t>To stay close to his passion, he joined the Air Force in the personal equipment, life support career field.</w:t>
      </w:r>
    </w:p>
    <w:p>
      <w:pPr>
        <w:spacing w:after="20" w:line="223" w:lineRule="auto"/>
        <w:jc w:val="right"/>
        <w:bidi/>
      </w:pPr>
      <w:r>
        <w:rPr>
          <w:rFonts w:ascii="Arial" w:hAnsi="Arial"/>
          <w:sz w:val="16"/>
        </w:rPr>
        <w:t>588.05  تا سال ۱۹۶۴، بینیکر در عملیات هوایی آموزش‌های متقابل انجام داد و پروازهایی را برای مأموریت به ویتنام برنامه‌ریزی کرد.</w:t>
      </w:r>
    </w:p>
    <w:p>
      <w:pPr>
        <w:spacing w:after="28" w:line="216" w:lineRule="auto"/>
        <w:ind w:left="259"/>
        <w:jc w:val="left"/>
      </w:pPr>
      <w:r>
        <w:rPr>
          <w:rFonts w:ascii="Arial" w:hAnsi="Arial"/>
          <w:color w:val="525252"/>
          <w:sz w:val="13"/>
        </w:rPr>
        <w:t>By 1964, Binnicker cross-trained into air operations, planning flights for missions to Vietnam.</w:t>
      </w:r>
    </w:p>
    <w:p>
      <w:pPr>
        <w:spacing w:after="20" w:line="223" w:lineRule="auto"/>
        <w:jc w:val="right"/>
        <w:bidi/>
      </w:pPr>
      <w:r>
        <w:rPr>
          <w:rFonts w:ascii="Arial" w:hAnsi="Arial"/>
          <w:sz w:val="16"/>
        </w:rPr>
        <w:t>588.06  در حالی که از سال ۱۹۶۸ تا ۱۹۶۹ در ویتنام خدمت می‌کرد، به‌عنوان NCOIC عملیات برای اسکادران پشتیبانی هوایی تاکتیکی ۲۲ و بعدا به‌عنوان زبانشناس ویتنامی CMSAF جیمز سی.</w:t>
      </w:r>
    </w:p>
    <w:p>
      <w:pPr>
        <w:spacing w:after="28" w:line="216" w:lineRule="auto"/>
        <w:ind w:left="259"/>
        <w:jc w:val="left"/>
      </w:pPr>
      <w:r>
        <w:rPr>
          <w:rFonts w:ascii="Arial" w:hAnsi="Arial"/>
          <w:color w:val="525252"/>
          <w:sz w:val="13"/>
        </w:rPr>
        <w:t>While serving in Vietnam from 1968 to 1969, he served as NCOIC of operations for the 22d Tactical Air Support Squadron, and later as a Vietnamese- CMSAF James C. Binnicker speaking linguist at the Republic of Vietnam Armed Forces July 1986 - July 1990 Language School in Saigon.</w:t>
      </w:r>
    </w:p>
    <w:p>
      <w:pPr>
        <w:spacing w:after="20" w:line="223" w:lineRule="auto"/>
        <w:jc w:val="right"/>
        <w:bidi/>
      </w:pPr>
      <w:r>
        <w:rPr>
          <w:rFonts w:ascii="Arial" w:hAnsi="Arial"/>
          <w:sz w:val="16"/>
        </w:rPr>
        <w:t>588.07  زمانی که در ویتنام بود، هدف خود را برای تبدیل شدن به CMSAF قرار داد، و از هوانوردان سرباز دفاع می‌کرد و به‌عنوان گروهبان اول و گروهبان پایگاه در سیمور جانسون AFB، کارولینای شمالی خدمت کرد.</w:t>
      </w:r>
    </w:p>
    <w:p>
      <w:pPr>
        <w:spacing w:after="28" w:line="216" w:lineRule="auto"/>
        <w:ind w:left="259"/>
        <w:jc w:val="left"/>
      </w:pPr>
      <w:r>
        <w:rPr>
          <w:rFonts w:ascii="Arial" w:hAnsi="Arial"/>
          <w:color w:val="525252"/>
          <w:sz w:val="13"/>
        </w:rPr>
        <w:t>While in Vietnam, he set his sights on becoming the CMSAF, advocating for enlisted Airmen, and served as a first sergeant and base sergeant major at Seymour Johnson AFB, North Carolina.</w:t>
      </w:r>
    </w:p>
    <w:p>
      <w:pPr>
        <w:spacing w:after="20" w:line="223" w:lineRule="auto"/>
        <w:jc w:val="right"/>
        <w:bidi/>
      </w:pPr>
      <w:r>
        <w:rPr>
          <w:rFonts w:ascii="Arial" w:hAnsi="Arial"/>
          <w:sz w:val="16"/>
        </w:rPr>
        <w:t>588.08  در سال ۱۹۷۷، بنا به توصیه CMSAF توماس بارنز، او به‌عنوان تنها عضو عضو کمیسیون تازه تاسیس رئیس جمهور در مورد غرامت نظامی تبدیل شد.</w:t>
      </w:r>
    </w:p>
    <w:p>
      <w:pPr>
        <w:spacing w:after="28" w:line="216" w:lineRule="auto"/>
        <w:ind w:left="259"/>
        <w:jc w:val="left"/>
      </w:pPr>
      <w:r>
        <w:rPr>
          <w:rFonts w:ascii="Arial" w:hAnsi="Arial"/>
          <w:color w:val="525252"/>
          <w:sz w:val="13"/>
        </w:rPr>
        <w:t>In 1977, upon recommendation of CMSAF Thomas Barnes, he became the sole enlisted member of the newly established President’s Commission on Military Compensation.</w:t>
      </w:r>
    </w:p>
    <w:p>
      <w:pPr>
        <w:spacing w:after="20" w:line="223" w:lineRule="auto"/>
        <w:jc w:val="right"/>
        <w:bidi/>
      </w:pPr>
      <w:r>
        <w:rPr>
          <w:rFonts w:ascii="Arial" w:hAnsi="Arial"/>
          <w:sz w:val="16"/>
        </w:rPr>
        <w:t>588.09  او همچنین بیش از ۷ سال را به‌عنوان مشاور ارشد نظامی برای چهارمین بال جنگنده تاکتیکی، دوازدهمین نیروی هوایی، نیروی هوایی اقیانوس آرام و فرماندهی هوایی تاکتیکی گذراند.</w:t>
      </w:r>
    </w:p>
    <w:p>
      <w:pPr>
        <w:spacing w:after="28" w:line="216" w:lineRule="auto"/>
        <w:ind w:left="259"/>
        <w:jc w:val="left"/>
      </w:pPr>
      <w:r>
        <w:rPr>
          <w:rFonts w:ascii="Arial" w:hAnsi="Arial"/>
          <w:color w:val="525252"/>
          <w:sz w:val="13"/>
        </w:rPr>
        <w:t>He also spent over 7 years as the senior enlisted advisor for the 4th Tactical Fighter Wing, 12th Air Force, Pacific Air Forces, and Tactical Air Command.</w:t>
      </w:r>
    </w:p>
    <w:p>
      <w:pPr>
        <w:spacing w:after="20" w:line="223" w:lineRule="auto"/>
        <w:jc w:val="right"/>
        <w:bidi/>
      </w:pPr>
      <w:r>
        <w:rPr>
          <w:rFonts w:ascii="Arial" w:hAnsi="Arial"/>
          <w:sz w:val="16"/>
        </w:rPr>
        <w:t>588.10  اولین سفارش CMSAF بیننیککر رسیدگی به گزارش عملکرد عضو نیروی هوایی بود، یک سیستم رتبه بندی از ۱ تا ۹.</w:t>
      </w:r>
    </w:p>
    <w:p>
      <w:pPr>
        <w:spacing w:after="28" w:line="216" w:lineRule="auto"/>
        <w:ind w:left="259"/>
        <w:jc w:val="left"/>
      </w:pPr>
      <w:r>
        <w:rPr>
          <w:rFonts w:ascii="Arial" w:hAnsi="Arial"/>
          <w:color w:val="525252"/>
          <w:sz w:val="13"/>
        </w:rPr>
        <w:t>CMSAF Binnicker’s first order of business was tackling the Airman performance report, a system of ratings from 1 to 9.</w:t>
      </w:r>
    </w:p>
    <w:p>
      <w:pPr>
        <w:spacing w:after="20" w:line="223" w:lineRule="auto"/>
        <w:jc w:val="right"/>
        <w:bidi/>
      </w:pPr>
      <w:r>
        <w:rPr>
          <w:rFonts w:ascii="Arial" w:hAnsi="Arial"/>
          <w:sz w:val="16"/>
        </w:rPr>
        <w:t>588.11  برای تمایز دقیق‌تر بین نیروهای هوایی، گزارش عملکرد ثبت‌شده همراه با سیستمی برای ارائه و مستندسازی بازخورد عملکرد ایجاد شد.</w:t>
      </w:r>
    </w:p>
    <w:p>
      <w:pPr>
        <w:spacing w:after="28" w:line="216" w:lineRule="auto"/>
        <w:ind w:left="259"/>
        <w:jc w:val="left"/>
      </w:pPr>
      <w:r>
        <w:rPr>
          <w:rFonts w:ascii="Arial" w:hAnsi="Arial"/>
          <w:color w:val="525252"/>
          <w:sz w:val="13"/>
        </w:rPr>
        <w:t>To more accurately differentiate between Airmen, the enlisted performance report was created, along with a system to provide and document performance feedback.</w:t>
      </w:r>
    </w:p>
    <w:p>
      <w:pPr>
        <w:spacing w:after="20" w:line="223" w:lineRule="auto"/>
        <w:jc w:val="right"/>
        <w:bidi/>
      </w:pPr>
      <w:r>
        <w:rPr>
          <w:rFonts w:ascii="Arial" w:hAnsi="Arial"/>
          <w:sz w:val="16"/>
        </w:rPr>
        <w:t>588.12  سپس، بینیکر هدف خود را برای پذیرش استاد گروهبان در آکادمی SNCO قرار داد.</w:t>
      </w:r>
    </w:p>
    <w:p>
      <w:pPr>
        <w:spacing w:after="28" w:line="216" w:lineRule="auto"/>
        <w:ind w:left="259"/>
        <w:jc w:val="left"/>
      </w:pPr>
      <w:r>
        <w:rPr>
          <w:rFonts w:ascii="Arial" w:hAnsi="Arial"/>
          <w:color w:val="525252"/>
          <w:sz w:val="13"/>
        </w:rPr>
        <w:t>Next, Binnicker set his sights on admitting master sergeants to the SNCO academy.</w:t>
      </w:r>
    </w:p>
    <w:p>
      <w:pPr>
        <w:spacing w:after="20" w:line="223" w:lineRule="auto"/>
        <w:jc w:val="right"/>
        <w:bidi/>
      </w:pPr>
      <w:r>
        <w:rPr>
          <w:rFonts w:ascii="Arial" w:hAnsi="Arial"/>
          <w:sz w:val="16"/>
        </w:rPr>
        <w:t>588.13  او معتقد بود که دادن تمام مسئولیت‌هایی که می‌توانند از عهده نیروهای هوایی برآیند منجر به جذب و حفظ افراد با کیفیت بالاتر در نیروی هوایی می‌شود.</w:t>
      </w:r>
    </w:p>
    <w:p>
      <w:pPr>
        <w:spacing w:after="28" w:line="216" w:lineRule="auto"/>
        <w:ind w:left="259"/>
        <w:jc w:val="left"/>
      </w:pPr>
      <w:r>
        <w:rPr>
          <w:rFonts w:ascii="Arial" w:hAnsi="Arial"/>
          <w:color w:val="525252"/>
          <w:sz w:val="13"/>
        </w:rPr>
        <w:t>He believed giving Airmen all the responsibility they could handle would result in attracting and retaining higher quality people in the Air Force.</w:t>
      </w:r>
    </w:p>
    <w:p>
      <w:pPr>
        <w:spacing w:after="20" w:line="223" w:lineRule="auto"/>
        <w:jc w:val="right"/>
        <w:bidi/>
      </w:pPr>
      <w:r>
        <w:rPr>
          <w:rFonts w:ascii="Arial" w:hAnsi="Arial"/>
          <w:sz w:val="16"/>
        </w:rPr>
        <w:t>588.14  او همچنین برای دادن مسئولیت‌های بیشتر به اقلیت‌ها و زنان در سراسر نیروی هوایی تلاش کرد.</w:t>
      </w:r>
    </w:p>
    <w:p>
      <w:pPr>
        <w:spacing w:after="28" w:line="216" w:lineRule="auto"/>
        <w:ind w:left="259"/>
        <w:jc w:val="left"/>
      </w:pPr>
      <w:r>
        <w:rPr>
          <w:rFonts w:ascii="Arial" w:hAnsi="Arial"/>
          <w:color w:val="525252"/>
          <w:sz w:val="13"/>
        </w:rPr>
        <w:t>He also worked to give minorities and women more responsibilities throughout the Air Force.</w:t>
      </w:r>
    </w:p>
    <w:p>
      <w:pPr>
        <w:spacing w:after="20" w:line="223" w:lineRule="auto"/>
        <w:jc w:val="right"/>
        <w:bidi/>
      </w:pPr>
      <w:r>
        <w:rPr>
          <w:rFonts w:ascii="Arial" w:hAnsi="Arial"/>
          <w:sz w:val="16"/>
        </w:rPr>
        <w:t>588.15  رئیس ستاد نیروی هوایی، بنیکر را به‌عنوان یک مدافع سرسخت و سخنگوی مسائل ثبت‌نامی به رسمیت شناخت.</w:t>
      </w:r>
    </w:p>
    <w:p>
      <w:pPr>
        <w:spacing w:after="28" w:line="216" w:lineRule="auto"/>
        <w:ind w:left="259"/>
        <w:jc w:val="left"/>
      </w:pPr>
      <w:r>
        <w:rPr>
          <w:rFonts w:ascii="Arial" w:hAnsi="Arial"/>
          <w:color w:val="525252"/>
          <w:sz w:val="13"/>
        </w:rPr>
        <w:t>The Air Force Chief of Staff recognized Binnicker as a staunch advocate and spokesman for enlisted issues.</w:t>
      </w:r>
    </w:p>
    <w:p>
      <w:pPr>
        <w:spacing w:after="20" w:line="223" w:lineRule="auto"/>
        <w:jc w:val="right"/>
        <w:bidi/>
      </w:pPr>
      <w:r>
        <w:rPr>
          <w:rFonts w:ascii="Arial" w:hAnsi="Arial"/>
          <w:sz w:val="16"/>
        </w:rPr>
        <w:t>588.16  تعهد او به نیروهای هوایی پس از بازنشستگی در سال ۱۹۹۴ تغییر نکرد.</w:t>
      </w:r>
    </w:p>
    <w:p>
      <w:pPr>
        <w:spacing w:after="28" w:line="216" w:lineRule="auto"/>
        <w:ind w:left="259"/>
        <w:jc w:val="left"/>
      </w:pPr>
      <w:r>
        <w:rPr>
          <w:rFonts w:ascii="Arial" w:hAnsi="Arial"/>
          <w:color w:val="525252"/>
          <w:sz w:val="13"/>
        </w:rPr>
        <w:t>His commitment to Airmen did not change following his retirement in 1994.</w:t>
      </w:r>
    </w:p>
    <w:p>
      <w:pPr>
        <w:spacing w:after="20" w:line="223" w:lineRule="auto"/>
        <w:jc w:val="right"/>
        <w:bidi/>
      </w:pPr>
      <w:r>
        <w:rPr>
          <w:rFonts w:ascii="Arial" w:hAnsi="Arial"/>
          <w:sz w:val="16"/>
        </w:rPr>
        <w:t>588.17  او در جریان مسائلی بود که بر نیروهای اعزامی تأثیر می‌گذاشت و از کلاس‌های PME بازدید کرد تا با دانش‌آموزان در سراسر جهان صحبت کند.</w:t>
      </w:r>
    </w:p>
    <w:p>
      <w:pPr>
        <w:spacing w:after="28" w:line="216" w:lineRule="auto"/>
        <w:ind w:left="259"/>
        <w:jc w:val="left"/>
      </w:pPr>
      <w:r>
        <w:rPr>
          <w:rFonts w:ascii="Arial" w:hAnsi="Arial"/>
          <w:color w:val="525252"/>
          <w:sz w:val="13"/>
        </w:rPr>
        <w:t>He stayed abreast of issues affecting the enlisted force and visited PME classes to talk with students worldwide.</w:t>
      </w:r>
    </w:p>
    <w:p>
      <w:pPr>
        <w:spacing w:after="20" w:line="223" w:lineRule="auto"/>
        <w:jc w:val="right"/>
        <w:bidi/>
      </w:pPr>
      <w:r>
        <w:rPr>
          <w:rFonts w:ascii="Arial" w:hAnsi="Arial"/>
          <w:sz w:val="16"/>
        </w:rPr>
        <w:t>588.18  علاوه بر این، او تا زمان مرگش در مارس ۲۰۱۵ به‌عنوان رئیس و مدیر اجرایی دهکده سرباز نیروی هوایی خدمت کرد.</w:t>
      </w:r>
    </w:p>
    <w:p>
      <w:pPr>
        <w:spacing w:after="28" w:line="216" w:lineRule="auto"/>
        <w:ind w:left="259"/>
        <w:jc w:val="left"/>
      </w:pPr>
      <w:r>
        <w:rPr>
          <w:rFonts w:ascii="Arial" w:hAnsi="Arial"/>
          <w:color w:val="525252"/>
          <w:sz w:val="13"/>
        </w:rPr>
        <w:t>In addition, he served as president and chief executive officer for the Air Force Enlisted Village until his death in March 2015.</w:t>
      </w:r>
    </w:p>
    <w:p>
      <w:r>
        <w:br w:type="page"/>
      </w:r>
    </w:p>
    <w:p>
      <w:pPr>
        <w:spacing w:after="60"/>
        <w:jc w:val="right"/>
        <w:bidi/>
      </w:pPr>
      <w:r>
        <w:rPr>
          <w:rFonts w:ascii="Arial" w:hAnsi="Arial"/>
          <w:b/>
          <w:color w:val="1F4D78"/>
          <w:sz w:val="19"/>
        </w:rPr>
        <w:t>هفتهٔ 589  |  صفحهٔ منبع: 606</w:t>
      </w:r>
    </w:p>
    <w:p>
      <w:pPr>
        <w:spacing w:after="20" w:line="223" w:lineRule="auto"/>
        <w:jc w:val="right"/>
        <w:bidi/>
      </w:pPr>
      <w:r>
        <w:rPr>
          <w:rFonts w:ascii="Arial" w:hAnsi="Arial"/>
          <w:sz w:val="16"/>
        </w:rPr>
        <w:t>589.01  دهمین سرگروهبان ارشد CMSAF نیروی هوایی، گری آر. پیفنگستون، گری آر پینگستون، قبل از ثبت‌نام در نیروی هوایی به‌عنوان مکانیک هواپیما، بیسبال لیگ کوچک بازی می‌کرد.</w:t>
      </w:r>
    </w:p>
    <w:p>
      <w:pPr>
        <w:spacing w:after="28" w:line="216" w:lineRule="auto"/>
        <w:ind w:left="259"/>
        <w:jc w:val="left"/>
      </w:pPr>
      <w:r>
        <w:rPr>
          <w:rFonts w:ascii="Arial" w:hAnsi="Arial"/>
          <w:color w:val="525252"/>
          <w:sz w:val="13"/>
        </w:rPr>
        <w:t>Tenth Chief Master Sergeant of the Air Force CMSAF Gary R. Pfingston Gary R. Pfingston played minor league baseball before enlisting in the Air Force as an aircraft mechanic.</w:t>
      </w:r>
    </w:p>
    <w:p>
      <w:pPr>
        <w:spacing w:after="20" w:line="223" w:lineRule="auto"/>
        <w:jc w:val="right"/>
        <w:bidi/>
      </w:pPr>
      <w:r>
        <w:rPr>
          <w:rFonts w:ascii="Arial" w:hAnsi="Arial"/>
          <w:sz w:val="16"/>
        </w:rPr>
        <w:t>589.02  در طول اولین مأموریت خود به‌عنوان رئیس خدمه ب-۵۲ در کاستل AFB، کالیفرنیا، یک روز با یک بسته سیگار و ۲ دلار به سر کار رفت و ۳۰ روز به خانه برنگشت زیرا بحران موشکی کوبا پایگاه را به قرنطینه فرستاد.</w:t>
      </w:r>
    </w:p>
    <w:p>
      <w:pPr>
        <w:spacing w:after="28" w:line="216" w:lineRule="auto"/>
        <w:ind w:left="259"/>
        <w:jc w:val="left"/>
      </w:pPr>
      <w:r>
        <w:rPr>
          <w:rFonts w:ascii="Arial" w:hAnsi="Arial"/>
          <w:color w:val="525252"/>
          <w:sz w:val="13"/>
        </w:rPr>
        <w:t>During his first assignment as a B-52 crew chief at Castle AFB, California, he went to work one day with a pack of cigarettes and $2 and did not return home for 30 days because the Cuban Missile Crisis sent the base into lockdown.</w:t>
      </w:r>
    </w:p>
    <w:p>
      <w:pPr>
        <w:spacing w:after="20" w:line="223" w:lineRule="auto"/>
        <w:jc w:val="right"/>
        <w:bidi/>
      </w:pPr>
      <w:r>
        <w:rPr>
          <w:rFonts w:ascii="Arial" w:hAnsi="Arial"/>
          <w:sz w:val="16"/>
        </w:rPr>
        <w:t>589.03  ده سال بعد، پفینگستون تعمیر و نگهداری هواپیما را در تایلند انجام داد و ب-۵۲‌ها را برای حمل بمب‌های معمولی در آنچه که به‌عنوان اصلاحات "شکم آهنی" شناخته شد، دوباره پیکربندی کرد.</w:t>
      </w:r>
    </w:p>
    <w:p>
      <w:pPr>
        <w:spacing w:after="28" w:line="216" w:lineRule="auto"/>
        <w:ind w:left="259"/>
        <w:jc w:val="left"/>
      </w:pPr>
      <w:r>
        <w:rPr>
          <w:rFonts w:ascii="Arial" w:hAnsi="Arial"/>
          <w:color w:val="525252"/>
          <w:sz w:val="13"/>
        </w:rPr>
        <w:t>Ten years later, Pfingston worked aircraft maintenance in Thailand, reconfiguring B-52s to carry conventional bombs in what became known as “iron belly” modifications.</w:t>
      </w:r>
    </w:p>
    <w:p>
      <w:pPr>
        <w:spacing w:after="20" w:line="223" w:lineRule="auto"/>
        <w:jc w:val="right"/>
        <w:bidi/>
      </w:pPr>
      <w:r>
        <w:rPr>
          <w:rFonts w:ascii="Arial" w:hAnsi="Arial"/>
          <w:sz w:val="16"/>
        </w:rPr>
        <w:t>589.04  در سال ۱۹۷۳، او به ایالات متحده بازگشت و ۸ و نیم سال بعد را به‌عنوان مربی آموزش نظامی و بعدا رئیس بخش آموزش نظامی گذراند.</w:t>
      </w:r>
    </w:p>
    <w:p>
      <w:pPr>
        <w:spacing w:after="28" w:line="216" w:lineRule="auto"/>
        <w:ind w:left="259"/>
        <w:jc w:val="left"/>
      </w:pPr>
      <w:r>
        <w:rPr>
          <w:rFonts w:ascii="Arial" w:hAnsi="Arial"/>
          <w:color w:val="525252"/>
          <w:sz w:val="13"/>
        </w:rPr>
        <w:t>In 1973, he returned to the U.S. and spent the next 8 1/2 years as a military training instructor, and later, chief of the military training division.</w:t>
      </w:r>
    </w:p>
    <w:p>
      <w:pPr>
        <w:spacing w:after="20" w:line="223" w:lineRule="auto"/>
        <w:jc w:val="right"/>
        <w:bidi/>
      </w:pPr>
      <w:r>
        <w:rPr>
          <w:rFonts w:ascii="Arial" w:hAnsi="Arial"/>
          <w:sz w:val="16"/>
        </w:rPr>
        <w:t>589.05  طی مأموریتی به اندرسن AFB، گوام، پیفنگستون کمر خود را شکست، به مدت ۱۴۷ روز در بیمارستان بستری شد و به‌عنوان اولین گروهبان CMSAF گری ر. پفینگستون به وظیفه بازگشت.</w:t>
      </w:r>
    </w:p>
    <w:p>
      <w:pPr>
        <w:spacing w:after="28" w:line="216" w:lineRule="auto"/>
        <w:ind w:left="259"/>
        <w:jc w:val="left"/>
      </w:pPr>
      <w:r>
        <w:rPr>
          <w:rFonts w:ascii="Arial" w:hAnsi="Arial"/>
          <w:color w:val="525252"/>
          <w:sz w:val="13"/>
        </w:rPr>
        <w:t>During an assignment to Andersen AFB, Guam, Pfingston broke his back, was hospitalized for 147 days, and returned to duty as the first CMSAF Gary R. Pfingston sergeant.</w:t>
      </w:r>
    </w:p>
    <w:p>
      <w:pPr>
        <w:spacing w:after="20" w:line="223" w:lineRule="auto"/>
        <w:jc w:val="right"/>
        <w:bidi/>
      </w:pPr>
      <w:r>
        <w:rPr>
          <w:rFonts w:ascii="Arial" w:hAnsi="Arial"/>
          <w:sz w:val="16"/>
        </w:rPr>
        <w:t>589.06  تکالیف آینده باعث شد که پیفنگستون در اولین اوت ۱۹۹۰ - اکتبر ۱۹۹۴ در توانایی بقا و انجام تمرینات در یک محیط شیمیایی شرکت کند و به‌عنوان مشاور ارشد استخدام شود.</w:t>
      </w:r>
    </w:p>
    <w:p>
      <w:pPr>
        <w:spacing w:after="28" w:line="216" w:lineRule="auto"/>
        <w:ind w:left="259"/>
        <w:jc w:val="left"/>
      </w:pPr>
      <w:r>
        <w:rPr>
          <w:rFonts w:ascii="Arial" w:hAnsi="Arial"/>
          <w:color w:val="525252"/>
          <w:sz w:val="13"/>
        </w:rPr>
        <w:t>Future assignments had Pfingston taking part in the first August 1990 - October 1994 ability to survive and operate exercise in a chemical environment and serving as a senior enlisted advisor.</w:t>
      </w:r>
    </w:p>
    <w:p>
      <w:pPr>
        <w:spacing w:after="20" w:line="223" w:lineRule="auto"/>
        <w:jc w:val="right"/>
        <w:bidi/>
      </w:pPr>
      <w:r>
        <w:rPr>
          <w:rFonts w:ascii="Arial" w:hAnsi="Arial"/>
          <w:sz w:val="16"/>
        </w:rPr>
        <w:t>589.07  تمرکز CMSAF پفینگستون در دوران تصدی وی، کاهش نیروی هوایی و بودجه بود.</w:t>
      </w:r>
    </w:p>
    <w:p>
      <w:pPr>
        <w:spacing w:after="28" w:line="216" w:lineRule="auto"/>
        <w:ind w:left="259"/>
        <w:jc w:val="left"/>
      </w:pPr>
      <w:r>
        <w:rPr>
          <w:rFonts w:ascii="Arial" w:hAnsi="Arial"/>
          <w:color w:val="525252"/>
          <w:sz w:val="13"/>
        </w:rPr>
        <w:t>CMSAF Pfingston’s focus during his tenure was the Air Force drawdown and budget.</w:t>
      </w:r>
    </w:p>
    <w:p>
      <w:pPr>
        <w:spacing w:after="20" w:line="223" w:lineRule="auto"/>
        <w:jc w:val="right"/>
        <w:bidi/>
      </w:pPr>
      <w:r>
        <w:rPr>
          <w:rFonts w:ascii="Arial" w:hAnsi="Arial"/>
          <w:sz w:val="16"/>
        </w:rPr>
        <w:t>589.08  با داشتن بالاترین پست سربازی در طول طوفان صحرا، او برای بازگرداندن کمک هزینه اولیه برای امرار معاش به سربازانی که در شرایط صحرایی زندگی می‌کردند و افزایش بیمه عمر گروهی اعضای سرویس کار کرد، اما سخت‌ترین چالشی که او با آن مواجه بود، کاهش نیروی هوایی بود.</w:t>
      </w:r>
    </w:p>
    <w:p>
      <w:pPr>
        <w:spacing w:after="28" w:line="216" w:lineRule="auto"/>
        <w:ind w:left="259"/>
        <w:jc w:val="left"/>
      </w:pPr>
      <w:r>
        <w:rPr>
          <w:rFonts w:ascii="Arial" w:hAnsi="Arial"/>
          <w:color w:val="525252"/>
          <w:sz w:val="13"/>
        </w:rPr>
        <w:t>Holding the highest enlisted position during Desert Storm, he worked to restore basic allowance for subsistence to the troops living in field conditions and increasing the Servicemember’s Group Life Insurance, but the toughest challenge he faced was the Air Force downsizing.</w:t>
      </w:r>
    </w:p>
    <w:p>
      <w:pPr>
        <w:spacing w:after="20" w:line="223" w:lineRule="auto"/>
        <w:jc w:val="right"/>
        <w:bidi/>
      </w:pPr>
      <w:r>
        <w:rPr>
          <w:rFonts w:ascii="Arial" w:hAnsi="Arial"/>
          <w:sz w:val="16"/>
        </w:rPr>
        <w:t>589.09  برای جلوگیری از جدایی‌های غیرارادی، پفینگستون برای اجرای برنامه‌های تشویقی جدایی داوطلبانه و پاداش ویژه جدایی تلاش کرد.</w:t>
      </w:r>
    </w:p>
    <w:p>
      <w:pPr>
        <w:spacing w:after="28" w:line="216" w:lineRule="auto"/>
        <w:ind w:left="259"/>
        <w:jc w:val="left"/>
      </w:pPr>
      <w:r>
        <w:rPr>
          <w:rFonts w:ascii="Arial" w:hAnsi="Arial"/>
          <w:color w:val="525252"/>
          <w:sz w:val="13"/>
        </w:rPr>
        <w:t>To avoid involuntary separations, Pfingston worked to implement the Voluntary Separation Incentive and Special Separation Bonus Programs.</w:t>
      </w:r>
    </w:p>
    <w:p>
      <w:pPr>
        <w:spacing w:after="20" w:line="223" w:lineRule="auto"/>
        <w:jc w:val="right"/>
        <w:bidi/>
      </w:pPr>
      <w:r>
        <w:rPr>
          <w:rFonts w:ascii="Arial" w:hAnsi="Arial"/>
          <w:sz w:val="16"/>
        </w:rPr>
        <w:t>589.10  ایده او برای ارائه مسیرهای شغلی و نقاط عطف مطابق با مدل شغلی افسری، منجر به طرح آموزش و آموزش رشته شغلی، مدارس فنی سه سطح و هفت سطح برای همه رشته‌های شغلی و مدارس PME اجباری در محل اقامت شد.</w:t>
      </w:r>
    </w:p>
    <w:p>
      <w:pPr>
        <w:spacing w:after="28" w:line="216" w:lineRule="auto"/>
        <w:ind w:left="259"/>
        <w:jc w:val="left"/>
      </w:pPr>
      <w:r>
        <w:rPr>
          <w:rFonts w:ascii="Arial" w:hAnsi="Arial"/>
          <w:color w:val="525252"/>
          <w:sz w:val="13"/>
        </w:rPr>
        <w:t>His idea to provide career paths and milestones in line with the officer career model, led to the career field education and training plan, three-level, and seven-level technical schools for all career fields, and mandatory in-residence PME schools.</w:t>
      </w:r>
    </w:p>
    <w:p>
      <w:pPr>
        <w:spacing w:after="20" w:line="223" w:lineRule="auto"/>
        <w:jc w:val="right"/>
        <w:bidi/>
      </w:pPr>
      <w:r>
        <w:rPr>
          <w:rFonts w:ascii="Arial" w:hAnsi="Arial"/>
          <w:sz w:val="16"/>
        </w:rPr>
        <w:t>589.11  او همچنین خود را درگیر مسائلی از قبیل خدمت همجنس‌بازان در ارتش، کدهای تخصصی نیروی هوایی برای زنان، خط‌مشی‌های تعیین تکلیف از جمله فهرست تکالیف فصلی (EQUAL) و EQUAL-پلوس، و حتی معرفی راه‌راه‌های جدید درجه‌داران ارشد یافت.</w:t>
      </w:r>
    </w:p>
    <w:p>
      <w:pPr>
        <w:spacing w:after="28" w:line="216" w:lineRule="auto"/>
        <w:ind w:left="259"/>
        <w:jc w:val="left"/>
      </w:pPr>
      <w:r>
        <w:rPr>
          <w:rFonts w:ascii="Arial" w:hAnsi="Arial"/>
          <w:color w:val="525252"/>
          <w:sz w:val="13"/>
        </w:rPr>
        <w:t>He also found himself involved with issues such as homosexuals serving in the military, Air Force specialty codes opening up to women, assignment policies including the Enlisted Quarterly Assignments Listing (EQUAL) and EQUAL-Plus, and even the introduction of the new senior NCO stripes.</w:t>
      </w:r>
    </w:p>
    <w:p>
      <w:pPr>
        <w:spacing w:after="20" w:line="223" w:lineRule="auto"/>
        <w:jc w:val="right"/>
        <w:bidi/>
      </w:pPr>
      <w:r>
        <w:rPr>
          <w:rFonts w:ascii="Arial" w:hAnsi="Arial"/>
          <w:sz w:val="16"/>
        </w:rPr>
        <w:t>589.12  پیفنگستون در آنچه که او آن را "زنجیره ارتباطی" CMSAFهای سابق که از نیروی ثبت‌نام شده پس از بازنشستگی حمایت می‌کردند، فعال باقی ماند.</w:t>
      </w:r>
    </w:p>
    <w:p>
      <w:pPr>
        <w:spacing w:after="28" w:line="216" w:lineRule="auto"/>
        <w:ind w:left="259"/>
        <w:jc w:val="left"/>
      </w:pPr>
      <w:r>
        <w:rPr>
          <w:rFonts w:ascii="Arial" w:hAnsi="Arial"/>
          <w:color w:val="525252"/>
          <w:sz w:val="13"/>
        </w:rPr>
        <w:t>Pfingston remained active in what he called the “communication chain” of former CMSAFs advocating for the enlisted force after his retirement.</w:t>
      </w:r>
    </w:p>
    <w:p>
      <w:pPr>
        <w:spacing w:after="20" w:line="223" w:lineRule="auto"/>
        <w:jc w:val="right"/>
        <w:bidi/>
      </w:pPr>
      <w:r>
        <w:rPr>
          <w:rFonts w:ascii="Arial" w:hAnsi="Arial"/>
          <w:sz w:val="16"/>
        </w:rPr>
        <w:t>589.13  CMSAF پفینگستون در سال ۲۰۰۷ درگذشت.</w:t>
      </w:r>
    </w:p>
    <w:p>
      <w:pPr>
        <w:spacing w:after="28" w:line="216" w:lineRule="auto"/>
        <w:ind w:left="259"/>
        <w:jc w:val="left"/>
      </w:pPr>
      <w:r>
        <w:rPr>
          <w:rFonts w:ascii="Arial" w:hAnsi="Arial"/>
          <w:color w:val="525252"/>
          <w:sz w:val="13"/>
        </w:rPr>
        <w:t>CMSAF Pfingston died in 2007.</w:t>
      </w:r>
    </w:p>
    <w:p>
      <w:r>
        <w:br w:type="page"/>
      </w:r>
    </w:p>
    <w:p>
      <w:pPr>
        <w:spacing w:after="60"/>
        <w:jc w:val="right"/>
        <w:bidi/>
      </w:pPr>
      <w:r>
        <w:rPr>
          <w:rFonts w:ascii="Arial" w:hAnsi="Arial"/>
          <w:b/>
          <w:color w:val="1F4D78"/>
          <w:sz w:val="19"/>
        </w:rPr>
        <w:t>هفتهٔ 590  |  صفحهٔ منبع: 607</w:t>
      </w:r>
    </w:p>
    <w:p>
      <w:pPr>
        <w:spacing w:after="20" w:line="223" w:lineRule="auto"/>
        <w:jc w:val="right"/>
        <w:bidi/>
      </w:pPr>
      <w:r>
        <w:rPr>
          <w:rFonts w:ascii="Arial" w:hAnsi="Arial"/>
          <w:sz w:val="16"/>
        </w:rPr>
        <w:t>590.01  یازدهمین سرگروهبان ارشد CMSAF نیروی هوایی دیوید جی. کامپاناله ورچستر، ماساچوست، بومی دیوید جی. کامپاناله، گفت که پس از دبیرستان دنیا را به گلویش انداخته است.</w:t>
      </w:r>
    </w:p>
    <w:p>
      <w:pPr>
        <w:spacing w:after="28" w:line="216" w:lineRule="auto"/>
        <w:ind w:left="259"/>
        <w:jc w:val="left"/>
      </w:pPr>
      <w:r>
        <w:rPr>
          <w:rFonts w:ascii="Arial" w:hAnsi="Arial"/>
          <w:color w:val="525252"/>
          <w:sz w:val="13"/>
        </w:rPr>
        <w:t>Eleventh Chief Master Sergeant of the Air Force CMSAF David J. Campanale Worcester, Massachusetts, native David J. Campanale said he had the world by the throat after high school.</w:t>
      </w:r>
    </w:p>
    <w:p>
      <w:pPr>
        <w:spacing w:after="20" w:line="223" w:lineRule="auto"/>
        <w:jc w:val="right"/>
        <w:bidi/>
      </w:pPr>
      <w:r>
        <w:rPr>
          <w:rFonts w:ascii="Arial" w:hAnsi="Arial"/>
          <w:sz w:val="16"/>
        </w:rPr>
        <w:t>590.02  یک ورزشکار خوش آتیه، زمانی که حرفه بیسبال شکست خورد، مادرش او را تشویق کرد تا در سال ۱۹۷۰ به نیروی هوایی بپیوندد.</w:t>
      </w:r>
    </w:p>
    <w:p>
      <w:pPr>
        <w:spacing w:after="28" w:line="216" w:lineRule="auto"/>
        <w:ind w:left="259"/>
        <w:jc w:val="left"/>
      </w:pPr>
      <w:r>
        <w:rPr>
          <w:rFonts w:ascii="Arial" w:hAnsi="Arial"/>
          <w:color w:val="525252"/>
          <w:sz w:val="13"/>
        </w:rPr>
        <w:t>A promising athlete, when a baseball career fell through, his mother encouraged him to join the Air Force in 1970.</w:t>
      </w:r>
    </w:p>
    <w:p>
      <w:pPr>
        <w:spacing w:after="20" w:line="223" w:lineRule="auto"/>
        <w:jc w:val="right"/>
        <w:bidi/>
      </w:pPr>
      <w:r>
        <w:rPr>
          <w:rFonts w:ascii="Arial" w:hAnsi="Arial"/>
          <w:sz w:val="16"/>
        </w:rPr>
        <w:t>590.03  کامپاناله علیرغم عادات ضعیف مطالعه و شکستن استخوان ترقوه خود در بازی فوتبال، مدرسه فنی تعمیر و نگهداری هواپیما را به پایان رساند.</w:t>
      </w:r>
    </w:p>
    <w:p>
      <w:pPr>
        <w:spacing w:after="28" w:line="216" w:lineRule="auto"/>
        <w:ind w:left="259"/>
        <w:jc w:val="left"/>
      </w:pPr>
      <w:r>
        <w:rPr>
          <w:rFonts w:ascii="Arial" w:hAnsi="Arial"/>
          <w:color w:val="525252"/>
          <w:sz w:val="13"/>
        </w:rPr>
        <w:t>Campanale completed aircraft maintenance technical school despite poor study habits and breaking his collarbone playing football.</w:t>
      </w:r>
    </w:p>
    <w:p>
      <w:pPr>
        <w:spacing w:after="20" w:line="223" w:lineRule="auto"/>
        <w:jc w:val="right"/>
        <w:bidi/>
      </w:pPr>
      <w:r>
        <w:rPr>
          <w:rFonts w:ascii="Arial" w:hAnsi="Arial"/>
          <w:sz w:val="16"/>
        </w:rPr>
        <w:t>590.04  او به سرپرستان خود در اولین پایگاه خود اعتبار می‌دهد که نگرش او را تغییر داده‌اند.</w:t>
      </w:r>
    </w:p>
    <w:p>
      <w:pPr>
        <w:spacing w:after="28" w:line="216" w:lineRule="auto"/>
        <w:ind w:left="259"/>
        <w:jc w:val="left"/>
      </w:pPr>
      <w:r>
        <w:rPr>
          <w:rFonts w:ascii="Arial" w:hAnsi="Arial"/>
          <w:color w:val="525252"/>
          <w:sz w:val="13"/>
        </w:rPr>
        <w:t>He credits his supervisors at his first base with turning his attitude around.</w:t>
      </w:r>
    </w:p>
    <w:p>
      <w:pPr>
        <w:spacing w:after="20" w:line="223" w:lineRule="auto"/>
        <w:jc w:val="right"/>
        <w:bidi/>
      </w:pPr>
      <w:r>
        <w:rPr>
          <w:rFonts w:ascii="Arial" w:hAnsi="Arial"/>
          <w:sz w:val="16"/>
        </w:rPr>
        <w:t>590.05  کامپانال به دنبال چالش‌هایی بود و داوطلبانه برای چندین تور به پایگاه نیروی هوایی اندرسن، گوام، در حمایت از مأموریت‌های ب-۵۲ ارک لیگهت در جنوب شرقی آسیا شرکت کرد.</w:t>
      </w:r>
    </w:p>
    <w:p>
      <w:pPr>
        <w:spacing w:after="28" w:line="216" w:lineRule="auto"/>
        <w:ind w:left="259"/>
        <w:jc w:val="left"/>
      </w:pPr>
      <w:r>
        <w:rPr>
          <w:rFonts w:ascii="Arial" w:hAnsi="Arial"/>
          <w:color w:val="525252"/>
          <w:sz w:val="13"/>
        </w:rPr>
        <w:t>Campanale sought challenges, volunteering for several tours to Andersen Air Force Base, Guam, in support of B-52 Arc Light missions in Southeast Asia.</w:t>
      </w:r>
    </w:p>
    <w:p>
      <w:pPr>
        <w:spacing w:after="20" w:line="223" w:lineRule="auto"/>
        <w:jc w:val="right"/>
        <w:bidi/>
      </w:pPr>
      <w:r>
        <w:rPr>
          <w:rFonts w:ascii="Arial" w:hAnsi="Arial"/>
          <w:sz w:val="16"/>
        </w:rPr>
        <w:t>590.06  او بعدا برای انتقال به تعمیر هوایی داوطلب شد.</w:t>
      </w:r>
    </w:p>
    <w:p>
      <w:pPr>
        <w:spacing w:after="28" w:line="216" w:lineRule="auto"/>
        <w:ind w:left="259"/>
        <w:jc w:val="left"/>
      </w:pPr>
      <w:r>
        <w:rPr>
          <w:rFonts w:ascii="Arial" w:hAnsi="Arial"/>
          <w:color w:val="525252"/>
          <w:sz w:val="13"/>
        </w:rPr>
        <w:t>He later volunteered to transfer to aerial repair.</w:t>
      </w:r>
    </w:p>
    <w:p>
      <w:pPr>
        <w:spacing w:after="20" w:line="223" w:lineRule="auto"/>
        <w:jc w:val="right"/>
        <w:bidi/>
      </w:pPr>
      <w:r>
        <w:rPr>
          <w:rFonts w:ascii="Arial" w:hAnsi="Arial"/>
          <w:sz w:val="16"/>
        </w:rPr>
        <w:t>590.07  همانطور که از طریق درجات بالا می‌رفت، کامپاناله جایزه فارغ‌التحصیل ممتاز را در آکادمی درجه افسران و آکادمی ارشد افسر پلیس دریافت کرد و برای مجری استثنایی CMSAF دیوید جی. کامپاناله به درجه گروهبان ارتقا یافت.</w:t>
      </w:r>
    </w:p>
    <w:p>
      <w:pPr>
        <w:spacing w:after="28" w:line="216" w:lineRule="auto"/>
        <w:ind w:left="259"/>
        <w:jc w:val="left"/>
      </w:pPr>
      <w:r>
        <w:rPr>
          <w:rFonts w:ascii="Arial" w:hAnsi="Arial"/>
          <w:color w:val="525252"/>
          <w:sz w:val="13"/>
        </w:rPr>
        <w:t>As he rose through the ranks, Campanale earned the distinguished graduate award at both the NCO academy and senior NCO academy and was stripes for exceptional performer- CMSAF David J. Campanale promoted to Master Sergeant.</w:t>
      </w:r>
    </w:p>
    <w:p>
      <w:pPr>
        <w:spacing w:after="20" w:line="223" w:lineRule="auto"/>
        <w:jc w:val="right"/>
        <w:bidi/>
      </w:pPr>
      <w:r>
        <w:rPr>
          <w:rFonts w:ascii="Arial" w:hAnsi="Arial"/>
          <w:sz w:val="16"/>
        </w:rPr>
        <w:t>590.08  او بعدا به‌عنوان مشاور ارشد استخدام شده در اکتبر ۱۹۹۴ - نوامبر ۱۹۹۶ خدمت کرد. نقشی به نام «به‌شدت پاداش‌دهنده». سالی که CMSAF کامپانال تور خود را آغاز کرد، ارتش برنامه بهداشتی جدید TRICARE را راه‌اندازی کرد.</w:t>
      </w:r>
    </w:p>
    <w:p>
      <w:pPr>
        <w:spacing w:after="28" w:line="216" w:lineRule="auto"/>
        <w:ind w:left="259"/>
        <w:jc w:val="left"/>
      </w:pPr>
      <w:r>
        <w:rPr>
          <w:rFonts w:ascii="Arial" w:hAnsi="Arial"/>
          <w:color w:val="525252"/>
          <w:sz w:val="13"/>
        </w:rPr>
        <w:t>He later served as a senior enlisted October 1994 - November 1996 advisor; a role called “richly rewarding.” The year CMSAF Campanale began his tour, the military launched the new TRICARE health program.</w:t>
      </w:r>
    </w:p>
    <w:p>
      <w:pPr>
        <w:spacing w:after="20" w:line="223" w:lineRule="auto"/>
        <w:jc w:val="right"/>
        <w:bidi/>
      </w:pPr>
      <w:r>
        <w:rPr>
          <w:rFonts w:ascii="Arial" w:hAnsi="Arial"/>
          <w:sz w:val="16"/>
        </w:rPr>
        <w:t>590.09  این تغییر سوالات زیادی را به همراه داشت و اضطراب زیادی را به همراه داشت.</w:t>
      </w:r>
    </w:p>
    <w:p>
      <w:pPr>
        <w:spacing w:after="28" w:line="216" w:lineRule="auto"/>
        <w:ind w:left="259"/>
        <w:jc w:val="left"/>
      </w:pPr>
      <w:r>
        <w:rPr>
          <w:rFonts w:ascii="Arial" w:hAnsi="Arial"/>
          <w:color w:val="525252"/>
          <w:sz w:val="13"/>
        </w:rPr>
        <w:t>The change introduced many questions and a great deal of anxiety.</w:t>
      </w:r>
    </w:p>
    <w:p>
      <w:pPr>
        <w:spacing w:after="20" w:line="223" w:lineRule="auto"/>
        <w:jc w:val="right"/>
        <w:bidi/>
      </w:pPr>
      <w:r>
        <w:rPr>
          <w:rFonts w:ascii="Arial" w:hAnsi="Arial"/>
          <w:sz w:val="16"/>
        </w:rPr>
        <w:t>590.10  او این اتهام را برای کاهش این احساسات از طریق آموزش رهبری کرد.</w:t>
      </w:r>
    </w:p>
    <w:p>
      <w:pPr>
        <w:spacing w:after="28" w:line="216" w:lineRule="auto"/>
        <w:ind w:left="259"/>
        <w:jc w:val="left"/>
      </w:pPr>
      <w:r>
        <w:rPr>
          <w:rFonts w:ascii="Arial" w:hAnsi="Arial"/>
          <w:color w:val="525252"/>
          <w:sz w:val="13"/>
        </w:rPr>
        <w:t>He led the charge to alleviate those feelings through education.</w:t>
      </w:r>
    </w:p>
    <w:p>
      <w:pPr>
        <w:spacing w:after="20" w:line="223" w:lineRule="auto"/>
        <w:jc w:val="right"/>
        <w:bidi/>
      </w:pPr>
      <w:r>
        <w:rPr>
          <w:rFonts w:ascii="Arial" w:hAnsi="Arial"/>
          <w:sz w:val="16"/>
        </w:rPr>
        <w:t>590.11  همچنین، زمانی که کنگره تهدید کرد که سیستم بازنشستگی را به "هیگه ون" تغییر می‌دهد و حقوق بازنشستگی را کاهش می‌دهد، کامپانال به سرعت پاسخ داد.</w:t>
      </w:r>
    </w:p>
    <w:p>
      <w:pPr>
        <w:spacing w:after="28" w:line="216" w:lineRule="auto"/>
        <w:ind w:left="259"/>
        <w:jc w:val="left"/>
      </w:pPr>
      <w:r>
        <w:rPr>
          <w:rFonts w:ascii="Arial" w:hAnsi="Arial"/>
          <w:color w:val="525252"/>
          <w:sz w:val="13"/>
        </w:rPr>
        <w:t>Also, when Congress threatened to change the retirement system to “High One” effectively reducing retirement pay, Campanale quickly responded.</w:t>
      </w:r>
    </w:p>
    <w:p>
      <w:pPr>
        <w:spacing w:after="20" w:line="223" w:lineRule="auto"/>
        <w:jc w:val="right"/>
        <w:bidi/>
      </w:pPr>
      <w:r>
        <w:rPr>
          <w:rFonts w:ascii="Arial" w:hAnsi="Arial"/>
          <w:sz w:val="16"/>
        </w:rPr>
        <w:t>590.12  با حمایت رهبران ارشد، کامپاناله در مبارزه موفق علیه تغییر پیشنهادی در مقابل کنگره ایستاد.</w:t>
      </w:r>
    </w:p>
    <w:p>
      <w:pPr>
        <w:spacing w:after="28" w:line="216" w:lineRule="auto"/>
        <w:ind w:left="259"/>
        <w:jc w:val="left"/>
      </w:pPr>
      <w:r>
        <w:rPr>
          <w:rFonts w:ascii="Arial" w:hAnsi="Arial"/>
          <w:color w:val="525252"/>
          <w:sz w:val="13"/>
        </w:rPr>
        <w:t>With senior leader support, Campanale stood before Congress in the successful fight against the proposed change.</w:t>
      </w:r>
    </w:p>
    <w:p>
      <w:pPr>
        <w:spacing w:after="20" w:line="223" w:lineRule="auto"/>
        <w:jc w:val="right"/>
        <w:bidi/>
      </w:pPr>
      <w:r>
        <w:rPr>
          <w:rFonts w:ascii="Arial" w:hAnsi="Arial"/>
          <w:sz w:val="16"/>
        </w:rPr>
        <w:t>590.13  یکی دیگر از نقاط عطف مهم استخدام و نگهداری، پذیرش استاندارد خوابگاه یک به‌علاوه یک بود که به هر ایرمن اتاق مخصوص به خود را می‌داد.</w:t>
      </w:r>
    </w:p>
    <w:p>
      <w:pPr>
        <w:spacing w:after="28" w:line="216" w:lineRule="auto"/>
        <w:ind w:left="259"/>
        <w:jc w:val="left"/>
      </w:pPr>
      <w:r>
        <w:rPr>
          <w:rFonts w:ascii="Arial" w:hAnsi="Arial"/>
          <w:color w:val="525252"/>
          <w:sz w:val="13"/>
        </w:rPr>
        <w:t>Another important recruitment and retention milestone was adoption of the one-plus-one dormitory standard, which gave each Airman his or her own room.</w:t>
      </w:r>
    </w:p>
    <w:p>
      <w:pPr>
        <w:spacing w:after="20" w:line="223" w:lineRule="auto"/>
        <w:jc w:val="right"/>
        <w:bidi/>
      </w:pPr>
      <w:r>
        <w:rPr>
          <w:rFonts w:ascii="Arial" w:hAnsi="Arial"/>
          <w:sz w:val="16"/>
        </w:rPr>
        <w:t>590.14  طرفدار سخنرانی‌های طولانی نبود، در حین بازدید از پایگاه‌ها به جای ارائه سخنرانی، پرسش‌ها را تشویق می‌کرد که گفت‌وگوی معناداری ایجاد کرد.</w:t>
      </w:r>
    </w:p>
    <w:p>
      <w:pPr>
        <w:spacing w:after="28" w:line="216" w:lineRule="auto"/>
        <w:ind w:left="259"/>
        <w:jc w:val="left"/>
      </w:pPr>
      <w:r>
        <w:rPr>
          <w:rFonts w:ascii="Arial" w:hAnsi="Arial"/>
          <w:color w:val="525252"/>
          <w:sz w:val="13"/>
        </w:rPr>
        <w:t>Not a proponent of long speeches, while visiting bases he encouraged questions rather than delivering a speech, which created meaningful dialogue.</w:t>
      </w:r>
    </w:p>
    <w:p>
      <w:pPr>
        <w:spacing w:after="20" w:line="223" w:lineRule="auto"/>
        <w:jc w:val="right"/>
        <w:bidi/>
      </w:pPr>
      <w:r>
        <w:rPr>
          <w:rFonts w:ascii="Arial" w:hAnsi="Arial"/>
          <w:sz w:val="16"/>
        </w:rPr>
        <w:t>590.15  او معتقد است که هر کسی می‌تواند CMSAF شود و به کسانی که می‌خواهند راه او را دنبال کنند این توصیه را ارائه می‌کند: صادق باشید و به قول خود وفا کنید.</w:t>
      </w:r>
    </w:p>
    <w:p>
      <w:pPr>
        <w:spacing w:after="28" w:line="216" w:lineRule="auto"/>
        <w:ind w:left="259"/>
        <w:jc w:val="left"/>
      </w:pPr>
      <w:r>
        <w:rPr>
          <w:rFonts w:ascii="Arial" w:hAnsi="Arial"/>
          <w:color w:val="525252"/>
          <w:sz w:val="13"/>
        </w:rPr>
        <w:t>He believes anyone can become CMSAF and offers those who want to follow in his footsteps this piece of advice: Be honest and keep your promise.</w:t>
      </w:r>
    </w:p>
    <w:p>
      <w:pPr>
        <w:spacing w:after="20" w:line="223" w:lineRule="auto"/>
        <w:jc w:val="right"/>
        <w:bidi/>
      </w:pPr>
      <w:r>
        <w:rPr>
          <w:rFonts w:ascii="Arial" w:hAnsi="Arial"/>
          <w:sz w:val="16"/>
        </w:rPr>
        <w:t>590.16  کامپانال همچنان به مربیگری فعالانه هوادارانی که امروزه در حال خدمت هستند، ادامه می‌دهد.</w:t>
      </w:r>
    </w:p>
    <w:p>
      <w:pPr>
        <w:spacing w:after="28" w:line="216" w:lineRule="auto"/>
        <w:ind w:left="259"/>
        <w:jc w:val="left"/>
      </w:pPr>
      <w:r>
        <w:rPr>
          <w:rFonts w:ascii="Arial" w:hAnsi="Arial"/>
          <w:color w:val="525252"/>
          <w:sz w:val="13"/>
        </w:rPr>
        <w:t>Campanale continues to actively mentor Airmen serving today.</w:t>
      </w:r>
    </w:p>
    <w:p>
      <w:r>
        <w:br w:type="page"/>
      </w:r>
    </w:p>
    <w:p>
      <w:pPr>
        <w:spacing w:after="60"/>
        <w:jc w:val="right"/>
        <w:bidi/>
      </w:pPr>
      <w:r>
        <w:rPr>
          <w:rFonts w:ascii="Arial" w:hAnsi="Arial"/>
          <w:b/>
          <w:color w:val="1F4D78"/>
          <w:sz w:val="19"/>
        </w:rPr>
        <w:t>هفتهٔ 591  |  صفحهٔ منبع: 608</w:t>
      </w:r>
    </w:p>
    <w:p>
      <w:pPr>
        <w:spacing w:after="20" w:line="223" w:lineRule="auto"/>
        <w:jc w:val="right"/>
        <w:bidi/>
      </w:pPr>
      <w:r>
        <w:rPr>
          <w:rFonts w:ascii="Arial" w:hAnsi="Arial"/>
          <w:sz w:val="16"/>
        </w:rPr>
        <w:t>591.01  دوازدهمین سرگروهبان ارشد CMSAF نیروی هوایی اریک دبلیو بنکن در سینسیناتی، اوهایو بزرگ شد، پس از فارغ‌التحصیلی از دبیرستان، اریک دبلیو. بنکن برای پیوستن به والدینش به هیوستون، تگزاس نقل مکان کرد.</w:t>
      </w:r>
    </w:p>
    <w:p>
      <w:pPr>
        <w:spacing w:after="28" w:line="216" w:lineRule="auto"/>
        <w:ind w:left="259"/>
        <w:jc w:val="left"/>
      </w:pPr>
      <w:r>
        <w:rPr>
          <w:rFonts w:ascii="Arial" w:hAnsi="Arial"/>
          <w:color w:val="525252"/>
          <w:sz w:val="13"/>
        </w:rPr>
        <w:t>Twelfth Chief Master Sergeant of the Air Force CMSAF Eric W. Benken Raised in Cincinnati, Ohio, after graduating high school Eric W. Benken moved to Houston, Texas, to join his parents.</w:t>
      </w:r>
    </w:p>
    <w:p>
      <w:pPr>
        <w:spacing w:after="20" w:line="223" w:lineRule="auto"/>
        <w:jc w:val="right"/>
        <w:bidi/>
      </w:pPr>
      <w:r>
        <w:rPr>
          <w:rFonts w:ascii="Arial" w:hAnsi="Arial"/>
          <w:sz w:val="16"/>
        </w:rPr>
        <w:t>591.02  با تلاش برای یافتن شغلی با درآمد خوب در خارج از منطقه، به‌عنوان یک متخصص اداری به نیروی هوایی پیوست.</w:t>
      </w:r>
    </w:p>
    <w:p>
      <w:pPr>
        <w:spacing w:after="28" w:line="216" w:lineRule="auto"/>
        <w:ind w:left="259"/>
        <w:jc w:val="left"/>
      </w:pPr>
      <w:r>
        <w:rPr>
          <w:rFonts w:ascii="Arial" w:hAnsi="Arial"/>
          <w:color w:val="525252"/>
          <w:sz w:val="13"/>
        </w:rPr>
        <w:t>Struggling to find a good paying job out of the area, he joined the Air Force as an administrative specialist.</w:t>
      </w:r>
    </w:p>
    <w:p>
      <w:pPr>
        <w:spacing w:after="20" w:line="223" w:lineRule="auto"/>
        <w:jc w:val="right"/>
        <w:bidi/>
      </w:pPr>
      <w:r>
        <w:rPr>
          <w:rFonts w:ascii="Arial" w:hAnsi="Arial"/>
          <w:sz w:val="16"/>
        </w:rPr>
        <w:t>591.03  اگرچه برای اولین بار به للینگتون AFB، تگزاس منصوب شد، اما شانس خود را برای سفر ۹ ماه بعد، به دستور به پایگاه هوایی چینگ چوان کانگ، تایوان، پیدا کرد.</w:t>
      </w:r>
    </w:p>
    <w:p>
      <w:pPr>
        <w:spacing w:after="28" w:line="216" w:lineRule="auto"/>
        <w:ind w:left="259"/>
        <w:jc w:val="left"/>
      </w:pPr>
      <w:r>
        <w:rPr>
          <w:rFonts w:ascii="Arial" w:hAnsi="Arial"/>
          <w:color w:val="525252"/>
          <w:sz w:val="13"/>
        </w:rPr>
        <w:t>Although first assigned to Ellington AFB, Texas, he would get his chance to travel 9 months later, on orders to Ching Chuan Kang Air Base, Taiwan.</w:t>
      </w:r>
    </w:p>
    <w:p>
      <w:pPr>
        <w:spacing w:after="20" w:line="223" w:lineRule="auto"/>
        <w:jc w:val="right"/>
        <w:bidi/>
      </w:pPr>
      <w:r>
        <w:rPr>
          <w:rFonts w:ascii="Arial" w:hAnsi="Arial"/>
          <w:sz w:val="16"/>
        </w:rPr>
        <w:t>591.04  در طول تور خود، او به ویتنام جنوبی اعزام شد، جایی که تولد ۲۰ سالگی خود را گذراند.</w:t>
      </w:r>
    </w:p>
    <w:p>
      <w:pPr>
        <w:spacing w:after="28" w:line="216" w:lineRule="auto"/>
        <w:ind w:left="259"/>
        <w:jc w:val="left"/>
      </w:pPr>
      <w:r>
        <w:rPr>
          <w:rFonts w:ascii="Arial" w:hAnsi="Arial"/>
          <w:color w:val="525252"/>
          <w:sz w:val="13"/>
        </w:rPr>
        <w:t>During his tour, he deployed to South Vietnam, where he spent his 20th birthday.</w:t>
      </w:r>
    </w:p>
    <w:p>
      <w:pPr>
        <w:spacing w:after="20" w:line="223" w:lineRule="auto"/>
        <w:jc w:val="right"/>
        <w:bidi/>
      </w:pPr>
      <w:r>
        <w:rPr>
          <w:rFonts w:ascii="Arial" w:hAnsi="Arial"/>
          <w:sz w:val="16"/>
        </w:rPr>
        <w:t>591.05  به‌عنوان مشاور ارشد نیروی هوایی ایالات متحده در اروپا، او بسترسازی بسیار موفق نیروها را در طول عملیات مشترک بوسنی تسهیل کرد.</w:t>
      </w:r>
    </w:p>
    <w:p>
      <w:pPr>
        <w:spacing w:after="28" w:line="216" w:lineRule="auto"/>
        <w:ind w:left="259"/>
        <w:jc w:val="left"/>
      </w:pPr>
      <w:r>
        <w:rPr>
          <w:rFonts w:ascii="Arial" w:hAnsi="Arial"/>
          <w:color w:val="525252"/>
          <w:sz w:val="13"/>
        </w:rPr>
        <w:t>As the U.S. Air Forces Europe senior enlisted advisor, he facilitated the highly successful beddown of forces during the Bosnia Operation Joint Endeavor.</w:t>
      </w:r>
    </w:p>
    <w:p>
      <w:pPr>
        <w:spacing w:after="20" w:line="223" w:lineRule="auto"/>
        <w:jc w:val="right"/>
        <w:bidi/>
      </w:pPr>
      <w:r>
        <w:rPr>
          <w:rFonts w:ascii="Arial" w:hAnsi="Arial"/>
          <w:sz w:val="16"/>
        </w:rPr>
        <w:t>591.06  او ابتکارات متعددی را در زمینه کیفیت زندگی رهبری کرد، از جمله حذف/بازسازی یک سوم از خوابگاه‌های نیروی هوایی ایالات متحده در اروپا با حریم خصوصی صفر، CMSAF ریک و. بنکن راه را برای خوابگاه‌های جدید توسعه‌یافته یک به‌علاوه یک ایجاد کرد.</w:t>
      </w:r>
    </w:p>
    <w:p>
      <w:pPr>
        <w:spacing w:after="28" w:line="216" w:lineRule="auto"/>
        <w:ind w:left="259"/>
        <w:jc w:val="left"/>
      </w:pPr>
      <w:r>
        <w:rPr>
          <w:rFonts w:ascii="Arial" w:hAnsi="Arial"/>
          <w:color w:val="525252"/>
          <w:sz w:val="13"/>
        </w:rPr>
        <w:t>He led numerous quality-of-life initiatives, including eliminating/ remodeling a third of the U.S. Air Forces Europe zero-privacy dormitories, CMSAF Eric W. Benken making way for the newly developed one-plus-one dormitories.</w:t>
      </w:r>
    </w:p>
    <w:p>
      <w:pPr>
        <w:spacing w:after="20" w:line="223" w:lineRule="auto"/>
        <w:jc w:val="right"/>
        <w:bidi/>
      </w:pPr>
      <w:r>
        <w:rPr>
          <w:rFonts w:ascii="Arial" w:hAnsi="Arial"/>
          <w:sz w:val="16"/>
        </w:rPr>
        <w:t>591.07  نوامبر ۱۹۹۶ - آگوست ۱۹۹۹ بنکن همچنین سمینار توسعه حرفه‌ای افسران پلیس را راه‌اندازی کرد، تلاشی برای پر کردن خلاء تحصیلی شغلی بین مدرسه رهبری عضو نیروی هوایی و آکادمی NCO.</w:t>
      </w:r>
    </w:p>
    <w:p>
      <w:pPr>
        <w:spacing w:after="28" w:line="216" w:lineRule="auto"/>
        <w:ind w:left="259"/>
        <w:jc w:val="left"/>
      </w:pPr>
      <w:r>
        <w:rPr>
          <w:rFonts w:ascii="Arial" w:hAnsi="Arial"/>
          <w:color w:val="525252"/>
          <w:sz w:val="13"/>
        </w:rPr>
        <w:t>November 1996 - August 1999 Benken also crafted the NCO Professional Development Seminar, an effort to fill a career education void between Airman Leadership School and the NCO academy.</w:t>
      </w:r>
    </w:p>
    <w:p>
      <w:pPr>
        <w:spacing w:after="20" w:line="223" w:lineRule="auto"/>
        <w:jc w:val="right"/>
        <w:bidi/>
      </w:pPr>
      <w:r>
        <w:rPr>
          <w:rFonts w:ascii="Arial" w:hAnsi="Arial"/>
          <w:sz w:val="16"/>
        </w:rPr>
        <w:t>591.08  در طول تصدی خود، CMSAF بنکن به شدت بر روی اصول، بازگشت به اصول اولیه و تغییر فرهنگ نیروی هوایی برای برآورده کردن الزامات اعزامی جدید تمرکز کرد.</w:t>
      </w:r>
    </w:p>
    <w:p>
      <w:pPr>
        <w:spacing w:after="28" w:line="216" w:lineRule="auto"/>
        <w:ind w:left="259"/>
        <w:jc w:val="left"/>
      </w:pPr>
      <w:r>
        <w:rPr>
          <w:rFonts w:ascii="Arial" w:hAnsi="Arial"/>
          <w:color w:val="525252"/>
          <w:sz w:val="13"/>
        </w:rPr>
        <w:t>During his tenure, CMSAF Benken focused heavily on fundamentals, getting back to basics, and changing the culture of the Air Force to meet new expeditionary requirements.</w:t>
      </w:r>
    </w:p>
    <w:p>
      <w:pPr>
        <w:spacing w:after="20" w:line="223" w:lineRule="auto"/>
        <w:jc w:val="right"/>
        <w:bidi/>
      </w:pPr>
      <w:r>
        <w:rPr>
          <w:rFonts w:ascii="Arial" w:hAnsi="Arial"/>
          <w:sz w:val="16"/>
        </w:rPr>
        <w:t>591.09  او در تمرینات پایه از هفته جنگجو دفاع کرد و از تأمین مالی یک مکان شبیه سازی شده در لاککلاند AFB، تگزاس اطمینان حاصل کرد.</w:t>
      </w:r>
    </w:p>
    <w:p>
      <w:pPr>
        <w:spacing w:after="28" w:line="216" w:lineRule="auto"/>
        <w:ind w:left="259"/>
        <w:jc w:val="left"/>
      </w:pPr>
      <w:r>
        <w:rPr>
          <w:rFonts w:ascii="Arial" w:hAnsi="Arial"/>
          <w:color w:val="525252"/>
          <w:sz w:val="13"/>
        </w:rPr>
        <w:t>He championed Warrior Week at basic training and ensured funding for a simulated deployed location at Lackland AFB, Texas.</w:t>
      </w:r>
    </w:p>
    <w:p>
      <w:pPr>
        <w:spacing w:after="20" w:line="223" w:lineRule="auto"/>
        <w:jc w:val="right"/>
        <w:bidi/>
      </w:pPr>
      <w:r>
        <w:rPr>
          <w:rFonts w:ascii="Arial" w:hAnsi="Arial"/>
          <w:sz w:val="16"/>
        </w:rPr>
        <w:t>591.10  او تغییرات برنامه درسی آکادمی گروهبان اول را با تمرکز بر مسئولیت‌های استقرار ایجاد کرد.</w:t>
      </w:r>
    </w:p>
    <w:p>
      <w:pPr>
        <w:spacing w:after="28" w:line="216" w:lineRule="auto"/>
        <w:ind w:left="259"/>
        <w:jc w:val="left"/>
      </w:pPr>
      <w:r>
        <w:rPr>
          <w:rFonts w:ascii="Arial" w:hAnsi="Arial"/>
          <w:color w:val="525252"/>
          <w:sz w:val="13"/>
        </w:rPr>
        <w:t>He instituted First Sergeant Academy curriculum changes, focusing on deployment responsibilities.</w:t>
      </w:r>
    </w:p>
    <w:p>
      <w:pPr>
        <w:spacing w:after="20" w:line="223" w:lineRule="auto"/>
        <w:jc w:val="right"/>
        <w:bidi/>
      </w:pPr>
      <w:r>
        <w:rPr>
          <w:rFonts w:ascii="Arial" w:hAnsi="Arial"/>
          <w:sz w:val="16"/>
        </w:rPr>
        <w:t>591.11  او معتقد بود که تغییر عنوان "مشاور ارشد سربازگیری" به "سرگروهبان فرماندهی" و افزودن ستاره به شورون برای موفقیت این موقعیت‌ها، در پادگان و در میدان جنگ بسیار مهم است.</w:t>
      </w:r>
    </w:p>
    <w:p>
      <w:pPr>
        <w:spacing w:after="28" w:line="216" w:lineRule="auto"/>
        <w:ind w:left="259"/>
        <w:jc w:val="left"/>
      </w:pPr>
      <w:r>
        <w:rPr>
          <w:rFonts w:ascii="Arial" w:hAnsi="Arial"/>
          <w:color w:val="525252"/>
          <w:sz w:val="13"/>
        </w:rPr>
        <w:t>He believed changing the title “senior enlisted advisor” to “Command Chief Master Sergeant” and adding the star to the chevron were critical to the success of these positions, in garrison and on the battlefield.</w:t>
      </w:r>
    </w:p>
    <w:p>
      <w:pPr>
        <w:spacing w:after="20" w:line="223" w:lineRule="auto"/>
        <w:jc w:val="right"/>
        <w:bidi/>
      </w:pPr>
      <w:r>
        <w:rPr>
          <w:rFonts w:ascii="Arial" w:hAnsi="Arial"/>
          <w:sz w:val="16"/>
        </w:rPr>
        <w:t>591.12  CMSAF بنکن کنگره و گروه‌های ذینفع ویژه را در جبهه‌های متعدد درگیر کرد و در نهایت تلاش‌ها برای تغییر آموزش‌های نظامی اولیه و معکوس کردن سیستم بازنشستگی کاهش یافته در سال ۱۹۸۶ را شکست داد.</w:t>
      </w:r>
    </w:p>
    <w:p>
      <w:pPr>
        <w:spacing w:after="28" w:line="216" w:lineRule="auto"/>
        <w:ind w:left="259"/>
        <w:jc w:val="left"/>
      </w:pPr>
      <w:r>
        <w:rPr>
          <w:rFonts w:ascii="Arial" w:hAnsi="Arial"/>
          <w:color w:val="525252"/>
          <w:sz w:val="13"/>
        </w:rPr>
        <w:t>CMSAF Benken engaged Congress and special interest groups on numerous fronts, ultimately defeating attempts to alter basic military training and reversing the diminished retirement system of 1986.</w:t>
      </w:r>
    </w:p>
    <w:p>
      <w:pPr>
        <w:spacing w:after="20" w:line="223" w:lineRule="auto"/>
        <w:jc w:val="right"/>
        <w:bidi/>
      </w:pPr>
      <w:r>
        <w:rPr>
          <w:rFonts w:ascii="Arial" w:hAnsi="Arial"/>
          <w:sz w:val="16"/>
        </w:rPr>
        <w:t>591.13  سایر چالش‌های مهم شامل حصول اطمینان از برآوردن نیازهای مراقبت‌های بهداشتی TRICARE و مدرن‌سازی نیرو با بودجه محدود بود.</w:t>
      </w:r>
    </w:p>
    <w:p>
      <w:pPr>
        <w:spacing w:after="28" w:line="216" w:lineRule="auto"/>
        <w:ind w:left="259"/>
        <w:jc w:val="left"/>
      </w:pPr>
      <w:r>
        <w:rPr>
          <w:rFonts w:ascii="Arial" w:hAnsi="Arial"/>
          <w:color w:val="525252"/>
          <w:sz w:val="13"/>
        </w:rPr>
        <w:t>Other significant challenges included ensuring TRICARE met health care needs and modernizing the force with a limited budget.</w:t>
      </w:r>
    </w:p>
    <w:p>
      <w:pPr>
        <w:spacing w:after="20" w:line="223" w:lineRule="auto"/>
        <w:jc w:val="right"/>
        <w:bidi/>
      </w:pPr>
      <w:r>
        <w:rPr>
          <w:rFonts w:ascii="Arial" w:hAnsi="Arial"/>
          <w:sz w:val="16"/>
        </w:rPr>
        <w:t>591.14  او معتقد بود رهبران نیروی هوایی باید روی آینده تمرکز کنند و نیرو را برای قرن آینده آماده کنند.</w:t>
      </w:r>
    </w:p>
    <w:p>
      <w:pPr>
        <w:spacing w:after="28" w:line="216" w:lineRule="auto"/>
        <w:ind w:left="259"/>
        <w:jc w:val="left"/>
      </w:pPr>
      <w:r>
        <w:rPr>
          <w:rFonts w:ascii="Arial" w:hAnsi="Arial"/>
          <w:color w:val="525252"/>
          <w:sz w:val="13"/>
        </w:rPr>
        <w:t>He believed Air Force leaders should focus on the future and prepare the force for the next century.</w:t>
      </w:r>
    </w:p>
    <w:p>
      <w:pPr>
        <w:spacing w:after="20" w:line="223" w:lineRule="auto"/>
        <w:jc w:val="right"/>
        <w:bidi/>
      </w:pPr>
      <w:r>
        <w:rPr>
          <w:rFonts w:ascii="Arial" w:hAnsi="Arial"/>
          <w:sz w:val="16"/>
        </w:rPr>
        <w:t>591.15  بنکن به‌عنوان اولین رئیس مشترک شورای بازنشستگان نیروی هوایی خدمت کرد، در هیئت مدیره بنیاد یادبود هوانوردان و شورای مشورتی اجرایی سازمان آمادگی مأموریت خدمت می‌کرد و به سخنرانی در انواع وظایف نیروی هوایی ادامه می‌دهد.</w:t>
      </w:r>
    </w:p>
    <w:p>
      <w:pPr>
        <w:spacing w:after="28" w:line="216" w:lineRule="auto"/>
        <w:ind w:left="259"/>
        <w:jc w:val="left"/>
      </w:pPr>
      <w:r>
        <w:rPr>
          <w:rFonts w:ascii="Arial" w:hAnsi="Arial"/>
          <w:color w:val="525252"/>
          <w:sz w:val="13"/>
        </w:rPr>
        <w:t>Benken served as the first co-chair of the Air Force Retiree Council, serves on the board of directors for the Airmen Memorial Foundation and the Mission Readiness Organization Executive Advisory Council, and continues to speak at a variety of Air Force functions.</w:t>
      </w:r>
    </w:p>
    <w:p>
      <w:r>
        <w:br w:type="page"/>
      </w:r>
    </w:p>
    <w:p>
      <w:pPr>
        <w:spacing w:after="60"/>
        <w:jc w:val="right"/>
        <w:bidi/>
      </w:pPr>
      <w:r>
        <w:rPr>
          <w:rFonts w:ascii="Arial" w:hAnsi="Arial"/>
          <w:b/>
          <w:color w:val="1F4D78"/>
          <w:sz w:val="19"/>
        </w:rPr>
        <w:t>هفتهٔ 592  |  صفحهٔ منبع: 609</w:t>
      </w:r>
    </w:p>
    <w:p>
      <w:pPr>
        <w:spacing w:after="20" w:line="223" w:lineRule="auto"/>
        <w:jc w:val="right"/>
        <w:bidi/>
      </w:pPr>
      <w:r>
        <w:rPr>
          <w:rFonts w:ascii="Arial" w:hAnsi="Arial"/>
          <w:sz w:val="16"/>
        </w:rPr>
        <w:t>592.01  سیزدهمین سرگروهبان ارشد CMSAF نیروی هوایی جیم فینچ جیم فینچ از ایست همپتون، نیویورک وارد نیروی هوایی شد و انتظار داشت که فقط ۴ سال کار را انجام دهد.</w:t>
      </w:r>
    </w:p>
    <w:p>
      <w:pPr>
        <w:spacing w:after="28" w:line="216" w:lineRule="auto"/>
        <w:ind w:left="259"/>
        <w:jc w:val="left"/>
      </w:pPr>
      <w:r>
        <w:rPr>
          <w:rFonts w:ascii="Arial" w:hAnsi="Arial"/>
          <w:color w:val="525252"/>
          <w:sz w:val="13"/>
        </w:rPr>
        <w:t>Thirteenth Chief Master Sergeant of the Air Force CMSAF Jim Finch Jim Finch entered the Air Force from East Hampton, New York, expecting to do only a 4-year hitch.</w:t>
      </w:r>
    </w:p>
    <w:p>
      <w:pPr>
        <w:spacing w:after="20" w:line="223" w:lineRule="auto"/>
        <w:jc w:val="right"/>
        <w:bidi/>
      </w:pPr>
      <w:r>
        <w:rPr>
          <w:rFonts w:ascii="Arial" w:hAnsi="Arial"/>
          <w:sz w:val="16"/>
        </w:rPr>
        <w:t>592.02  او قصد داشت حرفه‌ای را بیاموزد و ببیند دنیا چه چیزی برای ارائه دارد و ادامه دهد.</w:t>
      </w:r>
    </w:p>
    <w:p>
      <w:pPr>
        <w:spacing w:after="28" w:line="216" w:lineRule="auto"/>
        <w:ind w:left="259"/>
        <w:jc w:val="left"/>
      </w:pPr>
      <w:r>
        <w:rPr>
          <w:rFonts w:ascii="Arial" w:hAnsi="Arial"/>
          <w:color w:val="525252"/>
          <w:sz w:val="13"/>
        </w:rPr>
        <w:t>He planned to learn a trade and see what the world had to offer and move on.</w:t>
      </w:r>
    </w:p>
    <w:p>
      <w:pPr>
        <w:spacing w:after="20" w:line="223" w:lineRule="auto"/>
        <w:jc w:val="right"/>
        <w:bidi/>
      </w:pPr>
      <w:r>
        <w:rPr>
          <w:rFonts w:ascii="Arial" w:hAnsi="Arial"/>
          <w:sz w:val="16"/>
        </w:rPr>
        <w:t>592.03  فینچ قبل از تبدیل شدن به یک مربی PME، بخش اولیه زندگی حرفه‌ای خود را به‌عنوان رئیس خدمه تعمیر و نگهداری موشک در «محل‌های بمب» گذراند.</w:t>
      </w:r>
    </w:p>
    <w:p>
      <w:pPr>
        <w:spacing w:after="28" w:line="216" w:lineRule="auto"/>
        <w:ind w:left="259"/>
        <w:jc w:val="left"/>
      </w:pPr>
      <w:r>
        <w:rPr>
          <w:rFonts w:ascii="Arial" w:hAnsi="Arial"/>
          <w:color w:val="525252"/>
          <w:sz w:val="13"/>
        </w:rPr>
        <w:t>Finch spent the early part of his career in the “bomb dumps” as a missile maintenance crew chief before becoming a PME instructor.</w:t>
      </w:r>
    </w:p>
    <w:p>
      <w:pPr>
        <w:spacing w:after="20" w:line="223" w:lineRule="auto"/>
        <w:jc w:val="right"/>
        <w:bidi/>
      </w:pPr>
      <w:r>
        <w:rPr>
          <w:rFonts w:ascii="Arial" w:hAnsi="Arial"/>
          <w:sz w:val="16"/>
        </w:rPr>
        <w:t>592.04  پس از ۴ سال تدریس، فینچ به مرکز توسعه رهبری و مدیریت در پایگاه نیروی هوایی ماکسول آلاباما نقل مکان کرد.</w:t>
      </w:r>
    </w:p>
    <w:p>
      <w:pPr>
        <w:spacing w:after="28" w:line="216" w:lineRule="auto"/>
        <w:ind w:left="259"/>
        <w:jc w:val="left"/>
      </w:pPr>
      <w:r>
        <w:rPr>
          <w:rFonts w:ascii="Arial" w:hAnsi="Arial"/>
          <w:color w:val="525252"/>
          <w:sz w:val="13"/>
        </w:rPr>
        <w:t>After 4 years of teaching, Finch moved to the Leadership and Management Development Center at Maxwell Air Force Base Alabama.</w:t>
      </w:r>
    </w:p>
    <w:p>
      <w:pPr>
        <w:spacing w:after="20" w:line="223" w:lineRule="auto"/>
        <w:jc w:val="right"/>
        <w:bidi/>
      </w:pPr>
      <w:r>
        <w:rPr>
          <w:rFonts w:ascii="Arial" w:hAnsi="Arial"/>
          <w:sz w:val="16"/>
        </w:rPr>
        <w:t>592.05  زمانی که آنجا بود، به توسعه نسخه مکاتبه‌ای دوره مقدماتی NCO کمک کرد و به مربیان جدید PME آموزش داد.</w:t>
      </w:r>
    </w:p>
    <w:p>
      <w:pPr>
        <w:spacing w:after="28" w:line="216" w:lineRule="auto"/>
        <w:ind w:left="259"/>
        <w:jc w:val="left"/>
      </w:pPr>
      <w:r>
        <w:rPr>
          <w:rFonts w:ascii="Arial" w:hAnsi="Arial"/>
          <w:color w:val="525252"/>
          <w:sz w:val="13"/>
        </w:rPr>
        <w:t>While there, he helped develop a correspondence version of the NCO preparatory course and taught new PME instructors.</w:t>
      </w:r>
    </w:p>
    <w:p>
      <w:pPr>
        <w:spacing w:after="20" w:line="223" w:lineRule="auto"/>
        <w:jc w:val="right"/>
        <w:bidi/>
      </w:pPr>
      <w:r>
        <w:rPr>
          <w:rFonts w:ascii="Arial" w:hAnsi="Arial"/>
          <w:sz w:val="16"/>
        </w:rPr>
        <w:t>592.06  او متعاقبا به‌عنوان مدیر عملیاتی NCO PME نیروی هوایی در مرکز پرسنل نظامی نیروی هوایی انتخاب شد.</w:t>
      </w:r>
    </w:p>
    <w:p>
      <w:pPr>
        <w:spacing w:after="28" w:line="216" w:lineRule="auto"/>
        <w:ind w:left="259"/>
        <w:jc w:val="left"/>
      </w:pPr>
      <w:r>
        <w:rPr>
          <w:rFonts w:ascii="Arial" w:hAnsi="Arial"/>
          <w:color w:val="525252"/>
          <w:sz w:val="13"/>
        </w:rPr>
        <w:t>He was subsequently selected as the Air Force NCO PME functional manager at the Air Force Military Personnel Center.</w:t>
      </w:r>
    </w:p>
    <w:p>
      <w:pPr>
        <w:spacing w:after="20" w:line="223" w:lineRule="auto"/>
        <w:jc w:val="right"/>
        <w:bidi/>
      </w:pPr>
      <w:r>
        <w:rPr>
          <w:rFonts w:ascii="Arial" w:hAnsi="Arial"/>
          <w:sz w:val="16"/>
        </w:rPr>
        <w:t>592.07  زمانی که آنجا بود، در بازسازی برنامه PME CMSAF فردریک جی. فینچ از چهار به سه سطح و اجرای روش‌های آگوست ۱۹۹۹ تا ژوئن ۲۰۰۲ برای ایجاد مدرسه رهبری نیروی هوایی و اجازه حضور گروهبانان در آکادمی ارشد افسران شرکت داشت.</w:t>
      </w:r>
    </w:p>
    <w:p>
      <w:pPr>
        <w:spacing w:after="28" w:line="216" w:lineRule="auto"/>
        <w:ind w:left="259"/>
        <w:jc w:val="left"/>
      </w:pPr>
      <w:r>
        <w:rPr>
          <w:rFonts w:ascii="Arial" w:hAnsi="Arial"/>
          <w:color w:val="525252"/>
          <w:sz w:val="13"/>
        </w:rPr>
        <w:t>While there, he was involved in restructuring the PME CMSAF Frederick J. Finch program from four to three levels and implementing procedures August 1999 - June 2002 to create Airman Leadership School and allow Master Sergeants to attend the senior NCO academy.</w:t>
      </w:r>
    </w:p>
    <w:p>
      <w:pPr>
        <w:spacing w:after="20" w:line="223" w:lineRule="auto"/>
        <w:jc w:val="right"/>
        <w:bidi/>
      </w:pPr>
      <w:r>
        <w:rPr>
          <w:rFonts w:ascii="Arial" w:hAnsi="Arial"/>
          <w:sz w:val="16"/>
        </w:rPr>
        <w:t>592.08  فینچ بعدا به‌عنوان فرمانده آکادمی افسران، یازدهمین مشاور ارشد نیروی هوایی و فرماندهی جنگ هوایی، فرمانده ارشد فرماندهی، خدمت کرد.</w:t>
      </w:r>
    </w:p>
    <w:p>
      <w:pPr>
        <w:spacing w:after="28" w:line="216" w:lineRule="auto"/>
        <w:ind w:left="259"/>
        <w:jc w:val="left"/>
      </w:pPr>
      <w:r>
        <w:rPr>
          <w:rFonts w:ascii="Arial" w:hAnsi="Arial"/>
          <w:color w:val="525252"/>
          <w:sz w:val="13"/>
        </w:rPr>
        <w:t>Finch later served as an NCO Academy commandant, the 11th Air Force senior enlisted advisor, and Air Combat Command, Command Chief Master Sergeant.</w:t>
      </w:r>
    </w:p>
    <w:p>
      <w:pPr>
        <w:spacing w:after="20" w:line="223" w:lineRule="auto"/>
        <w:jc w:val="right"/>
        <w:bidi/>
      </w:pPr>
      <w:r>
        <w:rPr>
          <w:rFonts w:ascii="Arial" w:hAnsi="Arial"/>
          <w:sz w:val="16"/>
        </w:rPr>
        <w:t>592.09  هنگامی که CMSAF فینچ افسار را به دست گرفت، نیروی هوایی از یک جنگ سرد به یک طرز فکر اعزامی در حال حرکت بود.</w:t>
      </w:r>
    </w:p>
    <w:p>
      <w:pPr>
        <w:spacing w:after="28" w:line="216" w:lineRule="auto"/>
        <w:ind w:left="259"/>
        <w:jc w:val="left"/>
      </w:pPr>
      <w:r>
        <w:rPr>
          <w:rFonts w:ascii="Arial" w:hAnsi="Arial"/>
          <w:color w:val="525252"/>
          <w:sz w:val="13"/>
        </w:rPr>
        <w:t>When CMSAF Finch took the reins, the Air Force was moving from a cold war to an expeditionary mindset.</w:t>
      </w:r>
    </w:p>
    <w:p>
      <w:pPr>
        <w:spacing w:after="20" w:line="223" w:lineRule="auto"/>
        <w:jc w:val="right"/>
        <w:bidi/>
      </w:pPr>
      <w:r>
        <w:rPr>
          <w:rFonts w:ascii="Arial" w:hAnsi="Arial"/>
          <w:sz w:val="16"/>
        </w:rPr>
        <w:t>592.10  او چشم انداز هفته جنگجوی آموزش پایه CMSAF بنکن را اجرا کرد تا به نیروهای تازه کار کمک کند تا درک کنند که نیروی هوایی اعزامی یک مفهوم موقتی نیست.</w:t>
      </w:r>
    </w:p>
    <w:p>
      <w:pPr>
        <w:spacing w:after="28" w:line="216" w:lineRule="auto"/>
        <w:ind w:left="259"/>
        <w:jc w:val="left"/>
      </w:pPr>
      <w:r>
        <w:rPr>
          <w:rFonts w:ascii="Arial" w:hAnsi="Arial"/>
          <w:color w:val="525252"/>
          <w:sz w:val="13"/>
        </w:rPr>
        <w:t>He implemented CMSAF Benken’s basic training Warrior Week vision to help new recruits understand that the expeditionary Air Force was not a temporary concept.</w:t>
      </w:r>
    </w:p>
    <w:p>
      <w:pPr>
        <w:spacing w:after="20" w:line="223" w:lineRule="auto"/>
        <w:jc w:val="right"/>
        <w:bidi/>
      </w:pPr>
      <w:r>
        <w:rPr>
          <w:rFonts w:ascii="Arial" w:hAnsi="Arial"/>
          <w:sz w:val="16"/>
        </w:rPr>
        <w:t>592.11  او موفقیت برنامه را مدیون مردان و زنان لاکلند می‌داند.</w:t>
      </w:r>
    </w:p>
    <w:p>
      <w:pPr>
        <w:spacing w:after="28" w:line="216" w:lineRule="auto"/>
        <w:ind w:left="259"/>
        <w:jc w:val="left"/>
      </w:pPr>
      <w:r>
        <w:rPr>
          <w:rFonts w:ascii="Arial" w:hAnsi="Arial"/>
          <w:color w:val="525252"/>
          <w:sz w:val="13"/>
        </w:rPr>
        <w:t>He credits the program’s success to the men and women at Lackland.</w:t>
      </w:r>
    </w:p>
    <w:p>
      <w:pPr>
        <w:spacing w:after="20" w:line="223" w:lineRule="auto"/>
        <w:jc w:val="right"/>
        <w:bidi/>
      </w:pPr>
      <w:r>
        <w:rPr>
          <w:rFonts w:ascii="Arial" w:hAnsi="Arial"/>
          <w:sz w:val="16"/>
        </w:rPr>
        <w:t>592.12  که به‌عنوان یک مرد بینا شناخته می‌شود، ۳ سال را صرف تمرکز بر نگرانی‌های اعضای ثبت‌نام کرد و برنامه‌هایی را برای بهبود آمادگی آینده اجرا کرد.</w:t>
      </w:r>
    </w:p>
    <w:p>
      <w:pPr>
        <w:spacing w:after="28" w:line="216" w:lineRule="auto"/>
        <w:ind w:left="259"/>
        <w:jc w:val="left"/>
      </w:pPr>
      <w:r>
        <w:rPr>
          <w:rFonts w:ascii="Arial" w:hAnsi="Arial"/>
          <w:color w:val="525252"/>
          <w:sz w:val="13"/>
        </w:rPr>
        <w:t>Known as a man of vision, he spent 3 years focusing on enlisted members’ concerns, and implementing programs to improve future preparedness.</w:t>
      </w:r>
    </w:p>
    <w:p>
      <w:pPr>
        <w:spacing w:after="20" w:line="223" w:lineRule="auto"/>
        <w:jc w:val="right"/>
        <w:bidi/>
      </w:pPr>
      <w:r>
        <w:rPr>
          <w:rFonts w:ascii="Arial" w:hAnsi="Arial"/>
          <w:sz w:val="16"/>
        </w:rPr>
        <w:t>592.13  فینچ تشخیص داد که نیروهای مسلح باید برای مقابله با تهدیدات متغیر امنیت ملی تغییر کنند.</w:t>
      </w:r>
    </w:p>
    <w:p>
      <w:pPr>
        <w:spacing w:after="28" w:line="216" w:lineRule="auto"/>
        <w:ind w:left="259"/>
        <w:jc w:val="left"/>
      </w:pPr>
      <w:r>
        <w:rPr>
          <w:rFonts w:ascii="Arial" w:hAnsi="Arial"/>
          <w:color w:val="525252"/>
          <w:sz w:val="13"/>
        </w:rPr>
        <w:t>Finch recognized that the armed forces had to change to meet changing threats to national security.</w:t>
      </w:r>
    </w:p>
    <w:p>
      <w:pPr>
        <w:spacing w:after="20" w:line="223" w:lineRule="auto"/>
        <w:jc w:val="right"/>
        <w:bidi/>
      </w:pPr>
      <w:r>
        <w:rPr>
          <w:rFonts w:ascii="Arial" w:hAnsi="Arial"/>
          <w:sz w:val="16"/>
        </w:rPr>
        <w:t>592.14  او بر این باور بود که رهبران آینده محور برای موفقیت بسیار مهم هستند و کمک‌های قابل توجهی برای اطمینان از ایجاد این نوع رهبر توسط نیرو انجام دادند.</w:t>
      </w:r>
    </w:p>
    <w:p>
      <w:pPr>
        <w:spacing w:after="28" w:line="216" w:lineRule="auto"/>
        <w:ind w:left="259"/>
        <w:jc w:val="left"/>
      </w:pPr>
      <w:r>
        <w:rPr>
          <w:rFonts w:ascii="Arial" w:hAnsi="Arial"/>
          <w:color w:val="525252"/>
          <w:sz w:val="13"/>
        </w:rPr>
        <w:t>He believed future-focused leaders were paramount to success and made significant contributions to ensure the force developed that kind of leader.</w:t>
      </w:r>
    </w:p>
    <w:p>
      <w:pPr>
        <w:spacing w:after="20" w:line="223" w:lineRule="auto"/>
        <w:jc w:val="right"/>
        <w:bidi/>
      </w:pPr>
      <w:r>
        <w:rPr>
          <w:rFonts w:ascii="Arial" w:hAnsi="Arial"/>
          <w:sz w:val="16"/>
        </w:rPr>
        <w:t>592.15  فینچ با خدمت در هیئت‌های سازمان‌های وابسته به نیروی هوایی، بازدید از اعضای نیروی هوایی در سراسر جهان و حمایت از برنامه‌های کنونی CMSAF، دیدگاه خود را برای هوانوردان حفظ می‌کند.</w:t>
      </w:r>
    </w:p>
    <w:p>
      <w:pPr>
        <w:spacing w:after="28" w:line="216" w:lineRule="auto"/>
        <w:ind w:left="259"/>
        <w:jc w:val="left"/>
      </w:pPr>
      <w:r>
        <w:rPr>
          <w:rFonts w:ascii="Arial" w:hAnsi="Arial"/>
          <w:color w:val="525252"/>
          <w:sz w:val="13"/>
        </w:rPr>
        <w:t>Finch maintains his vision for Airmen by serving on boards of Air Force-associated organizations, visiting Air Force members worldwide, and supporting current CMSAF agendas.</w:t>
      </w:r>
    </w:p>
    <w:p>
      <w:r>
        <w:br w:type="page"/>
      </w:r>
    </w:p>
    <w:p>
      <w:pPr>
        <w:spacing w:after="60"/>
        <w:jc w:val="right"/>
        <w:bidi/>
      </w:pPr>
      <w:r>
        <w:rPr>
          <w:rFonts w:ascii="Arial" w:hAnsi="Arial"/>
          <w:b/>
          <w:color w:val="1F4D78"/>
          <w:sz w:val="19"/>
        </w:rPr>
        <w:t>هفتهٔ 593  |  صفحهٔ منبع: 610</w:t>
      </w:r>
    </w:p>
    <w:p>
      <w:pPr>
        <w:spacing w:after="20" w:line="223" w:lineRule="auto"/>
        <w:jc w:val="right"/>
        <w:bidi/>
      </w:pPr>
      <w:r>
        <w:rPr>
          <w:rFonts w:ascii="Arial" w:hAnsi="Arial"/>
          <w:sz w:val="16"/>
        </w:rPr>
        <w:t>593.01  چهاردهمین سرگروهبان فرمانده نیروی هوایی CMSAF جرالد آر. موری جرالد آر. موری، اهل بویلینگ اسپرینگز، کارولینای شمالی، در مزرعه پدربزرگش بزرگ شد.</w:t>
      </w:r>
    </w:p>
    <w:p>
      <w:pPr>
        <w:spacing w:after="28" w:line="216" w:lineRule="auto"/>
        <w:ind w:left="259"/>
        <w:jc w:val="left"/>
      </w:pPr>
      <w:r>
        <w:rPr>
          <w:rFonts w:ascii="Arial" w:hAnsi="Arial"/>
          <w:color w:val="525252"/>
          <w:sz w:val="13"/>
        </w:rPr>
        <w:t>Fourteenth Chief Master Sergeant of the Air Force CMSAF Gerald R. Murray Gerald R. Murray, a native of Boiling Springs, North Carolina, grew up on his grandfather’s farm.</w:t>
      </w:r>
    </w:p>
    <w:p>
      <w:pPr>
        <w:spacing w:after="20" w:line="223" w:lineRule="auto"/>
        <w:jc w:val="right"/>
        <w:bidi/>
      </w:pPr>
      <w:r>
        <w:rPr>
          <w:rFonts w:ascii="Arial" w:hAnsi="Arial"/>
          <w:sz w:val="16"/>
        </w:rPr>
        <w:t>593.02  پس از فارغ‌التحصیلی از دبیرستان در سال ۱۹۷۴، برای مدت کوتاهی در کالج تحصیل کرد، ازدواج کرد و قبل از ورود به نیروی هوایی به‌عنوان رئیس خدمه هواپیمای ف-۴ در سال ۱۹۷۷ در کارخانجات نساجی و ساخت و ساز کار کرد.</w:t>
      </w:r>
    </w:p>
    <w:p>
      <w:pPr>
        <w:spacing w:after="28" w:line="216" w:lineRule="auto"/>
        <w:ind w:left="259"/>
        <w:jc w:val="left"/>
      </w:pPr>
      <w:r>
        <w:rPr>
          <w:rFonts w:ascii="Arial" w:hAnsi="Arial"/>
          <w:color w:val="525252"/>
          <w:sz w:val="13"/>
        </w:rPr>
        <w:t>Graduating high school in 1974, he briefly attended college, married, and worked in textile mills and construction before entering the Air Force as an F-4 aircraft crew chief in 1977.</w:t>
      </w:r>
    </w:p>
    <w:p>
      <w:pPr>
        <w:spacing w:after="20" w:line="223" w:lineRule="auto"/>
        <w:jc w:val="right"/>
        <w:bidi/>
      </w:pPr>
      <w:r>
        <w:rPr>
          <w:rFonts w:ascii="Arial" w:hAnsi="Arial"/>
          <w:sz w:val="16"/>
        </w:rPr>
        <w:t>593.03  عملکرد و قابلیت‌های موری به سرعت با ارتقاء او به سمت خلبان ارشد زیر منطقه و انتخاب به‌عنوان مربی تعمیر و نگهداری هواپیمای ف-۱۶ شناخته شد.</w:t>
      </w:r>
    </w:p>
    <w:p>
      <w:pPr>
        <w:spacing w:after="28" w:line="216" w:lineRule="auto"/>
        <w:ind w:left="259"/>
        <w:jc w:val="left"/>
      </w:pPr>
      <w:r>
        <w:rPr>
          <w:rFonts w:ascii="Arial" w:hAnsi="Arial"/>
          <w:color w:val="525252"/>
          <w:sz w:val="13"/>
        </w:rPr>
        <w:t>Murray’s performance and capabilities were quickly recognized by his promotion to Senior Airman below the zone, and selection as an F-16 aircraft maintenance instructor.</w:t>
      </w:r>
    </w:p>
    <w:p>
      <w:pPr>
        <w:spacing w:after="20" w:line="223" w:lineRule="auto"/>
        <w:jc w:val="right"/>
        <w:bidi/>
      </w:pPr>
      <w:r>
        <w:rPr>
          <w:rFonts w:ascii="Arial" w:hAnsi="Arial"/>
          <w:sz w:val="16"/>
        </w:rPr>
        <w:t>593.04  او به‌عنوان رئیس ارشد خدمه ف-۱۶ در "ویکتور آلرت" در پایگاه هوایی اینجرلیک، ترکیه و بعدا به‌عنوان سرپرست تولید اسکادران ا-۱۰ ادامه داد.</w:t>
      </w:r>
    </w:p>
    <w:p>
      <w:pPr>
        <w:spacing w:after="28" w:line="216" w:lineRule="auto"/>
        <w:ind w:left="259"/>
        <w:jc w:val="left"/>
      </w:pPr>
      <w:r>
        <w:rPr>
          <w:rFonts w:ascii="Arial" w:hAnsi="Arial"/>
          <w:color w:val="525252"/>
          <w:sz w:val="13"/>
        </w:rPr>
        <w:t>He continued to excel as the senior F-16 crew chief on "Victor Alert" at Incirlik Air Base, Turkey, and later as an A-10 squadron production superintendent.</w:t>
      </w:r>
    </w:p>
    <w:p>
      <w:pPr>
        <w:spacing w:after="20" w:line="223" w:lineRule="auto"/>
        <w:jc w:val="right"/>
        <w:bidi/>
      </w:pPr>
      <w:r>
        <w:rPr>
          <w:rFonts w:ascii="Arial" w:hAnsi="Arial"/>
          <w:sz w:val="16"/>
        </w:rPr>
        <w:t>593.05  که در حمایت از عملیات سپر صحرا و طوفان صحرا مستقر شد، او نقش کلیدی را به‌عنوان مدیر نوبتی رزمی در پیشروترین مکان عملیات CMSAF جرالد آر. موری در تئاتر ایفا کرد و ستاره برنزی را به دست آورد و بعدا جولای ۲۰۰۲ - ژوئن ۲۰۰۶ ژنرال نیروی هوایی لو آلن تروفی را به دست آورد.</w:t>
      </w:r>
    </w:p>
    <w:p>
      <w:pPr>
        <w:spacing w:after="28" w:line="216" w:lineRule="auto"/>
        <w:ind w:left="259"/>
        <w:jc w:val="left"/>
      </w:pPr>
      <w:r>
        <w:rPr>
          <w:rFonts w:ascii="Arial" w:hAnsi="Arial"/>
          <w:color w:val="525252"/>
          <w:sz w:val="13"/>
        </w:rPr>
        <w:t>Deployed in support of Operations Desert Shield and Desert Storm, he played a key role as the combat turn director at the most forward CMSAF Gerald R. Murray operation location in theater, garnering the Bronze Star, and later July 2002 - June 2006 the Air Force General Lew Allen Trophy.</w:t>
      </w:r>
    </w:p>
    <w:p>
      <w:pPr>
        <w:spacing w:after="20" w:line="223" w:lineRule="auto"/>
        <w:jc w:val="right"/>
        <w:bidi/>
      </w:pPr>
      <w:r>
        <w:rPr>
          <w:rFonts w:ascii="Arial" w:hAnsi="Arial"/>
          <w:sz w:val="16"/>
        </w:rPr>
        <w:t>593.06  پس از ایستادن یک اسکادران جدید ا-۱۰ در مودی AFB، جورجیا، زمانی که موری از خط پرواز بیرون کشیده شد و به‌عنوان مشاور ارشد سرباز ۳۴۷ و سرگروهبان فرمانده فرماندهی خدمت کرد، عملکرد و رهبری او دوباره شناسایی شد.</w:t>
      </w:r>
    </w:p>
    <w:p>
      <w:pPr>
        <w:spacing w:after="28" w:line="216" w:lineRule="auto"/>
        <w:ind w:left="259"/>
        <w:jc w:val="left"/>
      </w:pPr>
      <w:r>
        <w:rPr>
          <w:rFonts w:ascii="Arial" w:hAnsi="Arial"/>
          <w:color w:val="525252"/>
          <w:sz w:val="13"/>
        </w:rPr>
        <w:t>After standing up a new A-10 squadron at Moody AFB, Georgia, Murray’s performance, and leadership were recognized again when he was pulled from the flight line to serve as the 347th Wing Senior Enlisted Advisor and Command Chief Master Sergeant.</w:t>
      </w:r>
    </w:p>
    <w:p>
      <w:pPr>
        <w:spacing w:after="20" w:line="223" w:lineRule="auto"/>
        <w:jc w:val="right"/>
        <w:bidi/>
      </w:pPr>
      <w:r>
        <w:rPr>
          <w:rFonts w:ascii="Arial" w:hAnsi="Arial"/>
          <w:sz w:val="16"/>
        </w:rPr>
        <w:t>593.07  او بعدا به‌عنوان سرگروهبان فرماندهی در پنجمین نیروی هوایی، نیروهای ایالات متحده ژاپن و فرماندهی نیروی هوایی اقیانوس آرام خدمت کرد.</w:t>
      </w:r>
    </w:p>
    <w:p>
      <w:pPr>
        <w:spacing w:after="28" w:line="216" w:lineRule="auto"/>
        <w:ind w:left="259"/>
        <w:jc w:val="left"/>
      </w:pPr>
      <w:r>
        <w:rPr>
          <w:rFonts w:ascii="Arial" w:hAnsi="Arial"/>
          <w:color w:val="525252"/>
          <w:sz w:val="13"/>
        </w:rPr>
        <w:t>He later served as the Command Chief Master Sergeant at 5th Air Force, U.S. Forces Japan, and Pacific Air Forces Command.</w:t>
      </w:r>
    </w:p>
    <w:p>
      <w:pPr>
        <w:spacing w:after="20" w:line="223" w:lineRule="auto"/>
        <w:jc w:val="right"/>
        <w:bidi/>
      </w:pPr>
      <w:r>
        <w:rPr>
          <w:rFonts w:ascii="Arial" w:hAnsi="Arial"/>
          <w:sz w:val="16"/>
        </w:rPr>
        <w:t>593.08  نیروی هوایی در حال تکامل و دنیایی که بعد از حملات تروریستی ۱۱ سپتامبر ۲۰۰۱ تغییر کرده بود، کاتالیزورهای تغییر در دوران تصدی موری بود.</w:t>
      </w:r>
    </w:p>
    <w:p>
      <w:pPr>
        <w:spacing w:after="28" w:line="216" w:lineRule="auto"/>
        <w:ind w:left="259"/>
        <w:jc w:val="left"/>
      </w:pPr>
      <w:r>
        <w:rPr>
          <w:rFonts w:ascii="Arial" w:hAnsi="Arial"/>
          <w:color w:val="525252"/>
          <w:sz w:val="13"/>
        </w:rPr>
        <w:t>An evolving Air Force and a changed world after the 11 September 2001 terrorist attacks were catalysts for change during Murray’s tenure.</w:t>
      </w:r>
    </w:p>
    <w:p>
      <w:pPr>
        <w:spacing w:after="20" w:line="223" w:lineRule="auto"/>
        <w:jc w:val="right"/>
        <w:bidi/>
      </w:pPr>
      <w:r>
        <w:rPr>
          <w:rFonts w:ascii="Arial" w:hAnsi="Arial"/>
          <w:sz w:val="16"/>
        </w:rPr>
        <w:t>593.09  موری آموزش‌های نظامی پایه و PME را به اصول رزمی اعزامی مجددا متمرکز کرد و نقشی پیشرو در توسعه یک برنامه آمادگی جسمانی جدید برای بهبود آمادگی در کل نیروی هوایی ایفا کرد.</w:t>
      </w:r>
    </w:p>
    <w:p>
      <w:pPr>
        <w:spacing w:after="28" w:line="216" w:lineRule="auto"/>
        <w:ind w:left="259"/>
        <w:jc w:val="left"/>
      </w:pPr>
      <w:r>
        <w:rPr>
          <w:rFonts w:ascii="Arial" w:hAnsi="Arial"/>
          <w:color w:val="525252"/>
          <w:sz w:val="13"/>
        </w:rPr>
        <w:t>Murray refocused basic military training and PME toward expeditionary combat principles and took a leading role in developing a new physical fitness program to improve Air Force-wide readiness.</w:t>
      </w:r>
    </w:p>
    <w:p>
      <w:pPr>
        <w:spacing w:after="20" w:line="223" w:lineRule="auto"/>
        <w:jc w:val="right"/>
        <w:bidi/>
      </w:pPr>
      <w:r>
        <w:rPr>
          <w:rFonts w:ascii="Arial" w:hAnsi="Arial"/>
          <w:sz w:val="16"/>
        </w:rPr>
        <w:t>593.10  به‌علاوه، موری تلاش‌هایی را برای ایجاد تعادل در ساختار نیروی اعزامی از طریق افزایش دوره تصدی سال بالا برای چهار درجه سربازی، بازگرداندن برنامه‌های رزرو شغلی و بازآموزی NCO، و توزیع مجدد ارتقاء SNCO در کدهای تخصصی حیاتی و نامتعادل نیروی هوایی رهبری کرد.</w:t>
      </w:r>
    </w:p>
    <w:p>
      <w:pPr>
        <w:spacing w:after="28" w:line="216" w:lineRule="auto"/>
        <w:ind w:left="259"/>
        <w:jc w:val="left"/>
      </w:pPr>
      <w:r>
        <w:rPr>
          <w:rFonts w:ascii="Arial" w:hAnsi="Arial"/>
          <w:color w:val="525252"/>
          <w:sz w:val="13"/>
        </w:rPr>
        <w:t>Additionally, Murray led efforts to balance the enlisted force structure by increasing high-year tenure for four enlisted grades, bringing back the career job reservation and NCO retraining programs, and redistributing SNCO promotions in critical and unbalanced Air Force specialty codes.</w:t>
      </w:r>
    </w:p>
    <w:p>
      <w:pPr>
        <w:spacing w:after="20" w:line="223" w:lineRule="auto"/>
        <w:jc w:val="right"/>
        <w:bidi/>
      </w:pPr>
      <w:r>
        <w:rPr>
          <w:rFonts w:ascii="Arial" w:hAnsi="Arial"/>
          <w:sz w:val="16"/>
        </w:rPr>
        <w:t>593.11  با درک نیاز به حفظ رهبری قوی، او رویکردی عمدی را برای توسعه حرفه‌ای افسران آغاز کرد. تغییراتی را در مدیریت سرگروهبانان ارشد انجام داد، از جمله همسویی در دفتر مدیریت رهبران ارشد نیروی هوایی، و یک دوره رهبری گروهبان ارشد را به مجموعه PME اضافه کرد.</w:t>
      </w:r>
    </w:p>
    <w:p>
      <w:pPr>
        <w:spacing w:after="28" w:line="216" w:lineRule="auto"/>
        <w:ind w:left="259"/>
        <w:jc w:val="left"/>
      </w:pPr>
      <w:r>
        <w:rPr>
          <w:rFonts w:ascii="Arial" w:hAnsi="Arial"/>
          <w:color w:val="525252"/>
          <w:sz w:val="13"/>
        </w:rPr>
        <w:t>Understanding the need to maintain strong leadership, he initiated a deliberate approach to NCO professional development; led changes to the management of Chief Master Sergeants, including alignment under the Air Force Senior Leaders Management Office, and added a Chief Master Sergeant leadership course to the enlisted PME continuum.</w:t>
      </w:r>
    </w:p>
    <w:p>
      <w:pPr>
        <w:spacing w:after="20" w:line="223" w:lineRule="auto"/>
        <w:jc w:val="right"/>
        <w:bidi/>
      </w:pPr>
      <w:r>
        <w:rPr>
          <w:rFonts w:ascii="Arial" w:hAnsi="Arial"/>
          <w:sz w:val="16"/>
        </w:rPr>
        <w:t>593.12  در دوران بازنشستگی، موری در شکل‌دهی به توسعه نیروهای هوایی، خدمت در سازمان‌های حرفه‌ای نیروی هوایی و ادامه سخنرانی در سراسر نیرو فعال باقی می‌ماند.</w:t>
      </w:r>
    </w:p>
    <w:p>
      <w:pPr>
        <w:spacing w:after="28" w:line="216" w:lineRule="auto"/>
        <w:ind w:left="259"/>
        <w:jc w:val="left"/>
      </w:pPr>
      <w:r>
        <w:rPr>
          <w:rFonts w:ascii="Arial" w:hAnsi="Arial"/>
          <w:color w:val="525252"/>
          <w:sz w:val="13"/>
        </w:rPr>
        <w:t>In retirement, Murray remains active in shaping Airmen development, serving with Air Force professional organizations and continuing to speak throughout the force.</w:t>
      </w:r>
    </w:p>
    <w:p>
      <w:r>
        <w:br w:type="page"/>
      </w:r>
    </w:p>
    <w:p>
      <w:pPr>
        <w:spacing w:after="60"/>
        <w:jc w:val="right"/>
        <w:bidi/>
      </w:pPr>
      <w:r>
        <w:rPr>
          <w:rFonts w:ascii="Arial" w:hAnsi="Arial"/>
          <w:b/>
          <w:color w:val="1F4D78"/>
          <w:sz w:val="19"/>
        </w:rPr>
        <w:t>هفتهٔ 594  |  صفحهٔ منبع: 611</w:t>
      </w:r>
    </w:p>
    <w:p>
      <w:pPr>
        <w:spacing w:after="20" w:line="223" w:lineRule="auto"/>
        <w:jc w:val="right"/>
        <w:bidi/>
      </w:pPr>
      <w:r>
        <w:rPr>
          <w:rFonts w:ascii="Arial" w:hAnsi="Arial"/>
          <w:sz w:val="16"/>
        </w:rPr>
        <w:t>594.01  پانزدهمین سرگروهبان ارشد CMSAF نیروی هوایی رادنی جی. مک کینلی رادنی جی. مک کینلی در کوهستان بزرگ شد.</w:t>
      </w:r>
    </w:p>
    <w:p>
      <w:pPr>
        <w:spacing w:after="28" w:line="216" w:lineRule="auto"/>
        <w:ind w:left="259"/>
        <w:jc w:val="left"/>
      </w:pPr>
      <w:r>
        <w:rPr>
          <w:rFonts w:ascii="Arial" w:hAnsi="Arial"/>
          <w:color w:val="525252"/>
          <w:sz w:val="13"/>
        </w:rPr>
        <w:t>Fifteenth Chief Master Sergeant of the Air Force CMSAF Rodney J. McKinley Rodney J. McKinley grew up in Mt.</w:t>
      </w:r>
    </w:p>
    <w:p>
      <w:pPr>
        <w:spacing w:after="20" w:line="223" w:lineRule="auto"/>
        <w:jc w:val="right"/>
        <w:bidi/>
      </w:pPr>
      <w:r>
        <w:rPr>
          <w:rFonts w:ascii="Arial" w:hAnsi="Arial"/>
          <w:sz w:val="16"/>
        </w:rPr>
        <w:t>594.02  اوراب، اوهایو، و در اصل در سال ۱۹۷۴ به‌عنوان تکنسین پزشکی وارد نیروی هوایی شد.</w:t>
      </w:r>
    </w:p>
    <w:p>
      <w:pPr>
        <w:spacing w:after="28" w:line="216" w:lineRule="auto"/>
        <w:ind w:left="259"/>
        <w:jc w:val="left"/>
      </w:pPr>
      <w:r>
        <w:rPr>
          <w:rFonts w:ascii="Arial" w:hAnsi="Arial"/>
          <w:color w:val="525252"/>
          <w:sz w:val="13"/>
        </w:rPr>
        <w:t>Orab, Ohio, and originally entered the Air Force in 1974 as a medical technician.</w:t>
      </w:r>
    </w:p>
    <w:p>
      <w:pPr>
        <w:spacing w:after="20" w:line="223" w:lineRule="auto"/>
        <w:jc w:val="right"/>
        <w:bidi/>
      </w:pPr>
      <w:r>
        <w:rPr>
          <w:rFonts w:ascii="Arial" w:hAnsi="Arial"/>
          <w:sz w:val="16"/>
        </w:rPr>
        <w:t>594.03  در سال ۱۹۷۷ برای ادامه تحصیل از نیروی هوایی جدا شد.</w:t>
      </w:r>
    </w:p>
    <w:p>
      <w:pPr>
        <w:spacing w:after="28" w:line="216" w:lineRule="auto"/>
        <w:ind w:left="259"/>
        <w:jc w:val="left"/>
      </w:pPr>
      <w:r>
        <w:rPr>
          <w:rFonts w:ascii="Arial" w:hAnsi="Arial"/>
          <w:color w:val="525252"/>
          <w:sz w:val="13"/>
        </w:rPr>
        <w:t>He separated from the Air Force in 1977 to pursue an education.</w:t>
      </w:r>
    </w:p>
    <w:p>
      <w:pPr>
        <w:spacing w:after="20" w:line="223" w:lineRule="auto"/>
        <w:jc w:val="right"/>
        <w:bidi/>
      </w:pPr>
      <w:r>
        <w:rPr>
          <w:rFonts w:ascii="Arial" w:hAnsi="Arial"/>
          <w:sz w:val="16"/>
        </w:rPr>
        <w:t>594.04  او در سال ۱۹۸۲ به‌عنوان متخصص تعمیر و نگهداری هواپیما به رگاف بازگشت و در موقعیت‌های مختلف تعمیر و نگهداری هواپیما در میرتل باچ AFB، کارولینای جنوبی، و پایگاه هوایی کلارک، فیلیپین خدمت کرد.</w:t>
      </w:r>
    </w:p>
    <w:p>
      <w:pPr>
        <w:spacing w:after="28" w:line="216" w:lineRule="auto"/>
        <w:ind w:left="259"/>
        <w:jc w:val="left"/>
      </w:pPr>
      <w:r>
        <w:rPr>
          <w:rFonts w:ascii="Arial" w:hAnsi="Arial"/>
          <w:color w:val="525252"/>
          <w:sz w:val="13"/>
        </w:rPr>
        <w:t>He returned to RegAF in 1982 as an aircraft maintenance specialist and served in various aircraft maintenance positions at Myrtle Beach AFB, South Carolina, and Clark Air Base, Philippines.</w:t>
      </w:r>
    </w:p>
    <w:p>
      <w:pPr>
        <w:spacing w:after="20" w:line="223" w:lineRule="auto"/>
        <w:jc w:val="right"/>
        <w:bidi/>
      </w:pPr>
      <w:r>
        <w:rPr>
          <w:rFonts w:ascii="Arial" w:hAnsi="Arial"/>
          <w:sz w:val="16"/>
        </w:rPr>
        <w:t>594.05  در سال ۱۹۹۱، او گروهبان یکم شد، سمتی که برای ۱۰ سال بعد با مأموریت‌هایی در میرتل باچ AFB، کارولینای جنوبی، در سمتی قرار گرفت. پایگاه هوایی قدی، ایتالیا؛ تینکر AFB، اوکلاهما؛ و پایگاه هوایی رامشتاین آلمان.</w:t>
      </w:r>
    </w:p>
    <w:p>
      <w:pPr>
        <w:spacing w:after="28" w:line="216" w:lineRule="auto"/>
        <w:ind w:left="259"/>
        <w:jc w:val="left"/>
      </w:pPr>
      <w:r>
        <w:rPr>
          <w:rFonts w:ascii="Arial" w:hAnsi="Arial"/>
          <w:color w:val="525252"/>
          <w:sz w:val="13"/>
        </w:rPr>
        <w:t>In 1991, he became a first sergeant, a position he held for the next 10 years, with assignments at Myrtle Beach AFB, South Carolina; Ghedi Air Base, Italy; Tinker AFB, Oklahoma; and Ramstein Air Base, Germany.</w:t>
      </w:r>
    </w:p>
    <w:p>
      <w:pPr>
        <w:spacing w:after="20" w:line="223" w:lineRule="auto"/>
        <w:jc w:val="right"/>
        <w:bidi/>
      </w:pPr>
      <w:r>
        <w:rPr>
          <w:rFonts w:ascii="Arial" w:hAnsi="Arial"/>
          <w:sz w:val="16"/>
        </w:rPr>
        <w:t>594.06  مک کینلی سپس به‌عنوان سرگروهبان فرماندهی در پایگاه هوایی رامشتاین، آلمان خدمت کرد. لانگلی AFB، ویرجینیا؛ و یازدهمین نیروی هوایی در لمندورف AFB، آلاسکا.</w:t>
      </w:r>
    </w:p>
    <w:p>
      <w:pPr>
        <w:spacing w:after="28" w:line="216" w:lineRule="auto"/>
        <w:ind w:left="259"/>
        <w:jc w:val="left"/>
      </w:pPr>
      <w:r>
        <w:rPr>
          <w:rFonts w:ascii="Arial" w:hAnsi="Arial"/>
          <w:color w:val="525252"/>
          <w:sz w:val="13"/>
        </w:rPr>
        <w:t>McKinley then served as a command Chief Master Sergeant at Ramstein Air Base, Germany; Langley AFB, Virginia; and 11th Air Force at Elmendorf AFB, Alaska.</w:t>
      </w:r>
    </w:p>
    <w:p>
      <w:pPr>
        <w:spacing w:after="20" w:line="223" w:lineRule="auto"/>
        <w:jc w:val="right"/>
        <w:bidi/>
      </w:pPr>
      <w:r>
        <w:rPr>
          <w:rFonts w:ascii="Arial" w:hAnsi="Arial"/>
          <w:sz w:val="16"/>
        </w:rPr>
        <w:t>594.07  در سال ۲۰۰۳، در طی روزهای اولیه CMSAF رادنی جی. مک کینلی عملیات آزادی عراق، او به‌عنوان فرمانده فرماندهی از ژوئن ۲۰۰۶ تا ژوئن ۲۰۰۹ به‌عنوان سرگروهبان در ۳۷۹ بال اعزامی هوایی، جنوب غربی آسیا مستقر شد.</w:t>
      </w:r>
    </w:p>
    <w:p>
      <w:pPr>
        <w:spacing w:after="28" w:line="216" w:lineRule="auto"/>
        <w:ind w:left="259"/>
        <w:jc w:val="left"/>
      </w:pPr>
      <w:r>
        <w:rPr>
          <w:rFonts w:ascii="Arial" w:hAnsi="Arial"/>
          <w:color w:val="525252"/>
          <w:sz w:val="13"/>
        </w:rPr>
        <w:t>In 2003, during the early days of CMSAF Rodney J. McKinley Operation Iraqi Freedom, he deployed as Command Chief June 2006 - June 2009 Master Sergeant to the 379th Air Expeditionary Wing, Southwest Asia.</w:t>
      </w:r>
    </w:p>
    <w:p>
      <w:pPr>
        <w:spacing w:after="20" w:line="223" w:lineRule="auto"/>
        <w:jc w:val="right"/>
        <w:bidi/>
      </w:pPr>
      <w:r>
        <w:rPr>
          <w:rFonts w:ascii="Arial" w:hAnsi="Arial"/>
          <w:sz w:val="16"/>
        </w:rPr>
        <w:t>594.08  قبل از انتخاب به‌عنوان پانزدهمین CMSAF، او سرگروه فرمانده فرماندهی نیروی هوایی اقیانوس آرام در هیککام AFB، هاوایی بود.</w:t>
      </w:r>
    </w:p>
    <w:p>
      <w:pPr>
        <w:spacing w:after="28" w:line="216" w:lineRule="auto"/>
        <w:ind w:left="259"/>
        <w:jc w:val="left"/>
      </w:pPr>
      <w:r>
        <w:rPr>
          <w:rFonts w:ascii="Arial" w:hAnsi="Arial"/>
          <w:color w:val="525252"/>
          <w:sz w:val="13"/>
        </w:rPr>
        <w:t>Before being selected as the 15th CMSAF, he was the Pacific Air Forces Command Chief Master Sergeant at Hickam AFB, Hawaii.</w:t>
      </w:r>
    </w:p>
    <w:p>
      <w:pPr>
        <w:spacing w:after="20" w:line="223" w:lineRule="auto"/>
        <w:jc w:val="right"/>
        <w:bidi/>
      </w:pPr>
      <w:r>
        <w:rPr>
          <w:rFonts w:ascii="Arial" w:hAnsi="Arial"/>
          <w:sz w:val="16"/>
        </w:rPr>
        <w:t>594.09  در طول تصدی خود، CMSAF مک کینلی مدافع پیروزی در جنگ جهانی علیه تروریسم، توسعه و مراقبت از هوانوردان، و نوسازی دارایی‌های هوا، فضا و فضای سایبری قدیمی بود.</w:t>
      </w:r>
    </w:p>
    <w:p>
      <w:pPr>
        <w:spacing w:after="28" w:line="216" w:lineRule="auto"/>
        <w:ind w:left="259"/>
        <w:jc w:val="left"/>
      </w:pPr>
      <w:r>
        <w:rPr>
          <w:rFonts w:ascii="Arial" w:hAnsi="Arial"/>
          <w:color w:val="525252"/>
          <w:sz w:val="13"/>
        </w:rPr>
        <w:t>During his tenure, CMSAF McKinley was an advocate for winning the Global War on Terrorism, developing, and taking care of Airmen, and modernizing aging air, space, and cyberspace assets.</w:t>
      </w:r>
    </w:p>
    <w:p>
      <w:pPr>
        <w:spacing w:after="20" w:line="223" w:lineRule="auto"/>
        <w:jc w:val="right"/>
        <w:bidi/>
      </w:pPr>
      <w:r>
        <w:rPr>
          <w:rFonts w:ascii="Arial" w:hAnsi="Arial"/>
          <w:sz w:val="16"/>
        </w:rPr>
        <w:t>594.10  مک‌کینلی بر سازماندهی، آموزش، و تجهیز صحیح هوانوردان در زمانی که بسیاری از آنها خارج از صلاحیت‌های اصلی خود وظیفه داشتند، تمرکز کرد.</w:t>
      </w:r>
    </w:p>
    <w:p>
      <w:pPr>
        <w:spacing w:after="28" w:line="216" w:lineRule="auto"/>
        <w:ind w:left="259"/>
        <w:jc w:val="left"/>
      </w:pPr>
      <w:r>
        <w:rPr>
          <w:rFonts w:ascii="Arial" w:hAnsi="Arial"/>
          <w:color w:val="525252"/>
          <w:sz w:val="13"/>
        </w:rPr>
        <w:t>McKinley focused on properly organizing, training, and equipping Airmen during a time when many were being tasked outside their core competencies.</w:t>
      </w:r>
    </w:p>
    <w:p>
      <w:pPr>
        <w:spacing w:after="20" w:line="223" w:lineRule="auto"/>
        <w:jc w:val="right"/>
        <w:bidi/>
      </w:pPr>
      <w:r>
        <w:rPr>
          <w:rFonts w:ascii="Arial" w:hAnsi="Arial"/>
          <w:sz w:val="16"/>
        </w:rPr>
        <w:t>594.11  تلاش‌های او برای بهبود سیستم ارزیابی ثبت‌نام شده منجر به اولین تغییرات عمده در فرم‌های بازخورد و گزارش عملکرد از سال ۱۹۹۰ شد.</w:t>
      </w:r>
    </w:p>
    <w:p>
      <w:pPr>
        <w:spacing w:after="28" w:line="216" w:lineRule="auto"/>
        <w:ind w:left="259"/>
        <w:jc w:val="left"/>
      </w:pPr>
      <w:r>
        <w:rPr>
          <w:rFonts w:ascii="Arial" w:hAnsi="Arial"/>
          <w:color w:val="525252"/>
          <w:sz w:val="13"/>
        </w:rPr>
        <w:t>His efforts to improve the enlisted evaluation system resulted in the first major changes to feedback and performance report forms since 1990.</w:t>
      </w:r>
    </w:p>
    <w:p>
      <w:pPr>
        <w:spacing w:after="20" w:line="223" w:lineRule="auto"/>
        <w:jc w:val="right"/>
        <w:bidi/>
      </w:pPr>
      <w:r>
        <w:rPr>
          <w:rFonts w:ascii="Arial" w:hAnsi="Arial"/>
          <w:sz w:val="16"/>
        </w:rPr>
        <w:t>594.12  CMSAF مک‌کینلی همچنین از یک لشکر تحصیلکرده دفاع می‌کرد و هوانوردان را قویا تشویق می‌کرد تا در اوایل کار خود مدرک کالج اجتماعی نیروی هوایی را دنبال کنند.</w:t>
      </w:r>
    </w:p>
    <w:p>
      <w:pPr>
        <w:spacing w:after="28" w:line="216" w:lineRule="auto"/>
        <w:ind w:left="259"/>
        <w:jc w:val="left"/>
      </w:pPr>
      <w:r>
        <w:rPr>
          <w:rFonts w:ascii="Arial" w:hAnsi="Arial"/>
          <w:color w:val="525252"/>
          <w:sz w:val="13"/>
        </w:rPr>
        <w:t>CMSAF McKinley also advocated for an educated enlisted corps and strongly encouraged Airmen to pursue a Community College of the Air Force degree earlier in their careers.</w:t>
      </w:r>
    </w:p>
    <w:p>
      <w:pPr>
        <w:spacing w:after="20" w:line="223" w:lineRule="auto"/>
        <w:jc w:val="right"/>
        <w:bidi/>
      </w:pPr>
      <w:r>
        <w:rPr>
          <w:rFonts w:ascii="Arial" w:hAnsi="Arial"/>
          <w:sz w:val="16"/>
        </w:rPr>
        <w:t>594.13  که مدافع قوی روح "هواپیما آمریکایی" بود، در را برای ایجاد عضو نیروی هوایی'س کرید باز کرد که باورهای اصلی نیروی هوایی را مدون کرد و اخلاق جنگجو را بیان کرد.</w:t>
      </w:r>
    </w:p>
    <w:p>
      <w:pPr>
        <w:spacing w:after="28" w:line="216" w:lineRule="auto"/>
        <w:ind w:left="259"/>
        <w:jc w:val="left"/>
      </w:pPr>
      <w:r>
        <w:rPr>
          <w:rFonts w:ascii="Arial" w:hAnsi="Arial"/>
          <w:color w:val="525252"/>
          <w:sz w:val="13"/>
        </w:rPr>
        <w:t>A strong advocate for the “American Airman” spirit, he opened the door for creation of the Airman’s Creed, which codified core Air Force beliefs and articulated the warrior ethos.</w:t>
      </w:r>
    </w:p>
    <w:p>
      <w:pPr>
        <w:spacing w:after="20" w:line="223" w:lineRule="auto"/>
        <w:jc w:val="right"/>
        <w:bidi/>
      </w:pPr>
      <w:r>
        <w:rPr>
          <w:rFonts w:ascii="Arial" w:hAnsi="Arial"/>
          <w:sz w:val="16"/>
        </w:rPr>
        <w:t>594.14  چشم‌انداز او منجر به ایجاد «پیاده‌روی قهرمانان سرباز» در میدان رژه در لاککلاند AFB، تگزاس و بازگشت مدال برنجی و رفتار خوب شد.</w:t>
      </w:r>
    </w:p>
    <w:p>
      <w:pPr>
        <w:spacing w:after="28" w:line="216" w:lineRule="auto"/>
        <w:ind w:left="259"/>
        <w:jc w:val="left"/>
      </w:pPr>
      <w:r>
        <w:rPr>
          <w:rFonts w:ascii="Arial" w:hAnsi="Arial"/>
          <w:color w:val="525252"/>
          <w:sz w:val="13"/>
        </w:rPr>
        <w:t>His vision led to the creation of the Enlisted Heroes Walk on the parade field at Lackland AFB, Texas, and the return of the enlisted collar brass and Good Conduct Medal.</w:t>
      </w:r>
    </w:p>
    <w:p>
      <w:pPr>
        <w:spacing w:after="20" w:line="223" w:lineRule="auto"/>
        <w:jc w:val="right"/>
        <w:bidi/>
      </w:pPr>
      <w:r>
        <w:rPr>
          <w:rFonts w:ascii="Arial" w:hAnsi="Arial"/>
          <w:sz w:val="16"/>
        </w:rPr>
        <w:t>594.15  CMSAF مک‌کینلی همچنین بهبودهایی را در سلامت و تناسب اندام هواداران، مراقبت از جنگجویان مجروح، مراقبت از کودکان، فرصت‌های شغلی همسر، و مسکن همراه و بدون همراه دنبال کرد.</w:t>
      </w:r>
    </w:p>
    <w:p>
      <w:pPr>
        <w:spacing w:after="28" w:line="216" w:lineRule="auto"/>
        <w:ind w:left="259"/>
        <w:jc w:val="left"/>
      </w:pPr>
      <w:r>
        <w:rPr>
          <w:rFonts w:ascii="Arial" w:hAnsi="Arial"/>
          <w:color w:val="525252"/>
          <w:sz w:val="13"/>
        </w:rPr>
        <w:t>CMSAF McKinley also pursued improvements in Airman health and fitness, wounded warrior care, childcare, spousal employment opportunities, and accompanied and unaccompanied housing.</w:t>
      </w:r>
    </w:p>
    <w:p>
      <w:r>
        <w:br w:type="page"/>
      </w:r>
    </w:p>
    <w:p>
      <w:pPr>
        <w:spacing w:after="60"/>
        <w:jc w:val="right"/>
        <w:bidi/>
      </w:pPr>
      <w:r>
        <w:rPr>
          <w:rFonts w:ascii="Arial" w:hAnsi="Arial"/>
          <w:b/>
          <w:color w:val="1F4D78"/>
          <w:sz w:val="19"/>
        </w:rPr>
        <w:t>هفتهٔ 595  |  صفحهٔ منبع: 612</w:t>
      </w:r>
    </w:p>
    <w:p>
      <w:pPr>
        <w:spacing w:after="20" w:line="223" w:lineRule="auto"/>
        <w:jc w:val="right"/>
        <w:bidi/>
      </w:pPr>
      <w:r>
        <w:rPr>
          <w:rFonts w:ascii="Arial" w:hAnsi="Arial"/>
          <w:sz w:val="16"/>
        </w:rPr>
        <w:t>595.01  شانزدهمین سرگروهبان ارشد CMSAF نیروی هوایی جامس ا. روی جامس ا. روی در مونرو، میشیگان بزرگ شد و در ابتدا در سال ۱۹۸۲ به‌عنوان اپراتور تجهیزات سنگین وارد نیروی هوایی شد.</w:t>
      </w:r>
    </w:p>
    <w:p>
      <w:pPr>
        <w:spacing w:after="28" w:line="216" w:lineRule="auto"/>
        <w:ind w:left="259"/>
        <w:jc w:val="left"/>
      </w:pPr>
      <w:r>
        <w:rPr>
          <w:rFonts w:ascii="Arial" w:hAnsi="Arial"/>
          <w:color w:val="525252"/>
          <w:sz w:val="13"/>
        </w:rPr>
        <w:t>Sixteenth Chief Master Sergeant of the Air Force CMSAF James A. Roy James A. Roy grew up in Monroe, Michigan, and originally entered the Air Force in 1982 as a heavy equipment operator.</w:t>
      </w:r>
    </w:p>
    <w:p>
      <w:pPr>
        <w:spacing w:after="20" w:line="223" w:lineRule="auto"/>
        <w:jc w:val="right"/>
        <w:bidi/>
      </w:pPr>
      <w:r>
        <w:rPr>
          <w:rFonts w:ascii="Arial" w:hAnsi="Arial"/>
          <w:sz w:val="16"/>
        </w:rPr>
        <w:t>595.02  او در سمت‌های مختلف مهندس عمران در پایگاه نیروی هوایی مک‌دیل، فلوریدا خدمت کرد. پایگاه هوایی اوسان، جمهوری کره؛ پایگاه هوایی کونسان، کره؛ پایگاه نیروی هوایی اندرسن، گوام؛ و پایگاه نیروی هوایی کیسلر، می‌سی سی پی.</w:t>
      </w:r>
    </w:p>
    <w:p>
      <w:pPr>
        <w:spacing w:after="28" w:line="216" w:lineRule="auto"/>
        <w:ind w:left="259"/>
        <w:jc w:val="left"/>
      </w:pPr>
      <w:r>
        <w:rPr>
          <w:rFonts w:ascii="Arial" w:hAnsi="Arial"/>
          <w:color w:val="525252"/>
          <w:sz w:val="13"/>
        </w:rPr>
        <w:t>He served in various civil engineer positions at MacDill Air Force Base, Florida; Osan Air Base, Republic of Korea; Kunsan Air Base, Korea; Andersen Air Force Base, Guam; and Keesler Air Force Base, Mississippi.</w:t>
      </w:r>
    </w:p>
    <w:p>
      <w:pPr>
        <w:spacing w:after="20" w:line="223" w:lineRule="auto"/>
        <w:jc w:val="right"/>
        <w:bidi/>
      </w:pPr>
      <w:r>
        <w:rPr>
          <w:rFonts w:ascii="Arial" w:hAnsi="Arial"/>
          <w:sz w:val="16"/>
        </w:rPr>
        <w:t>595.03  او به‌عنوان مربی و ناظر مربی به محل آموزش فنی اولیه خود - فورت لئونارد وود، میزوری - بازگشت.</w:t>
      </w:r>
    </w:p>
    <w:p>
      <w:pPr>
        <w:spacing w:after="28" w:line="216" w:lineRule="auto"/>
        <w:ind w:left="259"/>
        <w:jc w:val="left"/>
      </w:pPr>
      <w:r>
        <w:rPr>
          <w:rFonts w:ascii="Arial" w:hAnsi="Arial"/>
          <w:color w:val="525252"/>
          <w:sz w:val="13"/>
        </w:rPr>
        <w:t>He returned to the site of his original technical training—Fort Leonard Wood, Missouri—as an instructor and instructor supervisor.</w:t>
      </w:r>
    </w:p>
    <w:p>
      <w:pPr>
        <w:spacing w:after="20" w:line="223" w:lineRule="auto"/>
        <w:jc w:val="right"/>
        <w:bidi/>
      </w:pPr>
      <w:r>
        <w:rPr>
          <w:rFonts w:ascii="Arial" w:hAnsi="Arial"/>
          <w:sz w:val="16"/>
        </w:rPr>
        <w:t>595.04  به‌عنوان یک گروهبان ارشد، او در سال ۱۹۹۹ به‌عنوان سرپرست پرواز پرسنل نظامی، پایگاه نیروی هوایی کیسلر، به پرسنل منتقل شد.</w:t>
      </w:r>
    </w:p>
    <w:p>
      <w:pPr>
        <w:spacing w:after="28" w:line="216" w:lineRule="auto"/>
        <w:ind w:left="259"/>
        <w:jc w:val="left"/>
      </w:pPr>
      <w:r>
        <w:rPr>
          <w:rFonts w:ascii="Arial" w:hAnsi="Arial"/>
          <w:color w:val="525252"/>
          <w:sz w:val="13"/>
        </w:rPr>
        <w:t>As a Senior Master Sergeant, he transferred into personnel as the military personnel flight superintendent, Keesler Air Force Base, in 1999.</w:t>
      </w:r>
    </w:p>
    <w:p>
      <w:pPr>
        <w:spacing w:after="20" w:line="223" w:lineRule="auto"/>
        <w:jc w:val="right"/>
        <w:bidi/>
      </w:pPr>
      <w:r>
        <w:rPr>
          <w:rFonts w:ascii="Arial" w:hAnsi="Arial"/>
          <w:sz w:val="16"/>
        </w:rPr>
        <w:t>595.05  از آنجا، رئیس روی به‌عنوان سرگروهبان فرماندهی در بال، نیروی هوایی شماره‌دار و سطوح فرماندهی رزمندگان متحد خدمت کرد.</w:t>
      </w:r>
    </w:p>
    <w:p>
      <w:pPr>
        <w:spacing w:after="28" w:line="216" w:lineRule="auto"/>
        <w:ind w:left="259"/>
        <w:jc w:val="left"/>
      </w:pPr>
      <w:r>
        <w:rPr>
          <w:rFonts w:ascii="Arial" w:hAnsi="Arial"/>
          <w:color w:val="525252"/>
          <w:sz w:val="13"/>
        </w:rPr>
        <w:t>From there, Chief Roy served as a Command Chief Master Sergeant at wing, numbered Air Force, and unified combatant command levels.</w:t>
      </w:r>
    </w:p>
    <w:p>
      <w:pPr>
        <w:spacing w:after="20" w:line="223" w:lineRule="auto"/>
        <w:jc w:val="right"/>
        <w:bidi/>
      </w:pPr>
      <w:r>
        <w:rPr>
          <w:rFonts w:ascii="Arial" w:hAnsi="Arial"/>
          <w:sz w:val="16"/>
        </w:rPr>
        <w:t>595.06  این وظایف شامل پایگاه نیروی هوایی کلمبوس، CMSAF جیمز ای. روی می‌سی سی پی بود. پایگاه نیروی هوایی چارلستون کارولینای جنوبی؛ لانگلی ژوئن ۲۰۰۹ - ژانویه ۲۰۱۳ پایگاه نیروی هوایی، ویرجینیا؛ و پنجمین نیروی هوایی و نیروهای ایالات متحده ژاپن، در پایگاه هوایی یوکوتا، ژاپن.</w:t>
      </w:r>
    </w:p>
    <w:p>
      <w:pPr>
        <w:spacing w:after="28" w:line="216" w:lineRule="auto"/>
        <w:ind w:left="259"/>
        <w:jc w:val="left"/>
      </w:pPr>
      <w:r>
        <w:rPr>
          <w:rFonts w:ascii="Arial" w:hAnsi="Arial"/>
          <w:color w:val="525252"/>
          <w:sz w:val="13"/>
        </w:rPr>
        <w:t>These assignments included Columbus Air Force Base, CMSAF James A. Roy Mississippi; Charleston Air Force Base South Carolina; Langley June 2009 - January 2013 Air Force Base, Virginia; and 5th Air Force and United States Forces Japan, at Yokota Air Base, Japan.</w:t>
      </w:r>
    </w:p>
    <w:p>
      <w:pPr>
        <w:spacing w:after="20" w:line="223" w:lineRule="auto"/>
        <w:jc w:val="right"/>
        <w:bidi/>
      </w:pPr>
      <w:r>
        <w:rPr>
          <w:rFonts w:ascii="Arial" w:hAnsi="Arial"/>
          <w:sz w:val="16"/>
        </w:rPr>
        <w:t>595.07  در اکتبر ۲۰۰۴، او به‌عنوان ۳۸۶ بال اعزامی هوایی، فرماندهی فرماندهی جنوب غربی آسیا، سرگروهبان ارشد اعزام شد.</w:t>
      </w:r>
    </w:p>
    <w:p>
      <w:pPr>
        <w:spacing w:after="28" w:line="216" w:lineRule="auto"/>
        <w:ind w:left="259"/>
        <w:jc w:val="left"/>
      </w:pPr>
      <w:r>
        <w:rPr>
          <w:rFonts w:ascii="Arial" w:hAnsi="Arial"/>
          <w:color w:val="525252"/>
          <w:sz w:val="13"/>
        </w:rPr>
        <w:t>In October 2004, he deployed as the 386th Air Expeditionary Wing, Southwest Asia Command Chief Master Sergeant.</w:t>
      </w:r>
    </w:p>
    <w:p>
      <w:pPr>
        <w:spacing w:after="20" w:line="223" w:lineRule="auto"/>
        <w:jc w:val="right"/>
        <w:bidi/>
      </w:pPr>
      <w:r>
        <w:rPr>
          <w:rFonts w:ascii="Arial" w:hAnsi="Arial"/>
          <w:sz w:val="16"/>
        </w:rPr>
        <w:t>595.08  سپس به‌عنوان فرمانده ارشد ارتش ایالات متحده در اقیانوس آرام در کمپ ه.م خدمت کرد. اسمیت، هاوایی</w:t>
      </w:r>
    </w:p>
    <w:p>
      <w:pPr>
        <w:spacing w:after="28" w:line="216" w:lineRule="auto"/>
        <w:ind w:left="259"/>
        <w:jc w:val="left"/>
      </w:pPr>
      <w:r>
        <w:rPr>
          <w:rFonts w:ascii="Arial" w:hAnsi="Arial"/>
          <w:color w:val="525252"/>
          <w:sz w:val="13"/>
        </w:rPr>
        <w:t>He then served as the United States Pacific Command senior enlisted leader at Camp H.M. Smith, Hawaii.</w:t>
      </w:r>
    </w:p>
    <w:p>
      <w:pPr>
        <w:spacing w:after="20" w:line="223" w:lineRule="auto"/>
        <w:jc w:val="right"/>
        <w:bidi/>
      </w:pPr>
      <w:r>
        <w:rPr>
          <w:rFonts w:ascii="Arial" w:hAnsi="Arial"/>
          <w:sz w:val="16"/>
        </w:rPr>
        <w:t>595.09  حوزه‌های تمرکز اصلی رئیس روی شامل حصول اطمینان از آمادگی هوانوردان برای عملیات مشترک و ائتلاف بود. توسعه عمدی هوانوردان از طریق آموزش، آموزش و تجربه؛ و ایجاد فرهنگ تاب آوری در هواداران و خانواده‌های آنها.</w:t>
      </w:r>
    </w:p>
    <w:p>
      <w:pPr>
        <w:spacing w:after="28" w:line="216" w:lineRule="auto"/>
        <w:ind w:left="259"/>
        <w:jc w:val="left"/>
      </w:pPr>
      <w:r>
        <w:rPr>
          <w:rFonts w:ascii="Arial" w:hAnsi="Arial"/>
          <w:color w:val="525252"/>
          <w:sz w:val="13"/>
        </w:rPr>
        <w:t>Chief Roy’s key focus areas included ensuring Airmen were ready for joint and coalition operations; deliberately developing Airmen through education, training, and experience; and building a culture of resiliency within Airmen and their families.</w:t>
      </w:r>
    </w:p>
    <w:p>
      <w:pPr>
        <w:spacing w:after="20" w:line="223" w:lineRule="auto"/>
        <w:jc w:val="right"/>
        <w:bidi/>
      </w:pPr>
      <w:r>
        <w:rPr>
          <w:rFonts w:ascii="Arial" w:hAnsi="Arial"/>
          <w:sz w:val="16"/>
        </w:rPr>
        <w:t>595.10  او برای گسترش و تحکیم آموزش و مشارکت در محیط‌های مشترک و ائتلافی کار کرد، که به افزایش قابلیت استخدام نیروی هوایی در محیط‌های جنگی فزاینده مشترک و ائتلاف کمک کرد.</w:t>
      </w:r>
    </w:p>
    <w:p>
      <w:pPr>
        <w:spacing w:after="28" w:line="216" w:lineRule="auto"/>
        <w:ind w:left="259"/>
        <w:jc w:val="left"/>
      </w:pPr>
      <w:r>
        <w:rPr>
          <w:rFonts w:ascii="Arial" w:hAnsi="Arial"/>
          <w:color w:val="525252"/>
          <w:sz w:val="13"/>
        </w:rPr>
        <w:t>He worked to expand and solidify training and engagement in joint and coalition environments, which helped enhance the employability of Airmen in the increasingly joint and coalition warfighting environment.</w:t>
      </w:r>
    </w:p>
    <w:p>
      <w:pPr>
        <w:spacing w:after="20" w:line="223" w:lineRule="auto"/>
        <w:jc w:val="right"/>
        <w:bidi/>
      </w:pPr>
      <w:r>
        <w:rPr>
          <w:rFonts w:ascii="Arial" w:hAnsi="Arial"/>
          <w:sz w:val="16"/>
        </w:rPr>
        <w:t>595.11  او همچنین بر اهمیت به‌روزرسانی و گسترش فرصت‌های آموزش از راه دور تأکید کرد و ساختار نلیستد PME-نکست را توسعه و ترویج داد، که برای کاهش شکاف در PME به دنبال مدرسه رهبری عضو نیروی هوایی طراحی شده است.</w:t>
      </w:r>
    </w:p>
    <w:p>
      <w:pPr>
        <w:spacing w:after="28" w:line="216" w:lineRule="auto"/>
        <w:ind w:left="259"/>
        <w:jc w:val="left"/>
      </w:pPr>
      <w:r>
        <w:rPr>
          <w:rFonts w:ascii="Arial" w:hAnsi="Arial"/>
          <w:color w:val="525252"/>
          <w:sz w:val="13"/>
        </w:rPr>
        <w:t>He also stressed the importance of updating and expanding distance-learning opportunities, and developed and promoted the Enlisted PME-Next construct, designed to close the gap in PME following Airman Leadership School.</w:t>
      </w:r>
    </w:p>
    <w:p>
      <w:r>
        <w:br w:type="page"/>
      </w:r>
    </w:p>
    <w:p>
      <w:pPr>
        <w:spacing w:after="60"/>
        <w:jc w:val="right"/>
        <w:bidi/>
      </w:pPr>
      <w:r>
        <w:rPr>
          <w:rFonts w:ascii="Arial" w:hAnsi="Arial"/>
          <w:b/>
          <w:color w:val="1F4D78"/>
          <w:sz w:val="19"/>
        </w:rPr>
        <w:t>هفتهٔ 596  |  صفحهٔ منبع: 613</w:t>
      </w:r>
    </w:p>
    <w:p>
      <w:pPr>
        <w:spacing w:after="20" w:line="223" w:lineRule="auto"/>
        <w:jc w:val="right"/>
        <w:bidi/>
      </w:pPr>
      <w:r>
        <w:rPr>
          <w:rFonts w:ascii="Arial" w:hAnsi="Arial"/>
          <w:sz w:val="16"/>
        </w:rPr>
        <w:t>596.01  هفدهمین سرگروهبان ارشد CMSAF نیروی هوایی جیمز ا.</w:t>
      </w:r>
    </w:p>
    <w:p>
      <w:pPr>
        <w:spacing w:after="28" w:line="216" w:lineRule="auto"/>
        <w:ind w:left="259"/>
        <w:jc w:val="left"/>
      </w:pPr>
      <w:r>
        <w:rPr>
          <w:rFonts w:ascii="Arial" w:hAnsi="Arial"/>
          <w:color w:val="525252"/>
          <w:sz w:val="13"/>
        </w:rPr>
        <w:t>Seventeenth Chief Master Sergeant of the Air Force CMSAF James A. Cody James A. Cody grew up in Lakeville, Massachusetts, and entered the Air Force in 1984 as an air traffic controller.</w:t>
      </w:r>
    </w:p>
    <w:p>
      <w:pPr>
        <w:spacing w:after="20" w:line="223" w:lineRule="auto"/>
        <w:jc w:val="right"/>
        <w:bidi/>
      </w:pPr>
      <w:r>
        <w:rPr>
          <w:rFonts w:ascii="Arial" w:hAnsi="Arial"/>
          <w:sz w:val="16"/>
        </w:rPr>
        <w:t>596.02  او در موقعیت‌های مختلف کنترل ترافیک هوایی در پایگاه هوایی رامشتاین، آلمان خدمت کرد. پایگاه نیروی هوایی پاس، نیوهمپشایر؛ پایگاه نیروی هوایی وندنبرگ، کالیفرنیا؛ پایگاه هوایی اوسان، جمهوری کره؛ پایگاه هوایی اینجرلیک، ترکیه؛ پایگاه نیروی هوایی لنگلی، ویرجینیا؛ و پایگاه نیروی هوایی مک دیل، فلوریدا.</w:t>
      </w:r>
    </w:p>
    <w:p>
      <w:pPr>
        <w:spacing w:after="28" w:line="216" w:lineRule="auto"/>
        <w:ind w:left="259"/>
        <w:jc w:val="left"/>
      </w:pPr>
      <w:r>
        <w:rPr>
          <w:rFonts w:ascii="Arial" w:hAnsi="Arial"/>
          <w:color w:val="525252"/>
          <w:sz w:val="13"/>
        </w:rPr>
        <w:t>He served in various air traffic control positions at Ramstein Air Base, Germany; Pease Air Force Base, New Hampshire; Vandenberg Air Force Base, California; Osan Air Base, Republic of Korea; Incirlik Air Base, Turkey; Langley Air Force Base, Virginia; and MacDill Air Force Base, Florida.</w:t>
      </w:r>
    </w:p>
    <w:p>
      <w:pPr>
        <w:spacing w:after="20" w:line="223" w:lineRule="auto"/>
        <w:jc w:val="right"/>
        <w:bidi/>
      </w:pPr>
      <w:r>
        <w:rPr>
          <w:rFonts w:ascii="Arial" w:hAnsi="Arial"/>
          <w:sz w:val="16"/>
        </w:rPr>
        <w:t>596.03  در آوریل ۲۰۰۲، او به‌عنوان ناظر گروه عملیات مشترک گروه مدیریت فضای هوایی رزمی جنوب غربی آسیا مستقر شد.</w:t>
      </w:r>
    </w:p>
    <w:p>
      <w:pPr>
        <w:spacing w:after="28" w:line="216" w:lineRule="auto"/>
        <w:ind w:left="259"/>
        <w:jc w:val="left"/>
      </w:pPr>
      <w:r>
        <w:rPr>
          <w:rFonts w:ascii="Arial" w:hAnsi="Arial"/>
          <w:color w:val="525252"/>
          <w:sz w:val="13"/>
        </w:rPr>
        <w:t>In April 2002, he deployed as the superintendent of the Joint Task Force- Southwest Asia Combat Airspace Management Cell.</w:t>
      </w:r>
    </w:p>
    <w:p>
      <w:pPr>
        <w:spacing w:after="20" w:line="223" w:lineRule="auto"/>
        <w:jc w:val="right"/>
        <w:bidi/>
      </w:pPr>
      <w:r>
        <w:rPr>
          <w:rFonts w:ascii="Arial" w:hAnsi="Arial"/>
          <w:sz w:val="16"/>
        </w:rPr>
        <w:t>596.04  رئیس کودی سپس به‌عنوان سرگروهبان فرمانده در یک گروه ضربت خدمت کرد. بال شماره نیروی هوایی؛ و سطح فرماندهی اصلی</w:t>
      </w:r>
    </w:p>
    <w:p>
      <w:pPr>
        <w:spacing w:after="28" w:line="216" w:lineRule="auto"/>
        <w:ind w:left="259"/>
        <w:jc w:val="left"/>
      </w:pPr>
      <w:r>
        <w:rPr>
          <w:rFonts w:ascii="Arial" w:hAnsi="Arial"/>
          <w:color w:val="525252"/>
          <w:sz w:val="13"/>
        </w:rPr>
        <w:t>Chief Cody then served as a Command Chief Master Sergeant at a task force; wing; numbered Air Force; and major command level.</w:t>
      </w:r>
    </w:p>
    <w:p>
      <w:pPr>
        <w:spacing w:after="20" w:line="223" w:lineRule="auto"/>
        <w:jc w:val="right"/>
        <w:bidi/>
      </w:pPr>
      <w:r>
        <w:rPr>
          <w:rFonts w:ascii="Arial" w:hAnsi="Arial"/>
          <w:sz w:val="16"/>
        </w:rPr>
        <w:t>596.05  اینها شامل تکالیف به پایگاه نیروی هوایی تراویس، کالیفرنیا می‌شد. پایگاه نیروی هوایی مک دیل، فلوریدا؛ هجدهمین نیروی هوایی در پایگاه نیروی هوایی اسکات، CMSAF جیمز ای کودی ایلینوی، و فرماندهی آموزش و آموزش هوایی در پایگاه مشترک ژانویه ۲۰۱۳ - فوریه ۲۰۱۷ سن آنتونیو-راندولف، تگزاس.</w:t>
      </w:r>
    </w:p>
    <w:p>
      <w:pPr>
        <w:spacing w:after="28" w:line="216" w:lineRule="auto"/>
        <w:ind w:left="259"/>
        <w:jc w:val="left"/>
      </w:pPr>
      <w:r>
        <w:rPr>
          <w:rFonts w:ascii="Arial" w:hAnsi="Arial"/>
          <w:color w:val="525252"/>
          <w:sz w:val="13"/>
        </w:rPr>
        <w:t>These included assignments to Travis Air Force Base, California; MacDill Air Force Base, Florida; 18th Air Force at Scott Air Force Base, CMSAF James A. Cody Illinois, and Air Education and Training Command at Joint Base January 2013 - February 2017 San Antonio-Randolph, Texas.</w:t>
      </w:r>
    </w:p>
    <w:p>
      <w:pPr>
        <w:spacing w:after="20" w:line="223" w:lineRule="auto"/>
        <w:jc w:val="right"/>
        <w:bidi/>
      </w:pPr>
      <w:r>
        <w:rPr>
          <w:rFonts w:ascii="Arial" w:hAnsi="Arial"/>
          <w:sz w:val="16"/>
        </w:rPr>
        <w:t>596.06  بلافاصله پس از تصدی این سمت، رئیس کودی متعهد به ادامه تکامل نیروی ثبت‌نام شد.</w:t>
      </w:r>
    </w:p>
    <w:p>
      <w:pPr>
        <w:spacing w:after="28" w:line="216" w:lineRule="auto"/>
        <w:ind w:left="259"/>
        <w:jc w:val="left"/>
      </w:pPr>
      <w:r>
        <w:rPr>
          <w:rFonts w:ascii="Arial" w:hAnsi="Arial"/>
          <w:color w:val="525252"/>
          <w:sz w:val="13"/>
        </w:rPr>
        <w:t>Immediately upon assuming the position, Chief Cody committed to the continued evolution of the enlisted force.</w:t>
      </w:r>
    </w:p>
    <w:p>
      <w:pPr>
        <w:spacing w:after="20" w:line="223" w:lineRule="auto"/>
        <w:jc w:val="right"/>
        <w:bidi/>
      </w:pPr>
      <w:r>
        <w:rPr>
          <w:rFonts w:ascii="Arial" w:hAnsi="Arial"/>
          <w:sz w:val="16"/>
        </w:rPr>
        <w:t>596.07  او خط‌مشی‌ها و فرآیندهای مختلفی را شناسایی کرد و با حمایت رئیس ستاد نیروی هوایی و هیئت مدیره ثبت‌نام، هر یک از آنها را به جلو برد تا اطمینان حاصل شود که نیروهای اعزام‌شده برای چالش‌های آینده آماده هستند.</w:t>
      </w:r>
    </w:p>
    <w:p>
      <w:pPr>
        <w:spacing w:after="28" w:line="216" w:lineRule="auto"/>
        <w:ind w:left="259"/>
        <w:jc w:val="left"/>
      </w:pPr>
      <w:r>
        <w:rPr>
          <w:rFonts w:ascii="Arial" w:hAnsi="Arial"/>
          <w:color w:val="525252"/>
          <w:sz w:val="13"/>
        </w:rPr>
        <w:t>He identified various policies and processes, and with the support of the Air Force Chief of Staff and Enlisted Board of Directors moved each of them forward to ensure the enlisted force was prepared for future challenges.</w:t>
      </w:r>
    </w:p>
    <w:p>
      <w:pPr>
        <w:spacing w:after="20" w:line="223" w:lineRule="auto"/>
        <w:jc w:val="right"/>
        <w:bidi/>
      </w:pPr>
      <w:r>
        <w:rPr>
          <w:rFonts w:ascii="Arial" w:hAnsi="Arial"/>
          <w:sz w:val="16"/>
        </w:rPr>
        <w:t>596.08  او بر توسعه عمدی هوانوردان، تکامل PME ثبت‌نام شده در یک مدل یادگیری ترکیبی، و ایجاد وظایف ویژه توسعه‌ای، که تضمین می‌کرد هوانوردان برتر در موقعیت‌های رهبری هستند که به بهترین وجه از عملکرد ثابت شده‌شان در سراسر نیرو استفاده می‌کنند، تمرکز کرد.</w:t>
      </w:r>
    </w:p>
    <w:p>
      <w:pPr>
        <w:spacing w:after="28" w:line="216" w:lineRule="auto"/>
        <w:ind w:left="259"/>
        <w:jc w:val="left"/>
      </w:pPr>
      <w:r>
        <w:rPr>
          <w:rFonts w:ascii="Arial" w:hAnsi="Arial"/>
          <w:color w:val="525252"/>
          <w:sz w:val="13"/>
        </w:rPr>
        <w:t>He focused on the deliberate development of Airmen, evolving enlisted PME to a blended learning model, and establishing Developmental Special Duties, which ensured top Airmen were in leadership positions that best leveraged their proven performance across the force.</w:t>
      </w:r>
    </w:p>
    <w:p>
      <w:pPr>
        <w:spacing w:after="20" w:line="223" w:lineRule="auto"/>
        <w:jc w:val="right"/>
        <w:bidi/>
      </w:pPr>
      <w:r>
        <w:rPr>
          <w:rFonts w:ascii="Arial" w:hAnsi="Arial"/>
          <w:sz w:val="16"/>
        </w:rPr>
        <w:t>596.09  او مکالمه پیرامون تعادل کار و زندگی و اهمیت یافتن سیگنال تقاضای معقول و پایدار برای هوانوردان را افزایش داد و برنامه‌های مراقبت و پشتیبانی را برای رزمندگان مجروح، از جمله افرادی که دارای زخم‌های نامرئی مانند آسیب مغزی تروماتیک و/یا PTSD هستند، تقویت کرد.</w:t>
      </w:r>
    </w:p>
    <w:p>
      <w:pPr>
        <w:spacing w:after="28" w:line="216" w:lineRule="auto"/>
        <w:ind w:left="259"/>
        <w:jc w:val="left"/>
      </w:pPr>
      <w:r>
        <w:rPr>
          <w:rFonts w:ascii="Arial" w:hAnsi="Arial"/>
          <w:color w:val="525252"/>
          <w:sz w:val="13"/>
        </w:rPr>
        <w:t>He heightened the conversation surrounding work/life balance and the importance of finding a reasonable and sustainable demand signal for Airmen, and strengthened care and support programs for Wounded Warriors, including Airmen with invisible wounds such as traumatic brain injury and/or PTSD.</w:t>
      </w:r>
    </w:p>
    <w:p>
      <w:pPr>
        <w:spacing w:after="20" w:line="223" w:lineRule="auto"/>
        <w:jc w:val="right"/>
        <w:bidi/>
      </w:pPr>
      <w:r>
        <w:rPr>
          <w:rFonts w:ascii="Arial" w:hAnsi="Arial"/>
          <w:sz w:val="16"/>
        </w:rPr>
        <w:t>596.10  به‌علاوه، رئیس کدی سیستم ارزیابی نام‌نویس و سیستم ارتقای نیروی هوایی وزن‌دار را به جلو منتقل کرد تا اطمینان حاصل کند که آنها به نیروی هوایی امروزی و هوانوردان خدمت می‌کنند.</w:t>
      </w:r>
    </w:p>
    <w:p>
      <w:pPr>
        <w:spacing w:after="28" w:line="216" w:lineRule="auto"/>
        <w:ind w:left="259"/>
        <w:jc w:val="left"/>
      </w:pPr>
      <w:r>
        <w:rPr>
          <w:rFonts w:ascii="Arial" w:hAnsi="Arial"/>
          <w:color w:val="525252"/>
          <w:sz w:val="13"/>
        </w:rPr>
        <w:t>Additionally, Chief Cody moved the Enlisted Evaluation System and Weighted Airman Promotion System forward to ensure they served today's Air Force, and Airmen.</w:t>
      </w:r>
    </w:p>
    <w:p>
      <w:pPr>
        <w:spacing w:after="20" w:line="223" w:lineRule="auto"/>
        <w:jc w:val="right"/>
        <w:bidi/>
      </w:pPr>
      <w:r>
        <w:rPr>
          <w:rFonts w:ascii="Arial" w:hAnsi="Arial"/>
          <w:sz w:val="16"/>
        </w:rPr>
        <w:t>596.11  او بزرگترین تغییرات را در هر دو سیستم از زمان آغاز به کار آنها در سال ۱۹۷۰ رهبری کرد و اطمینان حاصل کرد که عملکرد شغلی بزرگترین عامل ارتقاء است.</w:t>
      </w:r>
    </w:p>
    <w:p>
      <w:pPr>
        <w:spacing w:after="28" w:line="216" w:lineRule="auto"/>
        <w:ind w:left="259"/>
        <w:jc w:val="left"/>
      </w:pPr>
      <w:r>
        <w:rPr>
          <w:rFonts w:ascii="Arial" w:hAnsi="Arial"/>
          <w:color w:val="525252"/>
          <w:sz w:val="13"/>
        </w:rPr>
        <w:t>He led the biggest changes to both systems since their inception in 1970, ensuring job performance was the greatest factor towards promotion.</w:t>
      </w:r>
    </w:p>
    <w:p>
      <w:r>
        <w:br w:type="page"/>
      </w:r>
    </w:p>
    <w:p>
      <w:pPr>
        <w:spacing w:after="60"/>
        <w:jc w:val="right"/>
        <w:bidi/>
      </w:pPr>
      <w:r>
        <w:rPr>
          <w:rFonts w:ascii="Arial" w:hAnsi="Arial"/>
          <w:b/>
          <w:color w:val="1F4D78"/>
          <w:sz w:val="19"/>
        </w:rPr>
        <w:t>هفتهٔ 597  |  صفحهٔ منبع: 614</w:t>
      </w:r>
    </w:p>
    <w:p>
      <w:pPr>
        <w:spacing w:after="20" w:line="223" w:lineRule="auto"/>
        <w:jc w:val="right"/>
        <w:bidi/>
      </w:pPr>
      <w:r>
        <w:rPr>
          <w:rFonts w:ascii="Arial" w:hAnsi="Arial"/>
          <w:sz w:val="16"/>
        </w:rPr>
        <w:t>597.01  هجدهمین سرگروهبان ارشد CMSAF نیروی هوایی کالت و. وریگهت کالت و. وریگهت در کلمبوس، جورجیا بزرگ شد و در سال ۱۹۸۹ به‌عنوان تکنسین دندانپزشکی وارد نیروی هوایی شد.</w:t>
      </w:r>
    </w:p>
    <w:p>
      <w:pPr>
        <w:spacing w:after="28" w:line="216" w:lineRule="auto"/>
        <w:ind w:left="259"/>
        <w:jc w:val="left"/>
      </w:pPr>
      <w:r>
        <w:rPr>
          <w:rFonts w:ascii="Arial" w:hAnsi="Arial"/>
          <w:color w:val="525252"/>
          <w:sz w:val="13"/>
        </w:rPr>
        <w:t>Eighteenth Chief Master Sergeant of the Air Force CMSAF Kaleth O. Wright Kaleth O. Wright grew up in Columbus, Georgia and entered the Air Force in 1989 as a dental technician.</w:t>
      </w:r>
    </w:p>
    <w:p>
      <w:pPr>
        <w:spacing w:after="20" w:line="223" w:lineRule="auto"/>
        <w:jc w:val="right"/>
        <w:bidi/>
      </w:pPr>
      <w:r>
        <w:rPr>
          <w:rFonts w:ascii="Arial" w:hAnsi="Arial"/>
          <w:sz w:val="16"/>
        </w:rPr>
        <w:t>597.02  او در موقعیت‌های مختلف دندانپزشکی در پایگاه نیروی هوایی پاپ، کارولینای شمالی خدمت کرد. پایگاه هوایی اوسان، جمهوری کره؛ و پایگاه هوایی کادنا ژاپن.</w:t>
      </w:r>
    </w:p>
    <w:p>
      <w:pPr>
        <w:spacing w:after="28" w:line="216" w:lineRule="auto"/>
        <w:ind w:left="259"/>
        <w:jc w:val="left"/>
      </w:pPr>
      <w:r>
        <w:rPr>
          <w:rFonts w:ascii="Arial" w:hAnsi="Arial"/>
          <w:color w:val="525252"/>
          <w:sz w:val="13"/>
        </w:rPr>
        <w:t>He served in a variety of dental positions at Pope Air Force Base, North Carolina; Osan Air Base, Republic of Korea; and Kadena Air Base, Japan.</w:t>
      </w:r>
    </w:p>
    <w:p>
      <w:pPr>
        <w:spacing w:after="20" w:line="223" w:lineRule="auto"/>
        <w:jc w:val="right"/>
        <w:bidi/>
      </w:pPr>
      <w:r>
        <w:rPr>
          <w:rFonts w:ascii="Arial" w:hAnsi="Arial"/>
          <w:sz w:val="16"/>
        </w:rPr>
        <w:t>597.03  در سال ۲۰۰۱، او یک مربی حرفه‌ای آموزش نظامی شد و در سمت‌های مختلف در آکادمی افسران غیر مأمور کیسلینگ، ایستگاه هوایی کاپاون، آلمان خدمت کرد.</w:t>
      </w:r>
    </w:p>
    <w:p>
      <w:pPr>
        <w:spacing w:after="28" w:line="216" w:lineRule="auto"/>
        <w:ind w:left="259"/>
        <w:jc w:val="left"/>
      </w:pPr>
      <w:r>
        <w:rPr>
          <w:rFonts w:ascii="Arial" w:hAnsi="Arial"/>
          <w:color w:val="525252"/>
          <w:sz w:val="13"/>
        </w:rPr>
        <w:t>In 2001, he became a professional military education instructor, serving in various positions at the Kisling Noncommissioned Officer Academy, Kapaun Air Station, Germany.</w:t>
      </w:r>
    </w:p>
    <w:p>
      <w:pPr>
        <w:spacing w:after="20" w:line="223" w:lineRule="auto"/>
        <w:jc w:val="right"/>
        <w:bidi/>
      </w:pPr>
      <w:r>
        <w:rPr>
          <w:rFonts w:ascii="Arial" w:hAnsi="Arial"/>
          <w:sz w:val="16"/>
        </w:rPr>
        <w:t>597.04  او در سال ۲۰۰۴ به تخصص اصلی نیروی هوایی خود بازگشت و به‌عنوان رئیس پرواز دندانپزشکی در پوپ AFB، کارولینای شمالی، سرپرست اسکادران در پایگاه هوایی وسان، جمهوری کره، پایگاه مشترک لمندورف-ریچاردسون، آلاسکا و کادنا به‌عنوان پایگاه هوایی سوپر۱، خدمت کرد. گروه.</w:t>
      </w:r>
    </w:p>
    <w:p>
      <w:pPr>
        <w:spacing w:after="28" w:line="216" w:lineRule="auto"/>
        <w:ind w:left="259"/>
        <w:jc w:val="left"/>
      </w:pPr>
      <w:r>
        <w:rPr>
          <w:rFonts w:ascii="Arial" w:hAnsi="Arial"/>
          <w:color w:val="525252"/>
          <w:sz w:val="13"/>
        </w:rPr>
        <w:t>He returned to his primary Air Force Specialty in 2004, serving as the Dental Flight Chief at Pope AFB, North Carolina, squadron superintendent at Osan Air Base, Republic of Korea, Joint Base Elmendorf-Richardson, Alaska and Kadena Air Base, Japan where he also served as the Superintendent of the 18th Mission Support Group.</w:t>
      </w:r>
    </w:p>
    <w:p>
      <w:pPr>
        <w:spacing w:after="20" w:line="223" w:lineRule="auto"/>
        <w:jc w:val="right"/>
        <w:bidi/>
      </w:pPr>
      <w:r>
        <w:rPr>
          <w:rFonts w:ascii="Arial" w:hAnsi="Arial"/>
          <w:sz w:val="16"/>
        </w:rPr>
        <w:t>597.05  او در سال ۲۰۱۲ به‌عنوان فرمانده فرماندهی فرماندهی فرماندهی CMSAF کالت و. وریگهت بال سوخت‌گیری، مک‌کانل AFB، کانزاس انتخاب شد و به‌عنوان فرمانده فرماندهی، نهمین نیروی هوایی و فضایی افغانستان، در فوریه ۲۰۱۷ - اوت ۲۰۲۰ خدمت کرد. در سال ۲۰۱۴</w:t>
      </w:r>
    </w:p>
    <w:p>
      <w:pPr>
        <w:spacing w:after="28" w:line="216" w:lineRule="auto"/>
        <w:ind w:left="259"/>
        <w:jc w:val="left"/>
      </w:pPr>
      <w:r>
        <w:rPr>
          <w:rFonts w:ascii="Arial" w:hAnsi="Arial"/>
          <w:color w:val="525252"/>
          <w:sz w:val="13"/>
        </w:rPr>
        <w:t>He was selected as the Command Chief Master Sergeant for the 22d Air CMSAF Kaleth O. Wright Refueling Wing, McConnell AFB, Kansas in 2012 and served as February 2017 - August 2020 the Command Chief, 9th Air and Space Expeditionary Task Force-Afghanistan, Kabul, Afghanistan in 2014.</w:t>
      </w:r>
    </w:p>
    <w:p>
      <w:pPr>
        <w:spacing w:after="20" w:line="223" w:lineRule="auto"/>
        <w:jc w:val="right"/>
        <w:bidi/>
      </w:pPr>
      <w:r>
        <w:rPr>
          <w:rFonts w:ascii="Arial" w:hAnsi="Arial"/>
          <w:sz w:val="16"/>
        </w:rPr>
        <w:t>597.06  در سال ۲۰۱۵، او قبل از تبدیل شدن به فرماندهی ارشد گروهبان نیروی هوایی ایالات متحده در اروپا و نیروی هوایی ایالات متحده در آفریقا، فرماندهی ارشد گروهبان نیروی هوایی سه بعدی و هفدهمین نیروی هوایی اعزامی، پایگاه هوایی رامشتاین آلمان شد.</w:t>
      </w:r>
    </w:p>
    <w:p>
      <w:pPr>
        <w:spacing w:after="28" w:line="216" w:lineRule="auto"/>
        <w:ind w:left="259"/>
        <w:jc w:val="left"/>
      </w:pPr>
      <w:r>
        <w:rPr>
          <w:rFonts w:ascii="Arial" w:hAnsi="Arial"/>
          <w:color w:val="525252"/>
          <w:sz w:val="13"/>
        </w:rPr>
        <w:t>In 2015, he became the Command Chief Master Sergeant for 3d Air Force and 17th Expeditionary Air Force, Ramstein Air Base Germany before becoming the Command Chief Master Sergeant of U.S. Air Forces in Europe and U.S. Air Forces Africa.</w:t>
      </w:r>
    </w:p>
    <w:p>
      <w:pPr>
        <w:spacing w:after="20" w:line="223" w:lineRule="auto"/>
        <w:jc w:val="right"/>
        <w:bidi/>
      </w:pPr>
      <w:r>
        <w:rPr>
          <w:rFonts w:ascii="Arial" w:hAnsi="Arial"/>
          <w:sz w:val="16"/>
        </w:rPr>
        <w:t>597.07  او در حمایت از عملیات سپر صحرا، طوفان صحرا و آزادی پایدار مستقر شده است.</w:t>
      </w:r>
    </w:p>
    <w:p>
      <w:pPr>
        <w:spacing w:after="28" w:line="216" w:lineRule="auto"/>
        <w:ind w:left="259"/>
        <w:jc w:val="left"/>
      </w:pPr>
      <w:r>
        <w:rPr>
          <w:rFonts w:ascii="Arial" w:hAnsi="Arial"/>
          <w:color w:val="525252"/>
          <w:sz w:val="13"/>
        </w:rPr>
        <w:t>He has deployed in support of Operations Desert Shield, Desert Storm, and Enduring Freedom.</w:t>
      </w:r>
    </w:p>
    <w:p>
      <w:r>
        <w:br w:type="page"/>
      </w:r>
    </w:p>
    <w:p>
      <w:pPr>
        <w:spacing w:after="60"/>
        <w:jc w:val="right"/>
        <w:bidi/>
      </w:pPr>
      <w:r>
        <w:rPr>
          <w:rFonts w:ascii="Arial" w:hAnsi="Arial"/>
          <w:b/>
          <w:color w:val="1F4D78"/>
          <w:sz w:val="19"/>
        </w:rPr>
        <w:t>هفتهٔ 598  |  صفحهٔ منبع: 615</w:t>
      </w:r>
    </w:p>
    <w:p>
      <w:pPr>
        <w:spacing w:after="20" w:line="223" w:lineRule="auto"/>
        <w:jc w:val="right"/>
        <w:bidi/>
      </w:pPr>
      <w:r>
        <w:rPr>
          <w:rFonts w:ascii="Arial" w:hAnsi="Arial"/>
          <w:sz w:val="16"/>
        </w:rPr>
        <w:t>598.01  نوزدهمین سرگروهبان ارشد CMSAF نیروی هوایی جوآن س. باس جوآن اس. باس به‌عنوان یک وابسته به ارتش بزرگ شد و قبل از ورود به نیروی هوایی در سال ۱۹۹۳ در چندین مکان خارج از کشور و ایالت زندگی می‌کرد.</w:t>
      </w:r>
    </w:p>
    <w:p>
      <w:pPr>
        <w:spacing w:after="28" w:line="216" w:lineRule="auto"/>
        <w:ind w:left="259"/>
        <w:jc w:val="left"/>
      </w:pPr>
      <w:r>
        <w:rPr>
          <w:rFonts w:ascii="Arial" w:hAnsi="Arial"/>
          <w:color w:val="525252"/>
          <w:sz w:val="13"/>
        </w:rPr>
        <w:t>Nineteenth Chief Master Sergeant of the Air Force CMSAF JoAnne S. Bass JoAnne S. Bass was raised as an Army dependent, living in several overseas and stateside locations, prior to entering the Air Force in 1993.</w:t>
      </w:r>
    </w:p>
    <w:p>
      <w:pPr>
        <w:spacing w:after="20" w:line="223" w:lineRule="auto"/>
        <w:jc w:val="right"/>
        <w:bidi/>
      </w:pPr>
      <w:r>
        <w:rPr>
          <w:rFonts w:ascii="Arial" w:hAnsi="Arial"/>
          <w:sz w:val="16"/>
        </w:rPr>
        <w:t>598.02  در طول دوران حرفه‌ای خود، پست‌های رهبری مختلفی را در سطوح اسکادران، گروه، جناح و فرماندهی اصلی داشته است.</w:t>
      </w:r>
    </w:p>
    <w:p>
      <w:pPr>
        <w:spacing w:after="28" w:line="216" w:lineRule="auto"/>
        <w:ind w:left="259"/>
        <w:jc w:val="left"/>
      </w:pPr>
      <w:r>
        <w:rPr>
          <w:rFonts w:ascii="Arial" w:hAnsi="Arial"/>
          <w:color w:val="525252"/>
          <w:sz w:val="13"/>
        </w:rPr>
        <w:t>Throughout her career, she has held a variety of leadership positions serving at the squadron, group, wing, and major command levels.</w:t>
      </w:r>
    </w:p>
    <w:p>
      <w:pPr>
        <w:spacing w:after="20" w:line="223" w:lineRule="auto"/>
        <w:jc w:val="right"/>
        <w:bidi/>
      </w:pPr>
      <w:r>
        <w:rPr>
          <w:rFonts w:ascii="Arial" w:hAnsi="Arial"/>
          <w:sz w:val="16"/>
        </w:rPr>
        <w:t>598.03  او تجربه خدمات مشترک و عملیات ویژه قابل توجهی دارد و در چندین عملیات و تمرین و همچنین استقرار در پشتیبانی مستقیم از عملیات دیده بان جنوب، آزادی پایدار و آزادی عراق شرکت کرده است.</w:t>
      </w:r>
    </w:p>
    <w:p>
      <w:pPr>
        <w:spacing w:after="28" w:line="216" w:lineRule="auto"/>
        <w:ind w:left="259"/>
        <w:jc w:val="left"/>
      </w:pPr>
      <w:r>
        <w:rPr>
          <w:rFonts w:ascii="Arial" w:hAnsi="Arial"/>
          <w:color w:val="525252"/>
          <w:sz w:val="13"/>
        </w:rPr>
        <w:t>She has significant joint service and special operations experience and has participated in several operations and exercises as well as deployments in direct support of Operations Southern Watch, Enduring Freedom, and Iraqi Freedom.</w:t>
      </w:r>
    </w:p>
    <w:p>
      <w:pPr>
        <w:spacing w:after="20" w:line="223" w:lineRule="auto"/>
        <w:jc w:val="right"/>
        <w:bidi/>
      </w:pPr>
      <w:r>
        <w:rPr>
          <w:rFonts w:ascii="Arial" w:hAnsi="Arial"/>
          <w:sz w:val="16"/>
        </w:rPr>
        <w:t>598.04  قبل از این مأموریت، او به‌عنوان فرمانده فرمانده گروهبان، نیروی هوایی دوم، پایگاه نیروی هوایی کیسلر، می‌سی سی پی خدمت می‌کرد.</w:t>
      </w:r>
    </w:p>
    <w:p>
      <w:pPr>
        <w:spacing w:after="28" w:line="216" w:lineRule="auto"/>
        <w:ind w:left="259"/>
        <w:jc w:val="left"/>
      </w:pPr>
      <w:r>
        <w:rPr>
          <w:rFonts w:ascii="Arial" w:hAnsi="Arial"/>
          <w:color w:val="525252"/>
          <w:sz w:val="13"/>
        </w:rPr>
        <w:t>Prior to this assignment, she served as the Command Chief Master Sergeant, Second Air Force, Keesler Air Force Base, Mississippi.</w:t>
      </w:r>
    </w:p>
    <w:p>
      <w:pPr>
        <w:spacing w:after="20" w:line="223" w:lineRule="auto"/>
        <w:jc w:val="right"/>
        <w:bidi/>
      </w:pPr>
      <w:r>
        <w:rPr>
          <w:rFonts w:ascii="Arial" w:hAnsi="Arial"/>
          <w:sz w:val="16"/>
        </w:rPr>
        <w:t>598.05  به‌عنوان سرگروهبان ارشد نیروی هوایی، باس مهارت‌های ارتباطی قوی نشان داده است، به خود می‌بالد که توصیه‌هایش را با نیروهای هوایی در میان می‌گذارد و از آنها می‌خواهد به رهبری او CMSAF جوآن س. باس اعتماد کنند.</w:t>
      </w:r>
    </w:p>
    <w:p>
      <w:pPr>
        <w:spacing w:after="28" w:line="216" w:lineRule="auto"/>
        <w:ind w:left="259"/>
        <w:jc w:val="left"/>
      </w:pPr>
      <w:r>
        <w:rPr>
          <w:rFonts w:ascii="Arial" w:hAnsi="Arial"/>
          <w:color w:val="525252"/>
          <w:sz w:val="13"/>
        </w:rPr>
        <w:t>As Chief Master Sergeant of the Air Force, Bass has demonstrated strong communication skills, prides herself on sharing her advice with Airmen, and ask them to trust in her CMSAF JoAnne S. Bass leadership.</w:t>
      </w:r>
    </w:p>
    <w:p>
      <w:pPr>
        <w:spacing w:after="20" w:line="223" w:lineRule="auto"/>
        <w:jc w:val="right"/>
        <w:bidi/>
      </w:pPr>
      <w:r>
        <w:rPr>
          <w:rFonts w:ascii="Arial" w:hAnsi="Arial"/>
          <w:sz w:val="16"/>
        </w:rPr>
        <w:t>598.06  باس موفقیت نیروی هوایی اوت ۲۰۲۰ تا مارس ۲۰۲۴ را بر اساس تعداد جلساتی که در آن شرکت می‌کند یا سیاست‌هایی که تحت تأثیر قرار می‌دهد، اندازه‌گیری نمی‌کند. او آن را با تأثیرات فردی هوادارانی که به آنها خدمت می‌کند اندازه گیری می‌کند و به دستیابی به اهداف آنها و چشم انداز استراتژیک نیروی هوایی کمک می‌کند.</w:t>
      </w:r>
    </w:p>
    <w:p>
      <w:pPr>
        <w:spacing w:after="28" w:line="216" w:lineRule="auto"/>
        <w:ind w:left="259"/>
        <w:jc w:val="left"/>
      </w:pPr>
      <w:r>
        <w:rPr>
          <w:rFonts w:ascii="Arial" w:hAnsi="Arial"/>
          <w:color w:val="525252"/>
          <w:sz w:val="13"/>
        </w:rPr>
        <w:t>Bass does not measure the success of the Air Force August 2020 - March 2024 on how many meetings she attends or policies she affects; she measures it by the individual impacts of the Airmen she serves and helps to achieve their goals, and the strategic vision of the Air Force.</w:t>
      </w:r>
    </w:p>
    <w:p>
      <w:r>
        <w:br w:type="page"/>
      </w:r>
    </w:p>
    <w:p>
      <w:pPr>
        <w:spacing w:after="60"/>
        <w:jc w:val="right"/>
        <w:bidi/>
      </w:pPr>
      <w:r>
        <w:rPr>
          <w:rFonts w:ascii="Arial" w:hAnsi="Arial"/>
          <w:b/>
          <w:color w:val="1F4D78"/>
          <w:sz w:val="19"/>
        </w:rPr>
        <w:t>هفتهٔ 599  |  صفحهٔ منبع: 616</w:t>
      </w:r>
    </w:p>
    <w:p>
      <w:pPr>
        <w:spacing w:after="20" w:line="223" w:lineRule="auto"/>
        <w:jc w:val="right"/>
        <w:bidi/>
      </w:pPr>
      <w:r>
        <w:rPr>
          <w:rFonts w:ascii="Arial" w:hAnsi="Arial"/>
          <w:sz w:val="16"/>
        </w:rPr>
        <w:t>599.01  بیستمین سرگروهبان ارشد CMSAF نیروی هوایی دیوید ا. فلوسی فرمانده گروهبان ارشد نیروی هوایی دیوید آ. فلوسی نماینده بالاترین سطح رهبری است و به این ترتیب، جهت نیروهای اعزام شده را ارائه می‌دهد و منافع آنها را در صورت اقتضا برای عموم مردم آمریکا و برای تمام سطوح دولتی نمایندگی می‌کند.</w:t>
      </w:r>
    </w:p>
    <w:p>
      <w:pPr>
        <w:spacing w:after="28" w:line="216" w:lineRule="auto"/>
        <w:ind w:left="259"/>
        <w:jc w:val="left"/>
      </w:pPr>
      <w:r>
        <w:rPr>
          <w:rFonts w:ascii="Arial" w:hAnsi="Arial"/>
          <w:color w:val="525252"/>
          <w:sz w:val="13"/>
        </w:rPr>
        <w:t>Twentieth Chief Master Sergeant of the Air Force CMSAF David A. Flosi Chief Master Sergeant of the Air Force David A. Flosi represents the highest enlisted level of leadership and, as such, provides direction for the enlisted force and represents their interests, as appropriate, to the American public and to those in all levels of government.</w:t>
      </w:r>
    </w:p>
    <w:p>
      <w:pPr>
        <w:spacing w:after="20" w:line="223" w:lineRule="auto"/>
        <w:jc w:val="right"/>
        <w:bidi/>
      </w:pPr>
      <w:r>
        <w:rPr>
          <w:rFonts w:ascii="Arial" w:hAnsi="Arial"/>
          <w:sz w:val="16"/>
        </w:rPr>
        <w:t>599.02  او به‌عنوان رهبر ارشد ثبت‌نام شده و مشاور اصلی رئیس ستاد و دبیر نیروی هوایی در مورد کلیه امور مربوط به آمادگی، آموزش، توسعه حرفه‌ای و استفاده مؤثر از بیش از ۶۶۵۰۰۰ نیروی هوایی کل خدمت می‌کند.</w:t>
      </w:r>
    </w:p>
    <w:p>
      <w:pPr>
        <w:spacing w:after="28" w:line="216" w:lineRule="auto"/>
        <w:ind w:left="259"/>
        <w:jc w:val="left"/>
      </w:pPr>
      <w:r>
        <w:rPr>
          <w:rFonts w:ascii="Arial" w:hAnsi="Arial"/>
          <w:color w:val="525252"/>
          <w:sz w:val="13"/>
        </w:rPr>
        <w:t>He serves as the senior enlisted leader and primary adviser to the Chief of Staff and the Secretary of the Air Force on all matters regarding the readiness, training, professional development, and effective utilization of more than 665,000 Total Force Airmen.</w:t>
      </w:r>
    </w:p>
    <w:p>
      <w:pPr>
        <w:spacing w:after="20" w:line="223" w:lineRule="auto"/>
        <w:jc w:val="right"/>
        <w:bidi/>
      </w:pPr>
      <w:r>
        <w:rPr>
          <w:rFonts w:ascii="Arial" w:hAnsi="Arial"/>
          <w:sz w:val="16"/>
        </w:rPr>
        <w:t>599.03  رئیس فلوسی بیستمین گروهبان ارشد است که به بالاترین پست افسری منصوب شده است.</w:t>
      </w:r>
    </w:p>
    <w:p>
      <w:pPr>
        <w:spacing w:after="28" w:line="216" w:lineRule="auto"/>
        <w:ind w:left="259"/>
        <w:jc w:val="left"/>
      </w:pPr>
      <w:r>
        <w:rPr>
          <w:rFonts w:ascii="Arial" w:hAnsi="Arial"/>
          <w:color w:val="525252"/>
          <w:sz w:val="13"/>
        </w:rPr>
        <w:t>Chief Flosi is the 20th chief master sergeant appointed to the highest noncommissioned officer position.</w:t>
      </w:r>
    </w:p>
    <w:p>
      <w:pPr>
        <w:spacing w:after="20" w:line="223" w:lineRule="auto"/>
        <w:jc w:val="right"/>
        <w:bidi/>
      </w:pPr>
      <w:r>
        <w:rPr>
          <w:rFonts w:ascii="Arial" w:hAnsi="Arial"/>
          <w:sz w:val="16"/>
        </w:rPr>
        <w:t>599.04  رئیس فلوسی در می‌۱۹۹۶ به‌عنوان متخصص سلاح‌های هسته‌ای وارد نیروی هوایی شد.</w:t>
      </w:r>
    </w:p>
    <w:p>
      <w:pPr>
        <w:spacing w:after="28" w:line="216" w:lineRule="auto"/>
        <w:ind w:left="259"/>
        <w:jc w:val="left"/>
      </w:pPr>
      <w:r>
        <w:rPr>
          <w:rFonts w:ascii="Arial" w:hAnsi="Arial"/>
          <w:color w:val="525252"/>
          <w:sz w:val="13"/>
        </w:rPr>
        <w:t>Chief Flosi entered the Air Force in May 1996 as a nuclear weapons specialist.</w:t>
      </w:r>
    </w:p>
    <w:p>
      <w:pPr>
        <w:spacing w:after="20" w:line="223" w:lineRule="auto"/>
        <w:jc w:val="right"/>
        <w:bidi/>
      </w:pPr>
      <w:r>
        <w:rPr>
          <w:rFonts w:ascii="Arial" w:hAnsi="Arial"/>
          <w:sz w:val="16"/>
        </w:rPr>
        <w:t>599.05  سوابق او شامل وظایف رهبری مختلف در مهمات متعارف و هسته‌ای / موشک CMSAF دیوید ا. فلوسی، مدیریت برنامه، آزمایش توسعه و مارس ۲۰۲۴-فعالیت‌های احتمالی در تمام سطوح سازمانی نیروی هوایی است.</w:t>
      </w:r>
    </w:p>
    <w:p>
      <w:pPr>
        <w:spacing w:after="28" w:line="216" w:lineRule="auto"/>
        <w:ind w:left="259"/>
        <w:jc w:val="left"/>
      </w:pPr>
      <w:r>
        <w:rPr>
          <w:rFonts w:ascii="Arial" w:hAnsi="Arial"/>
          <w:color w:val="525252"/>
          <w:sz w:val="13"/>
        </w:rPr>
        <w:t>His background includes various leadership duties in conventional and nuclear munitions/ missile CMSAF David A. Flosi operations, program management, developmental test and March 2024-Present contingency operations at all Air Force organizational levels.</w:t>
      </w:r>
    </w:p>
    <w:p>
      <w:pPr>
        <w:spacing w:after="20" w:line="223" w:lineRule="auto"/>
        <w:jc w:val="right"/>
        <w:bidi/>
      </w:pPr>
      <w:r>
        <w:rPr>
          <w:rFonts w:ascii="Arial" w:hAnsi="Arial"/>
          <w:sz w:val="16"/>
        </w:rPr>
        <w:t>599.06  رئیس فلوسی در پشتیبانی مستقیم از عملیات‌های دیده‌بان جنوبی، آزادی عراق، عزم ذاتی و نگهبان آزادی مستقر شده است.</w:t>
      </w:r>
    </w:p>
    <w:p>
      <w:pPr>
        <w:spacing w:after="28" w:line="216" w:lineRule="auto"/>
        <w:ind w:left="259"/>
        <w:jc w:val="left"/>
      </w:pPr>
      <w:r>
        <w:rPr>
          <w:rFonts w:ascii="Arial" w:hAnsi="Arial"/>
          <w:color w:val="525252"/>
          <w:sz w:val="13"/>
        </w:rPr>
        <w:t>Chief Flosi has deployed in direct support of operations Southern Watch, Iraqi Freedom, Inherent Resolve and Freedom’s Sentinel.</w:t>
      </w:r>
    </w:p>
    <w:p>
      <w:pPr>
        <w:spacing w:after="20" w:line="223" w:lineRule="auto"/>
        <w:jc w:val="right"/>
        <w:bidi/>
      </w:pPr>
      <w:r>
        <w:rPr>
          <w:rFonts w:ascii="Arial" w:hAnsi="Arial"/>
          <w:sz w:val="16"/>
        </w:rPr>
        <w:t>599.07  قبل از این مأموریت، او به‌عنوان فرمانده فرماندهی ارشد گروهبان، فرماندهی مواد نیروی هوایی، پایگاه نیروی هوایی رایت-پترسون، اوهایو خدمت می‌کرد.</w:t>
      </w:r>
    </w:p>
    <w:p>
      <w:pPr>
        <w:spacing w:after="28" w:line="216" w:lineRule="auto"/>
        <w:ind w:left="259"/>
        <w:jc w:val="left"/>
      </w:pPr>
      <w:r>
        <w:rPr>
          <w:rFonts w:ascii="Arial" w:hAnsi="Arial"/>
          <w:color w:val="525252"/>
          <w:sz w:val="13"/>
        </w:rPr>
        <w:t>Prior to this assignment, he served as the Command Chief Master Sergeant, Air Force Materiel Command, Wright-Patterson Air Force Base, Ohio.</w:t>
      </w:r>
    </w:p>
    <w:p>
      <w:r>
        <w:br w:type="page"/>
      </w:r>
    </w:p>
    <w:p>
      <w:pPr>
        <w:spacing w:after="60"/>
        <w:jc w:val="right"/>
        <w:bidi/>
      </w:pPr>
      <w:r>
        <w:rPr>
          <w:rFonts w:ascii="Arial" w:hAnsi="Arial"/>
          <w:b/>
          <w:color w:val="1F4D78"/>
          <w:sz w:val="19"/>
        </w:rPr>
        <w:t>هفتهٔ 600  |  صفحهٔ منبع: 617</w:t>
      </w:r>
    </w:p>
    <w:p>
      <w:pPr>
        <w:spacing w:before="60" w:after="28"/>
        <w:jc w:val="right"/>
        <w:bidi/>
      </w:pPr>
      <w:r>
        <w:rPr>
          <w:b/>
          <w:color w:val="1F4D78"/>
          <w:sz w:val="18"/>
        </w:rPr>
        <w:t>پیوست 5</w:t>
      </w:r>
    </w:p>
    <w:p>
      <w:pPr>
        <w:spacing w:after="20"/>
        <w:ind w:left="259"/>
        <w:jc w:val="left"/>
      </w:pPr>
      <w:r>
        <w:rPr>
          <w:color w:val="555555"/>
          <w:sz w:val="12"/>
        </w:rPr>
        <w:t>Attachment 5</w:t>
      </w:r>
    </w:p>
    <w:p>
      <w:pPr>
        <w:spacing w:before="60" w:after="28"/>
        <w:jc w:val="right"/>
        <w:bidi/>
      </w:pPr>
      <w:r>
        <w:rPr>
          <w:b/>
          <w:color w:val="1F4D78"/>
          <w:sz w:val="18"/>
        </w:rPr>
        <w:t>روبان و مدال DAF</w:t>
      </w:r>
    </w:p>
    <w:p>
      <w:pPr>
        <w:spacing w:after="20"/>
        <w:ind w:left="259"/>
        <w:jc w:val="left"/>
      </w:pPr>
      <w:r>
        <w:rPr>
          <w:color w:val="555555"/>
          <w:sz w:val="12"/>
        </w:rPr>
        <w:t>DAF RIBBONS AND MEDALS</w:t>
      </w:r>
    </w:p>
    <w:p>
      <w:pPr>
        <w:spacing w:after="20" w:line="223" w:lineRule="auto"/>
        <w:jc w:val="right"/>
        <w:bidi/>
      </w:pPr>
      <w:r>
        <w:rPr>
          <w:rFonts w:ascii="Arial" w:hAnsi="Arial"/>
          <w:sz w:val="16"/>
        </w:rPr>
        <w:t>600.03  دفاع ممتاز مدال افتخار نیروی هوایی صلیب خدمت ممتاز مدال خدمات مدال ستاره نقره مدال دفاع مدال برتر خدمات مدال لژیون شایستگی ممتاز پرواز صلیب دفاع شایستگی خدمات شایستگی مدال هواپیمای برنز مدال ستاره قلب بنفش مدال قلب بنفش مدال خدمات مشترک مدال مدال هوایی مدال افتخاری تقدیر از خدمات مشترک دستاورد هوا و فضا مدال مدال مدال اقدام رزمی مدال واحد ریاست جمهوری استناد جایزه واحد شایستگی مشترک جوایز واحد افتخار واحد استناد جایزه واحد برگزیده هوا و فضا جایزه سازمانی برجسته واحد هوا و فضا جایزه تعالی سازمانی جایزه تعالی اسیران مدال مدال هوایی مقاومت رزمنده سرباز مدال ارتش رفتار خوب مدال خدمات شایسته مدال سال نوار روبان خدمات دفاعی آمریکا کمپین هوایی و فضایی شناسایی روبان مدال مدال کمپین آمریکایی مدال مدال کمپین اروپا-آفریقایی-خاورمیانه مدال جنگ جهانی دوم مدال پیروزی مدال ارتش اشغال مدال مدال خدمات ملی دفاع از نیروی انسانی مدال خدمات قطب جنوب مدال خدمات ویتنام مدال خدمات جنوب غربی آسیا مدال خدمات مدال کوزوو مدال کمپین در افغانستان مدال کمپین حل و فصل ذاتی مبارزات انتخاباتی جنگ جهانی علیه تروریسم جنگ جهانی علیه تروریسم مدال عراق مدال مدال مدال اعزامی مدال مدال خدمات بشردوستانه مدال خدمات دفاعی برجسته کره‌ای مدال خدمات دفاعی برجسته مدال نیروهای مسلح مدال سربازی بازدارندگی مدال هوا و فضا در خارج از کشور نوار مدال خدمات عملیات مدال - تور کوتاه روبان هوایی و فضایی خارج از کشور اعزامی هوایی و فضایی طول عمر توسعه وظیفه ویژه - روبان خدمات تور طولانی روبان جایزه خدمات</w:t>
      </w:r>
    </w:p>
    <w:p>
      <w:pPr>
        <w:spacing w:after="28" w:line="216" w:lineRule="auto"/>
        <w:ind w:left="259"/>
        <w:jc w:val="left"/>
      </w:pPr>
      <w:r>
        <w:rPr>
          <w:rFonts w:ascii="Arial" w:hAnsi="Arial"/>
          <w:color w:val="525252"/>
          <w:sz w:val="13"/>
        </w:rPr>
        <w:t>Defense Distinguished Medal of Honor Air Force Cross Distinguished Service Medal Service Medal Silver Star Medal Defense Superior Service Medal Legion of Merit Distinguished Flying Cross Defense Meritorious Service Airman's Medal Bronze Star Medal Purple Heart Medal Joint Service Commendation Meritorious Service Medal Air Medal Aerial Achievement Medal Medal Air and Space Commendation Joint Service Achievement Air and Space Achievement Medal Medal Medal Combat Action Medal Presidential Unit Citation Joint Meritorious Unit Award Gallant Unit Citation Meritorious Unit Award Air and Space Outstanding Unit Air and Space Organizational Award Excellence Award Prisoner of War Medal Combat Readiness Medal Air Reserve Forces Outstanding Airman of the Air Force Good Conduct Medal Army Good Conduct Medal Meritorious Service Medal Year Ribbon American Defense Service Asiatic-Pacific Campaign Air and Space Recognition Ribbon Medal American Campaign Medal Medal Euro-African-Middle Eastern Campaign Medal World War II Victory Medal Army of Occupation Medal Medal for Humane Action Armed Forces Expeditionary National Defense Service Medal Korean Service Medal Antarctica Service Medal Medal Vietnam Service Medal Southwest Asia Service Medal Kosovo Campaign Medal Afghanistan Campaign Medal Inherent Resolve Campaign Global War on Terrorism Global War on Terrorism Iraq Campaign Medal Medal Expeditionary Medal Service Medal Humanitarian Service Military Outstanding Korean Defense Service Medal Armed Forces Service Medal Medal Volunteer Service Medal Remote Combat Effects Campaign Nuclear Deterrence Air and Space Overseas Medal Air and Space Campaign Medal Operations Service Medal Ribbon - Short Tour Air and Space Overseas Ribbon Air and Space Expeditionary Air and Space Longevity Developmental Special Duty - Long Tour Service Ribbon Service Award Ribbon</w:t>
      </w:r>
    </w:p>
    <w:p>
      <w:r>
        <w:br w:type="page"/>
      </w:r>
    </w:p>
    <w:p>
      <w:pPr>
        <w:spacing w:after="60"/>
        <w:jc w:val="right"/>
        <w:bidi/>
      </w:pPr>
      <w:r>
        <w:rPr>
          <w:rFonts w:ascii="Arial" w:hAnsi="Arial"/>
          <w:b/>
          <w:color w:val="1F4D78"/>
          <w:sz w:val="19"/>
        </w:rPr>
        <w:t>هفتهٔ 601  |  صفحهٔ منبع: 618</w:t>
      </w:r>
    </w:p>
    <w:p>
      <w:pPr>
        <w:spacing w:after="20" w:line="223" w:lineRule="auto"/>
        <w:jc w:val="right"/>
        <w:bidi/>
      </w:pPr>
      <w:r>
        <w:rPr>
          <w:rFonts w:ascii="Arial" w:hAnsi="Arial"/>
          <w:sz w:val="16"/>
        </w:rPr>
        <w:t>601.01  آموزش نظامی پایه نیروی هوایی نیروهای مسلح ذخیره نیروی هوایی نیروی هوایی ارتشبد فرمانده نیروی هوایی ارتش آمریکا فارغ‌التحصیل مربی روبان نیروی هوایی استخدام کننده نوار مدال نوار مدال آموزش نظامی پایه آموزش نظامی اسلحه کوچک افتخار آموزش اسلحه کوچک کارشناس هوایی و فضایی فارغ‌التحصیل روبان تیراندازی کره‌ای فیلیپ ریبون ریبون جمهوریت مدال آزادی فیلیپین استناد به مدال استقلال فیلیپین واحد ریاست جمهوری نقل قول خدمات شایسته ناتو RVN صلیب گالانتری با نخل مدال خدمات سازمان ملل مدال مدال سازمان ملل ماده ۵ مدال ناتو - ماده ۵ مدال ناتو - مدال ناتو برای یوگسلاوی کمک امنیتی جمهوری ویتنام مدال آزادی کویت مدال کمپین نیروهای بالکان پادشاهی عربستان سعودی مدال آزادی کویت جمهوری کره جنگ کره مدال خدمات دولت کویت</w:t>
      </w:r>
    </w:p>
    <w:p>
      <w:pPr>
        <w:spacing w:after="28" w:line="216" w:lineRule="auto"/>
        <w:ind w:left="259"/>
        <w:jc w:val="left"/>
      </w:pPr>
      <w:r>
        <w:rPr>
          <w:rFonts w:ascii="Arial" w:hAnsi="Arial"/>
          <w:color w:val="525252"/>
          <w:sz w:val="13"/>
        </w:rPr>
        <w:t>Air Force Basic Military Training Armed Forces Reserve USAF NCO PME Graduate Instructor Ribbon Air Force Recruiter Ribbon Medal Ribbon Basic Military Training Honor Small Arms Expert Air and Space Training Graduate Ribbon Marksmanship Ribbon Ribbon Philippine Defense Medal Philippine Presidential Unit Republic of Korea Philippine Liberation Medal Philippine Independence Medal Citation Presidential Unit Citation NATO Meritorious Service RVN Gallantry Cross with Palm United Nations Service Medal United Nations Medal Medal Article 5 NATO Medal - Article 5 NATO Medal - NATO Medal for Yugoslavia NATO Medal for Kosovo Eagle Assist Active Endeavour Non Article 5 NATO Medal - Non Article 5 NATO Medal - International Security Assistance Republic of Vietnam Kuwait Liberation Medal Balkans Force Campaign Medal Kingdom of Saudi Arabia Kuwait Liberation Medal Republic of Korea Korean War Government of Kuwait Service Medal</w:t>
      </w:r>
    </w:p>
    <w:p>
      <w:r>
        <w:br w:type="page"/>
      </w:r>
    </w:p>
    <w:p>
      <w:pPr>
        <w:spacing w:after="60"/>
        <w:jc w:val="right"/>
        <w:bidi/>
      </w:pPr>
      <w:r>
        <w:rPr>
          <w:rFonts w:ascii="Arial" w:hAnsi="Arial"/>
          <w:b/>
          <w:color w:val="1F4D78"/>
          <w:sz w:val="19"/>
        </w:rPr>
        <w:t>هفتهٔ 602  |  صفحهٔ منبع: 619</w:t>
      </w:r>
    </w:p>
    <w:p>
      <w:pPr>
        <w:spacing w:before="60" w:after="28"/>
        <w:jc w:val="right"/>
        <w:bidi/>
      </w:pPr>
      <w:r>
        <w:rPr>
          <w:b/>
          <w:color w:val="1F4D78"/>
          <w:sz w:val="18"/>
        </w:rPr>
        <w:t>پیوست 6</w:t>
      </w:r>
    </w:p>
    <w:p>
      <w:pPr>
        <w:spacing w:after="20"/>
        <w:ind w:left="259"/>
        <w:jc w:val="left"/>
      </w:pPr>
      <w:r>
        <w:rPr>
          <w:color w:val="555555"/>
          <w:sz w:val="12"/>
        </w:rPr>
        <w:t>Attachment 6</w:t>
      </w:r>
    </w:p>
    <w:p>
      <w:pPr>
        <w:spacing w:before="60" w:after="28"/>
        <w:jc w:val="right"/>
        <w:bidi/>
      </w:pPr>
      <w:r>
        <w:rPr>
          <w:b/>
          <w:color w:val="1F4D78"/>
          <w:sz w:val="18"/>
        </w:rPr>
        <w:t>دستگاه ها</w:t>
      </w:r>
    </w:p>
    <w:p>
      <w:pPr>
        <w:spacing w:after="20"/>
        <w:ind w:left="259"/>
        <w:jc w:val="left"/>
      </w:pPr>
      <w:r>
        <w:rPr>
          <w:color w:val="555555"/>
          <w:sz w:val="12"/>
        </w:rPr>
        <w:t>DEVICES</w:t>
      </w:r>
    </w:p>
    <w:p>
      <w:pPr>
        <w:spacing w:after="20" w:line="223" w:lineRule="auto"/>
        <w:jc w:val="right"/>
        <w:bidi/>
      </w:pPr>
      <w:r>
        <w:rPr>
          <w:rFonts w:ascii="Arial" w:hAnsi="Arial"/>
          <w:sz w:val="16"/>
        </w:rPr>
        <w:t>602.03  هواپیمای آلمان و ژاپن "وینتر وور"، ک-۵۴ اررووهاد "ا" دویک کلاسپ اند دیسک کلاسپس انتارکتیکا سرویک مدال کلاسپ اند دیسک.</w:t>
      </w:r>
    </w:p>
    <w:p>
      <w:pPr>
        <w:spacing w:after="28" w:line="216" w:lineRule="auto"/>
        <w:ind w:left="259"/>
        <w:jc w:val="left"/>
      </w:pPr>
      <w:r>
        <w:rPr>
          <w:rFonts w:ascii="Arial" w:hAnsi="Arial"/>
          <w:color w:val="525252"/>
          <w:sz w:val="13"/>
        </w:rPr>
        <w:t>“Winter Over” Germany and Japan Airplane, C-54 Arrowhead “A” Device Clasp and Disc Clasps Antarctica Service Medal Clasp and Disc.</w:t>
      </w:r>
    </w:p>
    <w:p>
      <w:pPr>
        <w:spacing w:after="20" w:line="223" w:lineRule="auto"/>
        <w:jc w:val="right"/>
        <w:bidi/>
      </w:pPr>
      <w:r>
        <w:rPr>
          <w:rFonts w:ascii="Arial" w:hAnsi="Arial"/>
          <w:sz w:val="16"/>
        </w:rPr>
        <w:t>602.04  دستگاه "ا" یا ت دویک یس ونلی کلاسپ فقط روی گیره‌ها پوشیده می‌شود.</w:t>
      </w:r>
    </w:p>
    <w:p>
      <w:pPr>
        <w:spacing w:after="28" w:line="216" w:lineRule="auto"/>
        <w:ind w:left="259"/>
        <w:jc w:val="left"/>
      </w:pPr>
      <w:r>
        <w:rPr>
          <w:rFonts w:ascii="Arial" w:hAnsi="Arial"/>
          <w:color w:val="525252"/>
          <w:sz w:val="13"/>
        </w:rPr>
        <w:t>The The “A” device or The device is only clasp is only worn on Clasps are authorized Arctic Service Device is The arrowhead device worn with the Army medal’s suspension for wear on the Army of worn only with the Air denotes participation of Occupation Medal ribbon.</w:t>
      </w:r>
    </w:p>
    <w:p>
      <w:pPr>
        <w:spacing w:after="20" w:line="223" w:lineRule="auto"/>
        <w:jc w:val="right"/>
        <w:bidi/>
      </w:pPr>
      <w:r>
        <w:rPr>
          <w:rFonts w:ascii="Arial" w:hAnsi="Arial"/>
          <w:sz w:val="16"/>
        </w:rPr>
        <w:t>602.05  دیسک مدال شغل است.</w:t>
      </w:r>
    </w:p>
    <w:p>
      <w:pPr>
        <w:spacing w:after="28" w:line="216" w:lineRule="auto"/>
        <w:ind w:left="259"/>
        <w:jc w:val="left"/>
      </w:pPr>
      <w:r>
        <w:rPr>
          <w:rFonts w:ascii="Arial" w:hAnsi="Arial"/>
          <w:color w:val="525252"/>
          <w:sz w:val="13"/>
        </w:rPr>
        <w:t>The disc is Occupation Medal.</w:t>
      </w:r>
    </w:p>
    <w:p>
      <w:pPr>
        <w:spacing w:after="20" w:line="223" w:lineRule="auto"/>
        <w:jc w:val="right"/>
        <w:bidi/>
      </w:pPr>
      <w:r>
        <w:rPr>
          <w:rFonts w:ascii="Arial" w:hAnsi="Arial"/>
          <w:sz w:val="16"/>
        </w:rPr>
        <w:t>602.06  روبان نیروی خارج از کشور در یک چتر رزمی برای نشان دادن خدمات مجاز برای افراد دارای کتیبه تور کوتاه "آلمان" و پرش، گلایدر رزمی ۹۰ روز متوالی که در یا "ژاپن" اقامت داشته‌اند به معنای مجاز برای افرادی است که در زمستان فرود یا آبی-خاکی مستقیم در طول زمستان فرود می‌آیند. چه منطقه‌ای از اشغال یک فرود حمله کوتاه را تکمیل کرد. هواپیمای برلین</w:t>
      </w:r>
    </w:p>
    <w:p>
      <w:pPr>
        <w:spacing w:after="28" w:line="216" w:lineRule="auto"/>
        <w:ind w:left="259"/>
        <w:jc w:val="left"/>
      </w:pPr>
      <w:r>
        <w:rPr>
          <w:rFonts w:ascii="Arial" w:hAnsi="Arial"/>
          <w:color w:val="525252"/>
          <w:sz w:val="13"/>
        </w:rPr>
        <w:t>The Force Overseas Ribbon in a combat parachute to denote service of authorized for people inscriptions “Germany” Short Tour and is jump, combat glider 90 consecutive days who stayed on the or “Japan” signifies in authorized for people landing or amphibious in direct support of continent during winter. what area of occupation who completed a short assault landing. the Berlin Airlift.</w:t>
      </w:r>
    </w:p>
    <w:p>
      <w:pPr>
        <w:spacing w:after="20" w:line="223" w:lineRule="auto"/>
        <w:jc w:val="right"/>
        <w:bidi/>
      </w:pPr>
      <w:r>
        <w:rPr>
          <w:rFonts w:ascii="Arial" w:hAnsi="Arial"/>
          <w:sz w:val="16"/>
        </w:rPr>
        <w:t>602.07  برنز - ۱ زمستان. گیرنده خدمت کرده است. تور شمال قطب شمال طلا - ۲ زمستان.</w:t>
      </w:r>
    </w:p>
    <w:p>
      <w:pPr>
        <w:spacing w:after="28" w:line="216" w:lineRule="auto"/>
        <w:ind w:left="259"/>
        <w:jc w:val="left"/>
      </w:pPr>
      <w:r>
        <w:rPr>
          <w:rFonts w:ascii="Arial" w:hAnsi="Arial"/>
          <w:color w:val="525252"/>
          <w:sz w:val="13"/>
        </w:rPr>
        <w:t>Bronze - 1 winter. recipient served. tour north of the Arctic Gold - 2 winters.</w:t>
      </w:r>
    </w:p>
    <w:p>
      <w:pPr>
        <w:spacing w:after="20" w:line="223" w:lineRule="auto"/>
        <w:jc w:val="right"/>
        <w:bidi/>
      </w:pPr>
      <w:r>
        <w:rPr>
          <w:rFonts w:ascii="Arial" w:hAnsi="Arial"/>
          <w:sz w:val="16"/>
        </w:rPr>
        <w:t>602.08  دایره.</w:t>
      </w:r>
    </w:p>
    <w:p>
      <w:pPr>
        <w:spacing w:after="28" w:line="216" w:lineRule="auto"/>
        <w:ind w:left="259"/>
        <w:jc w:val="left"/>
      </w:pPr>
      <w:r>
        <w:rPr>
          <w:rFonts w:ascii="Arial" w:hAnsi="Arial"/>
          <w:color w:val="525252"/>
          <w:sz w:val="13"/>
        </w:rPr>
        <w:t>Circle.</w:t>
      </w:r>
    </w:p>
    <w:p>
      <w:pPr>
        <w:spacing w:after="20" w:line="223" w:lineRule="auto"/>
        <w:jc w:val="right"/>
        <w:bidi/>
      </w:pPr>
      <w:r>
        <w:rPr>
          <w:rFonts w:ascii="Arial" w:hAnsi="Arial"/>
          <w:sz w:val="16"/>
        </w:rPr>
        <w:t>602.09  نقره - ۳ زمستان.</w:t>
      </w:r>
    </w:p>
    <w:p>
      <w:pPr>
        <w:spacing w:after="28" w:line="216" w:lineRule="auto"/>
        <w:ind w:left="259"/>
        <w:jc w:val="left"/>
      </w:pPr>
      <w:r>
        <w:rPr>
          <w:rFonts w:ascii="Arial" w:hAnsi="Arial"/>
          <w:color w:val="525252"/>
          <w:sz w:val="13"/>
        </w:rPr>
        <w:t>Silver - 3 winters.</w:t>
      </w:r>
    </w:p>
    <w:p>
      <w:pPr>
        <w:spacing w:after="20" w:line="223" w:lineRule="auto"/>
        <w:jc w:val="right"/>
        <w:bidi/>
      </w:pPr>
      <w:r>
        <w:rPr>
          <w:rFonts w:ascii="Arial" w:hAnsi="Arial"/>
          <w:sz w:val="16"/>
        </w:rPr>
        <w:t>602.10  "ک" دستگاه "م" دستگاه "ن" دستگاه "ر" دستگاه "و" دویک ت کومبات "ک" ت موبیلیزاتیون "م" یک حرف فلزی برنزی دستگاه "ر" دستگاه "و" نشان‌دهنده دستگاه چسبانده شده به دستگاه است، فقط با "ن" پوشیده می‌شود که نشان‌دهنده وظایف است و به برخی از تزئینات مربوط به بازو متصل نمی‌شود. در داخل یک دکوراسیون برای نشان دادن یک جایزه اضافی انجام می‌شود.</w:t>
      </w:r>
    </w:p>
    <w:p>
      <w:pPr>
        <w:spacing w:after="28" w:line="216" w:lineRule="auto"/>
        <w:ind w:left="259"/>
        <w:jc w:val="left"/>
      </w:pPr>
      <w:r>
        <w:rPr>
          <w:rFonts w:ascii="Arial" w:hAnsi="Arial"/>
          <w:color w:val="525252"/>
          <w:sz w:val="13"/>
        </w:rPr>
        <w:t>“C” Device “M” Device “N” Device “R” Device “V” Device The Combat “C” The Mobilization “M” A metallic, bronze letter The “R” device The “V” device represents device is affixed to device is only worn with “N” that represents duties is affixed to certain valor and does not denote certain decorations to the Armed Forces Reserve performed within a decorations to denote an additional award.</w:t>
      </w:r>
    </w:p>
    <w:p>
      <w:pPr>
        <w:spacing w:after="20" w:line="223" w:lineRule="auto"/>
        <w:jc w:val="right"/>
        <w:bidi/>
      </w:pPr>
      <w:r>
        <w:rPr>
          <w:rFonts w:ascii="Arial" w:hAnsi="Arial"/>
          <w:sz w:val="16"/>
        </w:rPr>
        <w:t>602.11  فقط به‌طور استثنایی نشان می‌دهد مدال برای نشان دادن مجتمع موشکی فعال به صورت مستقیم و مستقیم می‌تواند در هر خدمت شایستگی یا وضعیت وظیفه برای حداقل یک پشتیبانی از استفاده از روبان استفاده شود. روز موفقیت در طول یک حادثه</w:t>
      </w:r>
    </w:p>
    <w:p>
      <w:pPr>
        <w:spacing w:after="28" w:line="216" w:lineRule="auto"/>
        <w:ind w:left="259"/>
        <w:jc w:val="left"/>
      </w:pPr>
      <w:r>
        <w:rPr>
          <w:rFonts w:ascii="Arial" w:hAnsi="Arial"/>
          <w:color w:val="525252"/>
          <w:sz w:val="13"/>
        </w:rPr>
        <w:t>Only denote exceptionally Medal to denote active missile complex in direct direct hands-on one may be worn on any meritorious service or duty status for at least one support of employment of a ribbon. achievement day during a contingency.</w:t>
      </w:r>
    </w:p>
    <w:p>
      <w:pPr>
        <w:spacing w:after="20" w:line="223" w:lineRule="auto"/>
        <w:jc w:val="right"/>
        <w:bidi/>
      </w:pPr>
      <w:r>
        <w:rPr>
          <w:rFonts w:ascii="Arial" w:hAnsi="Arial"/>
          <w:sz w:val="16"/>
        </w:rPr>
        <w:t>602.12  سیستم تسلیحات بالستیک بین قاره‌ای که تحت عملیات موشکی یا در شرایط جنگی مستقیم و با پشتیبانی مستقیم از برخورد فوری هسته‌ای بر روی هواپیمای باردار ۷ ژانویه ۲۰۱۶ یا پس از آن انجام می‌شد.</w:t>
      </w:r>
    </w:p>
    <w:p>
      <w:pPr>
        <w:spacing w:after="28" w:line="216" w:lineRule="auto"/>
        <w:ind w:left="259"/>
        <w:jc w:val="left"/>
      </w:pPr>
      <w:r>
        <w:rPr>
          <w:rFonts w:ascii="Arial" w:hAnsi="Arial"/>
          <w:color w:val="525252"/>
          <w:sz w:val="13"/>
        </w:rPr>
        <w:t>Intercontinental Ballistic weapon system that performed under Missile operations or in had a direct and combat conditions on direct support of nuclear immediate impact on a or after 7 January 2016 laden aircraft.</w:t>
      </w:r>
    </w:p>
    <w:p>
      <w:pPr>
        <w:spacing w:after="20" w:line="223" w:lineRule="auto"/>
        <w:jc w:val="right"/>
        <w:bidi/>
      </w:pPr>
      <w:r>
        <w:rPr>
          <w:rFonts w:ascii="Arial" w:hAnsi="Arial"/>
          <w:sz w:val="16"/>
        </w:rPr>
        <w:t>602.13  فقط یک عملیات رزمی یا (این دستگاه "ن" عطف به ماسبق نیست، استفاده می‌شود، عملیات نظامی دیگر قبل از این بدون توجه به تعداد (به‌عنوان مثال، نتیجه یک تاریخ) درگیری واجد شرایط یا تکالیف خاص.</w:t>
      </w:r>
    </w:p>
    <w:p>
      <w:pPr>
        <w:spacing w:after="28" w:line="216" w:lineRule="auto"/>
        <w:ind w:left="259"/>
        <w:jc w:val="left"/>
      </w:pPr>
      <w:r>
        <w:rPr>
          <w:rFonts w:ascii="Arial" w:hAnsi="Arial"/>
          <w:color w:val="525252"/>
          <w:sz w:val="13"/>
        </w:rPr>
        <w:t>Only one combat operation or (this is not retroactive “N” device is worn, other military operation prior to this regardless of the number (i.e., outcome of an date). of qualifying engagement or specific assignments.</w:t>
      </w:r>
    </w:p>
    <w:p>
      <w:pPr>
        <w:spacing w:after="20" w:line="223" w:lineRule="auto"/>
        <w:jc w:val="right"/>
        <w:bidi/>
      </w:pPr>
      <w:r>
        <w:rPr>
          <w:rFonts w:ascii="Arial" w:hAnsi="Arial"/>
          <w:sz w:val="16"/>
        </w:rPr>
        <w:t>602.14  هنگامی که اثرات فرسوده روی یک هدف، به تنهایی، دستگاه شامل عنوان ۱۰ USC، در مرکز روی نوار است. پشتیبانی از غیر عنوان ۱۰ هنگامی که با عملیات برگ بلوط و خوشه‌ها پوشیده می‌شود، دستگاه "ن" عملیاتی است که توسط پوشیده شده در سمت راست پوشنده و اجرای تأیید شده خوشه‌ها مجاز است. سفارش دهید.</w:t>
      </w:r>
    </w:p>
    <w:p>
      <w:pPr>
        <w:spacing w:after="28" w:line="216" w:lineRule="auto"/>
        <w:ind w:left="259"/>
        <w:jc w:val="left"/>
      </w:pPr>
      <w:r>
        <w:rPr>
          <w:rFonts w:ascii="Arial" w:hAnsi="Arial"/>
          <w:color w:val="525252"/>
          <w:sz w:val="13"/>
        </w:rPr>
        <w:t>When worn effects on a target), alone, the device is including Title 10 USC, centered on the ribbon. support of non-Title 10 When worn with oak leaf operations, and clusters, the “N” device is operations authorized by worn to the wearer's right an approved execute of the clusters. order.</w:t>
      </w:r>
    </w:p>
    <w:p>
      <w:r>
        <w:br w:type="page"/>
      </w:r>
    </w:p>
    <w:p>
      <w:pPr>
        <w:spacing w:after="60"/>
        <w:jc w:val="right"/>
        <w:bidi/>
      </w:pPr>
      <w:r>
        <w:rPr>
          <w:rFonts w:ascii="Arial" w:hAnsi="Arial"/>
          <w:b/>
          <w:color w:val="1F4D78"/>
          <w:sz w:val="19"/>
        </w:rPr>
        <w:t>هفتهٔ 603  |  صفحهٔ منبع: 620</w:t>
      </w:r>
    </w:p>
    <w:p>
      <w:pPr>
        <w:spacing w:after="20" w:line="223" w:lineRule="auto"/>
        <w:jc w:val="right"/>
        <w:bidi/>
      </w:pPr>
      <w:r>
        <w:rPr>
          <w:rFonts w:ascii="Arial" w:hAnsi="Arial"/>
          <w:sz w:val="16"/>
        </w:rPr>
        <w:t>603.01  نخل برنزی و نقره‌ای با خوشه برگ بلوط برنزی و نقره‌ای شمشیرها دستگاه عددی ساعت شنی سرویس ستاره‌ها برگ بلوط برنزی دستگاه اعطا می‌شود دستگاهی که بر روی ساعت شنی پوشیده شده است فقط خوشه ستاره برنزی نشان دهنده رتبه دوم برای حمایت از سازمان‌های فرعی و کمونیست مدال طوفان و آزادی رصد یا مدال ذخیره نیروها در مبارزات یا استحقاقات کویت در مدال هوایی ارتش ایران نشان دهنده سالها خدمت است. عملیات، جوایز متعدد</w:t>
      </w:r>
    </w:p>
    <w:p>
      <w:pPr>
        <w:spacing w:after="28" w:line="216" w:lineRule="auto"/>
        <w:ind w:left="259"/>
        <w:jc w:val="left"/>
      </w:pPr>
      <w:r>
        <w:rPr>
          <w:rFonts w:ascii="Arial" w:hAnsi="Arial"/>
          <w:color w:val="525252"/>
          <w:sz w:val="13"/>
        </w:rPr>
        <w:t>Bronze and Silver Palm Tree with Bronze and Silver Oak Leaf Cluster Swords Numeral Device Hourglass Service Stars The bronze oak leaf The device is awarded The device worn on the The hourglass is only The bronze star cluster represents 2nd for support of Desert Multinational Force &amp; worn with the Armed represents participation and subsequent Storm and Liberation of Observation Medal or Forces Reserve Medal in campaigns or entitlements of Kuwait in the Persian Army Air Medal denotes for years of service. operations, multiple awards.</w:t>
      </w:r>
    </w:p>
    <w:p>
      <w:pPr>
        <w:spacing w:after="20" w:line="223" w:lineRule="auto"/>
        <w:jc w:val="right"/>
        <w:bidi/>
      </w:pPr>
      <w:r>
        <w:rPr>
          <w:rFonts w:ascii="Arial" w:hAnsi="Arial"/>
          <w:sz w:val="16"/>
        </w:rPr>
        <w:t>603.02  خلیج نقره، دریای سرخ، خلیج تزیینات مکرر برنز - ۱۰ سال. مدارک تحصیلی، یا خوشه برگ بلوط عدن، عراق، کویت، همان جایزه.</w:t>
      </w:r>
    </w:p>
    <w:p>
      <w:pPr>
        <w:spacing w:after="28" w:line="216" w:lineRule="auto"/>
        <w:ind w:left="259"/>
        <w:jc w:val="left"/>
      </w:pPr>
      <w:r>
        <w:rPr>
          <w:rFonts w:ascii="Arial" w:hAnsi="Arial"/>
          <w:color w:val="525252"/>
          <w:sz w:val="13"/>
        </w:rPr>
        <w:t>The silver Gulf, Red Sea, Gulf of repeated decorations of Bronze - 10 years. qualifications, or an oak leaf cluster Aden, Iraq, Kuwait, the same award.</w:t>
      </w:r>
    </w:p>
    <w:p>
      <w:pPr>
        <w:spacing w:after="20" w:line="223" w:lineRule="auto"/>
        <w:jc w:val="right"/>
        <w:bidi/>
      </w:pPr>
      <w:r>
        <w:rPr>
          <w:rFonts w:ascii="Arial" w:hAnsi="Arial"/>
          <w:sz w:val="16"/>
        </w:rPr>
        <w:t>603.03  روی نقره - ۲۰ سال. جایزه اضافی به نماینده ششم، یازدهم، عربستان سعودی، عمان، طلای ذخیره نیروهای مسلح - ۳۰ سال. روبان که در آن است و غیره، حقوق در بحرین، قطر، و مدال، دستگاه مجاز است.</w:t>
      </w:r>
    </w:p>
    <w:p>
      <w:pPr>
        <w:spacing w:after="28" w:line="216" w:lineRule="auto"/>
        <w:ind w:left="259"/>
        <w:jc w:val="left"/>
      </w:pPr>
      <w:r>
        <w:rPr>
          <w:rFonts w:ascii="Arial" w:hAnsi="Arial"/>
          <w:color w:val="525252"/>
          <w:sz w:val="13"/>
        </w:rPr>
        <w:t>On the Silver - 20 years. additional award to the represents 6th, 11th, Saudi Arabia, Oman, Armed Forces Reserve Gold - 30 years. ribbons on which it is etc., entitlements in Bahrain, Qatar, and Medal, the device authorized.</w:t>
      </w:r>
    </w:p>
    <w:p>
      <w:pPr>
        <w:spacing w:after="20" w:line="223" w:lineRule="auto"/>
        <w:jc w:val="right"/>
        <w:bidi/>
      </w:pPr>
      <w:r>
        <w:rPr>
          <w:rFonts w:ascii="Arial" w:hAnsi="Arial"/>
          <w:sz w:val="16"/>
        </w:rPr>
        <w:t>603.04  هر جای نقره‌ای از پنج امارات متحده عربی برنز، نشان دهنده زمان پوشیدن ستاره به جای بسیج برای خوشه‌های برگ بلوط فعال است.</w:t>
      </w:r>
    </w:p>
    <w:p>
      <w:pPr>
        <w:spacing w:after="28" w:line="216" w:lineRule="auto"/>
        <w:ind w:left="259"/>
        <w:jc w:val="left"/>
      </w:pPr>
      <w:r>
        <w:rPr>
          <w:rFonts w:ascii="Arial" w:hAnsi="Arial"/>
          <w:color w:val="525252"/>
          <w:sz w:val="13"/>
        </w:rPr>
        <w:t>Each silver lieu of five bronze United Arab Emirates, denotes the times star is worn in lieu of mobilized for active oak leaf clusters.</w:t>
      </w:r>
    </w:p>
    <w:p>
      <w:pPr>
        <w:spacing w:after="20" w:line="223" w:lineRule="auto"/>
        <w:jc w:val="right"/>
        <w:bidi/>
      </w:pPr>
      <w:r>
        <w:rPr>
          <w:rFonts w:ascii="Arial" w:hAnsi="Arial"/>
          <w:sz w:val="16"/>
        </w:rPr>
        <w:t>603.05  ۱۷ ژانویه ۹۱ تا ۲۸ فوریه ۹۱. پنج ستاره برنز. وظیفه</w:t>
      </w:r>
    </w:p>
    <w:p>
      <w:pPr>
        <w:spacing w:after="28" w:line="216" w:lineRule="auto"/>
        <w:ind w:left="259"/>
        <w:jc w:val="left"/>
      </w:pPr>
      <w:r>
        <w:rPr>
          <w:rFonts w:ascii="Arial" w:hAnsi="Arial"/>
          <w:color w:val="525252"/>
          <w:sz w:val="13"/>
        </w:rPr>
        <w:t>17 Jan 91 to 28 Feb 91. five bronze stars. duty.</w:t>
      </w:r>
    </w:p>
    <w:p>
      <w:pPr>
        <w:spacing w:after="20" w:line="223" w:lineRule="auto"/>
        <w:jc w:val="right"/>
        <w:bidi/>
      </w:pPr>
      <w:r>
        <w:rPr>
          <w:rFonts w:ascii="Arial" w:hAnsi="Arial"/>
          <w:sz w:val="16"/>
        </w:rPr>
        <w:t>603.06  ۱۹۶۰ نوار خرما نخل حاشیه طلایی حاشیه/قاب طلایی وسیله‌ای برای روبان است دستگاه نخل برنزی نوار جوایز را نمایش می‌دهد.</w:t>
      </w:r>
    </w:p>
    <w:p>
      <w:pPr>
        <w:spacing w:after="28" w:line="216" w:lineRule="auto"/>
        <w:ind w:left="259"/>
        <w:jc w:val="left"/>
      </w:pPr>
      <w:r>
        <w:rPr>
          <w:rFonts w:ascii="Arial" w:hAnsi="Arial"/>
          <w:color w:val="525252"/>
          <w:sz w:val="13"/>
        </w:rPr>
        <w:t>1960 Bar Date Palm The Gold Border The gold border/frame is a device for ribbon The bronze palm device The bar displays the awards.</w:t>
      </w:r>
    </w:p>
    <w:p>
      <w:pPr>
        <w:spacing w:after="20" w:line="223" w:lineRule="auto"/>
        <w:jc w:val="right"/>
        <w:bidi/>
      </w:pPr>
      <w:r>
        <w:rPr>
          <w:rFonts w:ascii="Arial" w:hAnsi="Arial"/>
          <w:sz w:val="16"/>
        </w:rPr>
        <w:t>603.07  مرزهای طلایی در تاریخ اولیه سال ۱۹۶۰ پوشیده شده است و پس از آن مجاز به انتشار ویتنام با یک خط تیره و یک جای خالی متصل به مدال‌ها نیستند.</w:t>
      </w:r>
    </w:p>
    <w:p>
      <w:pPr>
        <w:spacing w:after="28" w:line="216" w:lineRule="auto"/>
        <w:ind w:left="259"/>
        <w:jc w:val="left"/>
      </w:pPr>
      <w:r>
        <w:rPr>
          <w:rFonts w:ascii="Arial" w:hAnsi="Arial"/>
          <w:color w:val="525252"/>
          <w:sz w:val="13"/>
        </w:rPr>
        <w:t>Gold borders is worn upon initial date of 1960 followed are not authorized to be issue of the Vietnam by a dash and a blank attached to medals.</w:t>
      </w:r>
    </w:p>
    <w:p>
      <w:pPr>
        <w:spacing w:after="20" w:line="223" w:lineRule="auto"/>
        <w:jc w:val="right"/>
        <w:bidi/>
      </w:pPr>
      <w:r>
        <w:rPr>
          <w:rFonts w:ascii="Arial" w:hAnsi="Arial"/>
          <w:sz w:val="16"/>
        </w:rPr>
        <w:t>603.08  فضای واحد گالانتری کراس.</w:t>
      </w:r>
    </w:p>
    <w:p>
      <w:pPr>
        <w:spacing w:after="28" w:line="216" w:lineRule="auto"/>
        <w:ind w:left="259"/>
        <w:jc w:val="left"/>
      </w:pPr>
      <w:r>
        <w:rPr>
          <w:rFonts w:ascii="Arial" w:hAnsi="Arial"/>
          <w:color w:val="525252"/>
          <w:sz w:val="13"/>
        </w:rPr>
        <w:t>Gallantry Cross Unit space.</w:t>
      </w:r>
    </w:p>
    <w:p>
      <w:pPr>
        <w:spacing w:after="20" w:line="223" w:lineRule="auto"/>
        <w:jc w:val="right"/>
        <w:bidi/>
      </w:pPr>
      <w:r>
        <w:rPr>
          <w:rFonts w:ascii="Arial" w:hAnsi="Arial"/>
          <w:sz w:val="16"/>
        </w:rPr>
        <w:t>603.09  این دستگاه مرز طلایی است که به کیتاتیون اعطا شده است و با مدال کمپین اقدامات مدنی ویتنام شرکت کننده هواپیمایی ویتنام صادر شده است. در عملیات رزمی در ونیت کیتاتیون. یک منطقه جنگی تعیین شده</w:t>
      </w:r>
    </w:p>
    <w:p>
      <w:pPr>
        <w:spacing w:after="28" w:line="216" w:lineRule="auto"/>
        <w:ind w:left="259"/>
        <w:jc w:val="left"/>
      </w:pPr>
      <w:r>
        <w:rPr>
          <w:rFonts w:ascii="Arial" w:hAnsi="Arial"/>
          <w:color w:val="525252"/>
          <w:sz w:val="13"/>
        </w:rPr>
        <w:t>The device is Gold border awarded to Citation and the issued with the Vietnam Airman who participate Vietnam Civil Actions Campaign Medal. in combat operations in Unit Citation. a designated combat zone.</w:t>
      </w:r>
    </w:p>
    <w:p>
      <w:r>
        <w:br w:type="page"/>
      </w:r>
    </w:p>
    <w:p>
      <w:pPr>
        <w:spacing w:after="60"/>
        <w:jc w:val="right"/>
        <w:bidi/>
      </w:pPr>
      <w:r>
        <w:rPr>
          <w:rFonts w:ascii="Arial" w:hAnsi="Arial"/>
          <w:b/>
          <w:color w:val="1F4D78"/>
          <w:sz w:val="19"/>
        </w:rPr>
        <w:t>هفتهٔ 604  |  صفحهٔ منبع: 621</w:t>
      </w:r>
    </w:p>
    <w:p>
      <w:pPr>
        <w:spacing w:before="60" w:after="28"/>
        <w:jc w:val="right"/>
        <w:bidi/>
      </w:pPr>
      <w:r>
        <w:rPr>
          <w:b/>
          <w:color w:val="1F4D78"/>
          <w:sz w:val="18"/>
        </w:rPr>
        <w:t>پیوست 7</w:t>
      </w:r>
    </w:p>
    <w:p>
      <w:pPr>
        <w:spacing w:after="20"/>
        <w:ind w:left="259"/>
        <w:jc w:val="left"/>
      </w:pPr>
      <w:r>
        <w:rPr>
          <w:color w:val="555555"/>
          <w:sz w:val="12"/>
        </w:rPr>
        <w:t>Attachment 7</w:t>
      </w:r>
    </w:p>
    <w:p>
      <w:pPr>
        <w:spacing w:before="60" w:after="28"/>
        <w:jc w:val="right"/>
        <w:bidi/>
      </w:pPr>
      <w:r>
        <w:rPr>
          <w:b/>
          <w:color w:val="1F4D78"/>
          <w:sz w:val="18"/>
        </w:rPr>
        <w:t>دریافت کنندگان مدال افتخار USAF</w:t>
      </w:r>
    </w:p>
    <w:p>
      <w:pPr>
        <w:spacing w:after="20"/>
        <w:ind w:left="259"/>
        <w:jc w:val="left"/>
      </w:pPr>
      <w:r>
        <w:rPr>
          <w:color w:val="555555"/>
          <w:sz w:val="12"/>
        </w:rPr>
        <w:t>USAF MEDAL OF HONOR RECIPIENTS</w:t>
      </w:r>
    </w:p>
    <w:p>
      <w:pPr>
        <w:spacing w:after="20" w:line="223" w:lineRule="auto"/>
        <w:jc w:val="right"/>
        <w:bidi/>
      </w:pPr>
      <w:r>
        <w:rPr>
          <w:rFonts w:ascii="Arial" w:hAnsi="Arial"/>
          <w:sz w:val="16"/>
        </w:rPr>
        <w:t>604.03  ستوان دوم اروین آر. بلکلی ستوان اول هارولد ای. گوتلر ستوان دوم فرانک لوک جونیور.</w:t>
      </w:r>
    </w:p>
    <w:p>
      <w:pPr>
        <w:spacing w:after="28" w:line="216" w:lineRule="auto"/>
        <w:ind w:left="259"/>
        <w:jc w:val="left"/>
      </w:pPr>
      <w:r>
        <w:rPr>
          <w:rFonts w:ascii="Arial" w:hAnsi="Arial"/>
          <w:color w:val="525252"/>
          <w:sz w:val="13"/>
        </w:rPr>
        <w:t>2d Lt Erwin R. Bleckley 1st Lt Harold E. Goetler 2d Lt Frank Luke Jr.</w:t>
      </w:r>
    </w:p>
    <w:p>
      <w:pPr>
        <w:spacing w:after="20" w:line="223" w:lineRule="auto"/>
        <w:jc w:val="right"/>
        <w:bidi/>
      </w:pPr>
      <w:r>
        <w:rPr>
          <w:rFonts w:ascii="Arial" w:hAnsi="Arial"/>
          <w:sz w:val="16"/>
        </w:rPr>
        <w:t>604.04  ستوان اول ادوارد ویچیتا، KS شیکاگو، IL فونیکس، AZ ریککنباککر ۶ اکتبر ۱۹۱۸، ۶ اکتبر ۱۹۱۸، ۲۹ سپتامبر ۱۹۱۸ کلمبوس، اوهو، ۲۵ سپتامبر ۱۹۱۸، ستوان ادیسون هورآل اس.</w:t>
      </w:r>
    </w:p>
    <w:p>
      <w:pPr>
        <w:spacing w:after="28" w:line="216" w:lineRule="auto"/>
        <w:ind w:left="259"/>
        <w:jc w:val="left"/>
      </w:pPr>
      <w:r>
        <w:rPr>
          <w:rFonts w:ascii="Arial" w:hAnsi="Arial"/>
          <w:color w:val="525252"/>
          <w:sz w:val="13"/>
        </w:rPr>
        <w:t>1st Lt Edward V. Wichita, KS Chicago, IL Phoenix, AZ Rickenbacker 6 Oct 1918 6 Oct 1918 29 Sep 1918 Columbus, OH 25 Sep 1918 Lt Col Addison Earl Baker Maj Richard Ira Bong Maj Horace S. Carswell Jr.</w:t>
      </w:r>
    </w:p>
    <w:p>
      <w:pPr>
        <w:spacing w:after="20" w:line="223" w:lineRule="auto"/>
        <w:jc w:val="right"/>
        <w:bidi/>
      </w:pPr>
      <w:r>
        <w:rPr>
          <w:rFonts w:ascii="Arial" w:hAnsi="Arial"/>
          <w:sz w:val="16"/>
        </w:rPr>
        <w:t>604.05  BG فردریکک و. کاستل چیکاگو، IL پوپلار، WI فورت وورت، TX مانیلا، فیلیپپینس ۱ اوگ ۱۹۴۳ ۱۵ نوو ۱۹۴۴ ۲۶ وکت ۱۹۴۴ ۲۴ دک ۱۹۴۴ ماج رالف چلی کوللری دماس گ. روین سان فرانکیسکو، CA تراورس کیتی، MI الامدا، CA ادامسویلل، AL ۱۸ اوت ۱۹۴۳ ۸ نوامبر ۱۹۴۲ ۱۸ آوریل ۱۹۴۲ ۱۲ آوریل ۱۹۴۵ ستوان دوم رابرت ای. توکسدو پارک، NY کانتون، چینا ۲ نوامبر ۱۹۴۴ ۹ نوامبر ۱۹۴۴ ۸ نوامبر ۱۹۴۲ ۱۱ ژانویه ۱۹۴۴</w:t>
      </w:r>
    </w:p>
    <w:p>
      <w:pPr>
        <w:spacing w:after="28" w:line="216" w:lineRule="auto"/>
        <w:ind w:left="259"/>
        <w:jc w:val="left"/>
      </w:pPr>
      <w:r>
        <w:rPr>
          <w:rFonts w:ascii="Arial" w:hAnsi="Arial"/>
          <w:color w:val="525252"/>
          <w:sz w:val="13"/>
        </w:rPr>
        <w:t>BG Frederick W. Castle Chicago, IL Poplar, WI Fort Worth, TX Manila, Philippines 1 Aug 1943 15 Nov 1944 26 Oct 1944 24 Dec 1944 Maj Ralph Cheli Col Demas T. Craw BG James H. Doolittle SSgt Henry E. Erwin San Francisco, CA Traverse City, MI Alameda, CA Adamsville, AL 18 Aug 1943 8 Nov 1942 18 Apr 1942 12 Apr 1945 2d Lt Robert E. Femoyer 1st Lt Donald Joseph Gott Lt Col Pierpoint Hamilton Lt Col James H. Howard Huntington, WV Arnett, OK Tuxedo Park, NY Canton, China 2 Nov 1944 9 Nov 1944 8 Nov 1942 11 Jan 1944</w:t>
      </w:r>
    </w:p>
    <w:p>
      <w:r>
        <w:br w:type="page"/>
      </w:r>
    </w:p>
    <w:p>
      <w:pPr>
        <w:spacing w:after="60"/>
        <w:jc w:val="right"/>
        <w:bidi/>
      </w:pPr>
      <w:r>
        <w:rPr>
          <w:rFonts w:ascii="Arial" w:hAnsi="Arial"/>
          <w:b/>
          <w:color w:val="1F4D78"/>
          <w:sz w:val="19"/>
        </w:rPr>
        <w:t>هفتهٔ 605  |  صفحهٔ منبع: 622</w:t>
      </w:r>
    </w:p>
    <w:p>
      <w:pPr>
        <w:spacing w:after="20" w:line="223" w:lineRule="auto"/>
        <w:jc w:val="right"/>
        <w:bidi/>
      </w:pPr>
      <w:r>
        <w:rPr>
          <w:rFonts w:ascii="Arial" w:hAnsi="Arial"/>
          <w:sz w:val="16"/>
        </w:rPr>
        <w:t>605.01  ستوان دوم لوید هربرت هیوز سرگرد جان لوئیس جرستاد سرهنگ لئون ویلیام جانسون سرهنگ جان رایلی کین الکساندریا، لس آنجلس راسین، WI کلمبیا، MO مکگرگور، TX ۱ اوت ۱۹۴۳ ۱ آگوست ۱۹۴۳ ۱ آگوست ۱۹۴۳ نبی و۲۳دارت دیوید آر کینگزلی ستوان اول ریموند ال. نایت ستوان اول ویلیام آر. لاولی ویچیتا فالز، تگزاس پورتلند، اور هیوستون، تی ایکس جونیور.</w:t>
      </w:r>
    </w:p>
    <w:p>
      <w:pPr>
        <w:spacing w:after="28" w:line="216" w:lineRule="auto"/>
        <w:ind w:left="259"/>
        <w:jc w:val="left"/>
      </w:pPr>
      <w:r>
        <w:rPr>
          <w:rFonts w:ascii="Arial" w:hAnsi="Arial"/>
          <w:color w:val="525252"/>
          <w:sz w:val="13"/>
        </w:rPr>
        <w:t>2d Lt Lloyd Herbert Hughes Maj John Louis Jerstad Col Leon William Johnson Col John Riley Kane Alexandria, LA Racine, WI Columbia, MO McGregor, TX 1 Aug 1943 1 Aug 1943 1 Aug 1943 1 Aug 1943 Col Neel E. Kearby 2d Lt David R. Kingsley 1st Lt Raymond L. Knight 1st Lt William R. Lawley Wichita Falls, TX Portland, OR Houston, TX Jr.</w:t>
      </w:r>
    </w:p>
    <w:p>
      <w:pPr>
        <w:spacing w:after="20" w:line="223" w:lineRule="auto"/>
        <w:jc w:val="right"/>
        <w:bidi/>
      </w:pPr>
      <w:r>
        <w:rPr>
          <w:rFonts w:ascii="Arial" w:hAnsi="Arial"/>
          <w:sz w:val="16"/>
        </w:rPr>
        <w:t>605.02  ۱۱ اکتبر ۱۹۴۳، ۲۳ ژوئن ۱۹۴۴، ۲۵ آوریل ۱۹۴۵ لیدز، AL ۲۰ فوریه ۱۹۴۴ سروان دارل رابینز گروهبان ارچیبالد ماتیس، ستوان اول جک دبلیو ماتیس، سرگرد سان توماس بی.</w:t>
      </w:r>
    </w:p>
    <w:p>
      <w:pPr>
        <w:spacing w:after="28" w:line="216" w:lineRule="auto"/>
        <w:ind w:left="259"/>
        <w:jc w:val="left"/>
      </w:pPr>
      <w:r>
        <w:rPr>
          <w:rFonts w:ascii="Arial" w:hAnsi="Arial"/>
          <w:color w:val="525252"/>
          <w:sz w:val="13"/>
        </w:rPr>
        <w:t>11 Oct 1943 23 Jun 1944 25 Apr 1945 Leeds, AL 20 Feb 1944 Capt Darrell Robins Sgt Archibald Mathies 1st Lt Jack W. Mathis Maj Thomas B. McGuire Lindsey Scotland San Angelo, TX Jr.</w:t>
      </w:r>
    </w:p>
    <w:p>
      <w:pPr>
        <w:spacing w:after="20" w:line="223" w:lineRule="auto"/>
        <w:jc w:val="right"/>
        <w:bidi/>
      </w:pPr>
      <w:r>
        <w:rPr>
          <w:rFonts w:ascii="Arial" w:hAnsi="Arial"/>
          <w:sz w:val="16"/>
        </w:rPr>
        <w:t>605.03  جفرسون، IA ۲۰ فوریه ۱۹۴۴، ۱۸ مارس ۱۹۴۳ ریدگوود، NJ ۹ اوت ۱۹۴۴، ۲۵-۲۶ دسامبر ۱۹۴۴ ستوان ویلیام ای. متزگر جونیور.</w:t>
      </w:r>
    </w:p>
    <w:p>
      <w:pPr>
        <w:spacing w:after="28" w:line="216" w:lineRule="auto"/>
        <w:ind w:left="259"/>
        <w:jc w:val="left"/>
      </w:pPr>
      <w:r>
        <w:rPr>
          <w:rFonts w:ascii="Arial" w:hAnsi="Arial"/>
          <w:color w:val="525252"/>
          <w:sz w:val="13"/>
        </w:rPr>
        <w:t>Jefferson, IA 20 Feb 1944 18 Mar 1943 Ridgewood, NJ 9 Aug 1944 25-26 Dec 1944 Lt William E. Metzger Jr.</w:t>
      </w:r>
    </w:p>
    <w:p>
      <w:pPr>
        <w:spacing w:after="20" w:line="223" w:lineRule="auto"/>
        <w:jc w:val="right"/>
        <w:bidi/>
      </w:pPr>
      <w:r>
        <w:rPr>
          <w:rFonts w:ascii="Arial" w:hAnsi="Arial"/>
          <w:sz w:val="16"/>
        </w:rPr>
        <w:t>605.04  ستوان اول ادوارد اس. مایکل ستوان دوم جان کری مورگان سروان هارل پیز جونیور.</w:t>
      </w:r>
    </w:p>
    <w:p>
      <w:pPr>
        <w:spacing w:after="28" w:line="216" w:lineRule="auto"/>
        <w:ind w:left="259"/>
        <w:jc w:val="left"/>
      </w:pPr>
      <w:r>
        <w:rPr>
          <w:rFonts w:ascii="Arial" w:hAnsi="Arial"/>
          <w:color w:val="525252"/>
          <w:sz w:val="13"/>
        </w:rPr>
        <w:t>1st Lt Edward S. Michael 2d Lt John Cary Morgan Capt Harl Pease Jr.</w:t>
      </w:r>
    </w:p>
    <w:p>
      <w:pPr>
        <w:spacing w:after="20" w:line="223" w:lineRule="auto"/>
        <w:jc w:val="right"/>
        <w:bidi/>
      </w:pPr>
      <w:r>
        <w:rPr>
          <w:rFonts w:ascii="Arial" w:hAnsi="Arial"/>
          <w:sz w:val="16"/>
        </w:rPr>
        <w:t>605.05  لیما، اوه شیکاگو، IL ورنون، TX پلیمووت، NH ۹ نوامبر ۱۹۴۴، ۱۱ آوریل ۱۹۴۴، ۲۸ ژوئیه ۱۹۴۳، ۷ اوت ۱۹۴۲</w:t>
      </w:r>
    </w:p>
    <w:p>
      <w:pPr>
        <w:spacing w:after="28" w:line="216" w:lineRule="auto"/>
        <w:ind w:left="259"/>
        <w:jc w:val="left"/>
      </w:pPr>
      <w:r>
        <w:rPr>
          <w:rFonts w:ascii="Arial" w:hAnsi="Arial"/>
          <w:color w:val="525252"/>
          <w:sz w:val="13"/>
        </w:rPr>
        <w:t>Lima, OH Chicago, IL Vernon, TX Plymouth, NH 9 Nov 1944 11 Apr 1944 28 Jul 1943 7 Aug 1942</w:t>
      </w:r>
    </w:p>
    <w:p>
      <w:r>
        <w:br w:type="page"/>
      </w:r>
    </w:p>
    <w:p>
      <w:pPr>
        <w:spacing w:after="60"/>
        <w:jc w:val="right"/>
        <w:bidi/>
      </w:pPr>
      <w:r>
        <w:rPr>
          <w:rFonts w:ascii="Arial" w:hAnsi="Arial"/>
          <w:b/>
          <w:color w:val="1F4D78"/>
          <w:sz w:val="19"/>
        </w:rPr>
        <w:t>هفتهٔ 606  |  صفحهٔ منبع: 623</w:t>
      </w:r>
    </w:p>
    <w:p>
      <w:pPr>
        <w:spacing w:after="20" w:line="223" w:lineRule="auto"/>
        <w:jc w:val="right"/>
        <w:bidi/>
      </w:pPr>
      <w:r>
        <w:rPr>
          <w:rFonts w:ascii="Arial" w:hAnsi="Arial"/>
          <w:sz w:val="16"/>
        </w:rPr>
        <w:t>606.01  ستوان ۱ست دونالد دال پوککت ۲د لات جوسف ر. سارنوسکی.</w:t>
      </w:r>
    </w:p>
    <w:p>
      <w:pPr>
        <w:spacing w:after="28" w:line="216" w:lineRule="auto"/>
        <w:ind w:left="259"/>
        <w:jc w:val="left"/>
      </w:pPr>
      <w:r>
        <w:rPr>
          <w:rFonts w:ascii="Arial" w:hAnsi="Arial"/>
          <w:color w:val="525252"/>
          <w:sz w:val="13"/>
        </w:rPr>
        <w:t>1st Lt Donald Dale Pucket 2d Lt Joseph R. Sarnoski.</w:t>
      </w:r>
    </w:p>
    <w:p>
      <w:pPr>
        <w:spacing w:after="20" w:line="223" w:lineRule="auto"/>
        <w:jc w:val="right"/>
        <w:bidi/>
      </w:pPr>
      <w:r>
        <w:rPr>
          <w:rFonts w:ascii="Arial" w:hAnsi="Arial"/>
          <w:sz w:val="16"/>
        </w:rPr>
        <w:t>606.02  ماج ویللیام ا. شومو سگت ماینارد ه. سمیت لونگمونت، CO سیمپسون، PA جاننتت، PA کارو، MI ۹ ژوئیه ۱۹۴۴ ۱۶ ژوئن ۱۹۴۳ ۱۱ ژانویه ۱۹۴۵ ۱ مه ۱۹۴۳ ۲د لت والتر ل.</w:t>
      </w:r>
    </w:p>
    <w:p>
      <w:pPr>
        <w:spacing w:after="28" w:line="216" w:lineRule="auto"/>
        <w:ind w:left="259"/>
        <w:jc w:val="left"/>
      </w:pPr>
      <w:r>
        <w:rPr>
          <w:rFonts w:ascii="Arial" w:hAnsi="Arial"/>
          <w:color w:val="525252"/>
          <w:sz w:val="13"/>
        </w:rPr>
        <w:t>Maj William A. Shomo Sgt Maynard H. Smith Longmont, CO Simpson, PA Jeannette, PA Caro, MI 9 Jul 1944 16 Jun 1943 11 Jan 1945 1 May 1943 2d Lt Walter E. Truemper Lt Col Leon R. Vance Jr.</w:t>
      </w:r>
    </w:p>
    <w:p>
      <w:pPr>
        <w:spacing w:after="20" w:line="223" w:lineRule="auto"/>
        <w:jc w:val="right"/>
        <w:bidi/>
      </w:pPr>
      <w:r>
        <w:rPr>
          <w:rFonts w:ascii="Arial" w:hAnsi="Arial"/>
          <w:sz w:val="16"/>
        </w:rPr>
        <w:t>606.03  TSgt فوررست ل. ووسلر BG کننت ن. والکر اورورا، IL نید، OK لیندونویلل، NY کرریتوس، NM ۲۰ فوریه ۱۹۴۴ ۵ ژوئن ۱۹۴۴ ۲۰ دسامبر ۱۹۴۳ ۵ ژانویه ۱۹۴۳ ماج. جونیور</w:t>
      </w:r>
    </w:p>
    <w:p>
      <w:pPr>
        <w:spacing w:after="28" w:line="216" w:lineRule="auto"/>
        <w:ind w:left="259"/>
        <w:jc w:val="left"/>
      </w:pPr>
      <w:r>
        <w:rPr>
          <w:rFonts w:ascii="Arial" w:hAnsi="Arial"/>
          <w:color w:val="525252"/>
          <w:sz w:val="13"/>
        </w:rPr>
        <w:t>TSgt Forrest L. Vosler BG Kenneth N. Walker Aurora, IL Enid, OK Lyndonville, NY Cerritos, NM 20 Feb 1944 5 Jun 1944 20 Dec 1943 5 Jan 1943 Maj Raymond H. Wilkins Maj Jay Zeamer Maj George A. Davis Jr.</w:t>
      </w:r>
    </w:p>
    <w:p>
      <w:pPr>
        <w:spacing w:after="20" w:line="223" w:lineRule="auto"/>
        <w:jc w:val="right"/>
        <w:bidi/>
      </w:pPr>
      <w:r>
        <w:rPr>
          <w:rFonts w:ascii="Arial" w:hAnsi="Arial"/>
          <w:sz w:val="16"/>
        </w:rPr>
        <w:t>606.04  سرگرد چارلز جی. لورینگ جونیور.</w:t>
      </w:r>
    </w:p>
    <w:p>
      <w:pPr>
        <w:spacing w:after="28" w:line="216" w:lineRule="auto"/>
        <w:ind w:left="259"/>
        <w:jc w:val="left"/>
      </w:pPr>
      <w:r>
        <w:rPr>
          <w:rFonts w:ascii="Arial" w:hAnsi="Arial"/>
          <w:color w:val="525252"/>
          <w:sz w:val="13"/>
        </w:rPr>
        <w:t>Maj Charles J. Loring Jr.</w:t>
      </w:r>
    </w:p>
    <w:p>
      <w:pPr>
        <w:spacing w:after="20" w:line="223" w:lineRule="auto"/>
        <w:jc w:val="right"/>
        <w:bidi/>
      </w:pPr>
      <w:r>
        <w:rPr>
          <w:rFonts w:ascii="Arial" w:hAnsi="Arial"/>
          <w:sz w:val="16"/>
        </w:rPr>
        <w:t>606.05  پورتسمووت، VA کارلیسل، PA دوبلین، TX پورتلاند، ME ۲ نوامبر ۱۹۴۳ ۱۶ ژوئن ۱۹۴۳ ۱۰ فوریه ۱۹۵۲ ۲۲ نوامبر ۵۲ ماج لوویس جوسف سبیلل کاپت جوهن س. والمسلی جر.</w:t>
      </w:r>
    </w:p>
    <w:p>
      <w:pPr>
        <w:spacing w:after="28" w:line="216" w:lineRule="auto"/>
        <w:ind w:left="259"/>
        <w:jc w:val="left"/>
      </w:pPr>
      <w:r>
        <w:rPr>
          <w:rFonts w:ascii="Arial" w:hAnsi="Arial"/>
          <w:color w:val="525252"/>
          <w:sz w:val="13"/>
        </w:rPr>
        <w:t>Portsmouth, VA Carlisle, PA Dublin, TX Portland, ME 2 Nov 1943 16 Jun 1943 10 Feb 1952 22 Nov 52 Maj Louis Joseph Sebille Capt John S. Walmsley Jr.</w:t>
      </w:r>
    </w:p>
    <w:p>
      <w:pPr>
        <w:spacing w:after="20" w:line="223" w:lineRule="auto"/>
        <w:jc w:val="right"/>
        <w:bidi/>
      </w:pPr>
      <w:r>
        <w:rPr>
          <w:rFonts w:ascii="Arial" w:hAnsi="Arial"/>
          <w:sz w:val="16"/>
        </w:rPr>
        <w:t>606.06  کاپیتان استیون ال. بنت سرگرد جرج ای. دی هاربر بیچ، MI بالتیمور، MD فلسطین، TX سیووکس کیتی، IA ۵ اوت ۱۹۵۰ ۱۴ سپتامبر ۱۹۵۱، ۲۹ ژوئن ۱۹۷۲، ۲۶ اوت ۱۹۶۷</w:t>
      </w:r>
    </w:p>
    <w:p>
      <w:pPr>
        <w:spacing w:after="28" w:line="216" w:lineRule="auto"/>
        <w:ind w:left="259"/>
        <w:jc w:val="left"/>
      </w:pPr>
      <w:r>
        <w:rPr>
          <w:rFonts w:ascii="Arial" w:hAnsi="Arial"/>
          <w:color w:val="525252"/>
          <w:sz w:val="13"/>
        </w:rPr>
        <w:t>Capt Steven L. Bennett Maj George E. Day Harbor Beach, MI Baltimore, MD Palestine, TX Sioux City, IA 5 Aug 1950 14 Sep 1951 29 Jun 1972 26 Aug 1967</w:t>
      </w:r>
    </w:p>
    <w:p>
      <w:r>
        <w:br w:type="page"/>
      </w:r>
    </w:p>
    <w:p>
      <w:pPr>
        <w:spacing w:after="60"/>
        <w:jc w:val="right"/>
        <w:bidi/>
      </w:pPr>
      <w:r>
        <w:rPr>
          <w:rFonts w:ascii="Arial" w:hAnsi="Arial"/>
          <w:b/>
          <w:color w:val="1F4D78"/>
          <w:sz w:val="19"/>
        </w:rPr>
        <w:t>هفتهٔ 607  |  صفحهٔ منبع: 624</w:t>
      </w:r>
    </w:p>
    <w:p>
      <w:pPr>
        <w:spacing w:after="20" w:line="223" w:lineRule="auto"/>
        <w:jc w:val="right"/>
        <w:bidi/>
      </w:pPr>
      <w:r>
        <w:rPr>
          <w:rFonts w:ascii="Arial" w:hAnsi="Arial"/>
          <w:sz w:val="16"/>
        </w:rPr>
        <w:t>607.01  ماج مرلین ه. دتلفسن CMSgt ریچارد ماج برنارد ف. فیشر ۱ست لت جامس پ. فلمینگ گرینویلل، IA تچبرگر سان برناردینو، CA سدالیا، MO ۱۰ مارس ۱۹۶۷ هامبورگ، PA ۱۰ مارس ۱۹۶۶ ۲۸۶ مارچ ۱۹۶۶ شماره ۱۹۶۶ م. جاککسون کول ویللیام ا. جونس III ا۱ک جوهن لویتوو ا۱ک ویللیام نومان، GA وارساو، VA سووت ویندسور، CT پیتسنبارگر ۱۲ مه ۱۹۶۸ ۱ سپتامبر ۱۹۶۸ ۲۴ فوریه ۱۹۶۹ پیقوا، OH ۱۱ آوریل ۱۹۶۶ کاپیتان لنس پیتر هیلکس اویلکس. یوونگ میلواوکی، WI والنوت گروو، MN کورنلیا، GA چیکاگو، IL ۹ نوامبر ۱۹۶۷ ۱۹ آوریل ۱۹۶۷ ۲۴ فوریه ۱۹۶۷ ۹ نوامبر ۱۹۶۷ TSgt جوهن اللان چاپمان سپرینگفیلد، MA ۲۲ اوت ۲۰۱۸</w:t>
      </w:r>
    </w:p>
    <w:p>
      <w:pPr>
        <w:spacing w:after="28" w:line="216" w:lineRule="auto"/>
        <w:ind w:left="259"/>
        <w:jc w:val="left"/>
      </w:pPr>
      <w:r>
        <w:rPr>
          <w:rFonts w:ascii="Arial" w:hAnsi="Arial"/>
          <w:color w:val="525252"/>
          <w:sz w:val="13"/>
        </w:rPr>
        <w:t>Maj Merlyn H. Dethlefsen CMSgt Richard Maj Bernard F. Fisher 1st Lt James P. Fleming Greenville, IA Etchberger San Bernardino, CA Sedalia, MO 10 Mar 1967 Hamburg, PA 10 Mar 1966 26 Nov 1968 11 Mar 1968 Lt Col Joe M. Jackson Col William A. Jones III A1C John Levitow A1C William Newman, GA Warsaw, VA South Windsor, CT Pitsenbarger 12 May 1968 1 Sep 1968 24 Feb 1969 Piqua, OH 11 Apr 1966 Capt Lance Peter Sijan Col Leo Thorsness Capt Hilliard A. Wilbanks Capt Gerald O. Young Milwaukee, WI Walnut Grove, MN Cornelia, GA Chicago, IL 9 Nov 1967 19 Apr 1967 24 Feb 1967 9 Nov 1967 TSgt John Allan Chapman Springfield, MA 22 Aug 2018</w:t>
      </w:r>
    </w:p>
    <w:p>
      <w:r>
        <w:br w:type="page"/>
      </w:r>
    </w:p>
    <w:p>
      <w:pPr>
        <w:spacing w:after="60"/>
        <w:jc w:val="right"/>
        <w:bidi/>
      </w:pPr>
      <w:r>
        <w:rPr>
          <w:rFonts w:ascii="Arial" w:hAnsi="Arial"/>
          <w:b/>
          <w:color w:val="1F4D78"/>
          <w:sz w:val="19"/>
        </w:rPr>
        <w:t>هفتهٔ 608  |  صفحهٔ منبع: 625</w:t>
      </w:r>
    </w:p>
    <w:p>
      <w:pPr>
        <w:spacing w:before="60" w:after="28"/>
        <w:jc w:val="right"/>
        <w:bidi/>
      </w:pPr>
      <w:r>
        <w:rPr>
          <w:b/>
          <w:color w:val="1F4D78"/>
          <w:sz w:val="18"/>
        </w:rPr>
        <w:t>پیوست 8</w:t>
      </w:r>
    </w:p>
    <w:p>
      <w:pPr>
        <w:spacing w:after="20"/>
        <w:ind w:left="259"/>
        <w:jc w:val="left"/>
      </w:pPr>
      <w:r>
        <w:rPr>
          <w:color w:val="555555"/>
          <w:sz w:val="12"/>
        </w:rPr>
        <w:t>Attachment 8</w:t>
      </w:r>
    </w:p>
    <w:p>
      <w:pPr>
        <w:spacing w:before="60" w:after="28"/>
        <w:jc w:val="right"/>
        <w:bidi/>
      </w:pPr>
      <w:r>
        <w:rPr>
          <w:b/>
          <w:color w:val="1F4D78"/>
          <w:sz w:val="18"/>
        </w:rPr>
        <w:t>متن آهنگ USAF</w:t>
      </w:r>
    </w:p>
    <w:p>
      <w:pPr>
        <w:spacing w:after="20"/>
        <w:ind w:left="259"/>
        <w:jc w:val="left"/>
      </w:pPr>
      <w:r>
        <w:rPr>
          <w:color w:val="555555"/>
          <w:sz w:val="12"/>
        </w:rPr>
        <w:t>THE USAF SONG LYRICS</w:t>
      </w:r>
    </w:p>
    <w:p>
      <w:pPr>
        <w:spacing w:after="20" w:line="223" w:lineRule="auto"/>
        <w:jc w:val="right"/>
        <w:bidi/>
      </w:pPr>
      <w:r>
        <w:rPr>
          <w:rFonts w:ascii="Arial" w:hAnsi="Arial"/>
          <w:sz w:val="16"/>
        </w:rPr>
        <w:t>608.03  آیه اول: ما به آن سوی آبی وحشی می‌رویم، بالا می‌رویم به سمت خورشید. در اینجا آنها با زوم می‌آیند تا با رعد و برق ما ملاقات کنند، در حال حاضر، اسلحه را به آنها بدهید!</w:t>
      </w:r>
    </w:p>
    <w:p>
      <w:pPr>
        <w:spacing w:after="28" w:line="216" w:lineRule="auto"/>
        <w:ind w:left="259"/>
        <w:jc w:val="left"/>
      </w:pPr>
      <w:r>
        <w:rPr>
          <w:rFonts w:ascii="Arial" w:hAnsi="Arial"/>
          <w:color w:val="525252"/>
          <w:sz w:val="13"/>
        </w:rPr>
        <w:t>Verse I: Off we go into the wild blue yonder, Climbing high into the sun; Here they come zooming to meet our thunder, At ‘em now, Give ’em the gun!</w:t>
      </w:r>
    </w:p>
    <w:p>
      <w:pPr>
        <w:spacing w:after="20" w:line="223" w:lineRule="auto"/>
        <w:jc w:val="right"/>
        <w:bidi/>
      </w:pPr>
      <w:r>
        <w:rPr>
          <w:rFonts w:ascii="Arial" w:hAnsi="Arial"/>
          <w:sz w:val="16"/>
        </w:rPr>
        <w:t>608.04  به پایین شیرجه می‌زنیم، شعله‌هایمان را از زیر بیرون می‌فرستیم، با یک غرش هلووا خاموش می‌شویم!</w:t>
      </w:r>
    </w:p>
    <w:p>
      <w:pPr>
        <w:spacing w:after="28" w:line="216" w:lineRule="auto"/>
        <w:ind w:left="259"/>
        <w:jc w:val="left"/>
      </w:pPr>
      <w:r>
        <w:rPr>
          <w:rFonts w:ascii="Arial" w:hAnsi="Arial"/>
          <w:color w:val="525252"/>
          <w:sz w:val="13"/>
        </w:rPr>
        <w:t>Down we dive, spouting our flame from under, Off with one helluva roar!</w:t>
      </w:r>
    </w:p>
    <w:p>
      <w:pPr>
        <w:spacing w:after="20" w:line="223" w:lineRule="auto"/>
        <w:jc w:val="right"/>
        <w:bidi/>
      </w:pPr>
      <w:r>
        <w:rPr>
          <w:rFonts w:ascii="Arial" w:hAnsi="Arial"/>
          <w:sz w:val="16"/>
        </w:rPr>
        <w:t>608.05  ما در شهرت زندگی می‌کنیم یا در آتش فرو می‌رویم.</w:t>
      </w:r>
    </w:p>
    <w:p>
      <w:pPr>
        <w:spacing w:after="28" w:line="216" w:lineRule="auto"/>
        <w:ind w:left="259"/>
        <w:jc w:val="left"/>
      </w:pPr>
      <w:r>
        <w:rPr>
          <w:rFonts w:ascii="Arial" w:hAnsi="Arial"/>
          <w:color w:val="525252"/>
          <w:sz w:val="13"/>
        </w:rPr>
        <w:t>We live in fame or go down in flame.</w:t>
      </w:r>
    </w:p>
    <w:p>
      <w:pPr>
        <w:spacing w:after="20" w:line="223" w:lineRule="auto"/>
        <w:jc w:val="right"/>
        <w:bidi/>
      </w:pPr>
      <w:r>
        <w:rPr>
          <w:rFonts w:ascii="Arial" w:hAnsi="Arial"/>
          <w:sz w:val="16"/>
        </w:rPr>
        <w:t>608.06  هی!</w:t>
      </w:r>
    </w:p>
    <w:p>
      <w:pPr>
        <w:spacing w:after="28" w:line="216" w:lineRule="auto"/>
        <w:ind w:left="259"/>
        <w:jc w:val="left"/>
      </w:pPr>
      <w:r>
        <w:rPr>
          <w:rFonts w:ascii="Arial" w:hAnsi="Arial"/>
          <w:color w:val="525252"/>
          <w:sz w:val="13"/>
        </w:rPr>
        <w:t>Hey!</w:t>
      </w:r>
    </w:p>
    <w:p>
      <w:pPr>
        <w:spacing w:after="20" w:line="223" w:lineRule="auto"/>
        <w:jc w:val="right"/>
        <w:bidi/>
      </w:pPr>
      <w:r>
        <w:rPr>
          <w:rFonts w:ascii="Arial" w:hAnsi="Arial"/>
          <w:sz w:val="16"/>
        </w:rPr>
        <w:t>608.07  هیچ چیز نیروی هوایی ایالات متحده را متوقف نخواهد کرد!!</w:t>
      </w:r>
    </w:p>
    <w:p>
      <w:pPr>
        <w:spacing w:after="28" w:line="216" w:lineRule="auto"/>
        <w:ind w:left="259"/>
        <w:jc w:val="left"/>
      </w:pPr>
      <w:r>
        <w:rPr>
          <w:rFonts w:ascii="Arial" w:hAnsi="Arial"/>
          <w:color w:val="525252"/>
          <w:sz w:val="13"/>
        </w:rPr>
        <w:t>Nothing’ll stop the U.S. Air Force!!</w:t>
      </w:r>
    </w:p>
    <w:p>
      <w:pPr>
        <w:spacing w:after="20" w:line="223" w:lineRule="auto"/>
        <w:jc w:val="right"/>
        <w:bidi/>
      </w:pPr>
      <w:r>
        <w:rPr>
          <w:rFonts w:ascii="Arial" w:hAnsi="Arial"/>
          <w:sz w:val="16"/>
        </w:rPr>
        <w:t>608.08  آیه دوم: ذهن‌های درخشان جعبه‌ای از رعد را ساختند، آن را به بالای آبی فرستادند. دستان دلاور جهان را متلاشی کردند. چگونه زندگی می‌کردند فقط خدا می‌دانست!</w:t>
      </w:r>
    </w:p>
    <w:p>
      <w:pPr>
        <w:spacing w:after="28" w:line="216" w:lineRule="auto"/>
        <w:ind w:left="259"/>
        <w:jc w:val="left"/>
      </w:pPr>
      <w:r>
        <w:rPr>
          <w:rFonts w:ascii="Arial" w:hAnsi="Arial"/>
          <w:color w:val="525252"/>
          <w:sz w:val="13"/>
        </w:rPr>
        <w:t>Verse II: Brilliant minds fashioned a crate of thunder, Sent it high into the blue; Valiant hands blasted the world asunder; How they lived God only knew!</w:t>
      </w:r>
    </w:p>
    <w:p>
      <w:pPr>
        <w:spacing w:after="20" w:line="223" w:lineRule="auto"/>
        <w:jc w:val="right"/>
        <w:bidi/>
      </w:pPr>
      <w:r>
        <w:rPr>
          <w:rFonts w:ascii="Arial" w:hAnsi="Arial"/>
          <w:sz w:val="16"/>
        </w:rPr>
        <w:t>608.09  روح‌های بی‌کران که رویای آسمان برای تسخیر را در سر می‌پرورانند، بال‌هایی به ما دادند تا همیشه اوج بگیریم!</w:t>
      </w:r>
    </w:p>
    <w:p>
      <w:pPr>
        <w:spacing w:after="28" w:line="216" w:lineRule="auto"/>
        <w:ind w:left="259"/>
        <w:jc w:val="left"/>
      </w:pPr>
      <w:r>
        <w:rPr>
          <w:rFonts w:ascii="Arial" w:hAnsi="Arial"/>
          <w:color w:val="525252"/>
          <w:sz w:val="13"/>
        </w:rPr>
        <w:t>Boundless souls dreaming of skies to conquer Gave us wings, ever to soar!</w:t>
      </w:r>
    </w:p>
    <w:p>
      <w:pPr>
        <w:spacing w:after="20" w:line="223" w:lineRule="auto"/>
        <w:jc w:val="right"/>
        <w:bidi/>
      </w:pPr>
      <w:r>
        <w:rPr>
          <w:rFonts w:ascii="Arial" w:hAnsi="Arial"/>
          <w:sz w:val="16"/>
        </w:rPr>
        <w:t>608.10  با پیشاهنگان و بمب افکن‌های فراوان.</w:t>
      </w:r>
    </w:p>
    <w:p>
      <w:pPr>
        <w:spacing w:after="28" w:line="216" w:lineRule="auto"/>
        <w:ind w:left="259"/>
        <w:jc w:val="left"/>
      </w:pPr>
      <w:r>
        <w:rPr>
          <w:rFonts w:ascii="Arial" w:hAnsi="Arial"/>
          <w:color w:val="525252"/>
          <w:sz w:val="13"/>
        </w:rPr>
        <w:t>With scouts before and bombers galore.</w:t>
      </w:r>
    </w:p>
    <w:p>
      <w:pPr>
        <w:spacing w:after="20" w:line="223" w:lineRule="auto"/>
        <w:jc w:val="right"/>
        <w:bidi/>
      </w:pPr>
      <w:r>
        <w:rPr>
          <w:rFonts w:ascii="Arial" w:hAnsi="Arial"/>
          <w:sz w:val="16"/>
        </w:rPr>
        <w:t>608.11  هی!</w:t>
      </w:r>
    </w:p>
    <w:p>
      <w:pPr>
        <w:spacing w:after="28" w:line="216" w:lineRule="auto"/>
        <w:ind w:left="259"/>
        <w:jc w:val="left"/>
      </w:pPr>
      <w:r>
        <w:rPr>
          <w:rFonts w:ascii="Arial" w:hAnsi="Arial"/>
          <w:color w:val="525252"/>
          <w:sz w:val="13"/>
        </w:rPr>
        <w:t>Hey!</w:t>
      </w:r>
    </w:p>
    <w:p>
      <w:pPr>
        <w:spacing w:after="20" w:line="223" w:lineRule="auto"/>
        <w:jc w:val="right"/>
        <w:bidi/>
      </w:pPr>
      <w:r>
        <w:rPr>
          <w:rFonts w:ascii="Arial" w:hAnsi="Arial"/>
          <w:sz w:val="16"/>
        </w:rPr>
        <w:t>608.12  هیچ چیز نیروی هوایی ایالات متحده را متوقف نخواهد کرد!</w:t>
      </w:r>
    </w:p>
    <w:p>
      <w:pPr>
        <w:spacing w:after="28" w:line="216" w:lineRule="auto"/>
        <w:ind w:left="259"/>
        <w:jc w:val="left"/>
      </w:pPr>
      <w:r>
        <w:rPr>
          <w:rFonts w:ascii="Arial" w:hAnsi="Arial"/>
          <w:color w:val="525252"/>
          <w:sz w:val="13"/>
        </w:rPr>
        <w:t>Nothing’ll stop the U.S. Air Force!</w:t>
      </w:r>
    </w:p>
    <w:p>
      <w:pPr>
        <w:spacing w:after="20" w:line="223" w:lineRule="auto"/>
        <w:jc w:val="right"/>
        <w:bidi/>
      </w:pPr>
      <w:r>
        <w:rPr>
          <w:rFonts w:ascii="Arial" w:hAnsi="Arial"/>
          <w:sz w:val="16"/>
        </w:rPr>
        <w:t>608.13  آیه سوم: در اینجا نان تست برای میزبان کسانی است که وسعت آسمان را دوست دارند، برای دوستی پیام شجاعانی را می‌فرستیم که در اوج خدمت می‌کنند.</w:t>
      </w:r>
    </w:p>
    <w:p>
      <w:pPr>
        <w:spacing w:after="28" w:line="216" w:lineRule="auto"/>
        <w:ind w:left="259"/>
        <w:jc w:val="left"/>
      </w:pPr>
      <w:r>
        <w:rPr>
          <w:rFonts w:ascii="Arial" w:hAnsi="Arial"/>
          <w:color w:val="525252"/>
          <w:sz w:val="13"/>
        </w:rPr>
        <w:t>Verse III: Here’s a toast to the host Of those who love the vastness of the sky, To a friend we send a message of the brave who serve on high.</w:t>
      </w:r>
    </w:p>
    <w:p>
      <w:pPr>
        <w:spacing w:after="20" w:line="223" w:lineRule="auto"/>
        <w:jc w:val="right"/>
        <w:bidi/>
      </w:pPr>
      <w:r>
        <w:rPr>
          <w:rFonts w:ascii="Arial" w:hAnsi="Arial"/>
          <w:sz w:val="16"/>
        </w:rPr>
        <w:t>608.14  برای کسانی که تمام عمر خود را داده‌اند می‌نوشیم، سپس برای به ثمر رساندن گلدان طلای رنگین کمان فریاد می‌زنیم.</w:t>
      </w:r>
    </w:p>
    <w:p>
      <w:pPr>
        <w:spacing w:after="28" w:line="216" w:lineRule="auto"/>
        <w:ind w:left="259"/>
        <w:jc w:val="left"/>
      </w:pPr>
      <w:r>
        <w:rPr>
          <w:rFonts w:ascii="Arial" w:hAnsi="Arial"/>
          <w:color w:val="525252"/>
          <w:sz w:val="13"/>
        </w:rPr>
        <w:t>We drink to those who gave their all of old, Then down we roar to score the rainbow’s pot of gold.</w:t>
      </w:r>
    </w:p>
    <w:p>
      <w:pPr>
        <w:spacing w:after="20" w:line="223" w:lineRule="auto"/>
        <w:jc w:val="right"/>
        <w:bidi/>
      </w:pPr>
      <w:r>
        <w:rPr>
          <w:rFonts w:ascii="Arial" w:hAnsi="Arial"/>
          <w:sz w:val="16"/>
        </w:rPr>
        <w:t>608.15  نان تست برای میزبان کسانی که به آنها می‌بالیم، نیروی هوایی ایالات متحده!</w:t>
      </w:r>
    </w:p>
    <w:p>
      <w:pPr>
        <w:spacing w:after="28" w:line="216" w:lineRule="auto"/>
        <w:ind w:left="259"/>
        <w:jc w:val="left"/>
      </w:pPr>
      <w:r>
        <w:rPr>
          <w:rFonts w:ascii="Arial" w:hAnsi="Arial"/>
          <w:color w:val="525252"/>
          <w:sz w:val="13"/>
        </w:rPr>
        <w:t>A toast to the host of those we boast, the U.S. Air Force!</w:t>
      </w:r>
    </w:p>
    <w:p>
      <w:pPr>
        <w:spacing w:after="20" w:line="223" w:lineRule="auto"/>
        <w:jc w:val="right"/>
        <w:bidi/>
      </w:pPr>
      <w:r>
        <w:rPr>
          <w:rFonts w:ascii="Arial" w:hAnsi="Arial"/>
          <w:sz w:val="16"/>
        </w:rPr>
        <w:t>608.16  آیه IV: ما به آسمان وحشی آن طرف می‌رویم، بال‌ها را هم سطح و درست نگه داریم. اگر می‌خواهید یک شگفت‌انگیز موی خاکستری باشید، بینی را از حالت آبی دور نگه دارید!</w:t>
      </w:r>
    </w:p>
    <w:p>
      <w:pPr>
        <w:spacing w:after="28" w:line="216" w:lineRule="auto"/>
        <w:ind w:left="259"/>
        <w:jc w:val="left"/>
      </w:pPr>
      <w:r>
        <w:rPr>
          <w:rFonts w:ascii="Arial" w:hAnsi="Arial"/>
          <w:color w:val="525252"/>
          <w:sz w:val="13"/>
        </w:rPr>
        <w:t>Verse IV: Off we go into the wild sky yonder, Keep the wings level and true; If you’d live to be a grey-haired wonder Keep the nose out of the blue!</w:t>
      </w:r>
    </w:p>
    <w:p>
      <w:pPr>
        <w:spacing w:after="20" w:line="223" w:lineRule="auto"/>
        <w:jc w:val="right"/>
        <w:bidi/>
      </w:pPr>
      <w:r>
        <w:rPr>
          <w:rFonts w:ascii="Arial" w:hAnsi="Arial"/>
          <w:sz w:val="16"/>
        </w:rPr>
        <w:t>608.17  پرواز کنید تا بجنگید، از مرزهای کشور محافظت کنید، ما آنجا خواهیم بود، به دنبال آن بیشتر!</w:t>
      </w:r>
    </w:p>
    <w:p>
      <w:pPr>
        <w:spacing w:after="28" w:line="216" w:lineRule="auto"/>
        <w:ind w:left="259"/>
        <w:jc w:val="left"/>
      </w:pPr>
      <w:r>
        <w:rPr>
          <w:rFonts w:ascii="Arial" w:hAnsi="Arial"/>
          <w:color w:val="525252"/>
          <w:sz w:val="13"/>
        </w:rPr>
        <w:t>Fly to fight, guarding the nation’s border, We’ll be there, followed by more!</w:t>
      </w:r>
    </w:p>
    <w:p>
      <w:pPr>
        <w:spacing w:after="20" w:line="223" w:lineRule="auto"/>
        <w:jc w:val="right"/>
        <w:bidi/>
      </w:pPr>
      <w:r>
        <w:rPr>
          <w:rFonts w:ascii="Arial" w:hAnsi="Arial"/>
          <w:sz w:val="16"/>
        </w:rPr>
        <w:t>608.18  در رده ما ادامه می‌دهیم.</w:t>
      </w:r>
    </w:p>
    <w:p>
      <w:pPr>
        <w:spacing w:after="28" w:line="216" w:lineRule="auto"/>
        <w:ind w:left="259"/>
        <w:jc w:val="left"/>
      </w:pPr>
      <w:r>
        <w:rPr>
          <w:rFonts w:ascii="Arial" w:hAnsi="Arial"/>
          <w:color w:val="525252"/>
          <w:sz w:val="13"/>
        </w:rPr>
        <w:t>In echelon we carry on.</w:t>
      </w:r>
    </w:p>
    <w:p>
      <w:pPr>
        <w:spacing w:after="20" w:line="223" w:lineRule="auto"/>
        <w:jc w:val="right"/>
        <w:bidi/>
      </w:pPr>
      <w:r>
        <w:rPr>
          <w:rFonts w:ascii="Arial" w:hAnsi="Arial"/>
          <w:sz w:val="16"/>
        </w:rPr>
        <w:t>608.19  اوه، هیچ چیز نیروی هوایی ایالات متحده را متوقف نخواهد کرد!</w:t>
      </w:r>
    </w:p>
    <w:p>
      <w:pPr>
        <w:spacing w:after="28" w:line="216" w:lineRule="auto"/>
        <w:ind w:left="259"/>
        <w:jc w:val="left"/>
      </w:pPr>
      <w:r>
        <w:rPr>
          <w:rFonts w:ascii="Arial" w:hAnsi="Arial"/>
          <w:color w:val="525252"/>
          <w:sz w:val="13"/>
        </w:rPr>
        <w:t>Oh, nothing’ll stop the U.S. Air Force!</w:t>
      </w:r>
    </w:p>
    <w:sectPr w:rsidR="00FC693F" w:rsidRPr="0006063C" w:rsidSect="00034616">
      <w:headerReference w:type="default" r:id="rId9"/>
      <w:footerReference w:type="default" r:id="rId10"/>
      <w:pgSz w:w="12240" w:h="15840"/>
      <w:pgMar w:top="979" w:right="979" w:bottom="893"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4"/>
      </w:rPr>
      <w:t>AFH 1, Airman | 15 February 2025 | Teacher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Arial" w:hAnsi="Arial"/>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25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25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